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0041C1E9-D35A-473D-B8D4-D515DEF9738B" style="width:455.25pt;height:573pt">
            <v:imagedata r:id="rId9" o:title=""/>
          </v:shape>
        </w:pict>
      </w:r>
    </w:p>
    <w:bookmarkEnd w:id="0"/>
    <w:p>
      <w:pPr>
        <w:rPr>
          <w:noProof/>
          <w:lang w:val="en-IE" w:eastAsia="en-GB"/>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26"/>
        </w:sectPr>
      </w:pPr>
    </w:p>
    <w:p>
      <w:pPr>
        <w:pBdr>
          <w:top w:val="single" w:sz="4" w:space="1" w:color="auto"/>
          <w:left w:val="single" w:sz="4" w:space="4" w:color="auto"/>
          <w:bottom w:val="single" w:sz="4" w:space="1" w:color="auto"/>
          <w:right w:val="single" w:sz="4" w:space="4" w:color="auto"/>
        </w:pBdr>
        <w:rPr>
          <w:rFonts w:eastAsia="Times New Roman" w:cs="Times New Roman"/>
          <w:b/>
          <w:smallCaps/>
          <w:noProof/>
          <w:szCs w:val="24"/>
          <w:u w:val="single"/>
        </w:rPr>
      </w:pPr>
      <w:bookmarkStart w:id="1" w:name="_GoBack"/>
      <w:bookmarkEnd w:id="1"/>
      <w:r>
        <w:rPr>
          <w:b/>
          <w:smallCaps/>
          <w:noProof/>
          <w:szCs w:val="24"/>
          <w:u w:val="single"/>
        </w:rPr>
        <w:lastRenderedPageBreak/>
        <w:t>Santrauka</w:t>
      </w:r>
    </w:p>
    <w:p>
      <w:pPr>
        <w:pBdr>
          <w:top w:val="single" w:sz="4" w:space="1" w:color="auto"/>
          <w:left w:val="single" w:sz="4" w:space="4" w:color="auto"/>
          <w:bottom w:val="single" w:sz="4" w:space="1" w:color="auto"/>
          <w:right w:val="single" w:sz="4" w:space="4" w:color="auto"/>
        </w:pBdr>
        <w:spacing w:after="160"/>
        <w:rPr>
          <w:rFonts w:eastAsia="Times New Roman" w:cs="Times New Roman"/>
          <w:noProof/>
        </w:rPr>
      </w:pPr>
      <w:r>
        <w:rPr>
          <w:noProof/>
        </w:rPr>
        <w:t>Slovėnijos teisingumo sistemoje įvyko tam tikrų teigiamų pokyčių, taip pat ir 2020 m. teisinės valstybės principo taikymo ataskaitoje iškeltais klausimais. Visų pirma svarbi apsauga teisėjams suteikiama Konstitucinio Teismo sprendimu, kuriuo nekonstitucinėmis pripažįstamos parlamentinių tyrimų reglamentavimo teisės normos, nes trūksta apsaugos priemonių dėl teismų nepriklausomumo. Teisminės institucijos inicijavo diskusiją dėl teisėjams taikomos drausminės procedūros sistemos. Nepateisinamai vėluojama skirti prokurorus, susirūpinimą kelia nesugebėjimas laiku iškelti Europos deleguotųjų prokurorų kandidatūrų. Tebėra problemų procesuose, susijusiuose su ekonominių ir finansinių nusikaltimų bylomis. COVID-19 pandemija parodė, kad reikia sparčiau tobulinti elektroninių ryšių priemones. Galimybė susipažinti su teismo ir prokuratūros dokumentais tapo opiu klausimu, dėl kurio buvo priimta Aukščiausiojo Teismo nutartis ir pakeisti teisės aktai.</w:t>
      </w:r>
    </w:p>
    <w:p>
      <w:pPr>
        <w:pBdr>
          <w:top w:val="single" w:sz="4" w:space="1" w:color="auto"/>
          <w:left w:val="single" w:sz="4" w:space="4" w:color="auto"/>
          <w:bottom w:val="single" w:sz="4" w:space="1" w:color="auto"/>
          <w:right w:val="single" w:sz="4" w:space="4" w:color="auto"/>
        </w:pBdr>
        <w:spacing w:after="160"/>
        <w:rPr>
          <w:rFonts w:eastAsia="Times New Roman" w:cs="Times New Roman"/>
          <w:noProof/>
          <w:szCs w:val="20"/>
        </w:rPr>
      </w:pPr>
      <w:r>
        <w:rPr>
          <w:noProof/>
        </w:rPr>
        <w:t>Teisinė ir institucinė sistema, skirta užkirsti kelią korupcijai ir su ja kovoti, ir toliau tobulinama. Teisės aktų pakeitimais buvo pagerintas Korupcijos prevencijos komisijos nepriklausomumas, veiklos organizavimas ir veikimas, nors jos žmogiškieji ištekliai tebėra maži. Tais pačiais pakeitimais taip pat buvo sustiprinta teisinė lobizmo, pranešėjų apsaugos ir turto deklaravimo sistema. Nepaisant to, tebekyla susirūpinimas dėl veiksmingo kovos su korupcija taisyklių, kuriomis, pvz., reglamentuojami interesų konfliktai ir pranešėjų padėtis, vykdymo užtikrinimo. Be to, ankstesnė strategija iš esmės įgyvendinta, tačiau tam tikri veiksmai tebėra neatlikti ir nėra patvirtinta naujo plano. Nors prokurorų padaugėjo, tebėra problemų, visų pirma susijusių su pajėgumu efektyviai atlikti tyrimus ir mažu apkaltinamųjų nuosprendžių korupcijos bylose, ypač aukšto lygio korupcijos atvejais, skaičiumi. Vyriausybė per COVID-19 pandemiją pradėjo keletą rizikos vertinimų, ypač susijusių su korupcijos viešųjų pirkimų srityje rizika.</w:t>
      </w:r>
    </w:p>
    <w:p>
      <w:pPr>
        <w:pBdr>
          <w:top w:val="single" w:sz="4" w:space="1" w:color="auto"/>
          <w:left w:val="single" w:sz="4" w:space="4" w:color="auto"/>
          <w:bottom w:val="single" w:sz="4" w:space="1" w:color="auto"/>
          <w:right w:val="single" w:sz="4" w:space="4" w:color="auto"/>
        </w:pBdr>
        <w:spacing w:after="160"/>
        <w:rPr>
          <w:noProof/>
        </w:rPr>
      </w:pPr>
      <w:r>
        <w:rPr>
          <w:noProof/>
        </w:rPr>
        <w:t xml:space="preserve">Žiniasklaidos laisvės ir pliuralizmo padėtis prastėjo. Žiniasklaidos reguliavimo institucijos nepriklausomumas užtikrintas teisės aktais, tačiau tebėra problemų, susijusių su ištekliais, skirtais jos plataus spektro užduotims atlikti, ir su įsipareigojimu toliau stiprinti jos nepriklausomumą. Žiniasklaidos ir audiovizualinių paslaugų įstatymų peržiūra dar neatlikta. Šie projektai tebekelia tam tikrą susirūpinimą, tačiau tam tikrais 2020 m. pasiūlytais žiniasklaidos įstatymo pakeitimais būtų galima pagerinti žiniasklaidos priemonių nuosavybės skaidrumą. Valstybinės reklamos paskirstymas nereglamentuojamas ir dažnai neskaidrus, ypač vietos žiniasklaidos atveju. Visuomenei ir žurnalistams gauti galimybę susipažinti su vieša informacija ir toliau užtrunka gana ilgai. Vis didesnį susirūpinimą kelia priekabiavimas prie žurnalistų ir grasinimai jiems internetu; pranešta apie keletą žurnalistams pareikštų bauginantį poveikį turinčių ieškinių. Nacionaliniai ir tarptautiniai suinteresuotieji subjektai išreiškė susirūpinimą, kai valdžios institucijos atsisakė 2021 m. finansuoti Slovėnijos spaudos agentūrą. Konkrečių žiniasklaidos sektoriui skirtų priemonių, susijusių su COVID-19 pandemija, nesiimta, tačiau žurnalistai galėjo naudotis bendrosiomis paramos priemonėmis. </w:t>
      </w:r>
    </w:p>
    <w:p>
      <w:pPr>
        <w:pBdr>
          <w:top w:val="single" w:sz="4" w:space="1" w:color="auto"/>
          <w:left w:val="single" w:sz="4" w:space="4" w:color="auto"/>
          <w:bottom w:val="single" w:sz="4" w:space="1" w:color="auto"/>
          <w:right w:val="single" w:sz="4" w:space="4" w:color="auto"/>
        </w:pBdr>
        <w:rPr>
          <w:rFonts w:eastAsia="Times New Roman" w:cs="Times New Roman"/>
          <w:noProof/>
          <w:szCs w:val="20"/>
        </w:rPr>
      </w:pPr>
      <w:r>
        <w:rPr>
          <w:noProof/>
        </w:rPr>
        <w:t xml:space="preserve">Per COVID-19 pandemiją Slovėnija nepaprastosios padėties neskelbė. Ribojamųjų priemonių priėmimo pagrindas buvo Užkrečiamųjų ligų įstatymas; jis nuo pandemijos pradžios buvo iš dalies keičiamas keturis kartus. Parlamentas, greitai iš dalies pakeitęs savo Darbo tvarkos taisykles, kad būtų galima vykdyti nuotolinius posėdžius, veikė toliau. Tam tikrų nepriklausomų įstaigų finansinis nepriklausomumas apsaugotas Konstitucinio Teismo sprendimu. Konstitucinis Teismas pagerino savo veiklos veiksmingumą, kurio klausimas buvo iškeltas 2020 m. teisinės valstybės principo taikymo ataskaitoje, ir atliko aktyvų vaidmenį peržiūrint COVID-19 priemones. Siekdamas aptarti teisinės valstybės principo taikymo padėtį, Respublikos Prezidentas pirmą kartą istorijoje sušaukė visų trijų valdžios </w:t>
      </w:r>
      <w:r>
        <w:rPr>
          <w:noProof/>
        </w:rPr>
        <w:lastRenderedPageBreak/>
        <w:t>grandžių atstovų susitikimą. Pilietinei visuomenei teko spręsti keletą problemų, trukdančių sudaryti reikiamą aplinką nevyriausybinėms organizacijoms.</w:t>
      </w:r>
    </w:p>
    <w:p>
      <w:pPr>
        <w:pStyle w:val="Heading1"/>
        <w:rPr>
          <w:noProof/>
        </w:rPr>
      </w:pPr>
      <w:r>
        <w:rPr>
          <w:noProof/>
        </w:rPr>
        <w:t xml:space="preserve">Teisingumo sistema </w:t>
      </w:r>
    </w:p>
    <w:p>
      <w:pPr>
        <w:rPr>
          <w:rFonts w:eastAsia="Times New Roman" w:cs="Times New Roman"/>
          <w:noProof/>
          <w:szCs w:val="20"/>
        </w:rPr>
      </w:pPr>
      <w:r>
        <w:rPr>
          <w:noProof/>
        </w:rPr>
        <w:t>Slovėnijos teisingumo sistema yra trijų lygmenų – vietos ir apylinkės teismai (jie nagrinėja civilines, komercines ir baudžiamąsias bylas), darbo bylų teismai ir Administracinis teismas, nagrinėjantys bylas pirmąja instancija</w:t>
      </w:r>
      <w:r>
        <w:rPr>
          <w:rStyle w:val="FootnoteReference"/>
          <w:rFonts w:eastAsia="Calibri"/>
          <w:noProof/>
          <w:szCs w:val="24"/>
        </w:rPr>
        <w:footnoteReference w:id="2"/>
      </w:r>
      <w:r>
        <w:rPr>
          <w:noProof/>
        </w:rPr>
        <w:t xml:space="preserve">, penki aukštesnieji teismai, nagrinėjantys bylas antrąja instancija (jie nagrinėja apeliacine tvarka apskųstus pirmosios instancijos teismų sprendimus), ir Aukščiausiasis Teismas, nagrinėjantis bylas trečiąja instancija (jis nagrinėja kasacinius skundus, kuriais apskundžiamos tam tikros aukštesniųjų teismų ir Administracinio teismo nutartys). Konstitucijoje numatyta Teismų taryba, </w:t>
      </w:r>
      <w:r>
        <w:rPr>
          <w:i/>
          <w:noProof/>
          <w:szCs w:val="24"/>
        </w:rPr>
        <w:t>sui generis</w:t>
      </w:r>
      <w:r>
        <w:rPr>
          <w:noProof/>
        </w:rPr>
        <w:t xml:space="preserve"> įstaiga, nepriklausanti nė vienai valdžios grandžiai – jai pavesta saugoti teismų nepriklausomumą, skatinti ir užtikrinti jų atskaitomybę, veiklos veiksmingumą ir darbo kokybę</w:t>
      </w:r>
      <w:r>
        <w:rPr>
          <w:rFonts w:eastAsia="Calibri"/>
          <w:noProof/>
          <w:szCs w:val="24"/>
          <w:vertAlign w:val="superscript"/>
        </w:rPr>
        <w:footnoteReference w:id="3"/>
      </w:r>
      <w:r>
        <w:rPr>
          <w:noProof/>
        </w:rPr>
        <w:t xml:space="preserve">. Teismų taryba parenka teisėjų kandidatūras ir jas teikia Nacionalinei Asamblėjai (slovėn. </w:t>
      </w:r>
      <w:r>
        <w:rPr>
          <w:i/>
          <w:noProof/>
          <w:szCs w:val="24"/>
        </w:rPr>
        <w:t>Državni zbor</w:t>
      </w:r>
      <w:r>
        <w:rPr>
          <w:noProof/>
        </w:rPr>
        <w:t> – pirmiesiems Parlamento rūmams) tvirtinti</w:t>
      </w:r>
      <w:r>
        <w:rPr>
          <w:rFonts w:eastAsia="Calibri"/>
          <w:noProof/>
          <w:szCs w:val="24"/>
          <w:vertAlign w:val="superscript"/>
        </w:rPr>
        <w:footnoteReference w:id="4"/>
      </w:r>
      <w:r>
        <w:rPr>
          <w:noProof/>
        </w:rPr>
        <w:t>. Jeigu Teismų taryba pasirenka kandidatą, kuris jau buvo išrinktas į teisėjo pareigas, kandidatą į naujas, aukštesnes teisėjo pareigas skiria pati taryba. Nors Valstybinė prokuratūra yra vykdomosios valdžios dalis, ji yra nepriklausoma institucija, o pagrindiniai įgaliojimai, susiję su valstybinių prokurorų karjera ir prokuratūros veikimu, tenka Valstybinių prokuratūrų tarybai ir generaliniam prokurorui. Valstybinių prokuratūrų taryba yra nepriklausoma, savarankiška valstybinė įstaiga, atliekanti Valstybinės prokuratūros savivaldos funkcijas ir padedanti užtikrinti baudžiamojo persekiojimo vienodumą ir apsaugoti valstybinių prokurorų nepriklausomumą ir savarankiškumą. Slovėnijos advokatūra yra savarankiška, nepriklausoma įstaiga. Ji yra atsakinga už profesinės advokatų veiklos priežiūrą ir už sprendimų dėl drausminių priemonių taikymo savo nariams priėmimą</w:t>
      </w:r>
      <w:r>
        <w:rPr>
          <w:rStyle w:val="FootnoteReference"/>
          <w:rFonts w:eastAsia="Times New Roman" w:cs="Times New Roman"/>
          <w:noProof/>
          <w:szCs w:val="24"/>
          <w:lang w:val="en-IE" w:eastAsia="fr-FR"/>
        </w:rPr>
        <w:footnoteReference w:id="5"/>
      </w:r>
      <w:r>
        <w:rPr>
          <w:noProof/>
        </w:rPr>
        <w:t>. Slovėnija dalyvauja Europos prokuratūros veikloje</w:t>
      </w:r>
      <w:r>
        <w:rPr>
          <w:rStyle w:val="FootnoteReference"/>
          <w:rFonts w:eastAsia="Times New Roman" w:cs="Times New Roman"/>
          <w:noProof/>
          <w:szCs w:val="24"/>
          <w:lang w:val="en-IE" w:eastAsia="fr-FR"/>
        </w:rPr>
        <w:footnoteReference w:id="6"/>
      </w:r>
      <w:r>
        <w:rPr>
          <w:noProof/>
        </w:rPr>
        <w:t>.</w:t>
      </w:r>
    </w:p>
    <w:p>
      <w:pPr>
        <w:pStyle w:val="Heading2"/>
        <w:rPr>
          <w:noProof/>
        </w:rPr>
      </w:pPr>
      <w:r>
        <w:rPr>
          <w:noProof/>
        </w:rPr>
        <w:t xml:space="preserve">Nepriklausomumas </w:t>
      </w:r>
    </w:p>
    <w:p>
      <w:pPr>
        <w:rPr>
          <w:rFonts w:eastAsia="Times New Roman" w:cs="Times New Roman"/>
          <w:b/>
          <w:noProof/>
          <w:szCs w:val="20"/>
        </w:rPr>
      </w:pPr>
      <w:r>
        <w:rPr>
          <w:b/>
          <w:noProof/>
          <w:szCs w:val="20"/>
        </w:rPr>
        <w:t>Suvokiamo teismų nepriklausomumo lygis nuolat gerėja.</w:t>
      </w:r>
      <w:r>
        <w:rPr>
          <w:b/>
          <w:noProof/>
          <w:szCs w:val="24"/>
        </w:rPr>
        <w:t xml:space="preserve"> </w:t>
      </w:r>
      <w:r>
        <w:rPr>
          <w:noProof/>
        </w:rPr>
        <w:t>Suvokiamo teismų nepriklausomumo lygis dar labiau padidėjo ir tarp plačiosios visuomenės yra vidutinis (47 proc. teismų nepriklausomumą vertina neblogai ir labai gerai), o 2021 m. šis suvokimo lygis iki vidutinio (43 proc.) taip pat padidėjo tarp įmonių ir tai rodo teigiamą tendenciją trečius metus iš eilės, po to, kai 2016 ir 2017 m. aiškios tendencijos nebuvo</w:t>
      </w:r>
      <w:r>
        <w:rPr>
          <w:rFonts w:eastAsia="Calibri" w:cs="Times New Roman"/>
          <w:noProof/>
          <w:szCs w:val="24"/>
          <w:vertAlign w:val="superscript"/>
        </w:rPr>
        <w:footnoteReference w:id="7"/>
      </w:r>
      <w:r>
        <w:rPr>
          <w:noProof/>
        </w:rPr>
        <w:t>.</w:t>
      </w:r>
    </w:p>
    <w:p>
      <w:pPr>
        <w:rPr>
          <w:rFonts w:eastAsia="Times New Roman" w:cs="Times New Roman"/>
          <w:noProof/>
          <w:szCs w:val="20"/>
        </w:rPr>
      </w:pPr>
      <w:r>
        <w:rPr>
          <w:b/>
          <w:noProof/>
          <w:szCs w:val="20"/>
        </w:rPr>
        <w:t xml:space="preserve">Nepateisinamai vėluojama skirti prokurorus, susirūpinimą kelia nesugebėjimas laiku iškelti Europos deleguotųjų prokurorų kandidatūrų. </w:t>
      </w:r>
      <w:r>
        <w:rPr>
          <w:noProof/>
        </w:rPr>
        <w:t>Teisingumo ministro siūlymu vyriausybė privalo paskirti naują valstybės prokurorą, kai atsiranda laisva pareigybė ir kandidatą parenka nepriklausoma Valstybinių prokuratūrų taryba</w:t>
      </w:r>
      <w:r>
        <w:rPr>
          <w:rStyle w:val="FootnoteReference"/>
          <w:rFonts w:eastAsia="Times New Roman" w:cs="Times New Roman"/>
          <w:noProof/>
          <w:szCs w:val="20"/>
          <w:lang w:val="en-IE" w:eastAsia="fr-FR"/>
        </w:rPr>
        <w:footnoteReference w:id="8"/>
      </w:r>
      <w:r>
        <w:rPr>
          <w:noProof/>
        </w:rPr>
        <w:t>. Vyriausybė pagal įstatymą privalo dėl visų tinkamų kandidatų, kurie kreipėsi dėl paskyrimo ar paaukštinimo, priimti nutarimą juos skirti arba jų neskirti</w:t>
      </w:r>
      <w:r>
        <w:rPr>
          <w:rStyle w:val="FootnoteReference"/>
          <w:rFonts w:eastAsia="Times New Roman" w:cs="Times New Roman"/>
          <w:noProof/>
          <w:szCs w:val="20"/>
          <w:lang w:val="en-IE" w:eastAsia="fr-FR"/>
        </w:rPr>
        <w:footnoteReference w:id="9"/>
      </w:r>
      <w:r>
        <w:rPr>
          <w:noProof/>
        </w:rPr>
        <w:t>. Nepaskirti kandidatai turi teisę prašyti Administracinio teismo atlikti peržiūrą; jis turi priimti sprendimą per 30 dienų</w:t>
      </w:r>
      <w:r>
        <w:rPr>
          <w:rStyle w:val="FootnoteReference"/>
          <w:rFonts w:eastAsia="Times New Roman" w:cs="Times New Roman"/>
          <w:noProof/>
          <w:szCs w:val="20"/>
          <w:lang w:val="en-IE" w:eastAsia="fr-FR"/>
        </w:rPr>
        <w:footnoteReference w:id="10"/>
      </w:r>
      <w:r>
        <w:rPr>
          <w:noProof/>
        </w:rPr>
        <w:t>. Nuo 2020 m. liepos mėn. pabaigos Valstybinių prokuratūrų taryba teisingumo ministrui pateikė 29 kandidatų pavardes, o tada ministras jas pasiūlė Vyriausybei pirmą kartą paskirti arba paaukštinti. Iki 2021 m. birželio mėn. tik 14 iš minėtų asmenų buvo paskirti arba paaukštinti, o aiškių priežasčių, kodėl nebuvo priimti sprendimai dėl likusių 15 kandidatų, nėra</w:t>
      </w:r>
      <w:r>
        <w:rPr>
          <w:rStyle w:val="FootnoteReference"/>
          <w:rFonts w:eastAsia="Times New Roman" w:cs="Times New Roman"/>
          <w:noProof/>
          <w:szCs w:val="20"/>
          <w:lang w:val="en-IE" w:eastAsia="fr-FR"/>
        </w:rPr>
        <w:footnoteReference w:id="11"/>
      </w:r>
      <w:r>
        <w:rPr>
          <w:noProof/>
        </w:rPr>
        <w:t>. Iškelti kandidatūras į Europos prokuratūros Europos deleguotuosius prokurorus taip pat vėluojama ir tai kelia susirūpinimą, kad nebuvo tinkamai atlikta nacionalinė procedūra</w:t>
      </w:r>
      <w:r>
        <w:rPr>
          <w:rStyle w:val="FootnoteReference"/>
          <w:rFonts w:eastAsia="Times New Roman" w:cs="Times New Roman"/>
          <w:noProof/>
          <w:szCs w:val="20"/>
          <w:lang w:val="en-IE" w:eastAsia="fr-FR"/>
        </w:rPr>
        <w:footnoteReference w:id="12"/>
      </w:r>
      <w:r>
        <w:rPr>
          <w:noProof/>
        </w:rPr>
        <w:t>. 2020 m. gruodžio mėn. Valstybinių prokuratūrų taryba pateikė teisingumo ministrui dviejų kandidatų pavardes, o Vyriausybė neįtraukė šio punkto į savo posėdžių darbotvarkę, nors turėjo teisinę prievolę tik susipažinti su pavardėmis ir perduoti jas Europos prokuratūrai</w:t>
      </w:r>
      <w:r>
        <w:rPr>
          <w:rStyle w:val="FootnoteReference"/>
          <w:rFonts w:eastAsia="Times New Roman" w:cs="Times New Roman"/>
          <w:noProof/>
          <w:szCs w:val="20"/>
          <w:lang w:val="en-IE" w:eastAsia="fr-FR"/>
        </w:rPr>
        <w:footnoteReference w:id="13"/>
      </w:r>
      <w:r>
        <w:rPr>
          <w:noProof/>
        </w:rPr>
        <w:t>. 2021 m. gegužės 27 d. Vyriausybė paskelbė, kad atrankos procedūros atlikti nepavyko, ir nurodė teisingumo ministrui paskelbti apie naują laisvą vietą; pranešimas buvo paskelbtas liepos 9 d.</w:t>
      </w:r>
      <w:r>
        <w:rPr>
          <w:rStyle w:val="FootnoteReference"/>
          <w:rFonts w:eastAsia="Times New Roman" w:cs="Times New Roman"/>
          <w:noProof/>
          <w:szCs w:val="20"/>
          <w:lang w:val="en-IE" w:eastAsia="fr-FR"/>
        </w:rPr>
        <w:footnoteReference w:id="14"/>
      </w:r>
      <w:r>
        <w:rPr>
          <w:noProof/>
        </w:rPr>
        <w:t xml:space="preserve"> Remiantis Europos Tarybos rekomendacijomis, valstybiniai prokurorai turi būti įdarbinami vadovaujantis sąžiningomis ir nešališkomis procedūromis, kuriose įtvirtintos apsaugos priemonės, kad nebūtų taikomi jokie konkrečių grupių interesus atitinkantys metodai, o valstybinių prokurorų paaukštinimui būtų taikomi žinomi objektyvūs kriterijai, tokie kaip kompetencija ir patirtis</w:t>
      </w:r>
      <w:r>
        <w:rPr>
          <w:rFonts w:eastAsia="Times New Roman" w:cs="Times New Roman"/>
          <w:noProof/>
          <w:szCs w:val="20"/>
          <w:vertAlign w:val="superscript"/>
          <w:lang w:val="en-IE" w:eastAsia="fr-FR"/>
        </w:rPr>
        <w:footnoteReference w:id="15"/>
      </w:r>
      <w:r>
        <w:rPr>
          <w:noProof/>
        </w:rPr>
        <w:t xml:space="preserve">. </w:t>
      </w:r>
    </w:p>
    <w:p>
      <w:pPr>
        <w:rPr>
          <w:rFonts w:eastAsia="Times New Roman" w:cs="Times New Roman"/>
          <w:noProof/>
          <w:szCs w:val="20"/>
        </w:rPr>
      </w:pPr>
      <w:r>
        <w:rPr>
          <w:b/>
          <w:noProof/>
          <w:szCs w:val="20"/>
        </w:rPr>
        <w:t xml:space="preserve">Konstitucinis Teismas nekonstitucinėmis pripažino parlamentinių tyrimų reglamentavimo teisės normas, nes jose trūksta apsaugos priemonių dėl teismų nepriklausomumo. </w:t>
      </w:r>
      <w:r>
        <w:rPr>
          <w:noProof/>
        </w:rPr>
        <w:t>Kaip teigiama 2020 m. teisinės valstybės principo taikymo ataskaitoje, 2019 m. pradžioje parlamentinis tyrimo komitetas pradėjo tyrimą, siekdamas išsiaiškinti prokurorų ir teisėjų veiksmus konkrečiose baudžiamosiose bylose.</w:t>
      </w:r>
      <w:r>
        <w:rPr>
          <w:b/>
          <w:noProof/>
        </w:rPr>
        <w:t xml:space="preserve"> </w:t>
      </w:r>
      <w:r>
        <w:rPr>
          <w:noProof/>
        </w:rPr>
        <w:t>Tačiau vėliau Konstitucinis Teismas sustabdė Parlamentinių tyrimų įstatymo, kuriuo buvo grindžiamas tyrimas, taikymą, nes kilo rizika teisėjų ir prokurorų nepriklausomumui</w:t>
      </w:r>
      <w:r>
        <w:rPr>
          <w:rFonts w:eastAsia="Calibri" w:cs="Times New Roman"/>
          <w:noProof/>
          <w:vertAlign w:val="superscript"/>
        </w:rPr>
        <w:footnoteReference w:id="16"/>
      </w:r>
      <w:r>
        <w:rPr>
          <w:noProof/>
        </w:rPr>
        <w:t>. 2021 m. sausio mėn. Konstitucinis Teismas nustatė, kad Parlamentinių tyrimų įstatymas ir Parlamentinio tyrimo darbo tvarkos taisyklės neatitinka Konstitucijos, nes juose nėra procesinių apsaugos priemonių teisėjų nepriklausomumui, kai pradedamas parlamentinis tyrimas, užtikrinti</w:t>
      </w:r>
      <w:r>
        <w:rPr>
          <w:rStyle w:val="FootnoteReference"/>
          <w:rFonts w:eastAsia="Times New Roman" w:cs="Times New Roman"/>
          <w:noProof/>
          <w:szCs w:val="20"/>
          <w:lang w:val="en-IE" w:eastAsia="fr-FR"/>
        </w:rPr>
        <w:footnoteReference w:id="17"/>
      </w:r>
      <w:r>
        <w:rPr>
          <w:noProof/>
        </w:rPr>
        <w:t xml:space="preserve">. Konstitucinis Teismas nurodė, kad teisminės institucijos nėra visiškai atleistos nuo parlamentinių tyrimų būdu vykdomos parlamentinės kontrolės, nes parlamentas gali tirti, pavyzdžiui, teisminių institucijų veiklos tendencijas arba istorinius įvykius, dėl kurių taip pat vykdomi teismo procesai. Tačiau Konstitucinis Teismas pabrėžė, kad parlamentas negali kliudyti teismo procesui ar kokiu nors būdu daryti įtakos teisėjams konkrečioje byloje, taip pat ir </w:t>
      </w:r>
      <w:r>
        <w:rPr>
          <w:i/>
          <w:noProof/>
          <w:szCs w:val="20"/>
        </w:rPr>
        <w:t>ex post</w:t>
      </w:r>
      <w:r>
        <w:rPr>
          <w:noProof/>
        </w:rPr>
        <w:t xml:space="preserve"> diskusijomis apie konkrečių teismo sprendimų teisėtumą ar tinkamumą. Be to, atliekamame parlamentiniame tyrime teisėjai negali būti šaukiami kaip liudytojai ar įtariamieji dėl klausimų, susijusių su nebaigta arba baigta nagrinėti teismo byla, nes taip būtų pažeidžiamas teismų nepriklausomumas</w:t>
      </w:r>
      <w:r>
        <w:rPr>
          <w:rStyle w:val="FootnoteReference"/>
          <w:rFonts w:eastAsia="Times New Roman" w:cs="Times New Roman"/>
          <w:noProof/>
          <w:szCs w:val="20"/>
          <w:lang w:val="en-IE" w:eastAsia="fr-FR"/>
        </w:rPr>
        <w:footnoteReference w:id="18"/>
      </w:r>
      <w:r>
        <w:rPr>
          <w:noProof/>
        </w:rPr>
        <w:t xml:space="preserve">. Konstitucinis Teismas skyrė Parlamentui metus, per kuriuos Parlamentas iš Parlamentinių tyrimų įstatymo turi pašalinti Konstitucijos neatitinkančius elementus. Kol nustatyta neatitiktis Konstitucijai bus panaikinta, Teismų taryba gali prašyti Konstitucinio Teismo patikrinti, ar vykdant naują parlamentinį tyrimą paisoma teismų nepriklausomumo. Teisės akto, kuriuo būtų panaikinta nustatyta neatitiktis Konstitucijai, pasiūlymas dar nepateiktas. </w:t>
      </w:r>
    </w:p>
    <w:p>
      <w:pPr>
        <w:autoSpaceDE w:val="0"/>
        <w:autoSpaceDN w:val="0"/>
        <w:rPr>
          <w:noProof/>
          <w:sz w:val="22"/>
        </w:rPr>
      </w:pPr>
      <w:r>
        <w:rPr>
          <w:b/>
          <w:noProof/>
        </w:rPr>
        <w:t xml:space="preserve">Teisminės institucijos inicijavo diskusiją dėl teisėjams taikomos drausminės procedūros sistemos. </w:t>
      </w:r>
      <w:r>
        <w:rPr>
          <w:noProof/>
        </w:rPr>
        <w:t>2021 m. kovo mėn. Teismų taryba parengė teisėjams taikomos drausminės procedūros teisinės sistemos bei jos įgyvendinimo analizę ir pasiūlė pakeitimų</w:t>
      </w:r>
      <w:r>
        <w:rPr>
          <w:rStyle w:val="FootnoteReference"/>
          <w:rFonts w:eastAsia="Times New Roman" w:cs="Times New Roman"/>
          <w:noProof/>
          <w:lang w:val="en-IE" w:eastAsia="fr-FR"/>
        </w:rPr>
        <w:footnoteReference w:id="19"/>
      </w:r>
      <w:r>
        <w:rPr>
          <w:noProof/>
        </w:rPr>
        <w:t>. Nuo 2018 m. drausminė procedūra priklauso Drausmės bylų teismo kompetencijai</w:t>
      </w:r>
      <w:r>
        <w:rPr>
          <w:rStyle w:val="FootnoteReference"/>
          <w:rFonts w:eastAsia="Times New Roman" w:cs="Times New Roman"/>
          <w:noProof/>
          <w:lang w:val="en-IE" w:eastAsia="fr-FR"/>
        </w:rPr>
        <w:footnoteReference w:id="20"/>
      </w:r>
      <w:r>
        <w:rPr>
          <w:noProof/>
        </w:rPr>
        <w:t>. Nuo 2018 m. iki 2021 m. kovo mėn. drausminė procedūra vidutiniškai truko 194 dienas. Teismų taryba nustatė tam tikrus aspektus, kuriuos reikia patobulinti, pvz., vietoje baudžiamojo proceso taikymo sukurti specialią drausminę procedūrą, atnaujinti drausminių nusižengimų sąrašą, persvarstyti Teismų tarybos teisę pradėti drausminę procedūrą</w:t>
      </w:r>
      <w:r>
        <w:rPr>
          <w:rStyle w:val="FootnoteReference"/>
          <w:rFonts w:eastAsia="Times New Roman" w:cs="Times New Roman"/>
          <w:noProof/>
          <w:lang w:val="en-IE" w:eastAsia="fr-FR"/>
        </w:rPr>
        <w:footnoteReference w:id="21"/>
      </w:r>
      <w:r>
        <w:rPr>
          <w:noProof/>
        </w:rPr>
        <w:t>, persvarstyti drausmines sankcijas, kad jos būtų proporcingesnės, aiškiau išdėstyti teisėjo nušalinimo nuo pareigų trukmės ribas</w:t>
      </w:r>
      <w:r>
        <w:rPr>
          <w:rStyle w:val="FootnoteReference"/>
          <w:rFonts w:eastAsia="Times New Roman" w:cs="Times New Roman"/>
          <w:noProof/>
          <w:lang w:val="en-IE" w:eastAsia="fr-FR"/>
        </w:rPr>
        <w:footnoteReference w:id="22"/>
      </w:r>
      <w:r>
        <w:rPr>
          <w:noProof/>
        </w:rPr>
        <w:t>. Aukščiausiasis Teismas pritaria Teismų tarybos iniciatyvai iš dalies pakeisti teisės aktus, kad būtų galima padidinti drausminės procedūros veiksmingumą</w:t>
      </w:r>
      <w:r>
        <w:rPr>
          <w:rStyle w:val="FootnoteReference"/>
          <w:rFonts w:eastAsia="Times New Roman" w:cs="Times New Roman"/>
          <w:noProof/>
          <w:lang w:val="en-IE" w:eastAsia="fr-FR"/>
        </w:rPr>
        <w:footnoteReference w:id="23"/>
      </w:r>
      <w:r>
        <w:rPr>
          <w:noProof/>
        </w:rPr>
        <w:t>. Svarbu, kad bet kokia galima drausminės procedūros reforma atitiktų ES teisę ir ją atliekant būtų atsižvelgta į Europos Tarybos rekomendacijas</w:t>
      </w:r>
      <w:r>
        <w:rPr>
          <w:rStyle w:val="FootnoteReference"/>
          <w:rFonts w:eastAsia="Times New Roman" w:cs="Times New Roman"/>
          <w:noProof/>
          <w:lang w:val="en-IE" w:eastAsia="fr-FR"/>
        </w:rPr>
        <w:footnoteReference w:id="24"/>
      </w:r>
      <w:r>
        <w:rPr>
          <w:noProof/>
        </w:rPr>
        <w:t>.</w:t>
      </w:r>
    </w:p>
    <w:p>
      <w:pPr>
        <w:pStyle w:val="Heading2"/>
        <w:rPr>
          <w:noProof/>
        </w:rPr>
      </w:pPr>
      <w:r>
        <w:rPr>
          <w:noProof/>
        </w:rPr>
        <w:t>Kokybė</w:t>
      </w:r>
    </w:p>
    <w:p>
      <w:pPr>
        <w:rPr>
          <w:rFonts w:eastAsia="Times New Roman" w:cs="Times New Roman"/>
          <w:noProof/>
          <w:szCs w:val="20"/>
        </w:rPr>
      </w:pPr>
      <w:r>
        <w:rPr>
          <w:b/>
          <w:noProof/>
          <w:szCs w:val="20"/>
        </w:rPr>
        <w:t>COVID-19 pandemija parodė, kad reikia sparčiau atlikti reikiamus teisingumo sistemos elektroninių ryšių priemonių patobulinimus..</w:t>
      </w:r>
      <w:r>
        <w:rPr>
          <w:noProof/>
        </w:rPr>
        <w:t xml:space="preserve"> 2020 m. teisinės valstybės principo taikymo ataskaitoje nurodyta, kad, nors bylų valdymo informacinės ir ryšių technologijos yra pažangios, elektroniniai ryšiai tarp teismų ir šalių tebėra mažiau išvystyti</w:t>
      </w:r>
      <w:r>
        <w:rPr>
          <w:rStyle w:val="FootnoteReference"/>
          <w:rFonts w:eastAsia="Calibri"/>
          <w:noProof/>
        </w:rPr>
        <w:footnoteReference w:id="25"/>
      </w:r>
      <w:r>
        <w:rPr>
          <w:noProof/>
        </w:rPr>
        <w:t>. Per pastaruosius keletą metų buvo padaryta tam tikra pažanga plečiant elektroninius ryšius. Keliose srityse dokumentai teismui turi būti teikiami tik elektronine forma, pavyzdžiui, taip juos turi teikti notarai ir bankroto administratoriai (žemės registro, teismo registro ir bankroto bylose)</w:t>
      </w:r>
      <w:r>
        <w:rPr>
          <w:rStyle w:val="FootnoteReference"/>
          <w:rFonts w:eastAsia="Calibri"/>
          <w:noProof/>
        </w:rPr>
        <w:footnoteReference w:id="26"/>
      </w:r>
      <w:r>
        <w:rPr>
          <w:noProof/>
        </w:rPr>
        <w:t>, taip pat skolininkai (neginčijamo skolos išieškojimo bylose)</w:t>
      </w:r>
      <w:r>
        <w:rPr>
          <w:rStyle w:val="FootnoteReference"/>
          <w:rFonts w:eastAsia="Calibri"/>
          <w:noProof/>
        </w:rPr>
        <w:footnoteReference w:id="27"/>
      </w:r>
      <w:r>
        <w:rPr>
          <w:noProof/>
        </w:rPr>
        <w:t>. Nuo 2021 m. vasario mėn. socialinio darbo centrai turi teismui elektroniniu būdu teikti pareiškimus šeimos teisės bylose, be to, buvo įdiegta elektroninių aukcionų sistema, nepriklausomai nuo pardavimo būdo taikoma visam nekilnojamajam turtui, kilnojamajam turtui ir teisėms, parduodamiems vykdymo bylose, bankroto bylose, privalomo likvidavimo bylose, ne ginčo tvarka nagrinėjamose bylose, baudžiamosiose bylose dėl nusikaltimų ir baudžiamųjų nusižengimų</w:t>
      </w:r>
      <w:r>
        <w:rPr>
          <w:rStyle w:val="FootnoteReference"/>
          <w:rFonts w:eastAsia="Calibri"/>
          <w:noProof/>
        </w:rPr>
        <w:footnoteReference w:id="28"/>
      </w:r>
      <w:r>
        <w:rPr>
          <w:noProof/>
        </w:rPr>
        <w:t>. Baudžiamosiose, administracinėse, civilinėse ir komercinėse ginčo tvarka nagrinėjamose bylose stengiamasi iki 2023 m. pabaigos atnaujinti bylų valdymo sistemą, kad būtų galima naudotis elektroniniais ryšiais</w:t>
      </w:r>
      <w:r>
        <w:rPr>
          <w:rStyle w:val="FootnoteReference"/>
          <w:rFonts w:eastAsia="Calibri"/>
          <w:noProof/>
        </w:rPr>
        <w:footnoteReference w:id="29"/>
      </w:r>
      <w:r>
        <w:rPr>
          <w:noProof/>
        </w:rPr>
        <w:t>. Skaitmeniniai sprendiniai, skirti teismo procesui elektroniniu būdu vykdyti ir sekti, tebėra riboti, ypač baudžiamosiose bylose</w:t>
      </w:r>
      <w:r>
        <w:rPr>
          <w:rStyle w:val="FootnoteReference"/>
          <w:rFonts w:eastAsia="Calibri"/>
          <w:noProof/>
        </w:rPr>
        <w:footnoteReference w:id="30"/>
      </w:r>
      <w:r>
        <w:rPr>
          <w:noProof/>
        </w:rPr>
        <w:t>. Saugiam nuotoliniam darbui skirtomis skaitmeninėmis technologijomis labiausiai nesinaudojama Valstybinėje prokuratūroje</w:t>
      </w:r>
      <w:r>
        <w:rPr>
          <w:rStyle w:val="FootnoteReference"/>
          <w:rFonts w:eastAsia="Calibri"/>
          <w:noProof/>
        </w:rPr>
        <w:footnoteReference w:id="31"/>
      </w:r>
      <w:r>
        <w:rPr>
          <w:noProof/>
        </w:rPr>
        <w:t>, o nepakankama policijos skaitmenizacija prisideda prie vilkinimo, ypač sudėtingose bylose, kuriose pranešimai apie nusikaltimus gaunami tik popierine forma. Atsižvelgdami į tai, kad daugiau kaip keturių mėnesių laikotarpiu nuo 2020 m. kovo mėn. teismai daugmaž sprendė tik skubias bylas</w:t>
      </w:r>
      <w:r>
        <w:rPr>
          <w:rStyle w:val="FootnoteReference"/>
          <w:rFonts w:eastAsia="Calibri"/>
          <w:noProof/>
        </w:rPr>
        <w:footnoteReference w:id="32"/>
      </w:r>
      <w:r>
        <w:rPr>
          <w:noProof/>
        </w:rPr>
        <w:t>, teismai ir Teisingumo ministerija intensyviai bendradarbiavo, kad būtų pristatyta papildoma vaizdo konferencijų įranga, ir jiems pavyko 2020 m. patrigubinti tuometinius pajėgumus, o 2021 m. planuojama papildomų pirkimų</w:t>
      </w:r>
      <w:r>
        <w:rPr>
          <w:rStyle w:val="FootnoteReference"/>
          <w:rFonts w:eastAsia="Calibri"/>
          <w:noProof/>
        </w:rPr>
        <w:footnoteReference w:id="33"/>
      </w:r>
      <w:r>
        <w:rPr>
          <w:noProof/>
        </w:rPr>
        <w:t>. Aukščiausiasis Teismas informavo Teisingumo ministeriją apie poreikį iš dalies pakeisti proceso įstatymus, kad būtų aiškiai nurodytos įrodymų patikimumo nustatymo (pvz., liudytojo apklausos) vaizdo konferencijų būdu vykdomuose procesuose sąlygos</w:t>
      </w:r>
      <w:r>
        <w:rPr>
          <w:rStyle w:val="FootnoteReference"/>
          <w:rFonts w:eastAsia="Calibri"/>
          <w:noProof/>
        </w:rPr>
        <w:footnoteReference w:id="34"/>
      </w:r>
      <w:r>
        <w:rPr>
          <w:noProof/>
        </w:rPr>
        <w:t>.</w:t>
      </w:r>
    </w:p>
    <w:p>
      <w:pPr>
        <w:pStyle w:val="NoSpacing"/>
        <w:spacing w:after="240"/>
        <w:jc w:val="both"/>
        <w:rPr>
          <w:rFonts w:ascii="Times New Roman" w:eastAsia="Calibri" w:hAnsi="Times New Roman" w:cs="Times New Roman"/>
          <w:iCs/>
          <w:noProof/>
          <w:sz w:val="24"/>
        </w:rPr>
      </w:pPr>
      <w:r>
        <w:rPr>
          <w:rFonts w:ascii="Times New Roman" w:hAnsi="Times New Roman"/>
          <w:b/>
          <w:noProof/>
          <w:sz w:val="24"/>
          <w:szCs w:val="24"/>
        </w:rPr>
        <w:t xml:space="preserve">Dėl galimybės susipažinti su teismo ir prokuratūros dokumentais buvo priimta Aukščiausiojo Teismo nutartis ir pakeisti teisės aktai. </w:t>
      </w:r>
      <w:r>
        <w:rPr>
          <w:rFonts w:ascii="Times New Roman" w:hAnsi="Times New Roman"/>
          <w:noProof/>
          <w:sz w:val="24"/>
          <w:szCs w:val="24"/>
        </w:rPr>
        <w:t>2020 m. teisinės valstybės principo taikymo ataskaitoje pažymėta, kad pirmosios instancijos teismų sprendimų viešas skelbimas tebėra ribotas, ypač civilinėse ir komercinėse bylose, o paskelbtų sprendimų nuskaitymo kompiuteriu galimybės yra gana prastos</w:t>
      </w:r>
      <w:r>
        <w:rPr>
          <w:rFonts w:ascii="Times New Roman" w:eastAsia="Calibri" w:hAnsi="Times New Roman" w:cs="Times New Roman"/>
          <w:noProof/>
          <w:sz w:val="24"/>
          <w:szCs w:val="24"/>
          <w:vertAlign w:val="superscript"/>
          <w:lang w:val="en-GB"/>
        </w:rPr>
        <w:footnoteReference w:id="35"/>
      </w:r>
      <w:r>
        <w:rPr>
          <w:rFonts w:ascii="Times New Roman" w:hAnsi="Times New Roman"/>
          <w:noProof/>
          <w:sz w:val="24"/>
          <w:szCs w:val="24"/>
        </w:rPr>
        <w:t>. 2021 m. ES teisingumo rezultatų suvestinėje matyti, kad šiose dviejose srityse padėtis nepagerėjo</w:t>
      </w:r>
      <w:r>
        <w:rPr>
          <w:rStyle w:val="FootnoteReference"/>
          <w:rFonts w:ascii="Times New Roman" w:eastAsia="Calibri" w:hAnsi="Times New Roman" w:cs="Times New Roman"/>
          <w:noProof/>
          <w:sz w:val="24"/>
          <w:szCs w:val="24"/>
          <w:lang w:val="en-GB"/>
        </w:rPr>
        <w:footnoteReference w:id="36"/>
      </w:r>
      <w:r>
        <w:rPr>
          <w:rFonts w:ascii="Times New Roman" w:hAnsi="Times New Roman"/>
          <w:noProof/>
          <w:sz w:val="24"/>
          <w:szCs w:val="24"/>
        </w:rPr>
        <w:t>. 2020 m. gegužės mėn. Aukščiausiasis Teismas priėmė precedentinę nutartį byloje dėl galimybės susipažinti su baudžiamosios bylos informacija</w:t>
      </w:r>
      <w:r>
        <w:rPr>
          <w:rFonts w:ascii="Times New Roman" w:eastAsia="Calibri" w:hAnsi="Times New Roman" w:cs="Times New Roman"/>
          <w:noProof/>
          <w:sz w:val="24"/>
          <w:szCs w:val="24"/>
          <w:vertAlign w:val="superscript"/>
          <w:lang w:val="en-GB"/>
        </w:rPr>
        <w:footnoteReference w:id="37"/>
      </w:r>
      <w:r>
        <w:rPr>
          <w:rFonts w:ascii="Times New Roman" w:hAnsi="Times New Roman"/>
          <w:noProof/>
          <w:sz w:val="24"/>
          <w:szCs w:val="24"/>
        </w:rPr>
        <w:t>. Teismas nurodė, kad Baudžiamojo proceso įstatymu teisė susipažinti su bylos medžiaga suteikiama tik teisiškai suinteresuotiems asmenims (pvz., kaltinamiesiems ir nukentėjusiesiems) ir kad Galimybės susipažinti su vieša informacija įstatymo nuostatos teismo ir prokuratūros dokumentams netaikomos. Reaguodamas Parlamentas priėmė Baudžiamojo proceso įstatymo pakeitimą, kuriuo konkrečiai nurodyta, kad taikoma bendra Galimybės susipažinti su vieša informacija įstatyme nurodyta susipažinimo su dokumentais tvarka</w:t>
      </w:r>
      <w:r>
        <w:rPr>
          <w:rFonts w:ascii="Times New Roman" w:eastAsia="Calibri" w:hAnsi="Times New Roman" w:cs="Times New Roman"/>
          <w:noProof/>
          <w:sz w:val="24"/>
          <w:szCs w:val="24"/>
          <w:vertAlign w:val="superscript"/>
          <w:lang w:val="en-GB"/>
        </w:rPr>
        <w:footnoteReference w:id="38"/>
      </w:r>
      <w:r>
        <w:rPr>
          <w:rFonts w:ascii="Times New Roman" w:hAnsi="Times New Roman"/>
          <w:noProof/>
          <w:sz w:val="24"/>
          <w:szCs w:val="24"/>
        </w:rPr>
        <w:t>. Pagal šį pakeitimą asmuo, kurio prašymą leisti susipažinti su teismo ar prokuratūros dokumentais (tiek nagrinėjamoje, tiek baigtoje byloje) atmestų teisėjas arba valstybinis prokuroras, atitinkamai galėtų pateikti skundą Informacijos komisarui</w:t>
      </w:r>
      <w:r>
        <w:rPr>
          <w:rStyle w:val="FootnoteReference"/>
          <w:rFonts w:ascii="Times New Roman" w:eastAsia="Calibri" w:hAnsi="Times New Roman" w:cs="Times New Roman"/>
          <w:noProof/>
          <w:sz w:val="24"/>
          <w:szCs w:val="24"/>
          <w:lang w:val="en-GB"/>
        </w:rPr>
        <w:footnoteReference w:id="39"/>
      </w:r>
      <w:r>
        <w:rPr>
          <w:rFonts w:ascii="Times New Roman" w:hAnsi="Times New Roman"/>
          <w:noProof/>
          <w:sz w:val="24"/>
          <w:szCs w:val="24"/>
        </w:rPr>
        <w:t>. Aukščiausiojo Teismo teigimu, šis pakeitimas kelia susirūpinimą dėl tinkamos, viena vertus, teisės susipažinti su vieša informacija ir, kita vertus, kaltinamųjų nekaltumo prezumpcijos ir baudžiamajame procese dalyvaujančių asmenų teisės į privatumą laikymosi pusiausvyros</w:t>
      </w:r>
      <w:r>
        <w:rPr>
          <w:rStyle w:val="FootnoteReference"/>
          <w:rFonts w:ascii="Times New Roman" w:eastAsia="Calibri" w:hAnsi="Times New Roman" w:cs="Times New Roman"/>
          <w:noProof/>
          <w:sz w:val="24"/>
          <w:szCs w:val="24"/>
          <w:lang w:val="en-GB"/>
        </w:rPr>
        <w:footnoteReference w:id="40"/>
      </w:r>
      <w:r>
        <w:rPr>
          <w:rFonts w:ascii="Times New Roman" w:hAnsi="Times New Roman"/>
          <w:noProof/>
          <w:sz w:val="24"/>
          <w:szCs w:val="24"/>
        </w:rPr>
        <w:t>. Viešojo administravimo ministerija sudarė tarpžinybinę ministerijų darbo grupę, kuri nagrinės galimybės susipažinti su teismo ir prokuratūros dokumentais aspektus ir parengs pasiūlymus, kaip reglamentuoti šį klausimą Galimybės susipažinti su vieša informacija įstatyme.</w:t>
      </w:r>
    </w:p>
    <w:p>
      <w:pPr>
        <w:pStyle w:val="NoSpacing"/>
        <w:spacing w:after="240"/>
        <w:jc w:val="both"/>
        <w:rPr>
          <w:rFonts w:ascii="Times New Roman" w:eastAsia="Times New Roman" w:hAnsi="Times New Roman" w:cs="Times New Roman"/>
          <w:noProof/>
          <w:sz w:val="24"/>
          <w:szCs w:val="20"/>
        </w:rPr>
      </w:pPr>
      <w:r>
        <w:rPr>
          <w:rFonts w:ascii="Times New Roman" w:hAnsi="Times New Roman"/>
          <w:b/>
          <w:noProof/>
          <w:sz w:val="24"/>
          <w:szCs w:val="20"/>
        </w:rPr>
        <w:t>Teismų taryba ir Valstybinių prokuratūrų taryba gauna šiek tiek daugiau išteklių, tačiau trūkumas išlieka.</w:t>
      </w:r>
      <w:r>
        <w:rPr>
          <w:rFonts w:ascii="Times New Roman" w:hAnsi="Times New Roman"/>
          <w:noProof/>
          <w:sz w:val="24"/>
          <w:szCs w:val="20"/>
        </w:rPr>
        <w:t xml:space="preserve"> 2020 m. teisinės valstybės principo taikymo ataskaitoje nustatyta, kad svarbi nepriklausomo ir efektyvaus šių savivaldos organų veikimo sąlyga – suteikti Teismų tarybai ir Valstybinių prokuratūrų tarybai pakankamai lėšų</w:t>
      </w:r>
      <w:r>
        <w:rPr>
          <w:rStyle w:val="FootnoteReference"/>
          <w:rFonts w:ascii="Times New Roman" w:eastAsia="Times New Roman" w:hAnsi="Times New Roman" w:cs="Times New Roman"/>
          <w:noProof/>
          <w:sz w:val="24"/>
          <w:szCs w:val="20"/>
          <w:lang w:val="en-IE" w:eastAsia="fr-FR"/>
        </w:rPr>
        <w:footnoteReference w:id="41"/>
      </w:r>
      <w:r>
        <w:rPr>
          <w:rFonts w:ascii="Times New Roman" w:hAnsi="Times New Roman"/>
          <w:noProof/>
          <w:sz w:val="24"/>
          <w:szCs w:val="20"/>
        </w:rPr>
        <w:t>. Maži administraciniai Tarybos pajėgumai taip pat daro įtaką teisėjų ir prokurorų atrankos proceso kokybei, visų pirma tiek tai susiję su priimamų sprendimų ir nuomonių motyvavimu ir pokalbių dėl darbo nuodugnumu. Nuo 2022 m. Teismų taryba galės įdarbinti du papildomus darbuotojus, taip bus minimaliai padidinti turimi ištekliai. Tačiau Valstybinių prokuratūrų tarybai papildomų darbuotojų nenumatyta. Teismų tarybos turimas biudžetas didėja, o Valstybinių prokuratūrų tarybos biudžetas nesikeičia</w:t>
      </w:r>
      <w:r>
        <w:rPr>
          <w:rStyle w:val="FootnoteReference"/>
          <w:rFonts w:ascii="Times New Roman" w:eastAsia="Times New Roman" w:hAnsi="Times New Roman" w:cs="Times New Roman"/>
          <w:noProof/>
          <w:sz w:val="24"/>
          <w:szCs w:val="20"/>
          <w:lang w:val="en-IE" w:eastAsia="fr-FR"/>
        </w:rPr>
        <w:footnoteReference w:id="42"/>
      </w:r>
      <w:r>
        <w:rPr>
          <w:rFonts w:ascii="Times New Roman" w:hAnsi="Times New Roman"/>
          <w:noProof/>
          <w:sz w:val="24"/>
          <w:szCs w:val="20"/>
        </w:rPr>
        <w:t>. Pažymėtina, kad bendras teisingumo sistemos biudžetas jau keletą metų didėja</w:t>
      </w:r>
      <w:r>
        <w:rPr>
          <w:rStyle w:val="FootnoteReference"/>
          <w:rFonts w:ascii="Times New Roman" w:eastAsia="Times New Roman" w:hAnsi="Times New Roman" w:cs="Times New Roman"/>
          <w:noProof/>
          <w:sz w:val="24"/>
          <w:szCs w:val="20"/>
          <w:lang w:val="en-IE" w:eastAsia="fr-FR"/>
        </w:rPr>
        <w:footnoteReference w:id="43"/>
      </w:r>
      <w:r>
        <w:rPr>
          <w:rFonts w:ascii="Times New Roman" w:hAnsi="Times New Roman"/>
          <w:noProof/>
          <w:sz w:val="24"/>
          <w:szCs w:val="20"/>
        </w:rPr>
        <w:t>.</w:t>
      </w:r>
    </w:p>
    <w:p>
      <w:pPr>
        <w:pStyle w:val="Heading2"/>
        <w:rPr>
          <w:noProof/>
        </w:rPr>
      </w:pPr>
      <w:r>
        <w:rPr>
          <w:noProof/>
        </w:rPr>
        <w:t>Veiksmingumas</w:t>
      </w:r>
    </w:p>
    <w:p>
      <w:pPr>
        <w:rPr>
          <w:rFonts w:cs="Times New Roman"/>
          <w:noProof/>
          <w:szCs w:val="24"/>
          <w:shd w:val="clear" w:color="auto" w:fill="FAF9F8"/>
        </w:rPr>
      </w:pPr>
      <w:r>
        <w:rPr>
          <w:b/>
          <w:noProof/>
          <w:szCs w:val="24"/>
        </w:rPr>
        <w:t xml:space="preserve">Teismų sistemos veiksmingumas šiek tiek sumažėjo, o 2020 m. teisinės valstybės principo taikymo ataskaitoje nurodytos problemos ekonominių ir finansinių nusikaltimų bylose išlieka. </w:t>
      </w:r>
      <w:r>
        <w:rPr>
          <w:noProof/>
          <w:szCs w:val="24"/>
          <w:shd w:val="clear" w:color="auto" w:fill="FAF9F8"/>
        </w:rPr>
        <w:t xml:space="preserve">2020 m. visi </w:t>
      </w:r>
      <w:r>
        <w:rPr>
          <w:noProof/>
        </w:rPr>
        <w:t xml:space="preserve">teismai </w:t>
      </w:r>
      <w:r>
        <w:rPr>
          <w:noProof/>
          <w:shd w:val="clear" w:color="auto" w:fill="FAF9F8"/>
        </w:rPr>
        <w:t>gavo 11 proc. mažiau naujų bylų ir išsprendė 13 proc. mažiau bylų, palyginti su 2019 m.</w:t>
      </w:r>
      <w:r>
        <w:rPr>
          <w:noProof/>
          <w:szCs w:val="24"/>
          <w:shd w:val="clear" w:color="auto" w:fill="FAF9F8"/>
        </w:rPr>
        <w:t xml:space="preserve"> Bendras susikaupusių bylų skaičius 2020 m. pabaigoje, palyginti su 2019 m., padidėjo 5 proc.</w:t>
      </w:r>
      <w:r>
        <w:rPr>
          <w:rStyle w:val="FootnoteReference"/>
          <w:rFonts w:cs="Times New Roman"/>
          <w:noProof/>
          <w:szCs w:val="24"/>
          <w:shd w:val="clear" w:color="auto" w:fill="FAF9F8"/>
        </w:rPr>
        <w:footnoteReference w:id="44"/>
      </w:r>
      <w:r>
        <w:rPr>
          <w:noProof/>
          <w:szCs w:val="24"/>
          <w:shd w:val="clear" w:color="auto" w:fill="FAF9F8"/>
        </w:rPr>
        <w:t xml:space="preserve">. </w:t>
      </w:r>
      <w:r>
        <w:rPr>
          <w:noProof/>
        </w:rPr>
        <w:t xml:space="preserve">Vidutinė proceso trukmė pirmosios instancijos teismuose pailgėjo iki maždaug 20 mėnesių ginčo tvarka nagrinėjamose civilinėse bylose ir išliko nepakitusi – 11 mėnesių – ginčo tvarka nagrinėjamose komercinėse bylose. Apeliacine instancija, </w:t>
      </w:r>
      <w:r>
        <w:rPr>
          <w:noProof/>
          <w:szCs w:val="24"/>
          <w:shd w:val="clear" w:color="auto" w:fill="FAF9F8"/>
        </w:rPr>
        <w:t xml:space="preserve">kadangi procesas daugiausia vyksta raštu, minėtų rūšių bylos buvo išsprendžiamos greičiau, t. y. civilinės bylos – vidutiniškai per maždaug 2,4 mėn., o komercinės bylos – per 3,4 mėn. </w:t>
      </w:r>
      <w:r>
        <w:rPr>
          <w:noProof/>
        </w:rPr>
        <w:t>Nagrinėjant sudėtingesnius pinigų plovimo nusikaltimus, teisminio nagrinėjimo trukmė pirmosios instancijos teismuose 2019 m. vidutiniškai sutrumpėjo iki 876 dienų (nuo 1 132 dienų 2018 m.) ir tebėra ilgiausia Europos Sąjungoje</w:t>
      </w:r>
      <w:r>
        <w:rPr>
          <w:rFonts w:eastAsia="Calibri" w:cs="Times New Roman"/>
          <w:noProof/>
          <w:szCs w:val="24"/>
          <w:vertAlign w:val="superscript"/>
        </w:rPr>
        <w:footnoteReference w:id="45"/>
      </w:r>
      <w:r>
        <w:rPr>
          <w:noProof/>
        </w:rPr>
        <w:t>. 2020 m. vidutinė administracinių bylų nagrinėjimo pirmąja instancija trukmė pailgėjo iki 13,7 mėn.</w:t>
      </w:r>
      <w:r>
        <w:rPr>
          <w:noProof/>
          <w:vertAlign w:val="superscript"/>
          <w:lang w:val="sl-SI"/>
        </w:rPr>
        <w:footnoteReference w:id="46"/>
      </w:r>
    </w:p>
    <w:p>
      <w:pPr>
        <w:pStyle w:val="Heading1"/>
        <w:rPr>
          <w:noProof/>
        </w:rPr>
      </w:pPr>
      <w:r>
        <w:rPr>
          <w:noProof/>
        </w:rPr>
        <w:t xml:space="preserve">Kovos su korupcija sistema </w:t>
      </w:r>
    </w:p>
    <w:p>
      <w:pPr>
        <w:rPr>
          <w:rFonts w:eastAsia="Calibri"/>
          <w:noProof/>
          <w:szCs w:val="24"/>
        </w:rPr>
      </w:pPr>
      <w:r>
        <w:rPr>
          <w:noProof/>
        </w:rPr>
        <w:t>Pagrindinis įstatymas, kuriuo nustatoma institucinė ir teisės aktų sistema, skirta užkirsti kelią korupcijai Slovėnijoje ir su ja kovoti, yra Profesinio sąžiningumo ir korupcijos prevencijos įstatymas (IPCA). 2020 m. lapkričio mėn. įstatymas buvo iš dalies pakeistas – be kita ko, buvo įtvirtintos naujos nuostatos dėl Korupcijos prevencijos komisijos sandaros bei veiklos ir lobizmo bei pranešėjų apsaugos taisyklės. Tais pačiais pakeitimais taip pat buvo atnaujintos interesų konfliktų sprendimo, turto deklaravimo, lobizmo ir „sukamųjų durų“ reiškinio valdymo taisyklės. Korupcijos prevencijos komisija yra savarankiška, nepriklausoma valstybinė įstaiga, atsakinga už kovą su korupcija. Komisija nuolat bendradarbiauja su policija ir specializuotu prokuratūros skyriumi, tačiau išlaiko priežiūros ir administracinius tyrimų įgaliojimus ir yra atsakinga už interesų konfliktų, profesinio sąžiningumo, turto deklaravimo, dovanų ir „sukamųjų durų“ reiškinio valdymo nuostatų įgyvendinimo priežiūrą. Nacionalinis tyrimų biuras yra specializuotas nusikaltimų tyrimo padalinys sunkiems nusikaltimams, visų pirma korupcijai, taip pat ekonominiams, finansiniams ir organizuotiems nusikaltimams, nustatyti ir tirti.</w:t>
      </w:r>
    </w:p>
    <w:p>
      <w:pPr>
        <w:rPr>
          <w:rStyle w:val="normaltextrun"/>
          <w:rFonts w:cstheme="minorHAnsi"/>
          <w:noProof/>
          <w:bdr w:val="none" w:sz="0" w:space="0" w:color="auto" w:frame="1"/>
        </w:rPr>
      </w:pPr>
      <w:r>
        <w:rPr>
          <w:b/>
          <w:noProof/>
        </w:rPr>
        <w:t>Ekspertų ir įmonių vadovų suvokiamos viešojo sektoriaus korupcijos lygis tebėra gana žemas.</w:t>
      </w:r>
      <w:r>
        <w:rPr>
          <w:noProof/>
        </w:rPr>
        <w:t xml:space="preserve"> Pagal organizacijos „Transparency International“ 2020 m. korupcijos suvokimo indeksą Slovėnija surinko 60 balų iš 100 ir užima 11 vietą Europos Sąjungoje ir 35 vietą pasaulyje</w:t>
      </w:r>
      <w:r>
        <w:rPr>
          <w:rStyle w:val="FootnoteReference"/>
          <w:bCs/>
          <w:noProof/>
        </w:rPr>
        <w:footnoteReference w:id="47"/>
      </w:r>
      <w:r>
        <w:rPr>
          <w:noProof/>
        </w:rPr>
        <w:t>. Per pastaruosius penkerius metus</w:t>
      </w:r>
      <w:r>
        <w:rPr>
          <w:rStyle w:val="FootnoteReference"/>
          <w:noProof/>
        </w:rPr>
        <w:footnoteReference w:id="48"/>
      </w:r>
      <w:r>
        <w:rPr>
          <w:noProof/>
        </w:rPr>
        <w:t xml:space="preserve"> šis suvokimas buvo palyginti stabilus</w:t>
      </w:r>
      <w:r>
        <w:rPr>
          <w:noProof/>
          <w:vertAlign w:val="superscript"/>
        </w:rPr>
        <w:footnoteReference w:id="49"/>
      </w:r>
      <w:r>
        <w:rPr>
          <w:noProof/>
        </w:rPr>
        <w:t>.</w:t>
      </w:r>
    </w:p>
    <w:p>
      <w:pPr>
        <w:widowControl w:val="0"/>
        <w:shd w:val="clear" w:color="auto" w:fill="FFFFFF" w:themeFill="background1"/>
        <w:suppressAutoHyphens/>
        <w:rPr>
          <w:rFonts w:eastAsia="SimSun" w:cs="Times New Roman"/>
          <w:noProof/>
          <w:szCs w:val="24"/>
        </w:rPr>
      </w:pPr>
      <w:r>
        <w:rPr>
          <w:b/>
          <w:noProof/>
          <w:color w:val="000000"/>
          <w:szCs w:val="24"/>
        </w:rPr>
        <w:t>Profesinio sąžiningumo ir korupcijos prevencijos įstatymas buvo neseniai sugriežtintas.</w:t>
      </w:r>
      <w:r>
        <w:rPr>
          <w:noProof/>
          <w:color w:val="000000"/>
          <w:szCs w:val="24"/>
        </w:rPr>
        <w:t xml:space="preserve"> Įstatymas buvo iš dalies pakeistas 2020 m. lapkričio mėn., priimant nuostatas, susijusias su </w:t>
      </w:r>
      <w:r>
        <w:rPr>
          <w:noProof/>
        </w:rPr>
        <w:t>Korupcijos prevencijos komisijos vyriausiojo komisaro ir komisaro pavaduotojo paskyrimu. Pakeitimais taip pat aiškiau apibrėžiamos įvairios komisijos vykdomos administracinės tyrimų procedūros ir komisijai atliekant šias procedūras bei kitas viešosios teisės reglamentuojamas procedūras, pvz., pagreitintą procesą nesunkių pažeidimų atveju, taikomos taisyklės, apimančios procesines asmenų, kurių atžvilgiu atliekamas tyrimas, teises ir galimybę apskųsti komisijos sprendimus. Šios procesinės teisės buvo įtrauktos siekiant reaguoti į Administracinio teismo ir Aukščiausiojo Teismo nutartis, kuriomis pabrėžiami trūkumai, susiję su asmenų, kurių atžvilgiu komisija vykdo administracinį procesą, teisėmis. Taip pat buvo įtrauktos profesinio sąžiningumo nuostatos, susijusios su dovanomis, lobizmu ir turto deklaracijų priežiūra</w:t>
      </w:r>
      <w:r>
        <w:rPr>
          <w:rFonts w:eastAsia="SimSun" w:cs="Times New Roman"/>
          <w:noProof/>
          <w:szCs w:val="24"/>
          <w:vertAlign w:val="superscript"/>
          <w:lang w:eastAsia="en-GB"/>
        </w:rPr>
        <w:footnoteReference w:id="50"/>
      </w:r>
      <w:r>
        <w:rPr>
          <w:noProof/>
        </w:rPr>
        <w:t xml:space="preserve">. </w:t>
      </w:r>
    </w:p>
    <w:p>
      <w:pPr>
        <w:shd w:val="clear" w:color="auto" w:fill="FFFFFF" w:themeFill="background1"/>
        <w:tabs>
          <w:tab w:val="left" w:pos="840"/>
        </w:tabs>
        <w:ind w:right="-28"/>
        <w:rPr>
          <w:rStyle w:val="normaltextrun"/>
          <w:noProof/>
        </w:rPr>
      </w:pPr>
      <w:r>
        <w:rPr>
          <w:b/>
          <w:noProof/>
          <w:color w:val="000000"/>
          <w:szCs w:val="24"/>
        </w:rPr>
        <w:t>Nacionalinė kovos su korupcija strategija iki jos galiojimo pabaigos iš esmės buvo įgyvendinta, tačiau tam tikri veiksmai tebėra neatlikti ir kol kas nėra patvirtinta naujo plano</w:t>
      </w:r>
      <w:r>
        <w:rPr>
          <w:b/>
          <w:noProof/>
          <w:szCs w:val="24"/>
        </w:rPr>
        <w:t xml:space="preserve">. </w:t>
      </w:r>
      <w:r>
        <w:rPr>
          <w:noProof/>
        </w:rPr>
        <w:t>2020 m. balandžio mėn. priimta trečiosios nacionalinės kovos su korupcija strategijos (2017–2019 m.) įgyvendinimo ataskaita</w:t>
      </w:r>
      <w:r>
        <w:rPr>
          <w:rFonts w:eastAsia="Times New Roman" w:cs="Times New Roman"/>
          <w:noProof/>
          <w:szCs w:val="24"/>
          <w:vertAlign w:val="superscript"/>
          <w:lang w:eastAsia="en-GB"/>
        </w:rPr>
        <w:footnoteReference w:id="51"/>
      </w:r>
      <w:r>
        <w:rPr>
          <w:noProof/>
        </w:rPr>
        <w:t xml:space="preserve"> rodo, </w:t>
      </w:r>
      <w:r>
        <w:rPr>
          <w:rStyle w:val="normaltextrun"/>
          <w:noProof/>
          <w:szCs w:val="24"/>
        </w:rPr>
        <w:t>kad, nors didelė veiksmų dalis yra įgyvendinta, kiti veiksmai tebėra neatlikti, ypač sričių, susijusių su profesinio sąžiningumo priemonių rengimu konkrečiuose sektoriuose (pvz., valstybės turto, užsienio reikalų, mokslo, švietimo ir sporto sektoriuose), veiksmai</w:t>
      </w:r>
      <w:r>
        <w:rPr>
          <w:rFonts w:eastAsia="Times New Roman" w:cs="Times New Roman"/>
          <w:noProof/>
          <w:szCs w:val="24"/>
          <w:vertAlign w:val="superscript"/>
          <w:lang w:eastAsia="en-GB"/>
        </w:rPr>
        <w:footnoteReference w:id="52"/>
      </w:r>
      <w:r>
        <w:rPr>
          <w:rStyle w:val="eop"/>
          <w:noProof/>
          <w:szCs w:val="24"/>
        </w:rPr>
        <w:t>.</w:t>
      </w:r>
      <w:r>
        <w:rPr>
          <w:rStyle w:val="normaltextrun"/>
          <w:noProof/>
          <w:szCs w:val="24"/>
        </w:rPr>
        <w:t xml:space="preserve"> </w:t>
      </w:r>
      <w:r>
        <w:rPr>
          <w:noProof/>
        </w:rPr>
        <w:t xml:space="preserve">Viešojo administravimo ministerija, atsakinga už strategijos įgyvendinimo stebėseną, pranešė, kad ji </w:t>
      </w:r>
      <w:r>
        <w:rPr>
          <w:rStyle w:val="normaltextrun"/>
          <w:noProof/>
        </w:rPr>
        <w:t xml:space="preserve">kartu su kitomis viešojo sektoriaus institucijomis (tokiomis kaip Vidaus reikalų ministerija, Teisingumo ministerija, Sveikatos apsaugos ministerija, Korupcijos prevencijos komisija) rengiasi įgyvendinti likusius veiksmus. Nauja po 2019 m. galiosianti kovos su korupcija strategija dar nepasiūlyta. </w:t>
      </w:r>
    </w:p>
    <w:p>
      <w:pPr>
        <w:shd w:val="clear" w:color="auto" w:fill="FFFFFF" w:themeFill="background1"/>
        <w:rPr>
          <w:rFonts w:eastAsia="Times New Roman" w:cs="Times New Roman"/>
          <w:noProof/>
          <w:szCs w:val="20"/>
        </w:rPr>
      </w:pPr>
      <w:r>
        <w:rPr>
          <w:b/>
          <w:noProof/>
          <w:szCs w:val="24"/>
        </w:rPr>
        <w:t xml:space="preserve">Buvo sustiprinta Korupcijos prevencijos komisija ir jos nepriklausomumas, nors visapusiškas efektyvumas dar nepasiektas. </w:t>
      </w:r>
      <w:r>
        <w:rPr>
          <w:noProof/>
        </w:rPr>
        <w:t xml:space="preserve">Komisija išlieka savarankiška valstybinė korupcijos prevencijos įstaiga. Atlikus Profesinio sąžiningumo ir korupcijos prevencijos įstatymo pakeitimus, komisija sustiprino savo nepriklausomumą pradėjusi taikyti naują savo vadovybės – vyriausiojo komisaro ir dviejų pavaduotojų – skyrimo procedūrą. Pakeitimais numatyti nauji kriterijai vadovybės skyrimo procedūros skaidrumui padidinti. Pakeitimais numatytas kandidatūrų iškėlimo komitetas (vietoje atrankos komiteto), iškeliantis kandidatus ir atmetantis politinę praeitį turinčius kandidatus. Be to, kandidatūrų iškėlimo komitetas atlieka asmeninio kandidatų tinkamumo vertinimą. </w:t>
      </w:r>
      <w:r>
        <w:rPr>
          <w:noProof/>
          <w:color w:val="000000"/>
          <w:szCs w:val="24"/>
        </w:rPr>
        <w:t>Respublikos Prezidentas dabar vadovybę skiria pagal kandidatūrų iškėlimo komiteto pateiktą kandidatų sąrašą</w:t>
      </w:r>
      <w:r>
        <w:rPr>
          <w:rFonts w:eastAsia="Calibri" w:cs="Times New Roman"/>
          <w:noProof/>
          <w:color w:val="000000"/>
          <w:kern w:val="1"/>
          <w:szCs w:val="24"/>
          <w:vertAlign w:val="superscript"/>
          <w:lang w:eastAsia="hi-IN" w:bidi="hi-IN"/>
        </w:rPr>
        <w:footnoteReference w:id="53"/>
      </w:r>
      <w:r>
        <w:rPr>
          <w:noProof/>
          <w:color w:val="000000"/>
          <w:szCs w:val="24"/>
        </w:rPr>
        <w:t xml:space="preserve">. </w:t>
      </w:r>
      <w:r>
        <w:rPr>
          <w:noProof/>
        </w:rPr>
        <w:t>Kalbant apie administracinę tyrimų procedūrą, iš dalies pakeistame Profesinio sąžiningumo ir korupcijos prevencijos įstatyme aiškiau išdėstytos ir sustiprintos asmenų, kurių atžvilgiu komisija vykdo tyrimą, teisės, įskaitant galimybę užginčyti komisijos priimtus sprendimus.</w:t>
      </w:r>
      <w:r>
        <w:rPr>
          <w:noProof/>
          <w:color w:val="000000"/>
          <w:szCs w:val="24"/>
        </w:rPr>
        <w:t xml:space="preserve"> Kalbant apie išteklius, komisija, 2021 m. balandžio mėn. duomenimis, turi 40 pareigūnų (t. y. vyriausiąjį komisarą, du pavaduotojus ir 37 tarnautojus). Tačiau personalo poreikis dar iki galo nepatenkintas</w:t>
      </w:r>
      <w:r>
        <w:rPr>
          <w:rFonts w:eastAsia="Calibri" w:cs="Times New Roman"/>
          <w:noProof/>
          <w:color w:val="000000"/>
          <w:kern w:val="1"/>
          <w:szCs w:val="24"/>
          <w:vertAlign w:val="superscript"/>
          <w:lang w:eastAsia="hi-IN" w:bidi="hi-IN"/>
        </w:rPr>
        <w:footnoteReference w:id="54"/>
      </w:r>
      <w:r>
        <w:rPr>
          <w:noProof/>
          <w:color w:val="000000"/>
          <w:szCs w:val="24"/>
        </w:rPr>
        <w:t xml:space="preserve">. </w:t>
      </w:r>
      <w:r>
        <w:rPr>
          <w:noProof/>
        </w:rPr>
        <w:t>Komisija planuoja 2021 ir 2022 m. pasamdyti penkis papildomus pareigūnus per metus</w:t>
      </w:r>
      <w:r>
        <w:rPr>
          <w:rFonts w:eastAsia="Times New Roman" w:cs="Times New Roman"/>
          <w:noProof/>
          <w:szCs w:val="20"/>
          <w:vertAlign w:val="superscript"/>
          <w:lang w:eastAsia="en-GB"/>
        </w:rPr>
        <w:footnoteReference w:id="55"/>
      </w:r>
      <w:r>
        <w:rPr>
          <w:noProof/>
        </w:rPr>
        <w:t xml:space="preserve">. </w:t>
      </w:r>
      <w:r>
        <w:rPr>
          <w:rStyle w:val="normaltextrun"/>
          <w:noProof/>
        </w:rPr>
        <w:t>Tai tapo įmanoma, nes finansiniai ištekliai nuo 2019 m. kasmet padidėdavo apie 200 000 EUR per metus</w:t>
      </w:r>
      <w:r>
        <w:rPr>
          <w:noProof/>
        </w:rPr>
        <w:t>. Tačiau dėl bendrų viešųjų išlaidų apribojimų komisijai iki 2021 m. gegužės mėn. nebuvo leidžiama samdyti papildomų darbuotojų ar perskirstyti išteklių, nors jai buvo skirtas reikiamas biudžetas</w:t>
      </w:r>
      <w:r>
        <w:rPr>
          <w:rFonts w:eastAsia="Times New Roman" w:cs="Times New Roman"/>
          <w:noProof/>
          <w:szCs w:val="20"/>
          <w:vertAlign w:val="superscript"/>
          <w:lang w:eastAsia="en-GB"/>
        </w:rPr>
        <w:footnoteReference w:id="56"/>
      </w:r>
      <w:r>
        <w:rPr>
          <w:noProof/>
        </w:rPr>
        <w:t>. Nepaisant šių patobulinimų, komisija ir toliau susiduria su tam tikromis problemomis, susijusiomis su techniniais (t. y. duomenų analizės) įgūdžiais ir ištekliais</w:t>
      </w:r>
      <w:r>
        <w:rPr>
          <w:rStyle w:val="FootnoteReference"/>
          <w:rFonts w:eastAsia="Times New Roman" w:cs="Times New Roman"/>
          <w:noProof/>
          <w:szCs w:val="20"/>
          <w:lang w:eastAsia="en-GB"/>
        </w:rPr>
        <w:footnoteReference w:id="57"/>
      </w:r>
      <w:r>
        <w:rPr>
          <w:noProof/>
        </w:rPr>
        <w:t xml:space="preserve">. </w:t>
      </w:r>
    </w:p>
    <w:p>
      <w:pPr>
        <w:shd w:val="clear" w:color="auto" w:fill="FFFFFF" w:themeFill="background1"/>
        <w:spacing w:before="120"/>
        <w:rPr>
          <w:rFonts w:eastAsia="Calibri" w:cs="Times New Roman"/>
          <w:noProof/>
          <w:szCs w:val="24"/>
        </w:rPr>
      </w:pPr>
      <w:r>
        <w:rPr>
          <w:b/>
          <w:noProof/>
          <w:szCs w:val="24"/>
        </w:rPr>
        <w:t xml:space="preserve">Tebėra problemų, susijusių su ekonominių ir finansinių nusikaltimų tyrimu ir Nacionalinio tyrimų biuro vadovybe. </w:t>
      </w:r>
      <w:r>
        <w:rPr>
          <w:noProof/>
        </w:rPr>
        <w:t>Policijos turimi ištekliai (policijos pareigūnų skaičius, laipsnis ir specializacija) tebėra problema, kuri, valdžios institucijų teigimu, daro poveikį tyrimų, ypač ekonominių ir finansinių nusikaltimų bylose, kokybei ir trukmei. Kai kuriose policijos apylinkėse nepakankami ištekliai taip pat lemia vėlavimą pagal valstybinių prokurorų prašymus atnaujinti ar papildyti tyrimus. Iš ataskaitų matyti, jog esama įtarimų dėl politinio kišimosi į tyrimus ir baudžiamąjį persekiojimą vykdančių institucijų darbą, ypač kiek tai susiję su Nacionaliniu tyrimų biuru</w:t>
      </w:r>
      <w:r>
        <w:rPr>
          <w:rFonts w:eastAsia="Times New Roman" w:cs="Times New Roman"/>
          <w:noProof/>
          <w:szCs w:val="24"/>
          <w:vertAlign w:val="superscript"/>
          <w:lang w:eastAsia="en-IE"/>
        </w:rPr>
        <w:footnoteReference w:id="58"/>
      </w:r>
      <w:r>
        <w:rPr>
          <w:noProof/>
        </w:rPr>
        <w:t>, kuris yra 2009 m. sukurtas specializuotas nusikaltimų tyrimo padalinys sunkiems nusikaltimams, visų pirma korupcijai, taip pat ekonominiams, finansiniams ir organizuotiems nusikaltimams, nustatyti ir tirti. 2020 m. spalio mėn. po Administracinio teismo sprendimo dėl ankstesniojo direktoriaus atleidimo iš darbo neteisėtumo, kol nepraėjęs apeliacinis procesas</w:t>
      </w:r>
      <w:r>
        <w:rPr>
          <w:rStyle w:val="FootnoteReference"/>
          <w:rFonts w:eastAsia="Times New Roman" w:cs="Times New Roman"/>
          <w:noProof/>
          <w:szCs w:val="24"/>
          <w:lang w:eastAsia="en-GB"/>
        </w:rPr>
        <w:footnoteReference w:id="59"/>
      </w:r>
      <w:r>
        <w:rPr>
          <w:noProof/>
        </w:rPr>
        <w:t>, Vyriausybė paskelbė viešą konkursą direktoriaus pareigybei užpildyti. 2021 m. birželio mėn. įgaliojimus vis dar vykdė laikinai pareigas einantis direktorius. Atrodo, kad keturių direktorių pasikeitimas per pastaruosius 14 mėnesių sulėtino Nacionalinio tyrimų biuro veikimą</w:t>
      </w:r>
      <w:r>
        <w:rPr>
          <w:rStyle w:val="FootnoteReference"/>
          <w:rFonts w:eastAsia="Times New Roman" w:cs="Times New Roman"/>
          <w:noProof/>
          <w:szCs w:val="24"/>
          <w:lang w:eastAsia="en-IE"/>
        </w:rPr>
        <w:footnoteReference w:id="60"/>
      </w:r>
      <w:r>
        <w:rPr>
          <w:noProof/>
        </w:rPr>
        <w:t xml:space="preserve">. Atlikdamas aukšto lygio korupcijos bylų tyrimus, biuras rezultatų nepasiekė. </w:t>
      </w:r>
    </w:p>
    <w:p>
      <w:pPr>
        <w:shd w:val="clear" w:color="auto" w:fill="FFFFFF" w:themeFill="background1"/>
        <w:rPr>
          <w:rFonts w:eastAsia="Calibri" w:cs="Times New Roman"/>
          <w:noProof/>
          <w:szCs w:val="24"/>
        </w:rPr>
      </w:pPr>
      <w:r>
        <w:rPr>
          <w:b/>
          <w:noProof/>
          <w:szCs w:val="24"/>
        </w:rPr>
        <w:t>Nors baudžiamojo persekiojimo atvejų padaugėjo, bylų nagrinėjimo teisme atvejų, ypač susijusių su aukšto lygio korupcija, tebėra mažai.</w:t>
      </w:r>
      <w:r>
        <w:rPr>
          <w:noProof/>
        </w:rPr>
        <w:t xml:space="preserve"> 2020 m. baudžiamojo persekiojimo korupcijos bylose atvejų, palyginti su ankstesniais metais, padaugėjo (2020 m. jų buvo 298, t. y. apie 62 proc. daugiau, negu 2019 m., kai jų buvo 185)</w:t>
      </w:r>
      <w:r>
        <w:rPr>
          <w:rFonts w:cs="Times New Roman"/>
          <w:noProof/>
          <w:szCs w:val="24"/>
          <w:vertAlign w:val="superscript"/>
        </w:rPr>
        <w:footnoteReference w:id="61"/>
      </w:r>
      <w:r>
        <w:rPr>
          <w:noProof/>
        </w:rPr>
        <w:t>. Kalbant apie teismus, 2020 m. teismuose buvo nagrinėjama tik 15 korupcijos bylų (įskaitant dvi, kuriose buvo skirtos laisvės atėmimo bausmės)</w:t>
      </w:r>
      <w:r>
        <w:rPr>
          <w:rFonts w:cs="Times New Roman"/>
          <w:noProof/>
          <w:szCs w:val="24"/>
          <w:vertAlign w:val="superscript"/>
        </w:rPr>
        <w:footnoteReference w:id="62"/>
      </w:r>
      <w:r>
        <w:rPr>
          <w:noProof/>
        </w:rPr>
        <w:t>, nė viena byla nebuvo susijusi su aukšto lygio atvejais</w:t>
      </w:r>
      <w:r>
        <w:rPr>
          <w:rFonts w:cs="Times New Roman"/>
          <w:noProof/>
          <w:szCs w:val="24"/>
          <w:vertAlign w:val="superscript"/>
        </w:rPr>
        <w:footnoteReference w:id="63"/>
      </w:r>
      <w:r>
        <w:rPr>
          <w:noProof/>
        </w:rPr>
        <w:t>. Tai rodo, kad teismuose nagrinėjamų korupcijos bylų skaičius dar labiau sumažėjo</w:t>
      </w:r>
      <w:r>
        <w:rPr>
          <w:rStyle w:val="FootnoteReference"/>
          <w:rFonts w:cs="Times New Roman"/>
          <w:noProof/>
          <w:szCs w:val="24"/>
        </w:rPr>
        <w:footnoteReference w:id="64"/>
      </w:r>
      <w:r>
        <w:rPr>
          <w:noProof/>
        </w:rPr>
        <w:t>. Kai kuriose aukšto lygio bylose teismai daugiau kaip pusantrų metų nėra surengę teismo posėdžio</w:t>
      </w:r>
      <w:r>
        <w:rPr>
          <w:rStyle w:val="FootnoteReference"/>
          <w:rFonts w:cs="Times New Roman"/>
          <w:noProof/>
          <w:szCs w:val="24"/>
        </w:rPr>
        <w:footnoteReference w:id="65"/>
      </w:r>
      <w:r>
        <w:rPr>
          <w:noProof/>
        </w:rPr>
        <w:t>. Specialioji prokuratūra yra kompetentinga vykdyti baudžiamąjį persekiojimą už nusikaltimus, susijusius su korupcija viešajame ir privačiajame sektoriuose. Specialioji prokuratūra vadovauja Nacionalinio tyrimų biuro, Generalinės policijos direkcijos ir regioninių policijos administracijų kriminalinės policijos skyriams. Specialiojoje prokuratūroje dirba 28 valstybiniai prokurorai, besispecializuojantys nagrinėti įvairias baudžiamąsias bylas. Kvalifikuotų žmogiškųjų išteklių (ypač valstybinių prokurorų) trūkumas trukdo prioritetą skirti aukšto lygio byloms. Valstybinė prokuratūra taip pat nurodė trūkumus, susijusius kvalifikacija finansų ir duomenų analizės srityse. Nagrinėti finansinius duomenis pavesta policijai arba Kovos su pinigų plovimu tarnybai (finansinių tyrimų skyriui). Tačiau dėl minėto žmogiškųjų ir techninių išteklių trūkumo policijoje, Specialioji prokuratūra susiduria su problema – policija vėluoja užbaigti tyrimus</w:t>
      </w:r>
      <w:r>
        <w:rPr>
          <w:rFonts w:eastAsia="Calibri" w:cs="Times New Roman"/>
          <w:noProof/>
          <w:szCs w:val="24"/>
          <w:vertAlign w:val="superscript"/>
        </w:rPr>
        <w:footnoteReference w:id="66"/>
      </w:r>
      <w:r>
        <w:rPr>
          <w:noProof/>
        </w:rPr>
        <w:t>. Kitos Specialiosios prokuratūros nurodytos problemos susijusios su instituciniu susiskaidymu (skirtingiems subjektams pavestos panašios funkcijos), vėlyvu finansinių nusikaltimų nustatymu, nepakankama teisėjų specializacija, elektroninių ryšių su policija trūkumais</w:t>
      </w:r>
      <w:r>
        <w:rPr>
          <w:rFonts w:eastAsia="Calibri" w:cs="Times New Roman"/>
          <w:noProof/>
          <w:szCs w:val="24"/>
          <w:vertAlign w:val="superscript"/>
        </w:rPr>
        <w:footnoteReference w:id="67"/>
      </w:r>
      <w:r>
        <w:rPr>
          <w:noProof/>
        </w:rPr>
        <w:t>.</w:t>
      </w:r>
    </w:p>
    <w:p>
      <w:pPr>
        <w:shd w:val="clear" w:color="auto" w:fill="FFFFFF" w:themeFill="background1"/>
        <w:rPr>
          <w:rFonts w:eastAsia="Calibri" w:cs="Times New Roman"/>
          <w:noProof/>
          <w:szCs w:val="24"/>
        </w:rPr>
      </w:pPr>
      <w:r>
        <w:rPr>
          <w:b/>
          <w:noProof/>
          <w:szCs w:val="24"/>
        </w:rPr>
        <w:t>Vykdant baudžiamąjį persekiojimą už korupciją, ne tik trūksta kvalifikacijos ir išteklių, bet ir kyla problemų dėl senaties terminų.</w:t>
      </w:r>
      <w:r>
        <w:rPr>
          <w:noProof/>
        </w:rPr>
        <w:t xml:space="preserve"> Nekalbant apie minėtus trūkumus, susijusius su kvalifikacija ir ištekliais Valstybinėje prokuratūroje, valdžios institucijų teigimu</w:t>
      </w:r>
      <w:r>
        <w:rPr>
          <w:rStyle w:val="FootnoteReference"/>
          <w:rFonts w:eastAsia="Calibri" w:cs="Times New Roman"/>
          <w:noProof/>
          <w:szCs w:val="24"/>
        </w:rPr>
        <w:footnoteReference w:id="68"/>
      </w:r>
      <w:r>
        <w:rPr>
          <w:noProof/>
        </w:rPr>
        <w:t>, senaties terminai yra dar viena baudžiamojo persekiojimo už korupciją problema. Baudžiamojo persekiojimo už korupciją senaties terminas paprastai yra dešimt metų</w:t>
      </w:r>
      <w:r>
        <w:rPr>
          <w:rStyle w:val="FootnoteReference"/>
          <w:rFonts w:eastAsia="Times New Roman" w:cs="Times New Roman"/>
          <w:noProof/>
          <w:szCs w:val="20"/>
          <w:lang w:eastAsia="en-GB"/>
        </w:rPr>
        <w:footnoteReference w:id="69"/>
      </w:r>
      <w:r>
        <w:rPr>
          <w:noProof/>
        </w:rPr>
        <w:t>. Senaties termino keisti neplanuojama</w:t>
      </w:r>
      <w:r>
        <w:rPr>
          <w:rFonts w:eastAsia="Times New Roman" w:cs="Times New Roman"/>
          <w:noProof/>
          <w:szCs w:val="20"/>
          <w:vertAlign w:val="superscript"/>
          <w:lang w:eastAsia="en-GB"/>
        </w:rPr>
        <w:footnoteReference w:id="70"/>
      </w:r>
      <w:r>
        <w:rPr>
          <w:noProof/>
        </w:rPr>
        <w:t>. Be to, Aukščiausiojo Teismo pirmininko įsakymu baudžiamojo persekiojimo vykdymas visose bylose (įskaitant korupcijos bylas) COVID-19 pandemijos laikotarpiu sustabdytas, nebent kyla pavojus, kad per ateinančius šešis mėnesius sueis baudžiamojo persekiojimo už įtariamą nusikaltimą senaties terminas</w:t>
      </w:r>
      <w:r>
        <w:rPr>
          <w:rFonts w:eastAsia="Times New Roman" w:cs="Times New Roman"/>
          <w:noProof/>
          <w:szCs w:val="24"/>
          <w:vertAlign w:val="superscript"/>
          <w:lang w:eastAsia="en-GB"/>
        </w:rPr>
        <w:footnoteReference w:id="71"/>
      </w:r>
      <w:r>
        <w:rPr>
          <w:noProof/>
        </w:rPr>
        <w:t>.</w:t>
      </w:r>
    </w:p>
    <w:p>
      <w:pPr>
        <w:rPr>
          <w:noProof/>
        </w:rPr>
      </w:pPr>
      <w:r>
        <w:rPr>
          <w:b/>
          <w:noProof/>
          <w:szCs w:val="20"/>
        </w:rPr>
        <w:t>Pareigą deklaruoti turtą pradėta taikyti papildomų kategorijų pareigūnams, tačiau deklaracijų skelbimas viešai tebėra problema.</w:t>
      </w:r>
      <w:r>
        <w:rPr>
          <w:noProof/>
        </w:rPr>
        <w:t xml:space="preserve"> Iš dalies pakeistame Profesinio sąžiningumo ir korupcijos prevencijos įstatyme išplėstas asmenų, privalančių pateikti savo turto deklaraciją, sąrašas, siekiant į jį įtraukti nacionalinius valstybės nuosavybės teise valdomų įmonių tarybų ir stebėtojų tarybų narius, taip pat </w:t>
      </w:r>
      <w:r>
        <w:rPr>
          <w:iCs/>
          <w:noProof/>
          <w:color w:val="000000"/>
          <w:szCs w:val="24"/>
        </w:rPr>
        <w:t>renkamus ir skiriamus aukšto lygio pareigūnus</w:t>
      </w:r>
      <w:r>
        <w:rPr>
          <w:rFonts w:eastAsia="Arial" w:cs="Times New Roman"/>
          <w:noProof/>
          <w:color w:val="000000"/>
          <w:kern w:val="1"/>
          <w:szCs w:val="24"/>
          <w:vertAlign w:val="superscript"/>
          <w:lang w:eastAsia="hi-IN" w:bidi="hi-IN"/>
        </w:rPr>
        <w:footnoteReference w:id="72"/>
      </w:r>
      <w:r>
        <w:rPr>
          <w:iCs/>
          <w:noProof/>
          <w:color w:val="000000"/>
          <w:szCs w:val="24"/>
        </w:rPr>
        <w:t>.</w:t>
      </w:r>
      <w:r>
        <w:rPr>
          <w:noProof/>
          <w:color w:val="000000"/>
          <w:szCs w:val="24"/>
        </w:rPr>
        <w:t xml:space="preserve"> </w:t>
      </w:r>
      <w:r>
        <w:rPr>
          <w:noProof/>
        </w:rPr>
        <w:t>Korupcijos prevencijos komisija</w:t>
      </w:r>
      <w:r>
        <w:rPr>
          <w:noProof/>
          <w:color w:val="000000"/>
          <w:szCs w:val="24"/>
        </w:rPr>
        <w:t xml:space="preserve"> yra atsakinga už valstybės pareigūnų finansinių deklaracijų stebėseną</w:t>
      </w:r>
      <w:r>
        <w:rPr>
          <w:rStyle w:val="FootnoteReference"/>
          <w:rFonts w:eastAsia="Arial" w:cs="Times New Roman"/>
          <w:noProof/>
          <w:color w:val="000000"/>
          <w:kern w:val="1"/>
          <w:szCs w:val="24"/>
          <w:lang w:eastAsia="hi-IN" w:bidi="hi-IN"/>
        </w:rPr>
        <w:footnoteReference w:id="73"/>
      </w:r>
      <w:r>
        <w:rPr>
          <w:noProof/>
          <w:color w:val="000000"/>
          <w:szCs w:val="24"/>
        </w:rPr>
        <w:t xml:space="preserve"> ir neseniai pradėjo bendradarbiauti su Viešojo administravimo ministerija, siekdama įdiegti naują </w:t>
      </w:r>
      <w:r>
        <w:rPr>
          <w:noProof/>
        </w:rPr>
        <w:t>elektroninio deklaravimo platformą. Kadangi Korupcijos prevencijos komisijos žmogiškieji ištekliai yra riboti, atsižvelgiant į gaunamų deklaracijų skaičių (kasmet gaunama apie 4 500 deklaracijų ir 4 300 kitų susijusių pareiškimų</w:t>
      </w:r>
      <w:r>
        <w:rPr>
          <w:rStyle w:val="FootnoteReference"/>
          <w:rFonts w:eastAsia="Times New Roman" w:cs="Times New Roman"/>
          <w:noProof/>
          <w:szCs w:val="24"/>
          <w:lang w:eastAsia="en-IE"/>
        </w:rPr>
        <w:footnoteReference w:id="74"/>
      </w:r>
      <w:r>
        <w:rPr>
          <w:noProof/>
        </w:rPr>
        <w:t>), tikrinama atsitiktine tvarka atrinkta deklaracijų imtis. Tikrinant matyti, kad deklaracijų netikslumų (kai deklaracija ne iki galo užpildyta arba klaidinga) yra mažai ir jie yra nereikšmingi, todėl pranešimų apie nusikaltimą Valstybinei prokuratūrai teikti nereikia</w:t>
      </w:r>
      <w:r>
        <w:rPr>
          <w:rFonts w:eastAsia="Times New Roman" w:cs="Times New Roman"/>
          <w:noProof/>
          <w:szCs w:val="24"/>
          <w:vertAlign w:val="superscript"/>
          <w:lang w:eastAsia="en-IE"/>
        </w:rPr>
        <w:footnoteReference w:id="75"/>
      </w:r>
      <w:r>
        <w:rPr>
          <w:noProof/>
        </w:rPr>
        <w:t>. 2020 m. 18 470 pareigūnų, privalančių pateikti deklaracijas, pateiktas turto deklaracijas tikrino tik trys komisijos pareigūnai, jie atliko 16 priežiūros tikrinimų, apėmusių 923 fizinius asmenis ir 67 teismus</w:t>
      </w:r>
      <w:r>
        <w:rPr>
          <w:rStyle w:val="FootnoteReference"/>
          <w:rFonts w:eastAsia="SimSun" w:cs="Times New Roman"/>
          <w:noProof/>
          <w:kern w:val="1"/>
          <w:szCs w:val="24"/>
          <w:lang w:eastAsia="hi-IN" w:bidi="hi-IN"/>
        </w:rPr>
        <w:footnoteReference w:id="76"/>
      </w:r>
      <w:r>
        <w:rPr>
          <w:noProof/>
        </w:rPr>
        <w:t>. Nors iš dalies pakeistu Profesinio sąžiningumo ir korupcijos prevencijos įstatymu išplėstas turtą deklaruoti privalančių pareigūnų sąrašas, juo taip pat sumažintas pareigūnų, kurių deklaracijos bus skelbiamos viešai, sąrašas</w:t>
      </w:r>
      <w:r>
        <w:rPr>
          <w:rStyle w:val="FootnoteReference"/>
          <w:rFonts w:eastAsia="Times New Roman" w:cs="Times New Roman"/>
          <w:noProof/>
          <w:szCs w:val="24"/>
          <w:lang w:eastAsia="en-IE"/>
        </w:rPr>
        <w:footnoteReference w:id="77"/>
      </w:r>
      <w:r>
        <w:rPr>
          <w:noProof/>
        </w:rPr>
        <w:t xml:space="preserve">. Nors Korupcijos prevencijos komisija, siekdama įvykdyti įstatyme numatytą viešo skelbimo reikalavimą, pradėjo tobulinti savo IT sistemą ir internetinę platformą, valstybės pareigūnų turto deklaracijos dar nėra paskelbtos. </w:t>
      </w:r>
    </w:p>
    <w:p>
      <w:pPr>
        <w:shd w:val="clear" w:color="auto" w:fill="FFFFFF" w:themeFill="background1"/>
        <w:rPr>
          <w:rFonts w:eastAsia="Calibri" w:cs="Times New Roman"/>
          <w:noProof/>
          <w:color w:val="000000"/>
          <w:kern w:val="1"/>
          <w:szCs w:val="24"/>
        </w:rPr>
      </w:pPr>
      <w:r>
        <w:rPr>
          <w:b/>
          <w:noProof/>
          <w:color w:val="000000"/>
          <w:szCs w:val="24"/>
        </w:rPr>
        <w:t>Buvo sugriežtintos interesų konfliktų prevencijos ir valdymo nuostatos, tačiau veiksmingas jų įgyvendinimas tebėra problema</w:t>
      </w:r>
      <w:r>
        <w:rPr>
          <w:noProof/>
          <w:color w:val="000000"/>
          <w:sz w:val="27"/>
          <w:szCs w:val="27"/>
        </w:rPr>
        <w:t>.</w:t>
      </w:r>
      <w:r>
        <w:rPr>
          <w:b/>
          <w:noProof/>
          <w:szCs w:val="24"/>
        </w:rPr>
        <w:t xml:space="preserve"> </w:t>
      </w:r>
      <w:r>
        <w:rPr>
          <w:noProof/>
        </w:rPr>
        <w:t>Remiantis Profesinio sąžiningumo ir korupcijos prevencijos įstatymu, bet kurie valstybės pareigūnai, kurie, prieš pradėdami eiti pareigas, vykdė veiklą arba ėjo pareigas, nesuderinamas su dabartine tarnyba, turi nutraukti veiklą ne vėliau kaip likus 30 dienų iki jų išrinkimo, paskyrimo arba jų įgaliojimų patvirtinimo.</w:t>
      </w:r>
      <w:r>
        <w:rPr>
          <w:noProof/>
          <w:color w:val="000000"/>
          <w:szCs w:val="24"/>
        </w:rPr>
        <w:t xml:space="preserve"> </w:t>
      </w:r>
      <w:r>
        <w:rPr>
          <w:noProof/>
        </w:rPr>
        <w:t>Iš dalies pakeistu Profesinio sąžiningumo ir korupcijos prevencijos įstatymu išplėsti apribojimai, taikomi baigusių eiti pareigas valstybės pareigūnų įsidarbinimui privačiajame sektoriuje. Korupcijos prevencijos komisija</w:t>
      </w:r>
      <w:r>
        <w:rPr>
          <w:noProof/>
          <w:color w:val="000000"/>
          <w:szCs w:val="24"/>
        </w:rPr>
        <w:t xml:space="preserve"> gali pradėti pareigų nesuderinamumo vertinimo procedūrą, jeigu ji mano, kad tos veiklos vykdymas, tikėtina, kels neproporcingą pavojų objektyviam ir nešališkam tarnybos pareigų vykdymui arba pakenks profesiniam sąžiningumui. 2021 m. gegužės mėn. komisija nusiuntė Vyriausybei iniciatyvą, kuria būtų suvienodinamas visų pareigūnų interesų konfliktų ir profesinio sąžiningumo principo pažeidimo reglamentavimas – Korupcijos prevencijos komisijos teigimu, taip būtų pagerinta priežiūra, pareigūnų vertinimo vienodumas ir leidžiamos buvusių pareigūnų profesinio sąžiningumo tikrinimo procedūros</w:t>
      </w:r>
      <w:r>
        <w:rPr>
          <w:rStyle w:val="FootnoteReference"/>
          <w:rFonts w:eastAsia="Calibri" w:cs="Times New Roman"/>
          <w:noProof/>
          <w:color w:val="000000"/>
          <w:kern w:val="1"/>
          <w:szCs w:val="24"/>
          <w:lang w:eastAsia="he-IL" w:bidi="he-IL"/>
        </w:rPr>
        <w:footnoteReference w:id="78"/>
      </w:r>
      <w:r>
        <w:rPr>
          <w:noProof/>
          <w:color w:val="000000"/>
          <w:szCs w:val="24"/>
        </w:rPr>
        <w:t>. Korupcijos prevencijos komisija šiuo metu nagrinėja didelio atgarsio susilaukusias bylas, susijusias su įtariamais interesų konfliktais</w:t>
      </w:r>
      <w:r>
        <w:rPr>
          <w:rStyle w:val="FootnoteReference"/>
          <w:rFonts w:eastAsia="Calibri" w:cs="Times New Roman"/>
          <w:noProof/>
          <w:color w:val="000000"/>
          <w:kern w:val="1"/>
          <w:szCs w:val="24"/>
          <w:lang w:eastAsia="he-IL" w:bidi="he-IL"/>
        </w:rPr>
        <w:footnoteReference w:id="79"/>
      </w:r>
      <w:r>
        <w:rPr>
          <w:noProof/>
          <w:color w:val="000000"/>
          <w:szCs w:val="24"/>
        </w:rPr>
        <w:t xml:space="preserve">. </w:t>
      </w:r>
    </w:p>
    <w:p>
      <w:pPr>
        <w:shd w:val="clear" w:color="auto" w:fill="FFFFFF" w:themeFill="background1"/>
        <w:textAlignment w:val="baseline"/>
        <w:rPr>
          <w:rFonts w:eastAsia="Times New Roman" w:cs="Times New Roman"/>
          <w:b/>
          <w:noProof/>
          <w:szCs w:val="24"/>
          <w:highlight w:val="green"/>
        </w:rPr>
      </w:pPr>
      <w:r>
        <w:rPr>
          <w:b/>
          <w:noProof/>
          <w:szCs w:val="24"/>
        </w:rPr>
        <w:t xml:space="preserve">Nuostatos dėl valstybės pareigūnų ir renkamų asmenų lobizmo toliau tobulinamos. </w:t>
      </w:r>
      <w:r>
        <w:rPr>
          <w:noProof/>
        </w:rPr>
        <w:t xml:space="preserve">Nacionalinio ir vietos lygmens pareigūnai ir valstybės tarnautojai privalo savo darbdaviui ir Korupcijos prevencijos komisijai pranešti apie ryšius su lobistais. Komisija tvarko su lobizmu susijusius duomenis ir juos skelbia savo tinklalapyje (vadinamame </w:t>
      </w:r>
      <w:r>
        <w:rPr>
          <w:i/>
          <w:noProof/>
          <w:szCs w:val="24"/>
        </w:rPr>
        <w:t>Erar</w:t>
      </w:r>
      <w:r>
        <w:rPr>
          <w:noProof/>
        </w:rPr>
        <w:t>)</w:t>
      </w:r>
      <w:r>
        <w:rPr>
          <w:rFonts w:eastAsia="SimSun" w:cs="Times New Roman"/>
          <w:noProof/>
          <w:kern w:val="1"/>
          <w:szCs w:val="24"/>
          <w:vertAlign w:val="superscript"/>
          <w:lang w:eastAsia="hi-IN" w:bidi="hi-IN"/>
        </w:rPr>
        <w:footnoteReference w:id="80"/>
      </w:r>
      <w:r>
        <w:rPr>
          <w:noProof/>
        </w:rPr>
        <w:t xml:space="preserve">, taip pat ten skelbiama lobizmo registre esanti informacija. Remiantis iš dalies pakeistu Profesinio sąžiningumo ir korupcijos prevencijos įstatymu, metinę ataskaitą turi viešai skelbti ir lobistai (dabar tai, be kita ko, yra ne tik individualūs lobistai, bet ir interesų grupės). </w:t>
      </w:r>
    </w:p>
    <w:p>
      <w:pPr>
        <w:shd w:val="clear" w:color="auto" w:fill="FFFFFF" w:themeFill="background1"/>
        <w:rPr>
          <w:rFonts w:eastAsia="Calibri" w:cs="Times New Roman"/>
          <w:b/>
          <w:noProof/>
          <w:szCs w:val="24"/>
        </w:rPr>
      </w:pPr>
      <w:r>
        <w:rPr>
          <w:b/>
          <w:noProof/>
          <w:szCs w:val="24"/>
        </w:rPr>
        <w:t xml:space="preserve">Viešųjų duomenų, ypač susijusių su viešojo sektoriaus išlaidomis, skaidrumas užtikrinamas ir toliau. </w:t>
      </w:r>
      <w:r>
        <w:rPr>
          <w:noProof/>
        </w:rPr>
        <w:t>Tinklalapyje</w:t>
      </w:r>
      <w:r>
        <w:rPr>
          <w:b/>
          <w:noProof/>
          <w:szCs w:val="24"/>
        </w:rPr>
        <w:t xml:space="preserve"> </w:t>
      </w:r>
      <w:r>
        <w:rPr>
          <w:i/>
          <w:noProof/>
          <w:color w:val="000000"/>
          <w:szCs w:val="24"/>
        </w:rPr>
        <w:t>Erar</w:t>
      </w:r>
      <w:r>
        <w:rPr>
          <w:noProof/>
          <w:szCs w:val="24"/>
          <w:vertAlign w:val="superscript"/>
        </w:rPr>
        <w:t xml:space="preserve"> </w:t>
      </w:r>
      <w:r>
        <w:rPr>
          <w:noProof/>
          <w:color w:val="000000"/>
          <w:szCs w:val="24"/>
        </w:rPr>
        <w:t>skelbiami ne tik su lobizmu susiję duomenys</w:t>
      </w:r>
      <w:r>
        <w:rPr>
          <w:noProof/>
        </w:rPr>
        <w:t>,</w:t>
      </w:r>
      <w:r>
        <w:rPr>
          <w:noProof/>
          <w:color w:val="000000"/>
        </w:rPr>
        <w:t xml:space="preserve"> bet ir duomenys apie viešąjį administravimą, įskaitant viešųjų pirkimų sandorius ir informaciją.</w:t>
      </w:r>
      <w:r>
        <w:rPr>
          <w:noProof/>
          <w:color w:val="000000"/>
          <w:szCs w:val="24"/>
        </w:rPr>
        <w:t xml:space="preserve"> Šiuo metu apytikriai vertinama, kad tinklalapyje </w:t>
      </w:r>
      <w:r>
        <w:rPr>
          <w:i/>
          <w:noProof/>
          <w:color w:val="000000"/>
          <w:szCs w:val="24"/>
        </w:rPr>
        <w:t>Erar</w:t>
      </w:r>
      <w:r>
        <w:rPr>
          <w:noProof/>
          <w:color w:val="000000"/>
          <w:szCs w:val="24"/>
        </w:rPr>
        <w:t xml:space="preserve"> yra duomenų apie maždaug 200 mln. tiek nacionalinės vyriausybės, tiek vietos institucijų nuo 2003 m. sudarytų finansinių sandorių. </w:t>
      </w:r>
      <w:r>
        <w:rPr>
          <w:noProof/>
        </w:rPr>
        <w:t xml:space="preserve">„Skrynia“ (slovėn. </w:t>
      </w:r>
      <w:r>
        <w:rPr>
          <w:i/>
          <w:noProof/>
          <w:szCs w:val="24"/>
        </w:rPr>
        <w:t>Skrinja</w:t>
      </w:r>
      <w:r>
        <w:rPr>
          <w:noProof/>
        </w:rPr>
        <w:t>) yra dar viena administracinė internetinė platforma, kurioje naudotojai gali gauti duomenų apie viešojo sektoriaus darbo užmokestį ir darbo užmokesčio ataskaitas</w:t>
      </w:r>
      <w:r>
        <w:rPr>
          <w:rFonts w:eastAsia="SimSun" w:cs="Times New Roman"/>
          <w:noProof/>
          <w:color w:val="000000"/>
          <w:kern w:val="1"/>
          <w:szCs w:val="24"/>
          <w:vertAlign w:val="superscript"/>
          <w:lang w:eastAsia="hi-IN" w:bidi="hi-IN"/>
        </w:rPr>
        <w:footnoteReference w:id="81"/>
      </w:r>
      <w:r>
        <w:rPr>
          <w:noProof/>
        </w:rPr>
        <w:t>. 2020 m. Audito Rūmai atliko 13 politinių partijų (2018 arba 2019 m.) finansinių operacijų auditą ir pateikė šešias teigiamas nuomones ir septynias nuomones su išlygomis, įskaitant rekomendacijas, kaip tobulinti finansines operacijas ir padidinti skaidrumą (pvz., dėl paskolų, įnašų)</w:t>
      </w:r>
      <w:r>
        <w:rPr>
          <w:rStyle w:val="FootnoteReference"/>
          <w:rFonts w:eastAsia="Times New Roman" w:cs="Times New Roman"/>
          <w:noProof/>
          <w:szCs w:val="24"/>
          <w:lang w:eastAsia="en-GB"/>
        </w:rPr>
        <w:footnoteReference w:id="82"/>
      </w:r>
      <w:r>
        <w:rPr>
          <w:noProof/>
        </w:rPr>
        <w:t xml:space="preserve">.   </w:t>
      </w:r>
    </w:p>
    <w:p>
      <w:pPr>
        <w:shd w:val="clear" w:color="auto" w:fill="FFFFFF" w:themeFill="background1"/>
        <w:rPr>
          <w:rFonts w:eastAsia="Times New Roman" w:cs="Times New Roman"/>
          <w:noProof/>
          <w:szCs w:val="24"/>
        </w:rPr>
      </w:pPr>
      <w:r>
        <w:rPr>
          <w:b/>
          <w:noProof/>
          <w:szCs w:val="24"/>
        </w:rPr>
        <w:t>2020 m. buvo priimtos parlamento nariams skirtos etikos taisyklės.</w:t>
      </w:r>
      <w:r>
        <w:rPr>
          <w:noProof/>
        </w:rPr>
        <w:t xml:space="preserve"> Parlamento prezidiumas privalo stebėti etikos kodekso</w:t>
      </w:r>
      <w:r>
        <w:rPr>
          <w:rFonts w:eastAsia="Times New Roman" w:cs="Times New Roman"/>
          <w:noProof/>
          <w:szCs w:val="24"/>
          <w:vertAlign w:val="superscript"/>
          <w:lang w:eastAsia="en-GB"/>
        </w:rPr>
        <w:footnoteReference w:id="83"/>
      </w:r>
      <w:r>
        <w:rPr>
          <w:noProof/>
        </w:rPr>
        <w:t xml:space="preserve"> įgyvendinimą ir netinkamo elgesio atveju gali skirti sankcijas</w:t>
      </w:r>
      <w:r>
        <w:rPr>
          <w:rFonts w:eastAsia="Times New Roman" w:cs="Times New Roman"/>
          <w:noProof/>
          <w:szCs w:val="24"/>
          <w:vertAlign w:val="superscript"/>
          <w:lang w:eastAsia="en-GB"/>
        </w:rPr>
        <w:footnoteReference w:id="84"/>
      </w:r>
      <w:r>
        <w:rPr>
          <w:noProof/>
        </w:rPr>
        <w:t>. Nuo etikos kodekso priėmimo sankcija parlamento nariui už nedidelį pažeidimą buvo skirta vieną kartą</w:t>
      </w:r>
      <w:r>
        <w:rPr>
          <w:rStyle w:val="FootnoteReference"/>
          <w:rFonts w:eastAsia="Times New Roman" w:cs="Times New Roman"/>
          <w:noProof/>
          <w:szCs w:val="24"/>
          <w:lang w:eastAsia="en-GB"/>
        </w:rPr>
        <w:footnoteReference w:id="85"/>
      </w:r>
      <w:r>
        <w:rPr>
          <w:noProof/>
        </w:rPr>
        <w:t xml:space="preserve">. </w:t>
      </w:r>
    </w:p>
    <w:p>
      <w:pPr>
        <w:shd w:val="clear" w:color="auto" w:fill="FFFFFF" w:themeFill="background1"/>
        <w:rPr>
          <w:rFonts w:eastAsia="Times New Roman" w:cs="Times New Roman"/>
          <w:noProof/>
          <w:szCs w:val="24"/>
        </w:rPr>
      </w:pPr>
      <w:r>
        <w:rPr>
          <w:b/>
          <w:noProof/>
          <w:szCs w:val="24"/>
        </w:rPr>
        <w:t>Nepaisant galiojančių pranešėjų apsaugos teisės nuostatų, jos iki šiol nėra veiksmingai įgyvendintos.</w:t>
      </w:r>
      <w:r>
        <w:rPr>
          <w:noProof/>
        </w:rPr>
        <w:t xml:space="preserve"> Profesinio sąžiningumo ir korupcijos prevencijos įstatyme yra vien pranešėjų apsaugai skirtas skyrius. Tačiau pagal šį įstatymą pranešėjai pranešimų ir apsaugos prašymų teikia mažai</w:t>
      </w:r>
      <w:r>
        <w:rPr>
          <w:rFonts w:eastAsia="Times New Roman" w:cs="Times New Roman"/>
          <w:noProof/>
          <w:szCs w:val="24"/>
          <w:vertAlign w:val="superscript"/>
          <w:lang w:eastAsia="en-GB"/>
        </w:rPr>
        <w:footnoteReference w:id="86"/>
      </w:r>
      <w:r>
        <w:rPr>
          <w:noProof/>
        </w:rPr>
        <w:t>. Be to, nors įstatyme nurodyta galimybė viešojo sektoriaus institucijose iškelti asmenų, kurie priimtų pranešimus apie neetišką arba neteisėtą elgesį, kandidatūras, atrodo, kad tokių pareigūnų kandidatūros nėra iškeltos arba tokios funkcijos iki galo neatliekamos</w:t>
      </w:r>
      <w:r>
        <w:rPr>
          <w:rFonts w:eastAsia="Times New Roman" w:cs="Times New Roman"/>
          <w:noProof/>
          <w:szCs w:val="24"/>
          <w:vertAlign w:val="superscript"/>
          <w:lang w:eastAsia="en-GB"/>
        </w:rPr>
        <w:footnoteReference w:id="87"/>
      </w:r>
      <w:r>
        <w:rPr>
          <w:noProof/>
        </w:rPr>
        <w:t>. Vis dėlto per pandemiją pagal pranešėjo pateiktą informaciją buvo iškelta viena didelio atgarsio susilaukusi byla</w:t>
      </w:r>
      <w:r>
        <w:rPr>
          <w:rFonts w:eastAsia="Times New Roman" w:cs="Times New Roman"/>
          <w:noProof/>
          <w:szCs w:val="24"/>
          <w:vertAlign w:val="superscript"/>
          <w:lang w:eastAsia="en-GB"/>
        </w:rPr>
        <w:footnoteReference w:id="88"/>
      </w:r>
      <w:r>
        <w:rPr>
          <w:noProof/>
        </w:rPr>
        <w:t>. Valstybinės prokuratūros teigimu, galiojančios Baudžiamojo proceso kodekso nuostatos dėl saugomų liudytojų negali būti taikomos pranešėjams, jeigu šie laikomi ir įtariamaisiais (pvz., korupcijos byloje).</w:t>
      </w:r>
    </w:p>
    <w:p>
      <w:pPr>
        <w:rPr>
          <w:rFonts w:eastAsia="Times New Roman" w:cs="Times New Roman"/>
          <w:b/>
          <w:noProof/>
          <w:szCs w:val="20"/>
        </w:rPr>
      </w:pPr>
      <w:r>
        <w:rPr>
          <w:b/>
          <w:noProof/>
          <w:szCs w:val="24"/>
        </w:rPr>
        <w:t xml:space="preserve">Per COVID-19 pandemiją buvo atlikta keletas veiksmų, kuriais siekiama įvertinti korupcijos, ypač viešųjų pirkimų srityje, riziką, užkirsti jai kelią ir nuo jos atgrasyti. </w:t>
      </w:r>
      <w:r>
        <w:rPr>
          <w:noProof/>
        </w:rPr>
        <w:t>Per COVID-19 pandemiją Korupcijos prevencijos komisija paskelbė gairių rinkinį, kaip nustatyti korupcijos, ypač susijusios su viešųjų pirkimų procedūromis, atvejus ir nuo jų atgrasyti. Parlamento prašymu Audito Rūmai parengė nacionalinio masto audito ataskaitą apie COVID-19 medicinos priemonių pirkimus, ataskaita buvo paskelbta 2021 m. vasario mėn. Nustatyti faktai atskleidė 13 atvejų, kai kilo įtarimų dėl korupcijos, informacija buvo perduota prokuratūrai. 2020 m. Nacionalinė viešųjų pirkimų peržiūros komisija pranešė apie keletą viešųjų pirkimų procedūrų pažeidimo atvejų, dėl kurių buvo pradėtos naujos bylos</w:t>
      </w:r>
      <w:r>
        <w:rPr>
          <w:rStyle w:val="FootnoteReference"/>
          <w:rFonts w:eastAsia="Calibri" w:cs="Times New Roman"/>
          <w:noProof/>
          <w:szCs w:val="24"/>
        </w:rPr>
        <w:footnoteReference w:id="89"/>
      </w:r>
      <w:r>
        <w:rPr>
          <w:noProof/>
        </w:rPr>
        <w:t>. Nuo 2021 m. sausio mėn. internetu galima pateikti viešųjų pirkimų procedūrų peržiūros prašymus, dėl kurių priimti sprendimai taip pat skelbiami internetu</w:t>
      </w:r>
      <w:r>
        <w:rPr>
          <w:rFonts w:eastAsia="Calibri" w:cs="Times New Roman"/>
          <w:noProof/>
          <w:szCs w:val="24"/>
          <w:vertAlign w:val="superscript"/>
        </w:rPr>
        <w:footnoteReference w:id="90"/>
      </w:r>
      <w:r>
        <w:rPr>
          <w:noProof/>
        </w:rPr>
        <w:t>. Šiomis aplinkybėmis Viešojo administravimo ministerija pradėjo viešų konsultacijų procesą dėl dalinio viešųjų pirkimų įstatymo pakeitimo, o Sveikatos apsaugos ministerija sudarė darbo grupę, kuri parengtų rekomendacijas, kaip iš dalies pakeisti viešųjų pirkimų teisės aktus, kad medicinos priemonių pirkimai taptų efektyvesni</w:t>
      </w:r>
      <w:r>
        <w:rPr>
          <w:rFonts w:eastAsia="Times New Roman" w:cs="Times New Roman"/>
          <w:noProof/>
          <w:szCs w:val="20"/>
          <w:vertAlign w:val="superscript"/>
          <w:lang w:eastAsia="en-GB"/>
        </w:rPr>
        <w:footnoteReference w:id="91"/>
      </w:r>
      <w:r>
        <w:rPr>
          <w:noProof/>
        </w:rPr>
        <w:t>.</w:t>
      </w:r>
    </w:p>
    <w:p>
      <w:pPr>
        <w:pStyle w:val="Heading1"/>
        <w:rPr>
          <w:noProof/>
        </w:rPr>
      </w:pPr>
      <w:r>
        <w:rPr>
          <w:noProof/>
        </w:rPr>
        <w:t>Žiniasklaidos pliuralizmas ir žiniasklaidos laisvė</w:t>
      </w:r>
    </w:p>
    <w:p>
      <w:pPr>
        <w:rPr>
          <w:rFonts w:cs="Times New Roman"/>
          <w:noProof/>
          <w:szCs w:val="24"/>
        </w:rPr>
      </w:pPr>
      <w:r>
        <w:rPr>
          <w:noProof/>
        </w:rPr>
        <w:t>Slovėnijoje saviraiškos ir informacijos laisvės teisinė sistema įtvirtinta Konstitucijoje, o žiniasklaidos pliuralizmas užtikrinamas specialiaisiais antrinės teisės aktais. Žiniasklaidos reguliavimo institucija – Ryšio tinklų ir paslaugų agentūra – yra nepriklausoma institucija, teisiškai ir funkciniu požiūriu atskira nuo vyriausybės. Žiniasklaidos priemonių nuosavybės skaidrumo taisyklėmis įmonės įpareigojamos deklaruoti konkurencijos institucijoms tam tikrą ribą viršijančią savininkų ar vadovų įtaką. Žymiam nuosavybės pasikeitimui taip pat turi pritarti kompetentinga ministerija. Teisės aktai, skirti Audiovizualinės žiniasklaidos paslaugų direktyvai į nacionalinę teisę perkelti, dar nepriimti</w:t>
      </w:r>
      <w:r>
        <w:rPr>
          <w:rFonts w:cs="Times New Roman"/>
          <w:noProof/>
          <w:szCs w:val="24"/>
          <w:vertAlign w:val="superscript"/>
          <w:lang w:val="en-IE"/>
        </w:rPr>
        <w:footnoteReference w:id="92"/>
      </w:r>
      <w:r>
        <w:rPr>
          <w:noProof/>
        </w:rPr>
        <w:t xml:space="preserve">. </w:t>
      </w:r>
    </w:p>
    <w:p>
      <w:pPr>
        <w:shd w:val="clear" w:color="auto" w:fill="FFFFFF"/>
        <w:rPr>
          <w:rFonts w:eastAsia="Times New Roman" w:cs="Times New Roman"/>
          <w:noProof/>
          <w:szCs w:val="24"/>
          <w:highlight w:val="yellow"/>
        </w:rPr>
      </w:pPr>
      <w:r>
        <w:rPr>
          <w:b/>
          <w:noProof/>
          <w:szCs w:val="24"/>
        </w:rPr>
        <w:t>Ryšio tinklų ir paslaugų agentūros nepriklausomumas užtikrinamas įstatymu, tačiau jai trūksta išteklių ir neužtenka įsipareigojimo stiprinti jos nepriklausomumą</w:t>
      </w:r>
      <w:r>
        <w:rPr>
          <w:noProof/>
        </w:rPr>
        <w:t>. Ryšio tinklų ir paslaugų agentūrai buvo skirta papildomai išteklių, kad ji galėtų vykdyti naujas savo funkcijas, kai bus į nacionalinę teisę perkelta Audiovizualinės žiniasklaidos paslaugų direktyva</w:t>
      </w:r>
      <w:r>
        <w:rPr>
          <w:rStyle w:val="FootnoteReference"/>
          <w:rFonts w:eastAsia="Times New Roman" w:cs="Times New Roman"/>
          <w:noProof/>
          <w:szCs w:val="24"/>
          <w:lang w:eastAsia="en-GB"/>
        </w:rPr>
        <w:footnoteReference w:id="93"/>
      </w:r>
      <w:r>
        <w:rPr>
          <w:noProof/>
        </w:rPr>
        <w:t>. Tačiau dar nenustatyta, ar agentūrai pakaks papildomų išteklių, kad ji galėtų visapusiškai atlikti labai įvairias jai patikėtas funkcijas</w:t>
      </w:r>
      <w:r>
        <w:rPr>
          <w:rFonts w:eastAsia="Times New Roman" w:cs="Times New Roman"/>
          <w:noProof/>
          <w:szCs w:val="24"/>
          <w:vertAlign w:val="superscript"/>
          <w:lang w:eastAsia="en-GB"/>
        </w:rPr>
        <w:footnoteReference w:id="94"/>
      </w:r>
      <w:r>
        <w:rPr>
          <w:noProof/>
        </w:rPr>
        <w:t>. Susirūpinimą taip pat kelia apsaugos nuo politinio kišimosi priemonių nebuvimas</w:t>
      </w:r>
      <w:r>
        <w:rPr>
          <w:rFonts w:eastAsia="Times New Roman" w:cs="Times New Roman"/>
          <w:noProof/>
          <w:szCs w:val="24"/>
          <w:vertAlign w:val="superscript"/>
          <w:lang w:eastAsia="en-GB"/>
        </w:rPr>
        <w:footnoteReference w:id="95"/>
      </w:r>
      <w:r>
        <w:rPr>
          <w:noProof/>
        </w:rPr>
        <w:t>. Todėl Žiniasklaidos pliuralizmo observatorija (MPM 2021) žiniasklaidos reguliavimo institucijos nepriklausomumui ir efektyvumui priskiria vidutinės rizikos lygį</w:t>
      </w:r>
      <w:r>
        <w:rPr>
          <w:rFonts w:eastAsia="Times New Roman" w:cs="Times New Roman"/>
          <w:noProof/>
          <w:szCs w:val="24"/>
          <w:vertAlign w:val="superscript"/>
          <w:lang w:eastAsia="en-GB"/>
        </w:rPr>
        <w:footnoteReference w:id="96"/>
      </w:r>
      <w:r>
        <w:rPr>
          <w:noProof/>
        </w:rPr>
        <w:t>. Ryšio tinklų ir paslaugų agentūros statusas užtikrinamas Elektroninių ryšių įstatymu</w:t>
      </w:r>
      <w:r>
        <w:rPr>
          <w:rFonts w:eastAsia="Times New Roman" w:cs="Times New Roman"/>
          <w:noProof/>
          <w:szCs w:val="24"/>
          <w:vertAlign w:val="superscript"/>
          <w:lang w:eastAsia="en-GB"/>
        </w:rPr>
        <w:footnoteReference w:id="97"/>
      </w:r>
      <w:r>
        <w:rPr>
          <w:noProof/>
        </w:rPr>
        <w:t>, o jos vykdomieji įgaliojimai audiovizualinės žiniasklaidos srityje grindžiami Masinės žiniasklaidos įstatymu</w:t>
      </w:r>
      <w:r>
        <w:rPr>
          <w:rFonts w:eastAsia="Times New Roman" w:cs="Times New Roman"/>
          <w:noProof/>
          <w:szCs w:val="24"/>
          <w:vertAlign w:val="superscript"/>
          <w:lang w:eastAsia="en-GB"/>
        </w:rPr>
        <w:footnoteReference w:id="98"/>
      </w:r>
      <w:r>
        <w:rPr>
          <w:noProof/>
        </w:rPr>
        <w:t xml:space="preserve"> ir Audiovizualinės žiniasklaidos paslaugų įstatymu</w:t>
      </w:r>
      <w:r>
        <w:rPr>
          <w:rFonts w:eastAsia="Times New Roman" w:cs="Times New Roman"/>
          <w:noProof/>
          <w:szCs w:val="24"/>
          <w:vertAlign w:val="superscript"/>
          <w:lang w:eastAsia="en-GB"/>
        </w:rPr>
        <w:footnoteReference w:id="99"/>
      </w:r>
      <w:r>
        <w:rPr>
          <w:noProof/>
        </w:rPr>
        <w:t>. 2020 m. Vyriausybė pasiūlė persvarstyti Masinės žiniasklaidos įstatymą, peržiūrą numatyta baigti iki 2021 m. pabaigos. Audiovizualinės žiniasklaidos paslaugų įstatymo peržiūra, apimanti Audiovizualinės žiniasklaidos paslaugų direktyvos perkėlimą į nacionalinę teisę, dar vyksta, Vyriausybė planuoja ją baigti iki 2021 m. pabaigos</w:t>
      </w:r>
      <w:r>
        <w:rPr>
          <w:rFonts w:eastAsia="Times New Roman" w:cs="Times New Roman"/>
          <w:noProof/>
          <w:szCs w:val="24"/>
          <w:vertAlign w:val="superscript"/>
          <w:lang w:eastAsia="en-GB"/>
        </w:rPr>
        <w:footnoteReference w:id="100"/>
      </w:r>
      <w:r>
        <w:rPr>
          <w:noProof/>
        </w:rPr>
        <w:t>. 2020 m. birželio mėn. buvo pradėtos viešos konsultacijos dėl Audiovizualinės žiniasklaidos paslaugų įstatymo peržiūros, į kurią buvo įtraukta konkreti nuostata dėl agentūros nepriklausomumo</w:t>
      </w:r>
      <w:r>
        <w:rPr>
          <w:rStyle w:val="FootnoteReference"/>
          <w:rFonts w:eastAsia="Times New Roman" w:cs="Times New Roman"/>
          <w:noProof/>
          <w:szCs w:val="24"/>
          <w:lang w:eastAsia="en-GB"/>
        </w:rPr>
        <w:footnoteReference w:id="101"/>
      </w:r>
      <w:r>
        <w:rPr>
          <w:noProof/>
        </w:rPr>
        <w:t>. Tačiau dabartinėje įstatymo projekto redakcijoje, kurią Vyriausybė 2021 m. kovo mėn. pateikė Parlamentui, tokios nuostatos nėra</w:t>
      </w:r>
      <w:r>
        <w:rPr>
          <w:rStyle w:val="FootnoteReference"/>
          <w:noProof/>
        </w:rPr>
        <w:footnoteReference w:id="102"/>
      </w:r>
      <w:r>
        <w:rPr>
          <w:noProof/>
        </w:rPr>
        <w:t>. Todėl vis tiek abejotina, ar valdžios institucijų įsipareigojimu stiprinti agentūros nepriklausomumą šis rezultatas iš tikrųjų bus pasiektas. 2020 m. spalio mėn. Vyriausybė pasiūlė įstatymą, pagal kurį aštuonios reguliavimo įstaigos, įskaitant Ryšio tinklų ir paslaugų agentūrą</w:t>
      </w:r>
      <w:r>
        <w:rPr>
          <w:rFonts w:eastAsia="Times New Roman" w:cs="Times New Roman"/>
          <w:noProof/>
          <w:szCs w:val="24"/>
          <w:vertAlign w:val="superscript"/>
          <w:lang w:eastAsia="en-GB"/>
        </w:rPr>
        <w:footnoteReference w:id="103"/>
      </w:r>
      <w:r>
        <w:rPr>
          <w:noProof/>
        </w:rPr>
        <w:t>, būtų sujungtos į dvi agentūras. Šis pasiūlymas kelia susirūpinimą dėl reguliavimo institucijos nepriklausomumo</w:t>
      </w:r>
      <w:r>
        <w:rPr>
          <w:rFonts w:eastAsia="Times New Roman" w:cs="Times New Roman"/>
          <w:noProof/>
          <w:szCs w:val="24"/>
          <w:vertAlign w:val="superscript"/>
          <w:lang w:eastAsia="en-GB"/>
        </w:rPr>
        <w:footnoteReference w:id="104"/>
      </w:r>
      <w:r>
        <w:rPr>
          <w:noProof/>
        </w:rPr>
        <w:t xml:space="preserve">. 2021 m. balandžio mėn. siūlomam įstatymui Parlamente nebuvo pritarta, todėl parlamentinė procedūra buvo užbaigta. </w:t>
      </w:r>
    </w:p>
    <w:p>
      <w:pPr>
        <w:shd w:val="clear" w:color="auto" w:fill="FFFFFF"/>
        <w:rPr>
          <w:rFonts w:eastAsia="Times New Roman" w:cs="Times New Roman"/>
          <w:noProof/>
          <w:szCs w:val="24"/>
        </w:rPr>
      </w:pPr>
      <w:r>
        <w:rPr>
          <w:b/>
          <w:noProof/>
          <w:szCs w:val="24"/>
        </w:rPr>
        <w:t xml:space="preserve">Slovėnijoje galioja specialios nuostatos dėl žiniasklaidos priemonių nuosavybės skaidrumo, </w:t>
      </w:r>
      <w:r>
        <w:rPr>
          <w:b/>
          <w:noProof/>
        </w:rPr>
        <w:t>tačiau veiksmingas nuosavybės struktūros nustatymas tebekelia susirūpinimą.</w:t>
      </w:r>
      <w:r>
        <w:rPr>
          <w:noProof/>
        </w:rPr>
        <w:t xml:space="preserve"> Leidėjai ar transliuotojai privalo pranešti apie visus atvejus, kai vieno asmens turima įmonės nuosavybės dalis ar valdymo įgaliojimai siekia 5 proc. ar daugiau</w:t>
      </w:r>
      <w:r>
        <w:rPr>
          <w:rStyle w:val="FootnoteReference"/>
          <w:noProof/>
        </w:rPr>
        <w:footnoteReference w:id="105"/>
      </w:r>
      <w:r>
        <w:rPr>
          <w:noProof/>
        </w:rPr>
        <w:t>. Informacija apie žiniasklaidos priemonių nuosavybę skelbiama Žiniasklaidos registre, jis yra viešai prieinamas Kultūros ministerijos interneto svetainėje</w:t>
      </w:r>
      <w:r>
        <w:rPr>
          <w:rStyle w:val="FootnoteReference"/>
          <w:rFonts w:eastAsia="Times New Roman" w:cs="Times New Roman"/>
          <w:noProof/>
          <w:szCs w:val="24"/>
          <w:lang w:eastAsia="en-GB"/>
        </w:rPr>
        <w:footnoteReference w:id="106"/>
      </w:r>
      <w:r>
        <w:rPr>
          <w:noProof/>
        </w:rPr>
        <w:t>. 2020 m. liepos mėn. Vyriausybė paskelbė Masinės žiniasklaidos įstatymo pakeitimų projektą, pakeitimais būtų sugriežtinta žiniasklaidos priemonių nuosavybės skaidrumo tvarka panaikinant minimalią 5 proc. ribą, tvarka nebūtų taikoma įmonėms, turinčioms akcinių bendrovių struktūrą</w:t>
      </w:r>
      <w:r>
        <w:rPr>
          <w:rStyle w:val="FootnoteReference"/>
          <w:noProof/>
        </w:rPr>
        <w:footnoteReference w:id="107"/>
      </w:r>
      <w:r>
        <w:rPr>
          <w:noProof/>
        </w:rPr>
        <w:t>. Jeigu minėtas pakeitimas bus priimtas, juo bus pagerintas žiniasklaidos priemonių nuosavybės skaidrumas. Tačiau, kaip pažymima MPM 2021 ataskaitoje, iš registro šiuo metu ne visada galima nustatyti tikruosius savininkus. Todėl darytina išvada, kad žiniasklaidos priemonių nuosavybės skaidrumui Slovėnijoje būdinga vidutinė rizika</w:t>
      </w:r>
      <w:r>
        <w:rPr>
          <w:rStyle w:val="FootnoteReference"/>
          <w:rFonts w:eastAsia="Times New Roman" w:cs="Times New Roman"/>
          <w:noProof/>
          <w:szCs w:val="24"/>
          <w:lang w:eastAsia="en-GB"/>
        </w:rPr>
        <w:footnoteReference w:id="108"/>
      </w:r>
      <w:r>
        <w:rPr>
          <w:noProof/>
        </w:rPr>
        <w:t>. Tyrimus vykdančių žurnalistų atliekamas dvejų metų tyrimas atskleidė neskaidrias integruotas nuosavybės struktūras, ypač kai yra keli paraleliniai savininkai, todėl sunku nustatyti galutinį savininką arba asmenį, darantį įtaką žiniasklaidos priemonei</w:t>
      </w:r>
      <w:r>
        <w:rPr>
          <w:rFonts w:eastAsia="Times New Roman" w:cs="Times New Roman"/>
          <w:noProof/>
          <w:szCs w:val="24"/>
          <w:vertAlign w:val="superscript"/>
          <w:lang w:eastAsia="en-GB"/>
        </w:rPr>
        <w:footnoteReference w:id="109"/>
      </w:r>
      <w:r>
        <w:rPr>
          <w:noProof/>
        </w:rPr>
        <w:t>. Kalbant apie naujienų žiniasklaidos priemonių koncentraciją, Masinės žiniasklaidos įstatyme nustatyta daugiau kaip 20 proc. nuosavybės dalies riba, tačiau MPM 2021 ataskaitoje pranešama, kad trūksta duomenų ir neatliekama reguliari analizė, kad būtų galima įvertinti padėtį</w:t>
      </w:r>
      <w:r>
        <w:rPr>
          <w:rStyle w:val="FootnoteReference"/>
          <w:rFonts w:eastAsia="Times New Roman" w:cs="Times New Roman"/>
          <w:noProof/>
          <w:szCs w:val="24"/>
          <w:lang w:eastAsia="en-GB"/>
        </w:rPr>
        <w:footnoteReference w:id="110"/>
      </w:r>
      <w:r>
        <w:rPr>
          <w:noProof/>
        </w:rPr>
        <w:t xml:space="preserve">.  </w:t>
      </w:r>
    </w:p>
    <w:p>
      <w:pPr>
        <w:shd w:val="clear" w:color="auto" w:fill="FFFFFF"/>
        <w:rPr>
          <w:rFonts w:eastAsia="Times New Roman" w:cs="Times New Roman"/>
          <w:noProof/>
          <w:szCs w:val="24"/>
        </w:rPr>
      </w:pPr>
      <w:r>
        <w:rPr>
          <w:b/>
          <w:noProof/>
          <w:szCs w:val="24"/>
        </w:rPr>
        <w:t>Pranešta apie politinio kišimosi į žiniasklaidos veiklą atvejus</w:t>
      </w:r>
      <w:r>
        <w:rPr>
          <w:noProof/>
        </w:rPr>
        <w:t>. MPM 2021 ataskaitoje politiniam žiniasklaidos nepriklausomumui Slovėnijoje priskiriama aukšta rizika. Buvo išreikštas susirūpinimas dėl galimų visuomeninio transliuotojo finansavimo pasikeitimų, numatytų Masinės žiniasklaidos įstatymo pakeitimų projekte ir dėl spaudimo nacionalinei spaudos agentūrai, kuriuos suinteresuotieji subjektai laiko politiškai motyvuotais</w:t>
      </w:r>
      <w:r>
        <w:rPr>
          <w:noProof/>
          <w:vertAlign w:val="superscript"/>
        </w:rPr>
        <w:footnoteReference w:id="111"/>
      </w:r>
      <w:r>
        <w:rPr>
          <w:noProof/>
        </w:rPr>
        <w:t>. Ypač po tam tikrų vėlavimų išmokėti Slovėnijos spaudos agentūrai (STA) 2020 m. finansavimą, Vyriausybės ryšių tarnyba neišmokėjo 2021 m. agentūros finansavimo</w:t>
      </w:r>
      <w:r>
        <w:rPr>
          <w:rStyle w:val="FootnoteReference"/>
          <w:noProof/>
        </w:rPr>
        <w:footnoteReference w:id="112"/>
      </w:r>
      <w:r>
        <w:rPr>
          <w:noProof/>
        </w:rPr>
        <w:t>. Slovėnijos valdžios institucijų prašymu 2021 m. balandžio 29 d. Europos Komisija nurodė, kad 2,5 mln. EUR finansavimas, kurį Slovėnija skyrė Slovėnijos spaudos agentūrai jos viešųjų paslaugų misijai atlikti, visiškai atitinka ES teisę</w:t>
      </w:r>
      <w:r>
        <w:rPr>
          <w:rStyle w:val="FootnoteReference"/>
          <w:noProof/>
        </w:rPr>
        <w:footnoteReference w:id="113"/>
      </w:r>
      <w:r>
        <w:rPr>
          <w:noProof/>
        </w:rPr>
        <w:t>. Tačiau šios lėšos dar nėra išmokėtos</w:t>
      </w:r>
      <w:r>
        <w:rPr>
          <w:rStyle w:val="FootnoteReference"/>
          <w:noProof/>
        </w:rPr>
        <w:footnoteReference w:id="114"/>
      </w:r>
      <w:r>
        <w:rPr>
          <w:noProof/>
        </w:rPr>
        <w:t>. Įvairūs suinteresuotieji subjektai yra išreiškę susirūpinimą dėl bendros žiniasklaidos pliuralizmo padėties Slovėnijoje</w:t>
      </w:r>
      <w:r>
        <w:rPr>
          <w:rStyle w:val="FootnoteReference"/>
          <w:rFonts w:eastAsia="Times New Roman" w:cs="Times New Roman"/>
          <w:noProof/>
          <w:szCs w:val="24"/>
          <w:lang w:eastAsia="en-GB"/>
        </w:rPr>
        <w:footnoteReference w:id="115"/>
      </w:r>
      <w:r>
        <w:rPr>
          <w:noProof/>
        </w:rPr>
        <w:t>.</w:t>
      </w:r>
    </w:p>
    <w:p>
      <w:pPr>
        <w:shd w:val="clear" w:color="auto" w:fill="FFFFFF"/>
        <w:rPr>
          <w:rFonts w:eastAsia="Times New Roman" w:cs="Times New Roman"/>
          <w:noProof/>
          <w:szCs w:val="24"/>
        </w:rPr>
      </w:pPr>
      <w:r>
        <w:rPr>
          <w:b/>
          <w:noProof/>
          <w:szCs w:val="24"/>
        </w:rPr>
        <w:t xml:space="preserve">Valstybinės reklamos valdymo pažangos nepastebėta. </w:t>
      </w:r>
      <w:r>
        <w:rPr>
          <w:noProof/>
        </w:rPr>
        <w:t>Kaip pranešta 2020 m. teisinės valstybės principo taikymo ataskaitoje, nacionalinėms, regioninėms ir vietos vyriausybėms skirstant reklamą žiniasklaidos priemonėms, skaidrių ir aiškių principų netaikoma</w:t>
      </w:r>
      <w:r>
        <w:rPr>
          <w:rFonts w:eastAsia="Times New Roman" w:cs="Times New Roman"/>
          <w:noProof/>
          <w:szCs w:val="24"/>
          <w:vertAlign w:val="superscript"/>
          <w:lang w:eastAsia="en-GB"/>
        </w:rPr>
        <w:footnoteReference w:id="116"/>
      </w:r>
      <w:r>
        <w:rPr>
          <w:noProof/>
        </w:rPr>
        <w:t>. Remiantis neseniai atliktu tyrimu</w:t>
      </w:r>
      <w:r>
        <w:rPr>
          <w:rFonts w:eastAsia="Times New Roman" w:cs="Times New Roman"/>
          <w:noProof/>
          <w:szCs w:val="24"/>
          <w:vertAlign w:val="superscript"/>
          <w:lang w:eastAsia="en-GB"/>
        </w:rPr>
        <w:footnoteReference w:id="117"/>
      </w:r>
      <w:r>
        <w:rPr>
          <w:noProof/>
        </w:rPr>
        <w:t xml:space="preserve"> ir kitais šaltiniais</w:t>
      </w:r>
      <w:r>
        <w:rPr>
          <w:rFonts w:eastAsia="Times New Roman" w:cs="Times New Roman"/>
          <w:noProof/>
          <w:szCs w:val="24"/>
          <w:vertAlign w:val="superscript"/>
          <w:lang w:eastAsia="en-GB"/>
        </w:rPr>
        <w:footnoteReference w:id="118"/>
      </w:r>
      <w:r>
        <w:rPr>
          <w:noProof/>
        </w:rPr>
        <w:t>, ši padėtis ypač neskaidri savivaldybių lygmens žiniasklaidos srityje. Įmonių, kurių didžioji dalis nuosavybės arba visa nuosavybė priklauso valstybei, reklama taip pat atrodo neskaidri, nes jos dažnai atsisako dalytis tokia informacija remdamosi komercinių paslapčių apsaugos teisės nuostatomis</w:t>
      </w:r>
      <w:r>
        <w:rPr>
          <w:rFonts w:eastAsia="Times New Roman" w:cs="Times New Roman"/>
          <w:noProof/>
          <w:szCs w:val="24"/>
          <w:vertAlign w:val="superscript"/>
          <w:lang w:eastAsia="en-GB"/>
        </w:rPr>
        <w:footnoteReference w:id="119"/>
      </w:r>
      <w:r>
        <w:rPr>
          <w:noProof/>
        </w:rPr>
        <w:t>. 2020 m. Vyriausybė paskelbė rekomendacijas, kaip ministerijos ir vyriausybių tarnybos turėtų vykdyti reklamos kampanijas, rekomendacijose siūloma lėšas žiniasklaidos priemonėms paskirstyti vienodai, neatsižvelgiant į jų rezultatus žiniasklaidos rinkoje (MPM 2021). Paramos žiniasklaidos pliuralizmui lėšų paskirstymas laikomas skaidriu. Lėšas skiria Kultūros ministerijos paskirta komisija, o informacija apie paskirtas lėšas viešai skelbiama paramos gavėjų interneto svetainėse</w:t>
      </w:r>
      <w:r>
        <w:rPr>
          <w:rFonts w:eastAsia="Times New Roman" w:cs="Times New Roman"/>
          <w:noProof/>
          <w:szCs w:val="24"/>
          <w:vertAlign w:val="superscript"/>
          <w:lang w:eastAsia="en-GB"/>
        </w:rPr>
        <w:footnoteReference w:id="120"/>
      </w:r>
      <w:r>
        <w:rPr>
          <w:noProof/>
        </w:rPr>
        <w:t>.</w:t>
      </w:r>
    </w:p>
    <w:p>
      <w:pPr>
        <w:shd w:val="clear" w:color="auto" w:fill="FFFFFF"/>
        <w:rPr>
          <w:rFonts w:eastAsia="Times New Roman" w:cs="Times New Roman"/>
          <w:noProof/>
          <w:szCs w:val="24"/>
        </w:rPr>
      </w:pPr>
      <w:r>
        <w:rPr>
          <w:b/>
          <w:noProof/>
        </w:rPr>
        <w:t xml:space="preserve">Per COVID-19 pandemiją žiniasklaidos ekonominės sąlygos pablogėjo. </w:t>
      </w:r>
      <w:r>
        <w:rPr>
          <w:noProof/>
        </w:rPr>
        <w:t>Ekonominis žiniasklaidos sektoriaus neapibrėžtumas padidėjo, be kita ko, dėl to, kad Kultūros ministerija laikinai sustabdė mokėjimus pagal 2020 m. vykusį metinį žiniasklaidos turinio bendro finansavimo konkursą, nors visos lėšos vėliau buvo išmokėtos</w:t>
      </w:r>
      <w:r>
        <w:rPr>
          <w:rFonts w:eastAsia="Times New Roman" w:cs="Times New Roman"/>
          <w:noProof/>
          <w:vertAlign w:val="superscript"/>
          <w:lang w:val="en-IE" w:eastAsia="fr-FR"/>
        </w:rPr>
        <w:footnoteReference w:id="121"/>
      </w:r>
      <w:r>
        <w:rPr>
          <w:noProof/>
        </w:rPr>
        <w:t>. Kai kurie suinteresuotieji subjektai</w:t>
      </w:r>
      <w:r>
        <w:rPr>
          <w:rFonts w:eastAsia="Times New Roman" w:cs="Times New Roman"/>
          <w:noProof/>
          <w:vertAlign w:val="superscript"/>
          <w:lang w:val="en-IE" w:eastAsia="fr-FR"/>
        </w:rPr>
        <w:footnoteReference w:id="122"/>
      </w:r>
      <w:r>
        <w:rPr>
          <w:noProof/>
        </w:rPr>
        <w:t xml:space="preserve"> buvo susirūpinę dėl žurnalistų, ypač laisvai samdomų, ekonominių sąlygų</w:t>
      </w:r>
      <w:r>
        <w:rPr>
          <w:noProof/>
          <w:vertAlign w:val="superscript"/>
        </w:rPr>
        <w:footnoteReference w:id="123"/>
      </w:r>
      <w:r>
        <w:rPr>
          <w:noProof/>
        </w:rPr>
        <w:t>. Konkrečių priemonių COVID-19 pandemijos poveikiui žiniasklaidos priemonėms sušvelninti nesiimta. Tačiau žurnalistai galėjo naudotis Vyriausybės teikiamomis bendrosiomis paramos priemonėmis</w:t>
      </w:r>
      <w:r>
        <w:rPr>
          <w:noProof/>
          <w:vertAlign w:val="superscript"/>
        </w:rPr>
        <w:footnoteReference w:id="124"/>
      </w:r>
      <w:r>
        <w:rPr>
          <w:noProof/>
        </w:rPr>
        <w:t>. 2020 m. Kultūros ministerija, siekdama remti žiniasklaidos pliuralizmą ir žiniasklaidos turinio įvairovę</w:t>
      </w:r>
      <w:r>
        <w:rPr>
          <w:rStyle w:val="FootnoteReference"/>
          <w:noProof/>
        </w:rPr>
        <w:footnoteReference w:id="125"/>
      </w:r>
      <w:r>
        <w:rPr>
          <w:noProof/>
        </w:rPr>
        <w:t>, pagal konkursą išmokėjo metines lėšas, šiais metais siekiančias 2,7 mln. EUR; tačiau suinteresuotieji subjektai išreiškė susirūpinimą dėl galimos rizikos, kad bus daroma politinė įtaka dėl tokių lėšų paskirstymo</w:t>
      </w:r>
      <w:r>
        <w:rPr>
          <w:rStyle w:val="FootnoteReference"/>
          <w:noProof/>
        </w:rPr>
        <w:footnoteReference w:id="126"/>
      </w:r>
      <w:r>
        <w:rPr>
          <w:noProof/>
        </w:rPr>
        <w:t>.</w:t>
      </w:r>
    </w:p>
    <w:p>
      <w:pPr>
        <w:shd w:val="clear" w:color="auto" w:fill="FFFFFF"/>
        <w:rPr>
          <w:rFonts w:eastAsia="Times New Roman" w:cs="Times New Roman"/>
          <w:noProof/>
          <w:szCs w:val="24"/>
        </w:rPr>
      </w:pPr>
      <w:r>
        <w:rPr>
          <w:b/>
          <w:noProof/>
          <w:szCs w:val="24"/>
        </w:rPr>
        <w:t>Žurnalistai ir toliau susiduria su kliūtimis siekdami susipažinti su vieša informacija ir dokumentais, ypač dėl ilgokų procedūrų.</w:t>
      </w:r>
      <w:r>
        <w:rPr>
          <w:noProof/>
        </w:rPr>
        <w:t xml:space="preserve"> Teisė į informaciją įtvirtinta Konstitucijoje ir reglamentuojama Viešos informacijos prieinamumo įstatyme. Tačiau viešos informacijos gavimo procesas dažnai yra ilgas, nes į jį įsitraukia visos jame dalyvaujančios atitinkamos valdžios institucijos. Nors Informacijos komisaras</w:t>
      </w:r>
      <w:r>
        <w:rPr>
          <w:b/>
          <w:noProof/>
          <w:szCs w:val="24"/>
        </w:rPr>
        <w:t xml:space="preserve"> </w:t>
      </w:r>
      <w:r>
        <w:rPr>
          <w:noProof/>
        </w:rPr>
        <w:t>reguliariai imasi veiksmų, kai valstybės administravimo institucijos žurnalistams neleidžia susipažinti su</w:t>
      </w:r>
      <w:r>
        <w:rPr>
          <w:b/>
          <w:noProof/>
          <w:szCs w:val="24"/>
        </w:rPr>
        <w:t xml:space="preserve"> </w:t>
      </w:r>
      <w:r>
        <w:rPr>
          <w:noProof/>
        </w:rPr>
        <w:t>vieša informacija ir dokumentais</w:t>
      </w:r>
      <w:r>
        <w:rPr>
          <w:rFonts w:eastAsia="Times New Roman" w:cs="Times New Roman"/>
          <w:noProof/>
          <w:szCs w:val="24"/>
          <w:vertAlign w:val="superscript"/>
          <w:lang w:eastAsia="en-GB"/>
        </w:rPr>
        <w:footnoteReference w:id="127"/>
      </w:r>
      <w:r>
        <w:rPr>
          <w:noProof/>
        </w:rPr>
        <w:t>, dėl šio dažno naudojimosi apeliacine sistema gerokai padidėja komisaro darbo krūvis</w:t>
      </w:r>
      <w:r>
        <w:rPr>
          <w:rFonts w:eastAsia="Times New Roman" w:cs="Times New Roman"/>
          <w:noProof/>
          <w:szCs w:val="24"/>
          <w:vertAlign w:val="superscript"/>
          <w:lang w:eastAsia="en-GB"/>
        </w:rPr>
        <w:footnoteReference w:id="128"/>
      </w:r>
      <w:r>
        <w:rPr>
          <w:noProof/>
        </w:rPr>
        <w:t>. Be to, Informacijos komisaro sprendimus peržiūrintys administraciniai teismai praktikoje tokioms byloms neskiria prioriteto, nors teisiškai privalo tai daryti</w:t>
      </w:r>
      <w:r>
        <w:rPr>
          <w:rStyle w:val="FootnoteReference"/>
          <w:rFonts w:eastAsia="Times New Roman" w:cs="Times New Roman"/>
          <w:noProof/>
          <w:szCs w:val="24"/>
          <w:lang w:eastAsia="en-GB"/>
        </w:rPr>
        <w:footnoteReference w:id="129"/>
      </w:r>
      <w:r>
        <w:rPr>
          <w:noProof/>
        </w:rPr>
        <w:t>. Tai lėmė teisminės peržiūros vėlavimus, panašius į vėlavimus įprastose bylose</w:t>
      </w:r>
      <w:r>
        <w:rPr>
          <w:rFonts w:eastAsia="Times New Roman" w:cs="Times New Roman"/>
          <w:noProof/>
          <w:szCs w:val="24"/>
          <w:vertAlign w:val="superscript"/>
          <w:lang w:eastAsia="en-GB"/>
        </w:rPr>
        <w:footnoteReference w:id="130"/>
      </w:r>
      <w:r>
        <w:rPr>
          <w:noProof/>
        </w:rPr>
        <w:t>. MPM 2021 ataskaitoje teisės į informaciją apsaugai priskiriama vidutinė rizika, o MPM 2020 ataskaitoje ši rizika buvo įvertinta kaip maža, nes dažnai netinkamai naudojamasi teisės į informaciją išimtimis ir ilgokai trunka procedūros.</w:t>
      </w:r>
    </w:p>
    <w:p>
      <w:pPr>
        <w:shd w:val="clear" w:color="auto" w:fill="FFFFFF"/>
        <w:rPr>
          <w:rFonts w:eastAsia="Times New Roman" w:cs="Times New Roman"/>
          <w:b/>
          <w:smallCaps/>
          <w:noProof/>
          <w:szCs w:val="24"/>
          <w:u w:val="single"/>
        </w:rPr>
      </w:pPr>
      <w:r>
        <w:rPr>
          <w:b/>
          <w:noProof/>
        </w:rPr>
        <w:t>Į žurnalistus nukreipto priekabiavimo internetu ir ieškinių prieš juos atvejų daugėja, o fiziniai išpuoliai yra reti</w:t>
      </w:r>
      <w:r>
        <w:rPr>
          <w:noProof/>
          <w:vertAlign w:val="superscript"/>
        </w:rPr>
        <w:footnoteReference w:id="131"/>
      </w:r>
      <w:r>
        <w:rPr>
          <w:noProof/>
        </w:rPr>
        <w:t>. Saviraiškos ir informacijos laisvė įtvirtinta Konstitucijoje, taikomi atitinkami teisminiai mechanizmai. Tačiau MPM 2021 ataskaitoje saviraiškos laisvės apsaugai priskiriama vidutinė rizika</w:t>
      </w:r>
      <w:r>
        <w:rPr>
          <w:noProof/>
          <w:vertAlign w:val="superscript"/>
        </w:rPr>
        <w:footnoteReference w:id="132"/>
      </w:r>
      <w:r>
        <w:rPr>
          <w:noProof/>
        </w:rPr>
        <w:t>. 2020 m. spalio ir lapkričio mėn. ir 2021 m. vasario mėn. pranešta apie keletą fizinių išpuolių prieš žurnalistus vykstant protestams, – nusikaltėliai buvo nustatyti ir jų atžvilgiu atliekamas tyrimas</w:t>
      </w:r>
      <w:r>
        <w:rPr>
          <w:noProof/>
          <w:vertAlign w:val="superscript"/>
        </w:rPr>
        <w:footnoteReference w:id="133"/>
      </w:r>
      <w:r>
        <w:rPr>
          <w:noProof/>
        </w:rPr>
        <w:t>. Europos Tarybos platformoje žurnalistikos apsaugai ir žurnalistų saugumui skatinti nuo 2020 m. spalio mėn. paskelbta 12 perspėjimų dėl Slovėnijos. Perspėjimai daugiausia susiję su priekabiavimu prie žurnalistų ir jų atžvilgiu pareikštais ieškiniais</w:t>
      </w:r>
      <w:r>
        <w:rPr>
          <w:noProof/>
          <w:vertAlign w:val="superscript"/>
        </w:rPr>
        <w:footnoteReference w:id="134"/>
      </w:r>
      <w:r>
        <w:rPr>
          <w:noProof/>
        </w:rPr>
        <w:t>. Praėjusiais metais buvo užregistruota keletas atvejų, kai žurnalistams ir žiniasklaidos priemonėms buvo pareikšti bauginantį poveikį turintys ieškiniai</w:t>
      </w:r>
      <w:r>
        <w:rPr>
          <w:rStyle w:val="FootnoteReference"/>
          <w:noProof/>
        </w:rPr>
        <w:footnoteReference w:id="135"/>
      </w:r>
      <w:r>
        <w:rPr>
          <w:noProof/>
        </w:rPr>
        <w:t>. Ir toliau pasitaiko daug atvejų, kai internetu priekabiaujama prie žurnalistų, ypač žurnalisčių, ir grasinama jiems, tai daro ir kai kurie politikai</w:t>
      </w:r>
      <w:r>
        <w:rPr>
          <w:noProof/>
          <w:color w:val="444444"/>
          <w:vertAlign w:val="superscript"/>
        </w:rPr>
        <w:footnoteReference w:id="136"/>
      </w:r>
      <w:r>
        <w:rPr>
          <w:noProof/>
        </w:rPr>
        <w:t>. Be to, daugelis internetinių išpuolių vykdytojų išlieka anonimiški, žurnalistai apie priekabiavimą internetu yra linkę pranešti rečiau negu apie grasinimus fiziniu smurtu</w:t>
      </w:r>
      <w:r>
        <w:rPr>
          <w:noProof/>
          <w:color w:val="444444"/>
          <w:vertAlign w:val="superscript"/>
        </w:rPr>
        <w:footnoteReference w:id="137"/>
      </w:r>
      <w:r>
        <w:rPr>
          <w:noProof/>
        </w:rPr>
        <w:t>. Kaip teigiama tendencija pažymėtina, kad, Aukščiausiajam Teismui priėmus nutartį, Generalinė prokuratūra pakeitė savo teisinę nuomonę dėl Baudžiamojo kodekso 297 straipsnio aiškinimo</w:t>
      </w:r>
      <w:r>
        <w:rPr>
          <w:rStyle w:val="FootnoteReference"/>
          <w:noProof/>
        </w:rPr>
        <w:footnoteReference w:id="138"/>
      </w:r>
      <w:r>
        <w:rPr>
          <w:noProof/>
        </w:rPr>
        <w:t> – vadovaujantis Aukščiausiojo Teismo nutartimi, vykdyti baudžiamąjį persekiojimą už žurnalistų atžvilgiu padarytas nusikalstamas veikas leidžiama ir pagal šią nuostatą</w:t>
      </w:r>
      <w:r>
        <w:rPr>
          <w:rStyle w:val="FootnoteReference"/>
          <w:noProof/>
        </w:rPr>
        <w:footnoteReference w:id="139"/>
      </w:r>
      <w:r>
        <w:rPr>
          <w:noProof/>
        </w:rPr>
        <w:t>.</w:t>
      </w:r>
    </w:p>
    <w:p>
      <w:pPr>
        <w:spacing w:after="160" w:line="259" w:lineRule="auto"/>
        <w:jc w:val="left"/>
        <w:rPr>
          <w:rFonts w:eastAsia="Times New Roman" w:cs="Times New Roman"/>
          <w:b/>
          <w:smallCaps/>
          <w:noProof/>
          <w:szCs w:val="24"/>
          <w:u w:val="single"/>
        </w:rPr>
      </w:pPr>
      <w:r>
        <w:rPr>
          <w:noProof/>
        </w:rPr>
        <w:br w:type="page"/>
      </w:r>
    </w:p>
    <w:p>
      <w:pPr>
        <w:pStyle w:val="Heading1"/>
        <w:rPr>
          <w:noProof/>
        </w:rPr>
      </w:pPr>
      <w:r>
        <w:rPr>
          <w:noProof/>
        </w:rPr>
        <w:t>Kiti instituciniai klausimai, susiję su stabdžių ir atsvarų sistema</w:t>
      </w:r>
    </w:p>
    <w:p>
      <w:pPr>
        <w:rPr>
          <w:rFonts w:eastAsia="Calibri"/>
          <w:noProof/>
          <w:szCs w:val="24"/>
        </w:rPr>
      </w:pPr>
      <w:r>
        <w:rPr>
          <w:noProof/>
        </w:rPr>
        <w:t>Slovėnijoje veikia parlamentinė valdžios sistema su netobula dviejų rūmų struktūra, kurioje įstatymus priima tik Nacionalinė Asamblėja (pirmieji Parlamento rūmai), o Nacionalinė Taryba (antrieji Parlamento rūmai) jų nepriima</w:t>
      </w:r>
      <w:r>
        <w:rPr>
          <w:rFonts w:eastAsia="Calibri"/>
          <w:noProof/>
          <w:szCs w:val="24"/>
          <w:vertAlign w:val="superscript"/>
        </w:rPr>
        <w:footnoteReference w:id="140"/>
      </w:r>
      <w:r>
        <w:rPr>
          <w:noProof/>
        </w:rPr>
        <w:t xml:space="preserve">. Teisės aktų projektus gali teikti Vyriausybė, bet kuris Parlamento narys arba bent 5 000 rinkėjų. Konstitucinis Teismas atlieka </w:t>
      </w:r>
      <w:r>
        <w:rPr>
          <w:i/>
          <w:noProof/>
          <w:szCs w:val="24"/>
        </w:rPr>
        <w:t>ex post</w:t>
      </w:r>
      <w:r>
        <w:rPr>
          <w:noProof/>
        </w:rPr>
        <w:t xml:space="preserve"> konstitucinę peržiūrą, taip pat ir konkrečiose bylose, remdamasis konstituciniu skundu. Kartu su visa teisingumo sistema ir kitomis įstaigomis, Žmogaus teisių ombudsmenas ir Lygybės principo advokatas taip pat atsako už asmenų teisių apsaugą. </w:t>
      </w:r>
    </w:p>
    <w:p>
      <w:pPr>
        <w:rPr>
          <w:rFonts w:eastAsia="Calibri" w:cs="Times New Roman"/>
          <w:noProof/>
          <w:szCs w:val="24"/>
        </w:rPr>
      </w:pPr>
      <w:r>
        <w:rPr>
          <w:b/>
          <w:noProof/>
          <w:szCs w:val="20"/>
        </w:rPr>
        <w:t xml:space="preserve">COVID-19 pandemijos laikotarpiu Parlamentas toliau tęsė veiklą. </w:t>
      </w:r>
      <w:r>
        <w:rPr>
          <w:noProof/>
        </w:rPr>
        <w:t>2020 m. balandžio mėn. Parlamento darbo tvarkos taisyklių pakeitimu buvo panaikintos kliūtys internetu vykdyti parlamentinių komitetų ir plenarinės sesijos posėdžius</w:t>
      </w:r>
      <w:r>
        <w:rPr>
          <w:rStyle w:val="FootnoteReference"/>
          <w:rFonts w:eastAsia="Times New Roman" w:cs="Times New Roman"/>
          <w:noProof/>
          <w:szCs w:val="20"/>
          <w:lang w:val="en-IE" w:eastAsia="fr-FR"/>
        </w:rPr>
        <w:footnoteReference w:id="141"/>
      </w:r>
      <w:r>
        <w:rPr>
          <w:noProof/>
        </w:rPr>
        <w:t>. Dėl minėtų pakeitimų Parlamentas 2020 m. dirbo įprastai ir priėmė 78 įstatymus – panašiai kaip ir ankstesniais metais. Kaip išnagrinėta 2020 m. teisinės valstybės principo taikymo ataskaitoje, įstatymai gali būti priimami sutrumpinta arba skubos tvarka, dėl to sprendžia Parlamento pirmininko kolegija</w:t>
      </w:r>
      <w:r>
        <w:rPr>
          <w:rStyle w:val="FootnoteReference"/>
          <w:rFonts w:eastAsia="Calibri" w:cs="Times New Roman"/>
          <w:noProof/>
          <w:szCs w:val="24"/>
        </w:rPr>
        <w:footnoteReference w:id="142"/>
      </w:r>
      <w:r>
        <w:rPr>
          <w:noProof/>
        </w:rPr>
        <w:t>. 2020 m. 31 proc. visų įstatymų buvo priimta pagal įprastą procedūrą (2019 m. – 30 proc.), 32 proc. įstatymų – skubos tvarka (2019 m. – 18 proc.), o 27 proc. įstatymų – pagal sutrumpintą teisėkūros procedūrą (2019 m. – 31 proc.). Šie duomenys rodo, kad bendra skubios tvarkos arba sutrumpintos teisėkūros procedūros taikymo atvejų dalis iš esmės nepakito. Yra problemų, susijusių su Vyriausybės konsultavimusi su pilietine visuomene dėl įstatymų projektų. Visų pirma viešos konsultacijos arba apskritai neatliekamos, arba yra per trumpos, arba nenurodomas konkretus terminas pastaboms pateikti</w:t>
      </w:r>
      <w:r>
        <w:rPr>
          <w:rStyle w:val="FootnoteReference"/>
          <w:rFonts w:eastAsia="Calibri" w:cs="Times New Roman"/>
          <w:noProof/>
          <w:szCs w:val="24"/>
        </w:rPr>
        <w:footnoteReference w:id="143"/>
      </w:r>
      <w:r>
        <w:rPr>
          <w:noProof/>
        </w:rPr>
        <w:t>.</w:t>
      </w:r>
    </w:p>
    <w:p>
      <w:pPr>
        <w:pStyle w:val="NoSpacing"/>
        <w:spacing w:after="240"/>
        <w:jc w:val="both"/>
        <w:rPr>
          <w:rFonts w:ascii="Times New Roman" w:hAnsi="Times New Roman" w:cs="Times New Roman"/>
          <w:bCs/>
          <w:iCs/>
          <w:noProof/>
          <w:sz w:val="24"/>
        </w:rPr>
      </w:pPr>
      <w:r>
        <w:rPr>
          <w:rFonts w:ascii="Times New Roman" w:hAnsi="Times New Roman"/>
          <w:b/>
          <w:noProof/>
          <w:sz w:val="24"/>
          <w:szCs w:val="20"/>
        </w:rPr>
        <w:t xml:space="preserve">Kadangi nepaprastoji padėtis nebuvo paskelbta, ribojamųjų priemonių priėmimo pagrindas buvo Užkrečiamųjų ligų įstatymas, jis nuo COVID-19 pandemijos pradžios buvo iš dalies keičiamas keturis kartus. </w:t>
      </w:r>
      <w:r>
        <w:rPr>
          <w:rFonts w:ascii="Times New Roman" w:hAnsi="Times New Roman"/>
          <w:bCs/>
          <w:iCs/>
          <w:noProof/>
          <w:sz w:val="24"/>
        </w:rPr>
        <w:t>2020 m. kovo mėn. – 2021 m. vasario mėn. buvo priimta daug priemonių, daugiausiai pagal Užkrečiamųjų ligų įstatymą, kuriomis buvo užtikrinamas laikinųjų ribojimų arba draudimo judėti, rengti viešus susirinkimus, naudotis tam tikromis paslaugomis (vykdyti tam tikrą verslo veiklą), naudotis viešosiomis paslaugomis (švietimo, teismų, administracinėmis paslaugomis) vykdymas, taip pat asmeninių apsaugos priemonių naudojimo, karantino ir naudojimosi viešojo transporto paslaugomis vykdymas. Priemonės daugiausia buvo priimamos nurodymų ir įsakymų forma, rečiau – sprendimų ir įstatymų forma. Tokias priemones paprastai priimdavo vykdomoji valdžia, dažniausiai – Vyriausybė, o pavieniai ministrai – retai. 2021 m. birželio 3 d. Konstitucinis Teismas Užkrečiamųjų ligų įstatymo 39 straipsnio dalį, kuria Vyriausybei suteikti įgaliojimai apriboti arba uždrausti laisvą judėjimą arba asociacijų laisvę, paskelbė prieštaraujančia Konstitucijai</w:t>
      </w:r>
      <w:r>
        <w:rPr>
          <w:rStyle w:val="FootnoteReference"/>
          <w:rFonts w:ascii="Times New Roman" w:hAnsi="Times New Roman" w:cs="Times New Roman"/>
          <w:bCs/>
          <w:iCs/>
          <w:noProof/>
          <w:sz w:val="24"/>
          <w:lang w:val="en-GB"/>
        </w:rPr>
        <w:footnoteReference w:id="144"/>
      </w:r>
      <w:r>
        <w:rPr>
          <w:rFonts w:ascii="Times New Roman" w:hAnsi="Times New Roman"/>
          <w:bCs/>
          <w:iCs/>
          <w:noProof/>
          <w:sz w:val="24"/>
        </w:rPr>
        <w:t>. Dauguma priemonių buvo skelbiamos Oficialiajame leidinyje, o tas, kurios nebuvo ten skelbiamos, Konstitucinis Teismas įvertino konstitucinių nuostatų dėl viešo skelbimo būtinumo požiūriu. Remdamosi įstatyminiais įgaliojimais, priemones taip pat priimdavo savivaldybės, bet tik savo jurisdikcijos ribose</w:t>
      </w:r>
      <w:r>
        <w:rPr>
          <w:rStyle w:val="FootnoteReference"/>
          <w:rFonts w:ascii="Times New Roman" w:hAnsi="Times New Roman" w:cs="Times New Roman"/>
          <w:bCs/>
          <w:iCs/>
          <w:noProof/>
          <w:sz w:val="24"/>
          <w:lang w:val="en-GB"/>
        </w:rPr>
        <w:footnoteReference w:id="145"/>
      </w:r>
      <w:r>
        <w:rPr>
          <w:rFonts w:ascii="Times New Roman" w:hAnsi="Times New Roman"/>
          <w:bCs/>
          <w:iCs/>
          <w:noProof/>
          <w:sz w:val="24"/>
        </w:rPr>
        <w:t>.</w:t>
      </w:r>
    </w:p>
    <w:p>
      <w:pPr>
        <w:rPr>
          <w:rFonts w:eastAsia="Calibri" w:cs="Times New Roman"/>
          <w:bCs/>
          <w:iCs/>
          <w:noProof/>
        </w:rPr>
      </w:pPr>
      <w:r>
        <w:rPr>
          <w:b/>
          <w:noProof/>
          <w:szCs w:val="20"/>
        </w:rPr>
        <w:t xml:space="preserve">Tam tikrų nepriklausomų įstaigų finansinis nepriklausomumas užtikrintas Konstitucinio Teismo sprendimu. </w:t>
      </w:r>
      <w:r>
        <w:rPr>
          <w:noProof/>
        </w:rPr>
        <w:t>2020 m. gruodžio mėn. Konstitucinis Teismas nustatė, kad tam tikros Viešųjų finansų įstatymo dalys neatitinka Konstitucijos, nes jose nurodyta procedūra, kaip apibrėžti Nacionalinės Tarybos (antrųjų Parlamento rūmų), Konstitucinio Teismo, Žmogaus teisių ombudsmeno</w:t>
      </w:r>
      <w:r>
        <w:rPr>
          <w:rStyle w:val="FootnoteReference"/>
          <w:rFonts w:eastAsia="Calibri" w:cs="Times New Roman"/>
          <w:bCs/>
          <w:iCs/>
          <w:noProof/>
        </w:rPr>
        <w:footnoteReference w:id="146"/>
      </w:r>
      <w:r>
        <w:rPr>
          <w:noProof/>
        </w:rPr>
        <w:t xml:space="preserve"> ir Audito Rūmų biudžetą</w:t>
      </w:r>
      <w:r>
        <w:rPr>
          <w:rFonts w:eastAsia="Calibri" w:cs="Times New Roman"/>
          <w:bCs/>
          <w:iCs/>
          <w:noProof/>
          <w:vertAlign w:val="superscript"/>
        </w:rPr>
        <w:footnoteReference w:id="147"/>
      </w:r>
      <w:r>
        <w:rPr>
          <w:noProof/>
        </w:rPr>
        <w:t>. Šiuo sprendimu pabrėžiamas keturių minėtų pagal Konstituciją sukurtų nepriklausomų institucijų finansinis savarankiškumas ir nepriklausomumas. Anksčiau šios įstaigos pateikė Finansų ministerijai siūlymų dėl biudžeto, tačiau Finansų ministerija neprivalėjo vadovautis siūloma suma. Vyriausybė ir Parlamentas dabar privalo garantuoti šioms institucijoms biudžetą, nedarydamos įtakos jo sumai.</w:t>
      </w:r>
    </w:p>
    <w:p>
      <w:pPr>
        <w:rPr>
          <w:rFonts w:eastAsia="Times New Roman" w:cs="Times New Roman"/>
          <w:b/>
          <w:noProof/>
          <w:szCs w:val="20"/>
        </w:rPr>
      </w:pPr>
      <w:r>
        <w:rPr>
          <w:b/>
          <w:noProof/>
          <w:szCs w:val="20"/>
        </w:rPr>
        <w:t xml:space="preserve">Konstitucinis Teismas pagerino savo veiklos veiksmingumą ir atliko aktyvų vaidmenį peržiūrint COVID-19 pandemijos valdymo priemones. </w:t>
      </w:r>
      <w:r>
        <w:rPr>
          <w:noProof/>
        </w:rPr>
        <w:t>2020 m. teisinės valstybės principo taikymo ataskaitoje taip pat buvo nurodyta, kad, padaugėjus konstitucinių skundų, toliau daugėjo susikaupusių Konstitucinio Teismo bylų ir toliau ilgėjo proceso trukmė</w:t>
      </w:r>
      <w:r>
        <w:rPr>
          <w:rStyle w:val="FootnoteReference"/>
          <w:noProof/>
          <w:szCs w:val="24"/>
        </w:rPr>
        <w:footnoteReference w:id="148"/>
      </w:r>
      <w:r>
        <w:rPr>
          <w:noProof/>
        </w:rPr>
        <w:t>. Nors 2020 m. smarkiai padaugėjo gaunamų iniciatyvų ir prašymų atlikti konstitucinę peržiūrą (55 proc. daugiau, palyginti su 2019 m.), o gaunamų konstitucinių skundų sumažėjo (26 proc. mažiau, palyginti su 2019 m.), Konstitucinis Teismas išsprendė 26 proc. daugiau bylų negu 2019 m.</w:t>
      </w:r>
      <w:r>
        <w:rPr>
          <w:rStyle w:val="FootnoteReference"/>
          <w:noProof/>
          <w:szCs w:val="24"/>
        </w:rPr>
        <w:footnoteReference w:id="149"/>
      </w:r>
      <w:r>
        <w:rPr>
          <w:noProof/>
        </w:rPr>
        <w:t xml:space="preserve"> Pirmą kartą nuo 2015 m. Konstitucinis Teismas sugebėjo išnagrinėti beveik visas gaunamas bylas. Tačiau, kadangi Konstitucinis Teismas daugiausia dėmesio skyrė senesnėms byloms, vidutinė proceso trukmė konstitucinės peržiūros bylose pailgėjo iki 530 dienų (2019 m. ši trukmė buvo beveik 500 dienų), o konstitucinių skundų bylose – iki 571 dienų (2019 m. ši trukmė buvo 420 dienos). Nuo 2020 m. kovo mėn. iki 2021 m. birželio mėn. Konstitucinis Teismas gavo 188 bylas, susijusias su COVID-19 pandemijos valdymo priemonėmis, tarp jų – 185 iniciatyvas ir konstitucinės peržiūros prašymus bei tris konstitucinius skundus, ir jam jau pavyko priimti sprendimus dėl 123 iniciatyvų ir prašymų bei trijų konstitucinių skundų – buvo priimti keturi sprendimai (vienas dalinis)</w:t>
      </w:r>
      <w:r>
        <w:rPr>
          <w:rStyle w:val="FootnoteReference"/>
          <w:noProof/>
          <w:szCs w:val="24"/>
        </w:rPr>
        <w:footnoteReference w:id="150"/>
      </w:r>
      <w:r>
        <w:rPr>
          <w:noProof/>
        </w:rPr>
        <w:t>. 2021 m. kovo mėn. Parlamentas iškėlė klausimą dėl Konstitucinio Teismo teisėjų nešališkumo ir pakvietė Konstitucinio Teismo pirmininką šiam dalykui aptarti. Pirmininkas atsakė, kad, jeigu Parlamentas aptarinėtų Konstitucinio Teismo nebaigtas nagrinėti bylas arba tikėtųsi, kad Pirmininkas gins Konstitucinį Teismą arba save priimamų sprendimų atžvilgiu, tai neatitiktų Konstitucijos</w:t>
      </w:r>
      <w:r>
        <w:rPr>
          <w:rStyle w:val="FootnoteReference"/>
          <w:rFonts w:eastAsia="Times New Roman" w:cs="Times New Roman"/>
          <w:noProof/>
          <w:szCs w:val="20"/>
          <w:lang w:eastAsia="fr-FR"/>
        </w:rPr>
        <w:footnoteReference w:id="151"/>
      </w:r>
      <w:r>
        <w:rPr>
          <w:noProof/>
        </w:rPr>
        <w:t>.</w:t>
      </w:r>
    </w:p>
    <w:p>
      <w:pPr>
        <w:pStyle w:val="NoSpacing"/>
        <w:spacing w:after="240"/>
        <w:jc w:val="both"/>
        <w:rPr>
          <w:rFonts w:ascii="Times New Roman" w:eastAsia="Calibri" w:hAnsi="Times New Roman" w:cs="Times New Roman"/>
          <w:bCs/>
          <w:iCs/>
          <w:noProof/>
          <w:sz w:val="24"/>
          <w:szCs w:val="24"/>
        </w:rPr>
      </w:pPr>
      <w:r>
        <w:rPr>
          <w:rFonts w:ascii="Times New Roman" w:hAnsi="Times New Roman"/>
          <w:b/>
          <w:noProof/>
          <w:sz w:val="24"/>
          <w:szCs w:val="24"/>
        </w:rPr>
        <w:t xml:space="preserve">Žmogaus teisių ombudsmenas gavo A statuso akreditaciją ir aktyviai stebėjo su COVID-19 pandemija susijusias ribojamąsias priemones. </w:t>
      </w:r>
      <w:r>
        <w:rPr>
          <w:rFonts w:ascii="Times New Roman" w:hAnsi="Times New Roman"/>
          <w:noProof/>
          <w:sz w:val="24"/>
          <w:szCs w:val="24"/>
        </w:rPr>
        <w:t xml:space="preserve">2021 m. sausio mėn. </w:t>
      </w:r>
      <w:r>
        <w:rPr>
          <w:rFonts w:ascii="Times New Roman" w:hAnsi="Times New Roman"/>
          <w:bCs/>
          <w:iCs/>
          <w:noProof/>
          <w:sz w:val="24"/>
          <w:szCs w:val="24"/>
        </w:rPr>
        <w:t>Žmogaus teisių ombudsmenas tapo A statusą turinčia nacionaline žmogaus teisių institucija, kaip numatyta Paryžiaus principuose, – šį statusą įgyti jis stengėsi nuo 2015 m. Pasaulinio nacionalinių žmogaus teisių institucijų aljanso (GANHRI) Akreditacijų pakomitetis rekomendavo tinkamai įforminti ir taikyti pavaduotojų skyrimo procesą ir atlikti kai kuriuos kitus teisės aktų pakeitimus</w:t>
      </w:r>
      <w:r>
        <w:rPr>
          <w:rFonts w:ascii="Times New Roman" w:eastAsia="Calibri" w:hAnsi="Times New Roman" w:cs="Times New Roman"/>
          <w:bCs/>
          <w:iCs/>
          <w:noProof/>
          <w:sz w:val="24"/>
          <w:szCs w:val="24"/>
          <w:vertAlign w:val="superscript"/>
          <w:lang w:val="en-GB"/>
        </w:rPr>
        <w:footnoteReference w:id="152"/>
      </w:r>
      <w:r>
        <w:rPr>
          <w:rFonts w:ascii="Times New Roman" w:hAnsi="Times New Roman"/>
          <w:bCs/>
          <w:iCs/>
          <w:noProof/>
          <w:sz w:val="24"/>
          <w:szCs w:val="24"/>
        </w:rPr>
        <w:t>. Ombudsmenas atliko aktyvų vaidmenį stebint COVID-19 pandemijos valdymo priemones – surinko visas galiojančias ribojamąsias taisykles ir savo interneto svetainėje pateikė suvestines, suprantamas jų redakcijas</w:t>
      </w:r>
      <w:r>
        <w:rPr>
          <w:rStyle w:val="FootnoteReference"/>
          <w:rFonts w:ascii="Times New Roman" w:eastAsia="Calibri" w:hAnsi="Times New Roman" w:cs="Times New Roman"/>
          <w:bCs/>
          <w:iCs/>
          <w:noProof/>
          <w:sz w:val="24"/>
          <w:szCs w:val="24"/>
          <w:lang w:val="en-GB"/>
        </w:rPr>
        <w:footnoteReference w:id="153"/>
      </w:r>
      <w:r>
        <w:rPr>
          <w:rFonts w:ascii="Times New Roman" w:hAnsi="Times New Roman"/>
          <w:bCs/>
          <w:iCs/>
          <w:noProof/>
          <w:sz w:val="24"/>
          <w:szCs w:val="24"/>
        </w:rPr>
        <w:t>. Ombudsmenas taip pat ne kartą kreipėsi į vykdomąją valdžią ir buvo įtrauktas į COVID-19 pandemijos valdymo priemonių rengimą, visų pirma siekiant užtikrinti, kad jos atitiktų žmogaus teises ir pagrindines laisves</w:t>
      </w:r>
      <w:r>
        <w:rPr>
          <w:rStyle w:val="FootnoteReference"/>
          <w:rFonts w:ascii="Times New Roman" w:eastAsia="Calibri" w:hAnsi="Times New Roman" w:cs="Times New Roman"/>
          <w:bCs/>
          <w:iCs/>
          <w:noProof/>
          <w:sz w:val="24"/>
          <w:szCs w:val="24"/>
          <w:lang w:val="en-GB"/>
        </w:rPr>
        <w:footnoteReference w:id="154"/>
      </w:r>
      <w:r>
        <w:rPr>
          <w:rFonts w:ascii="Times New Roman" w:hAnsi="Times New Roman"/>
          <w:bCs/>
          <w:iCs/>
          <w:noProof/>
          <w:sz w:val="24"/>
          <w:szCs w:val="24"/>
        </w:rPr>
        <w:t>.</w:t>
      </w:r>
    </w:p>
    <w:p>
      <w:pPr>
        <w:rPr>
          <w:rFonts w:eastAsia="Times New Roman" w:cs="Times New Roman"/>
          <w:noProof/>
          <w:szCs w:val="20"/>
        </w:rPr>
      </w:pPr>
      <w:r>
        <w:rPr>
          <w:b/>
          <w:noProof/>
          <w:szCs w:val="20"/>
        </w:rPr>
        <w:t xml:space="preserve">Siekdamas aptarti teisinės valstybės principo taikymo padėtį, Respublikos Prezidentas pirmą kartą istorijoje sušaukė įstatymų leidžiamosios, vykdomosios ir teisminės valdžios atstovų susitikimą. </w:t>
      </w:r>
      <w:r>
        <w:rPr>
          <w:noProof/>
        </w:rPr>
        <w:t>2020 m. spalio mėn. Respublikos Prezidentas pirmą kartą surinko didžiausią visų trijų valdžios grandžių atstovų skaičių teisinės valstybės principo taikymo padėčiai ir galių pasidalijimui aptarti</w:t>
      </w:r>
      <w:r>
        <w:rPr>
          <w:rStyle w:val="FootnoteReference"/>
          <w:rFonts w:eastAsia="Times New Roman" w:cs="Times New Roman"/>
          <w:noProof/>
          <w:szCs w:val="20"/>
          <w:lang w:val="en-IE" w:eastAsia="fr-FR"/>
        </w:rPr>
        <w:footnoteReference w:id="155"/>
      </w:r>
      <w:r>
        <w:rPr>
          <w:noProof/>
        </w:rPr>
        <w:t>. Posėdyje dalyvavo Nacionalinės Asamblėjos pirmininkas, Ministras Pirmininkas, Nacionalinės Tarybos pirmininkas, Konstitucinio Teismo pirmininkas, Aukščiausiojo Teismo pirmininkas, teisingumo ministras ir generalinis prokuroras. Tokia iniciatyva galėtų padėti puoselėti valstybės institucijų dialogo kultūrą ir lojalų bendradarbiavimą.</w:t>
      </w:r>
    </w:p>
    <w:p>
      <w:pPr>
        <w:tabs>
          <w:tab w:val="left" w:pos="1134"/>
        </w:tabs>
        <w:rPr>
          <w:rFonts w:eastAsia="Calibri"/>
          <w:noProof/>
          <w:szCs w:val="24"/>
        </w:rPr>
      </w:pPr>
      <w:r>
        <w:rPr>
          <w:b/>
          <w:noProof/>
        </w:rPr>
        <w:t xml:space="preserve">Mestas iššūkis pilietinės visuomenės erdvei. </w:t>
      </w:r>
      <w:r>
        <w:rPr>
          <w:noProof/>
        </w:rPr>
        <w:t>2020 m. gruodžio mėn. Slovėnijos pilietinės erdvės statusas buvo pažemintas iki „susiaurintos“, nes buvo taikomi pandemijai suvaldyti skirti ribojimai, trukdantys sudaryti reikiamas sąlygas pilietinei visuomenei</w:t>
      </w:r>
      <w:r>
        <w:rPr>
          <w:rStyle w:val="FootnoteReference"/>
          <w:rFonts w:eastAsia="Times New Roman" w:cs="Times New Roman"/>
          <w:noProof/>
        </w:rPr>
        <w:footnoteReference w:id="156"/>
      </w:r>
      <w:r>
        <w:rPr>
          <w:noProof/>
        </w:rPr>
        <w:t>. Pranešta apie šmeižto kampanijas prieš nevyriausybines organizacijas, ypač socialiniuose tinkluose</w:t>
      </w:r>
      <w:r>
        <w:rPr>
          <w:rFonts w:eastAsia="Times New Roman" w:cs="Times New Roman"/>
          <w:noProof/>
          <w:vertAlign w:val="superscript"/>
        </w:rPr>
        <w:footnoteReference w:id="157"/>
      </w:r>
      <w:r>
        <w:rPr>
          <w:noProof/>
        </w:rPr>
        <w:t>. Per COVID-19 pandemiją Ombudsmenas nustatė atvejų, kai įstatymai, priemonės ir praktika galėjo neigiamai paveikti pilietinę erdvę ir sumažinti žmogaus teisių gynėjų veiklą</w:t>
      </w:r>
      <w:r>
        <w:rPr>
          <w:rStyle w:val="FootnoteReference"/>
          <w:rFonts w:eastAsia="Times New Roman" w:cs="Times New Roman"/>
          <w:noProof/>
          <w:szCs w:val="24"/>
        </w:rPr>
        <w:footnoteReference w:id="158"/>
      </w:r>
      <w:r>
        <w:rPr>
          <w:noProof/>
        </w:rPr>
        <w:t>. Atkreiptas dėmesys į išpuolius prieš pilietinių organizacijų finansinį ir ekonominį gyvybingumą, be kita ko, mažinant lėšas</w:t>
      </w:r>
      <w:r>
        <w:rPr>
          <w:rFonts w:eastAsia="Times New Roman" w:cs="Times New Roman"/>
          <w:noProof/>
          <w:szCs w:val="24"/>
          <w:vertAlign w:val="superscript"/>
        </w:rPr>
        <w:footnoteReference w:id="159"/>
      </w:r>
      <w:r>
        <w:rPr>
          <w:noProof/>
        </w:rPr>
        <w:t>. Atrodo, itin susirūpinusios yra pilietinės visuomenės organizacijos, sprendžiančios migrantų, gebėjimo naudotis žiniasklaidos priemonėmis, kovos su prekyba žmonėmis klausimus</w:t>
      </w:r>
      <w:r>
        <w:rPr>
          <w:rFonts w:eastAsia="Times New Roman" w:cs="Times New Roman"/>
          <w:noProof/>
          <w:szCs w:val="24"/>
          <w:vertAlign w:val="superscript"/>
        </w:rPr>
        <w:footnoteReference w:id="160"/>
      </w:r>
      <w:r>
        <w:rPr>
          <w:noProof/>
        </w:rPr>
        <w:t>.</w:t>
      </w:r>
    </w:p>
    <w:p>
      <w:pPr>
        <w:pageBreakBefore/>
        <w:spacing w:after="120" w:line="264" w:lineRule="auto"/>
        <w:rPr>
          <w:rFonts w:eastAsia="Times New Roman" w:cs="Times New Roman"/>
          <w:b/>
          <w:noProof/>
          <w:sz w:val="22"/>
        </w:rPr>
      </w:pPr>
      <w:r>
        <w:rPr>
          <w:b/>
          <w:noProof/>
          <w:sz w:val="22"/>
        </w:rPr>
        <w:t>I priedas. Abėcėlinis šaltinių sąrašas*</w:t>
      </w:r>
    </w:p>
    <w:p>
      <w:pPr>
        <w:spacing w:after="120"/>
        <w:rPr>
          <w:rFonts w:eastAsia="Times New Roman" w:cs="Times New Roman"/>
          <w:i/>
          <w:noProof/>
          <w:sz w:val="22"/>
        </w:rPr>
      </w:pPr>
      <w:r>
        <w:rPr>
          <w:i/>
          <w:noProof/>
          <w:sz w:val="22"/>
        </w:rPr>
        <w:t xml:space="preserve">* Atsakymų, gautų per konsultacijas dėl 2021 m. teisinės valstybės principo taikymo ataskaitos, sąrašas pateikiamas </w:t>
      </w:r>
      <w:hyperlink r:id="rId16" w:history="1">
        <w:r>
          <w:rPr>
            <w:rStyle w:val="Hyperlink"/>
            <w:i/>
            <w:noProof/>
            <w:sz w:val="22"/>
          </w:rPr>
          <w:t>https://ec.europa.eu/info/policies/justice-and-fundamental-rights/upholding-rule-law/rule-law/rule-law-mechanism/2021-rule-law-report-targeted-stakeholder-consultation</w:t>
        </w:r>
      </w:hyperlink>
      <w:r>
        <w:rPr>
          <w:i/>
          <w:noProof/>
          <w:sz w:val="22"/>
        </w:rPr>
        <w:t>.</w:t>
      </w:r>
    </w:p>
    <w:p>
      <w:pPr>
        <w:pStyle w:val="FootnoteText"/>
        <w:spacing w:after="120"/>
        <w:ind w:left="0" w:firstLine="0"/>
        <w:jc w:val="left"/>
        <w:rPr>
          <w:noProof/>
          <w:sz w:val="22"/>
          <w:szCs w:val="22"/>
        </w:rPr>
      </w:pPr>
      <w:r>
        <w:rPr>
          <w:noProof/>
          <w:sz w:val="22"/>
          <w:szCs w:val="22"/>
        </w:rPr>
        <w:t xml:space="preserve">2014 m. liepos 22 d. Administracinio teismo sprendimas </w:t>
      </w:r>
      <w:r>
        <w:rPr>
          <w:i/>
          <w:noProof/>
          <w:sz w:val="22"/>
          <w:szCs w:val="22"/>
        </w:rPr>
        <w:t>UPRS sodba I U 971/2014</w:t>
      </w:r>
      <w:r>
        <w:rPr>
          <w:noProof/>
          <w:sz w:val="22"/>
          <w:szCs w:val="22"/>
        </w:rPr>
        <w:t xml:space="preserve">, </w:t>
      </w:r>
      <w:hyperlink r:id="rId17" w:history="1">
        <w:r>
          <w:rPr>
            <w:rStyle w:val="Hyperlink"/>
            <w:noProof/>
            <w:sz w:val="22"/>
            <w:szCs w:val="22"/>
          </w:rPr>
          <w:t>https://www.sodisce.si/usrs/odlocitve/2012032113072659/</w:t>
        </w:r>
      </w:hyperlink>
      <w:r>
        <w:rPr>
          <w:noProof/>
          <w:sz w:val="22"/>
          <w:szCs w:val="22"/>
        </w:rPr>
        <w:t>.</w:t>
      </w:r>
    </w:p>
    <w:p>
      <w:pPr>
        <w:pStyle w:val="FootnoteText"/>
        <w:spacing w:after="120"/>
        <w:ind w:left="0" w:firstLine="0"/>
        <w:jc w:val="left"/>
        <w:rPr>
          <w:noProof/>
          <w:sz w:val="22"/>
          <w:szCs w:val="22"/>
        </w:rPr>
      </w:pPr>
      <w:r>
        <w:rPr>
          <w:noProof/>
          <w:sz w:val="22"/>
          <w:szCs w:val="22"/>
        </w:rPr>
        <w:t xml:space="preserve">2021 m. gegužės 13 d. Konstitucinio Teismo sprendimas U-I-79/20-24, </w:t>
      </w:r>
      <w:hyperlink r:id="rId18" w:history="1">
        <w:r>
          <w:rPr>
            <w:rStyle w:val="Hyperlink"/>
            <w:noProof/>
            <w:sz w:val="22"/>
            <w:szCs w:val="22"/>
          </w:rPr>
          <w:t>https://www.uradni-list.si/glasilo-uradni-list-rs/vsebina/2021-01-1842?sop=2021-01-1842</w:t>
        </w:r>
      </w:hyperlink>
      <w:r>
        <w:rPr>
          <w:noProof/>
          <w:sz w:val="22"/>
          <w:szCs w:val="22"/>
        </w:rPr>
        <w:t xml:space="preserve">. </w:t>
      </w:r>
    </w:p>
    <w:p>
      <w:pPr>
        <w:pStyle w:val="FootnoteText"/>
        <w:spacing w:after="120"/>
        <w:ind w:left="0" w:firstLine="0"/>
        <w:jc w:val="left"/>
        <w:rPr>
          <w:rFonts w:eastAsia="Times New Roman" w:cs="Times New Roman"/>
          <w:noProof/>
          <w:sz w:val="22"/>
        </w:rPr>
      </w:pPr>
      <w:r>
        <w:rPr>
          <w:noProof/>
          <w:sz w:val="22"/>
        </w:rPr>
        <w:t xml:space="preserve">2021 m. sausio 7 d. Konstitucinio Teismo sprendimas U-I-246/19-41, </w:t>
      </w:r>
      <w:hyperlink r:id="rId19" w:history="1">
        <w:r>
          <w:rPr>
            <w:rStyle w:val="Hyperlink"/>
            <w:noProof/>
            <w:sz w:val="22"/>
          </w:rPr>
          <w:t>http://www.us-rs.si/documents/e8/cc/u-i-246-194.pdf</w:t>
        </w:r>
      </w:hyperlink>
      <w:r>
        <w:rPr>
          <w:noProof/>
          <w:sz w:val="22"/>
        </w:rPr>
        <w:t>.</w:t>
      </w:r>
    </w:p>
    <w:p>
      <w:pPr>
        <w:pStyle w:val="FootnoteText"/>
        <w:spacing w:after="120"/>
        <w:ind w:left="0" w:firstLine="0"/>
        <w:jc w:val="left"/>
        <w:rPr>
          <w:noProof/>
          <w:sz w:val="22"/>
        </w:rPr>
      </w:pPr>
      <w:r>
        <w:rPr>
          <w:noProof/>
          <w:sz w:val="22"/>
        </w:rPr>
        <w:t xml:space="preserve">Audiovizualinės žiniasklaidos paslaugų įstatymo pakeitimų projektas, 2021 m. kovo 5 d., </w:t>
      </w:r>
      <w:hyperlink r:id="rId20" w:history="1">
        <w:r>
          <w:rPr>
            <w:rStyle w:val="Hyperlink"/>
            <w:noProof/>
            <w:sz w:val="22"/>
          </w:rPr>
          <w:t>https://www.dz-rs.si/wps/portal/Home/zakonodaja/izbran/!ut/p/z1/04_Sj9CPykssy0xPLMnMz0vMAfIjo8zivSy9Hb283Q0N3E3dLQwCQ7z9g7w8nAwsnMz1w9EUGAWZGgS6GDn5BhsYGwQHG-pHEaPfAAdwNCBOPx4FUfiNL8gNDQ11VFQEAAXcoa4!/dz/d5/L2dBISEvZ0FBIS9nQSEh/?uid=271348B1463CE206C125868F004621DE&amp;db=pre_zak&amp;mandat=VIII&amp;tip=doc</w:t>
        </w:r>
      </w:hyperlink>
      <w:r>
        <w:rPr>
          <w:noProof/>
          <w:sz w:val="22"/>
        </w:rPr>
        <w:t>.</w:t>
      </w:r>
    </w:p>
    <w:p>
      <w:pPr>
        <w:pStyle w:val="FootnoteText"/>
        <w:spacing w:after="120"/>
        <w:ind w:left="0" w:firstLine="0"/>
        <w:jc w:val="left"/>
        <w:rPr>
          <w:noProof/>
          <w:sz w:val="24"/>
        </w:rPr>
      </w:pPr>
      <w:r>
        <w:rPr>
          <w:noProof/>
          <w:sz w:val="22"/>
        </w:rPr>
        <w:t xml:space="preserve">Audito Rūmai (2021), 2020 m. ataskaita, 2021 m. kovo 31 d., </w:t>
      </w:r>
      <w:hyperlink r:id="rId21" w:history="1">
        <w:r>
          <w:rPr>
            <w:rStyle w:val="Hyperlink"/>
            <w:noProof/>
            <w:sz w:val="22"/>
          </w:rPr>
          <w:t>https://www.rs-rs.si/o-racunskem-sodiscu/institucija/porocila-o-delu/porocilo-o-delu/porocilo-o-delu-2020/</w:t>
        </w:r>
      </w:hyperlink>
      <w:r>
        <w:rPr>
          <w:noProof/>
          <w:sz w:val="22"/>
        </w:rPr>
        <w:t>.</w:t>
      </w:r>
    </w:p>
    <w:p>
      <w:pPr>
        <w:pStyle w:val="FootnoteText"/>
        <w:spacing w:after="120"/>
        <w:ind w:left="0" w:firstLine="0"/>
        <w:jc w:val="left"/>
        <w:rPr>
          <w:rFonts w:cs="Times New Roman"/>
          <w:noProof/>
          <w:color w:val="000000"/>
          <w:sz w:val="24"/>
          <w:szCs w:val="22"/>
        </w:rPr>
      </w:pPr>
      <w:r>
        <w:rPr>
          <w:noProof/>
          <w:sz w:val="22"/>
        </w:rPr>
        <w:t xml:space="preserve">Aukščiausiasis Teismas (2020), 2020 m. rugpjūčio 17 d. pranešimas spaudai, </w:t>
      </w:r>
      <w:hyperlink r:id="rId22" w:history="1">
        <w:r>
          <w:rPr>
            <w:rStyle w:val="Hyperlink"/>
            <w:noProof/>
            <w:sz w:val="22"/>
          </w:rPr>
          <w:t>https://www.sodisce.si/vsrs/objave/2020102013485087/</w:t>
        </w:r>
      </w:hyperlink>
      <w:r>
        <w:rPr>
          <w:noProof/>
          <w:sz w:val="22"/>
        </w:rPr>
        <w:t>.</w:t>
      </w:r>
    </w:p>
    <w:p>
      <w:pPr>
        <w:pStyle w:val="FootnoteText"/>
        <w:spacing w:after="120"/>
        <w:ind w:left="0" w:firstLine="0"/>
        <w:jc w:val="left"/>
        <w:rPr>
          <w:noProof/>
          <w:sz w:val="22"/>
        </w:rPr>
      </w:pPr>
      <w:r>
        <w:rPr>
          <w:noProof/>
          <w:sz w:val="22"/>
        </w:rPr>
        <w:t xml:space="preserve">Aukščiausiasis Teismas (2020), Aukščiausiojo Teismo pirmininko įsakymas, 2020 m. lapkričio 13 d., </w:t>
      </w:r>
      <w:hyperlink r:id="rId23" w:history="1">
        <w:r>
          <w:rPr>
            <w:rStyle w:val="Hyperlink"/>
            <w:noProof/>
            <w:sz w:val="22"/>
          </w:rPr>
          <w:t>https://www.sodisce.si/mma_bin2.php?nid=2020111317045458&amp;static_id=2020111316572262</w:t>
        </w:r>
      </w:hyperlink>
      <w:r>
        <w:rPr>
          <w:noProof/>
          <w:sz w:val="22"/>
        </w:rPr>
        <w:t>.</w:t>
      </w:r>
    </w:p>
    <w:p>
      <w:pPr>
        <w:pStyle w:val="FootnoteText"/>
        <w:spacing w:after="120"/>
        <w:ind w:left="0" w:firstLine="0"/>
        <w:jc w:val="left"/>
        <w:rPr>
          <w:rFonts w:cs="Times New Roman"/>
          <w:noProof/>
          <w:color w:val="000000"/>
          <w:sz w:val="22"/>
          <w:szCs w:val="24"/>
        </w:rPr>
      </w:pPr>
      <w:r>
        <w:rPr>
          <w:noProof/>
          <w:color w:val="000000"/>
          <w:sz w:val="22"/>
          <w:szCs w:val="24"/>
        </w:rPr>
        <w:t xml:space="preserve">Aukščiausiasis Teismas (2021), iš Aukščiausiojo Teismo gauti atsakymai rengiant 2021 m. teisinės valstybės principo taikymo ataskaitą. </w:t>
      </w:r>
    </w:p>
    <w:p>
      <w:pPr>
        <w:pStyle w:val="FootnoteText"/>
        <w:spacing w:after="120"/>
        <w:ind w:left="0" w:firstLine="0"/>
        <w:jc w:val="left"/>
        <w:rPr>
          <w:noProof/>
          <w:sz w:val="28"/>
        </w:rPr>
      </w:pPr>
      <w:r>
        <w:rPr>
          <w:noProof/>
          <w:sz w:val="22"/>
        </w:rPr>
        <w:t xml:space="preserve">CIVICUS (2021), </w:t>
      </w:r>
      <w:r>
        <w:rPr>
          <w:i/>
          <w:noProof/>
          <w:sz w:val="22"/>
          <w:szCs w:val="24"/>
        </w:rPr>
        <w:t>Government continues its attack on CSOs</w:t>
      </w:r>
      <w:r>
        <w:rPr>
          <w:noProof/>
          <w:sz w:val="22"/>
        </w:rPr>
        <w:t xml:space="preserve">, 2021 m. vasario 4 d., </w:t>
      </w:r>
      <w:hyperlink r:id="rId24" w:history="1">
        <w:r>
          <w:rPr>
            <w:rStyle w:val="Hyperlink"/>
            <w:noProof/>
            <w:sz w:val="22"/>
          </w:rPr>
          <w:t>https://monitor.civicus.org/country/slovenia/</w:t>
        </w:r>
      </w:hyperlink>
      <w:r>
        <w:rPr>
          <w:noProof/>
          <w:sz w:val="22"/>
        </w:rPr>
        <w:t>.</w:t>
      </w:r>
    </w:p>
    <w:p>
      <w:pPr>
        <w:pStyle w:val="FootnoteText"/>
        <w:spacing w:after="120"/>
        <w:ind w:left="0" w:firstLine="0"/>
        <w:rPr>
          <w:noProof/>
          <w:sz w:val="22"/>
        </w:rPr>
      </w:pPr>
      <w:r>
        <w:rPr>
          <w:noProof/>
          <w:sz w:val="22"/>
        </w:rPr>
        <w:t xml:space="preserve">CNVOS – NVO „Umbrella Network“, Internetinis Parlamento rezoliucijos dėl norminės veiklos pažeidimų skaitiklis, </w:t>
      </w:r>
      <w:hyperlink r:id="rId25" w:history="1">
        <w:r>
          <w:rPr>
            <w:rStyle w:val="Hyperlink"/>
            <w:noProof/>
            <w:sz w:val="22"/>
          </w:rPr>
          <w:t>https://www.cnvos.si/stevec-krsitev/</w:t>
        </w:r>
      </w:hyperlink>
      <w:r>
        <w:rPr>
          <w:noProof/>
          <w:sz w:val="22"/>
        </w:rPr>
        <w:t>.</w:t>
      </w:r>
    </w:p>
    <w:p>
      <w:pPr>
        <w:pStyle w:val="FootnoteText"/>
        <w:spacing w:after="120"/>
        <w:ind w:left="0" w:firstLine="0"/>
        <w:jc w:val="left"/>
        <w:rPr>
          <w:noProof/>
          <w:sz w:val="36"/>
        </w:rPr>
      </w:pPr>
      <w:r>
        <w:rPr>
          <w:noProof/>
          <w:color w:val="333333"/>
          <w:sz w:val="22"/>
        </w:rPr>
        <w:t xml:space="preserve">EBPO, Kovos su kyšininkavimu darbo grupė (2021), </w:t>
      </w:r>
      <w:r>
        <w:rPr>
          <w:i/>
          <w:noProof/>
          <w:color w:val="333333"/>
          <w:sz w:val="22"/>
        </w:rPr>
        <w:t>Implementing the OECD Anti-Bribery Convention Phase 4 Report: Slovenia</w:t>
      </w:r>
      <w:r>
        <w:rPr>
          <w:noProof/>
          <w:color w:val="333333"/>
          <w:sz w:val="22"/>
        </w:rPr>
        <w:t xml:space="preserve">, </w:t>
      </w:r>
      <w:hyperlink r:id="rId26" w:history="1">
        <w:r>
          <w:rPr>
            <w:rStyle w:val="Hyperlink"/>
            <w:noProof/>
            <w:sz w:val="22"/>
          </w:rPr>
          <w:t>http://www.oecd.org/daf/anti-bribery/slovenia-phase-4-report-en.pdf</w:t>
        </w:r>
      </w:hyperlink>
      <w:r>
        <w:rPr>
          <w:noProof/>
          <w:sz w:val="22"/>
        </w:rPr>
        <w:t>.</w:t>
      </w:r>
    </w:p>
    <w:p>
      <w:pPr>
        <w:spacing w:after="120"/>
        <w:jc w:val="left"/>
        <w:rPr>
          <w:noProof/>
          <w:sz w:val="22"/>
        </w:rPr>
      </w:pPr>
      <w:r>
        <w:rPr>
          <w:noProof/>
          <w:color w:val="000000"/>
          <w:sz w:val="22"/>
        </w:rPr>
        <w:t>Europos Komisija (2020–2021), ES teisingumo rezultatų suvestinė.</w:t>
      </w:r>
    </w:p>
    <w:p>
      <w:pPr>
        <w:pStyle w:val="FootnoteText"/>
        <w:spacing w:after="120"/>
        <w:ind w:left="0" w:firstLine="0"/>
        <w:jc w:val="left"/>
        <w:rPr>
          <w:noProof/>
          <w:sz w:val="24"/>
        </w:rPr>
      </w:pPr>
      <w:r>
        <w:rPr>
          <w:noProof/>
          <w:sz w:val="22"/>
        </w:rPr>
        <w:t>Europos Komisija (2021), pranešimas spaudai. Valstybės pagalba:</w:t>
      </w:r>
      <w:r>
        <w:rPr>
          <w:i/>
          <w:noProof/>
          <w:sz w:val="22"/>
        </w:rPr>
        <w:t xml:space="preserve"> </w:t>
      </w:r>
      <w:r>
        <w:rPr>
          <w:noProof/>
          <w:sz w:val="22"/>
        </w:rPr>
        <w:t xml:space="preserve">Komisija patvirtina 2,5 mln. EUR kompensaciją Slovėnijos spaudai agentūrai STA už viešąją paslaugą, 2021 m. balandžio 29 d., </w:t>
      </w:r>
      <w:hyperlink r:id="rId27" w:history="1">
        <w:r>
          <w:rPr>
            <w:rStyle w:val="Hyperlink"/>
            <w:noProof/>
            <w:sz w:val="22"/>
          </w:rPr>
          <w:t>https://ec.europa.eu/commission/presscorner/detail/en/ip_21_2041</w:t>
        </w:r>
      </w:hyperlink>
      <w:r>
        <w:rPr>
          <w:noProof/>
          <w:sz w:val="22"/>
        </w:rPr>
        <w:t>.</w:t>
      </w:r>
    </w:p>
    <w:p>
      <w:pPr>
        <w:pStyle w:val="FootnoteText"/>
        <w:spacing w:after="120"/>
        <w:ind w:left="0" w:firstLine="0"/>
        <w:jc w:val="left"/>
        <w:rPr>
          <w:noProof/>
          <w:sz w:val="22"/>
        </w:rPr>
      </w:pPr>
      <w:r>
        <w:rPr>
          <w:noProof/>
          <w:sz w:val="22"/>
        </w:rPr>
        <w:t>Europos piliečių forumas, Europos piliečių forumo atsakymai rengiant 2021 m. teisinės valstybės principo taikymo ataskaitą.</w:t>
      </w:r>
    </w:p>
    <w:p>
      <w:pPr>
        <w:pStyle w:val="FootnoteText"/>
        <w:spacing w:after="120"/>
        <w:ind w:left="0" w:firstLine="0"/>
        <w:jc w:val="left"/>
        <w:rPr>
          <w:rFonts w:cs="Times New Roman"/>
          <w:noProof/>
          <w:color w:val="000000"/>
          <w:sz w:val="22"/>
          <w:szCs w:val="22"/>
        </w:rPr>
      </w:pPr>
      <w:r>
        <w:rPr>
          <w:noProof/>
          <w:color w:val="000000"/>
          <w:sz w:val="22"/>
          <w:szCs w:val="22"/>
        </w:rPr>
        <w:t xml:space="preserve">Europos prokuratūra (2021), </w:t>
      </w:r>
      <w:r>
        <w:rPr>
          <w:i/>
          <w:noProof/>
          <w:sz w:val="22"/>
          <w:szCs w:val="22"/>
        </w:rPr>
        <w:t>Decision of the college of the European Public Prosecutor’s Office laying down rules on conditions of employment of the European Delegated Prosecutors</w:t>
      </w:r>
      <w:r>
        <w:rPr>
          <w:noProof/>
          <w:sz w:val="22"/>
          <w:szCs w:val="22"/>
        </w:rPr>
        <w:t xml:space="preserve">, 2020 m. rugsėjo 29 d., su pakeitimais, padarytais 2021 m. kovo 24 d., </w:t>
      </w:r>
      <w:hyperlink r:id="rId28" w:history="1">
        <w:r>
          <w:rPr>
            <w:rStyle w:val="Hyperlink"/>
            <w:noProof/>
            <w:sz w:val="22"/>
            <w:szCs w:val="22"/>
          </w:rPr>
          <w:t>https://www.eppo.europa.eu/sites/default/files/2021-04/2020.001-2021.017_Consolidated%20version-Conditions_of_employment_EDPs.pdf</w:t>
        </w:r>
      </w:hyperlink>
      <w:r>
        <w:rPr>
          <w:noProof/>
          <w:sz w:val="22"/>
          <w:szCs w:val="22"/>
        </w:rPr>
        <w:t>.</w:t>
      </w:r>
    </w:p>
    <w:p>
      <w:pPr>
        <w:pStyle w:val="FootnoteText"/>
        <w:spacing w:after="120"/>
        <w:ind w:left="0" w:firstLine="0"/>
        <w:jc w:val="left"/>
        <w:rPr>
          <w:noProof/>
          <w:sz w:val="22"/>
        </w:rPr>
      </w:pPr>
      <w:r>
        <w:rPr>
          <w:noProof/>
          <w:sz w:val="22"/>
        </w:rPr>
        <w:t xml:space="preserve">Europos Taryba (2020), Europos Tarybos žmogaus teisių komisaras skelbia pastabą dėl žmogaus teisių, susijusią su strateginiais ieškiniais, nukreiptais prieš visuomenės dalyvavimą (SLAPPs), 2020 m. spalio 27 d., </w:t>
      </w:r>
      <w:hyperlink r:id="rId29" w:history="1">
        <w:r>
          <w:rPr>
            <w:rStyle w:val="Hyperlink"/>
            <w:noProof/>
            <w:sz w:val="22"/>
          </w:rPr>
          <w:t>https://www.coe.int/en/web/media-freedom/-/coe-commissioner-for-human-rights-issues-a-human-rights-comment-on-slapps</w:t>
        </w:r>
      </w:hyperlink>
      <w:r>
        <w:rPr>
          <w:noProof/>
          <w:sz w:val="22"/>
        </w:rPr>
        <w:t>).</w:t>
      </w:r>
    </w:p>
    <w:p>
      <w:pPr>
        <w:pStyle w:val="FootnoteText"/>
        <w:spacing w:after="120"/>
        <w:ind w:left="0" w:firstLine="0"/>
        <w:jc w:val="left"/>
        <w:rPr>
          <w:noProof/>
          <w:sz w:val="28"/>
        </w:rPr>
      </w:pPr>
      <w:r>
        <w:rPr>
          <w:noProof/>
          <w:sz w:val="22"/>
        </w:rPr>
        <w:t xml:space="preserve">Europos Taryba, Europos Tarybos žmogaus teisių komisaras, Memorandumas dėl saviraiškos ir žiniasklaidos laisvės Slovėnijoje, 2021 m. birželio 4 d., </w:t>
      </w:r>
      <w:hyperlink r:id="rId30" w:history="1">
        <w:r>
          <w:rPr>
            <w:rStyle w:val="Hyperlink"/>
            <w:noProof/>
            <w:sz w:val="22"/>
          </w:rPr>
          <w:t>https://rm.coe.int/memorandum-on-freedom-of-expression-and-media-freedom-in-slovenia/1680a2ae85</w:t>
        </w:r>
      </w:hyperlink>
      <w:r>
        <w:rPr>
          <w:noProof/>
          <w:sz w:val="22"/>
        </w:rPr>
        <w:t>.</w:t>
      </w:r>
    </w:p>
    <w:p>
      <w:pPr>
        <w:pStyle w:val="FootnoteText"/>
        <w:spacing w:after="120"/>
        <w:ind w:left="0" w:firstLine="0"/>
        <w:jc w:val="left"/>
        <w:rPr>
          <w:noProof/>
          <w:sz w:val="22"/>
        </w:rPr>
      </w:pPr>
      <w:r>
        <w:rPr>
          <w:noProof/>
          <w:sz w:val="22"/>
        </w:rPr>
        <w:t xml:space="preserve">Europos vyriausioji prokurorė (2021), </w:t>
      </w:r>
      <w:r>
        <w:rPr>
          <w:i/>
          <w:noProof/>
          <w:sz w:val="22"/>
        </w:rPr>
        <w:t>Statement of 9 July 2021 - European Chief Prosecutor expresses grave concerns in letter to Slovenian Minister for Justice</w:t>
      </w:r>
      <w:r>
        <w:rPr>
          <w:noProof/>
          <w:sz w:val="22"/>
        </w:rPr>
        <w:t>,</w:t>
      </w:r>
      <w:r>
        <w:rPr>
          <w:noProof/>
        </w:rPr>
        <w:t xml:space="preserve"> </w:t>
      </w:r>
      <w:hyperlink r:id="rId31" w:history="1">
        <w:r>
          <w:rPr>
            <w:rStyle w:val="Hyperlink"/>
            <w:noProof/>
            <w:sz w:val="22"/>
          </w:rPr>
          <w:t>https://www.eppo.europa.eu/en/news/european-chief-prosecutor-expresses-grave-concerns-letter-slovenian-minister-justice</w:t>
        </w:r>
      </w:hyperlink>
      <w:r>
        <w:rPr>
          <w:noProof/>
        </w:rPr>
        <w:t>.</w:t>
      </w:r>
    </w:p>
    <w:p>
      <w:pPr>
        <w:pStyle w:val="FootnoteText"/>
        <w:spacing w:after="120"/>
        <w:ind w:left="0" w:firstLine="0"/>
        <w:jc w:val="left"/>
        <w:rPr>
          <w:noProof/>
          <w:sz w:val="24"/>
        </w:rPr>
      </w:pPr>
      <w:r>
        <w:rPr>
          <w:noProof/>
          <w:sz w:val="22"/>
        </w:rPr>
        <w:t>Europos žiniasklaidos ir spaudos laisvės centras (ECPMF), Europos žurnalistų federacija (EFJ), Tarptautinis spaudos institutas (IPI), „OBC Transeuropa“ ir „Žurnalistai be sienų“ (RSF),</w:t>
      </w:r>
      <w:r>
        <w:rPr>
          <w:i/>
          <w:noProof/>
          <w:sz w:val="22"/>
        </w:rPr>
        <w:t>Increasing Concerns for Media Freedom in Slovenia - open letter of 16 March 2021 to the President of the European Commission</w:t>
      </w:r>
      <w:r>
        <w:rPr>
          <w:noProof/>
          <w:sz w:val="22"/>
        </w:rPr>
        <w:t xml:space="preserve">, </w:t>
      </w:r>
      <w:hyperlink r:id="rId32" w:history="1">
        <w:r>
          <w:rPr>
            <w:rStyle w:val="Hyperlink"/>
            <w:noProof/>
            <w:sz w:val="22"/>
          </w:rPr>
          <w:t>https://www.ecpmf.eu/letter-increasing-concerns-for-media-freedom-in-slovenia/</w:t>
        </w:r>
      </w:hyperlink>
      <w:r>
        <w:rPr>
          <w:noProof/>
          <w:sz w:val="22"/>
        </w:rPr>
        <w:t>.</w:t>
      </w:r>
    </w:p>
    <w:p>
      <w:pPr>
        <w:pStyle w:val="FootnoteText"/>
        <w:spacing w:after="120"/>
        <w:ind w:left="0" w:firstLine="0"/>
        <w:jc w:val="left"/>
        <w:rPr>
          <w:noProof/>
          <w:sz w:val="22"/>
        </w:rPr>
      </w:pPr>
      <w:r>
        <w:rPr>
          <w:noProof/>
          <w:sz w:val="22"/>
        </w:rPr>
        <w:t xml:space="preserve">Generalinė prokuratūra (2021), 2020 m. ataskaita, 2021 m. balandžio mėn., </w:t>
      </w:r>
      <w:hyperlink r:id="rId33" w:history="1">
        <w:r>
          <w:rPr>
            <w:rStyle w:val="Hyperlink"/>
            <w:noProof/>
            <w:sz w:val="22"/>
            <w:szCs w:val="22"/>
          </w:rPr>
          <w:t>https://www.dt-rs.si/files/documents/Letno%20poroc%CC%8Cilo%20DT%20za%20leto%202020.pdf</w:t>
        </w:r>
      </w:hyperlink>
      <w:r>
        <w:rPr>
          <w:noProof/>
          <w:sz w:val="22"/>
        </w:rPr>
        <w:t>.</w:t>
      </w:r>
    </w:p>
    <w:p>
      <w:pPr>
        <w:pStyle w:val="FootnoteText"/>
        <w:spacing w:after="120"/>
        <w:ind w:left="0" w:firstLine="0"/>
        <w:jc w:val="left"/>
        <w:rPr>
          <w:rFonts w:eastAsia="Times New Roman" w:cs="Times New Roman"/>
          <w:noProof/>
          <w:sz w:val="22"/>
        </w:rPr>
      </w:pPr>
      <w:r>
        <w:rPr>
          <w:noProof/>
          <w:sz w:val="22"/>
        </w:rPr>
        <w:t xml:space="preserve">GRECO (2018), </w:t>
      </w:r>
      <w:r>
        <w:rPr>
          <w:i/>
          <w:noProof/>
          <w:sz w:val="22"/>
        </w:rPr>
        <w:t>Fourth Evaluation Round – Second Compliance Report on Slovenia on corruption prevention in respect of members of parliament, judges and prosecutors</w:t>
      </w:r>
      <w:r>
        <w:rPr>
          <w:noProof/>
          <w:sz w:val="22"/>
        </w:rPr>
        <w:t>.</w:t>
      </w:r>
    </w:p>
    <w:p>
      <w:pPr>
        <w:pStyle w:val="FootnoteText"/>
        <w:spacing w:after="120"/>
        <w:ind w:left="0" w:firstLine="0"/>
        <w:jc w:val="left"/>
        <w:rPr>
          <w:noProof/>
          <w:sz w:val="22"/>
        </w:rPr>
      </w:pPr>
      <w:r>
        <w:rPr>
          <w:noProof/>
          <w:sz w:val="22"/>
        </w:rPr>
        <w:t xml:space="preserve">Konstitucinis Teismas (2021), 2020 m. ataskaita, 2021 m. balandžio 22 d., </w:t>
      </w:r>
      <w:hyperlink r:id="rId34" w:history="1">
        <w:r>
          <w:rPr>
            <w:rStyle w:val="Hyperlink"/>
            <w:noProof/>
            <w:sz w:val="22"/>
          </w:rPr>
          <w:t>https://www.us-rs.si/wp-content/uploads/2021/04/RSUS_LetnoPorocilo_2020.pdf</w:t>
        </w:r>
      </w:hyperlink>
      <w:r>
        <w:rPr>
          <w:noProof/>
          <w:sz w:val="22"/>
        </w:rPr>
        <w:t>.</w:t>
      </w:r>
    </w:p>
    <w:p>
      <w:pPr>
        <w:pStyle w:val="FootnoteText"/>
        <w:spacing w:after="120"/>
        <w:ind w:left="0" w:firstLine="0"/>
        <w:jc w:val="left"/>
        <w:rPr>
          <w:noProof/>
          <w:sz w:val="22"/>
        </w:rPr>
      </w:pPr>
      <w:r>
        <w:rPr>
          <w:noProof/>
          <w:sz w:val="22"/>
        </w:rPr>
        <w:t xml:space="preserve">Korupcijos prevencijos komisija (2021), 2020 m. ataskaita, 2021 m. gegužės 20 d., </w:t>
      </w:r>
      <w:hyperlink r:id="rId35" w:history="1">
        <w:r>
          <w:rPr>
            <w:rStyle w:val="Hyperlink"/>
            <w:noProof/>
            <w:sz w:val="22"/>
          </w:rPr>
          <w:t>https://www.kpk-rs.si/kpk/wp-content/uploads/2021/05/LP2020K.pdf</w:t>
        </w:r>
      </w:hyperlink>
      <w:r>
        <w:rPr>
          <w:noProof/>
          <w:sz w:val="22"/>
        </w:rPr>
        <w:t xml:space="preserve">. </w:t>
      </w:r>
    </w:p>
    <w:p>
      <w:pPr>
        <w:pStyle w:val="FootnoteText"/>
        <w:spacing w:after="120"/>
        <w:ind w:left="0" w:firstLine="0"/>
        <w:jc w:val="left"/>
        <w:rPr>
          <w:noProof/>
          <w:sz w:val="22"/>
        </w:rPr>
      </w:pPr>
      <w:r>
        <w:rPr>
          <w:noProof/>
          <w:sz w:val="22"/>
        </w:rPr>
        <w:t xml:space="preserve">Korupcijos prevencijos komisija (2021), 2021 m. gegužės 12 d. pranešimas spaudai, </w:t>
      </w:r>
      <w:hyperlink r:id="rId36" w:history="1">
        <w:r>
          <w:rPr>
            <w:rStyle w:val="Hyperlink"/>
            <w:noProof/>
            <w:sz w:val="22"/>
          </w:rPr>
          <w:t>https://www.kpk-rs.si/2021/05/12/zakljucen-postopek-glede-opravljanja-dodatne-funkcije-predsednika-racunskega-sodisca/</w:t>
        </w:r>
      </w:hyperlink>
      <w:r>
        <w:rPr>
          <w:noProof/>
          <w:sz w:val="22"/>
        </w:rPr>
        <w:t xml:space="preserve">. </w:t>
      </w:r>
    </w:p>
    <w:p>
      <w:pPr>
        <w:pStyle w:val="FootnoteText"/>
        <w:spacing w:after="120"/>
        <w:ind w:left="0" w:firstLine="0"/>
        <w:jc w:val="left"/>
        <w:rPr>
          <w:noProof/>
          <w:sz w:val="36"/>
        </w:rPr>
      </w:pPr>
      <w:r>
        <w:rPr>
          <w:noProof/>
          <w:sz w:val="22"/>
        </w:rPr>
        <w:t xml:space="preserve">Korupcijos prevencijos komisija (2021), 2021 m. gegužės 24 d. pranešimas spaudai, </w:t>
      </w:r>
      <w:hyperlink r:id="rId37" w:history="1">
        <w:r>
          <w:rPr>
            <w:rStyle w:val="Hyperlink"/>
            <w:noProof/>
            <w:sz w:val="22"/>
          </w:rPr>
          <w:t>https://www.kpk-rs.si/2021/05/24/odziv-komisije-na-neresnicne-navedbe-predsednika-vlade-rs/</w:t>
        </w:r>
      </w:hyperlink>
      <w:r>
        <w:rPr>
          <w:noProof/>
          <w:sz w:val="22"/>
        </w:rPr>
        <w:t xml:space="preserve">. </w:t>
      </w:r>
    </w:p>
    <w:p>
      <w:pPr>
        <w:pStyle w:val="FootnoteText"/>
        <w:spacing w:after="120"/>
        <w:ind w:left="0" w:firstLine="0"/>
        <w:jc w:val="left"/>
        <w:rPr>
          <w:noProof/>
          <w:sz w:val="22"/>
        </w:rPr>
      </w:pPr>
      <w:r>
        <w:rPr>
          <w:noProof/>
          <w:sz w:val="22"/>
        </w:rPr>
        <w:t xml:space="preserve">Korupcijos prevencijos komisija (2021), Iniciatyva interesų konfliktų ir profesinio sąžiningumo pažeidimų reglamentavimo teisės aktams pakeisti, 2021 m. gegužės 20 d., </w:t>
      </w:r>
      <w:hyperlink r:id="rId38" w:history="1">
        <w:r>
          <w:rPr>
            <w:rStyle w:val="Hyperlink"/>
            <w:noProof/>
            <w:sz w:val="22"/>
          </w:rPr>
          <w:t>https://www.kpk-rs.si/2021/05/20/komisija-poslala-pobudo-vladi-rs-za-ureditev-podrocja-nezdruzljivosti-funkcij/</w:t>
        </w:r>
      </w:hyperlink>
      <w:r>
        <w:rPr>
          <w:noProof/>
          <w:sz w:val="22"/>
        </w:rPr>
        <w:t>.</w:t>
      </w:r>
    </w:p>
    <w:p>
      <w:pPr>
        <w:pStyle w:val="FootnoteText"/>
        <w:spacing w:after="120"/>
        <w:ind w:left="0" w:firstLine="0"/>
        <w:jc w:val="left"/>
        <w:rPr>
          <w:noProof/>
          <w:sz w:val="22"/>
          <w:szCs w:val="22"/>
        </w:rPr>
      </w:pPr>
      <w:r>
        <w:rPr>
          <w:noProof/>
          <w:sz w:val="22"/>
          <w:szCs w:val="22"/>
        </w:rPr>
        <w:t xml:space="preserve">Nacionalinė viešųjų pirkimų procedūrų peržiūros komisija, 2020 m. ataskaita, 2021 m. kovo mėn., </w:t>
      </w:r>
      <w:hyperlink r:id="rId39" w:history="1">
        <w:r>
          <w:rPr>
            <w:rStyle w:val="Hyperlink"/>
            <w:noProof/>
            <w:sz w:val="22"/>
            <w:szCs w:val="22"/>
          </w:rPr>
          <w:t>http://www.dkom.si/mma/Letno%20poro%C4%8Dilo%20za%20leto%202020/2021040811011009/</w:t>
        </w:r>
      </w:hyperlink>
      <w:r>
        <w:rPr>
          <w:noProof/>
          <w:sz w:val="22"/>
          <w:szCs w:val="22"/>
        </w:rPr>
        <w:t>.</w:t>
      </w:r>
    </w:p>
    <w:p>
      <w:pPr>
        <w:pStyle w:val="FootnoteText"/>
        <w:spacing w:after="120"/>
        <w:ind w:left="0" w:firstLine="0"/>
        <w:jc w:val="left"/>
        <w:rPr>
          <w:noProof/>
          <w:sz w:val="28"/>
        </w:rPr>
      </w:pPr>
      <w:r>
        <w:rPr>
          <w:i/>
          <w:iCs/>
          <w:noProof/>
          <w:sz w:val="22"/>
        </w:rPr>
        <w:t>Pod črto</w:t>
      </w:r>
      <w:r>
        <w:rPr>
          <w:noProof/>
          <w:sz w:val="22"/>
        </w:rPr>
        <w:t xml:space="preserve"> (2019), Savivaldybės naujienlaiškiai: milijonai eurų viešųjų lėšų merams populiarinti, 2019 m. birželio 6 d., </w:t>
      </w:r>
      <w:hyperlink r:id="rId40" w:history="1">
        <w:r>
          <w:rPr>
            <w:rStyle w:val="Hyperlink"/>
            <w:noProof/>
            <w:sz w:val="22"/>
          </w:rPr>
          <w:t>https://podcrto.si/obcinska-glasila-milijoni-evrov-javnega-denarja-za-promocijo-zupanov/</w:t>
        </w:r>
      </w:hyperlink>
      <w:r>
        <w:rPr>
          <w:noProof/>
          <w:sz w:val="22"/>
        </w:rPr>
        <w:t>.</w:t>
      </w:r>
    </w:p>
    <w:p>
      <w:pPr>
        <w:pStyle w:val="FootnoteText"/>
        <w:spacing w:after="120"/>
        <w:ind w:left="0" w:firstLine="0"/>
        <w:jc w:val="left"/>
        <w:rPr>
          <w:noProof/>
          <w:sz w:val="22"/>
          <w:szCs w:val="22"/>
        </w:rPr>
      </w:pPr>
      <w:r>
        <w:rPr>
          <w:i/>
          <w:iCs/>
          <w:noProof/>
        </w:rPr>
        <w:t>Pod črto</w:t>
      </w:r>
      <w:r>
        <w:rPr>
          <w:noProof/>
        </w:rPr>
        <w:t xml:space="preserve"> (2021), Kdo drži informacijsko pištolo: kaj smo ugotovili v preiskavi medijskega lastništva v Sloveniji, 2021 m. sausio 18 d., </w:t>
      </w:r>
      <w:hyperlink r:id="rId41" w:history="1">
        <w:r>
          <w:rPr>
            <w:rStyle w:val="Hyperlink"/>
            <w:noProof/>
            <w:sz w:val="22"/>
            <w:szCs w:val="22"/>
          </w:rPr>
          <w:t>https://podcrto.si/kdo-drzi-informacijsko-pistolo-kaj-smo-ugotovili-v-preiskavi-medijskega-lastnistva-v-sloveniji/</w:t>
        </w:r>
      </w:hyperlink>
      <w:r>
        <w:rPr>
          <w:noProof/>
        </w:rPr>
        <w:t>.</w:t>
      </w:r>
      <w:r>
        <w:rPr>
          <w:noProof/>
          <w:sz w:val="22"/>
          <w:szCs w:val="22"/>
        </w:rPr>
        <w:t xml:space="preserve"> Vieno leidinio atveju tyrimo vykdytojams galutinio savininko nustatyti nepavyko, </w:t>
      </w:r>
      <w:hyperlink r:id="rId42" w:history="1">
        <w:r>
          <w:rPr>
            <w:rStyle w:val="Hyperlink"/>
            <w:noProof/>
            <w:sz w:val="22"/>
            <w:szCs w:val="22"/>
          </w:rPr>
          <w:t>https://podcrto.si/povzetek-preiskave-mladina-kot-primer-ranljivosti-medijev-v-sloveniji/</w:t>
        </w:r>
      </w:hyperlink>
      <w:r>
        <w:rPr>
          <w:noProof/>
          <w:sz w:val="22"/>
          <w:szCs w:val="22"/>
        </w:rPr>
        <w:t>.</w:t>
      </w:r>
    </w:p>
    <w:p>
      <w:pPr>
        <w:pStyle w:val="FootnoteText"/>
        <w:spacing w:after="120"/>
        <w:ind w:left="0" w:firstLine="0"/>
        <w:jc w:val="left"/>
        <w:rPr>
          <w:noProof/>
          <w:sz w:val="24"/>
        </w:rPr>
      </w:pPr>
      <w:r>
        <w:rPr>
          <w:noProof/>
          <w:sz w:val="22"/>
        </w:rPr>
        <w:t xml:space="preserve">Respublikos Prezidento tarnyba, 2020 m. spalio 13 d. pranešimas spaudai, </w:t>
      </w:r>
      <w:hyperlink r:id="rId43" w:history="1">
        <w:r>
          <w:rPr>
            <w:rStyle w:val="Hyperlink"/>
            <w:noProof/>
            <w:sz w:val="22"/>
          </w:rPr>
          <w:t>https://www.up-rs.si/up-rs/uprs.nsf/objave/BACCA0465CF406E7C125860000437951?OpenDocument</w:t>
        </w:r>
      </w:hyperlink>
      <w:r>
        <w:rPr>
          <w:noProof/>
          <w:sz w:val="22"/>
        </w:rPr>
        <w:t>.</w:t>
      </w:r>
    </w:p>
    <w:p>
      <w:pPr>
        <w:pStyle w:val="FootnoteText"/>
        <w:spacing w:after="120"/>
        <w:ind w:left="0" w:firstLine="0"/>
        <w:jc w:val="left"/>
        <w:rPr>
          <w:noProof/>
          <w:sz w:val="22"/>
          <w:szCs w:val="22"/>
        </w:rPr>
      </w:pPr>
      <w:r>
        <w:rPr>
          <w:noProof/>
          <w:sz w:val="22"/>
          <w:szCs w:val="22"/>
        </w:rPr>
        <w:t xml:space="preserve">Ryšio tinklų ir paslaugų agentūra (2020), </w:t>
      </w:r>
      <w:r>
        <w:rPr>
          <w:noProof/>
        </w:rPr>
        <w:t xml:space="preserve">, Atsakymas dėl Slovėnijos Respublikos rinkos ir vartotojų valstybinės agentūros ir Slovėnijos Respublikos finansų rinkų valstybinės agentūros įstatymo projekto, </w:t>
      </w:r>
      <w:r>
        <w:rPr>
          <w:noProof/>
          <w:sz w:val="22"/>
          <w:szCs w:val="22"/>
        </w:rPr>
        <w:t xml:space="preserve">, 2020 m. spalio 2 d., </w:t>
      </w:r>
      <w:hyperlink r:id="rId44" w:history="1">
        <w:r>
          <w:rPr>
            <w:rStyle w:val="Hyperlink"/>
            <w:noProof/>
            <w:sz w:val="22"/>
            <w:szCs w:val="22"/>
          </w:rPr>
          <w:t>https://imss.dz-rs.si/IMiS/ImisAdmin.nsf/ImisnetAgent?OpenAgent&amp;2&amp;DZ-MSS-01/e06b8c22980ddbe01b50ba78e0ed0bfc78aa5c046805897db90c08a92ffc277a</w:t>
        </w:r>
      </w:hyperlink>
      <w:r>
        <w:rPr>
          <w:noProof/>
          <w:sz w:val="22"/>
          <w:szCs w:val="22"/>
        </w:rPr>
        <w:t>.</w:t>
      </w:r>
    </w:p>
    <w:p>
      <w:pPr>
        <w:pStyle w:val="FootnoteText"/>
        <w:spacing w:after="120"/>
        <w:ind w:left="0" w:firstLine="0"/>
        <w:jc w:val="left"/>
        <w:rPr>
          <w:noProof/>
          <w:sz w:val="24"/>
          <w:szCs w:val="22"/>
        </w:rPr>
      </w:pPr>
      <w:r>
        <w:rPr>
          <w:noProof/>
          <w:sz w:val="22"/>
        </w:rPr>
        <w:t xml:space="preserve">RTV, Prvi kršilec poslanskega etičnega kodeksa je Jani Ivanuša (SNS), dobil je opomin, 2021 m. birželio 9 d., </w:t>
      </w:r>
      <w:hyperlink r:id="rId45" w:history="1">
        <w:r>
          <w:rPr>
            <w:rStyle w:val="Hyperlink"/>
            <w:noProof/>
            <w:sz w:val="22"/>
          </w:rPr>
          <w:t>https://www.rtvslo.si/slovenija/prvi-krsilec-poslanskega-eticnega-kodeksa-je-jani-ivanusa-sns-dobil-je-opomin/583591</w:t>
        </w:r>
      </w:hyperlink>
      <w:r>
        <w:rPr>
          <w:noProof/>
          <w:sz w:val="22"/>
        </w:rPr>
        <w:t>.</w:t>
      </w:r>
    </w:p>
    <w:p>
      <w:pPr>
        <w:pStyle w:val="FootnoteText"/>
        <w:spacing w:after="120"/>
        <w:ind w:left="0" w:firstLine="0"/>
        <w:jc w:val="left"/>
        <w:rPr>
          <w:noProof/>
          <w:sz w:val="22"/>
        </w:rPr>
      </w:pPr>
      <w:r>
        <w:rPr>
          <w:noProof/>
          <w:sz w:val="22"/>
        </w:rPr>
        <w:t xml:space="preserve">RTV, </w:t>
      </w:r>
      <w:r>
        <w:rPr>
          <w:i/>
          <w:noProof/>
          <w:sz w:val="22"/>
        </w:rPr>
        <w:t>Tarča:</w:t>
      </w:r>
      <w:r>
        <w:rPr>
          <w:noProof/>
          <w:sz w:val="22"/>
        </w:rPr>
        <w:t xml:space="preserve"> </w:t>
      </w:r>
      <w:r>
        <w:rPr>
          <w:i/>
          <w:noProof/>
          <w:sz w:val="22"/>
        </w:rPr>
        <w:t>Pravosodje po meri politike</w:t>
      </w:r>
      <w:r>
        <w:rPr>
          <w:noProof/>
          <w:sz w:val="22"/>
        </w:rPr>
        <w:t xml:space="preserve">, 2021 m. birželio 3 d., </w:t>
      </w:r>
      <w:hyperlink r:id="rId46" w:history="1">
        <w:r>
          <w:rPr>
            <w:rStyle w:val="Hyperlink"/>
            <w:noProof/>
            <w:sz w:val="22"/>
          </w:rPr>
          <w:t>https://4d.rtvslo.si/arhiv/tarca/174780634</w:t>
        </w:r>
      </w:hyperlink>
      <w:r>
        <w:rPr>
          <w:noProof/>
          <w:sz w:val="22"/>
        </w:rPr>
        <w:t>.</w:t>
      </w:r>
    </w:p>
    <w:p>
      <w:pPr>
        <w:pStyle w:val="FootnoteText"/>
        <w:spacing w:after="120"/>
        <w:ind w:left="0" w:firstLine="0"/>
        <w:jc w:val="left"/>
        <w:rPr>
          <w:noProof/>
          <w:sz w:val="22"/>
        </w:rPr>
      </w:pPr>
      <w:r>
        <w:rPr>
          <w:noProof/>
          <w:sz w:val="22"/>
        </w:rPr>
        <w:t>Slovėnijos Parlamento prezidiumas (2020), Slovėnijos Respublikos Nacionalinės Asamblėjos narių etikos kodeksas</w:t>
      </w:r>
      <w:r>
        <w:rPr>
          <w:bCs/>
          <w:noProof/>
          <w:sz w:val="22"/>
        </w:rPr>
        <w:t>,</w:t>
      </w:r>
      <w:r>
        <w:rPr>
          <w:noProof/>
          <w:sz w:val="22"/>
        </w:rPr>
        <w:t xml:space="preserve"> 2020 m. birželio 12 d., </w:t>
      </w:r>
      <w:hyperlink r:id="rId47" w:history="1">
        <w:r>
          <w:rPr>
            <w:rStyle w:val="Hyperlink"/>
            <w:noProof/>
            <w:sz w:val="22"/>
          </w:rPr>
          <w:t>https://www.dz-rs.si/wps/portal/en/Home/AboutNA/PoliticalSystem/CodeEthics/!ut/p/z1/04_Sj9CPykssy0xPLMnMz0vMAfIjo8zivSy9Hb283Q0N3E3dLQwCQ7z9g7w8nNxDncz1w8EKnPyCTD3BCrycTAwCjf19nYLMgwwNA030o4jRj0cBSL8BDuBooF-QGxoKAP2akyc!/dz/d5/L2dBISEvZ0FBIS9nQSEh/</w:t>
        </w:r>
      </w:hyperlink>
      <w:r>
        <w:rPr>
          <w:noProof/>
          <w:sz w:val="22"/>
        </w:rPr>
        <w:t>.</w:t>
      </w:r>
    </w:p>
    <w:p>
      <w:pPr>
        <w:pStyle w:val="FootnoteText"/>
        <w:spacing w:after="120"/>
        <w:ind w:left="0" w:firstLine="0"/>
        <w:jc w:val="left"/>
        <w:rPr>
          <w:noProof/>
          <w:sz w:val="22"/>
        </w:rPr>
      </w:pPr>
      <w:r>
        <w:rPr>
          <w:noProof/>
          <w:sz w:val="22"/>
        </w:rPr>
        <w:t xml:space="preserve">Slovėnijos policija (2020), 2020 m. gegužės 6 d. pranešimas spaudai, </w:t>
      </w:r>
      <w:hyperlink r:id="rId48" w:history="1">
        <w:r>
          <w:rPr>
            <w:rStyle w:val="Hyperlink"/>
            <w:noProof/>
            <w:sz w:val="22"/>
          </w:rPr>
          <w:t>https://www.policija.si/medijsko-sredisce/sporocila-za-javnost/sporocila-za-javnost-gpue/103938-z-danasnjim-dnem-vodenje-nacionalnega-preiskovalnega-urada-prevzema-igor-lamberger</w:t>
        </w:r>
      </w:hyperlink>
      <w:r>
        <w:rPr>
          <w:noProof/>
          <w:sz w:val="22"/>
        </w:rPr>
        <w:t>.</w:t>
      </w:r>
    </w:p>
    <w:p>
      <w:pPr>
        <w:pStyle w:val="FootnoteText"/>
        <w:spacing w:after="120"/>
        <w:ind w:left="0" w:firstLine="0"/>
        <w:jc w:val="left"/>
        <w:rPr>
          <w:noProof/>
          <w:sz w:val="22"/>
        </w:rPr>
      </w:pPr>
      <w:r>
        <w:rPr>
          <w:noProof/>
          <w:sz w:val="22"/>
        </w:rPr>
        <w:t xml:space="preserve">Slovėnijos policija (2020), 2020 m. liepos 29 d. pranešimas spaudai, </w:t>
      </w:r>
      <w:hyperlink r:id="rId49" w:history="1">
        <w:r>
          <w:rPr>
            <w:rStyle w:val="Hyperlink"/>
            <w:noProof/>
            <w:sz w:val="22"/>
          </w:rPr>
          <w:t>https://www.policija.si/medijsko-sredisce/sporocila-za-javnost/sporocila-za-javnost-gpue/105138-vodenje-nacionalnega-preiskovalnega-urada-prevzema-uros-leposa</w:t>
        </w:r>
      </w:hyperlink>
      <w:r>
        <w:rPr>
          <w:noProof/>
          <w:sz w:val="22"/>
        </w:rPr>
        <w:t xml:space="preserve">. </w:t>
      </w:r>
    </w:p>
    <w:p>
      <w:pPr>
        <w:pStyle w:val="FootnoteText"/>
        <w:spacing w:after="120"/>
        <w:ind w:left="0" w:firstLine="0"/>
        <w:jc w:val="left"/>
        <w:rPr>
          <w:noProof/>
          <w:sz w:val="22"/>
        </w:rPr>
      </w:pPr>
      <w:r>
        <w:rPr>
          <w:noProof/>
          <w:sz w:val="22"/>
        </w:rPr>
        <w:t xml:space="preserve">Slovėnijos policija (2020), 2020 m. spalio 12 d. pranešimas spaudai, </w:t>
      </w:r>
      <w:hyperlink r:id="rId50" w:history="1">
        <w:r>
          <w:rPr>
            <w:rStyle w:val="Hyperlink"/>
            <w:noProof/>
            <w:sz w:val="22"/>
          </w:rPr>
          <w:t>https://www.policija.si/medijsko-sredisce/sporocila-za-javnost/sporocila-za-javnost-gpue/106125-vodenje-nacionalnega-preiskovalnega-urada-prevzela-petra-grah-lazar</w:t>
        </w:r>
      </w:hyperlink>
      <w:r>
        <w:rPr>
          <w:noProof/>
          <w:sz w:val="22"/>
        </w:rPr>
        <w:t>.</w:t>
      </w:r>
    </w:p>
    <w:p>
      <w:pPr>
        <w:pStyle w:val="FootnoteText"/>
        <w:spacing w:after="120"/>
        <w:ind w:left="0" w:firstLine="0"/>
        <w:jc w:val="left"/>
        <w:rPr>
          <w:noProof/>
          <w:sz w:val="22"/>
        </w:rPr>
      </w:pPr>
      <w:r>
        <w:rPr>
          <w:noProof/>
          <w:sz w:val="22"/>
        </w:rPr>
        <w:t xml:space="preserve">Slovėnijos Respublikos rinkos ir vartotojų valstybinės agentūros ir Slovėnijos Respublikos finansų rinkų valstybinės agentūros įstatymo projektas, 2020 m. spalio mėn., </w:t>
      </w:r>
      <w:hyperlink r:id="rId51" w:history="1">
        <w:r>
          <w:rPr>
            <w:rStyle w:val="Hyperlink"/>
            <w:noProof/>
            <w:sz w:val="22"/>
          </w:rPr>
          <w:t>https://imss.dz-rs.si/IMiS/ImisAdmin.nsf/ImisnetAgent?OpenAgent&amp;2&amp;DZ-MSS-01/21024926aecb618d716140c6a87e8aff098c26f9b6636ec77aab7a78b2d61b2f</w:t>
        </w:r>
      </w:hyperlink>
      <w:r>
        <w:rPr>
          <w:noProof/>
          <w:sz w:val="22"/>
        </w:rPr>
        <w:t>.</w:t>
      </w:r>
    </w:p>
    <w:p>
      <w:pPr>
        <w:pStyle w:val="FootnoteText"/>
        <w:spacing w:after="120"/>
        <w:ind w:left="0" w:firstLine="0"/>
        <w:jc w:val="left"/>
        <w:rPr>
          <w:rFonts w:eastAsia="Times New Roman" w:cs="Times New Roman"/>
          <w:noProof/>
          <w:sz w:val="22"/>
          <w:szCs w:val="22"/>
        </w:rPr>
      </w:pPr>
      <w:r>
        <w:rPr>
          <w:noProof/>
          <w:sz w:val="22"/>
          <w:szCs w:val="22"/>
        </w:rPr>
        <w:t xml:space="preserve">Slovėnijos vyriausybė (2021), </w:t>
      </w:r>
      <w:r>
        <w:rPr>
          <w:rStyle w:val="jlqj4b"/>
          <w:noProof/>
          <w:sz w:val="22"/>
          <w:szCs w:val="22"/>
        </w:rPr>
        <w:t xml:space="preserve">2017–2019 m. Vyriausybės programos profesiniam sąžiningumui ir skaidrumui stiprinti įgyvendinimo galutinė ataskaita, 2021 m. balandžio 21 d., </w:t>
      </w:r>
      <w:hyperlink r:id="rId52" w:history="1">
        <w:r>
          <w:rPr>
            <w:rStyle w:val="Hyperlink"/>
            <w:noProof/>
            <w:sz w:val="22"/>
            <w:szCs w:val="22"/>
          </w:rPr>
          <w:t>https://www.gov.si/novice/2020-04-21-vlada-sprejela-koncno-porocilo-o-izvajanju-programa-vlade-republike-slovenije-za-krepitev-integritete-in-transparentnosti-20172019/</w:t>
        </w:r>
      </w:hyperlink>
      <w:r>
        <w:rPr>
          <w:noProof/>
          <w:sz w:val="22"/>
          <w:szCs w:val="22"/>
        </w:rPr>
        <w:t>.</w:t>
      </w:r>
    </w:p>
    <w:p>
      <w:pPr>
        <w:pStyle w:val="FootnoteText"/>
        <w:spacing w:after="120"/>
        <w:ind w:left="0" w:firstLine="0"/>
        <w:jc w:val="left"/>
        <w:rPr>
          <w:rFonts w:cs="Times New Roman"/>
          <w:noProof/>
          <w:color w:val="000000"/>
          <w:sz w:val="22"/>
        </w:rPr>
      </w:pPr>
      <w:r>
        <w:rPr>
          <w:noProof/>
          <w:sz w:val="22"/>
        </w:rPr>
        <w:t>Slovėnijos vyriausybė (2021), Iš Slovėnijos gauti atsakymai rengiant 2021 m. teisinės valstybės principo taikymo ataskaitą.</w:t>
      </w:r>
    </w:p>
    <w:p>
      <w:pPr>
        <w:pStyle w:val="FootnoteText"/>
        <w:spacing w:after="120"/>
        <w:ind w:left="0" w:firstLine="0"/>
        <w:jc w:val="left"/>
        <w:rPr>
          <w:noProof/>
          <w:sz w:val="24"/>
        </w:rPr>
      </w:pPr>
      <w:r>
        <w:rPr>
          <w:noProof/>
          <w:sz w:val="22"/>
        </w:rPr>
        <w:t xml:space="preserve">Teismo etikos kodeksas, 2017 m. sausio mėn., </w:t>
      </w:r>
      <w:hyperlink r:id="rId53" w:history="1">
        <w:r>
          <w:rPr>
            <w:rStyle w:val="Hyperlink"/>
            <w:noProof/>
            <w:sz w:val="22"/>
          </w:rPr>
          <w:t>http://www.sodni-svet.si/images/stories/Kodeks_sodniske_etike_komentar_ang_sept_2017.pdf</w:t>
        </w:r>
      </w:hyperlink>
      <w:r>
        <w:rPr>
          <w:noProof/>
          <w:sz w:val="22"/>
        </w:rPr>
        <w:t>.</w:t>
      </w:r>
    </w:p>
    <w:p>
      <w:pPr>
        <w:pStyle w:val="FootnoteText"/>
        <w:spacing w:after="120"/>
        <w:ind w:left="0" w:firstLine="0"/>
        <w:jc w:val="left"/>
        <w:rPr>
          <w:noProof/>
          <w:sz w:val="22"/>
          <w:szCs w:val="22"/>
        </w:rPr>
      </w:pPr>
      <w:r>
        <w:rPr>
          <w:noProof/>
          <w:sz w:val="22"/>
          <w:szCs w:val="22"/>
        </w:rPr>
        <w:t xml:space="preserve">Teismų taryba (2021), Pozicijos dėl teisėjams taikomos drausminės procedūros teisinės sistemos pritaikymo ir pakeitimų, 2021 m. kovo 4 d., </w:t>
      </w:r>
      <w:hyperlink r:id="rId54" w:history="1">
        <w:r>
          <w:rPr>
            <w:rStyle w:val="Hyperlink"/>
            <w:noProof/>
            <w:sz w:val="22"/>
            <w:szCs w:val="22"/>
          </w:rPr>
          <w:t>http://www.sodni-svet.si/doc/disciplinski-organi/Izhodi%C5%A1%C4%8Da%20sprememb%20in%20dopolnitev%20zakonskih%20dolo%C4%8Db,%20ki%20urejajo%20disciplinske%20postopke%20zoper%20sodnike.pdf</w:t>
        </w:r>
      </w:hyperlink>
      <w:r>
        <w:rPr>
          <w:noProof/>
          <w:sz w:val="22"/>
          <w:szCs w:val="22"/>
        </w:rPr>
        <w:t>.</w:t>
      </w:r>
    </w:p>
    <w:p>
      <w:pPr>
        <w:pStyle w:val="FootnoteText"/>
        <w:spacing w:after="120"/>
        <w:ind w:left="0" w:firstLine="0"/>
        <w:jc w:val="left"/>
        <w:rPr>
          <w:noProof/>
          <w:sz w:val="22"/>
        </w:rPr>
      </w:pPr>
      <w:r>
        <w:rPr>
          <w:noProof/>
          <w:sz w:val="22"/>
        </w:rPr>
        <w:t xml:space="preserve">Transparency International (2021), </w:t>
      </w:r>
      <w:r>
        <w:rPr>
          <w:i/>
          <w:noProof/>
          <w:sz w:val="22"/>
          <w:szCs w:val="24"/>
        </w:rPr>
        <w:t>Corruption Perceptions Index 2020</w:t>
      </w:r>
      <w:r>
        <w:rPr>
          <w:noProof/>
          <w:sz w:val="22"/>
        </w:rPr>
        <w:t>.</w:t>
      </w:r>
    </w:p>
    <w:p>
      <w:pPr>
        <w:pStyle w:val="FootnoteText"/>
        <w:spacing w:after="120"/>
        <w:ind w:left="0" w:firstLine="0"/>
        <w:jc w:val="left"/>
        <w:rPr>
          <w:rFonts w:eastAsia="Times New Roman" w:cs="Times New Roman"/>
          <w:noProof/>
          <w:sz w:val="24"/>
        </w:rPr>
      </w:pPr>
      <w:r>
        <w:rPr>
          <w:noProof/>
          <w:sz w:val="22"/>
        </w:rPr>
        <w:t xml:space="preserve">Valstybinis generalinis prokuroras (2021), 2021 m. gegužės 26 d. pareiškimas, </w:t>
      </w:r>
      <w:hyperlink r:id="rId55" w:history="1">
        <w:r>
          <w:rPr>
            <w:rStyle w:val="Hyperlink"/>
            <w:noProof/>
            <w:sz w:val="22"/>
          </w:rPr>
          <w:t>https://www.dt-rs.si/novica/izjava-generalnega-drzavnega-tozilca-rs-v-zvezi-z-zapleti-ob-imenovanju-evropskih-delegiranih-tozilcev</w:t>
        </w:r>
      </w:hyperlink>
      <w:r>
        <w:rPr>
          <w:noProof/>
          <w:sz w:val="22"/>
        </w:rPr>
        <w:t>.</w:t>
      </w:r>
    </w:p>
    <w:p>
      <w:pPr>
        <w:pStyle w:val="FootnoteText"/>
        <w:spacing w:after="120"/>
        <w:ind w:left="0" w:firstLine="0"/>
        <w:jc w:val="left"/>
        <w:rPr>
          <w:rFonts w:cs="Times New Roman"/>
          <w:noProof/>
          <w:sz w:val="22"/>
        </w:rPr>
      </w:pPr>
      <w:r>
        <w:rPr>
          <w:noProof/>
          <w:sz w:val="22"/>
        </w:rPr>
        <w:t xml:space="preserve">Valstybinių prokuratūrų taryba (2021), 2021 m. birželio 1 d. išvados, </w:t>
      </w:r>
      <w:hyperlink r:id="rId56" w:history="1">
        <w:r>
          <w:rPr>
            <w:rStyle w:val="Hyperlink"/>
            <w:noProof/>
            <w:sz w:val="22"/>
          </w:rPr>
          <w:t>https://www.drzavnotozilski-svet.si/files/Sporocila%20za%20javnost/izjava_za_javnost_evropska_delegirana_tozilca_1_6_2021.pdf</w:t>
        </w:r>
      </w:hyperlink>
      <w:r>
        <w:rPr>
          <w:noProof/>
          <w:sz w:val="22"/>
        </w:rPr>
        <w:t>.</w:t>
      </w:r>
    </w:p>
    <w:p>
      <w:pPr>
        <w:pStyle w:val="FootnoteText"/>
        <w:spacing w:after="120"/>
        <w:ind w:left="0" w:firstLine="0"/>
        <w:jc w:val="left"/>
        <w:rPr>
          <w:noProof/>
          <w:sz w:val="22"/>
        </w:rPr>
      </w:pPr>
      <w:r>
        <w:rPr>
          <w:noProof/>
          <w:sz w:val="22"/>
        </w:rPr>
        <w:t xml:space="preserve">Valstybinių prokuratūrų taryba (2021), 2021 m. kovo 17 d. pranešimas spaudai, </w:t>
      </w:r>
      <w:hyperlink r:id="rId57" w:history="1">
        <w:r>
          <w:rPr>
            <w:rStyle w:val="Hyperlink"/>
            <w:noProof/>
            <w:sz w:val="22"/>
          </w:rPr>
          <w:t>https://www.drzavnotozilski-svet.si/files/Sporocila%20za%20javnost/izjava_za_javnost_evropska_delegirana_tozilca.pdf</w:t>
        </w:r>
      </w:hyperlink>
      <w:r>
        <w:rPr>
          <w:noProof/>
          <w:sz w:val="22"/>
        </w:rPr>
        <w:t>.</w:t>
      </w:r>
    </w:p>
    <w:p>
      <w:pPr>
        <w:pStyle w:val="FootnoteText"/>
        <w:spacing w:after="120"/>
        <w:ind w:left="0" w:firstLine="0"/>
        <w:jc w:val="left"/>
        <w:rPr>
          <w:noProof/>
          <w:sz w:val="24"/>
        </w:rPr>
      </w:pPr>
      <w:r>
        <w:rPr>
          <w:noProof/>
          <w:sz w:val="22"/>
        </w:rPr>
        <w:t xml:space="preserve">Valstybinių prokuratūrų taryba (2021), 2021 m. liepos 9 d. pareiškimas, </w:t>
      </w:r>
      <w:hyperlink r:id="rId58" w:history="1">
        <w:r>
          <w:rPr>
            <w:rStyle w:val="Hyperlink"/>
            <w:noProof/>
            <w:sz w:val="22"/>
          </w:rPr>
          <w:t>https://www.drzavnotozilski-svet.si/files/Sporocila%20za%20javnost/izjava_za_javnost_ponovni_javni_poziv_evropska_delegirana_tozilca.pdf</w:t>
        </w:r>
      </w:hyperlink>
      <w:r>
        <w:rPr>
          <w:noProof/>
          <w:sz w:val="22"/>
        </w:rPr>
        <w:t>.</w:t>
      </w:r>
    </w:p>
    <w:p>
      <w:pPr>
        <w:pStyle w:val="FootnoteText"/>
        <w:spacing w:after="120"/>
        <w:ind w:left="0" w:firstLine="0"/>
        <w:jc w:val="left"/>
        <w:rPr>
          <w:noProof/>
          <w:sz w:val="22"/>
        </w:rPr>
      </w:pPr>
      <w:r>
        <w:rPr>
          <w:noProof/>
          <w:sz w:val="22"/>
        </w:rPr>
        <w:t xml:space="preserve">Vidaus reikalų, viešojo administravimo ir vietos savivaldos parlamentinis komitetas ir Teisingumo komitetas (2020), 2020 m. gruodžio 14 d. išvada, </w:t>
      </w:r>
      <w:hyperlink r:id="rId59" w:history="1">
        <w:r>
          <w:rPr>
            <w:rStyle w:val="Hyperlink"/>
            <w:noProof/>
            <w:sz w:val="22"/>
          </w:rPr>
          <w:t>https://imss.dz-rs.si/IMiS/ImisAdmin.nsf/ImisnetAgent?OpenAgent&amp;2&amp;DZ-MSS-01/023d7b90349185ac0481b2f0152cdab68a31a350e8e41d9c682e5a9557483895</w:t>
        </w:r>
      </w:hyperlink>
      <w:r>
        <w:rPr>
          <w:noProof/>
          <w:sz w:val="22"/>
        </w:rPr>
        <w:t>.</w:t>
      </w:r>
    </w:p>
    <w:p>
      <w:pPr>
        <w:pStyle w:val="FootnoteText"/>
        <w:spacing w:after="120"/>
        <w:ind w:left="0" w:firstLine="0"/>
        <w:jc w:val="left"/>
        <w:rPr>
          <w:rFonts w:eastAsia="Times New Roman" w:cs="Times New Roman"/>
          <w:noProof/>
          <w:sz w:val="24"/>
        </w:rPr>
      </w:pPr>
      <w:r>
        <w:rPr>
          <w:noProof/>
          <w:sz w:val="22"/>
        </w:rPr>
        <w:t xml:space="preserve">Žiniasklaidos fakultetas (prof. dr. Matevž Tomšič, prof. dr. Borut Rončević, doc. dr. Nuša Erman, doc. dr. Tamara Besednjak Valič), </w:t>
      </w:r>
      <w:r>
        <w:rPr>
          <w:i/>
          <w:noProof/>
          <w:sz w:val="22"/>
        </w:rPr>
        <w:t>Raziskava medijske krajine</w:t>
      </w:r>
      <w:r>
        <w:rPr>
          <w:noProof/>
          <w:sz w:val="22"/>
        </w:rPr>
        <w:t xml:space="preserve">, 2021 m. kovo mėn., </w:t>
      </w:r>
      <w:hyperlink r:id="rId60" w:history="1">
        <w:r>
          <w:rPr>
            <w:rStyle w:val="Hyperlink"/>
            <w:noProof/>
            <w:sz w:val="22"/>
          </w:rPr>
          <w:t>https://www.gov.si/assets/ministrstva/MK/Mediji/Raziskave/Raziskava-medijske-krajine.pdf</w:t>
        </w:r>
      </w:hyperlink>
      <w:r>
        <w:rPr>
          <w:noProof/>
          <w:sz w:val="22"/>
        </w:rPr>
        <w:t>.</w:t>
      </w:r>
    </w:p>
    <w:p>
      <w:pPr>
        <w:spacing w:after="120"/>
        <w:rPr>
          <w:rFonts w:eastAsia="Times New Roman" w:cs="Times New Roman"/>
          <w:noProof/>
          <w:sz w:val="22"/>
        </w:rPr>
      </w:pPr>
      <w:r>
        <w:rPr>
          <w:noProof/>
          <w:sz w:val="22"/>
        </w:rPr>
        <w:t>Žiniasklaidos pliuralizmo ir žiniasklaidos laisvės centras (2021), Žiniasklaidos pliuralizmo observatorijos 2021 m. ataskaita.</w:t>
      </w:r>
    </w:p>
    <w:p>
      <w:pPr>
        <w:pageBreakBefore/>
        <w:spacing w:after="120" w:line="264" w:lineRule="auto"/>
        <w:rPr>
          <w:rFonts w:eastAsia="Times New Roman" w:cs="Times New Roman"/>
          <w:b/>
          <w:noProof/>
          <w:sz w:val="22"/>
          <w:szCs w:val="20"/>
        </w:rPr>
      </w:pPr>
      <w:r>
        <w:rPr>
          <w:b/>
          <w:noProof/>
          <w:sz w:val="22"/>
          <w:szCs w:val="20"/>
        </w:rPr>
        <w:t>II priedas. Vizitas į Slovėniją</w:t>
      </w:r>
    </w:p>
    <w:p>
      <w:pPr>
        <w:spacing w:after="120" w:line="264" w:lineRule="auto"/>
        <w:rPr>
          <w:rFonts w:eastAsia="Times New Roman" w:cs="Times New Roman"/>
          <w:noProof/>
          <w:sz w:val="22"/>
          <w:szCs w:val="20"/>
          <w:shd w:val="clear" w:color="auto" w:fill="FFFFFF"/>
        </w:rPr>
      </w:pPr>
      <w:r>
        <w:rPr>
          <w:noProof/>
          <w:sz w:val="22"/>
          <w:szCs w:val="20"/>
        </w:rPr>
        <w:t>2021 m. balandžio mėn. Komisijos tarnybos surengė virtualius susitikimus su:</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Teisingumo ministerija</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 xml:space="preserve">Viešojo administravimo ministerija </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 xml:space="preserve">Kultūros ministerija </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Generaline policijos direkcija (Ekonominių nusikaltimų skyriumi) ir Nacionaliniu tyrimų biuru</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Konstituciniu Teismu</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Aukščiausiuoju Teismu</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Teismų taryba</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Audito Rūmais</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Valstybinių prokuratūrų taryba</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Valstybine prokuratūra (generaliniu prokuroru, Generaline prokuratūra, Specialiąja prokuratūra)</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Korupcijos prevencijos komisija</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Nacionaline peržiūros komisija</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Ryšio tinklų ir paslaugų agentūra (AKOS)</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 xml:space="preserve">Žmogaus teisių ombudsmenu </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Parlamento generaliniu sekretoriatu</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 xml:space="preserve">Žurnalistų ir publicistų asociacija </w:t>
      </w:r>
      <w:r>
        <w:rPr>
          <w:noProof/>
          <w:sz w:val="22"/>
          <w:bdr w:val="none" w:sz="0" w:space="0" w:color="auto" w:frame="1"/>
        </w:rPr>
        <w:t>(</w:t>
      </w:r>
      <w:r>
        <w:rPr>
          <w:noProof/>
          <w:sz w:val="22"/>
        </w:rPr>
        <w:t>Irena Zagajšek</w:t>
      </w:r>
      <w:r>
        <w:rPr>
          <w:noProof/>
          <w:sz w:val="22"/>
          <w:bdr w:val="none" w:sz="0" w:space="0" w:color="auto" w:frame="1"/>
        </w:rPr>
        <w:t>)</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 xml:space="preserve">Žurnalistų asociacija </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Žiniasklaidos fakultetu (prof. Borut Rončević, prof. Matevž Tomšič)</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Slovėnijos žurnalistų sąjunga</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„Pod črto“</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„Transparency International“ Slovėnijos skyriumi</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 xml:space="preserve">Taikos institutu </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Nacionaline NVO „Umbrella Network“ (CNVOS)</w:t>
      </w:r>
    </w:p>
    <w:p>
      <w:pPr>
        <w:numPr>
          <w:ilvl w:val="0"/>
          <w:numId w:val="2"/>
        </w:numPr>
        <w:spacing w:after="0" w:line="256" w:lineRule="auto"/>
        <w:contextualSpacing/>
        <w:rPr>
          <w:rFonts w:cs="Times New Roman"/>
          <w:noProof/>
          <w:sz w:val="22"/>
          <w:szCs w:val="24"/>
          <w:bdr w:val="none" w:sz="0" w:space="0" w:color="auto" w:frame="1"/>
        </w:rPr>
      </w:pPr>
      <w:r>
        <w:rPr>
          <w:noProof/>
          <w:sz w:val="22"/>
          <w:szCs w:val="24"/>
          <w:bdr w:val="none" w:sz="0" w:space="0" w:color="auto" w:frame="1"/>
        </w:rPr>
        <w:t xml:space="preserve">Teisėjų asociacija </w:t>
      </w:r>
    </w:p>
    <w:p>
      <w:pPr>
        <w:numPr>
          <w:ilvl w:val="0"/>
          <w:numId w:val="2"/>
        </w:numPr>
        <w:spacing w:after="120" w:line="264" w:lineRule="auto"/>
        <w:contextualSpacing/>
        <w:rPr>
          <w:noProof/>
          <w:sz w:val="20"/>
        </w:rPr>
      </w:pPr>
      <w:r>
        <w:rPr>
          <w:noProof/>
          <w:sz w:val="22"/>
          <w:szCs w:val="24"/>
          <w:bdr w:val="none" w:sz="0" w:space="0" w:color="auto" w:frame="1"/>
        </w:rPr>
        <w:t>Advokatų asociacija</w:t>
      </w:r>
    </w:p>
    <w:p>
      <w:pPr>
        <w:spacing w:after="120" w:line="264" w:lineRule="auto"/>
        <w:ind w:left="720"/>
        <w:contextualSpacing/>
        <w:rPr>
          <w:noProof/>
          <w:sz w:val="22"/>
          <w:lang w:val="en-IE"/>
        </w:rPr>
      </w:pPr>
    </w:p>
    <w:p>
      <w:pPr>
        <w:rPr>
          <w:rFonts w:cs="Times New Roman"/>
          <w:noProof/>
          <w:sz w:val="22"/>
        </w:rPr>
      </w:pPr>
      <w:r>
        <w:rPr>
          <w:noProof/>
          <w:sz w:val="22"/>
        </w:rPr>
        <w:t>* Komisija taip pat surengė kelis horizontalius susitikimus su šiomis organizacijomis:</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„Amnesty International“</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Reprodukcinių teisių centru</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CIVICUS</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„Civil Liberties Union for Europe“</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Europos pilietinės visuomenės tinklu</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Europos Bažnyčių Konferencija</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„EuroCommerce“</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Europos ne pelno teisės centru</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Europos žiniasklaidos ir spaudos laisvės centru</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Europos piliečių forumu</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Europos žurnalistų federacija</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 xml:space="preserve">„European Partnership for Democracy“ </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Europos jaunimo forumu</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„Front Line Defenders“</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 xml:space="preserve">„Human Rights House Foundation“ </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 xml:space="preserve">„Human Rights Watch“ </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Tarptautinės lesbiečių ir gėjų asociacijos Europos skyriumi</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Tarptautine teisininkų komisija</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Tarptautine žmogaus teisių federacija</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Tarptautinės planuotos tėvystės federacijos Europos tinklu (IPPF EN)</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Tarptautiniu spaudos institutu</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 xml:space="preserve">Nyderlandų Helsinkio komitetu </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Atviros visuomenės Europos politikos institutu</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„Philanthropy Advocacy“</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 xml:space="preserve">„Protection International“ </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„Žurnalistai be sienų“</w:t>
      </w:r>
    </w:p>
    <w:p>
      <w:pPr>
        <w:pStyle w:val="ListParagraph"/>
        <w:numPr>
          <w:ilvl w:val="0"/>
          <w:numId w:val="13"/>
        </w:numPr>
        <w:spacing w:after="160" w:line="259" w:lineRule="auto"/>
        <w:contextualSpacing/>
        <w:rPr>
          <w:rFonts w:ascii="Times New Roman" w:hAnsi="Times New Roman" w:cs="Times New Roman"/>
          <w:noProof/>
        </w:rPr>
      </w:pPr>
      <w:r>
        <w:rPr>
          <w:rFonts w:ascii="Times New Roman" w:hAnsi="Times New Roman"/>
          <w:noProof/>
        </w:rPr>
        <w:t>„Transparency International“ Europos Sąjungos biuru</w:t>
      </w:r>
    </w:p>
    <w:p>
      <w:pPr>
        <w:spacing w:after="120" w:line="264" w:lineRule="auto"/>
        <w:ind w:left="720"/>
        <w:contextualSpacing/>
        <w:rPr>
          <w:noProof/>
          <w:sz w:val="20"/>
          <w:lang w:val="en-IE"/>
        </w:rPr>
      </w:pPr>
    </w:p>
    <w:sectPr>
      <w:headerReference w:type="even" r:id="rId61"/>
      <w:headerReference w:type="default" r:id="rId62"/>
      <w:footerReference w:type="even" r:id="rId63"/>
      <w:footerReference w:type="default" r:id="rId64"/>
      <w:headerReference w:type="first" r:id="rId65"/>
      <w:footerReference w:type="first" r:id="rId66"/>
      <w:pgSz w:w="11906" w:h="16838"/>
      <w:pgMar w:top="1440" w:right="1440" w:bottom="1440" w:left="1440" w:header="601" w:footer="107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497AA1" w16cid:durableId="244A083E"/>
  <w16cid:commentId w16cid:paraId="5160B4FF" w16cid:durableId="244A083F"/>
  <w16cid:commentId w16cid:paraId="78986D6E" w16cid:durableId="244A0840"/>
  <w16cid:commentId w16cid:paraId="0A95091C" w16cid:durableId="244A0841"/>
  <w16cid:commentId w16cid:paraId="3049CE38" w16cid:durableId="244A0842"/>
  <w16cid:commentId w16cid:paraId="265D26B6" w16cid:durableId="244A0843"/>
  <w16cid:commentId w16cid:paraId="77DF01D7" w16cid:durableId="244A0844"/>
  <w16cid:commentId w16cid:paraId="2C1A13E1" w16cid:durableId="244A0845"/>
  <w16cid:commentId w16cid:paraId="6B6F9974" w16cid:durableId="244A0846"/>
  <w16cid:commentId w16cid:paraId="16925393" w16cid:durableId="244A0847"/>
  <w16cid:commentId w16cid:paraId="7267A16B" w16cid:durableId="244A0848"/>
  <w16cid:commentId w16cid:paraId="47DE82F4" w16cid:durableId="244A0849"/>
  <w16cid:commentId w16cid:paraId="3B2B1242" w16cid:durableId="244A084A"/>
  <w16cid:commentId w16cid:paraId="3CF8E5BA" w16cid:durableId="244A084B"/>
  <w16cid:commentId w16cid:paraId="6BCAF15C" w16cid:durableId="244A084C"/>
  <w16cid:commentId w16cid:paraId="2B3E1820" w16cid:durableId="244A084D"/>
  <w16cid:commentId w16cid:paraId="2557BD55" w16cid:durableId="244A084E"/>
  <w16cid:commentId w16cid:paraId="089C7932" w16cid:durableId="244A084F"/>
  <w16cid:commentId w16cid:paraId="02B22F92" w16cid:durableId="244A0850"/>
  <w16cid:commentId w16cid:paraId="751FC7EE" w16cid:durableId="244A0851"/>
  <w16cid:commentId w16cid:paraId="592DC93E" w16cid:durableId="244A0852"/>
  <w16cid:commentId w16cid:paraId="4408BF77" w16cid:durableId="244A0853"/>
  <w16cid:commentId w16cid:paraId="03A8C140" w16cid:durableId="244A0854"/>
  <w16cid:commentId w16cid:paraId="5DE18B59" w16cid:durableId="244A0855"/>
  <w16cid:commentId w16cid:paraId="6B203834" w16cid:durableId="244A0856"/>
  <w16cid:commentId w16cid:paraId="006DDC3B" w16cid:durableId="244A0857"/>
  <w16cid:commentId w16cid:paraId="3CD30519" w16cid:durableId="244A0858"/>
  <w16cid:commentId w16cid:paraId="4509CB36" w16cid:durableId="244A0859"/>
  <w16cid:commentId w16cid:paraId="49C37EFF" w16cid:durableId="244A085A"/>
  <w16cid:commentId w16cid:paraId="6FF07C0B" w16cid:durableId="244A085B"/>
  <w16cid:commentId w16cid:paraId="6BA17F27" w16cid:durableId="244A085C"/>
  <w16cid:commentId w16cid:paraId="2638B278" w16cid:durableId="244A085D"/>
  <w16cid:commentId w16cid:paraId="1978CB37" w16cid:durableId="244A085E"/>
  <w16cid:commentId w16cid:paraId="71C37A67" w16cid:durableId="244A085F"/>
  <w16cid:commentId w16cid:paraId="73EDA768" w16cid:durableId="244A0860"/>
  <w16cid:commentId w16cid:paraId="6A485039" w16cid:durableId="244A0861"/>
  <w16cid:commentId w16cid:paraId="385B6EE6" w16cid:durableId="244A0862"/>
  <w16cid:commentId w16cid:paraId="5C797CB1" w16cid:durableId="244A0863"/>
  <w16cid:commentId w16cid:paraId="4BEB897D" w16cid:durableId="244A0864"/>
  <w16cid:commentId w16cid:paraId="33CE3013" w16cid:durableId="244A0865"/>
  <w16cid:commentId w16cid:paraId="306C75CE" w16cid:durableId="244A0866"/>
  <w16cid:commentId w16cid:paraId="369F9A03" w16cid:durableId="244A0867"/>
  <w16cid:commentId w16cid:paraId="5B87B9AE" w16cid:durableId="244A0868"/>
  <w16cid:commentId w16cid:paraId="50055F8F" w16cid:durableId="244A0869"/>
  <w16cid:commentId w16cid:paraId="2116CBC0" w16cid:durableId="244A086A"/>
  <w16cid:commentId w16cid:paraId="18E76F36" w16cid:durableId="244A086B"/>
  <w16cid:commentId w16cid:paraId="3AD78076" w16cid:durableId="244A086C"/>
  <w16cid:commentId w16cid:paraId="36C4EE29" w16cid:durableId="244A086D"/>
  <w16cid:commentId w16cid:paraId="65BA2B35" w16cid:durableId="244A086E"/>
  <w16cid:commentId w16cid:paraId="033ADEB7" w16cid:durableId="244A086F"/>
  <w16cid:commentId w16cid:paraId="727CE740" w16cid:durableId="244A0870"/>
  <w16cid:commentId w16cid:paraId="44A32EB0" w16cid:durableId="244A0871"/>
  <w16cid:commentId w16cid:paraId="4E190472" w16cid:durableId="244A0872"/>
  <w16cid:commentId w16cid:paraId="042B5475" w16cid:durableId="244A0873"/>
  <w16cid:commentId w16cid:paraId="6B73009D" w16cid:durableId="244A0874"/>
  <w16cid:commentId w16cid:paraId="2A80728B" w16cid:durableId="244A0875"/>
  <w16cid:commentId w16cid:paraId="31988EC3" w16cid:durableId="244A0876"/>
  <w16cid:commentId w16cid:paraId="4342F865" w16cid:durableId="244A0877"/>
  <w16cid:commentId w16cid:paraId="7C12E9AB" w16cid:durableId="244A0878"/>
  <w16cid:commentId w16cid:paraId="1F277CD4" w16cid:durableId="244A0879"/>
  <w16cid:commentId w16cid:paraId="34B7E488" w16cid:durableId="244A087A"/>
  <w16cid:commentId w16cid:paraId="30464B28" w16cid:durableId="244A087B"/>
  <w16cid:commentId w16cid:paraId="067CA020" w16cid:durableId="244A087C"/>
  <w16cid:commentId w16cid:paraId="5358326E" w16cid:durableId="244A087D"/>
  <w16cid:commentId w16cid:paraId="7A537969" w16cid:durableId="244A087E"/>
  <w16cid:commentId w16cid:paraId="0BAC129B" w16cid:durableId="244A087F"/>
  <w16cid:commentId w16cid:paraId="621C69CE" w16cid:durableId="244A0880"/>
  <w16cid:commentId w16cid:paraId="51691046" w16cid:durableId="244A0881"/>
  <w16cid:commentId w16cid:paraId="788F11AD" w16cid:durableId="244A0882"/>
  <w16cid:commentId w16cid:paraId="29FB5EFA" w16cid:durableId="244A0883"/>
  <w16cid:commentId w16cid:paraId="7713E098" w16cid:durableId="244A0884"/>
  <w16cid:commentId w16cid:paraId="10E829DC" w16cid:durableId="244A0885"/>
  <w16cid:commentId w16cid:paraId="0A293BC0" w16cid:durableId="244A0886"/>
  <w16cid:commentId w16cid:paraId="55843BC5" w16cid:durableId="244A0887"/>
  <w16cid:commentId w16cid:paraId="1BD80FEE" w16cid:durableId="244A0888"/>
  <w16cid:commentId w16cid:paraId="4BEECE9A" w16cid:durableId="244A0889"/>
  <w16cid:commentId w16cid:paraId="7F0B614F" w16cid:durableId="244A088A"/>
  <w16cid:commentId w16cid:paraId="30CC7670" w16cid:durableId="244A088B"/>
  <w16cid:commentId w16cid:paraId="0EC99EA7" w16cid:durableId="244A088C"/>
  <w16cid:commentId w16cid:paraId="509C227A" w16cid:durableId="244A088D"/>
  <w16cid:commentId w16cid:paraId="2B5718EB" w16cid:durableId="244A088E"/>
  <w16cid:commentId w16cid:paraId="10E37485" w16cid:durableId="244A088F"/>
  <w16cid:commentId w16cid:paraId="30C3D8A1" w16cid:durableId="244A0890"/>
  <w16cid:commentId w16cid:paraId="18FC5B63" w16cid:durableId="244A0891"/>
  <w16cid:commentId w16cid:paraId="19B5FDBE" w16cid:durableId="244A0892"/>
  <w16cid:commentId w16cid:paraId="5FB6ADB4" w16cid:durableId="244A0893"/>
  <w16cid:commentId w16cid:paraId="105B8791" w16cid:durableId="244A0894"/>
  <w16cid:commentId w16cid:paraId="105E3786" w16cid:durableId="244A0895"/>
  <w16cid:commentId w16cid:paraId="034A54F4" w16cid:durableId="244A089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p/>
    <w:p/>
  </w:endnote>
  <w:endnote w:type="continuationSeparator" w:id="0">
    <w:p>
      <w:pPr>
        <w:spacing w:after="0"/>
      </w:pPr>
      <w:r>
        <w:continuationSeparator/>
      </w:r>
    </w:p>
    <w:p/>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LT</w:t>
    </w:r>
    <w:r>
      <w:rPr>
        <w:rFonts w:ascii="Arial" w:hAnsi="Arial" w:cs="Arial"/>
        <w:b/>
        <w:sz w:val="48"/>
      </w:rPr>
      <w:tab/>
    </w:r>
    <w:r>
      <w:rPr>
        <w:rFonts w:ascii="Arial" w:hAnsi="Arial" w:cs="Arial"/>
        <w:b/>
        <w:sz w:val="48"/>
      </w:rPr>
      <w:tab/>
    </w:r>
    <w:r>
      <w:tab/>
    </w:r>
    <w:r>
      <w:rPr>
        <w:rFonts w:ascii="Arial" w:hAnsi="Arial" w:cs="Arial"/>
        <w:b/>
        <w:sz w:val="48"/>
      </w:rPr>
      <w:t>LT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rFonts w:cs="Times New Roman"/>
        <w:sz w:val="20"/>
      </w:rPr>
    </w:pPr>
    <w:sdt>
      <w:sdtPr>
        <w:rPr>
          <w:sz w:val="20"/>
        </w:rPr>
        <w:id w:val="294731826"/>
        <w:docPartObj>
          <w:docPartGallery w:val="Page Numbers (Bottom of Page)"/>
          <w:docPartUnique/>
        </w:docPartObj>
      </w:sdtPr>
      <w:sdtEndPr>
        <w:rPr>
          <w:rFonts w:cs="Times New Roman"/>
          <w:noProof/>
        </w:rPr>
      </w:sdtEndPr>
      <w:sdtContent>
        <w:r>
          <w:rPr>
            <w:rFonts w:cs="Times New Roman"/>
            <w:sz w:val="20"/>
          </w:rPr>
          <w:fldChar w:fldCharType="begin"/>
        </w:r>
        <w:r>
          <w:rPr>
            <w:rFonts w:cs="Times New Roman"/>
            <w:sz w:val="20"/>
          </w:rPr>
          <w:instrText xml:space="preserve"> PAGE   \* MERGEFORMAT </w:instrText>
        </w:r>
        <w:r>
          <w:rPr>
            <w:rFonts w:cs="Times New Roman"/>
            <w:sz w:val="20"/>
          </w:rPr>
          <w:fldChar w:fldCharType="separate"/>
        </w:r>
        <w:r>
          <w:rPr>
            <w:rFonts w:cs="Times New Roman"/>
            <w:noProof/>
            <w:sz w:val="20"/>
          </w:rPr>
          <w:t>2</w:t>
        </w:r>
        <w:r>
          <w:rPr>
            <w:rFonts w:cs="Times New Roman"/>
            <w:sz w:val="20"/>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322728"/>
      <w:docPartObj>
        <w:docPartGallery w:val="Page Numbers (Bottom of Page)"/>
        <w:docPartUnique/>
      </w:docPartObj>
    </w:sdtPr>
    <w:sdtEndPr>
      <w:rPr>
        <w:noProof/>
      </w:rPr>
    </w:sdtEndPr>
    <w:sdtContent>
      <w:p>
        <w:pPr>
          <w:pStyle w:val="Footer"/>
          <w:jc w:val="center"/>
        </w:pPr>
      </w:p>
      <w:p>
        <w:pPr>
          <w:pStyle w:val="Footer"/>
          <w:jc w:val="center"/>
        </w:pPr>
      </w:p>
      <w:p>
        <w:pPr>
          <w:pStyle w:val="Footer"/>
          <w:jc w:val="center"/>
          <w:rPr>
            <w:noProof/>
          </w:rPr>
        </w:pPr>
        <w:r>
          <w:fldChar w:fldCharType="begin"/>
        </w:r>
        <w:r>
          <w:instrText xml:space="preserve"> PAGE   \* MERGEFORMAT </w:instrText>
        </w:r>
        <w:r>
          <w:fldChar w:fldCharType="separate"/>
        </w:r>
        <w:r>
          <w:t>3</w:t>
        </w:r>
        <w:r>
          <w:fldChar w:fldCharType="end"/>
        </w:r>
      </w:p>
    </w:sdtContent>
  </w:sdt>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rPr>
          <w:rFonts w:cs="Times New Roman"/>
        </w:rPr>
      </w:pPr>
      <w:r>
        <w:rPr>
          <w:rStyle w:val="FootnoteReference"/>
          <w:rFonts w:cs="Times New Roman"/>
        </w:rPr>
        <w:footnoteRef/>
      </w:r>
      <w:r>
        <w:t xml:space="preserve"> </w:t>
      </w:r>
      <w:r>
        <w:tab/>
        <w:t>Iš viso yra 60 pirmosios instancijos teismų, o vienas darbo bylų teismas taip pat sprendžia socialinės apsaugos bylas. Administracinis teismas turi aukštesniojo teismo statusą.</w:t>
      </w:r>
    </w:p>
  </w:footnote>
  <w:footnote w:id="3">
    <w:p>
      <w:pPr>
        <w:pStyle w:val="FootnoteText"/>
        <w:rPr>
          <w:rFonts w:cs="Times New Roman"/>
        </w:rPr>
      </w:pPr>
      <w:r>
        <w:rPr>
          <w:rStyle w:val="FootnoteReference"/>
          <w:rFonts w:cs="Times New Roman"/>
        </w:rPr>
        <w:footnoteRef/>
      </w:r>
      <w:r>
        <w:t xml:space="preserve"> </w:t>
      </w:r>
      <w:r>
        <w:tab/>
        <w:t xml:space="preserve">Pagrindinė Teismų tarybos pareiga yra parinkti teisėjų kandidatūras. Kaip garantuojama Konstitucijoje, dauguma Teismų tarybos narių yra teisėjai, kuriuos renka jų kolegos. Likę penki nariai yra kitų teisinių profesijų atstovai, kuriuos Respublikos Prezidento teikimu renka Nacionalinė Asamblėja. Teismų taryba valdo nuosavą biudžetą. </w:t>
      </w:r>
    </w:p>
  </w:footnote>
  <w:footnote w:id="4">
    <w:p>
      <w:pPr>
        <w:pStyle w:val="FootnoteText"/>
        <w:rPr>
          <w:rFonts w:cs="Times New Roman"/>
        </w:rPr>
      </w:pPr>
      <w:r>
        <w:rPr>
          <w:rStyle w:val="FootnoteReference"/>
          <w:rFonts w:cs="Times New Roman"/>
        </w:rPr>
        <w:footnoteRef/>
      </w:r>
      <w:r>
        <w:t xml:space="preserve"> </w:t>
      </w:r>
      <w:r>
        <w:tab/>
        <w:t>Kaip garantuojama Konstitucijoje, dauguma Teismų tarybos narių yra teisėjai, kuriuos renka jų kolegos. Likę penki nariai yra kitų teisinių profesijų atstovai, kuriuos Respublikos Prezidento teikimu renka Nacionalinė Asamblėja. Pagrindinė Teismų tarybos pareiga yra parinkti teisėjų kandidatūras. Nuo pradinio teisėjų perrinkimo, kai Slovėnija XX a. dešimtajame dešimtmetyje atgavo nepriklausomybę, Parlamentas pirmą kartą į teisėjo pareigas skiriamo asmens kandidatūrą atmetė tik vieną kartą. Pažymėtina, kad, jeigu kandidatas į teisėjo pareigas nepaskiriamas, jis negali prašyti, kad Parlamento sprendimą peržiūrėtų teismas, o Parlamentas neprivalo nurodyti nepaskyrimo priežasčių.</w:t>
      </w:r>
    </w:p>
  </w:footnote>
  <w:footnote w:id="5">
    <w:p>
      <w:pPr>
        <w:pStyle w:val="FootnoteText"/>
        <w:rPr>
          <w:rFonts w:cs="Times New Roman"/>
        </w:rPr>
      </w:pPr>
      <w:r>
        <w:rPr>
          <w:rStyle w:val="FootnoteReference"/>
          <w:rFonts w:cs="Times New Roman"/>
        </w:rPr>
        <w:footnoteRef/>
      </w:r>
      <w:r>
        <w:t xml:space="preserve"> </w:t>
      </w:r>
      <w:r>
        <w:tab/>
        <w:t>Remiantis Konstitucija, advokatūra yra teisminių institucijų dalis. Pirmosios ir antrosios instancijų drausminės komisijos, kurių kiekvieną sudaro advokatūros susirinkimo trejiems metams renkami 16 advokatų, trijų narių kolegijomis pirmąja ir – atitinkamai – antrąja instancija sprendžia dėl drausminių sankcijų. Drausmės bylų teismas, sudarytas iš trijų advokatų, kuriuos dvejiems metams renka advokatūros susirinkimas, ir dviejų Aukščiausiojo Teismo teisėjų, sprendžia dėl pažeidimų, dėl kurių advokatas gali būti pašalintas iš advokatūros.</w:t>
      </w:r>
    </w:p>
  </w:footnote>
  <w:footnote w:id="6">
    <w:p>
      <w:pPr>
        <w:pStyle w:val="FootnoteText"/>
        <w:rPr>
          <w:rFonts w:cs="Times New Roman"/>
        </w:rPr>
      </w:pPr>
      <w:r>
        <w:rPr>
          <w:rStyle w:val="FootnoteReference"/>
          <w:rFonts w:cs="Times New Roman"/>
        </w:rPr>
        <w:footnoteRef/>
      </w:r>
      <w:r>
        <w:t xml:space="preserve"> </w:t>
      </w:r>
      <w:r>
        <w:tab/>
        <w:t xml:space="preserve">Daugiau informacijos Europos deleguotųjų prokurorų kandidatūrų kėlimo klausimais žr. tolesniame skirsnyje dėl nepriklausomumo. </w:t>
      </w:r>
    </w:p>
  </w:footnote>
  <w:footnote w:id="7">
    <w:p>
      <w:pPr>
        <w:pStyle w:val="FootnoteText"/>
        <w:rPr>
          <w:rFonts w:cs="Times New Roman"/>
        </w:rPr>
      </w:pPr>
      <w:r>
        <w:rPr>
          <w:rStyle w:val="FootnoteReference"/>
          <w:rFonts w:cs="Times New Roman"/>
        </w:rPr>
        <w:footnoteRef/>
      </w:r>
      <w:r>
        <w:t xml:space="preserve"> </w:t>
      </w:r>
      <w:r>
        <w:tab/>
        <w:t>2021 m. ES teisingumo rezultatų suvestinės 48 ir 50 diagramos. Suvokiamo teismų nepriklausomumo lygis skirstomas į šias kategorijas: labai žemas (mažiau nei 30 proc. respondentų mano, kad teismai yra pakankamai nepriklausomi arba visiškai nepriklausomi), žemas (30–39 proc.), vidutinis (40–59 proc.), aukštas (60–75 proc.), labai aukštas (daugiau nei 75 proc.).) Be to, palyginti su 2020 m., sumažėjo plačiosios visuomenės ir įmonių dalis, nurodanti teismų ir teisėjų suvokiamo nepriklausomumo priežastis. 2021 m. ES teisingumo rezultatų suvestinės 49 ir 51 diagramos.</w:t>
      </w:r>
    </w:p>
  </w:footnote>
  <w:footnote w:id="8">
    <w:p>
      <w:pPr>
        <w:pStyle w:val="FootnoteText"/>
        <w:rPr>
          <w:rFonts w:cs="Times New Roman"/>
        </w:rPr>
      </w:pPr>
      <w:r>
        <w:rPr>
          <w:rStyle w:val="FootnoteReference"/>
          <w:rFonts w:cs="Times New Roman"/>
        </w:rPr>
        <w:footnoteRef/>
      </w:r>
      <w:r>
        <w:t xml:space="preserve"> </w:t>
      </w:r>
      <w:r>
        <w:tab/>
        <w:t>Valstybinių prokuratūrų tarnybos įstatymo 28–36 straipsniai. Jeigu teisingumo ministras nesutinka su Valstybinių prokuratūrų tarybos parinktu kandidatu, ministras gali nusiųsti tarybai motyvuotą prašymą surinkti papildomą informaciją ir į ją atsižvelgti, iš dalies pakeisti savo motyvus arba paskelbti naują nuomonę dėl kandidato pasirinkimo. Valstybinių prokuratūrų taryba dviejų trečdalių balsų dauguma gali nuspręsti pareikalauti, kad ministras pasiūlytų Vyriausybei paskirti tarybos parinktą pradinį kandidatą (33 straipsnis). Valstybinių prokuratūrų tarybos siūlymu Vyriausybė taip pat sprendžia dėl jau dirbančio valstybinio prokuroro perkėlimo į aukštesnes pareigas. Valstybinių prokuratūrų tarnybos įstatymo 37 straipsnis. Pavyzdžiui, paskelbus laisvą vieta, asmuo gali būti paaukštintas iš valstybinio vietos prokuroro į valstybinio apylinkės prokuroro pareigas.</w:t>
      </w:r>
    </w:p>
  </w:footnote>
  <w:footnote w:id="9">
    <w:p>
      <w:pPr>
        <w:pStyle w:val="FootnoteText"/>
        <w:rPr>
          <w:rFonts w:cs="Times New Roman"/>
        </w:rPr>
      </w:pPr>
      <w:r>
        <w:rPr>
          <w:rStyle w:val="FootnoteReference"/>
          <w:rFonts w:cs="Times New Roman"/>
        </w:rPr>
        <w:footnoteRef/>
      </w:r>
      <w:r>
        <w:t xml:space="preserve"> </w:t>
      </w:r>
      <w:r>
        <w:tab/>
        <w:t xml:space="preserve">2014 m. byloje dėl valstybinio prokuroro paaukštinimo, kurioje Vyriausybė nesutiko su paaukštinimu ir rašytinį neigiamą nutarimą atitinkamam valstybiniam prokurorui paskelbė praėjus daugiau kaip metams po savo nutarimo priėmimo, Administracinis teismas išaiškino, kad tokiame Vyriausybės nutarime turi būti išdėstytos kandidato atmetimo priežastys. Administracinio teismo teigimu, motyvai reikalingi siekiant „patikrinti, ar Vyriausybė nusprendė neskirti kandidato remdamasi viešuoju interesu, o ne kokiais nors kitais sumetimais.“ 2014 m. liepos 22 d. Administracinio teismo sprendimas UPRS I U 971/2014. </w:t>
      </w:r>
    </w:p>
  </w:footnote>
  <w:footnote w:id="10">
    <w:p>
      <w:pPr>
        <w:pStyle w:val="FootnoteText"/>
        <w:rPr>
          <w:rFonts w:cs="Times New Roman"/>
        </w:rPr>
      </w:pPr>
      <w:r>
        <w:rPr>
          <w:rStyle w:val="FootnoteReference"/>
          <w:rFonts w:cs="Times New Roman"/>
        </w:rPr>
        <w:footnoteRef/>
      </w:r>
      <w:r>
        <w:t xml:space="preserve"> </w:t>
      </w:r>
      <w:r>
        <w:tab/>
        <w:t xml:space="preserve">Valstybinių prokuratūrų tarnybos įstatymo 34 straipsnio 2 dalis. </w:t>
      </w:r>
    </w:p>
  </w:footnote>
  <w:footnote w:id="11">
    <w:p>
      <w:pPr>
        <w:pStyle w:val="FootnoteText"/>
        <w:rPr>
          <w:rFonts w:cs="Times New Roman"/>
        </w:rPr>
      </w:pPr>
      <w:r>
        <w:rPr>
          <w:rStyle w:val="FootnoteReference"/>
          <w:rFonts w:cs="Times New Roman"/>
        </w:rPr>
        <w:footnoteRef/>
      </w:r>
      <w:r>
        <w:t xml:space="preserve"> </w:t>
      </w:r>
      <w:r>
        <w:tab/>
        <w:t xml:space="preserve">Pažymėtina, kad paprastai Vyriausybės lygmeniu paskyrimo ir paaukštinimo procedūra trunka kelis mėnesius ar net savaites. Be to, kai kurie 2021 m. pradžioje Vyriausybei pateikti kandidatai jau paskirti, o kiti kandidatai laukia nuo 2020 m. vasaros. Atkreiptinas dėmesys į tai, kad 2020 m. užimtų valstybinių prokurorų pareigybių skaičiaus (201,75 etato ekvivalento) ir pagal žmogiškųjų išteklių planą galimų užpildyti pareigybių skaičiaus (240) neatitikimas buvo didžiausias nuo 2015 m., o valstybinių prokurorų trūkumas, tam tikruose teritoriniuose skyriuose kartais sudarantis 30–40 proc., pradeda neigiamai veikti jų darbą. Bijoma, kad neužpildžius turimų pareigybių padaugės neišnagrinėtų pranešimų apie nusikaltimus. Generalinė prokuratūra, 2020 m. ataskaita, 2021 m. balandžio mėn., p. 234, 237–239. </w:t>
      </w:r>
    </w:p>
  </w:footnote>
  <w:footnote w:id="12">
    <w:p>
      <w:pPr>
        <w:pStyle w:val="FootnoteText"/>
        <w:rPr>
          <w:rFonts w:cs="Times New Roman"/>
        </w:rPr>
      </w:pPr>
      <w:r>
        <w:rPr>
          <w:rStyle w:val="FootnoteReference"/>
          <w:rFonts w:cs="Times New Roman"/>
        </w:rPr>
        <w:footnoteRef/>
      </w:r>
      <w:r>
        <w:t xml:space="preserve"> </w:t>
      </w:r>
      <w:r>
        <w:tab/>
        <w:t>2021 m. vasario 15 d., balandžio 29 d. ir birželio 23 d. Komisija išsiuntė raštus teisingumo ministrui, išreikšdama tam tikrą susirūpinimą dėl nebaigtos nacionalinės dviejų Europos deleguotųjų prokurorų kandidatūrų iškėlimo procedūros užbaigimo ir labai apgailestaudama dėl vėlavimo pateikti atrinktų kandidatų pavardes Europos prokuratūrai. Atsakyme į pirmuosius du raštus tuometinė teisingumo ministrė paaiškino, kad ji padarė viską, ką galėjo, ir kad dabar nuo Vyriausybės priklauso, kada ji nusiųs pasirinktų kandidatų pavardes Europos prokuratūrai. 2021 m. liepos 9 d. Europos vyriausioji prokurorė teisingumo ministrui adresuotame rašte išreiškė didelį susirūpinimą.</w:t>
      </w:r>
    </w:p>
  </w:footnote>
  <w:footnote w:id="13">
    <w:p>
      <w:pPr>
        <w:pStyle w:val="FootnoteText"/>
        <w:rPr>
          <w:rFonts w:cs="Times New Roman"/>
        </w:rPr>
      </w:pPr>
      <w:r>
        <w:rPr>
          <w:rStyle w:val="FootnoteReference"/>
          <w:rFonts w:cs="Times New Roman"/>
        </w:rPr>
        <w:footnoteRef/>
      </w:r>
      <w:r>
        <w:t xml:space="preserve"> </w:t>
      </w:r>
      <w:r>
        <w:tab/>
        <w:t>Įstatyme numatyta speciali Europos deleguotųjų prokurorų kandidatūrų iškėlimo procedūra: kai Teisingumo ministerija paskelbia laisvą vietą į viešąją pareigybę, nepriklausoma Valstybinių prokuratūrų taryba atrenka kandidatus į Europos deleguotųjų prokurorų pareigas ir pateikia kandidatūras Teisingumo ministerijai, o tada Teisingumo ministerija pateikia pavardes Vyriausybei; tada Vyriausybė tik susipažįsta su Tarybos pasirinktų kandidatų pavardėmis ir jas perduoda Europos prokuratūrai, o ši sprendžia dėl kandidatų skyrimo. Valstybinių prokuratūrų tarnybos įstatymo 71 straipsnio d punktas.</w:t>
      </w:r>
    </w:p>
    <w:p>
      <w:pPr>
        <w:pStyle w:val="FootnoteText"/>
        <w:rPr>
          <w:rFonts w:cs="Times New Roman"/>
        </w:rPr>
      </w:pPr>
      <w:r>
        <w:tab/>
        <w:t xml:space="preserve">Nors Europos prokuratūros kolegijos patvirtintose Europos deleguotųjų prokurorų įdarbinimo sąlygose reikalaujama „patenkinamų Europos prokuratūros operatyvinės ir administracinės veiklos darbo kalbos žinių“ (3 straipsnis), 2021 m. vasario mėn. Vyriausybė pasiūlė tiksliai nurodyti kalbos kriterijų Europos deleguotųjų prokurorų atrankai, reikalaudama, kad Europos prokuratūros darbo kalbos žinios, reikalingos efektyviam Europos prokuratūros darbui, atitiktų „bent Bendros Europos kalbų mokėjimo orientacinės sistemos C1 lygį“. Teisės akto pakeitimai įsigaliojo 2021 m. kovo mėn. pabaigoje, nenurodžius, ar jie atgaline data taikomi vykstančiam Europos deleguotųjų prokurorų kandidatūrų iškėlimo procesui. Valstybinių prokuratūrų taryba paaiškino, kad kalbos mokėjimo sąlygos, taikytinos atrenkant du kandidatus, jau atitiko Europos prokuratūros keliamas sąlygas ir šias sąlygas atitiko abu kandidatai (abu kandidatai atitiko ir naująją sąlygą). Valstybinių prokuratūrų taryba, 2021 m. kovo 17 d. pranešimas spaudai. </w:t>
      </w:r>
    </w:p>
  </w:footnote>
  <w:footnote w:id="14">
    <w:p>
      <w:pPr>
        <w:pStyle w:val="FootnoteText"/>
        <w:rPr>
          <w:rFonts w:cs="Times New Roman"/>
        </w:rPr>
      </w:pPr>
      <w:r>
        <w:rPr>
          <w:rStyle w:val="FootnoteReference"/>
          <w:rFonts w:cs="Times New Roman"/>
        </w:rPr>
        <w:footnoteRef/>
      </w:r>
      <w:r>
        <w:t xml:space="preserve"> </w:t>
      </w:r>
      <w:r>
        <w:tab/>
        <w:t xml:space="preserve">Vyriausybės teigimu, Slovėnijos įstatyme konkrečiai reikalaujama, kad kandidatų skaičius būtų trigubai didesnis už patvirtintą nacionalinį Europos deleguotųjų prokurorų skaičių, o Valstybinių prokuratūrų taryba nesuteikė Teisingumo ministerijai pakankamo kvalifikuotų kandidatų rezervo, todėl pirmoji Europos deleguotųjų prokurorų atrankos procedūra </w:t>
      </w:r>
      <w:r>
        <w:rPr>
          <w:i/>
        </w:rPr>
        <w:t>ex lege</w:t>
      </w:r>
      <w:r>
        <w:t xml:space="preserve"> nuo pat jos pradžios neturėjo jokios teisinės galios. Todėl Vyriausybė paragino Teisingumo ministeriją paskelbti naują viešą kvietimą teikti kandidatūras. Vyriausybei priėmus nutarimą, teisingumo ministras atsistatydino. Reaguodamas į tai, generalinis prokuroras pareiškė, kad Vyriausybės nutarimas yra neteisėtas, neatitinka Konstitucijos ir juo pažeidžiamas Valstybinės prokuratūros nepriklausomumas. Valstybinis generalinis prokuroras, 2021 m. gegužės 26 d. pranešimas. Valstybinių prokuratūrų taryba pareiškė, kad atranka buvo atlikta pagal įstatymą ir kad Vyriausybė, procedūros panaikinimą ir naująjį viešą kvietimą pripažindama neteisėtais, savavališkai aiškina įstatymą. Valstybinių prokuratūrų taryba, 2021 m. birželio 1 d. išvados ir 2021 m. liepos 9 d. pareiškimas. Per viešas diskusijas taip pat buvo pažymėtas faktas, kad vienas iš kandidatų dalyvavo dabartinės Vyriausybės nario turto konfiskavimo procedūroje.</w:t>
      </w:r>
    </w:p>
  </w:footnote>
  <w:footnote w:id="15">
    <w:p>
      <w:pPr>
        <w:pStyle w:val="FootnoteText"/>
        <w:rPr>
          <w:rFonts w:cs="Times New Roman"/>
        </w:rPr>
      </w:pPr>
      <w:r>
        <w:rPr>
          <w:rStyle w:val="FootnoteReference"/>
          <w:rFonts w:cs="Times New Roman"/>
        </w:rPr>
        <w:footnoteRef/>
      </w:r>
      <w:r>
        <w:t xml:space="preserve"> </w:t>
      </w:r>
      <w:r>
        <w:tab/>
        <w:t>Rekomendacijos CM/Rec(2000) 19 5 punkto a ir b papunkčiai.</w:t>
      </w:r>
    </w:p>
  </w:footnote>
  <w:footnote w:id="16">
    <w:p>
      <w:pPr>
        <w:pStyle w:val="FootnoteText"/>
        <w:rPr>
          <w:rFonts w:cs="Times New Roman"/>
        </w:rPr>
      </w:pPr>
      <w:r>
        <w:rPr>
          <w:rStyle w:val="FootnoteReference"/>
          <w:rFonts w:cs="Times New Roman"/>
        </w:rPr>
        <w:footnoteRef/>
      </w:r>
      <w:r>
        <w:t xml:space="preserve"> </w:t>
      </w:r>
      <w:r>
        <w:tab/>
        <w:t xml:space="preserve">Tyrimo komitetą Nacionalinės Tarybos (slovėn. </w:t>
      </w:r>
      <w:r>
        <w:rPr>
          <w:i/>
        </w:rPr>
        <w:t>Državni svet</w:t>
      </w:r>
      <w:r>
        <w:t>, antrųjų Parlamento rūmų) prašymu sudarė Nacionalinė Asamblėja. Daugiau informacijos apie parlamento struktūrą žr. IV ramstyje „Kiti instituciniai klausimai, susiję su stabdžių ir atsvarų sistema“. Bylą Konstituciniam Teismui perdavė Teismų taryba ir Valstybinė prokuratūra.</w:t>
      </w:r>
    </w:p>
  </w:footnote>
  <w:footnote w:id="17">
    <w:p>
      <w:pPr>
        <w:pStyle w:val="FootnoteText"/>
        <w:rPr>
          <w:rFonts w:cs="Times New Roman"/>
        </w:rPr>
      </w:pPr>
      <w:r>
        <w:rPr>
          <w:rStyle w:val="FootnoteReference"/>
          <w:rFonts w:cs="Times New Roman"/>
        </w:rPr>
        <w:footnoteRef/>
      </w:r>
      <w:r>
        <w:t xml:space="preserve"> </w:t>
      </w:r>
      <w:r>
        <w:tab/>
        <w:t>2021 m. sausio 7 d. Konstitucinio Teismo sprendimas U-I-246/19-41.</w:t>
      </w:r>
    </w:p>
  </w:footnote>
  <w:footnote w:id="18">
    <w:p>
      <w:pPr>
        <w:pStyle w:val="FootnoteText"/>
        <w:rPr>
          <w:rFonts w:cs="Times New Roman"/>
        </w:rPr>
      </w:pPr>
      <w:r>
        <w:rPr>
          <w:rStyle w:val="FootnoteReference"/>
          <w:rFonts w:cs="Times New Roman"/>
        </w:rPr>
        <w:footnoteRef/>
      </w:r>
      <w:r>
        <w:t xml:space="preserve"> </w:t>
      </w:r>
      <w:r>
        <w:tab/>
        <w:t>2021 m. sausio 7 d. Konstitucinio Teismo sprendimo U-I-246/19-41 77 punktas. Atskiroje nuomonėje du Konstitucinio Teismo teisėjai teigė, kad atvejis, kai parlamentas įtarimą dėl neteisėto išorinio spaudimo ar piktnaudžiavimo tiria kaip galimą teisminių institucijų arba prokuratūros veikimo trūkumą (tokiu tyrimu būtų galima pagerinti teismų nepriklausomumo vertinimą), skiriasi nuo atvejo, kai abejojama teismo sprendimu arba netgi reikalaujama atsakomybės iš teisėjo (tai iš tikrųjų būtų nepriimtina).</w:t>
      </w:r>
    </w:p>
  </w:footnote>
  <w:footnote w:id="19">
    <w:p>
      <w:pPr>
        <w:pStyle w:val="FootnoteText"/>
        <w:rPr>
          <w:rFonts w:cs="Times New Roman"/>
        </w:rPr>
      </w:pPr>
      <w:r>
        <w:rPr>
          <w:rStyle w:val="FootnoteReference"/>
          <w:rFonts w:cs="Times New Roman"/>
        </w:rPr>
        <w:footnoteRef/>
      </w:r>
      <w:r>
        <w:t xml:space="preserve"> </w:t>
      </w:r>
      <w:r>
        <w:tab/>
        <w:t>Teismų taryba, Pozicijos dėl teisėjams taikomos drausminės procedūros teisinės sistemos pritaikymo ir pakeitimų, 2021 m. kovo 4 d.</w:t>
      </w:r>
    </w:p>
  </w:footnote>
  <w:footnote w:id="20">
    <w:p>
      <w:pPr>
        <w:pStyle w:val="FootnoteText"/>
        <w:rPr>
          <w:rFonts w:cs="Times New Roman"/>
        </w:rPr>
      </w:pPr>
      <w:r>
        <w:rPr>
          <w:rStyle w:val="FootnoteReference"/>
          <w:rFonts w:cs="Times New Roman"/>
        </w:rPr>
        <w:footnoteRef/>
      </w:r>
      <w:r>
        <w:t xml:space="preserve"> </w:t>
      </w:r>
      <w:r>
        <w:tab/>
        <w:t>Drausmės bylų teismo narius skiria Teismų taryba iš savo narių ir iš Aukščiausiojo Teismo pasiūlytų teisėjų. Teismų taryba iš Aukščiausiojo Teismo pasiūlytų kandidatų skiria drausmės bylų prokurorą, kuris tiria įtariamus drausminius nusižengimus. Lyginamąją teisėjams taikomoje drausminėje procedūroje dalyvaujančių valdžios institucijų apžvalgą žr. 2020 m. ES teisingumo rezultatų suvestinės 49 ir 50 diagramose.</w:t>
      </w:r>
    </w:p>
    <w:p>
      <w:pPr>
        <w:pStyle w:val="FootnoteText"/>
        <w:ind w:firstLine="0"/>
        <w:rPr>
          <w:rFonts w:cs="Times New Roman"/>
        </w:rPr>
      </w:pPr>
      <w:r>
        <w:t>Nuo Drausmės bylų teismo įsteigimo pateikta 21 iniciatyva pradėti drausminę procedūrą, iš jų pradėta 14 procedūrų (visos dėl pirmosios instancijos teismų teisėjų); iš jų devynios užbaigtos, o penkios dar vyksta. Pradėjus drausminę procedūrą du teisėjai nušalinti nuo pareigų, viena byla užbaigta, o kita dar nagrinėjama. Pažeidimą Drausmės bylų teismas nustatė iš viso keturiose bylose (skyrė du papeikimus, vieną darbo užmokesčio sumažinimą ir vieną drausminį perkėlimą), kitose keturiose bylose teisėjai buvo išteisinti, o viena procedūra buvo nutraukta, nes buvo atsiimtas pasiūlymas iškelti drausmės bylą. Teismų taryba, Pozicijos dėl teisėjams taikomos drausminės procedūros teisinės sistemos pritaikymo ir pakeitimų, 2021 m. kovo 4 d., p. 2–3.</w:t>
      </w:r>
    </w:p>
  </w:footnote>
  <w:footnote w:id="21">
    <w:p>
      <w:pPr>
        <w:pStyle w:val="FootnoteText"/>
        <w:rPr>
          <w:rFonts w:cs="Times New Roman"/>
        </w:rPr>
      </w:pPr>
      <w:r>
        <w:rPr>
          <w:rStyle w:val="FootnoteReference"/>
          <w:rFonts w:cs="Times New Roman"/>
        </w:rPr>
        <w:footnoteRef/>
      </w:r>
      <w:r>
        <w:t xml:space="preserve"> </w:t>
      </w:r>
      <w:r>
        <w:tab/>
        <w:t>2019 m. Aukščiausiasis Teismas paprašė Konstitucinio Teismo patikrinti, ar Teismų tarybos teisė pradėti drausminę procedūrą atitinka Konstituciją, nes kai kurie Teismų tarybos nariai yra ir Drausmės bylų teismo nariai. Tada Teismų taryba nusprendė nepradėti drausminės procedūros, kol sprendimą šiuo klausimu priims Konstitucinis Teismas.</w:t>
      </w:r>
    </w:p>
  </w:footnote>
  <w:footnote w:id="22">
    <w:p>
      <w:pPr>
        <w:pStyle w:val="FootnoteText"/>
        <w:rPr>
          <w:rFonts w:cs="Times New Roman"/>
        </w:rPr>
      </w:pPr>
      <w:r>
        <w:rPr>
          <w:rStyle w:val="FootnoteReference"/>
          <w:rFonts w:cs="Times New Roman"/>
        </w:rPr>
        <w:footnoteRef/>
      </w:r>
      <w:r>
        <w:t xml:space="preserve"> </w:t>
      </w:r>
      <w:r>
        <w:tab/>
        <w:t>Pažymėtina, kad vienoje plačiai aprašytoje byloje 2020 m. rugpjūčio mėn. Aukščiausiojo Teismo pirmininko pavaduotojas laikinai nušalino nuo pareigų apylinkės teismo teisėją, kai prieš teisėją buvo pradėta drausminė procedūra. Teisėjas nušalinimą nuo pareigų apskundė Teismų tarybai. 2018 m. teisėjas pareiškė įtarimų dėl kelių kitų teisėjų elgesio. Teisėjui taip pat pateikti baudžiamieji kaltinimai dėl šmeižto. Sprendime dėl nušalinimo nuo pareigų, be kita ko, buvo motyvuojama, kad, viešai kritikuojant kitus teisėjus, reikia laikytis oraus ir pagarbaus požiūrio į juos. Aukščiausiasis Teismas (2020 m.), 2020 m. rugpjūčio 17 d. pranešimas spaudai. 2020 m. gruodžio mėn. Teismų taryba padarė išvadą, kad teisėjų baudžiamojo persekiojimo apribojimų nėra. 2021 m. sausio mėn. parlamentinė komisija Parlamentui pasiūlė leisti iškelti teisėjui baudžiamąją bylą pagal vienos iš valstybinių apylinkės prokuratūrų pateiktą baudžiamąjį kaltinimą. Iš Slovėnijos gauti atsakymai rengiant 2021 m. teisinės valstybės principo taikymo ataskaitą, p. 7–8.</w:t>
      </w:r>
    </w:p>
  </w:footnote>
  <w:footnote w:id="23">
    <w:p>
      <w:pPr>
        <w:pStyle w:val="FootnoteText"/>
        <w:rPr>
          <w:rFonts w:cs="Times New Roman"/>
        </w:rPr>
      </w:pPr>
      <w:r>
        <w:rPr>
          <w:rStyle w:val="FootnoteReference"/>
          <w:rFonts w:cs="Times New Roman"/>
        </w:rPr>
        <w:footnoteRef/>
      </w:r>
      <w:r>
        <w:t xml:space="preserve"> </w:t>
      </w:r>
      <w:r>
        <w:tab/>
        <w:t>Aukščiausiojo Teismo teigimu, nuo to laiko, kai 2018 m. buvo pradėta taikyti naujoji sistema, kai kurie klausimai nebuvo išspręsti arba buvo nepakankamai išspręsti (pvz., dėl vienos instancijos procedūros, apskundimo galimybės tiek kaltinamajam, tiek drausmės bylos prokurorui, procesinių normų taikymo), o jie gali turėti poveikį procedūros veiksmingumui. Iš Aukščiausiojo Teismo gauti atsakymai rengiant 2021 m. teisinės valstybės principo taikymo ataskaitą, p. 1.</w:t>
      </w:r>
    </w:p>
  </w:footnote>
  <w:footnote w:id="24">
    <w:p>
      <w:pPr>
        <w:pStyle w:val="FootnoteText"/>
        <w:rPr>
          <w:rFonts w:cs="Times New Roman"/>
        </w:rPr>
      </w:pPr>
      <w:r>
        <w:rPr>
          <w:rStyle w:val="FootnoteReference"/>
          <w:rFonts w:cs="Times New Roman"/>
        </w:rPr>
        <w:footnoteRef/>
      </w:r>
      <w:r>
        <w:t xml:space="preserve"> </w:t>
      </w:r>
      <w:r>
        <w:tab/>
        <w:t xml:space="preserve">Rekomendacijos CM/Rec(2010) 12 66 ir 69 punktai. Remiantis ES teise, nepriklausomumo reikalavimas reiškia, kad teisėjams taikoma drausminė tvarka turi užtikrinti garantijas, reikalingas, kad būtų išvengta tokios tvarkos naudojimo kaip teismo sprendimų turinio politinės kontrolės sistemos. Pvz., 2019 m. birželio 24 d. Europos Sąjungos Teisingumo Teismo sprendimo </w:t>
      </w:r>
      <w:r>
        <w:rPr>
          <w:i/>
          <w:iCs/>
        </w:rPr>
        <w:t>Komisija / Lenkija</w:t>
      </w:r>
      <w:r>
        <w:t xml:space="preserve">, C-619/18, ECLI:EU:C:2019:531, 77 punktas, 2018 m. liepos 25 d. sprendimas LM, C-216/18 PPU, ECLI:EU:C:2018:586, 2016 m. liepos 5 d. sprendimas </w:t>
      </w:r>
      <w:r>
        <w:rPr>
          <w:i/>
          <w:iCs/>
        </w:rPr>
        <w:t>Ognyanov,</w:t>
      </w:r>
      <w:r>
        <w:t xml:space="preserve"> C-614/14, ECLI:EU:C:2016:514, ir 2019 m. vasario 12 d. nutartis </w:t>
      </w:r>
      <w:r>
        <w:rPr>
          <w:i/>
          <w:iCs/>
        </w:rPr>
        <w:t>RH</w:t>
      </w:r>
      <w:r>
        <w:t>, C-8/19, ECLI:EU:C:2019:110.</w:t>
      </w:r>
    </w:p>
  </w:footnote>
  <w:footnote w:id="25">
    <w:p>
      <w:pPr>
        <w:pStyle w:val="FootnoteText"/>
        <w:rPr>
          <w:rFonts w:cs="Times New Roman"/>
        </w:rPr>
      </w:pPr>
      <w:r>
        <w:rPr>
          <w:rStyle w:val="FootnoteReference"/>
          <w:rFonts w:cs="Times New Roman"/>
        </w:rPr>
        <w:footnoteRef/>
      </w:r>
      <w:r>
        <w:t xml:space="preserve"> </w:t>
      </w:r>
      <w:r>
        <w:tab/>
        <w:t>2020 m. teisinės valstybės principo taikymo ataskaita, Šalies skyrius: teisinės valstybės principo taikymo padėtis Slovėnijoje, p. 3–4.</w:t>
      </w:r>
    </w:p>
  </w:footnote>
  <w:footnote w:id="26">
    <w:p>
      <w:pPr>
        <w:pStyle w:val="FootnoteText"/>
        <w:rPr>
          <w:rFonts w:cs="Times New Roman"/>
        </w:rPr>
      </w:pPr>
      <w:r>
        <w:rPr>
          <w:rStyle w:val="FootnoteReference"/>
          <w:rFonts w:cs="Times New Roman"/>
        </w:rPr>
        <w:footnoteRef/>
      </w:r>
      <w:r>
        <w:t xml:space="preserve"> </w:t>
      </w:r>
      <w:r>
        <w:tab/>
        <w:t>Iš Slovėnijos gauti atsakymai rengiant 2021 m. teisinės valstybės principo taikymo ataskaitą, p. 11.</w:t>
      </w:r>
    </w:p>
  </w:footnote>
  <w:footnote w:id="27">
    <w:p>
      <w:pPr>
        <w:pStyle w:val="FootnoteText"/>
        <w:rPr>
          <w:rFonts w:cs="Times New Roman"/>
        </w:rPr>
      </w:pPr>
      <w:r>
        <w:rPr>
          <w:rStyle w:val="FootnoteReference"/>
          <w:rFonts w:cs="Times New Roman"/>
        </w:rPr>
        <w:footnoteRef/>
      </w:r>
      <w:r>
        <w:t xml:space="preserve"> </w:t>
      </w:r>
      <w:r>
        <w:tab/>
        <w:t>2020 m. teisinės valstybės principo taikymo ataskaita, Šalies skyrius: teisinės valstybės principo taikymo padėtis Slovėnijoje, p. 3.</w:t>
      </w:r>
    </w:p>
  </w:footnote>
  <w:footnote w:id="28">
    <w:p>
      <w:pPr>
        <w:pStyle w:val="FootnoteText"/>
        <w:rPr>
          <w:rFonts w:cs="Times New Roman"/>
        </w:rPr>
      </w:pPr>
      <w:r>
        <w:rPr>
          <w:rStyle w:val="FootnoteReference"/>
          <w:rFonts w:cs="Times New Roman"/>
        </w:rPr>
        <w:footnoteRef/>
      </w:r>
      <w:r>
        <w:t xml:space="preserve"> </w:t>
      </w:r>
      <w:r>
        <w:tab/>
        <w:t>Iš Slovėnijos gauti atsakymai rengiant 2021 m. teisinės valstybės principo taikymo ataskaitą, p. 12.</w:t>
      </w:r>
    </w:p>
  </w:footnote>
  <w:footnote w:id="29">
    <w:p>
      <w:pPr>
        <w:pStyle w:val="FootnoteText"/>
        <w:rPr>
          <w:rFonts w:cs="Times New Roman"/>
        </w:rPr>
      </w:pPr>
      <w:r>
        <w:rPr>
          <w:rStyle w:val="FootnoteReference"/>
          <w:rFonts w:cs="Times New Roman"/>
        </w:rPr>
        <w:footnoteRef/>
      </w:r>
      <w:r>
        <w:t xml:space="preserve"> </w:t>
      </w:r>
      <w:r>
        <w:tab/>
        <w:t>Iš Slovėnijos gauti atsakymai rengiant 2021 m. teisinės valstybės principo taikymo ataskaitą, p. 11.</w:t>
      </w:r>
    </w:p>
  </w:footnote>
  <w:footnote w:id="30">
    <w:p>
      <w:pPr>
        <w:pStyle w:val="FootnoteText"/>
        <w:rPr>
          <w:rFonts w:cs="Times New Roman"/>
        </w:rPr>
      </w:pPr>
      <w:r>
        <w:rPr>
          <w:rStyle w:val="FootnoteReference"/>
          <w:rFonts w:cs="Times New Roman"/>
        </w:rPr>
        <w:footnoteRef/>
      </w:r>
      <w:r>
        <w:t xml:space="preserve"> </w:t>
      </w:r>
      <w:r>
        <w:tab/>
        <w:t>2021 m. ES teisingumo rezultatų suvestinės 45 diagrama.</w:t>
      </w:r>
    </w:p>
  </w:footnote>
  <w:footnote w:id="31">
    <w:p>
      <w:pPr>
        <w:pStyle w:val="FootnoteText"/>
        <w:rPr>
          <w:rFonts w:cs="Times New Roman"/>
        </w:rPr>
      </w:pPr>
      <w:r>
        <w:rPr>
          <w:rStyle w:val="FootnoteReference"/>
          <w:rFonts w:cs="Times New Roman"/>
        </w:rPr>
        <w:footnoteRef/>
      </w:r>
      <w:r>
        <w:t xml:space="preserve"> </w:t>
      </w:r>
      <w:r>
        <w:tab/>
        <w:t>2021 m. ES teisingumo rezultatų suvestinės 41 diagrama. Projektu „Veiksmingas teisingumas“ siekiama centralizuoti Valstybinės prokuratūros IT infrastruktūrą ir sudaryti sąlygas Valstybinės prokuratūros tarnybos darbuotojams dirbti nuotoliniu būdu. Siekdami suteikti nuotoliniam darbui tinkamą įrangą, prokuratūros biurai leido darbuotojams į namus pasiimti kompiuterinę įrangą ir kai kuriais atvejais suteikė atsarginius knyginius kompiuterius. Iš Slovėnijos gauti atsakymai rengiant 2021 m. teisinės valstybės principo taikymo ataskaitą, p. 12–13.</w:t>
      </w:r>
    </w:p>
  </w:footnote>
  <w:footnote w:id="32">
    <w:p>
      <w:pPr>
        <w:pStyle w:val="FootnoteText"/>
        <w:rPr>
          <w:rFonts w:cs="Times New Roman"/>
        </w:rPr>
      </w:pPr>
      <w:r>
        <w:rPr>
          <w:rStyle w:val="FootnoteReference"/>
          <w:rFonts w:cs="Times New Roman"/>
        </w:rPr>
        <w:footnoteRef/>
      </w:r>
      <w:r>
        <w:t xml:space="preserve"> </w:t>
      </w:r>
      <w:r>
        <w:tab/>
        <w:t>2020 m. Aukščiausiojo Teismo pirmininkas dėl COVID-19 pandemijos apribojo teismų veiklą, nurodydamas sustabdyti procesinius terminus ir nutraukti procesinių veiksmų vykdymą bei teismo dokumentų įteikimą neskubiose bylose (nuo 2020 m. kovo 26 d. iki 2020 m. gegužės 31 d. ir nuo 2020 m. lapkričio 16 d. iki 2021 m. vasario 1 d. Iš Aukščiausiojo Teismo gauti atsakymai rengiant 2021 m. teisinės valstybės principo taikymo ataskaitą, p. 5.</w:t>
      </w:r>
    </w:p>
  </w:footnote>
  <w:footnote w:id="33">
    <w:p>
      <w:pPr>
        <w:pStyle w:val="FootnoteText"/>
        <w:rPr>
          <w:rFonts w:cs="Times New Roman"/>
        </w:rPr>
      </w:pPr>
      <w:r>
        <w:rPr>
          <w:rStyle w:val="FootnoteReference"/>
          <w:rFonts w:cs="Times New Roman"/>
        </w:rPr>
        <w:footnoteRef/>
      </w:r>
      <w:r>
        <w:t xml:space="preserve"> </w:t>
      </w:r>
      <w:r>
        <w:tab/>
        <w:t>Iš Slovėnijos gauti atsakymai rengiant 2021 m. teisinės valstybės principo taikymo ataskaitą, p. 11. Ekstremaliosios situacijos įstatymuose, skirtuose COVID-19 pandemijai valdyti, buvo įtvirtintos priemonės įkalinimo įstaigų pajėgumui reguliuoti, kad būtų apsaugota visuomenės, darbuotojų ir kalinių gyvybė ir sveikata, taip pat buvo taikomos priemonės vykdymo užtikrinimui atidėti ir laikinosios priemonės vykdant nemokumo procedūras.</w:t>
      </w:r>
    </w:p>
  </w:footnote>
  <w:footnote w:id="34">
    <w:p>
      <w:pPr>
        <w:pStyle w:val="FootnoteText"/>
        <w:rPr>
          <w:rFonts w:cs="Times New Roman"/>
        </w:rPr>
      </w:pPr>
      <w:r>
        <w:rPr>
          <w:rStyle w:val="FootnoteReference"/>
          <w:rFonts w:cs="Times New Roman"/>
        </w:rPr>
        <w:footnoteRef/>
      </w:r>
      <w:r>
        <w:t xml:space="preserve"> </w:t>
      </w:r>
      <w:r>
        <w:tab/>
        <w:t>Iš Aukščiausiojo Teismo gauti atsakymai rengiant 2021 m. teisinės valstybės principo taikymo ataskaitą, p. 4.</w:t>
      </w:r>
    </w:p>
  </w:footnote>
  <w:footnote w:id="35">
    <w:p>
      <w:pPr>
        <w:pStyle w:val="FootnoteText"/>
        <w:rPr>
          <w:rFonts w:cs="Times New Roman"/>
        </w:rPr>
      </w:pPr>
      <w:r>
        <w:rPr>
          <w:rStyle w:val="FootnoteReference"/>
          <w:rFonts w:cs="Times New Roman"/>
        </w:rPr>
        <w:footnoteRef/>
      </w:r>
      <w:r>
        <w:t xml:space="preserve"> </w:t>
      </w:r>
      <w:r>
        <w:tab/>
        <w:t>2020 m. teisinės valstybės principo taikymo ataskaita, Šalies skyrius: teisinės valstybės principo taikymo padėtis Slovėnijoje, p. 5.</w:t>
      </w:r>
    </w:p>
  </w:footnote>
  <w:footnote w:id="36">
    <w:p>
      <w:pPr>
        <w:pStyle w:val="FootnoteText"/>
        <w:rPr>
          <w:rFonts w:cs="Times New Roman"/>
        </w:rPr>
      </w:pPr>
      <w:r>
        <w:rPr>
          <w:rStyle w:val="FootnoteReference"/>
          <w:rFonts w:cs="Times New Roman"/>
        </w:rPr>
        <w:footnoteRef/>
      </w:r>
      <w:r>
        <w:t xml:space="preserve"> </w:t>
      </w:r>
      <w:r>
        <w:tab/>
        <w:t>2021 m. ES teisingumo rezultatų suvestinės 46 ir 47 diagramos. Reaguodama į 2020 m. ataskaitoje ir ES teisingumo rezultatų suvestinėje nustatytus faktus, Teisingumo ministerija atliko lyginamąją teisinę analizę, kurioje buvo nagrinėjamas teismų sprendimų viešas skelbimas ir planai įstatymu įpareigoti viešai skelbti bent jau sprendimus dėl bylos esmės, svarbius teisiniam tikrumui užtikrinti. Iš Slovėnijos gauti atsakymai rengiant 2021 m. teisinės valstybės principo taikymo ataskaitą, p. 13. 2020 m. gruodžio mėn. du parlamentiniai komitetai paprašė Vyriausybės Galimybės susipažinti su vieša informacija įstatyme pateikti teisinį pagrindą visiems galutiniams teismų sprendimams viešai skelbti. Vidaus reikalų, viešojo administravimo ir vietos savivaldos parlamentinis komitetas ir Teisingumo komitetas, 2020 m. gruodžio 14 d. išvada.</w:t>
      </w:r>
    </w:p>
  </w:footnote>
  <w:footnote w:id="37">
    <w:p>
      <w:pPr>
        <w:pStyle w:val="FootnoteText"/>
        <w:rPr>
          <w:rFonts w:cs="Times New Roman"/>
        </w:rPr>
      </w:pPr>
      <w:r>
        <w:rPr>
          <w:rStyle w:val="FootnoteReference"/>
          <w:rFonts w:cs="Times New Roman"/>
        </w:rPr>
        <w:footnoteRef/>
      </w:r>
      <w:r>
        <w:t xml:space="preserve"> </w:t>
      </w:r>
      <w:r>
        <w:tab/>
        <w:t>2020 m. gegužės 27 d. Aukščiausiojo Teismo nutartis, X Ips 4/2020. Iš Slovėnijos gauti atsakymai rengiant 2021 m. teisinės valstybės principo taikymo ataskaitą, p. 27.</w:t>
      </w:r>
    </w:p>
  </w:footnote>
  <w:footnote w:id="38">
    <w:p>
      <w:pPr>
        <w:pStyle w:val="FootnoteText"/>
        <w:rPr>
          <w:rFonts w:cs="Times New Roman"/>
        </w:rPr>
      </w:pPr>
      <w:r>
        <w:rPr>
          <w:rStyle w:val="FootnoteReference"/>
          <w:rFonts w:cs="Times New Roman"/>
        </w:rPr>
        <w:footnoteRef/>
      </w:r>
      <w:r>
        <w:t xml:space="preserve"> </w:t>
      </w:r>
      <w:r>
        <w:tab/>
        <w:t>Baudžiamojo proceso įstatymo 128 straipsnis (su pakeitimais). Galimybė susipažinti su vieša informacija reglamentuojama specialiu įstatymu – Galimybės susipažinti su vieša informacija įstatymu. Be to, Masinės žiniasklaidos įstatymo 45 straipsniu konkrečiai reglamentuojama žiniasklaidos susipažinimo su informacija procedūra, t. y. žiniasklaidai suteikiama ypatinga (palankesnė) padėtis siekiant gauti viešo pobūdžio informaciją iš įstaigų, patenkančių į Galimybės susipažinti su vieša informacija įstatymo taikymo sritį. Iš Slovėnijos gauti atsakymai rengiant 2021 m. teisinės valstybės principo taikymo ataskaitą, p. 27.</w:t>
      </w:r>
    </w:p>
  </w:footnote>
  <w:footnote w:id="39">
    <w:p>
      <w:pPr>
        <w:pStyle w:val="FootnoteText"/>
        <w:rPr>
          <w:rFonts w:cs="Times New Roman"/>
        </w:rPr>
      </w:pPr>
      <w:r>
        <w:rPr>
          <w:rStyle w:val="FootnoteReference"/>
          <w:rFonts w:cs="Times New Roman"/>
        </w:rPr>
        <w:footnoteRef/>
      </w:r>
      <w:r>
        <w:t xml:space="preserve"> </w:t>
      </w:r>
      <w:r>
        <w:tab/>
        <w:t>Jeigu Informacijos komisaras (nepriklausoma duomenų apsaugos institucija) skundą atmeta, pavyzdžiui, remdamasis vykstančio baudžiamojo proceso interesų apsauga, skundo teikėjas gali prašyti, kad Administracinis teismas atliktų teisminę peržiūrą.</w:t>
      </w:r>
    </w:p>
  </w:footnote>
  <w:footnote w:id="40">
    <w:p>
      <w:pPr>
        <w:pStyle w:val="FootnoteText"/>
        <w:rPr>
          <w:rFonts w:cs="Times New Roman"/>
        </w:rPr>
      </w:pPr>
      <w:r>
        <w:rPr>
          <w:rStyle w:val="FootnoteReference"/>
          <w:rFonts w:cs="Times New Roman"/>
        </w:rPr>
        <w:footnoteRef/>
      </w:r>
      <w:r>
        <w:t xml:space="preserve"> </w:t>
      </w:r>
      <w:r>
        <w:tab/>
        <w:t xml:space="preserve">Iš Slovėnijos gauti atsakymai rengiant 2021 m. teisinės valstybės principo taikymo ataskaitą, p. 27. </w:t>
      </w:r>
    </w:p>
  </w:footnote>
  <w:footnote w:id="41">
    <w:p>
      <w:pPr>
        <w:pStyle w:val="FootnoteText"/>
        <w:rPr>
          <w:rFonts w:cs="Times New Roman"/>
        </w:rPr>
      </w:pPr>
      <w:r>
        <w:rPr>
          <w:rStyle w:val="FootnoteReference"/>
          <w:rFonts w:cs="Times New Roman"/>
        </w:rPr>
        <w:footnoteRef/>
      </w:r>
      <w:r>
        <w:t xml:space="preserve"> </w:t>
      </w:r>
      <w:r>
        <w:tab/>
        <w:t>2020 m. teisinės valstybės principo taikymo ataskaita, Šalies skyrius: teisinės valstybės principo taikymo padėtis Slovėnijoje, p. 2 ir p. 4.</w:t>
      </w:r>
    </w:p>
  </w:footnote>
  <w:footnote w:id="42">
    <w:p>
      <w:pPr>
        <w:pStyle w:val="FootnoteText"/>
        <w:rPr>
          <w:rFonts w:cs="Times New Roman"/>
        </w:rPr>
      </w:pPr>
      <w:r>
        <w:rPr>
          <w:rStyle w:val="FootnoteReference"/>
          <w:rFonts w:cs="Times New Roman"/>
        </w:rPr>
        <w:footnoteRef/>
      </w:r>
      <w:r>
        <w:t xml:space="preserve"> </w:t>
      </w:r>
      <w:r>
        <w:tab/>
        <w:t xml:space="preserve">Teismų tarybos asignuotasis biudžetas: apie 612 000 EUR (2019 m.), 606 000 EUR (2020 m.), 647 000 EUR (2021 m.), 777 000 EUR (2022 m.). Valstybinių prokuratūrų tarybos asignuotasis biudžetas: apie 185 000 EUR (2019 m.), 200 000 EUR (2020 m.), 195 000 EUR (2021 m.) ir 192 000 EUR (2022 m.). </w:t>
      </w:r>
    </w:p>
  </w:footnote>
  <w:footnote w:id="43">
    <w:p>
      <w:pPr>
        <w:pStyle w:val="FootnoteText"/>
        <w:rPr>
          <w:rFonts w:cs="Times New Roman"/>
        </w:rPr>
      </w:pPr>
      <w:r>
        <w:rPr>
          <w:rStyle w:val="FootnoteReference"/>
          <w:rFonts w:cs="Times New Roman"/>
        </w:rPr>
        <w:footnoteRef/>
      </w:r>
      <w:r>
        <w:t xml:space="preserve"> </w:t>
      </w:r>
      <w:r>
        <w:tab/>
        <w:t>2021 m. teisingumo sistemos asignuotasis 2021 m. biudžetas siekia beveik 245 mln. EUR visiems teismų ir Valstybinės prokuratūros biurams – apie 10 proc. daugiau negu 2020 m. 2021 m. ES teisingumo rezultatų suvestinės 29 ir 30 diagramos rodo, kad faktiškai teisingumo sistemai išleistas biudžetas nuo 2016 m. absoliučiais skaičiais didėja, o santykinai, kaip BVP dalis, jis nesikeičia, tačiau tebėra vienas iš didžiausių Europos Sąjungoje.</w:t>
      </w:r>
    </w:p>
  </w:footnote>
  <w:footnote w:id="44">
    <w:p>
      <w:pPr>
        <w:pStyle w:val="FootnoteText"/>
        <w:rPr>
          <w:rFonts w:cs="Times New Roman"/>
        </w:rPr>
      </w:pPr>
      <w:r>
        <w:rPr>
          <w:rStyle w:val="FootnoteReference"/>
          <w:rFonts w:cs="Times New Roman"/>
        </w:rPr>
        <w:footnoteRef/>
      </w:r>
      <w:r>
        <w:t xml:space="preserve"> </w:t>
      </w:r>
      <w:r>
        <w:tab/>
      </w:r>
      <w:r>
        <w:rPr>
          <w:shd w:val="clear" w:color="auto" w:fill="FAF9F8"/>
        </w:rPr>
        <w:t>2020 m. vasarą teismai stengėsi atsigriebti už prarastą laiką – 2020 m. birželio mėn. buvo išspręsta 40 proc. daugiau, 2020 m. liepos mėn. – 23 proc. daugiau, o rugpjūčio mėn. – 16 proc. daugiau bylų negu tais pačiais 2019 m. laikotarpiais. 2020 m. vidutinė proceso trukmė šiek tiek pailgėjo iki 8 mėnesių, kai buvo sprendžiamos stambios (svarbios) bylos, ir sutrumpėjo iki 1,1 mėnesio (nuo 1,4 mėn. 2019 m.), kai buvo sprendžiamos kitos bylos.</w:t>
      </w:r>
      <w:r>
        <w:t xml:space="preserve"> Iš Aukščiausiojo Teismo gauti atsakymai rengiant 2021 m. teisinės valstybės principo taikymo ataskaitą, p. 5.</w:t>
      </w:r>
    </w:p>
  </w:footnote>
  <w:footnote w:id="45">
    <w:p>
      <w:pPr>
        <w:pStyle w:val="FootnoteText"/>
        <w:rPr>
          <w:rFonts w:cs="Times New Roman"/>
        </w:rPr>
      </w:pPr>
      <w:r>
        <w:rPr>
          <w:rStyle w:val="FootnoteReference"/>
          <w:rFonts w:cs="Times New Roman"/>
        </w:rPr>
        <w:footnoteRef/>
      </w:r>
      <w:r>
        <w:t xml:space="preserve"> </w:t>
      </w:r>
      <w:r>
        <w:tab/>
        <w:t>2021 m. ES teisingumo rezultatų suvestinės 21 diagrama, kurioje pateikiami 2014, 2017, 2018 ir 2019 m. duomenys.</w:t>
      </w:r>
    </w:p>
  </w:footnote>
  <w:footnote w:id="46">
    <w:p>
      <w:pPr>
        <w:pStyle w:val="FootnoteText"/>
        <w:rPr>
          <w:rFonts w:cs="Times New Roman"/>
        </w:rPr>
      </w:pPr>
      <w:r>
        <w:rPr>
          <w:rStyle w:val="FootnoteReference"/>
          <w:rFonts w:cs="Times New Roman"/>
        </w:rPr>
        <w:footnoteRef/>
      </w:r>
      <w:r>
        <w:t xml:space="preserve"> </w:t>
      </w:r>
      <w:r>
        <w:tab/>
        <w:t>Teisingumo ministerijos atliktos Liublianos administracinio teismo ir jo Mariboro, Nova Goricos ir Celės skyrių veiklos organizavimo patikros rezultatų santrauka, Teisingumo ministerija, 2021 m. balandžio mėn.</w:t>
      </w:r>
    </w:p>
  </w:footnote>
  <w:footnote w:id="47">
    <w:p>
      <w:pPr>
        <w:pStyle w:val="FootnoteText"/>
        <w:rPr>
          <w:rFonts w:cs="Times New Roman"/>
        </w:rPr>
      </w:pPr>
      <w:r>
        <w:rPr>
          <w:rStyle w:val="FootnoteReference"/>
          <w:rFonts w:cs="Times New Roman"/>
        </w:rPr>
        <w:footnoteRef/>
      </w:r>
      <w:r>
        <w:t xml:space="preserve"> </w:t>
      </w:r>
      <w:r>
        <w:tab/>
        <w:t xml:space="preserve">Transparency International (2021), </w:t>
      </w:r>
      <w:r>
        <w:rPr>
          <w:i/>
          <w:szCs w:val="24"/>
        </w:rPr>
        <w:t>Corruption Perceptions Index 2020</w:t>
      </w:r>
      <w:r>
        <w:t>, p. 2–3. Suvokiamos korupcijos lygis skirstomas į šias kategorijas: žemas (ekspertų ir įmonių vadovų suvokiamos viešojo sektoriaus korupcijos lygis viršija 79 balus), gana žemas (79–60 balų), gana aukštas (59–50 balų), aukštas (mažiau nei 50 balų).</w:t>
      </w:r>
    </w:p>
  </w:footnote>
  <w:footnote w:id="48">
    <w:p>
      <w:pPr>
        <w:pStyle w:val="FootnoteText"/>
        <w:rPr>
          <w:rFonts w:cs="Times New Roman"/>
        </w:rPr>
      </w:pPr>
      <w:r>
        <w:rPr>
          <w:rStyle w:val="FootnoteReference"/>
          <w:rFonts w:cs="Times New Roman"/>
        </w:rPr>
        <w:footnoteRef/>
      </w:r>
      <w:r>
        <w:t xml:space="preserve"> </w:t>
      </w:r>
      <w:r>
        <w:tab/>
        <w:t>Praėjusiais metais pateikti „Eurobarometro“ duomenys apie korupcijos suvokimą ir piliečių bei įmonių patirtį atnaujinami kas antrus metus. Naujausi duomenys pateikiami 2020 m. specialiojoje „Eurobarometro“ apklausoje Nr. 502 ir 2019 m. greitojoje „Eurobarometro“ apklausoje Nr. 482.</w:t>
      </w:r>
    </w:p>
  </w:footnote>
  <w:footnote w:id="49">
    <w:p>
      <w:pPr>
        <w:pStyle w:val="FootnoteText"/>
        <w:rPr>
          <w:rFonts w:cs="Times New Roman"/>
        </w:rPr>
      </w:pPr>
      <w:r>
        <w:rPr>
          <w:rStyle w:val="FootnoteReference"/>
          <w:rFonts w:cs="Times New Roman"/>
        </w:rPr>
        <w:footnoteRef/>
      </w:r>
      <w:r>
        <w:t xml:space="preserve"> </w:t>
      </w:r>
      <w:r>
        <w:tab/>
        <w:t>2015 m. šis rodiklis buvo 60, o 2020 m. – taip pat60. Rodiklis reikšmingai padidėja arba sumažėja, kai per praėjusius penkerius metus balų suma pasikeičia daugiau kaip penkiais balais; padidėja arba sumažėja, kai balų suma pasikeičia 4–5 balais ir išlieka gana stabilus, kai balų suma pasikeičia 1–3 balais.</w:t>
      </w:r>
    </w:p>
  </w:footnote>
  <w:footnote w:id="50">
    <w:p>
      <w:pPr>
        <w:pStyle w:val="FootnoteText"/>
        <w:rPr>
          <w:rFonts w:cs="Times New Roman"/>
        </w:rPr>
      </w:pPr>
      <w:r>
        <w:rPr>
          <w:rStyle w:val="FootnoteReference"/>
          <w:rFonts w:cs="Times New Roman"/>
        </w:rPr>
        <w:footnoteRef/>
      </w:r>
      <w:r>
        <w:t xml:space="preserve"> </w:t>
      </w:r>
      <w:r>
        <w:tab/>
        <w:t>Iš Slovėnijos gauti atsakymai rengiant 2021 m. teisinės valstybės principo taikymo ataskaitą.</w:t>
      </w:r>
    </w:p>
  </w:footnote>
  <w:footnote w:id="51">
    <w:p>
      <w:pPr>
        <w:pStyle w:val="FootnoteText"/>
        <w:rPr>
          <w:rFonts w:cs="Times New Roman"/>
        </w:rPr>
      </w:pPr>
      <w:r>
        <w:rPr>
          <w:rStyle w:val="FootnoteReference"/>
          <w:rFonts w:cs="Times New Roman"/>
        </w:rPr>
        <w:footnoteRef/>
      </w:r>
      <w:r>
        <w:t xml:space="preserve"> </w:t>
      </w:r>
      <w:r>
        <w:tab/>
      </w:r>
      <w:r>
        <w:rPr>
          <w:rStyle w:val="normaltextrun"/>
        </w:rPr>
        <w:t>2017–2019 m. Vyriausybės programa profesiniam sąžiningumui ir skaidrumui stiprinti.</w:t>
      </w:r>
    </w:p>
  </w:footnote>
  <w:footnote w:id="52">
    <w:p>
      <w:pPr>
        <w:pStyle w:val="FootnoteText"/>
        <w:rPr>
          <w:rFonts w:cs="Times New Roman"/>
        </w:rPr>
      </w:pPr>
      <w:r>
        <w:rPr>
          <w:rStyle w:val="FootnoteReference"/>
          <w:rFonts w:cs="Times New Roman"/>
        </w:rPr>
        <w:footnoteRef/>
      </w:r>
      <w:r>
        <w:t xml:space="preserve"> </w:t>
      </w:r>
      <w:r>
        <w:tab/>
        <w:t xml:space="preserve">18 veiksmų (iš 25) buvo visiškai įgyvendinti, keturi – iš dalies įgyvendinti, o trys nebuvo įgyvendinti. Slovėnijos vyriausybė, </w:t>
      </w:r>
      <w:r>
        <w:rPr>
          <w:rStyle w:val="jlqj4b"/>
        </w:rPr>
        <w:t>2017–2019 m. Vyriausybės programos profesiniam sąžiningumui ir skaidrumui stiprinti įgyvendinimo galutinė ataskaita, 2020 m. balandžio 21 d.</w:t>
      </w:r>
      <w:r>
        <w:t xml:space="preserve"> </w:t>
      </w:r>
    </w:p>
  </w:footnote>
  <w:footnote w:id="53">
    <w:p>
      <w:pPr>
        <w:pStyle w:val="FootnoteText"/>
        <w:rPr>
          <w:rFonts w:cs="Times New Roman"/>
        </w:rPr>
      </w:pPr>
      <w:r>
        <w:rPr>
          <w:rStyle w:val="FootnoteReference"/>
          <w:rFonts w:cs="Times New Roman"/>
        </w:rPr>
        <w:footnoteRef/>
      </w:r>
      <w:r>
        <w:t xml:space="preserve"> </w:t>
      </w:r>
      <w:r>
        <w:tab/>
        <w:t>Profesinio sąžiningumo ir korupcijos prevencijos įstatymo 9a straipsnyje numatyta, kad kandidatūrų iškėlimo komitetą sudaro penki nariai: vieną narį skiria už viešąjį administravimą atsakinga ministerija, vieną narį skiria privačiojo sektoriaus / ne pelno organizacija, vieną narį skiria parlamentas, vieną narį – Teismų taryba ir vieną narį – Valstybinių prokuratūrų taryba.</w:t>
      </w:r>
    </w:p>
  </w:footnote>
  <w:footnote w:id="54">
    <w:p>
      <w:pPr>
        <w:pStyle w:val="FootnoteText"/>
        <w:rPr>
          <w:rFonts w:cs="Times New Roman"/>
        </w:rPr>
      </w:pPr>
      <w:r>
        <w:rPr>
          <w:rStyle w:val="FootnoteReference"/>
          <w:rFonts w:cs="Times New Roman"/>
        </w:rPr>
        <w:footnoteRef/>
      </w:r>
      <w:r>
        <w:t xml:space="preserve"> </w:t>
      </w:r>
      <w:r>
        <w:tab/>
        <w:t>2020 m. iš 69 valdymo plane susistemintų pareigybių buvo užpildytos tik 33 pareigūnams skirtos pareigybės. Iš visų rūšių darbuotojams, įskaitant vyriausiąjį komisarą ir du pavaduotojus, skirtos 81 pareigybės buvo užpildyta tik 41. Korupcijos prevencijos komisija, 2020 m. ataskaita, 2021 m. gegužės 20 d., p. 62.</w:t>
      </w:r>
    </w:p>
  </w:footnote>
  <w:footnote w:id="55">
    <w:p>
      <w:pPr>
        <w:pStyle w:val="FootnoteText"/>
        <w:rPr>
          <w:rFonts w:cs="Times New Roman"/>
        </w:rPr>
      </w:pPr>
      <w:r>
        <w:rPr>
          <w:rStyle w:val="FootnoteReference"/>
          <w:rFonts w:cs="Times New Roman"/>
        </w:rPr>
        <w:footnoteRef/>
      </w:r>
      <w:r>
        <w:t xml:space="preserve"> </w:t>
      </w:r>
      <w:r>
        <w:tab/>
        <w:t>Korupcijos prevencijos komisijos informacija.</w:t>
      </w:r>
    </w:p>
  </w:footnote>
  <w:footnote w:id="56">
    <w:p>
      <w:pPr>
        <w:pStyle w:val="FootnoteText"/>
        <w:rPr>
          <w:rFonts w:cs="Times New Roman"/>
        </w:rPr>
      </w:pPr>
      <w:r>
        <w:rPr>
          <w:rStyle w:val="FootnoteReference"/>
          <w:rFonts w:cs="Times New Roman"/>
        </w:rPr>
        <w:footnoteRef/>
      </w:r>
      <w:r>
        <w:t xml:space="preserve"> </w:t>
      </w:r>
      <w:r>
        <w:tab/>
        <w:t>2021 m. gegužės mėn. buvo iš dalies pakeistas Slovėnijos biudžeto vykdymo įstatymas ir šis bendras naujų valstybės pareigūnų samdymo Slovėnijoje apribojimas buvo panaikintas. Vyriausiasis komisaras nurodė, kad finansinių išteklių klausimu komisijai reikia daugiau nepriklausomumo, taip būtų užtikrinta, kad Korupcijos prevencijos komisija būtų tikrai savarankiška. Korupcijos prevencijos komisija, 2020 m. ataskaita, 2021 m. gegužės 20 d., p. 7–8.</w:t>
      </w:r>
    </w:p>
  </w:footnote>
  <w:footnote w:id="57">
    <w:p>
      <w:pPr>
        <w:pStyle w:val="FootnoteText"/>
        <w:rPr>
          <w:rFonts w:cs="Times New Roman"/>
        </w:rPr>
      </w:pPr>
      <w:r>
        <w:rPr>
          <w:rStyle w:val="FootnoteReference"/>
          <w:rFonts w:cs="Times New Roman"/>
        </w:rPr>
        <w:footnoteRef/>
      </w:r>
      <w:r>
        <w:t xml:space="preserve"> </w:t>
      </w:r>
      <w:r>
        <w:tab/>
        <w:t>Korupcijos prevencijos komisija, 2020 m. ataskaita, 2021 m. gegužės 20 d., p. 65.</w:t>
      </w:r>
    </w:p>
  </w:footnote>
  <w:footnote w:id="58">
    <w:p>
      <w:pPr>
        <w:pStyle w:val="FootnoteText"/>
        <w:rPr>
          <w:rFonts w:cs="Times New Roman"/>
        </w:rPr>
      </w:pPr>
      <w:r>
        <w:rPr>
          <w:rStyle w:val="FootnoteReference"/>
          <w:rFonts w:cs="Times New Roman"/>
        </w:rPr>
        <w:footnoteRef/>
      </w:r>
      <w:r>
        <w:t xml:space="preserve"> </w:t>
      </w:r>
      <w:r>
        <w:tab/>
        <w:t>EBPO, Kovos su kyšininkavimu darbo grupė, EBPO kovos su kyšininkavimu konvencijos įgyvendinimo 4 etapo ataskaita: Slovėnija, 2021 m. kovo 11 d.</w:t>
      </w:r>
    </w:p>
  </w:footnote>
  <w:footnote w:id="59">
    <w:p>
      <w:pPr>
        <w:pStyle w:val="FootnoteText"/>
        <w:rPr>
          <w:rFonts w:cs="Times New Roman"/>
        </w:rPr>
      </w:pPr>
      <w:r>
        <w:rPr>
          <w:rStyle w:val="FootnoteReference"/>
          <w:rFonts w:cs="Times New Roman"/>
        </w:rPr>
        <w:footnoteRef/>
      </w:r>
      <w:r>
        <w:t xml:space="preserve"> Apeliacinis skundas susijęs su klausimu, ar vykdant Nacionalinio tyrimų biuro direktoriaus atleidimo iš darbo procedūrą leistina remtis Viešojo administravimo įstatymo 83 straipsnio penkta pastraipa, atsižvelgiant į tai, kad Policijos sandaros ir veiklos įstatymo 49 straipsnyje numatytos toliau nurodytos gairės: „Nacionalinio tyrimų biuro direktorių skiria ir atleidžia policijos generalinis direktorius.“ Aukščiausiasis Teismas nutarties dėl pareiškimo dar nepriėmė. Per vizitą į Slovėniją iš Vyriausybės gauti rašytiniai atsakymai.</w:t>
      </w:r>
    </w:p>
  </w:footnote>
  <w:footnote w:id="60">
    <w:p>
      <w:pPr>
        <w:pStyle w:val="FootnoteText"/>
        <w:rPr>
          <w:rFonts w:cs="Times New Roman"/>
        </w:rPr>
      </w:pPr>
      <w:r>
        <w:rPr>
          <w:rStyle w:val="FootnoteReference"/>
          <w:rFonts w:cs="Times New Roman"/>
        </w:rPr>
        <w:footnoteRef/>
      </w:r>
      <w:r>
        <w:t xml:space="preserve"> Slovėnijos policija, pranešimai spaudai: 2020 m. gegužės 6 d. (ankstesnio direktoriaus atleidimas iš darbo ir pirmojo laikinai pareigas einančio direktoriaus paskyrimas), 2020 m. liepos 29 d. (antrojo laikinai pareigas einančio direktoriaus paskyrimas), 2020 m. spalio 12 d. (trečiojo laikinai pareigas einančio direktoriaus paskyrimas).</w:t>
      </w:r>
    </w:p>
  </w:footnote>
  <w:footnote w:id="61">
    <w:p>
      <w:pPr>
        <w:pStyle w:val="FootnoteText"/>
        <w:rPr>
          <w:rFonts w:cs="Times New Roman"/>
        </w:rPr>
      </w:pPr>
      <w:r>
        <w:rPr>
          <w:rStyle w:val="FootnoteReference"/>
          <w:rFonts w:cs="Times New Roman"/>
        </w:rPr>
        <w:footnoteRef/>
      </w:r>
      <w:r>
        <w:t xml:space="preserve"> </w:t>
      </w:r>
      <w:r>
        <w:tab/>
        <w:t>Iš Slovėnijos gauti atsakymai rengiant 2021 m. teisinės valstybės principo taikymo ataskaitą.</w:t>
      </w:r>
    </w:p>
  </w:footnote>
  <w:footnote w:id="62">
    <w:p>
      <w:pPr>
        <w:pStyle w:val="FootnoteText"/>
        <w:rPr>
          <w:rFonts w:cs="Times New Roman"/>
        </w:rPr>
      </w:pPr>
      <w:r>
        <w:rPr>
          <w:rStyle w:val="FootnoteReference"/>
          <w:rFonts w:cs="Times New Roman"/>
        </w:rPr>
        <w:footnoteRef/>
      </w:r>
      <w:r>
        <w:t xml:space="preserve"> </w:t>
      </w:r>
      <w:r>
        <w:tab/>
        <w:t>Iš Slovėnijos gauti atsakymai rengiant 2021 m. teisinės valstybės principo taikymo ataskaitą.</w:t>
      </w:r>
    </w:p>
  </w:footnote>
  <w:footnote w:id="63">
    <w:p>
      <w:pPr>
        <w:pStyle w:val="FootnoteText"/>
        <w:rPr>
          <w:rFonts w:cs="Times New Roman"/>
        </w:rPr>
      </w:pPr>
      <w:r>
        <w:rPr>
          <w:rStyle w:val="FootnoteReference"/>
          <w:rFonts w:cs="Times New Roman"/>
        </w:rPr>
        <w:footnoteRef/>
      </w:r>
      <w:r>
        <w:t xml:space="preserve"> </w:t>
      </w:r>
      <w:r>
        <w:tab/>
        <w:t>Tai yra, pavyzdžiui, stambiosios korupcijos bylos, kurioms būdinga didelė piniginė vertė, keli įtariamieji arba kuriose dalyvauja aukšto rango pareigūnai.</w:t>
      </w:r>
    </w:p>
  </w:footnote>
  <w:footnote w:id="64">
    <w:p>
      <w:pPr>
        <w:pStyle w:val="FootnoteText"/>
        <w:rPr>
          <w:rFonts w:cs="Times New Roman"/>
        </w:rPr>
      </w:pPr>
      <w:r>
        <w:rPr>
          <w:rStyle w:val="FootnoteReference"/>
          <w:rFonts w:cs="Times New Roman"/>
        </w:rPr>
        <w:footnoteRef/>
      </w:r>
      <w:r>
        <w:t xml:space="preserve"> </w:t>
      </w:r>
      <w:r>
        <w:tab/>
        <w:t>2019 m. teismai paskelbė 21 apkaltinamąjį nuosprendį, 30 proc. mažiau negu 2018 m. (30), devynis išteisinamuosius nuosprendžius (2018 m. – tris) ir vieną bylą nutraukė (2018 m. – dvi). 2020 m. teisinės valstybės principo taikymo ataskaita, Šalies skyrius: Slovėnija, p. 10.</w:t>
      </w:r>
    </w:p>
  </w:footnote>
  <w:footnote w:id="65">
    <w:p>
      <w:pPr>
        <w:pStyle w:val="FootnoteText"/>
        <w:rPr>
          <w:rFonts w:cs="Times New Roman"/>
        </w:rPr>
      </w:pPr>
      <w:r>
        <w:rPr>
          <w:rStyle w:val="FootnoteReference"/>
          <w:rFonts w:cs="Times New Roman"/>
        </w:rPr>
        <w:footnoteRef/>
      </w:r>
      <w:r>
        <w:t xml:space="preserve"> </w:t>
      </w:r>
      <w:r>
        <w:tab/>
        <w:t>Pavyzdžiui, dviejose baudžiamosiose bylose, kuriose dalyvavo Liublianos meras, teismas metus nesurengė posėdžio arba pusantrų metų nesurengė pirmo teismo posėdžio nuo to laiko, kai kaltinamasis aktas tapo galutinis. Tarp teismo nurodytų priežasčių buvo paminėtas pernelyg didelis teisėjų darbo krūvis ir bylų valdymo problemos. RTV, Tarča: Pravosodje po meri politike, 2021 m. birželio 3 d.</w:t>
      </w:r>
    </w:p>
  </w:footnote>
  <w:footnote w:id="66">
    <w:p>
      <w:pPr>
        <w:pStyle w:val="FootnoteText"/>
        <w:rPr>
          <w:rFonts w:eastAsia="Calibri" w:cs="Times New Roman"/>
        </w:rPr>
      </w:pPr>
      <w:r>
        <w:rPr>
          <w:rStyle w:val="FootnoteReference"/>
          <w:rFonts w:cs="Times New Roman"/>
        </w:rPr>
        <w:footnoteRef/>
      </w:r>
      <w:r>
        <w:t xml:space="preserve"> </w:t>
      </w:r>
      <w:r>
        <w:tab/>
        <w:t xml:space="preserve">Remiantis Valstybinės prokuratūros ir Policijos informacija, tyrimai kai kuriais atvejais gali tęstis penkerius metus, iš jų dveji metai gali būti skirti vien sudėtingų duomenų analizei.  </w:t>
      </w:r>
    </w:p>
  </w:footnote>
  <w:footnote w:id="67">
    <w:p>
      <w:pPr>
        <w:pStyle w:val="FootnoteText"/>
        <w:rPr>
          <w:rFonts w:cs="Times New Roman"/>
        </w:rPr>
      </w:pPr>
      <w:r>
        <w:rPr>
          <w:rStyle w:val="FootnoteReference"/>
          <w:rFonts w:cs="Times New Roman"/>
        </w:rPr>
        <w:footnoteRef/>
      </w:r>
      <w:r>
        <w:t xml:space="preserve"> </w:t>
      </w:r>
      <w:r>
        <w:tab/>
        <w:t>Valstybinė prokuratūra pranešimus apie nusikaltimus iš policijos gauna beveik vien tik popierine forma, o tai trukdo efektyviai vykdyti baudžiamąjį persekiojimą, ypač didelėse ir sudėtingose bylose. Informacija, gauta per vizitą į Slovėniją.</w:t>
      </w:r>
    </w:p>
  </w:footnote>
  <w:footnote w:id="68">
    <w:p>
      <w:pPr>
        <w:pStyle w:val="FootnoteText"/>
        <w:rPr>
          <w:rFonts w:cs="Times New Roman"/>
        </w:rPr>
      </w:pPr>
      <w:r>
        <w:rPr>
          <w:rStyle w:val="FootnoteReference"/>
          <w:rFonts w:cs="Times New Roman"/>
        </w:rPr>
        <w:footnoteRef/>
      </w:r>
      <w:r>
        <w:t xml:space="preserve"> </w:t>
      </w:r>
      <w:r>
        <w:tab/>
        <w:t>Iš Slovėnijos gauti atsakymai rengiant 2021 m. teisinės valstybės principo taikymo ataskaitą, p. 24.</w:t>
      </w:r>
    </w:p>
  </w:footnote>
  <w:footnote w:id="69">
    <w:p>
      <w:pPr>
        <w:pStyle w:val="FootnoteText"/>
        <w:rPr>
          <w:rFonts w:cs="Times New Roman"/>
        </w:rPr>
      </w:pPr>
      <w:r>
        <w:rPr>
          <w:rStyle w:val="FootnoteReference"/>
          <w:rFonts w:cs="Times New Roman"/>
        </w:rPr>
        <w:footnoteRef/>
      </w:r>
      <w:r>
        <w:t xml:space="preserve"> </w:t>
      </w:r>
      <w:r>
        <w:tab/>
        <w:t>Baudžiamojo persekiojimo už korupcijos nusikaltimus senaties terminas yra 20 metų šiais atvejais: priimamas kyšis privačiajame ir verslo sektoriuje, siūlomas kyšis viešajame sektoriuje, viešajame ir verslo sektoriuose piktnaudžiaujama įgaliojimais sunkinančiomis aplinkybėmis.</w:t>
      </w:r>
    </w:p>
  </w:footnote>
  <w:footnote w:id="70">
    <w:p>
      <w:pPr>
        <w:pStyle w:val="FootnoteText"/>
        <w:rPr>
          <w:rFonts w:cs="Times New Roman"/>
        </w:rPr>
      </w:pPr>
      <w:r>
        <w:rPr>
          <w:rStyle w:val="FootnoteReference"/>
          <w:rFonts w:cs="Times New Roman"/>
        </w:rPr>
        <w:footnoteRef/>
      </w:r>
      <w:r>
        <w:t xml:space="preserve"> </w:t>
      </w:r>
      <w:r>
        <w:tab/>
        <w:t>Teisingumo ministerijos informacija.</w:t>
      </w:r>
    </w:p>
  </w:footnote>
  <w:footnote w:id="71">
    <w:p>
      <w:pPr>
        <w:pStyle w:val="FootnoteText"/>
        <w:rPr>
          <w:rFonts w:cs="Times New Roman"/>
        </w:rPr>
      </w:pPr>
      <w:r>
        <w:rPr>
          <w:rStyle w:val="FootnoteReference"/>
          <w:rFonts w:cs="Times New Roman"/>
        </w:rPr>
        <w:footnoteRef/>
      </w:r>
      <w:r>
        <w:t xml:space="preserve"> </w:t>
      </w:r>
      <w:r>
        <w:tab/>
        <w:t>Ši išimtis, taikoma byloms, kuriose sueitų senaties terminas, buvo įtraukta į 2020 m. lapkričio 13 d. Aukščiausiojo Teismo pirmininko sprendimą.</w:t>
      </w:r>
    </w:p>
  </w:footnote>
  <w:footnote w:id="72">
    <w:p>
      <w:pPr>
        <w:pStyle w:val="FootnoteText"/>
        <w:rPr>
          <w:rFonts w:cs="Times New Roman"/>
        </w:rPr>
      </w:pPr>
      <w:r>
        <w:rPr>
          <w:rStyle w:val="FootnoteReference"/>
          <w:rFonts w:cs="Times New Roman"/>
        </w:rPr>
        <w:footnoteRef/>
      </w:r>
      <w:r>
        <w:t xml:space="preserve"> </w:t>
      </w:r>
      <w:r>
        <w:tab/>
      </w:r>
      <w:r>
        <w:rPr>
          <w:color w:val="000000"/>
        </w:rPr>
        <w:t xml:space="preserve">Tai yra, pvz., profesionalūs aukšto rango pareigūnai, neprofesionalūs merai ir merų pavaduotojai, aukšto rango valstybės tarnautojai, vadovai, už viešuosius pirkimus atsakingi asmenys, valstybės tarnautojai. </w:t>
      </w:r>
      <w:r>
        <w:t>Profesinio sąžiningumo ir korupcijos prevencijos įstatymo 44b straipsnyje numatyta, jog, jeigu kyla įtarimų, kad deklaracijos teikėjas perleido turtą šeimos nariams, Korupcijos prevencijos komisija gali vykdyti ir jų turto priežiūrą.</w:t>
      </w:r>
    </w:p>
  </w:footnote>
  <w:footnote w:id="73">
    <w:p>
      <w:pPr>
        <w:pStyle w:val="FootnoteText"/>
        <w:rPr>
          <w:rFonts w:cs="Times New Roman"/>
        </w:rPr>
      </w:pPr>
      <w:r>
        <w:rPr>
          <w:rStyle w:val="FootnoteReference"/>
          <w:rFonts w:cs="Times New Roman"/>
        </w:rPr>
        <w:footnoteRef/>
      </w:r>
      <w:r>
        <w:t xml:space="preserve"> </w:t>
      </w:r>
      <w:r>
        <w:tab/>
        <w:t>Valstybės pareigūnai privalo teikti dviejų rūšių deklaracijas: pilną deklaraciją (kurioje išdėstomas viso jų turto sąrašas), teikiamą pradedant eiti pareigas arba vykdyti įgaliojimus, ir turto pokyčių deklaraciją, teikiamą, jeigu pakinta turto rūšis, objektų skaičius ar vertė.</w:t>
      </w:r>
    </w:p>
  </w:footnote>
  <w:footnote w:id="74">
    <w:p>
      <w:pPr>
        <w:pStyle w:val="FootnoteText"/>
        <w:rPr>
          <w:rFonts w:cs="Times New Roman"/>
        </w:rPr>
      </w:pPr>
      <w:r>
        <w:rPr>
          <w:rStyle w:val="FootnoteReference"/>
          <w:rFonts w:cs="Times New Roman"/>
        </w:rPr>
        <w:footnoteRef/>
      </w:r>
      <w:r>
        <w:t xml:space="preserve"> </w:t>
      </w:r>
      <w:r>
        <w:tab/>
        <w:t>Korupcijos prevencijos komisija, 2020 m. ataskaita, 2021 m. gegužės 20 d., p. 30.</w:t>
      </w:r>
    </w:p>
  </w:footnote>
  <w:footnote w:id="75">
    <w:p>
      <w:pPr>
        <w:pStyle w:val="FootnoteText"/>
        <w:rPr>
          <w:rFonts w:cs="Times New Roman"/>
        </w:rPr>
      </w:pPr>
      <w:r>
        <w:rPr>
          <w:rStyle w:val="FootnoteReference"/>
          <w:rFonts w:cs="Times New Roman"/>
        </w:rPr>
        <w:footnoteRef/>
      </w:r>
      <w:r>
        <w:t xml:space="preserve"> </w:t>
      </w:r>
      <w:r>
        <w:tab/>
      </w:r>
      <w:r>
        <w:rPr>
          <w:color w:val="000000"/>
        </w:rPr>
        <w:t>Korupcijos prevencijos komisijos</w:t>
      </w:r>
      <w:r>
        <w:t xml:space="preserve"> pateikta ir jos 2020 m. ataskaitoje, 2021 m. gegužės 20 d., p. 30–35, nurodyta informacija.</w:t>
      </w:r>
    </w:p>
  </w:footnote>
  <w:footnote w:id="76">
    <w:p>
      <w:pPr>
        <w:pStyle w:val="FootnoteText"/>
        <w:rPr>
          <w:rFonts w:cs="Times New Roman"/>
        </w:rPr>
      </w:pPr>
      <w:r>
        <w:rPr>
          <w:rStyle w:val="FootnoteReference"/>
          <w:rFonts w:cs="Times New Roman"/>
        </w:rPr>
        <w:footnoteRef/>
      </w:r>
      <w:r>
        <w:t xml:space="preserve"> </w:t>
      </w:r>
      <w:r>
        <w:tab/>
        <w:t>Korupcijos prevencijos komisija, 2020 m. ataskaita, 2021 m. gegužės 20 d., p. 30–32.</w:t>
      </w:r>
    </w:p>
  </w:footnote>
  <w:footnote w:id="77">
    <w:p>
      <w:pPr>
        <w:pStyle w:val="FootnoteText"/>
        <w:rPr>
          <w:rFonts w:cs="Times New Roman"/>
        </w:rPr>
      </w:pPr>
      <w:r>
        <w:rPr>
          <w:rStyle w:val="FootnoteReference"/>
          <w:rFonts w:cs="Times New Roman"/>
        </w:rPr>
        <w:footnoteRef/>
      </w:r>
      <w:r>
        <w:t xml:space="preserve"> </w:t>
      </w:r>
      <w:r>
        <w:tab/>
        <w:t>Be to, viešai skelbiamos tik turto pokyčių deklaracijos.</w:t>
      </w:r>
    </w:p>
  </w:footnote>
  <w:footnote w:id="78">
    <w:p>
      <w:pPr>
        <w:pStyle w:val="FootnoteText"/>
        <w:rPr>
          <w:rFonts w:cs="Times New Roman"/>
        </w:rPr>
      </w:pPr>
      <w:r>
        <w:rPr>
          <w:rStyle w:val="FootnoteReference"/>
          <w:rFonts w:cs="Times New Roman"/>
        </w:rPr>
        <w:footnoteRef/>
      </w:r>
      <w:r>
        <w:t xml:space="preserve"> </w:t>
      </w:r>
      <w:r>
        <w:tab/>
        <w:t>Korupcijos prevencijos komisijos iniciatyva, 2021 m. gegužės 20 d.</w:t>
      </w:r>
    </w:p>
  </w:footnote>
  <w:footnote w:id="79">
    <w:p>
      <w:pPr>
        <w:pStyle w:val="FootnoteText"/>
        <w:rPr>
          <w:rFonts w:cs="Times New Roman"/>
        </w:rPr>
      </w:pPr>
      <w:r>
        <w:rPr>
          <w:rStyle w:val="FootnoteReference"/>
          <w:rFonts w:cs="Times New Roman"/>
        </w:rPr>
        <w:footnoteRef/>
      </w:r>
      <w:r>
        <w:t xml:space="preserve"> </w:t>
      </w:r>
      <w:r>
        <w:tab/>
        <w:t xml:space="preserve">Pavyzdžiui, 2021 m. gegužės 12 d. Korupcijos prevencijos komisija, nenustačiusi Profesinio sąžiningumo ir korupcijos prevencijos įstatymo pažeidimų, užbaigė procedūrą dėl Audito Rūmų pirmininko išorinės apmokamos veiklos. Be to, savo sprendime Korupcijos prevencijos komisija nurodė, kad šalutinės Audito Rūmų pirmininko pajamos nėra jo vykdoma pelno siekianti veikla, interesų konflikto taip pat nėra. Dėl tariamo leidimo, kurį paminėjo tiek buvęs Korupcijos prevencijos komisijos pirmininkas, tiek dabartinis Audito Rūmų pirmininkas, Korupcijos prevencijos komisija nurodė, kad, nors ji tokio dokumento ir neturi, ji negali galutinai atmesti galimybės, kad toks dokumentas buvo. Korupcijos prevencijos komisija, 2021 m. gegužės 12 ir 24 d. pranešimai spaudai. </w:t>
      </w:r>
    </w:p>
  </w:footnote>
  <w:footnote w:id="80">
    <w:p>
      <w:pPr>
        <w:pStyle w:val="FootnoteText"/>
        <w:rPr>
          <w:rFonts w:cs="Times New Roman"/>
        </w:rPr>
      </w:pPr>
      <w:r>
        <w:rPr>
          <w:rStyle w:val="FootnoteReference"/>
          <w:rFonts w:cs="Times New Roman"/>
        </w:rPr>
        <w:footnoteRef/>
      </w:r>
      <w:r>
        <w:t xml:space="preserve"> </w:t>
      </w:r>
      <w:r>
        <w:tab/>
        <w:t>https://erar.si/lobiranje/</w:t>
      </w:r>
    </w:p>
  </w:footnote>
  <w:footnote w:id="81">
    <w:p>
      <w:pPr>
        <w:pStyle w:val="FootnoteText"/>
        <w:rPr>
          <w:rFonts w:cs="Times New Roman"/>
        </w:rPr>
      </w:pPr>
      <w:r>
        <w:rPr>
          <w:rStyle w:val="FootnoteReference"/>
          <w:rFonts w:cs="Times New Roman"/>
        </w:rPr>
        <w:footnoteRef/>
      </w:r>
      <w:r>
        <w:t xml:space="preserve"> </w:t>
      </w:r>
      <w:r>
        <w:tab/>
        <w:t>Korupcijos prevencijos komisija, 2020 m. ataskaita, 2021 m. gegužės 20 d.</w:t>
      </w:r>
    </w:p>
  </w:footnote>
  <w:footnote w:id="82">
    <w:p>
      <w:pPr>
        <w:pStyle w:val="FootnoteText"/>
        <w:rPr>
          <w:rFonts w:cs="Times New Roman"/>
        </w:rPr>
      </w:pPr>
      <w:r>
        <w:rPr>
          <w:rStyle w:val="FootnoteReference"/>
          <w:rFonts w:cs="Times New Roman"/>
        </w:rPr>
        <w:footnoteRef/>
      </w:r>
      <w:r>
        <w:t xml:space="preserve"> </w:t>
      </w:r>
      <w:r>
        <w:tab/>
        <w:t>Audito Rūmai, 2020 m. ataskaita, 2021 m. kovo 31 d., p. 206–223.</w:t>
      </w:r>
    </w:p>
  </w:footnote>
  <w:footnote w:id="83">
    <w:p>
      <w:pPr>
        <w:pStyle w:val="FootnoteText"/>
        <w:rPr>
          <w:rFonts w:cs="Times New Roman"/>
        </w:rPr>
      </w:pPr>
      <w:r>
        <w:rPr>
          <w:rStyle w:val="FootnoteReference"/>
          <w:rFonts w:cs="Times New Roman"/>
        </w:rPr>
        <w:footnoteRef/>
      </w:r>
      <w:r>
        <w:t xml:space="preserve"> </w:t>
      </w:r>
      <w:r>
        <w:tab/>
        <w:t>Pagal Parlamento darbo tvarkos taisyklių 24 straipsnį Nacionalinės Asamblėjos prezidiumas savo 71-ajame 2020 m. birželio 12 d. posėdyje priėmė Slovėnijos Respublikos Nacionalinės Asamblėjos narių etikos kodeksą.</w:t>
      </w:r>
    </w:p>
  </w:footnote>
  <w:footnote w:id="84">
    <w:p>
      <w:pPr>
        <w:pStyle w:val="FootnoteText"/>
        <w:rPr>
          <w:rFonts w:cs="Times New Roman"/>
        </w:rPr>
      </w:pPr>
      <w:r>
        <w:rPr>
          <w:rStyle w:val="FootnoteReference"/>
          <w:rFonts w:cs="Times New Roman"/>
        </w:rPr>
        <w:footnoteRef/>
      </w:r>
      <w:r>
        <w:t xml:space="preserve"> </w:t>
      </w:r>
      <w:r>
        <w:tab/>
        <w:t>T. y. nedidelio pažeidimo atveju parlamento nariui skiriamas papeikimas, jo viešai neskelbiant; didelio pažeidimo atveju parlamento nariui skiriamas papeikimas, jį viešai paskelbiant Nacionalinės Asamblėjos interneto svetainėje; pakartotinio didelio pažeidimo atveju parlamento nariui skiriamas papeikimas, jį viešai paskelbiant Nacionalinės Asamblėjos interneto svetainėje ir apie jį padarant pareiškimą kitoje Nacionalinės Asamblėjos sesijoje.</w:t>
      </w:r>
    </w:p>
  </w:footnote>
  <w:footnote w:id="85">
    <w:p>
      <w:pPr>
        <w:pStyle w:val="FootnoteText"/>
        <w:rPr>
          <w:rFonts w:cs="Times New Roman"/>
        </w:rPr>
      </w:pPr>
      <w:r>
        <w:rPr>
          <w:rStyle w:val="FootnoteReference"/>
          <w:rFonts w:cs="Times New Roman"/>
        </w:rPr>
        <w:footnoteRef/>
      </w:r>
      <w:r>
        <w:t xml:space="preserve"> </w:t>
      </w:r>
      <w:r>
        <w:tab/>
        <w:t>RTV, Prvi kršilec poslanskega etičnega kodeksa je Jani Ivanuša (SNS), dobil je opomin, 2021 m. birželio 9 d.</w:t>
      </w:r>
    </w:p>
  </w:footnote>
  <w:footnote w:id="86">
    <w:p>
      <w:pPr>
        <w:pStyle w:val="FootnoteText"/>
        <w:rPr>
          <w:rFonts w:cs="Times New Roman"/>
        </w:rPr>
      </w:pPr>
      <w:r>
        <w:rPr>
          <w:rStyle w:val="FootnoteReference"/>
          <w:rFonts w:cs="Times New Roman"/>
        </w:rPr>
        <w:footnoteRef/>
      </w:r>
      <w:r>
        <w:t xml:space="preserve"> </w:t>
      </w:r>
      <w:r>
        <w:tab/>
        <w:t>Korupcijos prevencijos komisija, 2020 m. ataskaita, 2021 m. gegužės 20 d., p. 39, ir per vizitą į Slovėniją gauta informacija.</w:t>
      </w:r>
    </w:p>
  </w:footnote>
  <w:footnote w:id="87">
    <w:p>
      <w:pPr>
        <w:pStyle w:val="FootnoteText"/>
        <w:rPr>
          <w:rFonts w:cs="Times New Roman"/>
        </w:rPr>
      </w:pPr>
      <w:r>
        <w:rPr>
          <w:rStyle w:val="FootnoteReference"/>
          <w:rFonts w:cs="Times New Roman"/>
        </w:rPr>
        <w:footnoteRef/>
      </w:r>
      <w:r>
        <w:t xml:space="preserve"> </w:t>
      </w:r>
      <w:r>
        <w:tab/>
        <w:t>Korupcijos prevencijos komisija, 2020 m. ataskaita, 2021 m. gegužės 20 d., p. 37–39, ir per vizitą į Slovėniją gauta informacija.</w:t>
      </w:r>
    </w:p>
  </w:footnote>
  <w:footnote w:id="88">
    <w:p>
      <w:pPr>
        <w:pStyle w:val="FootnoteText"/>
        <w:rPr>
          <w:rFonts w:cs="Times New Roman"/>
        </w:rPr>
      </w:pPr>
      <w:r>
        <w:rPr>
          <w:rStyle w:val="FootnoteReference"/>
          <w:rFonts w:cs="Times New Roman"/>
        </w:rPr>
        <w:footnoteRef/>
      </w:r>
      <w:r>
        <w:t xml:space="preserve"> </w:t>
      </w:r>
      <w:r>
        <w:tab/>
        <w:t>Iš Slovėnijos gauti atsakymai rengiant 2021 m. teisinės valstybės principo taikymo ataskaitą. Buvęs Slovėnijos žaliavų ir atsargų agentūros Teisės ir bendrųjų paslaugų tarnybos vadovas pranešė, jog ekonomikos ministras asmeniškai įsikišo, kad konkrečiai įmonei būtų skirta 8 mln. EUR vertės sutartis, ir procesas šioje byloje dar vyksta. EBPO, Kovos su kyšininkavimu darbo grupė, EBPO kovos su kyšininkavimu konvencijos įgyvendinimo 4 etapo ataskaita: Slovėnija, 2021 m. kovo 11 d., p. 12.</w:t>
      </w:r>
    </w:p>
  </w:footnote>
  <w:footnote w:id="89">
    <w:p>
      <w:pPr>
        <w:pStyle w:val="FootnoteText"/>
        <w:rPr>
          <w:rFonts w:cs="Times New Roman"/>
        </w:rPr>
      </w:pPr>
      <w:r>
        <w:rPr>
          <w:rStyle w:val="FootnoteReference"/>
          <w:rFonts w:cs="Times New Roman"/>
        </w:rPr>
        <w:footnoteRef/>
      </w:r>
      <w:r>
        <w:t xml:space="preserve"> </w:t>
      </w:r>
      <w:r>
        <w:tab/>
        <w:t>2020 m. Nacionalinė peržiūros komisija buvo gavusi tris tokius prašymus (iš bendro 206 atvejų skaičiaus) ir buvo pradėta 13 bylų dėl netinkamo elgesio einant valstybines pareigas. Per vizitą į Slovėniją iš Nacionalinės viešųjų pirkimų procedūrų peržiūros komisijos gauti rašytiniai atsakymai. Taip pat žr. Nacionalinės peržiūros komisijos 2020 m. darbo ataskaitą.</w:t>
      </w:r>
    </w:p>
  </w:footnote>
  <w:footnote w:id="90">
    <w:p>
      <w:pPr>
        <w:pStyle w:val="FootnoteText"/>
        <w:rPr>
          <w:rFonts w:cs="Times New Roman"/>
        </w:rPr>
      </w:pPr>
      <w:r>
        <w:rPr>
          <w:rStyle w:val="FootnoteReference"/>
          <w:rFonts w:cs="Times New Roman"/>
        </w:rPr>
        <w:footnoteRef/>
      </w:r>
      <w:r>
        <w:t xml:space="preserve"> </w:t>
      </w:r>
      <w:r>
        <w:tab/>
        <w:t>Per vizitą į Slovėniją iš Nacionalinės viešųjų pirkimų procedūrų peržiūros komisijos gauti rašytiniai atsakymai.</w:t>
      </w:r>
    </w:p>
  </w:footnote>
  <w:footnote w:id="91">
    <w:p>
      <w:pPr>
        <w:pStyle w:val="FootnoteText"/>
        <w:rPr>
          <w:rFonts w:cs="Times New Roman"/>
        </w:rPr>
      </w:pPr>
      <w:r>
        <w:rPr>
          <w:rStyle w:val="FootnoteReference"/>
          <w:rFonts w:cs="Times New Roman"/>
        </w:rPr>
        <w:footnoteRef/>
      </w:r>
      <w:r>
        <w:t xml:space="preserve"> </w:t>
      </w:r>
      <w:r>
        <w:tab/>
        <w:t>Iš Slovėnijos gauti atsakymai rengiant 2021 m. teisinės valstybės principo taikymo ataskaitą.</w:t>
      </w:r>
    </w:p>
  </w:footnote>
  <w:footnote w:id="92">
    <w:p>
      <w:pPr>
        <w:pStyle w:val="FootnoteText"/>
        <w:rPr>
          <w:rFonts w:cs="Times New Roman"/>
        </w:rPr>
      </w:pPr>
      <w:r>
        <w:rPr>
          <w:rStyle w:val="FootnoteReference"/>
          <w:rFonts w:cs="Times New Roman"/>
        </w:rPr>
        <w:footnoteRef/>
      </w:r>
      <w:r>
        <w:t xml:space="preserve"> </w:t>
      </w:r>
      <w:r>
        <w:tab/>
        <w:t>Slovėnija užima 36 vietą pasaulyje pagal 2021 m. „Žurnalistai be sienų“ pasaulio spaudos laisvės indeksą (18 vietą Europos Sąjungoje), nukritusi keturiomis pozicijomis iš 32 vietos praėjusiais metais. Tai reiškia, kad žiniasklaidos laisvė ir žurnalistų apsauga šalyje blogėja.</w:t>
      </w:r>
    </w:p>
  </w:footnote>
  <w:footnote w:id="93">
    <w:p>
      <w:pPr>
        <w:pStyle w:val="FootnoteText"/>
        <w:rPr>
          <w:rFonts w:cs="Times New Roman"/>
        </w:rPr>
      </w:pPr>
      <w:r>
        <w:rPr>
          <w:rStyle w:val="FootnoteReference"/>
          <w:rFonts w:cs="Times New Roman"/>
        </w:rPr>
        <w:footnoteRef/>
      </w:r>
      <w:r>
        <w:t xml:space="preserve"> </w:t>
      </w:r>
      <w:r>
        <w:tab/>
        <w:t xml:space="preserve">Ryšio tinklų ir paslaugų agentūra, informacija pateikta per vizitą Slovėnijoje. </w:t>
      </w:r>
    </w:p>
  </w:footnote>
  <w:footnote w:id="94">
    <w:p>
      <w:pPr>
        <w:pStyle w:val="FootnoteText"/>
        <w:rPr>
          <w:rFonts w:cs="Times New Roman"/>
        </w:rPr>
      </w:pPr>
      <w:r>
        <w:rPr>
          <w:rStyle w:val="FootnoteReference"/>
          <w:rFonts w:cs="Times New Roman"/>
        </w:rPr>
        <w:footnoteRef/>
      </w:r>
      <w:r>
        <w:t xml:space="preserve"> </w:t>
      </w:r>
      <w:r>
        <w:tab/>
        <w:t>Sujungta reguliavimo institucija – Ryšio tinklų ir paslaugų agentūra – atlieka funkcijas telekomunikacijų, elektroninės žiniasklaidos, pašto ir geležinkelių srityse,</w:t>
      </w:r>
    </w:p>
    <w:p>
      <w:pPr>
        <w:pStyle w:val="FootnoteText"/>
        <w:ind w:firstLine="0"/>
        <w:rPr>
          <w:rFonts w:cs="Times New Roman"/>
        </w:rPr>
      </w:pPr>
      <w:r>
        <w:t>yra atsakinga už audiovizualinės žiniasklaidos, radijo paslaugų ir internetinės žiniasklaidos reguliavimą (MPM 2021).</w:t>
      </w:r>
    </w:p>
  </w:footnote>
  <w:footnote w:id="95">
    <w:p>
      <w:pPr>
        <w:pStyle w:val="FootnoteText"/>
        <w:rPr>
          <w:rFonts w:cs="Times New Roman"/>
        </w:rPr>
      </w:pPr>
      <w:r>
        <w:rPr>
          <w:rStyle w:val="FootnoteReference"/>
          <w:rFonts w:cs="Times New Roman"/>
        </w:rPr>
        <w:footnoteRef/>
      </w:r>
      <w:r>
        <w:t xml:space="preserve"> </w:t>
      </w:r>
      <w:r>
        <w:tab/>
        <w:t>Ryšio tinklų ir paslaugų agentūrai vadovauja direktorius ir agentūros taryba. Po atrankos procedūros abu organus skiria Vyriausybė, direktorių Vyriausybei siūlo atsakingas ministras. 2020 m. teisinės valstybės principo taikymo ataskaita, Šalies skyrius: teisinės valstybės principo taikymo padėtis Slovėnijoje, p. 11.</w:t>
      </w:r>
    </w:p>
  </w:footnote>
  <w:footnote w:id="96">
    <w:p>
      <w:pPr>
        <w:pStyle w:val="FootnoteText"/>
        <w:rPr>
          <w:rFonts w:cs="Times New Roman"/>
        </w:rPr>
      </w:pPr>
      <w:r>
        <w:rPr>
          <w:rStyle w:val="FootnoteReference"/>
          <w:rFonts w:cs="Times New Roman"/>
        </w:rPr>
        <w:footnoteRef/>
      </w:r>
      <w:r>
        <w:t xml:space="preserve"> </w:t>
      </w:r>
      <w:r>
        <w:tab/>
        <w:t>2021 m. Žiniasklaidos pliuralizmo observatorija, Šalies ataskaita: Slovėnija, p. 11.</w:t>
      </w:r>
    </w:p>
  </w:footnote>
  <w:footnote w:id="97">
    <w:p>
      <w:pPr>
        <w:pStyle w:val="FootnoteText"/>
        <w:rPr>
          <w:rFonts w:cs="Times New Roman"/>
        </w:rPr>
      </w:pPr>
      <w:r>
        <w:rPr>
          <w:rStyle w:val="FootnoteReference"/>
          <w:rFonts w:cs="Times New Roman"/>
        </w:rPr>
        <w:footnoteRef/>
      </w:r>
      <w:r>
        <w:t xml:space="preserve"> </w:t>
      </w:r>
      <w:r>
        <w:tab/>
        <w:t>Elektroninių ryšių įstatymas.</w:t>
      </w:r>
    </w:p>
  </w:footnote>
  <w:footnote w:id="98">
    <w:p>
      <w:pPr>
        <w:pStyle w:val="FootnoteText"/>
        <w:rPr>
          <w:rFonts w:cs="Times New Roman"/>
        </w:rPr>
      </w:pPr>
      <w:r>
        <w:rPr>
          <w:rStyle w:val="FootnoteReference"/>
          <w:rFonts w:cs="Times New Roman"/>
        </w:rPr>
        <w:footnoteRef/>
      </w:r>
      <w:r>
        <w:t xml:space="preserve"> </w:t>
      </w:r>
      <w:r>
        <w:tab/>
        <w:t>Masinės žiniasklaidos įstatymas.</w:t>
      </w:r>
    </w:p>
  </w:footnote>
  <w:footnote w:id="99">
    <w:p>
      <w:pPr>
        <w:pStyle w:val="FootnoteText"/>
        <w:rPr>
          <w:rFonts w:cs="Times New Roman"/>
        </w:rPr>
      </w:pPr>
      <w:r>
        <w:rPr>
          <w:rStyle w:val="FootnoteReference"/>
          <w:rFonts w:cs="Times New Roman"/>
        </w:rPr>
        <w:footnoteRef/>
      </w:r>
      <w:r>
        <w:t xml:space="preserve"> </w:t>
      </w:r>
      <w:r>
        <w:tab/>
        <w:t>Audiovizualinės žiniasklaidos paslaugų įstatymas.</w:t>
      </w:r>
    </w:p>
  </w:footnote>
  <w:footnote w:id="100">
    <w:p>
      <w:pPr>
        <w:pStyle w:val="FootnoteText"/>
        <w:rPr>
          <w:rFonts w:cs="Times New Roman"/>
        </w:rPr>
      </w:pPr>
      <w:r>
        <w:rPr>
          <w:rStyle w:val="FootnoteReference"/>
          <w:rFonts w:cs="Times New Roman"/>
        </w:rPr>
        <w:footnoteRef/>
      </w:r>
      <w:r>
        <w:t xml:space="preserve"> </w:t>
      </w:r>
      <w:r>
        <w:tab/>
        <w:t>Iš Slovėnijos gauti atsakymai rengiant 2021 m. teisinės valstybės principo taikymo ataskaitą.</w:t>
      </w:r>
    </w:p>
  </w:footnote>
  <w:footnote w:id="101">
    <w:p>
      <w:pPr>
        <w:pStyle w:val="FootnoteText"/>
        <w:rPr>
          <w:rFonts w:cs="Times New Roman"/>
        </w:rPr>
      </w:pPr>
      <w:r>
        <w:rPr>
          <w:rStyle w:val="FootnoteReference"/>
          <w:rFonts w:cs="Times New Roman"/>
        </w:rPr>
        <w:footnoteRef/>
      </w:r>
      <w:r>
        <w:t xml:space="preserve"> </w:t>
      </w:r>
      <w:r>
        <w:tab/>
        <w:t>39a straipsnio (agentūros nepriklausomumas) projektas. 1. Agentūra yra organizaciniu, funkciniu ir materialiniu požiūriu nepriklausoma reguliavimo įstaiga, atskira nuo Slovėnijos Respublikos vyriausybės ir nuo kitų viešojo ar privačiojo sektorių juridinių subjektų. Agentūra, vykdydama šiame įstatyme numatytas funkcijas ir vadovaudamasi žiniasklaidos reglamentavimo įstatymais, negali siekti gauti ar priimti nurodymų iš kitų valdžios institucijų, išskyrus atvejus, kai jos atlieka teisinę agentūros darbo priežiūrą. 2. Agentūra šiuo įstatymu ir Žiniasklaidos reglamentavimo įstatymu jai pavestas funkcijas vykdo nešališkai, skaidriai ir vadovaudamasi šiame įstatyme numatytais principais, kartu siekdama žiniasklaidos pliuralizmo, kultūrų ir kalbų įvairovės, vartotojų apsaugos, prieinamumo, nediskriminavimo, tinkamo vidaus rinkos veikimo ir sąžiningos konkurencijos skatinimo. […].</w:t>
      </w:r>
    </w:p>
  </w:footnote>
  <w:footnote w:id="102">
    <w:p>
      <w:pPr>
        <w:pStyle w:val="FootnoteText"/>
        <w:rPr>
          <w:rFonts w:cs="Times New Roman"/>
        </w:rPr>
      </w:pPr>
      <w:r>
        <w:rPr>
          <w:rStyle w:val="FootnoteReference"/>
          <w:rFonts w:cs="Times New Roman"/>
        </w:rPr>
        <w:footnoteRef/>
      </w:r>
      <w:r>
        <w:t xml:space="preserve"> </w:t>
      </w:r>
      <w:r>
        <w:tab/>
        <w:t>Audiovizualinės žiniasklaidos paslaugų įstatymo pakeitimų projektas, 2021 m. kovo 5 d. Elektroninių ryšių įstatymu (ZEKom-1), be kita ko, reglamentuojami elektroninių ryšių tinklai ir paslaugos, radijo dažnių ir spektro valdymas, taip pat jame įtvirtintos nuostatos, kuriomis reglamentuojamas Ryšio tinklų ir paslaugų agentūros statusas šioje sistemoje.</w:t>
      </w:r>
    </w:p>
  </w:footnote>
  <w:footnote w:id="103">
    <w:p>
      <w:pPr>
        <w:pStyle w:val="FootnoteText"/>
        <w:rPr>
          <w:rFonts w:cs="Times New Roman"/>
        </w:rPr>
      </w:pPr>
      <w:r>
        <w:rPr>
          <w:rStyle w:val="FootnoteReference"/>
          <w:rFonts w:cs="Times New Roman"/>
        </w:rPr>
        <w:footnoteRef/>
      </w:r>
      <w:r>
        <w:t xml:space="preserve"> </w:t>
      </w:r>
      <w:r>
        <w:tab/>
        <w:t>Slovėnijos Respublikos rinkos ir vartotojų valstybinės agentūros ir Slovėnijos Respublikos finansų rinkų valstybinės agentūros įstatymo projektas, 2020 m. spalio mėn.</w:t>
      </w:r>
    </w:p>
  </w:footnote>
  <w:footnote w:id="104">
    <w:p>
      <w:pPr>
        <w:pStyle w:val="FootnoteText"/>
        <w:rPr>
          <w:rFonts w:cs="Times New Roman"/>
        </w:rPr>
      </w:pPr>
      <w:r>
        <w:rPr>
          <w:rStyle w:val="FootnoteReference"/>
          <w:rFonts w:cs="Times New Roman"/>
        </w:rPr>
        <w:footnoteRef/>
      </w:r>
      <w:r>
        <w:t xml:space="preserve"> </w:t>
      </w:r>
      <w:r>
        <w:tab/>
        <w:t>2021 m. Žiniasklaidos pliuralizmo observatorija, Šalies ataskaita: Slovėnija, p. 12, ir Ryšio tinklų ir paslaugų agentūra, atsakymas dėl Slovėnijos Respublikos rinkos ir vartotojų valstybinės agentūros ir Slovėnijos Respublikos finansų rinkų valstybinės agentūros įstatymo projekto, 2020 m. spalio 2 d.</w:t>
      </w:r>
    </w:p>
  </w:footnote>
  <w:footnote w:id="105">
    <w:p>
      <w:pPr>
        <w:pStyle w:val="FootnoteText"/>
        <w:rPr>
          <w:rFonts w:cs="Times New Roman"/>
        </w:rPr>
      </w:pPr>
      <w:r>
        <w:rPr>
          <w:rStyle w:val="FootnoteReference"/>
          <w:rFonts w:cs="Times New Roman"/>
        </w:rPr>
        <w:footnoteRef/>
      </w:r>
      <w:r>
        <w:t xml:space="preserve"> </w:t>
      </w:r>
      <w:r>
        <w:tab/>
        <w:t>Masinės žiniasklaidos įstatymo 12 ir 14 straipsniai.</w:t>
      </w:r>
    </w:p>
  </w:footnote>
  <w:footnote w:id="106">
    <w:p>
      <w:pPr>
        <w:pStyle w:val="FootnoteText"/>
        <w:rPr>
          <w:rFonts w:cs="Times New Roman"/>
        </w:rPr>
      </w:pPr>
      <w:r>
        <w:rPr>
          <w:rStyle w:val="FootnoteReference"/>
          <w:rFonts w:cs="Times New Roman"/>
        </w:rPr>
        <w:footnoteRef/>
      </w:r>
      <w:r>
        <w:t xml:space="preserve"> </w:t>
      </w:r>
      <w:r>
        <w:tab/>
        <w:t>https://rmsn.ekultura.gov.si/razvid/mediji</w:t>
      </w:r>
    </w:p>
  </w:footnote>
  <w:footnote w:id="107">
    <w:p>
      <w:pPr>
        <w:pStyle w:val="FootnoteText"/>
        <w:rPr>
          <w:rFonts w:cs="Times New Roman"/>
        </w:rPr>
      </w:pPr>
      <w:r>
        <w:rPr>
          <w:rStyle w:val="FootnoteReference"/>
          <w:rFonts w:cs="Times New Roman"/>
        </w:rPr>
        <w:footnoteRef/>
      </w:r>
      <w:r>
        <w:t xml:space="preserve"> </w:t>
      </w:r>
      <w:r>
        <w:tab/>
        <w:t xml:space="preserve">Masinės žiniasklaidos įstatymo projektas, iš dalies pakeistas 12 straipsnis. </w:t>
      </w:r>
    </w:p>
  </w:footnote>
  <w:footnote w:id="108">
    <w:p>
      <w:pPr>
        <w:pStyle w:val="FootnoteText"/>
        <w:rPr>
          <w:rFonts w:cs="Times New Roman"/>
        </w:rPr>
      </w:pPr>
      <w:r>
        <w:rPr>
          <w:rStyle w:val="FootnoteReference"/>
          <w:rFonts w:cs="Times New Roman"/>
        </w:rPr>
        <w:footnoteRef/>
      </w:r>
      <w:r>
        <w:t xml:space="preserve"> </w:t>
      </w:r>
      <w:r>
        <w:tab/>
        <w:t>2020 m. teisinės valstybės principo taikymo ataskaita, Šalies skyrius: teisinės valstybės principo taikymo padėtis Slovėnijoje, p. 12.</w:t>
      </w:r>
    </w:p>
  </w:footnote>
  <w:footnote w:id="109">
    <w:p>
      <w:pPr>
        <w:pStyle w:val="FootnoteText"/>
        <w:rPr>
          <w:rFonts w:cs="Times New Roman"/>
        </w:rPr>
      </w:pPr>
      <w:r>
        <w:rPr>
          <w:rStyle w:val="FootnoteReference"/>
          <w:rFonts w:cs="Times New Roman"/>
        </w:rPr>
        <w:footnoteRef/>
      </w:r>
      <w:r>
        <w:t xml:space="preserve"> </w:t>
      </w:r>
      <w:r>
        <w:tab/>
        <w:t xml:space="preserve">Per vizitą į Slovėniją iš Žurnalistų ir publicistų asociacijos gauti rašytiniai atsakymai. Taip pat žr.: </w:t>
      </w:r>
      <w:r>
        <w:rPr>
          <w:i/>
          <w:szCs w:val="24"/>
        </w:rPr>
        <w:t>Pod črto</w:t>
      </w:r>
      <w:r>
        <w:t xml:space="preserve">, Kdo drži informacijsko pištolo: kaj smo ugotovili v preiskavi medijskega lastništva v Sloveniji, 2021 m. sausio 18 d. Vieno leidinio atveju tyrimo vykdytojams galutinio savininko nustatyti nepavyko, https://podcrto.si/povzetek-preiskave-mladina-kot-primer-ranljivosti-medijev-v-sloveniji/. Tyrimo medžiagoje taip pat keliamas žiniasklaidos priemonių savininkų įtakos redakcijos turiniui, daromos dėl politinių ar ekonominių interesų, klausimas, šį klausimą sustiprina nepakankamas žiniasklaidos priemonių nuosavybės skaidrumas. </w:t>
      </w:r>
    </w:p>
  </w:footnote>
  <w:footnote w:id="110">
    <w:p>
      <w:pPr>
        <w:pStyle w:val="FootnoteText"/>
      </w:pPr>
      <w:r>
        <w:rPr>
          <w:rStyle w:val="FootnoteReference"/>
        </w:rPr>
        <w:footnoteRef/>
      </w:r>
      <w:r>
        <w:t xml:space="preserve"> </w:t>
      </w:r>
      <w:r>
        <w:tab/>
        <w:t xml:space="preserve">Kartu vykdyti reklamos ir radijo bei televizijos veiklos arba telekomunikacijų ir radijo bei televizijos veiklos neleidžiama. Vyriausybė pripažino šią problemą ir siūlomais Masinės žiniasklaidos įstatymo pakeitimais, be kitų dalykų, bus orientuojamasi į žiniasklaidos priemonių nuosavybės skaidrumą ir žiniasklaidos priemonių koncentracijos ribojimą. </w:t>
      </w:r>
    </w:p>
  </w:footnote>
  <w:footnote w:id="111">
    <w:p>
      <w:pPr>
        <w:pStyle w:val="FootnoteText"/>
        <w:rPr>
          <w:rFonts w:cs="Times New Roman"/>
        </w:rPr>
      </w:pPr>
      <w:r>
        <w:rPr>
          <w:rStyle w:val="FootnoteReference"/>
          <w:rFonts w:cs="Times New Roman"/>
        </w:rPr>
        <w:footnoteRef/>
      </w:r>
      <w:r>
        <w:t xml:space="preserve"> </w:t>
      </w:r>
      <w:r>
        <w:tab/>
        <w:t>Informacija, gauta per vizitą į Slovėniją.</w:t>
      </w:r>
    </w:p>
  </w:footnote>
  <w:footnote w:id="112">
    <w:p>
      <w:pPr>
        <w:pStyle w:val="FootnoteText"/>
      </w:pPr>
      <w:r>
        <w:rPr>
          <w:rStyle w:val="FootnoteReference"/>
        </w:rPr>
        <w:footnoteRef/>
      </w:r>
      <w:r>
        <w:t xml:space="preserve"> </w:t>
      </w:r>
      <w:r>
        <w:tab/>
        <w:t xml:space="preserve">Vyriausybės teigimu, kadangi ankstesnėje teisės aktų sistemoje nebuvo tiksliai nurodyta, ką reiškia STA teikiama viešoji paslauga ir kuo ji skiriasi nuo komercinės paslaugos, 2021 m. birželio mėn. Vyriausybės ryšių tarnyba priėmė naują potvarkį dėl Slovėnijos spaudos agentūros viešosios paslaugos teikimo. Vyriausybė planuoja atsisakyti automatinių </w:t>
      </w:r>
      <w:r>
        <w:rPr>
          <w:i/>
        </w:rPr>
        <w:t>ex ante</w:t>
      </w:r>
      <w:r>
        <w:t xml:space="preserve"> mokėjimų ir pradėti taikyti </w:t>
      </w:r>
      <w:r>
        <w:rPr>
          <w:i/>
        </w:rPr>
        <w:t>ex post</w:t>
      </w:r>
      <w:r>
        <w:t xml:space="preserve"> mokėjimų sistemą.</w:t>
      </w:r>
    </w:p>
  </w:footnote>
  <w:footnote w:id="113">
    <w:p>
      <w:pPr>
        <w:pStyle w:val="FootnoteText"/>
        <w:rPr>
          <w:rFonts w:cs="Times New Roman"/>
        </w:rPr>
      </w:pPr>
      <w:r>
        <w:rPr>
          <w:rStyle w:val="FootnoteReference"/>
          <w:rFonts w:cs="Times New Roman"/>
        </w:rPr>
        <w:footnoteRef/>
      </w:r>
      <w:r>
        <w:t xml:space="preserve"> </w:t>
      </w:r>
      <w:r>
        <w:tab/>
        <w:t>Europos Komisija, pranešimas spaudai. Valstybės pagalba: Komisija patvirtina 2,5 mln. EUR kompensaciją Slovėnijos spaudai agentūrai STA už viešąją paslaugą, 2021 m. balandžio 29 d.</w:t>
      </w:r>
    </w:p>
  </w:footnote>
  <w:footnote w:id="114">
    <w:p>
      <w:pPr>
        <w:pStyle w:val="FootnoteText"/>
        <w:rPr>
          <w:rFonts w:cs="Times New Roman"/>
        </w:rPr>
      </w:pPr>
      <w:r>
        <w:rPr>
          <w:rStyle w:val="FootnoteReference"/>
          <w:rFonts w:cs="Times New Roman"/>
        </w:rPr>
        <w:footnoteRef/>
      </w:r>
      <w:r>
        <w:t xml:space="preserve"> </w:t>
      </w:r>
      <w:r>
        <w:tab/>
        <w:t>Nacionaliniai (pvz., žurnalistų asociacija) ir tarptautiniai suinteresuotieji subjektai (pvz., Europos žiniasklaidos ir spaudos laisvės centro (ECPMF), Europos žurnalistų federacijos (EFJ), Tarptautinio spaudos instituto (IPI), „OBC Transeuropa“ ir „Žurnalistai be sienų“ (RSF) 2021 m. kovo 16 d. atvirame laiške) išreiškė susirūpinimą dėl Slovėnijos spaudos agentūros finansavimo stabilumo.</w:t>
      </w:r>
    </w:p>
  </w:footnote>
  <w:footnote w:id="115">
    <w:p>
      <w:pPr>
        <w:pStyle w:val="FootnoteText"/>
        <w:rPr>
          <w:rFonts w:cs="Times New Roman"/>
        </w:rPr>
      </w:pPr>
      <w:r>
        <w:rPr>
          <w:rStyle w:val="FootnoteReference"/>
          <w:rFonts w:cs="Times New Roman"/>
        </w:rPr>
        <w:footnoteRef/>
      </w:r>
      <w:r>
        <w:t xml:space="preserve"> </w:t>
      </w:r>
      <w:r>
        <w:tab/>
        <w:t xml:space="preserve">Žiniasklaidos fakultetas (prof. dr. Matevž Tomšič, prof. dr. Borut Rončević, doc. dr. Nuša Erman, doc. dr. Tamara Besednjak Valič), Research of the media landscape, 2021 m. kovo mėn. Slovėnijos žurnalistų sąjungos atsakymai rengiant 2021 m. teisinės valstybės principo taikymo ataskaitą, p. 1–4. </w:t>
      </w:r>
    </w:p>
  </w:footnote>
  <w:footnote w:id="116">
    <w:p>
      <w:pPr>
        <w:pStyle w:val="FootnoteText"/>
        <w:rPr>
          <w:rFonts w:cs="Times New Roman"/>
        </w:rPr>
      </w:pPr>
      <w:r>
        <w:rPr>
          <w:rStyle w:val="FootnoteReference"/>
          <w:rFonts w:cs="Times New Roman"/>
        </w:rPr>
        <w:footnoteRef/>
      </w:r>
      <w:r>
        <w:t xml:space="preserve"> </w:t>
      </w:r>
      <w:r>
        <w:tab/>
        <w:t>2021 m. Žiniasklaidos pliuralizmo observatorija, Šalies ataskaita: Slovėnija, p. 16, 2020 m. teisinės valstybės principo taikymo ataskaita, Šalies skyrius: teisinės valstybės principo taikymo padėtis Slovėnijoje, p. 12.</w:t>
      </w:r>
    </w:p>
  </w:footnote>
  <w:footnote w:id="117">
    <w:p>
      <w:pPr>
        <w:pStyle w:val="FootnoteText"/>
        <w:rPr>
          <w:rFonts w:cs="Times New Roman"/>
        </w:rPr>
      </w:pPr>
      <w:r>
        <w:rPr>
          <w:rStyle w:val="FootnoteReference"/>
          <w:rFonts w:cs="Times New Roman"/>
        </w:rPr>
        <w:footnoteRef/>
      </w:r>
      <w:r>
        <w:t xml:space="preserve"> </w:t>
      </w:r>
      <w:r>
        <w:tab/>
      </w:r>
      <w:r>
        <w:rPr>
          <w:i/>
          <w:szCs w:val="24"/>
        </w:rPr>
        <w:t>Pod črto</w:t>
      </w:r>
      <w:r>
        <w:t>, Savivaldybės naujienlaiškiai: milijonai eurų viešųjų lėšų merams populiarinti, 2019 m. birželio 6 d.</w:t>
      </w:r>
    </w:p>
  </w:footnote>
  <w:footnote w:id="118">
    <w:p>
      <w:pPr>
        <w:pStyle w:val="FootnoteText"/>
        <w:rPr>
          <w:rFonts w:cs="Times New Roman"/>
        </w:rPr>
      </w:pPr>
      <w:r>
        <w:rPr>
          <w:rStyle w:val="FootnoteReference"/>
          <w:rFonts w:cs="Times New Roman"/>
        </w:rPr>
        <w:footnoteRef/>
      </w:r>
      <w:r>
        <w:t xml:space="preserve"> </w:t>
      </w:r>
      <w:r>
        <w:tab/>
        <w:t>Iš organizacijos „Žurnalistai be sienų“ (RSF) gauti atsakymai rengiant 2021 m. teisinės valstybės principo taikymo ataskaitą.</w:t>
      </w:r>
    </w:p>
  </w:footnote>
  <w:footnote w:id="119">
    <w:p>
      <w:pPr>
        <w:pStyle w:val="FootnoteText"/>
        <w:rPr>
          <w:rFonts w:cs="Times New Roman"/>
        </w:rPr>
      </w:pPr>
      <w:r>
        <w:rPr>
          <w:rStyle w:val="FootnoteReference"/>
          <w:rFonts w:cs="Times New Roman"/>
        </w:rPr>
        <w:footnoteRef/>
      </w:r>
      <w:r>
        <w:t xml:space="preserve"> </w:t>
      </w:r>
      <w:r>
        <w:tab/>
        <w:t>Šios valstybės nuosavybei priklausančios įmonės atsisako dalytis minėta informacija remdamosi komercinių paslapčių teisės nuostatomis.</w:t>
      </w:r>
    </w:p>
  </w:footnote>
  <w:footnote w:id="120">
    <w:p>
      <w:pPr>
        <w:pStyle w:val="FootnoteText"/>
        <w:rPr>
          <w:rFonts w:cs="Times New Roman"/>
        </w:rPr>
      </w:pPr>
      <w:r>
        <w:rPr>
          <w:rStyle w:val="FootnoteReference"/>
          <w:rFonts w:cs="Times New Roman"/>
        </w:rPr>
        <w:footnoteRef/>
      </w:r>
      <w:r>
        <w:t xml:space="preserve"> </w:t>
      </w:r>
      <w:r>
        <w:tab/>
        <w:t>Iš organizacijos „Žurnalistai be sienų“ (RSF) gauti atsakymai rengiant 2021 m. teisinės valstybės principo taikymo ataskaitą.</w:t>
      </w:r>
    </w:p>
  </w:footnote>
  <w:footnote w:id="121">
    <w:p>
      <w:pPr>
        <w:pStyle w:val="FootnoteText"/>
        <w:rPr>
          <w:rFonts w:cs="Times New Roman"/>
        </w:rPr>
      </w:pPr>
      <w:r>
        <w:rPr>
          <w:rStyle w:val="FootnoteReference"/>
          <w:rFonts w:cs="Times New Roman"/>
        </w:rPr>
        <w:footnoteRef/>
      </w:r>
      <w:r>
        <w:t xml:space="preserve"> </w:t>
      </w:r>
      <w:r>
        <w:tab/>
        <w:t>2021 m. Žiniasklaidos pliuralizmo observatorija, Šalies ataskaita: Slovėnija, p. 11.</w:t>
      </w:r>
    </w:p>
  </w:footnote>
  <w:footnote w:id="122">
    <w:p>
      <w:pPr>
        <w:pStyle w:val="FootnoteText"/>
        <w:rPr>
          <w:rFonts w:cs="Times New Roman"/>
        </w:rPr>
      </w:pPr>
      <w:r>
        <w:rPr>
          <w:rStyle w:val="FootnoteReference"/>
          <w:rFonts w:cs="Times New Roman"/>
        </w:rPr>
        <w:footnoteRef/>
      </w:r>
      <w:r>
        <w:t xml:space="preserve"> </w:t>
      </w:r>
      <w:r>
        <w:tab/>
        <w:t>Slovėnijos žurnalistų ir publicistų asociacijos atsakymai rengiant 2021 m. teisinės valstybės principo taikymo ataskaitą, p. 4.</w:t>
      </w:r>
    </w:p>
  </w:footnote>
  <w:footnote w:id="123">
    <w:p>
      <w:pPr>
        <w:pStyle w:val="FootnoteText"/>
        <w:rPr>
          <w:rFonts w:cs="Times New Roman"/>
        </w:rPr>
      </w:pPr>
      <w:r>
        <w:rPr>
          <w:rStyle w:val="FootnoteReference"/>
          <w:rFonts w:cs="Times New Roman"/>
        </w:rPr>
        <w:footnoteRef/>
      </w:r>
      <w:r>
        <w:t xml:space="preserve"> </w:t>
      </w:r>
      <w:r>
        <w:tab/>
        <w:t>2021 m. Žiniasklaidos pliuralizmo observatorija, Šalies ataskaita: Slovėnija, p. 13.</w:t>
      </w:r>
    </w:p>
  </w:footnote>
  <w:footnote w:id="124">
    <w:p>
      <w:pPr>
        <w:pStyle w:val="FootnoteText"/>
        <w:rPr>
          <w:rFonts w:cs="Times New Roman"/>
        </w:rPr>
      </w:pPr>
      <w:r>
        <w:rPr>
          <w:rStyle w:val="FootnoteReference"/>
          <w:rFonts w:cs="Times New Roman"/>
        </w:rPr>
        <w:footnoteRef/>
      </w:r>
      <w:r>
        <w:t xml:space="preserve"> </w:t>
      </w:r>
      <w:r>
        <w:tab/>
        <w:t xml:space="preserve">Per vizitą į Slovėniją iš Vyriausybės gauti atsakymai ir iš Žurnalistų ir publicistų asociacijos gauti atsakymai rengiant 2021 m. teisinės valstybės principo taikymo ataskaitą. Pažymėtina, kad suinteresuotieji subjektai išreiškė susirūpinimą dėl laisvai samdomų žurnalistų ekonominių sąlygų. Iš Slovėnijos žurnalistų ir publicistų asociacijos gauti rašytiniai atsakymai rengiant 2021 m. teisinės valstybės principo taikymo ataskaitą. Kaip nurodė Vyriausybė, taikant bendrąsias paramos priemones, laisvai samdomi žurnalistai taip pat gauna visuotine bazine pajamas – 700 EUR per mėnesį, ir jie buvo informuoti, kad nuo 2020 m. kovo mėn. jie gali visiškai nurašyti savo socialines ir sveikatos priežiūros išlaidas, – jeigu jie nedirbo, tokia parama jiems buvo skiriama iki 2021 m. birželio 30 d. </w:t>
      </w:r>
    </w:p>
  </w:footnote>
  <w:footnote w:id="125">
    <w:p>
      <w:pPr>
        <w:pStyle w:val="FootnoteText"/>
        <w:rPr>
          <w:rFonts w:cs="Times New Roman"/>
        </w:rPr>
      </w:pPr>
      <w:r>
        <w:rPr>
          <w:rStyle w:val="FootnoteReference"/>
          <w:rFonts w:cs="Times New Roman"/>
        </w:rPr>
        <w:footnoteRef/>
      </w:r>
      <w:r>
        <w:t xml:space="preserve"> </w:t>
      </w:r>
      <w:r>
        <w:tab/>
        <w:t>Per vizitą į Slovėniją iš Vyriausybės gauti rašytiniai atsakymai.</w:t>
      </w:r>
    </w:p>
  </w:footnote>
  <w:footnote w:id="126">
    <w:p>
      <w:pPr>
        <w:pStyle w:val="FootnoteText"/>
        <w:rPr>
          <w:rFonts w:cs="Times New Roman"/>
        </w:rPr>
      </w:pPr>
      <w:r>
        <w:rPr>
          <w:rStyle w:val="FootnoteReference"/>
          <w:rFonts w:cs="Times New Roman"/>
        </w:rPr>
        <w:footnoteRef/>
      </w:r>
      <w:r>
        <w:tab/>
        <w:t xml:space="preserve">Informacija, gauta per vizitą į Slovėniją. </w:t>
      </w:r>
    </w:p>
  </w:footnote>
  <w:footnote w:id="127">
    <w:p>
      <w:pPr>
        <w:pStyle w:val="FootnoteText"/>
        <w:rPr>
          <w:rFonts w:cs="Times New Roman"/>
        </w:rPr>
      </w:pPr>
      <w:r>
        <w:rPr>
          <w:rStyle w:val="FootnoteReference"/>
          <w:rFonts w:cs="Times New Roman"/>
        </w:rPr>
        <w:footnoteRef/>
      </w:r>
      <w:r>
        <w:t xml:space="preserve"> </w:t>
      </w:r>
      <w:r>
        <w:tab/>
        <w:t>Iš organizacijos „Žurnalistai be sienų“ (RSF) gauti atsakymai rengiant 2021 m. teisinės valstybės principo taikymo ataskaitą.</w:t>
      </w:r>
    </w:p>
  </w:footnote>
  <w:footnote w:id="128">
    <w:p>
      <w:pPr>
        <w:pStyle w:val="FootnoteText"/>
        <w:rPr>
          <w:rFonts w:cs="Times New Roman"/>
        </w:rPr>
      </w:pPr>
      <w:r>
        <w:rPr>
          <w:rStyle w:val="FootnoteReference"/>
          <w:rFonts w:cs="Times New Roman"/>
        </w:rPr>
        <w:footnoteRef/>
      </w:r>
      <w:r>
        <w:t xml:space="preserve"> </w:t>
      </w:r>
      <w:r>
        <w:tab/>
        <w:t>2021 m. Žiniasklaidos pliuralizmo observatorija, Šalies ataskaita: Slovėnija, p. 11.</w:t>
      </w:r>
    </w:p>
  </w:footnote>
  <w:footnote w:id="129">
    <w:p>
      <w:pPr>
        <w:pStyle w:val="FootnoteText"/>
        <w:rPr>
          <w:rFonts w:cs="Times New Roman"/>
        </w:rPr>
      </w:pPr>
      <w:r>
        <w:rPr>
          <w:rStyle w:val="FootnoteReference"/>
          <w:rFonts w:cs="Times New Roman"/>
        </w:rPr>
        <w:footnoteRef/>
      </w:r>
      <w:r>
        <w:t xml:space="preserve"> </w:t>
      </w:r>
      <w:r>
        <w:tab/>
        <w:t>Teisingumo ministerijos atliktos Liublianos administracinio teismo ir jo Mariboro, Nova Goricos ir Celės skyrių veiklos organizavimo patikros rezultatų santrauka, Teisingumo ministerija, 2021 m. balandžio mėn.</w:t>
      </w:r>
    </w:p>
  </w:footnote>
  <w:footnote w:id="130">
    <w:p>
      <w:pPr>
        <w:pStyle w:val="FootnoteText"/>
        <w:rPr>
          <w:rFonts w:cs="Times New Roman"/>
        </w:rPr>
      </w:pPr>
      <w:r>
        <w:rPr>
          <w:rStyle w:val="FootnoteReference"/>
          <w:rFonts w:cs="Times New Roman"/>
        </w:rPr>
        <w:footnoteRef/>
      </w:r>
      <w:r>
        <w:t xml:space="preserve"> </w:t>
      </w:r>
      <w:r>
        <w:tab/>
        <w:t>Teisingumo ministerijos atliktos Liublianos administracinio teismo ir jo Mariboro, Nova Goricos ir Celės skyrių veiklos organizavimo patikros rezultatų santrauka, Teisingumo ministerija, 2021 m. balandžio mėn. Pažymėtina, jog buvo nustatyta, kad viena byla, kurioje peržiūrimas Informacijos komisaro sprendimas dėl teisės susipažinti su informacija, nagrinėjama jau dvejus metus.</w:t>
      </w:r>
    </w:p>
  </w:footnote>
  <w:footnote w:id="131">
    <w:p>
      <w:pPr>
        <w:pStyle w:val="FootnoteText"/>
        <w:rPr>
          <w:rFonts w:cs="Times New Roman"/>
        </w:rPr>
      </w:pPr>
      <w:r>
        <w:rPr>
          <w:rStyle w:val="FootnoteReference"/>
          <w:rFonts w:cs="Times New Roman"/>
        </w:rPr>
        <w:footnoteRef/>
      </w:r>
      <w:r>
        <w:t xml:space="preserve"> </w:t>
      </w:r>
      <w:r>
        <w:tab/>
        <w:t>2020 m. teisinės valstybės principo taikymo ataskaita, Šalies skyrius: teisinės valstybės principo taikymo padėtis Slovėnijoje, p. 13.</w:t>
      </w:r>
    </w:p>
  </w:footnote>
  <w:footnote w:id="132">
    <w:p>
      <w:pPr>
        <w:pStyle w:val="FootnoteText"/>
        <w:rPr>
          <w:rFonts w:cs="Times New Roman"/>
        </w:rPr>
      </w:pPr>
      <w:r>
        <w:rPr>
          <w:rStyle w:val="FootnoteReference"/>
          <w:rFonts w:cs="Times New Roman"/>
        </w:rPr>
        <w:footnoteRef/>
      </w:r>
      <w:r>
        <w:t xml:space="preserve"> </w:t>
      </w:r>
      <w:r>
        <w:tab/>
        <w:t>2021 m. Žiniasklaidos pliuralizmo observatorija, Šalies ataskaita: Slovėnija, p. 10.</w:t>
      </w:r>
    </w:p>
  </w:footnote>
  <w:footnote w:id="133">
    <w:p>
      <w:pPr>
        <w:pStyle w:val="FootnoteText"/>
        <w:rPr>
          <w:rFonts w:cs="Times New Roman"/>
        </w:rPr>
      </w:pPr>
      <w:r>
        <w:rPr>
          <w:rStyle w:val="FootnoteReference"/>
          <w:rFonts w:cs="Times New Roman"/>
        </w:rPr>
        <w:footnoteRef/>
      </w:r>
      <w:r>
        <w:t xml:space="preserve"> </w:t>
      </w:r>
      <w:r>
        <w:tab/>
        <w:t>Iš Slovėnijos gauti atsakymai rengiant 2021 m. teisinės valstybės principo taikymo ataskaitą.</w:t>
      </w:r>
    </w:p>
  </w:footnote>
  <w:footnote w:id="134">
    <w:p>
      <w:pPr>
        <w:pStyle w:val="FootnoteText"/>
        <w:rPr>
          <w:rFonts w:cs="Times New Roman"/>
        </w:rPr>
      </w:pPr>
      <w:r>
        <w:rPr>
          <w:rStyle w:val="FootnoteReference"/>
          <w:rFonts w:cs="Times New Roman"/>
        </w:rPr>
        <w:footnoteRef/>
      </w:r>
      <w:r>
        <w:t xml:space="preserve"> </w:t>
      </w:r>
      <w:r>
        <w:tab/>
        <w:t>Europos Tarybos platforma žurnalistikos apsaugai ir žurnalistų saugumui skatinti. Slovėnija. Rengiant šį dokumentą, Slovėnijos valdžios institucijos savo atsakyme buvo atsižvelgusios į penkis perspėjimus.</w:t>
      </w:r>
    </w:p>
  </w:footnote>
  <w:footnote w:id="135">
    <w:p>
      <w:pPr>
        <w:pStyle w:val="FootnoteText"/>
        <w:rPr>
          <w:rFonts w:cs="Times New Roman"/>
        </w:rPr>
      </w:pPr>
      <w:r>
        <w:rPr>
          <w:rStyle w:val="FootnoteReference"/>
          <w:rFonts w:cs="Times New Roman"/>
        </w:rPr>
        <w:footnoteRef/>
      </w:r>
      <w:r>
        <w:t xml:space="preserve"> </w:t>
      </w:r>
      <w:r>
        <w:tab/>
        <w:t>Europos Taryba, Europos Tarybos žmogaus teisių komisaras skelbia pastabą dėl žmogaus teisių, susijusią su strateginiais ieškiniais, nukreiptais prieš visuomenės dalyvavimą (SLAPPs), 2020 m. spalio 27 d.</w:t>
      </w:r>
    </w:p>
  </w:footnote>
  <w:footnote w:id="136">
    <w:p>
      <w:pPr>
        <w:pStyle w:val="FootnoteText"/>
        <w:rPr>
          <w:rFonts w:cs="Times New Roman"/>
        </w:rPr>
      </w:pPr>
      <w:r>
        <w:rPr>
          <w:rStyle w:val="FootnoteReference"/>
          <w:rFonts w:cs="Times New Roman"/>
        </w:rPr>
        <w:footnoteRef/>
      </w:r>
      <w:r>
        <w:t xml:space="preserve"> </w:t>
      </w:r>
      <w:r>
        <w:tab/>
        <w:t>Iš Taikos instituto, bendradarbiaujant su organizacija „Civil Liberties Union for Europe“, gauti atsakymai rengiant 2021 m. teisinės valstybės principo taikymo ataskaitą; Europos Taryba, Žmogaus teisių komisaras, Memorandumas dėl saviraiškos ir žiniasklaidos laisvės Slovėnijoje, 2021 m. birželio 4 d.; 2021 m. Žiniasklaidos pliuralizmo observatorija, Šalies ataskaita: Slovėnija, p. 11, 20 ir 22.</w:t>
      </w:r>
    </w:p>
  </w:footnote>
  <w:footnote w:id="137">
    <w:p>
      <w:pPr>
        <w:pStyle w:val="FootnoteText"/>
        <w:rPr>
          <w:rFonts w:cs="Times New Roman"/>
        </w:rPr>
      </w:pPr>
      <w:r>
        <w:rPr>
          <w:rStyle w:val="FootnoteReference"/>
          <w:rFonts w:cs="Times New Roman"/>
        </w:rPr>
        <w:footnoteRef/>
      </w:r>
      <w:r>
        <w:t xml:space="preserve"> </w:t>
      </w:r>
      <w:r>
        <w:tab/>
        <w:t>Generalinės prokuratūros pateikta informacija, 2021 m.</w:t>
      </w:r>
    </w:p>
  </w:footnote>
  <w:footnote w:id="138">
    <w:p>
      <w:pPr>
        <w:pStyle w:val="FootnoteText"/>
        <w:rPr>
          <w:rFonts w:cs="Times New Roman"/>
        </w:rPr>
      </w:pPr>
      <w:r>
        <w:rPr>
          <w:rStyle w:val="FootnoteReference"/>
          <w:rFonts w:cs="Times New Roman"/>
        </w:rPr>
        <w:footnoteRef/>
      </w:r>
      <w:r>
        <w:t xml:space="preserve"> </w:t>
      </w:r>
      <w:r>
        <w:tab/>
        <w:t>Per vizitą į Slovėniją Generalinės prokuratūros pateikta informacija.</w:t>
      </w:r>
    </w:p>
  </w:footnote>
  <w:footnote w:id="139">
    <w:p>
      <w:pPr>
        <w:pStyle w:val="FootnoteText"/>
        <w:rPr>
          <w:rFonts w:cs="Times New Roman"/>
        </w:rPr>
      </w:pPr>
      <w:r>
        <w:rPr>
          <w:rStyle w:val="FootnoteReference"/>
          <w:rFonts w:cs="Times New Roman"/>
        </w:rPr>
        <w:footnoteRef/>
      </w:r>
      <w:r>
        <w:t xml:space="preserve"> </w:t>
      </w:r>
      <w:r>
        <w:tab/>
        <w:t>Kaip nurodyta 2020 m. teisinės valstybės principo taikymo ataskaitos Slovėnijos skyriuje, dėl siauro baudžiamosios teisės taikymo už internetinį priekabiavimą prie žurnalistų arba jiems skirtus grasinimus sankcijos taikomos retai. Šiuo atveju buvo remiamasi Valstybinės prokuratūros teisiniu aiškinimu, pagal kurį viešas neapykantos kurstymas turi būti „konkretus“, prilygstantis „konkrečiam pavojui viešajai tvarkai ir taikai“, kad už jį būtų vykdomas baudžiamasis persekiojimas kaip už nusikaltimą. 2019 m. Aukščiausiasis Teismas išaiškino, kad yra du būdai padaryti Baudžiamojo kodekso 297 straipsnyje nurodytą nusikaltimą: arba a) pavojų viešajai tvarkai ir taikai keliančiu arba ją trikdančiu būdu kurstant neapykantą ir smurtą arba netoleranciją, arba b) grasinimais, įžeidimais arba žodiniu užgauliojimu. Nurodoma, kad tuo atveju, kai elgesys pasireiškia grasinimais, įžeidimais arba žodiniu užgauliojimu, nėra reikalavimo, kad būtų keliamas pavojus viešajai tvarkai ir taikai. Tačiau taip pat paaiškinama, kad, kai elgesys gali kelti pavojų viešajai tvarkai ir taikai arba ji gali būti trikdoma, nėra reikalavimo, kad pavojus būtų tiesioginis, tik reikalaujama, kad jis galėtų virsti konkrečiu pavojumi. 2020 m. teisinės valstybės principo taikymo ataskaita, Šalies skyrius: Slovėnija, p. 13.</w:t>
      </w:r>
    </w:p>
  </w:footnote>
  <w:footnote w:id="140">
    <w:p>
      <w:pPr>
        <w:pStyle w:val="FootnoteText"/>
        <w:rPr>
          <w:rFonts w:cs="Times New Roman"/>
        </w:rPr>
      </w:pPr>
      <w:r>
        <w:rPr>
          <w:rStyle w:val="FootnoteReference"/>
          <w:rFonts w:cs="Times New Roman"/>
        </w:rPr>
        <w:footnoteRef/>
      </w:r>
      <w:r>
        <w:t xml:space="preserve"> </w:t>
      </w:r>
      <w:r>
        <w:tab/>
        <w:t xml:space="preserve">2008 m. spalio 22 d. Slovėnijos Konstitucinio Teismo sprendimas U-I-295/07. </w:t>
      </w:r>
    </w:p>
  </w:footnote>
  <w:footnote w:id="141">
    <w:p>
      <w:pPr>
        <w:pStyle w:val="FootnoteText"/>
        <w:rPr>
          <w:rFonts w:cs="Times New Roman"/>
        </w:rPr>
      </w:pPr>
      <w:r>
        <w:rPr>
          <w:rStyle w:val="FootnoteReference"/>
          <w:rFonts w:cs="Times New Roman"/>
        </w:rPr>
        <w:footnoteRef/>
      </w:r>
      <w:r>
        <w:t xml:space="preserve"> </w:t>
      </w:r>
      <w:r>
        <w:tab/>
        <w:t>Nacionalinės Asamblėjos darbo tvarkos taisyklių pakeitimai, 2020 m. balandžio 7 d.</w:t>
      </w:r>
    </w:p>
  </w:footnote>
  <w:footnote w:id="142">
    <w:p>
      <w:pPr>
        <w:pStyle w:val="FootnoteText"/>
        <w:rPr>
          <w:rFonts w:cs="Times New Roman"/>
        </w:rPr>
      </w:pPr>
      <w:r>
        <w:rPr>
          <w:rStyle w:val="FootnoteReference"/>
          <w:rFonts w:cs="Times New Roman"/>
        </w:rPr>
        <w:footnoteRef/>
      </w:r>
      <w:r>
        <w:t xml:space="preserve"> </w:t>
      </w:r>
      <w:r>
        <w:tab/>
        <w:t>Vykdant sutrumpintą procedūrą arba skubos tvarka bendros diskusijos nevyksta, o antrasis ir trečiasis svarstymai surengiami per tą pačią Parlamento sesiją. 2020 m. teisinės valstybės principo taikymo ataskaita, Šalies skyrius: teisinės valstybės principo taikymo padėtis Slovėnijoje, p. 15.</w:t>
      </w:r>
    </w:p>
  </w:footnote>
  <w:footnote w:id="143">
    <w:p>
      <w:pPr>
        <w:pStyle w:val="FootnoteText"/>
        <w:rPr>
          <w:rFonts w:cs="Times New Roman"/>
        </w:rPr>
      </w:pPr>
      <w:r>
        <w:rPr>
          <w:rStyle w:val="FootnoteReference"/>
          <w:rFonts w:cs="Times New Roman"/>
        </w:rPr>
        <w:footnoteRef/>
      </w:r>
      <w:r>
        <w:t xml:space="preserve"> </w:t>
      </w:r>
      <w:r>
        <w:tab/>
        <w:t>CNVOS – NVO „Umbrella Network“, Internetinis Parlamento rezoliucijos dėl norminės veiklos pažeidimų skaitiklis.</w:t>
      </w:r>
    </w:p>
  </w:footnote>
  <w:footnote w:id="144">
    <w:p>
      <w:pPr>
        <w:pStyle w:val="FootnoteText"/>
      </w:pPr>
      <w:r>
        <w:rPr>
          <w:rStyle w:val="FootnoteReference"/>
        </w:rPr>
        <w:footnoteRef/>
      </w:r>
      <w:r>
        <w:t xml:space="preserve"> </w:t>
      </w:r>
      <w:r>
        <w:tab/>
        <w:t>Konstitucinis Teismas skyrė Parlamentui du mėnesius iš įstatymo Konstituciniams elementams pašalinti. 2021 m. gegužės 13 d. Konstitucinio Teismo sprendimas U-I-79/20-24.</w:t>
      </w:r>
    </w:p>
  </w:footnote>
  <w:footnote w:id="145">
    <w:p>
      <w:pPr>
        <w:pStyle w:val="FootnoteText"/>
        <w:rPr>
          <w:rFonts w:cs="Times New Roman"/>
        </w:rPr>
      </w:pPr>
      <w:r>
        <w:rPr>
          <w:rStyle w:val="FootnoteReference"/>
          <w:rFonts w:cs="Times New Roman"/>
        </w:rPr>
        <w:footnoteRef/>
      </w:r>
      <w:r>
        <w:t xml:space="preserve"> </w:t>
      </w:r>
      <w:r>
        <w:tab/>
        <w:t>Iš Slovėnijos gauti atsakymai rengiant 2021 m. teisinės valstybės principo taikymo ataskaitą, p. 30.</w:t>
      </w:r>
    </w:p>
  </w:footnote>
  <w:footnote w:id="146">
    <w:p>
      <w:pPr>
        <w:pStyle w:val="FootnoteText"/>
        <w:rPr>
          <w:rFonts w:cs="Times New Roman"/>
        </w:rPr>
      </w:pPr>
      <w:r>
        <w:rPr>
          <w:rStyle w:val="FootnoteReference"/>
          <w:rFonts w:cs="Times New Roman"/>
        </w:rPr>
        <w:footnoteRef/>
      </w:r>
      <w:r>
        <w:t xml:space="preserve"> </w:t>
      </w:r>
      <w:r>
        <w:tab/>
        <w:t>Europos nacionalinių žmogaus teisių institucijų tinklo atsakymai, gauti rengiant 2021 m. teisinės valstybės principo taikymo ataskaitą, p. 317.</w:t>
      </w:r>
    </w:p>
  </w:footnote>
  <w:footnote w:id="147">
    <w:p>
      <w:pPr>
        <w:pStyle w:val="FootnoteText"/>
        <w:rPr>
          <w:rFonts w:cs="Times New Roman"/>
        </w:rPr>
      </w:pPr>
      <w:r>
        <w:rPr>
          <w:rStyle w:val="FootnoteReference"/>
          <w:rFonts w:cs="Times New Roman"/>
        </w:rPr>
        <w:footnoteRef/>
      </w:r>
      <w:r>
        <w:t xml:space="preserve"> </w:t>
      </w:r>
      <w:r>
        <w:tab/>
        <w:t>2020 m. gruodžio 10 d. Konstitucinio Teismo sprendimas U-I-474/18-17. Galutinis sprendimo įgyvendinimo terminas – 2021 m. gruodžio 23 d.</w:t>
      </w:r>
    </w:p>
  </w:footnote>
  <w:footnote w:id="148">
    <w:p>
      <w:pPr>
        <w:pStyle w:val="FootnoteText"/>
        <w:rPr>
          <w:rFonts w:cs="Times New Roman"/>
        </w:rPr>
      </w:pPr>
      <w:r>
        <w:rPr>
          <w:rStyle w:val="FootnoteReference"/>
          <w:rFonts w:cs="Times New Roman"/>
        </w:rPr>
        <w:footnoteRef/>
      </w:r>
      <w:r>
        <w:t xml:space="preserve"> </w:t>
      </w:r>
      <w:r>
        <w:tab/>
        <w:t>2020 m. teisinės valstybės principo taikymo ataskaita, Šalies skyrius: teisinės valstybės principo taikymo padėtis Slovėnijoje, p. 14–15.</w:t>
      </w:r>
    </w:p>
  </w:footnote>
  <w:footnote w:id="149">
    <w:p>
      <w:pPr>
        <w:pStyle w:val="FootnoteText"/>
        <w:rPr>
          <w:rFonts w:cs="Times New Roman"/>
        </w:rPr>
      </w:pPr>
      <w:r>
        <w:rPr>
          <w:rStyle w:val="FootnoteReference"/>
          <w:rFonts w:cs="Times New Roman"/>
        </w:rPr>
        <w:footnoteRef/>
      </w:r>
      <w:r>
        <w:t xml:space="preserve"> </w:t>
      </w:r>
      <w:r>
        <w:tab/>
        <w:t>Konstitucinis Teismas, 2020 m. ataskaita, 2021 m. balandžio 22 d.</w:t>
      </w:r>
    </w:p>
  </w:footnote>
  <w:footnote w:id="150">
    <w:p>
      <w:pPr>
        <w:pStyle w:val="FootnoteText"/>
        <w:rPr>
          <w:rFonts w:cs="Times New Roman"/>
        </w:rPr>
      </w:pPr>
      <w:r>
        <w:rPr>
          <w:rStyle w:val="FootnoteReference"/>
          <w:rFonts w:cs="Times New Roman"/>
        </w:rPr>
        <w:footnoteRef/>
      </w:r>
      <w:r>
        <w:t xml:space="preserve"> </w:t>
      </w:r>
      <w:r>
        <w:tab/>
        <w:t>Tebėra neišnagrinėtos 62 bylos, iš kurių 20 Konstitucinis Teismas priėmė, o septyniose – laikinai sustabdė atitinkamas priemones. Per vizitą į Slovėniją iš Konstitucinio Teismo gauti rašytiniai atsakymai.</w:t>
      </w:r>
    </w:p>
  </w:footnote>
  <w:footnote w:id="151">
    <w:p>
      <w:pPr>
        <w:pStyle w:val="FootnoteText"/>
        <w:rPr>
          <w:rFonts w:cs="Times New Roman"/>
        </w:rPr>
      </w:pPr>
      <w:r>
        <w:rPr>
          <w:rStyle w:val="FootnoteReference"/>
          <w:rFonts w:cs="Times New Roman"/>
        </w:rPr>
        <w:footnoteRef/>
      </w:r>
      <w:r>
        <w:t xml:space="preserve"> </w:t>
      </w:r>
      <w:r>
        <w:tab/>
        <w:t>2021 m. kovo mėn. buvo pranešta apie keletą nešališkumo laikymosi pažeidimų, kai nenusišalino Konstitucinio Teismo teisėjai. Pažymėtina, kad Europos Žmogaus Teisių Teismas anksčiau Slovėniją pasmerkė už Europos žmogaus teisių konvencijos 6 straipsnio pažeidimą – už Konstitucinio Teismo teisėjų nenusišalinimą.</w:t>
      </w:r>
    </w:p>
  </w:footnote>
  <w:footnote w:id="152">
    <w:p>
      <w:pPr>
        <w:pStyle w:val="FootnoteText"/>
        <w:rPr>
          <w:rFonts w:cs="Times New Roman"/>
        </w:rPr>
      </w:pPr>
      <w:r>
        <w:rPr>
          <w:rStyle w:val="FootnoteReference"/>
          <w:rFonts w:cs="Times New Roman"/>
        </w:rPr>
        <w:footnoteRef/>
      </w:r>
      <w:r>
        <w:t xml:space="preserve"> Pasaulinis nacionalinių žmogaus teisių institucijų aljansas (GANHRI), Akreditacijos pakomitečio (SCA) virtualaus posėdžio ataskaita ir rekomendacija, 2020 m. gruodžio 7–18 d., p. 22–24. Europos nacionalinių žmogaus teisių institucijų tinklo atsakymai, gauti rengiant 2021 m. teisinės valstybės principo taikymo ataskaitą, p. 316.</w:t>
      </w:r>
    </w:p>
  </w:footnote>
  <w:footnote w:id="153">
    <w:p>
      <w:pPr>
        <w:pStyle w:val="FootnoteText"/>
        <w:rPr>
          <w:rFonts w:cs="Times New Roman"/>
        </w:rPr>
      </w:pPr>
      <w:r>
        <w:rPr>
          <w:rStyle w:val="FootnoteReference"/>
          <w:rFonts w:cs="Times New Roman"/>
        </w:rPr>
        <w:footnoteRef/>
      </w:r>
      <w:r>
        <w:t xml:space="preserve"> </w:t>
      </w:r>
      <w:r>
        <w:tab/>
        <w:t xml:space="preserve">Europos nacionalinių žmogaus teisių institucijų tinklo atsakymai, gauti rengiant 2021 m. teisinės valstybės principo taikymo ataskaitą, p. 319, 320, 322, 334–339. </w:t>
      </w:r>
    </w:p>
    <w:p>
      <w:pPr>
        <w:pStyle w:val="FootnoteText"/>
        <w:ind w:firstLine="0"/>
        <w:rPr>
          <w:rFonts w:cs="Times New Roman"/>
        </w:rPr>
      </w:pPr>
      <w:r>
        <w:t>Taip pat pažymėtina, kad, kalbant apie Ombudsmeno rekomendacijas valstybės institucijoms, daugiausia Vyriausybei, tačiau ir Parlamentui, teismams bei kitoms įstaigoms, Ombudsmenas praėjusioje savo metinėje ataskaitoje atkreipė dėmesį į tai, kad daugiau negu 200 rekomendacijų nebuvo įgyvendintos arba buvo įgyvendintos tik iš dalies. Europos nacionalinių žmogaus teisių institucijų tinklo atsakymai, gauti rengiant 2021 m. teisinės valstybės principo taikymo ataskaitą, p. 319.</w:t>
      </w:r>
    </w:p>
  </w:footnote>
  <w:footnote w:id="154">
    <w:p>
      <w:pPr>
        <w:pStyle w:val="FootnoteText"/>
        <w:rPr>
          <w:rFonts w:cs="Times New Roman"/>
        </w:rPr>
      </w:pPr>
      <w:r>
        <w:rPr>
          <w:rStyle w:val="FootnoteReference"/>
          <w:rFonts w:cs="Times New Roman"/>
        </w:rPr>
        <w:footnoteRef/>
      </w:r>
      <w:r>
        <w:t xml:space="preserve"> </w:t>
      </w:r>
      <w:r>
        <w:tab/>
        <w:t>Europos nacionalinių žmogaus teisių institucijų tinklo atsakymai, gauti rengiant 2021 m. teisinės valstybės principo taikymo ataskaitą, p. 340.</w:t>
      </w:r>
    </w:p>
  </w:footnote>
  <w:footnote w:id="155">
    <w:p>
      <w:pPr>
        <w:pStyle w:val="FootnoteText"/>
        <w:rPr>
          <w:rFonts w:cs="Times New Roman"/>
        </w:rPr>
      </w:pPr>
      <w:r>
        <w:rPr>
          <w:rStyle w:val="FootnoteReference"/>
          <w:rFonts w:cs="Times New Roman"/>
        </w:rPr>
        <w:footnoteRef/>
      </w:r>
      <w:r>
        <w:t xml:space="preserve"> </w:t>
      </w:r>
      <w:r>
        <w:tab/>
        <w:t>Respublikos Prezidento tarnyba, 2020 m. spalio 13 d. pranešimas spaudai.</w:t>
      </w:r>
    </w:p>
  </w:footnote>
  <w:footnote w:id="156">
    <w:p>
      <w:pPr>
        <w:pStyle w:val="FootnoteText"/>
        <w:rPr>
          <w:rFonts w:cs="Times New Roman"/>
        </w:rPr>
      </w:pPr>
      <w:r>
        <w:rPr>
          <w:rStyle w:val="FootnoteReference"/>
          <w:rFonts w:cs="Times New Roman"/>
        </w:rPr>
        <w:footnoteRef/>
      </w:r>
      <w:r>
        <w:t xml:space="preserve"> </w:t>
      </w:r>
      <w:r>
        <w:tab/>
        <w:t xml:space="preserve">Pagrindinių teisių agentūros atsakymai, gauti rengiant 2021 m. teisinės valstybės principo taikymo ataskaitą, Pilietinės visuomenės organizacijų teisinė aplinka ir erdvė pagrindinėms teisėms ginti, Slovėnija, p. 1. </w:t>
      </w:r>
    </w:p>
  </w:footnote>
  <w:footnote w:id="157">
    <w:p>
      <w:pPr>
        <w:pStyle w:val="FootnoteText"/>
        <w:rPr>
          <w:rFonts w:cs="Times New Roman"/>
        </w:rPr>
      </w:pPr>
      <w:r>
        <w:rPr>
          <w:rStyle w:val="FootnoteReference"/>
          <w:rFonts w:cs="Times New Roman"/>
        </w:rPr>
        <w:footnoteRef/>
      </w:r>
      <w:r>
        <w:t xml:space="preserve"> </w:t>
      </w:r>
      <w:r>
        <w:tab/>
        <w:t xml:space="preserve">CIVICUS reitingas; reitingai nustatomi pagal penkių kategorijų skalę: atvira, susiaurinta, apsunkinta, suvaržyta ir uždara. CIVICUS, </w:t>
      </w:r>
      <w:r>
        <w:rPr>
          <w:i/>
          <w:szCs w:val="24"/>
        </w:rPr>
        <w:t>Government continues its attack on CSOs</w:t>
      </w:r>
      <w:r>
        <w:t>, 2021 m. vasario 4 d.</w:t>
      </w:r>
    </w:p>
  </w:footnote>
  <w:footnote w:id="158">
    <w:p>
      <w:pPr>
        <w:pStyle w:val="FootnoteText"/>
        <w:rPr>
          <w:rFonts w:cs="Times New Roman"/>
        </w:rPr>
      </w:pPr>
      <w:r>
        <w:rPr>
          <w:rStyle w:val="FootnoteReference"/>
          <w:rFonts w:cs="Times New Roman"/>
        </w:rPr>
        <w:footnoteRef/>
      </w:r>
      <w:r>
        <w:t xml:space="preserve"> </w:t>
      </w:r>
      <w:r>
        <w:tab/>
        <w:t>Europos nacionalinių žmogaus teisių institucijų tinklo atsakymai, gauti rengiant 2021 m. teisinės valstybės principo taikymo ataskaitą, p. 322–324.</w:t>
      </w:r>
    </w:p>
  </w:footnote>
  <w:footnote w:id="159">
    <w:p>
      <w:pPr>
        <w:pStyle w:val="FootnoteText"/>
        <w:rPr>
          <w:rFonts w:cs="Times New Roman"/>
        </w:rPr>
      </w:pPr>
      <w:r>
        <w:rPr>
          <w:rStyle w:val="FootnoteReference"/>
          <w:rFonts w:cs="Times New Roman"/>
        </w:rPr>
        <w:footnoteRef/>
      </w:r>
      <w:r>
        <w:t xml:space="preserve"> </w:t>
      </w:r>
      <w:r>
        <w:tab/>
        <w:t>Europos piliečių forumo atsakymai rengiant 2021 m. teisinės valstybės principo taikymo ataskaitą, p. 57.</w:t>
      </w:r>
    </w:p>
  </w:footnote>
  <w:footnote w:id="160">
    <w:p>
      <w:pPr>
        <w:pStyle w:val="FootnoteText"/>
        <w:rPr>
          <w:rFonts w:cs="Times New Roman"/>
        </w:rPr>
      </w:pPr>
      <w:r>
        <w:rPr>
          <w:rStyle w:val="FootnoteReference"/>
          <w:rFonts w:cs="Times New Roman"/>
        </w:rPr>
        <w:footnoteRef/>
      </w:r>
      <w:r>
        <w:t xml:space="preserve"> </w:t>
      </w:r>
      <w:r>
        <w:tab/>
        <w:t>Europos piliečių forumo atsakymai rengiant 2021 m. teisinės valstybės principo taikymo ataskaitą, p. 57.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70793"/>
    <w:multiLevelType w:val="hybridMultilevel"/>
    <w:tmpl w:val="72F6C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4FA68C3"/>
    <w:multiLevelType w:val="hybridMultilevel"/>
    <w:tmpl w:val="5D82D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8523EB1"/>
    <w:multiLevelType w:val="hybridMultilevel"/>
    <w:tmpl w:val="BC603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3F950D9"/>
    <w:multiLevelType w:val="hybridMultilevel"/>
    <w:tmpl w:val="39FC0434"/>
    <w:lvl w:ilvl="0" w:tplc="72C675E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205795"/>
    <w:multiLevelType w:val="hybridMultilevel"/>
    <w:tmpl w:val="1A9671E8"/>
    <w:lvl w:ilvl="0" w:tplc="ED36B4A8">
      <w:start w:val="1"/>
      <w:numFmt w:val="upperRoman"/>
      <w:lvlText w:val="%1."/>
      <w:lvlJc w:val="left"/>
      <w:pPr>
        <w:ind w:left="990" w:hanging="720"/>
      </w:pPr>
      <w:rPr>
        <w:rFonts w:hint="default"/>
        <w:u w:val="none"/>
      </w:rPr>
    </w:lvl>
    <w:lvl w:ilvl="1" w:tplc="040C0019">
      <w:start w:val="1"/>
      <w:numFmt w:val="lowerLetter"/>
      <w:lvlText w:val="%2."/>
      <w:lvlJc w:val="left"/>
      <w:pPr>
        <w:ind w:left="1350" w:hanging="360"/>
      </w:pPr>
    </w:lvl>
    <w:lvl w:ilvl="2" w:tplc="040C001B" w:tentative="1">
      <w:start w:val="1"/>
      <w:numFmt w:val="lowerRoman"/>
      <w:lvlText w:val="%3."/>
      <w:lvlJc w:val="right"/>
      <w:pPr>
        <w:ind w:left="2070" w:hanging="180"/>
      </w:pPr>
    </w:lvl>
    <w:lvl w:ilvl="3" w:tplc="040C000F" w:tentative="1">
      <w:start w:val="1"/>
      <w:numFmt w:val="decimal"/>
      <w:lvlText w:val="%4."/>
      <w:lvlJc w:val="left"/>
      <w:pPr>
        <w:ind w:left="2790" w:hanging="360"/>
      </w:pPr>
    </w:lvl>
    <w:lvl w:ilvl="4" w:tplc="040C0019" w:tentative="1">
      <w:start w:val="1"/>
      <w:numFmt w:val="lowerLetter"/>
      <w:lvlText w:val="%5."/>
      <w:lvlJc w:val="left"/>
      <w:pPr>
        <w:ind w:left="3510" w:hanging="360"/>
      </w:pPr>
    </w:lvl>
    <w:lvl w:ilvl="5" w:tplc="040C001B" w:tentative="1">
      <w:start w:val="1"/>
      <w:numFmt w:val="lowerRoman"/>
      <w:lvlText w:val="%6."/>
      <w:lvlJc w:val="right"/>
      <w:pPr>
        <w:ind w:left="4230" w:hanging="180"/>
      </w:pPr>
    </w:lvl>
    <w:lvl w:ilvl="6" w:tplc="040C000F" w:tentative="1">
      <w:start w:val="1"/>
      <w:numFmt w:val="decimal"/>
      <w:lvlText w:val="%7."/>
      <w:lvlJc w:val="left"/>
      <w:pPr>
        <w:ind w:left="4950" w:hanging="360"/>
      </w:pPr>
    </w:lvl>
    <w:lvl w:ilvl="7" w:tplc="040C0019" w:tentative="1">
      <w:start w:val="1"/>
      <w:numFmt w:val="lowerLetter"/>
      <w:lvlText w:val="%8."/>
      <w:lvlJc w:val="left"/>
      <w:pPr>
        <w:ind w:left="5670" w:hanging="360"/>
      </w:pPr>
    </w:lvl>
    <w:lvl w:ilvl="8" w:tplc="040C001B" w:tentative="1">
      <w:start w:val="1"/>
      <w:numFmt w:val="lowerRoman"/>
      <w:lvlText w:val="%9."/>
      <w:lvlJc w:val="right"/>
      <w:pPr>
        <w:ind w:left="6390" w:hanging="180"/>
      </w:pPr>
    </w:lvl>
  </w:abstractNum>
  <w:abstractNum w:abstractNumId="5">
    <w:nsid w:val="386A075F"/>
    <w:multiLevelType w:val="hybridMultilevel"/>
    <w:tmpl w:val="E500F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3A95B66"/>
    <w:multiLevelType w:val="multilevel"/>
    <w:tmpl w:val="697C1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57ED7A03"/>
    <w:multiLevelType w:val="multilevel"/>
    <w:tmpl w:val="4EF0CD42"/>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8">
    <w:nsid w:val="5DB81F24"/>
    <w:multiLevelType w:val="hybridMultilevel"/>
    <w:tmpl w:val="DE389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3B1E14"/>
    <w:multiLevelType w:val="hybridMultilevel"/>
    <w:tmpl w:val="5C3CE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758071B9"/>
    <w:multiLevelType w:val="hybridMultilevel"/>
    <w:tmpl w:val="36FE1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F901127"/>
    <w:multiLevelType w:val="hybridMultilevel"/>
    <w:tmpl w:val="1AEC4D3C"/>
    <w:lvl w:ilvl="0" w:tplc="A938438E">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0"/>
  </w:num>
  <w:num w:numId="6">
    <w:abstractNumId w:val="2"/>
  </w:num>
  <w:num w:numId="7">
    <w:abstractNumId w:val="10"/>
  </w:num>
  <w:num w:numId="8">
    <w:abstractNumId w:val="8"/>
  </w:num>
  <w:num w:numId="9">
    <w:abstractNumId w:val="10"/>
  </w:num>
  <w:num w:numId="10">
    <w:abstractNumId w:val="3"/>
  </w:num>
  <w:num w:numId="11">
    <w:abstractNumId w:val="6"/>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BE" w:vendorID="64" w:dllVersion="131078" w:nlCheck="1" w:checkStyle="0"/>
  <w:activeWritingStyle w:appName="MSWord" w:lang="it-IT" w:vendorID="64" w:dllVersion="131078" w:nlCheck="1" w:checkStyle="0"/>
  <w:activeWritingStyle w:appName="MSWord" w:lang="es-ES" w:vendorID="64" w:dllVersion="131078" w:nlCheck="1" w:checkStyle="0"/>
  <w:defaultTabStop w:val="720"/>
  <w:hyphenationZone w:val="425"/>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pridedamas prie"/>
    <w:docVar w:name="LW_CORRIGENDUM" w:val="&lt;UNUSED&gt;"/>
    <w:docVar w:name="LW_COVERPAGE_EXISTS" w:val="True"/>
    <w:docVar w:name="LW_COVERPAGE_GUID" w:val="0041C1E9-D35A-473D-B8D4-D515DEF9738B"/>
    <w:docVar w:name="LW_COVERPAGE_TYPE" w:val="1"/>
    <w:docVar w:name="LW_CROSSREFERENCE" w:val="{COM(2021) 700 final} - {SWD(2021) 701 final} - {SWD(2021) 702 final} - {SWD(2021) 703 final} - {SWD(2021) 704 final} - {SWD(2021) 705 final} - {SWD(2021) 706 final} - {SWD(2021) 707 final} - {SWD(2021) 708 final} - {SWD(2021) 709 final} - {SWD(2021) 710 final} - {SWD(2021) 711 final} - {SWD(2021) 712 final} - {SWD(2021) 713 final} - {SWD(2021) 714 final} - {SWD(2021) 715 final} - {SWD(2021) 716 final} - {SWD(2021) 717 final} - {SWD(2021) 718 final} - {SWD(2021) 719 final} - {SWD(2021) 720 final} - {SWD(2021) 721 final} - {SWD(2021) 722 final} - {SWD(2021) 723 final} - {SWD(2021) 724 final} - {SWD(2021) 725 final} - {SWD(2021) 727 final}"/>
    <w:docVar w:name="LW_DocType" w:val="NORMAL"/>
    <w:docVar w:name="LW_EMISSION" w:val="2021 07 20"/>
    <w:docVar w:name="LW_EMISSION_ISODATE" w:val="2021-07-20"/>
    <w:docVar w:name="LW_EMISSION_LOCATION" w:val="BRX"/>
    <w:docVar w:name="LW_EMISSION_PREFIX" w:val="Briuselis, "/>
    <w:docVar w:name="LW_EMISSION_SUFFIX" w:val=" "/>
    <w:docVar w:name="LW_ID_DOCTYPE_NONLW" w:val="CP-025"/>
    <w:docVar w:name="LW_LANGUE" w:val="LT"/>
    <w:docVar w:name="LW_LEVEL_OF_SENSITIVITY" w:val="Standard treatment"/>
    <w:docVar w:name="LW_NOM.INST" w:val="EUROPOS KOMISIJA"/>
    <w:docVar w:name="LW_NOM.INST_JOINTDOC" w:val="&lt;EMPTY&gt;"/>
    <w:docVar w:name="LW_OBJETACTEPRINCIPAL.CP" w:val="2021\u8239?m. teisin\u279?s valstyb\u279?s principo taikymo ataskaita _x000b__x000b_Teisin\u279?s valstyb\u279?s principo taikymo pad\u279?tis Europos S\u261?jungoje] "/>
    <w:docVar w:name="LW_PART_NBR" w:val="1"/>
    <w:docVar w:name="LW_PART_NBR_TOTAL" w:val="1"/>
    <w:docVar w:name="LW_REF.INST.NEW" w:val="SWD"/>
    <w:docVar w:name="LW_REF.INST.NEW_ADOPTED" w:val="final"/>
    <w:docVar w:name="LW_REF.INST.NEW_TEXT" w:val="(2021) 72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2021 m. teisin\u279?s valstyb\u279?s principo taikymo ataskaita_x000d__x000d__x000d__x000d__x000b_\u352?alies skyrius: teisin\u279?s valstyb\u279?s principo taikymo pad\u279?tis Slov\u279?nijoje"/>
    <w:docVar w:name="LW_TYPE.DOC.CP" w:val="KOMISIJOS TARNYB\u370? DARBINIS DOKUMENTAS"/>
    <w:docVar w:name="LW_TYPEACTEPRINCIPAL.CP" w:val="[KOMISIJOS KOMUNIKATO EUROPOS PARLAMENTUI, TARYBAI, EUROPOS EKONOMIKOS IR SOCIALINI\u370? REIKAL\u370? KOMITETUI IR REGION\u370? KOMITETUI "/>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pPr>
      <w:keepNext/>
      <w:numPr>
        <w:numId w:val="4"/>
      </w:numPr>
      <w:outlineLvl w:val="0"/>
    </w:pPr>
    <w:rPr>
      <w:rFonts w:eastAsia="Times New Roman" w:cs="Times New Roman"/>
      <w:b/>
      <w:smallCaps/>
      <w:szCs w:val="24"/>
      <w:u w:val="single"/>
      <w:lang w:eastAsia="fr-FR"/>
    </w:rPr>
  </w:style>
  <w:style w:type="paragraph" w:styleId="Heading2">
    <w:name w:val="heading 2"/>
    <w:basedOn w:val="Normal"/>
    <w:next w:val="Normal"/>
    <w:link w:val="Heading2Char"/>
    <w:uiPriority w:val="9"/>
    <w:unhideWhenUsed/>
    <w:qFormat/>
    <w:pPr>
      <w:keepNext/>
      <w:outlineLvl w:val="1"/>
    </w:pPr>
    <w:rPr>
      <w:rFonts w:eastAsia="Times New Roman" w:cs="Times New Roman"/>
      <w:b/>
      <w:szCs w:val="24"/>
      <w:lang w:eastAsia="en-GB"/>
    </w:rPr>
  </w:style>
  <w:style w:type="paragraph" w:styleId="Heading3">
    <w:name w:val="heading 3"/>
    <w:basedOn w:val="Normal"/>
    <w:next w:val="Normal"/>
    <w:link w:val="Heading3Char"/>
    <w:uiPriority w:val="9"/>
    <w:semiHidden/>
    <w:unhideWhenUsed/>
    <w:qFormat/>
    <w:pPr>
      <w:keepNext/>
      <w:keepLines/>
      <w:numPr>
        <w:ilvl w:val="2"/>
        <w:numId w:val="4"/>
      </w:numPr>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FootnoteText">
    <w:name w:val="footnote text"/>
    <w:aliases w:val="Footnote Text Char Char,Footnote text,Footnote Text Char2 Char,Footnote Text Char1 Char1 Char,Footnote Text Char2 Char Char Char,Footnote Text Char1 Char1 Char Char Char,Plonk,fn,fn Char Char,Fußnote,o,Footnote Text Char1 Char,Reference"/>
    <w:basedOn w:val="Normal"/>
    <w:link w:val="FootnoteTextChar"/>
    <w:uiPriority w:val="99"/>
    <w:unhideWhenUsed/>
    <w:pPr>
      <w:spacing w:after="0"/>
      <w:ind w:left="284" w:hanging="284"/>
    </w:pPr>
    <w:rPr>
      <w:sz w:val="20"/>
      <w:szCs w:val="20"/>
    </w:rPr>
  </w:style>
  <w:style w:type="character" w:customStyle="1" w:styleId="FootnoteTextChar">
    <w:name w:val="Footnote Text Char"/>
    <w:aliases w:val="Footnote Text Char Char Char,Footnote text Char,Footnote Text Char2 Char Char,Footnote Text Char1 Char1 Char Char,Footnote Text Char2 Char Char Char Char,Footnote Text Char1 Char1 Char Char Char Char,Plonk Char,fn Char,Fußnote Char"/>
    <w:basedOn w:val="DefaultParagraphFont"/>
    <w:link w:val="FootnoteText"/>
    <w:uiPriority w:val="99"/>
    <w:rPr>
      <w:rFonts w:ascii="Times New Roman" w:hAnsi="Times New Roman"/>
      <w:sz w:val="20"/>
      <w:szCs w:val="20"/>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otnoteReference">
    <w:name w:val="footnote reference"/>
    <w:aliases w:val="Przypis,BVI fnr,SUPERS,Footnote symbol,(Footnote Reference),Footnote,Voetnootverwijzing,Times 10 Point,Exposant 3 Point,Footnote reference number,note TESI,Odwołanie przypisu,Footnote Reference Number,Footnote Reference_LVL6,Fussnota"/>
    <w:basedOn w:val="DefaultParagraphFont"/>
    <w:link w:val="ftrefCharCharCharCharCharCharCharCharChar"/>
    <w:uiPriority w:val="99"/>
    <w:unhideWhenUsed/>
    <w:qFormat/>
    <w:rPr>
      <w:vertAlign w:val="superscript"/>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table" w:customStyle="1" w:styleId="GridTable7Colorful-Accent61">
    <w:name w:val="Grid Table 7 Colorful - Accent 61"/>
    <w:basedOn w:val="TableNormal"/>
    <w:uiPriority w:val="5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4"/>
      <w:szCs w:val="24"/>
      <w:u w:val="single"/>
      <w:lang w:val="lt-LT" w:eastAsia="fr-FR"/>
    </w:rPr>
  </w:style>
  <w:style w:type="character" w:customStyle="1" w:styleId="Heading2Char">
    <w:name w:val="Heading 2 Char"/>
    <w:basedOn w:val="DefaultParagraphFont"/>
    <w:link w:val="Heading2"/>
    <w:uiPriority w:val="9"/>
    <w:rPr>
      <w:rFonts w:ascii="Times New Roman" w:eastAsia="Times New Roman" w:hAnsi="Times New Roman" w:cs="Times New Roman"/>
      <w:b/>
      <w:sz w:val="24"/>
      <w:szCs w:val="24"/>
      <w:lang w:val="lt-LT" w:eastAsia="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customStyle="1" w:styleId="FootnoteRoLReport">
    <w:name w:val="Footnote RoL Report"/>
    <w:basedOn w:val="FootnoteText"/>
    <w:link w:val="FootnoteRoLReportChar"/>
    <w:autoRedefine/>
    <w:qFormat/>
    <w:pPr>
      <w:outlineLvl w:val="0"/>
    </w:pPr>
  </w:style>
  <w:style w:type="character" w:customStyle="1" w:styleId="FootnoteRoLReportChar">
    <w:name w:val="Footnote RoL Report Char"/>
    <w:basedOn w:val="FootnoteTextChar"/>
    <w:link w:val="FootnoteRoLReport"/>
    <w:rPr>
      <w:rFonts w:ascii="Times New Roman" w:hAnsi="Times New Roman"/>
      <w:sz w:val="20"/>
      <w:szCs w:val="20"/>
    </w:rPr>
  </w:style>
  <w:style w:type="paragraph" w:styleId="ListParagraph">
    <w:name w:val="List Paragraph"/>
    <w:basedOn w:val="Normal"/>
    <w:uiPriority w:val="34"/>
    <w:qFormat/>
    <w:pPr>
      <w:spacing w:after="0"/>
      <w:ind w:left="720"/>
      <w:jc w:val="left"/>
    </w:pPr>
    <w:rPr>
      <w:rFonts w:ascii="Calibri" w:hAnsi="Calibri" w:cs="Calibri"/>
      <w:sz w:val="22"/>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pPr>
      <w:spacing w:after="160" w:line="240" w:lineRule="exact"/>
    </w:pPr>
    <w:rPr>
      <w:rFonts w:asciiTheme="minorHAnsi" w:hAnsiTheme="minorHAnsi"/>
      <w:sz w:val="22"/>
      <w:vertAlign w:val="superscript"/>
    </w:rPr>
  </w:style>
  <w:style w:type="character" w:styleId="Hyperlink">
    <w:name w:val="Hyperlink"/>
    <w:basedOn w:val="DefaultParagraphFont"/>
    <w:uiPriority w:val="99"/>
    <w:unhideWhenUsed/>
    <w:rPr>
      <w:color w:val="0563C1" w:themeColor="hyperlink"/>
      <w:u w:val="single"/>
    </w:rPr>
  </w:style>
  <w:style w:type="character" w:customStyle="1" w:styleId="normaltextrun">
    <w:name w:val="normaltextrun"/>
    <w:basedOn w:val="DefaultParagraphFont"/>
  </w:style>
  <w:style w:type="paragraph" w:styleId="NoSpacing">
    <w:name w:val="No Spacing"/>
    <w:uiPriority w:val="1"/>
    <w:qFormat/>
    <w:pPr>
      <w:spacing w:after="0" w:line="240" w:lineRule="auto"/>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Revision">
    <w:name w:val="Revision"/>
    <w:hidden/>
    <w:uiPriority w:val="99"/>
    <w:semiHidden/>
    <w:pPr>
      <w:spacing w:after="0" w:line="240" w:lineRule="auto"/>
    </w:pPr>
    <w:rPr>
      <w:rFonts w:ascii="Times New Roman" w:hAnsi="Times New Roman"/>
      <w:sz w:val="24"/>
    </w:rPr>
  </w:style>
  <w:style w:type="character" w:customStyle="1" w:styleId="eop">
    <w:name w:val="eop"/>
    <w:basedOn w:val="DefaultParagraphFont"/>
  </w:style>
  <w:style w:type="character" w:customStyle="1" w:styleId="jlqj4b">
    <w:name w:val="jlqj4b"/>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cs="Times New Roman"/>
    </w:rPr>
  </w:style>
  <w:style w:type="paragraph" w:customStyle="1" w:styleId="FooterCoverPage">
    <w:name w:val="Footer Cover Page"/>
    <w:basedOn w:val="Normal"/>
    <w:link w:val="FooterCoverPageChar"/>
    <w:pPr>
      <w:pBdr>
        <w:top w:val="single" w:sz="4" w:space="1" w:color="auto"/>
        <w:left w:val="single" w:sz="4" w:space="4" w:color="auto"/>
        <w:bottom w:val="single" w:sz="4" w:space="1" w:color="auto"/>
        <w:right w:val="single" w:sz="4" w:space="4" w:color="auto"/>
      </w:pBd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pBdr>
        <w:top w:val="single" w:sz="4" w:space="1" w:color="auto"/>
        <w:left w:val="single" w:sz="4" w:space="4" w:color="auto"/>
        <w:bottom w:val="single" w:sz="4" w:space="1" w:color="auto"/>
        <w:right w:val="single" w:sz="4" w:space="4" w:color="auto"/>
      </w:pBd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sz w:val="28"/>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cs="Times New Roman"/>
    </w:rPr>
  </w:style>
  <w:style w:type="paragraph" w:customStyle="1" w:styleId="SecurityMarking">
    <w:name w:val="SecurityMarking"/>
    <w:basedOn w:val="Normal"/>
    <w:pPr>
      <w:spacing w:after="0" w:line="276" w:lineRule="auto"/>
      <w:ind w:left="5103"/>
      <w:jc w:val="left"/>
    </w:pPr>
    <w:rPr>
      <w:rFonts w:cs="Times New Roman"/>
      <w:sz w:val="28"/>
    </w:rPr>
  </w:style>
  <w:style w:type="paragraph" w:customStyle="1" w:styleId="DateMarking">
    <w:name w:val="DateMarking"/>
    <w:basedOn w:val="Normal"/>
    <w:pPr>
      <w:spacing w:after="0" w:line="276" w:lineRule="auto"/>
      <w:ind w:left="5103"/>
      <w:jc w:val="left"/>
    </w:pPr>
    <w:rPr>
      <w:rFonts w:cs="Times New Roman"/>
      <w:i/>
      <w:sz w:val="28"/>
    </w:rPr>
  </w:style>
  <w:style w:type="paragraph" w:customStyle="1" w:styleId="ReleasableTo">
    <w:name w:val="ReleasableTo"/>
    <w:basedOn w:val="Normal"/>
    <w:pPr>
      <w:spacing w:after="0" w:line="276" w:lineRule="auto"/>
      <w:ind w:left="5103"/>
      <w:jc w:val="left"/>
    </w:pPr>
    <w:rPr>
      <w:rFonts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pPr>
      <w:keepNext/>
      <w:numPr>
        <w:numId w:val="4"/>
      </w:numPr>
      <w:outlineLvl w:val="0"/>
    </w:pPr>
    <w:rPr>
      <w:rFonts w:eastAsia="Times New Roman" w:cs="Times New Roman"/>
      <w:b/>
      <w:smallCaps/>
      <w:szCs w:val="24"/>
      <w:u w:val="single"/>
      <w:lang w:eastAsia="fr-FR"/>
    </w:rPr>
  </w:style>
  <w:style w:type="paragraph" w:styleId="Heading2">
    <w:name w:val="heading 2"/>
    <w:basedOn w:val="Normal"/>
    <w:next w:val="Normal"/>
    <w:link w:val="Heading2Char"/>
    <w:uiPriority w:val="9"/>
    <w:unhideWhenUsed/>
    <w:qFormat/>
    <w:pPr>
      <w:keepNext/>
      <w:outlineLvl w:val="1"/>
    </w:pPr>
    <w:rPr>
      <w:rFonts w:eastAsia="Times New Roman" w:cs="Times New Roman"/>
      <w:b/>
      <w:szCs w:val="24"/>
      <w:lang w:eastAsia="en-GB"/>
    </w:rPr>
  </w:style>
  <w:style w:type="paragraph" w:styleId="Heading3">
    <w:name w:val="heading 3"/>
    <w:basedOn w:val="Normal"/>
    <w:next w:val="Normal"/>
    <w:link w:val="Heading3Char"/>
    <w:uiPriority w:val="9"/>
    <w:semiHidden/>
    <w:unhideWhenUsed/>
    <w:qFormat/>
    <w:pPr>
      <w:keepNext/>
      <w:keepLines/>
      <w:numPr>
        <w:ilvl w:val="2"/>
        <w:numId w:val="4"/>
      </w:numPr>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pPr>
      <w:keepNext/>
      <w:keepLines/>
      <w:numPr>
        <w:ilvl w:val="3"/>
        <w:numId w:val="4"/>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4"/>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FootnoteText">
    <w:name w:val="footnote text"/>
    <w:aliases w:val="Footnote Text Char Char,Footnote text,Footnote Text Char2 Char,Footnote Text Char1 Char1 Char,Footnote Text Char2 Char Char Char,Footnote Text Char1 Char1 Char Char Char,Plonk,fn,fn Char Char,Fußnote,o,Footnote Text Char1 Char,Reference"/>
    <w:basedOn w:val="Normal"/>
    <w:link w:val="FootnoteTextChar"/>
    <w:uiPriority w:val="99"/>
    <w:unhideWhenUsed/>
    <w:pPr>
      <w:spacing w:after="0"/>
      <w:ind w:left="284" w:hanging="284"/>
    </w:pPr>
    <w:rPr>
      <w:sz w:val="20"/>
      <w:szCs w:val="20"/>
    </w:rPr>
  </w:style>
  <w:style w:type="character" w:customStyle="1" w:styleId="FootnoteTextChar">
    <w:name w:val="Footnote Text Char"/>
    <w:aliases w:val="Footnote Text Char Char Char,Footnote text Char,Footnote Text Char2 Char Char,Footnote Text Char1 Char1 Char Char,Footnote Text Char2 Char Char Char Char,Footnote Text Char1 Char1 Char Char Char Char,Plonk Char,fn Char,Fußnote Char"/>
    <w:basedOn w:val="DefaultParagraphFont"/>
    <w:link w:val="FootnoteText"/>
    <w:uiPriority w:val="99"/>
    <w:rPr>
      <w:rFonts w:ascii="Times New Roman" w:hAnsi="Times New Roman"/>
      <w:sz w:val="20"/>
      <w:szCs w:val="20"/>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otnoteReference">
    <w:name w:val="footnote reference"/>
    <w:aliases w:val="Przypis,BVI fnr,SUPERS,Footnote symbol,(Footnote Reference),Footnote,Voetnootverwijzing,Times 10 Point,Exposant 3 Point,Footnote reference number,note TESI,Odwołanie przypisu,Footnote Reference Number,Footnote Reference_LVL6,Fussnota"/>
    <w:basedOn w:val="DefaultParagraphFont"/>
    <w:link w:val="ftrefCharCharCharCharCharCharCharCharChar"/>
    <w:uiPriority w:val="99"/>
    <w:unhideWhenUsed/>
    <w:qFormat/>
    <w:rPr>
      <w:vertAlign w:val="superscript"/>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table" w:customStyle="1" w:styleId="GridTable7Colorful-Accent61">
    <w:name w:val="Grid Table 7 Colorful - Accent 61"/>
    <w:basedOn w:val="TableNormal"/>
    <w:uiPriority w:val="5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4"/>
      <w:szCs w:val="24"/>
      <w:u w:val="single"/>
      <w:lang w:val="lt-LT" w:eastAsia="fr-FR"/>
    </w:rPr>
  </w:style>
  <w:style w:type="character" w:customStyle="1" w:styleId="Heading2Char">
    <w:name w:val="Heading 2 Char"/>
    <w:basedOn w:val="DefaultParagraphFont"/>
    <w:link w:val="Heading2"/>
    <w:uiPriority w:val="9"/>
    <w:rPr>
      <w:rFonts w:ascii="Times New Roman" w:eastAsia="Times New Roman" w:hAnsi="Times New Roman" w:cs="Times New Roman"/>
      <w:b/>
      <w:sz w:val="24"/>
      <w:szCs w:val="24"/>
      <w:lang w:val="lt-LT" w:eastAsia="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customStyle="1" w:styleId="FootnoteRoLReport">
    <w:name w:val="Footnote RoL Report"/>
    <w:basedOn w:val="FootnoteText"/>
    <w:link w:val="FootnoteRoLReportChar"/>
    <w:autoRedefine/>
    <w:qFormat/>
    <w:pPr>
      <w:outlineLvl w:val="0"/>
    </w:pPr>
  </w:style>
  <w:style w:type="character" w:customStyle="1" w:styleId="FootnoteRoLReportChar">
    <w:name w:val="Footnote RoL Report Char"/>
    <w:basedOn w:val="FootnoteTextChar"/>
    <w:link w:val="FootnoteRoLReport"/>
    <w:rPr>
      <w:rFonts w:ascii="Times New Roman" w:hAnsi="Times New Roman"/>
      <w:sz w:val="20"/>
      <w:szCs w:val="20"/>
    </w:rPr>
  </w:style>
  <w:style w:type="paragraph" w:styleId="ListParagraph">
    <w:name w:val="List Paragraph"/>
    <w:basedOn w:val="Normal"/>
    <w:uiPriority w:val="34"/>
    <w:qFormat/>
    <w:pPr>
      <w:spacing w:after="0"/>
      <w:ind w:left="720"/>
      <w:jc w:val="left"/>
    </w:pPr>
    <w:rPr>
      <w:rFonts w:ascii="Calibri" w:hAnsi="Calibri" w:cs="Calibri"/>
      <w:sz w:val="22"/>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pPr>
      <w:spacing w:after="160" w:line="240" w:lineRule="exact"/>
    </w:pPr>
    <w:rPr>
      <w:rFonts w:asciiTheme="minorHAnsi" w:hAnsiTheme="minorHAnsi"/>
      <w:sz w:val="22"/>
      <w:vertAlign w:val="superscript"/>
    </w:rPr>
  </w:style>
  <w:style w:type="character" w:styleId="Hyperlink">
    <w:name w:val="Hyperlink"/>
    <w:basedOn w:val="DefaultParagraphFont"/>
    <w:uiPriority w:val="99"/>
    <w:unhideWhenUsed/>
    <w:rPr>
      <w:color w:val="0563C1" w:themeColor="hyperlink"/>
      <w:u w:val="single"/>
    </w:rPr>
  </w:style>
  <w:style w:type="character" w:customStyle="1" w:styleId="normaltextrun">
    <w:name w:val="normaltextrun"/>
    <w:basedOn w:val="DefaultParagraphFont"/>
  </w:style>
  <w:style w:type="paragraph" w:styleId="NoSpacing">
    <w:name w:val="No Spacing"/>
    <w:uiPriority w:val="1"/>
    <w:qFormat/>
    <w:pPr>
      <w:spacing w:after="0" w:line="240" w:lineRule="auto"/>
    </w:p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Revision">
    <w:name w:val="Revision"/>
    <w:hidden/>
    <w:uiPriority w:val="99"/>
    <w:semiHidden/>
    <w:pPr>
      <w:spacing w:after="0" w:line="240" w:lineRule="auto"/>
    </w:pPr>
    <w:rPr>
      <w:rFonts w:ascii="Times New Roman" w:hAnsi="Times New Roman"/>
      <w:sz w:val="24"/>
    </w:rPr>
  </w:style>
  <w:style w:type="character" w:customStyle="1" w:styleId="eop">
    <w:name w:val="eop"/>
    <w:basedOn w:val="DefaultParagraphFont"/>
  </w:style>
  <w:style w:type="character" w:customStyle="1" w:styleId="jlqj4b">
    <w:name w:val="jlqj4b"/>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cs="Times New Roman"/>
    </w:rPr>
  </w:style>
  <w:style w:type="paragraph" w:customStyle="1" w:styleId="FooterCoverPage">
    <w:name w:val="Footer Cover Page"/>
    <w:basedOn w:val="Normal"/>
    <w:link w:val="FooterCoverPageChar"/>
    <w:pPr>
      <w:pBdr>
        <w:top w:val="single" w:sz="4" w:space="1" w:color="auto"/>
        <w:left w:val="single" w:sz="4" w:space="4" w:color="auto"/>
        <w:bottom w:val="single" w:sz="4" w:space="1" w:color="auto"/>
        <w:right w:val="single" w:sz="4" w:space="4" w:color="auto"/>
      </w:pBd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pBdr>
        <w:top w:val="single" w:sz="4" w:space="1" w:color="auto"/>
        <w:left w:val="single" w:sz="4" w:space="4" w:color="auto"/>
        <w:bottom w:val="single" w:sz="4" w:space="1" w:color="auto"/>
        <w:right w:val="single" w:sz="4" w:space="4" w:color="auto"/>
      </w:pBd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sz w:val="28"/>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cs="Times New Roman"/>
    </w:rPr>
  </w:style>
  <w:style w:type="paragraph" w:customStyle="1" w:styleId="SecurityMarking">
    <w:name w:val="SecurityMarking"/>
    <w:basedOn w:val="Normal"/>
    <w:pPr>
      <w:spacing w:after="0" w:line="276" w:lineRule="auto"/>
      <w:ind w:left="5103"/>
      <w:jc w:val="left"/>
    </w:pPr>
    <w:rPr>
      <w:rFonts w:cs="Times New Roman"/>
      <w:sz w:val="28"/>
    </w:rPr>
  </w:style>
  <w:style w:type="paragraph" w:customStyle="1" w:styleId="DateMarking">
    <w:name w:val="DateMarking"/>
    <w:basedOn w:val="Normal"/>
    <w:pPr>
      <w:spacing w:after="0" w:line="276" w:lineRule="auto"/>
      <w:ind w:left="5103"/>
      <w:jc w:val="left"/>
    </w:pPr>
    <w:rPr>
      <w:rFonts w:cs="Times New Roman"/>
      <w:i/>
      <w:sz w:val="28"/>
    </w:rPr>
  </w:style>
  <w:style w:type="paragraph" w:customStyle="1" w:styleId="ReleasableTo">
    <w:name w:val="ReleasableTo"/>
    <w:basedOn w:val="Normal"/>
    <w:pPr>
      <w:spacing w:after="0" w:line="276" w:lineRule="auto"/>
      <w:ind w:left="5103"/>
      <w:jc w:val="left"/>
    </w:pPr>
    <w:rPr>
      <w:rFonts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79223">
      <w:bodyDiv w:val="1"/>
      <w:marLeft w:val="0"/>
      <w:marRight w:val="0"/>
      <w:marTop w:val="0"/>
      <w:marBottom w:val="0"/>
      <w:divBdr>
        <w:top w:val="none" w:sz="0" w:space="0" w:color="auto"/>
        <w:left w:val="none" w:sz="0" w:space="0" w:color="auto"/>
        <w:bottom w:val="none" w:sz="0" w:space="0" w:color="auto"/>
        <w:right w:val="none" w:sz="0" w:space="0" w:color="auto"/>
      </w:divBdr>
    </w:div>
    <w:div w:id="121769276">
      <w:bodyDiv w:val="1"/>
      <w:marLeft w:val="0"/>
      <w:marRight w:val="0"/>
      <w:marTop w:val="0"/>
      <w:marBottom w:val="0"/>
      <w:divBdr>
        <w:top w:val="none" w:sz="0" w:space="0" w:color="auto"/>
        <w:left w:val="none" w:sz="0" w:space="0" w:color="auto"/>
        <w:bottom w:val="none" w:sz="0" w:space="0" w:color="auto"/>
        <w:right w:val="none" w:sz="0" w:space="0" w:color="auto"/>
      </w:divBdr>
    </w:div>
    <w:div w:id="159738631">
      <w:bodyDiv w:val="1"/>
      <w:marLeft w:val="0"/>
      <w:marRight w:val="0"/>
      <w:marTop w:val="0"/>
      <w:marBottom w:val="0"/>
      <w:divBdr>
        <w:top w:val="none" w:sz="0" w:space="0" w:color="auto"/>
        <w:left w:val="none" w:sz="0" w:space="0" w:color="auto"/>
        <w:bottom w:val="none" w:sz="0" w:space="0" w:color="auto"/>
        <w:right w:val="none" w:sz="0" w:space="0" w:color="auto"/>
      </w:divBdr>
    </w:div>
    <w:div w:id="291012010">
      <w:bodyDiv w:val="1"/>
      <w:marLeft w:val="0"/>
      <w:marRight w:val="0"/>
      <w:marTop w:val="0"/>
      <w:marBottom w:val="0"/>
      <w:divBdr>
        <w:top w:val="none" w:sz="0" w:space="0" w:color="auto"/>
        <w:left w:val="none" w:sz="0" w:space="0" w:color="auto"/>
        <w:bottom w:val="none" w:sz="0" w:space="0" w:color="auto"/>
        <w:right w:val="none" w:sz="0" w:space="0" w:color="auto"/>
      </w:divBdr>
    </w:div>
    <w:div w:id="367531986">
      <w:bodyDiv w:val="1"/>
      <w:marLeft w:val="0"/>
      <w:marRight w:val="0"/>
      <w:marTop w:val="0"/>
      <w:marBottom w:val="0"/>
      <w:divBdr>
        <w:top w:val="none" w:sz="0" w:space="0" w:color="auto"/>
        <w:left w:val="none" w:sz="0" w:space="0" w:color="auto"/>
        <w:bottom w:val="none" w:sz="0" w:space="0" w:color="auto"/>
        <w:right w:val="none" w:sz="0" w:space="0" w:color="auto"/>
      </w:divBdr>
    </w:div>
    <w:div w:id="485588077">
      <w:bodyDiv w:val="1"/>
      <w:marLeft w:val="0"/>
      <w:marRight w:val="0"/>
      <w:marTop w:val="0"/>
      <w:marBottom w:val="0"/>
      <w:divBdr>
        <w:top w:val="none" w:sz="0" w:space="0" w:color="auto"/>
        <w:left w:val="none" w:sz="0" w:space="0" w:color="auto"/>
        <w:bottom w:val="none" w:sz="0" w:space="0" w:color="auto"/>
        <w:right w:val="none" w:sz="0" w:space="0" w:color="auto"/>
      </w:divBdr>
    </w:div>
    <w:div w:id="563948987">
      <w:bodyDiv w:val="1"/>
      <w:marLeft w:val="0"/>
      <w:marRight w:val="0"/>
      <w:marTop w:val="0"/>
      <w:marBottom w:val="0"/>
      <w:divBdr>
        <w:top w:val="none" w:sz="0" w:space="0" w:color="auto"/>
        <w:left w:val="none" w:sz="0" w:space="0" w:color="auto"/>
        <w:bottom w:val="none" w:sz="0" w:space="0" w:color="auto"/>
        <w:right w:val="none" w:sz="0" w:space="0" w:color="auto"/>
      </w:divBdr>
    </w:div>
    <w:div w:id="663777842">
      <w:bodyDiv w:val="1"/>
      <w:marLeft w:val="0"/>
      <w:marRight w:val="0"/>
      <w:marTop w:val="0"/>
      <w:marBottom w:val="0"/>
      <w:divBdr>
        <w:top w:val="none" w:sz="0" w:space="0" w:color="auto"/>
        <w:left w:val="none" w:sz="0" w:space="0" w:color="auto"/>
        <w:bottom w:val="none" w:sz="0" w:space="0" w:color="auto"/>
        <w:right w:val="none" w:sz="0" w:space="0" w:color="auto"/>
      </w:divBdr>
    </w:div>
    <w:div w:id="713383313">
      <w:bodyDiv w:val="1"/>
      <w:marLeft w:val="0"/>
      <w:marRight w:val="0"/>
      <w:marTop w:val="0"/>
      <w:marBottom w:val="0"/>
      <w:divBdr>
        <w:top w:val="none" w:sz="0" w:space="0" w:color="auto"/>
        <w:left w:val="none" w:sz="0" w:space="0" w:color="auto"/>
        <w:bottom w:val="none" w:sz="0" w:space="0" w:color="auto"/>
        <w:right w:val="none" w:sz="0" w:space="0" w:color="auto"/>
      </w:divBdr>
    </w:div>
    <w:div w:id="766387270">
      <w:bodyDiv w:val="1"/>
      <w:marLeft w:val="0"/>
      <w:marRight w:val="0"/>
      <w:marTop w:val="0"/>
      <w:marBottom w:val="0"/>
      <w:divBdr>
        <w:top w:val="none" w:sz="0" w:space="0" w:color="auto"/>
        <w:left w:val="none" w:sz="0" w:space="0" w:color="auto"/>
        <w:bottom w:val="none" w:sz="0" w:space="0" w:color="auto"/>
        <w:right w:val="none" w:sz="0" w:space="0" w:color="auto"/>
      </w:divBdr>
    </w:div>
    <w:div w:id="889994069">
      <w:bodyDiv w:val="1"/>
      <w:marLeft w:val="0"/>
      <w:marRight w:val="0"/>
      <w:marTop w:val="0"/>
      <w:marBottom w:val="0"/>
      <w:divBdr>
        <w:top w:val="none" w:sz="0" w:space="0" w:color="auto"/>
        <w:left w:val="none" w:sz="0" w:space="0" w:color="auto"/>
        <w:bottom w:val="none" w:sz="0" w:space="0" w:color="auto"/>
        <w:right w:val="none" w:sz="0" w:space="0" w:color="auto"/>
      </w:divBdr>
    </w:div>
    <w:div w:id="941914745">
      <w:bodyDiv w:val="1"/>
      <w:marLeft w:val="0"/>
      <w:marRight w:val="0"/>
      <w:marTop w:val="0"/>
      <w:marBottom w:val="0"/>
      <w:divBdr>
        <w:top w:val="none" w:sz="0" w:space="0" w:color="auto"/>
        <w:left w:val="none" w:sz="0" w:space="0" w:color="auto"/>
        <w:bottom w:val="none" w:sz="0" w:space="0" w:color="auto"/>
        <w:right w:val="none" w:sz="0" w:space="0" w:color="auto"/>
      </w:divBdr>
    </w:div>
    <w:div w:id="984621720">
      <w:bodyDiv w:val="1"/>
      <w:marLeft w:val="0"/>
      <w:marRight w:val="0"/>
      <w:marTop w:val="0"/>
      <w:marBottom w:val="0"/>
      <w:divBdr>
        <w:top w:val="none" w:sz="0" w:space="0" w:color="auto"/>
        <w:left w:val="none" w:sz="0" w:space="0" w:color="auto"/>
        <w:bottom w:val="none" w:sz="0" w:space="0" w:color="auto"/>
        <w:right w:val="none" w:sz="0" w:space="0" w:color="auto"/>
      </w:divBdr>
    </w:div>
    <w:div w:id="1525443508">
      <w:bodyDiv w:val="1"/>
      <w:marLeft w:val="0"/>
      <w:marRight w:val="0"/>
      <w:marTop w:val="0"/>
      <w:marBottom w:val="0"/>
      <w:divBdr>
        <w:top w:val="none" w:sz="0" w:space="0" w:color="auto"/>
        <w:left w:val="none" w:sz="0" w:space="0" w:color="auto"/>
        <w:bottom w:val="none" w:sz="0" w:space="0" w:color="auto"/>
        <w:right w:val="none" w:sz="0" w:space="0" w:color="auto"/>
      </w:divBdr>
    </w:div>
    <w:div w:id="1576477580">
      <w:bodyDiv w:val="1"/>
      <w:marLeft w:val="0"/>
      <w:marRight w:val="0"/>
      <w:marTop w:val="0"/>
      <w:marBottom w:val="0"/>
      <w:divBdr>
        <w:top w:val="none" w:sz="0" w:space="0" w:color="auto"/>
        <w:left w:val="none" w:sz="0" w:space="0" w:color="auto"/>
        <w:bottom w:val="none" w:sz="0" w:space="0" w:color="auto"/>
        <w:right w:val="none" w:sz="0" w:space="0" w:color="auto"/>
      </w:divBdr>
    </w:div>
    <w:div w:id="1611164694">
      <w:bodyDiv w:val="1"/>
      <w:marLeft w:val="0"/>
      <w:marRight w:val="0"/>
      <w:marTop w:val="0"/>
      <w:marBottom w:val="0"/>
      <w:divBdr>
        <w:top w:val="none" w:sz="0" w:space="0" w:color="auto"/>
        <w:left w:val="none" w:sz="0" w:space="0" w:color="auto"/>
        <w:bottom w:val="none" w:sz="0" w:space="0" w:color="auto"/>
        <w:right w:val="none" w:sz="0" w:space="0" w:color="auto"/>
      </w:divBdr>
    </w:div>
    <w:div w:id="1653752610">
      <w:bodyDiv w:val="1"/>
      <w:marLeft w:val="0"/>
      <w:marRight w:val="0"/>
      <w:marTop w:val="0"/>
      <w:marBottom w:val="0"/>
      <w:divBdr>
        <w:top w:val="none" w:sz="0" w:space="0" w:color="auto"/>
        <w:left w:val="none" w:sz="0" w:space="0" w:color="auto"/>
        <w:bottom w:val="none" w:sz="0" w:space="0" w:color="auto"/>
        <w:right w:val="none" w:sz="0" w:space="0" w:color="auto"/>
      </w:divBdr>
    </w:div>
    <w:div w:id="1810857138">
      <w:bodyDiv w:val="1"/>
      <w:marLeft w:val="0"/>
      <w:marRight w:val="0"/>
      <w:marTop w:val="0"/>
      <w:marBottom w:val="0"/>
      <w:divBdr>
        <w:top w:val="none" w:sz="0" w:space="0" w:color="auto"/>
        <w:left w:val="none" w:sz="0" w:space="0" w:color="auto"/>
        <w:bottom w:val="none" w:sz="0" w:space="0" w:color="auto"/>
        <w:right w:val="none" w:sz="0" w:space="0" w:color="auto"/>
      </w:divBdr>
    </w:div>
    <w:div w:id="1824270774">
      <w:bodyDiv w:val="1"/>
      <w:marLeft w:val="0"/>
      <w:marRight w:val="0"/>
      <w:marTop w:val="0"/>
      <w:marBottom w:val="0"/>
      <w:divBdr>
        <w:top w:val="none" w:sz="0" w:space="0" w:color="auto"/>
        <w:left w:val="none" w:sz="0" w:space="0" w:color="auto"/>
        <w:bottom w:val="none" w:sz="0" w:space="0" w:color="auto"/>
        <w:right w:val="none" w:sz="0" w:space="0" w:color="auto"/>
      </w:divBdr>
    </w:div>
    <w:div w:id="1989745141">
      <w:bodyDiv w:val="1"/>
      <w:marLeft w:val="0"/>
      <w:marRight w:val="0"/>
      <w:marTop w:val="0"/>
      <w:marBottom w:val="0"/>
      <w:divBdr>
        <w:top w:val="none" w:sz="0" w:space="0" w:color="auto"/>
        <w:left w:val="none" w:sz="0" w:space="0" w:color="auto"/>
        <w:bottom w:val="none" w:sz="0" w:space="0" w:color="auto"/>
        <w:right w:val="none" w:sz="0" w:space="0" w:color="auto"/>
      </w:divBdr>
    </w:div>
    <w:div w:id="209500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uradni-list.si/glasilo-uradni-list-rs/vsebina/2021-01-1842?sop=2021-01-1842" TargetMode="External"/><Relationship Id="rId26" Type="http://schemas.openxmlformats.org/officeDocument/2006/relationships/hyperlink" Target="http://www.oecd.org/daf/anti-bribery/slovenia-phase-4-report-en.pdf" TargetMode="External"/><Relationship Id="rId39" Type="http://schemas.openxmlformats.org/officeDocument/2006/relationships/hyperlink" Target="http://www.dkom.si/mma/Letno%20poro&#269;ilo%20za%20leto%202020/2021040811011009/" TargetMode="External"/><Relationship Id="rId21" Type="http://schemas.openxmlformats.org/officeDocument/2006/relationships/hyperlink" Target="https://www.rs-rs.si/o-racunskem-sodiscu/institucija/porocila-o-delu/porocilo-o-delu/porocilo-o-delu-2020/" TargetMode="External"/><Relationship Id="rId34" Type="http://schemas.openxmlformats.org/officeDocument/2006/relationships/hyperlink" Target="https://www.us-rs.si/wp-content/uploads/2021/04/RSUS_LetnoPorocilo_2020.pdf" TargetMode="External"/><Relationship Id="rId42" Type="http://schemas.openxmlformats.org/officeDocument/2006/relationships/hyperlink" Target="https://podcrto.si/povzetek-preiskave-mladina-kot-primer-ranljivosti-medijev-v-sloveniji/" TargetMode="External"/><Relationship Id="rId47" Type="http://schemas.openxmlformats.org/officeDocument/2006/relationships/hyperlink" Target="https://www.dz-rs.si/wps/portal/en/Home/AboutNA/PoliticalSystem/CodeEthics/!ut/p/z1/04_Sj9CPykssy0xPLMnMz0vMAfIjo8zivSy9Hb283Q0N3E3dLQwCQ7z9g7w8nNxDncz1w8EKnPyCTD3BCrycTAwCjf19nYLMgwwNA030o4jRj0cBSL8BDuBooF-QGxoKAP2akyc!/dz/d5/L2dBISEvZ0FBIS9nQSEh/" TargetMode="External"/><Relationship Id="rId50" Type="http://schemas.openxmlformats.org/officeDocument/2006/relationships/hyperlink" Target="https://www.policija.si/medijsko-sredisce/sporocila-za-javnost/sporocila-za-javnost-gpue/106125-vodenje-nacionalnega-preiskovalnega-urada-prevzela-petra-grah-lazar" TargetMode="External"/><Relationship Id="rId55" Type="http://schemas.openxmlformats.org/officeDocument/2006/relationships/hyperlink" Target="https://www.dt-rs.si/novica/izjava-generalnega-drzavnega-tozilca-rs-v-zvezi-z-zapleti-ob-imenovanju-evropskih-delegiranih-tozilcev" TargetMode="External"/><Relationship Id="rId63" Type="http://schemas.openxmlformats.org/officeDocument/2006/relationships/footer" Target="footer4.xml"/><Relationship Id="rId68" Type="http://schemas.openxmlformats.org/officeDocument/2006/relationships/theme" Target="theme/theme1.xml"/><Relationship Id="rId7" Type="http://schemas.openxmlformats.org/officeDocument/2006/relationships/footnotes" Target="footnotes.xml"/><Relationship Id="rId71"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ec.europa.eu/info/policies/justice-and-fundamental-rights/upholding-rule-law/rule-law/rule-law-mechanism/2021-rule-law-report-targeted-stakeholder-consultation" TargetMode="External"/><Relationship Id="rId29" Type="http://schemas.openxmlformats.org/officeDocument/2006/relationships/hyperlink" Target="https://www.coe.int/en/web/media-freedom/-/coe-commissioner-for-human-rights-issues-a-human-rights-comment-on-slapp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monitor.civicus.org/country/slovenia/" TargetMode="External"/><Relationship Id="rId32" Type="http://schemas.openxmlformats.org/officeDocument/2006/relationships/hyperlink" Target="https://www.ecpmf.eu/letter-increasing-concerns-for-media-freedom-in-slovenia/" TargetMode="External"/><Relationship Id="rId37" Type="http://schemas.openxmlformats.org/officeDocument/2006/relationships/hyperlink" Target="https://www.kpk-rs.si/2021/05/24/odziv-komisije-na-neresnicne-navedbe-predsednika-vlade-rs/" TargetMode="External"/><Relationship Id="rId40" Type="http://schemas.openxmlformats.org/officeDocument/2006/relationships/hyperlink" Target="https://podcrto.si/obcinska-glasila-milijoni-evrov-javnega-denarja-za-promocijo-zupanov/" TargetMode="External"/><Relationship Id="rId45" Type="http://schemas.openxmlformats.org/officeDocument/2006/relationships/hyperlink" Target="https://www.rtvslo.si/slovenija/prvi-krsilec-poslanskega-eticnega-kodeksa-je-jani-ivanusa-sns-dobil-je-opomin/583591" TargetMode="External"/><Relationship Id="rId53" Type="http://schemas.openxmlformats.org/officeDocument/2006/relationships/hyperlink" Target="http://www.sodni-svet.si/images/stories/Kodeks_sodniske_etike_komentar_ang_sept_2017.pdf" TargetMode="External"/><Relationship Id="rId58" Type="http://schemas.openxmlformats.org/officeDocument/2006/relationships/hyperlink" Target="https://www.drzavnotozilski-svet.si/files/Sporocila%20za%20javnost/izjava_za_javnost_ponovni_javni_poziv_evropska_delegirana_tozilca.pdf" TargetMode="External"/><Relationship Id="rId66"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sodisce.si/mma_bin2.php?nid=2020111317045458&amp;static_id=2020111316572262" TargetMode="External"/><Relationship Id="rId28" Type="http://schemas.openxmlformats.org/officeDocument/2006/relationships/hyperlink" Target="https://www.eppo.europa.eu/sites/default/files/2021-04/2020.001-2021.017_Consolidated%20version-Conditions_of_employment_EDPs.pdf" TargetMode="External"/><Relationship Id="rId36" Type="http://schemas.openxmlformats.org/officeDocument/2006/relationships/hyperlink" Target="https://www.kpk-rs.si/2021/05/12/zakljucen-postopek-glede-opravljanja-dodatne-funkcije-predsednika-racunskega-sodisca/" TargetMode="External"/><Relationship Id="rId49" Type="http://schemas.openxmlformats.org/officeDocument/2006/relationships/hyperlink" Target="https://www.policija.si/medijsko-sredisce/sporocila-za-javnost/sporocila-za-javnost-gpue/105138-vodenje-nacionalnega-preiskovalnega-urada-prevzema-uros-leposa" TargetMode="External"/><Relationship Id="rId57" Type="http://schemas.openxmlformats.org/officeDocument/2006/relationships/hyperlink" Target="https://www.drzavnotozilski-svet.si/files/Sporocila%20za%20javnost/izjava_za_javnost_evropska_delegirana_tozilca.pdf" TargetMode="External"/><Relationship Id="rId61"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www.us-rs.si/documents/e8/cc/u-i-246-194.pdf" TargetMode="External"/><Relationship Id="rId31" Type="http://schemas.openxmlformats.org/officeDocument/2006/relationships/hyperlink" Target="https://www.eppo.europa.eu/en/news/european-chief-prosecutor-expresses-grave-concerns-letter-slovenian-minister-justice" TargetMode="External"/><Relationship Id="rId44" Type="http://schemas.openxmlformats.org/officeDocument/2006/relationships/hyperlink" Target="https://imss.dz-rs.si/IMiS/ImisAdmin.nsf/ImisnetAgent?OpenAgent&amp;2&amp;DZ-MSS-01/e06b8c22980ddbe01b50ba78e0ed0bfc78aa5c046805897db90c08a92ffc277a" TargetMode="External"/><Relationship Id="rId52" Type="http://schemas.openxmlformats.org/officeDocument/2006/relationships/hyperlink" Target="https://www.gov.si/novice/2020-04-21-vlada-sprejela-koncno-porocilo-o-izvajanju-programa-vlade-republike-slovenije-za-krepitev-integritete-in-transparentnosti-20172019/" TargetMode="External"/><Relationship Id="rId60" Type="http://schemas.openxmlformats.org/officeDocument/2006/relationships/hyperlink" Target="https://www.gov.si/assets/ministrstva/MK/Mediji/Raziskave/Raziskava-medijske-krajine.pdf" TargetMode="External"/><Relationship Id="rId65"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yperlink" Target="https://www.sodisce.si/vsrs/objave/2020102013485087/" TargetMode="External"/><Relationship Id="rId27" Type="http://schemas.openxmlformats.org/officeDocument/2006/relationships/hyperlink" Target="https://ec.europa.eu/commission/presscorner/detail/en/ip_21_2041" TargetMode="External"/><Relationship Id="rId30" Type="http://schemas.openxmlformats.org/officeDocument/2006/relationships/hyperlink" Target="https://rm.coe.int/memorandum-on-freedom-of-expression-and-media-freedom-in-slovenia/1680a2ae85" TargetMode="External"/><Relationship Id="rId35" Type="http://schemas.openxmlformats.org/officeDocument/2006/relationships/hyperlink" Target="https://www.kpk-rs.si/kpk/wp-content/uploads/2021/05/LP2020K.pdf" TargetMode="External"/><Relationship Id="rId43" Type="http://schemas.openxmlformats.org/officeDocument/2006/relationships/hyperlink" Target="https://www.up-rs.si/up-rs/uprs.nsf/objave/BACCA0465CF406E7C125860000437951?OpenDocument" TargetMode="External"/><Relationship Id="rId48" Type="http://schemas.openxmlformats.org/officeDocument/2006/relationships/hyperlink" Target="https://www.policija.si/medijsko-sredisce/sporocila-za-javnost/sporocila-za-javnost-gpue/103938-z-danasnjim-dnem-vodenje-nacionalnega-preiskovalnega-urada-prevzema-igor-lamberger" TargetMode="External"/><Relationship Id="rId56" Type="http://schemas.openxmlformats.org/officeDocument/2006/relationships/hyperlink" Target="https://www.drzavnotozilski-svet.si/files/Sporocila%20za%20javnost/izjava_za_javnost_evropska_delegirana_tozilca_1_6_2021.pdf" TargetMode="External"/><Relationship Id="rId64" Type="http://schemas.openxmlformats.org/officeDocument/2006/relationships/footer" Target="footer5.xml"/><Relationship Id="rId8" Type="http://schemas.openxmlformats.org/officeDocument/2006/relationships/endnotes" Target="endnotes.xml"/><Relationship Id="rId51" Type="http://schemas.openxmlformats.org/officeDocument/2006/relationships/hyperlink" Target="https://imss.dz-rs.si/IMiS/ImisAdmin.nsf/ImisnetAgent?OpenAgent&amp;2&amp;DZ-MSS-01/21024926aecb618d716140c6a87e8aff098c26f9b6636ec77aab7a78b2d61b2f"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sodisce.si/usrs/odlocitve/2012032113072659/" TargetMode="External"/><Relationship Id="rId25" Type="http://schemas.openxmlformats.org/officeDocument/2006/relationships/hyperlink" Target="https://www.cnvos.si/stevec-krsitev/" TargetMode="External"/><Relationship Id="rId33" Type="http://schemas.openxmlformats.org/officeDocument/2006/relationships/hyperlink" Target="https://www.dt-rs.si/files/documents/Letno%20poroc&#780;ilo%20DT%20za%20leto%202020.pdf" TargetMode="External"/><Relationship Id="rId38" Type="http://schemas.openxmlformats.org/officeDocument/2006/relationships/hyperlink" Target="https://www.kpk-rs.si/2021/05/20/komisija-poslala-pobudo-vladi-rs-za-ureditev-podrocja-nezdruzljivosti-funkcij/" TargetMode="External"/><Relationship Id="rId46" Type="http://schemas.openxmlformats.org/officeDocument/2006/relationships/hyperlink" Target="https://4d.rtvslo.si/arhiv/tarca/174780634" TargetMode="External"/><Relationship Id="rId59" Type="http://schemas.openxmlformats.org/officeDocument/2006/relationships/hyperlink" Target="https://imss.dz-rs.si/IMiS/ImisAdmin.nsf/ImisnetAgent?OpenAgent&amp;2&amp;DZ-MSS-01/023d7b90349185ac0481b2f0152cdab68a31a350e8e41d9c682e5a9557483895" TargetMode="External"/><Relationship Id="rId67" Type="http://schemas.openxmlformats.org/officeDocument/2006/relationships/fontTable" Target="fontTable.xml"/><Relationship Id="rId20" Type="http://schemas.openxmlformats.org/officeDocument/2006/relationships/hyperlink" Target="https://www.dz-rs.si/wps/portal/Home/zakonodaja/izbran/!ut/p/z1/04_Sj9CPykssy0xPLMnMz0vMAfIjo8zivSy9Hb283Q0N3E3dLQwCQ7z9g7w8nAwsnMz1w9EUGAWZGgS6GDn5BhsYGwQHG-pHEaPfAAdwNCBOPx4FUfiNL8gNDQ11VFQEAAXcoa4!/dz/d5/L2dBISEvZ0FBIS9nQSEh/?uid=271348B1463CE206C125868F004621DE&amp;db=pre_zak&amp;mandat=VIII&amp;tip=doc" TargetMode="External"/><Relationship Id="rId41" Type="http://schemas.openxmlformats.org/officeDocument/2006/relationships/hyperlink" Target="https://podcrto.si/kdo-drzi-informacijsko-pistolo-kaj-smo-ugotovili-v-preiskavi-medijskega-lastnistva-v-sloveniji/" TargetMode="External"/><Relationship Id="rId54" Type="http://schemas.openxmlformats.org/officeDocument/2006/relationships/hyperlink" Target="http://www.sodni-svet.si/doc/disciplinski-organi/Izhodi&#353;&#269;a%20sprememb%20in%20dopolnitev%20zakonskih%20dolo&#269;b,%20ki%20urejajo%20disciplinske%20postopke%20zoper%20sodnike.pdf" TargetMode="External"/><Relationship Id="rId6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95628-4473-40EC-8556-81C2DB1B3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8296</Words>
  <Characters>63968</Characters>
  <Application>Microsoft Office Word</Application>
  <DocSecurity>0</DocSecurity>
  <Lines>913</Lines>
  <Paragraphs>194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2021-07-18T10:38:00Z</dcterms:created>
  <dcterms:modified xsi:type="dcterms:W3CDTF">2021-09-13T17:14:00Z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20200226</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CP-025</vt:lpwstr>
  </property>
</Properties>
</file>