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DC62A1FC-F532-43BE-957F-606A8D7EF5FC" style="width:455.25pt;height:572.25pt">
            <v:imagedata r:id="rId12" o:title=""/>
          </v:shape>
        </w:pict>
      </w:r>
    </w:p>
    <w:bookmarkEnd w:id="0"/>
    <w:p>
      <w:pPr>
        <w:rPr>
          <w:noProof/>
        </w:rPr>
        <w:sectPr>
          <w:headerReference w:type="even" r:id="rId13"/>
          <w:headerReference w:type="default" r:id="rId14"/>
          <w:footerReference w:type="even" r:id="rId15"/>
          <w:footerReference w:type="default" r:id="rId16"/>
          <w:headerReference w:type="first" r:id="rId17"/>
          <w:footerReference w:type="first" r:id="rId18"/>
          <w:pgSz w:w="11906" w:h="16838"/>
          <w:pgMar w:top="1134" w:right="1417" w:bottom="1134" w:left="1417" w:header="709" w:footer="709" w:gutter="0"/>
          <w:pgNumType w:start="0"/>
          <w:cols w:space="720"/>
          <w:docGrid w:linePitch="326"/>
        </w:sectPr>
      </w:pPr>
    </w:p>
    <w:p>
      <w:pPr>
        <w:pBdr>
          <w:top w:val="single" w:sz="4" w:space="1" w:color="auto"/>
          <w:left w:val="single" w:sz="4" w:space="4" w:color="auto"/>
          <w:bottom w:val="single" w:sz="4" w:space="17" w:color="auto"/>
          <w:right w:val="single" w:sz="4" w:space="4" w:color="auto"/>
        </w:pBdr>
        <w:rPr>
          <w:rFonts w:eastAsia="Times New Roman" w:cs="Times New Roman"/>
          <w:b/>
          <w:smallCaps/>
          <w:noProof/>
          <w:sz w:val="22"/>
          <w:szCs w:val="24"/>
          <w:u w:val="single"/>
        </w:rPr>
      </w:pPr>
      <w:bookmarkStart w:id="1" w:name="_GoBack"/>
      <w:bookmarkEnd w:id="1"/>
      <w:r>
        <w:rPr>
          <w:b/>
          <w:smallCaps/>
          <w:noProof/>
          <w:szCs w:val="24"/>
          <w:u w:val="single"/>
        </w:rPr>
        <w:lastRenderedPageBreak/>
        <w:t>Santrauka</w:t>
      </w:r>
    </w:p>
    <w:p>
      <w:pPr>
        <w:pBdr>
          <w:top w:val="single" w:sz="4" w:space="1" w:color="auto"/>
          <w:left w:val="single" w:sz="4" w:space="4" w:color="auto"/>
          <w:bottom w:val="single" w:sz="4" w:space="17" w:color="auto"/>
          <w:right w:val="single" w:sz="4" w:space="4" w:color="auto"/>
        </w:pBdr>
        <w:spacing w:after="0"/>
        <w:rPr>
          <w:noProof/>
        </w:rPr>
      </w:pPr>
      <w:r>
        <w:rPr>
          <w:noProof/>
        </w:rPr>
        <w:t xml:space="preserve">Italijos teisingumo sistemoje toliau vykdoma keletas reformų, kuriomis siekiama gerinti jos kokybę ir didinti veiksmingumą, įskaitant Parlamente vis dar svarstomus įstatymų projektus, kuriais siekiama supaprastinti civilinį ir baudžiamąjį procesą. Toliau plėtojamas teisingumo sistemos skaitmenizacijos procesas ir padidinti žmogiškieji ištekliai, numatant juos toliau didinti. Šios priemonės itin svarbios sprendžiant rimtus su teisingumo sistemos veiksmingumu susijusius uždavinius, be kita ko, mažinant susikaupusių bylų skaičių ir trumpinant proceso trukmę. Parlamente vis dar svarstomas įstatymo projektas dėl Aukščiausiosios teismų tarybos ir kitų teisingumo sistemos aspektų, kuriuo siekiama stiprinti teismų nepriklausomumą. Šiuo įstatymo projektu visų pirma ketinama pakeisti šios tarybos narių rinkimo tvarką. Svarbu, kad vykdant šias reformas būtų atsižvelgiama į Europos Tarybos rekomendacijas. </w:t>
      </w:r>
    </w:p>
    <w:p>
      <w:pPr>
        <w:pBdr>
          <w:top w:val="single" w:sz="4" w:space="1" w:color="auto"/>
          <w:left w:val="single" w:sz="4" w:space="4" w:color="auto"/>
          <w:bottom w:val="single" w:sz="4" w:space="17" w:color="auto"/>
          <w:right w:val="single" w:sz="4" w:space="4" w:color="auto"/>
        </w:pBdr>
        <w:spacing w:after="0"/>
        <w:rPr>
          <w:rFonts w:eastAsia="Times New Roman" w:cs="Times New Roman"/>
          <w:noProof/>
          <w:szCs w:val="20"/>
          <w:lang w:eastAsia="en-GB"/>
        </w:rPr>
      </w:pPr>
    </w:p>
    <w:p>
      <w:pPr>
        <w:pBdr>
          <w:top w:val="single" w:sz="4" w:space="1" w:color="auto"/>
          <w:left w:val="single" w:sz="4" w:space="4" w:color="auto"/>
          <w:bottom w:val="single" w:sz="4" w:space="17" w:color="auto"/>
          <w:right w:val="single" w:sz="4" w:space="4" w:color="auto"/>
        </w:pBdr>
        <w:spacing w:after="0"/>
        <w:rPr>
          <w:rFonts w:eastAsia="Times New Roman" w:cs="Times New Roman"/>
          <w:noProof/>
          <w:szCs w:val="20"/>
        </w:rPr>
      </w:pPr>
      <w:r>
        <w:rPr>
          <w:noProof/>
        </w:rPr>
        <w:t>Italija toliau stiprina savo kovos su korupcija ir su korupcija susijusiais nusikaltimais teisės aktų sistemą. Apskritai laikoma, kad korupcijos ir su korupcija susijusių nusikaltimų tyrėjų ir prokurorų bendradarbiavimas, specializacija ir ištekliai yra pakankami, kad būtų suvaldyta korupcija, įskaitant aukšto lygio korupciją. Išteklių trūkumas ir ribota praktinė ir teisinė patirtis daro neigiamą poveikį teisėsaugos institucijų pajėgumams efektyviai tirti kyšininkavimo užsienyje atvejus ir už šią veiką traukti baudžiamojon atsakomybėn. Itin ilga bylų nagrinėjimo trukmė, ypač apeliacinių skundų lygmeniu, ir toliau yra viena iš kliūčių, trukdančių kovoti su korupcija, o Parlamente vis dar nagrinėjamos visapusiškos reformos, kuriomis siekiama supaprastinti baudžiamąjį procesą. Laukiama, kol bus priimta keletas teisės aktų pasiūlymų ir pakeitimų, kuriais siekiama stiprinti korupcijos prevencijos priemones, įskaitant susijusias su interesų konfliktais, lobizmu ir „sukamųjų durų“ reiškiniu. Dėl COVID-19 pandemijos gerokai padidėjo rizika, kad korupcija ir vykdomi su korupcija susiję nusikaltimai toliau skverbsis į teisėtą Italijos ekonomiką.</w:t>
      </w:r>
    </w:p>
    <w:p>
      <w:pPr>
        <w:pBdr>
          <w:top w:val="single" w:sz="4" w:space="1" w:color="auto"/>
          <w:left w:val="single" w:sz="4" w:space="4" w:color="auto"/>
          <w:bottom w:val="single" w:sz="4" w:space="17" w:color="auto"/>
          <w:right w:val="single" w:sz="4" w:space="4" w:color="auto"/>
        </w:pBdr>
        <w:spacing w:after="0"/>
        <w:rPr>
          <w:rFonts w:eastAsia="Times New Roman" w:cs="Times New Roman"/>
          <w:noProof/>
          <w:szCs w:val="20"/>
          <w:lang w:eastAsia="en-GB"/>
        </w:rPr>
      </w:pPr>
    </w:p>
    <w:p>
      <w:pPr>
        <w:pBdr>
          <w:top w:val="single" w:sz="4" w:space="1" w:color="auto"/>
          <w:left w:val="single" w:sz="4" w:space="4" w:color="auto"/>
          <w:bottom w:val="single" w:sz="4" w:space="17" w:color="auto"/>
          <w:right w:val="single" w:sz="4" w:space="4" w:color="auto"/>
        </w:pBdr>
        <w:rPr>
          <w:rFonts w:eastAsia="Times New Roman" w:cs="Times New Roman"/>
          <w:noProof/>
        </w:rPr>
      </w:pPr>
      <w:r>
        <w:rPr>
          <w:noProof/>
        </w:rPr>
        <w:t>Italijoje veikia patikima teisės aktų sistema, kuria reguliuojamas žiniasklaidos sektorius, taip pat nepriklausoma, tinkamai ištekliais aprūpinta ir efektyvi žiniasklaidos reguliavimo institucija. Parlamente vis dar svarstoma numatyta Italijos įstatymų dėl garbės ir orumo įžeidimo reforma ir vis dar kyla susirūpinimas dėl Italijos žiniasklaidos politinės nepriklausomybės, ypač audiovizualiniame sektoriuje. Į pagalbos priemonių rinkinius, kuriuos 2020 m. Vyriausybė skyrė finansiniam COVID-19 pandemijos poveikiui mažinti, buvo įtraukta keletas konkrečiai žiniasklaidai skirtų priemonių. Vienas iš susirūpinimą keliančių klausimų tebėra dažni fiziniai išpuoliai prieš žurnalistus ir jiems skirti grasinimai mirtimi, taip pat kitų rūšių bauginimas.</w:t>
      </w:r>
    </w:p>
    <w:p>
      <w:pPr>
        <w:pBdr>
          <w:top w:val="single" w:sz="4" w:space="1" w:color="auto"/>
          <w:left w:val="single" w:sz="4" w:space="4" w:color="auto"/>
          <w:bottom w:val="single" w:sz="4" w:space="17" w:color="auto"/>
          <w:right w:val="single" w:sz="4" w:space="4" w:color="auto"/>
        </w:pBdr>
        <w:rPr>
          <w:rFonts w:eastAsia="Times New Roman" w:cs="Times New Roman"/>
          <w:noProof/>
        </w:rPr>
      </w:pPr>
      <w:r>
        <w:rPr>
          <w:noProof/>
        </w:rPr>
        <w:t xml:space="preserve">Kalbant apie stabdžių ir atsvarų sistemą, vis dar įvesta su COVID-19 pandemija susijusi nepaprastoji padėtis, tačiau šiuo metu Vyriausybė priima priemones, kuriomis laipsniškai mažinami apribojimai. Šiuo metu svarstomas naujas pasiūlymas, kuriuo siekiama stiprinti Parlamento vaidmenį nepaprastosios padėties atvejais. Šiek tiek dažniau rengiamos viešos konsultacijos ir atliekami teisės aktų poveikio </w:t>
      </w:r>
      <w:r>
        <w:rPr>
          <w:i/>
          <w:noProof/>
        </w:rPr>
        <w:t>ex post</w:t>
      </w:r>
      <w:r>
        <w:rPr>
          <w:noProof/>
        </w:rPr>
        <w:t xml:space="preserve"> vertinimai, tačiau šios priemonės dar sistemingai netaikomos. Šiuo metu Parlamente nagrinėjamas įstatymo projektas, kuriuo įsteigiama nepriklausoma žmogaus teisių institucija. Pranešta, kad tam tikra pažanga padaryta priimant teisės aktus dėl pilietinės visuomenės organizacijų, dirbančių su migrantais, pavyzdžiui, nuostatas, kuriomis reglamentuojama pilietinės visuomenės organizacijų, vykdančių paieškos ir gelbėjimo operacijas jūroje, veikla, tačiau dar esama susirūpinimą keliančių klausimų apskritai aplinkybėmis, kuriomis migracijos valdymas ES yra sudėtingas. </w:t>
      </w:r>
    </w:p>
    <w:p>
      <w:pPr>
        <w:spacing w:after="160" w:line="259" w:lineRule="auto"/>
        <w:jc w:val="left"/>
        <w:rPr>
          <w:rFonts w:eastAsia="Times New Roman" w:cs="Times New Roman"/>
          <w:noProof/>
          <w:szCs w:val="20"/>
        </w:rPr>
      </w:pPr>
      <w:r>
        <w:rPr>
          <w:noProof/>
        </w:rPr>
        <w:lastRenderedPageBreak/>
        <w:br w:type="page"/>
      </w:r>
    </w:p>
    <w:p>
      <w:pPr>
        <w:pStyle w:val="Heading1"/>
        <w:rPr>
          <w:noProof/>
        </w:rPr>
      </w:pPr>
      <w:r>
        <w:rPr>
          <w:noProof/>
        </w:rPr>
        <w:t xml:space="preserve">Teisingumo sistema </w:t>
      </w:r>
    </w:p>
    <w:p>
      <w:pPr>
        <w:rPr>
          <w:rFonts w:eastAsia="Times New Roman" w:cs="Times New Roman"/>
          <w:noProof/>
        </w:rPr>
      </w:pPr>
      <w:r>
        <w:rPr>
          <w:noProof/>
        </w:rPr>
        <w:t>Teisingumo sistemos struktūra</w:t>
      </w:r>
      <w:r>
        <w:rPr>
          <w:rStyle w:val="FootnoteReference"/>
          <w:rFonts w:eastAsia="Times New Roman" w:cs="Times New Roman"/>
          <w:noProof/>
          <w:lang w:eastAsia="fr-FR"/>
        </w:rPr>
        <w:footnoteReference w:id="2"/>
      </w:r>
      <w:r>
        <w:rPr>
          <w:noProof/>
        </w:rPr>
        <w:t xml:space="preserve"> nustatyta Konstitucijoje, kurioje įtvirtintas jos nepriklausomumas ir savarankiškumas</w:t>
      </w:r>
      <w:r>
        <w:rPr>
          <w:rStyle w:val="FootnoteReference"/>
          <w:rFonts w:eastAsia="Times New Roman" w:cs="Times New Roman"/>
          <w:noProof/>
          <w:lang w:eastAsia="fr-FR"/>
        </w:rPr>
        <w:footnoteReference w:id="3"/>
      </w:r>
      <w:r>
        <w:rPr>
          <w:noProof/>
        </w:rPr>
        <w:t>. Ginčus dėl įstatymų konstitucingumo sprendžia Konstitucinis Teismas</w:t>
      </w:r>
      <w:r>
        <w:rPr>
          <w:rStyle w:val="FootnoteReference"/>
          <w:rFonts w:eastAsia="Times New Roman" w:cs="Times New Roman"/>
          <w:noProof/>
          <w:lang w:eastAsia="fr-FR"/>
        </w:rPr>
        <w:footnoteReference w:id="4"/>
      </w:r>
      <w:r>
        <w:rPr>
          <w:noProof/>
        </w:rPr>
        <w:t>. Bendrosios kompetencijos teismai turi jurisdikciją nagrinėti civilines ir baudžiamąsias bylas, o jų struktūrą sudaro trys instancijų lygmenys. Pirmosios instancijos lygmeniu veikia taikos teismai, bendrosios kompetencijos teismai ir nepilnamečių teismai. Antrąjį ir trečiąjį lygmenis sudaro atitinkamai apeliaciniai teismai ir Aukščiausiasis Kasacinis Teismas. Administracinės teisenos struktūrą sudaro pirmosios instancijos teismai ir antrosios instancijos teismai. Jurisdikcija apskaitos klausimais priskiriama Auditorių teismui (kartu su Regionine ir Centrine kolegijomis). Mokestinius ginčus pirmąja ir antrąja instancijomis nagrinėja finansų teismai, o aukščiausiu lygmeniu – Aukščiausiasis Kasacinis Teismas. Prokuratūros struktūra</w:t>
      </w:r>
      <w:r>
        <w:rPr>
          <w:rStyle w:val="FootnoteReference"/>
          <w:rFonts w:eastAsia="Times New Roman" w:cs="Times New Roman"/>
          <w:noProof/>
          <w:lang w:eastAsia="fr-FR"/>
        </w:rPr>
        <w:footnoteReference w:id="5"/>
      </w:r>
      <w:r>
        <w:rPr>
          <w:noProof/>
        </w:rPr>
        <w:t xml:space="preserve"> atitinka teismų struktūrą. Italija dalyvauja Europos prokuratūros vykdomoje veikloje. Remiantis teismo pareigūnų vieningumo principu, tiek bendrosios kompetencijos teismų teisėjai, tiek valstybės prokurorai yra teismo pareigūnai, jiems taikoma bendra karjeros struktūra ir jie yra pavaldūs Aukščiausiajai teismų tarybai (</w:t>
      </w:r>
      <w:r>
        <w:rPr>
          <w:i/>
          <w:noProof/>
        </w:rPr>
        <w:t>Consiglio Superiore della Magistratura, CSM</w:t>
      </w:r>
      <w:r>
        <w:rPr>
          <w:rFonts w:ascii="Arial" w:hAnsi="Arial"/>
          <w:noProof/>
          <w:szCs w:val="24"/>
        </w:rPr>
        <w:t xml:space="preserve">). </w:t>
      </w:r>
      <w:r>
        <w:rPr>
          <w:noProof/>
        </w:rPr>
        <w:t>Administracinių, apskaitos ir mokestinių bylų teisėjai turi savo savivaldos organus. Nacionalinė advokatų taryba yra pagal teisės aktus įsteigtas nepriklausomas savivaldos organas.</w:t>
      </w:r>
    </w:p>
    <w:p>
      <w:pPr>
        <w:pStyle w:val="Heading2"/>
        <w:rPr>
          <w:noProof/>
        </w:rPr>
      </w:pPr>
      <w:r>
        <w:rPr>
          <w:noProof/>
        </w:rPr>
        <w:t xml:space="preserve">Nepriklausomumas </w:t>
      </w:r>
    </w:p>
    <w:p>
      <w:pPr>
        <w:spacing w:after="160"/>
        <w:rPr>
          <w:rFonts w:cs="Times New Roman"/>
          <w:noProof/>
        </w:rPr>
      </w:pPr>
      <w:r>
        <w:rPr>
          <w:b/>
          <w:bCs/>
          <w:noProof/>
        </w:rPr>
        <w:t>Suvokiamo teismų nepriklausomumo Italijoje lygis tebėra žemas</w:t>
      </w:r>
      <w:r>
        <w:rPr>
          <w:noProof/>
        </w:rPr>
        <w:t>. Nors nuo praėjusių metų padėtis šiek tiek pagerėjo, tik 34 proc. plačiosios visuomenės mano, kad teismai yra pakankamai arba visiškai nepriklausomi. Tai, kaip įmonių suvokia teismų nepriklausomumą vėl suprastėjo – tuo patvirtinama pastariesiems dvejiems metams būdinga neigiama tendencija, nes dabar tik 29 proc. šios grupės respondentų mano, kad teismai yra pakankamai arba visiškai nepriklausomi</w:t>
      </w:r>
      <w:r>
        <w:rPr>
          <w:rFonts w:cs="Times New Roman"/>
          <w:noProof/>
          <w:vertAlign w:val="superscript"/>
        </w:rPr>
        <w:footnoteReference w:id="6"/>
      </w:r>
      <w:r>
        <w:rPr>
          <w:noProof/>
        </w:rPr>
        <w:t xml:space="preserve">. Per pastaruosius penkerius metus suvokiamo teismų nepriklausomumo lygis buvo nuolat žemas. </w:t>
      </w:r>
    </w:p>
    <w:p>
      <w:pPr>
        <w:spacing w:after="160"/>
        <w:rPr>
          <w:rFonts w:cs="Times New Roman"/>
          <w:noProof/>
        </w:rPr>
      </w:pPr>
      <w:r>
        <w:rPr>
          <w:b/>
          <w:noProof/>
        </w:rPr>
        <w:t xml:space="preserve">Parlamente vis dar vyksta diskusijos dėl įstatymo projekto, kuriuo sprendžiamos </w:t>
      </w:r>
      <w:r>
        <w:rPr>
          <w:b/>
          <w:noProof/>
          <w:szCs w:val="24"/>
        </w:rPr>
        <w:t xml:space="preserve">Aukščiausioje teismų taryboje kylančios problemos, </w:t>
      </w:r>
      <w:r>
        <w:rPr>
          <w:b/>
          <w:noProof/>
        </w:rPr>
        <w:t xml:space="preserve">įskaitant susijusias su šios tarybos narių rinkimo tvarka. </w:t>
      </w:r>
      <w:r>
        <w:rPr>
          <w:noProof/>
        </w:rPr>
        <w:t>Aukščiausiajai teismų tarybai teko spręsti keletą problemų, susijusių su jos narių reprezentatyvumu ir paskyrimo eiti aukštas teisėjų pareigas tvarkos skaidrumu</w:t>
      </w:r>
      <w:r>
        <w:rPr>
          <w:rFonts w:cs="Times New Roman"/>
          <w:noProof/>
          <w:vertAlign w:val="superscript"/>
        </w:rPr>
        <w:footnoteReference w:id="7"/>
      </w:r>
      <w:r>
        <w:rPr>
          <w:noProof/>
        </w:rPr>
        <w:t>. 2020 m. rugpjūčio mėn. Vyriausybės pasiūlytu įstatymo projektu siekiama užtikrinti, kad Aukščiausiosios teismų tarybos nariai būtų nepriklausomi</w:t>
      </w:r>
      <w:r>
        <w:rPr>
          <w:rStyle w:val="FootnoteReference"/>
          <w:rFonts w:cs="Times New Roman"/>
          <w:noProof/>
        </w:rPr>
        <w:footnoteReference w:id="8"/>
      </w:r>
      <w:r>
        <w:rPr>
          <w:noProof/>
        </w:rPr>
        <w:t xml:space="preserve"> nuo profesinių asociacijų, be kita ko, pakeičiant jos narių rinkimo taisykles ir didinant Tarybos narių įvairovę teritorinės kilmės ir lyčių lygybės srityse. Be to, šiuo įstatymo projektu taip pat siekiama griežčiau atskirti teismines ir politines funkcijas</w:t>
      </w:r>
      <w:r>
        <w:rPr>
          <w:rStyle w:val="FootnoteReference"/>
          <w:noProof/>
        </w:rPr>
        <w:footnoteReference w:id="9"/>
      </w:r>
      <w:r>
        <w:rPr>
          <w:noProof/>
        </w:rPr>
        <w:t>. 2021 m. balandžio mėn. Aukščiausioji teismų taryba dėl šio įstatymo projekto pateikė keletą nuomonių</w:t>
      </w:r>
      <w:r>
        <w:rPr>
          <w:rStyle w:val="FootnoteReference"/>
          <w:rFonts w:cs="Times New Roman"/>
          <w:noProof/>
        </w:rPr>
        <w:footnoteReference w:id="10"/>
      </w:r>
      <w:r>
        <w:rPr>
          <w:noProof/>
        </w:rPr>
        <w:t>, kuriose atkreipė dėmesį į palankiai vertintinus aspektus (pvz., teismo tarnybų, įskaitant prokuratūrą, struktūrą</w:t>
      </w:r>
      <w:r>
        <w:rPr>
          <w:rFonts w:cs="Times New Roman"/>
          <w:noProof/>
          <w:vertAlign w:val="superscript"/>
        </w:rPr>
        <w:footnoteReference w:id="11"/>
      </w:r>
      <w:r>
        <w:rPr>
          <w:noProof/>
        </w:rPr>
        <w:t>, taip pat didesnį skaidrumą skiriant eiti aukštas pareigas</w:t>
      </w:r>
      <w:r>
        <w:rPr>
          <w:rFonts w:cs="Times New Roman"/>
          <w:noProof/>
          <w:vertAlign w:val="superscript"/>
        </w:rPr>
        <w:footnoteReference w:id="12"/>
      </w:r>
      <w:r>
        <w:rPr>
          <w:noProof/>
        </w:rPr>
        <w:t xml:space="preserve"> ir taikant tam tikras taisykles, susijusias su teismo pareigūnų profesinio vertinimo tvarka</w:t>
      </w:r>
      <w:r>
        <w:rPr>
          <w:rFonts w:cs="Times New Roman"/>
          <w:noProof/>
          <w:vertAlign w:val="superscript"/>
        </w:rPr>
        <w:footnoteReference w:id="13"/>
      </w:r>
      <w:r>
        <w:rPr>
          <w:noProof/>
        </w:rPr>
        <w:t>). Aukščiausioji teismų taryba taip pat iškėlė keletą susirūpinimą keliančių klausimų, visų pirma dėl rinkimų sistemos – ji atkreipė dėmesį į mažumų marginalizacijos riziką, Teisingumo ministerijos diskreciją prieš rinkimus sudaryti rinkimų kolegijas ir galimą teisėjų pliuralizmo sumažėjimą</w:t>
      </w:r>
      <w:r>
        <w:rPr>
          <w:rStyle w:val="FootnoteReference"/>
          <w:rFonts w:cs="Times New Roman"/>
          <w:noProof/>
        </w:rPr>
        <w:footnoteReference w:id="14"/>
      </w:r>
      <w:r>
        <w:rPr>
          <w:noProof/>
        </w:rPr>
        <w:t>. Kiek tai sietina su drausmine tvarka, Aukščiausioji teismų taryba atkreipė dėmesį į naujų drausminių pažeidimų neapibrėžtumo riziką</w:t>
      </w:r>
      <w:r>
        <w:rPr>
          <w:rStyle w:val="FootnoteReference"/>
          <w:rFonts w:cs="Times New Roman"/>
          <w:noProof/>
        </w:rPr>
        <w:footnoteReference w:id="15"/>
      </w:r>
      <w:r>
        <w:rPr>
          <w:noProof/>
        </w:rPr>
        <w:t>. 2021 m. kovo 26 d. GRECO</w:t>
      </w:r>
      <w:r>
        <w:rPr>
          <w:rStyle w:val="FootnoteReference"/>
          <w:rFonts w:cs="Times New Roman"/>
          <w:noProof/>
        </w:rPr>
        <w:footnoteReference w:id="16"/>
      </w:r>
      <w:r>
        <w:rPr>
          <w:noProof/>
        </w:rPr>
        <w:t xml:space="preserve"> priėmė savo Antrąją rekomendacijų įgyvendinimo ataskaitą, kurioje aptartas tiesioginio teisėjų dalyvavimo politiniame gyvenime klausimas. Nors pateiktu įstatymo projektu padaryta pažanga, ataskaitoje įvertinta, kad atitinkama rekomendacija įgyvendinta tik iš dalies, nes įstatymo projektas dar turi būti priimtas</w:t>
      </w:r>
      <w:r>
        <w:rPr>
          <w:rStyle w:val="FootnoteReference"/>
          <w:rFonts w:cs="Times New Roman"/>
          <w:noProof/>
        </w:rPr>
        <w:footnoteReference w:id="17"/>
      </w:r>
      <w:r>
        <w:rPr>
          <w:noProof/>
        </w:rPr>
        <w:t>. 2021 m. kovo mėn. teisingumo ministras Parlamentui pristatė</w:t>
      </w:r>
      <w:r>
        <w:rPr>
          <w:rFonts w:cs="Times New Roman"/>
          <w:noProof/>
          <w:vertAlign w:val="superscript"/>
        </w:rPr>
        <w:footnoteReference w:id="18"/>
      </w:r>
      <w:r>
        <w:rPr>
          <w:noProof/>
        </w:rPr>
        <w:t xml:space="preserve"> naujas teisingumo politikos kryptis</w:t>
      </w:r>
      <w:r>
        <w:rPr>
          <w:rFonts w:cs="Times New Roman"/>
          <w:noProof/>
          <w:vertAlign w:val="superscript"/>
        </w:rPr>
        <w:footnoteReference w:id="19"/>
      </w:r>
      <w:r>
        <w:rPr>
          <w:noProof/>
        </w:rPr>
        <w:t>. Svarbu, kad vykdant šias reformas būtų atsižvelgiama į</w:t>
      </w:r>
      <w:r>
        <w:rPr>
          <w:rFonts w:asciiTheme="minorHAnsi" w:hAnsiTheme="minorHAnsi"/>
          <w:noProof/>
          <w:sz w:val="22"/>
        </w:rPr>
        <w:t xml:space="preserve"> </w:t>
      </w:r>
      <w:r>
        <w:rPr>
          <w:noProof/>
        </w:rPr>
        <w:t>Europos Tarybos rekomendacijas dėl Teismų tarybos, įskaitant jos narių atranką</w:t>
      </w:r>
      <w:r>
        <w:rPr>
          <w:rFonts w:cs="Times New Roman"/>
          <w:noProof/>
          <w:vertAlign w:val="superscript"/>
        </w:rPr>
        <w:footnoteReference w:id="20"/>
      </w:r>
      <w:r>
        <w:rPr>
          <w:noProof/>
        </w:rPr>
        <w:t>, ir dėl teisėjų statuso, karjeros, atsakomybės ir drausminės tvarkos</w:t>
      </w:r>
      <w:r>
        <w:rPr>
          <w:rFonts w:cs="Times New Roman"/>
          <w:noProof/>
          <w:vertAlign w:val="superscript"/>
        </w:rPr>
        <w:footnoteReference w:id="21"/>
      </w:r>
      <w:r>
        <w:rPr>
          <w:noProof/>
        </w:rPr>
        <w:t>. Šiuo klausimu Italija bendradarbiauja su Europos Taryba.</w:t>
      </w:r>
    </w:p>
    <w:p>
      <w:pPr>
        <w:spacing w:after="160"/>
        <w:rPr>
          <w:rFonts w:cs="Times New Roman"/>
          <w:noProof/>
        </w:rPr>
      </w:pPr>
      <w:r>
        <w:rPr>
          <w:b/>
          <w:noProof/>
        </w:rPr>
        <w:t>Imamasi tolesnių priemonių su profesiniu sąžiningumu susijusioms problemoms spręsti</w:t>
      </w:r>
      <w:r>
        <w:rPr>
          <w:rFonts w:cs="Times New Roman"/>
          <w:noProof/>
          <w:vertAlign w:val="superscript"/>
        </w:rPr>
        <w:footnoteReference w:id="22"/>
      </w:r>
      <w:r>
        <w:rPr>
          <w:noProof/>
        </w:rPr>
        <w:t>. Aukščiausioji teismų taryba toliau stengėsi nustatyti taisykles, kuriomis siekiama skatinti skaidrumo ir nuopelnais grindžiamo skyrimo eiti aukštas pareigas principus</w:t>
      </w:r>
      <w:r>
        <w:rPr>
          <w:rFonts w:cs="Times New Roman"/>
          <w:noProof/>
          <w:vertAlign w:val="superscript"/>
        </w:rPr>
        <w:footnoteReference w:id="23"/>
      </w:r>
      <w:r>
        <w:rPr>
          <w:noProof/>
        </w:rPr>
        <w:t>. Be to, siekdama toliau didinti teismų nepriklausomumą, Aukščiausioji teismų taryba ėmėsi priemonių, kad būtų nustatytos teisėjams skirtos išsamios nuostatos dėl turto deklaravimo ir sistemingos kontrolės. GRECO palankiai įvertino šias nuostatas</w:t>
      </w:r>
      <w:r>
        <w:rPr>
          <w:rFonts w:cs="Times New Roman"/>
          <w:noProof/>
          <w:vertAlign w:val="superscript"/>
        </w:rPr>
        <w:footnoteReference w:id="24"/>
      </w:r>
      <w:r>
        <w:rPr>
          <w:noProof/>
        </w:rPr>
        <w:t>. Aukščiausioji teismų taryba taip pat pradėjo keletą drausminių procedūrų</w:t>
      </w:r>
      <w:r>
        <w:rPr>
          <w:rFonts w:cs="Times New Roman"/>
          <w:noProof/>
          <w:vertAlign w:val="superscript"/>
        </w:rPr>
        <w:footnoteReference w:id="25"/>
      </w:r>
      <w:r>
        <w:rPr>
          <w:noProof/>
        </w:rPr>
        <w:t xml:space="preserve"> ir, kiek tai sietina su būsimais profesiniais vertinimais ir paskyrimu eiti vadovaujamas pareigas</w:t>
      </w:r>
      <w:r>
        <w:rPr>
          <w:rStyle w:val="FootnoteReference"/>
          <w:rFonts w:cs="Times New Roman"/>
          <w:noProof/>
        </w:rPr>
        <w:footnoteReference w:id="26"/>
      </w:r>
      <w:r>
        <w:rPr>
          <w:noProof/>
        </w:rPr>
        <w:t>, atsižvelgia į bet kokias su profesiniu sąžiningumu susijusias problemas, atskleistas 2020 m. atliekant baudžiamosios veikos tyrimą, dėl kurio iš pareigų atsistatydino penki Aukščiausiosios teismų tarybos nariai</w:t>
      </w:r>
      <w:r>
        <w:rPr>
          <w:rStyle w:val="FootnoteReference"/>
          <w:rFonts w:cs="Times New Roman"/>
          <w:noProof/>
        </w:rPr>
        <w:footnoteReference w:id="27"/>
      </w:r>
      <w:r>
        <w:rPr>
          <w:noProof/>
        </w:rPr>
        <w:t>. Be to, Nacionalinė teisėjų asociacija pradėjo taikyti drausmines nuobaudas savo nariams, jeigu jie pažeidžia teisėjų etikos kodeksą</w:t>
      </w:r>
      <w:r>
        <w:rPr>
          <w:rStyle w:val="FootnoteReference"/>
          <w:rFonts w:cs="Times New Roman"/>
          <w:noProof/>
        </w:rPr>
        <w:footnoteReference w:id="28"/>
      </w:r>
      <w:r>
        <w:rPr>
          <w:noProof/>
        </w:rPr>
        <w:t xml:space="preserve">. </w:t>
      </w:r>
    </w:p>
    <w:p>
      <w:pPr>
        <w:pStyle w:val="Heading2"/>
        <w:rPr>
          <w:noProof/>
        </w:rPr>
      </w:pPr>
      <w:r>
        <w:rPr>
          <w:noProof/>
        </w:rPr>
        <w:t xml:space="preserve">Kokybė </w:t>
      </w:r>
    </w:p>
    <w:p>
      <w:pPr>
        <w:rPr>
          <w:rFonts w:cs="Times New Roman"/>
          <w:b/>
          <w:bCs/>
          <w:noProof/>
        </w:rPr>
      </w:pPr>
      <w:r>
        <w:rPr>
          <w:b/>
          <w:bCs/>
          <w:noProof/>
        </w:rPr>
        <w:t xml:space="preserve">Šiuo metu didinami žmogiškieji ištekliai ir planuojama toliau įdarbinti tiek teismo pareigūnus, tiek administracijos darbuotojus. </w:t>
      </w:r>
      <w:r>
        <w:rPr>
          <w:noProof/>
        </w:rPr>
        <w:t>Aukščiausiajai teismų tarybai pateikus nuomonę</w:t>
      </w:r>
      <w:r>
        <w:rPr>
          <w:rStyle w:val="FootnoteReference"/>
          <w:rFonts w:cs="Times New Roman"/>
          <w:noProof/>
        </w:rPr>
        <w:footnoteReference w:id="29"/>
      </w:r>
      <w:r>
        <w:rPr>
          <w:noProof/>
        </w:rPr>
        <w:t>, 2020 m. rugsėjo mėn. Teisingumo ministerija</w:t>
      </w:r>
      <w:r>
        <w:rPr>
          <w:rFonts w:cs="Times New Roman"/>
          <w:noProof/>
          <w:vertAlign w:val="superscript"/>
        </w:rPr>
        <w:footnoteReference w:id="30"/>
      </w:r>
      <w:r>
        <w:rPr>
          <w:noProof/>
        </w:rPr>
        <w:t xml:space="preserve"> aukščiausiu teisminių institucijų ir prokuratūros tarnybų lygmeniu, pirmosios ir antrosios instancijos teismuose ir lanksčių priemonių darbo grupėje</w:t>
      </w:r>
      <w:r>
        <w:rPr>
          <w:rFonts w:cs="Times New Roman"/>
          <w:noProof/>
          <w:vertAlign w:val="superscript"/>
        </w:rPr>
        <w:footnoteReference w:id="31"/>
      </w:r>
      <w:r>
        <w:rPr>
          <w:noProof/>
        </w:rPr>
        <w:t xml:space="preserve"> paskirstė papildomus 600 teismo pareigūnų etatų (atitinkamai 70, 422 ir 176 etatus), ir 2021 m. kovo mėn. nauji darbuotojai (285 teismo pareigūnai) pradėjo mokomąją praktiką. Pasibaigus pirmajam veiklos sustabdymo dėl COVID-19 pandemijos laikotarpiui, dabar vėl rengiami konkursai</w:t>
      </w:r>
      <w:r>
        <w:rPr>
          <w:rFonts w:cs="Times New Roman"/>
          <w:noProof/>
          <w:vertAlign w:val="superscript"/>
        </w:rPr>
        <w:footnoteReference w:id="32"/>
      </w:r>
      <w:r>
        <w:rPr>
          <w:noProof/>
        </w:rPr>
        <w:t>. 2020 ir 2021 m. pasitelkus skaitmenines procedūras įdarbinta daugiau kaip 2 000 administracijos darbuotojų</w:t>
      </w:r>
      <w:r>
        <w:rPr>
          <w:rFonts w:cs="Times New Roman"/>
          <w:noProof/>
          <w:vertAlign w:val="superscript"/>
        </w:rPr>
        <w:footnoteReference w:id="33"/>
      </w:r>
      <w:r>
        <w:rPr>
          <w:noProof/>
        </w:rPr>
        <w:t>. 2020 m. teisinės valstybės principo taikymo ataskaitoje nustatyta, kad dėl žmogiškųjų išteklių Italijoje kyla itin didelių sunkumų, darančių neigiamą poveikį teisingumo sistemos veiksmingumui, todėl Vyriausybė yra numačiusi imtis specialių priemonių</w:t>
      </w:r>
      <w:r>
        <w:rPr>
          <w:rStyle w:val="FootnoteReference"/>
          <w:rFonts w:cs="Times New Roman"/>
          <w:noProof/>
        </w:rPr>
        <w:footnoteReference w:id="34"/>
      </w:r>
      <w:r>
        <w:rPr>
          <w:noProof/>
        </w:rPr>
        <w:t>, skirtų Teismų tarnybai</w:t>
      </w:r>
      <w:r>
        <w:rPr>
          <w:rStyle w:val="FootnoteReference"/>
          <w:rFonts w:cs="Times New Roman"/>
          <w:noProof/>
        </w:rPr>
        <w:footnoteReference w:id="35"/>
      </w:r>
      <w:r>
        <w:rPr>
          <w:noProof/>
        </w:rPr>
        <w:t xml:space="preserve"> stiprinti. Šioje tarnyboje, pasitelkiant peržiūrėtus organizacinius modulius, bendradarbiaus administracijos ir teismo darbuotojai</w:t>
      </w:r>
      <w:r>
        <w:rPr>
          <w:rFonts w:cs="Times New Roman"/>
          <w:noProof/>
          <w:vertAlign w:val="superscript"/>
        </w:rPr>
        <w:footnoteReference w:id="36"/>
      </w:r>
      <w:r>
        <w:rPr>
          <w:noProof/>
        </w:rPr>
        <w:t>. Taikant šias priemones planuojama</w:t>
      </w:r>
      <w:r>
        <w:rPr>
          <w:rStyle w:val="FootnoteReference"/>
          <w:rFonts w:cs="Times New Roman"/>
          <w:noProof/>
        </w:rPr>
        <w:footnoteReference w:id="37"/>
      </w:r>
      <w:r>
        <w:rPr>
          <w:noProof/>
        </w:rPr>
        <w:t xml:space="preserve"> pagal terminuotas trejų metų trukmės darbo sutartis įdarbinti apie 16 500 teisės, ekonomikos ir verslo bei politikos mokslų absolventų, kurie teismo pareigūnams teiktų techninę paramą</w:t>
      </w:r>
      <w:r>
        <w:rPr>
          <w:rFonts w:cs="Times New Roman"/>
          <w:noProof/>
          <w:vertAlign w:val="superscript"/>
        </w:rPr>
        <w:footnoteReference w:id="38"/>
      </w:r>
      <w:r>
        <w:rPr>
          <w:noProof/>
        </w:rPr>
        <w:t>, ir 1 600 jaunų absolventų, 750 konkrečią specializaciją įgijusių ir 3 000 bendrojo lavinimo vidurinių mokyklų abiturientų, kurie sustiprintų teismų sistemą ir stebėtų Teisingumo ministerijos įgyvendinamus projektus, pavyzdžiui, susijusius su teismo proceso skaitmenizacija ir reformomis. Dalis šių įdarbintų naujų darbuotojų bus paskirta į Aukščiausiąjį Kasacinį Teismą, kad padėtų pertvarkyti civilinių bylų kolegijas, be kita ko, nagrinėjančias mokesčių bylas. Administracinės teisenos srityje dar yra nemažai laisvų darbo vietų, ypač pirmosios instancijos teismų teisėjų. Vis dėlto 2021 m. vasario mėn. buvo paskelbta apie naują 40 teisėjų įdarbinimo konkursą (vėliau šis skaičius padidintas iki 60) ir planuojama etatų planą padidinti 130 administracinių etatų</w:t>
      </w:r>
      <w:r>
        <w:rPr>
          <w:rStyle w:val="FootnoteReference"/>
          <w:rFonts w:cs="Times New Roman"/>
          <w:noProof/>
        </w:rPr>
        <w:footnoteReference w:id="39"/>
      </w:r>
      <w:r>
        <w:rPr>
          <w:noProof/>
        </w:rPr>
        <w:t>. Siekiant stiprinti teismo tarnybas, aktyviau vykdyti skaitmenizaciją ir stebėti projektų veiklą, taip pat numatyta įdarbinti naujus administracinės teisenos specialistus</w:t>
      </w:r>
      <w:r>
        <w:rPr>
          <w:rFonts w:cs="Times New Roman"/>
          <w:noProof/>
          <w:vertAlign w:val="superscript"/>
        </w:rPr>
        <w:footnoteReference w:id="40"/>
      </w:r>
      <w:r>
        <w:rPr>
          <w:noProof/>
        </w:rPr>
        <w:t>. Taikant naująsias priemones, skirtas susikaupusių bylų skaičiui mažinti ir teismo proceso trukmei trumpinti</w:t>
      </w:r>
      <w:r>
        <w:rPr>
          <w:rStyle w:val="FootnoteReference"/>
          <w:rFonts w:cs="Times New Roman"/>
          <w:noProof/>
        </w:rPr>
        <w:footnoteReference w:id="41"/>
      </w:r>
      <w:r>
        <w:rPr>
          <w:noProof/>
        </w:rPr>
        <w:t>, siekiama įgyvendinti ilgalaikę konkrečiai šaliai skirtą rekomendaciją dėl teisingumo sistemos veiksmingumo</w:t>
      </w:r>
      <w:r>
        <w:rPr>
          <w:rFonts w:cs="Times New Roman"/>
          <w:noProof/>
          <w:vertAlign w:val="superscript"/>
        </w:rPr>
        <w:footnoteReference w:id="42"/>
      </w:r>
      <w:r>
        <w:rPr>
          <w:noProof/>
        </w:rPr>
        <w:t>.</w:t>
      </w:r>
    </w:p>
    <w:p>
      <w:pPr>
        <w:spacing w:after="160"/>
        <w:rPr>
          <w:rFonts w:cs="Times New Roman"/>
          <w:noProof/>
          <w:szCs w:val="24"/>
        </w:rPr>
      </w:pPr>
      <w:r>
        <w:rPr>
          <w:b/>
          <w:bCs/>
          <w:noProof/>
        </w:rPr>
        <w:t>Civiliniuose ir administraciniuose teismuose toliau didėja teisingumo sistemos skaitmenizacijos lygis, tačiau baudžiamuosiuose teismuose vis dar kyla sunkumų</w:t>
      </w:r>
      <w:r>
        <w:rPr>
          <w:rFonts w:cs="Times New Roman"/>
          <w:b/>
          <w:bCs/>
          <w:noProof/>
          <w:vertAlign w:val="superscript"/>
        </w:rPr>
        <w:footnoteReference w:id="43"/>
      </w:r>
      <w:r>
        <w:rPr>
          <w:noProof/>
        </w:rPr>
        <w:t>. Pirmosios ir antrosios instancijos civiliniuose teismuose užbaigtas teismo proceso skaitmenizacija</w:t>
      </w:r>
      <w:r>
        <w:rPr>
          <w:rFonts w:cs="Times New Roman"/>
          <w:noProof/>
          <w:vertAlign w:val="superscript"/>
        </w:rPr>
        <w:footnoteReference w:id="44"/>
      </w:r>
      <w:r>
        <w:rPr>
          <w:noProof/>
        </w:rPr>
        <w:t>, ir teismo procesą pradėta skaitmenizuoti Kasaciniame Teisme (civilinių bylų skyriuje)</w:t>
      </w:r>
      <w:r>
        <w:rPr>
          <w:rFonts w:cs="Times New Roman"/>
          <w:noProof/>
          <w:vertAlign w:val="superscript"/>
        </w:rPr>
        <w:footnoteReference w:id="45"/>
      </w:r>
      <w:r>
        <w:rPr>
          <w:noProof/>
        </w:rPr>
        <w:t xml:space="preserve"> ir taikos teismuose</w:t>
      </w:r>
      <w:r>
        <w:rPr>
          <w:rFonts w:cs="Times New Roman"/>
          <w:noProof/>
          <w:vertAlign w:val="superscript"/>
        </w:rPr>
        <w:footnoteReference w:id="46"/>
      </w:r>
      <w:r>
        <w:rPr>
          <w:noProof/>
        </w:rPr>
        <w:t>. Vis dėlto skaitmenizacija mažiau išplėtota baudžiamojo proceso srityje</w:t>
      </w:r>
      <w:r>
        <w:rPr>
          <w:rFonts w:cs="Times New Roman"/>
          <w:noProof/>
          <w:vertAlign w:val="superscript"/>
        </w:rPr>
        <w:footnoteReference w:id="47"/>
      </w:r>
      <w:r>
        <w:rPr>
          <w:noProof/>
        </w:rPr>
        <w:t>, kurioje atitinkami procesai turėtų būti pradėti iki 2021 m. gegužės mėn. pabaigos. Pirmuoju etapu numatyta suskaitmeninti pokalbių klausymosi procedūros registrą. Kalbant apie administracinę teiseną, COVID-19 pandemijos metu tolesnė pažanga padaryta administracinio proceso skaitmenizacijos srityje rengiant nuotolinius teismo posėdžius</w:t>
      </w:r>
      <w:r>
        <w:rPr>
          <w:rFonts w:cs="Times New Roman"/>
          <w:noProof/>
          <w:vertAlign w:val="superscript"/>
        </w:rPr>
        <w:footnoteReference w:id="48"/>
      </w:r>
      <w:r>
        <w:rPr>
          <w:noProof/>
        </w:rPr>
        <w:t>. Be Aukščiausiojo Teismo sprendimų civilinėse ir baudžiamosiose bylose</w:t>
      </w:r>
      <w:r>
        <w:rPr>
          <w:rStyle w:val="FootnoteReference"/>
          <w:rFonts w:cs="Times New Roman"/>
          <w:noProof/>
        </w:rPr>
        <w:footnoteReference w:id="49"/>
      </w:r>
      <w:r>
        <w:rPr>
          <w:noProof/>
        </w:rPr>
        <w:t>, galimybių internetu susipažinti su pirmosios ir antrosios instancijos teismų sprendimais daugėja lėtai – užtikrinti visapusę internetinę prieigą tik prie sprendimų civilinėse numatyta iki 2023 m.</w:t>
      </w:r>
      <w:r>
        <w:rPr>
          <w:rFonts w:cs="Times New Roman"/>
          <w:noProof/>
          <w:vertAlign w:val="superscript"/>
        </w:rPr>
        <w:footnoteReference w:id="50"/>
      </w:r>
      <w:r>
        <w:rPr>
          <w:noProof/>
        </w:rPr>
        <w:t>. Įgyvendinami tolesni skaitmeniniai patobulinimai, kuriais siekiama didinti teismo tarnybose teikiamų internetinių paslaugų mastą (šiuo tikslu atnaujinamas E. paslaugų portalas, Sertifikuoto e. pašto (PEC) registrai ir e. mokėjimo sistema) ir gerinti prieigą prie tam tikrų paslaugų pasitelkiant tokias priemones kaip Viešoji skaitmeninės tapatybės sistema (SPID), Nacionalinė paslaugų kortelė ir Elektroninė ID kortelė. Nuotolinis darbas COVID-19 pandemijos metu paspartino pastangas užtikrinti nuotolinę prieigą prie tam tikrų registrų (civilinių ginčo bylų, savanoriškos jurisdikcijos ir darbo ginčų pirmosios ir antrosios instancijos teismuose</w:t>
      </w:r>
      <w:r>
        <w:rPr>
          <w:rStyle w:val="FootnoteReference"/>
          <w:rFonts w:cs="Times New Roman"/>
          <w:noProof/>
        </w:rPr>
        <w:footnoteReference w:id="51"/>
      </w:r>
      <w:r>
        <w:rPr>
          <w:noProof/>
        </w:rPr>
        <w:t>). Be to, siekiant paremti skaitmenizaciją ir mažinti susikaupusių bylų skaičių, vadovams, taip pat įdarbintiems nuolatiniams ir laikiniesiems darbuotojams numatyta surengti atitinkamo masto mokymus IT įgūdžiams ugdyti</w:t>
      </w:r>
      <w:r>
        <w:rPr>
          <w:rFonts w:cs="Times New Roman"/>
          <w:noProof/>
          <w:vertAlign w:val="superscript"/>
        </w:rPr>
        <w:footnoteReference w:id="52"/>
      </w:r>
      <w:r>
        <w:rPr>
          <w:noProof/>
        </w:rPr>
        <w:t>. Kalbant apie civilinio proceso įstatymo projektą, Vyriausybė, siekdama spręsti su veiksmingumu susijusias problemas, be kita ko, didinant teisingumo sistemų skaitmenizacijos lygį</w:t>
      </w:r>
      <w:r>
        <w:rPr>
          <w:rStyle w:val="FootnoteReference"/>
          <w:rFonts w:cs="Times New Roman"/>
          <w:noProof/>
        </w:rPr>
        <w:footnoteReference w:id="53"/>
      </w:r>
      <w:r>
        <w:rPr>
          <w:noProof/>
        </w:rPr>
        <w:t>, parengė teksto projekto pakeitimus. Užbaigus šiuos pakeitimus, jie bus perduoti Parlamentui.</w:t>
      </w:r>
    </w:p>
    <w:p>
      <w:pPr>
        <w:spacing w:after="160"/>
        <w:rPr>
          <w:rFonts w:cs="Times New Roman"/>
          <w:noProof/>
          <w:szCs w:val="24"/>
        </w:rPr>
      </w:pPr>
      <w:r>
        <w:rPr>
          <w:b/>
          <w:bCs/>
          <w:noProof/>
        </w:rPr>
        <w:t>Vis dar vykdoma mokesčių teismų reforma.</w:t>
      </w:r>
      <w:r>
        <w:rPr>
          <w:noProof/>
        </w:rPr>
        <w:t xml:space="preserve"> Teisingumo ministerijos ir Ekonomikos ir finansų ministerijos sudaryta ekspertų komisija iki 2021 m. birželio 30 d. turėtų užbaigti darbą, susijusį su pirmosios ir antrosios instancijos mokesčių teismų reformos parengimu</w:t>
      </w:r>
      <w:r>
        <w:rPr>
          <w:rFonts w:cs="Times New Roman"/>
          <w:noProof/>
          <w:vertAlign w:val="superscript"/>
        </w:rPr>
        <w:footnoteReference w:id="54"/>
      </w:r>
      <w:r>
        <w:rPr>
          <w:noProof/>
        </w:rPr>
        <w:t>. Įgyvendinant šią reformą taip pat būtų siekiama mažinti didelį Aukščiausiojo Teismo gaunamų bylų skaičių</w:t>
      </w:r>
      <w:r>
        <w:rPr>
          <w:rStyle w:val="FootnoteReference"/>
          <w:rFonts w:cs="Times New Roman"/>
          <w:noProof/>
        </w:rPr>
        <w:footnoteReference w:id="55"/>
      </w:r>
      <w:r>
        <w:rPr>
          <w:noProof/>
        </w:rPr>
        <w:t>. Be to, siekdama įgyvendinti GRECO rekomendaciją</w:t>
      </w:r>
      <w:r>
        <w:rPr>
          <w:rFonts w:cs="Times New Roman"/>
          <w:noProof/>
          <w:vertAlign w:val="superscript"/>
        </w:rPr>
        <w:footnoteReference w:id="56"/>
      </w:r>
      <w:r>
        <w:rPr>
          <w:noProof/>
        </w:rPr>
        <w:t xml:space="preserve">, Finansų teismų prezidentinė taryba ėmėsi tam tikrų prevencijos, priežiūros ir vykdymo užtikrinimo veiksmų, kuriais siekiama didinti mokestinės teisenos sistemos narių profesionalumą ir profesinį sąžiningumą, taip pat stiprinti mokymą ir tolesnį skaitmenizacijos procesą. </w:t>
      </w:r>
    </w:p>
    <w:p>
      <w:pPr>
        <w:spacing w:after="160"/>
        <w:rPr>
          <w:rFonts w:cs="Times New Roman"/>
          <w:noProof/>
          <w:szCs w:val="24"/>
        </w:rPr>
      </w:pPr>
      <w:r>
        <w:rPr>
          <w:b/>
          <w:bCs/>
          <w:noProof/>
        </w:rPr>
        <w:t xml:space="preserve">Planuojama į įstatymus įtraukti galiojančius teismo sprendimų kokybės gerinimo standartus. </w:t>
      </w:r>
      <w:r>
        <w:rPr>
          <w:noProof/>
        </w:rPr>
        <w:t>Kaip pažymėta 2020 m. teisinės valstybės principo taikymo ataskaitoje</w:t>
      </w:r>
      <w:r>
        <w:rPr>
          <w:rStyle w:val="FootnoteReference"/>
          <w:rFonts w:cs="Times New Roman"/>
          <w:noProof/>
        </w:rPr>
        <w:footnoteReference w:id="57"/>
      </w:r>
      <w:r>
        <w:rPr>
          <w:noProof/>
        </w:rPr>
        <w:t>, šiuo metu šie principai įtvirtinti Aukščiausiosios teismų tarybos ir Nacionalinės advokatų asociacijos sudarytame susitarimo memorandume ir jais siekiama rengti aiškesnius ir glaustesnius teismo sprendimus. Vyriausybė parengė pakeitimus, kad šie standartai būtų įtraukti į civilinio proceso įstatymų projektus</w:t>
      </w:r>
      <w:r>
        <w:rPr>
          <w:rStyle w:val="FootnoteReference"/>
          <w:rFonts w:cs="Times New Roman"/>
          <w:noProof/>
        </w:rPr>
        <w:footnoteReference w:id="58"/>
      </w:r>
      <w:r>
        <w:rPr>
          <w:noProof/>
        </w:rPr>
        <w:t>.</w:t>
      </w:r>
    </w:p>
    <w:p>
      <w:pPr>
        <w:rPr>
          <w:rFonts w:eastAsia="Times New Roman" w:cs="Times New Roman"/>
          <w:noProof/>
          <w:szCs w:val="20"/>
        </w:rPr>
      </w:pPr>
      <w:r>
        <w:rPr>
          <w:b/>
          <w:bCs/>
          <w:noProof/>
        </w:rPr>
        <w:t xml:space="preserve">Numatyti veiksmai, kuriais siekiama pagalbiniuose biuruose teikti daugiau skaitmeninių paslaugų, galėtų padėti toliau didinti galimybes kreiptis į teismą. </w:t>
      </w:r>
      <w:r>
        <w:rPr>
          <w:noProof/>
        </w:rPr>
        <w:t>Kaip pažymėta 2020 m. teisinės valstybės principo taikymo ataskaitoje, Teisingumo ministerija įgyvendina pagalbinių biurų projektą, kurio tikslas – didinti galimybes kreiptis į teismus stiprinant su teisingumu susijusias paslaugas ir jas priartinant prie piliečių. Šiuo metu iš 20 regionų 14 regionų yra įsteigti pagalbiniai biurai</w:t>
      </w:r>
      <w:r>
        <w:rPr>
          <w:rStyle w:val="FootnoteReference"/>
          <w:rFonts w:cs="Times New Roman"/>
          <w:noProof/>
        </w:rPr>
        <w:footnoteReference w:id="59"/>
      </w:r>
      <w:r>
        <w:rPr>
          <w:noProof/>
        </w:rPr>
        <w:t>, galintys pasiūlyti vienodas paslaugas, visų pirma skirtas pažeidžiamoms grupėms, šiuo tikslu aktyviau įtraukiant vietos valdžios institucijas ir naudojantis skaitmeninėmis priemonėmis</w:t>
      </w:r>
      <w:r>
        <w:rPr>
          <w:rFonts w:cs="Times New Roman"/>
          <w:bCs/>
          <w:noProof/>
          <w:vertAlign w:val="superscript"/>
        </w:rPr>
        <w:footnoteReference w:id="60"/>
      </w:r>
      <w:r>
        <w:rPr>
          <w:noProof/>
        </w:rPr>
        <w:t xml:space="preserve"> (pvz., galima naudojantis skaitmenine platforma teismo tarnyboms išsiųsti elektroninius dokumentus ir susipažinti su informacija apie vykstantį teismo procesą).</w:t>
      </w:r>
    </w:p>
    <w:p>
      <w:pPr>
        <w:pStyle w:val="Heading2"/>
        <w:rPr>
          <w:noProof/>
        </w:rPr>
      </w:pPr>
      <w:r>
        <w:rPr>
          <w:noProof/>
        </w:rPr>
        <w:t>Veiksmingumas</w:t>
      </w:r>
    </w:p>
    <w:p>
      <w:pPr>
        <w:rPr>
          <w:rFonts w:cs="Times New Roman"/>
          <w:noProof/>
          <w:szCs w:val="24"/>
        </w:rPr>
      </w:pPr>
      <w:r>
        <w:rPr>
          <w:b/>
          <w:bCs/>
          <w:noProof/>
        </w:rPr>
        <w:t>Vienas iš didelių iššūkių tebėra ilga teismo proceso trukmė</w:t>
      </w:r>
      <w:r>
        <w:rPr>
          <w:rFonts w:cs="Times New Roman"/>
          <w:b/>
          <w:bCs/>
          <w:noProof/>
          <w:vertAlign w:val="superscript"/>
        </w:rPr>
        <w:footnoteReference w:id="61"/>
      </w:r>
      <w:r>
        <w:rPr>
          <w:b/>
          <w:bCs/>
          <w:noProof/>
        </w:rPr>
        <w:t>.</w:t>
      </w:r>
      <w:r>
        <w:rPr>
          <w:noProof/>
        </w:rPr>
        <w:t xml:space="preserve"> Nors padidėjo civilinių bylų išnagrinėjimo rodiklis, kuris jau viršija 100 proc.</w:t>
      </w:r>
      <w:r>
        <w:rPr>
          <w:rFonts w:cs="Times New Roman"/>
          <w:noProof/>
          <w:vertAlign w:val="superscript"/>
        </w:rPr>
        <w:footnoteReference w:id="62"/>
      </w:r>
      <w:r>
        <w:rPr>
          <w:noProof/>
        </w:rPr>
        <w:t>, numatomas laikas, reikalingas civilinėms ir komercinėms ginčo byloms išnagrinėti, tebėra labai ilgas</w:t>
      </w:r>
      <w:r>
        <w:rPr>
          <w:rFonts w:cs="Times New Roman"/>
          <w:noProof/>
          <w:vertAlign w:val="superscript"/>
        </w:rPr>
        <w:footnoteReference w:id="63"/>
      </w:r>
      <w:r>
        <w:rPr>
          <w:noProof/>
        </w:rPr>
        <w:t>. 2019 m. bylų nagrinėjimo trukmė sutrumpėjo pirmosios ir antrosios instancijos teismuose</w:t>
      </w:r>
      <w:r>
        <w:rPr>
          <w:rStyle w:val="FootnoteReference"/>
          <w:rFonts w:cs="Times New Roman"/>
          <w:noProof/>
        </w:rPr>
        <w:footnoteReference w:id="64"/>
      </w:r>
      <w:r>
        <w:rPr>
          <w:noProof/>
        </w:rPr>
        <w:t>, tačiau pailgėjo Aukščiausiajame Kasaciniame Teisme – tai daugiausia nulėmė ilgai nagrinėjamos mokesčių ir tarptautinės apsaugos bylos</w:t>
      </w:r>
      <w:r>
        <w:rPr>
          <w:rFonts w:cs="Times New Roman"/>
          <w:noProof/>
          <w:vertAlign w:val="superscript"/>
        </w:rPr>
        <w:footnoteReference w:id="65"/>
      </w:r>
      <w:r>
        <w:rPr>
          <w:noProof/>
        </w:rPr>
        <w:t>. 2020 m. Aukščiausiajame Teisme užregistruota gerokai mažiau gautų tarptautinės apsaugos bylų, tačiau ir toliau daug sunkumų kyla dėl gaunamų mokesčių teismų bylų</w:t>
      </w:r>
      <w:r>
        <w:rPr>
          <w:rFonts w:cs="Times New Roman"/>
          <w:noProof/>
          <w:vertAlign w:val="superscript"/>
        </w:rPr>
        <w:footnoteReference w:id="66"/>
      </w:r>
      <w:r>
        <w:rPr>
          <w:noProof/>
        </w:rPr>
        <w:t>, kurių daug anuliuojama</w:t>
      </w:r>
      <w:r>
        <w:rPr>
          <w:rFonts w:cs="Times New Roman"/>
          <w:noProof/>
          <w:vertAlign w:val="superscript"/>
        </w:rPr>
        <w:footnoteReference w:id="67"/>
      </w:r>
      <w:r>
        <w:rPr>
          <w:noProof/>
        </w:rPr>
        <w:t>. Ir toliau daug ieškinių paskelbiama nepriimtinais</w:t>
      </w:r>
      <w:r>
        <w:rPr>
          <w:rFonts w:cs="Times New Roman"/>
          <w:noProof/>
          <w:vertAlign w:val="superscript"/>
        </w:rPr>
        <w:footnoteReference w:id="68"/>
      </w:r>
      <w:r>
        <w:rPr>
          <w:noProof/>
        </w:rPr>
        <w:t>. 2020 m. visų instancijų administraciniuose teismuose toliau trumpėjo bylų nagrinėjimo trukmė, tačiau ji išliko ilgesnė už vidutinę</w:t>
      </w:r>
      <w:r>
        <w:rPr>
          <w:rFonts w:cs="Times New Roman"/>
          <w:noProof/>
          <w:vertAlign w:val="superscript"/>
        </w:rPr>
        <w:footnoteReference w:id="69"/>
      </w:r>
      <w:r>
        <w:rPr>
          <w:noProof/>
        </w:rPr>
        <w:t>. Teigiamų rezultatų ir toliau pasiekiama viešųjų pirkimų srityje</w:t>
      </w:r>
      <w:r>
        <w:rPr>
          <w:rFonts w:cs="Times New Roman"/>
          <w:noProof/>
          <w:vertAlign w:val="superscript"/>
        </w:rPr>
        <w:footnoteReference w:id="70"/>
      </w:r>
      <w:r>
        <w:rPr>
          <w:noProof/>
        </w:rPr>
        <w:t>. Dėl administracinio proceso trukmės Italijai ir toliau taikoma griežtesnė Europos Tarybos Ministrų Komiteto priežiūra</w:t>
      </w:r>
      <w:r>
        <w:rPr>
          <w:rFonts w:cs="Times New Roman"/>
          <w:noProof/>
          <w:vertAlign w:val="superscript"/>
        </w:rPr>
        <w:footnoteReference w:id="71"/>
      </w:r>
      <w:r>
        <w:rPr>
          <w:noProof/>
        </w:rPr>
        <w:t>. Kalbant apie baudžiamąjį procesą, Aukščiausiasis Teismas pranešė, kad 2020 m. apskritai padaugėjo nagrinėjamų bylų</w:t>
      </w:r>
      <w:r>
        <w:rPr>
          <w:rFonts w:cs="Times New Roman"/>
          <w:noProof/>
          <w:vertAlign w:val="superscript"/>
        </w:rPr>
        <w:footnoteReference w:id="72"/>
      </w:r>
      <w:r>
        <w:rPr>
          <w:noProof/>
        </w:rPr>
        <w:t>, ypač aukščiausiu lygmeniu. Iš to matyti neatidėliotina būtinybė imtis priemonių veiksmingumui didinti, ypač apeliacinių skundų lygmeniu</w:t>
      </w:r>
      <w:r>
        <w:rPr>
          <w:rFonts w:cs="Times New Roman"/>
          <w:noProof/>
          <w:vertAlign w:val="superscript"/>
        </w:rPr>
        <w:footnoteReference w:id="73"/>
      </w:r>
      <w:r>
        <w:rPr>
          <w:noProof/>
        </w:rPr>
        <w:t>. Be to, pranešta, kad pusė įprasto bylos nagrinėjimo atvejų pirmosios instancijos teismuose užbaigiama priimant išteisinamuosius nuosprendžius</w:t>
      </w:r>
      <w:r>
        <w:rPr>
          <w:rFonts w:cs="Times New Roman"/>
          <w:noProof/>
          <w:vertAlign w:val="superscript"/>
        </w:rPr>
        <w:footnoteReference w:id="74"/>
      </w:r>
      <w:r>
        <w:rPr>
          <w:noProof/>
        </w:rPr>
        <w:t>. Dėl baudžiamojo proceso trukmės Italijai taip pat toliau taikoma griežtesnė Europos Tarybos Ministrų Komiteto priežiūra</w:t>
      </w:r>
      <w:r>
        <w:rPr>
          <w:rFonts w:cs="Times New Roman"/>
          <w:noProof/>
          <w:vertAlign w:val="superscript"/>
        </w:rPr>
        <w:footnoteReference w:id="75"/>
      </w:r>
      <w:r>
        <w:rPr>
          <w:noProof/>
        </w:rPr>
        <w:t xml:space="preserve">. </w:t>
      </w:r>
    </w:p>
    <w:p>
      <w:pPr>
        <w:spacing w:after="160"/>
        <w:rPr>
          <w:rFonts w:cs="Times New Roman"/>
          <w:noProof/>
          <w:szCs w:val="24"/>
        </w:rPr>
      </w:pPr>
      <w:r>
        <w:rPr>
          <w:b/>
          <w:bCs/>
          <w:noProof/>
        </w:rPr>
        <w:t>Parlamente vis dar svarstomi įstatymų projektai, kuriais siekiama spręsti su veiksmingumu susijusias problemas</w:t>
      </w:r>
      <w:r>
        <w:rPr>
          <w:rStyle w:val="FootnoteReference"/>
          <w:rFonts w:cs="Times New Roman"/>
          <w:b/>
          <w:bCs/>
          <w:noProof/>
        </w:rPr>
        <w:footnoteReference w:id="76"/>
      </w:r>
      <w:r>
        <w:rPr>
          <w:noProof/>
        </w:rPr>
        <w:t>. Vyriausybė pateikė įstatymo projekto pakeitimus, kuriais siekiama didinti civilinio proceso veiksmingumą</w:t>
      </w:r>
      <w:r>
        <w:rPr>
          <w:rFonts w:cs="Times New Roman"/>
          <w:noProof/>
          <w:vertAlign w:val="superscript"/>
        </w:rPr>
        <w:footnoteReference w:id="77"/>
      </w:r>
      <w:r>
        <w:rPr>
          <w:noProof/>
        </w:rPr>
        <w:t>. Šie pakeitimai apima tokius klausimus kaip dažnesnis naudojimasis tokiomis priemonėmis kaip alternatyvus ginčų sprendimas</w:t>
      </w:r>
      <w:r>
        <w:rPr>
          <w:rFonts w:cs="Times New Roman"/>
          <w:noProof/>
          <w:vertAlign w:val="superscript"/>
        </w:rPr>
        <w:footnoteReference w:id="78"/>
      </w:r>
      <w:r>
        <w:rPr>
          <w:noProof/>
        </w:rPr>
        <w:t>, arbitražas ir remiamos derybos, daugiau dėmesio parengiamajam ir įžanginiam teismo proceso etapams, aktyvesnė skaitmenizacija rengiant nuotolinius teismo posėdžius, apeliacinių skundų lygmeniu taikomų priimtinumo kriterijų peržiūra, apeliacinių skundų teikimo procedūros supaprastinimas ir Teismų tarnybos pertvarka. Baudžiamosios teisenos srityje numatytos priemonės</w:t>
      </w:r>
      <w:r>
        <w:rPr>
          <w:rStyle w:val="FootnoteReference"/>
          <w:rFonts w:cs="Times New Roman"/>
          <w:noProof/>
        </w:rPr>
        <w:footnoteReference w:id="79"/>
      </w:r>
      <w:r>
        <w:rPr>
          <w:noProof/>
        </w:rPr>
        <w:t xml:space="preserve"> gali apimti pranešimų teikimo sistemos tobulinimą, galimybių pasinaudoti specialiomis procedūromis (pvz., derybomis dėl kaltinimų pripažinimo) didinimą, aktyvesnį teisėjų dalyvavimą ikiteisminio tyrimo etapu, galimybes pasirinktinai naudotis apeliacinėmis procedūromis, pernelyg didelio kriminalizavimo mažinimą ir su baudžiamosiomis sankcijomis susijusias naujoves, taip pat atkuriamąjį teisingumą itin daug dėmesio skiriant aukoms</w:t>
      </w:r>
      <w:r>
        <w:rPr>
          <w:rStyle w:val="FootnoteReference"/>
          <w:rFonts w:cs="Times New Roman"/>
          <w:noProof/>
        </w:rPr>
        <w:footnoteReference w:id="80"/>
      </w:r>
      <w:r>
        <w:rPr>
          <w:noProof/>
        </w:rPr>
        <w:t>. Be to, Vyriausybė, siekdama didinti veiksmingumą, gali pateikti konkrečius su Teismų tarnyba susijusius pakeitimus. Į Aukščiausiosios teismų tarybos ir kitų teisingumo sistemos aspektų reformos projektą greičiausiai bus įtrauktos nuostatos, kuriomis remiamos ir palengvinamos pastangos didinti veiksmingumą (pvz., dėl vadovaujamas pareigas einančių teismo pareigūnų įpareigojimo numatyti tam tikrą laikotarpį, kad būtų užtikrinamas tinkamas tarnybos veiklos planavimas)</w:t>
      </w:r>
      <w:r>
        <w:rPr>
          <w:rStyle w:val="FootnoteReference"/>
          <w:rFonts w:cs="Times New Roman"/>
          <w:noProof/>
        </w:rPr>
        <w:footnoteReference w:id="81"/>
      </w:r>
      <w:r>
        <w:rPr>
          <w:noProof/>
        </w:rPr>
        <w:t xml:space="preserve">. </w:t>
      </w:r>
    </w:p>
    <w:p>
      <w:pPr>
        <w:pStyle w:val="Heading1"/>
        <w:rPr>
          <w:noProof/>
        </w:rPr>
      </w:pPr>
      <w:r>
        <w:rPr>
          <w:noProof/>
        </w:rPr>
        <w:t xml:space="preserve">Kovos su korupcija sistema </w:t>
      </w:r>
    </w:p>
    <w:p>
      <w:pPr>
        <w:rPr>
          <w:rFonts w:cs="Times New Roman"/>
          <w:noProof/>
          <w:szCs w:val="24"/>
        </w:rPr>
      </w:pPr>
      <w:r>
        <w:rPr>
          <w:noProof/>
        </w:rPr>
        <w:t>Pagrindinis subjektas, kuris yra atsakingas už korupcijos prevenciją viešojo administravimo sektoriuje ir prižiūri, kaip priimami trejų metų trukmės vietos kovos su korupcija planai, yra Nacionalinė kovos su korupcija institucija. Finansų policijos kovos su korupcija padalinys yra specializuota teisėsaugos įstaiga, atsakinga už korupcijos atvejų tyrimą ir korupcijos prevenciją. Italijos finansinės žvalgybos padalinys, kaip nepriklausoma Italijos banko institucija, teikia pagalbą kompetentingai prokuratūrai ir kaip institucija, kompetentinga gauti pranešimus apie įtartinus finansinius sandorius, bendradarbiauja su Finansų policija.</w:t>
      </w:r>
    </w:p>
    <w:p>
      <w:pPr>
        <w:rPr>
          <w:rFonts w:cs="Times New Roman"/>
          <w:noProof/>
        </w:rPr>
      </w:pPr>
      <w:r>
        <w:rPr>
          <w:b/>
          <w:noProof/>
        </w:rPr>
        <w:t xml:space="preserve">Ekspertų ir įmonių vadovų suvokiamos viešojo sektoriaus korupcijos lygis tebėra gana aukštas. </w:t>
      </w:r>
      <w:r>
        <w:rPr>
          <w:noProof/>
        </w:rPr>
        <w:t>Pagal organizacijos „Transparency International“ 2020 m. korupcijos suvokimo indeksą Italija surinko 53 balus iš 100 ir užima Europos Sąjungoje 15 vietą ir 52 vietą pasaulyje</w:t>
      </w:r>
      <w:r>
        <w:rPr>
          <w:rFonts w:cs="Times New Roman"/>
          <w:bCs/>
          <w:noProof/>
          <w:vertAlign w:val="superscript"/>
        </w:rPr>
        <w:footnoteReference w:id="82"/>
      </w:r>
      <w:r>
        <w:rPr>
          <w:noProof/>
        </w:rPr>
        <w:t>. Šis suvokimo indeksas per pastaruosius penkerius metus</w:t>
      </w:r>
      <w:r>
        <w:rPr>
          <w:rFonts w:cs="Times New Roman"/>
          <w:noProof/>
          <w:vertAlign w:val="superscript"/>
        </w:rPr>
        <w:footnoteReference w:id="83"/>
      </w:r>
      <w:r>
        <w:rPr>
          <w:noProof/>
        </w:rPr>
        <w:t xml:space="preserve"> reikšmingai padidėjo</w:t>
      </w:r>
      <w:r>
        <w:rPr>
          <w:rFonts w:cs="Times New Roman"/>
          <w:noProof/>
          <w:vertAlign w:val="superscript"/>
        </w:rPr>
        <w:footnoteReference w:id="84"/>
      </w:r>
      <w:r>
        <w:rPr>
          <w:noProof/>
        </w:rPr>
        <w:t>.</w:t>
      </w:r>
    </w:p>
    <w:p>
      <w:pPr>
        <w:rPr>
          <w:rFonts w:cs="Times New Roman"/>
          <w:noProof/>
          <w:szCs w:val="24"/>
        </w:rPr>
      </w:pPr>
      <w:r>
        <w:rPr>
          <w:b/>
          <w:bCs/>
          <w:noProof/>
        </w:rPr>
        <w:t>Italija yra parengusi 2019–2021 m. Nacionalinį kovos su korupcija planą.</w:t>
      </w:r>
      <w:r>
        <w:rPr>
          <w:noProof/>
        </w:rPr>
        <w:t xml:space="preserve"> Pagrindinė šio plano</w:t>
      </w:r>
      <w:r>
        <w:rPr>
          <w:rFonts w:cs="Times New Roman"/>
          <w:noProof/>
          <w:vertAlign w:val="superscript"/>
        </w:rPr>
        <w:footnoteReference w:id="85"/>
      </w:r>
      <w:r>
        <w:rPr>
          <w:noProof/>
        </w:rPr>
        <w:t xml:space="preserve"> įgyvendinimo koordinavimo įstaiga yra Nacionalinė kovos su korupcija institucija. Šiame plane, kuris yra visa apimanti korupcijos viešojo administravimo sektoriuje prevencijos strategija, nustatyti pagrindiniai korupcijos prevencijos politikos tikslai, kurie atnaujinami kiekvienais metais. 2021 m. atnaujinto plano pagrindinėse temose daugiausia dėmesio skiriama viešiesiems pirkimams, taip pat vietos kovos su korupcija pareigūnų, kurie kaip kontaktiniai asmenys dirba kiekvienoje vietos administravimo įstaigoje, vaidmeniui ir funkcijoms</w:t>
      </w:r>
      <w:r>
        <w:rPr>
          <w:rFonts w:cs="Times New Roman"/>
          <w:noProof/>
          <w:vertAlign w:val="superscript"/>
        </w:rPr>
        <w:footnoteReference w:id="86"/>
      </w:r>
      <w:r>
        <w:rPr>
          <w:noProof/>
        </w:rPr>
        <w:t>. Kovos su korupcija institucijos duomenimis, šie du klausimai taip pat bus pagrindinės kito trejų metų plano po 2021 m. temos</w:t>
      </w:r>
      <w:r>
        <w:rPr>
          <w:rStyle w:val="FootnoteReference"/>
          <w:rFonts w:cs="Times New Roman"/>
          <w:noProof/>
        </w:rPr>
        <w:footnoteReference w:id="87"/>
      </w:r>
      <w:r>
        <w:rPr>
          <w:noProof/>
        </w:rPr>
        <w:t>. Pagal Nacionalinį kovos su korupcija planą teikiama parama viešojo administravimo institucijoms rengiant ir įgyvendinant savo trejų metų trukmės veiksmų planus</w:t>
      </w:r>
      <w:r>
        <w:rPr>
          <w:rFonts w:cs="Times New Roman"/>
          <w:noProof/>
          <w:vertAlign w:val="superscript"/>
        </w:rPr>
        <w:footnoteReference w:id="88"/>
      </w:r>
      <w:r>
        <w:rPr>
          <w:noProof/>
        </w:rPr>
        <w:t>, šiuo metu daugiausia dėmesio skiriant viešiesiems pirkimams ir korupcijos rizikos mažinimui. Įdiegta stebėsenos sistema ir pagrindiniai suinteresuotieji subjektai laikosi nuomonės, kad ji veikia tinkamai</w:t>
      </w:r>
      <w:r>
        <w:rPr>
          <w:rFonts w:cs="Times New Roman"/>
          <w:noProof/>
          <w:vertAlign w:val="superscript"/>
        </w:rPr>
        <w:footnoteReference w:id="89"/>
      </w:r>
      <w:r>
        <w:rPr>
          <w:noProof/>
        </w:rPr>
        <w:t>. 2020 m. lapkričio mėn. Kovos su korupcija institucija pradėjo vertinimą, kurio tikslas – nustatyti šių viešojo administravimo institucijų priimtų vietos planų įgyvendinimo mastą</w:t>
      </w:r>
      <w:r>
        <w:rPr>
          <w:rFonts w:cs="Times New Roman"/>
          <w:noProof/>
          <w:vertAlign w:val="superscript"/>
        </w:rPr>
        <w:footnoteReference w:id="90"/>
      </w:r>
      <w:r>
        <w:rPr>
          <w:noProof/>
        </w:rPr>
        <w:t>.</w:t>
      </w:r>
    </w:p>
    <w:p>
      <w:pPr>
        <w:rPr>
          <w:rFonts w:cs="Times New Roman"/>
          <w:bCs/>
          <w:noProof/>
          <w:szCs w:val="24"/>
        </w:rPr>
      </w:pPr>
      <w:r>
        <w:rPr>
          <w:b/>
          <w:bCs/>
          <w:noProof/>
        </w:rPr>
        <w:t xml:space="preserve">Įsigaliojo teisės aktų pakeitimai, kuriais siekiama nuosekliau kovoti su korupcija ir su korupcija susijusiais nusikaltimais. </w:t>
      </w:r>
      <w:r>
        <w:rPr>
          <w:noProof/>
        </w:rPr>
        <w:t>Visų pirma, baudžiamojo kodekso pakeitimais</w:t>
      </w:r>
      <w:r>
        <w:rPr>
          <w:noProof/>
          <w:vertAlign w:val="superscript"/>
        </w:rPr>
        <w:footnoteReference w:id="91"/>
      </w:r>
      <w:r>
        <w:rPr>
          <w:noProof/>
        </w:rPr>
        <w:t xml:space="preserve"> nustatytos griežtesnės sankcijos už sukčiavimą</w:t>
      </w:r>
      <w:r>
        <w:rPr>
          <w:rFonts w:cs="Times New Roman"/>
          <w:noProof/>
          <w:vertAlign w:val="superscript"/>
        </w:rPr>
        <w:footnoteReference w:id="92"/>
      </w:r>
      <w:r>
        <w:rPr>
          <w:noProof/>
        </w:rPr>
        <w:t xml:space="preserve"> ir išplėsta kovos su tarptautine korupcija teisės aktų subjektinė taikymo sritis</w:t>
      </w:r>
      <w:r>
        <w:rPr>
          <w:rFonts w:cs="Times New Roman"/>
          <w:noProof/>
          <w:vertAlign w:val="superscript"/>
        </w:rPr>
        <w:footnoteReference w:id="93"/>
      </w:r>
      <w:r>
        <w:rPr>
          <w:noProof/>
        </w:rPr>
        <w:t>. Be to, siekiant mažinti anksčiau nustatytą veiksmų laisvės lygį, atitinkamu dekretu pakeistas Įstatymas dėl piktnaudžiavimo tarnyba, kad į jį būtų įtraukti įstatymuose (arba įstatymo galią turinčiuose teisės aktuose) numatytų elgesio taisyklių pažeidimai</w:t>
      </w:r>
      <w:r>
        <w:rPr>
          <w:rFonts w:cs="Times New Roman"/>
          <w:noProof/>
          <w:vertAlign w:val="superscript"/>
        </w:rPr>
        <w:footnoteReference w:id="94"/>
      </w:r>
      <w:r>
        <w:rPr>
          <w:noProof/>
        </w:rPr>
        <w:t>.</w:t>
      </w:r>
    </w:p>
    <w:p>
      <w:pPr>
        <w:rPr>
          <w:rFonts w:cs="Times New Roman"/>
          <w:noProof/>
          <w:szCs w:val="24"/>
        </w:rPr>
      </w:pPr>
      <w:r>
        <w:rPr>
          <w:b/>
          <w:bCs/>
          <w:noProof/>
        </w:rPr>
        <w:t>Su korupcija kovojančios institucijos bendradarbiauja sklandžiai, ypač kovos su organizuotu nusikalstamumu srityje.</w:t>
      </w:r>
      <w:r>
        <w:rPr>
          <w:noProof/>
        </w:rPr>
        <w:t xml:space="preserve"> Finansų policijos, Finansinės žvalgybos padalinio, prie Auditorių teismo veikiančios prokuratūros, Nacionalinio kovos su mafija direktorato ir Kovos su korupcija institucijos tarpusavio bendradarbiavimas žymint įtartiną veiklą, kaip paaiškėjo, yra efektyvus, ypač kalbant apie kovą su korupcija viešųjų pirkimų srityje ir neteisėta veikla viešojo administravimo sektoriuje</w:t>
      </w:r>
      <w:r>
        <w:rPr>
          <w:rFonts w:cs="Times New Roman"/>
          <w:noProof/>
          <w:vertAlign w:val="superscript"/>
        </w:rPr>
        <w:footnoteReference w:id="95"/>
      </w:r>
      <w:r>
        <w:rPr>
          <w:noProof/>
        </w:rPr>
        <w:t>. Bendradarbiavimas su muitinės ir konkurencijos tarnybomis taip pat laikomas naudingu atskleidžiant korupcijos atvejus platesnio masto organizuoto nusikalstamumo, besiskverbiančio į ekonomiką ir viešojo administravimo sektorių, aplinkybėmis</w:t>
      </w:r>
      <w:r>
        <w:rPr>
          <w:rFonts w:cs="Times New Roman"/>
          <w:noProof/>
          <w:vertAlign w:val="superscript"/>
        </w:rPr>
        <w:footnoteReference w:id="96"/>
      </w:r>
      <w:r>
        <w:rPr>
          <w:noProof/>
        </w:rPr>
        <w:t>. Pasak finansų policijos ir prokurorų, tyrėjų ir prokurorų ištekliai ir jų specializacijos lygis, taip pat galimybės susipažinti su atitinkamuose registruose ir duomenų bazėse kaupiama informacija paprastai yra pakankami, kad jie kovodami su korupcija galėtų atlikti savo užduotis. Nepaisant svarbių naujausių teisės aktų, susijusių su teisine sistema, pokyčių</w:t>
      </w:r>
      <w:r>
        <w:rPr>
          <w:rFonts w:cs="Times New Roman"/>
          <w:noProof/>
          <w:vertAlign w:val="superscript"/>
        </w:rPr>
        <w:footnoteReference w:id="97"/>
      </w:r>
      <w:r>
        <w:rPr>
          <w:noProof/>
        </w:rPr>
        <w:t>, išteklių trūkumas ir ribota praktinė ir teisinė patirtis daro neigiamą poveikį teisėsaugos institucijų pajėgumams efektyviai tirti kyšininkavimo užsienyje atvejus ir už šią veiką traukti baudžiamojon atsakomybėn</w:t>
      </w:r>
      <w:r>
        <w:rPr>
          <w:rFonts w:cs="Times New Roman"/>
          <w:noProof/>
          <w:vertAlign w:val="superscript"/>
        </w:rPr>
        <w:footnoteReference w:id="98"/>
      </w:r>
      <w:r>
        <w:rPr>
          <w:noProof/>
        </w:rPr>
        <w:t>. Pastaruoju metu Italijoje, kuri yra viena iš pagrindinių eksportuotojų, kovos su kyšininkavimu užsienyje teisės aktų įgyvendinimo statusas pasikeitė iš aktyvaus į vidutinio lygio įgyvendinimą</w:t>
      </w:r>
      <w:r>
        <w:rPr>
          <w:rFonts w:cs="Times New Roman"/>
          <w:noProof/>
          <w:vertAlign w:val="superscript"/>
        </w:rPr>
        <w:footnoteReference w:id="99"/>
      </w:r>
      <w:r>
        <w:rPr>
          <w:noProof/>
        </w:rPr>
        <w:t>, nors, palyginti su padėtimi prieš dešimt metų, dabar tokios rūšies nusikaltimams skiriama gerokai daugiau dėmesio</w:t>
      </w:r>
      <w:r>
        <w:rPr>
          <w:rFonts w:cs="Times New Roman"/>
          <w:noProof/>
          <w:vertAlign w:val="superscript"/>
        </w:rPr>
        <w:footnoteReference w:id="100"/>
      </w:r>
      <w:r>
        <w:rPr>
          <w:noProof/>
        </w:rPr>
        <w:t>.</w:t>
      </w:r>
    </w:p>
    <w:p>
      <w:pPr>
        <w:rPr>
          <w:rFonts w:cs="Times New Roman"/>
          <w:b/>
          <w:noProof/>
          <w:szCs w:val="24"/>
        </w:rPr>
      </w:pPr>
      <w:r>
        <w:rPr>
          <w:b/>
          <w:bCs/>
          <w:noProof/>
        </w:rPr>
        <w:t xml:space="preserve">Pastangas kovoti su korupcija ir toliau apsunkina pernelyg ilga bylų nagrinėjimo trukmė, ypač apeliacinių skundų lygmeniu. </w:t>
      </w:r>
      <w:r>
        <w:rPr>
          <w:noProof/>
        </w:rPr>
        <w:t>Deputatų Rūmuose toliau nagrinėjamas 2020 m. kovo mėn. įstatymo projektas, kuriuo siekiama didinti baudžiamojo proceso veiksmingumą ir paspartinti bylų nagrinėjimą apeliaciniuose teismuose</w:t>
      </w:r>
      <w:r>
        <w:rPr>
          <w:rFonts w:cs="Times New Roman"/>
          <w:noProof/>
          <w:vertAlign w:val="superscript"/>
        </w:rPr>
        <w:footnoteReference w:id="101"/>
      </w:r>
      <w:r>
        <w:rPr>
          <w:noProof/>
        </w:rPr>
        <w:t>. Anksčiau teigiamų rezultatų užregistruota neleidžiant vilkinti teismo proceso pirmosios instancijos teismuose ir Kasaciniame Teisme</w:t>
      </w:r>
      <w:r>
        <w:rPr>
          <w:rFonts w:cs="Times New Roman"/>
          <w:noProof/>
          <w:vertAlign w:val="superscript"/>
        </w:rPr>
        <w:footnoteReference w:id="102"/>
      </w:r>
      <w:r>
        <w:rPr>
          <w:noProof/>
        </w:rPr>
        <w:t>. Dar neturima naujausių statistinių duomenų apie 2020 m. policijos atliktus korupcijos tyrimus, taip pat baudžiamojo persekiojimo atvejus ir teismų priimtus apkaltinamuosius nuosprendžius. Šie duomenys turėtų būti paskelbti 2021 m.</w:t>
      </w:r>
      <w:r>
        <w:rPr>
          <w:rFonts w:cs="Times New Roman"/>
          <w:noProof/>
          <w:vertAlign w:val="superscript"/>
        </w:rPr>
        <w:footnoteReference w:id="103"/>
      </w:r>
      <w:r>
        <w:rPr>
          <w:noProof/>
        </w:rPr>
        <w:t xml:space="preserve"> </w:t>
      </w:r>
    </w:p>
    <w:p>
      <w:pPr>
        <w:rPr>
          <w:rFonts w:cs="Times New Roman"/>
          <w:bCs/>
          <w:noProof/>
          <w:szCs w:val="24"/>
        </w:rPr>
      </w:pPr>
      <w:r>
        <w:rPr>
          <w:b/>
          <w:bCs/>
          <w:noProof/>
        </w:rPr>
        <w:t>Pradėtas galutinis atskiro pranešėjų įstatymo pakeitimų teisėkūros etapas.</w:t>
      </w:r>
      <w:r>
        <w:rPr>
          <w:noProof/>
        </w:rPr>
        <w:t xml:space="preserve"> Kol nepriimti šie pakeitimai</w:t>
      </w:r>
      <w:r>
        <w:rPr>
          <w:noProof/>
          <w:vertAlign w:val="superscript"/>
        </w:rPr>
        <w:footnoteReference w:id="104"/>
      </w:r>
      <w:r>
        <w:rPr>
          <w:noProof/>
        </w:rPr>
        <w:t>, pranešėjų apsauga privačiajame sektoriuje tebėra ribota, nes ji grindžiama savanoriškomis reikalavimų vykdymo programomis, kurias ne visos įmonės yra pradėjusios įgyvendinti</w:t>
      </w:r>
      <w:r>
        <w:rPr>
          <w:rFonts w:cs="Times New Roman"/>
          <w:noProof/>
          <w:vertAlign w:val="superscript"/>
        </w:rPr>
        <w:footnoteReference w:id="105"/>
      </w:r>
      <w:r>
        <w:rPr>
          <w:noProof/>
        </w:rPr>
        <w:t>. Praktikoje Kovos su korupcija institucija nėra įgaliota gauti privačiojo sektoriaus darbuotojų atskleidžiamos informacijos arba skirti sankcijų</w:t>
      </w:r>
      <w:r>
        <w:rPr>
          <w:rFonts w:cs="Times New Roman"/>
          <w:noProof/>
          <w:vertAlign w:val="superscript"/>
        </w:rPr>
        <w:footnoteReference w:id="106"/>
      </w:r>
      <w:r>
        <w:rPr>
          <w:noProof/>
        </w:rPr>
        <w:t>. Todėl išplėtus šio įstatymo taikymo sritį ir į ją įtraukus visas įmones, kuriose dirba daugiau kaip 50 darbuotojų, bus pereita į svarbų naują privačiojo sektoriaus pranešėjų apsaugos lygį. 2021 m. birželio mėn. Kovos su korupcija institucija paskelbė naujas gaires dėl informavimo apie pažeidimą</w:t>
      </w:r>
      <w:r>
        <w:rPr>
          <w:rStyle w:val="FootnoteReference"/>
          <w:rFonts w:cs="Times New Roman"/>
          <w:noProof/>
        </w:rPr>
        <w:footnoteReference w:id="107"/>
      </w:r>
      <w:r>
        <w:rPr>
          <w:noProof/>
        </w:rPr>
        <w:t xml:space="preserve">. </w:t>
      </w:r>
    </w:p>
    <w:p>
      <w:pPr>
        <w:rPr>
          <w:rFonts w:cs="Times New Roman"/>
          <w:noProof/>
          <w:szCs w:val="24"/>
        </w:rPr>
      </w:pPr>
      <w:r>
        <w:rPr>
          <w:b/>
          <w:bCs/>
          <w:noProof/>
        </w:rPr>
        <w:t>Parlamente vis dar nagrinėjamas teisės akto pasiūlymas dėl Parlamento narių interesų konfliktų prevencijos</w:t>
      </w:r>
      <w:r>
        <w:rPr>
          <w:noProof/>
        </w:rPr>
        <w:t>. 2019 m. gegužės mėn. pateiktu įstatymo projektu</w:t>
      </w:r>
      <w:r>
        <w:rPr>
          <w:rFonts w:cs="Times New Roman"/>
          <w:noProof/>
          <w:vertAlign w:val="superscript"/>
        </w:rPr>
        <w:footnoteReference w:id="108"/>
      </w:r>
      <w:r>
        <w:rPr>
          <w:noProof/>
        </w:rPr>
        <w:t xml:space="preserve"> būtų pakeistos ir panaikintos beveik visos Įstatymo Nr. 215/2004 dėl interesų konfliktų nuostatos</w:t>
      </w:r>
      <w:r>
        <w:rPr>
          <w:rFonts w:cs="Times New Roman"/>
          <w:noProof/>
          <w:vertAlign w:val="superscript"/>
        </w:rPr>
        <w:footnoteReference w:id="109"/>
      </w:r>
      <w:r>
        <w:rPr>
          <w:noProof/>
        </w:rPr>
        <w:t>. 2020 m. spalio mėn. Deputatų Rūmų Konstitucinių reikalų komitetas patvirtino šį įstatymo projektą ir nustatė orientacinę jo įsigaliojimo datą – 2021 m. liepos 1 d.</w:t>
      </w:r>
      <w:r>
        <w:rPr>
          <w:rFonts w:cs="Times New Roman"/>
          <w:noProof/>
          <w:vertAlign w:val="superscript"/>
        </w:rPr>
        <w:footnoteReference w:id="110"/>
      </w:r>
      <w:r>
        <w:rPr>
          <w:noProof/>
        </w:rPr>
        <w:t xml:space="preserve"> Pagal šį pasiūlymą numatyta, be kita ko, nacionalinių, regioninių ir vietos valdymo organų nariams nustatyti griežtesnes priemones</w:t>
      </w:r>
      <w:r>
        <w:rPr>
          <w:rFonts w:cs="Times New Roman"/>
          <w:noProof/>
          <w:vertAlign w:val="superscript"/>
        </w:rPr>
        <w:footnoteReference w:id="111"/>
      </w:r>
      <w:r>
        <w:rPr>
          <w:noProof/>
        </w:rPr>
        <w:t>. Vis dar nepriimtas oficialus Etiško elgesio kodeksas</w:t>
      </w:r>
      <w:r>
        <w:rPr>
          <w:rStyle w:val="FootnoteReference"/>
          <w:rFonts w:cs="Times New Roman"/>
          <w:noProof/>
        </w:rPr>
        <w:footnoteReference w:id="112"/>
      </w:r>
      <w:r>
        <w:rPr>
          <w:noProof/>
        </w:rPr>
        <w:t>. Kol neįsigaliojo naujasis įstatymas, interesų konfliktų prevencijos teisės aktų sistema tebėra nenuosekli</w:t>
      </w:r>
      <w:r>
        <w:rPr>
          <w:rFonts w:cs="Times New Roman"/>
          <w:noProof/>
          <w:vertAlign w:val="superscript"/>
        </w:rPr>
        <w:footnoteReference w:id="113"/>
      </w:r>
      <w:r>
        <w:rPr>
          <w:noProof/>
        </w:rPr>
        <w:t>. Be to, Deputatų Rūmų ir Senato narių turto deklaracijos ir toliau skelbiamos nenuosekliai ir neskaidriai</w:t>
      </w:r>
      <w:r>
        <w:rPr>
          <w:rStyle w:val="FootnoteReference"/>
          <w:rFonts w:cs="Times New Roman"/>
          <w:noProof/>
        </w:rPr>
        <w:footnoteReference w:id="114"/>
      </w:r>
      <w:r>
        <w:rPr>
          <w:noProof/>
        </w:rPr>
        <w:t xml:space="preserve">. </w:t>
      </w:r>
    </w:p>
    <w:p>
      <w:pPr>
        <w:rPr>
          <w:rFonts w:cs="Times New Roman"/>
          <w:noProof/>
          <w:szCs w:val="24"/>
        </w:rPr>
      </w:pPr>
      <w:r>
        <w:rPr>
          <w:b/>
          <w:bCs/>
          <w:noProof/>
        </w:rPr>
        <w:t xml:space="preserve">Nėra Vyriausybės narių atžvilgiu vykdomos lobistinės veiklos įstatymo, tačiau Parlamentui pateikta keletas įstatymų projektų. </w:t>
      </w:r>
      <w:r>
        <w:rPr>
          <w:noProof/>
        </w:rPr>
        <w:t>Įstatymų projektuose</w:t>
      </w:r>
      <w:r>
        <w:rPr>
          <w:noProof/>
          <w:vertAlign w:val="superscript"/>
        </w:rPr>
        <w:footnoteReference w:id="115"/>
      </w:r>
      <w:r>
        <w:rPr>
          <w:noProof/>
        </w:rPr>
        <w:t xml:space="preserve"> pristatyta bendroji bendravimo su interesų grupių atstovais sistema, grindžiama patirtimi, įgyta tvarkant Ekonominės plėtros ministerijos ir Darbo ministerijos skaidrumo registrus</w:t>
      </w:r>
      <w:r>
        <w:rPr>
          <w:rFonts w:cs="Times New Roman"/>
          <w:noProof/>
          <w:vertAlign w:val="superscript"/>
        </w:rPr>
        <w:footnoteReference w:id="116"/>
      </w:r>
      <w:r>
        <w:rPr>
          <w:noProof/>
        </w:rPr>
        <w:t>. Galimybė nustatyti poveikio teisės aktui koncepciją konkrečiai nenurodyta, tačiau Vyriausybė 4-ajame nacionaliniame atviros vyriausybės veiksmų plane įsipareigojo sudaryti darbo grupę bendro nacionalinio skaidrumo registro, į kurį būtų įtraukiamos viešai skelbiamos visų sprendimus priimančių asmenų darbotvarkės atskleidžiant informaciją apie susitikimus su lobistais, sukūrimo klausimais</w:t>
      </w:r>
      <w:r>
        <w:rPr>
          <w:rFonts w:cs="Times New Roman"/>
          <w:noProof/>
          <w:vertAlign w:val="superscript"/>
        </w:rPr>
        <w:footnoteReference w:id="117"/>
      </w:r>
      <w:r>
        <w:rPr>
          <w:noProof/>
        </w:rPr>
        <w:t>. Kol nėra veikiančio lobistų registro, įskaitant informaciją apie poveikį teisės aktams, lobistų vykdomos veiklos valdžios atstovų atžvilgiu reguliavimas tebėra suskaidytas</w:t>
      </w:r>
      <w:r>
        <w:rPr>
          <w:rFonts w:cs="Times New Roman"/>
          <w:noProof/>
          <w:vertAlign w:val="superscript"/>
        </w:rPr>
        <w:footnoteReference w:id="118"/>
      </w:r>
      <w:r>
        <w:rPr>
          <w:noProof/>
        </w:rPr>
        <w:t xml:space="preserve">. </w:t>
      </w:r>
    </w:p>
    <w:p>
      <w:pPr>
        <w:rPr>
          <w:rFonts w:cs="Times New Roman"/>
          <w:noProof/>
          <w:szCs w:val="24"/>
        </w:rPr>
      </w:pPr>
      <w:r>
        <w:rPr>
          <w:b/>
          <w:bCs/>
          <w:noProof/>
        </w:rPr>
        <w:t>2020 m. pateiktame teisės akto pasiūlyme dėl interesų konfliktų prevencijos numatyta peržiūrėti įsidarbinimo palikus valstybės tarnybą („sukamųjų durų“ reiškinio) taisykles</w:t>
      </w:r>
      <w:r>
        <w:rPr>
          <w:noProof/>
        </w:rPr>
        <w:t>. Kalbant apie šio pasiūlymo</w:t>
      </w:r>
      <w:r>
        <w:rPr>
          <w:rFonts w:cs="Times New Roman"/>
          <w:noProof/>
          <w:vertAlign w:val="superscript"/>
        </w:rPr>
        <w:footnoteReference w:id="119"/>
      </w:r>
      <w:r>
        <w:rPr>
          <w:noProof/>
        </w:rPr>
        <w:t xml:space="preserve"> taikymo sritį, jis būtų taikomas Parlamento nariams ir aukščiausias vadovaujamas pareigas einantiems pareigūnams, tačiau nebūtų taikomas tiesiogiai su ministrais susijusiems valstybės pareigūnams, pavyzdžiui, kabinetų vadovams. Šiuo metu vis dar vyksta diskusijos dėl siūlomo vienų metų veiklos pertraukos laikotarpio trukmės</w:t>
      </w:r>
      <w:r>
        <w:rPr>
          <w:rFonts w:cs="Times New Roman"/>
          <w:noProof/>
          <w:vertAlign w:val="superscript"/>
        </w:rPr>
        <w:footnoteReference w:id="120"/>
      </w:r>
      <w:r>
        <w:rPr>
          <w:noProof/>
        </w:rPr>
        <w:t xml:space="preserve">. </w:t>
      </w:r>
    </w:p>
    <w:p>
      <w:pPr>
        <w:rPr>
          <w:rFonts w:cs="Times New Roman"/>
          <w:noProof/>
        </w:rPr>
      </w:pPr>
      <w:r>
        <w:rPr>
          <w:b/>
          <w:bCs/>
          <w:noProof/>
        </w:rPr>
        <w:t>Italijoje draudžiama tiesiogiai skirti viešąjį finansavimą politinėms partijoms, įskaitant politines kampanijas</w:t>
      </w:r>
      <w:r>
        <w:rPr>
          <w:noProof/>
        </w:rPr>
        <w:t>. Todėl politinės partijos turi finansuoti savo veiklą beveik tik privačiais pavienių rėmėjų arba juridinių asmenų įnašais</w:t>
      </w:r>
      <w:r>
        <w:rPr>
          <w:rFonts w:cs="Times New Roman"/>
          <w:noProof/>
          <w:vertAlign w:val="superscript"/>
        </w:rPr>
        <w:footnoteReference w:id="121"/>
      </w:r>
      <w:r>
        <w:rPr>
          <w:noProof/>
        </w:rPr>
        <w:t>. Todėl Parlamento nariai yra itin priklausomi nuo galimybių politines kampanijas finansuoti nuosavais ištekliais, o politikos formuotojai – labiau priklausomi nuo privačių rėmėjų skiriamų lėšų ir mažiau apsaugoti nuo netinkamos įtakos</w:t>
      </w:r>
      <w:r>
        <w:rPr>
          <w:rFonts w:cs="Times New Roman"/>
          <w:noProof/>
          <w:vertAlign w:val="superscript"/>
        </w:rPr>
        <w:footnoteReference w:id="122"/>
      </w:r>
      <w:r>
        <w:rPr>
          <w:noProof/>
        </w:rPr>
        <w:t>. Privačių įnašų viršutinė riba yra gana aukšta – ji siekia 100 000 EUR per metus. Vis dėlto pagal politinių organizacijų finansavimo skaidrumo taisykles, kurios galioja nuo 2019 m., partijos yra įpareigotos skelbti duomenis apie joms skiriamus įnašus</w:t>
      </w:r>
      <w:r>
        <w:rPr>
          <w:rFonts w:cs="Times New Roman"/>
          <w:noProof/>
          <w:vertAlign w:val="superscript"/>
        </w:rPr>
        <w:footnoteReference w:id="123"/>
      </w:r>
      <w:r>
        <w:rPr>
          <w:noProof/>
        </w:rPr>
        <w:t>. Apie 500 EUR viršijančius įnašus pinigais arba natūra per vieną mėnesį nuo jų gavimo turi būti paskelbiama kartu nurodant rėmėjo tapatybę. Už reikalavimo paskelbti tokią informaciją nevykdymą baudžiama skiriant administracinę baudą, kurios dydis 3–5 kartus viršija gauto įnašo, apie kurį nebuvo pranešta, vertę. Draudžiama priimti iš užsienio skiriamus įnašus. Kyla susirūpinimas dėl kontrolės ir priežiūros įstaigų</w:t>
      </w:r>
      <w:r>
        <w:rPr>
          <w:rFonts w:cs="Times New Roman"/>
          <w:noProof/>
          <w:vertAlign w:val="superscript"/>
        </w:rPr>
        <w:footnoteReference w:id="124"/>
      </w:r>
      <w:r>
        <w:rPr>
          <w:noProof/>
        </w:rPr>
        <w:t xml:space="preserve"> pajėgumų ir išteklių. Praktika įnašus politinėms partijoms nukreipti per politinius fondus ir asociacijas gali būti viena iš kliūčių, trukdančių užtikrinti atskaitomybę visuomenei, nes tokias operacijas sudėtinga atsekti ir stebėti</w:t>
      </w:r>
      <w:r>
        <w:rPr>
          <w:rFonts w:cs="Times New Roman"/>
          <w:noProof/>
          <w:vertAlign w:val="superscript"/>
        </w:rPr>
        <w:footnoteReference w:id="125"/>
      </w:r>
      <w:r>
        <w:rPr>
          <w:noProof/>
        </w:rPr>
        <w:t>.</w:t>
      </w:r>
    </w:p>
    <w:p>
      <w:pPr>
        <w:rPr>
          <w:rFonts w:cs="Times New Roman"/>
          <w:bCs/>
          <w:noProof/>
        </w:rPr>
      </w:pPr>
      <w:r>
        <w:rPr>
          <w:b/>
          <w:noProof/>
        </w:rPr>
        <w:t>Dėl COVID-19 pandemijos gerokai padidėjo rizika, kad korupcija ir vykdomi su korupcija susiję nusikaltimai toliau skverbsis į teisėtą Italijos ekonomiką</w:t>
      </w:r>
      <w:r>
        <w:rPr>
          <w:noProof/>
        </w:rPr>
        <w:t>. Policijos duomenimis, nusikaltėliai visų pirma gauna naudos įsigydami nedideles privačias įmones, pavyzdžiui, dėl COVID-19 pandemijos su ekonominiais sunkumais susiduriančius restoranus, ir pirkdami sanitarijos produktus, įskaitant medicinines kaukes, asmenines apsaugos priemones ir medicinos prietaisus, o tokiais sandoriais gali būti naudojamasi kitiems su korupcija susijusiems nusikaltimams, pavyzdžiui, pinigų plovimui, palengvinti</w:t>
      </w:r>
      <w:r>
        <w:rPr>
          <w:rStyle w:val="FootnoteReference"/>
          <w:rFonts w:cs="Times New Roman"/>
          <w:noProof/>
        </w:rPr>
        <w:footnoteReference w:id="126"/>
      </w:r>
      <w:r>
        <w:rPr>
          <w:noProof/>
        </w:rPr>
        <w:t>. Be to, 2020 m. liepos mėn. priimtu Įstatyminiu dekretu dėl administracinio supaprastinimo ir skaitmeninimo priemonių taip pat nustatyta speciali viešųjų pirkimų sutarčių skyrimo tvarka</w:t>
      </w:r>
      <w:r>
        <w:rPr>
          <w:rFonts w:cs="Times New Roman"/>
          <w:noProof/>
          <w:vertAlign w:val="superscript"/>
        </w:rPr>
        <w:footnoteReference w:id="127"/>
      </w:r>
      <w:r>
        <w:rPr>
          <w:noProof/>
        </w:rPr>
        <w:t>. Taikant šias priemones daugiausia dėmesio skiriama tokiems aspektams kaip greitos procedūros ir tiesioginis sutarčių skyrimas neskelbiant oficialaus konkurso</w:t>
      </w:r>
      <w:r>
        <w:rPr>
          <w:rFonts w:cs="Times New Roman"/>
          <w:noProof/>
          <w:vertAlign w:val="superscript"/>
        </w:rPr>
        <w:footnoteReference w:id="128"/>
      </w:r>
      <w:r>
        <w:rPr>
          <w:noProof/>
        </w:rPr>
        <w:t>, supaprastintos sutarčių skyrimo procedūros ir sankcijos tiems, kurie stabdo arba vilkina sutarčių skyrimą ir viešųjų darbų vykdymą, nes dėl visų šių veiksnių gali būti sudaromos palankesnės sąlygos korupcijai</w:t>
      </w:r>
      <w:r>
        <w:rPr>
          <w:rFonts w:cs="Times New Roman"/>
          <w:noProof/>
          <w:vertAlign w:val="superscript"/>
        </w:rPr>
        <w:footnoteReference w:id="129"/>
      </w:r>
      <w:r>
        <w:rPr>
          <w:noProof/>
        </w:rPr>
        <w:t>. Kovos su korupcija institucija 2020 m. rugsėjo mėn. atnaujino savo viešųjų pirkimų sutarčių duomenų bazę ir 2020 m. gruodžio mėn. parengė naujus korupcijos rizikos viešųjų pirkimų sektoriuje rodiklius</w:t>
      </w:r>
      <w:r>
        <w:rPr>
          <w:rStyle w:val="FootnoteReference"/>
          <w:rFonts w:cs="Times New Roman"/>
          <w:bCs/>
          <w:noProof/>
        </w:rPr>
        <w:footnoteReference w:id="130"/>
      </w:r>
      <w:r>
        <w:rPr>
          <w:noProof/>
        </w:rPr>
        <w:t>.</w:t>
      </w:r>
    </w:p>
    <w:p>
      <w:pPr>
        <w:pStyle w:val="Heading1"/>
        <w:rPr>
          <w:noProof/>
        </w:rPr>
      </w:pPr>
      <w:r>
        <w:rPr>
          <w:noProof/>
        </w:rPr>
        <w:t>Žiniasklaidos pliuralizmas ir žiniasklaidos laisvė</w:t>
      </w:r>
    </w:p>
    <w:p>
      <w:pPr>
        <w:rPr>
          <w:rFonts w:eastAsia="Calibri" w:cs="Times New Roman"/>
          <w:noProof/>
          <w:szCs w:val="24"/>
        </w:rPr>
      </w:pPr>
      <w:r>
        <w:rPr>
          <w:noProof/>
        </w:rPr>
        <w:t>Saviraiškos ir informacijos laisvė, spaudos laisvė, taip pat žiniasklaidos finansavimo skaidrumo principas įtvirtinti Italijos Konstitucijoje</w:t>
      </w:r>
      <w:r>
        <w:rPr>
          <w:rFonts w:eastAsia="Calibri" w:cs="Times New Roman"/>
          <w:noProof/>
          <w:vertAlign w:val="superscript"/>
        </w:rPr>
        <w:footnoteReference w:id="131"/>
      </w:r>
      <w:r>
        <w:rPr>
          <w:noProof/>
        </w:rPr>
        <w:t>. Antrinės teisės aktais nustatyta tvirta sistema, kuria siekiama šalyje užtikrinti žiniasklaidos pliuralizmą, o pagal teisės aktus įsteigta nepriklausoma bendra žiniasklaidos reguliavimo institucija – Ryšių reguliavimo tarnyba (AGCOM). Šiuo metu teisės aktų leidėjas peržiūri baudžiamąją sankciją už garbės ir orumo įžeidimą, pagal kurią skiriamas laisvės atėmimas iki vienų metų, tačiau dar nepriimti teisės aktai, kuriais į nacionalinę teisę perkeliama Audiovizualinės žiniasklaidos paslaugų direktyva. Žurnalistai turi būti užsiregistravę Žurnalistų sąjungoje, kuri yra šios profesijos narių savivaldos organas.</w:t>
      </w:r>
    </w:p>
    <w:p>
      <w:pPr>
        <w:rPr>
          <w:rFonts w:eastAsia="Times New Roman" w:cs="Times New Roman"/>
          <w:noProof/>
        </w:rPr>
      </w:pPr>
      <w:r>
        <w:rPr>
          <w:b/>
          <w:noProof/>
        </w:rPr>
        <w:t>Audiovizualinės žiniasklaidos paslaugų reguliavimo institucija, Ryšių reguliavimo tarnyba, ir toliau veikia nepriklausomai ir efektyviai</w:t>
      </w:r>
      <w:r>
        <w:rPr>
          <w:b/>
          <w:bCs/>
          <w:noProof/>
        </w:rPr>
        <w:t>.</w:t>
      </w:r>
      <w:r>
        <w:rPr>
          <w:noProof/>
        </w:rPr>
        <w:t xml:space="preserve"> 2020 m. lapkričio mėn. Ryšių reguliavimo tarnybos Žurnalistikos observatorija paskelbė ataskaitą, kurioje, be kita ko, nagrinėjami tokie klausimai kaip žurnalisto profesija per COVID-19 pandemiją</w:t>
      </w:r>
      <w:r>
        <w:rPr>
          <w:rFonts w:eastAsia="Times New Roman" w:cs="Times New Roman"/>
          <w:noProof/>
          <w:vertAlign w:val="superscript"/>
          <w:lang w:eastAsia="fr-FR"/>
        </w:rPr>
        <w:footnoteReference w:id="132"/>
      </w:r>
      <w:r>
        <w:rPr>
          <w:noProof/>
        </w:rPr>
        <w:t xml:space="preserve"> ir daug sunkumų, su kuriais žurnalistai susidūrė prieš pandemiją ir jos metu. Joje dokumentais patvirtintos blogėjančios darbo sąlygos, padidėjęs laisvai samdomo ir kitokio mažų garantijų darbo mastas ir tai, kad žurnalistams trūksta specialių žinių, ypač su COVID-19 susijusiais klausimais</w:t>
      </w:r>
      <w:r>
        <w:rPr>
          <w:rFonts w:eastAsia="Times New Roman" w:cs="Times New Roman"/>
          <w:noProof/>
          <w:vertAlign w:val="superscript"/>
          <w:lang w:eastAsia="fr-FR"/>
        </w:rPr>
        <w:footnoteReference w:id="133"/>
      </w:r>
      <w:r>
        <w:rPr>
          <w:noProof/>
        </w:rPr>
        <w:t>.</w:t>
      </w:r>
    </w:p>
    <w:p>
      <w:pPr>
        <w:rPr>
          <w:rFonts w:eastAsia="Times New Roman" w:cs="Times New Roman"/>
          <w:noProof/>
        </w:rPr>
      </w:pPr>
      <w:r>
        <w:rPr>
          <w:b/>
          <w:noProof/>
        </w:rPr>
        <w:t>Siekdama sušvelninti COVID-19 pandemijos poveikį, Vyriausybė žiniasklaidos sektoriui teikė finansinę paramą.</w:t>
      </w:r>
      <w:r>
        <w:rPr>
          <w:noProof/>
        </w:rPr>
        <w:t xml:space="preserve"> 2021 m. Italijos vyriausybė, siekdama sušvelninti COVID-19 pandemijos poveikį, nustatė keletą ekonominių priemonių. Tai buvo, be kita ko, tam tikros konkrečiai žiniasklaidos sektoriui skirtos priemonės, visų pirma mokesčių kreditas reklamos išlaidoms, mokesčių kreditas kioskams, mokesčių kreditas technologinėms investicijoms į skaitmeninę žiniasklaidą ir mokesčių kreditas įsigyjamam popieriui</w:t>
      </w:r>
      <w:r>
        <w:rPr>
          <w:rFonts w:eastAsia="Times New Roman" w:cs="Times New Roman"/>
          <w:noProof/>
          <w:vertAlign w:val="superscript"/>
          <w:lang w:eastAsia="fr-FR"/>
        </w:rPr>
        <w:footnoteReference w:id="134"/>
      </w:r>
      <w:r>
        <w:rPr>
          <w:noProof/>
        </w:rPr>
        <w:t>. Parlamentas taip pat pritarė tam, kad būtų atidėtas numatytas Informacijos pliuralizmo fondo biudžeto sumažinimas</w:t>
      </w:r>
      <w:r>
        <w:rPr>
          <w:rFonts w:eastAsia="Times New Roman" w:cs="Times New Roman"/>
          <w:noProof/>
          <w:vertAlign w:val="superscript"/>
          <w:lang w:eastAsia="fr-FR"/>
        </w:rPr>
        <w:footnoteReference w:id="135"/>
      </w:r>
      <w:r>
        <w:rPr>
          <w:noProof/>
        </w:rPr>
        <w:t>. Galimybė pasinaudoti šio fondo lėšomis grindžiama keliais objektyviais kriterijais, t. y. teisę gauti viešąją paramą turėtų turėti tik žurnalistų kooperatyvų leidžiami laikraščiai, ne pelno ir kalbinėms mažumoms skirti leidiniai. Konstitucinis Teismas yra nusprendęs, kad tokioje svarbioje srityje reikalinga skaidri reguliavimo sistema ir kad išteklių paskirstymas turi būti grindžiamas aiškiais ir objektyviais kriterijais</w:t>
      </w:r>
      <w:r>
        <w:rPr>
          <w:rFonts w:eastAsia="Times New Roman" w:cs="Times New Roman"/>
          <w:noProof/>
          <w:vertAlign w:val="superscript"/>
          <w:lang w:eastAsia="fr-FR"/>
        </w:rPr>
        <w:footnoteReference w:id="136"/>
      </w:r>
      <w:r>
        <w:rPr>
          <w:noProof/>
        </w:rPr>
        <w:t xml:space="preserve">. </w:t>
      </w:r>
    </w:p>
    <w:p>
      <w:pPr>
        <w:rPr>
          <w:rFonts w:eastAsia="Calibri" w:cs="Times New Roman"/>
          <w:noProof/>
        </w:rPr>
      </w:pPr>
      <w:r>
        <w:rPr>
          <w:b/>
          <w:noProof/>
        </w:rPr>
        <w:t>Italijos žiniasklaidos politinė nepriklausomybė tebėra vienas iš susirūpinimą keliančių klausimų, nes nėra efektyvaus įstatymo, kuriuo būtų reglamentuojama interesų konfliktų prevencija.</w:t>
      </w:r>
      <w:r>
        <w:rPr>
          <w:noProof/>
        </w:rPr>
        <w:t xml:space="preserve"> Nepaisant to, kad šis klausimas tebėra viena iš pagrindinių politinių temų šalyje, Parlamente vis dar svarstomi reformų projektai</w:t>
      </w:r>
      <w:r>
        <w:rPr>
          <w:rFonts w:eastAsia="Calibri" w:cs="Times New Roman"/>
          <w:noProof/>
          <w:vertAlign w:val="superscript"/>
        </w:rPr>
        <w:footnoteReference w:id="137"/>
      </w:r>
      <w:r>
        <w:rPr>
          <w:noProof/>
        </w:rPr>
        <w:t>. Nors politikai ar politinės partijos nėra tiesioginiai arba netiesioginiai svarbiausių Italijos laikraščių savininkai, redakcijos pozicijos atspindi didelę Italijos politinės arenos poliarizaciją. Dėl šių priežasčių Žiniasklaidos pliuralizmo observatorijos 2021 m. ataskaitoje laikomasi nuomonės, kad politinei nepriklausomybei apskritai ir visų pirma redakcijos savarankiškumui kyla vidutinė rizika</w:t>
      </w:r>
      <w:r>
        <w:rPr>
          <w:rFonts w:eastAsia="Calibri" w:cs="Times New Roman"/>
          <w:noProof/>
          <w:vertAlign w:val="superscript"/>
        </w:rPr>
        <w:footnoteReference w:id="138"/>
      </w:r>
      <w:r>
        <w:rPr>
          <w:noProof/>
        </w:rPr>
        <w:t>. Italijoje pastebima didelė visų naujienų žiniasklaidos sektoriaus dalių koncentracija</w:t>
      </w:r>
      <w:r>
        <w:rPr>
          <w:rStyle w:val="FootnoteReference"/>
          <w:noProof/>
        </w:rPr>
        <w:footnoteReference w:id="139"/>
      </w:r>
      <w:r>
        <w:rPr>
          <w:noProof/>
        </w:rPr>
        <w:t>.</w:t>
      </w:r>
    </w:p>
    <w:p>
      <w:pPr>
        <w:rPr>
          <w:rFonts w:eastAsia="Calibri" w:cs="Times New Roman"/>
          <w:noProof/>
        </w:rPr>
      </w:pPr>
      <w:r>
        <w:rPr>
          <w:b/>
          <w:noProof/>
          <w:szCs w:val="20"/>
        </w:rPr>
        <w:t>Pranešta apie problemas, trukdančias efektyviai susipažinti su informacija.</w:t>
      </w:r>
      <w:r>
        <w:rPr>
          <w:i/>
          <w:noProof/>
          <w:szCs w:val="20"/>
        </w:rPr>
        <w:t xml:space="preserve"> </w:t>
      </w:r>
      <w:r>
        <w:rPr>
          <w:noProof/>
        </w:rPr>
        <w:t>Italijos įstatymu dėl galimybės susipažinti su informacija (FOIA)</w:t>
      </w:r>
      <w:r>
        <w:rPr>
          <w:rFonts w:eastAsia="Calibri" w:cs="Times New Roman"/>
          <w:noProof/>
          <w:vertAlign w:val="superscript"/>
        </w:rPr>
        <w:footnoteReference w:id="140"/>
      </w:r>
      <w:r>
        <w:rPr>
          <w:noProof/>
        </w:rPr>
        <w:t xml:space="preserve"> reglamentuojamos piliečių galimybės susipažinti su viešojo administravimo institucijų turimais duomenimis ir dokumentais. Žiniasklaidos pliuralizmo observatorijos 2021 m. ataskaitoje nurodomos nepriklausomos ataskaitos, kuriose dėmesys atkreipiamas į tai, kad institucijų pateikiamos priežastys, kuriomis pagrindžiamas atsisakymas leisti susipažinti su informacija, kartais yra miglotos ir aiškiai nepagrįstos įstatyme numatytomis išimtimis. COVID-19 pandemijos metu Įstatyme dėl galimybės susipažinti su informacija numatytos tvarkos sustabdymas nuo 2020 m. vasario 28 d. iki balandžio 15 d. buvo grindžiamas ne visuomenės sveikatos apsaugos sumetimais, o greičiau praktinėmis priežastimis</w:t>
      </w:r>
      <w:r>
        <w:rPr>
          <w:rFonts w:eastAsia="Calibri" w:cs="Times New Roman"/>
          <w:noProof/>
          <w:vertAlign w:val="superscript"/>
        </w:rPr>
        <w:footnoteReference w:id="141"/>
      </w:r>
      <w:r>
        <w:rPr>
          <w:noProof/>
        </w:rPr>
        <w:t xml:space="preserve">. </w:t>
      </w:r>
    </w:p>
    <w:p>
      <w:pPr>
        <w:rPr>
          <w:rFonts w:eastAsia="Calibri"/>
          <w:noProof/>
        </w:rPr>
      </w:pPr>
      <w:r>
        <w:rPr>
          <w:b/>
          <w:noProof/>
        </w:rPr>
        <w:t xml:space="preserve">Nepakeisti įstatymai dėl garbės ir orumo įžeidimo ir juos toliau tikrina Parlamentas. </w:t>
      </w:r>
      <w:r>
        <w:rPr>
          <w:noProof/>
        </w:rPr>
        <w:t>Vis dėlto,</w:t>
      </w:r>
      <w:r>
        <w:rPr>
          <w:b/>
          <w:noProof/>
        </w:rPr>
        <w:t xml:space="preserve"> </w:t>
      </w:r>
      <w:r>
        <w:rPr>
          <w:noProof/>
        </w:rPr>
        <w:t>atsižvelgiant į Konstitucinio Teismo pareiškimus šiuo klausimu</w:t>
      </w:r>
      <w:r>
        <w:rPr>
          <w:rFonts w:eastAsia="Calibri" w:cs="Times New Roman"/>
          <w:noProof/>
          <w:vertAlign w:val="superscript"/>
        </w:rPr>
        <w:footnoteReference w:id="142"/>
      </w:r>
      <w:r>
        <w:rPr>
          <w:noProof/>
        </w:rPr>
        <w:t>, kurie išsamiai aprašyti 2020 m. teisinės valstybės principo taikymo ataskaitoje</w:t>
      </w:r>
      <w:r>
        <w:rPr>
          <w:rStyle w:val="FootnoteReference"/>
          <w:rFonts w:eastAsia="Calibri" w:cs="Times New Roman"/>
          <w:noProof/>
        </w:rPr>
        <w:footnoteReference w:id="143"/>
      </w:r>
      <w:r>
        <w:rPr>
          <w:noProof/>
        </w:rPr>
        <w:t xml:space="preserve"> ir kuriuos palankiai įvertino spaudos laisvę ginančios organizacijos, Žiniasklaidos pliuralizmo observatorijos 2021 m. ataskaitoje sumažintas šiam konkrečiam rodikliui kylančios rizikos lygis</w:t>
      </w:r>
      <w:r>
        <w:rPr>
          <w:rFonts w:eastAsia="Calibri" w:cs="Times New Roman"/>
          <w:noProof/>
          <w:vertAlign w:val="superscript"/>
        </w:rPr>
        <w:footnoteReference w:id="144"/>
      </w:r>
      <w:r>
        <w:rPr>
          <w:noProof/>
        </w:rPr>
        <w:t xml:space="preserve">. 2021 m. birželio 22 d. Konstitucinis Teismas nusprendė, kad Spaudos įstatymo 13 straipsnis, tiek, kiek jame numatyta laisvės atėmimo bausmė už garbė ir orumą įžeidimą spaudoje, prieštarauja konstitucijai ir yra nesuderinamas su </w:t>
      </w:r>
      <w:r>
        <w:rPr>
          <w:noProof/>
          <w:color w:val="000000" w:themeColor="text1"/>
        </w:rPr>
        <w:t>Europos žmogaus teisių konvencijos 10 straipsniu</w:t>
      </w:r>
      <w:r>
        <w:rPr>
          <w:rStyle w:val="FootnoteReference"/>
          <w:rFonts w:eastAsia="Times New Roman" w:cs="Times New Roman"/>
          <w:noProof/>
          <w:color w:val="000000" w:themeColor="text1"/>
          <w:szCs w:val="24"/>
        </w:rPr>
        <w:footnoteReference w:id="145"/>
      </w:r>
      <w:r>
        <w:rPr>
          <w:noProof/>
          <w:color w:val="000000" w:themeColor="text1"/>
        </w:rPr>
        <w:t xml:space="preserve">. </w:t>
      </w:r>
    </w:p>
    <w:p>
      <w:pPr>
        <w:rPr>
          <w:rFonts w:eastAsia="Times New Roman" w:cs="Times New Roman"/>
          <w:noProof/>
        </w:rPr>
      </w:pPr>
      <w:r>
        <w:rPr>
          <w:b/>
          <w:bCs/>
          <w:noProof/>
        </w:rPr>
        <w:t xml:space="preserve">Vienas iš susirūpinimą keliančių klausimų tebėra fiziniai išpuoliai prieš žurnalistus, jiems skirti grasinimai mirtimi ir kitų rūšių bauginimas. </w:t>
      </w:r>
      <w:r>
        <w:rPr>
          <w:noProof/>
        </w:rPr>
        <w:t>Nuo tada, kai buvo pateikta paskutinė teisinės valstybės principo taikymo ataskaita, Europos Tarybos platformoje žurnalistikos apsaugai ir žurnalistų saugumui skatinti buvo užregistruoti aštuoni perspėjimai dėl Italijos</w:t>
      </w:r>
      <w:r>
        <w:rPr>
          <w:rFonts w:eastAsia="Times New Roman" w:cs="Times New Roman"/>
          <w:noProof/>
          <w:vertAlign w:val="superscript"/>
          <w:lang w:eastAsia="fr-FR"/>
        </w:rPr>
        <w:footnoteReference w:id="146"/>
      </w:r>
      <w:r>
        <w:rPr>
          <w:noProof/>
        </w:rPr>
        <w:t>. Jie buvo susiję su tyčiniais padegimais, fiziniais išpuoliais, rimto bauginimo atvejais ir internetiniais grasinimais, išsiųstais Italijos spaudos asociacijos prezidentui. Vienas iš šių perspėjimų (2021 m. balandžio mėn.) susijęs su tariamu mažiausiai 15 žurnalistų, dirbančių su migracijos klausimais, pokalbių klausymusi valstybės prokurorams atliekant NVO ir prekiautojų žmonėmis santykių tyrimą. Žurnalistams atstovaujančios Europos ir Italijos asociacijos tai apibūdino kaip labai rimtą atvejį ir „didelį žurnalistų informacijos šaltinių konfidencialumo pažeidimą“</w:t>
      </w:r>
      <w:r>
        <w:rPr>
          <w:rFonts w:eastAsia="Times New Roman" w:cs="Times New Roman"/>
          <w:noProof/>
          <w:vertAlign w:val="superscript"/>
          <w:lang w:eastAsia="fr-FR"/>
        </w:rPr>
        <w:footnoteReference w:id="147"/>
      </w:r>
      <w:r>
        <w:rPr>
          <w:noProof/>
        </w:rPr>
        <w:t>. Nepaisant pakartotinių Italijos spaudos asociacijos prašymų, žurnalistų informacijos šaltinių apsauga tebėra nepakankama, o Pagrindų įstatymas dėl žurnalistų profesinės paslapties – nevisapusis</w:t>
      </w:r>
      <w:r>
        <w:rPr>
          <w:rFonts w:eastAsia="Times New Roman" w:cs="Times New Roman"/>
          <w:noProof/>
          <w:vertAlign w:val="superscript"/>
          <w:lang w:eastAsia="fr-FR"/>
        </w:rPr>
        <w:footnoteReference w:id="148"/>
      </w:r>
      <w:r>
        <w:rPr>
          <w:noProof/>
        </w:rPr>
        <w:t>. Todėl Žiniasklaidos pliuralizmo observatorija dar kartą įvertino, kad žurnalistų profesijai, standartams ir apsaugai kyla vidutinė rizika. Ir Žiniasklaidos pliuralizmo observatorijos 2021 m. ataskaitoje nurodyta, ir keletas suinteresuotųjų subjektų</w:t>
      </w:r>
      <w:r>
        <w:rPr>
          <w:rFonts w:eastAsia="Times New Roman" w:cs="Times New Roman"/>
          <w:noProof/>
          <w:vertAlign w:val="superscript"/>
          <w:lang w:eastAsia="fr-FR"/>
        </w:rPr>
        <w:footnoteReference w:id="149"/>
      </w:r>
      <w:r>
        <w:rPr>
          <w:noProof/>
        </w:rPr>
        <w:t xml:space="preserve"> yra pažymėję, kad vienas iš didelį susirūpinimą keliančių klausimų yra blogėjančios žurnalistų darbo sąlygos, kurioms būdingas didėjantis atotrūkis tarp įmonėse įdarbintų ir laisvai samdomų žurnalistų ir bendras redakcijos žinių skyriuose dirbančių darbuotojų skaičiaus mažinimas</w:t>
      </w:r>
      <w:r>
        <w:rPr>
          <w:rFonts w:eastAsia="Calibri" w:cs="Times New Roman"/>
          <w:noProof/>
          <w:vertAlign w:val="superscript"/>
        </w:rPr>
        <w:footnoteReference w:id="150"/>
      </w:r>
      <w:r>
        <w:rPr>
          <w:noProof/>
        </w:rPr>
        <w:t>. 2017 m. įsteigtas Italijos koordinavimo centras, kuris sprendžia klausimus, susijusius su išpuoliais prieš žurnalistus, ir ES lygmeniu yra laikomas vienu iš geriausios patirties pavyzdžių, užregistravo daugybę bauginimo atvejų: 2020 m. – 163 bauginimo atvejus</w:t>
      </w:r>
      <w:r>
        <w:rPr>
          <w:rFonts w:eastAsia="Times New Roman" w:cs="Times New Roman"/>
          <w:noProof/>
          <w:vertAlign w:val="superscript"/>
          <w:lang w:eastAsia="fr-FR"/>
        </w:rPr>
        <w:footnoteReference w:id="151"/>
      </w:r>
      <w:r>
        <w:rPr>
          <w:noProof/>
        </w:rPr>
        <w:t>, o 2021 m. nuo sausio iki kovo mėn. – 63 tokius atvejus</w:t>
      </w:r>
      <w:r>
        <w:rPr>
          <w:rFonts w:eastAsia="Times New Roman" w:cs="Times New Roman"/>
          <w:noProof/>
          <w:vertAlign w:val="superscript"/>
          <w:lang w:eastAsia="fr-FR"/>
        </w:rPr>
        <w:footnoteReference w:id="152"/>
      </w:r>
      <w:r>
        <w:rPr>
          <w:noProof/>
        </w:rPr>
        <w:t xml:space="preserve">. </w:t>
      </w:r>
    </w:p>
    <w:p>
      <w:pPr>
        <w:pStyle w:val="Heading1"/>
        <w:rPr>
          <w:noProof/>
        </w:rPr>
      </w:pPr>
      <w:r>
        <w:rPr>
          <w:noProof/>
        </w:rPr>
        <w:t>Kiti instituciniai klausimai, susiję su stabdžių ir atsvarų sistema</w:t>
      </w:r>
    </w:p>
    <w:p>
      <w:pPr>
        <w:rPr>
          <w:rFonts w:cs="Times New Roman"/>
          <w:noProof/>
          <w:szCs w:val="24"/>
        </w:rPr>
      </w:pPr>
      <w:r>
        <w:rPr>
          <w:noProof/>
        </w:rPr>
        <w:t>Italija yra unitarinė parlamentinė respublika, kurios prezidentas renkamas netiesiogiai</w:t>
      </w:r>
      <w:r>
        <w:rPr>
          <w:rFonts w:cs="Times New Roman"/>
          <w:noProof/>
          <w:vertAlign w:val="superscript"/>
        </w:rPr>
        <w:footnoteReference w:id="153"/>
      </w:r>
      <w:r>
        <w:rPr>
          <w:noProof/>
        </w:rPr>
        <w:t>. Parlamentą sudaro dveji rūmai: Deputatų Rūmai ir Senatas, turintys vienodus įgaliojimus. Teisė inicijuoti teisės aktus suteikta Vyriausybei, Parlamento nariams, 50 000 piliečių grupei, Nacionalinei ekonomikos ir darbo tarybai</w:t>
      </w:r>
      <w:r>
        <w:rPr>
          <w:rFonts w:cs="Times New Roman"/>
          <w:noProof/>
          <w:vertAlign w:val="superscript"/>
        </w:rPr>
        <w:footnoteReference w:id="154"/>
      </w:r>
      <w:r>
        <w:rPr>
          <w:noProof/>
        </w:rPr>
        <w:t xml:space="preserve"> ir Regioninei tarybai. Keli regionų ombudsmenai atsakingi už asmenų laisvių ir teisių apsaugą</w:t>
      </w:r>
      <w:r>
        <w:rPr>
          <w:rFonts w:cs="Times New Roman"/>
          <w:noProof/>
          <w:vertAlign w:val="superscript"/>
        </w:rPr>
        <w:footnoteReference w:id="155"/>
      </w:r>
      <w:r>
        <w:rPr>
          <w:noProof/>
        </w:rPr>
        <w:t>. Tarpžinybinis žmogaus teisių komitetas (CIDU), siekdamas skatinti ir ginti žmogaus teises, palaiko ryšius su pilietine visuomene, akademine bendruomene ir visais atitinkamais suinteresuotaisiais subjektais.</w:t>
      </w:r>
    </w:p>
    <w:p>
      <w:pPr>
        <w:spacing w:after="160"/>
        <w:rPr>
          <w:rFonts w:cs="Times New Roman"/>
          <w:bCs/>
          <w:noProof/>
          <w:szCs w:val="24"/>
        </w:rPr>
      </w:pPr>
      <w:r>
        <w:rPr>
          <w:b/>
          <w:bCs/>
          <w:noProof/>
        </w:rPr>
        <w:t xml:space="preserve">Reguliariai atliekami teisės aktų poveikio </w:t>
      </w:r>
      <w:r>
        <w:rPr>
          <w:b/>
          <w:bCs/>
          <w:i/>
          <w:noProof/>
        </w:rPr>
        <w:t>ex ante</w:t>
      </w:r>
      <w:r>
        <w:rPr>
          <w:b/>
          <w:bCs/>
          <w:noProof/>
        </w:rPr>
        <w:t xml:space="preserve"> vertinimai, tačiau vis dar retai rengiamos viešos konsultacijos ir retai atliekami teisės aktų poveikio </w:t>
      </w:r>
      <w:r>
        <w:rPr>
          <w:b/>
          <w:bCs/>
          <w:i/>
          <w:noProof/>
        </w:rPr>
        <w:t>ex post</w:t>
      </w:r>
      <w:r>
        <w:rPr>
          <w:b/>
          <w:bCs/>
          <w:noProof/>
        </w:rPr>
        <w:t xml:space="preserve"> vertinimai</w:t>
      </w:r>
      <w:r>
        <w:rPr>
          <w:rFonts w:cs="Times New Roman"/>
          <w:b/>
          <w:bCs/>
          <w:noProof/>
          <w:vertAlign w:val="superscript"/>
        </w:rPr>
        <w:footnoteReference w:id="156"/>
      </w:r>
      <w:r>
        <w:rPr>
          <w:b/>
          <w:bCs/>
          <w:noProof/>
        </w:rPr>
        <w:t xml:space="preserve">. </w:t>
      </w:r>
      <w:r>
        <w:rPr>
          <w:noProof/>
        </w:rPr>
        <w:t>Ministrų tarybos pirmininko dekretu Nr. 169/2017 reikalaujama, kad visos viešojo administravimo institucijos skelbtų preliminarią šešių mėnesių informaciją apie kiekvieną reglamentavimo iniciatyvą. Vis dėlto dar neįdiegtos standartizuotos suinteresuotųjų subjektų nuomonės analizės procedūros</w:t>
      </w:r>
      <w:r>
        <w:rPr>
          <w:rFonts w:cs="Times New Roman"/>
          <w:noProof/>
          <w:vertAlign w:val="superscript"/>
        </w:rPr>
        <w:footnoteReference w:id="157"/>
      </w:r>
      <w:r>
        <w:rPr>
          <w:noProof/>
        </w:rPr>
        <w:t>. Rengiant viešas konsultacijas dažniau naudojamasi skaitmeninėmis priemonėmis, ir tai šiek tiek padeda didinti proceso efektyvumą. Visų pirma, naudojantis platformomis</w:t>
      </w:r>
      <w:r>
        <w:rPr>
          <w:rStyle w:val="FootnoteReference"/>
          <w:rFonts w:cs="Times New Roman"/>
          <w:noProof/>
        </w:rPr>
        <w:footnoteReference w:id="158"/>
      </w:r>
      <w:r>
        <w:rPr>
          <w:noProof/>
        </w:rPr>
        <w:t xml:space="preserve"> išmokta naudotis novatoriškomis ir interaktyviomis priemonėmis, suteikiančiomis galimybę užtikrinti aktyvesnį naudotojų dalyvavimą</w:t>
      </w:r>
      <w:r>
        <w:rPr>
          <w:rFonts w:cs="Times New Roman"/>
          <w:noProof/>
          <w:vertAlign w:val="superscript"/>
        </w:rPr>
        <w:footnoteReference w:id="159"/>
      </w:r>
      <w:r>
        <w:rPr>
          <w:noProof/>
        </w:rPr>
        <w:t>. Tam tikrais atvejais naudotojams taip pat pateikiama viešojo administravimo institucijų grįžtamoji informacija</w:t>
      </w:r>
      <w:r>
        <w:rPr>
          <w:rFonts w:cs="Times New Roman"/>
          <w:noProof/>
          <w:vertAlign w:val="superscript"/>
        </w:rPr>
        <w:footnoteReference w:id="160"/>
      </w:r>
      <w:r>
        <w:rPr>
          <w:noProof/>
        </w:rPr>
        <w:t>. Vis dėlto konsultacijos daugiausia vykdomos naudojantis įprastais metodais</w:t>
      </w:r>
      <w:r>
        <w:rPr>
          <w:rFonts w:cs="Times New Roman"/>
          <w:noProof/>
          <w:vertAlign w:val="superscript"/>
        </w:rPr>
        <w:footnoteReference w:id="161"/>
      </w:r>
      <w:r>
        <w:rPr>
          <w:noProof/>
        </w:rPr>
        <w:t xml:space="preserve">. Reguliariai atliekami </w:t>
      </w:r>
      <w:r>
        <w:rPr>
          <w:i/>
          <w:noProof/>
        </w:rPr>
        <w:t>ex ante</w:t>
      </w:r>
      <w:r>
        <w:rPr>
          <w:noProof/>
        </w:rPr>
        <w:t xml:space="preserve"> poveikio vertinimai ir pradėta atlikti </w:t>
      </w:r>
      <w:r>
        <w:rPr>
          <w:i/>
          <w:noProof/>
        </w:rPr>
        <w:t>ex post</w:t>
      </w:r>
      <w:r>
        <w:rPr>
          <w:noProof/>
        </w:rPr>
        <w:t xml:space="preserve"> vertinimus. Visų pirma, 2020 m. buvo atlikti 2019 m. dvejų metų planuose nustatytų veiksmų </w:t>
      </w:r>
      <w:r>
        <w:rPr>
          <w:i/>
          <w:noProof/>
        </w:rPr>
        <w:t>ex post</w:t>
      </w:r>
      <w:r>
        <w:rPr>
          <w:noProof/>
        </w:rPr>
        <w:t xml:space="preserve"> vertinimai</w:t>
      </w:r>
      <w:r>
        <w:rPr>
          <w:rFonts w:cs="Times New Roman"/>
          <w:noProof/>
          <w:vertAlign w:val="superscript"/>
        </w:rPr>
        <w:footnoteReference w:id="162"/>
      </w:r>
      <w:r>
        <w:rPr>
          <w:noProof/>
        </w:rPr>
        <w:t xml:space="preserve">. </w:t>
      </w:r>
    </w:p>
    <w:p>
      <w:pPr>
        <w:rPr>
          <w:rFonts w:eastAsia="Times New Roman" w:cs="Times New Roman"/>
          <w:noProof/>
          <w:szCs w:val="20"/>
        </w:rPr>
      </w:pPr>
      <w:r>
        <w:rPr>
          <w:b/>
          <w:bCs/>
          <w:noProof/>
        </w:rPr>
        <w:t>Vis dar galioja dėl COVID-19 pandemijos nustatyta nepaprastoji padėtis ir turi būti sudaryta nauja parlamentinė komisija,</w:t>
      </w:r>
      <w:r>
        <w:rPr>
          <w:b/>
          <w:noProof/>
        </w:rPr>
        <w:t xml:space="preserve"> </w:t>
      </w:r>
      <w:r>
        <w:rPr>
          <w:b/>
          <w:bCs/>
          <w:noProof/>
        </w:rPr>
        <w:t>padėsianti stiprinti Parlamento vaidmenį nepaprastosios padėties atvejais</w:t>
      </w:r>
      <w:r>
        <w:rPr>
          <w:noProof/>
        </w:rPr>
        <w:t>. 2021 m. balandžio mėn. Vyriausybė nepaprastąją padėtį pratęsė iki 2021 m. liepos 31 d., tačiau kartu priėmė priemones, kuriomis laipsniškai mažinami apribojimai</w:t>
      </w:r>
      <w:r>
        <w:rPr>
          <w:rStyle w:val="FootnoteReference"/>
          <w:rFonts w:eastAsia="Times New Roman" w:cs="Times New Roman"/>
          <w:noProof/>
          <w:lang w:eastAsia="fr-FR"/>
        </w:rPr>
        <w:footnoteReference w:id="163"/>
      </w:r>
      <w:r>
        <w:rPr>
          <w:noProof/>
        </w:rPr>
        <w:t>. Vyriausybė toliau nustato kovos su pandemija priemones – ji tai daro priimdama įstatyminius dekretus</w:t>
      </w:r>
      <w:r>
        <w:rPr>
          <w:rFonts w:eastAsia="Times New Roman" w:cs="Times New Roman"/>
          <w:noProof/>
          <w:vertAlign w:val="superscript"/>
          <w:lang w:eastAsia="fr-FR"/>
        </w:rPr>
        <w:footnoteReference w:id="164"/>
      </w:r>
      <w:r>
        <w:rPr>
          <w:noProof/>
        </w:rPr>
        <w:t>, kurie nedelsiant įsigalioja ir kuriuos Parlamentas paskui pakeičia įstatymais</w:t>
      </w:r>
      <w:r>
        <w:rPr>
          <w:rFonts w:eastAsia="Times New Roman" w:cs="Times New Roman"/>
          <w:noProof/>
          <w:vertAlign w:val="superscript"/>
          <w:lang w:eastAsia="fr-FR"/>
        </w:rPr>
        <w:footnoteReference w:id="165"/>
      </w:r>
      <w:r>
        <w:rPr>
          <w:noProof/>
        </w:rPr>
        <w:t>. Ministrų tarybos pirmininkas Ministrų tarybos pirmininko dekretu taip pat gali tiesiogiai priimti neatidėliotinas priemones. Tokiais atvejais Vyriausybė, prieš priimdama dekretą, turi Parlamentui pristatyti jo turinį ir pagrindinius tikslus. Kai dėl skubos to padaryti neįmanoma, paprastai kas 15 dienų Parlamento rūmams pateikiamas tolesnis pranešimas</w:t>
      </w:r>
      <w:r>
        <w:rPr>
          <w:rFonts w:cs="Times New Roman"/>
          <w:noProof/>
          <w:vertAlign w:val="superscript"/>
        </w:rPr>
        <w:footnoteReference w:id="166"/>
      </w:r>
      <w:r>
        <w:rPr>
          <w:noProof/>
        </w:rPr>
        <w:t>. Dėl COVID-19 pandemijos pirmaisiais nepaprastosios padėties mėnesiais Parlamentas nusprendė nagrinėti tik skubius teisės aktus ir visus su ekstremaliąja sveikatos situacija susijusius klausimus. Įprastas darbas buvo atnaujintas 2020 m. gegužės mėn. Siekdamas užtikrinti, kad per COVID-19 pandemiją ir apskritai ekstremaliųjų situacijų metu Parlamentas atliktų vieną iš pagrindinių vaidmenų, Senatas pasiūlė sudaryti specialią iš dviejų rūmų atstovų sudarytą komisiją</w:t>
      </w:r>
      <w:r>
        <w:rPr>
          <w:rFonts w:eastAsia="Times New Roman" w:cs="Times New Roman"/>
          <w:noProof/>
          <w:vertAlign w:val="superscript"/>
          <w:lang w:eastAsia="fr-FR"/>
        </w:rPr>
        <w:footnoteReference w:id="167"/>
      </w:r>
      <w:r>
        <w:rPr>
          <w:noProof/>
        </w:rPr>
        <w:t>, su kuria būtų konsultuojamasi dėl visų Vyriausybės priimamų su nepaprastąja padėtimi dėl pandemijos susijusių teisės aktų. Ši komisija, kuri dar turi būti sudaryta, atliktų patariamąją ir ryšių su vietos subjektais palaikymo funkcijas</w:t>
      </w:r>
      <w:r>
        <w:rPr>
          <w:rFonts w:eastAsia="Times New Roman" w:cs="Times New Roman"/>
          <w:noProof/>
          <w:vertAlign w:val="superscript"/>
          <w:lang w:eastAsia="fr-FR"/>
        </w:rPr>
        <w:footnoteReference w:id="168"/>
      </w:r>
      <w:r>
        <w:rPr>
          <w:noProof/>
        </w:rPr>
        <w:t>. Tam tikros Ministrų tarybos pirmininko dekretu priimtos priemonės buvo užginčytos administraciniuose teismuose – jie turėjo įvertinti, ar jos yra proporcingos pagrindinių teisių apribojimams</w:t>
      </w:r>
      <w:r>
        <w:rPr>
          <w:rFonts w:eastAsia="Times New Roman" w:cs="Times New Roman"/>
          <w:noProof/>
          <w:vertAlign w:val="superscript"/>
          <w:lang w:eastAsia="fr-FR"/>
        </w:rPr>
        <w:footnoteReference w:id="169"/>
      </w:r>
      <w:r>
        <w:rPr>
          <w:noProof/>
        </w:rPr>
        <w:t>. Konstituciniame Teisme buvo užginčyta nuostata dėl senaties termino skaičiavimo sustabdymo</w:t>
      </w:r>
      <w:r>
        <w:rPr>
          <w:rStyle w:val="FootnoteReference"/>
          <w:rFonts w:eastAsia="Times New Roman" w:cs="Times New Roman"/>
          <w:noProof/>
          <w:lang w:eastAsia="fr-FR"/>
        </w:rPr>
        <w:footnoteReference w:id="170"/>
      </w:r>
      <w:r>
        <w:rPr>
          <w:noProof/>
        </w:rPr>
        <w:t>, tačiau Teismas nenustatė piktnaudžiavimo įstatymų leidžiamąja valdžia rizikos</w:t>
      </w:r>
      <w:r>
        <w:rPr>
          <w:rStyle w:val="FootnoteReference"/>
          <w:rFonts w:eastAsia="Times New Roman" w:cs="Times New Roman"/>
          <w:noProof/>
          <w:lang w:eastAsia="fr-FR"/>
        </w:rPr>
        <w:footnoteReference w:id="171"/>
      </w:r>
      <w:r>
        <w:rPr>
          <w:noProof/>
        </w:rPr>
        <w:t xml:space="preserve">. </w:t>
      </w:r>
    </w:p>
    <w:p>
      <w:pPr>
        <w:rPr>
          <w:rFonts w:eastAsia="Times New Roman" w:cs="Times New Roman"/>
          <w:noProof/>
          <w:szCs w:val="20"/>
        </w:rPr>
      </w:pPr>
      <w:r>
        <w:rPr>
          <w:b/>
          <w:bCs/>
          <w:noProof/>
        </w:rPr>
        <w:t>Jokios pažangos nepadaryta steigiant nepriklausomą žmogaus teisių instituciją</w:t>
      </w:r>
      <w:r>
        <w:rPr>
          <w:rFonts w:eastAsia="Times New Roman" w:cs="Times New Roman"/>
          <w:b/>
          <w:bCs/>
          <w:noProof/>
          <w:vertAlign w:val="superscript"/>
          <w:lang w:eastAsia="fr-FR"/>
        </w:rPr>
        <w:footnoteReference w:id="172"/>
      </w:r>
      <w:r>
        <w:rPr>
          <w:b/>
          <w:bCs/>
          <w:noProof/>
        </w:rPr>
        <w:t>.</w:t>
      </w:r>
      <w:r>
        <w:rPr>
          <w:noProof/>
        </w:rPr>
        <w:t xml:space="preserve"> Vis dar vyksta diskusijos dėl Nepriklausomos nacionalinės žmogaus teisių institucijos (NHRI) įsteigimo</w:t>
      </w:r>
      <w:r>
        <w:rPr>
          <w:rFonts w:eastAsia="Times New Roman" w:cs="Times New Roman"/>
          <w:noProof/>
          <w:vertAlign w:val="superscript"/>
          <w:lang w:eastAsia="fr-FR"/>
        </w:rPr>
        <w:footnoteReference w:id="173"/>
      </w:r>
      <w:r>
        <w:rPr>
          <w:noProof/>
        </w:rPr>
        <w:t>.</w:t>
      </w:r>
      <w:r>
        <w:rPr>
          <w:b/>
          <w:bCs/>
          <w:noProof/>
        </w:rPr>
        <w:t xml:space="preserve"> </w:t>
      </w:r>
      <w:r>
        <w:rPr>
          <w:noProof/>
        </w:rPr>
        <w:t>2020 m. spalio mėn.</w:t>
      </w:r>
      <w:r>
        <w:rPr>
          <w:b/>
          <w:bCs/>
          <w:noProof/>
        </w:rPr>
        <w:t xml:space="preserve"> </w:t>
      </w:r>
      <w:r>
        <w:rPr>
          <w:noProof/>
        </w:rPr>
        <w:t>du</w:t>
      </w:r>
      <w:r>
        <w:rPr>
          <w:b/>
          <w:bCs/>
          <w:noProof/>
        </w:rPr>
        <w:t xml:space="preserve"> </w:t>
      </w:r>
      <w:r>
        <w:rPr>
          <w:noProof/>
        </w:rPr>
        <w:t>pradiniai 2018 m. pateikti pasiūlymų įsteigti Nepriklausomą nacionalinę žmogaus teisių instituciją projektai buvo sujungti į vieną Parlamento pasiūlymą. Naujasis dokumento tekstas šiuo metu svarstomas Deputatų Rūmų Pagrindinių teisių skatinimo ir apsaugos komisijoje</w:t>
      </w:r>
      <w:r>
        <w:rPr>
          <w:rFonts w:eastAsia="Times New Roman" w:cs="Times New Roman"/>
          <w:noProof/>
          <w:vertAlign w:val="superscript"/>
          <w:lang w:eastAsia="fr-FR"/>
        </w:rPr>
        <w:footnoteReference w:id="174"/>
      </w:r>
      <w:r>
        <w:rPr>
          <w:noProof/>
        </w:rPr>
        <w:t xml:space="preserve">. Šiuo pasiūlymu būtų įsteigta Nepriklausoma nacionalinė žmogaus teisių institucija, o tai atitinka Paryžiaus principus ir Jungtinių Tautų rekomendacijas. </w:t>
      </w:r>
    </w:p>
    <w:p>
      <w:pPr>
        <w:rPr>
          <w:rFonts w:eastAsia="Times New Roman" w:cs="Times New Roman"/>
          <w:noProof/>
        </w:rPr>
      </w:pPr>
      <w:r>
        <w:rPr>
          <w:b/>
          <w:bCs/>
          <w:noProof/>
        </w:rPr>
        <w:t>Pilietinėje erdvėje ir toliau kyla sunkumų, tačiau patobulinti tam tikri teisės aktų dėl pilietinės visuomenės organizacijų, dirbančių su migrantais, aspektai.</w:t>
      </w:r>
      <w:r>
        <w:rPr>
          <w:noProof/>
        </w:rPr>
        <w:t xml:space="preserve"> 2020 m. spalio mėn. buvo šiek tiek patobulinti</w:t>
      </w:r>
      <w:r>
        <w:rPr>
          <w:rStyle w:val="FootnoteReference"/>
          <w:rFonts w:eastAsia="Times New Roman" w:cs="Times New Roman"/>
          <w:noProof/>
          <w:lang w:eastAsia="fr-FR"/>
        </w:rPr>
        <w:footnoteReference w:id="175"/>
      </w:r>
      <w:r>
        <w:rPr>
          <w:noProof/>
        </w:rPr>
        <w:t xml:space="preserve"> teisės aktai dėl pilietinės visuomenės organizacijų, dirbančių su migrantais, ypač tam tikros nuostatos</w:t>
      </w:r>
      <w:r>
        <w:rPr>
          <w:rFonts w:eastAsia="Times New Roman" w:cs="Times New Roman"/>
          <w:noProof/>
          <w:vertAlign w:val="superscript"/>
          <w:lang w:eastAsia="fr-FR"/>
        </w:rPr>
        <w:footnoteReference w:id="176"/>
      </w:r>
      <w:r>
        <w:rPr>
          <w:noProof/>
        </w:rPr>
        <w:t>, kuriomis reglamentuojama pilietinės visuomenės organizacijų, vykdančių paieškos ir gelbėjimo operacijas jūroje, veikla</w:t>
      </w:r>
      <w:r>
        <w:rPr>
          <w:rFonts w:eastAsia="Times New Roman" w:cs="Times New Roman"/>
          <w:noProof/>
          <w:vertAlign w:val="superscript"/>
          <w:lang w:eastAsia="fr-FR"/>
        </w:rPr>
        <w:footnoteReference w:id="177"/>
      </w:r>
      <w:r>
        <w:rPr>
          <w:noProof/>
        </w:rPr>
        <w:t>. Nepaisant pandemijos, stiprinamas bendradarbiavimas su pilietinės visuomenės organizacijomis</w:t>
      </w:r>
      <w:r>
        <w:rPr>
          <w:rFonts w:eastAsia="Times New Roman" w:cs="Times New Roman"/>
          <w:noProof/>
          <w:vertAlign w:val="superscript"/>
          <w:lang w:eastAsia="fr-FR"/>
        </w:rPr>
        <w:footnoteReference w:id="178"/>
      </w:r>
      <w:r>
        <w:rPr>
          <w:noProof/>
        </w:rPr>
        <w:t>. Vis dėlto dar kyla susirūpinimas dėl NVO įregistravimo proceso sudėtingumo ir vėlavimo įgyvendinti įstatymą, kuriuo suderinamos taisyklės dėl ne pelno sektoriaus</w:t>
      </w:r>
      <w:r>
        <w:rPr>
          <w:rFonts w:eastAsia="Times New Roman" w:cs="Times New Roman"/>
          <w:noProof/>
          <w:vertAlign w:val="superscript"/>
          <w:lang w:eastAsia="fr-FR"/>
        </w:rPr>
        <w:footnoteReference w:id="179"/>
      </w:r>
      <w:r>
        <w:rPr>
          <w:noProof/>
        </w:rPr>
        <w:t>. Nors pastaruoju metu būta teigiamų pokyčių (nutraukta byla prieš žmogaus teisių gynėją</w:t>
      </w:r>
      <w:r>
        <w:rPr>
          <w:rStyle w:val="FootnoteReference"/>
          <w:rFonts w:cs="Times New Roman"/>
          <w:noProof/>
        </w:rPr>
        <w:footnoteReference w:id="180"/>
      </w:r>
      <w:r>
        <w:rPr>
          <w:noProof/>
        </w:rPr>
        <w:t>, gynusį teises migracijos ir</w:t>
      </w:r>
      <w:r>
        <w:rPr>
          <w:rFonts w:ascii="Arial" w:hAnsi="Arial"/>
          <w:noProof/>
          <w:szCs w:val="24"/>
        </w:rPr>
        <w:t xml:space="preserve"> </w:t>
      </w:r>
      <w:r>
        <w:rPr>
          <w:noProof/>
        </w:rPr>
        <w:t>prieglobsčio srityje), šioje srityje tebėra susirūpinimą keliančių klausimų</w:t>
      </w:r>
      <w:r>
        <w:rPr>
          <w:rFonts w:cs="Times New Roman"/>
          <w:noProof/>
          <w:vertAlign w:val="superscript"/>
        </w:rPr>
        <w:footnoteReference w:id="181"/>
      </w:r>
      <w:r>
        <w:rPr>
          <w:noProof/>
        </w:rPr>
        <w:t>. Be to, pilietinė erdvė vis dar laikoma susiaurinta</w:t>
      </w:r>
      <w:r>
        <w:rPr>
          <w:rFonts w:cs="Times New Roman"/>
          <w:noProof/>
          <w:vertAlign w:val="superscript"/>
        </w:rPr>
        <w:footnoteReference w:id="182"/>
      </w:r>
      <w:r>
        <w:rPr>
          <w:noProof/>
        </w:rPr>
        <w:t>.</w:t>
      </w:r>
    </w:p>
    <w:p>
      <w:pPr>
        <w:pageBreakBefore/>
        <w:spacing w:after="120" w:line="264" w:lineRule="auto"/>
        <w:rPr>
          <w:rFonts w:eastAsia="Times New Roman" w:cs="Times New Roman"/>
          <w:b/>
          <w:bCs/>
          <w:noProof/>
          <w:sz w:val="22"/>
        </w:rPr>
      </w:pPr>
      <w:r>
        <w:rPr>
          <w:b/>
          <w:bCs/>
          <w:noProof/>
          <w:sz w:val="22"/>
        </w:rPr>
        <w:t>I priedas. Abėcėlinis šaltinių sąrašas*</w:t>
      </w:r>
    </w:p>
    <w:p>
      <w:pPr>
        <w:spacing w:after="120"/>
        <w:rPr>
          <w:rFonts w:eastAsia="Times New Roman" w:cs="Times New Roman"/>
          <w:i/>
          <w:noProof/>
        </w:rPr>
      </w:pPr>
      <w:r>
        <w:rPr>
          <w:i/>
          <w:iCs/>
          <w:noProof/>
          <w:sz w:val="22"/>
        </w:rPr>
        <w:t>* Atsakymų, gautų per konsultacijas dėl 2021 m. teisinės valstybės principo taikymo ataskaitos, sąrašas pateikiamas</w:t>
      </w:r>
      <w:r>
        <w:rPr>
          <w:noProof/>
        </w:rPr>
        <w:t xml:space="preserve"> </w:t>
      </w:r>
      <w:hyperlink r:id="rId19" w:history="1">
        <w:r>
          <w:rPr>
            <w:rStyle w:val="Hyperlink"/>
            <w:i/>
            <w:noProof/>
            <w:sz w:val="22"/>
          </w:rPr>
          <w:t>https://ec.europa.eu/info/policies/justice-and-fundamental-rights/upholding-rule-law/rule-law/rule-law-mechanism/2021-rule-law-report-targeted-stakeholder-consultation</w:t>
        </w:r>
      </w:hyperlink>
      <w:r>
        <w:rPr>
          <w:i/>
          <w:noProof/>
        </w:rPr>
        <w:t>.</w:t>
      </w:r>
    </w:p>
    <w:p>
      <w:pPr>
        <w:spacing w:after="120" w:line="259" w:lineRule="auto"/>
        <w:rPr>
          <w:rFonts w:cs="Times New Roman"/>
          <w:noProof/>
          <w:sz w:val="22"/>
        </w:rPr>
      </w:pPr>
      <w:r>
        <w:rPr>
          <w:noProof/>
          <w:sz w:val="22"/>
        </w:rPr>
        <w:t xml:space="preserve">Autorità per le Garanzie nelle Comunicazioni (AGCOM), </w:t>
      </w:r>
      <w:r>
        <w:rPr>
          <w:i/>
          <w:noProof/>
          <w:sz w:val="22"/>
        </w:rPr>
        <w:t>Osservatorio sul Giornalismo III edizione - La professione alla prova dell'emergenza Covid-19 - documento di consultazione pubblica</w:t>
      </w:r>
      <w:r>
        <w:rPr>
          <w:noProof/>
          <w:sz w:val="22"/>
        </w:rPr>
        <w:t>,</w:t>
      </w:r>
      <w:r>
        <w:rPr>
          <w:noProof/>
        </w:rPr>
        <w:t xml:space="preserve"> </w:t>
      </w:r>
      <w:hyperlink r:id="rId20" w:history="1">
        <w:r>
          <w:rPr>
            <w:rStyle w:val="Hyperlink"/>
            <w:noProof/>
            <w:sz w:val="22"/>
          </w:rPr>
          <w:t>https://www.agcom.it/documents/10179/20594109/Comunicazione+23-11-2020/b6623771-dbaa-4ccb-baab-9520f87afbc8?version=1.0</w:t>
        </w:r>
      </w:hyperlink>
      <w:r>
        <w:rPr>
          <w:noProof/>
          <w:sz w:val="22"/>
        </w:rPr>
        <w:t xml:space="preserve">. </w:t>
      </w:r>
    </w:p>
    <w:p>
      <w:pPr>
        <w:spacing w:after="120"/>
        <w:rPr>
          <w:rFonts w:cs="Times New Roman"/>
          <w:noProof/>
          <w:sz w:val="22"/>
        </w:rPr>
      </w:pPr>
      <w:r>
        <w:rPr>
          <w:noProof/>
          <w:color w:val="000000"/>
          <w:sz w:val="22"/>
        </w:rPr>
        <w:t xml:space="preserve">CIVICUS, </w:t>
      </w:r>
      <w:r>
        <w:rPr>
          <w:i/>
          <w:noProof/>
          <w:color w:val="000000"/>
          <w:sz w:val="22"/>
        </w:rPr>
        <w:t>Monitor tracking civic space – Italy</w:t>
      </w:r>
      <w:r>
        <w:rPr>
          <w:noProof/>
          <w:color w:val="000000"/>
          <w:sz w:val="22"/>
        </w:rPr>
        <w:t>,</w:t>
      </w:r>
      <w:r>
        <w:rPr>
          <w:noProof/>
        </w:rPr>
        <w:t xml:space="preserve"> </w:t>
      </w:r>
      <w:hyperlink r:id="rId21" w:history="1">
        <w:r>
          <w:rPr>
            <w:rStyle w:val="Hyperlink"/>
            <w:noProof/>
            <w:sz w:val="22"/>
          </w:rPr>
          <w:t>https://monitor.civicus.org/country/italy/</w:t>
        </w:r>
      </w:hyperlink>
      <w:r>
        <w:rPr>
          <w:noProof/>
          <w:color w:val="000000"/>
          <w:sz w:val="22"/>
        </w:rPr>
        <w:t>.</w:t>
      </w:r>
    </w:p>
    <w:p>
      <w:pPr>
        <w:spacing w:after="120" w:line="259" w:lineRule="auto"/>
        <w:rPr>
          <w:rFonts w:cs="Times New Roman"/>
          <w:noProof/>
          <w:sz w:val="22"/>
        </w:rPr>
      </w:pPr>
      <w:r>
        <w:rPr>
          <w:noProof/>
          <w:sz w:val="22"/>
        </w:rPr>
        <w:t xml:space="preserve">EBPO (2017), </w:t>
      </w:r>
      <w:r>
        <w:rPr>
          <w:i/>
          <w:noProof/>
          <w:sz w:val="22"/>
        </w:rPr>
        <w:t>Statement of the OECD Working Group on Bribery on Italy’s implementation of the Anti-Bribery Convention</w:t>
      </w:r>
      <w:r>
        <w:rPr>
          <w:noProof/>
          <w:sz w:val="22"/>
        </w:rPr>
        <w:t xml:space="preserve">, </w:t>
      </w:r>
      <w:hyperlink r:id="rId22" w:history="1">
        <w:r>
          <w:rPr>
            <w:rStyle w:val="Hyperlink"/>
            <w:noProof/>
            <w:sz w:val="22"/>
          </w:rPr>
          <w:t>https://www.oecd.org/corruption/statement-of-the-oecd-working-group-on-bribery-on-italy-implementation-of-the-anti-bribery-convention.htm</w:t>
        </w:r>
      </w:hyperlink>
      <w:r>
        <w:rPr>
          <w:noProof/>
          <w:sz w:val="22"/>
        </w:rPr>
        <w:t>.</w:t>
      </w:r>
    </w:p>
    <w:p>
      <w:pPr>
        <w:spacing w:after="120"/>
        <w:rPr>
          <w:rStyle w:val="Hyperlink"/>
          <w:rFonts w:cs="Times New Roman"/>
          <w:bCs/>
          <w:noProof/>
          <w:color w:val="auto"/>
          <w:sz w:val="22"/>
          <w:u w:val="none"/>
        </w:rPr>
      </w:pPr>
      <w:r>
        <w:rPr>
          <w:rStyle w:val="Hyperlink"/>
          <w:bCs/>
          <w:noProof/>
          <w:color w:val="auto"/>
          <w:sz w:val="22"/>
          <w:u w:val="none"/>
        </w:rPr>
        <w:t>Europos Komisija (2020), 2020 m. teisinės valstybės principo taikymo ataskaita. Teisinės valstybės padėtis Europos Sąjungoje.</w:t>
      </w:r>
    </w:p>
    <w:p>
      <w:pPr>
        <w:spacing w:after="120"/>
        <w:rPr>
          <w:rFonts w:cs="Times New Roman"/>
          <w:noProof/>
          <w:color w:val="000000"/>
          <w:sz w:val="22"/>
        </w:rPr>
      </w:pPr>
      <w:r>
        <w:rPr>
          <w:noProof/>
          <w:color w:val="000000"/>
          <w:sz w:val="22"/>
        </w:rPr>
        <w:t xml:space="preserve">Europos Komisija (2020), Rekomendacija dėl Tarybos rekomendacijos dėl 2020 m. Italijos nacionalinės reformų programos su Tarybos nuomone dėl 2020 m. Italijos stabilumo programos, </w:t>
      </w:r>
      <w:hyperlink r:id="rId23" w:history="1">
        <w:r>
          <w:rPr>
            <w:rStyle w:val="Hyperlink"/>
            <w:noProof/>
            <w:sz w:val="22"/>
          </w:rPr>
          <w:t>https://eur-lex.europa.eu/legal-content/LT/TXT/?qid=1591720698631&amp;uri=CELEX:52020DC0512</w:t>
        </w:r>
      </w:hyperlink>
      <w:r>
        <w:rPr>
          <w:noProof/>
          <w:color w:val="000000"/>
          <w:sz w:val="22"/>
        </w:rPr>
        <w:t>.</w:t>
      </w:r>
    </w:p>
    <w:p>
      <w:pPr>
        <w:spacing w:after="120"/>
        <w:rPr>
          <w:rFonts w:cs="Times New Roman"/>
          <w:bCs/>
          <w:noProof/>
          <w:sz w:val="22"/>
        </w:rPr>
      </w:pPr>
      <w:r>
        <w:rPr>
          <w:noProof/>
          <w:color w:val="000000"/>
          <w:sz w:val="22"/>
        </w:rPr>
        <w:t>Europos Komisija (2021), ES teisingumo rezultatų suvestinė.</w:t>
      </w:r>
    </w:p>
    <w:p>
      <w:pPr>
        <w:spacing w:after="120"/>
        <w:rPr>
          <w:rFonts w:cs="Times New Roman"/>
          <w:bCs/>
          <w:i/>
          <w:noProof/>
          <w:sz w:val="22"/>
        </w:rPr>
      </w:pPr>
      <w:r>
        <w:rPr>
          <w:bCs/>
          <w:noProof/>
          <w:sz w:val="22"/>
        </w:rPr>
        <w:t>Europos Sąjungos pagrindinių teisių agentūra (2021), iš Europos Sąjungos pagrindinių teisių agentūros gauti atsakymai rengiant 2021 m. teisinės valstybės principo taikymo ataskaitą.</w:t>
      </w:r>
    </w:p>
    <w:p>
      <w:pPr>
        <w:spacing w:after="120"/>
        <w:rPr>
          <w:rFonts w:cs="Times New Roman"/>
          <w:noProof/>
          <w:sz w:val="22"/>
        </w:rPr>
      </w:pPr>
      <w:r>
        <w:rPr>
          <w:noProof/>
          <w:sz w:val="22"/>
        </w:rPr>
        <w:t xml:space="preserve">Europos Sąjungos Taryba (2019), 2019 m. liepos 9 d. Tarybos rekomendacija dėl 2019 m. Italijos nacionalinės reformų programos su Tarybos nuomone dėl 2019 m. Italijos stabilumo programos, </w:t>
      </w:r>
      <w:hyperlink r:id="rId24" w:history="1">
        <w:r>
          <w:rPr>
            <w:rStyle w:val="Hyperlink"/>
            <w:noProof/>
            <w:sz w:val="22"/>
          </w:rPr>
          <w:t>https://eur-lex.europa.eu/legal-content/LT/TXT/PDF/?uri=CELEX:32019H0905(12)&amp;from=LT</w:t>
        </w:r>
      </w:hyperlink>
      <w:r>
        <w:rPr>
          <w:noProof/>
          <w:sz w:val="22"/>
        </w:rPr>
        <w:t>.</w:t>
      </w:r>
    </w:p>
    <w:p>
      <w:pPr>
        <w:spacing w:after="120"/>
        <w:rPr>
          <w:rFonts w:cs="Times New Roman"/>
          <w:noProof/>
          <w:color w:val="000000"/>
          <w:sz w:val="22"/>
        </w:rPr>
      </w:pPr>
      <w:r>
        <w:rPr>
          <w:noProof/>
          <w:color w:val="000000"/>
          <w:sz w:val="22"/>
        </w:rPr>
        <w:t>Europos Tarybos Ministrų Kabinetas (2010), Ministrų Kabineto rekomendacija valstybėms narėms CM/Rec(2010) 12 dėl teisėjų</w:t>
      </w:r>
      <w:r>
        <w:rPr>
          <w:i/>
          <w:noProof/>
          <w:color w:val="000000"/>
          <w:sz w:val="22"/>
        </w:rPr>
        <w:t xml:space="preserve"> </w:t>
      </w:r>
      <w:r>
        <w:rPr>
          <w:noProof/>
          <w:color w:val="000000"/>
          <w:sz w:val="22"/>
        </w:rPr>
        <w:t>nepriklausomumo, veiksmingumo ir atsakomybės.</w:t>
      </w:r>
    </w:p>
    <w:p>
      <w:pPr>
        <w:spacing w:after="120"/>
        <w:rPr>
          <w:rFonts w:cs="Times New Roman"/>
          <w:bCs/>
          <w:noProof/>
          <w:sz w:val="22"/>
        </w:rPr>
      </w:pPr>
      <w:r>
        <w:rPr>
          <w:noProof/>
          <w:sz w:val="22"/>
        </w:rPr>
        <w:t xml:space="preserve">Europos Tarybos platforma žurnalistikos apsaugai ir žurnalistų saugumui skatinti: Italija, </w:t>
      </w:r>
      <w:hyperlink r:id="rId25" w:history="1">
        <w:r>
          <w:rPr>
            <w:rStyle w:val="Hyperlink"/>
            <w:noProof/>
            <w:sz w:val="22"/>
          </w:rPr>
          <w:t>https://www.coe.int/en/web/media-freedom/italy</w:t>
        </w:r>
      </w:hyperlink>
      <w:r>
        <w:rPr>
          <w:noProof/>
          <w:sz w:val="22"/>
        </w:rPr>
        <w:t>.</w:t>
      </w:r>
    </w:p>
    <w:p>
      <w:pPr>
        <w:spacing w:after="120"/>
        <w:rPr>
          <w:rFonts w:cs="Times New Roman"/>
          <w:noProof/>
          <w:sz w:val="22"/>
        </w:rPr>
      </w:pPr>
      <w:r>
        <w:rPr>
          <w:noProof/>
          <w:sz w:val="22"/>
        </w:rPr>
        <w:t xml:space="preserve">Europos Tarybos Tarptautinių nevyriausybinių organizacijų konferencija (2019), Piliečių dalyvavimas sprendimų priėmimo procese. Faktų nustatymo misija į Italiją, </w:t>
      </w:r>
      <w:hyperlink r:id="rId26" w:history="1">
        <w:r>
          <w:rPr>
            <w:rStyle w:val="Hyperlink"/>
            <w:noProof/>
            <w:sz w:val="22"/>
          </w:rPr>
          <w:t>https://rm.coe.int/report-visit-of-the-conference-of-ingos-to-italy-2019/1680981493</w:t>
        </w:r>
      </w:hyperlink>
      <w:r>
        <w:rPr>
          <w:noProof/>
          <w:sz w:val="22"/>
        </w:rPr>
        <w:t xml:space="preserve">. </w:t>
      </w:r>
    </w:p>
    <w:p>
      <w:pPr>
        <w:spacing w:after="120"/>
        <w:rPr>
          <w:rFonts w:cs="Times New Roman"/>
          <w:i/>
          <w:noProof/>
          <w:sz w:val="22"/>
        </w:rPr>
      </w:pPr>
      <w:r>
        <w:rPr>
          <w:noProof/>
          <w:sz w:val="22"/>
        </w:rPr>
        <w:t>Europos teisėjų konsultacinė taryba (2020), Nuomonė Nr. 23 dėl teisėjų asociacijų vaidmens palaikant teismų nepriklausomumą.</w:t>
      </w:r>
    </w:p>
    <w:p>
      <w:pPr>
        <w:spacing w:after="120"/>
        <w:rPr>
          <w:rFonts w:cs="Times New Roman"/>
          <w:bCs/>
          <w:i/>
          <w:noProof/>
          <w:sz w:val="22"/>
        </w:rPr>
      </w:pPr>
      <w:r>
        <w:rPr>
          <w:noProof/>
          <w:sz w:val="22"/>
        </w:rPr>
        <w:t>Europos veiksmingo teisingumo komisija (CEPEJ) (2020), ES valstybių narių teismų sistemų veikimo tyrimas.</w:t>
      </w:r>
    </w:p>
    <w:p>
      <w:pPr>
        <w:spacing w:after="120"/>
        <w:rPr>
          <w:rFonts w:cs="Times New Roman"/>
          <w:bCs/>
          <w:noProof/>
          <w:sz w:val="22"/>
        </w:rPr>
      </w:pPr>
      <w:r>
        <w:rPr>
          <w:bCs/>
          <w:noProof/>
          <w:sz w:val="22"/>
        </w:rPr>
        <w:t xml:space="preserve">G 20 (2015), Atvirųjų duomenų siekiant kovoti su korupcija principai, </w:t>
      </w:r>
      <w:hyperlink r:id="rId27" w:history="1">
        <w:r>
          <w:rPr>
            <w:rStyle w:val="Hyperlink"/>
            <w:bCs/>
            <w:noProof/>
            <w:sz w:val="22"/>
          </w:rPr>
          <w:t>http://www.g20.utoronto.ca/2015/G20-Anti-Corruption-Open-Data-Principles.pdf</w:t>
        </w:r>
      </w:hyperlink>
      <w:r>
        <w:rPr>
          <w:bCs/>
          <w:noProof/>
          <w:sz w:val="22"/>
        </w:rPr>
        <w:t>.</w:t>
      </w:r>
    </w:p>
    <w:p>
      <w:pPr>
        <w:spacing w:after="120"/>
        <w:rPr>
          <w:rFonts w:cs="Times New Roman"/>
          <w:bCs/>
          <w:i/>
          <w:noProof/>
          <w:sz w:val="20"/>
        </w:rPr>
      </w:pPr>
      <w:r>
        <w:rPr>
          <w:noProof/>
          <w:sz w:val="22"/>
        </w:rPr>
        <w:t xml:space="preserve">GRECO (2019), </w:t>
      </w:r>
      <w:r>
        <w:rPr>
          <w:i/>
          <w:noProof/>
          <w:sz w:val="22"/>
        </w:rPr>
        <w:t>Third Evaluation Round - Second Addendum to the Second Compliance Report on Italy on Incriminations and Transparency of Party Funding</w:t>
      </w:r>
    </w:p>
    <w:p>
      <w:pPr>
        <w:spacing w:after="120"/>
        <w:rPr>
          <w:rFonts w:cs="Times New Roman"/>
          <w:noProof/>
          <w:sz w:val="22"/>
        </w:rPr>
      </w:pPr>
      <w:r>
        <w:rPr>
          <w:bCs/>
          <w:noProof/>
          <w:sz w:val="22"/>
        </w:rPr>
        <w:t xml:space="preserve">GRECO (2021), </w:t>
      </w:r>
      <w:r>
        <w:rPr>
          <w:bCs/>
          <w:i/>
          <w:noProof/>
          <w:sz w:val="22"/>
        </w:rPr>
        <w:t>Fourth Evaluation Round - Second Compliance Report on Italy on corruption prevention in respect of members of parliament, judges and prosecutors</w:t>
      </w:r>
    </w:p>
    <w:p>
      <w:pPr>
        <w:spacing w:after="120"/>
        <w:rPr>
          <w:rFonts w:cs="Times New Roman"/>
          <w:noProof/>
          <w:sz w:val="20"/>
        </w:rPr>
      </w:pPr>
      <w:r>
        <w:rPr>
          <w:noProof/>
          <w:sz w:val="22"/>
        </w:rPr>
        <w:t xml:space="preserve">Italijos kovos su korupcija institucija (2020), 2020 m. liepos 16 d. Įstatyminio dekreto straipsnių analizė, </w:t>
      </w:r>
      <w:hyperlink r:id="rId28" w:history="1">
        <w:r>
          <w:rPr>
            <w:rStyle w:val="Hyperlink"/>
            <w:noProof/>
            <w:sz w:val="22"/>
          </w:rPr>
          <w:t>https://www.anticorruzione.it/portal/rest/jcr/repository/collaboration/Digital Assets/anacdocs/Attivita/Pubblicazioni/RapportiStudi/ContrattiPubblici/Anac.DL76.2020.pdf</w:t>
        </w:r>
      </w:hyperlink>
      <w:r>
        <w:rPr>
          <w:noProof/>
          <w:sz w:val="22"/>
        </w:rPr>
        <w:t>.</w:t>
      </w:r>
    </w:p>
    <w:p>
      <w:pPr>
        <w:spacing w:after="120"/>
        <w:rPr>
          <w:rFonts w:cs="Times New Roman"/>
          <w:noProof/>
          <w:sz w:val="22"/>
        </w:rPr>
      </w:pPr>
      <w:r>
        <w:rPr>
          <w:noProof/>
          <w:sz w:val="22"/>
        </w:rPr>
        <w:t xml:space="preserve">Italijos kovos su korupcija institucija (2020), darbinis dokumentas Nr. 5 „Nacionalinės viešųjų pirkimų sutarčių duomenų bazės duomenų analizė ir korupcijos rizikos rodiklių rengimas“, </w:t>
      </w:r>
      <w:hyperlink r:id="rId29" w:history="1">
        <w:r>
          <w:rPr>
            <w:rStyle w:val="Hyperlink"/>
            <w:noProof/>
            <w:sz w:val="22"/>
          </w:rPr>
          <w:t>http://www.anticorruzione.it/portal/rest/jcr/repository/collaboration/Digital%20Assets/anacdocs/Attivita/Pubblicazioni/Collana%20scientifica%20Autorita/Collana%20scientifica%20Anac%20-%20Matteo%20Tro%C3%83%C2%ACa%20WP%20n.5.pdf</w:t>
        </w:r>
      </w:hyperlink>
      <w:r>
        <w:rPr>
          <w:noProof/>
          <w:sz w:val="22"/>
        </w:rPr>
        <w:t>.</w:t>
      </w:r>
    </w:p>
    <w:p>
      <w:pPr>
        <w:spacing w:after="120"/>
        <w:rPr>
          <w:rFonts w:cs="Times New Roman"/>
          <w:noProof/>
          <w:sz w:val="22"/>
        </w:rPr>
      </w:pPr>
      <w:r>
        <w:rPr>
          <w:noProof/>
          <w:sz w:val="22"/>
        </w:rPr>
        <w:t xml:space="preserve">Italijos kovos su korupcija institucija (2020), Korupcijos prevencija ir skaidrumas, </w:t>
      </w:r>
      <w:hyperlink r:id="rId30" w:history="1">
        <w:r>
          <w:rPr>
            <w:rStyle w:val="Hyperlink"/>
            <w:noProof/>
            <w:sz w:val="22"/>
          </w:rPr>
          <w:t>http://www.anticorruzione.it/portal/public/classic/Comunicazione/News/_news?id=8e7b24b70a77804261ad277e20798ed6</w:t>
        </w:r>
      </w:hyperlink>
      <w:r>
        <w:rPr>
          <w:noProof/>
          <w:sz w:val="22"/>
        </w:rPr>
        <w:t>.</w:t>
      </w:r>
    </w:p>
    <w:p>
      <w:pPr>
        <w:spacing w:after="120"/>
        <w:rPr>
          <w:noProof/>
          <w:sz w:val="22"/>
        </w:rPr>
      </w:pPr>
      <w:r>
        <w:rPr>
          <w:noProof/>
          <w:sz w:val="22"/>
        </w:rPr>
        <w:t>Italijos kovos su korupcija institucija, V</w:t>
      </w:r>
      <w:r>
        <w:rPr>
          <w:bCs/>
          <w:noProof/>
          <w:sz w:val="22"/>
        </w:rPr>
        <w:t>iešųjų pirkimų sutarčių duomenų bazė</w:t>
      </w:r>
      <w:r>
        <w:rPr>
          <w:noProof/>
          <w:sz w:val="22"/>
        </w:rPr>
        <w:t xml:space="preserve"> (dėl duomenų analizės žr. https://dati.anticorruzione.it/superset/dashboard/appalti/, dėl atvirųjų duomenų platformos žr. https://dati.anticorruzione.it/opendata/). </w:t>
      </w:r>
    </w:p>
    <w:p>
      <w:pPr>
        <w:spacing w:after="120" w:line="259" w:lineRule="auto"/>
        <w:rPr>
          <w:rFonts w:cs="Times New Roman"/>
          <w:noProof/>
          <w:sz w:val="20"/>
        </w:rPr>
      </w:pPr>
      <w:r>
        <w:rPr>
          <w:noProof/>
          <w:sz w:val="22"/>
        </w:rPr>
        <w:t xml:space="preserve">Italijos Ministrų Tarybos prezidiumo Informacijos ir leidybos skyrius, </w:t>
      </w:r>
      <w:r>
        <w:rPr>
          <w:i/>
          <w:noProof/>
          <w:sz w:val="22"/>
        </w:rPr>
        <w:t>Fondo per il pluralismo e l'innovazione dell'informazione</w:t>
      </w:r>
      <w:r>
        <w:rPr>
          <w:noProof/>
          <w:sz w:val="22"/>
        </w:rPr>
        <w:t xml:space="preserve">, </w:t>
      </w:r>
      <w:hyperlink r:id="rId31" w:history="1">
        <w:r>
          <w:rPr>
            <w:rStyle w:val="Hyperlink"/>
            <w:noProof/>
            <w:sz w:val="22"/>
          </w:rPr>
          <w:t>https://informazioneeditoria.gov.it/it/approfondimenti-e-normativa/fondo-per-il-pluralismo-e-linnovazione-dellinformazione/</w:t>
        </w:r>
      </w:hyperlink>
      <w:r>
        <w:rPr>
          <w:noProof/>
          <w:sz w:val="22"/>
        </w:rPr>
        <w:t>.</w:t>
      </w:r>
    </w:p>
    <w:p>
      <w:pPr>
        <w:spacing w:after="120"/>
        <w:rPr>
          <w:rFonts w:cs="Times New Roman"/>
          <w:bCs/>
          <w:i/>
          <w:noProof/>
          <w:sz w:val="22"/>
        </w:rPr>
      </w:pPr>
      <w:r>
        <w:rPr>
          <w:noProof/>
          <w:sz w:val="22"/>
        </w:rPr>
        <w:t>Italijos</w:t>
      </w:r>
      <w:r>
        <w:rPr>
          <w:bCs/>
          <w:noProof/>
          <w:sz w:val="22"/>
        </w:rPr>
        <w:t xml:space="preserve"> Respublikos Vyriausybė (2021), iš Italijos gauti atsakymai rengiant 2021 m. teisinės valstybės principo taikymo ataskaitą.</w:t>
      </w:r>
    </w:p>
    <w:p>
      <w:pPr>
        <w:spacing w:after="120"/>
        <w:rPr>
          <w:rFonts w:cs="Times New Roman"/>
          <w:noProof/>
          <w:sz w:val="22"/>
        </w:rPr>
      </w:pPr>
      <w:r>
        <w:rPr>
          <w:noProof/>
          <w:sz w:val="22"/>
        </w:rPr>
        <w:t xml:space="preserve">Italijos Respublikos Vyriausybė, 4-asis nacionalinis atviros vyriausybės veiksmų planas (2019–2021 m.), </w:t>
      </w:r>
      <w:hyperlink r:id="rId32" w:history="1">
        <w:r>
          <w:rPr>
            <w:rStyle w:val="Hyperlink"/>
            <w:noProof/>
            <w:sz w:val="22"/>
          </w:rPr>
          <w:t>https://www.opengovpartnership.org/wp-content/uploads/2019/07/Italy-Action-Plan-2019-2021-English.pdf</w:t>
        </w:r>
      </w:hyperlink>
      <w:r>
        <w:rPr>
          <w:noProof/>
          <w:sz w:val="22"/>
        </w:rPr>
        <w:t>.</w:t>
      </w:r>
    </w:p>
    <w:p>
      <w:pPr>
        <w:spacing w:after="120"/>
        <w:rPr>
          <w:rFonts w:cs="Times New Roman"/>
          <w:noProof/>
          <w:sz w:val="22"/>
        </w:rPr>
      </w:pPr>
      <w:r>
        <w:rPr>
          <w:noProof/>
          <w:sz w:val="22"/>
        </w:rPr>
        <w:t>Italijos</w:t>
      </w:r>
      <w:r>
        <w:rPr>
          <w:bCs/>
          <w:noProof/>
          <w:sz w:val="22"/>
        </w:rPr>
        <w:t xml:space="preserve"> Respublikos Vyriausybė, </w:t>
      </w:r>
      <w:r>
        <w:rPr>
          <w:noProof/>
          <w:sz w:val="22"/>
        </w:rPr>
        <w:t xml:space="preserve">viešoms konsultacijoms skirta platforma „Consultazione“, </w:t>
      </w:r>
      <w:hyperlink r:id="rId33" w:history="1">
        <w:r>
          <w:rPr>
            <w:rStyle w:val="Hyperlink"/>
            <w:noProof/>
            <w:sz w:val="22"/>
          </w:rPr>
          <w:t>http://www.consultazione.gov.it/it/</w:t>
        </w:r>
      </w:hyperlink>
      <w:r>
        <w:rPr>
          <w:rStyle w:val="Hyperlink"/>
          <w:noProof/>
          <w:sz w:val="22"/>
        </w:rPr>
        <w:t>.</w:t>
      </w:r>
      <w:r>
        <w:rPr>
          <w:noProof/>
          <w:sz w:val="22"/>
        </w:rPr>
        <w:t xml:space="preserve"> </w:t>
      </w:r>
    </w:p>
    <w:p>
      <w:pPr>
        <w:spacing w:after="120"/>
        <w:rPr>
          <w:rFonts w:cs="Times New Roman"/>
          <w:bCs/>
          <w:noProof/>
          <w:sz w:val="22"/>
        </w:rPr>
      </w:pPr>
      <w:r>
        <w:rPr>
          <w:noProof/>
          <w:sz w:val="22"/>
        </w:rPr>
        <w:t>Italijos</w:t>
      </w:r>
      <w:r>
        <w:rPr>
          <w:bCs/>
          <w:noProof/>
          <w:sz w:val="22"/>
        </w:rPr>
        <w:t xml:space="preserve"> Respublikos Vyriausybė, viešoms konsultacijoms skirta platforma „Partecipa“, </w:t>
      </w:r>
      <w:hyperlink r:id="rId34" w:history="1">
        <w:r>
          <w:rPr>
            <w:rStyle w:val="Hyperlink"/>
            <w:bCs/>
            <w:noProof/>
            <w:sz w:val="22"/>
          </w:rPr>
          <w:t>https://partecipa.gov.it/?locale=en</w:t>
        </w:r>
      </w:hyperlink>
      <w:r>
        <w:rPr>
          <w:noProof/>
          <w:sz w:val="22"/>
        </w:rPr>
        <w:t>.</w:t>
      </w:r>
    </w:p>
    <w:p>
      <w:pPr>
        <w:spacing w:after="120" w:line="259" w:lineRule="auto"/>
        <w:rPr>
          <w:rFonts w:cs="Times New Roman"/>
          <w:noProof/>
          <w:sz w:val="22"/>
        </w:rPr>
      </w:pPr>
      <w:r>
        <w:rPr>
          <w:noProof/>
          <w:sz w:val="22"/>
        </w:rPr>
        <w:t>Komunikacijos generalinis direktoratas (2019), Greitoji „Eurobarometro“ apklausa Nr. 482</w:t>
      </w:r>
      <w:r>
        <w:rPr>
          <w:i/>
          <w:iCs/>
          <w:noProof/>
          <w:sz w:val="22"/>
        </w:rPr>
        <w:t xml:space="preserve"> </w:t>
      </w:r>
      <w:r>
        <w:rPr>
          <w:noProof/>
          <w:sz w:val="22"/>
        </w:rPr>
        <w:t>„Verslo požiūris į korupciją ES“.</w:t>
      </w:r>
    </w:p>
    <w:p>
      <w:pPr>
        <w:spacing w:after="120" w:line="259" w:lineRule="auto"/>
        <w:rPr>
          <w:rFonts w:cs="Times New Roman"/>
          <w:noProof/>
          <w:sz w:val="22"/>
        </w:rPr>
      </w:pPr>
      <w:r>
        <w:rPr>
          <w:noProof/>
          <w:sz w:val="22"/>
        </w:rPr>
        <w:t>Komunikacijos generalinis direktoratas (2020), Specialioji „Eurobarometro“ apklausa Nr. 502</w:t>
      </w:r>
      <w:r>
        <w:rPr>
          <w:i/>
          <w:iCs/>
          <w:noProof/>
          <w:sz w:val="22"/>
        </w:rPr>
        <w:t xml:space="preserve"> </w:t>
      </w:r>
      <w:r>
        <w:rPr>
          <w:noProof/>
          <w:sz w:val="22"/>
        </w:rPr>
        <w:t>„Korupcija“.</w:t>
      </w:r>
    </w:p>
    <w:p>
      <w:pPr>
        <w:spacing w:after="120"/>
        <w:rPr>
          <w:rFonts w:cs="Times New Roman"/>
          <w:noProof/>
          <w:sz w:val="22"/>
        </w:rPr>
      </w:pPr>
      <w:r>
        <w:rPr>
          <w:noProof/>
          <w:sz w:val="22"/>
        </w:rPr>
        <w:t xml:space="preserve">La Repubblica (2020), </w:t>
      </w:r>
      <w:r>
        <w:rPr>
          <w:i/>
          <w:noProof/>
          <w:sz w:val="22"/>
        </w:rPr>
        <w:t>I Soldi di Change al Governantore: indagine sulla Fondazione di Toti</w:t>
      </w:r>
      <w:r>
        <w:rPr>
          <w:noProof/>
          <w:sz w:val="22"/>
        </w:rPr>
        <w:t xml:space="preserve">, </w:t>
      </w:r>
      <w:hyperlink r:id="rId35" w:history="1">
        <w:r>
          <w:rPr>
            <w:rStyle w:val="Hyperlink"/>
            <w:noProof/>
            <w:sz w:val="22"/>
          </w:rPr>
          <w:t>https://genova.repubblica.it/cronaca/2020/01/22/news/i_soldi_di_change_al_governatore_indagine_sulla_fondazione_di_toti-246332702/</w:t>
        </w:r>
      </w:hyperlink>
      <w:r>
        <w:rPr>
          <w:noProof/>
          <w:sz w:val="22"/>
        </w:rPr>
        <w:t>.</w:t>
      </w:r>
    </w:p>
    <w:p>
      <w:pPr>
        <w:spacing w:after="120" w:line="259" w:lineRule="auto"/>
        <w:rPr>
          <w:rFonts w:cs="Times New Roman"/>
          <w:noProof/>
          <w:sz w:val="22"/>
        </w:rPr>
      </w:pPr>
      <w:r>
        <w:rPr>
          <w:noProof/>
          <w:sz w:val="22"/>
        </w:rPr>
        <w:t xml:space="preserve">Reporters without Borders (2021), </w:t>
      </w:r>
      <w:r>
        <w:rPr>
          <w:i/>
          <w:noProof/>
          <w:sz w:val="22"/>
        </w:rPr>
        <w:t>World Press Freedom Index</w:t>
      </w:r>
    </w:p>
    <w:p>
      <w:pPr>
        <w:spacing w:after="120"/>
        <w:rPr>
          <w:rFonts w:cs="Times New Roman"/>
          <w:i/>
          <w:noProof/>
          <w:sz w:val="22"/>
        </w:rPr>
      </w:pPr>
      <w:r>
        <w:rPr>
          <w:noProof/>
          <w:sz w:val="22"/>
        </w:rPr>
        <w:t>Teisės ir teisėkūros reikalų departamentas ir Ryšių su Parlamentu departamentas (2021), iš Teisės ir teisėkūros reikalų departamento ir Ryšių su Parlamentu departamento gauti atsakymai rengiant 2021 m. teisinės valstybės principo taikymo ataskaitą.</w:t>
      </w:r>
    </w:p>
    <w:p>
      <w:pPr>
        <w:spacing w:after="120"/>
        <w:rPr>
          <w:rFonts w:cs="Times New Roman"/>
          <w:noProof/>
          <w:sz w:val="20"/>
        </w:rPr>
      </w:pPr>
      <w:r>
        <w:rPr>
          <w:noProof/>
          <w:sz w:val="22"/>
        </w:rPr>
        <w:t>Teisingumo ministerija (2021), iš Teisingumo ministerijos gauti atsakymai rengiant 2021 m. teisinės valstybės principo taikymo ataskaitą.</w:t>
      </w:r>
    </w:p>
    <w:p>
      <w:pPr>
        <w:spacing w:after="120" w:line="259" w:lineRule="auto"/>
        <w:rPr>
          <w:rFonts w:cs="Times New Roman"/>
          <w:noProof/>
          <w:sz w:val="22"/>
        </w:rPr>
      </w:pPr>
      <w:r>
        <w:rPr>
          <w:noProof/>
          <w:sz w:val="22"/>
        </w:rPr>
        <w:t xml:space="preserve">Toskanos regiono ombudsmeno interneto svetainė, </w:t>
      </w:r>
      <w:hyperlink r:id="rId36" w:history="1">
        <w:r>
          <w:rPr>
            <w:rStyle w:val="Hyperlink"/>
            <w:noProof/>
            <w:sz w:val="22"/>
          </w:rPr>
          <w:t>http://www.difensorecivicotoscana.it</w:t>
        </w:r>
      </w:hyperlink>
      <w:r>
        <w:rPr>
          <w:noProof/>
          <w:sz w:val="22"/>
        </w:rPr>
        <w:t>.</w:t>
      </w:r>
    </w:p>
    <w:p>
      <w:pPr>
        <w:spacing w:after="120" w:line="259" w:lineRule="auto"/>
        <w:rPr>
          <w:rFonts w:cs="Times New Roman"/>
          <w:noProof/>
          <w:sz w:val="22"/>
        </w:rPr>
      </w:pPr>
      <w:r>
        <w:rPr>
          <w:noProof/>
          <w:sz w:val="22"/>
        </w:rPr>
        <w:t xml:space="preserve">Transparency International (2020), </w:t>
      </w:r>
      <w:r>
        <w:rPr>
          <w:i/>
          <w:noProof/>
          <w:sz w:val="22"/>
        </w:rPr>
        <w:t>Debugging Democracy, Open data for political integrity in Europe</w:t>
      </w:r>
      <w:r>
        <w:rPr>
          <w:noProof/>
          <w:sz w:val="22"/>
        </w:rPr>
        <w:t>.</w:t>
      </w:r>
    </w:p>
    <w:p>
      <w:pPr>
        <w:spacing w:after="120" w:line="259" w:lineRule="auto"/>
        <w:rPr>
          <w:rFonts w:cs="Times New Roman"/>
          <w:iCs/>
          <w:noProof/>
          <w:sz w:val="22"/>
        </w:rPr>
      </w:pPr>
      <w:r>
        <w:rPr>
          <w:noProof/>
          <w:sz w:val="22"/>
        </w:rPr>
        <w:t xml:space="preserve">Transparency International (2020), </w:t>
      </w:r>
      <w:r>
        <w:rPr>
          <w:i/>
          <w:noProof/>
          <w:sz w:val="22"/>
        </w:rPr>
        <w:t xml:space="preserve">Soldi e politica: cosa ci dicono i dati </w:t>
      </w:r>
      <w:r>
        <w:rPr>
          <w:noProof/>
          <w:sz w:val="22"/>
        </w:rPr>
        <w:t>,</w:t>
      </w:r>
      <w:hyperlink r:id="rId37" w:history="1">
        <w:r>
          <w:rPr>
            <w:rStyle w:val="Hyperlink"/>
            <w:noProof/>
            <w:sz w:val="22"/>
          </w:rPr>
          <w:t>https://www.transparency.it/informati/blog/soldi-e-politica-cosa-ci-dicono-i-dati</w:t>
        </w:r>
      </w:hyperlink>
      <w:r>
        <w:rPr>
          <w:noProof/>
          <w:sz w:val="22"/>
        </w:rPr>
        <w:t>.</w:t>
      </w:r>
    </w:p>
    <w:p>
      <w:pPr>
        <w:spacing w:after="120" w:line="259" w:lineRule="auto"/>
        <w:rPr>
          <w:rFonts w:cs="Times New Roman"/>
          <w:iCs/>
          <w:noProof/>
          <w:sz w:val="22"/>
        </w:rPr>
      </w:pPr>
      <w:r>
        <w:rPr>
          <w:noProof/>
          <w:sz w:val="22"/>
        </w:rPr>
        <w:t>Transparency International (2021)</w:t>
      </w:r>
      <w:r>
        <w:rPr>
          <w:iCs/>
          <w:noProof/>
          <w:sz w:val="22"/>
        </w:rPr>
        <w:t xml:space="preserve">, </w:t>
      </w:r>
      <w:r>
        <w:rPr>
          <w:i/>
          <w:iCs/>
          <w:noProof/>
          <w:sz w:val="22"/>
        </w:rPr>
        <w:t>Corruption Perceptions Index 2020</w:t>
      </w:r>
      <w:r>
        <w:rPr>
          <w:iCs/>
          <w:noProof/>
          <w:sz w:val="22"/>
        </w:rPr>
        <w:t xml:space="preserve">, </w:t>
      </w:r>
      <w:hyperlink r:id="rId38" w:history="1">
        <w:r>
          <w:rPr>
            <w:rStyle w:val="Hyperlink"/>
            <w:iCs/>
            <w:noProof/>
            <w:sz w:val="22"/>
          </w:rPr>
          <w:t>https://www.transparency.org/en/cpi/2020/index/nzl</w:t>
        </w:r>
      </w:hyperlink>
      <w:r>
        <w:rPr>
          <w:noProof/>
          <w:sz w:val="22"/>
        </w:rPr>
        <w:t>.</w:t>
      </w:r>
    </w:p>
    <w:p>
      <w:pPr>
        <w:spacing w:after="120"/>
        <w:rPr>
          <w:rStyle w:val="Hyperlink"/>
          <w:rFonts w:cs="Times New Roman"/>
          <w:bCs/>
          <w:i/>
          <w:noProof/>
          <w:sz w:val="22"/>
        </w:rPr>
      </w:pPr>
      <w:r>
        <w:rPr>
          <w:bCs/>
          <w:noProof/>
          <w:sz w:val="22"/>
        </w:rPr>
        <w:t>Valstybės Taryba (2021), iš Valstybės Tarybos gauti atsakymai rengiant 2021 m. teisinės valstybės principo taikymo ataskaitą.</w:t>
      </w:r>
    </w:p>
    <w:p>
      <w:pPr>
        <w:spacing w:after="120"/>
        <w:rPr>
          <w:rFonts w:cs="Times New Roman"/>
          <w:noProof/>
          <w:sz w:val="22"/>
        </w:rPr>
      </w:pPr>
      <w:r>
        <w:rPr>
          <w:noProof/>
          <w:sz w:val="22"/>
        </w:rPr>
        <w:t>Vidaus reikalų ministerijos Viešojo saugumo departamento Kriminalinės policijos centrinė direkcija (2020), Žurnalistų bauginimo atvejai, https://www.interno.gov.it/sites/default/files/2021-03/report_intimidazioni_giornalisti_febbraio_2021.pdf.</w:t>
      </w:r>
    </w:p>
    <w:p>
      <w:pPr>
        <w:spacing w:after="120" w:line="259" w:lineRule="auto"/>
        <w:rPr>
          <w:rFonts w:cs="Times New Roman"/>
          <w:noProof/>
          <w:sz w:val="22"/>
        </w:rPr>
      </w:pPr>
      <w:r>
        <w:rPr>
          <w:noProof/>
          <w:sz w:val="22"/>
        </w:rPr>
        <w:t>Žiniasklaidos pliuralizmo ir žiniasklaidos laisvės centras (2021), Žiniasklaidos pliuralizmo observatorijos 2021 m. ataskaita: Italija (pateikti nuorodą, kai bus žinoma).</w:t>
      </w:r>
    </w:p>
    <w:p>
      <w:pPr>
        <w:pageBreakBefore/>
        <w:spacing w:after="120" w:line="264" w:lineRule="auto"/>
        <w:rPr>
          <w:rFonts w:eastAsia="Times New Roman" w:cs="Times New Roman"/>
          <w:b/>
          <w:noProof/>
          <w:sz w:val="22"/>
        </w:rPr>
      </w:pPr>
      <w:r>
        <w:rPr>
          <w:b/>
          <w:noProof/>
          <w:sz w:val="22"/>
        </w:rPr>
        <w:t>II priedas. Vizitas į Italiją</w:t>
      </w:r>
    </w:p>
    <w:p>
      <w:pPr>
        <w:spacing w:after="120" w:line="264" w:lineRule="auto"/>
        <w:rPr>
          <w:rFonts w:eastAsia="Times New Roman" w:cs="Times New Roman"/>
          <w:noProof/>
          <w:sz w:val="22"/>
          <w:shd w:val="clear" w:color="auto" w:fill="FFFFFF"/>
        </w:rPr>
      </w:pPr>
      <w:r>
        <w:rPr>
          <w:noProof/>
          <w:sz w:val="22"/>
        </w:rPr>
        <w:t>2021 m. balandžio mėn. Komisijos tarnybos surengė virtualius susitikimus su:</w:t>
      </w:r>
    </w:p>
    <w:p>
      <w:pPr>
        <w:pStyle w:val="ListParagraph"/>
        <w:numPr>
          <w:ilvl w:val="0"/>
          <w:numId w:val="5"/>
        </w:numPr>
        <w:rPr>
          <w:rStyle w:val="eop"/>
          <w:rFonts w:cs="Times New Roman"/>
          <w:noProof/>
          <w:sz w:val="22"/>
        </w:rPr>
      </w:pPr>
      <w:r>
        <w:rPr>
          <w:rStyle w:val="normaltextrun"/>
          <w:noProof/>
          <w:sz w:val="22"/>
          <w:shd w:val="clear" w:color="auto" w:fill="FFFFFF"/>
        </w:rPr>
        <w:t>Žiniasklaidos reguliavimo institucija (AGCOM)</w:t>
      </w:r>
      <w:r>
        <w:rPr>
          <w:rStyle w:val="eop"/>
          <w:noProof/>
          <w:sz w:val="22"/>
          <w:shd w:val="clear" w:color="auto" w:fill="FFFFFF"/>
        </w:rPr>
        <w:t xml:space="preserve"> </w:t>
      </w:r>
    </w:p>
    <w:p>
      <w:pPr>
        <w:pStyle w:val="ListParagraph"/>
        <w:numPr>
          <w:ilvl w:val="0"/>
          <w:numId w:val="5"/>
        </w:numPr>
        <w:rPr>
          <w:rStyle w:val="normaltextrun"/>
          <w:rFonts w:cs="Times New Roman"/>
          <w:noProof/>
          <w:sz w:val="22"/>
        </w:rPr>
      </w:pPr>
      <w:r>
        <w:rPr>
          <w:rStyle w:val="normaltextrun"/>
          <w:noProof/>
          <w:sz w:val="22"/>
        </w:rPr>
        <w:t>Kovos su korupcija agentūra (ANAC)</w:t>
      </w:r>
    </w:p>
    <w:p>
      <w:pPr>
        <w:pStyle w:val="ListParagraph"/>
        <w:numPr>
          <w:ilvl w:val="0"/>
          <w:numId w:val="5"/>
        </w:numPr>
        <w:rPr>
          <w:rStyle w:val="normaltextrun"/>
          <w:rFonts w:cs="Times New Roman"/>
          <w:noProof/>
          <w:sz w:val="22"/>
        </w:rPr>
      </w:pPr>
      <w:r>
        <w:rPr>
          <w:rStyle w:val="normaltextrun"/>
          <w:noProof/>
          <w:sz w:val="22"/>
          <w:shd w:val="clear" w:color="auto" w:fill="FFFFFF"/>
        </w:rPr>
        <w:t>Finansų policijos kovos su korupcija padaliniu</w:t>
      </w:r>
    </w:p>
    <w:p>
      <w:pPr>
        <w:pStyle w:val="ListParagraph"/>
        <w:numPr>
          <w:ilvl w:val="0"/>
          <w:numId w:val="5"/>
        </w:numPr>
        <w:rPr>
          <w:rStyle w:val="normaltextrun"/>
          <w:rFonts w:cs="Times New Roman"/>
          <w:noProof/>
          <w:sz w:val="22"/>
        </w:rPr>
      </w:pPr>
      <w:r>
        <w:rPr>
          <w:rStyle w:val="normaltextrun"/>
          <w:noProof/>
          <w:sz w:val="22"/>
        </w:rPr>
        <w:t>Organizacija „Antigone“</w:t>
      </w:r>
    </w:p>
    <w:p>
      <w:pPr>
        <w:pStyle w:val="ListParagraph"/>
        <w:numPr>
          <w:ilvl w:val="0"/>
          <w:numId w:val="5"/>
        </w:numPr>
        <w:rPr>
          <w:rStyle w:val="normaltextrun"/>
          <w:rFonts w:cs="Times New Roman"/>
          <w:noProof/>
          <w:sz w:val="22"/>
        </w:rPr>
      </w:pPr>
      <w:r>
        <w:rPr>
          <w:rStyle w:val="normaltextrun"/>
          <w:noProof/>
          <w:sz w:val="22"/>
          <w:bdr w:val="none" w:sz="0" w:space="0" w:color="auto" w:frame="1"/>
        </w:rPr>
        <w:t>Asociacija „21 straipsnis“</w:t>
      </w:r>
    </w:p>
    <w:p>
      <w:pPr>
        <w:pStyle w:val="ListParagraph"/>
        <w:numPr>
          <w:ilvl w:val="0"/>
          <w:numId w:val="5"/>
        </w:numPr>
        <w:rPr>
          <w:rStyle w:val="normaltextrun"/>
          <w:rFonts w:cs="Times New Roman"/>
          <w:noProof/>
          <w:sz w:val="22"/>
        </w:rPr>
      </w:pPr>
      <w:r>
        <w:rPr>
          <w:noProof/>
          <w:sz w:val="22"/>
        </w:rPr>
        <w:t>Europos žurnalistų asociacija</w:t>
      </w:r>
      <w:r>
        <w:rPr>
          <w:rStyle w:val="normaltextrun"/>
          <w:noProof/>
          <w:sz w:val="22"/>
          <w:shd w:val="clear" w:color="auto" w:fill="FFFFFF"/>
        </w:rPr>
        <w:t xml:space="preserve"> </w:t>
      </w:r>
    </w:p>
    <w:p>
      <w:pPr>
        <w:pStyle w:val="ListParagraph"/>
        <w:numPr>
          <w:ilvl w:val="0"/>
          <w:numId w:val="5"/>
        </w:numPr>
        <w:rPr>
          <w:rStyle w:val="eop"/>
          <w:rFonts w:cs="Times New Roman"/>
          <w:noProof/>
          <w:sz w:val="22"/>
        </w:rPr>
      </w:pPr>
      <w:r>
        <w:rPr>
          <w:rStyle w:val="normaltextrun"/>
          <w:noProof/>
          <w:sz w:val="22"/>
          <w:shd w:val="clear" w:color="auto" w:fill="FFFFFF"/>
        </w:rPr>
        <w:t>Teismų taryba</w:t>
      </w:r>
      <w:r>
        <w:rPr>
          <w:rStyle w:val="eop"/>
          <w:noProof/>
          <w:sz w:val="22"/>
          <w:shd w:val="clear" w:color="auto" w:fill="FFFFFF"/>
        </w:rPr>
        <w:t xml:space="preserve"> </w:t>
      </w:r>
    </w:p>
    <w:p>
      <w:pPr>
        <w:pStyle w:val="ListParagraph"/>
        <w:numPr>
          <w:ilvl w:val="0"/>
          <w:numId w:val="5"/>
        </w:numPr>
        <w:rPr>
          <w:rStyle w:val="normaltextrun"/>
          <w:rFonts w:cs="Times New Roman"/>
          <w:noProof/>
          <w:sz w:val="22"/>
        </w:rPr>
      </w:pPr>
      <w:r>
        <w:rPr>
          <w:rStyle w:val="normaltextrun"/>
          <w:noProof/>
          <w:sz w:val="22"/>
          <w:shd w:val="clear" w:color="auto" w:fill="FFFFFF"/>
        </w:rPr>
        <w:t>Valstybės Taryba</w:t>
      </w:r>
    </w:p>
    <w:p>
      <w:pPr>
        <w:pStyle w:val="ListParagraph"/>
        <w:numPr>
          <w:ilvl w:val="0"/>
          <w:numId w:val="5"/>
        </w:numPr>
        <w:rPr>
          <w:rStyle w:val="eop"/>
          <w:rFonts w:cs="Times New Roman"/>
          <w:noProof/>
          <w:sz w:val="22"/>
        </w:rPr>
      </w:pPr>
      <w:r>
        <w:rPr>
          <w:rStyle w:val="normaltextrun"/>
          <w:noProof/>
          <w:sz w:val="22"/>
          <w:shd w:val="clear" w:color="auto" w:fill="FFFFFF"/>
        </w:rPr>
        <w:t>Auditorių teismu ir prie Auditorių teismo įsteigta prokuratūra</w:t>
      </w:r>
      <w:r>
        <w:rPr>
          <w:rStyle w:val="eop"/>
          <w:noProof/>
          <w:sz w:val="22"/>
          <w:shd w:val="clear" w:color="auto" w:fill="FFFFFF"/>
        </w:rPr>
        <w:t xml:space="preserve"> </w:t>
      </w:r>
    </w:p>
    <w:p>
      <w:pPr>
        <w:pStyle w:val="ListParagraph"/>
        <w:numPr>
          <w:ilvl w:val="0"/>
          <w:numId w:val="5"/>
        </w:numPr>
        <w:rPr>
          <w:rStyle w:val="eop"/>
          <w:rFonts w:cs="Times New Roman"/>
          <w:noProof/>
          <w:sz w:val="22"/>
        </w:rPr>
      </w:pPr>
      <w:r>
        <w:rPr>
          <w:rStyle w:val="normaltextrun"/>
          <w:noProof/>
          <w:sz w:val="22"/>
          <w:shd w:val="clear" w:color="auto" w:fill="FFFFFF"/>
        </w:rPr>
        <w:t>Aukščiausiuoju Kasaciniu Teismu</w:t>
      </w:r>
      <w:r>
        <w:rPr>
          <w:rStyle w:val="eop"/>
          <w:noProof/>
          <w:sz w:val="22"/>
          <w:shd w:val="clear" w:color="auto" w:fill="FFFFFF"/>
        </w:rPr>
        <w:t xml:space="preserve"> </w:t>
      </w:r>
    </w:p>
    <w:p>
      <w:pPr>
        <w:pStyle w:val="ListParagraph"/>
        <w:numPr>
          <w:ilvl w:val="0"/>
          <w:numId w:val="5"/>
        </w:numPr>
        <w:rPr>
          <w:rFonts w:cs="Times New Roman"/>
          <w:noProof/>
          <w:sz w:val="22"/>
        </w:rPr>
      </w:pPr>
      <w:r>
        <w:rPr>
          <w:rStyle w:val="normaltextrun"/>
          <w:noProof/>
          <w:sz w:val="22"/>
          <w:shd w:val="clear" w:color="auto" w:fill="FFFFFF"/>
        </w:rPr>
        <w:t>Organizacija „Infonodes“</w:t>
      </w:r>
      <w:r>
        <w:rPr>
          <w:noProof/>
          <w:sz w:val="22"/>
        </w:rPr>
        <w:t xml:space="preserve"> </w:t>
      </w:r>
    </w:p>
    <w:p>
      <w:pPr>
        <w:pStyle w:val="ListParagraph"/>
        <w:numPr>
          <w:ilvl w:val="0"/>
          <w:numId w:val="5"/>
        </w:numPr>
        <w:rPr>
          <w:rStyle w:val="eop"/>
          <w:rFonts w:cs="Times New Roman"/>
          <w:noProof/>
          <w:sz w:val="22"/>
        </w:rPr>
      </w:pPr>
      <w:r>
        <w:rPr>
          <w:rStyle w:val="normaltextrun"/>
          <w:noProof/>
          <w:sz w:val="22"/>
        </w:rPr>
        <w:t xml:space="preserve">Organizacija „Libera“ </w:t>
      </w:r>
    </w:p>
    <w:p>
      <w:pPr>
        <w:pStyle w:val="ListParagraph"/>
        <w:numPr>
          <w:ilvl w:val="0"/>
          <w:numId w:val="5"/>
        </w:numPr>
        <w:rPr>
          <w:rStyle w:val="normaltextrun"/>
          <w:rFonts w:cs="Times New Roman"/>
          <w:noProof/>
          <w:sz w:val="22"/>
        </w:rPr>
      </w:pPr>
      <w:r>
        <w:rPr>
          <w:rStyle w:val="normaltextrun"/>
          <w:noProof/>
          <w:sz w:val="22"/>
          <w:bdr w:val="none" w:sz="0" w:space="0" w:color="auto" w:frame="1"/>
        </w:rPr>
        <w:t>Teisingumo ministerija</w:t>
      </w:r>
    </w:p>
    <w:p>
      <w:pPr>
        <w:pStyle w:val="ListParagraph"/>
        <w:numPr>
          <w:ilvl w:val="0"/>
          <w:numId w:val="5"/>
        </w:numPr>
        <w:rPr>
          <w:rStyle w:val="eop"/>
          <w:rFonts w:cs="Times New Roman"/>
          <w:noProof/>
          <w:sz w:val="22"/>
        </w:rPr>
      </w:pPr>
      <w:r>
        <w:rPr>
          <w:rStyle w:val="normaltextrun"/>
          <w:noProof/>
          <w:sz w:val="22"/>
          <w:shd w:val="clear" w:color="auto" w:fill="FFFFFF"/>
        </w:rPr>
        <w:t>Nacionaliniu kovos su mafija ir terorizmu direktoratu (DNAA)</w:t>
      </w:r>
      <w:r>
        <w:rPr>
          <w:rStyle w:val="eop"/>
          <w:noProof/>
          <w:sz w:val="22"/>
          <w:shd w:val="clear" w:color="auto" w:fill="FFFFFF"/>
        </w:rPr>
        <w:t xml:space="preserve"> </w:t>
      </w:r>
    </w:p>
    <w:p>
      <w:pPr>
        <w:pStyle w:val="ListParagraph"/>
        <w:numPr>
          <w:ilvl w:val="0"/>
          <w:numId w:val="5"/>
        </w:numPr>
        <w:rPr>
          <w:rStyle w:val="normaltextrun"/>
          <w:rFonts w:cs="Times New Roman"/>
          <w:noProof/>
          <w:sz w:val="22"/>
        </w:rPr>
      </w:pPr>
      <w:r>
        <w:rPr>
          <w:bCs/>
          <w:noProof/>
          <w:sz w:val="22"/>
          <w:bdr w:val="none" w:sz="0" w:space="0" w:color="auto" w:frame="1"/>
        </w:rPr>
        <w:t>Nacionaline teisėjų asociacija (</w:t>
      </w:r>
      <w:r>
        <w:rPr>
          <w:rStyle w:val="normaltextrun"/>
          <w:noProof/>
          <w:sz w:val="22"/>
          <w:bdr w:val="none" w:sz="0" w:space="0" w:color="auto" w:frame="1"/>
        </w:rPr>
        <w:t>ANM)</w:t>
      </w:r>
    </w:p>
    <w:p>
      <w:pPr>
        <w:pStyle w:val="ListParagraph"/>
        <w:numPr>
          <w:ilvl w:val="0"/>
          <w:numId w:val="5"/>
        </w:numPr>
        <w:rPr>
          <w:rStyle w:val="eop"/>
          <w:rFonts w:cs="Times New Roman"/>
          <w:noProof/>
          <w:sz w:val="22"/>
        </w:rPr>
      </w:pPr>
      <w:r>
        <w:rPr>
          <w:rStyle w:val="normaltextrun"/>
          <w:noProof/>
          <w:sz w:val="22"/>
          <w:shd w:val="clear" w:color="auto" w:fill="FFFFFF"/>
        </w:rPr>
        <w:t>Nacionaline advokatų asociacija</w:t>
      </w:r>
      <w:r>
        <w:rPr>
          <w:rStyle w:val="eop"/>
          <w:noProof/>
          <w:sz w:val="22"/>
          <w:shd w:val="clear" w:color="auto" w:fill="FFFFFF"/>
        </w:rPr>
        <w:t xml:space="preserve"> </w:t>
      </w:r>
    </w:p>
    <w:p>
      <w:pPr>
        <w:pStyle w:val="ListParagraph"/>
        <w:numPr>
          <w:ilvl w:val="0"/>
          <w:numId w:val="5"/>
        </w:numPr>
        <w:rPr>
          <w:rStyle w:val="normaltextrun"/>
          <w:rFonts w:cs="Times New Roman"/>
          <w:noProof/>
          <w:sz w:val="22"/>
        </w:rPr>
      </w:pPr>
      <w:r>
        <w:rPr>
          <w:rStyle w:val="normaltextrun"/>
          <w:noProof/>
          <w:sz w:val="22"/>
        </w:rPr>
        <w:t>Nacionaline Italijos spaudos federacija</w:t>
      </w:r>
    </w:p>
    <w:p>
      <w:pPr>
        <w:pStyle w:val="ListParagraph"/>
        <w:numPr>
          <w:ilvl w:val="0"/>
          <w:numId w:val="5"/>
        </w:numPr>
        <w:rPr>
          <w:rStyle w:val="normaltextrun"/>
          <w:rFonts w:cs="Times New Roman"/>
          <w:noProof/>
          <w:sz w:val="22"/>
        </w:rPr>
      </w:pPr>
      <w:r>
        <w:rPr>
          <w:rStyle w:val="normaltextrun"/>
          <w:noProof/>
          <w:sz w:val="22"/>
          <w:bdr w:val="none" w:sz="0" w:space="0" w:color="auto" w:frame="1"/>
        </w:rPr>
        <w:t>Organizacija „Ossigeno per l’informazione“</w:t>
      </w:r>
    </w:p>
    <w:p>
      <w:pPr>
        <w:pStyle w:val="ListParagraph"/>
        <w:numPr>
          <w:ilvl w:val="0"/>
          <w:numId w:val="5"/>
        </w:numPr>
        <w:rPr>
          <w:rStyle w:val="normaltextrun"/>
          <w:rFonts w:cs="Times New Roman"/>
          <w:noProof/>
          <w:sz w:val="22"/>
        </w:rPr>
      </w:pPr>
      <w:r>
        <w:rPr>
          <w:rStyle w:val="normaltextrun"/>
          <w:noProof/>
          <w:sz w:val="22"/>
        </w:rPr>
        <w:t>Parlamentu</w:t>
      </w:r>
    </w:p>
    <w:p>
      <w:pPr>
        <w:pStyle w:val="ListParagraph"/>
        <w:numPr>
          <w:ilvl w:val="0"/>
          <w:numId w:val="5"/>
        </w:numPr>
        <w:rPr>
          <w:rStyle w:val="normaltextrun"/>
          <w:rFonts w:cs="Times New Roman"/>
          <w:noProof/>
          <w:sz w:val="22"/>
        </w:rPr>
      </w:pPr>
      <w:r>
        <w:rPr>
          <w:rStyle w:val="normaltextrun"/>
          <w:noProof/>
          <w:sz w:val="22"/>
          <w:shd w:val="clear" w:color="auto" w:fill="FFFFFF"/>
        </w:rPr>
        <w:t>Ministrų Tarybos prezidiumu</w:t>
      </w:r>
    </w:p>
    <w:p>
      <w:pPr>
        <w:pStyle w:val="ListParagraph"/>
        <w:numPr>
          <w:ilvl w:val="0"/>
          <w:numId w:val="5"/>
        </w:numPr>
        <w:rPr>
          <w:rStyle w:val="eop"/>
          <w:rFonts w:cs="Times New Roman"/>
          <w:noProof/>
          <w:sz w:val="22"/>
        </w:rPr>
      </w:pPr>
      <w:r>
        <w:rPr>
          <w:rStyle w:val="normaltextrun"/>
          <w:noProof/>
          <w:sz w:val="22"/>
          <w:shd w:val="clear" w:color="auto" w:fill="FFFFFF"/>
        </w:rPr>
        <w:t>Aukščiausiojo Kasacinio Teismo prokuratūra</w:t>
      </w:r>
      <w:r>
        <w:rPr>
          <w:rStyle w:val="eop"/>
          <w:noProof/>
          <w:sz w:val="22"/>
          <w:shd w:val="clear" w:color="auto" w:fill="FFFFFF"/>
        </w:rPr>
        <w:t xml:space="preserve"> </w:t>
      </w:r>
    </w:p>
    <w:p>
      <w:pPr>
        <w:pStyle w:val="ListParagraph"/>
        <w:numPr>
          <w:ilvl w:val="0"/>
          <w:numId w:val="5"/>
        </w:numPr>
        <w:rPr>
          <w:rStyle w:val="normaltextrun"/>
          <w:rFonts w:cs="Times New Roman"/>
          <w:noProof/>
          <w:sz w:val="22"/>
        </w:rPr>
      </w:pPr>
      <w:r>
        <w:rPr>
          <w:rStyle w:val="normaltextrun"/>
          <w:noProof/>
          <w:sz w:val="22"/>
        </w:rPr>
        <w:t>Organizacija „The good lobby“</w:t>
      </w:r>
    </w:p>
    <w:p>
      <w:pPr>
        <w:pStyle w:val="ListParagraph"/>
        <w:numPr>
          <w:ilvl w:val="0"/>
          <w:numId w:val="5"/>
        </w:numPr>
        <w:rPr>
          <w:rStyle w:val="normaltextrun"/>
          <w:rFonts w:cs="Times New Roman"/>
          <w:noProof/>
          <w:sz w:val="22"/>
        </w:rPr>
      </w:pPr>
      <w:r>
        <w:rPr>
          <w:rStyle w:val="normaltextrun"/>
          <w:noProof/>
          <w:sz w:val="22"/>
        </w:rPr>
        <w:t xml:space="preserve">Organizacija „Transparency International“ </w:t>
      </w:r>
    </w:p>
    <w:p>
      <w:pPr>
        <w:rPr>
          <w:rFonts w:cs="Times New Roman"/>
          <w:noProof/>
          <w:sz w:val="22"/>
        </w:rPr>
      </w:pPr>
      <w:r>
        <w:rPr>
          <w:noProof/>
          <w:sz w:val="22"/>
        </w:rPr>
        <w:t>* Komisija taip pat surengė kelis horizontalius susitikimus su šiomis organizacijomis:</w:t>
      </w:r>
    </w:p>
    <w:p>
      <w:pPr>
        <w:pStyle w:val="ListParagraph"/>
        <w:numPr>
          <w:ilvl w:val="0"/>
          <w:numId w:val="7"/>
        </w:numPr>
        <w:spacing w:after="160" w:line="259" w:lineRule="auto"/>
        <w:jc w:val="left"/>
        <w:rPr>
          <w:rFonts w:cs="Times New Roman"/>
          <w:noProof/>
          <w:sz w:val="22"/>
        </w:rPr>
      </w:pPr>
      <w:r>
        <w:rPr>
          <w:noProof/>
          <w:sz w:val="22"/>
        </w:rPr>
        <w:t>„Amnesty International“</w:t>
      </w:r>
    </w:p>
    <w:p>
      <w:pPr>
        <w:pStyle w:val="ListParagraph"/>
        <w:numPr>
          <w:ilvl w:val="0"/>
          <w:numId w:val="7"/>
        </w:numPr>
        <w:spacing w:after="160" w:line="259" w:lineRule="auto"/>
        <w:jc w:val="left"/>
        <w:rPr>
          <w:rFonts w:cs="Times New Roman"/>
          <w:noProof/>
          <w:sz w:val="22"/>
        </w:rPr>
      </w:pPr>
      <w:r>
        <w:rPr>
          <w:noProof/>
          <w:sz w:val="22"/>
        </w:rPr>
        <w:t>Reprodukcinių teisių centru</w:t>
      </w:r>
    </w:p>
    <w:p>
      <w:pPr>
        <w:pStyle w:val="ListParagraph"/>
        <w:numPr>
          <w:ilvl w:val="0"/>
          <w:numId w:val="7"/>
        </w:numPr>
        <w:spacing w:after="160" w:line="259" w:lineRule="auto"/>
        <w:jc w:val="left"/>
        <w:rPr>
          <w:rFonts w:cs="Times New Roman"/>
          <w:noProof/>
          <w:sz w:val="22"/>
        </w:rPr>
      </w:pPr>
      <w:r>
        <w:rPr>
          <w:noProof/>
          <w:sz w:val="22"/>
        </w:rPr>
        <w:t>CIVICUS</w:t>
      </w:r>
    </w:p>
    <w:p>
      <w:pPr>
        <w:pStyle w:val="ListParagraph"/>
        <w:numPr>
          <w:ilvl w:val="0"/>
          <w:numId w:val="7"/>
        </w:numPr>
        <w:spacing w:after="160" w:line="259" w:lineRule="auto"/>
        <w:jc w:val="left"/>
        <w:rPr>
          <w:rFonts w:cs="Times New Roman"/>
          <w:noProof/>
          <w:sz w:val="22"/>
        </w:rPr>
      </w:pPr>
      <w:r>
        <w:rPr>
          <w:noProof/>
          <w:sz w:val="22"/>
        </w:rPr>
        <w:t>Europos pilietinių laisvių sąjunga</w:t>
      </w:r>
    </w:p>
    <w:p>
      <w:pPr>
        <w:pStyle w:val="ListParagraph"/>
        <w:numPr>
          <w:ilvl w:val="0"/>
          <w:numId w:val="7"/>
        </w:numPr>
        <w:spacing w:after="160" w:line="259" w:lineRule="auto"/>
        <w:jc w:val="left"/>
        <w:rPr>
          <w:rFonts w:cs="Times New Roman"/>
          <w:noProof/>
          <w:sz w:val="22"/>
        </w:rPr>
      </w:pPr>
      <w:r>
        <w:rPr>
          <w:noProof/>
          <w:sz w:val="22"/>
        </w:rPr>
        <w:t>Europos pilietinės visuomenės tinklu</w:t>
      </w:r>
    </w:p>
    <w:p>
      <w:pPr>
        <w:pStyle w:val="ListParagraph"/>
        <w:numPr>
          <w:ilvl w:val="0"/>
          <w:numId w:val="7"/>
        </w:numPr>
        <w:spacing w:after="160" w:line="259" w:lineRule="auto"/>
        <w:jc w:val="left"/>
        <w:rPr>
          <w:rFonts w:cs="Times New Roman"/>
          <w:noProof/>
          <w:sz w:val="22"/>
        </w:rPr>
      </w:pPr>
      <w:r>
        <w:rPr>
          <w:noProof/>
          <w:sz w:val="22"/>
        </w:rPr>
        <w:t>Europos Bažnyčių konferencija</w:t>
      </w:r>
    </w:p>
    <w:p>
      <w:pPr>
        <w:pStyle w:val="ListParagraph"/>
        <w:numPr>
          <w:ilvl w:val="0"/>
          <w:numId w:val="7"/>
        </w:numPr>
        <w:spacing w:after="160" w:line="259" w:lineRule="auto"/>
        <w:jc w:val="left"/>
        <w:rPr>
          <w:rFonts w:cs="Times New Roman"/>
          <w:noProof/>
          <w:sz w:val="22"/>
        </w:rPr>
      </w:pPr>
      <w:r>
        <w:rPr>
          <w:noProof/>
          <w:sz w:val="22"/>
        </w:rPr>
        <w:t>„EuroCommerce“</w:t>
      </w:r>
    </w:p>
    <w:p>
      <w:pPr>
        <w:pStyle w:val="ListParagraph"/>
        <w:numPr>
          <w:ilvl w:val="0"/>
          <w:numId w:val="7"/>
        </w:numPr>
        <w:spacing w:after="160" w:line="259" w:lineRule="auto"/>
        <w:jc w:val="left"/>
        <w:rPr>
          <w:rFonts w:cs="Times New Roman"/>
          <w:noProof/>
          <w:sz w:val="22"/>
        </w:rPr>
      </w:pPr>
      <w:r>
        <w:rPr>
          <w:noProof/>
          <w:sz w:val="22"/>
        </w:rPr>
        <w:t>Europos ne pelno teisės centru</w:t>
      </w:r>
    </w:p>
    <w:p>
      <w:pPr>
        <w:pStyle w:val="ListParagraph"/>
        <w:numPr>
          <w:ilvl w:val="0"/>
          <w:numId w:val="7"/>
        </w:numPr>
        <w:spacing w:after="160" w:line="259" w:lineRule="auto"/>
        <w:jc w:val="left"/>
        <w:rPr>
          <w:rFonts w:cs="Times New Roman"/>
          <w:noProof/>
          <w:sz w:val="22"/>
        </w:rPr>
      </w:pPr>
      <w:r>
        <w:rPr>
          <w:noProof/>
          <w:sz w:val="22"/>
        </w:rPr>
        <w:t>Europos žiniasklaidos ir spaudos laisvės centru</w:t>
      </w:r>
    </w:p>
    <w:p>
      <w:pPr>
        <w:pStyle w:val="ListParagraph"/>
        <w:numPr>
          <w:ilvl w:val="0"/>
          <w:numId w:val="7"/>
        </w:numPr>
        <w:spacing w:after="160" w:line="259" w:lineRule="auto"/>
        <w:jc w:val="left"/>
        <w:rPr>
          <w:rFonts w:cs="Times New Roman"/>
          <w:noProof/>
          <w:sz w:val="22"/>
        </w:rPr>
      </w:pPr>
      <w:r>
        <w:rPr>
          <w:noProof/>
          <w:sz w:val="22"/>
        </w:rPr>
        <w:t>Europos piliečių forumu</w:t>
      </w:r>
    </w:p>
    <w:p>
      <w:pPr>
        <w:pStyle w:val="ListParagraph"/>
        <w:numPr>
          <w:ilvl w:val="0"/>
          <w:numId w:val="7"/>
        </w:numPr>
        <w:spacing w:after="160" w:line="259" w:lineRule="auto"/>
        <w:jc w:val="left"/>
        <w:rPr>
          <w:rFonts w:cs="Times New Roman"/>
          <w:noProof/>
          <w:sz w:val="22"/>
        </w:rPr>
      </w:pPr>
      <w:r>
        <w:rPr>
          <w:noProof/>
          <w:sz w:val="22"/>
        </w:rPr>
        <w:t>Europos žurnalistų federacija</w:t>
      </w:r>
    </w:p>
    <w:p>
      <w:pPr>
        <w:pStyle w:val="ListParagraph"/>
        <w:numPr>
          <w:ilvl w:val="0"/>
          <w:numId w:val="7"/>
        </w:numPr>
        <w:spacing w:after="160" w:line="259" w:lineRule="auto"/>
        <w:jc w:val="left"/>
        <w:rPr>
          <w:rFonts w:cs="Times New Roman"/>
          <w:noProof/>
          <w:sz w:val="22"/>
        </w:rPr>
      </w:pPr>
      <w:r>
        <w:rPr>
          <w:noProof/>
          <w:sz w:val="22"/>
        </w:rPr>
        <w:t xml:space="preserve">„European Partnership for Democracy“ </w:t>
      </w:r>
    </w:p>
    <w:p>
      <w:pPr>
        <w:pStyle w:val="ListParagraph"/>
        <w:numPr>
          <w:ilvl w:val="0"/>
          <w:numId w:val="7"/>
        </w:numPr>
        <w:spacing w:after="160" w:line="259" w:lineRule="auto"/>
        <w:jc w:val="left"/>
        <w:rPr>
          <w:rFonts w:cs="Times New Roman"/>
          <w:noProof/>
          <w:sz w:val="22"/>
        </w:rPr>
      </w:pPr>
      <w:r>
        <w:rPr>
          <w:noProof/>
          <w:sz w:val="22"/>
        </w:rPr>
        <w:t>Europos jaunimo forumu</w:t>
      </w:r>
    </w:p>
    <w:p>
      <w:pPr>
        <w:pStyle w:val="ListParagraph"/>
        <w:numPr>
          <w:ilvl w:val="0"/>
          <w:numId w:val="7"/>
        </w:numPr>
        <w:spacing w:after="160" w:line="259" w:lineRule="auto"/>
        <w:jc w:val="left"/>
        <w:rPr>
          <w:rFonts w:cs="Times New Roman"/>
          <w:noProof/>
          <w:sz w:val="22"/>
        </w:rPr>
      </w:pPr>
      <w:r>
        <w:rPr>
          <w:noProof/>
          <w:sz w:val="22"/>
        </w:rPr>
        <w:t>„Front Line Defenders“</w:t>
      </w:r>
    </w:p>
    <w:p>
      <w:pPr>
        <w:pStyle w:val="ListParagraph"/>
        <w:numPr>
          <w:ilvl w:val="0"/>
          <w:numId w:val="7"/>
        </w:numPr>
        <w:spacing w:after="160" w:line="259" w:lineRule="auto"/>
        <w:jc w:val="left"/>
        <w:rPr>
          <w:rFonts w:cs="Times New Roman"/>
          <w:noProof/>
          <w:sz w:val="22"/>
        </w:rPr>
      </w:pPr>
      <w:r>
        <w:rPr>
          <w:noProof/>
          <w:sz w:val="22"/>
        </w:rPr>
        <w:t xml:space="preserve">„Human Rights House Foundation“ </w:t>
      </w:r>
    </w:p>
    <w:p>
      <w:pPr>
        <w:pStyle w:val="ListParagraph"/>
        <w:numPr>
          <w:ilvl w:val="0"/>
          <w:numId w:val="7"/>
        </w:numPr>
        <w:spacing w:after="160" w:line="259" w:lineRule="auto"/>
        <w:jc w:val="left"/>
        <w:rPr>
          <w:rFonts w:cs="Times New Roman"/>
          <w:noProof/>
          <w:sz w:val="22"/>
        </w:rPr>
      </w:pPr>
      <w:r>
        <w:rPr>
          <w:noProof/>
          <w:sz w:val="22"/>
        </w:rPr>
        <w:t xml:space="preserve">„Human Rights Watch“ </w:t>
      </w:r>
    </w:p>
    <w:p>
      <w:pPr>
        <w:pStyle w:val="ListParagraph"/>
        <w:numPr>
          <w:ilvl w:val="0"/>
          <w:numId w:val="7"/>
        </w:numPr>
        <w:spacing w:after="160" w:line="259" w:lineRule="auto"/>
        <w:jc w:val="left"/>
        <w:rPr>
          <w:rFonts w:cs="Times New Roman"/>
          <w:noProof/>
          <w:sz w:val="22"/>
        </w:rPr>
      </w:pPr>
      <w:r>
        <w:rPr>
          <w:noProof/>
          <w:sz w:val="22"/>
        </w:rPr>
        <w:t>Tarptautinės lesbiečių ir gėjų asociacijos Europos skyriumi</w:t>
      </w:r>
    </w:p>
    <w:p>
      <w:pPr>
        <w:pStyle w:val="ListParagraph"/>
        <w:numPr>
          <w:ilvl w:val="0"/>
          <w:numId w:val="7"/>
        </w:numPr>
        <w:spacing w:after="160" w:line="259" w:lineRule="auto"/>
        <w:jc w:val="left"/>
        <w:rPr>
          <w:rFonts w:cs="Times New Roman"/>
          <w:noProof/>
          <w:sz w:val="22"/>
        </w:rPr>
      </w:pPr>
      <w:r>
        <w:rPr>
          <w:noProof/>
          <w:sz w:val="22"/>
        </w:rPr>
        <w:t>Tarptautine teisininkų komisija</w:t>
      </w:r>
    </w:p>
    <w:p>
      <w:pPr>
        <w:pStyle w:val="ListParagraph"/>
        <w:numPr>
          <w:ilvl w:val="0"/>
          <w:numId w:val="7"/>
        </w:numPr>
        <w:spacing w:after="160" w:line="259" w:lineRule="auto"/>
        <w:jc w:val="left"/>
        <w:rPr>
          <w:rFonts w:cs="Times New Roman"/>
          <w:noProof/>
          <w:sz w:val="22"/>
        </w:rPr>
      </w:pPr>
      <w:r>
        <w:rPr>
          <w:noProof/>
          <w:sz w:val="22"/>
        </w:rPr>
        <w:t>Tarptautine žmogaus teisių federacija</w:t>
      </w:r>
    </w:p>
    <w:p>
      <w:pPr>
        <w:pStyle w:val="ListParagraph"/>
        <w:numPr>
          <w:ilvl w:val="0"/>
          <w:numId w:val="7"/>
        </w:numPr>
        <w:spacing w:after="160" w:line="259" w:lineRule="auto"/>
        <w:jc w:val="left"/>
        <w:rPr>
          <w:rFonts w:cs="Times New Roman"/>
          <w:noProof/>
          <w:sz w:val="22"/>
        </w:rPr>
      </w:pPr>
      <w:r>
        <w:rPr>
          <w:noProof/>
          <w:sz w:val="22"/>
        </w:rPr>
        <w:t>Tarptautiniu planuotos tėvystės federacijos Europos tinklu (IPPF EN)</w:t>
      </w:r>
    </w:p>
    <w:p>
      <w:pPr>
        <w:pStyle w:val="ListParagraph"/>
        <w:numPr>
          <w:ilvl w:val="0"/>
          <w:numId w:val="7"/>
        </w:numPr>
        <w:spacing w:after="160" w:line="259" w:lineRule="auto"/>
        <w:jc w:val="left"/>
        <w:rPr>
          <w:rFonts w:cs="Times New Roman"/>
          <w:noProof/>
          <w:sz w:val="22"/>
        </w:rPr>
      </w:pPr>
      <w:r>
        <w:rPr>
          <w:noProof/>
          <w:sz w:val="22"/>
        </w:rPr>
        <w:t>Tarptautiniu spaudos institutu</w:t>
      </w:r>
    </w:p>
    <w:p>
      <w:pPr>
        <w:pStyle w:val="ListParagraph"/>
        <w:numPr>
          <w:ilvl w:val="0"/>
          <w:numId w:val="7"/>
        </w:numPr>
        <w:spacing w:after="160" w:line="259" w:lineRule="auto"/>
        <w:jc w:val="left"/>
        <w:rPr>
          <w:rFonts w:cs="Times New Roman"/>
          <w:noProof/>
          <w:sz w:val="22"/>
        </w:rPr>
      </w:pPr>
      <w:r>
        <w:rPr>
          <w:noProof/>
          <w:sz w:val="22"/>
        </w:rPr>
        <w:t xml:space="preserve">Nyderlandų Helsinkio komitetu </w:t>
      </w:r>
    </w:p>
    <w:p>
      <w:pPr>
        <w:pStyle w:val="ListParagraph"/>
        <w:numPr>
          <w:ilvl w:val="0"/>
          <w:numId w:val="7"/>
        </w:numPr>
        <w:spacing w:after="160" w:line="259" w:lineRule="auto"/>
        <w:jc w:val="left"/>
        <w:rPr>
          <w:rFonts w:cs="Times New Roman"/>
          <w:noProof/>
          <w:sz w:val="22"/>
        </w:rPr>
      </w:pPr>
      <w:r>
        <w:rPr>
          <w:noProof/>
          <w:sz w:val="22"/>
        </w:rPr>
        <w:t>Atviros visuomenės Europos politikos institutu</w:t>
      </w:r>
    </w:p>
    <w:p>
      <w:pPr>
        <w:pStyle w:val="ListParagraph"/>
        <w:numPr>
          <w:ilvl w:val="0"/>
          <w:numId w:val="7"/>
        </w:numPr>
        <w:spacing w:after="160" w:line="259" w:lineRule="auto"/>
        <w:jc w:val="left"/>
        <w:rPr>
          <w:rFonts w:cs="Times New Roman"/>
          <w:noProof/>
          <w:sz w:val="22"/>
        </w:rPr>
      </w:pPr>
      <w:r>
        <w:rPr>
          <w:noProof/>
          <w:sz w:val="22"/>
        </w:rPr>
        <w:t>„Philanthropy Advocacy“</w:t>
      </w:r>
    </w:p>
    <w:p>
      <w:pPr>
        <w:pStyle w:val="ListParagraph"/>
        <w:numPr>
          <w:ilvl w:val="0"/>
          <w:numId w:val="7"/>
        </w:numPr>
        <w:spacing w:after="160" w:line="259" w:lineRule="auto"/>
        <w:jc w:val="left"/>
        <w:rPr>
          <w:rFonts w:cs="Times New Roman"/>
          <w:noProof/>
          <w:sz w:val="22"/>
        </w:rPr>
      </w:pPr>
      <w:r>
        <w:rPr>
          <w:noProof/>
          <w:sz w:val="22"/>
        </w:rPr>
        <w:t xml:space="preserve">„Protection International“ </w:t>
      </w:r>
    </w:p>
    <w:p>
      <w:pPr>
        <w:pStyle w:val="ListParagraph"/>
        <w:numPr>
          <w:ilvl w:val="0"/>
          <w:numId w:val="7"/>
        </w:numPr>
        <w:spacing w:after="160" w:line="259" w:lineRule="auto"/>
        <w:jc w:val="left"/>
        <w:rPr>
          <w:rFonts w:cs="Times New Roman"/>
          <w:noProof/>
          <w:sz w:val="22"/>
        </w:rPr>
      </w:pPr>
      <w:r>
        <w:rPr>
          <w:noProof/>
          <w:sz w:val="22"/>
        </w:rPr>
        <w:t>„Žurnalistai be sienų“</w:t>
      </w:r>
    </w:p>
    <w:p>
      <w:pPr>
        <w:pStyle w:val="ListParagraph"/>
        <w:numPr>
          <w:ilvl w:val="0"/>
          <w:numId w:val="7"/>
        </w:numPr>
        <w:spacing w:after="160" w:line="259" w:lineRule="auto"/>
        <w:jc w:val="left"/>
        <w:rPr>
          <w:rFonts w:cs="Times New Roman"/>
          <w:noProof/>
          <w:sz w:val="22"/>
        </w:rPr>
      </w:pPr>
      <w:r>
        <w:rPr>
          <w:noProof/>
          <w:sz w:val="22"/>
        </w:rPr>
        <w:t>„Transparency International“ Europos Sąjungos biuru</w:t>
      </w:r>
    </w:p>
    <w:p>
      <w:pPr>
        <w:rPr>
          <w:rFonts w:cs="Times New Roman"/>
          <w:noProof/>
          <w:sz w:val="22"/>
        </w:rPr>
      </w:pPr>
    </w:p>
    <w:sectPr>
      <w:headerReference w:type="even" r:id="rId39"/>
      <w:headerReference w:type="default" r:id="rId40"/>
      <w:footerReference w:type="even" r:id="rId41"/>
      <w:footerReference w:type="default" r:id="rId42"/>
      <w:headerReference w:type="first" r:id="rId43"/>
      <w:footerReference w:type="first" r:id="rId44"/>
      <w:pgSz w:w="11906" w:h="16838"/>
      <w:pgMar w:top="1440" w:right="1440" w:bottom="1440" w:left="1440" w:header="601" w:footer="1077" w:gutter="0"/>
      <w:cols w:space="720"/>
      <w:docGrid w:linePitch="326"/>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6DD6747" w16cex:dateUtc="2021-05-12T13:18:19.069Z"/>
  <w16cex:commentExtensible w16cex:durableId="399F3D89" w16cex:dateUtc="2021-05-12T13:21:52.248Z"/>
  <w16cex:commentExtensible w16cex:durableId="7487AFDD" w16cex:dateUtc="2021-05-12T13:28:16.775Z"/>
  <w16cex:commentExtensible w16cex:durableId="7626EBBD" w16cex:dateUtc="2021-05-12T13:39:00.915Z"/>
  <w16cex:commentExtensible w16cex:durableId="38604B69" w16cex:dateUtc="2021-05-12T13:39:57.482Z"/>
  <w16cex:commentExtensible w16cex:durableId="0E58FE7B" w16cex:dateUtc="2021-05-12T13:41:44.771Z"/>
  <w16cex:commentExtensible w16cex:durableId="5F707BFD" w16cex:dateUtc="2021-05-12T13:44:06.977Z"/>
  <w16cex:commentExtensible w16cex:durableId="0672284D" w16cex:dateUtc="2021-05-15T09:56:55.308Z"/>
  <w16cex:commentExtensible w16cex:durableId="76F30F76" w16cex:dateUtc="2021-05-15T15:30:37.995Z"/>
  <w16cex:commentExtensible w16cex:durableId="5B0560BC" w16cex:dateUtc="2021-05-15T15:37:02.446Z"/>
</w16cex:commentsExtensible>
</file>

<file path=word/commentsIds.xml><?xml version="1.0" encoding="utf-8"?>
<w16cid:commentsIds xmlns:mc="http://schemas.openxmlformats.org/markup-compatibility/2006" xmlns:w16cid="http://schemas.microsoft.com/office/word/2016/wordml/cid" mc:Ignorable="w16cid">
  <w16cid:commentId w16cid:paraId="6E345460" w16cid:durableId="36DD6747"/>
  <w16cid:commentId w16cid:paraId="05E7CD01" w16cid:durableId="399F3D89"/>
  <w16cid:commentId w16cid:paraId="5D144EC4" w16cid:durableId="7487AFDD"/>
  <w16cid:commentId w16cid:paraId="52B2E6F9" w16cid:durableId="7626EBBD"/>
  <w16cid:commentId w16cid:paraId="6574E8C4" w16cid:durableId="38604B69"/>
  <w16cid:commentId w16cid:paraId="1C3F7FB7" w16cid:durableId="0E58FE7B"/>
  <w16cid:commentId w16cid:paraId="130BF238" w16cid:durableId="5F707BFD"/>
  <w16cid:commentId w16cid:paraId="713AE135" w16cid:durableId="4D2C469D"/>
  <w16cid:commentId w16cid:paraId="1ED75961" w16cid:durableId="26091B67"/>
  <w16cid:commentId w16cid:paraId="15FBB262" w16cid:durableId="12C8F39B"/>
  <w16cid:commentId w16cid:paraId="485EB2B4" w16cid:durableId="035657D0"/>
  <w16cid:commentId w16cid:paraId="6A551B13" w16cid:durableId="63D04D8D"/>
  <w16cid:commentId w16cid:paraId="30AF40C3" w16cid:durableId="42042DB6"/>
  <w16cid:commentId w16cid:paraId="31D22A89" w16cid:durableId="2A5781E0"/>
  <w16cid:commentId w16cid:paraId="02D2376B" w16cid:durableId="6DEE66C4"/>
  <w16cid:commentId w16cid:paraId="57D79BEF" w16cid:durableId="6CE58CD7"/>
  <w16cid:commentId w16cid:paraId="37485EAE" w16cid:durableId="6CD92690"/>
  <w16cid:commentId w16cid:paraId="4B63A2B7" w16cid:durableId="70CDFFAD"/>
  <w16cid:commentId w16cid:paraId="7C83AB54" w16cid:durableId="17D53F48"/>
  <w16cid:commentId w16cid:paraId="7C9EBA96" w16cid:durableId="5738DE41"/>
  <w16cid:commentId w16cid:paraId="1BC75308" w16cid:durableId="0FA6CC72"/>
  <w16cid:commentId w16cid:paraId="4C6F111B" w16cid:durableId="1EF4F54F"/>
  <w16cid:commentId w16cid:paraId="079EB094" w16cid:durableId="3FBEDCFF"/>
  <w16cid:commentId w16cid:paraId="2D3016B4" w16cid:durableId="3FBBE6FE"/>
  <w16cid:commentId w16cid:paraId="2816C44A" w16cid:durableId="680563E3"/>
  <w16cid:commentId w16cid:paraId="12A812F7" w16cid:durableId="5B1102B1"/>
  <w16cid:commentId w16cid:paraId="48FEAC95" w16cid:durableId="7108F3B2"/>
  <w16cid:commentId w16cid:paraId="41B152EF" w16cid:durableId="3BC0B292"/>
  <w16cid:commentId w16cid:paraId="6649CB63" w16cid:durableId="5D25722D"/>
  <w16cid:commentId w16cid:paraId="42A58848" w16cid:durableId="0C9F3C13"/>
  <w16cid:commentId w16cid:paraId="3119F937" w16cid:durableId="50E50677"/>
  <w16cid:commentId w16cid:paraId="3F0F8CE4" w16cid:durableId="7B45BFD0"/>
  <w16cid:commentId w16cid:paraId="710F9787" w16cid:durableId="56863D8A"/>
  <w16cid:commentId w16cid:paraId="46802A96" w16cid:durableId="38001B98"/>
  <w16cid:commentId w16cid:paraId="2F094BF8" w16cid:durableId="1A5005E0"/>
  <w16cid:commentId w16cid:paraId="04FA762B" w16cid:durableId="726411AD"/>
  <w16cid:commentId w16cid:paraId="68F45BC8" w16cid:durableId="1627E6A2"/>
  <w16cid:commentId w16cid:paraId="46351BA1" w16cid:durableId="477B81AF"/>
  <w16cid:commentId w16cid:paraId="5499223A" w16cid:durableId="36F73983"/>
  <w16cid:commentId w16cid:paraId="58AF807E" w16cid:durableId="3D901B67"/>
  <w16cid:commentId w16cid:paraId="706ECF75" w16cid:durableId="0ED6236D"/>
  <w16cid:commentId w16cid:paraId="2520DEC2" w16cid:durableId="2449E4AB"/>
  <w16cid:commentId w16cid:paraId="17394C58" w16cid:durableId="6FFBA572"/>
  <w16cid:commentId w16cid:paraId="2BF01F0A" w16cid:durableId="3FDB84B4"/>
  <w16cid:commentId w16cid:paraId="6F53D8E0" w16cid:durableId="481D91A8"/>
  <w16cid:commentId w16cid:paraId="6ECE970D" w16cid:durableId="1C6C7540"/>
  <w16cid:commentId w16cid:paraId="7F519B8D" w16cid:durableId="5D9E3025"/>
  <w16cid:commentId w16cid:paraId="1220095A" w16cid:durableId="45E7C24A"/>
  <w16cid:commentId w16cid:paraId="577A2F1C" w16cid:durableId="294B49E2"/>
  <w16cid:commentId w16cid:paraId="3BFD6C90" w16cid:durableId="6952596F"/>
  <w16cid:commentId w16cid:paraId="4973340A" w16cid:durableId="2463959A"/>
  <w16cid:commentId w16cid:paraId="3BA7C194" w16cid:durableId="0672284D"/>
  <w16cid:commentId w16cid:paraId="61E8DE68" w16cid:durableId="76F30F76"/>
  <w16cid:commentId w16cid:paraId="292C0172" w16cid:durableId="5B0560B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pPr>
      <w:r>
        <w:separator/>
      </w:r>
    </w:p>
    <w:p/>
    <w:p/>
  </w:endnote>
  <w:endnote w:type="continuationSeparator" w:id="0">
    <w:p>
      <w:pPr>
        <w:spacing w:after="0"/>
      </w:pPr>
      <w:r>
        <w:continuationSeparator/>
      </w:r>
    </w:p>
    <w:p/>
    <w:p/>
  </w:endnote>
  <w:endnote w:type="continuationNotice" w:id="1">
    <w:p>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LT</w:t>
    </w:r>
    <w:r>
      <w:rPr>
        <w:rFonts w:ascii="Arial" w:hAnsi="Arial" w:cs="Arial"/>
        <w:b/>
        <w:sz w:val="48"/>
      </w:rPr>
      <w:tab/>
    </w:r>
    <w:r>
      <w:rPr>
        <w:rFonts w:ascii="Arial" w:hAnsi="Arial" w:cs="Arial"/>
        <w:b/>
        <w:sz w:val="48"/>
      </w:rPr>
      <w:tab/>
    </w:r>
    <w:r>
      <w:tab/>
    </w:r>
    <w:r>
      <w:rPr>
        <w:rFonts w:ascii="Arial" w:hAnsi="Arial" w:cs="Arial"/>
        <w:b/>
        <w:sz w:val="48"/>
      </w:rPr>
      <w:t>LT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rPr>
        <w:rFonts w:cs="Times New Roman"/>
        <w:sz w:val="20"/>
      </w:rPr>
    </w:pPr>
    <w:sdt>
      <w:sdtPr>
        <w:rPr>
          <w:sz w:val="20"/>
        </w:rPr>
        <w:id w:val="299504628"/>
        <w:docPartObj>
          <w:docPartGallery w:val="Page Numbers (Bottom of Page)"/>
          <w:docPartUnique/>
        </w:docPartObj>
      </w:sdtPr>
      <w:sdtEndPr>
        <w:rPr>
          <w:rFonts w:cs="Times New Roman"/>
          <w:noProof/>
        </w:rPr>
      </w:sdtEndPr>
      <w:sdtContent>
        <w:r>
          <w:rPr>
            <w:rFonts w:cs="Times New Roman"/>
            <w:sz w:val="20"/>
          </w:rPr>
          <w:fldChar w:fldCharType="begin"/>
        </w:r>
        <w:r>
          <w:rPr>
            <w:rFonts w:cs="Times New Roman"/>
            <w:sz w:val="20"/>
          </w:rPr>
          <w:instrText xml:space="preserve"> PAGE   \* MERGEFORMAT </w:instrText>
        </w:r>
        <w:r>
          <w:rPr>
            <w:rFonts w:cs="Times New Roman"/>
            <w:sz w:val="20"/>
          </w:rPr>
          <w:fldChar w:fldCharType="separate"/>
        </w:r>
        <w:r>
          <w:rPr>
            <w:rFonts w:cs="Times New Roman"/>
            <w:noProof/>
            <w:sz w:val="20"/>
          </w:rPr>
          <w:t>2</w:t>
        </w:r>
        <w:r>
          <w:rPr>
            <w:rFonts w:cs="Times New Roman"/>
            <w:sz w:val="20"/>
          </w:rPr>
          <w:fldChar w:fldCharType="end"/>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4853887"/>
      <w:docPartObj>
        <w:docPartGallery w:val="Page Numbers (Bottom of Page)"/>
        <w:docPartUnique/>
      </w:docPartObj>
    </w:sdtPr>
    <w:sdtEndPr>
      <w:rPr>
        <w:noProof/>
      </w:rPr>
    </w:sdtEndPr>
    <w:sdtContent>
      <w:p>
        <w:pPr>
          <w:pStyle w:val="Footer"/>
          <w:jc w:val="center"/>
        </w:pPr>
      </w:p>
      <w:p>
        <w:pPr>
          <w:pStyle w:val="Footer"/>
          <w:jc w:val="center"/>
        </w:pPr>
      </w:p>
      <w:p>
        <w:pPr>
          <w:pStyle w:val="Footer"/>
          <w:jc w:val="center"/>
          <w:rPr>
            <w:noProof/>
          </w:rPr>
        </w:pPr>
        <w:r>
          <w:fldChar w:fldCharType="begin"/>
        </w:r>
        <w:r>
          <w:instrText xml:space="preserve"> PAGE   \* MERGEFORMAT </w:instrText>
        </w:r>
        <w:r>
          <w:fldChar w:fldCharType="separate"/>
        </w:r>
        <w:r>
          <w:t>3</w:t>
        </w:r>
        <w:r>
          <w:fldChar w:fldCharType="end"/>
        </w:r>
      </w:p>
    </w:sdtContent>
  </w:sdt>
  <w:p/>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pPr>
      <w:r>
        <w:separator/>
      </w:r>
    </w:p>
  </w:footnote>
  <w:footnote w:type="continuationSeparator" w:id="0">
    <w:p>
      <w:pPr>
        <w:spacing w:after="0"/>
      </w:pPr>
      <w:r>
        <w:continuationSeparator/>
      </w:r>
    </w:p>
  </w:footnote>
  <w:footnote w:type="continuationNotice" w:id="1">
    <w:p>
      <w:pPr>
        <w:spacing w:after="0"/>
      </w:pPr>
    </w:p>
  </w:footnote>
  <w:footnote w:id="2">
    <w:p>
      <w:pPr>
        <w:pStyle w:val="FootnoteText"/>
      </w:pPr>
      <w:r>
        <w:rPr>
          <w:rStyle w:val="FootnoteReference"/>
        </w:rPr>
        <w:footnoteRef/>
      </w:r>
      <w:r>
        <w:t xml:space="preserve"> </w:t>
      </w:r>
      <w:r>
        <w:tab/>
        <w:t>2020 m. teisinės valstybės principo taikymo ataskaita. Šalies skyrius: teisinės valstybės principo padėtis Italijoje, p. 2.</w:t>
      </w:r>
    </w:p>
  </w:footnote>
  <w:footnote w:id="3">
    <w:p>
      <w:pPr>
        <w:pStyle w:val="FootnoteText"/>
      </w:pPr>
      <w:r>
        <w:rPr>
          <w:rStyle w:val="FootnoteReference"/>
        </w:rPr>
        <w:footnoteRef/>
      </w:r>
      <w:r>
        <w:t xml:space="preserve"> </w:t>
      </w:r>
      <w:r>
        <w:tab/>
        <w:t>Italijos Konstitucija, 104 ir 107 straipsniai. Ir teisėjai, ir prokurorai, kaip teismų sistemos nariai, yra nepriklausomi nuo kitų Konstitucijoje įtvirtintų valdžios formų.</w:t>
      </w:r>
    </w:p>
  </w:footnote>
  <w:footnote w:id="4">
    <w:p>
      <w:pPr>
        <w:pStyle w:val="FootnoteText"/>
      </w:pPr>
      <w:r>
        <w:rPr>
          <w:rStyle w:val="FootnoteReference"/>
        </w:rPr>
        <w:footnoteRef/>
      </w:r>
      <w:r>
        <w:t xml:space="preserve"> </w:t>
      </w:r>
      <w:r>
        <w:tab/>
        <w:t>Konstitucinis Teismas taip pat priima sprendimus dėl prieštaravimų, susijusių su valstybei ir valstybei bei regionams suteiktų įgaliojimų, taip pat regionams suteiktų įgaliojimų paskirstymu, ir dėl Respublikos Prezidentui pateiktų kaltinimų.</w:t>
      </w:r>
    </w:p>
  </w:footnote>
  <w:footnote w:id="5">
    <w:p>
      <w:pPr>
        <w:pStyle w:val="FootnoteText"/>
      </w:pPr>
      <w:r>
        <w:rPr>
          <w:rStyle w:val="FootnoteReference"/>
        </w:rPr>
        <w:footnoteRef/>
      </w:r>
      <w:r>
        <w:t xml:space="preserve"> </w:t>
      </w:r>
      <w:r>
        <w:tab/>
        <w:t xml:space="preserve">Organizuoto nusikalstamumo ir kitų sunkių nusikaltimų srityje baudžiamąjį persekiojimą vykdo apygardų kovos su mafija direktoratai. </w:t>
      </w:r>
    </w:p>
  </w:footnote>
  <w:footnote w:id="6">
    <w:p>
      <w:pPr>
        <w:pStyle w:val="FootnoteText"/>
        <w:rPr>
          <w:rFonts w:cs="Times New Roman"/>
        </w:rPr>
      </w:pPr>
      <w:r>
        <w:rPr>
          <w:rStyle w:val="FootnoteReference"/>
          <w:rFonts w:cs="Times New Roman"/>
        </w:rPr>
        <w:footnoteRef/>
      </w:r>
      <w:r>
        <w:t xml:space="preserve"> </w:t>
      </w:r>
      <w:r>
        <w:tab/>
        <w:t>2021 m. ES teisingumo rezultatų suvestinė, 48 ir 50 diagramos. Suvokiamo teismų nepriklausomumo lygis skirstomas į šias kategorijas: labai žemas (mažiau nei 30 proc. respondentų mano, kad teismai yra pakankamai nepriklausomi ir visiškai nepriklausomi), žemas (30–39 proc.), vidutinis (40–59 proc.), aukštas (60–75 proc.), labai aukštas (daugiau nei 75 proc.).</w:t>
      </w:r>
    </w:p>
  </w:footnote>
  <w:footnote w:id="7">
    <w:p>
      <w:pPr>
        <w:pStyle w:val="FootnoteText"/>
        <w:rPr>
          <w:rFonts w:cs="Times New Roman"/>
        </w:rPr>
      </w:pPr>
      <w:r>
        <w:rPr>
          <w:rStyle w:val="FootnoteReference"/>
          <w:rFonts w:cs="Times New Roman"/>
        </w:rPr>
        <w:footnoteRef/>
      </w:r>
      <w:r>
        <w:t xml:space="preserve"> </w:t>
      </w:r>
      <w:r>
        <w:tab/>
        <w:t>2020 m. teisinės valstybės principo taikymo ataskaita. Šalies skyrius: teisinės valstybės principo padėtis Italijoje, p. 3 ir 4. 2020 m. rugpjūčio 7 d. Ministrų Tarybos patvirtintas Įstatymo projektas AC 2681. Neseniai žiniasklaida pranešė apie kitus su profesiniu sąžiningumu susijusius probleminius atvejus, kuriuos šiuo metu tiria kelios prokuratūros tarnybos.</w:t>
      </w:r>
    </w:p>
  </w:footnote>
  <w:footnote w:id="8">
    <w:p>
      <w:pPr>
        <w:pStyle w:val="FootnoteText"/>
      </w:pPr>
      <w:r>
        <w:rPr>
          <w:rStyle w:val="FootnoteReference"/>
        </w:rPr>
        <w:footnoteRef/>
      </w:r>
      <w:r>
        <w:t xml:space="preserve"> </w:t>
      </w:r>
      <w:r>
        <w:tab/>
        <w:t>2020 m. teisinės valstybės principo taikymo ataskaita. Šalies skyrius: teisinės valstybės principo padėtis Italijoje, p. 3, kur paaiškintos profesinio sąžiningumo srityje kylančios problemos. Neseniai žiniasklaida pranešė apie kitus su profesiniu sąžiningumu susijusius probleminius atvejus, kuriuos šiuo metu tiria kelios prokuratūros tarnybos.</w:t>
      </w:r>
    </w:p>
  </w:footnote>
  <w:footnote w:id="9">
    <w:p>
      <w:pPr>
        <w:pStyle w:val="FootnoteText"/>
      </w:pPr>
      <w:r>
        <w:rPr>
          <w:rStyle w:val="FootnoteReference"/>
        </w:rPr>
        <w:footnoteRef/>
      </w:r>
      <w:r>
        <w:t xml:space="preserve"> </w:t>
      </w:r>
      <w:r>
        <w:tab/>
        <w:t xml:space="preserve">Įstatymo projektu siekiama užkirsti kelią interesų konfliktams ir didinti teismų nepriklausomumą ribojant teisėjų galimybes dalyvauti politinėje veikloje. Žr. GRECO, </w:t>
      </w:r>
      <w:r>
        <w:rPr>
          <w:i/>
          <w:iCs/>
        </w:rPr>
        <w:t>Fourth Evaluation Round – Second Compliance Report, recommendation x.</w:t>
      </w:r>
    </w:p>
  </w:footnote>
  <w:footnote w:id="10">
    <w:p>
      <w:pPr>
        <w:pStyle w:val="FootnoteText"/>
      </w:pPr>
      <w:r>
        <w:rPr>
          <w:rStyle w:val="FootnoteReference"/>
        </w:rPr>
        <w:footnoteRef/>
      </w:r>
      <w:r>
        <w:t xml:space="preserve"> </w:t>
      </w:r>
      <w:r>
        <w:tab/>
        <w:t>2021 m. balandžio 21–29 d. Aukščiausioji teismų taryba Teisingumo ministerijos prašymu pagal 1958 m. kovo 24 d. Įstatymo Nr. 195 10 straipsnį pateikė šešias nuomones.</w:t>
      </w:r>
    </w:p>
  </w:footnote>
  <w:footnote w:id="11">
    <w:p>
      <w:pPr>
        <w:pStyle w:val="FootnoteText"/>
        <w:rPr>
          <w:rFonts w:cs="Times New Roman"/>
        </w:rPr>
      </w:pPr>
      <w:r>
        <w:rPr>
          <w:rStyle w:val="FootnoteReference"/>
        </w:rPr>
        <w:footnoteRef/>
      </w:r>
      <w:r>
        <w:t xml:space="preserve"> </w:t>
      </w:r>
      <w:r>
        <w:tab/>
        <w:t>2021 m. balandžio 21 d. Aukščiausiosios teismų tarybos nuomonė (dėl teismo tarnybų).</w:t>
      </w:r>
    </w:p>
  </w:footnote>
  <w:footnote w:id="12">
    <w:p>
      <w:pPr>
        <w:pStyle w:val="FootnoteText"/>
      </w:pPr>
      <w:r>
        <w:rPr>
          <w:rStyle w:val="FootnoteReference"/>
        </w:rPr>
        <w:footnoteRef/>
      </w:r>
      <w:r>
        <w:t xml:space="preserve"> </w:t>
      </w:r>
      <w:r>
        <w:tab/>
        <w:t xml:space="preserve">2021 m. balandžio 29 d. Aukščiausiosios teismų tarybos nuomonė (dėl aukščiausių ir vidurinės grandies vadovaujamųjų pareigų). </w:t>
      </w:r>
    </w:p>
  </w:footnote>
  <w:footnote w:id="13">
    <w:p>
      <w:pPr>
        <w:pStyle w:val="FootnoteText"/>
        <w:rPr>
          <w:rFonts w:cs="Times New Roman"/>
        </w:rPr>
      </w:pPr>
      <w:r>
        <w:rPr>
          <w:rStyle w:val="FootnoteReference"/>
          <w:rFonts w:cs="Times New Roman"/>
        </w:rPr>
        <w:footnoteRef/>
      </w:r>
      <w:r>
        <w:t xml:space="preserve"> </w:t>
      </w:r>
      <w:r>
        <w:tab/>
        <w:t>2021 m. balandžio 29 d. Aukščiausiosios teismų tarybos nuomonė (dėl Aukščiausiosios tarybos narių rinkimo tvarkos).</w:t>
      </w:r>
    </w:p>
  </w:footnote>
  <w:footnote w:id="14">
    <w:p>
      <w:pPr>
        <w:pStyle w:val="FootnoteText"/>
      </w:pPr>
      <w:r>
        <w:rPr>
          <w:rStyle w:val="FootnoteReference"/>
        </w:rPr>
        <w:footnoteRef/>
      </w:r>
      <w:r>
        <w:t xml:space="preserve"> </w:t>
      </w:r>
      <w:r>
        <w:tab/>
        <w:t>Visų pirma, mažumų marginalizacija siejama su daugumos sistemomis; likus trims mėnesiams iki rinkimų teisingumo ministras galėtų nuspręsti, kaip sudaryti teritorines kolegijas, o dėl to gali kilti pavojus teismų nepriklausomumui; kalbant apie pliuralizmą, Konstitucijos 104 straipsnyje nustatyta, kad Tarybos narius teisėjus renka visų kategorijų teisėjai, o įstatymo projektu ši galimybė būtų apribota.</w:t>
      </w:r>
    </w:p>
  </w:footnote>
  <w:footnote w:id="15">
    <w:p>
      <w:pPr>
        <w:pStyle w:val="FootnoteText"/>
      </w:pPr>
      <w:r>
        <w:rPr>
          <w:rStyle w:val="FootnoteReference"/>
        </w:rPr>
        <w:footnoteRef/>
      </w:r>
      <w:r>
        <w:t xml:space="preserve"> </w:t>
      </w:r>
      <w:r>
        <w:tab/>
        <w:t>2021 m. balandžio 21 d. Aukščiausiosios teismų tarybos nuomonė (dėl drausminių pažeidimų ir Aukščiausiosios teismų tarybos veikimo).</w:t>
      </w:r>
    </w:p>
  </w:footnote>
  <w:footnote w:id="16">
    <w:p>
      <w:pPr>
        <w:pStyle w:val="FootnoteText"/>
      </w:pPr>
      <w:r>
        <w:rPr>
          <w:rStyle w:val="FootnoteReference"/>
        </w:rPr>
        <w:footnoteRef/>
      </w:r>
      <w:r>
        <w:t xml:space="preserve"> </w:t>
      </w:r>
      <w:r>
        <w:tab/>
        <w:t xml:space="preserve">GRECO, </w:t>
      </w:r>
      <w:r>
        <w:rPr>
          <w:i/>
          <w:iCs/>
        </w:rPr>
        <w:t>Fourth Evaluation Round – Second Compliance Report, recommendation x</w:t>
      </w:r>
      <w:r>
        <w:t>. Taip pat žr. 2021 m. balandžio 21 d. Aukščiausiosios teismų tarybos nuomonę.</w:t>
      </w:r>
    </w:p>
  </w:footnote>
  <w:footnote w:id="17">
    <w:p>
      <w:pPr>
        <w:pStyle w:val="FootnoteText"/>
      </w:pPr>
      <w:r>
        <w:rPr>
          <w:rStyle w:val="FootnoteReference"/>
        </w:rPr>
        <w:footnoteRef/>
      </w:r>
      <w:r>
        <w:t xml:space="preserve"> </w:t>
      </w:r>
      <w:r>
        <w:tab/>
        <w:t>Minėtoje ataskaitoje pažymėta, kad, siekiant numatyti griežtesnį reglamentavimą ir apriboti teisėjų galimybes dalyvauti politiniame gyvenime, parengtas teisės akto projektas, tačiau joje taip pat paminėta, kad tai yra ilgai laukta reforma, susijusi su Italijoje itin opiu klausimu, todėl reikia imtis ryžtingesnių veiksmų.</w:t>
      </w:r>
    </w:p>
  </w:footnote>
  <w:footnote w:id="18">
    <w:p>
      <w:pPr>
        <w:pStyle w:val="FootnoteText"/>
        <w:rPr>
          <w:rFonts w:cs="Times New Roman"/>
        </w:rPr>
      </w:pPr>
      <w:r>
        <w:rPr>
          <w:rStyle w:val="FootnoteReference"/>
          <w:rFonts w:cs="Times New Roman"/>
        </w:rPr>
        <w:footnoteRef/>
      </w:r>
      <w:r>
        <w:t xml:space="preserve"> </w:t>
      </w:r>
      <w:r>
        <w:tab/>
        <w:t>Naujojo teisingumo ministro parengtos ir Parlamentui 2021 m. kovo 15 ir 18 d. pristatytos teisingumo politikos kryptys.</w:t>
      </w:r>
    </w:p>
  </w:footnote>
  <w:footnote w:id="19">
    <w:p>
      <w:pPr>
        <w:pStyle w:val="FootnoteText"/>
        <w:rPr>
          <w:rFonts w:cs="Times New Roman"/>
        </w:rPr>
      </w:pPr>
      <w:r>
        <w:rPr>
          <w:rStyle w:val="FootnoteReference"/>
          <w:rFonts w:cs="Times New Roman"/>
        </w:rPr>
        <w:footnoteRef/>
      </w:r>
      <w:r>
        <w:t xml:space="preserve"> </w:t>
      </w:r>
      <w:r>
        <w:tab/>
        <w:t>Kalbant apie Teismų tarybos reformą, be narių rinkimų sistemos numatyta kas dvejus metus atnaujinti pusę jos narių teisėjų ir profesinės veiklos teisminėse institucijose nevykdančių narių. Aukščiausioji teismų taryba savo nuomonėje Teisingumo ministerijai palankiai įvertino šį pasiūlymą. 2021 m. kovo 26 d. Ministro dekretu teisingumo ministras sudarė komisiją pasiūlymams dėl veiksmų, susijusių su teismų sistemos reforma ir Aukščiausiosios teismų tarybos sudarymo ir veikimo reguliavimu, rengti. Ši komisija 2021 m. gegužės 31 d. užbaigė savo darbą ir šiuo metu rengia ataskaitą. Į šią ataskaitą bus atsižvelgta atliekant galimus Parlamente aptariamo įstatymo projekto pakeitimus.</w:t>
      </w:r>
    </w:p>
  </w:footnote>
  <w:footnote w:id="20">
    <w:p>
      <w:pPr>
        <w:pStyle w:val="FootnoteText"/>
        <w:rPr>
          <w:rFonts w:cs="Times New Roman"/>
        </w:rPr>
      </w:pPr>
      <w:r>
        <w:rPr>
          <w:rStyle w:val="FootnoteReference"/>
          <w:rFonts w:cs="Times New Roman"/>
        </w:rPr>
        <w:footnoteRef/>
      </w:r>
      <w:r>
        <w:t xml:space="preserve"> </w:t>
      </w:r>
      <w:r>
        <w:tab/>
        <w:t>Europos Tarybos Ministrų Komiteto rekomendacijos CM/Rec(2010) 12 25, 26, 27 punktai. Taip pat žr. 2020 m. Europos teisėjų konsultacinės tarybos nuomonės Nr. 23 dėl teisėjų asociacijų vaidmens 31 ir 32 punktus: „</w:t>
      </w:r>
      <w:r>
        <w:rPr>
          <w:i/>
        </w:rPr>
        <w:t>[k]eliose valstybėse narėse atrenkant Teismų tarybos narius teisėjų asociacijos daro tam tikrą įtaką. Toks dalyvavimas atrenkant Teismų tarybos narius galėtų būti vertinamas palankiai, jeigu nepažeidžiamas jos darbo nepriklausomumo principas. Vis dėlto turi būti pasirūpinama, kad taikant tokią sistemą nebūtų politizuojami Tarybos narių rinkimai ir tolesnis Tarybos darbas. Bet kuriuo atveju turėtų būti užtikrinamas nediskriminavimas ir, palaikant teismų nepriklausomumo principą, teisėjų asociacijos nariai turėtų turėti galimybę tapti Teismų tarybos nariais</w:t>
      </w:r>
      <w:r>
        <w:t>.“</w:t>
      </w:r>
    </w:p>
  </w:footnote>
  <w:footnote w:id="21">
    <w:p>
      <w:pPr>
        <w:pStyle w:val="FootnoteText"/>
        <w:rPr>
          <w:rFonts w:cs="Times New Roman"/>
        </w:rPr>
      </w:pPr>
      <w:r>
        <w:rPr>
          <w:rStyle w:val="FootnoteReference"/>
          <w:rFonts w:cs="Times New Roman"/>
        </w:rPr>
        <w:footnoteRef/>
      </w:r>
      <w:r>
        <w:t xml:space="preserve"> </w:t>
      </w:r>
      <w:r>
        <w:tab/>
        <w:t xml:space="preserve">Europos Tarybos Ministrų Komiteto rekomendacijos CM/Rec(2010) 12 50, 52, 58 ir 69 punktai. Taip pat žr.: dėl drausminių procedūrų prieš teisėjus – 2019 m. lapkričio 19 d. Teisingumo Teismo sprendimo </w:t>
      </w:r>
      <w:r>
        <w:rPr>
          <w:i/>
          <w:iCs/>
        </w:rPr>
        <w:t>LM</w:t>
      </w:r>
      <w:r>
        <w:t>, C-216/18, 67 punktą; dėl teisėjų atsakomybės – 2021 m. gegužės 18 d. Teisingumo Teismo sprendimo sujungtose bylose C-83/19, C-127/19, C-195/19, C-291/19, C-355/19 ir C-397/19 228–239 punktus.</w:t>
      </w:r>
    </w:p>
  </w:footnote>
  <w:footnote w:id="22">
    <w:p>
      <w:pPr>
        <w:pStyle w:val="FootnoteText"/>
        <w:rPr>
          <w:rFonts w:cs="Times New Roman"/>
        </w:rPr>
      </w:pPr>
      <w:r>
        <w:rPr>
          <w:rStyle w:val="FootnoteReference"/>
          <w:rFonts w:cs="Times New Roman"/>
        </w:rPr>
        <w:footnoteRef/>
      </w:r>
      <w:r>
        <w:t xml:space="preserve"> </w:t>
      </w:r>
      <w:r>
        <w:tab/>
        <w:t>2020 m. teisinės valstybės principo taikymo ataskaita. Šalies skyrius: teisinės valstybės principo padėtis Italijoje, p. 3–4.</w:t>
      </w:r>
    </w:p>
  </w:footnote>
  <w:footnote w:id="23">
    <w:p>
      <w:pPr>
        <w:pStyle w:val="FootnoteText"/>
      </w:pPr>
      <w:r>
        <w:rPr>
          <w:rStyle w:val="FootnoteReference"/>
        </w:rPr>
        <w:footnoteRef/>
      </w:r>
      <w:r>
        <w:t xml:space="preserve"> </w:t>
      </w:r>
      <w:r>
        <w:tab/>
        <w:t>2020 m. rugsėjo 9 d. Aukščiausiosios teismų tarybos sprendimas, kuriuo pakeičiamas 2015 m. liepos 24 d. Sprendimas Nr. 13778.</w:t>
      </w:r>
    </w:p>
  </w:footnote>
  <w:footnote w:id="24">
    <w:p>
      <w:pPr>
        <w:pStyle w:val="FootnoteText"/>
      </w:pPr>
      <w:r>
        <w:rPr>
          <w:rStyle w:val="FootnoteReference"/>
        </w:rPr>
        <w:footnoteRef/>
      </w:r>
      <w:r>
        <w:t xml:space="preserve"> </w:t>
      </w:r>
      <w:r>
        <w:tab/>
        <w:t xml:space="preserve">GRECO, </w:t>
      </w:r>
      <w:r>
        <w:rPr>
          <w:i/>
          <w:iCs/>
        </w:rPr>
        <w:t>Fourth Evaluation Round – Second Compliance Report, recommendation xi</w:t>
      </w:r>
      <w:r>
        <w:t>.</w:t>
      </w:r>
    </w:p>
  </w:footnote>
  <w:footnote w:id="25">
    <w:p>
      <w:pPr>
        <w:pStyle w:val="FootnoteText"/>
      </w:pPr>
      <w:r>
        <w:rPr>
          <w:rStyle w:val="FootnoteReference"/>
          <w:rFonts w:cs="Times New Roman"/>
        </w:rPr>
        <w:footnoteRef/>
      </w:r>
      <w:r>
        <w:t xml:space="preserve"> </w:t>
      </w:r>
      <w:r>
        <w:tab/>
        <w:t>Šiuo metu Aukščiausioje teismų taryboje atliekamos 23 drausminės procedūros. Viena drausminė procedūra užbaigta skyrus griežčiausią drausminę nuobaudą – pašalinimą iš nuolatinių teisėjo pareigų (vizito į šalį metu gauta informacija). Be to, Aukščiausioji teismų taryba taip pat vertina privalomo perkėlimo galimybę, jeigu nebeįmanoma sudaryti sąlygų, kuriomis atitinkamas teisėjas galėtų nepriklausomai ir nešališkai dirbti tam tikroje teisminėje institucijoje.</w:t>
      </w:r>
    </w:p>
  </w:footnote>
  <w:footnote w:id="26">
    <w:p>
      <w:pPr>
        <w:pStyle w:val="FootnoteText"/>
      </w:pPr>
      <w:r>
        <w:rPr>
          <w:rStyle w:val="FootnoteReference"/>
        </w:rPr>
        <w:footnoteRef/>
      </w:r>
      <w:r>
        <w:t xml:space="preserve"> </w:t>
      </w:r>
      <w:r>
        <w:tab/>
        <w:t xml:space="preserve">Skyrus griežčiausias drausmines nuobaudas teisėjas negali būti skiriamas eiti tam tikrų aukštų teisėjo pareigų. </w:t>
      </w:r>
    </w:p>
  </w:footnote>
  <w:footnote w:id="27">
    <w:p>
      <w:pPr>
        <w:pStyle w:val="FootnoteText"/>
      </w:pPr>
      <w:r>
        <w:rPr>
          <w:rStyle w:val="FootnoteReference"/>
        </w:rPr>
        <w:footnoteRef/>
      </w:r>
      <w:r>
        <w:t xml:space="preserve"> </w:t>
      </w:r>
      <w:r>
        <w:tab/>
        <w:t>2020 m. teisinės valstybės principo taikymo ataskaita. Šalies skyrius: teisinės valstybės principo padėtis Italijoje, p. 3–4.</w:t>
      </w:r>
    </w:p>
  </w:footnote>
  <w:footnote w:id="28">
    <w:p>
      <w:pPr>
        <w:pStyle w:val="FootnoteText"/>
      </w:pPr>
      <w:r>
        <w:rPr>
          <w:rStyle w:val="FootnoteReference"/>
        </w:rPr>
        <w:footnoteRef/>
      </w:r>
      <w:r>
        <w:t xml:space="preserve"> </w:t>
      </w:r>
      <w:r>
        <w:tab/>
        <w:t>Iš Nacionalinės teisėjų asociacijos gauti atsakymai ir vizito į Italiją metu gauta informacija.</w:t>
      </w:r>
    </w:p>
  </w:footnote>
  <w:footnote w:id="29">
    <w:p>
      <w:pPr>
        <w:pStyle w:val="FootnoteText"/>
      </w:pPr>
      <w:r>
        <w:rPr>
          <w:rStyle w:val="FootnoteReference"/>
        </w:rPr>
        <w:footnoteRef/>
      </w:r>
      <w:r>
        <w:t xml:space="preserve"> </w:t>
      </w:r>
      <w:r>
        <w:tab/>
        <w:t>Iš Italijos gauti atsakymai rengiant 2021 m. teisinės valstybės principo taikymo ataskaitą, p. 14.</w:t>
      </w:r>
    </w:p>
  </w:footnote>
  <w:footnote w:id="30">
    <w:p>
      <w:pPr>
        <w:pStyle w:val="FootnoteText"/>
      </w:pPr>
      <w:r>
        <w:rPr>
          <w:rStyle w:val="FootnoteReference"/>
        </w:rPr>
        <w:footnoteRef/>
      </w:r>
      <w:r>
        <w:t xml:space="preserve"> </w:t>
      </w:r>
      <w:r>
        <w:tab/>
        <w:t xml:space="preserve">Vizito į Italiją metu Teisingumo ministerijos raštu pateikti atsakymai. </w:t>
      </w:r>
    </w:p>
  </w:footnote>
  <w:footnote w:id="31">
    <w:p>
      <w:pPr>
        <w:pStyle w:val="FootnoteText"/>
        <w:rPr>
          <w:rFonts w:cs="Times New Roman"/>
        </w:rPr>
      </w:pPr>
      <w:r>
        <w:rPr>
          <w:rStyle w:val="FootnoteReference"/>
          <w:rFonts w:cs="Times New Roman"/>
        </w:rPr>
        <w:footnoteRef/>
      </w:r>
      <w:r>
        <w:t xml:space="preserve"> </w:t>
      </w:r>
      <w:r>
        <w:tab/>
        <w:t>Remiantis panašia patirtimi, įgyta taikant kitas Europos teisės sistemas (pvz., Prancūzijoje ir Ispanijoje), laikiniems sunkumams įveikti ir teismų veiklos rezultatams vienodinti buvo sukurta lanksti priemonė. 2020 m. spalio mėn. Aukščiausiajai teismų tarybai buvo išsiųsta Aiškinamoji techninė ataskaita, kad ji pateiktų savo nuomonę.</w:t>
      </w:r>
    </w:p>
  </w:footnote>
  <w:footnote w:id="32">
    <w:p>
      <w:pPr>
        <w:pStyle w:val="FootnoteText"/>
        <w:rPr>
          <w:rFonts w:cs="Times New Roman"/>
        </w:rPr>
      </w:pPr>
      <w:r>
        <w:rPr>
          <w:rStyle w:val="FootnoteReference"/>
          <w:rFonts w:cs="Times New Roman"/>
        </w:rPr>
        <w:footnoteRef/>
      </w:r>
      <w:r>
        <w:t xml:space="preserve"> </w:t>
      </w:r>
      <w:r>
        <w:tab/>
        <w:t>2021 m. balandžio 1 d. Įstatyminio dekreto Nr. 44 11 straipsnis.</w:t>
      </w:r>
    </w:p>
  </w:footnote>
  <w:footnote w:id="33">
    <w:p>
      <w:pPr>
        <w:pStyle w:val="FootnoteText"/>
        <w:rPr>
          <w:rFonts w:cs="Times New Roman"/>
        </w:rPr>
      </w:pPr>
      <w:r>
        <w:rPr>
          <w:rStyle w:val="FootnoteReference"/>
          <w:rFonts w:cs="Times New Roman"/>
        </w:rPr>
        <w:footnoteRef/>
      </w:r>
      <w:r>
        <w:t xml:space="preserve"> </w:t>
      </w:r>
      <w:r>
        <w:tab/>
        <w:t xml:space="preserve">Vizito į Italiją metu Teisingumo ministerijos raštu pateikti atsakymai (2020 m. buvo įdarbinti 1 187 darbuotojai, o 2021 m. iki balandžio 13 d. – 1 056 darbuotojai). </w:t>
      </w:r>
    </w:p>
  </w:footnote>
  <w:footnote w:id="34">
    <w:p>
      <w:pPr>
        <w:pStyle w:val="FootnoteText"/>
      </w:pPr>
      <w:r>
        <w:rPr>
          <w:rStyle w:val="FootnoteReference"/>
        </w:rPr>
        <w:footnoteRef/>
      </w:r>
      <w:r>
        <w:t xml:space="preserve"> </w:t>
      </w:r>
      <w:r>
        <w:tab/>
        <w:t>Paskelbta nacionaliniame ekonomikos gaivinimo ir atsparumo didinimo plane.</w:t>
      </w:r>
    </w:p>
  </w:footnote>
  <w:footnote w:id="35">
    <w:p>
      <w:pPr>
        <w:pStyle w:val="FootnoteText"/>
      </w:pPr>
      <w:r>
        <w:rPr>
          <w:rStyle w:val="FootnoteReference"/>
        </w:rPr>
        <w:footnoteRef/>
      </w:r>
      <w:r>
        <w:t xml:space="preserve"> </w:t>
      </w:r>
      <w:r>
        <w:tab/>
        <w:t>Teismų tarnyba buvo įsteigta 2014 m. (2014 m. Įstatyminio dekreto Nr. 90, pakeisto Įstatymu Nr. 114/2014, 50 straipsnis), siekiant padėti teisėjams pasirengti teismo posėdžiams, jų pajėgumus sustiprinant sekretorių, stažuotojų ir kitų darbuotojų grupėmis.</w:t>
      </w:r>
    </w:p>
  </w:footnote>
  <w:footnote w:id="36">
    <w:p>
      <w:pPr>
        <w:pStyle w:val="FootnoteText"/>
      </w:pPr>
      <w:r>
        <w:rPr>
          <w:rStyle w:val="FootnoteReference"/>
        </w:rPr>
        <w:footnoteRef/>
      </w:r>
      <w:r>
        <w:t xml:space="preserve"> </w:t>
      </w:r>
      <w:r>
        <w:tab/>
        <w:t xml:space="preserve">Paskelbta nacionaliniame ekonomikos gaivinimo ir atsparumo didinimo plane. </w:t>
      </w:r>
    </w:p>
  </w:footnote>
  <w:footnote w:id="37">
    <w:p>
      <w:pPr>
        <w:pStyle w:val="FootnoteText"/>
      </w:pPr>
      <w:r>
        <w:rPr>
          <w:rStyle w:val="FootnoteReference"/>
        </w:rPr>
        <w:footnoteRef/>
      </w:r>
      <w:r>
        <w:t xml:space="preserve"> </w:t>
      </w:r>
      <w:r>
        <w:tab/>
      </w:r>
      <w:r>
        <w:rPr>
          <w:i/>
        </w:rPr>
        <w:t>Ibidem</w:t>
      </w:r>
      <w:r>
        <w:t>; įdarbinimo procedūras planuojama užbaigti iki 2022 m. pabaigos.</w:t>
      </w:r>
    </w:p>
  </w:footnote>
  <w:footnote w:id="38">
    <w:p>
      <w:pPr>
        <w:pStyle w:val="FootnoteText"/>
        <w:rPr>
          <w:rFonts w:cs="Times New Roman"/>
        </w:rPr>
      </w:pPr>
      <w:r>
        <w:rPr>
          <w:rStyle w:val="FootnoteReference"/>
          <w:rFonts w:cs="Times New Roman"/>
        </w:rPr>
        <w:footnoteRef/>
      </w:r>
      <w:r>
        <w:t xml:space="preserve"> </w:t>
      </w:r>
      <w:r>
        <w:tab/>
        <w:t>Moksliniai tyrimai, studijos, stebėsena, funkcijų valdymas, priemonių projektų rengimas.</w:t>
      </w:r>
    </w:p>
  </w:footnote>
  <w:footnote w:id="39">
    <w:p>
      <w:pPr>
        <w:pStyle w:val="FootnoteText"/>
      </w:pPr>
      <w:r>
        <w:rPr>
          <w:rStyle w:val="FootnoteReference"/>
        </w:rPr>
        <w:footnoteRef/>
      </w:r>
      <w:r>
        <w:t xml:space="preserve"> </w:t>
      </w:r>
      <w:r>
        <w:tab/>
        <w:t xml:space="preserve">Iš Valstybės Tarybos gauti atsakymai rengiant 2021 m. teisinės valstybės principo taikymo ataskaitą. Vizito į Italiją metu Valstybės Tarybos raštu pateikti atsakymai. </w:t>
      </w:r>
    </w:p>
  </w:footnote>
  <w:footnote w:id="40">
    <w:p>
      <w:pPr>
        <w:pStyle w:val="FootnoteText"/>
      </w:pPr>
      <w:r>
        <w:rPr>
          <w:rStyle w:val="FootnoteReference"/>
        </w:rPr>
        <w:footnoteRef/>
      </w:r>
      <w:r>
        <w:t xml:space="preserve"> </w:t>
      </w:r>
      <w:r>
        <w:tab/>
      </w:r>
      <w:r>
        <w:rPr>
          <w:i/>
        </w:rPr>
        <w:t>Ibidem</w:t>
      </w:r>
      <w:r>
        <w:t xml:space="preserve">, numatyta pagal terminuotas darbo sutartis įdarbinti 250 pareigūnų ir 90 techninių padėjėjų. </w:t>
      </w:r>
    </w:p>
  </w:footnote>
  <w:footnote w:id="41">
    <w:p>
      <w:pPr>
        <w:pStyle w:val="FootnoteText"/>
      </w:pPr>
      <w:r>
        <w:rPr>
          <w:rStyle w:val="FootnoteReference"/>
        </w:rPr>
        <w:footnoteRef/>
      </w:r>
      <w:r>
        <w:t xml:space="preserve"> </w:t>
      </w:r>
      <w:r>
        <w:tab/>
        <w:t>Paskelbta nacionaliniame ekonomikos gaivinimo ir atsparumo didinimo plane. Tarpinės ir siektinos reikšmės: iki 2026 m. antrojo ketvirčio 90 proc. sumažinti pirmosios ir antrosios instancijos civiliniuose teismuose susikaupusių bylų skaičių ir 70 proc. sumažinti administraciniuose teismuose susikaupusių bylų skaičių; 40 proc. sumažinti civilinių ir komercinių ginčo bylų nagrinėjimo visų instancijų teismuose trukmę ir 25 proc. sumažinti baudžiamųjų bylų nagrinėjimo visų instancijų teismuose trukmę.</w:t>
      </w:r>
    </w:p>
  </w:footnote>
  <w:footnote w:id="42">
    <w:p>
      <w:pPr>
        <w:pStyle w:val="FootnoteText"/>
      </w:pPr>
      <w:r>
        <w:rPr>
          <w:rStyle w:val="FootnoteReference"/>
        </w:rPr>
        <w:footnoteRef/>
      </w:r>
      <w:r>
        <w:t xml:space="preserve"> </w:t>
      </w:r>
      <w:r>
        <w:tab/>
        <w:t>2020 m. teisinės valstybės principo taikymo ataskaita. Šalies skyrius: teisinės valstybės principo padėtis Italijoje, p. 8, 71 išnaša.</w:t>
      </w:r>
    </w:p>
  </w:footnote>
  <w:footnote w:id="43">
    <w:p>
      <w:pPr>
        <w:pStyle w:val="FootnoteText"/>
        <w:rPr>
          <w:rFonts w:cs="Times New Roman"/>
        </w:rPr>
      </w:pPr>
      <w:r>
        <w:rPr>
          <w:rStyle w:val="FootnoteReference"/>
          <w:rFonts w:cs="Times New Roman"/>
        </w:rPr>
        <w:footnoteRef/>
      </w:r>
      <w:r>
        <w:t xml:space="preserve"> </w:t>
      </w:r>
      <w:r>
        <w:tab/>
        <w:t>2020 m. teisinės valstybės principo taikymo ataskaita. Šalies skyrius: teisinės valstybės principo padėtis Italijoje, p. 5.</w:t>
      </w:r>
    </w:p>
  </w:footnote>
  <w:footnote w:id="44">
    <w:p>
      <w:pPr>
        <w:pStyle w:val="FootnoteText"/>
      </w:pPr>
      <w:r>
        <w:rPr>
          <w:rStyle w:val="FootnoteReference"/>
        </w:rPr>
        <w:footnoteRef/>
      </w:r>
      <w:r>
        <w:t xml:space="preserve"> </w:t>
      </w:r>
      <w:r>
        <w:tab/>
        <w:t xml:space="preserve">2021 m. ES teisingumo rezultatų suvestinė, 40 ir 44 diagramos. </w:t>
      </w:r>
    </w:p>
  </w:footnote>
  <w:footnote w:id="45">
    <w:p>
      <w:pPr>
        <w:pStyle w:val="FootnoteText"/>
        <w:rPr>
          <w:rFonts w:cs="Times New Roman"/>
        </w:rPr>
      </w:pPr>
      <w:r>
        <w:rPr>
          <w:rStyle w:val="FootnoteReference"/>
          <w:rFonts w:cs="Times New Roman"/>
        </w:rPr>
        <w:footnoteRef/>
      </w:r>
      <w:r>
        <w:t xml:space="preserve"> </w:t>
      </w:r>
      <w:r>
        <w:tab/>
        <w:t>2020 m. spalio 15 d. Teisingumo ministerija, Kasacinis Teismas, generalinis prokuroras, Nacionalinė advokatų taryba ir Advokatų kongreso įstaiga pasirašė Protokolą dėl eksperimentinio dokumentų teikimo elektroniniu būdu pasitelkiant naują valdymo modulį nuo 2021 m. spalio 26 d. Be to, Aukščiausiojo Teismo teisėjai Kasacinio Teismo teisėjams skirtoje platformoje gali nuotoliniu būdu susipažinti su teismo proceso dokumentais, rengti sprendimus ir teikti dokumentus elektroniniu būdu. Šį modulį ketinama išplėsti ir įdiegti civilines bylas nagrinėjančio Aukščiausiojo Teismo prokuratūroje.</w:t>
      </w:r>
    </w:p>
  </w:footnote>
  <w:footnote w:id="46">
    <w:p>
      <w:pPr>
        <w:pStyle w:val="FootnoteText"/>
        <w:rPr>
          <w:rFonts w:cs="Times New Roman"/>
        </w:rPr>
      </w:pPr>
      <w:r>
        <w:rPr>
          <w:rStyle w:val="FootnoteReference"/>
          <w:rFonts w:cs="Times New Roman"/>
        </w:rPr>
        <w:footnoteRef/>
      </w:r>
      <w:r>
        <w:t xml:space="preserve"> </w:t>
      </w:r>
      <w:r>
        <w:tab/>
        <w:t>Iš Italijos gauti atsakymai rengiant 2021 m. teisinės valstybės principo taikymo ataskaitą, p. 18. Daugiau kaip dviejuose šimtuose taikos teismų išbandyta dokumentų e. įteikimo sistema ir imtasi tolesnių veiksmų siekiant visiškai skaitmenizuoti procesus. 145 taikos teismai užbaigė atitinkamas administracines procedūras ir šiuo metu vykdo veiklą.</w:t>
      </w:r>
    </w:p>
  </w:footnote>
  <w:footnote w:id="47">
    <w:p>
      <w:pPr>
        <w:pStyle w:val="FootnoteText"/>
        <w:rPr>
          <w:rFonts w:cs="Times New Roman"/>
        </w:rPr>
      </w:pPr>
      <w:r>
        <w:rPr>
          <w:rStyle w:val="FootnoteReference"/>
          <w:rFonts w:cs="Times New Roman"/>
        </w:rPr>
        <w:footnoteRef/>
      </w:r>
      <w:r>
        <w:t xml:space="preserve"> </w:t>
      </w:r>
      <w:r>
        <w:tab/>
        <w:t xml:space="preserve">Iš Italijos gauti atsakymai rengiant 2021 m. teisinės valstybės principo taikymo ataskaitą, p. 18. Vizito į Italiją metu iš Teisingumo ministerijos gauta informacija. </w:t>
      </w:r>
    </w:p>
  </w:footnote>
  <w:footnote w:id="48">
    <w:p>
      <w:pPr>
        <w:pStyle w:val="FootnoteText"/>
        <w:rPr>
          <w:rFonts w:cs="Times New Roman"/>
        </w:rPr>
      </w:pPr>
      <w:r>
        <w:rPr>
          <w:rStyle w:val="FootnoteReference"/>
          <w:rFonts w:cs="Times New Roman"/>
        </w:rPr>
        <w:footnoteRef/>
      </w:r>
      <w:r>
        <w:t xml:space="preserve"> </w:t>
      </w:r>
      <w:r>
        <w:tab/>
        <w:t xml:space="preserve">2021 m. ES teisingumo rezultatų suvestinė, 2 diagrama. Taip pat žr. vizito į Italiją metu Valstybės Tarybos raštu pateiktus atsakymus: nors nepaprastosios padėties metu administracinis procesas buvo visiškai skaitmenizuotas, nėra nuostatos, pagal kurią nuotolinius teismo posėdžius būtų galima rengti ir pasibaigus nepaprastajai padėčiai. Iš Valstybės Tarybos gauti atsakymai rengiant 2021 m. teisinės valstybės principo taikymo ataskaitą: administracines bylas nagrinėjantys teisėjai gali nuotoliniu būdu susipažinti su bylų medžiaga, priimti sprendimus ir naudotis elektroniniu parašu. </w:t>
      </w:r>
    </w:p>
  </w:footnote>
  <w:footnote w:id="49">
    <w:p>
      <w:pPr>
        <w:pStyle w:val="FootnoteText"/>
      </w:pPr>
      <w:r>
        <w:rPr>
          <w:rStyle w:val="FootnoteReference"/>
        </w:rPr>
        <w:footnoteRef/>
      </w:r>
      <w:r>
        <w:t xml:space="preserve"> </w:t>
      </w:r>
      <w:r>
        <w:tab/>
        <w:t>2021 m. ES teisingumo rezultatų suvestinė, 46 diagrama.</w:t>
      </w:r>
    </w:p>
  </w:footnote>
  <w:footnote w:id="50">
    <w:p>
      <w:pPr>
        <w:pStyle w:val="FootnoteText"/>
      </w:pPr>
      <w:r>
        <w:rPr>
          <w:rStyle w:val="FootnoteReference"/>
        </w:rPr>
        <w:footnoteRef/>
      </w:r>
      <w:r>
        <w:t xml:space="preserve"> </w:t>
      </w:r>
      <w:r>
        <w:tab/>
        <w:t>Paskelbta nacionaliniame ekonomikos gaivinimo ir atsparumo didinimo plane.</w:t>
      </w:r>
    </w:p>
  </w:footnote>
  <w:footnote w:id="51">
    <w:p>
      <w:pPr>
        <w:pStyle w:val="FootnoteText"/>
      </w:pPr>
      <w:r>
        <w:rPr>
          <w:rStyle w:val="FootnoteReference"/>
        </w:rPr>
        <w:footnoteRef/>
      </w:r>
      <w:r>
        <w:t xml:space="preserve"> </w:t>
      </w:r>
      <w:r>
        <w:tab/>
        <w:t>Iš Italijos gauti atsakymai rengiant 2021 m. teisinės valstybės principo taikymo ataskaitą, p. 17 ir 18.</w:t>
      </w:r>
    </w:p>
  </w:footnote>
  <w:footnote w:id="52">
    <w:p>
      <w:pPr>
        <w:pStyle w:val="FootnoteText"/>
      </w:pPr>
      <w:r>
        <w:rPr>
          <w:rStyle w:val="FootnoteReference"/>
        </w:rPr>
        <w:footnoteRef/>
      </w:r>
      <w:r>
        <w:t xml:space="preserve"> </w:t>
      </w:r>
      <w:r>
        <w:tab/>
        <w:t>Paskelbta nacionaliniame ekonomikos gaivinimo ir atsparumo didinimo plane.</w:t>
      </w:r>
    </w:p>
  </w:footnote>
  <w:footnote w:id="53">
    <w:p>
      <w:pPr>
        <w:pStyle w:val="FootnoteText"/>
      </w:pPr>
      <w:r>
        <w:rPr>
          <w:rStyle w:val="FootnoteReference"/>
        </w:rPr>
        <w:footnoteRef/>
      </w:r>
      <w:r>
        <w:t xml:space="preserve"> </w:t>
      </w:r>
      <w:r>
        <w:tab/>
        <w:t>Vizito į Italiją metu iš Teisingumo ministerijos gauta informacija.</w:t>
      </w:r>
    </w:p>
  </w:footnote>
  <w:footnote w:id="54">
    <w:p>
      <w:pPr>
        <w:pStyle w:val="FootnoteText"/>
      </w:pPr>
      <w:r>
        <w:rPr>
          <w:rStyle w:val="FootnoteReference"/>
        </w:rPr>
        <w:footnoteRef/>
      </w:r>
      <w:r>
        <w:t xml:space="preserve"> </w:t>
      </w:r>
      <w:r>
        <w:tab/>
        <w:t xml:space="preserve">2020 m. teisinės valstybės principo taikymo ataskaita. Šalies skyrius: teisinės valstybės principo padėtis Italijoje, p. 6. Taip pat žr. GRECO, </w:t>
      </w:r>
      <w:r>
        <w:rPr>
          <w:i/>
          <w:iCs/>
        </w:rPr>
        <w:t>Fourth Evaluation Round – Second Compliance Report, recommendation VII</w:t>
      </w:r>
      <w:r>
        <w:t xml:space="preserve">, 54 punktas. </w:t>
      </w:r>
    </w:p>
  </w:footnote>
  <w:footnote w:id="55">
    <w:p>
      <w:pPr>
        <w:pStyle w:val="FootnoteText"/>
      </w:pPr>
      <w:r>
        <w:rPr>
          <w:rStyle w:val="FootnoteReference"/>
        </w:rPr>
        <w:footnoteRef/>
      </w:r>
      <w:r>
        <w:t xml:space="preserve"> </w:t>
      </w:r>
      <w:r>
        <w:tab/>
        <w:t>Paskelbta nacionaliniame ekonomikos gaivinimo ir atsparumo didinimo plane.</w:t>
      </w:r>
    </w:p>
  </w:footnote>
  <w:footnote w:id="56">
    <w:p>
      <w:pPr>
        <w:pStyle w:val="FootnoteText"/>
        <w:rPr>
          <w:rFonts w:cs="Times New Roman"/>
        </w:rPr>
      </w:pPr>
      <w:r>
        <w:rPr>
          <w:rStyle w:val="FootnoteReference"/>
          <w:rFonts w:cs="Times New Roman"/>
        </w:rPr>
        <w:footnoteRef/>
      </w:r>
      <w:r>
        <w:t xml:space="preserve"> </w:t>
      </w:r>
      <w:r>
        <w:tab/>
        <w:t xml:space="preserve">GRECO, </w:t>
      </w:r>
      <w:r>
        <w:rPr>
          <w:i/>
          <w:iCs/>
        </w:rPr>
        <w:t>Fourth Evaluation Round – Second Compliance Report, recommendation VII.</w:t>
      </w:r>
    </w:p>
  </w:footnote>
  <w:footnote w:id="57">
    <w:p>
      <w:pPr>
        <w:pStyle w:val="FootnoteText"/>
      </w:pPr>
      <w:r>
        <w:rPr>
          <w:rStyle w:val="FootnoteReference"/>
        </w:rPr>
        <w:footnoteRef/>
      </w:r>
      <w:r>
        <w:t xml:space="preserve"> </w:t>
      </w:r>
      <w:r>
        <w:tab/>
        <w:t>2020 m. teisinės valstybės principo taikymo ataskaita. Šalies skyrius: teisinės valstybės principo padėtis Italijoje, p. 6.</w:t>
      </w:r>
    </w:p>
  </w:footnote>
  <w:footnote w:id="58">
    <w:p>
      <w:pPr>
        <w:pStyle w:val="FootnoteText"/>
      </w:pPr>
      <w:r>
        <w:rPr>
          <w:rStyle w:val="FootnoteReference"/>
        </w:rPr>
        <w:footnoteRef/>
      </w:r>
      <w:r>
        <w:t xml:space="preserve"> </w:t>
      </w:r>
      <w:r>
        <w:tab/>
        <w:t>Vizito į Italiją metu iš Teisingumo ministerijos gauta informacija.</w:t>
      </w:r>
    </w:p>
  </w:footnote>
  <w:footnote w:id="59">
    <w:p>
      <w:pPr>
        <w:pStyle w:val="FootnoteText"/>
      </w:pPr>
      <w:r>
        <w:rPr>
          <w:rStyle w:val="FootnoteReference"/>
        </w:rPr>
        <w:footnoteRef/>
      </w:r>
      <w:r>
        <w:t xml:space="preserve"> </w:t>
      </w:r>
      <w:r>
        <w:tab/>
        <w:t>2020 m. teisinės valstybės principo taikymo ataskaita. Šalies skyrius: teisinės valstybės principo padėtis Italijoje, p. 6.</w:t>
      </w:r>
    </w:p>
  </w:footnote>
  <w:footnote w:id="60">
    <w:p>
      <w:pPr>
        <w:pStyle w:val="FootnoteText"/>
      </w:pPr>
      <w:r>
        <w:rPr>
          <w:rStyle w:val="FootnoteReference"/>
        </w:rPr>
        <w:footnoteRef/>
      </w:r>
      <w:r>
        <w:t xml:space="preserve"> </w:t>
      </w:r>
      <w:r>
        <w:tab/>
        <w:t xml:space="preserve">Vizito į Italiją metu Teisingumo ministerijos raštu pateikti atsakymai. </w:t>
      </w:r>
    </w:p>
  </w:footnote>
  <w:footnote w:id="61">
    <w:p>
      <w:pPr>
        <w:pStyle w:val="FootnoteText"/>
        <w:rPr>
          <w:rFonts w:cs="Times New Roman"/>
        </w:rPr>
      </w:pPr>
      <w:r>
        <w:rPr>
          <w:rStyle w:val="FootnoteReference"/>
          <w:rFonts w:cs="Times New Roman"/>
        </w:rPr>
        <w:footnoteRef/>
      </w:r>
      <w:r>
        <w:t xml:space="preserve"> </w:t>
      </w:r>
      <w:r>
        <w:tab/>
        <w:t xml:space="preserve">2020 m. teisinės valstybės principo taikymo ataskaita. Šalies skyrius: teisinės valstybės principo padėtis Italijoje, p. 7 ir 8. </w:t>
      </w:r>
    </w:p>
  </w:footnote>
  <w:footnote w:id="62">
    <w:p>
      <w:pPr>
        <w:pStyle w:val="FootnoteText"/>
        <w:rPr>
          <w:rFonts w:cs="Times New Roman"/>
        </w:rPr>
      </w:pPr>
      <w:r>
        <w:rPr>
          <w:rStyle w:val="FootnoteReference"/>
          <w:rFonts w:cs="Times New Roman"/>
        </w:rPr>
        <w:footnoteRef/>
      </w:r>
      <w:r>
        <w:t xml:space="preserve"> </w:t>
      </w:r>
      <w:r>
        <w:tab/>
        <w:t>2021 m. ES teisingumo rezultatų suvestinė, 12 diagrama. Tai reiškia, kad apskritai teisingumo sistema geba efektyviai susitvarkyti su gaunamų bylų kiekiu. Taip pat žr. Europos veiksmingo teisingumo komisijos (CEPEJ) 2021 m. ES valstybių narių teismų sistemų veikimo tyrimą: 2019 m. civilinių ir komercinių ginčo bylų išnagrinėjimo rodiklis siekė 104,5 proc. (2018 m. – 102,9 proc.).</w:t>
      </w:r>
    </w:p>
  </w:footnote>
  <w:footnote w:id="63">
    <w:p>
      <w:pPr>
        <w:pStyle w:val="FootnoteText"/>
        <w:rPr>
          <w:rFonts w:cs="Times New Roman"/>
        </w:rPr>
      </w:pPr>
      <w:r>
        <w:rPr>
          <w:rStyle w:val="FootnoteReference"/>
          <w:rFonts w:cs="Times New Roman"/>
        </w:rPr>
        <w:footnoteRef/>
      </w:r>
      <w:r>
        <w:t xml:space="preserve"> </w:t>
      </w:r>
      <w:r>
        <w:tab/>
        <w:t>2021 m. ES teisingumo rezultatų suvestinė, 8 ir 9 diagramos.</w:t>
      </w:r>
    </w:p>
  </w:footnote>
  <w:footnote w:id="64">
    <w:p>
      <w:pPr>
        <w:pStyle w:val="FootnoteText"/>
      </w:pPr>
      <w:r>
        <w:rPr>
          <w:rStyle w:val="FootnoteReference"/>
        </w:rPr>
        <w:footnoteRef/>
      </w:r>
      <w:r>
        <w:t xml:space="preserve"> </w:t>
      </w:r>
      <w:r>
        <w:tab/>
        <w:t xml:space="preserve">Vadovaujantis ilgalaike Tarybos rekomendacija trumpinti teismo procesų trukmę. Žr. 2020 m. teisinės valstybės principo taikymo ataskaitą (Šalies skyrius: teisinės valstybės principo padėtis Italijoje, p. 8). </w:t>
      </w:r>
    </w:p>
  </w:footnote>
  <w:footnote w:id="65">
    <w:p>
      <w:pPr>
        <w:pStyle w:val="FootnoteText"/>
      </w:pPr>
      <w:r>
        <w:rPr>
          <w:rStyle w:val="FootnoteReference"/>
        </w:rPr>
        <w:footnoteRef/>
      </w:r>
      <w:r>
        <w:t xml:space="preserve"> </w:t>
      </w:r>
      <w:r>
        <w:tab/>
        <w:t>Vizito į Italiją metu Teisingumo ministerijos raštu pateikti atsakymai. Ministerija pabrėžė, kad dėl didelių COVID-19 pandemijos nulemtų teismo proceso pertraukų 2020 m. bylų nagrinėjimo trukmės rodiklis gali būti netikslus. Todėl 2020 m. duomenys nepateikiami. Remiantis CEPEJ 2021 m. ES valstybių narių teismų sistemų veikimo tyrimu, iš naujausių (2019 m.) duomenų apie bylų nagrinėjimo trukmę matyti, kad pirmosios instancijos teismuose ji šiek tiek sutrumpėjo (išnagrinėti civilines bylas pirmosios instancijos teisme užtrunka 532 dienas, antrosios instancijos teisme – 791 dieną, o Aukščiausiajame Kasaciniame Teisme – 1 302 dienas).</w:t>
      </w:r>
    </w:p>
  </w:footnote>
  <w:footnote w:id="66">
    <w:p>
      <w:pPr>
        <w:pStyle w:val="FootnoteText"/>
        <w:rPr>
          <w:rFonts w:cs="Times New Roman"/>
        </w:rPr>
      </w:pPr>
      <w:r>
        <w:rPr>
          <w:rStyle w:val="FootnoteReference"/>
          <w:rFonts w:cs="Times New Roman"/>
        </w:rPr>
        <w:footnoteRef/>
      </w:r>
      <w:r>
        <w:t xml:space="preserve"> </w:t>
      </w:r>
      <w:r>
        <w:tab/>
        <w:t>Aukščiausiojo Kasacinio Teismo pirmojo pirmininko 2021 m. ataskaita: 2020 m. pabaigoje Aukščiausiajame Kasaciniame Teisme iš viso buvo nagrinėjamos 120 473 civilinės bylos, iš kurių 53 482 bylos buvo mokesčių bylos.</w:t>
      </w:r>
    </w:p>
  </w:footnote>
  <w:footnote w:id="67">
    <w:p>
      <w:pPr>
        <w:pStyle w:val="FootnoteText"/>
      </w:pPr>
      <w:r>
        <w:rPr>
          <w:rStyle w:val="FootnoteReference"/>
        </w:rPr>
        <w:footnoteRef/>
      </w:r>
      <w:r>
        <w:t xml:space="preserve"> </w:t>
      </w:r>
      <w:r>
        <w:tab/>
        <w:t>Aukščiausiojo Kasacinio Teismo pirmojo pirmininko 2021 m. ataskaita: 2020 m. buvo panaikinta 45,6 proc. Aukščiausiajam Teismui pateiktų mokesčių teismų priimtų sprendimų (plg. – panaikinta 17,2 proc. visų Aukščiausiajam Teismui pateiktų sprendimų).</w:t>
      </w:r>
    </w:p>
  </w:footnote>
  <w:footnote w:id="68">
    <w:p>
      <w:pPr>
        <w:pStyle w:val="FootnoteText"/>
      </w:pPr>
      <w:r>
        <w:rPr>
          <w:rStyle w:val="FootnoteReference"/>
        </w:rPr>
        <w:footnoteRef/>
      </w:r>
      <w:r>
        <w:t xml:space="preserve"> </w:t>
      </w:r>
      <w:r>
        <w:tab/>
        <w:t>Aukščiausiojo Kasacinio Teismo pirmojo pirmininko 2021 m. ataskaita: 2020 m. nepriimtinais paskelbta 24,7 proc. visų Aukščiausiajam Teismui pateiktų apeliacinių skundų civilinėse bylose, o 2019 m. – 18,7 proc. skundų (Kasacinio Teismo 2020 ir 2019 m. kasmetinis statistikos leidinys).</w:t>
      </w:r>
    </w:p>
  </w:footnote>
  <w:footnote w:id="69">
    <w:p>
      <w:pPr>
        <w:pStyle w:val="FootnoteText"/>
        <w:rPr>
          <w:rFonts w:cs="Times New Roman"/>
        </w:rPr>
      </w:pPr>
      <w:r>
        <w:rPr>
          <w:rStyle w:val="FootnoteReference"/>
          <w:rFonts w:cs="Times New Roman"/>
        </w:rPr>
        <w:footnoteRef/>
      </w:r>
      <w:r>
        <w:t xml:space="preserve"> </w:t>
      </w:r>
      <w:r>
        <w:tab/>
        <w:t>2021 m. ES teisingumo rezultatų suvestinė, 9 ir 10 diagramos; taip pat žr. CEPEJ 2021 m. ES valstybių narių teismų sistemų veikimo tyrimą, kuriame nurodyta, kad 2019 m. pirmosios instancijos teismuose bylų nagrinėjimo trukmė sutrumpėjo 7,7 proc., o aukštesnės instancijos teismuose – 12,3 proc. Dėl 2020 m. duomenų žr. iš Valstybės Tarybos gautus atsakymus rengiant 2021 m. teisinės valstybės principo taikymo ataskaitą (2020 m. pirmosios instancijos teismuose – 667 dienos, o 2019 m. – 820 dienų; 2020 m. aukštesnės instancijos teismuose – 862 dienos, o 2019 m. – 821 diena).</w:t>
      </w:r>
    </w:p>
  </w:footnote>
  <w:footnote w:id="70">
    <w:p>
      <w:pPr>
        <w:pStyle w:val="FootnoteText"/>
        <w:rPr>
          <w:rFonts w:cs="Times New Roman"/>
        </w:rPr>
      </w:pPr>
      <w:r>
        <w:rPr>
          <w:rStyle w:val="FootnoteReference"/>
          <w:rFonts w:cs="Times New Roman"/>
        </w:rPr>
        <w:footnoteRef/>
      </w:r>
      <w:r>
        <w:t xml:space="preserve"> </w:t>
      </w:r>
      <w:r>
        <w:tab/>
        <w:t>Iš Valstybės Tarybos gauti atsakymai rengiant 2021 m. teisinės valstybės principo taikymo ataskaitą ir vizito į Italiją metu iš Valstybės Tarybos gauta informacija (2020 m. pirmosios instancijos teismuose – 113 dienų, o aukštesnės instancijos teismuose – 182 dienos). Tas pats pasakytina ir apie su rinkimais susijusį teismo procesą (2020 m. pirmosios instancijos teismuose bylos nagrinėjamos 3–211 dienų, o antrosios instancijos teismuose – nuo 3 iki 201 dienos).</w:t>
      </w:r>
    </w:p>
  </w:footnote>
  <w:footnote w:id="71">
    <w:p>
      <w:pPr>
        <w:pStyle w:val="FootnoteText"/>
        <w:rPr>
          <w:rFonts w:cs="Times New Roman"/>
        </w:rPr>
      </w:pPr>
      <w:r>
        <w:rPr>
          <w:rStyle w:val="FootnoteReference"/>
          <w:rFonts w:cs="Times New Roman"/>
        </w:rPr>
        <w:footnoteRef/>
      </w:r>
      <w:r>
        <w:t xml:space="preserve"> </w:t>
      </w:r>
      <w:r>
        <w:tab/>
        <w:t xml:space="preserve">2020 m. teisinės valstybės principo taikymo ataskaita. Šalies skyrius: teisinės valstybės principo padėtis Italijoje, p. 7, 63 išnaša. Sprendimą </w:t>
      </w:r>
      <w:r>
        <w:rPr>
          <w:i/>
        </w:rPr>
        <w:t>Abenavoli group</w:t>
      </w:r>
      <w:r>
        <w:t xml:space="preserve"> Ministrų Kabinetas išnagrinės iki metų pabaigos.</w:t>
      </w:r>
    </w:p>
  </w:footnote>
  <w:footnote w:id="72">
    <w:p>
      <w:pPr>
        <w:pStyle w:val="FootnoteText"/>
      </w:pPr>
      <w:r>
        <w:rPr>
          <w:rStyle w:val="FootnoteReference"/>
        </w:rPr>
        <w:footnoteRef/>
      </w:r>
      <w:r>
        <w:t xml:space="preserve"> </w:t>
      </w:r>
      <w:r>
        <w:tab/>
        <w:t>Aukščiausiojo Kasacinio Teismo pirmojo pirmininko 2021 m. ataskaita, p. 25.</w:t>
      </w:r>
    </w:p>
  </w:footnote>
  <w:footnote w:id="73">
    <w:p>
      <w:pPr>
        <w:pStyle w:val="FootnoteText"/>
      </w:pPr>
      <w:r>
        <w:rPr>
          <w:rStyle w:val="FootnoteReference"/>
        </w:rPr>
        <w:footnoteRef/>
      </w:r>
      <w:r>
        <w:t xml:space="preserve"> </w:t>
      </w:r>
      <w:r>
        <w:tab/>
        <w:t>2020 m. teisinės valstybės principo taikymo ataskaita. Šalies skyrius: teisinės valstybės principo padėtis Italijoje, p. 7.</w:t>
      </w:r>
    </w:p>
  </w:footnote>
  <w:footnote w:id="74">
    <w:p>
      <w:pPr>
        <w:pStyle w:val="FootnoteText"/>
        <w:rPr>
          <w:rFonts w:cs="Times New Roman"/>
        </w:rPr>
      </w:pPr>
      <w:r>
        <w:rPr>
          <w:rStyle w:val="FootnoteReference"/>
          <w:rFonts w:cs="Times New Roman"/>
        </w:rPr>
        <w:footnoteRef/>
      </w:r>
      <w:r>
        <w:t xml:space="preserve"> </w:t>
      </w:r>
      <w:r>
        <w:tab/>
        <w:t>Aukščiausiojo Kasacinio Teismo pirmojo pirmininko 2021 m. ataskaita: 50,5 proc. įprasto bylos nagrinėjimo atvejų pirmosios instancijos teismuose ir 69,7 proc. prieštaravimo apkaltinamajam nuosprendžiui atvejų užbaigiama priimant išteisinamuosius nuosprendžius.</w:t>
      </w:r>
    </w:p>
  </w:footnote>
  <w:footnote w:id="75">
    <w:p>
      <w:pPr>
        <w:pStyle w:val="FootnoteText"/>
      </w:pPr>
      <w:r>
        <w:rPr>
          <w:rStyle w:val="FootnoteReference"/>
        </w:rPr>
        <w:footnoteRef/>
      </w:r>
      <w:r>
        <w:t xml:space="preserve"> </w:t>
      </w:r>
      <w:r>
        <w:tab/>
        <w:t>2020 m. teisinės valstybės principo taikymo ataskaita. Šalies skyrius: teisinės valstybės principo padėtis Italijoje, p. 7, 68 išnaša. Taip pat žr. Europos Tarybos dokumentą „Europos teismų sprendimų vykdymo priežiūra“ (angl. </w:t>
      </w:r>
      <w:r>
        <w:rPr>
          <w:i/>
        </w:rPr>
        <w:t>Supervision of the execution of the European Court’s judgments</w:t>
      </w:r>
      <w:r>
        <w:t>), 2021 m. birželio 9 d. Ministrų Komiteto sprendimą CM/Del/Dec(2021)1406/H46-15 ir CM/Notes/1406/H46-15.</w:t>
      </w:r>
    </w:p>
  </w:footnote>
  <w:footnote w:id="76">
    <w:p>
      <w:pPr>
        <w:pStyle w:val="FootnoteText"/>
      </w:pPr>
      <w:r>
        <w:rPr>
          <w:rStyle w:val="FootnoteReference"/>
        </w:rPr>
        <w:footnoteRef/>
      </w:r>
      <w:r>
        <w:t xml:space="preserve"> </w:t>
      </w:r>
      <w:r>
        <w:tab/>
        <w:t>2020 m. teisinės valstybės principo taikymo ataskaita. Šalies skyrius: teisinės valstybės principo padėtis Italijoje, p. 8.</w:t>
      </w:r>
    </w:p>
  </w:footnote>
  <w:footnote w:id="77">
    <w:p>
      <w:pPr>
        <w:pStyle w:val="FootnoteText"/>
      </w:pPr>
      <w:r>
        <w:rPr>
          <w:rStyle w:val="FootnoteReference"/>
        </w:rPr>
        <w:footnoteRef/>
      </w:r>
      <w:r>
        <w:t xml:space="preserve"> </w:t>
      </w:r>
      <w:r>
        <w:tab/>
        <w:t>2021 m. birželio 16 d. Parlamentui buvo pateikti civilinio proceso įstatymo projekto pakeitimai. Apie šiuos pakeitimus buvo paskelbta nacionaliniame ekonomikos gaivinimo ir atsparumo didinimo plane. Vizito į Italiją metu iš Teisingumo ministerijos gauta informacija.</w:t>
      </w:r>
    </w:p>
  </w:footnote>
  <w:footnote w:id="78">
    <w:p>
      <w:pPr>
        <w:pStyle w:val="FootnoteText"/>
      </w:pPr>
      <w:r>
        <w:rPr>
          <w:rStyle w:val="FootnoteReference"/>
        </w:rPr>
        <w:footnoteRef/>
      </w:r>
      <w:r>
        <w:t xml:space="preserve"> </w:t>
      </w:r>
      <w:r>
        <w:tab/>
        <w:t xml:space="preserve">Vienu iš šių pakeitimų siekiama nustatyti privalomą neteisminio ginčų sprendimo procedūrą. Šiuo požiūriu reikia pažymėti, kad nustatant privalomus reikalavimus prieš kreipiantis į teismą naudotis alternatyvaus ginčų sprendimo sistema gali kilti susirūpinimas dėl jų suderinamumo su ES pagrindinių teisių chartijoje įtvirtinta teise į veiksmingą teisinę gynybą teisme. 2010 m. kovo 18 d. Teisingumo Teismo sprendimas </w:t>
      </w:r>
      <w:r>
        <w:rPr>
          <w:i/>
        </w:rPr>
        <w:t>Rosalba</w:t>
      </w:r>
      <w:r>
        <w:t xml:space="preserve"> </w:t>
      </w:r>
      <w:r>
        <w:rPr>
          <w:i/>
        </w:rPr>
        <w:t>Alassini v Telecom Italia SpA</w:t>
      </w:r>
      <w:r>
        <w:t>, C-317/08, EU:C:2010:146.</w:t>
      </w:r>
    </w:p>
  </w:footnote>
  <w:footnote w:id="79">
    <w:p>
      <w:pPr>
        <w:pStyle w:val="FootnoteText"/>
      </w:pPr>
      <w:r>
        <w:rPr>
          <w:rStyle w:val="FootnoteReference"/>
        </w:rPr>
        <w:footnoteRef/>
      </w:r>
      <w:r>
        <w:t xml:space="preserve"> </w:t>
      </w:r>
      <w:r>
        <w:tab/>
        <w:t xml:space="preserve">Paskelbta nacionaliniame ekonomikos gaivinimo ir atsparumo didinimo plane. Be to, Teisingumo ministerija 2021 m. kovo 16 d. sudarė techninę komisiją baudžiamojo proceso įstatymo projektui įvertinti, kuri 2021 m. gegužės 24 d. pateikė savo ataskaitą. </w:t>
      </w:r>
    </w:p>
  </w:footnote>
  <w:footnote w:id="80">
    <w:p>
      <w:pPr>
        <w:pStyle w:val="FootnoteText"/>
      </w:pPr>
      <w:r>
        <w:rPr>
          <w:rStyle w:val="FootnoteReference"/>
        </w:rPr>
        <w:footnoteRef/>
      </w:r>
      <w:r>
        <w:t xml:space="preserve"> </w:t>
      </w:r>
      <w:r>
        <w:tab/>
        <w:t>2021 m. liepos 8 d. Ministrų Taryba patvirtino reformos tekstą, kuris turi būti pateiktas Parlamentui, taip pat naują pasiūlymą dėl senaties termino.</w:t>
      </w:r>
    </w:p>
  </w:footnote>
  <w:footnote w:id="81">
    <w:p>
      <w:pPr>
        <w:pStyle w:val="FootnoteText"/>
      </w:pPr>
      <w:r>
        <w:rPr>
          <w:rStyle w:val="FootnoteReference"/>
        </w:rPr>
        <w:footnoteRef/>
      </w:r>
      <w:r>
        <w:t xml:space="preserve"> </w:t>
      </w:r>
      <w:r>
        <w:tab/>
        <w:t>2021 m. kovo 26 d. Ministro dekretas, kuriuo sudaroma teismų sistemos reformos ir Aukščiausiosios teismų tarybos sudarymo ir veikimo pakeitimų rengimo techninė komisija.</w:t>
      </w:r>
    </w:p>
    <w:p>
      <w:pPr>
        <w:pStyle w:val="FootnoteText"/>
      </w:pPr>
    </w:p>
  </w:footnote>
  <w:footnote w:id="82">
    <w:p>
      <w:pPr>
        <w:pStyle w:val="FootnoteText"/>
      </w:pPr>
      <w:r>
        <w:rPr>
          <w:rStyle w:val="FootnoteReference"/>
        </w:rPr>
        <w:footnoteRef/>
      </w:r>
      <w:r>
        <w:t xml:space="preserve"> Transparency International (2021), </w:t>
      </w:r>
      <w:r>
        <w:rPr>
          <w:i/>
          <w:iCs/>
        </w:rPr>
        <w:t>Corruption Perceptions Index 2020</w:t>
      </w:r>
      <w:r>
        <w:t xml:space="preserve">, p. 2–3. Suvokiamos korupcijos lygis skirstomas į šias kategorijas: žemas (ekspertų ir įmonių vadovų suvokiamos viešojo sektoriaus korupcijos lygis viršija 79 balus), gana žemas (79–60 balų), gana aukštas (59–50 balų), aukštas (mažiau nei 50 balų). </w:t>
      </w:r>
    </w:p>
  </w:footnote>
  <w:footnote w:id="83">
    <w:p>
      <w:pPr>
        <w:pStyle w:val="FootnoteText"/>
      </w:pPr>
      <w:r>
        <w:rPr>
          <w:rStyle w:val="FootnoteReference"/>
        </w:rPr>
        <w:footnoteRef/>
      </w:r>
      <w:r>
        <w:t xml:space="preserve"> </w:t>
      </w:r>
      <w:r>
        <w:tab/>
        <w:t>Praėjusiais metais pateikti „Eurobarometro“ duomenys apie korupcijos suvokimą ir piliečių bei įmonių patirtį atnaujinami kas antrus metus. Naujausi duomenys pateikiami 2020 m. specialiojoje „Eurobarometro“ apklausoje Nr. 502 ir 2019 m. greitojoje „Eurobarometro“ apklausoje Nr. 482.</w:t>
      </w:r>
    </w:p>
  </w:footnote>
  <w:footnote w:id="84">
    <w:p>
      <w:pPr>
        <w:pStyle w:val="FootnoteText"/>
      </w:pPr>
      <w:r>
        <w:rPr>
          <w:rStyle w:val="FootnoteReference"/>
        </w:rPr>
        <w:footnoteRef/>
      </w:r>
      <w:r>
        <w:t xml:space="preserve"> </w:t>
      </w:r>
      <w:r>
        <w:tab/>
        <w:t>2015 m. šis rodiklis buvo 44, o 2020 m. – 53. Indeksas reikšmingai padidėja arba sumažėja, kai per praėjusius penkerius metus balų suma pasikeičia daugiau kaip penkiais balais, padidėja arba sumažėja, kai balų suma pasikeičia 4–5 balais, ir išlieka gana stabilus, kai balų suma pasikeičia 1–3 balais.</w:t>
      </w:r>
    </w:p>
  </w:footnote>
  <w:footnote w:id="85">
    <w:p>
      <w:pPr>
        <w:pStyle w:val="FootnoteText"/>
      </w:pPr>
      <w:r>
        <w:rPr>
          <w:rStyle w:val="FootnoteReference"/>
        </w:rPr>
        <w:footnoteRef/>
      </w:r>
      <w:r>
        <w:t xml:space="preserve"> </w:t>
      </w:r>
      <w:r>
        <w:tab/>
        <w:t>Nacionalinis kovos su korupcija planas, kaip pagrindinė Italijos kovos su korupcija priemonė, nustatytas 2012 m. lapkričio 6 d. Įstatymu Nr. 190 dėl korupcijos prevencijos ir sustabdymo viešojo administravimo įstaigose (Italijos Respublikos oficialusis leidinys, bendroji serija Nr. 265, 2012 m. lapkričio 13 d.). Naujausias planas apima 2019–2021 m. laikotarpį (Italijos kovos su korupcija institucija, Nacionalinis kovos su korupcija planas, Nutarimas Nr. 1064, 2019 m. lapkričio 13 d.).</w:t>
      </w:r>
    </w:p>
  </w:footnote>
  <w:footnote w:id="86">
    <w:p>
      <w:pPr>
        <w:pStyle w:val="FootnoteText"/>
      </w:pPr>
      <w:r>
        <w:rPr>
          <w:rStyle w:val="FootnoteReference"/>
        </w:rPr>
        <w:footnoteRef/>
      </w:r>
      <w:r>
        <w:t xml:space="preserve"> </w:t>
      </w:r>
      <w:r>
        <w:tab/>
        <w:t xml:space="preserve">Kovos su korupcija pareigūnai yra atsakingi už trejų metų trukmės vietos kovos su korupcija planų rengimą ir stebėseną. Vizito į Italiją metu gauta informacija. </w:t>
      </w:r>
    </w:p>
  </w:footnote>
  <w:footnote w:id="87">
    <w:p>
      <w:pPr>
        <w:pStyle w:val="FootnoteText"/>
      </w:pPr>
      <w:r>
        <w:rPr>
          <w:rStyle w:val="FootnoteReference"/>
        </w:rPr>
        <w:footnoteRef/>
      </w:r>
      <w:r>
        <w:t xml:space="preserve"> </w:t>
      </w:r>
      <w:r>
        <w:tab/>
        <w:t>Vizito į Italiją metu iš Kovos su korupcija agentūros gauta informacija.</w:t>
      </w:r>
    </w:p>
  </w:footnote>
  <w:footnote w:id="88">
    <w:p>
      <w:pPr>
        <w:pStyle w:val="FootnoteText"/>
      </w:pPr>
      <w:r>
        <w:rPr>
          <w:rStyle w:val="FootnoteReference"/>
        </w:rPr>
        <w:footnoteRef/>
      </w:r>
      <w:r>
        <w:t xml:space="preserve"> </w:t>
      </w:r>
      <w:r>
        <w:tab/>
        <w:t xml:space="preserve">Kiekviena ministerija ir kiekviena vietos valdžios institucija, savivaldybė ar subjektas rengia ir įgyvendina savo vietos planus. Toks planas, be kita ko, padeda tiems subjektams nustatyti asmenų, atsakingų už korupcijos prevenciją atitinkamuose suinteresuotuosiuose viešuosiuose subjektuose, paskyrimo taisykles, taip pat tiksliai apibrėžti viešųjų subjektų vaidmenį įvertinant ir valdant korupcijos riziką, didinant administravimo skaidrumą, teikiant paramą pranešėjams ir stebint privatizavimo procedūras. Plane taip pat nustatomos trejų metų trukmės kovos su korupcija planų rengimo labiausiai su korupcija siejamose srityse, pavyzdžiui, sveikatos priežiūros sektoriuje, taisyklės. </w:t>
      </w:r>
    </w:p>
  </w:footnote>
  <w:footnote w:id="89">
    <w:p>
      <w:pPr>
        <w:pStyle w:val="FootnoteText"/>
      </w:pPr>
      <w:r>
        <w:rPr>
          <w:rStyle w:val="FootnoteReference"/>
        </w:rPr>
        <w:footnoteRef/>
      </w:r>
      <w:r>
        <w:t xml:space="preserve"> </w:t>
      </w:r>
      <w:r>
        <w:tab/>
        <w:t>Vizito į Italiją metu iš organizacijos „Transparency International“ gauta informacija.</w:t>
      </w:r>
    </w:p>
  </w:footnote>
  <w:footnote w:id="90">
    <w:p>
      <w:pPr>
        <w:pStyle w:val="FootnoteText"/>
      </w:pPr>
      <w:r>
        <w:rPr>
          <w:rStyle w:val="FootnoteReference"/>
        </w:rPr>
        <w:footnoteRef/>
      </w:r>
      <w:r>
        <w:t xml:space="preserve"> </w:t>
      </w:r>
      <w:r>
        <w:tab/>
        <w:t xml:space="preserve">Italijos kovos su korupcija institucija parengė ir praktiškai įdiegė elektroninę platformą, skirtą administracijoms siųsti duomenis ir metinę Už korupcijos prevenciją ir skaidrumą atsakingos konkrečios administracijos ataskaitą Kovos su korupcija institucijai. Atliekant ankstesnį vertinimą, siekiant nustatyti bendrą pagal 2016 m. Nacionalinį kovos su korupcija planą priimtų vietos trejų metų planų įgyvendinimo lygį, įvertinta iš 536 vietos administravimo institucijų sudaryta imtis. Dauguma administravimo institucijų (maždaug 87 proc.) neatliko pakankamos analizės, kad įvertintų savo įstaigoje kylančią korupcijos riziką. Visų pirma, 27,1 proc. administravimo institucijų neatliko socialinių ir ekonominių aplinkybių analizės. Vis dėlto, palyginti su ankstesniais vertinimais, visoje šalyje patvirtinti bendri rizikos vertinimų pajėgumai. </w:t>
      </w:r>
    </w:p>
  </w:footnote>
  <w:footnote w:id="91">
    <w:p>
      <w:pPr>
        <w:pStyle w:val="FootnoteText"/>
      </w:pPr>
      <w:r>
        <w:rPr>
          <w:rStyle w:val="FootnoteReference"/>
        </w:rPr>
        <w:footnoteRef/>
      </w:r>
      <w:r>
        <w:t xml:space="preserve"> </w:t>
      </w:r>
      <w:r>
        <w:tab/>
        <w:t>2020 m. liepos 30 d. įsigaliojusiu 2000 m. liepos 14 d. Įstatyminiu dekretu Nr. 75 iš dalies pakeisti įvairūs galiojantys teisės aktai, įskaitant baudžiamąjį kodeksą, 2000 m. Įstatyminį dekretą Nr. 74 (dėl nusikaltimų mokesčių tvarkai), Prezidento dekretą 43/1973, Įstatyminį dekretą 8/2016 (dėl muitinės reikalų) ir Įstatyminį dekretą 231/2001 (dėl subjektų atsakomybės už administracinius nusižengimus, siejamus su nusikalstama veika).</w:t>
      </w:r>
    </w:p>
  </w:footnote>
  <w:footnote w:id="92">
    <w:p>
      <w:pPr>
        <w:pStyle w:val="FootnoteText"/>
      </w:pPr>
      <w:r>
        <w:rPr>
          <w:rStyle w:val="FootnoteReference"/>
        </w:rPr>
        <w:footnoteRef/>
      </w:r>
      <w:r>
        <w:t xml:space="preserve"> </w:t>
      </w:r>
      <w:r>
        <w:tab/>
        <w:t>Baudžiamojo kodekso pakeitimai apima tokius atvejus kaip lėšų pasisavinimas sunkinančiomis aplinkybėmis, kai pasinaudojama kito asmens padaryta klaida (316 straipsnis), neteisėtas lėšų gavimas padarant žalą valstybei (316b straipsnis), neteisėtos paskatos suteikti arba pažadėti suteikti pranašumą (baudžiamojo kodekso 319c straipsnis), jeigu tokia veikla kenkiama Europos Sąjungos finansiniams interesams ir žala arba gauta nauda viršija 100 000 EUR. Už minėtus nusikaltimus vietoje anksčiau skirtų trejų metų laisvės atėmimo bausmės nustatyta maksimali ketverių metų laisvės atėmimo bausmė (iš Italijos gauti atsakymai rengiant 2021 m. teisinės valstybės principo taikymo ataskaitą, p. 35).</w:t>
      </w:r>
    </w:p>
  </w:footnote>
  <w:footnote w:id="93">
    <w:p>
      <w:pPr>
        <w:pStyle w:val="FootnoteText"/>
      </w:pPr>
      <w:r>
        <w:rPr>
          <w:rStyle w:val="FootnoteReference"/>
        </w:rPr>
        <w:footnoteRef/>
      </w:r>
      <w:r>
        <w:t xml:space="preserve"> </w:t>
      </w:r>
      <w:r>
        <w:tab/>
        <w:t xml:space="preserve">Iš dalies pakeistas baudžiamojo kodekso 322a straipsnis, siekiant greta asmenų, baustinų už tarptautinę korupciją, taip pat įtraukti asmenis, atliekančius funkcijas ar vykdančius veiklą, kurios atitinka valstybės pareigūnų ir asmenų, atsakingų už viešąjį administravimą ne ES valstybėse narėse, funkcijas ir veiklą, jeigu tokiais veiksmais kenkiama Europos Sąjungos finansiniams interesams. </w:t>
      </w:r>
    </w:p>
  </w:footnote>
  <w:footnote w:id="94">
    <w:p>
      <w:pPr>
        <w:pStyle w:val="FootnoteText"/>
      </w:pPr>
      <w:r>
        <w:rPr>
          <w:rStyle w:val="FootnoteReference"/>
        </w:rPr>
        <w:footnoteRef/>
      </w:r>
      <w:r>
        <w:t xml:space="preserve"> </w:t>
      </w:r>
      <w:r>
        <w:tab/>
        <w:t>Iš Italijos gauti atsakymai rengiant 2021 m. teisinės valstybės principo taikymo ataskaitą, p. 36.</w:t>
      </w:r>
    </w:p>
  </w:footnote>
  <w:footnote w:id="95">
    <w:p>
      <w:pPr>
        <w:pStyle w:val="FootnoteText"/>
      </w:pPr>
      <w:r>
        <w:rPr>
          <w:rStyle w:val="FootnoteReference"/>
        </w:rPr>
        <w:footnoteRef/>
      </w:r>
      <w:r>
        <w:t xml:space="preserve"> </w:t>
      </w:r>
      <w:r>
        <w:tab/>
        <w:t>Vizito į Italiją metu iš Finansų policijos, prie Auditorių teismo veikiančios prokuratūros, Nacionalinio kovos su mafija direktorato ir Kovos su korupcija institucijos gauta informacija.</w:t>
      </w:r>
    </w:p>
  </w:footnote>
  <w:footnote w:id="96">
    <w:p>
      <w:pPr>
        <w:pStyle w:val="FootnoteText"/>
      </w:pPr>
      <w:r>
        <w:rPr>
          <w:rStyle w:val="FootnoteReference"/>
        </w:rPr>
        <w:footnoteRef/>
      </w:r>
      <w:r>
        <w:t xml:space="preserve"> </w:t>
      </w:r>
      <w:r>
        <w:tab/>
        <w:t>Žr. pirmiau, vizito į Italiją metu gautą informaciją.</w:t>
      </w:r>
    </w:p>
  </w:footnote>
  <w:footnote w:id="97">
    <w:p>
      <w:pPr>
        <w:pStyle w:val="FootnoteText"/>
      </w:pPr>
      <w:r>
        <w:rPr>
          <w:rStyle w:val="FootnoteReference"/>
        </w:rPr>
        <w:footnoteRef/>
      </w:r>
      <w:r>
        <w:t xml:space="preserve"> </w:t>
      </w:r>
      <w:r>
        <w:tab/>
        <w:t xml:space="preserve">2019 m. priėmus naujus teisės aktus pailginti su kyšininkavimu susijusių nusikaltimų senaties terminai ir padidintos už juos skiriamos sankcijos. Taip pat plg. EBPO (2017), </w:t>
      </w:r>
      <w:r>
        <w:rPr>
          <w:i/>
        </w:rPr>
        <w:t>Statement of the OECD Working Group on Bribery on Italy’s implementation of the Anti-Bribery Convention</w:t>
      </w:r>
      <w:r>
        <w:t xml:space="preserve">. </w:t>
      </w:r>
    </w:p>
  </w:footnote>
  <w:footnote w:id="98">
    <w:p>
      <w:pPr>
        <w:pStyle w:val="FootnoteText"/>
      </w:pPr>
      <w:r>
        <w:rPr>
          <w:rStyle w:val="FootnoteReference"/>
        </w:rPr>
        <w:footnoteRef/>
      </w:r>
      <w:r>
        <w:t xml:space="preserve"> </w:t>
      </w:r>
      <w:r>
        <w:tab/>
        <w:t xml:space="preserve">Vizito į Italiją metu gauta informacija. </w:t>
      </w:r>
    </w:p>
  </w:footnote>
  <w:footnote w:id="99">
    <w:p>
      <w:pPr>
        <w:pStyle w:val="FootnoteText"/>
      </w:pPr>
      <w:r>
        <w:rPr>
          <w:rStyle w:val="FootnoteReference"/>
        </w:rPr>
        <w:footnoteRef/>
      </w:r>
      <w:r>
        <w:t xml:space="preserve"> </w:t>
      </w:r>
      <w:r>
        <w:tab/>
        <w:t xml:space="preserve">2016–2019 m. Italijoje buvo pradėti 23 tyrimai, iškeltos devynios bylos ir keturios kyšininkavimo užsienyje bylos baigtos nagrinėti skyrus sankcijas. Šaltinis – „Transparency International“ (2020), </w:t>
      </w:r>
      <w:r>
        <w:rPr>
          <w:i/>
        </w:rPr>
        <w:t>Korupcijos eksportas</w:t>
      </w:r>
      <w:r>
        <w:t>, p. 73.</w:t>
      </w:r>
    </w:p>
  </w:footnote>
  <w:footnote w:id="100">
    <w:p>
      <w:pPr>
        <w:pStyle w:val="FootnoteText"/>
      </w:pPr>
      <w:r>
        <w:rPr>
          <w:rStyle w:val="FootnoteReference"/>
        </w:rPr>
        <w:footnoteRef/>
      </w:r>
      <w:r>
        <w:t xml:space="preserve"> </w:t>
      </w:r>
      <w:r>
        <w:tab/>
        <w:t>Vizito į Italiją metu iš prokuratūros, veikiančios prie Aukščiausiojo Teismo, gauta informacija.</w:t>
      </w:r>
    </w:p>
  </w:footnote>
  <w:footnote w:id="101">
    <w:p>
      <w:pPr>
        <w:pStyle w:val="FootnoteText"/>
      </w:pPr>
      <w:r>
        <w:rPr>
          <w:rStyle w:val="FootnoteReference"/>
        </w:rPr>
        <w:footnoteRef/>
      </w:r>
      <w:r>
        <w:t xml:space="preserve"> </w:t>
      </w:r>
      <w:r>
        <w:tab/>
        <w:t>Įstatymo projektas Nr. 2435 dėl Vyriausybės įgaliojimo didinti baudžiamojo proceso veiksmingumą ir priimti nuostatas dėl teismo proceso paspartinimo apeliaciniuose teismuose. Siekiant įgyvendinti per Europos semestrą pateiktas rekomendacijas, teisingumo sistemos reforma įtraukta į Italijos nacionalinio ekonomikos gaivinimo ir atsparumo didinimo planą; žr. 2019 m. liepos 9 d. Tarybos rekomendacijos dėl 2019 m. Italijos nacionalinės reformų programos su Tarybos nuomone dėl 2019 m. Italijos stabilumo programos 4 konkrečiai šaliai skirtą rekomendaciją (p. 11) ir Rekomendacijos dėl Tarybos rekomendacijos dėl 2020 m. Italijos nacionalinės reformų programos su Tarybos nuomone dėl 2020 m. Italijos stabilumo programos 27 konstatuojamąją dalį. Taip pat žr. I skyrių „Teisingumo sistema“.</w:t>
      </w:r>
    </w:p>
  </w:footnote>
  <w:footnote w:id="102">
    <w:p>
      <w:pPr>
        <w:pStyle w:val="FootnoteText"/>
        <w:rPr>
          <w:rFonts w:cs="Times New Roman"/>
        </w:rPr>
      </w:pPr>
      <w:r>
        <w:rPr>
          <w:rStyle w:val="FootnoteReference"/>
        </w:rPr>
        <w:footnoteRef/>
      </w:r>
      <w:r>
        <w:t xml:space="preserve"> </w:t>
      </w:r>
      <w:r>
        <w:tab/>
        <w:t xml:space="preserve">Vizito į Italiją metu gauta informacija. Taip pat žr. 2020 m. teisinės valstybės principo taikymo ataskaitą (Šalies skyrius: teisinės valstybės principo padėtis Italijoje, p. 7). </w:t>
      </w:r>
      <w:r>
        <w:rPr>
          <w:color w:val="000000"/>
        </w:rPr>
        <w:t>Šiomis aplinkybėmis taip pat svarbi yra 2020 m. įsigaliojusi reforma, pagal kurią, atsižvelgiant į ilgalaikę per Europos Semestrą pateiktą konkrečiai šaliai skirtą rekomendaciją, numatyta pirmosios instancijos teismui priėmus sprendimą stabdyti senaties terminą. Dėl bylų nagrinėjimo trukmės taip pat žr. I skyrių „Teisingumo sistema“, p. 6–7.</w:t>
      </w:r>
    </w:p>
  </w:footnote>
  <w:footnote w:id="103">
    <w:p>
      <w:pPr>
        <w:pStyle w:val="FootnoteText"/>
      </w:pPr>
      <w:r>
        <w:rPr>
          <w:rStyle w:val="FootnoteReference"/>
          <w:rFonts w:cs="Times New Roman"/>
        </w:rPr>
        <w:footnoteRef/>
      </w:r>
      <w:r>
        <w:t xml:space="preserve"> </w:t>
      </w:r>
      <w:r>
        <w:tab/>
        <w:t>Vizito į Italiją metu iš Finansų policijos gauta informacija.</w:t>
      </w:r>
    </w:p>
  </w:footnote>
  <w:footnote w:id="104">
    <w:p>
      <w:pPr>
        <w:pStyle w:val="FootnoteText"/>
      </w:pPr>
      <w:r>
        <w:rPr>
          <w:rStyle w:val="FootnoteReference"/>
        </w:rPr>
        <w:footnoteRef/>
      </w:r>
      <w:r>
        <w:t xml:space="preserve"> </w:t>
      </w:r>
      <w:r>
        <w:tab/>
        <w:t>Pakeitimai 2021 m. kovo 31 d. per antrąjį svarstymą buvo patvirtinti ir perduoti Senatui, kad šis juos galutinai patvirtintų.</w:t>
      </w:r>
    </w:p>
  </w:footnote>
  <w:footnote w:id="105">
    <w:p>
      <w:pPr>
        <w:pStyle w:val="FootnoteText"/>
      </w:pPr>
      <w:r>
        <w:rPr>
          <w:rStyle w:val="FootnoteReference"/>
        </w:rPr>
        <w:footnoteRef/>
      </w:r>
      <w:r>
        <w:t xml:space="preserve"> </w:t>
      </w:r>
      <w:r>
        <w:tab/>
        <w:t xml:space="preserve">Priėmus įstatymą Nr. 179/2017, 2018 m. gruodžio mėn. įsigaliojo informavimo apie pažeidimus taisyklės, kurios iš esmės taikomos privačiajam sektoriui. Šiame įstatyme nustatyta pranešėjų apsaugos sistema yra savanoriška ir taikoma tik toms įmonėms, kuriose darbdavys pagal Dekretą Nr. 231/2001 dėl įmonių baudžiamosios atsakomybės yra patvirtinęs organizacinį nusikalstamumo prevencijos modelį. Pagal įstatymą reikalaujama, kad tik Dekrete Nr. 231 numatytą modelį įdiegusios įmonės turi nustatyti pranešėjų apsaugai skirtą pranešimų teikimo sistemą. </w:t>
      </w:r>
    </w:p>
  </w:footnote>
  <w:footnote w:id="106">
    <w:p>
      <w:pPr>
        <w:pStyle w:val="FootnoteText"/>
      </w:pPr>
      <w:r>
        <w:rPr>
          <w:rStyle w:val="FootnoteReference"/>
        </w:rPr>
        <w:footnoteRef/>
      </w:r>
      <w:r>
        <w:t xml:space="preserve"> </w:t>
      </w:r>
      <w:r>
        <w:tab/>
        <w:t xml:space="preserve">Kaip nurodyta praėjusiais metais 2020 m. teisinės valstybės principo taikymo ataskaitoje (Šalies skyrius: teisinės valstybės principo padėtis Italijoje, p. 11), 2017 m. peržiūrėjus teisinę sistemą gerokai padaugėjo viešojo sektoriaus Kovos su korupcija institucijai teikiamų pranešimų. </w:t>
      </w:r>
    </w:p>
  </w:footnote>
  <w:footnote w:id="107">
    <w:p>
      <w:pPr>
        <w:pStyle w:val="FootnoteText"/>
      </w:pPr>
      <w:r>
        <w:rPr>
          <w:rStyle w:val="FootnoteReference"/>
        </w:rPr>
        <w:footnoteRef/>
      </w:r>
      <w:r>
        <w:t xml:space="preserve"> Italijos valdžios institucijų duomenimis, šiose gairėse atsižvelgiama į Direktyvoje (ES) 2019/1937 nustatytus principus. </w:t>
      </w:r>
    </w:p>
  </w:footnote>
  <w:footnote w:id="108">
    <w:p>
      <w:pPr>
        <w:pStyle w:val="FootnoteText"/>
      </w:pPr>
      <w:r>
        <w:rPr>
          <w:rStyle w:val="FootnoteReference"/>
        </w:rPr>
        <w:footnoteRef/>
      </w:r>
      <w:r>
        <w:t xml:space="preserve"> </w:t>
      </w:r>
      <w:r>
        <w:tab/>
        <w:t xml:space="preserve">Plg. Teisės akto pasiūlymą Nr. 1461 dėl interesų konfliktų (A. Macina ir kt., 2018 m.). </w:t>
      </w:r>
    </w:p>
  </w:footnote>
  <w:footnote w:id="109">
    <w:p>
      <w:pPr>
        <w:pStyle w:val="FootnoteText"/>
      </w:pPr>
      <w:r>
        <w:rPr>
          <w:rStyle w:val="FootnoteReference"/>
        </w:rPr>
        <w:footnoteRef/>
      </w:r>
      <w:r>
        <w:t xml:space="preserve"> </w:t>
      </w:r>
      <w:r>
        <w:tab/>
        <w:t>Iš Italijos gauti atsakymai rengiant 2021 m. teisinės valstybės principo taikymo ataskaitą, p. 30.</w:t>
      </w:r>
    </w:p>
  </w:footnote>
  <w:footnote w:id="110">
    <w:p>
      <w:pPr>
        <w:pStyle w:val="FootnoteText"/>
      </w:pPr>
      <w:r>
        <w:rPr>
          <w:rStyle w:val="FootnoteReference"/>
        </w:rPr>
        <w:footnoteRef/>
      </w:r>
      <w:r>
        <w:t xml:space="preserve"> </w:t>
      </w:r>
      <w:r>
        <w:tab/>
        <w:t>Vizito į Italiją metu gauta informacija.</w:t>
      </w:r>
    </w:p>
  </w:footnote>
  <w:footnote w:id="111">
    <w:p>
      <w:pPr>
        <w:pStyle w:val="FootnoteText"/>
      </w:pPr>
      <w:r>
        <w:rPr>
          <w:rStyle w:val="FootnoteReference"/>
        </w:rPr>
        <w:footnoteRef/>
      </w:r>
      <w:r>
        <w:t xml:space="preserve"> </w:t>
      </w:r>
      <w:r>
        <w:tab/>
        <w:t xml:space="preserve">Pasiūlyme numatyti papildomi senatoriaus pavaduotojo ir senatoriaus ir regioninės tarybos nario pareigų nesuderinamumo atvejai. Į jį įtrauktos naujos taisyklės dėl teisėjų pareigų nesuderinamumo ir nuostatos dėl reguliavimo tvarkos, taikytinos teisėjams, kurie yra kandidatai per rinkimus. Juo Vyriausybei pavedama nustatyti griežtesnę interesų konfliktų prevencijos viešojo administravimo sektoriuje tvarką, Kovos su korupcija institucijai suteikiant konkrečius įgaliojimus įsikišti ir nustatyti sankcijas, užtikrinant didesnį dabartinės reguliavimo sistemos skaidrumą. Pasiūlymu išplečiamos nuostatos dėl pareigų neperdavimo (šis klausimas šiuo metu reglamentuojamas Įstatyminiu dekretu Nr. 39/2013) ir apribojama galimybė atlikti kelias funkcijas valstybės kontroliuojamų įmonių administraciniuose ir kontrolės organuose, taip pat išplečiama interesų konfliktų prevencijos taisyklių materialinė taikymo sritis. Plg. GRECO, </w:t>
      </w:r>
      <w:r>
        <w:rPr>
          <w:i/>
          <w:iCs/>
        </w:rPr>
        <w:t>Fourth Evaluation Round, Second Compliance Report – Italy, paras.</w:t>
      </w:r>
      <w:r>
        <w:t xml:space="preserve"> 15–19 punktai.</w:t>
      </w:r>
    </w:p>
  </w:footnote>
  <w:footnote w:id="112">
    <w:p>
      <w:pPr>
        <w:pStyle w:val="FootnoteText"/>
      </w:pPr>
      <w:r>
        <w:rPr>
          <w:rStyle w:val="FootnoteReference"/>
        </w:rPr>
        <w:footnoteRef/>
      </w:r>
      <w:r>
        <w:t xml:space="preserve"> </w:t>
      </w:r>
      <w:r>
        <w:tab/>
        <w:t xml:space="preserve">Plg. GRECO, </w:t>
      </w:r>
      <w:r>
        <w:rPr>
          <w:i/>
          <w:iCs/>
        </w:rPr>
        <w:t>Fourth Evaluation Round, Second Compliance Report – Italy, paras.</w:t>
      </w:r>
      <w:r>
        <w:t xml:space="preserve"> Jos 10–11 punktuose taip pat rekomenduojama toliau plėtoti įvairias ne baudžiamojo pobūdžio sankcijas už neetišką elgesį.</w:t>
      </w:r>
    </w:p>
  </w:footnote>
  <w:footnote w:id="113">
    <w:p>
      <w:pPr>
        <w:pStyle w:val="FootnoteText"/>
      </w:pPr>
      <w:r>
        <w:rPr>
          <w:rStyle w:val="FootnoteReference"/>
        </w:rPr>
        <w:footnoteRef/>
      </w:r>
      <w:r>
        <w:t xml:space="preserve"> </w:t>
      </w:r>
      <w:r>
        <w:tab/>
        <w:t>Kaip praėjusiais metais nurodyta 2020 m. teisinės valstybės principo taikymo ataskaitoje (Šalies skyrius: teisinės valstybės principo padėtis Italijoje, p. 11).</w:t>
      </w:r>
    </w:p>
  </w:footnote>
  <w:footnote w:id="114">
    <w:p>
      <w:pPr>
        <w:pStyle w:val="FootnoteText"/>
      </w:pPr>
      <w:r>
        <w:rPr>
          <w:rStyle w:val="FootnoteReference"/>
        </w:rPr>
        <w:footnoteRef/>
      </w:r>
      <w:r>
        <w:t xml:space="preserve"> </w:t>
      </w:r>
      <w:r>
        <w:tab/>
        <w:t>Tai taip pat pasakytina apie Vyriausybės narius ir aukštesnes pareigas einančius valstybės tarnautojus (daugiau informacijos pateikiama 2020 m. teisinės valstybės principo taikymo ataskaitoje (Šalies skyrius: teisinės valstybės principo padėtis Italijoje, p. 11)). Taip yra nepaisant Italijos G 20 susitikime prisiimto įsipareigojimo dėl atvirųjų duomenų (taip pat plg. 2015 m. G 20 atvirųjų duomenų siekiant kovoti su korupcija principus (angl. </w:t>
      </w:r>
      <w:r>
        <w:rPr>
          <w:i/>
        </w:rPr>
        <w:t>G 20 Anti-Corruption Open Data Principles</w:t>
      </w:r>
      <w:r>
        <w:t>)).</w:t>
      </w:r>
    </w:p>
  </w:footnote>
  <w:footnote w:id="115">
    <w:p>
      <w:pPr>
        <w:pStyle w:val="FootnoteText"/>
      </w:pPr>
      <w:r>
        <w:rPr>
          <w:rStyle w:val="FootnoteReference"/>
        </w:rPr>
        <w:footnoteRef/>
      </w:r>
      <w:r>
        <w:t xml:space="preserve"> </w:t>
      </w:r>
      <w:r>
        <w:tab/>
        <w:t>Remiantis iš Vyriausybės gauta informacija, Deputatų Rūmams ir Senatui pateikti devyni įstatymų projektai. Trys iš jų perduoti Konstitucinių reikalų komitetui. Pažymėtina, kad šie įstatymų projektai Senatui buvo pateikti 2018 ir 2019 m.</w:t>
      </w:r>
    </w:p>
  </w:footnote>
  <w:footnote w:id="116">
    <w:p>
      <w:pPr>
        <w:pStyle w:val="FootnoteText"/>
      </w:pPr>
      <w:r>
        <w:rPr>
          <w:rStyle w:val="FootnoteReference"/>
        </w:rPr>
        <w:footnoteRef/>
      </w:r>
      <w:r>
        <w:t xml:space="preserve"> </w:t>
      </w:r>
      <w:r>
        <w:tab/>
        <w:t>Vizito į Italiją metu iš Prezidento kanceliarijos gauta informacija. Vykdydamos Italijos vyriausybės pagal 3-iąjį atviros vyriausybės veiksmų planą prisiimtus įsipareigojimus, Ekonominės plėtros ministerija ir Darbo ministerija 2018 m. rugsėjo mėn. įdiegė Skaidrumo registrą ir priėmė elgesio kodeksą.</w:t>
      </w:r>
    </w:p>
  </w:footnote>
  <w:footnote w:id="117">
    <w:p>
      <w:pPr>
        <w:pStyle w:val="FootnoteText"/>
      </w:pPr>
      <w:r>
        <w:rPr>
          <w:rStyle w:val="FootnoteReference"/>
        </w:rPr>
        <w:footnoteRef/>
      </w:r>
      <w:r>
        <w:t xml:space="preserve"> </w:t>
      </w:r>
      <w:r>
        <w:tab/>
        <w:t>Italijos Vyriausybė, 4-asis nacionalinis atviros vyriausybės veiksmų planas (2019–2021 m.), p. 19.</w:t>
      </w:r>
    </w:p>
  </w:footnote>
  <w:footnote w:id="118">
    <w:p>
      <w:pPr>
        <w:pStyle w:val="FootnoteText"/>
      </w:pPr>
      <w:r>
        <w:rPr>
          <w:rStyle w:val="FootnoteReference"/>
        </w:rPr>
        <w:footnoteRef/>
      </w:r>
      <w:r>
        <w:t xml:space="preserve"> </w:t>
      </w:r>
      <w:r>
        <w:tab/>
        <w:t xml:space="preserve">Sprendimu Nr. 208/2017 reguliuojama tik Deputatų Rūmų narių, tačiau ne Senato narių veikla. Visoje šalies teritorijoje padėtis tebėra suskaidyta, nes nėra nacionalinio valdžios atstovų registro. Kai kurie regionai ir savivaldybės imasi palankiai vertintinų priemonių ir įgyvendina atitinkamas taisykles (pvz., Milane ir Romoje tam tikri valdžios institucijų padaliniai internete skelbia apie suinteresuotųjų subjektų ir viešuosius sprendimus priimančių asmenų susitikimus), tačiau nėra sistemingo ar standartizuoto metodo. Plg. GRECO, </w:t>
      </w:r>
      <w:r>
        <w:rPr>
          <w:i/>
          <w:iCs/>
        </w:rPr>
        <w:t>Fourth Evaluation Round, Second Compliance Report, paras.</w:t>
      </w:r>
      <w:r>
        <w:t xml:space="preserve"> 30–37 punktai.</w:t>
      </w:r>
    </w:p>
  </w:footnote>
  <w:footnote w:id="119">
    <w:p>
      <w:pPr>
        <w:pStyle w:val="FootnoteText"/>
      </w:pPr>
      <w:r>
        <w:rPr>
          <w:rStyle w:val="FootnoteReference"/>
        </w:rPr>
        <w:footnoteRef/>
      </w:r>
      <w:r>
        <w:t xml:space="preserve"> </w:t>
      </w:r>
      <w:r>
        <w:tab/>
        <w:t>Deputatų Rūmai, 2020 m. spalio 6 d., Parlamento Konstitucinių reikalų, Ministro Pirmininko ir Vidaus reikalų komitetų biuletenis „Nuostatos dėl interesų konfliktų prevencijos“ (</w:t>
      </w:r>
      <w:r>
        <w:rPr>
          <w:i/>
        </w:rPr>
        <w:t>C. 702 Fiano, C. 1461 Macina</w:t>
      </w:r>
      <w:r>
        <w:t xml:space="preserve"> ir </w:t>
      </w:r>
      <w:r>
        <w:rPr>
          <w:i/>
        </w:rPr>
        <w:t>C. 1843 Boccia</w:t>
      </w:r>
      <w:r>
        <w:t>).</w:t>
      </w:r>
    </w:p>
  </w:footnote>
  <w:footnote w:id="120">
    <w:p>
      <w:pPr>
        <w:pStyle w:val="FootnoteText"/>
      </w:pPr>
      <w:r>
        <w:rPr>
          <w:rStyle w:val="FootnoteReference"/>
        </w:rPr>
        <w:footnoteRef/>
      </w:r>
      <w:r>
        <w:t xml:space="preserve"> </w:t>
      </w:r>
      <w:r>
        <w:tab/>
        <w:t xml:space="preserve">Vizito į Italiją metu gauta informacija. Plg. GRECO, </w:t>
      </w:r>
      <w:r>
        <w:rPr>
          <w:i/>
          <w:iCs/>
        </w:rPr>
        <w:t>Fourth Evaluation Round, Second Compliance Report, para. 28.</w:t>
      </w:r>
      <w:r>
        <w:t xml:space="preserve"> Pažymėtina, kad Nacionalinė kovos su korupcija institucija, kuriai suteikti įgaliojimai įvertinti pažeidimus ir nustatyti sankcijas, paragino Vyriausybę tobulinti „sukamųjų durų“ reiškinio teisės aktus (plg. 2020 m. gegužės 27 d. Italijos kovos su korupcija institucijos 2020 m. ataskaitą Nr. 6 dėl „sukamųjų durų“ reiškinio). Kol kas neturima duomenų apie „sukamųjų durų“ reiškinio atvejus, nes Kovos su korupcija institucija dar tik atlieka pirmuosius vertinimus (šaltinis – vizito į Italiją metu iš Kovos su korupcija institucijos gauta informacija).</w:t>
      </w:r>
    </w:p>
  </w:footnote>
  <w:footnote w:id="121">
    <w:p>
      <w:pPr>
        <w:pStyle w:val="FootnoteText"/>
      </w:pPr>
      <w:r>
        <w:rPr>
          <w:rStyle w:val="FootnoteReference"/>
        </w:rPr>
        <w:footnoteRef/>
      </w:r>
      <w:r>
        <w:t xml:space="preserve"> Po 1993 m. įvykusio referendumo ir 1993–2013 m. priimtų susijusių priemonių uždrausta tiesiogiai skirti viešąjį finansavimą politinėms partijoms.</w:t>
      </w:r>
      <w:r>
        <w:rPr>
          <w:i/>
        </w:rPr>
        <w:t xml:space="preserve"> </w:t>
      </w:r>
    </w:p>
  </w:footnote>
  <w:footnote w:id="122">
    <w:p>
      <w:pPr>
        <w:pStyle w:val="FootnoteText"/>
      </w:pPr>
      <w:r>
        <w:rPr>
          <w:rStyle w:val="FootnoteReference"/>
        </w:rPr>
        <w:footnoteRef/>
      </w:r>
      <w:r>
        <w:t xml:space="preserve"> </w:t>
      </w:r>
      <w:r>
        <w:tab/>
        <w:t xml:space="preserve">Deputatų Rūmai nustatė ir įvertino 2019 m. vasario–lapkričio mėn. skirtus įnašus ir paskelbė duomenis, iš kurių matyti, kad 72,7 proc. lėšų Italijos partijoms skyrė Parlamento nariai, 22,9 proc. – fiziniai asmenys ir 4,9 proc. – privačios įmonės. Taip pat žr. „Transparency International“, </w:t>
      </w:r>
      <w:r>
        <w:rPr>
          <w:i/>
        </w:rPr>
        <w:t>Soldi e politica:</w:t>
      </w:r>
      <w:r>
        <w:t xml:space="preserve"> </w:t>
      </w:r>
      <w:r>
        <w:rPr>
          <w:i/>
        </w:rPr>
        <w:t>cosa ci dicono i dati?</w:t>
      </w:r>
      <w:r>
        <w:t xml:space="preserve"> (2020 m. lapkričio mėn.). </w:t>
      </w:r>
    </w:p>
  </w:footnote>
  <w:footnote w:id="123">
    <w:p>
      <w:pPr>
        <w:pStyle w:val="FootnoteText"/>
      </w:pPr>
      <w:r>
        <w:rPr>
          <w:rStyle w:val="FootnoteReference"/>
        </w:rPr>
        <w:footnoteRef/>
      </w:r>
      <w:r>
        <w:t xml:space="preserve"> </w:t>
      </w:r>
      <w:r>
        <w:tab/>
        <w:t xml:space="preserve">Įstatymas Nr. 3/2019. Pažymėtina, kad nesukurtas centralizuotas, kompiuterio skaitomų duomenų registras. Plg. GRECO, </w:t>
      </w:r>
      <w:r>
        <w:rPr>
          <w:i/>
          <w:iCs/>
        </w:rPr>
        <w:t>Third Evaluation Round, Second Addendum to the Second Compliance Report</w:t>
      </w:r>
      <w:r>
        <w:t xml:space="preserve">, 37 punktas. Jame rekomenduojama nustatyti suderintą požiūrį į informacijos apie politinių partijų ir rinkimų kampanijų finansavimą skelbimą ir užtikrinti, kad su tokia informacija būtų galima susipažinti nuosekliai, suprantamai ir laiku. </w:t>
      </w:r>
    </w:p>
  </w:footnote>
  <w:footnote w:id="124">
    <w:p>
      <w:pPr>
        <w:pStyle w:val="FootnoteText"/>
      </w:pPr>
      <w:r>
        <w:rPr>
          <w:rStyle w:val="FootnoteReference"/>
        </w:rPr>
        <w:footnoteRef/>
      </w:r>
      <w:r>
        <w:t xml:space="preserve"> </w:t>
      </w:r>
      <w:r>
        <w:tab/>
        <w:t>Kontrolės įstaigos yra, be kita ko, Partijų ir politinių judėjimų finansinės atskaitomybės skaidrumo ir kontrolės komitetas, Audito Rūmai ir Regioninė rinkimų garantijų valdyba.</w:t>
      </w:r>
    </w:p>
  </w:footnote>
  <w:footnote w:id="125">
    <w:p>
      <w:pPr>
        <w:pStyle w:val="FootnoteText"/>
      </w:pPr>
      <w:r>
        <w:rPr>
          <w:rStyle w:val="FootnoteReference"/>
        </w:rPr>
        <w:footnoteRef/>
      </w:r>
      <w:r>
        <w:t xml:space="preserve"> </w:t>
      </w:r>
      <w:r>
        <w:tab/>
        <w:t xml:space="preserve">Pranešama, kad 2020 m. pradžioje į tokią praktiką dėmesį atkreipė tyrėjai ir prokurorai. Trečiųjų šalių asociacijoms skirti įnašai sudarė beveik 10 mln. EUR, arba 37 proc. visos 2019 m. politinėms partijoms skirto finansavimo sumos. Plg. „Transparency International“ (2020), </w:t>
      </w:r>
      <w:r>
        <w:rPr>
          <w:i/>
        </w:rPr>
        <w:t>Debugging Democracy, Open data for political integrity in Europe</w:t>
      </w:r>
      <w:r>
        <w:t>, p. 4 ir 19–20.</w:t>
      </w:r>
    </w:p>
  </w:footnote>
  <w:footnote w:id="126">
    <w:p>
      <w:pPr>
        <w:pStyle w:val="FootnoteText"/>
      </w:pPr>
      <w:r>
        <w:rPr>
          <w:rStyle w:val="FootnoteReference"/>
        </w:rPr>
        <w:footnoteRef/>
      </w:r>
      <w:r>
        <w:t xml:space="preserve"> Vizito į Italiją metu iš Finansų policijos gauta informacija. Vizito į Italiją metu gauta informacija.</w:t>
      </w:r>
    </w:p>
  </w:footnote>
  <w:footnote w:id="127">
    <w:p>
      <w:pPr>
        <w:pStyle w:val="FootnoteText"/>
      </w:pPr>
      <w:r>
        <w:rPr>
          <w:rStyle w:val="FootnoteReference"/>
        </w:rPr>
        <w:footnoteRef/>
      </w:r>
      <w:r>
        <w:t xml:space="preserve"> </w:t>
      </w:r>
      <w:r>
        <w:tab/>
        <w:t>Įstatyminis dekretas Nr. 76/2020.</w:t>
      </w:r>
    </w:p>
  </w:footnote>
  <w:footnote w:id="128">
    <w:p>
      <w:pPr>
        <w:pStyle w:val="FootnoteText"/>
      </w:pPr>
      <w:r>
        <w:rPr>
          <w:rStyle w:val="FootnoteReference"/>
        </w:rPr>
        <w:footnoteRef/>
      </w:r>
      <w:r>
        <w:t xml:space="preserve"> </w:t>
      </w:r>
      <w:r>
        <w:tab/>
        <w:t>Šiomis priemonėmis, siekiant supaprastinti su darbų viešojo pirkimo sutartimis susijusias procedūras, viršutinė riba, kai sutartis galima skirti tiesiogiai, nuo 40 000 EUR padidinta iki 150 000 EUR, o paslaugų teikimo ir tiekimo atvejais – nuo 40 000 EUR iki 75 000 EUR.</w:t>
      </w:r>
    </w:p>
  </w:footnote>
  <w:footnote w:id="129">
    <w:p>
      <w:pPr>
        <w:pStyle w:val="FootnoteText"/>
      </w:pPr>
      <w:r>
        <w:rPr>
          <w:rStyle w:val="FootnoteReference"/>
        </w:rPr>
        <w:footnoteRef/>
      </w:r>
      <w:r>
        <w:t xml:space="preserve"> </w:t>
      </w:r>
      <w:r>
        <w:tab/>
        <w:t>Kovos su korupcija institucija pabrėžė, kad pasirinkimas nukrypti nuo „bet kokios įstatymų, išskyrus baudžiamąją teisę, nuostatos“, atrodo, neproporcingas tikslui skatinti valstybės investicijas ir kovoti su neigiamais COVID-19 padariniais ekonomikai, žr. 2020 m. Kovos su korupcija institucijos ataskaitą „2020 m. liepos 16 d. Įstatyminio dekreto straipsnių analizė“ (</w:t>
      </w:r>
      <w:r>
        <w:rPr>
          <w:i/>
        </w:rPr>
        <w:t>Esame e commento degli articoli del decreto-legge 16 luglio 2020, n. 76 «Misure urgenti per la semplificazione e l’innovazione digitale» in tema di</w:t>
      </w:r>
      <w:r>
        <w:t xml:space="preserve"> </w:t>
      </w:r>
      <w:r>
        <w:rPr>
          <w:i/>
        </w:rPr>
        <w:t>contratti pubblici, trasparenza e anticorruzione</w:t>
      </w:r>
      <w:r>
        <w:t>). Be to, siekdama reaguoti į ekstremaliąją situaciją, susijusią su COVID-19 pandemija, 2020 m. balandžio mėn. Italijos Nacionalinė kovos su korupcija institucija paskelbė vadovą, kuriame pateikiama sisteminė nacionalinių susijusių teisės nuostatų, kuriomis siekiama paspartinti ir supaprastinti viešųjų pirkimų procedūras, apžvalga.</w:t>
      </w:r>
    </w:p>
  </w:footnote>
  <w:footnote w:id="130">
    <w:p>
      <w:pPr>
        <w:pStyle w:val="FootnoteText"/>
      </w:pPr>
      <w:r>
        <w:rPr>
          <w:rStyle w:val="FootnoteReference"/>
        </w:rPr>
        <w:footnoteRef/>
      </w:r>
      <w:r>
        <w:t xml:space="preserve"> Šioje duomenų bazėje kaupiama informacija apie 51,9 mln. viešųjų pirkimų procedūrų, 38 500 perkančiųjų organizacijų ir 234 000 konkursų dalyvių. Plg. Kovos su korupcija institucijos interneto svetainėje paskelbtus duomenis. Duomenys, su kuriais anksčiau buvo sunkiau susipažinti arba kurie turėjo būti gaunami </w:t>
      </w:r>
      <w:r>
        <w:rPr>
          <w:i/>
        </w:rPr>
        <w:t>ad hoc</w:t>
      </w:r>
      <w:r>
        <w:t xml:space="preserve"> pagrindu, pavyzdžiui, duomenys apie subrangos sutartis, informacija apie darbų atlikimo pokyčius arba įmonių, kurios turi teisę atlikti tam tikrų kategorijų darbus, sąrašai sistemingai pateikiami institucijos interneto svetainėje, kurioje dabar galima susipažinti ir su aprašomąja statistika. Siekiant įvertinti korupcijos riziką vietos lygmeniu ir skatinti viešųjų pirkimų skaidrumą, šios institucijos darbiniame dokumente pateiktas naujas korupcijos rizikos indeksas ir rodikliai, grindžiami Nacionalinės viešųjų pirkimų sutarčių duomenų bazės duomenimis. Žr. Kovos su korupcija institucijos 2020 m. darbinį dokumentą Nr. 5 „Nacionalinės viešųjų pirkimų sutarčių duomenų bazės duomenų analizė ir korupcijos rizikos rodiklių rengimas“ (http://www.anticorruzione.it/portal/rest/jcr/repository/collaboration/Digital%20Assets/anacdocs/Attivita/Pubblicazioni/Collana%20scientifica%20Autorita/Collana%20scientifica%20Anac%20-%20Matteo%20Tro%C3%83%C2%ACa%20WP%20n.5.pdf).</w:t>
      </w:r>
    </w:p>
  </w:footnote>
  <w:footnote w:id="131">
    <w:p>
      <w:pPr>
        <w:pStyle w:val="FootnoteText"/>
        <w:rPr>
          <w:rFonts w:eastAsia="Calibri"/>
        </w:rPr>
      </w:pPr>
      <w:r>
        <w:rPr>
          <w:rStyle w:val="FootnoteReference"/>
        </w:rPr>
        <w:footnoteRef/>
      </w:r>
      <w:r>
        <w:t xml:space="preserve"> Italijos Konstitucijos 21 straipsnis. Dėl didelio žurnalistų, kurie gyvena saugomi policijos, skaičiaus Italija pagal organizacijos „Žurnalistai be sienų“ 2021 m. pasaulio spaudos laisvės indeksą pasaulyje ir toliau užima gana žemą 41 vietą, o Europos Sąjungoje – 20 vietą. </w:t>
      </w:r>
    </w:p>
  </w:footnote>
  <w:footnote w:id="132">
    <w:p>
      <w:pPr>
        <w:pStyle w:val="FootnoteText"/>
      </w:pPr>
      <w:r>
        <w:rPr>
          <w:rStyle w:val="FootnoteReference"/>
        </w:rPr>
        <w:footnoteRef/>
      </w:r>
      <w:r>
        <w:t xml:space="preserve"> </w:t>
      </w:r>
      <w:r>
        <w:tab/>
        <w:t xml:space="preserve">Autorità per le Garanzie nelle Comunicazioni (AGCOM), </w:t>
      </w:r>
      <w:r>
        <w:rPr>
          <w:i/>
        </w:rPr>
        <w:t>Osservatorio sul Giornalismo III edizione - La professione alla prova dell'emergenza Covid-19 - documento di consultazione pubblica</w:t>
      </w:r>
      <w:r>
        <w:t xml:space="preserve">, 2020 m. lapkričio mėn. </w:t>
      </w:r>
    </w:p>
  </w:footnote>
  <w:footnote w:id="133">
    <w:p>
      <w:pPr>
        <w:pStyle w:val="FootnoteText"/>
      </w:pPr>
      <w:r>
        <w:rPr>
          <w:rStyle w:val="FootnoteReference"/>
        </w:rPr>
        <w:footnoteRef/>
      </w:r>
      <w:r>
        <w:t xml:space="preserve"> </w:t>
      </w:r>
      <w:r>
        <w:tab/>
        <w:t xml:space="preserve">NVO, su kuriomis buvo konsultuotasi vizito į šalį metu, patvirtino, kad mažų garantijų darbas tapo viena iš tikrų problemų, darančių neigiamą poveikį šiai profesijai, ir kad dar prieš prasidedant COVID-19 pandemijai buvo labai suprastėjusios šio sektoriaus ekonominės perspektyvos. </w:t>
      </w:r>
    </w:p>
  </w:footnote>
  <w:footnote w:id="134">
    <w:p>
      <w:pPr>
        <w:pStyle w:val="FootnoteText"/>
      </w:pPr>
      <w:r>
        <w:rPr>
          <w:rStyle w:val="FootnoteReference"/>
        </w:rPr>
        <w:footnoteRef/>
      </w:r>
      <w:r>
        <w:t xml:space="preserve"> </w:t>
      </w:r>
      <w:r>
        <w:tab/>
        <w:t xml:space="preserve">Įstatymas Nr. 27/2020 ir Biudžeto įstatymas Nr. 178/2020. </w:t>
      </w:r>
    </w:p>
  </w:footnote>
  <w:footnote w:id="135">
    <w:p>
      <w:pPr>
        <w:pStyle w:val="FootnoteText"/>
      </w:pPr>
      <w:r>
        <w:rPr>
          <w:rStyle w:val="FootnoteReference"/>
        </w:rPr>
        <w:footnoteRef/>
      </w:r>
      <w:r>
        <w:t xml:space="preserve"> </w:t>
      </w:r>
      <w:r>
        <w:tab/>
        <w:t xml:space="preserve">Informacijos ir leidybos skyrius, </w:t>
      </w:r>
      <w:r>
        <w:rPr>
          <w:i/>
        </w:rPr>
        <w:t>Fondo per il pluralismo e l'innovazione dell'informazione</w:t>
      </w:r>
      <w:r>
        <w:t>.</w:t>
      </w:r>
    </w:p>
  </w:footnote>
  <w:footnote w:id="136">
    <w:p>
      <w:pPr>
        <w:pStyle w:val="FootnoteText"/>
      </w:pPr>
      <w:r>
        <w:rPr>
          <w:rStyle w:val="FootnoteReference"/>
        </w:rPr>
        <w:footnoteRef/>
      </w:r>
      <w:r>
        <w:t xml:space="preserve"> </w:t>
      </w:r>
      <w:r>
        <w:tab/>
        <w:t xml:space="preserve">Konstitucinio Teismo sprendimas Nr. 206/2019 (ECLI:IT:COST:2019:206). </w:t>
      </w:r>
    </w:p>
  </w:footnote>
  <w:footnote w:id="137">
    <w:p>
      <w:pPr>
        <w:pStyle w:val="FootnoteText"/>
      </w:pPr>
      <w:r>
        <w:rPr>
          <w:rStyle w:val="FootnoteReference"/>
        </w:rPr>
        <w:footnoteRef/>
      </w:r>
      <w:r>
        <w:t xml:space="preserve"> </w:t>
      </w:r>
      <w:r>
        <w:tab/>
        <w:t xml:space="preserve">Įstatymo Nr. 215/2004, vadinamo „Legge Frattini“, pakeitimai. </w:t>
      </w:r>
    </w:p>
  </w:footnote>
  <w:footnote w:id="138">
    <w:p>
      <w:pPr>
        <w:pStyle w:val="FootnoteText"/>
      </w:pPr>
      <w:r>
        <w:rPr>
          <w:rStyle w:val="FootnoteReference"/>
        </w:rPr>
        <w:footnoteRef/>
      </w:r>
      <w:r>
        <w:t xml:space="preserve"> </w:t>
      </w:r>
      <w:r>
        <w:tab/>
        <w:t xml:space="preserve">Žiniasklaidos pliuralizmo observatorijos 2021 m. ataskaita, p. 15–16. </w:t>
      </w:r>
    </w:p>
  </w:footnote>
  <w:footnote w:id="139">
    <w:p>
      <w:pPr>
        <w:pStyle w:val="FootnoteText"/>
      </w:pPr>
      <w:r>
        <w:rPr>
          <w:rStyle w:val="FootnoteReference"/>
        </w:rPr>
        <w:footnoteRef/>
      </w:r>
      <w:r>
        <w:t xml:space="preserve"> </w:t>
      </w:r>
      <w:r>
        <w:tab/>
        <w:t>Dėl pagrindinių įvairių naujienų žiniasklaidos sektoriaus dalių dalyvių rinkos dalies žr. Žiniasklaidos pliuralizmo observatorijos 2021 m. ataskaitą, p. 12. Italijos įstatymais nustatomos kiekvienos žiniasklaidos rinkos dalies ir visos žiniasklaidos rinkos ribos (atitinkamai techninė ir ekonominė ribos). Ryšių reguliavimo tarnyba iki šiol nėra nustačiusi techninės ribos pažeidimų (Žiniasklaidos pliuralizmo observatorijos 2021 m. ataskaita, p. 13). Vienas iš susirūpinimą keliančių klausimų yra tai, kad trūksta standartizuotų ir palyginamų duomenų ir metrikų apie skaitmeninės žiniasklaidos auditoriją (Žiniasklaidos pliuralizmo observatorijos 2021 m. ataskaita, p. 21).</w:t>
      </w:r>
    </w:p>
  </w:footnote>
  <w:footnote w:id="140">
    <w:p>
      <w:pPr>
        <w:pStyle w:val="FootnoteText"/>
      </w:pPr>
      <w:r>
        <w:rPr>
          <w:rStyle w:val="FootnoteReference"/>
        </w:rPr>
        <w:footnoteRef/>
      </w:r>
      <w:r>
        <w:t xml:space="preserve"> </w:t>
      </w:r>
      <w:r>
        <w:tab/>
        <w:t>Įstatyminis dekretas Nr. 97/2016.</w:t>
      </w:r>
    </w:p>
  </w:footnote>
  <w:footnote w:id="141">
    <w:p>
      <w:pPr>
        <w:pStyle w:val="FootnoteText"/>
      </w:pPr>
      <w:r>
        <w:rPr>
          <w:rStyle w:val="FootnoteReference"/>
        </w:rPr>
        <w:footnoteRef/>
      </w:r>
      <w:r>
        <w:t xml:space="preserve"> </w:t>
      </w:r>
      <w:r>
        <w:tab/>
        <w:t xml:space="preserve">Žiniasklaidos pliuralizmo observatorijos 2021 m. ataskaita, p. 10. </w:t>
      </w:r>
    </w:p>
  </w:footnote>
  <w:footnote w:id="142">
    <w:p>
      <w:pPr>
        <w:pStyle w:val="FootnoteText"/>
      </w:pPr>
      <w:r>
        <w:rPr>
          <w:rStyle w:val="FootnoteReference"/>
        </w:rPr>
        <w:footnoteRef/>
      </w:r>
      <w:r>
        <w:t xml:space="preserve"> </w:t>
      </w:r>
      <w:r>
        <w:tab/>
        <w:t xml:space="preserve">Konstitucinio Teismo potvarkis Nr. 132/2020. </w:t>
      </w:r>
    </w:p>
  </w:footnote>
  <w:footnote w:id="143">
    <w:p>
      <w:pPr>
        <w:pStyle w:val="FootnoteText"/>
      </w:pPr>
      <w:r>
        <w:rPr>
          <w:rStyle w:val="FootnoteReference"/>
        </w:rPr>
        <w:footnoteRef/>
      </w:r>
      <w:r>
        <w:t xml:space="preserve"> </w:t>
      </w:r>
      <w:r>
        <w:tab/>
        <w:t xml:space="preserve">2020 m. teisinės valstybės principo taikymo ataskaita. Šalies skyrius: teisinės valstybės principo padėtis Italijoje, p. 14. </w:t>
      </w:r>
    </w:p>
  </w:footnote>
  <w:footnote w:id="144">
    <w:p>
      <w:pPr>
        <w:pStyle w:val="FootnoteText"/>
      </w:pPr>
      <w:r>
        <w:rPr>
          <w:rStyle w:val="FootnoteReference"/>
        </w:rPr>
        <w:footnoteRef/>
      </w:r>
      <w:r>
        <w:t xml:space="preserve"> </w:t>
      </w:r>
      <w:r>
        <w:tab/>
        <w:t xml:space="preserve">Žiniasklaidos pliuralizmo observatorijos 2021 m. ataskaita, p. 9–1011. </w:t>
      </w:r>
    </w:p>
  </w:footnote>
  <w:footnote w:id="145">
    <w:p>
      <w:pPr>
        <w:pStyle w:val="FootnoteText"/>
      </w:pPr>
      <w:r>
        <w:rPr>
          <w:rStyle w:val="FootnoteReference"/>
        </w:rPr>
        <w:footnoteRef/>
      </w:r>
      <w:r>
        <w:t xml:space="preserve"> </w:t>
      </w:r>
      <w:r>
        <w:tab/>
        <w:t xml:space="preserve">2021 m. birželio 22 d. oficialus Italijos Konstitucinio Teismo pranešimas spaudai, paskelbtas jo interneto svetainėje. </w:t>
      </w:r>
    </w:p>
  </w:footnote>
  <w:footnote w:id="146">
    <w:p>
      <w:pPr>
        <w:pStyle w:val="FootnoteText"/>
      </w:pPr>
      <w:r>
        <w:rPr>
          <w:rStyle w:val="FootnoteReference"/>
        </w:rPr>
        <w:footnoteRef/>
      </w:r>
      <w:r>
        <w:t xml:space="preserve"> </w:t>
      </w:r>
      <w:r>
        <w:tab/>
        <w:t xml:space="preserve">Europos Tarybos platforma žurnalistikos apsaugai ir žurnalistų saugumui skatinti: Italija. Italija atsakė į šešis iš tų perspėjimų. </w:t>
      </w:r>
    </w:p>
  </w:footnote>
  <w:footnote w:id="147">
    <w:p>
      <w:pPr>
        <w:pStyle w:val="FootnoteText"/>
      </w:pPr>
      <w:r>
        <w:rPr>
          <w:rStyle w:val="FootnoteReference"/>
        </w:rPr>
        <w:footnoteRef/>
      </w:r>
      <w:r>
        <w:t xml:space="preserve"> </w:t>
      </w:r>
      <w:r>
        <w:tab/>
        <w:t xml:space="preserve">Europos Tarybos platforma žurnalistikos apsaugai ir žurnalistų saugumui skatinti. </w:t>
      </w:r>
    </w:p>
  </w:footnote>
  <w:footnote w:id="148">
    <w:p>
      <w:pPr>
        <w:pStyle w:val="FootnoteText"/>
      </w:pPr>
      <w:r>
        <w:rPr>
          <w:rStyle w:val="FootnoteReference"/>
        </w:rPr>
        <w:footnoteRef/>
      </w:r>
      <w:r>
        <w:t xml:space="preserve"> </w:t>
      </w:r>
      <w:r>
        <w:tab/>
        <w:t xml:space="preserve">Iš Italijos nacionalinės spaudos federacijos gauti atsakymai rengiant 2021 m. teisinės valstybės principo taikymo ataskaitą ir vizito į Italiją metu gauta informacija. </w:t>
      </w:r>
    </w:p>
  </w:footnote>
  <w:footnote w:id="149">
    <w:p>
      <w:pPr>
        <w:pStyle w:val="FootnoteText"/>
      </w:pPr>
      <w:r>
        <w:rPr>
          <w:rStyle w:val="FootnoteReference"/>
        </w:rPr>
        <w:footnoteRef/>
      </w:r>
      <w:r>
        <w:t xml:space="preserve"> </w:t>
      </w:r>
      <w:r>
        <w:tab/>
        <w:t xml:space="preserve">Iš organizacijos „Ossigeno per l’informazione“ gauti atsakymai rengiant 2021 m. teisinės valstybės principo taikymo ataskaitą. </w:t>
      </w:r>
    </w:p>
  </w:footnote>
  <w:footnote w:id="150">
    <w:p>
      <w:pPr>
        <w:pStyle w:val="FootnoteText"/>
      </w:pPr>
      <w:r>
        <w:rPr>
          <w:rStyle w:val="FootnoteReference"/>
        </w:rPr>
        <w:footnoteRef/>
      </w:r>
      <w:r>
        <w:t xml:space="preserve"> </w:t>
      </w:r>
      <w:r>
        <w:tab/>
        <w:t>Žiniasklaidos pliuralizmo observatorijos 2021 m. ataskaita, p. 10–11, ir iš 145 bei 146 išnašose nurodytų suinteresuotųjų subjektų gauti atsakymai.</w:t>
      </w:r>
    </w:p>
  </w:footnote>
  <w:footnote w:id="151">
    <w:p>
      <w:pPr>
        <w:pStyle w:val="FootnoteText"/>
      </w:pPr>
      <w:r>
        <w:rPr>
          <w:rStyle w:val="FootnoteReference"/>
        </w:rPr>
        <w:footnoteRef/>
      </w:r>
      <w:r>
        <w:t xml:space="preserve"> </w:t>
      </w:r>
      <w:r>
        <w:tab/>
        <w:t>Palyginti su 2019 m., jų padaugėjo 87 proc.</w:t>
      </w:r>
    </w:p>
  </w:footnote>
  <w:footnote w:id="152">
    <w:p>
      <w:pPr>
        <w:pStyle w:val="FootnoteText"/>
      </w:pPr>
      <w:r>
        <w:rPr>
          <w:rStyle w:val="FootnoteReference"/>
        </w:rPr>
        <w:footnoteRef/>
      </w:r>
      <w:r>
        <w:t xml:space="preserve"> </w:t>
      </w:r>
      <w:r>
        <w:tab/>
        <w:t xml:space="preserve">Vidaus reikalų ministerijos Viešojo saugumo departamento Kriminalinės policijos centrinė direkcija (2020), Žurnalistų bauginimo atvejai. </w:t>
      </w:r>
    </w:p>
  </w:footnote>
  <w:footnote w:id="153">
    <w:p>
      <w:pPr>
        <w:pStyle w:val="FootnoteText"/>
        <w:rPr>
          <w:rFonts w:cs="Times New Roman"/>
        </w:rPr>
      </w:pPr>
      <w:r>
        <w:rPr>
          <w:rStyle w:val="FootnoteReference"/>
          <w:rFonts w:cs="Times New Roman"/>
        </w:rPr>
        <w:footnoteRef/>
      </w:r>
      <w:r>
        <w:t xml:space="preserve"> </w:t>
      </w:r>
      <w:r>
        <w:tab/>
        <w:t>Prezidentą renka Parlamentas jungtinėje sesijoje kartu su 58 regioniniais rinkėjais.</w:t>
      </w:r>
    </w:p>
  </w:footnote>
  <w:footnote w:id="154">
    <w:p>
      <w:pPr>
        <w:pStyle w:val="FootnoteText"/>
        <w:rPr>
          <w:rFonts w:cs="Times New Roman"/>
        </w:rPr>
      </w:pPr>
      <w:r>
        <w:rPr>
          <w:rStyle w:val="FootnoteReference"/>
          <w:rFonts w:cs="Times New Roman"/>
        </w:rPr>
        <w:footnoteRef/>
      </w:r>
      <w:r>
        <w:t xml:space="preserve"> </w:t>
      </w:r>
      <w:r>
        <w:tab/>
        <w:t>Nacionalinei ekonomikos ir darbo tarybai taip pat suteikta teisė teikti ekonomikos ir socialinės srities teisės aktų pasiūlymus.</w:t>
      </w:r>
    </w:p>
  </w:footnote>
  <w:footnote w:id="155">
    <w:p>
      <w:pPr>
        <w:pStyle w:val="FootnoteText"/>
        <w:rPr>
          <w:rFonts w:cs="Times New Roman"/>
        </w:rPr>
      </w:pPr>
      <w:r>
        <w:rPr>
          <w:rStyle w:val="FootnoteReference"/>
          <w:rFonts w:cs="Times New Roman"/>
        </w:rPr>
        <w:footnoteRef/>
      </w:r>
      <w:r>
        <w:t xml:space="preserve"> </w:t>
      </w:r>
      <w:r>
        <w:tab/>
        <w:t xml:space="preserve">Daugiau informacijos pateikiama Toskanos regiono ombudsmeno interneto svetainėje adresu </w:t>
      </w:r>
      <w:hyperlink r:id="rId1" w:history="1">
        <w:r>
          <w:rPr>
            <w:rStyle w:val="Hyperlink"/>
          </w:rPr>
          <w:t>http://www.difensorecivicotoscana.it</w:t>
        </w:r>
      </w:hyperlink>
      <w:r>
        <w:t xml:space="preserve">. </w:t>
      </w:r>
    </w:p>
  </w:footnote>
  <w:footnote w:id="156">
    <w:p>
      <w:pPr>
        <w:pStyle w:val="FootnoteText"/>
        <w:rPr>
          <w:rFonts w:cs="Times New Roman"/>
        </w:rPr>
      </w:pPr>
      <w:r>
        <w:rPr>
          <w:rStyle w:val="FootnoteReference"/>
        </w:rPr>
        <w:footnoteRef/>
      </w:r>
      <w:r>
        <w:t xml:space="preserve"> </w:t>
      </w:r>
      <w:r>
        <w:tab/>
        <w:t>2020 m. teisinės valstybės principo taikymo ataskaita. Šalies skyrius: teisinės valstybės principo padėtis Italijoje, p. 16.</w:t>
      </w:r>
    </w:p>
  </w:footnote>
  <w:footnote w:id="157">
    <w:p>
      <w:pPr>
        <w:pStyle w:val="FootnoteText"/>
        <w:rPr>
          <w:rFonts w:cs="Times New Roman"/>
        </w:rPr>
      </w:pPr>
      <w:r>
        <w:rPr>
          <w:rStyle w:val="FootnoteReference"/>
          <w:rFonts w:cs="Times New Roman"/>
        </w:rPr>
        <w:footnoteRef/>
      </w:r>
      <w:r>
        <w:t xml:space="preserve"> </w:t>
      </w:r>
      <w:r>
        <w:tab/>
        <w:t>Iš Viešojo administravimo departamento ir Institucinių reformų departamento gauti atsakymai rengiant 2021 m. teisinės valstybės principo taikymo ataskaitą.</w:t>
      </w:r>
    </w:p>
  </w:footnote>
  <w:footnote w:id="158">
    <w:p>
      <w:pPr>
        <w:pStyle w:val="FootnoteText"/>
      </w:pPr>
      <w:r>
        <w:rPr>
          <w:rStyle w:val="FootnoteReference"/>
        </w:rPr>
        <w:footnoteRef/>
      </w:r>
      <w:r>
        <w:t xml:space="preserve"> </w:t>
      </w:r>
      <w:r>
        <w:tab/>
        <w:t xml:space="preserve">Palyginti su specialiomis interneto svetainėmis, skaitmeninės platformos padeda kviečiant teikti pasiūlymus, siūlyti idėjas ir teikti pastabas dėl dokumentų teksto, gerokai padidinti vienu metu dalyvaujančių interaktyvių naudotojų skaičių. </w:t>
      </w:r>
    </w:p>
  </w:footnote>
  <w:footnote w:id="159">
    <w:p>
      <w:pPr>
        <w:pStyle w:val="FootnoteText"/>
        <w:rPr>
          <w:rFonts w:cs="Times New Roman"/>
        </w:rPr>
      </w:pPr>
      <w:r>
        <w:rPr>
          <w:rStyle w:val="FootnoteReference"/>
          <w:rFonts w:cs="Times New Roman"/>
        </w:rPr>
        <w:footnoteRef/>
      </w:r>
      <w:r>
        <w:t xml:space="preserve"> </w:t>
      </w:r>
      <w:r>
        <w:tab/>
        <w:t>Naudotojai gali teikti pastabas dėl dokumento projekto ir matyti kitų dalyvių indėlį.</w:t>
      </w:r>
    </w:p>
  </w:footnote>
  <w:footnote w:id="160">
    <w:p>
      <w:pPr>
        <w:pStyle w:val="FootnoteText"/>
        <w:rPr>
          <w:rFonts w:cs="Times New Roman"/>
        </w:rPr>
      </w:pPr>
      <w:r>
        <w:rPr>
          <w:rStyle w:val="FootnoteReference"/>
          <w:rFonts w:cs="Times New Roman"/>
        </w:rPr>
        <w:footnoteRef/>
      </w:r>
      <w:r>
        <w:t xml:space="preserve"> </w:t>
      </w:r>
      <w:r>
        <w:tab/>
        <w:t>Pavyzdžiui, kalbant konkrečiai apie konsultacijas, vykusias platformoje „Partecipa“, 5 atvejais buvo paskelbtos galutinė konsultacijų proceso ataskaitos. Galutinėse ataskaitose pateikiama informacija apie iniciatyvų rezultatus (pvz., nurodomas respondentų skaičius, jų pateiktos informacijos turinys, o tam tikrais atvejais – viešojo administravimo institucijos grįžtamoji informacija apie tai, ar jos pritaria respondentų pateiktiems pasiūlymams).</w:t>
      </w:r>
    </w:p>
  </w:footnote>
  <w:footnote w:id="161">
    <w:p>
      <w:pPr>
        <w:pStyle w:val="FootnoteText"/>
        <w:rPr>
          <w:rFonts w:cs="Times New Roman"/>
        </w:rPr>
      </w:pPr>
      <w:r>
        <w:rPr>
          <w:rStyle w:val="FootnoteReference"/>
          <w:rFonts w:cs="Times New Roman"/>
        </w:rPr>
        <w:footnoteRef/>
      </w:r>
      <w:r>
        <w:t xml:space="preserve"> </w:t>
      </w:r>
      <w:r>
        <w:tab/>
        <w:t>Pavyzdžiui, pranešimus ir pastabas pateikiant e. paštu arba užpildant atitinkamas formas (apie 60 proc.) ar internetinius klausimynus (apie 20 proc.). Rečiau naudojamasi novatoriškesniais metodais, pavyzdžiui, internetiniais forumais (apie 15 proc.) ir internetinėmis pastabų teikimo priemonėmis (apie 5 proc.). Taip pat žr. viešoms konsultacijoms skirtą platformą „Consultazione“.</w:t>
      </w:r>
    </w:p>
  </w:footnote>
  <w:footnote w:id="162">
    <w:p>
      <w:pPr>
        <w:pStyle w:val="FootnoteText"/>
        <w:rPr>
          <w:rFonts w:cs="Times New Roman"/>
        </w:rPr>
      </w:pPr>
      <w:r>
        <w:rPr>
          <w:rStyle w:val="FootnoteReference"/>
          <w:rFonts w:cs="Times New Roman"/>
        </w:rPr>
        <w:footnoteRef/>
      </w:r>
      <w:r>
        <w:t xml:space="preserve"> </w:t>
      </w:r>
      <w:r>
        <w:tab/>
        <w:t xml:space="preserve">Iki šiol atlikti keturi </w:t>
      </w:r>
      <w:r>
        <w:rPr>
          <w:i/>
          <w:iCs/>
        </w:rPr>
        <w:t>ex post</w:t>
      </w:r>
      <w:r>
        <w:t xml:space="preserve"> vertinimai, iš jų vienas vertinimas atliktas 2020 m. ir trys vertinimai atlikti 2021 m. pirmąjį ketvirtį. </w:t>
      </w:r>
    </w:p>
  </w:footnote>
  <w:footnote w:id="163">
    <w:p>
      <w:pPr>
        <w:pStyle w:val="FootnoteText"/>
      </w:pPr>
      <w:r>
        <w:rPr>
          <w:rStyle w:val="FootnoteReference"/>
        </w:rPr>
        <w:footnoteRef/>
      </w:r>
      <w:r>
        <w:t xml:space="preserve"> </w:t>
      </w:r>
      <w:r>
        <w:tab/>
        <w:t xml:space="preserve">2021 m. gegužės 18 d. Įstatyminis dekretas Nr. 65. </w:t>
      </w:r>
    </w:p>
  </w:footnote>
  <w:footnote w:id="164">
    <w:p>
      <w:pPr>
        <w:pStyle w:val="FootnoteText"/>
        <w:rPr>
          <w:rFonts w:cs="Times New Roman"/>
        </w:rPr>
      </w:pPr>
      <w:r>
        <w:rPr>
          <w:rStyle w:val="FootnoteReference"/>
          <w:rFonts w:cs="Times New Roman"/>
        </w:rPr>
        <w:footnoteRef/>
      </w:r>
      <w:r>
        <w:t xml:space="preserve"> </w:t>
      </w:r>
      <w:r>
        <w:tab/>
        <w:t xml:space="preserve">Nuo 2020 m. vasario 25 d. iki 2021 m. kovo 31 d. buvo priimti 49 įstatyminiai dekretai. </w:t>
      </w:r>
    </w:p>
  </w:footnote>
  <w:footnote w:id="165">
    <w:p>
      <w:pPr>
        <w:pStyle w:val="FootnoteText"/>
        <w:rPr>
          <w:rFonts w:cs="Times New Roman"/>
        </w:rPr>
      </w:pPr>
      <w:r>
        <w:rPr>
          <w:rStyle w:val="FootnoteReference"/>
          <w:rFonts w:cs="Times New Roman"/>
        </w:rPr>
        <w:footnoteRef/>
      </w:r>
      <w:r>
        <w:t xml:space="preserve"> </w:t>
      </w:r>
      <w:r>
        <w:tab/>
        <w:t>Nuo 2020 m. vasario 25 d. iki 2021 m. kovo 31 d. buvo priimti 69 įstatymai ir 51 teisėkūros dekretas. Įstatyminiai dekretai yra įstatymo galią turintys skubos atvejais priimami Vyriausybės aktai, kurie Parlamento sprendimu per 60 dienų turi būti pakeisti įstatymais arba kitaip nustoja galioti.</w:t>
      </w:r>
    </w:p>
  </w:footnote>
  <w:footnote w:id="166">
    <w:p>
      <w:pPr>
        <w:pStyle w:val="FootnoteText"/>
        <w:rPr>
          <w:rFonts w:cs="Times New Roman"/>
        </w:rPr>
      </w:pPr>
      <w:r>
        <w:rPr>
          <w:rStyle w:val="FootnoteReference"/>
          <w:rFonts w:cs="Times New Roman"/>
        </w:rPr>
        <w:footnoteRef/>
      </w:r>
      <w:r>
        <w:t xml:space="preserve"> </w:t>
      </w:r>
      <w:r>
        <w:tab/>
        <w:t>Sveikatos apsaugos ministerija kas savaitę praneša Parlamentui epidemiologinių duomenų stebėsenos rezultatus. Pagal 2020 m. Įstatyminio dekreto Nr. 19 2 straipsnį apie Ministrų tarybos pirmininko priimtus dekretus Parlamento rūmams turi būti pranešama per dieną nuo jų paskelbimo.</w:t>
      </w:r>
    </w:p>
  </w:footnote>
  <w:footnote w:id="167">
    <w:p>
      <w:pPr>
        <w:pStyle w:val="FootnoteText"/>
        <w:rPr>
          <w:rFonts w:cs="Times New Roman"/>
        </w:rPr>
      </w:pPr>
      <w:r>
        <w:rPr>
          <w:rStyle w:val="FootnoteReference"/>
          <w:rFonts w:cs="Times New Roman"/>
        </w:rPr>
        <w:footnoteRef/>
      </w:r>
      <w:r>
        <w:t xml:space="preserve"> </w:t>
      </w:r>
      <w:r>
        <w:tab/>
        <w:t>COVID-19 epidemiologinės ekstremaliosios situacijos parlamentinę komisiją sudaro 10 Senato narių ir 10 Deputatų Rūmų narių.</w:t>
      </w:r>
    </w:p>
  </w:footnote>
  <w:footnote w:id="168">
    <w:p>
      <w:pPr>
        <w:pStyle w:val="FootnoteText"/>
        <w:rPr>
          <w:rFonts w:cs="Times New Roman"/>
        </w:rPr>
      </w:pPr>
      <w:r>
        <w:rPr>
          <w:rStyle w:val="FootnoteReference"/>
          <w:rFonts w:cs="Times New Roman"/>
        </w:rPr>
        <w:footnoteRef/>
      </w:r>
      <w:r>
        <w:t xml:space="preserve"> </w:t>
      </w:r>
      <w:r>
        <w:tab/>
        <w:t xml:space="preserve">Senato della Repubblica, XVIII Legislatura, </w:t>
      </w:r>
      <w:r>
        <w:rPr>
          <w:i/>
        </w:rPr>
        <w:t>Il 'Governo in Parlamento' in tempo di pandemia</w:t>
      </w:r>
      <w:r>
        <w:t xml:space="preserve">, </w:t>
      </w:r>
      <w:r>
        <w:rPr>
          <w:i/>
        </w:rPr>
        <w:t>Una proposta della Commissione Affari costituzionali del Senato</w:t>
      </w:r>
      <w:r>
        <w:t>, 2021 m. balandžio mėn.</w:t>
      </w:r>
    </w:p>
  </w:footnote>
  <w:footnote w:id="169">
    <w:p>
      <w:pPr>
        <w:pStyle w:val="FootnoteText"/>
        <w:rPr>
          <w:rFonts w:cs="Times New Roman"/>
        </w:rPr>
      </w:pPr>
      <w:r>
        <w:rPr>
          <w:rStyle w:val="FootnoteReference"/>
        </w:rPr>
        <w:footnoteRef/>
      </w:r>
      <w:r>
        <w:t xml:space="preserve"> </w:t>
      </w:r>
      <w:r>
        <w:tab/>
        <w:t xml:space="preserve">Pavyzdžiui, keletas skundų buvo susiję su veido kaukių dėvėjimu mokyklose ir moksliniais duomenimis apie pakankamą deguonies kiekį (Valstybės Taryba, 2021 m. balandžio 2 d. Dekretas Nr. 1804). Kiti skundai susiję su nuotoliniu mokymusi (Valstybės taryba, 2021 m. balandžio 7 d. Dekretas Nr. 1832, III skyrius, </w:t>
      </w:r>
      <w:r>
        <w:rPr>
          <w:i/>
        </w:rPr>
        <w:t>Pres. Est. Frattini</w:t>
      </w:r>
      <w:r>
        <w:t>).</w:t>
      </w:r>
    </w:p>
  </w:footnote>
  <w:footnote w:id="170">
    <w:p>
      <w:pPr>
        <w:pStyle w:val="FootnoteText"/>
      </w:pPr>
      <w:r>
        <w:rPr>
          <w:rStyle w:val="FootnoteReference"/>
        </w:rPr>
        <w:footnoteRef/>
      </w:r>
      <w:r>
        <w:t xml:space="preserve"> </w:t>
      </w:r>
      <w:r>
        <w:tab/>
        <w:t>Taip pat žr. 2020 m. teisinės valstybės principo taikymo ataskaitą (Šalies skyrius: teisinės valstybės principo padėtis Italijoje, p. 15).</w:t>
      </w:r>
    </w:p>
  </w:footnote>
  <w:footnote w:id="171">
    <w:p>
      <w:pPr>
        <w:pStyle w:val="FootnoteText"/>
      </w:pPr>
      <w:r>
        <w:rPr>
          <w:rStyle w:val="FootnoteReference"/>
        </w:rPr>
        <w:footnoteRef/>
      </w:r>
      <w:r>
        <w:t xml:space="preserve"> </w:t>
      </w:r>
      <w:r>
        <w:tab/>
        <w:t>Konstitucinis Teismas savo sprendime Nr. 278/2020 pažymėjo, kad trumpa trukmė atitinka pagrįstos teismo proceso trukmės principą ir kad priemonė pagrįsta tikslu apsaugoti visuomenės sveikatą.</w:t>
      </w:r>
    </w:p>
  </w:footnote>
  <w:footnote w:id="172">
    <w:p>
      <w:pPr>
        <w:pStyle w:val="FootnoteText"/>
        <w:rPr>
          <w:rFonts w:cs="Times New Roman"/>
        </w:rPr>
      </w:pPr>
      <w:r>
        <w:rPr>
          <w:rStyle w:val="FootnoteReference"/>
          <w:rFonts w:cs="Times New Roman"/>
        </w:rPr>
        <w:footnoteRef/>
      </w:r>
      <w:r>
        <w:t xml:space="preserve"> </w:t>
      </w:r>
      <w:r>
        <w:tab/>
        <w:t>2020 m. teisinės valstybės principo taikymo ataskaita. Šalies skyrius: teisinės valstybės principo padėtis Italijoje, p. 16.</w:t>
      </w:r>
    </w:p>
  </w:footnote>
  <w:footnote w:id="173">
    <w:p>
      <w:pPr>
        <w:pStyle w:val="FootnoteText"/>
        <w:rPr>
          <w:rFonts w:cs="Times New Roman"/>
        </w:rPr>
      </w:pPr>
      <w:r>
        <w:rPr>
          <w:rStyle w:val="FootnoteReference"/>
          <w:rFonts w:cs="Times New Roman"/>
        </w:rPr>
        <w:footnoteRef/>
      </w:r>
      <w:r>
        <w:t xml:space="preserve"> </w:t>
      </w:r>
      <w:r>
        <w:tab/>
        <w:t>Pavyzdžiui, 2021 m. sausio 25 d. Bocconio universitetas kartu su Europos Sąjungos pagrindinių teisių agentūra ir Italijos tarpžinybiniu žmogaus teisių komitetu (CIDU) surengė internetinį seminarą šiuo klausimu.</w:t>
      </w:r>
    </w:p>
  </w:footnote>
  <w:footnote w:id="174">
    <w:p>
      <w:pPr>
        <w:pStyle w:val="FootnoteText"/>
        <w:rPr>
          <w:rFonts w:cs="Times New Roman"/>
        </w:rPr>
      </w:pPr>
      <w:r>
        <w:rPr>
          <w:rStyle w:val="FootnoteReference"/>
          <w:rFonts w:cs="Times New Roman"/>
        </w:rPr>
        <w:footnoteRef/>
      </w:r>
      <w:r>
        <w:t xml:space="preserve"> </w:t>
      </w:r>
      <w:r>
        <w:tab/>
        <w:t xml:space="preserve">Deputatų Rūmai, parengiamieji darbai, susiję su pasiūlymo įsteigti Nepriklausomą nacionalinę žmogaus teisių instituciją projektu, </w:t>
      </w:r>
      <w:hyperlink r:id="rId2" w:history="1">
        <w:r>
          <w:rPr>
            <w:rStyle w:val="Hyperlink"/>
          </w:rPr>
          <w:t>https://www.camera.it/leg18/126?tab=4&amp;leg=18&amp;idDocumento=1323&amp;sede=&amp;tipo</w:t>
        </w:r>
      </w:hyperlink>
      <w:r>
        <w:rPr>
          <w:rStyle w:val="Hyperlink"/>
        </w:rPr>
        <w:t>.</w:t>
      </w:r>
    </w:p>
  </w:footnote>
  <w:footnote w:id="175">
    <w:p>
      <w:pPr>
        <w:pStyle w:val="FootnoteText"/>
      </w:pPr>
      <w:r>
        <w:rPr>
          <w:rStyle w:val="FootnoteReference"/>
        </w:rPr>
        <w:footnoteRef/>
      </w:r>
      <w:r>
        <w:t xml:space="preserve"> </w:t>
      </w:r>
      <w:r>
        <w:tab/>
        <w:t>Po 2019 m. gegužės mėn. vykusios Europos Tarybos Tarptautinių nevyriausybinių organizacijų konferencijos faktų nustatymo misijos į Italiją klausimu „Piliečių dalyvavimas sprendimų priėmimo procese“.</w:t>
      </w:r>
    </w:p>
  </w:footnote>
  <w:footnote w:id="176">
    <w:p>
      <w:pPr>
        <w:pStyle w:val="FootnoteText"/>
        <w:rPr>
          <w:rFonts w:cs="Times New Roman"/>
        </w:rPr>
      </w:pPr>
      <w:r>
        <w:rPr>
          <w:rStyle w:val="FootnoteReference"/>
          <w:rFonts w:cs="Times New Roman"/>
        </w:rPr>
        <w:footnoteRef/>
      </w:r>
      <w:r>
        <w:t xml:space="preserve"> </w:t>
      </w:r>
      <w:r>
        <w:tab/>
        <w:t>2020 m. spalio 21 d. Įstatyminis dekretas Nr. 130.</w:t>
      </w:r>
    </w:p>
  </w:footnote>
  <w:footnote w:id="177">
    <w:p>
      <w:pPr>
        <w:pStyle w:val="FootnoteText"/>
        <w:rPr>
          <w:rFonts w:cs="Times New Roman"/>
        </w:rPr>
      </w:pPr>
      <w:r>
        <w:rPr>
          <w:rStyle w:val="FootnoteReference"/>
          <w:rFonts w:cs="Times New Roman"/>
        </w:rPr>
        <w:footnoteRef/>
      </w:r>
      <w:r>
        <w:t xml:space="preserve"> </w:t>
      </w:r>
      <w:r>
        <w:tab/>
        <w:t>Dabar pagal šias nuostatas neleisti išsilaipinti Italijos uostuose galima tik tais atvejais, kurie pagrindžiami svariomis su viešuoju saugumu susijusiomis priežastimis, arba kai tokia veikla pažeidžiami kovos su prekyba žmonėmis teisės aktai. Pagal šį įstatymą taip pat nebeleidžiama konfiskuoti laivo, jeigu nepaisoma oficialaus atsisakymo leisti išsilaipinti Vizito į Italiją metu gauta informacija.</w:t>
      </w:r>
    </w:p>
  </w:footnote>
  <w:footnote w:id="178">
    <w:p>
      <w:pPr>
        <w:pStyle w:val="FootnoteText"/>
        <w:rPr>
          <w:rFonts w:cs="Times New Roman"/>
        </w:rPr>
      </w:pPr>
      <w:r>
        <w:rPr>
          <w:rStyle w:val="FootnoteReference"/>
          <w:rFonts w:cs="Times New Roman"/>
        </w:rPr>
        <w:footnoteRef/>
      </w:r>
      <w:r>
        <w:t xml:space="preserve"> </w:t>
      </w:r>
      <w:r>
        <w:tab/>
        <w:t xml:space="preserve">Tarpžinybinis </w:t>
      </w:r>
      <w:r>
        <w:rPr>
          <w:rStyle w:val="normaltextrun"/>
          <w:color w:val="000000"/>
          <w:bdr w:val="none" w:sz="0" w:space="0" w:color="auto" w:frame="1"/>
        </w:rPr>
        <w:t>žmogaus teisių komitetas (CIDU) pilietinę visuomenę</w:t>
      </w:r>
      <w:r>
        <w:t xml:space="preserve"> </w:t>
      </w:r>
      <w:r>
        <w:rPr>
          <w:rStyle w:val="normaltextrun"/>
          <w:color w:val="000000"/>
          <w:bdr w:val="none" w:sz="0" w:space="0" w:color="auto" w:frame="1"/>
        </w:rPr>
        <w:t xml:space="preserve">įtraukė į pirmojo Nacionalinio verslo ir žmogaus teisių veiksmų plano ir trečiojo bei ketvirtojo Nacionalinių moterų, taikos ir saugumo veiksmų planų, pagal kuriuos sudaryta Neribotos sudėties Rezoliucijos 1325 darbo grupė, rengimo procesą </w:t>
      </w:r>
      <w:r>
        <w:t>(iš Italijos gauti atsakymai rengiant 2021 m. teisinės valstybės principo taikymo ataskaitą). 2021 m. balandžio mėn., siekiant skatinti Vyriausybės narių ir piliečių dialogą ir atsakomybę, atnaujintas Atviros vyriausybės forumo darbas Vizito į Italiją metu gauta informacija.</w:t>
      </w:r>
    </w:p>
  </w:footnote>
  <w:footnote w:id="179">
    <w:p>
      <w:pPr>
        <w:pStyle w:val="FootnoteText"/>
      </w:pPr>
      <w:r>
        <w:rPr>
          <w:rStyle w:val="FootnoteReference"/>
        </w:rPr>
        <w:footnoteRef/>
      </w:r>
      <w:r>
        <w:t xml:space="preserve"> </w:t>
      </w:r>
      <w:r>
        <w:tab/>
        <w:t>2020 m. teisinės valstybės principo taikymo ataskaita. Šalies skyrius: teisinės valstybės principo padėtis Italijoje, p. 16.</w:t>
      </w:r>
    </w:p>
  </w:footnote>
  <w:footnote w:id="180">
    <w:p>
      <w:pPr>
        <w:pStyle w:val="FootnoteText"/>
      </w:pPr>
      <w:r>
        <w:rPr>
          <w:rStyle w:val="FootnoteReference"/>
        </w:rPr>
        <w:footnoteRef/>
      </w:r>
      <w:r>
        <w:t xml:space="preserve"> </w:t>
      </w:r>
      <w:r>
        <w:tab/>
        <w:t>2021 m. gegužės 19 d. bylą nutraukė ikiteisminio tyrimo teisėjas.</w:t>
      </w:r>
    </w:p>
  </w:footnote>
  <w:footnote w:id="181">
    <w:p>
      <w:pPr>
        <w:pStyle w:val="FootnoteText"/>
      </w:pPr>
      <w:r>
        <w:rPr>
          <w:rStyle w:val="FootnoteReference"/>
        </w:rPr>
        <w:footnoteRef/>
      </w:r>
      <w:r>
        <w:t xml:space="preserve"> </w:t>
      </w:r>
      <w:r>
        <w:tab/>
        <w:t>Dėl Europos Tarybos platformoje žurnalistikos apsaugai ir žurnalistų saugumui skatinti 2021 m. balandžio mėn. Italijai pateikto perspėjimo žr. III skyrių, p. 16. Taip pat žr. susijusį Trapanio prokuratūros 2016 m. atliktą baudžiamosios veikos tyrimą, apie kurį buvo paskelbta 2021 m. ir kurio metu buvo pradėta klausytis žurnalistų ir PVO pokalbių. 2021 m. balandžio mėn. Teisingumo ministerija pradėjo oficialius prokuratūros veiklos patikrinimus.</w:t>
      </w:r>
    </w:p>
  </w:footnote>
  <w:footnote w:id="182">
    <w:p>
      <w:pPr>
        <w:pStyle w:val="FootnoteText"/>
        <w:rPr>
          <w:rFonts w:cs="Times New Roman"/>
        </w:rPr>
      </w:pPr>
      <w:r>
        <w:rPr>
          <w:rStyle w:val="FootnoteReference"/>
          <w:rFonts w:cs="Times New Roman"/>
        </w:rPr>
        <w:footnoteRef/>
      </w:r>
      <w:r>
        <w:t xml:space="preserve"> </w:t>
      </w:r>
      <w:r>
        <w:tab/>
        <w:t>CIVICUS Italijai skirtas reitingas.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A68C3"/>
    <w:multiLevelType w:val="hybridMultilevel"/>
    <w:tmpl w:val="5D82DD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31205795"/>
    <w:multiLevelType w:val="hybridMultilevel"/>
    <w:tmpl w:val="1A9671E8"/>
    <w:lvl w:ilvl="0" w:tplc="ED36B4A8">
      <w:start w:val="1"/>
      <w:numFmt w:val="upperRoman"/>
      <w:lvlText w:val="%1."/>
      <w:lvlJc w:val="left"/>
      <w:pPr>
        <w:ind w:left="990" w:hanging="720"/>
      </w:pPr>
      <w:rPr>
        <w:rFonts w:hint="default"/>
        <w:u w:val="none"/>
      </w:rPr>
    </w:lvl>
    <w:lvl w:ilvl="1" w:tplc="040C0019">
      <w:start w:val="1"/>
      <w:numFmt w:val="lowerLetter"/>
      <w:lvlText w:val="%2."/>
      <w:lvlJc w:val="left"/>
      <w:pPr>
        <w:ind w:left="1350" w:hanging="360"/>
      </w:pPr>
    </w:lvl>
    <w:lvl w:ilvl="2" w:tplc="040C001B" w:tentative="1">
      <w:start w:val="1"/>
      <w:numFmt w:val="lowerRoman"/>
      <w:lvlText w:val="%3."/>
      <w:lvlJc w:val="right"/>
      <w:pPr>
        <w:ind w:left="2070" w:hanging="180"/>
      </w:pPr>
    </w:lvl>
    <w:lvl w:ilvl="3" w:tplc="040C000F" w:tentative="1">
      <w:start w:val="1"/>
      <w:numFmt w:val="decimal"/>
      <w:lvlText w:val="%4."/>
      <w:lvlJc w:val="left"/>
      <w:pPr>
        <w:ind w:left="2790" w:hanging="360"/>
      </w:pPr>
    </w:lvl>
    <w:lvl w:ilvl="4" w:tplc="040C0019" w:tentative="1">
      <w:start w:val="1"/>
      <w:numFmt w:val="lowerLetter"/>
      <w:lvlText w:val="%5."/>
      <w:lvlJc w:val="left"/>
      <w:pPr>
        <w:ind w:left="3510" w:hanging="360"/>
      </w:pPr>
    </w:lvl>
    <w:lvl w:ilvl="5" w:tplc="040C001B" w:tentative="1">
      <w:start w:val="1"/>
      <w:numFmt w:val="lowerRoman"/>
      <w:lvlText w:val="%6."/>
      <w:lvlJc w:val="right"/>
      <w:pPr>
        <w:ind w:left="4230" w:hanging="180"/>
      </w:pPr>
    </w:lvl>
    <w:lvl w:ilvl="6" w:tplc="040C000F" w:tentative="1">
      <w:start w:val="1"/>
      <w:numFmt w:val="decimal"/>
      <w:lvlText w:val="%7."/>
      <w:lvlJc w:val="left"/>
      <w:pPr>
        <w:ind w:left="4950" w:hanging="360"/>
      </w:pPr>
    </w:lvl>
    <w:lvl w:ilvl="7" w:tplc="040C0019" w:tentative="1">
      <w:start w:val="1"/>
      <w:numFmt w:val="lowerLetter"/>
      <w:lvlText w:val="%8."/>
      <w:lvlJc w:val="left"/>
      <w:pPr>
        <w:ind w:left="5670" w:hanging="360"/>
      </w:pPr>
    </w:lvl>
    <w:lvl w:ilvl="8" w:tplc="040C001B" w:tentative="1">
      <w:start w:val="1"/>
      <w:numFmt w:val="lowerRoman"/>
      <w:lvlText w:val="%9."/>
      <w:lvlJc w:val="right"/>
      <w:pPr>
        <w:ind w:left="6390" w:hanging="180"/>
      </w:pPr>
    </w:lvl>
  </w:abstractNum>
  <w:abstractNum w:abstractNumId="2">
    <w:nsid w:val="386A075F"/>
    <w:multiLevelType w:val="hybridMultilevel"/>
    <w:tmpl w:val="E500F7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4B3023E1"/>
    <w:multiLevelType w:val="hybridMultilevel"/>
    <w:tmpl w:val="6BA64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7ED7A03"/>
    <w:multiLevelType w:val="multilevel"/>
    <w:tmpl w:val="4EF0CD42"/>
    <w:lvl w:ilvl="0">
      <w:start w:val="1"/>
      <w:numFmt w:val="upperRoman"/>
      <w:pStyle w:val="Heading1"/>
      <w:lvlText w:val="%1."/>
      <w:lvlJc w:val="left"/>
      <w:pPr>
        <w:ind w:left="0" w:firstLine="0"/>
      </w:pPr>
    </w:lvl>
    <w:lvl w:ilvl="1">
      <w:start w:val="1"/>
      <w:numFmt w:val="upperLetter"/>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5">
    <w:nsid w:val="5F4B07E1"/>
    <w:multiLevelType w:val="hybridMultilevel"/>
    <w:tmpl w:val="E09EB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73B1E14"/>
    <w:multiLevelType w:val="hybridMultilevel"/>
    <w:tmpl w:val="5C3CEC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ctiveWritingStyle w:appName="MSWord" w:lang="fr-BE" w:vendorID="64" w:dllVersion="131078" w:nlCheck="1" w:checkStyle="0"/>
  <w:activeWritingStyle w:appName="MSWord" w:lang="en-GB" w:vendorID="64" w:dllVersion="131078" w:nlCheck="1" w:checkStyle="1"/>
  <w:activeWritingStyle w:appName="MSWord" w:lang="it-IT" w:vendorID="64" w:dllVersion="131078" w:nlCheck="1" w:checkStyle="0"/>
  <w:activeWritingStyle w:appName="MSWord" w:lang="en-US" w:vendorID="64" w:dllVersion="131078" w:nlCheck="1" w:checkStyle="1"/>
  <w:activeWritingStyle w:appName="MSWord" w:lang="en-IE" w:vendorID="64" w:dllVersion="131078" w:nlCheck="1" w:checkStyle="1"/>
  <w:defaultTabStop w:val="720"/>
  <w:hyphenationZone w:val="425"/>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ACCOMPAGNANT.CP" w:val="pridedamas prie"/>
    <w:docVar w:name="LW_CORRIGENDUM" w:val="&lt;UNUSED&gt;"/>
    <w:docVar w:name="LW_COVERPAGE_EXISTS" w:val="True"/>
    <w:docVar w:name="LW_COVERPAGE_GUID" w:val="DC62A1FC-F532-43BE-957F-606A8D7EF5FC"/>
    <w:docVar w:name="LW_COVERPAGE_TYPE" w:val="1"/>
    <w:docVar w:name="LW_CROSSREFERENCE" w:val="{COM(2021) 700 final} - {SWD(2021) 701 final} - {SWD(2021) 702 final} - {SWD(2021) 703 final} - {SWD(2021) 704 final} - {SWD(2021) 705 final} - {SWD(2021) 706 final} - {SWD(2021) 707 final} - {SWD(2021) 708 final} - {SWD(2021) 709 final} - {SWD(2021) 710 final} - {SWD(2021) 711 final} - {SWD(2021) 712 final} - {SWD(2021) 713 final} - {SWD(2021) 714 final} - {SWD(2021) 715 final} - {SWD(2021) 717 final} - {SWD(2021) 718 final} - {SWD(2021) 719 final} - {SWD(2021) 720 final} - {SWD(2021) 721 final} - {SWD(2021) 722 final} - {SWD(2021) 723 final} - {SWD(2021) 724 final} - {SWD(2021) 725 final} - {SWD(2021) 726 final} - {SWD(2021) 727 final}"/>
    <w:docVar w:name="LW_DocType" w:val="NORMAL"/>
    <w:docVar w:name="LW_EMISSION" w:val="2021 07 20"/>
    <w:docVar w:name="LW_EMISSION_ISODATE" w:val="2021-07-20"/>
    <w:docVar w:name="LW_EMISSION_LOCATION" w:val="BRX"/>
    <w:docVar w:name="LW_EMISSION_PREFIX" w:val="Briuselis, "/>
    <w:docVar w:name="LW_EMISSION_SUFFIX" w:val=" "/>
    <w:docVar w:name="LW_ID_DOCTYPE_NONLW" w:val="CP-025"/>
    <w:docVar w:name="LW_LANGUE" w:val="LT"/>
    <w:docVar w:name="LW_LEVEL_OF_SENSITIVITY" w:val="Standard treatment"/>
    <w:docVar w:name="LW_NOM.INST" w:val="EUROPOS KOMISIJA"/>
    <w:docVar w:name="LW_NOM.INST_JOINTDOC" w:val="&lt;EMPTY&gt;"/>
    <w:docVar w:name="LW_OBJETACTEPRINCIPAL.CP" w:val="2021\u8239?m. teisin\u279?s valstyb\u279?s principo taikymo ataskaita _x000b__x000b_Teisin\u279?s valstyb\u279?s principo taikymo pad\u279?tis Europos S\u261?jungoje] "/>
    <w:docVar w:name="LW_PART_NBR" w:val="1"/>
    <w:docVar w:name="LW_PART_NBR_TOTAL" w:val="1"/>
    <w:docVar w:name="LW_REF.INST.NEW" w:val="SWD"/>
    <w:docVar w:name="LW_REF.INST.NEW_ADOPTED" w:val="final"/>
    <w:docVar w:name="LW_REF.INST.NEW_TEXT" w:val="(2021) 716"/>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2021 m. teisin\u279?s valstyb\u279?s principo taikymo ataskaita_x000d__x000d__x000d__x000b_\u352?alies skyrius: teisin\u279?s valstyb\u279?s principo taikymo pad\u279?tis Italijoje"/>
    <w:docVar w:name="LW_TYPE.DOC.CP" w:val="KOMISIJOS TARNYB\u370? DARBINIS DOKUMENTAS"/>
    <w:docVar w:name="LW_TYPEACTEPRINCIPAL.CP" w:val="[KOMISIJOS KOMUNIKATO EUROPOS PARLAMENTUI, TARYBAI, EUROPOS EKONOMIKOS IR SOCIALINI\u370? REIKAL\u370? KOMITETUI IR REGION\u370? KOMITETUI "/>
    <w:docVar w:name="LwApiVersions" w:val="LW4CoDe 1.23.0.0; LW 8.0, Build 20210114"/>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40" w:line="240" w:lineRule="auto"/>
      <w:jc w:val="both"/>
    </w:pPr>
    <w:rPr>
      <w:rFonts w:ascii="Times New Roman" w:hAnsi="Times New Roman"/>
      <w:sz w:val="24"/>
    </w:rPr>
  </w:style>
  <w:style w:type="paragraph" w:styleId="Heading1">
    <w:name w:val="heading 1"/>
    <w:basedOn w:val="Normal"/>
    <w:next w:val="Normal"/>
    <w:link w:val="Heading1Char"/>
    <w:uiPriority w:val="9"/>
    <w:qFormat/>
    <w:pPr>
      <w:keepNext/>
      <w:numPr>
        <w:numId w:val="4"/>
      </w:numPr>
      <w:outlineLvl w:val="0"/>
    </w:pPr>
    <w:rPr>
      <w:rFonts w:eastAsia="Times New Roman" w:cs="Times New Roman"/>
      <w:b/>
      <w:smallCaps/>
      <w:szCs w:val="24"/>
      <w:u w:val="single"/>
      <w:lang w:eastAsia="fr-FR"/>
    </w:rPr>
  </w:style>
  <w:style w:type="paragraph" w:styleId="Heading2">
    <w:name w:val="heading 2"/>
    <w:basedOn w:val="Normal"/>
    <w:next w:val="Normal"/>
    <w:link w:val="Heading2Char"/>
    <w:uiPriority w:val="9"/>
    <w:unhideWhenUsed/>
    <w:qFormat/>
    <w:pPr>
      <w:keepNext/>
      <w:outlineLvl w:val="1"/>
    </w:pPr>
    <w:rPr>
      <w:rFonts w:eastAsia="Times New Roman" w:cs="Times New Roman"/>
      <w:b/>
      <w:szCs w:val="24"/>
      <w:lang w:eastAsia="en-GB"/>
    </w:rPr>
  </w:style>
  <w:style w:type="paragraph" w:styleId="Heading3">
    <w:name w:val="heading 3"/>
    <w:basedOn w:val="Normal"/>
    <w:next w:val="Normal"/>
    <w:link w:val="Heading3Char"/>
    <w:uiPriority w:val="9"/>
    <w:semiHidden/>
    <w:unhideWhenUsed/>
    <w:qFormat/>
    <w:pPr>
      <w:keepNext/>
      <w:keepLines/>
      <w:numPr>
        <w:ilvl w:val="2"/>
        <w:numId w:val="4"/>
      </w:numPr>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unhideWhenUsed/>
    <w:qFormat/>
    <w:pPr>
      <w:keepNext/>
      <w:keepLines/>
      <w:numPr>
        <w:ilvl w:val="3"/>
        <w:numId w:val="4"/>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pPr>
      <w:keepNext/>
      <w:keepLines/>
      <w:numPr>
        <w:ilvl w:val="4"/>
        <w:numId w:val="4"/>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pPr>
      <w:keepNext/>
      <w:keepLines/>
      <w:numPr>
        <w:ilvl w:val="5"/>
        <w:numId w:val="4"/>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pPr>
      <w:keepNext/>
      <w:keepLines/>
      <w:numPr>
        <w:ilvl w:val="6"/>
        <w:numId w:val="4"/>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style>
  <w:style w:type="paragraph" w:styleId="FootnoteText">
    <w:name w:val="footnote text"/>
    <w:basedOn w:val="Normal"/>
    <w:link w:val="FootnoteTextChar"/>
    <w:uiPriority w:val="99"/>
    <w:unhideWhenUsed/>
    <w:pPr>
      <w:spacing w:after="0"/>
      <w:ind w:left="284" w:hanging="284"/>
    </w:pPr>
    <w:rPr>
      <w:sz w:val="20"/>
      <w:szCs w:val="20"/>
    </w:rPr>
  </w:style>
  <w:style w:type="character" w:customStyle="1" w:styleId="FootnoteTextChar">
    <w:name w:val="Footnote Text Char"/>
    <w:basedOn w:val="DefaultParagraphFont"/>
    <w:link w:val="FootnoteText"/>
    <w:uiPriority w:val="99"/>
    <w:rPr>
      <w:rFonts w:ascii="Times New Roman" w:hAnsi="Times New Roman"/>
      <w:sz w:val="20"/>
      <w:szCs w:val="20"/>
    </w:rPr>
  </w:style>
  <w:style w:type="paragraph" w:styleId="Header">
    <w:name w:val="header"/>
    <w:basedOn w:val="Normal"/>
    <w:link w:val="HeaderChar"/>
    <w:uiPriority w:val="99"/>
    <w:unhideWhenUsed/>
    <w:pPr>
      <w:tabs>
        <w:tab w:val="center" w:pos="4680"/>
        <w:tab w:val="right" w:pos="9360"/>
      </w:tabs>
      <w:spacing w:after="0"/>
    </w:pPr>
  </w:style>
  <w:style w:type="character" w:customStyle="1" w:styleId="HeaderChar">
    <w:name w:val="Header Char"/>
    <w:basedOn w:val="DefaultParagraphFont"/>
    <w:link w:val="Header"/>
    <w:uiPriority w:val="99"/>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sz w:val="20"/>
      <w:szCs w:val="20"/>
    </w:rPr>
  </w:style>
  <w:style w:type="paragraph" w:styleId="BalloonText">
    <w:name w:val="Balloon Text"/>
    <w:basedOn w:val="Normal"/>
    <w:link w:val="BalloonTextChar"/>
    <w:uiPriority w:val="99"/>
    <w:semiHidden/>
    <w:unhideWhenUse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FootnoteReference">
    <w:name w:val="footnote reference"/>
    <w:aliases w:val="16 Point,Superscript 6 Point,Footnote Reference Number,Footnote Reference_LVL6,Footnote Reference_LVL61,Footnote Reference_LVL62,Footnote Reference_LVL63,Footnote Reference_LVL64,Footnote call,BVI fnr,SUPERS,Footnote symbol,Przypis,fr"/>
    <w:basedOn w:val="DefaultParagraphFont"/>
    <w:link w:val="ftrefCharCharCharCharCharCharCharCharChar"/>
    <w:uiPriority w:val="99"/>
    <w:unhideWhenUsed/>
    <w:qFormat/>
    <w:rPr>
      <w:vertAlign w:val="superscript"/>
    </w:rPr>
  </w:style>
  <w:style w:type="paragraph" w:styleId="Title">
    <w:name w:val="Title"/>
    <w:basedOn w:val="Normal"/>
    <w:next w:val="Normal"/>
    <w:link w:val="TitleChar"/>
    <w:uiPriority w:val="10"/>
    <w:qFormat/>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table" w:customStyle="1" w:styleId="GridTable7Colorful-Accent61">
    <w:name w:val="Grid Table 7 Colorful - Accent 61"/>
    <w:basedOn w:val="TableNormal"/>
    <w:uiPriority w:val="52"/>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eading1Char">
    <w:name w:val="Heading 1 Char"/>
    <w:basedOn w:val="DefaultParagraphFont"/>
    <w:link w:val="Heading1"/>
    <w:uiPriority w:val="9"/>
    <w:rPr>
      <w:rFonts w:ascii="Times New Roman" w:eastAsia="Times New Roman" w:hAnsi="Times New Roman" w:cs="Times New Roman"/>
      <w:b/>
      <w:smallCaps/>
      <w:sz w:val="24"/>
      <w:szCs w:val="24"/>
      <w:u w:val="single"/>
      <w:lang w:val="lt-LT" w:eastAsia="fr-FR"/>
    </w:rPr>
  </w:style>
  <w:style w:type="character" w:customStyle="1" w:styleId="Heading2Char">
    <w:name w:val="Heading 2 Char"/>
    <w:basedOn w:val="DefaultParagraphFont"/>
    <w:link w:val="Heading2"/>
    <w:uiPriority w:val="9"/>
    <w:rPr>
      <w:rFonts w:ascii="Times New Roman" w:eastAsia="Times New Roman" w:hAnsi="Times New Roman" w:cs="Times New Roman"/>
      <w:b/>
      <w:sz w:val="24"/>
      <w:szCs w:val="24"/>
      <w:lang w:val="lt-LT" w:eastAsia="en-GB"/>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21"/>
      <w:szCs w:val="21"/>
    </w:rPr>
  </w:style>
  <w:style w:type="paragraph" w:customStyle="1" w:styleId="FootnoteRoLReport">
    <w:name w:val="Footnote RoL Report"/>
    <w:basedOn w:val="FootnoteText"/>
    <w:link w:val="FootnoteRoLReportChar"/>
    <w:autoRedefine/>
    <w:qFormat/>
    <w:pPr>
      <w:outlineLvl w:val="0"/>
    </w:pPr>
  </w:style>
  <w:style w:type="character" w:customStyle="1" w:styleId="FootnoteRoLReportChar">
    <w:name w:val="Footnote RoL Report Char"/>
    <w:basedOn w:val="FootnoteTextChar"/>
    <w:link w:val="FootnoteRoLReport"/>
    <w:rPr>
      <w:rFonts w:ascii="Times New Roman" w:hAnsi="Times New Roman"/>
      <w:sz w:val="20"/>
      <w:szCs w:val="20"/>
    </w:rPr>
  </w:style>
  <w:style w:type="character" w:styleId="Hyperlink">
    <w:name w:val="Hyperlink"/>
    <w:basedOn w:val="DefaultParagraphFont"/>
    <w:uiPriority w:val="99"/>
    <w:unhideWhenUsed/>
    <w:rPr>
      <w:color w:val="0563C1" w:themeColor="hyperlink"/>
      <w:u w:val="single"/>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pPr>
      <w:spacing w:after="160" w:line="240" w:lineRule="exact"/>
    </w:pPr>
    <w:rPr>
      <w:rFonts w:asciiTheme="minorHAnsi" w:hAnsiTheme="minorHAnsi"/>
      <w:sz w:val="22"/>
      <w:vertAlign w:val="superscript"/>
    </w:rPr>
  </w:style>
  <w:style w:type="character" w:customStyle="1" w:styleId="normaltextrun">
    <w:name w:val="normaltextrun"/>
    <w:basedOn w:val="DefaultParagraphFont"/>
  </w:style>
  <w:style w:type="character" w:styleId="FollowedHyperlink">
    <w:name w:val="FollowedHyperlink"/>
    <w:basedOn w:val="DefaultParagraphFont"/>
    <w:uiPriority w:val="99"/>
    <w:semiHidden/>
    <w:unhideWhenUsed/>
    <w:rPr>
      <w:color w:val="954F72" w:themeColor="followedHyperlink"/>
      <w:u w:val="single"/>
    </w:rPr>
  </w:style>
  <w:style w:type="paragraph" w:styleId="ListParagraph">
    <w:name w:val="List Paragraph"/>
    <w:basedOn w:val="Normal"/>
    <w:uiPriority w:val="34"/>
    <w:qFormat/>
    <w:pPr>
      <w:ind w:left="720"/>
      <w:contextualSpacing/>
    </w:pPr>
  </w:style>
  <w:style w:type="character" w:customStyle="1" w:styleId="eop">
    <w:name w:val="eop"/>
    <w:basedOn w:val="DefaultParagraphFont"/>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b/>
      <w:bCs/>
      <w:sz w:val="20"/>
      <w:szCs w:val="20"/>
    </w:rPr>
  </w:style>
  <w:style w:type="paragraph" w:styleId="Revision">
    <w:name w:val="Revision"/>
    <w:hidden/>
    <w:uiPriority w:val="99"/>
    <w:semiHidden/>
    <w:pPr>
      <w:spacing w:after="0" w:line="240" w:lineRule="auto"/>
    </w:pPr>
    <w:rPr>
      <w:rFonts w:ascii="Times New Roman" w:hAnsi="Times New Roman"/>
      <w:sz w:val="24"/>
    </w:rPr>
  </w:style>
  <w:style w:type="paragraph" w:styleId="HTMLPreformatted">
    <w:name w:val="HTML Preformatted"/>
    <w:basedOn w:val="Normal"/>
    <w:link w:val="HTMLPreformattedChar"/>
    <w:uiPriority w:val="99"/>
    <w:semiHidden/>
    <w:unhideWhenUsed/>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Pr>
      <w:rFonts w:ascii="Consolas" w:hAnsi="Consolas"/>
      <w:sz w:val="20"/>
      <w:szCs w:val="20"/>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pPr>
    <w:rPr>
      <w:rFonts w:cs="Times New Roman"/>
    </w:rPr>
  </w:style>
  <w:style w:type="paragraph" w:customStyle="1" w:styleId="FooterCoverPage">
    <w:name w:val="Footer Cover Page"/>
    <w:basedOn w:val="Normal"/>
    <w:link w:val="FooterCoverPageChar"/>
    <w:pPr>
      <w:pBdr>
        <w:top w:val="single" w:sz="4" w:space="1" w:color="auto"/>
        <w:left w:val="single" w:sz="4" w:space="4" w:color="auto"/>
        <w:bottom w:val="single" w:sz="4" w:space="17" w:color="auto"/>
        <w:right w:val="single" w:sz="4" w:space="4" w:color="auto"/>
      </w:pBdr>
      <w:tabs>
        <w:tab w:val="center" w:pos="4535"/>
        <w:tab w:val="right" w:pos="9071"/>
        <w:tab w:val="right" w:pos="9921"/>
      </w:tabs>
      <w:spacing w:before="360" w:after="0"/>
      <w:ind w:left="-850" w:right="-850"/>
      <w:jc w:val="left"/>
    </w:pPr>
  </w:style>
  <w:style w:type="character" w:customStyle="1" w:styleId="FooterCoverPageChar">
    <w:name w:val="Footer Cover Page Char"/>
    <w:basedOn w:val="DefaultParagraphFont"/>
    <w:link w:val="FooterCoverPage"/>
    <w:rPr>
      <w:rFonts w:ascii="Times New Roman" w:hAnsi="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DefaultParagraphFont"/>
    <w:link w:val="FooterSensitivity"/>
    <w:rPr>
      <w:rFonts w:ascii="Times New Roman" w:hAnsi="Times New Roman"/>
      <w:b/>
      <w:sz w:val="32"/>
    </w:rPr>
  </w:style>
  <w:style w:type="paragraph" w:customStyle="1" w:styleId="HeaderCoverPage">
    <w:name w:val="Header Cover Page"/>
    <w:basedOn w:val="Normal"/>
    <w:link w:val="HeaderCoverPageChar"/>
    <w:pPr>
      <w:pBdr>
        <w:top w:val="single" w:sz="4" w:space="1" w:color="auto"/>
        <w:left w:val="single" w:sz="4" w:space="4" w:color="auto"/>
        <w:bottom w:val="single" w:sz="4" w:space="17" w:color="auto"/>
        <w:right w:val="single" w:sz="4" w:space="4" w:color="auto"/>
      </w:pBdr>
      <w:tabs>
        <w:tab w:val="center" w:pos="4535"/>
        <w:tab w:val="right" w:pos="9071"/>
      </w:tabs>
      <w:spacing w:after="120"/>
    </w:pPr>
  </w:style>
  <w:style w:type="character" w:customStyle="1" w:styleId="HeaderCoverPageChar">
    <w:name w:val="Header Cover Page Char"/>
    <w:basedOn w:val="DefaultParagraphFont"/>
    <w:link w:val="HeaderCoverPage"/>
    <w:rPr>
      <w:rFonts w:ascii="Times New Roman" w:hAnsi="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DefaultParagraphFont"/>
    <w:link w:val="HeaderSensitivity"/>
    <w:rPr>
      <w:rFonts w:ascii="Times New Roman" w:hAnsi="Times New Roman"/>
      <w:b/>
      <w:sz w:val="32"/>
    </w:rPr>
  </w:style>
  <w:style w:type="paragraph" w:customStyle="1" w:styleId="HeaderSensitivityRight">
    <w:name w:val="Header Sensitivity Right"/>
    <w:basedOn w:val="Normal"/>
    <w:link w:val="HeaderSensitivityRightChar"/>
    <w:pPr>
      <w:pBdr>
        <w:top w:val="single" w:sz="4" w:space="1" w:color="auto"/>
        <w:left w:val="single" w:sz="4" w:space="4" w:color="auto"/>
        <w:bottom w:val="single" w:sz="4" w:space="17" w:color="auto"/>
        <w:right w:val="single" w:sz="4" w:space="4" w:color="auto"/>
      </w:pBdr>
      <w:spacing w:after="120"/>
      <w:jc w:val="right"/>
    </w:pPr>
    <w:rPr>
      <w:sz w:val="28"/>
    </w:rPr>
  </w:style>
  <w:style w:type="character" w:customStyle="1" w:styleId="HeaderSensitivityRightChar">
    <w:name w:val="Header Sensitivity Right Char"/>
    <w:basedOn w:val="DefaultParagraphFont"/>
    <w:link w:val="HeaderSensitivityRight"/>
    <w:rPr>
      <w:rFonts w:ascii="Times New Roman" w:hAnsi="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40" w:line="240" w:lineRule="auto"/>
      <w:jc w:val="both"/>
    </w:pPr>
    <w:rPr>
      <w:rFonts w:ascii="Times New Roman" w:hAnsi="Times New Roman"/>
      <w:sz w:val="24"/>
    </w:rPr>
  </w:style>
  <w:style w:type="paragraph" w:styleId="Heading1">
    <w:name w:val="heading 1"/>
    <w:basedOn w:val="Normal"/>
    <w:next w:val="Normal"/>
    <w:link w:val="Heading1Char"/>
    <w:uiPriority w:val="9"/>
    <w:qFormat/>
    <w:pPr>
      <w:keepNext/>
      <w:numPr>
        <w:numId w:val="4"/>
      </w:numPr>
      <w:outlineLvl w:val="0"/>
    </w:pPr>
    <w:rPr>
      <w:rFonts w:eastAsia="Times New Roman" w:cs="Times New Roman"/>
      <w:b/>
      <w:smallCaps/>
      <w:szCs w:val="24"/>
      <w:u w:val="single"/>
      <w:lang w:eastAsia="fr-FR"/>
    </w:rPr>
  </w:style>
  <w:style w:type="paragraph" w:styleId="Heading2">
    <w:name w:val="heading 2"/>
    <w:basedOn w:val="Normal"/>
    <w:next w:val="Normal"/>
    <w:link w:val="Heading2Char"/>
    <w:uiPriority w:val="9"/>
    <w:unhideWhenUsed/>
    <w:qFormat/>
    <w:pPr>
      <w:keepNext/>
      <w:outlineLvl w:val="1"/>
    </w:pPr>
    <w:rPr>
      <w:rFonts w:eastAsia="Times New Roman" w:cs="Times New Roman"/>
      <w:b/>
      <w:szCs w:val="24"/>
      <w:lang w:eastAsia="en-GB"/>
    </w:rPr>
  </w:style>
  <w:style w:type="paragraph" w:styleId="Heading3">
    <w:name w:val="heading 3"/>
    <w:basedOn w:val="Normal"/>
    <w:next w:val="Normal"/>
    <w:link w:val="Heading3Char"/>
    <w:uiPriority w:val="9"/>
    <w:semiHidden/>
    <w:unhideWhenUsed/>
    <w:qFormat/>
    <w:pPr>
      <w:keepNext/>
      <w:keepLines/>
      <w:numPr>
        <w:ilvl w:val="2"/>
        <w:numId w:val="4"/>
      </w:numPr>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unhideWhenUsed/>
    <w:qFormat/>
    <w:pPr>
      <w:keepNext/>
      <w:keepLines/>
      <w:numPr>
        <w:ilvl w:val="3"/>
        <w:numId w:val="4"/>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pPr>
      <w:keepNext/>
      <w:keepLines/>
      <w:numPr>
        <w:ilvl w:val="4"/>
        <w:numId w:val="4"/>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pPr>
      <w:keepNext/>
      <w:keepLines/>
      <w:numPr>
        <w:ilvl w:val="5"/>
        <w:numId w:val="4"/>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pPr>
      <w:keepNext/>
      <w:keepLines/>
      <w:numPr>
        <w:ilvl w:val="6"/>
        <w:numId w:val="4"/>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style>
  <w:style w:type="paragraph" w:styleId="FootnoteText">
    <w:name w:val="footnote text"/>
    <w:basedOn w:val="Normal"/>
    <w:link w:val="FootnoteTextChar"/>
    <w:uiPriority w:val="99"/>
    <w:unhideWhenUsed/>
    <w:pPr>
      <w:spacing w:after="0"/>
      <w:ind w:left="284" w:hanging="284"/>
    </w:pPr>
    <w:rPr>
      <w:sz w:val="20"/>
      <w:szCs w:val="20"/>
    </w:rPr>
  </w:style>
  <w:style w:type="character" w:customStyle="1" w:styleId="FootnoteTextChar">
    <w:name w:val="Footnote Text Char"/>
    <w:basedOn w:val="DefaultParagraphFont"/>
    <w:link w:val="FootnoteText"/>
    <w:uiPriority w:val="99"/>
    <w:rPr>
      <w:rFonts w:ascii="Times New Roman" w:hAnsi="Times New Roman"/>
      <w:sz w:val="20"/>
      <w:szCs w:val="20"/>
    </w:rPr>
  </w:style>
  <w:style w:type="paragraph" w:styleId="Header">
    <w:name w:val="header"/>
    <w:basedOn w:val="Normal"/>
    <w:link w:val="HeaderChar"/>
    <w:uiPriority w:val="99"/>
    <w:unhideWhenUsed/>
    <w:pPr>
      <w:tabs>
        <w:tab w:val="center" w:pos="4680"/>
        <w:tab w:val="right" w:pos="9360"/>
      </w:tabs>
      <w:spacing w:after="0"/>
    </w:pPr>
  </w:style>
  <w:style w:type="character" w:customStyle="1" w:styleId="HeaderChar">
    <w:name w:val="Header Char"/>
    <w:basedOn w:val="DefaultParagraphFont"/>
    <w:link w:val="Header"/>
    <w:uiPriority w:val="99"/>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sz w:val="20"/>
      <w:szCs w:val="20"/>
    </w:rPr>
  </w:style>
  <w:style w:type="paragraph" w:styleId="BalloonText">
    <w:name w:val="Balloon Text"/>
    <w:basedOn w:val="Normal"/>
    <w:link w:val="BalloonTextChar"/>
    <w:uiPriority w:val="99"/>
    <w:semiHidden/>
    <w:unhideWhenUse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FootnoteReference">
    <w:name w:val="footnote reference"/>
    <w:aliases w:val="16 Point,Superscript 6 Point,Footnote Reference Number,Footnote Reference_LVL6,Footnote Reference_LVL61,Footnote Reference_LVL62,Footnote Reference_LVL63,Footnote Reference_LVL64,Footnote call,BVI fnr,SUPERS,Footnote symbol,Przypis,fr"/>
    <w:basedOn w:val="DefaultParagraphFont"/>
    <w:link w:val="ftrefCharCharCharCharCharCharCharCharChar"/>
    <w:uiPriority w:val="99"/>
    <w:unhideWhenUsed/>
    <w:qFormat/>
    <w:rPr>
      <w:vertAlign w:val="superscript"/>
    </w:rPr>
  </w:style>
  <w:style w:type="paragraph" w:styleId="Title">
    <w:name w:val="Title"/>
    <w:basedOn w:val="Normal"/>
    <w:next w:val="Normal"/>
    <w:link w:val="TitleChar"/>
    <w:uiPriority w:val="10"/>
    <w:qFormat/>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table" w:customStyle="1" w:styleId="GridTable7Colorful-Accent61">
    <w:name w:val="Grid Table 7 Colorful - Accent 61"/>
    <w:basedOn w:val="TableNormal"/>
    <w:uiPriority w:val="52"/>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eading1Char">
    <w:name w:val="Heading 1 Char"/>
    <w:basedOn w:val="DefaultParagraphFont"/>
    <w:link w:val="Heading1"/>
    <w:uiPriority w:val="9"/>
    <w:rPr>
      <w:rFonts w:ascii="Times New Roman" w:eastAsia="Times New Roman" w:hAnsi="Times New Roman" w:cs="Times New Roman"/>
      <w:b/>
      <w:smallCaps/>
      <w:sz w:val="24"/>
      <w:szCs w:val="24"/>
      <w:u w:val="single"/>
      <w:lang w:val="lt-LT" w:eastAsia="fr-FR"/>
    </w:rPr>
  </w:style>
  <w:style w:type="character" w:customStyle="1" w:styleId="Heading2Char">
    <w:name w:val="Heading 2 Char"/>
    <w:basedOn w:val="DefaultParagraphFont"/>
    <w:link w:val="Heading2"/>
    <w:uiPriority w:val="9"/>
    <w:rPr>
      <w:rFonts w:ascii="Times New Roman" w:eastAsia="Times New Roman" w:hAnsi="Times New Roman" w:cs="Times New Roman"/>
      <w:b/>
      <w:sz w:val="24"/>
      <w:szCs w:val="24"/>
      <w:lang w:val="lt-LT" w:eastAsia="en-GB"/>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21"/>
      <w:szCs w:val="21"/>
    </w:rPr>
  </w:style>
  <w:style w:type="paragraph" w:customStyle="1" w:styleId="FootnoteRoLReport">
    <w:name w:val="Footnote RoL Report"/>
    <w:basedOn w:val="FootnoteText"/>
    <w:link w:val="FootnoteRoLReportChar"/>
    <w:autoRedefine/>
    <w:qFormat/>
    <w:pPr>
      <w:outlineLvl w:val="0"/>
    </w:pPr>
  </w:style>
  <w:style w:type="character" w:customStyle="1" w:styleId="FootnoteRoLReportChar">
    <w:name w:val="Footnote RoL Report Char"/>
    <w:basedOn w:val="FootnoteTextChar"/>
    <w:link w:val="FootnoteRoLReport"/>
    <w:rPr>
      <w:rFonts w:ascii="Times New Roman" w:hAnsi="Times New Roman"/>
      <w:sz w:val="20"/>
      <w:szCs w:val="20"/>
    </w:rPr>
  </w:style>
  <w:style w:type="character" w:styleId="Hyperlink">
    <w:name w:val="Hyperlink"/>
    <w:basedOn w:val="DefaultParagraphFont"/>
    <w:uiPriority w:val="99"/>
    <w:unhideWhenUsed/>
    <w:rPr>
      <w:color w:val="0563C1" w:themeColor="hyperlink"/>
      <w:u w:val="single"/>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pPr>
      <w:spacing w:after="160" w:line="240" w:lineRule="exact"/>
    </w:pPr>
    <w:rPr>
      <w:rFonts w:asciiTheme="minorHAnsi" w:hAnsiTheme="minorHAnsi"/>
      <w:sz w:val="22"/>
      <w:vertAlign w:val="superscript"/>
    </w:rPr>
  </w:style>
  <w:style w:type="character" w:customStyle="1" w:styleId="normaltextrun">
    <w:name w:val="normaltextrun"/>
    <w:basedOn w:val="DefaultParagraphFont"/>
  </w:style>
  <w:style w:type="character" w:styleId="FollowedHyperlink">
    <w:name w:val="FollowedHyperlink"/>
    <w:basedOn w:val="DefaultParagraphFont"/>
    <w:uiPriority w:val="99"/>
    <w:semiHidden/>
    <w:unhideWhenUsed/>
    <w:rPr>
      <w:color w:val="954F72" w:themeColor="followedHyperlink"/>
      <w:u w:val="single"/>
    </w:rPr>
  </w:style>
  <w:style w:type="paragraph" w:styleId="ListParagraph">
    <w:name w:val="List Paragraph"/>
    <w:basedOn w:val="Normal"/>
    <w:uiPriority w:val="34"/>
    <w:qFormat/>
    <w:pPr>
      <w:ind w:left="720"/>
      <w:contextualSpacing/>
    </w:pPr>
  </w:style>
  <w:style w:type="character" w:customStyle="1" w:styleId="eop">
    <w:name w:val="eop"/>
    <w:basedOn w:val="DefaultParagraphFont"/>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b/>
      <w:bCs/>
      <w:sz w:val="20"/>
      <w:szCs w:val="20"/>
    </w:rPr>
  </w:style>
  <w:style w:type="paragraph" w:styleId="Revision">
    <w:name w:val="Revision"/>
    <w:hidden/>
    <w:uiPriority w:val="99"/>
    <w:semiHidden/>
    <w:pPr>
      <w:spacing w:after="0" w:line="240" w:lineRule="auto"/>
    </w:pPr>
    <w:rPr>
      <w:rFonts w:ascii="Times New Roman" w:hAnsi="Times New Roman"/>
      <w:sz w:val="24"/>
    </w:rPr>
  </w:style>
  <w:style w:type="paragraph" w:styleId="HTMLPreformatted">
    <w:name w:val="HTML Preformatted"/>
    <w:basedOn w:val="Normal"/>
    <w:link w:val="HTMLPreformattedChar"/>
    <w:uiPriority w:val="99"/>
    <w:semiHidden/>
    <w:unhideWhenUsed/>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Pr>
      <w:rFonts w:ascii="Consolas" w:hAnsi="Consolas"/>
      <w:sz w:val="20"/>
      <w:szCs w:val="20"/>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pPr>
    <w:rPr>
      <w:rFonts w:cs="Times New Roman"/>
    </w:rPr>
  </w:style>
  <w:style w:type="paragraph" w:customStyle="1" w:styleId="FooterCoverPage">
    <w:name w:val="Footer Cover Page"/>
    <w:basedOn w:val="Normal"/>
    <w:link w:val="FooterCoverPageChar"/>
    <w:pPr>
      <w:pBdr>
        <w:top w:val="single" w:sz="4" w:space="1" w:color="auto"/>
        <w:left w:val="single" w:sz="4" w:space="4" w:color="auto"/>
        <w:bottom w:val="single" w:sz="4" w:space="17" w:color="auto"/>
        <w:right w:val="single" w:sz="4" w:space="4" w:color="auto"/>
      </w:pBdr>
      <w:tabs>
        <w:tab w:val="center" w:pos="4535"/>
        <w:tab w:val="right" w:pos="9071"/>
        <w:tab w:val="right" w:pos="9921"/>
      </w:tabs>
      <w:spacing w:before="360" w:after="0"/>
      <w:ind w:left="-850" w:right="-850"/>
      <w:jc w:val="left"/>
    </w:pPr>
  </w:style>
  <w:style w:type="character" w:customStyle="1" w:styleId="FooterCoverPageChar">
    <w:name w:val="Footer Cover Page Char"/>
    <w:basedOn w:val="DefaultParagraphFont"/>
    <w:link w:val="FooterCoverPage"/>
    <w:rPr>
      <w:rFonts w:ascii="Times New Roman" w:hAnsi="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DefaultParagraphFont"/>
    <w:link w:val="FooterSensitivity"/>
    <w:rPr>
      <w:rFonts w:ascii="Times New Roman" w:hAnsi="Times New Roman"/>
      <w:b/>
      <w:sz w:val="32"/>
    </w:rPr>
  </w:style>
  <w:style w:type="paragraph" w:customStyle="1" w:styleId="HeaderCoverPage">
    <w:name w:val="Header Cover Page"/>
    <w:basedOn w:val="Normal"/>
    <w:link w:val="HeaderCoverPageChar"/>
    <w:pPr>
      <w:pBdr>
        <w:top w:val="single" w:sz="4" w:space="1" w:color="auto"/>
        <w:left w:val="single" w:sz="4" w:space="4" w:color="auto"/>
        <w:bottom w:val="single" w:sz="4" w:space="17" w:color="auto"/>
        <w:right w:val="single" w:sz="4" w:space="4" w:color="auto"/>
      </w:pBdr>
      <w:tabs>
        <w:tab w:val="center" w:pos="4535"/>
        <w:tab w:val="right" w:pos="9071"/>
      </w:tabs>
      <w:spacing w:after="120"/>
    </w:pPr>
  </w:style>
  <w:style w:type="character" w:customStyle="1" w:styleId="HeaderCoverPageChar">
    <w:name w:val="Header Cover Page Char"/>
    <w:basedOn w:val="DefaultParagraphFont"/>
    <w:link w:val="HeaderCoverPage"/>
    <w:rPr>
      <w:rFonts w:ascii="Times New Roman" w:hAnsi="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DefaultParagraphFont"/>
    <w:link w:val="HeaderSensitivity"/>
    <w:rPr>
      <w:rFonts w:ascii="Times New Roman" w:hAnsi="Times New Roman"/>
      <w:b/>
      <w:sz w:val="32"/>
    </w:rPr>
  </w:style>
  <w:style w:type="paragraph" w:customStyle="1" w:styleId="HeaderSensitivityRight">
    <w:name w:val="Header Sensitivity Right"/>
    <w:basedOn w:val="Normal"/>
    <w:link w:val="HeaderSensitivityRightChar"/>
    <w:pPr>
      <w:pBdr>
        <w:top w:val="single" w:sz="4" w:space="1" w:color="auto"/>
        <w:left w:val="single" w:sz="4" w:space="4" w:color="auto"/>
        <w:bottom w:val="single" w:sz="4" w:space="17" w:color="auto"/>
        <w:right w:val="single" w:sz="4" w:space="4" w:color="auto"/>
      </w:pBdr>
      <w:spacing w:after="120"/>
      <w:jc w:val="right"/>
    </w:pPr>
    <w:rPr>
      <w:sz w:val="28"/>
    </w:rPr>
  </w:style>
  <w:style w:type="character" w:customStyle="1" w:styleId="HeaderSensitivityRightChar">
    <w:name w:val="Header Sensitivity Right Char"/>
    <w:basedOn w:val="DefaultParagraphFont"/>
    <w:link w:val="HeaderSensitivityRight"/>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750999">
      <w:bodyDiv w:val="1"/>
      <w:marLeft w:val="0"/>
      <w:marRight w:val="0"/>
      <w:marTop w:val="0"/>
      <w:marBottom w:val="0"/>
      <w:divBdr>
        <w:top w:val="none" w:sz="0" w:space="0" w:color="auto"/>
        <w:left w:val="none" w:sz="0" w:space="0" w:color="auto"/>
        <w:bottom w:val="none" w:sz="0" w:space="0" w:color="auto"/>
        <w:right w:val="none" w:sz="0" w:space="0" w:color="auto"/>
      </w:divBdr>
    </w:div>
    <w:div w:id="193612946">
      <w:bodyDiv w:val="1"/>
      <w:marLeft w:val="0"/>
      <w:marRight w:val="0"/>
      <w:marTop w:val="0"/>
      <w:marBottom w:val="0"/>
      <w:divBdr>
        <w:top w:val="none" w:sz="0" w:space="0" w:color="auto"/>
        <w:left w:val="none" w:sz="0" w:space="0" w:color="auto"/>
        <w:bottom w:val="none" w:sz="0" w:space="0" w:color="auto"/>
        <w:right w:val="none" w:sz="0" w:space="0" w:color="auto"/>
      </w:divBdr>
    </w:div>
    <w:div w:id="629212348">
      <w:bodyDiv w:val="1"/>
      <w:marLeft w:val="0"/>
      <w:marRight w:val="0"/>
      <w:marTop w:val="0"/>
      <w:marBottom w:val="0"/>
      <w:divBdr>
        <w:top w:val="none" w:sz="0" w:space="0" w:color="auto"/>
        <w:left w:val="none" w:sz="0" w:space="0" w:color="auto"/>
        <w:bottom w:val="none" w:sz="0" w:space="0" w:color="auto"/>
        <w:right w:val="none" w:sz="0" w:space="0" w:color="auto"/>
      </w:divBdr>
    </w:div>
    <w:div w:id="649671734">
      <w:bodyDiv w:val="1"/>
      <w:marLeft w:val="0"/>
      <w:marRight w:val="0"/>
      <w:marTop w:val="0"/>
      <w:marBottom w:val="0"/>
      <w:divBdr>
        <w:top w:val="none" w:sz="0" w:space="0" w:color="auto"/>
        <w:left w:val="none" w:sz="0" w:space="0" w:color="auto"/>
        <w:bottom w:val="none" w:sz="0" w:space="0" w:color="auto"/>
        <w:right w:val="none" w:sz="0" w:space="0" w:color="auto"/>
      </w:divBdr>
    </w:div>
    <w:div w:id="929043581">
      <w:bodyDiv w:val="1"/>
      <w:marLeft w:val="0"/>
      <w:marRight w:val="0"/>
      <w:marTop w:val="0"/>
      <w:marBottom w:val="0"/>
      <w:divBdr>
        <w:top w:val="none" w:sz="0" w:space="0" w:color="auto"/>
        <w:left w:val="none" w:sz="0" w:space="0" w:color="auto"/>
        <w:bottom w:val="none" w:sz="0" w:space="0" w:color="auto"/>
        <w:right w:val="none" w:sz="0" w:space="0" w:color="auto"/>
      </w:divBdr>
    </w:div>
    <w:div w:id="1083911584">
      <w:bodyDiv w:val="1"/>
      <w:marLeft w:val="0"/>
      <w:marRight w:val="0"/>
      <w:marTop w:val="0"/>
      <w:marBottom w:val="0"/>
      <w:divBdr>
        <w:top w:val="none" w:sz="0" w:space="0" w:color="auto"/>
        <w:left w:val="none" w:sz="0" w:space="0" w:color="auto"/>
        <w:bottom w:val="none" w:sz="0" w:space="0" w:color="auto"/>
        <w:right w:val="none" w:sz="0" w:space="0" w:color="auto"/>
      </w:divBdr>
    </w:div>
    <w:div w:id="1300961453">
      <w:bodyDiv w:val="1"/>
      <w:marLeft w:val="0"/>
      <w:marRight w:val="0"/>
      <w:marTop w:val="0"/>
      <w:marBottom w:val="0"/>
      <w:divBdr>
        <w:top w:val="none" w:sz="0" w:space="0" w:color="auto"/>
        <w:left w:val="none" w:sz="0" w:space="0" w:color="auto"/>
        <w:bottom w:val="none" w:sz="0" w:space="0" w:color="auto"/>
        <w:right w:val="none" w:sz="0" w:space="0" w:color="auto"/>
      </w:divBdr>
    </w:div>
    <w:div w:id="1434326709">
      <w:bodyDiv w:val="1"/>
      <w:marLeft w:val="0"/>
      <w:marRight w:val="0"/>
      <w:marTop w:val="0"/>
      <w:marBottom w:val="0"/>
      <w:divBdr>
        <w:top w:val="none" w:sz="0" w:space="0" w:color="auto"/>
        <w:left w:val="none" w:sz="0" w:space="0" w:color="auto"/>
        <w:bottom w:val="none" w:sz="0" w:space="0" w:color="auto"/>
        <w:right w:val="none" w:sz="0" w:space="0" w:color="auto"/>
      </w:divBdr>
    </w:div>
    <w:div w:id="1762288573">
      <w:bodyDiv w:val="1"/>
      <w:marLeft w:val="0"/>
      <w:marRight w:val="0"/>
      <w:marTop w:val="0"/>
      <w:marBottom w:val="0"/>
      <w:divBdr>
        <w:top w:val="none" w:sz="0" w:space="0" w:color="auto"/>
        <w:left w:val="none" w:sz="0" w:space="0" w:color="auto"/>
        <w:bottom w:val="none" w:sz="0" w:space="0" w:color="auto"/>
        <w:right w:val="none" w:sz="0" w:space="0" w:color="auto"/>
      </w:divBdr>
    </w:div>
    <w:div w:id="1984965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rm.coe.int/report-visit-of-the-conference-of-ingos-to-italy-2019/1680981493" TargetMode="External"/><Relationship Id="rId39" Type="http://schemas.openxmlformats.org/officeDocument/2006/relationships/header" Target="header4.xml"/><Relationship Id="R8351797cf1364d02"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hyperlink" Target="https://monitor.civicus.org/country/italy/" TargetMode="External"/><Relationship Id="rId34" Type="http://schemas.openxmlformats.org/officeDocument/2006/relationships/hyperlink" Target="https://partecipa.gov.it/?locale=en" TargetMode="External"/><Relationship Id="rId42" Type="http://schemas.openxmlformats.org/officeDocument/2006/relationships/footer" Target="footer5.xm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header" Target="header3.xml"/><Relationship Id="rId25" Type="http://schemas.openxmlformats.org/officeDocument/2006/relationships/hyperlink" Target="https://www.coe.int/en/web/media-freedom/italy" TargetMode="External"/><Relationship Id="rId33" Type="http://schemas.openxmlformats.org/officeDocument/2006/relationships/hyperlink" Target="http://www.consultazione.gov.it/it/" TargetMode="External"/><Relationship Id="rId38" Type="http://schemas.openxmlformats.org/officeDocument/2006/relationships/hyperlink" Target="https://www.transparency.org/en/cpi/2020/index/nzl" TargetMode="Externa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agcom.it/documents/10179/20594109/Comunicazione+23-11-2020/b6623771-dbaa-4ccb-baab-9520f87afbc8?version=1.0" TargetMode="External"/><Relationship Id="rId29" Type="http://schemas.openxmlformats.org/officeDocument/2006/relationships/hyperlink" Target="http://www.anticorruzione.it/portal/rest/jcr/repository/collaboration/Digital%20Assets/anacdocs/Attivita/Pubblicazioni/Collana%20scientifica%20Autorita/Collana%20scientifica%20Anac%20-%20Matteo%20Tro&#195;&#172;a%20WP%20n.5.pdf"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eur-lex.europa.eu/legal-content/LT/TXT/PDF/?uri=CELEX:32019H0905(12)&amp;from=LT" TargetMode="External"/><Relationship Id="rId32" Type="http://schemas.openxmlformats.org/officeDocument/2006/relationships/hyperlink" Target="https://www.opengovpartnership.org/wp-content/uploads/2019/07/Italy-Action-Plan-2019-2021-English.pdf" TargetMode="External"/><Relationship Id="rId37" Type="http://schemas.openxmlformats.org/officeDocument/2006/relationships/hyperlink" Target="https://www.transparency.it/informati/blog/soldi-e-politica-cosa-ci-dicono-i-dati" TargetMode="External"/><Relationship Id="rId40" Type="http://schemas.openxmlformats.org/officeDocument/2006/relationships/header" Target="header5.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eur-lex.europa.eu/legal-content/LT/TXT/?qid=1591720698631&amp;uri=CELEX:52020DC0512" TargetMode="External"/><Relationship Id="rId28" Type="http://schemas.openxmlformats.org/officeDocument/2006/relationships/hyperlink" Target="https://www.anticorruzione.it/portal/rest/jcr/repository/collaboration/Digital%20Assets/anacdocs/Attivita/Pubblicazioni/RapportiStudi/ContrattiPubblici/Anac.DL76.2020.pdf" TargetMode="External"/><Relationship Id="rId36" Type="http://schemas.openxmlformats.org/officeDocument/2006/relationships/hyperlink" Target="http://www.difensorecivicotoscana.it" TargetMode="External"/><Relationship Id="R5f5f709875f642c5" Type="http://schemas.microsoft.com/office/2018/08/relationships/commentsExtensible" Target="commentsExtensible.xml"/><Relationship Id="rId10" Type="http://schemas.openxmlformats.org/officeDocument/2006/relationships/footnotes" Target="footnotes.xml"/><Relationship Id="rId19" Type="http://schemas.openxmlformats.org/officeDocument/2006/relationships/hyperlink" Target="https://ec.europa.eu/info/policies/justice-and-fundamental-rights/upholding-rule-law/rule-law/rule-law-mechanism/2021-rule-law-report-targeted-stakeholder-consultation" TargetMode="External"/><Relationship Id="rId31" Type="http://schemas.openxmlformats.org/officeDocument/2006/relationships/hyperlink" Target="https://informazioneeditoria.gov.it/it/approfondimenti-e-normativa/fondo-per-il-pluralismo-e-linnovazione-dellinformazione/" TargetMode="External"/><Relationship Id="rId44"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www.oecd.org/corruption/statement-of-the-oecd-working-group-on-bribery-on-italy-implementation-of-the-anti-bribery-convention.htm" TargetMode="External"/><Relationship Id="rId27" Type="http://schemas.openxmlformats.org/officeDocument/2006/relationships/hyperlink" Target="http://www.g20.utoronto.ca/2015/G20-Anti-Corruption-Open-Data-Principles.pdf" TargetMode="External"/><Relationship Id="rId30" Type="http://schemas.openxmlformats.org/officeDocument/2006/relationships/hyperlink" Target="http://www.anticorruzione.it/portal/public/classic/Comunicazione/News/_news?id=8e7b24b70a77804261ad277e20798ed6" TargetMode="External"/><Relationship Id="rId35" Type="http://schemas.openxmlformats.org/officeDocument/2006/relationships/hyperlink" Target="https://genova.repubblica.it/cronaca/2020/01/22/news/i_soldi_di_change_al_governatore_indagine_sulla_fondazione_di_toti-246332702/" TargetMode="External"/><Relationship Id="rId43" Type="http://schemas.openxmlformats.org/officeDocument/2006/relationships/header" Target="header6.xml"/></Relationships>
</file>

<file path=word/_rels/footnotes.xml.rels><?xml version='1.0' encoding='UTF-8' standalone='yes'?>
<Relationships xmlns="http://schemas.openxmlformats.org/package/2006/relationships"><Relationship Id="rId2" Type="http://schemas.openxmlformats.org/officeDocument/2006/relationships/hyperlink" Target="https://www.camera.it/leg18/126?tab=4&amp;leg=18&amp;idDocumento=1323&amp;sede=&amp;tipo" TargetMode="External"/><Relationship Id="rId1" Type="http://schemas.openxmlformats.org/officeDocument/2006/relationships/hyperlink" Target="http://www.difensorecivicotoscana.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2F05394DCE044693DCAA726179B598" ma:contentTypeVersion="7" ma:contentTypeDescription="Create a new document." ma:contentTypeScope="" ma:versionID="8f02b5a8473481fde33178a59ac07cf4">
  <xsd:schema xmlns:xsd="http://www.w3.org/2001/XMLSchema" xmlns:xs="http://www.w3.org/2001/XMLSchema" xmlns:p="http://schemas.microsoft.com/office/2006/metadata/properties" xmlns:ns3="ccf8ecc5-ce9f-4cc1-bb60-062c62b05209" xmlns:ns4="71fe9c91-5602-4bdb-b72c-69451971f681" targetNamespace="http://schemas.microsoft.com/office/2006/metadata/properties" ma:root="true" ma:fieldsID="e8f4b3e030db3e01ca54350c295e8391" ns3:_="" ns4:_="">
    <xsd:import namespace="ccf8ecc5-ce9f-4cc1-bb60-062c62b05209"/>
    <xsd:import namespace="71fe9c91-5602-4bdb-b72c-69451971f68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f8ecc5-ce9f-4cc1-bb60-062c62b0520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fe9c91-5602-4bdb-b72c-69451971f68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E7D551-0BDB-44AE-BB27-9D8984F2B1E8}">
  <ds:schemaRefs>
    <ds:schemaRef ds:uri="http://schemas.microsoft.com/sharepoint/v3/contenttype/forms"/>
  </ds:schemaRefs>
</ds:datastoreItem>
</file>

<file path=customXml/itemProps2.xml><?xml version="1.0" encoding="utf-8"?>
<ds:datastoreItem xmlns:ds="http://schemas.openxmlformats.org/officeDocument/2006/customXml" ds:itemID="{5D3A4F8C-3A2B-4A40-B9E2-E25B055F7FCD}">
  <ds:schemaRefs>
    <ds:schemaRef ds:uri="http://schemas.microsoft.com/office/infopath/2007/PartnerControls"/>
    <ds:schemaRef ds:uri="http://purl.org/dc/elements/1.1/"/>
    <ds:schemaRef ds:uri="http://schemas.microsoft.com/office/2006/metadata/properties"/>
    <ds:schemaRef ds:uri="http://purl.org/dc/terms/"/>
    <ds:schemaRef ds:uri="71fe9c91-5602-4bdb-b72c-69451971f681"/>
    <ds:schemaRef ds:uri="http://schemas.openxmlformats.org/package/2006/metadata/core-properties"/>
    <ds:schemaRef ds:uri="http://schemas.microsoft.com/office/2006/documentManagement/types"/>
    <ds:schemaRef ds:uri="ccf8ecc5-ce9f-4cc1-bb60-062c62b05209"/>
    <ds:schemaRef ds:uri="http://www.w3.org/XML/1998/namespace"/>
    <ds:schemaRef ds:uri="http://purl.org/dc/dcmitype/"/>
  </ds:schemaRefs>
</ds:datastoreItem>
</file>

<file path=customXml/itemProps3.xml><?xml version="1.0" encoding="utf-8"?>
<ds:datastoreItem xmlns:ds="http://schemas.openxmlformats.org/officeDocument/2006/customXml" ds:itemID="{EF7D4398-15B9-438A-885A-D345829959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f8ecc5-ce9f-4cc1-bb60-062c62b05209"/>
    <ds:schemaRef ds:uri="71fe9c91-5602-4bdb-b72c-69451971f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9F6D76-E88C-40A7-BC3F-5D28C0308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6287</Words>
  <Characters>47098</Characters>
  <Application>Microsoft Office Word</Application>
  <DocSecurity>0</DocSecurity>
  <Lines>682</Lines>
  <Paragraphs>164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70</cp:revision>
  <cp:lastPrinted>2021-07-19T20:35:00Z</cp:lastPrinted>
  <dcterms:created xsi:type="dcterms:W3CDTF">2021-07-14T17:08:00Z</dcterms:created>
  <dcterms:modified xsi:type="dcterms:W3CDTF">2021-09-13T18:08:00Z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CPTemplateID">
    <vt:lpwstr>CP-025</vt:lpwstr>
  </property>
  <property fmtid="{D5CDD505-2E9C-101B-9397-08002B2CF9AE}" pid="7" name="Last edited using">
    <vt:lpwstr>LW 7.0.1, Build 20200226</vt:lpwstr>
  </property>
  <property fmtid="{D5CDD505-2E9C-101B-9397-08002B2CF9AE}" pid="8" name="Created using">
    <vt:lpwstr>LW 7.0.1, Build 20200226</vt:lpwstr>
  </property>
  <property fmtid="{D5CDD505-2E9C-101B-9397-08002B2CF9AE}" pid="9" name="_LW_INVALIDATED__LW_INVALIDATED__LW_INVALIDATED_ContentTypeId">
    <vt:lpwstr>0x0101005C2F05394DCE044693DCAA726179B598</vt:lpwstr>
  </property>
  <property name="OP_sanitized" fmtid="{D5CDD505-2E9C-101B-9397-08002B2CF9AE}" pid="10">
    <vt:lpwstr>True</vt:lpwstr>
  </property>
</Properties>
</file>