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7BC9C1D7-788F-485D-925D-CDDAA4C78F16" style="width:455.05pt;height:369.8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rPr>
          <w:noProof/>
        </w:rPr>
      </w:pPr>
      <w:r>
        <w:rPr>
          <w:noProof/>
        </w:rPr>
        <w:t>1.</w:t>
      </w:r>
      <w:r>
        <w:rPr>
          <w:noProof/>
        </w:rPr>
        <w:tab/>
        <w:t>PASIŪLYMO APLINKYBĖS</w:t>
      </w:r>
    </w:p>
    <w:p>
      <w:pPr>
        <w:pStyle w:val="ManualHeading2"/>
        <w:rPr>
          <w:rFonts w:eastAsia="Arial Unicode MS"/>
          <w:noProof/>
        </w:rPr>
      </w:pPr>
      <w:r>
        <w:rPr>
          <w:noProof/>
          <w:color w:val="000000"/>
          <w:u w:color="000000"/>
          <w:bdr w:val="nil"/>
        </w:rPr>
        <w:t>•</w:t>
      </w:r>
      <w:r>
        <w:rPr>
          <w:noProof/>
        </w:rPr>
        <w:tab/>
        <w:t>Pasiūlymo pagrindimas ir tikslai</w:t>
      </w:r>
    </w:p>
    <w:p>
      <w:pPr>
        <w:widowControl w:val="0"/>
        <w:shd w:val="clear" w:color="auto" w:fill="FFFFFF"/>
        <w:autoSpaceDE w:val="0"/>
        <w:autoSpaceDN w:val="0"/>
        <w:adjustRightInd w:val="0"/>
        <w:spacing w:before="230" w:after="0" w:line="269" w:lineRule="exact"/>
        <w:ind w:right="86"/>
        <w:rPr>
          <w:noProof/>
          <w:highlight w:val="yellow"/>
        </w:rPr>
      </w:pPr>
      <w:r>
        <w:rPr>
          <w:noProof/>
        </w:rPr>
        <w:t>2017 m. kovo 29 d. Jungtinės Karalystės Vyriausybė pranešė Europos Vadovų Tarybai apie Jungtinės Karalystės ketinimą išstoti iš Europos Sąjungos (ES). 2020 m. vasario 1 d. Jungtinė Karalystė tapo trečiąja šalimi. Pasibaigus pereinamajam laikotarpiui, nuo 2021 m. sausio 1 d. Europos Sąjungos bendra prekybos politika Jungtinei Karalystei nebetaikoma.</w:t>
      </w:r>
    </w:p>
    <w:p>
      <w:pPr>
        <w:widowControl w:val="0"/>
        <w:shd w:val="clear" w:color="auto" w:fill="FFFFFF"/>
        <w:autoSpaceDE w:val="0"/>
        <w:autoSpaceDN w:val="0"/>
        <w:adjustRightInd w:val="0"/>
        <w:spacing w:before="230" w:after="0" w:line="269" w:lineRule="exact"/>
        <w:ind w:right="86"/>
        <w:rPr>
          <w:noProof/>
        </w:rPr>
      </w:pPr>
      <w:r>
        <w:rPr>
          <w:noProof/>
        </w:rPr>
        <w:t>Jungtinei Karalystei priėmus sprendimą išstoti iš ES atsirado poreikis paskirstyti kiekybinius įsipareigojimus, nurodytus 28 ES valstybėms narėms skirtame PPO sąraše, į kurį įtrauktos 143 ES žemės ūkio, žuvininkystės ir pramonės produktų PPO tarifinės kvotos. ES šį procesą inicijavo Ženevoje 2018 m. spalio mėn. Per jį laikytasi principo ateityje toliau užtikrinti visą esamą kiekvienos tarifinės kvotos kiekį, tačiau jį padalyti dviem atskiroms – 27 ES valstybių narių ir Jungtinės Karalystės – muitų teritorijoms.</w:t>
      </w:r>
    </w:p>
    <w:p>
      <w:pPr>
        <w:widowControl w:val="0"/>
        <w:shd w:val="clear" w:color="auto" w:fill="FFFFFF"/>
        <w:autoSpaceDE w:val="0"/>
        <w:autoSpaceDN w:val="0"/>
        <w:adjustRightInd w:val="0"/>
        <w:spacing w:before="230" w:after="0" w:line="269" w:lineRule="exact"/>
        <w:ind w:right="86"/>
        <w:rPr>
          <w:noProof/>
        </w:rPr>
      </w:pPr>
      <w:r>
        <w:rPr>
          <w:noProof/>
        </w:rPr>
        <w:t xml:space="preserve">Paragvajui taikoma 1 000 tonų aukštos kokybės jautienos tarifinė kvota (eilės numeris 094455), kuri į ES skirtą PPO sąrašą nėra įtraukta. Per klaidą šiai tarifinei kvotai buvo pritaikyta paskirstymo procedūra, todėl ji ES 27 valstybėms narėms sumažinta iki 711 tonų, o jokio atitinkamo kiekio, kurį pradėti naudoti būtų leista Jungtinei Karalystei, nenustatyta. </w:t>
      </w:r>
    </w:p>
    <w:p>
      <w:pPr>
        <w:widowControl w:val="0"/>
        <w:shd w:val="clear" w:color="auto" w:fill="FFFFFF"/>
        <w:autoSpaceDE w:val="0"/>
        <w:autoSpaceDN w:val="0"/>
        <w:adjustRightInd w:val="0"/>
        <w:spacing w:before="230" w:after="0" w:line="269" w:lineRule="exact"/>
        <w:ind w:right="86"/>
        <w:rPr>
          <w:noProof/>
        </w:rPr>
      </w:pPr>
      <w:r>
        <w:rPr>
          <w:noProof/>
        </w:rPr>
        <w:t>Tai reiškia, kad nuo 2021 m. sausio 1 d. Paragvajaus patekimo į rinką lygis sumažėjo nuo 1 000 iki 711 tonų.</w:t>
      </w:r>
    </w:p>
    <w:p>
      <w:pPr>
        <w:widowControl w:val="0"/>
        <w:shd w:val="clear" w:color="auto" w:fill="FFFFFF"/>
        <w:autoSpaceDE w:val="0"/>
        <w:autoSpaceDN w:val="0"/>
        <w:adjustRightInd w:val="0"/>
        <w:spacing w:before="230" w:after="0" w:line="269" w:lineRule="exact"/>
        <w:ind w:right="86"/>
        <w:rPr>
          <w:noProof/>
        </w:rPr>
      </w:pPr>
      <w:r>
        <w:rPr>
          <w:noProof/>
        </w:rPr>
        <w:t>Šiuo dalinio keitimo reglamentu siekiama iš naujo nustatyti teisingą 27 ES valstybių narių tarifinės kvotos, kurios eilės numeris 094455, kiekį (1 000 tonų).</w:t>
      </w:r>
    </w:p>
    <w:p>
      <w:pPr>
        <w:widowControl w:val="0"/>
        <w:shd w:val="clear" w:color="auto" w:fill="FFFFFF"/>
        <w:autoSpaceDE w:val="0"/>
        <w:autoSpaceDN w:val="0"/>
        <w:adjustRightInd w:val="0"/>
        <w:spacing w:before="230" w:after="0" w:line="269" w:lineRule="exact"/>
        <w:ind w:right="86"/>
        <w:rPr>
          <w:noProof/>
        </w:rPr>
      </w:pPr>
    </w:p>
    <w:p>
      <w:pPr>
        <w:pStyle w:val="ManualHeading2"/>
        <w:rPr>
          <w:rFonts w:eastAsia="Arial Unicode MS"/>
          <w:noProof/>
          <w:color w:val="000000"/>
          <w:u w:color="000000"/>
          <w:bdr w:val="nil"/>
        </w:rPr>
      </w:pPr>
      <w:r>
        <w:rPr>
          <w:noProof/>
          <w:color w:val="000000"/>
          <w:u w:color="000000"/>
          <w:bdr w:val="nil"/>
        </w:rPr>
        <w:t>•</w:t>
      </w:r>
      <w:r>
        <w:rPr>
          <w:noProof/>
        </w:rPr>
        <w:tab/>
        <w:t>Suderinamumas su toje pačioje politikos srityje galiojančiomis nuostatomis</w:t>
      </w:r>
    </w:p>
    <w:p>
      <w:pPr>
        <w:pBdr>
          <w:top w:val="nil"/>
          <w:left w:val="nil"/>
          <w:bottom w:val="nil"/>
          <w:right w:val="nil"/>
          <w:between w:val="nil"/>
          <w:bar w:val="nil"/>
        </w:pBdr>
        <w:spacing w:before="0" w:after="240"/>
        <w:rPr>
          <w:rFonts w:eastAsia="Arial Unicode MS"/>
          <w:noProof/>
        </w:rPr>
      </w:pPr>
      <w:r>
        <w:rPr>
          <w:noProof/>
        </w:rPr>
        <w:t>Ši iniciatyva atitinka ES vykdomus veiksmus, kuriais siekiama užtikrinti tinkamą Jungtinės Karalystės išstojimo iš ES padarinių valdymą.</w:t>
      </w:r>
    </w:p>
    <w:p>
      <w:pPr>
        <w:pStyle w:val="ManualHeading2"/>
        <w:rPr>
          <w:rFonts w:eastAsia="Arial Unicode MS"/>
          <w:noProof/>
        </w:rPr>
      </w:pPr>
      <w:r>
        <w:rPr>
          <w:noProof/>
          <w:color w:val="000000"/>
          <w:u w:color="000000"/>
          <w:bdr w:val="nil"/>
        </w:rPr>
        <w:t>•</w:t>
      </w:r>
      <w:r>
        <w:rPr>
          <w:noProof/>
        </w:rPr>
        <w:tab/>
        <w:t>Suderinamumas su kitomis Sąjungos politikos sritimis</w:t>
      </w:r>
    </w:p>
    <w:p>
      <w:pPr>
        <w:pBdr>
          <w:top w:val="nil"/>
          <w:left w:val="nil"/>
          <w:bottom w:val="nil"/>
          <w:right w:val="nil"/>
          <w:between w:val="nil"/>
          <w:bar w:val="nil"/>
        </w:pBdr>
        <w:spacing w:before="0" w:after="240"/>
        <w:rPr>
          <w:rFonts w:eastAsia="Arial Unicode MS"/>
          <w:noProof/>
        </w:rPr>
      </w:pPr>
      <w:r>
        <w:rPr>
          <w:noProof/>
        </w:rPr>
        <w:t>Kaip nurodyta pirmiau.</w:t>
      </w:r>
    </w:p>
    <w:p>
      <w:pPr>
        <w:pStyle w:val="ManualHeading1"/>
        <w:rPr>
          <w:noProof/>
        </w:rPr>
      </w:pPr>
      <w:r>
        <w:rPr>
          <w:noProof/>
        </w:rPr>
        <w:t>2.</w:t>
      </w:r>
      <w:r>
        <w:rPr>
          <w:noProof/>
        </w:rPr>
        <w:tab/>
        <w:t>TEISINIS PAGRINDAS, SUBSIDIARUMO IR PROPORCINGUMO PRINCIPAI</w:t>
      </w:r>
    </w:p>
    <w:p>
      <w:pPr>
        <w:pStyle w:val="ManualHeading2"/>
        <w:rPr>
          <w:rFonts w:eastAsia="Arial Unicode MS"/>
          <w:noProof/>
          <w:u w:color="000000"/>
          <w:bdr w:val="nil"/>
        </w:rPr>
      </w:pPr>
      <w:r>
        <w:rPr>
          <w:noProof/>
          <w:u w:color="000000"/>
          <w:bdr w:val="nil"/>
        </w:rPr>
        <w:t>•</w:t>
      </w:r>
      <w:r>
        <w:rPr>
          <w:noProof/>
        </w:rPr>
        <w:tab/>
      </w:r>
      <w:r>
        <w:rPr>
          <w:noProof/>
          <w:u w:color="000000"/>
          <w:bdr w:val="nil"/>
        </w:rPr>
        <w:t>Teisinis pagrindas</w:t>
      </w:r>
    </w:p>
    <w:p>
      <w:pPr>
        <w:pBdr>
          <w:top w:val="nil"/>
          <w:left w:val="nil"/>
          <w:bottom w:val="nil"/>
          <w:right w:val="nil"/>
          <w:between w:val="nil"/>
          <w:bar w:val="nil"/>
        </w:pBdr>
        <w:spacing w:before="0" w:after="240"/>
        <w:rPr>
          <w:rFonts w:eastAsia="Arial Unicode MS"/>
          <w:noProof/>
        </w:rPr>
      </w:pPr>
      <w:r>
        <w:rPr>
          <w:noProof/>
        </w:rPr>
        <w:t>Sutarties dėl Europos Sąjungos veikimo (SESV) 207 straipsnio 2 dalis.</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Subsidiarumo principas (neišimtinės kompetencijos atveju) </w:t>
      </w:r>
    </w:p>
    <w:p>
      <w:pPr>
        <w:pBdr>
          <w:top w:val="nil"/>
          <w:left w:val="nil"/>
          <w:bottom w:val="nil"/>
          <w:right w:val="nil"/>
          <w:between w:val="nil"/>
          <w:bar w:val="nil"/>
        </w:pBdr>
        <w:spacing w:before="0" w:after="240"/>
        <w:rPr>
          <w:rFonts w:eastAsia="Arial Unicode MS"/>
          <w:noProof/>
        </w:rPr>
      </w:pPr>
      <w:r>
        <w:rPr>
          <w:noProof/>
        </w:rPr>
        <w:t>Bendra prekybos politika priklauso išimtinei Sąjungos kompetencijai.</w:t>
      </w:r>
    </w:p>
    <w:p>
      <w:pPr>
        <w:pStyle w:val="ManualHeading2"/>
        <w:rPr>
          <w:rFonts w:eastAsia="Arial Unicode MS"/>
          <w:noProof/>
          <w:u w:color="000000"/>
          <w:bdr w:val="nil"/>
        </w:rPr>
      </w:pPr>
      <w:r>
        <w:rPr>
          <w:noProof/>
          <w:u w:color="000000"/>
          <w:bdr w:val="nil"/>
        </w:rPr>
        <w:t>•</w:t>
      </w:r>
      <w:r>
        <w:rPr>
          <w:noProof/>
        </w:rPr>
        <w:tab/>
      </w:r>
      <w:r>
        <w:rPr>
          <w:noProof/>
          <w:u w:color="000000"/>
          <w:bdr w:val="nil"/>
        </w:rPr>
        <w:t>Proporcingumo principas</w:t>
      </w:r>
    </w:p>
    <w:p>
      <w:pPr>
        <w:pBdr>
          <w:top w:val="nil"/>
          <w:left w:val="nil"/>
          <w:bottom w:val="nil"/>
          <w:right w:val="nil"/>
          <w:between w:val="nil"/>
          <w:bar w:val="nil"/>
        </w:pBdr>
        <w:spacing w:before="0" w:after="240"/>
        <w:rPr>
          <w:rFonts w:eastAsia="Arial Unicode MS"/>
          <w:noProof/>
        </w:rPr>
      </w:pPr>
      <w:r>
        <w:rPr>
          <w:noProof/>
        </w:rPr>
        <w:t>Numatoma priemonė yra vienintelė priemonė, galinti padėti užtikrinti, kad būtų pasiektas pageidaujamas rezultatas.</w:t>
      </w:r>
    </w:p>
    <w:p>
      <w:pPr>
        <w:pStyle w:val="ManualHeading2"/>
        <w:rPr>
          <w:rFonts w:eastAsia="Arial Unicode MS"/>
          <w:noProof/>
          <w:u w:color="000000"/>
          <w:bdr w:val="nil"/>
        </w:rPr>
      </w:pPr>
      <w:r>
        <w:rPr>
          <w:noProof/>
          <w:u w:color="000000"/>
          <w:bdr w:val="nil"/>
        </w:rPr>
        <w:t>•</w:t>
      </w:r>
      <w:r>
        <w:rPr>
          <w:noProof/>
        </w:rPr>
        <w:tab/>
      </w:r>
      <w:r>
        <w:rPr>
          <w:noProof/>
          <w:u w:color="000000"/>
          <w:bdr w:val="nil"/>
        </w:rPr>
        <w:t>Priemonės pasirinkimas</w:t>
      </w:r>
    </w:p>
    <w:p>
      <w:pPr>
        <w:pBdr>
          <w:top w:val="nil"/>
          <w:left w:val="nil"/>
          <w:bottom w:val="nil"/>
          <w:right w:val="nil"/>
          <w:between w:val="nil"/>
          <w:bar w:val="nil"/>
        </w:pBdr>
        <w:spacing w:before="0" w:after="240"/>
        <w:rPr>
          <w:rFonts w:eastAsia="Arial Unicode MS"/>
          <w:noProof/>
        </w:rPr>
      </w:pPr>
      <w:r>
        <w:rPr>
          <w:noProof/>
        </w:rPr>
        <w:t>Pirminė nuostata buvo nustatyta Europos Parlamento ir Tarybos reglamentu. Taigi, jai iš dalies pakeisti reikalingas kitas Europos Parlamento ir Tarybos reglamentas.</w:t>
      </w:r>
    </w:p>
    <w:p>
      <w:pPr>
        <w:pStyle w:val="ManualHeading1"/>
        <w:rPr>
          <w:noProof/>
        </w:rPr>
      </w:pPr>
      <w:r>
        <w:rPr>
          <w:noProof/>
        </w:rPr>
        <w:t>3.</w:t>
      </w:r>
      <w:r>
        <w:rPr>
          <w:noProof/>
        </w:rPr>
        <w:tab/>
      </w:r>
      <w:r>
        <w:rPr>
          <w:i/>
          <w:iCs/>
          <w:noProof/>
        </w:rPr>
        <w:t>EX POST</w:t>
      </w:r>
      <w:r>
        <w:rPr>
          <w:noProof/>
        </w:rPr>
        <w:t xml:space="preserve"> VERTINIMO, KONSULTACIJŲ SU SUINTERESUOTOSIOMIS ŠALIMIS IR POVEIKIO VERTINIMO REZULTATAI</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Galiojančių teisės aktų </w:t>
      </w:r>
      <w:r>
        <w:rPr>
          <w:i/>
          <w:iCs/>
          <w:noProof/>
          <w:u w:color="000000"/>
          <w:bdr w:val="nil"/>
        </w:rPr>
        <w:t>ex post</w:t>
      </w:r>
      <w:r>
        <w:rPr>
          <w:noProof/>
          <w:u w:color="000000"/>
          <w:bdr w:val="nil"/>
        </w:rPr>
        <w:t xml:space="preserve"> vertinimas / tinkamumo patikrinimas</w:t>
      </w:r>
    </w:p>
    <w:p>
      <w:pPr>
        <w:pBdr>
          <w:top w:val="nil"/>
          <w:left w:val="nil"/>
          <w:bottom w:val="nil"/>
          <w:right w:val="nil"/>
          <w:between w:val="nil"/>
          <w:bar w:val="nil"/>
        </w:pBdr>
        <w:spacing w:before="0" w:after="240"/>
        <w:rPr>
          <w:rFonts w:eastAsia="Arial Unicode MS"/>
          <w:noProof/>
        </w:rPr>
      </w:pPr>
      <w:r>
        <w:rPr>
          <w:noProof/>
        </w:rPr>
        <w:t>Netaikoma.</w:t>
      </w:r>
    </w:p>
    <w:p>
      <w:pPr>
        <w:pStyle w:val="ManualHeading2"/>
        <w:rPr>
          <w:rFonts w:eastAsia="Arial Unicode MS"/>
          <w:noProof/>
          <w:u w:color="000000"/>
          <w:bdr w:val="nil"/>
        </w:rPr>
      </w:pPr>
      <w:r>
        <w:rPr>
          <w:noProof/>
          <w:u w:color="000000"/>
          <w:bdr w:val="nil"/>
        </w:rPr>
        <w:t>•</w:t>
      </w:r>
      <w:r>
        <w:rPr>
          <w:noProof/>
        </w:rPr>
        <w:tab/>
      </w:r>
      <w:r>
        <w:rPr>
          <w:noProof/>
          <w:u w:color="000000"/>
          <w:bdr w:val="nil"/>
        </w:rPr>
        <w:t>Konsultacijos su suinteresuotosiomis šalimis</w:t>
      </w:r>
    </w:p>
    <w:p>
      <w:pPr>
        <w:pBdr>
          <w:top w:val="nil"/>
          <w:left w:val="nil"/>
          <w:bottom w:val="nil"/>
          <w:right w:val="nil"/>
          <w:between w:val="nil"/>
          <w:bar w:val="nil"/>
        </w:pBdr>
        <w:spacing w:before="0" w:after="240"/>
        <w:rPr>
          <w:rFonts w:eastAsia="Arial Unicode MS"/>
          <w:noProof/>
        </w:rPr>
      </w:pPr>
      <w:r>
        <w:rPr>
          <w:noProof/>
        </w:rPr>
        <w:t>Netaikoma.</w:t>
      </w:r>
    </w:p>
    <w:p>
      <w:pPr>
        <w:pStyle w:val="ManualHeading2"/>
        <w:rPr>
          <w:rFonts w:eastAsia="Arial Unicode MS"/>
          <w:noProof/>
          <w:u w:color="000000"/>
          <w:bdr w:val="nil"/>
        </w:rPr>
      </w:pPr>
      <w:r>
        <w:rPr>
          <w:noProof/>
          <w:u w:color="000000"/>
          <w:bdr w:val="nil"/>
        </w:rPr>
        <w:t>•</w:t>
      </w:r>
      <w:r>
        <w:rPr>
          <w:noProof/>
        </w:rPr>
        <w:tab/>
      </w:r>
      <w:r>
        <w:rPr>
          <w:noProof/>
          <w:u w:color="000000"/>
          <w:bdr w:val="nil"/>
        </w:rPr>
        <w:t>Tiriamųjų duomenų rinkimas ir naudojimas</w:t>
      </w:r>
    </w:p>
    <w:p>
      <w:pPr>
        <w:pBdr>
          <w:top w:val="nil"/>
          <w:left w:val="nil"/>
          <w:bottom w:val="nil"/>
          <w:right w:val="nil"/>
          <w:between w:val="nil"/>
          <w:bar w:val="nil"/>
        </w:pBdr>
        <w:spacing w:before="0" w:after="240"/>
        <w:rPr>
          <w:rFonts w:eastAsia="Arial Unicode MS"/>
          <w:noProof/>
        </w:rPr>
      </w:pPr>
      <w:r>
        <w:rPr>
          <w:noProof/>
        </w:rPr>
        <w:t>Netaikoma.</w:t>
      </w:r>
    </w:p>
    <w:p>
      <w:pPr>
        <w:pStyle w:val="ManualHeading2"/>
        <w:rPr>
          <w:rFonts w:eastAsia="Arial Unicode MS"/>
          <w:noProof/>
          <w:u w:color="000000"/>
          <w:bdr w:val="nil"/>
        </w:rPr>
      </w:pPr>
      <w:r>
        <w:rPr>
          <w:noProof/>
          <w:u w:color="000000"/>
          <w:bdr w:val="nil"/>
        </w:rPr>
        <w:t>•</w:t>
      </w:r>
      <w:r>
        <w:rPr>
          <w:noProof/>
        </w:rPr>
        <w:tab/>
      </w:r>
      <w:r>
        <w:rPr>
          <w:noProof/>
          <w:u w:color="000000"/>
          <w:bdr w:val="nil"/>
        </w:rPr>
        <w:t>Poveikio vertinimas</w:t>
      </w:r>
    </w:p>
    <w:p>
      <w:pPr>
        <w:pBdr>
          <w:top w:val="nil"/>
          <w:left w:val="nil"/>
          <w:bottom w:val="nil"/>
          <w:right w:val="nil"/>
          <w:between w:val="nil"/>
          <w:bar w:val="nil"/>
        </w:pBdr>
        <w:spacing w:before="0" w:after="240"/>
        <w:rPr>
          <w:rFonts w:eastAsia="Arial Unicode MS"/>
          <w:noProof/>
        </w:rPr>
      </w:pPr>
      <w:r>
        <w:rPr>
          <w:noProof/>
        </w:rPr>
        <w:t>Netaikoma.</w:t>
      </w:r>
    </w:p>
    <w:p>
      <w:pPr>
        <w:pStyle w:val="ManualHeading2"/>
        <w:rPr>
          <w:rFonts w:eastAsia="Arial Unicode MS"/>
          <w:noProof/>
          <w:u w:color="000000"/>
          <w:bdr w:val="nil"/>
        </w:rPr>
      </w:pPr>
      <w:r>
        <w:rPr>
          <w:noProof/>
          <w:u w:color="000000"/>
          <w:bdr w:val="nil"/>
        </w:rPr>
        <w:t>•</w:t>
      </w:r>
      <w:r>
        <w:rPr>
          <w:noProof/>
        </w:rPr>
        <w:tab/>
      </w:r>
      <w:r>
        <w:rPr>
          <w:noProof/>
          <w:u w:color="000000"/>
          <w:bdr w:val="nil"/>
        </w:rPr>
        <w:t>Reglamentavimo tinkamumas ir supaprastinimas</w:t>
      </w:r>
    </w:p>
    <w:p>
      <w:pPr>
        <w:pBdr>
          <w:top w:val="nil"/>
          <w:left w:val="nil"/>
          <w:bottom w:val="nil"/>
          <w:right w:val="nil"/>
          <w:between w:val="nil"/>
          <w:bar w:val="nil"/>
        </w:pBdr>
        <w:spacing w:before="0" w:after="240"/>
        <w:rPr>
          <w:rFonts w:eastAsia="Arial Unicode MS"/>
          <w:noProof/>
        </w:rPr>
      </w:pPr>
      <w:r>
        <w:rPr>
          <w:noProof/>
        </w:rPr>
        <w:t>Netaikoma.</w:t>
      </w:r>
    </w:p>
    <w:p>
      <w:pPr>
        <w:pStyle w:val="ManualHeading2"/>
        <w:rPr>
          <w:rFonts w:eastAsia="Arial Unicode MS"/>
          <w:noProof/>
          <w:u w:color="000000"/>
          <w:bdr w:val="nil"/>
        </w:rPr>
      </w:pPr>
      <w:r>
        <w:rPr>
          <w:noProof/>
          <w:u w:color="000000"/>
          <w:bdr w:val="nil"/>
        </w:rPr>
        <w:t>•</w:t>
      </w:r>
      <w:r>
        <w:rPr>
          <w:noProof/>
        </w:rPr>
        <w:tab/>
      </w:r>
      <w:r>
        <w:rPr>
          <w:noProof/>
          <w:u w:color="000000"/>
          <w:bdr w:val="nil"/>
        </w:rPr>
        <w:t>Pagrindinės teisės</w:t>
      </w:r>
    </w:p>
    <w:p>
      <w:pPr>
        <w:pBdr>
          <w:top w:val="nil"/>
          <w:left w:val="nil"/>
          <w:bottom w:val="nil"/>
          <w:right w:val="nil"/>
          <w:between w:val="nil"/>
          <w:bar w:val="nil"/>
        </w:pBdr>
        <w:spacing w:before="0" w:after="240"/>
        <w:rPr>
          <w:rFonts w:eastAsia="Arial Unicode MS"/>
          <w:noProof/>
        </w:rPr>
      </w:pPr>
      <w:r>
        <w:rPr>
          <w:noProof/>
        </w:rPr>
        <w:t xml:space="preserve">Pasiūlymas pagrindinėms teisėms poveikio neturi. </w:t>
      </w:r>
    </w:p>
    <w:p>
      <w:pPr>
        <w:pStyle w:val="ManualHeading1"/>
        <w:rPr>
          <w:noProof/>
        </w:rPr>
      </w:pPr>
      <w:r>
        <w:rPr>
          <w:noProof/>
        </w:rPr>
        <w:t>4.</w:t>
      </w:r>
      <w:r>
        <w:rPr>
          <w:noProof/>
        </w:rPr>
        <w:tab/>
        <w:t>POVEIKIS BIUDŽETUI</w:t>
      </w:r>
    </w:p>
    <w:p>
      <w:pPr>
        <w:pBdr>
          <w:top w:val="nil"/>
          <w:left w:val="nil"/>
          <w:bottom w:val="nil"/>
          <w:right w:val="nil"/>
          <w:between w:val="nil"/>
          <w:bar w:val="nil"/>
        </w:pBdr>
        <w:spacing w:before="0" w:after="240"/>
        <w:rPr>
          <w:rFonts w:eastAsia="Arial Unicode MS"/>
          <w:noProof/>
        </w:rPr>
      </w:pPr>
      <w:r>
        <w:rPr>
          <w:noProof/>
        </w:rPr>
        <w:t>Netaikoma.</w:t>
      </w:r>
    </w:p>
    <w:p>
      <w:pPr>
        <w:pStyle w:val="ManualHeading1"/>
        <w:rPr>
          <w:noProof/>
        </w:rPr>
      </w:pPr>
      <w:r>
        <w:rPr>
          <w:noProof/>
        </w:rPr>
        <w:t>5.</w:t>
      </w:r>
      <w:r>
        <w:rPr>
          <w:noProof/>
        </w:rPr>
        <w:tab/>
        <w:t>KITI ELEMENTAI</w:t>
      </w:r>
    </w:p>
    <w:p>
      <w:pPr>
        <w:pStyle w:val="ManualHeading2"/>
        <w:rPr>
          <w:rFonts w:eastAsia="Arial Unicode MS"/>
          <w:noProof/>
          <w:u w:color="000000"/>
          <w:bdr w:val="nil"/>
        </w:rPr>
      </w:pPr>
      <w:r>
        <w:rPr>
          <w:noProof/>
          <w:u w:color="000000"/>
          <w:bdr w:val="nil"/>
        </w:rPr>
        <w:t>•</w:t>
      </w:r>
      <w:r>
        <w:rPr>
          <w:noProof/>
        </w:rPr>
        <w:tab/>
      </w:r>
      <w:r>
        <w:rPr>
          <w:noProof/>
          <w:u w:color="000000"/>
          <w:bdr w:val="nil"/>
        </w:rPr>
        <w:t>Įgyvendinimo planai ir stebėsena, vertinimas ir ataskaitų teikimo tvarka</w:t>
      </w:r>
    </w:p>
    <w:p>
      <w:pPr>
        <w:pBdr>
          <w:top w:val="nil"/>
          <w:left w:val="nil"/>
          <w:bottom w:val="nil"/>
          <w:right w:val="nil"/>
          <w:between w:val="nil"/>
          <w:bar w:val="nil"/>
        </w:pBdr>
        <w:spacing w:before="0" w:after="240"/>
        <w:rPr>
          <w:rFonts w:eastAsia="Arial Unicode MS"/>
          <w:noProof/>
        </w:rPr>
      </w:pPr>
      <w:r>
        <w:rPr>
          <w:noProof/>
        </w:rPr>
        <w:t>Netaikoma.</w:t>
      </w:r>
    </w:p>
    <w:p>
      <w:pPr>
        <w:pStyle w:val="ManualHeading2"/>
        <w:rPr>
          <w:rFonts w:eastAsia="Arial Unicode MS"/>
          <w:noProof/>
          <w:u w:color="000000"/>
          <w:bdr w:val="nil"/>
        </w:rPr>
      </w:pPr>
      <w:r>
        <w:rPr>
          <w:noProof/>
          <w:u w:color="000000"/>
          <w:bdr w:val="nil"/>
        </w:rPr>
        <w:t>•</w:t>
      </w:r>
      <w:r>
        <w:rPr>
          <w:noProof/>
        </w:rPr>
        <w:tab/>
      </w:r>
      <w:r>
        <w:rPr>
          <w:noProof/>
          <w:u w:color="000000"/>
          <w:bdr w:val="nil"/>
        </w:rPr>
        <w:t>Aiškinamieji dokumentai (direktyvoms)</w:t>
      </w:r>
    </w:p>
    <w:p>
      <w:pPr>
        <w:pBdr>
          <w:top w:val="nil"/>
          <w:left w:val="nil"/>
          <w:bottom w:val="nil"/>
          <w:right w:val="nil"/>
          <w:between w:val="nil"/>
          <w:bar w:val="nil"/>
        </w:pBdr>
        <w:spacing w:before="0" w:after="240"/>
        <w:rPr>
          <w:rFonts w:eastAsia="Arial Unicode MS"/>
          <w:noProof/>
        </w:rPr>
      </w:pPr>
      <w:r>
        <w:rPr>
          <w:noProof/>
        </w:rPr>
        <w:t>Netaikoma.</w:t>
      </w:r>
    </w:p>
    <w:p>
      <w:pPr>
        <w:pStyle w:val="ManualHeading2"/>
        <w:rPr>
          <w:rFonts w:eastAsia="Arial Unicode MS"/>
          <w:noProof/>
          <w:u w:color="000000"/>
          <w:bdr w:val="nil"/>
        </w:rPr>
      </w:pPr>
      <w:r>
        <w:rPr>
          <w:noProof/>
          <w:u w:color="000000"/>
          <w:bdr w:val="nil"/>
        </w:rPr>
        <w:t>•</w:t>
      </w:r>
      <w:r>
        <w:rPr>
          <w:noProof/>
        </w:rPr>
        <w:tab/>
      </w:r>
      <w:r>
        <w:rPr>
          <w:noProof/>
          <w:u w:color="000000"/>
          <w:bdr w:val="nil"/>
        </w:rPr>
        <w:t>Išsamus konkrečių pasiūlymo nuostatų paaiškinimas</w:t>
      </w:r>
    </w:p>
    <w:p>
      <w:pPr>
        <w:pBdr>
          <w:top w:val="nil"/>
          <w:left w:val="nil"/>
          <w:bottom w:val="nil"/>
          <w:right w:val="nil"/>
          <w:between w:val="nil"/>
          <w:bar w:val="nil"/>
        </w:pBdr>
        <w:spacing w:before="0" w:after="240"/>
        <w:rPr>
          <w:noProof/>
        </w:rPr>
      </w:pPr>
      <w:r>
        <w:rPr>
          <w:noProof/>
        </w:rPr>
        <w:t>1 straipsniu iš dalies keičiamas Europos Parlamento ir Tarybos reglamentas (ES) 2019/216, kad tarifinė kvota, kurios eilės numeris yra 094455, nebūtų paskirstyta.</w:t>
      </w:r>
    </w:p>
    <w:p>
      <w:pPr>
        <w:pBdr>
          <w:top w:val="nil"/>
          <w:left w:val="nil"/>
          <w:bottom w:val="nil"/>
          <w:right w:val="nil"/>
          <w:between w:val="nil"/>
          <w:bar w:val="nil"/>
        </w:pBdr>
        <w:spacing w:before="0" w:after="240"/>
        <w:rPr>
          <w:rFonts w:eastAsia="Arial Unicode MS"/>
          <w:noProof/>
        </w:rPr>
      </w:pPr>
      <w:r>
        <w:rPr>
          <w:noProof/>
        </w:rPr>
        <w:t xml:space="preserve">2 straipsnyje nustatoma, kad reglamentas įsigalioja septintą dieną po jo paskelbimo </w:t>
      </w:r>
      <w:r>
        <w:rPr>
          <w:i/>
          <w:noProof/>
        </w:rPr>
        <w:t>Europos Sąjungos oficialiajame leidinyje</w:t>
      </w:r>
      <w:r>
        <w:rPr>
          <w:noProof/>
        </w:rPr>
        <w: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2021/0146 (COD)</w:t>
      </w:r>
    </w:p>
    <w:p>
      <w:pPr>
        <w:pStyle w:val="Statut"/>
        <w:rPr>
          <w:noProof/>
        </w:rPr>
      </w:pPr>
      <w:r>
        <w:rPr>
          <w:noProof/>
        </w:rPr>
        <w:t>Pasiūlymas</w:t>
      </w:r>
    </w:p>
    <w:p>
      <w:pPr>
        <w:pStyle w:val="Typedudocument"/>
        <w:rPr>
          <w:noProof/>
        </w:rPr>
      </w:pPr>
      <w:r>
        <w:rPr>
          <w:noProof/>
        </w:rPr>
        <w:t>EUROPOS PARLAMENTO IR TARYBOS REGLAMENTAS</w:t>
      </w:r>
    </w:p>
    <w:p>
      <w:pPr>
        <w:pStyle w:val="Titreobjet"/>
        <w:rPr>
          <w:noProof/>
        </w:rPr>
      </w:pPr>
      <w:r>
        <w:rPr>
          <w:noProof/>
        </w:rPr>
        <w:t xml:space="preserve">kuriuo dėl aukštos kokybės jautienos iš Paragvajaus Sąjungos tarifinės kvotos iš dalies keičiamas Europos Parlamento ir Tarybos reglamentas (ES) 2019/216 </w:t>
      </w:r>
      <w:r>
        <w:rPr>
          <w:noProof/>
        </w:rPr>
        <w:br/>
      </w:r>
    </w:p>
    <w:p>
      <w:pPr>
        <w:pStyle w:val="Institutionquiagit"/>
        <w:rPr>
          <w:noProof/>
        </w:rPr>
      </w:pPr>
      <w:r>
        <w:rPr>
          <w:noProof/>
        </w:rPr>
        <w:t>EUROPOS PARLAMENTAS IR EUROPOS SĄJUNGOS TARYBA,</w:t>
      </w:r>
    </w:p>
    <w:p>
      <w:pPr>
        <w:rPr>
          <w:noProof/>
        </w:rPr>
      </w:pPr>
      <w:r>
        <w:rPr>
          <w:noProof/>
        </w:rPr>
        <w:t>atsižvelgdami į Sutartį dėl Europos Sąjungos veikimo, ypač į jos 207 straipsnio 2 dalį,</w:t>
      </w:r>
    </w:p>
    <w:p>
      <w:pPr>
        <w:rPr>
          <w:noProof/>
        </w:rPr>
      </w:pPr>
      <w:r>
        <w:rPr>
          <w:noProof/>
        </w:rPr>
        <w:t>atsižvelgdami į Europos Komisijos pasiūlymą,</w:t>
      </w:r>
    </w:p>
    <w:p>
      <w:pPr>
        <w:rPr>
          <w:noProof/>
        </w:rPr>
      </w:pPr>
      <w:r>
        <w:rPr>
          <w:noProof/>
        </w:rPr>
        <w:t>teisėkūros procedūra priimamo akto projektą perdavus nacionaliniams parlamentams,</w:t>
      </w:r>
    </w:p>
    <w:p>
      <w:pPr>
        <w:rPr>
          <w:noProof/>
        </w:rPr>
      </w:pPr>
      <w:r>
        <w:rPr>
          <w:noProof/>
        </w:rPr>
        <w:t>laikydamiesi įprastos teisėkūros procedūros,</w:t>
      </w:r>
    </w:p>
    <w:p>
      <w:pPr>
        <w:rPr>
          <w:noProof/>
        </w:rPr>
      </w:pPr>
      <w:r>
        <w:rPr>
          <w:noProof/>
        </w:rPr>
        <w:t>kadangi:</w:t>
      </w:r>
    </w:p>
    <w:p>
      <w:pPr>
        <w:pStyle w:val="ManualConsidrant"/>
        <w:rPr>
          <w:noProof/>
        </w:rPr>
      </w:pPr>
      <w:r>
        <w:t>(1)</w:t>
      </w:r>
      <w:r>
        <w:tab/>
      </w:r>
      <w:r>
        <w:rPr>
          <w:noProof/>
        </w:rPr>
        <w:t>Jungtinei Karalystei išstojus iš Sąjungos, Sąjunga ir Jungtinė Karalystė pranešė kitoms Pasaulio prekybos organizacijos (PPO) narėms, kad tų narių dabartinis patekimo į rinką lygis bus išlaikytas, o Sąjungos ir Jungtinės Karalystės tarifinės kvotos bus atitinkamai paskirstytos. Šio paskirstymo metodika ir nauji 27 ES valstybių narių tarifinės kvotos kiekiai nustatyti Europos Parlamento ir Tarybos reglamente (ES) 2019/216</w:t>
      </w:r>
      <w:r>
        <w:rPr>
          <w:rStyle w:val="FootnoteReference"/>
          <w:noProof/>
        </w:rPr>
        <w:footnoteReference w:id="1"/>
      </w:r>
      <w:r>
        <w:rPr>
          <w:noProof/>
        </w:rPr>
        <w:t>;</w:t>
      </w:r>
    </w:p>
    <w:p>
      <w:pPr>
        <w:pStyle w:val="ManualConsidrant"/>
        <w:rPr>
          <w:noProof/>
        </w:rPr>
      </w:pPr>
      <w:r>
        <w:t>(2)</w:t>
      </w:r>
      <w:r>
        <w:tab/>
      </w:r>
      <w:r>
        <w:rPr>
          <w:noProof/>
        </w:rPr>
        <w:t>į Sąjungai skirtą nuolaidų ir įsipareigojimų sąrašą neįtrauktos Sąjungos tarifinės kvotos neturėtų būti paskirstomos;</w:t>
      </w:r>
    </w:p>
    <w:p>
      <w:pPr>
        <w:pStyle w:val="ManualConsidrant"/>
        <w:rPr>
          <w:noProof/>
        </w:rPr>
      </w:pPr>
      <w:r>
        <w:t>(3)</w:t>
      </w:r>
      <w:r>
        <w:tab/>
      </w:r>
      <w:r>
        <w:rPr>
          <w:noProof/>
        </w:rPr>
        <w:t>Tarybos reglamentu (EB) Nr. 1149/2002</w:t>
      </w:r>
      <w:r>
        <w:rPr>
          <w:rStyle w:val="FootnoteReference"/>
          <w:noProof/>
        </w:rPr>
        <w:footnoteReference w:id="2"/>
      </w:r>
      <w:r>
        <w:rPr>
          <w:noProof/>
        </w:rPr>
        <w:t xml:space="preserve"> leidžiama pradėti naudoti 1 000 tonų aukštos kokybės šviežios, atšaldytos arba užšaldytos jautienos importo tarifinę kvotą. Nors ši tarifinė kvota į Sąjungai skirtą PPO sąrašą nebuvo įtraukta, Reglamentu (ES) 2019/216 ji buvo neteisingai paskirstyta, todėl nuo 2021 m. sausio 1 d. jos kiekis buvo sumažintas. Taigi reikėtų vėl pradėti taikyti pirminį tos tarifinės kvotos kiekį;</w:t>
      </w:r>
    </w:p>
    <w:p>
      <w:pPr>
        <w:pStyle w:val="ManualConsidrant"/>
        <w:rPr>
          <w:noProof/>
        </w:rPr>
      </w:pPr>
      <w:r>
        <w:t>(4)</w:t>
      </w:r>
      <w:r>
        <w:tab/>
      </w:r>
      <w:r>
        <w:rPr>
          <w:noProof/>
        </w:rPr>
        <w:t>todėl Reglamentas (ES) 2019/216 turėtų būti atitinkamai iš dalies pakeistas,</w:t>
      </w:r>
    </w:p>
    <w:p>
      <w:pPr>
        <w:pStyle w:val="Formuledadoption"/>
        <w:rPr>
          <w:noProof/>
        </w:rPr>
      </w:pPr>
      <w:r>
        <w:rPr>
          <w:noProof/>
        </w:rPr>
        <w:t>PRIĖMĖ ŠĮ REGLAMENTĄ:</w:t>
      </w:r>
    </w:p>
    <w:p>
      <w:pPr>
        <w:pStyle w:val="Titrearticle"/>
        <w:rPr>
          <w:noProof/>
        </w:rPr>
      </w:pPr>
      <w:r>
        <w:rPr>
          <w:noProof/>
        </w:rPr>
        <w:t>1 straipsnis</w:t>
      </w:r>
    </w:p>
    <w:p>
      <w:pPr>
        <w:rPr>
          <w:noProof/>
        </w:rPr>
      </w:pPr>
      <w:r>
        <w:rPr>
          <w:noProof/>
        </w:rPr>
        <w:t>Reglamento (ES) 2019/216 priedo A dalyje eilutė, susijusi su eilės numeriu 094455 (aukštos kokybės galvijų mėsa, šviežia, atšaldyta arba užšaldyta, iš Paragvajaus) išbraukiama.</w:t>
      </w:r>
    </w:p>
    <w:p>
      <w:pPr>
        <w:pStyle w:val="Titrearticle"/>
        <w:rPr>
          <w:noProof/>
        </w:rPr>
      </w:pPr>
      <w:r>
        <w:rPr>
          <w:noProof/>
        </w:rPr>
        <w:t>2 straipsnis</w:t>
      </w:r>
    </w:p>
    <w:p>
      <w:pPr>
        <w:rPr>
          <w:noProof/>
        </w:rPr>
      </w:pPr>
      <w:r>
        <w:rPr>
          <w:noProof/>
        </w:rPr>
        <w:t xml:space="preserve">Šis reglamentas įsigalioja septintą dieną po jo paskelbimo </w:t>
      </w:r>
      <w:r>
        <w:rPr>
          <w:i/>
          <w:iCs/>
          <w:noProof/>
        </w:rPr>
        <w:t>Europos Sąjungos oficialiajame leidinyje</w:t>
      </w:r>
      <w:r>
        <w:rPr>
          <w:noProof/>
        </w:rPr>
        <w:t>.</w:t>
      </w:r>
    </w:p>
    <w:p>
      <w:pPr>
        <w:pStyle w:val="Applicationdirecte"/>
        <w:rPr>
          <w:noProof/>
        </w:rPr>
      </w:pPr>
      <w:r>
        <w:rPr>
          <w:noProof/>
        </w:rPr>
        <w:t>Šis reglamentas privalomas visas ir tiesiogiai taikomas visose valstybėse narėse.</w:t>
      </w:r>
    </w:p>
    <w:p>
      <w:pPr>
        <w:pStyle w:val="Fait"/>
        <w:rPr>
          <w:noProof/>
        </w:rPr>
      </w:pPr>
      <w:r>
        <w:t>Priimta Briuselyje</w:t>
      </w:r>
    </w:p>
    <w:p>
      <w:pPr>
        <w:pStyle w:val="Institutionquisigne"/>
        <w:rPr>
          <w:noProof/>
        </w:rPr>
      </w:pPr>
      <w:r>
        <w:rPr>
          <w:noProof/>
        </w:rPr>
        <w:t>Europos Parlamento vardu</w:t>
      </w:r>
      <w:r>
        <w:rPr>
          <w:noProof/>
        </w:rPr>
        <w:tab/>
        <w:t>Tarybos vardu</w:t>
      </w:r>
    </w:p>
    <w:p>
      <w:pPr>
        <w:pStyle w:val="Personnequisigne"/>
        <w:rPr>
          <w:noProof/>
        </w:rPr>
      </w:pPr>
      <w:r>
        <w:rPr>
          <w:noProof/>
        </w:rPr>
        <w:t>Pirmininkas</w:t>
      </w:r>
      <w:r>
        <w:rPr>
          <w:noProof/>
        </w:rPr>
        <w:tab/>
        <w:t>Pirmininkas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2019 m. sausio 30 d. Europos Parlamento ir Tarybos reglamentas (ES) 2019/216 dėl tarifinių kvotų, nustatytų Sąjungai skirtame PPO sąraše, paskirstymo po Jungtinės Karalystės išstojimo iš Sąjungos, kuriuo iš dalies keičiamas Tarybos reglamentas (EB) Nr. 32/2000 (OL L 38, 2019 2 8, p. 1).</w:t>
      </w:r>
    </w:p>
  </w:footnote>
  <w:footnote w:id="2">
    <w:p>
      <w:pPr>
        <w:pStyle w:val="FootnoteText"/>
      </w:pPr>
      <w:r>
        <w:rPr>
          <w:rStyle w:val="FootnoteReference"/>
        </w:rPr>
        <w:footnoteRef/>
      </w:r>
      <w:r>
        <w:tab/>
        <w:t>2002 m. birželio 27 d. Tarybos reglamentas (EB) Nr. 1149/2002, atidarantis autonomines aukštos kokybės jautienos importo kvotas (OL L 170, 2002 6 29, p.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71264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2C47554"/>
    <w:lvl w:ilvl="0">
      <w:start w:val="1"/>
      <w:numFmt w:val="decimal"/>
      <w:pStyle w:val="ListNumber3"/>
      <w:lvlText w:val="%1."/>
      <w:lvlJc w:val="left"/>
      <w:pPr>
        <w:tabs>
          <w:tab w:val="num" w:pos="926"/>
        </w:tabs>
        <w:ind w:left="926" w:hanging="360"/>
      </w:pPr>
    </w:lvl>
  </w:abstractNum>
  <w:abstractNum w:abstractNumId="2">
    <w:nsid w:val="FFFFFF7F"/>
    <w:multiLevelType w:val="singleLevel"/>
    <w:tmpl w:val="FFC007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50CE3F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4249E5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E8B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B1060D8"/>
    <w:lvl w:ilvl="0">
      <w:start w:val="1"/>
      <w:numFmt w:val="decimal"/>
      <w:pStyle w:val="ListNumber"/>
      <w:lvlText w:val="%1."/>
      <w:lvlJc w:val="left"/>
      <w:pPr>
        <w:tabs>
          <w:tab w:val="num" w:pos="360"/>
        </w:tabs>
        <w:ind w:left="360" w:hanging="360"/>
      </w:pPr>
    </w:lvl>
  </w:abstractNum>
  <w:abstractNum w:abstractNumId="7">
    <w:nsid w:val="FFFFFF89"/>
    <w:multiLevelType w:val="singleLevel"/>
    <w:tmpl w:val="D26E461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hideGrammaticalErrors/>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18 10:18: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BC9C1D7-788F-485D-925D-CDDAA4C78F16"/>
    <w:docVar w:name="LW_COVERPAGE_TYPE" w:val="1"/>
    <w:docVar w:name="LW_CROSSREFERENCE" w:val="&lt;UNUSED&gt;"/>
    <w:docVar w:name="LW_DocType" w:val="COM"/>
    <w:docVar w:name="LW_EMISSION" w:val="2021 06 18"/>
    <w:docVar w:name="LW_EMISSION_ISODATE" w:val="2021-06-18"/>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146"/>
    <w:docVar w:name="LW_REF.II.NEW.CP_YEAR" w:val="2021"/>
    <w:docVar w:name="LW_REF.INST.NEW" w:val="COM"/>
    <w:docVar w:name="LW_REF.INST.NEW_ADOPTED" w:val="final"/>
    <w:docVar w:name="LW_REF.INST.NEW_TEXT" w:val="(2021) 3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kuriuo d\u279?l auk\u353?tos kokyb\u279?s jautienos i\u353? Paragvajaus S\u261?jungos tarifin\u279?s kvotos i\u353? dalies kei\u269?iamas Europos Parlamento ir Tarybos reglamentas (ES) 2019/216 _x000b_"/>
    <w:docVar w:name="LW_TYPE.DOC.CP" w:val="EUROPOS PARLAMENTO IR TARYBOS REGLAMENTA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55F567-F08B-47BC-B3F1-59B9227B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712</Words>
  <Characters>4854</Characters>
  <Application>Microsoft Office Word</Application>
  <DocSecurity>0</DocSecurity>
  <Lines>105</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2021-06-03T10:15:00Z</dcterms:created>
  <dcterms:modified xsi:type="dcterms:W3CDTF">2021-06-18T08:18:00Z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