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alt="054986F2-BB12-4DCE-A875-7CE4A5D5482D" style="width:450.75pt;height:366pt">
            <v:imagedata r:id="rId9" o:title=""/>
          </v:shape>
        </w:pict>
      </w:r>
    </w:p>
    <w:p>
      <w:pPr>
        <w:rPr>
          <w:noProof/>
        </w:rPr>
        <w:sectPr>
          <w:footerReference w:type="default" r:id="rId10"/>
          <w:pgSz w:w="11907" w:h="16839"/>
          <w:pgMar w:top="1134" w:right="1417" w:bottom="1134" w:left="1417" w:header="709" w:footer="709" w:gutter="0"/>
          <w:pgNumType w:start="0"/>
          <w:cols w:space="720"/>
          <w:docGrid w:linePitch="360"/>
        </w:sectPr>
      </w:pPr>
    </w:p>
    <w:p>
      <w:pPr>
        <w:pStyle w:val="Exposdesmotifstitre"/>
        <w:rPr>
          <w:noProof/>
        </w:rPr>
      </w:pPr>
      <w:bookmarkStart w:id="0" w:name="_GoBack"/>
      <w:bookmarkEnd w:id="0"/>
      <w:r>
        <w:rPr>
          <w:noProof/>
        </w:rPr>
        <w:lastRenderedPageBreak/>
        <w:t>AIŠKINAMASIS MEMORANDUMAS</w:t>
      </w:r>
    </w:p>
    <w:p>
      <w:pPr>
        <w:pStyle w:val="ManualHeading1"/>
        <w:rPr>
          <w:noProof/>
        </w:rPr>
      </w:pPr>
      <w:r>
        <w:rPr>
          <w:noProof/>
        </w:rPr>
        <w:t>1.</w:t>
      </w:r>
      <w:r>
        <w:rPr>
          <w:noProof/>
        </w:rPr>
        <w:tab/>
        <w:t>PASIŪLYMO APLINKYBĖS</w:t>
      </w:r>
    </w:p>
    <w:p>
      <w:pPr>
        <w:pStyle w:val="ManualHeading2"/>
        <w:rPr>
          <w:rFonts w:eastAsia="Arial Unicode MS"/>
          <w:noProof/>
        </w:rPr>
      </w:pPr>
      <w:r>
        <w:rPr>
          <w:noProof/>
          <w:color w:val="000000"/>
          <w:u w:color="000000"/>
          <w:bdr w:val="nil"/>
        </w:rPr>
        <w:t>•</w:t>
      </w:r>
      <w:r>
        <w:rPr>
          <w:noProof/>
        </w:rPr>
        <w:tab/>
        <w:t>Pasiūlymo pagrindimas ir tikslai</w:t>
      </w:r>
    </w:p>
    <w:p>
      <w:pPr>
        <w:rPr>
          <w:noProof/>
        </w:rPr>
      </w:pPr>
      <w:r>
        <w:rPr>
          <w:noProof/>
        </w:rPr>
        <w:t>Tarybos reglamente (ES) 2020/672 (toliau – SURE reglamentas) nustatyta teisinė sistema, pagal kurią valstybėms narėms, kurios dėl COVID-19 protrūkio patiria didelį ekonomikos sukrėtimą arba kurioms toks sukrėtimas gresia, teikiama Sąjungos finansinė parama. Parama pagal SURE skirta pirmiausia sutrumpinto darbo laiko tvarkos ar panašioms priemonėms, kuriomis siekiama apsaugoti darbuotojus ir savarankiškai dirbančius asmenis ir taip sumažinti nedarbo ir pajamų praradimo mastą, finansuoti, taip pat naudojama kaip papildoma priemonė tam tikroms su sveikata susijusioms priemonėms, visų pirma darbo vietoje, finansuoti.</w:t>
      </w:r>
    </w:p>
    <w:p>
      <w:pPr>
        <w:rPr>
          <w:noProof/>
        </w:rPr>
      </w:pPr>
      <w:r>
        <w:rPr>
          <w:noProof/>
        </w:rPr>
        <w:t>2020 m. rugpjūčio 7 d. Lietuva paprašė Sąjungos finansinės paramos pagal SURE reglamentą. Pagal SURE reglamento 6 straipsnio 2 dalį Komisija pasikonsultavo su Lietuvos valdžios institucijomis, kad patikrintų, ar staiga smarkiai padidėjo faktinės ir numatytos išlaidos, kurios yra tiesiogiai susijusios su sutrumpinto darbo laiko tvarkos ir panašiomis priemonėmis. Visų pirma tai susiję su:</w:t>
      </w:r>
    </w:p>
    <w:p>
      <w:pPr>
        <w:pStyle w:val="Point0"/>
        <w:rPr>
          <w:noProof/>
        </w:rPr>
      </w:pPr>
      <w:r>
        <w:t>(1)</w:t>
      </w:r>
      <w:r>
        <w:tab/>
      </w:r>
      <w:r>
        <w:rPr>
          <w:noProof/>
        </w:rPr>
        <w:t>subsidijų darbdaviams sistema, pagal kurią siekiama padengti apskaičiuotą darbo užmokestį kiekvienam samdomam darbuotojui, kuriam buvo paskelbta prastova. Darbdavys gali pasirinkti, ar subsidijomis padengti 70 % atlyginimo, bet ne daugiau kaip 1,5 minimaliojo darbo užmokesčio, ar 90 % atlyginimo (100 %, jei darbuotojui yra 60 ir daugiau metų), bet ne daugiau kaip vieną minimalųjį darbo užmokestį. Sistemoje dalyvavę darbdaviai turi išlaikyti ne mažiau kaip 50 % savo darbuotojų ne trumpiau kaip 3 mėnesius po to, kai baigia galioti subsidija darbo užmokesčiui;</w:t>
      </w:r>
    </w:p>
    <w:p>
      <w:pPr>
        <w:pStyle w:val="Point0"/>
        <w:rPr>
          <w:noProof/>
        </w:rPr>
      </w:pPr>
      <w:r>
        <w:t>(2)</w:t>
      </w:r>
      <w:r>
        <w:tab/>
      </w:r>
      <w:r>
        <w:rPr>
          <w:noProof/>
        </w:rPr>
        <w:t xml:space="preserve">subsidijomis darbuotojams, kuriems prastova buvo nutraukta, iki šešių mėnesių po jų grįžimo į darbą. Priklausomai nuo darbdavio vykdomos ekonominės veiklos, taikoma vienos arba dviejų minimalių darbo užmokesčių riba, ir pirmąjį ir antrąjį mėnesį po sugrįžimo į darbą mokamų subsidijų suma gali siekti 100 % darbuotojo atlyginimo, trečiąjį ir ketvirtąjį – 50 %, o penktąjį ir šeštąjį – 30 %; </w:t>
      </w:r>
    </w:p>
    <w:p>
      <w:pPr>
        <w:pStyle w:val="Point0"/>
        <w:rPr>
          <w:noProof/>
        </w:rPr>
      </w:pPr>
      <w:r>
        <w:t>(3)</w:t>
      </w:r>
      <w:r>
        <w:tab/>
      </w:r>
      <w:r>
        <w:rPr>
          <w:noProof/>
        </w:rPr>
        <w:t xml:space="preserve">išmokomis savarankiškai dirbantiems asmenims, įskaitant individualią žemės ūkio veiklą vykdančius asmenis, kurių žemės ūkio valdos ar ūkio ekonominis dydis yra ne mažesnis negu keturi ekonominio dydžio vienetai; išmokos dydis – 257 EUR per mėnesį ir ji yra mokama karantino laikotarpiu ir du mėnesius po jo; </w:t>
      </w:r>
    </w:p>
    <w:p>
      <w:pPr>
        <w:pStyle w:val="Point0"/>
        <w:rPr>
          <w:noProof/>
        </w:rPr>
      </w:pPr>
      <w:r>
        <w:t>(4)</w:t>
      </w:r>
      <w:r>
        <w:tab/>
      </w:r>
      <w:r>
        <w:rPr>
          <w:noProof/>
        </w:rPr>
        <w:t xml:space="preserve">išmokomis individualią žemės ūkio veiklą vykdantiems asmenims, kurių žemės ūkio valdos ar ūkio ekonominis dydis yra mažesnis negu keturi ekonominio dydžio vienetai ir kuriems nebuvo taikoma pirmiau minėta priemonė. Pagal šią priemonę smulkiesiems ūkininkams, kurie niekur kitur nedirbo, sumokama vienkartinė 200 EUR išmoka arba 200 EUR išmoka už kiekvieną iš trijų karantino ir ekstremaliosios situacijos laikotarpio mėnesių, jeigu jie dirbo, o ne tik vykdė individualią žemės ūkio veiklą, tačiau uždirbo ne daugiau kaip minimalų darbo užmokestį. </w:t>
      </w:r>
    </w:p>
    <w:p>
      <w:pPr>
        <w:rPr>
          <w:noProof/>
        </w:rPr>
      </w:pPr>
      <w:r>
        <w:rPr>
          <w:noProof/>
        </w:rPr>
        <w:t xml:space="preserve">Lietuva pateikė Komisijai atitinkamą informaciją. </w:t>
      </w:r>
    </w:p>
    <w:p>
      <w:pPr>
        <w:rPr>
          <w:noProof/>
        </w:rPr>
      </w:pPr>
      <w:r>
        <w:rPr>
          <w:noProof/>
        </w:rPr>
        <w:t>Atsižvelgdama į turimus įrodymus, Komisija siūlo Tarybai priimti įgyvendinimo sprendimą suteikti Lietuvai finansinę paramą pagal SURE reglamentą pirmiau nurodytoms priemonėms remti.</w:t>
      </w:r>
    </w:p>
    <w:p>
      <w:pPr>
        <w:pStyle w:val="ManualHeading2"/>
        <w:rPr>
          <w:noProof/>
          <w:color w:val="000000" w:themeColor="text1"/>
          <w:u w:color="000000"/>
          <w:bdr w:val="nil"/>
        </w:rPr>
      </w:pPr>
      <w:r>
        <w:rPr>
          <w:noProof/>
          <w:color w:val="000000" w:themeColor="text1"/>
          <w:u w:color="000000"/>
          <w:bdr w:val="nil"/>
        </w:rPr>
        <w:lastRenderedPageBreak/>
        <w:t>•</w:t>
      </w:r>
      <w:r>
        <w:rPr>
          <w:noProof/>
        </w:rPr>
        <w:tab/>
      </w:r>
      <w:r>
        <w:rPr>
          <w:noProof/>
          <w:color w:val="000000" w:themeColor="text1"/>
        </w:rPr>
        <w:t>Suderinamumas su toje pačioje politikos srityje galiojančiomis nuostatomis</w:t>
      </w:r>
    </w:p>
    <w:p>
      <w:pPr>
        <w:pBdr>
          <w:top w:val="nil"/>
          <w:left w:val="nil"/>
          <w:bottom w:val="nil"/>
          <w:right w:val="nil"/>
          <w:between w:val="nil"/>
          <w:bar w:val="nil"/>
        </w:pBdr>
        <w:spacing w:before="0" w:after="240"/>
        <w:rPr>
          <w:noProof/>
          <w:color w:val="000000" w:themeColor="text1"/>
        </w:rPr>
      </w:pPr>
      <w:r>
        <w:rPr>
          <w:noProof/>
          <w:color w:val="000000" w:themeColor="text1"/>
        </w:rPr>
        <w:t>Šis pasiūlymas visiškai atitinka</w:t>
      </w:r>
      <w:r>
        <w:rPr>
          <w:noProof/>
        </w:rPr>
        <w:t xml:space="preserve"> Tarybos reglamentą (ES) 2020/672, pagal kurį teikiamas pasiūlymas.</w:t>
      </w:r>
    </w:p>
    <w:p>
      <w:pPr>
        <w:pBdr>
          <w:top w:val="nil"/>
          <w:left w:val="nil"/>
          <w:bottom w:val="nil"/>
          <w:right w:val="nil"/>
          <w:between w:val="nil"/>
          <w:bar w:val="nil"/>
        </w:pBdr>
        <w:spacing w:before="0" w:after="240"/>
        <w:rPr>
          <w:noProof/>
          <w:color w:val="000000" w:themeColor="text1"/>
        </w:rPr>
      </w:pPr>
      <w:r>
        <w:rPr>
          <w:noProof/>
          <w:color w:val="000000" w:themeColor="text1"/>
        </w:rPr>
        <w:t xml:space="preserve">Šis pasiūlymas papildo kitą Sąjungos teisės priemonę, kuria teikiama parama valstybėms narėms ištikus nelaimei, – 2002 m. lapkričio 11 d. Tarybos reglamentą (EB) Nr. 2012/2002, įsteigiantį Europos Sąjungos solidarumo fondą (toliau – Reglamentas (EB) Nr. 2012/2002). Kovo 30 d. priimtas Europos Parlamento ir Tarybos reglamentas (ES) 2020/461, kuriuo ta priemonė iš dalies keičiama siekiant išplėsti jos taikymo sritį į ją įtraukiant didelio masto ekstremaliąsias visuomenės sveikatos situacijas ir apibrėžti konkrečius tinkamus finansuoti veiksmus. </w:t>
      </w:r>
    </w:p>
    <w:p>
      <w:pPr>
        <w:pStyle w:val="ManualHeading2"/>
        <w:rPr>
          <w:rFonts w:eastAsia="Arial Unicode MS"/>
          <w:noProof/>
          <w:color w:val="000000" w:themeColor="text1"/>
        </w:rPr>
      </w:pPr>
      <w:r>
        <w:rPr>
          <w:noProof/>
          <w:color w:val="000000" w:themeColor="text1"/>
          <w:u w:color="000000"/>
          <w:bdr w:val="nil"/>
        </w:rPr>
        <w:t>•</w:t>
      </w:r>
      <w:r>
        <w:rPr>
          <w:noProof/>
        </w:rPr>
        <w:tab/>
      </w:r>
      <w:r>
        <w:rPr>
          <w:noProof/>
          <w:color w:val="000000" w:themeColor="text1"/>
        </w:rPr>
        <w:t>Suderinamumas su kitomis Sąjungos politikos sritimis</w:t>
      </w:r>
    </w:p>
    <w:p>
      <w:pPr>
        <w:pBdr>
          <w:top w:val="nil"/>
          <w:left w:val="nil"/>
          <w:bottom w:val="nil"/>
          <w:right w:val="nil"/>
          <w:between w:val="nil"/>
          <w:bar w:val="nil"/>
        </w:pBdr>
        <w:spacing w:before="0" w:after="240"/>
        <w:rPr>
          <w:rFonts w:eastAsia="Arial Unicode MS"/>
          <w:noProof/>
          <w:color w:val="000000" w:themeColor="text1"/>
        </w:rPr>
      </w:pPr>
      <w:r>
        <w:rPr>
          <w:noProof/>
        </w:rPr>
        <w:t xml:space="preserve">Pasiūlymas yra dalis įvairių priemonių, parengtų reaguojant į dabartinę COVID-19 pandemiją, tokių kaip Atsako į koronaviruso grėsmę investicijų iniciatyva, ir papildo kitas priemones, kuriomis remiamas užimtumas, pavyzdžiui, Europos socialinį fondą ir Europos strateginių investicijų fondą (ESIF) / „InvestEU“. Šis pasiūlymas, kuriuo suteikiama galimybė skolinti ir skolintis siekiant šiuo konkrečiu COVID-19 protrūkio atveju paremti valstybes nares, veiks kaip antroji gynybos linija: pagal jį bus finansuojamos sutrumpinto darbo laiko tvarkos ir panašios priemonės, padedančios apsaugoti darbo vietas ir taip nuo nedarbo rizikos apsaugoti darbuotojus ir savarankiškai dirbančius asmenis. </w:t>
      </w:r>
    </w:p>
    <w:p>
      <w:pPr>
        <w:pStyle w:val="ManualHeading1"/>
        <w:rPr>
          <w:noProof/>
          <w:color w:val="000000" w:themeColor="text1"/>
        </w:rPr>
      </w:pPr>
      <w:r>
        <w:rPr>
          <w:noProof/>
          <w:color w:val="000000" w:themeColor="text1"/>
        </w:rPr>
        <w:t>2.</w:t>
      </w:r>
      <w:r>
        <w:rPr>
          <w:noProof/>
        </w:rPr>
        <w:tab/>
      </w:r>
      <w:r>
        <w:rPr>
          <w:noProof/>
          <w:color w:val="000000" w:themeColor="text1"/>
        </w:rPr>
        <w:t>TEISINIS PAGRINDAS, SUBSIDIARUMO IR PROPORCINGUMO PRINCIPAI</w:t>
      </w:r>
    </w:p>
    <w:p>
      <w:pPr>
        <w:pStyle w:val="ManualHeading2"/>
        <w:rPr>
          <w:noProof/>
          <w:color w:val="000000" w:themeColor="text1"/>
          <w:u w:color="000000"/>
          <w:bdr w:val="nil"/>
        </w:rPr>
      </w:pPr>
      <w:r>
        <w:rPr>
          <w:noProof/>
          <w:color w:val="000000" w:themeColor="text1"/>
          <w:u w:color="000000"/>
          <w:bdr w:val="nil"/>
        </w:rPr>
        <w:t>•</w:t>
      </w:r>
      <w:r>
        <w:rPr>
          <w:noProof/>
        </w:rPr>
        <w:tab/>
      </w:r>
      <w:r>
        <w:rPr>
          <w:noProof/>
          <w:color w:val="000000" w:themeColor="text1"/>
          <w:u w:color="000000"/>
          <w:bdr w:val="nil"/>
        </w:rPr>
        <w:t>Teisinis pagrindas</w:t>
      </w:r>
    </w:p>
    <w:p>
      <w:pPr>
        <w:pBdr>
          <w:top w:val="nil"/>
          <w:left w:val="nil"/>
          <w:bottom w:val="nil"/>
          <w:right w:val="nil"/>
          <w:between w:val="nil"/>
          <w:bar w:val="nil"/>
        </w:pBdr>
        <w:spacing w:before="0" w:after="240"/>
        <w:rPr>
          <w:rFonts w:eastAsia="Arial Unicode MS"/>
          <w:noProof/>
          <w:color w:val="000000" w:themeColor="text1"/>
        </w:rPr>
      </w:pPr>
      <w:r>
        <w:rPr>
          <w:noProof/>
        </w:rPr>
        <w:t xml:space="preserve">Šios priemonės teisinis pagrindas yra Tarybos reglamentas (ES) 2020/672. </w:t>
      </w:r>
    </w:p>
    <w:p>
      <w:pPr>
        <w:pStyle w:val="ManualHeading2"/>
        <w:rPr>
          <w:noProof/>
          <w:color w:val="000000" w:themeColor="text1"/>
          <w:u w:color="000000"/>
          <w:bdr w:val="nil"/>
        </w:rPr>
      </w:pPr>
      <w:r>
        <w:rPr>
          <w:noProof/>
          <w:color w:val="000000" w:themeColor="text1"/>
          <w:u w:color="000000"/>
          <w:bdr w:val="nil"/>
        </w:rPr>
        <w:t>•</w:t>
      </w:r>
      <w:r>
        <w:rPr>
          <w:noProof/>
        </w:rPr>
        <w:tab/>
      </w:r>
      <w:r>
        <w:rPr>
          <w:noProof/>
          <w:color w:val="000000" w:themeColor="text1"/>
          <w:u w:color="000000"/>
          <w:bdr w:val="nil"/>
        </w:rPr>
        <w:t xml:space="preserve">Subsidiarumo principas (neišimtinės kompetencijos atveju) </w:t>
      </w:r>
    </w:p>
    <w:p>
      <w:pPr>
        <w:pBdr>
          <w:top w:val="nil"/>
          <w:left w:val="nil"/>
          <w:bottom w:val="nil"/>
          <w:right w:val="nil"/>
          <w:between w:val="nil"/>
          <w:bar w:val="nil"/>
        </w:pBdr>
        <w:spacing w:before="0" w:after="240"/>
        <w:rPr>
          <w:noProof/>
        </w:rPr>
      </w:pPr>
      <w:r>
        <w:rPr>
          <w:noProof/>
        </w:rPr>
        <w:t>Pasiūlymas parengtas atsižvelgiant į vienos iš valstybių narių prašymą ir parodo Europos solidarumą, valstybėms narėms, nukentėjusioms nuo COVID-19 protrūkio, teikiant Sąjungos finansinę paramą laikinų paskolų forma. Kaip antroji gynybos linija, tokia finansinė parama laikinai padeda vyriausybėms finansuoti padidėjusias viešąsias išlaidas, susijusias su sutrumpinto darbo laiko tvarkos ir panašiomis priemonėmis, siekiant padėti apsaugoti darbo vietas ir taip nuo nedarbo ir pajamų praradimo rizikos apsaugoti darbuotojus ir savarankiškai dirbančius asmenis.</w:t>
      </w:r>
    </w:p>
    <w:p>
      <w:pPr>
        <w:pBdr>
          <w:top w:val="nil"/>
          <w:left w:val="nil"/>
          <w:bottom w:val="nil"/>
          <w:right w:val="nil"/>
          <w:between w:val="nil"/>
          <w:bar w:val="nil"/>
        </w:pBdr>
        <w:spacing w:before="0" w:after="240"/>
        <w:rPr>
          <w:rFonts w:eastAsia="Arial Unicode MS"/>
          <w:noProof/>
          <w:color w:val="000000" w:themeColor="text1"/>
        </w:rPr>
      </w:pPr>
      <w:r>
        <w:rPr>
          <w:noProof/>
        </w:rPr>
        <w:t xml:space="preserve">Tokia parama padės nukentėjusiems gyventojams, taip pat padės sušvelninti tiesioginį socialinį ir ekonominį dabartinės COVID-19 krizės poveikį. </w:t>
      </w:r>
    </w:p>
    <w:p>
      <w:pPr>
        <w:pStyle w:val="ManualHeading2"/>
        <w:rPr>
          <w:noProof/>
          <w:color w:val="000000" w:themeColor="text1"/>
          <w:u w:color="000000"/>
          <w:bdr w:val="nil"/>
        </w:rPr>
      </w:pPr>
      <w:r>
        <w:rPr>
          <w:noProof/>
          <w:color w:val="000000" w:themeColor="text1"/>
          <w:u w:color="000000"/>
          <w:bdr w:val="nil"/>
        </w:rPr>
        <w:t>•</w:t>
      </w:r>
      <w:r>
        <w:rPr>
          <w:noProof/>
        </w:rPr>
        <w:tab/>
      </w:r>
      <w:r>
        <w:rPr>
          <w:noProof/>
          <w:color w:val="000000" w:themeColor="text1"/>
          <w:u w:color="000000"/>
          <w:bdr w:val="nil"/>
        </w:rPr>
        <w:t>Proporcingumo principas</w:t>
      </w:r>
    </w:p>
    <w:p>
      <w:pPr>
        <w:pBdr>
          <w:top w:val="nil"/>
          <w:left w:val="nil"/>
          <w:bottom w:val="nil"/>
          <w:right w:val="nil"/>
          <w:between w:val="nil"/>
          <w:bar w:val="nil"/>
        </w:pBdr>
        <w:spacing w:before="0" w:after="240"/>
        <w:rPr>
          <w:rFonts w:eastAsia="Arial Unicode MS"/>
          <w:noProof/>
          <w:color w:val="000000" w:themeColor="text1"/>
        </w:rPr>
      </w:pPr>
      <w:r>
        <w:rPr>
          <w:noProof/>
        </w:rPr>
        <w:t xml:space="preserve">Pasiūlymas atitinka proporcingumo principą. Juo neviršijama to, kas būtina priemonės tikslams pasiekti. </w:t>
      </w:r>
    </w:p>
    <w:p>
      <w:pPr>
        <w:pStyle w:val="ManualHeading1"/>
        <w:rPr>
          <w:noProof/>
          <w:color w:val="000000" w:themeColor="text1"/>
        </w:rPr>
      </w:pPr>
      <w:r>
        <w:rPr>
          <w:noProof/>
          <w:color w:val="000000" w:themeColor="text1"/>
        </w:rPr>
        <w:lastRenderedPageBreak/>
        <w:t>3.</w:t>
      </w:r>
      <w:r>
        <w:rPr>
          <w:noProof/>
        </w:rPr>
        <w:tab/>
      </w:r>
      <w:r>
        <w:rPr>
          <w:i/>
          <w:iCs/>
          <w:noProof/>
          <w:color w:val="000000" w:themeColor="text1"/>
        </w:rPr>
        <w:t>EX POST</w:t>
      </w:r>
      <w:r>
        <w:rPr>
          <w:noProof/>
          <w:color w:val="000000" w:themeColor="text1"/>
        </w:rPr>
        <w:t xml:space="preserve"> VERTINIMO, KONSULTACIJŲ SU SUINTERESUOTOSIOMIS ŠALIMIS IR POVEIKIO VERTINIMO REZULTATAI</w:t>
      </w:r>
    </w:p>
    <w:p>
      <w:pPr>
        <w:pStyle w:val="ManualHeading2"/>
        <w:rPr>
          <w:noProof/>
          <w:color w:val="000000" w:themeColor="text1"/>
          <w:u w:color="000000"/>
          <w:bdr w:val="nil"/>
        </w:rPr>
      </w:pPr>
      <w:r>
        <w:rPr>
          <w:noProof/>
          <w:color w:val="000000" w:themeColor="text1"/>
          <w:u w:color="000000"/>
          <w:bdr w:val="nil"/>
        </w:rPr>
        <w:t>•</w:t>
      </w:r>
      <w:r>
        <w:rPr>
          <w:noProof/>
        </w:rPr>
        <w:tab/>
      </w:r>
      <w:r>
        <w:rPr>
          <w:noProof/>
          <w:color w:val="000000" w:themeColor="text1"/>
          <w:u w:color="000000"/>
          <w:bdr w:val="nil"/>
        </w:rPr>
        <w:t>Konsultacijos su suinteresuotosiomis šalimis</w:t>
      </w:r>
    </w:p>
    <w:p>
      <w:pPr>
        <w:pBdr>
          <w:top w:val="nil"/>
          <w:left w:val="nil"/>
          <w:bottom w:val="nil"/>
          <w:right w:val="nil"/>
          <w:between w:val="nil"/>
          <w:bar w:val="nil"/>
        </w:pBdr>
        <w:spacing w:before="0" w:after="240"/>
        <w:rPr>
          <w:rFonts w:eastAsia="Arial Unicode MS"/>
          <w:noProof/>
          <w:color w:val="000000" w:themeColor="text1"/>
        </w:rPr>
      </w:pPr>
      <w:r>
        <w:rPr>
          <w:noProof/>
          <w:color w:val="000000" w:themeColor="text1"/>
        </w:rPr>
        <w:t>Kadangi pasiūlymą reikėjo parengti skubiai, kad Taryba spėtų laiku jį priimti, surengti konsultacijų su suinteresuotosiomis šalimis nebuvo įmanoma.</w:t>
      </w:r>
    </w:p>
    <w:p>
      <w:pPr>
        <w:pStyle w:val="ManualHeading2"/>
        <w:rPr>
          <w:noProof/>
          <w:color w:val="000000" w:themeColor="text1"/>
          <w:u w:color="000000"/>
          <w:bdr w:val="nil"/>
        </w:rPr>
      </w:pPr>
      <w:r>
        <w:rPr>
          <w:noProof/>
          <w:color w:val="000000" w:themeColor="text1"/>
          <w:u w:color="000000"/>
          <w:bdr w:val="nil"/>
        </w:rPr>
        <w:t>•</w:t>
      </w:r>
      <w:r>
        <w:rPr>
          <w:noProof/>
        </w:rPr>
        <w:tab/>
      </w:r>
      <w:r>
        <w:rPr>
          <w:noProof/>
          <w:color w:val="000000" w:themeColor="text1"/>
          <w:u w:color="000000"/>
          <w:bdr w:val="nil"/>
        </w:rPr>
        <w:t>Poveikio vertinimas</w:t>
      </w:r>
    </w:p>
    <w:p>
      <w:pPr>
        <w:pBdr>
          <w:top w:val="nil"/>
          <w:left w:val="nil"/>
          <w:bottom w:val="nil"/>
          <w:right w:val="nil"/>
          <w:between w:val="nil"/>
          <w:bar w:val="nil"/>
        </w:pBdr>
        <w:spacing w:before="0" w:after="240"/>
        <w:rPr>
          <w:rFonts w:eastAsia="Arial Unicode MS"/>
          <w:noProof/>
          <w:color w:val="000000" w:themeColor="text1"/>
        </w:rPr>
      </w:pPr>
      <w:r>
        <w:rPr>
          <w:noProof/>
          <w:color w:val="000000" w:themeColor="text1"/>
        </w:rPr>
        <w:t>Kadangi pasiūlymas yra skubus, poveikio vertinimas nebuvo atliktas.</w:t>
      </w:r>
    </w:p>
    <w:p>
      <w:pPr>
        <w:pStyle w:val="ManualHeading1"/>
        <w:rPr>
          <w:noProof/>
          <w:color w:val="000000" w:themeColor="text1"/>
        </w:rPr>
      </w:pPr>
      <w:r>
        <w:rPr>
          <w:noProof/>
          <w:color w:val="000000" w:themeColor="text1"/>
        </w:rPr>
        <w:t>4.</w:t>
      </w:r>
      <w:r>
        <w:rPr>
          <w:noProof/>
        </w:rPr>
        <w:tab/>
      </w:r>
      <w:r>
        <w:rPr>
          <w:noProof/>
          <w:color w:val="000000" w:themeColor="text1"/>
        </w:rPr>
        <w:t>POVEIKIS BIUDŽETUI</w:t>
      </w:r>
    </w:p>
    <w:p>
      <w:pPr>
        <w:pBdr>
          <w:top w:val="nil"/>
          <w:left w:val="nil"/>
          <w:bottom w:val="nil"/>
          <w:right w:val="nil"/>
          <w:between w:val="nil"/>
          <w:bar w:val="nil"/>
        </w:pBdr>
        <w:spacing w:before="0" w:after="240"/>
        <w:rPr>
          <w:rFonts w:eastAsia="Arial Unicode MS"/>
          <w:noProof/>
          <w:color w:val="000000" w:themeColor="text1"/>
        </w:rPr>
      </w:pPr>
      <w:r>
        <w:rPr>
          <w:noProof/>
          <w:color w:val="000000" w:themeColor="text1"/>
        </w:rPr>
        <w:t xml:space="preserve">Komisija turėtų galėti sudaryti sutartis dėl skolinimosi finansų rinkose, kad perskolintų tokias lėšas finansinės paramos pagal priemonę SURE prašančiai valstybei narei. </w:t>
      </w:r>
    </w:p>
    <w:p>
      <w:pPr>
        <w:rPr>
          <w:noProof/>
          <w:color w:val="000000" w:themeColor="text1"/>
        </w:rPr>
      </w:pPr>
      <w:r>
        <w:rPr>
          <w:noProof/>
          <w:color w:val="000000" w:themeColor="text1"/>
        </w:rPr>
        <w:t>Be valstybių narių teikiamų garantijų, sistemoje įtvirtintos kitos apsaugos priemonės, užtikrinančios jos finansinį patikimumą:</w:t>
      </w:r>
    </w:p>
    <w:p>
      <w:pPr>
        <w:pStyle w:val="Bullet1"/>
        <w:numPr>
          <w:ilvl w:val="0"/>
          <w:numId w:val="7"/>
        </w:numPr>
        <w:rPr>
          <w:noProof/>
          <w:color w:val="000000" w:themeColor="text1"/>
        </w:rPr>
      </w:pPr>
      <w:r>
        <w:rPr>
          <w:noProof/>
          <w:color w:val="000000" w:themeColor="text1"/>
        </w:rPr>
        <w:t>griežtas ir konservatyvus požiūris į finansų valdymą;</w:t>
      </w:r>
    </w:p>
    <w:p>
      <w:pPr>
        <w:pStyle w:val="Bullet1"/>
        <w:rPr>
          <w:noProof/>
          <w:color w:val="000000" w:themeColor="text1"/>
        </w:rPr>
      </w:pPr>
      <w:r>
        <w:rPr>
          <w:noProof/>
          <w:color w:val="000000" w:themeColor="text1"/>
        </w:rPr>
        <w:t>paskolų portfelio sudarymas apribojant koncentracijos riziką, metinę poziciją ir pernelyg didelę poziciją atskirų valstybių narių atžvilgiu, kartu užtikrinant, kad pakankamai išteklių būtų galima suteikti toms valstybėms narėms, kurioms jų labiausiai reikia, ir</w:t>
      </w:r>
    </w:p>
    <w:p>
      <w:pPr>
        <w:pStyle w:val="Bullet1"/>
        <w:rPr>
          <w:noProof/>
          <w:color w:val="000000" w:themeColor="text1"/>
        </w:rPr>
      </w:pPr>
      <w:r>
        <w:rPr>
          <w:noProof/>
          <w:color w:val="000000" w:themeColor="text1"/>
        </w:rPr>
        <w:t>galimybės refinansuoti skolą.</w:t>
      </w:r>
    </w:p>
    <w:p>
      <w:pPr>
        <w:rPr>
          <w:noProof/>
        </w:rPr>
        <w:sectPr>
          <w:footerReference w:type="default" r:id="rId11"/>
          <w:footerReference w:type="first" r:id="rId12"/>
          <w:pgSz w:w="11907" w:h="16839"/>
          <w:pgMar w:top="1134" w:right="1417" w:bottom="1134" w:left="1417" w:header="709" w:footer="709" w:gutter="0"/>
          <w:cols w:space="708"/>
          <w:docGrid w:linePitch="360"/>
        </w:sectPr>
      </w:pPr>
    </w:p>
    <w:p>
      <w:pPr>
        <w:pStyle w:val="Rfrenceinterinstitutionnelle"/>
        <w:rPr>
          <w:noProof/>
        </w:rPr>
      </w:pPr>
      <w:r>
        <w:rPr>
          <w:noProof/>
        </w:rPr>
        <w:lastRenderedPageBreak/>
        <w:t>2020/0216 (NLE)</w:t>
      </w:r>
    </w:p>
    <w:p>
      <w:pPr>
        <w:pStyle w:val="Statut"/>
        <w:rPr>
          <w:noProof/>
        </w:rPr>
      </w:pPr>
      <w:r>
        <w:rPr>
          <w:noProof/>
        </w:rPr>
        <w:t>Pasiūlymas</w:t>
      </w:r>
    </w:p>
    <w:p>
      <w:pPr>
        <w:pStyle w:val="Typedudocument"/>
        <w:rPr>
          <w:noProof/>
        </w:rPr>
      </w:pPr>
      <w:r>
        <w:rPr>
          <w:noProof/>
        </w:rPr>
        <w:t>TARYBOS ĮGYVENDINIMO SPRENDIMAS</w:t>
      </w:r>
    </w:p>
    <w:p>
      <w:pPr>
        <w:pStyle w:val="Titreobjet"/>
        <w:rPr>
          <w:noProof/>
        </w:rPr>
      </w:pPr>
      <w:r>
        <w:rPr>
          <w:noProof/>
        </w:rPr>
        <w:t>kuriuo Lietuvai pagal Tarybos reglamentą (ES) 2020/672 suteikiama laikina parama nedarbo rizikai dėl ekstremaliosios situacijos, susijusios su COVID-19 protrūkiu, mažinti</w:t>
      </w:r>
    </w:p>
    <w:p>
      <w:pPr>
        <w:pStyle w:val="Institutionquiagit"/>
        <w:rPr>
          <w:noProof/>
        </w:rPr>
      </w:pPr>
      <w:r>
        <w:rPr>
          <w:noProof/>
        </w:rPr>
        <w:t>EUROPOS SĄJUNGOS TARYBA,</w:t>
      </w:r>
    </w:p>
    <w:p>
      <w:pPr>
        <w:rPr>
          <w:noProof/>
        </w:rPr>
      </w:pPr>
      <w:r>
        <w:rPr>
          <w:noProof/>
        </w:rPr>
        <w:t xml:space="preserve">atsižvelgdama į Sutartį dėl Europos Sąjungos veikimo, </w:t>
      </w:r>
    </w:p>
    <w:p>
      <w:pPr>
        <w:rPr>
          <w:noProof/>
        </w:rPr>
      </w:pPr>
      <w:r>
        <w:rPr>
          <w:noProof/>
        </w:rPr>
        <w:t>atsižvelgdama į 2020 m. gegužės 19 d. Tarybos reglamentą (ES) 2020/672 dėl Europos laikinos paramos priemonės nedarbo rizikai dėl ekstremaliosios situacijos, susijusios su COVID-19 protrūkiu, mažinti (SURE) sukūrimo</w:t>
      </w:r>
      <w:r>
        <w:rPr>
          <w:rStyle w:val="FootnoteReference"/>
          <w:noProof/>
        </w:rPr>
        <w:footnoteReference w:id="1"/>
      </w:r>
      <w:r>
        <w:rPr>
          <w:noProof/>
        </w:rPr>
        <w:t>, ypač į jo 6 straipsnio 1 dalį,</w:t>
      </w:r>
    </w:p>
    <w:p>
      <w:pPr>
        <w:rPr>
          <w:noProof/>
        </w:rPr>
      </w:pPr>
      <w:r>
        <w:rPr>
          <w:noProof/>
        </w:rPr>
        <w:t>atsižvelgdama į Europos Komisijos pasiūlymą,</w:t>
      </w:r>
    </w:p>
    <w:p>
      <w:pPr>
        <w:rPr>
          <w:noProof/>
        </w:rPr>
      </w:pPr>
      <w:r>
        <w:rPr>
          <w:noProof/>
        </w:rPr>
        <w:t>kadangi:</w:t>
      </w:r>
    </w:p>
    <w:p>
      <w:pPr>
        <w:pStyle w:val="ManualConsidrant"/>
        <w:rPr>
          <w:noProof/>
        </w:rPr>
      </w:pPr>
      <w:r>
        <w:t>(1)</w:t>
      </w:r>
      <w:r>
        <w:tab/>
      </w:r>
      <w:r>
        <w:rPr>
          <w:noProof/>
        </w:rPr>
        <w:t xml:space="preserve">2020 m. rugpjūčio 7 d. Lietuva paprašė Sąjungos finansinės paramos, kad papildytų nacionalines pastangas mažinti COVID-19 protrūkio poveikį ir švelninti jo socialinius bei ekonominius padarinius darbuotojams; </w:t>
      </w:r>
    </w:p>
    <w:p>
      <w:pPr>
        <w:pStyle w:val="ManualConsidrant"/>
        <w:rPr>
          <w:noProof/>
        </w:rPr>
      </w:pPr>
      <w:r>
        <w:t>(2)</w:t>
      </w:r>
      <w:r>
        <w:tab/>
      </w:r>
      <w:r>
        <w:rPr>
          <w:noProof/>
        </w:rPr>
        <w:t xml:space="preserve">numatoma, kad COVID-19 protrūkis ir išskirtinės priemonės, kurias Lietuva įgyvendino siekdama suvaldyti protrūkį ir jo socialinį, ekonominį bei su sveikata susijusį poveikį, turės didžiulį poveikį viešiesiems finansams. Pagal Komisijos 2020 m. pavasario prognozę buvo numatyta, kad iki 2020 m. pabaigos Lietuvos valdžios sektoriaus deficitas ir skola sudarys atitinkamai 6,9 % ir 48,5 % bendrojo vidaus produkto (BVP). Remiantis Komisijos 2020 m. tarpine vasaros prognoze numatoma, kad 2020 m. Lietuvos BVP sumažės 7,1 %; </w:t>
      </w:r>
    </w:p>
    <w:p>
      <w:pPr>
        <w:pStyle w:val="ManualConsidrant"/>
        <w:rPr>
          <w:noProof/>
        </w:rPr>
      </w:pPr>
      <w:r>
        <w:t>(3)</w:t>
      </w:r>
      <w:r>
        <w:tab/>
      </w:r>
      <w:r>
        <w:rPr>
          <w:noProof/>
        </w:rPr>
        <w:t>COVID-19 protrūkis imobilizavo didelę Lietuvos darbo jėgos dalį. Dėl to Lietuvoje staigiai smarkiai padidėjo viešosios išlaidos, susijusios su subsidijomis darbo užmokesčiui prastovos metu ir po jos ir su išmokomis savarankiškai dirbantiems asmenims, įskaitant išmokas individualią žemės ūkio veiklą vykdantiems asmenims, kaip nurodyta 4–7 konstatuojamosiose dalyse;</w:t>
      </w:r>
    </w:p>
    <w:p>
      <w:pPr>
        <w:pStyle w:val="ManualConsidrant"/>
        <w:rPr>
          <w:noProof/>
        </w:rPr>
      </w:pPr>
      <w:r>
        <w:t>(4)</w:t>
      </w:r>
      <w:r>
        <w:tab/>
      </w:r>
      <w:r>
        <w:rPr>
          <w:noProof/>
        </w:rPr>
        <w:t>kaip nurodyta 2020 m. rugpjūčio 7 d. Lietuvos prašyme, Užimtumo įstatyme Nr. XII-2470 nustatyta subsidijų darbdaviams sistema, pagal kurią siekiama padengti apskaičiuotą darbo užmokestį kiekvienam samdomam darbuotojui, kuriam buvo paskelbta prastova. Darbdavys gali pasirinkti subsidiją, kuri padengtų 70 % atlyginimo, bet ne daugiau kaip 1,5 minimaliojo darbo užmokesčio, arba 90 % atlyginimo (100 %, jei darbuotojui yra 60 ir daugiau metų), bet ne daugiau kaip vieną minimalųjį darbo užmokestį. Sistemoje dalyvavę darbdaviai turi išlaikyti ne mažiau kaip 50 % savo darbuotojų ne trumpiau kaip 3 mėnesius po to, kai baigia galioti subsidija darbo užmokesčiui;</w:t>
      </w:r>
    </w:p>
    <w:p>
      <w:pPr>
        <w:pStyle w:val="ManualConsidrant"/>
        <w:rPr>
          <w:noProof/>
        </w:rPr>
      </w:pPr>
      <w:r>
        <w:t>(5)</w:t>
      </w:r>
      <w:r>
        <w:tab/>
      </w:r>
      <w:r>
        <w:rPr>
          <w:noProof/>
        </w:rPr>
        <w:t xml:space="preserve">subsidijos taip pat mokamos darbuotojams, kuriems prastova buvo nutraukta, iki šešių mėnesių po jų grįžimo į darbą. Priklausomai nuo darbdavio vykdomos ekonominės </w:t>
      </w:r>
      <w:r>
        <w:rPr>
          <w:noProof/>
        </w:rPr>
        <w:lastRenderedPageBreak/>
        <w:t xml:space="preserve">veiklos, taikoma vienos arba dviejų minimalių darbo užmokesčių riba, ir pirmąjį ir antrąjį mėnesį po sugrįžimo į darbą mokamų subsidijų suma gali siekti 100 % darbuotojo atlyginimo, trečiąjį ir ketvirtąjį – 50 %, o penktąjį ir šeštąjį – 30 %; Tos subsidijos gali būti laikomos priemone, panašia į sutrumpinto darbo laiko tvarkos priemones, kaip nurodyta Reglamente (ES) 2020/672, nes jomis siekiama remti darbuotojų pajamas ir padėti išlaikyti esamus darbo santykius; </w:t>
      </w:r>
    </w:p>
    <w:p>
      <w:pPr>
        <w:pStyle w:val="ManualConsidrant"/>
        <w:rPr>
          <w:noProof/>
        </w:rPr>
      </w:pPr>
      <w:r>
        <w:t>(6)</w:t>
      </w:r>
      <w:r>
        <w:tab/>
      </w:r>
      <w:r>
        <w:rPr>
          <w:noProof/>
        </w:rPr>
        <w:t xml:space="preserve">valdžios institucijos taip pat pradėjo skirti išmokas savarankiškai dirbantiems asmenims, įskaitant individualią žemės ūkio veiklą vykdančius asmenis, kurių žemės ūkio valdos ar ūkio ekonominis dydis yra ne mažesnis negu keturi ekonominio dydžio vienetai; išmokos dydis – 257 EUR per mėnesį ir ji yra mokama karantino laikotarpiu ir du mėnesius po jo. Išmokos savarankiškai dirbantiems asmenims gali būti laikomos priemone, panašia į sutrumpinto darbo laiko tvarkos priemones, kaip nurodyta Reglamente (ES) 2020/672, nes jomis siekiama apsaugoti savarankiškai dirbančius asmenis ar panašių kategorijų darbuotojus nuo pajamų sumažėjimo ar praradimo; </w:t>
      </w:r>
    </w:p>
    <w:p>
      <w:pPr>
        <w:pStyle w:val="ManualConsidrant"/>
        <w:rPr>
          <w:noProof/>
        </w:rPr>
      </w:pPr>
      <w:r>
        <w:t>(7)</w:t>
      </w:r>
      <w:r>
        <w:tab/>
      </w:r>
      <w:r>
        <w:rPr>
          <w:noProof/>
        </w:rPr>
        <w:t>galiausiai, pradėtos skirti išmokos individualią žemės ūkio veiklą vykdantiems asmenims, kurių žemės ūkio valdos ar ūkio ekonominis dydis yra mažesnis negu keturi ekonominio dydžio vienetai ir kuriems nebuvo taikoma 6 konstatuojamojoje dalyje nurodyta priemonė. Pagal šią priemonę smulkiesiems ūkininkams, kurie niekur kitur nedirbo, sumokama vienkartinė 200 EUR išmoka. Smulkiesiems ūkininkams, kurie dirbo, o ne tik vykdė individualią žemės ūkio veiklą, tačiau uždirbo ne daugiau kaip minimalų darbo užmokestį, pagal priemonę sumokama 200 EUR išmoka už kiekvieną iš trijų karantino ir ekstremaliosios situacijos laikotarpio mėnesių. Priemonė gali būti laikoma priemone, panašia į sutrumpinto darbo laiko tvarkos priemones, kaip nurodyta Reglamente (ES) 2020/672, nes ja siekiama apsaugoti savarankiškai dirbančius asmenis ar panašių kategorijų darbuotojus nuo pajamų sumažėjimo ar praradimo;</w:t>
      </w:r>
    </w:p>
    <w:p>
      <w:pPr>
        <w:pStyle w:val="ManualConsidrant"/>
        <w:rPr>
          <w:noProof/>
        </w:rPr>
      </w:pPr>
      <w:r>
        <w:t>(8)</w:t>
      </w:r>
      <w:r>
        <w:tab/>
      </w:r>
      <w:r>
        <w:rPr>
          <w:noProof/>
        </w:rPr>
        <w:t>Lietuva atitinka Reglamento (ES) 2020/672 3 straipsnyje nustatytas finansinės paramos prašymo sąlygas. Lietuva pateikė Komisijai tinkamų įrodymų, kad faktinės ir numatomos viešosios išlaidos nuo 2020 m. vasario 1 d. padidėjo 746 660 000 EUR dėl nacionalinių priemonių, kurių imtasi siekiant sumažinti socialinį ir ekonominį COVID-19 protrūkio poveikį. Tai staigus smarkus padidėjimas, nes naujosios priemonės taikomos didelei įmonių ir darbo jėgos daliai Lietuvoje. Sąjungos lėšomis Lietuva ketina finansuoti 144 350 000 EUR išaugusių išlaidų;</w:t>
      </w:r>
    </w:p>
    <w:p>
      <w:pPr>
        <w:pStyle w:val="ManualConsidrant"/>
        <w:rPr>
          <w:noProof/>
        </w:rPr>
      </w:pPr>
      <w:r>
        <w:t>(9)</w:t>
      </w:r>
      <w:r>
        <w:tab/>
      </w:r>
      <w:r>
        <w:rPr>
          <w:noProof/>
        </w:rPr>
        <w:t xml:space="preserve">Komisija pagal Reglamento (ES) 2020/672 6 straipsnį pasikonsultavo su Lietuva ir patikrino, ar staiga smarkiai padidėjo faktinės ir numatytos viešosios išlaidos, tiesiogiai susijusios su sutrumpinto darbo laiko tvarkos ir panašiomis priemonėmis; </w:t>
      </w:r>
    </w:p>
    <w:p>
      <w:pPr>
        <w:pStyle w:val="ManualConsidrant"/>
        <w:rPr>
          <w:noProof/>
        </w:rPr>
      </w:pPr>
      <w:r>
        <w:t>(10)</w:t>
      </w:r>
      <w:r>
        <w:tab/>
      </w:r>
      <w:r>
        <w:rPr>
          <w:noProof/>
        </w:rPr>
        <w:t>todėl finansinė parama turėtų būti suteikta siekiant padėti Lietuvai mažinti didelio ekonomikos sukrėtimo, kurį sukėlė COVID-19 protrūkis, socialinį ir ekonominį poveikį;</w:t>
      </w:r>
    </w:p>
    <w:p>
      <w:pPr>
        <w:pStyle w:val="ManualConsidrant"/>
        <w:rPr>
          <w:noProof/>
        </w:rPr>
      </w:pPr>
      <w:r>
        <w:t>(11)</w:t>
      </w:r>
      <w:r>
        <w:tab/>
      </w:r>
      <w:r>
        <w:rPr>
          <w:noProof/>
        </w:rPr>
        <w:t>šis sprendimas neturėtų daryti poveikio procedūrų, kurios gali būti pradėtos dėl vidaus rinkos veikimo iškraipymo, ypač pagal SESV 107 ir 108 straipsnius, rezultatams. Jis nėra viršesnis už reikalavimą, kad valstybės narės praneštų Komisijai apie galimos valstybės pagalbos atvejus pagal SESV 108 straipsnį;</w:t>
      </w:r>
    </w:p>
    <w:p>
      <w:pPr>
        <w:pStyle w:val="ManualConsidrant"/>
        <w:rPr>
          <w:noProof/>
        </w:rPr>
      </w:pPr>
      <w:r>
        <w:t>(12)</w:t>
      </w:r>
      <w:r>
        <w:tab/>
      </w:r>
      <w:r>
        <w:rPr>
          <w:noProof/>
        </w:rPr>
        <w:t>Lietuva turėtų reguliariai informuoti Komisiją apie planuojamų viešųjų išlaidų įvykdymą, kad Komisija galėtų įvertinti, kokiu mastu Lietuva įvykdė tas išlaidas;</w:t>
      </w:r>
    </w:p>
    <w:p>
      <w:pPr>
        <w:pStyle w:val="ManualConsidrant"/>
        <w:rPr>
          <w:noProof/>
        </w:rPr>
      </w:pPr>
      <w:r>
        <w:t>(13)</w:t>
      </w:r>
      <w:r>
        <w:tab/>
      </w:r>
      <w:r>
        <w:rPr>
          <w:noProof/>
        </w:rPr>
        <w:t xml:space="preserve">sprendimas suteikti finansinę paramą priimtas atsižvelgiant į esamus ir numatomus Lietuvos poreikius, taip pat į kitų valstybių narių pagal Reglamentą (ES) 2020/672 jau </w:t>
      </w:r>
      <w:r>
        <w:rPr>
          <w:noProof/>
        </w:rPr>
        <w:lastRenderedPageBreak/>
        <w:t>pateiktus ar numatomus pateikti finansinės paramos prašymus, taikant vienodo požiūrio, solidarumo, proporcingumo ir skaidrumo principus,</w:t>
      </w:r>
    </w:p>
    <w:p>
      <w:pPr>
        <w:pStyle w:val="Formuledadoption"/>
        <w:rPr>
          <w:noProof/>
        </w:rPr>
      </w:pPr>
      <w:r>
        <w:rPr>
          <w:noProof/>
        </w:rPr>
        <w:t xml:space="preserve">PRIĖMĖ ŠĮ SPRENDIMĄ: </w:t>
      </w:r>
    </w:p>
    <w:p>
      <w:pPr>
        <w:pStyle w:val="Titrearticle"/>
        <w:rPr>
          <w:noProof/>
        </w:rPr>
      </w:pPr>
      <w:r>
        <w:rPr>
          <w:noProof/>
        </w:rPr>
        <w:t>1 straipsnis</w:t>
      </w:r>
    </w:p>
    <w:p>
      <w:pPr>
        <w:rPr>
          <w:i/>
          <w:noProof/>
        </w:rPr>
      </w:pPr>
      <w:r>
        <w:rPr>
          <w:noProof/>
        </w:rPr>
        <w:t>Lietuva atitinka Reglamento (ES) 2020/672 3 straipsnyje nustatytas sąlygas.</w:t>
      </w:r>
    </w:p>
    <w:p>
      <w:pPr>
        <w:pStyle w:val="Titrearticle"/>
        <w:rPr>
          <w:noProof/>
        </w:rPr>
      </w:pPr>
      <w:r>
        <w:rPr>
          <w:noProof/>
        </w:rPr>
        <w:t>2 straipsnis</w:t>
      </w:r>
    </w:p>
    <w:p>
      <w:pPr>
        <w:pStyle w:val="ManualNumPar1"/>
        <w:rPr>
          <w:noProof/>
        </w:rPr>
      </w:pPr>
      <w:r>
        <w:t>1.</w:t>
      </w:r>
      <w:r>
        <w:tab/>
      </w:r>
      <w:r>
        <w:rPr>
          <w:noProof/>
        </w:rPr>
        <w:t>Sąjunga suteikia Lietuvai paskolą, kuri neviršija 602 310 000 EUR. Ilgiausias vidutinis paskolos grąžinimo terminas – 15 metų.</w:t>
      </w:r>
    </w:p>
    <w:p>
      <w:pPr>
        <w:pStyle w:val="ManualNumPar1"/>
        <w:rPr>
          <w:noProof/>
        </w:rPr>
      </w:pPr>
      <w:r>
        <w:t>2.</w:t>
      </w:r>
      <w:r>
        <w:tab/>
      </w:r>
      <w:r>
        <w:rPr>
          <w:noProof/>
        </w:rPr>
        <w:t xml:space="preserve">Finansinės paramos prieinamumo pagal šį sprendimą laikotarpis yra 18 mėnesių nuo pirmos dienos po šio sprendimo įsigaliojimo. </w:t>
      </w:r>
    </w:p>
    <w:p>
      <w:pPr>
        <w:pStyle w:val="ManualNumPar1"/>
        <w:rPr>
          <w:noProof/>
        </w:rPr>
      </w:pPr>
      <w:r>
        <w:t>3.</w:t>
      </w:r>
      <w:r>
        <w:tab/>
      </w:r>
      <w:r>
        <w:rPr>
          <w:noProof/>
        </w:rPr>
        <w:t xml:space="preserve">Komisija Sąjungos finansinę paramą Lietuvai teikia ne daugiau kaip aštuoniomis dalimis. Bet kuri dalis gali būti išmokama viena ar keliomis dalinėmis išmokomis. Pirmos dalies dalinių išmokų grąžinimo terminai gali būti ilgesni negu 1 dalyje nurodytas ilgiausias vidutinis grąžinimo terminas. Tokiais atvejais kitų dalinių išmokų grąžinimo terminai nustatomi taip, kad išmokėjus visas dalis būtų laikomasi 1 dalyje nurodyto ilgiausio vidutinio grąžinimo termino. </w:t>
      </w:r>
    </w:p>
    <w:p>
      <w:pPr>
        <w:pStyle w:val="ManualNumPar1"/>
        <w:rPr>
          <w:noProof/>
        </w:rPr>
      </w:pPr>
      <w:r>
        <w:t>4.</w:t>
      </w:r>
      <w:r>
        <w:tab/>
      </w:r>
      <w:r>
        <w:rPr>
          <w:noProof/>
        </w:rPr>
        <w:t xml:space="preserve">Pirma dalis išmokama įsigaliojus Reglamento (ES) 2020/672 8 straipsnio 2 dalyje numatytam paskolos susitarimui. </w:t>
      </w:r>
    </w:p>
    <w:p>
      <w:pPr>
        <w:pStyle w:val="ManualNumPar1"/>
        <w:rPr>
          <w:noProof/>
        </w:rPr>
      </w:pPr>
      <w:r>
        <w:t>5.</w:t>
      </w:r>
      <w:r>
        <w:tab/>
      </w:r>
      <w:r>
        <w:rPr>
          <w:noProof/>
        </w:rPr>
        <w:t xml:space="preserve">Lietuva apmoka Reglamento (ES) 2020/672 4 straipsnyje nurodyto Sąjungos finansavimo išlaidas, susijusias su kiekviena dalimi, ir visus su finansavimu susijusius Sąjungos mokesčius ir išlaidas. </w:t>
      </w:r>
    </w:p>
    <w:p>
      <w:pPr>
        <w:pStyle w:val="ManualNumPar1"/>
        <w:rPr>
          <w:noProof/>
        </w:rPr>
      </w:pPr>
      <w:r>
        <w:t>6.</w:t>
      </w:r>
      <w:r>
        <w:tab/>
      </w:r>
      <w:r>
        <w:rPr>
          <w:noProof/>
        </w:rPr>
        <w:t xml:space="preserve">Dėl dalių dydžio ir išmokėjimo, kaip ir dėl dalinių išmokų dydžio, sprendžia Komisija. </w:t>
      </w:r>
    </w:p>
    <w:p>
      <w:pPr>
        <w:pStyle w:val="Titrearticle"/>
        <w:rPr>
          <w:noProof/>
        </w:rPr>
      </w:pPr>
      <w:r>
        <w:rPr>
          <w:noProof/>
        </w:rPr>
        <w:t xml:space="preserve">3 straipsnis </w:t>
      </w:r>
    </w:p>
    <w:p>
      <w:pPr>
        <w:rPr>
          <w:noProof/>
        </w:rPr>
      </w:pPr>
      <w:r>
        <w:rPr>
          <w:noProof/>
        </w:rPr>
        <w:t>Lietuva gali finansuoti šias priemones:</w:t>
      </w:r>
    </w:p>
    <w:p>
      <w:pPr>
        <w:pStyle w:val="Point0"/>
        <w:rPr>
          <w:noProof/>
        </w:rPr>
      </w:pPr>
      <w:r>
        <w:t>(a)</w:t>
      </w:r>
      <w:r>
        <w:tab/>
      </w:r>
      <w:r>
        <w:rPr>
          <w:noProof/>
        </w:rPr>
        <w:t xml:space="preserve">subsidijas darbo užmokesčiui prastovos metu ir po jos, kaip numatyta Užimtumo įstatymo Nr. XII-2470 41 straipsnyje; </w:t>
      </w:r>
    </w:p>
    <w:p>
      <w:pPr>
        <w:pStyle w:val="Point0"/>
        <w:rPr>
          <w:noProof/>
        </w:rPr>
      </w:pPr>
      <w:r>
        <w:t>(b)</w:t>
      </w:r>
      <w:r>
        <w:tab/>
      </w:r>
      <w:r>
        <w:rPr>
          <w:noProof/>
        </w:rPr>
        <w:t xml:space="preserve">išmokas savarankiškai dirbantiems asmenims, kaip numatyta Užimtumo įstatymo Nr. XII-2470 </w:t>
      </w:r>
      <w:r>
        <w:rPr>
          <w:bCs/>
          <w:caps/>
          <w:noProof/>
        </w:rPr>
        <w:t>5-1</w:t>
      </w:r>
      <w:r>
        <w:rPr>
          <w:noProof/>
        </w:rPr>
        <w:t xml:space="preserve"> straipsnyje; </w:t>
      </w:r>
    </w:p>
    <w:p>
      <w:pPr>
        <w:pStyle w:val="Point0"/>
        <w:rPr>
          <w:noProof/>
        </w:rPr>
      </w:pPr>
      <w:r>
        <w:t>(c)</w:t>
      </w:r>
      <w:r>
        <w:tab/>
      </w:r>
      <w:r>
        <w:rPr>
          <w:noProof/>
        </w:rPr>
        <w:t xml:space="preserve">išmokas individualią žemės ūkio veiklą vykdantiems asmenims, kaip numatyta Užimtumo įstatymo Nr. XII-2470 </w:t>
      </w:r>
      <w:r>
        <w:rPr>
          <w:bCs/>
          <w:caps/>
          <w:noProof/>
        </w:rPr>
        <w:t>5-2</w:t>
      </w:r>
      <w:r>
        <w:rPr>
          <w:noProof/>
        </w:rPr>
        <w:t xml:space="preserve"> straipsnyje.</w:t>
      </w:r>
    </w:p>
    <w:p>
      <w:pPr>
        <w:pStyle w:val="Titrearticle"/>
        <w:rPr>
          <w:noProof/>
        </w:rPr>
      </w:pPr>
      <w:r>
        <w:rPr>
          <w:noProof/>
        </w:rPr>
        <w:t>4 straipsnis</w:t>
      </w:r>
    </w:p>
    <w:p>
      <w:pPr>
        <w:rPr>
          <w:noProof/>
        </w:rPr>
      </w:pPr>
      <w:r>
        <w:rPr>
          <w:noProof/>
        </w:rPr>
        <w:t>Lietuva iki [</w:t>
      </w:r>
      <w:r>
        <w:rPr>
          <w:i/>
          <w:noProof/>
        </w:rPr>
        <w:t>DATA: šeši mėnesiai po šio sprendimo paskelbimo</w:t>
      </w:r>
      <w:r>
        <w:rPr>
          <w:noProof/>
        </w:rPr>
        <w:t>], o po to – kas šešis mėnesius informuoja Komisiją apie numatytų viešųjų išlaidų įvykdymą, kol tos numatytos viešosios išlaidos bus visiškai įvykdytos.</w:t>
      </w:r>
    </w:p>
    <w:p>
      <w:pPr>
        <w:pStyle w:val="Titrearticle"/>
        <w:rPr>
          <w:noProof/>
        </w:rPr>
      </w:pPr>
      <w:r>
        <w:rPr>
          <w:noProof/>
        </w:rPr>
        <w:lastRenderedPageBreak/>
        <w:t>5 straipsnis</w:t>
      </w:r>
    </w:p>
    <w:p>
      <w:pPr>
        <w:keepNext/>
        <w:keepLines/>
        <w:rPr>
          <w:noProof/>
        </w:rPr>
      </w:pPr>
      <w:r>
        <w:rPr>
          <w:noProof/>
        </w:rPr>
        <w:t>Šis sprendimas skirtas Lietuvos Respublikai.</w:t>
      </w:r>
    </w:p>
    <w:p>
      <w:pPr>
        <w:pStyle w:val="Titrearticle"/>
        <w:rPr>
          <w:noProof/>
        </w:rPr>
      </w:pPr>
      <w:r>
        <w:rPr>
          <w:noProof/>
        </w:rPr>
        <w:t>6 straipsnis</w:t>
      </w:r>
    </w:p>
    <w:p>
      <w:pPr>
        <w:rPr>
          <w:noProof/>
        </w:rPr>
      </w:pPr>
      <w:r>
        <w:rPr>
          <w:noProof/>
        </w:rPr>
        <w:t xml:space="preserve">Šis sprendimas skelbiamas </w:t>
      </w:r>
      <w:r>
        <w:rPr>
          <w:i/>
          <w:noProof/>
        </w:rPr>
        <w:t>Europos Sąjungos oficialiajame leidinyje</w:t>
      </w:r>
      <w:r>
        <w:rPr>
          <w:noProof/>
        </w:rPr>
        <w:t xml:space="preserve">. </w:t>
      </w:r>
    </w:p>
    <w:p>
      <w:pPr>
        <w:pStyle w:val="Fait"/>
        <w:rPr>
          <w:noProof/>
        </w:rPr>
      </w:pPr>
      <w:r>
        <w:t>Priimta Briuselyje</w:t>
      </w:r>
    </w:p>
    <w:p>
      <w:pPr>
        <w:pStyle w:val="Institutionquisigne"/>
        <w:rPr>
          <w:noProof/>
        </w:rPr>
      </w:pPr>
      <w:r>
        <w:rPr>
          <w:noProof/>
        </w:rPr>
        <w:tab/>
        <w:t>Tarybos vardu</w:t>
      </w:r>
    </w:p>
    <w:p>
      <w:pPr>
        <w:pStyle w:val="Personnequisigne"/>
        <w:rPr>
          <w:noProof/>
        </w:rPr>
      </w:pPr>
      <w:r>
        <w:rPr>
          <w:noProof/>
        </w:rPr>
        <w:tab/>
        <w:t>Pirmininkas</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LT</w:t>
    </w:r>
    <w:r>
      <w:rPr>
        <w:rFonts w:ascii="Arial" w:hAnsi="Arial" w:cs="Arial"/>
        <w:b/>
        <w:sz w:val="48"/>
      </w:rPr>
      <w:tab/>
    </w:r>
    <w:r>
      <w:rPr>
        <w:rFonts w:ascii="Arial" w:hAnsi="Arial" w:cs="Arial"/>
        <w:b/>
        <w:sz w:val="48"/>
      </w:rPr>
      <w:tab/>
    </w:r>
    <w:r>
      <w:tab/>
    </w:r>
    <w:r>
      <w:rPr>
        <w:rFonts w:ascii="Arial" w:hAnsi="Arial" w:cs="Arial"/>
        <w:b/>
        <w:sz w:val="48"/>
      </w:rPr>
      <w:t>LT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LT</w:t>
    </w:r>
    <w:r>
      <w:rPr>
        <w:rFonts w:ascii="Arial" w:hAnsi="Arial" w:cs="Arial"/>
        <w:b/>
        <w:sz w:val="48"/>
      </w:rPr>
      <w:tab/>
    </w:r>
    <w:r>
      <w:fldChar w:fldCharType="begin"/>
    </w:r>
    <w:r>
      <w:instrText xml:space="preserve"> PAGE  \* MERGEFORMAT </w:instrText>
    </w:r>
    <w:r>
      <w:fldChar w:fldCharType="separate"/>
    </w:r>
    <w:r>
      <w:rPr>
        <w:noProof/>
      </w:rPr>
      <w:t>7</w:t>
    </w:r>
    <w:r>
      <w:fldChar w:fldCharType="end"/>
    </w:r>
    <w:r>
      <w:tab/>
    </w:r>
    <w:r>
      <w:tab/>
    </w:r>
    <w:r>
      <w:rPr>
        <w:rFonts w:ascii="Arial" w:hAnsi="Arial" w:cs="Arial"/>
        <w:b/>
        <w:sz w:val="48"/>
      </w:rPr>
      <w:t>LT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OL L 159, 2020 5 20, p.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9C8C2160"/>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A3AC808A"/>
    <w:lvl w:ilvl="0">
      <w:start w:val="1"/>
      <w:numFmt w:val="decimal"/>
      <w:pStyle w:val="ListNumber3"/>
      <w:lvlText w:val="%1."/>
      <w:lvlJc w:val="left"/>
      <w:pPr>
        <w:tabs>
          <w:tab w:val="num" w:pos="926"/>
        </w:tabs>
        <w:ind w:left="926" w:hanging="360"/>
      </w:pPr>
    </w:lvl>
  </w:abstractNum>
  <w:abstractNum w:abstractNumId="2">
    <w:nsid w:val="FFFFFF7F"/>
    <w:multiLevelType w:val="singleLevel"/>
    <w:tmpl w:val="B816A916"/>
    <w:lvl w:ilvl="0">
      <w:start w:val="1"/>
      <w:numFmt w:val="decimal"/>
      <w:pStyle w:val="ListNumber2"/>
      <w:lvlText w:val="%1."/>
      <w:lvlJc w:val="left"/>
      <w:pPr>
        <w:tabs>
          <w:tab w:val="num" w:pos="643"/>
        </w:tabs>
        <w:ind w:left="643" w:hanging="360"/>
      </w:pPr>
    </w:lvl>
  </w:abstractNum>
  <w:abstractNum w:abstractNumId="3">
    <w:nsid w:val="FFFFFF81"/>
    <w:multiLevelType w:val="singleLevel"/>
    <w:tmpl w:val="4E2450C8"/>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BAE2146C"/>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B6C06346"/>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1922760C"/>
    <w:lvl w:ilvl="0">
      <w:start w:val="1"/>
      <w:numFmt w:val="decimal"/>
      <w:pStyle w:val="ListNumber"/>
      <w:lvlText w:val="%1."/>
      <w:lvlJc w:val="left"/>
      <w:pPr>
        <w:tabs>
          <w:tab w:val="num" w:pos="360"/>
        </w:tabs>
        <w:ind w:left="360" w:hanging="360"/>
      </w:pPr>
    </w:lvl>
  </w:abstractNum>
  <w:abstractNum w:abstractNumId="7">
    <w:nsid w:val="FFFFFF89"/>
    <w:multiLevelType w:val="singleLevel"/>
    <w:tmpl w:val="C86A2B76"/>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num>
  <w:num w:numId="8">
    <w:abstractNumId w:val="21"/>
    <w:lvlOverride w:ilvl="0">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
  </w:num>
  <w:num w:numId="12">
    <w:abstractNumId w:val="1"/>
  </w:num>
  <w:num w:numId="13">
    <w:abstractNumId w:val="0"/>
  </w:num>
  <w:num w:numId="14">
    <w:abstractNumId w:val="18"/>
  </w:num>
  <w:num w:numId="15">
    <w:abstractNumId w:val="12"/>
  </w:num>
  <w:num w:numId="16">
    <w:abstractNumId w:val="20"/>
  </w:num>
  <w:num w:numId="17">
    <w:abstractNumId w:val="11"/>
  </w:num>
  <w:num w:numId="18">
    <w:abstractNumId w:val="13"/>
  </w:num>
  <w:num w:numId="19">
    <w:abstractNumId w:val="9"/>
  </w:num>
  <w:num w:numId="20">
    <w:abstractNumId w:val="19"/>
  </w:num>
  <w:num w:numId="21">
    <w:abstractNumId w:val="8"/>
  </w:num>
  <w:num w:numId="22">
    <w:abstractNumId w:val="14"/>
  </w:num>
  <w:num w:numId="23">
    <w:abstractNumId w:val="16"/>
  </w:num>
  <w:num w:numId="24">
    <w:abstractNumId w:val="17"/>
  </w:num>
  <w:num w:numId="25">
    <w:abstractNumId w:val="10"/>
  </w:num>
  <w:num w:numId="26">
    <w:abstractNumId w:val="15"/>
  </w:num>
  <w:num w:numId="27">
    <w:abstractNumId w:val="21"/>
  </w:num>
  <w:num w:numId="28">
    <w:abstractNumId w:val="18"/>
  </w:num>
  <w:num w:numId="29">
    <w:abstractNumId w:val="12"/>
  </w:num>
  <w:num w:numId="30">
    <w:abstractNumId w:val="20"/>
  </w:num>
  <w:num w:numId="31">
    <w:abstractNumId w:val="11"/>
  </w:num>
  <w:num w:numId="32">
    <w:abstractNumId w:val="13"/>
  </w:num>
  <w:num w:numId="33">
    <w:abstractNumId w:val="9"/>
  </w:num>
  <w:num w:numId="34">
    <w:abstractNumId w:val="19"/>
  </w:num>
  <w:num w:numId="35">
    <w:abstractNumId w:val="8"/>
  </w:num>
  <w:num w:numId="36">
    <w:abstractNumId w:val="14"/>
  </w:num>
  <w:num w:numId="37">
    <w:abstractNumId w:val="16"/>
  </w:num>
  <w:num w:numId="38">
    <w:abstractNumId w:val="17"/>
  </w:num>
  <w:num w:numId="39">
    <w:abstractNumId w:val="10"/>
  </w:num>
  <w:num w:numId="40">
    <w:abstractNumId w:val="15"/>
  </w:num>
  <w:num w:numId="41">
    <w:abstractNumId w:val="2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attachedTemplate r:id="rId1"/>
  <w:revisionView w:markup="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0-09-07 11:34:54"/>
    <w:docVar w:name="DQCResult_Distribution" w:val="0;0"/>
    <w:docVar w:name="DQCResult_DocumentContent" w:val="0;0"/>
    <w:docVar w:name="DQCResult_DocumentSize" w:val="0;0"/>
    <w:docVar w:name="DQCResult_DocumentVersion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0"/>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054986F2-BB12-4DCE-A875-7CE4A5D5482D"/>
    <w:docVar w:name="LW_COVERPAGE_TYPE" w:val="1"/>
    <w:docVar w:name="LW_CROSSREFERENCE" w:val="&lt;UNUSED&gt;"/>
    <w:docVar w:name="LW_DocType" w:val="COM"/>
    <w:docVar w:name="LW_EMISSION" w:val="2020 08 24"/>
    <w:docVar w:name="LW_EMISSION_ISODATE" w:val="2020-08-24"/>
    <w:docVar w:name="LW_EMISSION_LOCATION" w:val="BRX"/>
    <w:docVar w:name="LW_EMISSION_PREFIX" w:val="Briuselis, "/>
    <w:docVar w:name="LW_EMISSION_SUFFIX" w:val=" "/>
    <w:docVar w:name="LW_ID_DOCMODEL" w:val="SJ-020"/>
    <w:docVar w:name="LW_ID_DOCSIGNATURE" w:val="SJ-020"/>
    <w:docVar w:name="LW_ID_DOCSTRUCTURE" w:val="COM/PL/ORG"/>
    <w:docVar w:name="LW_ID_DOCTYPE" w:val="SJ-020"/>
    <w:docVar w:name="LW_ID_EXP.MOTIFS.NEW" w:val="EM_PL_"/>
    <w:docVar w:name="LW_ID_STATUT" w:val="SJ-020"/>
    <w:docVar w:name="LW_INTERETEEE.CP" w:val="&lt;UNUSED&gt;"/>
    <w:docVar w:name="LW_LANGUE" w:val="LT"/>
    <w:docVar w:name="LW_LEVEL_OF_SENSITIVITY" w:val="Standard treatment"/>
    <w:docVar w:name="LW_NOM.INST" w:val="EUROPOS KOMISIJA"/>
    <w:docVar w:name="LW_NOM.INST_JOINTDOC" w:val="&lt;EMPTY&gt;"/>
    <w:docVar w:name="LW_PART_NBR" w:val="1"/>
    <w:docVar w:name="LW_PART_NBR_TOTAL" w:val="1"/>
    <w:docVar w:name="LW_REF.II.NEW.CP" w:val="NLE"/>
    <w:docVar w:name="LW_REF.II.NEW.CP_NUMBER" w:val="0216"/>
    <w:docVar w:name="LW_REF.II.NEW.CP_YEAR" w:val="2020"/>
    <w:docVar w:name="LW_REF.INST.NEW" w:val="COM"/>
    <w:docVar w:name="LW_REF.INST.NEW_ADOPTED" w:val="final"/>
    <w:docVar w:name="LW_REF.INST.NEW_TEXT" w:val="(2020) 463"/>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asi\u363?lymas"/>
    <w:docVar w:name="LW_SUPERTITRE" w:val="&lt;UNUSED&gt;"/>
    <w:docVar w:name="LW_TITRE.OBJ.CP" w:val="kuriuo Lietuvai pagal Tarybos reglament\u261? (ES) 2020/672 suteikiama laikina parama nedarbo rizikai d\u279?l ekstremaliosios situacijos, susijusios su COVID-19 protr\u363?kiu, ma\u382?inti"/>
    <w:docVar w:name="LW_TYPE.DOC.CP" w:val="TARYBOS \u302?GYVENDINIMO SPRENDIMAS"/>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lt-LT"/>
    </w:rPr>
  </w:style>
  <w:style w:type="paragraph" w:styleId="Heading1">
    <w:name w:val="heading 1"/>
    <w:basedOn w:val="Normal"/>
    <w:next w:val="Text1"/>
    <w:link w:val="Heading1Char"/>
    <w:uiPriority w:val="9"/>
    <w:qFormat/>
    <w:pPr>
      <w:keepNext/>
      <w:numPr>
        <w:numId w:val="34"/>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4"/>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4"/>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4"/>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lt-LT"/>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lt-LT"/>
    </w:r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NormalWeb">
    <w:name w:val="Normal (Web)"/>
    <w:basedOn w:val="Normal"/>
    <w:uiPriority w:val="99"/>
    <w:semiHidden/>
    <w:unhideWhenUsed/>
    <w:pPr>
      <w:spacing w:before="100" w:beforeAutospacing="1" w:after="100" w:afterAutospacing="1"/>
      <w:jc w:val="left"/>
    </w:pPr>
    <w:rPr>
      <w:rFonts w:eastAsia="Times New Roman"/>
      <w:szCs w:val="24"/>
      <w:lang w:eastAsia="en-GB"/>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10"/>
      </w:numPr>
      <w:contextualSpacing/>
    </w:pPr>
  </w:style>
  <w:style w:type="paragraph" w:styleId="ListNumber2">
    <w:name w:val="List Number 2"/>
    <w:basedOn w:val="Normal"/>
    <w:uiPriority w:val="99"/>
    <w:semiHidden/>
    <w:unhideWhenUsed/>
    <w:pPr>
      <w:numPr>
        <w:numId w:val="11"/>
      </w:numPr>
      <w:contextualSpacing/>
    </w:pPr>
  </w:style>
  <w:style w:type="paragraph" w:styleId="ListNumber3">
    <w:name w:val="List Number 3"/>
    <w:basedOn w:val="Normal"/>
    <w:uiPriority w:val="99"/>
    <w:semiHidden/>
    <w:unhideWhenUsed/>
    <w:pPr>
      <w:numPr>
        <w:numId w:val="12"/>
      </w:numPr>
      <w:contextualSpacing/>
    </w:pPr>
  </w:style>
  <w:style w:type="paragraph" w:styleId="ListNumber4">
    <w:name w:val="List Number 4"/>
    <w:basedOn w:val="Normal"/>
    <w:uiPriority w:val="99"/>
    <w:semiHidden/>
    <w:unhideWhenUsed/>
    <w:pPr>
      <w:numPr>
        <w:numId w:val="13"/>
      </w:numPr>
      <w:contextualSpacing/>
    </w:p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lt-LT"/>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lt-LT"/>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8"/>
      </w:numPr>
    </w:pPr>
  </w:style>
  <w:style w:type="paragraph" w:customStyle="1" w:styleId="Tiret1">
    <w:name w:val="Tiret 1"/>
    <w:basedOn w:val="Point1"/>
    <w:pPr>
      <w:numPr>
        <w:numId w:val="29"/>
      </w:numPr>
    </w:pPr>
  </w:style>
  <w:style w:type="paragraph" w:customStyle="1" w:styleId="Tiret2">
    <w:name w:val="Tiret 2"/>
    <w:basedOn w:val="Point2"/>
    <w:pPr>
      <w:numPr>
        <w:numId w:val="30"/>
      </w:numPr>
    </w:pPr>
  </w:style>
  <w:style w:type="paragraph" w:customStyle="1" w:styleId="Tiret3">
    <w:name w:val="Tiret 3"/>
    <w:basedOn w:val="Point3"/>
    <w:pPr>
      <w:numPr>
        <w:numId w:val="31"/>
      </w:numPr>
    </w:pPr>
  </w:style>
  <w:style w:type="paragraph" w:customStyle="1" w:styleId="Tiret4">
    <w:name w:val="Tiret 4"/>
    <w:basedOn w:val="Point4"/>
    <w:pPr>
      <w:numPr>
        <w:numId w:val="32"/>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3"/>
      </w:numPr>
    </w:pPr>
  </w:style>
  <w:style w:type="paragraph" w:customStyle="1" w:styleId="NumPar2">
    <w:name w:val="NumPar 2"/>
    <w:basedOn w:val="Normal"/>
    <w:next w:val="Text1"/>
    <w:pPr>
      <w:numPr>
        <w:ilvl w:val="1"/>
        <w:numId w:val="33"/>
      </w:numPr>
    </w:pPr>
  </w:style>
  <w:style w:type="paragraph" w:customStyle="1" w:styleId="NumPar3">
    <w:name w:val="NumPar 3"/>
    <w:basedOn w:val="Normal"/>
    <w:next w:val="Text1"/>
    <w:pPr>
      <w:numPr>
        <w:ilvl w:val="2"/>
        <w:numId w:val="33"/>
      </w:numPr>
    </w:pPr>
  </w:style>
  <w:style w:type="paragraph" w:customStyle="1" w:styleId="NumPar4">
    <w:name w:val="NumPar 4"/>
    <w:basedOn w:val="Normal"/>
    <w:next w:val="Text1"/>
    <w:pPr>
      <w:numPr>
        <w:ilvl w:val="3"/>
        <w:numId w:val="33"/>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5"/>
      </w:numPr>
    </w:pPr>
  </w:style>
  <w:style w:type="paragraph" w:customStyle="1" w:styleId="Point1number">
    <w:name w:val="Point 1 (number)"/>
    <w:basedOn w:val="Normal"/>
    <w:pPr>
      <w:numPr>
        <w:ilvl w:val="2"/>
        <w:numId w:val="35"/>
      </w:numPr>
    </w:pPr>
  </w:style>
  <w:style w:type="paragraph" w:customStyle="1" w:styleId="Point2number">
    <w:name w:val="Point 2 (number)"/>
    <w:basedOn w:val="Normal"/>
    <w:pPr>
      <w:numPr>
        <w:ilvl w:val="4"/>
        <w:numId w:val="35"/>
      </w:numPr>
    </w:pPr>
  </w:style>
  <w:style w:type="paragraph" w:customStyle="1" w:styleId="Point3number">
    <w:name w:val="Point 3 (number)"/>
    <w:basedOn w:val="Normal"/>
    <w:pPr>
      <w:numPr>
        <w:ilvl w:val="6"/>
        <w:numId w:val="35"/>
      </w:numPr>
    </w:pPr>
  </w:style>
  <w:style w:type="paragraph" w:customStyle="1" w:styleId="Point0letter">
    <w:name w:val="Point 0 (letter)"/>
    <w:basedOn w:val="Normal"/>
    <w:pPr>
      <w:numPr>
        <w:ilvl w:val="1"/>
        <w:numId w:val="35"/>
      </w:numPr>
    </w:pPr>
  </w:style>
  <w:style w:type="paragraph" w:customStyle="1" w:styleId="Point1letter">
    <w:name w:val="Point 1 (letter)"/>
    <w:basedOn w:val="Normal"/>
    <w:pPr>
      <w:numPr>
        <w:ilvl w:val="3"/>
        <w:numId w:val="35"/>
      </w:numPr>
    </w:pPr>
  </w:style>
  <w:style w:type="paragraph" w:customStyle="1" w:styleId="Point2letter">
    <w:name w:val="Point 2 (letter)"/>
    <w:basedOn w:val="Normal"/>
    <w:pPr>
      <w:numPr>
        <w:ilvl w:val="5"/>
        <w:numId w:val="35"/>
      </w:numPr>
    </w:pPr>
  </w:style>
  <w:style w:type="paragraph" w:customStyle="1" w:styleId="Point3letter">
    <w:name w:val="Point 3 (letter)"/>
    <w:basedOn w:val="Normal"/>
    <w:pPr>
      <w:numPr>
        <w:ilvl w:val="7"/>
        <w:numId w:val="35"/>
      </w:numPr>
    </w:pPr>
  </w:style>
  <w:style w:type="paragraph" w:customStyle="1" w:styleId="Point4letter">
    <w:name w:val="Point 4 (letter)"/>
    <w:basedOn w:val="Normal"/>
    <w:pPr>
      <w:numPr>
        <w:ilvl w:val="8"/>
        <w:numId w:val="35"/>
      </w:numPr>
    </w:pPr>
  </w:style>
  <w:style w:type="paragraph" w:customStyle="1" w:styleId="Bullet0">
    <w:name w:val="Bullet 0"/>
    <w:basedOn w:val="Normal"/>
    <w:pPr>
      <w:numPr>
        <w:numId w:val="36"/>
      </w:numPr>
    </w:pPr>
  </w:style>
  <w:style w:type="paragraph" w:customStyle="1" w:styleId="Bullet1">
    <w:name w:val="Bullet 1"/>
    <w:basedOn w:val="Normal"/>
    <w:pPr>
      <w:numPr>
        <w:numId w:val="37"/>
      </w:numPr>
    </w:pPr>
  </w:style>
  <w:style w:type="paragraph" w:customStyle="1" w:styleId="Bullet2">
    <w:name w:val="Bullet 2"/>
    <w:basedOn w:val="Normal"/>
    <w:pPr>
      <w:numPr>
        <w:numId w:val="38"/>
      </w:numPr>
    </w:pPr>
  </w:style>
  <w:style w:type="paragraph" w:customStyle="1" w:styleId="Bullet3">
    <w:name w:val="Bullet 3"/>
    <w:basedOn w:val="Normal"/>
    <w:pPr>
      <w:numPr>
        <w:numId w:val="39"/>
      </w:numPr>
    </w:pPr>
  </w:style>
  <w:style w:type="paragraph" w:customStyle="1" w:styleId="Bullet4">
    <w:name w:val="Bullet 4"/>
    <w:basedOn w:val="Normal"/>
    <w:pPr>
      <w:numPr>
        <w:numId w:val="40"/>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1"/>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lt-LT"/>
    </w:rPr>
  </w:style>
  <w:style w:type="paragraph" w:styleId="Heading1">
    <w:name w:val="heading 1"/>
    <w:basedOn w:val="Normal"/>
    <w:next w:val="Text1"/>
    <w:link w:val="Heading1Char"/>
    <w:uiPriority w:val="9"/>
    <w:qFormat/>
    <w:pPr>
      <w:keepNext/>
      <w:numPr>
        <w:numId w:val="34"/>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4"/>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4"/>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4"/>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lt-LT"/>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lt-LT"/>
    </w:r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NormalWeb">
    <w:name w:val="Normal (Web)"/>
    <w:basedOn w:val="Normal"/>
    <w:uiPriority w:val="99"/>
    <w:semiHidden/>
    <w:unhideWhenUsed/>
    <w:pPr>
      <w:spacing w:before="100" w:beforeAutospacing="1" w:after="100" w:afterAutospacing="1"/>
      <w:jc w:val="left"/>
    </w:pPr>
    <w:rPr>
      <w:rFonts w:eastAsia="Times New Roman"/>
      <w:szCs w:val="24"/>
      <w:lang w:eastAsia="en-GB"/>
    </w:rPr>
  </w:style>
  <w:style w:type="paragraph" w:styleId="Revision">
    <w:name w:val="Revision"/>
    <w:hidden/>
    <w:uiPriority w:val="99"/>
    <w:semiHidden/>
    <w:pPr>
      <w:spacing w:after="0" w:line="240" w:lineRule="auto"/>
    </w:pPr>
    <w:rPr>
      <w:rFonts w:ascii="Times New Roman" w:hAnsi="Times New Roman" w:cs="Times New Roman"/>
      <w:sz w:val="24"/>
    </w:rPr>
  </w:style>
  <w:style w:type="paragraph" w:styleId="Caption">
    <w:name w:val="caption"/>
    <w:basedOn w:val="Normal"/>
    <w:next w:val="Normal"/>
    <w:uiPriority w:val="35"/>
    <w:semiHidden/>
    <w:unhideWhenUsed/>
    <w:qFormat/>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10"/>
      </w:numPr>
      <w:contextualSpacing/>
    </w:pPr>
  </w:style>
  <w:style w:type="paragraph" w:styleId="ListNumber2">
    <w:name w:val="List Number 2"/>
    <w:basedOn w:val="Normal"/>
    <w:uiPriority w:val="99"/>
    <w:semiHidden/>
    <w:unhideWhenUsed/>
    <w:pPr>
      <w:numPr>
        <w:numId w:val="11"/>
      </w:numPr>
      <w:contextualSpacing/>
    </w:pPr>
  </w:style>
  <w:style w:type="paragraph" w:styleId="ListNumber3">
    <w:name w:val="List Number 3"/>
    <w:basedOn w:val="Normal"/>
    <w:uiPriority w:val="99"/>
    <w:semiHidden/>
    <w:unhideWhenUsed/>
    <w:pPr>
      <w:numPr>
        <w:numId w:val="12"/>
      </w:numPr>
      <w:contextualSpacing/>
    </w:pPr>
  </w:style>
  <w:style w:type="paragraph" w:styleId="ListNumber4">
    <w:name w:val="List Number 4"/>
    <w:basedOn w:val="Normal"/>
    <w:uiPriority w:val="99"/>
    <w:semiHidden/>
    <w:unhideWhenUsed/>
    <w:pPr>
      <w:numPr>
        <w:numId w:val="13"/>
      </w:numPr>
      <w:contextualSpacing/>
    </w:p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lt-LT"/>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lang w:val="lt-LT"/>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8"/>
      </w:numPr>
    </w:pPr>
  </w:style>
  <w:style w:type="paragraph" w:customStyle="1" w:styleId="Tiret1">
    <w:name w:val="Tiret 1"/>
    <w:basedOn w:val="Point1"/>
    <w:pPr>
      <w:numPr>
        <w:numId w:val="29"/>
      </w:numPr>
    </w:pPr>
  </w:style>
  <w:style w:type="paragraph" w:customStyle="1" w:styleId="Tiret2">
    <w:name w:val="Tiret 2"/>
    <w:basedOn w:val="Point2"/>
    <w:pPr>
      <w:numPr>
        <w:numId w:val="30"/>
      </w:numPr>
    </w:pPr>
  </w:style>
  <w:style w:type="paragraph" w:customStyle="1" w:styleId="Tiret3">
    <w:name w:val="Tiret 3"/>
    <w:basedOn w:val="Point3"/>
    <w:pPr>
      <w:numPr>
        <w:numId w:val="31"/>
      </w:numPr>
    </w:pPr>
  </w:style>
  <w:style w:type="paragraph" w:customStyle="1" w:styleId="Tiret4">
    <w:name w:val="Tiret 4"/>
    <w:basedOn w:val="Point4"/>
    <w:pPr>
      <w:numPr>
        <w:numId w:val="32"/>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3"/>
      </w:numPr>
    </w:pPr>
  </w:style>
  <w:style w:type="paragraph" w:customStyle="1" w:styleId="NumPar2">
    <w:name w:val="NumPar 2"/>
    <w:basedOn w:val="Normal"/>
    <w:next w:val="Text1"/>
    <w:pPr>
      <w:numPr>
        <w:ilvl w:val="1"/>
        <w:numId w:val="33"/>
      </w:numPr>
    </w:pPr>
  </w:style>
  <w:style w:type="paragraph" w:customStyle="1" w:styleId="NumPar3">
    <w:name w:val="NumPar 3"/>
    <w:basedOn w:val="Normal"/>
    <w:next w:val="Text1"/>
    <w:pPr>
      <w:numPr>
        <w:ilvl w:val="2"/>
        <w:numId w:val="33"/>
      </w:numPr>
    </w:pPr>
  </w:style>
  <w:style w:type="paragraph" w:customStyle="1" w:styleId="NumPar4">
    <w:name w:val="NumPar 4"/>
    <w:basedOn w:val="Normal"/>
    <w:next w:val="Text1"/>
    <w:pPr>
      <w:numPr>
        <w:ilvl w:val="3"/>
        <w:numId w:val="33"/>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5"/>
      </w:numPr>
    </w:pPr>
  </w:style>
  <w:style w:type="paragraph" w:customStyle="1" w:styleId="Point1number">
    <w:name w:val="Point 1 (number)"/>
    <w:basedOn w:val="Normal"/>
    <w:pPr>
      <w:numPr>
        <w:ilvl w:val="2"/>
        <w:numId w:val="35"/>
      </w:numPr>
    </w:pPr>
  </w:style>
  <w:style w:type="paragraph" w:customStyle="1" w:styleId="Point2number">
    <w:name w:val="Point 2 (number)"/>
    <w:basedOn w:val="Normal"/>
    <w:pPr>
      <w:numPr>
        <w:ilvl w:val="4"/>
        <w:numId w:val="35"/>
      </w:numPr>
    </w:pPr>
  </w:style>
  <w:style w:type="paragraph" w:customStyle="1" w:styleId="Point3number">
    <w:name w:val="Point 3 (number)"/>
    <w:basedOn w:val="Normal"/>
    <w:pPr>
      <w:numPr>
        <w:ilvl w:val="6"/>
        <w:numId w:val="35"/>
      </w:numPr>
    </w:pPr>
  </w:style>
  <w:style w:type="paragraph" w:customStyle="1" w:styleId="Point0letter">
    <w:name w:val="Point 0 (letter)"/>
    <w:basedOn w:val="Normal"/>
    <w:pPr>
      <w:numPr>
        <w:ilvl w:val="1"/>
        <w:numId w:val="35"/>
      </w:numPr>
    </w:pPr>
  </w:style>
  <w:style w:type="paragraph" w:customStyle="1" w:styleId="Point1letter">
    <w:name w:val="Point 1 (letter)"/>
    <w:basedOn w:val="Normal"/>
    <w:pPr>
      <w:numPr>
        <w:ilvl w:val="3"/>
        <w:numId w:val="35"/>
      </w:numPr>
    </w:pPr>
  </w:style>
  <w:style w:type="paragraph" w:customStyle="1" w:styleId="Point2letter">
    <w:name w:val="Point 2 (letter)"/>
    <w:basedOn w:val="Normal"/>
    <w:pPr>
      <w:numPr>
        <w:ilvl w:val="5"/>
        <w:numId w:val="35"/>
      </w:numPr>
    </w:pPr>
  </w:style>
  <w:style w:type="paragraph" w:customStyle="1" w:styleId="Point3letter">
    <w:name w:val="Point 3 (letter)"/>
    <w:basedOn w:val="Normal"/>
    <w:pPr>
      <w:numPr>
        <w:ilvl w:val="7"/>
        <w:numId w:val="35"/>
      </w:numPr>
    </w:pPr>
  </w:style>
  <w:style w:type="paragraph" w:customStyle="1" w:styleId="Point4letter">
    <w:name w:val="Point 4 (letter)"/>
    <w:basedOn w:val="Normal"/>
    <w:pPr>
      <w:numPr>
        <w:ilvl w:val="8"/>
        <w:numId w:val="35"/>
      </w:numPr>
    </w:pPr>
  </w:style>
  <w:style w:type="paragraph" w:customStyle="1" w:styleId="Bullet0">
    <w:name w:val="Bullet 0"/>
    <w:basedOn w:val="Normal"/>
    <w:pPr>
      <w:numPr>
        <w:numId w:val="36"/>
      </w:numPr>
    </w:pPr>
  </w:style>
  <w:style w:type="paragraph" w:customStyle="1" w:styleId="Bullet1">
    <w:name w:val="Bullet 1"/>
    <w:basedOn w:val="Normal"/>
    <w:pPr>
      <w:numPr>
        <w:numId w:val="37"/>
      </w:numPr>
    </w:pPr>
  </w:style>
  <w:style w:type="paragraph" w:customStyle="1" w:styleId="Bullet2">
    <w:name w:val="Bullet 2"/>
    <w:basedOn w:val="Normal"/>
    <w:pPr>
      <w:numPr>
        <w:numId w:val="38"/>
      </w:numPr>
    </w:pPr>
  </w:style>
  <w:style w:type="paragraph" w:customStyle="1" w:styleId="Bullet3">
    <w:name w:val="Bullet 3"/>
    <w:basedOn w:val="Normal"/>
    <w:pPr>
      <w:numPr>
        <w:numId w:val="39"/>
      </w:numPr>
    </w:pPr>
  </w:style>
  <w:style w:type="paragraph" w:customStyle="1" w:styleId="Bullet4">
    <w:name w:val="Bullet 4"/>
    <w:basedOn w:val="Normal"/>
    <w:pPr>
      <w:numPr>
        <w:numId w:val="40"/>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1"/>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098337">
      <w:bodyDiv w:val="1"/>
      <w:marLeft w:val="0"/>
      <w:marRight w:val="0"/>
      <w:marTop w:val="0"/>
      <w:marBottom w:val="0"/>
      <w:divBdr>
        <w:top w:val="none" w:sz="0" w:space="0" w:color="auto"/>
        <w:left w:val="none" w:sz="0" w:space="0" w:color="auto"/>
        <w:bottom w:val="none" w:sz="0" w:space="0" w:color="auto"/>
        <w:right w:val="none" w:sz="0" w:space="0" w:color="auto"/>
      </w:divBdr>
    </w:div>
    <w:div w:id="37200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9169B28-7D2F-48BC-A445-2C6FF5E7D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4</TotalTime>
  <Pages>8</Pages>
  <Words>1984</Words>
  <Characters>13181</Characters>
  <Application>Microsoft Office Word</Application>
  <DocSecurity>0</DocSecurity>
  <Lines>231</Lines>
  <Paragraphs>93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21</cp:revision>
  <dcterms:created xsi:type="dcterms:W3CDTF">2020-08-28T17:22:00Z</dcterms:created>
  <dcterms:modified xsi:type="dcterms:W3CDTF">2020-09-07T09:34:00Z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7.0.8.0</vt:lpwstr>
  </property>
  <property fmtid="{D5CDD505-2E9C-101B-9397-08002B2CF9AE}" pid="4" name="Last edited using">
    <vt:lpwstr>LW 7.0.1, Build 20190916</vt:lpwstr>
  </property>
  <property fmtid="{D5CDD505-2E9C-101B-9397-08002B2CF9AE}" pid="5" name="Created using">
    <vt:lpwstr>LW 7.0, Build 20190717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SJ-020</vt:lpwstr>
  </property>
  <property fmtid="{D5CDD505-2E9C-101B-9397-08002B2CF9AE}" pid="10" name="DQCStatus">
    <vt:lpwstr>Green (DQC version 03)</vt:lpwstr>
  </property>
  <property name="OP_sanitized" fmtid="{D5CDD505-2E9C-101B-9397-08002B2CF9AE}" pid="11">
    <vt:lpwstr>True</vt:lpwstr>
  </property>
</Properties>
</file>