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6A186950-AB7B-454B-80A3-C9ADCD671BDD" style="width:450.65pt;height:352.65pt">
            <v:imagedata r:id="rId9" o:title=""/>
          </v:shape>
        </w:pict>
      </w:r>
    </w:p>
    <w:p>
      <w:pPr>
        <w:pStyle w:val="Pagedecouverture"/>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AIŠKINAMASIS MEMORANDUMAS</w:t>
      </w:r>
    </w:p>
    <w:p>
      <w:pPr>
        <w:pStyle w:val="ManualHeading1"/>
        <w:rPr>
          <w:noProof/>
        </w:rPr>
      </w:pPr>
      <w:r>
        <w:rPr>
          <w:noProof/>
        </w:rPr>
        <w:t>1.</w:t>
      </w:r>
      <w:r>
        <w:rPr>
          <w:noProof/>
        </w:rPr>
        <w:tab/>
        <w:t>PASIŪLYMO APLINKYBĖS</w:t>
      </w:r>
    </w:p>
    <w:p>
      <w:pPr>
        <w:pStyle w:val="ManualHeading2"/>
        <w:rPr>
          <w:rFonts w:eastAsia="Arial Unicode MS"/>
          <w:noProof/>
        </w:rPr>
      </w:pPr>
      <w:r>
        <w:rPr>
          <w:noProof/>
          <w:u w:color="000000"/>
          <w:bdr w:val="nil"/>
        </w:rPr>
        <w:t>•</w:t>
      </w:r>
      <w:r>
        <w:rPr>
          <w:noProof/>
          <w:u w:color="000000"/>
          <w:bdr w:val="nil"/>
        </w:rPr>
        <w:tab/>
      </w:r>
      <w:r>
        <w:rPr>
          <w:noProof/>
        </w:rPr>
        <w:t>Pasiūlymo pagrindimas ir tikslai</w:t>
      </w:r>
    </w:p>
    <w:p>
      <w:pPr>
        <w:rPr>
          <w:noProof/>
        </w:rPr>
      </w:pPr>
      <w:r>
        <w:rPr>
          <w:noProof/>
        </w:rPr>
        <w:t>Komisija siūlo pasinaudoti visa ES biudžeto galia, kad investicijos būtų sutelktos ir finansinė parama būtų teikiama svarbiausiais pirmaisiais ekonomikos atsigavimo metais. Šie pasiūlymai grindžiami trimis ramsčiais:</w:t>
      </w:r>
    </w:p>
    <w:p>
      <w:pPr>
        <w:pStyle w:val="Bullet0"/>
        <w:numPr>
          <w:ilvl w:val="0"/>
          <w:numId w:val="17"/>
        </w:numPr>
        <w:tabs>
          <w:tab w:val="clear" w:pos="850"/>
        </w:tabs>
        <w:ind w:left="426" w:hanging="426"/>
        <w:rPr>
          <w:noProof/>
        </w:rPr>
      </w:pPr>
      <w:r>
        <w:rPr>
          <w:noProof/>
        </w:rPr>
        <w:t>pagal 2014–2020 m. daugiametę finansinę programą taikomų viršutinių ribų padidinimu, kad Sąjungoje ir už jos ribų būtų galima nedelsiant įgyvendinti priemones reaguojant į COVID-19 pandemijos poveikį;</w:t>
      </w:r>
    </w:p>
    <w:p>
      <w:pPr>
        <w:pStyle w:val="Bullet0"/>
        <w:tabs>
          <w:tab w:val="clear" w:pos="850"/>
        </w:tabs>
        <w:ind w:left="426" w:hanging="426"/>
        <w:rPr>
          <w:noProof/>
        </w:rPr>
      </w:pPr>
      <w:r>
        <w:rPr>
          <w:noProof/>
        </w:rPr>
        <w:t>skubia Europos ekonomikos gaivinimo priemone, kaip išimtine priemone pagal SESV 122 straipsnį, kurios finansavimas bus grindžiamas įgaliojimais, numatytais pasiūlyme dėl sprendimo dėl nuosavų išteklių. Šios lėšos padės įgyvendinti skubias priemones, skirtas pragyvenimui užtikrinti, prevencijai stiprinti ir atsparumui bei ekonomikos gaivinimui gerinti reaguojant į krizę;</w:t>
      </w:r>
    </w:p>
    <w:p>
      <w:pPr>
        <w:pStyle w:val="Bullet0"/>
        <w:tabs>
          <w:tab w:val="clear" w:pos="850"/>
        </w:tabs>
        <w:ind w:left="426" w:hanging="426"/>
        <w:rPr>
          <w:noProof/>
        </w:rPr>
      </w:pPr>
      <w:r>
        <w:rPr>
          <w:noProof/>
        </w:rPr>
        <w:t>patobulinta 2021–2027 m. daugiamete finansine programa.</w:t>
      </w:r>
    </w:p>
    <w:p>
      <w:pPr>
        <w:rPr>
          <w:noProof/>
        </w:rPr>
      </w:pPr>
      <w:r>
        <w:rPr>
          <w:noProof/>
        </w:rPr>
        <w:t xml:space="preserve">Šiomis aplinkybėmis Komisija siūlo šalinti neigiamus socialinius ir ekonominius COVID-19 pandemijos padarinius Sąjungos darbuotojams, namų ūkiams ir įmonėms. Dėl krizės daugelis Europos įmonių jau patiria mokumo sunkumų, o problemos dar labiau didės, nes ekonominės ir socialinės veiklos apribojimai tebegalioja, o atstumo laikymosi taisyklės ir toliau darys poveikį verslo veiklai daugelyje sektorių. Su šiais sunkumais dar ilgą laiką gali būti susiduriama net ir pasibaigus dabartinei izoliacijai, dėl jų gali padidėti esami ekonominiai skirtumai tarp valstybių narių ir jų viduje.  </w:t>
      </w:r>
    </w:p>
    <w:p>
      <w:pPr>
        <w:rPr>
          <w:rFonts w:ascii="Arial" w:hAnsi="Arial" w:cs="Arial"/>
          <w:noProof/>
          <w:sz w:val="20"/>
          <w:szCs w:val="20"/>
        </w:rPr>
      </w:pPr>
      <w:r>
        <w:rPr>
          <w:noProof/>
        </w:rPr>
        <w:t>Tikslų skaičių, kuris rodytų dėl COVID-19 pandemijos ekonominio poveikio susidariusius nuosavo kapitalo atkūrimo poreikius, nustatyti sunku. Iš Komisijos įverčių, apskaičiuotų remiantis įmonių lygmens duomenimis, matyti, kad tuo atveju, jei pasitvirtintų atskaitos scenarijus, kuriuo grindžiama pavasario prognozė, 2020 m. šie poreikiai galėtų siekti apie 720 mlrd. EUR. Jei izoliavimo priemonės būtų taikomos ilgiau, nei numatyta pavasario prognozėje, arba jei jas vėl reikėtų taikyti dėl protrūkio pasikartojimo, šie poreikiai būtų gerokai didesni. Pasitvirtinus nepalankiausiam scenarijui, pagal kurį numatoma, kad 2020 m. BVP augimas bus –15,5 %, tiesioginis poveikis visų 27 ES valstybių narių įmonių (įtrauktų ir neįtrauktų į biržos prekybos sąrašus) nuosavam kapitalui galėtų padidėti iki 1,2 trln. EUR. Neišsprendus šių kapitalo trūkumo problemų, mažesnio investavimo ir didesnio nedarbo laikotarpis gali užsitęsti. Kapitalo trūkumo poveikis įvairiuose sektoriuose, regionuose, pramonės ekosistemose ir valstybėse narėse bus nevienodas, todėl bendrojoje rinkoje atsiras skirtumų. Apskritai dauguma Europos pramonės ekosistemų yra grindžiamos sudėtingomis tiekimo grandinėmis, bendrojoje rinkoje išplitusiomis visose valstybėse narėse.</w:t>
      </w:r>
    </w:p>
    <w:p>
      <w:pPr>
        <w:rPr>
          <w:noProof/>
          <w:szCs w:val="24"/>
        </w:rPr>
      </w:pPr>
      <w:r>
        <w:rPr>
          <w:noProof/>
        </w:rPr>
        <w:t>Šią problemą dar labiau apsunkina tai, kad labai skiriasi valstybių narių pajėgumas teikti valstybės pagalbą.</w:t>
      </w:r>
    </w:p>
    <w:p>
      <w:pPr>
        <w:rPr>
          <w:noProof/>
        </w:rPr>
      </w:pPr>
      <w:r>
        <w:rPr>
          <w:noProof/>
        </w:rPr>
        <w:t>Šiuo pasiūlymu siūloma laikina nuosavu kapitalu grindžiama priemonė, kurios investavimo laikotarpis, susijęs su mokumo palaikymo linija, iš esmės trunka iki 2024 m. pabaigos, t. y. iki Investicijų komiteto ir EIB arba EIF valdymo organų patvirtinimo, ir iki 2026 m. pabaigos, t. y. iki operacijų pasirašymo. Pagal šį pasiūlymą būtų remiamos tos įmonės, kurių verslo modelis šiaip yra perspektyvus, tačiau mokumas dėl COVID-19 krizės yra sumažėjęs. Juo siekiama padėti tokioms įmonėms išgyventi šį sudėtingą laikotarpį, kad atėjus tinkamam metui jos galėtų atsigauti.</w:t>
      </w:r>
    </w:p>
    <w:p>
      <w:pPr>
        <w:rPr>
          <w:noProof/>
        </w:rPr>
      </w:pPr>
      <w:r>
        <w:rPr>
          <w:noProof/>
        </w:rPr>
        <w:lastRenderedPageBreak/>
        <w:t>Kitas šio pasiūlymo tikslas – atsverti tikėtinus bendrosios rinkos iškraipymus, atsižvelgiant į tai, kad kai kurios valstybės narės gali neturėti pakankamai biudžeto lėšų, kad galėtų teikti tinkamą paramą įmonėms, kurioms jos reikia. Todėl galimybės įmonėms taikyti nacionalines mokumo palaikymo priemones įvairiose valstybėse narėse gali labai skirtis ir dėl to gali susidaryti nevienodos sąlygos. Be to, kadangi esama didelės rizikos, kad COVID-19 poveikis bus ilgalaikis, dėl tokio nepakankamo pajėgumo padėti perspektyvioms įmonėms gali atsirasti sisteminių iškraipymų ir dėl to gali susidaryti naujų skirtumų arba esami skirtumai gali padidėti. Atsižvelgiant į glaudžias Europos ekonomikos tarpusavio sąsajas, ekonomikos nuosmukis vienoje ES dalyje turėtų neigiamą šalutinį poveikį tarpvalstybinėms tiekimo grandinėms ir visai ES ekonomikai. Ir atvirkščiai, dėl tos pat priežasties parama vienoje ES dalyje taip pat turėtų teigiamą šalutinį poveikį tarpvalstybinėms tiekimo grandinėms ir visai ES ekonomikai.</w:t>
      </w:r>
    </w:p>
    <w:p>
      <w:pPr>
        <w:rPr>
          <w:noProof/>
        </w:rPr>
      </w:pPr>
      <w:r>
        <w:rPr>
          <w:noProof/>
        </w:rPr>
        <w:t>Dėl COVID-19 sulėtėjus ekonomikai ir dėl to sumažėjus viešiesiems finansiniams ištekliams, taip pat svarbu sutelkti kuo daugiau privačiųjų išteklių perspektyvių Sąjungos įmonių mokumui remti.</w:t>
      </w:r>
    </w:p>
    <w:p>
      <w:pPr>
        <w:rPr>
          <w:noProof/>
        </w:rPr>
      </w:pPr>
      <w:r>
        <w:rPr>
          <w:noProof/>
        </w:rPr>
        <w:t>Šie tikslai bus įgyvendinami Europos investicijų bankui (EIB) pagal ESIF reglamentą</w:t>
      </w:r>
      <w:r>
        <w:rPr>
          <w:rStyle w:val="FootnoteReference"/>
          <w:noProof/>
        </w:rPr>
        <w:footnoteReference w:id="2"/>
      </w:r>
      <w:r>
        <w:rPr>
          <w:noProof/>
        </w:rPr>
        <w:t xml:space="preserve"> suteikiant Sąjungos garantiją. Mokumo palaikymas bus trečioji ESIF linija – mokumo palaikymo linija, kurios paskirtis – sutelkti privatųjį kapitalą reikalavimus atitinkančių įmonių mokumui remti. EIB grupė, naudodamasi ES garantija, investuos, daugiausia per tarpininkus, arba mažins privačių investuotojų investavimo į reikalavimus atitinkančias įmones riziką, taip sutelkdama privačiuosius išteklius toms įmonėms remti. EIB grupė tai darys investuodama į kapitalo fondus, specialiosios paskirties įmones, investavimo platformas, nacionalinius skatinamojo finansavimo bankus ar įstaigas, suteikdama dėl jų garantijas, juos finansuodama arba, jei reikės, tiesioginėmis investicijomis ar kitomis tinkamomis priemonėmis. </w:t>
      </w:r>
    </w:p>
    <w:p>
      <w:pPr>
        <w:rPr>
          <w:noProof/>
        </w:rPr>
      </w:pPr>
      <w:r>
        <w:rPr>
          <w:noProof/>
        </w:rPr>
        <w:t>Šis pasiūlymas yra Komisijos paskelbtos bendros ekonomikos gaivinimo iniciatyvos dalis. 2020 m. labai svarbu kuo greičiau – ne vėliau kaip iki 2020 m. spalio mėn. pradžios – įdiegti šią priemonę, kad 2021 m. ją būtų galima greitai pradėti naudoti visu pajėgumu.</w:t>
      </w:r>
    </w:p>
    <w:p>
      <w:pPr>
        <w:rPr>
          <w:noProof/>
        </w:rPr>
      </w:pPr>
      <w:r>
        <w:rPr>
          <w:noProof/>
        </w:rPr>
        <w:t xml:space="preserve">Mokumo palaikymo priemone galės naudotis visos valstybės narės ir visi sektoriai, kuriems taikomas ESIF reglamentas, daugiausia dėmesio skiriant toms valstybėms narėms, kurių ekonomiką COVID-19 pandemija paveikė labiausiai ir (arba) kuriose valstybės parama mokumui yra mažesnė. Šia priemone siekiama padėti atkurti įmonių gyvybingumą ir išnaudoti jų augimo potencialą, kartu prisidedant prie Sąjungos prioritetų, pvz., žaliosios pertvarkos ir perėjimo prie skaitmeninės ekonomikos arba paramos tarpvalstybinei veiklai Sąjungoje, taip pat prie Sąjungos socialinio aspekto ir konvergencijos stiprinimo. Parama bus teikiama siekiant visų reglamento tikslų. </w:t>
      </w:r>
    </w:p>
    <w:p>
      <w:pPr>
        <w:rPr>
          <w:noProof/>
        </w:rPr>
      </w:pPr>
      <w:r>
        <w:rPr>
          <w:noProof/>
        </w:rPr>
        <w:t>Siekdamos padėti įgyvendinti šią priemonę, valstybės narės gali i) steigti nacionalines specialiosios paskirties įmones, kurios galėtų teikti paraiškas paramai pagal mokumo palaikymo liniją gauti; ii) tiesiogiai arba per nacionalinį skatinamojo finansavimo banką ar įstaigą investuoti pagal valstybės pagalbos taisykles į fondus arba specialiosios paskirties įmones, kartu pasinaudodamos EIB grupės garantija arba investicija; iii) sudaryti palankesnes sąlygas steigti kapitalo fondus arba specialiosios paskirties įmones įtraukiant institucinius investuotojus.</w:t>
      </w:r>
    </w:p>
    <w:p>
      <w:pPr>
        <w:rPr>
          <w:noProof/>
        </w:rPr>
      </w:pPr>
      <w:r>
        <w:rPr>
          <w:noProof/>
        </w:rPr>
        <w:lastRenderedPageBreak/>
        <w:t>Komisija turėtų turėti galimybę dalyvauti galimame Europos investicijų fondo (EIF) kapitalo didinime (per vieną ar kelis etapus), nes šis fondas atliks svarbų vaidmenį remdamas ekonomikos gaivinimą visoje Sąjungoje: teiks garantijas, vykdys pakeitimo vertybiniais popieriais operacijas ir rems investicijas į nuosavą kapitalą. Kad Sąjunga, atstovaujama Komisijos, galėtų išlaikyti savo bendrą dalį EIF kapitale, peržiūrėtoje dabartinio laikotarpio daugiametėje finansinėje programoje tam turėtų būti numatytas iki 500 000 000 EUR finansinis paketas.</w:t>
      </w:r>
    </w:p>
    <w:p>
      <w:pPr>
        <w:rPr>
          <w:noProof/>
        </w:rPr>
      </w:pPr>
      <w:r>
        <w:rPr>
          <w:noProof/>
        </w:rPr>
        <w:t>Įgyvendinant trečiąją paramos liniją ir toliau bus taikoma ESIF valdymo struktūra. Pagal mokumo palaikymo liniją Investicijų komitetas tvirtins kiekvieną EIB finansavimo arba investavimo operaciją, t. y. priims sprendimus dėl ES garantijos suteikimo fondo, specialiosios paskirties įmonės, nacionalinio skatinamojo finansavimo banko ar įstaigos arba kitos priemonės finansavimui, garantavimui arba investavimui į juos. Dėl operacijų, kurias turės vykdyti EIF, pažymėtina, kad su Investicijų komitetu konsultuojamasi dėl finansinių produktų, kuriuos patvirtino Valdančioji taryba ir vykdomasis direktorius ir kuriuos naudodama EIF atliks atskiras operacijas. Individualius sprendimus atrinkti įmones, kurios gaus paramą per tarpininkus, priims fondas arba priemonės valdytojas, atsižvelgdamas į ESIF reglamente nustatytus kriterijus ir atitinkamus su EIB pasirašytus sutartinius susitarimus. EIB finansavimo ir investavimo operacijų atveju Investicijų komitetas taip pat gali pasilikti teisę pagal ESIF reglamentą tvirtinti susijusias dalines operacijas. Valstybės narės nedalyvauja priimant sprendimus dėl ES garantijos suteikimo. Pagal siūlomą „InvestEU“ reglamentą</w:t>
      </w:r>
      <w:r>
        <w:rPr>
          <w:rStyle w:val="FootnoteReference"/>
          <w:noProof/>
        </w:rPr>
        <w:footnoteReference w:id="3"/>
      </w:r>
      <w:r>
        <w:rPr>
          <w:noProof/>
        </w:rPr>
        <w:t xml:space="preserve"> įsteigtam Investicijų komitetui pradėjus vykdyti savo funkcijas, pagal ESIF reglamentą nustatytas Investicijų komiteto užduotis atliks pirmiau minėtas komitetas.</w:t>
      </w:r>
    </w:p>
    <w:p>
      <w:pPr>
        <w:rPr>
          <w:noProof/>
        </w:rPr>
      </w:pPr>
      <w:r>
        <w:rPr>
          <w:noProof/>
        </w:rPr>
        <w:t>Pagal dabartinį ESIF reglamentą geografinės kvotos nebus nustatomos. Toliau taikomas klimato kaitos tikslas.</w:t>
      </w:r>
    </w:p>
    <w:p>
      <w:pPr>
        <w:rPr>
          <w:noProof/>
        </w:rPr>
      </w:pPr>
      <w:r>
        <w:rPr>
          <w:noProof/>
        </w:rPr>
        <w:t>Tačiau Valdančioji taryba, laikydamasi šiame reglamente nustatytų principų, nustato konkrečias mokumo palaikymo linijos geografinės koncentracijos ribas, atitinkamai siekdama užtikrinti, kad reikalavimus atitinkančios įmonės pagal mokumo palaikymo priemonę suteikiama ES garantija daugiausia būtų remiamos tose valstybėse narėse ir sektoriuose, kuriems COVID-19 pandemija padarė didžiausią neigiamą ekonominį poveikį, ir kad ta garantija reikalavimus atitinkančios įmonės daugiausia būtų remiamos tose valstybėse narėse, kuriose galimybės gauti valstybės paramą mokumui yra mažesnės. Taip būtų užtikrinta, kad prireikus ES garantija būtų valdoma lanksčiai. Ribos laikui bėgant gali būti atnaujinamos atsižvelgiant į COVID-19 padarinius, kartu vengiant, kad pagal šią priemonę teikiama parama būtų sutelkta tik kai kuriose valstybėse narėse.</w:t>
      </w:r>
    </w:p>
    <w:p>
      <w:pPr>
        <w:rPr>
          <w:noProof/>
        </w:rPr>
      </w:pPr>
      <w:r>
        <w:rPr>
          <w:noProof/>
        </w:rPr>
        <w:t>Pagal Mokumo palaikymo priemonę bus remiamos Sąjungos įmonės, kurios, nors ir būdamos perspektyvios, dėl ekonomikos krizės, kurią sukėlė COVID-19 pandemija, susidurs su mokumo rizika (išskyrus įmones, kurios pagal valstybės pagalbos nuostatas</w:t>
      </w:r>
      <w:r>
        <w:rPr>
          <w:rStyle w:val="FootnoteReference"/>
          <w:noProof/>
        </w:rPr>
        <w:footnoteReference w:id="4"/>
      </w:r>
      <w:r>
        <w:rPr>
          <w:noProof/>
        </w:rPr>
        <w:t xml:space="preserve"> 2019 m. pabaigoje buvo laikomos patiriančiomis sunkumų), siekiant atkurti jų veiklos tvarumą ir pelningumą bei juos padidinti. Kiti nuosavo kapitalo finansavimo ir mišraus finansavimo kriterijai bus nustatyti investavimo gairėse arba susitarime dėl garantijos. Kad šia priemone nesinaudotų įmonės, kurios turi galimybę gauti nuosavo kapitalo finansavimą, taip pat siekiant užtikrinti šios priemonės papildomumą, nuosavo kapitalo finansavimas turėtų būti </w:t>
      </w:r>
      <w:r>
        <w:rPr>
          <w:noProof/>
        </w:rPr>
        <w:lastRenderedPageBreak/>
        <w:t>teikiamas komercinėmis sąlygomis arba sąlygomis, panašiomis į laikinąją valstybės pagalbos sistemą</w:t>
      </w:r>
      <w:r>
        <w:rPr>
          <w:rStyle w:val="FootnoteReference"/>
          <w:noProof/>
        </w:rPr>
        <w:footnoteReference w:id="5"/>
      </w:r>
      <w:r>
        <w:rPr>
          <w:noProof/>
        </w:rPr>
        <w:t xml:space="preserve"> (pvz., taikant atlygio ir išeities strategiją), kartu tinkamai atsižvelgiant į europinį priemonės pobūdį ir deramą dėmesį skiriant nepriklausomam fondų bei kitų priemonių valdymui, ir atsižvelgiant į nuosavybės vertybinių popierių rinkų skirtumus visoje Sąjungoje. Išsamų fondų arba kitų tarpininkavimo priemonių patikrinimą atliks EIB arba EIF, laikydamiesi savo taisyklių, procedūrų ir mokumo palaikymo linijos tikslų, o išsamų atitinkamų įmonių patikrinimą atliks fondai arba kitos priemonės.</w:t>
      </w:r>
    </w:p>
    <w:p>
      <w:pPr>
        <w:rPr>
          <w:rFonts w:ascii="&amp;quot" w:hAnsi="&amp;quot"/>
          <w:noProof/>
          <w:sz w:val="21"/>
          <w:szCs w:val="21"/>
        </w:rPr>
      </w:pPr>
      <w:r>
        <w:rPr>
          <w:noProof/>
        </w:rPr>
        <w:t>Tarpininkų fondai arba priemonės būtų steigiami Sąjungoje.</w:t>
      </w:r>
      <w:r>
        <w:rPr>
          <w:rFonts w:ascii="&amp;quot" w:hAnsi="&amp;quot"/>
          <w:noProof/>
          <w:sz w:val="21"/>
          <w:szCs w:val="21"/>
        </w:rPr>
        <w:t xml:space="preserve"> </w:t>
      </w:r>
    </w:p>
    <w:p>
      <w:pPr>
        <w:pStyle w:val="ManualHeading2"/>
        <w:rPr>
          <w:rFonts w:eastAsia="Arial Unicode MS"/>
          <w:noProof/>
          <w:u w:color="000000"/>
          <w:bdr w:val="nil"/>
        </w:rPr>
      </w:pPr>
      <w:r>
        <w:rPr>
          <w:noProof/>
          <w:u w:color="000000"/>
          <w:bdr w:val="nil"/>
        </w:rPr>
        <w:t>•</w:t>
      </w:r>
      <w:r>
        <w:rPr>
          <w:noProof/>
          <w:u w:color="000000"/>
          <w:bdr w:val="nil"/>
        </w:rPr>
        <w:tab/>
      </w:r>
      <w:r>
        <w:rPr>
          <w:noProof/>
        </w:rPr>
        <w:t>Suderinamumas su toje pačioje politikos srityje galiojančiomis nuostatomis</w:t>
      </w:r>
    </w:p>
    <w:p>
      <w:pPr>
        <w:rPr>
          <w:noProof/>
        </w:rPr>
      </w:pPr>
      <w:r>
        <w:rPr>
          <w:noProof/>
        </w:rPr>
        <w:t xml:space="preserve">Šiuo pasiūlymu papildoma parama investicijoms ir galimybės gauti finansavimą pagal ESIF reglamentą ir siūlomą „InvestEU“ reglamentą, skirtą 2021–2027 m. daugiametei finansinei programai, suteikiant paramą įmonėms, kurių verslo modelis yra perspektyvus, bet dėl COVID-19 krizės įmonė gali susidurti su mokumo problemomis. Mokumo palaikymo priemonė tokioms įmonėms suteikia galimybę išgyventi krizę pasinaudojant laikinu mokumo palaikymu. </w:t>
      </w:r>
    </w:p>
    <w:p>
      <w:pPr>
        <w:pBdr>
          <w:top w:val="nil"/>
          <w:left w:val="nil"/>
          <w:bottom w:val="nil"/>
          <w:right w:val="nil"/>
          <w:between w:val="nil"/>
          <w:bar w:val="nil"/>
        </w:pBdr>
        <w:spacing w:before="0" w:after="240"/>
        <w:rPr>
          <w:rFonts w:eastAsia="Arial Unicode MS"/>
          <w:noProof/>
        </w:rPr>
      </w:pPr>
      <w:r>
        <w:rPr>
          <w:noProof/>
        </w:rPr>
        <w:t>Mokumo palaikymo priemone papildomos kitos Sąjungos programos, kuriomis siekiama švelninti COVID-19 krizės poveikį arba gaivinti ekonomiką šiai krizei slopstant. Ja visų pirma papildoma MVĮ skirta parama: i) iš sanglaudai skirtos ekonomikos gaivinimo pagalbos (REACT-EU) lėšų bus teikiama paankstinta parama ir MVĮ; ii) tam bus naudojamas visos Europos garantijų fondas, kurį reaguodamas į Covid-19 krizę ir remdamasis valstybių narių garantija šiuo metu steigia EIB. Be to, nuo 2021 m. papildoma parama bus teikiama pagal MVĮ liniją, stiprinamą pagal programą „InvestEU“.</w:t>
      </w:r>
    </w:p>
    <w:p>
      <w:pPr>
        <w:pStyle w:val="ManualHeading2"/>
        <w:rPr>
          <w:rFonts w:eastAsia="Arial Unicode MS"/>
          <w:noProof/>
        </w:rPr>
      </w:pPr>
      <w:r>
        <w:rPr>
          <w:noProof/>
          <w:u w:color="000000"/>
          <w:bdr w:val="nil"/>
        </w:rPr>
        <w:t>•</w:t>
      </w:r>
      <w:r>
        <w:rPr>
          <w:noProof/>
          <w:u w:color="000000"/>
          <w:bdr w:val="nil"/>
        </w:rPr>
        <w:tab/>
      </w:r>
      <w:r>
        <w:rPr>
          <w:noProof/>
        </w:rPr>
        <w:t>Suderinamumas su kitomis Sąjungos politikos sritimis</w:t>
      </w:r>
    </w:p>
    <w:p>
      <w:pPr>
        <w:pBdr>
          <w:top w:val="nil"/>
          <w:left w:val="nil"/>
          <w:bottom w:val="nil"/>
          <w:right w:val="nil"/>
          <w:between w:val="nil"/>
          <w:bar w:val="nil"/>
        </w:pBdr>
        <w:spacing w:before="0" w:after="240"/>
        <w:rPr>
          <w:rFonts w:eastAsia="Arial Unicode MS"/>
          <w:noProof/>
        </w:rPr>
      </w:pPr>
      <w:r>
        <w:rPr>
          <w:noProof/>
        </w:rPr>
        <w:t>Mokumo palaikymo priemonė dera su atitinkama Sąjungos politika, pvz., Europos žaliuoju kursu, tvarios Europos investicijų planu ir sektorių politika, susijusia su parama investicijoms.</w:t>
      </w:r>
    </w:p>
    <w:p>
      <w:pPr>
        <w:pBdr>
          <w:top w:val="nil"/>
          <w:left w:val="nil"/>
          <w:bottom w:val="nil"/>
          <w:right w:val="nil"/>
          <w:between w:val="nil"/>
          <w:bar w:val="nil"/>
        </w:pBdr>
        <w:spacing w:before="0" w:after="240"/>
        <w:rPr>
          <w:rFonts w:eastAsia="Arial Unicode MS"/>
          <w:noProof/>
        </w:rPr>
      </w:pPr>
      <w:r>
        <w:rPr>
          <w:noProof/>
        </w:rPr>
        <w:t>Finansavimo ir investavimo operacijų pagal mokumo palaikymo liniją sąlygos turėtų atitikti valstybės pagalbos taisykles, kad būtų užtikrintos vienodos sąlygos ir palengvintas galimas derinimas su valstybių narių tiesiogiai teikiama parama. Be to, tinkamai atsižvelgiama į europinį Mokumo palaikymo priemonės pobūdį ir deramas dėmesys skiriamas nepriklausomam fondų ir kitų priemonių valdymui.</w:t>
      </w:r>
    </w:p>
    <w:p>
      <w:pPr>
        <w:pBdr>
          <w:top w:val="nil"/>
          <w:left w:val="nil"/>
          <w:bottom w:val="nil"/>
          <w:right w:val="nil"/>
          <w:between w:val="nil"/>
          <w:bar w:val="nil"/>
        </w:pBdr>
        <w:spacing w:before="0" w:after="240"/>
        <w:rPr>
          <w:rFonts w:eastAsia="Arial Unicode MS"/>
          <w:noProof/>
        </w:rPr>
      </w:pPr>
      <w:r>
        <w:rPr>
          <w:noProof/>
        </w:rPr>
        <w:t>ES garantijos teikimo nuostatos bus tokios, kad būtų išvengta bet kokio nederamo konkurencijos iškraipymo: ji bus teikiama tik tų įmonių kapitalo padėčiai atkurti, kurios iki COVID-19 protrūkio nepatyrė sunkumų ir kurioms dėl krizės kyla didelė mokumo rizika. Be to, bus pritraukti privatūs investuotojai ir skatinamas naujų fondų ir priemonių steigimas. Priimant sprendimus dėl finansavimo bus vadovaujamasi komercine logika, o nepriklausomi komercinių fondų valdytojai atrinks įmones su pakankamomis grąžos perspektyvomis.</w:t>
      </w:r>
    </w:p>
    <w:p>
      <w:pPr>
        <w:pStyle w:val="ManualHeading1"/>
        <w:rPr>
          <w:noProof/>
        </w:rPr>
      </w:pPr>
      <w:r>
        <w:rPr>
          <w:noProof/>
        </w:rPr>
        <w:t>2.</w:t>
      </w:r>
      <w:r>
        <w:rPr>
          <w:noProof/>
        </w:rPr>
        <w:tab/>
        <w:t>TEISINIS PAGRINDAS, SUBSIDIARUMO IR PROPORCINGUMO PRINCIPAI</w:t>
      </w:r>
    </w:p>
    <w:p>
      <w:pPr>
        <w:pStyle w:val="ManualHeading2"/>
        <w:rPr>
          <w:rFonts w:eastAsia="Arial Unicode MS"/>
          <w:noProof/>
          <w:u w:color="000000"/>
          <w:bdr w:val="nil"/>
        </w:rPr>
      </w:pPr>
      <w:r>
        <w:rPr>
          <w:noProof/>
          <w:u w:color="000000"/>
          <w:bdr w:val="nil"/>
        </w:rPr>
        <w:t>•</w:t>
      </w:r>
      <w:r>
        <w:rPr>
          <w:noProof/>
          <w:u w:color="000000"/>
          <w:bdr w:val="nil"/>
        </w:rPr>
        <w:tab/>
        <w:t>Teisinis pagrindas</w:t>
      </w:r>
    </w:p>
    <w:p>
      <w:pPr>
        <w:rPr>
          <w:noProof/>
        </w:rPr>
      </w:pPr>
      <w:r>
        <w:rPr>
          <w:noProof/>
        </w:rPr>
        <w:t xml:space="preserve"> Pasiūlymu iš dalies keičiamas ESIF reglamentas, kad būtų taikomas tas pats teisinis pagrindas.</w:t>
      </w:r>
    </w:p>
    <w:p>
      <w:pPr>
        <w:pStyle w:val="ManualHeading2"/>
        <w:rPr>
          <w:rFonts w:eastAsia="Arial Unicode MS"/>
          <w:noProof/>
          <w:u w:color="000000"/>
          <w:bdr w:val="nil"/>
        </w:rPr>
      </w:pPr>
      <w:r>
        <w:rPr>
          <w:noProof/>
          <w:u w:color="000000"/>
          <w:bdr w:val="nil"/>
        </w:rPr>
        <w:lastRenderedPageBreak/>
        <w:t>•</w:t>
      </w:r>
      <w:r>
        <w:rPr>
          <w:noProof/>
          <w:u w:color="000000"/>
          <w:bdr w:val="nil"/>
        </w:rPr>
        <w:tab/>
        <w:t xml:space="preserve">Subsidiarumo principas </w:t>
      </w:r>
    </w:p>
    <w:p>
      <w:pPr>
        <w:rPr>
          <w:noProof/>
        </w:rPr>
      </w:pPr>
      <w:r>
        <w:rPr>
          <w:noProof/>
        </w:rPr>
        <w:t xml:space="preserve">Valstybės narės negali deramai pasiekti pasiūlymo tikslų, todėl jų būtų geriau siekti Sąjungos lygmeniu. Dėl valstybių narių fiskalinio pajėgumo veikti skirtumų ir dėl siūlomo veiksmo masto ir poveikio tų tikslų būtų geriau siekti Sąjungos lygmens veiksmais. Kalbant konkrečiau, Sąjungos lygmens veiksmais bus galima atsverti vidaus rinkos iškraipymus, atsiradusius dėl skirtingo atskirų valstybių narių fiskalinio pajėgumo teikti valstybės pagalbą savo įmonių mokumui pagerinti, ir, išvengiant perspektyvių įmonių bankroto, vidaus rinkos tarpusavyje susijusioms tiekimo grandinėms bus sudarytos sąlygos veikti patiriant mažiau sutrikimų. Be to, jais bus galima užtikrinti masto ekonomiją naudojant Sąjungos biudžeto lėšas kartu su EIB grupės finansavimu, skatinant privačiąsias investicijas visoje Sąjungoje. </w:t>
      </w:r>
    </w:p>
    <w:p>
      <w:pPr>
        <w:pStyle w:val="ManualHeading2"/>
        <w:rPr>
          <w:rFonts w:eastAsia="Arial Unicode MS"/>
          <w:noProof/>
          <w:u w:color="000000"/>
          <w:bdr w:val="nil"/>
        </w:rPr>
      </w:pPr>
      <w:r>
        <w:rPr>
          <w:noProof/>
          <w:u w:color="000000"/>
          <w:bdr w:val="nil"/>
        </w:rPr>
        <w:t>•</w:t>
      </w:r>
      <w:r>
        <w:rPr>
          <w:noProof/>
          <w:u w:color="000000"/>
          <w:bdr w:val="nil"/>
        </w:rPr>
        <w:tab/>
        <w:t>Proporcingumo principas</w:t>
      </w:r>
    </w:p>
    <w:p>
      <w:pPr>
        <w:rPr>
          <w:noProof/>
        </w:rPr>
      </w:pPr>
      <w:r>
        <w:rPr>
          <w:noProof/>
        </w:rPr>
        <w:t>Šiuo pasiūlymu neviršijama to, kas būtina siekiamiems tikslams pasiekti. Juo siekiama paremti įmones ir projektus, kuriuos neigiamai veikia ekonominiai COVID-19 pandemijos padariniai, darantys poveikį visoms valstybėms narėms. Mokumui palaikyti skirtoms viešosioms lėšoms papildyti sutelkiant privačiąsias lėšas, veiksmingai ir proporcingai išnaudojamas svertinis biudžeto išteklių poveikis.</w:t>
      </w:r>
    </w:p>
    <w:p>
      <w:pPr>
        <w:pStyle w:val="ManualHeading1"/>
        <w:rPr>
          <w:noProof/>
        </w:rPr>
      </w:pPr>
      <w:r>
        <w:rPr>
          <w:noProof/>
        </w:rPr>
        <w:t>3.</w:t>
      </w:r>
      <w:r>
        <w:rPr>
          <w:noProof/>
        </w:rPr>
        <w:tab/>
      </w:r>
      <w:r>
        <w:rPr>
          <w:i/>
          <w:noProof/>
        </w:rPr>
        <w:t>EX POST</w:t>
      </w:r>
      <w:r>
        <w:rPr>
          <w:noProof/>
        </w:rPr>
        <w:t xml:space="preserve"> VERTINIMO, KONSULTACIJŲ SU SUINTERESUOTOSIOMIS ŠALIMIS IR POVEIKIO VERTINIMO REZULTATAI</w:t>
      </w:r>
    </w:p>
    <w:p>
      <w:pPr>
        <w:pStyle w:val="ManualHeading2"/>
        <w:tabs>
          <w:tab w:val="clear" w:pos="850"/>
          <w:tab w:val="left" w:pos="0"/>
        </w:tabs>
        <w:ind w:left="0" w:firstLine="0"/>
        <w:rPr>
          <w:rFonts w:eastAsia="Arial Unicode MS"/>
          <w:b w:val="0"/>
          <w:noProof/>
          <w:u w:color="000000"/>
          <w:bdr w:val="nil"/>
        </w:rPr>
      </w:pPr>
      <w:r>
        <w:rPr>
          <w:b w:val="0"/>
          <w:noProof/>
          <w:u w:color="000000"/>
          <w:bdr w:val="nil"/>
        </w:rPr>
        <w:t xml:space="preserve">Šis pasiūlymas yra kovos su neigiamais ekonominiais COVID-19 pandemijos padariniais priemonių rinkinio dalis ir viena iš kovos su krize priemonių. </w:t>
      </w:r>
    </w:p>
    <w:p>
      <w:pPr>
        <w:pStyle w:val="ManualHeading2"/>
        <w:rPr>
          <w:noProof/>
          <w:u w:color="000000"/>
          <w:bdr w:val="nil"/>
        </w:rPr>
      </w:pPr>
      <w:r>
        <w:rPr>
          <w:noProof/>
          <w:u w:color="000000"/>
          <w:bdr w:val="nil"/>
        </w:rPr>
        <w:t>•</w:t>
      </w:r>
      <w:r>
        <w:rPr>
          <w:noProof/>
          <w:u w:color="000000"/>
          <w:bdr w:val="nil"/>
        </w:rPr>
        <w:tab/>
        <w:t>Konsultacijos su suinteresuotosiomis šalimis</w:t>
      </w:r>
    </w:p>
    <w:p>
      <w:pPr>
        <w:pBdr>
          <w:top w:val="nil"/>
          <w:left w:val="nil"/>
          <w:bottom w:val="nil"/>
          <w:right w:val="nil"/>
          <w:between w:val="nil"/>
          <w:bar w:val="nil"/>
        </w:pBdr>
        <w:spacing w:before="0" w:after="240"/>
        <w:rPr>
          <w:rFonts w:eastAsia="Arial Unicode MS"/>
          <w:noProof/>
        </w:rPr>
      </w:pPr>
      <w:r>
        <w:rPr>
          <w:noProof/>
        </w:rPr>
        <w:t>Dėl skubos parengti pasiūlymą, kad Europos Parlamentas ir Taryba galėtų jį laiku priimti, konsultacijos su suinteresuotaisiais subjektais negalėjo būti rengiamos.</w:t>
      </w:r>
    </w:p>
    <w:p>
      <w:pPr>
        <w:pStyle w:val="ManualHeading2"/>
        <w:rPr>
          <w:noProof/>
          <w:u w:color="000000"/>
          <w:bdr w:val="nil"/>
        </w:rPr>
      </w:pPr>
      <w:r>
        <w:rPr>
          <w:noProof/>
          <w:u w:color="000000"/>
          <w:bdr w:val="nil"/>
        </w:rPr>
        <w:t>•</w:t>
      </w:r>
      <w:r>
        <w:rPr>
          <w:noProof/>
          <w:u w:color="000000"/>
          <w:bdr w:val="nil"/>
        </w:rPr>
        <w:tab/>
        <w:t>Poveikio vertinimas</w:t>
      </w:r>
    </w:p>
    <w:p>
      <w:pPr>
        <w:pBdr>
          <w:top w:val="nil"/>
          <w:left w:val="nil"/>
          <w:bottom w:val="nil"/>
          <w:right w:val="nil"/>
          <w:between w:val="nil"/>
          <w:bar w:val="nil"/>
        </w:pBdr>
        <w:spacing w:before="0" w:after="240"/>
        <w:rPr>
          <w:rFonts w:eastAsia="Arial Unicode MS"/>
          <w:noProof/>
        </w:rPr>
      </w:pPr>
      <w:r>
        <w:rPr>
          <w:noProof/>
        </w:rPr>
        <w:t>Kadangi pasiūlymas yra skubus, poveikio vertinimas nebuvo atliktas.</w:t>
      </w:r>
    </w:p>
    <w:p>
      <w:pPr>
        <w:pStyle w:val="ManualHeading1"/>
        <w:rPr>
          <w:noProof/>
        </w:rPr>
      </w:pPr>
      <w:r>
        <w:rPr>
          <w:noProof/>
          <w:u w:color="000000"/>
          <w:bdr w:val="nil"/>
        </w:rPr>
        <w:t xml:space="preserve"> </w:t>
      </w:r>
      <w:r>
        <w:rPr>
          <w:noProof/>
        </w:rPr>
        <w:t>4.</w:t>
      </w:r>
      <w:r>
        <w:rPr>
          <w:noProof/>
        </w:rPr>
        <w:tab/>
        <w:t>POVEIKIS BIUDŽETUI</w:t>
      </w:r>
    </w:p>
    <w:p>
      <w:pPr>
        <w:rPr>
          <w:noProof/>
        </w:rPr>
      </w:pPr>
      <w:r>
        <w:rPr>
          <w:noProof/>
        </w:rPr>
        <w:t xml:space="preserve">Pagal ESIF reglamentą suteikiama ES garantija bus padidinta nuo 26 mlrd. EUR iki 92,4 mlrd. EUR. Atsižvelgiant į numatomą portfelio, kuris turi būti sudarytas pagal mokumo palaikymo liniją, rizikingumą, apskaičiuota, kad šiai trečiajai linijai priskiriamai ES garantijos daliai reikia skirti 50 % atidėjinių, nes tikslinių investicijų riziką dabartinėmis ekonominėmis aplinkybėmis yra didesnė. Be to, atsižvelgiant į tai, kad ES garantija yra didelė, ir į numatomų intervencinių priemonių rūšis, taip pat matyti, kad reikia taikyti konservatyvų atidėjinių sudarymo metodą. Vadinasi, papildomi atidėjiniai, susiję su padidinta ES garantija, sudarys 33,2 mlrd. EUR. Bendra ES garantijų fondo atidėjinių norma bus atitinkamai padidinta iki 45,8 % visų ES garantijos įsipareigojimų. Todėl ESIF garantijų fondas turėtų būti padidintas 33,2 mlrd. EUR ir iš viso sudaryti 42,3 mlrd. EUR. </w:t>
      </w:r>
    </w:p>
    <w:p>
      <w:pPr>
        <w:pBdr>
          <w:top w:val="nil"/>
          <w:left w:val="nil"/>
          <w:bottom w:val="nil"/>
          <w:right w:val="nil"/>
          <w:between w:val="nil"/>
          <w:bar w:val="nil"/>
        </w:pBdr>
        <w:spacing w:before="0" w:after="240"/>
        <w:rPr>
          <w:noProof/>
        </w:rPr>
      </w:pPr>
      <w:r>
        <w:rPr>
          <w:noProof/>
        </w:rPr>
        <w:t>Papildomi ištekliai bus sutelkti padidinant pagal 2014–2020 m. daugiametę finansinę programą taikomas viršutines ribas ir pagal Europos ekonomikos gaivinimo priemonę teikiamą finansavimą, remiantis naujajame sprendime dėl nuosavų išteklių numatytais įgaliojimais.</w:t>
      </w:r>
    </w:p>
    <w:p>
      <w:pPr>
        <w:pBdr>
          <w:top w:val="nil"/>
          <w:left w:val="nil"/>
          <w:bottom w:val="nil"/>
          <w:right w:val="nil"/>
          <w:between w:val="nil"/>
          <w:bar w:val="nil"/>
        </w:pBdr>
        <w:spacing w:before="0" w:after="240"/>
        <w:rPr>
          <w:noProof/>
        </w:rPr>
      </w:pPr>
      <w:r>
        <w:rPr>
          <w:noProof/>
        </w:rPr>
        <w:t xml:space="preserve">Konkreti 100 mln. EUR suma bus reikalinga išlaidoms, susijusioms su struktūrų (kapitalo fondų, specialiosios paskirties įmonių, investavimo platformų ir t. t.), per kurias bus teikiama </w:t>
      </w:r>
      <w:r>
        <w:rPr>
          <w:noProof/>
        </w:rPr>
        <w:lastRenderedPageBreak/>
        <w:t xml:space="preserve">parama pagal mokumo palaikymo liniją, steigimu ir valdymu, padengti, taip pat susijusioms konsultavimo paslaugoms ir techninei pagalbai, visų pirma – skirtoms pagal mokumo palaikymo liniją finansuojamų įmonių žaliajai pertvarkai ir skaitmeninei transformacijai paremti. </w:t>
      </w:r>
    </w:p>
    <w:p>
      <w:pPr>
        <w:pBdr>
          <w:top w:val="nil"/>
          <w:left w:val="nil"/>
          <w:bottom w:val="nil"/>
          <w:right w:val="nil"/>
          <w:between w:val="nil"/>
          <w:bar w:val="nil"/>
        </w:pBdr>
        <w:spacing w:before="0" w:after="240"/>
        <w:rPr>
          <w:noProof/>
        </w:rPr>
      </w:pPr>
      <w:r>
        <w:rPr>
          <w:noProof/>
        </w:rPr>
        <w:t>Sąjungos dalyvavimui galimame būsimame EIF kapitalo didinime (per vieną ar kelis etapus) peržiūrėtoje dabartinio laikotarpio daugiametėje finansinėje programoje reikės numatyti iki 500 mln. EUR finansinį paketą. Tai susiję su Sąjungos dalimi įmokėtoje kapitalo didinimo dalyje. Sąjunga turėtų turėti galimybę išlaikyti savo bendrą EIF kapitalo dalį.</w:t>
      </w:r>
    </w:p>
    <w:p>
      <w:pPr>
        <w:pBdr>
          <w:top w:val="nil"/>
          <w:left w:val="nil"/>
          <w:bottom w:val="nil"/>
          <w:right w:val="nil"/>
          <w:between w:val="nil"/>
          <w:bar w:val="nil"/>
        </w:pBdr>
        <w:spacing w:before="0" w:after="240"/>
        <w:rPr>
          <w:rFonts w:eastAsia="Arial Unicode MS"/>
          <w:noProof/>
        </w:rPr>
      </w:pPr>
      <w:r>
        <w:rPr>
          <w:noProof/>
        </w:rPr>
        <w:t>Daugiau informacijos apie biudžetą pateikta prie šio pasiūlymo pridėtoje finansinėje teisės akto pasiūlymo pažymoje.</w:t>
      </w:r>
    </w:p>
    <w:p>
      <w:pPr>
        <w:pStyle w:val="ManualHeading1"/>
        <w:rPr>
          <w:noProof/>
        </w:rPr>
      </w:pPr>
      <w:r>
        <w:rPr>
          <w:noProof/>
        </w:rPr>
        <w:t>5.</w:t>
      </w:r>
      <w:r>
        <w:rPr>
          <w:noProof/>
        </w:rPr>
        <w:tab/>
        <w:t>KITI ELEMENTAI</w:t>
      </w:r>
    </w:p>
    <w:p>
      <w:pPr>
        <w:pStyle w:val="ManualHeading2"/>
        <w:rPr>
          <w:rFonts w:eastAsia="Arial Unicode MS"/>
          <w:noProof/>
          <w:u w:color="000000"/>
          <w:bdr w:val="nil"/>
        </w:rPr>
      </w:pPr>
      <w:r>
        <w:rPr>
          <w:noProof/>
          <w:u w:color="000000"/>
          <w:bdr w:val="nil"/>
        </w:rPr>
        <w:t>•</w:t>
      </w:r>
      <w:r>
        <w:rPr>
          <w:noProof/>
          <w:u w:color="000000"/>
          <w:bdr w:val="nil"/>
        </w:rPr>
        <w:tab/>
        <w:t>Įgyvendinimo planai ir stebėsena, vertinimas ir ataskaitų teikimo tvarka</w:t>
      </w:r>
    </w:p>
    <w:p>
      <w:pPr>
        <w:rPr>
          <w:noProof/>
        </w:rPr>
      </w:pPr>
      <w:r>
        <w:rPr>
          <w:noProof/>
        </w:rPr>
        <w:t>EIB tiesiogiai arba per EIF įgyvendins Mokumo palaikymo priemonę. Stebėsenos ir ataskaitų teikimo tvarka bus nustatyta susitarime dėl garantijos ir atitiks galiojančius reikalavimus. Stebėsena apims pagrindinius veiklos rodiklius, kuriais remiantis bus stebima pažanga siekiant mokumo palaikymo linijos tikslų.</w:t>
      </w:r>
    </w:p>
    <w:p>
      <w:pPr>
        <w:pStyle w:val="ManualHeading2"/>
        <w:rPr>
          <w:rFonts w:eastAsia="Arial Unicode MS"/>
          <w:noProof/>
          <w:u w:color="000000"/>
          <w:bdr w:val="nil"/>
        </w:rPr>
      </w:pPr>
      <w:r>
        <w:rPr>
          <w:noProof/>
          <w:u w:color="000000"/>
          <w:bdr w:val="nil"/>
        </w:rPr>
        <w:t>•</w:t>
      </w:r>
      <w:r>
        <w:rPr>
          <w:noProof/>
          <w:u w:color="000000"/>
          <w:bdr w:val="nil"/>
        </w:rPr>
        <w:tab/>
        <w:t>Išsamus konkrečių pasiūlymo nuostatų paaiškinimas</w:t>
      </w:r>
    </w:p>
    <w:p>
      <w:pPr>
        <w:rPr>
          <w:noProof/>
        </w:rPr>
      </w:pPr>
      <w:r>
        <w:rPr>
          <w:noProof/>
        </w:rPr>
        <w:t>Konkrečios nuostatos paaiškintos atitinkamame ESIF reglamento skyriuje.</w:t>
      </w:r>
    </w:p>
    <w:p>
      <w:pPr>
        <w:rPr>
          <w:b/>
          <w:noProof/>
        </w:rPr>
      </w:pPr>
      <w:r>
        <w:rPr>
          <w:b/>
          <w:noProof/>
        </w:rPr>
        <w:t>II skyrius</w:t>
      </w:r>
    </w:p>
    <w:p>
      <w:pPr>
        <w:rPr>
          <w:noProof/>
        </w:rPr>
      </w:pPr>
      <w:r>
        <w:rPr>
          <w:noProof/>
        </w:rPr>
        <w:t>Steigiama trečioji ESIF linija (mokumo palaikymo linija).</w:t>
      </w:r>
    </w:p>
    <w:p>
      <w:pPr>
        <w:rPr>
          <w:noProof/>
        </w:rPr>
      </w:pPr>
      <w:r>
        <w:rPr>
          <w:noProof/>
        </w:rPr>
        <w:t xml:space="preserve">ES garantijos naudojimo pagal mokumo palaikymo liniją kriterijais nustatyta, kad įmonės ir projektai, kuriems pagal šią liniją gali būti suteikiama ES garantija, 2019 m. pabaigoje neturi būti patyrę sunkumų vertinant pagal valstybės pagalbos nuostatas, taip užtikrinant, kad ES garantija būtų naudojama mokumo palaikymui, kuris padėtų jiems atsigauti po COVID-19 pandemijos sukeltos krizės, teikti. Įmonės taip pat apima specialiosios paskirties įmones, projektų įmones ir viešojo bei privačiojo sektorių partnerystes. </w:t>
      </w:r>
    </w:p>
    <w:p>
      <w:pPr>
        <w:rPr>
          <w:noProof/>
        </w:rPr>
      </w:pPr>
      <w:r>
        <w:rPr>
          <w:noProof/>
        </w:rPr>
        <w:t>Parama teikiama investicijomis arba per fondus, specialiosios paskirties įmones, investavimo platformas ar kitas tarpininkavimo priemones. Skatinamas bendradarbiavimas su nacionaliniais skatinamojo finansavimo bankais ar įstaigomis.</w:t>
      </w:r>
    </w:p>
    <w:p>
      <w:pPr>
        <w:rPr>
          <w:b/>
          <w:noProof/>
        </w:rPr>
      </w:pPr>
      <w:r>
        <w:rPr>
          <w:b/>
          <w:noProof/>
        </w:rPr>
        <w:t>III skyrius ir investavimo gairės (II priedas)</w:t>
      </w:r>
    </w:p>
    <w:p>
      <w:pPr>
        <w:rPr>
          <w:noProof/>
        </w:rPr>
      </w:pPr>
      <w:r>
        <w:rPr>
          <w:noProof/>
        </w:rPr>
        <w:t xml:space="preserve">Kad galėtų gauti paramą mokumui, įmonės turi būti įsisteigusios ir veikti Sąjungoje. </w:t>
      </w:r>
    </w:p>
    <w:p>
      <w:pPr>
        <w:rPr>
          <w:noProof/>
        </w:rPr>
      </w:pPr>
      <w:r>
        <w:rPr>
          <w:noProof/>
        </w:rPr>
        <w:t>Numatyta, kad operacijas pagal mokumo palaikymo liniją gali vykdyti ir EIB, ir EIF.</w:t>
      </w:r>
    </w:p>
    <w:p>
      <w:pPr>
        <w:rPr>
          <w:noProof/>
        </w:rPr>
      </w:pPr>
      <w:r>
        <w:rPr>
          <w:noProof/>
        </w:rPr>
        <w:t xml:space="preserve">Bendrieji ESIF tikslai papildyti nuoroda į Europos žaliąjį kursą ir Europos skaitmeninės ateities kūrimo strategiją, taip pat nurodytas poreikis vengti regioninių skirtumų susidarymo dėl nesimetriško ekonomikos atsigavimo po COVID-19 pandemijos. </w:t>
      </w:r>
    </w:p>
    <w:p>
      <w:pPr>
        <w:rPr>
          <w:noProof/>
        </w:rPr>
      </w:pPr>
      <w:r>
        <w:rPr>
          <w:noProof/>
        </w:rPr>
        <w:t xml:space="preserve">Valdančioji taryba, atsižvelgdama į visus taikomus viešosios tvarkos arba saugumo aspektus, nustato visus būtinus reikalavimus, susijusius su tarpininkų (fondų, specialiosios paskirties įmonių ir t. t.) kontrole. </w:t>
      </w:r>
    </w:p>
    <w:p>
      <w:pPr>
        <w:rPr>
          <w:noProof/>
        </w:rPr>
      </w:pPr>
      <w:r>
        <w:rPr>
          <w:noProof/>
        </w:rPr>
        <w:t xml:space="preserve">Parama gali būti teikiama pasitelkiant įvairias priemones ir produktus, be kita ko, per nacionalinius skatinamojo finansavimo bankus ar įstaigas, laikantis taikomų valstybės pagalbos ir tarptautinių taisyklių. </w:t>
      </w:r>
    </w:p>
    <w:p>
      <w:pPr>
        <w:rPr>
          <w:noProof/>
        </w:rPr>
      </w:pPr>
      <w:r>
        <w:rPr>
          <w:noProof/>
        </w:rPr>
        <w:lastRenderedPageBreak/>
        <w:t xml:space="preserve">Su mokumo palaikymo linija susijusi ES garantijos suma yra 66,4 mlrd. EUR. Įsteigus šią liniją didžiausia bendra ES garantijos suma yra 92,4 mlrd. EUR. Atitinkami atidėjiniai (dėl ES garantijos padidinimo taikant 50 % atidėjinių normą) yra 33,2 mlrd. EUR, taigi ESIF garantijų fondą iš viso sudaro 42,3 mlrd. EUR. Atidėjinių norma atitinkamai pakoreguota į 45,8 %. </w:t>
      </w:r>
    </w:p>
    <w:p>
      <w:pPr>
        <w:rPr>
          <w:noProof/>
        </w:rPr>
      </w:pPr>
      <w:r>
        <w:rPr>
          <w:noProof/>
        </w:rPr>
        <w:t>Su mokumo palaikymo linija susijęs investavimo laikotarpis iš esmės trunka iki 2024 m. pabaigos, t. y. iki Investicijų komiteto ir EIB arba EIF valdymo organų patvirtinimo, ir iki 2026 m. pabaigos, t. y. iki operacijų pasirašymo. Tačiau 60 % finansavimo ir investavimo operacijų turi būti patvirtintos dar iki 2022 m. pabaigos.</w:t>
      </w:r>
    </w:p>
    <w:p>
      <w:pPr>
        <w:rPr>
          <w:noProof/>
        </w:rPr>
      </w:pPr>
      <w:r>
        <w:rPr>
          <w:noProof/>
        </w:rPr>
        <w:t>ES garantijos naudojimą pagal mokumo palaikymo liniją tvirtina Investicijų komitetas, kaip tai šiuo metu daroma ir pagal kitas dvi linijas. EIF vykdomų operacijų atveju dėl finansinių produktų konsultuojamasi su Investicijų komitetu. Kai pagal siūlomą „InvestEU“ reglamentą bus įsteigtas Investicijų komitetas, siekiant išvengti struktūrų dubliavimosi jis bus atsakingas ir už ES garantijos suteikimą mokumo palaikymo linijai.</w:t>
      </w:r>
    </w:p>
    <w:p>
      <w:pPr>
        <w:rPr>
          <w:noProof/>
        </w:rPr>
      </w:pPr>
      <w:r>
        <w:rPr>
          <w:noProof/>
        </w:rPr>
        <w:t xml:space="preserve">Tikslas – realiojoje ekonomikoje pagal mokumo palaikymo liniją sutelkti iki 300 mlrd. EUR. </w:t>
      </w:r>
    </w:p>
    <w:p>
      <w:pPr>
        <w:rPr>
          <w:noProof/>
        </w:rPr>
      </w:pPr>
      <w:r>
        <w:rPr>
          <w:noProof/>
        </w:rPr>
        <w:t xml:space="preserve">Atskira 100 mln. EUR suma numatyta išlaidoms, konsultavimo paslaugoms ir techninei pagalbai, susijusioms su fondų, specialiosios paskirties įmonių, investavimo platformų ir kitų priemonių steigimu ir valdymu mokumo palaikymo priemonės tikslais, padengti. Ja taip pat bus remiama pagal mokumo palaikymo liniją finansuojamų įmonių žalioji pertvarka ir skaitmeninė transformacija. </w:t>
      </w:r>
    </w:p>
    <w:p>
      <w:pPr>
        <w:rPr>
          <w:noProof/>
        </w:rPr>
      </w:pPr>
      <w:r>
        <w:rPr>
          <w:noProof/>
        </w:rPr>
        <w:t>Šią paramą valdys Komisija. Prireikus jis taip pat gali pavesti užduotis Europos investavimo konsultacijų centrui (EIKC).</w:t>
      </w:r>
    </w:p>
    <w:p>
      <w:pPr>
        <w:rPr>
          <w:noProof/>
        </w:rPr>
      </w:pPr>
      <w:r>
        <w:rPr>
          <w:noProof/>
        </w:rPr>
        <w:t>II priede pateikta daugiau techninės informacijos apie naudotinas priemones ir produktus, taip pat apie finansavimo struktūras, naudojamas pagal mokumo palaikymo liniją, ir kalbama apie konkrečių geografinės koncentracijos ribų nustatymą, kurį turi atlikti Valdančioji taryba.</w:t>
      </w:r>
    </w:p>
    <w:p>
      <w:pPr>
        <w:rPr>
          <w:b/>
          <w:noProof/>
        </w:rPr>
      </w:pPr>
      <w:r>
        <w:rPr>
          <w:b/>
          <w:noProof/>
        </w:rPr>
        <w:t>IIIa skyrius</w:t>
      </w:r>
    </w:p>
    <w:p>
      <w:pPr>
        <w:rPr>
          <w:noProof/>
        </w:rPr>
      </w:pPr>
      <w:r>
        <w:rPr>
          <w:noProof/>
        </w:rPr>
        <w:t>Šiame skyriuje numatytas Sąjungos dalyvavimas būsimame (-uose) EIF kapitalo didinime (-uose).</w:t>
      </w:r>
    </w:p>
    <w:p>
      <w:pPr>
        <w:rPr>
          <w:b/>
          <w:noProof/>
        </w:rPr>
      </w:pPr>
      <w:r>
        <w:rPr>
          <w:b/>
          <w:noProof/>
        </w:rPr>
        <w:t xml:space="preserve">IV skyrius </w:t>
      </w:r>
    </w:p>
    <w:p>
      <w:pPr>
        <w:rPr>
          <w:noProof/>
        </w:rPr>
      </w:pPr>
      <w:r>
        <w:rPr>
          <w:noProof/>
        </w:rPr>
        <w:t>Komisija arba EIKC teiks techninę pagalbą ir konsultacinę paramą, kad padėtų valstybėms narėms steigti fondus, specialiosios paskirties įmones ar kitas priemones, kurios atitiktų Sąjungos garantijos reikalavimus, visų pirma – valstybėms narėms, kurių nuosavybės vertybinių popierių rinkos nėra išvystytos. Ši parama taip pat gali būti naudojama fondų ar kitų priemonių steigimo ir valdymo išlaidoms padengti.</w:t>
      </w:r>
    </w:p>
    <w:p>
      <w:pPr>
        <w:rPr>
          <w:b/>
          <w:noProof/>
        </w:rPr>
      </w:pPr>
      <w:r>
        <w:rPr>
          <w:b/>
          <w:noProof/>
        </w:rPr>
        <w:t>VI skyrius</w:t>
      </w:r>
    </w:p>
    <w:p>
      <w:pPr>
        <w:rPr>
          <w:noProof/>
        </w:rPr>
      </w:pPr>
      <w:r>
        <w:rPr>
          <w:noProof/>
        </w:rPr>
        <w:t>Konkretūs ataskaitų teikimo reikalavimai, susiję su finansavimo ir investavimo operacijomis pagal mokumo palaikymo liniją, nustatomi susitarime dėl garantijos su EIB.</w:t>
      </w:r>
    </w:p>
    <w:p>
      <w:pPr>
        <w:rPr>
          <w:b/>
          <w:noProof/>
        </w:rPr>
      </w:pPr>
      <w:r>
        <w:rPr>
          <w:b/>
          <w:noProof/>
        </w:rPr>
        <w:t>VIII skyrius</w:t>
      </w:r>
    </w:p>
    <w:p>
      <w:pPr>
        <w:rPr>
          <w:i/>
          <w:noProof/>
        </w:rPr>
      </w:pPr>
      <w:r>
        <w:rPr>
          <w:noProof/>
        </w:rPr>
        <w:t>Siekdamas užtikrinti, kad Mokumo palaikymo priemonė greitai pradėtų veikti, EIB gali siūlyti Investicijų komitetui ES garantinę paramą pagal mokumo palaikymo liniją suteikti garantijoms arba finansavimui, kuriuos jis suteikė laikotarpiu nuo šio pasiūlymo dėl teisėkūros procedūra priimamo akto priėmimo Komisijoje iki iš dalies pakeisto Komisijos ir EIB susitarimo dėl garantijos pasirašymo. Kad atitiktų tokio garantavimo reikalavimus, atitinkamos garantijos arba finansavimas turi atitikti mokumo palaikymo linijos kriterijus. EIB pateiks tokį pasiūlymą, kai įsigalios iš dalies pakeistas ESIF reglamentas.</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2020/0106 (COD)</w:t>
      </w:r>
    </w:p>
    <w:p>
      <w:pPr>
        <w:pStyle w:val="Statut"/>
        <w:rPr>
          <w:noProof/>
        </w:rPr>
      </w:pPr>
      <w:r>
        <w:rPr>
          <w:noProof/>
        </w:rPr>
        <w:t>Pasiūlymas</w:t>
      </w:r>
    </w:p>
    <w:p>
      <w:pPr>
        <w:pStyle w:val="Typedudocument"/>
        <w:rPr>
          <w:noProof/>
        </w:rPr>
      </w:pPr>
      <w:r>
        <w:rPr>
          <w:noProof/>
        </w:rPr>
        <w:t>EUROPOS PARLAMENTO IR TARYBOS REGLAMENTAS</w:t>
      </w:r>
    </w:p>
    <w:p>
      <w:pPr>
        <w:pStyle w:val="Titreobjet"/>
        <w:rPr>
          <w:noProof/>
        </w:rPr>
      </w:pPr>
      <w:r>
        <w:rPr>
          <w:noProof/>
        </w:rPr>
        <w:t>kuriuo dėl kuriamos Mokumo palaikymo priemonės iš dalies keičiamas Reglamentas (ES) 2015/1017</w:t>
      </w:r>
    </w:p>
    <w:p>
      <w:pPr>
        <w:pStyle w:val="Institutionquiagit"/>
        <w:rPr>
          <w:noProof/>
        </w:rPr>
      </w:pPr>
      <w:r>
        <w:rPr>
          <w:noProof/>
        </w:rPr>
        <w:t>EUROPOS PARLAMENTAS IR EUROPOS SĄJUNGOS TARYBA,</w:t>
      </w:r>
    </w:p>
    <w:p>
      <w:pPr>
        <w:rPr>
          <w:noProof/>
        </w:rPr>
      </w:pPr>
      <w:r>
        <w:rPr>
          <w:noProof/>
        </w:rPr>
        <w:t>atsižvelgdami į Sutartį dėl Europos Sąjungos veikimo, ypač į jos 172 ir 173 straipsnius, 175 straipsnio trečią pastraipą ir 182 straipsnio 1 dalį,</w:t>
      </w:r>
    </w:p>
    <w:p>
      <w:pPr>
        <w:rPr>
          <w:noProof/>
        </w:rPr>
      </w:pPr>
      <w:r>
        <w:rPr>
          <w:noProof/>
        </w:rPr>
        <w:t>atsižvelgdami į Europos Komisijos pasiūlymą,</w:t>
      </w:r>
    </w:p>
    <w:p>
      <w:pPr>
        <w:rPr>
          <w:noProof/>
        </w:rPr>
      </w:pPr>
      <w:r>
        <w:rPr>
          <w:noProof/>
        </w:rPr>
        <w:t>teisėkūros procedūra priimamo akto projektą perdavus nacionaliniams parlamentams,</w:t>
      </w:r>
    </w:p>
    <w:p>
      <w:pPr>
        <w:rPr>
          <w:noProof/>
        </w:rPr>
      </w:pPr>
      <w:r>
        <w:rPr>
          <w:noProof/>
        </w:rPr>
        <w:t>atsižvelgdami į Europos ekonomikos ir socialinių reikalų komiteto nuomonę</w:t>
      </w:r>
      <w:r>
        <w:rPr>
          <w:rStyle w:val="FootnoteReference"/>
          <w:noProof/>
        </w:rPr>
        <w:footnoteReference w:id="6"/>
      </w:r>
      <w:r>
        <w:rPr>
          <w:noProof/>
        </w:rPr>
        <w:t xml:space="preserve">, </w:t>
      </w:r>
    </w:p>
    <w:p>
      <w:pPr>
        <w:rPr>
          <w:noProof/>
        </w:rPr>
      </w:pPr>
      <w:r>
        <w:rPr>
          <w:noProof/>
        </w:rPr>
        <w:t>atsižvelgdami į Regionų komiteto nuomonę</w:t>
      </w:r>
      <w:r>
        <w:rPr>
          <w:rStyle w:val="FootnoteReference"/>
          <w:noProof/>
        </w:rPr>
        <w:footnoteReference w:id="7"/>
      </w:r>
      <w:r>
        <w:rPr>
          <w:noProof/>
        </w:rPr>
        <w:t xml:space="preserve">, </w:t>
      </w:r>
    </w:p>
    <w:p>
      <w:pPr>
        <w:rPr>
          <w:noProof/>
        </w:rPr>
      </w:pPr>
      <w:r>
        <w:rPr>
          <w:noProof/>
        </w:rPr>
        <w:t>laikydamiesi įprastos teisėkūros procedūros,</w:t>
      </w:r>
    </w:p>
    <w:p>
      <w:pPr>
        <w:rPr>
          <w:noProof/>
        </w:rPr>
      </w:pPr>
      <w:r>
        <w:rPr>
          <w:noProof/>
        </w:rPr>
        <w:t>kadangi:</w:t>
      </w:r>
    </w:p>
    <w:p>
      <w:pPr>
        <w:pStyle w:val="ManualConsidrant"/>
        <w:rPr>
          <w:noProof/>
        </w:rPr>
      </w:pPr>
      <w:r>
        <w:rPr>
          <w:noProof/>
        </w:rPr>
        <w:t>1)</w:t>
      </w:r>
      <w:r>
        <w:rPr>
          <w:noProof/>
        </w:rPr>
        <w:tab/>
        <w:t>iš Komisijos įverčių, apskaičiuotų remiantis įmonių lygmens duomenimis, matyti, kad dėl COVID-19 pandemijos susidarę nuosavo kapitalo atkūrimo poreikiai 2020 m. galėtų siekti apie 720 mlrd. EUR. Jei izoliavimo priemonės būtų taikomos ilgiau, nei numatyta dabar, arba jei jas vėl reikėtų taikyti dėl atsinaujinusio protrūkio, šis skaičius galėtų būti dar didesnis. Neišsprendus šių kapitalo trūkumo problemų, mažesnio investavimo ir didesnio nedarbo laikotarpis gali užsitęsti. Kapitalo trūkumo poveikis įvairiuose sektoriuose ir valstybėse narėse bus nevienodas, todėl bendrojoje rinkoje atsiras skirtumų. Šią problemą dar labiau apsunkina tai, kad labai skiriasi valstybių narių pajėgumas teikti valstybės pagalbą;</w:t>
      </w:r>
    </w:p>
    <w:p>
      <w:pPr>
        <w:pStyle w:val="ManualConsidrant"/>
        <w:rPr>
          <w:noProof/>
          <w:sz w:val="22"/>
        </w:rPr>
      </w:pPr>
      <w:r>
        <w:rPr>
          <w:noProof/>
        </w:rPr>
        <w:t>2)</w:t>
      </w:r>
      <w:r>
        <w:rPr>
          <w:noProof/>
        </w:rPr>
        <w:tab/>
        <w:t>remiantis Reglamentu [dėl Europos Sąjungos ekonomikos gaivinimo priemonės] ir neviršijant juo skirtų išteklių, ekonomikos gaivinimo ir atsparumo didinimo priemonės pagal Europos strateginių investicijų fondo mokumo palaikymo liniją turėtų būti taikomos siekiant šalinti precedento neturintį COVID-19 krizės poveikį.  Tokie papildomi ištekliai turėtų būti naudojami taip, kad būtų užtikrintas Reglamente [EURI] numatytų terminų laikymasis;   </w:t>
      </w:r>
    </w:p>
    <w:p>
      <w:pPr>
        <w:pStyle w:val="ManualConsidrant"/>
        <w:rPr>
          <w:noProof/>
        </w:rPr>
      </w:pPr>
      <w:r>
        <w:rPr>
          <w:noProof/>
        </w:rPr>
        <w:t>3)</w:t>
      </w:r>
      <w:r>
        <w:rPr>
          <w:noProof/>
        </w:rPr>
        <w:tab/>
        <w:t>siekiant kovoti su sunkiais ekonominiais COVID-19 pandemijos padariniais Sąjungoje, įmonėms, kurios patiria sunkumų dėl pandemijos sukeltos ekonomikos krizės ir negali gauti pakankamos paramos pasinaudodamos rinkos finansavimu arba priemonėmis, kurių ėmėsi valstybės narės, turėtų būti skubiai suteikta galimybė pasinaudoti parama mokumui pagal Mokumo palaikymo priemonę, kuri turėtų būti įtraukta kaip trečioji ESIF linija;</w:t>
      </w:r>
    </w:p>
    <w:p>
      <w:pPr>
        <w:pStyle w:val="ManualConsidrant"/>
        <w:rPr>
          <w:noProof/>
        </w:rPr>
      </w:pPr>
      <w:r>
        <w:rPr>
          <w:noProof/>
        </w:rPr>
        <w:lastRenderedPageBreak/>
        <w:t>4)</w:t>
      </w:r>
      <w:r>
        <w:rPr>
          <w:noProof/>
        </w:rPr>
        <w:tab/>
        <w:t>pagal Mokumo palaikymo priemonę remiamos įmonės turėtų būti įsisteigusios ir veikti Sąjungoje, t. y. jų registruota buveinė turėtų būti kurioje nors valstybėje narėje ir jos turėtų aktyviai veikti Sąjungoje, t. y. joje turėtų vykdyti didelę dalį veiklos, vertinant personalo, gamybos, mokslinių tyrimų ir plėtros ar kitos verslo veiklos Sąjungoje požiūriu. Jos turėtų vykdyti veiklą, kuria remiami šiame reglamente nurodyti tikslai. Jų verslo modelis turėtų būti perspektyvus ir, vertinant pagal valstybės pagalbos sistemą</w:t>
      </w:r>
      <w:r>
        <w:rPr>
          <w:rStyle w:val="FootnoteReference"/>
          <w:noProof/>
        </w:rPr>
        <w:footnoteReference w:id="8"/>
      </w:r>
      <w:r>
        <w:rPr>
          <w:noProof/>
        </w:rPr>
        <w:t xml:space="preserve">, jos neturėjo būti susidūrusios su sunkumais dar 2019 m. pabaigoje. Parama turėtų būti skiriama reikalavimus atitinkančioms įmonėms, veikiančioms tose valstybėse narėse ir tuose sektoriuose, kuriuos labiausiai paveikė COVID-19 krizė ir (arba) kuriuose galimybės gauti valstybės paramą mokumui yra mažesnės; </w:t>
      </w:r>
    </w:p>
    <w:p>
      <w:pPr>
        <w:pStyle w:val="ManualConsidrant"/>
        <w:rPr>
          <w:noProof/>
        </w:rPr>
      </w:pPr>
      <w:r>
        <w:rPr>
          <w:noProof/>
        </w:rPr>
        <w:t>5)</w:t>
      </w:r>
      <w:r>
        <w:rPr>
          <w:noProof/>
        </w:rPr>
        <w:tab/>
        <w:t>Europos investicijų bankui (EIB) suteikta ES garantija turėtų būti padidinta 66 436 320 000 EUR, kad būtų galima sukurti trečiąją ESIF liniją – mokumo palaikymo liniją, pagal kurią turėtų būti teikiama parama mokumui;</w:t>
      </w:r>
    </w:p>
    <w:p>
      <w:pPr>
        <w:pStyle w:val="ManualConsidrant"/>
        <w:rPr>
          <w:noProof/>
        </w:rPr>
      </w:pPr>
      <w:r>
        <w:rPr>
          <w:noProof/>
        </w:rPr>
        <w:t>6)</w:t>
      </w:r>
      <w:r>
        <w:rPr>
          <w:noProof/>
        </w:rPr>
        <w:tab/>
        <w:t xml:space="preserve">atitinkamai turėtų būti padidinti ES garantijos atidėjiniai. Atsižvelgiant į didelį investavimo ir finansavimo operacijų pagal mokumo palaikymo liniją rizikingumą, bendra ESIF atidėjinių norma turėtų būti pakeista į 45,8 %; </w:t>
      </w:r>
    </w:p>
    <w:p>
      <w:pPr>
        <w:pStyle w:val="ManualConsidrant"/>
        <w:rPr>
          <w:noProof/>
        </w:rPr>
      </w:pPr>
      <w:r>
        <w:rPr>
          <w:noProof/>
        </w:rPr>
        <w:t>7)</w:t>
      </w:r>
      <w:r>
        <w:rPr>
          <w:noProof/>
        </w:rPr>
        <w:tab/>
        <w:t>tikimasi, kad dėl ES garantijos sumos, kurią bus galima naudoti pagal mokumo palaikymo liniją, realiojoje ekonomikoje bus sutelkta iki 300 000 000 000 EUR investicijų;</w:t>
      </w:r>
    </w:p>
    <w:p>
      <w:pPr>
        <w:pStyle w:val="ManualConsidrant"/>
        <w:rPr>
          <w:noProof/>
        </w:rPr>
      </w:pPr>
      <w:r>
        <w:rPr>
          <w:noProof/>
        </w:rPr>
        <w:t>8)</w:t>
      </w:r>
      <w:r>
        <w:rPr>
          <w:noProof/>
        </w:rPr>
        <w:tab/>
        <w:t>atsižvelgiant į tai, kad skirtingoms valstybėms narėms reikalingi skirtingi sprendimai, paramos teikimo būdai turėtų būti lankstūs. Jie, be kita ko, turėtų apimti EIB grupės finansavimą arba garantijas esamiems nepriklausomai valdomiems fondams ar specialiosios paskirties įmonėms, kurie savo ruožtu investuoja į reikalavimus atitinkančias įmones, arba investavimą į tuos fondus ar įmones. Be to, parama galėtų būti teikiama per naujai įsteigtus nepriklausomai valdomus fondus, įskaitant tik pradedančias veiklą grupes, arba per specialiosios paskirties įmones, visų pirma – specialiai įsteigtas Europos, regioniniu ar nacionaliniu lygmeniu, kad pasinaudojant ES garantija būtų galima investuoti į reikalavimus atitinkančias įmones. ES garantija taip pat galėtų būti naudojama pagal valstybės pagalbos taisykles įgyvendinamai intervencinei nacionalinio skatinamojo finansavimo banko ar įstaigos priemonei, kuria kartu su privačiais investuotojais remiamos reikalavimus atitinkančios įmonės, garantuoti arba finansuoti. Turėtų būti vengiama nederamo konkurencijos iškraipymo vidaus rinkoje;</w:t>
      </w:r>
    </w:p>
    <w:p>
      <w:pPr>
        <w:pStyle w:val="ManualConsidrant"/>
        <w:rPr>
          <w:noProof/>
        </w:rPr>
      </w:pPr>
      <w:r>
        <w:rPr>
          <w:noProof/>
        </w:rPr>
        <w:t>9)</w:t>
      </w:r>
      <w:r>
        <w:rPr>
          <w:noProof/>
        </w:rPr>
        <w:tab/>
        <w:t>kapitalo fondai, specialiosios paskirties įmonės, investavimo platformos ir nacionaliniai skatinamojo finansavimo bankai ir įstaigos turėtų teikti nuosavą arba kvazinuosavą kapitalą (pvz., kaip mišrias skolas, privilegijuotąsias akcijas arba konvertuojamąjį kapitalą) reikalavimus atitinkančioms įmonėms, išskyrus subjektus, kurių tikslas yra išpirkimas (arba pakeitimas kapitalu) siekiant išparduoti turtą dalimis;</w:t>
      </w:r>
    </w:p>
    <w:p>
      <w:pPr>
        <w:pStyle w:val="ManualConsidrant"/>
        <w:rPr>
          <w:noProof/>
        </w:rPr>
      </w:pPr>
      <w:r>
        <w:rPr>
          <w:noProof/>
        </w:rPr>
        <w:t>10)</w:t>
      </w:r>
      <w:r>
        <w:rPr>
          <w:noProof/>
        </w:rPr>
        <w:tab/>
        <w:t xml:space="preserve">finansavimo ir investavimo operacijos turėtų derėti su dabartiniais Sąjungos politikos prioritetais, pvz., Europos žaliuoju kursu ir Europos skaitmeninės ateities kūrimo strategija. Taip pat turėtų būti remiama tarpvalstybinė veikla; </w:t>
      </w:r>
    </w:p>
    <w:p>
      <w:pPr>
        <w:pStyle w:val="ManualConsidrant"/>
        <w:rPr>
          <w:noProof/>
        </w:rPr>
      </w:pPr>
      <w:r>
        <w:rPr>
          <w:noProof/>
        </w:rPr>
        <w:t>11)</w:t>
      </w:r>
      <w:r>
        <w:rPr>
          <w:noProof/>
        </w:rPr>
        <w:tab/>
        <w:t xml:space="preserve">kad būtų galima greitai reaguoti į ekonomikos krizę, kurią sukėlė COVID-19 pandemija, sprendimai dėl finansavimo ir investavimo operacijų pagal mokumo </w:t>
      </w:r>
      <w:r>
        <w:rPr>
          <w:noProof/>
        </w:rPr>
        <w:lastRenderedPageBreak/>
        <w:t>palaikymo liniją turėtų būti priimti iki 2024 m. pabaigos, o dėl ne mažesnės kaip 60 % finansavimo ir investavimo operacijų dalies – iki 2022 m. pabaigos;</w:t>
      </w:r>
    </w:p>
    <w:p>
      <w:pPr>
        <w:pStyle w:val="ManualConsidrant"/>
        <w:rPr>
          <w:noProof/>
        </w:rPr>
      </w:pPr>
      <w:r>
        <w:rPr>
          <w:noProof/>
        </w:rPr>
        <w:t>12)</w:t>
      </w:r>
      <w:r>
        <w:rPr>
          <w:noProof/>
        </w:rPr>
        <w:tab/>
        <w:t>kad galėtų teikti paramą Europos ekonomikai per Europos investicijų fondą (EIF), Komisija turėtų turėti galimybę dalyvauti viename ar keliuose galimuose EIF kapitalo didinimuose, kad EIF galėtų toliau remti Europos ekonomiką ir jos gaivinimą. Sąjunga turėtų turėti galimybę išlaikyti savo bendrą EIF kapitalo dalį. Peržiūrėtoje dabartinio laikotarpio daugiametėje finansinėje programoje tam turėtų būti numatytas pakankamas finansinis paketas;</w:t>
      </w:r>
    </w:p>
    <w:p>
      <w:pPr>
        <w:pStyle w:val="ManualConsidrant"/>
        <w:rPr>
          <w:noProof/>
        </w:rPr>
      </w:pPr>
      <w:r>
        <w:rPr>
          <w:noProof/>
        </w:rPr>
        <w:t>13)</w:t>
      </w:r>
      <w:r>
        <w:rPr>
          <w:noProof/>
        </w:rPr>
        <w:tab/>
        <w:t xml:space="preserve">turėtų būti patvirtinta 100 000 000 EUR suma, skirta investicijų fondams, specialiosios paskirties įmonėms ir investavimo platformoms steigti ir valdyti valstybėse narėse, visų pirma tose, kurių kapitalo fondų rinkos nėra išvystytos, ir pagal mokumo palaikymo liniją finansuojamų įmonių žaliajai pertvarkai ir skaitmeninei transformacijai remti; </w:t>
      </w:r>
    </w:p>
    <w:p>
      <w:pPr>
        <w:pStyle w:val="ManualConsidrant"/>
        <w:rPr>
          <w:noProof/>
        </w:rPr>
      </w:pPr>
      <w:r>
        <w:rPr>
          <w:noProof/>
        </w:rPr>
        <w:t>14)</w:t>
      </w:r>
      <w:r>
        <w:rPr>
          <w:noProof/>
        </w:rPr>
        <w:tab/>
        <w:t>pagal „InvestEU“ reglamentą įsteigsimas Investicijų komitetas turėtų tapti atsakingas ir už ES garantijos teikimą pagal šį reglamentą;</w:t>
      </w:r>
    </w:p>
    <w:p>
      <w:pPr>
        <w:pStyle w:val="ManualConsidrant"/>
        <w:rPr>
          <w:noProof/>
        </w:rPr>
      </w:pPr>
      <w:r>
        <w:rPr>
          <w:noProof/>
        </w:rPr>
        <w:t>15)</w:t>
      </w:r>
      <w:r>
        <w:rPr>
          <w:noProof/>
        </w:rPr>
        <w:tab/>
        <w:t>Susitarimo dėl Jungtinės Didžiosios Britanijos ir Šiaurės Airijos Karalystės išstojimo iš Europos Sąjungos ir Europos atominės energijos bendrijos 137 straipsnio 2 dalyje nustatyta, kad Jungtinė Karalystė ir Jungtinėje Karalystėje vykdomi projektai yra tinkami tik finansinėms operacijoms, kurioms suteikiama Sąjungos biudžeto garantija iš ESIF, jeigu tas finansines operacijas patvirtino subjektai ir įstaigos, įskaitant EIB ir Europos investicijų fondą (toliau – EIF), arba asmenys, kuriems pavesta įgyvendinti dalį tų veiksmų iki Susitarimo dėl išstojimo įsigaliojimo dienos. Be to, pagal Susitarimo dėl išstojimo 143 straipsnio 1 dalį Jungtinės Karalystės atsakomybė už jos dalį Sąjungos neapibrėžtųjų įsipareigojimų apsiriboja tik tais neapibrėžtaisiais įsipareigojimais, kurie susidaro dėl finansinių operacijų, dėl kurių Sąjunga sprendimą priėmė iki Susitarimo dėl išstojimo įsigaliojimo dienos. Bet kokie neapibrėžtieji Sąjungos įsipareigojimai pagal šį reglamentą prisiimami po Jungtinės Karalystės išstojimo iš Sąjungos datos. Todėl šis reglamentas neturėtų būti taikomas Jungtinei Karalystei ir jos teritorijoje;</w:t>
      </w:r>
    </w:p>
    <w:p>
      <w:pPr>
        <w:pStyle w:val="ManualConsidrant"/>
        <w:rPr>
          <w:noProof/>
        </w:rPr>
      </w:pPr>
      <w:r>
        <w:rPr>
          <w:noProof/>
        </w:rPr>
        <w:t xml:space="preserve"> 16)</w:t>
      </w:r>
      <w:r>
        <w:rPr>
          <w:noProof/>
        </w:rPr>
        <w:tab/>
        <w:t>šiam reglamentui taikomos Europos Parlamento ir Tarybos pagal Sutarties dėl Europos Sąjungos veikimo (SESV) 322 straipsnį priimtos horizontaliosios finansinės taisyklės. Šios taisyklės nustatytos Finansiniame reglamente ir jomis visų pirma nustatoma biudžeto sudarymo ir vykdymo naudojant dotacijas, viešuosius pirkimus, apdovanojimus ir taikant netiesioginio vykdymo metodą tvarka ir numatoma finansų pareigūnų atsakomybės kontrolė. Pagal SESV 322 straipsnį priimtos taisyklės taip pat yra susijusios su Sąjungos biudžeto apsauga tais atvejais, kai esama visuotinių teisinės valstybės principo taikymo valstybėse narėse trūkumų, nes teisinės valstybės principo laikymasis – būtina patikimo finansų valdymo ir veiksmingo ES finansavimo sąlyga;</w:t>
      </w:r>
    </w:p>
    <w:p>
      <w:pPr>
        <w:pStyle w:val="ManualConsidrant"/>
        <w:rPr>
          <w:noProof/>
        </w:rPr>
      </w:pPr>
      <w:r>
        <w:rPr>
          <w:noProof/>
        </w:rPr>
        <w:t>17)</w:t>
      </w:r>
      <w:r>
        <w:rPr>
          <w:noProof/>
        </w:rPr>
        <w:tab/>
        <w:t>todėl Reglamentas (ES) Nr. 2015/1017 turėtų būti atitinkamai iš dalies pakeistas,</w:t>
      </w:r>
    </w:p>
    <w:p>
      <w:pPr>
        <w:rPr>
          <w:noProof/>
        </w:rPr>
      </w:pPr>
    </w:p>
    <w:p>
      <w:pPr>
        <w:pStyle w:val="Formuledadoption"/>
        <w:rPr>
          <w:noProof/>
        </w:rPr>
      </w:pPr>
      <w:r>
        <w:rPr>
          <w:noProof/>
        </w:rPr>
        <w:t>PRIĖMĖ ŠĮ REGLAMENTĄ:</w:t>
      </w:r>
    </w:p>
    <w:p>
      <w:pPr>
        <w:pStyle w:val="Titrearticle"/>
        <w:rPr>
          <w:noProof/>
        </w:rPr>
      </w:pPr>
      <w:r>
        <w:rPr>
          <w:noProof/>
        </w:rPr>
        <w:t>1 straipsnis</w:t>
      </w:r>
    </w:p>
    <w:p>
      <w:pPr>
        <w:rPr>
          <w:noProof/>
        </w:rPr>
      </w:pPr>
      <w:r>
        <w:rPr>
          <w:noProof/>
        </w:rPr>
        <w:t>Reglamentas (ES) 2015/1017 iš dalies keičiamas taip:</w:t>
      </w:r>
    </w:p>
    <w:p>
      <w:pPr>
        <w:pStyle w:val="ListNumber"/>
        <w:rPr>
          <w:noProof/>
        </w:rPr>
      </w:pPr>
      <w:r>
        <w:rPr>
          <w:noProof/>
        </w:rPr>
        <w:t>2 straipsnis papildomas 9 punktu:</w:t>
      </w:r>
    </w:p>
    <w:p>
      <w:pPr>
        <w:ind w:left="851"/>
        <w:rPr>
          <w:noProof/>
        </w:rPr>
      </w:pPr>
      <w:r>
        <w:rPr>
          <w:noProof/>
        </w:rPr>
        <w:lastRenderedPageBreak/>
        <w:t>„9)</w:t>
      </w:r>
      <w:r>
        <w:rPr>
          <w:noProof/>
        </w:rPr>
        <w:tab/>
        <w:t>įmonės – kalbant apie mokumo palaikymo liniją, įmonės, projektų įmonės, viešojo ir privačiojo sektorių partnerystės ir kitos teisinės struktūros.“;</w:t>
      </w:r>
    </w:p>
    <w:p>
      <w:pPr>
        <w:pStyle w:val="ListNumber"/>
        <w:rPr>
          <w:noProof/>
        </w:rPr>
      </w:pPr>
      <w:r>
        <w:rPr>
          <w:noProof/>
        </w:rPr>
        <w:t>3 straipsnis papildomas c punktu:</w:t>
      </w:r>
    </w:p>
    <w:p>
      <w:pPr>
        <w:ind w:left="851"/>
        <w:rPr>
          <w:noProof/>
        </w:rPr>
      </w:pPr>
      <w:r>
        <w:rPr>
          <w:noProof/>
        </w:rPr>
        <w:t>„c)</w:t>
      </w:r>
      <w:r>
        <w:rPr>
          <w:noProof/>
        </w:rPr>
        <w:tab/>
        <w:t>valstybėje narėje įsisteigusių ir Sąjungoje veikiančių įmonių mokumą.“;</w:t>
      </w:r>
    </w:p>
    <w:p>
      <w:pPr>
        <w:pStyle w:val="ListNumber"/>
        <w:rPr>
          <w:noProof/>
        </w:rPr>
      </w:pPr>
      <w:r>
        <w:rPr>
          <w:noProof/>
        </w:rPr>
        <w:t>4 straipsnio 2 dalies a punkto iv papunktis iš dalies keičiamas taip:</w:t>
      </w:r>
    </w:p>
    <w:p>
      <w:pPr>
        <w:ind w:left="851"/>
        <w:rPr>
          <w:noProof/>
        </w:rPr>
      </w:pPr>
      <w:r>
        <w:rPr>
          <w:noProof/>
        </w:rPr>
        <w:t>„operacijų, kurios remiamos ES garantija, kainų nustatymo, kuris turi atitikti EIB kainų nustatymo politiką; mokumo palaikymo linijos atveju gali būti susitarta dėl kitokios taikytinos tvarkos;“;</w:t>
      </w:r>
    </w:p>
    <w:p>
      <w:pPr>
        <w:pStyle w:val="ListNumber"/>
        <w:rPr>
          <w:noProof/>
        </w:rPr>
      </w:pPr>
      <w:r>
        <w:rPr>
          <w:noProof/>
        </w:rPr>
        <w:t>5 straipsnio 1 dalies paskutinė pastraipa papildoma įtrauka:</w:t>
      </w:r>
    </w:p>
    <w:p>
      <w:pPr>
        <w:ind w:left="851"/>
        <w:rPr>
          <w:noProof/>
          <w:vertAlign w:val="subscript"/>
        </w:rPr>
      </w:pPr>
      <w:r>
        <w:rPr>
          <w:noProof/>
        </w:rPr>
        <w:t xml:space="preserve">„— parama fondams, specialiosios paskirties įmonėms, investavimo platformoms ar kitoms priemonėms pagal mokumo palaikymo liniją.“; </w:t>
      </w:r>
    </w:p>
    <w:p>
      <w:pPr>
        <w:pStyle w:val="ListNumber"/>
        <w:rPr>
          <w:noProof/>
        </w:rPr>
      </w:pPr>
      <w:r>
        <w:rPr>
          <w:noProof/>
        </w:rPr>
        <w:t>6 straipsnio 1 dalies a punktas papildomas pastraipa:</w:t>
      </w:r>
    </w:p>
    <w:p>
      <w:pPr>
        <w:ind w:left="851"/>
        <w:rPr>
          <w:noProof/>
        </w:rPr>
      </w:pPr>
      <w:r>
        <w:rPr>
          <w:noProof/>
        </w:rPr>
        <w:t>„Tačiau parama pagal mokumo palaikymo liniją teikiama tik tuo atveju, jei ji yra naudinga įmonėms, kurios, vertinant pagal valstybės pagalbos nuostatas</w:t>
      </w:r>
      <w:r>
        <w:rPr>
          <w:rStyle w:val="FootnoteReference"/>
          <w:noProof/>
        </w:rPr>
        <w:footnoteReference w:id="9"/>
      </w:r>
      <w:r>
        <w:rPr>
          <w:noProof/>
        </w:rPr>
        <w:t>, 2019 m. pabaigoje dar nebuvo susidūrusios su sunkumais, tačiau paskui dėl krizės, kurią sukėlė COVID-19 pandemija, patiria didelę mokumo riziką;“;</w:t>
      </w:r>
    </w:p>
    <w:p>
      <w:pPr>
        <w:pStyle w:val="ListNumber"/>
        <w:rPr>
          <w:noProof/>
        </w:rPr>
      </w:pPr>
      <w:r>
        <w:rPr>
          <w:noProof/>
        </w:rPr>
        <w:t>6 straipsnis papildomas 3 dalimi:</w:t>
      </w:r>
    </w:p>
    <w:p>
      <w:pPr>
        <w:ind w:left="851"/>
        <w:rPr>
          <w:noProof/>
        </w:rPr>
      </w:pPr>
      <w:r>
        <w:rPr>
          <w:noProof/>
        </w:rPr>
        <w:t>„3.</w:t>
      </w:r>
      <w:r>
        <w:rPr>
          <w:noProof/>
        </w:rPr>
        <w:tab/>
        <w:t>Nepaisant 2 dalies, pagal mokumo palaikymo liniją vykdant finansavimo ir investavimo operacijas finansų tarpininkų dalinės operacijos gali būti apribotos iki minimalaus dydžio.“;</w:t>
      </w:r>
    </w:p>
    <w:p>
      <w:pPr>
        <w:pStyle w:val="ListNumber"/>
        <w:rPr>
          <w:noProof/>
        </w:rPr>
      </w:pPr>
      <w:r>
        <w:rPr>
          <w:noProof/>
        </w:rPr>
        <w:t>7 straipsnio 2 dalis papildoma e punktu:</w:t>
      </w:r>
    </w:p>
    <w:p>
      <w:pPr>
        <w:ind w:left="851"/>
        <w:rPr>
          <w:noProof/>
        </w:rPr>
      </w:pPr>
      <w:r>
        <w:rPr>
          <w:noProof/>
        </w:rPr>
        <w:t>„II priedo 6 skirsnio d punkte minimas gaires.“;</w:t>
      </w:r>
    </w:p>
    <w:p>
      <w:pPr>
        <w:pStyle w:val="ListNumber"/>
        <w:rPr>
          <w:noProof/>
        </w:rPr>
      </w:pPr>
      <w:r>
        <w:rPr>
          <w:noProof/>
        </w:rPr>
        <w:t>8 straipsnis papildomas trečia pastraipa:</w:t>
      </w:r>
    </w:p>
    <w:p>
      <w:pPr>
        <w:ind w:left="851"/>
        <w:rPr>
          <w:noProof/>
        </w:rPr>
      </w:pPr>
      <w:r>
        <w:rPr>
          <w:noProof/>
        </w:rPr>
        <w:t>„Nepaisant pirmos pastraipos, finansavimo ir investavimo operacijomis pagal mokumo palaikymo liniją gali būti remiamos tik valstybėje narėje įsisteigusios ir Sąjungoje veikiančios įmonės.“;</w:t>
      </w:r>
    </w:p>
    <w:p>
      <w:pPr>
        <w:pStyle w:val="ListNumber"/>
        <w:rPr>
          <w:noProof/>
        </w:rPr>
      </w:pPr>
      <w:r>
        <w:rPr>
          <w:noProof/>
        </w:rPr>
        <w:t>9 straipsnio 2 dalies pirma pastraipa papildoma antru sakiniu:</w:t>
      </w:r>
    </w:p>
    <w:p>
      <w:pPr>
        <w:ind w:left="851"/>
        <w:rPr>
          <w:noProof/>
        </w:rPr>
      </w:pPr>
      <w:r>
        <w:rPr>
          <w:noProof/>
        </w:rPr>
        <w:t>„ES garantija taip pat suteikiama pagal mokumo palaikymo liniją EIF vykdomoms finansavimo ir investavimo operacijoms.“;</w:t>
      </w:r>
    </w:p>
    <w:p>
      <w:pPr>
        <w:pStyle w:val="ListNumber"/>
        <w:rPr>
          <w:noProof/>
        </w:rPr>
      </w:pPr>
      <w:r>
        <w:rPr>
          <w:noProof/>
        </w:rPr>
        <w:t>9 straipsnio 2 dalies trečios pastraipos įvadinis sakinys iš dalies keičiamas taip:</w:t>
      </w:r>
    </w:p>
    <w:p>
      <w:pPr>
        <w:ind w:left="851"/>
        <w:rPr>
          <w:noProof/>
        </w:rPr>
      </w:pPr>
      <w:r>
        <w:rPr>
          <w:noProof/>
        </w:rPr>
        <w:t>„Tokios operacijos atitinka Sąjungos politiką, įskaitant Europos žaliąjį kursą</w:t>
      </w:r>
      <w:r>
        <w:rPr>
          <w:rStyle w:val="FootnoteReference"/>
          <w:noProof/>
        </w:rPr>
        <w:footnoteReference w:id="10"/>
      </w:r>
      <w:r>
        <w:rPr>
          <w:noProof/>
        </w:rPr>
        <w:t xml:space="preserve"> ir Europos skaitmeninės ateities kūrimo strategiją</w:t>
      </w:r>
      <w:r>
        <w:rPr>
          <w:rStyle w:val="FootnoteReference"/>
          <w:noProof/>
        </w:rPr>
        <w:footnoteReference w:id="11"/>
      </w:r>
      <w:r>
        <w:rPr>
          <w:noProof/>
        </w:rPr>
        <w:t>, padeda siekti integracinio ir simetriško ekonomikos atsigavimo po COVID-19 pandemijos ir bet kurio iš šių bendrųjų tikslų:“;</w:t>
      </w:r>
    </w:p>
    <w:p>
      <w:pPr>
        <w:pStyle w:val="ListNumber"/>
        <w:rPr>
          <w:noProof/>
        </w:rPr>
      </w:pPr>
      <w:r>
        <w:rPr>
          <w:noProof/>
        </w:rPr>
        <w:t>9 straipsnio 2 dalies trečia pastraipa papildoma j punktu:</w:t>
      </w:r>
    </w:p>
    <w:p>
      <w:pPr>
        <w:ind w:left="851"/>
        <w:rPr>
          <w:noProof/>
        </w:rPr>
      </w:pPr>
      <w:r>
        <w:rPr>
          <w:noProof/>
        </w:rPr>
        <w:lastRenderedPageBreak/>
        <w:t>„j)</w:t>
      </w:r>
      <w:r>
        <w:rPr>
          <w:noProof/>
        </w:rPr>
        <w:tab/>
        <w:t>parama mokumui pagal mokumo palaikymo liniją, teikiama 3 straipsnio c punkte nurodytoms įmonėms, padedančioms įgyvendinti bet kurį iš šioje dalyje nurodytų tikslų.“;</w:t>
      </w:r>
    </w:p>
    <w:p>
      <w:pPr>
        <w:pStyle w:val="ListNumber"/>
        <w:rPr>
          <w:noProof/>
        </w:rPr>
      </w:pPr>
      <w:r>
        <w:rPr>
          <w:noProof/>
        </w:rPr>
        <w:t>9 straipsnio 2 dalies paskutinė pastraipa išbraukiama ir įterpiama tokia nauja 2a dalis:</w:t>
      </w:r>
    </w:p>
    <w:p>
      <w:pPr>
        <w:ind w:left="851"/>
        <w:rPr>
          <w:noProof/>
        </w:rPr>
      </w:pPr>
      <w:r>
        <w:rPr>
          <w:noProof/>
        </w:rPr>
        <w:t>„Pripažindamas ESIF paklausa grindžiamą veiklos pobūdį, EIB:</w:t>
      </w:r>
    </w:p>
    <w:p>
      <w:pPr>
        <w:pStyle w:val="ListNumberLevel2"/>
        <w:rPr>
          <w:noProof/>
        </w:rPr>
      </w:pPr>
      <w:r>
        <w:rPr>
          <w:noProof/>
        </w:rPr>
        <w:t>siekia, kad bent 40 % ESIF finansavimo pagal infrastruktūros ir inovacijų liniją būtų naudojama remti projektų sudėtinėms dalims, kuriomis prisidedama prie klimato politikos veiksmų, atitinkančių 21-ojoje Jungtinių Tautų bendrosios klimato kaitos konvencijos šalių konferencijoje (COP 21) prisiimtus įsipareigojimus. Į tą skaičiavimą neįtraukiamas ESIF finansavimas, skirtas MVĮ ir mažoms vidutinės kapitalizacijos įmonėms. Siekdamas nustatyti su tais klimato politikos veiksmais susijusias projekto sudėtines dalis arba išlaidų pasidalijimą, EIB taiko savo tarptautiniu mastu sutartą metodiką;</w:t>
      </w:r>
    </w:p>
    <w:p>
      <w:pPr>
        <w:pStyle w:val="ListNumberLevel2"/>
        <w:rPr>
          <w:noProof/>
        </w:rPr>
      </w:pPr>
      <w:r>
        <w:rPr>
          <w:noProof/>
        </w:rPr>
        <w:t>užtikrina, kad didžioji dalis ESIF finansavimo pagal mokumo palaikymo liniją būtų naudojama reikalavimus atitinkančioms įmonėms remti valstybėse narėse ir sektoriuose, kuriems COVID-19 pandemija padarė didžiausią neigiamą ekonominį poveikį;</w:t>
      </w:r>
    </w:p>
    <w:p>
      <w:pPr>
        <w:pStyle w:val="ListNumberLevel2"/>
        <w:rPr>
          <w:noProof/>
        </w:rPr>
      </w:pPr>
      <w:r>
        <w:rPr>
          <w:noProof/>
        </w:rPr>
        <w:t>užtikrina, kad didžioji dalis ESIF finansavimo pagal mokumo palaikymo liniją būtų naudojama reikalavimus atitinkančioms įmonėms remti valstybėse narėse, kuriose galimybės gauti valstybės paramą mokumui yra mažesnės.</w:t>
      </w:r>
    </w:p>
    <w:p>
      <w:pPr>
        <w:ind w:left="851"/>
        <w:rPr>
          <w:noProof/>
        </w:rPr>
      </w:pPr>
      <w:r>
        <w:rPr>
          <w:noProof/>
        </w:rPr>
        <w:t>Valdančioji taryba prireikus pateikia išsamias gaires dėl a–c punktų.“;</w:t>
      </w:r>
    </w:p>
    <w:p>
      <w:pPr>
        <w:pStyle w:val="ListNumber"/>
        <w:rPr>
          <w:noProof/>
        </w:rPr>
      </w:pPr>
      <w:r>
        <w:rPr>
          <w:noProof/>
        </w:rPr>
        <w:t>9 straipsnio 3 dalies a ir b punktai iš dalies keičiami taip:</w:t>
      </w:r>
    </w:p>
    <w:p>
      <w:pPr>
        <w:ind w:left="851"/>
        <w:rPr>
          <w:noProof/>
        </w:rPr>
      </w:pPr>
      <w:r>
        <w:rPr>
          <w:noProof/>
        </w:rPr>
        <w:t>„a)</w:t>
      </w:r>
      <w:r>
        <w:rPr>
          <w:noProof/>
        </w:rPr>
        <w:tab/>
        <w:t>2020 m. gruodžio 31 d. – EIB operacijoms pagal infrastruktūros ir inovacijų liniją, dėl kurių EIB ir paramos gavėjas arba finansų tarpininkas pasirašo sutartį ne vėliau kaip 2022 m. gruodžio 31 d.;</w:t>
      </w:r>
    </w:p>
    <w:p>
      <w:pPr>
        <w:ind w:left="851"/>
        <w:rPr>
          <w:noProof/>
        </w:rPr>
      </w:pPr>
      <w:r>
        <w:rPr>
          <w:noProof/>
        </w:rPr>
        <w:t xml:space="preserve">b) </w:t>
      </w:r>
      <w:r>
        <w:rPr>
          <w:noProof/>
        </w:rPr>
        <w:tab/>
        <w:t>2020 m. gruodžio 31 d. – EIF operacijoms pagal MVĮ liniją, dėl kurių EIB ir paramos gavėjas arba finansų tarpininkas pasirašo sutartį ne vėliau kaip 2022 m. gruodžio 31 d.;“;</w:t>
      </w:r>
    </w:p>
    <w:p>
      <w:pPr>
        <w:pStyle w:val="ListNumber"/>
        <w:rPr>
          <w:noProof/>
        </w:rPr>
      </w:pPr>
      <w:r>
        <w:rPr>
          <w:noProof/>
        </w:rPr>
        <w:t>9 straipsnio 3 dalis papildoma c punktu:</w:t>
      </w:r>
    </w:p>
    <w:p>
      <w:pPr>
        <w:ind w:left="851"/>
        <w:rPr>
          <w:noProof/>
        </w:rPr>
      </w:pPr>
      <w:r>
        <w:rPr>
          <w:noProof/>
        </w:rPr>
        <w:t xml:space="preserve">„c) </w:t>
      </w:r>
      <w:r>
        <w:rPr>
          <w:noProof/>
        </w:rPr>
        <w:tab/>
        <w:t xml:space="preserve">2024 m. gruodžio 31 d. – EIB arba EIF operacijoms, kurioms suteikiama ES garantija pagal mokumo palaikymo liniją, nurodytą 11 straipsnio 1 dalies trečioje pastraipoje.  EIB arba EIF sutartys su paramos gavėju arba finansų tarpininku dėl tų operacijų sudaromos ne vėliau kaip 2026 m. gruodžio 31 d., jei jas pagal Reglamento [EURI] 4 straipsnio 6 dalį patvirtina EIB arba EIF valdymo organai.“; </w:t>
      </w:r>
    </w:p>
    <w:p>
      <w:pPr>
        <w:pStyle w:val="ListNumber"/>
        <w:rPr>
          <w:noProof/>
        </w:rPr>
      </w:pPr>
      <w:r>
        <w:rPr>
          <w:noProof/>
        </w:rPr>
        <w:t>10 straipsnio 2 dalies b ir c punktai iš dalies keičiami taip:</w:t>
      </w:r>
    </w:p>
    <w:p>
      <w:pPr>
        <w:ind w:left="851"/>
        <w:rPr>
          <w:noProof/>
        </w:rPr>
      </w:pPr>
      <w:r>
        <w:rPr>
          <w:noProof/>
        </w:rPr>
        <w:t>„b)</w:t>
      </w:r>
      <w:r>
        <w:rPr>
          <w:noProof/>
        </w:rPr>
        <w:tab/>
        <w:t>EIB finansavimas arba garantijos, teikiami EIF, kad šis galėtų teikti paskolas, garantijas, priešpriešines garantijas, vykdyti bet kokios kitos formos kredito vertės didinimo priemones, kapitalo rinkos priemones ir investicijas į nuosavą kapitalą ar kvazinuosavą kapitalą, įskaitant nacionalinių skatinamojo finansavimo bankų ar įstaigų, investavimo platformų, fondų arba specialiosios paskirties įmonių naudai;</w:t>
      </w:r>
    </w:p>
    <w:p>
      <w:pPr>
        <w:ind w:left="851"/>
        <w:rPr>
          <w:noProof/>
        </w:rPr>
      </w:pPr>
      <w:r>
        <w:rPr>
          <w:noProof/>
        </w:rPr>
        <w:t>c)</w:t>
      </w:r>
      <w:r>
        <w:rPr>
          <w:noProof/>
        </w:rPr>
        <w:tab/>
        <w:t>EIB garantijos nacionaliniams skatinamojo finansavimo bankams ar įstaigoms, investavimo platformoms, fondams arba specialiosios paskirties įmonėms suteikiamos teikiant ES priešpriešinę garantiją.“;</w:t>
      </w:r>
    </w:p>
    <w:p>
      <w:pPr>
        <w:pStyle w:val="ListNumber"/>
        <w:rPr>
          <w:noProof/>
        </w:rPr>
      </w:pPr>
      <w:r>
        <w:rPr>
          <w:noProof/>
        </w:rPr>
        <w:t>10 straipsnio 2 dalis papildoma trečia pastraipa:</w:t>
      </w:r>
    </w:p>
    <w:p>
      <w:pPr>
        <w:ind w:left="851"/>
        <w:rPr>
          <w:noProof/>
        </w:rPr>
      </w:pPr>
      <w:r>
        <w:rPr>
          <w:noProof/>
        </w:rPr>
        <w:lastRenderedPageBreak/>
        <w:t>„Mokumo palaikymo linijos reikalavimus atitinkančiomis priemonėmis 3 straipsnio c punkte nurodytoms įmonėms suteikiamas nuosavas arba kvazinuosavas kapitalas. Pagal II priedą gali būti naudojamos mišrios priemonės, jei jos atitinka linijos tikslą.“;</w:t>
      </w:r>
    </w:p>
    <w:p>
      <w:pPr>
        <w:pStyle w:val="ListNumber"/>
        <w:rPr>
          <w:noProof/>
        </w:rPr>
      </w:pPr>
      <w:r>
        <w:rPr>
          <w:noProof/>
        </w:rPr>
        <w:t>10 straipsnio 4 dalis papildoma antru sakiniu:</w:t>
      </w:r>
    </w:p>
    <w:p>
      <w:pPr>
        <w:ind w:left="851"/>
        <w:rPr>
          <w:noProof/>
        </w:rPr>
      </w:pPr>
      <w:r>
        <w:rPr>
          <w:noProof/>
        </w:rPr>
        <w:t>„Pagal mokumo palaikymo liniją EIF gali suteikti garantiją fondams ir specialiosios paskirties įmonėms.“;</w:t>
      </w:r>
    </w:p>
    <w:p>
      <w:pPr>
        <w:pStyle w:val="ListNumber"/>
        <w:rPr>
          <w:noProof/>
        </w:rPr>
      </w:pPr>
      <w:r>
        <w:rPr>
          <w:noProof/>
        </w:rPr>
        <w:t>10 straipsnis papildomas 5 dalimi:</w:t>
      </w:r>
    </w:p>
    <w:p>
      <w:pPr>
        <w:ind w:left="851"/>
        <w:rPr>
          <w:noProof/>
        </w:rPr>
      </w:pPr>
      <w:r>
        <w:rPr>
          <w:noProof/>
        </w:rPr>
        <w:t>„Pagal mokumo palaikymo liniją veikiantys tarpininkai turi būti įsisteigę kurioje nors valstybėje narėje ir veikti Sąjungoje. Valdančioji taryba, atsižvelgdama į visus taikytinus viešosios tvarkos arba saugumo aspektus, nustato visus būtinus reikalavimus, susijusius su tarpininkų (fondų, specialiosios paskirties įmonių ir kt.) kontrole.“;</w:t>
      </w:r>
    </w:p>
    <w:p>
      <w:pPr>
        <w:pStyle w:val="ListNumber"/>
        <w:rPr>
          <w:noProof/>
        </w:rPr>
      </w:pPr>
      <w:r>
        <w:rPr>
          <w:noProof/>
        </w:rPr>
        <w:t>11 straipsnio 1 dalis iš dalies keičiama taip:</w:t>
      </w:r>
    </w:p>
    <w:p>
      <w:pPr>
        <w:ind w:left="851"/>
        <w:rPr>
          <w:noProof/>
        </w:rPr>
      </w:pPr>
      <w:r>
        <w:rPr>
          <w:noProof/>
        </w:rPr>
        <w:t>„1.</w:t>
      </w:r>
      <w:r>
        <w:rPr>
          <w:noProof/>
        </w:rPr>
        <w:tab/>
        <w:t xml:space="preserve">ES garantijos suma bet kuriuo metu negali viršyti 92 436 320 000 EUR, iš kurių dalis gali būti skirta EIB finansavimui arba garantijoms, kurie teikiami EIF pagal 3 dalį arba pagal mokumo palaikymo liniją. </w:t>
      </w:r>
    </w:p>
    <w:p>
      <w:pPr>
        <w:ind w:left="851"/>
        <w:rPr>
          <w:noProof/>
        </w:rPr>
      </w:pPr>
      <w:r>
        <w:rPr>
          <w:noProof/>
        </w:rPr>
        <w:t>Operacijoms pagal mokumo palaikymo liniją skiriama ne didesnė kaip 66 436 320 000 EUR ES garantijos suma.</w:t>
      </w:r>
    </w:p>
    <w:p>
      <w:pPr>
        <w:ind w:left="851"/>
        <w:rPr>
          <w:noProof/>
        </w:rPr>
      </w:pPr>
      <w:r>
        <w:rPr>
          <w:noProof/>
        </w:rPr>
        <w:t>Iš antroje pastraipoje nurodytos sumos ne didesnė kaip 56 476 320 000 EUR suma skiriama Reglamento [EURI] 2 straipsnyje nurodytoms įgyvendinimo priemonėms; ji gali būti naudojama tik nuo to reglamento 4 straipsnio 3 dalyje nurodytos dienos.</w:t>
      </w:r>
    </w:p>
    <w:p>
      <w:pPr>
        <w:ind w:left="851"/>
        <w:rPr>
          <w:noProof/>
        </w:rPr>
      </w:pPr>
      <w:r>
        <w:rPr>
          <w:noProof/>
        </w:rPr>
        <w:t>Agreguoti grynieji mokėjimai iš Sąjungos bendrojo biudžeto pagal ES garantiją neviršija 92 436 320 000 EUR, o iki [</w:t>
      </w:r>
      <w:r>
        <w:rPr>
          <w:i/>
          <w:noProof/>
        </w:rPr>
        <w:t>šio reglamento įsigaliojimo diena</w:t>
      </w:r>
      <w:r>
        <w:rPr>
          <w:noProof/>
        </w:rPr>
        <w:t>] jie neviršija 26 000 000 000 EUR.“;</w:t>
      </w:r>
    </w:p>
    <w:p>
      <w:pPr>
        <w:pStyle w:val="ListNumber"/>
        <w:rPr>
          <w:noProof/>
        </w:rPr>
      </w:pPr>
      <w:r>
        <w:rPr>
          <w:noProof/>
        </w:rPr>
        <w:t>11 straipsnio 3 dalies pirmas sakinys iš dalies keičiamas taip:</w:t>
      </w:r>
    </w:p>
    <w:p>
      <w:pPr>
        <w:ind w:left="851"/>
        <w:rPr>
          <w:noProof/>
        </w:rPr>
      </w:pPr>
      <w:r>
        <w:rPr>
          <w:noProof/>
        </w:rPr>
        <w:t>„3.</w:t>
      </w:r>
      <w:r>
        <w:rPr>
          <w:noProof/>
        </w:rPr>
        <w:tab/>
        <w:t>Jeigu EIB pagal MVĮ liniją teikia finansavimą ar garantijas EIF, kad galėtų vykdyti EIB finansavimo ir investavimo operacijas, ES garantija suteikiama kaip visapusiška garantija tokiam finansavimui ar garantijoms, neviršijant pradinės 6 500 000 0000 EUR sumos, su sąlyga, kad bent 4 000 000 000 EUR finansavimo ar garantijų sumą EIB palaipsniui teikia be padengimo ES garantija.“;</w:t>
      </w:r>
    </w:p>
    <w:p>
      <w:pPr>
        <w:pStyle w:val="ListNumber"/>
        <w:rPr>
          <w:noProof/>
        </w:rPr>
      </w:pPr>
      <w:r>
        <w:rPr>
          <w:noProof/>
        </w:rPr>
        <w:t>11 straipsnio 6 dalies antra pastraipa iš dalies keičiama taip:</w:t>
      </w:r>
    </w:p>
    <w:p>
      <w:pPr>
        <w:pStyle w:val="Text1"/>
        <w:rPr>
          <w:noProof/>
        </w:rPr>
      </w:pPr>
      <w:r>
        <w:rPr>
          <w:noProof/>
        </w:rPr>
        <w:t>„ES garantija taip pat padengiamos 9 straipsnio 6 dalies antroje, trečioje ir ketvirtoje pastraipose nurodytos sumos.“;</w:t>
      </w:r>
    </w:p>
    <w:p>
      <w:pPr>
        <w:pStyle w:val="ListNumber"/>
        <w:rPr>
          <w:noProof/>
        </w:rPr>
      </w:pPr>
      <w:r>
        <w:rPr>
          <w:noProof/>
        </w:rPr>
        <w:t>12 straipsnis iš dalies keičiamas taip:</w:t>
      </w:r>
    </w:p>
    <w:p>
      <w:pPr>
        <w:pStyle w:val="ListNumberLevel2"/>
        <w:ind w:hanging="566"/>
        <w:rPr>
          <w:noProof/>
        </w:rPr>
      </w:pPr>
      <w:r>
        <w:rPr>
          <w:noProof/>
        </w:rPr>
        <w:t xml:space="preserve">2 dalis papildoma nauju e punktu: </w:t>
      </w:r>
    </w:p>
    <w:p>
      <w:pPr>
        <w:ind w:left="851"/>
        <w:rPr>
          <w:noProof/>
        </w:rPr>
      </w:pPr>
      <w:r>
        <w:rPr>
          <w:noProof/>
        </w:rPr>
        <w:t>„e)</w:t>
      </w:r>
      <w:r>
        <w:rPr>
          <w:noProof/>
        </w:rPr>
        <w:tab/>
        <w:t xml:space="preserve">28 238 160 000 EUR suma iš Reglamento [EURI] 3 straipsnio 2 dalies c punkto ii papunktyje nurodytos sumos.“; </w:t>
      </w:r>
    </w:p>
    <w:p>
      <w:pPr>
        <w:pStyle w:val="ListNumberLevel2"/>
        <w:ind w:hanging="566"/>
        <w:rPr>
          <w:noProof/>
        </w:rPr>
      </w:pPr>
      <w:r>
        <w:rPr>
          <w:noProof/>
        </w:rPr>
        <w:t xml:space="preserve">3 dalyje įterpiama antra pastraipa: </w:t>
      </w:r>
    </w:p>
    <w:p>
      <w:pPr>
        <w:ind w:left="851"/>
        <w:rPr>
          <w:noProof/>
        </w:rPr>
      </w:pPr>
      <w:r>
        <w:rPr>
          <w:noProof/>
        </w:rPr>
        <w:t>„Garantijų fondui pagal šio straipsnio 2 dalies e punktą skiriamos lėšos yra išorės asignuotosios pajamos, kaip nustatyta Finansinio reglamento 21 straipsnio 5 dalyje.“;</w:t>
      </w:r>
    </w:p>
    <w:p>
      <w:pPr>
        <w:pStyle w:val="ListNumberLevel2"/>
        <w:ind w:hanging="566"/>
        <w:rPr>
          <w:noProof/>
        </w:rPr>
      </w:pPr>
      <w:r>
        <w:rPr>
          <w:noProof/>
        </w:rPr>
        <w:t xml:space="preserve"> 5 dalis iš dalies keičiama taip:</w:t>
      </w:r>
    </w:p>
    <w:p>
      <w:pPr>
        <w:ind w:left="851"/>
        <w:rPr>
          <w:noProof/>
        </w:rPr>
      </w:pPr>
      <w:r>
        <w:rPr>
          <w:noProof/>
        </w:rPr>
        <w:lastRenderedPageBreak/>
        <w:t>„5.</w:t>
      </w:r>
      <w:r>
        <w:rPr>
          <w:noProof/>
        </w:rPr>
        <w:tab/>
        <w:t>2 dalies a–d punktuose nurodytos garantijų fondui skiriamos lėšos ir 2 dalies e punkte nurodytos skiriamos lėšos naudojamos, kad būtų pasiektas tinkamas dydis, atitinkantis visus ES garantijos įsipareigojimus (toliau – tikslinė suma). Tikslinė suma sudaro 45,8 % visų ES garantijos įsipareigojimų.</w:t>
      </w:r>
    </w:p>
    <w:p>
      <w:pPr>
        <w:pStyle w:val="ListNumberLevel2"/>
        <w:tabs>
          <w:tab w:val="clear" w:pos="1417"/>
        </w:tabs>
        <w:ind w:hanging="566"/>
        <w:rPr>
          <w:noProof/>
        </w:rPr>
      </w:pPr>
      <w:r>
        <w:rPr>
          <w:noProof/>
        </w:rPr>
        <w:t>7 dalis iš dalies keičiama taip:</w:t>
      </w:r>
    </w:p>
    <w:p>
      <w:pPr>
        <w:ind w:left="851"/>
        <w:rPr>
          <w:noProof/>
        </w:rPr>
      </w:pPr>
      <w:r>
        <w:rPr>
          <w:noProof/>
        </w:rPr>
        <w:t>„7.</w:t>
      </w:r>
      <w:r>
        <w:rPr>
          <w:noProof/>
        </w:rPr>
        <w:tab/>
        <w:t>Nuo 2028 m. sausio 1 d., jeigu dėl reikalavimų mokėti pagal ES garantiją garantijų fondo dydis sumažėja iki mažiau kaip 50 % tikslinės sumos arba, atsižvelgiant į Komisijos rizikos įvertinimą, per metus galėtų sumažėti ir to dydžio nebesiekti, Komisija pateikia ataskaitą apie išimtines priemones, kurių galėtų prireikti fondui papildyti.“;</w:t>
      </w:r>
    </w:p>
    <w:p>
      <w:pPr>
        <w:pStyle w:val="ListNumberLevel2"/>
        <w:ind w:hanging="566"/>
        <w:rPr>
          <w:noProof/>
        </w:rPr>
      </w:pPr>
      <w:r>
        <w:rPr>
          <w:noProof/>
        </w:rPr>
        <w:t>10 dalis iš dalies keičiama taip:</w:t>
      </w:r>
    </w:p>
    <w:p>
      <w:pPr>
        <w:ind w:left="851"/>
        <w:rPr>
          <w:noProof/>
        </w:rPr>
      </w:pPr>
      <w:r>
        <w:rPr>
          <w:noProof/>
        </w:rPr>
        <w:t>„10.</w:t>
      </w:r>
      <w:r>
        <w:rPr>
          <w:noProof/>
        </w:rPr>
        <w:tab/>
        <w:t>Tuo atveju, kai ES garantija visiškai atkuriama iki 92 436 320 000 EUR sumos, bet koks garantijų fondo perviršis, palyginti su tiksline suma, sumokamas į Sąjungos bendrąjį biudžetą.“;</w:t>
      </w:r>
    </w:p>
    <w:p>
      <w:pPr>
        <w:pStyle w:val="ListNumber"/>
        <w:rPr>
          <w:noProof/>
        </w:rPr>
      </w:pPr>
      <w:r>
        <w:rPr>
          <w:noProof/>
        </w:rPr>
        <w:t>13 straipsnio antra pastraipa iš dalies keičiama taip:</w:t>
      </w:r>
    </w:p>
    <w:p>
      <w:pPr>
        <w:pStyle w:val="Text1"/>
        <w:rPr>
          <w:noProof/>
        </w:rPr>
      </w:pPr>
      <w:r>
        <w:rPr>
          <w:noProof/>
        </w:rPr>
        <w:t>„Jei būtina, mokėjimų asignavimai gali būti įtraukti į Sąjungos bendrąjį biudžetą po 2020 m. ir iki 2027 finansinių metų imtinai, kad būtų įvykdytos prievolės pagal 12 straipsnio 5 dalį.“;</w:t>
      </w:r>
    </w:p>
    <w:p>
      <w:pPr>
        <w:pStyle w:val="ListNumber"/>
        <w:rPr>
          <w:noProof/>
        </w:rPr>
      </w:pPr>
      <w:r>
        <w:rPr>
          <w:noProof/>
        </w:rPr>
        <w:t>įterpiamas IIIa skyrius:</w:t>
      </w:r>
    </w:p>
    <w:p>
      <w:pPr>
        <w:jc w:val="center"/>
        <w:rPr>
          <w:noProof/>
        </w:rPr>
      </w:pPr>
      <w:r>
        <w:rPr>
          <w:noProof/>
        </w:rPr>
        <w:t>„13a straipsnis</w:t>
      </w:r>
    </w:p>
    <w:p>
      <w:pPr>
        <w:jc w:val="center"/>
        <w:rPr>
          <w:noProof/>
        </w:rPr>
      </w:pPr>
      <w:r>
        <w:rPr>
          <w:noProof/>
        </w:rPr>
        <w:t>Dalyvavimas didinant Europos investicijų fondo kapitalą</w:t>
      </w:r>
    </w:p>
    <w:p>
      <w:pPr>
        <w:autoSpaceDE w:val="0"/>
        <w:autoSpaceDN w:val="0"/>
        <w:adjustRightInd w:val="0"/>
        <w:spacing w:before="0" w:after="0"/>
        <w:rPr>
          <w:noProof/>
        </w:rPr>
      </w:pPr>
      <w:r>
        <w:rPr>
          <w:noProof/>
        </w:rPr>
        <w:t>Sąjunga pasirašo akcijas, susijusias su būsimu Europos investicijų fondo kapitalo didinimu, kad jos santykinė kapitalo dalis išliktų dabartinio lygio. Akcijos pasirašomos ir ne daugiau kaip 500 000 000 EUR už apmokėtiną akcijų dalį sumokama laikantis fondo visuotinio susirinkimo patvirtintų sąlygų.“;</w:t>
      </w:r>
    </w:p>
    <w:p>
      <w:pPr>
        <w:pStyle w:val="ListNumber"/>
        <w:rPr>
          <w:noProof/>
        </w:rPr>
      </w:pPr>
      <w:r>
        <w:rPr>
          <w:noProof/>
        </w:rPr>
        <w:t>14 straipsnis iš dalies keičiamas taip:</w:t>
      </w:r>
    </w:p>
    <w:p>
      <w:pPr>
        <w:ind w:left="851"/>
        <w:rPr>
          <w:noProof/>
        </w:rPr>
      </w:pPr>
      <w:r>
        <w:rPr>
          <w:noProof/>
        </w:rPr>
        <w:t>a) 2 dalyje įterpiamas i punktas:</w:t>
      </w:r>
    </w:p>
    <w:p>
      <w:pPr>
        <w:ind w:left="851"/>
        <w:rPr>
          <w:noProof/>
        </w:rPr>
      </w:pPr>
      <w:r>
        <w:rPr>
          <w:noProof/>
        </w:rPr>
        <w:t>„i) paramos finansavimo ir investavimo operacijoms pagal mokumo palaikymo liniją teikimą.“;</w:t>
      </w:r>
    </w:p>
    <w:p>
      <w:pPr>
        <w:ind w:left="851"/>
        <w:rPr>
          <w:noProof/>
        </w:rPr>
      </w:pPr>
      <w:r>
        <w:rPr>
          <w:noProof/>
        </w:rPr>
        <w:t>b) 3 dalis iš dalies keičiama taip:</w:t>
      </w:r>
    </w:p>
    <w:p>
      <w:pPr>
        <w:ind w:left="851"/>
        <w:rPr>
          <w:noProof/>
        </w:rPr>
      </w:pPr>
      <w:r>
        <w:rPr>
          <w:noProof/>
        </w:rPr>
        <w:t>„EIKC paslaugomis gali naudotis viešųjų ir privačių projektų vykdytojai, įskaitant nacionalinius skatinamojo finansavimo bankus ar įstaigas, investavimo platformas, fondus, specialiosios paskirties įmones ir regionų bei vietos viešuosius subjektus.“;</w:t>
      </w:r>
    </w:p>
    <w:p>
      <w:pPr>
        <w:pStyle w:val="ListNumber"/>
        <w:rPr>
          <w:noProof/>
        </w:rPr>
      </w:pPr>
      <w:r>
        <w:rPr>
          <w:noProof/>
        </w:rPr>
        <w:t>įterpiamas 14a straipsnis:</w:t>
      </w:r>
    </w:p>
    <w:p>
      <w:pPr>
        <w:jc w:val="center"/>
        <w:rPr>
          <w:noProof/>
        </w:rPr>
      </w:pPr>
      <w:r>
        <w:rPr>
          <w:noProof/>
        </w:rPr>
        <w:t>„14a straipsnis</w:t>
      </w:r>
    </w:p>
    <w:p>
      <w:pPr>
        <w:jc w:val="center"/>
        <w:rPr>
          <w:noProof/>
        </w:rPr>
      </w:pPr>
      <w:r>
        <w:rPr>
          <w:noProof/>
        </w:rPr>
        <w:t xml:space="preserve">Konsultavimo paslaugų ir techninės pagalbos finansavimas </w:t>
      </w:r>
    </w:p>
    <w:p>
      <w:pPr>
        <w:autoSpaceDE w:val="0"/>
        <w:autoSpaceDN w:val="0"/>
        <w:adjustRightInd w:val="0"/>
        <w:spacing w:before="0" w:after="0"/>
        <w:rPr>
          <w:noProof/>
        </w:rPr>
      </w:pPr>
      <w:r>
        <w:rPr>
          <w:noProof/>
        </w:rPr>
        <w:t xml:space="preserve">Ne didesnė kaip 100 000 000 EUR suma skiriama išlaidoms, konsultavimo paslaugoms ir techninei bei administracinei pagalbai, susijusioms su fondų, specialiosios paskirties įmonių, investavimo platformų ir kitų priemonių steigimu ir valdymu mokumo palaikymo linijos tikslais, įskaitant 14 straipsnio 2 dalies i punkte nurodytą paramą, išskirtinį dėmesį skiriant valstybėms narėms, kurių akcijų rinkos yra menkiau išvystytos. Taip pat suteikiama galimybė </w:t>
      </w:r>
      <w:r>
        <w:rPr>
          <w:noProof/>
        </w:rPr>
        <w:lastRenderedPageBreak/>
        <w:t xml:space="preserve">pasinaudoti technine pagalba, skirta pagal šią liniją finansuojamų įmonių žaliajai pertvarkai ir skaitmeninei transformacijai remti. </w:t>
      </w:r>
    </w:p>
    <w:p>
      <w:pPr>
        <w:autoSpaceDE w:val="0"/>
        <w:autoSpaceDN w:val="0"/>
        <w:adjustRightInd w:val="0"/>
        <w:spacing w:before="0" w:after="0"/>
        <w:rPr>
          <w:noProof/>
        </w:rPr>
      </w:pPr>
    </w:p>
    <w:p>
      <w:pPr>
        <w:autoSpaceDE w:val="0"/>
        <w:autoSpaceDN w:val="0"/>
        <w:adjustRightInd w:val="0"/>
        <w:spacing w:before="0" w:after="0"/>
        <w:rPr>
          <w:noProof/>
        </w:rPr>
      </w:pPr>
      <w:r>
        <w:rPr>
          <w:noProof/>
        </w:rPr>
        <w:t>Komisija šią sumą naudoja taikydama tiesioginį arba netiesioginį valdymą, kaip nurodyta Finansinio reglamento 62 straipsnio 1 dalies a ir c punktuose.</w:t>
      </w:r>
    </w:p>
    <w:p>
      <w:pPr>
        <w:autoSpaceDE w:val="0"/>
        <w:autoSpaceDN w:val="0"/>
        <w:adjustRightInd w:val="0"/>
        <w:spacing w:before="0" w:after="0"/>
        <w:rPr>
          <w:noProof/>
        </w:rPr>
      </w:pPr>
    </w:p>
    <w:p>
      <w:pPr>
        <w:autoSpaceDE w:val="0"/>
        <w:autoSpaceDN w:val="0"/>
        <w:adjustRightInd w:val="0"/>
        <w:spacing w:before="0" w:after="0"/>
        <w:rPr>
          <w:noProof/>
        </w:rPr>
      </w:pPr>
      <w:r>
        <w:rPr>
          <w:noProof/>
        </w:rPr>
        <w:t>80 000 000 EUR suma iš pirmoje pastraipoje nurodytos sumos yra išorės asignuotosios pajamos, kaip nustatyta Finansinio reglamento 21 straipsnio 5 dalyje, ir jai taikomos Reglamento [EURI] 4 straipsnio 4 ir 8 dalys.“;</w:t>
      </w:r>
    </w:p>
    <w:p>
      <w:pPr>
        <w:pStyle w:val="ListNumber"/>
        <w:rPr>
          <w:noProof/>
        </w:rPr>
      </w:pPr>
      <w:r>
        <w:rPr>
          <w:noProof/>
        </w:rPr>
        <w:t>16 straipsnio 2 dalis papildoma antra pastraipa:</w:t>
      </w:r>
    </w:p>
    <w:p>
      <w:pPr>
        <w:ind w:left="851"/>
        <w:rPr>
          <w:noProof/>
        </w:rPr>
      </w:pPr>
      <w:r>
        <w:rPr>
          <w:noProof/>
        </w:rPr>
        <w:t>„Jei tinkama, ataskaitos apie operacijas pagal mokumo palaikymo liniją teikiamos atskirai, laikantis susitarimo dėl garantijos nuostatų.“;</w:t>
      </w:r>
    </w:p>
    <w:p>
      <w:pPr>
        <w:pStyle w:val="ListNumber"/>
        <w:rPr>
          <w:noProof/>
        </w:rPr>
      </w:pPr>
      <w:r>
        <w:rPr>
          <w:noProof/>
        </w:rPr>
        <w:t>16 straipsnio 3 dalis papildoma antra pastraipa:</w:t>
      </w:r>
    </w:p>
    <w:p>
      <w:pPr>
        <w:ind w:left="851"/>
        <w:rPr>
          <w:noProof/>
        </w:rPr>
      </w:pPr>
      <w:r>
        <w:rPr>
          <w:noProof/>
        </w:rPr>
        <w:t>„ES garantijos metinės finansinės ataskaitos rengiamos laikantis Komisijos apskaitos pareigūno priimtų apskaitos taisyklių, kaip nurodyta 2018 m. liepos 18 d. Europos Parlamento ir Tarybos reglamento (ES, Euratomas) 2018/1046 dėl Sąjungos bendrajam biudžetui taikomų finansinių taisyklių 80 straipsnyje. Neaudituotas finansines ataskaitas ir visą informaciją, reikalingą Sąjungos sąskaitoms parengti, EIB grupė pateikia iki kitų finansinių metų vasario 15 d., o audituotas finansines ataskaitas – iki kitų finansinių metų kovo 31 d.“;</w:t>
      </w:r>
    </w:p>
    <w:p>
      <w:pPr>
        <w:pStyle w:val="ListNumber"/>
        <w:rPr>
          <w:noProof/>
        </w:rPr>
      </w:pPr>
      <w:r>
        <w:rPr>
          <w:noProof/>
        </w:rPr>
        <w:t xml:space="preserve">18 straipsnio 3 dalies įvadinis sakinys iš dalies keičiamas taip: </w:t>
      </w:r>
    </w:p>
    <w:p>
      <w:pPr>
        <w:ind w:left="851"/>
        <w:rPr>
          <w:noProof/>
        </w:rPr>
      </w:pPr>
      <w:r>
        <w:rPr>
          <w:noProof/>
        </w:rPr>
        <w:t>„3.</w:t>
      </w:r>
      <w:r>
        <w:rPr>
          <w:noProof/>
        </w:rPr>
        <w:tab/>
        <w:t>Ne vėliau kaip 2018 m. birželio 30 d., ne vėliau kaip 2021 m. gruodžio 30 d. ir paskui kas trejus metus:“;</w:t>
      </w:r>
    </w:p>
    <w:p>
      <w:pPr>
        <w:pStyle w:val="ListNumber"/>
        <w:rPr>
          <w:noProof/>
        </w:rPr>
      </w:pPr>
      <w:r>
        <w:rPr>
          <w:noProof/>
        </w:rPr>
        <w:t>24 straipsnis papildomas 3 ir 4 dalimis:</w:t>
      </w:r>
    </w:p>
    <w:p>
      <w:pPr>
        <w:ind w:left="851"/>
        <w:rPr>
          <w:noProof/>
        </w:rPr>
      </w:pPr>
      <w:r>
        <w:rPr>
          <w:noProof/>
        </w:rPr>
        <w:t>„3.</w:t>
      </w:r>
      <w:r>
        <w:rPr>
          <w:noProof/>
        </w:rPr>
        <w:tab/>
        <w:t>Įsigaliojus šiam reglamentui EIB gali pateikti Investicijų komitetui finansavimo ir investavimo operacijas, kurias jo valdymo organai patvirtino laikotarpiu nuo Komisijos pasiūlymo iš dalies pakeisti Reglamentą (ES) 2015/1017 priėmimo iki iš dalies pakeisto susitarimo dėl garantijos, sudaryto pagal iš dalies pakeistą reglamentą, pasirašymo, jei tokios operacijos atitinka paramos pagal mokumo palaikymo priemonę reikalavimus. Investicijų komitetui pateiktinos tos operacijos, kurios anksčiau nebuvo remiamos ES garantija.</w:t>
      </w:r>
    </w:p>
    <w:p>
      <w:pPr>
        <w:ind w:left="851"/>
        <w:rPr>
          <w:noProof/>
        </w:rPr>
      </w:pPr>
      <w:r>
        <w:rPr>
          <w:noProof/>
        </w:rPr>
        <w:t>4.</w:t>
      </w:r>
      <w:r>
        <w:rPr>
          <w:noProof/>
        </w:rPr>
        <w:tab/>
        <w:t>„InvestEU“ reglamente numatytam Investicijų komitetui pradėjus vykdyti savo funkcijas, jis bus atsakingas ir už ES garantijos teikimą pagal šį reglamentą.“;</w:t>
      </w:r>
    </w:p>
    <w:p>
      <w:pPr>
        <w:pStyle w:val="ListNumber"/>
        <w:rPr>
          <w:noProof/>
        </w:rPr>
      </w:pPr>
      <w:r>
        <w:rPr>
          <w:noProof/>
        </w:rPr>
        <w:t>Reglamento (ES) 2015/1017 II priedas iš dalies keičiamas taip:</w:t>
      </w:r>
    </w:p>
    <w:p>
      <w:pPr>
        <w:pStyle w:val="Point1"/>
        <w:rPr>
          <w:noProof/>
        </w:rPr>
      </w:pPr>
      <w:r>
        <w:rPr>
          <w:noProof/>
        </w:rPr>
        <w:t>1)</w:t>
      </w:r>
      <w:r>
        <w:rPr>
          <w:noProof/>
        </w:rPr>
        <w:tab/>
        <w:t>1 skirsnio trečia pastraipa pakeičiama taip:</w:t>
      </w:r>
    </w:p>
    <w:p>
      <w:pPr>
        <w:pStyle w:val="Text2"/>
        <w:rPr>
          <w:noProof/>
        </w:rPr>
      </w:pPr>
      <w:r>
        <w:rPr>
          <w:noProof/>
        </w:rPr>
        <w:t>„Investavimo gairės taikomos tik ESIF operacijoms, susijusioms su šio reglamento 10 straipsnio 2 dalies a punkte nurodytomis skolos ir nuosavo kapitalo priemonėmis, ir ESIF operacijoms pagal mokumo palaikymo liniją, nurodytoms 10 straipsnio 2 dalies b ir c punktuose. Taigi tos gairės netaikytinos ESIF operacijoms, susijusioms su 10 straipsnio 2 dalies b punkte nurodytomis priemonėmis, išskyrus tas, kurios remiamos pagal mokumo palaikymo liniją.“;</w:t>
      </w:r>
    </w:p>
    <w:p>
      <w:pPr>
        <w:pStyle w:val="Point1"/>
        <w:rPr>
          <w:noProof/>
        </w:rPr>
      </w:pPr>
      <w:r>
        <w:rPr>
          <w:noProof/>
        </w:rPr>
        <w:t>2)</w:t>
      </w:r>
      <w:r>
        <w:rPr>
          <w:noProof/>
        </w:rPr>
        <w:tab/>
        <w:t>2 skirsnis iš dalies keičiamas taip:</w:t>
      </w:r>
    </w:p>
    <w:p>
      <w:pPr>
        <w:pStyle w:val="Point2"/>
        <w:rPr>
          <w:noProof/>
        </w:rPr>
      </w:pPr>
      <w:r>
        <w:rPr>
          <w:noProof/>
        </w:rPr>
        <w:t>a)</w:t>
      </w:r>
      <w:r>
        <w:rPr>
          <w:noProof/>
        </w:rPr>
        <w:tab/>
        <w:t>b punkto pirma pastraipa pakeičiama taip:</w:t>
      </w:r>
    </w:p>
    <w:p>
      <w:pPr>
        <w:pStyle w:val="Text3"/>
        <w:rPr>
          <w:noProof/>
        </w:rPr>
      </w:pPr>
      <w:r>
        <w:rPr>
          <w:noProof/>
        </w:rPr>
        <w:lastRenderedPageBreak/>
        <w:t>„b) ES garantija suteikiama naujų operacijų finansavimui tiesiogiai ar netiesiogiai remti. Infrastruktūros srityje reikėtų skatinti plyno lauko investicijas (turto kūrimą). Taip pat gali būti remiamos investicijos į apleistas zonas (esamo turto didinimą ir atnaujinimą). Finansavimu pagal mokumo palaikymo liniją siekiama pagerinti įmonių nuosavo kapitalo bazę ir jų mokumą. Turėtų būti vengiama tokių finansavimo sąlygų, kuriomis būtų iškraipoma įmonių konkurencija. Paprastai ES garantija negali būti teikiama refinansavimo operacijoms remti (pvz., pakeisti galiojančius paskolų susitarimus ar kitokią finansinę paramą projektams, kurie iš dalies ar visiškai įgyvendinti), išskyrus atvejus, kai tai daroma pagal mokumo palaikymo liniją arba išimtinėmis ir tinkamai pagrįstomis aplinkybėmis, jeigu įrodoma, kad toks sandoris leis sukurti naujų investicijų už tokią sumą, kuri būtų bent lygiavertė sandorio sumai, ir kurios atitiktų tinkamumo kriterijus ir bendruosius tikslus, nustatytus atitinkamai 6 straipsnyje ir 9 straipsnio 2 dalyje.“;</w:t>
      </w:r>
    </w:p>
    <w:p>
      <w:pPr>
        <w:pStyle w:val="Point2"/>
        <w:rPr>
          <w:noProof/>
        </w:rPr>
      </w:pPr>
      <w:r>
        <w:rPr>
          <w:noProof/>
        </w:rPr>
        <w:t>b)</w:t>
      </w:r>
      <w:r>
        <w:rPr>
          <w:noProof/>
        </w:rPr>
        <w:tab/>
        <w:t>c punktas iš dalies keičiamas taip:</w:t>
      </w:r>
    </w:p>
    <w:p>
      <w:pPr>
        <w:pStyle w:val="Text3"/>
        <w:rPr>
          <w:noProof/>
        </w:rPr>
      </w:pPr>
      <w:r>
        <w:rPr>
          <w:noProof/>
        </w:rPr>
        <w:t>„c) ES garantija remiami įvairūs produktai, kad ESIF turėtų galimybę prisitaikyti prie rinkos poreikių, kartu skatinant privačiąsias investicijas į projektus, bet neišstumiant privačiojo sektoriaus rinkos finansavimo. Atsižvelgiant į tai, tikimasi, kad EIB teiks finansavimą iš ESIF, kad būtų pasiektas bendras tikslas – mažiausiai 500 000 000 000 EUR viešųjų ar privačiųjų investicijų pagal infrastruktūros ir inovacijų liniją ir MVĮ liniją kartu sudėjus, įskaitant finansavimą, sutelktą iš EIF vykdant ESIF operacijas, susijusias su 10 straipsnio 2 dalies b punkte nurodytomis priemonėmis, nacionalinių skatinamojo finansavimo bankų ar įstaigų, ir suteikiant daugiau galimybių gauti finansavimą subjektams, kuriuose dirba ne daugiau kaip 3 000 darbuotojų. Reikalavimus atitinkantys produktai, be kita ko</w:t>
      </w:r>
      <w:r>
        <w:rPr>
          <w:rStyle w:val="FootnoteReference"/>
          <w:noProof/>
        </w:rPr>
        <w:footnoteReference w:id="12"/>
      </w:r>
      <w:r>
        <w:rPr>
          <w:noProof/>
        </w:rPr>
        <w:t>, yra paskolos, garantijos, priešpriešinės garantijos, tarpinio pobūdžio ir subordinuotasis finansavimas, kapitalo rinkos priemonės, įskaitant kredito vertės didinimą, ir investicijos į nuosavą kapitalą ar kvazinuosavą kapitalą, be kita ko, per nacionalinius skatinamojo finansavimo bankus ar įstaigas, investavimo platformas, fondus ar specialiosios paskirties įmones. Šiomis aplinkybėmis, siekiant, kad į ESIF projektus investuotų įvairūs investuotojai, EIB leidžiama sudaryti tinkamus portfelius. Mokumo palaikymo linijos reikalavimus atitinka produktai, kuriais įmonėms ir projektams, išskyrus subjektus, kurių tikslas yra išpirkimas (arba pakeitimas kapitalu) siekiant išparduoti turtą dalimis, teikiamos investicijos arba per tarpininkus teikiamas nuosavas arba kvazinuosavas kapitalas. Tikimasi, kad EIB ir EIF suteiks finansavimą, leisiantį pasiekti, kad pagal mokumo palaikymo liniją būtų investuota iki 300 000 000 000 EUR.</w:t>
      </w:r>
    </w:p>
    <w:p>
      <w:pPr>
        <w:pStyle w:val="Point2"/>
        <w:rPr>
          <w:noProof/>
        </w:rPr>
      </w:pPr>
      <w:r>
        <w:rPr>
          <w:noProof/>
        </w:rPr>
        <w:t>c)</w:t>
      </w:r>
      <w:r>
        <w:rPr>
          <w:noProof/>
        </w:rPr>
        <w:tab/>
        <w:t>d punkto pirmas sakinys iš dalies keičiamas taip:</w:t>
      </w:r>
    </w:p>
    <w:p>
      <w:pPr>
        <w:pStyle w:val="Text3"/>
        <w:rPr>
          <w:noProof/>
        </w:rPr>
      </w:pPr>
      <w:r>
        <w:rPr>
          <w:noProof/>
        </w:rPr>
        <w:t>„d) Nacionaliniai skatinamojo finansavimo bankai ar įstaigos, investavimo platformos, fondai ir specialiosios paskirties įmonės atitinka EIB garantijos taikymo suteikiant ES garantijos priešpriešinę garantiją reikalavimus, kaip nurodyta 10 straipsnio 2 dalies c punkte.“;</w:t>
      </w:r>
    </w:p>
    <w:p>
      <w:pPr>
        <w:pStyle w:val="Point1"/>
        <w:rPr>
          <w:noProof/>
        </w:rPr>
      </w:pPr>
      <w:r>
        <w:rPr>
          <w:noProof/>
        </w:rPr>
        <w:lastRenderedPageBreak/>
        <w:t>3)</w:t>
      </w:r>
      <w:r>
        <w:rPr>
          <w:noProof/>
        </w:rPr>
        <w:tab/>
        <w:t>6 skirsnis papildomas d punktu:</w:t>
      </w:r>
    </w:p>
    <w:p>
      <w:pPr>
        <w:pStyle w:val="PointDouble2"/>
        <w:rPr>
          <w:noProof/>
        </w:rPr>
      </w:pPr>
      <w:r>
        <w:rPr>
          <w:noProof/>
        </w:rPr>
        <w:t>„d) Mokumo palaikymo linija</w:t>
      </w:r>
    </w:p>
    <w:p>
      <w:pPr>
        <w:pStyle w:val="ListNumberLevel3"/>
        <w:rPr>
          <w:noProof/>
        </w:rPr>
      </w:pPr>
      <w:r>
        <w:rPr>
          <w:noProof/>
        </w:rPr>
        <w:t>ES garantija gali būti naudojama siekiant paremti EIB arba EIF finansavimą, garantijas fondams, specialiosios paskirties įmonėms ar kitoms investavimo platformoms arba investicijas į juos, be kita ko, teikiamas per nacionalinius skatinamojo finansavimo bankus ar įstaigas arba kitomis atitinkamomis priemonėmis, kuriomis įmonėms suteikiamas nuosavas kapitalas ir vykdomos nuosavo kapitalo tipo investicijos į įmones.</w:t>
      </w:r>
    </w:p>
    <w:p>
      <w:pPr>
        <w:pStyle w:val="ListNumberLevel3"/>
        <w:rPr>
          <w:noProof/>
        </w:rPr>
      </w:pPr>
      <w:r>
        <w:rPr>
          <w:noProof/>
        </w:rPr>
        <w:t xml:space="preserve">Mokumo palaikymo linija visų pirma skirta fondams, specialiosios paskirties įmonėms arba investavimo platformoms, kurių veikla orientuota į įmones, vykdančias Sąjungoje tarpvalstybinę veiklą, ir (arba) įmones, su kuriomis siejamos didelės žaliosios pertvarkos arba skaitmeninės transformacijos galimybės. </w:t>
      </w:r>
    </w:p>
    <w:p>
      <w:pPr>
        <w:pStyle w:val="ListNumberLevel3"/>
        <w:rPr>
          <w:noProof/>
        </w:rPr>
      </w:pPr>
      <w:r>
        <w:rPr>
          <w:noProof/>
        </w:rPr>
        <w:t>Fondai, specialiosios paskirties įmonės arba investavimo platformos finansavimą teikia komercinėmis sąlygomis arba sąlygomis, atitinkančiomis laikinąją valstybės pagalbos sistemą</w:t>
      </w:r>
      <w:r>
        <w:rPr>
          <w:rStyle w:val="FootnoteReference"/>
          <w:noProof/>
        </w:rPr>
        <w:footnoteReference w:id="13"/>
      </w:r>
      <w:r>
        <w:rPr>
          <w:noProof/>
        </w:rPr>
        <w:t xml:space="preserve">, kartu tinkamai atsižvelgdami į europinį Mokumo palaikymo priemonės pobūdį ir deramą dėmesį skirdami nepriklausomam fondų ir kitų priemonių valdymui. </w:t>
      </w:r>
    </w:p>
    <w:p>
      <w:pPr>
        <w:pStyle w:val="ListNumberLevel3"/>
        <w:rPr>
          <w:noProof/>
        </w:rPr>
      </w:pPr>
      <w:r>
        <w:rPr>
          <w:noProof/>
        </w:rPr>
        <w:t xml:space="preserve">Fondai, specialiosios paskirties įmonės arba investavimo platformos turi būti valdomi komerciniu principu, kad priimami investavimo sprendimai arba taikomas nepriklausomas valdymas atitiktų įprastomis rinkos sąlygomis investuotojų priimamus investavimo sprendimus arba taikomą komercinį valdymą.  </w:t>
      </w:r>
    </w:p>
    <w:p>
      <w:pPr>
        <w:pStyle w:val="ListNumberLevel3"/>
        <w:rPr>
          <w:noProof/>
        </w:rPr>
      </w:pPr>
      <w:r>
        <w:rPr>
          <w:noProof/>
        </w:rPr>
        <w:t>Įmonės, į kurias orientuota fondų, specialiosios paskirties įmonių arba investavimo platformų veikla, skatinamos kiek įmanoma laikytis būtinųjų aukšto lygio socialinių ir aplinkos apsaugos principų pagal Valdančiosios tarybos parengtas gaires. Į tas gaires turėtų būti įtrauktos atitinkamos nuostatos, kuriomis, atsižvelgiant į įmonių dydį ir įtraukiant paprastesnes MVĮ skirtas nuostatas, būtų padedama išvengti nereikalingos administracinės naštos. Įmonės, kurios tam tikru mastu yra susijusios su aplinkai žalinga veikla, nurodyta iš anksto sudarytame tokios veiklos rūšių sąraše, visų pirma – veikla, vykdoma sektoriuose, kuriems taikoma ES apyvartinių taršos leidimų prekybos sistema (ES ATLPS), skatinamos ateityje parengti žaliosios pertvarkos planus. Įmonės taip pat skatinamos daryti pažangą skaitmeninės transformacijos srityje. Siekiančioms minėtų tikslų įmonėms turėtų būti siūloma techninė pagalba.</w:t>
      </w:r>
    </w:p>
    <w:p>
      <w:pPr>
        <w:pStyle w:val="ListNumberLevel3"/>
        <w:rPr>
          <w:noProof/>
        </w:rPr>
      </w:pPr>
      <w:r>
        <w:rPr>
          <w:noProof/>
        </w:rPr>
        <w:t xml:space="preserve">Operacijos pagal šią liniją vykdomos laikantis EIB arba EIF vidaus taisyklių ir procedūrų. Visa su operacijos vertinimu susijusi informacija pateikiama Valdančiosios tarybos ir Investicijų komiteto nariams. </w:t>
      </w:r>
    </w:p>
    <w:p>
      <w:pPr>
        <w:pStyle w:val="ListNumberLevel3"/>
        <w:rPr>
          <w:noProof/>
        </w:rPr>
      </w:pPr>
      <w:r>
        <w:rPr>
          <w:noProof/>
        </w:rPr>
        <w:lastRenderedPageBreak/>
        <w:t>EIB arba EIF garantijų arba investicijų kaina nustatoma pagal 4 straipsnio 2 dalies a punkto iv arba v papunktį.“;</w:t>
      </w:r>
    </w:p>
    <w:p>
      <w:pPr>
        <w:pStyle w:val="Point1"/>
        <w:rPr>
          <w:noProof/>
        </w:rPr>
      </w:pPr>
      <w:r>
        <w:rPr>
          <w:noProof/>
        </w:rPr>
        <w:t>4)</w:t>
      </w:r>
      <w:r>
        <w:rPr>
          <w:noProof/>
        </w:rPr>
        <w:tab/>
        <w:t>8 skirsnio b punktas iš dalies keičiamas taip:</w:t>
      </w:r>
    </w:p>
    <w:p>
      <w:pPr>
        <w:pStyle w:val="Text2"/>
        <w:rPr>
          <w:noProof/>
        </w:rPr>
      </w:pPr>
      <w:r>
        <w:rPr>
          <w:noProof/>
        </w:rPr>
        <w:t>„b) Geografinė koncentracija</w:t>
      </w:r>
    </w:p>
    <w:p>
      <w:pPr>
        <w:pStyle w:val="Text2"/>
        <w:rPr>
          <w:noProof/>
        </w:rPr>
      </w:pPr>
      <w:r>
        <w:rPr>
          <w:noProof/>
        </w:rPr>
        <w:t>Pasibaigus atitinkamam investavimo laikotarpiui ESIF remiamos operacijos neturi būti sutelktos kurioje nors konkrečioje teritorijoje. Šiuo tikslu Valdančioji taryba patvirtina orientacines geografinės diversifikacijos ir koncentracijos gaires. Valdančioji taryba, pasitarusi su Investicijų komitetu, gali nuspręsti pakeisti šias orientacines ribines vertes.</w:t>
      </w:r>
    </w:p>
    <w:p>
      <w:pPr>
        <w:pStyle w:val="Text2"/>
        <w:rPr>
          <w:noProof/>
        </w:rPr>
      </w:pPr>
      <w:r>
        <w:rPr>
          <w:noProof/>
        </w:rPr>
        <w:t xml:space="preserve">Valdančioji taryba, siekdama užtikrinti, kad būtų laikomasi atitinkamų 9 straipsnio 2a dalies b ir c punktų reikalavimų ir kartu išvengta pernelyg didelio paramos sutelkimo keliose valstybėse narėse, nustato konkrečias pagal mokumo palaikymo liniją taikytinas diversifikacijos ir koncentracijos ribas. Valdančioji taryba reguliariai vertina COVID-19 pandemijos ekonominį poveikį valstybėms narėms ir sektoriams. Remdamasi šiuo vertinimu, Valdančioji taryba, pasitarusi su Investicijų komitetu, gali nuspręsti šias ribines vertes pakeisti. </w:t>
      </w:r>
    </w:p>
    <w:p>
      <w:pPr>
        <w:pStyle w:val="Text2"/>
        <w:rPr>
          <w:noProof/>
        </w:rPr>
      </w:pPr>
      <w:r>
        <w:rPr>
          <w:noProof/>
        </w:rPr>
        <w:t>Valdančioji taryba Europos Parlamentui ir Tarybai raštu pateikia savo sprendimo dėl orientacinių ir mokumo palaikymo linijai taikomų ribinių verčių paaiškinimą. ESIF turėtų būti skirtas visoms valstybėms narėms.“</w:t>
      </w:r>
    </w:p>
    <w:p>
      <w:pPr>
        <w:pStyle w:val="Titrearticle"/>
        <w:rPr>
          <w:noProof/>
        </w:rPr>
      </w:pPr>
      <w:r>
        <w:rPr>
          <w:noProof/>
        </w:rPr>
        <w:t>2 straipsnis</w:t>
      </w:r>
    </w:p>
    <w:p>
      <w:pPr>
        <w:rPr>
          <w:noProof/>
        </w:rPr>
      </w:pPr>
      <w:r>
        <w:rPr>
          <w:noProof/>
        </w:rPr>
        <w:t xml:space="preserve">Šis reglamentas įsigalioja trečią dieną po jo paskelbimo </w:t>
      </w:r>
      <w:r>
        <w:rPr>
          <w:i/>
          <w:noProof/>
        </w:rPr>
        <w:t>Europos Sąjungos oficialiajame leidinyje</w:t>
      </w:r>
      <w:r>
        <w:rPr>
          <w:noProof/>
        </w:rPr>
        <w:t>.</w:t>
      </w:r>
    </w:p>
    <w:p>
      <w:pPr>
        <w:pStyle w:val="Applicationdirecte"/>
        <w:rPr>
          <w:noProof/>
        </w:rPr>
      </w:pPr>
      <w:r>
        <w:rPr>
          <w:noProof/>
        </w:rPr>
        <w:t>Šis reglamentas privalomas visas ir tiesiogiai taikomas visose valstybėse narėse.</w:t>
      </w:r>
    </w:p>
    <w:p>
      <w:pPr>
        <w:pStyle w:val="Fait"/>
        <w:rPr>
          <w:noProof/>
        </w:rPr>
      </w:pPr>
      <w:r>
        <w:t>Priimta Briuselyje</w:t>
      </w:r>
    </w:p>
    <w:p>
      <w:pPr>
        <w:pStyle w:val="Institutionquisigne"/>
        <w:rPr>
          <w:noProof/>
        </w:rPr>
      </w:pPr>
      <w:r>
        <w:rPr>
          <w:noProof/>
        </w:rPr>
        <w:t>Europos Parlamento vardu</w:t>
      </w:r>
      <w:r>
        <w:rPr>
          <w:noProof/>
        </w:rPr>
        <w:tab/>
        <w:t>Tarybos vardu</w:t>
      </w:r>
    </w:p>
    <w:p>
      <w:pPr>
        <w:pStyle w:val="Personnequisigne"/>
        <w:rPr>
          <w:noProof/>
        </w:rPr>
      </w:pPr>
      <w:r>
        <w:rPr>
          <w:noProof/>
        </w:rPr>
        <w:t>Pirmininkas</w:t>
      </w:r>
      <w:r>
        <w:rPr>
          <w:noProof/>
        </w:rPr>
        <w:tab/>
        <w:t>Pirmininkas</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FINANSINĖ TEISĖS AKTO PASIŪLYMO PAŽYMA</w:t>
      </w:r>
    </w:p>
    <w:p>
      <w:pPr>
        <w:pStyle w:val="ManualHeading1"/>
        <w:rPr>
          <w:noProof/>
        </w:rPr>
      </w:pPr>
      <w:r>
        <w:rPr>
          <w:noProof/>
        </w:rPr>
        <w:t>1.</w:t>
      </w:r>
      <w:r>
        <w:rPr>
          <w:noProof/>
        </w:rPr>
        <w:tab/>
        <w:t xml:space="preserve">PASIŪLYMO (INICIATYVOS) STRUKTŪRA </w:t>
      </w:r>
    </w:p>
    <w:p>
      <w:pPr>
        <w:pStyle w:val="ManualHeading2"/>
        <w:rPr>
          <w:noProof/>
        </w:rPr>
      </w:pPr>
      <w:r>
        <w:rPr>
          <w:noProof/>
        </w:rPr>
        <w:t>1.1.</w:t>
      </w:r>
      <w:r>
        <w:rPr>
          <w:noProof/>
        </w:rPr>
        <w:tab/>
        <w:t xml:space="preserve">Pasiūlymo (iniciatyvos) pavadinimas </w:t>
      </w:r>
    </w:p>
    <w:p>
      <w:pPr>
        <w:pStyle w:val="Text1"/>
        <w:pBdr>
          <w:top w:val="single" w:sz="4" w:space="1" w:color="auto"/>
          <w:left w:val="single" w:sz="4" w:space="4" w:color="auto"/>
          <w:bottom w:val="single" w:sz="4" w:space="1" w:color="auto"/>
          <w:right w:val="single" w:sz="4" w:space="4" w:color="auto"/>
        </w:pBdr>
        <w:rPr>
          <w:noProof/>
        </w:rPr>
      </w:pPr>
      <w:r>
        <w:rPr>
          <w:noProof/>
        </w:rPr>
        <w:t>Europos Parlamento ir Tarybos reglamentas, kuriuo dėl kuriamos Mokumo palaikymo priemonės iš dalies keičiamas Reglamentas (ES) 2015/1017</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noProof/>
          <w:szCs w:val="24"/>
        </w:rPr>
      </w:pPr>
      <w:r>
        <w:rPr>
          <w:noProof/>
        </w:rPr>
        <w:t>1.2.</w:t>
      </w:r>
      <w:r>
        <w:rPr>
          <w:noProof/>
        </w:rPr>
        <w:tab/>
        <w:t>Atitinkama (-os) politikos sritis (-ys) VGV / VGB sistemoje</w:t>
      </w:r>
      <w:r>
        <w:rPr>
          <w:rStyle w:val="FootnoteReference"/>
          <w:noProof/>
        </w:rPr>
        <w:footnoteReference w:id="14"/>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Politikos sritis: ekonomikos ir finansų reikalai</w:t>
      </w:r>
    </w:p>
    <w:p>
      <w:pPr>
        <w:pStyle w:val="Text1"/>
        <w:pBdr>
          <w:top w:val="single" w:sz="4" w:space="1" w:color="auto"/>
          <w:left w:val="single" w:sz="4" w:space="4" w:color="auto"/>
          <w:bottom w:val="single" w:sz="4" w:space="1" w:color="auto"/>
          <w:right w:val="single" w:sz="4" w:space="4" w:color="auto"/>
        </w:pBdr>
        <w:rPr>
          <w:noProof/>
        </w:rPr>
      </w:pPr>
      <w:r>
        <w:rPr>
          <w:noProof/>
        </w:rPr>
        <w:t>VGB veikla: finansinės operacijos ir priemonės</w:t>
      </w:r>
    </w:p>
    <w:p>
      <w:pPr>
        <w:pStyle w:val="Text1"/>
        <w:pBdr>
          <w:top w:val="single" w:sz="4" w:space="1" w:color="auto"/>
          <w:left w:val="single" w:sz="4" w:space="4" w:color="auto"/>
          <w:bottom w:val="single" w:sz="4" w:space="1" w:color="auto"/>
          <w:right w:val="single" w:sz="4" w:space="4" w:color="auto"/>
        </w:pBdr>
        <w:rPr>
          <w:noProof/>
        </w:rPr>
      </w:pPr>
      <w:r>
        <w:rPr>
          <w:noProof/>
        </w:rPr>
        <w:t>Išsamus VGB veiklos aprašymas pateiktas 1.4.2 skirsnyje.</w:t>
      </w:r>
    </w:p>
    <w:p>
      <w:pPr>
        <w:pStyle w:val="ManualHeading2"/>
        <w:rPr>
          <w:noProof/>
          <w:szCs w:val="24"/>
        </w:rPr>
      </w:pPr>
      <w:r>
        <w:rPr>
          <w:noProof/>
        </w:rPr>
        <w:t>1.3.</w:t>
      </w:r>
      <w:r>
        <w:rPr>
          <w:noProof/>
        </w:rPr>
        <w:tab/>
        <w:t xml:space="preserve">Pasiūlymo (iniciatyvos) pobūdis </w:t>
      </w:r>
    </w:p>
    <w:p>
      <w:pPr>
        <w:pStyle w:val="Text1"/>
        <w:rPr>
          <w:b/>
          <w:noProof/>
          <w:sz w:val="22"/>
        </w:rPr>
      </w:pPr>
      <w:r>
        <w:rPr>
          <w:noProof/>
          <w:sz w:val="22"/>
        </w:rPr>
        <w:sym w:font="Wingdings" w:char="F0A8"/>
      </w:r>
      <w:r>
        <w:rPr>
          <w:b/>
          <w:i/>
          <w:noProof/>
          <w:sz w:val="22"/>
        </w:rPr>
        <w:t xml:space="preserve"> </w:t>
      </w:r>
      <w:r>
        <w:rPr>
          <w:noProof/>
        </w:rPr>
        <w:t xml:space="preserve">Pasiūlymas (iniciatyva) susijęs (-usi) su </w:t>
      </w:r>
      <w:r>
        <w:rPr>
          <w:b/>
          <w:noProof/>
        </w:rPr>
        <w:t>nauja priemone</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Pasiūlymas (iniciatyva) susijęs (-usi) su </w:t>
      </w:r>
      <w:r>
        <w:rPr>
          <w:b/>
          <w:noProof/>
        </w:rPr>
        <w:t>nauja priemone, kuri bus priimta įgyvendinus bandomąjį projektą ir (arba) atlikus parengiamuosius veiksmus</w:t>
      </w:r>
      <w:r>
        <w:rPr>
          <w:rStyle w:val="FootnoteReference"/>
          <w:b/>
          <w:noProof/>
        </w:rPr>
        <w:footnoteReference w:id="15"/>
      </w:r>
      <w:r>
        <w:rPr>
          <w:noProof/>
          <w:sz w:val="22"/>
        </w:rPr>
        <w:t xml:space="preserve"> </w:t>
      </w:r>
    </w:p>
    <w:p>
      <w:pPr>
        <w:pStyle w:val="Text1"/>
        <w:rPr>
          <w:noProof/>
          <w:sz w:val="22"/>
        </w:rPr>
      </w:pPr>
      <w:r>
        <w:rPr>
          <w:noProof/>
          <w:sz w:val="22"/>
        </w:rPr>
        <w:t>X</w:t>
      </w:r>
      <w:r>
        <w:rPr>
          <w:i/>
          <w:noProof/>
          <w:sz w:val="22"/>
        </w:rPr>
        <w:t xml:space="preserve"> </w:t>
      </w:r>
      <w:r>
        <w:rPr>
          <w:noProof/>
        </w:rPr>
        <w:t xml:space="preserve">Pasiūlymas (iniciatyva) susijęs (-usi) su </w:t>
      </w:r>
      <w:r>
        <w:rPr>
          <w:b/>
          <w:noProof/>
        </w:rPr>
        <w:t>esamos priemonės galiojimo pratęsimu</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Pasiūlymas (iniciatyva) susijęs (-usi) su </w:t>
      </w:r>
      <w:r>
        <w:rPr>
          <w:b/>
          <w:noProof/>
        </w:rPr>
        <w:t>priemone, perorientuota į naują priemonę</w:t>
      </w:r>
      <w:r>
        <w:rPr>
          <w:noProof/>
        </w:rPr>
        <w:t xml:space="preserve"> </w:t>
      </w:r>
    </w:p>
    <w:p>
      <w:pPr>
        <w:pStyle w:val="ManualHeading2"/>
        <w:rPr>
          <w:noProof/>
          <w:szCs w:val="24"/>
        </w:rPr>
      </w:pPr>
      <w:r>
        <w:rPr>
          <w:noProof/>
        </w:rPr>
        <w:t>1.4.</w:t>
      </w:r>
      <w:r>
        <w:rPr>
          <w:noProof/>
        </w:rPr>
        <w:tab/>
        <w:t>Tikslas (-ai)</w:t>
      </w:r>
    </w:p>
    <w:p>
      <w:pPr>
        <w:pStyle w:val="ManualHeading3"/>
        <w:rPr>
          <w:noProof/>
        </w:rPr>
      </w:pPr>
      <w:r>
        <w:rPr>
          <w:noProof/>
        </w:rPr>
        <w:t>1.4.1.</w:t>
      </w:r>
      <w:r>
        <w:rPr>
          <w:noProof/>
        </w:rPr>
        <w:tab/>
        <w:t xml:space="preserve">Komisijos daugiametis (-čiai) strateginis (-iai) tikslas (-ai), kurio (-ių) siekiama šiuo pasiūlymu (šia iniciatyva) </w:t>
      </w:r>
    </w:p>
    <w:p>
      <w:pPr>
        <w:pStyle w:val="Text1"/>
        <w:pBdr>
          <w:top w:val="single" w:sz="4" w:space="1" w:color="auto"/>
          <w:left w:val="single" w:sz="4" w:space="4" w:color="auto"/>
          <w:bottom w:val="single" w:sz="4" w:space="1" w:color="auto"/>
          <w:right w:val="single" w:sz="4" w:space="4" w:color="auto"/>
        </w:pBdr>
        <w:rPr>
          <w:noProof/>
        </w:rPr>
      </w:pPr>
      <w:r>
        <w:rPr>
          <w:noProof/>
        </w:rPr>
        <w:t xml:space="preserve">Augimą skatinančių investicijų rėmimas ir mokumo palaikymas pagal Sąjungos prioritetus, pvz., Europos žaliąjį kursą, tvarios Europos investicijų planą ir sektorių politiką, susijusią su parama investicijoms. </w:t>
      </w:r>
    </w:p>
    <w:p>
      <w:pPr>
        <w:pStyle w:val="ManualHeading3"/>
        <w:rPr>
          <w:noProof/>
          <w:szCs w:val="24"/>
        </w:rPr>
      </w:pPr>
      <w:r>
        <w:rPr>
          <w:noProof/>
        </w:rPr>
        <w:t>1.4.2.</w:t>
      </w:r>
      <w:r>
        <w:rPr>
          <w:noProof/>
        </w:rPr>
        <w:tab/>
        <w:t xml:space="preserve">Konkretus (-ūs) tikslas (-ai) ir atitinkama VGV / VGB veikla </w:t>
      </w:r>
    </w:p>
    <w:p>
      <w:pPr>
        <w:pStyle w:val="Text1"/>
        <w:pBdr>
          <w:top w:val="single" w:sz="4" w:space="1" w:color="auto"/>
          <w:left w:val="single" w:sz="4" w:space="4" w:color="auto"/>
          <w:bottom w:val="single" w:sz="4" w:space="1" w:color="auto"/>
          <w:right w:val="single" w:sz="4" w:space="4" w:color="auto"/>
        </w:pBdr>
        <w:rPr>
          <w:noProof/>
        </w:rPr>
      </w:pPr>
      <w:r>
        <w:rPr>
          <w:b/>
          <w:noProof/>
        </w:rPr>
        <w:t>1 konkretus tikslas</w:t>
      </w:r>
      <w:r>
        <w:rPr>
          <w:noProof/>
        </w:rPr>
        <w:t>: didinti Europos investicijų banko grupės (toliau – EIB grupė) finansavimo ir investavimo operacijų apimtį prioritetinėse srityse.</w:t>
      </w:r>
    </w:p>
    <w:p>
      <w:pPr>
        <w:pStyle w:val="Text1"/>
        <w:pBdr>
          <w:top w:val="single" w:sz="4" w:space="1" w:color="auto"/>
          <w:left w:val="single" w:sz="4" w:space="4" w:color="auto"/>
          <w:bottom w:val="single" w:sz="4" w:space="1" w:color="auto"/>
          <w:right w:val="single" w:sz="4" w:space="4" w:color="auto"/>
        </w:pBdr>
        <w:rPr>
          <w:noProof/>
        </w:rPr>
      </w:pPr>
      <w:r>
        <w:rPr>
          <w:b/>
          <w:noProof/>
        </w:rPr>
        <w:t>2 konkretus tikslas</w:t>
      </w:r>
      <w:r>
        <w:rPr>
          <w:noProof/>
        </w:rPr>
        <w:t>: viešojo ir privačiojo sektorių partneriams teikti konsultacinę paramą nustatant investicinius projektus, juos rengiant ir plėtojant arba remti fondų bei kitų priemonių steigimą ir valdymą mokumo palaikymo priemonės tikslais.</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Atitinkama VGV / VGB veikla</w:t>
      </w:r>
    </w:p>
    <w:p>
      <w:pPr>
        <w:pStyle w:val="Text1"/>
        <w:pBdr>
          <w:top w:val="single" w:sz="4" w:space="1" w:color="auto"/>
          <w:left w:val="single" w:sz="4" w:space="4" w:color="auto"/>
          <w:bottom w:val="single" w:sz="4" w:space="1" w:color="auto"/>
          <w:right w:val="single" w:sz="4" w:space="4" w:color="auto"/>
        </w:pBdr>
        <w:rPr>
          <w:noProof/>
          <w:u w:val="single"/>
        </w:rPr>
      </w:pPr>
      <w:r>
        <w:rPr>
          <w:noProof/>
        </w:rPr>
        <w:t>Ekonomikos ir finansų reikalų GD: finansinės operacijos ir priemonės</w:t>
      </w:r>
    </w:p>
    <w:p>
      <w:pPr>
        <w:pStyle w:val="ManualHeading3"/>
        <w:rPr>
          <w:noProof/>
        </w:rPr>
      </w:pPr>
      <w:r>
        <w:rPr>
          <w:noProof/>
        </w:rPr>
        <w:t>1.4.3.</w:t>
      </w:r>
      <w:r>
        <w:rPr>
          <w:noProof/>
        </w:rPr>
        <w:tab/>
        <w:t>Numatomas (-i) rezultatas (-ai) ir poveikis</w:t>
      </w:r>
    </w:p>
    <w:p>
      <w:pPr>
        <w:pStyle w:val="Text1"/>
        <w:pBdr>
          <w:top w:val="single" w:sz="4" w:space="1" w:color="auto"/>
          <w:left w:val="single" w:sz="4" w:space="4" w:color="auto"/>
          <w:bottom w:val="single" w:sz="4" w:space="1" w:color="auto"/>
          <w:right w:val="single" w:sz="4" w:space="4" w:color="auto"/>
        </w:pBdr>
        <w:rPr>
          <w:noProof/>
        </w:rPr>
      </w:pPr>
      <w:r>
        <w:rPr>
          <w:noProof/>
        </w:rPr>
        <w:t>Šiuo pasiūlymu, suteikiant paramą įmonėms, patiriančias ekonominių sunkumų dėl krizės, kurią sukėlė COVID-19 pandemija Sąjungoje, realiojoje ekonomikoje tikimasi sutelkti 300 000 000 000 EUR investicijų.</w:t>
      </w:r>
    </w:p>
    <w:p>
      <w:pPr>
        <w:pStyle w:val="ManualHeading3"/>
        <w:rPr>
          <w:noProof/>
          <w:szCs w:val="24"/>
        </w:rPr>
      </w:pPr>
      <w:r>
        <w:rPr>
          <w:noProof/>
        </w:rPr>
        <w:t>1.4.4.</w:t>
      </w:r>
      <w:r>
        <w:rPr>
          <w:noProof/>
        </w:rPr>
        <w:tab/>
        <w:t xml:space="preserve">Rezultatų ir poveikio rodikliai </w:t>
      </w:r>
    </w:p>
    <w:p>
      <w:pPr>
        <w:pStyle w:val="Text1"/>
        <w:pBdr>
          <w:top w:val="single" w:sz="4" w:space="1" w:color="auto"/>
          <w:left w:val="single" w:sz="4" w:space="4" w:color="auto"/>
          <w:bottom w:val="single" w:sz="4" w:space="1" w:color="auto"/>
          <w:right w:val="single" w:sz="4" w:space="4" w:color="auto"/>
        </w:pBdr>
        <w:rPr>
          <w:noProof/>
        </w:rPr>
      </w:pPr>
      <w:r>
        <w:rPr>
          <w:noProof/>
        </w:rPr>
        <w:t>Pasiūlymo tikslų įgyvendinimas bus stebimas taikant pagrindinius veiklos rezultatų rodiklius ir pagrindinius stebėsenos rodiklius, laikantis esamos tvarkos, susijusios su ESIF reglamente nustatyta infrastruktūros ir inovacijų linija ir MVĮ linija. Prireikus bus nustatyti konkretūs mokumo palaikymo linijai skirti rodikliai.</w:t>
      </w:r>
    </w:p>
    <w:p>
      <w:pPr>
        <w:pStyle w:val="ManualHeading2"/>
        <w:rPr>
          <w:noProof/>
          <w:szCs w:val="24"/>
        </w:rPr>
      </w:pPr>
      <w:r>
        <w:rPr>
          <w:noProof/>
        </w:rPr>
        <w:t>1.5.</w:t>
      </w:r>
      <w:r>
        <w:rPr>
          <w:noProof/>
        </w:rPr>
        <w:tab/>
        <w:t xml:space="preserve">Pasiūlymo (iniciatyvos) pagrindas </w:t>
      </w:r>
    </w:p>
    <w:p>
      <w:pPr>
        <w:pStyle w:val="ManualHeading3"/>
        <w:rPr>
          <w:noProof/>
        </w:rPr>
      </w:pPr>
      <w:r>
        <w:rPr>
          <w:noProof/>
        </w:rPr>
        <w:t>1.5.1.</w:t>
      </w:r>
      <w:r>
        <w:rPr>
          <w:noProof/>
        </w:rPr>
        <w:tab/>
        <w:t xml:space="preserve">Trumpalaikiai arba ilgalaikiai poreikiai </w:t>
      </w:r>
    </w:p>
    <w:p>
      <w:pPr>
        <w:pStyle w:val="Text1"/>
        <w:pBdr>
          <w:top w:val="single" w:sz="4" w:space="1" w:color="auto"/>
          <w:left w:val="single" w:sz="4" w:space="4" w:color="auto"/>
          <w:bottom w:val="single" w:sz="4" w:space="1" w:color="auto"/>
          <w:right w:val="single" w:sz="4" w:space="4" w:color="auto"/>
        </w:pBdr>
        <w:rPr>
          <w:noProof/>
        </w:rPr>
      </w:pPr>
      <w:r>
        <w:rPr>
          <w:noProof/>
        </w:rPr>
        <w:t xml:space="preserve">Komisija siūlo patobulinti pasiūlymą dėl daugiametės finansinės programos, siekiant šalinti neigiamus ekonominius COVID-19 pandemijos padarinius, kuriuos patiria Sąjungos įmonės ir projektai. Dėl krizės daugelis jų jau patiria mokumo sunkumų, o problemos dar labiau didės, nes izoliacijos laikotarpis tęsiamas, o atstumo laikymosi taisyklės ir toliau darys poveikį verslo veiklai daugelyje sektorių. Su šiais sunkumais dar ilgą laiką gali būti susiduriama net ir pasibaigus izoliacijai. </w:t>
      </w:r>
    </w:p>
    <w:p>
      <w:pPr>
        <w:pStyle w:val="Text1"/>
        <w:pBdr>
          <w:top w:val="single" w:sz="4" w:space="1" w:color="auto"/>
          <w:left w:val="single" w:sz="4" w:space="4" w:color="auto"/>
          <w:bottom w:val="single" w:sz="4" w:space="1" w:color="auto"/>
          <w:right w:val="single" w:sz="4" w:space="4" w:color="auto"/>
        </w:pBdr>
        <w:rPr>
          <w:noProof/>
        </w:rPr>
      </w:pPr>
      <w:r>
        <w:rPr>
          <w:noProof/>
        </w:rPr>
        <w:t>Turi būti remiamos tos įmonės, kurių verslo modelis iki krizės buvo perspektyvus, tačiau mokumas dėl COVID-19 krizės yra sumažėjęs. Siekiama padėti tokioms įmonėms išgyventi šį sudėtingą laikotarpį, kad atėjus tinkamam metui jos dar galėtų atsigauti.</w:t>
      </w:r>
    </w:p>
    <w:p>
      <w:pPr>
        <w:pStyle w:val="ManualHeading3"/>
        <w:rPr>
          <w:noProof/>
          <w:szCs w:val="24"/>
        </w:rPr>
      </w:pPr>
      <w:r>
        <w:rPr>
          <w:noProof/>
        </w:rPr>
        <w:t>1.5.2.</w:t>
      </w:r>
      <w:r>
        <w:rPr>
          <w:noProof/>
        </w:rPr>
        <w:tab/>
        <w:t>Papildoma ES dalyvavimo nauda</w:t>
      </w:r>
    </w:p>
    <w:p>
      <w:pPr>
        <w:pStyle w:val="Text1"/>
        <w:pBdr>
          <w:top w:val="single" w:sz="4" w:space="1" w:color="auto"/>
          <w:left w:val="single" w:sz="4" w:space="4" w:color="auto"/>
          <w:bottom w:val="single" w:sz="4" w:space="1" w:color="auto"/>
          <w:right w:val="single" w:sz="4" w:space="4" w:color="auto"/>
        </w:pBdr>
        <w:rPr>
          <w:noProof/>
        </w:rPr>
      </w:pPr>
      <w:r>
        <w:rPr>
          <w:noProof/>
        </w:rPr>
        <w:t xml:space="preserve">Šiuo pasiūlymu siekiama atsverti numatomus bendrosios rinkos iškraipymus atsižvelgiant į tai, kad galimybės įmonėms taikyti nacionalines mokumo palaikymo priemones įvairiose valstybėse narėse gali labai skirtis ir kad dėl to gali susidaryti nevienodos sąlygos. </w:t>
      </w:r>
    </w:p>
    <w:p>
      <w:pPr>
        <w:pStyle w:val="ManualHeading3"/>
        <w:rPr>
          <w:noProof/>
          <w:szCs w:val="24"/>
        </w:rPr>
      </w:pPr>
      <w:r>
        <w:rPr>
          <w:noProof/>
        </w:rPr>
        <w:t>1.5.3.</w:t>
      </w:r>
      <w:r>
        <w:rPr>
          <w:noProof/>
        </w:rPr>
        <w:tab/>
        <w:t>Panašios patirties išvados</w:t>
      </w:r>
    </w:p>
    <w:p>
      <w:pPr>
        <w:pStyle w:val="Text1"/>
        <w:pBdr>
          <w:top w:val="single" w:sz="4" w:space="1" w:color="auto"/>
          <w:left w:val="single" w:sz="4" w:space="4" w:color="auto"/>
          <w:bottom w:val="single" w:sz="4" w:space="1" w:color="auto"/>
          <w:right w:val="single" w:sz="4" w:space="4" w:color="auto"/>
        </w:pBdr>
        <w:rPr>
          <w:noProof/>
        </w:rPr>
      </w:pPr>
      <w:r>
        <w:rPr>
          <w:noProof/>
        </w:rPr>
        <w:t>Biudžeto išlaidų poveikį siūloma sustiprinti suteikiant ES garantiją, kuri padėtų pritraukti papildomą privatųjį finansavimą Sąjungos įmonėms remti, kaip tai jau buvo sėkmingai daroma pagal ESIF reglamentą.</w:t>
      </w:r>
    </w:p>
    <w:p>
      <w:pPr>
        <w:pStyle w:val="ManualHeading3"/>
        <w:rPr>
          <w:noProof/>
          <w:szCs w:val="24"/>
        </w:rPr>
      </w:pPr>
      <w:r>
        <w:rPr>
          <w:noProof/>
        </w:rPr>
        <w:t>1.5.4.</w:t>
      </w:r>
      <w:r>
        <w:rPr>
          <w:noProof/>
        </w:rPr>
        <w:tab/>
        <w:t>Suderinamumas ir galima sąveika su kitomis atitinkamomis priemonėmis</w:t>
      </w:r>
    </w:p>
    <w:p>
      <w:pPr>
        <w:pStyle w:val="Text1"/>
        <w:pBdr>
          <w:top w:val="single" w:sz="4" w:space="1" w:color="auto"/>
          <w:left w:val="single" w:sz="4" w:space="4" w:color="auto"/>
          <w:bottom w:val="single" w:sz="4" w:space="1" w:color="auto"/>
          <w:right w:val="single" w:sz="4" w:space="4" w:color="auto"/>
        </w:pBdr>
        <w:rPr>
          <w:noProof/>
        </w:rPr>
      </w:pPr>
      <w:r>
        <w:rPr>
          <w:noProof/>
        </w:rPr>
        <w:t>Pasiūlymas dera su atitinkama Sąjungos politika, pvz., Europos žaliuoju kursu, tvarios Europos investicijų planu ir sektorių politika, susijusia su parama investicijoms.</w:t>
      </w:r>
    </w:p>
    <w:p>
      <w:pPr>
        <w:pStyle w:val="Text1"/>
        <w:pBdr>
          <w:top w:val="single" w:sz="4" w:space="1" w:color="auto"/>
          <w:left w:val="single" w:sz="4" w:space="4" w:color="auto"/>
          <w:bottom w:val="single" w:sz="4" w:space="1" w:color="auto"/>
          <w:right w:val="single" w:sz="4" w:space="4" w:color="auto"/>
        </w:pBdr>
        <w:rPr>
          <w:noProof/>
        </w:rPr>
      </w:pPr>
      <w:r>
        <w:rPr>
          <w:noProof/>
        </w:rPr>
        <w:t>Mokumo palaikymo priemone papildomos kitos Sąjungos programos, kuriomis siekiama švelninti COVID-19 krizės poveikį arba gaivinti ekonomiką šiai krizei slopstant. Ja visų pirma papildoma MVĮ skirta parama: i) iš sanglaudai skirtos ekonomikos gaivinimo pagalbos (REACT-EU) lėšų bus teikiama paankstinta parama ir MVĮ; ii) tam bus naudojamas visos Europos garantijų fondas, kurį reaguodamas į Covid-19 krizę ir remdamasis valstybių narių garantija šiuo metu steigia EIB. Be to, nuo 2021 m. papildoma parama bus teikiama pagal MVĮ liniją, stiprinamą pagal programą „InvestEU“.</w:t>
      </w:r>
    </w:p>
    <w:p>
      <w:pPr>
        <w:pStyle w:val="ManualHeading2"/>
        <w:rPr>
          <w:noProof/>
          <w:szCs w:val="24"/>
        </w:rPr>
      </w:pPr>
      <w:r>
        <w:rPr>
          <w:noProof/>
        </w:rPr>
        <w:br w:type="page"/>
        <w:t>1.6.</w:t>
      </w:r>
      <w:r>
        <w:rPr>
          <w:noProof/>
        </w:rPr>
        <w:tab/>
        <w:t xml:space="preserve">Trukmė ir finansinis poveikis </w:t>
      </w:r>
    </w:p>
    <w:p>
      <w:pPr>
        <w:pStyle w:val="Text1"/>
        <w:rPr>
          <w:noProof/>
        </w:rPr>
      </w:pPr>
      <w:r>
        <w:rPr>
          <w:noProof/>
        </w:rPr>
        <w:t>x</w:t>
      </w:r>
      <w:r>
        <w:rPr>
          <w:b/>
          <w:i/>
          <w:noProof/>
        </w:rPr>
        <w:t xml:space="preserve"> </w:t>
      </w:r>
      <w:r>
        <w:rPr>
          <w:noProof/>
        </w:rPr>
        <w:t xml:space="preserve">Pasiūlymo (iniciatyvos) </w:t>
      </w:r>
      <w:r>
        <w:rPr>
          <w:b/>
          <w:noProof/>
        </w:rPr>
        <w:t xml:space="preserve">trukmė ribota </w:t>
      </w:r>
    </w:p>
    <w:p>
      <w:pPr>
        <w:pStyle w:val="ListDash2"/>
        <w:rPr>
          <w:noProof/>
        </w:rPr>
      </w:pPr>
      <w:r>
        <w:rPr>
          <w:noProof/>
        </w:rPr>
        <w:sym w:font="Wingdings" w:char="F0A8"/>
      </w:r>
      <w:r>
        <w:rPr>
          <w:noProof/>
        </w:rPr>
        <w:tab/>
        <w:t xml:space="preserve">Pasiūlymas (iniciatyva) galioja nuo 2020 iki 2026 m. </w:t>
      </w:r>
    </w:p>
    <w:p>
      <w:pPr>
        <w:pStyle w:val="ListDash2"/>
        <w:rPr>
          <w:noProof/>
        </w:rPr>
      </w:pPr>
      <w:r>
        <w:rPr>
          <w:noProof/>
        </w:rPr>
        <w:t>x</w:t>
      </w:r>
      <w:r>
        <w:rPr>
          <w:noProof/>
        </w:rPr>
        <w:tab/>
        <w:t>Finansinis poveikis nuo 2020 iki 2027 m.</w:t>
      </w:r>
    </w:p>
    <w:p>
      <w:pPr>
        <w:pStyle w:val="ManualHeading2"/>
        <w:rPr>
          <w:noProof/>
          <w:szCs w:val="24"/>
        </w:rPr>
      </w:pPr>
      <w:r>
        <w:rPr>
          <w:noProof/>
        </w:rPr>
        <w:t>1.7.</w:t>
      </w:r>
      <w:r>
        <w:rPr>
          <w:noProof/>
        </w:rPr>
        <w:tab/>
        <w:t>Numatytas (-i) valdymo būdas (-ai)</w:t>
      </w:r>
      <w:r>
        <w:rPr>
          <w:rStyle w:val="FootnoteReference"/>
          <w:noProof/>
        </w:rPr>
        <w:footnoteReference w:id="16"/>
      </w:r>
      <w:r>
        <w:rPr>
          <w:rStyle w:val="FootnoteReference"/>
          <w:noProof/>
        </w:rPr>
        <w:t xml:space="preserve">  </w:t>
      </w:r>
    </w:p>
    <w:p>
      <w:pPr>
        <w:pStyle w:val="Text1"/>
        <w:rPr>
          <w:noProof/>
        </w:rPr>
      </w:pPr>
      <w:r>
        <w:rPr>
          <w:noProof/>
        </w:rPr>
        <w:t>x</w:t>
      </w:r>
      <w:r>
        <w:rPr>
          <w:i/>
          <w:noProof/>
        </w:rPr>
        <w:t xml:space="preserve"> </w:t>
      </w:r>
      <w:r>
        <w:rPr>
          <w:b/>
          <w:noProof/>
        </w:rPr>
        <w:t>Tiesioginis valdymas</w:t>
      </w:r>
      <w:r>
        <w:rPr>
          <w:noProof/>
        </w:rPr>
        <w:t>, vykdomas Komisijos</w:t>
      </w:r>
    </w:p>
    <w:p>
      <w:pPr>
        <w:pStyle w:val="ListDash2"/>
        <w:rPr>
          <w:rFonts w:cs="EUAlbertina"/>
          <w:noProof/>
        </w:rPr>
      </w:pPr>
      <w:r>
        <w:rPr>
          <w:noProof/>
        </w:rPr>
        <w:t xml:space="preserve">x padalinių, įskaitant Sąjungos delegacijų darbuotojus; </w:t>
      </w:r>
    </w:p>
    <w:p>
      <w:pPr>
        <w:pStyle w:val="ListDash2"/>
        <w:rPr>
          <w:noProof/>
        </w:rPr>
      </w:pPr>
      <w:r>
        <w:rPr>
          <w:noProof/>
        </w:rPr>
        <w:sym w:font="Wingdings" w:char="F0A8"/>
      </w:r>
      <w:r>
        <w:rPr>
          <w:noProof/>
        </w:rPr>
        <w:tab/>
        <w:t xml:space="preserve">vykdomųjų įstaigų. </w:t>
      </w:r>
    </w:p>
    <w:p>
      <w:pPr>
        <w:pStyle w:val="Text1"/>
        <w:rPr>
          <w:noProof/>
        </w:rPr>
      </w:pPr>
      <w:r>
        <w:rPr>
          <w:noProof/>
        </w:rPr>
        <w:sym w:font="Wingdings" w:char="F0A8"/>
      </w:r>
      <w:r>
        <w:rPr>
          <w:b/>
          <w:i/>
          <w:noProof/>
        </w:rPr>
        <w:t xml:space="preserve"> </w:t>
      </w:r>
      <w:r>
        <w:rPr>
          <w:b/>
          <w:noProof/>
        </w:rPr>
        <w:t>Pasidalijamasis valdymas</w:t>
      </w:r>
      <w:r>
        <w:rPr>
          <w:noProof/>
        </w:rPr>
        <w:t xml:space="preserve"> kartu su valstybėmis narėmis </w:t>
      </w:r>
    </w:p>
    <w:p>
      <w:pPr>
        <w:pStyle w:val="Text1"/>
        <w:rPr>
          <w:noProof/>
        </w:rPr>
      </w:pPr>
      <w:r>
        <w:rPr>
          <w:noProof/>
        </w:rPr>
        <w:t>x</w:t>
      </w:r>
      <w:r>
        <w:rPr>
          <w:i/>
          <w:noProof/>
        </w:rPr>
        <w:t xml:space="preserve"> </w:t>
      </w:r>
      <w:r>
        <w:rPr>
          <w:b/>
          <w:noProof/>
        </w:rPr>
        <w:t>Netiesioginis valdymas</w:t>
      </w:r>
      <w:r>
        <w:rPr>
          <w:noProof/>
        </w:rPr>
        <w:t>, biudžeto vykdymo užduotis pavedant:</w:t>
      </w:r>
    </w:p>
    <w:p>
      <w:pPr>
        <w:pStyle w:val="ListDash2"/>
        <w:rPr>
          <w:noProof/>
        </w:rPr>
      </w:pPr>
      <w:r>
        <w:rPr>
          <w:noProof/>
        </w:rPr>
        <w:sym w:font="Wingdings" w:char="F0A8"/>
      </w:r>
      <w:r>
        <w:rPr>
          <w:noProof/>
        </w:rPr>
        <w:t xml:space="preserve"> trečiosioms valstybėms arba jų paskirtoms įstaigoms;</w:t>
      </w:r>
    </w:p>
    <w:p>
      <w:pPr>
        <w:pStyle w:val="ListDash2"/>
        <w:rPr>
          <w:noProof/>
        </w:rPr>
      </w:pPr>
      <w:r>
        <w:rPr>
          <w:noProof/>
        </w:rPr>
        <w:sym w:font="Wingdings" w:char="F0A8"/>
      </w:r>
      <w:r>
        <w:rPr>
          <w:noProof/>
        </w:rPr>
        <w:t xml:space="preserve"> tarptautinėms organizacijoms ir jų agentūroms (nurodyti);</w:t>
      </w:r>
    </w:p>
    <w:p>
      <w:pPr>
        <w:pStyle w:val="ListDash2"/>
        <w:rPr>
          <w:noProof/>
        </w:rPr>
      </w:pPr>
      <w:r>
        <w:rPr>
          <w:noProof/>
        </w:rPr>
        <w:t>X EIB ir Europos investicijų fondui;</w:t>
      </w:r>
    </w:p>
    <w:p>
      <w:pPr>
        <w:pStyle w:val="ListDash2"/>
        <w:rPr>
          <w:noProof/>
        </w:rPr>
      </w:pPr>
      <w:r>
        <w:rPr>
          <w:noProof/>
        </w:rPr>
        <w:sym w:font="Wingdings" w:char="F0A8"/>
      </w:r>
      <w:r>
        <w:rPr>
          <w:noProof/>
        </w:rPr>
        <w:t xml:space="preserve"> Finansinio reglamento 208 ir 209 straipsniuose nurodytiems organams;</w:t>
      </w:r>
    </w:p>
    <w:p>
      <w:pPr>
        <w:pStyle w:val="ListDash2"/>
        <w:rPr>
          <w:noProof/>
        </w:rPr>
      </w:pPr>
      <w:r>
        <w:rPr>
          <w:noProof/>
        </w:rPr>
        <w:sym w:font="Wingdings" w:char="F0A8"/>
      </w:r>
      <w:r>
        <w:rPr>
          <w:noProof/>
        </w:rPr>
        <w:t xml:space="preserve"> viešosios teisės subjektams;</w:t>
      </w:r>
    </w:p>
    <w:p>
      <w:pPr>
        <w:pStyle w:val="ListDash2"/>
        <w:rPr>
          <w:noProof/>
        </w:rPr>
      </w:pPr>
      <w:r>
        <w:rPr>
          <w:noProof/>
        </w:rPr>
        <w:sym w:font="Wingdings" w:char="F0A8"/>
      </w:r>
      <w:r>
        <w:rPr>
          <w:noProof/>
        </w:rPr>
        <w:t xml:space="preserve"> privatinės teisės reglamentuojamoms įstaigoms, kurioms pavesta teikti viešąsias paslaugas, jeigu jos pateikia pakankamas finansines garantijas;</w:t>
      </w:r>
    </w:p>
    <w:p>
      <w:pPr>
        <w:pStyle w:val="ListDash2"/>
        <w:rPr>
          <w:noProof/>
        </w:rPr>
      </w:pPr>
      <w:r>
        <w:rPr>
          <w:noProof/>
        </w:rPr>
        <w:sym w:font="Wingdings" w:char="F0A8"/>
      </w:r>
      <w:r>
        <w:rPr>
          <w:noProof/>
        </w:rPr>
        <w:t xml:space="preserve"> valstybės narės privatinės teisės reglamentuojamoms įstaigoms, kurioms pavesta įgyvendinti viešojo ir privačiojo sektorių partnerystę ir kurios pateikia pakankamas finansines garantijas;</w:t>
      </w:r>
    </w:p>
    <w:p>
      <w:pPr>
        <w:pStyle w:val="ListDash2"/>
        <w:rPr>
          <w:noProof/>
        </w:rPr>
      </w:pPr>
      <w:r>
        <w:rPr>
          <w:noProof/>
        </w:rPr>
        <w:sym w:font="Wingdings" w:char="F0A8"/>
      </w:r>
      <w:r>
        <w:rPr>
          <w:noProof/>
        </w:rPr>
        <w:t xml:space="preserve"> atitinkamame pagrindiniame akte nurodytiems asmenims, kuriems pavesta vykdyti konkrečius veiksmus BUSP srityje pagal ES sutarties V antraštinę dalį.</w:t>
      </w:r>
    </w:p>
    <w:p>
      <w:pPr>
        <w:rPr>
          <w:noProof/>
        </w:rPr>
      </w:pPr>
      <w:r>
        <w:rPr>
          <w:noProof/>
        </w:rPr>
        <w:t xml:space="preserve">Pastabos </w:t>
      </w:r>
    </w:p>
    <w:p>
      <w:pPr>
        <w:pBdr>
          <w:top w:val="single" w:sz="4" w:space="1" w:color="auto"/>
          <w:left w:val="single" w:sz="4" w:space="4" w:color="auto"/>
          <w:bottom w:val="single" w:sz="4" w:space="1" w:color="auto"/>
          <w:right w:val="single" w:sz="4" w:space="4" w:color="auto"/>
        </w:pBdr>
        <w:rPr>
          <w:noProof/>
        </w:rPr>
      </w:pPr>
      <w:r>
        <w:rPr>
          <w:noProof/>
        </w:rPr>
        <w:t>ESIF garantijų fondą tiesiogiai valdo Komisija. Europos investavimo konsultacijų centrą netiesiogiai valdo EIB. Konsultavimo paslaugas ir techninę pagalbą gali tiesiogiai arba netiesiogiai valdyti Komisija, be kita ko, per EIB.</w:t>
      </w:r>
    </w:p>
    <w:p>
      <w:pPr>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p>
    <w:p>
      <w:pPr>
        <w:pStyle w:val="ManualHeading1"/>
        <w:rPr>
          <w:noProof/>
          <w:szCs w:val="24"/>
        </w:rPr>
      </w:pPr>
      <w:r>
        <w:rPr>
          <w:noProof/>
        </w:rPr>
        <w:t>2.</w:t>
      </w:r>
      <w:r>
        <w:rPr>
          <w:noProof/>
        </w:rPr>
        <w:tab/>
        <w:t xml:space="preserve">VALDYMO PRIEMONĖS </w:t>
      </w:r>
    </w:p>
    <w:p>
      <w:pPr>
        <w:pStyle w:val="ManualHeading2"/>
        <w:rPr>
          <w:noProof/>
        </w:rPr>
      </w:pPr>
      <w:r>
        <w:rPr>
          <w:noProof/>
        </w:rPr>
        <w:t>2.1.</w:t>
      </w:r>
      <w:r>
        <w:rPr>
          <w:noProof/>
        </w:rPr>
        <w:tab/>
        <w:t xml:space="preserve">Stebėsenos ir atskaitomybės taisyklės </w:t>
      </w:r>
    </w:p>
    <w:p>
      <w:pPr>
        <w:pStyle w:val="Text1"/>
        <w:rPr>
          <w:i/>
          <w:noProof/>
          <w:sz w:val="20"/>
          <w:u w:val="single"/>
        </w:rPr>
      </w:pPr>
    </w:p>
    <w:p>
      <w:pPr>
        <w:pStyle w:val="Text1"/>
        <w:pBdr>
          <w:top w:val="single" w:sz="4" w:space="1" w:color="auto"/>
          <w:left w:val="single" w:sz="4" w:space="4" w:color="auto"/>
          <w:bottom w:val="single" w:sz="4" w:space="1" w:color="auto"/>
          <w:right w:val="single" w:sz="4" w:space="4" w:color="auto"/>
        </w:pBdr>
        <w:rPr>
          <w:noProof/>
        </w:rPr>
      </w:pPr>
      <w:r>
        <w:rPr>
          <w:noProof/>
        </w:rPr>
        <w:t>Pagal ESIF reglamento 10 straipsnį EIB, kai tinkama, bendradarbiaudamas su EIF, kas pusmetį Komisijai teikia ataskaitą apie EIB finansavimo ir investavimo operacijas. Be to, EIB, kai tinkama, bendradarbiaudamas su EIF, kas metus Europos Parlamentui ir Tarybai teikia ataskaitą apie finansavimo ir investavimo operacijas.  Iki kiekvienų metų kovo 31 d. Komisija Europos Parlamentui, Tarybai ir Audito Rūmams turi nusiųsti praėjusių metų garantijų fondo būklės ir valdymo metinę ataskaitą.</w:t>
      </w:r>
    </w:p>
    <w:p>
      <w:pPr>
        <w:pBdr>
          <w:top w:val="single" w:sz="4" w:space="1" w:color="auto"/>
          <w:left w:val="single" w:sz="4" w:space="4" w:color="auto"/>
          <w:bottom w:val="single" w:sz="4" w:space="1" w:color="auto"/>
          <w:right w:val="single" w:sz="4" w:space="4" w:color="auto"/>
        </w:pBdr>
        <w:ind w:left="850"/>
        <w:rPr>
          <w:noProof/>
        </w:rPr>
      </w:pPr>
      <w:r>
        <w:rPr>
          <w:noProof/>
        </w:rPr>
        <w:t>Pagal ESIF reglamento 12 straipsnį EIB įvertina ESIF veikimą ir savo vertinimą pateikia Europos Parlamentui, Tarybai ir Komisijai. Be to, Komisija įvertina ES garantijos naudojimą ir garantijų fondo veikimą ir vertinimą pateikia Europos Parlamentui ir Tarybai. Kas trejus metus turi būti teikiama išsami ESIF veikimo ataskaita (kitas teikimas – 2021 m.), taip pat išsami ES garantijos naudojimo ir garantijų fondo veikimo ataskaita.</w:t>
      </w:r>
    </w:p>
    <w:p>
      <w:pPr>
        <w:pStyle w:val="ManualHeading2"/>
        <w:rPr>
          <w:noProof/>
          <w:szCs w:val="24"/>
        </w:rPr>
      </w:pPr>
      <w:r>
        <w:rPr>
          <w:noProof/>
        </w:rPr>
        <w:t>2.2.</w:t>
      </w:r>
      <w:r>
        <w:rPr>
          <w:noProof/>
        </w:rPr>
        <w:tab/>
        <w:t xml:space="preserve">Valdymo ir kontrolės sistema </w:t>
      </w:r>
    </w:p>
    <w:p>
      <w:pPr>
        <w:pStyle w:val="ManualHeading3"/>
        <w:rPr>
          <w:noProof/>
        </w:rPr>
      </w:pPr>
      <w:r>
        <w:rPr>
          <w:noProof/>
        </w:rPr>
        <w:t>2.2.1.</w:t>
      </w:r>
      <w:r>
        <w:rPr>
          <w:noProof/>
        </w:rPr>
        <w:tab/>
        <w:t xml:space="preserve">Nustatyta rizika </w:t>
      </w:r>
    </w:p>
    <w:p>
      <w:pPr>
        <w:pStyle w:val="Text1"/>
        <w:pBdr>
          <w:top w:val="single" w:sz="4" w:space="1" w:color="auto"/>
          <w:left w:val="single" w:sz="4" w:space="4" w:color="auto"/>
          <w:bottom w:val="single" w:sz="4" w:space="1" w:color="auto"/>
          <w:right w:val="single" w:sz="4" w:space="4" w:color="auto"/>
        </w:pBdr>
        <w:rPr>
          <w:noProof/>
        </w:rPr>
      </w:pPr>
      <w:r>
        <w:rPr>
          <w:noProof/>
        </w:rPr>
        <w:t>EIB finansavimo ir investavimo operacijos, kurioms suteikta ES garantija, susijusios su reikšminga finansine rizika. Garantijos pareikalavimo galimybė yra akivaizdi. Tačiau apskaičiuota, kad garantijų fondas suteikia reikiamą apsaugą Sąjungos biudžetui. Patys projektai gali būti susiję su įgyvendinimo vėlavimu ir per didelėmis sąnaudomis.</w:t>
      </w:r>
    </w:p>
    <w:p>
      <w:pPr>
        <w:pBdr>
          <w:top w:val="single" w:sz="4" w:space="1" w:color="auto"/>
          <w:left w:val="single" w:sz="4" w:space="4" w:color="auto"/>
          <w:bottom w:val="single" w:sz="4" w:space="1" w:color="auto"/>
          <w:right w:val="single" w:sz="4" w:space="4" w:color="auto"/>
        </w:pBdr>
        <w:ind w:left="850"/>
        <w:rPr>
          <w:noProof/>
        </w:rPr>
      </w:pPr>
      <w:r>
        <w:rPr>
          <w:noProof/>
        </w:rPr>
        <w:t>Net remiantis konservatyviomis prielaidomis, iniciatyvos sąnaudų veiksmingumas galėtų sumažėti dėl nepakankamo priemonių panaudojimo rinkoje ir ilgainiui kintančių rinkos sąlygų, dėl to sumažėtų numatomas didinamasis poveikis.</w:t>
      </w:r>
    </w:p>
    <w:p>
      <w:pPr>
        <w:pBdr>
          <w:top w:val="single" w:sz="4" w:space="1" w:color="auto"/>
          <w:left w:val="single" w:sz="4" w:space="4" w:color="auto"/>
          <w:bottom w:val="single" w:sz="4" w:space="1" w:color="auto"/>
          <w:right w:val="single" w:sz="4" w:space="4" w:color="auto"/>
        </w:pBdr>
        <w:ind w:left="850"/>
        <w:rPr>
          <w:noProof/>
        </w:rPr>
      </w:pPr>
      <w:r>
        <w:rPr>
          <w:noProof/>
        </w:rPr>
        <w:t>Pagal ESIF reglamento 8 straipsnio 4 dalį garantijų fondo ištekliai turi būti investuojami. Šios investicijos bus susijusios su investicijų rizika (pvz., rinkos ir kredito rizika) ir tam tikra veiklos rizika.</w:t>
      </w:r>
    </w:p>
    <w:p>
      <w:pPr>
        <w:pStyle w:val="ManualHeading3"/>
        <w:rPr>
          <w:noProof/>
          <w:szCs w:val="24"/>
        </w:rPr>
      </w:pPr>
      <w:r>
        <w:rPr>
          <w:noProof/>
        </w:rPr>
        <w:t>2.2.2.</w:t>
      </w:r>
      <w:r>
        <w:rPr>
          <w:noProof/>
        </w:rPr>
        <w:tab/>
        <w:t>Informacija apie įdiegtą vidaus kontrolės sistemą</w:t>
      </w:r>
    </w:p>
    <w:p>
      <w:pPr>
        <w:pStyle w:val="Text1"/>
        <w:pBdr>
          <w:top w:val="single" w:sz="4" w:space="1" w:color="auto"/>
          <w:left w:val="single" w:sz="4" w:space="4" w:color="auto"/>
          <w:bottom w:val="single" w:sz="4" w:space="1" w:color="auto"/>
          <w:right w:val="single" w:sz="4" w:space="4" w:color="auto"/>
        </w:pBdr>
        <w:rPr>
          <w:noProof/>
        </w:rPr>
      </w:pPr>
      <w:r>
        <w:rPr>
          <w:noProof/>
        </w:rPr>
        <w:t xml:space="preserve">ESIF valdo Valdančioji taryba, nustatanti strateginę ESIF kryptį, veiklos politiką ir procedūras, su investavimo platformomis ir nacionaliniais skatinamojo finansavimo bankais vykdomoms operacijoms taikytinas taisykles ir ESIF rizikos profilį. </w:t>
      </w:r>
    </w:p>
    <w:p>
      <w:pPr>
        <w:pStyle w:val="Text1"/>
        <w:pBdr>
          <w:top w:val="single" w:sz="4" w:space="1" w:color="auto"/>
          <w:left w:val="single" w:sz="4" w:space="4" w:color="auto"/>
          <w:bottom w:val="single" w:sz="4" w:space="1" w:color="auto"/>
          <w:right w:val="single" w:sz="4" w:space="4" w:color="auto"/>
        </w:pBdr>
        <w:rPr>
          <w:noProof/>
        </w:rPr>
      </w:pPr>
      <w:r>
        <w:rPr>
          <w:noProof/>
        </w:rPr>
        <w:t xml:space="preserve">Sprendimus dėl ESIF paramos pagal mokumo palaikymo liniją turės priimti Investicijų komitetas, kaip tai šiuo metu daroma ir pagal kitas dvi linijas. EIF vykdomų operacijų atveju dėl finansinių produktų konsultuojamasi su Investicijų komitetu. Investicijų komitetą sudaro nepriklausomi ekspertai, gerai išmanantys investicinių projektų sritis ir jose turintys patirties, ir jis yra atskaitingas Valdančiajai tarybai, kuri prižiūri ESIF tikslų siekimą. </w:t>
      </w:r>
    </w:p>
    <w:p>
      <w:pPr>
        <w:pStyle w:val="Text1"/>
        <w:pBdr>
          <w:top w:val="single" w:sz="4" w:space="1" w:color="auto"/>
          <w:left w:val="single" w:sz="4" w:space="4" w:color="auto"/>
          <w:bottom w:val="single" w:sz="4" w:space="1" w:color="auto"/>
          <w:right w:val="single" w:sz="4" w:space="4" w:color="auto"/>
        </w:pBdr>
        <w:rPr>
          <w:noProof/>
        </w:rPr>
      </w:pPr>
      <w:r>
        <w:rPr>
          <w:noProof/>
        </w:rPr>
        <w:t xml:space="preserve">ESIF vykdomasis direktorius yra atsakingas už kasdienį ESIF administravimą ir Investicijų komiteto posėdžių rengimą. Vykdomasis direktorius yra tiesiogiai atskaitingas Valdančiajai tarybai ir kas ketvirtį jai teikia ESIF veiklos ataskaitas. Vykdomąjį direktorių paskyrė EIB pirmininkas, Valdančiosios tarybos atrinktą kandidatą patvirtinus Europos Parlamentui.  </w:t>
      </w:r>
    </w:p>
    <w:p>
      <w:pPr>
        <w:pStyle w:val="Text1"/>
        <w:pBdr>
          <w:top w:val="single" w:sz="4" w:space="1" w:color="auto"/>
          <w:left w:val="single" w:sz="4" w:space="4" w:color="auto"/>
          <w:bottom w:val="single" w:sz="4" w:space="1" w:color="auto"/>
          <w:right w:val="single" w:sz="4" w:space="4" w:color="auto"/>
        </w:pBdr>
        <w:rPr>
          <w:noProof/>
        </w:rPr>
      </w:pPr>
      <w:r>
        <w:rPr>
          <w:noProof/>
        </w:rPr>
        <w:t>Komisija valdo garantijų fondo turtą pagal ESIF reglamentą ir galiojančias savo vidaus taisykles ir procedūras.</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noProof/>
          <w:szCs w:val="24"/>
        </w:rPr>
      </w:pPr>
      <w:r>
        <w:rPr>
          <w:noProof/>
        </w:rPr>
        <w:t>2.3.</w:t>
      </w:r>
      <w:r>
        <w:rPr>
          <w:noProof/>
        </w:rPr>
        <w:tab/>
        <w:t xml:space="preserve">Sukčiavimo ir pažeidimų prevencijos priemonės </w:t>
      </w:r>
    </w:p>
    <w:p>
      <w:pPr>
        <w:pStyle w:val="Text1"/>
        <w:pBdr>
          <w:top w:val="single" w:sz="4" w:space="1" w:color="auto"/>
          <w:left w:val="single" w:sz="4" w:space="4" w:color="auto"/>
          <w:bottom w:val="single" w:sz="4" w:space="1" w:color="auto"/>
          <w:right w:val="single" w:sz="4" w:space="4" w:color="auto"/>
        </w:pBdr>
        <w:rPr>
          <w:noProof/>
        </w:rPr>
      </w:pPr>
      <w:r>
        <w:rPr>
          <w:noProof/>
        </w:rPr>
        <w:t>ESIF reglamento 21 straipsnyje paaiškinama Europos kovos su sukčiavimu tarnybos (OLAF) kompetencija vykdyti pagal šią iniciatyvą remiamų operacijų tyrimus. EIB grupė nustatė konkrečias bendradarbiavimo su OLAF dėl galimų sukčiavimo, korupcijos ar bet kokios kitos neteisėtos veiklos, darančios neigiamą poveikį Bendrijų finansiniams interesams, atvejų taisykles.</w:t>
      </w:r>
    </w:p>
    <w:p>
      <w:pPr>
        <w:pBdr>
          <w:top w:val="single" w:sz="4" w:space="1" w:color="auto"/>
          <w:left w:val="single" w:sz="4" w:space="4" w:color="auto"/>
          <w:bottom w:val="single" w:sz="4" w:space="1" w:color="auto"/>
          <w:right w:val="single" w:sz="4" w:space="4" w:color="auto"/>
        </w:pBdr>
        <w:ind w:left="850"/>
        <w:rPr>
          <w:noProof/>
        </w:rPr>
      </w:pPr>
      <w:r>
        <w:rPr>
          <w:noProof/>
        </w:rPr>
        <w:t>Be to, taikomos EIB taisyklės ir procedūros, įskaitant, be kita ko, EIB kovos su sukčiavimu politiką.</w:t>
      </w:r>
    </w:p>
    <w:p>
      <w:pPr>
        <w:rPr>
          <w:noProof/>
        </w:rPr>
        <w:sectPr>
          <w:pgSz w:w="11907" w:h="16840" w:code="9"/>
          <w:pgMar w:top="1134" w:right="1418" w:bottom="1134" w:left="1418" w:header="709" w:footer="709" w:gutter="0"/>
          <w:cols w:space="708"/>
          <w:docGrid w:linePitch="360"/>
        </w:sectPr>
      </w:pPr>
    </w:p>
    <w:p>
      <w:pPr>
        <w:pStyle w:val="ManualHeading1"/>
        <w:rPr>
          <w:noProof/>
          <w:szCs w:val="24"/>
        </w:rPr>
      </w:pPr>
      <w:r>
        <w:rPr>
          <w:noProof/>
        </w:rPr>
        <w:t>3.</w:t>
      </w:r>
      <w:r>
        <w:rPr>
          <w:noProof/>
        </w:rPr>
        <w:tab/>
        <w:t xml:space="preserve">NUMATOMAS PASIŪLYMO (INICIATYVOS) FINANSINIS POVEIKIS </w:t>
      </w:r>
    </w:p>
    <w:p>
      <w:pPr>
        <w:pStyle w:val="ManualHeading2"/>
        <w:rPr>
          <w:noProof/>
        </w:rPr>
      </w:pPr>
      <w:r>
        <w:rPr>
          <w:noProof/>
        </w:rPr>
        <w:t>3.1.</w:t>
      </w:r>
      <w:r>
        <w:rPr>
          <w:noProof/>
        </w:rPr>
        <w:tab/>
        <w:t xml:space="preserve">Atitinkama (-os) daugiametės finansinės programos išlaidų kategorija (-os) ir biudžeto išlaidų eilutė (-ės) </w:t>
      </w:r>
    </w:p>
    <w:p>
      <w:pPr>
        <w:pStyle w:val="ListBullet1"/>
        <w:rPr>
          <w:noProof/>
        </w:rPr>
      </w:pPr>
      <w:r>
        <w:rPr>
          <w:noProof/>
        </w:rPr>
        <w:t xml:space="preserve">Dabartinės biudžeto eilutės </w:t>
      </w:r>
    </w:p>
    <w:p>
      <w:pPr>
        <w:pStyle w:val="Text1"/>
        <w:rPr>
          <w:noProof/>
        </w:rPr>
      </w:pPr>
      <w:r>
        <w:rPr>
          <w:noProof/>
        </w:rPr>
        <w:t xml:space="preserve">Daugiametės finansinės programos išlaidų kategorijas ir biudžeto eilutes nurodyti </w:t>
      </w:r>
      <w:r>
        <w:rPr>
          <w:noProof/>
          <w:u w:val="single"/>
        </w:rPr>
        <w:t>eilės tvarka</w:t>
      </w:r>
      <w:r>
        <w:rPr>
          <w:noProof/>
        </w:rPr>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22"/>
              </w:rPr>
            </w:pPr>
            <w:r>
              <w:rPr>
                <w:noProof/>
                <w:sz w:val="18"/>
              </w:rPr>
              <w:t>Daugiametės finansinės programos išlaidų kategorija</w:t>
            </w:r>
          </w:p>
        </w:tc>
        <w:tc>
          <w:tcPr>
            <w:tcW w:w="3960" w:type="dxa"/>
            <w:vAlign w:val="center"/>
          </w:tcPr>
          <w:p>
            <w:pPr>
              <w:spacing w:before="60" w:after="60"/>
              <w:jc w:val="center"/>
              <w:rPr>
                <w:noProof/>
                <w:sz w:val="22"/>
              </w:rPr>
            </w:pPr>
            <w:r>
              <w:rPr>
                <w:noProof/>
                <w:sz w:val="20"/>
              </w:rPr>
              <w:t>Biudžeto eilutė</w:t>
            </w:r>
          </w:p>
        </w:tc>
        <w:tc>
          <w:tcPr>
            <w:tcW w:w="1080" w:type="dxa"/>
            <w:vAlign w:val="center"/>
          </w:tcPr>
          <w:p>
            <w:pPr>
              <w:spacing w:before="60" w:after="60"/>
              <w:jc w:val="center"/>
              <w:rPr>
                <w:noProof/>
                <w:sz w:val="22"/>
              </w:rPr>
            </w:pPr>
            <w:r>
              <w:rPr>
                <w:noProof/>
                <w:sz w:val="18"/>
              </w:rPr>
              <w:t xml:space="preserve">Išlaidų </w:t>
            </w:r>
          </w:p>
          <w:p>
            <w:pPr>
              <w:spacing w:before="60" w:after="60"/>
              <w:jc w:val="center"/>
              <w:rPr>
                <w:noProof/>
                <w:sz w:val="22"/>
              </w:rPr>
            </w:pPr>
            <w:r>
              <w:rPr>
                <w:noProof/>
                <w:sz w:val="18"/>
              </w:rPr>
              <w:t>rūšis</w:t>
            </w:r>
          </w:p>
        </w:tc>
        <w:tc>
          <w:tcPr>
            <w:tcW w:w="4440" w:type="dxa"/>
            <w:gridSpan w:val="4"/>
            <w:vAlign w:val="center"/>
          </w:tcPr>
          <w:p>
            <w:pPr>
              <w:spacing w:before="60" w:after="60"/>
              <w:jc w:val="center"/>
              <w:rPr>
                <w:noProof/>
                <w:sz w:val="22"/>
              </w:rPr>
            </w:pPr>
            <w:r>
              <w:rPr>
                <w:noProof/>
                <w:sz w:val="20"/>
              </w:rPr>
              <w:t xml:space="preserve">Įnašas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Numeris </w:t>
            </w:r>
          </w:p>
          <w:p>
            <w:pPr>
              <w:rPr>
                <w:noProof/>
                <w:sz w:val="22"/>
              </w:rPr>
            </w:pPr>
            <w:r>
              <w:rPr>
                <w:noProof/>
                <w:sz w:val="20"/>
              </w:rPr>
              <w:t>1a išlaidų kategorija (2014–2020 m. DFP) ………………………...……………]</w:t>
            </w:r>
          </w:p>
        </w:tc>
        <w:tc>
          <w:tcPr>
            <w:tcW w:w="1080" w:type="dxa"/>
            <w:vAlign w:val="center"/>
          </w:tcPr>
          <w:p>
            <w:pPr>
              <w:jc w:val="center"/>
              <w:rPr>
                <w:noProof/>
                <w:sz w:val="22"/>
              </w:rPr>
            </w:pPr>
            <w:r>
              <w:rPr>
                <w:noProof/>
                <w:sz w:val="18"/>
              </w:rPr>
              <w:t>DA / NDA</w:t>
            </w:r>
            <w:r>
              <w:rPr>
                <w:rStyle w:val="FootnoteReference"/>
                <w:noProof/>
                <w:sz w:val="18"/>
              </w:rPr>
              <w:footnoteReference w:id="17"/>
            </w:r>
          </w:p>
        </w:tc>
        <w:tc>
          <w:tcPr>
            <w:tcW w:w="956" w:type="dxa"/>
            <w:vAlign w:val="center"/>
          </w:tcPr>
          <w:p>
            <w:pPr>
              <w:jc w:val="center"/>
              <w:rPr>
                <w:noProof/>
                <w:sz w:val="22"/>
              </w:rPr>
            </w:pPr>
            <w:r>
              <w:rPr>
                <w:noProof/>
                <w:sz w:val="18"/>
              </w:rPr>
              <w:t>ELPA šalių</w:t>
            </w:r>
            <w:r>
              <w:rPr>
                <w:rStyle w:val="FootnoteReference"/>
                <w:noProof/>
                <w:sz w:val="18"/>
              </w:rPr>
              <w:footnoteReference w:id="18"/>
            </w:r>
          </w:p>
          <w:p>
            <w:pPr>
              <w:spacing w:before="0" w:after="0"/>
              <w:jc w:val="center"/>
              <w:rPr>
                <w:b/>
                <w:noProof/>
                <w:sz w:val="18"/>
              </w:rPr>
            </w:pPr>
          </w:p>
        </w:tc>
        <w:tc>
          <w:tcPr>
            <w:tcW w:w="1080" w:type="dxa"/>
            <w:vAlign w:val="center"/>
          </w:tcPr>
          <w:p>
            <w:pPr>
              <w:jc w:val="center"/>
              <w:rPr>
                <w:noProof/>
                <w:sz w:val="22"/>
              </w:rPr>
            </w:pPr>
            <w:r>
              <w:rPr>
                <w:noProof/>
                <w:sz w:val="18"/>
              </w:rPr>
              <w:t>valstybių kandidačių</w:t>
            </w:r>
            <w:r>
              <w:rPr>
                <w:rStyle w:val="FootnoteReference"/>
                <w:noProof/>
                <w:sz w:val="18"/>
              </w:rPr>
              <w:footnoteReference w:id="19"/>
            </w:r>
          </w:p>
          <w:p>
            <w:pPr>
              <w:spacing w:before="0" w:after="0"/>
              <w:jc w:val="center"/>
              <w:rPr>
                <w:noProof/>
                <w:sz w:val="18"/>
              </w:rPr>
            </w:pPr>
          </w:p>
        </w:tc>
        <w:tc>
          <w:tcPr>
            <w:tcW w:w="956" w:type="dxa"/>
            <w:vAlign w:val="center"/>
          </w:tcPr>
          <w:p>
            <w:pPr>
              <w:jc w:val="center"/>
              <w:rPr>
                <w:noProof/>
                <w:sz w:val="18"/>
              </w:rPr>
            </w:pPr>
            <w:r>
              <w:rPr>
                <w:noProof/>
                <w:sz w:val="18"/>
              </w:rPr>
              <w:t>trečiųjų valstybių</w:t>
            </w:r>
          </w:p>
        </w:tc>
        <w:tc>
          <w:tcPr>
            <w:tcW w:w="1448" w:type="dxa"/>
            <w:vAlign w:val="center"/>
          </w:tcPr>
          <w:p>
            <w:pPr>
              <w:jc w:val="center"/>
              <w:rPr>
                <w:noProof/>
                <w:sz w:val="22"/>
              </w:rPr>
            </w:pPr>
            <w:r>
              <w:rPr>
                <w:noProof/>
                <w:sz w:val="16"/>
              </w:rPr>
              <w:t xml:space="preserve">pagal Finansinio reglamento 21 straipsnio 2 dalies b punktą </w:t>
            </w:r>
          </w:p>
        </w:tc>
      </w:tr>
      <w:tr>
        <w:tc>
          <w:tcPr>
            <w:tcW w:w="1080" w:type="dxa"/>
            <w:vAlign w:val="center"/>
          </w:tcPr>
          <w:p>
            <w:pPr>
              <w:jc w:val="center"/>
              <w:rPr>
                <w:noProof/>
                <w:sz w:val="22"/>
              </w:rPr>
            </w:pPr>
            <w:r>
              <w:rPr>
                <w:noProof/>
                <w:sz w:val="22"/>
              </w:rPr>
              <w:t>1a</w:t>
            </w:r>
          </w:p>
        </w:tc>
        <w:tc>
          <w:tcPr>
            <w:tcW w:w="3960" w:type="dxa"/>
            <w:vAlign w:val="center"/>
          </w:tcPr>
          <w:p>
            <w:pPr>
              <w:spacing w:before="60"/>
              <w:rPr>
                <w:noProof/>
              </w:rPr>
            </w:pPr>
            <w:r>
              <w:rPr>
                <w:noProof/>
              </w:rPr>
              <w:t>01.010401 Europos strateginių investicijų fondo (ESIF) rėmimo išlaidos</w:t>
            </w:r>
          </w:p>
        </w:tc>
        <w:tc>
          <w:tcPr>
            <w:tcW w:w="1080" w:type="dxa"/>
            <w:vAlign w:val="center"/>
          </w:tcPr>
          <w:p>
            <w:pPr>
              <w:jc w:val="center"/>
              <w:rPr>
                <w:noProof/>
                <w:sz w:val="22"/>
              </w:rPr>
            </w:pPr>
            <w:r>
              <w:rPr>
                <w:noProof/>
                <w:sz w:val="22"/>
              </w:rPr>
              <w:t>NDA</w:t>
            </w:r>
          </w:p>
        </w:tc>
        <w:tc>
          <w:tcPr>
            <w:tcW w:w="956" w:type="dxa"/>
            <w:vAlign w:val="center"/>
          </w:tcPr>
          <w:p>
            <w:pPr>
              <w:jc w:val="center"/>
              <w:rPr>
                <w:noProof/>
                <w:sz w:val="22"/>
              </w:rPr>
            </w:pPr>
            <w:r>
              <w:rPr>
                <w:noProof/>
                <w:sz w:val="22"/>
              </w:rPr>
              <w:t>NE</w:t>
            </w:r>
          </w:p>
        </w:tc>
        <w:tc>
          <w:tcPr>
            <w:tcW w:w="1080" w:type="dxa"/>
            <w:vAlign w:val="center"/>
          </w:tcPr>
          <w:p>
            <w:pPr>
              <w:jc w:val="center"/>
              <w:rPr>
                <w:noProof/>
                <w:sz w:val="22"/>
              </w:rPr>
            </w:pPr>
            <w:r>
              <w:rPr>
                <w:noProof/>
                <w:sz w:val="22"/>
              </w:rPr>
              <w:t>NE</w:t>
            </w:r>
          </w:p>
        </w:tc>
        <w:tc>
          <w:tcPr>
            <w:tcW w:w="956" w:type="dxa"/>
            <w:vAlign w:val="center"/>
          </w:tcPr>
          <w:p>
            <w:pPr>
              <w:jc w:val="center"/>
              <w:rPr>
                <w:noProof/>
                <w:sz w:val="22"/>
              </w:rPr>
            </w:pPr>
            <w:r>
              <w:rPr>
                <w:noProof/>
                <w:sz w:val="22"/>
              </w:rPr>
              <w:t>NE</w:t>
            </w:r>
          </w:p>
        </w:tc>
        <w:tc>
          <w:tcPr>
            <w:tcW w:w="1448" w:type="dxa"/>
            <w:vAlign w:val="center"/>
          </w:tcPr>
          <w:p>
            <w:pPr>
              <w:jc w:val="center"/>
              <w:rPr>
                <w:noProof/>
                <w:sz w:val="22"/>
              </w:rPr>
            </w:pPr>
            <w:r>
              <w:rPr>
                <w:noProof/>
                <w:sz w:val="22"/>
              </w:rPr>
              <w:t>NE</w:t>
            </w:r>
          </w:p>
        </w:tc>
      </w:tr>
      <w:tr>
        <w:tc>
          <w:tcPr>
            <w:tcW w:w="1080" w:type="dxa"/>
            <w:vAlign w:val="center"/>
          </w:tcPr>
          <w:p>
            <w:pPr>
              <w:jc w:val="center"/>
              <w:rPr>
                <w:noProof/>
                <w:sz w:val="22"/>
              </w:rPr>
            </w:pPr>
            <w:r>
              <w:rPr>
                <w:noProof/>
                <w:sz w:val="22"/>
              </w:rPr>
              <w:t>1a</w:t>
            </w:r>
          </w:p>
        </w:tc>
        <w:tc>
          <w:tcPr>
            <w:tcW w:w="3960" w:type="dxa"/>
            <w:vAlign w:val="center"/>
          </w:tcPr>
          <w:p>
            <w:pPr>
              <w:spacing w:before="60"/>
              <w:rPr>
                <w:noProof/>
              </w:rPr>
            </w:pPr>
            <w:r>
              <w:rPr>
                <w:noProof/>
              </w:rPr>
              <w:t>01.040101 Europos investicijų fondas – pasirašytojo kapitalo apmokėtų akcijų perdavimas</w:t>
            </w:r>
          </w:p>
          <w:p>
            <w:pPr>
              <w:spacing w:before="60"/>
              <w:rPr>
                <w:noProof/>
              </w:rPr>
            </w:pPr>
            <w:r>
              <w:rPr>
                <w:noProof/>
              </w:rPr>
              <w:t>01.0404 Garantija Europos strateginių investicijų fondui (ESIF)</w:t>
            </w:r>
          </w:p>
          <w:p>
            <w:pPr>
              <w:spacing w:before="60"/>
              <w:rPr>
                <w:noProof/>
              </w:rPr>
            </w:pPr>
            <w:r>
              <w:rPr>
                <w:noProof/>
              </w:rPr>
              <w:t>01.040502 Garantijos Europos strateginių investicijų fondo (ESIF) mokumo linijai atidėjiniai</w:t>
            </w:r>
          </w:p>
          <w:p>
            <w:pPr>
              <w:spacing w:after="60"/>
              <w:rPr>
                <w:noProof/>
                <w:sz w:val="22"/>
              </w:rPr>
            </w:pPr>
            <w:r>
              <w:rPr>
                <w:noProof/>
              </w:rPr>
              <w:t>01.040602 Europos investavimo konsultacijų centras (EIKS) ir Europos investicinių projektų portalas (EIPP) – (techninė pagalba) – mokumo linija</w:t>
            </w:r>
          </w:p>
        </w:tc>
        <w:tc>
          <w:tcPr>
            <w:tcW w:w="1080" w:type="dxa"/>
            <w:vAlign w:val="center"/>
          </w:tcPr>
          <w:p>
            <w:pPr>
              <w:jc w:val="center"/>
              <w:rPr>
                <w:noProof/>
                <w:sz w:val="22"/>
              </w:rPr>
            </w:pPr>
            <w:r>
              <w:rPr>
                <w:noProof/>
                <w:sz w:val="22"/>
              </w:rPr>
              <w:t>DA</w:t>
            </w:r>
          </w:p>
        </w:tc>
        <w:tc>
          <w:tcPr>
            <w:tcW w:w="956" w:type="dxa"/>
            <w:vAlign w:val="center"/>
          </w:tcPr>
          <w:p>
            <w:pPr>
              <w:jc w:val="center"/>
              <w:rPr>
                <w:noProof/>
                <w:sz w:val="22"/>
              </w:rPr>
            </w:pPr>
            <w:r>
              <w:rPr>
                <w:noProof/>
                <w:sz w:val="22"/>
              </w:rPr>
              <w:t>NE</w:t>
            </w:r>
          </w:p>
        </w:tc>
        <w:tc>
          <w:tcPr>
            <w:tcW w:w="1080" w:type="dxa"/>
            <w:vAlign w:val="center"/>
          </w:tcPr>
          <w:p>
            <w:pPr>
              <w:jc w:val="center"/>
              <w:rPr>
                <w:noProof/>
                <w:sz w:val="22"/>
              </w:rPr>
            </w:pPr>
            <w:r>
              <w:rPr>
                <w:noProof/>
                <w:sz w:val="22"/>
              </w:rPr>
              <w:t>NE</w:t>
            </w:r>
          </w:p>
        </w:tc>
        <w:tc>
          <w:tcPr>
            <w:tcW w:w="956" w:type="dxa"/>
            <w:vAlign w:val="center"/>
          </w:tcPr>
          <w:p>
            <w:pPr>
              <w:jc w:val="center"/>
              <w:rPr>
                <w:noProof/>
                <w:sz w:val="22"/>
              </w:rPr>
            </w:pPr>
            <w:r>
              <w:rPr>
                <w:noProof/>
                <w:sz w:val="22"/>
              </w:rPr>
              <w:t>NE</w:t>
            </w:r>
          </w:p>
        </w:tc>
        <w:tc>
          <w:tcPr>
            <w:tcW w:w="1448" w:type="dxa"/>
            <w:vAlign w:val="center"/>
          </w:tcPr>
          <w:p>
            <w:pPr>
              <w:jc w:val="center"/>
              <w:rPr>
                <w:noProof/>
                <w:sz w:val="22"/>
              </w:rPr>
            </w:pPr>
            <w:r>
              <w:rPr>
                <w:noProof/>
                <w:sz w:val="22"/>
              </w:rPr>
              <w:t>NE</w:t>
            </w:r>
          </w:p>
        </w:tc>
      </w:tr>
    </w:tbl>
    <w:p>
      <w:pPr>
        <w:pStyle w:val="ListBullet1"/>
        <w:rPr>
          <w:noProof/>
        </w:rPr>
      </w:pPr>
      <w:r>
        <w:rPr>
          <w:noProof/>
        </w:rPr>
        <w:t xml:space="preserve">Prašomos sukurti naujos biudžeto eilutės </w:t>
      </w:r>
    </w:p>
    <w:p>
      <w:pPr>
        <w:pStyle w:val="Text1"/>
        <w:rPr>
          <w:i/>
          <w:noProof/>
          <w:sz w:val="20"/>
        </w:rPr>
      </w:pPr>
      <w:r>
        <w:rPr>
          <w:i/>
          <w:noProof/>
        </w:rPr>
        <w:t xml:space="preserve">Daugiametės finansinės programos išlaidų kategorijas ir biudžeto eilutes nurodyti </w:t>
      </w:r>
      <w:r>
        <w:rPr>
          <w:i/>
          <w:noProof/>
          <w:u w:val="single"/>
        </w:rPr>
        <w:t>eilės tvarka</w:t>
      </w:r>
      <w:r>
        <w:rPr>
          <w:i/>
          <w:noProof/>
        </w:rPr>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Daugiametės finansinės programos išlaidų kategorija</w:t>
            </w:r>
          </w:p>
        </w:tc>
        <w:tc>
          <w:tcPr>
            <w:tcW w:w="3960" w:type="dxa"/>
            <w:vAlign w:val="center"/>
          </w:tcPr>
          <w:p>
            <w:pPr>
              <w:spacing w:before="60" w:after="60"/>
              <w:jc w:val="center"/>
              <w:rPr>
                <w:noProof/>
                <w:sz w:val="22"/>
              </w:rPr>
            </w:pPr>
            <w:r>
              <w:rPr>
                <w:noProof/>
                <w:sz w:val="20"/>
              </w:rPr>
              <w:t>Biudžeto eilutė</w:t>
            </w:r>
          </w:p>
        </w:tc>
        <w:tc>
          <w:tcPr>
            <w:tcW w:w="1080" w:type="dxa"/>
            <w:vAlign w:val="center"/>
          </w:tcPr>
          <w:p>
            <w:pPr>
              <w:spacing w:before="60" w:after="60"/>
              <w:jc w:val="center"/>
              <w:rPr>
                <w:noProof/>
                <w:sz w:val="22"/>
              </w:rPr>
            </w:pPr>
            <w:r>
              <w:rPr>
                <w:noProof/>
                <w:sz w:val="18"/>
              </w:rPr>
              <w:t>Išlaidų</w:t>
            </w:r>
          </w:p>
          <w:p>
            <w:pPr>
              <w:spacing w:before="60" w:after="60"/>
              <w:jc w:val="center"/>
              <w:rPr>
                <w:noProof/>
                <w:sz w:val="22"/>
              </w:rPr>
            </w:pPr>
            <w:r>
              <w:rPr>
                <w:noProof/>
                <w:sz w:val="18"/>
              </w:rPr>
              <w:t>rūšis</w:t>
            </w:r>
          </w:p>
        </w:tc>
        <w:tc>
          <w:tcPr>
            <w:tcW w:w="4440" w:type="dxa"/>
            <w:gridSpan w:val="4"/>
            <w:vAlign w:val="center"/>
          </w:tcPr>
          <w:p>
            <w:pPr>
              <w:spacing w:before="60" w:after="60"/>
              <w:jc w:val="center"/>
              <w:rPr>
                <w:noProof/>
                <w:sz w:val="22"/>
              </w:rPr>
            </w:pPr>
            <w:r>
              <w:rPr>
                <w:noProof/>
                <w:sz w:val="20"/>
              </w:rPr>
              <w:t xml:space="preserve">Įnašas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Numeris </w:t>
            </w:r>
          </w:p>
          <w:p>
            <w:pPr>
              <w:rPr>
                <w:noProof/>
                <w:sz w:val="22"/>
              </w:rPr>
            </w:pPr>
            <w:r>
              <w:rPr>
                <w:noProof/>
                <w:sz w:val="20"/>
              </w:rPr>
              <w:t>1 išlaidų kategorija (2021–2027 m DFP)</w:t>
            </w:r>
          </w:p>
        </w:tc>
        <w:tc>
          <w:tcPr>
            <w:tcW w:w="1080" w:type="dxa"/>
            <w:vAlign w:val="center"/>
          </w:tcPr>
          <w:p>
            <w:pPr>
              <w:jc w:val="center"/>
              <w:rPr>
                <w:noProof/>
                <w:sz w:val="22"/>
              </w:rPr>
            </w:pPr>
            <w:r>
              <w:rPr>
                <w:noProof/>
                <w:sz w:val="18"/>
              </w:rPr>
              <w:t>DA / NDA</w:t>
            </w:r>
          </w:p>
        </w:tc>
        <w:tc>
          <w:tcPr>
            <w:tcW w:w="956" w:type="dxa"/>
            <w:vAlign w:val="center"/>
          </w:tcPr>
          <w:p>
            <w:pPr>
              <w:jc w:val="center"/>
              <w:rPr>
                <w:noProof/>
                <w:sz w:val="18"/>
              </w:rPr>
            </w:pPr>
            <w:r>
              <w:rPr>
                <w:noProof/>
                <w:sz w:val="18"/>
              </w:rPr>
              <w:t>ELPA šalių</w:t>
            </w:r>
          </w:p>
        </w:tc>
        <w:tc>
          <w:tcPr>
            <w:tcW w:w="1080" w:type="dxa"/>
            <w:vAlign w:val="center"/>
          </w:tcPr>
          <w:p>
            <w:pPr>
              <w:jc w:val="center"/>
              <w:rPr>
                <w:noProof/>
                <w:sz w:val="18"/>
              </w:rPr>
            </w:pPr>
            <w:r>
              <w:rPr>
                <w:noProof/>
                <w:sz w:val="18"/>
              </w:rPr>
              <w:t>valstybių kandidačių</w:t>
            </w:r>
          </w:p>
        </w:tc>
        <w:tc>
          <w:tcPr>
            <w:tcW w:w="956" w:type="dxa"/>
            <w:vAlign w:val="center"/>
          </w:tcPr>
          <w:p>
            <w:pPr>
              <w:jc w:val="center"/>
              <w:rPr>
                <w:noProof/>
                <w:sz w:val="18"/>
              </w:rPr>
            </w:pPr>
            <w:r>
              <w:rPr>
                <w:noProof/>
                <w:sz w:val="18"/>
              </w:rPr>
              <w:t>trečiųjų valstybių</w:t>
            </w:r>
          </w:p>
        </w:tc>
        <w:tc>
          <w:tcPr>
            <w:tcW w:w="1448" w:type="dxa"/>
            <w:vAlign w:val="center"/>
          </w:tcPr>
          <w:p>
            <w:pPr>
              <w:jc w:val="center"/>
              <w:rPr>
                <w:noProof/>
                <w:sz w:val="22"/>
              </w:rPr>
            </w:pPr>
            <w:r>
              <w:rPr>
                <w:noProof/>
                <w:sz w:val="16"/>
              </w:rPr>
              <w:t xml:space="preserve">pagal Finansinio reglamento 21 straipsnio 2 dalies b punktą </w:t>
            </w:r>
          </w:p>
        </w:tc>
      </w:tr>
      <w:tr>
        <w:tc>
          <w:tcPr>
            <w:tcW w:w="1080" w:type="dxa"/>
            <w:vAlign w:val="center"/>
          </w:tcPr>
          <w:p>
            <w:pPr>
              <w:jc w:val="center"/>
              <w:rPr>
                <w:noProof/>
                <w:sz w:val="22"/>
              </w:rPr>
            </w:pPr>
            <w:r>
              <w:rPr>
                <w:noProof/>
                <w:sz w:val="22"/>
              </w:rPr>
              <w:t>1</w:t>
            </w:r>
          </w:p>
        </w:tc>
        <w:tc>
          <w:tcPr>
            <w:tcW w:w="3960" w:type="dxa"/>
            <w:vAlign w:val="center"/>
          </w:tcPr>
          <w:p>
            <w:pPr>
              <w:spacing w:before="60"/>
              <w:rPr>
                <w:noProof/>
                <w:szCs w:val="24"/>
              </w:rPr>
            </w:pPr>
            <w:r>
              <w:rPr>
                <w:noProof/>
              </w:rPr>
              <w:t>02.0104 Europos strateginių investicijų fondo (ESIF) rėmimo išlaidos</w:t>
            </w:r>
          </w:p>
        </w:tc>
        <w:tc>
          <w:tcPr>
            <w:tcW w:w="1080" w:type="dxa"/>
            <w:vAlign w:val="center"/>
          </w:tcPr>
          <w:p>
            <w:pPr>
              <w:jc w:val="center"/>
              <w:rPr>
                <w:noProof/>
                <w:sz w:val="22"/>
              </w:rPr>
            </w:pPr>
            <w:r>
              <w:rPr>
                <w:noProof/>
                <w:sz w:val="22"/>
              </w:rPr>
              <w:t>NDA</w:t>
            </w:r>
          </w:p>
        </w:tc>
        <w:tc>
          <w:tcPr>
            <w:tcW w:w="956" w:type="dxa"/>
            <w:vAlign w:val="center"/>
          </w:tcPr>
          <w:p>
            <w:pPr>
              <w:jc w:val="center"/>
              <w:rPr>
                <w:noProof/>
                <w:sz w:val="22"/>
              </w:rPr>
            </w:pPr>
            <w:r>
              <w:rPr>
                <w:noProof/>
                <w:sz w:val="22"/>
              </w:rPr>
              <w:t>NE</w:t>
            </w:r>
          </w:p>
        </w:tc>
        <w:tc>
          <w:tcPr>
            <w:tcW w:w="1080" w:type="dxa"/>
            <w:vAlign w:val="center"/>
          </w:tcPr>
          <w:p>
            <w:pPr>
              <w:jc w:val="center"/>
              <w:rPr>
                <w:noProof/>
                <w:sz w:val="22"/>
              </w:rPr>
            </w:pPr>
            <w:r>
              <w:rPr>
                <w:noProof/>
                <w:sz w:val="22"/>
              </w:rPr>
              <w:t>NE</w:t>
            </w:r>
          </w:p>
        </w:tc>
        <w:tc>
          <w:tcPr>
            <w:tcW w:w="956" w:type="dxa"/>
            <w:vAlign w:val="center"/>
          </w:tcPr>
          <w:p>
            <w:pPr>
              <w:jc w:val="center"/>
              <w:rPr>
                <w:noProof/>
                <w:sz w:val="22"/>
              </w:rPr>
            </w:pPr>
            <w:r>
              <w:rPr>
                <w:noProof/>
                <w:sz w:val="22"/>
              </w:rPr>
              <w:t>NE</w:t>
            </w:r>
          </w:p>
        </w:tc>
        <w:tc>
          <w:tcPr>
            <w:tcW w:w="1448" w:type="dxa"/>
            <w:vAlign w:val="center"/>
          </w:tcPr>
          <w:p>
            <w:pPr>
              <w:jc w:val="center"/>
              <w:rPr>
                <w:noProof/>
                <w:sz w:val="22"/>
              </w:rPr>
            </w:pPr>
            <w:r>
              <w:rPr>
                <w:noProof/>
                <w:sz w:val="22"/>
              </w:rPr>
              <w:t>NE</w:t>
            </w:r>
          </w:p>
        </w:tc>
      </w:tr>
      <w:tr>
        <w:tc>
          <w:tcPr>
            <w:tcW w:w="1080" w:type="dxa"/>
            <w:vAlign w:val="center"/>
          </w:tcPr>
          <w:p>
            <w:pPr>
              <w:jc w:val="center"/>
              <w:rPr>
                <w:noProof/>
                <w:sz w:val="22"/>
              </w:rPr>
            </w:pPr>
            <w:r>
              <w:rPr>
                <w:noProof/>
                <w:sz w:val="22"/>
              </w:rPr>
              <w:t>1</w:t>
            </w:r>
          </w:p>
        </w:tc>
        <w:tc>
          <w:tcPr>
            <w:tcW w:w="3960" w:type="dxa"/>
            <w:vAlign w:val="center"/>
          </w:tcPr>
          <w:p>
            <w:pPr>
              <w:spacing w:before="60"/>
              <w:rPr>
                <w:noProof/>
              </w:rPr>
            </w:pPr>
            <w:r>
              <w:rPr>
                <w:noProof/>
              </w:rPr>
              <w:t>02.0501 Garantija Europos strateginių investicijų fondui (ESIF)</w:t>
            </w:r>
          </w:p>
          <w:p>
            <w:pPr>
              <w:spacing w:before="60"/>
              <w:rPr>
                <w:noProof/>
              </w:rPr>
            </w:pPr>
            <w:r>
              <w:rPr>
                <w:noProof/>
              </w:rPr>
              <w:t>02.050202 Garantijos Europos strateginių investicijų fondo (ESIF) mokumo linijai atidėjiniai</w:t>
            </w:r>
          </w:p>
          <w:p>
            <w:pPr>
              <w:spacing w:before="60"/>
              <w:rPr>
                <w:noProof/>
                <w:sz w:val="22"/>
              </w:rPr>
            </w:pPr>
            <w:r>
              <w:rPr>
                <w:noProof/>
                <w:sz w:val="22"/>
              </w:rPr>
              <w:t xml:space="preserve">02.050302 </w:t>
            </w:r>
            <w:r>
              <w:rPr>
                <w:noProof/>
              </w:rPr>
              <w:t>Europos investavimo konsultacijų centras (EIKS) ir Europos investicinių projektų portalas (EIPP) – (techninė pagalba) – mokumo linija</w:t>
            </w:r>
          </w:p>
          <w:p>
            <w:pPr>
              <w:spacing w:after="60"/>
              <w:rPr>
                <w:noProof/>
                <w:sz w:val="22"/>
              </w:rPr>
            </w:pPr>
          </w:p>
        </w:tc>
        <w:tc>
          <w:tcPr>
            <w:tcW w:w="1080" w:type="dxa"/>
            <w:vAlign w:val="center"/>
          </w:tcPr>
          <w:p>
            <w:pPr>
              <w:jc w:val="center"/>
              <w:rPr>
                <w:noProof/>
                <w:sz w:val="22"/>
              </w:rPr>
            </w:pPr>
            <w:r>
              <w:rPr>
                <w:noProof/>
                <w:sz w:val="22"/>
              </w:rPr>
              <w:t>DA</w:t>
            </w:r>
          </w:p>
        </w:tc>
        <w:tc>
          <w:tcPr>
            <w:tcW w:w="956" w:type="dxa"/>
            <w:vAlign w:val="center"/>
          </w:tcPr>
          <w:p>
            <w:pPr>
              <w:jc w:val="center"/>
              <w:rPr>
                <w:noProof/>
                <w:sz w:val="22"/>
              </w:rPr>
            </w:pPr>
            <w:r>
              <w:rPr>
                <w:noProof/>
                <w:sz w:val="22"/>
              </w:rPr>
              <w:t>NE</w:t>
            </w:r>
          </w:p>
        </w:tc>
        <w:tc>
          <w:tcPr>
            <w:tcW w:w="1080" w:type="dxa"/>
            <w:vAlign w:val="center"/>
          </w:tcPr>
          <w:p>
            <w:pPr>
              <w:jc w:val="center"/>
              <w:rPr>
                <w:noProof/>
                <w:sz w:val="18"/>
              </w:rPr>
            </w:pPr>
            <w:r>
              <w:rPr>
                <w:noProof/>
                <w:sz w:val="22"/>
              </w:rPr>
              <w:t>NE</w:t>
            </w:r>
          </w:p>
        </w:tc>
        <w:tc>
          <w:tcPr>
            <w:tcW w:w="956" w:type="dxa"/>
            <w:vAlign w:val="center"/>
          </w:tcPr>
          <w:p>
            <w:pPr>
              <w:jc w:val="center"/>
              <w:rPr>
                <w:noProof/>
                <w:sz w:val="18"/>
              </w:rPr>
            </w:pPr>
            <w:r>
              <w:rPr>
                <w:noProof/>
                <w:sz w:val="22"/>
              </w:rPr>
              <w:t>NE</w:t>
            </w:r>
          </w:p>
        </w:tc>
        <w:tc>
          <w:tcPr>
            <w:tcW w:w="1448" w:type="dxa"/>
            <w:vAlign w:val="center"/>
          </w:tcPr>
          <w:p>
            <w:pPr>
              <w:jc w:val="center"/>
              <w:rPr>
                <w:noProof/>
                <w:sz w:val="22"/>
              </w:rPr>
            </w:pPr>
            <w:r>
              <w:rPr>
                <w:noProof/>
                <w:sz w:val="22"/>
              </w:rPr>
              <w:t>NE</w:t>
            </w:r>
          </w:p>
        </w:tc>
      </w:tr>
    </w:tbl>
    <w:p>
      <w:pPr>
        <w:rPr>
          <w:noProof/>
        </w:rPr>
        <w:sectPr>
          <w:pgSz w:w="11907" w:h="16840" w:code="1"/>
          <w:pgMar w:top="1134" w:right="1418" w:bottom="1134" w:left="1418" w:header="709" w:footer="709" w:gutter="0"/>
          <w:cols w:space="708"/>
          <w:docGrid w:linePitch="360"/>
        </w:sectPr>
      </w:pPr>
    </w:p>
    <w:p>
      <w:pPr>
        <w:pStyle w:val="ManualHeading2"/>
        <w:rPr>
          <w:noProof/>
        </w:rPr>
      </w:pPr>
      <w:r>
        <w:rPr>
          <w:noProof/>
        </w:rPr>
        <w:t>3.2.</w:t>
      </w:r>
      <w:r>
        <w:rPr>
          <w:noProof/>
        </w:rPr>
        <w:tab/>
        <w:t xml:space="preserve">Numatomas poveikis išlaidoms </w:t>
      </w:r>
    </w:p>
    <w:p>
      <w:pPr>
        <w:pStyle w:val="ManualHeading3"/>
        <w:rPr>
          <w:noProof/>
          <w:u w:val="single"/>
        </w:rPr>
      </w:pPr>
      <w:r>
        <w:rPr>
          <w:noProof/>
        </w:rPr>
        <w:t>3.2.1.</w:t>
      </w:r>
      <w:r>
        <w:rPr>
          <w:noProof/>
        </w:rPr>
        <w:tab/>
        <w:t xml:space="preserve">Numatomo poveikio išlaidoms santrauka </w:t>
      </w:r>
    </w:p>
    <w:p>
      <w:pPr>
        <w:jc w:val="right"/>
        <w:rPr>
          <w:noProof/>
          <w:sz w:val="20"/>
        </w:rPr>
      </w:pPr>
      <w:r>
        <w:rPr>
          <w:noProof/>
          <w:sz w:val="20"/>
        </w:rPr>
        <w:t>mln. EUR (tūkstantųjų tikslumu)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noProof/>
                <w:sz w:val="22"/>
              </w:rPr>
            </w:pPr>
            <w:r>
              <w:rPr>
                <w:b/>
                <w:noProof/>
                <w:sz w:val="22"/>
              </w:rPr>
              <w:t xml:space="preserve">Daugiametės finansinės programos </w:t>
            </w:r>
          </w:p>
          <w:p>
            <w:pPr>
              <w:spacing w:before="60" w:after="60"/>
              <w:jc w:val="center"/>
              <w:rPr>
                <w:b/>
                <w:noProof/>
                <w:sz w:val="22"/>
              </w:rPr>
            </w:pPr>
            <w:r>
              <w:rPr>
                <w:b/>
                <w:noProof/>
                <w:sz w:val="22"/>
              </w:rPr>
              <w:t xml:space="preserve">išlaidų kategorija </w:t>
            </w:r>
          </w:p>
        </w:tc>
        <w:tc>
          <w:tcPr>
            <w:tcW w:w="1080" w:type="dxa"/>
            <w:vAlign w:val="center"/>
          </w:tcPr>
          <w:p>
            <w:pPr>
              <w:spacing w:before="60" w:after="60"/>
              <w:jc w:val="center"/>
              <w:rPr>
                <w:noProof/>
                <w:sz w:val="22"/>
              </w:rPr>
            </w:pPr>
            <w:r>
              <w:rPr>
                <w:noProof/>
                <w:sz w:val="22"/>
              </w:rPr>
              <w:t>Numeris</w:t>
            </w:r>
          </w:p>
        </w:tc>
        <w:tc>
          <w:tcPr>
            <w:tcW w:w="7817" w:type="dxa"/>
            <w:vAlign w:val="center"/>
          </w:tcPr>
          <w:p>
            <w:pPr>
              <w:spacing w:before="60" w:after="60"/>
              <w:rPr>
                <w:noProof/>
                <w:sz w:val="22"/>
              </w:rPr>
            </w:pPr>
            <w:r>
              <w:rPr>
                <w:noProof/>
                <w:sz w:val="22"/>
              </w:rPr>
              <w:t>1a išlaidų kategorija (2014–2020 m. DFP), paskui – 1 išlaidų kategorija (2021–2027 m. DFP)</w:t>
            </w:r>
          </w:p>
        </w:tc>
      </w:tr>
    </w:tbl>
    <w:p>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1144"/>
        <w:gridCol w:w="1054"/>
      </w:tblGrid>
      <w:tr>
        <w:trPr>
          <w:jc w:val="center"/>
        </w:trPr>
        <w:tc>
          <w:tcPr>
            <w:tcW w:w="6197" w:type="dxa"/>
            <w:gridSpan w:val="3"/>
            <w:tcBorders>
              <w:top w:val="nil"/>
              <w:left w:val="nil"/>
              <w:bottom w:val="nil"/>
              <w:right w:val="single" w:sz="4" w:space="0" w:color="auto"/>
            </w:tcBorders>
            <w:vAlign w:val="center"/>
          </w:tcPr>
          <w:p>
            <w:pPr>
              <w:jc w:val="center"/>
              <w:rPr>
                <w:b/>
                <w:noProof/>
                <w:sz w:val="20"/>
              </w:rPr>
            </w:pPr>
          </w:p>
        </w:tc>
        <w:tc>
          <w:tcPr>
            <w:tcW w:w="868" w:type="dxa"/>
            <w:tcBorders>
              <w:left w:val="single" w:sz="4" w:space="0" w:color="auto"/>
            </w:tcBorders>
            <w:vAlign w:val="center"/>
          </w:tcPr>
          <w:p>
            <w:pPr>
              <w:jc w:val="center"/>
              <w:rPr>
                <w:rFonts w:ascii="Arial" w:hAnsi="Arial" w:cs="Arial"/>
                <w:b/>
                <w:noProof/>
                <w:sz w:val="16"/>
                <w:szCs w:val="16"/>
              </w:rPr>
            </w:pPr>
            <w:r>
              <w:rPr>
                <w:rFonts w:ascii="Arial" w:hAnsi="Arial"/>
                <w:b/>
                <w:noProof/>
                <w:sz w:val="16"/>
                <w:szCs w:val="16"/>
              </w:rPr>
              <w:t>2020 m.</w:t>
            </w:r>
          </w:p>
        </w:tc>
        <w:tc>
          <w:tcPr>
            <w:tcW w:w="868" w:type="dxa"/>
            <w:vAlign w:val="center"/>
          </w:tcPr>
          <w:p>
            <w:pPr>
              <w:jc w:val="center"/>
              <w:rPr>
                <w:rFonts w:ascii="Arial" w:hAnsi="Arial" w:cs="Arial"/>
                <w:b/>
                <w:noProof/>
                <w:sz w:val="16"/>
                <w:szCs w:val="16"/>
              </w:rPr>
            </w:pPr>
            <w:r>
              <w:rPr>
                <w:rFonts w:ascii="Arial" w:hAnsi="Arial"/>
                <w:b/>
                <w:noProof/>
                <w:sz w:val="16"/>
                <w:szCs w:val="16"/>
              </w:rPr>
              <w:t>2021 m.</w:t>
            </w:r>
          </w:p>
        </w:tc>
        <w:tc>
          <w:tcPr>
            <w:tcW w:w="868" w:type="dxa"/>
            <w:vAlign w:val="center"/>
          </w:tcPr>
          <w:p>
            <w:pPr>
              <w:jc w:val="center"/>
              <w:rPr>
                <w:rFonts w:ascii="Arial" w:hAnsi="Arial" w:cs="Arial"/>
                <w:b/>
                <w:noProof/>
                <w:sz w:val="16"/>
                <w:szCs w:val="16"/>
              </w:rPr>
            </w:pPr>
            <w:r>
              <w:rPr>
                <w:rFonts w:ascii="Arial" w:hAnsi="Arial"/>
                <w:b/>
                <w:noProof/>
                <w:sz w:val="16"/>
                <w:szCs w:val="16"/>
              </w:rPr>
              <w:t>2022 m.</w:t>
            </w:r>
          </w:p>
        </w:tc>
        <w:tc>
          <w:tcPr>
            <w:tcW w:w="868" w:type="dxa"/>
            <w:vAlign w:val="center"/>
          </w:tcPr>
          <w:p>
            <w:pPr>
              <w:jc w:val="center"/>
              <w:rPr>
                <w:rFonts w:ascii="Arial" w:hAnsi="Arial" w:cs="Arial"/>
                <w:b/>
                <w:noProof/>
                <w:sz w:val="16"/>
                <w:szCs w:val="16"/>
              </w:rPr>
            </w:pPr>
            <w:r>
              <w:rPr>
                <w:rFonts w:ascii="Arial" w:hAnsi="Arial"/>
                <w:b/>
                <w:noProof/>
                <w:sz w:val="16"/>
                <w:szCs w:val="16"/>
              </w:rPr>
              <w:t>2023 m.</w:t>
            </w:r>
          </w:p>
        </w:tc>
        <w:tc>
          <w:tcPr>
            <w:tcW w:w="868" w:type="dxa"/>
            <w:vAlign w:val="center"/>
          </w:tcPr>
          <w:p>
            <w:pPr>
              <w:jc w:val="center"/>
              <w:rPr>
                <w:rFonts w:ascii="Arial" w:hAnsi="Arial" w:cs="Arial"/>
                <w:b/>
                <w:noProof/>
                <w:sz w:val="16"/>
                <w:szCs w:val="16"/>
              </w:rPr>
            </w:pPr>
            <w:r>
              <w:rPr>
                <w:rFonts w:ascii="Arial" w:hAnsi="Arial"/>
                <w:b/>
                <w:noProof/>
                <w:sz w:val="16"/>
                <w:szCs w:val="16"/>
              </w:rPr>
              <w:t>2024 m.</w:t>
            </w:r>
          </w:p>
        </w:tc>
        <w:tc>
          <w:tcPr>
            <w:tcW w:w="868" w:type="dxa"/>
            <w:vAlign w:val="center"/>
          </w:tcPr>
          <w:p>
            <w:pPr>
              <w:jc w:val="center"/>
              <w:rPr>
                <w:rFonts w:ascii="Arial" w:hAnsi="Arial" w:cs="Arial"/>
                <w:b/>
                <w:noProof/>
                <w:sz w:val="16"/>
                <w:szCs w:val="16"/>
              </w:rPr>
            </w:pPr>
            <w:r>
              <w:rPr>
                <w:rFonts w:ascii="Arial" w:hAnsi="Arial"/>
                <w:b/>
                <w:noProof/>
                <w:sz w:val="16"/>
                <w:szCs w:val="16"/>
              </w:rPr>
              <w:t>2025 m.</w:t>
            </w:r>
          </w:p>
        </w:tc>
        <w:tc>
          <w:tcPr>
            <w:tcW w:w="868" w:type="dxa"/>
            <w:vAlign w:val="center"/>
          </w:tcPr>
          <w:p>
            <w:pPr>
              <w:jc w:val="center"/>
              <w:rPr>
                <w:rFonts w:ascii="Arial" w:hAnsi="Arial" w:cs="Arial"/>
                <w:b/>
                <w:noProof/>
                <w:sz w:val="16"/>
                <w:szCs w:val="16"/>
              </w:rPr>
            </w:pPr>
            <w:r>
              <w:rPr>
                <w:rFonts w:ascii="Arial" w:hAnsi="Arial"/>
                <w:b/>
                <w:noProof/>
                <w:sz w:val="16"/>
                <w:szCs w:val="16"/>
              </w:rPr>
              <w:t>2026 m.</w:t>
            </w:r>
          </w:p>
        </w:tc>
        <w:tc>
          <w:tcPr>
            <w:tcW w:w="1144" w:type="dxa"/>
            <w:vAlign w:val="center"/>
          </w:tcPr>
          <w:p>
            <w:pPr>
              <w:jc w:val="center"/>
              <w:rPr>
                <w:rFonts w:ascii="Arial" w:hAnsi="Arial" w:cs="Arial"/>
                <w:b/>
                <w:i/>
                <w:noProof/>
                <w:sz w:val="18"/>
                <w:szCs w:val="18"/>
              </w:rPr>
            </w:pPr>
            <w:r>
              <w:rPr>
                <w:rFonts w:ascii="Arial" w:hAnsi="Arial"/>
                <w:b/>
                <w:i/>
                <w:noProof/>
                <w:sz w:val="18"/>
                <w:szCs w:val="18"/>
              </w:rPr>
              <w:t>2027 m.</w:t>
            </w:r>
          </w:p>
        </w:tc>
        <w:tc>
          <w:tcPr>
            <w:tcW w:w="1054" w:type="dxa"/>
            <w:vAlign w:val="center"/>
          </w:tcPr>
          <w:p>
            <w:pPr>
              <w:jc w:val="center"/>
              <w:rPr>
                <w:rFonts w:ascii="Arial" w:hAnsi="Arial" w:cs="Arial"/>
                <w:b/>
                <w:noProof/>
                <w:sz w:val="18"/>
                <w:szCs w:val="18"/>
              </w:rPr>
            </w:pPr>
            <w:r>
              <w:rPr>
                <w:rFonts w:ascii="Arial" w:hAnsi="Arial"/>
                <w:b/>
                <w:noProof/>
                <w:sz w:val="18"/>
                <w:szCs w:val="18"/>
              </w:rPr>
              <w:t>IŠ VISO</w:t>
            </w:r>
          </w:p>
        </w:tc>
      </w:tr>
      <w:tr>
        <w:trPr>
          <w:trHeight w:val="433"/>
          <w:jc w:val="center"/>
        </w:trPr>
        <w:tc>
          <w:tcPr>
            <w:tcW w:w="4103" w:type="dxa"/>
            <w:vMerge w:val="restart"/>
            <w:vAlign w:val="center"/>
          </w:tcPr>
          <w:p>
            <w:pPr>
              <w:rPr>
                <w:noProof/>
                <w:sz w:val="20"/>
              </w:rPr>
            </w:pPr>
            <w:r>
              <w:rPr>
                <w:noProof/>
                <w:sz w:val="20"/>
              </w:rPr>
              <w:t>01.010401 (2020 m.), paskui – 02.0104 Europos strateginių investicijų fondo (ESIF) rėmimo išlaidos</w:t>
            </w:r>
          </w:p>
        </w:tc>
        <w:tc>
          <w:tcPr>
            <w:tcW w:w="1440" w:type="dxa"/>
            <w:vMerge w:val="restart"/>
            <w:vAlign w:val="center"/>
          </w:tcPr>
          <w:p>
            <w:pPr>
              <w:spacing w:before="20" w:after="20"/>
              <w:jc w:val="left"/>
              <w:rPr>
                <w:noProof/>
                <w:sz w:val="18"/>
              </w:rPr>
            </w:pPr>
            <w:r>
              <w:rPr>
                <w:noProof/>
                <w:sz w:val="18"/>
              </w:rPr>
              <w:t>Įsipareigojimai =</w:t>
            </w:r>
          </w:p>
          <w:p>
            <w:pPr>
              <w:spacing w:before="20" w:after="20"/>
              <w:jc w:val="left"/>
              <w:rPr>
                <w:noProof/>
                <w:sz w:val="18"/>
              </w:rPr>
            </w:pPr>
            <w:r>
              <w:rPr>
                <w:noProof/>
                <w:sz w:val="18"/>
              </w:rPr>
              <w:t>Mokėjimai</w:t>
            </w:r>
          </w:p>
        </w:tc>
        <w:tc>
          <w:tcPr>
            <w:tcW w:w="654" w:type="dxa"/>
            <w:vMerge w:val="restart"/>
            <w:vAlign w:val="center"/>
          </w:tcPr>
          <w:p>
            <w:pPr>
              <w:spacing w:before="20" w:after="20"/>
              <w:jc w:val="center"/>
              <w:rPr>
                <w:noProof/>
                <w:sz w:val="14"/>
              </w:rPr>
            </w:pPr>
            <w:r>
              <w:rPr>
                <w:noProof/>
                <w:sz w:val="14"/>
              </w:rPr>
              <w:t>3)</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2,000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 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2,000</w:t>
            </w:r>
          </w:p>
        </w:tc>
      </w:tr>
      <w:tr>
        <w:trPr>
          <w:trHeight w:val="411"/>
          <w:jc w:val="center"/>
        </w:trPr>
        <w:tc>
          <w:tcPr>
            <w:tcW w:w="4103" w:type="dxa"/>
            <w:vMerge/>
          </w:tcPr>
          <w:p>
            <w:pPr>
              <w:jc w:val="center"/>
              <w:rPr>
                <w:noProof/>
                <w:sz w:val="20"/>
              </w:rPr>
            </w:pPr>
          </w:p>
        </w:tc>
        <w:tc>
          <w:tcPr>
            <w:tcW w:w="1440" w:type="dxa"/>
            <w:vMerge/>
            <w:vAlign w:val="center"/>
          </w:tcPr>
          <w:p>
            <w:pPr>
              <w:spacing w:before="20" w:after="20"/>
              <w:jc w:val="left"/>
              <w:rPr>
                <w:noProof/>
                <w:sz w:val="18"/>
              </w:rPr>
            </w:pPr>
          </w:p>
        </w:tc>
        <w:tc>
          <w:tcPr>
            <w:tcW w:w="654" w:type="dxa"/>
            <w:vMerge/>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2,000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1144" w:type="dxa"/>
            <w:vAlign w:val="center"/>
          </w:tcPr>
          <w:p>
            <w:pPr>
              <w:spacing w:before="20" w:after="20"/>
              <w:jc w:val="center"/>
              <w:rPr>
                <w:rFonts w:ascii="Arial" w:hAnsi="Arial" w:cs="Arial"/>
                <w:b/>
                <w:noProof/>
                <w:sz w:val="16"/>
                <w:szCs w:val="18"/>
              </w:rPr>
            </w:pP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2,000</w:t>
            </w:r>
          </w:p>
        </w:tc>
      </w:tr>
      <w:tr>
        <w:trPr>
          <w:trHeight w:val="433"/>
          <w:jc w:val="center"/>
        </w:trPr>
        <w:tc>
          <w:tcPr>
            <w:tcW w:w="4103" w:type="dxa"/>
            <w:vMerge w:val="restart"/>
            <w:vAlign w:val="center"/>
          </w:tcPr>
          <w:p>
            <w:pPr>
              <w:spacing w:before="60"/>
              <w:rPr>
                <w:noProof/>
              </w:rPr>
            </w:pPr>
            <w:r>
              <w:rPr>
                <w:noProof/>
                <w:sz w:val="20"/>
              </w:rPr>
              <w:t>01.040101 Europos investicijų fondas – pasirašytojo kapitalo apmokėtų akcijų perdavimas</w:t>
            </w:r>
          </w:p>
        </w:tc>
        <w:tc>
          <w:tcPr>
            <w:tcW w:w="1440" w:type="dxa"/>
            <w:vAlign w:val="center"/>
          </w:tcPr>
          <w:p>
            <w:pPr>
              <w:spacing w:before="20" w:after="20"/>
              <w:jc w:val="left"/>
              <w:rPr>
                <w:noProof/>
                <w:sz w:val="18"/>
              </w:rPr>
            </w:pPr>
            <w:r>
              <w:rPr>
                <w:noProof/>
                <w:sz w:val="18"/>
              </w:rPr>
              <w:t>Įsipareigojimai</w:t>
            </w:r>
          </w:p>
        </w:tc>
        <w:tc>
          <w:tcPr>
            <w:tcW w:w="654" w:type="dxa"/>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1144" w:type="dxa"/>
            <w:shd w:val="clear" w:color="auto" w:fill="A6A6A6" w:themeFill="background1" w:themeFillShade="A6"/>
            <w:vAlign w:val="center"/>
          </w:tcPr>
          <w:p>
            <w:pPr>
              <w:spacing w:before="20" w:after="20"/>
              <w:jc w:val="center"/>
              <w:rPr>
                <w:rFonts w:ascii="Arial" w:hAnsi="Arial" w:cs="Arial"/>
                <w:noProof/>
                <w:sz w:val="16"/>
                <w:szCs w:val="18"/>
                <w:highlight w:val="yellow"/>
              </w:rPr>
            </w:pPr>
          </w:p>
        </w:tc>
        <w:tc>
          <w:tcPr>
            <w:tcW w:w="1054" w:type="dxa"/>
            <w:vAlign w:val="center"/>
          </w:tcPr>
          <w:p>
            <w:pPr>
              <w:spacing w:before="20" w:after="20"/>
              <w:jc w:val="center"/>
              <w:rPr>
                <w:rFonts w:ascii="Arial" w:hAnsi="Arial" w:cs="Arial"/>
                <w:noProof/>
                <w:sz w:val="16"/>
                <w:szCs w:val="18"/>
              </w:rPr>
            </w:pPr>
            <w:r>
              <w:rPr>
                <w:rFonts w:ascii="Arial" w:hAnsi="Arial"/>
                <w:noProof/>
                <w:sz w:val="16"/>
                <w:szCs w:val="18"/>
              </w:rPr>
              <w:t>500,000</w:t>
            </w:r>
          </w:p>
        </w:tc>
      </w:tr>
      <w:tr>
        <w:trPr>
          <w:trHeight w:val="433"/>
          <w:jc w:val="center"/>
        </w:trPr>
        <w:tc>
          <w:tcPr>
            <w:tcW w:w="4103" w:type="dxa"/>
            <w:vMerge/>
            <w:vAlign w:val="center"/>
          </w:tcPr>
          <w:p>
            <w:pPr>
              <w:rPr>
                <w:noProof/>
                <w:sz w:val="20"/>
              </w:rPr>
            </w:pPr>
          </w:p>
        </w:tc>
        <w:tc>
          <w:tcPr>
            <w:tcW w:w="1440" w:type="dxa"/>
            <w:vAlign w:val="center"/>
          </w:tcPr>
          <w:p>
            <w:pPr>
              <w:spacing w:before="20" w:after="20"/>
              <w:jc w:val="left"/>
              <w:rPr>
                <w:noProof/>
                <w:sz w:val="18"/>
              </w:rPr>
            </w:pPr>
            <w:r>
              <w:rPr>
                <w:noProof/>
                <w:sz w:val="18"/>
              </w:rPr>
              <w:t>Mokėjimai</w:t>
            </w:r>
          </w:p>
        </w:tc>
        <w:tc>
          <w:tcPr>
            <w:tcW w:w="654" w:type="dxa"/>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1144" w:type="dxa"/>
            <w:shd w:val="clear" w:color="auto" w:fill="A6A6A6" w:themeFill="background1" w:themeFillShade="A6"/>
            <w:vAlign w:val="center"/>
          </w:tcPr>
          <w:p>
            <w:pPr>
              <w:spacing w:before="20" w:after="20"/>
              <w:jc w:val="center"/>
              <w:rPr>
                <w:rFonts w:ascii="Arial" w:hAnsi="Arial" w:cs="Arial"/>
                <w:noProof/>
                <w:sz w:val="16"/>
                <w:szCs w:val="18"/>
                <w:highlight w:val="yellow"/>
              </w:rPr>
            </w:pPr>
          </w:p>
        </w:tc>
        <w:tc>
          <w:tcPr>
            <w:tcW w:w="1054" w:type="dxa"/>
            <w:vAlign w:val="center"/>
          </w:tcPr>
          <w:p>
            <w:pPr>
              <w:spacing w:before="20" w:after="20"/>
              <w:jc w:val="center"/>
              <w:rPr>
                <w:rFonts w:ascii="Arial" w:hAnsi="Arial" w:cs="Arial"/>
                <w:noProof/>
                <w:sz w:val="16"/>
                <w:szCs w:val="18"/>
              </w:rPr>
            </w:pPr>
            <w:r>
              <w:rPr>
                <w:rFonts w:ascii="Arial" w:hAnsi="Arial"/>
                <w:noProof/>
                <w:sz w:val="16"/>
                <w:szCs w:val="18"/>
              </w:rPr>
              <w:t>500,000</w:t>
            </w:r>
          </w:p>
        </w:tc>
      </w:tr>
      <w:tr>
        <w:trPr>
          <w:trHeight w:val="433"/>
          <w:jc w:val="center"/>
        </w:trPr>
        <w:tc>
          <w:tcPr>
            <w:tcW w:w="4103" w:type="dxa"/>
            <w:vMerge w:val="restart"/>
            <w:vAlign w:val="center"/>
          </w:tcPr>
          <w:p>
            <w:pPr>
              <w:rPr>
                <w:noProof/>
                <w:sz w:val="20"/>
              </w:rPr>
            </w:pPr>
            <w:r>
              <w:rPr>
                <w:noProof/>
                <w:sz w:val="20"/>
              </w:rPr>
              <w:t>01.0404 (2020 m.), paskui – 02.0501 Garantija Europos strateginių investicijų fondui (ESIF)</w:t>
            </w:r>
          </w:p>
        </w:tc>
        <w:tc>
          <w:tcPr>
            <w:tcW w:w="1440" w:type="dxa"/>
            <w:vAlign w:val="center"/>
          </w:tcPr>
          <w:p>
            <w:pPr>
              <w:spacing w:before="20" w:after="20"/>
              <w:jc w:val="left"/>
              <w:rPr>
                <w:noProof/>
                <w:sz w:val="18"/>
              </w:rPr>
            </w:pPr>
            <w:r>
              <w:rPr>
                <w:noProof/>
                <w:sz w:val="18"/>
              </w:rPr>
              <w:t>Įsipareigojimai</w:t>
            </w:r>
          </w:p>
        </w:tc>
        <w:tc>
          <w:tcPr>
            <w:tcW w:w="654" w:type="dxa"/>
            <w:vAlign w:val="center"/>
          </w:tcPr>
          <w:p>
            <w:pPr>
              <w:spacing w:before="20" w:after="20"/>
              <w:jc w:val="center"/>
              <w:rPr>
                <w:noProof/>
                <w:sz w:val="14"/>
              </w:rPr>
            </w:pPr>
            <w:r>
              <w:rPr>
                <w:noProof/>
                <w:sz w:val="14"/>
              </w:rPr>
              <w:t>(1)</w:t>
            </w:r>
          </w:p>
        </w:tc>
        <w:tc>
          <w:tcPr>
            <w:tcW w:w="868" w:type="dxa"/>
          </w:tcPr>
          <w:p>
            <w:pPr>
              <w:spacing w:before="20" w:after="20"/>
              <w:jc w:val="center"/>
              <w:rPr>
                <w:rFonts w:ascii="Arial" w:hAnsi="Arial" w:cs="Arial"/>
                <w:noProof/>
                <w:sz w:val="16"/>
                <w:szCs w:val="18"/>
              </w:rPr>
            </w:pPr>
            <w:r>
              <w:rPr>
                <w:rFonts w:ascii="Arial" w:hAnsi="Arial"/>
                <w:noProof/>
                <w:sz w:val="16"/>
                <w:szCs w:val="18"/>
              </w:rPr>
              <w:t>p. m.</w:t>
            </w:r>
          </w:p>
        </w:tc>
        <w:tc>
          <w:tcPr>
            <w:tcW w:w="868" w:type="dxa"/>
          </w:tcPr>
          <w:p>
            <w:pPr>
              <w:spacing w:before="20" w:after="20"/>
              <w:jc w:val="center"/>
              <w:rPr>
                <w:rFonts w:ascii="Arial" w:hAnsi="Arial" w:cs="Arial"/>
                <w:noProof/>
                <w:sz w:val="16"/>
                <w:szCs w:val="18"/>
              </w:rPr>
            </w:pPr>
            <w:r>
              <w:rPr>
                <w:rFonts w:ascii="Arial" w:hAnsi="Arial"/>
                <w:noProof/>
                <w:sz w:val="16"/>
                <w:szCs w:val="18"/>
              </w:rPr>
              <w:t>p. m.</w:t>
            </w:r>
          </w:p>
        </w:tc>
        <w:tc>
          <w:tcPr>
            <w:tcW w:w="868" w:type="dxa"/>
          </w:tcPr>
          <w:p>
            <w:pPr>
              <w:spacing w:before="20" w:after="20"/>
              <w:jc w:val="center"/>
              <w:rPr>
                <w:rFonts w:ascii="Arial" w:hAnsi="Arial" w:cs="Arial"/>
                <w:noProof/>
                <w:sz w:val="16"/>
                <w:szCs w:val="18"/>
              </w:rPr>
            </w:pPr>
            <w:r>
              <w:rPr>
                <w:rFonts w:ascii="Arial" w:hAnsi="Arial"/>
                <w:noProof/>
                <w:sz w:val="16"/>
                <w:szCs w:val="18"/>
              </w:rPr>
              <w:t>p. m.</w:t>
            </w:r>
          </w:p>
        </w:tc>
        <w:tc>
          <w:tcPr>
            <w:tcW w:w="868" w:type="dxa"/>
          </w:tcPr>
          <w:p>
            <w:pPr>
              <w:spacing w:before="20" w:after="20"/>
              <w:jc w:val="center"/>
              <w:rPr>
                <w:rFonts w:ascii="Arial" w:hAnsi="Arial" w:cs="Arial"/>
                <w:noProof/>
                <w:sz w:val="16"/>
                <w:szCs w:val="18"/>
              </w:rPr>
            </w:pPr>
            <w:r>
              <w:rPr>
                <w:rFonts w:ascii="Arial" w:hAnsi="Arial"/>
                <w:noProof/>
                <w:sz w:val="16"/>
                <w:szCs w:val="18"/>
              </w:rPr>
              <w:t>p. m.</w:t>
            </w:r>
          </w:p>
        </w:tc>
        <w:tc>
          <w:tcPr>
            <w:tcW w:w="868" w:type="dxa"/>
          </w:tcPr>
          <w:p>
            <w:pPr>
              <w:spacing w:before="20" w:after="20"/>
              <w:jc w:val="center"/>
              <w:rPr>
                <w:rFonts w:ascii="Arial" w:hAnsi="Arial" w:cs="Arial"/>
                <w:noProof/>
                <w:sz w:val="16"/>
                <w:szCs w:val="18"/>
              </w:rPr>
            </w:pPr>
            <w:r>
              <w:rPr>
                <w:rFonts w:ascii="Arial" w:hAnsi="Arial"/>
                <w:noProof/>
                <w:sz w:val="16"/>
                <w:szCs w:val="18"/>
              </w:rPr>
              <w:t>p. m.</w:t>
            </w:r>
          </w:p>
        </w:tc>
        <w:tc>
          <w:tcPr>
            <w:tcW w:w="868" w:type="dxa"/>
          </w:tcPr>
          <w:p>
            <w:pPr>
              <w:spacing w:before="20" w:after="20"/>
              <w:jc w:val="center"/>
              <w:rPr>
                <w:rFonts w:ascii="Arial" w:hAnsi="Arial" w:cs="Arial"/>
                <w:noProof/>
                <w:sz w:val="16"/>
                <w:szCs w:val="18"/>
              </w:rPr>
            </w:pPr>
            <w:r>
              <w:rPr>
                <w:rFonts w:ascii="Arial" w:hAnsi="Arial"/>
                <w:noProof/>
                <w:sz w:val="16"/>
                <w:szCs w:val="18"/>
              </w:rPr>
              <w:t>p. m.</w:t>
            </w:r>
          </w:p>
        </w:tc>
        <w:tc>
          <w:tcPr>
            <w:tcW w:w="868" w:type="dxa"/>
          </w:tcPr>
          <w:p>
            <w:pPr>
              <w:spacing w:before="20" w:after="20"/>
              <w:jc w:val="center"/>
              <w:rPr>
                <w:rFonts w:ascii="Arial" w:hAnsi="Arial" w:cs="Arial"/>
                <w:noProof/>
                <w:sz w:val="16"/>
                <w:szCs w:val="18"/>
              </w:rPr>
            </w:pPr>
            <w:r>
              <w:rPr>
                <w:rFonts w:ascii="Arial" w:hAnsi="Arial"/>
                <w:noProof/>
                <w:sz w:val="16"/>
                <w:szCs w:val="18"/>
              </w:rPr>
              <w:t>p. m.</w:t>
            </w:r>
          </w:p>
        </w:tc>
        <w:tc>
          <w:tcPr>
            <w:tcW w:w="1144" w:type="dxa"/>
            <w:shd w:val="clear" w:color="auto" w:fill="A6A6A6" w:themeFill="background1" w:themeFillShade="A6"/>
            <w:vAlign w:val="center"/>
          </w:tcPr>
          <w:p>
            <w:pPr>
              <w:spacing w:before="20" w:after="20"/>
              <w:jc w:val="center"/>
              <w:rPr>
                <w:rFonts w:ascii="Arial" w:hAnsi="Arial" w:cs="Arial"/>
                <w:noProof/>
                <w:sz w:val="16"/>
                <w:szCs w:val="18"/>
              </w:rPr>
            </w:pPr>
          </w:p>
        </w:tc>
        <w:tc>
          <w:tcPr>
            <w:tcW w:w="1054" w:type="dxa"/>
          </w:tcPr>
          <w:p>
            <w:pPr>
              <w:spacing w:before="20" w:after="20"/>
              <w:jc w:val="center"/>
              <w:rPr>
                <w:rFonts w:ascii="Arial" w:hAnsi="Arial" w:cs="Arial"/>
                <w:noProof/>
                <w:sz w:val="16"/>
                <w:szCs w:val="18"/>
              </w:rPr>
            </w:pPr>
            <w:r>
              <w:rPr>
                <w:rFonts w:ascii="Arial" w:hAnsi="Arial"/>
                <w:noProof/>
                <w:sz w:val="16"/>
                <w:szCs w:val="18"/>
              </w:rPr>
              <w:t>p. m.</w:t>
            </w:r>
          </w:p>
        </w:tc>
      </w:tr>
      <w:tr>
        <w:trPr>
          <w:trHeight w:val="433"/>
          <w:jc w:val="center"/>
        </w:trPr>
        <w:tc>
          <w:tcPr>
            <w:tcW w:w="4103" w:type="dxa"/>
            <w:vMerge/>
            <w:vAlign w:val="center"/>
          </w:tcPr>
          <w:p>
            <w:pPr>
              <w:rPr>
                <w:noProof/>
                <w:sz w:val="20"/>
              </w:rPr>
            </w:pPr>
          </w:p>
        </w:tc>
        <w:tc>
          <w:tcPr>
            <w:tcW w:w="1440" w:type="dxa"/>
            <w:vAlign w:val="center"/>
          </w:tcPr>
          <w:p>
            <w:pPr>
              <w:spacing w:before="20" w:after="20"/>
              <w:jc w:val="left"/>
              <w:rPr>
                <w:noProof/>
                <w:sz w:val="18"/>
              </w:rPr>
            </w:pPr>
            <w:r>
              <w:rPr>
                <w:noProof/>
                <w:sz w:val="18"/>
              </w:rPr>
              <w:t>Mokėjimai</w:t>
            </w:r>
          </w:p>
        </w:tc>
        <w:tc>
          <w:tcPr>
            <w:tcW w:w="654" w:type="dxa"/>
            <w:vAlign w:val="center"/>
          </w:tcPr>
          <w:p>
            <w:pPr>
              <w:spacing w:before="20" w:after="20"/>
              <w:jc w:val="center"/>
              <w:rPr>
                <w:noProof/>
                <w:sz w:val="14"/>
              </w:rPr>
            </w:pPr>
            <w:r>
              <w:rPr>
                <w:noProof/>
                <w:sz w:val="14"/>
              </w:rPr>
              <w:t>(2)</w:t>
            </w:r>
          </w:p>
        </w:tc>
        <w:tc>
          <w:tcPr>
            <w:tcW w:w="868" w:type="dxa"/>
          </w:tcPr>
          <w:p>
            <w:pPr>
              <w:spacing w:before="20" w:after="20"/>
              <w:jc w:val="center"/>
              <w:rPr>
                <w:rFonts w:ascii="Arial" w:hAnsi="Arial" w:cs="Arial"/>
                <w:noProof/>
                <w:sz w:val="16"/>
                <w:szCs w:val="18"/>
              </w:rPr>
            </w:pPr>
            <w:r>
              <w:rPr>
                <w:rFonts w:ascii="Arial" w:hAnsi="Arial"/>
                <w:noProof/>
                <w:sz w:val="16"/>
                <w:szCs w:val="18"/>
              </w:rPr>
              <w:t>p. m.</w:t>
            </w:r>
          </w:p>
        </w:tc>
        <w:tc>
          <w:tcPr>
            <w:tcW w:w="868" w:type="dxa"/>
          </w:tcPr>
          <w:p>
            <w:pPr>
              <w:spacing w:before="20" w:after="20"/>
              <w:jc w:val="center"/>
              <w:rPr>
                <w:rFonts w:ascii="Arial" w:hAnsi="Arial" w:cs="Arial"/>
                <w:noProof/>
                <w:sz w:val="16"/>
                <w:szCs w:val="18"/>
              </w:rPr>
            </w:pPr>
            <w:r>
              <w:rPr>
                <w:rFonts w:ascii="Arial" w:hAnsi="Arial"/>
                <w:noProof/>
                <w:sz w:val="16"/>
                <w:szCs w:val="18"/>
              </w:rPr>
              <w:t>p. m.</w:t>
            </w:r>
          </w:p>
        </w:tc>
        <w:tc>
          <w:tcPr>
            <w:tcW w:w="868" w:type="dxa"/>
          </w:tcPr>
          <w:p>
            <w:pPr>
              <w:spacing w:before="20" w:after="20"/>
              <w:jc w:val="center"/>
              <w:rPr>
                <w:rFonts w:ascii="Arial" w:hAnsi="Arial" w:cs="Arial"/>
                <w:noProof/>
                <w:sz w:val="16"/>
                <w:szCs w:val="18"/>
              </w:rPr>
            </w:pPr>
            <w:r>
              <w:rPr>
                <w:rFonts w:ascii="Arial" w:hAnsi="Arial"/>
                <w:noProof/>
                <w:sz w:val="16"/>
                <w:szCs w:val="18"/>
              </w:rPr>
              <w:t>p. m.</w:t>
            </w:r>
          </w:p>
        </w:tc>
        <w:tc>
          <w:tcPr>
            <w:tcW w:w="868" w:type="dxa"/>
          </w:tcPr>
          <w:p>
            <w:pPr>
              <w:spacing w:before="20" w:after="20"/>
              <w:jc w:val="center"/>
              <w:rPr>
                <w:rFonts w:ascii="Arial" w:hAnsi="Arial" w:cs="Arial"/>
                <w:noProof/>
                <w:sz w:val="16"/>
                <w:szCs w:val="18"/>
              </w:rPr>
            </w:pPr>
            <w:r>
              <w:rPr>
                <w:rFonts w:ascii="Arial" w:hAnsi="Arial"/>
                <w:noProof/>
                <w:sz w:val="16"/>
                <w:szCs w:val="18"/>
              </w:rPr>
              <w:t>p. m.</w:t>
            </w:r>
          </w:p>
        </w:tc>
        <w:tc>
          <w:tcPr>
            <w:tcW w:w="868" w:type="dxa"/>
          </w:tcPr>
          <w:p>
            <w:pPr>
              <w:spacing w:before="20" w:after="20"/>
              <w:jc w:val="center"/>
              <w:rPr>
                <w:rFonts w:ascii="Arial" w:hAnsi="Arial" w:cs="Arial"/>
                <w:noProof/>
                <w:sz w:val="16"/>
                <w:szCs w:val="18"/>
              </w:rPr>
            </w:pPr>
            <w:r>
              <w:rPr>
                <w:rFonts w:ascii="Arial" w:hAnsi="Arial"/>
                <w:noProof/>
                <w:sz w:val="16"/>
                <w:szCs w:val="18"/>
              </w:rPr>
              <w:t>p. m.</w:t>
            </w:r>
          </w:p>
        </w:tc>
        <w:tc>
          <w:tcPr>
            <w:tcW w:w="868" w:type="dxa"/>
          </w:tcPr>
          <w:p>
            <w:pPr>
              <w:spacing w:before="20" w:after="20"/>
              <w:jc w:val="center"/>
              <w:rPr>
                <w:rFonts w:ascii="Arial" w:hAnsi="Arial" w:cs="Arial"/>
                <w:noProof/>
                <w:sz w:val="16"/>
                <w:szCs w:val="18"/>
              </w:rPr>
            </w:pPr>
            <w:r>
              <w:rPr>
                <w:rFonts w:ascii="Arial" w:hAnsi="Arial"/>
                <w:noProof/>
                <w:sz w:val="16"/>
                <w:szCs w:val="18"/>
              </w:rPr>
              <w:t>p. m.</w:t>
            </w:r>
          </w:p>
        </w:tc>
        <w:tc>
          <w:tcPr>
            <w:tcW w:w="868" w:type="dxa"/>
          </w:tcPr>
          <w:p>
            <w:pPr>
              <w:spacing w:before="20" w:after="20"/>
              <w:jc w:val="center"/>
              <w:rPr>
                <w:rFonts w:ascii="Arial" w:hAnsi="Arial" w:cs="Arial"/>
                <w:noProof/>
                <w:sz w:val="16"/>
                <w:szCs w:val="18"/>
              </w:rPr>
            </w:pPr>
            <w:r>
              <w:rPr>
                <w:rFonts w:ascii="Arial" w:hAnsi="Arial"/>
                <w:noProof/>
                <w:sz w:val="16"/>
                <w:szCs w:val="18"/>
              </w:rPr>
              <w:t>p. m.</w:t>
            </w:r>
          </w:p>
        </w:tc>
        <w:tc>
          <w:tcPr>
            <w:tcW w:w="1144" w:type="dxa"/>
            <w:shd w:val="clear" w:color="auto" w:fill="A6A6A6" w:themeFill="background1" w:themeFillShade="A6"/>
            <w:vAlign w:val="center"/>
          </w:tcPr>
          <w:p>
            <w:pPr>
              <w:spacing w:before="20" w:after="20"/>
              <w:jc w:val="center"/>
              <w:rPr>
                <w:rFonts w:ascii="Arial" w:hAnsi="Arial" w:cs="Arial"/>
                <w:noProof/>
                <w:sz w:val="16"/>
                <w:szCs w:val="18"/>
              </w:rPr>
            </w:pPr>
          </w:p>
        </w:tc>
        <w:tc>
          <w:tcPr>
            <w:tcW w:w="1054" w:type="dxa"/>
          </w:tcPr>
          <w:p>
            <w:pPr>
              <w:spacing w:before="20" w:after="20"/>
              <w:jc w:val="center"/>
              <w:rPr>
                <w:rFonts w:ascii="Arial" w:hAnsi="Arial" w:cs="Arial"/>
                <w:noProof/>
                <w:sz w:val="16"/>
                <w:szCs w:val="18"/>
              </w:rPr>
            </w:pPr>
            <w:r>
              <w:rPr>
                <w:rFonts w:ascii="Arial" w:hAnsi="Arial"/>
                <w:noProof/>
                <w:sz w:val="16"/>
                <w:szCs w:val="18"/>
              </w:rPr>
              <w:t>p. m.</w:t>
            </w:r>
          </w:p>
        </w:tc>
      </w:tr>
      <w:tr>
        <w:trPr>
          <w:trHeight w:val="433"/>
          <w:jc w:val="center"/>
        </w:trPr>
        <w:tc>
          <w:tcPr>
            <w:tcW w:w="4103" w:type="dxa"/>
            <w:vMerge w:val="restart"/>
            <w:vAlign w:val="center"/>
          </w:tcPr>
          <w:p>
            <w:pPr>
              <w:rPr>
                <w:noProof/>
                <w:sz w:val="20"/>
              </w:rPr>
            </w:pPr>
            <w:r>
              <w:rPr>
                <w:noProof/>
                <w:sz w:val="20"/>
              </w:rPr>
              <w:t>01.040502 (2020 m.), paskui – 02.050202 Garantijos Europos strateginių investicijų fondo (ESIF) mokumo linijai atidėjiniai</w:t>
            </w:r>
          </w:p>
        </w:tc>
        <w:tc>
          <w:tcPr>
            <w:tcW w:w="1440" w:type="dxa"/>
            <w:vAlign w:val="center"/>
          </w:tcPr>
          <w:p>
            <w:pPr>
              <w:spacing w:before="20" w:after="20"/>
              <w:jc w:val="left"/>
              <w:rPr>
                <w:noProof/>
                <w:sz w:val="18"/>
              </w:rPr>
            </w:pPr>
            <w:r>
              <w:rPr>
                <w:noProof/>
                <w:sz w:val="18"/>
              </w:rPr>
              <w:t>Įsipareigojimai</w:t>
            </w:r>
          </w:p>
        </w:tc>
        <w:tc>
          <w:tcPr>
            <w:tcW w:w="654" w:type="dxa"/>
            <w:vAlign w:val="center"/>
          </w:tcPr>
          <w:p>
            <w:pPr>
              <w:spacing w:before="20" w:after="20"/>
              <w:jc w:val="center"/>
              <w:rPr>
                <w:noProof/>
                <w:sz w:val="14"/>
              </w:rPr>
            </w:pPr>
            <w:r>
              <w:rPr>
                <w:noProof/>
                <w:sz w:val="14"/>
              </w:rPr>
              <w:t>(1)</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4.980,000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 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 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4.980,000</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Mokėjimai</w:t>
            </w:r>
          </w:p>
        </w:tc>
        <w:tc>
          <w:tcPr>
            <w:tcW w:w="654" w:type="dxa"/>
            <w:vAlign w:val="center"/>
          </w:tcPr>
          <w:p>
            <w:pPr>
              <w:spacing w:before="20" w:after="20"/>
              <w:jc w:val="center"/>
              <w:rPr>
                <w:noProof/>
                <w:sz w:val="14"/>
              </w:rPr>
            </w:pPr>
            <w:r>
              <w:rPr>
                <w:noProof/>
                <w:sz w:val="14"/>
              </w:rPr>
              <w:t>(2)</w:t>
            </w:r>
          </w:p>
        </w:tc>
        <w:tc>
          <w:tcPr>
            <w:tcW w:w="868" w:type="dxa"/>
          </w:tcPr>
          <w:p>
            <w:pPr>
              <w:spacing w:before="20" w:after="20"/>
              <w:jc w:val="center"/>
              <w:rPr>
                <w:rFonts w:ascii="Arial" w:hAnsi="Arial" w:cs="Arial"/>
                <w:noProof/>
                <w:sz w:val="16"/>
                <w:szCs w:val="18"/>
              </w:rPr>
            </w:pPr>
            <w:r>
              <w:rPr>
                <w:rFonts w:ascii="Arial" w:hAnsi="Arial"/>
                <w:noProof/>
                <w:sz w:val="16"/>
                <w:szCs w:val="18"/>
              </w:rPr>
              <w:t>2.490,000</w:t>
            </w:r>
          </w:p>
        </w:tc>
        <w:tc>
          <w:tcPr>
            <w:tcW w:w="868" w:type="dxa"/>
          </w:tcPr>
          <w:p>
            <w:pPr>
              <w:spacing w:before="20" w:after="20"/>
              <w:jc w:val="center"/>
              <w:rPr>
                <w:rFonts w:ascii="Arial" w:hAnsi="Arial" w:cs="Arial"/>
                <w:noProof/>
                <w:sz w:val="16"/>
                <w:szCs w:val="18"/>
              </w:rPr>
            </w:pPr>
            <w:r>
              <w:rPr>
                <w:rFonts w:ascii="Arial" w:hAnsi="Arial"/>
                <w:noProof/>
                <w:sz w:val="16"/>
                <w:szCs w:val="18"/>
              </w:rPr>
              <w:t>490,000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 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4.980,000</w:t>
            </w:r>
          </w:p>
        </w:tc>
      </w:tr>
      <w:tr>
        <w:trPr>
          <w:trHeight w:val="433"/>
          <w:jc w:val="center"/>
        </w:trPr>
        <w:tc>
          <w:tcPr>
            <w:tcW w:w="4103" w:type="dxa"/>
            <w:vMerge w:val="restart"/>
            <w:vAlign w:val="center"/>
          </w:tcPr>
          <w:p>
            <w:pPr>
              <w:rPr>
                <w:noProof/>
                <w:sz w:val="20"/>
              </w:rPr>
            </w:pPr>
            <w:r>
              <w:rPr>
                <w:noProof/>
                <w:sz w:val="20"/>
              </w:rPr>
              <w:t>01.040602 (2020 m.), paskui – 02.050302 Europos investavimo konsultacijų centras (EIKS) ir Europos investicinių projektų portalas (EIPP) – (techninė pagalba) – mokumo linija</w:t>
            </w:r>
          </w:p>
        </w:tc>
        <w:tc>
          <w:tcPr>
            <w:tcW w:w="1440" w:type="dxa"/>
            <w:vAlign w:val="center"/>
          </w:tcPr>
          <w:p>
            <w:pPr>
              <w:spacing w:before="20" w:after="20"/>
              <w:jc w:val="left"/>
              <w:rPr>
                <w:noProof/>
                <w:sz w:val="18"/>
              </w:rPr>
            </w:pPr>
            <w:r>
              <w:rPr>
                <w:noProof/>
                <w:sz w:val="18"/>
              </w:rPr>
              <w:t>Įsipareigojimai</w:t>
            </w:r>
          </w:p>
        </w:tc>
        <w:tc>
          <w:tcPr>
            <w:tcW w:w="654" w:type="dxa"/>
            <w:vAlign w:val="center"/>
          </w:tcPr>
          <w:p>
            <w:pPr>
              <w:spacing w:before="20" w:after="20"/>
              <w:jc w:val="center"/>
              <w:rPr>
                <w:noProof/>
                <w:sz w:val="14"/>
              </w:rPr>
            </w:pPr>
            <w:r>
              <w:rPr>
                <w:noProof/>
                <w:sz w:val="14"/>
              </w:rPr>
              <w:t>(1)</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18,000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 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 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18,000</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Mokėjimai</w:t>
            </w:r>
          </w:p>
        </w:tc>
        <w:tc>
          <w:tcPr>
            <w:tcW w:w="654" w:type="dxa"/>
            <w:vAlign w:val="center"/>
          </w:tcPr>
          <w:p>
            <w:pPr>
              <w:spacing w:before="20" w:after="20"/>
              <w:jc w:val="center"/>
              <w:rPr>
                <w:noProof/>
                <w:sz w:val="14"/>
              </w:rPr>
            </w:pPr>
            <w:r>
              <w:rPr>
                <w:noProof/>
                <w:sz w:val="14"/>
              </w:rPr>
              <w:t>(2)</w:t>
            </w:r>
          </w:p>
        </w:tc>
        <w:tc>
          <w:tcPr>
            <w:tcW w:w="868" w:type="dxa"/>
            <w:vAlign w:val="center"/>
          </w:tcPr>
          <w:p>
            <w:pPr>
              <w:spacing w:before="20" w:after="20"/>
              <w:rPr>
                <w:rFonts w:ascii="Arial" w:hAnsi="Arial" w:cs="Arial"/>
                <w:noProof/>
                <w:sz w:val="16"/>
                <w:szCs w:val="18"/>
              </w:rPr>
            </w:pPr>
            <w:r>
              <w:rPr>
                <w:rFonts w:ascii="Arial" w:hAnsi="Arial"/>
                <w:noProof/>
                <w:sz w:val="16"/>
                <w:szCs w:val="18"/>
              </w:rPr>
              <w:t>8,000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10,000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 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18,000</w:t>
            </w:r>
          </w:p>
        </w:tc>
      </w:tr>
      <w:tr>
        <w:trPr>
          <w:jc w:val="center"/>
        </w:trPr>
        <w:tc>
          <w:tcPr>
            <w:tcW w:w="4103" w:type="dxa"/>
            <w:vMerge w:val="restart"/>
          </w:tcPr>
          <w:p>
            <w:pPr>
              <w:jc w:val="left"/>
              <w:rPr>
                <w:b/>
                <w:noProof/>
              </w:rPr>
            </w:pPr>
            <w:r>
              <w:rPr>
                <w:b/>
                <w:noProof/>
                <w:sz w:val="22"/>
              </w:rPr>
              <w:t>IŠ VISO asignavimų programos paketui</w:t>
            </w:r>
          </w:p>
        </w:tc>
        <w:tc>
          <w:tcPr>
            <w:tcW w:w="1440" w:type="dxa"/>
            <w:vAlign w:val="center"/>
          </w:tcPr>
          <w:p>
            <w:pPr>
              <w:jc w:val="left"/>
              <w:rPr>
                <w:noProof/>
                <w:sz w:val="18"/>
              </w:rPr>
            </w:pPr>
            <w:r>
              <w:rPr>
                <w:noProof/>
                <w:sz w:val="18"/>
              </w:rPr>
              <w:t>Įsipareigojimai</w:t>
            </w:r>
          </w:p>
        </w:tc>
        <w:tc>
          <w:tcPr>
            <w:tcW w:w="654" w:type="dxa"/>
            <w:vAlign w:val="center"/>
          </w:tcPr>
          <w:p>
            <w:pPr>
              <w:jc w:val="center"/>
              <w:rPr>
                <w:noProof/>
                <w:sz w:val="14"/>
              </w:rPr>
            </w:pPr>
            <w:r>
              <w:rPr>
                <w:noProof/>
                <w:sz w:val="14"/>
              </w:rPr>
              <w:t>=1+3</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 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 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5.500,000</w:t>
            </w: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Mokėjimai</w:t>
            </w:r>
          </w:p>
        </w:tc>
        <w:tc>
          <w:tcPr>
            <w:tcW w:w="654" w:type="dxa"/>
            <w:vAlign w:val="center"/>
          </w:tcPr>
          <w:p>
            <w:pPr>
              <w:jc w:val="center"/>
              <w:rPr>
                <w:noProof/>
                <w:sz w:val="14"/>
              </w:rPr>
            </w:pPr>
            <w:r>
              <w:rPr>
                <w:noProof/>
                <w:sz w:val="14"/>
              </w:rPr>
              <w:t>=2+3</w:t>
            </w:r>
          </w:p>
        </w:tc>
        <w:tc>
          <w:tcPr>
            <w:tcW w:w="868" w:type="dxa"/>
          </w:tcPr>
          <w:p>
            <w:pPr>
              <w:spacing w:before="20" w:after="20"/>
              <w:jc w:val="center"/>
              <w:rPr>
                <w:rFonts w:ascii="Arial" w:hAnsi="Arial" w:cs="Arial"/>
                <w:noProof/>
                <w:sz w:val="16"/>
                <w:szCs w:val="18"/>
              </w:rPr>
            </w:pPr>
            <w:r>
              <w:rPr>
                <w:rFonts w:ascii="Arial" w:hAnsi="Arial"/>
                <w:noProof/>
                <w:sz w:val="16"/>
                <w:szCs w:val="18"/>
              </w:rPr>
              <w:t>3.000,000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 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 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5.500,000</w:t>
            </w:r>
          </w:p>
        </w:tc>
      </w:tr>
    </w:tbl>
    <w:p>
      <w:pPr>
        <w:rPr>
          <w:noProof/>
        </w:rPr>
      </w:pPr>
    </w:p>
    <w:p>
      <w:pPr>
        <w:rPr>
          <w:noProof/>
        </w:rPr>
      </w:pPr>
    </w:p>
    <w:p>
      <w:pPr>
        <w:rPr>
          <w:iCs/>
          <w:noProof/>
        </w:rPr>
      </w:pPr>
      <w:r>
        <w:rPr>
          <w:noProof/>
        </w:rPr>
        <w:t>Be finansinio paketo, skirto ESIF garantijai pagal Reglamentą (ES) 2015/1017 (ESIF reglamentas), finansavimui pagal Europos Sąjungos ekonomikos gaivinimo priemonę bus galima panaudoti 28 318,160 mln. EUR (dabartinėmis kainomis) sumą kaip išorės asignuotąsias pajamas, kaip apibrėžta Finansinio reglamento 21 straipsnio 5 dalyje. Iš šios sumos iki 6,520 mln. EUR gali būti skiriama administracinėms išlaidoms, įskaitant išorės darbuotojų išlaidas.</w:t>
      </w:r>
    </w:p>
    <w:p>
      <w:pPr>
        <w:rPr>
          <w:iCs/>
          <w:noProof/>
        </w:rPr>
      </w:pPr>
    </w:p>
    <w:p>
      <w:pPr>
        <w:rPr>
          <w:noProof/>
        </w:rPr>
      </w:pPr>
      <w:r>
        <w:rPr>
          <w:noProof/>
        </w:rPr>
        <w:t xml:space="preserve">Konkreti 80 mln. EUR suma bus reikalinga veiklos išlaidoms, susijusioms su struktūrų (kapitalo fondų, specialiosios paskirties įmonių, investavimo platformų ir kt.), per kurias bus teikiama parama pagal mokumo palaikymo liniją, steigimu ir valdymu, padengti, taip pat susijusioms konsultavimo paslaugoms ir techninei pagalbai, įskaitant administracinę paramą. Pagal Reglamento dėl Europos Sąjungos ekonomikos gaivinimo priemonės nuostatas iki 2024 m. gruodžio 31 d. prisiimami teisiniai įsipareigojimai, vykdomi naudojant išorės asignuotąsias pajamas iš skolinimosi.  </w:t>
      </w:r>
    </w:p>
    <w:p>
      <w:pPr>
        <w:rPr>
          <w:noProof/>
        </w:rPr>
      </w:pPr>
      <w:r>
        <w:rPr>
          <w:noProof/>
        </w:rPr>
        <w:t>Išorės asignuotųjų pajamų išlaidos preliminariai išskaidomos taip:</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530"/>
        <w:gridCol w:w="918"/>
        <w:gridCol w:w="918"/>
        <w:gridCol w:w="918"/>
        <w:gridCol w:w="905"/>
        <w:gridCol w:w="931"/>
        <w:gridCol w:w="918"/>
        <w:gridCol w:w="918"/>
        <w:gridCol w:w="958"/>
        <w:gridCol w:w="1045"/>
      </w:tblGrid>
      <w:tr>
        <w:trPr>
          <w:trHeight w:val="487"/>
        </w:trPr>
        <w:tc>
          <w:tcPr>
            <w:tcW w:w="3227" w:type="dxa"/>
            <w:vAlign w:val="center"/>
          </w:tcPr>
          <w:p>
            <w:pPr>
              <w:jc w:val="center"/>
              <w:rPr>
                <w:noProof/>
              </w:rPr>
            </w:pPr>
            <w:r>
              <w:rPr>
                <w:noProof/>
                <w:sz w:val="22"/>
              </w:rPr>
              <w:t>ESIF – Mokumo priemonė</w:t>
            </w:r>
          </w:p>
        </w:tc>
        <w:tc>
          <w:tcPr>
            <w:tcW w:w="1417" w:type="dxa"/>
          </w:tcPr>
          <w:p>
            <w:pPr>
              <w:rPr>
                <w:noProof/>
                <w:sz w:val="20"/>
              </w:rPr>
            </w:pPr>
          </w:p>
        </w:tc>
        <w:tc>
          <w:tcPr>
            <w:tcW w:w="530" w:type="dxa"/>
          </w:tcPr>
          <w:p>
            <w:pPr>
              <w:jc w:val="center"/>
              <w:rPr>
                <w:noProof/>
                <w:sz w:val="20"/>
              </w:rPr>
            </w:pPr>
          </w:p>
        </w:tc>
        <w:tc>
          <w:tcPr>
            <w:tcW w:w="918" w:type="dxa"/>
            <w:vAlign w:val="center"/>
          </w:tcPr>
          <w:p>
            <w:pPr>
              <w:jc w:val="center"/>
              <w:rPr>
                <w:noProof/>
                <w:sz w:val="20"/>
              </w:rPr>
            </w:pPr>
            <w:r>
              <w:rPr>
                <w:b/>
                <w:noProof/>
                <w:sz w:val="20"/>
              </w:rPr>
              <w:t>2021 m.</w:t>
            </w:r>
          </w:p>
        </w:tc>
        <w:tc>
          <w:tcPr>
            <w:tcW w:w="918" w:type="dxa"/>
            <w:vAlign w:val="center"/>
          </w:tcPr>
          <w:p>
            <w:pPr>
              <w:jc w:val="center"/>
              <w:rPr>
                <w:noProof/>
                <w:sz w:val="20"/>
              </w:rPr>
            </w:pPr>
            <w:r>
              <w:rPr>
                <w:b/>
                <w:noProof/>
                <w:sz w:val="20"/>
              </w:rPr>
              <w:t>2022 m.</w:t>
            </w:r>
          </w:p>
        </w:tc>
        <w:tc>
          <w:tcPr>
            <w:tcW w:w="918" w:type="dxa"/>
            <w:vAlign w:val="center"/>
          </w:tcPr>
          <w:p>
            <w:pPr>
              <w:jc w:val="center"/>
              <w:rPr>
                <w:noProof/>
                <w:sz w:val="20"/>
              </w:rPr>
            </w:pPr>
            <w:r>
              <w:rPr>
                <w:b/>
                <w:noProof/>
                <w:sz w:val="20"/>
              </w:rPr>
              <w:t>2023 m.</w:t>
            </w:r>
          </w:p>
        </w:tc>
        <w:tc>
          <w:tcPr>
            <w:tcW w:w="905" w:type="dxa"/>
            <w:vAlign w:val="center"/>
          </w:tcPr>
          <w:p>
            <w:pPr>
              <w:jc w:val="center"/>
              <w:rPr>
                <w:noProof/>
                <w:sz w:val="20"/>
              </w:rPr>
            </w:pPr>
            <w:r>
              <w:rPr>
                <w:b/>
                <w:noProof/>
                <w:sz w:val="20"/>
              </w:rPr>
              <w:t>2024 m.</w:t>
            </w:r>
          </w:p>
        </w:tc>
        <w:tc>
          <w:tcPr>
            <w:tcW w:w="931" w:type="dxa"/>
            <w:vAlign w:val="center"/>
          </w:tcPr>
          <w:p>
            <w:pPr>
              <w:jc w:val="center"/>
              <w:rPr>
                <w:b/>
                <w:noProof/>
                <w:sz w:val="18"/>
              </w:rPr>
            </w:pPr>
            <w:r>
              <w:rPr>
                <w:b/>
                <w:noProof/>
                <w:sz w:val="18"/>
              </w:rPr>
              <w:t>2025 m.</w:t>
            </w:r>
          </w:p>
        </w:tc>
        <w:tc>
          <w:tcPr>
            <w:tcW w:w="918" w:type="dxa"/>
            <w:vAlign w:val="center"/>
          </w:tcPr>
          <w:p>
            <w:pPr>
              <w:jc w:val="center"/>
              <w:rPr>
                <w:b/>
                <w:noProof/>
                <w:sz w:val="18"/>
              </w:rPr>
            </w:pPr>
            <w:r>
              <w:rPr>
                <w:b/>
                <w:noProof/>
                <w:sz w:val="18"/>
              </w:rPr>
              <w:t>2026 m.</w:t>
            </w:r>
          </w:p>
        </w:tc>
        <w:tc>
          <w:tcPr>
            <w:tcW w:w="918" w:type="dxa"/>
            <w:vAlign w:val="center"/>
          </w:tcPr>
          <w:p>
            <w:pPr>
              <w:jc w:val="center"/>
              <w:rPr>
                <w:b/>
                <w:noProof/>
                <w:sz w:val="18"/>
              </w:rPr>
            </w:pPr>
            <w:r>
              <w:rPr>
                <w:b/>
                <w:noProof/>
                <w:sz w:val="18"/>
              </w:rPr>
              <w:t>2027 m.</w:t>
            </w:r>
          </w:p>
        </w:tc>
        <w:tc>
          <w:tcPr>
            <w:tcW w:w="958" w:type="dxa"/>
          </w:tcPr>
          <w:p>
            <w:pPr>
              <w:jc w:val="center"/>
              <w:rPr>
                <w:b/>
                <w:noProof/>
                <w:sz w:val="20"/>
              </w:rPr>
            </w:pPr>
            <w:r>
              <w:rPr>
                <w:b/>
                <w:i/>
                <w:noProof/>
                <w:sz w:val="20"/>
              </w:rPr>
              <w:t>Po 2027 m.</w:t>
            </w:r>
          </w:p>
        </w:tc>
        <w:tc>
          <w:tcPr>
            <w:tcW w:w="1045" w:type="dxa"/>
            <w:vAlign w:val="center"/>
          </w:tcPr>
          <w:p>
            <w:pPr>
              <w:jc w:val="center"/>
              <w:rPr>
                <w:b/>
                <w:noProof/>
                <w:sz w:val="20"/>
              </w:rPr>
            </w:pPr>
            <w:r>
              <w:rPr>
                <w:b/>
                <w:noProof/>
                <w:sz w:val="20"/>
              </w:rPr>
              <w:t>IŠ VISO</w:t>
            </w:r>
          </w:p>
        </w:tc>
      </w:tr>
      <w:tr>
        <w:trPr>
          <w:trHeight w:val="697"/>
        </w:trPr>
        <w:tc>
          <w:tcPr>
            <w:tcW w:w="3227"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Veiklos išlaidos, kurioms naudojamos Reglamente dėl Europos Sąjungos ekonomikos gaivinimo priemonės numatytos išorės asignuotosios pajamos</w:t>
            </w: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Įsipareigojimai</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8.275,120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8.441,120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5.740,120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5.855,280</w:t>
            </w:r>
          </w:p>
        </w:tc>
        <w:tc>
          <w:tcPr>
            <w:tcW w:w="931"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18"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18"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28.311,640</w:t>
            </w:r>
          </w:p>
        </w:tc>
      </w:tr>
      <w:tr>
        <w:trPr>
          <w:trHeight w:val="477"/>
        </w:trPr>
        <w:tc>
          <w:tcPr>
            <w:tcW w:w="3227" w:type="dxa"/>
            <w:vMerge/>
            <w:tcBorders>
              <w:left w:val="single" w:sz="4" w:space="0" w:color="auto"/>
              <w:bottom w:val="single" w:sz="4" w:space="0" w:color="auto"/>
              <w:right w:val="single" w:sz="4" w:space="0" w:color="auto"/>
            </w:tcBorders>
            <w:vAlign w:val="center"/>
          </w:tcPr>
          <w:p>
            <w:pPr>
              <w:jc w:val="center"/>
              <w:rPr>
                <w:noProof/>
                <w:sz w:val="22"/>
              </w:rPr>
            </w:pP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Mokėjimai</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4.717,773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4.718,773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4.718,773</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3.539,080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3.539,080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3.539,080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3.539,080</w:t>
            </w:r>
          </w:p>
        </w:tc>
        <w:tc>
          <w:tcPr>
            <w:tcW w:w="958" w:type="dxa"/>
            <w:tcBorders>
              <w:top w:val="single" w:sz="4" w:space="0" w:color="auto"/>
              <w:left w:val="single" w:sz="4" w:space="0" w:color="auto"/>
              <w:bottom w:val="single" w:sz="4" w:space="0" w:color="auto"/>
              <w:right w:val="single" w:sz="4" w:space="0" w:color="auto"/>
            </w:tcBorders>
          </w:tcPr>
          <w:p>
            <w:pPr>
              <w:jc w:val="center"/>
              <w:rPr>
                <w:b/>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28.311,640</w:t>
            </w:r>
          </w:p>
        </w:tc>
      </w:tr>
      <w:tr>
        <w:trPr>
          <w:trHeight w:val="744"/>
        </w:trPr>
        <w:tc>
          <w:tcPr>
            <w:tcW w:w="3227"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 xml:space="preserve">Administracinės paramos išlaidos iš EURI išorės asignuotųjų pajamų </w:t>
            </w:r>
          </w:p>
        </w:tc>
        <w:tc>
          <w:tcPr>
            <w:tcW w:w="1417"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Įsipareigojimai = Mokėjimai</w:t>
            </w:r>
          </w:p>
        </w:tc>
        <w:tc>
          <w:tcPr>
            <w:tcW w:w="53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1,880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0,880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0,880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sz w:val="22"/>
              </w:rPr>
              <w:t>0,720</w:t>
            </w: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6,520</w:t>
            </w:r>
          </w:p>
        </w:tc>
      </w:tr>
      <w:tr>
        <w:trPr>
          <w:trHeight w:val="697"/>
        </w:trPr>
        <w:tc>
          <w:tcPr>
            <w:tcW w:w="3227"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Iš viso išorės asignuotųjų pajamų</w:t>
            </w: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Įsipareigojimai</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8.277,000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8.442,000</w:t>
            </w:r>
          </w:p>
        </w:tc>
        <w:tc>
          <w:tcPr>
            <w:tcW w:w="918" w:type="dxa"/>
            <w:tcBorders>
              <w:top w:val="single" w:sz="4" w:space="0" w:color="auto"/>
              <w:left w:val="single" w:sz="4" w:space="0" w:color="auto"/>
              <w:bottom w:val="single" w:sz="4" w:space="0" w:color="auto"/>
              <w:right w:val="single" w:sz="4" w:space="0" w:color="auto"/>
            </w:tcBorders>
          </w:tcPr>
          <w:p>
            <w:pPr>
              <w:rPr>
                <w:b/>
                <w:noProof/>
                <w:sz w:val="20"/>
              </w:rPr>
            </w:pPr>
            <w:r>
              <w:rPr>
                <w:noProof/>
              </w:rPr>
              <w:t>5.741,000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5.856,000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28.318,160</w:t>
            </w:r>
          </w:p>
        </w:tc>
      </w:tr>
      <w:tr>
        <w:trPr>
          <w:trHeight w:val="477"/>
        </w:trPr>
        <w:tc>
          <w:tcPr>
            <w:tcW w:w="3227" w:type="dxa"/>
            <w:vMerge/>
            <w:tcBorders>
              <w:left w:val="single" w:sz="4" w:space="0" w:color="auto"/>
              <w:bottom w:val="single" w:sz="4" w:space="0" w:color="auto"/>
              <w:right w:val="single" w:sz="4" w:space="0" w:color="auto"/>
            </w:tcBorders>
            <w:vAlign w:val="center"/>
          </w:tcPr>
          <w:p>
            <w:pPr>
              <w:jc w:val="center"/>
              <w:rPr>
                <w:noProof/>
                <w:sz w:val="22"/>
              </w:rPr>
            </w:pP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Mokėjimai</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4.719,653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4.719,653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4.719,653</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3.539,800</w:t>
            </w:r>
          </w:p>
        </w:tc>
        <w:tc>
          <w:tcPr>
            <w:tcW w:w="931" w:type="dxa"/>
            <w:tcBorders>
              <w:top w:val="single" w:sz="4" w:space="0" w:color="auto"/>
              <w:left w:val="single" w:sz="4" w:space="0" w:color="auto"/>
              <w:bottom w:val="single" w:sz="4" w:space="0" w:color="auto"/>
              <w:right w:val="single" w:sz="4" w:space="0" w:color="auto"/>
            </w:tcBorders>
          </w:tcPr>
          <w:p>
            <w:pPr>
              <w:rPr>
                <w:b/>
                <w:noProof/>
                <w:sz w:val="20"/>
              </w:rPr>
            </w:pPr>
            <w:r>
              <w:rPr>
                <w:noProof/>
              </w:rPr>
              <w:t>3.539,800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3.539,800</w:t>
            </w:r>
          </w:p>
        </w:tc>
        <w:tc>
          <w:tcPr>
            <w:tcW w:w="918" w:type="dxa"/>
            <w:tcBorders>
              <w:top w:val="single" w:sz="4" w:space="0" w:color="auto"/>
              <w:left w:val="single" w:sz="4" w:space="0" w:color="auto"/>
              <w:bottom w:val="single" w:sz="4" w:space="0" w:color="auto"/>
              <w:right w:val="single" w:sz="4" w:space="0" w:color="auto"/>
            </w:tcBorders>
          </w:tcPr>
          <w:p>
            <w:pPr>
              <w:rPr>
                <w:b/>
                <w:noProof/>
                <w:sz w:val="20"/>
              </w:rPr>
            </w:pPr>
            <w:r>
              <w:rPr>
                <w:noProof/>
              </w:rPr>
              <w:t>3.539,800</w:t>
            </w:r>
          </w:p>
        </w:tc>
        <w:tc>
          <w:tcPr>
            <w:tcW w:w="958" w:type="dxa"/>
            <w:tcBorders>
              <w:top w:val="single" w:sz="4" w:space="0" w:color="auto"/>
              <w:left w:val="single" w:sz="4" w:space="0" w:color="auto"/>
              <w:bottom w:val="single" w:sz="4" w:space="0" w:color="auto"/>
              <w:right w:val="single" w:sz="4" w:space="0" w:color="auto"/>
            </w:tcBorders>
          </w:tcPr>
          <w:p>
            <w:pPr>
              <w:jc w:val="center"/>
              <w:rPr>
                <w:b/>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28.318,160</w:t>
            </w:r>
          </w:p>
        </w:tc>
      </w:tr>
    </w:tbl>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noProof/>
                <w:sz w:val="22"/>
              </w:rPr>
            </w:pPr>
            <w:r>
              <w:rPr>
                <w:noProof/>
              </w:rPr>
              <w:br w:type="page"/>
            </w:r>
            <w:r>
              <w:rPr>
                <w:b/>
                <w:noProof/>
                <w:sz w:val="22"/>
              </w:rPr>
              <w:t xml:space="preserve">Daugiametės finansinės programos </w:t>
            </w:r>
          </w:p>
          <w:p>
            <w:pPr>
              <w:spacing w:before="60" w:after="60"/>
              <w:jc w:val="center"/>
              <w:rPr>
                <w:b/>
                <w:noProof/>
                <w:sz w:val="22"/>
              </w:rPr>
            </w:pPr>
            <w:r>
              <w:rPr>
                <w:b/>
                <w:noProof/>
                <w:sz w:val="22"/>
              </w:rPr>
              <w:t xml:space="preserve">išlaidų kategorija </w:t>
            </w:r>
          </w:p>
        </w:tc>
        <w:tc>
          <w:tcPr>
            <w:tcW w:w="1080" w:type="dxa"/>
            <w:shd w:val="thinDiagStripe" w:color="C0C0C0" w:fill="auto"/>
            <w:vAlign w:val="center"/>
          </w:tcPr>
          <w:p>
            <w:pPr>
              <w:spacing w:before="60" w:after="60"/>
              <w:jc w:val="center"/>
              <w:rPr>
                <w:noProof/>
                <w:sz w:val="22"/>
              </w:rPr>
            </w:pPr>
            <w:r>
              <w:rPr>
                <w:b/>
                <w:noProof/>
                <w:sz w:val="22"/>
              </w:rPr>
              <w:t>5 arba 7</w:t>
            </w:r>
          </w:p>
        </w:tc>
        <w:tc>
          <w:tcPr>
            <w:tcW w:w="7817" w:type="dxa"/>
            <w:vAlign w:val="center"/>
          </w:tcPr>
          <w:p>
            <w:pPr>
              <w:spacing w:before="60" w:after="60"/>
              <w:rPr>
                <w:noProof/>
                <w:sz w:val="22"/>
              </w:rPr>
            </w:pPr>
            <w:r>
              <w:rPr>
                <w:noProof/>
                <w:sz w:val="22"/>
              </w:rPr>
              <w:t>„Administracinės išlaidos“</w:t>
            </w:r>
          </w:p>
        </w:tc>
      </w:tr>
    </w:tbl>
    <w:p>
      <w:pPr>
        <w:jc w:val="right"/>
        <w:rPr>
          <w:noProof/>
          <w:sz w:val="20"/>
        </w:rPr>
      </w:pPr>
      <w:r>
        <w:rPr>
          <w:noProof/>
          <w:sz w:val="20"/>
        </w:rPr>
        <w:t>mln. EUR (tūkstantųjų tikslumu)</w:t>
      </w:r>
    </w:p>
    <w:tbl>
      <w:tblPr>
        <w:tblW w:w="14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868"/>
        <w:gridCol w:w="692"/>
        <w:gridCol w:w="534"/>
        <w:gridCol w:w="868"/>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sz w:val="22"/>
              </w:rPr>
            </w:pPr>
          </w:p>
        </w:tc>
        <w:tc>
          <w:tcPr>
            <w:tcW w:w="1560" w:type="dxa"/>
            <w:gridSpan w:val="2"/>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tcBorders>
              <w:bottom w:val="single" w:sz="4" w:space="0" w:color="auto"/>
            </w:tcBorders>
            <w:vAlign w:val="center"/>
          </w:tcPr>
          <w:p>
            <w:pPr>
              <w:jc w:val="center"/>
              <w:rPr>
                <w:noProof/>
                <w:sz w:val="22"/>
              </w:rPr>
            </w:pPr>
            <w:r>
              <w:rPr>
                <w:b/>
                <w:bCs/>
                <w:noProof/>
                <w:sz w:val="20"/>
              </w:rPr>
              <w:t>2020</w:t>
            </w:r>
          </w:p>
          <w:p>
            <w:pPr>
              <w:jc w:val="center"/>
              <w:rPr>
                <w:noProof/>
                <w:sz w:val="20"/>
              </w:rPr>
            </w:pPr>
            <w:r>
              <w:rPr>
                <w:noProof/>
                <w:sz w:val="20"/>
              </w:rPr>
              <w:t>metai</w:t>
            </w:r>
          </w:p>
        </w:tc>
        <w:tc>
          <w:tcPr>
            <w:tcW w:w="868" w:type="dxa"/>
            <w:tcBorders>
              <w:bottom w:val="single" w:sz="4" w:space="0" w:color="auto"/>
            </w:tcBorders>
            <w:vAlign w:val="center"/>
          </w:tcPr>
          <w:p>
            <w:pPr>
              <w:jc w:val="center"/>
              <w:rPr>
                <w:noProof/>
                <w:sz w:val="22"/>
              </w:rPr>
            </w:pPr>
            <w:r>
              <w:rPr>
                <w:b/>
                <w:bCs/>
                <w:noProof/>
                <w:sz w:val="20"/>
              </w:rPr>
              <w:t>2021</w:t>
            </w:r>
          </w:p>
          <w:p>
            <w:pPr>
              <w:jc w:val="center"/>
              <w:rPr>
                <w:noProof/>
                <w:sz w:val="20"/>
              </w:rPr>
            </w:pPr>
            <w:r>
              <w:rPr>
                <w:noProof/>
                <w:sz w:val="20"/>
              </w:rPr>
              <w:t>metai</w:t>
            </w:r>
          </w:p>
        </w:tc>
        <w:tc>
          <w:tcPr>
            <w:tcW w:w="868" w:type="dxa"/>
            <w:tcBorders>
              <w:bottom w:val="single" w:sz="4" w:space="0" w:color="auto"/>
            </w:tcBorders>
            <w:vAlign w:val="center"/>
          </w:tcPr>
          <w:p>
            <w:pPr>
              <w:jc w:val="center"/>
              <w:rPr>
                <w:noProof/>
                <w:sz w:val="22"/>
              </w:rPr>
            </w:pPr>
            <w:r>
              <w:rPr>
                <w:b/>
                <w:bCs/>
                <w:noProof/>
                <w:sz w:val="20"/>
              </w:rPr>
              <w:t>2022</w:t>
            </w:r>
          </w:p>
          <w:p>
            <w:pPr>
              <w:jc w:val="center"/>
              <w:rPr>
                <w:noProof/>
                <w:sz w:val="20"/>
              </w:rPr>
            </w:pPr>
            <w:r>
              <w:rPr>
                <w:noProof/>
                <w:sz w:val="20"/>
              </w:rPr>
              <w:t>metai</w:t>
            </w:r>
          </w:p>
        </w:tc>
        <w:tc>
          <w:tcPr>
            <w:tcW w:w="868" w:type="dxa"/>
            <w:tcBorders>
              <w:bottom w:val="single" w:sz="4" w:space="0" w:color="auto"/>
            </w:tcBorders>
          </w:tcPr>
          <w:p>
            <w:pPr>
              <w:jc w:val="center"/>
              <w:rPr>
                <w:noProof/>
                <w:sz w:val="20"/>
              </w:rPr>
            </w:pPr>
            <w:r>
              <w:rPr>
                <w:bCs/>
                <w:noProof/>
                <w:sz w:val="20"/>
              </w:rPr>
              <w:t>2023</w:t>
            </w:r>
            <w:r>
              <w:rPr>
                <w:noProof/>
                <w:sz w:val="20"/>
              </w:rPr>
              <w:t xml:space="preserve"> metai</w:t>
            </w:r>
          </w:p>
        </w:tc>
        <w:tc>
          <w:tcPr>
            <w:tcW w:w="868" w:type="dxa"/>
            <w:tcBorders>
              <w:bottom w:val="single" w:sz="4" w:space="0" w:color="auto"/>
            </w:tcBorders>
            <w:vAlign w:val="center"/>
          </w:tcPr>
          <w:p>
            <w:pPr>
              <w:jc w:val="center"/>
              <w:rPr>
                <w:noProof/>
                <w:sz w:val="22"/>
              </w:rPr>
            </w:pPr>
            <w:r>
              <w:rPr>
                <w:b/>
                <w:bCs/>
                <w:noProof/>
                <w:sz w:val="20"/>
              </w:rPr>
              <w:t>2024</w:t>
            </w:r>
          </w:p>
          <w:p>
            <w:pPr>
              <w:jc w:val="center"/>
              <w:rPr>
                <w:noProof/>
                <w:sz w:val="20"/>
              </w:rPr>
            </w:pPr>
            <w:r>
              <w:rPr>
                <w:noProof/>
                <w:sz w:val="20"/>
              </w:rPr>
              <w:t>metai</w:t>
            </w:r>
          </w:p>
        </w:tc>
        <w:tc>
          <w:tcPr>
            <w:tcW w:w="868" w:type="dxa"/>
            <w:tcBorders>
              <w:bottom w:val="single" w:sz="4" w:space="0" w:color="auto"/>
            </w:tcBorders>
            <w:vAlign w:val="center"/>
          </w:tcPr>
          <w:p>
            <w:pPr>
              <w:jc w:val="center"/>
              <w:rPr>
                <w:noProof/>
                <w:sz w:val="18"/>
              </w:rPr>
            </w:pPr>
            <w:r>
              <w:rPr>
                <w:noProof/>
                <w:sz w:val="18"/>
              </w:rPr>
              <w:t>2025 metai</w:t>
            </w:r>
          </w:p>
        </w:tc>
        <w:tc>
          <w:tcPr>
            <w:tcW w:w="868" w:type="dxa"/>
            <w:tcBorders>
              <w:bottom w:val="single" w:sz="4" w:space="0" w:color="auto"/>
            </w:tcBorders>
            <w:vAlign w:val="center"/>
          </w:tcPr>
          <w:p>
            <w:pPr>
              <w:jc w:val="center"/>
              <w:rPr>
                <w:b/>
                <w:noProof/>
                <w:sz w:val="18"/>
              </w:rPr>
            </w:pPr>
            <w:r>
              <w:rPr>
                <w:noProof/>
                <w:sz w:val="18"/>
              </w:rPr>
              <w:t>2026 metai</w:t>
            </w:r>
          </w:p>
        </w:tc>
        <w:tc>
          <w:tcPr>
            <w:tcW w:w="868" w:type="dxa"/>
            <w:vAlign w:val="center"/>
          </w:tcPr>
          <w:p>
            <w:pPr>
              <w:jc w:val="center"/>
              <w:rPr>
                <w:b/>
                <w:noProof/>
                <w:sz w:val="18"/>
              </w:rPr>
            </w:pPr>
            <w:r>
              <w:rPr>
                <w:noProof/>
                <w:sz w:val="18"/>
              </w:rPr>
              <w:t>2027 metai</w:t>
            </w:r>
          </w:p>
        </w:tc>
        <w:tc>
          <w:tcPr>
            <w:tcW w:w="1777" w:type="dxa"/>
            <w:vAlign w:val="center"/>
          </w:tcPr>
          <w:p>
            <w:pPr>
              <w:jc w:val="center"/>
              <w:rPr>
                <w:b/>
                <w:noProof/>
                <w:sz w:val="20"/>
              </w:rPr>
            </w:pPr>
            <w:r>
              <w:rPr>
                <w:b/>
                <w:noProof/>
                <w:sz w:val="20"/>
              </w:rPr>
              <w:t>IŠ VISO</w:t>
            </w:r>
          </w:p>
        </w:tc>
      </w:tr>
      <w:tr>
        <w:trPr>
          <w:gridAfter w:val="11"/>
          <w:wAfter w:w="9947" w:type="dxa"/>
        </w:trPr>
        <w:tc>
          <w:tcPr>
            <w:tcW w:w="3960" w:type="dxa"/>
            <w:vAlign w:val="center"/>
          </w:tcPr>
          <w:p>
            <w:pPr>
              <w:spacing w:before="60" w:after="60"/>
              <w:jc w:val="center"/>
              <w:rPr>
                <w:noProof/>
                <w:sz w:val="22"/>
              </w:rPr>
            </w:pPr>
            <w:r>
              <w:rPr>
                <w:noProof/>
                <w:sz w:val="22"/>
              </w:rPr>
              <w:t>ECFIN GD</w:t>
            </w:r>
          </w:p>
        </w:tc>
        <w:tc>
          <w:tcPr>
            <w:tcW w:w="868" w:type="dxa"/>
          </w:tcPr>
          <w:p>
            <w:pPr>
              <w:spacing w:before="60" w:after="60"/>
              <w:jc w:val="center"/>
              <w:rPr>
                <w:noProof/>
                <w:sz w:val="22"/>
              </w:rPr>
            </w:pPr>
          </w:p>
        </w:tc>
      </w:tr>
      <w:tr>
        <w:trPr>
          <w:trHeight w:val="313"/>
        </w:trPr>
        <w:tc>
          <w:tcPr>
            <w:tcW w:w="6054" w:type="dxa"/>
            <w:gridSpan w:val="4"/>
            <w:vAlign w:val="center"/>
          </w:tcPr>
          <w:p>
            <w:pPr>
              <w:spacing w:before="20" w:after="20"/>
              <w:rPr>
                <w:noProof/>
                <w:sz w:val="22"/>
              </w:rPr>
            </w:pPr>
            <w:r>
              <w:rPr>
                <w:noProof/>
                <w:sz w:val="22"/>
              </w:rPr>
              <w:sym w:font="Wingdings" w:char="F09F"/>
            </w:r>
            <w:r>
              <w:rPr>
                <w:noProof/>
                <w:sz w:val="22"/>
              </w:rPr>
              <w:t xml:space="preserve"> Žmogiškieji ištekliai </w:t>
            </w: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center"/>
              <w:rPr>
                <w:b/>
                <w:noProof/>
                <w:sz w:val="20"/>
              </w:rPr>
            </w:pPr>
          </w:p>
        </w:tc>
      </w:tr>
      <w:tr>
        <w:trPr>
          <w:trHeight w:val="351"/>
        </w:trPr>
        <w:tc>
          <w:tcPr>
            <w:tcW w:w="6054" w:type="dxa"/>
            <w:gridSpan w:val="4"/>
            <w:vAlign w:val="center"/>
          </w:tcPr>
          <w:p>
            <w:pPr>
              <w:spacing w:before="20" w:after="20"/>
              <w:rPr>
                <w:noProof/>
                <w:sz w:val="22"/>
              </w:rPr>
            </w:pPr>
            <w:r>
              <w:rPr>
                <w:noProof/>
                <w:sz w:val="22"/>
              </w:rPr>
              <w:sym w:font="Wingdings" w:char="F09F"/>
            </w:r>
            <w:r>
              <w:rPr>
                <w:noProof/>
                <w:sz w:val="22"/>
              </w:rPr>
              <w:t xml:space="preserve"> Kitos administracinės išlaidos </w:t>
            </w: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tcPr>
          <w:p>
            <w:pPr>
              <w:spacing w:before="20" w:after="20"/>
              <w:jc w:val="center"/>
              <w:rPr>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sz w:val="22"/>
              </w:rPr>
            </w:pPr>
            <w:r>
              <w:rPr>
                <w:b/>
                <w:noProof/>
                <w:sz w:val="22"/>
              </w:rPr>
              <w:t>IŠ VISO ECFIN GD</w:t>
            </w:r>
          </w:p>
        </w:tc>
        <w:tc>
          <w:tcPr>
            <w:tcW w:w="2094" w:type="dxa"/>
            <w:gridSpan w:val="3"/>
            <w:vAlign w:val="center"/>
          </w:tcPr>
          <w:p>
            <w:pPr>
              <w:rPr>
                <w:noProof/>
                <w:sz w:val="14"/>
              </w:rPr>
            </w:pPr>
            <w:r>
              <w:rPr>
                <w:noProof/>
                <w:sz w:val="18"/>
              </w:rPr>
              <w:t xml:space="preserve">Asignavimai </w:t>
            </w:r>
          </w:p>
        </w:tc>
        <w:tc>
          <w:tcPr>
            <w:tcW w:w="868" w:type="dxa"/>
            <w:vAlign w:val="center"/>
          </w:tcPr>
          <w:p>
            <w:pPr>
              <w:spacing w:before="60" w:after="6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center"/>
              <w:rPr>
                <w:b/>
                <w:noProof/>
                <w:sz w:val="20"/>
              </w:rPr>
            </w:pPr>
          </w:p>
        </w:tc>
      </w:tr>
    </w:tbl>
    <w:p>
      <w:pPr>
        <w:rPr>
          <w:noProof/>
        </w:rPr>
      </w:pPr>
    </w:p>
    <w:tbl>
      <w:tblPr>
        <w:tblW w:w="14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868"/>
        <w:gridCol w:w="1777"/>
      </w:tblGrid>
      <w:tr>
        <w:tc>
          <w:tcPr>
            <w:tcW w:w="3960" w:type="dxa"/>
            <w:shd w:val="thinDiagStripe" w:color="C0C0C0" w:fill="auto"/>
            <w:vAlign w:val="center"/>
          </w:tcPr>
          <w:p>
            <w:pPr>
              <w:spacing w:after="0"/>
              <w:jc w:val="center"/>
              <w:rPr>
                <w:noProof/>
                <w:sz w:val="22"/>
              </w:rPr>
            </w:pPr>
            <w:r>
              <w:rPr>
                <w:b/>
                <w:noProof/>
                <w:sz w:val="22"/>
              </w:rPr>
              <w:t>IŠ VISO asignavimų</w:t>
            </w:r>
          </w:p>
          <w:p>
            <w:pPr>
              <w:spacing w:after="0"/>
              <w:jc w:val="center"/>
              <w:rPr>
                <w:b/>
                <w:noProof/>
                <w:sz w:val="22"/>
              </w:rPr>
            </w:pPr>
            <w:r>
              <w:rPr>
                <w:noProof/>
                <w:sz w:val="22"/>
              </w:rPr>
              <w:t>pagal daugiametės finansinės programos</w:t>
            </w:r>
            <w:r>
              <w:rPr>
                <w:b/>
                <w:noProof/>
                <w:sz w:val="22"/>
              </w:rPr>
              <w:t xml:space="preserve"> </w:t>
            </w:r>
          </w:p>
          <w:p>
            <w:pPr>
              <w:spacing w:before="0"/>
              <w:jc w:val="center"/>
              <w:rPr>
                <w:noProof/>
                <w:sz w:val="22"/>
              </w:rPr>
            </w:pPr>
            <w:r>
              <w:rPr>
                <w:b/>
                <w:noProof/>
                <w:sz w:val="22"/>
              </w:rPr>
              <w:t>5 IŠLAIDŲ KATEGORIJĄ (2020 m.) arba</w:t>
            </w:r>
          </w:p>
          <w:p>
            <w:pPr>
              <w:spacing w:before="0"/>
              <w:jc w:val="center"/>
              <w:rPr>
                <w:b/>
                <w:noProof/>
                <w:sz w:val="22"/>
              </w:rPr>
            </w:pPr>
            <w:r>
              <w:rPr>
                <w:b/>
                <w:noProof/>
                <w:sz w:val="22"/>
              </w:rPr>
              <w:t xml:space="preserve">7 IŠLAIDŲ KATEGORIJĄ (2021-2027 m.) </w:t>
            </w:r>
          </w:p>
        </w:tc>
        <w:tc>
          <w:tcPr>
            <w:tcW w:w="2094" w:type="dxa"/>
            <w:vAlign w:val="center"/>
          </w:tcPr>
          <w:p>
            <w:pPr>
              <w:spacing w:before="40" w:after="40"/>
              <w:rPr>
                <w:noProof/>
                <w:sz w:val="22"/>
              </w:rPr>
            </w:pPr>
            <w:r>
              <w:rPr>
                <w:noProof/>
                <w:sz w:val="18"/>
              </w:rPr>
              <w:t>(Iš viso įsipareigojimų = Iš viso mokėjimų)</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center"/>
              <w:rPr>
                <w:b/>
                <w:noProof/>
                <w:sz w:val="20"/>
              </w:rPr>
            </w:pPr>
          </w:p>
        </w:tc>
      </w:tr>
    </w:tbl>
    <w:p>
      <w:pPr>
        <w:rPr>
          <w:noProof/>
        </w:rPr>
      </w:pPr>
    </w:p>
    <w:p>
      <w:pPr>
        <w:rPr>
          <w:noProof/>
        </w:rPr>
      </w:pPr>
    </w:p>
    <w:tbl>
      <w:tblPr>
        <w:tblW w:w="155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62"/>
        <w:gridCol w:w="1134"/>
        <w:gridCol w:w="868"/>
        <w:gridCol w:w="868"/>
        <w:gridCol w:w="868"/>
        <w:gridCol w:w="868"/>
        <w:gridCol w:w="868"/>
        <w:gridCol w:w="1046"/>
        <w:gridCol w:w="887"/>
        <w:gridCol w:w="1033"/>
        <w:gridCol w:w="1779"/>
      </w:tblGrid>
      <w:tr>
        <w:tc>
          <w:tcPr>
            <w:tcW w:w="3960" w:type="dxa"/>
            <w:vMerge w:val="restart"/>
            <w:shd w:val="thinDiagStripe" w:color="C0C0C0" w:fill="auto"/>
            <w:vAlign w:val="center"/>
          </w:tcPr>
          <w:p>
            <w:pPr>
              <w:spacing w:after="0"/>
              <w:jc w:val="center"/>
              <w:rPr>
                <w:noProof/>
                <w:sz w:val="22"/>
              </w:rPr>
            </w:pPr>
            <w:r>
              <w:rPr>
                <w:b/>
                <w:noProof/>
                <w:sz w:val="22"/>
              </w:rPr>
              <w:t xml:space="preserve">IŠ VISO asignavimų </w:t>
            </w:r>
          </w:p>
          <w:p>
            <w:pPr>
              <w:spacing w:after="0"/>
              <w:jc w:val="center"/>
              <w:rPr>
                <w:noProof/>
                <w:sz w:val="22"/>
              </w:rPr>
            </w:pPr>
            <w:r>
              <w:rPr>
                <w:b/>
                <w:noProof/>
                <w:sz w:val="22"/>
              </w:rPr>
              <w:t xml:space="preserve">visose daugiametės finansinės programos </w:t>
            </w:r>
          </w:p>
          <w:p>
            <w:pPr>
              <w:spacing w:after="0"/>
              <w:jc w:val="center"/>
              <w:rPr>
                <w:b/>
                <w:noProof/>
                <w:sz w:val="22"/>
              </w:rPr>
            </w:pPr>
            <w:r>
              <w:rPr>
                <w:b/>
                <w:noProof/>
                <w:sz w:val="22"/>
              </w:rPr>
              <w:t>IŠLAIDŲ KATEGORIJOSE</w:t>
            </w:r>
          </w:p>
        </w:tc>
        <w:tc>
          <w:tcPr>
            <w:tcW w:w="1362" w:type="dxa"/>
            <w:vAlign w:val="center"/>
          </w:tcPr>
          <w:p>
            <w:pPr>
              <w:spacing w:before="40" w:after="40"/>
              <w:jc w:val="center"/>
              <w:rPr>
                <w:noProof/>
                <w:sz w:val="18"/>
              </w:rPr>
            </w:pPr>
          </w:p>
        </w:tc>
        <w:tc>
          <w:tcPr>
            <w:tcW w:w="1134" w:type="dxa"/>
            <w:vAlign w:val="center"/>
          </w:tcPr>
          <w:p>
            <w:pPr>
              <w:spacing w:before="20" w:after="20"/>
              <w:ind w:left="-111"/>
              <w:jc w:val="center"/>
              <w:rPr>
                <w:noProof/>
                <w:sz w:val="20"/>
              </w:rPr>
            </w:pPr>
            <w:r>
              <w:rPr>
                <w:noProof/>
                <w:sz w:val="20"/>
              </w:rPr>
              <w:t>2020 m.</w:t>
            </w:r>
          </w:p>
        </w:tc>
        <w:tc>
          <w:tcPr>
            <w:tcW w:w="868" w:type="dxa"/>
            <w:vAlign w:val="center"/>
          </w:tcPr>
          <w:p>
            <w:pPr>
              <w:spacing w:before="20" w:after="20"/>
              <w:ind w:left="-111"/>
              <w:jc w:val="center"/>
              <w:rPr>
                <w:noProof/>
                <w:sz w:val="20"/>
              </w:rPr>
            </w:pPr>
            <w:r>
              <w:rPr>
                <w:noProof/>
                <w:sz w:val="20"/>
              </w:rPr>
              <w:t>2021 m.</w:t>
            </w:r>
          </w:p>
        </w:tc>
        <w:tc>
          <w:tcPr>
            <w:tcW w:w="868" w:type="dxa"/>
            <w:vAlign w:val="center"/>
          </w:tcPr>
          <w:p>
            <w:pPr>
              <w:spacing w:before="20" w:after="20"/>
              <w:ind w:left="-111"/>
              <w:jc w:val="center"/>
              <w:rPr>
                <w:noProof/>
                <w:sz w:val="20"/>
              </w:rPr>
            </w:pPr>
            <w:r>
              <w:rPr>
                <w:noProof/>
                <w:sz w:val="20"/>
              </w:rPr>
              <w:t>2022 m.</w:t>
            </w:r>
          </w:p>
        </w:tc>
        <w:tc>
          <w:tcPr>
            <w:tcW w:w="868" w:type="dxa"/>
            <w:vAlign w:val="center"/>
          </w:tcPr>
          <w:p>
            <w:pPr>
              <w:spacing w:before="20" w:after="20"/>
              <w:ind w:left="-111"/>
              <w:jc w:val="center"/>
              <w:rPr>
                <w:noProof/>
                <w:sz w:val="20"/>
              </w:rPr>
            </w:pPr>
            <w:r>
              <w:rPr>
                <w:noProof/>
                <w:sz w:val="20"/>
              </w:rPr>
              <w:t>2023 m.</w:t>
            </w:r>
          </w:p>
        </w:tc>
        <w:tc>
          <w:tcPr>
            <w:tcW w:w="868" w:type="dxa"/>
            <w:vAlign w:val="center"/>
          </w:tcPr>
          <w:p>
            <w:pPr>
              <w:spacing w:before="20" w:after="20"/>
              <w:ind w:left="-111"/>
              <w:jc w:val="center"/>
              <w:rPr>
                <w:noProof/>
                <w:sz w:val="20"/>
              </w:rPr>
            </w:pPr>
            <w:r>
              <w:rPr>
                <w:noProof/>
                <w:sz w:val="20"/>
              </w:rPr>
              <w:t>2024 m.</w:t>
            </w:r>
          </w:p>
        </w:tc>
        <w:tc>
          <w:tcPr>
            <w:tcW w:w="868" w:type="dxa"/>
            <w:vAlign w:val="center"/>
          </w:tcPr>
          <w:p>
            <w:pPr>
              <w:spacing w:before="20" w:after="20"/>
              <w:ind w:left="-111"/>
              <w:jc w:val="center"/>
              <w:rPr>
                <w:noProof/>
                <w:sz w:val="20"/>
              </w:rPr>
            </w:pPr>
            <w:r>
              <w:rPr>
                <w:noProof/>
                <w:sz w:val="20"/>
              </w:rPr>
              <w:t>2025 m.</w:t>
            </w:r>
          </w:p>
        </w:tc>
        <w:tc>
          <w:tcPr>
            <w:tcW w:w="1046" w:type="dxa"/>
            <w:vAlign w:val="center"/>
          </w:tcPr>
          <w:p>
            <w:pPr>
              <w:spacing w:before="20" w:after="20"/>
              <w:ind w:left="-111"/>
              <w:jc w:val="center"/>
              <w:rPr>
                <w:noProof/>
                <w:sz w:val="20"/>
              </w:rPr>
            </w:pPr>
            <w:r>
              <w:rPr>
                <w:noProof/>
                <w:sz w:val="20"/>
              </w:rPr>
              <w:t>2026 m.</w:t>
            </w:r>
          </w:p>
        </w:tc>
        <w:tc>
          <w:tcPr>
            <w:tcW w:w="887" w:type="dxa"/>
            <w:vAlign w:val="center"/>
          </w:tcPr>
          <w:p>
            <w:pPr>
              <w:spacing w:before="20" w:after="20"/>
              <w:ind w:left="-111"/>
              <w:jc w:val="center"/>
              <w:rPr>
                <w:noProof/>
                <w:sz w:val="20"/>
              </w:rPr>
            </w:pPr>
            <w:r>
              <w:rPr>
                <w:noProof/>
                <w:sz w:val="20"/>
              </w:rPr>
              <w:t>2027 m.</w:t>
            </w:r>
          </w:p>
        </w:tc>
        <w:tc>
          <w:tcPr>
            <w:tcW w:w="1033" w:type="dxa"/>
            <w:vAlign w:val="center"/>
          </w:tcPr>
          <w:p>
            <w:pPr>
              <w:spacing w:before="20" w:after="20"/>
              <w:ind w:left="-111"/>
              <w:jc w:val="center"/>
              <w:rPr>
                <w:noProof/>
                <w:sz w:val="20"/>
              </w:rPr>
            </w:pPr>
            <w:r>
              <w:rPr>
                <w:noProof/>
                <w:sz w:val="20"/>
              </w:rPr>
              <w:t>Po 2027 m.</w:t>
            </w:r>
          </w:p>
        </w:tc>
        <w:tc>
          <w:tcPr>
            <w:tcW w:w="1779" w:type="dxa"/>
            <w:vAlign w:val="center"/>
          </w:tcPr>
          <w:p>
            <w:pPr>
              <w:spacing w:before="20" w:after="20"/>
              <w:ind w:left="-111"/>
              <w:jc w:val="center"/>
              <w:rPr>
                <w:noProof/>
                <w:sz w:val="20"/>
              </w:rPr>
            </w:pPr>
            <w:r>
              <w:rPr>
                <w:noProof/>
                <w:sz w:val="20"/>
              </w:rPr>
              <w:t>Iš viso</w:t>
            </w:r>
          </w:p>
        </w:tc>
      </w:tr>
      <w:tr>
        <w:tc>
          <w:tcPr>
            <w:tcW w:w="3960" w:type="dxa"/>
            <w:vMerge/>
            <w:shd w:val="thinDiagStripe" w:color="C0C0C0" w:fill="auto"/>
            <w:vAlign w:val="center"/>
          </w:tcPr>
          <w:p>
            <w:pPr>
              <w:spacing w:after="0"/>
              <w:jc w:val="center"/>
              <w:rPr>
                <w:b/>
                <w:noProof/>
                <w:sz w:val="22"/>
              </w:rPr>
            </w:pPr>
          </w:p>
        </w:tc>
        <w:tc>
          <w:tcPr>
            <w:tcW w:w="1362" w:type="dxa"/>
            <w:vAlign w:val="center"/>
          </w:tcPr>
          <w:p>
            <w:pPr>
              <w:spacing w:before="40" w:after="40"/>
              <w:jc w:val="center"/>
              <w:rPr>
                <w:noProof/>
                <w:sz w:val="18"/>
              </w:rPr>
            </w:pPr>
            <w:r>
              <w:rPr>
                <w:noProof/>
                <w:sz w:val="18"/>
              </w:rPr>
              <w:t>Įsipareigojimai</w:t>
            </w:r>
          </w:p>
        </w:tc>
        <w:tc>
          <w:tcPr>
            <w:tcW w:w="1134"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1046" w:type="dxa"/>
            <w:vAlign w:val="center"/>
          </w:tcPr>
          <w:p>
            <w:pPr>
              <w:spacing w:before="20" w:after="20"/>
              <w:jc w:val="center"/>
              <w:rPr>
                <w:b/>
                <w:noProof/>
                <w:sz w:val="20"/>
              </w:rPr>
            </w:pPr>
          </w:p>
        </w:tc>
        <w:tc>
          <w:tcPr>
            <w:tcW w:w="887" w:type="dxa"/>
            <w:vAlign w:val="center"/>
          </w:tcPr>
          <w:p>
            <w:pPr>
              <w:spacing w:before="20" w:after="20"/>
              <w:jc w:val="center"/>
              <w:rPr>
                <w:b/>
                <w:noProof/>
                <w:sz w:val="20"/>
              </w:rPr>
            </w:pPr>
          </w:p>
        </w:tc>
        <w:tc>
          <w:tcPr>
            <w:tcW w:w="1033" w:type="dxa"/>
            <w:vAlign w:val="center"/>
          </w:tcPr>
          <w:p>
            <w:pPr>
              <w:spacing w:before="20" w:after="20"/>
              <w:jc w:val="center"/>
              <w:rPr>
                <w:b/>
                <w:noProof/>
                <w:sz w:val="20"/>
              </w:rPr>
            </w:pPr>
          </w:p>
        </w:tc>
        <w:tc>
          <w:tcPr>
            <w:tcW w:w="1779" w:type="dxa"/>
            <w:vAlign w:val="center"/>
          </w:tcPr>
          <w:p>
            <w:pPr>
              <w:spacing w:before="20" w:after="20"/>
              <w:jc w:val="center"/>
              <w:rPr>
                <w:b/>
                <w:noProof/>
                <w:sz w:val="20"/>
              </w:rPr>
            </w:pPr>
          </w:p>
        </w:tc>
      </w:tr>
      <w:tr>
        <w:tc>
          <w:tcPr>
            <w:tcW w:w="3960" w:type="dxa"/>
            <w:vMerge/>
            <w:shd w:val="thinDiagStripe" w:color="C0C0C0" w:fill="auto"/>
            <w:vAlign w:val="center"/>
          </w:tcPr>
          <w:p>
            <w:pPr>
              <w:spacing w:after="0"/>
              <w:jc w:val="center"/>
              <w:rPr>
                <w:b/>
                <w:noProof/>
                <w:sz w:val="22"/>
              </w:rPr>
            </w:pPr>
          </w:p>
        </w:tc>
        <w:tc>
          <w:tcPr>
            <w:tcW w:w="1362" w:type="dxa"/>
            <w:vAlign w:val="center"/>
          </w:tcPr>
          <w:p>
            <w:pPr>
              <w:spacing w:before="40" w:after="40"/>
              <w:jc w:val="center"/>
              <w:rPr>
                <w:noProof/>
                <w:sz w:val="18"/>
              </w:rPr>
            </w:pPr>
            <w:r>
              <w:rPr>
                <w:noProof/>
                <w:sz w:val="18"/>
              </w:rPr>
              <w:t>Mokėjimai</w:t>
            </w:r>
          </w:p>
        </w:tc>
        <w:tc>
          <w:tcPr>
            <w:tcW w:w="1134"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1046" w:type="dxa"/>
            <w:vAlign w:val="center"/>
          </w:tcPr>
          <w:p>
            <w:pPr>
              <w:spacing w:before="20" w:after="20"/>
              <w:jc w:val="center"/>
              <w:rPr>
                <w:b/>
                <w:noProof/>
                <w:sz w:val="20"/>
              </w:rPr>
            </w:pPr>
          </w:p>
        </w:tc>
        <w:tc>
          <w:tcPr>
            <w:tcW w:w="887" w:type="dxa"/>
            <w:vAlign w:val="center"/>
          </w:tcPr>
          <w:p>
            <w:pPr>
              <w:spacing w:before="20" w:after="20"/>
              <w:jc w:val="center"/>
              <w:rPr>
                <w:b/>
                <w:noProof/>
                <w:sz w:val="20"/>
              </w:rPr>
            </w:pPr>
          </w:p>
        </w:tc>
        <w:tc>
          <w:tcPr>
            <w:tcW w:w="1033" w:type="dxa"/>
            <w:vAlign w:val="center"/>
          </w:tcPr>
          <w:p>
            <w:pPr>
              <w:spacing w:before="20" w:after="20"/>
              <w:jc w:val="center"/>
              <w:rPr>
                <w:b/>
                <w:noProof/>
                <w:sz w:val="20"/>
              </w:rPr>
            </w:pPr>
          </w:p>
        </w:tc>
        <w:tc>
          <w:tcPr>
            <w:tcW w:w="1779" w:type="dxa"/>
            <w:vAlign w:val="center"/>
          </w:tcPr>
          <w:p>
            <w:pPr>
              <w:spacing w:before="20" w:after="20"/>
              <w:jc w:val="center"/>
              <w:rPr>
                <w:b/>
                <w:noProof/>
                <w:sz w:val="20"/>
              </w:rPr>
            </w:pPr>
          </w:p>
          <w:p>
            <w:pPr>
              <w:spacing w:before="20" w:after="20"/>
              <w:jc w:val="center"/>
              <w:rPr>
                <w:b/>
                <w:noProof/>
                <w:sz w:val="20"/>
              </w:rPr>
            </w:pP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pStyle w:val="ManualHeading3"/>
        <w:rPr>
          <w:noProof/>
          <w:szCs w:val="24"/>
        </w:rPr>
      </w:pPr>
      <w:r>
        <w:rPr>
          <w:noProof/>
        </w:rPr>
        <w:t>3.2.2.</w:t>
      </w:r>
      <w:r>
        <w:rPr>
          <w:noProof/>
        </w:rPr>
        <w:tab/>
        <w:t>Numatomas poveikis administracinio pobūdžio asignavimams</w:t>
      </w:r>
    </w:p>
    <w:p>
      <w:pPr>
        <w:pStyle w:val="ManualHeading4"/>
        <w:rPr>
          <w:noProof/>
        </w:rPr>
      </w:pPr>
      <w:r>
        <w:rPr>
          <w:noProof/>
        </w:rPr>
        <w:t>3.2.2.1.</w:t>
      </w:r>
      <w:r>
        <w:rPr>
          <w:noProof/>
        </w:rPr>
        <w:tab/>
        <w:t xml:space="preserve">Santrauka </w:t>
      </w:r>
    </w:p>
    <w:p>
      <w:pPr>
        <w:pStyle w:val="ListDash1"/>
        <w:rPr>
          <w:noProof/>
        </w:rPr>
      </w:pPr>
      <w:r>
        <w:rPr>
          <w:noProof/>
        </w:rPr>
        <w:sym w:font="Wingdings" w:char="F0A8"/>
      </w:r>
      <w:r>
        <w:rPr>
          <w:noProof/>
        </w:rPr>
        <w:tab/>
        <w:t xml:space="preserve">Pasiūlymui (iniciatyvai) įgyvendinti administracinio pobūdžio asignavimų nenaudojama </w:t>
      </w:r>
    </w:p>
    <w:p>
      <w:pPr>
        <w:pStyle w:val="ListDash1"/>
        <w:rPr>
          <w:noProof/>
        </w:rPr>
      </w:pPr>
      <w:r>
        <w:rPr>
          <w:noProof/>
        </w:rPr>
        <w:t>X</w:t>
      </w:r>
      <w:r>
        <w:rPr>
          <w:noProof/>
        </w:rPr>
        <w:tab/>
        <w:t>Pasiūlymui (iniciatyvai) įgyvendinti administracinio pobūdžio asignavimai naudojami taip:</w:t>
      </w:r>
    </w:p>
    <w:p>
      <w:pPr>
        <w:rPr>
          <w:noProof/>
          <w:sz w:val="20"/>
        </w:rPr>
      </w:pPr>
      <w:r>
        <w:rPr>
          <w:noProof/>
          <w:sz w:val="20"/>
        </w:rPr>
        <w:t>mln. EUR (tūkstantųjų tikslumu)</w:t>
      </w:r>
    </w:p>
    <w:tbl>
      <w:tblPr>
        <w:tblW w:w="10501"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08"/>
        <w:gridCol w:w="851"/>
        <w:gridCol w:w="992"/>
        <w:gridCol w:w="851"/>
        <w:gridCol w:w="850"/>
        <w:gridCol w:w="851"/>
        <w:gridCol w:w="850"/>
        <w:gridCol w:w="851"/>
        <w:gridCol w:w="1417"/>
      </w:tblGrid>
      <w:tr>
        <w:trPr>
          <w:trHeight w:val="585"/>
        </w:trPr>
        <w:tc>
          <w:tcPr>
            <w:tcW w:w="1980" w:type="dxa"/>
          </w:tcPr>
          <w:p>
            <w:pPr>
              <w:spacing w:before="60" w:after="60" w:line="200" w:lineRule="exact"/>
              <w:rPr>
                <w:noProof/>
                <w:sz w:val="16"/>
                <w:szCs w:val="16"/>
              </w:rPr>
            </w:pPr>
          </w:p>
        </w:tc>
        <w:tc>
          <w:tcPr>
            <w:tcW w:w="1008" w:type="dxa"/>
            <w:vAlign w:val="center"/>
          </w:tcPr>
          <w:p>
            <w:pPr>
              <w:spacing w:before="60" w:after="60" w:line="200" w:lineRule="exact"/>
              <w:jc w:val="center"/>
              <w:rPr>
                <w:noProof/>
                <w:sz w:val="22"/>
              </w:rPr>
            </w:pPr>
            <w:r>
              <w:rPr>
                <w:b/>
                <w:noProof/>
                <w:sz w:val="16"/>
              </w:rPr>
              <w:t>2020</w:t>
            </w:r>
          </w:p>
          <w:p>
            <w:pPr>
              <w:spacing w:before="60" w:after="60" w:line="200" w:lineRule="exact"/>
              <w:jc w:val="center"/>
              <w:rPr>
                <w:noProof/>
                <w:sz w:val="16"/>
                <w:szCs w:val="16"/>
              </w:rPr>
            </w:pPr>
            <w:r>
              <w:rPr>
                <w:noProof/>
                <w:sz w:val="16"/>
              </w:rPr>
              <w:t>metai</w:t>
            </w:r>
          </w:p>
        </w:tc>
        <w:tc>
          <w:tcPr>
            <w:tcW w:w="851" w:type="dxa"/>
            <w:vAlign w:val="center"/>
          </w:tcPr>
          <w:p>
            <w:pPr>
              <w:spacing w:before="60" w:after="60" w:line="200" w:lineRule="exact"/>
              <w:jc w:val="center"/>
              <w:rPr>
                <w:noProof/>
                <w:sz w:val="22"/>
              </w:rPr>
            </w:pPr>
            <w:r>
              <w:rPr>
                <w:b/>
                <w:noProof/>
                <w:sz w:val="16"/>
              </w:rPr>
              <w:t>2021</w:t>
            </w:r>
          </w:p>
          <w:p>
            <w:pPr>
              <w:spacing w:before="60" w:after="60" w:line="200" w:lineRule="exact"/>
              <w:jc w:val="center"/>
              <w:rPr>
                <w:noProof/>
                <w:sz w:val="16"/>
                <w:szCs w:val="16"/>
              </w:rPr>
            </w:pPr>
            <w:r>
              <w:rPr>
                <w:noProof/>
                <w:sz w:val="16"/>
              </w:rPr>
              <w:t>metai</w:t>
            </w:r>
          </w:p>
        </w:tc>
        <w:tc>
          <w:tcPr>
            <w:tcW w:w="992" w:type="dxa"/>
            <w:vAlign w:val="center"/>
          </w:tcPr>
          <w:p>
            <w:pPr>
              <w:spacing w:before="60" w:after="60" w:line="200" w:lineRule="exact"/>
              <w:jc w:val="center"/>
              <w:rPr>
                <w:noProof/>
                <w:sz w:val="22"/>
              </w:rPr>
            </w:pPr>
            <w:r>
              <w:rPr>
                <w:b/>
                <w:noProof/>
                <w:sz w:val="16"/>
              </w:rPr>
              <w:t>2022</w:t>
            </w:r>
          </w:p>
          <w:p>
            <w:pPr>
              <w:spacing w:before="60" w:after="60" w:line="200" w:lineRule="exact"/>
              <w:jc w:val="center"/>
              <w:rPr>
                <w:noProof/>
                <w:sz w:val="16"/>
                <w:szCs w:val="16"/>
              </w:rPr>
            </w:pPr>
            <w:r>
              <w:rPr>
                <w:noProof/>
                <w:sz w:val="16"/>
              </w:rPr>
              <w:t>metai</w:t>
            </w:r>
          </w:p>
        </w:tc>
        <w:tc>
          <w:tcPr>
            <w:tcW w:w="851" w:type="dxa"/>
          </w:tcPr>
          <w:p>
            <w:pPr>
              <w:spacing w:before="60" w:after="60" w:line="200" w:lineRule="exact"/>
              <w:jc w:val="center"/>
              <w:rPr>
                <w:noProof/>
                <w:sz w:val="22"/>
              </w:rPr>
            </w:pPr>
            <w:r>
              <w:rPr>
                <w:b/>
                <w:noProof/>
                <w:sz w:val="16"/>
              </w:rPr>
              <w:t>2023</w:t>
            </w:r>
          </w:p>
          <w:p>
            <w:pPr>
              <w:spacing w:before="60" w:after="60" w:line="200" w:lineRule="exact"/>
              <w:jc w:val="center"/>
              <w:rPr>
                <w:noProof/>
                <w:sz w:val="16"/>
              </w:rPr>
            </w:pPr>
            <w:r>
              <w:rPr>
                <w:noProof/>
                <w:sz w:val="16"/>
              </w:rPr>
              <w:t>metai</w:t>
            </w:r>
          </w:p>
        </w:tc>
        <w:tc>
          <w:tcPr>
            <w:tcW w:w="850" w:type="dxa"/>
            <w:vAlign w:val="center"/>
          </w:tcPr>
          <w:p>
            <w:pPr>
              <w:spacing w:before="60" w:after="60" w:line="200" w:lineRule="exact"/>
              <w:jc w:val="center"/>
              <w:rPr>
                <w:noProof/>
                <w:sz w:val="22"/>
              </w:rPr>
            </w:pPr>
            <w:r>
              <w:rPr>
                <w:b/>
                <w:noProof/>
                <w:sz w:val="16"/>
              </w:rPr>
              <w:t>2024</w:t>
            </w:r>
          </w:p>
          <w:p>
            <w:pPr>
              <w:spacing w:before="60" w:after="60" w:line="200" w:lineRule="exact"/>
              <w:jc w:val="center"/>
              <w:rPr>
                <w:noProof/>
                <w:sz w:val="16"/>
                <w:szCs w:val="16"/>
              </w:rPr>
            </w:pPr>
            <w:r>
              <w:rPr>
                <w:noProof/>
                <w:sz w:val="16"/>
              </w:rPr>
              <w:t>metai</w:t>
            </w:r>
          </w:p>
        </w:tc>
        <w:tc>
          <w:tcPr>
            <w:tcW w:w="851" w:type="dxa"/>
            <w:vAlign w:val="center"/>
          </w:tcPr>
          <w:p>
            <w:pPr>
              <w:spacing w:line="200" w:lineRule="exact"/>
              <w:jc w:val="center"/>
              <w:rPr>
                <w:noProof/>
                <w:sz w:val="22"/>
              </w:rPr>
            </w:pPr>
            <w:r>
              <w:rPr>
                <w:b/>
                <w:noProof/>
                <w:sz w:val="16"/>
              </w:rPr>
              <w:t>2025</w:t>
            </w:r>
          </w:p>
          <w:p>
            <w:pPr>
              <w:spacing w:line="200" w:lineRule="exact"/>
              <w:jc w:val="center"/>
              <w:rPr>
                <w:b/>
                <w:noProof/>
                <w:sz w:val="16"/>
                <w:szCs w:val="16"/>
              </w:rPr>
            </w:pPr>
            <w:r>
              <w:rPr>
                <w:noProof/>
                <w:sz w:val="16"/>
              </w:rPr>
              <w:t>metai</w:t>
            </w:r>
          </w:p>
        </w:tc>
        <w:tc>
          <w:tcPr>
            <w:tcW w:w="850" w:type="dxa"/>
            <w:vAlign w:val="center"/>
          </w:tcPr>
          <w:p>
            <w:pPr>
              <w:spacing w:line="200" w:lineRule="exact"/>
              <w:jc w:val="center"/>
              <w:rPr>
                <w:noProof/>
                <w:sz w:val="22"/>
              </w:rPr>
            </w:pPr>
            <w:r>
              <w:rPr>
                <w:b/>
                <w:noProof/>
                <w:sz w:val="16"/>
              </w:rPr>
              <w:t>2026</w:t>
            </w:r>
          </w:p>
          <w:p>
            <w:pPr>
              <w:spacing w:line="200" w:lineRule="exact"/>
              <w:jc w:val="center"/>
              <w:rPr>
                <w:b/>
                <w:noProof/>
                <w:sz w:val="16"/>
                <w:szCs w:val="16"/>
              </w:rPr>
            </w:pPr>
            <w:r>
              <w:rPr>
                <w:noProof/>
                <w:sz w:val="16"/>
              </w:rPr>
              <w:t>metai</w:t>
            </w:r>
          </w:p>
        </w:tc>
        <w:tc>
          <w:tcPr>
            <w:tcW w:w="851" w:type="dxa"/>
            <w:vAlign w:val="center"/>
          </w:tcPr>
          <w:p>
            <w:pPr>
              <w:spacing w:line="200" w:lineRule="exact"/>
              <w:jc w:val="center"/>
              <w:rPr>
                <w:noProof/>
                <w:sz w:val="22"/>
              </w:rPr>
            </w:pPr>
            <w:r>
              <w:rPr>
                <w:b/>
                <w:noProof/>
                <w:sz w:val="16"/>
              </w:rPr>
              <w:t>2027</w:t>
            </w:r>
          </w:p>
          <w:p>
            <w:pPr>
              <w:spacing w:line="200" w:lineRule="exact"/>
              <w:jc w:val="center"/>
              <w:rPr>
                <w:b/>
                <w:noProof/>
                <w:sz w:val="16"/>
                <w:szCs w:val="16"/>
              </w:rPr>
            </w:pPr>
            <w:r>
              <w:rPr>
                <w:noProof/>
                <w:sz w:val="16"/>
              </w:rPr>
              <w:t>metai</w:t>
            </w:r>
          </w:p>
        </w:tc>
        <w:tc>
          <w:tcPr>
            <w:tcW w:w="1417" w:type="dxa"/>
            <w:vAlign w:val="center"/>
          </w:tcPr>
          <w:p>
            <w:pPr>
              <w:spacing w:before="60" w:after="60" w:line="200" w:lineRule="exact"/>
              <w:jc w:val="center"/>
              <w:rPr>
                <w:b/>
                <w:noProof/>
                <w:sz w:val="16"/>
                <w:szCs w:val="16"/>
              </w:rPr>
            </w:pPr>
            <w:r>
              <w:rPr>
                <w:b/>
                <w:noProof/>
                <w:sz w:val="16"/>
              </w:rPr>
              <w:t>IŠ VISO</w:t>
            </w:r>
          </w:p>
        </w:tc>
      </w:tr>
      <w:tr>
        <w:trPr>
          <w:trHeight w:val="585"/>
        </w:trPr>
        <w:tc>
          <w:tcPr>
            <w:tcW w:w="1980" w:type="dxa"/>
            <w:shd w:val="clear" w:color="auto" w:fill="CCCCCC"/>
            <w:vAlign w:val="center"/>
          </w:tcPr>
          <w:p>
            <w:pPr>
              <w:spacing w:before="60" w:after="60" w:line="200" w:lineRule="exact"/>
              <w:jc w:val="center"/>
              <w:rPr>
                <w:noProof/>
                <w:sz w:val="22"/>
              </w:rPr>
            </w:pPr>
            <w:r>
              <w:rPr>
                <w:b/>
                <w:noProof/>
                <w:sz w:val="16"/>
              </w:rPr>
              <w:t>Daugiametės finansinės programos</w:t>
            </w:r>
          </w:p>
          <w:p>
            <w:pPr>
              <w:spacing w:before="60" w:after="60" w:line="200" w:lineRule="exact"/>
              <w:jc w:val="center"/>
              <w:rPr>
                <w:b/>
                <w:noProof/>
                <w:sz w:val="16"/>
                <w:szCs w:val="16"/>
              </w:rPr>
            </w:pPr>
            <w:r>
              <w:rPr>
                <w:b/>
                <w:noProof/>
                <w:sz w:val="16"/>
              </w:rPr>
              <w:t>5 (7) IŠLAIDŲ KATEGORIJA</w:t>
            </w:r>
          </w:p>
        </w:tc>
        <w:tc>
          <w:tcPr>
            <w:tcW w:w="1008"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noProof/>
                <w:sz w:val="16"/>
                <w:szCs w:val="16"/>
              </w:rPr>
            </w:pPr>
          </w:p>
        </w:tc>
        <w:tc>
          <w:tcPr>
            <w:tcW w:w="992" w:type="dxa"/>
            <w:vAlign w:val="center"/>
          </w:tcPr>
          <w:p>
            <w:pPr>
              <w:spacing w:before="60" w:after="60" w:line="200" w:lineRule="exact"/>
              <w:jc w:val="center"/>
              <w:rPr>
                <w:noProof/>
                <w:sz w:val="16"/>
                <w:szCs w:val="16"/>
              </w:rPr>
            </w:pPr>
          </w:p>
        </w:tc>
        <w:tc>
          <w:tcPr>
            <w:tcW w:w="851" w:type="dxa"/>
          </w:tcPr>
          <w:p>
            <w:pPr>
              <w:spacing w:before="60" w:after="60" w:line="200" w:lineRule="exact"/>
              <w:jc w:val="center"/>
              <w:rPr>
                <w:noProof/>
                <w:sz w:val="16"/>
                <w:szCs w:val="16"/>
              </w:rPr>
            </w:pPr>
          </w:p>
        </w:tc>
        <w:tc>
          <w:tcPr>
            <w:tcW w:w="850"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noProof/>
                <w:sz w:val="16"/>
                <w:szCs w:val="16"/>
              </w:rPr>
            </w:pPr>
          </w:p>
        </w:tc>
        <w:tc>
          <w:tcPr>
            <w:tcW w:w="850"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Žmogiškieji ištekliai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Kitos administracinės išlaidos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noProof/>
                <w:sz w:val="22"/>
              </w:rPr>
            </w:pPr>
            <w:r>
              <w:rPr>
                <w:b/>
                <w:noProof/>
                <w:sz w:val="16"/>
              </w:rPr>
              <w:t>Daugiametės finansinės programos</w:t>
            </w:r>
          </w:p>
          <w:p>
            <w:pPr>
              <w:spacing w:before="60" w:after="60" w:line="200" w:lineRule="exact"/>
              <w:jc w:val="center"/>
              <w:rPr>
                <w:b/>
                <w:noProof/>
                <w:sz w:val="16"/>
                <w:szCs w:val="16"/>
              </w:rPr>
            </w:pPr>
            <w:r>
              <w:rPr>
                <w:b/>
                <w:noProof/>
                <w:sz w:val="16"/>
              </w:rPr>
              <w:t xml:space="preserve">5 (7) IŠLAIDŲ KATEGORIJOS tarpinė suma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noProof/>
                <w:sz w:val="22"/>
              </w:rPr>
            </w:pPr>
            <w:r>
              <w:rPr>
                <w:b/>
                <w:noProof/>
                <w:sz w:val="16"/>
              </w:rPr>
              <w:t>Neįtraukta į daugiametės finansinės programos</w:t>
            </w:r>
          </w:p>
          <w:p>
            <w:pPr>
              <w:spacing w:before="60" w:after="60" w:line="200" w:lineRule="exact"/>
              <w:jc w:val="center"/>
              <w:rPr>
                <w:noProof/>
                <w:sz w:val="16"/>
                <w:szCs w:val="16"/>
              </w:rPr>
            </w:pPr>
            <w:r>
              <w:rPr>
                <w:b/>
                <w:noProof/>
                <w:sz w:val="16"/>
              </w:rPr>
              <w:t>5 (7) IŠLAIDŲ KATEGORIJĄ</w:t>
            </w:r>
            <w:r>
              <w:rPr>
                <w:rStyle w:val="FootnoteReference"/>
                <w:b/>
                <w:noProof/>
                <w:sz w:val="16"/>
              </w:rPr>
              <w:footnoteReference w:id="20"/>
            </w:r>
            <w:r>
              <w:rPr>
                <w:b/>
                <w:noProof/>
                <w:sz w:val="16"/>
              </w:rPr>
              <w:t xml:space="preserve"> </w:t>
            </w:r>
          </w:p>
          <w:p>
            <w:pPr>
              <w:spacing w:before="0" w:after="0" w:line="200" w:lineRule="exact"/>
              <w:jc w:val="center"/>
              <w:rPr>
                <w:b/>
                <w:noProof/>
                <w:sz w:val="16"/>
                <w:szCs w:val="16"/>
              </w:rPr>
            </w:pP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Žmogiškieji ištekliai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r>
              <w:rPr>
                <w:noProof/>
                <w:sz w:val="16"/>
                <w:szCs w:val="16"/>
              </w:rPr>
              <w:t>0,880</w:t>
            </w:r>
          </w:p>
        </w:tc>
        <w:tc>
          <w:tcPr>
            <w:tcW w:w="992" w:type="dxa"/>
            <w:vAlign w:val="center"/>
          </w:tcPr>
          <w:p>
            <w:pPr>
              <w:spacing w:before="60" w:after="60" w:line="200" w:lineRule="exact"/>
              <w:jc w:val="right"/>
              <w:rPr>
                <w:noProof/>
                <w:sz w:val="16"/>
                <w:szCs w:val="16"/>
              </w:rPr>
            </w:pPr>
            <w:r>
              <w:rPr>
                <w:noProof/>
                <w:sz w:val="16"/>
                <w:szCs w:val="16"/>
              </w:rPr>
              <w:t>0,880</w:t>
            </w:r>
          </w:p>
        </w:tc>
        <w:tc>
          <w:tcPr>
            <w:tcW w:w="851" w:type="dxa"/>
            <w:vAlign w:val="center"/>
          </w:tcPr>
          <w:p>
            <w:pPr>
              <w:spacing w:before="60" w:after="60" w:line="200" w:lineRule="exact"/>
              <w:jc w:val="right"/>
              <w:rPr>
                <w:noProof/>
                <w:sz w:val="16"/>
                <w:szCs w:val="16"/>
              </w:rPr>
            </w:pPr>
            <w:r>
              <w:rPr>
                <w:noProof/>
                <w:sz w:val="16"/>
                <w:szCs w:val="16"/>
              </w:rPr>
              <w:t>0,880</w:t>
            </w:r>
          </w:p>
        </w:tc>
        <w:tc>
          <w:tcPr>
            <w:tcW w:w="850" w:type="dxa"/>
            <w:vAlign w:val="center"/>
          </w:tcPr>
          <w:p>
            <w:pPr>
              <w:spacing w:before="60" w:after="60" w:line="200" w:lineRule="exact"/>
              <w:jc w:val="right"/>
              <w:rPr>
                <w:noProof/>
                <w:sz w:val="16"/>
                <w:szCs w:val="16"/>
              </w:rPr>
            </w:pPr>
            <w:r>
              <w:rPr>
                <w:noProof/>
                <w:sz w:val="16"/>
                <w:szCs w:val="16"/>
              </w:rPr>
              <w:t>0,720</w:t>
            </w:r>
          </w:p>
        </w:tc>
        <w:tc>
          <w:tcPr>
            <w:tcW w:w="851" w:type="dxa"/>
            <w:vAlign w:val="center"/>
          </w:tcPr>
          <w:p>
            <w:pPr>
              <w:spacing w:before="60" w:after="60" w:line="200" w:lineRule="exact"/>
              <w:jc w:val="right"/>
              <w:rPr>
                <w:noProof/>
                <w:sz w:val="16"/>
                <w:szCs w:val="16"/>
              </w:rPr>
            </w:pPr>
            <w:r>
              <w:rPr>
                <w:noProof/>
                <w:sz w:val="16"/>
                <w:szCs w:val="16"/>
              </w:rPr>
              <w:t>0,720</w:t>
            </w:r>
          </w:p>
        </w:tc>
        <w:tc>
          <w:tcPr>
            <w:tcW w:w="850" w:type="dxa"/>
            <w:vAlign w:val="center"/>
          </w:tcPr>
          <w:p>
            <w:pPr>
              <w:spacing w:before="60" w:after="60" w:line="200" w:lineRule="exact"/>
              <w:jc w:val="right"/>
              <w:rPr>
                <w:noProof/>
                <w:sz w:val="16"/>
                <w:szCs w:val="16"/>
              </w:rPr>
            </w:pPr>
            <w:r>
              <w:rPr>
                <w:noProof/>
                <w:sz w:val="16"/>
                <w:szCs w:val="16"/>
              </w:rPr>
              <w:t>0,720</w:t>
            </w:r>
          </w:p>
        </w:tc>
        <w:tc>
          <w:tcPr>
            <w:tcW w:w="851" w:type="dxa"/>
            <w:vAlign w:val="center"/>
          </w:tcPr>
          <w:p>
            <w:pPr>
              <w:spacing w:before="60" w:after="60" w:line="200" w:lineRule="exact"/>
              <w:jc w:val="right"/>
              <w:rPr>
                <w:noProof/>
                <w:sz w:val="16"/>
                <w:szCs w:val="16"/>
              </w:rPr>
            </w:pPr>
            <w:r>
              <w:rPr>
                <w:noProof/>
                <w:sz w:val="16"/>
                <w:szCs w:val="16"/>
              </w:rPr>
              <w:t>0,720</w:t>
            </w:r>
          </w:p>
        </w:tc>
        <w:tc>
          <w:tcPr>
            <w:tcW w:w="1417" w:type="dxa"/>
            <w:vAlign w:val="center"/>
          </w:tcPr>
          <w:p>
            <w:pPr>
              <w:spacing w:before="60" w:after="60" w:line="200" w:lineRule="exact"/>
              <w:jc w:val="center"/>
              <w:rPr>
                <w:b/>
                <w:noProof/>
                <w:sz w:val="16"/>
                <w:szCs w:val="16"/>
              </w:rPr>
            </w:pPr>
            <w:r>
              <w:rPr>
                <w:b/>
                <w:noProof/>
                <w:sz w:val="16"/>
                <w:szCs w:val="16"/>
              </w:rPr>
              <w:t>5,520</w:t>
            </w:r>
          </w:p>
        </w:tc>
      </w:tr>
      <w:tr>
        <w:trPr>
          <w:trHeight w:val="585"/>
        </w:trPr>
        <w:tc>
          <w:tcPr>
            <w:tcW w:w="1980" w:type="dxa"/>
            <w:vAlign w:val="center"/>
          </w:tcPr>
          <w:p>
            <w:pPr>
              <w:spacing w:before="60" w:after="60" w:line="200" w:lineRule="exact"/>
              <w:ind w:left="72"/>
              <w:jc w:val="left"/>
              <w:rPr>
                <w:noProof/>
                <w:sz w:val="22"/>
              </w:rPr>
            </w:pPr>
            <w:r>
              <w:rPr>
                <w:noProof/>
                <w:sz w:val="16"/>
              </w:rPr>
              <w:t xml:space="preserve">Kitos </w:t>
            </w:r>
          </w:p>
          <w:p>
            <w:pPr>
              <w:spacing w:before="60" w:after="60" w:line="200" w:lineRule="exact"/>
              <w:ind w:left="72"/>
              <w:jc w:val="left"/>
              <w:rPr>
                <w:noProof/>
                <w:sz w:val="16"/>
                <w:szCs w:val="16"/>
              </w:rPr>
            </w:pPr>
            <w:r>
              <w:rPr>
                <w:noProof/>
                <w:sz w:val="16"/>
              </w:rPr>
              <w:t>administracinio pobūdžio išlaidos</w:t>
            </w:r>
          </w:p>
        </w:tc>
        <w:tc>
          <w:tcPr>
            <w:tcW w:w="1008" w:type="dxa"/>
            <w:vAlign w:val="center"/>
          </w:tcPr>
          <w:p>
            <w:pPr>
              <w:spacing w:before="60" w:after="60" w:line="200" w:lineRule="exact"/>
              <w:jc w:val="right"/>
              <w:rPr>
                <w:noProof/>
                <w:sz w:val="16"/>
                <w:szCs w:val="16"/>
              </w:rPr>
            </w:pPr>
            <w:r>
              <w:rPr>
                <w:noProof/>
                <w:sz w:val="16"/>
                <w:szCs w:val="16"/>
              </w:rPr>
              <w:t>2</w:t>
            </w:r>
          </w:p>
        </w:tc>
        <w:tc>
          <w:tcPr>
            <w:tcW w:w="851" w:type="dxa"/>
            <w:vAlign w:val="center"/>
          </w:tcPr>
          <w:p>
            <w:pPr>
              <w:spacing w:before="60" w:after="60" w:line="200" w:lineRule="exact"/>
              <w:jc w:val="right"/>
              <w:rPr>
                <w:noProof/>
                <w:sz w:val="16"/>
                <w:szCs w:val="16"/>
              </w:rPr>
            </w:pPr>
            <w:r>
              <w:rPr>
                <w:noProof/>
                <w:sz w:val="16"/>
                <w:szCs w:val="16"/>
              </w:rPr>
              <w:t>1</w:t>
            </w: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r>
              <w:rPr>
                <w:b/>
                <w:noProof/>
                <w:sz w:val="16"/>
                <w:szCs w:val="16"/>
              </w:rPr>
              <w:t>3</w:t>
            </w:r>
          </w:p>
        </w:tc>
      </w:tr>
      <w:tr>
        <w:trPr>
          <w:trHeight w:val="702"/>
        </w:trPr>
        <w:tc>
          <w:tcPr>
            <w:tcW w:w="1980" w:type="dxa"/>
            <w:shd w:val="clear" w:color="auto" w:fill="CCCCCC"/>
            <w:vAlign w:val="center"/>
          </w:tcPr>
          <w:p>
            <w:pPr>
              <w:spacing w:before="60" w:after="60" w:line="200" w:lineRule="exact"/>
              <w:jc w:val="center"/>
              <w:rPr>
                <w:noProof/>
                <w:sz w:val="22"/>
              </w:rPr>
            </w:pPr>
            <w:r>
              <w:rPr>
                <w:b/>
                <w:noProof/>
                <w:sz w:val="16"/>
              </w:rPr>
              <w:t xml:space="preserve">Tarpinė suma, </w:t>
            </w:r>
          </w:p>
          <w:p>
            <w:pPr>
              <w:spacing w:before="60" w:after="60" w:line="200" w:lineRule="exact"/>
              <w:jc w:val="center"/>
              <w:rPr>
                <w:noProof/>
                <w:sz w:val="22"/>
              </w:rPr>
            </w:pPr>
            <w:r>
              <w:rPr>
                <w:b/>
                <w:noProof/>
                <w:sz w:val="16"/>
              </w:rPr>
              <w:t>neįtraukta į daugiametės finansinės programos</w:t>
            </w:r>
          </w:p>
          <w:p>
            <w:pPr>
              <w:spacing w:before="60" w:after="60" w:line="200" w:lineRule="exact"/>
              <w:jc w:val="center"/>
              <w:rPr>
                <w:b/>
                <w:noProof/>
                <w:sz w:val="16"/>
                <w:szCs w:val="16"/>
              </w:rPr>
            </w:pPr>
            <w:r>
              <w:rPr>
                <w:b/>
                <w:noProof/>
                <w:sz w:val="16"/>
              </w:rPr>
              <w:t xml:space="preserve">7 IŠLAIDŲ KATEGORIJĄ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IŠ VISO</w:t>
            </w:r>
          </w:p>
        </w:tc>
        <w:tc>
          <w:tcPr>
            <w:tcW w:w="1008"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r>
              <w:rPr>
                <w:b/>
                <w:noProof/>
                <w:sz w:val="16"/>
                <w:szCs w:val="16"/>
              </w:rPr>
              <w:t>2</w:t>
            </w:r>
          </w:p>
        </w:tc>
        <w:tc>
          <w:tcPr>
            <w:tcW w:w="851" w:type="dxa"/>
            <w:vAlign w:val="center"/>
          </w:tcPr>
          <w:p>
            <w:pPr>
              <w:spacing w:before="60" w:after="60" w:line="200" w:lineRule="exact"/>
              <w:jc w:val="center"/>
              <w:rPr>
                <w:b/>
                <w:noProof/>
                <w:sz w:val="16"/>
                <w:szCs w:val="16"/>
              </w:rPr>
            </w:pPr>
            <w:r>
              <w:rPr>
                <w:noProof/>
                <w:sz w:val="16"/>
                <w:szCs w:val="16"/>
              </w:rPr>
              <w:t>1,880</w:t>
            </w:r>
          </w:p>
        </w:tc>
        <w:tc>
          <w:tcPr>
            <w:tcW w:w="992" w:type="dxa"/>
            <w:vAlign w:val="center"/>
          </w:tcPr>
          <w:p>
            <w:pPr>
              <w:spacing w:before="60" w:after="60" w:line="200" w:lineRule="exact"/>
              <w:jc w:val="center"/>
              <w:rPr>
                <w:b/>
                <w:noProof/>
                <w:sz w:val="16"/>
                <w:szCs w:val="16"/>
              </w:rPr>
            </w:pPr>
            <w:r>
              <w:rPr>
                <w:noProof/>
                <w:sz w:val="16"/>
                <w:szCs w:val="16"/>
              </w:rPr>
              <w:t>0,880</w:t>
            </w:r>
          </w:p>
        </w:tc>
        <w:tc>
          <w:tcPr>
            <w:tcW w:w="851" w:type="dxa"/>
            <w:vAlign w:val="center"/>
          </w:tcPr>
          <w:p>
            <w:pPr>
              <w:spacing w:before="60" w:after="60" w:line="200" w:lineRule="exact"/>
              <w:jc w:val="center"/>
              <w:rPr>
                <w:b/>
                <w:noProof/>
                <w:sz w:val="16"/>
                <w:szCs w:val="16"/>
              </w:rPr>
            </w:pPr>
            <w:r>
              <w:rPr>
                <w:noProof/>
                <w:sz w:val="16"/>
                <w:szCs w:val="16"/>
              </w:rPr>
              <w:t>0,880</w:t>
            </w:r>
          </w:p>
        </w:tc>
        <w:tc>
          <w:tcPr>
            <w:tcW w:w="850" w:type="dxa"/>
            <w:vAlign w:val="center"/>
          </w:tcPr>
          <w:p>
            <w:pPr>
              <w:spacing w:before="60" w:after="60" w:line="200" w:lineRule="exact"/>
              <w:jc w:val="center"/>
              <w:rPr>
                <w:b/>
                <w:noProof/>
                <w:sz w:val="16"/>
                <w:szCs w:val="16"/>
              </w:rPr>
            </w:pPr>
            <w:r>
              <w:rPr>
                <w:noProof/>
                <w:sz w:val="16"/>
                <w:szCs w:val="16"/>
              </w:rPr>
              <w:t>0,720</w:t>
            </w:r>
          </w:p>
        </w:tc>
        <w:tc>
          <w:tcPr>
            <w:tcW w:w="851" w:type="dxa"/>
            <w:vAlign w:val="center"/>
          </w:tcPr>
          <w:p>
            <w:pPr>
              <w:spacing w:before="60" w:after="60" w:line="200" w:lineRule="exact"/>
              <w:jc w:val="center"/>
              <w:rPr>
                <w:b/>
                <w:noProof/>
                <w:sz w:val="16"/>
                <w:szCs w:val="16"/>
              </w:rPr>
            </w:pPr>
            <w:r>
              <w:rPr>
                <w:noProof/>
                <w:sz w:val="16"/>
                <w:szCs w:val="16"/>
              </w:rPr>
              <w:t>0,720</w:t>
            </w:r>
          </w:p>
        </w:tc>
        <w:tc>
          <w:tcPr>
            <w:tcW w:w="850" w:type="dxa"/>
            <w:vAlign w:val="center"/>
          </w:tcPr>
          <w:p>
            <w:pPr>
              <w:spacing w:before="60" w:after="60" w:line="200" w:lineRule="exact"/>
              <w:jc w:val="center"/>
              <w:rPr>
                <w:b/>
                <w:noProof/>
                <w:sz w:val="16"/>
                <w:szCs w:val="16"/>
              </w:rPr>
            </w:pPr>
            <w:r>
              <w:rPr>
                <w:noProof/>
                <w:sz w:val="16"/>
                <w:szCs w:val="16"/>
              </w:rPr>
              <w:t>0,720</w:t>
            </w:r>
          </w:p>
        </w:tc>
        <w:tc>
          <w:tcPr>
            <w:tcW w:w="851" w:type="dxa"/>
            <w:vAlign w:val="center"/>
          </w:tcPr>
          <w:p>
            <w:pPr>
              <w:spacing w:before="60" w:after="60" w:line="200" w:lineRule="exact"/>
              <w:jc w:val="center"/>
              <w:rPr>
                <w:b/>
                <w:noProof/>
                <w:sz w:val="16"/>
                <w:szCs w:val="16"/>
              </w:rPr>
            </w:pPr>
            <w:r>
              <w:rPr>
                <w:noProof/>
                <w:sz w:val="16"/>
                <w:szCs w:val="16"/>
              </w:rPr>
              <w:t>0,720</w:t>
            </w:r>
          </w:p>
        </w:tc>
        <w:tc>
          <w:tcPr>
            <w:tcW w:w="1417" w:type="dxa"/>
            <w:vAlign w:val="center"/>
          </w:tcPr>
          <w:p>
            <w:pPr>
              <w:spacing w:before="60" w:after="60" w:line="200" w:lineRule="exact"/>
              <w:jc w:val="center"/>
              <w:rPr>
                <w:b/>
                <w:noProof/>
                <w:sz w:val="16"/>
                <w:szCs w:val="16"/>
              </w:rPr>
            </w:pPr>
            <w:r>
              <w:rPr>
                <w:b/>
                <w:noProof/>
                <w:sz w:val="16"/>
                <w:szCs w:val="16"/>
              </w:rPr>
              <w:t>8,520</w:t>
            </w:r>
          </w:p>
        </w:tc>
      </w:tr>
    </w:tbl>
    <w:p>
      <w:pPr>
        <w:rPr>
          <w:noProof/>
          <w:sz w:val="18"/>
        </w:rPr>
      </w:pPr>
      <w:r>
        <w:rPr>
          <w:noProof/>
          <w:sz w:val="18"/>
        </w:rPr>
        <w:t>Žmogiškųjų išteklių ir kitų administracinio pobūdžio išlaidų asignavimų poreikiai bus tenkinami iš GD asignavimų, jau paskirtų priemonei valdyti ir (arba) perskirstytų generaliniame direktorate, ir prireikus finansuojami iš papildomų lėšų, kurios atsakingam GD gali būti skiriamos pagal metinę lėšų skyrimo procedūrą ir atsižvelgiant į biudžeto apribojimus. Papildomi išorės darbuotojai bus finansuojami tik iš asignuotųjų pajamų.</w:t>
      </w:r>
    </w:p>
    <w:p>
      <w:pPr>
        <w:rPr>
          <w:noProof/>
          <w:sz w:val="18"/>
        </w:rPr>
      </w:pPr>
    </w:p>
    <w:p>
      <w:pPr>
        <w:rPr>
          <w:noProof/>
          <w:sz w:val="18"/>
          <w:highlight w:val="yellow"/>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pPr>
        <w:pStyle w:val="ManualHeading4"/>
        <w:rPr>
          <w:noProof/>
          <w:szCs w:val="24"/>
        </w:rPr>
      </w:pPr>
      <w:r>
        <w:rPr>
          <w:noProof/>
        </w:rPr>
        <w:t>3.2.2.2.</w:t>
      </w:r>
      <w:r>
        <w:rPr>
          <w:noProof/>
        </w:rPr>
        <w:tab/>
        <w:t>Numatomi žmogiškųjų išteklių poreikiai</w:t>
      </w:r>
    </w:p>
    <w:p>
      <w:pPr>
        <w:pStyle w:val="ListDash1"/>
        <w:rPr>
          <w:noProof/>
        </w:rPr>
      </w:pPr>
      <w:r>
        <w:rPr>
          <w:noProof/>
        </w:rPr>
        <w:sym w:font="Wingdings" w:char="F0A8"/>
      </w:r>
      <w:r>
        <w:rPr>
          <w:noProof/>
        </w:rPr>
        <w:tab/>
        <w:t xml:space="preserve">Pasiūlymui (iniciatyvai) įgyvendinti žmogiškųjų išteklių nenaudojama. </w:t>
      </w:r>
    </w:p>
    <w:p>
      <w:pPr>
        <w:pStyle w:val="ListDash1"/>
        <w:rPr>
          <w:noProof/>
        </w:rPr>
      </w:pPr>
      <w:r>
        <w:rPr>
          <w:noProof/>
        </w:rPr>
        <w:t>X</w:t>
      </w:r>
      <w:r>
        <w:rPr>
          <w:noProof/>
        </w:rPr>
        <w:tab/>
        <w:t>Pasiūlymui (iniciatyvai) įgyvendinti žmogiškieji ištekliai naudojami taip:</w:t>
      </w:r>
    </w:p>
    <w:p>
      <w:pPr>
        <w:spacing w:after="60"/>
        <w:jc w:val="right"/>
        <w:rPr>
          <w:i/>
          <w:noProof/>
          <w:sz w:val="20"/>
        </w:rPr>
      </w:pPr>
      <w:r>
        <w:rPr>
          <w:i/>
          <w:noProof/>
          <w:sz w:val="20"/>
        </w:rPr>
        <w:t>Sąmatą surašyti etatų vienetais</w:t>
      </w:r>
    </w:p>
    <w:tbl>
      <w:tblPr>
        <w:tblW w:w="517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95"/>
        <w:gridCol w:w="1904"/>
        <w:gridCol w:w="640"/>
        <w:gridCol w:w="640"/>
        <w:gridCol w:w="644"/>
        <w:gridCol w:w="619"/>
        <w:gridCol w:w="597"/>
        <w:gridCol w:w="21"/>
        <w:gridCol w:w="594"/>
        <w:gridCol w:w="640"/>
        <w:gridCol w:w="538"/>
        <w:gridCol w:w="874"/>
      </w:tblGrid>
      <w:tr>
        <w:trPr>
          <w:trHeight w:val="289"/>
          <w:jc w:val="center"/>
        </w:trPr>
        <w:tc>
          <w:tcPr>
            <w:tcW w:w="1978" w:type="pct"/>
            <w:gridSpan w:val="2"/>
            <w:shd w:val="clear" w:color="auto" w:fill="auto"/>
          </w:tcPr>
          <w:p>
            <w:pPr>
              <w:pStyle w:val="Text1"/>
              <w:spacing w:before="40" w:after="40"/>
              <w:ind w:left="0"/>
              <w:jc w:val="center"/>
              <w:rPr>
                <w:i/>
                <w:noProof/>
                <w:sz w:val="16"/>
                <w:szCs w:val="16"/>
              </w:rPr>
            </w:pPr>
          </w:p>
        </w:tc>
        <w:tc>
          <w:tcPr>
            <w:tcW w:w="333" w:type="pct"/>
            <w:shd w:val="clear" w:color="auto" w:fill="auto"/>
            <w:vAlign w:val="center"/>
          </w:tcPr>
          <w:p>
            <w:pPr>
              <w:spacing w:before="20" w:after="20"/>
              <w:jc w:val="center"/>
              <w:rPr>
                <w:noProof/>
                <w:sz w:val="22"/>
              </w:rPr>
            </w:pPr>
            <w:r>
              <w:rPr>
                <w:b/>
                <w:noProof/>
                <w:sz w:val="16"/>
              </w:rPr>
              <w:t>2020</w:t>
            </w:r>
          </w:p>
          <w:p>
            <w:pPr>
              <w:spacing w:before="20" w:after="20"/>
              <w:jc w:val="center"/>
              <w:rPr>
                <w:noProof/>
                <w:sz w:val="16"/>
                <w:szCs w:val="16"/>
              </w:rPr>
            </w:pPr>
            <w:r>
              <w:rPr>
                <w:noProof/>
                <w:sz w:val="16"/>
              </w:rPr>
              <w:t>metai</w:t>
            </w:r>
          </w:p>
        </w:tc>
        <w:tc>
          <w:tcPr>
            <w:tcW w:w="333" w:type="pct"/>
            <w:shd w:val="clear" w:color="auto" w:fill="auto"/>
            <w:vAlign w:val="center"/>
          </w:tcPr>
          <w:p>
            <w:pPr>
              <w:spacing w:before="20" w:after="20"/>
              <w:jc w:val="center"/>
              <w:rPr>
                <w:noProof/>
                <w:sz w:val="16"/>
                <w:szCs w:val="16"/>
              </w:rPr>
            </w:pPr>
            <w:r>
              <w:rPr>
                <w:noProof/>
                <w:sz w:val="16"/>
                <w:szCs w:val="16"/>
              </w:rPr>
              <w:t>2021 metai</w:t>
            </w:r>
          </w:p>
        </w:tc>
        <w:tc>
          <w:tcPr>
            <w:tcW w:w="334" w:type="pct"/>
            <w:shd w:val="clear" w:color="auto" w:fill="auto"/>
            <w:vAlign w:val="center"/>
          </w:tcPr>
          <w:p>
            <w:pPr>
              <w:spacing w:before="20" w:after="20"/>
              <w:jc w:val="center"/>
              <w:rPr>
                <w:noProof/>
                <w:sz w:val="16"/>
                <w:szCs w:val="16"/>
              </w:rPr>
            </w:pPr>
            <w:r>
              <w:rPr>
                <w:noProof/>
                <w:sz w:val="16"/>
                <w:szCs w:val="16"/>
              </w:rPr>
              <w:t>2022 metai</w:t>
            </w:r>
          </w:p>
        </w:tc>
        <w:tc>
          <w:tcPr>
            <w:tcW w:w="322" w:type="pct"/>
          </w:tcPr>
          <w:p>
            <w:pPr>
              <w:spacing w:before="20" w:after="20"/>
              <w:jc w:val="center"/>
              <w:rPr>
                <w:noProof/>
                <w:sz w:val="16"/>
                <w:szCs w:val="16"/>
              </w:rPr>
            </w:pPr>
            <w:r>
              <w:rPr>
                <w:noProof/>
                <w:sz w:val="16"/>
                <w:szCs w:val="16"/>
              </w:rPr>
              <w:t>2023 metai</w:t>
            </w:r>
          </w:p>
        </w:tc>
        <w:tc>
          <w:tcPr>
            <w:tcW w:w="322" w:type="pct"/>
            <w:gridSpan w:val="2"/>
            <w:shd w:val="clear" w:color="auto" w:fill="auto"/>
            <w:vAlign w:val="center"/>
          </w:tcPr>
          <w:p>
            <w:pPr>
              <w:spacing w:before="20" w:after="20"/>
              <w:jc w:val="center"/>
              <w:rPr>
                <w:noProof/>
                <w:sz w:val="16"/>
                <w:szCs w:val="16"/>
              </w:rPr>
            </w:pPr>
            <w:r>
              <w:rPr>
                <w:noProof/>
                <w:sz w:val="16"/>
                <w:szCs w:val="16"/>
              </w:rPr>
              <w:t>2024 metai</w:t>
            </w:r>
          </w:p>
        </w:tc>
        <w:tc>
          <w:tcPr>
            <w:tcW w:w="309" w:type="pct"/>
            <w:shd w:val="clear" w:color="auto" w:fill="auto"/>
            <w:vAlign w:val="center"/>
          </w:tcPr>
          <w:p>
            <w:pPr>
              <w:jc w:val="center"/>
              <w:rPr>
                <w:b/>
                <w:noProof/>
                <w:sz w:val="16"/>
                <w:szCs w:val="16"/>
              </w:rPr>
            </w:pPr>
            <w:r>
              <w:rPr>
                <w:noProof/>
                <w:sz w:val="16"/>
                <w:szCs w:val="16"/>
              </w:rPr>
              <w:t>2025 metai</w:t>
            </w:r>
          </w:p>
        </w:tc>
        <w:tc>
          <w:tcPr>
            <w:tcW w:w="333" w:type="pct"/>
            <w:shd w:val="clear" w:color="auto" w:fill="auto"/>
            <w:vAlign w:val="center"/>
          </w:tcPr>
          <w:p>
            <w:pPr>
              <w:jc w:val="center"/>
              <w:rPr>
                <w:b/>
                <w:noProof/>
                <w:sz w:val="16"/>
                <w:szCs w:val="16"/>
              </w:rPr>
            </w:pPr>
            <w:r>
              <w:rPr>
                <w:noProof/>
                <w:sz w:val="16"/>
                <w:szCs w:val="16"/>
              </w:rPr>
              <w:t>2026 metai</w:t>
            </w:r>
          </w:p>
        </w:tc>
        <w:tc>
          <w:tcPr>
            <w:tcW w:w="280" w:type="pct"/>
          </w:tcPr>
          <w:p>
            <w:pPr>
              <w:jc w:val="center"/>
              <w:rPr>
                <w:b/>
                <w:noProof/>
                <w:sz w:val="16"/>
                <w:szCs w:val="16"/>
              </w:rPr>
            </w:pPr>
            <w:r>
              <w:rPr>
                <w:noProof/>
                <w:sz w:val="16"/>
                <w:szCs w:val="16"/>
              </w:rPr>
              <w:t>2027 metai</w:t>
            </w:r>
          </w:p>
        </w:tc>
        <w:tc>
          <w:tcPr>
            <w:tcW w:w="455" w:type="pct"/>
            <w:shd w:val="clear" w:color="auto" w:fill="auto"/>
            <w:vAlign w:val="center"/>
          </w:tcPr>
          <w:p>
            <w:pPr>
              <w:jc w:val="center"/>
              <w:rPr>
                <w:b/>
                <w:noProof/>
                <w:sz w:val="16"/>
                <w:szCs w:val="16"/>
              </w:rPr>
            </w:pPr>
          </w:p>
        </w:tc>
      </w:tr>
      <w:tr>
        <w:trPr>
          <w:trHeight w:val="289"/>
          <w:jc w:val="center"/>
        </w:trPr>
        <w:tc>
          <w:tcPr>
            <w:tcW w:w="2979" w:type="pct"/>
            <w:gridSpan w:val="5"/>
            <w:shd w:val="clear" w:color="auto" w:fill="auto"/>
          </w:tcPr>
          <w:p>
            <w:pPr>
              <w:spacing w:before="20" w:after="20"/>
              <w:rPr>
                <w:noProof/>
                <w:sz w:val="16"/>
                <w:szCs w:val="16"/>
              </w:rPr>
            </w:pPr>
            <w:r>
              <w:rPr>
                <w:b/>
                <w:noProof/>
                <w:sz w:val="16"/>
              </w:rPr>
              <w:sym w:font="Wingdings" w:char="F09F"/>
            </w:r>
            <w:r>
              <w:rPr>
                <w:b/>
                <w:noProof/>
                <w:sz w:val="16"/>
              </w:rPr>
              <w:t xml:space="preserve"> Etatų plano pareigybės (pareigūnai ir laikinieji darbuotojai)</w:t>
            </w:r>
          </w:p>
        </w:tc>
        <w:tc>
          <w:tcPr>
            <w:tcW w:w="322" w:type="pct"/>
          </w:tcPr>
          <w:p>
            <w:pPr>
              <w:spacing w:before="20" w:after="20"/>
              <w:jc w:val="center"/>
              <w:rPr>
                <w:noProof/>
                <w:sz w:val="16"/>
                <w:szCs w:val="16"/>
              </w:rPr>
            </w:pPr>
          </w:p>
        </w:tc>
        <w:tc>
          <w:tcPr>
            <w:tcW w:w="322" w:type="pct"/>
            <w:gridSpan w:val="2"/>
            <w:shd w:val="clear" w:color="auto" w:fill="auto"/>
            <w:vAlign w:val="center"/>
          </w:tcPr>
          <w:p>
            <w:pPr>
              <w:spacing w:before="20" w:after="20"/>
              <w:jc w:val="center"/>
              <w:rPr>
                <w:noProof/>
                <w:sz w:val="16"/>
                <w:szCs w:val="16"/>
              </w:rPr>
            </w:pPr>
          </w:p>
        </w:tc>
        <w:tc>
          <w:tcPr>
            <w:tcW w:w="309" w:type="pct"/>
          </w:tcPr>
          <w:p>
            <w:pPr>
              <w:jc w:val="center"/>
              <w:rPr>
                <w:noProof/>
                <w:sz w:val="16"/>
                <w:szCs w:val="16"/>
              </w:rPr>
            </w:pPr>
          </w:p>
        </w:tc>
        <w:tc>
          <w:tcPr>
            <w:tcW w:w="1068" w:type="pct"/>
            <w:gridSpan w:val="3"/>
            <w:shd w:val="clear" w:color="auto" w:fill="auto"/>
            <w:vAlign w:val="center"/>
          </w:tcPr>
          <w:p>
            <w:pPr>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(Komisijos būstinė ir atstovybės)</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(Delegacijos)</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(Netiesioginiai moksliniai tyrimai)</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(Tiesioginiai moksliniai tyrimai)</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gridAfter w:val="5"/>
          <w:wAfter w:w="1388" w:type="pct"/>
          <w:trHeight w:val="248"/>
          <w:jc w:val="center"/>
        </w:trPr>
        <w:tc>
          <w:tcPr>
            <w:tcW w:w="2979" w:type="pct"/>
            <w:gridSpan w:val="5"/>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 Išorės darbuotojai (etatų vienetais)</w:t>
            </w:r>
            <w:r>
              <w:rPr>
                <w:rStyle w:val="FootnoteReference"/>
                <w:b/>
                <w:noProof/>
                <w:sz w:val="16"/>
              </w:rPr>
              <w:footnoteReference w:id="21"/>
            </w:r>
          </w:p>
          <w:p>
            <w:pPr>
              <w:pStyle w:val="Text1"/>
              <w:spacing w:before="0" w:after="0"/>
              <w:ind w:left="0"/>
              <w:jc w:val="left"/>
              <w:rPr>
                <w:noProof/>
                <w:sz w:val="16"/>
                <w:szCs w:val="16"/>
              </w:rPr>
            </w:pPr>
          </w:p>
        </w:tc>
        <w:tc>
          <w:tcPr>
            <w:tcW w:w="322" w:type="pct"/>
          </w:tcPr>
          <w:p>
            <w:pPr>
              <w:pStyle w:val="Text1"/>
              <w:spacing w:before="60" w:after="60"/>
              <w:ind w:left="0"/>
              <w:jc w:val="left"/>
              <w:rPr>
                <w:b/>
                <w:noProof/>
                <w:sz w:val="16"/>
              </w:rPr>
            </w:pPr>
          </w:p>
        </w:tc>
        <w:tc>
          <w:tcPr>
            <w:tcW w:w="311" w:type="pct"/>
          </w:tcPr>
          <w:p>
            <w:pPr>
              <w:pStyle w:val="Text1"/>
              <w:spacing w:before="60" w:after="60"/>
              <w:ind w:left="0"/>
              <w:jc w:val="left"/>
              <w:rPr>
                <w:b/>
                <w:noProof/>
                <w:sz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(CA, SNE, INT finansuojami iš bendrojo biudžeto)</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(CA, LA, SNE, INT ir JED delegacijose)</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987"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b/>
                <w:i/>
                <w:noProof/>
                <w:sz w:val="16"/>
              </w:rPr>
              <w:footnoteReference w:id="22"/>
            </w:r>
          </w:p>
          <w:p>
            <w:pPr>
              <w:pStyle w:val="Text1"/>
              <w:spacing w:beforeLines="20" w:before="48" w:afterLines="20" w:after="48"/>
              <w:ind w:left="136"/>
              <w:jc w:val="left"/>
              <w:rPr>
                <w:b/>
                <w:noProof/>
                <w:sz w:val="16"/>
                <w:szCs w:val="16"/>
              </w:rPr>
            </w:pPr>
          </w:p>
        </w:tc>
        <w:tc>
          <w:tcPr>
            <w:tcW w:w="991" w:type="pct"/>
            <w:shd w:val="clear" w:color="auto" w:fill="auto"/>
            <w:vAlign w:val="center"/>
          </w:tcPr>
          <w:p>
            <w:pPr>
              <w:pStyle w:val="Text1"/>
              <w:spacing w:beforeLines="20" w:before="48" w:afterLines="20" w:after="48"/>
              <w:ind w:left="136"/>
              <w:jc w:val="left"/>
              <w:rPr>
                <w:b/>
                <w:noProof/>
                <w:sz w:val="16"/>
                <w:szCs w:val="16"/>
              </w:rPr>
            </w:pPr>
            <w:r>
              <w:rPr>
                <w:noProof/>
                <w:sz w:val="16"/>
              </w:rPr>
              <w:t>- būstinėje</w:t>
            </w:r>
          </w:p>
          <w:p>
            <w:pPr>
              <w:pStyle w:val="Text1"/>
              <w:spacing w:beforeLines="20" w:before="48" w:afterLines="20" w:after="48"/>
              <w:ind w:left="136"/>
              <w:jc w:val="left"/>
              <w:rPr>
                <w:b/>
                <w:noProof/>
                <w:sz w:val="16"/>
                <w:szCs w:val="16"/>
              </w:rPr>
            </w:pPr>
          </w:p>
        </w:tc>
        <w:tc>
          <w:tcPr>
            <w:tcW w:w="333" w:type="pct"/>
            <w:shd w:val="clear" w:color="auto" w:fill="auto"/>
            <w:vAlign w:val="center"/>
          </w:tcPr>
          <w:p>
            <w:pPr>
              <w:pStyle w:val="Text1"/>
              <w:spacing w:beforeLines="20" w:before="48" w:afterLines="20" w:after="48"/>
              <w:ind w:left="0"/>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987" w:type="pct"/>
            <w:vMerge/>
            <w:shd w:val="clear" w:color="auto" w:fill="auto"/>
            <w:vAlign w:val="center"/>
          </w:tcPr>
          <w:p>
            <w:pPr>
              <w:pStyle w:val="Text1"/>
              <w:spacing w:beforeLines="20" w:before="48" w:afterLines="20" w:after="48"/>
              <w:ind w:left="136"/>
              <w:jc w:val="left"/>
              <w:rPr>
                <w:b/>
                <w:noProof/>
                <w:sz w:val="16"/>
                <w:szCs w:val="16"/>
              </w:rPr>
            </w:pPr>
          </w:p>
        </w:tc>
        <w:tc>
          <w:tcPr>
            <w:tcW w:w="991"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delegacijose </w:t>
            </w:r>
          </w:p>
        </w:tc>
        <w:tc>
          <w:tcPr>
            <w:tcW w:w="333" w:type="pct"/>
            <w:shd w:val="clear" w:color="auto" w:fill="auto"/>
            <w:vAlign w:val="center"/>
          </w:tcPr>
          <w:p>
            <w:pPr>
              <w:pStyle w:val="Text1"/>
              <w:spacing w:beforeLines="20" w:before="48" w:afterLines="20" w:after="48"/>
              <w:ind w:left="0"/>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w:t>
            </w:r>
            <w:r>
              <w:rPr>
                <w:noProof/>
                <w:sz w:val="16"/>
                <w:szCs w:val="16"/>
              </w:rPr>
              <w:t xml:space="preserve"> 01 05 02 (AC, END, INT – netiesioginiai moksliniai tyrimai)</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(CA, INT, SNE – tiesioginiai moksliniai tyrimai)</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Kitos biudžeto eilutės (asignuotosios pajamos)</w:t>
            </w: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11</w:t>
            </w:r>
          </w:p>
        </w:tc>
        <w:tc>
          <w:tcPr>
            <w:tcW w:w="3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11</w:t>
            </w:r>
          </w:p>
        </w:tc>
        <w:tc>
          <w:tcPr>
            <w:tcW w:w="322" w:type="pct"/>
            <w:tcBorders>
              <w:bottom w:val="double" w:sz="4" w:space="0" w:color="auto"/>
            </w:tcBorders>
          </w:tcPr>
          <w:p>
            <w:pPr>
              <w:spacing w:beforeLines="20" w:before="48" w:afterLines="20" w:after="48"/>
              <w:jc w:val="center"/>
              <w:rPr>
                <w:noProof/>
                <w:sz w:val="16"/>
                <w:szCs w:val="16"/>
              </w:rPr>
            </w:pPr>
            <w:r>
              <w:rPr>
                <w:noProof/>
                <w:sz w:val="16"/>
                <w:szCs w:val="16"/>
              </w:rPr>
              <w:t>11</w:t>
            </w:r>
          </w:p>
        </w:tc>
        <w:tc>
          <w:tcPr>
            <w:tcW w:w="322" w:type="pct"/>
            <w:gridSpan w:val="2"/>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09"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280" w:type="pct"/>
            <w:tcBorders>
              <w:bottom w:val="double" w:sz="4" w:space="0" w:color="auto"/>
            </w:tcBorders>
          </w:tcPr>
          <w:p>
            <w:pPr>
              <w:spacing w:beforeLines="20" w:before="48" w:afterLines="20" w:after="48"/>
              <w:jc w:val="center"/>
              <w:rPr>
                <w:noProof/>
                <w:sz w:val="16"/>
                <w:szCs w:val="16"/>
              </w:rPr>
            </w:pPr>
            <w:r>
              <w:rPr>
                <w:noProof/>
                <w:sz w:val="16"/>
                <w:szCs w:val="16"/>
              </w:rPr>
              <w:t>9</w:t>
            </w:r>
          </w:p>
        </w:tc>
        <w:tc>
          <w:tcPr>
            <w:tcW w:w="455"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IŠ VISO</w:t>
            </w:r>
          </w:p>
        </w:tc>
        <w:tc>
          <w:tcPr>
            <w:tcW w:w="333"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333"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11</w:t>
            </w:r>
          </w:p>
        </w:tc>
        <w:tc>
          <w:tcPr>
            <w:tcW w:w="334"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11</w:t>
            </w:r>
          </w:p>
        </w:tc>
        <w:tc>
          <w:tcPr>
            <w:tcW w:w="322" w:type="pct"/>
            <w:tcBorders>
              <w:bottom w:val="double" w:sz="4" w:space="0" w:color="auto"/>
            </w:tcBorders>
          </w:tcPr>
          <w:p>
            <w:pPr>
              <w:spacing w:beforeLines="20" w:before="48" w:afterLines="20" w:after="48"/>
              <w:jc w:val="center"/>
              <w:rPr>
                <w:b/>
                <w:noProof/>
                <w:sz w:val="16"/>
                <w:szCs w:val="16"/>
              </w:rPr>
            </w:pPr>
            <w:r>
              <w:rPr>
                <w:noProof/>
                <w:sz w:val="16"/>
                <w:szCs w:val="16"/>
              </w:rPr>
              <w:t>11</w:t>
            </w:r>
          </w:p>
        </w:tc>
        <w:tc>
          <w:tcPr>
            <w:tcW w:w="322" w:type="pct"/>
            <w:gridSpan w:val="2"/>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09"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33"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280" w:type="pct"/>
            <w:tcBorders>
              <w:bottom w:val="double" w:sz="4" w:space="0" w:color="auto"/>
            </w:tcBorders>
          </w:tcPr>
          <w:p>
            <w:pPr>
              <w:spacing w:beforeLines="20" w:before="48" w:afterLines="20" w:after="48"/>
              <w:jc w:val="center"/>
              <w:rPr>
                <w:b/>
                <w:noProof/>
                <w:sz w:val="16"/>
                <w:szCs w:val="16"/>
              </w:rPr>
            </w:pPr>
            <w:r>
              <w:rPr>
                <w:noProof/>
                <w:sz w:val="16"/>
                <w:szCs w:val="16"/>
              </w:rPr>
              <w:t>9</w:t>
            </w:r>
          </w:p>
        </w:tc>
        <w:tc>
          <w:tcPr>
            <w:tcW w:w="455"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sz w:val="18"/>
          <w:szCs w:val="18"/>
        </w:rPr>
        <w:t>ECFIN GD, COMP GD ir BUDG GD</w:t>
      </w:r>
      <w:r>
        <w:rPr>
          <w:noProof/>
          <w:sz w:val="18"/>
          <w:szCs w:val="18"/>
        </w:rPr>
        <w:t xml:space="preserve"> yra atitinkama politikos sritis arba biudžeto antraštinė dalis.</w:t>
      </w:r>
    </w:p>
    <w:p>
      <w:pPr>
        <w:pStyle w:val="Text1"/>
        <w:rPr>
          <w:noProof/>
          <w:sz w:val="18"/>
          <w:szCs w:val="18"/>
        </w:rPr>
      </w:pPr>
      <w:r>
        <w:rPr>
          <w:noProof/>
          <w:sz w:val="18"/>
        </w:rPr>
        <w:t>Žmogiškųjų išteklių poreikiai bus tenkinami panaudojant GD darbuotojus, jau paskirtus priemonei valdyti ir (arba) perskirstytus generaliniame direktorate, ir prireikus finansuojami iš papildomų lėšų, kurios atsakingam GD gali būti skiriamos pagal metinę lėšų skyrimo procedūrą ir atsižvelgiant į biudžeto apribojimus.</w:t>
      </w:r>
      <w:r>
        <w:rPr>
          <w:noProof/>
        </w:rPr>
        <w:t xml:space="preserve"> </w:t>
      </w:r>
      <w:r>
        <w:rPr>
          <w:noProof/>
          <w:sz w:val="18"/>
        </w:rPr>
        <w:t>Papildomi išorės darbuotojai bus finansuojami tik iš asignuotųjų pajamų.</w:t>
      </w:r>
    </w:p>
    <w:p>
      <w:pPr>
        <w:rPr>
          <w:noProof/>
          <w:sz w:val="20"/>
        </w:rPr>
      </w:pPr>
      <w:r>
        <w:rPr>
          <w:noProof/>
          <w:sz w:val="20"/>
        </w:rPr>
        <w:t>Vykdytinų užduočių aprašymas:</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Pareigūnai ir laikinieji darbuotojai</w:t>
            </w:r>
          </w:p>
        </w:tc>
        <w:tc>
          <w:tcPr>
            <w:tcW w:w="7200" w:type="dxa"/>
          </w:tcPr>
          <w:p>
            <w:pPr>
              <w:rPr>
                <w:noProof/>
                <w:sz w:val="20"/>
              </w:rPr>
            </w:pPr>
            <w:r>
              <w:rPr>
                <w:noProof/>
                <w:sz w:val="20"/>
              </w:rPr>
              <w:t>–</w:t>
            </w:r>
          </w:p>
        </w:tc>
      </w:tr>
      <w:tr>
        <w:tc>
          <w:tcPr>
            <w:tcW w:w="3240" w:type="dxa"/>
          </w:tcPr>
          <w:p>
            <w:pPr>
              <w:spacing w:before="60" w:after="60"/>
              <w:rPr>
                <w:noProof/>
                <w:sz w:val="20"/>
              </w:rPr>
            </w:pPr>
            <w:r>
              <w:rPr>
                <w:noProof/>
                <w:sz w:val="20"/>
              </w:rPr>
              <w:t>Išorės darbuotojai</w:t>
            </w:r>
          </w:p>
        </w:tc>
        <w:tc>
          <w:tcPr>
            <w:tcW w:w="7200" w:type="dxa"/>
          </w:tcPr>
          <w:p>
            <w:pPr>
              <w:rPr>
                <w:noProof/>
                <w:sz w:val="20"/>
              </w:rPr>
            </w:pPr>
            <w:r>
              <w:rPr>
                <w:noProof/>
                <w:sz w:val="20"/>
              </w:rPr>
              <w:t>Tiesioginio aptarnavimo padaliniai (politikos dokumentų rengimas, susitarimų dėl garantijos rengimas ir derybos dėl jų, tolesni su veikla susiję veiksmai ir ataskaitų teikimas, konsultavimo ir techninės paramos valdymas);</w:t>
            </w:r>
          </w:p>
          <w:p>
            <w:pPr>
              <w:rPr>
                <w:noProof/>
                <w:sz w:val="20"/>
              </w:rPr>
            </w:pPr>
            <w:r>
              <w:rPr>
                <w:noProof/>
                <w:sz w:val="20"/>
              </w:rPr>
              <w:t>netiesioginio aptarnavimo padaliniai (programos stebėsena ir tolesni veiksmai, įskaitant reikalavimus mokėti pagal garantiją, veiklos ir finansinių ataskaitų teikimas ir kita garantijų valdymo veikla; konsultavimo paslaugų ir techninės paramos stebėsena ir susijusių ataskaitų teikimas);</w:t>
            </w:r>
          </w:p>
          <w:p>
            <w:pPr>
              <w:rPr>
                <w:noProof/>
                <w:sz w:val="20"/>
              </w:rPr>
            </w:pPr>
            <w:r>
              <w:rPr>
                <w:noProof/>
                <w:sz w:val="20"/>
              </w:rPr>
              <w:t>rizika (pagal ES garantiją įgyvendinamų operacijų portfelių kredito rizikos profilio stebėjimas, vertinimas ir ataskaitų teikimas).</w:t>
            </w:r>
          </w:p>
          <w:p>
            <w:pPr>
              <w:rPr>
                <w:noProof/>
                <w:sz w:val="20"/>
              </w:rPr>
            </w:pPr>
          </w:p>
        </w:tc>
      </w:tr>
    </w:tbl>
    <w:p>
      <w:pPr>
        <w:rPr>
          <w:noProof/>
          <w:highlight w:val="yellow"/>
        </w:rPr>
        <w:sectPr>
          <w:pgSz w:w="11907" w:h="16840"/>
          <w:pgMar w:top="1134" w:right="1418" w:bottom="1134" w:left="1418" w:header="709" w:footer="709" w:gutter="0"/>
          <w:cols w:space="708"/>
          <w:docGrid w:linePitch="360"/>
        </w:sectPr>
      </w:pPr>
    </w:p>
    <w:p>
      <w:pPr>
        <w:pStyle w:val="ManualHeading2"/>
        <w:rPr>
          <w:noProof/>
          <w:szCs w:val="24"/>
        </w:rPr>
      </w:pPr>
      <w:r>
        <w:rPr>
          <w:noProof/>
        </w:rPr>
        <w:t>3.3.</w:t>
      </w:r>
      <w:r>
        <w:rPr>
          <w:noProof/>
        </w:rPr>
        <w:tab/>
        <w:t xml:space="preserve">Numatomas poveikis pajamoms </w:t>
      </w:r>
    </w:p>
    <w:p>
      <w:pPr>
        <w:pStyle w:val="ListDash1"/>
        <w:rPr>
          <w:noProof/>
        </w:rPr>
      </w:pPr>
      <w:r>
        <w:rPr>
          <w:noProof/>
        </w:rPr>
        <w:t>X</w:t>
      </w:r>
      <w:r>
        <w:rPr>
          <w:noProof/>
        </w:rPr>
        <w:tab/>
        <w:t>Pasiūlymas (iniciatyva) neturi finansinio poveikio pajamoms.</w:t>
      </w:r>
    </w:p>
    <w:p>
      <w:pPr>
        <w:pStyle w:val="ListDash1"/>
        <w:rPr>
          <w:noProof/>
        </w:rPr>
      </w:pPr>
      <w:r>
        <w:rPr>
          <w:noProof/>
        </w:rPr>
        <w:tab/>
      </w:r>
      <w:r>
        <w:rPr>
          <w:noProof/>
        </w:rPr>
        <w:sym w:font="Wingdings" w:char="F0A8"/>
      </w:r>
      <w:r>
        <w:rPr>
          <w:noProof/>
        </w:rPr>
        <w:t xml:space="preserve"> Pasiūlymas (iniciatyva) turi finansinį poveikį:</w:t>
      </w:r>
    </w:p>
    <w:p>
      <w:pPr>
        <w:pStyle w:val="ListNumberLevel3"/>
        <w:rPr>
          <w:noProof/>
        </w:rPr>
      </w:pPr>
      <w:r>
        <w:rPr>
          <w:noProof/>
        </w:rPr>
        <w:sym w:font="Wingdings" w:char="F0A8"/>
      </w:r>
      <w:r>
        <w:rPr>
          <w:noProof/>
        </w:rPr>
        <w:tab/>
        <w:t xml:space="preserve">nuosaviems ištekliams </w:t>
      </w:r>
    </w:p>
    <w:p>
      <w:pPr>
        <w:pStyle w:val="ListNumberLevel3"/>
        <w:rPr>
          <w:noProof/>
        </w:rPr>
      </w:pPr>
      <w:r>
        <w:rPr>
          <w:noProof/>
        </w:rPr>
        <w:sym w:font="Wingdings" w:char="F0A8"/>
      </w:r>
      <w:r>
        <w:rPr>
          <w:noProof/>
        </w:rPr>
        <w:tab/>
        <w:t xml:space="preserve">įvairioms pajamoms </w:t>
      </w:r>
    </w:p>
    <w:p>
      <w:pPr>
        <w:jc w:val="right"/>
        <w:rPr>
          <w:i/>
          <w:noProof/>
          <w:sz w:val="20"/>
        </w:rPr>
      </w:pPr>
      <w:r>
        <w:rPr>
          <w:noProof/>
        </w:rPr>
        <w:t>mln. EUR (tūkstantųjų tikslumu)</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Biudžeto pajamų eilutė:</w:t>
            </w:r>
          </w:p>
        </w:tc>
        <w:tc>
          <w:tcPr>
            <w:tcW w:w="1276" w:type="dxa"/>
            <w:vMerge w:val="restart"/>
            <w:vAlign w:val="center"/>
          </w:tcPr>
          <w:p>
            <w:pPr>
              <w:jc w:val="center"/>
              <w:rPr>
                <w:noProof/>
                <w:sz w:val="18"/>
              </w:rPr>
            </w:pPr>
            <w:r>
              <w:rPr>
                <w:noProof/>
                <w:sz w:val="18"/>
              </w:rPr>
              <w:t>Einamųjų finansinių metų asignavimai</w:t>
            </w:r>
          </w:p>
        </w:tc>
        <w:tc>
          <w:tcPr>
            <w:tcW w:w="7200" w:type="dxa"/>
            <w:gridSpan w:val="7"/>
            <w:vAlign w:val="center"/>
          </w:tcPr>
          <w:p>
            <w:pPr>
              <w:jc w:val="center"/>
              <w:rPr>
                <w:noProof/>
                <w:sz w:val="18"/>
              </w:rPr>
            </w:pPr>
            <w:r>
              <w:rPr>
                <w:noProof/>
                <w:sz w:val="18"/>
              </w:rPr>
              <w:t>Pasiūlymo (iniciatyvos) poveikis</w:t>
            </w:r>
            <w:r>
              <w:rPr>
                <w:rStyle w:val="FootnoteReference"/>
                <w:noProof/>
                <w:sz w:val="18"/>
              </w:rPr>
              <w:footnoteReference w:id="23"/>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22"/>
              </w:rPr>
            </w:pPr>
            <w:r>
              <w:rPr>
                <w:b/>
                <w:noProof/>
                <w:sz w:val="18"/>
              </w:rPr>
              <w:t>N</w:t>
            </w:r>
          </w:p>
          <w:p>
            <w:pPr>
              <w:jc w:val="center"/>
              <w:rPr>
                <w:noProof/>
                <w:sz w:val="18"/>
              </w:rPr>
            </w:pPr>
            <w:r>
              <w:rPr>
                <w:noProof/>
                <w:sz w:val="18"/>
              </w:rPr>
              <w:t>metai</w:t>
            </w:r>
          </w:p>
        </w:tc>
        <w:tc>
          <w:tcPr>
            <w:tcW w:w="900" w:type="dxa"/>
            <w:vAlign w:val="center"/>
          </w:tcPr>
          <w:p>
            <w:pPr>
              <w:jc w:val="center"/>
              <w:rPr>
                <w:noProof/>
                <w:sz w:val="22"/>
              </w:rPr>
            </w:pPr>
            <w:r>
              <w:rPr>
                <w:b/>
                <w:noProof/>
                <w:sz w:val="18"/>
              </w:rPr>
              <w:t>N + 1</w:t>
            </w:r>
          </w:p>
          <w:p>
            <w:pPr>
              <w:jc w:val="center"/>
              <w:rPr>
                <w:noProof/>
                <w:sz w:val="18"/>
              </w:rPr>
            </w:pPr>
            <w:r>
              <w:rPr>
                <w:noProof/>
                <w:sz w:val="18"/>
              </w:rPr>
              <w:t>metai</w:t>
            </w:r>
          </w:p>
        </w:tc>
        <w:tc>
          <w:tcPr>
            <w:tcW w:w="900" w:type="dxa"/>
            <w:vAlign w:val="center"/>
          </w:tcPr>
          <w:p>
            <w:pPr>
              <w:jc w:val="center"/>
              <w:rPr>
                <w:noProof/>
                <w:sz w:val="22"/>
              </w:rPr>
            </w:pPr>
            <w:r>
              <w:rPr>
                <w:b/>
                <w:noProof/>
                <w:sz w:val="18"/>
              </w:rPr>
              <w:t>N + 2</w:t>
            </w:r>
          </w:p>
          <w:p>
            <w:pPr>
              <w:jc w:val="center"/>
              <w:rPr>
                <w:noProof/>
                <w:sz w:val="18"/>
              </w:rPr>
            </w:pPr>
            <w:r>
              <w:rPr>
                <w:noProof/>
                <w:sz w:val="18"/>
              </w:rPr>
              <w:t>metai</w:t>
            </w:r>
          </w:p>
        </w:tc>
        <w:tc>
          <w:tcPr>
            <w:tcW w:w="1080" w:type="dxa"/>
            <w:vAlign w:val="center"/>
          </w:tcPr>
          <w:p>
            <w:pPr>
              <w:jc w:val="center"/>
              <w:rPr>
                <w:noProof/>
                <w:sz w:val="22"/>
              </w:rPr>
            </w:pPr>
            <w:r>
              <w:rPr>
                <w:b/>
                <w:noProof/>
                <w:sz w:val="18"/>
              </w:rPr>
              <w:t>N + 3</w:t>
            </w:r>
          </w:p>
          <w:p>
            <w:pPr>
              <w:jc w:val="center"/>
              <w:rPr>
                <w:noProof/>
                <w:sz w:val="18"/>
              </w:rPr>
            </w:pPr>
            <w:r>
              <w:rPr>
                <w:noProof/>
                <w:sz w:val="18"/>
              </w:rPr>
              <w:t>metai</w:t>
            </w:r>
          </w:p>
        </w:tc>
        <w:tc>
          <w:tcPr>
            <w:tcW w:w="3240" w:type="dxa"/>
            <w:gridSpan w:val="3"/>
            <w:vAlign w:val="center"/>
          </w:tcPr>
          <w:p>
            <w:pPr>
              <w:jc w:val="center"/>
              <w:rPr>
                <w:b/>
                <w:noProof/>
                <w:sz w:val="18"/>
              </w:rPr>
            </w:pPr>
            <w:r>
              <w:rPr>
                <w:noProof/>
                <w:sz w:val="18"/>
              </w:rPr>
              <w:t>Atsižvelgiant į poveikio trukmę įterpti reikiamą metų skaičių (žr. 1.6 punktą)</w:t>
            </w:r>
          </w:p>
        </w:tc>
      </w:tr>
      <w:tr>
        <w:trPr>
          <w:trHeight w:val="388"/>
        </w:trPr>
        <w:tc>
          <w:tcPr>
            <w:tcW w:w="2144" w:type="dxa"/>
            <w:vAlign w:val="center"/>
          </w:tcPr>
          <w:p>
            <w:pPr>
              <w:spacing w:before="40" w:after="40"/>
              <w:rPr>
                <w:noProof/>
                <w:sz w:val="18"/>
              </w:rPr>
            </w:pPr>
            <w:r>
              <w:rPr>
                <w:noProof/>
                <w:sz w:val="18"/>
              </w:rPr>
              <w:t>…………. straipsnis</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pBdr>
          <w:top w:val="single" w:sz="4" w:space="1" w:color="auto"/>
          <w:left w:val="single" w:sz="4" w:space="4" w:color="auto"/>
          <w:bottom w:val="single" w:sz="4" w:space="1" w:color="auto"/>
          <w:right w:val="single" w:sz="4" w:space="4" w:color="auto"/>
        </w:pBdr>
        <w:rPr>
          <w:noProof/>
        </w:rPr>
      </w:pPr>
    </w:p>
    <w:p>
      <w:pP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MV Bol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18</w:t>
    </w:r>
    <w:r>
      <w:fldChar w:fldCharType="end"/>
    </w:r>
    <w: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LT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32</w:t>
    </w:r>
    <w:r>
      <w:fldChar w:fldCharType="end"/>
    </w:r>
    <w:r>
      <w:tab/>
    </w:r>
    <w:r>
      <w:tab/>
    </w:r>
    <w:r>
      <w:rPr>
        <w:rFonts w:ascii="Arial" w:hAnsi="Arial" w:cs="Arial"/>
        <w:b/>
        <w:sz w:val="48"/>
      </w:rPr>
      <w:t>LT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2015 m. birželio 25 d. Europos Parlamento ir Tarybos reglamentas (ES) 2015/1017 dėl Europos strateginių investicijų fondo, Europos investavimo konsultacijų centro ir Europos investicinių projektų portalo, kuriuo iš dalies keičiamos reglamentų (ES) Nr. 1291/2013 ir (ES) Nr. 1316/2013 nuostatos dėl Europos strateginių investicijų fondo (OL L 169, 2015 7 1, p. 1).</w:t>
      </w:r>
    </w:p>
  </w:footnote>
  <w:footnote w:id="3">
    <w:p>
      <w:pPr>
        <w:pStyle w:val="FootnoteText"/>
      </w:pPr>
      <w:r>
        <w:rPr>
          <w:rStyle w:val="FootnoteReference"/>
        </w:rPr>
        <w:footnoteRef/>
      </w:r>
      <w:r>
        <w:tab/>
        <w:t>Komisijos pasiūlymas dėl Europos Parlamento ir Tarybos reglamento dėl programos „InvestEU“ (COM (2018) 439), 2019 m. balandžio mėn. Europos Parlamento ir Tarybos dalinis susitarimas dėl pasiūlymo dėl teisėkūros procedūra priimamo akto.</w:t>
      </w:r>
    </w:p>
  </w:footnote>
  <w:footnote w:id="4">
    <w:p>
      <w:pPr>
        <w:pStyle w:val="FootnoteText"/>
      </w:pPr>
      <w:r>
        <w:rPr>
          <w:rStyle w:val="FootnoteReference"/>
        </w:rPr>
        <w:footnoteRef/>
      </w:r>
      <w:r>
        <w:tab/>
        <w:t>Kaip apibrėžta 2014 m. birželio 17 d. Komisijos reglamento (ES) Nr. 651/2014, kuriuo tam tikrų kategorijų pagalba skelbiama suderinama su vidaus rinka taikant Sutarties 107 ir 108 straipsnius (OL L 187, 2014 6 26, p. 1), 2 straipsnio 18 punkte.</w:t>
      </w:r>
    </w:p>
  </w:footnote>
  <w:footnote w:id="5">
    <w:p>
      <w:pPr>
        <w:pStyle w:val="FootnoteText"/>
        <w:ind w:left="0" w:firstLine="0"/>
      </w:pPr>
      <w:r>
        <w:rPr>
          <w:rStyle w:val="FootnoteReference"/>
        </w:rPr>
        <w:footnoteRef/>
      </w:r>
      <w:r>
        <w:tab/>
        <w:t>C(2020) 1863 </w:t>
      </w:r>
      <w:r>
        <w:rPr>
          <w:i/>
        </w:rPr>
        <w:t>final</w:t>
      </w:r>
      <w:r>
        <w:t xml:space="preserve"> su pakeitimais, padarytais C(2020)3156 </w:t>
      </w:r>
      <w:r>
        <w:rPr>
          <w:i/>
        </w:rPr>
        <w:t>final</w:t>
      </w:r>
      <w:r>
        <w:t>.</w:t>
      </w:r>
    </w:p>
  </w:footnote>
  <w:footnote w:id="6">
    <w:p>
      <w:pPr>
        <w:pStyle w:val="FootnoteText"/>
      </w:pPr>
      <w:r>
        <w:rPr>
          <w:rStyle w:val="FootnoteReference"/>
        </w:rPr>
        <w:footnoteRef/>
      </w:r>
      <w:r>
        <w:tab/>
        <w:t>OL C […], […] , p. […].</w:t>
      </w:r>
    </w:p>
  </w:footnote>
  <w:footnote w:id="7">
    <w:p>
      <w:pPr>
        <w:pStyle w:val="FootnoteText"/>
      </w:pPr>
      <w:r>
        <w:rPr>
          <w:rStyle w:val="FootnoteReference"/>
        </w:rPr>
        <w:footnoteRef/>
      </w:r>
      <w:r>
        <w:tab/>
        <w:t>OL C […], […] , p. […].</w:t>
      </w:r>
    </w:p>
  </w:footnote>
  <w:footnote w:id="8">
    <w:p>
      <w:pPr>
        <w:pStyle w:val="FootnoteText"/>
      </w:pPr>
      <w:r>
        <w:rPr>
          <w:rStyle w:val="FootnoteReference"/>
        </w:rPr>
        <w:footnoteRef/>
      </w:r>
      <w:r>
        <w:tab/>
        <w:t>Kaip apibrėžta 2014 m. birželio 17 d. Komisijos reglamento (ES) Nr. 651/2014, kuriuo tam tikrų kategorijų pagalba skelbiama suderinama su vidaus rinka taikant Sutarties 107 ir 108 straipsnius (OL L 187, 2014 6 26, p. 1), 2 straipsnio 18 punkte.</w:t>
      </w:r>
    </w:p>
  </w:footnote>
  <w:footnote w:id="9">
    <w:p>
      <w:pPr>
        <w:pStyle w:val="FootnoteText"/>
      </w:pPr>
      <w:r>
        <w:rPr>
          <w:rStyle w:val="FootnoteReference"/>
        </w:rPr>
        <w:footnoteRef/>
      </w:r>
      <w:r>
        <w:tab/>
        <w:t>Kaip apibrėžta 2014 m. birželio 17 d. Komisijos reglamento (ES) Nr. 651/2014, kuriuo tam tikrų kategorijų pagalba skelbiama suderinama su vidaus rinka taikant Sutarties 107 ir 108 straipsnius (OL L 187, 2014 6 26, p. 1), 2 straipsnio 18 punkte.</w:t>
      </w:r>
    </w:p>
  </w:footnote>
  <w:footnote w:id="10">
    <w:p>
      <w:pPr>
        <w:pStyle w:val="FootnoteText"/>
      </w:pPr>
      <w:r>
        <w:rPr>
          <w:rStyle w:val="FootnoteReference"/>
        </w:rPr>
        <w:footnoteRef/>
      </w:r>
      <w:r>
        <w:tab/>
        <w:t xml:space="preserve">COM(2019)640 </w:t>
      </w:r>
      <w:r>
        <w:rPr>
          <w:i/>
        </w:rPr>
        <w:t>final</w:t>
      </w:r>
      <w:r>
        <w:t>.</w:t>
      </w:r>
    </w:p>
  </w:footnote>
  <w:footnote w:id="11">
    <w:p>
      <w:pPr>
        <w:pStyle w:val="FootnoteText"/>
      </w:pPr>
      <w:r>
        <w:rPr>
          <w:rStyle w:val="FootnoteReference"/>
        </w:rPr>
        <w:footnoteRef/>
      </w:r>
      <w:r>
        <w:tab/>
        <w:t xml:space="preserve">COM(2020)67 </w:t>
      </w:r>
      <w:r>
        <w:rPr>
          <w:i/>
        </w:rPr>
        <w:t>final</w:t>
      </w:r>
      <w:r>
        <w:t>.</w:t>
      </w:r>
    </w:p>
  </w:footnote>
  <w:footnote w:id="12">
    <w:p>
      <w:pPr>
        <w:pStyle w:val="FootnoteText"/>
      </w:pPr>
      <w:r>
        <w:rPr>
          <w:rStyle w:val="FootnoteReference"/>
        </w:rPr>
        <w:footnoteRef/>
      </w:r>
      <w:r>
        <w:tab/>
        <w:t>Tai nebaigtinis produktų, kurie gali būti teikiami per ESIF, sąrašas.“;</w:t>
      </w:r>
    </w:p>
  </w:footnote>
  <w:footnote w:id="13">
    <w:p>
      <w:pPr>
        <w:pStyle w:val="FootnoteText"/>
      </w:pPr>
      <w:r>
        <w:rPr>
          <w:rStyle w:val="FootnoteReference"/>
        </w:rPr>
        <w:footnoteRef/>
      </w:r>
      <w:r>
        <w:tab/>
        <w:t>Komisijos komunikatas „Laikinoji valstybės pagalbos priemonių, skirtų ekonomikai remti reaguojant į dabartinį COVID-19 protrūkį, sistema“ (C(2020)1863) su pakeitimais, padarytais C(2020) 3156 </w:t>
      </w:r>
      <w:r>
        <w:rPr>
          <w:i/>
        </w:rPr>
        <w:t>final</w:t>
      </w:r>
      <w:r>
        <w:t>.</w:t>
      </w:r>
    </w:p>
  </w:footnote>
  <w:footnote w:id="14">
    <w:p>
      <w:pPr>
        <w:pStyle w:val="FootnoteText"/>
        <w:rPr>
          <w:szCs w:val="24"/>
        </w:rPr>
      </w:pPr>
      <w:r>
        <w:rPr>
          <w:rStyle w:val="FootnoteReference"/>
        </w:rPr>
        <w:footnoteRef/>
      </w:r>
      <w:r>
        <w:tab/>
        <w:t>VGV – veikla grindžiamas valdymas; VGB – veikla grindžiamas biudžeto sudarymas.</w:t>
      </w:r>
    </w:p>
  </w:footnote>
  <w:footnote w:id="15">
    <w:p>
      <w:pPr>
        <w:pStyle w:val="FootnoteText"/>
        <w:rPr>
          <w:szCs w:val="24"/>
        </w:rPr>
      </w:pPr>
      <w:r>
        <w:rPr>
          <w:rStyle w:val="FootnoteReference"/>
        </w:rPr>
        <w:footnoteRef/>
      </w:r>
      <w:r>
        <w:tab/>
        <w:t>Kaip nurodyta Finansinio reglamento 54 straipsnio 2 dalies a arba b punkte.</w:t>
      </w:r>
    </w:p>
  </w:footnote>
  <w:footnote w:id="16">
    <w:p>
      <w:pPr>
        <w:pStyle w:val="FootnoteText"/>
        <w:rPr>
          <w:szCs w:val="24"/>
        </w:rPr>
      </w:pPr>
      <w:r>
        <w:rPr>
          <w:rStyle w:val="FootnoteReference"/>
        </w:rPr>
        <w:footnoteRef/>
      </w:r>
      <w:r>
        <w:tab/>
        <w:t xml:space="preserve">Informacija apie valdymo būdus ir nuorodos į Finansinį reglamentą pateikiamos svetainėje „BudgWeb“ </w:t>
      </w:r>
      <w:hyperlink r:id="rId1" w:history="1">
        <w:r>
          <w:rPr>
            <w:rStyle w:val="Hyperlink"/>
            <w:sz w:val="18"/>
          </w:rPr>
          <w:t>http://www.cc.cec/budg/man/budgmanag/budgmanag_en.html</w:t>
        </w:r>
      </w:hyperlink>
      <w:r>
        <w:t>.</w:t>
      </w:r>
    </w:p>
  </w:footnote>
  <w:footnote w:id="17">
    <w:p>
      <w:pPr>
        <w:pStyle w:val="FootnoteText"/>
        <w:rPr>
          <w:szCs w:val="24"/>
        </w:rPr>
      </w:pPr>
      <w:r>
        <w:rPr>
          <w:rStyle w:val="FootnoteReference"/>
        </w:rPr>
        <w:footnoteRef/>
      </w:r>
      <w:r>
        <w:tab/>
        <w:t>DA – diferencijuotieji asignavimai, NDA – nediferencijuotieji asignavimai.</w:t>
      </w:r>
    </w:p>
  </w:footnote>
  <w:footnote w:id="18">
    <w:p>
      <w:pPr>
        <w:pStyle w:val="FootnoteText"/>
        <w:rPr>
          <w:szCs w:val="24"/>
        </w:rPr>
      </w:pPr>
      <w:r>
        <w:rPr>
          <w:rStyle w:val="FootnoteReference"/>
        </w:rPr>
        <w:footnoteRef/>
      </w:r>
      <w:r>
        <w:tab/>
        <w:t xml:space="preserve">ELPA – Europos laisvosios prekybos asociacija. </w:t>
      </w:r>
    </w:p>
  </w:footnote>
  <w:footnote w:id="19">
    <w:p>
      <w:pPr>
        <w:pStyle w:val="FootnoteText"/>
        <w:rPr>
          <w:szCs w:val="24"/>
        </w:rPr>
      </w:pPr>
      <w:r>
        <w:rPr>
          <w:rStyle w:val="FootnoteReference"/>
        </w:rPr>
        <w:footnoteRef/>
      </w:r>
      <w:r>
        <w:tab/>
        <w:t>Valstybių kandidačių ir, kai taikoma, Vakarų Balkanų potencialių kandidačių.</w:t>
      </w:r>
    </w:p>
  </w:footnote>
  <w:footnote w:id="20">
    <w:p>
      <w:pPr>
        <w:pStyle w:val="FootnoteText"/>
        <w:rPr>
          <w:szCs w:val="24"/>
        </w:rPr>
      </w:pPr>
      <w:r>
        <w:rPr>
          <w:rStyle w:val="FootnoteReference"/>
        </w:rPr>
        <w:footnoteRef/>
      </w:r>
      <w:r>
        <w:tab/>
        <w:t>2020 metais: techninė ir (arba) administracinė parama bei išlaidos ES programų ir (arba) veiksmų įgyvendinimui remti (buvusios BA eilutės), netiesioginiai moksliniai tyrimai, tiesioginiai moksliniai tyrimai. Nuo 2021 m.: išorės asignuotosios pajamos.</w:t>
      </w:r>
    </w:p>
  </w:footnote>
  <w:footnote w:id="21">
    <w:p>
      <w:pPr>
        <w:pStyle w:val="FootnoteText"/>
        <w:rPr>
          <w:szCs w:val="24"/>
        </w:rPr>
      </w:pPr>
      <w:r>
        <w:rPr>
          <w:rStyle w:val="FootnoteReference"/>
        </w:rPr>
        <w:footnoteRef/>
      </w:r>
      <w:r>
        <w:tab/>
        <w:t xml:space="preserve">CA – sutartininkas („Contract Staff“), LA – vietinis darbuotojas („Local Staff“), SNE – deleguotasis nacionalinis ekspertas („Seconded National Expert“), INT – per agentūrą įdarbintas darbuotojas („agency staff“), JED – jaunesnysis delegacijos ekspertas („Junior Expert in Delegations“). </w:t>
      </w:r>
    </w:p>
  </w:footnote>
  <w:footnote w:id="22">
    <w:p>
      <w:pPr>
        <w:pStyle w:val="FootnoteText"/>
        <w:rPr>
          <w:szCs w:val="24"/>
        </w:rPr>
      </w:pPr>
      <w:r>
        <w:rPr>
          <w:rStyle w:val="FootnoteReference"/>
        </w:rPr>
        <w:footnoteRef/>
      </w:r>
      <w:r>
        <w:tab/>
        <w:t>Neviršijant viršutinės ribos, nustatytos išorės darbuotojams, finansuojamiems iš veiklos asignavimų (buvusių BA eilučių).</w:t>
      </w:r>
    </w:p>
  </w:footnote>
  <w:footnote w:id="23">
    <w:p>
      <w:pPr>
        <w:pStyle w:val="FootnoteText"/>
        <w:rPr>
          <w:szCs w:val="24"/>
        </w:rPr>
      </w:pPr>
      <w:r>
        <w:rPr>
          <w:rStyle w:val="FootnoteReference"/>
        </w:rPr>
        <w:footnoteRef/>
      </w:r>
      <w:r>
        <w:tab/>
        <w:t>Tradiciniai nuosavi ištekliai (muitai, cukraus mokesčiai) turi būti nurodomi grynosiomis sumomis, t. y. iš bendros sumos atskaičius 25 % surinkimo sąnaudų.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850"/>
        </w:tabs>
        <w:ind w:left="850"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1F06166"/>
    <w:multiLevelType w:val="multilevel"/>
    <w:tmpl w:val="39B41F04"/>
    <w:name w:val="0,5329554"/>
    <w:lvl w:ilvl="0">
      <w:start w:val="1"/>
      <w:numFmt w:val="decimal"/>
      <w:lvlRestart w:val="0"/>
      <w:pStyle w:val="ListNumber"/>
      <w:lvlText w:val="(%1)"/>
      <w:lvlJc w:val="left"/>
      <w:pPr>
        <w:tabs>
          <w:tab w:val="num" w:pos="851"/>
        </w:tabs>
        <w:ind w:left="851"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8"/>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10"/>
  </w:num>
  <w:num w:numId="12">
    <w:abstractNumId w:val="2"/>
  </w:num>
  <w:num w:numId="13">
    <w:abstractNumId w:val="11"/>
  </w:num>
  <w:num w:numId="14">
    <w:abstractNumId w:val="9"/>
  </w:num>
  <w:num w:numId="15">
    <w:abstractNumId w:val="17"/>
  </w:num>
  <w:num w:numId="16">
    <w:abstractNumId w:val="7"/>
  </w:num>
  <w:num w:numId="17">
    <w:abstractNumId w:val="14"/>
    <w:lvlOverride w:ilvl="0">
      <w:startOverride w:val="1"/>
    </w:lvlOverride>
  </w:num>
  <w:num w:numId="18">
    <w:abstractNumId w:val="22"/>
  </w:num>
  <w:num w:numId="19">
    <w:abstractNumId w:val="12"/>
  </w:num>
  <w:num w:numId="20">
    <w:abstractNumId w:val="25"/>
  </w:num>
  <w:num w:numId="21">
    <w:abstractNumId w:val="6"/>
  </w:num>
  <w:num w:numId="22">
    <w:abstractNumId w:val="13"/>
  </w:num>
  <w:num w:numId="23">
    <w:abstractNumId w:val="4"/>
  </w:num>
  <w:num w:numId="24">
    <w:abstractNumId w:val="24"/>
  </w:num>
  <w:num w:numId="25">
    <w:abstractNumId w:val="3"/>
  </w:num>
  <w:num w:numId="26">
    <w:abstractNumId w:val="14"/>
  </w:num>
  <w:num w:numId="27">
    <w:abstractNumId w:val="20"/>
  </w:num>
  <w:num w:numId="28">
    <w:abstractNumId w:val="21"/>
  </w:num>
  <w:num w:numId="29">
    <w:abstractNumId w:val="5"/>
  </w:num>
  <w:num w:numId="30">
    <w:abstractNumId w:val="18"/>
  </w:num>
  <w:num w:numId="3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6-02 11:48:5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54"/>
    <w:docVar w:name="DQCResult_ModifiedMarkers" w:val="0;0"/>
    <w:docVar w:name="DQCResult_ModifiedNumbering" w:val="0;0"/>
    <w:docVar w:name="DQCResult_Objects" w:val="0;0"/>
    <w:docVar w:name="DQCResult_Sections" w:val="0;0"/>
    <w:docVar w:name="DQCResult_StructureCheck" w:val="0;0"/>
    <w:docVar w:name="DQCResult_SuperfluousWhitespace" w:val="0;26"/>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6A186950-AB7B-454B-80A3-C9ADCD671BDD"/>
    <w:docVar w:name="LW_COVERPAGE_TYPE" w:val="1"/>
    <w:docVar w:name="LW_CROSSREFERENCE" w:val="&lt;UNUSED&gt;"/>
    <w:docVar w:name="LW_DocType" w:val="COM"/>
    <w:docVar w:name="LW_EMISSION" w:val="2020 05 29"/>
    <w:docVar w:name="LW_EMISSION_ISODATE" w:val="2020-05-29"/>
    <w:docVar w:name="LW_EMISSION_LOCATION" w:val="BRX"/>
    <w:docVar w:name="LW_EMISSION_PREFIX" w:val="Briuseli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NUMBER" w:val="0106"/>
    <w:docVar w:name="LW_REF.II.NEW.CP_YEAR" w:val="2020"/>
    <w:docVar w:name="LW_REF.INST.NEW" w:val="COM"/>
    <w:docVar w:name="LW_REF.INST.NEW_ADOPTED" w:val="final"/>
    <w:docVar w:name="LW_REF.INST.NEW_TEXT" w:val="(2020) 4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u363?lymas"/>
    <w:docVar w:name="LW_SUPERTITRE" w:val="&lt;UNUSED&gt;"/>
    <w:docVar w:name="LW_TITRE.OBJ.CP" w:val="kuriuo d\u279?l kuriamos Mokumo palaikymo priemon\u279?s i\u353? dalies kei\u269?iamas Reglamentas (ES) 2015/1017"/>
    <w:docVar w:name="LW_TYPE.DOC.CP" w:val="EUROPOS PARLAMENTO IR TARYBOS REGLAMENTA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lt-LT"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lt-LT"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lt-LT"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Footnote">
    <w:name w:val="Footnote"/>
    <w:basedOn w:val="ManualConsidrant"/>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t-L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lt-LT"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lt-LT"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lt-LT"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Footnote">
    <w:name w:val="Footnote"/>
    <w:basedOn w:val="ManualConsidrant"/>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t-L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82885">
      <w:bodyDiv w:val="1"/>
      <w:marLeft w:val="0"/>
      <w:marRight w:val="0"/>
      <w:marTop w:val="0"/>
      <w:marBottom w:val="0"/>
      <w:divBdr>
        <w:top w:val="none" w:sz="0" w:space="0" w:color="auto"/>
        <w:left w:val="none" w:sz="0" w:space="0" w:color="auto"/>
        <w:bottom w:val="none" w:sz="0" w:space="0" w:color="auto"/>
        <w:right w:val="none" w:sz="0" w:space="0" w:color="auto"/>
      </w:divBdr>
    </w:div>
    <w:div w:id="1107697314">
      <w:bodyDiv w:val="1"/>
      <w:marLeft w:val="0"/>
      <w:marRight w:val="0"/>
      <w:marTop w:val="0"/>
      <w:marBottom w:val="0"/>
      <w:divBdr>
        <w:top w:val="none" w:sz="0" w:space="0" w:color="auto"/>
        <w:left w:val="none" w:sz="0" w:space="0" w:color="auto"/>
        <w:bottom w:val="none" w:sz="0" w:space="0" w:color="auto"/>
        <w:right w:val="none" w:sz="0" w:space="0" w:color="auto"/>
      </w:divBdr>
    </w:div>
    <w:div w:id="1173762818">
      <w:bodyDiv w:val="1"/>
      <w:marLeft w:val="0"/>
      <w:marRight w:val="0"/>
      <w:marTop w:val="0"/>
      <w:marBottom w:val="0"/>
      <w:divBdr>
        <w:top w:val="none" w:sz="0" w:space="0" w:color="auto"/>
        <w:left w:val="none" w:sz="0" w:space="0" w:color="auto"/>
        <w:bottom w:val="none" w:sz="0" w:space="0" w:color="auto"/>
        <w:right w:val="none" w:sz="0" w:space="0" w:color="auto"/>
      </w:divBdr>
    </w:div>
    <w:div w:id="1304890315">
      <w:bodyDiv w:val="1"/>
      <w:marLeft w:val="0"/>
      <w:marRight w:val="0"/>
      <w:marTop w:val="0"/>
      <w:marBottom w:val="0"/>
      <w:divBdr>
        <w:top w:val="none" w:sz="0" w:space="0" w:color="auto"/>
        <w:left w:val="none" w:sz="0" w:space="0" w:color="auto"/>
        <w:bottom w:val="none" w:sz="0" w:space="0" w:color="auto"/>
        <w:right w:val="none" w:sz="0" w:space="0" w:color="auto"/>
      </w:divBdr>
    </w:div>
    <w:div w:id="1348949563">
      <w:bodyDiv w:val="1"/>
      <w:marLeft w:val="0"/>
      <w:marRight w:val="0"/>
      <w:marTop w:val="0"/>
      <w:marBottom w:val="0"/>
      <w:divBdr>
        <w:top w:val="none" w:sz="0" w:space="0" w:color="auto"/>
        <w:left w:val="none" w:sz="0" w:space="0" w:color="auto"/>
        <w:bottom w:val="none" w:sz="0" w:space="0" w:color="auto"/>
        <w:right w:val="none" w:sz="0" w:space="0" w:color="auto"/>
      </w:divBdr>
    </w:div>
    <w:div w:id="150909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BC3B6-B167-486E-93F3-2FBDBC53E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33</Pages>
  <Words>9455</Words>
  <Characters>63072</Characters>
  <Application>Microsoft Office Word</Application>
  <DocSecurity>0</DocSecurity>
  <Lines>1802</Lines>
  <Paragraphs>853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2020-06-01T19:14:00Z</dcterms:created>
  <dcterms:modified xsi:type="dcterms:W3CDTF">2020-06-02T09:48:00Z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SJ-023</vt:lpwstr>
  </property>
  <property fmtid="{D5CDD505-2E9C-101B-9397-08002B2CF9AE}" pid="7" name="Category">
    <vt:lpwstr>COM/PL/ORG</vt:lpwstr>
  </property>
  <property fmtid="{D5CDD505-2E9C-101B-9397-08002B2CF9AE}" pid="8" name="Version">
    <vt:lpwstr>7.0.8.0</vt:lpwstr>
  </property>
  <property fmtid="{D5CDD505-2E9C-101B-9397-08002B2CF9AE}" pid="9" name="Created using">
    <vt:lpwstr>LW 7.0, Build 20190717</vt:lpwstr>
  </property>
  <property fmtid="{D5CDD505-2E9C-101B-9397-08002B2CF9AE}" pid="10" name="DQCStatus">
    <vt:lpwstr>Green (DQC version 03)</vt:lpwstr>
  </property>
</Properties>
</file>