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2CFC7747-AB9F-4703-8697-15D1B1A50676" style="width:450.75pt;height:338.2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p>
    <w:p>
      <w:pPr>
        <w:rPr>
          <w:noProof/>
        </w:rPr>
      </w:pPr>
    </w:p>
    <w:p>
      <w:pPr>
        <w:pStyle w:val="Rfrenceinterinstitutionnelle"/>
        <w:rPr>
          <w:noProof/>
        </w:rPr>
      </w:pPr>
      <w:r>
        <w:rPr>
          <w:noProof/>
        </w:rPr>
        <w:t>2020/0038 (NLE)</w:t>
      </w:r>
    </w:p>
    <w:p>
      <w:pPr>
        <w:pStyle w:val="Statut"/>
        <w:rPr>
          <w:noProof/>
        </w:rPr>
      </w:pPr>
      <w:r>
        <w:rPr>
          <w:noProof/>
        </w:rPr>
        <w:t>Pasiūlymas</w:t>
      </w:r>
    </w:p>
    <w:p>
      <w:pPr>
        <w:pStyle w:val="Typedudocument"/>
        <w:rPr>
          <w:noProof/>
        </w:rPr>
      </w:pPr>
      <w:r>
        <w:rPr>
          <w:noProof/>
        </w:rPr>
        <w:t>TARYBOS SPRENDIMAS</w:t>
      </w:r>
    </w:p>
    <w:p>
      <w:pPr>
        <w:pStyle w:val="Titreobjet"/>
        <w:rPr>
          <w:noProof/>
        </w:rPr>
      </w:pPr>
      <w:r>
        <w:rPr>
          <w:noProof/>
        </w:rPr>
        <w:t>dėl perviršinio deficito Rumunijoje</w:t>
      </w:r>
    </w:p>
    <w:p>
      <w:pPr>
        <w:pStyle w:val="Institutionquiagit"/>
        <w:rPr>
          <w:noProof/>
        </w:rPr>
      </w:pPr>
      <w:r>
        <w:rPr>
          <w:noProof/>
        </w:rPr>
        <w:t>EUROPOS SĄJUNGOS TARYBA,</w:t>
      </w:r>
    </w:p>
    <w:p>
      <w:pPr>
        <w:rPr>
          <w:noProof/>
          <w:color w:val="000000"/>
        </w:rPr>
      </w:pPr>
      <w:r>
        <w:rPr>
          <w:noProof/>
        </w:rPr>
        <w:t>atsižvelgdama į Sutartį dėl Europos Sąjungos veikimo (SESV), ypač į jos 126 straipsnio 6 dalį,</w:t>
      </w:r>
    </w:p>
    <w:p>
      <w:pPr>
        <w:rPr>
          <w:noProof/>
          <w:color w:val="000000"/>
        </w:rPr>
      </w:pPr>
      <w:r>
        <w:rPr>
          <w:noProof/>
        </w:rPr>
        <w:t>atsižvelgdama į Komisijos pasiūlymą,</w:t>
      </w:r>
    </w:p>
    <w:p>
      <w:pPr>
        <w:rPr>
          <w:noProof/>
          <w:color w:val="000000"/>
        </w:rPr>
      </w:pPr>
      <w:r>
        <w:rPr>
          <w:noProof/>
        </w:rPr>
        <w:t>atsižvelgdama į Rumunijos pastabas,</w:t>
      </w:r>
    </w:p>
    <w:p>
      <w:pPr>
        <w:rPr>
          <w:noProof/>
          <w:color w:val="000000"/>
        </w:rPr>
      </w:pPr>
      <w:r>
        <w:rPr>
          <w:noProof/>
        </w:rPr>
        <w:t>kadangi:</w:t>
      </w:r>
    </w:p>
    <w:p>
      <w:pPr>
        <w:pStyle w:val="ManualConsidrant"/>
        <w:rPr>
          <w:noProof/>
        </w:rPr>
      </w:pPr>
      <w:r>
        <w:rPr>
          <w:noProof/>
        </w:rPr>
        <w:t>(1)</w:t>
      </w:r>
      <w:r>
        <w:rPr>
          <w:noProof/>
        </w:rPr>
        <w:tab/>
        <w:t>pagal SESV 126 straipsnį valstybės narės vengia perviršinio valdžios sektoriaus deficito;</w:t>
      </w:r>
    </w:p>
    <w:p>
      <w:pPr>
        <w:pStyle w:val="ManualConsidrant"/>
        <w:rPr>
          <w:noProof/>
        </w:rPr>
      </w:pPr>
      <w:r>
        <w:rPr>
          <w:noProof/>
        </w:rPr>
        <w:t>(2)</w:t>
      </w:r>
      <w:r>
        <w:rPr>
          <w:noProof/>
        </w:rPr>
        <w:tab/>
        <w:t>Stabilumo ir augimo pakto (SAP) pagrindinis tikslas yra patikimi valstybės finansai – priemonė sudaryti geresnes sąlygas kainų stabilumui ir dideliam tvariam augimui, leidžiančiam kurti naujas darbo vietas;</w:t>
      </w:r>
    </w:p>
    <w:p>
      <w:pPr>
        <w:pStyle w:val="ManualConsidrant"/>
        <w:rPr>
          <w:noProof/>
        </w:rPr>
      </w:pPr>
      <w:r>
        <w:rPr>
          <w:noProof/>
        </w:rPr>
        <w:t>(3)</w:t>
      </w:r>
      <w:r>
        <w:rPr>
          <w:noProof/>
        </w:rPr>
        <w:tab/>
        <w:t>pagal SESV 126 straipsnyje nustatytą perviršinio deficito procedūrą (PDP), kuri išaiškinta Tarybos reglamente (EB) Nr. 1467/97 dėl perviršinio deficito procedūros įgyvendinimo paspartinimo ir paaiškinimo</w:t>
      </w:r>
      <w:r>
        <w:rPr>
          <w:rStyle w:val="FootnoteReference"/>
          <w:noProof/>
        </w:rPr>
        <w:footnoteReference w:id="2"/>
      </w:r>
      <w:r>
        <w:rPr>
          <w:noProof/>
        </w:rPr>
        <w:t xml:space="preserve"> (kuris yra SAP sudėtinė dalis), numatyta priimti sprendimą dėl perviršinio deficito. Prie Europos Sąjungos sutarties ir SESV pridėtame Protokole Nr. 12 dėl perviršinio deficito procedūros nustatytos papildomos nuostatos, susijusios su perviršinio deficito procedūros įgyvendinimu. Tarybos reglamentu (EB) Nr. 479/2009</w:t>
      </w:r>
      <w:r>
        <w:rPr>
          <w:rStyle w:val="FootnoteReference"/>
          <w:noProof/>
        </w:rPr>
        <w:footnoteReference w:id="3"/>
      </w:r>
      <w:r>
        <w:rPr>
          <w:noProof/>
        </w:rPr>
        <w:t xml:space="preserve"> nustatytos išsamios taisyklės ir apibrėžtys, susijusios su tų nuostatų taikymu;</w:t>
      </w:r>
    </w:p>
    <w:p>
      <w:pPr>
        <w:pStyle w:val="ManualConsidrant"/>
        <w:rPr>
          <w:noProof/>
        </w:rPr>
      </w:pPr>
      <w:r>
        <w:rPr>
          <w:noProof/>
        </w:rPr>
        <w:t>(4)</w:t>
      </w:r>
      <w:r>
        <w:rPr>
          <w:noProof/>
        </w:rPr>
        <w:tab/>
        <w:t>vadovaujantis SESV 126 straipsnio 5 dalimi, jei Komisija mano, kad valstybėje narėje yra susidaręs arba gali susidaryti perviršinis deficitas, ji pateikia nuomonę tai valstybei narei ir apie tai informuoja Tarybą. Atsižvelgdama į savo pagal SESV 126 straipsnio 3 dalį priimtą pranešimą ir į Ekonomikos ir finansų komiteto nuomonę, priimtą pagal SESV 126 straipsnio 4 dalį, Komisija padarė išvadą, kad Rumunijoje yra susidaręs perviršinis deficitas. Todėl 2020 m. [kovo 4 d.] Komisija pateikė Rumunijai tokią nuomonę ir apie tai atitinkamai informavo Tarybą</w:t>
      </w:r>
      <w:r>
        <w:rPr>
          <w:rStyle w:val="FootnoteReference"/>
          <w:noProof/>
        </w:rPr>
        <w:footnoteReference w:id="4"/>
      </w:r>
      <w:r>
        <w:rPr>
          <w:noProof/>
        </w:rPr>
        <w:t>;</w:t>
      </w:r>
    </w:p>
    <w:p>
      <w:pPr>
        <w:pStyle w:val="ManualConsidrant"/>
        <w:rPr>
          <w:noProof/>
        </w:rPr>
      </w:pPr>
      <w:r>
        <w:rPr>
          <w:noProof/>
        </w:rPr>
        <w:lastRenderedPageBreak/>
        <w:t>(5)</w:t>
      </w:r>
      <w:r>
        <w:rPr>
          <w:noProof/>
        </w:rPr>
        <w:tab/>
        <w:t>SESV 126 straipsnio 6 dalyje teigiama, kad Taryba, prieš priimdama sprendimą, ar yra susidaręs perviršinis deficitas, turi apsvarstyti ir bendrai įvertinti visas pastabas, kurias atitinkama valstybė narė pageidauja pateikti. Rumunijos atveju, atlikus bendrą įvertinimą, daromos šios išvados;</w:t>
      </w:r>
    </w:p>
    <w:p>
      <w:pPr>
        <w:pStyle w:val="ManualConsidrant"/>
        <w:rPr>
          <w:noProof/>
        </w:rPr>
      </w:pPr>
      <w:r>
        <w:rPr>
          <w:noProof/>
        </w:rPr>
        <w:t>(6)</w:t>
      </w:r>
      <w:r>
        <w:rPr>
          <w:noProof/>
        </w:rPr>
        <w:tab/>
        <w:t>remiantis 2019 m. rugsėjo 30 d. Rumunijos valdžios institucijų pateiktais ir vėliau Eurostato patvirtintais duomenimis, 2018 m. Rumunijos valdžios sektoriaus deficitas siekė 3,0 % BVP, o valdžios sektoriaus skola – 35,0 % BVP. Atsižvelgiant į patikslintus BVP duomenis, kuriuos paskelbus Eurostato pranešimą spaudai paskelbė nacionalinė statistikos institucija, tie santykiai šiek tiek pasikeitė: 2018 m. deficitas siekė 2,9 % BVP, o skola – 34,7 % BVP. Numatoma, kad 2019 m. valdžios sektoriaus deficitas bus 2,8 % BVP;</w:t>
      </w:r>
    </w:p>
    <w:p>
      <w:pPr>
        <w:pStyle w:val="ManualConsidrant"/>
        <w:rPr>
          <w:noProof/>
          <w:color w:val="000000"/>
        </w:rPr>
      </w:pPr>
      <w:r>
        <w:rPr>
          <w:noProof/>
        </w:rPr>
        <w:t>(7)</w:t>
      </w:r>
      <w:r>
        <w:rPr>
          <w:noProof/>
        </w:rPr>
        <w:tab/>
        <w:t xml:space="preserve">2019 m. gruodžio 10 d. vyriausybė priėmė 2020–2022 m. mokesčių ir biudžeto strategiją (toliau – fiskalinė strategija), kurioje 2019 m. nustatytas 3,8 % BVP valdžios sektoriaus deficito tikslas. Jis viršys Sutartyje nustatytą 3 % BVP pamatinę vertę ir nebus jai artimas. Šis 2019 m. susidaręs perviršis, palyginti su Sutartyje numatyta pamatine verte, taip pat nėra išimtinis, nes jo nelėmė nei neįprasti įvykiai, nei didelis ekonomikos nuosmukis, kaip apibrėžta Sutartyje ir Stabilumo ir augimo pakte (SAP). Komisijos 2020 m. žiemos prognozėje numatoma, kad 2019 m. realusis BVP augs 3,9 %, 2020 m. – 3,8 %, o gamybos apimties atotrūkis bus lygus maždaug nuliui. 2019 m. vienkartinės priemonės sudarė 0,1 % BVP ir buvo susijusios su automobilių aplinkosaugos žyminio mokesčio grąžinimu. Be to, numatomas 3 % BVP pamatinės vertės perviršis nėra laikinas, kaip apibrėžta Sutartyje ir SAP. Komisijos 2020 m. žiemos prognozėje, papildytoje fiskaliniais kintamaisiais, numatoma, kad valdžios sektoriaus deficitas 2019 m. bus 4,0 % BVP, 2020 m. – 4,9 %, o 2021 m. – 6,9 %. Prognozuojamą deficito padidėjimą daugiausia lemia labai padidintos pensijos. Fiskalinėje strategijoje vyriausybė taip pat numato, kad valdžios sektoriaus deficitas 2020 ir 2021 m. ir toliau viršys pamatinę vertę – 2020 m. prognozuojamas 3,6 % BVP, o 2021 m. – 3,4 % BVP deficitas. Todėl </w:t>
      </w:r>
      <w:r>
        <w:rPr>
          <w:i/>
          <w:noProof/>
        </w:rPr>
        <w:t>prima facie</w:t>
      </w:r>
      <w:r>
        <w:rPr>
          <w:noProof/>
        </w:rPr>
        <w:t xml:space="preserve"> nesilaikoma SESV nustatyto deficito kriterijaus;</w:t>
      </w:r>
    </w:p>
    <w:p>
      <w:pPr>
        <w:pStyle w:val="ManualConsidrant"/>
        <w:rPr>
          <w:noProof/>
          <w:color w:val="000000"/>
        </w:rPr>
      </w:pPr>
      <w:r>
        <w:rPr>
          <w:noProof/>
        </w:rPr>
        <w:t>(8)</w:t>
      </w:r>
      <w:r>
        <w:rPr>
          <w:noProof/>
        </w:rPr>
        <w:tab/>
        <w:t>2018 m. Rumunijos valdžios sektoriaus skola siekė 34,7 % BVP. Tiek Komisijos 2020 m. žiemos prognozėje, papildytoje fiskaliniais kintamaisiais, tiek fiskalinėje strategijoje numatoma, kad valdžios sektoriaus skola iki 2021 m. didės, tačiau išliks mažesnė už Sutartyje nustatytą pamatinę vertę. Remiantis fiskaline strategija, prognozuojama, kad valdžios sektoriaus skola 2021 m. padidės iki 37,8 % BVP. 2021 m. Komisija prognozuoja didesnį padidėjimą – iki 41,9 % BVP. Taigi, SESV nustatytas skolos kriterijus įvykdytas;</w:t>
      </w:r>
    </w:p>
    <w:p>
      <w:pPr>
        <w:pStyle w:val="ManualConsidrant"/>
        <w:rPr>
          <w:noProof/>
          <w:highlight w:val="yellow"/>
        </w:rPr>
      </w:pPr>
      <w:r>
        <w:rPr>
          <w:noProof/>
        </w:rPr>
        <w:t>(9)</w:t>
      </w:r>
      <w:r>
        <w:rPr>
          <w:noProof/>
        </w:rPr>
        <w:tab/>
        <w:t>pagal SESV 126 straipsnio 3 dalį pateiktame pranešime Komisija pagal SESV 126 straipsnio 3 dalies reikalavimus taip pat išanalizavo visus svarbius veiksnius. Kaip nustatyta Reglamento (EB) Nr. 1467/97 2 straipsnio 4 dalyje, jeigu valstybės skolos santykis su BVP neviršija pamatinės vertės, priimant sprendimą dėl perviršinio deficito susidarymo bus atsižvelgiama į svarbius veiksnius. Vertinant, kaip laikomasi deficito kriterijaus, atsižvelgta į svarbius veiksnius, visų pirma į tai, kad nuo 2017 m. nesiimta veiksmingų priemonių dėl Tarybos rekomendacijų pagal procedūrą dėl didelio nukrypimo, kad Rumunija padarė nedidelę pažangą vykdydama struktūrines reformas ir kad vidutiniu bei ilguoju laikotarpiu Rumunijai kyla didelė fiskalinio tvarumo rizika. Išvada, kad SESV nustatytas deficito kriterijus nėra įvykdytas, nesikeičia,</w:t>
      </w:r>
    </w:p>
    <w:p>
      <w:pPr>
        <w:pStyle w:val="Formuledadoption"/>
        <w:rPr>
          <w:noProof/>
        </w:rPr>
      </w:pPr>
      <w:r>
        <w:rPr>
          <w:noProof/>
        </w:rPr>
        <w:lastRenderedPageBreak/>
        <w:t>PRIĖMĖ ŠĮ SPRENDIMĄ:</w:t>
      </w:r>
    </w:p>
    <w:p>
      <w:pPr>
        <w:pStyle w:val="Titrearticle"/>
        <w:rPr>
          <w:noProof/>
          <w:color w:val="000000"/>
        </w:rPr>
      </w:pPr>
      <w:r>
        <w:rPr>
          <w:noProof/>
        </w:rPr>
        <w:t>1 straipsnis</w:t>
      </w:r>
    </w:p>
    <w:p>
      <w:pPr>
        <w:rPr>
          <w:noProof/>
          <w:color w:val="000000"/>
        </w:rPr>
      </w:pPr>
      <w:r>
        <w:rPr>
          <w:noProof/>
        </w:rPr>
        <w:t>Atlikus bendrą vertinimą nustatyta, kad Rumunijoje dėl deficito kriterijaus nesilaikymo yra susidaręs perviršinis deficitas.</w:t>
      </w:r>
    </w:p>
    <w:p>
      <w:pPr>
        <w:pStyle w:val="Titrearticle"/>
        <w:rPr>
          <w:noProof/>
          <w:color w:val="000000"/>
        </w:rPr>
      </w:pPr>
      <w:r>
        <w:rPr>
          <w:noProof/>
        </w:rPr>
        <w:t>2 straipsnis</w:t>
      </w:r>
    </w:p>
    <w:p>
      <w:pPr>
        <w:rPr>
          <w:noProof/>
          <w:color w:val="000000"/>
        </w:rPr>
      </w:pPr>
      <w:r>
        <w:rPr>
          <w:noProof/>
        </w:rPr>
        <w:t>Šis sprendimas skirtas Rumunijai.</w:t>
      </w:r>
    </w:p>
    <w:p>
      <w:pPr>
        <w:pStyle w:val="Fait"/>
        <w:rPr>
          <w:noProof/>
        </w:rPr>
      </w:pPr>
      <w:r>
        <w:t>Priimta Briuselyje</w:t>
      </w:r>
    </w:p>
    <w:p>
      <w:pPr>
        <w:pStyle w:val="Institutionquisigne"/>
        <w:rPr>
          <w:noProof/>
        </w:rPr>
      </w:pPr>
      <w:r>
        <w:rPr>
          <w:noProof/>
        </w:rPr>
        <w:tab/>
        <w:t>Tarybos vardu</w:t>
      </w:r>
    </w:p>
    <w:p>
      <w:pPr>
        <w:pStyle w:val="Personnequisigne"/>
        <w:rPr>
          <w:noProof/>
        </w:rPr>
      </w:pPr>
      <w:r>
        <w:rPr>
          <w:noProof/>
        </w:rPr>
        <w:tab/>
        <w:t>Pirmininkas</w:t>
      </w:r>
    </w:p>
    <w:sectPr>
      <w:footerReference w:type="default" r:id="rId16"/>
      <w:footerReference w:type="first" r:id="rId17"/>
      <w:pgSz w:w="11907" w:h="16839"/>
      <w:pgMar w:top="1134" w:right="1417" w:bottom="1134" w:left="141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3</w:t>
    </w:r>
    <w:r>
      <w:fldChar w:fldCharType="end"/>
    </w:r>
    <w:r>
      <w:tab/>
    </w:r>
    <w:r>
      <w:tab/>
    </w:r>
    <w:r>
      <w:rPr>
        <w:rFonts w:ascii="Arial" w:hAnsi="Arial" w:cs="Arial"/>
        <w:b/>
        <w:sz w:val="48"/>
      </w:rPr>
      <w:t>LT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OL L 209, 1997 8 2, p. 6.</w:t>
      </w:r>
    </w:p>
  </w:footnote>
  <w:footnote w:id="3">
    <w:p>
      <w:pPr>
        <w:pStyle w:val="FootnoteText"/>
      </w:pPr>
      <w:r>
        <w:rPr>
          <w:rStyle w:val="FootnoteReference"/>
        </w:rPr>
        <w:footnoteRef/>
      </w:r>
      <w:r>
        <w:tab/>
        <w:t>OL L 145, 2009 6 10, p. 1.</w:t>
      </w:r>
    </w:p>
  </w:footnote>
  <w:footnote w:id="4">
    <w:p>
      <w:pPr>
        <w:pStyle w:val="FootnoteText"/>
      </w:pPr>
      <w:r>
        <w:rPr>
          <w:rStyle w:val="FootnoteReference"/>
        </w:rPr>
        <w:footnoteRef/>
      </w:r>
      <w:r>
        <w:tab/>
        <w:t>Visi su PDP susiję Rumunijai skirti dokumentai pateikti https://ec.europa.eu/info/business-economy-euro/economic-and-fiscal-policy-coordination/eu-economic-governance-monitoring-prevention-correction/stability-and-growth-pact/corrective-arm-excessive-deficit-procedure/closed-excessive-deficit-procedures/romania_en#ongoing-procedure.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0"/>
  </w:num>
  <w:num w:numId="2">
    <w:abstractNumId w:val="4"/>
  </w:num>
  <w:num w:numId="3">
    <w:abstractNumId w:val="12"/>
  </w:num>
  <w:num w:numId="4">
    <w:abstractNumId w:val="3"/>
  </w:num>
  <w:num w:numId="5">
    <w:abstractNumId w:val="5"/>
  </w:num>
  <w:num w:numId="6">
    <w:abstractNumId w:val="1"/>
  </w:num>
  <w:num w:numId="7">
    <w:abstractNumId w:val="11"/>
  </w:num>
  <w:num w:numId="8">
    <w:abstractNumId w:val="0"/>
  </w:num>
  <w:num w:numId="9">
    <w:abstractNumId w:val="6"/>
  </w:num>
  <w:num w:numId="10">
    <w:abstractNumId w:val="8"/>
  </w:num>
  <w:num w:numId="11">
    <w:abstractNumId w:val="9"/>
  </w:num>
  <w:num w:numId="12">
    <w:abstractNumId w:val="2"/>
  </w:num>
  <w:num w:numId="13">
    <w:abstractNumId w:val="7"/>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rawingGridHorizontalSpacing w:val="120"/>
  <w:displayHorizontalDrawingGridEvery w:val="2"/>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0-03-09 15:08:0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2CFC7747-AB9F-4703-8697-15D1B1A50676"/>
    <w:docVar w:name="LW_COVERPAGE_TYPE" w:val="1"/>
    <w:docVar w:name="LW_CROSSREFERENCE" w:val="&lt;UNUSED&gt;"/>
    <w:docVar w:name="LW_DocType" w:val="COM"/>
    <w:docVar w:name="LW_EMISSION" w:val="2020 03 04"/>
    <w:docVar w:name="LW_EMISSION_ISODATE" w:val="2020-03-04"/>
    <w:docVar w:name="LW_EMISSION_LOCATION" w:val="BRX"/>
    <w:docVar w:name="LW_EMISSION_PREFIX" w:val="Briuselis,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NLE"/>
    <w:docVar w:name="LW_REF.II.NEW.CP_NUMBER" w:val="0038"/>
    <w:docVar w:name="LW_REF.II.NEW.CP_YEAR" w:val="2020"/>
    <w:docVar w:name="LW_REF.INST.NEW" w:val="COM"/>
    <w:docVar w:name="LW_REF.INST.NEW_ADOPTED" w:val="final"/>
    <w:docVar w:name="LW_REF.INST.NEW_TEXT" w:val="(2020) 8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TATUT.CP" w:val="Pasi\u363?lymas"/>
    <w:docVar w:name="LW_SUPERTITRE" w:val="&lt;UNUSED&gt;"/>
    <w:docVar w:name="LW_TITRE.OBJ.CP" w:val="d\u279?l pervir\u353?inio deficito Rumunijoje"/>
    <w:docVar w:name="LW_TYPE.DOC.CP" w:val="TARYBOS SPRENDIMAS"/>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List Bullet" w:uiPriority="99"/>
    <w:lsdException w:name="List Number" w:semiHidden="0" w:uiPriority="99" w:unhideWhenUsed="0"/>
    <w:lsdException w:name="List 4" w:semiHidden="0" w:unhideWhenUsed="0"/>
    <w:lsdException w:name="List 5" w:semiHidden="0" w:unhideWhenUsed="0"/>
    <w:lsdException w:name="List Bullet 2" w:uiPriority="99"/>
    <w:lsdException w:name="List Bullet 3" w:uiPriority="99"/>
    <w:lsdException w:name="List Bullet 4" w:uiPriority="99"/>
    <w:lsdException w:name="List Number 2" w:uiPriority="99"/>
    <w:lsdException w:name="List Number 3" w:uiPriority="99"/>
    <w:lsdException w:name="List Number 4" w:uiPriority="99"/>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styleId="Hyperlink">
    <w:name w:val="Hyperlink"/>
    <w:uiPriority w:val="99"/>
    <w:rPr>
      <w:color w:val="0000FF"/>
      <w:u w:val="single"/>
    </w:rPr>
  </w:style>
  <w:style w:type="paragraph" w:styleId="Caption">
    <w:name w:val="caption"/>
    <w:basedOn w:val="Normal"/>
    <w:next w:val="Normal"/>
    <w:uiPriority w:val="35"/>
    <w:qFormat/>
    <w:rPr>
      <w:b/>
      <w:bCs/>
      <w:sz w:val="20"/>
      <w:szCs w:val="20"/>
    </w:rPr>
  </w:style>
  <w:style w:type="paragraph" w:styleId="TableofFigures">
    <w:name w:val="table of figures"/>
    <w:basedOn w:val="Normal"/>
    <w:next w:val="Normal"/>
    <w:uiPriority w:val="99"/>
  </w:style>
  <w:style w:type="paragraph" w:styleId="ListBullet">
    <w:name w:val="List Bullet"/>
    <w:basedOn w:val="Normal"/>
    <w:uiPriority w:val="99"/>
    <w:pPr>
      <w:tabs>
        <w:tab w:val="num" w:pos="709"/>
      </w:tabs>
      <w:ind w:left="360" w:hanging="360"/>
      <w:contextualSpacing/>
    </w:pPr>
  </w:style>
  <w:style w:type="paragraph" w:styleId="ListBullet2">
    <w:name w:val="List Bullet 2"/>
    <w:basedOn w:val="Normal"/>
    <w:uiPriority w:val="99"/>
    <w:pPr>
      <w:tabs>
        <w:tab w:val="num" w:pos="643"/>
        <w:tab w:val="num" w:pos="709"/>
      </w:tabs>
      <w:ind w:left="643" w:hanging="360"/>
      <w:contextualSpacing/>
    </w:pPr>
  </w:style>
  <w:style w:type="paragraph" w:styleId="ListBullet3">
    <w:name w:val="List Bullet 3"/>
    <w:basedOn w:val="Normal"/>
    <w:uiPriority w:val="99"/>
    <w:pPr>
      <w:tabs>
        <w:tab w:val="num" w:pos="709"/>
        <w:tab w:val="num" w:pos="926"/>
      </w:tabs>
      <w:ind w:left="926" w:hanging="360"/>
      <w:contextualSpacing/>
    </w:pPr>
  </w:style>
  <w:style w:type="paragraph" w:styleId="ListBullet4">
    <w:name w:val="List Bullet 4"/>
    <w:basedOn w:val="Normal"/>
    <w:uiPriority w:val="99"/>
    <w:pPr>
      <w:tabs>
        <w:tab w:val="num" w:pos="709"/>
        <w:tab w:val="num" w:pos="1209"/>
      </w:tabs>
      <w:ind w:left="1209" w:hanging="360"/>
      <w:contextualSpacing/>
    </w:pPr>
  </w:style>
  <w:style w:type="paragraph" w:styleId="ListNumber">
    <w:name w:val="List Number"/>
    <w:basedOn w:val="Normal"/>
    <w:uiPriority w:val="99"/>
    <w:pPr>
      <w:tabs>
        <w:tab w:val="num" w:pos="709"/>
      </w:tabs>
      <w:ind w:left="360" w:hanging="360"/>
      <w:contextualSpacing/>
    </w:pPr>
  </w:style>
  <w:style w:type="paragraph" w:styleId="ListNumber2">
    <w:name w:val="List Number 2"/>
    <w:basedOn w:val="Normal"/>
    <w:uiPriority w:val="99"/>
    <w:pPr>
      <w:tabs>
        <w:tab w:val="num" w:pos="643"/>
        <w:tab w:val="num" w:pos="709"/>
      </w:tabs>
      <w:ind w:left="643" w:hanging="360"/>
      <w:contextualSpacing/>
    </w:pPr>
  </w:style>
  <w:style w:type="paragraph" w:styleId="ListNumber3">
    <w:name w:val="List Number 3"/>
    <w:basedOn w:val="Normal"/>
    <w:uiPriority w:val="99"/>
    <w:pPr>
      <w:tabs>
        <w:tab w:val="num" w:pos="709"/>
        <w:tab w:val="num" w:pos="926"/>
      </w:tabs>
      <w:ind w:left="926" w:hanging="360"/>
      <w:contextualSpacing/>
    </w:pPr>
  </w:style>
  <w:style w:type="paragraph" w:styleId="ListNumber4">
    <w:name w:val="List Number 4"/>
    <w:basedOn w:val="Normal"/>
    <w:uiPriority w:val="99"/>
    <w:pPr>
      <w:tabs>
        <w:tab w:val="num" w:pos="709"/>
        <w:tab w:val="num" w:pos="1209"/>
      </w:tabs>
      <w:ind w:left="1209" w:hanging="360"/>
      <w:contextualSpacing/>
    </w:p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locked/>
    <w:rPr>
      <w:lang w:val="lt-LT"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locked/>
    <w:rPr>
      <w:b/>
      <w:lang w:val="lt-LT" w:eastAsia="en-US"/>
    </w:rPr>
  </w:style>
  <w:style w:type="paragraph" w:styleId="BalloonText">
    <w:name w:val="Balloon Text"/>
    <w:basedOn w:val="Normal"/>
    <w:link w:val="BalloonTextChar"/>
    <w:uiPriority w:val="99"/>
    <w:pPr>
      <w:spacing w:before="0" w:after="0"/>
    </w:pPr>
    <w:rPr>
      <w:rFonts w:ascii="Tahoma" w:hAnsi="Tahoma" w:cs="Tahoma"/>
      <w:sz w:val="16"/>
      <w:szCs w:val="16"/>
    </w:rPr>
  </w:style>
  <w:style w:type="character" w:customStyle="1" w:styleId="BalloonTextChar">
    <w:name w:val="Balloon Text Char"/>
    <w:link w:val="BalloonText"/>
    <w:uiPriority w:val="99"/>
    <w:locked/>
    <w:rPr>
      <w:rFonts w:ascii="Tahoma" w:hAnsi="Tahoma"/>
      <w:sz w:val="16"/>
      <w:lang w:val="lt-LT" w:eastAsia="en-US"/>
    </w:rPr>
  </w:style>
  <w:style w:type="character" w:styleId="FollowedHyperlink">
    <w:name w:val="FollowedHyperlink"/>
    <w:rPr>
      <w:color w:val="800080"/>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t-L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
      </w:numPr>
    </w:pPr>
  </w:style>
  <w:style w:type="paragraph" w:customStyle="1" w:styleId="NumPar2">
    <w:name w:val="NumPar 2"/>
    <w:basedOn w:val="Normal"/>
    <w:next w:val="Text1"/>
    <w:pPr>
      <w:numPr>
        <w:ilvl w:val="1"/>
        <w:numId w:val="6"/>
      </w:numPr>
    </w:pPr>
  </w:style>
  <w:style w:type="paragraph" w:customStyle="1" w:styleId="NumPar3">
    <w:name w:val="NumPar 3"/>
    <w:basedOn w:val="Normal"/>
    <w:next w:val="Text1"/>
    <w:pPr>
      <w:numPr>
        <w:ilvl w:val="2"/>
        <w:numId w:val="6"/>
      </w:numPr>
    </w:pPr>
  </w:style>
  <w:style w:type="paragraph" w:customStyle="1" w:styleId="NumPar4">
    <w:name w:val="NumPar 4"/>
    <w:basedOn w:val="Normal"/>
    <w:next w:val="Text1"/>
    <w:pPr>
      <w:numPr>
        <w:ilvl w:val="3"/>
        <w:numId w:val="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
      </w:numPr>
    </w:pPr>
  </w:style>
  <w:style w:type="paragraph" w:customStyle="1" w:styleId="Point1number">
    <w:name w:val="Point 1 (number)"/>
    <w:basedOn w:val="Normal"/>
    <w:pPr>
      <w:numPr>
        <w:ilvl w:val="2"/>
        <w:numId w:val="8"/>
      </w:numPr>
    </w:pPr>
  </w:style>
  <w:style w:type="paragraph" w:customStyle="1" w:styleId="Point2number">
    <w:name w:val="Point 2 (number)"/>
    <w:basedOn w:val="Normal"/>
    <w:pPr>
      <w:numPr>
        <w:ilvl w:val="4"/>
        <w:numId w:val="8"/>
      </w:numPr>
    </w:pPr>
  </w:style>
  <w:style w:type="paragraph" w:customStyle="1" w:styleId="Point3number">
    <w:name w:val="Point 3 (number)"/>
    <w:basedOn w:val="Normal"/>
    <w:pPr>
      <w:numPr>
        <w:ilvl w:val="6"/>
        <w:numId w:val="8"/>
      </w:numPr>
    </w:pPr>
  </w:style>
  <w:style w:type="paragraph" w:customStyle="1" w:styleId="Point0letter">
    <w:name w:val="Point 0 (letter)"/>
    <w:basedOn w:val="Normal"/>
    <w:pPr>
      <w:numPr>
        <w:ilvl w:val="1"/>
        <w:numId w:val="8"/>
      </w:numPr>
    </w:pPr>
  </w:style>
  <w:style w:type="paragraph" w:customStyle="1" w:styleId="Point1letter">
    <w:name w:val="Point 1 (letter)"/>
    <w:basedOn w:val="Normal"/>
    <w:pPr>
      <w:numPr>
        <w:ilvl w:val="3"/>
        <w:numId w:val="8"/>
      </w:numPr>
    </w:pPr>
  </w:style>
  <w:style w:type="paragraph" w:customStyle="1" w:styleId="Point2letter">
    <w:name w:val="Point 2 (letter)"/>
    <w:basedOn w:val="Normal"/>
    <w:pPr>
      <w:numPr>
        <w:ilvl w:val="5"/>
        <w:numId w:val="8"/>
      </w:numPr>
    </w:pPr>
  </w:style>
  <w:style w:type="paragraph" w:customStyle="1" w:styleId="Point3letter">
    <w:name w:val="Point 3 (letter)"/>
    <w:basedOn w:val="Normal"/>
    <w:pPr>
      <w:numPr>
        <w:ilvl w:val="7"/>
        <w:numId w:val="8"/>
      </w:numPr>
    </w:pPr>
  </w:style>
  <w:style w:type="paragraph" w:customStyle="1" w:styleId="Point4letter">
    <w:name w:val="Point 4 (letter)"/>
    <w:basedOn w:val="Normal"/>
    <w:pPr>
      <w:numPr>
        <w:ilvl w:val="8"/>
        <w:numId w:val="8"/>
      </w:numPr>
    </w:pPr>
  </w:style>
  <w:style w:type="paragraph" w:customStyle="1" w:styleId="Bullet0">
    <w:name w:val="Bullet 0"/>
    <w:basedOn w:val="Normal"/>
    <w:pPr>
      <w:numPr>
        <w:numId w:val="9"/>
      </w:numPr>
    </w:pPr>
  </w:style>
  <w:style w:type="paragraph" w:customStyle="1" w:styleId="Bullet1">
    <w:name w:val="Bullet 1"/>
    <w:basedOn w:val="Normal"/>
    <w:pPr>
      <w:numPr>
        <w:numId w:val="10"/>
      </w:numPr>
    </w:pPr>
  </w:style>
  <w:style w:type="paragraph" w:customStyle="1" w:styleId="Bullet2">
    <w:name w:val="Bullet 2"/>
    <w:basedOn w:val="Normal"/>
    <w:pPr>
      <w:numPr>
        <w:numId w:val="11"/>
      </w:numPr>
    </w:pPr>
  </w:style>
  <w:style w:type="paragraph" w:customStyle="1" w:styleId="Bullet3">
    <w:name w:val="Bullet 3"/>
    <w:basedOn w:val="Normal"/>
    <w:pPr>
      <w:numPr>
        <w:numId w:val="12"/>
      </w:numPr>
    </w:pPr>
  </w:style>
  <w:style w:type="paragraph" w:customStyle="1" w:styleId="Bullet4">
    <w:name w:val="Bullet 4"/>
    <w:basedOn w:val="Normal"/>
    <w:pPr>
      <w:numPr>
        <w:numId w:val="1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List Bullet" w:uiPriority="99"/>
    <w:lsdException w:name="List Number" w:semiHidden="0" w:uiPriority="99" w:unhideWhenUsed="0"/>
    <w:lsdException w:name="List 4" w:semiHidden="0" w:unhideWhenUsed="0"/>
    <w:lsdException w:name="List 5" w:semiHidden="0" w:unhideWhenUsed="0"/>
    <w:lsdException w:name="List Bullet 2" w:uiPriority="99"/>
    <w:lsdException w:name="List Bullet 3" w:uiPriority="99"/>
    <w:lsdException w:name="List Bullet 4" w:uiPriority="99"/>
    <w:lsdException w:name="List Number 2" w:uiPriority="99"/>
    <w:lsdException w:name="List Number 3" w:uiPriority="99"/>
    <w:lsdException w:name="List Number 4" w:uiPriority="99"/>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styleId="Hyperlink">
    <w:name w:val="Hyperlink"/>
    <w:uiPriority w:val="99"/>
    <w:rPr>
      <w:color w:val="0000FF"/>
      <w:u w:val="single"/>
    </w:rPr>
  </w:style>
  <w:style w:type="paragraph" w:styleId="Caption">
    <w:name w:val="caption"/>
    <w:basedOn w:val="Normal"/>
    <w:next w:val="Normal"/>
    <w:uiPriority w:val="35"/>
    <w:qFormat/>
    <w:rPr>
      <w:b/>
      <w:bCs/>
      <w:sz w:val="20"/>
      <w:szCs w:val="20"/>
    </w:rPr>
  </w:style>
  <w:style w:type="paragraph" w:styleId="TableofFigures">
    <w:name w:val="table of figures"/>
    <w:basedOn w:val="Normal"/>
    <w:next w:val="Normal"/>
    <w:uiPriority w:val="99"/>
  </w:style>
  <w:style w:type="paragraph" w:styleId="ListBullet">
    <w:name w:val="List Bullet"/>
    <w:basedOn w:val="Normal"/>
    <w:uiPriority w:val="99"/>
    <w:pPr>
      <w:tabs>
        <w:tab w:val="num" w:pos="709"/>
      </w:tabs>
      <w:ind w:left="360" w:hanging="360"/>
      <w:contextualSpacing/>
    </w:pPr>
  </w:style>
  <w:style w:type="paragraph" w:styleId="ListBullet2">
    <w:name w:val="List Bullet 2"/>
    <w:basedOn w:val="Normal"/>
    <w:uiPriority w:val="99"/>
    <w:pPr>
      <w:tabs>
        <w:tab w:val="num" w:pos="643"/>
        <w:tab w:val="num" w:pos="709"/>
      </w:tabs>
      <w:ind w:left="643" w:hanging="360"/>
      <w:contextualSpacing/>
    </w:pPr>
  </w:style>
  <w:style w:type="paragraph" w:styleId="ListBullet3">
    <w:name w:val="List Bullet 3"/>
    <w:basedOn w:val="Normal"/>
    <w:uiPriority w:val="99"/>
    <w:pPr>
      <w:tabs>
        <w:tab w:val="num" w:pos="709"/>
        <w:tab w:val="num" w:pos="926"/>
      </w:tabs>
      <w:ind w:left="926" w:hanging="360"/>
      <w:contextualSpacing/>
    </w:pPr>
  </w:style>
  <w:style w:type="paragraph" w:styleId="ListBullet4">
    <w:name w:val="List Bullet 4"/>
    <w:basedOn w:val="Normal"/>
    <w:uiPriority w:val="99"/>
    <w:pPr>
      <w:tabs>
        <w:tab w:val="num" w:pos="709"/>
        <w:tab w:val="num" w:pos="1209"/>
      </w:tabs>
      <w:ind w:left="1209" w:hanging="360"/>
      <w:contextualSpacing/>
    </w:pPr>
  </w:style>
  <w:style w:type="paragraph" w:styleId="ListNumber">
    <w:name w:val="List Number"/>
    <w:basedOn w:val="Normal"/>
    <w:uiPriority w:val="99"/>
    <w:pPr>
      <w:tabs>
        <w:tab w:val="num" w:pos="709"/>
      </w:tabs>
      <w:ind w:left="360" w:hanging="360"/>
      <w:contextualSpacing/>
    </w:pPr>
  </w:style>
  <w:style w:type="paragraph" w:styleId="ListNumber2">
    <w:name w:val="List Number 2"/>
    <w:basedOn w:val="Normal"/>
    <w:uiPriority w:val="99"/>
    <w:pPr>
      <w:tabs>
        <w:tab w:val="num" w:pos="643"/>
        <w:tab w:val="num" w:pos="709"/>
      </w:tabs>
      <w:ind w:left="643" w:hanging="360"/>
      <w:contextualSpacing/>
    </w:pPr>
  </w:style>
  <w:style w:type="paragraph" w:styleId="ListNumber3">
    <w:name w:val="List Number 3"/>
    <w:basedOn w:val="Normal"/>
    <w:uiPriority w:val="99"/>
    <w:pPr>
      <w:tabs>
        <w:tab w:val="num" w:pos="709"/>
        <w:tab w:val="num" w:pos="926"/>
      </w:tabs>
      <w:ind w:left="926" w:hanging="360"/>
      <w:contextualSpacing/>
    </w:pPr>
  </w:style>
  <w:style w:type="paragraph" w:styleId="ListNumber4">
    <w:name w:val="List Number 4"/>
    <w:basedOn w:val="Normal"/>
    <w:uiPriority w:val="99"/>
    <w:pPr>
      <w:tabs>
        <w:tab w:val="num" w:pos="709"/>
        <w:tab w:val="num" w:pos="1209"/>
      </w:tabs>
      <w:ind w:left="1209" w:hanging="360"/>
      <w:contextualSpacing/>
    </w:p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locked/>
    <w:rPr>
      <w:lang w:val="lt-LT"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locked/>
    <w:rPr>
      <w:b/>
      <w:lang w:val="lt-LT" w:eastAsia="en-US"/>
    </w:rPr>
  </w:style>
  <w:style w:type="paragraph" w:styleId="BalloonText">
    <w:name w:val="Balloon Text"/>
    <w:basedOn w:val="Normal"/>
    <w:link w:val="BalloonTextChar"/>
    <w:uiPriority w:val="99"/>
    <w:pPr>
      <w:spacing w:before="0" w:after="0"/>
    </w:pPr>
    <w:rPr>
      <w:rFonts w:ascii="Tahoma" w:hAnsi="Tahoma" w:cs="Tahoma"/>
      <w:sz w:val="16"/>
      <w:szCs w:val="16"/>
    </w:rPr>
  </w:style>
  <w:style w:type="character" w:customStyle="1" w:styleId="BalloonTextChar">
    <w:name w:val="Balloon Text Char"/>
    <w:link w:val="BalloonText"/>
    <w:uiPriority w:val="99"/>
    <w:locked/>
    <w:rPr>
      <w:rFonts w:ascii="Tahoma" w:hAnsi="Tahoma"/>
      <w:sz w:val="16"/>
      <w:lang w:val="lt-LT" w:eastAsia="en-US"/>
    </w:rPr>
  </w:style>
  <w:style w:type="character" w:styleId="FollowedHyperlink">
    <w:name w:val="FollowedHyperlink"/>
    <w:rPr>
      <w:color w:val="800080"/>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t-L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
      </w:numPr>
    </w:pPr>
  </w:style>
  <w:style w:type="paragraph" w:customStyle="1" w:styleId="NumPar2">
    <w:name w:val="NumPar 2"/>
    <w:basedOn w:val="Normal"/>
    <w:next w:val="Text1"/>
    <w:pPr>
      <w:numPr>
        <w:ilvl w:val="1"/>
        <w:numId w:val="6"/>
      </w:numPr>
    </w:pPr>
  </w:style>
  <w:style w:type="paragraph" w:customStyle="1" w:styleId="NumPar3">
    <w:name w:val="NumPar 3"/>
    <w:basedOn w:val="Normal"/>
    <w:next w:val="Text1"/>
    <w:pPr>
      <w:numPr>
        <w:ilvl w:val="2"/>
        <w:numId w:val="6"/>
      </w:numPr>
    </w:pPr>
  </w:style>
  <w:style w:type="paragraph" w:customStyle="1" w:styleId="NumPar4">
    <w:name w:val="NumPar 4"/>
    <w:basedOn w:val="Normal"/>
    <w:next w:val="Text1"/>
    <w:pPr>
      <w:numPr>
        <w:ilvl w:val="3"/>
        <w:numId w:val="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
      </w:numPr>
    </w:pPr>
  </w:style>
  <w:style w:type="paragraph" w:customStyle="1" w:styleId="Point1number">
    <w:name w:val="Point 1 (number)"/>
    <w:basedOn w:val="Normal"/>
    <w:pPr>
      <w:numPr>
        <w:ilvl w:val="2"/>
        <w:numId w:val="8"/>
      </w:numPr>
    </w:pPr>
  </w:style>
  <w:style w:type="paragraph" w:customStyle="1" w:styleId="Point2number">
    <w:name w:val="Point 2 (number)"/>
    <w:basedOn w:val="Normal"/>
    <w:pPr>
      <w:numPr>
        <w:ilvl w:val="4"/>
        <w:numId w:val="8"/>
      </w:numPr>
    </w:pPr>
  </w:style>
  <w:style w:type="paragraph" w:customStyle="1" w:styleId="Point3number">
    <w:name w:val="Point 3 (number)"/>
    <w:basedOn w:val="Normal"/>
    <w:pPr>
      <w:numPr>
        <w:ilvl w:val="6"/>
        <w:numId w:val="8"/>
      </w:numPr>
    </w:pPr>
  </w:style>
  <w:style w:type="paragraph" w:customStyle="1" w:styleId="Point0letter">
    <w:name w:val="Point 0 (letter)"/>
    <w:basedOn w:val="Normal"/>
    <w:pPr>
      <w:numPr>
        <w:ilvl w:val="1"/>
        <w:numId w:val="8"/>
      </w:numPr>
    </w:pPr>
  </w:style>
  <w:style w:type="paragraph" w:customStyle="1" w:styleId="Point1letter">
    <w:name w:val="Point 1 (letter)"/>
    <w:basedOn w:val="Normal"/>
    <w:pPr>
      <w:numPr>
        <w:ilvl w:val="3"/>
        <w:numId w:val="8"/>
      </w:numPr>
    </w:pPr>
  </w:style>
  <w:style w:type="paragraph" w:customStyle="1" w:styleId="Point2letter">
    <w:name w:val="Point 2 (letter)"/>
    <w:basedOn w:val="Normal"/>
    <w:pPr>
      <w:numPr>
        <w:ilvl w:val="5"/>
        <w:numId w:val="8"/>
      </w:numPr>
    </w:pPr>
  </w:style>
  <w:style w:type="paragraph" w:customStyle="1" w:styleId="Point3letter">
    <w:name w:val="Point 3 (letter)"/>
    <w:basedOn w:val="Normal"/>
    <w:pPr>
      <w:numPr>
        <w:ilvl w:val="7"/>
        <w:numId w:val="8"/>
      </w:numPr>
    </w:pPr>
  </w:style>
  <w:style w:type="paragraph" w:customStyle="1" w:styleId="Point4letter">
    <w:name w:val="Point 4 (letter)"/>
    <w:basedOn w:val="Normal"/>
    <w:pPr>
      <w:numPr>
        <w:ilvl w:val="8"/>
        <w:numId w:val="8"/>
      </w:numPr>
    </w:pPr>
  </w:style>
  <w:style w:type="paragraph" w:customStyle="1" w:styleId="Bullet0">
    <w:name w:val="Bullet 0"/>
    <w:basedOn w:val="Normal"/>
    <w:pPr>
      <w:numPr>
        <w:numId w:val="9"/>
      </w:numPr>
    </w:pPr>
  </w:style>
  <w:style w:type="paragraph" w:customStyle="1" w:styleId="Bullet1">
    <w:name w:val="Bullet 1"/>
    <w:basedOn w:val="Normal"/>
    <w:pPr>
      <w:numPr>
        <w:numId w:val="10"/>
      </w:numPr>
    </w:pPr>
  </w:style>
  <w:style w:type="paragraph" w:customStyle="1" w:styleId="Bullet2">
    <w:name w:val="Bullet 2"/>
    <w:basedOn w:val="Normal"/>
    <w:pPr>
      <w:numPr>
        <w:numId w:val="11"/>
      </w:numPr>
    </w:pPr>
  </w:style>
  <w:style w:type="paragraph" w:customStyle="1" w:styleId="Bullet3">
    <w:name w:val="Bullet 3"/>
    <w:basedOn w:val="Normal"/>
    <w:pPr>
      <w:numPr>
        <w:numId w:val="12"/>
      </w:numPr>
    </w:pPr>
  </w:style>
  <w:style w:type="paragraph" w:customStyle="1" w:styleId="Bullet4">
    <w:name w:val="Bullet 4"/>
    <w:basedOn w:val="Normal"/>
    <w:pPr>
      <w:numPr>
        <w:numId w:val="1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21356">
      <w:marLeft w:val="0"/>
      <w:marRight w:val="0"/>
      <w:marTop w:val="0"/>
      <w:marBottom w:val="0"/>
      <w:divBdr>
        <w:top w:val="none" w:sz="0" w:space="0" w:color="auto"/>
        <w:left w:val="none" w:sz="0" w:space="0" w:color="auto"/>
        <w:bottom w:val="none" w:sz="0" w:space="0" w:color="auto"/>
        <w:right w:val="none" w:sz="0" w:space="0" w:color="auto"/>
      </w:divBdr>
    </w:div>
    <w:div w:id="10546213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D4981-E964-4E50-9D6A-9D51E5D22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4</Pages>
  <Words>769</Words>
  <Characters>4851</Characters>
  <Application>Microsoft Office Word</Application>
  <DocSecurity>0</DocSecurity>
  <Lines>91</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5590</CharactersWithSpaces>
  <SharedDoc>false</SharedDoc>
  <HLinks>
    <vt:vector size="6" baseType="variant">
      <vt:variant>
        <vt:i4>7798887</vt:i4>
      </vt:variant>
      <vt:variant>
        <vt:i4>0</vt:i4>
      </vt:variant>
      <vt:variant>
        <vt:i4>0</vt:i4>
      </vt:variant>
      <vt:variant>
        <vt:i4>5</vt:i4>
      </vt:variant>
      <vt:variant>
        <vt:lpwstr>https://ec.europa.eu/info/business-economy-euro/economic-and-fiscal-policy-coordination/eu-economic-governance-monitoring-prevention-correction/stability-and-growth-pact/corrective-arm-excessive-deficit-procedure/closed-excessive-deficit-procedures/italy_en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21</cp:revision>
  <dcterms:created xsi:type="dcterms:W3CDTF">2020-03-06T12:41:00Z</dcterms:created>
  <dcterms:modified xsi:type="dcterms:W3CDTF">2020-03-09T14:08:00Z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5.8.64.0</vt:lpwstr>
  </property>
  <property fmtid="{D5CDD505-2E9C-101B-9397-08002B2CF9AE}" pid="4" name="Last edited using">
    <vt:lpwstr>LW 7.0, Build 20190717</vt:lpwstr>
  </property>
  <property fmtid="{D5CDD505-2E9C-101B-9397-08002B2CF9AE}" pid="5" name="Created using">
    <vt:lpwstr>LW 5.8.2, Build 20120919</vt:lpwstr>
  </property>
  <property fmtid="{D5CDD505-2E9C-101B-9397-08002B2CF9AE}" pid="6" name="LWTemplateID">
    <vt:lpwstr>SJ-019</vt:lpwstr>
  </property>
  <property fmtid="{D5CDD505-2E9C-101B-9397-08002B2CF9AE}" pid="7" name="Level of sensitivity">
    <vt:lpwstr>Standard treatment</vt:lpwstr>
  </property>
  <property fmtid="{D5CDD505-2E9C-101B-9397-08002B2CF9AE}" pid="8" name="Part">
    <vt:lpwstr>1</vt:lpwstr>
  </property>
  <property fmtid="{D5CDD505-2E9C-101B-9397-08002B2CF9AE}" pid="9" name="Total parts">
    <vt:lpwstr>1</vt:lpwstr>
  </property>
  <property fmtid="{D5CDD505-2E9C-101B-9397-08002B2CF9AE}" pid="10" name="DQCStatus">
    <vt:lpwstr>Green (DQC version 03)</vt:lpwstr>
  </property>
  <property name="OP_sanitized" fmtid="{D5CDD505-2E9C-101B-9397-08002B2CF9AE}" pid="11">
    <vt:lpwstr>True</vt:lpwstr>
  </property>
</Properties>
</file>