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drawings/drawing2.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061" w:rsidRDefault="00743783">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75A6C8D-F95A-4C63-9074-A5C910AE53C7" style="width:450.4pt;height:333.2pt">
            <v:imagedata r:id="rId8" o:title=""/>
          </v:shape>
        </w:pict>
      </w:r>
    </w:p>
    <w:bookmarkEnd w:id="0"/>
    <w:p w:rsidR="00394061" w:rsidRDefault="00394061">
      <w:pPr>
        <w:rPr>
          <w:noProof/>
        </w:rPr>
        <w:sectPr w:rsidR="0039406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bookmarkStart w:id="1" w:name="_Toc33800393" w:displacedByCustomXml="next"/>
    <w:bookmarkStart w:id="2" w:name="_Toc32444145" w:displacedByCustomXml="next"/>
    <w:sdt>
      <w:sdtPr>
        <w:rPr>
          <w:rFonts w:asciiTheme="minorHAnsi" w:eastAsiaTheme="minorHAnsi" w:hAnsiTheme="minorHAnsi" w:cstheme="minorBidi"/>
          <w:b w:val="0"/>
          <w:caps w:val="0"/>
          <w:noProof/>
          <w:sz w:val="22"/>
          <w:szCs w:val="22"/>
          <w:lang w:eastAsia="en-US"/>
        </w:rPr>
        <w:id w:val="2123412634"/>
        <w:docPartObj>
          <w:docPartGallery w:val="Table of Contents"/>
          <w:docPartUnique/>
        </w:docPartObj>
      </w:sdtPr>
      <w:sdtEndPr>
        <w:rPr>
          <w:bCs/>
        </w:rPr>
      </w:sdtEndPr>
      <w:sdtContent>
        <w:p w:rsidR="00394061" w:rsidRDefault="00743783">
          <w:pPr>
            <w:pStyle w:val="TOCHeading"/>
            <w:rPr>
              <w:noProof/>
            </w:rPr>
          </w:pPr>
          <w:r>
            <w:rPr>
              <w:noProof/>
            </w:rPr>
            <w:t>TURINYS</w:t>
          </w:r>
        </w:p>
        <w:p w:rsidR="00394061" w:rsidRDefault="00743783" w:rsidP="00743783">
          <w:pPr>
            <w:pStyle w:val="TOC1"/>
            <w:ind w:right="1592"/>
            <w:rPr>
              <w:rFonts w:asciiTheme="minorHAnsi" w:eastAsiaTheme="minorEastAsia" w:hAnsiTheme="minorHAnsi" w:cstheme="minorBidi"/>
              <w:caps w:val="0"/>
              <w:noProof/>
              <w:sz w:val="22"/>
              <w:szCs w:val="22"/>
              <w:lang w:val="en-GB"/>
            </w:rPr>
          </w:pPr>
          <w:r>
            <w:rPr>
              <w:noProof/>
            </w:rPr>
            <w:fldChar w:fldCharType="begin"/>
          </w:r>
          <w:r>
            <w:rPr>
              <w:noProof/>
            </w:rPr>
            <w:instrText xml:space="preserve"> TOC \o "1-3" \h \z \u </w:instrText>
          </w:r>
          <w:r>
            <w:rPr>
              <w:noProof/>
            </w:rPr>
            <w:fldChar w:fldCharType="separate"/>
          </w:r>
          <w:hyperlink w:anchor="_Toc43899479" w:history="1">
            <w:r>
              <w:rPr>
                <w:rStyle w:val="Hyperlink"/>
                <w:noProof/>
              </w:rPr>
              <w:t>1.</w:t>
            </w:r>
            <w:r>
              <w:rPr>
                <w:rFonts w:asciiTheme="minorHAnsi" w:eastAsiaTheme="minorEastAsia" w:hAnsiTheme="minorHAnsi" w:cstheme="minorBidi"/>
                <w:caps w:val="0"/>
                <w:noProof/>
                <w:sz w:val="22"/>
                <w:szCs w:val="22"/>
                <w:lang w:val="en-GB"/>
              </w:rPr>
              <w:tab/>
            </w:r>
            <w:r>
              <w:rPr>
                <w:rStyle w:val="Hyperlink"/>
                <w:noProof/>
              </w:rPr>
              <w:t>ĮVADAS</w:t>
            </w:r>
            <w:r>
              <w:rPr>
                <w:noProof/>
                <w:webHidden/>
              </w:rPr>
              <w:tab/>
            </w:r>
            <w:r>
              <w:rPr>
                <w:noProof/>
                <w:webHidden/>
              </w:rPr>
              <w:fldChar w:fldCharType="begin"/>
            </w:r>
            <w:r>
              <w:rPr>
                <w:noProof/>
                <w:webHidden/>
              </w:rPr>
              <w:instrText xml:space="preserve"> PAGEREF _Toc43899479 \h </w:instrText>
            </w:r>
            <w:r>
              <w:rPr>
                <w:noProof/>
                <w:webHidden/>
              </w:rPr>
            </w:r>
            <w:r>
              <w:rPr>
                <w:noProof/>
                <w:webHidden/>
              </w:rPr>
              <w:fldChar w:fldCharType="separate"/>
            </w:r>
            <w:r>
              <w:rPr>
                <w:noProof/>
                <w:webHidden/>
              </w:rPr>
              <w:t>2</w:t>
            </w:r>
            <w:r>
              <w:rPr>
                <w:noProof/>
                <w:webHidden/>
              </w:rPr>
              <w:fldChar w:fldCharType="end"/>
            </w:r>
          </w:hyperlink>
        </w:p>
        <w:p w:rsidR="00394061" w:rsidRDefault="00743783" w:rsidP="00743783">
          <w:pPr>
            <w:pStyle w:val="TOC1"/>
            <w:ind w:right="1592"/>
            <w:rPr>
              <w:rFonts w:asciiTheme="minorHAnsi" w:eastAsiaTheme="minorEastAsia" w:hAnsiTheme="minorHAnsi" w:cstheme="minorBidi"/>
              <w:caps w:val="0"/>
              <w:noProof/>
              <w:sz w:val="22"/>
              <w:szCs w:val="22"/>
              <w:lang w:val="en-GB"/>
            </w:rPr>
          </w:pPr>
          <w:hyperlink w:anchor="_Toc43899480" w:history="1">
            <w:r>
              <w:rPr>
                <w:rStyle w:val="Hyperlink"/>
                <w:noProof/>
              </w:rPr>
              <w:t>2.</w:t>
            </w:r>
            <w:r>
              <w:rPr>
                <w:rFonts w:asciiTheme="minorHAnsi" w:eastAsiaTheme="minorEastAsia" w:hAnsiTheme="minorHAnsi" w:cstheme="minorBidi"/>
                <w:caps w:val="0"/>
                <w:noProof/>
                <w:sz w:val="22"/>
                <w:szCs w:val="22"/>
                <w:lang w:val="en-GB"/>
              </w:rPr>
              <w:tab/>
            </w:r>
            <w:r>
              <w:rPr>
                <w:rStyle w:val="Hyperlink"/>
                <w:noProof/>
              </w:rPr>
              <w:t>DEMOGRAFINIUS POKYČIUS EUROPOJE LEMIANTYS VEIKSNIAI</w:t>
            </w:r>
            <w:r>
              <w:rPr>
                <w:noProof/>
                <w:webHidden/>
              </w:rPr>
              <w:tab/>
            </w:r>
            <w:r>
              <w:rPr>
                <w:noProof/>
                <w:webHidden/>
              </w:rPr>
              <w:fldChar w:fldCharType="begin"/>
            </w:r>
            <w:r>
              <w:rPr>
                <w:noProof/>
                <w:webHidden/>
              </w:rPr>
              <w:instrText xml:space="preserve"> PAGEREF _Toc43899480 \h </w:instrText>
            </w:r>
            <w:r>
              <w:rPr>
                <w:noProof/>
                <w:webHidden/>
              </w:rPr>
            </w:r>
            <w:r>
              <w:rPr>
                <w:noProof/>
                <w:webHidden/>
              </w:rPr>
              <w:fldChar w:fldCharType="separate"/>
            </w:r>
            <w:r>
              <w:rPr>
                <w:noProof/>
                <w:webHidden/>
              </w:rPr>
              <w:t>4</w:t>
            </w:r>
            <w:r>
              <w:rPr>
                <w:noProof/>
                <w:webHidden/>
              </w:rPr>
              <w:fldChar w:fldCharType="end"/>
            </w:r>
          </w:hyperlink>
        </w:p>
        <w:p w:rsidR="00394061" w:rsidRDefault="00743783" w:rsidP="00743783">
          <w:pPr>
            <w:pStyle w:val="TOC2"/>
            <w:ind w:right="1592"/>
            <w:rPr>
              <w:rFonts w:asciiTheme="minorHAnsi" w:eastAsiaTheme="minorEastAsia" w:hAnsiTheme="minorHAnsi" w:cstheme="minorBidi"/>
              <w:sz w:val="22"/>
              <w:szCs w:val="22"/>
              <w:lang w:val="en-GB"/>
            </w:rPr>
          </w:pPr>
          <w:hyperlink w:anchor="_Toc43899481" w:history="1">
            <w:r>
              <w:rPr>
                <w:rStyle w:val="Hyperlink"/>
              </w:rPr>
              <w:t>2.1. ILGESNĖ TIKĖTINA GYVENIMO TRUKMĖ</w:t>
            </w:r>
            <w:r>
              <w:rPr>
                <w:webHidden/>
              </w:rPr>
              <w:tab/>
            </w:r>
            <w:r>
              <w:rPr>
                <w:webHidden/>
              </w:rPr>
              <w:fldChar w:fldCharType="begin"/>
            </w:r>
            <w:r>
              <w:rPr>
                <w:webHidden/>
              </w:rPr>
              <w:instrText xml:space="preserve"> PAGEREF _Toc43899481 \h </w:instrText>
            </w:r>
            <w:r>
              <w:rPr>
                <w:webHidden/>
              </w:rPr>
            </w:r>
            <w:r>
              <w:rPr>
                <w:webHidden/>
              </w:rPr>
              <w:fldChar w:fldCharType="separate"/>
            </w:r>
            <w:r>
              <w:rPr>
                <w:webHidden/>
              </w:rPr>
              <w:t>4</w:t>
            </w:r>
            <w:r>
              <w:rPr>
                <w:webHidden/>
              </w:rPr>
              <w:fldChar w:fldCharType="end"/>
            </w:r>
          </w:hyperlink>
        </w:p>
        <w:p w:rsidR="00394061" w:rsidRDefault="00743783" w:rsidP="00743783">
          <w:pPr>
            <w:pStyle w:val="TOC2"/>
            <w:ind w:right="1592"/>
            <w:rPr>
              <w:rFonts w:asciiTheme="minorHAnsi" w:eastAsiaTheme="minorEastAsia" w:hAnsiTheme="minorHAnsi" w:cstheme="minorBidi"/>
              <w:sz w:val="22"/>
              <w:szCs w:val="22"/>
              <w:lang w:val="en-GB"/>
            </w:rPr>
          </w:pPr>
          <w:hyperlink w:anchor="_Toc43899482" w:history="1">
            <w:r>
              <w:rPr>
                <w:rStyle w:val="Hyperlink"/>
              </w:rPr>
              <w:t>2.2. SUMAŽĖJĘS GIMSTAMUMAS</w:t>
            </w:r>
            <w:r>
              <w:rPr>
                <w:webHidden/>
              </w:rPr>
              <w:tab/>
            </w:r>
            <w:r>
              <w:rPr>
                <w:webHidden/>
              </w:rPr>
              <w:fldChar w:fldCharType="begin"/>
            </w:r>
            <w:r>
              <w:rPr>
                <w:webHidden/>
              </w:rPr>
              <w:instrText xml:space="preserve"> PAGEREF _Toc43899482 \h </w:instrText>
            </w:r>
            <w:r>
              <w:rPr>
                <w:webHidden/>
              </w:rPr>
            </w:r>
            <w:r>
              <w:rPr>
                <w:webHidden/>
              </w:rPr>
              <w:fldChar w:fldCharType="separate"/>
            </w:r>
            <w:r>
              <w:rPr>
                <w:webHidden/>
              </w:rPr>
              <w:t>8</w:t>
            </w:r>
            <w:r>
              <w:rPr>
                <w:webHidden/>
              </w:rPr>
              <w:fldChar w:fldCharType="end"/>
            </w:r>
          </w:hyperlink>
        </w:p>
        <w:p w:rsidR="00394061" w:rsidRDefault="00743783" w:rsidP="00743783">
          <w:pPr>
            <w:pStyle w:val="TOC2"/>
            <w:ind w:right="1592"/>
            <w:rPr>
              <w:rFonts w:asciiTheme="minorHAnsi" w:eastAsiaTheme="minorEastAsia" w:hAnsiTheme="minorHAnsi" w:cstheme="minorBidi"/>
              <w:sz w:val="22"/>
              <w:szCs w:val="22"/>
              <w:lang w:val="en-GB"/>
            </w:rPr>
          </w:pPr>
          <w:hyperlink w:anchor="_Toc43899483" w:history="1">
            <w:r>
              <w:rPr>
                <w:rStyle w:val="Hyperlink"/>
              </w:rPr>
              <w:t>2.4. MAŽESNI NAMŲ ŪKIAI</w:t>
            </w:r>
            <w:r>
              <w:rPr>
                <w:webHidden/>
              </w:rPr>
              <w:tab/>
            </w:r>
            <w:r>
              <w:rPr>
                <w:webHidden/>
              </w:rPr>
              <w:fldChar w:fldCharType="begin"/>
            </w:r>
            <w:r>
              <w:rPr>
                <w:webHidden/>
              </w:rPr>
              <w:instrText xml:space="preserve"> PAGEREF _Toc43899483 \h </w:instrText>
            </w:r>
            <w:r>
              <w:rPr>
                <w:webHidden/>
              </w:rPr>
            </w:r>
            <w:r>
              <w:rPr>
                <w:webHidden/>
              </w:rPr>
              <w:fldChar w:fldCharType="separate"/>
            </w:r>
            <w:r>
              <w:rPr>
                <w:webHidden/>
              </w:rPr>
              <w:t>11</w:t>
            </w:r>
            <w:r>
              <w:rPr>
                <w:webHidden/>
              </w:rPr>
              <w:fldChar w:fldCharType="end"/>
            </w:r>
          </w:hyperlink>
        </w:p>
        <w:p w:rsidR="00394061" w:rsidRDefault="00743783" w:rsidP="00743783">
          <w:pPr>
            <w:pStyle w:val="TOC2"/>
            <w:ind w:right="1592"/>
            <w:rPr>
              <w:rFonts w:asciiTheme="minorHAnsi" w:eastAsiaTheme="minorEastAsia" w:hAnsiTheme="minorHAnsi" w:cstheme="minorBidi"/>
              <w:sz w:val="22"/>
              <w:szCs w:val="22"/>
              <w:lang w:val="en-GB"/>
            </w:rPr>
          </w:pPr>
          <w:hyperlink w:anchor="_Toc43899484" w:history="1">
            <w:r>
              <w:rPr>
                <w:rStyle w:val="Hyperlink"/>
              </w:rPr>
              <w:t>2.5. MOBILESNĖ E</w:t>
            </w:r>
            <w:r>
              <w:rPr>
                <w:rStyle w:val="Hyperlink"/>
              </w:rPr>
              <w:t>UROPA</w:t>
            </w:r>
            <w:r>
              <w:rPr>
                <w:webHidden/>
              </w:rPr>
              <w:tab/>
            </w:r>
            <w:r>
              <w:rPr>
                <w:webHidden/>
              </w:rPr>
              <w:fldChar w:fldCharType="begin"/>
            </w:r>
            <w:r>
              <w:rPr>
                <w:webHidden/>
              </w:rPr>
              <w:instrText xml:space="preserve"> PAGEREF _Toc43899484 \h </w:instrText>
            </w:r>
            <w:r>
              <w:rPr>
                <w:webHidden/>
              </w:rPr>
            </w:r>
            <w:r>
              <w:rPr>
                <w:webHidden/>
              </w:rPr>
              <w:fldChar w:fldCharType="separate"/>
            </w:r>
            <w:r>
              <w:rPr>
                <w:webHidden/>
              </w:rPr>
              <w:t>12</w:t>
            </w:r>
            <w:r>
              <w:rPr>
                <w:webHidden/>
              </w:rPr>
              <w:fldChar w:fldCharType="end"/>
            </w:r>
          </w:hyperlink>
        </w:p>
        <w:p w:rsidR="00394061" w:rsidRDefault="00743783" w:rsidP="00743783">
          <w:pPr>
            <w:pStyle w:val="TOC2"/>
            <w:ind w:right="1592"/>
            <w:rPr>
              <w:rFonts w:asciiTheme="minorHAnsi" w:eastAsiaTheme="minorEastAsia" w:hAnsiTheme="minorHAnsi" w:cstheme="minorBidi"/>
              <w:sz w:val="22"/>
              <w:szCs w:val="22"/>
              <w:lang w:val="en-GB"/>
            </w:rPr>
          </w:pPr>
          <w:hyperlink w:anchor="_Toc43899485" w:history="1">
            <w:r>
              <w:rPr>
                <w:rStyle w:val="Hyperlink"/>
              </w:rPr>
              <w:t>2.6. KINTANTIS GYVENTOJŲ SKAIČIUS</w:t>
            </w:r>
            <w:r>
              <w:rPr>
                <w:webHidden/>
              </w:rPr>
              <w:tab/>
            </w:r>
            <w:r>
              <w:rPr>
                <w:webHidden/>
              </w:rPr>
              <w:fldChar w:fldCharType="begin"/>
            </w:r>
            <w:r>
              <w:rPr>
                <w:webHidden/>
              </w:rPr>
              <w:instrText xml:space="preserve"> PAGEREF _Toc43899485 \h </w:instrText>
            </w:r>
            <w:r>
              <w:rPr>
                <w:webHidden/>
              </w:rPr>
            </w:r>
            <w:r>
              <w:rPr>
                <w:webHidden/>
              </w:rPr>
              <w:fldChar w:fldCharType="separate"/>
            </w:r>
            <w:r>
              <w:rPr>
                <w:webHidden/>
              </w:rPr>
              <w:t>13</w:t>
            </w:r>
            <w:r>
              <w:rPr>
                <w:webHidden/>
              </w:rPr>
              <w:fldChar w:fldCharType="end"/>
            </w:r>
          </w:hyperlink>
        </w:p>
        <w:p w:rsidR="00394061" w:rsidRDefault="00743783" w:rsidP="00743783">
          <w:pPr>
            <w:pStyle w:val="TOC1"/>
            <w:ind w:right="1592"/>
            <w:rPr>
              <w:rFonts w:asciiTheme="minorHAnsi" w:eastAsiaTheme="minorEastAsia" w:hAnsiTheme="minorHAnsi" w:cstheme="minorBidi"/>
              <w:caps w:val="0"/>
              <w:noProof/>
              <w:sz w:val="22"/>
              <w:szCs w:val="22"/>
              <w:lang w:val="en-GB"/>
            </w:rPr>
          </w:pPr>
          <w:hyperlink w:anchor="_Toc43899486" w:history="1">
            <w:r>
              <w:rPr>
                <w:rStyle w:val="Hyperlink"/>
                <w:noProof/>
              </w:rPr>
              <w:t>3.</w:t>
            </w:r>
            <w:r>
              <w:rPr>
                <w:rFonts w:asciiTheme="minorHAnsi" w:eastAsiaTheme="minorEastAsia" w:hAnsiTheme="minorHAnsi" w:cstheme="minorBidi"/>
                <w:caps w:val="0"/>
                <w:noProof/>
                <w:sz w:val="22"/>
                <w:szCs w:val="22"/>
                <w:lang w:val="en-GB"/>
              </w:rPr>
              <w:tab/>
            </w:r>
            <w:r>
              <w:rPr>
                <w:rStyle w:val="Hyperlink"/>
                <w:noProof/>
              </w:rPr>
              <w:t>DEMOGRAFINIŲ POKYČIŲ POVEIKIS MŪSŲ SOCIALINEI RINKOS EKONOMIKAI</w:t>
            </w:r>
            <w:r>
              <w:rPr>
                <w:noProof/>
                <w:webHidden/>
              </w:rPr>
              <w:tab/>
            </w:r>
            <w:r>
              <w:rPr>
                <w:noProof/>
                <w:webHidden/>
              </w:rPr>
              <w:fldChar w:fldCharType="begin"/>
            </w:r>
            <w:r>
              <w:rPr>
                <w:noProof/>
                <w:webHidden/>
              </w:rPr>
              <w:instrText xml:space="preserve"> PAGEREF _Toc43899486 \h </w:instrText>
            </w:r>
            <w:r>
              <w:rPr>
                <w:noProof/>
                <w:webHidden/>
              </w:rPr>
            </w:r>
            <w:r>
              <w:rPr>
                <w:noProof/>
                <w:webHidden/>
              </w:rPr>
              <w:fldChar w:fldCharType="separate"/>
            </w:r>
            <w:r>
              <w:rPr>
                <w:noProof/>
                <w:webHidden/>
              </w:rPr>
              <w:t>15</w:t>
            </w:r>
            <w:r>
              <w:rPr>
                <w:noProof/>
                <w:webHidden/>
              </w:rPr>
              <w:fldChar w:fldCharType="end"/>
            </w:r>
          </w:hyperlink>
        </w:p>
        <w:p w:rsidR="00394061" w:rsidRDefault="00743783" w:rsidP="00743783">
          <w:pPr>
            <w:pStyle w:val="TOC2"/>
            <w:ind w:right="1592"/>
            <w:rPr>
              <w:rFonts w:asciiTheme="minorHAnsi" w:eastAsiaTheme="minorEastAsia" w:hAnsiTheme="minorHAnsi" w:cstheme="minorBidi"/>
              <w:sz w:val="22"/>
              <w:szCs w:val="22"/>
              <w:lang w:val="en-GB"/>
            </w:rPr>
          </w:pPr>
          <w:hyperlink w:anchor="_Toc43899487" w:history="1">
            <w:r>
              <w:rPr>
                <w:rStyle w:val="Hyperlink"/>
              </w:rPr>
              <w:t>3.1. ŽMONĖS, DARBAS IR ĮGŪDŽIAI</w:t>
            </w:r>
            <w:r>
              <w:rPr>
                <w:webHidden/>
              </w:rPr>
              <w:tab/>
            </w:r>
            <w:r>
              <w:rPr>
                <w:webHidden/>
              </w:rPr>
              <w:fldChar w:fldCharType="begin"/>
            </w:r>
            <w:r>
              <w:rPr>
                <w:webHidden/>
              </w:rPr>
              <w:instrText xml:space="preserve"> PAGEREF _Toc43899487 \h </w:instrText>
            </w:r>
            <w:r>
              <w:rPr>
                <w:webHidden/>
              </w:rPr>
            </w:r>
            <w:r>
              <w:rPr>
                <w:webHidden/>
              </w:rPr>
              <w:fldChar w:fldCharType="separate"/>
            </w:r>
            <w:r>
              <w:rPr>
                <w:webHidden/>
              </w:rPr>
              <w:t>16</w:t>
            </w:r>
            <w:r>
              <w:rPr>
                <w:webHidden/>
              </w:rPr>
              <w:fldChar w:fldCharType="end"/>
            </w:r>
          </w:hyperlink>
        </w:p>
        <w:p w:rsidR="00394061" w:rsidRDefault="00743783" w:rsidP="00743783">
          <w:pPr>
            <w:pStyle w:val="TOC2"/>
            <w:ind w:right="1592"/>
            <w:rPr>
              <w:rFonts w:asciiTheme="minorHAnsi" w:eastAsiaTheme="minorEastAsia" w:hAnsiTheme="minorHAnsi" w:cstheme="minorBidi"/>
              <w:sz w:val="22"/>
              <w:szCs w:val="22"/>
              <w:lang w:val="en-GB"/>
            </w:rPr>
          </w:pPr>
          <w:hyperlink w:anchor="_Toc43899488" w:history="1">
            <w:r>
              <w:rPr>
                <w:rStyle w:val="Hyperlink"/>
              </w:rPr>
              <w:t>3.1.1. DIDESNĖ IR ĮTRAUKESNĖ DARBO RINKA</w:t>
            </w:r>
            <w:r>
              <w:rPr>
                <w:webHidden/>
              </w:rPr>
              <w:tab/>
            </w:r>
            <w:r>
              <w:rPr>
                <w:webHidden/>
              </w:rPr>
              <w:fldChar w:fldCharType="begin"/>
            </w:r>
            <w:r>
              <w:rPr>
                <w:webHidden/>
              </w:rPr>
              <w:instrText xml:space="preserve"> PAGEREF _Toc43899488 \h </w:instrText>
            </w:r>
            <w:r>
              <w:rPr>
                <w:webHidden/>
              </w:rPr>
            </w:r>
            <w:r>
              <w:rPr>
                <w:webHidden/>
              </w:rPr>
              <w:fldChar w:fldCharType="separate"/>
            </w:r>
            <w:r>
              <w:rPr>
                <w:webHidden/>
              </w:rPr>
              <w:t>18</w:t>
            </w:r>
            <w:r>
              <w:rPr>
                <w:webHidden/>
              </w:rPr>
              <w:fldChar w:fldCharType="end"/>
            </w:r>
          </w:hyperlink>
        </w:p>
        <w:p w:rsidR="00394061" w:rsidRDefault="00743783" w:rsidP="00743783">
          <w:pPr>
            <w:pStyle w:val="TOC2"/>
            <w:ind w:right="1592"/>
            <w:rPr>
              <w:rFonts w:asciiTheme="minorHAnsi" w:eastAsiaTheme="minorEastAsia" w:hAnsiTheme="minorHAnsi" w:cstheme="minorBidi"/>
              <w:sz w:val="22"/>
              <w:szCs w:val="22"/>
              <w:lang w:val="en-GB"/>
            </w:rPr>
          </w:pPr>
          <w:hyperlink w:anchor="_Toc43899489" w:history="1">
            <w:r>
              <w:rPr>
                <w:rStyle w:val="Hyperlink"/>
              </w:rPr>
              <w:t>3.1.2. NAŠUMAS PASITELKIANT ĮGŪDŽIUS IR ŠVIETIMĄ</w:t>
            </w:r>
            <w:r>
              <w:rPr>
                <w:webHidden/>
              </w:rPr>
              <w:tab/>
            </w:r>
            <w:r>
              <w:rPr>
                <w:webHidden/>
              </w:rPr>
              <w:fldChar w:fldCharType="begin"/>
            </w:r>
            <w:r>
              <w:rPr>
                <w:webHidden/>
              </w:rPr>
              <w:instrText xml:space="preserve"> PAGEREF _Toc43899489 \h </w:instrText>
            </w:r>
            <w:r>
              <w:rPr>
                <w:webHidden/>
              </w:rPr>
            </w:r>
            <w:r>
              <w:rPr>
                <w:webHidden/>
              </w:rPr>
              <w:fldChar w:fldCharType="separate"/>
            </w:r>
            <w:r>
              <w:rPr>
                <w:webHidden/>
              </w:rPr>
              <w:t>20</w:t>
            </w:r>
            <w:r>
              <w:rPr>
                <w:webHidden/>
              </w:rPr>
              <w:fldChar w:fldCharType="end"/>
            </w:r>
          </w:hyperlink>
        </w:p>
        <w:p w:rsidR="00394061" w:rsidRDefault="00743783" w:rsidP="00743783">
          <w:pPr>
            <w:pStyle w:val="TOC2"/>
            <w:ind w:right="1592"/>
            <w:rPr>
              <w:rFonts w:asciiTheme="minorHAnsi" w:eastAsiaTheme="minorEastAsia" w:hAnsiTheme="minorHAnsi" w:cstheme="minorBidi"/>
              <w:sz w:val="22"/>
              <w:szCs w:val="22"/>
              <w:lang w:val="en-GB"/>
            </w:rPr>
          </w:pPr>
          <w:hyperlink w:anchor="_Toc43899490" w:history="1">
            <w:r>
              <w:rPr>
                <w:rStyle w:val="Hyperlink"/>
              </w:rPr>
              <w:t>3.2. SVEIKATA IR ILGALAIKĖ PRIEŽIŪRA</w:t>
            </w:r>
            <w:r>
              <w:rPr>
                <w:webHidden/>
              </w:rPr>
              <w:tab/>
            </w:r>
            <w:r>
              <w:rPr>
                <w:webHidden/>
              </w:rPr>
              <w:fldChar w:fldCharType="begin"/>
            </w:r>
            <w:r>
              <w:rPr>
                <w:webHidden/>
              </w:rPr>
              <w:instrText xml:space="preserve"> PAGEREF _Toc43899490 \h </w:instrText>
            </w:r>
            <w:r>
              <w:rPr>
                <w:webHidden/>
              </w:rPr>
            </w:r>
            <w:r>
              <w:rPr>
                <w:webHidden/>
              </w:rPr>
              <w:fldChar w:fldCharType="separate"/>
            </w:r>
            <w:r>
              <w:rPr>
                <w:webHidden/>
              </w:rPr>
              <w:t>21</w:t>
            </w:r>
            <w:r>
              <w:rPr>
                <w:webHidden/>
              </w:rPr>
              <w:fldChar w:fldCharType="end"/>
            </w:r>
          </w:hyperlink>
        </w:p>
        <w:p w:rsidR="00394061" w:rsidRDefault="00743783" w:rsidP="00743783">
          <w:pPr>
            <w:pStyle w:val="TOC2"/>
            <w:ind w:right="1592"/>
            <w:rPr>
              <w:rFonts w:asciiTheme="minorHAnsi" w:eastAsiaTheme="minorEastAsia" w:hAnsiTheme="minorHAnsi" w:cstheme="minorBidi"/>
              <w:sz w:val="22"/>
              <w:szCs w:val="22"/>
              <w:lang w:val="en-GB"/>
            </w:rPr>
          </w:pPr>
          <w:hyperlink w:anchor="_Toc43899491" w:history="1">
            <w:r>
              <w:rPr>
                <w:rStyle w:val="Hyperlink"/>
              </w:rPr>
              <w:t>3.3.</w:t>
            </w:r>
            <w:r>
              <w:rPr>
                <w:rStyle w:val="Hyperlink"/>
              </w:rPr>
              <w:t xml:space="preserve"> POVEIKIS VALSTYBIŲ BIUDŽETAMS</w:t>
            </w:r>
            <w:r>
              <w:rPr>
                <w:webHidden/>
              </w:rPr>
              <w:tab/>
            </w:r>
            <w:r>
              <w:rPr>
                <w:webHidden/>
              </w:rPr>
              <w:fldChar w:fldCharType="begin"/>
            </w:r>
            <w:r>
              <w:rPr>
                <w:webHidden/>
              </w:rPr>
              <w:instrText xml:space="preserve"> PAGEREF _Toc43899491 \h </w:instrText>
            </w:r>
            <w:r>
              <w:rPr>
                <w:webHidden/>
              </w:rPr>
            </w:r>
            <w:r>
              <w:rPr>
                <w:webHidden/>
              </w:rPr>
              <w:fldChar w:fldCharType="separate"/>
            </w:r>
            <w:r>
              <w:rPr>
                <w:webHidden/>
              </w:rPr>
              <w:t>24</w:t>
            </w:r>
            <w:r>
              <w:rPr>
                <w:webHidden/>
              </w:rPr>
              <w:fldChar w:fldCharType="end"/>
            </w:r>
          </w:hyperlink>
        </w:p>
        <w:p w:rsidR="00394061" w:rsidRDefault="00743783" w:rsidP="00743783">
          <w:pPr>
            <w:pStyle w:val="TOC2"/>
            <w:ind w:right="1592"/>
            <w:rPr>
              <w:rFonts w:asciiTheme="minorHAnsi" w:eastAsiaTheme="minorEastAsia" w:hAnsiTheme="minorHAnsi" w:cstheme="minorBidi"/>
              <w:sz w:val="22"/>
              <w:szCs w:val="22"/>
              <w:lang w:val="en-GB"/>
            </w:rPr>
          </w:pPr>
          <w:hyperlink w:anchor="_Toc43899492" w:history="1">
            <w:r>
              <w:rPr>
                <w:rStyle w:val="Hyperlink"/>
              </w:rPr>
              <w:t>3.4. REGIONŲ IR VIETOS MATMUO</w:t>
            </w:r>
            <w:r>
              <w:rPr>
                <w:webHidden/>
              </w:rPr>
              <w:tab/>
            </w:r>
            <w:r>
              <w:rPr>
                <w:webHidden/>
              </w:rPr>
              <w:fldChar w:fldCharType="begin"/>
            </w:r>
            <w:r>
              <w:rPr>
                <w:webHidden/>
              </w:rPr>
              <w:instrText xml:space="preserve"> PAGEREF _Toc43899492 \h </w:instrText>
            </w:r>
            <w:r>
              <w:rPr>
                <w:webHidden/>
              </w:rPr>
            </w:r>
            <w:r>
              <w:rPr>
                <w:webHidden/>
              </w:rPr>
              <w:fldChar w:fldCharType="separate"/>
            </w:r>
            <w:r>
              <w:rPr>
                <w:webHidden/>
              </w:rPr>
              <w:t>25</w:t>
            </w:r>
            <w:r>
              <w:rPr>
                <w:webHidden/>
              </w:rPr>
              <w:fldChar w:fldCharType="end"/>
            </w:r>
          </w:hyperlink>
        </w:p>
        <w:p w:rsidR="00394061" w:rsidRDefault="00743783" w:rsidP="00743783">
          <w:pPr>
            <w:pStyle w:val="TOC3"/>
            <w:ind w:left="426" w:right="1592" w:firstLine="0"/>
            <w:rPr>
              <w:rFonts w:asciiTheme="minorHAnsi" w:eastAsiaTheme="minorEastAsia" w:hAnsiTheme="minorHAnsi" w:cstheme="minorBidi"/>
              <w:noProof/>
              <w:sz w:val="22"/>
              <w:szCs w:val="22"/>
              <w:lang w:val="en-GB"/>
            </w:rPr>
          </w:pPr>
          <w:hyperlink w:anchor="_Toc43899493" w:history="1">
            <w:r>
              <w:rPr>
                <w:rStyle w:val="Hyperlink"/>
                <w:noProof/>
              </w:rPr>
              <w:t>3.4.1. GYVENIMO KOKYBĖ, INFRASTRUKTŪRA IR GALIMYBĖ NAUDOTIS PASLAUGOMIS</w:t>
            </w:r>
            <w:r>
              <w:rPr>
                <w:noProof/>
                <w:webHidden/>
              </w:rPr>
              <w:tab/>
            </w:r>
            <w:r>
              <w:rPr>
                <w:noProof/>
                <w:webHidden/>
              </w:rPr>
              <w:fldChar w:fldCharType="begin"/>
            </w:r>
            <w:r>
              <w:rPr>
                <w:noProof/>
                <w:webHidden/>
              </w:rPr>
              <w:instrText xml:space="preserve"> PAGEREF _Toc43899493 \h </w:instrText>
            </w:r>
            <w:r>
              <w:rPr>
                <w:noProof/>
                <w:webHidden/>
              </w:rPr>
            </w:r>
            <w:r>
              <w:rPr>
                <w:noProof/>
                <w:webHidden/>
              </w:rPr>
              <w:fldChar w:fldCharType="separate"/>
            </w:r>
            <w:r>
              <w:rPr>
                <w:noProof/>
                <w:webHidden/>
              </w:rPr>
              <w:t>28</w:t>
            </w:r>
            <w:r>
              <w:rPr>
                <w:noProof/>
                <w:webHidden/>
              </w:rPr>
              <w:fldChar w:fldCharType="end"/>
            </w:r>
          </w:hyperlink>
        </w:p>
        <w:p w:rsidR="00394061" w:rsidRDefault="00743783" w:rsidP="00743783">
          <w:pPr>
            <w:pStyle w:val="TOC2"/>
            <w:tabs>
              <w:tab w:val="left" w:pos="482"/>
            </w:tabs>
            <w:ind w:right="1592" w:hanging="1077"/>
            <w:rPr>
              <w:rFonts w:asciiTheme="minorHAnsi" w:eastAsiaTheme="minorEastAsia" w:hAnsiTheme="minorHAnsi" w:cstheme="minorBidi"/>
              <w:sz w:val="22"/>
              <w:szCs w:val="22"/>
              <w:lang w:val="en-GB"/>
            </w:rPr>
          </w:pPr>
          <w:hyperlink w:anchor="_Toc43899494" w:history="1">
            <w:r>
              <w:rPr>
                <w:rStyle w:val="Hyperlink"/>
              </w:rPr>
              <w:t>4.</w:t>
            </w:r>
            <w:r>
              <w:rPr>
                <w:rFonts w:asciiTheme="minorHAnsi" w:eastAsiaTheme="minorEastAsia" w:hAnsiTheme="minorHAnsi" w:cstheme="minorBidi"/>
                <w:sz w:val="22"/>
                <w:szCs w:val="22"/>
                <w:lang w:val="en-GB"/>
              </w:rPr>
              <w:tab/>
            </w:r>
            <w:r>
              <w:rPr>
                <w:rStyle w:val="Hyperlink"/>
              </w:rPr>
              <w:t>DVEJOPA PERTVARKA IR DEMOGRAFINIAI POKYČIAI</w:t>
            </w:r>
            <w:r>
              <w:rPr>
                <w:webHidden/>
              </w:rPr>
              <w:tab/>
            </w:r>
            <w:r>
              <w:rPr>
                <w:webHidden/>
              </w:rPr>
              <w:fldChar w:fldCharType="begin"/>
            </w:r>
            <w:r>
              <w:rPr>
                <w:webHidden/>
              </w:rPr>
              <w:instrText xml:space="preserve"> PAGEREF _Toc43899494 \h </w:instrText>
            </w:r>
            <w:r>
              <w:rPr>
                <w:webHidden/>
              </w:rPr>
            </w:r>
            <w:r>
              <w:rPr>
                <w:webHidden/>
              </w:rPr>
              <w:fldChar w:fldCharType="separate"/>
            </w:r>
            <w:r>
              <w:rPr>
                <w:webHidden/>
              </w:rPr>
              <w:t>32</w:t>
            </w:r>
            <w:r>
              <w:rPr>
                <w:webHidden/>
              </w:rPr>
              <w:fldChar w:fldCharType="end"/>
            </w:r>
          </w:hyperlink>
        </w:p>
        <w:p w:rsidR="00394061" w:rsidRDefault="00743783" w:rsidP="00743783">
          <w:pPr>
            <w:pStyle w:val="TOC2"/>
            <w:tabs>
              <w:tab w:val="left" w:pos="426"/>
            </w:tabs>
            <w:ind w:right="1592" w:hanging="1077"/>
            <w:rPr>
              <w:rFonts w:asciiTheme="minorHAnsi" w:eastAsiaTheme="minorEastAsia" w:hAnsiTheme="minorHAnsi" w:cstheme="minorBidi"/>
              <w:sz w:val="22"/>
              <w:szCs w:val="22"/>
              <w:lang w:val="en-GB"/>
            </w:rPr>
          </w:pPr>
          <w:hyperlink w:anchor="_Toc43899495" w:history="1">
            <w:r>
              <w:rPr>
                <w:rStyle w:val="Hyperlink"/>
              </w:rPr>
              <w:t>5.</w:t>
            </w:r>
            <w:r>
              <w:rPr>
                <w:rStyle w:val="Hyperlink"/>
              </w:rPr>
              <w:tab/>
              <w:t>DEMOGRAFIJOS GEOPOLITIKA. EUROPA PASAULYJE</w:t>
            </w:r>
            <w:r>
              <w:rPr>
                <w:webHidden/>
              </w:rPr>
              <w:tab/>
            </w:r>
            <w:r>
              <w:rPr>
                <w:webHidden/>
              </w:rPr>
              <w:fldChar w:fldCharType="begin"/>
            </w:r>
            <w:r>
              <w:rPr>
                <w:webHidden/>
              </w:rPr>
              <w:instrText xml:space="preserve"> PAGEREF _Toc43899495 \h </w:instrText>
            </w:r>
            <w:r>
              <w:rPr>
                <w:webHidden/>
              </w:rPr>
            </w:r>
            <w:r>
              <w:rPr>
                <w:webHidden/>
              </w:rPr>
              <w:fldChar w:fldCharType="separate"/>
            </w:r>
            <w:r>
              <w:rPr>
                <w:webHidden/>
              </w:rPr>
              <w:t>33</w:t>
            </w:r>
            <w:r>
              <w:rPr>
                <w:webHidden/>
              </w:rPr>
              <w:fldChar w:fldCharType="end"/>
            </w:r>
          </w:hyperlink>
        </w:p>
        <w:p w:rsidR="00394061" w:rsidRDefault="00743783" w:rsidP="00743783">
          <w:pPr>
            <w:pStyle w:val="TOC2"/>
            <w:ind w:right="1592" w:hanging="1077"/>
            <w:rPr>
              <w:rFonts w:asciiTheme="minorHAnsi" w:eastAsiaTheme="minorEastAsia" w:hAnsiTheme="minorHAnsi" w:cstheme="minorBidi"/>
              <w:sz w:val="22"/>
              <w:szCs w:val="22"/>
              <w:lang w:val="en-GB"/>
            </w:rPr>
          </w:pPr>
          <w:hyperlink w:anchor="_Toc43899496" w:history="1">
            <w:r>
              <w:rPr>
                <w:rStyle w:val="Hyperlink"/>
              </w:rPr>
              <w:t>IŠVADOS IR PERSPEKTYVOS</w:t>
            </w:r>
            <w:r>
              <w:rPr>
                <w:webHidden/>
              </w:rPr>
              <w:tab/>
            </w:r>
            <w:r>
              <w:rPr>
                <w:webHidden/>
              </w:rPr>
              <w:fldChar w:fldCharType="begin"/>
            </w:r>
            <w:r>
              <w:rPr>
                <w:webHidden/>
              </w:rPr>
              <w:instrText xml:space="preserve"> PAGEREF _Toc43899496 \h </w:instrText>
            </w:r>
            <w:r>
              <w:rPr>
                <w:webHidden/>
              </w:rPr>
            </w:r>
            <w:r>
              <w:rPr>
                <w:webHidden/>
              </w:rPr>
              <w:fldChar w:fldCharType="separate"/>
            </w:r>
            <w:r>
              <w:rPr>
                <w:webHidden/>
              </w:rPr>
              <w:t>36</w:t>
            </w:r>
            <w:r>
              <w:rPr>
                <w:webHidden/>
              </w:rPr>
              <w:fldChar w:fldCharType="end"/>
            </w:r>
          </w:hyperlink>
        </w:p>
        <w:p w:rsidR="00394061" w:rsidRDefault="00743783">
          <w:pPr>
            <w:rPr>
              <w:noProof/>
            </w:rPr>
          </w:pPr>
          <w:r>
            <w:rPr>
              <w:b/>
              <w:bCs/>
              <w:noProof/>
            </w:rPr>
            <w:fldChar w:fldCharType="end"/>
          </w:r>
        </w:p>
      </w:sdtContent>
    </w:sdt>
    <w:p w:rsidR="00394061" w:rsidRDefault="00743783">
      <w:pPr>
        <w:rPr>
          <w:rFonts w:ascii="Times New Roman" w:eastAsia="Times New Roman" w:hAnsi="Times New Roman" w:cs="Times New Roman"/>
          <w:b/>
          <w:smallCaps/>
          <w:noProof/>
          <w:color w:val="0070C0"/>
          <w:sz w:val="28"/>
          <w:szCs w:val="28"/>
        </w:rPr>
      </w:pPr>
      <w:r>
        <w:rPr>
          <w:noProof/>
        </w:rPr>
        <w:br w:type="page"/>
      </w:r>
      <w:bookmarkStart w:id="3" w:name="_GoBack"/>
      <w:bookmarkEnd w:id="3"/>
    </w:p>
    <w:p w:rsidR="00394061" w:rsidRDefault="00743783">
      <w:pPr>
        <w:pStyle w:val="Heading1"/>
        <w:rPr>
          <w:noProof/>
          <w:color w:val="000000" w:themeColor="text1"/>
          <w:szCs w:val="24"/>
        </w:rPr>
      </w:pPr>
      <w:bookmarkStart w:id="4" w:name="_Toc43899479"/>
      <w:r>
        <w:rPr>
          <w:noProof/>
          <w:color w:val="000000" w:themeColor="text1"/>
          <w:szCs w:val="24"/>
        </w:rPr>
        <w:lastRenderedPageBreak/>
        <w:t>ĮVADAS</w:t>
      </w:r>
      <w:bookmarkEnd w:id="4"/>
      <w:bookmarkEnd w:id="2"/>
      <w:bookmarkEnd w:id="1"/>
    </w:p>
    <w:p w:rsidR="00394061" w:rsidRDefault="00743783">
      <w:pPr>
        <w:jc w:val="both"/>
        <w:rPr>
          <w:rFonts w:ascii="Times New Roman" w:hAnsi="Times New Roman" w:cs="Times New Roman"/>
          <w:noProof/>
          <w:sz w:val="24"/>
          <w:szCs w:val="24"/>
        </w:rPr>
      </w:pPr>
      <w:r>
        <w:rPr>
          <w:rFonts w:ascii="Times New Roman" w:hAnsi="Times New Roman"/>
          <w:noProof/>
          <w:sz w:val="24"/>
        </w:rPr>
        <w:t>COVID-19 pandemijos protrūkis per labai trumpą laiką pakeitė Europą ir pasaulį.</w:t>
      </w:r>
      <w:r>
        <w:rPr>
          <w:rFonts w:ascii="Times New Roman" w:hAnsi="Times New Roman"/>
          <w:noProof/>
          <w:sz w:val="24"/>
          <w:szCs w:val="24"/>
        </w:rPr>
        <w:t xml:space="preserve"> Tai buvo mūsų sveikatos priežiūros ir socialinės gerovės sistemų, taip pat mūsų ekonomikos ir visuomenės atsparumo išbandymas. Net ir išnykus virusui, jo atgarsiai turės ilgalaikį poveikį mūsų gyvenimo būdui ir bendradarbiavimui. </w:t>
      </w:r>
      <w:r>
        <w:rPr>
          <w:rFonts w:ascii="Times New Roman" w:hAnsi="Times New Roman"/>
          <w:noProof/>
          <w:sz w:val="24"/>
        </w:rPr>
        <w:t>Europą ši neganda užpuolė</w:t>
      </w:r>
      <w:r>
        <w:rPr>
          <w:rFonts w:ascii="Times New Roman" w:hAnsi="Times New Roman"/>
          <w:noProof/>
          <w:sz w:val="24"/>
        </w:rPr>
        <w:t xml:space="preserve"> jau įsibėgėjus esminių permainų laikotarpiui, kuris pasireiškė klimato, visuomenės ir demografiniais pokyčiais.</w:t>
      </w:r>
    </w:p>
    <w:p w:rsidR="00394061" w:rsidRDefault="00743783">
      <w:pPr>
        <w:jc w:val="both"/>
        <w:rPr>
          <w:rFonts w:ascii="Times New Roman" w:hAnsi="Times New Roman" w:cs="Times New Roman"/>
          <w:noProof/>
          <w:sz w:val="24"/>
          <w:szCs w:val="24"/>
        </w:rPr>
      </w:pPr>
      <w:r>
        <w:rPr>
          <w:rFonts w:ascii="Times New Roman" w:hAnsi="Times New Roman"/>
          <w:b/>
          <w:noProof/>
          <w:sz w:val="24"/>
        </w:rPr>
        <w:t>Demografiniai pokyčiai susiję su žmonėmis ir jų gyvenimu.</w:t>
      </w:r>
      <w:r>
        <w:rPr>
          <w:rFonts w:ascii="Times New Roman" w:hAnsi="Times New Roman"/>
          <w:noProof/>
          <w:sz w:val="24"/>
          <w:szCs w:val="24"/>
        </w:rPr>
        <w:t xml:space="preserve"> Jie susiję su mūsų veikla, mūsų darbo įpročiais ir gimtosiomis vietomis. Šie pokyčiai</w:t>
      </w:r>
      <w:r>
        <w:rPr>
          <w:rFonts w:ascii="Times New Roman" w:hAnsi="Times New Roman"/>
          <w:noProof/>
          <w:sz w:val="24"/>
          <w:szCs w:val="24"/>
        </w:rPr>
        <w:t xml:space="preserve"> paveikia mūsų bendruomenes ir visų mūsų sugyvenimą kartu. Jie reiškia prisitaikymą prie žmonių ir aplinkos įvairovės, kuri praturtina ir formuoja mūsų visuomenę, teikia jėgų ir tikrovėje įkūnija ES šūkį „Suvienijusi įvairovę“. Dabar mums to reikia labiau </w:t>
      </w:r>
      <w:r>
        <w:rPr>
          <w:rFonts w:ascii="Times New Roman" w:hAnsi="Times New Roman"/>
          <w:noProof/>
          <w:sz w:val="24"/>
          <w:szCs w:val="24"/>
        </w:rPr>
        <w:t>nei bet kada anksčiau. Pamažu ir atsargiai švelnėjant visoje Europoje taikomoms izoliavimo priemonėms, negalima pamiršti, kaip svarbu suprasti demografinių pokyčių poveikį mūsų visuomenei ir į jį reaguoti. Į tai reikės atsižvelgti kuriant Europos atsigavim</w:t>
      </w:r>
      <w:r>
        <w:rPr>
          <w:rFonts w:ascii="Times New Roman" w:hAnsi="Times New Roman"/>
          <w:noProof/>
          <w:sz w:val="24"/>
          <w:szCs w:val="24"/>
        </w:rPr>
        <w:t>o planus ir apmąstant įgytą patirtį, susijusią su socialiniu ir ekonominiu aspektais, su sveikata ir ilgalaike priežiūra ir daugeliu kitų dalykų.</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Per pastarąsias savaites ir mėnesius ne kartą išryškėjo aiškus ir dažnai nepatogus ryšys tarp demografinių str</w:t>
      </w:r>
      <w:r>
        <w:rPr>
          <w:rFonts w:ascii="Times New Roman" w:hAnsi="Times New Roman"/>
          <w:noProof/>
          <w:sz w:val="24"/>
          <w:szCs w:val="24"/>
        </w:rPr>
        <w:t>uktūrų ir poveikio joms bei atsigavimo galimybių. Matėme, kad labiausiai nuo šios krizės nukentėjo vyriausia visuomenės karta, nes vyresnio amžiaus žmonės yra pažeidžiamiausi. Jiems kyla ne tik didesnė komplikacijų rizika – jie taip pat labiausiai izoliuot</w:t>
      </w:r>
      <w:r>
        <w:rPr>
          <w:rFonts w:ascii="Times New Roman" w:hAnsi="Times New Roman"/>
          <w:noProof/>
          <w:sz w:val="24"/>
          <w:szCs w:val="24"/>
        </w:rPr>
        <w:t xml:space="preserve">i ir atskirti nuo visuomenės dėl socialinių kontaktų ribojimo ir karantino priemonių, kurių imtasi gelbėjant žmonių gyvybes visoje Europoje. </w:t>
      </w:r>
      <w:r>
        <w:rPr>
          <w:rFonts w:ascii="Times New Roman" w:hAnsi="Times New Roman"/>
          <w:b/>
          <w:noProof/>
          <w:sz w:val="24"/>
          <w:szCs w:val="24"/>
        </w:rPr>
        <w:t>Kartų solidarizavimas yra viena</w:t>
      </w:r>
      <w:r>
        <w:rPr>
          <w:rFonts w:ascii="Times New Roman" w:hAnsi="Times New Roman"/>
          <w:b/>
          <w:noProof/>
          <w:sz w:val="24"/>
        </w:rPr>
        <w:t xml:space="preserve"> iš </w:t>
      </w:r>
      <w:r>
        <w:rPr>
          <w:rFonts w:ascii="Times New Roman" w:hAnsi="Times New Roman"/>
          <w:b/>
          <w:noProof/>
          <w:sz w:val="24"/>
          <w:szCs w:val="24"/>
        </w:rPr>
        <w:t>Europos atsigavimo</w:t>
      </w:r>
      <w:r>
        <w:rPr>
          <w:rFonts w:ascii="Times New Roman" w:hAnsi="Times New Roman"/>
          <w:b/>
          <w:noProof/>
          <w:sz w:val="24"/>
        </w:rPr>
        <w:t xml:space="preserve"> varomųjų </w:t>
      </w:r>
      <w:r>
        <w:rPr>
          <w:rFonts w:ascii="Times New Roman" w:hAnsi="Times New Roman"/>
          <w:b/>
          <w:noProof/>
          <w:sz w:val="24"/>
          <w:szCs w:val="24"/>
        </w:rPr>
        <w:t>jėgų</w:t>
      </w:r>
      <w:r>
        <w:rPr>
          <w:rStyle w:val="FootnoteReference"/>
          <w:rFonts w:ascii="Times New Roman" w:hAnsi="Times New Roman" w:cs="Times New Roman"/>
          <w:noProof/>
          <w:sz w:val="24"/>
          <w:szCs w:val="24"/>
        </w:rPr>
        <w:footnoteReference w:id="2"/>
      </w:r>
      <w:r>
        <w:rPr>
          <w:noProof/>
        </w:rPr>
        <w:t>.</w:t>
      </w:r>
      <w:r>
        <w:rPr>
          <w:rFonts w:ascii="Times New Roman" w:hAnsi="Times New Roman"/>
          <w:noProof/>
          <w:sz w:val="24"/>
          <w:szCs w:val="24"/>
        </w:rPr>
        <w:t xml:space="preserve"> </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Ilgalaikių demografinių pokyčių poveikio valdymas turi daug įvairių aspektų: kaip valdoma mūsų visuomenės sveikata, viešieji biudžetai ar viešasis gyvenimas, taip pat kaip sprendžiame tokius klausimus kaip vienišumas, priežiūra bendruomenėje ir galimybė na</w:t>
      </w:r>
      <w:r>
        <w:rPr>
          <w:rFonts w:ascii="Times New Roman" w:hAnsi="Times New Roman"/>
          <w:noProof/>
          <w:sz w:val="24"/>
          <w:szCs w:val="24"/>
        </w:rPr>
        <w:t xml:space="preserve">udotis gyvybiškai svarbiomis paslaugomis. Šių klausimų sprendimas bus svarbus sėkmingam atsigavimui ir nulems tai, kaip greitai ir kokiu mastu galėsime atgaivinti savo kasdienį gyvenimą, socialinius ryšius ir ekonomiką. Ilgainiui tai taps galimybe Europai </w:t>
      </w:r>
      <w:r>
        <w:rPr>
          <w:rFonts w:ascii="Times New Roman" w:hAnsi="Times New Roman"/>
          <w:noProof/>
          <w:sz w:val="24"/>
          <w:szCs w:val="24"/>
        </w:rPr>
        <w:t xml:space="preserve">sukurti </w:t>
      </w:r>
      <w:r>
        <w:rPr>
          <w:rFonts w:ascii="Times New Roman" w:hAnsi="Times New Roman"/>
          <w:b/>
          <w:noProof/>
          <w:sz w:val="24"/>
          <w:szCs w:val="24"/>
        </w:rPr>
        <w:t>teisingesnę ir atsparesnę visuomenę</w:t>
      </w:r>
      <w:r>
        <w:rPr>
          <w:rFonts w:ascii="Times New Roman" w:hAnsi="Times New Roman"/>
          <w:noProof/>
          <w:sz w:val="24"/>
          <w:szCs w:val="24"/>
        </w:rPr>
        <w:t>.</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 xml:space="preserve">Jokiu būdu negalime menkinti krizės padarytos žalos ar poreikio atlyginti patirtus nuostolius. </w:t>
      </w:r>
      <w:r>
        <w:rPr>
          <w:rFonts w:ascii="Times New Roman" w:hAnsi="Times New Roman"/>
          <w:noProof/>
          <w:sz w:val="24"/>
        </w:rPr>
        <w:t xml:space="preserve">Atsižvelgiant į esamą padėtį, teiginys, kad </w:t>
      </w:r>
      <w:r>
        <w:rPr>
          <w:rFonts w:ascii="Times New Roman" w:hAnsi="Times New Roman"/>
          <w:b/>
          <w:noProof/>
          <w:sz w:val="24"/>
        </w:rPr>
        <w:t>europiečiai paprastai gyvena ilgiau, sveikiau ir saugiau</w:t>
      </w:r>
      <w:r>
        <w:rPr>
          <w:rFonts w:ascii="Times New Roman" w:hAnsi="Times New Roman"/>
          <w:noProof/>
          <w:sz w:val="24"/>
        </w:rPr>
        <w:t xml:space="preserve">, gali skambėti </w:t>
      </w:r>
      <w:r>
        <w:rPr>
          <w:rFonts w:ascii="Times New Roman" w:hAnsi="Times New Roman"/>
          <w:noProof/>
          <w:sz w:val="24"/>
        </w:rPr>
        <w:t>prieštaringai.</w:t>
      </w:r>
      <w:r>
        <w:rPr>
          <w:rFonts w:ascii="Times New Roman" w:hAnsi="Times New Roman"/>
          <w:noProof/>
          <w:sz w:val="24"/>
          <w:szCs w:val="24"/>
        </w:rPr>
        <w:t xml:space="preserve"> Tačiau taip ilguoju laikotarpiu apibūdinama mūsų tikrovė ir mes turėtume didžiuotis didele pažanga, kurią padarėme per pastaruosius dešimtmečius siekdami šio tikslo. Europos socialinės gerovės ir sveikatos priežiūros sistemos yra pažangiausi</w:t>
      </w:r>
      <w:r>
        <w:rPr>
          <w:rFonts w:ascii="Times New Roman" w:hAnsi="Times New Roman"/>
          <w:noProof/>
          <w:sz w:val="24"/>
          <w:szCs w:val="24"/>
        </w:rPr>
        <w:t>os pasaulyje. Be to, nuo krizės pradžios dėl šių sistemų pažangos ir pasiaukojančio darbuotojų, dirbusių priešakinėse linijose, darbo, pavyko išgelbėti tūkstančius gyvybių. Tačiau sistemoms tenkanti įtampa, ypač vietovėse, kuriose gyvena daugiau vyresnio a</w:t>
      </w:r>
      <w:r>
        <w:rPr>
          <w:rFonts w:ascii="Times New Roman" w:hAnsi="Times New Roman"/>
          <w:noProof/>
          <w:sz w:val="24"/>
          <w:szCs w:val="24"/>
        </w:rPr>
        <w:t xml:space="preserve">mžiaus žmonių, parodė, kad jas reikia toliau remti. </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Dėl pasiektos pažangos mūsų gyvenimo kokybė išlieka unikali, o mūsų visuomenė yra viena iš lygiausių pasaulyje, nors nelygybė dar nėra išnykusi. Mūsų visuomenė senėja ir žmonės dažniau gyvena mažesniuose</w:t>
      </w:r>
      <w:r>
        <w:rPr>
          <w:rFonts w:ascii="Times New Roman" w:hAnsi="Times New Roman"/>
          <w:noProof/>
          <w:sz w:val="24"/>
          <w:szCs w:val="24"/>
        </w:rPr>
        <w:t xml:space="preserve"> namų ūkiuose. Esame judesni, ilgiau dirbame, aktyviau mokomės ir dažniau keičiame darbo vietą. Visos šios tendencijos daro didelį poveikį mūsų visuomenei, o kai kurios iš jų – visuomenės senėjimas, namų ūkio sudėtis ar gyventojų tankis – galėjo prisidėti </w:t>
      </w:r>
      <w:r>
        <w:rPr>
          <w:rFonts w:ascii="Times New Roman" w:hAnsi="Times New Roman"/>
          <w:noProof/>
          <w:sz w:val="24"/>
          <w:szCs w:val="24"/>
        </w:rPr>
        <w:t xml:space="preserve">prie viruso plitimo kai kuriose šalyse. </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Šiuos klausimus dažnai geriausia spręsti vietos ir regionų lygmenimis. Tai rodo, kad demografiniai pokyčiai skirtingose tos pačios šalies vietovėse dažnai labai skiriasi.</w:t>
      </w:r>
      <w:r>
        <w:rPr>
          <w:rFonts w:ascii="Times New Roman" w:hAnsi="Times New Roman"/>
          <w:b/>
          <w:noProof/>
          <w:sz w:val="24"/>
          <w:szCs w:val="24"/>
        </w:rPr>
        <w:t xml:space="preserve"> </w:t>
      </w:r>
      <w:r>
        <w:rPr>
          <w:rFonts w:ascii="Times New Roman" w:hAnsi="Times New Roman"/>
          <w:noProof/>
          <w:sz w:val="24"/>
          <w:szCs w:val="24"/>
        </w:rPr>
        <w:t>Kai kuriuose regionuose susiduriama su dvejo</w:t>
      </w:r>
      <w:r>
        <w:rPr>
          <w:rFonts w:ascii="Times New Roman" w:hAnsi="Times New Roman"/>
          <w:noProof/>
          <w:sz w:val="24"/>
          <w:szCs w:val="24"/>
        </w:rPr>
        <w:t xml:space="preserve">pa problema – mažomis pajamomis ir sparčiai mažėjančiu gyventojų skaičiumi. Tokiuose regionuose, daugiausia kaimo vietovėse, gyvena 31 mln. žmonių, todėl šis klausimas yra svarbus. </w:t>
      </w:r>
      <w:r>
        <w:rPr>
          <w:rFonts w:ascii="Times New Roman" w:hAnsi="Times New Roman"/>
          <w:b/>
          <w:noProof/>
          <w:sz w:val="24"/>
          <w:szCs w:val="24"/>
        </w:rPr>
        <w:t xml:space="preserve">Europa sieks gerinti gyvenimo lygį ir mažinti skirtumus. </w:t>
      </w:r>
      <w:r>
        <w:rPr>
          <w:rFonts w:ascii="Times New Roman" w:hAnsi="Times New Roman"/>
          <w:noProof/>
          <w:sz w:val="24"/>
          <w:szCs w:val="24"/>
        </w:rPr>
        <w:t>Reikia užtikrinti,</w:t>
      </w:r>
      <w:r>
        <w:rPr>
          <w:rFonts w:ascii="Times New Roman" w:hAnsi="Times New Roman"/>
          <w:noProof/>
          <w:sz w:val="24"/>
          <w:szCs w:val="24"/>
        </w:rPr>
        <w:t xml:space="preserve"> kad žmonių poreikiai būtų patenkinti ir jų gyvenamosiose vietose pakaktų perspektyvų ir darbo galimybių. Tarp jų – sveikatos priežiūros prieinamumas, vaikų priežiūros ir švietimo paslaugos, taip pat kitos gyvybiškai svarbios vietos paslaugos, pavyzdžiui, </w:t>
      </w:r>
      <w:r>
        <w:rPr>
          <w:rFonts w:ascii="Times New Roman" w:hAnsi="Times New Roman"/>
          <w:noProof/>
          <w:sz w:val="24"/>
          <w:szCs w:val="24"/>
        </w:rPr>
        <w:t>pašto tarnybos, bibliotekos ar transportas.</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Nors demografiniai pokyčiai nėra naujiena, šiuo metu mūsų gyvenimo skirtumai jaučiami labiau. Europai pradėjus atsigauti, reaguoti į šiuos pokyčius bus dar svarbiau. Ir toliau daugiausia dėmesio skirdami dvejopai</w:t>
      </w:r>
      <w:r>
        <w:rPr>
          <w:rFonts w:ascii="Times New Roman" w:hAnsi="Times New Roman"/>
          <w:noProof/>
          <w:sz w:val="24"/>
          <w:szCs w:val="24"/>
        </w:rPr>
        <w:t xml:space="preserve"> žaliajai ir skaitmeninei pertvarkai, galėsime greičiau rasti daug novatoriškų ir tvarių sprendimų, kurių reikia demografinių pokyčių poveikiui mažinti.</w:t>
      </w:r>
    </w:p>
    <w:p w:rsidR="00394061" w:rsidRDefault="00743783">
      <w:pPr>
        <w:jc w:val="both"/>
        <w:rPr>
          <w:rFonts w:ascii="Times New Roman" w:hAnsi="Times New Roman" w:cs="Times New Roman"/>
          <w:noProof/>
          <w:sz w:val="24"/>
          <w:szCs w:val="24"/>
        </w:rPr>
      </w:pPr>
      <w:r>
        <w:rPr>
          <w:rFonts w:ascii="Times New Roman" w:hAnsi="Times New Roman"/>
          <w:b/>
          <w:noProof/>
          <w:sz w:val="24"/>
          <w:szCs w:val="24"/>
        </w:rPr>
        <w:t xml:space="preserve">Demografiniai pokyčiai taip pat turi įtakos Europos padėčiai pasaulyje. </w:t>
      </w:r>
      <w:r>
        <w:rPr>
          <w:rFonts w:ascii="Times New Roman" w:hAnsi="Times New Roman"/>
          <w:noProof/>
          <w:sz w:val="24"/>
          <w:szCs w:val="24"/>
        </w:rPr>
        <w:t>Kadangi Europos gyventojų dalis</w:t>
      </w:r>
      <w:r>
        <w:rPr>
          <w:rFonts w:ascii="Times New Roman" w:hAnsi="Times New Roman"/>
          <w:noProof/>
          <w:sz w:val="24"/>
          <w:szCs w:val="24"/>
        </w:rPr>
        <w:t xml:space="preserve"> pasaulyje toliau mažėja, dabar kaip niekada svarbus yra vieningas ES požiūris ir veiksmai, pasinaudojant visais kolektyviniais pranašumais ir įvairove. Taip pat būtina atsižvelgti į svarius demografinius pokyčius, vykstančius mūsų kaimynystėje ir visame p</w:t>
      </w:r>
      <w:r>
        <w:rPr>
          <w:rFonts w:ascii="Times New Roman" w:hAnsi="Times New Roman"/>
          <w:noProof/>
          <w:sz w:val="24"/>
          <w:szCs w:val="24"/>
        </w:rPr>
        <w:t>asaulyje, nes jie turės tiesioginį poveikį pačiai Europai.</w:t>
      </w:r>
    </w:p>
    <w:p w:rsidR="00394061" w:rsidRDefault="00743783">
      <w:pPr>
        <w:jc w:val="both"/>
        <w:rPr>
          <w:rFonts w:ascii="Times New Roman" w:hAnsi="Times New Roman" w:cs="Times New Roman"/>
          <w:noProof/>
          <w:sz w:val="24"/>
          <w:szCs w:val="24"/>
        </w:rPr>
      </w:pPr>
      <w:r>
        <w:rPr>
          <w:rFonts w:ascii="Times New Roman" w:hAnsi="Times New Roman"/>
          <w:b/>
          <w:noProof/>
          <w:sz w:val="24"/>
          <w:szCs w:val="24"/>
        </w:rPr>
        <w:t>Šioje ataskaitoje pristatomi demografinius pokyčius lemiantys veiksniai ir jų poveikis visai Europai</w:t>
      </w:r>
      <w:r>
        <w:rPr>
          <w:rStyle w:val="FootnoteReference"/>
          <w:rFonts w:ascii="Times New Roman" w:hAnsi="Times New Roman" w:cs="Times New Roman"/>
          <w:b/>
          <w:noProof/>
          <w:sz w:val="24"/>
          <w:szCs w:val="24"/>
        </w:rPr>
        <w:footnoteReference w:id="3"/>
      </w:r>
      <w:r>
        <w:rPr>
          <w:rFonts w:ascii="Times New Roman" w:hAnsi="Times New Roman"/>
          <w:b/>
          <w:noProof/>
          <w:sz w:val="24"/>
          <w:szCs w:val="24"/>
        </w:rPr>
        <w:t xml:space="preserve">. </w:t>
      </w:r>
      <w:r>
        <w:rPr>
          <w:rFonts w:ascii="Times New Roman" w:hAnsi="Times New Roman"/>
          <w:noProof/>
          <w:sz w:val="24"/>
          <w:szCs w:val="24"/>
        </w:rPr>
        <w:t>Ja siekiama nustatyti, kaip geriausiai padėti labiausiai paveiktiems žmonėms, regionams ir ben</w:t>
      </w:r>
      <w:r>
        <w:rPr>
          <w:rFonts w:ascii="Times New Roman" w:hAnsi="Times New Roman"/>
          <w:noProof/>
          <w:sz w:val="24"/>
          <w:szCs w:val="24"/>
        </w:rPr>
        <w:t>druomenėms prisitaikyti prie kintančios tikrovės per krizę, atsigaunant ekonomikai ir vėliau. Komisijos darbo šioje srityje tikslas – gerinti mūsų žinias ir prognozavimo galimybes , kad galėtume padėti tiems, kuriems reikia paramos tiek šiandien, tiek atei</w:t>
      </w:r>
      <w:r>
        <w:rPr>
          <w:rFonts w:ascii="Times New Roman" w:hAnsi="Times New Roman"/>
          <w:noProof/>
          <w:sz w:val="24"/>
          <w:szCs w:val="24"/>
        </w:rPr>
        <w:t>tyje. Tai nebūtinai reiškia, kad reikės pakeisti ar sulėtinti kurią nors tendenciją; tai reiškia, kad privalome apsirūpinti tinkamomis priemonėmis, kad naujais sprendimais ir parama galėtume padėti žmonėms išgyventi pokyčius.</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 xml:space="preserve">Galiausiai reikia </w:t>
      </w:r>
      <w:r>
        <w:rPr>
          <w:rFonts w:ascii="Times New Roman" w:hAnsi="Times New Roman"/>
          <w:b/>
          <w:noProof/>
          <w:sz w:val="24"/>
          <w:szCs w:val="24"/>
        </w:rPr>
        <w:t xml:space="preserve">užtikrinti, </w:t>
      </w:r>
      <w:r>
        <w:rPr>
          <w:rFonts w:ascii="Times New Roman" w:hAnsi="Times New Roman"/>
          <w:b/>
          <w:noProof/>
          <w:sz w:val="24"/>
          <w:szCs w:val="24"/>
        </w:rPr>
        <w:t>kad nė vienas regionas ir nė vienas žmogus nebūtų paliktas nuošalyje</w:t>
      </w:r>
      <w:r>
        <w:rPr>
          <w:rFonts w:ascii="Times New Roman" w:hAnsi="Times New Roman"/>
          <w:noProof/>
          <w:sz w:val="24"/>
          <w:szCs w:val="24"/>
        </w:rPr>
        <w:t>. Kitaip prarasime pasitikėjimą mūsų demokratija. Todėl šioje Komisijoje pirmą kartą yra už demokratiją ir demografiją atsakingo pirmininko pavaduotojo postas, ši tema taip pat bus aptaria</w:t>
      </w:r>
      <w:r>
        <w:rPr>
          <w:rFonts w:ascii="Times New Roman" w:hAnsi="Times New Roman"/>
          <w:noProof/>
          <w:sz w:val="24"/>
          <w:szCs w:val="24"/>
        </w:rPr>
        <w:t>ma Konferencijoje dėl Europos ateities, kurioje piliečiai atliks pagrindinį vaidmenį kuriant atsparesnę, tvaresnę ir teisingesnę Sąjungą. Nors daugelis sričių priklauso valstybių narių kompetencijai, Komisija yra pasirengusi vadovauti nustatydama problemas</w:t>
      </w:r>
      <w:r>
        <w:rPr>
          <w:rFonts w:ascii="Times New Roman" w:hAnsi="Times New Roman"/>
          <w:noProof/>
          <w:sz w:val="24"/>
          <w:szCs w:val="24"/>
        </w:rPr>
        <w:t xml:space="preserve"> ir remdama veiksmus nacionaliniu, regioniniu ir vietos lygmenimis.</w:t>
      </w:r>
    </w:p>
    <w:p w:rsidR="00394061" w:rsidRDefault="00743783">
      <w:pPr>
        <w:pStyle w:val="Heading1"/>
        <w:rPr>
          <w:noProof/>
          <w:color w:val="0070C0"/>
          <w:szCs w:val="24"/>
        </w:rPr>
      </w:pPr>
      <w:bookmarkStart w:id="5" w:name="_Toc32414435"/>
      <w:bookmarkStart w:id="6" w:name="_Toc32444146"/>
      <w:bookmarkStart w:id="7" w:name="_Toc33800394"/>
      <w:bookmarkStart w:id="8" w:name="_Toc43899480"/>
      <w:r>
        <w:rPr>
          <w:noProof/>
          <w:color w:val="000000" w:themeColor="text1"/>
          <w:szCs w:val="24"/>
        </w:rPr>
        <w:t>DEMOGRAFINIUS POKYČIUS EUROPOJE LEMIANTYS VEIKSNIAI</w:t>
      </w:r>
      <w:bookmarkEnd w:id="5"/>
      <w:bookmarkEnd w:id="6"/>
      <w:bookmarkEnd w:id="7"/>
      <w:r>
        <w:rPr>
          <w:rStyle w:val="FootnoteReference"/>
          <w:noProof/>
          <w:color w:val="000000" w:themeColor="text1"/>
          <w:szCs w:val="24"/>
        </w:rPr>
        <w:footnoteReference w:id="4"/>
      </w:r>
      <w:bookmarkEnd w:id="8"/>
    </w:p>
    <w:p w:rsidR="00394061" w:rsidRDefault="00743783">
      <w:pPr>
        <w:keepLines/>
        <w:shd w:val="clear" w:color="auto" w:fill="FFFFFF"/>
        <w:jc w:val="both"/>
        <w:rPr>
          <w:rFonts w:ascii="Times New Roman" w:hAnsi="Times New Roman" w:cs="Times New Roman"/>
          <w:noProof/>
          <w:sz w:val="24"/>
          <w:szCs w:val="24"/>
        </w:rPr>
      </w:pPr>
      <w:r>
        <w:rPr>
          <w:rFonts w:ascii="Times New Roman" w:hAnsi="Times New Roman"/>
          <w:noProof/>
          <w:sz w:val="24"/>
          <w:szCs w:val="24"/>
        </w:rPr>
        <w:t>Mes, europiečiai, gyvename ilgiau nei bet kada anksčiau ir mūsų visuomenė kasmet senėja. Vis daugiau Europos gyventojų renkasi gyventi,</w:t>
      </w:r>
      <w:r>
        <w:rPr>
          <w:rFonts w:ascii="Times New Roman" w:hAnsi="Times New Roman"/>
          <w:noProof/>
          <w:sz w:val="24"/>
          <w:szCs w:val="24"/>
        </w:rPr>
        <w:t xml:space="preserve"> dirbti ar studijuoti kitoje ES šalyje, o migracija į Europą ar iš jos vis dar netolygi. Šiuo metu dažniau renkamės mažesnius namų ūkius ir turime mažiau vaikų nei anksčiau. Šie demografinius pokyčius lemiantys veiksniai visoje Europoje dažnai labai skiria</w:t>
      </w:r>
      <w:r>
        <w:rPr>
          <w:rFonts w:ascii="Times New Roman" w:hAnsi="Times New Roman"/>
          <w:noProof/>
          <w:sz w:val="24"/>
          <w:szCs w:val="24"/>
        </w:rPr>
        <w:t>si skirtinguose tos pačios šalies regionuose</w:t>
      </w:r>
      <w:r>
        <w:rPr>
          <w:rStyle w:val="FootnoteReference"/>
          <w:rFonts w:ascii="Times New Roman" w:hAnsi="Times New Roman" w:cs="Times New Roman"/>
          <w:noProof/>
          <w:sz w:val="24"/>
          <w:szCs w:val="24"/>
        </w:rPr>
        <w:footnoteReference w:id="5"/>
      </w:r>
      <w:r>
        <w:rPr>
          <w:rFonts w:ascii="Times New Roman" w:hAnsi="Times New Roman"/>
          <w:noProof/>
          <w:sz w:val="24"/>
          <w:szCs w:val="24"/>
        </w:rPr>
        <w:t xml:space="preserve">. </w:t>
      </w:r>
    </w:p>
    <w:p w:rsidR="00394061" w:rsidRDefault="00743783">
      <w:pPr>
        <w:pStyle w:val="Heading2"/>
        <w:keepNext/>
        <w:rPr>
          <w:noProof/>
        </w:rPr>
      </w:pPr>
      <w:bookmarkStart w:id="9" w:name="_Toc32444147"/>
      <w:bookmarkStart w:id="10" w:name="_Toc33800395"/>
      <w:bookmarkStart w:id="11" w:name="_Toc43899481"/>
      <w:r>
        <w:rPr>
          <w:noProof/>
        </w:rPr>
        <w:t>2.1. ILGESNĖ TIKĖTINA GYVENIMO TRUKMĖ</w:t>
      </w:r>
      <w:bookmarkEnd w:id="9"/>
      <w:bookmarkEnd w:id="10"/>
      <w:bookmarkEnd w:id="11"/>
      <w:r>
        <w:rPr>
          <w:noProof/>
        </w:rPr>
        <w:t xml:space="preserve"> </w:t>
      </w:r>
    </w:p>
    <w:p w:rsidR="00394061" w:rsidRDefault="00743783">
      <w:pPr>
        <w:shd w:val="clear" w:color="auto" w:fill="FFFFFF"/>
        <w:jc w:val="both"/>
        <w:rPr>
          <w:rFonts w:ascii="Times New Roman" w:hAnsi="Times New Roman" w:cs="Times New Roman"/>
          <w:noProof/>
          <w:sz w:val="24"/>
          <w:szCs w:val="24"/>
        </w:rPr>
      </w:pPr>
      <w:r>
        <w:rPr>
          <w:rFonts w:ascii="Times New Roman" w:hAnsi="Times New Roman"/>
          <w:b/>
          <w:noProof/>
          <w:sz w:val="24"/>
          <w:szCs w:val="24"/>
        </w:rPr>
        <w:t>Europiečiai gyvena ilgiau ir vidutiniškai ilgiau būna geros sveikatos.</w:t>
      </w:r>
      <w:r>
        <w:rPr>
          <w:rFonts w:ascii="Times New Roman" w:hAnsi="Times New Roman"/>
          <w:noProof/>
          <w:sz w:val="24"/>
          <w:szCs w:val="24"/>
        </w:rPr>
        <w:t xml:space="preserve"> Per pastaruosius penkis dešimtmečius tiek vyrų, tiek moterų tikėtina gyvenimo trukmė nuo gimimo pailgėjo maždaug 10 metų</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Pandemija atskleidė senėjančios visuomenės pažeidžiamumą, tačiau mažai tikėtina, kad dėl jos galėtų pakisti bendra teigiama tikėtino</w:t>
      </w:r>
      <w:r>
        <w:rPr>
          <w:rFonts w:ascii="Times New Roman" w:hAnsi="Times New Roman"/>
          <w:noProof/>
          <w:sz w:val="24"/>
          <w:szCs w:val="24"/>
        </w:rPr>
        <w:t xml:space="preserve">s gyvenimo trukmės tendencija. </w:t>
      </w:r>
    </w:p>
    <w:p w:rsidR="00394061" w:rsidRDefault="00743783">
      <w:pPr>
        <w:shd w:val="clear" w:color="auto" w:fill="FFFFFF"/>
        <w:jc w:val="both"/>
        <w:rPr>
          <w:rFonts w:ascii="Times New Roman" w:hAnsi="Times New Roman" w:cs="Times New Roman"/>
          <w:noProof/>
          <w:sz w:val="24"/>
          <w:szCs w:val="24"/>
        </w:rPr>
      </w:pPr>
      <w:r>
        <w:rPr>
          <w:rFonts w:ascii="Times New Roman" w:hAnsi="Times New Roman"/>
          <w:noProof/>
          <w:sz w:val="24"/>
          <w:szCs w:val="24"/>
        </w:rPr>
        <w:t>Prognozuojama</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kad 2070 m. vyrų tikėtina gyvenimo trukmė nuo gimimo pasieks 86,1 metų, palyginti su 78,2 metų 2018 m. Apskaičiuota, kad moterų tikėtina gyvenimo trukmė pailgės nuo 83,7 metų iki 90,3 metų. Žmonių tikėtina gy</w:t>
      </w:r>
      <w:r>
        <w:rPr>
          <w:rFonts w:ascii="Times New Roman" w:hAnsi="Times New Roman"/>
          <w:noProof/>
          <w:sz w:val="24"/>
          <w:szCs w:val="24"/>
        </w:rPr>
        <w:t>venimo trukmė labai priklauso nuo gyvenamosios vietos. Nacionaliniu lygmeniu tikėtina gyvenimo trukmė nuo gimimo svyruoja nuo 83,5 metų Ispanijoje iki 75 metų Bulgarijoje.</w:t>
      </w:r>
    </w:p>
    <w:p w:rsidR="00394061" w:rsidRDefault="00743783">
      <w:pPr>
        <w:shd w:val="clear" w:color="auto" w:fill="FFFFFF"/>
        <w:jc w:val="both"/>
        <w:rPr>
          <w:rFonts w:ascii="Times New Roman" w:hAnsi="Times New Roman"/>
          <w:noProof/>
          <w:sz w:val="24"/>
          <w:szCs w:val="24"/>
        </w:rPr>
      </w:pPr>
      <w:r>
        <w:rPr>
          <w:rFonts w:ascii="Times New Roman" w:hAnsi="Times New Roman"/>
          <w:noProof/>
          <w:sz w:val="24"/>
          <w:szCs w:val="24"/>
        </w:rPr>
        <w:t>Esama skirtumų tarp skirtingose ES dalyse gyvenančių moterų ir vyrų. 27-iose Europos</w:t>
      </w:r>
      <w:r>
        <w:rPr>
          <w:rFonts w:ascii="Times New Roman" w:hAnsi="Times New Roman"/>
          <w:noProof/>
          <w:sz w:val="24"/>
          <w:szCs w:val="24"/>
        </w:rPr>
        <w:t xml:space="preserve"> valstybėse narėse moterų tikėtina gyvenimo trukmė nuo gimimo yra 5,5 metų ilgesnė nei vyrų, tačiau padėtis ne visur vienoda. Latvijoje ir Lietuvoje šis skirtumas didesnis nei devyneri metai, o Danijoje, Airijoje, Kipre, Nyderlanduose ir Švedijoje – mažesn</w:t>
      </w:r>
      <w:r>
        <w:rPr>
          <w:rFonts w:ascii="Times New Roman" w:hAnsi="Times New Roman"/>
          <w:noProof/>
          <w:sz w:val="24"/>
          <w:szCs w:val="24"/>
        </w:rPr>
        <w:t>is nei ketveri metai.</w:t>
      </w:r>
    </w:p>
    <w:p w:rsidR="00394061" w:rsidRDefault="00743783">
      <w:pPr>
        <w:keepNext/>
        <w:keepLines/>
        <w:shd w:val="clear" w:color="auto" w:fill="FFFFFF"/>
        <w:spacing w:after="0"/>
        <w:contextualSpacing/>
        <w:jc w:val="center"/>
        <w:rPr>
          <w:rFonts w:ascii="Times New Roman" w:hAnsi="Times New Roman"/>
          <w:b/>
          <w:noProof/>
          <w:sz w:val="24"/>
          <w:szCs w:val="24"/>
        </w:rPr>
      </w:pPr>
      <w:r>
        <w:rPr>
          <w:rFonts w:ascii="Times New Roman" w:hAnsi="Times New Roman"/>
          <w:b/>
          <w:noProof/>
          <w:sz w:val="24"/>
          <w:szCs w:val="24"/>
        </w:rPr>
        <w:t>Moterų ir vyrų tikėtinos gyvenimo trukmės skirtumas, 2018 m.</w:t>
      </w:r>
    </w:p>
    <w:p w:rsidR="00394061" w:rsidRDefault="00394061">
      <w:pPr>
        <w:keepNext/>
        <w:keepLines/>
        <w:shd w:val="clear" w:color="auto" w:fill="FFFFFF"/>
        <w:spacing w:after="0"/>
        <w:contextualSpacing/>
        <w:jc w:val="center"/>
        <w:rPr>
          <w:rFonts w:ascii="Times New Roman" w:hAnsi="Times New Roman"/>
          <w:b/>
          <w:noProof/>
          <w:sz w:val="24"/>
          <w:szCs w:val="24"/>
        </w:rPr>
      </w:pPr>
    </w:p>
    <w:p w:rsidR="00394061" w:rsidRDefault="00743783">
      <w:pPr>
        <w:keepNext/>
        <w:keepLines/>
        <w:shd w:val="clear" w:color="auto" w:fill="FFFFFF"/>
        <w:spacing w:after="0"/>
        <w:contextualSpacing/>
        <w:jc w:val="center"/>
        <w:rPr>
          <w:rFonts w:ascii="Times New Roman" w:hAnsi="Times New Roman"/>
          <w:b/>
          <w:noProof/>
          <w:sz w:val="24"/>
          <w:szCs w:val="24"/>
        </w:rPr>
      </w:pPr>
      <w:r>
        <w:rPr>
          <w:noProof/>
          <w:lang w:val="fr-BE" w:eastAsia="fr-BE"/>
        </w:rPr>
        <w:drawing>
          <wp:inline distT="0" distB="0" distL="0" distR="0">
            <wp:extent cx="6192520" cy="343408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92520" cy="3434080"/>
                    </a:xfrm>
                    <a:prstGeom prst="rect">
                      <a:avLst/>
                    </a:prstGeom>
                  </pic:spPr>
                </pic:pic>
              </a:graphicData>
            </a:graphic>
          </wp:inline>
        </w:drawing>
      </w:r>
    </w:p>
    <w:p w:rsidR="00394061" w:rsidRDefault="00394061">
      <w:pPr>
        <w:keepNext/>
        <w:keepLines/>
        <w:shd w:val="clear" w:color="auto" w:fill="FFFFFF"/>
        <w:spacing w:after="0"/>
        <w:contextualSpacing/>
        <w:jc w:val="center"/>
        <w:rPr>
          <w:rFonts w:ascii="Times New Roman" w:hAnsi="Times New Roman"/>
          <w:b/>
          <w:noProof/>
          <w:sz w:val="24"/>
          <w:szCs w:val="24"/>
        </w:rPr>
      </w:pPr>
    </w:p>
    <w:p w:rsidR="00394061" w:rsidRDefault="00743783">
      <w:pPr>
        <w:keepNext/>
        <w:keepLines/>
        <w:shd w:val="clear" w:color="auto" w:fill="FFFFFF"/>
        <w:spacing w:after="0"/>
        <w:contextualSpacing/>
        <w:jc w:val="center"/>
        <w:rPr>
          <w:noProof/>
        </w:rPr>
      </w:pPr>
      <w:r>
        <w:rPr>
          <w:noProof/>
        </w:rPr>
        <w:fldChar w:fldCharType="begin"/>
      </w:r>
      <w:r>
        <w:rPr>
          <w:noProof/>
        </w:rPr>
        <w:instrText xml:space="preserve"> LINK Excel.Sheet.12 "C:\\Users\\drasdra\\AppData\\Local\\Temp\\7zOCD3AE17C\\SG 80152 graphs for report.xlsx" "1 Life exp gap!R4C8" \a \f 4 \h </w:instrText>
      </w:r>
      <w:r>
        <w:rPr>
          <w:noProof/>
        </w:rPr>
        <w:fldChar w:fldCharType="separate"/>
      </w:r>
    </w:p>
    <w:p w:rsidR="00394061" w:rsidRDefault="00394061">
      <w:pPr>
        <w:spacing w:after="0" w:line="240" w:lineRule="auto"/>
        <w:jc w:val="center"/>
        <w:rPr>
          <w:rFonts w:ascii="Times New Roman" w:eastAsia="Times New Roman" w:hAnsi="Times New Roman" w:cs="Times New Roman"/>
          <w:noProof/>
          <w:sz w:val="24"/>
          <w:szCs w:val="24"/>
          <w:lang w:val="en-US"/>
        </w:rPr>
      </w:pPr>
    </w:p>
    <w:p w:rsidR="00394061" w:rsidRDefault="00743783">
      <w:pPr>
        <w:keepNext/>
        <w:keepLines/>
        <w:shd w:val="clear" w:color="auto" w:fill="FFFFFF"/>
        <w:spacing w:after="0"/>
        <w:contextualSpacing/>
        <w:rPr>
          <w:rFonts w:ascii="Times New Roman" w:hAnsi="Times New Roman" w:cs="Times New Roman"/>
          <w:i/>
          <w:noProof/>
          <w:sz w:val="24"/>
          <w:szCs w:val="24"/>
        </w:rPr>
      </w:pPr>
      <w:r>
        <w:rPr>
          <w:rFonts w:ascii="Times New Roman" w:hAnsi="Times New Roman" w:cs="Times New Roman"/>
          <w:i/>
          <w:noProof/>
          <w:sz w:val="24"/>
          <w:szCs w:val="24"/>
        </w:rPr>
        <w:fldChar w:fldCharType="end"/>
      </w:r>
      <w:r>
        <w:rPr>
          <w:rFonts w:ascii="Times New Roman" w:hAnsi="Times New Roman"/>
          <w:i/>
          <w:noProof/>
          <w:sz w:val="24"/>
          <w:szCs w:val="24"/>
        </w:rPr>
        <w:t>Šaltinis: Eurostatas</w:t>
      </w:r>
    </w:p>
    <w:p w:rsidR="00394061" w:rsidRDefault="00394061">
      <w:pPr>
        <w:shd w:val="clear" w:color="auto" w:fill="FFFFFF"/>
        <w:spacing w:after="0"/>
        <w:contextualSpacing/>
        <w:rPr>
          <w:rFonts w:ascii="Times New Roman" w:hAnsi="Times New Roman" w:cs="Times New Roman"/>
          <w:b/>
          <w:noProof/>
          <w:sz w:val="24"/>
          <w:szCs w:val="24"/>
        </w:rPr>
      </w:pPr>
    </w:p>
    <w:p w:rsidR="00394061" w:rsidRDefault="00394061">
      <w:pPr>
        <w:shd w:val="clear" w:color="auto" w:fill="FFFFFF"/>
        <w:spacing w:after="0"/>
        <w:contextualSpacing/>
        <w:jc w:val="both"/>
        <w:rPr>
          <w:rFonts w:ascii="Times New Roman" w:hAnsi="Times New Roman"/>
          <w:b/>
          <w:noProof/>
          <w:sz w:val="24"/>
          <w:szCs w:val="24"/>
        </w:rPr>
      </w:pPr>
    </w:p>
    <w:p w:rsidR="00394061" w:rsidRDefault="00743783">
      <w:pPr>
        <w:shd w:val="clear" w:color="auto" w:fill="FFFFFF"/>
        <w:spacing w:after="0"/>
        <w:contextualSpacing/>
        <w:jc w:val="both"/>
        <w:rPr>
          <w:rFonts w:ascii="Times New Roman" w:hAnsi="Times New Roman" w:cs="Times New Roman"/>
          <w:noProof/>
          <w:sz w:val="24"/>
          <w:szCs w:val="24"/>
        </w:rPr>
      </w:pPr>
      <w:r>
        <w:rPr>
          <w:rFonts w:ascii="Times New Roman" w:hAnsi="Times New Roman"/>
          <w:b/>
          <w:noProof/>
          <w:sz w:val="24"/>
          <w:szCs w:val="24"/>
        </w:rPr>
        <w:t xml:space="preserve">Didžiąją savo gyvenimo dalį esame geros sveikatos. </w:t>
      </w:r>
      <w:r>
        <w:rPr>
          <w:rFonts w:ascii="Times New Roman" w:hAnsi="Times New Roman"/>
          <w:noProof/>
          <w:sz w:val="24"/>
          <w:szCs w:val="24"/>
        </w:rPr>
        <w:t xml:space="preserve">Deklaruotų </w:t>
      </w:r>
      <w:r>
        <w:rPr>
          <w:rFonts w:ascii="Times New Roman" w:hAnsi="Times New Roman"/>
          <w:i/>
          <w:noProof/>
          <w:sz w:val="24"/>
          <w:szCs w:val="24"/>
        </w:rPr>
        <w:t>sveiko gyvenimo metų</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xml:space="preserve"> skaičius skiriasi pagal lytį ir šalį. Visoje ES 2018 m. moterų sveiko gyvenimo metų skaičius siekė 64,2 metų, vyrų – 63,7 metų</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Jis taip pat labai priklauso nuo gyvenamo</w:t>
      </w:r>
      <w:r>
        <w:rPr>
          <w:rFonts w:ascii="Times New Roman" w:hAnsi="Times New Roman"/>
          <w:noProof/>
          <w:sz w:val="24"/>
          <w:szCs w:val="24"/>
        </w:rPr>
        <w:t>sios vietos. Pavyzdžiui, Švedijoje gyvenančio vyro sveiko gyvenimo metai vidutiniškai siekia daugiau kaip 73 metus, o Latvijoje – 51 metus. Beveik pusė vyresnio amžiaus žmonių turi negalią</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 xml:space="preserve"> ir vyresnio amžiaus grupėse šis skaičius didėja. Jie dažniau susid</w:t>
      </w:r>
      <w:r>
        <w:rPr>
          <w:rFonts w:ascii="Times New Roman" w:hAnsi="Times New Roman"/>
          <w:noProof/>
          <w:sz w:val="24"/>
          <w:szCs w:val="24"/>
        </w:rPr>
        <w:t>uria su riboto judumo problemomis, o jų gyvenimo kokybė priklauso nuo to, ar įtrauki ir prieinama yra mūsų visuomenė ir aplinka.</w:t>
      </w:r>
    </w:p>
    <w:p w:rsidR="00394061" w:rsidRDefault="00394061">
      <w:pPr>
        <w:shd w:val="clear" w:color="auto" w:fill="FFFFFF"/>
        <w:spacing w:after="0"/>
        <w:contextualSpacing/>
        <w:rPr>
          <w:rFonts w:ascii="Times New Roman" w:hAnsi="Times New Roman" w:cs="Times New Roman"/>
          <w:b/>
          <w:noProof/>
          <w:sz w:val="24"/>
          <w:szCs w:val="24"/>
        </w:rPr>
      </w:pPr>
    </w:p>
    <w:p w:rsidR="00394061" w:rsidRDefault="00743783">
      <w:pPr>
        <w:keepNext/>
        <w:shd w:val="clear" w:color="auto" w:fill="FFFFFF"/>
        <w:spacing w:after="0"/>
        <w:contextualSpacing/>
        <w:jc w:val="center"/>
        <w:rPr>
          <w:rFonts w:ascii="Times New Roman" w:hAnsi="Times New Roman"/>
          <w:b/>
          <w:noProof/>
          <w:sz w:val="24"/>
          <w:szCs w:val="24"/>
        </w:rPr>
      </w:pPr>
      <w:r>
        <w:rPr>
          <w:rFonts w:ascii="Times New Roman" w:hAnsi="Times New Roman"/>
          <w:b/>
          <w:noProof/>
          <w:sz w:val="24"/>
          <w:szCs w:val="24"/>
        </w:rPr>
        <w:t>Sveiko gyvenimo metai nuo gimimo, 2018 m.</w:t>
      </w:r>
    </w:p>
    <w:p w:rsidR="00394061" w:rsidRDefault="00394061">
      <w:pPr>
        <w:keepNext/>
        <w:shd w:val="clear" w:color="auto" w:fill="FFFFFF"/>
        <w:spacing w:after="0"/>
        <w:contextualSpacing/>
        <w:jc w:val="center"/>
        <w:rPr>
          <w:rFonts w:ascii="Times New Roman" w:hAnsi="Times New Roman"/>
          <w:b/>
          <w:noProof/>
          <w:sz w:val="24"/>
          <w:szCs w:val="24"/>
        </w:rPr>
      </w:pPr>
    </w:p>
    <w:p w:rsidR="00394061" w:rsidRDefault="00394061">
      <w:pPr>
        <w:keepNext/>
        <w:shd w:val="clear" w:color="auto" w:fill="FFFFFF"/>
        <w:spacing w:after="0"/>
        <w:contextualSpacing/>
        <w:jc w:val="center"/>
        <w:rPr>
          <w:rFonts w:ascii="Times New Roman" w:eastAsia="Times New Roman" w:hAnsi="Times New Roman" w:cs="Times New Roman"/>
          <w:noProof/>
          <w:sz w:val="24"/>
          <w:szCs w:val="24"/>
          <w:lang w:val="en-US"/>
        </w:rPr>
      </w:pPr>
    </w:p>
    <w:p w:rsidR="00394061" w:rsidRDefault="00743783">
      <w:pPr>
        <w:keepNext/>
        <w:shd w:val="clear" w:color="auto" w:fill="FFFFFF"/>
        <w:spacing w:after="0"/>
        <w:contextualSpacing/>
        <w:jc w:val="center"/>
        <w:rPr>
          <w:rFonts w:ascii="Times New Roman" w:hAnsi="Times New Roman" w:cs="Times New Roman"/>
          <w:b/>
          <w:noProof/>
          <w:sz w:val="24"/>
          <w:szCs w:val="24"/>
        </w:rPr>
      </w:pPr>
      <w:r>
        <w:rPr>
          <w:noProof/>
          <w:lang w:val="fr-BE" w:eastAsia="fr-BE"/>
        </w:rPr>
        <w:drawing>
          <wp:inline distT="0" distB="0" distL="0" distR="0">
            <wp:extent cx="6172920" cy="4338710"/>
            <wp:effectExtent l="0" t="0" r="0" b="5080"/>
            <wp:docPr id="15" name="Chart 15">
              <a:extLst xmlns:a="http://schemas.openxmlformats.org/drawingml/2006/main">
                <a:ext uri="{FF2B5EF4-FFF2-40B4-BE49-F238E27FC236}">
                  <a16:creationId xmlns:a16="http://schemas.microsoft.com/office/drawing/2014/main" id="{00000000-0008-0000-0200-000004F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94061" w:rsidRDefault="00394061">
      <w:pPr>
        <w:shd w:val="clear" w:color="auto" w:fill="FFFFFF"/>
        <w:jc w:val="center"/>
        <w:rPr>
          <w:rFonts w:ascii="Times New Roman" w:hAnsi="Times New Roman" w:cs="Times New Roman"/>
          <w:noProof/>
          <w:sz w:val="24"/>
          <w:szCs w:val="24"/>
        </w:rPr>
      </w:pPr>
    </w:p>
    <w:p w:rsidR="00394061" w:rsidRDefault="00743783">
      <w:pPr>
        <w:shd w:val="clear" w:color="auto" w:fill="FFFFFF"/>
        <w:rPr>
          <w:rFonts w:ascii="Times New Roman" w:hAnsi="Times New Roman"/>
          <w:i/>
          <w:noProof/>
          <w:sz w:val="24"/>
          <w:szCs w:val="24"/>
        </w:rPr>
      </w:pPr>
      <w:r>
        <w:rPr>
          <w:rFonts w:ascii="Times New Roman" w:hAnsi="Times New Roman"/>
          <w:i/>
          <w:noProof/>
          <w:sz w:val="24"/>
          <w:szCs w:val="24"/>
        </w:rPr>
        <w:t>Šaltinis: Eurostatas</w:t>
      </w:r>
    </w:p>
    <w:p w:rsidR="00394061" w:rsidRDefault="00394061">
      <w:pPr>
        <w:shd w:val="clear" w:color="auto" w:fill="FFFFFF"/>
        <w:rPr>
          <w:rFonts w:ascii="Times New Roman" w:hAnsi="Times New Roman"/>
          <w:i/>
          <w:noProof/>
          <w:sz w:val="24"/>
          <w:szCs w:val="24"/>
        </w:rPr>
      </w:pPr>
    </w:p>
    <w:p w:rsidR="00394061" w:rsidRDefault="00394061">
      <w:pPr>
        <w:shd w:val="clear" w:color="auto" w:fill="FFFFFF"/>
        <w:rPr>
          <w:rFonts w:ascii="Times New Roman" w:hAnsi="Times New Roman"/>
          <w:i/>
          <w:noProof/>
          <w:sz w:val="24"/>
          <w:szCs w:val="24"/>
        </w:rPr>
      </w:pPr>
    </w:p>
    <w:p w:rsidR="00394061" w:rsidRDefault="00394061">
      <w:pPr>
        <w:shd w:val="clear" w:color="auto" w:fill="FFFFFF"/>
        <w:rPr>
          <w:rFonts w:ascii="Times New Roman" w:hAnsi="Times New Roman"/>
          <w:i/>
          <w:noProof/>
          <w:sz w:val="24"/>
          <w:szCs w:val="24"/>
        </w:rPr>
      </w:pPr>
    </w:p>
    <w:p w:rsidR="00394061" w:rsidRDefault="00394061">
      <w:pPr>
        <w:shd w:val="clear" w:color="auto" w:fill="FFFFFF"/>
        <w:rPr>
          <w:rFonts w:ascii="Times New Roman" w:hAnsi="Times New Roman"/>
          <w:b/>
          <w:noProof/>
          <w:sz w:val="24"/>
          <w:szCs w:val="24"/>
        </w:rPr>
      </w:pPr>
    </w:p>
    <w:p w:rsidR="00394061" w:rsidRDefault="00394061">
      <w:pPr>
        <w:shd w:val="clear" w:color="auto" w:fill="FFFFFF"/>
        <w:rPr>
          <w:rFonts w:ascii="Times New Roman" w:hAnsi="Times New Roman"/>
          <w:b/>
          <w:noProof/>
          <w:sz w:val="24"/>
          <w:szCs w:val="24"/>
        </w:rPr>
      </w:pPr>
    </w:p>
    <w:p w:rsidR="00394061" w:rsidRDefault="00394061">
      <w:pPr>
        <w:shd w:val="clear" w:color="auto" w:fill="FFFFFF"/>
        <w:rPr>
          <w:rFonts w:ascii="Times New Roman" w:hAnsi="Times New Roman"/>
          <w:b/>
          <w:noProof/>
          <w:sz w:val="24"/>
          <w:szCs w:val="24"/>
        </w:rPr>
      </w:pPr>
    </w:p>
    <w:p w:rsidR="00394061" w:rsidRDefault="00394061">
      <w:pPr>
        <w:shd w:val="clear" w:color="auto" w:fill="FFFFFF"/>
        <w:rPr>
          <w:rFonts w:ascii="Times New Roman" w:hAnsi="Times New Roman"/>
          <w:b/>
          <w:noProof/>
          <w:sz w:val="24"/>
          <w:szCs w:val="24"/>
        </w:rPr>
      </w:pPr>
    </w:p>
    <w:p w:rsidR="00394061" w:rsidRDefault="00743783">
      <w:pPr>
        <w:shd w:val="clear" w:color="auto" w:fill="FFFFFF"/>
        <w:rPr>
          <w:rFonts w:ascii="Times New Roman" w:hAnsi="Times New Roman"/>
          <w:noProof/>
          <w:sz w:val="24"/>
          <w:szCs w:val="24"/>
        </w:rPr>
      </w:pPr>
      <w:r>
        <w:rPr>
          <w:rFonts w:ascii="Times New Roman" w:hAnsi="Times New Roman"/>
          <w:b/>
          <w:noProof/>
          <w:sz w:val="24"/>
          <w:szCs w:val="24"/>
        </w:rPr>
        <w:t>Tikėtina gyvenimo trukmė nuo gimimo pagal regionus</w:t>
      </w:r>
      <w:r>
        <w:rPr>
          <w:rFonts w:ascii="Times New Roman" w:hAnsi="Times New Roman" w:cs="Times New Roman"/>
          <w:b/>
          <w:noProof/>
          <w:sz w:val="24"/>
          <w:szCs w:val="24"/>
          <w:vertAlign w:val="superscript"/>
        </w:rPr>
        <w:footnoteReference w:id="11"/>
      </w:r>
      <w:r>
        <w:rPr>
          <w:rFonts w:ascii="Times New Roman" w:hAnsi="Times New Roman"/>
          <w:b/>
          <w:noProof/>
          <w:sz w:val="24"/>
          <w:szCs w:val="24"/>
        </w:rPr>
        <w:t>, 2018 m.</w:t>
      </w:r>
      <w:bookmarkStart w:id="12" w:name="_Toc32414436"/>
      <w:bookmarkStart w:id="13" w:name="_Toc32444148"/>
      <w:r>
        <w:rPr>
          <w:rFonts w:ascii="Times New Roman" w:hAnsi="Times New Roman"/>
          <w:b/>
          <w:noProof/>
          <w:sz w:val="24"/>
          <w:szCs w:val="24"/>
        </w:rPr>
        <w:t xml:space="preserve"> </w:t>
      </w:r>
      <w:r>
        <w:rPr>
          <w:rFonts w:ascii="Times New Roman" w:hAnsi="Times New Roman"/>
          <w:noProof/>
          <w:sz w:val="24"/>
          <w:szCs w:val="24"/>
        </w:rPr>
        <w:t>(gyvenimo trukmė metais nuo gimimo)</w:t>
      </w:r>
    </w:p>
    <w:p w:rsidR="00394061" w:rsidRDefault="00743783">
      <w:pPr>
        <w:shd w:val="clear" w:color="auto" w:fill="FFFFFF"/>
        <w:rPr>
          <w:rFonts w:ascii="Times New Roman" w:hAnsi="Times New Roman" w:cs="Times New Roman"/>
          <w:b/>
          <w:noProof/>
          <w:color w:val="0070C0"/>
          <w:sz w:val="24"/>
          <w:szCs w:val="24"/>
        </w:rPr>
      </w:pPr>
      <w:r>
        <w:rPr>
          <w:rFonts w:ascii="Times New Roman" w:hAnsi="Times New Roman"/>
          <w:noProof/>
          <w:color w:val="0070C0"/>
          <w:sz w:val="24"/>
          <w:szCs w:val="24"/>
        </w:rPr>
        <w:pict>
          <v:shape id="_x0000_i1026" type="#_x0000_t75" alt="" style="width:395.15pt;height:545.85pt;visibility:visible;mso-width-percent:0;mso-height-percent:0;mso-width-percent:0;mso-height-percent:0">
            <v:imagedata r:id="rId17" o:title="N2_lifexp_2018_A4P20_M"/>
          </v:shape>
        </w:pict>
      </w:r>
    </w:p>
    <w:p w:rsidR="00394061" w:rsidRDefault="00743783">
      <w:pPr>
        <w:rPr>
          <w:rFonts w:ascii="Times New Roman" w:hAnsi="Times New Roman" w:cs="Times New Roman"/>
          <w:b/>
          <w:noProof/>
          <w:sz w:val="24"/>
          <w:szCs w:val="24"/>
        </w:rPr>
      </w:pPr>
      <w:bookmarkStart w:id="14" w:name="_Toc33800396"/>
      <w:r>
        <w:rPr>
          <w:noProof/>
        </w:rPr>
        <w:br w:type="page"/>
      </w:r>
    </w:p>
    <w:p w:rsidR="00394061" w:rsidRDefault="00743783">
      <w:pPr>
        <w:pStyle w:val="Heading2"/>
        <w:keepNext/>
        <w:rPr>
          <w:noProof/>
        </w:rPr>
      </w:pPr>
      <w:bookmarkStart w:id="15" w:name="_Toc43899482"/>
      <w:r>
        <w:rPr>
          <w:noProof/>
        </w:rPr>
        <w:t>2.2. SUMAŽĖJĘS GIMSTAMUMAS</w:t>
      </w:r>
      <w:bookmarkEnd w:id="12"/>
      <w:bookmarkEnd w:id="13"/>
      <w:bookmarkEnd w:id="14"/>
      <w:bookmarkEnd w:id="15"/>
    </w:p>
    <w:p w:rsidR="00394061" w:rsidRDefault="00743783">
      <w:pPr>
        <w:shd w:val="clear" w:color="auto" w:fill="FFFFFF"/>
        <w:jc w:val="both"/>
        <w:rPr>
          <w:rFonts w:ascii="Times New Roman" w:hAnsi="Times New Roman" w:cs="Times New Roman"/>
          <w:noProof/>
          <w:sz w:val="24"/>
          <w:szCs w:val="24"/>
        </w:rPr>
      </w:pPr>
      <w:r>
        <w:rPr>
          <w:rFonts w:ascii="Times New Roman" w:hAnsi="Times New Roman"/>
          <w:noProof/>
          <w:sz w:val="24"/>
          <w:szCs w:val="24"/>
        </w:rPr>
        <w:t>Nuo praėjusio amžiaus septintojo dešimtmečio iki dešimtojo dešimtmečio vidurio Europoje mažėjo vidutinis gimdymų skaičius vienai moteriai</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Pirmajame dešimtmetyje šis rodiklis šie</w:t>
      </w:r>
      <w:r>
        <w:rPr>
          <w:rFonts w:ascii="Times New Roman" w:hAnsi="Times New Roman"/>
          <w:noProof/>
          <w:sz w:val="24"/>
          <w:szCs w:val="24"/>
        </w:rPr>
        <w:t xml:space="preserve">k tiek atsigavo, o per vėlesnį dešimtmetį beveik stabilizavosi. </w:t>
      </w:r>
    </w:p>
    <w:p w:rsidR="00394061" w:rsidRDefault="00743783">
      <w:pPr>
        <w:shd w:val="clear" w:color="auto" w:fill="FFFFFF"/>
        <w:jc w:val="both"/>
        <w:rPr>
          <w:rFonts w:ascii="Times New Roman" w:hAnsi="Times New Roman" w:cs="Times New Roman"/>
          <w:noProof/>
          <w:sz w:val="24"/>
          <w:szCs w:val="24"/>
        </w:rPr>
      </w:pPr>
      <w:r>
        <w:rPr>
          <w:rFonts w:ascii="Times New Roman" w:hAnsi="Times New Roman"/>
          <w:noProof/>
          <w:sz w:val="24"/>
          <w:szCs w:val="24"/>
        </w:rPr>
        <w:t>2018 m. šis skaičius buvo 1,55 vaiko vienai moteriai. Jis yra mažesnis nei 2,1 vaiko – laikoma, kad tai vertė, kurią reikia pasiekti, kad, nesant migracijos, gyventojų skaičius išliktų pastov</w:t>
      </w:r>
      <w:r>
        <w:rPr>
          <w:rFonts w:ascii="Times New Roman" w:hAnsi="Times New Roman"/>
          <w:noProof/>
          <w:sz w:val="24"/>
          <w:szCs w:val="24"/>
        </w:rPr>
        <w:t>us. Toks lygis nepasiektas beveik niekur Europoje</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 xml:space="preserve">, o kai kuriuose regionuose šis rodiklis yra mažesnis nei 1,25 vaiko. Taip yra, pavyzdžiui, Pirėnų pusiasalio šiaurės vakaruose, Pietryčių Italijoje ir Sardinijoje bei kai kuriose Graikijos dalyse. </w:t>
      </w:r>
    </w:p>
    <w:p w:rsidR="00394061" w:rsidRDefault="00743783">
      <w:pPr>
        <w:shd w:val="clear" w:color="auto" w:fill="FFFFFF"/>
        <w:jc w:val="both"/>
        <w:rPr>
          <w:rFonts w:ascii="Times New Roman" w:hAnsi="Times New Roman"/>
          <w:noProof/>
          <w:sz w:val="24"/>
          <w:szCs w:val="24"/>
        </w:rPr>
      </w:pPr>
      <w:r>
        <w:rPr>
          <w:rFonts w:ascii="Times New Roman" w:hAnsi="Times New Roman"/>
          <w:noProof/>
          <w:sz w:val="24"/>
          <w:szCs w:val="24"/>
        </w:rPr>
        <w:t xml:space="preserve">Be to, </w:t>
      </w:r>
      <w:r>
        <w:rPr>
          <w:rFonts w:ascii="Times New Roman" w:hAnsi="Times New Roman"/>
          <w:noProof/>
          <w:sz w:val="24"/>
          <w:szCs w:val="24"/>
        </w:rPr>
        <w:t>moterys gimdo sulaukusios vyresnio amžiaus. 2001–2018 m. vidutinis gimdyvių amžius ES padidėjo nuo 29,0 iki 30,8 metų.</w:t>
      </w:r>
    </w:p>
    <w:p w:rsidR="00394061" w:rsidRDefault="00394061">
      <w:pPr>
        <w:shd w:val="clear" w:color="auto" w:fill="FFFFFF"/>
        <w:jc w:val="both"/>
        <w:rPr>
          <w:rFonts w:ascii="Times New Roman" w:hAnsi="Times New Roman" w:cs="Times New Roman"/>
          <w:noProof/>
          <w:sz w:val="24"/>
          <w:szCs w:val="24"/>
        </w:rPr>
      </w:pPr>
    </w:p>
    <w:p w:rsidR="00394061" w:rsidRPr="00743783" w:rsidRDefault="00743783">
      <w:pPr>
        <w:keepNext/>
        <w:shd w:val="clear" w:color="auto" w:fill="FFFFFF"/>
        <w:spacing w:after="0" w:line="240" w:lineRule="auto"/>
        <w:ind w:left="1440" w:firstLine="720"/>
        <w:contextualSpacing/>
        <w:rPr>
          <w:noProof/>
          <w:lang w:val="de-DE"/>
        </w:rPr>
      </w:pPr>
      <w:r>
        <w:rPr>
          <w:rFonts w:ascii="Times New Roman" w:hAnsi="Times New Roman"/>
          <w:b/>
          <w:noProof/>
          <w:sz w:val="24"/>
          <w:szCs w:val="24"/>
        </w:rPr>
        <w:t>ES 27 gimstamumo rodikliai, 2001–2018 m.</w:t>
      </w:r>
      <w:r w:rsidRPr="00743783">
        <w:rPr>
          <w:noProof/>
          <w:lang w:val="de-DE"/>
        </w:rPr>
        <w:t xml:space="preserve"> </w:t>
      </w:r>
    </w:p>
    <w:p w:rsidR="00394061" w:rsidRDefault="00394061">
      <w:pPr>
        <w:shd w:val="clear" w:color="auto" w:fill="FFFFFF"/>
        <w:spacing w:after="0" w:line="240" w:lineRule="auto"/>
        <w:contextualSpacing/>
        <w:rPr>
          <w:rFonts w:ascii="Times New Roman" w:hAnsi="Times New Roman"/>
          <w:i/>
          <w:noProof/>
          <w:sz w:val="24"/>
          <w:szCs w:val="24"/>
        </w:rPr>
      </w:pPr>
    </w:p>
    <w:p w:rsidR="00394061" w:rsidRDefault="00743783">
      <w:pPr>
        <w:shd w:val="clear" w:color="auto" w:fill="FFFFFF"/>
        <w:spacing w:after="0" w:line="240" w:lineRule="auto"/>
        <w:contextualSpacing/>
        <w:rPr>
          <w:rFonts w:ascii="Times New Roman" w:hAnsi="Times New Roman"/>
          <w:i/>
          <w:noProof/>
          <w:sz w:val="24"/>
          <w:szCs w:val="24"/>
        </w:rPr>
      </w:pPr>
      <w:r>
        <w:rPr>
          <w:noProof/>
          <w:lang w:val="fr-BE" w:eastAsia="fr-BE"/>
        </w:rPr>
        <w:drawing>
          <wp:inline distT="0" distB="0" distL="0" distR="0">
            <wp:extent cx="6192520" cy="439053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92520" cy="4390536"/>
                    </a:xfrm>
                    <a:prstGeom prst="rect">
                      <a:avLst/>
                    </a:prstGeom>
                    <a:noFill/>
                  </pic:spPr>
                </pic:pic>
              </a:graphicData>
            </a:graphic>
          </wp:inline>
        </w:drawing>
      </w:r>
      <w:r>
        <w:rPr>
          <w:rFonts w:ascii="Times New Roman" w:hAnsi="Times New Roman"/>
          <w:i/>
          <w:noProof/>
          <w:sz w:val="24"/>
          <w:szCs w:val="24"/>
        </w:rPr>
        <w:t xml:space="preserve"> Šaltinis: Eurostatas</w:t>
      </w:r>
    </w:p>
    <w:p w:rsidR="00394061" w:rsidRDefault="00743783">
      <w:pPr>
        <w:keepNext/>
        <w:keepLines/>
        <w:spacing w:after="0" w:line="240" w:lineRule="auto"/>
        <w:jc w:val="center"/>
        <w:rPr>
          <w:rFonts w:ascii="Times New Roman" w:hAnsi="Times New Roman"/>
          <w:b/>
          <w:noProof/>
          <w:sz w:val="24"/>
          <w:szCs w:val="24"/>
        </w:rPr>
      </w:pPr>
      <w:r>
        <w:rPr>
          <w:rFonts w:ascii="Times New Roman" w:hAnsi="Times New Roman"/>
          <w:b/>
          <w:noProof/>
          <w:sz w:val="24"/>
          <w:szCs w:val="24"/>
        </w:rPr>
        <w:t>Bendras gimstamumo rodiklis pagal regionus</w:t>
      </w:r>
      <w:r>
        <w:rPr>
          <w:rStyle w:val="FootnoteReference"/>
          <w:rFonts w:ascii="Times New Roman" w:hAnsi="Times New Roman" w:cs="Times New Roman"/>
          <w:b/>
          <w:noProof/>
          <w:sz w:val="24"/>
          <w:szCs w:val="24"/>
        </w:rPr>
        <w:footnoteReference w:id="14"/>
      </w:r>
      <w:r>
        <w:rPr>
          <w:rFonts w:ascii="Times New Roman" w:hAnsi="Times New Roman"/>
          <w:b/>
          <w:noProof/>
          <w:sz w:val="24"/>
          <w:szCs w:val="24"/>
        </w:rPr>
        <w:t>, 2018 m.</w:t>
      </w:r>
    </w:p>
    <w:p w:rsidR="00394061" w:rsidRDefault="00743783">
      <w:pPr>
        <w:keepNext/>
        <w:keepLines/>
        <w:spacing w:after="0" w:line="240" w:lineRule="auto"/>
        <w:jc w:val="center"/>
        <w:rPr>
          <w:rFonts w:ascii="Times New Roman" w:hAnsi="Times New Roman" w:cs="Times New Roman"/>
          <w:b/>
          <w:noProof/>
          <w:sz w:val="24"/>
          <w:szCs w:val="24"/>
        </w:rPr>
      </w:pPr>
      <w:r>
        <w:rPr>
          <w:rFonts w:ascii="Times New Roman" w:hAnsi="Times New Roman"/>
          <w:noProof/>
          <w:sz w:val="24"/>
          <w:szCs w:val="24"/>
        </w:rPr>
        <w:t xml:space="preserve">(vienos moters </w:t>
      </w:r>
      <w:r>
        <w:rPr>
          <w:rFonts w:ascii="Times New Roman" w:hAnsi="Times New Roman"/>
          <w:noProof/>
          <w:sz w:val="24"/>
          <w:szCs w:val="24"/>
        </w:rPr>
        <w:t>gimdymų skaičius)</w:t>
      </w:r>
    </w:p>
    <w:p w:rsidR="00394061" w:rsidRDefault="00743783">
      <w:pPr>
        <w:keepNext/>
        <w:keepLines/>
        <w:spacing w:after="0" w:line="240" w:lineRule="auto"/>
        <w:jc w:val="center"/>
        <w:rPr>
          <w:rFonts w:ascii="Times New Roman" w:hAnsi="Times New Roman" w:cs="Times New Roman"/>
          <w:i/>
          <w:noProof/>
          <w:sz w:val="24"/>
          <w:szCs w:val="24"/>
        </w:rPr>
      </w:pPr>
      <w:r>
        <w:rPr>
          <w:rFonts w:ascii="Times New Roman" w:hAnsi="Times New Roman"/>
          <w:i/>
          <w:noProof/>
          <w:sz w:val="24"/>
          <w:szCs w:val="24"/>
          <w:lang w:val="fr-BE" w:eastAsia="fr-BE"/>
        </w:rPr>
        <w:drawing>
          <wp:inline distT="0" distB="0" distL="0" distR="0">
            <wp:extent cx="5810491" cy="80993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3_TFR_2018_A4P20_M.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15273" cy="8106049"/>
                    </a:xfrm>
                    <a:prstGeom prst="rect">
                      <a:avLst/>
                    </a:prstGeom>
                  </pic:spPr>
                </pic:pic>
              </a:graphicData>
            </a:graphic>
          </wp:inline>
        </w:drawing>
      </w:r>
    </w:p>
    <w:p w:rsidR="00394061" w:rsidRDefault="00743783">
      <w:pPr>
        <w:rPr>
          <w:rFonts w:ascii="Times New Roman" w:hAnsi="Times New Roman" w:cs="Times New Roman"/>
          <w:b/>
          <w:noProof/>
          <w:sz w:val="24"/>
          <w:szCs w:val="24"/>
        </w:rPr>
      </w:pPr>
      <w:bookmarkStart w:id="16" w:name="_Toc32414437"/>
      <w:bookmarkStart w:id="17" w:name="_Toc32444149"/>
      <w:bookmarkStart w:id="18" w:name="_Toc33800397"/>
      <w:r>
        <w:rPr>
          <w:noProof/>
        </w:rPr>
        <w:br w:type="page"/>
      </w:r>
      <w:r>
        <w:rPr>
          <w:rFonts w:ascii="Times New Roman" w:hAnsi="Times New Roman" w:cs="Times New Roman"/>
          <w:b/>
          <w:noProof/>
          <w:sz w:val="24"/>
          <w:szCs w:val="24"/>
        </w:rPr>
        <w:t>2.3. VISUOMENĖS SENĖJIMAS</w:t>
      </w:r>
      <w:bookmarkEnd w:id="16"/>
      <w:bookmarkEnd w:id="17"/>
      <w:bookmarkEnd w:id="18"/>
    </w:p>
    <w:p w:rsidR="00394061" w:rsidRDefault="00394061">
      <w:pPr>
        <w:rPr>
          <w:rFonts w:ascii="Times New Roman" w:hAnsi="Times New Roman" w:cs="Times New Roman"/>
          <w:b/>
          <w:noProof/>
          <w:sz w:val="24"/>
          <w:szCs w:val="24"/>
        </w:rPr>
      </w:pPr>
    </w:p>
    <w:p w:rsidR="00394061" w:rsidRDefault="00743783">
      <w:pPr>
        <w:jc w:val="both"/>
        <w:rPr>
          <w:rFonts w:ascii="Times New Roman" w:hAnsi="Times New Roman"/>
          <w:noProof/>
          <w:sz w:val="24"/>
          <w:szCs w:val="24"/>
        </w:rPr>
      </w:pPr>
      <w:r>
        <w:rPr>
          <w:rFonts w:ascii="Times New Roman" w:hAnsi="Times New Roman"/>
          <w:b/>
          <w:noProof/>
          <w:sz w:val="24"/>
          <w:szCs w:val="24"/>
        </w:rPr>
        <w:t xml:space="preserve">Europos gyventojai senėja. </w:t>
      </w:r>
      <w:r>
        <w:rPr>
          <w:rFonts w:ascii="Times New Roman" w:hAnsi="Times New Roman"/>
          <w:noProof/>
          <w:sz w:val="24"/>
          <w:szCs w:val="24"/>
        </w:rPr>
        <w:t>27-ių ES valstybių narių gyventojų amžiaus mediana</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xml:space="preserve"> metams bėgant didėjo ir prognozuojama, kad dar du dešimtmečius ji didės panašiu tempu. 2070 m. amžiaus mediana gali siekti 49 metus, t. y. maždaug 5 metais daugiau, palyginti su dabartine padėtimi.</w:t>
      </w:r>
    </w:p>
    <w:p w:rsidR="00394061" w:rsidRDefault="00394061">
      <w:pPr>
        <w:jc w:val="both"/>
        <w:rPr>
          <w:rFonts w:ascii="Times New Roman" w:hAnsi="Times New Roman" w:cs="Times New Roman"/>
          <w:noProof/>
          <w:sz w:val="24"/>
          <w:szCs w:val="24"/>
        </w:rPr>
      </w:pPr>
    </w:p>
    <w:p w:rsidR="00394061" w:rsidRDefault="00743783">
      <w:pPr>
        <w:keepNext/>
        <w:spacing w:after="0"/>
        <w:contextualSpacing/>
        <w:jc w:val="center"/>
        <w:rPr>
          <w:rStyle w:val="Strong"/>
          <w:rFonts w:ascii="Times New Roman" w:hAnsi="Times New Roman"/>
          <w:noProof/>
          <w:sz w:val="24"/>
          <w:szCs w:val="24"/>
        </w:rPr>
      </w:pPr>
      <w:r>
        <w:rPr>
          <w:rStyle w:val="Strong"/>
          <w:rFonts w:ascii="Times New Roman" w:hAnsi="Times New Roman"/>
          <w:noProof/>
          <w:sz w:val="24"/>
          <w:szCs w:val="24"/>
        </w:rPr>
        <w:t>ES 27 gyventojų amžiaus mediana, 2001–2070 m.</w:t>
      </w:r>
    </w:p>
    <w:p w:rsidR="00394061" w:rsidRDefault="00394061">
      <w:pPr>
        <w:keepNext/>
        <w:spacing w:after="0"/>
        <w:contextualSpacing/>
        <w:jc w:val="center"/>
        <w:rPr>
          <w:rStyle w:val="Strong"/>
          <w:rFonts w:ascii="Times New Roman" w:hAnsi="Times New Roman"/>
          <w:noProof/>
          <w:sz w:val="24"/>
          <w:szCs w:val="24"/>
        </w:rPr>
      </w:pPr>
    </w:p>
    <w:p w:rsidR="00394061" w:rsidRDefault="00743783">
      <w:pPr>
        <w:keepNext/>
        <w:spacing w:after="0"/>
        <w:contextualSpacing/>
        <w:jc w:val="center"/>
        <w:rPr>
          <w:rStyle w:val="Strong"/>
          <w:rFonts w:ascii="Times New Roman" w:hAnsi="Times New Roman"/>
          <w:noProof/>
          <w:sz w:val="24"/>
          <w:szCs w:val="24"/>
        </w:rPr>
      </w:pPr>
      <w:r>
        <w:rPr>
          <w:noProof/>
          <w:lang w:val="fr-BE" w:eastAsia="fr-BE"/>
        </w:rPr>
        <w:drawing>
          <wp:inline distT="0" distB="0" distL="0" distR="0">
            <wp:extent cx="6192520" cy="3446780"/>
            <wp:effectExtent l="0" t="0" r="0"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92520" cy="3446780"/>
                    </a:xfrm>
                    <a:prstGeom prst="rect">
                      <a:avLst/>
                    </a:prstGeom>
                  </pic:spPr>
                </pic:pic>
              </a:graphicData>
            </a:graphic>
          </wp:inline>
        </w:drawing>
      </w:r>
    </w:p>
    <w:p w:rsidR="00394061" w:rsidRDefault="00394061">
      <w:pPr>
        <w:keepNext/>
        <w:spacing w:after="0"/>
        <w:contextualSpacing/>
        <w:jc w:val="center"/>
        <w:rPr>
          <w:rStyle w:val="Strong"/>
          <w:rFonts w:ascii="Times New Roman" w:hAnsi="Times New Roman" w:cs="Times New Roman"/>
          <w:noProof/>
          <w:sz w:val="24"/>
          <w:szCs w:val="24"/>
        </w:rPr>
      </w:pPr>
    </w:p>
    <w:p w:rsidR="00394061" w:rsidRDefault="00743783">
      <w:pPr>
        <w:rPr>
          <w:rFonts w:ascii="Times New Roman" w:hAnsi="Times New Roman"/>
          <w:i/>
          <w:noProof/>
          <w:sz w:val="24"/>
          <w:szCs w:val="24"/>
        </w:rPr>
      </w:pPr>
      <w:r>
        <w:rPr>
          <w:rFonts w:ascii="Times New Roman" w:hAnsi="Times New Roman"/>
          <w:i/>
          <w:noProof/>
          <w:sz w:val="24"/>
          <w:szCs w:val="24"/>
        </w:rPr>
        <w:t>Šaltin</w:t>
      </w:r>
      <w:r>
        <w:rPr>
          <w:rFonts w:ascii="Times New Roman" w:hAnsi="Times New Roman"/>
          <w:i/>
          <w:noProof/>
          <w:sz w:val="24"/>
          <w:szCs w:val="24"/>
        </w:rPr>
        <w:t xml:space="preserve">is: Eurostatas </w:t>
      </w:r>
    </w:p>
    <w:p w:rsidR="00394061" w:rsidRDefault="00394061">
      <w:pPr>
        <w:rPr>
          <w:rFonts w:ascii="Times New Roman" w:hAnsi="Times New Roman" w:cs="Times New Roman"/>
          <w:i/>
          <w:noProof/>
          <w:sz w:val="24"/>
          <w:szCs w:val="24"/>
        </w:rPr>
      </w:pPr>
    </w:p>
    <w:p w:rsidR="00394061" w:rsidRDefault="00743783">
      <w:pPr>
        <w:jc w:val="both"/>
        <w:rPr>
          <w:rFonts w:ascii="Times New Roman" w:hAnsi="Times New Roman" w:cs="Times New Roman"/>
          <w:noProof/>
          <w:sz w:val="24"/>
          <w:szCs w:val="24"/>
        </w:rPr>
      </w:pPr>
      <w:r>
        <w:rPr>
          <w:rFonts w:ascii="Times New Roman" w:hAnsi="Times New Roman"/>
          <w:b/>
          <w:noProof/>
          <w:sz w:val="24"/>
          <w:szCs w:val="24"/>
        </w:rPr>
        <w:t>Didėjant amžiaus medianai, didėja ir vyresnio amžiaus žmonių skaičius bei jų dalis amžiaus grupėse.</w:t>
      </w:r>
      <w:r>
        <w:rPr>
          <w:rFonts w:ascii="Times New Roman" w:hAnsi="Times New Roman"/>
          <w:noProof/>
          <w:sz w:val="24"/>
          <w:szCs w:val="24"/>
        </w:rPr>
        <w:t xml:space="preserve"> Apskaičiuota, kad iki 2070 m. 30 proc. Europos gyventojų bus 65 metų ir vyresni, palyginti su dabartiniu rodikliu, kuris siekia maždaug 20 </w:t>
      </w:r>
      <w:r>
        <w:rPr>
          <w:rFonts w:ascii="Times New Roman" w:hAnsi="Times New Roman"/>
          <w:noProof/>
          <w:sz w:val="24"/>
          <w:szCs w:val="24"/>
        </w:rPr>
        <w:t>proc. Prognozuojama, kad 2019–2070 m. 80 metų ir vyresnių žmonių dalis padidės daugiau nei dvigubai – iki 13 proc.</w:t>
      </w:r>
      <w:r>
        <w:rPr>
          <w:rStyle w:val="FootnoteReference"/>
          <w:rFonts w:ascii="Times New Roman" w:hAnsi="Times New Roman" w:cs="Times New Roman"/>
          <w:noProof/>
          <w:sz w:val="24"/>
          <w:szCs w:val="24"/>
        </w:rPr>
        <w:footnoteReference w:id="16"/>
      </w:r>
      <w:r>
        <w:rPr>
          <w:rFonts w:ascii="Times New Roman" w:hAnsi="Times New Roman"/>
          <w:noProof/>
          <w:sz w:val="24"/>
          <w:szCs w:val="24"/>
        </w:rPr>
        <w:t xml:space="preserve">. </w:t>
      </w:r>
    </w:p>
    <w:p w:rsidR="00394061" w:rsidRDefault="00743783">
      <w:pPr>
        <w:jc w:val="both"/>
        <w:rPr>
          <w:rFonts w:ascii="Times New Roman" w:hAnsi="Times New Roman"/>
          <w:noProof/>
          <w:sz w:val="24"/>
          <w:szCs w:val="24"/>
        </w:rPr>
      </w:pPr>
      <w:r>
        <w:rPr>
          <w:rFonts w:ascii="Times New Roman" w:hAnsi="Times New Roman"/>
          <w:b/>
          <w:noProof/>
          <w:sz w:val="24"/>
          <w:szCs w:val="24"/>
        </w:rPr>
        <w:t>Kartu numatoma, kad darbingo amžiaus (20–64 metų)</w:t>
      </w:r>
      <w:r>
        <w:rPr>
          <w:rStyle w:val="FootnoteReference"/>
          <w:rFonts w:ascii="Times New Roman" w:hAnsi="Times New Roman" w:cs="Times New Roman"/>
          <w:b/>
          <w:noProof/>
          <w:sz w:val="24"/>
          <w:szCs w:val="24"/>
        </w:rPr>
        <w:footnoteReference w:id="17"/>
      </w:r>
      <w:r>
        <w:rPr>
          <w:rFonts w:ascii="Times New Roman" w:hAnsi="Times New Roman"/>
          <w:b/>
          <w:noProof/>
          <w:sz w:val="24"/>
          <w:szCs w:val="24"/>
        </w:rPr>
        <w:t xml:space="preserve"> gyventojų skaičius mažės.</w:t>
      </w:r>
      <w:r>
        <w:rPr>
          <w:rFonts w:ascii="Times New Roman" w:hAnsi="Times New Roman"/>
          <w:noProof/>
          <w:sz w:val="24"/>
          <w:szCs w:val="24"/>
        </w:rPr>
        <w:t xml:space="preserve"> 2019 m. jie sudarė 59 proc. visų gyventojų. Numatoma, kad iki 2070 m. šis rodiklis sumažės iki 51 proc. Prognozuojama, kad tuo metu vaikų ir jaunimo (0–19 metų) skaičius sumažės 12,6 mln. </w:t>
      </w:r>
      <w:bookmarkStart w:id="19" w:name="_Toc32414438"/>
    </w:p>
    <w:p w:rsidR="00394061" w:rsidRDefault="00394061">
      <w:pPr>
        <w:jc w:val="both"/>
        <w:rPr>
          <w:rStyle w:val="Strong"/>
          <w:rFonts w:ascii="Times New Roman" w:hAnsi="Times New Roman" w:cs="Times New Roman"/>
          <w:noProof/>
          <w:sz w:val="24"/>
          <w:szCs w:val="24"/>
        </w:rPr>
      </w:pPr>
    </w:p>
    <w:p w:rsidR="00394061" w:rsidRDefault="00743783">
      <w:pPr>
        <w:keepNext/>
        <w:spacing w:after="0"/>
        <w:jc w:val="center"/>
        <w:rPr>
          <w:rStyle w:val="Strong"/>
          <w:rFonts w:ascii="Times New Roman" w:hAnsi="Times New Roman"/>
          <w:noProof/>
          <w:sz w:val="24"/>
          <w:szCs w:val="24"/>
        </w:rPr>
      </w:pPr>
      <w:r>
        <w:rPr>
          <w:rStyle w:val="Strong"/>
          <w:rFonts w:ascii="Times New Roman" w:hAnsi="Times New Roman"/>
          <w:noProof/>
          <w:sz w:val="24"/>
          <w:szCs w:val="24"/>
        </w:rPr>
        <w:t>Gyventojų skaičius pagal amžiaus grupes, ES 27, 2001–2070 m.</w:t>
      </w:r>
    </w:p>
    <w:p w:rsidR="00394061" w:rsidRDefault="00394061">
      <w:pPr>
        <w:keepNext/>
        <w:spacing w:after="0"/>
        <w:jc w:val="center"/>
        <w:rPr>
          <w:rStyle w:val="Strong"/>
          <w:rFonts w:ascii="Times New Roman" w:hAnsi="Times New Roman"/>
          <w:noProof/>
          <w:sz w:val="24"/>
          <w:szCs w:val="24"/>
        </w:rPr>
      </w:pPr>
    </w:p>
    <w:p w:rsidR="00394061" w:rsidRDefault="00394061">
      <w:pPr>
        <w:keepNext/>
        <w:spacing w:after="0"/>
        <w:jc w:val="center"/>
        <w:rPr>
          <w:rStyle w:val="Strong"/>
          <w:rFonts w:ascii="Times New Roman" w:hAnsi="Times New Roman"/>
          <w:noProof/>
          <w:sz w:val="24"/>
          <w:szCs w:val="24"/>
        </w:rPr>
      </w:pPr>
    </w:p>
    <w:p w:rsidR="00394061" w:rsidRDefault="00743783">
      <w:pPr>
        <w:keepNext/>
        <w:spacing w:after="0"/>
        <w:jc w:val="center"/>
        <w:rPr>
          <w:rFonts w:ascii="Times New Roman" w:hAnsi="Times New Roman"/>
          <w:noProof/>
          <w:sz w:val="24"/>
        </w:rPr>
      </w:pPr>
      <w:r>
        <w:rPr>
          <w:noProof/>
          <w:lang w:val="fr-BE" w:eastAsia="fr-BE"/>
        </w:rPr>
        <w:drawing>
          <wp:inline distT="0" distB="0" distL="0" distR="0">
            <wp:extent cx="6192520" cy="3287395"/>
            <wp:effectExtent l="0" t="0" r="0"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92520" cy="3287395"/>
                    </a:xfrm>
                    <a:prstGeom prst="rect">
                      <a:avLst/>
                    </a:prstGeom>
                  </pic:spPr>
                </pic:pic>
              </a:graphicData>
            </a:graphic>
          </wp:inline>
        </w:drawing>
      </w:r>
    </w:p>
    <w:p w:rsidR="00394061" w:rsidRDefault="00743783">
      <w:pPr>
        <w:spacing w:after="0"/>
        <w:rPr>
          <w:rFonts w:ascii="Times New Roman" w:hAnsi="Times New Roman" w:cs="Times New Roman"/>
          <w:i/>
          <w:noProof/>
          <w:sz w:val="24"/>
          <w:szCs w:val="24"/>
        </w:rPr>
      </w:pPr>
      <w:r>
        <w:rPr>
          <w:rFonts w:ascii="Times New Roman" w:hAnsi="Times New Roman"/>
          <w:i/>
          <w:noProof/>
          <w:sz w:val="24"/>
          <w:szCs w:val="24"/>
        </w:rPr>
        <w:t xml:space="preserve">Šaltinis: Eurostatas </w:t>
      </w:r>
    </w:p>
    <w:p w:rsidR="00394061" w:rsidRDefault="00394061">
      <w:pPr>
        <w:pStyle w:val="Heading2"/>
        <w:rPr>
          <w:noProof/>
        </w:rPr>
      </w:pPr>
      <w:bookmarkStart w:id="20" w:name="_Toc32444150"/>
    </w:p>
    <w:p w:rsidR="00394061" w:rsidRDefault="00743783">
      <w:pPr>
        <w:pStyle w:val="Heading2"/>
        <w:keepNext/>
        <w:rPr>
          <w:noProof/>
        </w:rPr>
      </w:pPr>
      <w:bookmarkStart w:id="21" w:name="_Toc33800398"/>
      <w:bookmarkStart w:id="22" w:name="_Toc43899483"/>
      <w:r>
        <w:rPr>
          <w:noProof/>
        </w:rPr>
        <w:t>2.4. MAŽESNI NAMŲ ŪKIAI</w:t>
      </w:r>
      <w:bookmarkEnd w:id="19"/>
      <w:bookmarkEnd w:id="20"/>
      <w:bookmarkEnd w:id="21"/>
      <w:bookmarkEnd w:id="22"/>
    </w:p>
    <w:p w:rsidR="00394061" w:rsidRDefault="00743783">
      <w:pPr>
        <w:shd w:val="clear" w:color="auto" w:fill="FFFFFF"/>
        <w:jc w:val="both"/>
        <w:rPr>
          <w:rFonts w:ascii="Times New Roman" w:hAnsi="Times New Roman" w:cs="Times New Roman"/>
          <w:noProof/>
          <w:sz w:val="24"/>
          <w:szCs w:val="24"/>
        </w:rPr>
      </w:pPr>
      <w:r>
        <w:rPr>
          <w:rFonts w:ascii="Times New Roman" w:hAnsi="Times New Roman"/>
          <w:noProof/>
          <w:sz w:val="24"/>
          <w:szCs w:val="24"/>
        </w:rPr>
        <w:t>Europoje i daugėjant namų ūkių, jų vidutinis dydis mažėja.</w:t>
      </w:r>
      <w:r>
        <w:rPr>
          <w:rFonts w:ascii="Times New Roman" w:hAnsi="Times New Roman"/>
          <w:b/>
          <w:noProof/>
          <w:sz w:val="24"/>
          <w:szCs w:val="24"/>
        </w:rPr>
        <w:t xml:space="preserve"> </w:t>
      </w:r>
      <w:r>
        <w:rPr>
          <w:rFonts w:ascii="Times New Roman" w:hAnsi="Times New Roman"/>
          <w:noProof/>
          <w:sz w:val="24"/>
          <w:szCs w:val="24"/>
        </w:rPr>
        <w:t>2019 m. Europoje buvo 195 mln. namų ūkių, t. y. 13 mln. daugiau nei 2010 m. Šie namų ūkiai vidutiniškai mažėja. 2010 m. vidutinį namų ūkį sudarė 2,4 a</w:t>
      </w:r>
      <w:r>
        <w:rPr>
          <w:rFonts w:ascii="Times New Roman" w:hAnsi="Times New Roman"/>
          <w:noProof/>
          <w:sz w:val="24"/>
          <w:szCs w:val="24"/>
        </w:rPr>
        <w:t>smens. Per pastarąjį dešimtmetį jis iš lėto mažėjo, o 2019 m. pasiekė 2,3 lygį.</w:t>
      </w:r>
    </w:p>
    <w:p w:rsidR="00394061" w:rsidRDefault="00743783">
      <w:pPr>
        <w:shd w:val="clear" w:color="auto" w:fill="FFFFFF"/>
        <w:jc w:val="both"/>
        <w:rPr>
          <w:rFonts w:ascii="Times New Roman" w:hAnsi="Times New Roman" w:cs="Times New Roman"/>
          <w:noProof/>
          <w:sz w:val="24"/>
          <w:szCs w:val="24"/>
        </w:rPr>
      </w:pPr>
      <w:r>
        <w:rPr>
          <w:rFonts w:ascii="Times New Roman" w:hAnsi="Times New Roman"/>
          <w:b/>
          <w:noProof/>
          <w:sz w:val="24"/>
          <w:szCs w:val="24"/>
        </w:rPr>
        <w:t>Maždaug trečdalį visų namų ūkių sudaro 1 asmuo</w:t>
      </w:r>
      <w:r>
        <w:rPr>
          <w:rFonts w:ascii="Times New Roman" w:hAnsi="Times New Roman"/>
          <w:noProof/>
          <w:sz w:val="24"/>
          <w:szCs w:val="24"/>
        </w:rPr>
        <w:t>, t. y. 19 proc. daugiau nei 2010 m. Daugiausia namų ūkių sudaro vaikų neturinčios poros, vieniši asmenys ir vieniši tėvai. Daugum</w:t>
      </w:r>
      <w:r>
        <w:rPr>
          <w:rFonts w:ascii="Times New Roman" w:hAnsi="Times New Roman"/>
          <w:noProof/>
          <w:sz w:val="24"/>
          <w:szCs w:val="24"/>
        </w:rPr>
        <w:t>oje namų ūkių vaikų nėra, o nuo 2010 m. vienišų tėvų namų ūkių padaugėjo 13 proc. Tokie modeliai taip pat gali turėti įtakos siaučiant pandemijai, kai tam tikros namų ūkio struktūros galėjo paveikti viruso plitimą.</w:t>
      </w:r>
    </w:p>
    <w:p w:rsidR="00394061" w:rsidRDefault="00743783">
      <w:pPr>
        <w:shd w:val="clear" w:color="auto" w:fill="FFFFFF"/>
        <w:jc w:val="both"/>
        <w:rPr>
          <w:rFonts w:ascii="Times New Roman" w:hAnsi="Times New Roman" w:cs="Times New Roman"/>
          <w:noProof/>
          <w:sz w:val="24"/>
          <w:szCs w:val="24"/>
        </w:rPr>
      </w:pPr>
      <w:r>
        <w:rPr>
          <w:rFonts w:ascii="Times New Roman" w:hAnsi="Times New Roman"/>
          <w:noProof/>
          <w:sz w:val="24"/>
          <w:szCs w:val="24"/>
        </w:rPr>
        <w:t xml:space="preserve">Europai senėjant, </w:t>
      </w:r>
      <w:r>
        <w:rPr>
          <w:rFonts w:ascii="Times New Roman" w:hAnsi="Times New Roman"/>
          <w:b/>
          <w:noProof/>
          <w:sz w:val="24"/>
          <w:szCs w:val="24"/>
        </w:rPr>
        <w:t xml:space="preserve">vis daugiau 65 metų ir </w:t>
      </w:r>
      <w:r>
        <w:rPr>
          <w:rFonts w:ascii="Times New Roman" w:hAnsi="Times New Roman"/>
          <w:b/>
          <w:noProof/>
          <w:sz w:val="24"/>
          <w:szCs w:val="24"/>
        </w:rPr>
        <w:t>vyresnių asmenų gyvens vieni</w:t>
      </w:r>
      <w:r>
        <w:rPr>
          <w:rStyle w:val="FootnoteReference"/>
          <w:rFonts w:ascii="Times New Roman" w:hAnsi="Times New Roman" w:cs="Times New Roman"/>
          <w:noProof/>
          <w:sz w:val="24"/>
          <w:szCs w:val="24"/>
        </w:rPr>
        <w:footnoteReference w:id="18"/>
      </w:r>
      <w:r>
        <w:rPr>
          <w:rFonts w:ascii="Times New Roman" w:hAnsi="Times New Roman"/>
          <w:noProof/>
          <w:sz w:val="24"/>
          <w:szCs w:val="24"/>
        </w:rPr>
        <w:t>. Tai ypač pasakytina apie moteris. 2019 m. vienišų vyresnio amžiaus moterų dalis sudarė 40 proc., t. y. buvo daugiau nei dvigubai didesnė nei vyrų.</w:t>
      </w:r>
    </w:p>
    <w:p w:rsidR="00394061" w:rsidRDefault="00743783">
      <w:pPr>
        <w:keepNext/>
        <w:keepLines/>
        <w:spacing w:after="0"/>
        <w:contextualSpacing/>
        <w:jc w:val="center"/>
        <w:rPr>
          <w:rFonts w:ascii="Times New Roman" w:hAnsi="Times New Roman"/>
          <w:noProof/>
          <w:sz w:val="24"/>
          <w:szCs w:val="24"/>
        </w:rPr>
      </w:pPr>
      <w:r>
        <w:rPr>
          <w:rFonts w:ascii="Times New Roman" w:hAnsi="Times New Roman"/>
          <w:b/>
          <w:noProof/>
          <w:sz w:val="24"/>
          <w:szCs w:val="24"/>
        </w:rPr>
        <w:t>Namų ūkiai pagal vaikų skaičių, ES 27, 2010–2019 m.</w:t>
      </w:r>
      <w:r>
        <w:rPr>
          <w:rFonts w:ascii="Times New Roman" w:hAnsi="Times New Roman"/>
          <w:noProof/>
          <w:sz w:val="24"/>
          <w:szCs w:val="24"/>
        </w:rPr>
        <w:t xml:space="preserve"> (</w:t>
      </w:r>
      <w:r>
        <w:rPr>
          <w:rFonts w:ascii="Times New Roman" w:hAnsi="Times New Roman"/>
          <w:i/>
          <w:noProof/>
          <w:sz w:val="24"/>
          <w:szCs w:val="24"/>
        </w:rPr>
        <w:t>mln.</w:t>
      </w:r>
      <w:r>
        <w:rPr>
          <w:rFonts w:ascii="Times New Roman" w:hAnsi="Times New Roman"/>
          <w:noProof/>
          <w:sz w:val="24"/>
          <w:szCs w:val="24"/>
        </w:rPr>
        <w:t>)</w:t>
      </w:r>
    </w:p>
    <w:p w:rsidR="00394061" w:rsidRDefault="00394061">
      <w:pPr>
        <w:keepNext/>
        <w:keepLines/>
        <w:spacing w:after="0"/>
        <w:contextualSpacing/>
        <w:jc w:val="center"/>
        <w:rPr>
          <w:rFonts w:ascii="Times New Roman" w:hAnsi="Times New Roman"/>
          <w:noProof/>
          <w:sz w:val="24"/>
          <w:szCs w:val="24"/>
        </w:rPr>
      </w:pPr>
    </w:p>
    <w:p w:rsidR="00394061" w:rsidRDefault="00743783">
      <w:pPr>
        <w:keepNext/>
        <w:keepLines/>
        <w:spacing w:after="0"/>
        <w:contextualSpacing/>
        <w:jc w:val="center"/>
        <w:rPr>
          <w:rFonts w:ascii="Times New Roman" w:hAnsi="Times New Roman" w:cs="Times New Roman"/>
          <w:i/>
          <w:noProof/>
          <w:sz w:val="24"/>
          <w:szCs w:val="24"/>
        </w:rPr>
      </w:pPr>
      <w:r>
        <w:rPr>
          <w:noProof/>
          <w:lang w:val="fr-BE" w:eastAsia="fr-BE"/>
        </w:rPr>
        <w:drawing>
          <wp:inline distT="0" distB="0" distL="0" distR="0">
            <wp:extent cx="6192520" cy="438213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92520" cy="4382135"/>
                    </a:xfrm>
                    <a:prstGeom prst="rect">
                      <a:avLst/>
                    </a:prstGeom>
                  </pic:spPr>
                </pic:pic>
              </a:graphicData>
            </a:graphic>
          </wp:inline>
        </w:drawing>
      </w:r>
    </w:p>
    <w:p w:rsidR="00394061" w:rsidRDefault="00394061">
      <w:pPr>
        <w:spacing w:after="0"/>
        <w:contextualSpacing/>
        <w:rPr>
          <w:rFonts w:ascii="Times New Roman" w:hAnsi="Times New Roman" w:cs="Times New Roman"/>
          <w:noProof/>
          <w:sz w:val="24"/>
          <w:szCs w:val="24"/>
        </w:rPr>
      </w:pPr>
    </w:p>
    <w:p w:rsidR="00394061" w:rsidRDefault="00743783">
      <w:pPr>
        <w:spacing w:after="0"/>
        <w:contextualSpacing/>
        <w:rPr>
          <w:rFonts w:ascii="Times New Roman" w:hAnsi="Times New Roman"/>
          <w:i/>
          <w:noProof/>
          <w:sz w:val="24"/>
        </w:rPr>
      </w:pPr>
      <w:r>
        <w:rPr>
          <w:rFonts w:ascii="Times New Roman" w:hAnsi="Times New Roman"/>
          <w:i/>
          <w:noProof/>
          <w:sz w:val="24"/>
        </w:rPr>
        <w:t xml:space="preserve">Šaltinis: </w:t>
      </w:r>
      <w:r>
        <w:rPr>
          <w:rFonts w:ascii="Times New Roman" w:hAnsi="Times New Roman"/>
          <w:i/>
          <w:noProof/>
          <w:sz w:val="24"/>
        </w:rPr>
        <w:t>Eurostatas</w:t>
      </w:r>
    </w:p>
    <w:p w:rsidR="00394061" w:rsidRDefault="00394061">
      <w:pPr>
        <w:pStyle w:val="Text2"/>
        <w:rPr>
          <w:noProof/>
        </w:rPr>
      </w:pPr>
    </w:p>
    <w:p w:rsidR="00394061" w:rsidRDefault="00743783">
      <w:pPr>
        <w:pStyle w:val="Heading2"/>
        <w:keepNext/>
        <w:rPr>
          <w:noProof/>
        </w:rPr>
      </w:pPr>
      <w:bookmarkStart w:id="23" w:name="_Toc32414439"/>
      <w:bookmarkStart w:id="24" w:name="_Toc32444151"/>
      <w:bookmarkStart w:id="25" w:name="_Toc33800399"/>
      <w:bookmarkStart w:id="26" w:name="_Toc43899484"/>
      <w:r>
        <w:rPr>
          <w:noProof/>
        </w:rPr>
        <w:t xml:space="preserve">2.5. </w:t>
      </w:r>
      <w:bookmarkEnd w:id="23"/>
      <w:bookmarkEnd w:id="24"/>
      <w:bookmarkEnd w:id="25"/>
      <w:r>
        <w:rPr>
          <w:noProof/>
        </w:rPr>
        <w:t>MOBILESNĖ EUROPA</w:t>
      </w:r>
      <w:bookmarkEnd w:id="26"/>
    </w:p>
    <w:p w:rsidR="00394061" w:rsidRDefault="00743783">
      <w:pPr>
        <w:pStyle w:val="xmsonormal"/>
        <w:spacing w:line="276" w:lineRule="auto"/>
        <w:jc w:val="both"/>
        <w:rPr>
          <w:rFonts w:ascii="Times New Roman" w:hAnsi="Times New Roman" w:cs="Times New Roman"/>
          <w:noProof/>
          <w:sz w:val="24"/>
          <w:szCs w:val="24"/>
        </w:rPr>
      </w:pPr>
      <w:r>
        <w:rPr>
          <w:rFonts w:ascii="Times New Roman" w:hAnsi="Times New Roman"/>
          <w:b/>
          <w:noProof/>
          <w:sz w:val="24"/>
          <w:szCs w:val="24"/>
        </w:rPr>
        <w:t>Žmonių judėjimas tiek Europos viduje, tiek už jos ribų yra pagrindinis demografinius pokyčius lemiantis veiksnys.</w:t>
      </w:r>
      <w:r>
        <w:rPr>
          <w:rFonts w:ascii="Times New Roman" w:hAnsi="Times New Roman"/>
          <w:noProof/>
          <w:sz w:val="24"/>
          <w:szCs w:val="24"/>
        </w:rPr>
        <w:t xml:space="preserve"> </w:t>
      </w:r>
    </w:p>
    <w:p w:rsidR="00394061" w:rsidRDefault="00743783">
      <w:pPr>
        <w:pStyle w:val="xmsonormal"/>
        <w:pBdr>
          <w:top w:val="single" w:sz="4" w:space="1" w:color="auto"/>
          <w:left w:val="single" w:sz="4" w:space="4" w:color="auto"/>
          <w:bottom w:val="single" w:sz="4" w:space="1" w:color="auto"/>
          <w:right w:val="single" w:sz="4" w:space="4" w:color="auto"/>
        </w:pBdr>
        <w:shd w:val="clear" w:color="auto" w:fill="F2F2F2"/>
        <w:spacing w:line="276" w:lineRule="auto"/>
        <w:jc w:val="both"/>
        <w:rPr>
          <w:rFonts w:ascii="Times New Roman" w:hAnsi="Times New Roman" w:cs="Times New Roman"/>
          <w:noProof/>
          <w:sz w:val="24"/>
          <w:szCs w:val="24"/>
        </w:rPr>
      </w:pPr>
      <w:r>
        <w:rPr>
          <w:rFonts w:ascii="Times New Roman" w:hAnsi="Times New Roman"/>
          <w:b/>
          <w:noProof/>
          <w:sz w:val="24"/>
          <w:szCs w:val="24"/>
        </w:rPr>
        <w:t>Žmonės kerta ES išorės sieną</w:t>
      </w:r>
      <w:r>
        <w:rPr>
          <w:rFonts w:ascii="Times New Roman" w:hAnsi="Times New Roman"/>
          <w:noProof/>
          <w:sz w:val="24"/>
          <w:szCs w:val="24"/>
        </w:rPr>
        <w:t xml:space="preserve">, persikeldami į Europą arba išsikeldami iš jos. 2018 m. į 27-ias ES valstybes </w:t>
      </w:r>
      <w:r>
        <w:rPr>
          <w:rFonts w:ascii="Times New Roman" w:hAnsi="Times New Roman"/>
          <w:noProof/>
          <w:sz w:val="24"/>
          <w:szCs w:val="24"/>
        </w:rPr>
        <w:t>nares imigravo 2,4 mln. žmonių, o į ES 27 nepriklausančias šalis emigravo 1,1 mln. žmonių</w:t>
      </w:r>
      <w:r>
        <w:rPr>
          <w:rStyle w:val="FootnoteReference"/>
          <w:rFonts w:ascii="Times New Roman" w:hAnsi="Times New Roman" w:cs="Times New Roman"/>
          <w:noProof/>
          <w:sz w:val="24"/>
          <w:szCs w:val="24"/>
          <w:lang w:val="en-GB"/>
        </w:rPr>
        <w:footnoteReference w:id="19"/>
      </w:r>
      <w:r>
        <w:rPr>
          <w:rFonts w:ascii="Times New Roman" w:hAnsi="Times New Roman"/>
          <w:noProof/>
          <w:sz w:val="24"/>
          <w:szCs w:val="24"/>
        </w:rPr>
        <w:t xml:space="preserve">. Dėl laisvo asmenų judėjimo Europoje galimybės </w:t>
      </w:r>
      <w:r>
        <w:rPr>
          <w:rFonts w:ascii="Times New Roman" w:hAnsi="Times New Roman"/>
          <w:b/>
          <w:noProof/>
          <w:sz w:val="24"/>
          <w:szCs w:val="24"/>
        </w:rPr>
        <w:t>daug žmonių renkasi judėti ES viduje</w:t>
      </w:r>
      <w:r>
        <w:rPr>
          <w:rFonts w:ascii="Times New Roman" w:hAnsi="Times New Roman"/>
          <w:noProof/>
          <w:sz w:val="24"/>
          <w:szCs w:val="24"/>
        </w:rPr>
        <w:t xml:space="preserve">. Šis judėjimas neturi poveikio visos ES dydžiui ar gyventojų amžiaus struktūrai, </w:t>
      </w:r>
      <w:r>
        <w:rPr>
          <w:rFonts w:ascii="Times New Roman" w:hAnsi="Times New Roman"/>
          <w:noProof/>
          <w:sz w:val="24"/>
          <w:szCs w:val="24"/>
        </w:rPr>
        <w:t>tačiau daro didelį poveikį nacionaliniu, regioniniu ir vietos lygmenimis. 2018 m. į kitą valstybę narę persikėlė 1,4 mln. žmonių. Šiai grupei taip pat priklauso Europoje gyvenantys trečiųjų šalių piliečiai.</w:t>
      </w:r>
    </w:p>
    <w:p w:rsidR="00394061" w:rsidRDefault="00743783">
      <w:pPr>
        <w:pStyle w:val="xmsonormal"/>
        <w:spacing w:line="276" w:lineRule="auto"/>
        <w:jc w:val="both"/>
        <w:rPr>
          <w:rFonts w:ascii="Times New Roman" w:hAnsi="Times New Roman" w:cs="Times New Roman"/>
          <w:noProof/>
          <w:sz w:val="24"/>
          <w:szCs w:val="24"/>
        </w:rPr>
      </w:pPr>
      <w:r>
        <w:rPr>
          <w:rFonts w:ascii="Times New Roman" w:hAnsi="Times New Roman"/>
          <w:noProof/>
          <w:sz w:val="24"/>
          <w:szCs w:val="24"/>
        </w:rPr>
        <w:t xml:space="preserve">2019 m. sausio 1 d. 27-iose ES valstybėse narėse </w:t>
      </w:r>
      <w:r>
        <w:rPr>
          <w:rFonts w:ascii="Times New Roman" w:hAnsi="Times New Roman"/>
          <w:noProof/>
          <w:sz w:val="24"/>
          <w:szCs w:val="24"/>
        </w:rPr>
        <w:t>gyveno 21,8 trečiųjų šalių piliečių – jie sudarė 4,9 proc. visų gyventojų. 13,3 mln. ES piliečių gyveno kitoje ES šalyje.</w:t>
      </w:r>
    </w:p>
    <w:p w:rsidR="00394061" w:rsidRDefault="00743783">
      <w:pPr>
        <w:pStyle w:val="xmsonormal"/>
        <w:spacing w:line="276" w:lineRule="auto"/>
        <w:jc w:val="both"/>
        <w:rPr>
          <w:rFonts w:ascii="Times New Roman" w:hAnsi="Times New Roman"/>
          <w:noProof/>
          <w:sz w:val="24"/>
        </w:rPr>
      </w:pPr>
      <w:r>
        <w:rPr>
          <w:rFonts w:ascii="Times New Roman" w:hAnsi="Times New Roman"/>
          <w:b/>
          <w:noProof/>
          <w:sz w:val="24"/>
          <w:szCs w:val="24"/>
        </w:rPr>
        <w:t>Metinis šių srautų dydis gali keistis, tačiau ilgalaikės tendencijos yra palyginti stabilios.</w:t>
      </w:r>
      <w:r>
        <w:rPr>
          <w:rFonts w:ascii="Times New Roman" w:hAnsi="Times New Roman"/>
          <w:noProof/>
          <w:sz w:val="24"/>
          <w:szCs w:val="24"/>
        </w:rPr>
        <w:t xml:space="preserve"> Pastaruosius 35 metus Europa buvo grynosios imigracijos žemynas. Nuo devintojo dešimtmečio vidurio kiekvienais metais į ES atvyko daugiau žmonių nei iš jos išvyko, todėl grynoji migracija buvo teigiama.</w:t>
      </w:r>
    </w:p>
    <w:p w:rsidR="00394061" w:rsidRDefault="00743783">
      <w:pPr>
        <w:pStyle w:val="xmsonormal"/>
        <w:spacing w:line="276" w:lineRule="auto"/>
        <w:jc w:val="both"/>
        <w:rPr>
          <w:rFonts w:ascii="Times New Roman" w:hAnsi="Times New Roman" w:cs="Times New Roman"/>
          <w:noProof/>
          <w:sz w:val="24"/>
          <w:szCs w:val="24"/>
        </w:rPr>
      </w:pPr>
      <w:r>
        <w:rPr>
          <w:rFonts w:ascii="Times New Roman" w:hAnsi="Times New Roman"/>
          <w:noProof/>
          <w:sz w:val="24"/>
          <w:szCs w:val="24"/>
        </w:rPr>
        <w:t>Dar neaišku, kaip žmonių judėjimą ribojančios neatid</w:t>
      </w:r>
      <w:r>
        <w:rPr>
          <w:rFonts w:ascii="Times New Roman" w:hAnsi="Times New Roman"/>
          <w:noProof/>
          <w:sz w:val="24"/>
          <w:szCs w:val="24"/>
        </w:rPr>
        <w:t>ėliotinos priemonės ilgainiui paveiks judumo modelius ir prioritetus. Jie priklauso ir nuo to, ar vienoje vietoje darbą ir pragyvenimo šaltinį praradę asmenys gali ieškoti naujų galimybių kitur.</w:t>
      </w:r>
    </w:p>
    <w:p w:rsidR="00394061" w:rsidRDefault="00394061">
      <w:pPr>
        <w:pStyle w:val="xmsonormal"/>
        <w:spacing w:line="276" w:lineRule="auto"/>
        <w:jc w:val="both"/>
        <w:rPr>
          <w:rFonts w:ascii="Times New Roman" w:hAnsi="Times New Roman" w:cs="Times New Roman"/>
          <w:noProof/>
          <w:sz w:val="24"/>
          <w:szCs w:val="24"/>
        </w:rPr>
      </w:pPr>
    </w:p>
    <w:p w:rsidR="00394061" w:rsidRDefault="00743783">
      <w:pPr>
        <w:keepNext/>
        <w:shd w:val="clear" w:color="auto" w:fill="FFFFFF"/>
        <w:spacing w:after="0"/>
        <w:jc w:val="center"/>
        <w:rPr>
          <w:rFonts w:ascii="Times New Roman" w:hAnsi="Times New Roman"/>
          <w:b/>
          <w:noProof/>
          <w:sz w:val="24"/>
          <w:szCs w:val="24"/>
        </w:rPr>
      </w:pPr>
      <w:r>
        <w:rPr>
          <w:rFonts w:ascii="Times New Roman" w:hAnsi="Times New Roman"/>
          <w:b/>
          <w:noProof/>
          <w:sz w:val="24"/>
          <w:szCs w:val="24"/>
        </w:rPr>
        <w:t>Grynoji migracija,</w:t>
      </w:r>
      <w:r>
        <w:rPr>
          <w:rFonts w:ascii="Times New Roman" w:hAnsi="Times New Roman"/>
          <w:noProof/>
          <w:sz w:val="24"/>
          <w:szCs w:val="24"/>
        </w:rPr>
        <w:t xml:space="preserve"> </w:t>
      </w:r>
      <w:r>
        <w:rPr>
          <w:rFonts w:ascii="Times New Roman" w:hAnsi="Times New Roman"/>
          <w:b/>
          <w:noProof/>
          <w:sz w:val="24"/>
          <w:szCs w:val="24"/>
        </w:rPr>
        <w:t>ES 27, 1961–2018 m.</w:t>
      </w:r>
    </w:p>
    <w:p w:rsidR="00394061" w:rsidRDefault="00394061">
      <w:pPr>
        <w:keepNext/>
        <w:shd w:val="clear" w:color="auto" w:fill="FFFFFF"/>
        <w:spacing w:after="0"/>
        <w:jc w:val="center"/>
        <w:rPr>
          <w:rFonts w:ascii="Times New Roman" w:hAnsi="Times New Roman"/>
          <w:b/>
          <w:noProof/>
          <w:sz w:val="24"/>
          <w:szCs w:val="24"/>
        </w:rPr>
      </w:pPr>
    </w:p>
    <w:p w:rsidR="00394061" w:rsidRDefault="00394061">
      <w:pPr>
        <w:keepNext/>
        <w:shd w:val="clear" w:color="auto" w:fill="FFFFFF"/>
        <w:spacing w:after="0"/>
        <w:jc w:val="center"/>
        <w:rPr>
          <w:rFonts w:ascii="Times New Roman" w:hAnsi="Times New Roman"/>
          <w:b/>
          <w:noProof/>
          <w:sz w:val="24"/>
          <w:szCs w:val="24"/>
        </w:rPr>
      </w:pPr>
    </w:p>
    <w:p w:rsidR="00394061" w:rsidRDefault="00743783">
      <w:pPr>
        <w:keepNext/>
        <w:shd w:val="clear" w:color="auto" w:fill="FFFFFF"/>
        <w:spacing w:after="0"/>
        <w:jc w:val="center"/>
        <w:rPr>
          <w:rFonts w:ascii="Times New Roman" w:hAnsi="Times New Roman"/>
          <w:b/>
          <w:noProof/>
          <w:sz w:val="24"/>
          <w:szCs w:val="24"/>
        </w:rPr>
      </w:pPr>
      <w:r>
        <w:rPr>
          <w:noProof/>
          <w:lang w:val="fr-BE" w:eastAsia="fr-BE"/>
        </w:rPr>
        <w:drawing>
          <wp:inline distT="0" distB="0" distL="0" distR="0">
            <wp:extent cx="6192520" cy="43268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92520" cy="4326890"/>
                    </a:xfrm>
                    <a:prstGeom prst="rect">
                      <a:avLst/>
                    </a:prstGeom>
                  </pic:spPr>
                </pic:pic>
              </a:graphicData>
            </a:graphic>
          </wp:inline>
        </w:drawing>
      </w:r>
    </w:p>
    <w:p w:rsidR="00394061" w:rsidRDefault="00394061">
      <w:pPr>
        <w:keepNext/>
        <w:shd w:val="clear" w:color="auto" w:fill="FFFFFF"/>
        <w:spacing w:after="0"/>
        <w:rPr>
          <w:rFonts w:ascii="Times New Roman" w:hAnsi="Times New Roman" w:cs="Times New Roman"/>
          <w:i/>
          <w:noProof/>
          <w:sz w:val="24"/>
          <w:szCs w:val="24"/>
        </w:rPr>
      </w:pPr>
    </w:p>
    <w:p w:rsidR="00394061" w:rsidRDefault="00743783">
      <w:pPr>
        <w:shd w:val="clear" w:color="auto" w:fill="FFFFFF"/>
        <w:spacing w:after="0"/>
        <w:rPr>
          <w:rFonts w:ascii="Times New Roman" w:hAnsi="Times New Roman" w:cs="Times New Roman"/>
          <w:i/>
          <w:noProof/>
          <w:sz w:val="24"/>
          <w:szCs w:val="24"/>
        </w:rPr>
      </w:pPr>
      <w:r>
        <w:rPr>
          <w:rFonts w:ascii="Times New Roman" w:hAnsi="Times New Roman"/>
          <w:i/>
          <w:noProof/>
          <w:sz w:val="24"/>
          <w:szCs w:val="24"/>
        </w:rPr>
        <w:t>Šaltinis: Eurost</w:t>
      </w:r>
      <w:r>
        <w:rPr>
          <w:rFonts w:ascii="Times New Roman" w:hAnsi="Times New Roman"/>
          <w:i/>
          <w:noProof/>
          <w:sz w:val="24"/>
          <w:szCs w:val="24"/>
        </w:rPr>
        <w:t xml:space="preserve">atas </w:t>
      </w:r>
    </w:p>
    <w:p w:rsidR="00394061" w:rsidRPr="00743783" w:rsidRDefault="00394061">
      <w:pPr>
        <w:shd w:val="clear" w:color="auto" w:fill="FFFFFF"/>
        <w:spacing w:after="0"/>
        <w:rPr>
          <w:rFonts w:ascii="Times New Roman" w:hAnsi="Times New Roman" w:cs="Times New Roman"/>
          <w:i/>
          <w:noProof/>
          <w:sz w:val="24"/>
          <w:szCs w:val="24"/>
        </w:rPr>
      </w:pPr>
    </w:p>
    <w:p w:rsidR="00394061" w:rsidRDefault="00743783">
      <w:pPr>
        <w:pStyle w:val="Heading2"/>
        <w:keepNext/>
        <w:rPr>
          <w:noProof/>
        </w:rPr>
      </w:pPr>
      <w:bookmarkStart w:id="27" w:name="_Toc32414440"/>
      <w:bookmarkStart w:id="28" w:name="_Toc32444152"/>
      <w:bookmarkStart w:id="29" w:name="_Toc33800400"/>
      <w:bookmarkStart w:id="30" w:name="_Toc43899485"/>
      <w:r>
        <w:rPr>
          <w:noProof/>
        </w:rPr>
        <w:t xml:space="preserve">2.6. </w:t>
      </w:r>
      <w:bookmarkEnd w:id="27"/>
      <w:bookmarkEnd w:id="28"/>
      <w:r>
        <w:rPr>
          <w:noProof/>
        </w:rPr>
        <w:t>KINTANTIS GYVENTOJŲ SKAIČIUS</w:t>
      </w:r>
      <w:bookmarkEnd w:id="29"/>
      <w:bookmarkEnd w:id="30"/>
      <w:r>
        <w:rPr>
          <w:noProof/>
        </w:rPr>
        <w:t xml:space="preserve"> </w:t>
      </w:r>
    </w:p>
    <w:p w:rsidR="00394061" w:rsidRDefault="00743783">
      <w:pPr>
        <w:shd w:val="clear" w:color="auto" w:fill="FFFFFF"/>
        <w:jc w:val="both"/>
        <w:rPr>
          <w:rFonts w:ascii="Times New Roman" w:hAnsi="Times New Roman" w:cs="Times New Roman"/>
          <w:noProof/>
          <w:sz w:val="24"/>
          <w:szCs w:val="24"/>
        </w:rPr>
      </w:pPr>
      <w:r>
        <w:rPr>
          <w:rFonts w:ascii="Times New Roman" w:hAnsi="Times New Roman"/>
          <w:b/>
          <w:noProof/>
          <w:sz w:val="24"/>
          <w:szCs w:val="24"/>
        </w:rPr>
        <w:t xml:space="preserve">Laikui bėgant Europos gyventojų skaičius nuolat auga. </w:t>
      </w:r>
      <w:r>
        <w:rPr>
          <w:rFonts w:ascii="Times New Roman" w:hAnsi="Times New Roman"/>
          <w:noProof/>
          <w:sz w:val="24"/>
          <w:szCs w:val="24"/>
        </w:rPr>
        <w:t>Nuo 1960 m. 27-iose ES valstybėse narėse bendras gyventojų skaičius išaugo ketvirtadaliu ir 2019 m. siekė kiek mažiau nei 447 mln. Tačiau esama skirtumų tarp ša</w:t>
      </w:r>
      <w:r>
        <w:rPr>
          <w:rFonts w:ascii="Times New Roman" w:hAnsi="Times New Roman"/>
          <w:noProof/>
          <w:sz w:val="24"/>
          <w:szCs w:val="24"/>
        </w:rPr>
        <w:t>lių. Belgijos, Airijos, Kipro, Liuksemburgo, Maltos ir Švedijos gyventojų skaičius didėjo palyginti stabiliai, o Bulgarijos, Kroatijos, Latvijos, Lietuvos ir Rumunijos gyventojų skaičius po 1990 m. mažėjo</w:t>
      </w:r>
      <w:r>
        <w:rPr>
          <w:rStyle w:val="FootnoteReference"/>
          <w:rFonts w:ascii="Times New Roman" w:hAnsi="Times New Roman" w:cs="Times New Roman"/>
          <w:noProof/>
          <w:sz w:val="24"/>
          <w:szCs w:val="24"/>
        </w:rPr>
        <w:footnoteReference w:id="20"/>
      </w:r>
      <w:r>
        <w:rPr>
          <w:rFonts w:ascii="Times New Roman" w:hAnsi="Times New Roman"/>
          <w:noProof/>
          <w:sz w:val="24"/>
          <w:szCs w:val="24"/>
        </w:rPr>
        <w:t>.</w:t>
      </w:r>
    </w:p>
    <w:p w:rsidR="00394061" w:rsidRDefault="00743783">
      <w:pPr>
        <w:jc w:val="both"/>
        <w:rPr>
          <w:rFonts w:ascii="Times New Roman" w:hAnsi="Times New Roman" w:cs="Times New Roman"/>
          <w:b/>
          <w:noProof/>
          <w:sz w:val="24"/>
          <w:szCs w:val="24"/>
        </w:rPr>
      </w:pPr>
      <w:r>
        <w:rPr>
          <w:rFonts w:ascii="Times New Roman" w:hAnsi="Times New Roman"/>
          <w:b/>
          <w:noProof/>
          <w:sz w:val="24"/>
        </w:rPr>
        <w:t>Bendra gyventojų prieaugio tendencija turėtų tęst</w:t>
      </w:r>
      <w:r>
        <w:rPr>
          <w:rFonts w:ascii="Times New Roman" w:hAnsi="Times New Roman"/>
          <w:b/>
          <w:noProof/>
          <w:sz w:val="24"/>
        </w:rPr>
        <w:t xml:space="preserve">is, bet neilgai. </w:t>
      </w:r>
      <w:r>
        <w:rPr>
          <w:rFonts w:ascii="Times New Roman" w:hAnsi="Times New Roman"/>
          <w:noProof/>
          <w:sz w:val="24"/>
          <w:szCs w:val="24"/>
        </w:rPr>
        <w:t>Nuo 2012 m. mirčių skaičius 27-iose ES valstybėse narėse viršijo gimusių vaikų skaičių. Tai reiškia, kad nesant teigiamos grynosios migracijos, Europos gyventojų skaičius jau būtų pradėjęs mažėti.</w:t>
      </w:r>
      <w:r>
        <w:rPr>
          <w:rFonts w:ascii="Times New Roman" w:hAnsi="Times New Roman"/>
          <w:b/>
          <w:noProof/>
          <w:sz w:val="24"/>
          <w:szCs w:val="24"/>
        </w:rPr>
        <w:t xml:space="preserve"> </w:t>
      </w:r>
    </w:p>
    <w:p w:rsidR="00394061" w:rsidRDefault="00743783">
      <w:pPr>
        <w:jc w:val="both"/>
        <w:rPr>
          <w:rFonts w:ascii="Times New Roman" w:hAnsi="Times New Roman" w:cs="Times New Roman"/>
          <w:b/>
          <w:noProof/>
          <w:sz w:val="24"/>
          <w:szCs w:val="24"/>
        </w:rPr>
      </w:pPr>
      <w:r>
        <w:rPr>
          <w:rFonts w:ascii="Times New Roman" w:hAnsi="Times New Roman"/>
          <w:noProof/>
          <w:sz w:val="24"/>
          <w:szCs w:val="24"/>
        </w:rPr>
        <w:t>Iš prognozių</w:t>
      </w:r>
      <w:r>
        <w:rPr>
          <w:rStyle w:val="FootnoteReference"/>
          <w:rFonts w:ascii="Times New Roman" w:hAnsi="Times New Roman" w:cs="Times New Roman"/>
          <w:noProof/>
          <w:sz w:val="24"/>
          <w:szCs w:val="24"/>
        </w:rPr>
        <w:footnoteReference w:id="21"/>
      </w:r>
      <w:r>
        <w:rPr>
          <w:rFonts w:ascii="Times New Roman" w:hAnsi="Times New Roman"/>
          <w:noProof/>
          <w:sz w:val="24"/>
          <w:szCs w:val="24"/>
        </w:rPr>
        <w:t xml:space="preserve"> matyti, kad per ateinančius du dešimtmečius bendras Europos gyventojų skaičius išliks gana stabilus, o tada pradės mažėti. </w:t>
      </w:r>
      <w:r>
        <w:rPr>
          <w:rFonts w:ascii="Times New Roman" w:hAnsi="Times New Roman"/>
          <w:b/>
          <w:noProof/>
          <w:sz w:val="24"/>
        </w:rPr>
        <w:t>Numatoma, kad iki 2025 m. jis pasieks maždaug 449 mln.</w:t>
      </w:r>
      <w:r>
        <w:rPr>
          <w:rFonts w:ascii="Times New Roman" w:hAnsi="Times New Roman"/>
          <w:noProof/>
          <w:sz w:val="24"/>
        </w:rPr>
        <w:t xml:space="preserve">, </w:t>
      </w:r>
      <w:r>
        <w:rPr>
          <w:rFonts w:ascii="Times New Roman" w:hAnsi="Times New Roman"/>
          <w:b/>
          <w:noProof/>
          <w:sz w:val="24"/>
        </w:rPr>
        <w:t>o po 2030 m. palaipsniui mažės</w:t>
      </w:r>
      <w:r>
        <w:rPr>
          <w:rFonts w:ascii="Times New Roman" w:hAnsi="Times New Roman"/>
          <w:noProof/>
          <w:sz w:val="24"/>
        </w:rPr>
        <w:t xml:space="preserve"> – iki 424 mln. 2070 m., t. y. sumažės 5proc. </w:t>
      </w:r>
      <w:r>
        <w:rPr>
          <w:rFonts w:ascii="Times New Roman" w:hAnsi="Times New Roman"/>
          <w:noProof/>
          <w:sz w:val="24"/>
        </w:rPr>
        <w:t>per 50 metų.</w:t>
      </w:r>
    </w:p>
    <w:p w:rsidR="00394061" w:rsidRDefault="00743783">
      <w:pPr>
        <w:jc w:val="both"/>
        <w:rPr>
          <w:rFonts w:ascii="Times New Roman" w:hAnsi="Times New Roman"/>
          <w:noProof/>
          <w:sz w:val="24"/>
          <w:szCs w:val="24"/>
        </w:rPr>
      </w:pPr>
      <w:r>
        <w:rPr>
          <w:rFonts w:ascii="Times New Roman" w:hAnsi="Times New Roman"/>
          <w:noProof/>
          <w:sz w:val="24"/>
          <w:szCs w:val="24"/>
        </w:rPr>
        <w:t>Prognozuojama, kad kai kuriose valstybėse narėse, t. y. Bulgarijoje, Graikijoje, Kroatijoje, Italijoje, Latvijoje, Lietuvoje, Vengrijoje, Lenkijoje ir Rumunijoje, gyventojų skaičius mažės per visą laikotarpį iki 2070 m. Numatoma, kad iki 2070 </w:t>
      </w:r>
      <w:r>
        <w:rPr>
          <w:rFonts w:ascii="Times New Roman" w:hAnsi="Times New Roman"/>
          <w:noProof/>
          <w:sz w:val="24"/>
          <w:szCs w:val="24"/>
        </w:rPr>
        <w:t>m. gyventojų skaičius augs Danijoje, Airijoje, Kipre, Liuksemburge, Maltoje ir Švedijoje. Ekonomikos augimas, o vėliau – smukimas prognozuojamas, pavyzdžiui, Belgijoje, Čekijoje, Estijoje, Ispanijoje, Prancūzijoje, Vokietijoje, Nyderlanduose, Austrijoje, P</w:t>
      </w:r>
      <w:r>
        <w:rPr>
          <w:rFonts w:ascii="Times New Roman" w:hAnsi="Times New Roman"/>
          <w:noProof/>
          <w:sz w:val="24"/>
          <w:szCs w:val="24"/>
        </w:rPr>
        <w:t>ortugalijoje, Slovėnijoje, Slovakijoje ir Suomijoje.</w:t>
      </w:r>
      <w:bookmarkStart w:id="31" w:name="_Toc32414441"/>
    </w:p>
    <w:p w:rsidR="00394061" w:rsidRDefault="00743783">
      <w:pPr>
        <w:keepNext/>
        <w:spacing w:after="0" w:line="240" w:lineRule="auto"/>
        <w:contextualSpacing/>
        <w:jc w:val="center"/>
        <w:rPr>
          <w:rFonts w:ascii="Times New Roman" w:hAnsi="Times New Roman"/>
          <w:b/>
          <w:bCs/>
          <w:noProof/>
          <w:sz w:val="24"/>
          <w:szCs w:val="24"/>
        </w:rPr>
      </w:pPr>
      <w:r>
        <w:rPr>
          <w:rFonts w:ascii="Times New Roman" w:hAnsi="Times New Roman"/>
          <w:b/>
          <w:bCs/>
          <w:noProof/>
          <w:sz w:val="24"/>
          <w:szCs w:val="24"/>
        </w:rPr>
        <w:t>Bendras gyventojų skaičius ir metinis gyventojų skaičiaus pokytis ES 27, 1960–2070 m.</w:t>
      </w:r>
    </w:p>
    <w:p w:rsidR="00394061" w:rsidRDefault="00394061">
      <w:pPr>
        <w:keepNext/>
        <w:spacing w:after="0" w:line="240" w:lineRule="auto"/>
        <w:contextualSpacing/>
        <w:jc w:val="center"/>
        <w:rPr>
          <w:rFonts w:ascii="Times New Roman" w:hAnsi="Times New Roman"/>
          <w:b/>
          <w:bCs/>
          <w:noProof/>
          <w:sz w:val="24"/>
          <w:szCs w:val="24"/>
        </w:rPr>
      </w:pPr>
    </w:p>
    <w:p w:rsidR="00394061" w:rsidRDefault="00743783">
      <w:pPr>
        <w:keepNext/>
        <w:spacing w:after="0" w:line="240" w:lineRule="auto"/>
        <w:contextualSpacing/>
        <w:jc w:val="center"/>
        <w:rPr>
          <w:rFonts w:ascii="Times New Roman" w:hAnsi="Times New Roman"/>
          <w:b/>
          <w:bCs/>
          <w:noProof/>
          <w:sz w:val="24"/>
          <w:szCs w:val="24"/>
        </w:rPr>
      </w:pPr>
      <w:r>
        <w:rPr>
          <w:noProof/>
          <w:lang w:val="fr-BE" w:eastAsia="fr-BE"/>
        </w:rPr>
        <w:drawing>
          <wp:inline distT="0" distB="0" distL="0" distR="0">
            <wp:extent cx="6192520" cy="3674745"/>
            <wp:effectExtent l="0" t="0" r="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92520" cy="3674745"/>
                    </a:xfrm>
                    <a:prstGeom prst="rect">
                      <a:avLst/>
                    </a:prstGeom>
                  </pic:spPr>
                </pic:pic>
              </a:graphicData>
            </a:graphic>
          </wp:inline>
        </w:drawing>
      </w:r>
    </w:p>
    <w:p w:rsidR="00394061" w:rsidRDefault="00394061">
      <w:pPr>
        <w:keepNext/>
        <w:spacing w:after="0" w:line="240" w:lineRule="auto"/>
        <w:contextualSpacing/>
        <w:jc w:val="center"/>
        <w:rPr>
          <w:rFonts w:ascii="Times New Roman" w:eastAsia="Calibri" w:hAnsi="Times New Roman" w:cs="Times New Roman"/>
          <w:b/>
          <w:bCs/>
          <w:noProof/>
          <w:sz w:val="24"/>
          <w:szCs w:val="24"/>
        </w:rPr>
      </w:pPr>
    </w:p>
    <w:p w:rsidR="00394061" w:rsidRDefault="00394061">
      <w:pPr>
        <w:spacing w:after="0" w:line="240" w:lineRule="auto"/>
        <w:contextualSpacing/>
        <w:rPr>
          <w:rFonts w:ascii="Times New Roman" w:eastAsia="Calibri" w:hAnsi="Times New Roman" w:cs="Times New Roman"/>
          <w:i/>
          <w:noProof/>
          <w:sz w:val="24"/>
          <w:szCs w:val="24"/>
        </w:rPr>
      </w:pPr>
    </w:p>
    <w:p w:rsidR="00394061" w:rsidRDefault="00743783">
      <w:pPr>
        <w:spacing w:after="0" w:line="240" w:lineRule="auto"/>
        <w:contextualSpacing/>
        <w:rPr>
          <w:rFonts w:ascii="Times New Roman" w:hAnsi="Times New Roman" w:cs="Times New Roman"/>
          <w:noProof/>
          <w:sz w:val="24"/>
          <w:szCs w:val="24"/>
        </w:rPr>
      </w:pPr>
      <w:r>
        <w:rPr>
          <w:rFonts w:ascii="Times New Roman" w:hAnsi="Times New Roman"/>
          <w:i/>
          <w:noProof/>
          <w:sz w:val="24"/>
          <w:szCs w:val="24"/>
        </w:rPr>
        <w:t xml:space="preserve">Šaltinis: Eurostatas </w:t>
      </w:r>
    </w:p>
    <w:p w:rsidR="00394061" w:rsidRDefault="00743783">
      <w:pPr>
        <w:pStyle w:val="Heading1"/>
        <w:rPr>
          <w:noProof/>
        </w:rPr>
      </w:pPr>
      <w:bookmarkStart w:id="32" w:name="_Toc33643876"/>
      <w:bookmarkStart w:id="33" w:name="_Toc33643877"/>
      <w:bookmarkStart w:id="34" w:name="_Toc33643878"/>
      <w:bookmarkStart w:id="35" w:name="_Toc33800401"/>
      <w:bookmarkStart w:id="36" w:name="_Toc43899486"/>
      <w:bookmarkEnd w:id="31"/>
      <w:bookmarkEnd w:id="32"/>
      <w:bookmarkEnd w:id="33"/>
      <w:bookmarkEnd w:id="34"/>
      <w:r>
        <w:rPr>
          <w:noProof/>
        </w:rPr>
        <w:t xml:space="preserve">DEMOGRAFINIŲ POKYČIŲ POVEIKIS </w:t>
      </w:r>
      <w:bookmarkEnd w:id="35"/>
      <w:r>
        <w:rPr>
          <w:noProof/>
        </w:rPr>
        <w:t>MŪSŲ SOCIALINEI RINKOS EKONOMIKAI</w:t>
      </w:r>
      <w:bookmarkEnd w:id="36"/>
    </w:p>
    <w:p w:rsidR="00394061" w:rsidRDefault="00743783">
      <w:pPr>
        <w:spacing w:after="120"/>
        <w:jc w:val="both"/>
        <w:rPr>
          <w:rFonts w:ascii="Times New Roman" w:hAnsi="Times New Roman" w:cs="Times New Roman"/>
          <w:noProof/>
          <w:color w:val="000000"/>
          <w:sz w:val="24"/>
          <w:szCs w:val="24"/>
          <w:shd w:val="clear" w:color="auto" w:fill="FFFFFF"/>
        </w:rPr>
      </w:pPr>
      <w:r>
        <w:rPr>
          <w:rFonts w:ascii="Times New Roman" w:hAnsi="Times New Roman"/>
          <w:noProof/>
          <w:sz w:val="24"/>
          <w:szCs w:val="24"/>
          <w:shd w:val="clear" w:color="auto" w:fill="FFFFFF"/>
        </w:rPr>
        <w:t xml:space="preserve">Europos demografinių </w:t>
      </w:r>
      <w:r>
        <w:rPr>
          <w:rFonts w:ascii="Times New Roman" w:hAnsi="Times New Roman"/>
          <w:noProof/>
          <w:sz w:val="24"/>
          <w:szCs w:val="24"/>
          <w:shd w:val="clear" w:color="auto" w:fill="FFFFFF"/>
        </w:rPr>
        <w:t>pokyčių poveikis gali būti juntamas visose ekonomikos ir visuomenės srityse.</w:t>
      </w:r>
      <w:r>
        <w:rPr>
          <w:rFonts w:ascii="Times New Roman" w:hAnsi="Times New Roman"/>
          <w:noProof/>
          <w:color w:val="000000"/>
          <w:sz w:val="24"/>
          <w:szCs w:val="24"/>
          <w:shd w:val="clear" w:color="auto" w:fill="FFFFFF"/>
        </w:rPr>
        <w:t xml:space="preserve"> Tai tapo akivaizdu pastaraisiais mėnesiais, kai šalies ūkiai buvo masiškai paralyžiuoti dėl būtinųjų socialinių kontaktų ribojimo priemonių, kurios turėjo įtakos mūsų kasdieniam g</w:t>
      </w:r>
      <w:r>
        <w:rPr>
          <w:rFonts w:ascii="Times New Roman" w:hAnsi="Times New Roman"/>
          <w:noProof/>
          <w:color w:val="000000"/>
          <w:sz w:val="24"/>
          <w:szCs w:val="24"/>
          <w:shd w:val="clear" w:color="auto" w:fill="FFFFFF"/>
        </w:rPr>
        <w:t xml:space="preserve">yvenimui. </w:t>
      </w:r>
      <w:r>
        <w:rPr>
          <w:rFonts w:ascii="Times New Roman" w:hAnsi="Times New Roman"/>
          <w:noProof/>
          <w:sz w:val="24"/>
          <w:shd w:val="clear" w:color="auto" w:fill="FFFFFF"/>
        </w:rPr>
        <w:t>Pandemijos pasekmės paveiks mūsų socialinės gerovės ir sveikatos priežiūros sistemų ateitį, biudžetą, būsto ir infrastruktūros poreikius.</w:t>
      </w:r>
      <w:r>
        <w:rPr>
          <w:rFonts w:ascii="Times New Roman" w:hAnsi="Times New Roman"/>
          <w:noProof/>
          <w:color w:val="000000"/>
          <w:sz w:val="24"/>
          <w:shd w:val="clear" w:color="auto" w:fill="FFFFFF"/>
        </w:rPr>
        <w:t xml:space="preserve"> </w:t>
      </w:r>
      <w:r>
        <w:rPr>
          <w:rFonts w:ascii="Times New Roman" w:hAnsi="Times New Roman"/>
          <w:noProof/>
          <w:color w:val="000000"/>
          <w:sz w:val="24"/>
          <w:szCs w:val="24"/>
          <w:shd w:val="clear" w:color="auto" w:fill="FFFFFF"/>
        </w:rPr>
        <w:t xml:space="preserve">Europos miestai ir miestų vietovės gali tapti labiau perpildytos, o kaimo vietovės susidurs su naujais, tik </w:t>
      </w:r>
      <w:r>
        <w:rPr>
          <w:rFonts w:ascii="Times New Roman" w:hAnsi="Times New Roman"/>
          <w:noProof/>
          <w:color w:val="000000"/>
          <w:sz w:val="24"/>
          <w:szCs w:val="24"/>
          <w:shd w:val="clear" w:color="auto" w:fill="FFFFFF"/>
        </w:rPr>
        <w:t xml:space="preserve">joms būdingais iššūkiais. Žmonių darbo įpročiai ir toliau keisis, todėl turėsime rasti sprendimų, kaip užtikrinti Europos konkurencingumą mažėjant darbingo amžiaus gyventojų skaičiui. </w:t>
      </w:r>
    </w:p>
    <w:p w:rsidR="00394061" w:rsidRDefault="00743783">
      <w:pPr>
        <w:spacing w:after="120"/>
        <w:jc w:val="both"/>
        <w:rPr>
          <w:rFonts w:ascii="Times New Roman" w:hAnsi="Times New Roman" w:cs="Times New Roman"/>
          <w:noProof/>
          <w:color w:val="000000"/>
          <w:sz w:val="24"/>
          <w:szCs w:val="24"/>
          <w:shd w:val="clear" w:color="auto" w:fill="FFFFFF"/>
        </w:rPr>
      </w:pPr>
      <w:r>
        <w:rPr>
          <w:rFonts w:ascii="Times New Roman" w:hAnsi="Times New Roman"/>
          <w:noProof/>
          <w:color w:val="000000"/>
          <w:sz w:val="24"/>
          <w:szCs w:val="24"/>
          <w:shd w:val="clear" w:color="auto" w:fill="FFFFFF"/>
        </w:rPr>
        <w:t>Šalies ekonominė ir demografinė struktūra bus vienas iš veiksnių, lemia</w:t>
      </w:r>
      <w:r>
        <w:rPr>
          <w:rFonts w:ascii="Times New Roman" w:hAnsi="Times New Roman"/>
          <w:noProof/>
          <w:color w:val="000000"/>
          <w:sz w:val="24"/>
          <w:szCs w:val="24"/>
          <w:shd w:val="clear" w:color="auto" w:fill="FFFFFF"/>
        </w:rPr>
        <w:t>nčių atsigavimo spartą ir galimybes. Kitose srityse irgi bus suderinti ilgalaikiai demografiniai pokyčiai ir atsigavimo poreikiai. Pavyzdžiui, viskas, ko reikia, kad mūsų sveikatos priežiūros ir ilgalaikės priežiūros sistemos būtų atsparesnės sprendžiant g</w:t>
      </w:r>
      <w:r>
        <w:rPr>
          <w:rFonts w:ascii="Times New Roman" w:hAnsi="Times New Roman"/>
          <w:noProof/>
          <w:color w:val="000000"/>
          <w:sz w:val="24"/>
          <w:szCs w:val="24"/>
          <w:shd w:val="clear" w:color="auto" w:fill="FFFFFF"/>
        </w:rPr>
        <w:t>yventojų tankio arba paslaugų trūkumo iššūkius Europos miesto ir kaimo vietovėse.</w:t>
      </w:r>
    </w:p>
    <w:p w:rsidR="00394061" w:rsidRDefault="00743783">
      <w:pPr>
        <w:rPr>
          <w:rFonts w:ascii="Times New Roman" w:hAnsi="Times New Roman" w:cs="Times New Roman"/>
          <w:b/>
          <w:noProof/>
          <w:sz w:val="24"/>
          <w:szCs w:val="24"/>
        </w:rPr>
      </w:pPr>
      <w:r>
        <w:rPr>
          <w:rFonts w:ascii="Times New Roman" w:hAnsi="Times New Roman"/>
          <w:noProof/>
          <w:sz w:val="24"/>
          <w:szCs w:val="24"/>
        </w:rPr>
        <w:t>Pagal Komisijos ekonomikos gaivinimo ir atsparumo priemonę bus teikiama didelio masto finansinė parama, kad valstybių narių ekonomika taptų atsparesnė ir geriau pasirengusi a</w:t>
      </w:r>
      <w:r>
        <w:rPr>
          <w:rFonts w:ascii="Times New Roman" w:hAnsi="Times New Roman"/>
          <w:noProof/>
          <w:sz w:val="24"/>
          <w:szCs w:val="24"/>
        </w:rPr>
        <w:t xml:space="preserve">teičiai, visų pirma demografiniams pokyčiams. Investavimo prioritetai atitiks uždavinius, nustatytus per Europos semestrą pateiktose konkrečioms šalims skirtose rekomendacijose. </w:t>
      </w:r>
      <w:bookmarkStart w:id="37" w:name="_Toc33800402"/>
      <w:r>
        <w:rPr>
          <w:noProof/>
        </w:rPr>
        <w:br w:type="page"/>
      </w:r>
    </w:p>
    <w:p w:rsidR="00394061" w:rsidRDefault="00743783">
      <w:pPr>
        <w:pStyle w:val="Heading2"/>
        <w:rPr>
          <w:noProof/>
        </w:rPr>
      </w:pPr>
      <w:bookmarkStart w:id="38" w:name="_Toc43899487"/>
      <w:r>
        <w:rPr>
          <w:noProof/>
        </w:rPr>
        <w:t xml:space="preserve">3.1. </w:t>
      </w:r>
      <w:bookmarkEnd w:id="37"/>
      <w:r>
        <w:rPr>
          <w:noProof/>
        </w:rPr>
        <w:t>ŽMONĖS, DARBAS IR ĮGŪDŽIAI</w:t>
      </w:r>
      <w:bookmarkEnd w:id="38"/>
    </w:p>
    <w:p w:rsidR="00394061" w:rsidRDefault="00743783">
      <w:pPr>
        <w:jc w:val="both"/>
        <w:rPr>
          <w:rFonts w:ascii="Times New Roman" w:hAnsi="Times New Roman"/>
          <w:noProof/>
          <w:sz w:val="24"/>
          <w:szCs w:val="24"/>
        </w:rPr>
      </w:pPr>
      <w:r>
        <w:rPr>
          <w:rFonts w:ascii="Times New Roman" w:hAnsi="Times New Roman"/>
          <w:b/>
          <w:noProof/>
          <w:sz w:val="24"/>
          <w:szCs w:val="24"/>
        </w:rPr>
        <w:t>Vis labiau ryškėja gyventojų senėjimo poveik</w:t>
      </w:r>
      <w:r>
        <w:rPr>
          <w:rFonts w:ascii="Times New Roman" w:hAnsi="Times New Roman"/>
          <w:b/>
          <w:noProof/>
          <w:sz w:val="24"/>
          <w:szCs w:val="24"/>
        </w:rPr>
        <w:t xml:space="preserve">is darbo rinkai. </w:t>
      </w:r>
      <w:r>
        <w:rPr>
          <w:rFonts w:ascii="Times New Roman" w:hAnsi="Times New Roman"/>
          <w:noProof/>
          <w:sz w:val="24"/>
          <w:szCs w:val="24"/>
        </w:rPr>
        <w:t>27-ių ES valstybių narių darbingo amžiaus gyventojų skaičius mažėja jau dešimtmetį ir prognozuojama, kad iki 2070 m. sumažės 18 proc. Padėtis valstybėse narėse ir regionuose labai skiriasi.</w:t>
      </w:r>
    </w:p>
    <w:p w:rsidR="00394061" w:rsidRDefault="00743783">
      <w:pPr>
        <w:spacing w:after="0"/>
        <w:jc w:val="center"/>
        <w:rPr>
          <w:rFonts w:ascii="Times New Roman" w:hAnsi="Times New Roman"/>
          <w:b/>
          <w:noProof/>
          <w:sz w:val="24"/>
          <w:szCs w:val="24"/>
        </w:rPr>
      </w:pPr>
      <w:r>
        <w:rPr>
          <w:rFonts w:ascii="Times New Roman" w:hAnsi="Times New Roman"/>
          <w:b/>
          <w:noProof/>
          <w:sz w:val="24"/>
          <w:szCs w:val="24"/>
        </w:rPr>
        <w:t xml:space="preserve">20–64 metų gyventojų skaičiaus pokytis pagal </w:t>
      </w:r>
      <w:r>
        <w:rPr>
          <w:rFonts w:ascii="Times New Roman" w:hAnsi="Times New Roman"/>
          <w:b/>
          <w:noProof/>
          <w:sz w:val="24"/>
          <w:szCs w:val="24"/>
        </w:rPr>
        <w:t>regionus</w:t>
      </w:r>
      <w:r>
        <w:rPr>
          <w:rFonts w:ascii="Times New Roman" w:hAnsi="Times New Roman" w:cs="Times New Roman"/>
          <w:b/>
          <w:bCs/>
          <w:noProof/>
          <w:sz w:val="24"/>
          <w:szCs w:val="24"/>
          <w:vertAlign w:val="superscript"/>
        </w:rPr>
        <w:footnoteReference w:id="22"/>
      </w:r>
      <w:r>
        <w:rPr>
          <w:rFonts w:ascii="Times New Roman" w:hAnsi="Times New Roman"/>
          <w:b/>
          <w:noProof/>
          <w:sz w:val="24"/>
          <w:szCs w:val="24"/>
        </w:rPr>
        <w:t>, 2020–2030 m.</w:t>
      </w:r>
    </w:p>
    <w:p w:rsidR="00394061" w:rsidRDefault="00743783">
      <w:pPr>
        <w:spacing w:after="0"/>
        <w:jc w:val="center"/>
        <w:rPr>
          <w:rFonts w:ascii="Times New Roman" w:hAnsi="Times New Roman" w:cs="Times New Roman"/>
          <w:b/>
          <w:noProof/>
          <w:sz w:val="24"/>
          <w:szCs w:val="24"/>
        </w:rPr>
      </w:pPr>
      <w:r>
        <w:rPr>
          <w:rFonts w:ascii="Times New Roman" w:hAnsi="Times New Roman"/>
          <w:b/>
          <w:noProof/>
          <w:sz w:val="24"/>
          <w:szCs w:val="24"/>
        </w:rPr>
        <w:t>(</w:t>
      </w:r>
      <w:r>
        <w:rPr>
          <w:rFonts w:ascii="Times New Roman" w:hAnsi="Times New Roman"/>
          <w:noProof/>
          <w:sz w:val="24"/>
          <w:szCs w:val="24"/>
        </w:rPr>
        <w:t>bendras pokytis proc.</w:t>
      </w:r>
      <w:r>
        <w:rPr>
          <w:rFonts w:ascii="Times New Roman" w:hAnsi="Times New Roman"/>
          <w:b/>
          <w:noProof/>
          <w:sz w:val="24"/>
          <w:szCs w:val="24"/>
        </w:rPr>
        <w:t>)</w:t>
      </w:r>
    </w:p>
    <w:p w:rsidR="00394061" w:rsidRDefault="00743783">
      <w:pPr>
        <w:jc w:val="center"/>
        <w:rPr>
          <w:rFonts w:ascii="Times New Roman" w:hAnsi="Times New Roman" w:cs="Times New Roman"/>
          <w:noProof/>
          <w:sz w:val="24"/>
          <w:szCs w:val="24"/>
        </w:rPr>
      </w:pPr>
      <w:r>
        <w:rPr>
          <w:rFonts w:ascii="Times New Roman" w:hAnsi="Times New Roman"/>
          <w:b/>
          <w:noProof/>
          <w:sz w:val="24"/>
          <w:szCs w:val="24"/>
          <w:lang w:val="fr-BE" w:eastAsia="fr-BE"/>
        </w:rPr>
        <w:drawing>
          <wp:inline distT="0" distB="0" distL="0" distR="0">
            <wp:extent cx="4994275" cy="6419850"/>
            <wp:effectExtent l="0" t="0" r="0" b="0"/>
            <wp:docPr id="7" name="Picture 7" descr="N3_2064_CHANGE_2020_2030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3_2064_CHANGE_2020_2030_A4P20_M"/>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94275" cy="6419850"/>
                    </a:xfrm>
                    <a:prstGeom prst="rect">
                      <a:avLst/>
                    </a:prstGeom>
                    <a:noFill/>
                    <a:ln>
                      <a:noFill/>
                    </a:ln>
                  </pic:spPr>
                </pic:pic>
              </a:graphicData>
            </a:graphic>
          </wp:inline>
        </w:drawing>
      </w:r>
    </w:p>
    <w:p w:rsidR="00394061" w:rsidRDefault="00743783">
      <w:pPr>
        <w:spacing w:after="0"/>
        <w:jc w:val="both"/>
        <w:rPr>
          <w:rFonts w:ascii="Times New Roman" w:hAnsi="Times New Roman" w:cs="Times New Roman"/>
          <w:noProof/>
          <w:sz w:val="24"/>
          <w:szCs w:val="24"/>
        </w:rPr>
      </w:pPr>
      <w:r>
        <w:rPr>
          <w:rFonts w:ascii="Times New Roman" w:hAnsi="Times New Roman"/>
          <w:noProof/>
          <w:sz w:val="24"/>
          <w:szCs w:val="24"/>
        </w:rPr>
        <w:t xml:space="preserve">2018 m. pateiktose ekonominėse projekcijose apskaičiuota, kad </w:t>
      </w:r>
      <w:r>
        <w:rPr>
          <w:rFonts w:ascii="Times New Roman" w:hAnsi="Times New Roman"/>
          <w:b/>
          <w:noProof/>
          <w:sz w:val="24"/>
          <w:szCs w:val="24"/>
        </w:rPr>
        <w:t>dirbančių asmenų skaičius galėtų pasiekti aukščiausią tašką apie 2020 m.</w:t>
      </w:r>
      <w:r>
        <w:rPr>
          <w:rFonts w:ascii="Times New Roman" w:hAnsi="Times New Roman"/>
          <w:noProof/>
          <w:sz w:val="24"/>
          <w:szCs w:val="24"/>
        </w:rPr>
        <w:t>, o per ateinančius dešimtmečius nuolat mažėti</w:t>
      </w:r>
      <w:r>
        <w:rPr>
          <w:rStyle w:val="FootnoteReference"/>
          <w:rFonts w:ascii="Times New Roman" w:hAnsi="Times New Roman" w:cs="Times New Roman"/>
          <w:noProof/>
          <w:sz w:val="24"/>
          <w:szCs w:val="24"/>
        </w:rPr>
        <w:footnoteReference w:id="23"/>
      </w:r>
      <w:r>
        <w:rPr>
          <w:rFonts w:ascii="Times New Roman" w:hAnsi="Times New Roman"/>
          <w:noProof/>
          <w:sz w:val="24"/>
          <w:szCs w:val="24"/>
        </w:rPr>
        <w:t>. Nors dar per anksti tvi</w:t>
      </w:r>
      <w:r>
        <w:rPr>
          <w:rFonts w:ascii="Times New Roman" w:hAnsi="Times New Roman"/>
          <w:noProof/>
          <w:sz w:val="24"/>
          <w:szCs w:val="24"/>
        </w:rPr>
        <w:t>rtinti, ar dėl dabartinės krizės pasikeis ilgalaikės projekcijos, pirmosiose prognozėse, parengtose nuo ligos protrūkio pradžios</w:t>
      </w:r>
      <w:r>
        <w:rPr>
          <w:rStyle w:val="FootnoteReference"/>
          <w:rFonts w:ascii="Times New Roman" w:hAnsi="Times New Roman" w:cs="Times New Roman"/>
          <w:noProof/>
          <w:sz w:val="24"/>
          <w:szCs w:val="24"/>
        </w:rPr>
        <w:footnoteReference w:id="24"/>
      </w:r>
      <w:r>
        <w:rPr>
          <w:rFonts w:ascii="Times New Roman" w:hAnsi="Times New Roman"/>
          <w:noProof/>
          <w:sz w:val="24"/>
          <w:szCs w:val="24"/>
        </w:rPr>
        <w:t>, numatomas didelis užimtumo sumažėjimas. Priklausomai nuo to, kaip plis virusas, gali būti, kad tuo pačiu metu dirbs dar mažia</w:t>
      </w:r>
      <w:r>
        <w:rPr>
          <w:rFonts w:ascii="Times New Roman" w:hAnsi="Times New Roman"/>
          <w:noProof/>
          <w:sz w:val="24"/>
          <w:szCs w:val="24"/>
        </w:rPr>
        <w:t xml:space="preserve">u žmonių. Todėl dar svarbiau bus kovoti su nedarbu, ypač jaunimo nedarbu, ir pritraukti daugiau žmonių į darbo rinkas. </w:t>
      </w:r>
    </w:p>
    <w:p w:rsidR="00394061" w:rsidRDefault="00394061">
      <w:pPr>
        <w:spacing w:after="0"/>
        <w:jc w:val="both"/>
        <w:rPr>
          <w:rFonts w:ascii="Times New Roman" w:hAnsi="Times New Roman" w:cs="Times New Roman"/>
          <w:noProof/>
          <w:sz w:val="24"/>
          <w:szCs w:val="24"/>
        </w:rPr>
      </w:pPr>
    </w:p>
    <w:p w:rsidR="00394061" w:rsidRDefault="00743783">
      <w:pPr>
        <w:spacing w:after="0"/>
        <w:jc w:val="both"/>
        <w:rPr>
          <w:rFonts w:ascii="Times New Roman" w:hAnsi="Times New Roman" w:cs="Times New Roman"/>
          <w:noProof/>
          <w:sz w:val="24"/>
          <w:szCs w:val="24"/>
        </w:rPr>
      </w:pPr>
      <w:r>
        <w:rPr>
          <w:noProof/>
        </w:rPr>
        <w:t xml:space="preserve">Taip pat aišku, kad sumažėjusio darbingo amžiaus gyventojų skaičiaus poveikis bus stipresnis ir greitesnis, jeigu ir kol į darbo rinką </w:t>
      </w:r>
      <w:r>
        <w:rPr>
          <w:noProof/>
        </w:rPr>
        <w:t>neįsilies arba joje nedalyvaus daugiau grupių, kurioms šiuo metu joje nepakankamai atstovaujama.</w:t>
      </w:r>
    </w:p>
    <w:p w:rsidR="00394061" w:rsidRDefault="00394061">
      <w:pPr>
        <w:spacing w:after="0"/>
        <w:jc w:val="both"/>
        <w:rPr>
          <w:rFonts w:ascii="Times New Roman" w:hAnsi="Times New Roman" w:cs="Times New Roman"/>
          <w:noProof/>
          <w:sz w:val="24"/>
          <w:szCs w:val="24"/>
        </w:rPr>
      </w:pPr>
    </w:p>
    <w:p w:rsidR="00394061" w:rsidRDefault="00743783">
      <w:pPr>
        <w:keepNext/>
        <w:spacing w:after="0"/>
        <w:jc w:val="center"/>
        <w:rPr>
          <w:rFonts w:ascii="Times New Roman" w:hAnsi="Times New Roman"/>
          <w:b/>
          <w:noProof/>
          <w:sz w:val="24"/>
          <w:szCs w:val="24"/>
        </w:rPr>
      </w:pPr>
      <w:r>
        <w:rPr>
          <w:rFonts w:ascii="Times New Roman" w:hAnsi="Times New Roman"/>
          <w:b/>
          <w:noProof/>
          <w:sz w:val="24"/>
          <w:szCs w:val="24"/>
        </w:rPr>
        <w:t>Darbingo amžiaus gyventojai (20–64 metų), ES 27, 2001–2070 m.</w:t>
      </w:r>
    </w:p>
    <w:p w:rsidR="00394061" w:rsidRDefault="00394061">
      <w:pPr>
        <w:keepNext/>
        <w:spacing w:after="0"/>
        <w:jc w:val="center"/>
        <w:rPr>
          <w:rFonts w:ascii="Times New Roman" w:hAnsi="Times New Roman"/>
          <w:b/>
          <w:noProof/>
          <w:sz w:val="24"/>
          <w:szCs w:val="24"/>
        </w:rPr>
      </w:pPr>
    </w:p>
    <w:p w:rsidR="00394061" w:rsidRDefault="00394061">
      <w:pPr>
        <w:keepNext/>
        <w:spacing w:after="0"/>
        <w:jc w:val="center"/>
        <w:rPr>
          <w:rFonts w:ascii="Times New Roman" w:hAnsi="Times New Roman"/>
          <w:b/>
          <w:noProof/>
          <w:sz w:val="24"/>
          <w:szCs w:val="24"/>
        </w:rPr>
      </w:pPr>
    </w:p>
    <w:p w:rsidR="00394061" w:rsidRDefault="00394061">
      <w:pPr>
        <w:keepNext/>
        <w:spacing w:after="0"/>
        <w:jc w:val="center"/>
        <w:rPr>
          <w:rFonts w:ascii="Times New Roman" w:hAnsi="Times New Roman" w:cs="Times New Roman"/>
          <w:b/>
          <w:noProof/>
          <w:sz w:val="24"/>
          <w:szCs w:val="24"/>
        </w:rPr>
      </w:pPr>
    </w:p>
    <w:p w:rsidR="00394061" w:rsidRDefault="00743783">
      <w:pPr>
        <w:spacing w:after="0"/>
        <w:jc w:val="center"/>
        <w:rPr>
          <w:rFonts w:ascii="Times New Roman" w:hAnsi="Times New Roman" w:cs="Times New Roman"/>
          <w:noProof/>
          <w:sz w:val="24"/>
          <w:szCs w:val="24"/>
        </w:rPr>
      </w:pPr>
      <w:r>
        <w:rPr>
          <w:noProof/>
          <w:lang w:val="fr-BE" w:eastAsia="fr-BE"/>
        </w:rPr>
        <w:drawing>
          <wp:inline distT="0" distB="0" distL="0" distR="0">
            <wp:extent cx="6192520" cy="31851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92520" cy="3185160"/>
                    </a:xfrm>
                    <a:prstGeom prst="rect">
                      <a:avLst/>
                    </a:prstGeom>
                  </pic:spPr>
                </pic:pic>
              </a:graphicData>
            </a:graphic>
          </wp:inline>
        </w:drawing>
      </w:r>
    </w:p>
    <w:p w:rsidR="00394061" w:rsidRDefault="00743783">
      <w:pPr>
        <w:spacing w:after="0"/>
        <w:contextualSpacing/>
        <w:rPr>
          <w:rFonts w:ascii="Times New Roman" w:hAnsi="Times New Roman" w:cs="Times New Roman"/>
          <w:i/>
          <w:noProof/>
          <w:sz w:val="24"/>
          <w:szCs w:val="24"/>
        </w:rPr>
      </w:pPr>
      <w:r>
        <w:rPr>
          <w:rFonts w:ascii="Times New Roman" w:hAnsi="Times New Roman"/>
          <w:i/>
          <w:noProof/>
          <w:sz w:val="24"/>
        </w:rPr>
        <w:t>Šaltinis: Eurostatas</w:t>
      </w:r>
    </w:p>
    <w:p w:rsidR="00394061" w:rsidRDefault="00394061">
      <w:pPr>
        <w:spacing w:after="0"/>
        <w:jc w:val="both"/>
        <w:rPr>
          <w:rFonts w:ascii="Times New Roman" w:hAnsi="Times New Roman" w:cs="Times New Roman"/>
          <w:noProof/>
          <w:sz w:val="24"/>
          <w:szCs w:val="24"/>
        </w:rPr>
      </w:pPr>
    </w:p>
    <w:p w:rsidR="00394061" w:rsidRDefault="00743783">
      <w:pPr>
        <w:pStyle w:val="Heading2"/>
        <w:keepNext/>
        <w:rPr>
          <w:noProof/>
        </w:rPr>
      </w:pPr>
      <w:bookmarkStart w:id="39" w:name="_Toc33800403"/>
      <w:bookmarkStart w:id="40" w:name="_Toc32414443"/>
      <w:bookmarkStart w:id="41" w:name="_Toc32444154"/>
      <w:bookmarkStart w:id="42" w:name="_Toc43899488"/>
      <w:r>
        <w:rPr>
          <w:noProof/>
        </w:rPr>
        <w:t>3.1.1. DIDESNĖ IR ĮTRAUKESNĖ DARBO RINKA</w:t>
      </w:r>
      <w:bookmarkEnd w:id="39"/>
      <w:bookmarkEnd w:id="40"/>
      <w:bookmarkEnd w:id="41"/>
      <w:bookmarkEnd w:id="42"/>
    </w:p>
    <w:p w:rsidR="00394061" w:rsidRDefault="00743783">
      <w:pPr>
        <w:spacing w:after="0"/>
        <w:jc w:val="both"/>
        <w:rPr>
          <w:rFonts w:ascii="Times New Roman" w:hAnsi="Times New Roman" w:cs="Times New Roman"/>
          <w:bCs/>
          <w:noProof/>
          <w:sz w:val="24"/>
          <w:szCs w:val="24"/>
        </w:rPr>
      </w:pPr>
      <w:r>
        <w:rPr>
          <w:rFonts w:ascii="Times New Roman" w:hAnsi="Times New Roman"/>
          <w:bCs/>
          <w:noProof/>
          <w:sz w:val="24"/>
          <w:szCs w:val="24"/>
        </w:rPr>
        <w:t xml:space="preserve">Mažėjantis darbingo amžiaus </w:t>
      </w:r>
      <w:r>
        <w:rPr>
          <w:rFonts w:ascii="Times New Roman" w:hAnsi="Times New Roman"/>
          <w:bCs/>
          <w:noProof/>
          <w:sz w:val="24"/>
          <w:szCs w:val="24"/>
        </w:rPr>
        <w:t>gyventojų skaičius rodo, kad Europa ir jos darbo rinka turi pasinaudoti visomis savo stipriosiomis pusėmis, talentais ir įvairove.</w:t>
      </w:r>
    </w:p>
    <w:p w:rsidR="00394061" w:rsidRDefault="00394061">
      <w:pPr>
        <w:spacing w:after="0"/>
        <w:jc w:val="both"/>
        <w:rPr>
          <w:rFonts w:ascii="Times New Roman" w:hAnsi="Times New Roman" w:cs="Times New Roman"/>
          <w:b/>
          <w:noProof/>
          <w:sz w:val="24"/>
          <w:szCs w:val="24"/>
        </w:rPr>
      </w:pPr>
    </w:p>
    <w:p w:rsidR="00394061" w:rsidRDefault="00743783">
      <w:pPr>
        <w:spacing w:after="160"/>
        <w:jc w:val="both"/>
        <w:rPr>
          <w:rFonts w:ascii="Times New Roman" w:hAnsi="Times New Roman" w:cs="Times New Roman"/>
          <w:noProof/>
          <w:sz w:val="24"/>
          <w:szCs w:val="24"/>
        </w:rPr>
      </w:pPr>
      <w:r>
        <w:rPr>
          <w:rFonts w:ascii="Times New Roman" w:hAnsi="Times New Roman"/>
          <w:b/>
          <w:noProof/>
          <w:sz w:val="24"/>
          <w:szCs w:val="24"/>
        </w:rPr>
        <w:t>Labai svarbu didinti moterų užimtumo lygį.</w:t>
      </w:r>
      <w:r>
        <w:rPr>
          <w:rFonts w:ascii="Times New Roman" w:hAnsi="Times New Roman"/>
          <w:noProof/>
          <w:sz w:val="24"/>
          <w:szCs w:val="24"/>
        </w:rPr>
        <w:t xml:space="preserve"> 2019 m. moterų ir vyrų užimtumo skirtumas siekė 12 proc. Jis dar akivaizdesnis at</w:t>
      </w:r>
      <w:r>
        <w:rPr>
          <w:rFonts w:ascii="Times New Roman" w:hAnsi="Times New Roman"/>
          <w:noProof/>
          <w:sz w:val="24"/>
          <w:szCs w:val="24"/>
        </w:rPr>
        <w:t>sižvelgiant į vyrų ir moterų, dirbančių ne visą darbo dieną, skaičiaus skirtumą. 2019 m. maždaug 3 iš 10 dirbančių moterų dirbo ne visą darbo dieną – beveik 4 kartus daugiau nei vyrų. Pandemijos metu tokia padėtis galėjo būti dar labiau juntama, kai reikėj</w:t>
      </w:r>
      <w:r>
        <w:rPr>
          <w:rFonts w:ascii="Times New Roman" w:hAnsi="Times New Roman"/>
          <w:noProof/>
          <w:sz w:val="24"/>
          <w:szCs w:val="24"/>
        </w:rPr>
        <w:t>o privačiai organizuoti pagyvenusių žmonių, neįgaliųjų ar vaikų priežiūrą, kuri daugiausia teko moterims. Šią problemą dar labiau aštrina tinkamų oficialių ilgalaikės priežiūros paslaugų, lanksčių darbo galimybių ir paskatų antrajam šeimoje uždirbančiam as</w:t>
      </w:r>
      <w:r>
        <w:rPr>
          <w:rFonts w:ascii="Times New Roman" w:hAnsi="Times New Roman"/>
          <w:noProof/>
          <w:sz w:val="24"/>
          <w:szCs w:val="24"/>
        </w:rPr>
        <w:t>meniui trūkumas kai kuriose valstybėse narėse.</w:t>
      </w:r>
    </w:p>
    <w:p w:rsidR="00394061" w:rsidRDefault="00743783">
      <w:pPr>
        <w:spacing w:after="0"/>
        <w:jc w:val="both"/>
        <w:rPr>
          <w:rFonts w:ascii="Times New Roman" w:hAnsi="Times New Roman" w:cs="Times New Roman"/>
          <w:noProof/>
          <w:sz w:val="24"/>
          <w:szCs w:val="24"/>
        </w:rPr>
      </w:pPr>
      <w:r>
        <w:rPr>
          <w:rFonts w:ascii="Times New Roman" w:hAnsi="Times New Roman"/>
          <w:noProof/>
          <w:sz w:val="24"/>
          <w:szCs w:val="24"/>
        </w:rPr>
        <w:t xml:space="preserve">Pagrindinis uždavinys – </w:t>
      </w:r>
      <w:r>
        <w:rPr>
          <w:rFonts w:ascii="Times New Roman" w:hAnsi="Times New Roman"/>
          <w:b/>
          <w:noProof/>
          <w:sz w:val="24"/>
          <w:szCs w:val="24"/>
        </w:rPr>
        <w:t>darbo ir šeimos gyvenimo derinimas</w:t>
      </w:r>
      <w:r>
        <w:rPr>
          <w:rFonts w:ascii="Times New Roman" w:hAnsi="Times New Roman"/>
          <w:noProof/>
          <w:sz w:val="24"/>
          <w:szCs w:val="24"/>
        </w:rPr>
        <w:t>. 2019 m. moterų, turinčių jaunesnių nei 6 metų vaikų, užimtumo lygis buvo beveik 14 procentiniais punktais mažesnis nei vaikų neturinčių moterų. Moter</w:t>
      </w:r>
      <w:r>
        <w:rPr>
          <w:rFonts w:ascii="Times New Roman" w:hAnsi="Times New Roman"/>
          <w:noProof/>
          <w:sz w:val="24"/>
          <w:szCs w:val="24"/>
        </w:rPr>
        <w:t xml:space="preserve">ys už savo darbą vis dar gauna mažesnį darbo užmokestį nei vyrai, o vyrų ir moterų darbo užmokesčio skirtumas šiuo metu siekia 14,8 proc. Komisija šiuos klausimus sprendžia vykdydama savo veiklą lygybės srityje ir įgyvendindama naująją </w:t>
      </w:r>
      <w:r>
        <w:rPr>
          <w:rFonts w:ascii="Times New Roman" w:hAnsi="Times New Roman"/>
          <w:b/>
          <w:noProof/>
          <w:sz w:val="24"/>
          <w:szCs w:val="24"/>
        </w:rPr>
        <w:t>2020–2025 m. ES lyči</w:t>
      </w:r>
      <w:r>
        <w:rPr>
          <w:rFonts w:ascii="Times New Roman" w:hAnsi="Times New Roman"/>
          <w:b/>
          <w:noProof/>
          <w:sz w:val="24"/>
          <w:szCs w:val="24"/>
        </w:rPr>
        <w:t>ų lygybės strategiją</w:t>
      </w:r>
      <w:r>
        <w:rPr>
          <w:rStyle w:val="FootnoteReference"/>
          <w:rFonts w:ascii="Times New Roman" w:hAnsi="Times New Roman" w:cs="Times New Roman"/>
          <w:noProof/>
          <w:sz w:val="24"/>
          <w:szCs w:val="24"/>
        </w:rPr>
        <w:footnoteReference w:id="25"/>
      </w:r>
      <w:r>
        <w:rPr>
          <w:rFonts w:ascii="Times New Roman" w:hAnsi="Times New Roman"/>
          <w:noProof/>
          <w:sz w:val="24"/>
          <w:szCs w:val="24"/>
        </w:rPr>
        <w:t>.</w:t>
      </w:r>
    </w:p>
    <w:p w:rsidR="00394061" w:rsidRDefault="00394061">
      <w:pPr>
        <w:spacing w:after="0"/>
        <w:rPr>
          <w:rFonts w:ascii="Times New Roman" w:hAnsi="Times New Roman" w:cs="Times New Roman"/>
          <w:noProof/>
          <w:sz w:val="24"/>
          <w:szCs w:val="24"/>
        </w:rPr>
      </w:pPr>
    </w:p>
    <w:p w:rsidR="00394061" w:rsidRDefault="00743783">
      <w:pPr>
        <w:spacing w:after="0"/>
        <w:jc w:val="both"/>
        <w:rPr>
          <w:rFonts w:ascii="Times New Roman" w:hAnsi="Times New Roman" w:cs="Times New Roman"/>
          <w:noProof/>
          <w:sz w:val="24"/>
          <w:szCs w:val="24"/>
        </w:rPr>
      </w:pPr>
      <w:r>
        <w:rPr>
          <w:rFonts w:ascii="Times New Roman" w:hAnsi="Times New Roman"/>
          <w:b/>
          <w:noProof/>
          <w:sz w:val="24"/>
          <w:szCs w:val="24"/>
        </w:rPr>
        <w:t>Be to, būtų naudinga siekti tolesnės pažangos didinant vyresnio amžiaus darbuotojų užimtumą.</w:t>
      </w:r>
      <w:r>
        <w:rPr>
          <w:rFonts w:ascii="Times New Roman" w:hAnsi="Times New Roman"/>
          <w:noProof/>
          <w:sz w:val="24"/>
          <w:szCs w:val="24"/>
        </w:rPr>
        <w:t xml:space="preserve"> 2019 m. vyresnio amžiaus (55–64 metų) darbuotojų užimtumo lygis 27-iose ES valstybėse narėse buvo 59,1 proc, t. y. buvo didesnis, palyginti</w:t>
      </w:r>
      <w:r>
        <w:rPr>
          <w:rFonts w:ascii="Times New Roman" w:hAnsi="Times New Roman"/>
          <w:noProof/>
          <w:sz w:val="24"/>
          <w:szCs w:val="24"/>
        </w:rPr>
        <w:t xml:space="preserve"> su 44,1 proc. 2009 m. </w:t>
      </w:r>
      <w:r>
        <w:rPr>
          <w:noProof/>
        </w:rPr>
        <w:t>Tolesnei pažangai pasiekti reikėtų politikos, kuria žmonėms būtų sudarytos sąlygos dirbti ilgiau, tobulėti ir nuolat atnaujinti savo gebėjimus, taip pat įgyti naujų įgūdžių ir kvalifikaciją.</w:t>
      </w:r>
      <w:r>
        <w:rPr>
          <w:rFonts w:ascii="Times New Roman" w:hAnsi="Times New Roman"/>
          <w:noProof/>
          <w:sz w:val="24"/>
          <w:szCs w:val="24"/>
        </w:rPr>
        <w:t xml:space="preserve"> Tikėtina, kad vidutinės trukmės laikotarpi</w:t>
      </w:r>
      <w:r>
        <w:rPr>
          <w:rFonts w:ascii="Times New Roman" w:hAnsi="Times New Roman"/>
          <w:noProof/>
          <w:sz w:val="24"/>
          <w:szCs w:val="24"/>
        </w:rPr>
        <w:t xml:space="preserve">u dėl visuomenės senėjimo daugiau žmonių turės dirbti ilgiau. Rengiamoje </w:t>
      </w:r>
      <w:r>
        <w:rPr>
          <w:rFonts w:ascii="Times New Roman" w:hAnsi="Times New Roman"/>
          <w:b/>
          <w:noProof/>
          <w:sz w:val="24"/>
          <w:szCs w:val="24"/>
        </w:rPr>
        <w:t>Žaliojoje knygoje dėl senėjimo</w:t>
      </w:r>
      <w:r>
        <w:rPr>
          <w:rFonts w:ascii="Times New Roman" w:hAnsi="Times New Roman"/>
          <w:noProof/>
          <w:sz w:val="24"/>
          <w:szCs w:val="24"/>
        </w:rPr>
        <w:t xml:space="preserve"> šiam klausimui bus skiriama daugiau dėmesio, visapusiškai atsižvelgiant į pandemijos metu išryškėjusias silpnąsias vietas. </w:t>
      </w:r>
    </w:p>
    <w:p w:rsidR="00394061" w:rsidRDefault="00394061">
      <w:pPr>
        <w:spacing w:after="0"/>
        <w:jc w:val="both"/>
        <w:rPr>
          <w:rFonts w:ascii="Times New Roman" w:hAnsi="Times New Roman" w:cs="Times New Roman"/>
          <w:noProof/>
          <w:sz w:val="24"/>
          <w:szCs w:val="24"/>
        </w:rPr>
      </w:pPr>
    </w:p>
    <w:p w:rsidR="00394061" w:rsidRDefault="00743783">
      <w:pPr>
        <w:spacing w:after="0"/>
        <w:jc w:val="both"/>
        <w:rPr>
          <w:rFonts w:ascii="Times New Roman" w:hAnsi="Times New Roman" w:cs="Times New Roman"/>
          <w:noProof/>
          <w:sz w:val="24"/>
          <w:szCs w:val="24"/>
        </w:rPr>
      </w:pPr>
      <w:r>
        <w:rPr>
          <w:rFonts w:ascii="Times New Roman" w:hAnsi="Times New Roman"/>
          <w:noProof/>
          <w:sz w:val="24"/>
          <w:szCs w:val="24"/>
        </w:rPr>
        <w:t>Ir toliau bus labai svarbu</w:t>
      </w:r>
      <w:r>
        <w:rPr>
          <w:rFonts w:ascii="Times New Roman" w:hAnsi="Times New Roman"/>
          <w:b/>
          <w:noProof/>
          <w:sz w:val="24"/>
          <w:szCs w:val="24"/>
        </w:rPr>
        <w:t xml:space="preserve"> </w:t>
      </w:r>
      <w:r>
        <w:rPr>
          <w:rFonts w:ascii="Times New Roman" w:hAnsi="Times New Roman"/>
          <w:b/>
          <w:noProof/>
          <w:sz w:val="24"/>
          <w:szCs w:val="24"/>
        </w:rPr>
        <w:t>investuoti į žemą išsilavinimo lygį turinčių asmenų kvalifikaciją</w:t>
      </w:r>
      <w:r>
        <w:rPr>
          <w:rFonts w:ascii="Times New Roman" w:hAnsi="Times New Roman"/>
          <w:noProof/>
          <w:sz w:val="24"/>
          <w:szCs w:val="24"/>
        </w:rPr>
        <w:t>. Daugiau kaip 10 proc. 18–24 metų jaunuolių palieka švietimo ar mokymo įstaigas įgiję žemą kvalifikaciją arba jos neįgiję visai, o atokiausiuose regionuose tokių asmenų skaičius viršija 20 p</w:t>
      </w:r>
      <w:r>
        <w:rPr>
          <w:rFonts w:ascii="Times New Roman" w:hAnsi="Times New Roman"/>
          <w:noProof/>
          <w:sz w:val="24"/>
          <w:szCs w:val="24"/>
        </w:rPr>
        <w:t xml:space="preserve">roc. 45 proc. iš šių mokyklos nebaigusių asmenų dirba. Pastangos iki 2025 m. sukurti Europos švietimo erdvę, pertvarkyti Europos mokslinių tyrimų erdvę ir remti jaunimo užimtumą bus svarbios priemonės pusiausvyrai atkurti. </w:t>
      </w:r>
    </w:p>
    <w:p w:rsidR="00394061" w:rsidRDefault="00394061">
      <w:pPr>
        <w:spacing w:after="0"/>
        <w:rPr>
          <w:rFonts w:ascii="Times New Roman" w:hAnsi="Times New Roman" w:cs="Times New Roman"/>
          <w:noProof/>
          <w:sz w:val="24"/>
          <w:szCs w:val="24"/>
        </w:rPr>
      </w:pPr>
    </w:p>
    <w:p w:rsidR="00394061" w:rsidRDefault="00743783">
      <w:pPr>
        <w:spacing w:after="0"/>
        <w:jc w:val="both"/>
        <w:rPr>
          <w:rFonts w:ascii="Times New Roman" w:hAnsi="Times New Roman" w:cs="Times New Roman"/>
          <w:noProof/>
          <w:sz w:val="24"/>
          <w:szCs w:val="24"/>
        </w:rPr>
      </w:pPr>
      <w:r>
        <w:rPr>
          <w:rFonts w:ascii="Times New Roman" w:hAnsi="Times New Roman"/>
          <w:noProof/>
          <w:sz w:val="24"/>
          <w:szCs w:val="24"/>
        </w:rPr>
        <w:t>Dar labiau padidinti užimtumo l</w:t>
      </w:r>
      <w:r>
        <w:rPr>
          <w:rFonts w:ascii="Times New Roman" w:hAnsi="Times New Roman"/>
          <w:noProof/>
          <w:sz w:val="24"/>
          <w:szCs w:val="24"/>
        </w:rPr>
        <w:t xml:space="preserve">ygį būtų galima </w:t>
      </w:r>
      <w:r>
        <w:rPr>
          <w:rFonts w:ascii="Times New Roman" w:hAnsi="Times New Roman"/>
          <w:b/>
          <w:noProof/>
          <w:sz w:val="24"/>
          <w:szCs w:val="24"/>
        </w:rPr>
        <w:t>įdarbinus daugiau žmonių iš skirtingų visuomenės sluoksnių</w:t>
      </w:r>
      <w:r>
        <w:rPr>
          <w:rFonts w:ascii="Times New Roman" w:hAnsi="Times New Roman"/>
          <w:noProof/>
          <w:sz w:val="24"/>
          <w:szCs w:val="24"/>
        </w:rPr>
        <w:t xml:space="preserve">. Ne ES gimusių asmenų užimtumo lygis yra 9,6 procentinių punktų mažesnis nei ES gimusių asmenų ir yra ypač žemas tarp moterų. Trečiųjų šalių piliečių padėtis yra panaši. </w:t>
      </w:r>
    </w:p>
    <w:p w:rsidR="00394061" w:rsidRDefault="00394061">
      <w:pPr>
        <w:spacing w:after="0"/>
        <w:jc w:val="both"/>
        <w:rPr>
          <w:rFonts w:ascii="Times New Roman" w:hAnsi="Times New Roman" w:cs="Times New Roman"/>
          <w:noProof/>
          <w:sz w:val="24"/>
          <w:szCs w:val="24"/>
        </w:rPr>
      </w:pPr>
    </w:p>
    <w:p w:rsidR="00394061" w:rsidRDefault="00743783">
      <w:pPr>
        <w:spacing w:after="0"/>
        <w:jc w:val="both"/>
        <w:rPr>
          <w:rFonts w:ascii="Times New Roman" w:hAnsi="Times New Roman" w:cs="Times New Roman"/>
          <w:noProof/>
          <w:sz w:val="24"/>
          <w:szCs w:val="24"/>
        </w:rPr>
      </w:pPr>
      <w:r>
        <w:rPr>
          <w:rFonts w:ascii="Times New Roman" w:hAnsi="Times New Roman"/>
          <w:b/>
          <w:noProof/>
          <w:sz w:val="24"/>
          <w:szCs w:val="24"/>
        </w:rPr>
        <w:t>Atvėrus d</w:t>
      </w:r>
      <w:r>
        <w:rPr>
          <w:rFonts w:ascii="Times New Roman" w:hAnsi="Times New Roman"/>
          <w:b/>
          <w:noProof/>
          <w:sz w:val="24"/>
          <w:szCs w:val="24"/>
        </w:rPr>
        <w:t>arbo rinką neįgaliesiems</w:t>
      </w:r>
      <w:r>
        <w:rPr>
          <w:rFonts w:ascii="Times New Roman" w:hAnsi="Times New Roman"/>
          <w:noProof/>
          <w:sz w:val="24"/>
          <w:szCs w:val="24"/>
        </w:rPr>
        <w:t xml:space="preserve"> būtų prisidėta prie teisingesnės visuomenės kūrimo ir išspręstas demografinių pokyčių poveikio klausimas. Tačiau neįgaliųjų užimtumo lygis ES yra žemas dėl daugybės kliūčių, su kuriomis jie susiduria, įskaitant diskriminaciją ir ne</w:t>
      </w:r>
      <w:r>
        <w:rPr>
          <w:rFonts w:ascii="Times New Roman" w:hAnsi="Times New Roman"/>
          <w:noProof/>
          <w:sz w:val="24"/>
          <w:szCs w:val="24"/>
        </w:rPr>
        <w:t>pakankamą darbo vietų, apgyvendinimo ir aukštos kokybės švietimo prieinamumą. Tokias kliūtis gali lemti neigiamas požiūris ir nenoras samdyti neįgaliuosius.</w:t>
      </w:r>
    </w:p>
    <w:p w:rsidR="00394061" w:rsidRDefault="00394061">
      <w:pPr>
        <w:spacing w:after="0"/>
        <w:jc w:val="both"/>
        <w:rPr>
          <w:rFonts w:ascii="Times New Roman" w:hAnsi="Times New Roman" w:cs="Times New Roman"/>
          <w:b/>
          <w:noProof/>
          <w:sz w:val="24"/>
          <w:szCs w:val="24"/>
        </w:rPr>
      </w:pPr>
    </w:p>
    <w:p w:rsidR="00394061" w:rsidRDefault="00743783">
      <w:pPr>
        <w:spacing w:after="0"/>
        <w:jc w:val="both"/>
        <w:rPr>
          <w:rFonts w:ascii="Times New Roman" w:hAnsi="Times New Roman" w:cs="Times New Roman"/>
          <w:noProof/>
          <w:sz w:val="24"/>
          <w:szCs w:val="24"/>
        </w:rPr>
      </w:pPr>
      <w:r>
        <w:rPr>
          <w:rFonts w:ascii="Times New Roman" w:hAnsi="Times New Roman"/>
          <w:b/>
          <w:noProof/>
          <w:sz w:val="24"/>
          <w:szCs w:val="24"/>
        </w:rPr>
        <w:t>Didesne ir įtraukesne darbo rinka</w:t>
      </w:r>
      <w:r>
        <w:rPr>
          <w:rFonts w:ascii="Times New Roman" w:hAnsi="Times New Roman"/>
          <w:noProof/>
          <w:sz w:val="24"/>
          <w:szCs w:val="24"/>
        </w:rPr>
        <w:t xml:space="preserve"> prisidedama prie kovos su visų formų diskriminacija dėl lyties, </w:t>
      </w:r>
      <w:r>
        <w:rPr>
          <w:rFonts w:ascii="Times New Roman" w:hAnsi="Times New Roman"/>
          <w:noProof/>
          <w:sz w:val="24"/>
          <w:szCs w:val="24"/>
        </w:rPr>
        <w:t xml:space="preserve">rasinės ar etninės kilmės, religijos ar tikėjimo, negalios, amžiaus ar lytinės orientacijos. Socialinės ekonomikos subjektai ir įmonės gali atlikti svarbų vaidmenį skatindami įtraukesnę darbo rinką, kuri būtų naudinga darbuotojams ir vietos bendruomenėms. </w:t>
      </w:r>
    </w:p>
    <w:p w:rsidR="00394061" w:rsidRDefault="00394061">
      <w:pPr>
        <w:spacing w:after="0"/>
        <w:jc w:val="both"/>
        <w:rPr>
          <w:rFonts w:ascii="Times New Roman" w:hAnsi="Times New Roman" w:cs="Times New Roman"/>
          <w:noProof/>
          <w:sz w:val="24"/>
          <w:szCs w:val="24"/>
        </w:rPr>
      </w:pPr>
    </w:p>
    <w:p w:rsidR="00394061" w:rsidRDefault="00394061">
      <w:pPr>
        <w:spacing w:after="0"/>
        <w:jc w:val="both"/>
        <w:rPr>
          <w:rFonts w:ascii="Times New Roman" w:hAnsi="Times New Roman" w:cs="Times New Roman"/>
          <w:noProof/>
          <w:sz w:val="24"/>
          <w:szCs w:val="24"/>
        </w:rPr>
      </w:pPr>
    </w:p>
    <w:p w:rsidR="00394061" w:rsidRDefault="00743783">
      <w:pPr>
        <w:pStyle w:val="Heading2"/>
        <w:keepNext/>
        <w:rPr>
          <w:noProof/>
        </w:rPr>
      </w:pPr>
      <w:bookmarkStart w:id="43" w:name="_Toc43899489"/>
      <w:r>
        <w:rPr>
          <w:noProof/>
        </w:rPr>
        <w:t xml:space="preserve">3.1.2. </w:t>
      </w:r>
      <w:bookmarkStart w:id="44" w:name="_Toc33800404"/>
      <w:r>
        <w:rPr>
          <w:noProof/>
        </w:rPr>
        <w:t>NAŠUMAS PASITELKIANT ĮGŪDŽIUS</w:t>
      </w:r>
      <w:bookmarkEnd w:id="44"/>
      <w:r>
        <w:rPr>
          <w:noProof/>
        </w:rPr>
        <w:t xml:space="preserve"> IR ŠVIETIMĄ</w:t>
      </w:r>
      <w:bookmarkEnd w:id="43"/>
    </w:p>
    <w:p w:rsidR="00394061" w:rsidRDefault="00743783">
      <w:pPr>
        <w:keepLines/>
        <w:jc w:val="both"/>
        <w:rPr>
          <w:rFonts w:ascii="Times New Roman" w:hAnsi="Times New Roman" w:cs="Times New Roman"/>
          <w:b/>
          <w:iCs/>
          <w:noProof/>
          <w:sz w:val="24"/>
          <w:szCs w:val="24"/>
        </w:rPr>
      </w:pPr>
      <w:r>
        <w:rPr>
          <w:rFonts w:ascii="Times New Roman" w:hAnsi="Times New Roman"/>
          <w:b/>
          <w:iCs/>
          <w:noProof/>
          <w:sz w:val="24"/>
          <w:szCs w:val="24"/>
        </w:rPr>
        <w:t>Mažėjant dirbančių asmenų skaičiui, ekonominis atsparumas ir našumo augimas taps dar svarbesni.</w:t>
      </w:r>
      <w:r>
        <w:rPr>
          <w:rFonts w:ascii="Times New Roman" w:hAnsi="Times New Roman"/>
          <w:iCs/>
          <w:noProof/>
          <w:sz w:val="24"/>
          <w:szCs w:val="24"/>
        </w:rPr>
        <w:t xml:space="preserve"> Šie veiksniai taip pat bus reikšmingi siekiant tvaraus atsigavimo po krizės. Prieš prasidedant koronaviruso protrūkiui, Komisija pateikė prognozes, iš kurių matyti, kad siekiant stabilizuoti BVP augimą iki 1,3 proc. per metus, iki 2070 m. darbo našumas tu</w:t>
      </w:r>
      <w:r>
        <w:rPr>
          <w:rFonts w:ascii="Times New Roman" w:hAnsi="Times New Roman"/>
          <w:iCs/>
          <w:noProof/>
          <w:sz w:val="24"/>
          <w:szCs w:val="24"/>
        </w:rPr>
        <w:t>rėtų vidutiniškai padidėti 1,5 proc. per metus</w:t>
      </w:r>
      <w:r>
        <w:rPr>
          <w:rStyle w:val="FootnoteReference"/>
          <w:rFonts w:ascii="Times New Roman" w:hAnsi="Times New Roman" w:cs="Times New Roman"/>
          <w:iCs/>
          <w:noProof/>
          <w:sz w:val="24"/>
          <w:szCs w:val="24"/>
        </w:rPr>
        <w:footnoteReference w:id="26"/>
      </w:r>
      <w:r>
        <w:rPr>
          <w:rFonts w:ascii="Times New Roman" w:hAnsi="Times New Roman"/>
          <w:iCs/>
          <w:noProof/>
          <w:sz w:val="24"/>
          <w:szCs w:val="24"/>
        </w:rPr>
        <w:t>. Tačiau našumo augimas mažėjo ir prieš prasidedant krizei nesiekė 1 proc.</w:t>
      </w:r>
    </w:p>
    <w:p w:rsidR="00394061" w:rsidRDefault="00743783">
      <w:pPr>
        <w:jc w:val="both"/>
        <w:rPr>
          <w:rFonts w:ascii="Times New Roman" w:hAnsi="Times New Roman" w:cs="Times New Roman"/>
          <w:iCs/>
          <w:noProof/>
          <w:sz w:val="24"/>
          <w:szCs w:val="24"/>
        </w:rPr>
      </w:pPr>
      <w:r>
        <w:rPr>
          <w:rFonts w:ascii="Times New Roman" w:hAnsi="Times New Roman"/>
          <w:b/>
          <w:iCs/>
          <w:noProof/>
          <w:sz w:val="24"/>
          <w:szCs w:val="24"/>
        </w:rPr>
        <w:t xml:space="preserve">Perėjimas prie neutralaus poveikio klimatui ir skaitmeninės ekonomikos gali padėti padidinti našumą. </w:t>
      </w:r>
      <w:r>
        <w:rPr>
          <w:rFonts w:ascii="Times New Roman" w:hAnsi="Times New Roman"/>
          <w:iCs/>
          <w:noProof/>
          <w:sz w:val="24"/>
          <w:szCs w:val="24"/>
        </w:rPr>
        <w:t>Dvejopai pertvarkai reikės inovac</w:t>
      </w:r>
      <w:r>
        <w:rPr>
          <w:rFonts w:ascii="Times New Roman" w:hAnsi="Times New Roman"/>
          <w:iCs/>
          <w:noProof/>
          <w:sz w:val="24"/>
          <w:szCs w:val="24"/>
        </w:rPr>
        <w:t>ijų ir technologinės sklaidos, o žiedinėje ir skaitmeninėje ekonomikoje bus kuriami nauji verslo modeliai ir darbo metodai. Pandemija ir jos pasekmės mūsų gyvenimui ir ekonomikai išryškino skaitmeninimo svarbą visose ES ekonomikos ir visuomenės srityse. Ta</w:t>
      </w:r>
      <w:r>
        <w:rPr>
          <w:rFonts w:ascii="Times New Roman" w:hAnsi="Times New Roman"/>
          <w:iCs/>
          <w:noProof/>
          <w:sz w:val="24"/>
          <w:szCs w:val="24"/>
        </w:rPr>
        <w:t xml:space="preserve">ip pat reikės konkurencijos ir vienodų sąlygų, kurios nustatytos neseniai priimtoje </w:t>
      </w:r>
      <w:r>
        <w:rPr>
          <w:rFonts w:ascii="Times New Roman" w:hAnsi="Times New Roman"/>
          <w:b/>
          <w:iCs/>
          <w:noProof/>
          <w:sz w:val="24"/>
          <w:szCs w:val="24"/>
        </w:rPr>
        <w:t>Naujoje Europos pramonės ​strategijoje</w:t>
      </w:r>
      <w:r>
        <w:rPr>
          <w:rFonts w:ascii="Times New Roman" w:hAnsi="Times New Roman" w:cs="Times New Roman"/>
          <w:iCs/>
          <w:noProof/>
          <w:sz w:val="24"/>
          <w:szCs w:val="24"/>
          <w:vertAlign w:val="superscript"/>
        </w:rPr>
        <w:footnoteReference w:id="27"/>
      </w:r>
      <w:r>
        <w:rPr>
          <w:rFonts w:ascii="Times New Roman" w:hAnsi="Times New Roman"/>
          <w:iCs/>
          <w:noProof/>
          <w:sz w:val="24"/>
          <w:szCs w:val="24"/>
        </w:rPr>
        <w:t xml:space="preserve">. </w:t>
      </w:r>
    </w:p>
    <w:p w:rsidR="00394061" w:rsidRDefault="00743783">
      <w:pPr>
        <w:jc w:val="both"/>
        <w:rPr>
          <w:rFonts w:ascii="Times New Roman" w:hAnsi="Times New Roman"/>
          <w:noProof/>
          <w:sz w:val="24"/>
        </w:rPr>
      </w:pPr>
      <w:r>
        <w:rPr>
          <w:rFonts w:ascii="Times New Roman" w:hAnsi="Times New Roman"/>
          <w:iCs/>
          <w:noProof/>
          <w:sz w:val="24"/>
          <w:szCs w:val="24"/>
        </w:rPr>
        <w:t>Automatizavimas ir naujos, švaresnės technologijos gali sudaryti sąlygas ateityje padidinti darbo našumą, o teisinga pertvarka bus</w:t>
      </w:r>
      <w:r>
        <w:rPr>
          <w:rFonts w:ascii="Times New Roman" w:hAnsi="Times New Roman"/>
          <w:iCs/>
          <w:noProof/>
          <w:sz w:val="24"/>
          <w:szCs w:val="24"/>
        </w:rPr>
        <w:t xml:space="preserve"> labai svarbi tiems, kurie turės įgyti naujų įgūdžių ar keisti darbą.</w:t>
      </w:r>
      <w:r>
        <w:rPr>
          <w:rFonts w:ascii="Times New Roman" w:hAnsi="Times New Roman"/>
          <w:b/>
          <w:iCs/>
          <w:noProof/>
          <w:sz w:val="24"/>
          <w:szCs w:val="24"/>
        </w:rPr>
        <w:t xml:space="preserve"> </w:t>
      </w:r>
      <w:r>
        <w:rPr>
          <w:rFonts w:ascii="Times New Roman" w:hAnsi="Times New Roman"/>
          <w:iCs/>
          <w:noProof/>
          <w:sz w:val="24"/>
          <w:szCs w:val="24"/>
        </w:rPr>
        <w:t>Atsižvelgdama į tai, Komisija pasiūlė sustiprinti Teisingos pertvarkos fondą, kad būtų sušvelnintas socialinis ir ekonominis pertvarkos poveikis, remiamas perkvalifikavimas, padedama MVĮ</w:t>
      </w:r>
      <w:r>
        <w:rPr>
          <w:rFonts w:ascii="Times New Roman" w:hAnsi="Times New Roman"/>
          <w:iCs/>
          <w:noProof/>
          <w:sz w:val="24"/>
          <w:szCs w:val="24"/>
        </w:rPr>
        <w:t xml:space="preserve"> kurti naujas ekonomines galimybes ir investuojama į perėjimą prie švarios energetikos. </w:t>
      </w:r>
    </w:p>
    <w:p w:rsidR="00394061" w:rsidRDefault="00743783">
      <w:pPr>
        <w:jc w:val="both"/>
        <w:rPr>
          <w:rFonts w:ascii="Times New Roman" w:hAnsi="Times New Roman" w:cs="Times New Roman"/>
          <w:iCs/>
          <w:noProof/>
          <w:sz w:val="24"/>
          <w:szCs w:val="24"/>
        </w:rPr>
      </w:pPr>
      <w:r>
        <w:rPr>
          <w:rFonts w:ascii="Times New Roman" w:hAnsi="Times New Roman"/>
          <w:b/>
          <w:iCs/>
          <w:noProof/>
          <w:sz w:val="24"/>
          <w:szCs w:val="24"/>
        </w:rPr>
        <w:t>Europai reikia aukštos kvalifikacijos, gerai parengtos ir lengvai prisitaikančios darbo jėgos</w:t>
      </w:r>
      <w:r>
        <w:rPr>
          <w:rStyle w:val="FootnoteReference"/>
          <w:rFonts w:ascii="Times New Roman" w:hAnsi="Times New Roman" w:cs="Times New Roman"/>
          <w:b/>
          <w:iCs/>
          <w:noProof/>
          <w:sz w:val="24"/>
          <w:szCs w:val="24"/>
        </w:rPr>
        <w:footnoteReference w:id="28"/>
      </w:r>
      <w:r>
        <w:rPr>
          <w:rFonts w:ascii="Times New Roman" w:hAnsi="Times New Roman"/>
          <w:b/>
          <w:iCs/>
          <w:noProof/>
          <w:sz w:val="24"/>
          <w:szCs w:val="24"/>
        </w:rPr>
        <w:t xml:space="preserve">. </w:t>
      </w:r>
      <w:r>
        <w:rPr>
          <w:rFonts w:ascii="Times New Roman" w:hAnsi="Times New Roman"/>
          <w:iCs/>
          <w:noProof/>
          <w:sz w:val="24"/>
          <w:szCs w:val="24"/>
        </w:rPr>
        <w:t xml:space="preserve">Dar svarbiau bus užtikrinti, kad mokymasis visą gyvenimą visiems taptų </w:t>
      </w:r>
      <w:r>
        <w:rPr>
          <w:rFonts w:ascii="Times New Roman" w:hAnsi="Times New Roman"/>
          <w:iCs/>
          <w:noProof/>
          <w:sz w:val="24"/>
          <w:szCs w:val="24"/>
        </w:rPr>
        <w:t xml:space="preserve">tikrove. Ateinančiais metais milijonai europiečių turės kelti kvalifikaciją arba persikvalifikuoti. Be to, patenkinti darbo rinkos poreikius padės geresnės sąlygos pritraukti reikiamų įgūdžių ir talentų turinčių darbuotojų iš užsienio. </w:t>
      </w:r>
    </w:p>
    <w:p w:rsidR="00394061" w:rsidRDefault="00743783">
      <w:pPr>
        <w:jc w:val="both"/>
        <w:rPr>
          <w:rFonts w:ascii="Times New Roman" w:hAnsi="Times New Roman" w:cs="Times New Roman"/>
          <w:b/>
          <w:iCs/>
          <w:noProof/>
          <w:sz w:val="24"/>
          <w:szCs w:val="24"/>
        </w:rPr>
      </w:pPr>
      <w:r>
        <w:rPr>
          <w:rFonts w:ascii="Times New Roman" w:hAnsi="Times New Roman"/>
          <w:iCs/>
          <w:noProof/>
          <w:sz w:val="24"/>
          <w:szCs w:val="24"/>
        </w:rPr>
        <w:t>Spartėjant dvejopai</w:t>
      </w:r>
      <w:r>
        <w:rPr>
          <w:rFonts w:ascii="Times New Roman" w:hAnsi="Times New Roman"/>
          <w:iCs/>
          <w:noProof/>
          <w:sz w:val="24"/>
          <w:szCs w:val="24"/>
        </w:rPr>
        <w:t xml:space="preserve"> pertvarkai, Europa turės užtikrinti, kad įgūdžių tobulinimas, įskaitant žaliuosius ir skaitmeninius įgūdžius, neatsiliktų. Prieš krizę Europoje buvo apie 1 mln. laisvų darbo vietų skaitmeninių technologijų srityje, o 70 proc. įmonių pranešė, kad jos vilki</w:t>
      </w:r>
      <w:r>
        <w:rPr>
          <w:rFonts w:ascii="Times New Roman" w:hAnsi="Times New Roman"/>
          <w:iCs/>
          <w:noProof/>
          <w:sz w:val="24"/>
          <w:szCs w:val="24"/>
        </w:rPr>
        <w:t>na investicijas, nes negali rasti pakankamai kvalifikuotų žmonių. Taip yra todėl, kad 2019 m. 29 proc. ES gyventojų skaitmeniniai įgūdžiai buvo menki, o 15 proc. gyventojų neturėjo visai jokių skaitmeninių įgūdžių. Krizė dar labiau išryškino skaitmeninių į</w:t>
      </w:r>
      <w:r>
        <w:rPr>
          <w:rFonts w:ascii="Times New Roman" w:hAnsi="Times New Roman"/>
          <w:iCs/>
          <w:noProof/>
          <w:sz w:val="24"/>
          <w:szCs w:val="24"/>
        </w:rPr>
        <w:t xml:space="preserve">gūdžių svarbą vaikams, studentams, mokytojams, instruktoriams ir visiems mums bendraujant ir dirbant. Paaiškėjo, kad daugelis vis dar neturi galimybių naudotis būtinomis priemonėmis. Komisija pateiks </w:t>
      </w:r>
      <w:r>
        <w:rPr>
          <w:rFonts w:ascii="Times New Roman" w:hAnsi="Times New Roman"/>
          <w:b/>
          <w:iCs/>
          <w:noProof/>
          <w:sz w:val="24"/>
          <w:szCs w:val="24"/>
        </w:rPr>
        <w:t>Skaitmeninio švietimo veiksmų planą</w:t>
      </w:r>
      <w:r>
        <w:rPr>
          <w:rFonts w:ascii="Times New Roman" w:hAnsi="Times New Roman"/>
          <w:iCs/>
          <w:noProof/>
          <w:sz w:val="24"/>
          <w:szCs w:val="24"/>
        </w:rPr>
        <w:t>, kuriame bus numatyt</w:t>
      </w:r>
      <w:r>
        <w:rPr>
          <w:rFonts w:ascii="Times New Roman" w:hAnsi="Times New Roman"/>
          <w:iCs/>
          <w:noProof/>
          <w:sz w:val="24"/>
          <w:szCs w:val="24"/>
        </w:rPr>
        <w:t>i konkretūs veiksmai šioms problemoms spręsti.</w:t>
      </w:r>
    </w:p>
    <w:p w:rsidR="00394061" w:rsidRDefault="00743783">
      <w:pPr>
        <w:jc w:val="both"/>
        <w:rPr>
          <w:rFonts w:ascii="Times New Roman" w:hAnsi="Times New Roman" w:cs="Times New Roman"/>
          <w:iCs/>
          <w:noProof/>
          <w:sz w:val="24"/>
          <w:szCs w:val="24"/>
        </w:rPr>
      </w:pPr>
      <w:r>
        <w:rPr>
          <w:rFonts w:ascii="Times New Roman" w:hAnsi="Times New Roman"/>
          <w:b/>
          <w:iCs/>
          <w:noProof/>
          <w:sz w:val="24"/>
          <w:szCs w:val="24"/>
        </w:rPr>
        <w:t xml:space="preserve">Sprendimas – investuoti į žmones ir jų įgūdžius, gerinti galimybes mokytis ir gauti išsilavinimą. </w:t>
      </w:r>
      <w:r>
        <w:rPr>
          <w:rFonts w:ascii="Times New Roman" w:hAnsi="Times New Roman"/>
          <w:iCs/>
          <w:noProof/>
          <w:sz w:val="24"/>
          <w:szCs w:val="24"/>
        </w:rPr>
        <w:t>Tam reikės bendrų pramonės, valstybių narių, socialinių partnerių ir kitų suinteresuotųjų subjektų veiksmų, sie</w:t>
      </w:r>
      <w:r>
        <w:rPr>
          <w:rFonts w:ascii="Times New Roman" w:hAnsi="Times New Roman"/>
          <w:iCs/>
          <w:noProof/>
          <w:sz w:val="24"/>
          <w:szCs w:val="24"/>
        </w:rPr>
        <w:t xml:space="preserve">kiant prisidėti prie darbuotojų perkvalifikavimo ir skatinant viešąsias ir privačiąsias investicijas į darbo jėgą. </w:t>
      </w:r>
      <w:r>
        <w:rPr>
          <w:rFonts w:ascii="Times New Roman" w:hAnsi="Times New Roman"/>
          <w:b/>
          <w:iCs/>
          <w:noProof/>
          <w:sz w:val="24"/>
          <w:szCs w:val="24"/>
        </w:rPr>
        <w:t>Įgūdžių darbotvarkės</w:t>
      </w:r>
      <w:r>
        <w:rPr>
          <w:rFonts w:ascii="Times New Roman" w:hAnsi="Times New Roman"/>
          <w:iCs/>
          <w:noProof/>
          <w:sz w:val="24"/>
          <w:szCs w:val="24"/>
        </w:rPr>
        <w:t xml:space="preserve"> atnaujinimas ir rekomendacija dėl profesinio rengimo ir mokymo taip pat bus svarbūs žingsniai siekiant šio tikslo. </w:t>
      </w:r>
    </w:p>
    <w:p w:rsidR="00394061" w:rsidRDefault="00743783">
      <w:pPr>
        <w:pStyle w:val="Heading2"/>
        <w:keepNext/>
        <w:rPr>
          <w:noProof/>
        </w:rPr>
      </w:pPr>
      <w:bookmarkStart w:id="45" w:name="_Toc32414444"/>
      <w:bookmarkStart w:id="46" w:name="_Toc32444155"/>
      <w:bookmarkStart w:id="47" w:name="_Toc33800405"/>
      <w:bookmarkStart w:id="48" w:name="_Toc43899490"/>
      <w:r>
        <w:rPr>
          <w:noProof/>
        </w:rPr>
        <w:t>3.2.</w:t>
      </w:r>
      <w:r>
        <w:rPr>
          <w:noProof/>
        </w:rPr>
        <w:t xml:space="preserve"> </w:t>
      </w:r>
      <w:bookmarkEnd w:id="45"/>
      <w:bookmarkEnd w:id="46"/>
      <w:r>
        <w:rPr>
          <w:noProof/>
        </w:rPr>
        <w:t>SVEIKATA IR ILGALAIKĖ PRIEŽIŪRA</w:t>
      </w:r>
      <w:bookmarkEnd w:id="47"/>
      <w:bookmarkEnd w:id="48"/>
    </w:p>
    <w:p w:rsidR="00394061" w:rsidRDefault="00743783">
      <w:pPr>
        <w:keepLines/>
        <w:spacing w:after="160"/>
        <w:jc w:val="both"/>
        <w:rPr>
          <w:rFonts w:ascii="Times New Roman" w:hAnsi="Times New Roman"/>
          <w:noProof/>
          <w:sz w:val="24"/>
          <w:szCs w:val="24"/>
        </w:rPr>
      </w:pPr>
      <w:r>
        <w:rPr>
          <w:rFonts w:ascii="Times New Roman" w:hAnsi="Times New Roman"/>
          <w:noProof/>
          <w:sz w:val="24"/>
        </w:rPr>
        <w:t>Europos sveikatos priežiūros ir ilgalaikės priežiūros sistemos buvo COVID-19 pandemijos priešakyje</w:t>
      </w:r>
      <w:r>
        <w:rPr>
          <w:rStyle w:val="FootnoteReference"/>
          <w:rFonts w:ascii="Times New Roman" w:hAnsi="Times New Roman" w:cs="Times New Roman"/>
          <w:noProof/>
          <w:sz w:val="24"/>
          <w:szCs w:val="24"/>
        </w:rPr>
        <w:footnoteReference w:id="29"/>
      </w:r>
      <w:r>
        <w:rPr>
          <w:rFonts w:ascii="Times New Roman" w:hAnsi="Times New Roman"/>
          <w:noProof/>
          <w:sz w:val="24"/>
        </w:rPr>
        <w:t>.</w:t>
      </w:r>
      <w:r>
        <w:rPr>
          <w:rFonts w:ascii="Times New Roman" w:hAnsi="Times New Roman"/>
          <w:noProof/>
          <w:sz w:val="24"/>
          <w:szCs w:val="24"/>
        </w:rPr>
        <w:t xml:space="preserve"> </w:t>
      </w:r>
      <w:r>
        <w:rPr>
          <w:rFonts w:ascii="Times New Roman" w:hAnsi="Times New Roman"/>
          <w:noProof/>
          <w:sz w:val="24"/>
        </w:rPr>
        <w:t>Jos nuolat susiduria su vis didesniu spaudimu, ypač dėl mūsų visuomenės senėjimo, o kovodamos su virusu patyrė dar didesnę</w:t>
      </w:r>
      <w:r>
        <w:rPr>
          <w:rFonts w:ascii="Times New Roman" w:hAnsi="Times New Roman"/>
          <w:noProof/>
          <w:sz w:val="24"/>
        </w:rPr>
        <w:t xml:space="preserve"> įtampą.</w:t>
      </w:r>
      <w:r>
        <w:rPr>
          <w:rFonts w:ascii="Times New Roman" w:hAnsi="Times New Roman"/>
          <w:b/>
          <w:noProof/>
          <w:sz w:val="24"/>
          <w:szCs w:val="24"/>
        </w:rPr>
        <w:t xml:space="preserve"> </w:t>
      </w:r>
      <w:r>
        <w:rPr>
          <w:rFonts w:ascii="Times New Roman" w:hAnsi="Times New Roman"/>
          <w:noProof/>
          <w:sz w:val="24"/>
          <w:szCs w:val="24"/>
        </w:rPr>
        <w:t>Tai ypač paveikė regionus, kuriuose, kaip prognozuojama, nuo dabar iki 2030 m. gerokai padaugės vyresnių nei 65 metų asmenų.</w:t>
      </w:r>
    </w:p>
    <w:p w:rsidR="00394061" w:rsidRDefault="00743783">
      <w:pPr>
        <w:keepLines/>
        <w:spacing w:after="160"/>
        <w:jc w:val="both"/>
        <w:rPr>
          <w:rFonts w:ascii="Times New Roman" w:hAnsi="Times New Roman"/>
          <w:b/>
          <w:noProof/>
          <w:sz w:val="24"/>
        </w:rPr>
      </w:pPr>
      <w:r>
        <w:rPr>
          <w:rFonts w:ascii="Times New Roman" w:hAnsi="Times New Roman"/>
          <w:b/>
          <w:noProof/>
          <w:sz w:val="24"/>
        </w:rPr>
        <w:t>65 metų ir vyresnių gyventojų dalies pokytis pagal regionus</w:t>
      </w:r>
      <w:r>
        <w:rPr>
          <w:rStyle w:val="FootnoteReference"/>
          <w:rFonts w:ascii="Times New Roman" w:hAnsi="Times New Roman" w:cs="Times New Roman"/>
          <w:b/>
          <w:noProof/>
          <w:sz w:val="24"/>
        </w:rPr>
        <w:footnoteReference w:id="30"/>
      </w:r>
      <w:r>
        <w:rPr>
          <w:rFonts w:ascii="Times New Roman" w:hAnsi="Times New Roman"/>
          <w:b/>
          <w:noProof/>
          <w:sz w:val="24"/>
        </w:rPr>
        <w:t xml:space="preserve">, 2020–2030 m. </w:t>
      </w:r>
    </w:p>
    <w:p w:rsidR="00394061" w:rsidRDefault="00743783">
      <w:pPr>
        <w:keepLines/>
        <w:spacing w:after="160"/>
        <w:jc w:val="both"/>
        <w:rPr>
          <w:rFonts w:ascii="Times New Roman" w:hAnsi="Times New Roman"/>
          <w:b/>
          <w:noProof/>
          <w:sz w:val="24"/>
        </w:rPr>
      </w:pPr>
      <w:r>
        <w:rPr>
          <w:rFonts w:ascii="Times New Roman" w:hAnsi="Times New Roman" w:cs="Times New Roman"/>
          <w:noProof/>
          <w:sz w:val="24"/>
          <w:szCs w:val="24"/>
        </w:rPr>
        <w:t>(skirtumas procentiniais punktais)</w:t>
      </w:r>
    </w:p>
    <w:p w:rsidR="00394061" w:rsidRDefault="00743783">
      <w:pPr>
        <w:keepLines/>
        <w:spacing w:after="160"/>
        <w:jc w:val="both"/>
        <w:rPr>
          <w:rFonts w:ascii="Times New Roman" w:hAnsi="Times New Roman" w:cs="Times New Roman"/>
          <w:noProof/>
          <w:sz w:val="24"/>
          <w:szCs w:val="24"/>
        </w:rPr>
      </w:pPr>
      <w:r>
        <w:rPr>
          <w:rFonts w:ascii="Times New Roman" w:hAnsi="Times New Roman"/>
          <w:b/>
          <w:i/>
          <w:noProof/>
          <w:sz w:val="24"/>
          <w:szCs w:val="24"/>
          <w:u w:val="single"/>
          <w:lang w:val="fr-BE" w:eastAsia="fr-BE"/>
        </w:rPr>
        <w:drawing>
          <wp:inline distT="0" distB="0" distL="0" distR="0">
            <wp:extent cx="4682490" cy="5562600"/>
            <wp:effectExtent l="0" t="0" r="3810" b="0"/>
            <wp:docPr id="2" name="Picture 2" descr="N3_65PLUS_SH_CHANGE_2020_2030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3_65PLUS_SH_CHANGE_2020_2030_A4P20_M"/>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87739" cy="5568836"/>
                    </a:xfrm>
                    <a:prstGeom prst="rect">
                      <a:avLst/>
                    </a:prstGeom>
                    <a:noFill/>
                    <a:ln>
                      <a:noFill/>
                    </a:ln>
                  </pic:spPr>
                </pic:pic>
              </a:graphicData>
            </a:graphic>
          </wp:inline>
        </w:drawing>
      </w:r>
    </w:p>
    <w:p w:rsidR="00394061" w:rsidRDefault="00743783">
      <w:pPr>
        <w:spacing w:after="160"/>
        <w:jc w:val="both"/>
        <w:rPr>
          <w:rFonts w:ascii="Times New Roman" w:hAnsi="Times New Roman" w:cs="Times New Roman"/>
          <w:noProof/>
          <w:sz w:val="24"/>
          <w:szCs w:val="24"/>
        </w:rPr>
      </w:pPr>
      <w:r>
        <w:rPr>
          <w:rFonts w:ascii="Times New Roman" w:hAnsi="Times New Roman"/>
          <w:noProof/>
          <w:sz w:val="24"/>
          <w:szCs w:val="24"/>
        </w:rPr>
        <w:t>Susidūrus</w:t>
      </w:r>
      <w:r>
        <w:rPr>
          <w:rFonts w:ascii="Times New Roman" w:hAnsi="Times New Roman"/>
          <w:noProof/>
          <w:sz w:val="24"/>
          <w:szCs w:val="24"/>
        </w:rPr>
        <w:t xml:space="preserve"> su koronaviruso protrūkiu išryškėjo vyresnio amžiaus žmonių pažeidžiamumas dėl pandemijos ir kitų ligų, visų pirma todėl, kad jie dažniau turi gretutinių sveikatos sutrikimų. Per pandemiją taip pat paaiškėjo, kad reikia stiprinti visuomenės sveikatos prie</w:t>
      </w:r>
      <w:r>
        <w:rPr>
          <w:rFonts w:ascii="Times New Roman" w:hAnsi="Times New Roman"/>
          <w:noProof/>
          <w:sz w:val="24"/>
          <w:szCs w:val="24"/>
        </w:rPr>
        <w:t xml:space="preserve">žiūros sistemas ir didinti intensyviosios terapijos skyrių pajėgumą. </w:t>
      </w:r>
    </w:p>
    <w:p w:rsidR="00394061" w:rsidRDefault="00743783">
      <w:pPr>
        <w:spacing w:after="160"/>
        <w:jc w:val="both"/>
        <w:rPr>
          <w:rFonts w:ascii="Times New Roman" w:hAnsi="Times New Roman" w:cs="Times New Roman"/>
          <w:noProof/>
          <w:sz w:val="24"/>
          <w:szCs w:val="24"/>
        </w:rPr>
      </w:pPr>
      <w:r>
        <w:rPr>
          <w:rFonts w:ascii="Times New Roman" w:hAnsi="Times New Roman"/>
          <w:noProof/>
          <w:sz w:val="24"/>
          <w:szCs w:val="24"/>
        </w:rPr>
        <w:t>Atsparesnėms sveikatos priežiūros sistemoms reikia tinkamų investicijų ir finansinės paramos, atitinkančios jų funkcijas. Todėl Komisija neseniai pasiūlė atskirą programą „ES – sveikatos</w:t>
      </w:r>
      <w:r>
        <w:rPr>
          <w:rFonts w:ascii="Times New Roman" w:hAnsi="Times New Roman"/>
          <w:noProof/>
          <w:sz w:val="24"/>
          <w:szCs w:val="24"/>
        </w:rPr>
        <w:t xml:space="preserve"> labui“, skirtą padėti valstybėms narėms ir ES stiprinti pajėgumą ir pasirengimą</w:t>
      </w:r>
      <w:r>
        <w:rPr>
          <w:rStyle w:val="FootnoteReference"/>
          <w:rFonts w:ascii="Times New Roman" w:hAnsi="Times New Roman" w:cs="Times New Roman"/>
          <w:noProof/>
          <w:sz w:val="24"/>
          <w:szCs w:val="24"/>
        </w:rPr>
        <w:footnoteReference w:id="31"/>
      </w:r>
      <w:r>
        <w:rPr>
          <w:rFonts w:ascii="Times New Roman" w:hAnsi="Times New Roman"/>
          <w:noProof/>
          <w:sz w:val="24"/>
          <w:szCs w:val="24"/>
        </w:rPr>
        <w:t>. Taip bus galima parengti ilgalaikę gerai veikiančių ir atsparių visuomenės sveikatos sistemų viziją, visų pirma investuojant į ligų prevenciją ir priežiūrą, taip pat gerinan</w:t>
      </w:r>
      <w:r>
        <w:rPr>
          <w:rFonts w:ascii="Times New Roman" w:hAnsi="Times New Roman"/>
          <w:noProof/>
          <w:sz w:val="24"/>
          <w:szCs w:val="24"/>
        </w:rPr>
        <w:t>t sveikatos priežiūros, diagnostikos ir gydymo prieinamumą visiems. Ši programa taip pat gali paskatinti diskusijas apie tai, ką dar galėtume nuveikti kartu ir ištikus krizėms, ir kasdienybėje, ypač sveikatos sektoriuje.</w:t>
      </w:r>
    </w:p>
    <w:p w:rsidR="00394061" w:rsidRDefault="00743783">
      <w:pPr>
        <w:spacing w:after="160"/>
        <w:jc w:val="both"/>
        <w:rPr>
          <w:rFonts w:ascii="Times New Roman" w:hAnsi="Times New Roman" w:cs="Times New Roman"/>
          <w:i/>
          <w:noProof/>
          <w:sz w:val="24"/>
          <w:szCs w:val="24"/>
        </w:rPr>
      </w:pPr>
      <w:r>
        <w:rPr>
          <w:rFonts w:ascii="Times New Roman" w:hAnsi="Times New Roman"/>
          <w:b/>
          <w:noProof/>
          <w:sz w:val="24"/>
          <w:szCs w:val="24"/>
        </w:rPr>
        <w:t>Didėjanti lėtinių ligų našta taip p</w:t>
      </w:r>
      <w:r>
        <w:rPr>
          <w:rFonts w:ascii="Times New Roman" w:hAnsi="Times New Roman"/>
          <w:b/>
          <w:noProof/>
          <w:sz w:val="24"/>
          <w:szCs w:val="24"/>
        </w:rPr>
        <w:t>at bus iššūkis Europos sveikatos priežiūros sistemoms.</w:t>
      </w:r>
      <w:r>
        <w:rPr>
          <w:rFonts w:ascii="Times New Roman" w:hAnsi="Times New Roman"/>
          <w:noProof/>
          <w:sz w:val="24"/>
          <w:szCs w:val="24"/>
        </w:rPr>
        <w:t xml:space="preserve"> Su šiomis ligomis susijusios išlaidos jau sudaro apie 70–80 proc. sveikatos priežiūros išlaidų</w:t>
      </w:r>
      <w:r>
        <w:rPr>
          <w:rStyle w:val="FootnoteReference"/>
          <w:rFonts w:ascii="Times New Roman" w:hAnsi="Times New Roman" w:cs="Times New Roman"/>
          <w:noProof/>
          <w:sz w:val="24"/>
          <w:szCs w:val="24"/>
        </w:rPr>
        <w:footnoteReference w:id="32"/>
      </w:r>
      <w:r>
        <w:rPr>
          <w:noProof/>
        </w:rPr>
        <w:t>.</w:t>
      </w:r>
      <w:r>
        <w:rPr>
          <w:rFonts w:ascii="Times New Roman" w:hAnsi="Times New Roman"/>
          <w:i/>
          <w:noProof/>
          <w:sz w:val="24"/>
          <w:szCs w:val="24"/>
        </w:rPr>
        <w:t xml:space="preserve"> </w:t>
      </w:r>
      <w:r>
        <w:rPr>
          <w:rFonts w:ascii="Times New Roman" w:hAnsi="Times New Roman"/>
          <w:noProof/>
          <w:sz w:val="24"/>
          <w:szCs w:val="24"/>
        </w:rPr>
        <w:t>Šiuo metu apie 50 mln. Europos piliečių serga dviem ar daugiau lėtinėmis ligomis</w:t>
      </w:r>
      <w:r>
        <w:rPr>
          <w:rFonts w:ascii="Times New Roman" w:hAnsi="Times New Roman" w:cs="Times New Roman"/>
          <w:noProof/>
          <w:sz w:val="24"/>
          <w:szCs w:val="24"/>
          <w:vertAlign w:val="superscript"/>
        </w:rPr>
        <w:footnoteReference w:id="33"/>
      </w:r>
      <w:r>
        <w:rPr>
          <w:rFonts w:ascii="Times New Roman" w:hAnsi="Times New Roman"/>
          <w:noProof/>
          <w:sz w:val="24"/>
          <w:szCs w:val="24"/>
        </w:rPr>
        <w:t xml:space="preserve"> ir dauguma jų yra vyresni nei 65 metų. Stiprinant prevenciją, strategija „</w:t>
      </w:r>
      <w:r>
        <w:rPr>
          <w:rFonts w:ascii="Times New Roman" w:hAnsi="Times New Roman"/>
          <w:b/>
          <w:noProof/>
          <w:sz w:val="24"/>
          <w:szCs w:val="24"/>
        </w:rPr>
        <w:t>Nuo ūkio iki stalo</w:t>
      </w:r>
      <w:r>
        <w:rPr>
          <w:rFonts w:ascii="Times New Roman" w:hAnsi="Times New Roman"/>
          <w:noProof/>
          <w:sz w:val="24"/>
          <w:szCs w:val="24"/>
        </w:rPr>
        <w:t>“</w:t>
      </w:r>
      <w:r>
        <w:rPr>
          <w:rStyle w:val="FootnoteReference"/>
          <w:rFonts w:ascii="Times New Roman" w:hAnsi="Times New Roman" w:cs="Times New Roman"/>
          <w:b/>
          <w:noProof/>
          <w:sz w:val="24"/>
          <w:szCs w:val="24"/>
        </w:rPr>
        <w:footnoteReference w:id="34"/>
      </w:r>
      <w:r>
        <w:rPr>
          <w:rFonts w:ascii="Times New Roman" w:hAnsi="Times New Roman"/>
          <w:noProof/>
          <w:sz w:val="24"/>
          <w:szCs w:val="24"/>
        </w:rPr>
        <w:t xml:space="preserve"> siekiama suteikti europiečiams daugiau informacijos ir padėti jiems rinktis sveikesnį maistą. Atsižvelgiant į tai, kad su lėtinėmis ligomis susijusi rizika yra </w:t>
      </w:r>
      <w:r>
        <w:rPr>
          <w:rFonts w:ascii="Times New Roman" w:hAnsi="Times New Roman"/>
          <w:noProof/>
          <w:sz w:val="24"/>
          <w:szCs w:val="24"/>
        </w:rPr>
        <w:t xml:space="preserve">didesnė, </w:t>
      </w:r>
      <w:r>
        <w:rPr>
          <w:rFonts w:ascii="Times New Roman" w:hAnsi="Times New Roman"/>
          <w:b/>
          <w:noProof/>
          <w:sz w:val="24"/>
          <w:szCs w:val="24"/>
        </w:rPr>
        <w:t>Europos kovos su vėžiu planas</w:t>
      </w:r>
      <w:r>
        <w:rPr>
          <w:rFonts w:ascii="Times New Roman" w:hAnsi="Times New Roman"/>
          <w:noProof/>
          <w:sz w:val="24"/>
          <w:szCs w:val="24"/>
        </w:rPr>
        <w:t xml:space="preserve"> taps reikšmingas mūsų sveikatai ir sveikatos priežiūros sistemoms. Sportas ir fizinis aktyvumas taip pat gali atlikti svarbų vaidmenį sveikatos prevencijos ir sveikatinimo srityje.</w:t>
      </w:r>
    </w:p>
    <w:p w:rsidR="00394061" w:rsidRDefault="00743783">
      <w:pPr>
        <w:spacing w:after="160"/>
        <w:jc w:val="both"/>
        <w:rPr>
          <w:rFonts w:ascii="Times New Roman" w:hAnsi="Times New Roman" w:cs="Times New Roman"/>
          <w:noProof/>
          <w:sz w:val="24"/>
          <w:szCs w:val="24"/>
        </w:rPr>
      </w:pPr>
      <w:r>
        <w:rPr>
          <w:rFonts w:ascii="Times New Roman" w:hAnsi="Times New Roman"/>
          <w:noProof/>
          <w:sz w:val="24"/>
          <w:szCs w:val="24"/>
        </w:rPr>
        <w:t xml:space="preserve">Numatoma, kad kartu su sveikatos ir </w:t>
      </w:r>
      <w:r>
        <w:rPr>
          <w:rFonts w:ascii="Times New Roman" w:hAnsi="Times New Roman"/>
          <w:noProof/>
          <w:sz w:val="24"/>
          <w:szCs w:val="24"/>
        </w:rPr>
        <w:t>ilgalaikės priežiūros paklausa didės profesionalių darbuotojų poreikis. Jau esama požymių, kad sveikatos</w:t>
      </w:r>
      <w:r>
        <w:rPr>
          <w:rFonts w:ascii="Times New Roman" w:hAnsi="Times New Roman" w:cs="Times New Roman"/>
          <w:noProof/>
          <w:sz w:val="24"/>
          <w:szCs w:val="24"/>
          <w:vertAlign w:val="superscript"/>
        </w:rPr>
        <w:footnoteReference w:id="35"/>
      </w:r>
      <w:r>
        <w:rPr>
          <w:rFonts w:ascii="Times New Roman" w:hAnsi="Times New Roman"/>
          <w:noProof/>
          <w:sz w:val="24"/>
          <w:szCs w:val="24"/>
        </w:rPr>
        <w:t xml:space="preserve"> ir ilgalaikės priežiūros sektoriuje trūksta darbo jėgos</w:t>
      </w:r>
      <w:r>
        <w:rPr>
          <w:rFonts w:ascii="Times New Roman" w:hAnsi="Times New Roman" w:cs="Times New Roman"/>
          <w:iCs/>
          <w:noProof/>
          <w:sz w:val="24"/>
          <w:szCs w:val="24"/>
          <w:vertAlign w:val="superscript"/>
        </w:rPr>
        <w:footnoteReference w:id="36"/>
      </w:r>
      <w:r>
        <w:rPr>
          <w:rFonts w:ascii="Times New Roman" w:hAnsi="Times New Roman"/>
          <w:noProof/>
          <w:sz w:val="24"/>
          <w:szCs w:val="24"/>
        </w:rPr>
        <w:t>. EBPO vykdomas darbas, susijęs su ilgalaikės priežiūros sektoriuje</w:t>
      </w:r>
      <w:r>
        <w:rPr>
          <w:rStyle w:val="FootnoteReference"/>
          <w:rFonts w:ascii="Times New Roman" w:hAnsi="Times New Roman" w:cs="Times New Roman"/>
          <w:noProof/>
          <w:sz w:val="24"/>
          <w:szCs w:val="24"/>
        </w:rPr>
        <w:footnoteReference w:id="37"/>
      </w:r>
      <w:r>
        <w:rPr>
          <w:rFonts w:ascii="Times New Roman" w:hAnsi="Times New Roman"/>
          <w:noProof/>
          <w:sz w:val="24"/>
          <w:szCs w:val="24"/>
        </w:rPr>
        <w:t xml:space="preserve"> dirbančiais darbuotojais,</w:t>
      </w:r>
      <w:r>
        <w:rPr>
          <w:rFonts w:ascii="Times New Roman" w:hAnsi="Times New Roman"/>
          <w:noProof/>
          <w:sz w:val="24"/>
          <w:szCs w:val="24"/>
        </w:rPr>
        <w:t xml:space="preserve"> rodo, kad šiame sektoriuje svarbu gerinti darbo sąlygas ir didinti priežiūros darbo patrauklumą. Nepaisant to, kad per pastarąjį dešimtmetį beveik visose ES šalyse padaugėjo gydytojų ir slaugytojų, vis dar trūksta bendrosios praktikos gydytojų, ypač kaimo</w:t>
      </w:r>
      <w:r>
        <w:rPr>
          <w:rFonts w:ascii="Times New Roman" w:hAnsi="Times New Roman"/>
          <w:noProof/>
          <w:sz w:val="24"/>
          <w:szCs w:val="24"/>
        </w:rPr>
        <w:t xml:space="preserve"> ir atokiose vietovėse bei atokiausiuose regionuose. </w:t>
      </w:r>
    </w:p>
    <w:p w:rsidR="00394061" w:rsidRDefault="00743783">
      <w:p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Pagrindinis uždavinys – </w:t>
      </w:r>
      <w:r>
        <w:rPr>
          <w:rFonts w:ascii="Times New Roman" w:hAnsi="Times New Roman" w:cs="Times New Roman"/>
          <w:b/>
          <w:noProof/>
          <w:sz w:val="24"/>
          <w:szCs w:val="24"/>
        </w:rPr>
        <w:t>patenkinti augančią pakankamų, prieinamų, kokybiškų ir įperkamų sveikatos priežiūros ir ilgalaikės priežiūros paslaugų paklausą, kaip nustatyta Europos socialinių teisių ramstyje</w:t>
      </w:r>
      <w:r>
        <w:rPr>
          <w:rFonts w:ascii="Times New Roman" w:hAnsi="Times New Roman" w:cs="Times New Roman"/>
          <w:b/>
          <w:noProof/>
          <w:sz w:val="24"/>
          <w:szCs w:val="24"/>
        </w:rPr>
        <w:t>.</w:t>
      </w:r>
      <w:r>
        <w:rPr>
          <w:rFonts w:ascii="Times New Roman" w:hAnsi="Times New Roman" w:cs="Times New Roman"/>
          <w:noProof/>
          <w:sz w:val="24"/>
          <w:szCs w:val="24"/>
        </w:rPr>
        <w:t xml:space="preserve"> Siekiant užtikrinti aukštą žmonių sveikatos apsaugos lygį</w:t>
      </w:r>
      <w:r>
        <w:rPr>
          <w:rStyle w:val="FootnoteReference"/>
          <w:rFonts w:ascii="Times New Roman" w:hAnsi="Times New Roman" w:cs="Times New Roman"/>
          <w:noProof/>
          <w:sz w:val="24"/>
          <w:szCs w:val="24"/>
        </w:rPr>
        <w:footnoteReference w:id="38"/>
      </w:r>
      <w:r>
        <w:rPr>
          <w:rFonts w:ascii="Times New Roman" w:hAnsi="Times New Roman" w:cs="Times New Roman"/>
          <w:noProof/>
          <w:sz w:val="24"/>
          <w:szCs w:val="24"/>
        </w:rPr>
        <w:t>, reikalinga tinkama infrastruktūra, kaip</w:t>
      </w:r>
      <w:r>
        <w:rPr>
          <w:rFonts w:ascii="Times New Roman" w:hAnsi="Times New Roman"/>
          <w:noProof/>
          <w:sz w:val="24"/>
          <w:szCs w:val="24"/>
        </w:rPr>
        <w:t xml:space="preserve"> antai ligoninės, ilgalaikės priežiūros namai ir vyresnio amžiaus žmonėms pritaikyti bei įrengti būstai. Kitaip nei sveikatos priežiūros atveju, ne visose </w:t>
      </w:r>
      <w:r>
        <w:rPr>
          <w:rFonts w:ascii="Times New Roman" w:hAnsi="Times New Roman"/>
          <w:noProof/>
          <w:sz w:val="24"/>
          <w:szCs w:val="24"/>
        </w:rPr>
        <w:t>valstybėse narėse egzistuoja ilgalaikės priežiūros socialinė apsauga. Oficiali ilgalaikė priežiūra yra brangi ir jos našta dažnai tenka asmeniui, kuriam jos reikia, arba jo (jos) šeimai. Kadangi Europos gyventojai senėja, o namų ūkiai mažėja, tikėtina, kad</w:t>
      </w:r>
      <w:r>
        <w:rPr>
          <w:rFonts w:ascii="Times New Roman" w:hAnsi="Times New Roman"/>
          <w:noProof/>
          <w:sz w:val="24"/>
          <w:szCs w:val="24"/>
        </w:rPr>
        <w:t xml:space="preserve"> su šia problema susidurs daugelis žmonių.</w:t>
      </w:r>
    </w:p>
    <w:p w:rsidR="00394061" w:rsidRDefault="00743783">
      <w:pPr>
        <w:spacing w:after="160"/>
        <w:jc w:val="both"/>
        <w:rPr>
          <w:rFonts w:ascii="Times New Roman" w:hAnsi="Times New Roman" w:cs="Times New Roman"/>
          <w:noProof/>
          <w:sz w:val="24"/>
          <w:szCs w:val="24"/>
        </w:rPr>
      </w:pPr>
      <w:r>
        <w:rPr>
          <w:rFonts w:ascii="Times New Roman" w:hAnsi="Times New Roman"/>
          <w:b/>
          <w:noProof/>
          <w:sz w:val="24"/>
          <w:szCs w:val="24"/>
        </w:rPr>
        <w:t>Besiformuojanti „</w:t>
      </w:r>
      <w:r>
        <w:rPr>
          <w:rFonts w:ascii="Times New Roman" w:hAnsi="Times New Roman"/>
          <w:b/>
          <w:i/>
          <w:noProof/>
          <w:sz w:val="24"/>
          <w:szCs w:val="24"/>
        </w:rPr>
        <w:t>senjorų ekonomika</w:t>
      </w:r>
      <w:r>
        <w:rPr>
          <w:rFonts w:ascii="Times New Roman" w:hAnsi="Times New Roman"/>
          <w:b/>
          <w:noProof/>
          <w:sz w:val="24"/>
          <w:szCs w:val="24"/>
        </w:rPr>
        <w:t xml:space="preserve">“ gali suteikti galimybių sveikatos ir ilgalaikės priežiūros sektoriams. </w:t>
      </w:r>
      <w:r>
        <w:rPr>
          <w:rFonts w:ascii="Times New Roman" w:hAnsi="Times New Roman"/>
          <w:noProof/>
          <w:sz w:val="24"/>
          <w:szCs w:val="24"/>
        </w:rPr>
        <w:t>Ji gali tapti inovacijų varomoji jėga, padedanti veiksmingiau teikti aukštos kokybės priežiūros paslaugas.</w:t>
      </w:r>
      <w:r>
        <w:rPr>
          <w:rFonts w:ascii="Times New Roman" w:hAnsi="Times New Roman"/>
          <w:noProof/>
          <w:sz w:val="24"/>
          <w:szCs w:val="24"/>
        </w:rPr>
        <w:t xml:space="preserve"> Skaitmeninimas gali suteikti vyresnio amžiaus žmonėms galimybę nepriklausomai stebėti savo sveikatos būklę. Skaitmeninių technologijų nauda sveikatos ir ilgalaikės priežiūros srityse gali būti trejopa: geresnė gyvenimo kokybė, didesnis sveikatos ir ilgala</w:t>
      </w:r>
      <w:r>
        <w:rPr>
          <w:rFonts w:ascii="Times New Roman" w:hAnsi="Times New Roman"/>
          <w:noProof/>
          <w:sz w:val="24"/>
          <w:szCs w:val="24"/>
        </w:rPr>
        <w:t>ikės priežiūros veiksmingumas, rinkos augimas ir pramonės plėtra</w:t>
      </w:r>
      <w:r>
        <w:rPr>
          <w:rFonts w:ascii="Times New Roman" w:hAnsi="Times New Roman" w:cs="Times New Roman"/>
          <w:noProof/>
          <w:sz w:val="24"/>
          <w:szCs w:val="24"/>
          <w:vertAlign w:val="superscript"/>
        </w:rPr>
        <w:footnoteReference w:id="39"/>
      </w:r>
      <w:r>
        <w:rPr>
          <w:rFonts w:ascii="Times New Roman" w:hAnsi="Times New Roman"/>
          <w:noProof/>
          <w:sz w:val="24"/>
          <w:szCs w:val="24"/>
        </w:rPr>
        <w:t xml:space="preserve">. Šiuo požiūriu labai svarbūs bus moksliniai tyrimai ir inovacijos. </w:t>
      </w:r>
    </w:p>
    <w:p w:rsidR="00394061" w:rsidRDefault="00743783">
      <w:pPr>
        <w:pStyle w:val="Heading2"/>
        <w:keepNext/>
        <w:rPr>
          <w:noProof/>
        </w:rPr>
      </w:pPr>
      <w:bookmarkStart w:id="49" w:name="_Toc32414445"/>
      <w:bookmarkStart w:id="50" w:name="_Toc32444156"/>
      <w:bookmarkStart w:id="51" w:name="_Toc33800406"/>
      <w:bookmarkStart w:id="52" w:name="_Toc43899491"/>
      <w:r>
        <w:rPr>
          <w:noProof/>
        </w:rPr>
        <w:t xml:space="preserve">3.3. </w:t>
      </w:r>
      <w:bookmarkEnd w:id="49"/>
      <w:bookmarkEnd w:id="50"/>
      <w:bookmarkEnd w:id="51"/>
      <w:r>
        <w:rPr>
          <w:noProof/>
        </w:rPr>
        <w:t>POVEIKIS VALSTYBIŲ BIUDŽETAMS</w:t>
      </w:r>
      <w:bookmarkEnd w:id="52"/>
    </w:p>
    <w:p w:rsidR="00394061" w:rsidRDefault="00743783">
      <w:pPr>
        <w:keepLines/>
        <w:jc w:val="both"/>
        <w:rPr>
          <w:rFonts w:ascii="Times New Roman" w:hAnsi="Times New Roman" w:cs="Times New Roman"/>
          <w:b/>
          <w:noProof/>
          <w:sz w:val="24"/>
          <w:szCs w:val="24"/>
        </w:rPr>
      </w:pPr>
      <w:r>
        <w:rPr>
          <w:rFonts w:ascii="Times New Roman" w:hAnsi="Times New Roman"/>
          <w:b/>
          <w:noProof/>
          <w:sz w:val="24"/>
          <w:szCs w:val="24"/>
        </w:rPr>
        <w:t xml:space="preserve">Tikėtina, kad dėl Europos senėjimo ir darbo jėgos mažėjimo padidės spaudimas valstybių </w:t>
      </w:r>
      <w:r>
        <w:rPr>
          <w:rFonts w:ascii="Times New Roman" w:hAnsi="Times New Roman"/>
          <w:b/>
          <w:noProof/>
          <w:sz w:val="24"/>
          <w:szCs w:val="24"/>
        </w:rPr>
        <w:t>biudžetams</w:t>
      </w:r>
      <w:r>
        <w:rPr>
          <w:rFonts w:ascii="Times New Roman" w:hAnsi="Times New Roman"/>
          <w:noProof/>
          <w:sz w:val="24"/>
          <w:szCs w:val="24"/>
        </w:rPr>
        <w:t>, kai daug lėšų prireiks ekonomikai gaivinti. Prieš krizę buvo prognozuojama, kad bendros su visuomenės senėjimu susijusios išlaidos</w:t>
      </w:r>
      <w:r>
        <w:rPr>
          <w:rFonts w:ascii="Times New Roman" w:hAnsi="Times New Roman" w:cs="Times New Roman"/>
          <w:noProof/>
          <w:sz w:val="24"/>
          <w:szCs w:val="24"/>
          <w:vertAlign w:val="superscript"/>
        </w:rPr>
        <w:footnoteReference w:id="40"/>
      </w:r>
      <w:r>
        <w:rPr>
          <w:rFonts w:ascii="Times New Roman" w:hAnsi="Times New Roman"/>
          <w:noProof/>
          <w:sz w:val="24"/>
          <w:szCs w:val="24"/>
        </w:rPr>
        <w:t xml:space="preserve"> ES iki 2070 m. sudarys 26,6 proc. BVP. </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Europa susidurs su dideliu iššūkiu finansuodama su visuomenės senėjimu s</w:t>
      </w:r>
      <w:r>
        <w:rPr>
          <w:rFonts w:ascii="Times New Roman" w:hAnsi="Times New Roman"/>
          <w:noProof/>
          <w:sz w:val="24"/>
          <w:szCs w:val="24"/>
        </w:rPr>
        <w:t>usijusias išlaidas taip, kad finansavimas būtų teisingai paskirstytas visoms kartoms. Taip yra todėl, kad sparčiai mažėja mokesčių ir socialinio draudimo įmokų mokėtojų ir asmenų, gaunančių pensijas ir kitas išmokas, santykis. 2019 m. vidutinis darbingo am</w:t>
      </w:r>
      <w:r>
        <w:rPr>
          <w:rFonts w:ascii="Times New Roman" w:hAnsi="Times New Roman"/>
          <w:noProof/>
          <w:sz w:val="24"/>
          <w:szCs w:val="24"/>
        </w:rPr>
        <w:t xml:space="preserve">žiaus žmonių ir vyresnių negu 65 metų žmonių santykis buvo 2,9. Numatoma, kad 2070 m. šis santykis sumažės iki 1,7. </w:t>
      </w:r>
    </w:p>
    <w:p w:rsidR="00394061" w:rsidRDefault="00743783">
      <w:pPr>
        <w:jc w:val="both"/>
        <w:rPr>
          <w:rFonts w:ascii="Times New Roman" w:hAnsi="Times New Roman" w:cs="Times New Roman"/>
          <w:i/>
          <w:noProof/>
          <w:sz w:val="24"/>
          <w:szCs w:val="24"/>
        </w:rPr>
      </w:pPr>
      <w:r>
        <w:rPr>
          <w:rFonts w:ascii="Times New Roman" w:hAnsi="Times New Roman"/>
          <w:noProof/>
          <w:sz w:val="24"/>
          <w:szCs w:val="24"/>
        </w:rPr>
        <w:t>Nors didžioji dalis su visuomenės senėjimu susijusių išlaidų bus susijusios su sveikata ir ilgalaike priežiūra, prognozuojama, kad iki 2040</w:t>
      </w:r>
      <w:r>
        <w:rPr>
          <w:rFonts w:ascii="Times New Roman" w:hAnsi="Times New Roman"/>
          <w:noProof/>
          <w:sz w:val="24"/>
          <w:szCs w:val="24"/>
        </w:rPr>
        <w:t xml:space="preserve"> m. išlaidos valstybinėms pensijoms taip pat didės, palyginti su BVP. Dėl </w:t>
      </w:r>
      <w:r>
        <w:rPr>
          <w:rFonts w:ascii="Times New Roman" w:hAnsi="Times New Roman"/>
          <w:b/>
          <w:noProof/>
          <w:sz w:val="24"/>
          <w:szCs w:val="24"/>
        </w:rPr>
        <w:t>esminių pensijų sistemų reformų poveikio daugumoje valstybių narių</w:t>
      </w:r>
      <w:r>
        <w:rPr>
          <w:rFonts w:ascii="Times New Roman" w:hAnsi="Times New Roman"/>
          <w:noProof/>
          <w:sz w:val="24"/>
          <w:szCs w:val="24"/>
        </w:rPr>
        <w:t xml:space="preserve"> numatoma, kad vėliau šios išlaidos augs lėčiau nei BVP ir vėl pasieks maždaug tokią pačią BVP dalį kaip 2016 m., no</w:t>
      </w:r>
      <w:r>
        <w:rPr>
          <w:rFonts w:ascii="Times New Roman" w:hAnsi="Times New Roman"/>
          <w:noProof/>
          <w:sz w:val="24"/>
          <w:szCs w:val="24"/>
        </w:rPr>
        <w:t xml:space="preserve">rs kai kuriose valstybėse narėse dėl pastarojo meto pensijų reformų numatomos didesnės pensijų išlaidos. Rengdami šių problemų sprendimus </w:t>
      </w:r>
      <w:r>
        <w:rPr>
          <w:rFonts w:ascii="Times New Roman" w:hAnsi="Times New Roman"/>
          <w:b/>
          <w:noProof/>
          <w:sz w:val="24"/>
          <w:szCs w:val="24"/>
        </w:rPr>
        <w:t>politikos formuotojai susiduria su dideliu neaiškumu</w:t>
      </w:r>
      <w:r>
        <w:rPr>
          <w:rFonts w:ascii="Times New Roman" w:hAnsi="Times New Roman"/>
          <w:noProof/>
          <w:sz w:val="24"/>
          <w:szCs w:val="24"/>
        </w:rPr>
        <w:t>. Viešųjų išlaidų raida priklauso ne tik nuo demografinių tendenci</w:t>
      </w:r>
      <w:r>
        <w:rPr>
          <w:rFonts w:ascii="Times New Roman" w:hAnsi="Times New Roman"/>
          <w:noProof/>
          <w:sz w:val="24"/>
          <w:szCs w:val="24"/>
        </w:rPr>
        <w:t>jų, bet ir nuo kitų veiksnių, pavyzdžiui, technologinės pažangos diagnostikos, gydymo, vaistų ir medicinos priemonių srityse arba nuo padidėjusios viešosios sveikatos priežiūros ir ilgalaikės priežiūros paklausos</w:t>
      </w:r>
      <w:r>
        <w:rPr>
          <w:rStyle w:val="FootnoteReference"/>
          <w:rFonts w:ascii="Times New Roman" w:hAnsi="Times New Roman" w:cs="Times New Roman"/>
          <w:noProof/>
          <w:sz w:val="24"/>
          <w:szCs w:val="24"/>
        </w:rPr>
        <w:footnoteReference w:id="41"/>
      </w:r>
      <w:r>
        <w:rPr>
          <w:rFonts w:ascii="Times New Roman" w:hAnsi="Times New Roman"/>
          <w:noProof/>
          <w:sz w:val="24"/>
          <w:szCs w:val="24"/>
        </w:rPr>
        <w:t>. Dėl visų šių priežasčių vidutinės trukmės</w:t>
      </w:r>
      <w:r>
        <w:rPr>
          <w:rFonts w:ascii="Times New Roman" w:hAnsi="Times New Roman"/>
          <w:noProof/>
          <w:sz w:val="24"/>
          <w:szCs w:val="24"/>
        </w:rPr>
        <w:t xml:space="preserve"> ir ilguoju laikotarpiu atsiras papildomų išlaidų. Jeigu politika nesikeis, didėjantis spaudimas taip pat bus jaučiamas privačių išlaidų sektoriuje, nes asmenims, kuriems teikiama ilgalaikė priežiūra, gali tekti padengti didesnę bendrųjų išlaidų dalį. </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Dau</w:t>
      </w:r>
      <w:r>
        <w:rPr>
          <w:rFonts w:ascii="Times New Roman" w:hAnsi="Times New Roman"/>
          <w:noProof/>
          <w:sz w:val="24"/>
          <w:szCs w:val="24"/>
        </w:rPr>
        <w:t xml:space="preserve">guma esamų prognozių daugiausia susijusios su 65 metų amžiaus riba, kuri laikoma darbingo amžiaus gyventojų grupės viršutine amžiaus riba. Tačiau ateityje daugiau žmonių ir toliau dirbs sulaukę vyresnio amžiaus. Nustačius aukštesnę viršutinę amžiaus ribą, </w:t>
      </w:r>
      <w:r>
        <w:rPr>
          <w:rFonts w:ascii="Times New Roman" w:hAnsi="Times New Roman"/>
          <w:noProof/>
          <w:sz w:val="24"/>
          <w:szCs w:val="24"/>
        </w:rPr>
        <w:t>prognozės labai pakinta. Tačiau remiantis visais duomenimis, pabrėžiama gerų darbo sąlygų, stiprių visuomenės sveikatos sistemų, mokymosi visą gyvenimą ir nuolatinių investicijų į įgūdžius ir švietimą svarba.</w:t>
      </w:r>
    </w:p>
    <w:p w:rsidR="00394061" w:rsidRDefault="00743783">
      <w:pPr>
        <w:jc w:val="both"/>
        <w:rPr>
          <w:rFonts w:ascii="Times New Roman" w:hAnsi="Times New Roman" w:cs="Times New Roman"/>
          <w:noProof/>
          <w:sz w:val="24"/>
          <w:szCs w:val="24"/>
        </w:rPr>
      </w:pPr>
      <w:r>
        <w:rPr>
          <w:rFonts w:ascii="Times New Roman" w:hAnsi="Times New Roman"/>
          <w:b/>
          <w:noProof/>
          <w:sz w:val="24"/>
          <w:szCs w:val="24"/>
        </w:rPr>
        <w:t>Tikėtina, kad vykstant demografiniams pokyčiams</w:t>
      </w:r>
      <w:r>
        <w:rPr>
          <w:rFonts w:ascii="Times New Roman" w:hAnsi="Times New Roman"/>
          <w:b/>
          <w:noProof/>
          <w:sz w:val="24"/>
          <w:szCs w:val="24"/>
        </w:rPr>
        <w:t xml:space="preserve"> vis didesnį susirūpinimą kels vyresnio amžiaus žmonių skurdas.</w:t>
      </w:r>
      <w:r>
        <w:rPr>
          <w:rFonts w:ascii="Times New Roman" w:hAnsi="Times New Roman"/>
          <w:noProof/>
          <w:sz w:val="24"/>
          <w:szCs w:val="24"/>
        </w:rPr>
        <w:t xml:space="preserve"> Šiandien dauguma pensininkų gauna pajamas iš pensijų, iš kurių jie gali išlaikyti savo gyvenimo lygį ir apsisaugoti nuo skurdo</w:t>
      </w:r>
      <w:r>
        <w:rPr>
          <w:rStyle w:val="FootnoteReference"/>
          <w:rFonts w:ascii="Times New Roman" w:hAnsi="Times New Roman" w:cs="Times New Roman"/>
          <w:noProof/>
          <w:sz w:val="24"/>
          <w:szCs w:val="24"/>
        </w:rPr>
        <w:footnoteReference w:id="42"/>
      </w:r>
      <w:r>
        <w:rPr>
          <w:rFonts w:ascii="Times New Roman" w:hAnsi="Times New Roman"/>
          <w:noProof/>
          <w:sz w:val="24"/>
          <w:szCs w:val="24"/>
        </w:rPr>
        <w:t>. Tai nereiškia, kad buvo išspręsta vyresnių nei 64 metų žmonių s</w:t>
      </w:r>
      <w:r>
        <w:rPr>
          <w:rFonts w:ascii="Times New Roman" w:hAnsi="Times New Roman"/>
          <w:noProof/>
          <w:sz w:val="24"/>
          <w:szCs w:val="24"/>
        </w:rPr>
        <w:t>kurdo problema. 2018 m. 27-iose ES valstybėse narėse 15,5 proc. 65 metų ir vyresnių žmonių buvo ties skurdo riba</w:t>
      </w:r>
      <w:r>
        <w:rPr>
          <w:rStyle w:val="FootnoteReference"/>
          <w:rFonts w:ascii="Times New Roman" w:hAnsi="Times New Roman" w:cs="Times New Roman"/>
          <w:noProof/>
          <w:sz w:val="24"/>
          <w:szCs w:val="24"/>
        </w:rPr>
        <w:footnoteReference w:id="43"/>
      </w:r>
      <w:r>
        <w:rPr>
          <w:rFonts w:ascii="Times New Roman" w:hAnsi="Times New Roman"/>
          <w:noProof/>
          <w:sz w:val="24"/>
          <w:szCs w:val="24"/>
        </w:rPr>
        <w:t xml:space="preserve">. </w:t>
      </w:r>
    </w:p>
    <w:p w:rsidR="00394061" w:rsidRDefault="00743783">
      <w:pPr>
        <w:jc w:val="both"/>
        <w:rPr>
          <w:rFonts w:ascii="Times New Roman" w:hAnsi="Times New Roman" w:cs="Times New Roman"/>
          <w:noProof/>
          <w:sz w:val="24"/>
          <w:szCs w:val="24"/>
        </w:rPr>
      </w:pPr>
      <w:r>
        <w:rPr>
          <w:rFonts w:ascii="Times New Roman" w:hAnsi="Times New Roman"/>
          <w:b/>
          <w:noProof/>
          <w:sz w:val="24"/>
          <w:szCs w:val="24"/>
        </w:rPr>
        <w:t>Vyresnio amžiaus moterys dažniau patiria skurdą.</w:t>
      </w:r>
      <w:r>
        <w:rPr>
          <w:rFonts w:ascii="Times New Roman" w:hAnsi="Times New Roman"/>
          <w:b/>
          <w:noProof/>
          <w:sz w:val="24"/>
        </w:rPr>
        <w:t xml:space="preserve"> </w:t>
      </w:r>
      <w:r>
        <w:rPr>
          <w:rFonts w:ascii="Times New Roman" w:hAnsi="Times New Roman"/>
          <w:noProof/>
          <w:sz w:val="24"/>
          <w:szCs w:val="24"/>
        </w:rPr>
        <w:t>Taip yra dėl mažesnio moterų užimtumo lygio, ilgesnės karjeros pertraukos, mažesnio darbo u</w:t>
      </w:r>
      <w:r>
        <w:rPr>
          <w:rFonts w:ascii="Times New Roman" w:hAnsi="Times New Roman"/>
          <w:noProof/>
          <w:sz w:val="24"/>
          <w:szCs w:val="24"/>
        </w:rPr>
        <w:t>žmokesčio ir todėl, kad jos dažniau dirba ne visą darbo dieną</w:t>
      </w:r>
      <w:r>
        <w:rPr>
          <w:rStyle w:val="FootnoteReference"/>
          <w:rFonts w:ascii="Times New Roman" w:hAnsi="Times New Roman" w:cs="Times New Roman"/>
          <w:noProof/>
          <w:sz w:val="24"/>
          <w:szCs w:val="24"/>
        </w:rPr>
        <w:footnoteReference w:id="44"/>
      </w:r>
      <w:r>
        <w:rPr>
          <w:rFonts w:ascii="Times New Roman" w:hAnsi="Times New Roman"/>
          <w:noProof/>
          <w:sz w:val="24"/>
          <w:szCs w:val="24"/>
        </w:rPr>
        <w:t xml:space="preserve"> arba laikinai</w:t>
      </w:r>
      <w:r>
        <w:rPr>
          <w:rStyle w:val="FootnoteReference"/>
          <w:rFonts w:ascii="Times New Roman" w:hAnsi="Times New Roman" w:cs="Times New Roman"/>
          <w:noProof/>
          <w:sz w:val="24"/>
          <w:szCs w:val="24"/>
        </w:rPr>
        <w:footnoteReference w:id="45"/>
      </w:r>
      <w:r>
        <w:rPr>
          <w:rFonts w:ascii="Times New Roman" w:hAnsi="Times New Roman"/>
          <w:noProof/>
          <w:sz w:val="24"/>
          <w:szCs w:val="24"/>
        </w:rPr>
        <w:t xml:space="preserve">. Moterys kas mėnesį gauna maždaug trečdaliu mažesnes pensijas nei vyrai, o jų tikėtina gyvenimo trukmė ilgesnė. </w:t>
      </w:r>
    </w:p>
    <w:p w:rsidR="00394061" w:rsidRDefault="00743783">
      <w:pPr>
        <w:jc w:val="both"/>
        <w:rPr>
          <w:rFonts w:ascii="Times New Roman" w:hAnsi="Times New Roman" w:cs="Times New Roman"/>
          <w:noProof/>
          <w:sz w:val="24"/>
          <w:szCs w:val="24"/>
        </w:rPr>
      </w:pPr>
      <w:r>
        <w:rPr>
          <w:rFonts w:ascii="Times New Roman" w:hAnsi="Times New Roman"/>
          <w:b/>
          <w:noProof/>
          <w:sz w:val="24"/>
          <w:szCs w:val="24"/>
        </w:rPr>
        <w:t>Neįgaliesiems – grupei, kuriai gresia didesnis skurdas, – gali ki</w:t>
      </w:r>
      <w:r>
        <w:rPr>
          <w:rFonts w:ascii="Times New Roman" w:hAnsi="Times New Roman"/>
          <w:b/>
          <w:noProof/>
          <w:sz w:val="24"/>
          <w:szCs w:val="24"/>
        </w:rPr>
        <w:t xml:space="preserve">lti papildoma rizika. </w:t>
      </w:r>
      <w:r>
        <w:rPr>
          <w:rFonts w:ascii="Times New Roman" w:hAnsi="Times New Roman"/>
          <w:noProof/>
          <w:sz w:val="24"/>
          <w:szCs w:val="24"/>
        </w:rPr>
        <w:t xml:space="preserve">Darbingo amžiaus žmonės su negalia dažnai turi teisę gauti specialias išmokas ir paramą. Tačiau sulaukę pensinio amžiaus jie gali nebeatitikti reikalavimų, taip galimai patirdami papildomą skurdo ar socialinės atskirties riziką. </w:t>
      </w:r>
    </w:p>
    <w:p w:rsidR="00394061" w:rsidRDefault="00743783">
      <w:pPr>
        <w:jc w:val="both"/>
        <w:rPr>
          <w:rFonts w:ascii="Times New Roman" w:hAnsi="Times New Roman" w:cs="Times New Roman"/>
          <w:noProof/>
          <w:sz w:val="24"/>
          <w:szCs w:val="24"/>
        </w:rPr>
      </w:pPr>
      <w:r>
        <w:rPr>
          <w:rFonts w:ascii="Times New Roman" w:hAnsi="Times New Roman"/>
          <w:b/>
          <w:noProof/>
          <w:sz w:val="24"/>
          <w:szCs w:val="24"/>
        </w:rPr>
        <w:t>Kita</w:t>
      </w:r>
      <w:r>
        <w:rPr>
          <w:rFonts w:ascii="Times New Roman" w:hAnsi="Times New Roman"/>
          <w:b/>
          <w:noProof/>
          <w:sz w:val="24"/>
          <w:szCs w:val="24"/>
        </w:rPr>
        <w:t xml:space="preserve"> vertus, vyresnio amžiaus žmonės suteikia naujų galimybių mūsų ekonomikai. </w:t>
      </w:r>
      <w:r>
        <w:rPr>
          <w:rFonts w:ascii="Times New Roman" w:hAnsi="Times New Roman"/>
          <w:noProof/>
          <w:sz w:val="24"/>
          <w:szCs w:val="24"/>
        </w:rPr>
        <w:t>Vyresnio amžiaus vartotojai sudaro didelę ekonomikos dalį, o vyresnių nei 50 metų žmonių vartojimas visoje ES 2015 m. siekė 3,7 trln. EUR. Numatoma, kad šis skaičius didės maždaug 5</w:t>
      </w:r>
      <w:r>
        <w:rPr>
          <w:rFonts w:ascii="Times New Roman" w:hAnsi="Times New Roman"/>
          <w:noProof/>
          <w:sz w:val="24"/>
          <w:szCs w:val="24"/>
        </w:rPr>
        <w:t xml:space="preserve"> proc. per metus ir iki 2025 m. pasieks 5,7 trln. EUR. Komisijos Žaliojoje knygoje dėl senėjimo taip pat bus nagrinėjama, kaip galėtume kuo geriau išnaudoti šias galimybes.</w:t>
      </w:r>
      <w:r>
        <w:rPr>
          <w:rFonts w:ascii="Times New Roman" w:hAnsi="Times New Roman"/>
          <w:b/>
          <w:noProof/>
          <w:sz w:val="24"/>
          <w:szCs w:val="24"/>
        </w:rPr>
        <w:t xml:space="preserve"> </w:t>
      </w:r>
    </w:p>
    <w:p w:rsidR="00394061" w:rsidRDefault="00743783">
      <w:pPr>
        <w:pStyle w:val="Heading2"/>
        <w:keepNext/>
        <w:rPr>
          <w:b w:val="0"/>
          <w:noProof/>
        </w:rPr>
      </w:pPr>
      <w:bookmarkStart w:id="53" w:name="_Toc32414446"/>
      <w:bookmarkStart w:id="54" w:name="_Toc32444157"/>
      <w:bookmarkStart w:id="55" w:name="_Toc33800407"/>
      <w:bookmarkStart w:id="56" w:name="_Toc35516330"/>
      <w:bookmarkStart w:id="57" w:name="_Toc36563276"/>
      <w:bookmarkStart w:id="58" w:name="_Toc43899492"/>
      <w:r>
        <w:rPr>
          <w:rStyle w:val="Heading2Char"/>
          <w:b/>
          <w:noProof/>
        </w:rPr>
        <w:t xml:space="preserve">3.4. </w:t>
      </w:r>
      <w:bookmarkEnd w:id="53"/>
      <w:bookmarkEnd w:id="54"/>
      <w:bookmarkEnd w:id="55"/>
      <w:bookmarkEnd w:id="56"/>
      <w:r>
        <w:rPr>
          <w:rStyle w:val="Heading2Char"/>
          <w:b/>
          <w:noProof/>
        </w:rPr>
        <w:t>REGIONŲ IR VIETOS MATMUO</w:t>
      </w:r>
      <w:r>
        <w:rPr>
          <w:b w:val="0"/>
          <w:noProof/>
          <w:vertAlign w:val="superscript"/>
          <w:lang w:val="en-GB"/>
        </w:rPr>
        <w:footnoteReference w:id="46"/>
      </w:r>
      <w:bookmarkEnd w:id="57"/>
      <w:bookmarkEnd w:id="58"/>
    </w:p>
    <w:p w:rsidR="00394061" w:rsidRDefault="00743783">
      <w:pPr>
        <w:keepLines/>
        <w:jc w:val="both"/>
        <w:rPr>
          <w:rFonts w:ascii="Times New Roman" w:hAnsi="Times New Roman" w:cs="Times New Roman"/>
          <w:noProof/>
          <w:sz w:val="24"/>
          <w:szCs w:val="24"/>
        </w:rPr>
      </w:pPr>
      <w:r>
        <w:rPr>
          <w:rFonts w:ascii="Times New Roman" w:hAnsi="Times New Roman"/>
          <w:b/>
          <w:noProof/>
          <w:sz w:val="24"/>
          <w:szCs w:val="24"/>
        </w:rPr>
        <w:t xml:space="preserve">Skirtingi regionai patiria skirtingą demografinių </w:t>
      </w:r>
      <w:r>
        <w:rPr>
          <w:rFonts w:ascii="Times New Roman" w:hAnsi="Times New Roman"/>
          <w:b/>
          <w:noProof/>
          <w:sz w:val="24"/>
          <w:szCs w:val="24"/>
        </w:rPr>
        <w:t>pokyčių poveikį.</w:t>
      </w:r>
      <w:r>
        <w:rPr>
          <w:rFonts w:ascii="Times New Roman" w:hAnsi="Times New Roman"/>
          <w:noProof/>
          <w:sz w:val="24"/>
          <w:szCs w:val="24"/>
        </w:rPr>
        <w:t xml:space="preserve"> Vienur gyvena gana daug vyresnio amžiaus gyventojų, kurių amžiaus mediana viršija 50 metų, o kitur ji nesiekia 42,5 metų, pavyzdžiui, Liuksemburge, Kipre, Airijoje, pietų Ispanijoje, Lenkijoje, šiaurės Rumunijoje, Slovakijoje ir pietų Šved</w:t>
      </w:r>
      <w:r>
        <w:rPr>
          <w:rFonts w:ascii="Times New Roman" w:hAnsi="Times New Roman"/>
          <w:noProof/>
          <w:sz w:val="24"/>
          <w:szCs w:val="24"/>
        </w:rPr>
        <w:t>ijoje (arba jų dalyse).</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 xml:space="preserve">Regionų lygmeniu gyventojų judėjimas taip pat daro didelį poveikį regiono demografinei padėčiai. Tai labai juntama tose vietose, kur daugiausia juda jaunimas. </w:t>
      </w:r>
      <w:r>
        <w:rPr>
          <w:rFonts w:ascii="Times New Roman" w:hAnsi="Times New Roman"/>
          <w:bCs/>
          <w:noProof/>
          <w:sz w:val="24"/>
          <w:szCs w:val="24"/>
        </w:rPr>
        <w:t xml:space="preserve">Šis judėjimas taip pat daro poveikį visam regiono gyventojų skaičiui. </w:t>
      </w:r>
      <w:r>
        <w:rPr>
          <w:rFonts w:ascii="Times New Roman" w:hAnsi="Times New Roman"/>
          <w:noProof/>
          <w:sz w:val="24"/>
          <w:szCs w:val="24"/>
        </w:rPr>
        <w:t>65 </w:t>
      </w:r>
      <w:r>
        <w:rPr>
          <w:rFonts w:ascii="Times New Roman" w:hAnsi="Times New Roman"/>
          <w:noProof/>
          <w:sz w:val="24"/>
          <w:szCs w:val="24"/>
        </w:rPr>
        <w:t>proc. ES gyventojų gyvena regionuose, kuriuose 2011–2019 m. gyventojų skaičius augo. Kai kuriuose regionuose gyventojų skaičiaus mažėjimo tendencija užsitęsia, dažnai net dešimtmečiais, ir tikėtina, kad per ateinantį dešimtmetį ir vėliau ten gyventojų skai</w:t>
      </w:r>
      <w:r>
        <w:rPr>
          <w:rFonts w:ascii="Times New Roman" w:hAnsi="Times New Roman"/>
          <w:noProof/>
          <w:sz w:val="24"/>
          <w:szCs w:val="24"/>
        </w:rPr>
        <w:t xml:space="preserve">čius toliau mažės. </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Kad ši padėtis dar labiau nepablogėtų dėl pandemijos, Komisija pasiūlė skirti papildomų išteklių sanglaudos politikai, skirtai krizės įveikimo ir atkūrimo priemonėms, pagal naują iniciatyvą REACT-EU</w:t>
      </w:r>
      <w:r>
        <w:rPr>
          <w:rStyle w:val="FootnoteReference"/>
          <w:rFonts w:ascii="Times New Roman" w:hAnsi="Times New Roman" w:cs="Times New Roman"/>
          <w:noProof/>
          <w:sz w:val="24"/>
          <w:szCs w:val="24"/>
        </w:rPr>
        <w:footnoteReference w:id="47"/>
      </w:r>
      <w:r>
        <w:rPr>
          <w:rFonts w:ascii="Times New Roman" w:hAnsi="Times New Roman"/>
          <w:noProof/>
          <w:sz w:val="24"/>
          <w:szCs w:val="24"/>
        </w:rPr>
        <w:t>. Pagal siūlomą atkūrimo priemonę „Ne</w:t>
      </w:r>
      <w:r>
        <w:rPr>
          <w:rFonts w:ascii="Times New Roman" w:hAnsi="Times New Roman"/>
          <w:noProof/>
          <w:sz w:val="24"/>
          <w:szCs w:val="24"/>
        </w:rPr>
        <w:t>xt Generation EU“ numatoma papildoma parama siekiant užtikrinti pagrindinių krizės įveikimo priemonių finansavimą ir remti darbuotojus ir MVĮ, sveikatos priežiūros sistemas ir perėjimą prie žaliosios ir skaitmeninės ekonomikos regionuose. Be to, ES kaimo p</w:t>
      </w:r>
      <w:r>
        <w:rPr>
          <w:rFonts w:ascii="Times New Roman" w:hAnsi="Times New Roman"/>
          <w:noProof/>
          <w:sz w:val="24"/>
          <w:szCs w:val="24"/>
        </w:rPr>
        <w:t>lėtros programa atliks labai svarbų vaidmenį remiant ekonomikos atgaivinimą.</w:t>
      </w:r>
    </w:p>
    <w:p w:rsidR="00394061" w:rsidRDefault="00743783">
      <w:pPr>
        <w:keepNext/>
        <w:jc w:val="center"/>
        <w:rPr>
          <w:rFonts w:ascii="Times New Roman" w:hAnsi="Times New Roman"/>
          <w:b/>
          <w:noProof/>
          <w:sz w:val="24"/>
          <w:szCs w:val="24"/>
        </w:rPr>
      </w:pPr>
      <w:r>
        <w:rPr>
          <w:rFonts w:ascii="Times New Roman" w:hAnsi="Times New Roman"/>
          <w:b/>
          <w:noProof/>
          <w:sz w:val="24"/>
          <w:szCs w:val="24"/>
        </w:rPr>
        <w:t>Bendras gyventojų skaičiaus pokytis pagal regionus</w:t>
      </w:r>
      <w:r>
        <w:rPr>
          <w:rFonts w:ascii="Times New Roman" w:hAnsi="Times New Roman" w:cs="Times New Roman"/>
          <w:b/>
          <w:noProof/>
          <w:sz w:val="24"/>
          <w:szCs w:val="24"/>
          <w:vertAlign w:val="superscript"/>
        </w:rPr>
        <w:footnoteReference w:id="48"/>
      </w:r>
      <w:r>
        <w:rPr>
          <w:rFonts w:ascii="Times New Roman" w:hAnsi="Times New Roman"/>
          <w:b/>
          <w:noProof/>
          <w:sz w:val="24"/>
          <w:szCs w:val="24"/>
        </w:rPr>
        <w:t>, 2011–2019 m</w:t>
      </w:r>
    </w:p>
    <w:p w:rsidR="00394061" w:rsidRDefault="00743783">
      <w:pPr>
        <w:keepNext/>
        <w:jc w:val="center"/>
        <w:rPr>
          <w:rFonts w:ascii="Times New Roman" w:hAnsi="Times New Roman"/>
          <w:b/>
          <w:noProof/>
          <w:sz w:val="24"/>
          <w:szCs w:val="24"/>
        </w:rPr>
      </w:pPr>
      <w:r>
        <w:rPr>
          <w:rFonts w:ascii="Times New Roman" w:hAnsi="Times New Roman" w:cs="Times New Roman"/>
          <w:noProof/>
          <w:sz w:val="24"/>
          <w:szCs w:val="24"/>
        </w:rPr>
        <w:t>(bendras pokytis (proc.) nuo 2011 m. sausio 1 d. iki 2019 m. sausio 1 d.)</w:t>
      </w:r>
    </w:p>
    <w:p w:rsidR="00394061" w:rsidRDefault="00743783">
      <w:pPr>
        <w:jc w:val="center"/>
        <w:rPr>
          <w:rFonts w:ascii="Times New Roman" w:hAnsi="Times New Roman" w:cs="Times New Roman"/>
          <w:noProof/>
          <w:sz w:val="24"/>
          <w:szCs w:val="24"/>
        </w:rPr>
      </w:pPr>
      <w:r>
        <w:rPr>
          <w:rFonts w:ascii="Times New Roman" w:hAnsi="Times New Roman"/>
          <w:noProof/>
          <w:sz w:val="24"/>
          <w:szCs w:val="24"/>
          <w:lang w:val="fr-BE" w:eastAsia="fr-BE"/>
        </w:rPr>
        <w:drawing>
          <wp:inline distT="0" distB="0" distL="0" distR="0">
            <wp:extent cx="5674982" cy="791666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atanle\AppData\Local\Microsoft\Windows\INetCache\Content.Outlook\DLMTIXEC\Map05_N3_POP_CH_1119_A4P20_M.png"/>
                    <pic:cNvPicPr>
                      <a:picLocks noChangeAspect="1" noChangeArrowheads="1"/>
                    </pic:cNvPicPr>
                  </pic:nvPicPr>
                  <pic:blipFill>
                    <a:blip r:embed="rId28"/>
                    <a:stretch>
                      <a:fillRect/>
                    </a:stretch>
                  </pic:blipFill>
                  <pic:spPr bwMode="auto">
                    <a:xfrm>
                      <a:off x="0" y="0"/>
                      <a:ext cx="5674982" cy="7916660"/>
                    </a:xfrm>
                    <a:prstGeom prst="rect">
                      <a:avLst/>
                    </a:prstGeom>
                    <a:noFill/>
                    <a:ln>
                      <a:noFill/>
                    </a:ln>
                  </pic:spPr>
                </pic:pic>
              </a:graphicData>
            </a:graphic>
          </wp:inline>
        </w:drawing>
      </w:r>
    </w:p>
    <w:p w:rsidR="00394061" w:rsidRDefault="00743783">
      <w:pPr>
        <w:jc w:val="both"/>
        <w:rPr>
          <w:rFonts w:ascii="Times New Roman" w:hAnsi="Times New Roman" w:cs="Times New Roman"/>
          <w:noProof/>
          <w:sz w:val="24"/>
          <w:szCs w:val="24"/>
        </w:rPr>
      </w:pPr>
      <w:r>
        <w:rPr>
          <w:rFonts w:ascii="Times New Roman" w:hAnsi="Times New Roman"/>
          <w:b/>
          <w:noProof/>
          <w:sz w:val="24"/>
          <w:szCs w:val="24"/>
        </w:rPr>
        <w:t>Demografiniai pokyčiai miestuose ir ka</w:t>
      </w:r>
      <w:r>
        <w:rPr>
          <w:rFonts w:ascii="Times New Roman" w:hAnsi="Times New Roman"/>
          <w:b/>
          <w:noProof/>
          <w:sz w:val="24"/>
          <w:szCs w:val="24"/>
        </w:rPr>
        <w:t xml:space="preserve">imo vietovėse pasireiškia skirtingai. </w:t>
      </w:r>
      <w:r>
        <w:rPr>
          <w:rFonts w:ascii="Times New Roman" w:hAnsi="Times New Roman"/>
          <w:noProof/>
          <w:sz w:val="24"/>
          <w:szCs w:val="24"/>
        </w:rPr>
        <w:t>ES regionai priskiriami skirtingoms kategorijoms, priklausomai nuo to, ar juose daugiau miesto, ar kaimo vietovių, ar jie yra tarpiniai, t. y. atsiduria tarp šių dviejų kategorijų. Kiekvienai iš šių trijų kategorijų bū</w:t>
      </w:r>
      <w:r>
        <w:rPr>
          <w:rFonts w:ascii="Times New Roman" w:hAnsi="Times New Roman"/>
          <w:noProof/>
          <w:sz w:val="24"/>
          <w:szCs w:val="24"/>
        </w:rPr>
        <w:t>dingos tam tikros savybės. Gyventojų skaičius ir gyvenviečių tankis mažėja nuo miesto iki tarpinių ir kaimo regionų. Panašu, kad pandemijos metu vienas iš viruso plitimą lemiančių veiksnių – gyventojų tankis ir regiono kategorija. Apskaičiuota, kad virusas</w:t>
      </w:r>
      <w:r>
        <w:rPr>
          <w:rFonts w:ascii="Times New Roman" w:hAnsi="Times New Roman"/>
          <w:noProof/>
          <w:sz w:val="24"/>
          <w:szCs w:val="24"/>
        </w:rPr>
        <w:t xml:space="preserve"> miesto regionuose paplito anksčiau ir išplito greičiau, palyginti su tarpiniais ir kaimo regionais</w:t>
      </w:r>
      <w:r>
        <w:rPr>
          <w:rStyle w:val="FootnoteReference"/>
          <w:rFonts w:ascii="Times New Roman" w:hAnsi="Times New Roman" w:cs="Times New Roman"/>
          <w:noProof/>
          <w:sz w:val="24"/>
          <w:szCs w:val="24"/>
        </w:rPr>
        <w:footnoteReference w:id="49"/>
      </w:r>
      <w:r>
        <w:rPr>
          <w:rFonts w:ascii="Times New Roman" w:hAnsi="Times New Roman"/>
          <w:noProof/>
          <w:sz w:val="24"/>
          <w:szCs w:val="24"/>
        </w:rPr>
        <w:t xml:space="preserve">. </w:t>
      </w:r>
    </w:p>
    <w:p w:rsidR="00394061" w:rsidRDefault="00394061">
      <w:pPr>
        <w:jc w:val="both"/>
        <w:rPr>
          <w:rFonts w:ascii="Times New Roman" w:hAnsi="Times New Roman" w:cs="Times New Roman"/>
          <w:noProof/>
          <w:sz w:val="24"/>
          <w:szCs w:val="24"/>
        </w:rPr>
      </w:pPr>
    </w:p>
    <w:p w:rsidR="00394061" w:rsidRDefault="00743783">
      <w:pPr>
        <w:keepNext/>
        <w:jc w:val="center"/>
        <w:rPr>
          <w:rFonts w:ascii="Times New Roman" w:hAnsi="Times New Roman"/>
          <w:b/>
          <w:noProof/>
          <w:sz w:val="24"/>
          <w:szCs w:val="24"/>
        </w:rPr>
      </w:pPr>
      <w:r>
        <w:rPr>
          <w:rFonts w:ascii="Times New Roman" w:hAnsi="Times New Roman"/>
          <w:b/>
          <w:noProof/>
          <w:sz w:val="24"/>
          <w:szCs w:val="24"/>
        </w:rPr>
        <w:t>ES 27 gyventojų skaičius pagal miesto ir kaimo regionų tipologiją, 2019 m.</w:t>
      </w:r>
    </w:p>
    <w:p w:rsidR="00394061" w:rsidRDefault="00743783">
      <w:pPr>
        <w:keepNext/>
        <w:jc w:val="center"/>
        <w:rPr>
          <w:rFonts w:ascii="Times New Roman" w:hAnsi="Times New Roman" w:cs="Times New Roman"/>
          <w:b/>
          <w:noProof/>
          <w:sz w:val="24"/>
          <w:szCs w:val="24"/>
        </w:rPr>
      </w:pPr>
      <w:r>
        <w:rPr>
          <w:noProof/>
          <w:lang w:val="fr-BE" w:eastAsia="fr-BE"/>
        </w:rPr>
        <w:drawing>
          <wp:inline distT="0" distB="0" distL="0" distR="0">
            <wp:extent cx="2996361" cy="2612366"/>
            <wp:effectExtent l="0" t="0" r="13970" b="17145"/>
            <wp:docPr id="11" name="Chart 11">
              <a:extLst xmlns:a="http://schemas.openxmlformats.org/drawingml/2006/main">
                <a:ext uri="{FF2B5EF4-FFF2-40B4-BE49-F238E27FC236}">
                  <a16:creationId xmlns:a16="http://schemas.microsoft.com/office/drawing/2014/main" id="{5E4FD3D0-044C-DE4D-97D4-EB242611A9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394061" w:rsidRDefault="00394061">
      <w:pPr>
        <w:jc w:val="center"/>
        <w:rPr>
          <w:rFonts w:ascii="Times New Roman" w:hAnsi="Times New Roman" w:cs="Times New Roman"/>
          <w:noProof/>
          <w:sz w:val="24"/>
          <w:szCs w:val="24"/>
        </w:rPr>
      </w:pPr>
    </w:p>
    <w:p w:rsidR="00394061" w:rsidRDefault="00743783">
      <w:pPr>
        <w:jc w:val="both"/>
        <w:rPr>
          <w:rFonts w:ascii="Times New Roman" w:hAnsi="Times New Roman" w:cs="Times New Roman"/>
          <w:i/>
          <w:noProof/>
          <w:sz w:val="24"/>
          <w:szCs w:val="24"/>
        </w:rPr>
      </w:pPr>
      <w:r>
        <w:rPr>
          <w:rFonts w:ascii="Times New Roman" w:hAnsi="Times New Roman"/>
          <w:i/>
          <w:noProof/>
          <w:sz w:val="24"/>
          <w:szCs w:val="24"/>
        </w:rPr>
        <w:t>Šaltinis: Eurostatas</w:t>
      </w:r>
    </w:p>
    <w:p w:rsidR="00394061" w:rsidRDefault="00394061">
      <w:pPr>
        <w:jc w:val="both"/>
        <w:rPr>
          <w:rFonts w:ascii="Times New Roman" w:hAnsi="Times New Roman" w:cs="Times New Roman"/>
          <w:noProof/>
          <w:sz w:val="24"/>
          <w:szCs w:val="24"/>
        </w:rPr>
      </w:pPr>
    </w:p>
    <w:p w:rsidR="00394061" w:rsidRDefault="00743783">
      <w:pPr>
        <w:jc w:val="both"/>
        <w:rPr>
          <w:rFonts w:ascii="Times New Roman" w:hAnsi="Times New Roman" w:cs="Times New Roman"/>
          <w:noProof/>
          <w:sz w:val="24"/>
          <w:szCs w:val="24"/>
        </w:rPr>
      </w:pPr>
      <w:r>
        <w:rPr>
          <w:rFonts w:ascii="Times New Roman" w:hAnsi="Times New Roman"/>
          <w:b/>
          <w:noProof/>
          <w:sz w:val="24"/>
          <w:szCs w:val="24"/>
        </w:rPr>
        <w:t xml:space="preserve">2014–2019 m. kaimo regionuose gyventojų skaičius </w:t>
      </w:r>
      <w:r>
        <w:rPr>
          <w:rFonts w:ascii="Times New Roman" w:hAnsi="Times New Roman"/>
          <w:b/>
          <w:noProof/>
          <w:sz w:val="24"/>
          <w:szCs w:val="24"/>
        </w:rPr>
        <w:t>sumažėjo 0,8 mln.</w:t>
      </w:r>
      <w:r>
        <w:rPr>
          <w:rFonts w:ascii="Times New Roman" w:hAnsi="Times New Roman"/>
          <w:noProof/>
          <w:sz w:val="24"/>
          <w:szCs w:val="24"/>
        </w:rPr>
        <w:t xml:space="preserve"> Tačiau tai dar ne viskas. Kai kuriose valstybėse narėse šie regionai augo daugiau nei 0,2 proc. per metus, o kitose tiek pat mažėjo. Aštuoniose valstybėse narėse kaimo regionuose gyventojų skaičius mažėjo nuo 1991 m.: trijose Baltijos val</w:t>
      </w:r>
      <w:r>
        <w:rPr>
          <w:rFonts w:ascii="Times New Roman" w:hAnsi="Times New Roman"/>
          <w:noProof/>
          <w:sz w:val="24"/>
          <w:szCs w:val="24"/>
        </w:rPr>
        <w:t>stybėse, Bulgarijoje, Kroatijoje, Vengrijoje, Portugalijoje ir Rumunijoje. Iš neseniai EBPO atlikto tyrimo matyti, kad netoli miestų esantys regionai paprastai auga, o atokiausiuose regionuose</w:t>
      </w:r>
      <w:r>
        <w:rPr>
          <w:rFonts w:ascii="Times New Roman" w:hAnsi="Times New Roman" w:cs="Times New Roman"/>
          <w:noProof/>
          <w:sz w:val="24"/>
          <w:szCs w:val="24"/>
          <w:vertAlign w:val="superscript"/>
        </w:rPr>
        <w:footnoteReference w:id="50"/>
      </w:r>
      <w:r>
        <w:rPr>
          <w:rFonts w:ascii="Times New Roman" w:hAnsi="Times New Roman"/>
          <w:noProof/>
          <w:sz w:val="24"/>
          <w:szCs w:val="24"/>
        </w:rPr>
        <w:t xml:space="preserve"> gyventojų skaičius paprastai mažėja.</w:t>
      </w:r>
    </w:p>
    <w:p w:rsidR="00394061" w:rsidRDefault="00743783">
      <w:pPr>
        <w:jc w:val="both"/>
        <w:rPr>
          <w:rFonts w:ascii="Times New Roman" w:hAnsi="Times New Roman" w:cs="Times New Roman"/>
          <w:noProof/>
          <w:sz w:val="24"/>
          <w:szCs w:val="24"/>
        </w:rPr>
      </w:pPr>
      <w:r>
        <w:rPr>
          <w:rFonts w:ascii="Times New Roman" w:hAnsi="Times New Roman"/>
          <w:b/>
          <w:noProof/>
          <w:sz w:val="24"/>
          <w:szCs w:val="24"/>
        </w:rPr>
        <w:t>ES miestų regionų padėtis</w:t>
      </w:r>
      <w:r>
        <w:rPr>
          <w:rFonts w:ascii="Times New Roman" w:hAnsi="Times New Roman"/>
          <w:b/>
          <w:noProof/>
          <w:sz w:val="24"/>
          <w:szCs w:val="24"/>
        </w:rPr>
        <w:t xml:space="preserve"> kitokia – per tą patį laikotarpį jų gyventojų skaičius išaugo 3,8 mln.</w:t>
      </w:r>
      <w:r>
        <w:rPr>
          <w:rFonts w:ascii="Times New Roman" w:hAnsi="Times New Roman"/>
          <w:noProof/>
          <w:sz w:val="24"/>
          <w:szCs w:val="24"/>
        </w:rPr>
        <w:t xml:space="preserve"> Tačiau Latvijoje ir Graikijoje jis sumažėjo atitinkamai 0,3 proc. ir 0,6 proc. 22 proc. miesto gyventojų gyvena regionuose, kuriuose 2014–2019 m. gyventojų skaičius mažėjo. Keturioliko</w:t>
      </w:r>
      <w:r>
        <w:rPr>
          <w:rFonts w:ascii="Times New Roman" w:hAnsi="Times New Roman"/>
          <w:noProof/>
          <w:sz w:val="24"/>
          <w:szCs w:val="24"/>
        </w:rPr>
        <w:t xml:space="preserve">je valstybių narių gyventojų skaičius išaugo visuose miestų regionuose. </w:t>
      </w:r>
    </w:p>
    <w:p w:rsidR="00394061" w:rsidRDefault="00394061">
      <w:pPr>
        <w:rPr>
          <w:rFonts w:ascii="Times New Roman" w:hAnsi="Times New Roman" w:cs="Times New Roman"/>
          <w:noProof/>
          <w:sz w:val="24"/>
          <w:szCs w:val="24"/>
        </w:rPr>
      </w:pPr>
    </w:p>
    <w:p w:rsidR="00394061" w:rsidRDefault="00743783">
      <w:pPr>
        <w:pStyle w:val="Heading3"/>
        <w:keepNext/>
        <w:rPr>
          <w:noProof/>
        </w:rPr>
      </w:pPr>
      <w:bookmarkStart w:id="59" w:name="_Toc32414447"/>
      <w:bookmarkStart w:id="60" w:name="_Toc32444158"/>
      <w:bookmarkStart w:id="61" w:name="_Toc33800409"/>
      <w:bookmarkStart w:id="62" w:name="_Toc35516332"/>
      <w:bookmarkStart w:id="63" w:name="_Toc36563277"/>
      <w:bookmarkStart w:id="64" w:name="_Toc43899493"/>
      <w:r>
        <w:rPr>
          <w:noProof/>
        </w:rPr>
        <w:t xml:space="preserve">3.4.1. </w:t>
      </w:r>
      <w:bookmarkEnd w:id="59"/>
      <w:bookmarkEnd w:id="60"/>
      <w:bookmarkEnd w:id="61"/>
      <w:bookmarkEnd w:id="62"/>
      <w:r>
        <w:rPr>
          <w:noProof/>
        </w:rPr>
        <w:t>GYVENIMO KOKYBĖ, INFRASTRUKTŪRA IR GALIMYBĖ NAUDOTIS PASLAUGOMIS</w:t>
      </w:r>
      <w:bookmarkEnd w:id="63"/>
      <w:bookmarkEnd w:id="64"/>
    </w:p>
    <w:p w:rsidR="00394061" w:rsidRDefault="00743783">
      <w:pPr>
        <w:keepLines/>
        <w:jc w:val="both"/>
        <w:rPr>
          <w:rFonts w:ascii="Times New Roman" w:hAnsi="Times New Roman" w:cs="Times New Roman"/>
          <w:noProof/>
          <w:sz w:val="24"/>
          <w:szCs w:val="24"/>
        </w:rPr>
      </w:pPr>
      <w:r>
        <w:rPr>
          <w:rFonts w:ascii="Times New Roman" w:hAnsi="Times New Roman"/>
          <w:noProof/>
          <w:sz w:val="24"/>
          <w:szCs w:val="24"/>
        </w:rPr>
        <w:t>Visoje Europoje siekiama teikti paslaugas ir užtikrinti infrastruktūrą savo gyventojų poreikiams tenkinti. Nep</w:t>
      </w:r>
      <w:r>
        <w:rPr>
          <w:rFonts w:ascii="Times New Roman" w:hAnsi="Times New Roman"/>
          <w:noProof/>
          <w:sz w:val="24"/>
          <w:szCs w:val="24"/>
        </w:rPr>
        <w:t xml:space="preserve">riklausomai nuo to, ar gyventojų skaičius auga, ar mažėja, reikia atitinkamai pritaikyti transporto, skaitmeninio sektoriaus, būsto, mokyklų, sveikatos ir ilgalaikės priežiūros bei socialinės integracijos paslaugas ir infrastruktūrą. </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 xml:space="preserve">Demografinių pokyčių </w:t>
      </w:r>
      <w:r>
        <w:rPr>
          <w:rFonts w:ascii="Times New Roman" w:hAnsi="Times New Roman"/>
          <w:noProof/>
          <w:sz w:val="24"/>
          <w:szCs w:val="24"/>
        </w:rPr>
        <w:t>poveikis konkrečiam regionui labai priklauso nuo gyventojų skaičiaus pokyčių tempo ir masto ir nuo to, ar regione pakanka priemonių susidoroti su šiais pokyčiais.</w:t>
      </w:r>
      <w:r>
        <w:rPr>
          <w:rFonts w:ascii="Times New Roman" w:hAnsi="Times New Roman"/>
          <w:b/>
          <w:noProof/>
          <w:sz w:val="24"/>
          <w:szCs w:val="24"/>
        </w:rPr>
        <w:t xml:space="preserve"> </w:t>
      </w:r>
      <w:r>
        <w:rPr>
          <w:rFonts w:ascii="Times New Roman" w:hAnsi="Times New Roman"/>
          <w:bCs/>
          <w:noProof/>
          <w:sz w:val="24"/>
          <w:szCs w:val="24"/>
        </w:rPr>
        <w:t>Daugumos regionų, kuriuose sparčiai auga gyventojų skaičius, BVP vienam gyventojui viršija ES</w:t>
      </w:r>
      <w:r>
        <w:rPr>
          <w:rFonts w:ascii="Times New Roman" w:hAnsi="Times New Roman"/>
          <w:bCs/>
          <w:noProof/>
          <w:sz w:val="24"/>
          <w:szCs w:val="24"/>
        </w:rPr>
        <w:t xml:space="preserve"> vidurkį, o regionų, kuriuose gyventojų skaičius sparčiai mažėja, BVP vienam gyventojui paprastai yra palyginti mažas. </w:t>
      </w:r>
      <w:r>
        <w:rPr>
          <w:rFonts w:ascii="Times New Roman" w:hAnsi="Times New Roman"/>
          <w:noProof/>
          <w:sz w:val="24"/>
          <w:szCs w:val="24"/>
        </w:rPr>
        <w:t>Sudėtingiausia padėtis yra regionuose, kuriuose gaunamos mažos pajamos ir sparčiai kinta gyventojų skaičius.</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31 mln. žmonių, t. y. 7 proc</w:t>
      </w:r>
      <w:r>
        <w:rPr>
          <w:rFonts w:ascii="Times New Roman" w:hAnsi="Times New Roman"/>
          <w:noProof/>
          <w:sz w:val="24"/>
          <w:szCs w:val="24"/>
        </w:rPr>
        <w:t xml:space="preserve">. ES gyventojų, gyvena regionuose, kurie susiduria su </w:t>
      </w:r>
      <w:r>
        <w:rPr>
          <w:rFonts w:ascii="Times New Roman" w:hAnsi="Times New Roman"/>
          <w:b/>
          <w:i/>
          <w:noProof/>
          <w:sz w:val="24"/>
          <w:szCs w:val="24"/>
        </w:rPr>
        <w:t>dvilype problema</w:t>
      </w:r>
      <w:r>
        <w:rPr>
          <w:rFonts w:ascii="Times New Roman" w:hAnsi="Times New Roman"/>
          <w:b/>
          <w:noProof/>
          <w:sz w:val="24"/>
          <w:szCs w:val="24"/>
        </w:rPr>
        <w:t xml:space="preserve"> – sparčiu gyventojų skaičiaus mažėjimu ir mažu BVP vienam gyventojui</w:t>
      </w:r>
      <w:r>
        <w:rPr>
          <w:rFonts w:ascii="Times New Roman" w:hAnsi="Times New Roman"/>
          <w:noProof/>
          <w:sz w:val="24"/>
          <w:szCs w:val="24"/>
        </w:rPr>
        <w:t>. Daugelis šių regionų yra Baltijos valstybėse, Bulgarijoje, Kroatijoje, Vengrijoje, Portugalijoje ir Rumunijoje. Tai</w:t>
      </w:r>
      <w:r>
        <w:rPr>
          <w:rFonts w:ascii="Times New Roman" w:hAnsi="Times New Roman"/>
          <w:noProof/>
          <w:sz w:val="24"/>
          <w:szCs w:val="24"/>
        </w:rPr>
        <w:t xml:space="preserve">p pat po kelis tokius regionus yra Graikijoje ir Ispanijoje, rytų Vokietijoje, Prancūzijoje ir Lenkijoje. </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Sprendžiant vietos ir regionų demografinių pokyčių poveikio problemą reikia atsakyti į klausimą, kodėl žmonės nori persikelti į regioną arba iš jo iš</w:t>
      </w:r>
      <w:r>
        <w:rPr>
          <w:rFonts w:ascii="Times New Roman" w:hAnsi="Times New Roman"/>
          <w:noProof/>
          <w:sz w:val="24"/>
          <w:szCs w:val="24"/>
        </w:rPr>
        <w:t>vykti. Atsakymas dažnai susijęs su užimtumo galimybėmis ir gyvenimo kokybe. Gyvenimo kokybei konkrečiame regione įtakos gali turėti įvairūs veiksniai: natūrali aplinka, galimybė naudotis paslaugomis (pvz., vaikų priežiūra, prieinamumas neįgaliesiems, kokyb</w:t>
      </w:r>
      <w:r>
        <w:rPr>
          <w:rFonts w:ascii="Times New Roman" w:hAnsi="Times New Roman"/>
          <w:noProof/>
          <w:sz w:val="24"/>
          <w:szCs w:val="24"/>
        </w:rPr>
        <w:t>iškas švietimas, sveikatos priežiūra, ilgalaikė priežiūra, būsto, laisvalaikio ir kultūros paslaugos) arba infrastruktūros prieinamumas ir kokybė (pvz., keliai, geležinkeliai, energijos tiekimas, prieiga prie interneto).</w:t>
      </w:r>
    </w:p>
    <w:p w:rsidR="00394061" w:rsidRDefault="00743783">
      <w:pPr>
        <w:jc w:val="both"/>
        <w:rPr>
          <w:rFonts w:ascii="Times New Roman" w:hAnsi="Times New Roman" w:cs="Times New Roman"/>
          <w:noProof/>
          <w:sz w:val="24"/>
          <w:szCs w:val="24"/>
        </w:rPr>
      </w:pPr>
      <w:r>
        <w:rPr>
          <w:rFonts w:ascii="Times New Roman" w:hAnsi="Times New Roman"/>
          <w:b/>
          <w:noProof/>
          <w:sz w:val="24"/>
          <w:szCs w:val="24"/>
        </w:rPr>
        <w:t>Prieinamumas ir junglumas taps svar</w:t>
      </w:r>
      <w:r>
        <w:rPr>
          <w:rFonts w:ascii="Times New Roman" w:hAnsi="Times New Roman"/>
          <w:b/>
          <w:noProof/>
          <w:sz w:val="24"/>
          <w:szCs w:val="24"/>
        </w:rPr>
        <w:t>besni regiono perspektyvoms</w:t>
      </w:r>
      <w:r>
        <w:rPr>
          <w:rFonts w:ascii="Times New Roman" w:hAnsi="Times New Roman"/>
          <w:noProof/>
          <w:sz w:val="24"/>
          <w:szCs w:val="24"/>
        </w:rPr>
        <w:t xml:space="preserve">. Šie veiksniai daro įtaką regiono ekonominėms perspektyvoms ir galimybėms pasiūlyti patrauklių darbo vietų. Europai pereinant prie žaliosios ekonomikos, švaraus, dažno, prieinamo ir įperkamo viešojo transporto poreikis taps vis </w:t>
      </w:r>
      <w:r>
        <w:rPr>
          <w:rFonts w:ascii="Times New Roman" w:hAnsi="Times New Roman"/>
          <w:noProof/>
          <w:sz w:val="24"/>
          <w:szCs w:val="24"/>
        </w:rPr>
        <w:t>svarbesnis regiono patrauklumo požymis. Europai populiarinant skaitmeninimą, žmonės tikisi aukštos kokybės prieigos prie naujos kartos plačiajuosčio ryšio. Naujos kartos plačiajuosčio ryšio prieiga gali padėti sumažinti miesto ir kaimo atotrūkį skaitmeninė</w:t>
      </w:r>
      <w:r>
        <w:rPr>
          <w:rFonts w:ascii="Times New Roman" w:hAnsi="Times New Roman"/>
          <w:noProof/>
          <w:sz w:val="24"/>
          <w:szCs w:val="24"/>
        </w:rPr>
        <w:t>je erdvėje.</w:t>
      </w:r>
    </w:p>
    <w:p w:rsidR="00394061" w:rsidRDefault="00743783">
      <w:pPr>
        <w:keepNext/>
        <w:jc w:val="center"/>
        <w:rPr>
          <w:rFonts w:ascii="Times New Roman" w:hAnsi="Times New Roman"/>
          <w:b/>
          <w:noProof/>
          <w:sz w:val="24"/>
          <w:szCs w:val="24"/>
        </w:rPr>
      </w:pPr>
      <w:r>
        <w:rPr>
          <w:rFonts w:ascii="Times New Roman" w:hAnsi="Times New Roman"/>
          <w:b/>
          <w:noProof/>
          <w:sz w:val="24"/>
          <w:szCs w:val="24"/>
        </w:rPr>
        <w:t>Naujos kartos plačiajuosčio ryšio prieigos aprėptis</w:t>
      </w:r>
    </w:p>
    <w:p w:rsidR="00394061" w:rsidRDefault="00743783">
      <w:pPr>
        <w:keepNext/>
        <w:jc w:val="center"/>
        <w:rPr>
          <w:rFonts w:ascii="Times New Roman" w:hAnsi="Times New Roman" w:cs="Times New Roman"/>
          <w:b/>
          <w:noProof/>
          <w:sz w:val="24"/>
          <w:szCs w:val="24"/>
        </w:rPr>
      </w:pPr>
      <w:r>
        <w:rPr>
          <w:noProof/>
          <w:lang w:val="fr-BE" w:eastAsia="fr-BE"/>
        </w:rPr>
        <w:drawing>
          <wp:inline distT="0" distB="0" distL="0" distR="0">
            <wp:extent cx="6260637" cy="2235942"/>
            <wp:effectExtent l="0" t="0" r="6985" b="12065"/>
            <wp:docPr id="6" name="Chart 6">
              <a:extLst xmlns:a="http://schemas.openxmlformats.org/drawingml/2006/main">
                <a:ext uri="{FF2B5EF4-FFF2-40B4-BE49-F238E27FC236}">
                  <a16:creationId xmlns:a16="http://schemas.microsoft.com/office/drawing/2014/main" id="{1E9417BF-8475-114D-87C6-9BDF30C240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94061" w:rsidRDefault="00394061">
      <w:pPr>
        <w:jc w:val="both"/>
        <w:rPr>
          <w:rFonts w:ascii="Times New Roman" w:hAnsi="Times New Roman" w:cs="Times New Roman"/>
          <w:noProof/>
          <w:sz w:val="24"/>
          <w:szCs w:val="24"/>
        </w:rPr>
      </w:pPr>
    </w:p>
    <w:p w:rsidR="00394061" w:rsidRDefault="00743783">
      <w:pPr>
        <w:jc w:val="both"/>
        <w:rPr>
          <w:rFonts w:ascii="Times New Roman" w:hAnsi="Times New Roman" w:cs="Times New Roman"/>
          <w:b/>
          <w:noProof/>
          <w:sz w:val="24"/>
          <w:szCs w:val="24"/>
        </w:rPr>
      </w:pPr>
      <w:r>
        <w:rPr>
          <w:rFonts w:ascii="Times New Roman" w:hAnsi="Times New Roman"/>
          <w:b/>
          <w:noProof/>
          <w:sz w:val="24"/>
          <w:szCs w:val="24"/>
        </w:rPr>
        <w:t>Investicijos į infrastruktūrą ir paslaugas, taip pat sanglaudos politikos įgyvendinimas yra esminės sprendimo dedamosios</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Infrastruktūrai būdingi įvairūs aspektai, įskaitant galimybę naudotis skaitmeninėmis paslaugomis (prieigą prie informacinių ir ryšių technologijų ir 5G ryšio aprėptį), švietimo ir sveikatos priežiūros paslaugomis, taip pat laisvalaikio ir kultūros pasiūla.</w:t>
      </w:r>
      <w:r>
        <w:rPr>
          <w:rFonts w:ascii="Times New Roman" w:hAnsi="Times New Roman"/>
          <w:noProof/>
          <w:sz w:val="24"/>
          <w:szCs w:val="24"/>
        </w:rPr>
        <w:t xml:space="preserve"> </w:t>
      </w:r>
    </w:p>
    <w:p w:rsidR="00394061" w:rsidRDefault="00743783">
      <w:pPr>
        <w:keepNext/>
        <w:jc w:val="center"/>
        <w:rPr>
          <w:rFonts w:ascii="Times New Roman" w:hAnsi="Times New Roman"/>
          <w:b/>
          <w:noProof/>
          <w:sz w:val="24"/>
          <w:szCs w:val="24"/>
        </w:rPr>
      </w:pPr>
      <w:r>
        <w:rPr>
          <w:rFonts w:ascii="Times New Roman" w:hAnsi="Times New Roman"/>
          <w:b/>
          <w:noProof/>
          <w:sz w:val="24"/>
          <w:szCs w:val="24"/>
        </w:rPr>
        <w:t>Prieinamumas geležinkeliu (optimalus kelionės laikas) pagal regionus</w:t>
      </w:r>
      <w:r>
        <w:rPr>
          <w:rFonts w:ascii="Times New Roman" w:hAnsi="Times New Roman" w:cs="Times New Roman"/>
          <w:b/>
          <w:noProof/>
          <w:sz w:val="24"/>
          <w:szCs w:val="24"/>
          <w:vertAlign w:val="superscript"/>
        </w:rPr>
        <w:footnoteReference w:id="51"/>
      </w:r>
      <w:r>
        <w:rPr>
          <w:rFonts w:ascii="Times New Roman" w:hAnsi="Times New Roman"/>
          <w:b/>
          <w:noProof/>
          <w:sz w:val="24"/>
          <w:szCs w:val="24"/>
        </w:rPr>
        <w:t>, 2014 m.</w:t>
      </w:r>
    </w:p>
    <w:p w:rsidR="00394061" w:rsidRDefault="00743783">
      <w:pPr>
        <w:keepNext/>
        <w:jc w:val="center"/>
        <w:rPr>
          <w:rFonts w:ascii="Times New Roman" w:hAnsi="Times New Roman" w:cs="Times New Roman"/>
          <w:noProof/>
          <w:sz w:val="24"/>
          <w:szCs w:val="24"/>
        </w:rPr>
      </w:pPr>
      <w:r>
        <w:rPr>
          <w:rFonts w:ascii="Times New Roman" w:hAnsi="Times New Roman"/>
          <w:noProof/>
          <w:sz w:val="24"/>
          <w:szCs w:val="24"/>
        </w:rPr>
        <w:t>(prieinamumas geležinkeliu per 1 val. 30 min. kelionę (tūkst. gyventojų): prieinamumas naudojant optimalų kelionės variantą, kurį galima pasirinkti populiariausiomis ryto ir v</w:t>
      </w:r>
      <w:r>
        <w:rPr>
          <w:rFonts w:ascii="Times New Roman" w:hAnsi="Times New Roman"/>
          <w:noProof/>
          <w:sz w:val="24"/>
          <w:szCs w:val="24"/>
        </w:rPr>
        <w:t>akaro valandomis)</w:t>
      </w:r>
    </w:p>
    <w:p w:rsidR="00394061" w:rsidRDefault="00743783">
      <w:pPr>
        <w:jc w:val="center"/>
        <w:rPr>
          <w:rFonts w:ascii="Times New Roman" w:hAnsi="Times New Roman" w:cs="Times New Roman"/>
          <w:noProof/>
          <w:sz w:val="24"/>
          <w:szCs w:val="24"/>
        </w:rPr>
      </w:pPr>
      <w:r>
        <w:rPr>
          <w:rFonts w:ascii="Times New Roman" w:hAnsi="Times New Roman"/>
          <w:noProof/>
          <w:sz w:val="24"/>
          <w:szCs w:val="24"/>
          <w:lang w:val="fr-BE" w:eastAsia="fr-BE"/>
        </w:rPr>
        <w:drawing>
          <wp:inline distT="0" distB="0" distL="0" distR="0">
            <wp:extent cx="5528603" cy="7399606"/>
            <wp:effectExtent l="0" t="0" r="0" b="0"/>
            <wp:docPr id="9" name="Picture 9" descr="Smulkesnis žemėlapio vaizdas&#10;&#10;Automatiškai generuojamas apraš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34509" cy="7407511"/>
                    </a:xfrm>
                    <a:prstGeom prst="rect">
                      <a:avLst/>
                    </a:prstGeom>
                    <a:noFill/>
                    <a:ln>
                      <a:noFill/>
                    </a:ln>
                  </pic:spPr>
                </pic:pic>
              </a:graphicData>
            </a:graphic>
          </wp:inline>
        </w:drawing>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Regioninėmis iniciatyvomis galima pagerinti gyvenimo kokybę, galimybes naudotis paslaugomis ir infrastruktūra ir spręsti gyventojų skaičiaus mažėjimo neigiamo poveikio problemą. Pavyzdžiui, vietos verslo aplinką galima pagerinti teikian</w:t>
      </w:r>
      <w:r>
        <w:rPr>
          <w:rFonts w:ascii="Times New Roman" w:hAnsi="Times New Roman"/>
          <w:noProof/>
          <w:sz w:val="24"/>
          <w:szCs w:val="24"/>
        </w:rPr>
        <w:t>t verslo rėmimo paslaugas, skatinant inovacijas ir mokslinius tyrimus. Bendruomenės inicijuota vietos plėtra gali patenkinti piliečių poreikius ir pagerinti vietos gyvenimo kokybę. Sparčiai suderinus kitą ilgalaikį ES biudžetą ir ekonomikos gaivinimo priem</w:t>
      </w:r>
      <w:r>
        <w:rPr>
          <w:rFonts w:ascii="Times New Roman" w:hAnsi="Times New Roman"/>
          <w:noProof/>
          <w:sz w:val="24"/>
          <w:szCs w:val="24"/>
        </w:rPr>
        <w:t>onę „Next Generation EU“</w:t>
      </w:r>
      <w:r>
        <w:rPr>
          <w:rStyle w:val="FootnoteReference"/>
          <w:rFonts w:ascii="Times New Roman" w:hAnsi="Times New Roman" w:cs="Times New Roman"/>
          <w:noProof/>
          <w:sz w:val="24"/>
          <w:szCs w:val="24"/>
        </w:rPr>
        <w:footnoteReference w:id="52"/>
      </w:r>
      <w:r>
        <w:rPr>
          <w:rFonts w:ascii="Times New Roman" w:hAnsi="Times New Roman"/>
          <w:noProof/>
          <w:sz w:val="24"/>
          <w:szCs w:val="24"/>
        </w:rPr>
        <w:t xml:space="preserve"> bus užtikrinta, kad ES fondai ir sanglaudos politikos programos galėtų atlikti svarbų vaidmenį remiant šį darbą. </w:t>
      </w:r>
    </w:p>
    <w:p w:rsidR="00394061" w:rsidRDefault="00743783">
      <w:pPr>
        <w:jc w:val="both"/>
        <w:rPr>
          <w:rFonts w:ascii="Times New Roman" w:hAnsi="Times New Roman" w:cs="Times New Roman"/>
          <w:noProof/>
          <w:sz w:val="24"/>
          <w:szCs w:val="24"/>
        </w:rPr>
      </w:pPr>
      <w:r>
        <w:rPr>
          <w:rFonts w:ascii="Times New Roman" w:hAnsi="Times New Roman"/>
          <w:b/>
          <w:noProof/>
          <w:sz w:val="24"/>
          <w:szCs w:val="24"/>
        </w:rPr>
        <w:t>Pagrindinis viešosios politikos klausimas – kaip parengti tvarius sprendimus.</w:t>
      </w:r>
      <w:r>
        <w:rPr>
          <w:rFonts w:ascii="Times New Roman" w:hAnsi="Times New Roman"/>
          <w:noProof/>
          <w:sz w:val="24"/>
          <w:szCs w:val="24"/>
        </w:rPr>
        <w:t xml:space="preserve"> Jau įrodyta, kad regionų ir vietos lyg</w:t>
      </w:r>
      <w:r>
        <w:rPr>
          <w:rFonts w:ascii="Times New Roman" w:hAnsi="Times New Roman"/>
          <w:noProof/>
          <w:sz w:val="24"/>
          <w:szCs w:val="24"/>
        </w:rPr>
        <w:t>meniu galima diegti inovacijas ir pažangiai valdyti demografinius pokyčius. Šios patirties panaudojimas bus labai svarbus dalijantis geriausios patirties pavyzdžiais ir plečiant novatoriškas idėjas, produktus ar paslaugas.</w:t>
      </w:r>
    </w:p>
    <w:p w:rsidR="00394061" w:rsidRDefault="00743783">
      <w:pPr>
        <w:jc w:val="both"/>
        <w:rPr>
          <w:rFonts w:ascii="Times New Roman" w:hAnsi="Times New Roman" w:cs="Times New Roman"/>
          <w:b/>
          <w:noProof/>
          <w:sz w:val="24"/>
          <w:szCs w:val="24"/>
        </w:rPr>
      </w:pPr>
      <w:r>
        <w:rPr>
          <w:rFonts w:ascii="Times New Roman" w:hAnsi="Times New Roman"/>
          <w:b/>
          <w:noProof/>
          <w:sz w:val="24"/>
          <w:szCs w:val="24"/>
        </w:rPr>
        <w:t>Bet koks politinis atsakas, kuriu</w:t>
      </w:r>
      <w:r>
        <w:rPr>
          <w:rFonts w:ascii="Times New Roman" w:hAnsi="Times New Roman"/>
          <w:b/>
          <w:noProof/>
          <w:sz w:val="24"/>
          <w:szCs w:val="24"/>
        </w:rPr>
        <w:t xml:space="preserve">o siekiama spręsti problemas regionų lygmeniu, turi būti grindžiamas vietos padėtimi. </w:t>
      </w:r>
      <w:r>
        <w:rPr>
          <w:rFonts w:ascii="Times New Roman" w:hAnsi="Times New Roman"/>
          <w:noProof/>
          <w:sz w:val="24"/>
          <w:szCs w:val="24"/>
        </w:rPr>
        <w:t>Tai svarbu todėl, kad padėtis kiekvienoje šalyje skiriasi, kai kuriose vietovėse yra didesnė kaimo ir miesto atskirtis, o kitose šalyse vyrauja priešingos tendencijos. 20</w:t>
      </w:r>
      <w:r>
        <w:rPr>
          <w:rFonts w:ascii="Times New Roman" w:hAnsi="Times New Roman"/>
          <w:noProof/>
          <w:sz w:val="24"/>
          <w:szCs w:val="24"/>
        </w:rPr>
        <w:t>18 m. gyventojų, kuriems gresia skurdas, dalis buvo ypač didelė daugelyje Vakarų Europos miestų, o rytinėje ir pietinėje ES dalyse – kaimo vietovėse.</w:t>
      </w:r>
      <w:r>
        <w:rPr>
          <w:rFonts w:ascii="Times New Roman" w:hAnsi="Times New Roman"/>
          <w:b/>
          <w:noProof/>
          <w:sz w:val="24"/>
          <w:szCs w:val="24"/>
        </w:rPr>
        <w:t xml:space="preserve"> </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 xml:space="preserve">Miestuose efektyviau naudojama energija, transportas ir žemė. Lengviau organizuoti ir prižiūrėti viešąją </w:t>
      </w:r>
      <w:r>
        <w:rPr>
          <w:rFonts w:ascii="Times New Roman" w:hAnsi="Times New Roman"/>
          <w:noProof/>
          <w:sz w:val="24"/>
          <w:szCs w:val="24"/>
        </w:rPr>
        <w:t>infrastruktūrą, pavyzdžiui, viešąjį transportą ar prieigą prie interneto, ir prieigą prie socialinių paslaugų, pavyzdžiui, priežiūros sektoriuje. Įgūdžių pasiūlos ir paklausos derinimas paprastai yra lengvesnis, todėl didėja našumas ir pajamos vienam gyven</w:t>
      </w:r>
      <w:r>
        <w:rPr>
          <w:rFonts w:ascii="Times New Roman" w:hAnsi="Times New Roman"/>
          <w:noProof/>
          <w:sz w:val="24"/>
          <w:szCs w:val="24"/>
        </w:rPr>
        <w:t>tojui. Miestuose yra daugiau galimybių gauti kokybišką išsilavinimą, be kita ko, todėl, kad juose yra daugiau aukštojo mokslo įstaigų, kurios gali prisidėti prie inovacijų kūrimo</w:t>
      </w:r>
      <w:r>
        <w:rPr>
          <w:rFonts w:ascii="Times New Roman" w:hAnsi="Times New Roman" w:cs="Times New Roman"/>
          <w:noProof/>
          <w:sz w:val="24"/>
          <w:szCs w:val="24"/>
          <w:vertAlign w:val="superscript"/>
        </w:rPr>
        <w:footnoteReference w:id="53"/>
      </w:r>
      <w:r>
        <w:rPr>
          <w:rFonts w:ascii="Times New Roman" w:hAnsi="Times New Roman"/>
          <w:noProof/>
          <w:sz w:val="24"/>
          <w:szCs w:val="24"/>
        </w:rPr>
        <w:t xml:space="preserve">. </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 xml:space="preserve">Kita vertus, </w:t>
      </w:r>
      <w:r>
        <w:rPr>
          <w:rFonts w:ascii="Times New Roman" w:hAnsi="Times New Roman"/>
          <w:b/>
          <w:noProof/>
          <w:sz w:val="24"/>
          <w:szCs w:val="24"/>
        </w:rPr>
        <w:t>didelis gyventojų prieaugis miestuose turi būti tinkamai vald</w:t>
      </w:r>
      <w:r>
        <w:rPr>
          <w:rFonts w:ascii="Times New Roman" w:hAnsi="Times New Roman"/>
          <w:b/>
          <w:noProof/>
          <w:sz w:val="24"/>
          <w:szCs w:val="24"/>
        </w:rPr>
        <w:t>omas, kad būtų išvengta tolesnio spūsčių, taršos ir būsto išlaidų didėjimo</w:t>
      </w:r>
      <w:r>
        <w:rPr>
          <w:rFonts w:ascii="Times New Roman" w:hAnsi="Times New Roman" w:cs="Times New Roman"/>
          <w:noProof/>
          <w:sz w:val="24"/>
          <w:szCs w:val="24"/>
          <w:vertAlign w:val="superscript"/>
        </w:rPr>
        <w:footnoteReference w:id="54"/>
      </w:r>
      <w:r>
        <w:rPr>
          <w:rFonts w:ascii="Times New Roman" w:hAnsi="Times New Roman"/>
          <w:noProof/>
          <w:sz w:val="24"/>
          <w:szCs w:val="24"/>
        </w:rPr>
        <w:t xml:space="preserve">. Spręsdami demografinių pokyčių klausimus, miestai taip pat turės pritaikyti savo paslaugas tokiose srityse kaip sveikatos priežiūra ir judumas, viešoji infrastruktūra, būstas, </w:t>
      </w:r>
      <w:r>
        <w:rPr>
          <w:rFonts w:ascii="Times New Roman" w:hAnsi="Times New Roman"/>
          <w:noProof/>
          <w:sz w:val="24"/>
          <w:szCs w:val="24"/>
        </w:rPr>
        <w:t>švietimas ir socialinė politika. Atsižvelgiant į tvirtą sąsają tarp senėjimo ir negalios, svarbu gerinti ir prieinamumą, visų pirma produktų, paslaugų ir infrastruktūros.</w:t>
      </w:r>
    </w:p>
    <w:p w:rsidR="00394061" w:rsidRDefault="00743783">
      <w:pPr>
        <w:jc w:val="both"/>
        <w:rPr>
          <w:rFonts w:ascii="Times New Roman" w:hAnsi="Times New Roman" w:cs="Times New Roman"/>
          <w:noProof/>
          <w:sz w:val="24"/>
          <w:szCs w:val="24"/>
        </w:rPr>
      </w:pPr>
      <w:r>
        <w:rPr>
          <w:rFonts w:ascii="Times New Roman" w:hAnsi="Times New Roman"/>
          <w:b/>
          <w:noProof/>
          <w:sz w:val="24"/>
          <w:szCs w:val="24"/>
        </w:rPr>
        <w:t>Kaimo vietovėse gausu žemės, jose mažesnės pragyvenimo išlaidos ir nedidelė oro tarša</w:t>
      </w:r>
      <w:r>
        <w:rPr>
          <w:rFonts w:ascii="Times New Roman" w:hAnsi="Times New Roman"/>
          <w:noProof/>
          <w:sz w:val="24"/>
          <w:szCs w:val="24"/>
        </w:rPr>
        <w:t>. Tačiau jos taip pat susiduria su tam tikrais sunkumais, visų pirma siekdamos užtikrinti geras galimybes naudotis viešosiomis ir privačiomis paslaugomis. Kaimo vietovėse, kuriose labai sumažėjo gyventojų skaičius, gali būti apleistų žemės plotų ir padidėt</w:t>
      </w:r>
      <w:r>
        <w:rPr>
          <w:rFonts w:ascii="Times New Roman" w:hAnsi="Times New Roman"/>
          <w:noProof/>
          <w:sz w:val="24"/>
          <w:szCs w:val="24"/>
        </w:rPr>
        <w:t>i miškų gaisrų rizika</w:t>
      </w:r>
      <w:r>
        <w:rPr>
          <w:rFonts w:ascii="Times New Roman" w:hAnsi="Times New Roman" w:cs="Times New Roman"/>
          <w:noProof/>
          <w:sz w:val="24"/>
          <w:szCs w:val="24"/>
          <w:vertAlign w:val="superscript"/>
        </w:rPr>
        <w:footnoteReference w:id="55"/>
      </w:r>
      <w:r>
        <w:rPr>
          <w:rFonts w:ascii="Times New Roman" w:hAnsi="Times New Roman"/>
          <w:noProof/>
          <w:sz w:val="24"/>
          <w:szCs w:val="24"/>
        </w:rPr>
        <w:t xml:space="preserve">, be to, į jas paprastai sunkiau pritraukti naujų investicijų. Viena iš susirūpinimą keliančių priežasčių – mažėjantis jaunųjų ūkininkų skaičius ir kartų atsinaujinimo poreikis. </w:t>
      </w:r>
    </w:p>
    <w:p w:rsidR="00394061" w:rsidRDefault="00743783">
      <w:pPr>
        <w:jc w:val="both"/>
        <w:rPr>
          <w:rFonts w:ascii="Times New Roman" w:hAnsi="Times New Roman" w:cs="Times New Roman"/>
          <w:noProof/>
          <w:sz w:val="24"/>
          <w:szCs w:val="24"/>
        </w:rPr>
      </w:pPr>
      <w:r>
        <w:rPr>
          <w:rFonts w:ascii="Times New Roman" w:hAnsi="Times New Roman"/>
          <w:bCs/>
          <w:noProof/>
          <w:sz w:val="24"/>
          <w:szCs w:val="24"/>
        </w:rPr>
        <w:t>Esminis kaimo vietovių klausimas – ar jos yra arti mies</w:t>
      </w:r>
      <w:r>
        <w:rPr>
          <w:rFonts w:ascii="Times New Roman" w:hAnsi="Times New Roman"/>
          <w:bCs/>
          <w:noProof/>
          <w:sz w:val="24"/>
          <w:szCs w:val="24"/>
        </w:rPr>
        <w:t xml:space="preserve">to, ar toli nuo funkcinės miesto zonos. </w:t>
      </w:r>
      <w:r>
        <w:rPr>
          <w:rFonts w:ascii="Times New Roman" w:hAnsi="Times New Roman"/>
          <w:noProof/>
          <w:sz w:val="24"/>
          <w:szCs w:val="24"/>
        </w:rPr>
        <w:t>Netoli miesto esančios kaimo vietovės gali dažnai sąveikauti su tuo miestu. Žmonės gali dirbti mieste, bet gyventi už jo ribų, kasdien važinėdami į darbą ir atgal. Šiam modeliui keliami specialūs reikalavimai, pavyzd</w:t>
      </w:r>
      <w:r>
        <w:rPr>
          <w:rFonts w:ascii="Times New Roman" w:hAnsi="Times New Roman"/>
          <w:noProof/>
          <w:sz w:val="24"/>
          <w:szCs w:val="24"/>
        </w:rPr>
        <w:t>žiui, transportui. Užduotys gali būti konkrečiai paskirstytos, pavyzdžiui, miestas gali suteikti galimybę patekti į ligonines, taip pat ir netoliese esančioje kaimo vietovėje gyvenantiems žmonėms.</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Kita vertus, šalia kai kurių kaimo vietovių nėra didelių mi</w:t>
      </w:r>
      <w:r>
        <w:rPr>
          <w:rFonts w:ascii="Times New Roman" w:hAnsi="Times New Roman"/>
          <w:noProof/>
          <w:sz w:val="24"/>
          <w:szCs w:val="24"/>
        </w:rPr>
        <w:t>estų. Šiuo atveju kaimo plėtrai kyla įvairių iššūkių, pavyzdžiui, pirminio sektoriaus ir susijusių vertės grandinių dominavimas</w:t>
      </w:r>
      <w:r>
        <w:rPr>
          <w:rFonts w:ascii="Times New Roman" w:hAnsi="Times New Roman" w:cs="Times New Roman"/>
          <w:noProof/>
          <w:sz w:val="24"/>
          <w:szCs w:val="24"/>
          <w:vertAlign w:val="superscript"/>
        </w:rPr>
        <w:footnoteReference w:id="56"/>
      </w:r>
      <w:r>
        <w:rPr>
          <w:rFonts w:ascii="Times New Roman" w:hAnsi="Times New Roman"/>
          <w:noProof/>
          <w:sz w:val="24"/>
          <w:szCs w:val="24"/>
        </w:rPr>
        <w:t xml:space="preserve"> arba mažesnis gyventojų skaičius ir ekonomikos augimas</w:t>
      </w:r>
      <w:r>
        <w:rPr>
          <w:rFonts w:ascii="Times New Roman" w:hAnsi="Times New Roman" w:cs="Times New Roman"/>
          <w:noProof/>
          <w:sz w:val="24"/>
          <w:szCs w:val="24"/>
          <w:vertAlign w:val="superscript"/>
        </w:rPr>
        <w:footnoteReference w:id="57"/>
      </w:r>
      <w:r>
        <w:rPr>
          <w:rFonts w:ascii="Times New Roman" w:hAnsi="Times New Roman"/>
          <w:noProof/>
          <w:sz w:val="24"/>
          <w:szCs w:val="24"/>
        </w:rPr>
        <w:t>. Ekonomikos nuosmukis konkrečiuose regionuose yra ne tik iššūkis terito</w:t>
      </w:r>
      <w:r>
        <w:rPr>
          <w:rFonts w:ascii="Times New Roman" w:hAnsi="Times New Roman"/>
          <w:noProof/>
          <w:sz w:val="24"/>
          <w:szCs w:val="24"/>
        </w:rPr>
        <w:t xml:space="preserve">rinei sanglaudai – jis taip pat gali lemti nepasitenkinimo geografiją. Jeigu žmonės pasijustų palikti nuošalyje, jie gali prarasti pasitikėjimą mūsų ekonomikos sąžiningumu ir demokratinėmis institucijomis. </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 xml:space="preserve">Visi šie ir kiti klausimai bus nagrinėjami </w:t>
      </w:r>
      <w:r>
        <w:rPr>
          <w:rFonts w:ascii="Times New Roman" w:hAnsi="Times New Roman"/>
          <w:b/>
          <w:noProof/>
          <w:sz w:val="24"/>
          <w:szCs w:val="24"/>
        </w:rPr>
        <w:t>Komisi</w:t>
      </w:r>
      <w:r>
        <w:rPr>
          <w:rFonts w:ascii="Times New Roman" w:hAnsi="Times New Roman"/>
          <w:b/>
          <w:noProof/>
          <w:sz w:val="24"/>
          <w:szCs w:val="24"/>
        </w:rPr>
        <w:t>jos ilgalaikėje kaimo vietovių vizijoje</w:t>
      </w:r>
      <w:r>
        <w:rPr>
          <w:rFonts w:ascii="Times New Roman" w:hAnsi="Times New Roman"/>
          <w:noProof/>
          <w:sz w:val="24"/>
          <w:szCs w:val="24"/>
        </w:rPr>
        <w:t>, kuri bus pateikta kitais metais po plataus masto viešų konsultacijų ir atsižvelgus į įvairius aspektus, išryškėjusius COVID-19 pandemijos metu.</w:t>
      </w:r>
    </w:p>
    <w:p w:rsidR="00394061" w:rsidRDefault="00743783">
      <w:pPr>
        <w:pStyle w:val="Heading2"/>
        <w:keepNext/>
        <w:rPr>
          <w:noProof/>
        </w:rPr>
      </w:pPr>
      <w:bookmarkStart w:id="65" w:name="_Toc43899494"/>
      <w:r>
        <w:rPr>
          <w:noProof/>
        </w:rPr>
        <w:t>4.</w:t>
      </w:r>
      <w:r>
        <w:rPr>
          <w:noProof/>
        </w:rPr>
        <w:tab/>
        <w:t>DVEJOPA PERTVARKA IR DEMOGRAFINIAI POKYČIAI</w:t>
      </w:r>
      <w:bookmarkEnd w:id="65"/>
    </w:p>
    <w:p w:rsidR="00394061" w:rsidRDefault="00743783">
      <w:pPr>
        <w:keepLines/>
        <w:jc w:val="both"/>
        <w:rPr>
          <w:rFonts w:ascii="Times New Roman" w:hAnsi="Times New Roman" w:cs="Times New Roman"/>
          <w:noProof/>
          <w:sz w:val="24"/>
          <w:szCs w:val="24"/>
        </w:rPr>
      </w:pPr>
      <w:r>
        <w:rPr>
          <w:rFonts w:ascii="Times New Roman" w:hAnsi="Times New Roman"/>
          <w:b/>
          <w:noProof/>
          <w:sz w:val="24"/>
          <w:szCs w:val="24"/>
        </w:rPr>
        <w:t>Demografiniai pokyčiai i</w:t>
      </w:r>
      <w:r>
        <w:rPr>
          <w:rFonts w:ascii="Times New Roman" w:hAnsi="Times New Roman"/>
          <w:b/>
          <w:noProof/>
          <w:sz w:val="24"/>
          <w:szCs w:val="24"/>
        </w:rPr>
        <w:t xml:space="preserve">r dvejopas perėjimas prie žaliosios ir skaitmeninės ekonomikos dažnai vienas kitą paveiks arba paspartins. </w:t>
      </w:r>
      <w:r>
        <w:rPr>
          <w:rFonts w:ascii="Times New Roman" w:hAnsi="Times New Roman"/>
          <w:noProof/>
          <w:sz w:val="24"/>
          <w:szCs w:val="24"/>
        </w:rPr>
        <w:t>Strateginis prognozavimas gali būti svarbi priemonė siekiant nustatyti ir numatyti problemas, kurios paveiks abi pertvarkas, ir geriau parengti polit</w:t>
      </w:r>
      <w:r>
        <w:rPr>
          <w:rFonts w:ascii="Times New Roman" w:hAnsi="Times New Roman"/>
          <w:noProof/>
          <w:sz w:val="24"/>
          <w:szCs w:val="24"/>
        </w:rPr>
        <w:t xml:space="preserve">iką, kad jos būtų sprendžiamos bendrai. </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Tikėtina, kad pasaulio mastu demografinių pokyčių sukeltą spaudimą dar labiau padidins klimato kaitos ir aplinkos būklės blogėjimo poveikis. Įprasti veiksmai reikštų, kad artimiausiais dešimtmečiais vienu metu labai</w:t>
      </w:r>
      <w:r>
        <w:rPr>
          <w:rFonts w:ascii="Times New Roman" w:hAnsi="Times New Roman"/>
          <w:noProof/>
          <w:sz w:val="24"/>
          <w:szCs w:val="24"/>
        </w:rPr>
        <w:t xml:space="preserve"> padidėtų pasaulinis maisto, energijos ir vandens poreikis: iki 2050 m. 60 proc. padidėtų maisto, 50 proc. energijos ir 40 proc. vandens poreikis</w:t>
      </w:r>
      <w:r>
        <w:rPr>
          <w:rFonts w:ascii="Times New Roman" w:hAnsi="Times New Roman" w:cs="Times New Roman"/>
          <w:noProof/>
          <w:sz w:val="24"/>
          <w:szCs w:val="24"/>
          <w:vertAlign w:val="superscript"/>
        </w:rPr>
        <w:footnoteReference w:id="58"/>
      </w:r>
      <w:r>
        <w:rPr>
          <w:rFonts w:ascii="Times New Roman" w:hAnsi="Times New Roman"/>
          <w:noProof/>
          <w:sz w:val="24"/>
          <w:szCs w:val="24"/>
        </w:rPr>
        <w:t xml:space="preserve">. </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Europos žaliojo kurso strategijoje ir Klimato teisės akte</w:t>
      </w:r>
      <w:r>
        <w:rPr>
          <w:rStyle w:val="FootnoteReference"/>
          <w:rFonts w:ascii="Times New Roman" w:hAnsi="Times New Roman" w:cs="Times New Roman"/>
          <w:noProof/>
          <w:sz w:val="24"/>
          <w:szCs w:val="24"/>
        </w:rPr>
        <w:footnoteReference w:id="59"/>
      </w:r>
      <w:r>
        <w:rPr>
          <w:rFonts w:ascii="Times New Roman" w:hAnsi="Times New Roman"/>
          <w:noProof/>
          <w:sz w:val="24"/>
          <w:szCs w:val="24"/>
        </w:rPr>
        <w:t xml:space="preserve"> nustatyta, kad Europa vienu metu pereis prie pov</w:t>
      </w:r>
      <w:r>
        <w:rPr>
          <w:rFonts w:ascii="Times New Roman" w:hAnsi="Times New Roman"/>
          <w:noProof/>
          <w:sz w:val="24"/>
          <w:szCs w:val="24"/>
        </w:rPr>
        <w:t>eikį klimatui neutralizuojančios ir efektyvaus išteklių naudojimo ekonomikos. Taip padidės švarios energijos, tvaraus ir išmaniojo judumo poreikis, bus skatinamas perėjimas prie žiedinės ekonomikos ir bus svarbus veiksnys mūsų biologinės įvairovės apsaugos</w:t>
      </w:r>
      <w:r>
        <w:rPr>
          <w:rFonts w:ascii="Times New Roman" w:hAnsi="Times New Roman"/>
          <w:noProof/>
          <w:sz w:val="24"/>
          <w:szCs w:val="24"/>
        </w:rPr>
        <w:t xml:space="preserve"> ir atkūrimo srityje. Neseniai dėl COVID-19 pandemijos įvestos izoliavimo priemonės parodė, kaip žaliosios miesto erdvės svarbios mūsų fizinei ir psichinei gerovei. Daugelis Europos miestų taip pat ėmėsi veiksmų, kad per pandemiją aktyvus judumas, pavyzdži</w:t>
      </w:r>
      <w:r>
        <w:rPr>
          <w:rFonts w:ascii="Times New Roman" w:hAnsi="Times New Roman"/>
          <w:noProof/>
          <w:sz w:val="24"/>
          <w:szCs w:val="24"/>
        </w:rPr>
        <w:t>ui, pasivaikščiojimas ir važiavimas dviračiu, taptų saugesne ir patrauklesne galimybe. Siekdama palengvinti šį darbą, 2021 m. Komisija pagal naująjį „Žaliojo miesto susitarimą“ su miestais ir merais įsteigs ES miestų žalinimo platformą.</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Miestams vis labiau</w:t>
      </w:r>
      <w:r>
        <w:rPr>
          <w:rFonts w:ascii="Times New Roman" w:hAnsi="Times New Roman"/>
          <w:noProof/>
          <w:sz w:val="24"/>
          <w:szCs w:val="24"/>
        </w:rPr>
        <w:t xml:space="preserve"> augant, miestų teritorijose ir toliau turi būti kuriamos žaliosios miesto erdvės, kurios taip pat gali veikti kaip absorbentai ir padėti pašalinti iš atmosferos išmetamus teršalus. Daugelis šių klausimų sprendžiami įgyvendinant </w:t>
      </w:r>
      <w:r>
        <w:rPr>
          <w:rFonts w:ascii="Times New Roman" w:hAnsi="Times New Roman"/>
          <w:b/>
          <w:noProof/>
          <w:sz w:val="24"/>
          <w:szCs w:val="24"/>
        </w:rPr>
        <w:t>ES žiedinės ekonomikos veik</w:t>
      </w:r>
      <w:r>
        <w:rPr>
          <w:rFonts w:ascii="Times New Roman" w:hAnsi="Times New Roman"/>
          <w:b/>
          <w:noProof/>
          <w:sz w:val="24"/>
          <w:szCs w:val="24"/>
        </w:rPr>
        <w:t>smų planą</w:t>
      </w:r>
      <w:r>
        <w:rPr>
          <w:rFonts w:ascii="Times New Roman" w:hAnsi="Times New Roman"/>
          <w:noProof/>
          <w:sz w:val="24"/>
          <w:szCs w:val="24"/>
        </w:rPr>
        <w:t xml:space="preserve">, taip pat </w:t>
      </w:r>
      <w:r>
        <w:rPr>
          <w:rFonts w:ascii="Times New Roman" w:hAnsi="Times New Roman"/>
          <w:b/>
          <w:noProof/>
          <w:sz w:val="24"/>
          <w:szCs w:val="24"/>
        </w:rPr>
        <w:t>ES biologinės įvairovės strategijoje</w:t>
      </w:r>
      <w:r>
        <w:rPr>
          <w:rFonts w:ascii="Times New Roman" w:hAnsi="Times New Roman"/>
          <w:noProof/>
          <w:sz w:val="24"/>
          <w:szCs w:val="24"/>
        </w:rPr>
        <w:t xml:space="preserve"> ir </w:t>
      </w:r>
      <w:r>
        <w:rPr>
          <w:rFonts w:ascii="Times New Roman" w:hAnsi="Times New Roman"/>
          <w:b/>
          <w:noProof/>
          <w:sz w:val="24"/>
          <w:szCs w:val="24"/>
        </w:rPr>
        <w:t>strategijoje „Nuo ūkio iki stalo“</w:t>
      </w:r>
      <w:r>
        <w:rPr>
          <w:rFonts w:ascii="Times New Roman" w:hAnsi="Times New Roman"/>
          <w:noProof/>
          <w:sz w:val="24"/>
          <w:szCs w:val="24"/>
        </w:rPr>
        <w:t xml:space="preserve"> bei </w:t>
      </w:r>
      <w:r>
        <w:rPr>
          <w:rFonts w:ascii="Times New Roman" w:hAnsi="Times New Roman"/>
          <w:b/>
          <w:noProof/>
          <w:sz w:val="24"/>
          <w:szCs w:val="24"/>
        </w:rPr>
        <w:t>būsimoje peržiūrėtoje ES prisitaikymo prie klimato kaitos strategijoje</w:t>
      </w:r>
      <w:r>
        <w:rPr>
          <w:rFonts w:ascii="Times New Roman" w:hAnsi="Times New Roman"/>
          <w:noProof/>
          <w:sz w:val="24"/>
          <w:szCs w:val="24"/>
        </w:rPr>
        <w:t xml:space="preserve">. </w:t>
      </w:r>
    </w:p>
    <w:p w:rsidR="00394061" w:rsidRDefault="00743783">
      <w:pPr>
        <w:jc w:val="both"/>
        <w:rPr>
          <w:rFonts w:ascii="Times New Roman" w:hAnsi="Times New Roman" w:cs="Times New Roman"/>
          <w:b/>
          <w:noProof/>
          <w:sz w:val="24"/>
          <w:szCs w:val="24"/>
        </w:rPr>
      </w:pPr>
      <w:r>
        <w:rPr>
          <w:rFonts w:ascii="Times New Roman" w:hAnsi="Times New Roman"/>
          <w:b/>
          <w:noProof/>
          <w:sz w:val="24"/>
          <w:szCs w:val="24"/>
        </w:rPr>
        <w:t xml:space="preserve">Numatoma, kad klimato kaita ir biologinės įvairovės nykimas turės reikšmingos įtakos </w:t>
      </w:r>
      <w:r>
        <w:rPr>
          <w:rFonts w:ascii="Times New Roman" w:hAnsi="Times New Roman"/>
          <w:b/>
          <w:noProof/>
          <w:sz w:val="24"/>
          <w:szCs w:val="24"/>
        </w:rPr>
        <w:t>migracijos modeliams</w:t>
      </w:r>
      <w:r>
        <w:rPr>
          <w:rFonts w:ascii="Times New Roman" w:hAnsi="Times New Roman"/>
          <w:noProof/>
          <w:sz w:val="24"/>
          <w:szCs w:val="24"/>
        </w:rPr>
        <w:t>. Taip yra todėl, kad aplinkos pokyčiai, kaip antai dykumėjimas, vandenynų rūgštėjimas ir pakrančių erozija, daro tiesioginį poveikį žmonių pragyvenimo šaltiniams ir gebėjimui išgyventi jų kilmės vietose</w:t>
      </w:r>
      <w:r>
        <w:rPr>
          <w:rFonts w:ascii="Times New Roman" w:hAnsi="Times New Roman" w:cs="Times New Roman"/>
          <w:noProof/>
          <w:sz w:val="24"/>
          <w:szCs w:val="24"/>
          <w:vertAlign w:val="superscript"/>
        </w:rPr>
        <w:footnoteReference w:id="60"/>
      </w:r>
      <w:r>
        <w:rPr>
          <w:rFonts w:ascii="Times New Roman" w:hAnsi="Times New Roman"/>
          <w:noProof/>
          <w:sz w:val="24"/>
          <w:szCs w:val="24"/>
        </w:rPr>
        <w:t>. Prognozuojama, kad ši tendenci</w:t>
      </w:r>
      <w:r>
        <w:rPr>
          <w:rFonts w:ascii="Times New Roman" w:hAnsi="Times New Roman"/>
          <w:noProof/>
          <w:sz w:val="24"/>
          <w:szCs w:val="24"/>
        </w:rPr>
        <w:t>ja tęsis tik jei klimato kaitos poveikis taps akivaizdesnis. Pasaulio banko duomenimis, iki 2050 m. maždaug 143 mln. žmonių Užsachario Afrikoje, Pietų Azijoje ir Lotynų Amerikoje galėtų būti priverstinai perkelti savo šalyse, jei nebus imtasi veiksmų klima</w:t>
      </w:r>
      <w:r>
        <w:rPr>
          <w:rFonts w:ascii="Times New Roman" w:hAnsi="Times New Roman"/>
          <w:noProof/>
          <w:sz w:val="24"/>
          <w:szCs w:val="24"/>
        </w:rPr>
        <w:t>to kaitos srityje</w:t>
      </w:r>
      <w:r>
        <w:rPr>
          <w:rFonts w:ascii="Times New Roman" w:hAnsi="Times New Roman" w:cs="Times New Roman"/>
          <w:noProof/>
          <w:sz w:val="24"/>
          <w:szCs w:val="24"/>
          <w:vertAlign w:val="superscript"/>
        </w:rPr>
        <w:footnoteReference w:id="61"/>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 xml:space="preserve">Todėl Europa turi tapti pasauline lydere klimato ir aplinkos apsaugos priemonių srityje, visų pirma įgyvendindama Europos žaliąjį kursą ir propaguodama Žaliojo kurso diplomatiją visose politikos srityse ir partnerystėse. </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Skaitmeninė re</w:t>
      </w:r>
      <w:r>
        <w:rPr>
          <w:rFonts w:ascii="Times New Roman" w:hAnsi="Times New Roman"/>
          <w:noProof/>
          <w:sz w:val="24"/>
          <w:szCs w:val="24"/>
        </w:rPr>
        <w:t>voliucija ir sparti interneto sklaida jau pakeitė žmonių gyvenimą ir įpročius. Skaitmeninimas gali padidinti našumą ir ekonomikos augimą, tačiau dėl nevienodos prieigos prie interneto atsiranda skaitmeninė atskirtis, kuri tampa svarbiu nelygybės aspektu. B</w:t>
      </w:r>
      <w:r>
        <w:rPr>
          <w:rFonts w:ascii="Times New Roman" w:hAnsi="Times New Roman"/>
          <w:noProof/>
          <w:sz w:val="24"/>
          <w:szCs w:val="24"/>
        </w:rPr>
        <w:t>e to, ši atskirtis gali dar labiau padidėti dėl skaitmeninių įgūdžių trūkumo, didelių įgūdžių lygio skirtumų tarp šalių ir regionų ir nepakankamo prieinamumo.</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Dabartinė krizė parodė, kad perėjimas prie skaitmeninių technologijų turi kuo greičiau tapti realybe visiems: visoje Europoje taikant socialinių kontaktų ribojimo priemones, daug žmonių turėjo dirbti namuose arba naudotis internetu ar mobiliosiomis program</w:t>
      </w:r>
      <w:r>
        <w:rPr>
          <w:rFonts w:ascii="Times New Roman" w:hAnsi="Times New Roman"/>
          <w:noProof/>
          <w:sz w:val="24"/>
          <w:szCs w:val="24"/>
        </w:rPr>
        <w:t xml:space="preserve">ėlėmis, kad galėtų bendrauti su šeima ir draugais. Prieiga prie patikimo ir spartaus interneto ir galimybė naudotis skaitmeninėmis priemonėmis yra dar svarbesnė įmonėms, darbuotojams ir savarankiškai dirbantiems asmenims.  </w:t>
      </w:r>
    </w:p>
    <w:p w:rsidR="00394061" w:rsidRDefault="00743783">
      <w:pPr>
        <w:pStyle w:val="Heading2"/>
        <w:keepNext/>
        <w:rPr>
          <w:noProof/>
        </w:rPr>
      </w:pPr>
      <w:bookmarkStart w:id="66" w:name="_Toc33643888"/>
      <w:bookmarkStart w:id="67" w:name="_Toc33800411"/>
      <w:bookmarkStart w:id="68" w:name="_Toc36563279"/>
      <w:bookmarkStart w:id="69" w:name="_Toc43899495"/>
      <w:bookmarkStart w:id="70" w:name="_Toc32414448"/>
      <w:bookmarkEnd w:id="66"/>
      <w:r>
        <w:rPr>
          <w:noProof/>
        </w:rPr>
        <w:t xml:space="preserve">5. </w:t>
      </w:r>
      <w:r>
        <w:rPr>
          <w:noProof/>
        </w:rPr>
        <w:tab/>
        <w:t>DEMOGRAFIJOS GEOPOLITIKA. EU</w:t>
      </w:r>
      <w:r>
        <w:rPr>
          <w:noProof/>
        </w:rPr>
        <w:t>ROPA PASAULYJE</w:t>
      </w:r>
      <w:bookmarkEnd w:id="67"/>
      <w:bookmarkEnd w:id="68"/>
      <w:bookmarkEnd w:id="69"/>
    </w:p>
    <w:bookmarkEnd w:id="70"/>
    <w:p w:rsidR="00394061" w:rsidRDefault="00743783">
      <w:pPr>
        <w:keepLines/>
        <w:jc w:val="both"/>
        <w:rPr>
          <w:rFonts w:ascii="Times New Roman" w:hAnsi="Times New Roman" w:cs="Times New Roman"/>
          <w:noProof/>
          <w:sz w:val="24"/>
          <w:szCs w:val="24"/>
        </w:rPr>
      </w:pPr>
      <w:r>
        <w:rPr>
          <w:rFonts w:ascii="Times New Roman" w:hAnsi="Times New Roman"/>
          <w:noProof/>
          <w:sz w:val="24"/>
          <w:szCs w:val="24"/>
        </w:rPr>
        <w:t>Demografiniai pokyčiai taip pat turi įtakos Europos geopolitinėms perspektyvoms ir padėčiai pasaulyje. Gyventojų skaičius ir ekonomikos dydis vaidina svarbų vaidmenį pasaulio galios struktūrose. Kadangi Europos valstybės, palyginti su kitomi</w:t>
      </w:r>
      <w:r>
        <w:rPr>
          <w:rFonts w:ascii="Times New Roman" w:hAnsi="Times New Roman"/>
          <w:noProof/>
          <w:sz w:val="24"/>
          <w:szCs w:val="24"/>
        </w:rPr>
        <w:t>s besiformuojančios rinkos ekonomikos šalimis, yra mažesnės ir turi mažiau ekonominių galių, būtinybė Europos Sąjungai pasinaudoti visa savo kolektyvine įtaka yra svarbesnė nei bet kada. Kita vertus, pandemijos metu įsitikinome, kad virusas nepaiso sienų i</w:t>
      </w:r>
      <w:r>
        <w:rPr>
          <w:rFonts w:ascii="Times New Roman" w:hAnsi="Times New Roman"/>
          <w:noProof/>
          <w:sz w:val="24"/>
          <w:szCs w:val="24"/>
        </w:rPr>
        <w:t xml:space="preserve">r sukelia problemų, kurios yra bendros daugeliui pasaulio vietų. </w:t>
      </w:r>
    </w:p>
    <w:p w:rsidR="00394061" w:rsidRDefault="00743783">
      <w:pPr>
        <w:jc w:val="both"/>
        <w:rPr>
          <w:rFonts w:ascii="Times New Roman" w:hAnsi="Times New Roman" w:cs="Times New Roman"/>
          <w:noProof/>
          <w:sz w:val="24"/>
          <w:szCs w:val="24"/>
        </w:rPr>
      </w:pPr>
      <w:r>
        <w:rPr>
          <w:rFonts w:ascii="Times New Roman" w:hAnsi="Times New Roman"/>
          <w:b/>
          <w:noProof/>
          <w:sz w:val="24"/>
          <w:szCs w:val="24"/>
        </w:rPr>
        <w:t>Europos gyventojų dalis pasaulyje mažėja</w:t>
      </w:r>
      <w:r>
        <w:rPr>
          <w:rFonts w:ascii="Times New Roman" w:hAnsi="Times New Roman"/>
          <w:noProof/>
          <w:sz w:val="24"/>
          <w:szCs w:val="24"/>
        </w:rPr>
        <w:t>. 1960 m. 27-ių ES valstybių narių gyventojai sudarė apie 12 proc. pasaulio gyventojų. Šiandien šis rodiklis siekia apie 6 proc. ir prognozuojama, kad</w:t>
      </w:r>
      <w:r>
        <w:rPr>
          <w:rFonts w:ascii="Times New Roman" w:hAnsi="Times New Roman"/>
          <w:noProof/>
          <w:sz w:val="24"/>
          <w:szCs w:val="24"/>
        </w:rPr>
        <w:t xml:space="preserve"> iki 2070 m. jis sumažės iki mažiau nei 4 proc. Kitas svarbus pokytis – didėjanti Afrikos gyventojų dalis pasaulyje: prognozuojama, kad ji padidės nuo 9 proc. iki 32 proc., o Azijos gyventojų dalis šiek tiek sumažės</w:t>
      </w:r>
      <w:r>
        <w:rPr>
          <w:rFonts w:ascii="Times New Roman" w:hAnsi="Times New Roman" w:cs="Times New Roman"/>
          <w:noProof/>
          <w:sz w:val="24"/>
          <w:szCs w:val="24"/>
          <w:vertAlign w:val="superscript"/>
        </w:rPr>
        <w:footnoteReference w:id="62"/>
      </w:r>
      <w:r>
        <w:rPr>
          <w:rFonts w:ascii="Times New Roman" w:hAnsi="Times New Roman"/>
          <w:noProof/>
          <w:sz w:val="24"/>
          <w:szCs w:val="24"/>
        </w:rPr>
        <w:t>.</w:t>
      </w:r>
    </w:p>
    <w:p w:rsidR="00394061" w:rsidRDefault="00743783">
      <w:pPr>
        <w:keepNext/>
        <w:ind w:firstLine="720"/>
        <w:jc w:val="center"/>
        <w:rPr>
          <w:rFonts w:ascii="Times New Roman" w:hAnsi="Times New Roman"/>
          <w:b/>
          <w:bCs/>
          <w:noProof/>
          <w:sz w:val="24"/>
          <w:szCs w:val="24"/>
        </w:rPr>
      </w:pPr>
      <w:r>
        <w:rPr>
          <w:b/>
          <w:bCs/>
          <w:noProof/>
        </w:rPr>
        <w:t>Pasaulio gyventojų skaičius žemynuose</w:t>
      </w:r>
      <w:r>
        <w:rPr>
          <w:rFonts w:ascii="Times New Roman" w:hAnsi="Times New Roman"/>
          <w:b/>
          <w:bCs/>
          <w:noProof/>
          <w:sz w:val="24"/>
          <w:szCs w:val="24"/>
        </w:rPr>
        <w:t>,</w:t>
      </w:r>
      <w:r>
        <w:rPr>
          <w:rFonts w:ascii="Times New Roman" w:hAnsi="Times New Roman"/>
          <w:b/>
          <w:bCs/>
          <w:noProof/>
          <w:sz w:val="24"/>
          <w:szCs w:val="24"/>
        </w:rPr>
        <w:t xml:space="preserve"> 1960–2070 m.</w:t>
      </w:r>
      <w:r>
        <w:rPr>
          <w:rFonts w:ascii="Times New Roman" w:hAnsi="Times New Roman"/>
          <w:b/>
          <w:bCs/>
          <w:noProof/>
          <w:sz w:val="24"/>
          <w:szCs w:val="24"/>
        </w:rPr>
        <w:cr/>
      </w:r>
    </w:p>
    <w:p w:rsidR="00394061" w:rsidRDefault="00743783">
      <w:pPr>
        <w:keepNext/>
        <w:ind w:firstLine="720"/>
        <w:jc w:val="center"/>
        <w:rPr>
          <w:rFonts w:ascii="Times New Roman" w:hAnsi="Times New Roman" w:cs="Times New Roman"/>
          <w:b/>
          <w:noProof/>
          <w:sz w:val="24"/>
          <w:szCs w:val="24"/>
        </w:rPr>
      </w:pPr>
      <w:r>
        <w:rPr>
          <w:noProof/>
          <w:lang w:val="fr-BE" w:eastAsia="fr-BE"/>
        </w:rPr>
        <w:drawing>
          <wp:inline distT="0" distB="0" distL="0" distR="0">
            <wp:extent cx="6192520" cy="425259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92520" cy="4252595"/>
                    </a:xfrm>
                    <a:prstGeom prst="rect">
                      <a:avLst/>
                    </a:prstGeom>
                  </pic:spPr>
                </pic:pic>
              </a:graphicData>
            </a:graphic>
          </wp:inline>
        </w:drawing>
      </w:r>
      <w:r>
        <w:rPr>
          <w:rFonts w:ascii="Times New Roman" w:hAnsi="Times New Roman"/>
          <w:b/>
          <w:bCs/>
          <w:noProof/>
          <w:sz w:val="24"/>
          <w:szCs w:val="24"/>
        </w:rPr>
        <w:br/>
      </w:r>
    </w:p>
    <w:p w:rsidR="00394061" w:rsidRDefault="00743783">
      <w:pPr>
        <w:jc w:val="both"/>
        <w:rPr>
          <w:rFonts w:ascii="Times New Roman" w:hAnsi="Times New Roman" w:cs="Times New Roman"/>
          <w:i/>
          <w:noProof/>
          <w:sz w:val="24"/>
          <w:szCs w:val="24"/>
        </w:rPr>
      </w:pPr>
      <w:r>
        <w:rPr>
          <w:rFonts w:ascii="Times New Roman" w:hAnsi="Times New Roman"/>
          <w:i/>
          <w:noProof/>
          <w:sz w:val="24"/>
          <w:szCs w:val="24"/>
        </w:rPr>
        <w:t xml:space="preserve">Šaltinis: Jungtinių Tautų ekonomikos ir socialinių reikalų departamento gyventojų skyrius, 2019 m. </w:t>
      </w:r>
    </w:p>
    <w:p w:rsidR="00394061" w:rsidRDefault="00743783">
      <w:pPr>
        <w:jc w:val="both"/>
        <w:rPr>
          <w:rFonts w:ascii="Times New Roman" w:hAnsi="Times New Roman" w:cs="Times New Roman"/>
          <w:b/>
          <w:noProof/>
          <w:sz w:val="24"/>
          <w:szCs w:val="24"/>
        </w:rPr>
      </w:pPr>
      <w:r>
        <w:rPr>
          <w:rFonts w:ascii="Times New Roman" w:hAnsi="Times New Roman"/>
          <w:b/>
          <w:noProof/>
          <w:sz w:val="24"/>
          <w:szCs w:val="24"/>
        </w:rPr>
        <w:t xml:space="preserve">Europa yra ne vienintelis senėjantis žemynas, bet jis seniausias skaičiuojant pagal vidurkį. </w:t>
      </w:r>
      <w:r>
        <w:rPr>
          <w:rFonts w:ascii="Times New Roman" w:hAnsi="Times New Roman"/>
          <w:noProof/>
          <w:sz w:val="24"/>
          <w:szCs w:val="24"/>
        </w:rPr>
        <w:t>Lyginant tendencijas Europoje su kitomis pasaulio dalimis, akivaizdu, kad kituose žemynuose vyksta panašus senėjimo procesas, nors, palyginti su Europa, jis yra lėtesnis. Remiantis prognozėmis, vidutinis amžius Afrikoje ilgainiui taip pat didės, tačiau tik</w:t>
      </w:r>
      <w:r>
        <w:rPr>
          <w:rFonts w:ascii="Times New Roman" w:hAnsi="Times New Roman"/>
          <w:noProof/>
          <w:sz w:val="24"/>
          <w:szCs w:val="24"/>
        </w:rPr>
        <w:t xml:space="preserve">imasi, kad nuo dabar iki 2070 m. Afrika išliks jauniausiu žemynu. </w:t>
      </w:r>
    </w:p>
    <w:p w:rsidR="00394061" w:rsidRDefault="00743783">
      <w:pPr>
        <w:keepNext/>
        <w:jc w:val="center"/>
        <w:rPr>
          <w:rFonts w:ascii="Times New Roman" w:hAnsi="Times New Roman"/>
          <w:b/>
          <w:noProof/>
          <w:sz w:val="24"/>
          <w:szCs w:val="24"/>
        </w:rPr>
      </w:pPr>
      <w:r>
        <w:rPr>
          <w:rFonts w:ascii="Times New Roman" w:hAnsi="Times New Roman"/>
          <w:b/>
          <w:noProof/>
          <w:sz w:val="24"/>
          <w:szCs w:val="24"/>
        </w:rPr>
        <w:t>Pasaulio gyventojų amžiaus mediana pagal žemyną, 1960–2070 m.</w:t>
      </w:r>
    </w:p>
    <w:p w:rsidR="00394061" w:rsidRDefault="00743783">
      <w:pPr>
        <w:keepNext/>
        <w:jc w:val="center"/>
        <w:rPr>
          <w:rFonts w:ascii="Times New Roman" w:hAnsi="Times New Roman"/>
          <w:b/>
          <w:noProof/>
          <w:sz w:val="24"/>
          <w:szCs w:val="24"/>
        </w:rPr>
      </w:pPr>
      <w:r>
        <w:rPr>
          <w:noProof/>
          <w:lang w:val="fr-BE" w:eastAsia="fr-BE"/>
        </w:rPr>
        <w:drawing>
          <wp:inline distT="0" distB="0" distL="0" distR="0">
            <wp:extent cx="6192520" cy="3766820"/>
            <wp:effectExtent l="0" t="0" r="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92520" cy="3766820"/>
                    </a:xfrm>
                    <a:prstGeom prst="rect">
                      <a:avLst/>
                    </a:prstGeom>
                  </pic:spPr>
                </pic:pic>
              </a:graphicData>
            </a:graphic>
          </wp:inline>
        </w:drawing>
      </w:r>
    </w:p>
    <w:p w:rsidR="00394061" w:rsidRDefault="00394061">
      <w:pPr>
        <w:jc w:val="center"/>
        <w:rPr>
          <w:rFonts w:ascii="Times New Roman" w:hAnsi="Times New Roman" w:cs="Times New Roman"/>
          <w:noProof/>
          <w:sz w:val="24"/>
          <w:szCs w:val="24"/>
        </w:rPr>
      </w:pPr>
    </w:p>
    <w:p w:rsidR="00394061" w:rsidRDefault="00743783">
      <w:pPr>
        <w:jc w:val="both"/>
        <w:rPr>
          <w:rFonts w:ascii="Times New Roman" w:hAnsi="Times New Roman" w:cs="Times New Roman"/>
          <w:i/>
          <w:noProof/>
          <w:sz w:val="24"/>
          <w:szCs w:val="24"/>
        </w:rPr>
      </w:pPr>
      <w:r>
        <w:rPr>
          <w:rFonts w:ascii="Times New Roman" w:hAnsi="Times New Roman"/>
          <w:i/>
          <w:noProof/>
          <w:sz w:val="24"/>
          <w:szCs w:val="24"/>
        </w:rPr>
        <w:t>Šaltinis: Jungtinių Tautų ekonomikos ir socialinių reikalų departamento gyventojų skyrius, 2019 m.</w:t>
      </w:r>
    </w:p>
    <w:p w:rsidR="00394061" w:rsidRDefault="00743783">
      <w:pPr>
        <w:jc w:val="both"/>
        <w:rPr>
          <w:rFonts w:ascii="Times New Roman" w:hAnsi="Times New Roman" w:cs="Times New Roman"/>
          <w:iCs/>
          <w:noProof/>
          <w:sz w:val="24"/>
          <w:szCs w:val="24"/>
        </w:rPr>
      </w:pPr>
      <w:r>
        <w:rPr>
          <w:rFonts w:ascii="Times New Roman" w:hAnsi="Times New Roman"/>
          <w:b/>
          <w:noProof/>
          <w:sz w:val="24"/>
          <w:szCs w:val="24"/>
        </w:rPr>
        <w:t xml:space="preserve">Europos dalis pasaulio </w:t>
      </w:r>
      <w:r>
        <w:rPr>
          <w:rFonts w:ascii="Times New Roman" w:hAnsi="Times New Roman"/>
          <w:b/>
          <w:noProof/>
          <w:sz w:val="24"/>
          <w:szCs w:val="24"/>
        </w:rPr>
        <w:t>BVP taip pat mažėja.</w:t>
      </w:r>
      <w:r>
        <w:rPr>
          <w:rFonts w:ascii="Times New Roman" w:hAnsi="Times New Roman"/>
          <w:noProof/>
          <w:sz w:val="24"/>
          <w:szCs w:val="24"/>
        </w:rPr>
        <w:t xml:space="preserve"> </w:t>
      </w:r>
      <w:r>
        <w:rPr>
          <w:rFonts w:ascii="Times New Roman" w:hAnsi="Times New Roman"/>
          <w:iCs/>
          <w:noProof/>
          <w:sz w:val="24"/>
          <w:szCs w:val="24"/>
        </w:rPr>
        <w:t>2004 m. Europos BVP sudarė 18,3 proc. pasaulio BVP, o 2018 m. ji sumažėjo iki 14,3 proc.</w:t>
      </w:r>
      <w:r>
        <w:rPr>
          <w:rStyle w:val="FootnoteReference"/>
          <w:rFonts w:ascii="Times New Roman" w:hAnsi="Times New Roman" w:cs="Times New Roman"/>
          <w:iCs/>
          <w:noProof/>
          <w:sz w:val="24"/>
          <w:szCs w:val="24"/>
        </w:rPr>
        <w:footnoteReference w:id="63"/>
      </w:r>
      <w:r>
        <w:rPr>
          <w:rFonts w:ascii="Times New Roman" w:hAnsi="Times New Roman"/>
          <w:iCs/>
          <w:noProof/>
          <w:sz w:val="24"/>
          <w:szCs w:val="24"/>
        </w:rPr>
        <w:t>. Mažėjant darbingo amžiaus gyventojų skaičiui kyla pavojus, kad ši tendencija tęsis ar net paspartės. Valstybės narės taps mažiau įtakingais ekon</w:t>
      </w:r>
      <w:r>
        <w:rPr>
          <w:rFonts w:ascii="Times New Roman" w:hAnsi="Times New Roman"/>
          <w:iCs/>
          <w:noProof/>
          <w:sz w:val="24"/>
          <w:szCs w:val="24"/>
        </w:rPr>
        <w:t>ominės veiklos vykdytojais, tačiau visa ES ir toliau bus svarbi ekonominė, politinė ir diplomatinė veikėja.</w:t>
      </w:r>
      <w:r>
        <w:rPr>
          <w:noProof/>
        </w:rPr>
        <w:t xml:space="preserve"> </w:t>
      </w:r>
    </w:p>
    <w:p w:rsidR="00394061" w:rsidRDefault="00743783">
      <w:pPr>
        <w:jc w:val="both"/>
        <w:rPr>
          <w:rFonts w:ascii="Times New Roman" w:hAnsi="Times New Roman" w:cs="Times New Roman"/>
          <w:iCs/>
          <w:noProof/>
          <w:sz w:val="24"/>
          <w:szCs w:val="24"/>
        </w:rPr>
      </w:pPr>
      <w:r>
        <w:rPr>
          <w:rFonts w:ascii="Times New Roman" w:hAnsi="Times New Roman"/>
          <w:iCs/>
          <w:noProof/>
          <w:sz w:val="24"/>
          <w:szCs w:val="24"/>
        </w:rPr>
        <w:t>Europa turės mąstyti, veikti ir reikštis tvirtai, vieningai ir strategiškai. Turėsime stiprinti esamus partnerystės ryšius ir kurti naujus, visų pi</w:t>
      </w:r>
      <w:r>
        <w:rPr>
          <w:rFonts w:ascii="Times New Roman" w:hAnsi="Times New Roman"/>
          <w:iCs/>
          <w:noProof/>
          <w:sz w:val="24"/>
          <w:szCs w:val="24"/>
        </w:rPr>
        <w:t xml:space="preserve">rma su artimiausiais partneriais ir kaimynais. Naujoji </w:t>
      </w:r>
      <w:r>
        <w:rPr>
          <w:rFonts w:ascii="Times New Roman" w:hAnsi="Times New Roman"/>
          <w:b/>
          <w:iCs/>
          <w:noProof/>
          <w:sz w:val="24"/>
          <w:szCs w:val="24"/>
        </w:rPr>
        <w:t>Visapusiška strategija su Afrika</w:t>
      </w:r>
      <w:r>
        <w:rPr>
          <w:rStyle w:val="FootnoteReference"/>
          <w:rFonts w:ascii="Times New Roman" w:hAnsi="Times New Roman" w:cs="Times New Roman"/>
          <w:b/>
          <w:iCs/>
          <w:noProof/>
          <w:sz w:val="24"/>
          <w:szCs w:val="24"/>
        </w:rPr>
        <w:footnoteReference w:id="64"/>
      </w:r>
      <w:r>
        <w:rPr>
          <w:rFonts w:ascii="Times New Roman" w:hAnsi="Times New Roman"/>
          <w:iCs/>
          <w:noProof/>
          <w:sz w:val="24"/>
          <w:szCs w:val="24"/>
        </w:rPr>
        <w:t xml:space="preserve"> yra ypač svarbi atsižvelgiant į papildomus demografinius iššūkius, su kuriais susidurs abu žemynai. Bus dar svarbiau palaikyti taisyklėmis grindžiamą pasaulinę tvarką </w:t>
      </w:r>
      <w:r>
        <w:rPr>
          <w:rFonts w:ascii="Times New Roman" w:hAnsi="Times New Roman"/>
          <w:iCs/>
          <w:noProof/>
          <w:sz w:val="24"/>
          <w:szCs w:val="24"/>
        </w:rPr>
        <w:t xml:space="preserve">ir jos institucijas, pavyzdžiui, Jungtines Tautas ar Pasaulio prekybos organizaciją, ir aktyviau dalyvauti tarptautinėse struktūrose. </w:t>
      </w:r>
    </w:p>
    <w:p w:rsidR="00394061" w:rsidRDefault="00743783">
      <w:pPr>
        <w:pStyle w:val="Heading2"/>
        <w:rPr>
          <w:noProof/>
        </w:rPr>
      </w:pPr>
      <w:bookmarkStart w:id="71" w:name="_Toc32414449"/>
      <w:bookmarkStart w:id="72" w:name="_Toc32444050"/>
      <w:bookmarkStart w:id="73" w:name="_Toc32444159"/>
      <w:bookmarkStart w:id="74" w:name="_Toc33800413"/>
      <w:bookmarkStart w:id="75" w:name="_Toc36563280"/>
      <w:r>
        <w:rPr>
          <w:noProof/>
        </w:rPr>
        <w:br w:type="page"/>
      </w:r>
    </w:p>
    <w:p w:rsidR="00394061" w:rsidRDefault="00743783">
      <w:pPr>
        <w:pStyle w:val="Heading2"/>
        <w:rPr>
          <w:noProof/>
        </w:rPr>
      </w:pPr>
      <w:bookmarkStart w:id="76" w:name="_Toc43899496"/>
      <w:r>
        <w:rPr>
          <w:noProof/>
        </w:rPr>
        <w:t>IŠVADOS IR PERSPEKTYVOS</w:t>
      </w:r>
      <w:bookmarkEnd w:id="71"/>
      <w:bookmarkEnd w:id="72"/>
      <w:bookmarkEnd w:id="73"/>
      <w:bookmarkEnd w:id="74"/>
      <w:bookmarkEnd w:id="75"/>
      <w:bookmarkEnd w:id="76"/>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 xml:space="preserve">Šiuo ypatingų sunkumų ir netikrumo laikotarpiu visų europiečių labui Europos Sąjunga, jos </w:t>
      </w:r>
      <w:r>
        <w:rPr>
          <w:rFonts w:ascii="Times New Roman" w:hAnsi="Times New Roman"/>
          <w:noProof/>
          <w:sz w:val="24"/>
          <w:szCs w:val="24"/>
        </w:rPr>
        <w:t>valstybės narės ir jų regionai yra bendrai suinteresuoti reaguoti į demografinių pokyčių poveikį.</w:t>
      </w:r>
      <w:r>
        <w:rPr>
          <w:rFonts w:ascii="Times New Roman" w:hAnsi="Times New Roman"/>
          <w:b/>
          <w:noProof/>
          <w:sz w:val="24"/>
          <w:szCs w:val="24"/>
        </w:rPr>
        <w:t xml:space="preserve"> </w:t>
      </w:r>
      <w:r>
        <w:rPr>
          <w:rFonts w:ascii="Times New Roman" w:hAnsi="Times New Roman"/>
          <w:noProof/>
          <w:sz w:val="24"/>
          <w:szCs w:val="24"/>
        </w:rPr>
        <w:t>Tokios reagavimo priemonės sudaro Europos ekonomikos gaivinimo ir atsparesnės, tvaresnės ir teisingesnės Sąjungos kūrimo planą. Tolesni veiksmai priklauso nuo</w:t>
      </w:r>
      <w:r>
        <w:rPr>
          <w:rFonts w:ascii="Times New Roman" w:hAnsi="Times New Roman"/>
          <w:noProof/>
          <w:sz w:val="24"/>
          <w:szCs w:val="24"/>
        </w:rPr>
        <w:t xml:space="preserve"> keleto strateginių klausimų, pvz., kaip skatinti inovacijas ir našumą; kaip į darbo rinką įtraukti daugiau žmonių; kaip modernizuoti sveikatos priežiūros sistemas, socialinę apsaugą ir socialines paslaugas ir kaip mažinti teritorinius skirtumus.</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Atsižvelg</w:t>
      </w:r>
      <w:r>
        <w:rPr>
          <w:rFonts w:ascii="Times New Roman" w:hAnsi="Times New Roman"/>
          <w:noProof/>
          <w:sz w:val="24"/>
          <w:szCs w:val="24"/>
        </w:rPr>
        <w:t xml:space="preserve">dama į tai ir remdamasi šios ataskaitos išvadomis, Komisija pateiks </w:t>
      </w:r>
      <w:r>
        <w:rPr>
          <w:rFonts w:ascii="Times New Roman" w:hAnsi="Times New Roman"/>
          <w:b/>
          <w:noProof/>
          <w:sz w:val="24"/>
          <w:szCs w:val="24"/>
        </w:rPr>
        <w:t>Žaliąją knygą dėl senėjimo</w:t>
      </w:r>
      <w:r>
        <w:rPr>
          <w:rFonts w:ascii="Times New Roman" w:hAnsi="Times New Roman"/>
          <w:noProof/>
          <w:sz w:val="24"/>
          <w:szCs w:val="24"/>
        </w:rPr>
        <w:t xml:space="preserve"> ir </w:t>
      </w:r>
      <w:r>
        <w:rPr>
          <w:rFonts w:ascii="Times New Roman" w:hAnsi="Times New Roman"/>
          <w:b/>
          <w:noProof/>
          <w:sz w:val="24"/>
          <w:szCs w:val="24"/>
        </w:rPr>
        <w:t>Ilgalaikę kaimo vietovių viziją</w:t>
      </w:r>
      <w:r>
        <w:rPr>
          <w:rFonts w:ascii="Times New Roman" w:hAnsi="Times New Roman"/>
          <w:noProof/>
          <w:sz w:val="24"/>
          <w:szCs w:val="24"/>
        </w:rPr>
        <w:t>. Komisija taip pat atidžiai išnagrinės kitus šioje ataskaitoje akcentuojamus klausimus, pavyzdžiui, vienišumo, socialinės izol</w:t>
      </w:r>
      <w:r>
        <w:rPr>
          <w:rFonts w:ascii="Times New Roman" w:hAnsi="Times New Roman"/>
          <w:noProof/>
          <w:sz w:val="24"/>
          <w:szCs w:val="24"/>
        </w:rPr>
        <w:t xml:space="preserve">iacijos, psichikos sveikatos, ekonominio atsparumo ir ilgalaikės sveikatos priežiūros problemas. </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 xml:space="preserve">Iš šios ataskaitos taip pat matyti, kad </w:t>
      </w:r>
      <w:r>
        <w:rPr>
          <w:rFonts w:ascii="Times New Roman" w:hAnsi="Times New Roman"/>
          <w:b/>
          <w:noProof/>
          <w:sz w:val="24"/>
          <w:szCs w:val="24"/>
        </w:rPr>
        <w:t>demografinius aspektus reikia įtraukti į įvairias ES politikos sritis</w:t>
      </w:r>
      <w:r>
        <w:rPr>
          <w:rFonts w:ascii="Times New Roman" w:hAnsi="Times New Roman"/>
          <w:noProof/>
          <w:sz w:val="24"/>
          <w:szCs w:val="24"/>
        </w:rPr>
        <w:t>. Komisija yra pasirengusi visapusiškai atlikti s</w:t>
      </w:r>
      <w:r>
        <w:rPr>
          <w:rFonts w:ascii="Times New Roman" w:hAnsi="Times New Roman"/>
          <w:noProof/>
          <w:sz w:val="24"/>
          <w:szCs w:val="24"/>
        </w:rPr>
        <w:t>avo vaidmenį, panaudodama visas turimas priemones, visų pirma pasitelkdama ilgalaikį ES biudžetą ir ekonomikos gaivinimo priemonę „Next Generation EU“. Atgaivinimo pastangomis bus remiama socialinė sanglauda, integracija ir įtrauktis, kaimo plėtra, švietim</w:t>
      </w:r>
      <w:r>
        <w:rPr>
          <w:rFonts w:ascii="Times New Roman" w:hAnsi="Times New Roman"/>
          <w:noProof/>
          <w:sz w:val="24"/>
          <w:szCs w:val="24"/>
        </w:rPr>
        <w:t>as ir mokymas. Prireikus bus remiamos struktūrinės reformos ir siekiama konkurencingo tvarumo, kuo geriau išnaudojant Europos semestro teikiamas galimybes.</w:t>
      </w:r>
      <w:r>
        <w:rPr>
          <w:rFonts w:ascii="Times New Roman" w:hAnsi="Times New Roman"/>
          <w:i/>
          <w:iCs/>
          <w:noProof/>
          <w:sz w:val="24"/>
          <w:szCs w:val="24"/>
        </w:rPr>
        <w:t xml:space="preserve"> </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 xml:space="preserve">Be to, akivaizdu, kad nėra vieno visiems tinkančio požiūrio. </w:t>
      </w:r>
      <w:r>
        <w:rPr>
          <w:rFonts w:ascii="Times New Roman" w:hAnsi="Times New Roman"/>
          <w:b/>
          <w:noProof/>
          <w:sz w:val="24"/>
          <w:szCs w:val="24"/>
        </w:rPr>
        <w:t>Formuojant politiką reikia įvertinti r</w:t>
      </w:r>
      <w:r>
        <w:rPr>
          <w:rFonts w:ascii="Times New Roman" w:hAnsi="Times New Roman"/>
          <w:b/>
          <w:noProof/>
          <w:sz w:val="24"/>
          <w:szCs w:val="24"/>
        </w:rPr>
        <w:t>ealią padėtį atskirose vietovėse ir mažinti regionų skirtumus</w:t>
      </w:r>
      <w:r>
        <w:rPr>
          <w:rFonts w:ascii="Times New Roman" w:hAnsi="Times New Roman"/>
          <w:noProof/>
          <w:sz w:val="24"/>
          <w:szCs w:val="24"/>
        </w:rPr>
        <w:t>.</w:t>
      </w:r>
      <w:r>
        <w:rPr>
          <w:rFonts w:ascii="Times New Roman" w:hAnsi="Times New Roman"/>
          <w:iCs/>
          <w:noProof/>
          <w:sz w:val="24"/>
          <w:szCs w:val="24"/>
        </w:rPr>
        <w:t xml:space="preserve"> </w:t>
      </w:r>
      <w:r>
        <w:rPr>
          <w:rFonts w:ascii="Times New Roman" w:hAnsi="Times New Roman"/>
          <w:noProof/>
          <w:sz w:val="24"/>
          <w:szCs w:val="24"/>
        </w:rPr>
        <w:t>Atsižvelgdama į tai, Komisija toliau skatins didėjančią konvergenciją, užtikrins teisingą pertvarką, socialinį teisingumą, lygias galimybes ir nediskriminavimą, visų pirma įgyvendindama Europos</w:t>
      </w:r>
      <w:r>
        <w:rPr>
          <w:rFonts w:ascii="Times New Roman" w:hAnsi="Times New Roman"/>
          <w:noProof/>
          <w:sz w:val="24"/>
          <w:szCs w:val="24"/>
        </w:rPr>
        <w:t xml:space="preserve"> socialinių teisių ramstį ir ES lyčių lygybės strategiją.</w:t>
      </w:r>
    </w:p>
    <w:p w:rsidR="00394061" w:rsidRDefault="00743783">
      <w:pPr>
        <w:jc w:val="both"/>
        <w:rPr>
          <w:rFonts w:ascii="Times New Roman" w:hAnsi="Times New Roman" w:cs="Times New Roman"/>
          <w:noProof/>
          <w:sz w:val="24"/>
          <w:szCs w:val="24"/>
        </w:rPr>
      </w:pPr>
      <w:r>
        <w:rPr>
          <w:rFonts w:ascii="Times New Roman" w:hAnsi="Times New Roman"/>
          <w:b/>
          <w:noProof/>
          <w:sz w:val="24"/>
          <w:szCs w:val="24"/>
        </w:rPr>
        <w:t>Būtina ryžtingai spręsti dvejopą demokratijos ir demografijos problemą</w:t>
      </w:r>
      <w:r>
        <w:rPr>
          <w:rFonts w:ascii="Times New Roman" w:hAnsi="Times New Roman"/>
          <w:noProof/>
          <w:sz w:val="24"/>
          <w:szCs w:val="24"/>
        </w:rPr>
        <w:t>. Kaip matyti iš per krizę išryškėjusių požymių, dėl demografinių pokyčių mūsų demokratijai gresia ir nauji iššūkiai, ir atsiran</w:t>
      </w:r>
      <w:r>
        <w:rPr>
          <w:rFonts w:ascii="Times New Roman" w:hAnsi="Times New Roman"/>
          <w:noProof/>
          <w:sz w:val="24"/>
          <w:szCs w:val="24"/>
        </w:rPr>
        <w:t>da naujų galimybių. Jei ši pertvarka bus gerai valdoma, ji padės užtikrinti, kad mūsų valdymo ir dalyvavimo sistemos būtų dinamiškos, atsparios, įtraukios ir atspindėtų visuomenės įvairovę. Turime šalinti pagrindines problemų priežastis ir vengti nepasiten</w:t>
      </w:r>
      <w:r>
        <w:rPr>
          <w:rFonts w:ascii="Times New Roman" w:hAnsi="Times New Roman"/>
          <w:noProof/>
          <w:sz w:val="24"/>
          <w:szCs w:val="24"/>
        </w:rPr>
        <w:t>kinimo geografijos</w:t>
      </w:r>
      <w:r>
        <w:rPr>
          <w:rFonts w:ascii="Times New Roman" w:hAnsi="Times New Roman" w:cs="Times New Roman"/>
          <w:noProof/>
          <w:sz w:val="24"/>
          <w:szCs w:val="24"/>
          <w:vertAlign w:val="superscript"/>
        </w:rPr>
        <w:footnoteReference w:id="65"/>
      </w:r>
      <w:r>
        <w:rPr>
          <w:rFonts w:ascii="Times New Roman" w:hAnsi="Times New Roman"/>
          <w:noProof/>
          <w:sz w:val="24"/>
          <w:szCs w:val="24"/>
        </w:rPr>
        <w:t>. Konferencija dėl Europos ateities bus pagrindinė priemonė klausytis, mokytis ir rasti sprendimų.</w:t>
      </w:r>
    </w:p>
    <w:p w:rsidR="00394061" w:rsidRDefault="00743783">
      <w:pPr>
        <w:jc w:val="both"/>
        <w:rPr>
          <w:rFonts w:ascii="Times New Roman" w:hAnsi="Times New Roman" w:cs="Times New Roman"/>
          <w:noProof/>
          <w:sz w:val="24"/>
          <w:szCs w:val="24"/>
        </w:rPr>
      </w:pPr>
      <w:r>
        <w:rPr>
          <w:rFonts w:ascii="Times New Roman" w:hAnsi="Times New Roman"/>
          <w:noProof/>
          <w:sz w:val="24"/>
          <w:szCs w:val="24"/>
        </w:rPr>
        <w:t xml:space="preserve">Nors dar per anksti daryti pagrįstas demografines išvadas dėl COVID-19 krizės, kartu su šia ataskaita sukurta speciali interneto svetainė </w:t>
      </w:r>
      <w:r>
        <w:rPr>
          <w:rFonts w:ascii="Times New Roman" w:hAnsi="Times New Roman"/>
          <w:noProof/>
          <w:sz w:val="24"/>
          <w:szCs w:val="24"/>
        </w:rPr>
        <w:t xml:space="preserve">padės analizuoti didelio masto palyginamus statistinius duomenis visoje Sąjungoje, kai tik jie bus gauti, siekiant suformuoti patikima informacija pagrįstus politinius svarstymus ir sprendimus. </w:t>
      </w:r>
    </w:p>
    <w:p w:rsidR="00394061" w:rsidRDefault="00743783">
      <w:pPr>
        <w:jc w:val="both"/>
        <w:rPr>
          <w:rFonts w:ascii="Times New Roman" w:hAnsi="Times New Roman" w:cs="Times New Roman"/>
          <w:noProof/>
          <w:sz w:val="24"/>
          <w:szCs w:val="24"/>
        </w:rPr>
      </w:pPr>
      <w:r>
        <w:rPr>
          <w:rFonts w:ascii="Times New Roman" w:hAnsi="Times New Roman"/>
          <w:b/>
          <w:noProof/>
          <w:sz w:val="24"/>
          <w:szCs w:val="24"/>
        </w:rPr>
        <w:t>Remdamasi šia ataskaita, Komisija užmegs dialogą su atitinkam</w:t>
      </w:r>
      <w:r>
        <w:rPr>
          <w:rFonts w:ascii="Times New Roman" w:hAnsi="Times New Roman"/>
          <w:b/>
          <w:noProof/>
          <w:sz w:val="24"/>
          <w:szCs w:val="24"/>
        </w:rPr>
        <w:t>ais suinteresuotaisiais subjektais</w:t>
      </w:r>
      <w:r>
        <w:rPr>
          <w:rFonts w:ascii="Times New Roman" w:hAnsi="Times New Roman"/>
          <w:noProof/>
          <w:sz w:val="24"/>
          <w:szCs w:val="24"/>
        </w:rPr>
        <w:t xml:space="preserve">, visų pirma regioniniu lygmeniu, ir diskutuos su valstybėmis narėmis, ES institucijomis ir įstaigomis, visų pirma su Europos ekonomikos ir socialinių reikalų komitetu ir Regionų komitetu. </w:t>
      </w:r>
    </w:p>
    <w:sectPr w:rsidR="00394061">
      <w:headerReference w:type="even" r:id="rId34"/>
      <w:headerReference w:type="default" r:id="rId35"/>
      <w:footerReference w:type="even" r:id="rId36"/>
      <w:footerReference w:type="default" r:id="rId37"/>
      <w:headerReference w:type="first" r:id="rId38"/>
      <w:footerReference w:type="first" r:id="rId39"/>
      <w:pgSz w:w="11906" w:h="16838"/>
      <w:pgMar w:top="1134" w:right="1077" w:bottom="1134" w:left="1077" w:header="601" w:footer="1077" w:gutter="0"/>
      <w:pgNumType w:start="1"/>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8089C2" w16cex:dateUtc="2020-06-02T06: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1A02FE5" w16cid:durableId="227FB791"/>
  <w16cid:commentId w16cid:paraId="411123E0" w16cid:durableId="227FB792"/>
  <w16cid:commentId w16cid:paraId="257A2B2C" w16cid:durableId="227FB793"/>
  <w16cid:commentId w16cid:paraId="57898443" w16cid:durableId="227FB794"/>
  <w16cid:commentId w16cid:paraId="5D2CCED8" w16cid:durableId="227FB795"/>
  <w16cid:commentId w16cid:paraId="620D67EF" w16cid:durableId="227FB796"/>
  <w16cid:commentId w16cid:paraId="42EDF6F3" w16cid:durableId="227FB797"/>
  <w16cid:commentId w16cid:paraId="6874AD6D" w16cid:durableId="227FB798"/>
  <w16cid:commentId w16cid:paraId="4F575F7B" w16cid:durableId="227FB799"/>
  <w16cid:commentId w16cid:paraId="1C90C26D" w16cid:durableId="227FB79A"/>
  <w16cid:commentId w16cid:paraId="5CA543DD" w16cid:durableId="227FB79B"/>
  <w16cid:commentId w16cid:paraId="6BBB7BB4" w16cid:durableId="227FB79C"/>
  <w16cid:commentId w16cid:paraId="0ED66ACB" w16cid:durableId="227FB79D"/>
  <w16cid:commentId w16cid:paraId="484979A1" w16cid:durableId="227FB79E"/>
  <w16cid:commentId w16cid:paraId="7BC42ADD" w16cid:durableId="227FB79F"/>
  <w16cid:commentId w16cid:paraId="65406D54" w16cid:durableId="227FB7A0"/>
  <w16cid:commentId w16cid:paraId="51CC4654" w16cid:durableId="228089C2"/>
  <w16cid:commentId w16cid:paraId="1F732F68" w16cid:durableId="227FB7A1"/>
  <w16cid:commentId w16cid:paraId="01EF31A1" w16cid:durableId="227FB7A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061" w:rsidRDefault="00743783">
      <w:pPr>
        <w:spacing w:after="0" w:line="240" w:lineRule="auto"/>
      </w:pPr>
      <w:r>
        <w:separator/>
      </w:r>
    </w:p>
  </w:endnote>
  <w:endnote w:type="continuationSeparator" w:id="0">
    <w:p w:rsidR="00394061" w:rsidRDefault="00743783">
      <w:pPr>
        <w:spacing w:after="0" w:line="240" w:lineRule="auto"/>
      </w:pPr>
      <w:r>
        <w:continuationSeparator/>
      </w:r>
    </w:p>
  </w:endnote>
  <w:endnote w:type="continuationNotice" w:id="1">
    <w:p w:rsidR="00394061" w:rsidRDefault="003940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panose1 w:val="02020803070505020304"/>
    <w:charset w:val="00"/>
    <w:family w:val="roman"/>
    <w:pitch w:val="variable"/>
    <w:sig w:usb0="00000000"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061" w:rsidRDefault="003940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061" w:rsidRDefault="00743783">
    <w:pPr>
      <w:pStyle w:val="FooterCoverPage"/>
      <w:rPr>
        <w:rFonts w:ascii="Arial" w:hAnsi="Arial" w:cs="Arial"/>
        <w:b/>
        <w:sz w:val="48"/>
      </w:rPr>
    </w:pPr>
    <w:r>
      <w:rPr>
        <w:rFonts w:ascii="Arial" w:hAnsi="Arial" w:cs="Arial"/>
        <w:b/>
        <w:sz w:val="48"/>
      </w:rPr>
      <w:t>LT</w:t>
    </w:r>
    <w:r>
      <w:rPr>
        <w:rFonts w:ascii="Arial" w:hAnsi="Arial" w:cs="Arial"/>
        <w:b/>
        <w:sz w:val="48"/>
      </w:rPr>
      <w:tab/>
    </w:r>
    <w:r>
      <w:rPr>
        <w:rFonts w:ascii="Arial" w:hAnsi="Arial" w:cs="Arial"/>
        <w:b/>
        <w:sz w:val="48"/>
      </w:rPr>
      <w:tab/>
    </w:r>
    <w:r>
      <w:tab/>
    </w:r>
    <w:r>
      <w:rPr>
        <w:rFonts w:ascii="Arial" w:hAnsi="Arial" w:cs="Arial"/>
        <w:b/>
        <w:sz w:val="48"/>
      </w:rPr>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061" w:rsidRDefault="0039406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061" w:rsidRDefault="00743783">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061" w:rsidRDefault="00743783">
    <w:pPr>
      <w:pStyle w:val="FooterLine"/>
      <w:jc w:val="center"/>
      <w:rPr>
        <w:sz w:val="20"/>
      </w:rPr>
    </w:pPr>
    <w:r>
      <w:rPr>
        <w:sz w:val="20"/>
      </w:rPr>
      <w:fldChar w:fldCharType="begin"/>
    </w:r>
    <w:r>
      <w:rPr>
        <w:sz w:val="20"/>
      </w:rPr>
      <w:instrText xml:space="preserve"> PAG</w:instrText>
    </w:r>
    <w:r>
      <w:rPr>
        <w:sz w:val="20"/>
      </w:rPr>
      <w:instrText xml:space="preserve">E   \* MERGEFORMAT </w:instrText>
    </w:r>
    <w:r>
      <w:rPr>
        <w:sz w:val="20"/>
      </w:rPr>
      <w:fldChar w:fldCharType="separate"/>
    </w:r>
    <w:r>
      <w:rPr>
        <w:noProof/>
        <w:sz w:val="20"/>
      </w:rPr>
      <w:t>2</w:t>
    </w:r>
    <w:r>
      <w:rPr>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117491"/>
      <w:docPartObj>
        <w:docPartGallery w:val="Page Numbers (Bottom of Page)"/>
        <w:docPartUnique/>
      </w:docPartObj>
    </w:sdtPr>
    <w:sdtEndPr>
      <w:rPr>
        <w:noProof/>
        <w:sz w:val="20"/>
        <w:szCs w:val="20"/>
      </w:rPr>
    </w:sdtEndPr>
    <w:sdtContent>
      <w:p w:rsidR="00394061" w:rsidRDefault="00743783">
        <w:pPr>
          <w:pStyle w:val="Footer"/>
          <w:jc w:val="center"/>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noProof/>
            <w:sz w:val="20"/>
            <w:szCs w:val="20"/>
          </w:rPr>
          <w:t>1</w:t>
        </w:r>
        <w:r>
          <w:rPr>
            <w:sz w:val="20"/>
            <w:szCs w:val="20"/>
          </w:rPr>
          <w:fldChar w:fldCharType="end"/>
        </w:r>
      </w:p>
    </w:sdtContent>
  </w:sdt>
  <w:p w:rsidR="00394061" w:rsidRDefault="00394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061" w:rsidRDefault="00743783">
      <w:pPr>
        <w:spacing w:after="0" w:line="240" w:lineRule="auto"/>
      </w:pPr>
      <w:r>
        <w:separator/>
      </w:r>
    </w:p>
  </w:footnote>
  <w:footnote w:type="continuationSeparator" w:id="0">
    <w:p w:rsidR="00394061" w:rsidRDefault="00743783">
      <w:pPr>
        <w:spacing w:after="0" w:line="240" w:lineRule="auto"/>
      </w:pPr>
      <w:r>
        <w:continuationSeparator/>
      </w:r>
    </w:p>
  </w:footnote>
  <w:footnote w:type="continuationNotice" w:id="1">
    <w:p w:rsidR="00394061" w:rsidRDefault="00394061">
      <w:pPr>
        <w:spacing w:after="0" w:line="240" w:lineRule="auto"/>
      </w:pPr>
    </w:p>
  </w:footnote>
  <w:footnote w:id="2">
    <w:p w:rsidR="00394061" w:rsidRDefault="00743783">
      <w:pPr>
        <w:pStyle w:val="FootnoteText"/>
      </w:pPr>
      <w:r>
        <w:rPr>
          <w:rStyle w:val="FootnoteReference"/>
        </w:rPr>
        <w:footnoteRef/>
      </w:r>
      <w:r>
        <w:t xml:space="preserve"> COM(2020) 456 </w:t>
      </w:r>
      <w:r>
        <w:rPr>
          <w:i/>
        </w:rPr>
        <w:t>final</w:t>
      </w:r>
      <w:r>
        <w:t>: „Proga Europai atsigauti ir paruošti dirvą naujai kartai“.</w:t>
      </w:r>
    </w:p>
  </w:footnote>
  <w:footnote w:id="3">
    <w:p w:rsidR="00394061" w:rsidRDefault="00743783">
      <w:pPr>
        <w:pStyle w:val="FootnoteText"/>
      </w:pPr>
      <w:r>
        <w:rPr>
          <w:rStyle w:val="FootnoteReference"/>
        </w:rPr>
        <w:footnoteRef/>
      </w:r>
      <w:r>
        <w:t xml:space="preserve">  Komisijos tarnybų darbiniame dokumente (SWD(2020) 109 </w:t>
      </w:r>
      <w:r>
        <w:rPr>
          <w:i/>
        </w:rPr>
        <w:t>final</w:t>
      </w:r>
      <w:r>
        <w:t xml:space="preserve">) pateikiama papildomų diagramų, žemėlapių ir </w:t>
      </w:r>
      <w:r>
        <w:t>lentelių.</w:t>
      </w:r>
    </w:p>
  </w:footnote>
  <w:footnote w:id="4">
    <w:p w:rsidR="00394061" w:rsidRDefault="00743783">
      <w:pPr>
        <w:pStyle w:val="FootnoteText"/>
      </w:pPr>
      <w:r>
        <w:rPr>
          <w:rStyle w:val="FootnoteReference"/>
        </w:rPr>
        <w:footnoteRef/>
      </w:r>
      <w:r>
        <w:t xml:space="preserve"> Jeigu nenurodyta kitaip, šioje ataskaitoje sąvokos Europa ir ES reiškia 27-ias Europos Sąjungos valstybes nares (ES 27).</w:t>
      </w:r>
    </w:p>
  </w:footnote>
  <w:footnote w:id="5">
    <w:p w:rsidR="00394061" w:rsidRDefault="00743783">
      <w:pPr>
        <w:pStyle w:val="FootnoteText"/>
      </w:pPr>
      <w:r>
        <w:rPr>
          <w:rStyle w:val="FootnoteReference"/>
        </w:rPr>
        <w:footnoteRef/>
      </w:r>
      <w:r>
        <w:t xml:space="preserve"> Šioje ataskaitoje naudojami Eurostato statistiniai duomenys grindžiami 2020 m. gegužės mėn. Eurostato duomenų bazės duome</w:t>
      </w:r>
      <w:r>
        <w:t>nimis.</w:t>
      </w:r>
    </w:p>
  </w:footnote>
  <w:footnote w:id="6">
    <w:p w:rsidR="00394061" w:rsidRDefault="00743783">
      <w:pPr>
        <w:pStyle w:val="FootnoteText"/>
      </w:pPr>
      <w:r>
        <w:rPr>
          <w:rStyle w:val="FootnoteReference"/>
        </w:rPr>
        <w:footnoteRef/>
      </w:r>
      <w:r>
        <w:t xml:space="preserve"> Daugiau mirtingumo ir tikėtinos gyvenimo trukmės statistikos pateikiama Eurostato svetainėje „Statistics Explained“: </w:t>
      </w:r>
    </w:p>
    <w:p w:rsidR="00394061" w:rsidRDefault="00743783">
      <w:pPr>
        <w:pStyle w:val="FootnoteText"/>
      </w:pPr>
      <w:hyperlink r:id="rId1" w:history="1">
        <w:r>
          <w:rPr>
            <w:rStyle w:val="Hyperlink"/>
          </w:rPr>
          <w:t>https</w:t>
        </w:r>
        <w:r>
          <w:rPr>
            <w:rStyle w:val="Hyperlink"/>
          </w:rPr>
          <w:t>://ec.europa.eu/eurostat/statistics-explained/index.php?title=Mortality_and_life_expectancy_statistics</w:t>
        </w:r>
      </w:hyperlink>
      <w:r>
        <w:t xml:space="preserve">. </w:t>
      </w:r>
    </w:p>
  </w:footnote>
  <w:footnote w:id="7">
    <w:p w:rsidR="00394061" w:rsidRDefault="00743783">
      <w:pPr>
        <w:pStyle w:val="FootnoteText"/>
      </w:pPr>
      <w:r>
        <w:rPr>
          <w:rStyle w:val="FootnoteReference"/>
        </w:rPr>
        <w:footnoteRef/>
      </w:r>
      <w:r>
        <w:t xml:space="preserve"> Gyventojų skaičiaus prognozės (projekcijos) yra hipotetiniai scenarijai „kas jeigu“, pagrįsti stebėjimų duomenimis, kurie padeda suprasti gyventojų s</w:t>
      </w:r>
      <w:r>
        <w:t xml:space="preserve">kaičiaus dinamiką. Svarbu, kad projekcijos nebūtų suprantamos kaip prognozės. Daugiau informacijos pateikiama Eurostato gyventojų skaičiaus prognozėse: </w:t>
      </w:r>
      <w:hyperlink r:id="rId2" w:history="1">
        <w:r>
          <w:rPr>
            <w:rStyle w:val="Hyperlink"/>
          </w:rPr>
          <w:t>https://ec.europa.eu/eurostat/web/population-demography-migration-projections/population-projections-data</w:t>
        </w:r>
      </w:hyperlink>
      <w:r>
        <w:t xml:space="preserve">. </w:t>
      </w:r>
    </w:p>
  </w:footnote>
  <w:footnote w:id="8">
    <w:p w:rsidR="00394061" w:rsidRDefault="00743783">
      <w:pPr>
        <w:pStyle w:val="FootnoteText"/>
      </w:pPr>
      <w:r>
        <w:rPr>
          <w:rStyle w:val="FootnoteReference"/>
        </w:rPr>
        <w:footnoteRef/>
      </w:r>
      <w:r>
        <w:t xml:space="preserve"> Daugiau informacijos apie koncepciją ir duomenis: </w:t>
      </w:r>
      <w:hyperlink r:id="rId3" w:history="1">
        <w:r>
          <w:rPr>
            <w:color w:val="0000FF"/>
            <w:u w:val="single"/>
          </w:rPr>
          <w:t>https://ec.europa.eu/eurostat/statistics-explained/pdfscache/1101.pdf</w:t>
        </w:r>
      </w:hyperlink>
      <w:r>
        <w:t>.</w:t>
      </w:r>
    </w:p>
  </w:footnote>
  <w:footnote w:id="9">
    <w:p w:rsidR="00394061" w:rsidRDefault="00743783">
      <w:pPr>
        <w:pStyle w:val="FootnoteText"/>
      </w:pPr>
      <w:r>
        <w:rPr>
          <w:rStyle w:val="FootnoteReference"/>
        </w:rPr>
        <w:footnoteRef/>
      </w:r>
      <w:r>
        <w:t xml:space="preserve"> Daugiau informacijos pateikta puslapyje „State of Health in the EU“, ataskaitoje „Apie sveikatą glaustai. Europa 2018 m.“, EBPO/ES (2018 m.) – </w:t>
      </w:r>
      <w:hyperlink r:id="rId4" w:history="1">
        <w:r>
          <w:rPr>
            <w:rStyle w:val="Hyperlink"/>
          </w:rPr>
          <w:t>https://ec.europa.eu/health/state/glance_lt</w:t>
        </w:r>
      </w:hyperlink>
      <w:r>
        <w:t xml:space="preserve">. </w:t>
      </w:r>
    </w:p>
  </w:footnote>
  <w:footnote w:id="10">
    <w:p w:rsidR="00394061" w:rsidRDefault="00743783">
      <w:pPr>
        <w:pStyle w:val="FootnoteText"/>
      </w:pPr>
      <w:r>
        <w:rPr>
          <w:rStyle w:val="FootnoteReference"/>
        </w:rPr>
        <w:footnoteRef/>
      </w:r>
      <w:r>
        <w:t xml:space="preserve"> 2018 m. 49 % 65 metų ir vyresnių asmenų nurodė, kad turi negalią arba ilgalaikį veiklumo apribojimą. (Šaltinis: Eurostato internetinė lentelė hlth_silc_06).</w:t>
      </w:r>
    </w:p>
  </w:footnote>
  <w:footnote w:id="11">
    <w:p w:rsidR="00394061" w:rsidRDefault="00743783">
      <w:pPr>
        <w:pStyle w:val="FootnoteText"/>
      </w:pPr>
      <w:r>
        <w:rPr>
          <w:rStyle w:val="FootnoteReference"/>
        </w:rPr>
        <w:footnoteRef/>
      </w:r>
      <w:r>
        <w:t xml:space="preserve"> Bendrame teritorinių </w:t>
      </w:r>
      <w:r>
        <w:t xml:space="preserve">statistinių vienetų klasifikatoriuje, vadinamajame NUTS klasifikatoriuje, regionai skirstomi į tris tipus. Šiame žemėlapyje parodyti NUTS 2 tipo regionai. Šalies NUTS 2 tipo regione gyvena vidutiniškai 800 000–3 mln. žmonių. </w:t>
      </w:r>
    </w:p>
  </w:footnote>
  <w:footnote w:id="12">
    <w:p w:rsidR="00394061" w:rsidRDefault="00743783">
      <w:pPr>
        <w:pStyle w:val="FootnoteText"/>
      </w:pPr>
      <w:r>
        <w:rPr>
          <w:rStyle w:val="FootnoteReference"/>
        </w:rPr>
        <w:footnoteRef/>
      </w:r>
      <w:r>
        <w:t xml:space="preserve"> Daugiau informacijos apie gi</w:t>
      </w:r>
      <w:r>
        <w:t xml:space="preserve">mstamumo statistiką pateikiama Eurostato svetainėje „Statistics Explained“: </w:t>
      </w:r>
    </w:p>
    <w:p w:rsidR="00394061" w:rsidRDefault="00743783">
      <w:pPr>
        <w:pStyle w:val="FootnoteText"/>
      </w:pPr>
      <w:hyperlink r:id="rId5" w:history="1">
        <w:r>
          <w:rPr>
            <w:rStyle w:val="Hyperlink"/>
          </w:rPr>
          <w:t>https://ec.europa.eu/eurostat/statistics-explained/index.php?title=Fertilit</w:t>
        </w:r>
        <w:r>
          <w:rPr>
            <w:rStyle w:val="Hyperlink"/>
          </w:rPr>
          <w:t>y_statistics</w:t>
        </w:r>
      </w:hyperlink>
      <w:r>
        <w:t>.</w:t>
      </w:r>
    </w:p>
  </w:footnote>
  <w:footnote w:id="13">
    <w:p w:rsidR="00394061" w:rsidRDefault="00743783">
      <w:pPr>
        <w:pStyle w:val="FootnoteText"/>
      </w:pPr>
      <w:r>
        <w:rPr>
          <w:rStyle w:val="FootnoteReference"/>
        </w:rPr>
        <w:footnoteRef/>
      </w:r>
      <w:r>
        <w:t xml:space="preserve"> Iš 1 169 NUTS 3 tipo regionų tik 4-iuose gimstamumas viršija 2,1 vaiko: Majote (4,6 vaiko), Gajanoje (3,8 vaiko), Reunjone (2,4 vaiko) ir Meliljoje (2,3 vaiko).</w:t>
      </w:r>
    </w:p>
  </w:footnote>
  <w:footnote w:id="14">
    <w:p w:rsidR="00394061" w:rsidRDefault="00743783">
      <w:pPr>
        <w:pStyle w:val="FootnoteText"/>
      </w:pPr>
      <w:r>
        <w:rPr>
          <w:rStyle w:val="FootnoteReference"/>
        </w:rPr>
        <w:footnoteRef/>
      </w:r>
      <w:r>
        <w:t xml:space="preserve"> Šiame žemėlapyje parodyti NUTS 3 tipo regionai. Šalies NUTS 3 tipo regione gy</w:t>
      </w:r>
      <w:r>
        <w:t xml:space="preserve">vena vidutiniškai 150 000–800 000 žmonių. </w:t>
      </w:r>
    </w:p>
  </w:footnote>
  <w:footnote w:id="15">
    <w:p w:rsidR="00394061" w:rsidRDefault="00743783">
      <w:pPr>
        <w:pStyle w:val="FootnoteText"/>
      </w:pPr>
      <w:r>
        <w:rPr>
          <w:rStyle w:val="FootnoteReference"/>
        </w:rPr>
        <w:footnoteRef/>
      </w:r>
      <w:r>
        <w:t xml:space="preserve"> Amžiaus mediana yra platus gyventojų amžiaus matas: pusė gyventojų yra vyresni nei amžiaus mediana, o kita pusė – jaunesni.</w:t>
      </w:r>
    </w:p>
  </w:footnote>
  <w:footnote w:id="16">
    <w:p w:rsidR="00394061" w:rsidRDefault="00743783">
      <w:pPr>
        <w:pStyle w:val="FootnoteText"/>
      </w:pPr>
      <w:r>
        <w:rPr>
          <w:rStyle w:val="FootnoteReference"/>
        </w:rPr>
        <w:footnoteRef/>
      </w:r>
      <w:r>
        <w:t xml:space="preserve"> Daugiau informacijos apie populiacijos struktūrą ir senėjimą pateikiama Eurostato svetainėje „Statistics Explained“: </w:t>
      </w:r>
    </w:p>
    <w:p w:rsidR="00394061" w:rsidRDefault="00743783">
      <w:pPr>
        <w:pStyle w:val="FootnoteText"/>
        <w:rPr>
          <w:sz w:val="24"/>
          <w:szCs w:val="24"/>
        </w:rPr>
      </w:pPr>
      <w:hyperlink r:id="rId6" w:history="1">
        <w:r>
          <w:rPr>
            <w:rStyle w:val="Hyperlink"/>
          </w:rPr>
          <w:t>https://ec.europa.eu/e</w:t>
        </w:r>
        <w:r>
          <w:rPr>
            <w:rStyle w:val="Hyperlink"/>
          </w:rPr>
          <w:t>urostat/statistics-explained/index.php?title=Population_structure_and_ageing</w:t>
        </w:r>
      </w:hyperlink>
      <w:r>
        <w:t xml:space="preserve">. </w:t>
      </w:r>
    </w:p>
  </w:footnote>
  <w:footnote w:id="17">
    <w:p w:rsidR="00394061" w:rsidRDefault="00743783">
      <w:pPr>
        <w:pStyle w:val="FootnoteText"/>
      </w:pPr>
      <w:r>
        <w:rPr>
          <w:rStyle w:val="FootnoteReference"/>
        </w:rPr>
        <w:footnoteRef/>
      </w:r>
      <w:r>
        <w:t xml:space="preserve"> Darbingu amžiumi paprastai laikomas gyventojų amžius nuo 20 iki 64 metų. Kadangi gyventojai senėja ir vis daugiau 65 metų ir vyresnių žmonių ir toliau dirba, ši tradicinė apib</w:t>
      </w:r>
      <w:r>
        <w:t>rėžtis gali keistis.</w:t>
      </w:r>
    </w:p>
  </w:footnote>
  <w:footnote w:id="18">
    <w:p w:rsidR="00394061" w:rsidRDefault="00743783">
      <w:pPr>
        <w:pStyle w:val="FootnoteText"/>
      </w:pPr>
      <w:r>
        <w:rPr>
          <w:rStyle w:val="FootnoteReference"/>
        </w:rPr>
        <w:footnoteRef/>
      </w:r>
      <w:r>
        <w:t xml:space="preserve"> Ageing Europe: Looking at the lives of older people in the EU (liet. Senėjanti Europa. Žvilgsnis į vyresnio amžiaus žmonių gyvenimą ES), Europos Komisija, 2019 m.</w:t>
      </w:r>
    </w:p>
  </w:footnote>
  <w:footnote w:id="19">
    <w:p w:rsidR="00394061" w:rsidRDefault="00743783">
      <w:pPr>
        <w:pStyle w:val="FootnoteText"/>
      </w:pPr>
      <w:r>
        <w:rPr>
          <w:rStyle w:val="FootnoteReference"/>
        </w:rPr>
        <w:footnoteRef/>
      </w:r>
      <w:r>
        <w:t xml:space="preserve"> Šie skaičiai apima ne tik trečiųjų šalių piliečius, bet ir ES pilieč</w:t>
      </w:r>
      <w:r>
        <w:t xml:space="preserve">ius, kurie grįžta į ES arba iš jos išvyksta. Daugiau informacijos apie migracijos statistiką pateikiama Eurostato svetainėje „Statistics Explained“: </w:t>
      </w:r>
      <w:hyperlink r:id="rId7" w:history="1">
        <w:r>
          <w:rPr>
            <w:rStyle w:val="Hyperlink"/>
          </w:rPr>
          <w:t>https://ec.europa.eu/eurostat/statistics-explained/index.php?title=Migration_and_migrant_population_statistics</w:t>
        </w:r>
      </w:hyperlink>
      <w:r>
        <w:t xml:space="preserve">. </w:t>
      </w:r>
    </w:p>
    <w:p w:rsidR="00394061" w:rsidRDefault="00394061">
      <w:pPr>
        <w:pStyle w:val="FootnoteText"/>
      </w:pPr>
    </w:p>
  </w:footnote>
  <w:footnote w:id="20">
    <w:p w:rsidR="00394061" w:rsidRDefault="00743783">
      <w:pPr>
        <w:pStyle w:val="FootnoteText"/>
      </w:pPr>
      <w:r>
        <w:rPr>
          <w:rStyle w:val="FootnoteReference"/>
        </w:rPr>
        <w:footnoteRef/>
      </w:r>
      <w:r>
        <w:t xml:space="preserve"> Daugiau informacijos apie gyventojų skaičiaus ir gyventojų skaičiaus pokyčių statistiką pateikiama Eurostato svetainėje </w:t>
      </w:r>
      <w:r>
        <w:t xml:space="preserve">„Statistics Explained“: </w:t>
      </w:r>
    </w:p>
    <w:p w:rsidR="00394061" w:rsidRDefault="00743783">
      <w:pPr>
        <w:pStyle w:val="FootnoteText"/>
      </w:pPr>
      <w:hyperlink r:id="rId8" w:history="1">
        <w:r>
          <w:rPr>
            <w:rStyle w:val="Hyperlink"/>
          </w:rPr>
          <w:t>https://ec.europa.eu/eurostat/statistics-explained/index.php?title=Population_and_population_change_statistics</w:t>
        </w:r>
      </w:hyperlink>
      <w:r>
        <w:t xml:space="preserve">. </w:t>
      </w:r>
    </w:p>
  </w:footnote>
  <w:footnote w:id="21">
    <w:p w:rsidR="00394061" w:rsidRDefault="00743783">
      <w:pPr>
        <w:pStyle w:val="FootnoteText"/>
      </w:pPr>
      <w:r>
        <w:rPr>
          <w:rStyle w:val="FootnoteReference"/>
        </w:rPr>
        <w:footnoteRef/>
      </w:r>
      <w:r>
        <w:t xml:space="preserve"> 2020 m. balandžio mėn. Eurostatas paskelbė 2019 m. duomenimis pagrįstas gyventojų skaičiaus prognozes. Rengiant duomenis COVID-19 pandemijos </w:t>
      </w:r>
      <w:r>
        <w:t xml:space="preserve">poveikis nebuvo žinomas ir į jį nebuvo atsižvelgta. Daugiau informacijos apie gyventojų skaičiaus prognozes pateikiama Eurostato svetainėje „Statistics Explained“: </w:t>
      </w:r>
      <w:hyperlink r:id="rId9" w:history="1">
        <w:r>
          <w:rPr>
            <w:rStyle w:val="Hyperlink"/>
          </w:rPr>
          <w:t>https://ec.europa.eu/eurostat/web/population-demography-migration-projections/population-projections-data</w:t>
        </w:r>
      </w:hyperlink>
      <w:r>
        <w:rPr>
          <w:rStyle w:val="Hyperlink"/>
        </w:rPr>
        <w:t>.</w:t>
      </w:r>
      <w:r>
        <w:rPr>
          <w:strike/>
        </w:rPr>
        <w:t xml:space="preserve"> </w:t>
      </w:r>
    </w:p>
  </w:footnote>
  <w:footnote w:id="22">
    <w:p w:rsidR="00394061" w:rsidRDefault="00743783">
      <w:pPr>
        <w:pStyle w:val="FootnoteText"/>
      </w:pPr>
      <w:r>
        <w:rPr>
          <w:rStyle w:val="FootnoteReference"/>
        </w:rPr>
        <w:footnoteRef/>
      </w:r>
      <w:r>
        <w:t xml:space="preserve"> Šiame žemėlapyje parodyti NUTS 3 tipo regionai. Šalies NUTS 3 tipo regione gyvena vidutiniškai 150 000–800 000 žmoni</w:t>
      </w:r>
      <w:r>
        <w:t>ų. Duomenys atitinka Eurostato regionines prognozes (EUROPOP2013).</w:t>
      </w:r>
    </w:p>
  </w:footnote>
  <w:footnote w:id="23">
    <w:p w:rsidR="00394061" w:rsidRDefault="00743783">
      <w:pPr>
        <w:pStyle w:val="FootnoteText"/>
      </w:pPr>
      <w:r>
        <w:rPr>
          <w:rStyle w:val="FootnoteReference"/>
        </w:rPr>
        <w:footnoteRef/>
      </w:r>
      <w:r>
        <w:t xml:space="preserve"> The 2018 Ageing Report: Economic and Budgetary Projections for the EU Member States (2016-2070) (liet. 2018 m. ataskaita dėl visuomenės senėjimo. Ekonominės ir biudžeto projekcijos ES val</w:t>
      </w:r>
      <w:r>
        <w:t>stybėms narėms (2016–2070 m.)), Europos Komisijos ir Ekonominės politikos komiteto institucinis dokumentas Nr. 079, 2018 m.</w:t>
      </w:r>
    </w:p>
  </w:footnote>
  <w:footnote w:id="24">
    <w:p w:rsidR="00394061" w:rsidRDefault="00743783">
      <w:pPr>
        <w:pStyle w:val="FootnoteText"/>
      </w:pPr>
      <w:r>
        <w:rPr>
          <w:rStyle w:val="FootnoteReference"/>
        </w:rPr>
        <w:footnoteRef/>
      </w:r>
      <w:r>
        <w:t xml:space="preserve"> Komisijos 2020 m. pavasario ekonominė prognozė, 2020-05-06.</w:t>
      </w:r>
    </w:p>
  </w:footnote>
  <w:footnote w:id="25">
    <w:p w:rsidR="00394061" w:rsidRDefault="00743783">
      <w:pPr>
        <w:pStyle w:val="FootnoteText"/>
      </w:pPr>
      <w:r>
        <w:rPr>
          <w:rStyle w:val="FootnoteReference"/>
        </w:rPr>
        <w:footnoteRef/>
      </w:r>
      <w:r>
        <w:t xml:space="preserve"> Lygybės sąjunga. 2020–2025 m. lyčių lygybės strategija, priimta 2020</w:t>
      </w:r>
      <w:r>
        <w:t> m. kovo 5 d. (COM(2020) 152 </w:t>
      </w:r>
      <w:r>
        <w:rPr>
          <w:i/>
        </w:rPr>
        <w:t>final</w:t>
      </w:r>
      <w:r>
        <w:t>).</w:t>
      </w:r>
    </w:p>
  </w:footnote>
  <w:footnote w:id="26">
    <w:p w:rsidR="00394061" w:rsidRDefault="00743783">
      <w:pPr>
        <w:pStyle w:val="FootnoteText"/>
      </w:pPr>
      <w:r>
        <w:rPr>
          <w:rStyle w:val="FootnoteReference"/>
        </w:rPr>
        <w:footnoteRef/>
      </w:r>
      <w:r>
        <w:t xml:space="preserve"> The 2018 Ageing Report: Economic and Budgetary Projections for the EU Member States (2016-2070) (liet. 2018 m. ataskaita dėl visuomenės senėjimo. Ekonominės ir biudžeto projekcijos ES valstybėms narėms (2016–2070 m.))</w:t>
      </w:r>
      <w:r>
        <w:t>, Europos Komisijos ir Ekonominės politikos komiteto institucinis dokumentas Nr. 079, 2018 m.</w:t>
      </w:r>
    </w:p>
  </w:footnote>
  <w:footnote w:id="27">
    <w:p w:rsidR="00394061" w:rsidRDefault="00743783">
      <w:pPr>
        <w:pStyle w:val="FootnoteText"/>
      </w:pPr>
      <w:r>
        <w:rPr>
          <w:rStyle w:val="FootnoteReference"/>
        </w:rPr>
        <w:footnoteRef/>
      </w:r>
      <w:r>
        <w:t xml:space="preserve"> Nauja Europos pramonės strategija, priimta 2020 m. kovo 10 d. COM(2020) 102 </w:t>
      </w:r>
      <w:r>
        <w:rPr>
          <w:i/>
        </w:rPr>
        <w:t>final</w:t>
      </w:r>
      <w:r>
        <w:t>.</w:t>
      </w:r>
    </w:p>
  </w:footnote>
  <w:footnote w:id="28">
    <w:p w:rsidR="00394061" w:rsidRDefault="00743783">
      <w:pPr>
        <w:pStyle w:val="FootnoteText"/>
      </w:pPr>
      <w:r>
        <w:rPr>
          <w:rStyle w:val="FootnoteReference"/>
        </w:rPr>
        <w:footnoteRef/>
      </w:r>
      <w:r>
        <w:t>Žr., pvz., Canton, E., Thum-Thysen, A., Voigt, P. (2018) Economists’ musings</w:t>
      </w:r>
      <w:r>
        <w:t xml:space="preserve"> on human capital investment: How efficient is public</w:t>
      </w:r>
    </w:p>
    <w:p w:rsidR="00394061" w:rsidRDefault="00743783">
      <w:pPr>
        <w:pStyle w:val="FootnoteText"/>
      </w:pPr>
      <w:r>
        <w:t xml:space="preserve">spending on education in EU Member States? European Economy Discussion Paper 81: </w:t>
      </w:r>
    </w:p>
    <w:p w:rsidR="00394061" w:rsidRDefault="00743783">
      <w:pPr>
        <w:pStyle w:val="FootnoteText"/>
      </w:pPr>
      <w:hyperlink r:id="rId10" w:history="1">
        <w:r>
          <w:rPr>
            <w:rStyle w:val="Hyperlink"/>
          </w:rPr>
          <w:t>https://ec.europa.eu/info/publications/economy-finance/economists-musings-human-capital-investment-how-efficient-public-spending-education-eu-member-states_en</w:t>
        </w:r>
      </w:hyperlink>
      <w:r>
        <w:t xml:space="preserve">. </w:t>
      </w:r>
    </w:p>
  </w:footnote>
  <w:footnote w:id="29">
    <w:p w:rsidR="00394061" w:rsidRDefault="00743783">
      <w:pPr>
        <w:pStyle w:val="FootnoteText"/>
      </w:pPr>
      <w:r>
        <w:rPr>
          <w:rStyle w:val="FootnoteReference"/>
        </w:rPr>
        <w:footnoteRef/>
      </w:r>
      <w:r>
        <w:t xml:space="preserve"> </w:t>
      </w:r>
      <w:hyperlink r:id="rId11" w:history="1">
        <w:r>
          <w:rPr>
            <w:rStyle w:val="Hyperlink"/>
          </w:rPr>
          <w:t>https://www.ecdc.europa.eu/en/cases-2019-ncov-eueea</w:t>
        </w:r>
      </w:hyperlink>
      <w:r>
        <w:t xml:space="preserve">. </w:t>
      </w:r>
    </w:p>
  </w:footnote>
  <w:footnote w:id="30">
    <w:p w:rsidR="00394061" w:rsidRDefault="00743783">
      <w:pPr>
        <w:pStyle w:val="FootnoteText"/>
      </w:pPr>
      <w:r>
        <w:rPr>
          <w:rStyle w:val="FootnoteReference"/>
        </w:rPr>
        <w:footnoteRef/>
      </w:r>
      <w:r>
        <w:t xml:space="preserve"> Šiame žemėlapyje parodyti NUTS 3 tipo regionai. Šalies NUTS 3 tipo regione gyvena vidutiniškai 150 000–800 000 žmonių. Duomenys atitinka Eurostato regionines prognozes (E</w:t>
      </w:r>
      <w:r>
        <w:t>UROPOP2013).</w:t>
      </w:r>
    </w:p>
    <w:p w:rsidR="00394061" w:rsidRDefault="00394061">
      <w:pPr>
        <w:pStyle w:val="FootnoteText"/>
      </w:pPr>
    </w:p>
  </w:footnote>
  <w:footnote w:id="31">
    <w:p w:rsidR="00394061" w:rsidRDefault="00743783">
      <w:pPr>
        <w:pStyle w:val="FootnoteText"/>
      </w:pPr>
      <w:r>
        <w:rPr>
          <w:rStyle w:val="FootnoteReference"/>
        </w:rPr>
        <w:footnoteRef/>
      </w:r>
      <w:r>
        <w:t xml:space="preserve"> Daugiau informacijos apie programą „ES – sveikatos labui“: </w:t>
      </w:r>
      <w:hyperlink r:id="rId12" w:history="1">
        <w:r>
          <w:rPr>
            <w:rStyle w:val="Hyperlink"/>
          </w:rPr>
          <w:t>https://ec.europa.eu/health/funding/eu4health_lt</w:t>
        </w:r>
      </w:hyperlink>
      <w:r>
        <w:t xml:space="preserve">. </w:t>
      </w:r>
    </w:p>
  </w:footnote>
  <w:footnote w:id="32">
    <w:p w:rsidR="00394061" w:rsidRDefault="00743783">
      <w:pPr>
        <w:pStyle w:val="FootnoteText"/>
      </w:pPr>
      <w:r>
        <w:rPr>
          <w:rStyle w:val="FootnoteReference"/>
        </w:rPr>
        <w:footnoteRef/>
      </w:r>
      <w:r>
        <w:t xml:space="preserve"> </w:t>
      </w:r>
      <w:hyperlink r:id="rId13" w:history="1">
        <w:r>
          <w:rPr>
            <w:rStyle w:val="Hyperlink"/>
          </w:rPr>
          <w:t>https://data.consilium.europa.eu/doc/document/ST-12983-2013-INIT/en/pdf</w:t>
        </w:r>
      </w:hyperlink>
      <w:r>
        <w:t xml:space="preserve">. </w:t>
      </w:r>
    </w:p>
  </w:footnote>
  <w:footnote w:id="33">
    <w:p w:rsidR="00394061" w:rsidRDefault="00743783">
      <w:pPr>
        <w:pStyle w:val="FootnoteText"/>
      </w:pPr>
      <w:r>
        <w:rPr>
          <w:rStyle w:val="FootnoteReference"/>
        </w:rPr>
        <w:footnoteRef/>
      </w:r>
      <w:r>
        <w:t xml:space="preserve"> Sveikatos padėtis ES. 2019 m. šalių sveikatos profiliai, SHARE tyrimas, 2017 m.</w:t>
      </w:r>
    </w:p>
  </w:footnote>
  <w:footnote w:id="34">
    <w:p w:rsidR="00394061" w:rsidRDefault="00743783">
      <w:pPr>
        <w:pStyle w:val="FootnoteText"/>
      </w:pPr>
      <w:r>
        <w:rPr>
          <w:rStyle w:val="FootnoteReference"/>
        </w:rPr>
        <w:footnoteRef/>
      </w:r>
      <w:r>
        <w:t xml:space="preserve"> Daugiau info</w:t>
      </w:r>
      <w:r>
        <w:t xml:space="preserve">rmacijos: </w:t>
      </w:r>
      <w:hyperlink r:id="rId14" w:history="1">
        <w:r>
          <w:rPr>
            <w:rStyle w:val="Hyperlink"/>
          </w:rPr>
          <w:t>https://ec.europa.eu/food/farm2fork_en</w:t>
        </w:r>
      </w:hyperlink>
      <w:r>
        <w:t xml:space="preserve">. </w:t>
      </w:r>
    </w:p>
  </w:footnote>
  <w:footnote w:id="35">
    <w:p w:rsidR="00394061" w:rsidRDefault="00743783">
      <w:pPr>
        <w:pStyle w:val="FootnoteText"/>
      </w:pPr>
      <w:r>
        <w:rPr>
          <w:rStyle w:val="FootnoteReference"/>
        </w:rPr>
        <w:footnoteRef/>
      </w:r>
      <w:r>
        <w:t xml:space="preserve"> Sveikatos būklė ES, ataskaita „Apie sveikatą glaustai. Europa 2018 m.“, EBPO/ES (2018 m.), p. 178 ir 180.</w:t>
      </w:r>
    </w:p>
  </w:footnote>
  <w:footnote w:id="36">
    <w:p w:rsidR="00394061" w:rsidRDefault="00743783">
      <w:pPr>
        <w:pStyle w:val="FootnoteText"/>
      </w:pPr>
      <w:r>
        <w:rPr>
          <w:rStyle w:val="FootnoteReference"/>
        </w:rPr>
        <w:footnoteRef/>
      </w:r>
      <w:r>
        <w:t xml:space="preserve"> Šis trūkumas gali būti susijęs su skirti</w:t>
      </w:r>
      <w:r>
        <w:t>ngomis priežastimis, įskaitant darbo užmokesčio lygį ir darbo sąlygas.</w:t>
      </w:r>
    </w:p>
  </w:footnote>
  <w:footnote w:id="37">
    <w:p w:rsidR="00394061" w:rsidRDefault="00743783">
      <w:pPr>
        <w:pStyle w:val="FootnoteText"/>
      </w:pPr>
      <w:r>
        <w:rPr>
          <w:rStyle w:val="FootnoteReference"/>
        </w:rPr>
        <w:footnoteRef/>
      </w:r>
      <w:r>
        <w:t xml:space="preserve"> Daugiau informacijos: </w:t>
      </w:r>
      <w:hyperlink r:id="rId15" w:history="1">
        <w:r>
          <w:rPr>
            <w:rStyle w:val="Hyperlink"/>
          </w:rPr>
          <w:t>https://www.oecd.org/els/health-s</w:t>
        </w:r>
        <w:r>
          <w:rPr>
            <w:rStyle w:val="Hyperlink"/>
          </w:rPr>
          <w:t>ystems/who-cares-attracting-and-retaining-elderly-care-workers-92c0ef68-en.htm</w:t>
        </w:r>
      </w:hyperlink>
      <w:r>
        <w:t xml:space="preserve">. </w:t>
      </w:r>
    </w:p>
  </w:footnote>
  <w:footnote w:id="38">
    <w:p w:rsidR="00394061" w:rsidRDefault="00743783">
      <w:pPr>
        <w:pStyle w:val="FootnoteText"/>
      </w:pPr>
      <w:r>
        <w:rPr>
          <w:rStyle w:val="FootnoteReference"/>
        </w:rPr>
        <w:footnoteRef/>
      </w:r>
      <w:r>
        <w:t xml:space="preserve"> Europos Sąjungos pagrindinių teisių chartijos 35 straipsnis.</w:t>
      </w:r>
    </w:p>
  </w:footnote>
  <w:footnote w:id="39">
    <w:p w:rsidR="00394061" w:rsidRDefault="00743783">
      <w:pPr>
        <w:pStyle w:val="FootnoteText"/>
      </w:pPr>
      <w:r>
        <w:rPr>
          <w:rStyle w:val="FootnoteReference"/>
        </w:rPr>
        <w:footnoteRef/>
      </w:r>
      <w:r>
        <w:t xml:space="preserve"> „Trejopą naudą“ remia Europos inovacijų partnerystė vyresnių žmonių aktyvumo ir sveikatos srityje. Daugiau inf</w:t>
      </w:r>
      <w:r>
        <w:t xml:space="preserve">ormacijos: </w:t>
      </w:r>
      <w:hyperlink r:id="rId16" w:history="1">
        <w:r>
          <w:rPr>
            <w:rStyle w:val="Hyperlink"/>
          </w:rPr>
          <w:t>https://ec.europa.eu/eip/ageing/about-the-partnership_en</w:t>
        </w:r>
      </w:hyperlink>
      <w:r>
        <w:t xml:space="preserve">. </w:t>
      </w:r>
    </w:p>
  </w:footnote>
  <w:footnote w:id="40">
    <w:p w:rsidR="00394061" w:rsidRDefault="00743783">
      <w:pPr>
        <w:pStyle w:val="FootnoteText"/>
      </w:pPr>
      <w:r>
        <w:rPr>
          <w:rStyle w:val="FootnoteReference"/>
        </w:rPr>
        <w:footnoteRef/>
      </w:r>
      <w:r>
        <w:t xml:space="preserve"> 2018 m. ataskaitoje dėl visuomenės senėjimo bendros senėjimo išlaidos apibrėžiamos kaip viešosios išlaidos pens</w:t>
      </w:r>
      <w:r>
        <w:t xml:space="preserve">ijoms, sveikatos priežiūrai, ilgalaikei priežiūrai, švietimui ir bedarbio pašalpoms. </w:t>
      </w:r>
    </w:p>
  </w:footnote>
  <w:footnote w:id="41">
    <w:p w:rsidR="00394061" w:rsidRDefault="00743783">
      <w:pPr>
        <w:pStyle w:val="FootnoteText"/>
      </w:pPr>
      <w:r>
        <w:rPr>
          <w:rStyle w:val="FootnoteReference"/>
        </w:rPr>
        <w:footnoteRef/>
      </w:r>
      <w:r>
        <w:t xml:space="preserve"> Išsami sveikatos priežiūros ir ilgalaikės priežiūros išlaidų augimo veiksnių analizė pateikta dokumente „Joint Report on Healthcare and Long-Term Care Systems and Fisca</w:t>
      </w:r>
      <w:r>
        <w:t>l Sustainability“ (liet. „Bendra sveikatos priežiūros ir ilgalaikės priežiūros sistemų ir fiskalinio tvarumo ataskaita“), Europos Komisija ir Ekonominės politikos komitetas (EPK), 2016 m.</w:t>
      </w:r>
    </w:p>
  </w:footnote>
  <w:footnote w:id="42">
    <w:p w:rsidR="00394061" w:rsidRDefault="00743783">
      <w:pPr>
        <w:pStyle w:val="FootnoteText"/>
      </w:pPr>
      <w:r>
        <w:rPr>
          <w:rStyle w:val="FootnoteReference"/>
        </w:rPr>
        <w:footnoteRef/>
      </w:r>
      <w:r>
        <w:t xml:space="preserve"> Dvi vyresnio amžiaus žmonių skurdo dedamosios yra: asmenys, kurių </w:t>
      </w:r>
      <w:r>
        <w:t xml:space="preserve">pajamos nesiekia 60 % nacionalinės medianos, ir asmenys, kurie negali sau leisti bent 4 iš 10 pagrindinių daiktų (žr. </w:t>
      </w:r>
      <w:hyperlink r:id="rId17" w:history="1">
        <w:r>
          <w:rPr>
            <w:rStyle w:val="Hyperlink"/>
          </w:rPr>
          <w:t>https://ec.europa.eu/eurostat/s</w:t>
        </w:r>
        <w:r>
          <w:rPr>
            <w:rStyle w:val="Hyperlink"/>
          </w:rPr>
          <w:t>tatistics-explained/index.php/Glossary:Material_deprivation</w:t>
        </w:r>
      </w:hyperlink>
      <w:r>
        <w:t>).</w:t>
      </w:r>
    </w:p>
  </w:footnote>
  <w:footnote w:id="43">
    <w:p w:rsidR="00394061" w:rsidRDefault="00743783">
      <w:pPr>
        <w:pStyle w:val="FootnoteText"/>
      </w:pPr>
      <w:r>
        <w:rPr>
          <w:rStyle w:val="FootnoteReference"/>
        </w:rPr>
        <w:footnoteRef/>
      </w:r>
      <w:r>
        <w:t xml:space="preserve"> Išsami demografinių pokyčių poveikio pensijų adekvatumui analizė pateikta dokumente „The 2018 Pension Adequacy Report: current and future income adequacy in old age in the EU“ (liet. „2018 m. </w:t>
      </w:r>
      <w:r>
        <w:t>pensijų adekvatumo ataskaita. Dabartinių ir būsimų pajamų adekvatumas senatvėje ES“), Europos Komisija ir Socialinės apsaugos komitetas (SAK), 2018 m.</w:t>
      </w:r>
    </w:p>
  </w:footnote>
  <w:footnote w:id="44">
    <w:p w:rsidR="00394061" w:rsidRDefault="00743783">
      <w:pPr>
        <w:pStyle w:val="FootnoteText"/>
      </w:pPr>
      <w:r>
        <w:rPr>
          <w:rStyle w:val="FootnoteReference"/>
        </w:rPr>
        <w:footnoteRef/>
      </w:r>
      <w:r>
        <w:t xml:space="preserve"> 2018 m. 27-iose ES valstybėse narėse ne visą darbo dieną dirbo 30,5 % moterų ir 9,2 % vyrų (Eurostatas,</w:t>
      </w:r>
      <w:r>
        <w:t xml:space="preserve"> Darbo jėgos tyrimas).</w:t>
      </w:r>
    </w:p>
  </w:footnote>
  <w:footnote w:id="45">
    <w:p w:rsidR="00394061" w:rsidRDefault="00743783">
      <w:pPr>
        <w:pStyle w:val="FootnoteText"/>
      </w:pPr>
      <w:r>
        <w:rPr>
          <w:rStyle w:val="FootnoteReference"/>
        </w:rPr>
        <w:footnoteRef/>
      </w:r>
      <w:r>
        <w:t xml:space="preserve"> Pagal terminuotas darbo sutartis dirbančių 15–64 metų asmenų skaičius pastaraisiais metais išliko stabilus. 2018 m. jis sudarė 12,1 % visų darbuotojų. Moterų dalis yra šiek tiek didesnė (13,1 %) nei vyrų (11,2 %) (Eurostatas).</w:t>
      </w:r>
    </w:p>
  </w:footnote>
  <w:footnote w:id="46">
    <w:p w:rsidR="00394061" w:rsidRDefault="00743783">
      <w:pPr>
        <w:pStyle w:val="FootnoteText"/>
      </w:pPr>
      <w:r>
        <w:rPr>
          <w:rStyle w:val="FootnoteReference"/>
        </w:rPr>
        <w:footnoteRef/>
      </w:r>
      <w:r>
        <w:t xml:space="preserve"> NUTS klasifikatoriuje regionai žymimi kaip NUTS 3, o vietos matmuo – kaip LAU (vietos administraciniai vienetai).</w:t>
      </w:r>
    </w:p>
  </w:footnote>
  <w:footnote w:id="47">
    <w:p w:rsidR="00394061" w:rsidRDefault="00743783">
      <w:pPr>
        <w:pStyle w:val="FootnoteText"/>
      </w:pPr>
      <w:r>
        <w:rPr>
          <w:rStyle w:val="FootnoteReference"/>
        </w:rPr>
        <w:footnoteRef/>
      </w:r>
      <w:r>
        <w:t xml:space="preserve"> COM(2020) 451 </w:t>
      </w:r>
      <w:r>
        <w:rPr>
          <w:i/>
        </w:rPr>
        <w:t>final</w:t>
      </w:r>
      <w:r>
        <w:t>, 2020-05-08.</w:t>
      </w:r>
    </w:p>
  </w:footnote>
  <w:footnote w:id="48">
    <w:p w:rsidR="00394061" w:rsidRDefault="00743783">
      <w:pPr>
        <w:pStyle w:val="FootnoteText"/>
      </w:pPr>
      <w:r>
        <w:rPr>
          <w:rStyle w:val="FootnoteReference"/>
        </w:rPr>
        <w:footnoteRef/>
      </w:r>
      <w:r>
        <w:t xml:space="preserve"> Šiame žemėlapyje parodyti NUTS 3 tipo regionai. Šalies NUTS 3 tipo regione gyvena vidutiniškai 150 000–8</w:t>
      </w:r>
      <w:r>
        <w:t>00 000 žmonių.</w:t>
      </w:r>
    </w:p>
  </w:footnote>
  <w:footnote w:id="49">
    <w:p w:rsidR="00394061" w:rsidRDefault="00743783">
      <w:r>
        <w:rPr>
          <w:rStyle w:val="FootnoteReference"/>
        </w:rPr>
        <w:footnoteRef/>
      </w:r>
      <w:r>
        <w:t xml:space="preserve"> </w:t>
      </w:r>
      <w:hyperlink r:id="rId18" w:history="1">
        <w:r>
          <w:rPr>
            <w:rStyle w:val="Hyperlink"/>
            <w:rFonts w:ascii="Times New Roman" w:hAnsi="Times New Roman"/>
            <w:sz w:val="18"/>
            <w:szCs w:val="18"/>
          </w:rPr>
          <w:t>http://publications.jrc.ec.europa.eu/repository/handle/JRC120680</w:t>
        </w:r>
      </w:hyperlink>
      <w:r>
        <w:t>.</w:t>
      </w:r>
      <w:r>
        <w:rPr>
          <w:rStyle w:val="Hyperlink"/>
          <w:rFonts w:ascii="Times New Roman" w:hAnsi="Times New Roman"/>
          <w:sz w:val="18"/>
          <w:szCs w:val="18"/>
        </w:rPr>
        <w:t xml:space="preserve"> </w:t>
      </w:r>
    </w:p>
  </w:footnote>
  <w:footnote w:id="50">
    <w:p w:rsidR="00394061" w:rsidRDefault="00743783">
      <w:pPr>
        <w:pStyle w:val="FootnoteText"/>
      </w:pPr>
      <w:r>
        <w:rPr>
          <w:rStyle w:val="FootnoteReference"/>
        </w:rPr>
        <w:footnoteRef/>
      </w:r>
      <w:r>
        <w:t xml:space="preserve"> Daugiau informacijos: </w:t>
      </w:r>
      <w:hyperlink r:id="rId19" w:tgtFrame="_blank" w:history="1">
        <w:r>
          <w:rPr>
            <w:rStyle w:val="Hyperlink"/>
          </w:rPr>
          <w:t>https://doi.org/10.1787/b902cc00-en</w:t>
        </w:r>
      </w:hyperlink>
      <w:r>
        <w:t>.</w:t>
      </w:r>
    </w:p>
  </w:footnote>
  <w:footnote w:id="51">
    <w:p w:rsidR="00394061" w:rsidRDefault="00743783">
      <w:pPr>
        <w:pStyle w:val="FootnoteText"/>
      </w:pPr>
      <w:r>
        <w:rPr>
          <w:rStyle w:val="FootnoteReference"/>
        </w:rPr>
        <w:footnoteRef/>
      </w:r>
      <w:r>
        <w:t xml:space="preserve"> Šiame žemėlapyje parodyti NUTS 3 tipo reg</w:t>
      </w:r>
      <w:r>
        <w:t xml:space="preserve">ionai. Šalies NUTS 3 tipo regione gyvena vidutiniškai 150 000–800 000 žmonių. </w:t>
      </w:r>
    </w:p>
  </w:footnote>
  <w:footnote w:id="52">
    <w:p w:rsidR="00394061" w:rsidRDefault="00743783">
      <w:pPr>
        <w:pStyle w:val="FootnoteText"/>
      </w:pPr>
      <w:r>
        <w:rPr>
          <w:rStyle w:val="FootnoteReference"/>
        </w:rPr>
        <w:footnoteRef/>
      </w:r>
      <w:r>
        <w:t xml:space="preserve"> Daugiau informacijos: </w:t>
      </w:r>
      <w:hyperlink r:id="rId20" w:history="1">
        <w:r>
          <w:rPr>
            <w:rStyle w:val="Hyperlink"/>
          </w:rPr>
          <w:t>https://ec.europa.eu/info/publications/mff-legislation_en</w:t>
        </w:r>
      </w:hyperlink>
      <w:r>
        <w:t xml:space="preserve">. </w:t>
      </w:r>
    </w:p>
  </w:footnote>
  <w:footnote w:id="53">
    <w:p w:rsidR="00394061" w:rsidRDefault="00743783">
      <w:pPr>
        <w:pStyle w:val="FootnoteText"/>
      </w:pPr>
      <w:r>
        <w:rPr>
          <w:rStyle w:val="FootnoteReference"/>
        </w:rPr>
        <w:footnoteRef/>
      </w:r>
      <w:r>
        <w:t xml:space="preserve"> Daugiau informaci</w:t>
      </w:r>
      <w:r>
        <w:t xml:space="preserve">jos: </w:t>
      </w:r>
      <w:hyperlink r:id="rId21" w:history="1">
        <w:r>
          <w:rPr>
            <w:rStyle w:val="Hyperlink"/>
          </w:rPr>
          <w:t>https://ec.europa.eu/regional_policy/en/information/publications/regional-focus/2</w:t>
        </w:r>
        <w:r>
          <w:rPr>
            <w:rStyle w:val="Hyperlink"/>
          </w:rPr>
          <w:t>018/access-to-universities-in-the-eu-a-regional-and-territorial-analysis</w:t>
        </w:r>
      </w:hyperlink>
      <w:r>
        <w:t xml:space="preserve">. </w:t>
      </w:r>
    </w:p>
  </w:footnote>
  <w:footnote w:id="54">
    <w:p w:rsidR="00394061" w:rsidRDefault="00743783">
      <w:pPr>
        <w:pStyle w:val="FootnoteText"/>
      </w:pPr>
      <w:r>
        <w:rPr>
          <w:rStyle w:val="FootnoteReference"/>
        </w:rPr>
        <w:footnoteRef/>
      </w:r>
      <w:r>
        <w:t xml:space="preserve"> Daugiau informacijos: </w:t>
      </w:r>
      <w:hyperlink r:id="rId22" w:anchor="the-chapter" w:history="1">
        <w:r>
          <w:rPr>
            <w:rStyle w:val="Hyperlink"/>
          </w:rPr>
          <w:t>https://urban.jrc.ec.europa.eu/thefutureofcities/ageing#the-chapter</w:t>
        </w:r>
      </w:hyperlink>
      <w:r>
        <w:t>.</w:t>
      </w:r>
    </w:p>
  </w:footnote>
  <w:footnote w:id="55">
    <w:p w:rsidR="00394061" w:rsidRDefault="00743783">
      <w:pPr>
        <w:pStyle w:val="FootnoteText"/>
      </w:pPr>
      <w:r>
        <w:rPr>
          <w:rStyle w:val="FootnoteReference"/>
        </w:rPr>
        <w:footnoteRef/>
      </w:r>
      <w:r>
        <w:t xml:space="preserve"> Forest fires — Sparking fire smart policies in the EU (liet. „Miškų gaisrai. Išmanioji priešgaisrinė politika ES“), Europos Komisija, 2018 m. </w:t>
      </w:r>
    </w:p>
  </w:footnote>
  <w:footnote w:id="56">
    <w:p w:rsidR="00394061" w:rsidRDefault="00743783">
      <w:pPr>
        <w:pStyle w:val="FootnoteText"/>
      </w:pPr>
      <w:r>
        <w:rPr>
          <w:rStyle w:val="FootnoteReference"/>
        </w:rPr>
        <w:footnoteRef/>
      </w:r>
      <w:r>
        <w:t xml:space="preserve"> EBPO, 2018 m. Politikos dokumentas „Rural 3.0 – a framework for rural development“ (liet. „Kaimas 3.0. Kaimo</w:t>
      </w:r>
      <w:r>
        <w:t xml:space="preserve"> plėtros priemonių sistema“). </w:t>
      </w:r>
    </w:p>
    <w:p w:rsidR="00394061" w:rsidRDefault="00743783">
      <w:pPr>
        <w:pStyle w:val="FootnoteText"/>
      </w:pPr>
      <w:hyperlink r:id="rId23" w:history="1">
        <w:r>
          <w:rPr>
            <w:rStyle w:val="Hyperlink"/>
          </w:rPr>
          <w:t>https://www.oecd.org/cfe/regional-policy/Rural-3.0-Policy-Note.pdf</w:t>
        </w:r>
      </w:hyperlink>
      <w:r>
        <w:t xml:space="preserve">. </w:t>
      </w:r>
    </w:p>
  </w:footnote>
  <w:footnote w:id="57">
    <w:p w:rsidR="00394061" w:rsidRDefault="00743783">
      <w:pPr>
        <w:pStyle w:val="FootnoteText"/>
      </w:pPr>
      <w:r>
        <w:rPr>
          <w:rStyle w:val="FootnoteReference"/>
        </w:rPr>
        <w:footnoteRef/>
      </w:r>
      <w:r>
        <w:t xml:space="preserve"> </w:t>
      </w:r>
      <w:hyperlink r:id="rId24" w:history="1">
        <w:r>
          <w:rPr>
            <w:rStyle w:val="Hyperlink"/>
          </w:rPr>
          <w:t>https://ec.europa.eu/regional_policy/en/information/publications/regional-focus/2008/remote-rural-regions-how-proximity-to-a-city-influen</w:t>
        </w:r>
        <w:r>
          <w:rPr>
            <w:rStyle w:val="Hyperlink"/>
          </w:rPr>
          <w:t>ces-the-performance-of-rural-regions</w:t>
        </w:r>
      </w:hyperlink>
      <w:r>
        <w:t xml:space="preserve">. </w:t>
      </w:r>
    </w:p>
  </w:footnote>
  <w:footnote w:id="58">
    <w:p w:rsidR="00394061" w:rsidRDefault="00743783">
      <w:pPr>
        <w:pStyle w:val="FootnoteText"/>
      </w:pPr>
      <w:r>
        <w:rPr>
          <w:rStyle w:val="FootnoteReference"/>
        </w:rPr>
        <w:footnoteRef/>
      </w:r>
      <w:r>
        <w:t xml:space="preserve"> Daugiau informacijos: </w:t>
      </w:r>
      <w:hyperlink r:id="rId25" w:history="1">
        <w:r>
          <w:rPr>
            <w:rStyle w:val="Hyperlink"/>
          </w:rPr>
          <w:t>http://www.fao.org/global-perspectives-studies/en</w:t>
        </w:r>
      </w:hyperlink>
      <w:r>
        <w:t xml:space="preserve">. </w:t>
      </w:r>
    </w:p>
  </w:footnote>
  <w:footnote w:id="59">
    <w:p w:rsidR="00394061" w:rsidRDefault="00743783">
      <w:pPr>
        <w:pStyle w:val="FootnoteText"/>
      </w:pPr>
      <w:r>
        <w:rPr>
          <w:rStyle w:val="FootnoteReference"/>
        </w:rPr>
        <w:footnoteRef/>
      </w:r>
      <w:r>
        <w:t xml:space="preserve"> Daugiau informacijos: </w:t>
      </w:r>
      <w:hyperlink r:id="rId26" w:history="1">
        <w:r>
          <w:rPr>
            <w:rStyle w:val="Hyperlink"/>
          </w:rPr>
          <w:t>https://ec.europa.eu/info/strategy/priorities-2019-2024/european-green-deal_lt</w:t>
        </w:r>
      </w:hyperlink>
      <w:r>
        <w:t>.</w:t>
      </w:r>
      <w:r>
        <w:rPr>
          <w:color w:val="1F497D"/>
        </w:rPr>
        <w:t xml:space="preserve"> </w:t>
      </w:r>
    </w:p>
  </w:footnote>
  <w:footnote w:id="60">
    <w:p w:rsidR="00394061" w:rsidRDefault="00743783">
      <w:pPr>
        <w:pStyle w:val="FootnoteText"/>
      </w:pPr>
      <w:r>
        <w:rPr>
          <w:rStyle w:val="FootnoteReference"/>
        </w:rPr>
        <w:footnoteRef/>
      </w:r>
      <w:r>
        <w:t xml:space="preserve"> Daugiau informacijos: </w:t>
      </w:r>
      <w:hyperlink r:id="rId27" w:history="1">
        <w:r>
          <w:rPr>
            <w:rStyle w:val="Hyperlink"/>
          </w:rPr>
          <w:t>https://news.un.org/en/story/2019/07/1043551</w:t>
        </w:r>
      </w:hyperlink>
      <w:r>
        <w:t xml:space="preserve">. </w:t>
      </w:r>
    </w:p>
  </w:footnote>
  <w:footnote w:id="61">
    <w:p w:rsidR="00394061" w:rsidRDefault="00743783">
      <w:pPr>
        <w:pStyle w:val="FootnoteText"/>
      </w:pPr>
      <w:r>
        <w:rPr>
          <w:rStyle w:val="FootnoteReference"/>
        </w:rPr>
        <w:footnoteRef/>
      </w:r>
      <w:r>
        <w:t xml:space="preserve"> Daugiau informacijos: </w:t>
      </w:r>
      <w:hyperlink r:id="rId28" w:history="1">
        <w:r>
          <w:rPr>
            <w:rStyle w:val="Hyperlink"/>
          </w:rPr>
          <w:t>https://openknowledge.worldbank.org/handle/10986/29461</w:t>
        </w:r>
      </w:hyperlink>
      <w:r>
        <w:t xml:space="preserve">. </w:t>
      </w:r>
    </w:p>
  </w:footnote>
  <w:footnote w:id="62">
    <w:p w:rsidR="00394061" w:rsidRDefault="00743783">
      <w:pPr>
        <w:pStyle w:val="FootnoteText"/>
      </w:pPr>
      <w:r>
        <w:rPr>
          <w:rStyle w:val="FootnoteReference"/>
        </w:rPr>
        <w:footnoteRef/>
      </w:r>
      <w:r>
        <w:t xml:space="preserve"> Daugiau informacijos apie 2019 m. JT pasaulio gyventojų skaičiaus perspektyvų peržiūrą pateikta pusla</w:t>
      </w:r>
      <w:r>
        <w:t xml:space="preserve">pyje </w:t>
      </w:r>
      <w:hyperlink r:id="rId29" w:history="1">
        <w:r>
          <w:rPr>
            <w:rStyle w:val="Hyperlink"/>
          </w:rPr>
          <w:t>https://population.un.org/wpp/</w:t>
        </w:r>
      </w:hyperlink>
      <w:r>
        <w:t>.</w:t>
      </w:r>
    </w:p>
    <w:p w:rsidR="00394061" w:rsidRDefault="00394061">
      <w:pPr>
        <w:pStyle w:val="FootnoteText"/>
      </w:pPr>
    </w:p>
  </w:footnote>
  <w:footnote w:id="63">
    <w:p w:rsidR="00394061" w:rsidRDefault="00743783">
      <w:pPr>
        <w:pStyle w:val="FootnoteText"/>
      </w:pPr>
      <w:r>
        <w:rPr>
          <w:rStyle w:val="FootnoteReference"/>
        </w:rPr>
        <w:footnoteRef/>
      </w:r>
      <w:r>
        <w:t xml:space="preserve"> Šaltinis: Pasaulio bankas, BVP PGP (perkamosios galios pariteto) duomenys iš pasaulio vystymosi rodiklių duomenų bazės.</w:t>
      </w:r>
    </w:p>
  </w:footnote>
  <w:footnote w:id="64">
    <w:p w:rsidR="00394061" w:rsidRDefault="00743783">
      <w:pPr>
        <w:pStyle w:val="FootnoteText"/>
      </w:pPr>
      <w:r>
        <w:rPr>
          <w:rStyle w:val="FootnoteReference"/>
        </w:rPr>
        <w:footnoteRef/>
      </w:r>
      <w:r>
        <w:t xml:space="preserve"> JOIN(2020) 4 </w:t>
      </w:r>
      <w:r>
        <w:rPr>
          <w:i/>
        </w:rPr>
        <w:t>final</w:t>
      </w:r>
      <w:r>
        <w:t>, 2020-03-09.</w:t>
      </w:r>
    </w:p>
  </w:footnote>
  <w:footnote w:id="65">
    <w:p w:rsidR="00394061" w:rsidRDefault="00743783">
      <w:r>
        <w:rPr>
          <w:rStyle w:val="FootnoteReference"/>
        </w:rPr>
        <w:footnoteRef/>
      </w:r>
      <w:r>
        <w:rPr>
          <w:rFonts w:ascii="Times New Roman" w:hAnsi="Times New Roman"/>
          <w:sz w:val="18"/>
          <w:szCs w:val="18"/>
        </w:rPr>
        <w:t xml:space="preserve"> </w:t>
      </w:r>
      <w:hyperlink r:id="rId30" w:history="1">
        <w:r>
          <w:rPr>
            <w:rStyle w:val="Hyperlink"/>
            <w:rFonts w:ascii="Times New Roman" w:hAnsi="Times New Roman"/>
            <w:sz w:val="18"/>
            <w:szCs w:val="18"/>
          </w:rPr>
          <w:t>https://ec.europa.eu/regional_policy/en/information/publications/working-papers/2018/the-geography-of-eu-discontent</w:t>
        </w:r>
      </w:hyperlink>
      <w:r>
        <w:t>.</w:t>
      </w:r>
      <w:r>
        <w:rPr>
          <w:rFonts w:ascii="Times New Roman" w:hAnsi="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061" w:rsidRDefault="003940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061" w:rsidRDefault="0039406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061" w:rsidRDefault="0039406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061" w:rsidRDefault="003940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061" w:rsidRDefault="0039406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061" w:rsidRDefault="003940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D486AEA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9AE2513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11D315F"/>
    <w:multiLevelType w:val="hybridMultilevel"/>
    <w:tmpl w:val="D9D2F188"/>
    <w:lvl w:ilvl="0" w:tplc="0809000F">
      <w:start w:val="4"/>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20B7201"/>
    <w:multiLevelType w:val="multilevel"/>
    <w:tmpl w:val="76D0A3B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C068DFE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C346FAF0"/>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E94A4A3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9D506B74"/>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886C261E"/>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256E4D4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36324F1E"/>
    <w:multiLevelType w:val="multilevel"/>
    <w:tmpl w:val="68AE4384"/>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7CB1E1C"/>
    <w:multiLevelType w:val="multilevel"/>
    <w:tmpl w:val="B604571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A7730C4"/>
    <w:multiLevelType w:val="multilevel"/>
    <w:tmpl w:val="D6FC2BB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429E662A"/>
    <w:multiLevelType w:val="multilevel"/>
    <w:tmpl w:val="2D4C222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4E1A982C"/>
    <w:multiLevelType w:val="multilevel"/>
    <w:tmpl w:val="DC1A72A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5072619B"/>
    <w:multiLevelType w:val="multilevel"/>
    <w:tmpl w:val="7F3CB8D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53A234F1"/>
    <w:multiLevelType w:val="hybridMultilevel"/>
    <w:tmpl w:val="718EAD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977472E"/>
    <w:multiLevelType w:val="multilevel"/>
    <w:tmpl w:val="FCB42AC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7B0D7648"/>
    <w:multiLevelType w:val="hybridMultilevel"/>
    <w:tmpl w:val="F2624902"/>
    <w:lvl w:ilvl="0" w:tplc="08090019">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9" w15:restartNumberingAfterBreak="0">
    <w:nsid w:val="7C65145E"/>
    <w:multiLevelType w:val="multilevel"/>
    <w:tmpl w:val="2BF24F5C"/>
    <w:name w:val="EurolookHeading"/>
    <w:lvl w:ilvl="0">
      <w:start w:val="1"/>
      <w:numFmt w:val="decimal"/>
      <w:pStyle w:val="Heading1"/>
      <w:lvlText w:val="%1."/>
      <w:lvlJc w:val="left"/>
      <w:pPr>
        <w:tabs>
          <w:tab w:val="num" w:pos="624"/>
        </w:tabs>
        <w:ind w:left="624" w:hanging="482"/>
      </w:pPr>
      <w:rPr>
        <w:color w:val="auto"/>
        <w:sz w:val="28"/>
      </w:rPr>
    </w:lvl>
    <w:lvl w:ilvl="1">
      <w:start w:val="1"/>
      <w:numFmt w:val="decimal"/>
      <w:lvlText w:val="%1.%2."/>
      <w:lvlJc w:val="left"/>
      <w:pPr>
        <w:tabs>
          <w:tab w:val="num" w:pos="1202"/>
        </w:tabs>
        <w:ind w:left="1202" w:hanging="720"/>
      </w:pPr>
    </w:lvl>
    <w:lvl w:ilvl="2">
      <w:start w:val="1"/>
      <w:numFmt w:val="decimal"/>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0"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0"/>
  </w:num>
  <w:num w:numId="3">
    <w:abstractNumId w:val="7"/>
  </w:num>
  <w:num w:numId="4">
    <w:abstractNumId w:val="11"/>
  </w:num>
  <w:num w:numId="5">
    <w:abstractNumId w:val="15"/>
  </w:num>
  <w:num w:numId="6">
    <w:abstractNumId w:val="17"/>
  </w:num>
  <w:num w:numId="7">
    <w:abstractNumId w:val="1"/>
  </w:num>
  <w:num w:numId="8">
    <w:abstractNumId w:val="6"/>
  </w:num>
  <w:num w:numId="9">
    <w:abstractNumId w:val="13"/>
  </w:num>
  <w:num w:numId="10">
    <w:abstractNumId w:val="3"/>
  </w:num>
  <w:num w:numId="11">
    <w:abstractNumId w:val="4"/>
  </w:num>
  <w:num w:numId="12">
    <w:abstractNumId w:val="5"/>
  </w:num>
  <w:num w:numId="13">
    <w:abstractNumId w:val="8"/>
  </w:num>
  <w:num w:numId="14">
    <w:abstractNumId w:val="12"/>
  </w:num>
  <w:num w:numId="15">
    <w:abstractNumId w:val="14"/>
  </w:num>
  <w:num w:numId="16">
    <w:abstractNumId w:val="19"/>
  </w:num>
  <w:num w:numId="17">
    <w:abstractNumId w:val="9"/>
  </w:num>
  <w:num w:numId="18">
    <w:abstractNumId w:val="20"/>
  </w:num>
  <w:num w:numId="19">
    <w:abstractNumId w:val="2"/>
  </w:num>
  <w:num w:numId="20">
    <w:abstractNumId w:val="16"/>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0"/>
  <w:removePersonalInformation/>
  <w:removeDateAndTime/>
  <w:hideSpellingErrors/>
  <w:hideGrammaticalErrors/>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75A6C8D-F95A-4C63-9074-A5C910AE53C7"/>
    <w:docVar w:name="LW_COVERPAGE_TYPE" w:val="1"/>
    <w:docVar w:name="LW_CROSSREFERENCE" w:val="{SWD(2020) 109 final}"/>
    <w:docVar w:name="LW_DocType" w:val="NORMAL"/>
    <w:docVar w:name="LW_EMISSION" w:val="2020 06 17"/>
    <w:docVar w:name="LW_EMISSION_ISODATE" w:val="2020-06-17"/>
    <w:docVar w:name="LW_EMISSION_LOCATION" w:val="BRX"/>
    <w:docVar w:name="LW_EMISSION_PREFIX" w:val="Briuselis, "/>
    <w:docVar w:name="LW_EMISSION_SUFFIX" w:val=" "/>
    <w:docVar w:name="LW_ID_DOCTYPE_NONLW" w:val="CP-008"/>
    <w:docVar w:name="LW_LANGUE" w:val="LT"/>
    <w:docVar w:name="LW_LEVEL_OF_SENSITIVITY" w:val="Standard treatment"/>
    <w:docVar w:name="LW_NOM.INST" w:val="EUROPOS KOMISIJA"/>
    <w:docVar w:name="LW_NOM.INST_JOINTDOC" w:val="&lt;EMPTY&gt;"/>
    <w:docVar w:name="LW_PART_NBR" w:val="1"/>
    <w:docVar w:name="LW_PART_NBR_TOTAL" w:val="1"/>
    <w:docVar w:name="LW_REF.INST.NEW" w:val="COM"/>
    <w:docVar w:name="LW_REF.INST.NEW_ADOPTED" w:val="final"/>
    <w:docVar w:name="LW_REF.INST.NEW_TEXT" w:val="(2020) 2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u279?l demografini\u371? poky\u269?i\u371? poveikio"/>
    <w:docVar w:name="LW_TYPE.DOC.CP" w:val="KOMISIJOS ATASKAITA EUROPOS PARLAMENTUI, TARYBAI, EUROPOS EKONOMIKOS IR SOCIALINI\u370? REIKAL\u370? KOMITETUI IR REGION\u370? KOMITETUI"/>
  </w:docVars>
  <w:rsids>
    <w:rsidRoot w:val="00394061"/>
    <w:rsid w:val="00394061"/>
    <w:rsid w:val="007437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0" w:qFormat="1"/>
    <w:lsdException w:name="heading 2" w:semiHidden="1" w:uiPriority="90" w:unhideWhenUsed="1" w:qFormat="1"/>
    <w:lsdException w:name="heading 3" w:semiHidden="1" w:uiPriority="90" w:unhideWhenUsed="1" w:qFormat="1"/>
    <w:lsdException w:name="heading 4" w:semiHidden="1" w:uiPriority="9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uiPriority w:val="90"/>
    <w:qFormat/>
    <w:pPr>
      <w:keepNext/>
      <w:numPr>
        <w:numId w:val="16"/>
      </w:numPr>
      <w:spacing w:before="240" w:after="240" w:line="240" w:lineRule="auto"/>
      <w:jc w:val="both"/>
      <w:outlineLvl w:val="0"/>
    </w:pPr>
    <w:rPr>
      <w:rFonts w:ascii="Times New Roman" w:eastAsia="Times New Roman" w:hAnsi="Times New Roman" w:cs="Times New Roman"/>
      <w:b/>
      <w:smallCaps/>
      <w:sz w:val="24"/>
      <w:szCs w:val="20"/>
      <w:lang w:eastAsia="en-GB"/>
    </w:rPr>
  </w:style>
  <w:style w:type="paragraph" w:styleId="Heading2">
    <w:name w:val="heading 2"/>
    <w:basedOn w:val="Normal"/>
    <w:next w:val="Text2"/>
    <w:link w:val="Heading2Char"/>
    <w:uiPriority w:val="90"/>
    <w:qFormat/>
    <w:pPr>
      <w:jc w:val="both"/>
      <w:outlineLvl w:val="1"/>
    </w:pPr>
    <w:rPr>
      <w:rFonts w:ascii="Times New Roman" w:hAnsi="Times New Roman" w:cs="Times New Roman"/>
      <w:b/>
      <w:sz w:val="24"/>
      <w:szCs w:val="24"/>
    </w:rPr>
  </w:style>
  <w:style w:type="paragraph" w:styleId="Heading3">
    <w:name w:val="heading 3"/>
    <w:basedOn w:val="Normal"/>
    <w:next w:val="Text3"/>
    <w:link w:val="Heading3Char"/>
    <w:uiPriority w:val="90"/>
    <w:qFormat/>
    <w:pPr>
      <w:jc w:val="both"/>
      <w:outlineLvl w:val="2"/>
    </w:pPr>
    <w:rPr>
      <w:rFonts w:ascii="Times New Roman" w:hAnsi="Times New Roman" w:cs="Times New Roman"/>
      <w:b/>
      <w:sz w:val="24"/>
      <w:szCs w:val="24"/>
    </w:rPr>
  </w:style>
  <w:style w:type="paragraph" w:styleId="Heading4">
    <w:name w:val="heading 4"/>
    <w:basedOn w:val="Normal"/>
    <w:next w:val="Text4"/>
    <w:link w:val="Heading4Char"/>
    <w:uiPriority w:val="90"/>
    <w:qFormat/>
    <w:pPr>
      <w:keepNext/>
      <w:numPr>
        <w:ilvl w:val="3"/>
        <w:numId w:val="16"/>
      </w:numPr>
      <w:spacing w:after="240" w:line="240" w:lineRule="auto"/>
      <w:jc w:val="both"/>
      <w:outlineLvl w:val="3"/>
    </w:pPr>
    <w:rPr>
      <w:rFonts w:ascii="Times New Roman" w:eastAsia="Times New Roman" w:hAnsi="Times New Roman" w:cs="Times New Roman"/>
      <w:sz w:val="24"/>
      <w:szCs w:val="20"/>
      <w:lang w:eastAsia="en-GB"/>
    </w:rPr>
  </w:style>
  <w:style w:type="paragraph" w:styleId="Heading5">
    <w:name w:val="heading 5"/>
    <w:basedOn w:val="Normal"/>
    <w:next w:val="Normal"/>
    <w:link w:val="Heading5Char"/>
    <w:semiHidden/>
    <w:pPr>
      <w:keepNext/>
      <w:numPr>
        <w:ilvl w:val="4"/>
        <w:numId w:val="16"/>
      </w:numPr>
      <w:spacing w:after="240" w:line="240" w:lineRule="auto"/>
      <w:jc w:val="both"/>
      <w:outlineLvl w:val="4"/>
    </w:pPr>
    <w:rPr>
      <w:rFonts w:ascii="Times New Roman" w:eastAsia="Times New Roman" w:hAnsi="Times New Roman" w:cs="Times New Roman"/>
      <w:sz w:val="24"/>
      <w:szCs w:val="20"/>
      <w:lang w:eastAsia="en-GB"/>
    </w:rPr>
  </w:style>
  <w:style w:type="paragraph" w:styleId="Heading6">
    <w:name w:val="heading 6"/>
    <w:basedOn w:val="Normal"/>
    <w:next w:val="Normal"/>
    <w:link w:val="Heading6Char"/>
    <w:semiHidden/>
    <w:pPr>
      <w:keepNext/>
      <w:numPr>
        <w:ilvl w:val="5"/>
        <w:numId w:val="16"/>
      </w:numPr>
      <w:spacing w:after="240" w:line="240" w:lineRule="auto"/>
      <w:jc w:val="both"/>
      <w:outlineLvl w:val="5"/>
    </w:pPr>
    <w:rPr>
      <w:rFonts w:ascii="Times New Roman" w:eastAsia="Times New Roman" w:hAnsi="Times New Roman" w:cs="Times New Roman"/>
      <w:sz w:val="24"/>
      <w:szCs w:val="20"/>
      <w:lang w:eastAsia="en-GB"/>
    </w:rPr>
  </w:style>
  <w:style w:type="paragraph" w:styleId="Heading7">
    <w:name w:val="heading 7"/>
    <w:basedOn w:val="Normal"/>
    <w:next w:val="Normal"/>
    <w:link w:val="Heading7Char"/>
    <w:semiHidden/>
    <w:pPr>
      <w:keepNext/>
      <w:numPr>
        <w:ilvl w:val="6"/>
        <w:numId w:val="16"/>
      </w:numPr>
      <w:spacing w:after="240" w:line="240" w:lineRule="auto"/>
      <w:jc w:val="both"/>
      <w:outlineLvl w:val="6"/>
    </w:pPr>
    <w:rPr>
      <w:rFonts w:ascii="Times New Roman" w:eastAsia="Times New Roman" w:hAnsi="Times New Roman" w:cs="Times New Roman"/>
      <w:sz w:val="24"/>
      <w:szCs w:val="20"/>
      <w:lang w:eastAsia="en-GB"/>
    </w:rPr>
  </w:style>
  <w:style w:type="paragraph" w:styleId="Heading8">
    <w:name w:val="heading 8"/>
    <w:basedOn w:val="Normal"/>
    <w:next w:val="Normal"/>
    <w:link w:val="Heading8Char"/>
    <w:semiHidden/>
    <w:pPr>
      <w:keepNext/>
      <w:numPr>
        <w:ilvl w:val="7"/>
        <w:numId w:val="16"/>
      </w:numPr>
      <w:spacing w:after="240" w:line="240" w:lineRule="auto"/>
      <w:jc w:val="both"/>
      <w:outlineLvl w:val="7"/>
    </w:pPr>
    <w:rPr>
      <w:rFonts w:ascii="Times New Roman" w:eastAsia="Times New Roman" w:hAnsi="Times New Roman" w:cs="Times New Roman"/>
      <w:sz w:val="24"/>
      <w:szCs w:val="20"/>
      <w:lang w:eastAsia="en-GB"/>
    </w:rPr>
  </w:style>
  <w:style w:type="paragraph" w:styleId="Heading9">
    <w:name w:val="heading 9"/>
    <w:basedOn w:val="Normal"/>
    <w:next w:val="Normal"/>
    <w:link w:val="Heading9Char"/>
    <w:semiHidden/>
    <w:pPr>
      <w:keepNext/>
      <w:numPr>
        <w:ilvl w:val="8"/>
        <w:numId w:val="16"/>
      </w:numPr>
      <w:spacing w:after="240" w:line="240" w:lineRule="auto"/>
      <w:jc w:val="both"/>
      <w:outlineLvl w:val="8"/>
    </w:pPr>
    <w:rPr>
      <w:rFonts w:ascii="Times New Roman" w:eastAsia="Times New Roman" w:hAnsi="Times New Roman"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eastAsia="en-GB"/>
    </w:rPr>
  </w:style>
  <w:style w:type="character" w:customStyle="1" w:styleId="Heading2Char">
    <w:name w:val="Heading 2 Char"/>
    <w:basedOn w:val="DefaultParagraphFont"/>
    <w:link w:val="Heading2"/>
    <w:uiPriority w:val="90"/>
    <w:rPr>
      <w:rFonts w:ascii="Times New Roman" w:hAnsi="Times New Roman" w:cs="Times New Roman"/>
      <w:b/>
      <w:sz w:val="24"/>
      <w:szCs w:val="24"/>
      <w:lang w:val="lt-LT"/>
    </w:rPr>
  </w:style>
  <w:style w:type="character" w:customStyle="1" w:styleId="Heading3Char">
    <w:name w:val="Heading 3 Char"/>
    <w:basedOn w:val="DefaultParagraphFont"/>
    <w:link w:val="Heading3"/>
    <w:uiPriority w:val="90"/>
    <w:rPr>
      <w:rFonts w:ascii="Times New Roman" w:hAnsi="Times New Roman" w:cs="Times New Roman"/>
      <w:b/>
      <w:sz w:val="24"/>
      <w:szCs w:val="24"/>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eastAsia="en-GB"/>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eastAsia="en-GB"/>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eastAsia="en-GB"/>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eastAsia="en-GB"/>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eastAsia="en-GB"/>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eastAsia="en-GB"/>
    </w:rPr>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pPr>
      <w:spacing w:after="240" w:line="240" w:lineRule="auto"/>
      <w:jc w:val="both"/>
    </w:pPr>
    <w:rPr>
      <w:rFonts w:ascii="Times New Roman" w:eastAsia="Times New Roman" w:hAnsi="Times New Roman" w:cs="Times New Roman"/>
      <w:sz w:val="20"/>
      <w:szCs w:val="20"/>
      <w:lang w:eastAsia="en-GB"/>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line="240" w:lineRule="auto"/>
      <w:jc w:val="both"/>
    </w:pPr>
    <w:rPr>
      <w:rFonts w:ascii="Times New Roman" w:eastAsia="Times New Roman" w:hAnsi="Times New Roman" w:cs="Times New Roman"/>
      <w:sz w:val="24"/>
      <w:szCs w:val="20"/>
      <w:lang w:eastAsia="en-GB"/>
    </w:rPr>
  </w:style>
  <w:style w:type="paragraph" w:customStyle="1" w:styleId="FigureTitle">
    <w:name w:val="Figure Title"/>
    <w:basedOn w:val="Normal"/>
    <w:next w:val="FigureBody"/>
    <w:uiPriority w:val="6"/>
    <w:pPr>
      <w:keepNext/>
      <w:spacing w:after="180" w:line="240" w:lineRule="auto"/>
      <w:jc w:val="both"/>
    </w:pPr>
    <w:rPr>
      <w:rFonts w:ascii="Times New Roman" w:eastAsia="Times New Roman" w:hAnsi="Times New Roman" w:cs="Times New Roman"/>
      <w:b/>
      <w:sz w:val="24"/>
      <w:szCs w:val="20"/>
      <w:lang w:eastAsia="en-GB"/>
    </w:rPr>
  </w:style>
  <w:style w:type="paragraph" w:customStyle="1" w:styleId="HistTableHeading">
    <w:name w:val="HistTableHeading"/>
    <w:basedOn w:val="Normal"/>
    <w:next w:val="HistoryTable"/>
    <w:pPr>
      <w:spacing w:before="240" w:after="240" w:line="240" w:lineRule="auto"/>
      <w:jc w:val="center"/>
    </w:pPr>
    <w:rPr>
      <w:rFonts w:ascii="Times New Roman Bold" w:eastAsia="Times New Roman" w:hAnsi="Times New Roman Bold" w:cs="Times New Roman"/>
      <w:b/>
      <w:caps/>
      <w:sz w:val="24"/>
      <w:szCs w:val="20"/>
      <w:lang w:eastAsia="en-GB"/>
    </w:rPr>
  </w:style>
  <w:style w:type="paragraph" w:customStyle="1" w:styleId="HistoryTable">
    <w:name w:val="HistoryTable"/>
    <w:basedOn w:val="Normal"/>
    <w:pPr>
      <w:spacing w:before="60" w:after="60" w:line="240" w:lineRule="auto"/>
    </w:pPr>
    <w:rPr>
      <w:rFonts w:ascii="Times New Roman" w:eastAsia="Times New Roman" w:hAnsi="Times New Roman" w:cs="Times New Roman"/>
      <w:sz w:val="20"/>
      <w:szCs w:val="20"/>
      <w:lang w:eastAsia="en-GB"/>
    </w:rPr>
  </w:style>
  <w:style w:type="paragraph" w:customStyle="1" w:styleId="FooterLine">
    <w:name w:val="Footer Line"/>
    <w:basedOn w:val="Footer"/>
    <w:next w:val="Footer"/>
    <w:uiPriority w:val="99"/>
    <w:pPr>
      <w:tabs>
        <w:tab w:val="clear" w:pos="4513"/>
        <w:tab w:val="clear" w:pos="9026"/>
        <w:tab w:val="right" w:pos="8646"/>
      </w:tabs>
      <w:spacing w:before="120" w:line="264" w:lineRule="auto"/>
      <w:jc w:val="both"/>
    </w:pPr>
    <w:rPr>
      <w:rFonts w:ascii="Times New Roman" w:eastAsia="Times New Roman" w:hAnsi="Times New Roman" w:cs="Times New Roman"/>
      <w:sz w:val="16"/>
      <w:szCs w:val="20"/>
      <w:lang w:eastAsia="en-GB"/>
    </w:rPr>
  </w:style>
  <w:style w:type="paragraph" w:customStyle="1" w:styleId="YReferences">
    <w:name w:val="YReferences"/>
    <w:basedOn w:val="Normal"/>
    <w:pPr>
      <w:spacing w:after="480" w:line="240" w:lineRule="auto"/>
      <w:ind w:left="3062" w:hanging="1531"/>
      <w:contextualSpacing/>
      <w:jc w:val="both"/>
    </w:pPr>
    <w:rPr>
      <w:rFonts w:ascii="Times New Roman" w:eastAsia="Times New Roman" w:hAnsi="Times New Roman" w:cs="Times New Roman"/>
      <w:sz w:val="24"/>
      <w:szCs w:val="20"/>
      <w:lang w:eastAsia="en-GB"/>
    </w:rPr>
  </w:style>
  <w:style w:type="paragraph" w:customStyle="1" w:styleId="SubTitle2">
    <w:name w:val="SubTitle 2"/>
    <w:basedOn w:val="Normal"/>
    <w:pPr>
      <w:spacing w:after="240" w:line="240" w:lineRule="auto"/>
      <w:jc w:val="center"/>
    </w:pPr>
    <w:rPr>
      <w:rFonts w:ascii="Times New Roman" w:eastAsia="Times New Roman" w:hAnsi="Times New Roman" w:cs="Times New Roman"/>
      <w:b/>
      <w:sz w:val="32"/>
      <w:szCs w:val="20"/>
      <w:lang w:eastAsia="en-GB"/>
    </w:rPr>
  </w:style>
  <w:style w:type="paragraph" w:customStyle="1" w:styleId="SubTitle1">
    <w:name w:val="SubTitle 1"/>
    <w:basedOn w:val="Normal"/>
    <w:next w:val="SubTitle2"/>
    <w:pPr>
      <w:spacing w:after="240" w:line="240" w:lineRule="auto"/>
      <w:jc w:val="center"/>
    </w:pPr>
    <w:rPr>
      <w:rFonts w:ascii="Times New Roman" w:eastAsia="Times New Roman" w:hAnsi="Times New Roman" w:cs="Times New Roman"/>
      <w:b/>
      <w:sz w:val="40"/>
      <w:szCs w:val="20"/>
      <w:lang w:eastAsia="en-GB"/>
    </w:rPr>
  </w:style>
  <w:style w:type="paragraph" w:styleId="Title">
    <w:name w:val="Title"/>
    <w:basedOn w:val="Normal"/>
    <w:next w:val="SubTitle1"/>
    <w:link w:val="TitleChar"/>
    <w:pPr>
      <w:spacing w:after="480" w:line="240" w:lineRule="auto"/>
      <w:jc w:val="center"/>
    </w:pPr>
    <w:rPr>
      <w:rFonts w:ascii="Times New Roman" w:eastAsia="Times New Roman" w:hAnsi="Times New Roman" w:cs="Times New Roman"/>
      <w:b/>
      <w:kern w:val="28"/>
      <w:sz w:val="48"/>
      <w:szCs w:val="20"/>
      <w:lang w:eastAsia="en-GB"/>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lang w:eastAsia="en-GB"/>
    </w:rPr>
  </w:style>
  <w:style w:type="paragraph" w:customStyle="1" w:styleId="Enclosures">
    <w:name w:val="Enclosures"/>
    <w:basedOn w:val="Normal"/>
    <w:pPr>
      <w:keepNext/>
      <w:keepLines/>
      <w:tabs>
        <w:tab w:val="left" w:pos="5641"/>
      </w:tabs>
      <w:spacing w:before="480" w:after="0" w:line="240" w:lineRule="auto"/>
      <w:ind w:left="2382" w:hanging="1191"/>
      <w:contextualSpacing/>
    </w:pPr>
    <w:rPr>
      <w:rFonts w:ascii="Times New Roman" w:eastAsia="Times New Roman" w:hAnsi="Times New Roman" w:cs="Times New Roman"/>
      <w:sz w:val="24"/>
      <w:szCs w:val="20"/>
      <w:lang w:eastAsia="en-GB"/>
    </w:rPr>
  </w:style>
  <w:style w:type="paragraph" w:customStyle="1" w:styleId="DoubSign">
    <w:name w:val="DoubSign"/>
    <w:basedOn w:val="Normal"/>
    <w:next w:val="Enclosures"/>
    <w:pPr>
      <w:tabs>
        <w:tab w:val="left" w:pos="5102"/>
      </w:tabs>
      <w:spacing w:before="1200" w:after="0" w:line="240" w:lineRule="auto"/>
    </w:pPr>
    <w:rPr>
      <w:rFonts w:ascii="Times New Roman" w:eastAsia="Times New Roman" w:hAnsi="Times New Roman" w:cs="Times New Roman"/>
      <w:sz w:val="24"/>
      <w:szCs w:val="20"/>
      <w:lang w:eastAsia="en-GB"/>
    </w:rPr>
  </w:style>
  <w:style w:type="paragraph" w:customStyle="1" w:styleId="SignatureL">
    <w:name w:val="SignatureL"/>
    <w:basedOn w:val="Normal"/>
    <w:next w:val="Enclosures"/>
    <w:pPr>
      <w:tabs>
        <w:tab w:val="left" w:pos="5102"/>
      </w:tabs>
      <w:spacing w:before="1200" w:after="0" w:line="240" w:lineRule="auto"/>
    </w:pPr>
    <w:rPr>
      <w:rFonts w:ascii="Times New Roman" w:eastAsia="Times New Roman" w:hAnsi="Times New Roman" w:cs="Times New Roman"/>
      <w:sz w:val="24"/>
      <w:szCs w:val="20"/>
      <w:lang w:eastAsia="en-GB"/>
    </w:rPr>
  </w:style>
  <w:style w:type="paragraph" w:styleId="Signature">
    <w:name w:val="Signature"/>
    <w:basedOn w:val="Normal"/>
    <w:next w:val="Enclosures"/>
    <w:link w:val="SignatureChar"/>
    <w:pPr>
      <w:tabs>
        <w:tab w:val="left" w:pos="5102"/>
      </w:tabs>
      <w:spacing w:before="1200" w:after="0" w:line="240" w:lineRule="auto"/>
      <w:ind w:left="5102"/>
      <w:jc w:val="center"/>
    </w:pPr>
    <w:rPr>
      <w:rFonts w:ascii="Times New Roman" w:eastAsia="Times New Roman" w:hAnsi="Times New Roman" w:cs="Times New Roman"/>
      <w:sz w:val="24"/>
      <w:szCs w:val="20"/>
      <w:lang w:eastAsia="en-GB"/>
    </w:rPr>
  </w:style>
  <w:style w:type="character" w:customStyle="1" w:styleId="SignatureChar">
    <w:name w:val="Signature Char"/>
    <w:basedOn w:val="DefaultParagraphFont"/>
    <w:link w:val="Signature"/>
    <w:rPr>
      <w:rFonts w:ascii="Times New Roman" w:eastAsia="Times New Roman" w:hAnsi="Times New Roman" w:cs="Times New Roman"/>
      <w:sz w:val="24"/>
      <w:szCs w:val="20"/>
      <w:lang w:eastAsia="en-GB"/>
    </w:rPr>
  </w:style>
  <w:style w:type="paragraph" w:customStyle="1" w:styleId="SectionTitle">
    <w:name w:val="SectionTitle"/>
    <w:basedOn w:val="Normal"/>
    <w:next w:val="Heading1"/>
    <w:uiPriority w:val="90"/>
    <w:qFormat/>
    <w:pPr>
      <w:keepNext/>
      <w:spacing w:after="480" w:line="240" w:lineRule="auto"/>
      <w:jc w:val="center"/>
      <w:outlineLvl w:val="0"/>
    </w:pPr>
    <w:rPr>
      <w:rFonts w:ascii="Times New Roman" w:eastAsia="Times New Roman" w:hAnsi="Times New Roman" w:cs="Times New Roman"/>
      <w:b/>
      <w:smallCaps/>
      <w:sz w:val="28"/>
      <w:szCs w:val="20"/>
      <w:lang w:eastAsia="en-GB"/>
    </w:rPr>
  </w:style>
  <w:style w:type="paragraph" w:customStyle="1" w:styleId="ChapterTitle">
    <w:name w:val="ChapterTitle"/>
    <w:basedOn w:val="Normal"/>
    <w:next w:val="SectionTitle"/>
    <w:uiPriority w:val="90"/>
    <w:qFormat/>
    <w:pPr>
      <w:keepNext/>
      <w:spacing w:after="480" w:line="240" w:lineRule="auto"/>
      <w:jc w:val="center"/>
      <w:outlineLvl w:val="0"/>
    </w:pPr>
    <w:rPr>
      <w:rFonts w:ascii="Times New Roman" w:eastAsia="Times New Roman" w:hAnsi="Times New Roman" w:cs="Times New Roman"/>
      <w:b/>
      <w:sz w:val="32"/>
      <w:szCs w:val="20"/>
      <w:lang w:eastAsia="en-GB"/>
    </w:rPr>
  </w:style>
  <w:style w:type="paragraph" w:customStyle="1" w:styleId="PartTitle">
    <w:name w:val="PartTitle"/>
    <w:basedOn w:val="Normal"/>
    <w:next w:val="ChapterTitle"/>
    <w:uiPriority w:val="90"/>
    <w:qFormat/>
    <w:pPr>
      <w:keepNext/>
      <w:pageBreakBefore/>
      <w:spacing w:after="480" w:line="240" w:lineRule="auto"/>
      <w:jc w:val="center"/>
      <w:outlineLvl w:val="0"/>
    </w:pPr>
    <w:rPr>
      <w:rFonts w:ascii="Times New Roman" w:eastAsia="Times New Roman" w:hAnsi="Times New Roman" w:cs="Times New Roman"/>
      <w:b/>
      <w:sz w:val="36"/>
      <w:szCs w:val="20"/>
      <w:lang w:eastAsia="en-GB"/>
    </w:rPr>
  </w:style>
  <w:style w:type="paragraph" w:customStyle="1" w:styleId="AddressTR">
    <w:name w:val="AddressTR"/>
    <w:basedOn w:val="Normal"/>
    <w:next w:val="Normal"/>
    <w:pPr>
      <w:spacing w:after="720" w:line="240" w:lineRule="auto"/>
      <w:ind w:left="5102"/>
    </w:pPr>
    <w:rPr>
      <w:rFonts w:ascii="Times New Roman" w:eastAsia="Times New Roman" w:hAnsi="Times New Roman" w:cs="Times New Roman"/>
      <w:sz w:val="24"/>
      <w:szCs w:val="20"/>
      <w:lang w:eastAsia="en-GB"/>
    </w:rPr>
  </w:style>
  <w:style w:type="paragraph" w:customStyle="1" w:styleId="AddressTL">
    <w:name w:val="AddressTL"/>
    <w:basedOn w:val="Normal"/>
    <w:next w:val="Normal"/>
    <w:pPr>
      <w:spacing w:after="720" w:line="240" w:lineRule="auto"/>
    </w:pPr>
    <w:rPr>
      <w:rFonts w:ascii="Times New Roman" w:eastAsia="Times New Roman" w:hAnsi="Times New Roman" w:cs="Times New Roman"/>
      <w:sz w:val="24"/>
      <w:szCs w:val="20"/>
      <w:lang w:eastAsia="en-GB"/>
    </w:rPr>
  </w:style>
  <w:style w:type="paragraph" w:customStyle="1" w:styleId="Address">
    <w:name w:val="Address"/>
    <w:basedOn w:val="Normal"/>
    <w:pPr>
      <w:spacing w:after="0" w:line="240" w:lineRule="auto"/>
    </w:pPr>
    <w:rPr>
      <w:rFonts w:ascii="Times New Roman" w:eastAsia="Times New Roman" w:hAnsi="Times New Roman" w:cs="Times New Roman"/>
      <w:sz w:val="24"/>
      <w:szCs w:val="20"/>
      <w:lang w:eastAsia="en-GB"/>
    </w:rPr>
  </w:style>
  <w:style w:type="paragraph" w:customStyle="1" w:styleId="Text4">
    <w:name w:val="Text 4"/>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xt3">
    <w:name w:val="Text 3"/>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xt2">
    <w:name w:val="Text 2"/>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paragraph" w:customStyle="1" w:styleId="ZFlag">
    <w:name w:val="Z_Flag"/>
    <w:basedOn w:val="Normal"/>
    <w:next w:val="Normal"/>
    <w:uiPriority w:val="99"/>
    <w:semiHidden/>
    <w:pPr>
      <w:widowControl w:val="0"/>
      <w:spacing w:after="0" w:line="240" w:lineRule="auto"/>
      <w:ind w:right="85"/>
      <w:jc w:val="both"/>
    </w:pPr>
    <w:rPr>
      <w:rFonts w:ascii="Times New Roman" w:eastAsia="Times New Roman" w:hAnsi="Times New Roman" w:cs="Times New Roman"/>
      <w:sz w:val="24"/>
      <w:szCs w:val="20"/>
      <w:lang w:eastAsia="en-GB"/>
    </w:rPr>
  </w:style>
  <w:style w:type="paragraph" w:customStyle="1" w:styleId="ZCom">
    <w:name w:val="Z_Com"/>
    <w:basedOn w:val="Normal"/>
    <w:next w:val="Normal"/>
    <w:uiPriority w:val="99"/>
    <w:semiHidden/>
    <w:pPr>
      <w:widowControl w:val="0"/>
      <w:spacing w:before="90" w:after="0" w:line="240" w:lineRule="auto"/>
      <w:ind w:right="85"/>
      <w:jc w:val="both"/>
    </w:pPr>
    <w:rPr>
      <w:rFonts w:ascii="Times New Roman" w:eastAsia="Times New Roman" w:hAnsi="Times New Roman" w:cs="Times New Roman"/>
      <w:sz w:val="24"/>
      <w:szCs w:val="20"/>
      <w:lang w:eastAsia="en-GB"/>
    </w:rPr>
  </w:style>
  <w:style w:type="paragraph" w:customStyle="1" w:styleId="ZDGName">
    <w:name w:val="Z_DGName"/>
    <w:basedOn w:val="Normal"/>
    <w:uiPriority w:val="99"/>
    <w:semiHidden/>
    <w:pPr>
      <w:widowControl w:val="0"/>
      <w:spacing w:after="0" w:line="240" w:lineRule="auto"/>
      <w:ind w:right="85"/>
    </w:pPr>
    <w:rPr>
      <w:rFonts w:ascii="Times New Roman" w:eastAsia="Times New Roman" w:hAnsi="Times New Roman" w:cs="Times New Roman"/>
      <w:sz w:val="16"/>
      <w:szCs w:val="20"/>
      <w:lang w:eastAsia="en-GB"/>
    </w:rPr>
  </w:style>
  <w:style w:type="paragraph" w:styleId="Caption">
    <w:name w:val="caption"/>
    <w:basedOn w:val="Normal"/>
    <w:next w:val="Normal"/>
    <w:qFormat/>
    <w:pPr>
      <w:spacing w:before="160" w:after="240" w:line="240" w:lineRule="auto"/>
      <w:jc w:val="both"/>
    </w:pPr>
    <w:rPr>
      <w:rFonts w:ascii="Times New Roman" w:eastAsia="Times New Roman" w:hAnsi="Times New Roman" w:cs="Times New Roman"/>
      <w:i/>
      <w:szCs w:val="20"/>
      <w:lang w:eastAsia="en-GB"/>
    </w:rPr>
  </w:style>
  <w:style w:type="paragraph" w:customStyle="1" w:styleId="Contact">
    <w:name w:val="Contact"/>
    <w:basedOn w:val="Normal"/>
    <w:uiPriority w:val="99"/>
    <w:pPr>
      <w:spacing w:before="480" w:after="0" w:line="240" w:lineRule="auto"/>
      <w:ind w:left="567" w:hanging="567"/>
      <w:contextualSpacing/>
    </w:pPr>
    <w:rPr>
      <w:rFonts w:ascii="Times New Roman" w:eastAsia="Times New Roman" w:hAnsi="Times New Roman" w:cs="Times New Roman"/>
      <w:sz w:val="24"/>
      <w:szCs w:val="20"/>
      <w:lang w:eastAsia="en-GB"/>
    </w:rPr>
  </w:style>
  <w:style w:type="paragraph" w:styleId="Date">
    <w:name w:val="Date"/>
    <w:basedOn w:val="Normal"/>
    <w:next w:val="References"/>
    <w:link w:val="DateChar"/>
    <w:pPr>
      <w:spacing w:after="0" w:line="240" w:lineRule="auto"/>
      <w:ind w:left="5102" w:right="-567"/>
    </w:pPr>
    <w:rPr>
      <w:rFonts w:ascii="Times New Roman" w:eastAsia="Times New Roman" w:hAnsi="Times New Roman" w:cs="Times New Roman"/>
      <w:sz w:val="24"/>
      <w:szCs w:val="20"/>
      <w:lang w:eastAsia="en-GB"/>
    </w:rPr>
  </w:style>
  <w:style w:type="character" w:customStyle="1" w:styleId="DateChar">
    <w:name w:val="Date Char"/>
    <w:basedOn w:val="DefaultParagraphFont"/>
    <w:link w:val="Date"/>
    <w:rPr>
      <w:rFonts w:ascii="Times New Roman" w:eastAsia="Times New Roman" w:hAnsi="Times New Roman" w:cs="Times New Roman"/>
      <w:sz w:val="24"/>
      <w:szCs w:val="20"/>
      <w:lang w:eastAsia="en-GB"/>
    </w:rPr>
  </w:style>
  <w:style w:type="paragraph" w:customStyle="1" w:styleId="References">
    <w:name w:val="References"/>
    <w:basedOn w:val="Normal"/>
    <w:pPr>
      <w:spacing w:after="240" w:line="240" w:lineRule="auto"/>
      <w:ind w:left="5102" w:right="-567"/>
      <w:contextualSpacing/>
    </w:pPr>
    <w:rPr>
      <w:rFonts w:ascii="Times New Roman" w:eastAsia="Times New Roman" w:hAnsi="Times New Roman" w:cs="Times New Roman"/>
      <w:sz w:val="20"/>
      <w:szCs w:val="20"/>
      <w:lang w:eastAsia="en-GB"/>
    </w:rPr>
  </w:style>
  <w:style w:type="paragraph" w:customStyle="1" w:styleId="Designator">
    <w:name w:val="Designator"/>
    <w:basedOn w:val="Normal"/>
    <w:pPr>
      <w:spacing w:after="0" w:line="240" w:lineRule="auto"/>
      <w:jc w:val="center"/>
    </w:pPr>
    <w:rPr>
      <w:rFonts w:ascii="Times New Roman" w:eastAsia="Times New Roman" w:hAnsi="Times New Roman" w:cs="Times New Roman"/>
      <w:b/>
      <w:caps/>
      <w:sz w:val="32"/>
      <w:szCs w:val="20"/>
      <w:lang w:eastAsia="en-GB"/>
    </w:rPr>
  </w:style>
  <w:style w:type="paragraph" w:customStyle="1" w:styleId="Releasable">
    <w:name w:val="Releasable"/>
    <w:basedOn w:val="Normal"/>
    <w:pPr>
      <w:spacing w:after="0" w:line="240" w:lineRule="auto"/>
      <w:jc w:val="center"/>
    </w:pPr>
    <w:rPr>
      <w:rFonts w:ascii="Times New Roman" w:eastAsia="Times New Roman" w:hAnsi="Times New Roman" w:cs="Times New Roman"/>
      <w:b/>
      <w:caps/>
      <w:sz w:val="32"/>
      <w:szCs w:val="20"/>
      <w:lang w:eastAsia="en-GB"/>
    </w:rPr>
  </w:style>
  <w:style w:type="paragraph" w:customStyle="1" w:styleId="RUE">
    <w:name w:val="RUE"/>
    <w:basedOn w:val="Normal"/>
    <w:pPr>
      <w:spacing w:after="0" w:line="240" w:lineRule="auto"/>
      <w:jc w:val="center"/>
    </w:pPr>
    <w:rPr>
      <w:rFonts w:ascii="Times New Roman" w:eastAsia="Times New Roman" w:hAnsi="Times New Roman" w:cs="Times New Roman"/>
      <w:b/>
      <w:caps/>
      <w:sz w:val="32"/>
      <w:szCs w:val="20"/>
      <w:bdr w:val="single" w:sz="18" w:space="0" w:color="auto"/>
      <w:lang w:eastAsia="en-GB"/>
    </w:rPr>
  </w:style>
  <w:style w:type="paragraph" w:customStyle="1" w:styleId="ConfidentialUE">
    <w:name w:val="Confidential UE"/>
    <w:basedOn w:val="Normal"/>
    <w:pPr>
      <w:spacing w:after="0" w:line="240" w:lineRule="auto"/>
      <w:jc w:val="center"/>
    </w:pPr>
    <w:rPr>
      <w:rFonts w:ascii="Times New Roman" w:eastAsia="Times New Roman" w:hAnsi="Times New Roman" w:cs="Times New Roman"/>
      <w:b/>
      <w:caps/>
      <w:sz w:val="32"/>
      <w:szCs w:val="20"/>
      <w:bdr w:val="single" w:sz="18" w:space="0" w:color="auto"/>
      <w:lang w:eastAsia="en-GB"/>
    </w:rPr>
  </w:style>
  <w:style w:type="paragraph" w:customStyle="1" w:styleId="SecretUE">
    <w:name w:val="Secret UE"/>
    <w:basedOn w:val="Normal"/>
    <w:pPr>
      <w:spacing w:after="0" w:line="240" w:lineRule="auto"/>
      <w:jc w:val="center"/>
    </w:pPr>
    <w:rPr>
      <w:rFonts w:ascii="Times New Roman" w:eastAsia="Times New Roman" w:hAnsi="Times New Roman" w:cs="Times New Roman"/>
      <w:b/>
      <w:caps/>
      <w:color w:val="FF0000"/>
      <w:sz w:val="32"/>
      <w:szCs w:val="20"/>
      <w:bdr w:val="single" w:sz="18" w:space="0" w:color="FF0000"/>
      <w:lang w:eastAsia="en-GB"/>
    </w:rPr>
  </w:style>
  <w:style w:type="paragraph" w:customStyle="1" w:styleId="TrsSecretUE">
    <w:name w:val="Très Secret UE"/>
    <w:basedOn w:val="Normal"/>
    <w:pPr>
      <w:spacing w:after="0" w:line="240" w:lineRule="auto"/>
      <w:jc w:val="center"/>
    </w:pPr>
    <w:rPr>
      <w:rFonts w:ascii="Times New Roman" w:eastAsia="Times New Roman" w:hAnsi="Times New Roman" w:cs="Times New Roman"/>
      <w:b/>
      <w:caps/>
      <w:color w:val="FF0000"/>
      <w:sz w:val="32"/>
      <w:szCs w:val="20"/>
      <w:bdr w:val="single" w:sz="18" w:space="0" w:color="FF0000"/>
      <w:lang w:eastAsia="en-GB"/>
    </w:rPr>
  </w:style>
  <w:style w:type="paragraph" w:styleId="EndnoteText">
    <w:name w:val="endnote text"/>
    <w:basedOn w:val="Normal"/>
    <w:link w:val="EndnoteTextChar"/>
    <w:semiHidden/>
    <w:pPr>
      <w:spacing w:after="240" w:line="240" w:lineRule="auto"/>
      <w:jc w:val="both"/>
    </w:pPr>
    <w:rPr>
      <w:rFonts w:ascii="Times New Roman" w:eastAsia="Times New Roman" w:hAnsi="Times New Roman" w:cs="Times New Roman"/>
      <w:sz w:val="20"/>
      <w:szCs w:val="20"/>
      <w:lang w:eastAsia="en-GB"/>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eastAsia="en-GB"/>
    </w:rPr>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f,Plonk"/>
    <w:basedOn w:val="Normal"/>
    <w:link w:val="FootnoteTextChar"/>
    <w:autoRedefine/>
    <w:uiPriority w:val="99"/>
    <w:qFormat/>
    <w:pPr>
      <w:spacing w:after="0" w:line="240" w:lineRule="auto"/>
    </w:pPr>
    <w:rPr>
      <w:rFonts w:ascii="Times New Roman" w:eastAsia="Times New Roman" w:hAnsi="Times New Roman" w:cs="Times New Roman"/>
      <w:sz w:val="18"/>
      <w:szCs w:val="16"/>
      <w:lang w:eastAsia="en-GB"/>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link w:val="FootnoteText"/>
    <w:uiPriority w:val="99"/>
    <w:rPr>
      <w:rFonts w:ascii="Times New Roman" w:eastAsia="Times New Roman" w:hAnsi="Times New Roman" w:cs="Times New Roman"/>
      <w:sz w:val="18"/>
      <w:szCs w:val="16"/>
      <w:lang w:eastAsia="en-GB"/>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spacing w:after="240" w:line="240" w:lineRule="auto"/>
      <w:jc w:val="both"/>
    </w:pPr>
    <w:rPr>
      <w:rFonts w:ascii="Courier New" w:eastAsia="Times New Roman" w:hAnsi="Courier New" w:cs="Times New Roman"/>
      <w:szCs w:val="20"/>
      <w:lang w:eastAsia="en-GB"/>
    </w:rPr>
  </w:style>
  <w:style w:type="character" w:customStyle="1" w:styleId="MacroTextChar">
    <w:name w:val="Macro Text Char"/>
    <w:basedOn w:val="DefaultParagraphFont"/>
    <w:link w:val="MacroText"/>
    <w:uiPriority w:val="90"/>
    <w:qFormat/>
    <w:rPr>
      <w:rFonts w:ascii="Courier New" w:eastAsia="Times New Roman" w:hAnsi="Courier New" w:cs="Times New Roman"/>
      <w:szCs w:val="20"/>
      <w:lang w:eastAsia="en-GB"/>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outlineLvl w:val="9"/>
    </w:pPr>
    <w:rPr>
      <w:b w:val="0"/>
    </w:rPr>
  </w:style>
  <w:style w:type="paragraph" w:customStyle="1" w:styleId="NumPar3">
    <w:name w:val="NumPar 3"/>
    <w:basedOn w:val="Heading3"/>
    <w:uiPriority w:val="90"/>
    <w:qFormat/>
    <w:pPr>
      <w:outlineLvl w:val="9"/>
    </w:pPr>
    <w:rPr>
      <w:i/>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8"/>
      </w:numPr>
      <w:spacing w:after="480" w:line="240" w:lineRule="auto"/>
      <w:jc w:val="both"/>
      <w:outlineLvl w:val="0"/>
    </w:pPr>
    <w:rPr>
      <w:rFonts w:ascii="Times New Roman" w:eastAsia="Times New Roman" w:hAnsi="Times New Roman" w:cs="Times New Roman"/>
      <w:b/>
      <w:sz w:val="32"/>
      <w:szCs w:val="20"/>
      <w:lang w:eastAsia="en-GB"/>
    </w:rPr>
  </w:style>
  <w:style w:type="paragraph" w:styleId="TOCHeading">
    <w:name w:val="TOC Heading"/>
    <w:basedOn w:val="Normal"/>
    <w:next w:val="Normal"/>
    <w:uiPriority w:val="39"/>
    <w:qFormat/>
    <w:pPr>
      <w:spacing w:before="240" w:after="240" w:line="240" w:lineRule="auto"/>
      <w:jc w:val="center"/>
    </w:pPr>
    <w:rPr>
      <w:rFonts w:ascii="Times New Roman Bold" w:eastAsia="Times New Roman" w:hAnsi="Times New Roman Bold" w:cs="Times New Roman"/>
      <w:b/>
      <w:caps/>
      <w:sz w:val="24"/>
      <w:szCs w:val="20"/>
      <w:lang w:eastAsia="en-GB"/>
    </w:rPr>
  </w:style>
  <w:style w:type="paragraph" w:styleId="TOC1">
    <w:name w:val="toc 1"/>
    <w:basedOn w:val="Normal"/>
    <w:next w:val="Normal"/>
    <w:uiPriority w:val="39"/>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eastAsia="en-GB"/>
    </w:rPr>
  </w:style>
  <w:style w:type="paragraph" w:styleId="TOC2">
    <w:name w:val="toc 2"/>
    <w:basedOn w:val="Normal"/>
    <w:next w:val="Normal"/>
    <w:uiPriority w:val="39"/>
    <w:pPr>
      <w:tabs>
        <w:tab w:val="right" w:leader="dot" w:pos="8640"/>
      </w:tabs>
      <w:spacing w:before="60" w:after="60" w:line="240" w:lineRule="auto"/>
      <w:ind w:left="1077" w:right="720" w:hanging="595"/>
      <w:jc w:val="both"/>
    </w:pPr>
    <w:rPr>
      <w:rFonts w:ascii="Times New Roman" w:eastAsia="Times New Roman" w:hAnsi="Times New Roman" w:cs="Times New Roman"/>
      <w:noProof/>
      <w:sz w:val="24"/>
      <w:szCs w:val="20"/>
      <w:lang w:eastAsia="en-GB"/>
    </w:rPr>
  </w:style>
  <w:style w:type="paragraph" w:styleId="TOC3">
    <w:name w:val="toc 3"/>
    <w:basedOn w:val="Normal"/>
    <w:next w:val="Normal"/>
    <w:uiPriority w:val="39"/>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eastAsia="en-GB"/>
    </w:rPr>
  </w:style>
  <w:style w:type="paragraph" w:styleId="TOC4">
    <w:name w:val="toc 4"/>
    <w:basedOn w:val="Normal"/>
    <w:next w:val="Normal"/>
    <w:uiPriority w:val="39"/>
    <w:pPr>
      <w:tabs>
        <w:tab w:val="right" w:leader="dot" w:pos="8640"/>
      </w:tabs>
      <w:spacing w:before="60" w:after="60" w:line="240" w:lineRule="auto"/>
      <w:ind w:left="2880" w:right="720" w:hanging="964"/>
      <w:jc w:val="both"/>
    </w:pPr>
    <w:rPr>
      <w:rFonts w:ascii="Times New Roman" w:eastAsia="Times New Roman" w:hAnsi="Times New Roman" w:cs="Times New Roman"/>
      <w:noProof/>
      <w:sz w:val="24"/>
      <w:szCs w:val="20"/>
      <w:lang w:eastAsia="en-GB"/>
    </w:rPr>
  </w:style>
  <w:style w:type="paragraph" w:styleId="TOC5">
    <w:name w:val="toc 5"/>
    <w:basedOn w:val="Normal"/>
    <w:next w:val="Normal"/>
    <w:uiPriority w:val="39"/>
    <w:pPr>
      <w:tabs>
        <w:tab w:val="right" w:leader="dot" w:pos="8640"/>
      </w:tabs>
      <w:spacing w:before="240" w:after="120" w:line="240" w:lineRule="auto"/>
      <w:ind w:right="720"/>
      <w:jc w:val="both"/>
    </w:pPr>
    <w:rPr>
      <w:rFonts w:ascii="Times New Roman" w:eastAsia="Times New Roman" w:hAnsi="Times New Roman" w:cs="Times New Roman"/>
      <w:caps/>
      <w:sz w:val="24"/>
      <w:szCs w:val="20"/>
      <w:lang w:eastAsia="en-GB"/>
    </w:rPr>
  </w:style>
  <w:style w:type="paragraph" w:styleId="TOC6">
    <w:name w:val="toc 6"/>
    <w:basedOn w:val="Normal"/>
    <w:next w:val="Normal"/>
    <w:uiPriority w:val="39"/>
    <w:pPr>
      <w:tabs>
        <w:tab w:val="right" w:leader="dot" w:pos="8640"/>
        <w:tab w:val="left" w:pos="2880"/>
      </w:tabs>
      <w:spacing w:before="120" w:after="120" w:line="240" w:lineRule="auto"/>
      <w:ind w:left="1916" w:right="720" w:hanging="1916"/>
      <w:jc w:val="both"/>
    </w:pPr>
    <w:rPr>
      <w:rFonts w:ascii="Times New Roman" w:eastAsia="Times New Roman" w:hAnsi="Times New Roman" w:cs="Times New Roman"/>
      <w:caps/>
      <w:sz w:val="24"/>
      <w:szCs w:val="20"/>
      <w:lang w:eastAsia="en-GB"/>
    </w:rPr>
  </w:style>
  <w:style w:type="paragraph" w:styleId="TOC7">
    <w:name w:val="toc 7"/>
    <w:basedOn w:val="Normal"/>
    <w:next w:val="Normal"/>
    <w:uiPriority w:val="39"/>
    <w:pPr>
      <w:tabs>
        <w:tab w:val="right" w:leader="dot" w:pos="8640"/>
      </w:tabs>
      <w:spacing w:after="240" w:line="240" w:lineRule="auto"/>
      <w:jc w:val="both"/>
    </w:pPr>
    <w:rPr>
      <w:rFonts w:ascii="Times New Roman" w:eastAsia="Times New Roman" w:hAnsi="Times New Roman" w:cs="Times New Roman"/>
      <w:sz w:val="24"/>
      <w:szCs w:val="20"/>
      <w:lang w:eastAsia="en-GB"/>
    </w:rPr>
  </w:style>
  <w:style w:type="paragraph" w:styleId="TOC8">
    <w:name w:val="toc 8"/>
    <w:basedOn w:val="Normal"/>
    <w:next w:val="Normal"/>
    <w:uiPriority w:val="39"/>
    <w:pPr>
      <w:tabs>
        <w:tab w:val="right" w:leader="dot" w:pos="8640"/>
      </w:tabs>
      <w:spacing w:after="240" w:line="240" w:lineRule="auto"/>
      <w:jc w:val="both"/>
    </w:pPr>
    <w:rPr>
      <w:rFonts w:ascii="Times New Roman" w:eastAsia="Times New Roman" w:hAnsi="Times New Roman" w:cs="Times New Roman"/>
      <w:sz w:val="24"/>
      <w:szCs w:val="20"/>
      <w:lang w:eastAsia="en-GB"/>
    </w:rPr>
  </w:style>
  <w:style w:type="paragraph" w:styleId="TOC9">
    <w:name w:val="toc 9"/>
    <w:basedOn w:val="Normal"/>
    <w:next w:val="Normal"/>
    <w:uiPriority w:val="39"/>
    <w:pPr>
      <w:tabs>
        <w:tab w:val="right" w:leader="dot" w:pos="8640"/>
      </w:tabs>
      <w:spacing w:after="240" w:line="240" w:lineRule="auto"/>
      <w:jc w:val="both"/>
    </w:pPr>
    <w:rPr>
      <w:rFonts w:ascii="Times New Roman" w:eastAsia="Times New Roman" w:hAnsi="Times New Roman" w:cs="Times New Roman"/>
      <w:sz w:val="24"/>
      <w:szCs w:val="20"/>
      <w:lang w:eastAsia="en-GB"/>
    </w:rPr>
  </w:style>
  <w:style w:type="paragraph" w:styleId="ListBullet">
    <w:name w:val="List Bullet"/>
    <w:basedOn w:val="Normal"/>
    <w:pPr>
      <w:numPr>
        <w:numId w:val="15"/>
      </w:numPr>
      <w:spacing w:after="240" w:line="240" w:lineRule="auto"/>
      <w:jc w:val="both"/>
    </w:pPr>
    <w:rPr>
      <w:rFonts w:ascii="Times New Roman" w:eastAsia="Times New Roman" w:hAnsi="Times New Roman" w:cs="Times New Roman"/>
      <w:sz w:val="24"/>
      <w:szCs w:val="20"/>
      <w:lang w:eastAsia="en-GB"/>
    </w:r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unhideWhenUsed/>
    <w:pPr>
      <w:numPr>
        <w:ilvl w:val="2"/>
        <w:numId w:val="15"/>
      </w:numPr>
    </w:pPr>
  </w:style>
  <w:style w:type="paragraph" w:customStyle="1" w:styleId="ListBulletLevel4">
    <w:name w:val="List Bullet (Level 4)"/>
    <w:basedOn w:val="Text1"/>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spacing w:after="240" w:line="240" w:lineRule="auto"/>
      <w:jc w:val="both"/>
    </w:pPr>
    <w:rPr>
      <w:rFonts w:ascii="Times New Roman" w:eastAsia="Times New Roman" w:hAnsi="Times New Roman" w:cs="Times New Roman"/>
      <w:sz w:val="24"/>
      <w:szCs w:val="20"/>
      <w:lang w:eastAsia="en-GB"/>
    </w:rPr>
  </w:style>
  <w:style w:type="paragraph" w:customStyle="1" w:styleId="ListDashLevel2">
    <w:name w:val="List Dash (Level 2)"/>
    <w:basedOn w:val="Normal"/>
    <w:pPr>
      <w:numPr>
        <w:ilvl w:val="1"/>
        <w:numId w:val="5"/>
      </w:numPr>
      <w:spacing w:after="240" w:line="240" w:lineRule="auto"/>
      <w:jc w:val="both"/>
    </w:pPr>
    <w:rPr>
      <w:rFonts w:ascii="Times New Roman" w:eastAsia="Times New Roman" w:hAnsi="Times New Roman" w:cs="Times New Roman"/>
      <w:sz w:val="24"/>
      <w:szCs w:val="20"/>
      <w:lang w:eastAsia="en-GB"/>
    </w:rPr>
  </w:style>
  <w:style w:type="paragraph" w:customStyle="1" w:styleId="ListDashLevel3">
    <w:name w:val="List Dash (Level 3)"/>
    <w:basedOn w:val="Normal"/>
    <w:unhideWhenUsed/>
    <w:pPr>
      <w:numPr>
        <w:ilvl w:val="2"/>
        <w:numId w:val="5"/>
      </w:numPr>
      <w:spacing w:after="240" w:line="240" w:lineRule="auto"/>
      <w:jc w:val="both"/>
    </w:pPr>
    <w:rPr>
      <w:rFonts w:ascii="Times New Roman" w:eastAsia="Times New Roman" w:hAnsi="Times New Roman" w:cs="Times New Roman"/>
      <w:sz w:val="24"/>
      <w:szCs w:val="20"/>
      <w:lang w:eastAsia="en-GB"/>
    </w:rPr>
  </w:style>
  <w:style w:type="paragraph" w:customStyle="1" w:styleId="ListDashLevel4">
    <w:name w:val="List Dash (Level 4)"/>
    <w:basedOn w:val="Normal"/>
    <w:unhideWhenUsed/>
    <w:pPr>
      <w:numPr>
        <w:ilvl w:val="3"/>
        <w:numId w:val="5"/>
      </w:numPr>
      <w:spacing w:after="240" w:line="240" w:lineRule="auto"/>
      <w:jc w:val="both"/>
    </w:pPr>
    <w:rPr>
      <w:rFonts w:ascii="Times New Roman" w:eastAsia="Times New Roman" w:hAnsi="Times New Roman" w:cs="Times New Roman"/>
      <w:sz w:val="24"/>
      <w:szCs w:val="20"/>
      <w:lang w:eastAsia="en-GB"/>
    </w:r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spacing w:after="240" w:line="240" w:lineRule="auto"/>
      <w:jc w:val="both"/>
    </w:pPr>
    <w:rPr>
      <w:rFonts w:ascii="Times New Roman" w:eastAsia="Times New Roman" w:hAnsi="Times New Roman" w:cs="Times New Roman"/>
      <w:sz w:val="24"/>
      <w:szCs w:val="20"/>
      <w:lang w:eastAsia="en-GB"/>
    </w:rPr>
  </w:style>
  <w:style w:type="paragraph" w:customStyle="1" w:styleId="ListNumberLevel2">
    <w:name w:val="List Number (Level 2)"/>
    <w:basedOn w:val="Normal"/>
    <w:pPr>
      <w:numPr>
        <w:ilvl w:val="1"/>
        <w:numId w:val="10"/>
      </w:numPr>
      <w:spacing w:after="240" w:line="240" w:lineRule="auto"/>
      <w:jc w:val="both"/>
    </w:pPr>
    <w:rPr>
      <w:rFonts w:ascii="Times New Roman" w:eastAsia="Times New Roman" w:hAnsi="Times New Roman" w:cs="Times New Roman"/>
      <w:sz w:val="24"/>
      <w:szCs w:val="20"/>
      <w:lang w:eastAsia="en-GB"/>
    </w:rPr>
  </w:style>
  <w:style w:type="paragraph" w:customStyle="1" w:styleId="ListNumberLevel3">
    <w:name w:val="List Number (Level 3)"/>
    <w:basedOn w:val="Normal"/>
    <w:unhideWhenUsed/>
    <w:pPr>
      <w:numPr>
        <w:ilvl w:val="2"/>
        <w:numId w:val="10"/>
      </w:numPr>
      <w:spacing w:after="240" w:line="240" w:lineRule="auto"/>
      <w:jc w:val="both"/>
    </w:pPr>
    <w:rPr>
      <w:rFonts w:ascii="Times New Roman" w:eastAsia="Times New Roman" w:hAnsi="Times New Roman" w:cs="Times New Roman"/>
      <w:sz w:val="24"/>
      <w:szCs w:val="20"/>
      <w:lang w:eastAsia="en-GB"/>
    </w:rPr>
  </w:style>
  <w:style w:type="paragraph" w:customStyle="1" w:styleId="ListNumberLevel4">
    <w:name w:val="List Number (Level 4)"/>
    <w:basedOn w:val="Normal"/>
    <w:unhideWhenUsed/>
    <w:pPr>
      <w:numPr>
        <w:ilvl w:val="3"/>
        <w:numId w:val="10"/>
      </w:numPr>
      <w:spacing w:after="240" w:line="240" w:lineRule="auto"/>
      <w:jc w:val="both"/>
    </w:pPr>
    <w:rPr>
      <w:rFonts w:ascii="Times New Roman" w:eastAsia="Times New Roman" w:hAnsi="Times New Roman" w:cs="Times New Roman"/>
      <w:sz w:val="24"/>
      <w:szCs w:val="20"/>
      <w:lang w:eastAsia="en-GB"/>
    </w:r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after="240"/>
      <w:ind w:left="5102" w:right="-567"/>
      <w:contextualSpacing/>
    </w:pPr>
    <w:rPr>
      <w:rFonts w:ascii="Times New Roman" w:eastAsia="Times New Roman" w:hAnsi="Times New Roman" w:cs="Times New Roman"/>
      <w:sz w:val="28"/>
      <w:szCs w:val="20"/>
      <w:lang w:eastAsia="en-GB"/>
    </w:rPr>
  </w:style>
  <w:style w:type="paragraph" w:customStyle="1" w:styleId="LegalNumPar">
    <w:name w:val="LegalNumPar"/>
    <w:basedOn w:val="Normal"/>
    <w:uiPriority w:val="90"/>
    <w:qFormat/>
    <w:pPr>
      <w:numPr>
        <w:numId w:val="17"/>
      </w:numPr>
      <w:spacing w:after="240" w:line="360" w:lineRule="auto"/>
      <w:jc w:val="both"/>
    </w:pPr>
    <w:rPr>
      <w:rFonts w:ascii="Times New Roman" w:eastAsia="Times New Roman" w:hAnsi="Times New Roman" w:cs="Times New Roman"/>
      <w:sz w:val="24"/>
      <w:szCs w:val="20"/>
      <w:lang w:eastAsia="en-GB"/>
    </w:rPr>
  </w:style>
  <w:style w:type="paragraph" w:customStyle="1" w:styleId="LegalNumPar2">
    <w:name w:val="LegalNumPar2"/>
    <w:basedOn w:val="Normal"/>
    <w:pPr>
      <w:numPr>
        <w:ilvl w:val="1"/>
        <w:numId w:val="17"/>
      </w:numPr>
      <w:spacing w:after="240" w:line="360" w:lineRule="auto"/>
      <w:jc w:val="both"/>
    </w:pPr>
    <w:rPr>
      <w:rFonts w:ascii="Times New Roman" w:eastAsia="Times New Roman" w:hAnsi="Times New Roman" w:cs="Times New Roman"/>
      <w:sz w:val="24"/>
      <w:szCs w:val="20"/>
      <w:lang w:eastAsia="en-GB"/>
    </w:rPr>
  </w:style>
  <w:style w:type="paragraph" w:customStyle="1" w:styleId="LegalNumPar3">
    <w:name w:val="LegalNumPar3"/>
    <w:basedOn w:val="Normal"/>
    <w:pPr>
      <w:numPr>
        <w:ilvl w:val="2"/>
        <w:numId w:val="17"/>
      </w:numPr>
      <w:spacing w:after="240" w:line="360" w:lineRule="auto"/>
      <w:jc w:val="both"/>
    </w:pPr>
    <w:rPr>
      <w:rFonts w:ascii="Times New Roman" w:eastAsia="Times New Roman" w:hAnsi="Times New Roman" w:cs="Times New Roman"/>
      <w:sz w:val="24"/>
      <w:szCs w:val="20"/>
      <w:lang w:eastAsia="en-GB"/>
    </w:rPr>
  </w:style>
  <w:style w:type="table" w:customStyle="1" w:styleId="TableHistory">
    <w:name w:val="Table History"/>
    <w:basedOn w:val="TableNormal"/>
    <w:uiPriority w:val="99"/>
    <w:pPr>
      <w:spacing w:before="60" w:after="60" w:line="264" w:lineRule="auto"/>
    </w:pPr>
    <w:rPr>
      <w:rFonts w:ascii="Times New Roman" w:eastAsia="Times New Roman" w:hAnsi="Times New Roman" w:cs="Times New Roman"/>
      <w:szCs w:val="20"/>
      <w:lang w:eastAsia="en-GB"/>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lang w:eastAsia="en-GB"/>
    </w:rPr>
    <w:tblPr>
      <w:tblCellMar>
        <w:left w:w="0" w:type="dxa"/>
        <w:bottom w:w="340" w:type="dxa"/>
        <w:right w:w="0" w:type="dxa"/>
      </w:tblCellMar>
    </w:tbl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 BVI fnr,E FNZ,Footnote#"/>
    <w:basedOn w:val="DefaultParagraphFont"/>
    <w:link w:val="AppelnotedebasdepageCharCharCharCharCharCharChar"/>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Pr>
      <w:color w:val="800080" w:themeColor="followedHyperlink"/>
      <w:u w:val="single"/>
    </w:r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Strong">
    <w:name w:val="Strong"/>
    <w:basedOn w:val="DefaultParagraphFont"/>
    <w:uiPriority w:val="22"/>
    <w:qFormat/>
    <w:rPr>
      <w:b/>
      <w:bCs/>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pPr>
      <w:spacing w:before="100" w:beforeAutospacing="1" w:after="100" w:afterAutospacing="1" w:line="240" w:lineRule="auto"/>
    </w:pPr>
    <w:rPr>
      <w:rFonts w:ascii="Times" w:hAnsi="Times"/>
      <w:sz w:val="20"/>
      <w:szCs w:val="20"/>
    </w:rPr>
  </w:style>
  <w:style w:type="paragraph" w:customStyle="1" w:styleId="s77">
    <w:name w:val="s77"/>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s76">
    <w:name w:val="s76"/>
    <w:basedOn w:val="DefaultParagraphFont"/>
  </w:style>
  <w:style w:type="character" w:customStyle="1" w:styleId="s91">
    <w:name w:val="s91"/>
    <w:basedOn w:val="DefaultParagraphFont"/>
  </w:style>
  <w:style w:type="paragraph" w:customStyle="1" w:styleId="TableText">
    <w:name w:val="Table Text"/>
    <w:basedOn w:val="Normal"/>
    <w:uiPriority w:val="90"/>
    <w:qFormat/>
    <w:pPr>
      <w:spacing w:before="60" w:after="60" w:line="264" w:lineRule="auto"/>
      <w:jc w:val="both"/>
    </w:pPr>
    <w:rPr>
      <w:rFonts w:ascii="Times New Roman" w:eastAsia="Times New Roman" w:hAnsi="Times New Roman" w:cs="Times New Roman"/>
      <w:szCs w:val="20"/>
    </w:rPr>
  </w:style>
  <w:style w:type="paragraph" w:customStyle="1" w:styleId="FITTable">
    <w:name w:val="FIT Table"/>
    <w:basedOn w:val="Normal"/>
    <w:pPr>
      <w:spacing w:before="60" w:after="60" w:line="264" w:lineRule="auto"/>
      <w:jc w:val="both"/>
    </w:pPr>
    <w:rPr>
      <w:rFonts w:ascii="Times New Roman" w:eastAsia="Times New Roman" w:hAnsi="Times New Roman" w:cs="Times New Roman"/>
      <w:szCs w:val="20"/>
    </w:rPr>
  </w:style>
  <w:style w:type="paragraph" w:customStyle="1" w:styleId="GlossaryHeading">
    <w:name w:val="GlossaryHeading"/>
    <w:basedOn w:val="Normal"/>
    <w:pPr>
      <w:spacing w:after="480" w:line="264" w:lineRule="auto"/>
      <w:jc w:val="center"/>
      <w:outlineLvl w:val="0"/>
    </w:pPr>
    <w:rPr>
      <w:rFonts w:ascii="Times New Roman Bold" w:eastAsia="Times New Roman" w:hAnsi="Times New Roman Bold" w:cs="Times New Roman"/>
      <w:b/>
      <w:sz w:val="32"/>
      <w:szCs w:val="20"/>
    </w:rPr>
  </w:style>
  <w:style w:type="paragraph" w:customStyle="1" w:styleId="Glossary">
    <w:name w:val="Glossary"/>
    <w:basedOn w:val="Normal"/>
    <w:uiPriority w:val="90"/>
    <w:qFormat/>
    <w:pPr>
      <w:tabs>
        <w:tab w:val="left" w:pos="2835"/>
      </w:tabs>
      <w:spacing w:after="120" w:line="264" w:lineRule="auto"/>
      <w:ind w:left="2835" w:hanging="2835"/>
    </w:pPr>
    <w:rPr>
      <w:rFonts w:ascii="Times New Roman" w:eastAsia="Times New Roman" w:hAnsi="Times New Roman" w:cs="Times New Roman"/>
      <w:szCs w:val="20"/>
    </w:rPr>
  </w:style>
  <w:style w:type="paragraph" w:customStyle="1" w:styleId="Citation">
    <w:name w:val="Citation"/>
    <w:basedOn w:val="Normal"/>
    <w:link w:val="CitationChar"/>
    <w:uiPriority w:val="90"/>
    <w:qFormat/>
    <w:pPr>
      <w:spacing w:after="120" w:line="264" w:lineRule="auto"/>
      <w:ind w:left="454" w:right="454"/>
      <w:jc w:val="both"/>
    </w:pPr>
    <w:rPr>
      <w:rFonts w:ascii="Times New Roman" w:eastAsia="Times New Roman" w:hAnsi="Times New Roman" w:cs="Times New Roman"/>
      <w:i/>
      <w:szCs w:val="20"/>
    </w:rPr>
  </w:style>
  <w:style w:type="character" w:customStyle="1" w:styleId="CitationChar">
    <w:name w:val="Citation Char"/>
    <w:link w:val="Citation"/>
    <w:uiPriority w:val="90"/>
    <w:qFormat/>
    <w:rPr>
      <w:rFonts w:ascii="Times New Roman" w:eastAsia="Times New Roman" w:hAnsi="Times New Roman" w:cs="Times New Roman"/>
      <w:i/>
      <w:szCs w:val="20"/>
    </w:rPr>
  </w:style>
  <w:style w:type="table" w:customStyle="1" w:styleId="PropertiesTable">
    <w:name w:val="Properties Table"/>
    <w:basedOn w:val="TableNormal"/>
    <w:uiPriority w:val="99"/>
    <w:pPr>
      <w:spacing w:after="120" w:line="264" w:lineRule="auto"/>
    </w:pPr>
    <w:rPr>
      <w:rFonts w:ascii="Times New Roman" w:eastAsia="Times New Roman" w:hAnsi="Times New Roman" w:cs="Times New Roman"/>
      <w:sz w:val="24"/>
      <w:szCs w:val="20"/>
    </w:rPr>
    <w:tblPr>
      <w:tblInd w:w="1984" w:type="dxa"/>
    </w:tblPr>
  </w:style>
  <w:style w:type="paragraph" w:styleId="TableofFigures">
    <w:name w:val="table of figures"/>
    <w:basedOn w:val="Normal"/>
    <w:next w:val="Normal"/>
    <w:uiPriority w:val="99"/>
    <w:unhideWhenUsed/>
    <w:pPr>
      <w:spacing w:after="0"/>
    </w:pPr>
  </w:style>
  <w:style w:type="paragraph" w:styleId="NoSpacing">
    <w:name w:val="No Spacing"/>
    <w:link w:val="NoSpacingChar"/>
    <w:uiPriority w:val="1"/>
    <w:qFormat/>
    <w:pPr>
      <w:spacing w:after="0" w:line="240" w:lineRule="auto"/>
    </w:pPr>
    <w:rPr>
      <w:rFonts w:eastAsiaTheme="minorEastAsia"/>
    </w:rPr>
  </w:style>
  <w:style w:type="character" w:customStyle="1" w:styleId="NoSpacingChar">
    <w:name w:val="No Spacing Char"/>
    <w:basedOn w:val="DefaultParagraphFont"/>
    <w:link w:val="NoSpacing"/>
    <w:uiPriority w:val="1"/>
    <w:rPr>
      <w:rFonts w:eastAsiaTheme="minorEastAsia"/>
      <w:lang w:val="lt-LT"/>
    </w:rPr>
  </w:style>
  <w:style w:type="paragraph" w:customStyle="1" w:styleId="AppelnotedebasdepageCharCharCharCharCharCharChar">
    <w:name w:val="Appel note de bas de page Char Char Char Char Char Char Char"/>
    <w:basedOn w:val="Normal"/>
    <w:link w:val="FootnoteReference"/>
    <w:uiPriority w:val="99"/>
    <w:pPr>
      <w:spacing w:after="0" w:line="240" w:lineRule="auto"/>
      <w:jc w:val="both"/>
    </w:pPr>
    <w:rPr>
      <w:vertAlign w:val="superscript"/>
    </w:rPr>
  </w:style>
  <w:style w:type="numbering" w:customStyle="1" w:styleId="NoList1">
    <w:name w:val="No List1"/>
    <w:next w:val="NoList"/>
    <w:uiPriority w:val="99"/>
    <w:semiHidden/>
    <w:unhideWhenUsed/>
  </w:style>
  <w:style w:type="paragraph" w:customStyle="1" w:styleId="BVIfnrCharCharCharChar">
    <w:name w:val="BVI fnr Char Char Char Char"/>
    <w:aliases w:val="BVI fnr Car Car Char Char Char Char,BVI fnr Car Char Char Char Char,BVI fnr Car Car Car Car Char Char Char Char"/>
    <w:basedOn w:val="Normal"/>
    <w:uiPriority w:val="99"/>
    <w:pPr>
      <w:spacing w:after="160" w:line="240" w:lineRule="exact"/>
    </w:pPr>
    <w:rPr>
      <w:rFonts w:ascii="Times New Roman" w:eastAsia="Times New Roman" w:hAnsi="Times New Roman" w:cs="Times New Roman"/>
      <w:sz w:val="24"/>
      <w:szCs w:val="20"/>
      <w:vertAlign w:val="superscript"/>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character" w:styleId="EndnoteReference">
    <w:name w:val="end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52837">
      <w:bodyDiv w:val="1"/>
      <w:marLeft w:val="0"/>
      <w:marRight w:val="0"/>
      <w:marTop w:val="0"/>
      <w:marBottom w:val="0"/>
      <w:divBdr>
        <w:top w:val="none" w:sz="0" w:space="0" w:color="auto"/>
        <w:left w:val="none" w:sz="0" w:space="0" w:color="auto"/>
        <w:bottom w:val="none" w:sz="0" w:space="0" w:color="auto"/>
        <w:right w:val="none" w:sz="0" w:space="0" w:color="auto"/>
      </w:divBdr>
    </w:div>
    <w:div w:id="47459614">
      <w:bodyDiv w:val="1"/>
      <w:marLeft w:val="0"/>
      <w:marRight w:val="0"/>
      <w:marTop w:val="0"/>
      <w:marBottom w:val="0"/>
      <w:divBdr>
        <w:top w:val="none" w:sz="0" w:space="0" w:color="auto"/>
        <w:left w:val="none" w:sz="0" w:space="0" w:color="auto"/>
        <w:bottom w:val="none" w:sz="0" w:space="0" w:color="auto"/>
        <w:right w:val="none" w:sz="0" w:space="0" w:color="auto"/>
      </w:divBdr>
    </w:div>
    <w:div w:id="234432762">
      <w:bodyDiv w:val="1"/>
      <w:marLeft w:val="0"/>
      <w:marRight w:val="0"/>
      <w:marTop w:val="0"/>
      <w:marBottom w:val="0"/>
      <w:divBdr>
        <w:top w:val="none" w:sz="0" w:space="0" w:color="auto"/>
        <w:left w:val="none" w:sz="0" w:space="0" w:color="auto"/>
        <w:bottom w:val="none" w:sz="0" w:space="0" w:color="auto"/>
        <w:right w:val="none" w:sz="0" w:space="0" w:color="auto"/>
      </w:divBdr>
    </w:div>
    <w:div w:id="258292327">
      <w:bodyDiv w:val="1"/>
      <w:marLeft w:val="0"/>
      <w:marRight w:val="0"/>
      <w:marTop w:val="0"/>
      <w:marBottom w:val="0"/>
      <w:divBdr>
        <w:top w:val="none" w:sz="0" w:space="0" w:color="auto"/>
        <w:left w:val="none" w:sz="0" w:space="0" w:color="auto"/>
        <w:bottom w:val="none" w:sz="0" w:space="0" w:color="auto"/>
        <w:right w:val="none" w:sz="0" w:space="0" w:color="auto"/>
      </w:divBdr>
    </w:div>
    <w:div w:id="396440200">
      <w:bodyDiv w:val="1"/>
      <w:marLeft w:val="0"/>
      <w:marRight w:val="0"/>
      <w:marTop w:val="0"/>
      <w:marBottom w:val="0"/>
      <w:divBdr>
        <w:top w:val="none" w:sz="0" w:space="0" w:color="auto"/>
        <w:left w:val="none" w:sz="0" w:space="0" w:color="auto"/>
        <w:bottom w:val="none" w:sz="0" w:space="0" w:color="auto"/>
        <w:right w:val="none" w:sz="0" w:space="0" w:color="auto"/>
      </w:divBdr>
    </w:div>
    <w:div w:id="514150291">
      <w:bodyDiv w:val="1"/>
      <w:marLeft w:val="0"/>
      <w:marRight w:val="0"/>
      <w:marTop w:val="0"/>
      <w:marBottom w:val="0"/>
      <w:divBdr>
        <w:top w:val="none" w:sz="0" w:space="0" w:color="auto"/>
        <w:left w:val="none" w:sz="0" w:space="0" w:color="auto"/>
        <w:bottom w:val="none" w:sz="0" w:space="0" w:color="auto"/>
        <w:right w:val="none" w:sz="0" w:space="0" w:color="auto"/>
      </w:divBdr>
    </w:div>
    <w:div w:id="526867492">
      <w:bodyDiv w:val="1"/>
      <w:marLeft w:val="0"/>
      <w:marRight w:val="0"/>
      <w:marTop w:val="0"/>
      <w:marBottom w:val="0"/>
      <w:divBdr>
        <w:top w:val="none" w:sz="0" w:space="0" w:color="auto"/>
        <w:left w:val="none" w:sz="0" w:space="0" w:color="auto"/>
        <w:bottom w:val="none" w:sz="0" w:space="0" w:color="auto"/>
        <w:right w:val="none" w:sz="0" w:space="0" w:color="auto"/>
      </w:divBdr>
    </w:div>
    <w:div w:id="1204517692">
      <w:bodyDiv w:val="1"/>
      <w:marLeft w:val="0"/>
      <w:marRight w:val="0"/>
      <w:marTop w:val="0"/>
      <w:marBottom w:val="0"/>
      <w:divBdr>
        <w:top w:val="none" w:sz="0" w:space="0" w:color="auto"/>
        <w:left w:val="none" w:sz="0" w:space="0" w:color="auto"/>
        <w:bottom w:val="none" w:sz="0" w:space="0" w:color="auto"/>
        <w:right w:val="none" w:sz="0" w:space="0" w:color="auto"/>
      </w:divBdr>
    </w:div>
    <w:div w:id="1284843426">
      <w:bodyDiv w:val="1"/>
      <w:marLeft w:val="0"/>
      <w:marRight w:val="0"/>
      <w:marTop w:val="0"/>
      <w:marBottom w:val="0"/>
      <w:divBdr>
        <w:top w:val="none" w:sz="0" w:space="0" w:color="auto"/>
        <w:left w:val="none" w:sz="0" w:space="0" w:color="auto"/>
        <w:bottom w:val="none" w:sz="0" w:space="0" w:color="auto"/>
        <w:right w:val="none" w:sz="0" w:space="0" w:color="auto"/>
      </w:divBdr>
    </w:div>
    <w:div w:id="1311859669">
      <w:bodyDiv w:val="1"/>
      <w:marLeft w:val="0"/>
      <w:marRight w:val="0"/>
      <w:marTop w:val="0"/>
      <w:marBottom w:val="0"/>
      <w:divBdr>
        <w:top w:val="none" w:sz="0" w:space="0" w:color="auto"/>
        <w:left w:val="none" w:sz="0" w:space="0" w:color="auto"/>
        <w:bottom w:val="none" w:sz="0" w:space="0" w:color="auto"/>
        <w:right w:val="none" w:sz="0" w:space="0" w:color="auto"/>
      </w:divBdr>
    </w:div>
    <w:div w:id="1360005866">
      <w:bodyDiv w:val="1"/>
      <w:marLeft w:val="0"/>
      <w:marRight w:val="0"/>
      <w:marTop w:val="0"/>
      <w:marBottom w:val="0"/>
      <w:divBdr>
        <w:top w:val="none" w:sz="0" w:space="0" w:color="auto"/>
        <w:left w:val="none" w:sz="0" w:space="0" w:color="auto"/>
        <w:bottom w:val="none" w:sz="0" w:space="0" w:color="auto"/>
        <w:right w:val="none" w:sz="0" w:space="0" w:color="auto"/>
      </w:divBdr>
    </w:div>
    <w:div w:id="1433012372">
      <w:bodyDiv w:val="1"/>
      <w:marLeft w:val="0"/>
      <w:marRight w:val="0"/>
      <w:marTop w:val="0"/>
      <w:marBottom w:val="0"/>
      <w:divBdr>
        <w:top w:val="none" w:sz="0" w:space="0" w:color="auto"/>
        <w:left w:val="none" w:sz="0" w:space="0" w:color="auto"/>
        <w:bottom w:val="none" w:sz="0" w:space="0" w:color="auto"/>
        <w:right w:val="none" w:sz="0" w:space="0" w:color="auto"/>
      </w:divBdr>
    </w:div>
    <w:div w:id="1450397417">
      <w:bodyDiv w:val="1"/>
      <w:marLeft w:val="0"/>
      <w:marRight w:val="0"/>
      <w:marTop w:val="0"/>
      <w:marBottom w:val="0"/>
      <w:divBdr>
        <w:top w:val="none" w:sz="0" w:space="0" w:color="auto"/>
        <w:left w:val="none" w:sz="0" w:space="0" w:color="auto"/>
        <w:bottom w:val="none" w:sz="0" w:space="0" w:color="auto"/>
        <w:right w:val="none" w:sz="0" w:space="0" w:color="auto"/>
      </w:divBdr>
    </w:div>
    <w:div w:id="1876768501">
      <w:bodyDiv w:val="1"/>
      <w:marLeft w:val="0"/>
      <w:marRight w:val="0"/>
      <w:marTop w:val="0"/>
      <w:marBottom w:val="0"/>
      <w:divBdr>
        <w:top w:val="none" w:sz="0" w:space="0" w:color="auto"/>
        <w:left w:val="none" w:sz="0" w:space="0" w:color="auto"/>
        <w:bottom w:val="none" w:sz="0" w:space="0" w:color="auto"/>
        <w:right w:val="none" w:sz="0" w:space="0" w:color="auto"/>
      </w:divBdr>
    </w:div>
    <w:div w:id="1884057617">
      <w:bodyDiv w:val="1"/>
      <w:marLeft w:val="0"/>
      <w:marRight w:val="0"/>
      <w:marTop w:val="0"/>
      <w:marBottom w:val="0"/>
      <w:divBdr>
        <w:top w:val="none" w:sz="0" w:space="0" w:color="auto"/>
        <w:left w:val="none" w:sz="0" w:space="0" w:color="auto"/>
        <w:bottom w:val="none" w:sz="0" w:space="0" w:color="auto"/>
        <w:right w:val="none" w:sz="0" w:space="0" w:color="auto"/>
      </w:divBdr>
    </w:div>
    <w:div w:id="1926303820">
      <w:bodyDiv w:val="1"/>
      <w:marLeft w:val="0"/>
      <w:marRight w:val="0"/>
      <w:marTop w:val="0"/>
      <w:marBottom w:val="0"/>
      <w:divBdr>
        <w:top w:val="none" w:sz="0" w:space="0" w:color="auto"/>
        <w:left w:val="none" w:sz="0" w:space="0" w:color="auto"/>
        <w:bottom w:val="none" w:sz="0" w:space="0" w:color="auto"/>
        <w:right w:val="none" w:sz="0" w:space="0" w:color="auto"/>
      </w:divBdr>
    </w:div>
    <w:div w:id="207030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footer" Target="footer6.xm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header" Target="header4.xml"/><Relationship Id="rId47"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7.png"/><Relationship Id="rId38" Type="http://schemas.openxmlformats.org/officeDocument/2006/relationships/header" Target="header6.xml"/><Relationship Id="rId46"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6.png"/><Relationship Id="rId29" Type="http://schemas.openxmlformats.org/officeDocument/2006/relationships/chart" Target="charts/chart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image" Target="media/image16.png"/><Relationship Id="rId37" Type="http://schemas.openxmlformats.org/officeDocument/2006/relationships/footer" Target="footer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footer" Target="footer4.xml"/><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chart" Target="charts/chart3.xml"/><Relationship Id="rId35" Type="http://schemas.openxmlformats.org/officeDocument/2006/relationships/header" Target="header5.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Population_and_population_change_statistics" TargetMode="External"/><Relationship Id="rId13" Type="http://schemas.openxmlformats.org/officeDocument/2006/relationships/hyperlink" Target="https://data.consilium.europa.eu/doc/document/ST-12983-2013-INIT/en/pdf" TargetMode="External"/><Relationship Id="rId18" Type="http://schemas.openxmlformats.org/officeDocument/2006/relationships/hyperlink" Target="http://publications.jrc.ec.europa.eu/repository/handle/JRC120680" TargetMode="External"/><Relationship Id="rId26" Type="http://schemas.openxmlformats.org/officeDocument/2006/relationships/hyperlink" Target="https://ec.europa.eu/info/strategy/priorities-2019-2024/european-green-deal_lt" TargetMode="External"/><Relationship Id="rId3" Type="http://schemas.openxmlformats.org/officeDocument/2006/relationships/hyperlink" Target="https://ec.europa.eu/eurostat/statistics-explained/pdfscache/1101.pdf" TargetMode="External"/><Relationship Id="rId21" Type="http://schemas.openxmlformats.org/officeDocument/2006/relationships/hyperlink" Target="https://ec.europa.eu/regional_policy/en/information/publications/regional-focus/2018/access-to-universities-in-the-eu-a-regional-and-territorial-analysis" TargetMode="External"/><Relationship Id="rId7" Type="http://schemas.openxmlformats.org/officeDocument/2006/relationships/hyperlink" Target="https://ec.europa.eu/eurostat/statistics-explained/index.php?title=Migration_and_migrant_population_statistics" TargetMode="External"/><Relationship Id="rId12" Type="http://schemas.openxmlformats.org/officeDocument/2006/relationships/hyperlink" Target="https://ec.europa.eu/health/funding/eu4health_lt" TargetMode="External"/><Relationship Id="rId17" Type="http://schemas.openxmlformats.org/officeDocument/2006/relationships/hyperlink" Target="https://ec.europa.eu/eurostat/statistics-explained/index.php/Glossary:Material_deprivation" TargetMode="External"/><Relationship Id="rId25" Type="http://schemas.openxmlformats.org/officeDocument/2006/relationships/hyperlink" Target="http://www.fao.org/global-perspectives-studies/en" TargetMode="External"/><Relationship Id="rId2" Type="http://schemas.openxmlformats.org/officeDocument/2006/relationships/hyperlink" Target="https://ec.europa.eu/eurostat/web/population-demography-migration-projections/population-projections-data" TargetMode="External"/><Relationship Id="rId16" Type="http://schemas.openxmlformats.org/officeDocument/2006/relationships/hyperlink" Target="https://ec.europa.eu/eip/ageing/about-the-partnership_en" TargetMode="External"/><Relationship Id="rId20" Type="http://schemas.openxmlformats.org/officeDocument/2006/relationships/hyperlink" Target="https://ec.europa.eu/info/publications/mff-legislation_en" TargetMode="External"/><Relationship Id="rId29" Type="http://schemas.openxmlformats.org/officeDocument/2006/relationships/hyperlink" Target="https://population.un.org/wpp/" TargetMode="External"/><Relationship Id="rId1" Type="http://schemas.openxmlformats.org/officeDocument/2006/relationships/hyperlink" Target="https://ec.europa.eu/eurostat/statistics-explained/index.php?title=Mortality_and_life_expectancy_statistics" TargetMode="External"/><Relationship Id="rId6" Type="http://schemas.openxmlformats.org/officeDocument/2006/relationships/hyperlink" Target="https://ec.europa.eu/eurostat/statistics-explained/index.php?title=Population_structure_and_ageing" TargetMode="External"/><Relationship Id="rId11" Type="http://schemas.openxmlformats.org/officeDocument/2006/relationships/hyperlink" Target="https://www.ecdc.europa.eu/en/cases-2019-ncov-eueea" TargetMode="External"/><Relationship Id="rId24" Type="http://schemas.openxmlformats.org/officeDocument/2006/relationships/hyperlink" Target="https://ec.europa.eu/regional_policy/en/information/publications/regional-focus/2008/remote-rural-regions-how-proximity-to-a-city-influences-the-performance-of-rural-regions" TargetMode="External"/><Relationship Id="rId5" Type="http://schemas.openxmlformats.org/officeDocument/2006/relationships/hyperlink" Target="https://ec.europa.eu/eurostat/statistics-explained/index.php?title=Fertility_statistics" TargetMode="External"/><Relationship Id="rId15" Type="http://schemas.openxmlformats.org/officeDocument/2006/relationships/hyperlink" Target="https://www.oecd.org/els/health-systems/who-cares-attracting-and-retaining-elderly-care-workers-92c0ef68-en.htm" TargetMode="External"/><Relationship Id="rId23" Type="http://schemas.openxmlformats.org/officeDocument/2006/relationships/hyperlink" Target="https://www.oecd.org/cfe/regional-policy/Rural-3.0-Policy-Note.pdf" TargetMode="External"/><Relationship Id="rId28" Type="http://schemas.openxmlformats.org/officeDocument/2006/relationships/hyperlink" Target="https://openknowledge.worldbank.org/handle/10986/29461" TargetMode="External"/><Relationship Id="rId10" Type="http://schemas.openxmlformats.org/officeDocument/2006/relationships/hyperlink" Target="https://ec.europa.eu/info/publications/economy-finance/economists-musings-human-capital-investment-how-efficient-public-spending-education-eu-member-states_en" TargetMode="External"/><Relationship Id="rId19" Type="http://schemas.openxmlformats.org/officeDocument/2006/relationships/hyperlink" Target="https://urldefense.com/v3/__https:/doi.org/10.1787/b902cc00-en__;!!DOxrgLBm!XIOlO0824qKuoP5_CkmxzkAXuVqDihmiPLY6WWZqia09gnpYwaWx4PkOST04llZWbklw13At$" TargetMode="External"/><Relationship Id="rId4" Type="http://schemas.openxmlformats.org/officeDocument/2006/relationships/hyperlink" Target="https://ec.europa.eu/health/state/glance_lt" TargetMode="External"/><Relationship Id="rId9" Type="http://schemas.openxmlformats.org/officeDocument/2006/relationships/hyperlink" Target="https://ec.europa.eu/eurostat/web/population-demography-migration-projections/population-projections-data" TargetMode="External"/><Relationship Id="rId14" Type="http://schemas.openxmlformats.org/officeDocument/2006/relationships/hyperlink" Target="https://ec.europa.eu/food/farm2fork_en" TargetMode="External"/><Relationship Id="rId22" Type="http://schemas.openxmlformats.org/officeDocument/2006/relationships/hyperlink" Target="https://urban.jrc.ec.europa.eu/thefutureofcities/ageing" TargetMode="External"/><Relationship Id="rId27" Type="http://schemas.openxmlformats.org/officeDocument/2006/relationships/hyperlink" Target="https://news.un.org/en/story/2019/07/1043551" TargetMode="External"/><Relationship Id="rId30" Type="http://schemas.openxmlformats.org/officeDocument/2006/relationships/hyperlink" Target="https://ec.europa.eu/regional_policy/en/information/publications/working-papers/2018/the-geography-of-eu-discontent"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9312361603089654E-2"/>
          <c:y val="5.6470374330768701E-2"/>
          <c:w val="0.93512280393293357"/>
          <c:h val="0.7511749253528931"/>
        </c:manualLayout>
      </c:layout>
      <c:lineChart>
        <c:grouping val="standard"/>
        <c:varyColors val="0"/>
        <c:ser>
          <c:idx val="1"/>
          <c:order val="0"/>
          <c:tx>
            <c:v>moterys</c:v>
          </c:tx>
          <c:spPr>
            <a:ln w="28575" cap="rnd">
              <a:noFill/>
              <a:round/>
            </a:ln>
            <a:effectLst/>
          </c:spPr>
          <c:marker>
            <c:symbol val="circle"/>
            <c:size val="9"/>
            <c:spPr>
              <a:solidFill>
                <a:schemeClr val="accent1"/>
              </a:solidFill>
              <a:ln w="9525">
                <a:solidFill>
                  <a:schemeClr val="accent1"/>
                </a:solidFill>
              </a:ln>
              <a:effectLst/>
            </c:spPr>
          </c:marker>
          <c:cat>
            <c:strRef>
              <c:f>'2 HLY new'!$A$4:$A$32</c:f>
              <c:strCache>
                <c:ptCount val="29"/>
                <c:pt idx="0">
                  <c:v>ES 27</c:v>
                </c:pt>
                <c:pt idx="2">
                  <c:v>Belgija</c:v>
                </c:pt>
                <c:pt idx="3">
                  <c:v>Bulgarija</c:v>
                </c:pt>
                <c:pt idx="4">
                  <c:v>Čekija</c:v>
                </c:pt>
                <c:pt idx="5">
                  <c:v>Danija</c:v>
                </c:pt>
                <c:pt idx="6">
                  <c:v>Vokietija</c:v>
                </c:pt>
                <c:pt idx="7">
                  <c:v>Estija</c:v>
                </c:pt>
                <c:pt idx="8">
                  <c:v>Airija</c:v>
                </c:pt>
                <c:pt idx="9">
                  <c:v>Graikija</c:v>
                </c:pt>
                <c:pt idx="10">
                  <c:v>Ispanija</c:v>
                </c:pt>
                <c:pt idx="11">
                  <c:v>Prancūzija</c:v>
                </c:pt>
                <c:pt idx="12">
                  <c:v>Kroatija</c:v>
                </c:pt>
                <c:pt idx="13">
                  <c:v>Italija</c:v>
                </c:pt>
                <c:pt idx="14">
                  <c:v>Kipras</c:v>
                </c:pt>
                <c:pt idx="15">
                  <c:v>Latvija</c:v>
                </c:pt>
                <c:pt idx="16">
                  <c:v>Lietuva</c:v>
                </c:pt>
                <c:pt idx="17">
                  <c:v>Liuksemburgas</c:v>
                </c:pt>
                <c:pt idx="18">
                  <c:v>Vengrija</c:v>
                </c:pt>
                <c:pt idx="19">
                  <c:v>Мalta</c:v>
                </c:pt>
                <c:pt idx="20">
                  <c:v>Nyderlandai</c:v>
                </c:pt>
                <c:pt idx="21">
                  <c:v>Austrija</c:v>
                </c:pt>
                <c:pt idx="22">
                  <c:v>Lenkija</c:v>
                </c:pt>
                <c:pt idx="23">
                  <c:v>Portugalija</c:v>
                </c:pt>
                <c:pt idx="24">
                  <c:v>Rumunija</c:v>
                </c:pt>
                <c:pt idx="25">
                  <c:v>Slovėnija</c:v>
                </c:pt>
                <c:pt idx="26">
                  <c:v>Slovakija</c:v>
                </c:pt>
                <c:pt idx="27">
                  <c:v>Suomija</c:v>
                </c:pt>
                <c:pt idx="28">
                  <c:v>Švedija</c:v>
                </c:pt>
              </c:strCache>
            </c:strRef>
          </c:cat>
          <c:val>
            <c:numRef>
              <c:f>'[7]HLY at birth by sex'!$B$4:$B$32</c:f>
              <c:numCache>
                <c:formatCode>General</c:formatCode>
                <c:ptCount val="29"/>
                <c:pt idx="0">
                  <c:v>64.2</c:v>
                </c:pt>
                <c:pt idx="2">
                  <c:v>63.8</c:v>
                </c:pt>
                <c:pt idx="3">
                  <c:v>67.599999999999994</c:v>
                </c:pt>
                <c:pt idx="4">
                  <c:v>63.4</c:v>
                </c:pt>
                <c:pt idx="5">
                  <c:v>59.1</c:v>
                </c:pt>
                <c:pt idx="6">
                  <c:v>66.3</c:v>
                </c:pt>
                <c:pt idx="7">
                  <c:v>55</c:v>
                </c:pt>
                <c:pt idx="8">
                  <c:v>70.400000000000006</c:v>
                </c:pt>
                <c:pt idx="9">
                  <c:v>65.900000000000006</c:v>
                </c:pt>
                <c:pt idx="10">
                  <c:v>68</c:v>
                </c:pt>
                <c:pt idx="11">
                  <c:v>64.5</c:v>
                </c:pt>
                <c:pt idx="12">
                  <c:v>58.5</c:v>
                </c:pt>
                <c:pt idx="13">
                  <c:v>66.900000000000006</c:v>
                </c:pt>
                <c:pt idx="14">
                  <c:v>62.4</c:v>
                </c:pt>
                <c:pt idx="15">
                  <c:v>53.7</c:v>
                </c:pt>
                <c:pt idx="16">
                  <c:v>59.1</c:v>
                </c:pt>
                <c:pt idx="17">
                  <c:v>59.8</c:v>
                </c:pt>
                <c:pt idx="18">
                  <c:v>61.8</c:v>
                </c:pt>
                <c:pt idx="19">
                  <c:v>73.400000000000006</c:v>
                </c:pt>
                <c:pt idx="20">
                  <c:v>57.2</c:v>
                </c:pt>
                <c:pt idx="21">
                  <c:v>57</c:v>
                </c:pt>
                <c:pt idx="22">
                  <c:v>64.3</c:v>
                </c:pt>
                <c:pt idx="23">
                  <c:v>57.5</c:v>
                </c:pt>
                <c:pt idx="24">
                  <c:v>59.6</c:v>
                </c:pt>
                <c:pt idx="25">
                  <c:v>54.6</c:v>
                </c:pt>
                <c:pt idx="26">
                  <c:v>56.6</c:v>
                </c:pt>
                <c:pt idx="27">
                  <c:v>55.7</c:v>
                </c:pt>
                <c:pt idx="28">
                  <c:v>72</c:v>
                </c:pt>
              </c:numCache>
            </c:numRef>
          </c:val>
          <c:smooth val="0"/>
          <c:extLst>
            <c:ext xmlns:c16="http://schemas.microsoft.com/office/drawing/2014/chart" uri="{C3380CC4-5D6E-409C-BE32-E72D297353CC}">
              <c16:uniqueId val="{00000000-8858-4006-A2C1-382650CE8733}"/>
            </c:ext>
          </c:extLst>
        </c:ser>
        <c:ser>
          <c:idx val="0"/>
          <c:order val="1"/>
          <c:tx>
            <c:v>vyrai</c:v>
          </c:tx>
          <c:spPr>
            <a:ln w="28575" cap="rnd">
              <a:noFill/>
              <a:round/>
            </a:ln>
            <a:effectLst/>
          </c:spPr>
          <c:marker>
            <c:symbol val="circle"/>
            <c:size val="6"/>
            <c:spPr>
              <a:solidFill>
                <a:srgbClr val="0070C0"/>
              </a:solidFill>
              <a:ln w="9525">
                <a:solidFill>
                  <a:srgbClr val="0070C0"/>
                </a:solidFill>
              </a:ln>
              <a:effectLst/>
            </c:spPr>
          </c:marker>
          <c:cat>
            <c:strRef>
              <c:f>'2 HLY new'!$A$4:$A$32</c:f>
              <c:strCache>
                <c:ptCount val="29"/>
                <c:pt idx="0">
                  <c:v>ES 27</c:v>
                </c:pt>
                <c:pt idx="2">
                  <c:v>Belgija</c:v>
                </c:pt>
                <c:pt idx="3">
                  <c:v>Bulgarija</c:v>
                </c:pt>
                <c:pt idx="4">
                  <c:v>Čekija</c:v>
                </c:pt>
                <c:pt idx="5">
                  <c:v>Danija</c:v>
                </c:pt>
                <c:pt idx="6">
                  <c:v>Vokietija</c:v>
                </c:pt>
                <c:pt idx="7">
                  <c:v>Estija</c:v>
                </c:pt>
                <c:pt idx="8">
                  <c:v>Airija</c:v>
                </c:pt>
                <c:pt idx="9">
                  <c:v>Graikija</c:v>
                </c:pt>
                <c:pt idx="10">
                  <c:v>Ispanija</c:v>
                </c:pt>
                <c:pt idx="11">
                  <c:v>Prancūzija</c:v>
                </c:pt>
                <c:pt idx="12">
                  <c:v>Kroatija</c:v>
                </c:pt>
                <c:pt idx="13">
                  <c:v>Italija</c:v>
                </c:pt>
                <c:pt idx="14">
                  <c:v>Kipras</c:v>
                </c:pt>
                <c:pt idx="15">
                  <c:v>Latvija</c:v>
                </c:pt>
                <c:pt idx="16">
                  <c:v>Lietuva</c:v>
                </c:pt>
                <c:pt idx="17">
                  <c:v>Liuksemburgas</c:v>
                </c:pt>
                <c:pt idx="18">
                  <c:v>Vengrija</c:v>
                </c:pt>
                <c:pt idx="19">
                  <c:v>Мalta</c:v>
                </c:pt>
                <c:pt idx="20">
                  <c:v>Nyderlandai</c:v>
                </c:pt>
                <c:pt idx="21">
                  <c:v>Austrija</c:v>
                </c:pt>
                <c:pt idx="22">
                  <c:v>Lenkija</c:v>
                </c:pt>
                <c:pt idx="23">
                  <c:v>Portugalija</c:v>
                </c:pt>
                <c:pt idx="24">
                  <c:v>Rumunija</c:v>
                </c:pt>
                <c:pt idx="25">
                  <c:v>Slovėnija</c:v>
                </c:pt>
                <c:pt idx="26">
                  <c:v>Slovakija</c:v>
                </c:pt>
                <c:pt idx="27">
                  <c:v>Suomija</c:v>
                </c:pt>
                <c:pt idx="28">
                  <c:v>Švedija</c:v>
                </c:pt>
              </c:strCache>
            </c:strRef>
          </c:cat>
          <c:val>
            <c:numRef>
              <c:f>'[7]HLY at birth by sex'!$C$4:$C$32</c:f>
              <c:numCache>
                <c:formatCode>General</c:formatCode>
                <c:ptCount val="29"/>
                <c:pt idx="0">
                  <c:v>63.7</c:v>
                </c:pt>
                <c:pt idx="2">
                  <c:v>63.2</c:v>
                </c:pt>
                <c:pt idx="3">
                  <c:v>64</c:v>
                </c:pt>
                <c:pt idx="4">
                  <c:v>62.2</c:v>
                </c:pt>
                <c:pt idx="5">
                  <c:v>62.5</c:v>
                </c:pt>
                <c:pt idx="6">
                  <c:v>65.099999999999994</c:v>
                </c:pt>
                <c:pt idx="7">
                  <c:v>52.7</c:v>
                </c:pt>
                <c:pt idx="8">
                  <c:v>68.400000000000006</c:v>
                </c:pt>
                <c:pt idx="9">
                  <c:v>65</c:v>
                </c:pt>
                <c:pt idx="10">
                  <c:v>68</c:v>
                </c:pt>
                <c:pt idx="11">
                  <c:v>63.4</c:v>
                </c:pt>
                <c:pt idx="12">
                  <c:v>56.5</c:v>
                </c:pt>
                <c:pt idx="13">
                  <c:v>66.8</c:v>
                </c:pt>
                <c:pt idx="14">
                  <c:v>62</c:v>
                </c:pt>
                <c:pt idx="15">
                  <c:v>51</c:v>
                </c:pt>
                <c:pt idx="16">
                  <c:v>56.3</c:v>
                </c:pt>
                <c:pt idx="17">
                  <c:v>61.4</c:v>
                </c:pt>
                <c:pt idx="18">
                  <c:v>60.4</c:v>
                </c:pt>
                <c:pt idx="19">
                  <c:v>71.900000000000006</c:v>
                </c:pt>
                <c:pt idx="20">
                  <c:v>61.1</c:v>
                </c:pt>
                <c:pt idx="21">
                  <c:v>56.8</c:v>
                </c:pt>
                <c:pt idx="22">
                  <c:v>60.5</c:v>
                </c:pt>
                <c:pt idx="23">
                  <c:v>59.8</c:v>
                </c:pt>
                <c:pt idx="24">
                  <c:v>59.2</c:v>
                </c:pt>
                <c:pt idx="25">
                  <c:v>56.3</c:v>
                </c:pt>
                <c:pt idx="26">
                  <c:v>55.5</c:v>
                </c:pt>
                <c:pt idx="27">
                  <c:v>58.8</c:v>
                </c:pt>
                <c:pt idx="28">
                  <c:v>73.7</c:v>
                </c:pt>
              </c:numCache>
            </c:numRef>
          </c:val>
          <c:smooth val="0"/>
          <c:extLst>
            <c:ext xmlns:c16="http://schemas.microsoft.com/office/drawing/2014/chart" uri="{C3380CC4-5D6E-409C-BE32-E72D297353CC}">
              <c16:uniqueId val="{00000001-8858-4006-A2C1-382650CE8733}"/>
            </c:ext>
          </c:extLst>
        </c:ser>
        <c:dLbls>
          <c:showLegendKey val="0"/>
          <c:showVal val="0"/>
          <c:showCatName val="0"/>
          <c:showSerName val="0"/>
          <c:showPercent val="0"/>
          <c:showBubbleSize val="0"/>
        </c:dLbls>
        <c:dropLines>
          <c:spPr>
            <a:ln w="9525" cap="flat" cmpd="sng" algn="ctr">
              <a:solidFill>
                <a:sysClr val="window" lastClr="FFFFFF">
                  <a:lumMod val="50000"/>
                </a:sysClr>
              </a:solidFill>
              <a:round/>
            </a:ln>
            <a:effectLst/>
          </c:spPr>
        </c:dropLines>
        <c:marker val="1"/>
        <c:smooth val="0"/>
        <c:axId val="44738816"/>
        <c:axId val="44748800"/>
      </c:lineChart>
      <c:catAx>
        <c:axId val="44738816"/>
        <c:scaling>
          <c:orientation val="minMax"/>
        </c:scaling>
        <c:delete val="0"/>
        <c:axPos val="b"/>
        <c:numFmt formatCode="General" sourceLinked="1"/>
        <c:majorTickMark val="out"/>
        <c:minorTickMark val="none"/>
        <c:tickLblPos val="nextTo"/>
        <c:spPr>
          <a:noFill/>
          <a:ln w="3175" cap="flat" cmpd="sng" algn="ctr">
            <a:solidFill>
              <a:srgbClr val="000000"/>
            </a:solidFill>
            <a:prstDash val="solid"/>
            <a:round/>
          </a:ln>
          <a:effectLst/>
        </c:spPr>
        <c:txPr>
          <a:bodyPr rot="-5400000" spcFirstLastPara="1" vertOverflow="ellipsis" wrap="square" anchor="ctr" anchorCtr="1"/>
          <a:lstStyle/>
          <a:p>
            <a:pPr>
              <a:defRPr sz="1200" b="0" i="0" u="none" strike="noStrike" kern="1200" baseline="0">
                <a:solidFill>
                  <a:srgbClr val="000000"/>
                </a:solidFill>
                <a:latin typeface="Arial"/>
                <a:ea typeface="Arial"/>
                <a:cs typeface="Arial"/>
              </a:defRPr>
            </a:pPr>
            <a:endParaRPr lang="fr-FR"/>
          </a:p>
        </c:txPr>
        <c:crossAx val="44748800"/>
        <c:crosses val="autoZero"/>
        <c:auto val="1"/>
        <c:lblAlgn val="ctr"/>
        <c:lblOffset val="100"/>
        <c:tickMarkSkip val="1"/>
        <c:noMultiLvlLbl val="0"/>
      </c:catAx>
      <c:valAx>
        <c:axId val="44748800"/>
        <c:scaling>
          <c:orientation val="minMax"/>
          <c:max val="75"/>
          <c:min val="0"/>
        </c:scaling>
        <c:delete val="0"/>
        <c:axPos val="l"/>
        <c:majorGridlines>
          <c:spPr>
            <a:ln w="3175" cap="flat" cmpd="sng" algn="ctr">
              <a:solidFill>
                <a:sysClr val="window" lastClr="FFFFFF">
                  <a:lumMod val="65000"/>
                </a:sysClr>
              </a:solidFill>
              <a:prstDash val="sysDot"/>
              <a:round/>
            </a:ln>
            <a:effectLst/>
          </c:spPr>
        </c:majorGridlines>
        <c:numFmt formatCode="#,##0" sourceLinked="0"/>
        <c:majorTickMark val="out"/>
        <c:minorTickMark val="none"/>
        <c:tickLblPos val="nextTo"/>
        <c:spPr>
          <a:noFill/>
          <a:ln>
            <a:noFill/>
          </a:ln>
          <a:effectLst/>
          <a:extLst>
            <a:ext uri="{91240B29-F687-4F45-9708-019B960494DF}">
              <a14:hiddenLine xmlns:a14="http://schemas.microsoft.com/office/drawing/2010/main">
                <a:noFill/>
              </a14:hiddenLine>
            </a:ext>
          </a:extLst>
        </c:spPr>
        <c:txPr>
          <a:bodyPr rot="-60000000" spcFirstLastPara="1" vertOverflow="ellipsis" vert="horz" wrap="square" anchor="ctr" anchorCtr="1"/>
          <a:lstStyle/>
          <a:p>
            <a:pPr>
              <a:defRPr sz="1200" b="0" i="0" u="none" strike="noStrike" kern="1200" baseline="0">
                <a:solidFill>
                  <a:srgbClr val="000000"/>
                </a:solidFill>
                <a:latin typeface="Arial"/>
                <a:ea typeface="Arial"/>
                <a:cs typeface="Arial"/>
              </a:defRPr>
            </a:pPr>
            <a:endParaRPr lang="fr-FR"/>
          </a:p>
        </c:txPr>
        <c:crossAx val="44738816"/>
        <c:crosses val="autoZero"/>
        <c:crossBetween val="between"/>
        <c:majorUnit val="10"/>
      </c:valAx>
      <c:spPr>
        <a:noFill/>
        <a:ln w="0">
          <a:noFill/>
        </a:ln>
        <a:effectLst/>
      </c:spPr>
    </c:plotArea>
    <c:legend>
      <c:legendPos val="r"/>
      <c:layout>
        <c:manualLayout>
          <c:xMode val="edge"/>
          <c:yMode val="edge"/>
          <c:x val="0.72006468421179959"/>
          <c:y val="3.4468641027303607E-3"/>
          <c:w val="0.18259770447728771"/>
          <c:h val="8.4877976899906823E-2"/>
        </c:manualLayout>
      </c:layout>
      <c:overlay val="0"/>
      <c:spPr>
        <a:noFill/>
        <a:ln>
          <a:noFill/>
        </a:ln>
        <a:effectLst/>
      </c:spPr>
      <c:txPr>
        <a:bodyPr rot="0" spcFirstLastPara="1" vertOverflow="ellipsis" vert="horz" wrap="square" anchor="ctr" anchorCtr="1"/>
        <a:lstStyle/>
        <a:p>
          <a:pPr>
            <a:defRPr sz="1200" b="0" i="0" u="none" strike="noStrike" kern="1200" baseline="0">
              <a:solidFill>
                <a:srgbClr val="000000"/>
              </a:solidFill>
              <a:latin typeface="Arial"/>
              <a:ea typeface="Arial"/>
              <a:cs typeface="Arial"/>
            </a:defRPr>
          </a:pPr>
          <a:endParaRPr lang="fr-FR"/>
        </a:p>
      </c:txPr>
    </c:legend>
    <c:plotVisOnly val="1"/>
    <c:dispBlanksAs val="gap"/>
    <c:showDLblsOverMax val="0"/>
  </c:chart>
  <c:spPr>
    <a:solidFill>
      <a:sysClr val="window" lastClr="FFFFFF"/>
    </a:solidFill>
    <a:ln w="9525" cap="flat" cmpd="sng" algn="ctr">
      <a:noFill/>
      <a:round/>
    </a:ln>
    <a:effectLst/>
    <a:extLst/>
  </c:spPr>
  <c:txPr>
    <a:bodyPr/>
    <a:lstStyle/>
    <a:p>
      <a:pPr>
        <a:defRPr sz="1200">
          <a:solidFill>
            <a:srgbClr val="000000"/>
          </a:solidFill>
          <a:latin typeface="Arial"/>
          <a:ea typeface="Arial"/>
          <a:cs typeface="Arial"/>
        </a:defRPr>
      </a:pPr>
      <a:endParaRPr lang="fr-FR"/>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B67-4A94-B486-3DCD34463DB5}"/>
              </c:ext>
            </c:extLst>
          </c:dPt>
          <c:dPt>
            <c:idx val="1"/>
            <c:bubble3D val="0"/>
            <c:spPr>
              <a:solidFill>
                <a:srgbClr val="FFC000"/>
              </a:solidFill>
              <a:ln w="19050">
                <a:solidFill>
                  <a:schemeClr val="lt1"/>
                </a:solidFill>
              </a:ln>
              <a:effectLst/>
            </c:spPr>
            <c:extLst>
              <c:ext xmlns:c16="http://schemas.microsoft.com/office/drawing/2014/chart" uri="{C3380CC4-5D6E-409C-BE32-E72D297353CC}">
                <c16:uniqueId val="{00000003-2B67-4A94-B486-3DCD34463DB5}"/>
              </c:ext>
            </c:extLst>
          </c:dPt>
          <c:dPt>
            <c:idx val="2"/>
            <c:bubble3D val="0"/>
            <c:spPr>
              <a:solidFill>
                <a:schemeClr val="accent6">
                  <a:lumMod val="75000"/>
                </a:schemeClr>
              </a:solidFill>
              <a:ln w="19050">
                <a:solidFill>
                  <a:schemeClr val="lt1"/>
                </a:solidFill>
              </a:ln>
              <a:effectLst/>
            </c:spPr>
            <c:extLst>
              <c:ext xmlns:c16="http://schemas.microsoft.com/office/drawing/2014/chart" uri="{C3380CC4-5D6E-409C-BE32-E72D297353CC}">
                <c16:uniqueId val="{00000005-2B67-4A94-B486-3DCD34463DB5}"/>
              </c:ext>
            </c:extLst>
          </c:dPt>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lumMod val="75000"/>
                        <a:lumOff val="25000"/>
                      </a:schemeClr>
                    </a:solidFill>
                    <a:latin typeface="+mn-lt"/>
                    <a:ea typeface="+mn-ea"/>
                    <a:cs typeface="+mn-cs"/>
                  </a:defRPr>
                </a:pPr>
                <a:endParaRPr lang="fr-FR"/>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'EU27 pop'!$D$5:$F$5</c:f>
              <c:strCache>
                <c:ptCount val="3"/>
                <c:pt idx="0">
                  <c:v>Miesto</c:v>
                </c:pt>
                <c:pt idx="1">
                  <c:v>Tarpiniai</c:v>
                </c:pt>
                <c:pt idx="2">
                  <c:v>Kaimo</c:v>
                </c:pt>
              </c:strCache>
            </c:strRef>
          </c:cat>
          <c:val>
            <c:numRef>
              <c:f>'EU27 pop'!$D$6:$F$6</c:f>
              <c:numCache>
                <c:formatCode>0%</c:formatCode>
                <c:ptCount val="3"/>
                <c:pt idx="0">
                  <c:v>0.40209467087400325</c:v>
                </c:pt>
                <c:pt idx="1">
                  <c:v>0.38941231753767236</c:v>
                </c:pt>
                <c:pt idx="2">
                  <c:v>0.2084930115883244</c:v>
                </c:pt>
              </c:numCache>
            </c:numRef>
          </c:val>
          <c:extLst>
            <c:ext xmlns:c16="http://schemas.microsoft.com/office/drawing/2014/chart" uri="{C3380CC4-5D6E-409C-BE32-E72D297353CC}">
              <c16:uniqueId val="{00000006-2B67-4A94-B486-3DCD34463DB5}"/>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Arial" panose="020B0604020202020204" pitchFamily="34" charset="0"/>
                <a:cs typeface="Arial" panose="020B0604020202020204" pitchFamily="34" charset="0"/>
              </a:defRPr>
            </a:pPr>
            <a:r>
              <a:rPr lang="lt-LT"/>
              <a:t>NKP aprėptis (% namų ūkių, 2018 m. vidurys)</a:t>
            </a:r>
          </a:p>
        </c:rich>
      </c:tx>
      <c:layout/>
      <c:overlay val="1"/>
    </c:title>
    <c:autoTitleDeleted val="0"/>
    <c:plotArea>
      <c:layout>
        <c:manualLayout>
          <c:layoutTarget val="inner"/>
          <c:xMode val="edge"/>
          <c:yMode val="edge"/>
          <c:x val="5.9194143223365997E-2"/>
          <c:y val="0.11640006175698626"/>
          <c:w val="0.92373173958610233"/>
          <c:h val="0.74686873818192079"/>
        </c:manualLayout>
      </c:layout>
      <c:barChart>
        <c:barDir val="col"/>
        <c:grouping val="clustered"/>
        <c:varyColors val="0"/>
        <c:ser>
          <c:idx val="0"/>
          <c:order val="0"/>
          <c:tx>
            <c:strRef>
              <c:f>NGA!$B$30</c:f>
              <c:strCache>
                <c:ptCount val="1"/>
                <c:pt idx="0">
                  <c:v>Bendra</c:v>
                </c:pt>
              </c:strCache>
            </c:strRef>
          </c:tx>
          <c:spPr>
            <a:solidFill>
              <a:srgbClr val="FF0000"/>
            </a:solidFill>
          </c:spPr>
          <c:invertIfNegative val="0"/>
          <c:cat>
            <c:strRef>
              <c:f>NGA!$A$31:$A$59</c:f>
              <c:strCache>
                <c:ptCount val="29"/>
                <c:pt idx="0">
                  <c:v>MT</c:v>
                </c:pt>
                <c:pt idx="1">
                  <c:v>NL</c:v>
                </c:pt>
                <c:pt idx="2">
                  <c:v>BE</c:v>
                </c:pt>
                <c:pt idx="3">
                  <c:v>LU</c:v>
                </c:pt>
                <c:pt idx="4">
                  <c:v>IE</c:v>
                </c:pt>
                <c:pt idx="5">
                  <c:v>DK</c:v>
                </c:pt>
                <c:pt idx="6">
                  <c:v>LV</c:v>
                </c:pt>
                <c:pt idx="7">
                  <c:v>AT</c:v>
                </c:pt>
                <c:pt idx="8">
                  <c:v>IT</c:v>
                </c:pt>
                <c:pt idx="9">
                  <c:v>CY</c:v>
                </c:pt>
                <c:pt idx="10">
                  <c:v>CZ</c:v>
                </c:pt>
                <c:pt idx="11">
                  <c:v>ES</c:v>
                </c:pt>
                <c:pt idx="12">
                  <c:v>DE</c:v>
                </c:pt>
                <c:pt idx="13">
                  <c:v>HU</c:v>
                </c:pt>
                <c:pt idx="14">
                  <c:v>SE</c:v>
                </c:pt>
                <c:pt idx="15">
                  <c:v>SK</c:v>
                </c:pt>
                <c:pt idx="16">
                  <c:v>SI</c:v>
                </c:pt>
                <c:pt idx="17">
                  <c:v>EE</c:v>
                </c:pt>
                <c:pt idx="18">
                  <c:v>HR</c:v>
                </c:pt>
                <c:pt idx="19">
                  <c:v>RO</c:v>
                </c:pt>
                <c:pt idx="20">
                  <c:v>PT</c:v>
                </c:pt>
                <c:pt idx="21">
                  <c:v>BG</c:v>
                </c:pt>
                <c:pt idx="22">
                  <c:v>FI</c:v>
                </c:pt>
                <c:pt idx="23">
                  <c:v>PL</c:v>
                </c:pt>
                <c:pt idx="24">
                  <c:v>EL</c:v>
                </c:pt>
                <c:pt idx="25">
                  <c:v>LT</c:v>
                </c:pt>
                <c:pt idx="26">
                  <c:v>FR</c:v>
                </c:pt>
                <c:pt idx="28">
                  <c:v>ES 27</c:v>
                </c:pt>
              </c:strCache>
            </c:strRef>
          </c:cat>
          <c:val>
            <c:numRef>
              <c:f>NGA!$B$31:$B$59</c:f>
              <c:numCache>
                <c:formatCode>0%</c:formatCode>
                <c:ptCount val="29"/>
                <c:pt idx="0">
                  <c:v>0.99950000000000006</c:v>
                </c:pt>
                <c:pt idx="1">
                  <c:v>0.998</c:v>
                </c:pt>
                <c:pt idx="2">
                  <c:v>0.98992492538684229</c:v>
                </c:pt>
                <c:pt idx="3">
                  <c:v>0.97599999999999998</c:v>
                </c:pt>
                <c:pt idx="4">
                  <c:v>0.95903508878195387</c:v>
                </c:pt>
                <c:pt idx="5">
                  <c:v>0.9536363115155494</c:v>
                </c:pt>
                <c:pt idx="6">
                  <c:v>0.92973168165877251</c:v>
                </c:pt>
                <c:pt idx="7">
                  <c:v>0.9110919058844309</c:v>
                </c:pt>
                <c:pt idx="8">
                  <c:v>0.90191699272260928</c:v>
                </c:pt>
                <c:pt idx="9">
                  <c:v>0.9</c:v>
                </c:pt>
                <c:pt idx="10">
                  <c:v>0.89810691641449414</c:v>
                </c:pt>
                <c:pt idx="11">
                  <c:v>0.88186066358627702</c:v>
                </c:pt>
                <c:pt idx="12">
                  <c:v>0.879</c:v>
                </c:pt>
                <c:pt idx="13">
                  <c:v>0.8681031899961611</c:v>
                </c:pt>
                <c:pt idx="14">
                  <c:v>0.86103292702215539</c:v>
                </c:pt>
                <c:pt idx="15">
                  <c:v>0.86068433822378265</c:v>
                </c:pt>
                <c:pt idx="16">
                  <c:v>0.85915148449557532</c:v>
                </c:pt>
                <c:pt idx="17">
                  <c:v>0.829101788330184</c:v>
                </c:pt>
                <c:pt idx="18">
                  <c:v>0.82747129633158512</c:v>
                </c:pt>
                <c:pt idx="19">
                  <c:v>0.75640635891051744</c:v>
                </c:pt>
                <c:pt idx="20">
                  <c:v>0.75626832596571536</c:v>
                </c:pt>
                <c:pt idx="21">
                  <c:v>0.75195601072499063</c:v>
                </c:pt>
                <c:pt idx="22">
                  <c:v>0.74571865159891371</c:v>
                </c:pt>
                <c:pt idx="23">
                  <c:v>0.66301155929806499</c:v>
                </c:pt>
                <c:pt idx="24">
                  <c:v>0.65863323715371747</c:v>
                </c:pt>
                <c:pt idx="25">
                  <c:v>0.62742761142295445</c:v>
                </c:pt>
                <c:pt idx="26">
                  <c:v>0.58466958232420285</c:v>
                </c:pt>
                <c:pt idx="28">
                  <c:v>0.81198573331734836</c:v>
                </c:pt>
              </c:numCache>
            </c:numRef>
          </c:val>
          <c:extLst>
            <c:ext xmlns:c16="http://schemas.microsoft.com/office/drawing/2014/chart" uri="{C3380CC4-5D6E-409C-BE32-E72D297353CC}">
              <c16:uniqueId val="{00000000-EDCF-46CC-A535-DCA59946F821}"/>
            </c:ext>
          </c:extLst>
        </c:ser>
        <c:ser>
          <c:idx val="1"/>
          <c:order val="1"/>
          <c:tx>
            <c:strRef>
              <c:f>NGA!$C$30</c:f>
              <c:strCache>
                <c:ptCount val="1"/>
                <c:pt idx="0">
                  <c:v>Kaimo vietovės</c:v>
                </c:pt>
              </c:strCache>
            </c:strRef>
          </c:tx>
          <c:spPr>
            <a:solidFill>
              <a:schemeClr val="tx1">
                <a:lumMod val="50000"/>
                <a:lumOff val="50000"/>
              </a:schemeClr>
            </a:solidFill>
            <a:ln>
              <a:solidFill>
                <a:schemeClr val="tx1">
                  <a:lumMod val="50000"/>
                  <a:lumOff val="50000"/>
                </a:schemeClr>
              </a:solidFill>
            </a:ln>
          </c:spPr>
          <c:invertIfNegative val="0"/>
          <c:cat>
            <c:strRef>
              <c:f>NGA!$A$31:$A$59</c:f>
              <c:strCache>
                <c:ptCount val="29"/>
                <c:pt idx="0">
                  <c:v>MT</c:v>
                </c:pt>
                <c:pt idx="1">
                  <c:v>NL</c:v>
                </c:pt>
                <c:pt idx="2">
                  <c:v>BE</c:v>
                </c:pt>
                <c:pt idx="3">
                  <c:v>LU</c:v>
                </c:pt>
                <c:pt idx="4">
                  <c:v>IE</c:v>
                </c:pt>
                <c:pt idx="5">
                  <c:v>DK</c:v>
                </c:pt>
                <c:pt idx="6">
                  <c:v>LV</c:v>
                </c:pt>
                <c:pt idx="7">
                  <c:v>AT</c:v>
                </c:pt>
                <c:pt idx="8">
                  <c:v>IT</c:v>
                </c:pt>
                <c:pt idx="9">
                  <c:v>CY</c:v>
                </c:pt>
                <c:pt idx="10">
                  <c:v>CZ</c:v>
                </c:pt>
                <c:pt idx="11">
                  <c:v>ES</c:v>
                </c:pt>
                <c:pt idx="12">
                  <c:v>DE</c:v>
                </c:pt>
                <c:pt idx="13">
                  <c:v>HU</c:v>
                </c:pt>
                <c:pt idx="14">
                  <c:v>SE</c:v>
                </c:pt>
                <c:pt idx="15">
                  <c:v>SK</c:v>
                </c:pt>
                <c:pt idx="16">
                  <c:v>SI</c:v>
                </c:pt>
                <c:pt idx="17">
                  <c:v>EE</c:v>
                </c:pt>
                <c:pt idx="18">
                  <c:v>HR</c:v>
                </c:pt>
                <c:pt idx="19">
                  <c:v>RO</c:v>
                </c:pt>
                <c:pt idx="20">
                  <c:v>PT</c:v>
                </c:pt>
                <c:pt idx="21">
                  <c:v>BG</c:v>
                </c:pt>
                <c:pt idx="22">
                  <c:v>FI</c:v>
                </c:pt>
                <c:pt idx="23">
                  <c:v>PL</c:v>
                </c:pt>
                <c:pt idx="24">
                  <c:v>EL</c:v>
                </c:pt>
                <c:pt idx="25">
                  <c:v>LT</c:v>
                </c:pt>
                <c:pt idx="26">
                  <c:v>FR</c:v>
                </c:pt>
                <c:pt idx="28">
                  <c:v>ES 27</c:v>
                </c:pt>
              </c:strCache>
            </c:strRef>
          </c:cat>
          <c:val>
            <c:numRef>
              <c:f>NGA!$C$31:$C$59</c:f>
              <c:numCache>
                <c:formatCode>0%</c:formatCode>
                <c:ptCount val="29"/>
                <c:pt idx="0">
                  <c:v>0.999</c:v>
                </c:pt>
                <c:pt idx="1">
                  <c:v>0.98899999999999999</c:v>
                </c:pt>
                <c:pt idx="2">
                  <c:v>0.9395307805920029</c:v>
                </c:pt>
                <c:pt idx="3">
                  <c:v>0.92900152284175674</c:v>
                </c:pt>
                <c:pt idx="4">
                  <c:v>0.89687112344395015</c:v>
                </c:pt>
                <c:pt idx="5">
                  <c:v>0.70641282565130259</c:v>
                </c:pt>
                <c:pt idx="6">
                  <c:v>0.82087380174972369</c:v>
                </c:pt>
                <c:pt idx="7">
                  <c:v>0.57092282536910122</c:v>
                </c:pt>
                <c:pt idx="8">
                  <c:v>0.4341510299964742</c:v>
                </c:pt>
                <c:pt idx="9">
                  <c:v>0.65</c:v>
                </c:pt>
                <c:pt idx="10">
                  <c:v>0.62444277998600239</c:v>
                </c:pt>
                <c:pt idx="11">
                  <c:v>0.47647459487858335</c:v>
                </c:pt>
                <c:pt idx="12">
                  <c:v>0.66216903524453519</c:v>
                </c:pt>
                <c:pt idx="13">
                  <c:v>0.64610068392763365</c:v>
                </c:pt>
                <c:pt idx="14">
                  <c:v>0.31427007673800755</c:v>
                </c:pt>
                <c:pt idx="15">
                  <c:v>0.64137705831911818</c:v>
                </c:pt>
                <c:pt idx="16">
                  <c:v>0.59699999999999998</c:v>
                </c:pt>
                <c:pt idx="17">
                  <c:v>0.61041653669711438</c:v>
                </c:pt>
                <c:pt idx="18">
                  <c:v>0.34444246298184983</c:v>
                </c:pt>
                <c:pt idx="19">
                  <c:v>0.40383661000937443</c:v>
                </c:pt>
                <c:pt idx="20">
                  <c:v>0.66605957903529178</c:v>
                </c:pt>
                <c:pt idx="21">
                  <c:v>0.26664045178142665</c:v>
                </c:pt>
                <c:pt idx="22">
                  <c:v>9.3207020085146794E-2</c:v>
                </c:pt>
                <c:pt idx="23">
                  <c:v>0.29044398739758426</c:v>
                </c:pt>
                <c:pt idx="24">
                  <c:v>0.47948958805070585</c:v>
                </c:pt>
                <c:pt idx="25">
                  <c:v>0.27522567511645918</c:v>
                </c:pt>
                <c:pt idx="26">
                  <c:v>0.46457725025428703</c:v>
                </c:pt>
                <c:pt idx="28">
                  <c:v>0.48956296280051492</c:v>
                </c:pt>
              </c:numCache>
            </c:numRef>
          </c:val>
          <c:extLst>
            <c:ext xmlns:c16="http://schemas.microsoft.com/office/drawing/2014/chart" uri="{C3380CC4-5D6E-409C-BE32-E72D297353CC}">
              <c16:uniqueId val="{00000001-EDCF-46CC-A535-DCA59946F821}"/>
            </c:ext>
          </c:extLst>
        </c:ser>
        <c:dLbls>
          <c:showLegendKey val="0"/>
          <c:showVal val="0"/>
          <c:showCatName val="0"/>
          <c:showSerName val="0"/>
          <c:showPercent val="0"/>
          <c:showBubbleSize val="0"/>
        </c:dLbls>
        <c:gapWidth val="75"/>
        <c:overlap val="-25"/>
        <c:axId val="103200256"/>
        <c:axId val="103201792"/>
      </c:barChart>
      <c:catAx>
        <c:axId val="103200256"/>
        <c:scaling>
          <c:orientation val="minMax"/>
        </c:scaling>
        <c:delete val="0"/>
        <c:axPos val="b"/>
        <c:numFmt formatCode="General" sourceLinked="1"/>
        <c:majorTickMark val="none"/>
        <c:minorTickMark val="none"/>
        <c:tickLblPos val="nextTo"/>
        <c:crossAx val="103201792"/>
        <c:crosses val="autoZero"/>
        <c:auto val="1"/>
        <c:lblAlgn val="ctr"/>
        <c:lblOffset val="100"/>
        <c:noMultiLvlLbl val="0"/>
      </c:catAx>
      <c:valAx>
        <c:axId val="103201792"/>
        <c:scaling>
          <c:orientation val="minMax"/>
          <c:max val="1"/>
        </c:scaling>
        <c:delete val="0"/>
        <c:axPos val="l"/>
        <c:majorGridlines>
          <c:spPr>
            <a:ln>
              <a:solidFill>
                <a:schemeClr val="tx1">
                  <a:lumMod val="50000"/>
                  <a:lumOff val="50000"/>
                </a:schemeClr>
              </a:solidFill>
              <a:prstDash val="dash"/>
            </a:ln>
          </c:spPr>
        </c:majorGridlines>
        <c:numFmt formatCode="0%" sourceLinked="0"/>
        <c:majorTickMark val="none"/>
        <c:minorTickMark val="none"/>
        <c:tickLblPos val="nextTo"/>
        <c:crossAx val="103200256"/>
        <c:crosses val="autoZero"/>
        <c:crossBetween val="between"/>
      </c:valAx>
    </c:plotArea>
    <c:legend>
      <c:legendPos val="b"/>
      <c:layout>
        <c:manualLayout>
          <c:xMode val="edge"/>
          <c:yMode val="edge"/>
          <c:x val="0.87127087055294561"/>
          <c:y val="0.12130859108881629"/>
          <c:w val="0.11370799680082909"/>
          <c:h val="7.1319682182569274E-2"/>
        </c:manualLayout>
      </c:layout>
      <c:overlay val="0"/>
      <c:txPr>
        <a:bodyPr/>
        <a:lstStyle/>
        <a:p>
          <a:pPr>
            <a:defRPr>
              <a:latin typeface="Arial" panose="020B0604020202020204" pitchFamily="34" charset="0"/>
              <a:cs typeface="Arial" panose="020B0604020202020204" pitchFamily="34" charset="0"/>
            </a:defRPr>
          </a:pPr>
          <a:endParaRPr lang="fr-FR"/>
        </a:p>
      </c:txPr>
    </c:legend>
    <c:plotVisOnly val="1"/>
    <c:dispBlanksAs val="gap"/>
    <c:showDLblsOverMax val="0"/>
  </c:chart>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absSizeAnchor xmlns:cdr="http://schemas.openxmlformats.org/drawingml/2006/chartDrawing">
    <cdr:from>
      <cdr:x>0</cdr:x>
      <cdr:y>0.79399</cdr:y>
    </cdr:from>
    <cdr:ext cx="7994650" cy="269369"/>
    <cdr:sp macro="" textlink="">
      <cdr:nvSpPr>
        <cdr:cNvPr id="2" name="FootonotesShape">
          <a:extLst xmlns:a="http://schemas.openxmlformats.org/drawingml/2006/main">
            <a:ext uri="{FF2B5EF4-FFF2-40B4-BE49-F238E27FC236}">
              <a16:creationId xmlns:a16="http://schemas.microsoft.com/office/drawing/2014/main" id="{D1D8D3DD-2DEC-4874-ADE9-921E4876DBEC}"/>
            </a:ext>
          </a:extLst>
        </cdr:cNvPr>
        <cdr:cNvSpPr txBox="1"/>
      </cdr:nvSpPr>
      <cdr:spPr>
        <a:xfrm xmlns:a="http://schemas.openxmlformats.org/drawingml/2006/main">
          <a:off x="0" y="4746413"/>
          <a:ext cx="7994650" cy="269369"/>
        </a:xfrm>
        <a:prstGeom xmlns:a="http://schemas.openxmlformats.org/drawingml/2006/main" prst="rect">
          <a:avLst/>
        </a:prstGeom>
      </cdr:spPr>
      <cdr:txBody>
        <a:bodyPr xmlns:a="http://schemas.openxmlformats.org/drawingml/2006/main" vertOverflow="clip" vert="horz" wrap="square" rtlCol="0">
          <a:spAutoFit/>
        </a:bodyPr>
        <a:lstStyle xmlns:a="http://schemas.openxmlformats.org/drawingml/2006/main"/>
        <a:p xmlns:a="http://schemas.openxmlformats.org/drawingml/2006/main">
          <a:endParaRPr lang="x-none" sz="1200">
            <a:latin typeface="Arial" panose="020B0604020202020204" pitchFamily="34" charset="0"/>
          </a:endParaRPr>
        </a:p>
      </cdr:txBody>
    </cdr:sp>
  </cdr:absSizeAnchor>
</c:userShapes>
</file>

<file path=word/drawings/drawing2.xml><?xml version="1.0" encoding="utf-8"?>
<c:userShapes xmlns:c="http://schemas.openxmlformats.org/drawingml/2006/chart">
  <cdr:relSizeAnchor xmlns:cdr="http://schemas.openxmlformats.org/drawingml/2006/chartDrawing">
    <cdr:from>
      <cdr:x>0.00358</cdr:x>
      <cdr:y>0.93521</cdr:y>
    </cdr:from>
    <cdr:to>
      <cdr:x>0.20529</cdr:x>
      <cdr:y>1</cdr:y>
    </cdr:to>
    <cdr:sp macro="" textlink="">
      <cdr:nvSpPr>
        <cdr:cNvPr id="3" name="TextBox 1"/>
        <cdr:cNvSpPr txBox="1"/>
      </cdr:nvSpPr>
      <cdr:spPr>
        <a:xfrm xmlns:a="http://schemas.openxmlformats.org/drawingml/2006/main">
          <a:off x="31750" y="2841624"/>
          <a:ext cx="1790700" cy="1968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lt-LT" sz="1000" i="1">
              <a:latin typeface="Arial" panose="020B0604020202020204" pitchFamily="34" charset="0"/>
              <a:cs typeface="Arial" panose="020B0604020202020204" pitchFamily="34" charset="0"/>
            </a:rPr>
            <a:t>Šaltinis: IHS ir Point Topic</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3 Population and social conditions">
    <a:dk1>
      <a:sysClr val="windowText" lastClr="000000"/>
    </a:dk1>
    <a:lt1>
      <a:sysClr val="window" lastClr="FFFFFF"/>
    </a:lt1>
    <a:dk2>
      <a:srgbClr val="1F497D"/>
    </a:dk2>
    <a:lt2>
      <a:srgbClr val="EEECE1"/>
    </a:lt2>
    <a:accent1>
      <a:srgbClr val="FAA519"/>
    </a:accent1>
    <a:accent2>
      <a:srgbClr val="286EB4"/>
    </a:accent2>
    <a:accent3>
      <a:srgbClr val="F06423"/>
    </a:accent3>
    <a:accent4>
      <a:srgbClr val="B9C31E"/>
    </a:accent4>
    <a:accent5>
      <a:srgbClr val="5FB441"/>
    </a:accent5>
    <a:accent6>
      <a:srgbClr val="32AFA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67424-1327-4093-B12A-127A4E16A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8273</Words>
  <Characters>47158</Characters>
  <Application>Microsoft Office Word</Application>
  <DocSecurity>0</DocSecurity>
  <Lines>725</Lines>
  <Paragraphs>222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2020-06-15T16:46:00Z</dcterms:created>
  <dcterms:modified xsi:type="dcterms:W3CDTF">2020-06-25T11:03:00Z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CP-008</vt:lpwstr>
  </property>
</Properties>
</file>