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57402196"/>
      <w:bookmarkStart w:id="1" w:name="_Toc461023117"/>
      <w:bookmarkStart w:id="2" w:name="_Ref461174714"/>
      <w:bookmarkStart w:id="3" w:name="_Toc461724213"/>
      <w:bookmarkStart w:id="4"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0B92120-ADAF-42E6-9776-AC719758EF90" style="width:450.75pt;height:321pt">
            <v:imagedata r:id="rId9" o:title=""/>
          </v:shape>
        </w:pict>
      </w:r>
    </w:p>
    <w:bookmarkEnd w:id="4"/>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both"/>
        <w:rPr>
          <w:rFonts w:ascii="Times New Roman" w:eastAsia="Calibri" w:hAnsi="Times New Roman" w:cs="Times New Roman"/>
          <w:b/>
          <w:noProof/>
          <w:sz w:val="24"/>
        </w:rPr>
      </w:pPr>
      <w:bookmarkStart w:id="5" w:name="_GoBack"/>
      <w:bookmarkEnd w:id="5"/>
      <w:r>
        <w:rPr>
          <w:rFonts w:ascii="Times New Roman" w:hAnsi="Times New Roman"/>
          <w:b/>
          <w:noProof/>
          <w:sz w:val="24"/>
        </w:rPr>
        <w:lastRenderedPageBreak/>
        <w:t>Europos mokslinių tyrimų erdvė. Tolesnis bendras mokslinių tyrimų ir inovacijų Europos kūrimas</w:t>
      </w:r>
    </w:p>
    <w:p>
      <w:pPr>
        <w:pStyle w:val="ListParagraph"/>
        <w:numPr>
          <w:ilvl w:val="0"/>
          <w:numId w:val="8"/>
        </w:numPr>
        <w:jc w:val="both"/>
        <w:rPr>
          <w:rFonts w:ascii="Times New Roman" w:eastAsia="Calibri" w:hAnsi="Times New Roman" w:cs="Times New Roman"/>
          <w:b/>
          <w:noProof/>
          <w:sz w:val="24"/>
        </w:rPr>
      </w:pPr>
      <w:r>
        <w:rPr>
          <w:rFonts w:ascii="Times New Roman" w:hAnsi="Times New Roman"/>
          <w:b/>
          <w:noProof/>
          <w:sz w:val="24"/>
        </w:rPr>
        <w:t>ĮVADAS</w:t>
      </w:r>
    </w:p>
    <w:p>
      <w:pPr>
        <w:jc w:val="both"/>
        <w:rPr>
          <w:rFonts w:ascii="Times New Roman" w:eastAsia="Calibri" w:hAnsi="Times New Roman" w:cs="Times New Roman"/>
          <w:noProof/>
          <w:sz w:val="24"/>
        </w:rPr>
      </w:pPr>
      <w:r>
        <w:rPr>
          <w:rFonts w:ascii="Times New Roman" w:hAnsi="Times New Roman"/>
          <w:noProof/>
          <w:sz w:val="24"/>
        </w:rPr>
        <w:t>2018 m. EMTE pažangos ataskaitoje įvertinama dabartinė Europos mokslinių tyrimų erdvės (EMTE) padėtis ir pažanga, padaryta 2016–2018 m. kuriant EMTE</w:t>
      </w:r>
      <w:r>
        <w:rPr>
          <w:rStyle w:val="FootnoteReference"/>
          <w:rFonts w:ascii="Times New Roman" w:hAnsi="Times New Roman"/>
          <w:noProof/>
          <w:sz w:val="24"/>
        </w:rPr>
        <w:footnoteReference w:id="2"/>
      </w:r>
      <w:r>
        <w:rPr>
          <w:rFonts w:ascii="Times New Roman" w:hAnsi="Times New Roman"/>
          <w:noProof/>
          <w:sz w:val="24"/>
        </w:rPr>
        <w:t>. Antrą kartą iš eilės pažanga vertinama šalies lygmeniu, naudojantis EMTE stebėsenos mechanizmu – valstybių narių, mokslinių tyrimų suinteresuotųjų šalių ir Komisijos kartu nustatytu 24 svarbiausių rodiklių rinkiniu, į kurį įtraukti aštuoni pagrindiniai rodikliai</w:t>
      </w:r>
      <w:r>
        <w:rPr>
          <w:rStyle w:val="FootnoteReference"/>
          <w:rFonts w:ascii="Times New Roman" w:hAnsi="Times New Roman"/>
          <w:noProof/>
          <w:sz w:val="24"/>
        </w:rPr>
        <w:footnoteReference w:id="3"/>
      </w:r>
      <w:r>
        <w:rPr>
          <w:rFonts w:ascii="Times New Roman" w:hAnsi="Times New Roman"/>
          <w:noProof/>
          <w:sz w:val="24"/>
        </w:rPr>
        <w:t>.</w:t>
      </w:r>
    </w:p>
    <w:p>
      <w:pPr>
        <w:rPr>
          <w:rFonts w:ascii="Times New Roman" w:hAnsi="Times New Roman" w:cs="Times New Roman"/>
          <w:noProof/>
          <w:sz w:val="24"/>
          <w:szCs w:val="24"/>
        </w:rPr>
      </w:pPr>
      <w:r>
        <w:rPr>
          <w:rFonts w:ascii="Times New Roman" w:hAnsi="Times New Roman"/>
          <w:noProof/>
          <w:sz w:val="24"/>
        </w:rPr>
        <w:t>Kuriant EMTE, daugiausia dėmesio skiriama šešiems prioritetams:</w:t>
      </w:r>
    </w:p>
    <w:p>
      <w:pPr>
        <w:pStyle w:val="ListParagraph"/>
        <w:numPr>
          <w:ilvl w:val="0"/>
          <w:numId w:val="12"/>
        </w:numPr>
        <w:rPr>
          <w:rFonts w:ascii="Times New Roman" w:hAnsi="Times New Roman" w:cs="Times New Roman"/>
          <w:noProof/>
          <w:sz w:val="24"/>
          <w:szCs w:val="24"/>
        </w:rPr>
      </w:pPr>
      <w:r>
        <w:rPr>
          <w:rFonts w:ascii="Times New Roman" w:hAnsi="Times New Roman"/>
          <w:noProof/>
          <w:sz w:val="24"/>
        </w:rPr>
        <w:t>veiksmingesnėms nacionalinėms mokslinių tyrimų sistemoms;</w:t>
      </w:r>
    </w:p>
    <w:p>
      <w:pPr>
        <w:pStyle w:val="ListParagraph"/>
        <w:numPr>
          <w:ilvl w:val="0"/>
          <w:numId w:val="12"/>
        </w:numPr>
        <w:rPr>
          <w:rFonts w:ascii="Times New Roman" w:hAnsi="Times New Roman" w:cs="Times New Roman"/>
          <w:noProof/>
          <w:sz w:val="24"/>
          <w:szCs w:val="24"/>
        </w:rPr>
      </w:pPr>
      <w:r>
        <w:rPr>
          <w:rFonts w:ascii="Times New Roman" w:hAnsi="Times New Roman"/>
          <w:noProof/>
          <w:sz w:val="24"/>
        </w:rPr>
        <w:t>optimaliam tarpvalstybiniam bendradarbiavimui ir konkurencijai, įskaitant bendrą sudėtingų uždavinių sprendimą ir mokslinių tyrimų infrastruktūrą;</w:t>
      </w:r>
    </w:p>
    <w:p>
      <w:pPr>
        <w:pStyle w:val="ListParagraph"/>
        <w:numPr>
          <w:ilvl w:val="0"/>
          <w:numId w:val="12"/>
        </w:numPr>
        <w:rPr>
          <w:rFonts w:ascii="Times New Roman" w:hAnsi="Times New Roman" w:cs="Times New Roman"/>
          <w:noProof/>
          <w:sz w:val="24"/>
          <w:szCs w:val="24"/>
        </w:rPr>
      </w:pPr>
      <w:r>
        <w:rPr>
          <w:rFonts w:ascii="Times New Roman" w:hAnsi="Times New Roman"/>
          <w:noProof/>
          <w:sz w:val="24"/>
        </w:rPr>
        <w:t>atvirai darbo rinkai tyrėjams;</w:t>
      </w:r>
    </w:p>
    <w:p>
      <w:pPr>
        <w:pStyle w:val="ListParagraph"/>
        <w:numPr>
          <w:ilvl w:val="0"/>
          <w:numId w:val="12"/>
        </w:numPr>
        <w:rPr>
          <w:rFonts w:ascii="Times New Roman" w:hAnsi="Times New Roman" w:cs="Times New Roman"/>
          <w:noProof/>
          <w:sz w:val="24"/>
          <w:szCs w:val="24"/>
        </w:rPr>
      </w:pPr>
      <w:r>
        <w:rPr>
          <w:rFonts w:ascii="Times New Roman" w:hAnsi="Times New Roman"/>
          <w:noProof/>
          <w:sz w:val="24"/>
        </w:rPr>
        <w:t>lyčių lygybei ir lyčių aspekto integravimui mokslinių tyrimų sektoriuje;</w:t>
      </w:r>
    </w:p>
    <w:p>
      <w:pPr>
        <w:pStyle w:val="ListParagraph"/>
        <w:numPr>
          <w:ilvl w:val="0"/>
          <w:numId w:val="12"/>
        </w:numPr>
        <w:rPr>
          <w:rFonts w:ascii="Times New Roman" w:hAnsi="Times New Roman" w:cs="Times New Roman"/>
          <w:noProof/>
          <w:sz w:val="24"/>
          <w:szCs w:val="24"/>
        </w:rPr>
      </w:pPr>
      <w:r>
        <w:rPr>
          <w:rFonts w:ascii="Times New Roman" w:hAnsi="Times New Roman"/>
          <w:noProof/>
          <w:sz w:val="24"/>
        </w:rPr>
        <w:t>optimaliam mokslo žinių judėjimui bei perdavimui ir prieigai prie jų, įskaitant žinių sklaidą ir atvirąją prieigą;</w:t>
      </w:r>
    </w:p>
    <w:p>
      <w:pPr>
        <w:pStyle w:val="ListParagraph"/>
        <w:numPr>
          <w:ilvl w:val="0"/>
          <w:numId w:val="12"/>
        </w:numPr>
        <w:pBdr>
          <w:bottom w:val="double" w:sz="6" w:space="1" w:color="auto"/>
        </w:pBdr>
        <w:rPr>
          <w:rFonts w:ascii="Times New Roman" w:hAnsi="Times New Roman" w:cs="Times New Roman"/>
          <w:noProof/>
          <w:sz w:val="24"/>
          <w:szCs w:val="24"/>
        </w:rPr>
      </w:pPr>
      <w:r>
        <w:rPr>
          <w:rFonts w:ascii="Times New Roman" w:hAnsi="Times New Roman"/>
          <w:noProof/>
          <w:sz w:val="24"/>
        </w:rPr>
        <w:t>tarptautiniam bendradarbiavimui.</w:t>
      </w:r>
    </w:p>
    <w:p>
      <w:pPr>
        <w:jc w:val="both"/>
        <w:rPr>
          <w:rFonts w:ascii="Times New Roman" w:eastAsia="Calibri" w:hAnsi="Times New Roman" w:cs="Times New Roman"/>
          <w:noProof/>
          <w:sz w:val="24"/>
        </w:rPr>
      </w:pPr>
      <w:r>
        <w:rPr>
          <w:rFonts w:ascii="Times New Roman" w:hAnsi="Times New Roman"/>
          <w:noProof/>
          <w:sz w:val="24"/>
        </w:rPr>
        <w:t>2016 m. EMTE pažangos ataskaitoje nustatyta, kad per pastarąjį dešimtmetį EMTE kūrimo srityje padaryta didelė pažanga. ES lygmeniu pagerėjo visi pagrindiniai rodikliai, tačiau tebebuvo didelių valstybių narių skirtumų, susijusių tiek su įgyvendinimo lygiu, tiek su augimo koeficientais.</w:t>
      </w:r>
    </w:p>
    <w:p>
      <w:pPr>
        <w:jc w:val="both"/>
        <w:rPr>
          <w:rFonts w:ascii="Times New Roman" w:eastAsia="Calibri" w:hAnsi="Times New Roman" w:cs="Times New Roman"/>
          <w:noProof/>
          <w:sz w:val="24"/>
        </w:rPr>
      </w:pPr>
      <w:r>
        <w:rPr>
          <w:rFonts w:ascii="Times New Roman" w:hAnsi="Times New Roman"/>
          <w:noProof/>
          <w:sz w:val="24"/>
        </w:rPr>
        <w:t>Remiantis bendrais pagrindinių rodiklių pokyčiais, pažanga EMTE kūrimo srityje daroma ir toliau, nors ir lėčiau negu anksčiau. Tam tikrų pagrindinių rodiklių (5 ir 6 prioritetų) augimo koeficientai išliko tokie pat, o kitų (1, 2 ir 4 prioritetų) – sumažėjo. Vieno pagrindinio rodiklio (3 prioriteto) augimo koeficientas netgi neigiamas. Vis dėlto tai didelio susirūpinimo nekelia, nes šis rodiklis yra tik tarpinis, o papildomi 3 prioriteto rodikliai vis dar gerėja.</w:t>
      </w:r>
    </w:p>
    <w:p>
      <w:pPr>
        <w:jc w:val="both"/>
        <w:rPr>
          <w:rFonts w:ascii="Times New Roman" w:eastAsia="Calibri" w:hAnsi="Times New Roman" w:cs="Times New Roman"/>
          <w:noProof/>
          <w:sz w:val="24"/>
        </w:rPr>
      </w:pPr>
      <w:r>
        <w:rPr>
          <w:rFonts w:ascii="Times New Roman" w:hAnsi="Times New Roman"/>
          <w:noProof/>
          <w:sz w:val="24"/>
        </w:rPr>
        <w:t>Šio dokumento pabaigoje esančioje lentelėje pateikiami įvairių pagrindinių rodiklių augimo koeficientai.</w:t>
      </w:r>
    </w:p>
    <w:p>
      <w:pPr>
        <w:jc w:val="both"/>
        <w:rPr>
          <w:rFonts w:ascii="Times New Roman" w:eastAsia="Calibri" w:hAnsi="Times New Roman" w:cs="Times New Roman"/>
          <w:noProof/>
          <w:sz w:val="24"/>
        </w:rPr>
      </w:pPr>
      <w:r>
        <w:rPr>
          <w:rFonts w:ascii="Times New Roman" w:hAnsi="Times New Roman"/>
          <w:noProof/>
          <w:sz w:val="24"/>
        </w:rPr>
        <w:t>2018 m. lapkričio mėn. Taryba patvirtino išvadas dėl EMTE valdymo</w:t>
      </w:r>
      <w:r>
        <w:rPr>
          <w:rStyle w:val="FootnoteReference"/>
          <w:rFonts w:ascii="Times New Roman" w:hAnsi="Times New Roman"/>
          <w:noProof/>
          <w:sz w:val="24"/>
        </w:rPr>
        <w:footnoteReference w:id="4"/>
      </w:r>
      <w:r>
        <w:rPr>
          <w:rFonts w:ascii="Times New Roman" w:hAnsi="Times New Roman"/>
          <w:noProof/>
          <w:sz w:val="24"/>
        </w:rPr>
        <w:t>. Ji priminė savo 2015 m. gegužės mėn. išvadas, kuriomis remtasi vėliau rengiant EMTE nacionalinius veiksmų planus (angl. NAPs), ir paragino EMTE veiksmų plano įgyvendinimo stebėseną įtraukti į EMTE pažangos ataskaitas, remiantis Europos mokslinių tyrimų erdvės ir inovacijų komiteto pasiūlytais pagrindiniais rodikliais</w:t>
      </w:r>
      <w:r>
        <w:rPr>
          <w:rStyle w:val="FootnoteReference"/>
          <w:rFonts w:ascii="Times New Roman" w:hAnsi="Times New Roman"/>
          <w:noProof/>
          <w:sz w:val="24"/>
        </w:rPr>
        <w:footnoteReference w:id="5"/>
      </w:r>
      <w:r>
        <w:rPr>
          <w:rFonts w:ascii="Times New Roman" w:hAnsi="Times New Roman"/>
          <w:noProof/>
          <w:sz w:val="24"/>
        </w:rPr>
        <w:t>.</w:t>
      </w:r>
    </w:p>
    <w:p>
      <w:pPr>
        <w:jc w:val="both"/>
        <w:rPr>
          <w:rFonts w:ascii="Times New Roman" w:eastAsia="Calibri" w:hAnsi="Times New Roman" w:cs="Times New Roman"/>
          <w:noProof/>
          <w:sz w:val="24"/>
        </w:rPr>
      </w:pPr>
      <w:r>
        <w:rPr>
          <w:rFonts w:ascii="Times New Roman" w:hAnsi="Times New Roman"/>
          <w:noProof/>
          <w:sz w:val="24"/>
        </w:rPr>
        <w:t>Įpusėjus įgyvendinti 2015–2020 m. EMTE veiksmų planą, šio laikotarpio nacionalinius veiksmų planus iki šiol yra patvirtinusios 24 valstybės narės ir 4 asocijuotosios šalys. Šiuose planuose pateikiama oficiali informacija apie EMTE strategijas ir atitinkamas politikos priemones šiose valstybėse narėse ir asocijuotosiose šalyse. Šie planai yra svarbus informacijos šaltinis, padedantis nustatyti EMTE kūrimo pažangą. Dauguma nacionalinių veiksmų planų parengti remiantis šešiais EMTE prioritetais; tai – dar vienas sistemingų ir bendrų pastangų planuoti nacionalines reformas siekiant sukurti EMTE įrodymas.</w:t>
      </w:r>
    </w:p>
    <w:p>
      <w:pPr>
        <w:jc w:val="both"/>
        <w:rPr>
          <w:rFonts w:ascii="Times New Roman" w:eastAsia="Calibri" w:hAnsi="Times New Roman" w:cs="Times New Roman"/>
          <w:noProof/>
          <w:sz w:val="24"/>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pPr>
      <w:r>
        <w:rPr>
          <w:rFonts w:ascii="Times New Roman" w:hAnsi="Times New Roman"/>
          <w:noProof/>
          <w:sz w:val="24"/>
        </w:rPr>
        <w:t>Apskritai iš šios ataskaitos matyti, kad pažanga, daroma kuriant EMTE, lėtėja ir kad tebėra didelių šalių skirtumų arba jie iš dalies didėja. Atsižvelgiant į šias tendencijas, reikia prisiimti naujus įsipareigojimus: i) toliau stiprinti bendras pastangas visais lygmenimis; ii) pertvarkyti nacionalines mokslinių tyrimų ir inovacijų sistemas; iii) užtikrinti tinkamai veikiančią EMTE. Komisija šį poreikį numatė pasiūlydama kitu finansavimo laikotarpiu (2021–2027 m.) įgyvendinti keletą programų. Jos susijusios su regioniniais fondais, Europos reformų įgyvendinimo priemone ir kita ES bendrąja mokslinių tyrimų ir inovacijų programa „Europos horizontas“. Į pastarąją įtrauktas specialus ramstis, kuriuo siekiama padėti stiprinti EMTE.</w:t>
      </w:r>
    </w:p>
    <w:p>
      <w:pPr>
        <w:pStyle w:val="ListParagraph"/>
        <w:numPr>
          <w:ilvl w:val="0"/>
          <w:numId w:val="8"/>
        </w:numPr>
        <w:jc w:val="both"/>
        <w:rPr>
          <w:rFonts w:ascii="Times New Roman" w:eastAsia="Calibri" w:hAnsi="Times New Roman" w:cs="Times New Roman"/>
          <w:b/>
          <w:noProof/>
          <w:sz w:val="24"/>
        </w:rPr>
      </w:pPr>
      <w:r>
        <w:rPr>
          <w:rFonts w:ascii="Times New Roman" w:hAnsi="Times New Roman"/>
          <w:b/>
          <w:noProof/>
          <w:sz w:val="24"/>
        </w:rPr>
        <w:t>PAGRINDINĖS EMTE PAŽANGOS ATASKAITOS IŠVADOS</w:t>
      </w:r>
    </w:p>
    <w:bookmarkEnd w:id="0"/>
    <w:bookmarkEnd w:id="1"/>
    <w:bookmarkEnd w:id="2"/>
    <w:bookmarkEnd w:id="3"/>
    <w:p>
      <w:pPr>
        <w:pStyle w:val="ListParagraph"/>
        <w:numPr>
          <w:ilvl w:val="1"/>
          <w:numId w:val="8"/>
        </w:numPr>
        <w:tabs>
          <w:tab w:val="left" w:pos="1276"/>
        </w:tabs>
        <w:spacing w:before="240" w:after="240" w:line="240" w:lineRule="auto"/>
        <w:contextualSpacing w:val="0"/>
        <w:rPr>
          <w:rFonts w:ascii="Times New Roman" w:eastAsia="Times New Roman" w:hAnsi="Times New Roman" w:cs="Times New Roman"/>
          <w:b/>
          <w:bCs/>
          <w:noProof/>
          <w:sz w:val="24"/>
          <w:szCs w:val="24"/>
        </w:rPr>
      </w:pPr>
      <w:r>
        <w:rPr>
          <w:rFonts w:ascii="Times New Roman" w:hAnsi="Times New Roman"/>
          <w:b/>
          <w:noProof/>
          <w:sz w:val="24"/>
        </w:rPr>
        <w:t>Veiksmingesnės nacionalinės mokslinių tyrimų sistemos</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ascii="Times New Roman" w:hAnsi="Times New Roman" w:cs="Times New Roman"/>
          <w:noProof/>
          <w:sz w:val="24"/>
          <w:szCs w:val="24"/>
        </w:rPr>
      </w:pPr>
      <w:r>
        <w:rPr>
          <w:rFonts w:ascii="Times New Roman" w:hAnsi="Times New Roman"/>
          <w:b/>
          <w:noProof/>
          <w:sz w:val="24"/>
        </w:rPr>
        <w:t>Tikslas</w:t>
      </w:r>
      <w:r>
        <w:rPr>
          <w:rFonts w:ascii="Times New Roman" w:hAnsi="Times New Roman"/>
          <w:noProof/>
          <w:sz w:val="24"/>
        </w:rPr>
        <w:t xml:space="preserve"> </w:t>
      </w:r>
      <w:r>
        <w:rPr>
          <w:rFonts w:ascii="Times New Roman" w:hAnsi="Times New Roman" w:cs="Times New Roman"/>
          <w:noProof/>
          <w:sz w:val="24"/>
          <w:szCs w:val="24"/>
        </w:rPr>
        <w:br/>
      </w:r>
      <w:r>
        <w:rPr>
          <w:rFonts w:ascii="Times New Roman" w:hAnsi="Times New Roman"/>
          <w:noProof/>
          <w:sz w:val="24"/>
        </w:rPr>
        <w:t>Veiksmingai suprojektuotos ir efektyviai veikiančios nacionalinės mokslinių tyrimų ir inovacijų sistemos, kuriomis užtikrinama didžiausia naudojamų valstybės lėšų vertė.</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b/>
          <w:noProof/>
          <w:sz w:val="24"/>
        </w:rPr>
      </w:pPr>
      <w:r>
        <w:rPr>
          <w:rFonts w:ascii="Times New Roman" w:hAnsi="Times New Roman"/>
          <w:b/>
          <w:noProof/>
          <w:sz w:val="24"/>
        </w:rPr>
        <w:t>Siekiami rezultatai</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noProof/>
          <w:sz w:val="24"/>
          <w:szCs w:val="24"/>
        </w:rPr>
      </w:pPr>
      <w:r>
        <w:rPr>
          <w:rFonts w:ascii="Times New Roman" w:hAnsi="Times New Roman"/>
          <w:noProof/>
          <w:sz w:val="24"/>
        </w:rPr>
        <w:t>Geriau suderinti šalių nacionalinę politiką su bendrais Europos prioritetais, finansavimo organizacijoms taikant pagrindinius tarptautinio tarpusavio vertinimo principus, rasti tinkamą konkurencija grindžiamo ir institucinio finansavimo pusiausvyrą ir investuoti į platesnio masto švietimo ir inovacijų sistemas.</w:t>
      </w:r>
    </w:p>
    <w:p>
      <w:pPr>
        <w:jc w:val="both"/>
        <w:rPr>
          <w:rFonts w:ascii="Times New Roman" w:hAnsi="Times New Roman"/>
          <w:noProof/>
          <w:sz w:val="24"/>
        </w:rPr>
      </w:pPr>
      <w:r>
        <w:rPr>
          <w:rFonts w:ascii="Times New Roman" w:hAnsi="Times New Roman"/>
          <w:noProof/>
          <w:sz w:val="24"/>
        </w:rPr>
        <w:t>Iš šio pagrindinio rodiklio analizės matyti, kad 2013–2016 m. mokslinių tyrimų kompetencija didėjo – šio rodiklio metinis augimo koeficientas siekė 3,2</w:t>
      </w:r>
      <w:r>
        <w:rPr>
          <w:noProof/>
        </w:rPr>
        <w:t> </w:t>
      </w:r>
      <w:r>
        <w:rPr>
          <w:rFonts w:ascii="Times New Roman" w:hAnsi="Times New Roman"/>
          <w:noProof/>
          <w:sz w:val="24"/>
        </w:rPr>
        <w:t>proc. (28 ES valstybių narių vidurkis)</w:t>
      </w:r>
      <w:r>
        <w:rPr>
          <w:rStyle w:val="FootnoteReference"/>
          <w:rFonts w:ascii="Times New Roman" w:hAnsi="Times New Roman"/>
          <w:noProof/>
          <w:sz w:val="24"/>
        </w:rPr>
        <w:footnoteReference w:id="6"/>
      </w:r>
      <w:r>
        <w:rPr>
          <w:rFonts w:ascii="Times New Roman" w:hAnsi="Times New Roman"/>
          <w:noProof/>
          <w:sz w:val="24"/>
        </w:rPr>
        <w:t>. Vis dėlto, palyginti su 2010–2013 m., šis augimo koeficientas sumažėjo perpus.</w:t>
      </w:r>
    </w:p>
    <w:p>
      <w:pPr>
        <w:jc w:val="both"/>
        <w:rPr>
          <w:rFonts w:ascii="Times New Roman" w:hAnsi="Times New Roman"/>
          <w:noProof/>
          <w:sz w:val="24"/>
        </w:rPr>
      </w:pPr>
      <w:r>
        <w:rPr>
          <w:rFonts w:ascii="Times New Roman" w:hAnsi="Times New Roman"/>
          <w:noProof/>
          <w:sz w:val="24"/>
        </w:rPr>
        <w:t>Apskritai, nors mokslinių tyrimų ir technologinės plėtros viešasis finansavimas yra pagrindinis šalies mokslinių tyrimų ir inovacijų sistemų tvirtumo ir tarptautinio konkurencingumo veiksnys, tam tikros šalys vis dar mažina išlaidas moksliniams tyrimams ir inovacijoms (valstybės biudžeto asignavimus moksliniams tyrimams ir technologinei plėtrai, išreikštus kaip BVP procentinę dalį), o kitos 2014–2016 m. jų iš esmės nedidino</w:t>
      </w:r>
      <w:r>
        <w:rPr>
          <w:rStyle w:val="FootnoteReference"/>
          <w:rFonts w:ascii="Times New Roman" w:hAnsi="Times New Roman"/>
          <w:noProof/>
          <w:sz w:val="24"/>
        </w:rPr>
        <w:footnoteReference w:id="7"/>
      </w:r>
      <w:r>
        <w:rPr>
          <w:rFonts w:ascii="Times New Roman" w:hAnsi="Times New Roman"/>
          <w:noProof/>
          <w:sz w:val="24"/>
        </w:rPr>
        <w:t>. Vis dėlto šalys, kurių nacionalinės mokslinių tyrimų sistemos mažiau išplėtotos, taip pat yra dažniau priklausomos nuo ES struktūrinių ir investicijų fondų, kurių lėšomis papildo nacionalinius mokslinių tyrimų ir technologinės plėtros biudžetus. Keletas EMTE priklausančių šalių</w:t>
      </w:r>
      <w:r>
        <w:rPr>
          <w:rStyle w:val="FootnoteReference"/>
          <w:rFonts w:ascii="Times New Roman" w:hAnsi="Times New Roman"/>
          <w:noProof/>
          <w:sz w:val="24"/>
        </w:rPr>
        <w:footnoteReference w:id="8"/>
      </w:r>
      <w:r>
        <w:rPr>
          <w:rFonts w:ascii="Times New Roman" w:hAnsi="Times New Roman"/>
          <w:noProof/>
          <w:sz w:val="24"/>
        </w:rPr>
        <w:t xml:space="preserve"> taip pat taiko netiesiogines fiskalines priemones tiesioginiam valstybės finansavimui papildyti.</w:t>
      </w:r>
    </w:p>
    <w:p>
      <w:pPr>
        <w:jc w:val="both"/>
        <w:rPr>
          <w:rFonts w:ascii="Times New Roman" w:hAnsi="Times New Roman"/>
          <w:noProof/>
          <w:sz w:val="24"/>
        </w:rPr>
      </w:pPr>
      <w:r>
        <w:rPr>
          <w:rFonts w:ascii="Times New Roman" w:hAnsi="Times New Roman"/>
          <w:noProof/>
          <w:sz w:val="24"/>
        </w:rPr>
        <w:t>Konkurencija grindžiamas finansavimas, kai mokslinių tyrimų finansavimas paskirstomas konkurencingai, vertinimo grupėse dalyvaujant tarptautiniams ekspertams, tampa įprasta EMTE priklausančių šalių praktika. Vis dėlto konkurencija grindžiamo finansavimo ir finansavimo skiriant vienkartines išmokas santykis įvairiose šalyse vis dar labai nevienodas. Kai kuriose šalyse, kurių mokslinių tyrimų ir inovacijų sistemos mažiau išplėtotos, mažiau konkurencingos mokslinius tyrimus atliekančios organizacijos daugiausia priklauso nuo finansavimo skiriant vienkartines išmokas; tai dažnai turi įtakos jų gebėjimui pritraukti gabiausius specialistus, taip pat plėtoti ir išlaikyti mokslinių tyrimų infrastruktūrą. Šiuo požiūriu grindžiamos tolesnės jų finansavimo sistemų reformos, siekiant užtikrinti tinkamą pusiausvyrą.</w:t>
      </w:r>
    </w:p>
    <w:p>
      <w:pPr>
        <w:jc w:val="both"/>
        <w:rPr>
          <w:rFonts w:ascii="Times New Roman" w:hAnsi="Times New Roman"/>
          <w:noProof/>
          <w:sz w:val="24"/>
        </w:rPr>
      </w:pPr>
      <w:r>
        <w:rPr>
          <w:rFonts w:ascii="Times New Roman" w:hAnsi="Times New Roman"/>
          <w:noProof/>
          <w:sz w:val="24"/>
        </w:rPr>
        <w:t>Dauguma nacionalinių veiksmų planų parengti aiškiai remiantis EMTE prioritetais. Iš jų matyti, kad EMTE priklausančiose šalyse nacionalinė mokslinių tyrimų ir inovacijų politika vis dažniau derinama su ES lygmeniu nustatytais tikslais, kuriais siekiama sukurti EMTE. ES valstybės narės, įgyvendindamos nacionalines ir regionines pažangiosios specializacijos strategijas, taip pat stengiasi didinti nacionalinių mokslinių tyrimų sistemų efektyvumą ir konkurencingumą.</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b/>
          <w:noProof/>
          <w:sz w:val="24"/>
          <w:szCs w:val="24"/>
        </w:rPr>
      </w:pPr>
      <w:r>
        <w:rPr>
          <w:rFonts w:ascii="Times New Roman" w:hAnsi="Times New Roman"/>
          <w:b/>
          <w:noProof/>
          <w:sz w:val="24"/>
        </w:rPr>
        <w:t>Išvada</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ascii="Times New Roman" w:hAnsi="Times New Roman" w:cs="Times New Roman"/>
          <w:noProof/>
          <w:sz w:val="24"/>
          <w:szCs w:val="24"/>
        </w:rPr>
      </w:pPr>
      <w:r>
        <w:rPr>
          <w:rFonts w:ascii="Times New Roman" w:hAnsi="Times New Roman"/>
          <w:noProof/>
          <w:sz w:val="24"/>
        </w:rPr>
        <w:t>Beveik visos šalys yra patvirtinusios arba atnaujinusios nacionalines mokslinių tyrimų ir inovacijų strategijas. Tikimasi, kad tai padės didinti mokslinių tyrimų kompetenciją. Nepaisant pastaraisiais metais padarytos pažangos, iš analizės matyti, kad reikia geriau suderinti įvairių suinteresuotųjų šalių mokslinių tyrimų ir inovacijų strategijas, kad jos galėtų veiksmingiau bendradarbiauti. Didinant nacionalinių mokslinių tyrimų ir inovacijų sistemų veiksmingumą, mažinant susiskaidymą ir nustatant tobulintinas sritis, ypač derinant nacionalines ir ES priemones, pagrindiniai aspektai turėtų būti nacionalinės mokslinių tyrimų ir inovacijų politikos stebėsena ir vertinimas.</w:t>
      </w:r>
    </w:p>
    <w:p>
      <w:pPr>
        <w:pStyle w:val="ListParagraph"/>
        <w:numPr>
          <w:ilvl w:val="1"/>
          <w:numId w:val="8"/>
        </w:numPr>
        <w:tabs>
          <w:tab w:val="left" w:pos="1276"/>
        </w:tabs>
        <w:spacing w:before="240" w:after="240" w:line="240" w:lineRule="auto"/>
        <w:rPr>
          <w:rFonts w:ascii="Times New Roman" w:eastAsia="Times New Roman" w:hAnsi="Times New Roman" w:cs="Times New Roman"/>
          <w:b/>
          <w:bCs/>
          <w:noProof/>
          <w:sz w:val="24"/>
        </w:rPr>
      </w:pPr>
      <w:r>
        <w:rPr>
          <w:rFonts w:ascii="Times New Roman" w:hAnsi="Times New Roman"/>
          <w:b/>
          <w:noProof/>
          <w:sz w:val="24"/>
        </w:rPr>
        <w:t>Optimalus tarpvalstybinis bendradarbiavimas ir konkurencija</w:t>
      </w:r>
      <w:bookmarkStart w:id="6" w:name="_Toc461724216"/>
      <w:bookmarkStart w:id="7" w:name="_Toc461023120"/>
      <w:bookmarkStart w:id="8" w:name="_Toc457402200"/>
    </w:p>
    <w:bookmarkEnd w:id="6"/>
    <w:bookmarkEnd w:id="7"/>
    <w:bookmarkEnd w:id="8"/>
    <w:p>
      <w:pPr>
        <w:jc w:val="both"/>
        <w:rPr>
          <w:rFonts w:ascii="Times New Roman" w:eastAsia="Calibri" w:hAnsi="Times New Roman" w:cs="Times New Roman"/>
          <w:b/>
          <w:i/>
          <w:noProof/>
          <w:sz w:val="24"/>
        </w:rPr>
      </w:pPr>
      <w:r>
        <w:rPr>
          <w:rFonts w:ascii="Times New Roman" w:hAnsi="Times New Roman"/>
          <w:b/>
          <w:i/>
          <w:noProof/>
          <w:sz w:val="24"/>
        </w:rPr>
        <w:t>Bendras sudėtingų uždavinių sprendimas</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jc w:val="both"/>
        <w:rPr>
          <w:rFonts w:ascii="Times New Roman" w:eastAsia="Calibri" w:hAnsi="Times New Roman" w:cs="Times New Roman"/>
          <w:noProof/>
          <w:sz w:val="24"/>
        </w:rPr>
      </w:pPr>
      <w:r>
        <w:rPr>
          <w:rFonts w:ascii="Times New Roman" w:hAnsi="Times New Roman"/>
          <w:b/>
          <w:noProof/>
          <w:sz w:val="24"/>
        </w:rPr>
        <w:t>Tikslas</w:t>
      </w:r>
      <w:r>
        <w:rPr>
          <w:rFonts w:ascii="Times New Roman" w:hAnsi="Times New Roman"/>
          <w:noProof/>
          <w:sz w:val="24"/>
        </w:rPr>
        <w:t xml:space="preserve"> </w:t>
      </w:r>
      <w:r>
        <w:rPr>
          <w:rFonts w:ascii="Times New Roman" w:eastAsia="Calibri" w:hAnsi="Times New Roman" w:cs="Times New Roman"/>
          <w:noProof/>
          <w:sz w:val="24"/>
        </w:rPr>
        <w:br/>
      </w:r>
      <w:r>
        <w:rPr>
          <w:rFonts w:ascii="Times New Roman" w:hAnsi="Times New Roman"/>
          <w:noProof/>
          <w:sz w:val="24"/>
        </w:rPr>
        <w:t>Kad Europa būtų pajėgi prisitaikyti prie dinamiško ir kintančio pasaulio, labai svarbu glaudžiau bendradarbiauti, siekiant spręsti visiems mums kylančius sudėtingus uždavinius.</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jc w:val="both"/>
        <w:rPr>
          <w:rFonts w:ascii="Times New Roman" w:hAnsi="Times New Roman"/>
          <w:b/>
          <w:noProof/>
          <w:sz w:val="24"/>
        </w:rPr>
      </w:pPr>
      <w:r>
        <w:rPr>
          <w:rFonts w:ascii="Times New Roman" w:hAnsi="Times New Roman"/>
          <w:b/>
          <w:noProof/>
          <w:sz w:val="24"/>
        </w:rPr>
        <w:t>Siekiami rezultatai</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jc w:val="both"/>
        <w:rPr>
          <w:rFonts w:ascii="Times New Roman" w:eastAsia="Calibri" w:hAnsi="Times New Roman" w:cs="Times New Roman"/>
          <w:b/>
          <w:noProof/>
          <w:sz w:val="24"/>
        </w:rPr>
      </w:pPr>
      <w:r>
        <w:rPr>
          <w:rFonts w:ascii="Times New Roman" w:hAnsi="Times New Roman"/>
          <w:noProof/>
          <w:sz w:val="24"/>
        </w:rPr>
        <w:t>Užtikrinti, kad ministerijos ir mokslinių tyrimų finansavimo organizacijos glaudžiau bendradarbiautų, siekdamos labiau atsižvelgti į bendrų programų iniciatyvų temas ir prioritetus, tarpusavyje pripažinti vertinimo procedūras, įgyvendinant mokslinių tyrimų ir inovacijų programas vartoti bendrą terminiją ir taikyti bendras procedūras, geriau integruoti kvietimus ir skatinti labiau tarptautinį požiūrį.</w:t>
      </w:r>
    </w:p>
    <w:p>
      <w:pPr>
        <w:jc w:val="both"/>
        <w:rPr>
          <w:rFonts w:ascii="Times New Roman" w:eastAsia="Calibri" w:hAnsi="Times New Roman" w:cs="Times New Roman"/>
          <w:noProof/>
          <w:sz w:val="24"/>
        </w:rPr>
      </w:pPr>
      <w:r>
        <w:rPr>
          <w:rFonts w:ascii="Times New Roman" w:hAnsi="Times New Roman"/>
          <w:noProof/>
          <w:sz w:val="24"/>
        </w:rPr>
        <w:t>Iš išvadų matyti, kad šio prioriteto augimo koeficientai tebėra kone didžiausi iš visų EMTE pagrindinių rodiklių (2014–2016 m. jo metinis augimo koeficientas siekė 3,9</w:t>
      </w:r>
      <w:r>
        <w:rPr>
          <w:noProof/>
        </w:rPr>
        <w:t> </w:t>
      </w:r>
      <w:r>
        <w:rPr>
          <w:rFonts w:ascii="Times New Roman" w:hAnsi="Times New Roman"/>
          <w:noProof/>
          <w:sz w:val="24"/>
        </w:rPr>
        <w:t>proc.), tačiau beveik visose šalyse mažėja nacionaliniai valstybės biudžeto asignavimai moksliniams tyrimams ir technologinei plėtrai, skiriami ES masto tarpvalstybiniams viešiesiems moksliniams tyrimams ir technologinei plėtrai</w:t>
      </w:r>
      <w:r>
        <w:rPr>
          <w:rStyle w:val="FootnoteReference"/>
          <w:rFonts w:ascii="Times New Roman" w:hAnsi="Times New Roman"/>
          <w:noProof/>
          <w:sz w:val="24"/>
        </w:rPr>
        <w:footnoteReference w:id="9"/>
      </w:r>
      <w:r>
        <w:rPr>
          <w:rFonts w:ascii="Times New Roman" w:hAnsi="Times New Roman"/>
          <w:noProof/>
          <w:sz w:val="24"/>
        </w:rPr>
        <w:t>.</w:t>
      </w:r>
    </w:p>
    <w:p>
      <w:pPr>
        <w:jc w:val="both"/>
        <w:rPr>
          <w:rFonts w:ascii="Times New Roman" w:eastAsia="Calibri" w:hAnsi="Times New Roman" w:cs="Times New Roman"/>
          <w:noProof/>
          <w:sz w:val="24"/>
        </w:rPr>
      </w:pPr>
      <w:r>
        <w:rPr>
          <w:rFonts w:ascii="Times New Roman" w:hAnsi="Times New Roman"/>
          <w:noProof/>
          <w:sz w:val="24"/>
        </w:rPr>
        <w:t>Sutelkiami ištekliai ir mokslinių tyrimų pajėgumai siekiant veiksmingiau spręsti bendrus uždavinius tebėra vienas iš didžiausių suvokiamų ir faktinių ES ir trečiųjų šalių bendradarbiavimo privalumų. Aktyvus dalyvavimas palaikant viešojo sektoriaus subjektų partnerystę (angl. P2P)</w:t>
      </w:r>
      <w:r>
        <w:rPr>
          <w:rStyle w:val="FootnoteReference"/>
          <w:rFonts w:ascii="Times New Roman" w:hAnsi="Times New Roman"/>
          <w:noProof/>
          <w:sz w:val="24"/>
        </w:rPr>
        <w:footnoteReference w:id="10"/>
      </w:r>
      <w:r>
        <w:rPr>
          <w:rFonts w:ascii="Times New Roman" w:hAnsi="Times New Roman"/>
          <w:noProof/>
          <w:sz w:val="24"/>
        </w:rPr>
        <w:t xml:space="preserve"> buvo vienas iš dažniausiai nurodytų strateginių nacionalinių veiksmų planų tikslų.</w:t>
      </w:r>
    </w:p>
    <w:p>
      <w:pPr>
        <w:jc w:val="both"/>
        <w:rPr>
          <w:rFonts w:ascii="Times New Roman" w:eastAsia="Calibri" w:hAnsi="Times New Roman" w:cs="Times New Roman"/>
          <w:noProof/>
          <w:sz w:val="24"/>
        </w:rPr>
      </w:pPr>
      <w:r>
        <w:rPr>
          <w:rFonts w:ascii="Times New Roman" w:hAnsi="Times New Roman"/>
          <w:noProof/>
          <w:sz w:val="24"/>
        </w:rPr>
        <w:t>Nors laikui bėgant nuolat daroma pažanga, siekiant tolesnių laimėjimų reikia: i) sistemingiau koordinuoti viešojo sektoriaus subjektų partnerystės ir nacionalinių mokslinių tyrimų darbotvarkių ir programų prioritetus ir ii) sistemingai stebėti ir vertinti dalyvavimo palaikant viešojo sektoriaus subjektų partnerystę poveikį, užtikrinant politinius įsipareigojimus ir finansavimo galimybes</w:t>
      </w:r>
      <w:r>
        <w:rPr>
          <w:rStyle w:val="FootnoteReference"/>
          <w:rFonts w:ascii="Times New Roman" w:hAnsi="Times New Roman"/>
          <w:noProof/>
          <w:sz w:val="24"/>
        </w:rPr>
        <w:footnoteReference w:id="11"/>
      </w:r>
      <w:r>
        <w:rPr>
          <w:rFonts w:ascii="Times New Roman" w:hAnsi="Times New Roman"/>
          <w:noProof/>
          <w:sz w:val="24"/>
        </w:rPr>
        <w:t>. Šie patobulinimai sustiprinami nauju politiniu siekiu didinti ES partnerystės mokslinių tyrimų ir inovacijų srityje poveikį, kuris grindžiamas Tarybos išvadomis</w:t>
      </w:r>
      <w:r>
        <w:rPr>
          <w:rStyle w:val="FootnoteReference"/>
          <w:rFonts w:ascii="Times New Roman" w:hAnsi="Times New Roman"/>
          <w:noProof/>
          <w:sz w:val="24"/>
        </w:rPr>
        <w:footnoteReference w:id="12"/>
      </w:r>
      <w:r>
        <w:rPr>
          <w:rFonts w:ascii="Times New Roman" w:hAnsi="Times New Roman"/>
          <w:noProof/>
          <w:sz w:val="24"/>
        </w:rPr>
        <w:t xml:space="preserve"> ir EMTEK rekomendacijomis dėl partnerystės.</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jc w:val="both"/>
        <w:rPr>
          <w:rFonts w:ascii="Times New Roman" w:eastAsia="Calibri" w:hAnsi="Times New Roman" w:cs="Times New Roman"/>
          <w:b/>
          <w:noProof/>
          <w:sz w:val="24"/>
        </w:rPr>
      </w:pPr>
      <w:r>
        <w:rPr>
          <w:rFonts w:ascii="Times New Roman" w:hAnsi="Times New Roman"/>
          <w:b/>
          <w:noProof/>
          <w:sz w:val="24"/>
        </w:rPr>
        <w:t>Išvada</w:t>
      </w:r>
    </w:p>
    <w:p>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Times New Roman" w:eastAsia="Calibri" w:hAnsi="Times New Roman" w:cs="Times New Roman"/>
          <w:noProof/>
          <w:sz w:val="24"/>
        </w:rPr>
      </w:pPr>
      <w:r>
        <w:rPr>
          <w:rFonts w:ascii="Times New Roman" w:hAnsi="Times New Roman"/>
          <w:noProof/>
          <w:sz w:val="24"/>
        </w:rPr>
        <w:t>Dauguma šalių, didindamos dalyvavimo palaikant viešojo sektoriaus subjektų partnerystę lygį, daro pažangą. Vis dėlto, jei norima iš paprastesnės ir labiau į poveikį orientuotos ES partnerystės mokslinių tyrimų ir inovacijų srityje gauti kuo daugiau naudos, reikės didinti pastangas geriau koordinuoti atitinkamą nacionalinę politiką ir išteklius, kad būtų įgyvendinti sutarti prioritetai. Tam reikia nustatyti aiškias nacionalines valdymo struktūras ir įdiegti patikimą ir visapusišką viešojo sektoriaus subjektų partnerystės tinklų poveikio vertinimo ir stebėsenos nacionaliniu lygmeniu sistemą</w:t>
      </w:r>
      <w:r>
        <w:rPr>
          <w:rStyle w:val="FootnoteReference"/>
          <w:noProof/>
        </w:rPr>
        <w:footnoteReference w:id="13"/>
      </w:r>
      <w:r>
        <w:rPr>
          <w:rFonts w:ascii="Times New Roman" w:hAnsi="Times New Roman"/>
          <w:noProof/>
          <w:sz w:val="24"/>
        </w:rPr>
        <w:t>.</w:t>
      </w:r>
    </w:p>
    <w:p>
      <w:pPr>
        <w:keepNext/>
        <w:keepLines/>
        <w:tabs>
          <w:tab w:val="left" w:pos="1276"/>
        </w:tabs>
        <w:spacing w:before="120" w:after="120" w:line="290" w:lineRule="atLeast"/>
        <w:ind w:left="1276" w:hanging="1276"/>
        <w:jc w:val="both"/>
        <w:rPr>
          <w:rFonts w:ascii="Times New Roman" w:eastAsia="Times New Roman" w:hAnsi="Times New Roman" w:cs="Times New Roman"/>
          <w:b/>
          <w:bCs/>
          <w:i/>
          <w:noProof/>
          <w:sz w:val="24"/>
          <w:szCs w:val="24"/>
        </w:rPr>
      </w:pPr>
      <w:bookmarkStart w:id="9" w:name="_Toc461023123"/>
      <w:bookmarkStart w:id="10" w:name="_Toc461724219"/>
      <w:bookmarkStart w:id="11" w:name="_Toc457402203"/>
      <w:r>
        <w:rPr>
          <w:rFonts w:ascii="Times New Roman" w:hAnsi="Times New Roman"/>
          <w:b/>
          <w:i/>
          <w:noProof/>
          <w:sz w:val="24"/>
        </w:rPr>
        <w:t>Mokslinių tyrimų infrastruktūra</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Tikslas</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Aukštos kokybės, prieinama mokslinių tyrimų infrastruktūra yra svarbiausias žinių trikampio elementas ir pagrindinė priemonė, padedanti įgyvendinti Europos plataus užmojo siekį vadovauti pasauliniam judėjimui atvirojo mokslo link. Valstybės narės, dalyvaudamos Europos strateginiame mokslinių tyrimų infrastruktūros forume (ESFRI), iniciatyvoje „Horizontas 2020“ ir Europos mokslinių tyrimų infrastruktūros konsorciumo (ERIC) veikloje, suformuoja bendrą požiūrį.</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Siekiami rezultatai</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Užtikrinti, kad ESFRI veiksmų planas ir nacionaliniai mokslinių tyrimų ir inovacijų veiksmų planai derėtų tarpusavyje, sudaryti geresnes sąlygas valstybėms narėms, negalinčioms investuoti į didelę infrastruktūrą, naudotis mokslinių tyrimų infrastruktūra ir kruopščiai tikrinti numatomus finansinius įnašus.</w:t>
      </w:r>
    </w:p>
    <w:p>
      <w:pPr>
        <w:tabs>
          <w:tab w:val="left" w:pos="0"/>
        </w:tabs>
        <w:spacing w:before="120"/>
        <w:jc w:val="both"/>
        <w:rPr>
          <w:rFonts w:ascii="Times New Roman" w:hAnsi="Times New Roman"/>
          <w:noProof/>
          <w:sz w:val="24"/>
        </w:rPr>
      </w:pPr>
      <w:r>
        <w:rPr>
          <w:rFonts w:ascii="Times New Roman" w:hAnsi="Times New Roman"/>
          <w:noProof/>
          <w:sz w:val="24"/>
        </w:rPr>
        <w:t>Iš išvadų matyti, kad, nepaisant EMTE priklausančių šalių skirtumų, strateginiai prioritetai nustatyti nacionaliniu lygmeniu. Paaiškėjo, kad ESFRI veiksmų planai labai naudingi priimant sprendimus nacionaliniu lygmeniu ir dažnai padeda suderinti nacionalinius ir ESFRI veiksmų planus.</w:t>
      </w:r>
    </w:p>
    <w:p>
      <w:pPr>
        <w:tabs>
          <w:tab w:val="left" w:pos="0"/>
        </w:tabs>
        <w:spacing w:before="120"/>
        <w:jc w:val="both"/>
        <w:rPr>
          <w:rFonts w:ascii="Times New Roman" w:hAnsi="Times New Roman"/>
          <w:noProof/>
          <w:sz w:val="24"/>
        </w:rPr>
      </w:pPr>
      <w:r>
        <w:rPr>
          <w:rFonts w:ascii="Times New Roman" w:hAnsi="Times New Roman"/>
          <w:noProof/>
          <w:sz w:val="24"/>
        </w:rPr>
        <w:t>Daugiau kaip pusė EMTE priklausančių šalių ir 19 iš 28 ES valstybių narių yra parengusios ESFRI mokslinių tyrimų infrastruktūros nacionalinius veiksmų planus, tačiau tik trečdalis iš jų taip pat yra nustačiusios savo finansavimo poreikius. Nuo 2016 m., kai buvo atlikta pastaroji stebėsenos procedūra, aštuonios šalys atnaujino savo veiksmų planus, o kai kurios iš jų pirmą kartą nustatė finansavimo reikalavimus. Vertinant tiek ESFRI projektus, tiek priemones, iš duomenų matyti, kad šalių, nesiekiančių EMTE vidurkio, dalyvavimo lygis didėja sparčiau negu šalių, viršijančių šį vidurkį (augimo koeficientai dvigubėja – palyginti su 2016 m. vertėmis, jie atitinkamai padidėjo 40 proc.). Iš to matyti akivaizdi EMTE priklausančių šalių konvergencijos tendencija.</w:t>
      </w:r>
    </w:p>
    <w:p>
      <w:pPr>
        <w:tabs>
          <w:tab w:val="left" w:pos="0"/>
        </w:tabs>
        <w:spacing w:before="120"/>
        <w:jc w:val="both"/>
        <w:rPr>
          <w:rFonts w:ascii="Times New Roman" w:hAnsi="Times New Roman"/>
          <w:noProof/>
          <w:sz w:val="24"/>
        </w:rPr>
      </w:pPr>
      <w:r>
        <w:rPr>
          <w:rFonts w:ascii="Times New Roman" w:hAnsi="Times New Roman"/>
          <w:noProof/>
          <w:sz w:val="24"/>
        </w:rPr>
        <w:t>Atsižvelgiant į įvairių šalių ekonomikos dydį ir jų mokslinių tyrimų ir inovacijų sistemos sudėtingumą, skiriasi sprendimų priėmimo procesai. Kaip finansavimo paskirstymo mechanizmu dažniausiai naudojamasi atvirais konkursais, tačiau labai skiriasi mokslinių tyrimų infrastruktūros finansavimo priemonės ir procedūros, kurios dažnai naudojamos taikant įvairias politikos priemones.</w:t>
      </w:r>
    </w:p>
    <w:p>
      <w:pPr>
        <w:tabs>
          <w:tab w:val="left" w:pos="0"/>
        </w:tabs>
        <w:spacing w:before="120"/>
        <w:jc w:val="both"/>
        <w:rPr>
          <w:rFonts w:ascii="Times New Roman" w:eastAsia="Times New Roman" w:hAnsi="Times New Roman" w:cs="Times New Roman"/>
          <w:b/>
          <w:bCs/>
          <w:noProof/>
          <w:sz w:val="24"/>
          <w:szCs w:val="24"/>
        </w:rPr>
      </w:pPr>
      <w:r>
        <w:rPr>
          <w:rFonts w:ascii="Times New Roman" w:hAnsi="Times New Roman"/>
          <w:noProof/>
          <w:sz w:val="24"/>
        </w:rPr>
        <w:t>Siekiant toliau didinti mokslinių tyrimų infrastruktūros veiksmingumą Europoje, reikia geriau keistis informacija apie faktinius infrastruktūros pajėgumus, finansavimo prioritetus, planus ir strategijas tiek šalių ir (arba) regionų, tiek mokslinių tyrimų organizacijų lygmeniu. Iš analizės matyti, kad šalys, paskirstydamos finansavimą nacionalinei mokslinių tyrimų infrastruktūrai, vis dažniau specializuojasi konkrečiose srityse, atsižvelgdamos į būtinybę racionalizuoti bendras didėjančias išlaidas.</w:t>
      </w:r>
    </w:p>
    <w:bookmarkEnd w:id="9"/>
    <w:bookmarkEnd w:id="10"/>
    <w:bookmarkEnd w:id="11"/>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Išvada</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Palyginti su 2016 m., matyti, kad, visoje Europoje didėjant įtraukumui ir prieinamumui, akivaizdžiai didėja bendras dalyvavimo įgyvendinant ir ESFRI projektus, ir priemones lygis. 2018 m. daugiau kaip pusė EMTE priklausančių šalių buvo parengusios ESFRI mokslinių tyrimų infrastruktūros veiksmų planus, tačiau tik trečdalis iš jų taip pat buvo nustačiusios finansavimo poreikius. Vis dėlto, norint didinti Europos mokslinių tyrimų infrastruktūros ekosistemos patikimumą ir viešųjų investicijų į šią sritį veiksmingumą, reikia aktyviau bendradarbiauti ir suderinti nacionalines procedūras (susijusias su prioritetų nustatymu, stebėsena ir ilgalaikiu finansavimu).</w:t>
      </w:r>
    </w:p>
    <w:p>
      <w:pPr>
        <w:pStyle w:val="ListParagraph"/>
        <w:numPr>
          <w:ilvl w:val="1"/>
          <w:numId w:val="8"/>
        </w:numPr>
        <w:tabs>
          <w:tab w:val="left" w:pos="1276"/>
        </w:tabs>
        <w:spacing w:before="240" w:after="240" w:line="240" w:lineRule="auto"/>
        <w:rPr>
          <w:rFonts w:ascii="Times New Roman" w:eastAsia="Times New Roman" w:hAnsi="Times New Roman" w:cs="Times New Roman"/>
          <w:b/>
          <w:bCs/>
          <w:noProof/>
          <w:sz w:val="24"/>
          <w:szCs w:val="24"/>
        </w:rPr>
      </w:pPr>
      <w:bookmarkStart w:id="12" w:name="_Toc461724222"/>
      <w:bookmarkStart w:id="13" w:name="_Toc461023126"/>
      <w:bookmarkStart w:id="14" w:name="_Toc457402207"/>
      <w:bookmarkStart w:id="15" w:name="_Ref457398715"/>
      <w:r>
        <w:rPr>
          <w:rFonts w:ascii="Times New Roman" w:hAnsi="Times New Roman"/>
          <w:b/>
          <w:noProof/>
          <w:sz w:val="24"/>
        </w:rPr>
        <w:t>Atvira darbo rinka tyrėjams</w:t>
      </w:r>
    </w:p>
    <w:bookmarkEnd w:id="12"/>
    <w:bookmarkEnd w:id="13"/>
    <w:bookmarkEnd w:id="14"/>
    <w:bookmarkEnd w:id="15"/>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 xml:space="preserve">Tikslas </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Visiškai atvira, kompetencija grindžiama EMTE, kurioje aukštos kvalifikacijos, kompetentingi asmenys galėtų netrukdomi persikelti iš vienos šalies į kitą, kurioje būtų geriausiai panaudojami jų gabumai.</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 xml:space="preserve">Siekiami rezultatai </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Valdžios institucijos ir suinteresuotosios šalys turėtų apsvarstyti, kaip nacionalinių finansavimo planų taisyklėmis būtų galima labiau paremti atvirumo, skaidrumo ir nuopelnais grindžiamo įdarbinimo principus ir pašalinti teisines kliūtis, trukdančias mokslinius tyrimus atliekančiose organizacijose laisvai įdarbinti tyrėjus, taip pat nustatyti naujus tyrėjų karjeros raidos užtikrinimo būdus.</w:t>
      </w:r>
    </w:p>
    <w:p>
      <w:pPr>
        <w:jc w:val="both"/>
        <w:rPr>
          <w:rFonts w:ascii="Times New Roman" w:eastAsia="Calibri" w:hAnsi="Times New Roman" w:cs="Times New Roman"/>
          <w:noProof/>
          <w:sz w:val="24"/>
        </w:rPr>
      </w:pPr>
      <w:r>
        <w:rPr>
          <w:rFonts w:ascii="Times New Roman" w:hAnsi="Times New Roman"/>
          <w:noProof/>
          <w:sz w:val="24"/>
        </w:rPr>
        <w:t>Iš išvadų matyti, kad 2015–2016 m. mokslinių tyrimų srityje esančių laisvų darbo vietų, apie kurias skelbiama darbo portale EURAXESS, skaičius visoje šalių grupėje vidutiniškai sumažėjo 5 proc. Dėl šių pokyčių pasikeitė ankstesnė teigiama augimo tendencija (2012–2014 m. šis skaičius padidėjo 7,8 proc.). Taip galėjo atsitikti iš dalies dėl alternatyvaus naudojimosi panašiais nacionaliniais portalais.</w:t>
      </w:r>
    </w:p>
    <w:p>
      <w:pPr>
        <w:jc w:val="both"/>
        <w:rPr>
          <w:rFonts w:ascii="Times New Roman" w:eastAsia="Calibri" w:hAnsi="Times New Roman" w:cs="Times New Roman"/>
          <w:noProof/>
          <w:sz w:val="24"/>
        </w:rPr>
      </w:pPr>
      <w:r>
        <w:rPr>
          <w:rFonts w:ascii="Times New Roman" w:hAnsi="Times New Roman"/>
          <w:noProof/>
          <w:sz w:val="24"/>
        </w:rPr>
        <w:t>Nepaisant to, iš išvadų taip pat matyti, kad, kiek tai sietina su doktorantų, turinčių kitos ES valstybės narės pilietybę, dalimi, 28 ES valstybių narių metinis vidurkis padidėjo 3,9 proc., o tyrėjų, palankiai vertinančių įdarbinimo proceso jų mokslinių tyrimų institucijoje atvirumą, skaidrumą ir pagrįstumą nuopelnais, dalis padidėjo 7,5 proc. Kalbant apie pastarąją grupę, ji padidėjo beveik visose valstybėse narėse.</w:t>
      </w:r>
    </w:p>
    <w:p>
      <w:pPr>
        <w:jc w:val="both"/>
        <w:rPr>
          <w:rFonts w:ascii="Times New Roman" w:eastAsia="Calibri" w:hAnsi="Times New Roman" w:cs="Times New Roman"/>
          <w:noProof/>
          <w:sz w:val="24"/>
        </w:rPr>
      </w:pPr>
      <w:r>
        <w:rPr>
          <w:rFonts w:ascii="Times New Roman" w:hAnsi="Times New Roman"/>
          <w:noProof/>
          <w:sz w:val="24"/>
        </w:rPr>
        <w:t>Iš analizės matyti, kad vis dar esama didelių ES valstybių narių skirtumų, susijusių su atvira darbo rinka ir tyrėjams suteikiamomis karjeros raidos galimybėmis. Todėl įvairiose Europos šalyse ir regionuose labai skiriasi karjeros mokslinių tyrimų srityje patrauklumas. Tokius skirtumus lemia ne tik skirtingos aukštojo mokslo sistemos ir karjeros struktūros, bet ir nevienodas ekonominis vystymasis, kuris turi įtakos viešajam mokslinių tyrimų biudžetui, taigi ir tyrėjų atlyginimams ir kitoms sąlygoms. Mokymosi galimybių užtikrinimas, mokslinių tyrimų finansavimo galimybės, finansinis saugumas ir terminuotų darbo sutarčių dalis yra pagrindiniai veiksniai, lemiantys tam tikro regiono ar šalies patrauklumą.</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Išvada</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noProof/>
          <w:sz w:val="24"/>
        </w:rPr>
        <w:t>Pastaruoju metu sumažėjo laisvų darbo vietų, apie kurias skelbiama platformoje EURAXESS, skaičius, tačiau tyrėjai visoje Europoje yra labiau patenkinti jų institucijose taikomomis atviromis, nuopelnais grindžiamomis ir skaidriomis įdarbinimo procedūromis. Didėjanti doktorantų, turinčių kitos valstybės narės pilietybę, dalis – teigiamas tarptautinio judumo požymis. Vis dėlto tebėra didelių valstybių narių skirtumų, susijusių su tyrėjų karjeros patrauklumu ir jos raidos galimybėmis. Valdžios institucijos gali skatinti tarptautinį tyrėjų judumą didindamos nacionalinių ir (arba) regioninių mokslinių tyrimų ekosistemų veiksmingumą pažangiųjų mokslinių tyrimų srityje. Be minėtų aspektų, didinti judumą ir patrauklumą padeda galimybės naudotis aukščiausio lygio infrastruktūra, veiksminga viešojo ir privačiojo sektorių subjektų sąveika ir itin novatoriškas verslo sektorius.</w:t>
      </w:r>
    </w:p>
    <w:p>
      <w:pPr>
        <w:pStyle w:val="ListParagraph"/>
        <w:numPr>
          <w:ilvl w:val="1"/>
          <w:numId w:val="8"/>
        </w:numPr>
        <w:spacing w:before="240" w:after="240" w:line="240" w:lineRule="auto"/>
        <w:rPr>
          <w:rFonts w:ascii="Times New Roman" w:hAnsi="Times New Roman" w:cs="Times New Roman"/>
          <w:b/>
          <w:noProof/>
          <w:sz w:val="24"/>
          <w:szCs w:val="24"/>
        </w:rPr>
      </w:pPr>
      <w:r>
        <w:rPr>
          <w:rFonts w:ascii="Times New Roman" w:hAnsi="Times New Roman"/>
          <w:b/>
          <w:noProof/>
          <w:sz w:val="24"/>
        </w:rPr>
        <w:t>Lyčių lygybė ir lyčių aspekto integravimas mokslinių tyrimų sektoriuje</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noProof/>
          <w:sz w:val="24"/>
          <w:szCs w:val="24"/>
        </w:rPr>
      </w:pPr>
      <w:r>
        <w:rPr>
          <w:rFonts w:ascii="Times New Roman" w:hAnsi="Times New Roman"/>
          <w:b/>
          <w:noProof/>
          <w:sz w:val="24"/>
        </w:rPr>
        <w:t xml:space="preserve">Tikslas </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noProof/>
          <w:sz w:val="24"/>
          <w:szCs w:val="24"/>
        </w:rPr>
      </w:pPr>
      <w:r>
        <w:rPr>
          <w:rFonts w:ascii="Times New Roman" w:hAnsi="Times New Roman"/>
          <w:noProof/>
          <w:sz w:val="24"/>
        </w:rPr>
        <w:t>Paskatinti mokslinę kompetenciją, visiškai užtikrinant lyčių įvairovę ir lygybę, taip pat vengiant nepateisinamo gabumų švaistymo.</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b/>
          <w:noProof/>
          <w:sz w:val="24"/>
          <w:szCs w:val="24"/>
        </w:rPr>
      </w:pPr>
      <w:r>
        <w:rPr>
          <w:rFonts w:ascii="Times New Roman" w:hAnsi="Times New Roman"/>
          <w:b/>
          <w:noProof/>
          <w:sz w:val="24"/>
        </w:rPr>
        <w:t xml:space="preserve">Siekiami rezultatai </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noProof/>
          <w:sz w:val="24"/>
          <w:szCs w:val="24"/>
        </w:rPr>
      </w:pPr>
      <w:r>
        <w:rPr>
          <w:rFonts w:ascii="Times New Roman" w:hAnsi="Times New Roman"/>
          <w:noProof/>
          <w:sz w:val="24"/>
        </w:rPr>
        <w:t>Parengti lyčių lygybės užtikrinimo politiką, itin daug dėmesio skiriant sritims, kuriose yra per mažai moterų, remti lyčių aspekto integravimo metodus ir įtraukti lyčių aspektus į mokslinių tyrimų sritį.</w:t>
      </w:r>
    </w:p>
    <w:p>
      <w:pPr>
        <w:spacing w:before="120"/>
        <w:jc w:val="both"/>
        <w:rPr>
          <w:rFonts w:ascii="Times New Roman" w:hAnsi="Times New Roman" w:cs="Times New Roman"/>
          <w:noProof/>
          <w:sz w:val="24"/>
          <w:szCs w:val="24"/>
        </w:rPr>
      </w:pPr>
      <w:r>
        <w:rPr>
          <w:rFonts w:ascii="Times New Roman" w:hAnsi="Times New Roman"/>
          <w:noProof/>
          <w:sz w:val="24"/>
        </w:rPr>
        <w:t>Iš šios ataskaitos matyti, kad 2014–2016 m. 28 ES valstybėse narėse aukštojo mokslo sektoriuje aukščiausio lygio mokslinių tyrimų srities pareigas (A lygio pareigas) einančių moterų dalis padidėjo 1 proc.</w:t>
      </w:r>
      <w:r>
        <w:rPr>
          <w:rStyle w:val="FootnoteReference"/>
          <w:noProof/>
        </w:rPr>
        <w:footnoteReference w:id="14"/>
      </w:r>
      <w:r>
        <w:rPr>
          <w:rFonts w:ascii="Times New Roman" w:hAnsi="Times New Roman"/>
          <w:noProof/>
          <w:sz w:val="24"/>
        </w:rPr>
        <w:t xml:space="preserve"> ir 2016 m. pasiekė 24 proc. Nors pažanga padaryta beveik visose valstybėse narėse, ši tendencija vis dar nevienoda.</w:t>
      </w:r>
    </w:p>
    <w:p>
      <w:pPr>
        <w:spacing w:before="120"/>
        <w:jc w:val="both"/>
        <w:rPr>
          <w:rFonts w:ascii="Times New Roman" w:hAnsi="Times New Roman" w:cs="Times New Roman"/>
          <w:noProof/>
          <w:sz w:val="24"/>
          <w:szCs w:val="24"/>
        </w:rPr>
      </w:pPr>
      <w:r>
        <w:rPr>
          <w:rFonts w:ascii="Times New Roman" w:hAnsi="Times New Roman"/>
          <w:noProof/>
          <w:sz w:val="24"/>
        </w:rPr>
        <w:t>Iš analizės matyti, kad, siekiant imtis institucinių pokyčių, nacionaliniu arba ES lygmeniu vis dažniau patvirtinami lyčių lygybės užtikrinimo planai ir susijusi politika. Vis daugiau šalių didina įdarbinimo ir paaukštinimo procedūrų skaidrumą ir tokias iniciatyvas įtraukia į nacionalinius veiksmų planus. Vis dėlto, atlikus nacionalinių veiksmų planų analizę, paaiškėjo, kad esama įvairių valstybių narių skirtumų, susijusių su nustatomais lyčių lygybės tikslais</w:t>
      </w:r>
      <w:r>
        <w:rPr>
          <w:rStyle w:val="FootnoteReference"/>
          <w:rFonts w:ascii="Times New Roman" w:hAnsi="Times New Roman"/>
          <w:noProof/>
          <w:sz w:val="24"/>
        </w:rPr>
        <w:footnoteReference w:id="15"/>
      </w:r>
      <w:r>
        <w:rPr>
          <w:rFonts w:ascii="Times New Roman" w:hAnsi="Times New Roman"/>
          <w:noProof/>
          <w:sz w:val="24"/>
        </w:rPr>
        <w:t>.</w:t>
      </w:r>
    </w:p>
    <w:p>
      <w:pPr>
        <w:spacing w:before="120"/>
        <w:jc w:val="both"/>
        <w:rPr>
          <w:rFonts w:ascii="Times New Roman" w:hAnsi="Times New Roman" w:cs="Times New Roman"/>
          <w:noProof/>
          <w:sz w:val="24"/>
          <w:szCs w:val="24"/>
        </w:rPr>
      </w:pPr>
      <w:r>
        <w:rPr>
          <w:rFonts w:ascii="Times New Roman" w:hAnsi="Times New Roman"/>
          <w:noProof/>
          <w:sz w:val="24"/>
        </w:rPr>
        <w:t>Siekiant įtraukti lyčių aspektą į mokslinius tyrimus ES lygmeniu ir EMTE priklausančiose šalyse, dedama daug pastangų. Todėl paskelbta daugiau leidinių, į kuriuos įtrauktas lyčių aspektas, tačiau bendras integravimo lygis tebėra žemas.</w:t>
      </w:r>
    </w:p>
    <w:p>
      <w:pPr>
        <w:spacing w:before="120"/>
        <w:jc w:val="both"/>
        <w:rPr>
          <w:rFonts w:ascii="Times New Roman" w:hAnsi="Times New Roman" w:cs="Times New Roman"/>
          <w:noProof/>
          <w:sz w:val="24"/>
          <w:szCs w:val="24"/>
        </w:rPr>
      </w:pPr>
      <w:r>
        <w:rPr>
          <w:rFonts w:ascii="Times New Roman" w:hAnsi="Times New Roman"/>
          <w:noProof/>
          <w:sz w:val="24"/>
        </w:rPr>
        <w:t>Nors padaryta tam tikra pažanga, lyčių nelygybė mokslinių tyrimų srityje ir akademinėje bendruomenėje neišnyko. Daugumoje EMTE priklausančių šalių vis dar susiduriama su stiklo lubomis. Jos vis dar egzistuoja nepaisant to, kad ES, nacionaliniu ir instituciniu lygmenimis buvo patvirtintos politikos priemonės ir iniciatyvos, kuriomis siekiama spręsti tokius klausimus kaip nesąmoningas šališkumas vertinimo procedūrų metu, darbo užmokesčio skirtumai</w:t>
      </w:r>
      <w:r>
        <w:rPr>
          <w:rStyle w:val="FootnoteReference"/>
          <w:rFonts w:ascii="Times New Roman" w:hAnsi="Times New Roman"/>
          <w:noProof/>
          <w:sz w:val="24"/>
        </w:rPr>
        <w:footnoteReference w:id="16"/>
      </w:r>
      <w:r>
        <w:rPr>
          <w:rFonts w:ascii="Times New Roman" w:hAnsi="Times New Roman"/>
          <w:noProof/>
          <w:sz w:val="24"/>
        </w:rPr>
        <w:t xml:space="preserve"> ir lygios karjeros galimybės.</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b/>
          <w:noProof/>
          <w:sz w:val="24"/>
          <w:szCs w:val="24"/>
        </w:rPr>
      </w:pPr>
      <w:r>
        <w:rPr>
          <w:rFonts w:ascii="Times New Roman" w:hAnsi="Times New Roman"/>
          <w:b/>
          <w:noProof/>
          <w:sz w:val="24"/>
        </w:rPr>
        <w:t>Išvada</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b/>
          <w:noProof/>
          <w:sz w:val="24"/>
          <w:szCs w:val="24"/>
        </w:rPr>
      </w:pPr>
      <w:r>
        <w:rPr>
          <w:rFonts w:ascii="Times New Roman" w:hAnsi="Times New Roman"/>
          <w:noProof/>
          <w:sz w:val="24"/>
        </w:rPr>
        <w:t>Dauguma šalių, rengdamos visapusiškesnes lyčių lygybės mokslinių tyrimų ir inovacijų srityje strategijas, padarė pažangą, tačiau ji Europos mokslinių tyrimų erdvėje daroma lėtai ir nevienodai. Norint EMTE užtikrinti lyčių lygybę ir integruoti lyčių aspektą, vis dar reikia stengtis labiau įtraukti moteris į mokslo sritį ir jas joje išlaikyti, įgyvendinti profesinio ir asmeninio gyvenimo pusiausvyros politiką, mažinti vyrų ir moterų darbo užmokesčio skirtumą ir šalinti kliūtis, trukdančias moterims daryti karjerą, taip pat geriau integruoti lyčių aspektą į mokslinių tyrimų ir inovacijų turinį.</w:t>
      </w:r>
    </w:p>
    <w:p>
      <w:pPr>
        <w:pStyle w:val="ListParagraph"/>
        <w:numPr>
          <w:ilvl w:val="1"/>
          <w:numId w:val="8"/>
        </w:numPr>
        <w:spacing w:before="240" w:after="240" w:line="240" w:lineRule="auto"/>
        <w:jc w:val="both"/>
        <w:rPr>
          <w:rFonts w:ascii="Times New Roman" w:eastAsia="Calibri" w:hAnsi="Times New Roman" w:cs="Times New Roman"/>
          <w:b/>
          <w:noProof/>
          <w:sz w:val="24"/>
          <w:szCs w:val="24"/>
        </w:rPr>
      </w:pPr>
      <w:r>
        <w:rPr>
          <w:rFonts w:ascii="Times New Roman" w:hAnsi="Times New Roman"/>
          <w:b/>
          <w:noProof/>
          <w:sz w:val="24"/>
        </w:rPr>
        <w:t>Optimalus mokslo žinių judėjimas bei perdavimas ir prieiga prie jų, be kita ko, pasitelkiant skaitmeninę EMTE</w:t>
      </w:r>
    </w:p>
    <w:p>
      <w:pPr>
        <w:jc w:val="both"/>
        <w:rPr>
          <w:rFonts w:ascii="Times New Roman" w:eastAsia="Calibri" w:hAnsi="Times New Roman" w:cs="Times New Roman"/>
          <w:b/>
          <w:i/>
          <w:noProof/>
          <w:sz w:val="24"/>
          <w:szCs w:val="24"/>
        </w:rPr>
      </w:pPr>
      <w:r>
        <w:rPr>
          <w:rFonts w:ascii="Times New Roman" w:hAnsi="Times New Roman"/>
          <w:b/>
          <w:i/>
          <w:noProof/>
          <w:sz w:val="24"/>
        </w:rPr>
        <w:t>Žinių perdavimas ir atvirosios inovacijos</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b/>
          <w:noProof/>
          <w:sz w:val="24"/>
        </w:rPr>
        <w:t>Tikslas</w:t>
      </w:r>
      <w:r>
        <w:rPr>
          <w:rFonts w:ascii="Times New Roman" w:hAnsi="Times New Roman"/>
          <w:noProof/>
          <w:sz w:val="24"/>
        </w:rPr>
        <w:t xml:space="preserve"> </w:t>
      </w:r>
      <w:r>
        <w:rPr>
          <w:rFonts w:ascii="Times New Roman" w:eastAsia="Calibri" w:hAnsi="Times New Roman" w:cs="Times New Roman"/>
          <w:noProof/>
          <w:sz w:val="24"/>
          <w:szCs w:val="24"/>
        </w:rPr>
        <w:br/>
      </w:r>
      <w:r>
        <w:rPr>
          <w:rFonts w:ascii="Times New Roman" w:hAnsi="Times New Roman"/>
          <w:noProof/>
          <w:sz w:val="24"/>
        </w:rPr>
        <w:t>Visapusiškai įgyvendinant žinių perdavimo politiką, šalinti kliūtis, trukdančias plačiau naudoti žinias, siekiant padidinti Europos ekonomikos augimą ir konkurencingumą.</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Siekiami rezultatai</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noProof/>
          <w:sz w:val="24"/>
        </w:rPr>
        <w:t>Remti veiksmingus žinių perdavimo mechanizmus, nustatyti intelektinės nuosavybės valdymo politiką ir procedūras.</w:t>
      </w:r>
    </w:p>
    <w:p>
      <w:pPr>
        <w:jc w:val="both"/>
        <w:rPr>
          <w:rFonts w:ascii="Times New Roman" w:eastAsia="Calibri" w:hAnsi="Times New Roman" w:cs="Times New Roman"/>
          <w:noProof/>
          <w:sz w:val="24"/>
          <w:szCs w:val="24"/>
        </w:rPr>
      </w:pPr>
      <w:r>
        <w:rPr>
          <w:rFonts w:ascii="Times New Roman" w:hAnsi="Times New Roman"/>
          <w:noProof/>
          <w:sz w:val="24"/>
        </w:rPr>
        <w:t>Nuo 2016 m., kai buvo paskelbta pastaroji EMTE pažangos ataskaita, EMTE patvirtinta daugiau atvirųjų inovacijų ir žinių perdavimo programų ir iniciatyvų, itin daug dėmesio skiriant bendrai viešųjų mokslinių tyrimų organizacijų ir privačiojo sektoriaus veiklai. Vis dėlto nacionaliniu lygmeniu vis dar taikomos skirtingos intelektinės nuosavybės taisyklės.</w:t>
      </w:r>
    </w:p>
    <w:p>
      <w:pPr>
        <w:jc w:val="both"/>
        <w:rPr>
          <w:rFonts w:ascii="Times New Roman" w:eastAsia="Calibri" w:hAnsi="Times New Roman" w:cs="Times New Roman"/>
          <w:noProof/>
          <w:sz w:val="24"/>
          <w:szCs w:val="24"/>
        </w:rPr>
      </w:pPr>
      <w:r>
        <w:rPr>
          <w:rFonts w:ascii="Times New Roman" w:hAnsi="Times New Roman"/>
          <w:noProof/>
          <w:sz w:val="24"/>
        </w:rPr>
        <w:t>Atlikus tyrimą nustatyta, kad apie 15 proc. įmonių, dalyvaujančių diegiant produktų arba procesų inovacijas 28 ES valstybėse narėse, bendradarbiauja su universitetais, valdžios institucijomis ir valstybiniais arba privačiais mokslinių tyrimų institutais</w:t>
      </w:r>
      <w:r>
        <w:rPr>
          <w:rStyle w:val="FootnoteReference"/>
          <w:rFonts w:ascii="Times New Roman" w:hAnsi="Times New Roman"/>
          <w:noProof/>
        </w:rPr>
        <w:footnoteReference w:id="17"/>
      </w:r>
      <w:r>
        <w:rPr>
          <w:rFonts w:ascii="Times New Roman" w:hAnsi="Times New Roman"/>
          <w:noProof/>
          <w:sz w:val="24"/>
        </w:rPr>
        <w:t>. 2012–2014 m. privačiojo sektoriaus bendradarbiavimo su universitetais ir aukštojo mokslo įstaigomis lygis per metus vidutiniškai padidėjo 0,7 proc., o bendradarbiavimo su valstybiniais ir privačiais mokslinių tyrimų institutais – 4 proc.</w:t>
      </w:r>
    </w:p>
    <w:p>
      <w:pPr>
        <w:jc w:val="both"/>
        <w:rPr>
          <w:rFonts w:ascii="Times New Roman" w:eastAsia="Calibri" w:hAnsi="Times New Roman" w:cs="Times New Roman"/>
          <w:noProof/>
          <w:sz w:val="24"/>
          <w:szCs w:val="24"/>
        </w:rPr>
      </w:pPr>
      <w:r>
        <w:rPr>
          <w:rFonts w:ascii="Times New Roman" w:hAnsi="Times New Roman"/>
          <w:noProof/>
          <w:sz w:val="24"/>
        </w:rPr>
        <w:t>Bendrų viešojo ir privačiojo sektorių leidinių skaičius milijonui gyventojų išliko stabilus. Vis dėlto pastaraisiais metais sumažėjo privačiojo sektoriaus universitetams ir viešiesiems mokslinių tyrimų institutams skiriamas finansavimas.</w:t>
      </w:r>
    </w:p>
    <w:p>
      <w:pPr>
        <w:jc w:val="both"/>
        <w:rPr>
          <w:rFonts w:ascii="Times New Roman" w:eastAsia="Calibri" w:hAnsi="Times New Roman" w:cs="Times New Roman"/>
          <w:noProof/>
          <w:sz w:val="24"/>
          <w:szCs w:val="24"/>
        </w:rPr>
      </w:pP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Išvada</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Kalbant apie paramos žinių sklaidai ir atvirosioms inovacijoms politiką, padėtis Europoje tebėra nevienoda. Apskritai, siekiant stiprinti viešojo ir privačiojo sektorių bendradarbiavimą mokslinių tyrimų ir inovacijų srityje, EMTE imamasi daugiau iniciatyvų ir diegiama daugiau reguliavimo sistemų. Vis dėlto daugelyje EMTE priklausančių šalių vis dar reikia populiarinti tokius procesus kaip mokslinių tyrimų rezultatų perdavimas rinkai ir glaudesnis pramonės ir akademinės bendruomenės bendradarbiavimas, pavyzdžiui, naudojantis finansinių paskatų ir palankių reguliavimo sistemų deriniu. Vienas iš neišspręstų uždavinių – įgyvendinti veiksmingas priemones, skirtas mokslinių tyrimų ir inovacijų politikai vertinti ir stebėti.</w:t>
      </w:r>
    </w:p>
    <w:p>
      <w:pPr>
        <w:jc w:val="both"/>
        <w:rPr>
          <w:rFonts w:ascii="Times New Roman" w:eastAsia="Calibri" w:hAnsi="Times New Roman" w:cs="Times New Roman"/>
          <w:b/>
          <w:i/>
          <w:noProof/>
          <w:sz w:val="24"/>
        </w:rPr>
      </w:pPr>
      <w:r>
        <w:rPr>
          <w:rFonts w:ascii="Times New Roman" w:hAnsi="Times New Roman"/>
          <w:b/>
          <w:i/>
          <w:noProof/>
          <w:sz w:val="24"/>
        </w:rPr>
        <w:t>Atviroji prieiga prie leidinių ir duomenų</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Tikslas</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Suteikiant atvirąją prieigą prie mokslo leidinių skatinama platesnio masto ir spartesnė mokslinių idėjų sklaida ir taip didinama nauda pačiam mokslui ir visai visuomenei. Tai – pagrindinis etapas platesniu žingsniu žengiant atvirojo mokslo link.</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Siekiami rezultatai</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rPr>
      </w:pPr>
      <w:r>
        <w:rPr>
          <w:rFonts w:ascii="Times New Roman" w:hAnsi="Times New Roman"/>
          <w:noProof/>
          <w:sz w:val="24"/>
        </w:rPr>
        <w:t>Remti visiškai laisvą ir (arba) iš dalies laisvą prieigą, kaip nurodyta 2012 m. Komisijos rekomendacijoje dėl prieigos prie mokslinės informacijos ir tos informacijos populiarinimo</w:t>
      </w:r>
      <w:r>
        <w:rPr>
          <w:rStyle w:val="FootnoteReference"/>
          <w:rFonts w:ascii="Times New Roman" w:hAnsi="Times New Roman"/>
          <w:noProof/>
          <w:sz w:val="24"/>
        </w:rPr>
        <w:footnoteReference w:id="18"/>
      </w:r>
      <w:r>
        <w:rPr>
          <w:rFonts w:ascii="Times New Roman" w:hAnsi="Times New Roman"/>
          <w:noProof/>
          <w:sz w:val="24"/>
        </w:rPr>
        <w:t>, atsižvelgti į poreikį suvienodinti ir koordinuoti derybas su mokslo leidinių leidėjais, skatinant pereiti prie naujų ir labiau suderintų verslo modelių.</w:t>
      </w:r>
    </w:p>
    <w:p>
      <w:pPr>
        <w:jc w:val="both"/>
        <w:rPr>
          <w:rFonts w:ascii="Times New Roman" w:eastAsia="Calibri" w:hAnsi="Times New Roman" w:cs="Times New Roman"/>
          <w:noProof/>
          <w:sz w:val="24"/>
        </w:rPr>
      </w:pPr>
      <w:r>
        <w:rPr>
          <w:rFonts w:ascii="Times New Roman" w:hAnsi="Times New Roman"/>
          <w:noProof/>
          <w:sz w:val="24"/>
        </w:rPr>
        <w:t>2018 m. 31 EMTE priklausanti šalis buvo patvirtinusi politiką ir (arba) gaires atvirajai prieigai prie leidinių, mokslinių tyrimų duomenų valdymui arba atvirajam mokslui remti. 19 iš šių šalių yra patvirtinusios teisines šių trijų sričių priemones</w:t>
      </w:r>
      <w:r>
        <w:rPr>
          <w:rStyle w:val="FootnoteReference"/>
          <w:rFonts w:ascii="Times New Roman" w:hAnsi="Times New Roman"/>
          <w:noProof/>
        </w:rPr>
        <w:footnoteReference w:id="19"/>
      </w:r>
      <w:r>
        <w:rPr>
          <w:rFonts w:ascii="Times New Roman" w:hAnsi="Times New Roman"/>
          <w:noProof/>
          <w:sz w:val="24"/>
        </w:rPr>
        <w:t>. Vis dėlto net tose šalyse, kuriose buvo patvirtintos teisinės priemonės, jos įgyvendinamos labai nevienodai. Tik kelios EMTE priklausančios šalys yra įdiegusios priemones, skirtas atvirosios prieigos prie leidinių ir mokslinių tyrimų duomenų valdymo politikos plėtojimui ir jos poveikiui stebėti.</w:t>
      </w:r>
    </w:p>
    <w:p>
      <w:pPr>
        <w:jc w:val="both"/>
        <w:rPr>
          <w:rFonts w:ascii="Times New Roman" w:eastAsia="Calibri" w:hAnsi="Times New Roman" w:cs="Times New Roman"/>
          <w:noProof/>
          <w:sz w:val="24"/>
        </w:rPr>
      </w:pPr>
      <w:r>
        <w:rPr>
          <w:rFonts w:ascii="Times New Roman" w:hAnsi="Times New Roman"/>
          <w:noProof/>
          <w:sz w:val="24"/>
        </w:rPr>
        <w:t>Pastaraisiais metais buvo sparčiai plėtojama atviroji prieiga prie leidinių – 2016 m. EMTE priklausančiose šalyse atviroji prieiga buvo suteikiama iki 50 proc. visų leidinių</w:t>
      </w:r>
      <w:r>
        <w:rPr>
          <w:rStyle w:val="FootnoteReference"/>
          <w:rFonts w:ascii="Times New Roman" w:hAnsi="Times New Roman"/>
          <w:noProof/>
          <w:sz w:val="24"/>
        </w:rPr>
        <w:footnoteReference w:id="20"/>
      </w:r>
      <w:r>
        <w:rPr>
          <w:rFonts w:ascii="Times New Roman" w:hAnsi="Times New Roman"/>
          <w:noProof/>
          <w:sz w:val="24"/>
        </w:rPr>
        <w:t>. Tai, kad šalyse įgyvendinama nevienoda atvirosios prieigos prie leidinių politika, matyti iš įvairių politikos įgyvendinimo būdų ir daugybės įvairių atvirosios prieigos prie leidinių rūšių, kurioms teikiama pirmenybė. Kai kuriose šalyse pirmenybė teikiama visiškai laivai prieigai, kitose skatinama iš dalies laisva prieiga (savarankiškas saugojimas saugyklose), o dar kitose naudojamasi šių abiejų rūšių deriniu. Apskritai pastaraisiais metais padidėjo mokslinių leidinių, kuriems suteikiama visiškai laisva prieiga, dalis, palyginti su leidiniais, kuriems suteikiama iš dalies laisva prieiga.</w:t>
      </w:r>
    </w:p>
    <w:p>
      <w:pPr>
        <w:jc w:val="both"/>
        <w:rPr>
          <w:rFonts w:ascii="Times New Roman" w:eastAsia="Calibri" w:hAnsi="Times New Roman" w:cs="Times New Roman"/>
          <w:noProof/>
          <w:sz w:val="24"/>
        </w:rPr>
      </w:pPr>
      <w:r>
        <w:rPr>
          <w:rFonts w:ascii="Times New Roman" w:hAnsi="Times New Roman"/>
          <w:noProof/>
          <w:sz w:val="24"/>
        </w:rPr>
        <w:t>Kalbant apie mokslinių tyrimų duomenų valdymą, šios srities politika dažniausiai pradėta formuoti visai neseniai. Vis dar reikia užtikrinti didesnį šalių veiksmų koordinavimą ir suderinimą. Finansiniai ir techniniai sunkumai, susiję su duomenų saugojimu ir esamais duomenų formatais, tebėra pagrindinis uždavinys, kurį reikia išspręsti, norint toliau plėtoti atvirąją prieigą prie mokslinių tyrimų duomenų.</w:t>
      </w:r>
    </w:p>
    <w:p>
      <w:pPr>
        <w:jc w:val="both"/>
        <w:rPr>
          <w:rFonts w:ascii="Times New Roman" w:eastAsia="Calibri" w:hAnsi="Times New Roman" w:cs="Times New Roman"/>
          <w:noProof/>
          <w:sz w:val="24"/>
        </w:rPr>
      </w:pPr>
      <w:r>
        <w:rPr>
          <w:rFonts w:ascii="Times New Roman" w:hAnsi="Times New Roman"/>
          <w:noProof/>
          <w:sz w:val="24"/>
        </w:rPr>
        <w:t>Nors perėjimo prie atvirojo mokslo aplinkos procesas jau prasidėjo, jam vis dar trukdo keletas neišspręstų klausimų, susijusių su autorių teisėmis, išlaidomis, duomenų privatumu, nuomone, kad leidiniai, kuriems suteikiama atviroji prieiga, yra žemesnės kokybės, nepakankamu mokymu atvirosios prieigos klausimais ir institucijų politika, kuria skatinama informaciją skelbti įprastuose leidiniuose.</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Išvada</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Pastaraisiais metais atvirosios prieigos prie leidinių srityje, įskaitant nustatomas teisines priemones, buvo greitai daroma pažanga. Vis dėlto tebėra kliūčių, įskaitant nevienodą taisyklių vykdymo užtikrinimo lygį. Taip pat esama daug įvairių nacionalinių atvirosios prieigos prie mokslinių tyrimų duomenų metodų – šioje srityje pažanga daroma gerokai lėčiau. Tebėra keletas neišspręstų uždavinių, trukdančių iš esmės pereiti prie atvirojo mokslo aplinkos.</w:t>
      </w:r>
    </w:p>
    <w:p>
      <w:pPr>
        <w:pStyle w:val="ListParagraph"/>
        <w:numPr>
          <w:ilvl w:val="1"/>
          <w:numId w:val="8"/>
        </w:numPr>
        <w:spacing w:before="240" w:after="240" w:line="240" w:lineRule="auto"/>
        <w:contextualSpacing w:val="0"/>
        <w:rPr>
          <w:rFonts w:ascii="Times New Roman" w:eastAsia="Calibri" w:hAnsi="Times New Roman" w:cs="Times New Roman"/>
          <w:b/>
          <w:noProof/>
          <w:sz w:val="24"/>
        </w:rPr>
      </w:pPr>
      <w:r>
        <w:rPr>
          <w:rFonts w:ascii="Times New Roman" w:hAnsi="Times New Roman"/>
          <w:b/>
          <w:noProof/>
          <w:sz w:val="24"/>
        </w:rPr>
        <w:t>Tarptautinis bendradarbiavimas</w:t>
      </w:r>
    </w:p>
    <w:p>
      <w:pPr>
        <w:pBdr>
          <w:top w:val="single" w:sz="4" w:space="1" w:color="auto"/>
          <w:left w:val="single" w:sz="4" w:space="4" w:color="auto"/>
          <w:bottom w:val="single" w:sz="4" w:space="1" w:color="auto"/>
          <w:right w:val="single" w:sz="4" w:space="4" w:color="auto"/>
        </w:pBdr>
        <w:shd w:val="clear" w:color="auto" w:fill="C6D9F1"/>
        <w:jc w:val="both"/>
        <w:rPr>
          <w:rFonts w:ascii="Times New Roman" w:eastAsia="Times New Roman" w:hAnsi="Times New Roman" w:cs="Times New Roman"/>
          <w:b/>
          <w:noProof/>
          <w:sz w:val="24"/>
          <w:szCs w:val="24"/>
        </w:rPr>
      </w:pPr>
      <w:r>
        <w:rPr>
          <w:rFonts w:ascii="Times New Roman" w:hAnsi="Times New Roman"/>
          <w:b/>
          <w:noProof/>
          <w:sz w:val="24"/>
        </w:rPr>
        <w:t>Tikslas</w:t>
      </w:r>
    </w:p>
    <w:p>
      <w:pPr>
        <w:pBdr>
          <w:top w:val="single" w:sz="4" w:space="1" w:color="auto"/>
          <w:left w:val="single" w:sz="4" w:space="4" w:color="auto"/>
          <w:bottom w:val="single" w:sz="4" w:space="1" w:color="auto"/>
          <w:right w:val="single" w:sz="4" w:space="4" w:color="auto"/>
        </w:pBdr>
        <w:shd w:val="clear" w:color="auto" w:fill="C6D9F1"/>
        <w:jc w:val="both"/>
        <w:rPr>
          <w:rFonts w:ascii="Times New Roman" w:eastAsia="Times New Roman" w:hAnsi="Times New Roman" w:cs="Times New Roman"/>
          <w:noProof/>
          <w:sz w:val="24"/>
          <w:szCs w:val="24"/>
        </w:rPr>
      </w:pPr>
      <w:r>
        <w:rPr>
          <w:rFonts w:ascii="Times New Roman" w:hAnsi="Times New Roman"/>
          <w:noProof/>
          <w:sz w:val="24"/>
        </w:rPr>
        <w:t>Užtikrinti, kad visa Europa būtų pajėgi pasaulio mastu kuo geriau išnaudoti didžiausias mokslinių tyrimų ir inovacijų teikiamas galimybes.</w:t>
      </w:r>
    </w:p>
    <w:p>
      <w:pPr>
        <w:pBdr>
          <w:top w:val="single" w:sz="4" w:space="1" w:color="auto"/>
          <w:left w:val="single" w:sz="4" w:space="4" w:color="auto"/>
          <w:bottom w:val="single" w:sz="4" w:space="1" w:color="auto"/>
          <w:right w:val="single" w:sz="4" w:space="4" w:color="auto"/>
        </w:pBdr>
        <w:shd w:val="clear" w:color="auto" w:fill="C6D9F1"/>
        <w:jc w:val="both"/>
        <w:rPr>
          <w:rFonts w:ascii="Times New Roman" w:eastAsia="Times New Roman" w:hAnsi="Times New Roman" w:cs="Times New Roman"/>
          <w:b/>
          <w:noProof/>
          <w:sz w:val="24"/>
          <w:szCs w:val="24"/>
        </w:rPr>
      </w:pPr>
      <w:r>
        <w:rPr>
          <w:rFonts w:ascii="Times New Roman" w:hAnsi="Times New Roman"/>
          <w:b/>
          <w:noProof/>
          <w:sz w:val="24"/>
        </w:rPr>
        <w:t>Siekiami rezultatai</w:t>
      </w:r>
    </w:p>
    <w:p>
      <w:pPr>
        <w:pBdr>
          <w:top w:val="single" w:sz="4" w:space="1" w:color="auto"/>
          <w:left w:val="single" w:sz="4" w:space="4" w:color="auto"/>
          <w:bottom w:val="single" w:sz="4" w:space="1" w:color="auto"/>
          <w:right w:val="single" w:sz="4" w:space="4" w:color="auto"/>
        </w:pBdr>
        <w:shd w:val="clear" w:color="auto" w:fill="C6D9F1"/>
        <w:jc w:val="both"/>
        <w:rPr>
          <w:rFonts w:ascii="Times New Roman" w:eastAsia="Times New Roman" w:hAnsi="Times New Roman" w:cs="Times New Roman"/>
          <w:noProof/>
          <w:sz w:val="24"/>
          <w:szCs w:val="24"/>
        </w:rPr>
      </w:pPr>
      <w:r>
        <w:rPr>
          <w:rFonts w:ascii="Times New Roman" w:hAnsi="Times New Roman"/>
          <w:noProof/>
          <w:sz w:val="24"/>
        </w:rPr>
        <w:t>Nustatyti nacionalines tarptautinimo strategijas, kuriomis būtų skatinamas glaudesnis bendradarbiavimas su svarbiausiomis trečiosiomis šalimis, geriau derinti ES, valstybių narių ir asocijuotųjų šalių tikslus ir veiklą su ES nepriklausančiomis šalimis ir tarptautinėmis organizacijomis, plačiau panaudoti daugiašalių ES ir tarpvyriausybinių projektų rezultatus ir geriau pasinaudoti ES valstybių narių ir tarptautinių šalių partnerių dvišaliais ir daugiašaliais susitarimais.</w:t>
      </w:r>
    </w:p>
    <w:p>
      <w:pPr>
        <w:jc w:val="both"/>
        <w:rPr>
          <w:rFonts w:ascii="Times New Roman" w:eastAsia="Calibri" w:hAnsi="Times New Roman" w:cs="Times New Roman"/>
          <w:noProof/>
          <w:sz w:val="24"/>
        </w:rPr>
      </w:pPr>
      <w:r>
        <w:rPr>
          <w:rFonts w:ascii="Times New Roman" w:hAnsi="Times New Roman"/>
          <w:noProof/>
          <w:sz w:val="24"/>
        </w:rPr>
        <w:t>Nuo 2016 m., kai buvo paskelbta pastaroji EMTE pažangos ataskaita, ES valstybės narės nedaug, bet nuolat didino kartu su EMTE nepriklausančiomis šalimis išleidžiamų leidinių skaičių. 2014–2016 m. vidutinis metinis augimo koeficientas šiose šalyse siekė 4,4 proc., o 2007–2016 m. – 4,2 proc.</w:t>
      </w:r>
      <w:r>
        <w:rPr>
          <w:rStyle w:val="FootnoteReference"/>
          <w:rFonts w:ascii="Times New Roman" w:hAnsi="Times New Roman"/>
          <w:noProof/>
        </w:rPr>
        <w:footnoteReference w:id="21"/>
      </w:r>
    </w:p>
    <w:p>
      <w:pPr>
        <w:jc w:val="both"/>
        <w:rPr>
          <w:rFonts w:ascii="Times New Roman" w:eastAsia="Calibri" w:hAnsi="Times New Roman" w:cs="Times New Roman"/>
          <w:noProof/>
          <w:sz w:val="24"/>
        </w:rPr>
      </w:pPr>
      <w:r>
        <w:rPr>
          <w:rFonts w:ascii="Times New Roman" w:hAnsi="Times New Roman"/>
          <w:noProof/>
          <w:sz w:val="24"/>
        </w:rPr>
        <w:t>EMTE priklausančios šalys tarptautiniam bendradarbiavimui skatinti naudojasi įvairiomis priemonėmis. Keletas jų pavyzdžių yra sudaromi dvišaliai susitarimai ir specialūs mokslinių tyrimų ir inovacijų centrai, taip pat mokslinių tyrimų ir inovacijų srities konsultantų ir specialistų paskyrimas į visame pasaulyje veikiančius jų konsulatus ir ambasadas. Keletas EMTE priklausančių šalių taip pat yra patvirtinusios nacionalines mokslo ir technologijų tarptautinimo strategijas arba daug dėmesio tarptautiniam bendradarbiavimui skiria nacionaliniuose mokslinių tyrimų ir inovacijų dokumentuose. Be to, tiek mokslinius tyrimus atliekančios organizacijos, tiek mokslinių tyrimų finansavimo organizacijos vis dažniau siekia pasinaudoti dvišalio arba daugiašalio bendradarbiavimo su šalių partnerių organizacijomis galimybėmis.</w:t>
      </w:r>
    </w:p>
    <w:p>
      <w:pPr>
        <w:jc w:val="both"/>
        <w:rPr>
          <w:rFonts w:ascii="Times New Roman" w:eastAsia="Calibri" w:hAnsi="Times New Roman" w:cs="Times New Roman"/>
          <w:noProof/>
          <w:sz w:val="24"/>
        </w:rPr>
      </w:pPr>
      <w:r>
        <w:rPr>
          <w:rFonts w:ascii="Times New Roman" w:hAnsi="Times New Roman"/>
          <w:noProof/>
          <w:sz w:val="24"/>
        </w:rPr>
        <w:t>Tiek ES, tiek nacionaliniu lygmeniu aktyviai skatinamas tarptautinis tyrėjų judumas. ES lygmeniu pagrindinės programos yra iniciatyva EURAXESS ir programa „Marie Skłodowskos-Curie veiksmai“. EMTE priklausančios šalys, ypač tos, kurių mokslinių tyrimų ir inovacijų sistemos mažiau išplėtotos, aktyviau skatina atvykstančiųjų judumą, kad galėtų išspręsti žmogiškųjų išteklių trūkumo problemą.</w:t>
      </w:r>
    </w:p>
    <w:p>
      <w:pPr>
        <w:jc w:val="both"/>
        <w:rPr>
          <w:rFonts w:ascii="Times New Roman" w:eastAsia="Calibri" w:hAnsi="Times New Roman" w:cs="Times New Roman"/>
          <w:noProof/>
          <w:sz w:val="24"/>
        </w:rPr>
      </w:pPr>
      <w:r>
        <w:rPr>
          <w:rFonts w:ascii="Times New Roman" w:hAnsi="Times New Roman"/>
          <w:noProof/>
          <w:sz w:val="24"/>
        </w:rPr>
        <w:t>Nepaisant daugelio teigiamų pokyčių, visose EMTE priklausančiose šalyse tebėra keletas neišspręstų uždavinių. Jose, be kita ko, trūksta finansinių ir žmogiškųjų išteklių, skirtų tarptautinės partnerystės ryšiams užmegzti ir valdyti.</w:t>
      </w:r>
    </w:p>
    <w:p>
      <w:pPr>
        <w:pBdr>
          <w:top w:val="single" w:sz="4" w:space="1" w:color="auto"/>
          <w:left w:val="single" w:sz="4" w:space="4" w:color="auto"/>
          <w:bottom w:val="single" w:sz="4" w:space="1" w:color="auto"/>
          <w:right w:val="single" w:sz="4" w:space="4" w:color="auto"/>
        </w:pBdr>
        <w:shd w:val="clear" w:color="auto" w:fill="C6D9F1"/>
        <w:jc w:val="both"/>
        <w:rPr>
          <w:rFonts w:ascii="Times New Roman" w:eastAsia="Times New Roman" w:hAnsi="Times New Roman" w:cs="Times New Roman"/>
          <w:b/>
          <w:noProof/>
          <w:sz w:val="24"/>
          <w:szCs w:val="24"/>
        </w:rPr>
      </w:pPr>
      <w:r>
        <w:rPr>
          <w:rFonts w:ascii="Times New Roman" w:hAnsi="Times New Roman"/>
          <w:b/>
          <w:noProof/>
          <w:sz w:val="24"/>
        </w:rPr>
        <w:t>Išvada</w:t>
      </w:r>
    </w:p>
    <w:p>
      <w:pPr>
        <w:pBdr>
          <w:top w:val="single" w:sz="4" w:space="1" w:color="auto"/>
          <w:left w:val="single" w:sz="4" w:space="4" w:color="auto"/>
          <w:bottom w:val="single" w:sz="4" w:space="1" w:color="auto"/>
          <w:right w:val="single" w:sz="4" w:space="4" w:color="auto"/>
        </w:pBdr>
        <w:shd w:val="clear" w:color="auto" w:fill="C6D9F1"/>
        <w:jc w:val="both"/>
        <w:rPr>
          <w:rFonts w:ascii="Times New Roman" w:eastAsia="Times New Roman" w:hAnsi="Times New Roman" w:cs="Times New Roman"/>
          <w:noProof/>
          <w:sz w:val="24"/>
          <w:szCs w:val="24"/>
        </w:rPr>
      </w:pPr>
      <w:r>
        <w:rPr>
          <w:rFonts w:ascii="Times New Roman" w:hAnsi="Times New Roman"/>
          <w:noProof/>
          <w:sz w:val="24"/>
        </w:rPr>
        <w:t>Apskritai didėja tarptautinio EMTE priklausančių ir jai nepriklausančių šalių bendradarbiavimo mastas. Šalys, kurių mokslinių tyrimų ir inovacijų sistemos labiau išplėtotos, turi daugiau bendradarbiavimo galimybių, taip pat jos yra geriau pasirengusios užmegzti ir palaikyti naujus partnerystės ryšius. Ypač reikia sudaryti palankesnes sąlygas tarptautinei protų apykaitai, šiuo tikslu suteikiant įvairesnių paskatų. EMTE priklausančios šalys turi dėti daugiau pastangų, kad pritrauktų gabiausius tarptautinius specialistus ir galėtų panaikinti darbo jėgos trūkumą, stiprinti mokslinių tyrimų pajėgumus, skatinti diegti inovacijas ir spręsti sudėtingus uždavinius.</w:t>
      </w:r>
    </w:p>
    <w:p>
      <w:pPr>
        <w:pStyle w:val="ListParagraph"/>
        <w:numPr>
          <w:ilvl w:val="0"/>
          <w:numId w:val="8"/>
        </w:numPr>
        <w:spacing w:before="240" w:after="240" w:line="240" w:lineRule="auto"/>
        <w:contextualSpacing w:val="0"/>
        <w:rPr>
          <w:rFonts w:ascii="Times New Roman" w:hAnsi="Times New Roman" w:cs="Times New Roman"/>
          <w:b/>
          <w:noProof/>
          <w:sz w:val="24"/>
          <w:szCs w:val="24"/>
        </w:rPr>
      </w:pPr>
      <w:r>
        <w:rPr>
          <w:rFonts w:ascii="Times New Roman" w:hAnsi="Times New Roman"/>
          <w:b/>
          <w:noProof/>
          <w:sz w:val="24"/>
        </w:rPr>
        <w:t>IŠVADOS</w:t>
      </w:r>
    </w:p>
    <w:p>
      <w:pPr>
        <w:jc w:val="both"/>
        <w:rPr>
          <w:rFonts w:ascii="Times New Roman" w:eastAsia="Calibri" w:hAnsi="Times New Roman" w:cs="Times New Roman"/>
          <w:noProof/>
          <w:sz w:val="24"/>
          <w:szCs w:val="24"/>
        </w:rPr>
      </w:pPr>
      <w:r>
        <w:rPr>
          <w:rFonts w:ascii="Times New Roman" w:hAnsi="Times New Roman"/>
          <w:noProof/>
          <w:sz w:val="24"/>
        </w:rPr>
        <w:t>Palyginti su ankstesniu ataskaitiniu laikotarpiu</w:t>
      </w:r>
      <w:r>
        <w:rPr>
          <w:rStyle w:val="FootnoteReference"/>
          <w:rFonts w:ascii="Times New Roman" w:hAnsi="Times New Roman"/>
          <w:noProof/>
          <w:sz w:val="24"/>
        </w:rPr>
        <w:footnoteReference w:id="22"/>
      </w:r>
      <w:r>
        <w:rPr>
          <w:rFonts w:ascii="Times New Roman" w:hAnsi="Times New Roman"/>
          <w:noProof/>
          <w:sz w:val="24"/>
        </w:rPr>
        <w:t>, pažanga siekiant EMTE prioritetų, nors ir lėčiau, toliau daroma pagal daugumą iš pagrindinių rodiklių. Kalbant apie 28 ES valstybių narių vidurkius, iš daugumos pagrindinių rodiklių matyti, kad laikui bėgant vis dar daroma pažanga, tačiau tebėra didelių šalių skirtumų, susijusių ir su įgyvendinimo lygiu</w:t>
      </w:r>
      <w:r>
        <w:rPr>
          <w:rStyle w:val="FootnoteReference"/>
          <w:rFonts w:ascii="Times New Roman" w:hAnsi="Times New Roman"/>
          <w:noProof/>
          <w:sz w:val="24"/>
        </w:rPr>
        <w:footnoteReference w:id="23"/>
      </w:r>
      <w:r>
        <w:rPr>
          <w:rFonts w:ascii="Times New Roman" w:hAnsi="Times New Roman"/>
          <w:noProof/>
          <w:sz w:val="24"/>
        </w:rPr>
        <w:t>, ir su augimo koeficientais (žr. 1 lentelę).</w:t>
      </w:r>
    </w:p>
    <w:p>
      <w:pPr>
        <w:jc w:val="both"/>
        <w:rPr>
          <w:rFonts w:ascii="Times New Roman" w:eastAsia="Calibri" w:hAnsi="Times New Roman" w:cs="Times New Roman"/>
          <w:noProof/>
          <w:sz w:val="24"/>
          <w:szCs w:val="24"/>
        </w:rPr>
      </w:pPr>
      <w:r>
        <w:rPr>
          <w:rFonts w:ascii="Times New Roman" w:hAnsi="Times New Roman"/>
          <w:noProof/>
          <w:sz w:val="24"/>
        </w:rPr>
        <w:t>Iš didelių šalių skirtumų, susijusių su nacionaliniu lygmeniu padaryta pažanga, matyti, kad esama daug galimybių toliau daryti pažangą pagal visus prioritetus. Šalys, kurios pasiekia prastesnių rezultatų, EMTE pasiektais aukščiausiais rezultatais galėtų naudotis kaip lyginamaisiais standartais.</w:t>
      </w:r>
    </w:p>
    <w:p>
      <w:pPr>
        <w:jc w:val="both"/>
        <w:rPr>
          <w:rFonts w:ascii="Times New Roman" w:eastAsia="Calibri" w:hAnsi="Times New Roman" w:cs="Times New Roman"/>
          <w:noProof/>
          <w:sz w:val="24"/>
          <w:szCs w:val="24"/>
        </w:rPr>
      </w:pPr>
      <w:r>
        <w:rPr>
          <w:rFonts w:ascii="Times New Roman" w:hAnsi="Times New Roman"/>
          <w:noProof/>
          <w:sz w:val="24"/>
        </w:rPr>
        <w:t>Tai, kad 28 šalys parengė ir paskelbė EMTE nacionalinius veiksmų planus, yra bendros politinės atsakomybės ir sutelktų pastangų siekti visų EMTE prioritetų įrodymas. Iš šių planų matyti didelis užmojis toliau daryti pažangą kuriant EMTE.</w:t>
      </w:r>
    </w:p>
    <w:p>
      <w:pPr>
        <w:jc w:val="both"/>
        <w:rPr>
          <w:rFonts w:ascii="Times New Roman" w:eastAsia="Calibri" w:hAnsi="Times New Roman" w:cs="Times New Roman"/>
          <w:noProof/>
          <w:sz w:val="24"/>
          <w:szCs w:val="24"/>
        </w:rPr>
      </w:pPr>
      <w:r>
        <w:rPr>
          <w:rFonts w:ascii="Times New Roman" w:hAnsi="Times New Roman"/>
          <w:noProof/>
          <w:sz w:val="24"/>
        </w:rPr>
        <w:t>Apskritai susidaro įspūdis, kad 2015–2020 m. EMTE veiksmų planas tebėra svarbi priemonė, padedanti valstybėms narėms ir asocijuotosioms šalims nacionaliniu lygmeniu nustatyti, suderinti ir įgyvendinti būtinas EMTE reformas.</w:t>
      </w:r>
    </w:p>
    <w:p>
      <w:pPr>
        <w:jc w:val="both"/>
        <w:rPr>
          <w:rFonts w:ascii="Times New Roman" w:eastAsia="Calibri" w:hAnsi="Times New Roman" w:cs="Times New Roman"/>
          <w:noProof/>
          <w:sz w:val="24"/>
          <w:szCs w:val="24"/>
        </w:rPr>
      </w:pPr>
      <w:r>
        <w:rPr>
          <w:rFonts w:ascii="Times New Roman" w:hAnsi="Times New Roman"/>
          <w:noProof/>
          <w:sz w:val="24"/>
        </w:rPr>
        <w:t>Tuo pat metu, lėtėjant pažangai, daromai pagal EMTE pagrindinius rodiklius, reikia apsvarstyti, kaip paspartinti, sustiprinti ir paskatinti visų EMTE prioritetų įgyvendinimo procesą. Tai – bendra visų valstybių narių, asocijuotųjų šalių ir ES atsakomybė.</w:t>
      </w:r>
    </w:p>
    <w:p>
      <w:pPr>
        <w:jc w:val="both"/>
        <w:rPr>
          <w:rFonts w:ascii="Times New Roman" w:eastAsia="Calibri" w:hAnsi="Times New Roman" w:cs="Times New Roman"/>
          <w:noProof/>
          <w:sz w:val="24"/>
          <w:szCs w:val="24"/>
        </w:rPr>
      </w:pPr>
      <w:r>
        <w:rPr>
          <w:rFonts w:ascii="Times New Roman" w:hAnsi="Times New Roman"/>
          <w:noProof/>
          <w:sz w:val="24"/>
        </w:rPr>
        <w:t>Sistemingiau naudojantis kartu sukurtu EMTE stebėsenos mechanizmu būtų galima didinti EMTE nacionalinių veiksmų planų poveikį ir konvergenciją. Šį procesą būtų galima sustiprinti tarpusavio mokymosi programomis, pavyzdžiui, politikos rėmimo priemone</w:t>
      </w:r>
      <w:r>
        <w:rPr>
          <w:rStyle w:val="FootnoteReference"/>
          <w:rFonts w:ascii="Times New Roman" w:hAnsi="Times New Roman"/>
          <w:noProof/>
          <w:sz w:val="24"/>
        </w:rPr>
        <w:footnoteReference w:id="24"/>
      </w:r>
      <w:r>
        <w:rPr>
          <w:rFonts w:ascii="Times New Roman" w:hAnsi="Times New Roman"/>
          <w:noProof/>
          <w:sz w:val="24"/>
        </w:rPr>
        <w:t>, kartu EMTEK rengiant strategines diskusijas ir atsižvelgiant į Europos semestrą.</w:t>
      </w:r>
    </w:p>
    <w:p>
      <w:pPr>
        <w:jc w:val="both"/>
        <w:rPr>
          <w:rFonts w:ascii="Times New Roman" w:eastAsia="Calibri" w:hAnsi="Times New Roman" w:cs="Times New Roman"/>
          <w:noProof/>
          <w:sz w:val="24"/>
          <w:szCs w:val="24"/>
        </w:rPr>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pPr>
      <w:r>
        <w:rPr>
          <w:rFonts w:ascii="Times New Roman" w:hAnsi="Times New Roman"/>
          <w:noProof/>
          <w:sz w:val="24"/>
        </w:rPr>
        <w:t xml:space="preserve">Atsirandant naujiems uždaviniams, Europos ir nacionalinės institucijos turi koordinuoti ir pritaikyti savo politinį atsaką į nepanaikintas kliūtis ir naujas galimybes. Tai reiškia, kad ilgainiui EMTE prioritetai pasikeis. Šiuolaikinės ir lanksčios EMTE sukūrimas glaudžiai bendradarbiaujant su valstybėmis narėmis, asocijuotosiomis šalimis, Komisija ir visomis EMTE suinteresuotosiomis šalimis visiems suteiks aiškios pridėtinės vertės. Siūlomo ilgalaikio ES biudžeto paskirtis – teikti paskatas ir paramą, siekiant kartu tobulinti nacionalines mokslinių tyrimų ir inovacijų sistemas ir toliau kurti EMTE. </w:t>
      </w:r>
    </w:p>
    <w:tbl>
      <w:tblPr>
        <w:tblW w:w="4965" w:type="pct"/>
        <w:tblLook w:val="04A0" w:firstRow="1" w:lastRow="0" w:firstColumn="1" w:lastColumn="0" w:noHBand="0" w:noVBand="1"/>
      </w:tblPr>
      <w:tblGrid>
        <w:gridCol w:w="1125"/>
        <w:gridCol w:w="1884"/>
        <w:gridCol w:w="1738"/>
        <w:gridCol w:w="1536"/>
        <w:gridCol w:w="1657"/>
        <w:gridCol w:w="2041"/>
        <w:gridCol w:w="1980"/>
        <w:gridCol w:w="2471"/>
      </w:tblGrid>
      <w:tr>
        <w:trPr>
          <w:trHeight w:val="207"/>
        </w:trPr>
        <w:tc>
          <w:tcPr>
            <w:tcW w:w="390" w:type="pct"/>
            <w:vMerge w:val="restart"/>
            <w:tcBorders>
              <w:top w:val="single" w:sz="8" w:space="0" w:color="auto"/>
              <w:left w:val="single" w:sz="8" w:space="0" w:color="auto"/>
              <w:bottom w:val="nil"/>
              <w:right w:val="nil"/>
            </w:tcBorders>
            <w:shd w:val="clear" w:color="auto" w:fill="auto"/>
            <w:noWrap/>
            <w:vAlign w:val="center"/>
            <w:hideMark/>
          </w:tcPr>
          <w:p>
            <w:pPr>
              <w:spacing w:after="0" w:line="240" w:lineRule="auto"/>
              <w:rPr>
                <w:rFonts w:ascii="Verdana" w:eastAsia="Times New Roman" w:hAnsi="Verdana" w:cs="Times New Roman"/>
                <w:b/>
                <w:bCs/>
                <w:noProof/>
                <w:color w:val="000000"/>
                <w:sz w:val="14"/>
                <w:szCs w:val="18"/>
              </w:rPr>
            </w:pPr>
            <w:r>
              <w:rPr>
                <w:rFonts w:ascii="Verdana" w:hAnsi="Verdana"/>
                <w:b/>
                <w:noProof/>
                <w:color w:val="000000"/>
                <w:sz w:val="14"/>
              </w:rPr>
              <w:t>Šalis</w:t>
            </w:r>
          </w:p>
        </w:tc>
        <w:tc>
          <w:tcPr>
            <w:tcW w:w="4610" w:type="pct"/>
            <w:gridSpan w:val="7"/>
            <w:tcBorders>
              <w:top w:val="single" w:sz="8" w:space="0" w:color="auto"/>
              <w:left w:val="nil"/>
              <w:bottom w:val="nil"/>
              <w:right w:val="single" w:sz="8" w:space="0" w:color="000000"/>
            </w:tcBorders>
            <w:shd w:val="clear" w:color="auto" w:fill="auto"/>
            <w:noWrap/>
            <w:vAlign w:val="center"/>
            <w:hideMark/>
          </w:tcPr>
          <w:p>
            <w:pPr>
              <w:spacing w:after="0" w:line="240" w:lineRule="auto"/>
              <w:jc w:val="center"/>
              <w:rPr>
                <w:rFonts w:ascii="Verdana" w:eastAsia="Times New Roman" w:hAnsi="Verdana" w:cs="Times New Roman"/>
                <w:b/>
                <w:bCs/>
                <w:noProof/>
                <w:color w:val="000000"/>
                <w:sz w:val="14"/>
                <w:szCs w:val="18"/>
              </w:rPr>
            </w:pPr>
            <w:r>
              <w:rPr>
                <w:rFonts w:ascii="Verdana" w:hAnsi="Verdana"/>
                <w:b/>
                <w:noProof/>
                <w:color w:val="000000"/>
                <w:sz w:val="14"/>
              </w:rPr>
              <w:t>Pagrindiniai rodikliai</w:t>
            </w:r>
          </w:p>
        </w:tc>
      </w:tr>
      <w:tr>
        <w:trPr>
          <w:trHeight w:val="485"/>
        </w:trPr>
        <w:tc>
          <w:tcPr>
            <w:tcW w:w="390" w:type="pct"/>
            <w:vMerge/>
            <w:tcBorders>
              <w:top w:val="single" w:sz="8" w:space="0" w:color="auto"/>
              <w:left w:val="single" w:sz="8" w:space="0" w:color="auto"/>
              <w:bottom w:val="nil"/>
              <w:right w:val="nil"/>
            </w:tcBorders>
            <w:vAlign w:val="center"/>
            <w:hideMark/>
          </w:tcPr>
          <w:p>
            <w:pPr>
              <w:spacing w:after="0" w:line="240" w:lineRule="auto"/>
              <w:rPr>
                <w:rFonts w:ascii="Verdana" w:eastAsia="Times New Roman" w:hAnsi="Verdana" w:cs="Times New Roman"/>
                <w:b/>
                <w:bCs/>
                <w:noProof/>
                <w:color w:val="000000"/>
                <w:sz w:val="14"/>
                <w:szCs w:val="18"/>
              </w:rPr>
            </w:pPr>
          </w:p>
        </w:tc>
        <w:tc>
          <w:tcPr>
            <w:tcW w:w="653" w:type="pct"/>
            <w:tcBorders>
              <w:top w:val="nil"/>
              <w:left w:val="nil"/>
              <w:bottom w:val="nil"/>
              <w:right w:val="nil"/>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JRC mokslinių tyrimų</w:t>
            </w:r>
            <w:r>
              <w:rPr>
                <w:rFonts w:ascii="Verdana" w:eastAsia="Times New Roman" w:hAnsi="Verdana" w:cs="Times New Roman"/>
                <w:b/>
                <w:bCs/>
                <w:noProof/>
                <w:sz w:val="14"/>
                <w:szCs w:val="18"/>
              </w:rPr>
              <w:br/>
            </w:r>
            <w:r>
              <w:rPr>
                <w:rFonts w:ascii="Verdana" w:hAnsi="Verdana"/>
                <w:b/>
                <w:noProof/>
                <w:sz w:val="14"/>
              </w:rPr>
              <w:t>kompetencija</w:t>
            </w:r>
            <w:r>
              <w:rPr>
                <w:rFonts w:ascii="Verdana" w:eastAsia="Times New Roman" w:hAnsi="Verdana" w:cs="Times New Roman"/>
                <w:b/>
                <w:bCs/>
                <w:noProof/>
                <w:sz w:val="14"/>
                <w:szCs w:val="18"/>
              </w:rPr>
              <w:br/>
            </w:r>
            <w:r>
              <w:rPr>
                <w:rFonts w:ascii="Verdana" w:hAnsi="Verdana"/>
                <w:b/>
                <w:noProof/>
                <w:sz w:val="14"/>
              </w:rPr>
              <w:t>(2013–2016 m.)</w:t>
            </w:r>
          </w:p>
        </w:tc>
        <w:tc>
          <w:tcPr>
            <w:tcW w:w="602" w:type="pct"/>
            <w:tcBorders>
              <w:top w:val="nil"/>
              <w:left w:val="nil"/>
              <w:bottom w:val="nil"/>
              <w:right w:val="nil"/>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Valstybės biudžeto asignavimai</w:t>
            </w:r>
            <w:r>
              <w:rPr>
                <w:rFonts w:ascii="Verdana" w:eastAsia="Times New Roman" w:hAnsi="Verdana" w:cs="Times New Roman"/>
                <w:b/>
                <w:bCs/>
                <w:noProof/>
                <w:sz w:val="14"/>
                <w:szCs w:val="18"/>
              </w:rPr>
              <w:br/>
            </w:r>
            <w:r>
              <w:rPr>
                <w:rFonts w:ascii="Verdana" w:hAnsi="Verdana"/>
                <w:b/>
                <w:noProof/>
                <w:sz w:val="14"/>
              </w:rPr>
              <w:t>tarpvalstybiniams MTTP</w:t>
            </w:r>
            <w:r>
              <w:rPr>
                <w:rFonts w:ascii="Verdana" w:eastAsia="Times New Roman" w:hAnsi="Verdana" w:cs="Times New Roman"/>
                <w:b/>
                <w:bCs/>
                <w:noProof/>
                <w:sz w:val="14"/>
                <w:szCs w:val="18"/>
              </w:rPr>
              <w:br/>
            </w:r>
            <w:r>
              <w:rPr>
                <w:rFonts w:ascii="Verdana" w:hAnsi="Verdana"/>
                <w:b/>
                <w:noProof/>
                <w:sz w:val="14"/>
              </w:rPr>
              <w:t>(2014–2016 m.)</w:t>
            </w:r>
          </w:p>
        </w:tc>
        <w:tc>
          <w:tcPr>
            <w:tcW w:w="532" w:type="pct"/>
            <w:tcBorders>
              <w:top w:val="nil"/>
              <w:left w:val="nil"/>
              <w:bottom w:val="nil"/>
              <w:right w:val="nil"/>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Darbo skelbimai</w:t>
            </w:r>
            <w:r>
              <w:rPr>
                <w:rFonts w:ascii="Verdana" w:eastAsia="Times New Roman" w:hAnsi="Verdana" w:cs="Times New Roman"/>
                <w:b/>
                <w:bCs/>
                <w:noProof/>
                <w:sz w:val="14"/>
                <w:szCs w:val="18"/>
              </w:rPr>
              <w:br/>
            </w:r>
            <w:r>
              <w:rPr>
                <w:rFonts w:ascii="Verdana" w:hAnsi="Verdana"/>
                <w:b/>
                <w:noProof/>
                <w:sz w:val="14"/>
              </w:rPr>
              <w:t>portale EURAXESS</w:t>
            </w:r>
            <w:r>
              <w:rPr>
                <w:rFonts w:ascii="Verdana" w:eastAsia="Times New Roman" w:hAnsi="Verdana" w:cs="Times New Roman"/>
                <w:b/>
                <w:bCs/>
                <w:noProof/>
                <w:sz w:val="14"/>
                <w:szCs w:val="18"/>
              </w:rPr>
              <w:br/>
            </w:r>
            <w:r>
              <w:rPr>
                <w:rFonts w:ascii="Verdana" w:hAnsi="Verdana"/>
                <w:b/>
                <w:noProof/>
                <w:sz w:val="14"/>
              </w:rPr>
              <w:t>(2014–2016 m.)</w:t>
            </w:r>
          </w:p>
        </w:tc>
        <w:tc>
          <w:tcPr>
            <w:tcW w:w="574" w:type="pct"/>
            <w:tcBorders>
              <w:top w:val="nil"/>
              <w:left w:val="nil"/>
              <w:bottom w:val="nil"/>
              <w:right w:val="nil"/>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A lygio pareigas einančios moterys</w:t>
            </w:r>
            <w:r>
              <w:rPr>
                <w:rFonts w:ascii="Verdana" w:eastAsia="Times New Roman" w:hAnsi="Verdana" w:cs="Times New Roman"/>
                <w:b/>
                <w:bCs/>
                <w:noProof/>
                <w:sz w:val="14"/>
                <w:szCs w:val="18"/>
              </w:rPr>
              <w:br/>
            </w:r>
            <w:r>
              <w:rPr>
                <w:rFonts w:ascii="Verdana" w:hAnsi="Verdana"/>
                <w:b/>
                <w:noProof/>
                <w:sz w:val="14"/>
              </w:rPr>
              <w:t>(2014–2016 m.)</w:t>
            </w:r>
          </w:p>
        </w:tc>
        <w:tc>
          <w:tcPr>
            <w:tcW w:w="707" w:type="pct"/>
            <w:tcBorders>
              <w:top w:val="nil"/>
              <w:left w:val="nil"/>
              <w:bottom w:val="nil"/>
              <w:right w:val="nil"/>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Su universitetais bendradarbiaujančios novatoriškos įmonės</w:t>
            </w:r>
          </w:p>
          <w:p>
            <w:pPr>
              <w:spacing w:after="0" w:line="240" w:lineRule="auto"/>
              <w:jc w:val="center"/>
              <w:rPr>
                <w:rFonts w:ascii="Verdana" w:eastAsia="Times New Roman" w:hAnsi="Verdana" w:cs="Times New Roman"/>
                <w:b/>
                <w:bCs/>
                <w:noProof/>
                <w:sz w:val="14"/>
                <w:szCs w:val="18"/>
              </w:rPr>
            </w:pPr>
            <w:r>
              <w:rPr>
                <w:rFonts w:ascii="Verdana" w:hAnsi="Verdana"/>
                <w:b/>
                <w:noProof/>
                <w:sz w:val="14"/>
              </w:rPr>
              <w:t>(2012–2014 m.)</w:t>
            </w:r>
          </w:p>
        </w:tc>
        <w:tc>
          <w:tcPr>
            <w:tcW w:w="686" w:type="pct"/>
            <w:tcBorders>
              <w:top w:val="nil"/>
              <w:left w:val="nil"/>
              <w:bottom w:val="nil"/>
              <w:right w:val="nil"/>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Su mokslinių tyrimų institutais bendradarbiaujančios novatoriškos įmonės</w:t>
            </w:r>
            <w:r>
              <w:rPr>
                <w:rFonts w:ascii="Verdana" w:eastAsia="Times New Roman" w:hAnsi="Verdana" w:cs="Times New Roman"/>
                <w:b/>
                <w:bCs/>
                <w:noProof/>
                <w:sz w:val="14"/>
                <w:szCs w:val="18"/>
              </w:rPr>
              <w:br/>
            </w:r>
            <w:r>
              <w:rPr>
                <w:rFonts w:ascii="Verdana" w:hAnsi="Verdana"/>
                <w:b/>
                <w:noProof/>
                <w:sz w:val="14"/>
              </w:rPr>
              <w:t>(2012–2014 m.)</w:t>
            </w:r>
          </w:p>
        </w:tc>
        <w:tc>
          <w:tcPr>
            <w:tcW w:w="856" w:type="pct"/>
            <w:tcBorders>
              <w:top w:val="nil"/>
              <w:left w:val="nil"/>
              <w:bottom w:val="nil"/>
              <w:right w:val="single" w:sz="8" w:space="0" w:color="auto"/>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Ne EMTE leidinių skaičius,</w:t>
            </w:r>
            <w:r>
              <w:rPr>
                <w:rFonts w:ascii="Verdana" w:eastAsia="Times New Roman" w:hAnsi="Verdana" w:cs="Times New Roman"/>
                <w:b/>
                <w:bCs/>
                <w:noProof/>
                <w:sz w:val="14"/>
                <w:szCs w:val="18"/>
              </w:rPr>
              <w:br/>
            </w:r>
            <w:r>
              <w:rPr>
                <w:rFonts w:ascii="Verdana" w:hAnsi="Verdana"/>
                <w:b/>
                <w:noProof/>
                <w:sz w:val="14"/>
              </w:rPr>
              <w:t>tenkantis 1 tūkst. tyrėjų</w:t>
            </w:r>
            <w:r>
              <w:rPr>
                <w:rFonts w:ascii="Verdana" w:eastAsia="Times New Roman" w:hAnsi="Verdana" w:cs="Times New Roman"/>
                <w:b/>
                <w:bCs/>
                <w:noProof/>
                <w:sz w:val="14"/>
                <w:szCs w:val="18"/>
              </w:rPr>
              <w:br/>
            </w:r>
            <w:r>
              <w:rPr>
                <w:rFonts w:ascii="Verdana" w:hAnsi="Verdana"/>
                <w:b/>
                <w:noProof/>
                <w:sz w:val="14"/>
              </w:rPr>
              <w:t>(2014–2016 m.)</w:t>
            </w:r>
          </w:p>
        </w:tc>
      </w:tr>
      <w:tr>
        <w:trPr>
          <w:trHeight w:val="207"/>
        </w:trPr>
        <w:tc>
          <w:tcPr>
            <w:tcW w:w="390" w:type="pct"/>
            <w:tcBorders>
              <w:top w:val="single" w:sz="8" w:space="0" w:color="auto"/>
              <w:left w:val="single" w:sz="8" w:space="0" w:color="auto"/>
              <w:bottom w:val="single" w:sz="8" w:space="0" w:color="auto"/>
              <w:right w:val="nil"/>
            </w:tcBorders>
            <w:shd w:val="clear" w:color="000000" w:fill="FFFFFF"/>
            <w:noWrap/>
            <w:vAlign w:val="center"/>
            <w:hideMark/>
          </w:tcPr>
          <w:p>
            <w:pPr>
              <w:spacing w:after="0" w:line="240" w:lineRule="auto"/>
              <w:rPr>
                <w:rFonts w:ascii="Verdana" w:eastAsia="Times New Roman" w:hAnsi="Verdana" w:cs="Times New Roman"/>
                <w:b/>
                <w:bCs/>
                <w:noProof/>
                <w:color w:val="000000"/>
                <w:sz w:val="14"/>
                <w:szCs w:val="18"/>
              </w:rPr>
            </w:pPr>
            <w:r>
              <w:rPr>
                <w:rFonts w:ascii="Verdana" w:hAnsi="Verdana"/>
                <w:b/>
                <w:noProof/>
                <w:color w:val="000000"/>
                <w:sz w:val="14"/>
              </w:rPr>
              <w:t>ES 28</w:t>
            </w:r>
          </w:p>
        </w:tc>
        <w:tc>
          <w:tcPr>
            <w:tcW w:w="653"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pPr>
              <w:spacing w:after="0" w:line="240" w:lineRule="auto"/>
              <w:ind w:firstLineChars="300" w:firstLine="422"/>
              <w:rPr>
                <w:rFonts w:ascii="Verdana" w:eastAsia="Times New Roman" w:hAnsi="Verdana" w:cs="Times New Roman"/>
                <w:b/>
                <w:bCs/>
                <w:noProof/>
                <w:color w:val="000000"/>
                <w:sz w:val="14"/>
                <w:szCs w:val="18"/>
              </w:rPr>
            </w:pPr>
            <w:r>
              <w:rPr>
                <w:rFonts w:ascii="Verdana" w:hAnsi="Verdana"/>
                <w:b/>
                <w:noProof/>
                <w:color w:val="000000"/>
                <w:sz w:val="14"/>
              </w:rPr>
              <w:t>3,2 %</w:t>
            </w:r>
          </w:p>
        </w:tc>
        <w:tc>
          <w:tcPr>
            <w:tcW w:w="602" w:type="pct"/>
            <w:tcBorders>
              <w:top w:val="single" w:sz="8" w:space="0" w:color="auto"/>
              <w:left w:val="nil"/>
              <w:bottom w:val="single" w:sz="8" w:space="0" w:color="auto"/>
              <w:right w:val="single" w:sz="4" w:space="0" w:color="auto"/>
            </w:tcBorders>
            <w:shd w:val="clear" w:color="auto" w:fill="auto"/>
            <w:noWrap/>
            <w:vAlign w:val="center"/>
            <w:hideMark/>
          </w:tcPr>
          <w:p>
            <w:pPr>
              <w:spacing w:after="0" w:line="240" w:lineRule="auto"/>
              <w:ind w:firstLineChars="300" w:firstLine="422"/>
              <w:rPr>
                <w:rFonts w:ascii="Verdana" w:eastAsia="Times New Roman" w:hAnsi="Verdana" w:cs="Times New Roman"/>
                <w:b/>
                <w:bCs/>
                <w:noProof/>
                <w:color w:val="000000"/>
                <w:sz w:val="14"/>
              </w:rPr>
            </w:pPr>
            <w:r>
              <w:rPr>
                <w:rFonts w:ascii="Verdana" w:hAnsi="Verdana"/>
                <w:b/>
                <w:noProof/>
                <w:color w:val="000000"/>
                <w:sz w:val="14"/>
              </w:rPr>
              <w:t>3,9 %</w:t>
            </w:r>
          </w:p>
        </w:tc>
        <w:tc>
          <w:tcPr>
            <w:tcW w:w="532" w:type="pct"/>
            <w:tcBorders>
              <w:top w:val="single" w:sz="8" w:space="0" w:color="auto"/>
              <w:left w:val="nil"/>
              <w:bottom w:val="single" w:sz="8" w:space="0" w:color="auto"/>
              <w:right w:val="single" w:sz="4" w:space="0" w:color="auto"/>
            </w:tcBorders>
            <w:shd w:val="clear" w:color="auto" w:fill="auto"/>
            <w:noWrap/>
            <w:vAlign w:val="center"/>
            <w:hideMark/>
          </w:tcPr>
          <w:p>
            <w:pPr>
              <w:spacing w:after="0" w:line="240" w:lineRule="auto"/>
              <w:ind w:firstLineChars="300" w:firstLine="422"/>
              <w:rPr>
                <w:rFonts w:ascii="Verdana" w:eastAsia="Times New Roman" w:hAnsi="Verdana" w:cs="Times New Roman"/>
                <w:b/>
                <w:bCs/>
                <w:noProof/>
                <w:color w:val="000000"/>
                <w:sz w:val="14"/>
              </w:rPr>
            </w:pPr>
            <w:r>
              <w:rPr>
                <w:rFonts w:ascii="Verdana" w:hAnsi="Verdana"/>
                <w:b/>
                <w:noProof/>
                <w:color w:val="000000"/>
                <w:sz w:val="14"/>
              </w:rPr>
              <w:t>–5,0 %</w:t>
            </w:r>
          </w:p>
        </w:tc>
        <w:tc>
          <w:tcPr>
            <w:tcW w:w="574" w:type="pct"/>
            <w:tcBorders>
              <w:top w:val="single" w:sz="8" w:space="0" w:color="auto"/>
              <w:left w:val="nil"/>
              <w:bottom w:val="single" w:sz="8" w:space="0" w:color="auto"/>
              <w:right w:val="single" w:sz="4" w:space="0" w:color="auto"/>
            </w:tcBorders>
            <w:shd w:val="clear" w:color="000000" w:fill="FFFFFF"/>
            <w:noWrap/>
            <w:vAlign w:val="center"/>
            <w:hideMark/>
          </w:tcPr>
          <w:p>
            <w:pPr>
              <w:spacing w:after="0" w:line="240" w:lineRule="auto"/>
              <w:ind w:firstLineChars="300" w:firstLine="422"/>
              <w:rPr>
                <w:rFonts w:ascii="Verdana" w:eastAsia="Times New Roman" w:hAnsi="Verdana" w:cs="Times New Roman"/>
                <w:b/>
                <w:bCs/>
                <w:noProof/>
                <w:color w:val="000000"/>
                <w:sz w:val="14"/>
                <w:szCs w:val="18"/>
              </w:rPr>
            </w:pPr>
            <w:r>
              <w:rPr>
                <w:rFonts w:ascii="Verdana" w:hAnsi="Verdana"/>
                <w:b/>
                <w:noProof/>
                <w:color w:val="000000"/>
                <w:sz w:val="14"/>
              </w:rPr>
              <w:t>1,0 %</w:t>
            </w:r>
          </w:p>
        </w:tc>
        <w:tc>
          <w:tcPr>
            <w:tcW w:w="707" w:type="pct"/>
            <w:tcBorders>
              <w:top w:val="single" w:sz="8" w:space="0" w:color="auto"/>
              <w:left w:val="nil"/>
              <w:bottom w:val="single" w:sz="8"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b/>
                <w:bCs/>
                <w:noProof/>
                <w:color w:val="000000"/>
                <w:sz w:val="14"/>
                <w:szCs w:val="18"/>
              </w:rPr>
            </w:pPr>
            <w:r>
              <w:rPr>
                <w:rFonts w:ascii="Verdana" w:hAnsi="Verdana"/>
                <w:b/>
                <w:noProof/>
                <w:color w:val="000000"/>
                <w:sz w:val="14"/>
              </w:rPr>
              <w:t>0,7 %</w:t>
            </w:r>
          </w:p>
        </w:tc>
        <w:tc>
          <w:tcPr>
            <w:tcW w:w="686" w:type="pct"/>
            <w:tcBorders>
              <w:top w:val="single" w:sz="8" w:space="0" w:color="auto"/>
              <w:left w:val="nil"/>
              <w:bottom w:val="single" w:sz="8"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b/>
                <w:bCs/>
                <w:noProof/>
                <w:color w:val="000000"/>
                <w:sz w:val="14"/>
                <w:szCs w:val="18"/>
              </w:rPr>
            </w:pPr>
            <w:r>
              <w:rPr>
                <w:rFonts w:ascii="Verdana" w:hAnsi="Verdana"/>
                <w:b/>
                <w:noProof/>
                <w:color w:val="000000"/>
                <w:sz w:val="14"/>
              </w:rPr>
              <w:t>4,0 %</w:t>
            </w:r>
          </w:p>
        </w:tc>
        <w:tc>
          <w:tcPr>
            <w:tcW w:w="856" w:type="pct"/>
            <w:tcBorders>
              <w:top w:val="single" w:sz="8" w:space="0" w:color="auto"/>
              <w:left w:val="nil"/>
              <w:bottom w:val="single" w:sz="8" w:space="0" w:color="auto"/>
              <w:right w:val="single" w:sz="8" w:space="0" w:color="auto"/>
            </w:tcBorders>
            <w:shd w:val="clear" w:color="auto" w:fill="auto"/>
            <w:noWrap/>
            <w:vAlign w:val="center"/>
            <w:hideMark/>
          </w:tcPr>
          <w:p>
            <w:pPr>
              <w:spacing w:after="0" w:line="240" w:lineRule="auto"/>
              <w:jc w:val="center"/>
              <w:rPr>
                <w:rFonts w:ascii="Verdana" w:eastAsia="Times New Roman" w:hAnsi="Verdana" w:cs="Times New Roman"/>
                <w:b/>
                <w:bCs/>
                <w:noProof/>
                <w:color w:val="000000"/>
                <w:sz w:val="14"/>
                <w:szCs w:val="18"/>
              </w:rPr>
            </w:pPr>
            <w:r>
              <w:rPr>
                <w:rFonts w:ascii="Verdana" w:hAnsi="Verdana"/>
                <w:b/>
                <w:noProof/>
                <w:color w:val="000000"/>
                <w:sz w:val="14"/>
              </w:rPr>
              <w:t>4,4 %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AT</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8,1 %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–0,6 %</w:t>
            </w:r>
          </w:p>
        </w:tc>
        <w:tc>
          <w:tcPr>
            <w:tcW w:w="532"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–4,0 %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5,7 %</w:t>
            </w:r>
          </w:p>
        </w:tc>
        <w:tc>
          <w:tcPr>
            <w:tcW w:w="70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595959"/>
                <w:sz w:val="14"/>
                <w:szCs w:val="18"/>
              </w:rPr>
            </w:pPr>
            <w:r>
              <w:rPr>
                <w:rFonts w:ascii="Verdana" w:hAnsi="Verdana"/>
                <w:noProof/>
                <w:color w:val="595959"/>
                <w:sz w:val="14"/>
              </w:rPr>
              <w:t>2,1 %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–2,5 %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5,0 %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BE</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3,0 %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–4,5 %</w:t>
            </w:r>
          </w:p>
        </w:tc>
        <w:tc>
          <w:tcPr>
            <w:tcW w:w="532"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21,2 %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5,5 %</w:t>
            </w:r>
          </w:p>
        </w:tc>
        <w:tc>
          <w:tcPr>
            <w:tcW w:w="70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595959"/>
                <w:sz w:val="14"/>
                <w:szCs w:val="18"/>
              </w:rPr>
            </w:pPr>
            <w:r>
              <w:rPr>
                <w:rFonts w:ascii="Verdana" w:hAnsi="Verdana"/>
                <w:noProof/>
                <w:color w:val="595959"/>
                <w:sz w:val="14"/>
              </w:rPr>
              <w:t>–1,6 %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2,4 %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0,7 %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BG</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–0,1 %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–19,5 %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–61,4 %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2,2 %</w:t>
            </w:r>
          </w:p>
        </w:tc>
        <w:tc>
          <w:tcPr>
            <w:tcW w:w="70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–7,7 %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–19,2 %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2,8 %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CH</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–0,5 %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532"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6,6 %</w:t>
            </w:r>
          </w:p>
        </w:tc>
        <w:tc>
          <w:tcPr>
            <w:tcW w:w="70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w:t>
            </w:r>
          </w:p>
        </w:tc>
        <w:tc>
          <w:tcPr>
            <w:tcW w:w="686"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CY</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3,2 %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–2,6 %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20,1 %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–4,7 %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13,3 %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–4,5 %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9,8 %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CZ</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3,2 %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12,7 %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–10,2 %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2,2 %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–8,4 %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–0,5 %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5,6 %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DE</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2,6 %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6,3 %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85,5 %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4,1 %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–0,6 %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DK</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7,1 %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–7,1 %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13,3 %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6,9 %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1,9 %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–21,2 %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8,5 %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EE</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4,6 %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17,4 %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–18,0 %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595959"/>
                <w:sz w:val="14"/>
                <w:szCs w:val="18"/>
              </w:rPr>
            </w:pPr>
            <w:r>
              <w:rPr>
                <w:rFonts w:ascii="Verdana" w:hAnsi="Verdana"/>
                <w:noProof/>
                <w:color w:val="595959"/>
                <w:sz w:val="14"/>
              </w:rPr>
              <w:t>3,3 %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15,9 %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47,0 %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6,3 %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EL</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–1,9 %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–21,5 %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–44,7 %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595959"/>
                <w:sz w:val="14"/>
                <w:szCs w:val="18"/>
              </w:rPr>
            </w:pPr>
            <w:r>
              <w:rPr>
                <w:rFonts w:ascii="Verdana" w:hAnsi="Verdana"/>
                <w:noProof/>
                <w:color w:val="595959"/>
                <w:sz w:val="14"/>
              </w:rPr>
              <w:t>2,9 %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–27,8 %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–35,9 %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6,9 %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ES</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3,5 %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9,2 %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19,9 %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0,7 %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2,9 %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13,7 %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5,9 %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FI</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2,9 %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2,0 %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169,9 %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2,6 %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–6,2 %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–11,6 %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11,0 %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FR</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3,3 %</w:t>
            </w:r>
          </w:p>
        </w:tc>
        <w:tc>
          <w:tcPr>
            <w:tcW w:w="602"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8,7 %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–4,6 %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2,5 %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2,2 %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–0,3 %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HR</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7,1 %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–22,6 %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12,8 %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2,3 %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–26,2 %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–34,3 %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–0,7 %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HU</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3,6 %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112,3 %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31,9 %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12,4 %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–17,6 %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–12,0 %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3,8 %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IE</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7,0 %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–16,6 %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–35,6 %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–10,0 %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-4,7 %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–13,2 %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IS</w:t>
            </w:r>
          </w:p>
        </w:tc>
        <w:tc>
          <w:tcPr>
            <w:tcW w:w="653" w:type="pct"/>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0,0 %</w:t>
            </w:r>
          </w:p>
        </w:tc>
        <w:tc>
          <w:tcPr>
            <w:tcW w:w="602"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0,4 %</w:t>
            </w:r>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IT</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3,6 %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0,8 %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21,9 %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2,0 %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12,3 %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16,7 %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3,4 %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LT</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4,4 %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–5,4 %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21,3 %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9,7 %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–35,0 %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–33,0 %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7,5 %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LU</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9,7 %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9,6 %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42,6 %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25,3 %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16,5 %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–3,8 %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LV</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3,3 %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–8,8 %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65,7 %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6,3 %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–2,9 %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–11,1 %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35,5 %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MT</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17,3 %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33,2 %</w:t>
            </w:r>
          </w:p>
        </w:tc>
        <w:tc>
          <w:tcPr>
            <w:tcW w:w="532"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–22,6 %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–10,3 %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31,3 %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15,5 %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NL</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4,6 %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4,3 %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5,0 %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14,7 %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3,8 %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NO</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8,2 %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–2,5 %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6,1 %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3,1 %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5,5 %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–0,5 %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0,5 %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PL</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4,2 %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1,7 %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3,0 %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0,2 %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7,3 %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2,4 %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PT</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6,0 %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21,0 %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–5,4 %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1,3 %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–1,5 %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–12,8 %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4,3 %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RO</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3,5 %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24,3 %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19,9 %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22,3 %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57,5 %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4,0 %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8,4 %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RS</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2,6 %</w:t>
            </w:r>
          </w:p>
        </w:tc>
        <w:tc>
          <w:tcPr>
            <w:tcW w:w="602"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–49,5 %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70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138,8 %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–1,0 %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SE</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4,8 %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1,8 %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–43,8 %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4,2 %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–6,7 %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4,9 %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SI</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–0,1 %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22,3 %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–9,0 %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7,6 %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–11,5 %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8,1 %</w:t>
            </w:r>
          </w:p>
        </w:tc>
      </w:tr>
      <w:tr>
        <w:trPr>
          <w:trHeight w:val="26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SK</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5,6 %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125,8 %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–9,3 %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0,1 %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0,2 %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6,1 %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9,0 %</w:t>
            </w:r>
          </w:p>
        </w:tc>
      </w:tr>
      <w:tr>
        <w:trPr>
          <w:trHeight w:val="260"/>
        </w:trPr>
        <w:tc>
          <w:tcPr>
            <w:tcW w:w="390" w:type="pct"/>
            <w:tcBorders>
              <w:top w:val="nil"/>
              <w:left w:val="single" w:sz="8" w:space="0" w:color="auto"/>
              <w:bottom w:val="single" w:sz="8"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UK</w:t>
            </w:r>
          </w:p>
        </w:tc>
        <w:tc>
          <w:tcPr>
            <w:tcW w:w="653" w:type="pct"/>
            <w:tcBorders>
              <w:top w:val="nil"/>
              <w:left w:val="single" w:sz="4" w:space="0" w:color="auto"/>
              <w:bottom w:val="single" w:sz="8"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1,0 %</w:t>
            </w:r>
          </w:p>
        </w:tc>
        <w:tc>
          <w:tcPr>
            <w:tcW w:w="602" w:type="pct"/>
            <w:tcBorders>
              <w:top w:val="nil"/>
              <w:left w:val="nil"/>
              <w:bottom w:val="single" w:sz="8"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5,1 %</w:t>
            </w:r>
          </w:p>
        </w:tc>
        <w:tc>
          <w:tcPr>
            <w:tcW w:w="532" w:type="pct"/>
            <w:tcBorders>
              <w:top w:val="nil"/>
              <w:left w:val="nil"/>
              <w:bottom w:val="single" w:sz="8"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–10,5 %</w:t>
            </w:r>
          </w:p>
        </w:tc>
        <w:tc>
          <w:tcPr>
            <w:tcW w:w="574" w:type="pct"/>
            <w:tcBorders>
              <w:top w:val="nil"/>
              <w:left w:val="nil"/>
              <w:bottom w:val="single" w:sz="8"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707" w:type="pct"/>
            <w:tcBorders>
              <w:top w:val="nil"/>
              <w:left w:val="nil"/>
              <w:bottom w:val="single" w:sz="8"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–1,8 %</w:t>
            </w:r>
          </w:p>
        </w:tc>
        <w:tc>
          <w:tcPr>
            <w:tcW w:w="686" w:type="pct"/>
            <w:tcBorders>
              <w:top w:val="nil"/>
              <w:left w:val="nil"/>
              <w:bottom w:val="single" w:sz="8"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7,8 %</w:t>
            </w:r>
          </w:p>
        </w:tc>
        <w:tc>
          <w:tcPr>
            <w:tcW w:w="856" w:type="pct"/>
            <w:tcBorders>
              <w:top w:val="nil"/>
              <w:left w:val="nil"/>
              <w:bottom w:val="single" w:sz="8"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6,6 %</w:t>
            </w:r>
          </w:p>
        </w:tc>
      </w:tr>
    </w:tbl>
    <w:p>
      <w:pPr>
        <w:rPr>
          <w:noProof/>
          <w:sz w:val="16"/>
        </w:rPr>
      </w:pPr>
    </w:p>
    <w:sectPr>
      <w:headerReference w:type="even" r:id="rId28"/>
      <w:headerReference w:type="default" r:id="rId29"/>
      <w:footerReference w:type="even" r:id="rId30"/>
      <w:footerReference w:type="default" r:id="rId31"/>
      <w:headerReference w:type="first" r:id="rId32"/>
      <w:footerReference w:type="first" r:id="rId33"/>
      <w:pgSz w:w="16838" w:h="11906" w:orient="landscape"/>
      <w:pgMar w:top="709" w:right="1103" w:bottom="567" w:left="1417" w:header="568" w:footer="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0B451" w16cid:durableId="1F7C2FA7"/>
  <w16cid:commentId w16cid:paraId="1FA52B3F" w16cid:durableId="1F7C3D9D"/>
  <w16cid:commentId w16cid:paraId="7E8A695F" w16cid:durableId="1F7C429D"/>
  <w16cid:commentId w16cid:paraId="3AB231FC" w16cid:durableId="1F7C389A"/>
  <w16cid:commentId w16cid:paraId="613470FA" w16cid:durableId="1F7C38CC"/>
  <w16cid:commentId w16cid:paraId="433D18A8" w16cid:durableId="1F7C3F68"/>
  <w16cid:commentId w16cid:paraId="5B3AA263" w16cid:durableId="1F7C3FAA"/>
  <w16cid:commentId w16cid:paraId="2A3B97F5" w16cid:durableId="1F7C402D"/>
  <w16cid:commentId w16cid:paraId="6638582C" w16cid:durableId="1F7C415E"/>
  <w16cid:commentId w16cid:paraId="1EF9B32F" w16cid:durableId="1F7C41C8"/>
  <w16cid:commentId w16cid:paraId="72484177" w16cid:durableId="1F7C41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44078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49298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95894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Komisija EMTE pažangos ataskaitą teikia kas dvejus metus. Joje aprašoma politikos pažanga, padaryta nuo 2016 m. vidurio (2016 m. EMTE pažangos ataskaitos galutinė data) iki 2018 m. vidurio (2018 m. EMTE pažangos ataskaitos galutinė data). Vis dėlto informacija apie rodiklius gaunama tik praėjus tam tikram laikui. Todėl dauguma šioje ataskaitoje pateikiamų rodiklių grindžiami ankstesnių metų duomenimis.</w:t>
      </w:r>
    </w:p>
  </w:footnote>
  <w:footnote w:id="3">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Šioje ataskaitoje pateikiamos išvados grindžiamos įmonės „Science-Metrix“ ataskaita „2018 m. EMTE stebėsenai skirtas duomenų rinkimas ir informacija“ (angl. </w:t>
      </w:r>
      <w:r>
        <w:rPr>
          <w:rFonts w:ascii="Times New Roman" w:hAnsi="Times New Roman"/>
          <w:i/>
        </w:rPr>
        <w:t>Data gathering and information for 2018 ERA monitoring</w:t>
      </w:r>
      <w:r>
        <w:rPr>
          <w:rFonts w:ascii="Times New Roman" w:hAnsi="Times New Roman"/>
        </w:rPr>
        <w:t>), kurioje taip pat pateikiamos pagrindinių rodiklių apibrėžtys. Dėl turimų statistinių duomenų reikėjo pakoreguoti keleto rodiklių apibrėžtis.</w:t>
      </w:r>
    </w:p>
  </w:footnote>
  <w:footnote w:id="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Dok. Nr. 14516/18.</w:t>
      </w:r>
    </w:p>
  </w:footnote>
  <w:footnote w:id="5">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Dok. Nr. 9351/15.</w:t>
      </w:r>
    </w:p>
  </w:footnote>
  <w:footnote w:id="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Techninė ataskaita, 4 lentelė.</w:t>
      </w:r>
    </w:p>
  </w:footnote>
  <w:footnote w:id="7">
    <w:p>
      <w:pPr>
        <w:pStyle w:val="FootnoteText"/>
        <w:jc w:val="both"/>
      </w:pPr>
      <w:r>
        <w:rPr>
          <w:rStyle w:val="FootnoteReference"/>
          <w:rFonts w:ascii="Times New Roman" w:hAnsi="Times New Roman"/>
        </w:rPr>
        <w:footnoteRef/>
      </w:r>
      <w:r>
        <w:rPr>
          <w:rFonts w:ascii="Times New Roman" w:hAnsi="Times New Roman"/>
        </w:rPr>
        <w:t xml:space="preserve"> Techninė ataskaita, 5 lentelė.</w:t>
      </w:r>
    </w:p>
  </w:footnote>
  <w:footnote w:id="8">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EMTE priklausančios šalys – tai ES valstybės narės ir bendrosios programos asocijuotosios šalys.</w:t>
      </w:r>
    </w:p>
  </w:footnote>
  <w:footnote w:id="9">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Techninė ataskaita, p. 46. Įvairiais metais pavienių šalių augimo koeficientams gali būti būdingi dideli svyravimai.</w:t>
      </w:r>
    </w:p>
  </w:footnote>
  <w:footnote w:id="1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ERA-NET bendrojo finansavimo veiksmai, Europos bendros programos bendras fondas, SESV 185 straipsniu grindžiamos iniciatyvos, bendro programavimo iniciatyvos.</w:t>
      </w:r>
    </w:p>
  </w:footnote>
  <w:footnote w:id="11">
    <w:p>
      <w:pPr>
        <w:pStyle w:val="FootnoteText"/>
        <w:jc w:val="both"/>
      </w:pPr>
      <w:r>
        <w:rPr>
          <w:rStyle w:val="FootnoteReference"/>
          <w:rFonts w:ascii="Times New Roman" w:hAnsi="Times New Roman"/>
        </w:rPr>
        <w:footnoteRef/>
      </w:r>
      <w:r>
        <w:rPr>
          <w:rFonts w:ascii="Times New Roman" w:hAnsi="Times New Roman"/>
        </w:rPr>
        <w:t xml:space="preserve"> Techninė ataskaita, p. 46.</w:t>
      </w:r>
    </w:p>
  </w:footnote>
  <w:footnote w:id="1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Dok. Nr. 15320/17.</w:t>
      </w:r>
    </w:p>
  </w:footnote>
  <w:footnote w:id="13">
    <w:p>
      <w:pPr>
        <w:pStyle w:val="FootnoteText"/>
      </w:pPr>
      <w:r>
        <w:rPr>
          <w:rStyle w:val="FootnoteReference"/>
          <w:rFonts w:ascii="Times New Roman" w:hAnsi="Times New Roman"/>
        </w:rPr>
        <w:footnoteRef/>
      </w:r>
      <w:r>
        <w:rPr>
          <w:rFonts w:ascii="Times New Roman" w:hAnsi="Times New Roman"/>
        </w:rPr>
        <w:t xml:space="preserve"> Techninė ataskaita, p. 66.</w:t>
      </w:r>
    </w:p>
  </w:footnote>
  <w:footnote w:id="1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Techninė ataskaita, 15 lentelė.</w:t>
      </w:r>
    </w:p>
  </w:footnote>
  <w:footnote w:id="15">
    <w:p>
      <w:pPr>
        <w:pStyle w:val="FootnoteText"/>
        <w:jc w:val="both"/>
      </w:pPr>
      <w:r>
        <w:rPr>
          <w:rStyle w:val="FootnoteReference"/>
          <w:rFonts w:ascii="Times New Roman" w:hAnsi="Times New Roman"/>
        </w:rPr>
        <w:footnoteRef/>
      </w:r>
      <w:r>
        <w:rPr>
          <w:rFonts w:ascii="Times New Roman" w:hAnsi="Times New Roman"/>
        </w:rPr>
        <w:t xml:space="preserve"> Nustatyti trys tikslai: 1) šalinti kliūtis, trukdančias įdarbinti tyrėjas ir užtikrinti jų karjeros raidą; 2) šalinti lyčių nelygybę sprendimų priėmimo procesuose; 3) stiprinti lyčių aspektą atliekant mokslinius tyrimus.</w:t>
      </w:r>
    </w:p>
  </w:footnote>
  <w:footnote w:id="16">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ES 2016–2019 m. strateginiai įsipareigojimai siekiant lyčių lygybės, https://ec.europa.eu/anti-trafficking/eu-policy/strategic-engagement-gender-equality-2016-2019_en.</w:t>
      </w:r>
    </w:p>
  </w:footnote>
  <w:footnote w:id="17">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Techninė ataskaita, p. 76.</w:t>
      </w:r>
    </w:p>
  </w:footnote>
  <w:footnote w:id="18">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Peržiūrėta 2018 m. balandžio mėn.</w:t>
      </w:r>
    </w:p>
  </w:footnote>
  <w:footnote w:id="19">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Techninė ataskaita, 18 lentelė.</w:t>
      </w:r>
    </w:p>
  </w:footnote>
  <w:footnote w:id="20">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Techninė ataskaita, p. 86.</w:t>
      </w:r>
    </w:p>
  </w:footnote>
  <w:footnote w:id="21">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Techninė ataskaita, 28 lentelė.</w:t>
      </w:r>
    </w:p>
  </w:footnote>
  <w:footnote w:id="2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Norėdami palyginti pagrindinių rodiklių augimo koeficientus su ankstesniu ataskaitiniu laikotarpiu, žr. 2016 m. EMTE pažangos ataskaitą, pateikiamą adresu http://ec.europa.eu/research/era/pdf/era_progress_report2016/era_progress_report_2016_com.pdf.</w:t>
      </w:r>
    </w:p>
  </w:footnote>
  <w:footnote w:id="23">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Žr. techninę ataskaitą.</w:t>
      </w:r>
    </w:p>
  </w:footnote>
  <w:footnote w:id="2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https://rio.jrc.ec.europa.eu/en/policy-support-facility.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535"/>
        <w:tab w:val="clear" w:pos="9071"/>
        <w:tab w:val="left" w:pos="1089"/>
      </w:tabs>
    </w:pPr>
    <w:r>
      <w:rPr>
        <w:b/>
      </w:rPr>
      <w:t>1 lentelė.</w:t>
    </w:r>
    <w:r>
      <w:t xml:space="preserve"> </w:t>
    </w:r>
    <w:sdt>
      <w:sdtPr>
        <w:id w:val="2037840432"/>
        <w:docPartObj>
          <w:docPartGallery w:val="Watermarks"/>
          <w:docPartUnique/>
        </w:docPartObj>
      </w:sdtPr>
      <w:sdtContent/>
    </w:sdt>
    <w:r>
      <w:rPr>
        <w:b/>
      </w:rPr>
      <w:t>EMTE pagrindinių rodiklių augimo koeficientų apžvalga</w:t>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1DDE"/>
    <w:multiLevelType w:val="hybridMultilevel"/>
    <w:tmpl w:val="EA7653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5837A2"/>
    <w:multiLevelType w:val="hybridMultilevel"/>
    <w:tmpl w:val="0D56E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FE4A79"/>
    <w:multiLevelType w:val="hybridMultilevel"/>
    <w:tmpl w:val="D236D812"/>
    <w:lvl w:ilvl="0" w:tplc="D9947D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582A0B"/>
    <w:multiLevelType w:val="hybridMultilevel"/>
    <w:tmpl w:val="335A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250902"/>
    <w:multiLevelType w:val="hybridMultilevel"/>
    <w:tmpl w:val="6D3403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D834FA"/>
    <w:multiLevelType w:val="hybridMultilevel"/>
    <w:tmpl w:val="6A62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345330"/>
    <w:multiLevelType w:val="hybridMultilevel"/>
    <w:tmpl w:val="B5B6A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93365C"/>
    <w:multiLevelType w:val="hybridMultilevel"/>
    <w:tmpl w:val="5AB06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8A443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C5A26F2"/>
    <w:multiLevelType w:val="hybridMultilevel"/>
    <w:tmpl w:val="A6407792"/>
    <w:lvl w:ilvl="0" w:tplc="040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FBC6AA1"/>
    <w:multiLevelType w:val="multilevel"/>
    <w:tmpl w:val="2AF68E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
    <w:nsid w:val="75F63064"/>
    <w:multiLevelType w:val="hybridMultilevel"/>
    <w:tmpl w:val="44CE295C"/>
    <w:lvl w:ilvl="0" w:tplc="A82AFE52">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BDA3B35"/>
    <w:multiLevelType w:val="hybridMultilevel"/>
    <w:tmpl w:val="6678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0"/>
  </w:num>
  <w:num w:numId="5">
    <w:abstractNumId w:val="4"/>
  </w:num>
  <w:num w:numId="6">
    <w:abstractNumId w:val="5"/>
  </w:num>
  <w:num w:numId="7">
    <w:abstractNumId w:val="11"/>
  </w:num>
  <w:num w:numId="8">
    <w:abstractNumId w:val="10"/>
  </w:num>
  <w:num w:numId="9">
    <w:abstractNumId w:val="8"/>
  </w:num>
  <w:num w:numId="10">
    <w:abstractNumId w:val="1"/>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C0B92120-ADAF-42E6-9776-AC719758EF90"/>
    <w:docVar w:name="LW_COVERPAGE_TYPE" w:val="1"/>
    <w:docVar w:name="LW_CROSSREFERENCE" w:val="&lt;UNUSED&gt;"/>
    <w:docVar w:name="LW_DocType" w:val="NORMAL"/>
    <w:docVar w:name="LW_EMISSION" w:val="2019 02 15"/>
    <w:docVar w:name="LW_EMISSION_ISODATE" w:val="2019-02-15"/>
    <w:docVar w:name="LW_EMISSION_LOCATION" w:val="BRX"/>
    <w:docVar w:name="LW_EMISSION_PREFIX" w:val="Briuselis, "/>
    <w:docVar w:name="LW_EMISSION_SUFFIX" w:val=" "/>
    <w:docVar w:name="LW_ID_DOCTYPE_NONLW" w:val="CP-005"/>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9) 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Europos mokslini\u371? tyrim\u371? erdv\u279?. Tolesnis bendras mokslini\u371? tyrim\u371? ir inovacij\u371? Europos k\u363?rimas&lt;/FMT&gt;_x000b_"/>
    <w:docVar w:name="LW_TYPE.DOC.CP" w:val="KOMISIJOS ATASKAITA TARYBAI IR EUROPOS PARLAMENTUI"/>
    <w:docVar w:name="Stamp" w:val="\\dossiers.dgt.cec.eu.int\dossiers\RTD\RTD-2018-00108\RTD-2018-00108-00-00-EN-EDT-00.201901040946080775431.DOCX"/>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uiPriority w:val="99"/>
    <w:semiHidden/>
    <w:unhideWhenUsed/>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uiPriority w:val="99"/>
    <w:semiHidden/>
    <w:rPr>
      <w:rFonts w:ascii="Calibri" w:eastAsia="Times New Roman" w:hAnsi="Calibri" w:cs="Times New Roman"/>
      <w:sz w:val="20"/>
      <w:szCs w:val="20"/>
      <w:lang w:eastAsia="lt-LT"/>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6844">
      <w:bodyDiv w:val="1"/>
      <w:marLeft w:val="0"/>
      <w:marRight w:val="0"/>
      <w:marTop w:val="0"/>
      <w:marBottom w:val="0"/>
      <w:divBdr>
        <w:top w:val="none" w:sz="0" w:space="0" w:color="auto"/>
        <w:left w:val="none" w:sz="0" w:space="0" w:color="auto"/>
        <w:bottom w:val="none" w:sz="0" w:space="0" w:color="auto"/>
        <w:right w:val="none" w:sz="0" w:space="0" w:color="auto"/>
      </w:divBdr>
      <w:divsChild>
        <w:div w:id="158352317">
          <w:marLeft w:val="0"/>
          <w:marRight w:val="0"/>
          <w:marTop w:val="0"/>
          <w:marBottom w:val="0"/>
          <w:divBdr>
            <w:top w:val="none" w:sz="0" w:space="0" w:color="auto"/>
            <w:left w:val="none" w:sz="0" w:space="0" w:color="auto"/>
            <w:bottom w:val="none" w:sz="0" w:space="0" w:color="auto"/>
            <w:right w:val="none" w:sz="0" w:space="0" w:color="auto"/>
          </w:divBdr>
        </w:div>
        <w:div w:id="1435830949">
          <w:marLeft w:val="0"/>
          <w:marRight w:val="0"/>
          <w:marTop w:val="0"/>
          <w:marBottom w:val="0"/>
          <w:divBdr>
            <w:top w:val="none" w:sz="0" w:space="0" w:color="auto"/>
            <w:left w:val="none" w:sz="0" w:space="0" w:color="auto"/>
            <w:bottom w:val="none" w:sz="0" w:space="0" w:color="auto"/>
            <w:right w:val="none" w:sz="0" w:space="0" w:color="auto"/>
          </w:divBdr>
        </w:div>
        <w:div w:id="1857114481">
          <w:marLeft w:val="0"/>
          <w:marRight w:val="0"/>
          <w:marTop w:val="0"/>
          <w:marBottom w:val="0"/>
          <w:divBdr>
            <w:top w:val="none" w:sz="0" w:space="0" w:color="auto"/>
            <w:left w:val="none" w:sz="0" w:space="0" w:color="auto"/>
            <w:bottom w:val="none" w:sz="0" w:space="0" w:color="auto"/>
            <w:right w:val="none" w:sz="0" w:space="0" w:color="auto"/>
          </w:divBdr>
        </w:div>
        <w:div w:id="1910849304">
          <w:marLeft w:val="0"/>
          <w:marRight w:val="0"/>
          <w:marTop w:val="0"/>
          <w:marBottom w:val="0"/>
          <w:divBdr>
            <w:top w:val="none" w:sz="0" w:space="0" w:color="auto"/>
            <w:left w:val="none" w:sz="0" w:space="0" w:color="auto"/>
            <w:bottom w:val="none" w:sz="0" w:space="0" w:color="auto"/>
            <w:right w:val="none" w:sz="0" w:space="0" w:color="auto"/>
          </w:divBdr>
        </w:div>
        <w:div w:id="363946133">
          <w:marLeft w:val="0"/>
          <w:marRight w:val="0"/>
          <w:marTop w:val="0"/>
          <w:marBottom w:val="0"/>
          <w:divBdr>
            <w:top w:val="none" w:sz="0" w:space="0" w:color="auto"/>
            <w:left w:val="none" w:sz="0" w:space="0" w:color="auto"/>
            <w:bottom w:val="none" w:sz="0" w:space="0" w:color="auto"/>
            <w:right w:val="none" w:sz="0" w:space="0" w:color="auto"/>
          </w:divBdr>
        </w:div>
        <w:div w:id="1410421537">
          <w:marLeft w:val="0"/>
          <w:marRight w:val="0"/>
          <w:marTop w:val="0"/>
          <w:marBottom w:val="0"/>
          <w:divBdr>
            <w:top w:val="none" w:sz="0" w:space="0" w:color="auto"/>
            <w:left w:val="none" w:sz="0" w:space="0" w:color="auto"/>
            <w:bottom w:val="none" w:sz="0" w:space="0" w:color="auto"/>
            <w:right w:val="none" w:sz="0" w:space="0" w:color="auto"/>
          </w:divBdr>
        </w:div>
        <w:div w:id="774905263">
          <w:marLeft w:val="0"/>
          <w:marRight w:val="0"/>
          <w:marTop w:val="0"/>
          <w:marBottom w:val="0"/>
          <w:divBdr>
            <w:top w:val="none" w:sz="0" w:space="0" w:color="auto"/>
            <w:left w:val="none" w:sz="0" w:space="0" w:color="auto"/>
            <w:bottom w:val="none" w:sz="0" w:space="0" w:color="auto"/>
            <w:right w:val="none" w:sz="0" w:space="0" w:color="auto"/>
          </w:divBdr>
        </w:div>
        <w:div w:id="1525898464">
          <w:marLeft w:val="0"/>
          <w:marRight w:val="0"/>
          <w:marTop w:val="0"/>
          <w:marBottom w:val="0"/>
          <w:divBdr>
            <w:top w:val="none" w:sz="0" w:space="0" w:color="auto"/>
            <w:left w:val="none" w:sz="0" w:space="0" w:color="auto"/>
            <w:bottom w:val="none" w:sz="0" w:space="0" w:color="auto"/>
            <w:right w:val="none" w:sz="0" w:space="0" w:color="auto"/>
          </w:divBdr>
        </w:div>
        <w:div w:id="397171069">
          <w:marLeft w:val="0"/>
          <w:marRight w:val="0"/>
          <w:marTop w:val="0"/>
          <w:marBottom w:val="0"/>
          <w:divBdr>
            <w:top w:val="none" w:sz="0" w:space="0" w:color="auto"/>
            <w:left w:val="none" w:sz="0" w:space="0" w:color="auto"/>
            <w:bottom w:val="none" w:sz="0" w:space="0" w:color="auto"/>
            <w:right w:val="none" w:sz="0" w:space="0" w:color="auto"/>
          </w:divBdr>
        </w:div>
        <w:div w:id="682362800">
          <w:marLeft w:val="0"/>
          <w:marRight w:val="0"/>
          <w:marTop w:val="0"/>
          <w:marBottom w:val="0"/>
          <w:divBdr>
            <w:top w:val="none" w:sz="0" w:space="0" w:color="auto"/>
            <w:left w:val="none" w:sz="0" w:space="0" w:color="auto"/>
            <w:bottom w:val="none" w:sz="0" w:space="0" w:color="auto"/>
            <w:right w:val="none" w:sz="0" w:space="0" w:color="auto"/>
          </w:divBdr>
        </w:div>
      </w:divsChild>
    </w:div>
    <w:div w:id="144322829">
      <w:bodyDiv w:val="1"/>
      <w:marLeft w:val="0"/>
      <w:marRight w:val="0"/>
      <w:marTop w:val="0"/>
      <w:marBottom w:val="0"/>
      <w:divBdr>
        <w:top w:val="none" w:sz="0" w:space="0" w:color="auto"/>
        <w:left w:val="none" w:sz="0" w:space="0" w:color="auto"/>
        <w:bottom w:val="none" w:sz="0" w:space="0" w:color="auto"/>
        <w:right w:val="none" w:sz="0" w:space="0" w:color="auto"/>
      </w:divBdr>
    </w:div>
    <w:div w:id="231737678">
      <w:bodyDiv w:val="1"/>
      <w:marLeft w:val="0"/>
      <w:marRight w:val="0"/>
      <w:marTop w:val="0"/>
      <w:marBottom w:val="0"/>
      <w:divBdr>
        <w:top w:val="none" w:sz="0" w:space="0" w:color="auto"/>
        <w:left w:val="none" w:sz="0" w:space="0" w:color="auto"/>
        <w:bottom w:val="none" w:sz="0" w:space="0" w:color="auto"/>
        <w:right w:val="none" w:sz="0" w:space="0" w:color="auto"/>
      </w:divBdr>
    </w:div>
    <w:div w:id="375160115">
      <w:bodyDiv w:val="1"/>
      <w:marLeft w:val="0"/>
      <w:marRight w:val="0"/>
      <w:marTop w:val="0"/>
      <w:marBottom w:val="0"/>
      <w:divBdr>
        <w:top w:val="none" w:sz="0" w:space="0" w:color="auto"/>
        <w:left w:val="none" w:sz="0" w:space="0" w:color="auto"/>
        <w:bottom w:val="none" w:sz="0" w:space="0" w:color="auto"/>
        <w:right w:val="none" w:sz="0" w:space="0" w:color="auto"/>
      </w:divBdr>
    </w:div>
    <w:div w:id="424112161">
      <w:bodyDiv w:val="1"/>
      <w:marLeft w:val="0"/>
      <w:marRight w:val="0"/>
      <w:marTop w:val="0"/>
      <w:marBottom w:val="0"/>
      <w:divBdr>
        <w:top w:val="none" w:sz="0" w:space="0" w:color="auto"/>
        <w:left w:val="none" w:sz="0" w:space="0" w:color="auto"/>
        <w:bottom w:val="none" w:sz="0" w:space="0" w:color="auto"/>
        <w:right w:val="none" w:sz="0" w:space="0" w:color="auto"/>
      </w:divBdr>
    </w:div>
    <w:div w:id="440730982">
      <w:bodyDiv w:val="1"/>
      <w:marLeft w:val="0"/>
      <w:marRight w:val="0"/>
      <w:marTop w:val="0"/>
      <w:marBottom w:val="0"/>
      <w:divBdr>
        <w:top w:val="none" w:sz="0" w:space="0" w:color="auto"/>
        <w:left w:val="none" w:sz="0" w:space="0" w:color="auto"/>
        <w:bottom w:val="none" w:sz="0" w:space="0" w:color="auto"/>
        <w:right w:val="none" w:sz="0" w:space="0" w:color="auto"/>
      </w:divBdr>
    </w:div>
    <w:div w:id="646667691">
      <w:bodyDiv w:val="1"/>
      <w:marLeft w:val="0"/>
      <w:marRight w:val="0"/>
      <w:marTop w:val="0"/>
      <w:marBottom w:val="0"/>
      <w:divBdr>
        <w:top w:val="none" w:sz="0" w:space="0" w:color="auto"/>
        <w:left w:val="none" w:sz="0" w:space="0" w:color="auto"/>
        <w:bottom w:val="none" w:sz="0" w:space="0" w:color="auto"/>
        <w:right w:val="none" w:sz="0" w:space="0" w:color="auto"/>
      </w:divBdr>
      <w:divsChild>
        <w:div w:id="2136212082">
          <w:marLeft w:val="0"/>
          <w:marRight w:val="0"/>
          <w:marTop w:val="0"/>
          <w:marBottom w:val="0"/>
          <w:divBdr>
            <w:top w:val="none" w:sz="0" w:space="0" w:color="auto"/>
            <w:left w:val="none" w:sz="0" w:space="0" w:color="auto"/>
            <w:bottom w:val="none" w:sz="0" w:space="0" w:color="auto"/>
            <w:right w:val="none" w:sz="0" w:space="0" w:color="auto"/>
          </w:divBdr>
        </w:div>
        <w:div w:id="1549033003">
          <w:marLeft w:val="0"/>
          <w:marRight w:val="0"/>
          <w:marTop w:val="0"/>
          <w:marBottom w:val="0"/>
          <w:divBdr>
            <w:top w:val="none" w:sz="0" w:space="0" w:color="auto"/>
            <w:left w:val="none" w:sz="0" w:space="0" w:color="auto"/>
            <w:bottom w:val="none" w:sz="0" w:space="0" w:color="auto"/>
            <w:right w:val="none" w:sz="0" w:space="0" w:color="auto"/>
          </w:divBdr>
        </w:div>
        <w:div w:id="742916606">
          <w:marLeft w:val="0"/>
          <w:marRight w:val="0"/>
          <w:marTop w:val="0"/>
          <w:marBottom w:val="0"/>
          <w:divBdr>
            <w:top w:val="none" w:sz="0" w:space="0" w:color="auto"/>
            <w:left w:val="none" w:sz="0" w:space="0" w:color="auto"/>
            <w:bottom w:val="none" w:sz="0" w:space="0" w:color="auto"/>
            <w:right w:val="none" w:sz="0" w:space="0" w:color="auto"/>
          </w:divBdr>
        </w:div>
        <w:div w:id="133955736">
          <w:marLeft w:val="0"/>
          <w:marRight w:val="0"/>
          <w:marTop w:val="0"/>
          <w:marBottom w:val="0"/>
          <w:divBdr>
            <w:top w:val="none" w:sz="0" w:space="0" w:color="auto"/>
            <w:left w:val="none" w:sz="0" w:space="0" w:color="auto"/>
            <w:bottom w:val="none" w:sz="0" w:space="0" w:color="auto"/>
            <w:right w:val="none" w:sz="0" w:space="0" w:color="auto"/>
          </w:divBdr>
        </w:div>
        <w:div w:id="1400789707">
          <w:marLeft w:val="0"/>
          <w:marRight w:val="0"/>
          <w:marTop w:val="0"/>
          <w:marBottom w:val="0"/>
          <w:divBdr>
            <w:top w:val="none" w:sz="0" w:space="0" w:color="auto"/>
            <w:left w:val="none" w:sz="0" w:space="0" w:color="auto"/>
            <w:bottom w:val="none" w:sz="0" w:space="0" w:color="auto"/>
            <w:right w:val="none" w:sz="0" w:space="0" w:color="auto"/>
          </w:divBdr>
        </w:div>
        <w:div w:id="1255746507">
          <w:marLeft w:val="0"/>
          <w:marRight w:val="0"/>
          <w:marTop w:val="0"/>
          <w:marBottom w:val="0"/>
          <w:divBdr>
            <w:top w:val="none" w:sz="0" w:space="0" w:color="auto"/>
            <w:left w:val="none" w:sz="0" w:space="0" w:color="auto"/>
            <w:bottom w:val="none" w:sz="0" w:space="0" w:color="auto"/>
            <w:right w:val="none" w:sz="0" w:space="0" w:color="auto"/>
          </w:divBdr>
        </w:div>
        <w:div w:id="571626928">
          <w:marLeft w:val="0"/>
          <w:marRight w:val="0"/>
          <w:marTop w:val="0"/>
          <w:marBottom w:val="0"/>
          <w:divBdr>
            <w:top w:val="none" w:sz="0" w:space="0" w:color="auto"/>
            <w:left w:val="none" w:sz="0" w:space="0" w:color="auto"/>
            <w:bottom w:val="none" w:sz="0" w:space="0" w:color="auto"/>
            <w:right w:val="none" w:sz="0" w:space="0" w:color="auto"/>
          </w:divBdr>
        </w:div>
        <w:div w:id="1471508743">
          <w:marLeft w:val="0"/>
          <w:marRight w:val="0"/>
          <w:marTop w:val="0"/>
          <w:marBottom w:val="0"/>
          <w:divBdr>
            <w:top w:val="none" w:sz="0" w:space="0" w:color="auto"/>
            <w:left w:val="none" w:sz="0" w:space="0" w:color="auto"/>
            <w:bottom w:val="none" w:sz="0" w:space="0" w:color="auto"/>
            <w:right w:val="none" w:sz="0" w:space="0" w:color="auto"/>
          </w:divBdr>
        </w:div>
        <w:div w:id="1254899754">
          <w:marLeft w:val="0"/>
          <w:marRight w:val="0"/>
          <w:marTop w:val="0"/>
          <w:marBottom w:val="0"/>
          <w:divBdr>
            <w:top w:val="none" w:sz="0" w:space="0" w:color="auto"/>
            <w:left w:val="none" w:sz="0" w:space="0" w:color="auto"/>
            <w:bottom w:val="none" w:sz="0" w:space="0" w:color="auto"/>
            <w:right w:val="none" w:sz="0" w:space="0" w:color="auto"/>
          </w:divBdr>
        </w:div>
        <w:div w:id="707755588">
          <w:marLeft w:val="0"/>
          <w:marRight w:val="0"/>
          <w:marTop w:val="0"/>
          <w:marBottom w:val="0"/>
          <w:divBdr>
            <w:top w:val="none" w:sz="0" w:space="0" w:color="auto"/>
            <w:left w:val="none" w:sz="0" w:space="0" w:color="auto"/>
            <w:bottom w:val="none" w:sz="0" w:space="0" w:color="auto"/>
            <w:right w:val="none" w:sz="0" w:space="0" w:color="auto"/>
          </w:divBdr>
        </w:div>
        <w:div w:id="815489896">
          <w:marLeft w:val="0"/>
          <w:marRight w:val="0"/>
          <w:marTop w:val="0"/>
          <w:marBottom w:val="0"/>
          <w:divBdr>
            <w:top w:val="none" w:sz="0" w:space="0" w:color="auto"/>
            <w:left w:val="none" w:sz="0" w:space="0" w:color="auto"/>
            <w:bottom w:val="none" w:sz="0" w:space="0" w:color="auto"/>
            <w:right w:val="none" w:sz="0" w:space="0" w:color="auto"/>
          </w:divBdr>
        </w:div>
        <w:div w:id="974263983">
          <w:marLeft w:val="0"/>
          <w:marRight w:val="0"/>
          <w:marTop w:val="0"/>
          <w:marBottom w:val="0"/>
          <w:divBdr>
            <w:top w:val="none" w:sz="0" w:space="0" w:color="auto"/>
            <w:left w:val="none" w:sz="0" w:space="0" w:color="auto"/>
            <w:bottom w:val="none" w:sz="0" w:space="0" w:color="auto"/>
            <w:right w:val="none" w:sz="0" w:space="0" w:color="auto"/>
          </w:divBdr>
        </w:div>
        <w:div w:id="1442215715">
          <w:marLeft w:val="0"/>
          <w:marRight w:val="0"/>
          <w:marTop w:val="0"/>
          <w:marBottom w:val="0"/>
          <w:divBdr>
            <w:top w:val="none" w:sz="0" w:space="0" w:color="auto"/>
            <w:left w:val="none" w:sz="0" w:space="0" w:color="auto"/>
            <w:bottom w:val="none" w:sz="0" w:space="0" w:color="auto"/>
            <w:right w:val="none" w:sz="0" w:space="0" w:color="auto"/>
          </w:divBdr>
        </w:div>
        <w:div w:id="767191886">
          <w:marLeft w:val="0"/>
          <w:marRight w:val="0"/>
          <w:marTop w:val="0"/>
          <w:marBottom w:val="0"/>
          <w:divBdr>
            <w:top w:val="none" w:sz="0" w:space="0" w:color="auto"/>
            <w:left w:val="none" w:sz="0" w:space="0" w:color="auto"/>
            <w:bottom w:val="none" w:sz="0" w:space="0" w:color="auto"/>
            <w:right w:val="none" w:sz="0" w:space="0" w:color="auto"/>
          </w:divBdr>
        </w:div>
        <w:div w:id="1073312322">
          <w:marLeft w:val="0"/>
          <w:marRight w:val="0"/>
          <w:marTop w:val="0"/>
          <w:marBottom w:val="0"/>
          <w:divBdr>
            <w:top w:val="none" w:sz="0" w:space="0" w:color="auto"/>
            <w:left w:val="none" w:sz="0" w:space="0" w:color="auto"/>
            <w:bottom w:val="none" w:sz="0" w:space="0" w:color="auto"/>
            <w:right w:val="none" w:sz="0" w:space="0" w:color="auto"/>
          </w:divBdr>
        </w:div>
        <w:div w:id="116488234">
          <w:marLeft w:val="0"/>
          <w:marRight w:val="0"/>
          <w:marTop w:val="0"/>
          <w:marBottom w:val="0"/>
          <w:divBdr>
            <w:top w:val="none" w:sz="0" w:space="0" w:color="auto"/>
            <w:left w:val="none" w:sz="0" w:space="0" w:color="auto"/>
            <w:bottom w:val="none" w:sz="0" w:space="0" w:color="auto"/>
            <w:right w:val="none" w:sz="0" w:space="0" w:color="auto"/>
          </w:divBdr>
        </w:div>
        <w:div w:id="149300050">
          <w:marLeft w:val="0"/>
          <w:marRight w:val="0"/>
          <w:marTop w:val="0"/>
          <w:marBottom w:val="0"/>
          <w:divBdr>
            <w:top w:val="none" w:sz="0" w:space="0" w:color="auto"/>
            <w:left w:val="none" w:sz="0" w:space="0" w:color="auto"/>
            <w:bottom w:val="none" w:sz="0" w:space="0" w:color="auto"/>
            <w:right w:val="none" w:sz="0" w:space="0" w:color="auto"/>
          </w:divBdr>
        </w:div>
        <w:div w:id="617221579">
          <w:marLeft w:val="0"/>
          <w:marRight w:val="0"/>
          <w:marTop w:val="0"/>
          <w:marBottom w:val="0"/>
          <w:divBdr>
            <w:top w:val="none" w:sz="0" w:space="0" w:color="auto"/>
            <w:left w:val="none" w:sz="0" w:space="0" w:color="auto"/>
            <w:bottom w:val="none" w:sz="0" w:space="0" w:color="auto"/>
            <w:right w:val="none" w:sz="0" w:space="0" w:color="auto"/>
          </w:divBdr>
        </w:div>
      </w:divsChild>
    </w:div>
    <w:div w:id="733623342">
      <w:bodyDiv w:val="1"/>
      <w:marLeft w:val="0"/>
      <w:marRight w:val="0"/>
      <w:marTop w:val="0"/>
      <w:marBottom w:val="0"/>
      <w:divBdr>
        <w:top w:val="none" w:sz="0" w:space="0" w:color="auto"/>
        <w:left w:val="none" w:sz="0" w:space="0" w:color="auto"/>
        <w:bottom w:val="none" w:sz="0" w:space="0" w:color="auto"/>
        <w:right w:val="none" w:sz="0" w:space="0" w:color="auto"/>
      </w:divBdr>
    </w:div>
    <w:div w:id="896012058">
      <w:bodyDiv w:val="1"/>
      <w:marLeft w:val="0"/>
      <w:marRight w:val="0"/>
      <w:marTop w:val="0"/>
      <w:marBottom w:val="0"/>
      <w:divBdr>
        <w:top w:val="none" w:sz="0" w:space="0" w:color="auto"/>
        <w:left w:val="none" w:sz="0" w:space="0" w:color="auto"/>
        <w:bottom w:val="none" w:sz="0" w:space="0" w:color="auto"/>
        <w:right w:val="none" w:sz="0" w:space="0" w:color="auto"/>
      </w:divBdr>
    </w:div>
    <w:div w:id="1109737953">
      <w:bodyDiv w:val="1"/>
      <w:marLeft w:val="0"/>
      <w:marRight w:val="0"/>
      <w:marTop w:val="0"/>
      <w:marBottom w:val="0"/>
      <w:divBdr>
        <w:top w:val="none" w:sz="0" w:space="0" w:color="auto"/>
        <w:left w:val="none" w:sz="0" w:space="0" w:color="auto"/>
        <w:bottom w:val="none" w:sz="0" w:space="0" w:color="auto"/>
        <w:right w:val="none" w:sz="0" w:space="0" w:color="auto"/>
      </w:divBdr>
    </w:div>
    <w:div w:id="1202209851">
      <w:bodyDiv w:val="1"/>
      <w:marLeft w:val="0"/>
      <w:marRight w:val="0"/>
      <w:marTop w:val="0"/>
      <w:marBottom w:val="0"/>
      <w:divBdr>
        <w:top w:val="none" w:sz="0" w:space="0" w:color="auto"/>
        <w:left w:val="none" w:sz="0" w:space="0" w:color="auto"/>
        <w:bottom w:val="none" w:sz="0" w:space="0" w:color="auto"/>
        <w:right w:val="none" w:sz="0" w:space="0" w:color="auto"/>
      </w:divBdr>
    </w:div>
    <w:div w:id="1238632093">
      <w:bodyDiv w:val="1"/>
      <w:marLeft w:val="0"/>
      <w:marRight w:val="0"/>
      <w:marTop w:val="0"/>
      <w:marBottom w:val="0"/>
      <w:divBdr>
        <w:top w:val="none" w:sz="0" w:space="0" w:color="auto"/>
        <w:left w:val="none" w:sz="0" w:space="0" w:color="auto"/>
        <w:bottom w:val="none" w:sz="0" w:space="0" w:color="auto"/>
        <w:right w:val="none" w:sz="0" w:space="0" w:color="auto"/>
      </w:divBdr>
    </w:div>
    <w:div w:id="1388645408">
      <w:bodyDiv w:val="1"/>
      <w:marLeft w:val="0"/>
      <w:marRight w:val="0"/>
      <w:marTop w:val="0"/>
      <w:marBottom w:val="0"/>
      <w:divBdr>
        <w:top w:val="none" w:sz="0" w:space="0" w:color="auto"/>
        <w:left w:val="none" w:sz="0" w:space="0" w:color="auto"/>
        <w:bottom w:val="none" w:sz="0" w:space="0" w:color="auto"/>
        <w:right w:val="none" w:sz="0" w:space="0" w:color="auto"/>
      </w:divBdr>
      <w:divsChild>
        <w:div w:id="2014725086">
          <w:marLeft w:val="0"/>
          <w:marRight w:val="0"/>
          <w:marTop w:val="0"/>
          <w:marBottom w:val="0"/>
          <w:divBdr>
            <w:top w:val="none" w:sz="0" w:space="0" w:color="auto"/>
            <w:left w:val="none" w:sz="0" w:space="0" w:color="auto"/>
            <w:bottom w:val="none" w:sz="0" w:space="0" w:color="auto"/>
            <w:right w:val="none" w:sz="0" w:space="0" w:color="auto"/>
          </w:divBdr>
        </w:div>
        <w:div w:id="967974883">
          <w:marLeft w:val="0"/>
          <w:marRight w:val="0"/>
          <w:marTop w:val="0"/>
          <w:marBottom w:val="0"/>
          <w:divBdr>
            <w:top w:val="none" w:sz="0" w:space="0" w:color="auto"/>
            <w:left w:val="none" w:sz="0" w:space="0" w:color="auto"/>
            <w:bottom w:val="none" w:sz="0" w:space="0" w:color="auto"/>
            <w:right w:val="none" w:sz="0" w:space="0" w:color="auto"/>
          </w:divBdr>
        </w:div>
        <w:div w:id="1293681454">
          <w:marLeft w:val="0"/>
          <w:marRight w:val="0"/>
          <w:marTop w:val="0"/>
          <w:marBottom w:val="0"/>
          <w:divBdr>
            <w:top w:val="none" w:sz="0" w:space="0" w:color="auto"/>
            <w:left w:val="none" w:sz="0" w:space="0" w:color="auto"/>
            <w:bottom w:val="none" w:sz="0" w:space="0" w:color="auto"/>
            <w:right w:val="none" w:sz="0" w:space="0" w:color="auto"/>
          </w:divBdr>
        </w:div>
        <w:div w:id="2094737516">
          <w:marLeft w:val="0"/>
          <w:marRight w:val="0"/>
          <w:marTop w:val="0"/>
          <w:marBottom w:val="0"/>
          <w:divBdr>
            <w:top w:val="none" w:sz="0" w:space="0" w:color="auto"/>
            <w:left w:val="none" w:sz="0" w:space="0" w:color="auto"/>
            <w:bottom w:val="none" w:sz="0" w:space="0" w:color="auto"/>
            <w:right w:val="none" w:sz="0" w:space="0" w:color="auto"/>
          </w:divBdr>
        </w:div>
      </w:divsChild>
    </w:div>
    <w:div w:id="1476751769">
      <w:bodyDiv w:val="1"/>
      <w:marLeft w:val="0"/>
      <w:marRight w:val="0"/>
      <w:marTop w:val="0"/>
      <w:marBottom w:val="0"/>
      <w:divBdr>
        <w:top w:val="none" w:sz="0" w:space="0" w:color="auto"/>
        <w:left w:val="none" w:sz="0" w:space="0" w:color="auto"/>
        <w:bottom w:val="none" w:sz="0" w:space="0" w:color="auto"/>
        <w:right w:val="none" w:sz="0" w:space="0" w:color="auto"/>
      </w:divBdr>
    </w:div>
    <w:div w:id="1554655739">
      <w:bodyDiv w:val="1"/>
      <w:marLeft w:val="0"/>
      <w:marRight w:val="0"/>
      <w:marTop w:val="0"/>
      <w:marBottom w:val="0"/>
      <w:divBdr>
        <w:top w:val="none" w:sz="0" w:space="0" w:color="auto"/>
        <w:left w:val="none" w:sz="0" w:space="0" w:color="auto"/>
        <w:bottom w:val="none" w:sz="0" w:space="0" w:color="auto"/>
        <w:right w:val="none" w:sz="0" w:space="0" w:color="auto"/>
      </w:divBdr>
    </w:div>
    <w:div w:id="1645885500">
      <w:bodyDiv w:val="1"/>
      <w:marLeft w:val="0"/>
      <w:marRight w:val="0"/>
      <w:marTop w:val="0"/>
      <w:marBottom w:val="0"/>
      <w:divBdr>
        <w:top w:val="none" w:sz="0" w:space="0" w:color="auto"/>
        <w:left w:val="none" w:sz="0" w:space="0" w:color="auto"/>
        <w:bottom w:val="none" w:sz="0" w:space="0" w:color="auto"/>
        <w:right w:val="none" w:sz="0" w:space="0" w:color="auto"/>
      </w:divBdr>
    </w:div>
    <w:div w:id="1679651013">
      <w:bodyDiv w:val="1"/>
      <w:marLeft w:val="0"/>
      <w:marRight w:val="0"/>
      <w:marTop w:val="0"/>
      <w:marBottom w:val="0"/>
      <w:divBdr>
        <w:top w:val="none" w:sz="0" w:space="0" w:color="auto"/>
        <w:left w:val="none" w:sz="0" w:space="0" w:color="auto"/>
        <w:bottom w:val="none" w:sz="0" w:space="0" w:color="auto"/>
        <w:right w:val="none" w:sz="0" w:space="0" w:color="auto"/>
      </w:divBdr>
    </w:div>
    <w:div w:id="1778452586">
      <w:bodyDiv w:val="1"/>
      <w:marLeft w:val="0"/>
      <w:marRight w:val="0"/>
      <w:marTop w:val="0"/>
      <w:marBottom w:val="0"/>
      <w:divBdr>
        <w:top w:val="none" w:sz="0" w:space="0" w:color="auto"/>
        <w:left w:val="none" w:sz="0" w:space="0" w:color="auto"/>
        <w:bottom w:val="none" w:sz="0" w:space="0" w:color="auto"/>
        <w:right w:val="none" w:sz="0" w:space="0" w:color="auto"/>
      </w:divBdr>
    </w:div>
    <w:div w:id="1974747513">
      <w:bodyDiv w:val="1"/>
      <w:marLeft w:val="0"/>
      <w:marRight w:val="0"/>
      <w:marTop w:val="0"/>
      <w:marBottom w:val="0"/>
      <w:divBdr>
        <w:top w:val="none" w:sz="0" w:space="0" w:color="auto"/>
        <w:left w:val="none" w:sz="0" w:space="0" w:color="auto"/>
        <w:bottom w:val="none" w:sz="0" w:space="0" w:color="auto"/>
        <w:right w:val="none" w:sz="0" w:space="0" w:color="auto"/>
      </w:divBdr>
    </w:div>
    <w:div w:id="1992900001">
      <w:bodyDiv w:val="1"/>
      <w:marLeft w:val="0"/>
      <w:marRight w:val="0"/>
      <w:marTop w:val="0"/>
      <w:marBottom w:val="0"/>
      <w:divBdr>
        <w:top w:val="none" w:sz="0" w:space="0" w:color="auto"/>
        <w:left w:val="none" w:sz="0" w:space="0" w:color="auto"/>
        <w:bottom w:val="none" w:sz="0" w:space="0" w:color="auto"/>
        <w:right w:val="none" w:sz="0" w:space="0" w:color="auto"/>
      </w:divBdr>
    </w:div>
    <w:div w:id="21219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78EA1-C9BA-4468-9070-3AC8F03D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4234</Words>
  <Characters>27820</Characters>
  <Application>Microsoft Office Word</Application>
  <DocSecurity>0</DocSecurity>
  <Lines>713</Lines>
  <Paragraphs>439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24</cp:revision>
  <cp:lastPrinted>2019-02-01T08:08:00Z</cp:lastPrinted>
  <dcterms:created xsi:type="dcterms:W3CDTF">2019-01-18T14:03:00Z</dcterms:created>
  <dcterms:modified xsi:type="dcterms:W3CDTF">2019-02-12T10:05:00Z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