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E1EDD6E-90EB-4D4E-BC57-04C1667B8768" style="width:449.85pt;height:383.6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Santraukos lentelė</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Europos Parlamento ir Tarybos reglamento, kuriuo nustatomi naujų sunkiųjų transporto priemonių išmetamo CO</w:t>
            </w:r>
            <w:r>
              <w:rPr>
                <w:rFonts w:ascii="Tahoma" w:hAnsi="Tahoma"/>
                <w:noProof/>
                <w:color w:val="FFFFFF" w:themeColor="background1"/>
                <w:sz w:val="20"/>
                <w:vertAlign w:val="subscript"/>
              </w:rPr>
              <w:t>2</w:t>
            </w:r>
            <w:r>
              <w:rPr>
                <w:rFonts w:ascii="Tahoma" w:hAnsi="Tahoma"/>
                <w:noProof/>
                <w:color w:val="FFFFFF" w:themeColor="background1"/>
                <w:sz w:val="20"/>
              </w:rPr>
              <w:t xml:space="preserve"> kiekio standartai, poveikio vertinimas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Būtinybė imtis veiksmų</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Kodėl? Kokia problema sprendžiama?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1995–2015 m. sunkiųjų transporto priemonių išmetamo CO</w:t>
            </w:r>
            <w:r>
              <w:rPr>
                <w:rFonts w:ascii="Arial" w:hAnsi="Arial"/>
                <w:noProof/>
                <w:sz w:val="20"/>
                <w:vertAlign w:val="subscript"/>
              </w:rPr>
              <w:t>2</w:t>
            </w:r>
            <w:r>
              <w:rPr>
                <w:rFonts w:ascii="Arial" w:hAnsi="Arial"/>
                <w:noProof/>
                <w:sz w:val="20"/>
              </w:rPr>
              <w:t xml:space="preserve"> kiekis padidėjo maždaug 19 proc. Sunkiųjų transporto priemonių, kitaip nei lengvųjų automobilių ir lengvųjų komercinės paskirties transporto priemonių, išmetamo CO</w:t>
            </w:r>
            <w:r>
              <w:rPr>
                <w:rFonts w:ascii="Arial" w:hAnsi="Arial"/>
                <w:noProof/>
                <w:sz w:val="20"/>
                <w:vertAlign w:val="subscript"/>
              </w:rPr>
              <w:t>2</w:t>
            </w:r>
            <w:r>
              <w:rPr>
                <w:rFonts w:ascii="Arial" w:hAnsi="Arial"/>
                <w:noProof/>
                <w:sz w:val="20"/>
              </w:rPr>
              <w:t xml:space="preserve"> kiekis šiuo metu ES nereglamentuojamas.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Daug jau sukurtų ekonomiškai efektyvių, degalų sąnaudas mažinančių technologijų nėra plačiai diegiamos rinkoje, nors jos nebrangios ir galėtų padėti daug sutaupyti. Priežastis – netobula ir asimetriška informacija naujų transporto priemonių rinkoje, nes vežėjams, kurių dauguma yra mažosios ir vidutinės įmonės, keblu prieiti prie techninės informacijos apie tokias technologijas ir ja visapusiškai pasinaudoti.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Todėl nustatytos tokios problemos:</w:t>
            </w:r>
          </w:p>
          <w:p>
            <w:pPr>
              <w:pStyle w:val="ListParagraph"/>
              <w:numPr>
                <w:ilvl w:val="0"/>
                <w:numId w:val="2"/>
              </w:numPr>
              <w:jc w:val="both"/>
              <w:rPr>
                <w:rFonts w:ascii="Arial" w:hAnsi="Arial" w:cs="Arial"/>
                <w:noProof/>
                <w:sz w:val="20"/>
                <w:szCs w:val="20"/>
              </w:rPr>
            </w:pPr>
            <w:r>
              <w:rPr>
                <w:rFonts w:ascii="Arial" w:hAnsi="Arial"/>
                <w:noProof/>
                <w:sz w:val="20"/>
              </w:rPr>
              <w:t>numatoma, kad, jei nebus imtasi kitų priemonių, 2015–2030 m. sunkiųjų transporto priemonių išmetamo CO</w:t>
            </w:r>
            <w:r>
              <w:rPr>
                <w:rFonts w:ascii="Arial" w:hAnsi="Arial"/>
                <w:noProof/>
                <w:sz w:val="20"/>
                <w:vertAlign w:val="subscript"/>
              </w:rPr>
              <w:t>2</w:t>
            </w:r>
            <w:r>
              <w:rPr>
                <w:rFonts w:ascii="Arial" w:hAnsi="Arial"/>
                <w:noProof/>
                <w:sz w:val="20"/>
              </w:rPr>
              <w:t xml:space="preserve"> kiekis didės iki 6 proc.; </w:t>
            </w:r>
          </w:p>
          <w:p>
            <w:pPr>
              <w:pStyle w:val="ListParagraph"/>
              <w:numPr>
                <w:ilvl w:val="0"/>
                <w:numId w:val="2"/>
              </w:numPr>
              <w:spacing w:after="0"/>
              <w:jc w:val="both"/>
              <w:rPr>
                <w:rFonts w:ascii="Arial" w:hAnsi="Arial" w:cs="Arial"/>
                <w:noProof/>
                <w:sz w:val="20"/>
                <w:szCs w:val="20"/>
              </w:rPr>
            </w:pPr>
            <w:r>
              <w:rPr>
                <w:rFonts w:ascii="Arial" w:hAnsi="Arial"/>
                <w:noProof/>
                <w:sz w:val="20"/>
              </w:rPr>
              <w:t xml:space="preserve">vežėjai ir jų klientai praranda galimybę sutaupyti degalų; </w:t>
            </w:r>
          </w:p>
          <w:p>
            <w:pPr>
              <w:pStyle w:val="ListParagraph"/>
              <w:numPr>
                <w:ilvl w:val="0"/>
                <w:numId w:val="2"/>
              </w:numPr>
              <w:jc w:val="both"/>
              <w:rPr>
                <w:noProof/>
              </w:rPr>
            </w:pPr>
            <w:r>
              <w:rPr>
                <w:rFonts w:ascii="Arial" w:hAnsi="Arial"/>
                <w:noProof/>
                <w:sz w:val="20"/>
              </w:rPr>
              <w:t>Europos sunkiųjų transporto priemonių gamintojams ir komponentų tiekėjams kyla grėsmė atsilikti technologijų ir inovacijų srityje, nes tokios svarbios rinkos kaip JAV, Kanada, Japonija ir Kinija, siekdamos paskatinti inovacijas, pastaraisiais metais įdiegė išmetamųjų teršalų normas ir sparčiai didina transporto priemonių efektyvumą.</w:t>
            </w:r>
          </w:p>
          <w:p>
            <w:pPr>
              <w:jc w:val="both"/>
              <w:rPr>
                <w:noProof/>
              </w:rPr>
            </w:pPr>
            <w:r>
              <w:rPr>
                <w:rFonts w:ascii="Arial" w:hAnsi="Arial"/>
                <w:noProof/>
                <w:sz w:val="20"/>
              </w:rPr>
              <w:t>Be to, nukenčia platieji gyventojų sluoksniai, krovininio transporto įmonės ir sunkiųjų transporto priemonių gamintojai.</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Ko siekiama šia iniciatyva? </w:t>
            </w:r>
          </w:p>
        </w:tc>
      </w:tr>
      <w:tr>
        <w:tc>
          <w:tcPr>
            <w:tcW w:w="10188" w:type="dxa"/>
            <w:tcBorders>
              <w:bottom w:val="single" w:sz="4" w:space="0" w:color="auto"/>
            </w:tcBorders>
            <w:shd w:val="clear" w:color="auto" w:fill="auto"/>
          </w:tcPr>
          <w:p>
            <w:pPr>
              <w:rPr>
                <w:rFonts w:ascii="Arial" w:hAnsi="Arial" w:cs="Arial"/>
                <w:noProof/>
                <w:sz w:val="20"/>
                <w:szCs w:val="20"/>
              </w:rPr>
            </w:pPr>
            <w:r>
              <w:rPr>
                <w:rFonts w:ascii="Arial" w:hAnsi="Arial"/>
                <w:noProof/>
                <w:sz w:val="20"/>
              </w:rPr>
              <w:t>Iniciatyva turėtų: 1) padėti vykdyti ES įsipareigojimus mažinti sunkiųjų transporto priemonių išmetamo CO</w:t>
            </w:r>
            <w:r>
              <w:rPr>
                <w:rFonts w:ascii="Arial" w:hAnsi="Arial"/>
                <w:noProof/>
                <w:sz w:val="20"/>
                <w:vertAlign w:val="subscript"/>
              </w:rPr>
              <w:t>2</w:t>
            </w:r>
            <w:r>
              <w:rPr>
                <w:rFonts w:ascii="Arial" w:hAnsi="Arial"/>
                <w:noProof/>
                <w:sz w:val="20"/>
              </w:rPr>
              <w:t xml:space="preserve"> kiekį pagal Paryžiaus susitarimą, 2) mažinti vežėjų veiklos sąnaudas ir transporto išlaidas vartotojams, 3) išsaugoti ES sunkiųjų transporto priemonių gamintojų ir komponentų tiekėjų pirmavimą technologijų ir inovacijų srityje.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Kokia būtų papildoma ES lygmens veiksmų nauda?</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ES veiksmas yra ekonomiškai efektyvus ir užtikrins kovos su klimato kaita priemonių koordinavimą visose valstybėse narėse. Neverta tikėtis, kad pakaktų pavieniui veikiančių valstybių narių pastangų.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Sprendimai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Kokios su teisėkūra susijusios ir nesusijusios politikos galimybės apsvarstytos? Ar viena iš politikos galimybių pasirinkta kaip tinkamiausia? Kodėl?</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Išanalizavus su transportu susijusias ES politikos priemones, nustatyta, kad reikia įvesti išmetamo CO</w:t>
            </w:r>
            <w:r>
              <w:rPr>
                <w:rFonts w:ascii="Arial" w:hAnsi="Arial"/>
                <w:noProof/>
                <w:sz w:val="20"/>
                <w:vertAlign w:val="subscript"/>
              </w:rPr>
              <w:t>2</w:t>
            </w:r>
            <w:r>
              <w:rPr>
                <w:rFonts w:ascii="Arial" w:hAnsi="Arial"/>
                <w:noProof/>
                <w:sz w:val="20"/>
              </w:rPr>
              <w:t xml:space="preserve"> kiekio standartus. Taip ES lygmeniu atsirastų papildoma pasiūlos priemonė, kuri veiksmingai mažintų vežimo sunkiosiomis transporto priemonėmis sektoriaus priklausomybę nuo iškastinio kuro.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Svarstant išmetamo CO</w:t>
            </w:r>
            <w:r>
              <w:rPr>
                <w:rFonts w:ascii="Arial" w:hAnsi="Arial"/>
                <w:noProof/>
                <w:sz w:val="20"/>
                <w:vertAlign w:val="subscript"/>
              </w:rPr>
              <w:t>2</w:t>
            </w:r>
            <w:r>
              <w:rPr>
                <w:rFonts w:ascii="Arial" w:hAnsi="Arial"/>
                <w:noProof/>
                <w:sz w:val="20"/>
              </w:rPr>
              <w:t xml:space="preserve"> kiekio standartų modelį nagrinėtos įvairios politikos galimybės:</w:t>
            </w:r>
          </w:p>
          <w:p>
            <w:pPr>
              <w:numPr>
                <w:ilvl w:val="0"/>
                <w:numId w:val="1"/>
              </w:numPr>
              <w:jc w:val="both"/>
              <w:rPr>
                <w:rFonts w:ascii="Arial" w:hAnsi="Arial" w:cs="Arial"/>
                <w:noProof/>
                <w:sz w:val="20"/>
                <w:szCs w:val="20"/>
              </w:rPr>
            </w:pPr>
            <w:r>
              <w:rPr>
                <w:rFonts w:ascii="Arial" w:hAnsi="Arial"/>
                <w:noProof/>
                <w:sz w:val="20"/>
              </w:rPr>
              <w:t>išmetamo CO</w:t>
            </w:r>
            <w:r>
              <w:rPr>
                <w:rFonts w:ascii="Arial" w:hAnsi="Arial"/>
                <w:noProof/>
                <w:sz w:val="20"/>
                <w:vertAlign w:val="subscript"/>
              </w:rPr>
              <w:t>2</w:t>
            </w:r>
            <w:r>
              <w:rPr>
                <w:rFonts w:ascii="Arial" w:hAnsi="Arial"/>
                <w:noProof/>
                <w:sz w:val="20"/>
              </w:rPr>
              <w:t xml:space="preserve"> kiekio normos;</w:t>
            </w:r>
          </w:p>
          <w:p>
            <w:pPr>
              <w:numPr>
                <w:ilvl w:val="0"/>
                <w:numId w:val="1"/>
              </w:numPr>
              <w:jc w:val="both"/>
              <w:rPr>
                <w:rFonts w:ascii="Arial" w:hAnsi="Arial" w:cs="Arial"/>
                <w:noProof/>
                <w:sz w:val="20"/>
                <w:szCs w:val="20"/>
              </w:rPr>
            </w:pPr>
            <w:r>
              <w:rPr>
                <w:rFonts w:ascii="Arial" w:hAnsi="Arial"/>
                <w:noProof/>
                <w:sz w:val="20"/>
              </w:rPr>
              <w:t>visam ES parkui keliamo CO</w:t>
            </w:r>
            <w:r>
              <w:rPr>
                <w:rFonts w:ascii="Arial" w:hAnsi="Arial"/>
                <w:noProof/>
                <w:sz w:val="20"/>
                <w:vertAlign w:val="subscript"/>
              </w:rPr>
              <w:t>2</w:t>
            </w:r>
            <w:r>
              <w:rPr>
                <w:rFonts w:ascii="Arial" w:hAnsi="Arial"/>
                <w:noProof/>
                <w:sz w:val="20"/>
              </w:rPr>
              <w:t xml:space="preserve"> tikslo paskirstymas transporto priemonių grupėms ir gamintojams;</w:t>
            </w:r>
          </w:p>
          <w:p>
            <w:pPr>
              <w:numPr>
                <w:ilvl w:val="0"/>
                <w:numId w:val="1"/>
              </w:numPr>
              <w:jc w:val="both"/>
              <w:rPr>
                <w:rFonts w:ascii="Arial" w:hAnsi="Arial" w:cs="Arial"/>
                <w:noProof/>
                <w:sz w:val="20"/>
                <w:szCs w:val="20"/>
              </w:rPr>
            </w:pPr>
            <w:r>
              <w:rPr>
                <w:rFonts w:ascii="Arial" w:hAnsi="Arial"/>
                <w:noProof/>
                <w:sz w:val="20"/>
              </w:rPr>
              <w:t>paskatos netaršioms ir mažataršėms transporto priemonėms;</w:t>
            </w:r>
          </w:p>
          <w:p>
            <w:pPr>
              <w:numPr>
                <w:ilvl w:val="0"/>
                <w:numId w:val="1"/>
              </w:numPr>
              <w:jc w:val="both"/>
              <w:rPr>
                <w:rFonts w:ascii="Arial" w:hAnsi="Arial" w:cs="Arial"/>
                <w:noProof/>
                <w:sz w:val="20"/>
                <w:szCs w:val="20"/>
              </w:rPr>
            </w:pPr>
            <w:r>
              <w:rPr>
                <w:rFonts w:ascii="Arial" w:hAnsi="Arial"/>
                <w:noProof/>
                <w:sz w:val="20"/>
              </w:rPr>
              <w:t>ekonomiškai efektyvaus įgyvendinimo priemonės;</w:t>
            </w:r>
          </w:p>
          <w:p>
            <w:pPr>
              <w:numPr>
                <w:ilvl w:val="0"/>
                <w:numId w:val="1"/>
              </w:numPr>
              <w:jc w:val="both"/>
              <w:rPr>
                <w:rFonts w:ascii="Arial" w:hAnsi="Arial" w:cs="Arial"/>
                <w:noProof/>
                <w:sz w:val="20"/>
                <w:szCs w:val="20"/>
              </w:rPr>
            </w:pPr>
            <w:r>
              <w:rPr>
                <w:rFonts w:ascii="Arial" w:hAnsi="Arial"/>
                <w:noProof/>
                <w:sz w:val="20"/>
              </w:rPr>
              <w:t xml:space="preserve">valdymo stiprinimas. </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Kas kuriai galimybei pritaria?</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rPr>
              <w:t>Dauguma suinteresuotųjų šalių pritaria idėjai nustatyti europines sunkiųjų transporto priemonių išmetamo CO</w:t>
            </w:r>
            <w:r>
              <w:rPr>
                <w:rFonts w:ascii="Arial" w:hAnsi="Arial"/>
                <w:noProof/>
                <w:sz w:val="20"/>
                <w:vertAlign w:val="subscript"/>
              </w:rPr>
              <w:t>2</w:t>
            </w:r>
            <w:r>
              <w:rPr>
                <w:rFonts w:ascii="Arial" w:hAnsi="Arial"/>
                <w:noProof/>
                <w:sz w:val="20"/>
              </w:rPr>
              <w:t xml:space="preserve"> kiekio normas. Sunkiųjų transporto priemonių gamintojai norėtų ne tokių reiklių, palyginti su nevyriausybinėmis origanizacijomis, normų ir pritaria bendrai CO</w:t>
            </w:r>
            <w:r>
              <w:rPr>
                <w:rFonts w:ascii="Arial" w:hAnsi="Arial"/>
                <w:noProof/>
                <w:sz w:val="20"/>
                <w:vertAlign w:val="subscript"/>
              </w:rPr>
              <w:t>2</w:t>
            </w:r>
            <w:r>
              <w:rPr>
                <w:rFonts w:ascii="Arial" w:hAnsi="Arial"/>
                <w:noProof/>
                <w:sz w:val="20"/>
              </w:rPr>
              <w:t xml:space="preserve"> normai, kuri būtų nustatyta kiekvienam gamintojui atskirai. Netaršių ir mažataršių transporto priemonių klausimu gamintojai pritaria ypatingiesiems kreditams, o </w:t>
            </w:r>
            <w:r>
              <w:rPr>
                <w:rFonts w:ascii="Arial" w:hAnsi="Arial"/>
                <w:noProof/>
                <w:sz w:val="20"/>
              </w:rPr>
              <w:lastRenderedPageBreak/>
              <w:t>nevyriausybinės organizacijos tikisi įpareigojimo. Ekonomiškai efektyviam įgyvendinimui pritarė visos suinteresuotosios šalys: gamintojai palankiausiai vertino rezervavimo ir skolinimosi priemones, o pilietinės visuomenės organizacijos – prekybos. Dauguma suinteresuotųjų šalių remia idėją stebėti, ar sertifikuotos išmetamo CO</w:t>
            </w:r>
            <w:r>
              <w:rPr>
                <w:rFonts w:ascii="Arial" w:hAnsi="Arial"/>
                <w:noProof/>
                <w:sz w:val="20"/>
                <w:vertAlign w:val="subscript"/>
              </w:rPr>
              <w:t>2</w:t>
            </w:r>
            <w:r>
              <w:rPr>
                <w:rFonts w:ascii="Arial" w:hAnsi="Arial"/>
                <w:noProof/>
                <w:sz w:val="20"/>
              </w:rPr>
              <w:t xml:space="preserve"> kiekio vertės atitinka realiomis važiavimo sąlygomis išmetamą kiekį.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lastRenderedPageBreak/>
              <w:t>C. Tinkamiausios galimybės poveikis</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Kokie būtų tinkamiausios galimybės (jei jos nėra – pagrindinių galimybių) pranašumai?</w:t>
            </w:r>
            <w:r>
              <w:rPr>
                <w:rFonts w:ascii="Tahoma" w:hAnsi="Tahoma"/>
                <w:noProof/>
                <w:sz w:val="20"/>
              </w:rPr>
              <w:t xml:space="preserve"> </w:t>
            </w:r>
          </w:p>
        </w:tc>
      </w:tr>
      <w:tr>
        <w:trPr>
          <w:trHeight w:val="983"/>
        </w:trPr>
        <w:tc>
          <w:tcPr>
            <w:tcW w:w="10188" w:type="dxa"/>
            <w:tcBorders>
              <w:bottom w:val="single" w:sz="4" w:space="0" w:color="auto"/>
            </w:tcBorders>
            <w:shd w:val="clear" w:color="auto" w:fill="auto"/>
          </w:tcPr>
          <w:p>
            <w:pPr>
              <w:jc w:val="both"/>
              <w:rPr>
                <w:rFonts w:ascii="Arial" w:hAnsi="Arial" w:cs="Arial"/>
                <w:i/>
                <w:noProof/>
                <w:sz w:val="20"/>
                <w:szCs w:val="20"/>
              </w:rPr>
            </w:pPr>
          </w:p>
          <w:p>
            <w:pPr>
              <w:jc w:val="both"/>
              <w:rPr>
                <w:rFonts w:ascii="Arial" w:hAnsi="Arial" w:cs="Arial"/>
                <w:noProof/>
                <w:sz w:val="20"/>
                <w:szCs w:val="20"/>
              </w:rPr>
            </w:pPr>
            <w:r>
              <w:rPr>
                <w:rFonts w:ascii="Arial" w:hAnsi="Arial"/>
                <w:noProof/>
                <w:sz w:val="20"/>
              </w:rPr>
              <w:t>Tarp svarstytų galimų priemonių buvo įvairios išmetamo CO</w:t>
            </w:r>
            <w:r>
              <w:rPr>
                <w:rFonts w:ascii="Arial" w:hAnsi="Arial"/>
                <w:noProof/>
                <w:sz w:val="20"/>
                <w:vertAlign w:val="subscript"/>
              </w:rPr>
              <w:t>2</w:t>
            </w:r>
            <w:r>
              <w:rPr>
                <w:rFonts w:ascii="Arial" w:hAnsi="Arial"/>
                <w:noProof/>
                <w:sz w:val="20"/>
              </w:rPr>
              <w:t xml:space="preserve"> kiekio mažinimo iki 2030 m. trajektorijos.</w:t>
            </w:r>
          </w:p>
          <w:p>
            <w:pPr>
              <w:jc w:val="both"/>
              <w:rPr>
                <w:rFonts w:ascii="Arial" w:hAnsi="Arial" w:cs="Arial"/>
                <w:i/>
                <w:noProof/>
                <w:sz w:val="20"/>
                <w:szCs w:val="20"/>
              </w:rPr>
            </w:pPr>
          </w:p>
          <w:p>
            <w:pPr>
              <w:jc w:val="both"/>
              <w:rPr>
                <w:rFonts w:ascii="Arial" w:hAnsi="Arial" w:cs="Arial"/>
                <w:noProof/>
                <w:sz w:val="20"/>
                <w:szCs w:val="20"/>
              </w:rPr>
            </w:pPr>
            <w:r>
              <w:rPr>
                <w:rFonts w:ascii="Arial" w:hAnsi="Arial"/>
                <w:noProof/>
                <w:sz w:val="20"/>
              </w:rPr>
              <w:t>Nagrinėti įvairūs 2030 m. sunkiųjų transporto priemonių išmetamo CO</w:t>
            </w:r>
            <w:r>
              <w:rPr>
                <w:rFonts w:ascii="Arial" w:hAnsi="Arial"/>
                <w:noProof/>
                <w:sz w:val="20"/>
                <w:vertAlign w:val="subscript"/>
              </w:rPr>
              <w:t>2</w:t>
            </w:r>
            <w:r>
              <w:rPr>
                <w:rFonts w:ascii="Arial" w:hAnsi="Arial"/>
                <w:noProof/>
                <w:sz w:val="20"/>
              </w:rPr>
              <w:t xml:space="preserve"> kiekio mažinimo normų lygiai: nuo bazinio lygio scenarijaus jie skyrėse 3–8 proc. Iki 2030 m. išmetamas NOx kiekis sumažės 1,3–4,7 proc., o smulkių kietųjų dalelių kiekis – iki 0,6 proc.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Tikimasi, kad naudos gaus vežėjai, vartotojai ir visa visuomenė. Nauda tuo didesnė, kuo griežtesnis išmetamo CO</w:t>
            </w:r>
            <w:r>
              <w:rPr>
                <w:rFonts w:ascii="Arial" w:hAnsi="Arial"/>
                <w:noProof/>
                <w:sz w:val="20"/>
                <w:vertAlign w:val="subscript"/>
              </w:rPr>
              <w:t>2</w:t>
            </w:r>
            <w:r>
              <w:rPr>
                <w:rFonts w:ascii="Arial" w:hAnsi="Arial"/>
                <w:noProof/>
                <w:sz w:val="20"/>
              </w:rPr>
              <w:t xml:space="preserve"> kiekio normų lygis. Gryna ekonominė nauda visuomenei, įskaitant išvengtus su CO</w:t>
            </w:r>
            <w:r>
              <w:rPr>
                <w:rFonts w:ascii="Arial" w:hAnsi="Arial"/>
                <w:noProof/>
                <w:sz w:val="20"/>
                <w:vertAlign w:val="subscript"/>
              </w:rPr>
              <w:t>2</w:t>
            </w:r>
            <w:r>
              <w:rPr>
                <w:rFonts w:ascii="Arial" w:hAnsi="Arial"/>
                <w:noProof/>
                <w:sz w:val="20"/>
              </w:rPr>
              <w:t xml:space="preserve"> išmetimu susijusias sąnaudas, svyruoja nuo 9 377 iki 52 369 EUR nuo kiekvieno 2025 m. užregistruoto sunkvežimio ir 41 567–87 278 EUR – nuo kiekvieno 2030 m. užregistruoto sunkvežimio.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Vertinant pirminį ir antrinį panaudojimą, iš viso sutaupyta suma,t. y. skirtumas tarp degalams sutaupytų pinigų ir gamybos sąnaudų, svyruoja nuo 5 413 iki 37 589 EUR nuo kiekvieno 2025 m. sunkvežimio ir 22 032–82 429 EUR nuo kiekvieno 2030 m. sunkvežimio. Tai tolygu sutaupyti 1–4 proc. eksploatavimo išlaidų 2025 m. ir 3–12 proc. 2030 m.</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Išanalizavus jau prieinamas ar netrukus pradėsimas naudoti ekonomiškai efektyvias technologijas matyti, kad, jas įdiegus masiškai, teršalų išmetimą 2025 m. būtų galima sumažinti 15–20 proc., palyginti su bazinio lygio scenarijumi.</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Kadangi nėra tikrumo, kokių rezultatų pasieks pažangesnės technologijos, ypač alternatyvios galios pavaros, kurioms reikia alternatyvaus kuro infrastruktūros, ir kokios bus jų sąnaudos, neaišku, ar įmanoma pasiekti galimus reiklesnius 2030 m. normų lygius.</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Bendros krovininio kelių transporto paslaugos, teikiamos naudojant sunkiąsias transporto priemones, vos vos atpigs: mažiau negu 1 proc. 2025 m. ir 1–3 proc. 2030 m.</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Kokios būtų tinkamiausios galimybės (jei jos nėra – pagrindinių galimybių) įgyvendinimo išlaidos?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Išaugs gamybos sąnaudos, todėl naują sunkvežimį perkančiam vežėjui iš pradžių teks sumokėti daugiau. Priklausomai nuo svarstomų galimybių, papildomos 2025 m. užregistruoto vidutinio naujo sunkvežimio išlaidos svyruos nuo 858 iki 27 797 EUR, o 2030 m. – 4 657–58 760 EUR. Tai santykinai sudaro 0,8–25,3 proc. transporto priemonės pirkimo kainos.</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Koks bus poveikis verslui, MVĮ ir labai mažoms įmonėms? </w:t>
            </w:r>
          </w:p>
        </w:tc>
      </w:tr>
      <w:t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noProof/>
                <w:sz w:val="20"/>
              </w:rPr>
              <w:t>Numatyta, kad vežėjams, labiausiai MVĮ, bus naudingos mažesnės degalų sąnaudos. Apskaičiuota, kad bus galima sutaupyti gerokai daugiau lėšų, negu jų teks išleisti perkant naują sunkvežimį, kuriame įdiegtos išmetamo CO</w:t>
            </w:r>
            <w:r>
              <w:rPr>
                <w:rFonts w:ascii="Arial" w:hAnsi="Arial"/>
                <w:noProof/>
                <w:sz w:val="20"/>
                <w:vertAlign w:val="subscript"/>
              </w:rPr>
              <w:t>2</w:t>
            </w:r>
            <w:r>
              <w:rPr>
                <w:rFonts w:ascii="Arial" w:hAnsi="Arial"/>
                <w:noProof/>
                <w:sz w:val="20"/>
              </w:rPr>
              <w:t xml:space="preserve"> kiekio mažinimo technologijos. Tokių technologijų paklausa bus naudinga MVĮ, tiekiančioms jas sunkiųjų transporto priemonių gamintojams.</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Ar tai turės didelį poveikį nacionaliniams biudžetams ir administravimo subjektams?</w:t>
            </w:r>
          </w:p>
        </w:tc>
      </w:tr>
      <w:tr>
        <w:tc>
          <w:tcPr>
            <w:tcW w:w="10188" w:type="dxa"/>
            <w:shd w:val="clear" w:color="auto" w:fill="auto"/>
          </w:tcPr>
          <w:p>
            <w:pPr>
              <w:jc w:val="both"/>
              <w:rPr>
                <w:rFonts w:ascii="Arial" w:hAnsi="Arial" w:cs="Arial"/>
                <w:noProof/>
                <w:sz w:val="20"/>
                <w:szCs w:val="20"/>
              </w:rPr>
            </w:pPr>
            <w:r>
              <w:rPr>
                <w:rFonts w:ascii="Arial" w:hAnsi="Arial"/>
                <w:noProof/>
                <w:sz w:val="20"/>
              </w:rPr>
              <w:t>Numatoma, kad, sumažėjus parduodamam dyzelino kiekiui, šiek tiek sumažės ES 28 mokestinės pajamos.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Ar bus dar koks nors didelis poveikis?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Sunkiųjų transporto priemonių išmetamo CO</w:t>
            </w:r>
            <w:r>
              <w:rPr>
                <w:rFonts w:ascii="Arial" w:hAnsi="Arial"/>
                <w:noProof/>
                <w:sz w:val="20"/>
                <w:vertAlign w:val="subscript"/>
              </w:rPr>
              <w:t>2</w:t>
            </w:r>
            <w:r>
              <w:rPr>
                <w:rFonts w:ascii="Arial" w:hAnsi="Arial"/>
                <w:noProof/>
                <w:sz w:val="20"/>
              </w:rPr>
              <w:t xml:space="preserve"> kiekio reglamentavimo tvarka padės ES automobilių pramonės sektoriui toliau pirmauti pasaulyje technologijų ir inovacijų srityje ir įsitvirtinti rinkose. Sumažėjus iškastinio kuro poreikiams, gerės ES energetinis saugumas.</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Tolesni veiksmai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Kada politika bus persvarstoma? </w:t>
            </w:r>
            <w:r>
              <w:rPr>
                <w:rFonts w:ascii="Tahoma" w:hAnsi="Tahoma"/>
                <w:noProof/>
                <w:sz w:val="20"/>
                <w:u w:val="single"/>
              </w:rPr>
              <w:t>Ne daugiau 4 eilučių</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noProof/>
                <w:sz w:val="20"/>
              </w:rPr>
              <w:t xml:space="preserve">2022 m. numatyta ankstyva teisės akto veiksmingumo peržiūra. Atliekant peržiūrą būtų 1) nustatytas arba patvirtintas 2030 m. tikslas, 2) į taikymo sritį įtrauktos kitų grupių sunkiosios transporto priemonės, t. y. autobusai ir mažesni sunkvežimiai, 3) patikrintas įgyvendinimo tvarkos, pavyzdžiui, netaršių ir mažataršių </w:t>
            </w:r>
            <w:r>
              <w:rPr>
                <w:rFonts w:ascii="Tahoma" w:hAnsi="Tahoma"/>
                <w:noProof/>
                <w:sz w:val="20"/>
              </w:rPr>
              <w:lastRenderedPageBreak/>
              <w:t xml:space="preserve">transporto priemonių skatinimo modelio, efektyvumas. </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B3F9F"/>
    <w:multiLevelType w:val="hybridMultilevel"/>
    <w:tmpl w:val="02920EC2"/>
    <w:lvl w:ilvl="0" w:tplc="912E2B80">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5A43AF"/>
    <w:multiLevelType w:val="hybridMultilevel"/>
    <w:tmpl w:val="8EEC8CB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idedamas prie"/>
    <w:docVar w:name="LW_CORRIGENDUM" w:val="&lt;UNUSED&gt;"/>
    <w:docVar w:name="LW_COVERPAGE_EXISTS" w:val="True"/>
    <w:docVar w:name="LW_COVERPAGE_GUID" w:val="DE1EDD6E-90EB-4D4E-BC57-04C1667B8768"/>
    <w:docVar w:name="LW_COVERPAGE_TYPE" w:val="1"/>
    <w:docVar w:name="LW_CROSSREFERENCE" w:val="{COM(2018) 284 final}_x000b_{SEC(2018) 233 final}_x000b_{SWD(2018) 185 final}"/>
    <w:docVar w:name="LW_DocType" w:val="NORMAL"/>
    <w:docVar w:name="LW_EMISSION" w:val="2018 05 17"/>
    <w:docVar w:name="LW_EMISSION_ISODATE" w:val="2018-05-17"/>
    <w:docVar w:name="LW_EMISSION_LOCATION" w:val="BRX"/>
    <w:docVar w:name="LW_EMISSION_PREFIX" w:val="Briuselis, "/>
    <w:docVar w:name="LW_EMISSION_SUFFIX" w:val="&lt;EMPTY&gt;"/>
    <w:docVar w:name="LW_ID_DOCTYPE_NONLW" w:val="CP-027"/>
    <w:docVar w:name="LW_LANGUE" w:val="LT"/>
    <w:docVar w:name="LW_LEVEL_OF_SENSITIVITY" w:val="Standard treatment"/>
    <w:docVar w:name="LW_NOM.INST" w:val="EUROPOS KOMISIJA"/>
    <w:docVar w:name="LW_NOM.INST_JOINTDOC" w:val="&lt;EMPTY&gt;"/>
    <w:docVar w:name="LW_OBJETACTEPRINCIPAL.CP" w:val="pasi\u363?lymo d\u279?l Europos Parlamento ir Tarybos reglamento, kuriuo nustatomi nauj\u371? sunki\u371?j\u371? transporto priemoni\u371? i\u353?metamo CO2 kiekio standartai_x000b_"/>
    <w:docVar w:name="LW_PART_NBR" w:val="1"/>
    <w:docVar w:name="LW_PART_NBR_TOTAL" w:val="1"/>
    <w:docVar w:name="LW_REF.INST.NEW" w:val="SWD"/>
    <w:docVar w:name="LW_REF.INST.NEW_ADOPTED" w:val="final"/>
    <w:docVar w:name="LW_REF.INST.NEW_TEXT" w:val="(2018) 1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KOMISIJOS TARNYB\u370? DARBINIS DOKUMENTAS_x000b__x000b_POVEIKIO VERTINIMO SANTRAUKA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lt-LT"/>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E,f"/>
    <w:uiPriority w:val="99"/>
    <w:qFormat/>
    <w:rPr>
      <w:vertAlign w:val="superscript"/>
    </w:rPr>
  </w:style>
  <w:style w:type="paragraph" w:styleId="ListParagraph">
    <w:name w:val="List Paragraph"/>
    <w:basedOn w:val="Normal"/>
    <w:uiPriority w:val="34"/>
    <w:qFormat/>
    <w:pPr>
      <w:spacing w:after="200" w:line="276" w:lineRule="auto"/>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lt-LT"/>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lt-LT"/>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E,f"/>
    <w:uiPriority w:val="99"/>
    <w:qFormat/>
    <w:rPr>
      <w:vertAlign w:val="superscript"/>
    </w:rPr>
  </w:style>
  <w:style w:type="paragraph" w:styleId="ListParagraph">
    <w:name w:val="List Paragraph"/>
    <w:basedOn w:val="Normal"/>
    <w:uiPriority w:val="34"/>
    <w:qFormat/>
    <w:pPr>
      <w:spacing w:after="200" w:line="276" w:lineRule="auto"/>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lt-LT"/>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0c99dad5-3d56-4f91-9bac-111fe816f21c">EN</EC_Collab_DocumentLanguage>
    <EC_Collab_Reference xmlns="0c99dad5-3d56-4f91-9bac-111fe816f21c" xsi:nil="true"/>
    <_Status xmlns="http://schemas.microsoft.com/sharepoint/v3/fields">Not Started</_Status>
    <EC_Collab_Status xmlns="0c99dad5-3d56-4f91-9bac-111fe816f21c">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FAF196B82F19C41941DD3F00E8B295E" ma:contentTypeVersion="0" ma:contentTypeDescription="Create a new document in this library." ma:contentTypeScope="" ma:versionID="71b9631eac96cc512eed3bd950822da2">
  <xsd:schema xmlns:xsd="http://www.w3.org/2001/XMLSchema" xmlns:xs="http://www.w3.org/2001/XMLSchema" xmlns:p="http://schemas.microsoft.com/office/2006/metadata/properties" xmlns:ns2="http://schemas.microsoft.com/sharepoint/v3/fields" xmlns:ns3="0c99dad5-3d56-4f91-9bac-111fe816f21c" targetNamespace="http://schemas.microsoft.com/office/2006/metadata/properties" ma:root="true" ma:fieldsID="6db4ffdaaa999dd994579037f7bb8dae" ns2:_="" ns3:_="">
    <xsd:import namespace="http://schemas.microsoft.com/sharepoint/v3/fields"/>
    <xsd:import namespace="0c99dad5-3d56-4f91-9bac-111fe816f21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c99dad5-3d56-4f91-9bac-111fe816f21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8E3-FEEC-429F-8C93-CFCC37DE565D}">
  <ds:schemaRef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schemas.microsoft.com/sharepoint/v3/fields"/>
    <ds:schemaRef ds:uri="http://purl.org/dc/terms/"/>
    <ds:schemaRef ds:uri="http://schemas.openxmlformats.org/package/2006/metadata/core-properties"/>
    <ds:schemaRef ds:uri="0c99dad5-3d56-4f91-9bac-111fe816f21c"/>
    <ds:schemaRef ds:uri="http://purl.org/dc/dcmitype/"/>
  </ds:schemaRefs>
</ds:datastoreItem>
</file>

<file path=customXml/itemProps2.xml><?xml version="1.0" encoding="utf-8"?>
<ds:datastoreItem xmlns:ds="http://schemas.openxmlformats.org/officeDocument/2006/customXml" ds:itemID="{6FDBB9AF-5389-4D91-87FF-B7D5D9B9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c99dad5-3d56-4f91-9bac-111fe816f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4.xml><?xml version="1.0" encoding="utf-8"?>
<ds:datastoreItem xmlns:ds="http://schemas.openxmlformats.org/officeDocument/2006/customXml" ds:itemID="{1EC3FF27-EB5D-48A0-9604-804782DB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975</Words>
  <Characters>6573</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2018-05-02T09:12:00Z</cp:lastPrinted>
  <dcterms:created xsi:type="dcterms:W3CDTF">2018-05-02T12:13:00Z</dcterms:created>
  <dcterms:modified xsi:type="dcterms:W3CDTF">2018-06-11T16:12:00Z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0x010100258AA79CEB83498886A3A0868112325000AFAF196B82F19C41941DD3F00E8B295E</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