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8FC76D39-8049-401F-8BA5-96748E524500" style="width:451.25pt;height:352.45pt">
            <v:imagedata r:id="rId9" o:title=""/>
          </v:shape>
        </w:pict>
      </w:r>
    </w:p>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p>
    <w:p>
      <w:pPr>
        <w:widowControl w:val="0"/>
        <w:shd w:val="clear" w:color="auto" w:fill="FFFFFF"/>
        <w:autoSpaceDE w:val="0"/>
        <w:autoSpaceDN w:val="0"/>
        <w:adjustRightInd w:val="0"/>
        <w:spacing w:before="230" w:after="0" w:line="269" w:lineRule="exact"/>
        <w:rPr>
          <w:noProof/>
          <w:color w:val="008000"/>
        </w:rPr>
      </w:pPr>
    </w:p>
    <w:p>
      <w:pPr>
        <w:pStyle w:val="Statut"/>
        <w:rPr>
          <w:noProof/>
        </w:rPr>
      </w:pPr>
      <w:r>
        <w:rPr>
          <w:noProof/>
        </w:rPr>
        <w:t>Rekomendacija</w:t>
      </w:r>
    </w:p>
    <w:p>
      <w:pPr>
        <w:pStyle w:val="Typedudocument"/>
        <w:rPr>
          <w:noProof/>
        </w:rPr>
      </w:pPr>
      <w:r>
        <w:rPr>
          <w:noProof/>
        </w:rPr>
        <w:t>TARYBOS SPRENDIMAS</w:t>
      </w:r>
    </w:p>
    <w:p>
      <w:pPr>
        <w:pStyle w:val="Titreobjet"/>
        <w:rPr>
          <w:noProof/>
        </w:rPr>
      </w:pPr>
      <w:r>
        <w:rPr>
          <w:noProof/>
        </w:rPr>
        <w:t>kuriuo nustatoma, kad Vengrija nesiėmė veiksmingų priemonių, kuriomis būtų atsižvelgiama į 2018 m. birželio 22 d. Tarybos rekomendaciją</w:t>
      </w:r>
    </w:p>
    <w:p>
      <w:pPr>
        <w:pStyle w:val="Institutionquiagit"/>
        <w:rPr>
          <w:noProof/>
        </w:rPr>
      </w:pPr>
      <w:r>
        <w:rPr>
          <w:noProof/>
        </w:rPr>
        <w:t>EUROPOS SĄJUNGOS TARYBA,</w:t>
      </w:r>
    </w:p>
    <w:p>
      <w:pPr>
        <w:rPr>
          <w:noProof/>
        </w:rPr>
      </w:pPr>
      <w:r>
        <w:rPr>
          <w:noProof/>
        </w:rPr>
        <w:t xml:space="preserve">atsižvelgdama į Sutartį dėl Europos Sąjungos veikimo, </w:t>
      </w:r>
    </w:p>
    <w:p>
      <w:pPr>
        <w:rPr>
          <w:noProof/>
        </w:rPr>
      </w:pPr>
      <w:r>
        <w:rPr>
          <w:noProof/>
        </w:rPr>
        <w:t>atsižvelgdama į Tarybos reglamentą (EB) Nr. 1466/97</w:t>
      </w:r>
      <w:r>
        <w:rPr>
          <w:rStyle w:val="FootnoteReference"/>
          <w:noProof/>
        </w:rPr>
        <w:footnoteReference w:id="1"/>
      </w:r>
      <w:r>
        <w:rPr>
          <w:noProof/>
        </w:rPr>
        <w:t>, ypač į jo 10 straipsnio 2 dalies ketvirtą pastraipą,</w:t>
      </w:r>
    </w:p>
    <w:p>
      <w:pPr>
        <w:rPr>
          <w:noProof/>
        </w:rPr>
      </w:pPr>
      <w:r>
        <w:rPr>
          <w:noProof/>
        </w:rPr>
        <w:t>atsižvelgdama į Europos Komisijos rekomendaciją,</w:t>
      </w:r>
    </w:p>
    <w:p>
      <w:pPr>
        <w:rPr>
          <w:noProof/>
        </w:rPr>
      </w:pPr>
      <w:r>
        <w:rPr>
          <w:noProof/>
        </w:rPr>
        <w:t xml:space="preserve">kadangi: </w:t>
      </w:r>
    </w:p>
    <w:p>
      <w:pPr>
        <w:pStyle w:val="Point0number"/>
        <w:numPr>
          <w:ilvl w:val="0"/>
          <w:numId w:val="9"/>
        </w:numPr>
        <w:rPr>
          <w:noProof/>
        </w:rPr>
      </w:pPr>
      <w:r>
        <w:rPr>
          <w:noProof/>
        </w:rPr>
        <w:t xml:space="preserve">2018 m. birželio 22 d. pagal Sutarties dėl Europos Sąjungos veikimo (SESV) 121 straipsnio 4 dalį Taryba nusprendė, kad Vengrijoje yra didelis pastebėtas nukrypimas nuo koregavimo plano, kuriuo siekiama -1,5 % BVP vidutinio laikotarpio biudžeto tikslo; </w:t>
      </w:r>
    </w:p>
    <w:p>
      <w:pPr>
        <w:pStyle w:val="Point0number"/>
        <w:numPr>
          <w:ilvl w:val="0"/>
          <w:numId w:val="9"/>
        </w:numPr>
        <w:rPr>
          <w:noProof/>
        </w:rPr>
      </w:pPr>
      <w:r>
        <w:rPr>
          <w:noProof/>
        </w:rPr>
        <w:t>atsižvelgdama į nustatytą didelį nukrypimą, 2018 m. birželio 22 d. Taryba Vengrijai pateikė rekomendaciją</w:t>
      </w:r>
      <w:r>
        <w:rPr>
          <w:rStyle w:val="FootnoteReference"/>
          <w:noProof/>
        </w:rPr>
        <w:footnoteReference w:id="2"/>
      </w:r>
      <w:r>
        <w:rPr>
          <w:noProof/>
        </w:rPr>
        <w:t xml:space="preserve"> imtis būtinų priemonių užtikrinti, kad 2018 m. grynųjų pirminių valdžios sektoriaus išlaidų nominalus augimas</w:t>
      </w:r>
      <w:r>
        <w:rPr>
          <w:rStyle w:val="FootnoteReference"/>
          <w:noProof/>
        </w:rPr>
        <w:footnoteReference w:id="3"/>
      </w:r>
      <w:r>
        <w:rPr>
          <w:noProof/>
        </w:rPr>
        <w:t xml:space="preserve"> neviršytų 2,8 %, o tai atitiktų 1,0 % BVP metinį struktūrinį koregavimą. Vengrijai rekomenduota visas nenumatytas pajamas panaudoti deficitui mažinti, o biudžeto konsolidavimo priemonėmis turėtų būti užtikrintas ilgalaikis valdžios sektoriaus struktūrinio balanso pagerėjimas augimą skatinančiu būdu. Taryba Vengrijai nustatė 2018 m. spalio 15 d. terminą, iki kurio reikėjo pateikti ataskaitą dėl priemonių, kurių imtasi atsižvelgiant į tą rekomendaciją;</w:t>
      </w:r>
    </w:p>
    <w:p>
      <w:pPr>
        <w:pStyle w:val="Point0number"/>
        <w:rPr>
          <w:noProof/>
        </w:rPr>
      </w:pPr>
      <w:r>
        <w:rPr>
          <w:noProof/>
        </w:rPr>
        <w:t xml:space="preserve">2018 m. rugsėjo18–19 d. Komisija Vengrijoje surengė griežtesnės priežiūros vizitą, per kurį vykdė stebėseną vietoje pagal Reglamento (EB) Nr. 1466/97 -11 straipsnio 2 dalį. Vengrijos valdžios institucijoms perdavusi preliminarias išvadas, kad jos galėtų pateikti savo pastabas, 2018 m. lapkričio 21 d. Komisija savo išvadas pateikė Tarybai. Vėliau šios išvados paskelbtos viešai. Komisijos ataskaitoje daroma išvada, kad Vengrijos valdžios institucijos ketina toliau laikytis 2018 m. 2,4 % BVP nominalaus deficito tikslo, nustatyto 2018 m. konvergencijos programoje, taigi neketina imtis veiksmų, kuriais būtų atsižvelgiama į 2018 m. birželio 22 d. Tarybos rekomendaciją; </w:t>
      </w:r>
    </w:p>
    <w:p>
      <w:pPr>
        <w:pStyle w:val="Point0number"/>
        <w:rPr>
          <w:noProof/>
        </w:rPr>
      </w:pPr>
      <w:r>
        <w:rPr>
          <w:noProof/>
        </w:rPr>
        <w:t>2018 m. spalio 15 d. Vengrijos valdžios institucijos pateikė ataskaitą dėl priemonių, kurių imtasi atsižvelgiant į 2018 m. birželio 22 d. Tarybos rekomendaciją</w:t>
      </w:r>
      <w:r>
        <w:rPr>
          <w:rStyle w:val="FootnoteReference"/>
          <w:noProof/>
        </w:rPr>
        <w:footnoteReference w:id="4"/>
      </w:r>
      <w:r>
        <w:rPr>
          <w:noProof/>
        </w:rPr>
        <w:t>. Ataskaitoje valdžios institucijos pakartojo, kad jų 2018 m. tikslas tebėra 2,4 % BVP nominalus deficitas. Palyginti su 2018 m. konvergencijos programoje pateikta biudžeto projekcija, valdžios institucijos numato gauti gerokai didesnes mokestines pajamas ir sutaupyti gerokai daugiau lėšų dėl sumažėjusių bendro finansavimo išlaidų iš Sąjungos biudžeto finansuojamiems projektams. Tačiau jos planuoja papildomas išlaidas, kurios visiškai panaikina šių pokyčių daromą deficito mažinimo poveikį. Nurodytos naujos diskrecinės priemonės neturi didelio grynojo fiskalinio poveikio 2018 m. biudžeto rezultatui, todėl 2018 m. birželio 22 d. Tarybos rekomendacijoje nustatyto reikalavimo nesilaikoma;</w:t>
      </w:r>
    </w:p>
    <w:p>
      <w:pPr>
        <w:pStyle w:val="Point0number"/>
        <w:rPr>
          <w:noProof/>
        </w:rPr>
      </w:pPr>
      <w:r>
        <w:rPr>
          <w:noProof/>
        </w:rPr>
        <w:t>remiantis Komisijos 2018 m. rudens prognoze, 2018 m. valdžios sektoriaus išlaidų, atėmus diskrecines pajamų priemones ir vienkartines priemones, augimas turėtų būti 7,0 %, t. y. gerokai didesnis už rekomenduojamą 2,8 % orientacinį augimą (nukrypimas – 1,6 % BVP). Numatoma, kad struktūrinis balansas pablogės 0,4 % BVP, palyginti su rekomenduojamu 1,0 % BVP pagerėjimu (nukrypimas – 1,4 % BVP). Todėl abu kriterijai rodo didelį nukrypimą nuo rekomenduojamo koregavimo. Išlaidų kriterijaus duomenis neigiamai veikia trys elementai, t. y. mažesnis nei šiuo metu apskaičiuotas vidutinio laikotarpio potencialus augimas ir BVP defliatorius, kuriuo grindžiamas išlaidų kriterijus, taip pat tam tikrų priemonių netiesioginis poveikis pajamoms. Atlikus koregavimą pagal šiuos veiksnius, atrodo, kad išlaidų kriterijus tinkamai atspindi fiskalines pastangas ir vis tiek rodo nukrypimą. Įvertinus struktūrinį balansą gaunamas panašus rezultatas. Struktūriniam balansui neigiamą poveikį daro pajamų trūkumas, tačiau jį iš dalies kompensuoja didesnis taškinis potencialaus BVP augimo įvertis, palyginti su vidutinio laikotarpio vidurkiu, kuriuo grindžiamas išlaidų kriterijus. Todėl bendras vertinimas patvirtina didelį nukrypimą nuo rekomenduojamo koregavimo;</w:t>
      </w:r>
    </w:p>
    <w:p>
      <w:pPr>
        <w:pStyle w:val="Point0number"/>
        <w:rPr>
          <w:noProof/>
        </w:rPr>
      </w:pPr>
      <w:r>
        <w:rPr>
          <w:noProof/>
        </w:rPr>
        <w:t>iš to, kas išdėstyta pirmiau, galima daryti išvadą, kad Vengrija nepakankamai atsižvelgė į 2018 m. birželio 22 d. Tarybos rekomendaciją. Fiskalinės pastangos nėra pakankamos užtikrinti, kad grynųjų pirminių valdžios sektoriaus išlaidų nominalus augimas 2018 m. neviršytų 2,8 %, o tai atitinka 1,0 % BVP metinį struktūrinį koregavimą,</w:t>
      </w:r>
    </w:p>
    <w:p>
      <w:pPr>
        <w:pStyle w:val="Formuledadoption"/>
        <w:rPr>
          <w:noProof/>
        </w:rPr>
      </w:pPr>
      <w:r>
        <w:rPr>
          <w:noProof/>
        </w:rPr>
        <w:t xml:space="preserve">PRIĖMĖ ŠĮ SPRENDIMĄ: </w:t>
      </w:r>
    </w:p>
    <w:p>
      <w:pPr>
        <w:pStyle w:val="Titrearticle"/>
        <w:rPr>
          <w:noProof/>
        </w:rPr>
      </w:pPr>
      <w:r>
        <w:rPr>
          <w:noProof/>
        </w:rPr>
        <w:t>1 straipsnis</w:t>
      </w:r>
    </w:p>
    <w:p>
      <w:pPr>
        <w:rPr>
          <w:noProof/>
        </w:rPr>
      </w:pPr>
      <w:bookmarkStart w:id="1" w:name="_CopyToNewDocument_"/>
      <w:bookmarkEnd w:id="1"/>
      <w:r>
        <w:rPr>
          <w:noProof/>
        </w:rPr>
        <w:t>Vengrija nesiėmė veiksmingų priemonių, kuriomis būtų atsižvelgiama į 2018 m. birželio 22 d. Tarybos rekomendaciją.</w:t>
      </w:r>
    </w:p>
    <w:p>
      <w:pPr>
        <w:pStyle w:val="Titrearticle"/>
        <w:rPr>
          <w:noProof/>
        </w:rPr>
      </w:pPr>
      <w:r>
        <w:rPr>
          <w:noProof/>
        </w:rPr>
        <w:t>2 straipsnis</w:t>
      </w:r>
    </w:p>
    <w:p>
      <w:pPr>
        <w:keepNext/>
        <w:keepLines/>
        <w:rPr>
          <w:noProof/>
        </w:rPr>
      </w:pPr>
      <w:r>
        <w:rPr>
          <w:noProof/>
        </w:rPr>
        <w:t>Šis sprendimas skirtas Vengrijai.</w:t>
      </w:r>
    </w:p>
    <w:p>
      <w:pPr>
        <w:pStyle w:val="Fait"/>
        <w:rPr>
          <w:noProof/>
        </w:rPr>
      </w:pPr>
      <w:r>
        <w:t>Priimta Briuselyje</w:t>
      </w:r>
    </w:p>
    <w:p>
      <w:pPr>
        <w:pStyle w:val="Institutionquisigne"/>
        <w:rPr>
          <w:noProof/>
        </w:rPr>
      </w:pPr>
      <w:r>
        <w:rPr>
          <w:noProof/>
        </w:rPr>
        <w:tab/>
        <w:t>Tarybos vardu</w:t>
      </w:r>
    </w:p>
    <w:p>
      <w:pPr>
        <w:pStyle w:val="Personnequisigne"/>
        <w:rPr>
          <w:noProof/>
        </w:rPr>
      </w:pPr>
      <w:r>
        <w:rPr>
          <w:noProof/>
        </w:rPr>
        <w:tab/>
        <w:t>Pirmininkas</w:t>
      </w:r>
    </w:p>
    <w:sectPr>
      <w:footerReference w:type="default" r:id="rId16"/>
      <w:footerReference w:type="first" r:id="rId17"/>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rPr>
        <w:rFonts w:ascii="Arial" w:hAnsi="Arial" w:cs="Arial"/>
        <w:b/>
        <w:sz w:val="48"/>
      </w:rPr>
      <w:tab/>
    </w:r>
    <w:r>
      <w:tab/>
    </w:r>
    <w:r>
      <w:rPr>
        <w:rFonts w:ascii="Arial" w:hAnsi="Arial" w:cs="Arial"/>
        <w:b/>
        <w:sz w:val="48"/>
      </w:rPr>
      <w:t>LT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LT</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LT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284" w:hanging="284"/>
      </w:pPr>
      <w:r>
        <w:rPr>
          <w:rStyle w:val="FootnoteReference"/>
        </w:rPr>
        <w:footnoteRef/>
      </w:r>
      <w:r>
        <w:tab/>
        <w:t>OL L 209, 1997 8 2, p. 1.</w:t>
      </w:r>
    </w:p>
  </w:footnote>
  <w:footnote w:id="2">
    <w:p>
      <w:pPr>
        <w:pStyle w:val="FootnoteText"/>
        <w:ind w:left="284" w:hanging="284"/>
      </w:pPr>
      <w:r>
        <w:rPr>
          <w:rStyle w:val="FootnoteReference"/>
        </w:rPr>
        <w:footnoteRef/>
      </w:r>
      <w:r>
        <w:tab/>
        <w:t>OL C 223, 2018 6 27, p. 1.</w:t>
      </w:r>
    </w:p>
  </w:footnote>
  <w:footnote w:id="3">
    <w:p>
      <w:pPr>
        <w:pStyle w:val="FootnoteText"/>
        <w:ind w:left="284" w:hanging="284"/>
      </w:pPr>
      <w:r>
        <w:rPr>
          <w:rStyle w:val="FootnoteReference"/>
        </w:rPr>
        <w:footnoteRef/>
      </w:r>
      <w:r>
        <w:tab/>
        <w:t>Grynąsias pirmines valdžios sektoriaus išlaidas sudaro visos valdžios sektoriaus išlaidos, atmetus palūkanų išlaidas, Sąjungos fondų pajamomis visiškai kompensuojamas Sąjungos programų išlaidas ir išlaidų nedarbo išmokoms nediskrecinius pokyčius. Nacionaliniu lygmeniu finansuojamas bendrojo pagrindinio kapitalo formavimas išlyginamas per ketverių metų laikotarpį. Diskrecinės pajamų priemonės ar teisės aktais nustatytas pajamų didinimas įskaičiuotas. Vienkartinės tiek pajamų, tiek išlaidų priemonės pasidengia tarpusavyje.</w:t>
      </w:r>
    </w:p>
  </w:footnote>
  <w:footnote w:id="4">
    <w:p>
      <w:pPr>
        <w:pStyle w:val="FootnoteText"/>
        <w:ind w:left="284" w:hanging="284"/>
      </w:pPr>
      <w:r>
        <w:rPr>
          <w:rStyle w:val="FootnoteReference"/>
        </w:rPr>
        <w:footnoteRef/>
      </w:r>
      <w:r>
        <w:tab/>
        <w:t>https://ec.europa.eu/info/files/hungary-report-council-recommendations-under-significant-deviation-procedure_en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9608FC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3588223A"/>
    <w:lvl w:ilvl="0">
      <w:start w:val="1"/>
      <w:numFmt w:val="decimal"/>
      <w:pStyle w:val="ListNumber3"/>
      <w:lvlText w:val="%1."/>
      <w:lvlJc w:val="left"/>
      <w:pPr>
        <w:tabs>
          <w:tab w:val="num" w:pos="926"/>
        </w:tabs>
        <w:ind w:left="926" w:hanging="360"/>
      </w:pPr>
    </w:lvl>
  </w:abstractNum>
  <w:abstractNum w:abstractNumId="2">
    <w:nsid w:val="FFFFFF7F"/>
    <w:multiLevelType w:val="singleLevel"/>
    <w:tmpl w:val="941A586E"/>
    <w:lvl w:ilvl="0">
      <w:start w:val="1"/>
      <w:numFmt w:val="decimal"/>
      <w:pStyle w:val="ListNumber2"/>
      <w:lvlText w:val="%1."/>
      <w:lvlJc w:val="left"/>
      <w:pPr>
        <w:tabs>
          <w:tab w:val="num" w:pos="643"/>
        </w:tabs>
        <w:ind w:left="643" w:hanging="360"/>
      </w:pPr>
    </w:lvl>
  </w:abstractNum>
  <w:abstractNum w:abstractNumId="3">
    <w:nsid w:val="FFFFFF81"/>
    <w:multiLevelType w:val="singleLevel"/>
    <w:tmpl w:val="B7E2FC2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CF669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36001A4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2FFC4D16"/>
    <w:lvl w:ilvl="0">
      <w:start w:val="1"/>
      <w:numFmt w:val="decimal"/>
      <w:pStyle w:val="ListNumber"/>
      <w:lvlText w:val="%1."/>
      <w:lvlJc w:val="left"/>
      <w:pPr>
        <w:tabs>
          <w:tab w:val="num" w:pos="360"/>
        </w:tabs>
        <w:ind w:left="360" w:hanging="360"/>
      </w:pPr>
    </w:lvl>
  </w:abstractNum>
  <w:abstractNum w:abstractNumId="7">
    <w:nsid w:val="FFFFFF89"/>
    <w:multiLevelType w:val="singleLevel"/>
    <w:tmpl w:val="F4B8D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hideSpellingErrors/>
  <w:hideGrammaticalErrors/>
  <w:attachedTemplate r:id="rId1"/>
  <w:revisionView w:markup="0"/>
  <w:defaultTabStop w:val="720"/>
  <w:characterSpacingControl w:val="doNotCompress"/>
  <w:hdrShapeDefaults>
    <o:shapedefaults v:ext="edit" spidmax="151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8-11-26 10:03:36"/>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4"/>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8FC76D39-8049-401F-8BA5-96748E524500"/>
    <w:docVar w:name="LW_COVERPAGE_TYPE" w:val="1"/>
    <w:docVar w:name="LW_CROSSREFERENCE" w:val="{SWD(2018) 504 final}"/>
    <w:docVar w:name="LW_DocType" w:val="COM"/>
    <w:docVar w:name="LW_EMISSION" w:val="2018 11 21"/>
    <w:docVar w:name="LW_EMISSION_ISODATE" w:val="2018-11-21"/>
    <w:docVar w:name="LW_EMISSION_LOCATION" w:val="BRX"/>
    <w:docVar w:name="LW_EMISSION_PREFIX" w:val="Briuselis, "/>
    <w:docVar w:name="LW_EMISSION_SUFFIX" w:val="&lt;EMPTY&gt;"/>
    <w:docVar w:name="LW_ID_DOCMODEL" w:val="SG-001"/>
    <w:docVar w:name="LW_ID_DOCSIGNATURE" w:val="SG-001"/>
    <w:docVar w:name="LW_ID_DOCSTRUCTURE" w:val="COM/PL/ORG"/>
    <w:docVar w:name="LW_ID_DOCTYPE" w:val="SG-001"/>
    <w:docVar w:name="LW_ID_EXP.MOTIFS.NEW" w:val="EM_PL_"/>
    <w:docVar w:name="LW_ID_STATUT" w:val="SG-001"/>
    <w:docVar w:name="LW_INTERETEEE.CP" w:val="&lt;UNUSED&gt;"/>
    <w:docVar w:name="LW_LANGUE" w:val="LT"/>
    <w:docVar w:name="LW_LEVEL_OF_SENSITIVITY" w:val="Standard treatment"/>
    <w:docVar w:name="LW_NOM.INST" w:val="EUROPOS KOMISIJA"/>
    <w:docVar w:name="LW_NOM.INST_JOINTDOC" w:val="&lt;EMPTY&gt;"/>
    <w:docVar w:name="LW_PART_NBR" w:val="1"/>
    <w:docVar w:name="LW_PART_NBR_TOTAL" w:val="1"/>
    <w:docVar w:name="LW_REF.II.NEW.CP" w:val="&lt;UNUSED&gt;"/>
    <w:docVar w:name="LW_REF.II.NEW.CP_NUMBER" w:val="&lt;UNUSED&gt;"/>
    <w:docVar w:name="LW_REF.II.NEW.CP_YEAR" w:val="2018"/>
    <w:docVar w:name="LW_REF.INST.NEW" w:val="COM"/>
    <w:docVar w:name="LW_REF.INST.NEW_ADOPTED" w:val="final"/>
    <w:docVar w:name="LW_REF.INST.NEW_TEXT" w:val="(2018) 80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Rekomendacija"/>
    <w:docVar w:name="LW_SUPERTITRE" w:val="&lt;UNUSED&gt;"/>
    <w:docVar w:name="LW_TITRE.OBJ.CP" w:val="kuriuo nustatoma, kad Vengrija nesi\u279?m\u279? veiksming\u371? priemoni\u371?, kuriomis b\u363?t\u371? atsi\u382?velgiama \u303? 2018 m. bir\u382?elio 22 d. Tarybos rekomendacij\u261?"/>
    <w:docVar w:name="LW_TYPE.DOC.CP" w:val="TARYBOS SPRENDIMAS"/>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1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lt-LT"/>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lt-LT"/>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lt-LT"/>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lt-LT"/>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lt-LT"/>
    </w:rPr>
  </w:style>
  <w:style w:type="character" w:styleId="Hyperlink">
    <w:name w:val="Hyperlink"/>
    <w:basedOn w:val="DefaultParagraphFont"/>
    <w:uiPriority w:val="99"/>
    <w:unhideWhenUsed/>
    <w:rPr>
      <w:color w:val="0000FF" w:themeColor="hyperlink"/>
      <w:u w:val="single"/>
    </w:rPr>
  </w:style>
  <w:style w:type="paragraph" w:styleId="ListParagraph">
    <w:name w:val="List Paragraph"/>
    <w:basedOn w:val="Normal"/>
    <w:uiPriority w:val="34"/>
    <w:qFormat/>
    <w:pPr>
      <w:ind w:left="720"/>
      <w:contextualSpacing/>
    </w:pPr>
  </w:style>
  <w:style w:type="paragraph" w:styleId="EndnoteText">
    <w:name w:val="endnote text"/>
    <w:basedOn w:val="Normal"/>
    <w:link w:val="EndnoteTextChar"/>
    <w:uiPriority w:val="99"/>
    <w:semiHidden/>
    <w:unhideWhenUsed/>
    <w:pPr>
      <w:spacing w:before="0" w:after="0"/>
    </w:pPr>
    <w:rPr>
      <w:sz w:val="20"/>
      <w:szCs w:val="20"/>
    </w:rPr>
  </w:style>
  <w:style w:type="character" w:customStyle="1" w:styleId="EndnoteTextChar">
    <w:name w:val="Endnote Text Char"/>
    <w:basedOn w:val="DefaultParagraphFont"/>
    <w:link w:val="EndnoteText"/>
    <w:uiPriority w:val="99"/>
    <w:semiHidden/>
    <w:rPr>
      <w:rFonts w:ascii="Times New Roman" w:hAnsi="Times New Roman" w:cs="Times New Roman"/>
      <w:sz w:val="20"/>
      <w:szCs w:val="20"/>
      <w:lang w:val="lt-LT"/>
    </w:rPr>
  </w:style>
  <w:style w:type="character" w:styleId="EndnoteReference">
    <w:name w:val="endnote reference"/>
    <w:basedOn w:val="DefaultParagraphFont"/>
    <w:uiPriority w:val="99"/>
    <w:semiHidden/>
    <w:unhideWhenUsed/>
    <w:rPr>
      <w:vertAlign w:val="superscript"/>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lt-LT"/>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lt-LT"/>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E7036F-519D-4FB3-BCC9-E17615F45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TotalTime>
  <Pages>4</Pages>
  <Words>616</Words>
  <Characters>4085</Characters>
  <Application>Microsoft Office Word</Application>
  <DocSecurity>0</DocSecurity>
  <Lines>77</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20</cp:revision>
  <cp:lastPrinted>2018-10-29T15:49:00Z</cp:lastPrinted>
  <dcterms:created xsi:type="dcterms:W3CDTF">2018-11-23T10:06:00Z</dcterms:created>
  <dcterms:modified xsi:type="dcterms:W3CDTF">2018-11-26T09:03:00Z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6.0.1, Build 20180503</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DQCStatus">
    <vt:lpwstr>Green (DQC version 03)</vt:lpwstr>
  </property>
  <property name="OP_sanitized" fmtid="{D5CDD505-2E9C-101B-9397-08002B2CF9AE}" pid="11">
    <vt:lpwstr>True</vt:lpwstr>
  </property>
</Properties>
</file>