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2344" w:rsidRDefault="00104B34">
      <w:pPr>
        <w:pStyle w:val="Pagedecouverture"/>
        <w:rPr>
          <w:noProof/>
        </w:rPr>
      </w:pPr>
      <w:bookmarkStart w:id="0" w:name="LW_BM_COVERPAGE"/>
      <w:bookmarkStart w:id="1" w:name="_GoBack"/>
      <w:bookmarkEnd w:id="1"/>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27C5BFA1-CAB9-4500-9CD1-A1F58E707DF1" style="width:451pt;height:349pt">
            <v:imagedata r:id="rId8" o:title=""/>
          </v:shape>
        </w:pict>
      </w:r>
    </w:p>
    <w:bookmarkEnd w:id="0"/>
    <w:p w:rsidR="00612344" w:rsidRDefault="00612344">
      <w:pPr>
        <w:spacing w:line="240" w:lineRule="auto"/>
        <w:rPr>
          <w:noProof/>
        </w:rPr>
        <w:sectPr w:rsidR="00612344">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rsidR="00612344" w:rsidRDefault="00104B34">
      <w:pPr>
        <w:spacing w:line="240" w:lineRule="auto"/>
        <w:contextualSpacing/>
        <w:jc w:val="center"/>
        <w:rPr>
          <w:rFonts w:ascii="Times New Roman" w:hAnsi="Times New Roman" w:cs="Times New Roman"/>
          <w:b/>
          <w:noProof/>
          <w:sz w:val="24"/>
          <w:szCs w:val="24"/>
        </w:rPr>
      </w:pPr>
      <w:r>
        <w:rPr>
          <w:rFonts w:ascii="Times New Roman" w:hAnsi="Times New Roman"/>
          <w:b/>
          <w:noProof/>
          <w:sz w:val="24"/>
        </w:rPr>
        <w:lastRenderedPageBreak/>
        <w:t>BENDRAS KOMUNIKATAS EUROPOS PARLAMENTUI,</w:t>
      </w:r>
    </w:p>
    <w:p w:rsidR="00612344" w:rsidRDefault="00104B34">
      <w:pPr>
        <w:spacing w:line="240" w:lineRule="auto"/>
        <w:jc w:val="center"/>
        <w:rPr>
          <w:rFonts w:ascii="Times New Roman" w:hAnsi="Times New Roman" w:cs="Times New Roman"/>
          <w:b/>
          <w:noProof/>
          <w:sz w:val="24"/>
          <w:szCs w:val="24"/>
        </w:rPr>
      </w:pPr>
      <w:r>
        <w:rPr>
          <w:rFonts w:ascii="Times New Roman" w:hAnsi="Times New Roman"/>
          <w:b/>
          <w:noProof/>
          <w:sz w:val="24"/>
        </w:rPr>
        <w:t xml:space="preserve">TARYBAI, EUROPOS EKONOMIKOS IR SOCIALINIŲ REIKALŲ KOMITETUI, REGIONŲ KOMITETUI IR EUROPOS INVESTICIJŲ </w:t>
      </w:r>
      <w:r>
        <w:rPr>
          <w:rFonts w:ascii="Times New Roman" w:hAnsi="Times New Roman"/>
          <w:b/>
          <w:noProof/>
          <w:sz w:val="24"/>
        </w:rPr>
        <w:t>BANKUI</w:t>
      </w:r>
    </w:p>
    <w:p w:rsidR="00612344" w:rsidRDefault="00104B34">
      <w:pPr>
        <w:spacing w:line="240" w:lineRule="auto"/>
        <w:contextualSpacing/>
        <w:jc w:val="center"/>
        <w:rPr>
          <w:rFonts w:ascii="Times New Roman" w:hAnsi="Times New Roman" w:cs="Times New Roman"/>
          <w:b/>
          <w:noProof/>
          <w:sz w:val="24"/>
          <w:szCs w:val="24"/>
        </w:rPr>
      </w:pPr>
      <w:r>
        <w:rPr>
          <w:rFonts w:ascii="Times New Roman" w:hAnsi="Times New Roman"/>
          <w:b/>
          <w:noProof/>
          <w:sz w:val="24"/>
        </w:rPr>
        <w:t xml:space="preserve">Glaudesnės Europos ir Azijos sąsajos. ES strategijos sudedamosios dalys </w:t>
      </w:r>
    </w:p>
    <w:p w:rsidR="00612344" w:rsidRDefault="00104B34">
      <w:pPr>
        <w:pStyle w:val="ListParagraph"/>
        <w:numPr>
          <w:ilvl w:val="0"/>
          <w:numId w:val="30"/>
        </w:numPr>
        <w:spacing w:line="240" w:lineRule="auto"/>
        <w:rPr>
          <w:rFonts w:ascii="Times New Roman" w:hAnsi="Times New Roman" w:cs="Times New Roman"/>
          <w:noProof/>
          <w:sz w:val="24"/>
          <w:szCs w:val="24"/>
        </w:rPr>
      </w:pPr>
      <w:r>
        <w:rPr>
          <w:rFonts w:ascii="Times New Roman" w:hAnsi="Times New Roman"/>
          <w:b/>
          <w:noProof/>
          <w:sz w:val="24"/>
        </w:rPr>
        <w:t>Įvadas</w:t>
      </w:r>
    </w:p>
    <w:p w:rsidR="00612344" w:rsidRDefault="00104B34">
      <w:pPr>
        <w:spacing w:line="240" w:lineRule="auto"/>
        <w:jc w:val="both"/>
        <w:rPr>
          <w:rFonts w:ascii="Times New Roman" w:hAnsi="Times New Roman" w:cs="Times New Roman"/>
          <w:noProof/>
          <w:sz w:val="24"/>
          <w:szCs w:val="24"/>
        </w:rPr>
      </w:pPr>
      <w:r>
        <w:rPr>
          <w:rFonts w:ascii="Times New Roman" w:hAnsi="Times New Roman"/>
          <w:noProof/>
          <w:sz w:val="24"/>
        </w:rPr>
        <w:t>Europos Sąjungos ir Azijos santykiai yra pasaulinės reikšmės ir tikėtina, kad šių regionų ryšiai artimiausiais metais stiprės. Azijai, kurioje gyvena maždaug 60 proc. pa</w:t>
      </w:r>
      <w:r>
        <w:rPr>
          <w:rFonts w:ascii="Times New Roman" w:hAnsi="Times New Roman"/>
          <w:noProof/>
          <w:sz w:val="24"/>
        </w:rPr>
        <w:t>saulio gyventojų, tenka 35 proc. ES eksporto (618 mlrd. EUR) ir 45 proc. ES importo (774 mlrd. EUR)</w:t>
      </w:r>
      <w:r>
        <w:rPr>
          <w:rStyle w:val="FootnoteReference"/>
          <w:rFonts w:ascii="Times New Roman" w:hAnsi="Times New Roman"/>
          <w:noProof/>
          <w:sz w:val="24"/>
        </w:rPr>
        <w:footnoteReference w:id="2"/>
      </w:r>
      <w:r>
        <w:rPr>
          <w:noProof/>
        </w:rPr>
        <w:t>.</w:t>
      </w:r>
      <w:r>
        <w:rPr>
          <w:rFonts w:ascii="Times New Roman" w:hAnsi="Times New Roman"/>
          <w:noProof/>
          <w:sz w:val="24"/>
        </w:rPr>
        <w:t xml:space="preserve"> Didėjantis tarpusavio priklausomumas pasaulyje teikia Europai ir Azijai galimybių stiprinti bendradarbiavimą, taikiai bendradarbiauti politikos klausimais</w:t>
      </w:r>
      <w:r>
        <w:rPr>
          <w:rFonts w:ascii="Times New Roman" w:hAnsi="Times New Roman"/>
          <w:noProof/>
          <w:sz w:val="24"/>
        </w:rPr>
        <w:t>, užtikrinti stipresnius sąžiningus ekonominius santykius, palaikyti išsamų visuomenės dialogą ir bendradarbiauti tarptautinio bei regionų saugumo klausimais. Abi kartu Europa ir Azija gali skatinti aktyvesniu bendradarbiavimu grindžiamą požiūrį į pasaulio</w:t>
      </w:r>
      <w:r>
        <w:rPr>
          <w:rFonts w:ascii="Times New Roman" w:hAnsi="Times New Roman"/>
          <w:noProof/>
          <w:sz w:val="24"/>
        </w:rPr>
        <w:t xml:space="preserve"> politiką, visuotinį stabilumą ir ekonominį regionų klestėjimą. </w:t>
      </w:r>
    </w:p>
    <w:p w:rsidR="00612344" w:rsidRDefault="00104B34">
      <w:pPr>
        <w:tabs>
          <w:tab w:val="left" w:pos="1080"/>
        </w:tabs>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noProof/>
          <w:sz w:val="24"/>
        </w:rPr>
        <w:t>Kad galėtų toliau iš esmės keisti šį bendradarbiavimą ir pasinaudoti pasaulio ekonomikos galimybėmis, ES ir Azija turėtų užtikrinti veiksmingą ir tvarų sujungiamumą. Sujungiamumas</w:t>
      </w:r>
      <w:r>
        <w:rPr>
          <w:rStyle w:val="FootnoteReference"/>
          <w:rFonts w:ascii="Times New Roman" w:hAnsi="Times New Roman"/>
          <w:noProof/>
          <w:sz w:val="24"/>
        </w:rPr>
        <w:footnoteReference w:id="3"/>
      </w:r>
      <w:r>
        <w:rPr>
          <w:rFonts w:ascii="Times New Roman" w:hAnsi="Times New Roman"/>
          <w:noProof/>
          <w:sz w:val="24"/>
        </w:rPr>
        <w:t xml:space="preserve"> skatina ekonomikos augimą ir darbo vietų kūrimą, pasaulinį konkurencingumą ir prekybą, taip pat žmonių, prekių ir paslaugų judėjimą Europoje, Azijoje ir tarp jų.</w:t>
      </w:r>
    </w:p>
    <w:p w:rsidR="00612344" w:rsidRDefault="00104B34">
      <w:pPr>
        <w:tabs>
          <w:tab w:val="left" w:pos="1080"/>
        </w:tabs>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noProof/>
          <w:sz w:val="24"/>
        </w:rPr>
        <w:t>Remiantis kai kuriais skaičiavimais, norint išlaikyti šiandienos augimo spartą ir prisitaikyt</w:t>
      </w:r>
      <w:r>
        <w:rPr>
          <w:rFonts w:ascii="Times New Roman" w:hAnsi="Times New Roman"/>
          <w:noProof/>
          <w:sz w:val="24"/>
        </w:rPr>
        <w:t>i prie klimato kaitos, artimiausiais dešimtmečiais Azijai reikės daugiau kaip 1,3 trln. EUR infrastruktūros investicijų per metus</w:t>
      </w:r>
      <w:r>
        <w:rPr>
          <w:rStyle w:val="FootnoteReference"/>
          <w:rFonts w:ascii="Times New Roman" w:hAnsi="Times New Roman"/>
          <w:noProof/>
          <w:sz w:val="24"/>
        </w:rPr>
        <w:footnoteReference w:id="4"/>
      </w:r>
      <w:r>
        <w:rPr>
          <w:noProof/>
        </w:rPr>
        <w:t>.</w:t>
      </w:r>
      <w:r>
        <w:rPr>
          <w:rFonts w:ascii="Times New Roman" w:hAnsi="Times New Roman"/>
          <w:noProof/>
          <w:sz w:val="24"/>
        </w:rPr>
        <w:t xml:space="preserve"> Galima palyginti: apskaičiuota, kad Europos Sąjungoje investuojant į transeuropinį transporto tinklą 2021–2030 m. laikotarpi</w:t>
      </w:r>
      <w:r>
        <w:rPr>
          <w:rFonts w:ascii="Times New Roman" w:hAnsi="Times New Roman"/>
          <w:noProof/>
          <w:sz w:val="24"/>
        </w:rPr>
        <w:t>u prireiks 1,5 trln. EUR. Vis dėlto tai nėra vien investicinis uždavinys. Azija apima įvairius regionus, o juose esančios šalys labai skirtingos, nes taiko skirtingus ekonominius modelius ir yra nevienodai išsivysčiusios. Norint skatinti patekimą į rinką i</w:t>
      </w:r>
      <w:r>
        <w:rPr>
          <w:rFonts w:ascii="Times New Roman" w:hAnsi="Times New Roman"/>
          <w:noProof/>
          <w:sz w:val="24"/>
        </w:rPr>
        <w:t>r tarpvalstybinį prekių, paslaugų, kapitalo ir žmonių judėjimą, reikia nuoseklių ir suderintų taisyklių, standartų arba praktikos. Siekiant ilgainiui užtikrinti tvarias sujungiamumo investicijas, reikia aukštų aplinkos ir socialinių standartų, tinkamo plan</w:t>
      </w:r>
      <w:r>
        <w:rPr>
          <w:rFonts w:ascii="Times New Roman" w:hAnsi="Times New Roman"/>
          <w:noProof/>
          <w:sz w:val="24"/>
        </w:rPr>
        <w:t>avimo ir išsamios gyvavimo ciklo sąnaudų ir naudos analizės. Kad būtų galima išvengti įsiskolinimo rizikos, reikia užtikrinti infrastruktūros projektų fiskalinį ir finansų tvarumą.</w:t>
      </w:r>
    </w:p>
    <w:p w:rsidR="00612344" w:rsidRDefault="00104B34">
      <w:pPr>
        <w:spacing w:line="240" w:lineRule="auto"/>
        <w:jc w:val="both"/>
        <w:rPr>
          <w:rFonts w:ascii="Times New Roman" w:hAnsi="Times New Roman" w:cs="Times New Roman"/>
          <w:noProof/>
          <w:sz w:val="24"/>
          <w:szCs w:val="24"/>
        </w:rPr>
      </w:pPr>
      <w:r>
        <w:rPr>
          <w:rFonts w:ascii="Times New Roman" w:hAnsi="Times New Roman"/>
          <w:noProof/>
          <w:sz w:val="24"/>
        </w:rPr>
        <w:t xml:space="preserve">Todėl Komisija siūlo </w:t>
      </w:r>
      <w:r>
        <w:rPr>
          <w:rFonts w:ascii="Times New Roman" w:hAnsi="Times New Roman"/>
          <w:b/>
          <w:noProof/>
          <w:sz w:val="24"/>
        </w:rPr>
        <w:t>ES strategijos dėl glaudesnių Europos ir Azijos sąsajų</w:t>
      </w:r>
      <w:r>
        <w:rPr>
          <w:rFonts w:ascii="Times New Roman" w:hAnsi="Times New Roman"/>
          <w:noProof/>
          <w:sz w:val="24"/>
        </w:rPr>
        <w:t xml:space="preserve"> sudedamąsias dalis ir konkrečius politikos pasiūlymus bei iniciatyvas, kuriais būtų galima gerinti Europos ir Azijos jungtis, be kita ko, naudojantis sąveikiais transporto, energetikos ir skaitmeniniais tinklais</w:t>
      </w:r>
      <w:r>
        <w:rPr>
          <w:rStyle w:val="FootnoteReference"/>
          <w:rFonts w:ascii="Times New Roman" w:hAnsi="Times New Roman"/>
          <w:noProof/>
          <w:sz w:val="24"/>
        </w:rPr>
        <w:footnoteReference w:id="5"/>
      </w:r>
      <w:r>
        <w:rPr>
          <w:noProof/>
        </w:rPr>
        <w:t>.</w:t>
      </w:r>
      <w:r>
        <w:rPr>
          <w:rFonts w:ascii="Times New Roman" w:hAnsi="Times New Roman"/>
          <w:noProof/>
          <w:sz w:val="24"/>
        </w:rPr>
        <w:t xml:space="preserve"> Šis komunikatas taip pat yra vienas iš ES</w:t>
      </w:r>
      <w:r>
        <w:rPr>
          <w:rFonts w:ascii="Times New Roman" w:hAnsi="Times New Roman"/>
          <w:noProof/>
          <w:sz w:val="24"/>
        </w:rPr>
        <w:t xml:space="preserve"> dokumentų, skirtų 2018 m. spalio mėn. vyksiančiam 12-ajam Azijos ir Europos susitikimui (ASEM), per kurį bus galima skatinti sujungiamumą ir plėtoti bendradarbiavimą su partneriais Azijoje.</w:t>
      </w:r>
    </w:p>
    <w:p w:rsidR="00612344" w:rsidRDefault="00104B34">
      <w:pPr>
        <w:spacing w:line="240" w:lineRule="auto"/>
        <w:jc w:val="both"/>
        <w:rPr>
          <w:rFonts w:ascii="Times New Roman" w:hAnsi="Times New Roman" w:cs="Times New Roman"/>
          <w:noProof/>
          <w:sz w:val="24"/>
          <w:szCs w:val="24"/>
        </w:rPr>
      </w:pPr>
      <w:r>
        <w:rPr>
          <w:rFonts w:ascii="Times New Roman" w:hAnsi="Times New Roman"/>
          <w:noProof/>
          <w:sz w:val="24"/>
        </w:rPr>
        <w:lastRenderedPageBreak/>
        <w:t xml:space="preserve">Šis komunikatas turėtų būti vertinamas atsižvelgiant į Komisijos </w:t>
      </w:r>
      <w:r>
        <w:rPr>
          <w:rFonts w:ascii="Times New Roman" w:hAnsi="Times New Roman"/>
          <w:noProof/>
          <w:sz w:val="24"/>
        </w:rPr>
        <w:t>pasiūlymą dėl kitos daugiametės finansinės programos</w:t>
      </w:r>
      <w:r>
        <w:rPr>
          <w:rStyle w:val="FootnoteReference"/>
          <w:rFonts w:ascii="Times New Roman" w:hAnsi="Times New Roman"/>
          <w:noProof/>
          <w:sz w:val="24"/>
        </w:rPr>
        <w:footnoteReference w:id="6"/>
      </w:r>
      <w:r>
        <w:rPr>
          <w:rFonts w:ascii="Times New Roman" w:hAnsi="Times New Roman"/>
          <w:noProof/>
          <w:sz w:val="24"/>
        </w:rPr>
        <w:t>, kurioje nustatyti aiškūs prioritetai, išsamiau paaiškinti neseniai priimtuose Komisijos komunikatuose</w:t>
      </w:r>
      <w:r>
        <w:rPr>
          <w:rStyle w:val="FootnoteReference"/>
          <w:rFonts w:ascii="Times New Roman" w:hAnsi="Times New Roman"/>
          <w:noProof/>
          <w:sz w:val="24"/>
        </w:rPr>
        <w:footnoteReference w:id="7"/>
      </w:r>
      <w:r>
        <w:rPr>
          <w:rFonts w:ascii="Times New Roman" w:hAnsi="Times New Roman"/>
          <w:noProof/>
          <w:sz w:val="24"/>
        </w:rPr>
        <w:t xml:space="preserve">, ir kartu suteiktos priemonės skatinti ir remti privačiąsias investicijas visame pasaulyje. </w:t>
      </w:r>
    </w:p>
    <w:p w:rsidR="00612344" w:rsidRDefault="00104B34">
      <w:pPr>
        <w:pStyle w:val="ListParagraph"/>
        <w:numPr>
          <w:ilvl w:val="0"/>
          <w:numId w:val="30"/>
        </w:numPr>
        <w:spacing w:line="240" w:lineRule="auto"/>
        <w:rPr>
          <w:rFonts w:ascii="Times New Roman" w:hAnsi="Times New Roman" w:cs="Times New Roman"/>
          <w:b/>
          <w:noProof/>
          <w:sz w:val="24"/>
          <w:szCs w:val="24"/>
        </w:rPr>
      </w:pPr>
      <w:r>
        <w:rPr>
          <w:rFonts w:ascii="Times New Roman" w:hAnsi="Times New Roman"/>
          <w:b/>
          <w:noProof/>
          <w:sz w:val="24"/>
        </w:rPr>
        <w:t>Europ</w:t>
      </w:r>
      <w:r>
        <w:rPr>
          <w:rFonts w:ascii="Times New Roman" w:hAnsi="Times New Roman"/>
          <w:b/>
          <w:noProof/>
          <w:sz w:val="24"/>
        </w:rPr>
        <w:t>ietiškas tvarus, visapusiškas ir taisyklėmis grindžiamas sujungiamumas</w:t>
      </w:r>
    </w:p>
    <w:p w:rsidR="00612344" w:rsidRDefault="00104B34">
      <w:pPr>
        <w:spacing w:line="240" w:lineRule="auto"/>
        <w:jc w:val="both"/>
        <w:rPr>
          <w:rFonts w:ascii="Times New Roman" w:hAnsi="Times New Roman" w:cs="Times New Roman"/>
          <w:noProof/>
          <w:sz w:val="24"/>
          <w:szCs w:val="24"/>
        </w:rPr>
      </w:pPr>
      <w:r>
        <w:rPr>
          <w:rFonts w:ascii="Times New Roman" w:hAnsi="Times New Roman"/>
          <w:noProof/>
          <w:sz w:val="24"/>
        </w:rPr>
        <w:t xml:space="preserve">Pastaruosius dešimtmečius ES skatino vidaus sujungiamumą. Sukūrusi </w:t>
      </w:r>
      <w:r>
        <w:rPr>
          <w:rFonts w:ascii="Times New Roman" w:hAnsi="Times New Roman"/>
          <w:b/>
          <w:noProof/>
          <w:sz w:val="24"/>
        </w:rPr>
        <w:t>vidaus rinką</w:t>
      </w:r>
      <w:r>
        <w:rPr>
          <w:rFonts w:ascii="Times New Roman" w:hAnsi="Times New Roman"/>
          <w:noProof/>
          <w:sz w:val="24"/>
        </w:rPr>
        <w:t xml:space="preserve"> ES sudarė sąlygas laisvam žmonių, prekių, paslaugų ir kapitalo judėjimui. Visoje ES galiojančios taisyklės – pvz., ES valstybės pagalbos kontrolės ir viešųjų pirkimų taisyklės, – užtikrina sąžiningą ir skaidrią konkurenciją, o Sąjungos politika taip pat u</w:t>
      </w:r>
      <w:r>
        <w:rPr>
          <w:rFonts w:ascii="Times New Roman" w:hAnsi="Times New Roman"/>
          <w:noProof/>
          <w:sz w:val="24"/>
        </w:rPr>
        <w:t>žtikrina aplinkos apsaugą, saugą, saugumą ir socialines bei asmens teises</w:t>
      </w:r>
      <w:r>
        <w:rPr>
          <w:rStyle w:val="FootnoteReference"/>
          <w:noProof/>
        </w:rPr>
        <w:footnoteReference w:id="8"/>
      </w:r>
      <w:r>
        <w:rPr>
          <w:noProof/>
        </w:rPr>
        <w:t>.</w:t>
      </w:r>
      <w:r>
        <w:rPr>
          <w:rFonts w:ascii="Times New Roman" w:hAnsi="Times New Roman"/>
          <w:noProof/>
          <w:sz w:val="24"/>
        </w:rPr>
        <w:t xml:space="preserve"> Be to, ES taip pat skatina kurti žiedinę ekonomiką, užtikrinti mažą išmetamą šiltnamio efektą sukeliančių dujų kiekį ir klimato kaitos poveikiui atsparią ateitį, kad būtų galima įg</w:t>
      </w:r>
      <w:r>
        <w:rPr>
          <w:rFonts w:ascii="Times New Roman" w:hAnsi="Times New Roman"/>
          <w:noProof/>
          <w:sz w:val="24"/>
        </w:rPr>
        <w:t>yvendinti darnaus vystymosi tikslus (DVT) ir Paryžiaus klimato susitarime nustatytus tikslus.</w:t>
      </w:r>
      <w:r>
        <w:rPr>
          <w:rFonts w:ascii="Times New Roman" w:hAnsi="Times New Roman"/>
          <w:b/>
          <w:noProof/>
          <w:sz w:val="24"/>
        </w:rPr>
        <w:t xml:space="preserve"> </w:t>
      </w:r>
      <w:r>
        <w:rPr>
          <w:rFonts w:ascii="Times New Roman" w:hAnsi="Times New Roman"/>
          <w:noProof/>
          <w:sz w:val="24"/>
        </w:rPr>
        <w:t>Šia politika paskatintos investicijos į tarpvalstybinį sujungiamumą, grindžiamą švariu transeuropiniu tinklu (angl. TEN), kuriam taikomi gerai apibrėžti prioritet</w:t>
      </w:r>
      <w:r>
        <w:rPr>
          <w:rFonts w:ascii="Times New Roman" w:hAnsi="Times New Roman"/>
          <w:noProof/>
          <w:sz w:val="24"/>
        </w:rPr>
        <w:t>ai ir standartai. Tai naudinga piliečiams, kaip sujungiamumo vartotojams, ir įmonėms, nes jie gali pasitikėti veiksminga visos Europos infrastruktūra, laisva ir sąžininga konkurencija ir remtis bendrais standartais. ES vidaus rinka padidino našumą ir konku</w:t>
      </w:r>
      <w:r>
        <w:rPr>
          <w:rFonts w:ascii="Times New Roman" w:hAnsi="Times New Roman"/>
          <w:noProof/>
          <w:sz w:val="24"/>
        </w:rPr>
        <w:t xml:space="preserve">rencingumą, todėl iš jos būtų galima semtis idėjų visame pasaulyje.  </w:t>
      </w:r>
    </w:p>
    <w:p w:rsidR="00612344" w:rsidRDefault="00104B34">
      <w:pPr>
        <w:spacing w:line="240" w:lineRule="auto"/>
        <w:jc w:val="both"/>
        <w:rPr>
          <w:rFonts w:ascii="Times New Roman" w:hAnsi="Times New Roman" w:cs="Times New Roman"/>
          <w:noProof/>
          <w:sz w:val="24"/>
          <w:szCs w:val="24"/>
        </w:rPr>
      </w:pPr>
      <w:r>
        <w:rPr>
          <w:rFonts w:ascii="Times New Roman" w:hAnsi="Times New Roman"/>
          <w:noProof/>
          <w:sz w:val="24"/>
        </w:rPr>
        <w:t xml:space="preserve">ES sujungiamumo politika siekiama skatinti veiksmingumą ES bendrojoje rinkoje ir didinti sujungiamumą pasauliniu mastu, daug dėmesio skiriant naudai žmonėms ir jų teisėms. Šiuos tikslus </w:t>
      </w:r>
      <w:r>
        <w:rPr>
          <w:rFonts w:ascii="Times New Roman" w:hAnsi="Times New Roman"/>
          <w:noProof/>
          <w:sz w:val="24"/>
        </w:rPr>
        <w:t>remia darnaus vystymosi, priklausomybės nuo iškastinio kuro mažinimo, skaitmeninimo, investicijų, inovacijų ir lyderystės pasaulyje politika.</w:t>
      </w:r>
    </w:p>
    <w:p w:rsidR="00612344" w:rsidRDefault="00104B34">
      <w:pPr>
        <w:spacing w:line="240" w:lineRule="auto"/>
        <w:jc w:val="both"/>
        <w:rPr>
          <w:rFonts w:ascii="Times New Roman" w:hAnsi="Times New Roman" w:cs="Times New Roman"/>
          <w:noProof/>
          <w:sz w:val="24"/>
          <w:szCs w:val="24"/>
          <w:highlight w:val="yellow"/>
        </w:rPr>
      </w:pPr>
      <w:r>
        <w:rPr>
          <w:rFonts w:ascii="Times New Roman" w:hAnsi="Times New Roman"/>
          <w:noProof/>
          <w:sz w:val="24"/>
        </w:rPr>
        <w:t>Atsižvelgdama į savo patirtį ES gali skatinti požiūrį į tvarų, visapusišką ir taisyklėmis grindžiamą sujungiamumą:</w:t>
      </w:r>
      <w:r>
        <w:rPr>
          <w:rFonts w:ascii="Times New Roman" w:hAnsi="Times New Roman"/>
          <w:noProof/>
          <w:sz w:val="24"/>
        </w:rPr>
        <w:t xml:space="preserve"> </w:t>
      </w:r>
    </w:p>
    <w:p w:rsidR="00612344" w:rsidRDefault="00104B34">
      <w:pPr>
        <w:pStyle w:val="ListParagraph"/>
        <w:numPr>
          <w:ilvl w:val="0"/>
          <w:numId w:val="27"/>
        </w:numPr>
        <w:spacing w:line="240" w:lineRule="auto"/>
        <w:jc w:val="both"/>
        <w:rPr>
          <w:rFonts w:ascii="Times New Roman" w:hAnsi="Times New Roman" w:cs="Times New Roman"/>
          <w:noProof/>
          <w:sz w:val="24"/>
          <w:szCs w:val="24"/>
        </w:rPr>
      </w:pPr>
      <w:r>
        <w:rPr>
          <w:rFonts w:ascii="Times New Roman" w:hAnsi="Times New Roman"/>
          <w:b/>
          <w:noProof/>
          <w:sz w:val="24"/>
        </w:rPr>
        <w:t>tvarus sujungiamumas –</w:t>
      </w:r>
      <w:r>
        <w:rPr>
          <w:rFonts w:ascii="Times New Roman" w:hAnsi="Times New Roman"/>
          <w:noProof/>
          <w:sz w:val="24"/>
        </w:rPr>
        <w:t xml:space="preserve"> kad būtų galima skatinti našumą, ekonomikos augimą ir kurti darbo vietas, sujungiamumo investicijos turi užtikrinti rinkos efektyvumą ir būti perspektyvios fiskaliniu požiūriu. Siekdama atsižvelgti į klimato kaitos ir aplinkos būkl</w:t>
      </w:r>
      <w:r>
        <w:rPr>
          <w:rFonts w:ascii="Times New Roman" w:hAnsi="Times New Roman"/>
          <w:noProof/>
          <w:sz w:val="24"/>
        </w:rPr>
        <w:t>ės blogėjimo problemas, ES, remdamasi poveikio aplinkai vertinimais, turi skatinti mažinti ekonomikos priklausomybę nuo iškastinio kuro ir laikytis aukštų standartų. Siekdama tolesnės socialinės pažangos, ji turi laikytis aukštų skaidrumo ir valdymo standa</w:t>
      </w:r>
      <w:r>
        <w:rPr>
          <w:rFonts w:ascii="Times New Roman" w:hAnsi="Times New Roman"/>
          <w:noProof/>
          <w:sz w:val="24"/>
        </w:rPr>
        <w:t>rtų ir, rengdama tinkamas viešas konsultacijas, suteikti galimybę su projektais susijusiems žmonėms būti išgirstiems. Sujungiamumo politika turėtų mažinti neigiamą šalutinį poveikį, pvz., poveikį aplinkai, spūstis, triukšmą, taršą ir avarijų skaičių. Trump</w:t>
      </w:r>
      <w:r>
        <w:rPr>
          <w:rFonts w:ascii="Times New Roman" w:hAnsi="Times New Roman"/>
          <w:noProof/>
          <w:sz w:val="24"/>
        </w:rPr>
        <w:t>ai tariant, ilguoju laikotarpiu sujungiamumas turi būti tvarus ekonominiu, fiskaliniu, aplinkos ir socialiniu požiūriais;</w:t>
      </w:r>
    </w:p>
    <w:p w:rsidR="00612344" w:rsidRDefault="00612344">
      <w:pPr>
        <w:pStyle w:val="ListParagraph"/>
        <w:spacing w:line="240" w:lineRule="auto"/>
        <w:jc w:val="both"/>
        <w:rPr>
          <w:rFonts w:ascii="Times New Roman" w:hAnsi="Times New Roman" w:cs="Times New Roman"/>
          <w:noProof/>
          <w:sz w:val="24"/>
          <w:szCs w:val="24"/>
        </w:rPr>
      </w:pPr>
    </w:p>
    <w:p w:rsidR="00612344" w:rsidRDefault="00104B34">
      <w:pPr>
        <w:pStyle w:val="ListParagraph"/>
        <w:numPr>
          <w:ilvl w:val="0"/>
          <w:numId w:val="27"/>
        </w:numPr>
        <w:spacing w:line="240" w:lineRule="auto"/>
        <w:jc w:val="both"/>
        <w:rPr>
          <w:rFonts w:ascii="Times New Roman" w:hAnsi="Times New Roman" w:cs="Times New Roman"/>
          <w:noProof/>
          <w:sz w:val="24"/>
          <w:szCs w:val="24"/>
        </w:rPr>
      </w:pPr>
      <w:r>
        <w:rPr>
          <w:rFonts w:ascii="Times New Roman" w:hAnsi="Times New Roman"/>
          <w:b/>
          <w:noProof/>
          <w:sz w:val="24"/>
        </w:rPr>
        <w:t>visapusiškas sujungiamumas –</w:t>
      </w:r>
      <w:r>
        <w:rPr>
          <w:rFonts w:ascii="Times New Roman" w:hAnsi="Times New Roman"/>
          <w:i/>
          <w:noProof/>
          <w:sz w:val="24"/>
        </w:rPr>
        <w:t xml:space="preserve"> </w:t>
      </w:r>
      <w:r>
        <w:rPr>
          <w:rFonts w:ascii="Times New Roman" w:hAnsi="Times New Roman"/>
          <w:noProof/>
          <w:sz w:val="24"/>
        </w:rPr>
        <w:t>sujungiamumą sudaro tinklai ir per juos vykstantys žmonių, prekių, paslaugų ir kapitalo srautai. Tai oro</w:t>
      </w:r>
      <w:r>
        <w:rPr>
          <w:rFonts w:ascii="Times New Roman" w:hAnsi="Times New Roman"/>
          <w:noProof/>
          <w:sz w:val="24"/>
        </w:rPr>
        <w:t>, žemės ar jūrų transporto jungtys. Tai skaitmeniniai tinklai, apimantys judrųjį ir fiksuotąjį ryšius, pagrindinį interneto tinklą ir vietines linijas, kabelius ir palydovus. Tai taip pat energetikos tinklai ir energijos srautai: dujos, įskaitant suskystin</w:t>
      </w:r>
      <w:r>
        <w:rPr>
          <w:rFonts w:ascii="Times New Roman" w:hAnsi="Times New Roman"/>
          <w:noProof/>
          <w:sz w:val="24"/>
        </w:rPr>
        <w:t xml:space="preserve">tas gamtines dujas, elektros tinklai, atsinaujinantieji energijos ištekliai ir efektyvus energijos vartojimas. Reikėtų gerinti šių trijų sektorių sąsajas, kuriomis kartais užtikrinamas novatoriškas ir naujų formų sujungiamumas. Sujungiamumui labai svarbus </w:t>
      </w:r>
      <w:r>
        <w:rPr>
          <w:rFonts w:ascii="Times New Roman" w:hAnsi="Times New Roman"/>
          <w:noProof/>
          <w:sz w:val="24"/>
        </w:rPr>
        <w:t>žmogiškasis aspektas, todėl įgyvendinant bet kokią politiką daug dėmesio turi būti skiriama žmonių interesams ir teisėms;</w:t>
      </w:r>
    </w:p>
    <w:p w:rsidR="00612344" w:rsidRDefault="00612344">
      <w:pPr>
        <w:pStyle w:val="ListParagraph"/>
        <w:rPr>
          <w:rFonts w:ascii="Times New Roman" w:hAnsi="Times New Roman" w:cs="Times New Roman"/>
          <w:noProof/>
          <w:sz w:val="24"/>
          <w:szCs w:val="24"/>
        </w:rPr>
      </w:pPr>
    </w:p>
    <w:p w:rsidR="00612344" w:rsidRDefault="00104B34">
      <w:pPr>
        <w:pStyle w:val="ListParagraph"/>
        <w:numPr>
          <w:ilvl w:val="0"/>
          <w:numId w:val="27"/>
        </w:numPr>
        <w:spacing w:line="240" w:lineRule="auto"/>
        <w:jc w:val="both"/>
        <w:rPr>
          <w:rFonts w:ascii="Times New Roman" w:hAnsi="Times New Roman" w:cs="Times New Roman"/>
          <w:noProof/>
          <w:sz w:val="24"/>
          <w:szCs w:val="24"/>
        </w:rPr>
      </w:pPr>
      <w:r>
        <w:rPr>
          <w:rFonts w:ascii="Times New Roman" w:hAnsi="Times New Roman"/>
          <w:b/>
          <w:noProof/>
          <w:sz w:val="24"/>
        </w:rPr>
        <w:t>tarptautinėmis taisyklėmis grindžiamas sujungiamumas –</w:t>
      </w:r>
      <w:r>
        <w:rPr>
          <w:rFonts w:ascii="Times New Roman" w:hAnsi="Times New Roman"/>
          <w:noProof/>
          <w:sz w:val="24"/>
        </w:rPr>
        <w:t xml:space="preserve"> kad žmonės, prekės, paslaugos ir kapitalas galėtų judėti veiksmingai, teisinga</w:t>
      </w:r>
      <w:r>
        <w:rPr>
          <w:rFonts w:ascii="Times New Roman" w:hAnsi="Times New Roman"/>
          <w:noProof/>
          <w:sz w:val="24"/>
        </w:rPr>
        <w:t>i ir sklandžiai, reikia taisyklių ir teisės aktų. Tarptautiniu lygmeniu sutarta praktika, taisyklės, konvencijos ir techniniai standartai, kuriuos remia tarptautinės organizacijos ir institucijos, sudaro sąlygas tarpvalstybiniam tinklų ir prekybos sąveikum</w:t>
      </w:r>
      <w:r>
        <w:rPr>
          <w:rFonts w:ascii="Times New Roman" w:hAnsi="Times New Roman"/>
          <w:noProof/>
          <w:sz w:val="24"/>
        </w:rPr>
        <w:t>ui. Savo vidaus rinkoje Europos Sąjunga įmonėms užtikrina nediskriminavimą bei vienodas sąlygas ir skatina atvirą ir skaidrią investavimo aplinką, kartu saugodama savo ypatingos svarbos turtą</w:t>
      </w:r>
      <w:r>
        <w:rPr>
          <w:rStyle w:val="FootnoteReference"/>
          <w:rFonts w:ascii="Times New Roman" w:hAnsi="Times New Roman"/>
          <w:noProof/>
          <w:sz w:val="24"/>
        </w:rPr>
        <w:footnoteReference w:id="9"/>
      </w:r>
      <w:r>
        <w:rPr>
          <w:rFonts w:ascii="Times New Roman" w:hAnsi="Times New Roman"/>
          <w:noProof/>
          <w:sz w:val="24"/>
        </w:rPr>
        <w:t>. ES turėtų toliau skatinti atvirus ir skaidrius viešųjų pirkimų</w:t>
      </w:r>
      <w:r>
        <w:rPr>
          <w:rFonts w:ascii="Times New Roman" w:hAnsi="Times New Roman"/>
          <w:noProof/>
          <w:sz w:val="24"/>
        </w:rPr>
        <w:t xml:space="preserve"> procesus, per kuriuos įmonės naudotųsi vienodomis sąlygomis. </w:t>
      </w:r>
    </w:p>
    <w:p w:rsidR="00612344" w:rsidRDefault="00104B34">
      <w:pPr>
        <w:jc w:val="both"/>
        <w:rPr>
          <w:rFonts w:ascii="Times New Roman" w:hAnsi="Times New Roman" w:cs="Times New Roman"/>
          <w:noProof/>
          <w:sz w:val="24"/>
          <w:szCs w:val="24"/>
        </w:rPr>
      </w:pPr>
      <w:r>
        <w:rPr>
          <w:rFonts w:ascii="Times New Roman" w:hAnsi="Times New Roman"/>
          <w:noProof/>
          <w:sz w:val="24"/>
        </w:rPr>
        <w:t xml:space="preserve">Tuo remdamasi ES su savo kaimyninėmis šalimis ir partneriais Azijoje bendradarbiaus trimis kryptimis: </w:t>
      </w:r>
    </w:p>
    <w:p w:rsidR="00612344" w:rsidRDefault="00104B34">
      <w:pPr>
        <w:pStyle w:val="ListParagraph"/>
        <w:numPr>
          <w:ilvl w:val="0"/>
          <w:numId w:val="27"/>
        </w:numPr>
        <w:spacing w:line="240" w:lineRule="auto"/>
        <w:jc w:val="both"/>
        <w:rPr>
          <w:rFonts w:ascii="Times New Roman" w:hAnsi="Times New Roman" w:cs="Times New Roman"/>
          <w:noProof/>
          <w:sz w:val="24"/>
          <w:szCs w:val="24"/>
        </w:rPr>
      </w:pPr>
      <w:r>
        <w:rPr>
          <w:rFonts w:ascii="Times New Roman" w:hAnsi="Times New Roman"/>
          <w:noProof/>
          <w:sz w:val="24"/>
        </w:rPr>
        <w:t>pirma, padės užtikrinti veiksmingas jungtis ir tinklus tarp Europos ir Azijos, kurdama pri</w:t>
      </w:r>
      <w:r>
        <w:rPr>
          <w:rFonts w:ascii="Times New Roman" w:hAnsi="Times New Roman"/>
          <w:noProof/>
          <w:sz w:val="24"/>
        </w:rPr>
        <w:t xml:space="preserve">oritetinius transporto koridorius, skaitmeninius ryšius ir bendradarbiaudama energetikos srityje žmonių ir atitinkamų šalių ekonomikos labui; </w:t>
      </w:r>
    </w:p>
    <w:p w:rsidR="00612344" w:rsidRDefault="00104B34">
      <w:pPr>
        <w:pStyle w:val="ListParagraph"/>
        <w:numPr>
          <w:ilvl w:val="0"/>
          <w:numId w:val="27"/>
        </w:numPr>
        <w:spacing w:line="240" w:lineRule="auto"/>
        <w:jc w:val="both"/>
        <w:rPr>
          <w:rFonts w:ascii="Times New Roman" w:hAnsi="Times New Roman" w:cs="Times New Roman"/>
          <w:noProof/>
          <w:sz w:val="24"/>
          <w:szCs w:val="24"/>
        </w:rPr>
      </w:pPr>
      <w:r>
        <w:rPr>
          <w:rFonts w:ascii="Times New Roman" w:hAnsi="Times New Roman"/>
          <w:noProof/>
          <w:sz w:val="24"/>
        </w:rPr>
        <w:t>antra, užmegs sujungiamumo partnerystes, grindžiamas bendrai sutartomis taisyklėmis ir standartais, kuriais sudar</w:t>
      </w:r>
      <w:r>
        <w:rPr>
          <w:rFonts w:ascii="Times New Roman" w:hAnsi="Times New Roman"/>
          <w:noProof/>
          <w:sz w:val="24"/>
        </w:rPr>
        <w:t xml:space="preserve">omos sąlygos geresniam prekių, žmonių, kapitalo ir paslaugų valdymui; </w:t>
      </w:r>
    </w:p>
    <w:p w:rsidR="00612344" w:rsidRDefault="00104B34">
      <w:pPr>
        <w:pStyle w:val="ListParagraph"/>
        <w:numPr>
          <w:ilvl w:val="0"/>
          <w:numId w:val="27"/>
        </w:numPr>
        <w:spacing w:line="240" w:lineRule="auto"/>
        <w:jc w:val="both"/>
        <w:rPr>
          <w:rFonts w:ascii="Times New Roman" w:hAnsi="Times New Roman" w:cs="Times New Roman"/>
          <w:noProof/>
          <w:sz w:val="24"/>
          <w:szCs w:val="24"/>
        </w:rPr>
      </w:pPr>
      <w:r>
        <w:rPr>
          <w:rFonts w:ascii="Times New Roman" w:hAnsi="Times New Roman"/>
          <w:noProof/>
          <w:sz w:val="24"/>
        </w:rPr>
        <w:t>trečia, padės mažinti didelį investicijų trūkumą, gerindama išteklių sutelkimą, didindama ES finansinių išteklių poveikį ir stiprindama tarptautines partnerystes.</w:t>
      </w:r>
    </w:p>
    <w:p w:rsidR="00612344" w:rsidRDefault="00612344">
      <w:pPr>
        <w:pStyle w:val="ListParagraph"/>
        <w:spacing w:line="240" w:lineRule="auto"/>
        <w:jc w:val="both"/>
        <w:rPr>
          <w:rFonts w:ascii="Times New Roman" w:hAnsi="Times New Roman" w:cs="Times New Roman"/>
          <w:noProof/>
          <w:sz w:val="24"/>
          <w:szCs w:val="24"/>
        </w:rPr>
      </w:pPr>
    </w:p>
    <w:p w:rsidR="00612344" w:rsidRDefault="00104B34">
      <w:pPr>
        <w:pStyle w:val="ListParagraph"/>
        <w:numPr>
          <w:ilvl w:val="0"/>
          <w:numId w:val="30"/>
        </w:numPr>
        <w:spacing w:line="240" w:lineRule="auto"/>
        <w:rPr>
          <w:rFonts w:ascii="Times New Roman" w:hAnsi="Times New Roman" w:cs="Times New Roman"/>
          <w:b/>
          <w:noProof/>
          <w:sz w:val="24"/>
          <w:szCs w:val="24"/>
        </w:rPr>
      </w:pPr>
      <w:r>
        <w:rPr>
          <w:rFonts w:ascii="Times New Roman" w:hAnsi="Times New Roman"/>
          <w:b/>
          <w:noProof/>
          <w:sz w:val="24"/>
        </w:rPr>
        <w:t>Veiksmingų Europos ir</w:t>
      </w:r>
      <w:r>
        <w:rPr>
          <w:rFonts w:ascii="Times New Roman" w:hAnsi="Times New Roman"/>
          <w:b/>
          <w:noProof/>
          <w:sz w:val="24"/>
        </w:rPr>
        <w:t xml:space="preserve"> Azijos jungčių kūrimas</w:t>
      </w:r>
    </w:p>
    <w:p w:rsidR="00612344" w:rsidRDefault="00104B34">
      <w:pPr>
        <w:spacing w:line="240" w:lineRule="auto"/>
        <w:jc w:val="both"/>
        <w:rPr>
          <w:rFonts w:ascii="Times New Roman" w:hAnsi="Times New Roman" w:cs="Times New Roman"/>
          <w:noProof/>
          <w:sz w:val="24"/>
          <w:szCs w:val="24"/>
        </w:rPr>
      </w:pPr>
      <w:r>
        <w:rPr>
          <w:rFonts w:ascii="Times New Roman" w:hAnsi="Times New Roman"/>
          <w:noProof/>
          <w:sz w:val="24"/>
        </w:rPr>
        <w:t>Siekdama toliau didinti esamų ir būsimų jungčių veiksmingumą, Sąjunga kartu su savo partneriais turėtų spręsti Europos ir Azijos transporto, energetikos ir skaitmeninių ryšių klausimus, kartu atsižvelgdama į didelį poveikį sujungiam</w:t>
      </w:r>
      <w:r>
        <w:rPr>
          <w:rFonts w:ascii="Times New Roman" w:hAnsi="Times New Roman"/>
          <w:noProof/>
          <w:sz w:val="24"/>
        </w:rPr>
        <w:t>umui darančius sparčius technologinius pokyčius. Spręsdami Europos ir Azijos fizinių jungčių klausimus, ES ir jos partneriai taip pat turėtų skatinti studentų, akademikų ir mokslininkų sujungiamumą ir judumą.</w:t>
      </w:r>
    </w:p>
    <w:p w:rsidR="00612344" w:rsidRDefault="00104B34">
      <w:pPr>
        <w:pStyle w:val="ListParagraph"/>
        <w:numPr>
          <w:ilvl w:val="1"/>
          <w:numId w:val="30"/>
        </w:numPr>
        <w:spacing w:line="240" w:lineRule="auto"/>
        <w:rPr>
          <w:rFonts w:ascii="Times New Roman" w:hAnsi="Times New Roman" w:cs="Times New Roman"/>
          <w:b/>
          <w:noProof/>
          <w:sz w:val="24"/>
          <w:szCs w:val="24"/>
        </w:rPr>
      </w:pPr>
      <w:r>
        <w:rPr>
          <w:rFonts w:ascii="Times New Roman" w:hAnsi="Times New Roman"/>
          <w:b/>
          <w:noProof/>
          <w:sz w:val="24"/>
        </w:rPr>
        <w:t>Transportas</w:t>
      </w:r>
    </w:p>
    <w:p w:rsidR="00612344" w:rsidRDefault="00104B34">
      <w:pPr>
        <w:spacing w:line="240" w:lineRule="auto"/>
        <w:jc w:val="both"/>
        <w:rPr>
          <w:rFonts w:ascii="Times New Roman" w:hAnsi="Times New Roman" w:cs="Times New Roman"/>
          <w:noProof/>
          <w:sz w:val="24"/>
          <w:szCs w:val="24"/>
        </w:rPr>
      </w:pPr>
      <w:r>
        <w:rPr>
          <w:rFonts w:ascii="Times New Roman" w:hAnsi="Times New Roman"/>
          <w:noProof/>
          <w:sz w:val="24"/>
        </w:rPr>
        <w:t xml:space="preserve">Partnerius iš Azijos ir Sąjungą </w:t>
      </w:r>
      <w:r>
        <w:rPr>
          <w:rFonts w:ascii="Times New Roman" w:hAnsi="Times New Roman"/>
          <w:noProof/>
          <w:sz w:val="24"/>
        </w:rPr>
        <w:t>sieja bendras interesas plėtoti veiksmingus, ekonomiškai perspektyvius ir aplinkos atžvilgiu tvarius prekybos maršrutus ir koridorius tarp Europos ir Azijos. Pagal vertę šiandien 70 proc. prekybos vyksta jūromis, daugiau kaip 25 proc. – oru, o geležinkelia</w:t>
      </w:r>
      <w:r>
        <w:rPr>
          <w:rFonts w:ascii="Times New Roman" w:hAnsi="Times New Roman"/>
          <w:noProof/>
          <w:sz w:val="24"/>
        </w:rPr>
        <w:t>i tebėra palyginti nereikšmingi. Augimo galimybės visuose sektoriuose yra didelės.</w:t>
      </w:r>
    </w:p>
    <w:p w:rsidR="00612344" w:rsidRDefault="00104B34">
      <w:pPr>
        <w:spacing w:line="240" w:lineRule="auto"/>
        <w:jc w:val="both"/>
        <w:rPr>
          <w:rFonts w:ascii="Times New Roman" w:hAnsi="Times New Roman" w:cs="Times New Roman"/>
          <w:noProof/>
          <w:sz w:val="24"/>
          <w:szCs w:val="24"/>
        </w:rPr>
      </w:pPr>
      <w:r>
        <w:rPr>
          <w:rFonts w:ascii="Times New Roman" w:hAnsi="Times New Roman"/>
          <w:noProof/>
          <w:sz w:val="24"/>
        </w:rPr>
        <w:t xml:space="preserve">ES kartu su savo kaimyninėmis šalimis ir partneriais Azijoje turėtų gerinti transporto jungtis. ES turėtų stengtis </w:t>
      </w:r>
      <w:r>
        <w:rPr>
          <w:rFonts w:ascii="Times New Roman" w:hAnsi="Times New Roman"/>
          <w:b/>
          <w:noProof/>
          <w:sz w:val="24"/>
        </w:rPr>
        <w:t>sujungti gerai išplėtotą transeuropinį transporto tinklą (</w:t>
      </w:r>
      <w:r>
        <w:rPr>
          <w:rFonts w:ascii="Times New Roman" w:hAnsi="Times New Roman"/>
          <w:b/>
          <w:noProof/>
          <w:sz w:val="24"/>
        </w:rPr>
        <w:t>angl. TEN-T) su Azijoje veikiančiais tinklais</w:t>
      </w:r>
      <w:r>
        <w:rPr>
          <w:rFonts w:ascii="Times New Roman" w:hAnsi="Times New Roman"/>
          <w:noProof/>
          <w:sz w:val="24"/>
        </w:rPr>
        <w:t>. TEN-T apima aiškius prioritetus ir standartus, kuriais siekiama skatinti tarpvalstybinį ir sąveikų daugiarūšį transportą, t. y. geležinkelių, jūrų ir vidaus vandenų kelių derinį. Siekdama šio tikslo, ES prirei</w:t>
      </w:r>
      <w:r>
        <w:rPr>
          <w:rFonts w:ascii="Times New Roman" w:hAnsi="Times New Roman"/>
          <w:noProof/>
          <w:sz w:val="24"/>
        </w:rPr>
        <w:t>kus galėtų siūlyti techninę pagalbą, siekdama padėti savo partneriams planuoti transporto sistemas, užtikrinti jų tarpusavio sujungiamumą ir prireikus padėti finansuoti infrastruktūrą (žr. 4 dalį). Naujais sujungiamumo lygių vertinimo metodais, pvz., taika</w:t>
      </w:r>
      <w:r>
        <w:rPr>
          <w:rFonts w:ascii="Times New Roman" w:hAnsi="Times New Roman"/>
          <w:noProof/>
          <w:sz w:val="24"/>
        </w:rPr>
        <w:t>nt sujungiamumo indeksus, bus lengviau nustatyti spragas ir galimybes. ES taip pat turėtų padėti gerinti transporto jungčių su Azija saugumą.</w:t>
      </w:r>
    </w:p>
    <w:tbl>
      <w:tblPr>
        <w:tblStyle w:val="TableGrid"/>
        <w:tblW w:w="0" w:type="auto"/>
        <w:tblInd w:w="108" w:type="dxa"/>
        <w:tblLayout w:type="fixed"/>
        <w:tblLook w:val="04A0" w:firstRow="1" w:lastRow="0" w:firstColumn="1" w:lastColumn="0" w:noHBand="0" w:noVBand="1"/>
      </w:tblPr>
      <w:tblGrid>
        <w:gridCol w:w="9072"/>
      </w:tblGrid>
      <w:tr w:rsidR="00612344">
        <w:tc>
          <w:tcPr>
            <w:tcW w:w="9072" w:type="dxa"/>
            <w:shd w:val="clear" w:color="auto" w:fill="8DB3E2" w:themeFill="text2" w:themeFillTint="66"/>
          </w:tcPr>
          <w:p w:rsidR="00612344" w:rsidRDefault="00104B34">
            <w:pPr>
              <w:jc w:val="center"/>
              <w:rPr>
                <w:rFonts w:ascii="Times New Roman" w:hAnsi="Times New Roman" w:cs="Times New Roman"/>
                <w:b/>
                <w:noProof/>
                <w:sz w:val="24"/>
                <w:szCs w:val="24"/>
              </w:rPr>
            </w:pPr>
            <w:r>
              <w:rPr>
                <w:rFonts w:ascii="Times New Roman" w:hAnsi="Times New Roman"/>
                <w:b/>
                <w:noProof/>
                <w:sz w:val="24"/>
              </w:rPr>
              <w:t>Sujungiamumas ir saugumas</w:t>
            </w:r>
          </w:p>
        </w:tc>
      </w:tr>
      <w:tr w:rsidR="00612344">
        <w:tc>
          <w:tcPr>
            <w:tcW w:w="9072" w:type="dxa"/>
          </w:tcPr>
          <w:p w:rsidR="00612344" w:rsidRDefault="00612344">
            <w:pPr>
              <w:jc w:val="both"/>
              <w:rPr>
                <w:rFonts w:ascii="Times New Roman" w:hAnsi="Times New Roman" w:cs="Times New Roman"/>
                <w:noProof/>
              </w:rPr>
            </w:pPr>
          </w:p>
          <w:p w:rsidR="00612344" w:rsidRDefault="00104B34">
            <w:pPr>
              <w:jc w:val="both"/>
              <w:rPr>
                <w:rFonts w:ascii="Times New Roman" w:hAnsi="Times New Roman" w:cs="Times New Roman"/>
                <w:noProof/>
                <w:sz w:val="24"/>
                <w:szCs w:val="24"/>
              </w:rPr>
            </w:pPr>
            <w:r>
              <w:rPr>
                <w:rFonts w:ascii="Times New Roman" w:hAnsi="Times New Roman"/>
                <w:noProof/>
              </w:rPr>
              <w:t>Pasaulis vis labiau priklauso nuo sudėtingų duomenų tinklų ir perdavimo, energijos jungčių, tiksliai suplanuotų vertės grandinių ir žmonių judumo. Norint suvaldyti šiuos srautus, reikia surasti tinkamą pusiausvyrą tarp, viena vertus, jų lengvinimo ir, kita</w:t>
            </w:r>
            <w:r>
              <w:rPr>
                <w:rFonts w:ascii="Times New Roman" w:hAnsi="Times New Roman"/>
                <w:noProof/>
              </w:rPr>
              <w:t xml:space="preserve"> vertus, jų saugos bei saugumo užtikrinimo. Hibridinių grėsmių ir terorizmo laikais svarbu užtikrinti srautų saugumą. Galimybės naudotis prekybos maršrutais vis dar priklauso nuo politinės ir saugumo aplinkos tinkamumo ir nuo to, kaip sprendžiami sunkumai,</w:t>
            </w:r>
            <w:r>
              <w:rPr>
                <w:rFonts w:ascii="Times New Roman" w:hAnsi="Times New Roman"/>
                <w:noProof/>
              </w:rPr>
              <w:t xml:space="preserve"> pvz., susiję su tarpvalstybiniu organizuotu nusikalstamumu, bet kokia kontrabanda ir neteisėta prekyba, kibernetiniu saugumu ir išpuoliais prieš energetinį bei transporto saugumą. Šių sunkumų neįmanoma įveikti vien šalių arba subjektų vidaus arba išorės p</w:t>
            </w:r>
            <w:r>
              <w:rPr>
                <w:rFonts w:ascii="Times New Roman" w:hAnsi="Times New Roman"/>
                <w:noProof/>
              </w:rPr>
              <w:t xml:space="preserve">olitika. ES kartu su šalimis partnerėmis turėtų stengtis pagerinti transporto jungčių su Azija saugą ir saugumą, pirmiausia – kibernetinio saugumo srityje. </w:t>
            </w:r>
          </w:p>
        </w:tc>
      </w:tr>
    </w:tbl>
    <w:p w:rsidR="00612344" w:rsidRDefault="00612344">
      <w:pPr>
        <w:spacing w:line="240" w:lineRule="auto"/>
        <w:jc w:val="both"/>
        <w:rPr>
          <w:rFonts w:ascii="Times New Roman" w:hAnsi="Times New Roman" w:cs="Times New Roman"/>
          <w:noProof/>
          <w:sz w:val="24"/>
          <w:szCs w:val="24"/>
        </w:rPr>
      </w:pPr>
    </w:p>
    <w:p w:rsidR="00612344" w:rsidRDefault="00104B34">
      <w:pPr>
        <w:pStyle w:val="ListParagraph"/>
        <w:numPr>
          <w:ilvl w:val="0"/>
          <w:numId w:val="24"/>
        </w:numPr>
        <w:spacing w:line="240" w:lineRule="auto"/>
        <w:jc w:val="both"/>
        <w:rPr>
          <w:rFonts w:ascii="Times New Roman" w:hAnsi="Times New Roman" w:cs="Times New Roman"/>
          <w:b/>
          <w:noProof/>
          <w:sz w:val="24"/>
          <w:szCs w:val="24"/>
        </w:rPr>
      </w:pPr>
      <w:r>
        <w:rPr>
          <w:rFonts w:ascii="Times New Roman" w:hAnsi="Times New Roman"/>
          <w:b/>
          <w:noProof/>
          <w:sz w:val="24"/>
        </w:rPr>
        <w:t>Oro transportas</w:t>
      </w:r>
    </w:p>
    <w:p w:rsidR="00612344" w:rsidRDefault="00104B34">
      <w:pPr>
        <w:spacing w:line="240" w:lineRule="auto"/>
        <w:jc w:val="both"/>
        <w:rPr>
          <w:rFonts w:ascii="Times New Roman" w:hAnsi="Times New Roman" w:cs="Times New Roman"/>
          <w:noProof/>
          <w:sz w:val="24"/>
          <w:szCs w:val="24"/>
        </w:rPr>
      </w:pPr>
      <w:r>
        <w:rPr>
          <w:rFonts w:ascii="Times New Roman" w:hAnsi="Times New Roman"/>
          <w:noProof/>
          <w:sz w:val="24"/>
        </w:rPr>
        <w:t xml:space="preserve">ES </w:t>
      </w:r>
      <w:r>
        <w:rPr>
          <w:rFonts w:ascii="Times New Roman" w:hAnsi="Times New Roman"/>
          <w:b/>
          <w:noProof/>
          <w:sz w:val="24"/>
        </w:rPr>
        <w:t>aviacijos susitarimais</w:t>
      </w:r>
      <w:r>
        <w:rPr>
          <w:rFonts w:ascii="Times New Roman" w:hAnsi="Times New Roman"/>
          <w:noProof/>
          <w:sz w:val="24"/>
        </w:rPr>
        <w:t xml:space="preserve"> su trečiosiomis šalimis kuriamos naujos ekonominės gali</w:t>
      </w:r>
      <w:r>
        <w:rPr>
          <w:rFonts w:ascii="Times New Roman" w:hAnsi="Times New Roman"/>
          <w:noProof/>
          <w:sz w:val="24"/>
        </w:rPr>
        <w:t>mybės, nes atveriamos rinkos ir skatinamos investavimo galimybės. Siekdama sudaryti sąlygas augti oro transporto sektoriui Europos Sąjungos ir šalių partnerių piliečių bei įmonių labui, ES šiuo metu derasi dėl aviacijos susitarimų su keliomis savo kaimynin</w:t>
      </w:r>
      <w:r>
        <w:rPr>
          <w:rFonts w:ascii="Times New Roman" w:hAnsi="Times New Roman"/>
          <w:noProof/>
          <w:sz w:val="24"/>
        </w:rPr>
        <w:t>ėmis ir Azijos šalimis</w:t>
      </w:r>
      <w:r>
        <w:rPr>
          <w:rStyle w:val="FootnoteReference"/>
          <w:rFonts w:ascii="Times New Roman" w:hAnsi="Times New Roman"/>
          <w:noProof/>
          <w:sz w:val="24"/>
        </w:rPr>
        <w:footnoteReference w:id="10"/>
      </w:r>
      <w:r>
        <w:rPr>
          <w:noProof/>
        </w:rPr>
        <w:t>.</w:t>
      </w:r>
      <w:r>
        <w:rPr>
          <w:rFonts w:ascii="Times New Roman" w:hAnsi="Times New Roman"/>
          <w:noProof/>
          <w:sz w:val="24"/>
        </w:rPr>
        <w:t xml:space="preserve"> Dėl jų derėdamasi ES taip pat atsižvelgia į aviacijos poveikį aplinkai ir klimatui, ypač į aviacijos išmetamųjų teršalų problemą. Europos Sąjunga Europoje, Azijoje ir kituose regionuose toliau rems būtiną </w:t>
      </w:r>
      <w:r>
        <w:rPr>
          <w:rFonts w:ascii="Times New Roman" w:hAnsi="Times New Roman"/>
          <w:b/>
          <w:noProof/>
          <w:sz w:val="24"/>
        </w:rPr>
        <w:t>ilgalaikį</w:t>
      </w:r>
      <w:r>
        <w:rPr>
          <w:rFonts w:ascii="Times New Roman" w:hAnsi="Times New Roman"/>
          <w:noProof/>
          <w:sz w:val="24"/>
        </w:rPr>
        <w:t xml:space="preserve"> oro transporto </w:t>
      </w:r>
      <w:r>
        <w:rPr>
          <w:rFonts w:ascii="Times New Roman" w:hAnsi="Times New Roman"/>
          <w:b/>
          <w:noProof/>
          <w:sz w:val="24"/>
        </w:rPr>
        <w:t>p</w:t>
      </w:r>
      <w:r>
        <w:rPr>
          <w:rFonts w:ascii="Times New Roman" w:hAnsi="Times New Roman"/>
          <w:b/>
          <w:noProof/>
          <w:sz w:val="24"/>
        </w:rPr>
        <w:t>riklausomybės nuo iškastinio kuro mažinimą</w:t>
      </w:r>
      <w:r>
        <w:rPr>
          <w:rFonts w:ascii="Times New Roman" w:hAnsi="Times New Roman"/>
          <w:noProof/>
          <w:sz w:val="24"/>
        </w:rPr>
        <w:t>, be kita ko, skatindama veiksmingai įgyvendinti tarptautinius susitarimus</w:t>
      </w:r>
      <w:r>
        <w:rPr>
          <w:rStyle w:val="FootnoteReference"/>
          <w:rFonts w:ascii="Times New Roman" w:hAnsi="Times New Roman"/>
          <w:noProof/>
          <w:sz w:val="24"/>
        </w:rPr>
        <w:footnoteReference w:id="11"/>
      </w:r>
      <w:r>
        <w:rPr>
          <w:rFonts w:ascii="Times New Roman" w:hAnsi="Times New Roman"/>
          <w:noProof/>
          <w:sz w:val="24"/>
        </w:rPr>
        <w:t xml:space="preserve"> ir imdamasi tikslingos gebėjimų stiprinimo veiklos šalyse partnerėse. </w:t>
      </w:r>
    </w:p>
    <w:p w:rsidR="00612344" w:rsidRDefault="00104B34">
      <w:pPr>
        <w:pStyle w:val="ListParagraph"/>
        <w:numPr>
          <w:ilvl w:val="0"/>
          <w:numId w:val="24"/>
        </w:numPr>
        <w:spacing w:line="240" w:lineRule="auto"/>
        <w:jc w:val="both"/>
        <w:rPr>
          <w:rFonts w:ascii="Times New Roman" w:hAnsi="Times New Roman" w:cs="Times New Roman"/>
          <w:b/>
          <w:noProof/>
          <w:sz w:val="24"/>
          <w:szCs w:val="24"/>
        </w:rPr>
      </w:pPr>
      <w:r>
        <w:rPr>
          <w:rFonts w:ascii="Times New Roman" w:hAnsi="Times New Roman"/>
          <w:b/>
          <w:noProof/>
          <w:sz w:val="24"/>
        </w:rPr>
        <w:t xml:space="preserve">Jūrų transportas </w:t>
      </w:r>
    </w:p>
    <w:p w:rsidR="00612344" w:rsidRDefault="00104B34">
      <w:pPr>
        <w:spacing w:line="240" w:lineRule="auto"/>
        <w:jc w:val="both"/>
        <w:rPr>
          <w:rFonts w:ascii="Times New Roman" w:hAnsi="Times New Roman" w:cs="Times New Roman"/>
          <w:noProof/>
          <w:sz w:val="24"/>
          <w:szCs w:val="24"/>
        </w:rPr>
      </w:pPr>
      <w:r>
        <w:rPr>
          <w:rFonts w:ascii="Times New Roman" w:hAnsi="Times New Roman"/>
          <w:noProof/>
          <w:sz w:val="24"/>
        </w:rPr>
        <w:t>Rengdama visos ES politikos priemones ir prisidėd</w:t>
      </w:r>
      <w:r>
        <w:rPr>
          <w:rFonts w:ascii="Times New Roman" w:hAnsi="Times New Roman"/>
          <w:noProof/>
          <w:sz w:val="24"/>
        </w:rPr>
        <w:t>ama, be kita ko, prie Tarptautinės jūrų organizacijos (angl. IMO) aplinkosaugos pastangų, ES remia švarią ir tvarią laivybą. Įgyvendindama savo transporto priklausomybės nuo iškastinio kuro mažinimo strategiją, Komisija toliau skatins Europos ir Azijos uos</w:t>
      </w:r>
      <w:r>
        <w:rPr>
          <w:rFonts w:ascii="Times New Roman" w:hAnsi="Times New Roman"/>
          <w:noProof/>
          <w:sz w:val="24"/>
        </w:rPr>
        <w:t xml:space="preserve">tuose naudoti </w:t>
      </w:r>
      <w:r>
        <w:rPr>
          <w:rFonts w:ascii="Times New Roman" w:hAnsi="Times New Roman"/>
          <w:b/>
          <w:noProof/>
          <w:sz w:val="24"/>
        </w:rPr>
        <w:t>alternatyviuosius degalus</w:t>
      </w:r>
      <w:r>
        <w:rPr>
          <w:rFonts w:ascii="Times New Roman" w:hAnsi="Times New Roman"/>
          <w:noProof/>
          <w:sz w:val="24"/>
        </w:rPr>
        <w:t xml:space="preserve">. Toliau bendradarbiaudama su trečiosiomis šalimis Azijoje pagal atitinkamus </w:t>
      </w:r>
      <w:r>
        <w:rPr>
          <w:rFonts w:ascii="Times New Roman" w:hAnsi="Times New Roman"/>
          <w:b/>
          <w:noProof/>
          <w:sz w:val="24"/>
        </w:rPr>
        <w:t>jūrų transporto susitarimus</w:t>
      </w:r>
      <w:r>
        <w:rPr>
          <w:rFonts w:ascii="Times New Roman" w:hAnsi="Times New Roman"/>
          <w:noProof/>
          <w:sz w:val="24"/>
        </w:rPr>
        <w:t>, ji padės reguliuoti ir lengvinti jūrų eismą. Kad būtų galima sparčiau tvarkyti muitinės formalumus, ji turėtų s</w:t>
      </w:r>
      <w:r>
        <w:rPr>
          <w:rFonts w:ascii="Times New Roman" w:hAnsi="Times New Roman"/>
          <w:noProof/>
          <w:sz w:val="24"/>
        </w:rPr>
        <w:t>katinti savo iniciatyvas skaitmeninti ir paprastinti administracinius formalumus Azijos uostuose</w:t>
      </w:r>
      <w:r>
        <w:rPr>
          <w:rStyle w:val="FootnoteReference"/>
          <w:rFonts w:ascii="Times New Roman" w:hAnsi="Times New Roman"/>
          <w:noProof/>
          <w:sz w:val="24"/>
        </w:rPr>
        <w:footnoteReference w:id="12"/>
      </w:r>
      <w:r>
        <w:rPr>
          <w:noProof/>
        </w:rPr>
        <w:t>.</w:t>
      </w:r>
      <w:r>
        <w:rPr>
          <w:rFonts w:ascii="Times New Roman" w:hAnsi="Times New Roman"/>
          <w:noProof/>
          <w:sz w:val="24"/>
        </w:rPr>
        <w:t xml:space="preserve"> ES taip pat turėtų skatinti plačiau patvirtinti Roterdamo taisykles; jos palengvintų elektroninių dokumentų naudojimą laivybos srityje</w:t>
      </w:r>
      <w:r>
        <w:rPr>
          <w:rStyle w:val="FootnoteReference"/>
          <w:rFonts w:ascii="Times New Roman" w:hAnsi="Times New Roman"/>
          <w:noProof/>
          <w:sz w:val="24"/>
        </w:rPr>
        <w:footnoteReference w:id="13"/>
      </w:r>
      <w:r>
        <w:rPr>
          <w:noProof/>
        </w:rPr>
        <w:t>.</w:t>
      </w:r>
      <w:r>
        <w:rPr>
          <w:rFonts w:ascii="Times New Roman" w:hAnsi="Times New Roman"/>
          <w:noProof/>
          <w:sz w:val="24"/>
        </w:rPr>
        <w:t xml:space="preserve"> Siekdama didinti jūr</w:t>
      </w:r>
      <w:r>
        <w:rPr>
          <w:rFonts w:ascii="Times New Roman" w:hAnsi="Times New Roman"/>
          <w:noProof/>
          <w:sz w:val="24"/>
        </w:rPr>
        <w:t xml:space="preserve">ų saugumą, ES turėtų pasiūlyti papildomų priemonių ir toliau remti tarptautines pastangas, be kita ko, dalyvaudama IMO veikloje. ES turėtų toliau plėtoti tarpininkės vaidmenį Juodosios jūros baseine. </w:t>
      </w:r>
    </w:p>
    <w:p w:rsidR="00612344" w:rsidRDefault="00104B34">
      <w:pPr>
        <w:pStyle w:val="ListParagraph"/>
        <w:numPr>
          <w:ilvl w:val="0"/>
          <w:numId w:val="24"/>
        </w:numPr>
        <w:spacing w:line="240" w:lineRule="auto"/>
        <w:jc w:val="both"/>
        <w:rPr>
          <w:rFonts w:ascii="Times New Roman" w:hAnsi="Times New Roman" w:cs="Times New Roman"/>
          <w:b/>
          <w:noProof/>
          <w:sz w:val="24"/>
          <w:szCs w:val="24"/>
        </w:rPr>
      </w:pPr>
      <w:r>
        <w:rPr>
          <w:rFonts w:ascii="Times New Roman" w:hAnsi="Times New Roman"/>
          <w:b/>
          <w:noProof/>
          <w:sz w:val="24"/>
        </w:rPr>
        <w:t>Sausumos transportas</w:t>
      </w:r>
    </w:p>
    <w:p w:rsidR="00612344" w:rsidRDefault="00104B34">
      <w:pPr>
        <w:spacing w:line="240" w:lineRule="auto"/>
        <w:jc w:val="both"/>
        <w:rPr>
          <w:rFonts w:ascii="Times New Roman" w:hAnsi="Times New Roman" w:cs="Times New Roman"/>
          <w:noProof/>
          <w:sz w:val="24"/>
          <w:szCs w:val="24"/>
        </w:rPr>
      </w:pPr>
      <w:r>
        <w:rPr>
          <w:rFonts w:ascii="Times New Roman" w:hAnsi="Times New Roman"/>
          <w:b/>
          <w:noProof/>
          <w:sz w:val="24"/>
        </w:rPr>
        <w:t>Geležinkelių transporto</w:t>
      </w:r>
      <w:r>
        <w:rPr>
          <w:rFonts w:ascii="Times New Roman" w:hAnsi="Times New Roman"/>
          <w:noProof/>
          <w:sz w:val="24"/>
        </w:rPr>
        <w:t xml:space="preserve"> sektoriuje</w:t>
      </w:r>
      <w:r>
        <w:rPr>
          <w:rFonts w:ascii="Times New Roman" w:hAnsi="Times New Roman"/>
          <w:noProof/>
          <w:sz w:val="24"/>
        </w:rPr>
        <w:t xml:space="preserve"> ES kartu su savo partneriais turėtų stengtis didinti geležinkelių jungčių konkurencingumą, trumpindama tranzito trukmę ir didindama apkrovos rodiklius. ES išplėtė transeuropinį transporto tinklą (TEN-T) į Vakarų Balkanus ir neseniai sutarė dėl TEN-T plėti</w:t>
      </w:r>
      <w:r>
        <w:rPr>
          <w:rFonts w:ascii="Times New Roman" w:hAnsi="Times New Roman"/>
          <w:noProof/>
          <w:sz w:val="24"/>
        </w:rPr>
        <w:t xml:space="preserve">mo su šešiomis Rytų partnerystės šalimis (Armėnija, Azerbaidžanu, Baltarusija, Gruzija, Moldova ir Ukraina). Ateityje svarbus vaidmuo galėtų tekti tiek geležinkelių jungtims </w:t>
      </w:r>
      <w:r>
        <w:rPr>
          <w:rFonts w:ascii="Times New Roman" w:hAnsi="Times New Roman"/>
          <w:b/>
          <w:noProof/>
          <w:sz w:val="24"/>
        </w:rPr>
        <w:t>tarp Šiaurės ir Pietų</w:t>
      </w:r>
      <w:r>
        <w:rPr>
          <w:rStyle w:val="FootnoteReference"/>
          <w:rFonts w:ascii="Times New Roman" w:hAnsi="Times New Roman"/>
          <w:noProof/>
          <w:sz w:val="24"/>
        </w:rPr>
        <w:footnoteReference w:id="14"/>
      </w:r>
      <w:r>
        <w:rPr>
          <w:rFonts w:ascii="Times New Roman" w:hAnsi="Times New Roman"/>
          <w:noProof/>
          <w:sz w:val="24"/>
        </w:rPr>
        <w:t xml:space="preserve">, tiek </w:t>
      </w:r>
      <w:r>
        <w:rPr>
          <w:rFonts w:ascii="Times New Roman" w:hAnsi="Times New Roman"/>
          <w:b/>
          <w:noProof/>
          <w:sz w:val="24"/>
        </w:rPr>
        <w:t>tarp Rytų ir Vakarų</w:t>
      </w:r>
      <w:r>
        <w:rPr>
          <w:rStyle w:val="FootnoteReference"/>
          <w:rFonts w:ascii="Times New Roman" w:hAnsi="Times New Roman"/>
          <w:noProof/>
          <w:sz w:val="24"/>
        </w:rPr>
        <w:footnoteReference w:id="15"/>
      </w:r>
      <w:r>
        <w:rPr>
          <w:rFonts w:ascii="Times New Roman" w:hAnsi="Times New Roman"/>
          <w:noProof/>
          <w:sz w:val="24"/>
        </w:rPr>
        <w:t>. Ypač smarkai išaugo geležinkeli</w:t>
      </w:r>
      <w:r>
        <w:rPr>
          <w:rFonts w:ascii="Times New Roman" w:hAnsi="Times New Roman"/>
          <w:noProof/>
          <w:sz w:val="24"/>
        </w:rPr>
        <w:t>ų jungties tarp ES ir Kinijos svarba. Reikėtų išspręsti šios geležinkelių jungties ilgalaikio ekonominio perspektyvumo ir konkurencinio neutralumo klausimus. ES remia Jungtinių Tautų Europos ekonomikos komisijos (angl. UNECE) suvienodintos geležinkelių tei</w:t>
      </w:r>
      <w:r>
        <w:rPr>
          <w:rFonts w:ascii="Times New Roman" w:hAnsi="Times New Roman"/>
          <w:noProof/>
          <w:sz w:val="24"/>
        </w:rPr>
        <w:t>sės iniciatyvą, kuria siekiama suvienodinti teisinę prekių vežimo geležinkeliais per Eurazijos žemyną sistemą. ES kartu su atitinkamomis geležinkelių transporto organizacijomis</w:t>
      </w:r>
      <w:r>
        <w:rPr>
          <w:rStyle w:val="FootnoteReference"/>
          <w:rFonts w:ascii="Times New Roman" w:hAnsi="Times New Roman"/>
          <w:noProof/>
          <w:sz w:val="24"/>
        </w:rPr>
        <w:footnoteReference w:id="16"/>
      </w:r>
      <w:r>
        <w:rPr>
          <w:rFonts w:ascii="Times New Roman" w:hAnsi="Times New Roman"/>
          <w:noProof/>
          <w:sz w:val="24"/>
        </w:rPr>
        <w:t xml:space="preserve"> stengsis išplėsti ES techninių specifikacijų ir saugos valdymo sistemų taikymą</w:t>
      </w:r>
      <w:r>
        <w:rPr>
          <w:rFonts w:ascii="Times New Roman" w:hAnsi="Times New Roman"/>
          <w:noProof/>
          <w:sz w:val="24"/>
        </w:rPr>
        <w:t xml:space="preserve">. Europos ir Azijos sujungiamumo atžvilgiu </w:t>
      </w:r>
      <w:r>
        <w:rPr>
          <w:rFonts w:ascii="Times New Roman" w:hAnsi="Times New Roman"/>
          <w:b/>
          <w:noProof/>
          <w:sz w:val="24"/>
        </w:rPr>
        <w:t>kelių transportas</w:t>
      </w:r>
      <w:r>
        <w:rPr>
          <w:rFonts w:ascii="Times New Roman" w:hAnsi="Times New Roman"/>
          <w:noProof/>
          <w:sz w:val="24"/>
        </w:rPr>
        <w:t xml:space="preserve"> paprastai tinkamas vežant vidutinio nuotolio atstumais (pvz., į Vidurinę Aziją), o kaip antrinis transporto tinklas – derinant jį su kitų rūšių transportu. Be to, svarbu užtikrinti tinkamas socia</w:t>
      </w:r>
      <w:r>
        <w:rPr>
          <w:rFonts w:ascii="Times New Roman" w:hAnsi="Times New Roman"/>
          <w:noProof/>
          <w:sz w:val="24"/>
        </w:rPr>
        <w:t xml:space="preserve">lines sąlygas šio sektoriaus darbuotojams ir sąžiningą kelių transporto įmonių konkurenciją. Bendradarbiaudama su Azijos šalimis ES turėtų daug dėmesio skirti </w:t>
      </w:r>
      <w:r>
        <w:rPr>
          <w:rFonts w:ascii="Times New Roman" w:hAnsi="Times New Roman"/>
          <w:b/>
          <w:noProof/>
          <w:sz w:val="24"/>
        </w:rPr>
        <w:t>kelių saugumo</w:t>
      </w:r>
      <w:r>
        <w:rPr>
          <w:rFonts w:ascii="Times New Roman" w:hAnsi="Times New Roman"/>
          <w:noProof/>
          <w:sz w:val="24"/>
        </w:rPr>
        <w:t xml:space="preserve"> skatinimui, dalydamasi geriausia patirtimi ir tinkamiausiais sprendimais mažinti žu</w:t>
      </w:r>
      <w:r>
        <w:rPr>
          <w:rFonts w:ascii="Times New Roman" w:hAnsi="Times New Roman"/>
          <w:noProof/>
          <w:sz w:val="24"/>
        </w:rPr>
        <w:t>vusiųjų ir sužeistųjų keliuose skaičių.</w:t>
      </w:r>
      <w:r>
        <w:rPr>
          <w:rFonts w:ascii="Times New Roman" w:hAnsi="Times New Roman"/>
          <w:b/>
          <w:noProof/>
          <w:sz w:val="24"/>
        </w:rPr>
        <w:t xml:space="preserve"> </w:t>
      </w:r>
      <w:r>
        <w:rPr>
          <w:rFonts w:ascii="Times New Roman" w:hAnsi="Times New Roman"/>
          <w:noProof/>
          <w:sz w:val="24"/>
        </w:rPr>
        <w:t xml:space="preserve">ES taip pat padės skatinti keitimąsi </w:t>
      </w:r>
      <w:r>
        <w:rPr>
          <w:rFonts w:ascii="Times New Roman" w:hAnsi="Times New Roman"/>
          <w:b/>
          <w:noProof/>
          <w:sz w:val="24"/>
        </w:rPr>
        <w:t>muitinių</w:t>
      </w:r>
      <w:r>
        <w:rPr>
          <w:rFonts w:ascii="Times New Roman" w:hAnsi="Times New Roman"/>
          <w:noProof/>
          <w:sz w:val="24"/>
        </w:rPr>
        <w:t xml:space="preserve"> informacija ir plėtoti bendradarbiavimą tranzito klausimais tiek dvišaliu lygmeniu, tiek dalyvaudama Pasaulio muitinių organizacijos (PMO) veikloje. </w:t>
      </w:r>
    </w:p>
    <w:p w:rsidR="00612344" w:rsidRDefault="00104B34">
      <w:pPr>
        <w:pStyle w:val="ListParagraph"/>
        <w:numPr>
          <w:ilvl w:val="1"/>
          <w:numId w:val="30"/>
        </w:numPr>
        <w:spacing w:line="240" w:lineRule="auto"/>
        <w:rPr>
          <w:rFonts w:ascii="Times New Roman" w:hAnsi="Times New Roman" w:cs="Times New Roman"/>
          <w:b/>
          <w:noProof/>
          <w:sz w:val="24"/>
          <w:szCs w:val="24"/>
        </w:rPr>
      </w:pPr>
      <w:r>
        <w:rPr>
          <w:rFonts w:ascii="Times New Roman" w:hAnsi="Times New Roman"/>
          <w:b/>
          <w:noProof/>
          <w:sz w:val="24"/>
        </w:rPr>
        <w:t>Skaitmeninis sujungi</w:t>
      </w:r>
      <w:r>
        <w:rPr>
          <w:rFonts w:ascii="Times New Roman" w:hAnsi="Times New Roman"/>
          <w:b/>
          <w:noProof/>
          <w:sz w:val="24"/>
        </w:rPr>
        <w:t>amumas</w:t>
      </w:r>
    </w:p>
    <w:p w:rsidR="00612344" w:rsidRDefault="00104B34">
      <w:pPr>
        <w:spacing w:line="240" w:lineRule="auto"/>
        <w:jc w:val="both"/>
        <w:rPr>
          <w:rFonts w:ascii="Times New Roman" w:hAnsi="Times New Roman" w:cs="Times New Roman"/>
          <w:noProof/>
          <w:sz w:val="24"/>
          <w:szCs w:val="24"/>
        </w:rPr>
      </w:pPr>
      <w:r>
        <w:rPr>
          <w:rFonts w:ascii="Times New Roman" w:hAnsi="Times New Roman"/>
          <w:noProof/>
          <w:sz w:val="24"/>
        </w:rPr>
        <w:t xml:space="preserve">Siekiant remti skaitmeninę ekonomiką, labai svarbios yra </w:t>
      </w:r>
      <w:r>
        <w:rPr>
          <w:rFonts w:ascii="Times New Roman" w:hAnsi="Times New Roman"/>
          <w:b/>
          <w:noProof/>
          <w:sz w:val="24"/>
        </w:rPr>
        <w:t>didelio pralaidumo tinklų jungtys</w:t>
      </w:r>
      <w:r>
        <w:rPr>
          <w:rFonts w:ascii="Times New Roman" w:hAnsi="Times New Roman"/>
          <w:noProof/>
          <w:sz w:val="24"/>
        </w:rPr>
        <w:t>.</w:t>
      </w:r>
      <w:r>
        <w:rPr>
          <w:noProof/>
        </w:rPr>
        <w:t xml:space="preserve"> </w:t>
      </w:r>
      <w:r>
        <w:rPr>
          <w:rFonts w:ascii="Times New Roman" w:hAnsi="Times New Roman"/>
          <w:noProof/>
          <w:sz w:val="24"/>
        </w:rPr>
        <w:t>Kuriant pagrindinių tinklų jungtis su Azijos ir kitomis trečiosiomis šalimis bus padedama užtikrinti visapusiškai junglų tinklą ir reikiamą dažnių juostos plotį bei kitus šios vis svarbesnės infrastruktūros kokybės kriterijus. Įsitikinta tuo, kad universal</w:t>
      </w:r>
      <w:r>
        <w:rPr>
          <w:rFonts w:ascii="Times New Roman" w:hAnsi="Times New Roman"/>
          <w:noProof/>
          <w:sz w:val="24"/>
        </w:rPr>
        <w:t xml:space="preserve">i ir įperkama prieiga prie interneto </w:t>
      </w:r>
      <w:r>
        <w:rPr>
          <w:rFonts w:ascii="Times New Roman" w:hAnsi="Times New Roman"/>
          <w:b/>
          <w:noProof/>
          <w:sz w:val="24"/>
        </w:rPr>
        <w:t>sudaro sąlygas socialiniam ir ekonominiam vystymuisi</w:t>
      </w:r>
      <w:r>
        <w:rPr>
          <w:rFonts w:ascii="Times New Roman" w:hAnsi="Times New Roman"/>
          <w:noProof/>
          <w:sz w:val="24"/>
        </w:rPr>
        <w:t xml:space="preserve">. </w:t>
      </w:r>
    </w:p>
    <w:p w:rsidR="00612344" w:rsidRDefault="00104B34">
      <w:pPr>
        <w:spacing w:line="240" w:lineRule="auto"/>
        <w:jc w:val="both"/>
        <w:rPr>
          <w:rFonts w:ascii="Times New Roman" w:hAnsi="Times New Roman" w:cs="Times New Roman"/>
          <w:noProof/>
          <w:sz w:val="24"/>
          <w:szCs w:val="24"/>
        </w:rPr>
      </w:pPr>
      <w:r>
        <w:rPr>
          <w:rFonts w:ascii="Times New Roman" w:hAnsi="Times New Roman"/>
          <w:noProof/>
          <w:sz w:val="24"/>
        </w:rPr>
        <w:t>Palaikydama santykius su Azijos šalimis ES turėtų skatinti taikią, saugią ir atvirą IRT aplinką, kurioje būtų atsižvelgiama į kibernetinius pavojus ir saugomos žmog</w:t>
      </w:r>
      <w:r>
        <w:rPr>
          <w:rFonts w:ascii="Times New Roman" w:hAnsi="Times New Roman"/>
          <w:noProof/>
          <w:sz w:val="24"/>
        </w:rPr>
        <w:t>aus teisės bei laisvės internete, taip pat asmens duomenys. Norint remti privačiąsias ir viešąsias investicijas į skaitmeninę infrastruktūrą</w:t>
      </w:r>
      <w:r>
        <w:rPr>
          <w:rStyle w:val="FootnoteReference"/>
          <w:rFonts w:ascii="Times New Roman" w:hAnsi="Times New Roman"/>
          <w:noProof/>
          <w:sz w:val="24"/>
        </w:rPr>
        <w:footnoteReference w:id="17"/>
      </w:r>
      <w:r>
        <w:rPr>
          <w:rFonts w:ascii="Times New Roman" w:hAnsi="Times New Roman"/>
          <w:noProof/>
          <w:sz w:val="24"/>
        </w:rPr>
        <w:t>, taip pat politiką ir paskatas šalinti skaitmeninę atskirtį, pirmiausia – atokiuose regionuose arba žemyninėse šal</w:t>
      </w:r>
      <w:r>
        <w:rPr>
          <w:rFonts w:ascii="Times New Roman" w:hAnsi="Times New Roman"/>
          <w:noProof/>
          <w:sz w:val="24"/>
        </w:rPr>
        <w:t xml:space="preserve">yse, reikia darnaus reguliavimo požiūrio. Šiuo tikslu Sąjunga prireikus Azijoje toliau įgyvendins savo </w:t>
      </w:r>
      <w:r>
        <w:rPr>
          <w:rFonts w:ascii="Times New Roman" w:hAnsi="Times New Roman"/>
          <w:b/>
          <w:noProof/>
          <w:sz w:val="24"/>
        </w:rPr>
        <w:t xml:space="preserve">strategiją </w:t>
      </w:r>
      <w:r>
        <w:rPr>
          <w:rFonts w:ascii="Times New Roman" w:hAnsi="Times New Roman"/>
          <w:b/>
          <w:i/>
          <w:noProof/>
          <w:sz w:val="24"/>
        </w:rPr>
        <w:t>Skaitmeninimas vystymosi labui</w:t>
      </w:r>
      <w:r>
        <w:rPr>
          <w:rStyle w:val="FootnoteReference"/>
          <w:rFonts w:ascii="Times New Roman" w:hAnsi="Times New Roman"/>
          <w:noProof/>
          <w:sz w:val="24"/>
        </w:rPr>
        <w:footnoteReference w:id="18"/>
      </w:r>
      <w:r>
        <w:rPr>
          <w:rFonts w:ascii="Times New Roman" w:hAnsi="Times New Roman"/>
          <w:noProof/>
          <w:sz w:val="24"/>
        </w:rPr>
        <w:t xml:space="preserve">, o ją įgyvendindama propaguos skaitmenines technologijas ir paslaugas, kuriomis skatinamas socialinis ir ekonominis vystymasis. </w:t>
      </w:r>
    </w:p>
    <w:p w:rsidR="00612344" w:rsidRDefault="00612344">
      <w:pPr>
        <w:spacing w:line="240" w:lineRule="auto"/>
        <w:jc w:val="both"/>
        <w:rPr>
          <w:rFonts w:ascii="Times New Roman" w:hAnsi="Times New Roman" w:cs="Times New Roman"/>
          <w:noProof/>
          <w:sz w:val="24"/>
          <w:szCs w:val="24"/>
        </w:rPr>
      </w:pPr>
    </w:p>
    <w:p w:rsidR="00612344" w:rsidRDefault="00104B34">
      <w:pPr>
        <w:pStyle w:val="ListParagraph"/>
        <w:numPr>
          <w:ilvl w:val="1"/>
          <w:numId w:val="30"/>
        </w:numPr>
        <w:spacing w:line="240" w:lineRule="auto"/>
        <w:rPr>
          <w:rFonts w:ascii="Times New Roman" w:hAnsi="Times New Roman" w:cs="Times New Roman"/>
          <w:b/>
          <w:noProof/>
          <w:sz w:val="24"/>
          <w:szCs w:val="24"/>
        </w:rPr>
      </w:pPr>
      <w:r>
        <w:rPr>
          <w:rFonts w:ascii="Times New Roman" w:hAnsi="Times New Roman"/>
          <w:b/>
          <w:noProof/>
          <w:sz w:val="24"/>
        </w:rPr>
        <w:t>Energetikos tinklų sujungiamumas</w:t>
      </w:r>
    </w:p>
    <w:p w:rsidR="00612344" w:rsidRDefault="00104B34">
      <w:pPr>
        <w:spacing w:line="240" w:lineRule="auto"/>
        <w:jc w:val="both"/>
        <w:rPr>
          <w:rFonts w:ascii="Times New Roman" w:hAnsi="Times New Roman" w:cs="Times New Roman"/>
          <w:noProof/>
          <w:sz w:val="24"/>
          <w:szCs w:val="24"/>
        </w:rPr>
      </w:pPr>
      <w:r>
        <w:rPr>
          <w:rFonts w:ascii="Times New Roman" w:hAnsi="Times New Roman"/>
          <w:noProof/>
          <w:sz w:val="24"/>
        </w:rPr>
        <w:t>Su 2020 m. atsinaujinančiųjų energijos išteklių ir efektyvaus energijos vartojimo tikslais s</w:t>
      </w:r>
      <w:r>
        <w:rPr>
          <w:rFonts w:ascii="Times New Roman" w:hAnsi="Times New Roman"/>
          <w:noProof/>
          <w:sz w:val="24"/>
        </w:rPr>
        <w:t xml:space="preserve">usietas ES energijos rinkos liberalizavimas ir energetikos sąjungos strategija paskatino rinkos veikiamą pertvarką ir perėjimą prie švarios energijos. Todėl sukurtas nuo iškastinio kuro mažiau priklausomas ir labiau tarpusavyje susietas elektros energijos </w:t>
      </w:r>
      <w:r>
        <w:rPr>
          <w:rFonts w:ascii="Times New Roman" w:hAnsi="Times New Roman"/>
          <w:noProof/>
          <w:sz w:val="24"/>
        </w:rPr>
        <w:t xml:space="preserve">tinklas, o jis yra nepaprastai svarbus konkurencijai ir svarbus kintančiųjų atsinaujinančiųjų išteklių energijos integravimo veiksnys. Remdamasi savo patirtimi, ES turėtų skatinti regionų </w:t>
      </w:r>
      <w:r>
        <w:rPr>
          <w:rFonts w:ascii="Times New Roman" w:hAnsi="Times New Roman"/>
          <w:b/>
          <w:noProof/>
          <w:sz w:val="24"/>
        </w:rPr>
        <w:t>energetikos tinklų jungčių platformas</w:t>
      </w:r>
      <w:r>
        <w:rPr>
          <w:rFonts w:ascii="Times New Roman" w:hAnsi="Times New Roman"/>
          <w:noProof/>
          <w:sz w:val="24"/>
        </w:rPr>
        <w:t>, kuriose daug dėmesio skiriama</w:t>
      </w:r>
      <w:r>
        <w:rPr>
          <w:rFonts w:ascii="Times New Roman" w:hAnsi="Times New Roman"/>
          <w:noProof/>
          <w:sz w:val="24"/>
        </w:rPr>
        <w:t xml:space="preserve"> rinkos principams, raginti modernizuoti energijos sistemą bei rinktis švarius (decentralizuotus) sprendimus, skatinti energijos vartojimo efektyvumą ir </w:t>
      </w:r>
      <w:r>
        <w:rPr>
          <w:rFonts w:ascii="Times New Roman" w:hAnsi="Times New Roman"/>
          <w:b/>
          <w:noProof/>
          <w:sz w:val="24"/>
        </w:rPr>
        <w:t>remti energijos jungtis tarp partnerių Azijoje ir su jais</w:t>
      </w:r>
      <w:r>
        <w:rPr>
          <w:rFonts w:ascii="Times New Roman" w:hAnsi="Times New Roman"/>
          <w:noProof/>
          <w:sz w:val="24"/>
        </w:rPr>
        <w:t>.</w:t>
      </w:r>
    </w:p>
    <w:p w:rsidR="00612344" w:rsidRDefault="00104B34">
      <w:pPr>
        <w:pStyle w:val="ListParagraph"/>
        <w:numPr>
          <w:ilvl w:val="1"/>
          <w:numId w:val="30"/>
        </w:numPr>
        <w:spacing w:line="240" w:lineRule="auto"/>
        <w:rPr>
          <w:rFonts w:ascii="Times New Roman" w:hAnsi="Times New Roman" w:cs="Times New Roman"/>
          <w:b/>
          <w:noProof/>
          <w:sz w:val="24"/>
          <w:szCs w:val="24"/>
        </w:rPr>
      </w:pPr>
      <w:r>
        <w:rPr>
          <w:rFonts w:ascii="Times New Roman" w:hAnsi="Times New Roman"/>
          <w:b/>
          <w:noProof/>
          <w:sz w:val="24"/>
        </w:rPr>
        <w:t>Žmonių sujungiamumas</w:t>
      </w:r>
    </w:p>
    <w:p w:rsidR="00612344" w:rsidRDefault="00104B34">
      <w:pPr>
        <w:spacing w:line="240" w:lineRule="auto"/>
        <w:jc w:val="both"/>
        <w:rPr>
          <w:rFonts w:ascii="Times New Roman" w:hAnsi="Times New Roman" w:cs="Times New Roman"/>
          <w:noProof/>
          <w:sz w:val="24"/>
          <w:szCs w:val="24"/>
        </w:rPr>
      </w:pPr>
      <w:r>
        <w:rPr>
          <w:rFonts w:ascii="Times New Roman" w:hAnsi="Times New Roman"/>
          <w:b/>
          <w:noProof/>
          <w:sz w:val="24"/>
        </w:rPr>
        <w:t>Tarpusavio supratimui i</w:t>
      </w:r>
      <w:r>
        <w:rPr>
          <w:rFonts w:ascii="Times New Roman" w:hAnsi="Times New Roman"/>
          <w:b/>
          <w:noProof/>
          <w:sz w:val="24"/>
        </w:rPr>
        <w:t>r ekonomikos augimui</w:t>
      </w:r>
      <w:r>
        <w:rPr>
          <w:rFonts w:ascii="Times New Roman" w:hAnsi="Times New Roman"/>
          <w:noProof/>
          <w:sz w:val="24"/>
        </w:rPr>
        <w:t xml:space="preserve"> labai svarbus studentų, akademikų ir mokslininkų sujungiamumas ir judumas. Nuo 2014 m. pagal įvairias programas buvo finansuotas daugiau kaip 18 000 studentų, mokslininkų ir darbuotojų judumas. Pagal programas </w:t>
      </w:r>
      <w:r>
        <w:rPr>
          <w:rFonts w:ascii="Times New Roman" w:hAnsi="Times New Roman"/>
          <w:i/>
          <w:noProof/>
          <w:sz w:val="24"/>
        </w:rPr>
        <w:t>Erasmus</w:t>
      </w:r>
      <w:r>
        <w:rPr>
          <w:rFonts w:ascii="Times New Roman" w:hAnsi="Times New Roman"/>
          <w:noProof/>
          <w:sz w:val="24"/>
        </w:rPr>
        <w:t xml:space="preserve"> ir </w:t>
      </w:r>
      <w:r>
        <w:rPr>
          <w:rFonts w:ascii="Times New Roman" w:hAnsi="Times New Roman"/>
          <w:i/>
          <w:noProof/>
          <w:sz w:val="24"/>
        </w:rPr>
        <w:t>Marie Skłodows</w:t>
      </w:r>
      <w:r>
        <w:rPr>
          <w:rFonts w:ascii="Times New Roman" w:hAnsi="Times New Roman"/>
          <w:i/>
          <w:noProof/>
          <w:sz w:val="24"/>
        </w:rPr>
        <w:t>kos-Curie veiksmai</w:t>
      </w:r>
      <w:r>
        <w:rPr>
          <w:rFonts w:ascii="Times New Roman" w:hAnsi="Times New Roman"/>
          <w:noProof/>
          <w:sz w:val="24"/>
        </w:rPr>
        <w:t xml:space="preserve">, užtikrindama abipusį diplomų pripažinimą ir vykdydama regioninius mokslininkų ir inovacijų kūrėjų mainus, ES turėtų toliau stiprinti studentų ir akademikų mainus su Azijos šalimis. ES turėtų skatinti miestų tarpusavio bendradarbiavimą, </w:t>
      </w:r>
      <w:r>
        <w:rPr>
          <w:rFonts w:ascii="Times New Roman" w:hAnsi="Times New Roman"/>
          <w:noProof/>
          <w:sz w:val="24"/>
        </w:rPr>
        <w:t>įskaitant ES kultūros sostinių ir atitinkamų Azijos miestų bendravimą, didinti menininkų judumą ir stiprinti bendradarbiavimą sporto srityje.</w:t>
      </w:r>
    </w:p>
    <w:tbl>
      <w:tblPr>
        <w:tblStyle w:val="TableGrid"/>
        <w:tblW w:w="0" w:type="auto"/>
        <w:tblInd w:w="108" w:type="dxa"/>
        <w:tblLayout w:type="fixed"/>
        <w:tblLook w:val="04A0" w:firstRow="1" w:lastRow="0" w:firstColumn="1" w:lastColumn="0" w:noHBand="0" w:noVBand="1"/>
      </w:tblPr>
      <w:tblGrid>
        <w:gridCol w:w="9072"/>
      </w:tblGrid>
      <w:tr w:rsidR="00612344">
        <w:tc>
          <w:tcPr>
            <w:tcW w:w="9072" w:type="dxa"/>
            <w:shd w:val="clear" w:color="auto" w:fill="8DB3E2" w:themeFill="text2" w:themeFillTint="66"/>
          </w:tcPr>
          <w:p w:rsidR="00612344" w:rsidRDefault="00104B34">
            <w:pPr>
              <w:jc w:val="center"/>
              <w:rPr>
                <w:rFonts w:ascii="Times New Roman" w:hAnsi="Times New Roman" w:cs="Times New Roman"/>
                <w:b/>
                <w:noProof/>
                <w:sz w:val="24"/>
                <w:szCs w:val="24"/>
              </w:rPr>
            </w:pPr>
            <w:r>
              <w:rPr>
                <w:rFonts w:ascii="Times New Roman" w:hAnsi="Times New Roman"/>
                <w:b/>
                <w:noProof/>
                <w:sz w:val="24"/>
              </w:rPr>
              <w:t>Pagrindiniai 3 skyriaus veiksmai</w:t>
            </w:r>
          </w:p>
        </w:tc>
      </w:tr>
      <w:tr w:rsidR="00612344">
        <w:tc>
          <w:tcPr>
            <w:tcW w:w="9072" w:type="dxa"/>
          </w:tcPr>
          <w:p w:rsidR="00612344" w:rsidRDefault="00612344">
            <w:pPr>
              <w:ind w:left="720"/>
              <w:jc w:val="both"/>
              <w:rPr>
                <w:rFonts w:ascii="Times New Roman" w:hAnsi="Times New Roman" w:cs="Times New Roman"/>
                <w:noProof/>
                <w:sz w:val="24"/>
                <w:szCs w:val="24"/>
              </w:rPr>
            </w:pPr>
          </w:p>
          <w:p w:rsidR="00612344" w:rsidRDefault="00104B34">
            <w:pPr>
              <w:jc w:val="both"/>
              <w:rPr>
                <w:rFonts w:ascii="Times New Roman" w:eastAsia="Calibri" w:hAnsi="Times New Roman" w:cs="Times New Roman"/>
                <w:i/>
                <w:noProof/>
                <w:sz w:val="24"/>
                <w:szCs w:val="24"/>
              </w:rPr>
            </w:pPr>
            <w:r>
              <w:rPr>
                <w:rFonts w:ascii="Times New Roman" w:hAnsi="Times New Roman"/>
                <w:i/>
                <w:noProof/>
                <w:sz w:val="24"/>
              </w:rPr>
              <w:t>Komisija:</w:t>
            </w:r>
          </w:p>
          <w:p w:rsidR="00612344" w:rsidRDefault="00612344">
            <w:pPr>
              <w:jc w:val="both"/>
              <w:rPr>
                <w:rFonts w:ascii="Times New Roman" w:eastAsia="Calibri" w:hAnsi="Times New Roman" w:cs="Times New Roman"/>
                <w:i/>
                <w:noProof/>
                <w:sz w:val="24"/>
                <w:szCs w:val="24"/>
              </w:rPr>
            </w:pPr>
          </w:p>
          <w:p w:rsidR="00612344" w:rsidRDefault="00104B34">
            <w:pPr>
              <w:numPr>
                <w:ilvl w:val="0"/>
                <w:numId w:val="20"/>
              </w:numPr>
              <w:jc w:val="both"/>
              <w:rPr>
                <w:rFonts w:ascii="Times New Roman" w:hAnsi="Times New Roman" w:cs="Times New Roman"/>
                <w:i/>
                <w:noProof/>
                <w:sz w:val="24"/>
                <w:szCs w:val="24"/>
              </w:rPr>
            </w:pPr>
            <w:r>
              <w:rPr>
                <w:rFonts w:ascii="Times New Roman" w:hAnsi="Times New Roman"/>
                <w:i/>
                <w:noProof/>
                <w:sz w:val="24"/>
              </w:rPr>
              <w:t>parengs metodiką, kurią taikant būtų galima įvertinti tvaraus sujung</w:t>
            </w:r>
            <w:r>
              <w:rPr>
                <w:rFonts w:ascii="Times New Roman" w:hAnsi="Times New Roman"/>
                <w:i/>
                <w:noProof/>
                <w:sz w:val="24"/>
              </w:rPr>
              <w:t>iamumo lygius Europoje ir Azijoje ir jo ekonominį poveikį ES ir jos regionuose;</w:t>
            </w:r>
          </w:p>
          <w:p w:rsidR="00612344" w:rsidRDefault="00104B34">
            <w:pPr>
              <w:numPr>
                <w:ilvl w:val="0"/>
                <w:numId w:val="20"/>
              </w:numPr>
              <w:jc w:val="both"/>
              <w:rPr>
                <w:rFonts w:ascii="Times New Roman" w:hAnsi="Times New Roman" w:cs="Times New Roman"/>
                <w:i/>
                <w:noProof/>
                <w:sz w:val="24"/>
                <w:szCs w:val="24"/>
              </w:rPr>
            </w:pPr>
            <w:r>
              <w:rPr>
                <w:rFonts w:ascii="Times New Roman" w:hAnsi="Times New Roman"/>
                <w:i/>
                <w:noProof/>
                <w:sz w:val="24"/>
              </w:rPr>
              <w:t>skatins keitimąsi muitinių ir skaitmeninių transporto koridorių duomenimis ir įvertins riziką;</w:t>
            </w:r>
          </w:p>
          <w:p w:rsidR="00612344" w:rsidRDefault="00104B34">
            <w:pPr>
              <w:numPr>
                <w:ilvl w:val="0"/>
                <w:numId w:val="20"/>
              </w:numPr>
              <w:jc w:val="both"/>
              <w:rPr>
                <w:rFonts w:ascii="Times New Roman" w:hAnsi="Times New Roman" w:cs="Times New Roman"/>
                <w:i/>
                <w:noProof/>
                <w:sz w:val="24"/>
                <w:szCs w:val="24"/>
              </w:rPr>
            </w:pPr>
            <w:r>
              <w:rPr>
                <w:rFonts w:ascii="Times New Roman" w:hAnsi="Times New Roman"/>
                <w:i/>
                <w:noProof/>
                <w:sz w:val="24"/>
              </w:rPr>
              <w:t>tęs oro transporto susitarimų derybas su Pietryčių Azijos valstybių asociacija (a</w:t>
            </w:r>
            <w:r>
              <w:rPr>
                <w:rFonts w:ascii="Times New Roman" w:hAnsi="Times New Roman"/>
                <w:i/>
                <w:noProof/>
                <w:sz w:val="24"/>
              </w:rPr>
              <w:t>ngl. ASEAN), Azerbaidžanu, Turkija ir Kataru, taip pat pasirašys dvišalius skrydžių saugos susitarimus su Kinijos Liaudies Respublika (Kinija) ir Japonija;</w:t>
            </w:r>
          </w:p>
          <w:p w:rsidR="00612344" w:rsidRDefault="00104B34">
            <w:pPr>
              <w:numPr>
                <w:ilvl w:val="0"/>
                <w:numId w:val="20"/>
              </w:numPr>
              <w:jc w:val="both"/>
              <w:rPr>
                <w:rFonts w:ascii="Times New Roman" w:hAnsi="Times New Roman" w:cs="Times New Roman"/>
                <w:i/>
                <w:noProof/>
                <w:sz w:val="24"/>
                <w:szCs w:val="24"/>
              </w:rPr>
            </w:pPr>
            <w:r>
              <w:rPr>
                <w:rFonts w:ascii="Times New Roman" w:hAnsi="Times New Roman"/>
                <w:i/>
                <w:noProof/>
                <w:sz w:val="24"/>
              </w:rPr>
              <w:t xml:space="preserve">tarptautiniuose forumuose skatins susitarimus dėl transporto priklausomybės nuo iškastinio kuro </w:t>
            </w:r>
            <w:r>
              <w:rPr>
                <w:rFonts w:ascii="Times New Roman" w:hAnsi="Times New Roman"/>
                <w:i/>
                <w:noProof/>
                <w:sz w:val="24"/>
              </w:rPr>
              <w:t>mažinimo, ypač aviacijos ir jūrų sektoriuose;</w:t>
            </w:r>
          </w:p>
          <w:p w:rsidR="00612344" w:rsidRDefault="00104B34">
            <w:pPr>
              <w:numPr>
                <w:ilvl w:val="0"/>
                <w:numId w:val="20"/>
              </w:numPr>
              <w:jc w:val="both"/>
              <w:rPr>
                <w:rFonts w:ascii="Times New Roman" w:hAnsi="Times New Roman" w:cs="Times New Roman"/>
                <w:b/>
                <w:i/>
                <w:noProof/>
                <w:sz w:val="24"/>
                <w:szCs w:val="24"/>
              </w:rPr>
            </w:pPr>
            <w:r>
              <w:rPr>
                <w:rFonts w:ascii="Times New Roman" w:hAnsi="Times New Roman"/>
                <w:i/>
                <w:noProof/>
                <w:sz w:val="24"/>
              </w:rPr>
              <w:t>skatins jūrų transporto Azijoje ir Juodosios jūros šalyse skaitmeninimą ir administracinį paprastinimą, taip pat Roterdamo taisyklių patvirtinimą;</w:t>
            </w:r>
          </w:p>
          <w:p w:rsidR="00612344" w:rsidRDefault="00104B34">
            <w:pPr>
              <w:pStyle w:val="ListParagraph"/>
              <w:numPr>
                <w:ilvl w:val="0"/>
                <w:numId w:val="20"/>
              </w:numPr>
              <w:jc w:val="both"/>
              <w:rPr>
                <w:rFonts w:ascii="Times New Roman" w:eastAsia="Calibri" w:hAnsi="Times New Roman" w:cs="Times New Roman"/>
                <w:i/>
                <w:noProof/>
                <w:sz w:val="24"/>
                <w:szCs w:val="24"/>
              </w:rPr>
            </w:pPr>
            <w:r>
              <w:rPr>
                <w:rFonts w:ascii="Times New Roman" w:hAnsi="Times New Roman"/>
                <w:i/>
                <w:noProof/>
                <w:sz w:val="24"/>
              </w:rPr>
              <w:t xml:space="preserve">išnagrinės galimybę, atliekant numatytą TEN-T reglamento </w:t>
            </w:r>
            <w:r>
              <w:rPr>
                <w:rFonts w:ascii="Times New Roman" w:hAnsi="Times New Roman"/>
                <w:i/>
                <w:noProof/>
                <w:sz w:val="24"/>
              </w:rPr>
              <w:t>peržiūrą, kurią reikia užbaigti iki 2023 m., išplėsti Europos Sąjungos TEN-T koridoriaus koordinatoriaus (-ių) įgaliojimus, įtraukiant į juos regioną, kuriam taikoma plėtros ir kaimynystės politika;</w:t>
            </w:r>
          </w:p>
          <w:p w:rsidR="00612344" w:rsidRDefault="00104B34">
            <w:pPr>
              <w:pStyle w:val="ListParagraph"/>
              <w:numPr>
                <w:ilvl w:val="0"/>
                <w:numId w:val="20"/>
              </w:numPr>
              <w:jc w:val="both"/>
              <w:rPr>
                <w:rFonts w:ascii="Times New Roman" w:eastAsia="Calibri" w:hAnsi="Times New Roman" w:cs="Times New Roman"/>
                <w:i/>
                <w:noProof/>
                <w:sz w:val="24"/>
                <w:szCs w:val="24"/>
              </w:rPr>
            </w:pPr>
            <w:r>
              <w:rPr>
                <w:rFonts w:ascii="Times New Roman" w:hAnsi="Times New Roman"/>
                <w:i/>
                <w:noProof/>
                <w:sz w:val="24"/>
              </w:rPr>
              <w:t>vykdys su etišku naudojimusi tokiomis ateities perspektyv</w:t>
            </w:r>
            <w:r>
              <w:rPr>
                <w:rFonts w:ascii="Times New Roman" w:hAnsi="Times New Roman"/>
                <w:i/>
                <w:noProof/>
                <w:sz w:val="24"/>
              </w:rPr>
              <w:t>omis grindžiamomis technologijomis, kaip dirbtinis intelektas, standartais susijusią veiklą ir skatins visapusiškai laikytis atsakingos valstybės elgesio reikalavimų internete;</w:t>
            </w:r>
          </w:p>
          <w:p w:rsidR="00612344" w:rsidRDefault="00104B34">
            <w:pPr>
              <w:numPr>
                <w:ilvl w:val="0"/>
                <w:numId w:val="20"/>
              </w:numPr>
              <w:jc w:val="both"/>
              <w:rPr>
                <w:rFonts w:ascii="Times New Roman" w:hAnsi="Times New Roman" w:cs="Times New Roman"/>
                <w:noProof/>
                <w:sz w:val="24"/>
                <w:szCs w:val="24"/>
              </w:rPr>
            </w:pPr>
            <w:r>
              <w:rPr>
                <w:rFonts w:ascii="Times New Roman" w:hAnsi="Times New Roman"/>
                <w:i/>
                <w:noProof/>
                <w:sz w:val="24"/>
              </w:rPr>
              <w:t>siekdama didinti galimybes mainų ir judumo srityse, toliau skatins programas „E</w:t>
            </w:r>
            <w:r>
              <w:rPr>
                <w:rFonts w:ascii="Times New Roman" w:hAnsi="Times New Roman"/>
                <w:i/>
                <w:noProof/>
                <w:sz w:val="24"/>
              </w:rPr>
              <w:t>rasmus+“ ir „Marie Skłodowskos-Curie veiksmai“ Azijoje, taip pat susijusius abipusiškumo susitarimus.</w:t>
            </w:r>
          </w:p>
          <w:p w:rsidR="00612344" w:rsidRDefault="00612344">
            <w:pPr>
              <w:ind w:left="720"/>
              <w:jc w:val="both"/>
              <w:rPr>
                <w:rFonts w:ascii="Times New Roman" w:hAnsi="Times New Roman" w:cs="Times New Roman"/>
                <w:noProof/>
                <w:sz w:val="24"/>
                <w:szCs w:val="24"/>
              </w:rPr>
            </w:pPr>
          </w:p>
        </w:tc>
      </w:tr>
    </w:tbl>
    <w:p w:rsidR="00612344" w:rsidRDefault="00612344">
      <w:pPr>
        <w:pStyle w:val="ListParagraph"/>
        <w:spacing w:line="240" w:lineRule="auto"/>
        <w:ind w:left="360"/>
        <w:rPr>
          <w:rFonts w:ascii="Times New Roman" w:hAnsi="Times New Roman" w:cs="Times New Roman"/>
          <w:b/>
          <w:noProof/>
          <w:sz w:val="24"/>
          <w:szCs w:val="24"/>
        </w:rPr>
      </w:pPr>
    </w:p>
    <w:p w:rsidR="00612344" w:rsidRDefault="00612344">
      <w:pPr>
        <w:pStyle w:val="ListParagraph"/>
        <w:spacing w:line="240" w:lineRule="auto"/>
        <w:ind w:left="360"/>
        <w:rPr>
          <w:rFonts w:ascii="Times New Roman" w:hAnsi="Times New Roman" w:cs="Times New Roman"/>
          <w:b/>
          <w:noProof/>
          <w:sz w:val="24"/>
          <w:szCs w:val="24"/>
        </w:rPr>
      </w:pPr>
    </w:p>
    <w:p w:rsidR="00612344" w:rsidRDefault="00612344">
      <w:pPr>
        <w:pStyle w:val="ListParagraph"/>
        <w:spacing w:line="240" w:lineRule="auto"/>
        <w:ind w:left="360"/>
        <w:rPr>
          <w:rFonts w:ascii="Times New Roman" w:hAnsi="Times New Roman" w:cs="Times New Roman"/>
          <w:b/>
          <w:noProof/>
          <w:sz w:val="24"/>
          <w:szCs w:val="24"/>
        </w:rPr>
      </w:pPr>
    </w:p>
    <w:p w:rsidR="00612344" w:rsidRDefault="00104B34">
      <w:pPr>
        <w:pStyle w:val="ListParagraph"/>
        <w:numPr>
          <w:ilvl w:val="0"/>
          <w:numId w:val="30"/>
        </w:numPr>
        <w:spacing w:line="240" w:lineRule="auto"/>
        <w:rPr>
          <w:rFonts w:ascii="Times New Roman" w:hAnsi="Times New Roman" w:cs="Times New Roman"/>
          <w:b/>
          <w:noProof/>
          <w:sz w:val="24"/>
          <w:szCs w:val="24"/>
        </w:rPr>
      </w:pPr>
      <w:r>
        <w:rPr>
          <w:rFonts w:ascii="Times New Roman" w:hAnsi="Times New Roman"/>
          <w:b/>
          <w:noProof/>
          <w:sz w:val="24"/>
        </w:rPr>
        <w:t>Tarptautinių tvaraus sujungiamumo partnerysčių plėtojimas</w:t>
      </w:r>
    </w:p>
    <w:p w:rsidR="00612344" w:rsidRDefault="00104B34">
      <w:pPr>
        <w:spacing w:line="240" w:lineRule="auto"/>
        <w:jc w:val="both"/>
        <w:rPr>
          <w:rFonts w:ascii="Times New Roman" w:hAnsi="Times New Roman" w:cs="Times New Roman"/>
          <w:noProof/>
          <w:sz w:val="24"/>
          <w:szCs w:val="24"/>
        </w:rPr>
      </w:pPr>
      <w:r>
        <w:rPr>
          <w:rFonts w:ascii="Times New Roman" w:hAnsi="Times New Roman"/>
          <w:noProof/>
          <w:sz w:val="24"/>
        </w:rPr>
        <w:t xml:space="preserve">Bendradarbiavimo tvaraus sujungiamumo srityje aspektus nustato </w:t>
      </w:r>
      <w:r>
        <w:rPr>
          <w:rFonts w:ascii="Times New Roman" w:hAnsi="Times New Roman"/>
          <w:b/>
          <w:noProof/>
          <w:sz w:val="24"/>
        </w:rPr>
        <w:t>įvairūs subjektai</w:t>
      </w:r>
      <w:r>
        <w:rPr>
          <w:rFonts w:ascii="Times New Roman" w:hAnsi="Times New Roman"/>
          <w:noProof/>
          <w:sz w:val="24"/>
        </w:rPr>
        <w:t xml:space="preserve"> ir veiks</w:t>
      </w:r>
      <w:r>
        <w:rPr>
          <w:rFonts w:ascii="Times New Roman" w:hAnsi="Times New Roman"/>
          <w:noProof/>
          <w:sz w:val="24"/>
        </w:rPr>
        <w:t>niai</w:t>
      </w:r>
      <w:r>
        <w:rPr>
          <w:rStyle w:val="FootnoteReference"/>
          <w:rFonts w:ascii="Times New Roman" w:hAnsi="Times New Roman"/>
          <w:noProof/>
          <w:sz w:val="24"/>
        </w:rPr>
        <w:footnoteReference w:id="19"/>
      </w:r>
      <w:r>
        <w:rPr>
          <w:noProof/>
        </w:rPr>
        <w:t>.</w:t>
      </w:r>
      <w:r>
        <w:rPr>
          <w:rFonts w:ascii="Times New Roman" w:hAnsi="Times New Roman"/>
          <w:noProof/>
          <w:sz w:val="24"/>
        </w:rPr>
        <w:t xml:space="preserve"> Siekdama veiksmingai siekti sujungiamumo, ES turėtų stiprinti esamas ir toliau megzti naujas tvarias, atviras, įtraukias ir taisyklėmis grindžiamas dvišales, regionines ir tarptautines partnerystes. </w:t>
      </w:r>
    </w:p>
    <w:p w:rsidR="00612344" w:rsidRDefault="00104B34">
      <w:pPr>
        <w:pStyle w:val="ListParagraph"/>
        <w:numPr>
          <w:ilvl w:val="1"/>
          <w:numId w:val="30"/>
        </w:numPr>
        <w:spacing w:line="240" w:lineRule="auto"/>
        <w:rPr>
          <w:rFonts w:ascii="Times New Roman" w:hAnsi="Times New Roman" w:cs="Times New Roman"/>
          <w:b/>
          <w:noProof/>
          <w:sz w:val="24"/>
          <w:szCs w:val="24"/>
        </w:rPr>
      </w:pPr>
      <w:r>
        <w:rPr>
          <w:rFonts w:ascii="Times New Roman" w:hAnsi="Times New Roman"/>
          <w:b/>
          <w:noProof/>
          <w:sz w:val="24"/>
        </w:rPr>
        <w:t>Dvišalis bendradarbiavimas</w:t>
      </w:r>
    </w:p>
    <w:p w:rsidR="00612344" w:rsidRDefault="00104B34">
      <w:pPr>
        <w:spacing w:line="240" w:lineRule="auto"/>
        <w:jc w:val="both"/>
        <w:rPr>
          <w:rFonts w:ascii="Times New Roman" w:hAnsi="Times New Roman" w:cs="Times New Roman"/>
          <w:noProof/>
          <w:sz w:val="24"/>
          <w:szCs w:val="24"/>
        </w:rPr>
      </w:pPr>
      <w:r>
        <w:rPr>
          <w:rFonts w:ascii="Times New Roman" w:hAnsi="Times New Roman"/>
          <w:noProof/>
          <w:sz w:val="24"/>
        </w:rPr>
        <w:t xml:space="preserve">ES yra svarbi </w:t>
      </w:r>
      <w:r>
        <w:rPr>
          <w:rFonts w:ascii="Times New Roman" w:hAnsi="Times New Roman"/>
          <w:b/>
          <w:noProof/>
          <w:sz w:val="24"/>
        </w:rPr>
        <w:t>bendradarbiavimo vystymosi ir investavimo srityse</w:t>
      </w:r>
      <w:r>
        <w:rPr>
          <w:rFonts w:ascii="Times New Roman" w:hAnsi="Times New Roman"/>
          <w:noProof/>
          <w:sz w:val="24"/>
        </w:rPr>
        <w:t xml:space="preserve"> partnerė Azijoje. Per dialogus vystymosi srityje taip pat aptariamos investicijos bei tvarus sujungiamumas ir į juos reikėtų įtraukti galimą bendradarbiavimą su trečiosiomis šalimis. Šiuo atžvilgiu ES ir jo</w:t>
      </w:r>
      <w:r>
        <w:rPr>
          <w:rFonts w:ascii="Times New Roman" w:hAnsi="Times New Roman"/>
          <w:noProof/>
          <w:sz w:val="24"/>
        </w:rPr>
        <w:t>s partneriai iš Azijos gali bendradarbiauti siekdami gerinti reguliavimo aplinką, viešųjų finansų valdymą ir vidaus išteklių sutelkimą. ES taip pat siūlys savo paramą, be kita ko, teikdama techninę paramą, kad, remiantis tarptautiniais standartais ir geria</w:t>
      </w:r>
      <w:r>
        <w:rPr>
          <w:rFonts w:ascii="Times New Roman" w:hAnsi="Times New Roman"/>
          <w:noProof/>
          <w:sz w:val="24"/>
        </w:rPr>
        <w:t xml:space="preserve">usia patirtimi, būtų galima stiprinti planavimo gebėjimus, rengti ir įgyvendinti tvaraus sujungiamumo projektus, politiką ir reguliavimo sistemas. </w:t>
      </w:r>
    </w:p>
    <w:p w:rsidR="00612344" w:rsidRDefault="00104B34">
      <w:pPr>
        <w:spacing w:line="240" w:lineRule="auto"/>
        <w:jc w:val="both"/>
        <w:rPr>
          <w:rFonts w:ascii="Times New Roman" w:hAnsi="Times New Roman" w:cs="Times New Roman"/>
          <w:noProof/>
          <w:sz w:val="24"/>
          <w:szCs w:val="24"/>
        </w:rPr>
      </w:pPr>
      <w:r>
        <w:rPr>
          <w:rFonts w:ascii="Times New Roman" w:hAnsi="Times New Roman"/>
          <w:noProof/>
          <w:sz w:val="24"/>
        </w:rPr>
        <w:t>Dvišalis bendradarbiavimas su atskiromis šalimis turėtų būti pritaikomas prie konkrečių jų aplinkybių. Pavyz</w:t>
      </w:r>
      <w:r>
        <w:rPr>
          <w:rFonts w:ascii="Times New Roman" w:hAnsi="Times New Roman"/>
          <w:noProof/>
          <w:sz w:val="24"/>
        </w:rPr>
        <w:t>džiui, kartu su Kinija ES turėtų stiprinti esamą bendradarbiavimą atitinkamų infrastruktūros ir vystomojo bendradarbiavimo iniciatyvų klausimais, skatinti įgyvendinti patekimo į rinką ir vienodų sąlygų principus, o įgyvendinant sujungiamumo iniciatyvas rem</w:t>
      </w:r>
      <w:r>
        <w:rPr>
          <w:rFonts w:ascii="Times New Roman" w:hAnsi="Times New Roman"/>
          <w:noProof/>
          <w:sz w:val="24"/>
        </w:rPr>
        <w:t>tis tarptautiniais standartais. Kartu su Japonija ES turėtų atidžiai koordinuoti pastangas skatinti tarptautinius standartus ir regioninį bendradarbiavimą Azijoje, pirmiausia suteikdama naują impulsą ES ir Japonijos dialogui transporto srityje. Pietryčių A</w:t>
      </w:r>
      <w:r>
        <w:rPr>
          <w:rFonts w:ascii="Times New Roman" w:hAnsi="Times New Roman"/>
          <w:noProof/>
          <w:sz w:val="24"/>
        </w:rPr>
        <w:t>zijoje ES turėtų tęsti 2011 m. su Singapūru pradėtą dialogą transporto srityje.</w:t>
      </w:r>
    </w:p>
    <w:p w:rsidR="00612344" w:rsidRDefault="00104B34">
      <w:pPr>
        <w:spacing w:line="240" w:lineRule="auto"/>
        <w:jc w:val="both"/>
        <w:rPr>
          <w:rFonts w:ascii="Times New Roman" w:hAnsi="Times New Roman"/>
          <w:noProof/>
          <w:sz w:val="24"/>
        </w:rPr>
      </w:pPr>
      <w:r>
        <w:rPr>
          <w:rFonts w:ascii="Times New Roman" w:hAnsi="Times New Roman"/>
          <w:noProof/>
          <w:sz w:val="24"/>
        </w:rPr>
        <w:t>Kartu ES turėtų plėsti dialogą tvaraus sujungiamumo klausimais su kitais partneriais, įskaitant Afganistaną, Indiją, Indoneziją, Iraną, Pakistaną, Rusiją, Korėjos Respubliką, T</w:t>
      </w:r>
      <w:r>
        <w:rPr>
          <w:rFonts w:ascii="Times New Roman" w:hAnsi="Times New Roman"/>
          <w:noProof/>
          <w:sz w:val="24"/>
        </w:rPr>
        <w:t>urkiją ir Vidurinės Azijos šalis, taip pat Australiją ir Jungtines Amerikos Valstijas.</w:t>
      </w:r>
    </w:p>
    <w:p w:rsidR="00104B34" w:rsidRDefault="00104B34">
      <w:pPr>
        <w:spacing w:line="240" w:lineRule="auto"/>
        <w:jc w:val="both"/>
        <w:rPr>
          <w:rFonts w:ascii="Times New Roman" w:hAnsi="Times New Roman"/>
          <w:noProof/>
          <w:sz w:val="24"/>
        </w:rPr>
      </w:pPr>
    </w:p>
    <w:p w:rsidR="00104B34" w:rsidRDefault="00104B34">
      <w:pPr>
        <w:spacing w:line="240" w:lineRule="auto"/>
        <w:jc w:val="both"/>
        <w:rPr>
          <w:rFonts w:ascii="Times New Roman" w:hAnsi="Times New Roman" w:cs="Times New Roman"/>
          <w:noProof/>
          <w:sz w:val="24"/>
          <w:szCs w:val="24"/>
        </w:rPr>
      </w:pPr>
    </w:p>
    <w:tbl>
      <w:tblPr>
        <w:tblStyle w:val="TableGrid"/>
        <w:tblW w:w="0" w:type="auto"/>
        <w:tblLayout w:type="fixed"/>
        <w:tblLook w:val="04A0" w:firstRow="1" w:lastRow="0" w:firstColumn="1" w:lastColumn="0" w:noHBand="0" w:noVBand="1"/>
      </w:tblPr>
      <w:tblGrid>
        <w:gridCol w:w="9072"/>
      </w:tblGrid>
      <w:tr w:rsidR="00612344">
        <w:tc>
          <w:tcPr>
            <w:tcW w:w="9072" w:type="dxa"/>
            <w:shd w:val="clear" w:color="auto" w:fill="8DB3E2" w:themeFill="text2" w:themeFillTint="66"/>
          </w:tcPr>
          <w:p w:rsidR="00612344" w:rsidRDefault="00104B34">
            <w:pPr>
              <w:jc w:val="center"/>
              <w:rPr>
                <w:rFonts w:ascii="Times New Roman" w:hAnsi="Times New Roman" w:cs="Times New Roman"/>
                <w:b/>
                <w:noProof/>
                <w:sz w:val="24"/>
                <w:szCs w:val="24"/>
              </w:rPr>
            </w:pPr>
            <w:r>
              <w:rPr>
                <w:rFonts w:ascii="Times New Roman" w:hAnsi="Times New Roman"/>
                <w:b/>
                <w:noProof/>
                <w:sz w:val="24"/>
              </w:rPr>
              <w:t>Tvarus sujungiamumas</w:t>
            </w:r>
          </w:p>
          <w:p w:rsidR="00612344" w:rsidRDefault="00104B34">
            <w:pPr>
              <w:jc w:val="center"/>
              <w:rPr>
                <w:rFonts w:ascii="Times New Roman" w:hAnsi="Times New Roman" w:cs="Times New Roman"/>
                <w:b/>
                <w:noProof/>
                <w:sz w:val="24"/>
                <w:szCs w:val="24"/>
              </w:rPr>
            </w:pPr>
            <w:r>
              <w:rPr>
                <w:rFonts w:ascii="Times New Roman" w:hAnsi="Times New Roman"/>
                <w:b/>
                <w:noProof/>
                <w:sz w:val="24"/>
              </w:rPr>
              <w:t>įgyvendinant ES plėtros ir kaimynystės politiką</w:t>
            </w:r>
          </w:p>
        </w:tc>
      </w:tr>
      <w:tr w:rsidR="00612344">
        <w:tc>
          <w:tcPr>
            <w:tcW w:w="9072" w:type="dxa"/>
          </w:tcPr>
          <w:p w:rsidR="00612344" w:rsidRDefault="00612344">
            <w:pPr>
              <w:jc w:val="both"/>
              <w:rPr>
                <w:rFonts w:ascii="Times New Roman" w:hAnsi="Times New Roman" w:cs="Times New Roman"/>
                <w:noProof/>
              </w:rPr>
            </w:pPr>
          </w:p>
          <w:p w:rsidR="00612344" w:rsidRDefault="00104B34">
            <w:pPr>
              <w:spacing w:after="200"/>
              <w:jc w:val="both"/>
              <w:rPr>
                <w:rFonts w:ascii="Times New Roman" w:hAnsi="Times New Roman" w:cs="Times New Roman"/>
                <w:noProof/>
                <w:sz w:val="24"/>
                <w:szCs w:val="24"/>
              </w:rPr>
            </w:pPr>
            <w:r>
              <w:rPr>
                <w:rFonts w:ascii="Times New Roman" w:hAnsi="Times New Roman"/>
                <w:noProof/>
                <w:sz w:val="24"/>
              </w:rPr>
              <w:t xml:space="preserve">Sujungiamumas yra svarbus ES plėtros ir kaimynystės politikos aspektas. Šalys, kurioms taikoma ši </w:t>
            </w:r>
            <w:r>
              <w:rPr>
                <w:rFonts w:ascii="Times New Roman" w:hAnsi="Times New Roman"/>
                <w:noProof/>
                <w:sz w:val="24"/>
              </w:rPr>
              <w:t xml:space="preserve">politika, vienodina arba derina savo požiūrius su ES požiūriu, todėl tvarus sujungiamumas laipsniškai įtraukiamas į jų teisės aktus. </w:t>
            </w:r>
          </w:p>
          <w:p w:rsidR="00612344" w:rsidRDefault="00104B34">
            <w:pPr>
              <w:spacing w:after="200"/>
              <w:jc w:val="both"/>
              <w:rPr>
                <w:rFonts w:ascii="Times New Roman" w:hAnsi="Times New Roman" w:cs="Times New Roman"/>
                <w:noProof/>
                <w:sz w:val="24"/>
                <w:szCs w:val="24"/>
              </w:rPr>
            </w:pPr>
            <w:r>
              <w:rPr>
                <w:rFonts w:ascii="Times New Roman" w:hAnsi="Times New Roman"/>
                <w:noProof/>
                <w:sz w:val="24"/>
              </w:rPr>
              <w:t>Naujosios ES Vakarų Balkanų politikos srityje</w:t>
            </w:r>
            <w:r>
              <w:rPr>
                <w:rStyle w:val="FootnoteReference"/>
                <w:rFonts w:ascii="Times New Roman" w:hAnsi="Times New Roman"/>
                <w:noProof/>
              </w:rPr>
              <w:footnoteReference w:id="20"/>
            </w:r>
            <w:r>
              <w:rPr>
                <w:rFonts w:ascii="Times New Roman" w:hAnsi="Times New Roman"/>
                <w:noProof/>
                <w:sz w:val="24"/>
              </w:rPr>
              <w:t xml:space="preserve"> Komisija neseniai pradėjo įgyvendinti šiam regionui skirtas pavyzdines iniciatyvas dėl sujungiamumo didinimo ir skaitmeninę darbotvarkę. Per 2018 m. gegužės mėn. vykusio ES ir Vakarų Balkanų aukščiausiojo lygio susitikimą paskelbtoje Sofijos deklaracijoje</w:t>
            </w:r>
            <w:r>
              <w:rPr>
                <w:rFonts w:ascii="Times New Roman" w:hAnsi="Times New Roman"/>
                <w:noProof/>
                <w:sz w:val="24"/>
              </w:rPr>
              <w:t xml:space="preserve"> taip pat įsipareigojama iš esmės didinti sujungiamumą visais – transporto, energetikos, skaitmeninimo ir žmogiškaisiais – aspektais</w:t>
            </w:r>
            <w:r>
              <w:rPr>
                <w:rStyle w:val="FootnoteReference"/>
                <w:rFonts w:ascii="Times New Roman" w:hAnsi="Times New Roman"/>
                <w:noProof/>
              </w:rPr>
              <w:footnoteReference w:id="21"/>
            </w:r>
            <w:r>
              <w:rPr>
                <w:rFonts w:ascii="Times New Roman" w:hAnsi="Times New Roman"/>
                <w:noProof/>
                <w:sz w:val="24"/>
              </w:rPr>
              <w:t>. Neseniai stengtasi stiprinti bendradarbiavimą skaitmeninės ekonomikos srityje, o dabar rengiamas investavimo į transportą</w:t>
            </w:r>
            <w:r>
              <w:rPr>
                <w:rFonts w:ascii="Times New Roman" w:hAnsi="Times New Roman"/>
                <w:noProof/>
                <w:sz w:val="24"/>
              </w:rPr>
              <w:t xml:space="preserve"> Rytų partnerystės šalyse veiksmų planas. </w:t>
            </w:r>
          </w:p>
          <w:p w:rsidR="00612344" w:rsidRDefault="00104B34">
            <w:pPr>
              <w:spacing w:after="200"/>
              <w:jc w:val="both"/>
              <w:rPr>
                <w:rFonts w:ascii="Times New Roman" w:hAnsi="Times New Roman" w:cs="Times New Roman"/>
                <w:noProof/>
                <w:sz w:val="24"/>
                <w:szCs w:val="24"/>
              </w:rPr>
            </w:pPr>
            <w:r>
              <w:rPr>
                <w:rFonts w:ascii="Times New Roman" w:hAnsi="Times New Roman"/>
                <w:noProof/>
                <w:sz w:val="24"/>
              </w:rPr>
              <w:t>Todėl Komisija užtikrins, kad į tvarų sujungiamumą būtų plačiau atsižvelgiama ES plėtros ir kaimynystės politikoje, taip pat skatins tolesnę techninę ir reguliavimo konvergenciją šioje srityje. Be to, ji toliau pa</w:t>
            </w:r>
            <w:r>
              <w:rPr>
                <w:rFonts w:ascii="Times New Roman" w:hAnsi="Times New Roman"/>
                <w:noProof/>
                <w:sz w:val="24"/>
              </w:rPr>
              <w:t>dės įgyvendinti viešųjų pirkimų teisės aktus ir skatins skaidrumą bei geriausią patirtį.</w:t>
            </w:r>
          </w:p>
        </w:tc>
      </w:tr>
    </w:tbl>
    <w:p w:rsidR="00612344" w:rsidRDefault="00612344">
      <w:pPr>
        <w:spacing w:line="240" w:lineRule="auto"/>
        <w:jc w:val="both"/>
        <w:rPr>
          <w:rFonts w:ascii="Times New Roman" w:hAnsi="Times New Roman" w:cs="Times New Roman"/>
          <w:noProof/>
          <w:sz w:val="24"/>
          <w:szCs w:val="24"/>
        </w:rPr>
      </w:pPr>
    </w:p>
    <w:p w:rsidR="00612344" w:rsidRDefault="00104B34">
      <w:pPr>
        <w:pStyle w:val="ListParagraph"/>
        <w:numPr>
          <w:ilvl w:val="1"/>
          <w:numId w:val="30"/>
        </w:numPr>
        <w:spacing w:line="240" w:lineRule="auto"/>
        <w:rPr>
          <w:rFonts w:ascii="Times New Roman" w:hAnsi="Times New Roman" w:cs="Times New Roman"/>
          <w:noProof/>
          <w:sz w:val="24"/>
          <w:szCs w:val="24"/>
        </w:rPr>
      </w:pPr>
      <w:r>
        <w:rPr>
          <w:rFonts w:ascii="Times New Roman" w:hAnsi="Times New Roman"/>
          <w:b/>
          <w:noProof/>
          <w:sz w:val="24"/>
        </w:rPr>
        <w:t>Regioninis bendradarbiavimas</w:t>
      </w:r>
      <w:r>
        <w:rPr>
          <w:rFonts w:ascii="Times New Roman" w:hAnsi="Times New Roman"/>
          <w:noProof/>
          <w:sz w:val="24"/>
        </w:rPr>
        <w:t xml:space="preserve"> </w:t>
      </w:r>
    </w:p>
    <w:p w:rsidR="00612344" w:rsidRDefault="00104B34">
      <w:pPr>
        <w:spacing w:line="240" w:lineRule="auto"/>
        <w:jc w:val="both"/>
        <w:rPr>
          <w:rFonts w:ascii="Times New Roman" w:hAnsi="Times New Roman" w:cs="Times New Roman"/>
          <w:noProof/>
          <w:sz w:val="24"/>
          <w:szCs w:val="24"/>
        </w:rPr>
      </w:pPr>
      <w:r>
        <w:rPr>
          <w:rFonts w:ascii="Times New Roman" w:hAnsi="Times New Roman"/>
          <w:noProof/>
          <w:sz w:val="24"/>
        </w:rPr>
        <w:t>ES turi patirties, įgytos kuriant tokias regionų bendradarbiavimo struktūras kaip aplink Baltijos jūros regioną. Bendradarbiaudama su s</w:t>
      </w:r>
      <w:r>
        <w:rPr>
          <w:rFonts w:ascii="Times New Roman" w:hAnsi="Times New Roman"/>
          <w:noProof/>
          <w:sz w:val="24"/>
        </w:rPr>
        <w:t>avo šalimis partnerėmis, tarptautinėmis organizacijomis ir finansų įstaigomis, ES turėtų apsvarstyti galimybę parengti Azijai skirtus</w:t>
      </w:r>
      <w:r>
        <w:rPr>
          <w:rFonts w:ascii="Times New Roman" w:hAnsi="Times New Roman"/>
          <w:b/>
          <w:noProof/>
          <w:sz w:val="24"/>
        </w:rPr>
        <w:t xml:space="preserve"> regioninio bendradarbiavimo sujungiamumo srityje metodus</w:t>
      </w:r>
      <w:r>
        <w:rPr>
          <w:rFonts w:ascii="Times New Roman" w:hAnsi="Times New Roman"/>
          <w:noProof/>
          <w:sz w:val="24"/>
        </w:rPr>
        <w:t xml:space="preserve"> ir šiuo tikslu pateikti su sujungiamumu susijusios konkrečiuose r</w:t>
      </w:r>
      <w:r>
        <w:rPr>
          <w:rFonts w:ascii="Times New Roman" w:hAnsi="Times New Roman"/>
          <w:noProof/>
          <w:sz w:val="24"/>
        </w:rPr>
        <w:t>egionuose vykdomos veiklos, sujungiamumo spragų ir bendradarbiavimo, siekiant remti ES ir Azijos sujungiamumą, galimybių analizę.</w:t>
      </w:r>
    </w:p>
    <w:p w:rsidR="00612344" w:rsidRDefault="00104B34">
      <w:pPr>
        <w:spacing w:line="240" w:lineRule="auto"/>
        <w:jc w:val="both"/>
        <w:rPr>
          <w:rFonts w:ascii="Times New Roman" w:hAnsi="Times New Roman" w:cs="Times New Roman"/>
          <w:noProof/>
          <w:sz w:val="24"/>
          <w:szCs w:val="24"/>
        </w:rPr>
      </w:pPr>
      <w:r>
        <w:rPr>
          <w:rFonts w:ascii="Times New Roman" w:hAnsi="Times New Roman"/>
          <w:noProof/>
          <w:sz w:val="24"/>
        </w:rPr>
        <w:t>Azijoje veikia kelios tarptautinės organizacijos ir mechanizmai, kurių įgaliojimai susiję su sujungiamumu</w:t>
      </w:r>
      <w:r>
        <w:rPr>
          <w:rStyle w:val="FootnoteReference"/>
          <w:rFonts w:ascii="Times New Roman" w:hAnsi="Times New Roman"/>
          <w:noProof/>
          <w:sz w:val="24"/>
        </w:rPr>
        <w:footnoteReference w:id="22"/>
      </w:r>
      <w:r>
        <w:rPr>
          <w:noProof/>
        </w:rPr>
        <w:t>.</w:t>
      </w:r>
      <w:r>
        <w:rPr>
          <w:rFonts w:ascii="Times New Roman" w:hAnsi="Times New Roman"/>
          <w:noProof/>
          <w:sz w:val="24"/>
        </w:rPr>
        <w:t xml:space="preserve"> ES bendradarbiavim</w:t>
      </w:r>
      <w:r>
        <w:rPr>
          <w:rFonts w:ascii="Times New Roman" w:hAnsi="Times New Roman"/>
          <w:noProof/>
          <w:sz w:val="24"/>
        </w:rPr>
        <w:t>o su šiomis organizacijomis pobūdis priklauso nuo šių organizacijų veiklos ir veiksmų apimties. ASEM yra svarbi bendradarbiavimo su pagrindiniais partneriais Azijoje platforma. ES turėtų toliau stiprinti savo bendradarbiavimą su svarbia sujungiamumo srityj</w:t>
      </w:r>
      <w:r>
        <w:rPr>
          <w:rFonts w:ascii="Times New Roman" w:hAnsi="Times New Roman"/>
          <w:noProof/>
          <w:sz w:val="24"/>
        </w:rPr>
        <w:t>e veikiančia organizacija ASEAN, remdama ASEAN pagrindinį 2025 m. sujungiamumo planą ir standartų konvergenciją jame, be kita ko, palaikydama vykstantį dialogą transporto srityje</w:t>
      </w:r>
      <w:r>
        <w:rPr>
          <w:rStyle w:val="FootnoteReference"/>
          <w:rFonts w:ascii="Times New Roman" w:hAnsi="Times New Roman"/>
          <w:noProof/>
          <w:sz w:val="24"/>
        </w:rPr>
        <w:footnoteReference w:id="23"/>
      </w:r>
      <w:r>
        <w:rPr>
          <w:noProof/>
        </w:rPr>
        <w:t>.</w:t>
      </w:r>
      <w:r>
        <w:rPr>
          <w:rFonts w:ascii="Times New Roman" w:hAnsi="Times New Roman"/>
          <w:noProof/>
          <w:sz w:val="24"/>
        </w:rPr>
        <w:t xml:space="preserve"> Galiausiai ES taip pat turėtų skatinti regionų bendradarbiavimą tvaraus suj</w:t>
      </w:r>
      <w:r>
        <w:rPr>
          <w:rFonts w:ascii="Times New Roman" w:hAnsi="Times New Roman"/>
          <w:noProof/>
          <w:sz w:val="24"/>
        </w:rPr>
        <w:t>ungiamumo, kaip pagrindinio savo Vidurinės Azijos strategijos aspekto, klausimu.</w:t>
      </w:r>
    </w:p>
    <w:p w:rsidR="00612344" w:rsidRDefault="00104B34">
      <w:pPr>
        <w:pStyle w:val="ListParagraph"/>
        <w:numPr>
          <w:ilvl w:val="1"/>
          <w:numId w:val="30"/>
        </w:numPr>
        <w:spacing w:line="240" w:lineRule="auto"/>
        <w:rPr>
          <w:rFonts w:ascii="Times New Roman" w:hAnsi="Times New Roman" w:cs="Times New Roman"/>
          <w:b/>
          <w:noProof/>
          <w:sz w:val="24"/>
          <w:szCs w:val="24"/>
        </w:rPr>
      </w:pPr>
      <w:r>
        <w:rPr>
          <w:rFonts w:ascii="Times New Roman" w:hAnsi="Times New Roman"/>
          <w:b/>
          <w:noProof/>
          <w:sz w:val="24"/>
        </w:rPr>
        <w:t xml:space="preserve">Tarptautinis bendradarbiavimas </w:t>
      </w:r>
    </w:p>
    <w:p w:rsidR="00612344" w:rsidRDefault="00104B34">
      <w:pPr>
        <w:spacing w:line="240" w:lineRule="auto"/>
        <w:jc w:val="both"/>
        <w:rPr>
          <w:rFonts w:ascii="Times New Roman" w:hAnsi="Times New Roman" w:cs="Times New Roman"/>
          <w:noProof/>
          <w:sz w:val="24"/>
          <w:szCs w:val="24"/>
        </w:rPr>
      </w:pPr>
      <w:r>
        <w:rPr>
          <w:rFonts w:ascii="Times New Roman" w:hAnsi="Times New Roman"/>
          <w:noProof/>
          <w:sz w:val="24"/>
        </w:rPr>
        <w:t xml:space="preserve">Tarptautinis bendradarbiavimas atlieka labai svarbų vaidmenį nustatant teisines sistemas ir konkrečias sujungiamumo formas. Kaip įsitikinta </w:t>
      </w:r>
      <w:r>
        <w:rPr>
          <w:rFonts w:ascii="Times New Roman" w:hAnsi="Times New Roman"/>
          <w:noProof/>
          <w:sz w:val="24"/>
        </w:rPr>
        <w:t>neseniai įgyvendinant ES vandenynų valdymo iniciatyvą, jis labai svarbus didinant šių sistemų tvarumą.</w:t>
      </w:r>
    </w:p>
    <w:tbl>
      <w:tblPr>
        <w:tblStyle w:val="TableGrid"/>
        <w:tblW w:w="0" w:type="auto"/>
        <w:tblInd w:w="108" w:type="dxa"/>
        <w:tblLayout w:type="fixed"/>
        <w:tblLook w:val="04A0" w:firstRow="1" w:lastRow="0" w:firstColumn="1" w:lastColumn="0" w:noHBand="0" w:noVBand="1"/>
      </w:tblPr>
      <w:tblGrid>
        <w:gridCol w:w="9047"/>
      </w:tblGrid>
      <w:tr w:rsidR="00612344">
        <w:trPr>
          <w:trHeight w:val="128"/>
        </w:trPr>
        <w:tc>
          <w:tcPr>
            <w:tcW w:w="9047" w:type="dxa"/>
            <w:shd w:val="clear" w:color="auto" w:fill="8DB3E2" w:themeFill="text2" w:themeFillTint="66"/>
          </w:tcPr>
          <w:p w:rsidR="00612344" w:rsidRDefault="00104B34">
            <w:pPr>
              <w:jc w:val="center"/>
              <w:rPr>
                <w:rFonts w:ascii="Times New Roman" w:hAnsi="Times New Roman" w:cs="Times New Roman"/>
                <w:b/>
                <w:noProof/>
                <w:sz w:val="24"/>
                <w:szCs w:val="24"/>
              </w:rPr>
            </w:pPr>
            <w:r>
              <w:rPr>
                <w:rFonts w:ascii="Times New Roman" w:hAnsi="Times New Roman"/>
                <w:b/>
                <w:noProof/>
                <w:sz w:val="24"/>
              </w:rPr>
              <w:t>Vandenynų valdymas</w:t>
            </w:r>
          </w:p>
        </w:tc>
      </w:tr>
      <w:tr w:rsidR="00612344">
        <w:trPr>
          <w:trHeight w:val="1467"/>
        </w:trPr>
        <w:tc>
          <w:tcPr>
            <w:tcW w:w="9047" w:type="dxa"/>
          </w:tcPr>
          <w:p w:rsidR="00612344" w:rsidRDefault="00612344">
            <w:pPr>
              <w:jc w:val="both"/>
              <w:rPr>
                <w:rFonts w:ascii="Times New Roman" w:hAnsi="Times New Roman" w:cs="Times New Roman"/>
                <w:noProof/>
              </w:rPr>
            </w:pPr>
          </w:p>
          <w:p w:rsidR="00612344" w:rsidRDefault="00104B34">
            <w:pPr>
              <w:jc w:val="both"/>
              <w:rPr>
                <w:rFonts w:ascii="Times New Roman" w:hAnsi="Times New Roman" w:cs="Times New Roman"/>
                <w:noProof/>
                <w:sz w:val="24"/>
                <w:szCs w:val="24"/>
              </w:rPr>
            </w:pPr>
            <w:r>
              <w:rPr>
                <w:rFonts w:ascii="Times New Roman" w:hAnsi="Times New Roman"/>
                <w:noProof/>
              </w:rPr>
              <w:t>ES yra įsipareigojusi užtikrinti laivybos laisvę ir tvarų vandenynų bei jūrų valdymą. 2016 m. lapkričio mėn. bendrame komunikate</w:t>
            </w:r>
            <w:r>
              <w:rPr>
                <w:rStyle w:val="FootnoteReference"/>
                <w:rFonts w:ascii="Times New Roman" w:hAnsi="Times New Roman"/>
                <w:noProof/>
              </w:rPr>
              <w:footnoteReference w:id="24"/>
            </w:r>
            <w:r>
              <w:rPr>
                <w:rFonts w:ascii="Times New Roman" w:hAnsi="Times New Roman"/>
                <w:noProof/>
              </w:rPr>
              <w:t xml:space="preserve"> pa</w:t>
            </w:r>
            <w:r>
              <w:rPr>
                <w:rFonts w:ascii="Times New Roman" w:hAnsi="Times New Roman"/>
                <w:noProof/>
              </w:rPr>
              <w:t>siūlyta 50 patikimo, saugaus, švaraus ir tvaraus pasaulio vandenynų valdymo veiksmų, kuriais siekiama su pagrindiniais veikėjais užmegzti vandenynų partnerystes. Kartu su Pasaulio banku ES parengė mėlynosios ekonomikos plėtojimo sistemą, kuria, nustatant v</w:t>
            </w:r>
            <w:r>
              <w:rPr>
                <w:rFonts w:ascii="Times New Roman" w:hAnsi="Times New Roman"/>
                <w:noProof/>
              </w:rPr>
              <w:t xml:space="preserve">iešojo ir privačiojo sektorių partnerystės investicijoms per 30 metų skirtą finansinio derinimo mechanizmą, pakrančių valstybėms, regionams ir bendruomenėms bus padedama pereiti prie mėlynosios ekonomikos. </w:t>
            </w:r>
          </w:p>
        </w:tc>
      </w:tr>
    </w:tbl>
    <w:p w:rsidR="00612344" w:rsidRDefault="00612344">
      <w:pPr>
        <w:spacing w:line="240" w:lineRule="auto"/>
        <w:jc w:val="both"/>
        <w:rPr>
          <w:rFonts w:ascii="Times New Roman" w:hAnsi="Times New Roman" w:cs="Times New Roman"/>
          <w:noProof/>
          <w:sz w:val="24"/>
          <w:szCs w:val="24"/>
        </w:rPr>
      </w:pPr>
    </w:p>
    <w:p w:rsidR="00612344" w:rsidRDefault="00104B34">
      <w:pPr>
        <w:spacing w:line="240" w:lineRule="auto"/>
        <w:jc w:val="both"/>
        <w:rPr>
          <w:rFonts w:ascii="Times New Roman" w:hAnsi="Times New Roman" w:cs="Times New Roman"/>
          <w:noProof/>
          <w:sz w:val="24"/>
          <w:szCs w:val="24"/>
        </w:rPr>
      </w:pPr>
      <w:r>
        <w:rPr>
          <w:rFonts w:ascii="Times New Roman" w:hAnsi="Times New Roman"/>
          <w:noProof/>
          <w:sz w:val="24"/>
        </w:rPr>
        <w:t xml:space="preserve">Tarptautinės organizacijos </w:t>
      </w:r>
      <w:r>
        <w:rPr>
          <w:rStyle w:val="FootnoteReference"/>
          <w:rFonts w:ascii="Times New Roman" w:hAnsi="Times New Roman"/>
          <w:noProof/>
          <w:sz w:val="24"/>
        </w:rPr>
        <w:footnoteReference w:id="25"/>
      </w:r>
      <w:r>
        <w:rPr>
          <w:rFonts w:ascii="Times New Roman" w:hAnsi="Times New Roman"/>
          <w:noProof/>
          <w:sz w:val="24"/>
        </w:rPr>
        <w:t xml:space="preserve"> rengia </w:t>
      </w:r>
      <w:r>
        <w:rPr>
          <w:rFonts w:ascii="Times New Roman" w:hAnsi="Times New Roman"/>
          <w:b/>
          <w:noProof/>
          <w:sz w:val="24"/>
        </w:rPr>
        <w:t>tarptautini</w:t>
      </w:r>
      <w:r>
        <w:rPr>
          <w:rFonts w:ascii="Times New Roman" w:hAnsi="Times New Roman"/>
          <w:b/>
          <w:noProof/>
          <w:sz w:val="24"/>
        </w:rPr>
        <w:t>us susitarimus ir standartus</w:t>
      </w:r>
      <w:r>
        <w:rPr>
          <w:rFonts w:ascii="Times New Roman" w:hAnsi="Times New Roman"/>
          <w:noProof/>
          <w:sz w:val="24"/>
        </w:rPr>
        <w:t xml:space="preserve">. Siekiant kovoti su klimato kaita, aplinkos būklės blogėjimu, skatinti patekimo į rinką galimybes, laisvą bei sąžiningą prekybą ir užtikrinti </w:t>
      </w:r>
      <w:r>
        <w:rPr>
          <w:rFonts w:ascii="Times New Roman" w:hAnsi="Times New Roman"/>
          <w:b/>
          <w:noProof/>
          <w:sz w:val="24"/>
        </w:rPr>
        <w:t>tinklų sąveikumą</w:t>
      </w:r>
      <w:r>
        <w:rPr>
          <w:rStyle w:val="FootnoteReference"/>
          <w:rFonts w:ascii="Times New Roman" w:hAnsi="Times New Roman"/>
          <w:noProof/>
          <w:sz w:val="24"/>
        </w:rPr>
        <w:footnoteReference w:id="26"/>
      </w:r>
      <w:r>
        <w:rPr>
          <w:rFonts w:ascii="Times New Roman" w:hAnsi="Times New Roman"/>
          <w:noProof/>
          <w:sz w:val="24"/>
        </w:rPr>
        <w:t>, reikia užtikrinti jų vykdymą ir juos pripažinti. Bendrai patvirtin</w:t>
      </w:r>
      <w:r>
        <w:rPr>
          <w:rFonts w:ascii="Times New Roman" w:hAnsi="Times New Roman"/>
          <w:noProof/>
          <w:sz w:val="24"/>
        </w:rPr>
        <w:t>tais tarptautiniais standartais užtikrinamas techninis derinimas, kuriuo sudaromos sąlygos įvairių tinklų sąveikumui.</w:t>
      </w:r>
      <w:r>
        <w:rPr>
          <w:rFonts w:ascii="Times New Roman" w:hAnsi="Times New Roman"/>
          <w:b/>
          <w:noProof/>
          <w:sz w:val="24"/>
        </w:rPr>
        <w:t xml:space="preserve"> </w:t>
      </w:r>
      <w:r>
        <w:rPr>
          <w:rFonts w:ascii="Times New Roman" w:hAnsi="Times New Roman"/>
          <w:noProof/>
          <w:sz w:val="24"/>
        </w:rPr>
        <w:t>Tarptautinės ir Europos standartizacijos organizacijos</w:t>
      </w:r>
      <w:r>
        <w:rPr>
          <w:rStyle w:val="FootnoteReference"/>
          <w:rFonts w:ascii="Times New Roman" w:hAnsi="Times New Roman"/>
          <w:noProof/>
          <w:sz w:val="24"/>
        </w:rPr>
        <w:footnoteReference w:id="27"/>
      </w:r>
      <w:r>
        <w:rPr>
          <w:rFonts w:ascii="Times New Roman" w:hAnsi="Times New Roman"/>
          <w:noProof/>
          <w:sz w:val="24"/>
        </w:rPr>
        <w:t xml:space="preserve"> yra labai svarbios ES partnerės, užtikrinančios techninį derinimą Europoje ir Azij</w:t>
      </w:r>
      <w:r>
        <w:rPr>
          <w:rFonts w:ascii="Times New Roman" w:hAnsi="Times New Roman"/>
          <w:noProof/>
          <w:sz w:val="24"/>
        </w:rPr>
        <w:t>oje, paremtą susitarimu grindžiamu pramonės inicijuotų standartų rengimu. Komisija bendradarbiaus su šiomis organizacijomis ir atitinkamos pramonės atstovais, siekdama apsvarstyti būtinybę rengti su sujungiamumu susijusius standartus. Komisija plės technin</w:t>
      </w:r>
      <w:r>
        <w:rPr>
          <w:rFonts w:ascii="Times New Roman" w:hAnsi="Times New Roman"/>
          <w:noProof/>
          <w:sz w:val="24"/>
        </w:rPr>
        <w:t>ės paramos teikimą ir geriau derins veiklą su atitinkamomis tarptautinėmis organizacijomis ir užsienio partneriais, siekdama užtikrinti pagrindinių trečiųjų šalių įsipareigojimą laikytis šių standartų ir platesnį šių standartų patvirtinimą. Apskritai ES tu</w:t>
      </w:r>
      <w:r>
        <w:rPr>
          <w:rFonts w:ascii="Times New Roman" w:hAnsi="Times New Roman"/>
          <w:noProof/>
          <w:sz w:val="24"/>
        </w:rPr>
        <w:t>rėtų stiprinti savo bendradarbiavimą su tarptautinėmis organizacijomis, taip pat savo išorės atstovavimą, dalyvavimą ir koordinavimą.</w:t>
      </w:r>
    </w:p>
    <w:tbl>
      <w:tblPr>
        <w:tblStyle w:val="TableGrid"/>
        <w:tblW w:w="0" w:type="auto"/>
        <w:tblInd w:w="108" w:type="dxa"/>
        <w:tblLayout w:type="fixed"/>
        <w:tblLook w:val="04A0" w:firstRow="1" w:lastRow="0" w:firstColumn="1" w:lastColumn="0" w:noHBand="0" w:noVBand="1"/>
      </w:tblPr>
      <w:tblGrid>
        <w:gridCol w:w="9072"/>
      </w:tblGrid>
      <w:tr w:rsidR="00612344">
        <w:tc>
          <w:tcPr>
            <w:tcW w:w="9072" w:type="dxa"/>
            <w:shd w:val="clear" w:color="auto" w:fill="8DB3E2" w:themeFill="text2" w:themeFillTint="66"/>
          </w:tcPr>
          <w:p w:rsidR="00612344" w:rsidRDefault="00104B34">
            <w:pPr>
              <w:jc w:val="center"/>
              <w:rPr>
                <w:rFonts w:ascii="Times New Roman" w:hAnsi="Times New Roman" w:cs="Times New Roman"/>
                <w:b/>
                <w:noProof/>
                <w:sz w:val="24"/>
                <w:szCs w:val="24"/>
              </w:rPr>
            </w:pPr>
            <w:r>
              <w:rPr>
                <w:rFonts w:ascii="Times New Roman" w:hAnsi="Times New Roman"/>
                <w:b/>
                <w:noProof/>
                <w:sz w:val="24"/>
              </w:rPr>
              <w:t>Pagrindiniai 4 skyriaus veiksmai</w:t>
            </w:r>
          </w:p>
        </w:tc>
      </w:tr>
      <w:tr w:rsidR="00612344">
        <w:tc>
          <w:tcPr>
            <w:tcW w:w="9072" w:type="dxa"/>
          </w:tcPr>
          <w:p w:rsidR="00612344" w:rsidRDefault="00612344">
            <w:pPr>
              <w:ind w:left="720"/>
              <w:jc w:val="both"/>
              <w:rPr>
                <w:rFonts w:ascii="Times New Roman" w:hAnsi="Times New Roman" w:cs="Times New Roman"/>
                <w:noProof/>
                <w:sz w:val="24"/>
                <w:szCs w:val="24"/>
              </w:rPr>
            </w:pPr>
          </w:p>
          <w:p w:rsidR="00612344" w:rsidRDefault="00104B34">
            <w:pPr>
              <w:jc w:val="both"/>
              <w:rPr>
                <w:rFonts w:ascii="Times New Roman" w:hAnsi="Times New Roman" w:cs="Times New Roman"/>
                <w:i/>
                <w:noProof/>
                <w:sz w:val="24"/>
                <w:szCs w:val="24"/>
              </w:rPr>
            </w:pPr>
            <w:r>
              <w:rPr>
                <w:rFonts w:ascii="Times New Roman" w:hAnsi="Times New Roman"/>
                <w:i/>
                <w:noProof/>
                <w:sz w:val="24"/>
              </w:rPr>
              <w:t>Komisija:</w:t>
            </w:r>
          </w:p>
          <w:p w:rsidR="00612344" w:rsidRDefault="00612344">
            <w:pPr>
              <w:jc w:val="both"/>
              <w:rPr>
                <w:rFonts w:ascii="Times New Roman" w:hAnsi="Times New Roman" w:cs="Times New Roman"/>
                <w:i/>
                <w:noProof/>
                <w:sz w:val="24"/>
                <w:szCs w:val="24"/>
              </w:rPr>
            </w:pPr>
          </w:p>
          <w:p w:rsidR="00612344" w:rsidRDefault="00104B34">
            <w:pPr>
              <w:numPr>
                <w:ilvl w:val="0"/>
                <w:numId w:val="21"/>
              </w:numPr>
              <w:jc w:val="both"/>
              <w:rPr>
                <w:rFonts w:ascii="Times New Roman" w:hAnsi="Times New Roman" w:cs="Times New Roman"/>
                <w:i/>
                <w:noProof/>
                <w:sz w:val="24"/>
                <w:szCs w:val="24"/>
              </w:rPr>
            </w:pPr>
            <w:r>
              <w:rPr>
                <w:rFonts w:ascii="Times New Roman" w:hAnsi="Times New Roman"/>
                <w:i/>
                <w:noProof/>
                <w:sz w:val="24"/>
              </w:rPr>
              <w:t>stiprins bendradarbiavimą su atitinkamomis trečiosiomis šalimis, taip pat ES ir Kinijos jungčių platformoje, siekdama skatinti skaitmeninę ekonomiką, veiksmingas transporto jungtis ir pažangų, tvarų, patikimą bei saugų judumą, remdamasi TEN-T tinklo plėtim</w:t>
            </w:r>
            <w:r>
              <w:rPr>
                <w:rFonts w:ascii="Times New Roman" w:hAnsi="Times New Roman"/>
                <w:i/>
                <w:noProof/>
                <w:sz w:val="24"/>
              </w:rPr>
              <w:t xml:space="preserve">u, ir skatins vienodas sąlygas investavimo srityje; </w:t>
            </w:r>
          </w:p>
          <w:p w:rsidR="00612344" w:rsidRDefault="00104B34">
            <w:pPr>
              <w:pStyle w:val="ListParagraph"/>
              <w:numPr>
                <w:ilvl w:val="0"/>
                <w:numId w:val="21"/>
              </w:numPr>
              <w:jc w:val="both"/>
              <w:rPr>
                <w:rFonts w:ascii="Times New Roman" w:eastAsia="Calibri" w:hAnsi="Times New Roman" w:cs="Times New Roman"/>
                <w:i/>
                <w:noProof/>
                <w:sz w:val="24"/>
                <w:szCs w:val="24"/>
              </w:rPr>
            </w:pPr>
            <w:r>
              <w:rPr>
                <w:rFonts w:ascii="Times New Roman" w:hAnsi="Times New Roman"/>
                <w:i/>
                <w:noProof/>
                <w:sz w:val="24"/>
              </w:rPr>
              <w:t>rems tvarų sujungiamumą su trečiosiomis šalimis palaikydama dialogą politikos ir vystymosi klausimais;</w:t>
            </w:r>
          </w:p>
          <w:p w:rsidR="00612344" w:rsidRDefault="00104B34">
            <w:pPr>
              <w:pStyle w:val="ListParagraph"/>
              <w:numPr>
                <w:ilvl w:val="0"/>
                <w:numId w:val="21"/>
              </w:numPr>
              <w:jc w:val="both"/>
              <w:rPr>
                <w:rFonts w:ascii="Times New Roman" w:eastAsia="Calibri" w:hAnsi="Times New Roman" w:cs="Times New Roman"/>
                <w:i/>
                <w:noProof/>
                <w:sz w:val="24"/>
                <w:szCs w:val="24"/>
              </w:rPr>
            </w:pPr>
            <w:r>
              <w:rPr>
                <w:rFonts w:ascii="Times New Roman" w:hAnsi="Times New Roman"/>
                <w:i/>
                <w:noProof/>
                <w:sz w:val="24"/>
              </w:rPr>
              <w:t>stiprins bendradarbiavimą su atitinkamomis Azijos regioninėmis organizacijomis ir išbandys Azijai sk</w:t>
            </w:r>
            <w:r>
              <w:rPr>
                <w:rFonts w:ascii="Times New Roman" w:hAnsi="Times New Roman"/>
                <w:i/>
                <w:noProof/>
                <w:sz w:val="24"/>
              </w:rPr>
              <w:t>irtus regioninio bendradarbiavimo sujungiamumo srityje metodus;</w:t>
            </w:r>
          </w:p>
          <w:p w:rsidR="00612344" w:rsidRDefault="00104B34">
            <w:pPr>
              <w:pStyle w:val="ListParagraph"/>
              <w:numPr>
                <w:ilvl w:val="0"/>
                <w:numId w:val="21"/>
              </w:numPr>
              <w:jc w:val="both"/>
              <w:rPr>
                <w:rFonts w:ascii="Times New Roman" w:hAnsi="Times New Roman" w:cs="Times New Roman"/>
                <w:noProof/>
                <w:sz w:val="24"/>
                <w:szCs w:val="24"/>
              </w:rPr>
            </w:pPr>
            <w:r>
              <w:rPr>
                <w:rFonts w:ascii="Times New Roman" w:hAnsi="Times New Roman"/>
                <w:i/>
                <w:noProof/>
                <w:sz w:val="24"/>
              </w:rPr>
              <w:t>bendradarbiaus su Europos ir tarptautinėmis standartizacijos organizacijomis bei nacionalinėmis jų narėmis, kad būtų galima kartu veiksmingai rengti reikiamus techninius standartus, taip pat t</w:t>
            </w:r>
            <w:r>
              <w:rPr>
                <w:rFonts w:ascii="Times New Roman" w:hAnsi="Times New Roman"/>
                <w:i/>
                <w:noProof/>
                <w:sz w:val="24"/>
              </w:rPr>
              <w:t>ikslingai teikdama techninę paramą ir palaikydama techninį bendradarbiavimą;</w:t>
            </w:r>
          </w:p>
          <w:p w:rsidR="00612344" w:rsidRDefault="00104B34">
            <w:pPr>
              <w:numPr>
                <w:ilvl w:val="0"/>
                <w:numId w:val="21"/>
              </w:numPr>
              <w:jc w:val="both"/>
              <w:rPr>
                <w:rFonts w:ascii="Times New Roman" w:hAnsi="Times New Roman" w:cs="Times New Roman"/>
                <w:noProof/>
                <w:sz w:val="24"/>
                <w:szCs w:val="24"/>
              </w:rPr>
            </w:pPr>
            <w:r>
              <w:rPr>
                <w:rFonts w:ascii="Times New Roman" w:hAnsi="Times New Roman"/>
                <w:i/>
                <w:noProof/>
                <w:sz w:val="24"/>
              </w:rPr>
              <w:t>bendradarbiaus su Jungtinių tautų Europos ekonomikos komisija (UNECE), kad būtų suvienodinta teisinė prekių vežimo geležinkeliais Eurazijos žemyne sistema, taip pat su Tarptautini</w:t>
            </w:r>
            <w:r>
              <w:rPr>
                <w:rFonts w:ascii="Times New Roman" w:hAnsi="Times New Roman"/>
                <w:i/>
                <w:noProof/>
                <w:sz w:val="24"/>
              </w:rPr>
              <w:t>o vežimo geležinkeliais tarpvyriausybine organizacija (OTIF) ir Geležinkelių bendradarbiavimo organizacija (OSŽD), kad būtų išplėstas ES techninių specifikacijų ir saugos valdymo sistemų taikymas.</w:t>
            </w:r>
          </w:p>
          <w:p w:rsidR="00612344" w:rsidRDefault="00612344">
            <w:pPr>
              <w:ind w:left="720"/>
              <w:jc w:val="both"/>
              <w:rPr>
                <w:rFonts w:ascii="Times New Roman" w:hAnsi="Times New Roman" w:cs="Times New Roman"/>
                <w:noProof/>
                <w:sz w:val="24"/>
                <w:szCs w:val="24"/>
              </w:rPr>
            </w:pPr>
          </w:p>
        </w:tc>
      </w:tr>
    </w:tbl>
    <w:p w:rsidR="00612344" w:rsidRDefault="00612344">
      <w:pPr>
        <w:spacing w:line="240" w:lineRule="auto"/>
        <w:jc w:val="both"/>
        <w:rPr>
          <w:rFonts w:ascii="Times New Roman" w:hAnsi="Times New Roman" w:cs="Times New Roman"/>
          <w:i/>
          <w:noProof/>
          <w:sz w:val="24"/>
          <w:szCs w:val="24"/>
        </w:rPr>
      </w:pPr>
    </w:p>
    <w:p w:rsidR="00612344" w:rsidRDefault="00104B34">
      <w:pPr>
        <w:pStyle w:val="ListParagraph"/>
        <w:numPr>
          <w:ilvl w:val="0"/>
          <w:numId w:val="30"/>
        </w:numPr>
        <w:spacing w:line="240" w:lineRule="auto"/>
        <w:jc w:val="both"/>
        <w:rPr>
          <w:rFonts w:ascii="Times New Roman" w:hAnsi="Times New Roman" w:cs="Times New Roman"/>
          <w:b/>
          <w:noProof/>
          <w:sz w:val="24"/>
          <w:szCs w:val="24"/>
        </w:rPr>
      </w:pPr>
      <w:r>
        <w:rPr>
          <w:rFonts w:ascii="Times New Roman" w:hAnsi="Times New Roman"/>
          <w:b/>
          <w:noProof/>
          <w:sz w:val="24"/>
        </w:rPr>
        <w:t>Gausesnės ir geresnės investicijos į tvarų sujungiamumą</w:t>
      </w:r>
    </w:p>
    <w:p w:rsidR="00612344" w:rsidRDefault="00104B34">
      <w:pPr>
        <w:spacing w:line="240" w:lineRule="auto"/>
        <w:jc w:val="both"/>
        <w:rPr>
          <w:rFonts w:ascii="Times New Roman" w:hAnsi="Times New Roman" w:cs="Times New Roman"/>
          <w:noProof/>
          <w:sz w:val="24"/>
          <w:szCs w:val="24"/>
        </w:rPr>
      </w:pPr>
      <w:r>
        <w:rPr>
          <w:rFonts w:ascii="Times New Roman" w:hAnsi="Times New Roman"/>
          <w:noProof/>
          <w:sz w:val="24"/>
        </w:rPr>
        <w:t>Į investicijų sujungiamumo srityje poreikius pasaulyje nėra pakankamai atsižvelgiama. Pasaulio Banko tyrimo dokumente nurodyta, kad neturtingiausiose šalyse šis poreikis, vertinant pagal procentinę dalį, yra didžiausias (sudaro vidutiniškai 12,5 proc. BVP)</w:t>
      </w:r>
      <w:r>
        <w:rPr>
          <w:rFonts w:ascii="Times New Roman" w:hAnsi="Times New Roman"/>
          <w:noProof/>
          <w:sz w:val="24"/>
        </w:rPr>
        <w:t>; jose taip pat didžiausia išlaidų infrastruktūrai spraga (7,5 proc. BVP). Norint mažinti šį didelį investicijų trūkumą, reikia užtikrinti visapusišką požiūrį į finansus. Pirmiausia reikia geresnio vidaus išteklių sutelkimo, geresnių naudojimosi infrastruk</w:t>
      </w:r>
      <w:r>
        <w:rPr>
          <w:rFonts w:ascii="Times New Roman" w:hAnsi="Times New Roman"/>
          <w:noProof/>
          <w:sz w:val="24"/>
        </w:rPr>
        <w:t>tūra kainodaros modelių ir reguliavimo sistemų. Tai pasakytina ir apie Aziją, kuriai būdingi dideli regioniniai skirtumai</w:t>
      </w:r>
      <w:r>
        <w:rPr>
          <w:rStyle w:val="FootnoteReference"/>
          <w:rFonts w:ascii="Times New Roman" w:hAnsi="Times New Roman"/>
          <w:noProof/>
          <w:sz w:val="24"/>
        </w:rPr>
        <w:footnoteReference w:id="28"/>
      </w:r>
      <w:r>
        <w:rPr>
          <w:noProof/>
        </w:rPr>
        <w:t>.</w:t>
      </w:r>
      <w:r>
        <w:rPr>
          <w:rFonts w:ascii="Times New Roman" w:hAnsi="Times New Roman"/>
          <w:noProof/>
          <w:sz w:val="24"/>
        </w:rPr>
        <w:t xml:space="preserve"> </w:t>
      </w:r>
      <w:r>
        <w:rPr>
          <w:noProof/>
        </w:rPr>
        <w:t xml:space="preserve"> </w:t>
      </w:r>
    </w:p>
    <w:p w:rsidR="00612344" w:rsidRDefault="00104B34">
      <w:pPr>
        <w:pStyle w:val="ListParagraph"/>
        <w:numPr>
          <w:ilvl w:val="1"/>
          <w:numId w:val="30"/>
        </w:numPr>
        <w:spacing w:line="240" w:lineRule="auto"/>
        <w:jc w:val="both"/>
        <w:rPr>
          <w:rFonts w:ascii="Times New Roman" w:hAnsi="Times New Roman" w:cs="Times New Roman"/>
          <w:b/>
          <w:noProof/>
          <w:sz w:val="24"/>
          <w:szCs w:val="24"/>
        </w:rPr>
      </w:pPr>
      <w:r>
        <w:rPr>
          <w:rFonts w:ascii="Times New Roman" w:hAnsi="Times New Roman"/>
          <w:b/>
          <w:noProof/>
          <w:sz w:val="24"/>
        </w:rPr>
        <w:t xml:space="preserve">Naujas ir novatoriškas ES finansavimas sujungiamumui </w:t>
      </w:r>
    </w:p>
    <w:p w:rsidR="00612344" w:rsidRDefault="00104B34">
      <w:pPr>
        <w:spacing w:line="240" w:lineRule="auto"/>
        <w:jc w:val="both"/>
        <w:rPr>
          <w:rFonts w:ascii="Times New Roman" w:hAnsi="Times New Roman" w:cs="Times New Roman"/>
          <w:noProof/>
          <w:sz w:val="24"/>
          <w:szCs w:val="24"/>
        </w:rPr>
      </w:pPr>
      <w:r>
        <w:rPr>
          <w:rFonts w:ascii="Times New Roman" w:hAnsi="Times New Roman"/>
          <w:noProof/>
          <w:sz w:val="24"/>
        </w:rPr>
        <w:t xml:space="preserve">Šiuo komunikatu nesiekiama nustatyti investicijų plano, nors esamomis ir būsimomis ES finansavimo priemonėmis būtų galima pasiūlyti perspektyvų remti privačiąsias investicijas į su sujungiamumu susijusius projektus. </w:t>
      </w:r>
    </w:p>
    <w:p w:rsidR="00612344" w:rsidRDefault="00104B34">
      <w:pPr>
        <w:spacing w:line="240" w:lineRule="auto"/>
        <w:jc w:val="both"/>
        <w:rPr>
          <w:rFonts w:ascii="Times New Roman" w:hAnsi="Times New Roman" w:cs="Times New Roman"/>
          <w:noProof/>
          <w:sz w:val="24"/>
          <w:szCs w:val="24"/>
        </w:rPr>
      </w:pPr>
      <w:r>
        <w:rPr>
          <w:rFonts w:ascii="Times New Roman" w:hAnsi="Times New Roman"/>
          <w:noProof/>
          <w:sz w:val="24"/>
        </w:rPr>
        <w:t>Finansiškai remdama sujungiamumą ES jau</w:t>
      </w:r>
      <w:r>
        <w:rPr>
          <w:rFonts w:ascii="Times New Roman" w:hAnsi="Times New Roman"/>
          <w:noProof/>
          <w:sz w:val="24"/>
        </w:rPr>
        <w:t xml:space="preserve"> yra pasiekusi gerų </w:t>
      </w:r>
      <w:r>
        <w:rPr>
          <w:rFonts w:ascii="Times New Roman" w:hAnsi="Times New Roman"/>
          <w:b/>
          <w:noProof/>
          <w:sz w:val="24"/>
        </w:rPr>
        <w:t>rezultatų</w:t>
      </w:r>
      <w:r>
        <w:rPr>
          <w:rStyle w:val="FootnoteReference"/>
          <w:rFonts w:ascii="Times New Roman" w:hAnsi="Times New Roman"/>
          <w:noProof/>
          <w:sz w:val="24"/>
        </w:rPr>
        <w:footnoteReference w:id="29"/>
      </w:r>
      <w:r>
        <w:rPr>
          <w:noProof/>
        </w:rPr>
        <w:t>.</w:t>
      </w:r>
      <w:r>
        <w:rPr>
          <w:rFonts w:ascii="Times New Roman" w:hAnsi="Times New Roman"/>
          <w:noProof/>
          <w:sz w:val="24"/>
        </w:rPr>
        <w:t xml:space="preserve"> Finansavimas ir techninė parama infrastruktūrai ir sujungiamumui buvo užtikrinti naudojantis tokiomis geografinėmis investicinėmis priemonėmis kaip Kaimynystės investicinė priemonė (angl. NIF), Investicinė priemonė Vidurinei</w:t>
      </w:r>
      <w:r>
        <w:rPr>
          <w:rFonts w:ascii="Times New Roman" w:hAnsi="Times New Roman"/>
          <w:noProof/>
          <w:sz w:val="24"/>
        </w:rPr>
        <w:t xml:space="preserve"> Azijai (angl. IFCA) ir Azijos investicinė priemonė (angl. AIF). Vien Azijos investicine priemone ir Investicine priemone Vidurinei Azijai, derinant dotacijas ir paskolas, nuo 2010 m. iki 2018 m. vidurio pritraukta daugiau kaip 4,2 mlrd. EUR investicijų</w:t>
      </w:r>
      <w:r>
        <w:rPr>
          <w:rStyle w:val="FootnoteReference"/>
          <w:rFonts w:ascii="Times New Roman" w:hAnsi="Times New Roman"/>
          <w:noProof/>
          <w:sz w:val="24"/>
        </w:rPr>
        <w:footnoteReference w:id="30"/>
      </w:r>
      <w:r>
        <w:rPr>
          <w:noProof/>
        </w:rPr>
        <w:t>.</w:t>
      </w:r>
      <w:r>
        <w:rPr>
          <w:rFonts w:ascii="Times New Roman" w:hAnsi="Times New Roman"/>
          <w:noProof/>
          <w:sz w:val="24"/>
        </w:rPr>
        <w:t xml:space="preserve"> </w:t>
      </w:r>
      <w:r>
        <w:rPr>
          <w:rFonts w:ascii="Times New Roman" w:hAnsi="Times New Roman"/>
          <w:noProof/>
          <w:sz w:val="24"/>
        </w:rPr>
        <w:t>Investicijų planas Europai taip pat teikia konkrečių galimybių bendroms investicijoms Europoje.</w:t>
      </w:r>
    </w:p>
    <w:p w:rsidR="00612344" w:rsidRDefault="00104B34">
      <w:pPr>
        <w:spacing w:line="240" w:lineRule="auto"/>
        <w:jc w:val="both"/>
        <w:rPr>
          <w:rFonts w:ascii="Times New Roman" w:hAnsi="Times New Roman" w:cs="Times New Roman"/>
          <w:noProof/>
          <w:sz w:val="24"/>
          <w:szCs w:val="24"/>
        </w:rPr>
      </w:pPr>
      <w:r>
        <w:rPr>
          <w:rFonts w:ascii="Times New Roman" w:hAnsi="Times New Roman"/>
          <w:noProof/>
          <w:sz w:val="24"/>
        </w:rPr>
        <w:t>Kitai daugiametei finansinei programai (2021–2027 m.) Komisija yra pasiūliusi kelias naujoviškas priemones, kuriomis būtų galima paspartinti viešąsias ir privač</w:t>
      </w:r>
      <w:r>
        <w:rPr>
          <w:rFonts w:ascii="Times New Roman" w:hAnsi="Times New Roman"/>
          <w:noProof/>
          <w:sz w:val="24"/>
        </w:rPr>
        <w:t>iąsias investicijas į sujungiamumą. Į Komisijos pasiūlymą pirmiausia įtraukta išorės veiksmams skirta investicijų programa, grindžiama dabartiniu Europos darnaus vystymosi fondu</w:t>
      </w:r>
      <w:r>
        <w:rPr>
          <w:rStyle w:val="FootnoteReference"/>
          <w:rFonts w:ascii="Times New Roman" w:hAnsi="Times New Roman"/>
          <w:noProof/>
          <w:sz w:val="24"/>
        </w:rPr>
        <w:footnoteReference w:id="31"/>
      </w:r>
      <w:r>
        <w:rPr>
          <w:rFonts w:ascii="Times New Roman" w:hAnsi="Times New Roman"/>
          <w:noProof/>
          <w:sz w:val="24"/>
        </w:rPr>
        <w:t xml:space="preserve"> (jis yra įtrauktas į ES išorės investicijų planą ir yra taikomas Afrikai bei </w:t>
      </w:r>
      <w:r>
        <w:rPr>
          <w:rFonts w:ascii="Times New Roman" w:hAnsi="Times New Roman"/>
          <w:noProof/>
          <w:sz w:val="24"/>
        </w:rPr>
        <w:t xml:space="preserve">kaimynystės priemonėje dalyvaujančioms šalims), siekiant teikti finansavimą, kad būtų galima paskatinti papildomą viešąjį ir privatųjį kapitalą. Nors juo daugiausia dėmesio bus skiriama Afrikai ir ES kaimynystės priemonėje dalyvaujančioms šalims, dalis jo </w:t>
      </w:r>
      <w:r>
        <w:rPr>
          <w:rFonts w:ascii="Times New Roman" w:hAnsi="Times New Roman"/>
          <w:noProof/>
          <w:sz w:val="24"/>
        </w:rPr>
        <w:t xml:space="preserve">išteklių taip pat bus skiriama kitoms geografinėms vietovėms. </w:t>
      </w:r>
    </w:p>
    <w:p w:rsidR="00612344" w:rsidRDefault="00104B34">
      <w:pPr>
        <w:spacing w:line="240" w:lineRule="auto"/>
        <w:jc w:val="both"/>
        <w:rPr>
          <w:rFonts w:ascii="Times New Roman" w:hAnsi="Times New Roman" w:cs="Times New Roman"/>
          <w:noProof/>
          <w:sz w:val="24"/>
          <w:szCs w:val="24"/>
        </w:rPr>
      </w:pPr>
      <w:r>
        <w:rPr>
          <w:rFonts w:ascii="Times New Roman" w:hAnsi="Times New Roman"/>
          <w:noProof/>
          <w:sz w:val="24"/>
        </w:rPr>
        <w:t>Be to, Komisija remia visas pastangas užtikrinti dar veiksmingesnę ir operatyvesnę su institucijomis ir veikla susijusią ES išorės investicijų sistemą, kad būtų galima atsižvelgti į pagrindiniu</w:t>
      </w:r>
      <w:r>
        <w:rPr>
          <w:rFonts w:ascii="Times New Roman" w:hAnsi="Times New Roman"/>
          <w:noProof/>
          <w:sz w:val="24"/>
        </w:rPr>
        <w:t>s mūsų investicinius uždavinius. Neseniai priimtame Komisijos komunikate</w:t>
      </w:r>
      <w:r>
        <w:rPr>
          <w:rStyle w:val="FootnoteReference"/>
          <w:rFonts w:ascii="Times New Roman" w:hAnsi="Times New Roman"/>
          <w:noProof/>
          <w:sz w:val="24"/>
        </w:rPr>
        <w:footnoteReference w:id="32"/>
      </w:r>
      <w:r>
        <w:rPr>
          <w:rFonts w:ascii="Times New Roman" w:hAnsi="Times New Roman"/>
          <w:noProof/>
          <w:sz w:val="24"/>
        </w:rPr>
        <w:t xml:space="preserve"> atkreipiamas dėmesys į būtinybę bendradarbiauti tarptautiniu mastu, kad būtų galima kliautis finansavimo šaltinių deriniu, ypač sutelkiant daugiau privačiųjų investicijų, ir pabrėžia</w:t>
      </w:r>
      <w:r>
        <w:rPr>
          <w:rFonts w:ascii="Times New Roman" w:hAnsi="Times New Roman"/>
          <w:noProof/>
          <w:sz w:val="24"/>
        </w:rPr>
        <w:t>ma, kad reikia kuo geriau pasinaudoti esamomis priemonėmis, pradedant nuo Europos darnaus vystymosi fondo. Šiame komunikate pagrindinės vystymosi finansavimo srityje veikiančios finansų įstaigos ir vystymosi institucijos raginamos stiprinti savo bendradarb</w:t>
      </w:r>
      <w:r>
        <w:rPr>
          <w:rFonts w:ascii="Times New Roman" w:hAnsi="Times New Roman"/>
          <w:noProof/>
          <w:sz w:val="24"/>
        </w:rPr>
        <w:t>iavimą.</w:t>
      </w:r>
    </w:p>
    <w:p w:rsidR="00612344" w:rsidRDefault="00612344">
      <w:pPr>
        <w:spacing w:line="240" w:lineRule="auto"/>
        <w:jc w:val="both"/>
        <w:rPr>
          <w:rFonts w:ascii="Times New Roman" w:hAnsi="Times New Roman" w:cs="Times New Roman"/>
          <w:noProof/>
          <w:sz w:val="24"/>
          <w:szCs w:val="24"/>
        </w:rPr>
      </w:pPr>
    </w:p>
    <w:p w:rsidR="00612344" w:rsidRDefault="00612344">
      <w:pPr>
        <w:spacing w:line="240" w:lineRule="auto"/>
        <w:jc w:val="both"/>
        <w:rPr>
          <w:rFonts w:ascii="Times New Roman" w:hAnsi="Times New Roman" w:cs="Times New Roman"/>
          <w:noProof/>
          <w:sz w:val="24"/>
          <w:szCs w:val="24"/>
        </w:rPr>
      </w:pPr>
    </w:p>
    <w:tbl>
      <w:tblPr>
        <w:tblStyle w:val="TableGrid"/>
        <w:tblW w:w="0" w:type="auto"/>
        <w:tblInd w:w="108" w:type="dxa"/>
        <w:tblLayout w:type="fixed"/>
        <w:tblLook w:val="04A0" w:firstRow="1" w:lastRow="0" w:firstColumn="1" w:lastColumn="0" w:noHBand="0" w:noVBand="1"/>
      </w:tblPr>
      <w:tblGrid>
        <w:gridCol w:w="9072"/>
      </w:tblGrid>
      <w:tr w:rsidR="00612344">
        <w:tc>
          <w:tcPr>
            <w:tcW w:w="9072" w:type="dxa"/>
            <w:shd w:val="clear" w:color="auto" w:fill="8DB3E2" w:themeFill="text2" w:themeFillTint="66"/>
          </w:tcPr>
          <w:p w:rsidR="00612344" w:rsidRDefault="00104B34">
            <w:pPr>
              <w:jc w:val="center"/>
              <w:rPr>
                <w:rFonts w:ascii="Times New Roman" w:hAnsi="Times New Roman" w:cs="Times New Roman"/>
                <w:b/>
                <w:noProof/>
                <w:sz w:val="24"/>
                <w:szCs w:val="24"/>
              </w:rPr>
            </w:pPr>
            <w:r>
              <w:rPr>
                <w:rFonts w:ascii="Times New Roman" w:hAnsi="Times New Roman"/>
                <w:b/>
                <w:noProof/>
                <w:sz w:val="24"/>
              </w:rPr>
              <w:t xml:space="preserve">Naujoviškas tarptautinio bendradarbiavimo finansavimas </w:t>
            </w:r>
          </w:p>
          <w:p w:rsidR="00612344" w:rsidRDefault="00104B34">
            <w:pPr>
              <w:jc w:val="center"/>
              <w:rPr>
                <w:rFonts w:ascii="Times New Roman" w:hAnsi="Times New Roman" w:cs="Times New Roman"/>
                <w:b/>
                <w:noProof/>
                <w:sz w:val="24"/>
                <w:szCs w:val="24"/>
              </w:rPr>
            </w:pPr>
            <w:r>
              <w:rPr>
                <w:rFonts w:ascii="Times New Roman" w:hAnsi="Times New Roman"/>
                <w:b/>
                <w:noProof/>
                <w:sz w:val="24"/>
              </w:rPr>
              <w:t>pagal kitą daugiametę finansinę programą (2021–2027 m.)</w:t>
            </w:r>
          </w:p>
        </w:tc>
      </w:tr>
      <w:tr w:rsidR="00612344">
        <w:tc>
          <w:tcPr>
            <w:tcW w:w="9072" w:type="dxa"/>
          </w:tcPr>
          <w:p w:rsidR="00612344" w:rsidRDefault="00612344">
            <w:pPr>
              <w:jc w:val="both"/>
              <w:rPr>
                <w:rFonts w:ascii="Times New Roman" w:hAnsi="Times New Roman" w:cs="Times New Roman"/>
                <w:noProof/>
              </w:rPr>
            </w:pPr>
          </w:p>
          <w:p w:rsidR="00612344" w:rsidRDefault="00104B34">
            <w:pPr>
              <w:jc w:val="both"/>
              <w:rPr>
                <w:rFonts w:ascii="Times New Roman" w:hAnsi="Times New Roman" w:cs="Times New Roman"/>
                <w:noProof/>
                <w:sz w:val="24"/>
                <w:szCs w:val="24"/>
              </w:rPr>
            </w:pPr>
            <w:r>
              <w:rPr>
                <w:rFonts w:ascii="Times New Roman" w:hAnsi="Times New Roman"/>
                <w:noProof/>
              </w:rPr>
              <w:t>2018 m. gegužės mėn. Komisija pateikė pasiūlymą</w:t>
            </w:r>
            <w:r>
              <w:rPr>
                <w:rStyle w:val="FootnoteReference"/>
                <w:rFonts w:ascii="Times New Roman" w:hAnsi="Times New Roman"/>
                <w:noProof/>
              </w:rPr>
              <w:footnoteReference w:id="33"/>
            </w:r>
            <w:r>
              <w:rPr>
                <w:rFonts w:ascii="Times New Roman" w:hAnsi="Times New Roman"/>
                <w:noProof/>
              </w:rPr>
              <w:t xml:space="preserve"> dėl kitos ES daugiametės finansinės programos. Į ją įtraukta priemonių, kuriomis siekiama skatinti investicijas, taip pat į tvarų sujungiamumą. Komisija siūlo naują platesnės pasaulinės aprėpties, įskaitant Aziją, išorės investavimo struktūrą</w:t>
            </w:r>
            <w:r>
              <w:rPr>
                <w:rStyle w:val="FootnoteReference"/>
                <w:rFonts w:ascii="Times New Roman" w:hAnsi="Times New Roman"/>
                <w:noProof/>
              </w:rPr>
              <w:footnoteReference w:id="34"/>
            </w:r>
            <w:r>
              <w:rPr>
                <w:noProof/>
              </w:rPr>
              <w:t>.</w:t>
            </w:r>
            <w:r>
              <w:rPr>
                <w:rFonts w:ascii="Times New Roman" w:hAnsi="Times New Roman"/>
                <w:noProof/>
              </w:rPr>
              <w:t xml:space="preserve"> Ją taikant</w:t>
            </w:r>
            <w:r>
              <w:rPr>
                <w:rFonts w:ascii="Times New Roman" w:hAnsi="Times New Roman"/>
                <w:noProof/>
              </w:rPr>
              <w:t>, kaip ir pagal jos pirmtakę, naudojantis stipresne ES garantija bus telkiamas viešasis ir privatusis finansavimas, kurį būtų galima papildyti dotacijomis ir paskolomis. Jei naujajai struktūrai bus pritarta, ja bus skatinamos tolesnės investicijos, taip pa</w:t>
            </w:r>
            <w:r>
              <w:rPr>
                <w:rFonts w:ascii="Times New Roman" w:hAnsi="Times New Roman"/>
                <w:noProof/>
              </w:rPr>
              <w:t>t į tvarų sujungiamumą. Padidinus, kaip pasiūlyta, ES mokslinių tyrimų biudžetą, bus padedama pereiti prie tvaresnių formų sujungiamumo.</w:t>
            </w:r>
          </w:p>
        </w:tc>
      </w:tr>
    </w:tbl>
    <w:p w:rsidR="00612344" w:rsidRDefault="00612344">
      <w:pPr>
        <w:spacing w:line="240" w:lineRule="auto"/>
        <w:jc w:val="both"/>
        <w:rPr>
          <w:rFonts w:ascii="Times New Roman" w:hAnsi="Times New Roman" w:cs="Times New Roman"/>
          <w:b/>
          <w:noProof/>
          <w:sz w:val="24"/>
          <w:szCs w:val="24"/>
        </w:rPr>
      </w:pPr>
    </w:p>
    <w:p w:rsidR="00612344" w:rsidRDefault="00104B34">
      <w:pPr>
        <w:spacing w:line="240" w:lineRule="auto"/>
        <w:jc w:val="both"/>
        <w:rPr>
          <w:rFonts w:ascii="Times New Roman" w:hAnsi="Times New Roman" w:cs="Times New Roman"/>
          <w:noProof/>
          <w:sz w:val="24"/>
          <w:szCs w:val="24"/>
        </w:rPr>
      </w:pPr>
      <w:r>
        <w:rPr>
          <w:rFonts w:ascii="Times New Roman" w:hAnsi="Times New Roman"/>
          <w:noProof/>
          <w:sz w:val="24"/>
        </w:rPr>
        <w:t xml:space="preserve">ES turėtų stiprinti bendradarbiavimą su </w:t>
      </w:r>
      <w:r>
        <w:rPr>
          <w:rFonts w:ascii="Times New Roman" w:hAnsi="Times New Roman"/>
          <w:b/>
          <w:noProof/>
          <w:sz w:val="24"/>
        </w:rPr>
        <w:t>ES valstybių narių viešosiomis ir privačiosiomis finansų įstaigomis, įskaitan</w:t>
      </w:r>
      <w:r>
        <w:rPr>
          <w:rFonts w:ascii="Times New Roman" w:hAnsi="Times New Roman"/>
          <w:b/>
          <w:noProof/>
          <w:sz w:val="24"/>
        </w:rPr>
        <w:t>t nepriklausomus fondus,</w:t>
      </w:r>
      <w:r>
        <w:rPr>
          <w:rFonts w:ascii="Times New Roman" w:hAnsi="Times New Roman"/>
          <w:noProof/>
          <w:sz w:val="24"/>
        </w:rPr>
        <w:t xml:space="preserve"> ir stengtis geriau derinti veiklą su jomis. Siekdamos skatinti tvarius finansus, ES ir Europos skolinančiosios įstaigos, laikydamosi Tvaraus augimo finansavimo veiksmų plano</w:t>
      </w:r>
      <w:r>
        <w:rPr>
          <w:rStyle w:val="FootnoteReference"/>
          <w:rFonts w:ascii="Times New Roman" w:hAnsi="Times New Roman"/>
          <w:noProof/>
          <w:sz w:val="24"/>
        </w:rPr>
        <w:footnoteReference w:id="35"/>
      </w:r>
      <w:r>
        <w:rPr>
          <w:rFonts w:ascii="Times New Roman" w:hAnsi="Times New Roman"/>
          <w:noProof/>
          <w:sz w:val="24"/>
        </w:rPr>
        <w:t>, taip pat turėtų gerinti dialogą su trečiųjų šalių viešo</w:t>
      </w:r>
      <w:r>
        <w:rPr>
          <w:rFonts w:ascii="Times New Roman" w:hAnsi="Times New Roman"/>
          <w:noProof/>
          <w:sz w:val="24"/>
        </w:rPr>
        <w:t>siomis ir privačiosiomis finansų įstaigomis</w:t>
      </w:r>
      <w:r>
        <w:rPr>
          <w:noProof/>
        </w:rPr>
        <w:t>.</w:t>
      </w:r>
      <w:r>
        <w:rPr>
          <w:rFonts w:ascii="Times New Roman" w:hAnsi="Times New Roman"/>
          <w:noProof/>
          <w:sz w:val="24"/>
        </w:rPr>
        <w:t xml:space="preserve"> Šiuo veiksmų planu grindžiamos tarptautinių forumų diskusijos, kuriomis siekiama užtikrinti tvaresnį finansų sistemos valdymą. Komisija ragina Europos bankus, įskaitant viešuosius bankus, ir kitus ES nepriklausa</w:t>
      </w:r>
      <w:r>
        <w:rPr>
          <w:rFonts w:ascii="Times New Roman" w:hAnsi="Times New Roman"/>
          <w:noProof/>
          <w:sz w:val="24"/>
        </w:rPr>
        <w:t>nčių šalių bankus bendradarbiauti tvarių finansų klausimais ir keistis geriausia patirtimi. Ji taip pat rems įmonių socialinės atsakomybės iniciatyvas, kuriomis, finansuojant su sujungiamumu susijusius projektus, siekiama įgyvendinti tarptautinius standart</w:t>
      </w:r>
      <w:r>
        <w:rPr>
          <w:rFonts w:ascii="Times New Roman" w:hAnsi="Times New Roman"/>
          <w:noProof/>
          <w:sz w:val="24"/>
        </w:rPr>
        <w:t>us. ES rems Didžiojo septyneto (G 7), Didžiojo dvidešimtuko (G 20) ir EBPO procesus, kad viešųjų finansų įstaigų skolinimo praktika būtų suderinta su tvaraus sujungiamumo principais.</w:t>
      </w:r>
    </w:p>
    <w:p w:rsidR="00612344" w:rsidRDefault="00104B34">
      <w:pPr>
        <w:pStyle w:val="ListParagraph"/>
        <w:numPr>
          <w:ilvl w:val="1"/>
          <w:numId w:val="30"/>
        </w:numPr>
        <w:spacing w:line="240" w:lineRule="auto"/>
        <w:jc w:val="both"/>
        <w:rPr>
          <w:rFonts w:ascii="Times New Roman" w:hAnsi="Times New Roman" w:cs="Times New Roman"/>
          <w:b/>
          <w:noProof/>
          <w:sz w:val="24"/>
          <w:szCs w:val="24"/>
        </w:rPr>
      </w:pPr>
      <w:r>
        <w:rPr>
          <w:rFonts w:ascii="Times New Roman" w:hAnsi="Times New Roman"/>
          <w:b/>
          <w:noProof/>
          <w:sz w:val="24"/>
        </w:rPr>
        <w:t>Tarptautinės partnerystės finansų srityje</w:t>
      </w:r>
    </w:p>
    <w:p w:rsidR="00612344" w:rsidRDefault="00104B34">
      <w:pPr>
        <w:spacing w:line="240" w:lineRule="auto"/>
        <w:jc w:val="both"/>
        <w:rPr>
          <w:rFonts w:ascii="Times New Roman" w:hAnsi="Times New Roman" w:cs="Times New Roman"/>
          <w:noProof/>
          <w:sz w:val="24"/>
          <w:szCs w:val="24"/>
        </w:rPr>
      </w:pPr>
      <w:r>
        <w:rPr>
          <w:rFonts w:ascii="Times New Roman" w:hAnsi="Times New Roman"/>
          <w:b/>
          <w:noProof/>
          <w:sz w:val="24"/>
        </w:rPr>
        <w:t>Tarptautinės finansų įstaigos (</w:t>
      </w:r>
      <w:r>
        <w:rPr>
          <w:rFonts w:ascii="Times New Roman" w:hAnsi="Times New Roman"/>
          <w:b/>
          <w:noProof/>
          <w:sz w:val="24"/>
        </w:rPr>
        <w:t>TFĮ) ir daugiašaliai plėtros bankai (DPB)</w:t>
      </w:r>
      <w:r>
        <w:rPr>
          <w:rFonts w:ascii="Times New Roman" w:hAnsi="Times New Roman"/>
          <w:noProof/>
          <w:sz w:val="24"/>
        </w:rPr>
        <w:t xml:space="preserve"> yra pagrindinė sudedamoji pasaulinės sujungiamumo finansavimo struktūros dalis. Europos investicijų bankas (EIB), kaip ES bankas ir investavimo partneris, ir Europos rekonstrukcijos ir plėtros bankas (ERPB) išplėtė</w:t>
      </w:r>
      <w:r>
        <w:rPr>
          <w:rFonts w:ascii="Times New Roman" w:hAnsi="Times New Roman"/>
          <w:noProof/>
          <w:sz w:val="24"/>
        </w:rPr>
        <w:t xml:space="preserve"> savo skolinimo operacijas, todėl atvėrė naujų bendradarbiavimo galimybių. Tarptautinis valiutos fondas (TVR) ir Pasaulio bankas yra svarbūs partneriai bendradarbiaujant skolų tvarumo ir sujungiamumo srityse. ES taip pat turėtų stiprinti savo bendradarbiav</w:t>
      </w:r>
      <w:r>
        <w:rPr>
          <w:rFonts w:ascii="Times New Roman" w:hAnsi="Times New Roman"/>
          <w:noProof/>
          <w:sz w:val="24"/>
        </w:rPr>
        <w:t>imą su Azijos plėtros banku (angl. ADB) ir Azijos infrastruktūros investicijų banku (angl. AIIB) ir kartu užtikrinti, kad palaikant šiuos santykius būtų visapusiškai atsižvelgiama į ES prioritetus. Daugiašalių plėtros bankų parama labai svarbi įgyvendinant</w:t>
      </w:r>
      <w:r>
        <w:rPr>
          <w:rFonts w:ascii="Times New Roman" w:hAnsi="Times New Roman"/>
          <w:noProof/>
          <w:sz w:val="24"/>
        </w:rPr>
        <w:t xml:space="preserve"> G 20 </w:t>
      </w:r>
      <w:r>
        <w:rPr>
          <w:rFonts w:ascii="Times New Roman" w:hAnsi="Times New Roman"/>
          <w:i/>
          <w:noProof/>
          <w:sz w:val="24"/>
        </w:rPr>
        <w:t>Infrastruktūros kaip turto klasės veiksmų gaires</w:t>
      </w:r>
      <w:r>
        <w:rPr>
          <w:rFonts w:ascii="Times New Roman" w:hAnsi="Times New Roman"/>
          <w:noProof/>
          <w:sz w:val="24"/>
        </w:rPr>
        <w:t>, o, plačiau taikant infrastruktūros valdymo platformas, būtų lengviau gerinti projektų įgyvendinimą</w:t>
      </w:r>
      <w:r>
        <w:rPr>
          <w:rStyle w:val="FootnoteReference"/>
          <w:rFonts w:ascii="Times New Roman" w:hAnsi="Times New Roman"/>
          <w:noProof/>
          <w:sz w:val="24"/>
        </w:rPr>
        <w:footnoteReference w:id="36"/>
      </w:r>
      <w:r>
        <w:rPr>
          <w:noProof/>
        </w:rPr>
        <w:t xml:space="preserve">. </w:t>
      </w:r>
      <w:r>
        <w:rPr>
          <w:rFonts w:ascii="Times New Roman" w:hAnsi="Times New Roman"/>
          <w:noProof/>
          <w:sz w:val="24"/>
        </w:rPr>
        <w:t>Reikėtų toliau gerinti ES narystės koordinavimą daugiašaliuose vystymosi bankuose.</w:t>
      </w:r>
    </w:p>
    <w:p w:rsidR="00612344" w:rsidRDefault="00612344">
      <w:pPr>
        <w:spacing w:line="240" w:lineRule="auto"/>
        <w:jc w:val="both"/>
        <w:rPr>
          <w:rFonts w:ascii="Times New Roman" w:hAnsi="Times New Roman" w:cs="Times New Roman"/>
          <w:i/>
          <w:noProof/>
          <w:sz w:val="24"/>
          <w:szCs w:val="24"/>
        </w:rPr>
      </w:pPr>
    </w:p>
    <w:p w:rsidR="00612344" w:rsidRDefault="00104B34">
      <w:pPr>
        <w:pStyle w:val="ListParagraph"/>
        <w:numPr>
          <w:ilvl w:val="1"/>
          <w:numId w:val="30"/>
        </w:numPr>
        <w:spacing w:line="240" w:lineRule="auto"/>
        <w:jc w:val="both"/>
        <w:rPr>
          <w:rFonts w:ascii="Times New Roman" w:hAnsi="Times New Roman" w:cs="Times New Roman"/>
          <w:b/>
          <w:noProof/>
          <w:sz w:val="24"/>
          <w:szCs w:val="24"/>
        </w:rPr>
      </w:pPr>
      <w:r>
        <w:rPr>
          <w:rFonts w:ascii="Times New Roman" w:hAnsi="Times New Roman"/>
          <w:b/>
          <w:noProof/>
          <w:sz w:val="24"/>
        </w:rPr>
        <w:t xml:space="preserve">Vienodos </w:t>
      </w:r>
      <w:r>
        <w:rPr>
          <w:rFonts w:ascii="Times New Roman" w:hAnsi="Times New Roman"/>
          <w:b/>
          <w:noProof/>
          <w:sz w:val="24"/>
        </w:rPr>
        <w:t>sąlygos įmonėms</w:t>
      </w:r>
    </w:p>
    <w:p w:rsidR="00612344" w:rsidRDefault="00104B34">
      <w:pPr>
        <w:spacing w:line="240" w:lineRule="auto"/>
        <w:jc w:val="both"/>
        <w:rPr>
          <w:rFonts w:ascii="Times New Roman" w:hAnsi="Times New Roman" w:cs="Times New Roman"/>
          <w:noProof/>
          <w:sz w:val="24"/>
          <w:szCs w:val="24"/>
        </w:rPr>
      </w:pPr>
      <w:r>
        <w:rPr>
          <w:rFonts w:ascii="Times New Roman" w:hAnsi="Times New Roman"/>
          <w:noProof/>
          <w:sz w:val="24"/>
        </w:rPr>
        <w:t>Svarbiausios išankstinės sąlygos, kad įmonės galėtų plėtoti ir skatinti ES ir Azijos sujungiamumą, yra tinkamos vienodos sąlygos, susijusios su patekimu į rinką ir tiesioginėmis užsienio investicijomis; sąžiningumas ir skaidrumas viešųjų pi</w:t>
      </w:r>
      <w:r>
        <w:rPr>
          <w:rFonts w:ascii="Times New Roman" w:hAnsi="Times New Roman"/>
          <w:noProof/>
          <w:sz w:val="24"/>
        </w:rPr>
        <w:t>rkimų srityje; nediskriminacinė rinkos praktika ir subalansuota intelektinės nuosavybės teisų apsauga</w:t>
      </w:r>
      <w:r>
        <w:rPr>
          <w:rStyle w:val="FootnoteReference"/>
          <w:rFonts w:ascii="Times New Roman" w:hAnsi="Times New Roman"/>
          <w:noProof/>
          <w:sz w:val="24"/>
        </w:rPr>
        <w:footnoteReference w:id="37"/>
      </w:r>
      <w:r>
        <w:rPr>
          <w:noProof/>
        </w:rPr>
        <w:t>.</w:t>
      </w:r>
      <w:r>
        <w:rPr>
          <w:rFonts w:ascii="Times New Roman" w:hAnsi="Times New Roman"/>
          <w:noProof/>
          <w:sz w:val="24"/>
        </w:rPr>
        <w:t xml:space="preserve"> Todėl labai svarbu užtikrinti stiprias makroekonominio ir fiskalinio stabilumo sistemas, patikimą sektorių politiką ir reformas, visapusiškas metines ir</w:t>
      </w:r>
      <w:r>
        <w:rPr>
          <w:rFonts w:ascii="Times New Roman" w:hAnsi="Times New Roman"/>
          <w:noProof/>
          <w:sz w:val="24"/>
        </w:rPr>
        <w:t xml:space="preserve"> vidutinės trukmės laikotarpio fiskalines ir biudžeto sistemas ir patikimo viešųjų finansų valdymo sistemas. ES toliau rems iniciatyvas, kuriomis užtikrinamos vienodos sąlygos verslui. Padaryti konkrečią pažangą būtų galima daugiau šalių prisijungus prie P</w:t>
      </w:r>
      <w:r>
        <w:rPr>
          <w:rFonts w:ascii="Times New Roman" w:hAnsi="Times New Roman"/>
          <w:noProof/>
          <w:sz w:val="24"/>
        </w:rPr>
        <w:t xml:space="preserve">asaulio prekybos organizacijos (PPO) </w:t>
      </w:r>
      <w:r>
        <w:rPr>
          <w:rFonts w:ascii="Times New Roman" w:hAnsi="Times New Roman"/>
          <w:b/>
          <w:noProof/>
          <w:sz w:val="24"/>
        </w:rPr>
        <w:t>Sutarties dėl viešųjų pirkimų</w:t>
      </w:r>
      <w:r>
        <w:rPr>
          <w:rFonts w:ascii="Times New Roman" w:hAnsi="Times New Roman"/>
          <w:noProof/>
          <w:sz w:val="24"/>
        </w:rPr>
        <w:t xml:space="preserve"> (angl. GPA). Sparčiai priėmus Komisijos pasiūlymą dėl tarptautinės viešųjų pirkimų priemonės</w:t>
      </w:r>
      <w:r>
        <w:rPr>
          <w:rStyle w:val="FootnoteReference"/>
          <w:rFonts w:ascii="Times New Roman" w:hAnsi="Times New Roman"/>
          <w:noProof/>
          <w:sz w:val="24"/>
        </w:rPr>
        <w:footnoteReference w:id="38"/>
      </w:r>
      <w:r>
        <w:rPr>
          <w:rFonts w:ascii="Times New Roman" w:hAnsi="Times New Roman"/>
          <w:noProof/>
          <w:sz w:val="24"/>
        </w:rPr>
        <w:t>, partneriai būtų paskatinti prisijungti ir būtų labiau linkę prisiimti su patekimo į rinką gali</w:t>
      </w:r>
      <w:r>
        <w:rPr>
          <w:rFonts w:ascii="Times New Roman" w:hAnsi="Times New Roman"/>
          <w:noProof/>
          <w:sz w:val="24"/>
        </w:rPr>
        <w:t xml:space="preserve">mybėmis susijusius įsipareigojimus. ES turėtų toliau skatinti partnerius per viešųjų pirkimų procedūras taikyti kokybės standartus ir atsižvelgti į gyvavimo ciklo sąnaudas. Norint užtikrinti vienodas sąlygas, taip pat reikės padidinti </w:t>
      </w:r>
      <w:r>
        <w:rPr>
          <w:rFonts w:ascii="Times New Roman" w:hAnsi="Times New Roman"/>
          <w:b/>
          <w:noProof/>
          <w:sz w:val="24"/>
        </w:rPr>
        <w:t>eksporto kreditų sist</w:t>
      </w:r>
      <w:r>
        <w:rPr>
          <w:rFonts w:ascii="Times New Roman" w:hAnsi="Times New Roman"/>
          <w:b/>
          <w:noProof/>
          <w:sz w:val="24"/>
        </w:rPr>
        <w:t>emų</w:t>
      </w:r>
      <w:r>
        <w:rPr>
          <w:rFonts w:ascii="Times New Roman" w:hAnsi="Times New Roman"/>
          <w:noProof/>
          <w:sz w:val="24"/>
        </w:rPr>
        <w:t xml:space="preserve"> skaidrumą. Reikėtų panaikinti diskriminacinę praktiką. Tarptautinė eksporto kreditų darbo grupė turėtų nustatyti taisykles, kuriomis būtų užtikrinamos vienodos sąlygos įvairių šalių eksportuotojams. </w:t>
      </w:r>
    </w:p>
    <w:p w:rsidR="00612344" w:rsidRDefault="00104B34">
      <w:pPr>
        <w:spacing w:line="240" w:lineRule="auto"/>
        <w:jc w:val="both"/>
        <w:rPr>
          <w:rFonts w:ascii="Times New Roman" w:hAnsi="Times New Roman" w:cs="Times New Roman"/>
          <w:noProof/>
          <w:sz w:val="24"/>
          <w:szCs w:val="24"/>
        </w:rPr>
      </w:pPr>
      <w:r>
        <w:rPr>
          <w:rFonts w:ascii="Times New Roman" w:hAnsi="Times New Roman"/>
          <w:noProof/>
          <w:sz w:val="24"/>
        </w:rPr>
        <w:t xml:space="preserve">ES ketina didinti savo </w:t>
      </w:r>
      <w:r>
        <w:rPr>
          <w:rFonts w:ascii="Times New Roman" w:hAnsi="Times New Roman"/>
          <w:b/>
          <w:noProof/>
          <w:sz w:val="24"/>
        </w:rPr>
        <w:t>ekonominės diplomatijos</w:t>
      </w:r>
      <w:r>
        <w:rPr>
          <w:rStyle w:val="FootnoteReference"/>
          <w:rFonts w:ascii="Times New Roman" w:hAnsi="Times New Roman"/>
          <w:noProof/>
          <w:sz w:val="24"/>
        </w:rPr>
        <w:footnoteReference w:id="39"/>
      </w:r>
      <w:r>
        <w:rPr>
          <w:rFonts w:ascii="Times New Roman" w:hAnsi="Times New Roman"/>
          <w:noProof/>
          <w:sz w:val="24"/>
        </w:rPr>
        <w:t xml:space="preserve"> srities pastangas Azijoje. Ji ketina remti Europos ir Azijos įmonių poreikius derinančias platformas, daug dėmesio skirdama mažosioms ir vidutinėms įmonėms, ir yra numačiusi įsteigti Europos ir Azijos sujungiamumui skatinti skirtą įmonių patariamąją grupę</w:t>
      </w:r>
      <w:r>
        <w:rPr>
          <w:rFonts w:ascii="Times New Roman" w:hAnsi="Times New Roman"/>
          <w:noProof/>
          <w:sz w:val="24"/>
        </w:rPr>
        <w:t xml:space="preserve">. ES turėtų toliau reklamuoti savo Europos investicinių projektų portalą (ateityje – portalą </w:t>
      </w:r>
      <w:r>
        <w:rPr>
          <w:rFonts w:ascii="Times New Roman" w:hAnsi="Times New Roman"/>
          <w:i/>
          <w:noProof/>
          <w:sz w:val="24"/>
        </w:rPr>
        <w:t>InvestEU</w:t>
      </w:r>
      <w:r>
        <w:rPr>
          <w:rFonts w:ascii="Times New Roman" w:hAnsi="Times New Roman"/>
          <w:noProof/>
          <w:sz w:val="24"/>
        </w:rPr>
        <w:t xml:space="preserve">), kuris užtikrina investavimo galimybių Europos Sąjungoje matomumą visiems suinteresuotiems investuotojams. </w:t>
      </w:r>
    </w:p>
    <w:tbl>
      <w:tblPr>
        <w:tblStyle w:val="TableGrid"/>
        <w:tblW w:w="0" w:type="auto"/>
        <w:tblInd w:w="108" w:type="dxa"/>
        <w:tblLayout w:type="fixed"/>
        <w:tblLook w:val="04A0" w:firstRow="1" w:lastRow="0" w:firstColumn="1" w:lastColumn="0" w:noHBand="0" w:noVBand="1"/>
      </w:tblPr>
      <w:tblGrid>
        <w:gridCol w:w="9072"/>
      </w:tblGrid>
      <w:tr w:rsidR="00612344">
        <w:tc>
          <w:tcPr>
            <w:tcW w:w="9072" w:type="dxa"/>
            <w:shd w:val="clear" w:color="auto" w:fill="8DB3E2" w:themeFill="text2" w:themeFillTint="66"/>
          </w:tcPr>
          <w:p w:rsidR="00612344" w:rsidRDefault="00104B34">
            <w:pPr>
              <w:jc w:val="center"/>
              <w:rPr>
                <w:rFonts w:ascii="Times New Roman" w:hAnsi="Times New Roman" w:cs="Times New Roman"/>
                <w:b/>
                <w:noProof/>
                <w:sz w:val="24"/>
                <w:szCs w:val="24"/>
              </w:rPr>
            </w:pPr>
            <w:r>
              <w:rPr>
                <w:rFonts w:ascii="Times New Roman" w:hAnsi="Times New Roman"/>
                <w:b/>
                <w:noProof/>
                <w:sz w:val="24"/>
              </w:rPr>
              <w:t>Pagrindiniai 5 skyriaus veiksmai</w:t>
            </w:r>
          </w:p>
        </w:tc>
      </w:tr>
      <w:tr w:rsidR="00612344">
        <w:tc>
          <w:tcPr>
            <w:tcW w:w="9072" w:type="dxa"/>
          </w:tcPr>
          <w:p w:rsidR="00612344" w:rsidRDefault="00612344">
            <w:pPr>
              <w:ind w:left="720"/>
              <w:jc w:val="both"/>
              <w:rPr>
                <w:rFonts w:ascii="Times New Roman" w:hAnsi="Times New Roman" w:cs="Times New Roman"/>
                <w:noProof/>
                <w:sz w:val="24"/>
                <w:szCs w:val="24"/>
              </w:rPr>
            </w:pPr>
          </w:p>
          <w:p w:rsidR="00612344" w:rsidRDefault="00104B34">
            <w:pPr>
              <w:jc w:val="both"/>
              <w:rPr>
                <w:rFonts w:ascii="Times New Roman" w:hAnsi="Times New Roman" w:cs="Times New Roman"/>
                <w:i/>
                <w:noProof/>
                <w:sz w:val="24"/>
                <w:szCs w:val="24"/>
              </w:rPr>
            </w:pPr>
            <w:r>
              <w:rPr>
                <w:rFonts w:ascii="Times New Roman" w:hAnsi="Times New Roman"/>
                <w:i/>
                <w:noProof/>
                <w:sz w:val="24"/>
              </w:rPr>
              <w:t>Komisija (</w:t>
            </w:r>
            <w:r>
              <w:rPr>
                <w:rFonts w:ascii="Times New Roman" w:hAnsi="Times New Roman"/>
                <w:i/>
                <w:noProof/>
                <w:sz w:val="24"/>
              </w:rPr>
              <w:t>ir, jei taikoma, vyriausiasis įgaliotinis):</w:t>
            </w:r>
          </w:p>
          <w:p w:rsidR="00612344" w:rsidRDefault="00612344">
            <w:pPr>
              <w:jc w:val="both"/>
              <w:rPr>
                <w:rFonts w:ascii="Times New Roman" w:hAnsi="Times New Roman" w:cs="Times New Roman"/>
                <w:i/>
                <w:noProof/>
                <w:sz w:val="24"/>
                <w:szCs w:val="24"/>
              </w:rPr>
            </w:pPr>
          </w:p>
          <w:p w:rsidR="00612344" w:rsidRDefault="00104B34">
            <w:pPr>
              <w:pStyle w:val="ListParagraph"/>
              <w:numPr>
                <w:ilvl w:val="0"/>
                <w:numId w:val="22"/>
              </w:numPr>
              <w:jc w:val="both"/>
              <w:rPr>
                <w:rFonts w:ascii="Times New Roman" w:hAnsi="Times New Roman" w:cs="Times New Roman"/>
                <w:i/>
                <w:noProof/>
                <w:sz w:val="24"/>
                <w:szCs w:val="24"/>
              </w:rPr>
            </w:pPr>
            <w:r>
              <w:rPr>
                <w:rFonts w:ascii="Times New Roman" w:hAnsi="Times New Roman"/>
                <w:i/>
                <w:noProof/>
                <w:sz w:val="24"/>
              </w:rPr>
              <w:t>lengvins Europos ir Azijos sujungiamumui skirtas investicijas, naudodamasi investicinėmis priemonėmis ir garantijomis, į šią veiklą įtraukdama Europos viešuosius bankus (EIB, ERPB ir valstybių narių nacionaliniu</w:t>
            </w:r>
            <w:r>
              <w:rPr>
                <w:rFonts w:ascii="Times New Roman" w:hAnsi="Times New Roman"/>
                <w:i/>
                <w:noProof/>
                <w:sz w:val="24"/>
              </w:rPr>
              <w:t>s bankus bei įstaigas) ir TFĮ, laikydamasi tarptautinių standartų ir užtikrindama vienodas sąlygas;</w:t>
            </w:r>
          </w:p>
          <w:p w:rsidR="00612344" w:rsidRDefault="00104B34">
            <w:pPr>
              <w:pStyle w:val="ListParagraph"/>
              <w:numPr>
                <w:ilvl w:val="0"/>
                <w:numId w:val="22"/>
              </w:numPr>
              <w:jc w:val="both"/>
              <w:rPr>
                <w:rFonts w:ascii="Times New Roman" w:hAnsi="Times New Roman" w:cs="Times New Roman"/>
                <w:i/>
                <w:noProof/>
                <w:sz w:val="24"/>
                <w:szCs w:val="24"/>
              </w:rPr>
            </w:pPr>
            <w:r>
              <w:rPr>
                <w:rFonts w:ascii="Times New Roman" w:hAnsi="Times New Roman"/>
                <w:i/>
                <w:noProof/>
                <w:sz w:val="24"/>
              </w:rPr>
              <w:t>stiprins ES bendradarbiavimą su Azijos plėtros banku ir Azijos infrastruktūros investicijų banku investicijų klausimais;</w:t>
            </w:r>
          </w:p>
          <w:p w:rsidR="00612344" w:rsidRDefault="00104B34">
            <w:pPr>
              <w:pStyle w:val="ListParagraph"/>
              <w:numPr>
                <w:ilvl w:val="0"/>
                <w:numId w:val="22"/>
              </w:numPr>
              <w:jc w:val="both"/>
              <w:rPr>
                <w:rFonts w:ascii="Times New Roman" w:hAnsi="Times New Roman" w:cs="Times New Roman"/>
                <w:i/>
                <w:noProof/>
                <w:sz w:val="24"/>
                <w:szCs w:val="24"/>
              </w:rPr>
            </w:pPr>
            <w:r>
              <w:rPr>
                <w:rFonts w:ascii="Times New Roman" w:hAnsi="Times New Roman"/>
                <w:i/>
                <w:noProof/>
                <w:sz w:val="24"/>
              </w:rPr>
              <w:t>įsteigs Europos ir Azijos sujungiam</w:t>
            </w:r>
            <w:r>
              <w:rPr>
                <w:rFonts w:ascii="Times New Roman" w:hAnsi="Times New Roman"/>
                <w:i/>
                <w:noProof/>
                <w:sz w:val="24"/>
              </w:rPr>
              <w:t xml:space="preserve">umui skatinti skirtą įmonių patariamąją grupę; </w:t>
            </w:r>
          </w:p>
          <w:p w:rsidR="00612344" w:rsidRDefault="00104B34">
            <w:pPr>
              <w:pStyle w:val="ListParagraph"/>
              <w:numPr>
                <w:ilvl w:val="0"/>
                <w:numId w:val="22"/>
              </w:numPr>
              <w:jc w:val="both"/>
              <w:rPr>
                <w:rFonts w:ascii="Times New Roman" w:hAnsi="Times New Roman" w:cs="Times New Roman"/>
                <w:noProof/>
                <w:sz w:val="24"/>
                <w:szCs w:val="24"/>
              </w:rPr>
            </w:pPr>
            <w:r>
              <w:rPr>
                <w:rFonts w:ascii="Times New Roman" w:hAnsi="Times New Roman"/>
                <w:i/>
                <w:noProof/>
                <w:sz w:val="24"/>
              </w:rPr>
              <w:t>primygtinai reikalaus gerinti skaidrumą rengiant viešuosius Europos ir Azijos infrastruktūros pirkimus, be kita ko, plačiau jungiantis prie PPO Sutarties dėl viešųjų pirkimų ir patvirtinant GPA standartus, ir</w:t>
            </w:r>
            <w:r>
              <w:rPr>
                <w:rFonts w:ascii="Times New Roman" w:hAnsi="Times New Roman"/>
                <w:i/>
                <w:noProof/>
                <w:sz w:val="24"/>
              </w:rPr>
              <w:t xml:space="preserve"> rems specialių viešųjų pirkimų saityno svetainių kūrimą.</w:t>
            </w:r>
          </w:p>
          <w:p w:rsidR="00612344" w:rsidRDefault="00612344">
            <w:pPr>
              <w:pStyle w:val="ListParagraph"/>
              <w:jc w:val="both"/>
              <w:rPr>
                <w:rFonts w:ascii="Times New Roman" w:hAnsi="Times New Roman" w:cs="Times New Roman"/>
                <w:noProof/>
                <w:sz w:val="24"/>
                <w:szCs w:val="24"/>
              </w:rPr>
            </w:pPr>
          </w:p>
        </w:tc>
      </w:tr>
    </w:tbl>
    <w:p w:rsidR="00612344" w:rsidRDefault="00612344">
      <w:pPr>
        <w:spacing w:line="240" w:lineRule="auto"/>
        <w:jc w:val="both"/>
        <w:rPr>
          <w:rFonts w:ascii="Times New Roman" w:hAnsi="Times New Roman" w:cs="Times New Roman"/>
          <w:noProof/>
          <w:sz w:val="24"/>
          <w:szCs w:val="24"/>
        </w:rPr>
      </w:pPr>
    </w:p>
    <w:p w:rsidR="00612344" w:rsidRDefault="00612344">
      <w:pPr>
        <w:spacing w:line="240" w:lineRule="auto"/>
        <w:jc w:val="both"/>
        <w:rPr>
          <w:rFonts w:ascii="Times New Roman" w:hAnsi="Times New Roman" w:cs="Times New Roman"/>
          <w:noProof/>
          <w:sz w:val="24"/>
          <w:szCs w:val="24"/>
        </w:rPr>
      </w:pPr>
    </w:p>
    <w:p w:rsidR="00612344" w:rsidRDefault="00104B34">
      <w:pPr>
        <w:pStyle w:val="ListParagraph"/>
        <w:numPr>
          <w:ilvl w:val="0"/>
          <w:numId w:val="30"/>
        </w:numPr>
        <w:spacing w:line="240" w:lineRule="auto"/>
        <w:jc w:val="both"/>
        <w:rPr>
          <w:rFonts w:ascii="Times New Roman" w:hAnsi="Times New Roman" w:cs="Times New Roman"/>
          <w:b/>
          <w:noProof/>
          <w:sz w:val="24"/>
          <w:szCs w:val="24"/>
        </w:rPr>
      </w:pPr>
      <w:r>
        <w:rPr>
          <w:rFonts w:ascii="Times New Roman" w:hAnsi="Times New Roman"/>
          <w:b/>
          <w:noProof/>
          <w:sz w:val="24"/>
        </w:rPr>
        <w:t>Išvados</w:t>
      </w:r>
    </w:p>
    <w:p w:rsidR="00612344" w:rsidRDefault="00104B34">
      <w:pPr>
        <w:spacing w:line="240" w:lineRule="auto"/>
        <w:jc w:val="both"/>
        <w:rPr>
          <w:rFonts w:ascii="Times New Roman" w:hAnsi="Times New Roman" w:cs="Times New Roman"/>
          <w:noProof/>
          <w:sz w:val="24"/>
          <w:szCs w:val="24"/>
        </w:rPr>
      </w:pPr>
      <w:r>
        <w:rPr>
          <w:rFonts w:ascii="Times New Roman" w:hAnsi="Times New Roman"/>
          <w:noProof/>
          <w:sz w:val="24"/>
        </w:rPr>
        <w:t xml:space="preserve">Šis bendras komunikatas sudaro ES strategijos dėl glaudesnių Europos ir Azijos sąsajų pagrindą. </w:t>
      </w:r>
      <w:r>
        <w:rPr>
          <w:rFonts w:ascii="Times New Roman" w:hAnsi="Times New Roman"/>
          <w:b/>
          <w:noProof/>
          <w:sz w:val="24"/>
        </w:rPr>
        <w:t xml:space="preserve">Ši strategija grindžiama tvaraus, visapusiško ir tarptautinėmis taisyklėmis grindžiamo </w:t>
      </w:r>
      <w:r>
        <w:rPr>
          <w:rFonts w:ascii="Times New Roman" w:hAnsi="Times New Roman"/>
          <w:b/>
          <w:noProof/>
          <w:sz w:val="24"/>
        </w:rPr>
        <w:t>sujungiamumo principais.</w:t>
      </w:r>
      <w:r>
        <w:rPr>
          <w:rFonts w:ascii="Times New Roman" w:hAnsi="Times New Roman"/>
          <w:noProof/>
          <w:sz w:val="24"/>
        </w:rPr>
        <w:t xml:space="preserve"> Pagal šį požiūrį ES, semdamasi įkvėpimo iš savo vidaus rinkos, gerins sujungiamumo reguliavimo kokybę ir vienodas sujungiamumo sąlygas. Remdamasi su tarpvalstybiniu sujungiamu susijusia savo patirtimi, ji padės plėtoti transporto, </w:t>
      </w:r>
      <w:r>
        <w:rPr>
          <w:rFonts w:ascii="Times New Roman" w:hAnsi="Times New Roman"/>
          <w:noProof/>
          <w:sz w:val="24"/>
        </w:rPr>
        <w:t>energetikos ir skaitmeninius tinklus. Ji stengsis stiprinti savo partnerystes su trečiosiomis šalimis, regionais ir tarptautinėmis organizacijomis. Ji stiprins bendradarbiavimą švietimo, mokslinių tyrimų, inovacijų, kultūros, sporto ir turizmo srityse, kar</w:t>
      </w:r>
      <w:r>
        <w:rPr>
          <w:rFonts w:ascii="Times New Roman" w:hAnsi="Times New Roman"/>
          <w:noProof/>
          <w:sz w:val="24"/>
        </w:rPr>
        <w:t>tu padėdama skatinti įvairovę ir laisvą idėjų srautą. Siekdama remti šią įvairią politiką ir veiksmus, ES turėtų naudotis visais savo finansinės programos svertais ir priemonėmis, kad galėtų paskatinti viešąsias ir privačiąsias investicijas į tvarų sujungi</w:t>
      </w:r>
      <w:r>
        <w:rPr>
          <w:rFonts w:ascii="Times New Roman" w:hAnsi="Times New Roman"/>
          <w:noProof/>
          <w:sz w:val="24"/>
        </w:rPr>
        <w:t xml:space="preserve">amumą. Kad ši strategija būtų sėkminga, taip pat bus svarbu sutelkti ES ir jos valstybių narių pastangas, siekiant gerinti kartu su Azijos partneriais įgyvendinamų sujungiamumo projektų ir programų komunikacinę, ženklų kūrimo ir rinkodaros veiklą.  </w:t>
      </w:r>
    </w:p>
    <w:p w:rsidR="00612344" w:rsidRDefault="00104B34">
      <w:pPr>
        <w:spacing w:line="240" w:lineRule="auto"/>
        <w:jc w:val="both"/>
        <w:rPr>
          <w:rFonts w:ascii="Times New Roman" w:hAnsi="Times New Roman" w:cs="Times New Roman"/>
          <w:noProof/>
          <w:sz w:val="24"/>
          <w:szCs w:val="24"/>
        </w:rPr>
      </w:pPr>
      <w:r>
        <w:rPr>
          <w:rFonts w:ascii="Times New Roman" w:hAnsi="Times New Roman"/>
          <w:noProof/>
          <w:sz w:val="24"/>
        </w:rPr>
        <w:t xml:space="preserve">Todėl </w:t>
      </w:r>
      <w:r>
        <w:rPr>
          <w:rFonts w:ascii="Times New Roman" w:hAnsi="Times New Roman"/>
          <w:noProof/>
          <w:sz w:val="24"/>
        </w:rPr>
        <w:t>Komisija ragina Europos Parlamentą, Tarybą, Europos ekonomikos ir socialinių reikalų komitetą, Regionų komitetą, Europos investicijų banką ir atitinkamus suinteresuotuosius subjektus aptarti ir remti šiame bendrame komunikate nurodytus veiksmus.</w:t>
      </w:r>
    </w:p>
    <w:p w:rsidR="00612344" w:rsidRDefault="00612344">
      <w:pPr>
        <w:spacing w:line="240" w:lineRule="auto"/>
        <w:jc w:val="both"/>
        <w:rPr>
          <w:rFonts w:ascii="Times New Roman" w:hAnsi="Times New Roman" w:cs="Times New Roman"/>
          <w:b/>
          <w:noProof/>
          <w:sz w:val="24"/>
          <w:szCs w:val="24"/>
        </w:rPr>
      </w:pPr>
    </w:p>
    <w:sectPr w:rsidR="00612344">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276"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2344" w:rsidRDefault="00104B34">
      <w:pPr>
        <w:spacing w:after="0" w:line="240" w:lineRule="auto"/>
      </w:pPr>
      <w:r>
        <w:separator/>
      </w:r>
    </w:p>
  </w:endnote>
  <w:endnote w:type="continuationSeparator" w:id="0">
    <w:p w:rsidR="00612344" w:rsidRDefault="00104B34">
      <w:pPr>
        <w:spacing w:after="0" w:line="240" w:lineRule="auto"/>
      </w:pPr>
      <w:r>
        <w:continuationSeparator/>
      </w:r>
    </w:p>
  </w:endnote>
  <w:endnote w:type="continuationNotice" w:id="1">
    <w:p w:rsidR="00612344" w:rsidRDefault="006123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2344" w:rsidRDefault="006123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2344" w:rsidRDefault="00104B34">
    <w:pPr>
      <w:pStyle w:val="FooterCoverPage"/>
      <w:rPr>
        <w:rFonts w:ascii="Arial" w:hAnsi="Arial" w:cs="Arial"/>
        <w:b/>
        <w:sz w:val="48"/>
      </w:rPr>
    </w:pPr>
    <w:r>
      <w:rPr>
        <w:rFonts w:ascii="Arial" w:hAnsi="Arial" w:cs="Arial"/>
        <w:b/>
        <w:sz w:val="48"/>
      </w:rPr>
      <w:t>LT</w:t>
    </w:r>
    <w:r>
      <w:rPr>
        <w:rFonts w:ascii="Arial" w:hAnsi="Arial" w:cs="Arial"/>
        <w:b/>
        <w:sz w:val="48"/>
      </w:rPr>
      <w:tab/>
    </w:r>
    <w:r>
      <w:rPr>
        <w:rFonts w:ascii="Arial" w:hAnsi="Arial" w:cs="Arial"/>
        <w:b/>
        <w:sz w:val="48"/>
      </w:rPr>
      <w:tab/>
    </w:r>
    <w:r>
      <w:tab/>
    </w:r>
    <w:r>
      <w:rPr>
        <w:rFonts w:ascii="Arial" w:hAnsi="Arial" w:cs="Arial"/>
        <w:b/>
        <w:sz w:val="48"/>
      </w:rPr>
      <w:t>LT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2344" w:rsidRDefault="00612344">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2344" w:rsidRDefault="0061234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210592"/>
      <w:docPartObj>
        <w:docPartGallery w:val="Page Numbers (Bottom of Page)"/>
        <w:docPartUnique/>
      </w:docPartObj>
    </w:sdtPr>
    <w:sdtEndPr/>
    <w:sdtContent>
      <w:p w:rsidR="00612344" w:rsidRDefault="00104B34">
        <w:pPr>
          <w:pStyle w:val="Footer"/>
          <w:jc w:val="center"/>
        </w:pPr>
        <w:r>
          <w:fldChar w:fldCharType="begin"/>
        </w:r>
        <w:r>
          <w:instrText xml:space="preserve"> PAGE </w:instrText>
        </w:r>
        <w:r>
          <w:instrText xml:space="preserve">  \* MERGEFORMAT </w:instrText>
        </w:r>
        <w:r>
          <w:fldChar w:fldCharType="separate"/>
        </w:r>
        <w:r>
          <w:rPr>
            <w:noProof/>
          </w:rPr>
          <w:t>1</w:t>
        </w:r>
        <w:r>
          <w:fldChar w:fldCharType="end"/>
        </w:r>
      </w:p>
    </w:sdtContent>
  </w:sdt>
  <w:p w:rsidR="00612344" w:rsidRDefault="0061234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2344" w:rsidRDefault="006123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2344" w:rsidRDefault="00104B34">
      <w:pPr>
        <w:spacing w:after="0" w:line="240" w:lineRule="auto"/>
      </w:pPr>
      <w:r>
        <w:separator/>
      </w:r>
    </w:p>
  </w:footnote>
  <w:footnote w:type="continuationSeparator" w:id="0">
    <w:p w:rsidR="00612344" w:rsidRDefault="00104B34">
      <w:pPr>
        <w:spacing w:after="0" w:line="240" w:lineRule="auto"/>
      </w:pPr>
      <w:r>
        <w:continuationSeparator/>
      </w:r>
    </w:p>
  </w:footnote>
  <w:footnote w:type="continuationNotice" w:id="1">
    <w:p w:rsidR="00612344" w:rsidRDefault="00612344">
      <w:pPr>
        <w:spacing w:after="0" w:line="240" w:lineRule="auto"/>
      </w:pPr>
    </w:p>
  </w:footnote>
  <w:footnote w:id="2">
    <w:p w:rsidR="00612344" w:rsidRDefault="00104B34">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Žr. 2016 m. duomenis adresu http://trade.ec.europa.eu/doclib/docs/2011/january/tradoc_147207.pdf. </w:t>
      </w:r>
    </w:p>
  </w:footnote>
  <w:footnote w:id="3">
    <w:p w:rsidR="00612344" w:rsidRDefault="00104B34">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Sujungiamumas apibrėžtas 2017 m. lapkričio 20–21 d. Neipide (Mianmare) vykusio 13-ojo Azijos ir Europos susitikimo (angl. ASEM) užsienio reikalų ministrų pirmininkų pareiškime.</w:t>
      </w:r>
    </w:p>
  </w:footnote>
  <w:footnote w:id="4">
    <w:p w:rsidR="00612344" w:rsidRDefault="00104B34">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Azijos plėtros bankas. </w:t>
      </w:r>
      <w:r>
        <w:rPr>
          <w:rStyle w:val="Emphasis"/>
          <w:rFonts w:ascii="Times New Roman" w:hAnsi="Times New Roman"/>
          <w:i w:val="0"/>
        </w:rPr>
        <w:t>„Meeting Asia’s Infrastructure Needs“</w:t>
      </w:r>
      <w:r>
        <w:rPr>
          <w:rFonts w:ascii="Times New Roman" w:hAnsi="Times New Roman"/>
        </w:rPr>
        <w:t>, 2017 m.</w:t>
      </w:r>
    </w:p>
  </w:footnote>
  <w:footnote w:id="5">
    <w:p w:rsidR="00612344" w:rsidRDefault="00104B34">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Suju</w:t>
      </w:r>
      <w:r>
        <w:rPr>
          <w:rFonts w:ascii="Times New Roman" w:hAnsi="Times New Roman"/>
        </w:rPr>
        <w:t>ngiamumo svarba gerovei pripažinta dešimtyje Europos Komisijos prioritetų, Visuotinėje ES užsienio ir saugumo politikos strategijoje ir Europos konsensuso dėl vystymosi pareiškime.</w:t>
      </w:r>
    </w:p>
  </w:footnote>
  <w:footnote w:id="6">
    <w:p w:rsidR="00612344" w:rsidRDefault="00104B34">
      <w:pPr>
        <w:pStyle w:val="FootnoteText"/>
        <w:jc w:val="both"/>
      </w:pPr>
      <w:r>
        <w:rPr>
          <w:rStyle w:val="FootnoteReference"/>
        </w:rPr>
        <w:footnoteRef/>
      </w:r>
      <w:r>
        <w:t xml:space="preserve"> </w:t>
      </w:r>
      <w:r>
        <w:rPr>
          <w:rFonts w:ascii="Times New Roman" w:hAnsi="Times New Roman"/>
        </w:rPr>
        <w:t xml:space="preserve">Komunikatas </w:t>
      </w:r>
      <w:r>
        <w:rPr>
          <w:rFonts w:ascii="Times New Roman" w:hAnsi="Times New Roman"/>
          <w:i/>
        </w:rPr>
        <w:t>Šiuolaikiškas biudžetas Sąjungai, kuri apsaugo, suteikia gali</w:t>
      </w:r>
      <w:r>
        <w:rPr>
          <w:rFonts w:ascii="Times New Roman" w:hAnsi="Times New Roman"/>
          <w:i/>
        </w:rPr>
        <w:t>ų ir gina. 2021–2027 m. daugiametė finansinė programa</w:t>
      </w:r>
      <w:r>
        <w:rPr>
          <w:rFonts w:ascii="Times New Roman" w:hAnsi="Times New Roman"/>
        </w:rPr>
        <w:t xml:space="preserve">, COM(2018) 321. </w:t>
      </w:r>
    </w:p>
  </w:footnote>
  <w:footnote w:id="7">
    <w:p w:rsidR="00612344" w:rsidRDefault="00104B34">
      <w:pPr>
        <w:pStyle w:val="FootnoteText"/>
        <w:jc w:val="both"/>
      </w:pPr>
      <w:r>
        <w:rPr>
          <w:rStyle w:val="FootnoteReference"/>
        </w:rPr>
        <w:footnoteRef/>
      </w:r>
      <w:r>
        <w:t xml:space="preserve"> </w:t>
      </w:r>
      <w:r>
        <w:rPr>
          <w:rFonts w:ascii="Times New Roman" w:hAnsi="Times New Roman"/>
        </w:rPr>
        <w:t xml:space="preserve">Komunikatai </w:t>
      </w:r>
      <w:r>
        <w:rPr>
          <w:rFonts w:ascii="Times New Roman" w:hAnsi="Times New Roman"/>
          <w:i/>
        </w:rPr>
        <w:t>Afrikos ir Europos tvarių investicijų ir darbo vietų kūrimo aljansai</w:t>
      </w:r>
      <w:r>
        <w:rPr>
          <w:rFonts w:ascii="Times New Roman" w:hAnsi="Times New Roman"/>
        </w:rPr>
        <w:t xml:space="preserve">, COM(2018) 643, ir </w:t>
      </w:r>
      <w:r>
        <w:rPr>
          <w:rFonts w:ascii="Times New Roman" w:hAnsi="Times New Roman"/>
          <w:i/>
        </w:rPr>
        <w:t>Veiksmingesnės investicijų už Europos Sąjungos ribų finansinės struktūros kūrimas</w:t>
      </w:r>
      <w:r>
        <w:rPr>
          <w:rFonts w:ascii="Times New Roman" w:hAnsi="Times New Roman"/>
        </w:rPr>
        <w:t xml:space="preserve">, </w:t>
      </w:r>
      <w:r>
        <w:rPr>
          <w:rFonts w:ascii="Times New Roman" w:hAnsi="Times New Roman"/>
        </w:rPr>
        <w:t xml:space="preserve">COM(2018) 644. </w:t>
      </w:r>
    </w:p>
  </w:footnote>
  <w:footnote w:id="8">
    <w:p w:rsidR="00612344" w:rsidRDefault="00104B34">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Įpareigojimas atlikti infrastruktūros projektų poveikio aplinkai vertinimus Europos Sąjungos teisės aktuose pirmąkart buvo nustatytas 1985 m. Turėtų būti laikomasi atsargumo principo, prevencijos principo, žalos aplinkai atitaisymo ten, k</w:t>
      </w:r>
      <w:r>
        <w:rPr>
          <w:rFonts w:ascii="Times New Roman" w:hAnsi="Times New Roman"/>
        </w:rPr>
        <w:t>ur yra jos šaltinis, principo ir principo „teršėjas moka“. Žr. Sutarties dėl Europos Sąjungos veikimo 174 straipsnio 2 dalį.</w:t>
      </w:r>
    </w:p>
    <w:p w:rsidR="00612344" w:rsidRDefault="00612344">
      <w:pPr>
        <w:pStyle w:val="FootnoteText"/>
        <w:jc w:val="both"/>
        <w:rPr>
          <w:rFonts w:ascii="Times New Roman" w:hAnsi="Times New Roman" w:cs="Times New Roman"/>
        </w:rPr>
      </w:pPr>
    </w:p>
  </w:footnote>
  <w:footnote w:id="9">
    <w:p w:rsidR="00612344" w:rsidRDefault="00104B34">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Pasiūlymas dėl Europos Parlamento ir Tarybos reglamento, kuriuo nustatoma tiesioginių užsienio investicijų į Europos Sąjungą tik</w:t>
      </w:r>
      <w:r>
        <w:rPr>
          <w:rFonts w:ascii="Times New Roman" w:hAnsi="Times New Roman"/>
        </w:rPr>
        <w:t>rinimo sistema (COM(2017) 487).</w:t>
      </w:r>
    </w:p>
  </w:footnote>
  <w:footnote w:id="10">
    <w:p w:rsidR="00612344" w:rsidRDefault="00104B34">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Su Armėnija derybos užbaigtos, o derybos su Pietryčių Azijos valstybių asociacija (angl. ASEAN), Azerbaidžanu, Turkija ir Kataru tęsiasi. Komisija yra parafavusi bendrosios aviacijos erdvės susitarimą su Ukraina, dvišalį a</w:t>
      </w:r>
      <w:r>
        <w:rPr>
          <w:rFonts w:ascii="Times New Roman" w:hAnsi="Times New Roman"/>
        </w:rPr>
        <w:t>viacijos saugos susitarimą su Kinija ir derasi dėl atitinkamo susitarimo su Japonija.</w:t>
      </w:r>
    </w:p>
  </w:footnote>
  <w:footnote w:id="11">
    <w:p w:rsidR="00612344" w:rsidRDefault="00104B34">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Tarptautinės civilinės aviacijos organizacijos (angl. ICAO) susitarimai.</w:t>
      </w:r>
    </w:p>
  </w:footnote>
  <w:footnote w:id="12">
    <w:p w:rsidR="00612344" w:rsidRDefault="00104B34">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Komunikatas </w:t>
      </w:r>
      <w:r>
        <w:rPr>
          <w:rFonts w:ascii="Times New Roman" w:hAnsi="Times New Roman"/>
          <w:i/>
        </w:rPr>
        <w:t>Europos Sąjungos jūrų transporto politikos strateginiai tikslai ir rekomendacijos</w:t>
      </w:r>
      <w:r>
        <w:rPr>
          <w:rFonts w:ascii="Times New Roman" w:hAnsi="Times New Roman"/>
          <w:i/>
        </w:rPr>
        <w:t xml:space="preserve"> iki 2018 m.</w:t>
      </w:r>
      <w:r>
        <w:rPr>
          <w:rFonts w:ascii="Times New Roman" w:hAnsi="Times New Roman"/>
        </w:rPr>
        <w:t>, COM(2009) 8.</w:t>
      </w:r>
    </w:p>
  </w:footnote>
  <w:footnote w:id="13">
    <w:p w:rsidR="00612344" w:rsidRDefault="00104B34">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Jungtinių Tautų Konvencija dėl tarptautinio prekių vežimo jūra sutarčių (2008 m.).</w:t>
      </w:r>
    </w:p>
  </w:footnote>
  <w:footnote w:id="14">
    <w:p w:rsidR="00612344" w:rsidRPr="00104B34" w:rsidRDefault="00104B34">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Geležinkelių jungtys tarp Šiaurės ir Pietų sujungia Viduržemio jūros, Juodosios jūros ir Persijos įlankos regionus su Šiaurės jūros, Baltijos </w:t>
      </w:r>
      <w:r>
        <w:rPr>
          <w:rFonts w:ascii="Times New Roman" w:hAnsi="Times New Roman"/>
        </w:rPr>
        <w:t>jūros ir Arkties regionais.</w:t>
      </w:r>
    </w:p>
  </w:footnote>
  <w:footnote w:id="15">
    <w:p w:rsidR="00612344" w:rsidRPr="00104B34" w:rsidRDefault="00104B34">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Geležinkelių jungtys tarp Rytų ir Vakarų jungia Europos Sąjungą su Kinija ir Vidurine Azija.</w:t>
      </w:r>
    </w:p>
  </w:footnote>
  <w:footnote w:id="16">
    <w:p w:rsidR="00612344" w:rsidRDefault="00104B34">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Tarptautinio vežimo geležinkeliais tarpvyriausybine organizacija (pranc. OTIF) ir Geležinkelių bendradarbiavimo organizacija.</w:t>
      </w:r>
    </w:p>
  </w:footnote>
  <w:footnote w:id="17">
    <w:p w:rsidR="00612344" w:rsidRDefault="00104B34">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Žr.</w:t>
      </w:r>
      <w:r>
        <w:rPr>
          <w:rFonts w:ascii="Times New Roman" w:hAnsi="Times New Roman"/>
        </w:rPr>
        <w:t xml:space="preserve"> komunikatą </w:t>
      </w:r>
      <w:r>
        <w:rPr>
          <w:rFonts w:ascii="Times New Roman" w:hAnsi="Times New Roman"/>
          <w:i/>
        </w:rPr>
        <w:t>Šiuolaikiškas biudžetas Sąjungai, kuri apsaugo, suteikia galių ir gina</w:t>
      </w:r>
      <w:r>
        <w:rPr>
          <w:rFonts w:ascii="Times New Roman" w:hAnsi="Times New Roman"/>
        </w:rPr>
        <w:t>, COM(2018) 321; jame Komisija siūlo pagal 2021–2027 m. Europos infrastruktūros tinklų priemonę skatinti skaitmeninį sujungiamumą su Azijos ir kitomis šalimis.</w:t>
      </w:r>
    </w:p>
  </w:footnote>
  <w:footnote w:id="18">
    <w:p w:rsidR="00612344" w:rsidRDefault="00104B34">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Žr. tarnybų </w:t>
      </w:r>
      <w:r>
        <w:rPr>
          <w:rFonts w:ascii="Times New Roman" w:hAnsi="Times New Roman"/>
        </w:rPr>
        <w:t xml:space="preserve">darbinį dokumentą </w:t>
      </w:r>
      <w:r>
        <w:rPr>
          <w:rFonts w:ascii="Times New Roman" w:hAnsi="Times New Roman"/>
          <w:i/>
        </w:rPr>
        <w:t>Skaitmeninimas vystymosi labui:</w:t>
      </w:r>
      <w:r>
        <w:rPr>
          <w:rFonts w:ascii="Times New Roman" w:hAnsi="Times New Roman"/>
        </w:rPr>
        <w:t xml:space="preserve"> </w:t>
      </w:r>
      <w:r>
        <w:rPr>
          <w:rFonts w:ascii="Times New Roman" w:hAnsi="Times New Roman"/>
          <w:i/>
        </w:rPr>
        <w:t>skaitmeninių technologijų ir paslaugų integravimas į ES vystymosi politiką</w:t>
      </w:r>
      <w:r>
        <w:rPr>
          <w:rFonts w:ascii="Times New Roman" w:hAnsi="Times New Roman"/>
        </w:rPr>
        <w:t>, SWD(2017) 157.</w:t>
      </w:r>
    </w:p>
  </w:footnote>
  <w:footnote w:id="19">
    <w:p w:rsidR="00612344" w:rsidRDefault="00104B34">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Įvairios ES partnerių įgyvendinamos sujungiamumo iniciatyvos nurodytos bendrame tarnybų darbiniame dokumente SWD(</w:t>
      </w:r>
      <w:r>
        <w:rPr>
          <w:rFonts w:ascii="Times New Roman" w:hAnsi="Times New Roman"/>
        </w:rPr>
        <w:t xml:space="preserve">2017) 436 </w:t>
      </w:r>
      <w:r>
        <w:rPr>
          <w:rFonts w:ascii="Times New Roman" w:hAnsi="Times New Roman"/>
          <w:i/>
        </w:rPr>
        <w:t>Europos ir Azijos sujungiamumo analizė. Pagrindinės išvados</w:t>
      </w:r>
      <w:r>
        <w:rPr>
          <w:rFonts w:ascii="Times New Roman" w:hAnsi="Times New Roman"/>
        </w:rPr>
        <w:t>.</w:t>
      </w:r>
    </w:p>
  </w:footnote>
  <w:footnote w:id="20">
    <w:p w:rsidR="00612344" w:rsidRDefault="00104B34">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Komunikatas </w:t>
      </w:r>
      <w:r>
        <w:rPr>
          <w:rFonts w:ascii="Times New Roman" w:hAnsi="Times New Roman"/>
          <w:i/>
        </w:rPr>
        <w:t>Įtikinama plėtros perspektyva ir didesnis ES įsipareigojimas Vakarų Balkanų</w:t>
      </w:r>
    </w:p>
    <w:p w:rsidR="00612344" w:rsidRDefault="00104B34">
      <w:pPr>
        <w:pStyle w:val="FootnoteText"/>
        <w:jc w:val="both"/>
        <w:rPr>
          <w:rFonts w:ascii="Times New Roman" w:hAnsi="Times New Roman" w:cs="Times New Roman"/>
          <w:lang w:val="sv-SE"/>
        </w:rPr>
      </w:pPr>
      <w:r>
        <w:rPr>
          <w:rFonts w:ascii="Times New Roman" w:hAnsi="Times New Roman"/>
          <w:i/>
        </w:rPr>
        <w:t>šalims</w:t>
      </w:r>
      <w:r>
        <w:rPr>
          <w:rFonts w:ascii="Times New Roman" w:hAnsi="Times New Roman"/>
        </w:rPr>
        <w:t>, COM(2018) 65.</w:t>
      </w:r>
    </w:p>
  </w:footnote>
  <w:footnote w:id="21">
    <w:p w:rsidR="00612344" w:rsidRDefault="00104B34">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Sofijos deklaracija (2018 m. gegužės mėn.). Pateikta adresu http://www.consilium.europa.eu/media/34776/sofia-declaration_en.pdf.</w:t>
      </w:r>
    </w:p>
  </w:footnote>
  <w:footnote w:id="22">
    <w:p w:rsidR="00612344" w:rsidRDefault="00104B34">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Įskaitant ASEM, ASEAN, Bengalijos įlankos daugiasektorio techninio ir ekonominio bendradarbiavimo iniciatyvą, Vidurinės Azij</w:t>
      </w:r>
      <w:r>
        <w:rPr>
          <w:rFonts w:ascii="Times New Roman" w:hAnsi="Times New Roman"/>
        </w:rPr>
        <w:t>os regioninio ekonominio bendradarbiavimo programą, Pietų Azijos regioninio bendradarbiavimo asociaciją, Pietų Azijos subregioninio ekonominio bendradarbiavimo programą ir Šanchajaus bendradarbiavimo organizaciją.</w:t>
      </w:r>
    </w:p>
  </w:footnote>
  <w:footnote w:id="23">
    <w:p w:rsidR="00612344" w:rsidRDefault="00104B34">
      <w:pPr>
        <w:pStyle w:val="FootnoteText"/>
        <w:jc w:val="both"/>
      </w:pPr>
      <w:r>
        <w:rPr>
          <w:rStyle w:val="FootnoteReference"/>
        </w:rPr>
        <w:footnoteRef/>
      </w:r>
      <w:r>
        <w:rPr>
          <w:rStyle w:val="FootnoteReference"/>
        </w:rPr>
        <w:t xml:space="preserve"> </w:t>
      </w:r>
      <w:r>
        <w:rPr>
          <w:rFonts w:ascii="Times New Roman" w:hAnsi="Times New Roman"/>
        </w:rPr>
        <w:t>Prireikus ES techniniu lygmeniu galėtų b</w:t>
      </w:r>
      <w:r>
        <w:rPr>
          <w:rFonts w:ascii="Times New Roman" w:hAnsi="Times New Roman"/>
        </w:rPr>
        <w:t>endradarbiauti su Eurazijos ekonomine sąjunga ir jos valstybėmis narėmis, siekdama užtikrinti geresnę jų techninių reglamentų ir standartų konvergenciją su tarptautiniais teisės aktais ir standartais.</w:t>
      </w:r>
    </w:p>
  </w:footnote>
  <w:footnote w:id="24">
    <w:p w:rsidR="00612344" w:rsidRDefault="00104B34">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Bendras komunikatas </w:t>
      </w:r>
      <w:r>
        <w:rPr>
          <w:rFonts w:ascii="Times New Roman" w:hAnsi="Times New Roman"/>
          <w:i/>
        </w:rPr>
        <w:t>Tarptautinis vandenynų valdymas.</w:t>
      </w:r>
      <w:r>
        <w:rPr>
          <w:rFonts w:ascii="Times New Roman" w:hAnsi="Times New Roman"/>
        </w:rPr>
        <w:t>,</w:t>
      </w:r>
      <w:r>
        <w:rPr>
          <w:rFonts w:ascii="Times New Roman" w:hAnsi="Times New Roman"/>
        </w:rPr>
        <w:t xml:space="preserve"> JOIN(2016) 49.</w:t>
      </w:r>
    </w:p>
  </w:footnote>
  <w:footnote w:id="25">
    <w:p w:rsidR="00612344" w:rsidRDefault="00104B34">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Įskaitant Ekonominio bendradarbiavimo ir plėtros organizaciją, Jungtinių Tautų Europos ekonomikos komisiją (angl. UNECE) ir jos Vidaus transporto komitetą; geležinkelių transporto srityje – OTIF ir Geležinkelių bendradarbiavimo organizaci</w:t>
      </w:r>
      <w:r>
        <w:rPr>
          <w:rFonts w:ascii="Times New Roman" w:hAnsi="Times New Roman"/>
        </w:rPr>
        <w:t>ją (rus. OSŽD); energetikos srityje – Tarptautinę energetikos agentūrą ir Tarptautinę atsinaujinančiosios energijos agentūrą. Iš kitų pagrindinių pasaulinius įgaliojimus turinčių organizacijų būtų galima paminėti IMO, ICAO, Tarptautinę telekomunikacijų sąj</w:t>
      </w:r>
      <w:r>
        <w:rPr>
          <w:rFonts w:ascii="Times New Roman" w:hAnsi="Times New Roman"/>
        </w:rPr>
        <w:t>ungą (angl. ITU), o socialinių teisių srityje – Tarptautinę darbo organizaciją (TDO).</w:t>
      </w:r>
    </w:p>
  </w:footnote>
  <w:footnote w:id="26">
    <w:p w:rsidR="00612344" w:rsidRDefault="00104B34">
      <w:pPr>
        <w:pStyle w:val="FootnoteText"/>
        <w:jc w:val="both"/>
      </w:pPr>
      <w:r>
        <w:rPr>
          <w:rStyle w:val="FootnoteReference"/>
        </w:rPr>
        <w:footnoteRef/>
      </w:r>
      <w:r>
        <w:t xml:space="preserve"> </w:t>
      </w:r>
      <w:r>
        <w:rPr>
          <w:rFonts w:ascii="Times New Roman" w:hAnsi="Times New Roman"/>
        </w:rPr>
        <w:t>Įskaitant, bet ne tik, UNECE Konvenciją dėl teisės gauti informaciją, visuomenės dalyvavimo priimant sprendimus ir teisės kreiptis į teismus aplinkosaugos klausimais, t</w:t>
      </w:r>
      <w:r>
        <w:rPr>
          <w:rFonts w:ascii="Times New Roman" w:hAnsi="Times New Roman"/>
        </w:rPr>
        <w:t>aip pat UNECE Espo konvenciją dėl poveikio aplinkai vertinimo tarpvalstybiniame kontekste ir šios konvencijos Strateginio aplinkos vertinimo protokolą.</w:t>
      </w:r>
    </w:p>
  </w:footnote>
  <w:footnote w:id="27">
    <w:p w:rsidR="00612344" w:rsidRDefault="00104B34">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Tarptautinė elektrotechnikos komisija, Tarptautinė standartizacijos organizacija ir Tarptautinė teleko</w:t>
      </w:r>
      <w:r>
        <w:rPr>
          <w:rFonts w:ascii="Times New Roman" w:hAnsi="Times New Roman"/>
        </w:rPr>
        <w:t>munikacijų sąjunga; Europos standartizacijos komitetas, Europos elektrotechnikos standartizacijos komitetas ir Europos telekomunikacijų standartų institutas.</w:t>
      </w:r>
    </w:p>
  </w:footnote>
  <w:footnote w:id="28">
    <w:p w:rsidR="00612344" w:rsidRDefault="00104B34">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Inderst, George (2018). </w:t>
      </w:r>
      <w:r>
        <w:rPr>
          <w:rFonts w:ascii="Times New Roman" w:hAnsi="Times New Roman"/>
          <w:i/>
        </w:rPr>
        <w:t>Infrastructure Investment, Private Finance, and Institutional Investors:</w:t>
      </w:r>
      <w:r>
        <w:rPr>
          <w:rFonts w:ascii="Times New Roman" w:hAnsi="Times New Roman"/>
        </w:rPr>
        <w:t xml:space="preserve"> </w:t>
      </w:r>
      <w:r>
        <w:rPr>
          <w:rFonts w:ascii="Times New Roman" w:hAnsi="Times New Roman"/>
          <w:i/>
        </w:rPr>
        <w:t>Asia from a Global Perspective</w:t>
      </w:r>
      <w:r>
        <w:rPr>
          <w:rFonts w:ascii="Times New Roman" w:hAnsi="Times New Roman"/>
        </w:rPr>
        <w:t>. Azijos plėtros banko institutas.</w:t>
      </w:r>
    </w:p>
  </w:footnote>
  <w:footnote w:id="29">
    <w:p w:rsidR="00612344" w:rsidRDefault="00104B34">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 Nuo 2014 m. iki 2018 m. vidurio Vakarų Balkanų investicine priemone pritraukta apie 2,4 mlrd. EUR investicijų į sujungiamumą, o Kaimynystės investicine priemone – apie 2,9 mlrd. EUR investicijų į sujungiamumą Rytų partnerystės šalims.</w:t>
      </w:r>
    </w:p>
  </w:footnote>
  <w:footnote w:id="30">
    <w:p w:rsidR="00612344" w:rsidRDefault="00104B34">
      <w:pPr>
        <w:pStyle w:val="FootnoteText"/>
        <w:jc w:val="both"/>
      </w:pPr>
      <w:r>
        <w:rPr>
          <w:rStyle w:val="FootnoteReference"/>
          <w:rFonts w:ascii="Times New Roman" w:hAnsi="Times New Roman"/>
        </w:rPr>
        <w:footnoteRef/>
      </w:r>
      <w:r>
        <w:rPr>
          <w:rFonts w:ascii="Times New Roman" w:hAnsi="Times New Roman"/>
        </w:rPr>
        <w:t xml:space="preserve"> Pavyzdžiui, Europo</w:t>
      </w:r>
      <w:r>
        <w:rPr>
          <w:rFonts w:ascii="Times New Roman" w:hAnsi="Times New Roman"/>
        </w:rPr>
        <w:t>s investicijų bankas (EIB) prisideda 70 mln. EUR prie Vidurinės Azijos ir Pietų Azijos elektros energijos perdavimo ir prekybos ja projekto (CASA-1000), kurį įgyvendinant sudaromos sąlygos perduoti elektros energiją iš Kirgizijos ir Tadžikistano į Afganist</w:t>
      </w:r>
      <w:r>
        <w:rPr>
          <w:rFonts w:ascii="Times New Roman" w:hAnsi="Times New Roman"/>
        </w:rPr>
        <w:t>aną ir Pakistaną.</w:t>
      </w:r>
      <w:r>
        <w:t xml:space="preserve">  </w:t>
      </w:r>
    </w:p>
  </w:footnote>
  <w:footnote w:id="31">
    <w:p w:rsidR="00612344" w:rsidRDefault="00104B34">
      <w:pPr>
        <w:pStyle w:val="FootnoteText"/>
        <w:jc w:val="both"/>
      </w:pPr>
      <w:r>
        <w:rPr>
          <w:rStyle w:val="FootnoteReference"/>
        </w:rPr>
        <w:footnoteRef/>
      </w:r>
      <w:r>
        <w:t xml:space="preserve"> </w:t>
      </w:r>
      <w:r>
        <w:rPr>
          <w:rFonts w:ascii="Times New Roman" w:hAnsi="Times New Roman"/>
        </w:rPr>
        <w:t>2017 m. rugsėjo 26 d. Europos Parlamento ir Tarybos reglamentas (ES) 2017/1601, kuriuo sukuriamas Europos darnaus vystymosi fondas (EDVF), EDVF garantija ir EDVF garantijų fondas.</w:t>
      </w:r>
    </w:p>
  </w:footnote>
  <w:footnote w:id="32">
    <w:p w:rsidR="00612344" w:rsidRDefault="00104B34">
      <w:pPr>
        <w:pStyle w:val="FootnoteText"/>
        <w:jc w:val="both"/>
      </w:pPr>
      <w:r>
        <w:rPr>
          <w:rStyle w:val="FootnoteReference"/>
        </w:rPr>
        <w:footnoteRef/>
      </w:r>
      <w:r>
        <w:t xml:space="preserve"> </w:t>
      </w:r>
      <w:r>
        <w:rPr>
          <w:rFonts w:ascii="Times New Roman" w:hAnsi="Times New Roman"/>
        </w:rPr>
        <w:t>Komisijos komunikatas Europos Parlamentui, Europos V</w:t>
      </w:r>
      <w:r>
        <w:rPr>
          <w:rFonts w:ascii="Times New Roman" w:hAnsi="Times New Roman"/>
        </w:rPr>
        <w:t xml:space="preserve">adovų Tarybai, Tarybai ir Europos investicijų bankui </w:t>
      </w:r>
      <w:r>
        <w:rPr>
          <w:rFonts w:ascii="Times New Roman" w:hAnsi="Times New Roman"/>
          <w:i/>
        </w:rPr>
        <w:t>Veiksmingesnės investicijų už Europos Sąjungos ribų finansinės struktūros kūrimas</w:t>
      </w:r>
      <w:r>
        <w:rPr>
          <w:rFonts w:ascii="Times New Roman" w:hAnsi="Times New Roman"/>
        </w:rPr>
        <w:t>, COM(2018) 644.</w:t>
      </w:r>
    </w:p>
  </w:footnote>
  <w:footnote w:id="33">
    <w:p w:rsidR="00612344" w:rsidRDefault="00104B34">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Komunikatas </w:t>
      </w:r>
      <w:r>
        <w:rPr>
          <w:rFonts w:ascii="Times New Roman" w:hAnsi="Times New Roman"/>
          <w:i/>
        </w:rPr>
        <w:t>Šiuolaikiškas biudžetas Sąjungai, kuri apsaugo, suteikia galių ir gina. 2021–2027 m. daugia</w:t>
      </w:r>
      <w:r>
        <w:rPr>
          <w:rFonts w:ascii="Times New Roman" w:hAnsi="Times New Roman"/>
          <w:i/>
        </w:rPr>
        <w:t>metė finansinė programa</w:t>
      </w:r>
      <w:r>
        <w:rPr>
          <w:rFonts w:ascii="Times New Roman" w:hAnsi="Times New Roman"/>
        </w:rPr>
        <w:t xml:space="preserve">, COM(2018) 321. Komisijos komunikate </w:t>
      </w:r>
      <w:r>
        <w:rPr>
          <w:rFonts w:ascii="Times New Roman" w:hAnsi="Times New Roman"/>
          <w:i/>
        </w:rPr>
        <w:t>Veiksmingesnės investicijų už Europos Sąjungos ribų finansinės struktūros kūrimas</w:t>
      </w:r>
      <w:r>
        <w:rPr>
          <w:rFonts w:ascii="Times New Roman" w:hAnsi="Times New Roman"/>
        </w:rPr>
        <w:t xml:space="preserve"> (COM(2018) 644) nustatyta pasiūlyta išorės investavimo struktūra.</w:t>
      </w:r>
    </w:p>
  </w:footnote>
  <w:footnote w:id="34">
    <w:p w:rsidR="00612344" w:rsidRDefault="00104B34">
      <w:pPr>
        <w:pStyle w:val="FootnoteText"/>
        <w:jc w:val="both"/>
      </w:pPr>
      <w:r>
        <w:rPr>
          <w:rStyle w:val="FootnoteReference"/>
        </w:rPr>
        <w:footnoteRef/>
      </w:r>
      <w:r>
        <w:t xml:space="preserve"> </w:t>
      </w:r>
      <w:r>
        <w:rPr>
          <w:rFonts w:ascii="Times New Roman" w:hAnsi="Times New Roman"/>
        </w:rPr>
        <w:t>Žr. pirmiau 30 išnašoje nurodytą komunikatą.</w:t>
      </w:r>
    </w:p>
  </w:footnote>
  <w:footnote w:id="35">
    <w:p w:rsidR="00612344" w:rsidRDefault="00104B34">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Komunikatas </w:t>
      </w:r>
      <w:r>
        <w:rPr>
          <w:rFonts w:ascii="Times New Roman" w:hAnsi="Times New Roman"/>
          <w:i/>
        </w:rPr>
        <w:t>Tvaraus augimo</w:t>
      </w:r>
      <w:r>
        <w:rPr>
          <w:rFonts w:ascii="Times New Roman" w:hAnsi="Times New Roman"/>
        </w:rPr>
        <w:t xml:space="preserve"> </w:t>
      </w:r>
      <w:r>
        <w:rPr>
          <w:rFonts w:ascii="Times New Roman" w:hAnsi="Times New Roman"/>
          <w:i/>
        </w:rPr>
        <w:t>finansavimo veiksmų planas</w:t>
      </w:r>
      <w:r>
        <w:rPr>
          <w:rFonts w:ascii="Times New Roman" w:hAnsi="Times New Roman"/>
        </w:rPr>
        <w:t xml:space="preserve"> COM(2018) 97.</w:t>
      </w:r>
    </w:p>
  </w:footnote>
  <w:footnote w:id="36">
    <w:p w:rsidR="00612344" w:rsidRDefault="00104B34">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Pavyzdžiui, valdymo platformą SOURCE galima rasti fondo </w:t>
      </w:r>
      <w:r>
        <w:rPr>
          <w:rFonts w:ascii="Times New Roman" w:hAnsi="Times New Roman"/>
          <w:i/>
        </w:rPr>
        <w:t>Sustainable Infrastructure Foundation</w:t>
      </w:r>
      <w:r>
        <w:rPr>
          <w:rFonts w:ascii="Times New Roman" w:hAnsi="Times New Roman"/>
        </w:rPr>
        <w:t xml:space="preserve"> svetainėje adresu https://public.sif-source.org/.</w:t>
      </w:r>
    </w:p>
  </w:footnote>
  <w:footnote w:id="37">
    <w:p w:rsidR="00612344" w:rsidRDefault="00104B34">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Komisijos ataskaita Europos Parlamentui ir Tarybai dėl prekybos ir investavimo kliūčių 2016 m. sausio 1 d. – 2016 m. gruodžio 31 d.</w:t>
      </w:r>
    </w:p>
  </w:footnote>
  <w:footnote w:id="38">
    <w:p w:rsidR="00612344" w:rsidRDefault="00104B34">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Komisijos pasiūlymas dėl reglamento dėl trečiųjų šalių prekių ir paslaugų patekimo į Sąjungos viešųjų pirkimų vidaus rink</w:t>
      </w:r>
      <w:r>
        <w:rPr>
          <w:rFonts w:ascii="Times New Roman" w:hAnsi="Times New Roman"/>
        </w:rPr>
        <w:t>ą ir procedūrų, kuriomis remiamos derybos dėl Sąjungos prekių ir paslaugų patekimo į trečiųjų šalių viešųjų pirkimų rinkas, COM(2016) 34. Šį pasiūlymą šiuo metu svarsto Europos Parlamentas ir Taryba.</w:t>
      </w:r>
    </w:p>
  </w:footnote>
  <w:footnote w:id="39">
    <w:p w:rsidR="00612344" w:rsidRDefault="00104B34">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Diskusijoms skirtas Komisijos dokumentas dėl globaliza</w:t>
      </w:r>
      <w:r>
        <w:rPr>
          <w:rFonts w:ascii="Times New Roman" w:hAnsi="Times New Roman"/>
        </w:rPr>
        <w:t>cijos suvaldymo, COM(2017) 240.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2344" w:rsidRDefault="006123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2344" w:rsidRDefault="00612344">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2344" w:rsidRDefault="00612344">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2344" w:rsidRDefault="0061234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2344" w:rsidRDefault="0061234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2344" w:rsidRDefault="006123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94EB0"/>
    <w:multiLevelType w:val="hybridMultilevel"/>
    <w:tmpl w:val="CE9CC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673F8B"/>
    <w:multiLevelType w:val="hybridMultilevel"/>
    <w:tmpl w:val="E766F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F60D08"/>
    <w:multiLevelType w:val="hybridMultilevel"/>
    <w:tmpl w:val="57D614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D423D8F"/>
    <w:multiLevelType w:val="hybridMultilevel"/>
    <w:tmpl w:val="B524B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B929C2"/>
    <w:multiLevelType w:val="hybridMultilevel"/>
    <w:tmpl w:val="5F687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0908C7"/>
    <w:multiLevelType w:val="multilevel"/>
    <w:tmpl w:val="E93065FA"/>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1843AA8"/>
    <w:multiLevelType w:val="hybridMultilevel"/>
    <w:tmpl w:val="12664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C8285B"/>
    <w:multiLevelType w:val="hybridMultilevel"/>
    <w:tmpl w:val="C220D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20426B"/>
    <w:multiLevelType w:val="hybridMultilevel"/>
    <w:tmpl w:val="941437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A36BE4"/>
    <w:multiLevelType w:val="hybridMultilevel"/>
    <w:tmpl w:val="BE461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F55C4D"/>
    <w:multiLevelType w:val="hybridMultilevel"/>
    <w:tmpl w:val="A1E0B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182C55"/>
    <w:multiLevelType w:val="hybridMultilevel"/>
    <w:tmpl w:val="8DE644AA"/>
    <w:lvl w:ilvl="0" w:tplc="8624B342">
      <w:start w:val="1"/>
      <w:numFmt w:val="upp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7010618"/>
    <w:multiLevelType w:val="hybridMultilevel"/>
    <w:tmpl w:val="0A6E8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FF02E2"/>
    <w:multiLevelType w:val="hybridMultilevel"/>
    <w:tmpl w:val="2FB81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EA5E6C"/>
    <w:multiLevelType w:val="hybridMultilevel"/>
    <w:tmpl w:val="30AA4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E665CE"/>
    <w:multiLevelType w:val="hybridMultilevel"/>
    <w:tmpl w:val="B726CF14"/>
    <w:lvl w:ilvl="0" w:tplc="F468F77A">
      <w:start w:val="1"/>
      <w:numFmt w:val="upp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3475CA3"/>
    <w:multiLevelType w:val="hybridMultilevel"/>
    <w:tmpl w:val="6F849E2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4B00D76"/>
    <w:multiLevelType w:val="hybridMultilevel"/>
    <w:tmpl w:val="438A7514"/>
    <w:lvl w:ilvl="0" w:tplc="BA027B80">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296E57"/>
    <w:multiLevelType w:val="hybridMultilevel"/>
    <w:tmpl w:val="253A9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785E53"/>
    <w:multiLevelType w:val="hybridMultilevel"/>
    <w:tmpl w:val="5FFA8842"/>
    <w:lvl w:ilvl="0" w:tplc="67B05C88">
      <w:start w:val="1"/>
      <w:numFmt w:val="upp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3A934834"/>
    <w:multiLevelType w:val="hybridMultilevel"/>
    <w:tmpl w:val="58E6E7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53D56B77"/>
    <w:multiLevelType w:val="hybridMultilevel"/>
    <w:tmpl w:val="FC5E3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6268C8"/>
    <w:multiLevelType w:val="hybridMultilevel"/>
    <w:tmpl w:val="3EDE24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86433B0"/>
    <w:multiLevelType w:val="hybridMultilevel"/>
    <w:tmpl w:val="238C2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3C7427"/>
    <w:multiLevelType w:val="hybridMultilevel"/>
    <w:tmpl w:val="A0F687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62BC0C26"/>
    <w:multiLevelType w:val="hybridMultilevel"/>
    <w:tmpl w:val="9D381AA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6B987745"/>
    <w:multiLevelType w:val="hybridMultilevel"/>
    <w:tmpl w:val="EAEC1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BAC0642"/>
    <w:multiLevelType w:val="hybridMultilevel"/>
    <w:tmpl w:val="EA8A37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6ED70116"/>
    <w:multiLevelType w:val="hybridMultilevel"/>
    <w:tmpl w:val="BD6EC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25E5AD6"/>
    <w:multiLevelType w:val="hybridMultilevel"/>
    <w:tmpl w:val="36524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A212E9"/>
    <w:multiLevelType w:val="hybridMultilevel"/>
    <w:tmpl w:val="C5B65332"/>
    <w:lvl w:ilvl="0" w:tplc="238628FC">
      <w:start w:val="1"/>
      <w:numFmt w:val="upp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7D53244D"/>
    <w:multiLevelType w:val="hybridMultilevel"/>
    <w:tmpl w:val="BB0EB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21"/>
  </w:num>
  <w:num w:numId="3">
    <w:abstractNumId w:val="22"/>
  </w:num>
  <w:num w:numId="4">
    <w:abstractNumId w:val="28"/>
  </w:num>
  <w:num w:numId="5">
    <w:abstractNumId w:val="29"/>
  </w:num>
  <w:num w:numId="6">
    <w:abstractNumId w:val="0"/>
  </w:num>
  <w:num w:numId="7">
    <w:abstractNumId w:val="13"/>
  </w:num>
  <w:num w:numId="8">
    <w:abstractNumId w:val="1"/>
  </w:num>
  <w:num w:numId="9">
    <w:abstractNumId w:val="18"/>
  </w:num>
  <w:num w:numId="10">
    <w:abstractNumId w:val="7"/>
  </w:num>
  <w:num w:numId="11">
    <w:abstractNumId w:val="23"/>
  </w:num>
  <w:num w:numId="12">
    <w:abstractNumId w:val="12"/>
  </w:num>
  <w:num w:numId="13">
    <w:abstractNumId w:val="4"/>
  </w:num>
  <w:num w:numId="14">
    <w:abstractNumId w:val="14"/>
  </w:num>
  <w:num w:numId="15">
    <w:abstractNumId w:val="31"/>
  </w:num>
  <w:num w:numId="16">
    <w:abstractNumId w:val="6"/>
  </w:num>
  <w:num w:numId="17">
    <w:abstractNumId w:val="3"/>
  </w:num>
  <w:num w:numId="18">
    <w:abstractNumId w:val="9"/>
  </w:num>
  <w:num w:numId="19">
    <w:abstractNumId w:val="20"/>
  </w:num>
  <w:num w:numId="20">
    <w:abstractNumId w:val="25"/>
  </w:num>
  <w:num w:numId="21">
    <w:abstractNumId w:val="24"/>
  </w:num>
  <w:num w:numId="22">
    <w:abstractNumId w:val="16"/>
  </w:num>
  <w:num w:numId="23">
    <w:abstractNumId w:val="26"/>
  </w:num>
  <w:num w:numId="24">
    <w:abstractNumId w:val="27"/>
  </w:num>
  <w:num w:numId="25">
    <w:abstractNumId w:val="15"/>
  </w:num>
  <w:num w:numId="26">
    <w:abstractNumId w:val="19"/>
  </w:num>
  <w:num w:numId="27">
    <w:abstractNumId w:val="2"/>
  </w:num>
  <w:num w:numId="28">
    <w:abstractNumId w:val="30"/>
  </w:num>
  <w:num w:numId="29">
    <w:abstractNumId w:val="11"/>
  </w:num>
  <w:num w:numId="30">
    <w:abstractNumId w:val="5"/>
  </w:num>
  <w:num w:numId="31">
    <w:abstractNumId w:val="8"/>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hideSpellingErrors/>
  <w:hideGrammaticalErrors/>
  <w:defaultTabStop w:val="720"/>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27C5BFA1-CAB9-4500-9CD1-A1F58E707DF1"/>
    <w:docVar w:name="LW_COVERPAGE_TYPE" w:val="1"/>
    <w:docVar w:name="LW_CROSSREFERENCE" w:val="&lt;UNUSED&gt;"/>
    <w:docVar w:name="LW_DocType" w:val="NORMAL"/>
    <w:docVar w:name="LW_EMISSION" w:val="2018 09 19"/>
    <w:docVar w:name="LW_EMISSION_ISODATE" w:val="2018-09-19"/>
    <w:docVar w:name="LW_EMISSION_LOCATION" w:val="BRX"/>
    <w:docVar w:name="LW_EMISSION_PREFIX" w:val="Briuselis, "/>
    <w:docVar w:name="LW_EMISSION_SUFFIX" w:val=" "/>
    <w:docVar w:name="LW_ID_DOCTYPE_NONLW" w:val="CP-042"/>
    <w:docVar w:name="LW_LANGUE" w:val="LT"/>
    <w:docVar w:name="LW_LEVEL_OF_SENSITIVITY" w:val="Standard treatment"/>
    <w:docVar w:name="LW_NOM.INST" w:val="EUROPOS KOMISIJA"/>
    <w:docVar w:name="LW_NOM.INST_JOINTDOC" w:val="S\u260?JUNGOS VYRIAUSIASIS_x000b_ \u302?GALIOTINIS U\u381?SIENIO_x000b_ REIKALAMS IR_x000b_SAUGUMO POLITIKAI"/>
    <w:docVar w:name="LW_PART_NBR" w:val="1"/>
    <w:docVar w:name="LW_PART_NBR_TOTAL" w:val="1"/>
    <w:docVar w:name="LW_REF.II.NEW.CP" w:val="&lt;UNUSED&gt;"/>
    <w:docVar w:name="LW_REF.II.NEW.CP_NUMBER" w:val="&lt;UNUSED&gt;"/>
    <w:docVar w:name="LW_REF.II.NEW.CP_YEAR" w:val="2018"/>
    <w:docVar w:name="LW_REF.INST.NEW" w:val="JOIN"/>
    <w:docVar w:name="LW_REF.INST.NEW_ADOPTED" w:val="final"/>
    <w:docVar w:name="LW_REF.INST.NEW_TEXT" w:val="(2018) 3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Glaudesn\u279?s Europos ir Azijos s\u261?sajos. ES strategijos sudedamosios dalys_x000d__x000d__x000d__x000b__x000d__x000d__x000d__x000b_"/>
    <w:docVar w:name="LW_TYPE.DOC.CP" w:val="BENDRAS KOMUNIKATAS EUROPOS PARLAMENTUI, TARYBAI, EUROPOS EKONOMIKOS IR SOCIALINI\u370? REIKAL\u370? KOMITETUI, REGION\u370? KOMITETUI IR EUROPOS INVESTICIJ\u370? BANKUI"/>
    <w:docVar w:name="Stamp" w:val="\\dossiers.dgt.cec.eu.int\dossiers\EEAS\EEAS-2018-00221\EEAS-2018-00221-00-00-EN-EDT-00.201806221617445478627.DOCX"/>
  </w:docVars>
  <w:rsids>
    <w:rsidRoot w:val="00612344"/>
    <w:rsid w:val="00104B34"/>
    <w:rsid w:val="0061234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351EA6E"/>
  <w15:docId w15:val="{7587D9B6-F2D1-49CD-9656-363CC1779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lt-LT" w:bidi="lt-LT"/>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FootnoteText">
    <w:name w:val="footnote text"/>
    <w:basedOn w:val="Normal"/>
    <w:uiPriority w:val="99"/>
    <w:semiHidden/>
    <w:unhideWhenUsed/>
    <w:pPr>
      <w:spacing w:after="0" w:line="240" w:lineRule="auto"/>
    </w:pPr>
    <w:rPr>
      <w:sz w:val="20"/>
      <w:szCs w:val="20"/>
    </w:rPr>
  </w:style>
  <w:style w:type="character" w:customStyle="1" w:styleId="FootnoteTextChar">
    <w:name w:val="Footnote Text Char"/>
    <w:basedOn w:val="DefaultParagraphFont"/>
    <w:uiPriority w:val="99"/>
    <w:semiHidden/>
    <w:rPr>
      <w:sz w:val="20"/>
      <w:szCs w:val="20"/>
    </w:rPr>
  </w:style>
  <w:style w:type="character" w:styleId="FootnoteReference">
    <w:name w:val="footnote reference"/>
    <w:basedOn w:val="DefaultParagraphFont"/>
    <w:uiPriority w:val="99"/>
    <w:unhideWhenUsed/>
    <w:rPr>
      <w:vertAlign w:val="superscript"/>
    </w:rPr>
  </w:style>
  <w:style w:type="paragraph" w:styleId="ListParagraph">
    <w:name w:val="List Paragraph"/>
    <w:aliases w:val="Normal bullet 2,Bullet list,Numbered List,List Paragraph1,1st level - Bullet List Paragraph,Lettre d'introduction,Paragrafo elenco,Paragraph,Bullet EY,List Paragraph11,Normal bullet 21,List Paragraph111,Bullet list1,Bullet point 1,Dot pt"/>
    <w:basedOn w:val="Normal"/>
    <w:link w:val="ListParagraphChar"/>
    <w:uiPriority w:val="34"/>
    <w:qFormat/>
    <w:pPr>
      <w:ind w:left="720"/>
      <w:contextualSpacing/>
    </w:pPr>
  </w:style>
  <w:style w:type="paragraph" w:styleId="Revision">
    <w:name w:val="Revision"/>
    <w:hidden/>
    <w:uiPriority w:val="99"/>
    <w:semiHidden/>
    <w:pPr>
      <w:spacing w:after="0" w:line="240" w:lineRule="auto"/>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contextualSpacing/>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contextualSpacing/>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contextualSpacing/>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contextualSpacing/>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character" w:customStyle="1" w:styleId="update1">
    <w:name w:val="update1"/>
    <w:basedOn w:val="DefaultParagraphFont"/>
    <w:rPr>
      <w:color w:val="006666"/>
    </w:rPr>
  </w:style>
  <w:style w:type="character" w:customStyle="1" w:styleId="bold1">
    <w:name w:val="bold1"/>
    <w:basedOn w:val="DefaultParagraphFont"/>
    <w:rPr>
      <w:b/>
      <w:bCs/>
    </w:rPr>
  </w:style>
  <w:style w:type="character" w:styleId="Emphasis">
    <w:name w:val="Emphasis"/>
    <w:basedOn w:val="DefaultParagraphFont"/>
    <w:uiPriority w:val="20"/>
    <w:qFormat/>
    <w:rPr>
      <w:i/>
      <w:iCs/>
    </w:rPr>
  </w:style>
  <w:style w:type="character" w:customStyle="1" w:styleId="ListParagraphChar">
    <w:name w:val="List Paragraph Char"/>
    <w:aliases w:val="Normal bullet 2 Char,Bullet list Char,Numbered List Char,List Paragraph1 Char,1st level - Bullet List Paragraph Char,Lettre d'introduction Char,Paragrafo elenco Char,Paragraph Char,Bullet EY Char,List Paragraph11 Char,Dot pt Char"/>
    <w:link w:val="ListParagraph"/>
    <w:uiPriority w:val="34"/>
    <w:qFormat/>
    <w:locked/>
  </w:style>
  <w:style w:type="character" w:customStyle="1" w:styleId="filetitle1">
    <w:name w:val="file__title1"/>
    <w:basedOn w:val="DefaultParagraphFon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710517">
      <w:bodyDiv w:val="1"/>
      <w:marLeft w:val="0"/>
      <w:marRight w:val="0"/>
      <w:marTop w:val="0"/>
      <w:marBottom w:val="0"/>
      <w:divBdr>
        <w:top w:val="none" w:sz="0" w:space="0" w:color="auto"/>
        <w:left w:val="none" w:sz="0" w:space="0" w:color="auto"/>
        <w:bottom w:val="none" w:sz="0" w:space="0" w:color="auto"/>
        <w:right w:val="none" w:sz="0" w:space="0" w:color="auto"/>
      </w:divBdr>
    </w:div>
    <w:div w:id="424959393">
      <w:bodyDiv w:val="1"/>
      <w:marLeft w:val="0"/>
      <w:marRight w:val="0"/>
      <w:marTop w:val="0"/>
      <w:marBottom w:val="0"/>
      <w:divBdr>
        <w:top w:val="none" w:sz="0" w:space="0" w:color="auto"/>
        <w:left w:val="none" w:sz="0" w:space="0" w:color="auto"/>
        <w:bottom w:val="none" w:sz="0" w:space="0" w:color="auto"/>
        <w:right w:val="none" w:sz="0" w:space="0" w:color="auto"/>
      </w:divBdr>
    </w:div>
    <w:div w:id="427122719">
      <w:bodyDiv w:val="1"/>
      <w:marLeft w:val="0"/>
      <w:marRight w:val="0"/>
      <w:marTop w:val="0"/>
      <w:marBottom w:val="0"/>
      <w:divBdr>
        <w:top w:val="none" w:sz="0" w:space="0" w:color="auto"/>
        <w:left w:val="none" w:sz="0" w:space="0" w:color="auto"/>
        <w:bottom w:val="none" w:sz="0" w:space="0" w:color="auto"/>
        <w:right w:val="none" w:sz="0" w:space="0" w:color="auto"/>
      </w:divBdr>
    </w:div>
    <w:div w:id="562914376">
      <w:bodyDiv w:val="1"/>
      <w:marLeft w:val="0"/>
      <w:marRight w:val="0"/>
      <w:marTop w:val="0"/>
      <w:marBottom w:val="0"/>
      <w:divBdr>
        <w:top w:val="none" w:sz="0" w:space="0" w:color="auto"/>
        <w:left w:val="none" w:sz="0" w:space="0" w:color="auto"/>
        <w:bottom w:val="none" w:sz="0" w:space="0" w:color="auto"/>
        <w:right w:val="none" w:sz="0" w:space="0" w:color="auto"/>
      </w:divBdr>
    </w:div>
    <w:div w:id="633758692">
      <w:bodyDiv w:val="1"/>
      <w:marLeft w:val="0"/>
      <w:marRight w:val="0"/>
      <w:marTop w:val="0"/>
      <w:marBottom w:val="0"/>
      <w:divBdr>
        <w:top w:val="none" w:sz="0" w:space="0" w:color="auto"/>
        <w:left w:val="none" w:sz="0" w:space="0" w:color="auto"/>
        <w:bottom w:val="none" w:sz="0" w:space="0" w:color="auto"/>
        <w:right w:val="none" w:sz="0" w:space="0" w:color="auto"/>
      </w:divBdr>
    </w:div>
    <w:div w:id="725686375">
      <w:bodyDiv w:val="1"/>
      <w:marLeft w:val="0"/>
      <w:marRight w:val="0"/>
      <w:marTop w:val="0"/>
      <w:marBottom w:val="0"/>
      <w:divBdr>
        <w:top w:val="none" w:sz="0" w:space="0" w:color="auto"/>
        <w:left w:val="none" w:sz="0" w:space="0" w:color="auto"/>
        <w:bottom w:val="none" w:sz="0" w:space="0" w:color="auto"/>
        <w:right w:val="none" w:sz="0" w:space="0" w:color="auto"/>
      </w:divBdr>
      <w:divsChild>
        <w:div w:id="1408186848">
          <w:marLeft w:val="0"/>
          <w:marRight w:val="0"/>
          <w:marTop w:val="0"/>
          <w:marBottom w:val="0"/>
          <w:divBdr>
            <w:top w:val="none" w:sz="0" w:space="0" w:color="auto"/>
            <w:left w:val="none" w:sz="0" w:space="0" w:color="auto"/>
            <w:bottom w:val="none" w:sz="0" w:space="0" w:color="auto"/>
            <w:right w:val="none" w:sz="0" w:space="0" w:color="auto"/>
          </w:divBdr>
        </w:div>
        <w:div w:id="1609002887">
          <w:marLeft w:val="0"/>
          <w:marRight w:val="0"/>
          <w:marTop w:val="0"/>
          <w:marBottom w:val="0"/>
          <w:divBdr>
            <w:top w:val="none" w:sz="0" w:space="0" w:color="auto"/>
            <w:left w:val="none" w:sz="0" w:space="0" w:color="auto"/>
            <w:bottom w:val="none" w:sz="0" w:space="0" w:color="auto"/>
            <w:right w:val="none" w:sz="0" w:space="0" w:color="auto"/>
          </w:divBdr>
        </w:div>
      </w:divsChild>
    </w:div>
    <w:div w:id="1099646499">
      <w:bodyDiv w:val="1"/>
      <w:marLeft w:val="0"/>
      <w:marRight w:val="0"/>
      <w:marTop w:val="0"/>
      <w:marBottom w:val="0"/>
      <w:divBdr>
        <w:top w:val="none" w:sz="0" w:space="0" w:color="auto"/>
        <w:left w:val="none" w:sz="0" w:space="0" w:color="auto"/>
        <w:bottom w:val="none" w:sz="0" w:space="0" w:color="auto"/>
        <w:right w:val="none" w:sz="0" w:space="0" w:color="auto"/>
      </w:divBdr>
    </w:div>
    <w:div w:id="1480422824">
      <w:bodyDiv w:val="1"/>
      <w:marLeft w:val="0"/>
      <w:marRight w:val="0"/>
      <w:marTop w:val="0"/>
      <w:marBottom w:val="0"/>
      <w:divBdr>
        <w:top w:val="none" w:sz="0" w:space="0" w:color="auto"/>
        <w:left w:val="none" w:sz="0" w:space="0" w:color="auto"/>
        <w:bottom w:val="none" w:sz="0" w:space="0" w:color="auto"/>
        <w:right w:val="none" w:sz="0" w:space="0" w:color="auto"/>
      </w:divBdr>
    </w:div>
    <w:div w:id="2018455448">
      <w:bodyDiv w:val="1"/>
      <w:marLeft w:val="0"/>
      <w:marRight w:val="0"/>
      <w:marTop w:val="0"/>
      <w:marBottom w:val="0"/>
      <w:divBdr>
        <w:top w:val="none" w:sz="0" w:space="0" w:color="auto"/>
        <w:left w:val="none" w:sz="0" w:space="0" w:color="auto"/>
        <w:bottom w:val="none" w:sz="0" w:space="0" w:color="auto"/>
        <w:right w:val="none" w:sz="0" w:space="0" w:color="auto"/>
      </w:divBdr>
    </w:div>
    <w:div w:id="2064256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42ACDB-83A6-4E78-ADB5-D6263336D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15</Pages>
  <Words>4368</Words>
  <Characters>32324</Characters>
  <Application>Microsoft Office Word</Application>
  <DocSecurity>0</DocSecurity>
  <Lines>505</Lines>
  <Paragraphs>101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16</cp:revision>
  <cp:lastPrinted>2018-09-12T09:05:00Z</cp:lastPrinted>
  <dcterms:created xsi:type="dcterms:W3CDTF">2018-09-17T16:51:00Z</dcterms:created>
  <dcterms:modified xsi:type="dcterms:W3CDTF">2018-10-09T09:52:00Z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Last edited using">
    <vt:lpwstr>LW 6.0.1, Build 20180503</vt:lpwstr>
  </property>
  <property fmtid="{D5CDD505-2E9C-101B-9397-08002B2CF9AE}" pid="7" name="Created using">
    <vt:lpwstr>LW 6.0.1, Build 20180503</vt:lpwstr>
  </property>
  <property name="OP_sanitized" fmtid="{D5CDD505-2E9C-101B-9397-08002B2CF9AE}" pid="8">
    <vt:lpwstr>True</vt:lpwstr>
  </property>
</Properties>
</file>