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0077006C-453C-4327-ACAC-6227F6B40EC2" style="width:450.75pt;height:307.5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pPr>
        <w:pStyle w:val="Default"/>
        <w:jc w:val="center"/>
        <w:rPr>
          <w:b/>
          <w:bCs/>
          <w:noProof/>
          <w:sz w:val="23"/>
          <w:szCs w:val="23"/>
        </w:rPr>
      </w:pPr>
      <w:bookmarkStart w:id="1" w:name="_GoBack"/>
      <w:bookmarkEnd w:id="1"/>
      <w:r>
        <w:rPr>
          <w:b/>
          <w:noProof/>
          <w:sz w:val="23"/>
        </w:rPr>
        <w:lastRenderedPageBreak/>
        <w:t xml:space="preserve">KOMISIJOS ATASKAITA EUROPOS PARLAMENTUI IR TARYBAI </w:t>
      </w:r>
      <w:r>
        <w:rPr>
          <w:rStyle w:val="a5jakv1rydqstbldxj0"/>
          <w:b/>
          <w:noProof/>
          <w:color w:val="auto"/>
          <w:sz w:val="23"/>
          <w:szCs w:val="23"/>
        </w:rPr>
        <w:t>dėl naudojimosi įgaliojimais priimti deleguotuosius aktus, suteiktas Komisijai pagal Direktyvą 2008/105/ES dėl aplinkos kokybės standartų vandens politikos srityje</w:t>
      </w:r>
    </w:p>
    <w:p>
      <w:pPr>
        <w:pStyle w:val="Default"/>
        <w:jc w:val="both"/>
        <w:rPr>
          <w:noProof/>
          <w:sz w:val="23"/>
          <w:szCs w:val="23"/>
        </w:rPr>
      </w:pPr>
      <w:r>
        <w:rPr>
          <w:b/>
          <w:noProof/>
          <w:sz w:val="23"/>
        </w:rPr>
        <w:t xml:space="preserve"> </w:t>
      </w:r>
    </w:p>
    <w:p>
      <w:pPr>
        <w:pStyle w:val="Default"/>
        <w:jc w:val="both"/>
        <w:rPr>
          <w:noProof/>
          <w:sz w:val="23"/>
          <w:szCs w:val="23"/>
        </w:rPr>
      </w:pPr>
      <w:r>
        <w:rPr>
          <w:noProof/>
          <w:sz w:val="23"/>
        </w:rPr>
        <w:t xml:space="preserve">1. ĮVADAS </w:t>
      </w:r>
    </w:p>
    <w:p>
      <w:pPr>
        <w:pStyle w:val="Default"/>
        <w:jc w:val="both"/>
        <w:rPr>
          <w:noProof/>
          <w:sz w:val="23"/>
          <w:szCs w:val="23"/>
        </w:rPr>
      </w:pPr>
    </w:p>
    <w:p>
      <w:pPr>
        <w:pStyle w:val="Default"/>
        <w:jc w:val="both"/>
        <w:rPr>
          <w:noProof/>
          <w:sz w:val="23"/>
          <w:szCs w:val="23"/>
        </w:rPr>
      </w:pPr>
      <w:r>
        <w:rPr>
          <w:noProof/>
          <w:sz w:val="23"/>
        </w:rPr>
        <w:t>Europos Parlamento ir Tarybos direktyvoje 2008/105/EB</w:t>
      </w:r>
      <w:r>
        <w:rPr>
          <w:rStyle w:val="FootnoteReference"/>
          <w:noProof/>
          <w:sz w:val="23"/>
        </w:rPr>
        <w:footnoteReference w:id="1"/>
      </w:r>
      <w:r>
        <w:rPr>
          <w:noProof/>
          <w:sz w:val="23"/>
        </w:rPr>
        <w:t xml:space="preserve"> dėl aplinkos kokybės standartų vandens politikos srityje, su pakeitimais, padarytais Direktyva 2013/39/ES</w:t>
      </w:r>
      <w:r>
        <w:rPr>
          <w:rStyle w:val="FootnoteReference"/>
          <w:noProof/>
          <w:sz w:val="23"/>
        </w:rPr>
        <w:footnoteReference w:id="2"/>
      </w:r>
      <w:r>
        <w:rPr>
          <w:noProof/>
          <w:sz w:val="23"/>
        </w:rPr>
        <w:t>, nustatomi prioritetinių medžiagų, kurios Vandens pagrindų direktyvoje (2000/60/EB)</w:t>
      </w:r>
      <w:r>
        <w:rPr>
          <w:rStyle w:val="FootnoteReference"/>
          <w:noProof/>
          <w:sz w:val="23"/>
        </w:rPr>
        <w:footnoteReference w:id="3"/>
      </w:r>
      <w:r>
        <w:rPr>
          <w:noProof/>
          <w:sz w:val="23"/>
        </w:rPr>
        <w:t xml:space="preserve"> nurodytos kaip visoje ES keliančios didelį pavojų vandens ekosistemoms arba per jas persiduodančios medžiagos, aplinkos kokybės standartai. Direktyva 2008/105/EB yra Vandens pagrindų direktyvos pagalbinis teisės aktas, kuriuo siekiama apsaugoti, atkurti ir pagerinti vandens ekosistemų būklę.</w:t>
      </w:r>
    </w:p>
    <w:p>
      <w:pPr>
        <w:pStyle w:val="Default"/>
        <w:jc w:val="both"/>
        <w:rPr>
          <w:noProof/>
          <w:sz w:val="23"/>
          <w:szCs w:val="23"/>
        </w:rPr>
      </w:pPr>
    </w:p>
    <w:p>
      <w:pPr>
        <w:pStyle w:val="Default"/>
        <w:jc w:val="both"/>
        <w:rPr>
          <w:noProof/>
          <w:sz w:val="23"/>
          <w:szCs w:val="23"/>
        </w:rPr>
      </w:pPr>
      <w:r>
        <w:rPr>
          <w:noProof/>
          <w:sz w:val="23"/>
        </w:rPr>
        <w:t>Direktyva 2008/105/EB (su pakeitimais) Komisijai suteikiami įgaliojimai priimti deleguotuosius aktus siekiant suderinti direktyvos I priedo B dalies 3 punkto specifikacijas su mokslo ar technikos pokyčiais, konkrečiai, specifikacijas, susijusias su frakcija</w:t>
      </w:r>
      <w:r>
        <w:rPr>
          <w:rStyle w:val="FootnoteReference"/>
          <w:noProof/>
          <w:sz w:val="23"/>
        </w:rPr>
        <w:footnoteReference w:id="4"/>
      </w:r>
      <w:r>
        <w:rPr>
          <w:noProof/>
          <w:sz w:val="23"/>
        </w:rPr>
        <w:t xml:space="preserve">, kurioje nustatomi vandens aplinkos kokybės standartai, ir specifikacijas, susijusias su metalų atitiktimi aplinkos kokybės standartams. </w:t>
      </w:r>
    </w:p>
    <w:p>
      <w:pPr>
        <w:pStyle w:val="Default"/>
        <w:jc w:val="both"/>
        <w:rPr>
          <w:noProof/>
          <w:sz w:val="23"/>
          <w:szCs w:val="23"/>
        </w:rPr>
      </w:pPr>
    </w:p>
    <w:p>
      <w:pPr>
        <w:pStyle w:val="Default"/>
        <w:jc w:val="both"/>
        <w:rPr>
          <w:noProof/>
          <w:sz w:val="23"/>
          <w:szCs w:val="23"/>
        </w:rPr>
      </w:pPr>
      <w:r>
        <w:rPr>
          <w:noProof/>
          <w:sz w:val="23"/>
        </w:rPr>
        <w:t xml:space="preserve">2. TEISINIS PAGRINDAS </w:t>
      </w:r>
    </w:p>
    <w:p>
      <w:pPr>
        <w:pStyle w:val="Default"/>
        <w:jc w:val="both"/>
        <w:rPr>
          <w:noProof/>
          <w:sz w:val="23"/>
          <w:szCs w:val="23"/>
        </w:rPr>
      </w:pPr>
      <w:r>
        <w:rPr>
          <w:noProof/>
          <w:sz w:val="23"/>
        </w:rPr>
        <w:t xml:space="preserve">Šią ataskaitą privaloma pateikti pagal Direktyvos 2008/105/EB, su pakeitimais, padarytais Direktyva 2013/39/ES, 9a straipsnio 2 dalį. Pagal šią nuostatą įgaliojimai priimti deleguotuosius aktus, kaip nurodyta 3 straipsnio 8 dalyje, Komisijai suteikti šešerių metų laikotarpiui nuo 2013 m. rugsėjo 13 d. Likus ne mažiau kaip devyniems mėnesiams iki šešerių metų laikotarpio pabaigos Komisija turi parengti naudojimosi įgaliojimais ataskaitą. Įgaliojimai savaime pratęsiami tokios pačios trukmės laikotarpiams, išskyrus atvejus, kai Europos Parlamentas ar Taryba prieštarauja tokiam pratęsimui pagal 9a straipsnį. </w:t>
      </w:r>
    </w:p>
    <w:p>
      <w:pPr>
        <w:pStyle w:val="Default"/>
        <w:jc w:val="both"/>
        <w:rPr>
          <w:noProof/>
          <w:sz w:val="23"/>
          <w:szCs w:val="23"/>
        </w:rPr>
      </w:pPr>
    </w:p>
    <w:p>
      <w:pPr>
        <w:pStyle w:val="Default"/>
        <w:jc w:val="both"/>
        <w:rPr>
          <w:noProof/>
          <w:sz w:val="23"/>
          <w:szCs w:val="23"/>
        </w:rPr>
      </w:pPr>
      <w:r>
        <w:rPr>
          <w:noProof/>
          <w:sz w:val="23"/>
        </w:rPr>
        <w:t xml:space="preserve">3. NAUDOJIMASIS ĮGALIOJIMAIS </w:t>
      </w:r>
    </w:p>
    <w:p>
      <w:pPr>
        <w:pStyle w:val="Default"/>
        <w:jc w:val="both"/>
        <w:rPr>
          <w:noProof/>
          <w:sz w:val="23"/>
          <w:szCs w:val="23"/>
        </w:rPr>
      </w:pPr>
      <w:r>
        <w:rPr>
          <w:noProof/>
          <w:sz w:val="23"/>
        </w:rPr>
        <w:t xml:space="preserve">Toks pat įgaliojimas buvo įtrauktas į pradinę Direktyvos 2008/105/EB versiją, tačiau juo buvo pasinaudota tik tada, kai 2013 m. direktyva buvo iš dalies pakeista taikant įprastą teisėkūros procedūrą. 2013 m. pakeitimu buvo padaryti tam tikri pakeitimai I priedo B dalies 3 punkto tekste siekiant atsižvelgti į techninę pažangą, susijusią su metalų atitiktimi aplinkos kokybės standartams, visų pirma, siekiant pripažinti nustatytus dviem metalams gėluose vandenyse taikomus biologiškai įsisavinamus metinius aplinkos kokybės standartų vidurkius, ir pažangą, padarytą biologinio įsisavinamumo modeliavimo srityje. </w:t>
      </w:r>
    </w:p>
    <w:p>
      <w:pPr>
        <w:pStyle w:val="Default"/>
        <w:jc w:val="both"/>
        <w:rPr>
          <w:noProof/>
          <w:sz w:val="23"/>
          <w:szCs w:val="23"/>
        </w:rPr>
      </w:pPr>
      <w:r>
        <w:rPr>
          <w:noProof/>
          <w:sz w:val="23"/>
        </w:rPr>
        <w:t xml:space="preserve"> </w:t>
      </w:r>
    </w:p>
    <w:p>
      <w:pPr>
        <w:pStyle w:val="Default"/>
        <w:jc w:val="both"/>
        <w:rPr>
          <w:noProof/>
          <w:sz w:val="23"/>
          <w:szCs w:val="23"/>
        </w:rPr>
      </w:pPr>
      <w:r>
        <w:rPr>
          <w:noProof/>
          <w:sz w:val="23"/>
        </w:rPr>
        <w:t>Nuo tada nebuvo jokių mokslinių ir techninių pokyčių, dėl kurių būtų reikėję papildomai keisti I priedo B dalies 3 punktą, todėl ataskaitiniu laikotarpiu Komisija jai suteiktais įgaliojimais nepasinaudojo. Tačiau ateityje jai gali prireikti pasinaudoti jai suteiktais įgaliojimais, visų pirma dėl to, kad poreikis atsižvelgti į atitinkamus mokslinius ar techninius pokyčius gali atsirasti kitu laiku, nei ateityje iškilsiantis poreikis daryti direktyvos pakeitimus.</w:t>
      </w:r>
    </w:p>
    <w:p>
      <w:pPr>
        <w:rPr>
          <w:rFonts w:ascii="Times New Roman" w:hAnsi="Times New Roman" w:cs="Times New Roman"/>
          <w:noProof/>
          <w:color w:val="000000"/>
          <w:sz w:val="23"/>
          <w:szCs w:val="23"/>
        </w:rPr>
      </w:pPr>
      <w:r>
        <w:rPr>
          <w:noProof/>
        </w:rPr>
        <w:br w:type="page"/>
      </w:r>
    </w:p>
    <w:p>
      <w:pPr>
        <w:pStyle w:val="Default"/>
        <w:jc w:val="both"/>
        <w:rPr>
          <w:noProof/>
          <w:sz w:val="23"/>
          <w:szCs w:val="23"/>
        </w:rPr>
      </w:pPr>
    </w:p>
    <w:p>
      <w:pPr>
        <w:pStyle w:val="Default"/>
        <w:jc w:val="both"/>
        <w:rPr>
          <w:noProof/>
          <w:sz w:val="23"/>
          <w:szCs w:val="23"/>
        </w:rPr>
      </w:pPr>
      <w:r>
        <w:rPr>
          <w:noProof/>
          <w:sz w:val="23"/>
        </w:rPr>
        <w:t xml:space="preserve">4. IŠVADA </w:t>
      </w:r>
    </w:p>
    <w:p>
      <w:pPr>
        <w:jc w:val="both"/>
        <w:rPr>
          <w:rFonts w:ascii="Times New Roman" w:hAnsi="Times New Roman" w:cs="Times New Roman"/>
          <w:noProof/>
          <w:color w:val="000000"/>
          <w:sz w:val="23"/>
          <w:szCs w:val="23"/>
        </w:rPr>
      </w:pPr>
      <w:r>
        <w:rPr>
          <w:rFonts w:ascii="Times New Roman" w:hAnsi="Times New Roman"/>
          <w:noProof/>
          <w:color w:val="000000"/>
          <w:sz w:val="23"/>
        </w:rPr>
        <w:t>Komisija nepasinaudojo jai pagal Direktyvą 2008/105/EB suteiktu įgaliojimu, tačiau ateityje gali reikėti tai padaryti. Ji prašo Europos Parlamento ir Tarybos susipažinti su šia ataskaita.</w:t>
      </w:r>
    </w:p>
    <w:sectPr>
      <w:headerReference w:type="even" r:id="rId15"/>
      <w:headerReference w:type="default" r:id="rId16"/>
      <w:footerReference w:type="even" r:id="rId17"/>
      <w:footerReference w:type="default" r:id="rId18"/>
      <w:headerReference w:type="first" r:id="rId19"/>
      <w:footerReference w:type="first" r:id="rId20"/>
      <w:pgSz w:w="14175" w:h="16838"/>
      <w:pgMar w:top="1417" w:right="3686"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98546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lang w:val="pl-PL"/>
        </w:rPr>
      </w:pPr>
      <w:r>
        <w:rPr>
          <w:rStyle w:val="FootnoteReference"/>
        </w:rPr>
        <w:footnoteRef/>
      </w:r>
      <w:r>
        <w:t xml:space="preserve"> </w:t>
      </w:r>
      <w:r>
        <w:rPr>
          <w:i/>
        </w:rPr>
        <w:t>OL L 348, 2008 12 24, p. 84–97.</w:t>
      </w:r>
    </w:p>
  </w:footnote>
  <w:footnote w:id="2">
    <w:p>
      <w:pPr>
        <w:pStyle w:val="FootnoteText"/>
        <w:rPr>
          <w:lang w:val="pl-PL"/>
        </w:rPr>
      </w:pPr>
      <w:r>
        <w:rPr>
          <w:rStyle w:val="FootnoteReference"/>
        </w:rPr>
        <w:footnoteRef/>
      </w:r>
      <w:r>
        <w:t xml:space="preserve"> </w:t>
      </w:r>
      <w:r>
        <w:rPr>
          <w:i/>
        </w:rPr>
        <w:t>OL L 226, 2013 8 24, p. 1–17.</w:t>
      </w:r>
    </w:p>
  </w:footnote>
  <w:footnote w:id="3">
    <w:p>
      <w:pPr>
        <w:pStyle w:val="FootnoteText"/>
        <w:rPr>
          <w:lang w:val="pl-PL"/>
        </w:rPr>
      </w:pPr>
      <w:r>
        <w:rPr>
          <w:rStyle w:val="FootnoteReference"/>
        </w:rPr>
        <w:footnoteRef/>
      </w:r>
      <w:r>
        <w:t xml:space="preserve"> </w:t>
      </w:r>
      <w:r>
        <w:rPr>
          <w:i/>
        </w:rPr>
        <w:t>OL L 327, 2000 12 22, p. 1–73.</w:t>
      </w:r>
    </w:p>
  </w:footnote>
  <w:footnote w:id="4">
    <w:p>
      <w:pPr>
        <w:pStyle w:val="FootnoteText"/>
      </w:pPr>
      <w:r>
        <w:rPr>
          <w:rStyle w:val="FootnoteReference"/>
        </w:rPr>
        <w:footnoteRef/>
      </w:r>
      <w:r>
        <w:t xml:space="preserve"> T. y. visas vandens mėginys arba ištirpusi frakcija.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0077006C-453C-4327-ACAC-6227F6B40EC2"/>
    <w:docVar w:name="LW_COVERPAGE_TYPE" w:val="1"/>
    <w:docVar w:name="LW_CROSSREFERENCE" w:val="&lt;UNUSED&gt;"/>
    <w:docVar w:name="LW_DocType" w:val="NORMAL"/>
    <w:docVar w:name="LW_EMISSION" w:val="2018 12 17"/>
    <w:docVar w:name="LW_EMISSION_ISODATE" w:val="2018-12-17"/>
    <w:docVar w:name="LW_EMISSION_LOCATION" w:val="BRX"/>
    <w:docVar w:name="LW_EMISSION_PREFIX" w:val="Briuselis, "/>
    <w:docVar w:name="LW_EMISSION_SUFFIX" w:val=" "/>
    <w:docVar w:name="LW_ID_DOCTYPE_NONLW" w:val="CP-005"/>
    <w:docVar w:name="LW_LANGUE" w:val="LT"/>
    <w:docVar w:name="LW_LEVEL_OF_SENSITIVITY" w:val="Standard treatmen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18) 84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Bold&gt;d\u279?l naudojimosi \u303?galiojimais priimti deleguotuosius aktus, suteiktas Komisijai pagal Direktyv\u261? 2008/105/ES d\u279?l aplinkos kokyb\u279?s standart\u371? vandens politikos srityje&lt;/FMT&gt;"/>
    <w:docVar w:name="LW_TYPE.DOC.CP" w:val="KOMISIJOS ATASKAITA TARYBAI IR EUROPOS PARLAMENTUI"/>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DefaultChar">
    <w:name w:val="Default Char"/>
    <w:basedOn w:val="DefaultParagraphFont"/>
    <w:link w:val="Default"/>
    <w:rPr>
      <w:rFonts w:ascii="Times New Roman" w:hAnsi="Times New Roman" w:cs="Times New Roman"/>
      <w:color w:val="000000"/>
      <w:sz w:val="24"/>
      <w:szCs w:val="24"/>
    </w:rPr>
  </w:style>
  <w:style w:type="character" w:customStyle="1" w:styleId="FooterCoverPageChar">
    <w:name w:val="Footer Cover Page Char"/>
    <w:basedOn w:val="DefaultChar"/>
    <w:link w:val="FooterCoverPage"/>
    <w:rPr>
      <w:rFonts w:ascii="Times New Roman" w:hAnsi="Times New Roman" w:cs="Times New Roman"/>
      <w:color w:val="000000"/>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Char"/>
    <w:link w:val="FooterSensitivity"/>
    <w:rPr>
      <w:rFonts w:ascii="Times New Roman" w:hAnsi="Times New Roman" w:cs="Times New Roman"/>
      <w:b/>
      <w:color w:val="000000"/>
      <w:sz w:val="32"/>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Char"/>
    <w:link w:val="HeaderCoverPage"/>
    <w:rPr>
      <w:rFonts w:ascii="Times New Roman" w:hAnsi="Times New Roman" w:cs="Times New Roman"/>
      <w:color w:val="000000"/>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Char"/>
    <w:link w:val="HeaderSensitivity"/>
    <w:rPr>
      <w:rFonts w:ascii="Times New Roman" w:hAnsi="Times New Roman" w:cs="Times New Roman"/>
      <w:b/>
      <w:color w:val="000000"/>
      <w:sz w:val="32"/>
      <w:szCs w:val="24"/>
    </w:rPr>
  </w:style>
  <w:style w:type="character" w:customStyle="1" w:styleId="a5jakv1rydqstbldxj0">
    <w:name w:val="a5_jakv1rydqstbldxj_0"/>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DefaultChar">
    <w:name w:val="Default Char"/>
    <w:basedOn w:val="DefaultParagraphFont"/>
    <w:link w:val="Default"/>
    <w:rPr>
      <w:rFonts w:ascii="Times New Roman" w:hAnsi="Times New Roman" w:cs="Times New Roman"/>
      <w:color w:val="000000"/>
      <w:sz w:val="24"/>
      <w:szCs w:val="24"/>
    </w:rPr>
  </w:style>
  <w:style w:type="character" w:customStyle="1" w:styleId="FooterCoverPageChar">
    <w:name w:val="Footer Cover Page Char"/>
    <w:basedOn w:val="DefaultChar"/>
    <w:link w:val="FooterCoverPage"/>
    <w:rPr>
      <w:rFonts w:ascii="Times New Roman" w:hAnsi="Times New Roman" w:cs="Times New Roman"/>
      <w:color w:val="000000"/>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Char"/>
    <w:link w:val="FooterSensitivity"/>
    <w:rPr>
      <w:rFonts w:ascii="Times New Roman" w:hAnsi="Times New Roman" w:cs="Times New Roman"/>
      <w:b/>
      <w:color w:val="000000"/>
      <w:sz w:val="32"/>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Char"/>
    <w:link w:val="HeaderCoverPage"/>
    <w:rPr>
      <w:rFonts w:ascii="Times New Roman" w:hAnsi="Times New Roman" w:cs="Times New Roman"/>
      <w:color w:val="000000"/>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Char"/>
    <w:link w:val="HeaderSensitivity"/>
    <w:rPr>
      <w:rFonts w:ascii="Times New Roman" w:hAnsi="Times New Roman" w:cs="Times New Roman"/>
      <w:b/>
      <w:color w:val="000000"/>
      <w:sz w:val="32"/>
      <w:szCs w:val="24"/>
    </w:rPr>
  </w:style>
  <w:style w:type="character" w:customStyle="1" w:styleId="a5jakv1rydqstbldxj0">
    <w:name w:val="a5_jakv1rydqstbldxj_0"/>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6DBFA-2DCE-4723-96FD-C133F4AB0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385</Words>
  <Characters>2737</Characters>
  <Application>Microsoft Office Word</Application>
  <DocSecurity>0</DocSecurity>
  <Lines>49</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16</cp:revision>
  <dcterms:created xsi:type="dcterms:W3CDTF">2018-11-12T12:20:00Z</dcterms:created>
  <dcterms:modified xsi:type="dcterms:W3CDTF">2018-12-10T12:54:00Z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6.0.1, Build 20180503</vt:lpwstr>
  </property>
  <property name="OP_sanitized" fmtid="{D5CDD505-2E9C-101B-9397-08002B2CF9AE}" pid="8">
    <vt:lpwstr>True</vt:lpwstr>
  </property>
</Properties>
</file>