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64EE008-CD26-44AF-9A88-EA1C53E6994C" style="width:450.35pt;height:445.6pt">
            <v:imagedata r:id="rId12" o:title=""/>
          </v:shape>
        </w:pict>
      </w:r>
    </w:p>
    <w:bookmarkEnd w:id="0"/>
    <w:p>
      <w:pPr>
        <w:rPr>
          <w:rFonts w:ascii="Times New Roman" w:hAnsi="Times New Roman" w:cs="Times New Roman"/>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smallCaps/>
          <w:noProof/>
          <w:sz w:val="24"/>
          <w:szCs w:val="24"/>
        </w:rPr>
      </w:pPr>
      <w:bookmarkStart w:id="1" w:name="_GoBack"/>
      <w:bookmarkEnd w:id="1"/>
      <w:r>
        <w:rPr>
          <w:rFonts w:ascii="Times New Roman" w:hAnsi="Times New Roman"/>
          <w:b/>
          <w:smallCaps/>
          <w:noProof/>
          <w:sz w:val="24"/>
        </w:rPr>
        <w:lastRenderedPageBreak/>
        <w:t xml:space="preserve">Komisijos gairės dėl Sąjungos duomenų apsaugos teisės aktų taikymo rinkimams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Bendravimas su rinkėjais yra demokratinio proceso pagrindas. Politinės partijos laikosi įprastos praktikos – komunikaciją su rinkėjų auditorija pritaiko prie konkrečių jų interesų. Todėl savaime suprantama, kad rinkimuose dalyvaujantys subjektai ieško galimybių panaudoti duomenis taip, kad laimėtų balsų. Dėl populiarėjančių skaitmeninių priemonių ir internetinių platformų atsirado daugybė naujų galimybių įtraukti žmones į politines diskusijas.</w:t>
      </w:r>
    </w:p>
    <w:p>
      <w:pPr>
        <w:jc w:val="both"/>
        <w:rPr>
          <w:rFonts w:ascii="Times New Roman" w:hAnsi="Times New Roman" w:cs="Times New Roman"/>
          <w:noProof/>
          <w:sz w:val="24"/>
          <w:szCs w:val="24"/>
        </w:rPr>
      </w:pPr>
      <w:r>
        <w:rPr>
          <w:rFonts w:ascii="Times New Roman" w:hAnsi="Times New Roman"/>
          <w:noProof/>
          <w:sz w:val="24"/>
        </w:rPr>
        <w:t>Tačiau tikslinės orientacijos į rinkėjus priemonės, pagrįstos neteisėtu asmens duomenų tvarkymu, apie kurias sužinota atskleidus faktus apie „Cambridge Analytica“, yra kitokio pobūdžio. Jos atskleidžia šiuolaikinių technologijų keliamas problemas ir parodo, kad duomenų apsauga rinkimų metu yra ypač svarbi. Tai tapo svarbiu ne tik pavienių asmenų, bet ir mūsų demokratijos veikimo klausimu, nes minėtos priemonės kelia didelę grėsmę sąžiningam, demokratiniam rinkimų procesui ir gali pakenkti atviroms diskusijoms, sąžiningumui ir skaidrumui, kurie yra esminiai demokratijos elementai. Komisija mano, kad šį klausimą labai svarbu išspręsti siekiant atkurti visuomenės pasitikėjimą rinkimų proceso sąžiningumu.</w:t>
      </w:r>
    </w:p>
    <w:p>
      <w:pPr>
        <w:jc w:val="both"/>
        <w:rPr>
          <w:rFonts w:ascii="Times New Roman" w:hAnsi="Times New Roman" w:cs="Times New Roman"/>
          <w:noProof/>
          <w:sz w:val="24"/>
          <w:szCs w:val="24"/>
        </w:rPr>
      </w:pPr>
      <w:r>
        <w:rPr>
          <w:rFonts w:ascii="Times New Roman" w:hAnsi="Times New Roman"/>
          <w:noProof/>
          <w:sz w:val="24"/>
        </w:rPr>
        <w:t>Pirmosiose Jungtinės Karalystės duomenų apsaugos institucijos (angl. – Information Commissioner’s Office (ICO)) ataskaitose apie duomenų analizės naudojimą per politines kampanijas</w:t>
      </w:r>
      <w:r>
        <w:rPr>
          <w:rStyle w:val="FootnoteReference"/>
          <w:rFonts w:ascii="Times New Roman" w:hAnsi="Times New Roman"/>
          <w:noProof/>
          <w:sz w:val="24"/>
        </w:rPr>
        <w:footnoteReference w:id="2"/>
      </w:r>
      <w:r>
        <w:rPr>
          <w:rFonts w:ascii="Times New Roman" w:hAnsi="Times New Roman"/>
          <w:noProof/>
          <w:sz w:val="24"/>
        </w:rPr>
        <w:t xml:space="preserve"> ir Europos duomenų apsaugos priežiūros pareigūno nuomonėje dėl manipuliacijų internete ir asmens duomenų</w:t>
      </w:r>
      <w:r>
        <w:rPr>
          <w:rStyle w:val="FootnoteReference"/>
          <w:rFonts w:ascii="Times New Roman" w:hAnsi="Times New Roman"/>
          <w:noProof/>
          <w:sz w:val="24"/>
        </w:rPr>
        <w:footnoteReference w:id="3"/>
      </w:r>
      <w:r>
        <w:rPr>
          <w:rFonts w:ascii="Times New Roman" w:hAnsi="Times New Roman"/>
          <w:noProof/>
          <w:sz w:val="24"/>
        </w:rPr>
        <w:t xml:space="preserve"> patvirtinta, kad rinkimų metu itin tikslinės orientacijos, iš pradžių naudotos komerciniais tikslais, poveikis didėja.</w:t>
      </w:r>
    </w:p>
    <w:p>
      <w:pPr>
        <w:jc w:val="both"/>
        <w:rPr>
          <w:rFonts w:ascii="Times New Roman" w:hAnsi="Times New Roman" w:cs="Times New Roman"/>
          <w:noProof/>
          <w:sz w:val="24"/>
          <w:szCs w:val="24"/>
        </w:rPr>
      </w:pPr>
      <w:r>
        <w:rPr>
          <w:rFonts w:ascii="Times New Roman" w:hAnsi="Times New Roman"/>
          <w:noProof/>
          <w:sz w:val="24"/>
        </w:rPr>
        <w:t>Apskritai duomenų apsaugos klausimą rinkimų metu sprendžia kelios duomenų apsaugos institucijos</w:t>
      </w:r>
      <w:r>
        <w:rPr>
          <w:rStyle w:val="FootnoteReference"/>
          <w:rFonts w:ascii="Times New Roman" w:hAnsi="Times New Roman"/>
          <w:noProof/>
          <w:sz w:val="24"/>
        </w:rPr>
        <w:footnoteReference w:id="4"/>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Europos Parlamento ir Tarybos reglamentu (ES)</w:t>
      </w:r>
      <w:r>
        <w:rPr>
          <w:rFonts w:ascii="Times New Roman" w:hAnsi="Times New Roman"/>
          <w:noProof/>
          <w:sz w:val="18"/>
        </w:rPr>
        <w:t> </w:t>
      </w:r>
      <w:r>
        <w:rPr>
          <w:rFonts w:ascii="Times New Roman" w:hAnsi="Times New Roman"/>
          <w:noProof/>
          <w:sz w:val="24"/>
        </w:rPr>
        <w:t>2016/679 (toliau – Bendrasis duomenų apsaugos reglamentas)</w:t>
      </w:r>
      <w:r>
        <w:rPr>
          <w:rStyle w:val="FootnoteReference"/>
          <w:rFonts w:ascii="Times New Roman" w:hAnsi="Times New Roman"/>
          <w:noProof/>
          <w:sz w:val="24"/>
        </w:rPr>
        <w:footnoteReference w:id="5"/>
      </w:r>
      <w:r>
        <w:rPr>
          <w:rFonts w:ascii="Times New Roman" w:hAnsi="Times New Roman"/>
          <w:noProof/>
          <w:sz w:val="24"/>
        </w:rPr>
        <w:t xml:space="preserve">, kuris Europos Sąjungoje pradėtas tiesiogiai taikyti 2018 m. gegužės 25 d., Europos Sąjungai suteikiamos priemonės, kurios yra būtinos sprendžiant neteisėto </w:t>
      </w:r>
      <w:r>
        <w:rPr>
          <w:rFonts w:ascii="Times New Roman" w:hAnsi="Times New Roman"/>
          <w:noProof/>
          <w:sz w:val="24"/>
        </w:rPr>
        <w:lastRenderedPageBreak/>
        <w:t xml:space="preserve">asmens duomenų panaudojimo rinkimų metu atvejus. Tačiau tik ryžtingas ir nuoseklus taisyklių taikymas padės apsaugoti demokratinės politikos vientisumą. Kadangi taisyklės Europos lygmeniu vykstančiuose rinkimuose pirmą kartą bus taikomos per būsimus Europos Parlamento rinkimus, svarbu užtikrinti aiškumą rinkimų procesuose dalyvaujantiems subjektams, pavyzdžiui, nacionalinėms rinkimų institucijoms, politinėms partijoms, duomenų tarpininkams ir analitikams, socialinių tinklų platformoms ir internetinių reklamų tinklams. Todėl šių rekomendacijų tikslas – atkreipti dėmesį į rinkimų metu svarbias duomenų apsaugos prievoles. Nacionalinės duomenų apsaugos institucijos, kurios veikia kaip Bendrojo duomenų apsaugos reglamento vykdymą užtikrinantys subjektai, turi visapusiškai išnaudoti savo sustiprintus įgaliojimus, kad tirtų galimus pažeidimus, visų pirma susijusius su tiksline orientacija į rinkėjus.  </w:t>
      </w:r>
    </w:p>
    <w:p>
      <w:pPr>
        <w:pStyle w:val="Heading1"/>
        <w:numPr>
          <w:ilvl w:val="0"/>
          <w:numId w:val="1"/>
        </w:numPr>
        <w:spacing w:before="240" w:after="240"/>
        <w:rPr>
          <w:rFonts w:ascii="Times New Roman" w:hAnsi="Times New Roman" w:cs="Times New Roman"/>
          <w:noProof/>
          <w:color w:val="auto"/>
          <w:sz w:val="24"/>
        </w:rPr>
      </w:pPr>
      <w:r>
        <w:rPr>
          <w:rFonts w:ascii="Times New Roman" w:hAnsi="Times New Roman"/>
          <w:noProof/>
          <w:color w:val="auto"/>
          <w:sz w:val="24"/>
        </w:rPr>
        <w:t>Europos Sąjungos duomenų apsaugos sistema</w:t>
      </w:r>
    </w:p>
    <w:p>
      <w:pPr>
        <w:jc w:val="both"/>
        <w:rPr>
          <w:rFonts w:ascii="Times New Roman" w:hAnsi="Times New Roman" w:cs="Times New Roman"/>
          <w:noProof/>
          <w:sz w:val="24"/>
          <w:szCs w:val="24"/>
        </w:rPr>
      </w:pPr>
      <w:r>
        <w:rPr>
          <w:rFonts w:ascii="Times New Roman" w:hAnsi="Times New Roman"/>
          <w:noProof/>
          <w:sz w:val="24"/>
        </w:rPr>
        <w:t>Asmens duomenų apsauga yra pagrindinė teisė, įtvirtinta Europos Sąjungos pagrindinių teisių chartijoje (8 straipsnis) ir Sutartyse (SESV 16 straipsnis). Bendruoju duomenų apsaugos reglamentu sustiprinama duomenų apsaugos sistema, o Europos Sąjungai suteikiamos geresnės priemonės ateityje nagrinėti piktnaudžiavimo asmens duomenimis atvejus ir užtikrinama didesnė visų subjektų atskaitomybė ir atsakomybė asmens duomenų tvarkymo srityje.</w:t>
      </w:r>
    </w:p>
    <w:p>
      <w:pPr>
        <w:jc w:val="both"/>
        <w:rPr>
          <w:rFonts w:ascii="Times New Roman" w:hAnsi="Times New Roman" w:cs="Times New Roman"/>
          <w:noProof/>
          <w:sz w:val="24"/>
          <w:szCs w:val="24"/>
        </w:rPr>
      </w:pPr>
      <w:r>
        <w:rPr>
          <w:rFonts w:ascii="Times New Roman" w:hAnsi="Times New Roman"/>
          <w:noProof/>
          <w:sz w:val="24"/>
        </w:rPr>
        <w:t>Reglamentu Europos Sąjungoje esantiems asmenims suteikiamos papildomos ir tvirtesnės teisės, kurios yra ypač svarbios rinkimų metu. Duomenų apsaugos tvarkai, galiojusiai Europos Sąjungoje pastaruosius 20 metų, visų pirma kenkė tai, kad skirtingose valstybėse narėse taisyklės buvo taikomos nevienodai, nebuvo jokių oficialių nacionalinių duomenų apsaugos institucijų bendradarbiavimo mechanizmų ir šios institucijos turėjo ribotus vykdymo užtikrinimo įgaliojimus. Bendruoju duomenų apsaugos reglamentu siekta pašalinti šiuos trūkumus: remiantis patikimais duomenų apsaugos principais, reglamente suderinamos pagrindinės sąvokos, pavyzdžiui, sutikimo sąvoka, sustiprinamos asmenų teisės gauti informaciją apie jų duomenų tvarkymą, paaiškinamos sąlygos, kuriomis galima toliau dalytis asmens duomenimis, nustatomos asmens duomenų saugumo pažeidimus reglamentuojančios taisyklės, nustatomas duomenų apsaugos institucijų bendradarbiavimo nagrinėjant tarpvalstybines bylas mechanizmas ir sustiprinami jų vykdymo užtikrinimo įgaliojimai. ES duomenų apsaugos taisyklių pažeidimo atveju</w:t>
      </w:r>
      <w:r>
        <w:rPr>
          <w:rFonts w:ascii="Times New Roman" w:hAnsi="Times New Roman"/>
          <w:noProof/>
        </w:rPr>
        <w:t xml:space="preserve"> </w:t>
      </w:r>
      <w:r>
        <w:rPr>
          <w:rFonts w:ascii="Times New Roman" w:hAnsi="Times New Roman"/>
          <w:noProof/>
          <w:sz w:val="24"/>
        </w:rPr>
        <w:t>duomenų apsaugos institucijos turi įgaliojimus atlikti tyrimą (pavyzdžiui, reikalauti pateikti informaciją, atlikti patikrinimus duomenų valdytojų ir duomenų tvarkytojų patalpose) ir imtis elgesio koregavimo priemonių (pavyzdžiui, teikti įspėjimus arba papeikimus, arba laikinai ar neribotam laikui sustabdyti duomenų tvarkymą). Joms taip pat suteikti įgaliojimai skirti iki 20 mln. EUR dydžio baudas arba, jei tai yra juridinis asmuo, baudas, kurių dydis lygus 4 proc. metinės juridinio asmens apyvartos</w:t>
      </w:r>
      <w:r>
        <w:rPr>
          <w:rStyle w:val="FootnoteReference"/>
          <w:rFonts w:ascii="Times New Roman" w:hAnsi="Times New Roman"/>
          <w:noProof/>
          <w:sz w:val="24"/>
        </w:rPr>
        <w:footnoteReference w:id="6"/>
      </w:r>
      <w:r>
        <w:rPr>
          <w:rFonts w:ascii="Times New Roman" w:hAnsi="Times New Roman"/>
          <w:noProof/>
          <w:sz w:val="24"/>
        </w:rPr>
        <w:t>.</w:t>
      </w:r>
      <w:r>
        <w:rPr>
          <w:rFonts w:ascii="Times New Roman" w:hAnsi="Times New Roman"/>
          <w:noProof/>
        </w:rPr>
        <w:t xml:space="preserve"> </w:t>
      </w:r>
      <w:r>
        <w:rPr>
          <w:rFonts w:ascii="Times New Roman" w:hAnsi="Times New Roman"/>
          <w:noProof/>
          <w:sz w:val="24"/>
        </w:rPr>
        <w:t xml:space="preserve">Priimdamos sprendimą dėl baudų ir jų dydžio, duomenų apsaugos institucijos įvertina konkrečios bylos aplinkybes ir veiksnius, pavyzdžiui, duomenų tvarkymo pobūdį, </w:t>
      </w:r>
      <w:r>
        <w:rPr>
          <w:rFonts w:ascii="Times New Roman" w:hAnsi="Times New Roman"/>
          <w:noProof/>
          <w:sz w:val="24"/>
        </w:rPr>
        <w:lastRenderedPageBreak/>
        <w:t>mastą ar tikslą, nukentėjusių asmenų skaičių ir jų patirtos žalos dydį</w:t>
      </w:r>
      <w:r>
        <w:rPr>
          <w:rStyle w:val="FootnoteReference"/>
          <w:rFonts w:ascii="Times New Roman" w:hAnsi="Times New Roman"/>
          <w:noProof/>
          <w:sz w:val="24"/>
        </w:rPr>
        <w:footnoteReference w:id="7"/>
      </w:r>
      <w:r>
        <w:rPr>
          <w:rFonts w:ascii="Times New Roman" w:hAnsi="Times New Roman"/>
          <w:noProof/>
          <w:sz w:val="24"/>
        </w:rPr>
        <w:t>. Tikėtina, kad rinkimuose pažeidimo rimtumas ir nukentėjusių asmenų skaičius bus didelis. Dėl šios priežasties gali būti skiriamos didelės baudos, visų pirma atsižvelgiant į piliečių pasitikėjimo demokratijos procesu klausimo svarbą.</w:t>
      </w:r>
    </w:p>
    <w:p>
      <w:pPr>
        <w:jc w:val="both"/>
        <w:rPr>
          <w:rFonts w:ascii="Times New Roman" w:hAnsi="Times New Roman" w:cs="Times New Roman"/>
          <w:noProof/>
          <w:sz w:val="24"/>
          <w:szCs w:val="24"/>
        </w:rPr>
      </w:pPr>
      <w:r>
        <w:rPr>
          <w:rFonts w:ascii="Times New Roman" w:hAnsi="Times New Roman"/>
          <w:noProof/>
          <w:sz w:val="24"/>
        </w:rPr>
        <w:t>Naujai sukurta Europos duomenų apsaugos valdyba, kurioje dalyvauja visos nacionalinės duomenų apsaugos institucijos, taip pat Europos duomenų apsaugos priežiūros pareigūnas, turi didelę įtaką taikant Bendrąjį duomenų apsaugos reglamentą ir šiuo tikslu skelbia gaires, rekomendacijas ir gerąją patirtį</w:t>
      </w:r>
      <w:r>
        <w:rPr>
          <w:rStyle w:val="FootnoteReference"/>
          <w:rFonts w:ascii="Times New Roman" w:hAnsi="Times New Roman"/>
          <w:noProof/>
          <w:sz w:val="24"/>
        </w:rPr>
        <w:footnoteReference w:id="8"/>
      </w:r>
      <w:r>
        <w:rPr>
          <w:rFonts w:ascii="Times New Roman" w:hAnsi="Times New Roman"/>
          <w:noProof/>
          <w:sz w:val="24"/>
        </w:rPr>
        <w:t>. Nacionalinės duomenų apsaugos institucijos, kurios veikia kaip Bendrojo duomenų apsaugos reglamento vykdymą užtikrinantys subjektai ir tiesioginiai suinteresuotųjų šalių kontaktiniai punktai, turi puikias galimybes užtikrinti papildomą teisinį tikrumą reglamento aiškinimo srityje. Komisija aktyviai remia šį darbą.</w:t>
      </w:r>
    </w:p>
    <w:p>
      <w:pPr>
        <w:jc w:val="both"/>
        <w:rPr>
          <w:rFonts w:ascii="Times New Roman" w:hAnsi="Times New Roman" w:cs="Times New Roman"/>
          <w:noProof/>
          <w:sz w:val="24"/>
          <w:szCs w:val="24"/>
        </w:rPr>
      </w:pPr>
      <w:r>
        <w:rPr>
          <w:rFonts w:ascii="Times New Roman" w:hAnsi="Times New Roman"/>
          <w:noProof/>
          <w:sz w:val="24"/>
        </w:rPr>
        <w:t>Direktyva dėl privatumo ir elektroninių ryšių, arba E. privatumo direktyva, (Europos Parlamento ir Tarybos direktyva 2002/58/EB</w:t>
      </w:r>
      <w:r>
        <w:rPr>
          <w:rStyle w:val="FootnoteReference"/>
          <w:rFonts w:ascii="Times New Roman" w:hAnsi="Times New Roman"/>
          <w:noProof/>
          <w:sz w:val="24"/>
        </w:rPr>
        <w:footnoteReference w:id="9"/>
      </w:r>
      <w:r>
        <w:rPr>
          <w:rFonts w:ascii="Times New Roman" w:hAnsi="Times New Roman"/>
          <w:noProof/>
          <w:sz w:val="24"/>
        </w:rPr>
        <w:t>) papildo Europos Sąjungos duomenų apsaugos sistemą ir yra svarbi rinkimų metu, nes į jos taikymo sritį patenka taisyklės dėl elektroninių nepageidaujamų pranešimų siuntimo, įskaitant tokių pranešimų siuntimą tiesioginės rinkodaros tikslais. E. privatumo direktyvoje taip pat nustatytos taisyklės dėl informacijos saugojimo ir prieigos prie jau saugomos informacijos gavimo, pavyzdžiui, taisyklės dėl slapukų, kurie galiniame įrenginyje, pavyzdžiui, išmaniajame telefone arba kompiuteryje, gali būti naudojami norint sekti naudotojo elgesį internete. Šiuo metu svarstomas Komisijos pasiūlymas dėl</w:t>
      </w:r>
      <w:r>
        <w:rPr>
          <w:rFonts w:ascii="Times New Roman" w:hAnsi="Times New Roman"/>
          <w:noProof/>
        </w:rPr>
        <w:t xml:space="preserve"> </w:t>
      </w:r>
      <w:r>
        <w:rPr>
          <w:rFonts w:ascii="Times New Roman" w:hAnsi="Times New Roman"/>
          <w:noProof/>
          <w:sz w:val="24"/>
        </w:rPr>
        <w:t>privatumo ir elektroninių ryšių reglamento (toliau – E. privatumo reglamentas)</w:t>
      </w:r>
      <w:r>
        <w:rPr>
          <w:rStyle w:val="FootnoteReference"/>
          <w:rFonts w:ascii="Times New Roman" w:hAnsi="Times New Roman"/>
          <w:noProof/>
          <w:sz w:val="24"/>
        </w:rPr>
        <w:footnoteReference w:id="10"/>
      </w:r>
      <w:r>
        <w:rPr>
          <w:rFonts w:ascii="Times New Roman" w:hAnsi="Times New Roman"/>
          <w:noProof/>
          <w:sz w:val="24"/>
        </w:rPr>
        <w:t xml:space="preserve"> yra pagrįstas tais pačiais principais kaip ir E. privatumo direktyva. Naujo reglamento taikymo sritis bus praplėsta ir apims ne tik telekomo operatorius, bet ir internete teikiamas elektroninių ryšių paslaugas. </w:t>
      </w:r>
    </w:p>
    <w:p>
      <w:pPr>
        <w:pStyle w:val="Heading1"/>
        <w:numPr>
          <w:ilvl w:val="0"/>
          <w:numId w:val="1"/>
        </w:numPr>
        <w:spacing w:before="240" w:after="240"/>
        <w:jc w:val="both"/>
        <w:rPr>
          <w:rFonts w:ascii="Times New Roman" w:hAnsi="Times New Roman" w:cs="Times New Roman"/>
          <w:noProof/>
          <w:color w:val="auto"/>
          <w:sz w:val="24"/>
          <w:szCs w:val="24"/>
        </w:rPr>
      </w:pPr>
      <w:r>
        <w:rPr>
          <w:rFonts w:ascii="Times New Roman" w:hAnsi="Times New Roman"/>
          <w:noProof/>
          <w:color w:val="auto"/>
          <w:sz w:val="24"/>
        </w:rPr>
        <w:t>Pagrindinės įvairių subjektų prievolės</w:t>
      </w:r>
    </w:p>
    <w:p>
      <w:pPr>
        <w:jc w:val="both"/>
        <w:rPr>
          <w:rFonts w:ascii="Times New Roman" w:hAnsi="Times New Roman" w:cs="Times New Roman"/>
          <w:noProof/>
          <w:sz w:val="24"/>
          <w:szCs w:val="24"/>
        </w:rPr>
      </w:pPr>
      <w:r>
        <w:rPr>
          <w:rFonts w:ascii="Times New Roman" w:hAnsi="Times New Roman"/>
          <w:noProof/>
          <w:sz w:val="24"/>
        </w:rPr>
        <w:t xml:space="preserve">Bendrasis duomenų apsaugos reglamentas taikomas visiems rinkimų metu aktyviai veikiantiems subjektams, pavyzdžiui, Europos ir nacionalinėms politinėms partijoms (toliau – politinės partijos), Europos ir nacionaliniams politiniams fondams (toliau – fondai), platformoms, duomenų analizės bendrovėms ir už rinkimų procesą atsakingoms valdžios institucijoms. Politinės partijos ir fondai asmens duomenis (pavyzdžiui, vardus, pavardes ir adresus) privalo tvarkyti teisėtai, sąžiningai, skaidriai ir tik konkrečiais tikslais. Jie negali toliau naudoti duomenų tokiu būdu, kuris yra nesuderinamas su tikslais, kuriais duomenys buvo surinkti iš pradžių. Duomenų tvarkymas žurnalistikos tikslais iš esmės taip pat patenka į Bendrojo duomenų apsaugos reglamento taikymo sritį, tačiau, atsižvelgiant į teisės į </w:t>
      </w:r>
      <w:r>
        <w:rPr>
          <w:rFonts w:ascii="Times New Roman" w:hAnsi="Times New Roman"/>
          <w:noProof/>
          <w:sz w:val="24"/>
        </w:rPr>
        <w:lastRenderedPageBreak/>
        <w:t>saviraišką ir informacijos laisvę svarbą demokratinėje visuomenėje, tokiam tvarkymui gali būti taikomos nacionalinėje teisėje nustatytos išimtys ir nukrypti leidžiančios nuostatos</w:t>
      </w:r>
      <w:r>
        <w:rPr>
          <w:rStyle w:val="FootnoteReference"/>
          <w:rFonts w:ascii="Times New Roman" w:hAnsi="Times New Roman"/>
          <w:noProof/>
          <w:sz w:val="24"/>
        </w:rPr>
        <w:footnoteReference w:id="11"/>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Asmens duomenų sąvoka yra kompleksinė. Asmens duomenys – tai visi su fiziniu asmeniu, kurio tapatybė nustatyta arba kurio tapatybę galima nustatyti, susiję duomenys. Rinkimų metu tvarkomus duomenis dažnai sudaro specialios asmens duomenų kategorijos (neskelbtini duomenys), pavyzdžiui, politinės pažiūros, narystė profesinėse sąjungose, etninė kilmė, lytinis gyvenimas ir pan., kuriems taikoma griežtesnė apsaugos tvarka</w:t>
      </w:r>
      <w:r>
        <w:rPr>
          <w:rStyle w:val="FootnoteReference"/>
          <w:rFonts w:ascii="Times New Roman" w:hAnsi="Times New Roman"/>
          <w:noProof/>
          <w:sz w:val="24"/>
        </w:rPr>
        <w:footnoteReference w:id="12"/>
      </w:r>
      <w:r>
        <w:rPr>
          <w:rFonts w:ascii="Times New Roman" w:hAnsi="Times New Roman"/>
          <w:noProof/>
          <w:sz w:val="24"/>
        </w:rPr>
        <w:t>. Be to, duomenų analitikai neskelbtinus duomenis (pavyzdžiui, duomenis apie politines pažiūras, taip pat religinius įsitikinimus ar lytinę orientaciją) gali išgauti iš paprastų duomenų rinkinių. Šių numanomų duomenų tvarkymas taip pat patenka į Bendrojo duomenų apsaugos reglamento taikymo sritį, todėl jiems turėtų būti taikomos visos duomenų apsaugos taisyklės.</w:t>
      </w:r>
    </w:p>
    <w:p>
      <w:pPr>
        <w:jc w:val="both"/>
        <w:rPr>
          <w:rFonts w:ascii="Times New Roman" w:hAnsi="Times New Roman" w:cs="Times New Roman"/>
          <w:noProof/>
          <w:sz w:val="24"/>
          <w:szCs w:val="24"/>
        </w:rPr>
      </w:pPr>
      <w:r>
        <w:rPr>
          <w:rFonts w:ascii="Times New Roman" w:hAnsi="Times New Roman"/>
          <w:noProof/>
          <w:sz w:val="24"/>
        </w:rPr>
        <w:t>Apibendrinant galima teigti, kad rinkimų metu Bendrasis duomenų apsaugos reglamentas yra iš esmės taikomas visoms duomenų tvarkymo operacijoms.</w:t>
      </w:r>
    </w:p>
    <w:p>
      <w:pPr>
        <w:pStyle w:val="ListParagraph"/>
        <w:ind w:left="0"/>
        <w:contextualSpacing w:val="0"/>
        <w:jc w:val="both"/>
        <w:rPr>
          <w:rFonts w:ascii="Times New Roman" w:hAnsi="Times New Roman" w:cs="Times New Roman"/>
          <w:noProof/>
          <w:sz w:val="24"/>
          <w:szCs w:val="24"/>
        </w:rPr>
      </w:pPr>
      <w:r>
        <w:rPr>
          <w:rFonts w:ascii="Times New Roman" w:hAnsi="Times New Roman"/>
          <w:noProof/>
          <w:sz w:val="24"/>
        </w:rPr>
        <w:t xml:space="preserve">Atsižvelgiant į poreikį suteikti rinkimų procese dalyvaujantiems subjektams aiškumo ir pirmąsias „Cambridge Analytica“ atvejo išvadas, kituose skirsniuose atkreipiamas dėmesys į duomenų apsaugos prievoles, kurios rinkimų metu yra itin aktualios. Jos apibendrinamos priede. </w:t>
      </w:r>
    </w:p>
    <w:p>
      <w:pPr>
        <w:pStyle w:val="Heading2"/>
        <w:keepNext/>
        <w:keepLines/>
        <w:numPr>
          <w:ilvl w:val="1"/>
          <w:numId w:val="1"/>
        </w:numPr>
        <w:spacing w:before="0" w:beforeAutospacing="0" w:after="240" w:afterAutospacing="0" w:line="276" w:lineRule="auto"/>
        <w:jc w:val="both"/>
        <w:rPr>
          <w:noProof/>
          <w:sz w:val="24"/>
        </w:rPr>
      </w:pPr>
      <w:r>
        <w:rPr>
          <w:noProof/>
          <w:sz w:val="24"/>
        </w:rPr>
        <w:t>Duomenų valdytojai ir duomenų tvarkytojai</w:t>
      </w:r>
    </w:p>
    <w:p>
      <w:pPr>
        <w:jc w:val="both"/>
        <w:rPr>
          <w:rFonts w:ascii="Times New Roman" w:hAnsi="Times New Roman" w:cs="Times New Roman"/>
          <w:noProof/>
          <w:sz w:val="24"/>
          <w:szCs w:val="24"/>
        </w:rPr>
      </w:pPr>
      <w:r>
        <w:rPr>
          <w:rFonts w:ascii="Times New Roman" w:hAnsi="Times New Roman"/>
          <w:noProof/>
          <w:sz w:val="24"/>
        </w:rPr>
        <w:t>Duomenų valdytojų ir bendrų duomenų valdytojų atskaitomybės sąvoka – esminė Bendrojo duomenų apsaugos reglamento sąvoka. Duomenų valdytojas – organizacija, kuri savarankiškai arba bendradarbiaudama su kitais sprendžia, kodėl ir kaip tvarkomi asmens duomenys; duomenų tvarkytojas tvarko asmens duomenis tik duomenų valdytojo vardu ir jo pavedimu (atsižvelgiant į sutartimi arba kitu teisiškai privalomu aktu nustatytus jų santykius). Duomenų valdytojai privalo nustatyti priemones, kurios atitiktų riziką, taip pat iš pat pradžių įgyvendinti pritaikytąją duomenų apsaugą ir gebėti įrodyti atitiktį Bendrojo duomenų apsaugos reglamento reikalavimams (atskaitomybės principas).</w:t>
      </w:r>
    </w:p>
    <w:p>
      <w:pPr>
        <w:jc w:val="both"/>
        <w:rPr>
          <w:rFonts w:ascii="Times New Roman" w:hAnsi="Times New Roman" w:cs="Times New Roman"/>
          <w:noProof/>
          <w:sz w:val="24"/>
          <w:szCs w:val="24"/>
        </w:rPr>
      </w:pPr>
      <w:r>
        <w:rPr>
          <w:rFonts w:ascii="Times New Roman" w:hAnsi="Times New Roman"/>
          <w:noProof/>
          <w:sz w:val="24"/>
        </w:rPr>
        <w:t>Duomenų valdytojo ar duomenų tvarkytojo vaidmuo turi būti įvertinamas kiekvienu konkrečiu atveju. Rinkimų metu duomenų valdytojais gali būti įvairūs subjektai: dažniausiai duomenų valdytojai yra politinės partijos, pavieniai kandidatai ir fondai; platformos ir duomenų analizės bendrovės gali būti (bendri) duomenų valdytojai arba duomenų tvarkytojai, atliekantys atitinkamą duomenų tvarkymo operaciją, priklausomai nuo jų turimo atitinkamos duomenų tvarkymo operacijos kontrolės laipsnio</w:t>
      </w:r>
      <w:r>
        <w:rPr>
          <w:rStyle w:val="FootnoteReference"/>
          <w:rFonts w:ascii="Times New Roman" w:hAnsi="Times New Roman"/>
          <w:noProof/>
          <w:sz w:val="24"/>
        </w:rPr>
        <w:footnoteReference w:id="13"/>
      </w:r>
      <w:r>
        <w:rPr>
          <w:rFonts w:ascii="Times New Roman" w:hAnsi="Times New Roman"/>
          <w:noProof/>
          <w:sz w:val="24"/>
        </w:rPr>
        <w:t>; nacionalinės rinkimų institucijos yra rinkimų registrų duomenų valdytojos.</w:t>
      </w:r>
    </w:p>
    <w:p>
      <w:pPr>
        <w:jc w:val="both"/>
        <w:rPr>
          <w:rFonts w:ascii="Times New Roman" w:hAnsi="Times New Roman" w:cs="Times New Roman"/>
          <w:noProof/>
          <w:sz w:val="24"/>
          <w:szCs w:val="24"/>
        </w:rPr>
      </w:pPr>
      <w:r>
        <w:rPr>
          <w:rFonts w:ascii="Times New Roman" w:hAnsi="Times New Roman"/>
          <w:noProof/>
          <w:sz w:val="24"/>
        </w:rPr>
        <w:lastRenderedPageBreak/>
        <w:t>Užsienyje įsisteigusios bendrovės Bendrojo duomenų apsaugos reglamento taip pat turi laikytis tais atvejais, kai jų duomenų tvarkymo veikla yra susijusi su prekių ir paslaugų siūlymu Europos Sąjungoje esantiems asmenims arba jų elgsenos stebėsena Sąjungoje. Tai pasakytina apie daugumą platformų ir duomenų analizės bendrovių.</w:t>
      </w:r>
    </w:p>
    <w:p>
      <w:pPr>
        <w:pStyle w:val="Heading2"/>
        <w:keepNext/>
        <w:keepLines/>
        <w:numPr>
          <w:ilvl w:val="1"/>
          <w:numId w:val="1"/>
        </w:numPr>
        <w:spacing w:before="0" w:beforeAutospacing="0" w:after="240" w:afterAutospacing="0" w:line="276" w:lineRule="auto"/>
        <w:jc w:val="both"/>
        <w:rPr>
          <w:noProof/>
          <w:sz w:val="24"/>
          <w:szCs w:val="24"/>
        </w:rPr>
      </w:pPr>
      <w:r>
        <w:rPr>
          <w:noProof/>
          <w:sz w:val="24"/>
        </w:rPr>
        <w:t>Principai, duomenų tvarkymo teisėtumas ir neskelbtiniems duomenims taikomos specialios sąlygos</w:t>
      </w:r>
    </w:p>
    <w:p>
      <w:pPr>
        <w:jc w:val="both"/>
        <w:rPr>
          <w:rFonts w:ascii="Times New Roman" w:hAnsi="Times New Roman" w:cs="Times New Roman"/>
          <w:noProof/>
          <w:sz w:val="24"/>
          <w:szCs w:val="24"/>
        </w:rPr>
      </w:pPr>
      <w:r>
        <w:rPr>
          <w:rFonts w:ascii="Times New Roman" w:hAnsi="Times New Roman"/>
          <w:noProof/>
          <w:sz w:val="24"/>
        </w:rPr>
        <w:t>Rinkimuose dalyvaujantys subjektai asmens duomenis, įskaitant iš viešų šaltinių gautus duomenis, gali tvarkyti tik laikydamiesi su asmens duomenų tvarkymu susijusių principų ir remdamiesi tik tam tikrais Bendrajame duomenų apsaugos reglamente aiškiai nurodytais pagrindais</w:t>
      </w:r>
      <w:r>
        <w:rPr>
          <w:rStyle w:val="FootnoteReference"/>
          <w:rFonts w:ascii="Times New Roman" w:hAnsi="Times New Roman"/>
          <w:noProof/>
          <w:sz w:val="24"/>
        </w:rPr>
        <w:footnoteReference w:id="14"/>
      </w:r>
      <w:r>
        <w:rPr>
          <w:rFonts w:ascii="Times New Roman" w:hAnsi="Times New Roman"/>
          <w:noProof/>
          <w:sz w:val="24"/>
        </w:rPr>
        <w:t xml:space="preserve">. Atrodo, kad svarbiausi teisėto duomenų tvarkymo rinkimų metu pagrindai yra asmens sutikimas, Europos Sąjungos arba nacionalinės teisės aktuose nustatytos teisinės prievolės laikymasis, užduoties vykdymas viešojo intereso labui ir teisėtas vieno iš subjektų interesas. Tačiau rinkimuose dalyvaujantys subjektai teisėto intereso pagrindu gali remtis tik jeigu už jų interesus nėra svarbesni atitinkamų asmenų interesai arba pagrindinės teisės ir laisvės. </w:t>
      </w:r>
    </w:p>
    <w:p>
      <w:pPr>
        <w:jc w:val="both"/>
        <w:rPr>
          <w:rFonts w:ascii="Times New Roman" w:hAnsi="Times New Roman" w:cs="Times New Roman"/>
          <w:noProof/>
          <w:sz w:val="24"/>
          <w:szCs w:val="24"/>
        </w:rPr>
      </w:pPr>
      <w:r>
        <w:rPr>
          <w:rFonts w:ascii="Times New Roman" w:hAnsi="Times New Roman"/>
          <w:noProof/>
          <w:sz w:val="24"/>
        </w:rPr>
        <w:t>Be to, informacijos saugojimas galiniame įrenginyje (kompiuteryje, išmaniajame telefone ir pan.) arba prieigos prie jau saugomos informacijos gavimas turi atitikti E. privatumo direktyvos reikalavimus dėl galinio įrenginio apsaugos; tai reiškia, kad atitinkamas asmuo turėtų duoti sutikimą.</w:t>
      </w:r>
    </w:p>
    <w:p>
      <w:pPr>
        <w:jc w:val="both"/>
        <w:rPr>
          <w:rFonts w:ascii="Times New Roman" w:hAnsi="Times New Roman" w:cs="Times New Roman"/>
          <w:noProof/>
          <w:sz w:val="24"/>
          <w:szCs w:val="24"/>
        </w:rPr>
      </w:pPr>
      <w:r>
        <w:rPr>
          <w:rFonts w:ascii="Times New Roman" w:hAnsi="Times New Roman"/>
          <w:noProof/>
          <w:sz w:val="24"/>
        </w:rPr>
        <w:t>Tais atvejais, kai sutikimas naudojamas kaip teisinis pagrindas, pagal Bendrąjį duomenų apsaugos reglamentą reikalaujama, kad toks sutikimas būtų duodamas aiškiu ir vienareikšmiu veiksmu, ir kad jis būtų duotas laisva valia bei būtų pagrįstas informacija</w:t>
      </w:r>
      <w:r>
        <w:rPr>
          <w:rStyle w:val="FootnoteReference"/>
          <w:rFonts w:ascii="Times New Roman" w:hAnsi="Times New Roman"/>
          <w:noProof/>
          <w:sz w:val="24"/>
        </w:rPr>
        <w:footnoteReference w:id="15"/>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Rinkimuose dalyvaujančios valdžios institucijos asmens duomenis tvarko siekdamos laikytis teisinės prievolės arba vykdyti viešą užduotį. Kiti rinkimuose dalyvaujantys subjektai duomenis gali tvarkyti remdamiesi sutikimo arba teisėto intereso pagrindais</w:t>
      </w:r>
      <w:r>
        <w:rPr>
          <w:rStyle w:val="FootnoteReference"/>
          <w:rFonts w:ascii="Times New Roman" w:hAnsi="Times New Roman"/>
          <w:noProof/>
          <w:sz w:val="24"/>
        </w:rPr>
        <w:footnoteReference w:id="16"/>
      </w:r>
      <w:r>
        <w:rPr>
          <w:rFonts w:ascii="Times New Roman" w:hAnsi="Times New Roman"/>
          <w:noProof/>
          <w:sz w:val="24"/>
        </w:rPr>
        <w:t>. Politinės partijos ir fondai duomenis taip pat gali tvarkyti remdamiesi viešuoju interesu, jei tai numatyta nacionalinėje teisėje</w:t>
      </w:r>
      <w:r>
        <w:rPr>
          <w:rStyle w:val="FootnoteReference"/>
          <w:rFonts w:ascii="Times New Roman" w:hAnsi="Times New Roman"/>
          <w:noProof/>
          <w:sz w:val="24"/>
        </w:rPr>
        <w:footnoteReference w:id="17"/>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Valdžios institucijos tam tikrą informaciją apie į rinkimų sąrašus arba gyventojų registrus įtrauktus asmenis (pavyzdžiui, vardą ir pavardę ir adresą) politinėms partijoms gali atskleisti tik kai tai aiškiai leidžiama pagal valstybės narės teisę ir tik siekiant dalinti reklamą rinkimų metu ir tiek, kiek to reikia siekiant šio tikslo.</w:t>
      </w:r>
    </w:p>
    <w:p>
      <w:pPr>
        <w:jc w:val="both"/>
        <w:rPr>
          <w:rFonts w:ascii="Times New Roman" w:hAnsi="Times New Roman" w:cs="Times New Roman"/>
          <w:noProof/>
          <w:sz w:val="24"/>
          <w:szCs w:val="24"/>
        </w:rPr>
      </w:pPr>
      <w:r>
        <w:rPr>
          <w:rFonts w:ascii="Times New Roman" w:hAnsi="Times New Roman"/>
          <w:noProof/>
          <w:sz w:val="24"/>
        </w:rPr>
        <w:t xml:space="preserve">Rinkimų metu dažnai tvarkomi neskelbtini duomenys. Tokių duomenų tvarkymas, įskaitant numanomų neskelbtinų duomenų tvarkymą, paprastai draudžiamas, išskyrus atvejus, kai </w:t>
      </w:r>
      <w:r>
        <w:rPr>
          <w:rFonts w:ascii="Times New Roman" w:hAnsi="Times New Roman"/>
          <w:noProof/>
          <w:sz w:val="24"/>
        </w:rPr>
        <w:lastRenderedPageBreak/>
        <w:t>taikomas vienas iš konkrečių Bendrajame duomenų apsaugos reglamente nustatytų pateisinamų pagrindų</w:t>
      </w:r>
      <w:r>
        <w:rPr>
          <w:rStyle w:val="FootnoteReference"/>
          <w:rFonts w:ascii="Times New Roman" w:hAnsi="Times New Roman"/>
          <w:noProof/>
          <w:sz w:val="24"/>
        </w:rPr>
        <w:footnoteReference w:id="18"/>
      </w:r>
      <w:r>
        <w:rPr>
          <w:rFonts w:ascii="Times New Roman" w:hAnsi="Times New Roman"/>
          <w:noProof/>
          <w:sz w:val="24"/>
        </w:rPr>
        <w:t>. Neskelbtinų duomenų tvarkymas reiškia, kad turi būti įgyvendinamos konkrečios, griežtesnės sąlygos: asmuo privalo būti davęs aiškų sutikimą</w:t>
      </w:r>
      <w:r>
        <w:rPr>
          <w:rStyle w:val="FootnoteReference"/>
          <w:rFonts w:ascii="Times New Roman" w:hAnsi="Times New Roman"/>
          <w:noProof/>
          <w:sz w:val="24"/>
        </w:rPr>
        <w:footnoteReference w:id="19"/>
      </w:r>
      <w:r>
        <w:rPr>
          <w:rFonts w:ascii="Times New Roman" w:hAnsi="Times New Roman"/>
          <w:noProof/>
          <w:sz w:val="24"/>
        </w:rPr>
        <w:t xml:space="preserve"> arba turi būti viešai paskelbęs atitinkamus duomenis</w:t>
      </w:r>
      <w:r>
        <w:rPr>
          <w:rStyle w:val="FootnoteReference"/>
          <w:rFonts w:ascii="Times New Roman" w:hAnsi="Times New Roman"/>
          <w:noProof/>
          <w:sz w:val="24"/>
        </w:rPr>
        <w:footnoteReference w:id="20"/>
      </w:r>
      <w:r>
        <w:rPr>
          <w:rFonts w:ascii="Times New Roman" w:hAnsi="Times New Roman"/>
          <w:noProof/>
          <w:sz w:val="24"/>
        </w:rPr>
        <w:t>. Politinės partijos ir fondai neskelbtinus duomenis taip pat gali tvarkyti, jeigu, remiantis Sąjungos arba valstybės narės teise, nustatytas svarbus viešasis interesas ir jei yra taikomos tinkamos apsaugos priemonės</w:t>
      </w:r>
      <w:r>
        <w:rPr>
          <w:rStyle w:val="FootnoteReference"/>
          <w:rFonts w:ascii="Times New Roman" w:hAnsi="Times New Roman"/>
          <w:noProof/>
          <w:sz w:val="24"/>
        </w:rPr>
        <w:footnoteReference w:id="21"/>
      </w:r>
      <w:r>
        <w:rPr>
          <w:rFonts w:ascii="Times New Roman" w:hAnsi="Times New Roman"/>
          <w:noProof/>
          <w:sz w:val="24"/>
        </w:rPr>
        <w:t>. Bendrajame duomenų apsaugos reglamente nustatyta, kad politinės partijos ir fondai neskelbtinus duomenis gali tvarkyti tiek, kiek jie yra susiję tik su politinių partijų ar fondų nariais arba buvusiais nariais, arba asmenimis, kurie reguliariai bendravo su tokiais nariais, tačiau tokie duomenys atskleidžiami tik politinei partijai ar fondui, kuriam priklauso minėti nariai</w:t>
      </w:r>
      <w:r>
        <w:rPr>
          <w:rStyle w:val="FootnoteReference"/>
          <w:rFonts w:ascii="Times New Roman" w:hAnsi="Times New Roman"/>
          <w:noProof/>
          <w:sz w:val="24"/>
        </w:rPr>
        <w:footnoteReference w:id="22"/>
      </w:r>
      <w:r>
        <w:rPr>
          <w:rFonts w:ascii="Times New Roman" w:hAnsi="Times New Roman"/>
          <w:noProof/>
          <w:sz w:val="24"/>
        </w:rPr>
        <w:t>. Tačiau politinė partija negali remtis šia konkrečia nuostata, kad tvarkytų potencialių narių ar rinkėjų duomenis.</w:t>
      </w:r>
    </w:p>
    <w:p>
      <w:pPr>
        <w:jc w:val="both"/>
        <w:rPr>
          <w:rFonts w:ascii="Times New Roman" w:hAnsi="Times New Roman" w:cs="Times New Roman"/>
          <w:noProof/>
          <w:sz w:val="24"/>
          <w:szCs w:val="24"/>
        </w:rPr>
      </w:pPr>
      <w:r>
        <w:rPr>
          <w:rFonts w:ascii="Times New Roman" w:hAnsi="Times New Roman"/>
          <w:noProof/>
          <w:sz w:val="24"/>
        </w:rPr>
        <w:t>Duomenų tvarkymo tikslas turėtų būti nurodytas duomenų rinkimo metu (tikslo apribojimo principas)</w:t>
      </w:r>
      <w:r>
        <w:rPr>
          <w:rStyle w:val="FootnoteReference"/>
          <w:rFonts w:ascii="Times New Roman" w:hAnsi="Times New Roman"/>
          <w:noProof/>
          <w:sz w:val="24"/>
        </w:rPr>
        <w:footnoteReference w:id="23"/>
      </w:r>
      <w:r>
        <w:rPr>
          <w:rFonts w:ascii="Times New Roman" w:hAnsi="Times New Roman"/>
          <w:noProof/>
          <w:sz w:val="24"/>
        </w:rPr>
        <w:t xml:space="preserve">. Vienu tikslu surinkti duomenys toliau gali būti tvarkomi tik suderinamais tikslais; antraip norint tvarkyti duomenis nauju tikslu, reikia rasti naują Bendrajame duomenų apsaugos reglamente nustatytą teisinį pagrindą, pavyzdžiui, sutikimą. Visų pirma tais atvejais, kai vadinamieji gyvenimo būdo duomenų tarpininkai arba platformos renka duomenis komerciniais tikslais, tie duomenys negali būti toliau tvarkomi rinkimų metu. </w:t>
      </w:r>
    </w:p>
    <w:p>
      <w:pPr>
        <w:jc w:val="both"/>
        <w:rPr>
          <w:rFonts w:ascii="Times New Roman" w:hAnsi="Times New Roman" w:cs="Times New Roman"/>
          <w:noProof/>
          <w:sz w:val="24"/>
          <w:szCs w:val="24"/>
        </w:rPr>
      </w:pPr>
      <w:r>
        <w:rPr>
          <w:rFonts w:ascii="Times New Roman" w:hAnsi="Times New Roman"/>
          <w:noProof/>
          <w:sz w:val="24"/>
        </w:rPr>
        <w:t>Politinės partijos ir fondai jokių tokių duomenų, gautų iš trečiosios šalies, negali naudoti, išskyrus atvejus, kai jos taiko deramas atsargumo priemones ir patikrina, ar duomenys buvo gauti teisėtai.</w:t>
      </w:r>
    </w:p>
    <w:p>
      <w:pPr>
        <w:pStyle w:val="Heading2"/>
        <w:keepNext/>
        <w:keepLines/>
        <w:numPr>
          <w:ilvl w:val="1"/>
          <w:numId w:val="1"/>
        </w:numPr>
        <w:spacing w:before="0" w:beforeAutospacing="0" w:after="240" w:afterAutospacing="0" w:line="276" w:lineRule="auto"/>
        <w:jc w:val="both"/>
        <w:rPr>
          <w:noProof/>
          <w:sz w:val="24"/>
        </w:rPr>
      </w:pPr>
      <w:r>
        <w:rPr>
          <w:noProof/>
          <w:sz w:val="24"/>
        </w:rPr>
        <w:t>Skaidrumo reikalavimai</w:t>
      </w:r>
    </w:p>
    <w:p>
      <w:pPr>
        <w:jc w:val="both"/>
        <w:rPr>
          <w:rFonts w:ascii="Times New Roman" w:hAnsi="Times New Roman" w:cs="Times New Roman"/>
          <w:noProof/>
          <w:sz w:val="24"/>
          <w:szCs w:val="24"/>
        </w:rPr>
      </w:pPr>
      <w:r>
        <w:rPr>
          <w:rFonts w:ascii="Times New Roman" w:hAnsi="Times New Roman"/>
          <w:noProof/>
          <w:sz w:val="24"/>
        </w:rPr>
        <w:t>„Cambridge Analytica“ atvejis parodė, kaip svarbu kovoti su neaiškumu ir tinkamai informuoti atitinkamus fizinius asmenis. Žmonės dažnai nežino, kas tvarko jų asmens duomenis ir kokiais tikslais tai yra daroma. Pagal sąžiningo ir skaidraus duomenų tvarkymo principus reikalaujama, kad asmenys būtų informuoti apie duomenų tvarkymo operacijos vykdymą ir jos tikslus</w:t>
      </w:r>
      <w:r>
        <w:rPr>
          <w:rStyle w:val="FootnoteReference"/>
          <w:rFonts w:ascii="Times New Roman" w:hAnsi="Times New Roman"/>
          <w:noProof/>
          <w:sz w:val="24"/>
        </w:rPr>
        <w:footnoteReference w:id="24"/>
      </w:r>
      <w:r>
        <w:rPr>
          <w:rFonts w:ascii="Times New Roman" w:hAnsi="Times New Roman"/>
          <w:noProof/>
          <w:sz w:val="24"/>
        </w:rPr>
        <w:t>. Bendrajame duomenų apsaugos reglamente šiuo atžvilgiu paaiškinamos duomenų valdytojų prievolės. Jie turi informuoti asmenis apie pagrindinius aspektus, susijusius su jų asmens duomenų tvarkymu, pavyzdžiui:</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duomenų valdytojo tapatybę,</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duomenų tvarkymo tikslus,</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asmens duomenų gavėjus,</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duomenų šaltinį, kai duomenys nėra renkami tiesiogiai iš asmens,</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lastRenderedPageBreak/>
        <w:t>automatizuotą sprendimų priėmimą ir</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rPr>
        <w:t>bet kurią kitą informaciją, kuri yra būtina siekiant užtikrinti sąžiningą ir skaidrų duomenų tvarkymą</w:t>
      </w:r>
      <w:r>
        <w:rPr>
          <w:rStyle w:val="FootnoteReference"/>
          <w:rFonts w:ascii="Times New Roman" w:hAnsi="Times New Roman"/>
          <w:noProof/>
          <w:sz w:val="24"/>
        </w:rPr>
        <w:footnoteReference w:id="25"/>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Be to, Bendrajame duomenų apsaugos reglamente reikalaujama, kad informacija būtų glausta, skaidri, suprantama ir pateikiama lengvai prieinama forma, aiškia ir paprasta kalba</w:t>
      </w:r>
      <w:r>
        <w:rPr>
          <w:rStyle w:val="FootnoteReference"/>
          <w:rFonts w:ascii="Times New Roman" w:hAnsi="Times New Roman"/>
          <w:noProof/>
          <w:sz w:val="24"/>
        </w:rPr>
        <w:footnoteReference w:id="26"/>
      </w:r>
      <w:r>
        <w:rPr>
          <w:rFonts w:ascii="Times New Roman" w:hAnsi="Times New Roman"/>
          <w:noProof/>
          <w:sz w:val="24"/>
        </w:rPr>
        <w:t>. Pavyzdžiui, trumpas neaiškus pranešimas apie duomenų apsaugą, atspausdintas mažu šriftu rinkimų leidiniuose, neatitiktų skaidrumo reikalavimų.</w:t>
      </w:r>
    </w:p>
    <w:p>
      <w:pPr>
        <w:jc w:val="both"/>
        <w:rPr>
          <w:rFonts w:ascii="Times New Roman" w:hAnsi="Times New Roman" w:cs="Times New Roman"/>
          <w:noProof/>
          <w:sz w:val="24"/>
          <w:szCs w:val="24"/>
        </w:rPr>
      </w:pPr>
      <w:r>
        <w:rPr>
          <w:rFonts w:ascii="Times New Roman" w:hAnsi="Times New Roman"/>
          <w:noProof/>
          <w:sz w:val="24"/>
        </w:rPr>
        <w:t>Remiantis preliminariomis išvadomis, neišsami informacija apie duomenų rinkimo tikslą buvo pagrindinis „Cambridge Analytica“ atvejo trūkumas, taip pat vertęs suabejoti atitinkamų asmenų duoto sutikimo galiojimu. Visos rinkimų metu asmens duomenis tvarkančios organizacijos prieš asmenims duodant savo sutikimą arba prieš duomenų valdytojui pradedant tvarkyti duomenis remiantis bet kuriuo kitu duomenų tvarkymo pagrindu turi užtikrinti, kad asmenys visiškai suprastų, kaip ir kokiais tikslais bus naudojami jų asmens duomenys.</w:t>
      </w:r>
    </w:p>
    <w:p>
      <w:pPr>
        <w:jc w:val="both"/>
        <w:rPr>
          <w:rFonts w:ascii="Times New Roman" w:hAnsi="Times New Roman" w:cs="Times New Roman"/>
          <w:noProof/>
          <w:sz w:val="24"/>
          <w:szCs w:val="24"/>
        </w:rPr>
      </w:pPr>
      <w:r>
        <w:rPr>
          <w:rFonts w:ascii="Times New Roman" w:hAnsi="Times New Roman"/>
          <w:noProof/>
          <w:sz w:val="24"/>
        </w:rPr>
        <w:t xml:space="preserve">Informacija asmenims turi būti pateikiama kiekviename duomenų tvarkymo etape, o ne tik renkant duomenis. </w:t>
      </w:r>
    </w:p>
    <w:p>
      <w:pPr>
        <w:jc w:val="both"/>
        <w:rPr>
          <w:rFonts w:ascii="Times New Roman" w:hAnsi="Times New Roman" w:cs="Times New Roman"/>
          <w:noProof/>
          <w:sz w:val="24"/>
          <w:szCs w:val="24"/>
        </w:rPr>
      </w:pPr>
      <w:r>
        <w:rPr>
          <w:rFonts w:ascii="Times New Roman" w:hAnsi="Times New Roman"/>
          <w:noProof/>
          <w:sz w:val="24"/>
        </w:rPr>
        <w:t>Visų pirma, kai politinės partijos tvarko iš trečiosios šalies šaltinių gautus duomenis (pavyzdžiui, duomenis iš rinkimų registrų, duomenų tarpininkų, duomenų analitikų ir kitų šaltinių pateiktus duomenis), jos paprastai turi informuoti atitinkamus asmenis ir jiems paaiškinti, kaip jos derina ir naudoja šiuos duomenis, kad užtikrintų sąžiningą duomenų tvarkymą</w:t>
      </w:r>
      <w:r>
        <w:rPr>
          <w:rStyle w:val="FootnoteReference"/>
          <w:rFonts w:ascii="Times New Roman" w:hAnsi="Times New Roman"/>
          <w:noProof/>
          <w:sz w:val="24"/>
        </w:rPr>
        <w:footnoteReference w:id="27"/>
      </w:r>
      <w:r>
        <w:rPr>
          <w:rFonts w:ascii="Times New Roman" w:hAnsi="Times New Roman"/>
          <w:noProof/>
          <w:sz w:val="24"/>
        </w:rPr>
        <w:t>.</w:t>
      </w:r>
    </w:p>
    <w:p>
      <w:pPr>
        <w:pStyle w:val="Heading2"/>
        <w:keepNext/>
        <w:keepLines/>
        <w:numPr>
          <w:ilvl w:val="1"/>
          <w:numId w:val="1"/>
        </w:numPr>
        <w:spacing w:before="0" w:beforeAutospacing="0" w:after="240" w:afterAutospacing="0" w:line="276" w:lineRule="auto"/>
        <w:jc w:val="both"/>
        <w:rPr>
          <w:noProof/>
          <w:sz w:val="24"/>
        </w:rPr>
      </w:pPr>
      <w:r>
        <w:rPr>
          <w:noProof/>
          <w:sz w:val="24"/>
        </w:rPr>
        <w:t>Profiliavimas, automatizuotas sprendimų priėmimas ir tikslinė orientacija</w:t>
      </w:r>
    </w:p>
    <w:p>
      <w:pPr>
        <w:jc w:val="both"/>
        <w:rPr>
          <w:rFonts w:ascii="Times New Roman" w:hAnsi="Times New Roman" w:cs="Times New Roman"/>
          <w:noProof/>
          <w:sz w:val="24"/>
          <w:szCs w:val="24"/>
        </w:rPr>
      </w:pPr>
      <w:r>
        <w:rPr>
          <w:rFonts w:ascii="Times New Roman" w:hAnsi="Times New Roman"/>
          <w:noProof/>
          <w:sz w:val="24"/>
        </w:rPr>
        <w:t>Profiliavimas – tai automatizuotas duomenų tvarkymas, naudojamas siekiant išanalizuoti ar numatyti aspektus, susijusius, pavyzdžiui, su asmeniniais pomėgiais, interesais, ekonomine padėtimi ir kt.</w:t>
      </w:r>
      <w:r>
        <w:rPr>
          <w:rStyle w:val="FootnoteReference"/>
          <w:rFonts w:ascii="Times New Roman" w:hAnsi="Times New Roman"/>
          <w:noProof/>
          <w:sz w:val="24"/>
        </w:rPr>
        <w:footnoteReference w:id="28"/>
      </w:r>
      <w:r>
        <w:rPr>
          <w:rFonts w:ascii="Times New Roman" w:hAnsi="Times New Roman"/>
          <w:noProof/>
          <w:sz w:val="24"/>
        </w:rPr>
        <w:t>. Profiliavimas gali būti naudojamas siekiant turinio tikslinės orientacijos į asmenis, t. y. analizuoti asmens duomenis (pvz., paieškos internete istoriją), siekiant nustatyti konkrečius atitinkamos auditorijos arba asmens interesus ir daryti įtaką jų veiksmams. Tikslinė orientacija gali būti naudojama siekiant asmeniui arba auditorijai, besinaudojančiai internetine paslauga, pavyzdžiui, socialiniais tinklais, atsiųsti specialiai jiems pritaikytas žinutes.</w:t>
      </w:r>
    </w:p>
    <w:p>
      <w:pPr>
        <w:jc w:val="both"/>
        <w:rPr>
          <w:rFonts w:ascii="Times New Roman" w:hAnsi="Times New Roman" w:cs="Times New Roman"/>
          <w:noProof/>
          <w:sz w:val="24"/>
          <w:szCs w:val="24"/>
        </w:rPr>
      </w:pPr>
      <w:r>
        <w:rPr>
          <w:rFonts w:ascii="Times New Roman" w:hAnsi="Times New Roman"/>
          <w:noProof/>
          <w:sz w:val="24"/>
        </w:rPr>
        <w:t>„Cambridge Analytica“ atvejis išryškino konkrečias problemas, kurias socialiniuose tinkluose sukelia tikslinės orientacijos metodai. Organizacijos gali užsiimti duomenų, surinktų iš socialinių tinklų naudotojų, gavyba, kad sukurtų rinkėjų profilius. Tai gali sudaryti sąlygas tokioms organizacijoms nustatyti rinkėjų, kuriems būtų galima lengviau daryti įtaką, tapatybę, o tai savo ruožtu leistų daryti poveikį rinkimų rezultatams.</w:t>
      </w:r>
    </w:p>
    <w:p>
      <w:pPr>
        <w:jc w:val="both"/>
        <w:rPr>
          <w:rFonts w:ascii="Times New Roman" w:hAnsi="Times New Roman" w:cs="Times New Roman"/>
          <w:noProof/>
          <w:sz w:val="24"/>
          <w:szCs w:val="24"/>
        </w:rPr>
      </w:pPr>
      <w:r>
        <w:rPr>
          <w:rFonts w:ascii="Times New Roman" w:hAnsi="Times New Roman"/>
          <w:noProof/>
          <w:sz w:val="24"/>
        </w:rPr>
        <w:lastRenderedPageBreak/>
        <w:t>Tokiam duomenų tvarkymui taikomi visi Bendrajame duomenų apsaugos reglamente nustatyti bendrieji principai ir taisyklės, pavyzdžiui, teisėtumo, sąžiningumo, skaidrumo ir tikslo apribojimo principai. Žmonės labai dažnai nežino, kad jų atžvilgiu vykdoma profiliavimo veikla: jie nesupranta, kodėl gauna tam tikrą reklamą, kuri yra akivaizdžiai susijusi su jų paskutinėmis atliktomis paieškomis, arba kodėl jie iš įvairių organizacijų gauna specialiai jiems pritaikytas žinutes. Bendrajame duomenų apsaugos reglamente visi duomenų valdytojai, pavyzdžiui, politinės partijos arba duomenų analitikai, įpareigojami informuoti asmenis, kai jie naudoja tokius metodus, taip pat apie jų pasekmes</w:t>
      </w:r>
      <w:r>
        <w:rPr>
          <w:rStyle w:val="FootnoteReference"/>
          <w:rFonts w:ascii="Times New Roman" w:hAnsi="Times New Roman"/>
          <w:noProof/>
          <w:sz w:val="24"/>
        </w:rPr>
        <w:footnoteReference w:id="29"/>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Bendrajame duomenų apsaugos reglamente pripažįstama, kad automatizuotas sprendimų priėmimas, įskaitant profiliavimą, gali turėti rimtų padarinių. Bendrajame duomenų apsaugos reglamente nustatyta, kad asmuo turi teisę į tai, kad jo atžvilgiu nebūtų priimamas sprendimas, pagrįstas tik automatizuotu duomenų tvarkymu, kuris jam sukelia teisines pasekmes arba turi kitokį panašų poveikį, išskyrus atvejus, kai toks duomenų tvarkymas vykdomas griežtomis sąlygomis, t. y. kai asmenys duoda savo aiškų sutikimą arba kai tai leidžiama pagal Europos Sąjungos arba valstybės narės teisę, kurioje nustatytos tinkamos apsaugos priemonės</w:t>
      </w:r>
      <w:r>
        <w:rPr>
          <w:rStyle w:val="FootnoteReference"/>
          <w:rFonts w:ascii="Times New Roman" w:hAnsi="Times New Roman"/>
          <w:noProof/>
          <w:sz w:val="24"/>
        </w:rPr>
        <w:footnoteReference w:id="30"/>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Tikslinės orientacijos praktika rinkimų metu į šią kategoriją patenka tais atvejais, kai ji asmenims daro pakankamai didelį poveikį. Europos duomenų apsaugos valdyba nurodė, kad taip yra tuo atveju, kai sprendimas gali gerokai paveikti su asmeniu susijusias aplinkybes, tų asmenų elgesį arba pasirinkimą arba daryti jam ilgalaikį ar nuolatinį poveikį</w:t>
      </w:r>
      <w:r>
        <w:rPr>
          <w:rStyle w:val="FootnoteReference"/>
          <w:rFonts w:ascii="Times New Roman" w:hAnsi="Times New Roman"/>
          <w:noProof/>
          <w:sz w:val="24"/>
        </w:rPr>
        <w:footnoteReference w:id="31"/>
      </w:r>
      <w:r>
        <w:rPr>
          <w:rFonts w:ascii="Times New Roman" w:hAnsi="Times New Roman"/>
          <w:noProof/>
          <w:sz w:val="24"/>
        </w:rPr>
        <w:t xml:space="preserve">. Valdyba manė, kad tikslinga internetinė reklama tam tikromis aplinkybėmis galėtų daryti pakankamai didelį poveikį asmenims, kai, pavyzdžiui, ji yra nepageidaujama arba kai joje naudojamasi žiniomis apie asmens pažeidžiamumą. Atsižvelgiant į demokratinės balsavimo teisės įgyvendinimo svarbą, specialiai pritaikyti pranešimai, dėl kurių, pavyzdžiui, asmenys gali nuspręsti nebalsuoti arba balsuoti konkrečiu būdu, galėtų atitikti didelio poveikio kriterijų. </w:t>
      </w:r>
    </w:p>
    <w:p>
      <w:pPr>
        <w:jc w:val="both"/>
        <w:rPr>
          <w:rFonts w:ascii="Times New Roman" w:hAnsi="Times New Roman" w:cs="Times New Roman"/>
          <w:noProof/>
          <w:sz w:val="24"/>
          <w:szCs w:val="24"/>
        </w:rPr>
      </w:pPr>
      <w:r>
        <w:rPr>
          <w:rFonts w:ascii="Times New Roman" w:hAnsi="Times New Roman"/>
          <w:noProof/>
          <w:sz w:val="24"/>
        </w:rPr>
        <w:t>Todėl rinkimų metu duomenų valdytojai turi užtikrinti, kad bet koks duomenų tvarkymas naudojant tokius metodus būtų teisėtas atsižvelgiant į minėtus Bendrojo duomenų apsaugos reglamento principus ir griežtas sąlygas.</w:t>
      </w:r>
    </w:p>
    <w:p>
      <w:pPr>
        <w:pStyle w:val="Heading2"/>
        <w:keepNext/>
        <w:keepLines/>
        <w:numPr>
          <w:ilvl w:val="1"/>
          <w:numId w:val="1"/>
        </w:numPr>
        <w:spacing w:before="0" w:beforeAutospacing="0" w:after="240" w:afterAutospacing="0" w:line="276" w:lineRule="auto"/>
        <w:jc w:val="both"/>
        <w:rPr>
          <w:noProof/>
          <w:sz w:val="24"/>
          <w:szCs w:val="24"/>
        </w:rPr>
      </w:pPr>
      <w:r>
        <w:rPr>
          <w:noProof/>
          <w:sz w:val="24"/>
        </w:rPr>
        <w:t>Asmens duomenų saugumas ir tikslumas</w:t>
      </w:r>
    </w:p>
    <w:p>
      <w:pPr>
        <w:jc w:val="both"/>
        <w:rPr>
          <w:rFonts w:ascii="Times New Roman" w:hAnsi="Times New Roman" w:cs="Times New Roman"/>
          <w:noProof/>
          <w:sz w:val="24"/>
          <w:szCs w:val="24"/>
        </w:rPr>
      </w:pPr>
      <w:r>
        <w:rPr>
          <w:rFonts w:ascii="Times New Roman" w:hAnsi="Times New Roman"/>
          <w:noProof/>
          <w:sz w:val="24"/>
        </w:rPr>
        <w:t>Atsižvelgiant į susijusių duomenų rinkinių dydį ir tai, kad dažnai tokiuose rinkiniuose yra neskelbtinų duomenų, saugumas rinkimų metu turi ypač didelę reikšmę. Pagal Bendrąjį duomenų apsaugos reglamentą reikalaujama, kad asmens duomenis tvarkantys operatoriai (duomenų valdytojai ir duomenų tvarkytojai) įgyvendintų tinkamas technines ir organizacines priemones, kad būtų užtikrintas pavojaus, dėl duomenų tvarkymo kylančio asmenų teisėms ir laisvėms, lygį atitinkantis saugumas</w:t>
      </w:r>
      <w:r>
        <w:rPr>
          <w:rStyle w:val="FootnoteReference"/>
          <w:rFonts w:ascii="Times New Roman" w:hAnsi="Times New Roman"/>
          <w:noProof/>
          <w:sz w:val="24"/>
        </w:rPr>
        <w:footnoteReference w:id="32"/>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lastRenderedPageBreak/>
        <w:t>Pagal Bendrąjį duomenų apsaugos reglamentą reikalaujama, kad duomenų valdytojai praneštų apie asmens duomenų saugumo pažeidimus kompetentingai priežiūros institucijai ir tai padarytų nedelsiant, bet ne vėliau kaip per 72 valandas. Kai tikėtina, kad dėl asmens duomenų apsaugos pažeidimo kils didelis pavojus asmenų teisėms ir laisvėms, duomenų valdytojas taip pat privalo nedelsdamas informuoti nuo to duomenų saugumo pažeidimo nukentėjusius asmenis</w:t>
      </w:r>
      <w:r>
        <w:rPr>
          <w:rStyle w:val="FootnoteReference"/>
          <w:rFonts w:ascii="Times New Roman" w:hAnsi="Times New Roman"/>
          <w:noProof/>
          <w:sz w:val="24"/>
        </w:rPr>
        <w:footnoteReference w:id="33"/>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Politinės partijos ir kiti rinkimų procese dalyvaujantys subjektai ypatingą dėmesį turėtų skirti tam, kad būtų užtikrintas asmens duomenų tikslumas, kai tai susiję su dideliais duomenų kiekiais ir kai duomenų rinkiniai sudaromi naudojant skirtingus ir įvairius šaltinius. Netikslius duomenis būtina nedelsiant ištrinti arba ištaisyti ir prireikus atnaujinti. </w:t>
      </w:r>
    </w:p>
    <w:p>
      <w:pPr>
        <w:pStyle w:val="Heading2"/>
        <w:keepNext/>
        <w:keepLines/>
        <w:numPr>
          <w:ilvl w:val="1"/>
          <w:numId w:val="1"/>
        </w:numPr>
        <w:spacing w:before="0" w:beforeAutospacing="0" w:after="240" w:afterAutospacing="0" w:line="276" w:lineRule="auto"/>
        <w:jc w:val="both"/>
        <w:rPr>
          <w:noProof/>
          <w:sz w:val="24"/>
          <w:szCs w:val="24"/>
        </w:rPr>
      </w:pPr>
      <w:r>
        <w:rPr>
          <w:noProof/>
          <w:sz w:val="24"/>
        </w:rPr>
        <w:t>Poveikio duomenų apsaugai vertinimas</w:t>
      </w:r>
    </w:p>
    <w:p>
      <w:pPr>
        <w:jc w:val="both"/>
        <w:rPr>
          <w:rFonts w:ascii="Times New Roman" w:hAnsi="Times New Roman" w:cs="Times New Roman"/>
          <w:noProof/>
          <w:sz w:val="24"/>
          <w:szCs w:val="24"/>
        </w:rPr>
      </w:pPr>
      <w:r>
        <w:rPr>
          <w:rFonts w:ascii="Times New Roman" w:hAnsi="Times New Roman"/>
          <w:noProof/>
          <w:sz w:val="24"/>
        </w:rPr>
        <w:t>Bendrajame duomenų apsaugos reglamente nustatyta nauja rizikos vertinimo priemonė, taikoma prieš pradedant tvarkyti duomenis, – poveikio duomenų apsaugai vertinimas. Jį reikalaujama atlikti visais atvejais, kai dėl duomenų tvarkymo gali kilti didelis pavojus asmenų teisėms ir laisvėms</w:t>
      </w:r>
      <w:r>
        <w:rPr>
          <w:rStyle w:val="FootnoteReference"/>
          <w:rFonts w:ascii="Times New Roman" w:hAnsi="Times New Roman"/>
          <w:noProof/>
          <w:sz w:val="24"/>
        </w:rPr>
        <w:footnoteReference w:id="34"/>
      </w:r>
      <w:r>
        <w:rPr>
          <w:rFonts w:ascii="Times New Roman" w:hAnsi="Times New Roman"/>
          <w:noProof/>
          <w:sz w:val="24"/>
        </w:rPr>
        <w:t>. Rinkimų metu tai yra susiję su duomenų valdytojo atliekamu sistemingu ir išsamiu su asmeniu susijusių asmeninių aspektų vertinimu (įskaitant profiliavimą), kuris turi didelį poveikį asmeniui, taip pat su duomenų valdytojo vykdomu neskelbtinų duomenų tvarkymu dideliu mastu. Nacionalinės rinkimų institucijos, kurios veikia vykdydamos joms pavestas viešas užduotis, gali ir neatlikti poveikio duomenų apsaugai vertinimo, jeigu poveikio duomenų apsaugai vertinimas jau buvo atliktas priimant teisės aktą.</w:t>
      </w:r>
    </w:p>
    <w:p>
      <w:pPr>
        <w:jc w:val="both"/>
        <w:rPr>
          <w:rFonts w:ascii="Times New Roman" w:hAnsi="Times New Roman" w:cs="Times New Roman"/>
          <w:noProof/>
          <w:sz w:val="24"/>
          <w:szCs w:val="24"/>
        </w:rPr>
      </w:pPr>
      <w:r>
        <w:rPr>
          <w:rFonts w:ascii="Times New Roman" w:hAnsi="Times New Roman"/>
          <w:noProof/>
          <w:sz w:val="24"/>
        </w:rPr>
        <w:t>Poveikio vertinimuose, kuriuos įvairūs subjektai turi atlikti rinkimų metu, reikėtų aptarti aspektus, kurie yra būtini siekiant pašalinti su tokiu duomenų tvarkymu susijusią riziką, visų pirma tai pasakytina apie duomenų rinkinių, gautų iš trečiųjų šalių, tvarkymo teisėtumą ir skaidrumo reikalavimus.</w:t>
      </w:r>
    </w:p>
    <w:p>
      <w:pPr>
        <w:pStyle w:val="Heading1"/>
        <w:numPr>
          <w:ilvl w:val="0"/>
          <w:numId w:val="1"/>
        </w:numPr>
        <w:spacing w:before="240" w:after="240"/>
        <w:jc w:val="both"/>
        <w:rPr>
          <w:rFonts w:ascii="Times New Roman" w:hAnsi="Times New Roman" w:cs="Times New Roman"/>
          <w:noProof/>
          <w:color w:val="auto"/>
          <w:sz w:val="24"/>
          <w:szCs w:val="24"/>
        </w:rPr>
      </w:pPr>
      <w:r>
        <w:rPr>
          <w:rFonts w:ascii="Times New Roman" w:hAnsi="Times New Roman"/>
          <w:noProof/>
          <w:color w:val="auto"/>
          <w:sz w:val="24"/>
        </w:rPr>
        <w:t>Asmenų teisės</w:t>
      </w:r>
    </w:p>
    <w:p>
      <w:pPr>
        <w:jc w:val="both"/>
        <w:rPr>
          <w:rFonts w:ascii="Times New Roman" w:hAnsi="Times New Roman" w:cs="Times New Roman"/>
          <w:noProof/>
          <w:sz w:val="24"/>
          <w:szCs w:val="24"/>
        </w:rPr>
      </w:pPr>
      <w:r>
        <w:rPr>
          <w:rFonts w:ascii="Times New Roman" w:hAnsi="Times New Roman"/>
          <w:noProof/>
          <w:sz w:val="24"/>
        </w:rPr>
        <w:t xml:space="preserve">Bendrajame duomenų apsaugos reglamente asmenims suteikiamos papildomos ir tvirtesnės teisės, kurios ypač svarbios rinkimų metu: </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rPr>
        <w:t>teisė susipažinti su savo asmens duomenimis;</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rPr>
        <w:t xml:space="preserve">teisė prašyti ištrinti savo asmens duomenis, jeigu duomenų tvarkymas yra pagrįstas sutikimu ir jei sutikimas atšaukiamas, jeigu duomenys tampa nebereikalingi arba jeigu duomenys tvarkomi neteisėtai, ir </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rPr>
        <w:t>teisė ištaisyti neteisingus, netikslius arba neišsamius asmens duomenis.</w:t>
      </w:r>
    </w:p>
    <w:p>
      <w:pPr>
        <w:jc w:val="both"/>
        <w:rPr>
          <w:rFonts w:ascii="Times New Roman" w:hAnsi="Times New Roman" w:cs="Times New Roman"/>
          <w:noProof/>
          <w:sz w:val="24"/>
          <w:szCs w:val="24"/>
        </w:rPr>
      </w:pPr>
      <w:r>
        <w:rPr>
          <w:rFonts w:ascii="Times New Roman" w:hAnsi="Times New Roman"/>
          <w:noProof/>
          <w:sz w:val="24"/>
        </w:rPr>
        <w:lastRenderedPageBreak/>
        <w:t>Asmenys taip pat turi teisę prieštarauti duomenų tvarkymui (pavyzdžiui, kad į rinkėjų sąrašus įtraukti duomenys nebūtų perduodami politinėms partijoms), jeigu jų duomenų tvarkymas yra pagrįstas su teisėtais interesais arba viešuoju interesu susijusiais pagrindais.</w:t>
      </w:r>
    </w:p>
    <w:p>
      <w:pPr>
        <w:jc w:val="both"/>
        <w:rPr>
          <w:rFonts w:ascii="Times New Roman" w:hAnsi="Times New Roman" w:cs="Times New Roman"/>
          <w:noProof/>
          <w:sz w:val="24"/>
          <w:szCs w:val="24"/>
        </w:rPr>
      </w:pPr>
      <w:r>
        <w:rPr>
          <w:rFonts w:ascii="Times New Roman" w:hAnsi="Times New Roman"/>
          <w:noProof/>
          <w:sz w:val="24"/>
        </w:rPr>
        <w:t xml:space="preserve">Asmenys turi teisę į tai, kad jiems nebūtų taikomi tik automatizuotu jų asmens duomenų tvarkymu grindžiami sprendimai. Tokiais atvejais asmuo gali prašyti leidimo įsikišti kaip fizinis asmuo ir jam gali būti suteikta teisė pareikšti savo nuomonę dėl sprendimo bei jį užginčyti. </w:t>
      </w:r>
    </w:p>
    <w:p>
      <w:pPr>
        <w:jc w:val="both"/>
        <w:rPr>
          <w:rFonts w:ascii="Times New Roman" w:hAnsi="Times New Roman" w:cs="Times New Roman"/>
          <w:noProof/>
          <w:sz w:val="24"/>
          <w:szCs w:val="24"/>
        </w:rPr>
      </w:pPr>
      <w:r>
        <w:rPr>
          <w:rFonts w:ascii="Times New Roman" w:hAnsi="Times New Roman"/>
          <w:noProof/>
          <w:sz w:val="24"/>
        </w:rPr>
        <w:t xml:space="preserve">Kad asmenys galėtų pasinaudoti šiomis teisėmis, visi dalyvaujantys subjektai turi nustatyti būtinas priemones ir sudaryti reikalingas sąlygas. Bendrajame duomenų apsaugos reglamente numatyta galimybė parengti duomenų apsaugos institucijos tvirtinamą elgesio kodeksą, kuriame nurodoma, kaip reglamentą taikyti konkrečiose srityse, įskaitant rinkimus. </w:t>
      </w:r>
    </w:p>
    <w:p>
      <w:pPr>
        <w:jc w:val="both"/>
        <w:rPr>
          <w:rFonts w:ascii="Times New Roman" w:hAnsi="Times New Roman" w:cs="Times New Roman"/>
          <w:noProof/>
          <w:sz w:val="24"/>
          <w:szCs w:val="24"/>
        </w:rPr>
      </w:pPr>
      <w:r>
        <w:rPr>
          <w:rFonts w:ascii="Times New Roman" w:hAnsi="Times New Roman"/>
          <w:noProof/>
          <w:sz w:val="24"/>
        </w:rPr>
        <w:t>Bendruoju duomenų apsaugos reglamentu asmenims suteikiama teisė pateikti skundą priežiūros institucijai ir teisė pasinaudoti teisminėmis teisių gynimo priemonėmis. Juo asmenims taip pat suteikiama teisė įgalioti nevyriausybinę organizaciją pateikti skundą jų vardu</w:t>
      </w:r>
      <w:r>
        <w:rPr>
          <w:rStyle w:val="FootnoteReference"/>
          <w:rFonts w:ascii="Times New Roman" w:hAnsi="Times New Roman"/>
          <w:noProof/>
          <w:sz w:val="24"/>
        </w:rPr>
        <w:footnoteReference w:id="35"/>
      </w:r>
      <w:r>
        <w:rPr>
          <w:rFonts w:ascii="Times New Roman" w:hAnsi="Times New Roman"/>
          <w:noProof/>
          <w:sz w:val="24"/>
        </w:rPr>
        <w:t>. Tam tikrose valstybėse narėse nacionaliniais teisės aktais nevyriausybinėms organizacijoms leidžiama pateikti skundą neturint asmens įgaliojimo. Tai ypač svarbu rinkimų metu, turint omenyje, kad gali būti labai daug suinteresuotų asmenų.</w:t>
      </w:r>
      <w:r>
        <w:rPr>
          <w:noProof/>
        </w:rPr>
        <w:br w:type="page"/>
      </w:r>
    </w:p>
    <w:p>
      <w:pPr>
        <w:jc w:val="center"/>
        <w:rPr>
          <w:rFonts w:ascii="Times New Roman" w:hAnsi="Times New Roman" w:cs="Times New Roman"/>
          <w:b/>
          <w:noProof/>
          <w:sz w:val="24"/>
          <w:szCs w:val="24"/>
        </w:rPr>
      </w:pPr>
      <w:r>
        <w:rPr>
          <w:rFonts w:ascii="Times New Roman" w:hAnsi="Times New Roman"/>
          <w:b/>
          <w:noProof/>
          <w:sz w:val="24"/>
        </w:rPr>
        <w:lastRenderedPageBreak/>
        <w:t>Pagrindiniai rinkimų procese aktualūs duomenų apsaugos klausimai</w:t>
      </w:r>
      <w:r>
        <w:rPr>
          <w:rStyle w:val="FootnoteReference"/>
          <w:rFonts w:ascii="Times New Roman" w:hAnsi="Times New Roman"/>
          <w:b/>
          <w:noProof/>
          <w:sz w:val="24"/>
        </w:rPr>
        <w:footnoteReference w:id="36"/>
      </w:r>
      <w:r>
        <w:rPr>
          <w:rFonts w:ascii="Times New Roman" w:hAnsi="Times New Roman"/>
          <w:b/>
          <w:noProof/>
          <w:sz w:val="24"/>
        </w:rPr>
        <w:t xml:space="preserve"> </w:t>
      </w:r>
    </w:p>
    <w:p>
      <w:pPr>
        <w:jc w:val="both"/>
        <w:rPr>
          <w:rFonts w:ascii="Times New Roman" w:hAnsi="Times New Roman" w:cs="Times New Roman"/>
          <w:noProof/>
          <w:sz w:val="24"/>
          <w:szCs w:val="24"/>
        </w:rPr>
      </w:pPr>
    </w:p>
    <w:tbl>
      <w:tblPr>
        <w:tblStyle w:val="TableGrid"/>
        <w:tblW w:w="9296" w:type="dxa"/>
        <w:tblLook w:val="04A0" w:firstRow="1" w:lastRow="0" w:firstColumn="1" w:lastColumn="0" w:noHBand="0" w:noVBand="1"/>
      </w:tblPr>
      <w:tblGrid>
        <w:gridCol w:w="2790"/>
        <w:gridCol w:w="3644"/>
        <w:gridCol w:w="2862"/>
      </w:tblGrid>
      <w:tr>
        <w:tc>
          <w:tcPr>
            <w:tcW w:w="1526" w:type="dxa"/>
            <w:vMerge w:val="restart"/>
          </w:tcPr>
          <w:p>
            <w:pPr>
              <w:jc w:val="center"/>
              <w:rPr>
                <w:rFonts w:ascii="Times New Roman" w:hAnsi="Times New Roman" w:cs="Times New Roman"/>
                <w:b/>
                <w:noProof/>
                <w:sz w:val="24"/>
                <w:szCs w:val="24"/>
              </w:rPr>
            </w:pPr>
            <w:r>
              <w:rPr>
                <w:rFonts w:ascii="Times New Roman" w:hAnsi="Times New Roman"/>
                <w:b/>
                <w:noProof/>
                <w:sz w:val="24"/>
              </w:rPr>
              <w:t>Politinės partijos ir fondai</w:t>
            </w: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Politinės partijos ir fondai yra duomenų valdytojai</w:t>
            </w:r>
          </w:p>
        </w:tc>
      </w:tr>
      <w:tr>
        <w:tc>
          <w:tcPr>
            <w:tcW w:w="1526" w:type="dxa"/>
            <w:vMerge/>
          </w:tcPr>
          <w:p>
            <w:pPr>
              <w:jc w:val="center"/>
              <w:rPr>
                <w:rFonts w:ascii="Times New Roman" w:hAnsi="Times New Roman" w:cs="Times New Roman"/>
                <w:b/>
                <w:noProof/>
                <w:sz w:val="24"/>
              </w:rPr>
            </w:pPr>
          </w:p>
        </w:tc>
        <w:tc>
          <w:tcPr>
            <w:tcW w:w="7770" w:type="dxa"/>
            <w:gridSpan w:val="2"/>
          </w:tcPr>
          <w:p>
            <w:pPr>
              <w:pStyle w:val="ListParagraph"/>
              <w:numPr>
                <w:ilvl w:val="0"/>
                <w:numId w:val="3"/>
              </w:numPr>
              <w:rPr>
                <w:rFonts w:ascii="Times New Roman" w:hAnsi="Times New Roman" w:cs="Times New Roman"/>
                <w:noProof/>
                <w:sz w:val="24"/>
              </w:rPr>
            </w:pPr>
            <w:r>
              <w:rPr>
                <w:rFonts w:ascii="Times New Roman" w:hAnsi="Times New Roman"/>
                <w:noProof/>
                <w:sz w:val="24"/>
              </w:rPr>
              <w:t>Laikosi tikslo apribojimo principo, toliau duomenis tvarko tik suderinamu tikslu (pavyzdžiui, kai duomenimis dalijamasi su platformomis).</w:t>
            </w:r>
          </w:p>
          <w:p>
            <w:pPr>
              <w:pStyle w:val="ListParagraph"/>
              <w:numPr>
                <w:ilvl w:val="0"/>
                <w:numId w:val="3"/>
              </w:numPr>
              <w:rPr>
                <w:rFonts w:ascii="Times New Roman" w:hAnsi="Times New Roman" w:cs="Times New Roman"/>
                <w:noProof/>
                <w:sz w:val="24"/>
              </w:rPr>
            </w:pPr>
            <w:r>
              <w:rPr>
                <w:rFonts w:ascii="Times New Roman" w:hAnsi="Times New Roman"/>
                <w:noProof/>
                <w:sz w:val="24"/>
              </w:rPr>
              <w:t>Pasirenka tinkamą duomenų (taip pat numanomų duomenų) tvarkymo pagrindą: sutikimas, teisėtas interesas, viešojo intereso užduotis (jei nustatyta teisės aktais), konkrečios neskelbtiniems duomenims (pavyzdžiui, politinėms pažiūroms) taikomos sąlygos.</w:t>
            </w:r>
          </w:p>
          <w:p>
            <w:pPr>
              <w:pStyle w:val="ListParagraph"/>
              <w:numPr>
                <w:ilvl w:val="0"/>
                <w:numId w:val="3"/>
              </w:numPr>
              <w:rPr>
                <w:rFonts w:ascii="Times New Roman" w:hAnsi="Times New Roman" w:cs="Times New Roman"/>
                <w:noProof/>
                <w:sz w:val="24"/>
              </w:rPr>
            </w:pPr>
            <w:r>
              <w:rPr>
                <w:rFonts w:ascii="Times New Roman" w:hAnsi="Times New Roman"/>
                <w:noProof/>
                <w:sz w:val="24"/>
              </w:rPr>
              <w:t>Atlieka poveikio duomenų apsaugai vertinimą.</w:t>
            </w:r>
          </w:p>
          <w:p>
            <w:pPr>
              <w:pStyle w:val="ListParagraph"/>
              <w:numPr>
                <w:ilvl w:val="0"/>
                <w:numId w:val="3"/>
              </w:numPr>
              <w:rPr>
                <w:rFonts w:ascii="Times New Roman" w:hAnsi="Times New Roman" w:cs="Times New Roman"/>
                <w:noProof/>
                <w:sz w:val="24"/>
              </w:rPr>
            </w:pPr>
            <w:r>
              <w:rPr>
                <w:rFonts w:ascii="Times New Roman" w:hAnsi="Times New Roman"/>
                <w:noProof/>
                <w:sz w:val="24"/>
              </w:rPr>
              <w:t>Informuoja asmenis apie kiekvieną duomenų tvarkymo tikslą (skaidrumo reikalavimai) rinkdami duomenis tiesiogiai arba gaudami juos iš trečiųjų šalių.</w:t>
            </w:r>
          </w:p>
          <w:p>
            <w:pPr>
              <w:pStyle w:val="ListParagraph"/>
              <w:numPr>
                <w:ilvl w:val="0"/>
                <w:numId w:val="3"/>
              </w:numPr>
              <w:rPr>
                <w:rFonts w:ascii="Times New Roman" w:hAnsi="Times New Roman" w:cs="Times New Roman"/>
                <w:noProof/>
                <w:sz w:val="24"/>
              </w:rPr>
            </w:pPr>
            <w:r>
              <w:rPr>
                <w:rFonts w:ascii="Times New Roman" w:hAnsi="Times New Roman"/>
                <w:noProof/>
                <w:sz w:val="24"/>
              </w:rPr>
              <w:t>Užtikrina duomenų, visų pirma iš skirtingų šaltinių gautų duomenų ir numanomų duomenų, tikslumą.</w:t>
            </w:r>
          </w:p>
          <w:p>
            <w:pPr>
              <w:pStyle w:val="ListParagraph"/>
              <w:numPr>
                <w:ilvl w:val="0"/>
                <w:numId w:val="3"/>
              </w:numPr>
              <w:rPr>
                <w:rFonts w:ascii="Times New Roman" w:hAnsi="Times New Roman" w:cs="Times New Roman"/>
                <w:noProof/>
                <w:sz w:val="24"/>
              </w:rPr>
            </w:pPr>
            <w:r>
              <w:rPr>
                <w:rFonts w:ascii="Times New Roman" w:hAnsi="Times New Roman"/>
                <w:noProof/>
                <w:sz w:val="24"/>
              </w:rPr>
              <w:t>Patikrina, ar iš trečiųjų šalių gauti duomenys gauti teisėtai ir kokiais tikslais (pavyzdžiui, ar gautas informuoto asmens sutikimas konkrečiam tikslui).</w:t>
            </w:r>
          </w:p>
          <w:p>
            <w:pPr>
              <w:pStyle w:val="ListParagraph"/>
              <w:numPr>
                <w:ilvl w:val="0"/>
                <w:numId w:val="3"/>
              </w:numPr>
              <w:rPr>
                <w:rFonts w:ascii="Times New Roman" w:hAnsi="Times New Roman" w:cs="Times New Roman"/>
                <w:noProof/>
                <w:sz w:val="24"/>
              </w:rPr>
            </w:pPr>
            <w:r>
              <w:rPr>
                <w:rFonts w:ascii="Times New Roman" w:hAnsi="Times New Roman"/>
                <w:noProof/>
                <w:sz w:val="24"/>
              </w:rPr>
              <w:t>Atsižvelgia į konkrečią profiliavimo riziką ir priima atitinkamas apsaugos priemones.</w:t>
            </w:r>
          </w:p>
          <w:p>
            <w:pPr>
              <w:pStyle w:val="ListParagraph"/>
              <w:numPr>
                <w:ilvl w:val="0"/>
                <w:numId w:val="3"/>
              </w:numPr>
              <w:rPr>
                <w:rFonts w:ascii="Times New Roman" w:hAnsi="Times New Roman" w:cs="Times New Roman"/>
                <w:noProof/>
                <w:sz w:val="24"/>
              </w:rPr>
            </w:pPr>
            <w:r>
              <w:rPr>
                <w:rFonts w:ascii="Times New Roman" w:hAnsi="Times New Roman"/>
                <w:noProof/>
                <w:sz w:val="24"/>
              </w:rPr>
              <w:t>Automatizuotai priimdami sprendimus, laikosi konkrečių sąlygų (pavyzdžiui, gauna aiškų sutikimą ir įgyvendina tinkamas apsaugos priemones).</w:t>
            </w:r>
          </w:p>
          <w:p>
            <w:pPr>
              <w:pStyle w:val="ListParagraph"/>
              <w:numPr>
                <w:ilvl w:val="0"/>
                <w:numId w:val="3"/>
              </w:numPr>
              <w:rPr>
                <w:rFonts w:ascii="Times New Roman" w:hAnsi="Times New Roman" w:cs="Times New Roman"/>
                <w:noProof/>
                <w:sz w:val="24"/>
              </w:rPr>
            </w:pPr>
            <w:r>
              <w:rPr>
                <w:rFonts w:ascii="Times New Roman" w:hAnsi="Times New Roman"/>
                <w:noProof/>
                <w:sz w:val="24"/>
              </w:rPr>
              <w:t>Aiškiai nustato, kurie asmenys gali susipažinti su duomenimis.</w:t>
            </w:r>
          </w:p>
          <w:p>
            <w:pPr>
              <w:pStyle w:val="ListParagraph"/>
              <w:numPr>
                <w:ilvl w:val="0"/>
                <w:numId w:val="3"/>
              </w:numPr>
              <w:rPr>
                <w:rFonts w:ascii="Times New Roman" w:hAnsi="Times New Roman" w:cs="Times New Roman"/>
                <w:noProof/>
                <w:sz w:val="24"/>
              </w:rPr>
            </w:pPr>
            <w:r>
              <w:rPr>
                <w:rFonts w:ascii="Times New Roman" w:hAnsi="Times New Roman"/>
                <w:noProof/>
                <w:sz w:val="24"/>
              </w:rPr>
              <w:t>Užtikrina duomenų saugumą taikydami technines ir organizacines priemones; praneša apie duomenų saugumo pažeidimus.</w:t>
            </w:r>
          </w:p>
          <w:p>
            <w:pPr>
              <w:pStyle w:val="ListParagraph"/>
              <w:numPr>
                <w:ilvl w:val="0"/>
                <w:numId w:val="3"/>
              </w:numPr>
              <w:rPr>
                <w:rFonts w:ascii="Times New Roman" w:hAnsi="Times New Roman" w:cs="Times New Roman"/>
                <w:noProof/>
                <w:sz w:val="24"/>
              </w:rPr>
            </w:pPr>
            <w:r>
              <w:rPr>
                <w:rFonts w:ascii="Times New Roman" w:hAnsi="Times New Roman"/>
                <w:noProof/>
                <w:sz w:val="24"/>
              </w:rPr>
              <w:t>Sutartyse arba kituose teisiškai privalomuose aktuose paaiškina duomenų tvarkytojų, pavyzdžiui, duomenų analizės bendrovių, prievoles.</w:t>
            </w:r>
          </w:p>
          <w:p>
            <w:pPr>
              <w:pStyle w:val="ListParagraph"/>
              <w:numPr>
                <w:ilvl w:val="0"/>
                <w:numId w:val="3"/>
              </w:numPr>
              <w:rPr>
                <w:rFonts w:ascii="Times New Roman" w:hAnsi="Times New Roman" w:cs="Times New Roman"/>
                <w:noProof/>
                <w:sz w:val="24"/>
              </w:rPr>
            </w:pPr>
            <w:r>
              <w:rPr>
                <w:rFonts w:ascii="Times New Roman" w:hAnsi="Times New Roman"/>
                <w:noProof/>
                <w:sz w:val="24"/>
              </w:rPr>
              <w:t>Ištrina duomenis, kai jie tampa nereikalingi atsižvelgiant į pradinį tikslą, dėl kurio jie buvo surinkti.</w:t>
            </w:r>
          </w:p>
          <w:p>
            <w:pPr>
              <w:pStyle w:val="ListParagraph"/>
              <w:ind w:left="360"/>
              <w:rPr>
                <w:rFonts w:ascii="Times New Roman" w:hAnsi="Times New Roman" w:cs="Times New Roman"/>
                <w:noProof/>
                <w:sz w:val="24"/>
              </w:rPr>
            </w:pPr>
          </w:p>
        </w:tc>
      </w:tr>
      <w:tr>
        <w:tc>
          <w:tcPr>
            <w:tcW w:w="1526" w:type="dxa"/>
            <w:vMerge w:val="restart"/>
          </w:tcPr>
          <w:p>
            <w:pPr>
              <w:jc w:val="center"/>
              <w:rPr>
                <w:rFonts w:ascii="Times New Roman" w:hAnsi="Times New Roman" w:cs="Times New Roman"/>
                <w:b/>
                <w:noProof/>
                <w:sz w:val="24"/>
              </w:rPr>
            </w:pPr>
            <w:r>
              <w:rPr>
                <w:rFonts w:ascii="Times New Roman" w:hAnsi="Times New Roman"/>
                <w:b/>
                <w:noProof/>
                <w:sz w:val="24"/>
              </w:rPr>
              <w:t>Duomenų tarpininkai ir duomenų analizės bendrovės</w:t>
            </w: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 xml:space="preserve">Duomenų tarpininkai ir duomenų analizės bendrovės veikia kaip (bendri) duomenų valdytojai ar duomenų tvarkytojai, priklausomai nuo to, kokiu mastu jie kontroliuoja duomenų </w:t>
            </w:r>
            <w:r>
              <w:rPr>
                <w:rFonts w:ascii="Times New Roman" w:hAnsi="Times New Roman"/>
                <w:noProof/>
                <w:sz w:val="24"/>
              </w:rPr>
              <w:lastRenderedPageBreak/>
              <w:t>tvarkymą.</w:t>
            </w:r>
          </w:p>
        </w:tc>
      </w:tr>
      <w:tr>
        <w:tc>
          <w:tcPr>
            <w:tcW w:w="1526" w:type="dxa"/>
            <w:vMerge/>
          </w:tcPr>
          <w:p>
            <w:pPr>
              <w:jc w:val="center"/>
              <w:rPr>
                <w:rFonts w:ascii="Times New Roman" w:hAnsi="Times New Roman" w:cs="Times New Roman"/>
                <w:b/>
                <w:noProof/>
                <w:sz w:val="24"/>
              </w:rPr>
            </w:pPr>
          </w:p>
        </w:tc>
        <w:tc>
          <w:tcPr>
            <w:tcW w:w="4350" w:type="dxa"/>
          </w:tcPr>
          <w:p>
            <w:pPr>
              <w:ind w:left="255" w:hanging="201"/>
              <w:jc w:val="center"/>
              <w:rPr>
                <w:rFonts w:ascii="Times New Roman" w:hAnsi="Times New Roman" w:cs="Times New Roman"/>
                <w:noProof/>
                <w:sz w:val="24"/>
                <w:szCs w:val="24"/>
              </w:rPr>
            </w:pPr>
            <w:r>
              <w:rPr>
                <w:rFonts w:ascii="Times New Roman" w:hAnsi="Times New Roman"/>
                <w:noProof/>
                <w:sz w:val="24"/>
              </w:rPr>
              <w:t>Kaip duomenų valdytojai</w:t>
            </w:r>
          </w:p>
        </w:tc>
        <w:tc>
          <w:tcPr>
            <w:tcW w:w="3420" w:type="dxa"/>
          </w:tcPr>
          <w:p>
            <w:pPr>
              <w:pStyle w:val="ListParagraph"/>
              <w:ind w:left="225" w:hanging="225"/>
              <w:jc w:val="center"/>
              <w:rPr>
                <w:rFonts w:ascii="Times New Roman" w:hAnsi="Times New Roman" w:cs="Times New Roman"/>
                <w:noProof/>
                <w:sz w:val="24"/>
                <w:szCs w:val="24"/>
              </w:rPr>
            </w:pPr>
            <w:r>
              <w:rPr>
                <w:rFonts w:ascii="Times New Roman" w:hAnsi="Times New Roman"/>
                <w:noProof/>
                <w:sz w:val="24"/>
              </w:rPr>
              <w:t>Kaip duomenų tvarkytojai</w:t>
            </w:r>
          </w:p>
        </w:tc>
      </w:tr>
      <w:tr>
        <w:tc>
          <w:tcPr>
            <w:tcW w:w="1526" w:type="dxa"/>
            <w:vMerge/>
          </w:tcPr>
          <w:p>
            <w:pPr>
              <w:jc w:val="center"/>
              <w:rPr>
                <w:rFonts w:ascii="Times New Roman" w:hAnsi="Times New Roman" w:cs="Times New Roman"/>
                <w:b/>
                <w:noProof/>
                <w:sz w:val="24"/>
                <w:szCs w:val="24"/>
              </w:rPr>
            </w:pPr>
          </w:p>
        </w:tc>
        <w:tc>
          <w:tcPr>
            <w:tcW w:w="4350" w:type="dxa"/>
          </w:tcPr>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Laikosi tikslo ribojimo principo, toliau duomenis tvarko tik suderinamu tikslu (visų pirma tais atvejais, kai dalijasi duomenimis su trečiosiomis šalimis).</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Pasirenka tinkamą duomenų tvarkymo teisinį pagrindą: sutikimas, teisėtas interesas. Neskelbtinų duomenų atveju duomenis galima tvarkyti tik gavus aiškų sutikimą arba aiškiai viešai paskelbus duomenis.</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Atlieka poveikio duomenų apsaugai vertinimą.</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Informuoja asmenis apie kiekvieną duomenų tvarkymo tikslą (skaidrumo reikalavimai) – visų pirma tais atvejais, kai sutikimo prašoma atsižvelgiant į tai, kad duomenys paprastai bus parduodami trečiajai šaliai.</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Automatizuotai priimdami sprendimus, laikosi konkrečių sąlygų (pavyzdžiui, gauna aiškų sutikimą ir įgyvendina tinkamas apsaugos priemones).</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Ypatingą dėmesį skiria duomenų tvarkymo teisėtumui ir tikslumui, kai derinami skirtingi duomenų rinkiniai.</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Užtikrina duomenų saugumą taikydami technines ir organizacines priemones; praneša apie duomenų saugumo pažeidimus.</w:t>
            </w:r>
          </w:p>
          <w:p>
            <w:pPr>
              <w:pStyle w:val="ListParagraph"/>
              <w:ind w:left="255"/>
              <w:rPr>
                <w:rFonts w:ascii="Times New Roman" w:hAnsi="Times New Roman" w:cs="Times New Roman"/>
                <w:noProof/>
                <w:sz w:val="24"/>
              </w:rPr>
            </w:pPr>
          </w:p>
        </w:tc>
        <w:tc>
          <w:tcPr>
            <w:tcW w:w="3420" w:type="dxa"/>
          </w:tcPr>
          <w:p>
            <w:pPr>
              <w:pStyle w:val="ListParagraph"/>
              <w:numPr>
                <w:ilvl w:val="0"/>
                <w:numId w:val="4"/>
              </w:numPr>
              <w:ind w:left="225" w:hanging="225"/>
              <w:rPr>
                <w:rFonts w:ascii="Times New Roman" w:hAnsi="Times New Roman" w:cs="Times New Roman"/>
                <w:noProof/>
                <w:sz w:val="24"/>
              </w:rPr>
            </w:pPr>
            <w:r>
              <w:rPr>
                <w:rFonts w:ascii="Times New Roman" w:hAnsi="Times New Roman"/>
                <w:noProof/>
                <w:sz w:val="24"/>
              </w:rPr>
              <w:t>Laikosi sutartyje arba kitame privalomame teisės akte nustatytų duomenų valdytojo prievolių.</w:t>
            </w:r>
          </w:p>
          <w:p>
            <w:pPr>
              <w:pStyle w:val="ListParagraph"/>
              <w:numPr>
                <w:ilvl w:val="0"/>
                <w:numId w:val="4"/>
              </w:numPr>
              <w:ind w:left="225" w:hanging="225"/>
              <w:rPr>
                <w:rFonts w:ascii="Times New Roman" w:hAnsi="Times New Roman" w:cs="Times New Roman"/>
                <w:noProof/>
                <w:sz w:val="24"/>
              </w:rPr>
            </w:pPr>
            <w:r>
              <w:rPr>
                <w:rFonts w:ascii="Times New Roman" w:hAnsi="Times New Roman"/>
                <w:noProof/>
                <w:sz w:val="24"/>
              </w:rPr>
              <w:t>Užtikrina duomenų saugumą taikydami technines ir organizacines priemones.</w:t>
            </w:r>
          </w:p>
          <w:p>
            <w:pPr>
              <w:pStyle w:val="ListParagraph"/>
              <w:numPr>
                <w:ilvl w:val="0"/>
                <w:numId w:val="4"/>
              </w:numPr>
              <w:ind w:left="225" w:hanging="219"/>
              <w:rPr>
                <w:rFonts w:ascii="Times New Roman" w:hAnsi="Times New Roman" w:cs="Times New Roman"/>
                <w:noProof/>
                <w:sz w:val="24"/>
              </w:rPr>
            </w:pPr>
            <w:r>
              <w:rPr>
                <w:rFonts w:ascii="Times New Roman" w:hAnsi="Times New Roman"/>
                <w:noProof/>
                <w:sz w:val="24"/>
              </w:rPr>
              <w:t>Padeda duomenų valdytojui atlikti poveikio duomenų apsaugai vertinimą, įgyvendinant duomenų subjektų teises arba nedelsiant pranešant duomenų valdytojui apie duomenų saugumo pažeidimą, jei apie jį sužinoma.</w:t>
            </w:r>
          </w:p>
        </w:tc>
      </w:tr>
      <w:tr>
        <w:tc>
          <w:tcPr>
            <w:tcW w:w="1526" w:type="dxa"/>
          </w:tcPr>
          <w:p>
            <w:pPr>
              <w:jc w:val="center"/>
              <w:rPr>
                <w:rFonts w:ascii="Times New Roman" w:hAnsi="Times New Roman" w:cs="Times New Roman"/>
                <w:b/>
                <w:noProof/>
                <w:sz w:val="24"/>
              </w:rPr>
            </w:pPr>
          </w:p>
        </w:tc>
        <w:tc>
          <w:tcPr>
            <w:tcW w:w="7770" w:type="dxa"/>
            <w:gridSpan w:val="2"/>
          </w:tcPr>
          <w:p>
            <w:pPr>
              <w:pStyle w:val="ListParagraph"/>
              <w:ind w:left="255"/>
              <w:jc w:val="center"/>
              <w:rPr>
                <w:rFonts w:ascii="Times New Roman" w:hAnsi="Times New Roman" w:cs="Times New Roman"/>
                <w:noProof/>
                <w:sz w:val="24"/>
              </w:rPr>
            </w:pPr>
            <w:r>
              <w:rPr>
                <w:rFonts w:ascii="Times New Roman" w:hAnsi="Times New Roman"/>
                <w:noProof/>
                <w:sz w:val="24"/>
              </w:rPr>
              <w:t>Platformos paprastai yra duomenų valdytojai, jei duomenys tvarkomi jų platformose, ir galbūt bendri duomenų valdytojai kartu su kitomis organizacijomis.</w:t>
            </w:r>
          </w:p>
        </w:tc>
      </w:tr>
      <w:tr>
        <w:tc>
          <w:tcPr>
            <w:tcW w:w="1526" w:type="dxa"/>
          </w:tcPr>
          <w:p>
            <w:pPr>
              <w:jc w:val="center"/>
              <w:rPr>
                <w:rFonts w:ascii="Times New Roman" w:hAnsi="Times New Roman" w:cs="Times New Roman"/>
                <w:b/>
                <w:noProof/>
                <w:sz w:val="24"/>
                <w:szCs w:val="24"/>
              </w:rPr>
            </w:pPr>
            <w:r>
              <w:rPr>
                <w:rFonts w:ascii="Times New Roman" w:hAnsi="Times New Roman"/>
                <w:b/>
                <w:noProof/>
                <w:sz w:val="24"/>
              </w:rPr>
              <w:t>Socialinių tinklų platformos / internetiniai reklamų tinklai</w:t>
            </w:r>
          </w:p>
        </w:tc>
        <w:tc>
          <w:tcPr>
            <w:tcW w:w="7770" w:type="dxa"/>
            <w:gridSpan w:val="2"/>
          </w:tcPr>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Pasirenka tinkamą duomenų tvarkymo teisinį pagrindą: sutartis su asmenimis, sutikimas, teisėtas interesas. Neskelbtinų duomenų atveju duomenis galima tvarkyti tik gavus aiškų sutikimą arba aiškiai viešai paskelbus duomenis.</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Naudoja tik tuos duomenis, kurie yra būtini nustatytam tikslui pasiekti.</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lastRenderedPageBreak/>
              <w:t>Atlieka poveikio duomenų apsaugai vertinimą.</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Su trečiosiomis šalimis dalydamiesi duomenimis apie narius, užtikrina teisėtumą.</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Laikosi skaidrumo reikalavimų, visų pirma susijusių su nuostatomis ir sąlygomis, jeigu duomenimis vėliau dalijamasi su trečiąja šalimi ir pan.</w:t>
            </w:r>
          </w:p>
          <w:p>
            <w:pPr>
              <w:pStyle w:val="ListParagraph"/>
              <w:numPr>
                <w:ilvl w:val="0"/>
                <w:numId w:val="3"/>
              </w:numPr>
              <w:ind w:left="255" w:hanging="255"/>
              <w:rPr>
                <w:rFonts w:ascii="Times New Roman" w:hAnsi="Times New Roman" w:cs="Times New Roman"/>
                <w:noProof/>
                <w:sz w:val="24"/>
              </w:rPr>
            </w:pPr>
            <w:r>
              <w:rPr>
                <w:rFonts w:ascii="Times New Roman" w:hAnsi="Times New Roman"/>
                <w:noProof/>
                <w:sz w:val="24"/>
              </w:rPr>
              <w:t>Automatizuotai priimdami sprendimus, laikosi konkrečių sąlygų (pavyzdžiui, gauna aiškų sutikimą ir įgyvendina tinkamas apsaugos priemones).</w:t>
            </w:r>
          </w:p>
          <w:p>
            <w:pPr>
              <w:pStyle w:val="ListParagraph"/>
              <w:numPr>
                <w:ilvl w:val="0"/>
                <w:numId w:val="3"/>
              </w:numPr>
              <w:ind w:left="255" w:hanging="218"/>
              <w:rPr>
                <w:rFonts w:ascii="Times New Roman" w:hAnsi="Times New Roman" w:cs="Times New Roman"/>
                <w:b/>
                <w:noProof/>
                <w:sz w:val="24"/>
              </w:rPr>
            </w:pPr>
            <w:r>
              <w:rPr>
                <w:rFonts w:ascii="Times New Roman" w:hAnsi="Times New Roman"/>
                <w:noProof/>
                <w:sz w:val="24"/>
              </w:rPr>
              <w:t>Užtikrina duomenų saugumą taikydami technines ir organizacines priemones; praneša apie duomenų saugumo pažeidimus.</w:t>
            </w:r>
          </w:p>
          <w:p>
            <w:pPr>
              <w:pStyle w:val="ListParagraph"/>
              <w:numPr>
                <w:ilvl w:val="0"/>
                <w:numId w:val="3"/>
              </w:numPr>
              <w:ind w:left="255" w:hanging="218"/>
              <w:rPr>
                <w:rFonts w:ascii="Times New Roman" w:hAnsi="Times New Roman" w:cs="Times New Roman"/>
                <w:noProof/>
                <w:sz w:val="24"/>
              </w:rPr>
            </w:pPr>
            <w:r>
              <w:rPr>
                <w:rFonts w:ascii="Times New Roman" w:hAnsi="Times New Roman"/>
                <w:noProof/>
                <w:sz w:val="24"/>
              </w:rPr>
              <w:t>Numato kontrolės priemones ir sąlygas, kuriomis asmenys gali veiksmingai įgyvendinti savo teises, įskaitant teisę į tai, kad jiems nebūtų taikomas tik automatizuotu duomenų tvarkymu grindžiamas sprendimas.</w:t>
            </w:r>
          </w:p>
        </w:tc>
      </w:tr>
      <w:tr>
        <w:tc>
          <w:tcPr>
            <w:tcW w:w="1526" w:type="dxa"/>
          </w:tcPr>
          <w:p>
            <w:pPr>
              <w:jc w:val="center"/>
              <w:rPr>
                <w:rFonts w:ascii="Times New Roman" w:hAnsi="Times New Roman" w:cs="Times New Roman"/>
                <w:b/>
                <w:noProof/>
                <w:sz w:val="24"/>
              </w:rPr>
            </w:pPr>
          </w:p>
        </w:tc>
        <w:tc>
          <w:tcPr>
            <w:tcW w:w="7770" w:type="dxa"/>
            <w:gridSpan w:val="2"/>
          </w:tcPr>
          <w:p>
            <w:pPr>
              <w:pStyle w:val="ListParagraph"/>
              <w:ind w:left="225" w:hanging="225"/>
              <w:jc w:val="center"/>
              <w:rPr>
                <w:rFonts w:ascii="Times New Roman" w:hAnsi="Times New Roman" w:cs="Times New Roman"/>
                <w:noProof/>
                <w:sz w:val="24"/>
              </w:rPr>
            </w:pPr>
            <w:r>
              <w:rPr>
                <w:rFonts w:ascii="Times New Roman" w:hAnsi="Times New Roman"/>
                <w:noProof/>
                <w:sz w:val="24"/>
              </w:rPr>
              <w:t>Nacionalinės rinkimų institucijos yra duomenų valdytojai</w:t>
            </w:r>
          </w:p>
        </w:tc>
      </w:tr>
      <w:tr>
        <w:tc>
          <w:tcPr>
            <w:tcW w:w="1526" w:type="dxa"/>
          </w:tcPr>
          <w:p>
            <w:pPr>
              <w:jc w:val="center"/>
              <w:rPr>
                <w:rFonts w:ascii="Times New Roman" w:hAnsi="Times New Roman" w:cs="Times New Roman"/>
                <w:b/>
                <w:noProof/>
                <w:sz w:val="24"/>
                <w:szCs w:val="24"/>
              </w:rPr>
            </w:pPr>
            <w:r>
              <w:rPr>
                <w:rFonts w:ascii="Times New Roman" w:hAnsi="Times New Roman"/>
                <w:b/>
                <w:noProof/>
                <w:sz w:val="24"/>
              </w:rPr>
              <w:t>Nacionalinės rinkimų institucijos</w:t>
            </w:r>
          </w:p>
        </w:tc>
        <w:tc>
          <w:tcPr>
            <w:tcW w:w="7770" w:type="dxa"/>
            <w:gridSpan w:val="2"/>
          </w:tcPr>
          <w:p>
            <w:pPr>
              <w:pStyle w:val="ListParagraph"/>
              <w:numPr>
                <w:ilvl w:val="0"/>
                <w:numId w:val="5"/>
              </w:numPr>
              <w:ind w:left="320" w:hanging="283"/>
              <w:rPr>
                <w:rFonts w:ascii="Times New Roman" w:hAnsi="Times New Roman" w:cs="Times New Roman"/>
                <w:noProof/>
                <w:sz w:val="24"/>
              </w:rPr>
            </w:pPr>
            <w:r>
              <w:rPr>
                <w:rFonts w:ascii="Times New Roman" w:hAnsi="Times New Roman"/>
                <w:noProof/>
                <w:sz w:val="24"/>
              </w:rPr>
              <w:t>Duomenų tvarkymo teisinis pagrindas: teisinė prievolė arba įstatymu pagrįsta su viešuoju interesu susijusi užduotis.</w:t>
            </w:r>
          </w:p>
          <w:p>
            <w:pPr>
              <w:pStyle w:val="ListParagraph"/>
              <w:numPr>
                <w:ilvl w:val="0"/>
                <w:numId w:val="5"/>
              </w:numPr>
              <w:ind w:left="320" w:hanging="283"/>
              <w:rPr>
                <w:rFonts w:ascii="Times New Roman" w:hAnsi="Times New Roman" w:cs="Times New Roman"/>
                <w:noProof/>
                <w:sz w:val="24"/>
              </w:rPr>
            </w:pPr>
            <w:r>
              <w:rPr>
                <w:rFonts w:ascii="Times New Roman" w:hAnsi="Times New Roman"/>
                <w:noProof/>
                <w:sz w:val="24"/>
              </w:rPr>
              <w:t xml:space="preserve">Atlieka poveikio duomenų apsaugai vertinimą, jeigu poveikis dar neįvertintas teisės akte. </w:t>
            </w:r>
          </w:p>
        </w:tc>
      </w:tr>
    </w:tbl>
    <w:p>
      <w:pPr>
        <w:rPr>
          <w:rFonts w:ascii="Times New Roman" w:hAnsi="Times New Roman" w:cs="Times New Roman"/>
          <w:noProof/>
        </w:rPr>
      </w:pPr>
    </w:p>
    <w:p>
      <w:pPr>
        <w:jc w:val="center"/>
        <w:rPr>
          <w:rFonts w:ascii="Times New Roman" w:hAnsi="Times New Roman" w:cs="Times New Roman"/>
          <w:b/>
          <w:noProof/>
          <w:sz w:val="24"/>
        </w:rPr>
      </w:pPr>
    </w:p>
    <w:p>
      <w:pPr>
        <w:jc w:val="center"/>
        <w:rPr>
          <w:rFonts w:ascii="Times New Roman" w:hAnsi="Times New Roman" w:cs="Times New Roman"/>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2931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2018 m. liepos 10 d. Jungtinės Karalystės duomenų apsaugos institucijos (angl. – Information Commissioner’s Office(ICO)) ataskaitos „Investigation into the use of data analytics in political campaigns – Investigation update“ ir „Democracy Disrupted? Personal information and political influence“.</w:t>
      </w:r>
    </w:p>
  </w:footnote>
  <w:footnote w:id="3">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https://edps.europa.eu/sites/edp/files/publication/18-03-19_online_manipulation_en.pdf.</w:t>
      </w:r>
    </w:p>
  </w:footnote>
  <w:footnote w:id="4">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http://www.garanteprivacy.it/web/guest/home/docweb/-/docweb-display/docweb/3013267, „Provvedimento in materia di trattamento di dati presso i partiti politici e di esonero dall’informativa per fini di propaganda elettorale“, paskelbta 2014 m. kovo 26 d. Italijos duomenų apsaugos institucijos oficialiajame leidinyje Nr. 71 (internetinis dok. Nr. 3013267); </w:t>
      </w:r>
      <w:hyperlink r:id="rId1">
        <w:r>
          <w:rPr>
            <w:rFonts w:ascii="Times New Roman" w:hAnsi="Times New Roman"/>
            <w:sz w:val="18"/>
          </w:rPr>
          <w:t>https://www.cnil.fr/fr/communication-politique-quelles-sont-les-regles-pour-lutilisation-des-donnees-issues-des-reseaux</w:t>
        </w:r>
      </w:hyperlink>
      <w:r>
        <w:t>,</w:t>
      </w:r>
      <w:r>
        <w:rPr>
          <w:rFonts w:ascii="Times New Roman" w:hAnsi="Times New Roman"/>
          <w:sz w:val="18"/>
        </w:rPr>
        <w:t xml:space="preserve"> „Communication politique: quelles sont les règles pour l’utilisation des données issues des réseaux sociaux?“, paskelbė </w:t>
      </w:r>
      <w:r>
        <w:rPr>
          <w:rFonts w:ascii="Times New Roman" w:hAnsi="Times New Roman"/>
          <w:i/>
          <w:sz w:val="18"/>
        </w:rPr>
        <w:t>Commission Nationale de l’informatique et des libertés</w:t>
      </w:r>
      <w:r>
        <w:rPr>
          <w:rFonts w:ascii="Times New Roman" w:hAnsi="Times New Roman"/>
          <w:sz w:val="18"/>
        </w:rPr>
        <w:t xml:space="preserve"> (Prancūzijos nacionalinė informatikos ir laisvės komisija), 2016 m. lapkričio 8 d.; </w:t>
      </w:r>
      <w:hyperlink r:id="rId2">
        <w:r>
          <w:rPr>
            <w:rFonts w:ascii="Times New Roman" w:hAnsi="Times New Roman"/>
            <w:sz w:val="18"/>
          </w:rPr>
          <w:t>https://ico.org.uk/media/for-organisations/documents/1589/promotion_of_a_political_party.pdf</w:t>
        </w:r>
      </w:hyperlink>
      <w:r>
        <w:rPr>
          <w:rFonts w:ascii="Times New Roman" w:hAnsi="Times New Roman"/>
          <w:sz w:val="18"/>
        </w:rPr>
        <w:t>, Informacijos komisaro biuras „Guidance on political campaigning“ (2017 m. balandžio 26 d.).</w:t>
      </w:r>
    </w:p>
  </w:footnote>
  <w:footnote w:id="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L 119, 2016 5 4, p. 1).</w:t>
      </w:r>
    </w:p>
  </w:footnote>
  <w:footnote w:id="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Komisijos rekomendacijas dėl Bendrojo duomenų apsaugos reglamento galima rasti adresu </w:t>
      </w:r>
      <w:r>
        <w:rPr>
          <w:rStyle w:val="Hyperlink"/>
          <w:rFonts w:ascii="Times New Roman" w:hAnsi="Times New Roman"/>
          <w:color w:val="auto"/>
          <w:sz w:val="18"/>
          <w:u w:val="none"/>
        </w:rPr>
        <w:t>https://ec.europa.eu/commission/priorities/justice-and-fundamental-rights/data-protection/2018-reform-eu-data-protection-rules_lt.</w:t>
      </w:r>
    </w:p>
  </w:footnote>
  <w:footnote w:id="7">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83 straipsnis.</w:t>
      </w:r>
    </w:p>
  </w:footnote>
  <w:footnote w:id="8">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Europos duomenų apsaugos priežiūros pareigūnas taip pat skelbia nuomones.</w:t>
      </w:r>
    </w:p>
  </w:footnote>
  <w:footnote w:id="9">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2002 m. liepos 12 d. Europos Parlamento ir Tarybos direktyva 2002/58/EB dėl asmens duomenų tvarkymo ir privatumo apsaugos elektroninių ryšių sektoriuje (Direktyva dėl privatumo ir elektroninių ryšių) (OL L 201, 2002 7 31, p. 37).</w:t>
      </w:r>
    </w:p>
  </w:footnote>
  <w:footnote w:id="1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Pasiūlymas dėl Europos Parlamento ir Tarybos reglamento dėl teisės į privatų gyvenimą ir asmens duomenų apsaugos elektroninių ryšių srityje, kuriuo panaikinama Direktyva 2002/58/EB (Reglamentas dėl privatumo ir elektroninių ryšių), COM(2017) 10 </w:t>
      </w:r>
      <w:r>
        <w:rPr>
          <w:rFonts w:ascii="Times New Roman" w:hAnsi="Times New Roman"/>
          <w:i/>
          <w:sz w:val="18"/>
        </w:rPr>
        <w:t>final</w:t>
      </w:r>
      <w:r>
        <w:rPr>
          <w:rFonts w:ascii="Times New Roman" w:hAnsi="Times New Roman"/>
          <w:sz w:val="18"/>
        </w:rPr>
        <w:t>.</w:t>
      </w:r>
    </w:p>
  </w:footnote>
  <w:footnote w:id="11">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85 straipsnio 2 dalis.</w:t>
      </w:r>
    </w:p>
  </w:footnote>
  <w:footnote w:id="1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9 straipsnio 1 dalis.</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Naujausioje Europos Sąjungos Teisingumo Teismo praktikoje (2018 m. liepos 10 d. Sprendimas byloje C-25/17, susijusioje su Jehovos liudytojais) paaiškinta, kad organizacija, kuri „daro įtaką“ asmens duomenų rinkimo ir tvarkymo veiklai, tam tikromis aplinkybėmis gali būti laikoma duomenų valdytoja.</w:t>
      </w:r>
    </w:p>
  </w:footnote>
  <w:footnote w:id="14">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5 ir 6 straipsniai.</w:t>
      </w:r>
    </w:p>
  </w:footnote>
  <w:footnote w:id="1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7 straipsnis ir 4 straipsnio 11 dalis.</w:t>
      </w:r>
    </w:p>
  </w:footnote>
  <w:footnote w:id="1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Jeigu nedaromas didelis poveikis atitinkamų asmenų teisėms ir laisvėms.</w:t>
      </w:r>
    </w:p>
  </w:footnote>
  <w:footnote w:id="1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Žr. Bendrojo duomenų apsaugos reglamento 56 konstatuojamąją dalį: „kai, vykstant rinkimams, demokratinės sistemos veikimui valstybėje narėje užtikrinti būtina, kad politinės partijos surinktų asmens duomenis apie asmenų politines pažiūras, dėl viešojo intereso priežasčių gali būti leista tvarkyti tokius duomenis su sąlyga, kad yra nustatytos tinkamos apsaugos priemonės“.</w:t>
      </w:r>
    </w:p>
  </w:footnote>
  <w:footnote w:id="18">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9 straipsnis.</w:t>
      </w:r>
    </w:p>
  </w:footnote>
  <w:footnote w:id="1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9 straipsnio 2 dalies a punktas.</w:t>
      </w:r>
    </w:p>
  </w:footnote>
  <w:footnote w:id="2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9 straipsnio 2 dalies e punktas.</w:t>
      </w:r>
    </w:p>
  </w:footnote>
  <w:footnote w:id="21">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9 straipsnio 2 dalies g punktas.</w:t>
      </w:r>
    </w:p>
  </w:footnote>
  <w:footnote w:id="22">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9 straipsnio 2 dalies d punktas. Politinė partija arba fondas su trečiosiomis šalimis be atitinkamo asmens sutikimo negali dalytis duomenimis, susijusiais su jų nariais ar buvusiais nariais arba asmenimis, su kuriais tokie nariai reguliariai bendravo.</w:t>
      </w:r>
    </w:p>
  </w:footnote>
  <w:footnote w:id="23">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5 straipsnio 1 dalies b punktas.</w:t>
      </w:r>
    </w:p>
  </w:footnote>
  <w:footnote w:id="24">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5 straipsnio 1 dalies a punktas.</w:t>
      </w:r>
    </w:p>
  </w:footnote>
  <w:footnote w:id="2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13 ir 14 straipsniai.</w:t>
      </w:r>
    </w:p>
  </w:footnote>
  <w:footnote w:id="26">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Europos duomenų apsaugos valdybos rekomendacijos dėl skaidrumo.</w:t>
      </w:r>
    </w:p>
  </w:footnote>
  <w:footnote w:id="27">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14 straipsnis.</w:t>
      </w:r>
    </w:p>
  </w:footnote>
  <w:footnote w:id="28">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Kaip apibrėžta Bendrojo duomenų apsaugos reglamento 4 straipsnio 4 dalyje.</w:t>
      </w:r>
    </w:p>
  </w:footnote>
  <w:footnote w:id="29">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13 straipsnio 2 dalis.</w:t>
      </w:r>
    </w:p>
  </w:footnote>
  <w:footnote w:id="30">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22 straipsnis.</w:t>
      </w:r>
    </w:p>
  </w:footnote>
  <w:footnote w:id="31">
    <w:p>
      <w:pPr>
        <w:pStyle w:val="FootnoteText"/>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Europos duomenų apsaugos valdybos Automatizuoto sprendimų priėmimo gairės, WP251, 1 red., paskutinį kartą peržiūrėtos ir patvirtintos 2018 m. vasario 6 d.</w:t>
      </w:r>
    </w:p>
  </w:footnote>
  <w:footnote w:id="3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32 straipsnis.</w:t>
      </w:r>
    </w:p>
  </w:footnote>
  <w:footnote w:id="3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33 ir 34 straipsniai ir Europos duomenų apsaugos valdybos gairės dėl pranešimo apie asmens duomenų saugumo pažeidimą.</w:t>
      </w:r>
    </w:p>
  </w:footnote>
  <w:footnote w:id="34">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35 ir 36 straipsniai ir Europos duomenų apsaugos valdybos gairės dėl poveikio duomenų apsaugai vertinimo.</w:t>
      </w:r>
    </w:p>
  </w:footnote>
  <w:footnote w:id="35">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Bendrojo duomenų apsaugos reglamento 80 straipsnio 1 dalis.</w:t>
      </w:r>
    </w:p>
  </w:footnote>
  <w:footnote w:id="36">
    <w:p>
      <w:pPr>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Pirmiau pateikta informacija jokiu būdu nėra išsami. Ja siekiama atkreipti dėmesį į įvairias svarbias Bendrajame duomenų apsaugos reglamente nustatytas prievoles, susijusias su duomenimis, kurie yra svarbūs rinkimų procese. Jie yra susiję su tais atvejais, kai politinės partijos pačios renka duomenis (iš viešųjų šaltinių, dalyvaudamos socialiniuose tinkluose, tiesiogiai iš rinkėjų ir pan.) ir, norėdamos per socialinių tinklų platformas pasiekti daugiau rinkėjų, naudojasi duomenų tarpininkų arba duomenų analizės bendrovių paslaugomis. Pirmiau minėtiems subjektams platformos taip pat gali būti duomenų šaltinis. Svarbūs gali būti ir kiti teisės aktai, pavyzdžiui, nepageidaujamų pranešimų siuntimo taisyklės ir E. privatumo direktyvoje numatyta galinių įrenginių apsauga.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550"/>
    <w:multiLevelType w:val="hybridMultilevel"/>
    <w:tmpl w:val="9BDC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8A2E48"/>
    <w:multiLevelType w:val="hybridMultilevel"/>
    <w:tmpl w:val="9758B2F2"/>
    <w:lvl w:ilvl="0" w:tplc="32C41B2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D311D1"/>
    <w:multiLevelType w:val="multilevel"/>
    <w:tmpl w:val="415821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8EF4290"/>
    <w:multiLevelType w:val="hybridMultilevel"/>
    <w:tmpl w:val="AEA4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1D51B7"/>
    <w:multiLevelType w:val="hybridMultilevel"/>
    <w:tmpl w:val="4C0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2C69D5"/>
    <w:multiLevelType w:val="hybridMultilevel"/>
    <w:tmpl w:val="ECD2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57147C"/>
    <w:multiLevelType w:val="hybridMultilevel"/>
    <w:tmpl w:val="241CC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F7154C"/>
    <w:multiLevelType w:val="hybridMultilevel"/>
    <w:tmpl w:val="6C42B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3"/>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1"/>
  <w:revisionView w:markup="0"/>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64EE008-CD26-44AF-9A88-EA1C53E6994C"/>
    <w:docVar w:name="LW_COVERPAGE_TYPE" w:val="1"/>
    <w:docVar w:name="LW_CROSSREFERENCE" w:val="&lt;UNUSED&gt;"/>
    <w:docVar w:name="LW_DocType" w:val="NORMAL"/>
    <w:docVar w:name="LW_EMISSION" w:val="2018 09 12"/>
    <w:docVar w:name="LW_EMISSION_ISODATE" w:val="2018-09-12"/>
    <w:docVar w:name="LW_EMISSION_LOCATION" w:val="BRX"/>
    <w:docVar w:name="LW_EMISSION_PREFIX" w:val="Briuselis, "/>
    <w:docVar w:name="LW_EMISSION_SUFFIX" w:val=" "/>
    <w:docVar w:name="LW_ID_DOCTYPE_NONLW" w:val="CP-035"/>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6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aisvi ir s\u261?\u382?iningi rinkimai"/>
    <w:docVar w:name="LW_TITRE.OBJ.CP" w:val="Komisijos gair\u279?s d\u279?l S\u261?jungos duomen\u371? apsaugos teis\u279?s akt\u371? taikymo rinkimams_x000b__x000b_&lt;FMT:Italic&gt;Europos Komisijos med\u382?iaga vadov\u371? susitikimui Zalcburge 2018 m. rugs\u279?jo 19 - 20 d.&lt;/FMT&gt;_x000d__x000d__x000b__x000d__x000d__x000b_&lt;FMT:Italic&gt;_x000d__x000d_&lt;/FMT&gt;_x000b__x000d__x000d__x000d__x000d__x000d__x000b__x000d__x000d__x000d__x000d__x000d__x000b__x000d__x000d__x000d__x000d__x000d__x000b_"/>
    <w:docVar w:name="LW_TYPE.DOC.CP" w:val="REKOMENDACINIS DOKUMENTAS"/>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lt-LT"/>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lt-LT" w:eastAsia="lt-L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Pr>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BVI fnr,number,styl"/>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lt-LT"/>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lt-LT"/>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lang w:val="lt-LT"/>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val="lt-L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lt-LT"/>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lt-LT" w:eastAsia="lt-L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Pr>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BVI fnr,number,styl"/>
    <w:basedOn w:val="DefaultParagraphFont"/>
    <w:uiPriority w:val="99"/>
    <w:unhideWhenUsed/>
    <w:qFormat/>
    <w:rPr>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lt-LT"/>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lt-LT"/>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lang w:val="lt-LT"/>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val="lt-L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47627">
      <w:bodyDiv w:val="1"/>
      <w:marLeft w:val="0"/>
      <w:marRight w:val="0"/>
      <w:marTop w:val="0"/>
      <w:marBottom w:val="0"/>
      <w:divBdr>
        <w:top w:val="none" w:sz="0" w:space="0" w:color="auto"/>
        <w:left w:val="none" w:sz="0" w:space="0" w:color="auto"/>
        <w:bottom w:val="none" w:sz="0" w:space="0" w:color="auto"/>
        <w:right w:val="none" w:sz="0" w:space="0" w:color="auto"/>
      </w:divBdr>
    </w:div>
    <w:div w:id="2013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ico.org.uk/media/for-organisations/documents/1589/promotion_of_a_political_party.pdf" TargetMode="External"/><Relationship Id="rId1" Type="http://schemas.openxmlformats.org/officeDocument/2006/relationships/hyperlink" Target="https://www.cnil.fr/fr/communication-politique-quelles-sont-les-regles-pour-lutilisation-des-donnees-issues-des-resea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E3E9-41C9-4778-90B7-3FBA78A4F897}">
  <ds:schemaRefs>
    <ds:schemaRef ds:uri="http://schemas.microsoft.com/sharepoint/v3/contenttype/forms"/>
  </ds:schemaRefs>
</ds:datastoreItem>
</file>

<file path=customXml/itemProps2.xml><?xml version="1.0" encoding="utf-8"?>
<ds:datastoreItem xmlns:ds="http://schemas.openxmlformats.org/officeDocument/2006/customXml" ds:itemID="{B524F6BB-09FC-44B1-8E7D-5AEDA48FEB44}">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724151e2-140d-4670-8684-77a651b4f52a"/>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81519FA2-446D-4452-8306-DFF61280B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BC581-E895-46C3-9608-CDBCE8D0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3657</Words>
  <Characters>26114</Characters>
  <Application>Microsoft Office Word</Application>
  <DocSecurity>0</DocSecurity>
  <Lines>466</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2018-09-09T15:15:00Z</cp:lastPrinted>
  <dcterms:created xsi:type="dcterms:W3CDTF">2018-09-07T16:20:00Z</dcterms:created>
  <dcterms:modified xsi:type="dcterms:W3CDTF">2018-10-01T09:05:00Z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0x010100258AA79CEB83498886A3A086811232500017A1C524D8DBC041BAC361A7FA0BC3BA</vt:lpwstr>
  </property>
  <property name="OP_sanitized" fmtid="{D5CDD505-2E9C-101B-9397-08002B2CF9AE}" pid="9">
    <vt:lpwstr>True</vt:lpwstr>
  </property>
</Properties>
</file>