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5ECD3F4-2080-4D93-84FD-59CFEB69BF7C" style="width:450.45pt;height:348.5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pStyle w:val="Heading1"/>
        <w:numPr>
          <w:ilvl w:val="0"/>
          <w:numId w:val="0"/>
        </w:numPr>
        <w:ind w:left="480"/>
        <w:jc w:val="center"/>
        <w:rPr>
          <w:noProof/>
        </w:rPr>
      </w:pPr>
      <w:bookmarkStart w:id="1" w:name="_GoBack"/>
      <w:bookmarkEnd w:id="1"/>
      <w:r>
        <w:rPr>
          <w:noProof/>
        </w:rPr>
        <w:lastRenderedPageBreak/>
        <w:t>dėl bendros žuvininkystės politikos padėties ir konsultacijų dėl 2019 m. žvejybos galimybių</w:t>
      </w:r>
    </w:p>
    <w:p>
      <w:pPr>
        <w:pStyle w:val="Heading1"/>
        <w:numPr>
          <w:ilvl w:val="0"/>
          <w:numId w:val="0"/>
        </w:numPr>
        <w:rPr>
          <w:noProof/>
        </w:rPr>
      </w:pPr>
      <w:r>
        <w:rPr>
          <w:noProof/>
        </w:rPr>
        <w:t>1.</w:t>
      </w:r>
      <w:r>
        <w:rPr>
          <w:noProof/>
        </w:rPr>
        <w:tab/>
        <w:t>Įvadas</w:t>
      </w:r>
    </w:p>
    <w:p>
      <w:pPr>
        <w:spacing w:after="0"/>
        <w:rPr>
          <w:noProof/>
          <w:szCs w:val="24"/>
        </w:rPr>
      </w:pPr>
      <w:r>
        <w:rPr>
          <w:noProof/>
        </w:rPr>
        <w:t>Šiame komunikate apžvelgiama dabartinė bendros žuvininkystės politikos (toliau – BŽP) padėtis. Jame aptariama pažanga siekiant F</w:t>
      </w:r>
      <w:r>
        <w:rPr>
          <w:smallCaps/>
          <w:noProof/>
          <w:vertAlign w:val="subscript"/>
        </w:rPr>
        <w:t>MSY</w:t>
      </w:r>
      <w:r>
        <w:rPr>
          <w:noProof/>
        </w:rPr>
        <w:t xml:space="preserve"> (t. y. mirtingumo dėl žvejybos, kuriam esant užtikrinamas didžiausias galimas tausios žvejybos laimikis), išteklių būklės pokyčiai, pastangos siekiant pakeisti padėtį Viduržemio ir Juodojoje jūrose, ES laivyno padėtis, valdymo pažanga, laipsniškas įpareigojimo iškrauti laimikį įvedimas ir BŽP išorės aspektas</w:t>
      </w:r>
      <w:r>
        <w:rPr>
          <w:rStyle w:val="FootnoteReference"/>
          <w:noProof/>
        </w:rPr>
        <w:footnoteReference w:id="2"/>
      </w:r>
      <w:r>
        <w:rPr>
          <w:noProof/>
        </w:rPr>
        <w:t>. Komunikate taip pat išdėstyti principai, kuriais norima pagrįsti Komisijos teikiamus 2019 m. žvejybos galimybių pasiūlymus. Valstybės narės, patariamosios tarybos, kiti suinteresuotieji subjektai ir visuomenė gali teikti siūlymus dėl šių politikos krypčių.</w:t>
      </w:r>
    </w:p>
    <w:p>
      <w:pPr>
        <w:spacing w:after="0"/>
        <w:rPr>
          <w:noProof/>
          <w:szCs w:val="24"/>
        </w:rPr>
      </w:pPr>
    </w:p>
    <w:p>
      <w:pPr>
        <w:spacing w:after="0"/>
        <w:rPr>
          <w:noProof/>
          <w:szCs w:val="24"/>
        </w:rPr>
      </w:pPr>
      <w:r>
        <w:rPr>
          <w:noProof/>
        </w:rPr>
        <w:t>Pagal BŽP atitinkamų išteklių žvejybos intensyvumą reikėtų kuo greičiau ir ne vėliau kaip iki 2020 m. suderinti su tikslu atkurti ir išlaikyti tokį išteklių lygį, kuris galėtų užtikrinti didžiausią galimą tausios žvejybos laimikį (toliau – MSY). Siekiant šio tikslo taip pat siekiama iki 2020 m.</w:t>
      </w:r>
      <w:r>
        <w:rPr>
          <w:rStyle w:val="FootnoteReference"/>
          <w:noProof/>
        </w:rPr>
        <w:footnoteReference w:id="3"/>
      </w:r>
      <w:r>
        <w:rPr>
          <w:noProof/>
        </w:rPr>
        <w:t xml:space="preserve"> užtikrinti gerą Europos jūrų aplinkos būklę ir sumažinti neigiamą žvejybos veiklos poveikį jūrų ekosistemoms.</w:t>
      </w:r>
    </w:p>
    <w:p>
      <w:pPr>
        <w:pStyle w:val="Heading1"/>
        <w:rPr>
          <w:noProof/>
        </w:rPr>
      </w:pPr>
      <w:r>
        <w:rPr>
          <w:noProof/>
        </w:rPr>
        <w:t>BŽP įgyvendinimo pažanga</w:t>
      </w:r>
    </w:p>
    <w:p>
      <w:pPr>
        <w:rPr>
          <w:noProof/>
          <w:szCs w:val="24"/>
        </w:rPr>
      </w:pPr>
      <w:r>
        <w:rPr>
          <w:noProof/>
        </w:rPr>
        <w:t>Įgyvendinant BŽP ir toliau daroma didelė pažanga.</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F</w:t>
      </w:r>
      <w:r>
        <w:rPr>
          <w:rFonts w:ascii="Times New Roman" w:hAnsi="Times New Roman"/>
          <w:b/>
          <w:i/>
          <w:smallCaps/>
          <w:noProof/>
          <w:sz w:val="24"/>
          <w:vertAlign w:val="subscript"/>
        </w:rPr>
        <w:t>MSY</w:t>
      </w:r>
      <w:r>
        <w:rPr>
          <w:rFonts w:ascii="Times New Roman" w:hAnsi="Times New Roman"/>
          <w:b/>
          <w:i/>
          <w:noProof/>
          <w:sz w:val="24"/>
        </w:rPr>
        <w:t xml:space="preserve"> tikslo įgyvendinimas.</w:t>
      </w:r>
      <w:r>
        <w:rPr>
          <w:rFonts w:ascii="Times New Roman" w:hAnsi="Times New Roman"/>
          <w:noProof/>
          <w:sz w:val="24"/>
        </w:rPr>
        <w:t xml:space="preserve"> ICES rajone</w:t>
      </w:r>
      <w:r>
        <w:rPr>
          <w:rStyle w:val="FootnoteReference"/>
          <w:rFonts w:ascii="Times New Roman" w:hAnsi="Times New Roman"/>
          <w:noProof/>
          <w:sz w:val="24"/>
        </w:rPr>
        <w:footnoteReference w:id="4"/>
      </w:r>
      <w:r>
        <w:rPr>
          <w:rFonts w:ascii="Times New Roman" w:hAnsi="Times New Roman"/>
          <w:noProof/>
          <w:sz w:val="24"/>
        </w:rPr>
        <w:t xml:space="preserve"> žvejybos intensyvumui būdinga bendra mažėjimo tendencija, o susijęs rodiklis (F/F</w:t>
      </w:r>
      <w:r>
        <w:rPr>
          <w:rFonts w:ascii="Times New Roman" w:hAnsi="Times New Roman"/>
          <w:smallCaps/>
          <w:noProof/>
          <w:sz w:val="24"/>
          <w:vertAlign w:val="subscript"/>
        </w:rPr>
        <w:t>MSY</w:t>
      </w:r>
      <w:r>
        <w:rPr>
          <w:rFonts w:ascii="Times New Roman" w:hAnsi="Times New Roman"/>
          <w:noProof/>
          <w:sz w:val="24"/>
        </w:rPr>
        <w:t>) dabar stabilizavosi ties maždaug 1 – tai reiškia, kad visų išteklių naudojimo lygis vidutiniškai artimas F</w:t>
      </w:r>
      <w:r>
        <w:rPr>
          <w:rFonts w:ascii="Times New Roman" w:hAnsi="Times New Roman"/>
          <w:smallCaps/>
          <w:noProof/>
          <w:sz w:val="24"/>
          <w:vertAlign w:val="subscript"/>
        </w:rPr>
        <w:t>MSY</w:t>
      </w:r>
      <w:r>
        <w:rPr>
          <w:rFonts w:ascii="Times New Roman" w:hAnsi="Times New Roman"/>
          <w:noProof/>
          <w:sz w:val="24"/>
        </w:rPr>
        <w:t>. Kartu 2018 m. ir toliau daugėjo bendrų leidžiamų sužvejoti kiekių (BLSK)</w:t>
      </w:r>
      <w:r>
        <w:rPr>
          <w:rStyle w:val="FootnoteReference"/>
          <w:rFonts w:ascii="Times New Roman" w:hAnsi="Times New Roman"/>
          <w:noProof/>
          <w:sz w:val="24"/>
        </w:rPr>
        <w:footnoteReference w:id="5"/>
      </w:r>
      <w:r>
        <w:rPr>
          <w:rFonts w:ascii="Times New Roman" w:hAnsi="Times New Roman"/>
          <w:noProof/>
          <w:sz w:val="24"/>
        </w:rPr>
        <w:t>, kurie nustatomi pagal F</w:t>
      </w:r>
      <w:r>
        <w:rPr>
          <w:rFonts w:ascii="Times New Roman" w:hAnsi="Times New Roman"/>
          <w:smallCaps/>
          <w:noProof/>
          <w:sz w:val="24"/>
          <w:vertAlign w:val="subscript"/>
        </w:rPr>
        <w:t>MSY</w:t>
      </w:r>
      <w:r>
        <w:rPr>
          <w:rFonts w:ascii="Times New Roman" w:hAnsi="Times New Roman"/>
          <w:noProof/>
          <w:sz w:val="24"/>
        </w:rPr>
        <w:t>, – jų skaičius išaugo nuo 44 iki 53, o tai atitinka 69 % BLSK, kurie įvertinti atsižvelgiant į F</w:t>
      </w:r>
      <w:r>
        <w:rPr>
          <w:rFonts w:ascii="Times New Roman" w:hAnsi="Times New Roman"/>
          <w:smallCaps/>
          <w:noProof/>
          <w:sz w:val="24"/>
          <w:vertAlign w:val="subscript"/>
        </w:rPr>
        <w:t>MSY</w:t>
      </w:r>
      <w:r>
        <w:rPr>
          <w:rFonts w:ascii="Times New Roman" w:hAnsi="Times New Roman"/>
          <w:noProof/>
          <w:sz w:val="24"/>
        </w:rPr>
        <w:t xml:space="preserve">, ICES rajone.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Išteklių atkūrimas.</w:t>
      </w:r>
      <w:r>
        <w:rPr>
          <w:rFonts w:ascii="Times New Roman" w:hAnsi="Times New Roman"/>
          <w:noProof/>
          <w:sz w:val="24"/>
        </w:rPr>
        <w:t xml:space="preserve"> Nuo 2013 m. neršiančių žuvų biomasė ICES rajone didėjo ir 2016 m. buvo vidutiniškai maždaug 39 % didesnė nei 2003 m., o saugių biologinių ribų neatitinkančių išteklių dalis sumažėjo nuo 65 % 2003 m. iki maždaug 30 % 2016 m.</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lastRenderedPageBreak/>
        <w:t>Viduržemio ir Juodosios jūrų išteklių būklės gerinimas.</w:t>
      </w:r>
      <w:r>
        <w:rPr>
          <w:rFonts w:ascii="Times New Roman" w:hAnsi="Times New Roman"/>
          <w:b/>
          <w:noProof/>
          <w:sz w:val="24"/>
        </w:rPr>
        <w:t xml:space="preserve"> </w:t>
      </w:r>
      <w:r>
        <w:rPr>
          <w:rFonts w:ascii="Times New Roman" w:hAnsi="Times New Roman"/>
          <w:noProof/>
          <w:sz w:val="24"/>
        </w:rPr>
        <w:t xml:space="preserve">Padėtis Viduržemio ir Juodojoje jūrose ir toliau kelia didelį susirūpinimą, tačiau visais lygmenimis imamasi svarbių veiksmų, kad būtų užkirstas kelias išteklių peržvejojimui.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Bendrų socialinės ir ekonominės veiklos rezultatų gerėjimas.</w:t>
      </w:r>
      <w:r>
        <w:rPr>
          <w:rFonts w:ascii="Times New Roman" w:hAnsi="Times New Roman"/>
          <w:noProof/>
          <w:sz w:val="24"/>
        </w:rPr>
        <w:t xml:space="preserve"> ES laivyno ekonominės veiklos rezultatai toliau gerėja – 2016 m. grynasis pelnas siekė 1,3 mlrd. EUR. </w:t>
      </w:r>
    </w:p>
    <w:p>
      <w:pPr>
        <w:pStyle w:val="ListParagraph"/>
        <w:numPr>
          <w:ilvl w:val="0"/>
          <w:numId w:val="30"/>
        </w:numPr>
        <w:spacing w:after="120"/>
        <w:ind w:left="527" w:hanging="357"/>
        <w:jc w:val="both"/>
        <w:rPr>
          <w:rFonts w:ascii="Times New Roman" w:hAnsi="Times New Roman"/>
          <w:bCs/>
          <w:noProof/>
          <w:sz w:val="24"/>
          <w:szCs w:val="24"/>
        </w:rPr>
      </w:pPr>
      <w:r>
        <w:rPr>
          <w:rFonts w:ascii="Times New Roman" w:hAnsi="Times New Roman"/>
          <w:b/>
          <w:i/>
          <w:noProof/>
          <w:sz w:val="24"/>
        </w:rPr>
        <w:t>Geresnė žvejybos pajėgumo ir žvejybos galimybių pusiausvyra.</w:t>
      </w:r>
      <w:r>
        <w:rPr>
          <w:rFonts w:ascii="Times New Roman" w:hAnsi="Times New Roman"/>
          <w:noProof/>
          <w:sz w:val="24"/>
        </w:rPr>
        <w:t xml:space="preserve"> ES laivyno pajėgumas toliau mažėjo. Dabar jis yra beveik 20 % mažesnis už viršutinę talpos ribą ir daugiau kaip 13 % mažesnis už viršutinę variklio galios ribą.</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Su daugiamečiais planais susijusi pažanga.</w:t>
      </w:r>
      <w:r>
        <w:rPr>
          <w:rFonts w:ascii="Times New Roman" w:hAnsi="Times New Roman"/>
          <w:b/>
          <w:noProof/>
          <w:sz w:val="24"/>
        </w:rPr>
        <w:t xml:space="preserve"> </w:t>
      </w:r>
      <w:r>
        <w:rPr>
          <w:rFonts w:ascii="Times New Roman" w:hAnsi="Times New Roman"/>
          <w:noProof/>
          <w:sz w:val="24"/>
        </w:rPr>
        <w:t>Po Baltijos jūros daugiamečio plano</w:t>
      </w:r>
      <w:r>
        <w:rPr>
          <w:rStyle w:val="FootnoteReference"/>
          <w:rFonts w:ascii="Times New Roman" w:hAnsi="Times New Roman"/>
          <w:noProof/>
          <w:sz w:val="24"/>
        </w:rPr>
        <w:footnoteReference w:id="6"/>
      </w:r>
      <w:r>
        <w:rPr>
          <w:rFonts w:ascii="Times New Roman" w:hAnsi="Times New Roman"/>
          <w:noProof/>
          <w:sz w:val="24"/>
        </w:rPr>
        <w:t xml:space="preserve"> įsigaliojimo ir sutarimo dėl Šiaurės jūros daugiamečio plano</w:t>
      </w:r>
      <w:r>
        <w:rPr>
          <w:rStyle w:val="FootnoteReference"/>
          <w:rFonts w:ascii="Times New Roman" w:hAnsi="Times New Roman"/>
          <w:noProof/>
          <w:sz w:val="24"/>
        </w:rPr>
        <w:footnoteReference w:id="7"/>
      </w:r>
      <w:r>
        <w:rPr>
          <w:rFonts w:ascii="Times New Roman" w:hAnsi="Times New Roman"/>
          <w:noProof/>
          <w:sz w:val="24"/>
        </w:rPr>
        <w:t xml:space="preserve"> Komisija pasiūlė du naujus daugiamečius planus: vienas iš jų skirtas vakarų Viduržemio jūros demersiniams ištekliams</w:t>
      </w:r>
      <w:r>
        <w:rPr>
          <w:rStyle w:val="FootnoteReference"/>
          <w:rFonts w:ascii="Times New Roman" w:hAnsi="Times New Roman"/>
          <w:noProof/>
          <w:sz w:val="24"/>
        </w:rPr>
        <w:footnoteReference w:id="8"/>
      </w:r>
      <w:r>
        <w:rPr>
          <w:rFonts w:ascii="Times New Roman" w:hAnsi="Times New Roman"/>
          <w:noProof/>
          <w:sz w:val="24"/>
        </w:rPr>
        <w:t>, o kitas – vakarų vandenų demersiniams ištekliams</w:t>
      </w:r>
      <w:r>
        <w:rPr>
          <w:rStyle w:val="FootnoteReference"/>
          <w:rFonts w:ascii="Times New Roman" w:hAnsi="Times New Roman"/>
          <w:noProof/>
          <w:sz w:val="24"/>
        </w:rPr>
        <w:footnoteReference w:id="9"/>
      </w:r>
      <w:r>
        <w:rPr>
          <w:rFonts w:ascii="Times New Roman" w:hAnsi="Times New Roman"/>
          <w:noProof/>
          <w:sz w:val="24"/>
        </w:rPr>
        <w:t>. Be to, toliau dirbama prie pernai pasiūlyto Adrijos jūros daugiamečio plano</w:t>
      </w:r>
      <w:r>
        <w:rPr>
          <w:rStyle w:val="FootnoteReference"/>
          <w:rFonts w:ascii="Times New Roman" w:hAnsi="Times New Roman"/>
          <w:noProof/>
          <w:sz w:val="24"/>
        </w:rPr>
        <w:footnoteReference w:id="10"/>
      </w:r>
      <w:r>
        <w:rPr>
          <w:rFonts w:ascii="Times New Roman" w:hAnsi="Times New Roman"/>
          <w:noProof/>
          <w:sz w:val="24"/>
        </w:rPr>
        <w:t xml:space="preserve">.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Laipsniškas įpareigojimo iškrauti laimikį įvedimas.</w:t>
      </w:r>
      <w:r>
        <w:rPr>
          <w:rFonts w:ascii="Times New Roman" w:hAnsi="Times New Roman"/>
          <w:b/>
          <w:noProof/>
          <w:sz w:val="24"/>
        </w:rPr>
        <w:t xml:space="preserve"> </w:t>
      </w:r>
      <w:r>
        <w:rPr>
          <w:rFonts w:ascii="Times New Roman" w:hAnsi="Times New Roman"/>
          <w:noProof/>
          <w:sz w:val="24"/>
        </w:rPr>
        <w:t xml:space="preserve">2019 m. sausio 1 d. įpareigojimas iškrauti laimikį įsigalios visoms rūšims, kurioms taikomi laimikio limitai, o Viduržemio jūroje – ir visoms rūšims, kurioms taikomas mažiausias išteklių išsaugojimą užtikrinantis orientacinis dydis. Komisija bendradarbiauja su valstybėmis narėmis ir suinteresuotaisiais subjektais, kad būtų sudarytos sąlygos visiškai įgyvendinti įpareigojimą iškrauti laimikį. </w:t>
      </w:r>
    </w:p>
    <w:p>
      <w:pPr>
        <w:pStyle w:val="ListParagraph"/>
        <w:numPr>
          <w:ilvl w:val="0"/>
          <w:numId w:val="30"/>
        </w:numPr>
        <w:spacing w:after="120"/>
        <w:ind w:left="527" w:hanging="357"/>
        <w:jc w:val="both"/>
        <w:rPr>
          <w:rFonts w:ascii="Times New Roman" w:hAnsi="Times New Roman"/>
          <w:noProof/>
          <w:sz w:val="24"/>
          <w:szCs w:val="24"/>
        </w:rPr>
      </w:pPr>
      <w:r>
        <w:rPr>
          <w:rFonts w:ascii="Times New Roman" w:hAnsi="Times New Roman"/>
          <w:b/>
          <w:i/>
          <w:noProof/>
          <w:sz w:val="24"/>
        </w:rPr>
        <w:t>ES žuvininkystės valdymo principų skatinimas tarptautiniu lygmeniu.</w:t>
      </w:r>
      <w:r>
        <w:rPr>
          <w:rFonts w:ascii="Times New Roman" w:hAnsi="Times New Roman"/>
          <w:noProof/>
          <w:sz w:val="24"/>
        </w:rPr>
        <w:t xml:space="preserve"> ES yra pasiryžusi skatinti ir plėtoti darnią žuvininkystę tarptautiniu lygmeniu – tai rodo ES surengtos paskutinės konferencijos „Mūsų vandenynas“ sėkmė.</w:t>
      </w:r>
    </w:p>
    <w:p>
      <w:pPr>
        <w:pStyle w:val="ListParagraph"/>
        <w:ind w:left="584"/>
        <w:jc w:val="both"/>
        <w:rPr>
          <w:rFonts w:ascii="Times New Roman" w:hAnsi="Times New Roman"/>
          <w:b/>
          <w:noProof/>
          <w:sz w:val="24"/>
          <w:szCs w:val="24"/>
        </w:rPr>
      </w:pPr>
    </w:p>
    <w:p>
      <w:pPr>
        <w:pStyle w:val="ListParagraph"/>
        <w:ind w:left="584"/>
        <w:jc w:val="both"/>
        <w:rPr>
          <w:rFonts w:ascii="Times New Roman" w:hAnsi="Times New Roman"/>
          <w:noProof/>
          <w:sz w:val="24"/>
          <w:szCs w:val="24"/>
        </w:rPr>
      </w:pPr>
      <w:r>
        <w:rPr>
          <w:rFonts w:ascii="Times New Roman" w:hAnsi="Times New Roman"/>
          <w:noProof/>
          <w:sz w:val="24"/>
        </w:rPr>
        <w:t xml:space="preserve"> </w:t>
      </w:r>
    </w:p>
    <w:p>
      <w:pPr>
        <w:pStyle w:val="Heading2"/>
        <w:ind w:left="720"/>
        <w:rPr>
          <w:noProof/>
        </w:rPr>
      </w:pPr>
      <w:r>
        <w:rPr>
          <w:noProof/>
        </w:rPr>
        <w:t>Pažanga siekiant F</w:t>
      </w:r>
      <w:r>
        <w:rPr>
          <w:noProof/>
          <w:vertAlign w:val="subscript"/>
        </w:rPr>
        <w:t>MSY</w:t>
      </w:r>
      <w:r>
        <w:rPr>
          <w:noProof/>
        </w:rPr>
        <w:t xml:space="preserve"> tikslo </w:t>
      </w:r>
    </w:p>
    <w:p>
      <w:pPr>
        <w:spacing w:after="0"/>
        <w:rPr>
          <w:noProof/>
        </w:rPr>
      </w:pPr>
      <w:r>
        <w:rPr>
          <w:noProof/>
        </w:rPr>
        <w:t>Žuvininkystės mokslo, technikos ir ekonomikos komitetas (ŽMTEK) apskaičiavo žvejybos intensyvumo (F/F</w:t>
      </w:r>
      <w:r>
        <w:rPr>
          <w:smallCaps/>
          <w:noProof/>
          <w:vertAlign w:val="subscript"/>
        </w:rPr>
        <w:t>MSY</w:t>
      </w:r>
      <w:r>
        <w:rPr>
          <w:noProof/>
        </w:rPr>
        <w:t>) tendencijas</w:t>
      </w:r>
      <w:r>
        <w:rPr>
          <w:rStyle w:val="FootnoteReference"/>
          <w:noProof/>
        </w:rPr>
        <w:footnoteReference w:id="11"/>
      </w:r>
      <w:r>
        <w:rPr>
          <w:noProof/>
        </w:rPr>
        <w:t>.</w:t>
      </w:r>
    </w:p>
    <w:p>
      <w:pPr>
        <w:spacing w:after="0"/>
        <w:rPr>
          <w:noProof/>
          <w:szCs w:val="24"/>
        </w:rPr>
      </w:pPr>
    </w:p>
    <w:p>
      <w:pPr>
        <w:spacing w:after="0"/>
        <w:rPr>
          <w:b/>
          <w:noProof/>
          <w:szCs w:val="24"/>
          <w:u w:val="single"/>
        </w:rPr>
      </w:pPr>
      <w:r>
        <w:rPr>
          <w:noProof/>
        </w:rPr>
        <w:t xml:space="preserve">ŽMTEK duomenimis, mirtingumas dėl žvejybos </w:t>
      </w:r>
      <w:r>
        <w:rPr>
          <w:b/>
          <w:noProof/>
        </w:rPr>
        <w:t>ICES rajone</w:t>
      </w:r>
      <w:r>
        <w:rPr>
          <w:noProof/>
        </w:rPr>
        <w:t xml:space="preserve"> nuolat mažėja. Rodiklio vertė 2016 m. buvo artima 1 (palyginti su 1,5 2003 m.), o tai reiškia, kad visų išteklių naudojimo lygis vidutiniškai artimas F</w:t>
      </w:r>
      <w:r>
        <w:rPr>
          <w:noProof/>
          <w:vertAlign w:val="subscript"/>
        </w:rPr>
        <w:t>MSY</w:t>
      </w:r>
      <w:r>
        <w:rPr>
          <w:noProof/>
        </w:rPr>
        <w:t xml:space="preserve">. </w:t>
      </w:r>
      <w:r>
        <w:rPr>
          <w:b/>
          <w:noProof/>
        </w:rPr>
        <w:t>Viduržemio ir Juodojoje jūrose</w:t>
      </w:r>
      <w:r>
        <w:rPr>
          <w:noProof/>
        </w:rPr>
        <w:t xml:space="preserve"> F/F</w:t>
      </w:r>
      <w:r>
        <w:rPr>
          <w:noProof/>
          <w:vertAlign w:val="subscript"/>
        </w:rPr>
        <w:t>MSY</w:t>
      </w:r>
      <w:r>
        <w:rPr>
          <w:noProof/>
        </w:rPr>
        <w:t xml:space="preserve"> tendencijos rodo, kad vidurkis šiek tiek skiriasi – 2003–2015 m. jis išliko maždaug 2,3 be mažėjimo tendencijos.  </w:t>
      </w:r>
    </w:p>
    <w:p>
      <w:pPr>
        <w:spacing w:after="0"/>
        <w:rPr>
          <w:b/>
          <w:noProof/>
          <w:szCs w:val="24"/>
          <w:u w:val="single"/>
        </w:rPr>
      </w:pPr>
    </w:p>
    <w:p>
      <w:pPr>
        <w:spacing w:after="0"/>
        <w:rPr>
          <w:noProof/>
          <w:szCs w:val="24"/>
        </w:rPr>
      </w:pPr>
      <w:r>
        <w:rPr>
          <w:b/>
          <w:noProof/>
        </w:rPr>
        <w:t>ICES rajone</w:t>
      </w:r>
      <w:r>
        <w:rPr>
          <w:noProof/>
        </w:rPr>
        <w:t xml:space="preserve"> visų 76 BLSK, dėl kurių buvo pateiktos F</w:t>
      </w:r>
      <w:r>
        <w:rPr>
          <w:smallCaps/>
          <w:noProof/>
          <w:vertAlign w:val="subscript"/>
        </w:rPr>
        <w:t>MSY</w:t>
      </w:r>
      <w:r>
        <w:rPr>
          <w:noProof/>
        </w:rPr>
        <w:t xml:space="preserve"> rekomendacijos, atveju Komisija 2018 metams pasiūlė F</w:t>
      </w:r>
      <w:r>
        <w:rPr>
          <w:smallCaps/>
          <w:noProof/>
          <w:vertAlign w:val="subscript"/>
        </w:rPr>
        <w:t>MSY</w:t>
      </w:r>
      <w:r>
        <w:rPr>
          <w:noProof/>
        </w:rPr>
        <w:t xml:space="preserve"> atitinkančias arba šiek tiek mažesnes vertes. Taryba nustatė 53 F</w:t>
      </w:r>
      <w:r>
        <w:rPr>
          <w:smallCaps/>
          <w:noProof/>
          <w:vertAlign w:val="subscript"/>
        </w:rPr>
        <w:t>MSY</w:t>
      </w:r>
      <w:r>
        <w:rPr>
          <w:noProof/>
        </w:rPr>
        <w:t xml:space="preserve"> atitinkančius BLSK: 29 – vakarų vandenyse (ir dar 1 giliavandenių žuvų išteklių BLSK), 17 – Šiaurės jūroje ir 7 – Baltijos jūroje. </w:t>
      </w:r>
    </w:p>
    <w:p>
      <w:pPr>
        <w:spacing w:after="0"/>
        <w:rPr>
          <w:noProof/>
          <w:szCs w:val="24"/>
        </w:rPr>
      </w:pPr>
    </w:p>
    <w:p>
      <w:pPr>
        <w:spacing w:after="0"/>
        <w:rPr>
          <w:noProof/>
          <w:szCs w:val="24"/>
        </w:rPr>
      </w:pPr>
      <w:r>
        <w:rPr>
          <w:noProof/>
        </w:rPr>
        <w:lastRenderedPageBreak/>
        <w:t>Kalbant apie kiekius:</w:t>
      </w:r>
    </w:p>
    <w:p>
      <w:pPr>
        <w:spacing w:after="0"/>
        <w:rPr>
          <w:noProof/>
        </w:rPr>
      </w:pPr>
    </w:p>
    <w:p>
      <w:pPr>
        <w:pStyle w:val="ListParagraph"/>
        <w:numPr>
          <w:ilvl w:val="0"/>
          <w:numId w:val="37"/>
        </w:numPr>
        <w:jc w:val="both"/>
        <w:rPr>
          <w:rFonts w:ascii="Times New Roman" w:hAnsi="Times New Roman"/>
          <w:noProof/>
          <w:sz w:val="24"/>
          <w:szCs w:val="24"/>
        </w:rPr>
      </w:pPr>
      <w:r>
        <w:rPr>
          <w:rFonts w:ascii="Times New Roman" w:hAnsi="Times New Roman"/>
          <w:b/>
          <w:noProof/>
          <w:sz w:val="24"/>
        </w:rPr>
        <w:t>Baltijos jūroje</w:t>
      </w:r>
      <w:r>
        <w:rPr>
          <w:rFonts w:ascii="Times New Roman" w:hAnsi="Times New Roman"/>
          <w:noProof/>
          <w:sz w:val="24"/>
        </w:rPr>
        <w:t xml:space="preserve"> BLSK nustatyti remiantis Baltijos jūros daugiamečiu planu. 95 % numatomo laimikio sužvejojama iš BLSK, nustatytų laikantis F</w:t>
      </w:r>
      <w:r>
        <w:rPr>
          <w:rFonts w:ascii="Times New Roman" w:hAnsi="Times New Roman"/>
          <w:smallCaps/>
          <w:noProof/>
          <w:sz w:val="24"/>
          <w:vertAlign w:val="subscript"/>
        </w:rPr>
        <w:t>MSY</w:t>
      </w:r>
      <w:r>
        <w:rPr>
          <w:rFonts w:ascii="Times New Roman" w:hAnsi="Times New Roman"/>
          <w:noProof/>
          <w:sz w:val="24"/>
        </w:rPr>
        <w:t xml:space="preserve">, o 4 % – iš BLSK, nustatytų laikantis atsargumo principu grindžiamų rekomendacijų; </w:t>
      </w:r>
    </w:p>
    <w:p>
      <w:pPr>
        <w:pStyle w:val="ListParagraph"/>
        <w:numPr>
          <w:ilvl w:val="0"/>
          <w:numId w:val="37"/>
        </w:numPr>
        <w:jc w:val="both"/>
        <w:rPr>
          <w:rFonts w:ascii="Times New Roman" w:hAnsi="Times New Roman"/>
          <w:noProof/>
          <w:sz w:val="24"/>
          <w:szCs w:val="24"/>
        </w:rPr>
      </w:pPr>
      <w:r>
        <w:rPr>
          <w:rFonts w:ascii="Times New Roman" w:hAnsi="Times New Roman"/>
          <w:b/>
          <w:noProof/>
          <w:sz w:val="24"/>
        </w:rPr>
        <w:t>Šiaurės jūroje ir Skagerako bei Kategato sąsiauriuose</w:t>
      </w:r>
      <w:r>
        <w:rPr>
          <w:rFonts w:ascii="Times New Roman" w:hAnsi="Times New Roman"/>
          <w:noProof/>
          <w:sz w:val="24"/>
        </w:rPr>
        <w:t xml:space="preserve"> išteklių, kurių F</w:t>
      </w:r>
      <w:r>
        <w:rPr>
          <w:rFonts w:ascii="Times New Roman" w:hAnsi="Times New Roman"/>
          <w:smallCaps/>
          <w:noProof/>
          <w:sz w:val="24"/>
          <w:vertAlign w:val="subscript"/>
        </w:rPr>
        <w:t>MSY</w:t>
      </w:r>
      <w:r>
        <w:rPr>
          <w:rFonts w:ascii="Times New Roman" w:hAnsi="Times New Roman"/>
          <w:noProof/>
          <w:sz w:val="24"/>
        </w:rPr>
        <w:t xml:space="preserve"> įvertintas ir kuriuos valdo tik ES, atveju 99,7 % numatomo iškrauti kiekio gaunama iš BLSK, nustatytų laikantis F</w:t>
      </w:r>
      <w:r>
        <w:rPr>
          <w:rFonts w:ascii="Times New Roman" w:hAnsi="Times New Roman"/>
          <w:smallCaps/>
          <w:noProof/>
          <w:sz w:val="24"/>
          <w:vertAlign w:val="subscript"/>
        </w:rPr>
        <w:t>MSY</w:t>
      </w:r>
      <w:r>
        <w:rPr>
          <w:rFonts w:ascii="Times New Roman" w:hAnsi="Times New Roman"/>
          <w:noProof/>
          <w:sz w:val="24"/>
        </w:rPr>
        <w:t xml:space="preserve">; </w:t>
      </w:r>
    </w:p>
    <w:p>
      <w:pPr>
        <w:pStyle w:val="ListParagraph"/>
        <w:numPr>
          <w:ilvl w:val="0"/>
          <w:numId w:val="37"/>
        </w:numPr>
        <w:jc w:val="both"/>
        <w:rPr>
          <w:rFonts w:ascii="Times New Roman" w:hAnsi="Times New Roman"/>
          <w:noProof/>
          <w:sz w:val="24"/>
          <w:szCs w:val="24"/>
        </w:rPr>
      </w:pPr>
      <w:r>
        <w:rPr>
          <w:rFonts w:ascii="Times New Roman" w:hAnsi="Times New Roman"/>
          <w:b/>
          <w:noProof/>
          <w:sz w:val="24"/>
        </w:rPr>
        <w:t>šiaurės vakarų</w:t>
      </w:r>
      <w:r>
        <w:rPr>
          <w:rFonts w:ascii="Times New Roman" w:hAnsi="Times New Roman"/>
          <w:noProof/>
          <w:sz w:val="24"/>
        </w:rPr>
        <w:t xml:space="preserve"> ir </w:t>
      </w:r>
      <w:r>
        <w:rPr>
          <w:rFonts w:ascii="Times New Roman" w:hAnsi="Times New Roman"/>
          <w:b/>
          <w:noProof/>
          <w:sz w:val="24"/>
        </w:rPr>
        <w:t>pietvakarių vandenyse</w:t>
      </w:r>
      <w:r>
        <w:rPr>
          <w:rFonts w:ascii="Times New Roman" w:hAnsi="Times New Roman"/>
          <w:noProof/>
          <w:sz w:val="24"/>
        </w:rPr>
        <w:t xml:space="preserve"> išteklių, kurių F</w:t>
      </w:r>
      <w:r>
        <w:rPr>
          <w:rFonts w:ascii="Times New Roman" w:hAnsi="Times New Roman"/>
          <w:smallCaps/>
          <w:noProof/>
          <w:sz w:val="24"/>
          <w:vertAlign w:val="subscript"/>
        </w:rPr>
        <w:t>MSY</w:t>
      </w:r>
      <w:r>
        <w:rPr>
          <w:rFonts w:ascii="Times New Roman" w:hAnsi="Times New Roman"/>
          <w:noProof/>
          <w:sz w:val="24"/>
        </w:rPr>
        <w:t xml:space="preserve"> įvertintas ir kuriuos valdo tik ES, atveju šis skaičius yra atitinkamai 94 % ir 90 %.</w:t>
      </w:r>
    </w:p>
    <w:p>
      <w:pPr>
        <w:pStyle w:val="PlainText"/>
        <w:spacing w:after="0"/>
        <w:rPr>
          <w:rFonts w:ascii="Times New Roman" w:hAnsi="Times New Roman"/>
          <w:noProof/>
          <w:sz w:val="24"/>
          <w:szCs w:val="24"/>
        </w:rPr>
      </w:pPr>
    </w:p>
    <w:p>
      <w:pPr>
        <w:spacing w:after="0"/>
        <w:rPr>
          <w:iCs/>
          <w:noProof/>
        </w:rPr>
      </w:pPr>
      <w:r>
        <w:rPr>
          <w:noProof/>
        </w:rPr>
        <w:t xml:space="preserve">Be to, Taryba pirmą kartą sutiko trims mėnesiams uždrausti ungurių žvejybą, kad būtų apsaugotos neršiančios žuvys. Maža to, Komisija ir valstybės narės prisiėmė politinį įsipareigojimą stiprinti Ungurių reglamento įgyvendinimą ir įvertinti jo veiksmingumą </w:t>
      </w:r>
      <w:r>
        <w:rPr>
          <w:rStyle w:val="FootnoteReference"/>
          <w:noProof/>
        </w:rPr>
        <w:footnoteReference w:id="12"/>
      </w:r>
      <w:r>
        <w:rPr>
          <w:noProof/>
        </w:rPr>
        <w:t>.</w:t>
      </w:r>
    </w:p>
    <w:p>
      <w:pPr>
        <w:spacing w:after="0"/>
        <w:rPr>
          <w:noProof/>
          <w:szCs w:val="24"/>
        </w:rPr>
      </w:pPr>
    </w:p>
    <w:p>
      <w:pPr>
        <w:spacing w:after="0"/>
        <w:rPr>
          <w:noProof/>
          <w:szCs w:val="24"/>
        </w:rPr>
      </w:pPr>
      <w:r>
        <w:rPr>
          <w:noProof/>
        </w:rPr>
        <w:t xml:space="preserve">2016 m. lapkričio mėn. buvo nustatytos 2017 ir 2018 m. </w:t>
      </w:r>
      <w:r>
        <w:rPr>
          <w:b/>
          <w:noProof/>
        </w:rPr>
        <w:t>giliavandenių žuvų išteklių</w:t>
      </w:r>
      <w:r>
        <w:rPr>
          <w:noProof/>
        </w:rPr>
        <w:t xml:space="preserve"> žvejybos galimybės – jos sudaro mažiau nei 1 % visų ES iškraunamų žuvų kiekio. Apie giliavandenių žuvų išteklius, išskyrus šiaurės vakarų vandenų bukasnukius ilgauodegius grenadierius, kurių BLSK nustatytas laikantis F</w:t>
      </w:r>
      <w:r>
        <w:rPr>
          <w:smallCaps/>
          <w:noProof/>
          <w:vertAlign w:val="subscript"/>
        </w:rPr>
        <w:t>MSY</w:t>
      </w:r>
      <w:r>
        <w:rPr>
          <w:noProof/>
        </w:rPr>
        <w:t xml:space="preserve">, trūksta duomenų ir vertinimų. </w:t>
      </w:r>
    </w:p>
    <w:p>
      <w:pPr>
        <w:spacing w:after="0"/>
        <w:rPr>
          <w:noProof/>
          <w:szCs w:val="24"/>
        </w:rPr>
      </w:pPr>
    </w:p>
    <w:p>
      <w:pPr>
        <w:spacing w:after="0"/>
        <w:rPr>
          <w:noProof/>
          <w:szCs w:val="24"/>
        </w:rPr>
      </w:pPr>
      <w:r>
        <w:rPr>
          <w:noProof/>
        </w:rPr>
        <w:t xml:space="preserve">Kalbant apie </w:t>
      </w:r>
      <w:r>
        <w:rPr>
          <w:b/>
          <w:noProof/>
        </w:rPr>
        <w:t>išteklius, dėl kurių konsultuojasi pakrantės valstybės</w:t>
      </w:r>
      <w:r>
        <w:rPr>
          <w:noProof/>
        </w:rPr>
        <w:t>, tik 1 iš 10 BLSK, dėl kurių pateiktos F</w:t>
      </w:r>
      <w:r>
        <w:rPr>
          <w:smallCaps/>
          <w:noProof/>
          <w:vertAlign w:val="subscript"/>
        </w:rPr>
        <w:t>MSY</w:t>
      </w:r>
      <w:r>
        <w:rPr>
          <w:noProof/>
        </w:rPr>
        <w:t xml:space="preserve"> rekomendacijos, atitinka F</w:t>
      </w:r>
      <w:r>
        <w:rPr>
          <w:smallCaps/>
          <w:noProof/>
          <w:vertAlign w:val="subscript"/>
        </w:rPr>
        <w:t>MSY</w:t>
      </w:r>
      <w:r>
        <w:rPr>
          <w:noProof/>
        </w:rPr>
        <w:t>, būtent Atlanto Skandinavijos silkės, kurios sudaro 4 % visų pakrantės valstybių iškraunamų žuvų, kurioms taikomas BLSK, kiekio. Todėl iki 2020 m. pasiekti, kad visų pakrančių valstybių ištekliai būtų naudojami laikantis F</w:t>
      </w:r>
      <w:r>
        <w:rPr>
          <w:smallCaps/>
          <w:noProof/>
          <w:vertAlign w:val="subscript"/>
        </w:rPr>
        <w:t>MSY</w:t>
      </w:r>
      <w:r>
        <w:rPr>
          <w:noProof/>
        </w:rPr>
        <w:t xml:space="preserve">, yra sunkus uždavinys. </w:t>
      </w:r>
    </w:p>
    <w:p>
      <w:pPr>
        <w:spacing w:after="0"/>
        <w:rPr>
          <w:noProof/>
          <w:szCs w:val="24"/>
        </w:rPr>
      </w:pPr>
    </w:p>
    <w:p>
      <w:pPr>
        <w:spacing w:after="0"/>
        <w:rPr>
          <w:noProof/>
        </w:rPr>
      </w:pPr>
      <w:r>
        <w:rPr>
          <w:b/>
          <w:noProof/>
        </w:rPr>
        <w:t>Viduržemio jūroje</w:t>
      </w:r>
      <w:r>
        <w:rPr>
          <w:noProof/>
        </w:rPr>
        <w:t xml:space="preserve"> iš 47 išteklių tik maždaug 13 % (6 ištekliai) nėra peržvejojami: europinės barzdotės 10 geografiniame parajonyje (pietų Tirėnų jūra), 17–18 geografiniuose parajoniuose (Adrijos jūra) ir 22 geografiniame parajonyje (Egėjo jūra), europiniai ančiuviai 22 geografiniame parajonyje (Egėjo jūra), ilganosės rausvosios krevetės 9 geografiniame parajonyje (Ligūrijos jūra ir šiaurės Tirėnų jūra) ir paprastosios sepijos 17 geografiniame parajonyje (šiaurės Adrijos jūra). </w:t>
      </w:r>
      <w:r>
        <w:rPr>
          <w:b/>
          <w:noProof/>
        </w:rPr>
        <w:t>Juodojoje jūroje</w:t>
      </w:r>
      <w:r>
        <w:rPr>
          <w:noProof/>
        </w:rPr>
        <w:t xml:space="preserve"> 5 iš 6 įvertintų išteklių (išskyrus šprotus) ir toliau peržvejojami. Akivaizdu, kad norint pasiekti 2020 m. F</w:t>
      </w:r>
      <w:r>
        <w:rPr>
          <w:smallCaps/>
          <w:noProof/>
          <w:vertAlign w:val="subscript"/>
        </w:rPr>
        <w:t>MSY</w:t>
      </w:r>
      <w:r>
        <w:rPr>
          <w:noProof/>
        </w:rPr>
        <w:t xml:space="preserve"> tikslą šiuose jūrų baseinuose būtina dėti daugiau pastangų, kaip nurodyta 2.3 punkte.</w:t>
      </w:r>
    </w:p>
    <w:p>
      <w:pPr>
        <w:pStyle w:val="ListParagraph"/>
        <w:ind w:left="0"/>
        <w:jc w:val="both"/>
        <w:rPr>
          <w:rFonts w:ascii="Times New Roman" w:hAnsi="Times New Roman"/>
          <w:noProof/>
          <w:sz w:val="24"/>
          <w:szCs w:val="24"/>
        </w:rPr>
      </w:pPr>
    </w:p>
    <w:p>
      <w:pPr>
        <w:spacing w:after="0"/>
        <w:rPr>
          <w:noProof/>
          <w:szCs w:val="24"/>
        </w:rPr>
      </w:pPr>
    </w:p>
    <w:p>
      <w:pPr>
        <w:spacing w:after="0"/>
        <w:rPr>
          <w:noProof/>
          <w:szCs w:val="24"/>
        </w:rPr>
      </w:pPr>
    </w:p>
    <w:p>
      <w:pPr>
        <w:pStyle w:val="Heading2"/>
        <w:ind w:left="720"/>
        <w:rPr>
          <w:noProof/>
        </w:rPr>
      </w:pPr>
      <w:r>
        <w:rPr>
          <w:noProof/>
        </w:rPr>
        <w:t>Biomasės tendencijos</w:t>
      </w:r>
    </w:p>
    <w:p>
      <w:pPr>
        <w:spacing w:after="0"/>
        <w:rPr>
          <w:noProof/>
        </w:rPr>
      </w:pPr>
      <w:r>
        <w:rPr>
          <w:noProof/>
        </w:rPr>
        <w:t>ŽMTEK apskaičiavo ir neršiančių žuvų biomasės pokyčius nuo 2003 m.</w:t>
      </w:r>
      <w:r>
        <w:rPr>
          <w:rStyle w:val="FootnoteReference"/>
          <w:noProof/>
        </w:rPr>
        <w:footnoteReference w:id="13"/>
      </w:r>
      <w:r>
        <w:rPr>
          <w:noProof/>
        </w:rPr>
        <w:t xml:space="preserve">. </w:t>
      </w:r>
    </w:p>
    <w:p>
      <w:pPr>
        <w:spacing w:after="0"/>
        <w:rPr>
          <w:noProof/>
        </w:rPr>
      </w:pPr>
    </w:p>
    <w:p>
      <w:pPr>
        <w:spacing w:after="0"/>
        <w:rPr>
          <w:noProof/>
          <w:szCs w:val="24"/>
        </w:rPr>
      </w:pPr>
      <w:r>
        <w:rPr>
          <w:noProof/>
        </w:rPr>
        <w:t xml:space="preserve">Per šį laikotarpį </w:t>
      </w:r>
      <w:r>
        <w:rPr>
          <w:b/>
          <w:noProof/>
          <w:u w:val="single"/>
        </w:rPr>
        <w:t>ICES rajone</w:t>
      </w:r>
      <w:r>
        <w:rPr>
          <w:noProof/>
        </w:rPr>
        <w:t xml:space="preserve"> neršiančių žuvų biomasė paprastai didėjo ir 2016 m. vidutiniškai buvo apie 39 % didesnė nei 2003 m. Didėja ir saugias biologines ribas atitinkančių išteklių procentinė dalis. Numatoma, kad 2018 m. 81 % žvejybos galimybių </w:t>
      </w:r>
      <w:r>
        <w:rPr>
          <w:noProof/>
        </w:rPr>
        <w:lastRenderedPageBreak/>
        <w:t xml:space="preserve">bus susijusios su ištekliais, kurie atitinka saugias biologines ribas, 11 % – su ištekliais, kurie šių ribų neatitinka, o 8 % – su ištekliais, kuriems taikomos atsargumo principu grindžiamos rekomendacijos ir kurių atveju neturima duomenų apie tai, ar jie atitinka saugias biologines ribas. </w:t>
      </w:r>
    </w:p>
    <w:p>
      <w:pPr>
        <w:spacing w:after="0"/>
        <w:rPr>
          <w:noProof/>
          <w:szCs w:val="24"/>
        </w:rPr>
      </w:pPr>
    </w:p>
    <w:p>
      <w:pPr>
        <w:spacing w:after="0"/>
        <w:rPr>
          <w:noProof/>
          <w:szCs w:val="24"/>
        </w:rPr>
      </w:pPr>
      <w:r>
        <w:rPr>
          <w:b/>
          <w:noProof/>
          <w:u w:val="single"/>
        </w:rPr>
        <w:t>Viduržemio ir Juodojoje jūrose</w:t>
      </w:r>
      <w:r>
        <w:rPr>
          <w:noProof/>
        </w:rPr>
        <w:t xml:space="preserve"> neršiančių žuvų biomasė nuo 2003 m. iš esmės nepasikeitė. Tačiau šiuos rezultatus reikėtų vertinti atsargiai, nes yra daug netikrumo.</w:t>
      </w:r>
    </w:p>
    <w:p>
      <w:pPr>
        <w:rPr>
          <w:noProof/>
          <w:szCs w:val="24"/>
        </w:rPr>
      </w:pPr>
    </w:p>
    <w:p>
      <w:pPr>
        <w:pStyle w:val="Heading2"/>
        <w:ind w:left="720"/>
        <w:rPr>
          <w:noProof/>
        </w:rPr>
      </w:pPr>
      <w:r>
        <w:rPr>
          <w:noProof/>
        </w:rPr>
        <w:t>Viduržemio ir Juodajai jūroms skirti specialūs veiksmai</w:t>
      </w:r>
    </w:p>
    <w:p>
      <w:pPr>
        <w:spacing w:after="0"/>
        <w:rPr>
          <w:rFonts w:eastAsia="Calibri"/>
          <w:iCs/>
          <w:noProof/>
          <w:szCs w:val="24"/>
        </w:rPr>
      </w:pPr>
      <w:r>
        <w:rPr>
          <w:noProof/>
        </w:rPr>
        <w:t>Europos Komisija ėmėsi svarbių veiksmų, kuriais siekiama kovoti su išteklių peržvejojimu Viduržemio ir Juodojoje jūrose, tiek ES lygmeniu, tiek su savo tarptautiniais partneriais.</w:t>
      </w:r>
    </w:p>
    <w:p>
      <w:pPr>
        <w:spacing w:after="0"/>
        <w:rPr>
          <w:rFonts w:eastAsia="Calibri"/>
          <w:iCs/>
          <w:noProof/>
          <w:szCs w:val="24"/>
        </w:rPr>
      </w:pPr>
    </w:p>
    <w:p>
      <w:pPr>
        <w:spacing w:after="0"/>
        <w:rPr>
          <w:noProof/>
          <w:szCs w:val="24"/>
        </w:rPr>
      </w:pPr>
      <w:r>
        <w:rPr>
          <w:noProof/>
        </w:rPr>
        <w:t xml:space="preserve">Vienas iš Komisijos prioritetų – </w:t>
      </w:r>
      <w:r>
        <w:rPr>
          <w:b/>
          <w:noProof/>
        </w:rPr>
        <w:t>ES lygmeniu</w:t>
      </w:r>
      <w:r>
        <w:rPr>
          <w:noProof/>
        </w:rPr>
        <w:t xml:space="preserve"> toliau derinti pagal Viduržemio jūros reglamentą</w:t>
      </w:r>
      <w:r>
        <w:rPr>
          <w:rStyle w:val="FootnoteReference"/>
          <w:noProof/>
        </w:rPr>
        <w:footnoteReference w:id="14"/>
      </w:r>
      <w:r>
        <w:rPr>
          <w:noProof/>
        </w:rPr>
        <w:t xml:space="preserve"> priimamus nacionalinius valdymo planus su BŽP.  2017 m., atsižvelgiant į ŽMTEK rekomendacijas, peržiūrėti ir atnaujinti penki nacionaliniai valdymo planai. Tai planai, skirti žvejybai laivų traukiamaisiais tinklais, kranto traukiamaisiais tinklais, „gangui“ tipo tralais ir nedideliais gaubiamaisiais tinklais Kroatijoje, Prancūzijoje, Graikijoje ir Ispanijoje. 2018 m. šis procesas bus spartinamas.</w:t>
      </w:r>
    </w:p>
    <w:p>
      <w:pPr>
        <w:spacing w:after="0"/>
        <w:rPr>
          <w:rFonts w:eastAsia="Calibri"/>
          <w:iCs/>
          <w:noProof/>
          <w:szCs w:val="24"/>
        </w:rPr>
      </w:pPr>
    </w:p>
    <w:p>
      <w:pPr>
        <w:spacing w:after="0"/>
        <w:rPr>
          <w:rFonts w:eastAsia="Calibri"/>
          <w:iCs/>
          <w:noProof/>
          <w:szCs w:val="24"/>
        </w:rPr>
      </w:pPr>
      <w:r>
        <w:rPr>
          <w:noProof/>
        </w:rPr>
        <w:t>Šiuose jūrų baseinuose prioritetas taip pat teikiamas geresniam reikalavimų vykdymo užtikrinimui ir kontrolei. 2017 m. Komisija išplėtė Viduržemio jūrai skirtos specialiosios kontrolės ir inspektavimo programos taikymo sritį, kad ji apimtų europines jūrines lydekas ir ilganoses rausvąsias krevetes Sicilijos sąsiauryje</w:t>
      </w:r>
      <w:r>
        <w:rPr>
          <w:rStyle w:val="FootnoteReference"/>
          <w:noProof/>
        </w:rPr>
        <w:footnoteReference w:id="15"/>
      </w:r>
      <w:r>
        <w:rPr>
          <w:noProof/>
        </w:rPr>
        <w:t>. Taip pat gerokai padidėjo Europos žuvininkystės kontrolės agentūros koordinuojamų bendrų kampanijų skaičius</w:t>
      </w:r>
      <w:r>
        <w:rPr>
          <w:rStyle w:val="FootnoteReference"/>
          <w:noProof/>
        </w:rPr>
        <w:footnoteReference w:id="16"/>
      </w:r>
      <w:r>
        <w:rPr>
          <w:noProof/>
        </w:rPr>
        <w:t xml:space="preserve">. </w:t>
      </w:r>
    </w:p>
    <w:p>
      <w:pPr>
        <w:spacing w:after="0"/>
        <w:rPr>
          <w:rFonts w:eastAsia="Calibri"/>
          <w:iCs/>
          <w:noProof/>
          <w:szCs w:val="24"/>
        </w:rPr>
      </w:pPr>
    </w:p>
    <w:p>
      <w:pPr>
        <w:spacing w:after="0"/>
        <w:rPr>
          <w:rFonts w:eastAsia="Calibri"/>
          <w:iCs/>
          <w:noProof/>
          <w:szCs w:val="24"/>
        </w:rPr>
      </w:pPr>
      <w:r>
        <w:rPr>
          <w:noProof/>
        </w:rPr>
        <w:t>Apie pažangą, susijusią su ES daugiamečiais planais, žr. 2.5.1 skirsnyje.</w:t>
      </w:r>
    </w:p>
    <w:p>
      <w:pPr>
        <w:spacing w:after="0"/>
        <w:rPr>
          <w:rFonts w:eastAsia="Calibri"/>
          <w:iCs/>
          <w:noProof/>
          <w:szCs w:val="24"/>
        </w:rPr>
      </w:pPr>
    </w:p>
    <w:p>
      <w:pPr>
        <w:spacing w:after="0"/>
        <w:rPr>
          <w:rFonts w:eastAsia="Calibri"/>
          <w:iCs/>
          <w:noProof/>
          <w:szCs w:val="24"/>
        </w:rPr>
      </w:pPr>
      <w:r>
        <w:rPr>
          <w:b/>
          <w:noProof/>
        </w:rPr>
        <w:t>Tarptautiniu lygmeniu</w:t>
      </w:r>
      <w:r>
        <w:rPr>
          <w:noProof/>
        </w:rPr>
        <w:t xml:space="preserve"> Komisija siekia, kad Maltoje paskelbtoje deklaracijoje „MedFish4Ever“</w:t>
      </w:r>
      <w:r>
        <w:rPr>
          <w:rStyle w:val="FootnoteReference"/>
          <w:noProof/>
        </w:rPr>
        <w:footnoteReference w:id="17"/>
      </w:r>
      <w:r>
        <w:rPr>
          <w:noProof/>
        </w:rPr>
        <w:t xml:space="preserve"> išdėstyti politiniai įsipareigojimai virstų konkrečiais veiksmais. </w:t>
      </w:r>
    </w:p>
    <w:p>
      <w:pPr>
        <w:spacing w:after="0"/>
        <w:rPr>
          <w:rFonts w:eastAsia="Calibri"/>
          <w:iCs/>
          <w:noProof/>
          <w:szCs w:val="24"/>
        </w:rPr>
      </w:pPr>
    </w:p>
    <w:p>
      <w:pPr>
        <w:spacing w:after="0"/>
        <w:rPr>
          <w:rFonts w:eastAsia="Calibri"/>
          <w:iCs/>
          <w:noProof/>
          <w:szCs w:val="24"/>
        </w:rPr>
      </w:pPr>
      <w:r>
        <w:rPr>
          <w:noProof/>
        </w:rPr>
        <w:t xml:space="preserve">Bendradarbiaujant su </w:t>
      </w:r>
      <w:r>
        <w:rPr>
          <w:b/>
          <w:noProof/>
        </w:rPr>
        <w:t>Bendrąja Viduržemio jūros ir Juodosios jūros žvejybos komisija (GFCM)</w:t>
      </w:r>
      <w:r>
        <w:rPr>
          <w:noProof/>
        </w:rPr>
        <w:t xml:space="preserve"> 2017 m. susitarta dėl svarbių ES pasiūlytų priemonių:</w:t>
      </w:r>
    </w:p>
    <w:p>
      <w:pPr>
        <w:spacing w:after="0"/>
        <w:rPr>
          <w:rFonts w:eastAsia="Calibri"/>
          <w:iCs/>
          <w:noProof/>
          <w:szCs w:val="24"/>
        </w:rPr>
      </w:pP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daugiamečio Juodosios jūros paprastųjų otų žvejybos plano;</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regioninio kovos su neteisėta, nedeklaruojama ir nereglamentuojama (NNN) žvejyba veiksmų plano;</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tarptautinės jungtinio inspektavimo ir priežiūros sistemos už Sicilijos sąsiaurio nacionalinei jurisdikcijai priklausančių vandenų ribų;</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lastRenderedPageBreak/>
        <w:t>raudonųjų koralų rinkimo Viduržemio jūroje regioninio pritaikomojo valdymo plano;</w:t>
      </w:r>
    </w:p>
    <w:p>
      <w:pPr>
        <w:pStyle w:val="ListParagraph"/>
        <w:numPr>
          <w:ilvl w:val="0"/>
          <w:numId w:val="38"/>
        </w:numPr>
        <w:jc w:val="both"/>
        <w:rPr>
          <w:rFonts w:ascii="Times New Roman" w:eastAsia="Calibri" w:hAnsi="Times New Roman"/>
          <w:iCs/>
          <w:noProof/>
          <w:sz w:val="24"/>
          <w:szCs w:val="24"/>
        </w:rPr>
      </w:pPr>
      <w:r>
        <w:rPr>
          <w:rFonts w:ascii="Times New Roman" w:hAnsi="Times New Roman"/>
          <w:noProof/>
          <w:sz w:val="24"/>
        </w:rPr>
        <w:t xml:space="preserve">ribojamos žvejybos rajono Adrijos jūros Jabukos / Pomo įduboje.  </w:t>
      </w:r>
    </w:p>
    <w:p>
      <w:pPr>
        <w:spacing w:after="0"/>
        <w:rPr>
          <w:rFonts w:eastAsia="Calibri"/>
          <w:iCs/>
          <w:noProof/>
          <w:szCs w:val="24"/>
        </w:rPr>
      </w:pPr>
    </w:p>
    <w:p>
      <w:pPr>
        <w:spacing w:after="0"/>
        <w:rPr>
          <w:noProof/>
          <w:szCs w:val="24"/>
        </w:rPr>
      </w:pPr>
      <w:r>
        <w:rPr>
          <w:noProof/>
        </w:rPr>
        <w:t xml:space="preserve">2018 m. svarbiausias įvykis bus </w:t>
      </w:r>
      <w:r>
        <w:rPr>
          <w:b/>
          <w:noProof/>
        </w:rPr>
        <w:t>Sofijos deklaracija</w:t>
      </w:r>
      <w:r>
        <w:rPr>
          <w:noProof/>
        </w:rPr>
        <w:t xml:space="preserve"> – ją priims Juodosios jūros pakrantės valstybės ir ji pratęs 2016 m. patvirtintą Bukarešto deklaraciją.</w:t>
      </w:r>
      <w:r>
        <w:rPr>
          <w:b/>
          <w:noProof/>
        </w:rPr>
        <w:t xml:space="preserve"> </w:t>
      </w:r>
      <w:r>
        <w:rPr>
          <w:noProof/>
        </w:rPr>
        <w:t xml:space="preserve">Komisija taip pat sieks susitarti dėl regioninio europinių upinių ungurių išteklių valdymo plano ir vidurio bei rytų Viduržemio jūros demersinių išteklių, taip pat pagrindinių verslinių rūšių (pavyzdžiui, jūrų sraigių (lot. </w:t>
      </w:r>
      <w:r>
        <w:rPr>
          <w:i/>
          <w:noProof/>
        </w:rPr>
        <w:t>Rapana venosa</w:t>
      </w:r>
      <w:r>
        <w:rPr>
          <w:noProof/>
        </w:rPr>
        <w:t xml:space="preserve">)) ir Adrijos jūros smulkiųjų pelaginių žuvų išteklių išsaugojimo priemonių, nes ES daugiamečio plano nėra. </w:t>
      </w:r>
    </w:p>
    <w:p>
      <w:pPr>
        <w:spacing w:after="0"/>
        <w:rPr>
          <w:rFonts w:eastAsia="Calibri"/>
          <w:iCs/>
          <w:noProof/>
          <w:szCs w:val="24"/>
        </w:rPr>
      </w:pPr>
    </w:p>
    <w:p>
      <w:pPr>
        <w:spacing w:after="0"/>
        <w:rPr>
          <w:rFonts w:eastAsia="Calibri"/>
          <w:iCs/>
          <w:noProof/>
          <w:szCs w:val="24"/>
        </w:rPr>
      </w:pPr>
      <w:r>
        <w:rPr>
          <w:noProof/>
        </w:rPr>
        <w:t xml:space="preserve">ES bendradarbiavimas su </w:t>
      </w:r>
      <w:r>
        <w:rPr>
          <w:b/>
          <w:noProof/>
        </w:rPr>
        <w:t>Tarptautine Atlanto tunų apsaugos komisija (ICCAT)</w:t>
      </w:r>
      <w:r>
        <w:rPr>
          <w:noProof/>
        </w:rPr>
        <w:t xml:space="preserve"> taip pat pradėjo duoti vaisių: </w:t>
      </w:r>
      <w:r>
        <w:rPr>
          <w:b/>
          <w:noProof/>
        </w:rPr>
        <w:t xml:space="preserve"> </w:t>
      </w:r>
      <w:r>
        <w:rPr>
          <w:noProof/>
        </w:rPr>
        <w:t>pranešta, kad rytų Atlanto ir Viduržemio jūros paprastųjų tunų biomasės lygis buvo didelis, todėl, laikantis mokslinių rekomendacijų</w:t>
      </w:r>
      <w:r>
        <w:rPr>
          <w:rStyle w:val="FootnoteReference"/>
          <w:noProof/>
        </w:rPr>
        <w:footnoteReference w:id="18"/>
      </w:r>
      <w:r>
        <w:rPr>
          <w:noProof/>
        </w:rPr>
        <w:t>, 2018–2020 m. BLSK buvo galima padidinti. Tai taip pat padėjo sukurti naują valdymo sistemą, pagal kurią pereita nuo išteklių atkūrimo plano prie valdymo plano – taip sudarytos sąlygos vėl pradėti vykdyti mažos apimties žvejybą ir kartu išlaikyti griežtas kontrolės taisykles. Kalbant apie Viduržemio jūros paprastąsias durklažuves, neseniai priimtame išteklių atkūrimo plane nustatytas 10 500 tonų BLSK nuo 2017 m. ir linijinis mažinimas 3 % per metus iki 2022 m. 2017 m. ICCAT taip pat įšaldė Viduržemio jūros ilgapelekius tunus žvejojančių laivų žvejybos pajėgumą</w:t>
      </w:r>
      <w:r>
        <w:rPr>
          <w:rStyle w:val="FootnoteReference"/>
          <w:noProof/>
        </w:rPr>
        <w:footnoteReference w:id="19"/>
      </w:r>
      <w:r>
        <w:rPr>
          <w:noProof/>
        </w:rPr>
        <w:t xml:space="preserve">. </w:t>
      </w:r>
    </w:p>
    <w:p>
      <w:pPr>
        <w:spacing w:after="0"/>
        <w:rPr>
          <w:noProof/>
          <w:szCs w:val="24"/>
        </w:rPr>
      </w:pPr>
    </w:p>
    <w:p>
      <w:pPr>
        <w:spacing w:after="0"/>
        <w:rPr>
          <w:noProof/>
          <w:szCs w:val="24"/>
        </w:rPr>
      </w:pPr>
    </w:p>
    <w:p>
      <w:pPr>
        <w:pStyle w:val="Heading2"/>
        <w:ind w:left="720"/>
        <w:rPr>
          <w:noProof/>
        </w:rPr>
      </w:pPr>
      <w:r>
        <w:rPr>
          <w:noProof/>
        </w:rPr>
        <w:t>ES laivyno padėtis</w:t>
      </w:r>
    </w:p>
    <w:p>
      <w:pPr>
        <w:spacing w:after="0"/>
        <w:rPr>
          <w:bCs/>
          <w:noProof/>
          <w:szCs w:val="24"/>
        </w:rPr>
      </w:pPr>
      <w:r>
        <w:rPr>
          <w:noProof/>
          <w:u w:val="single"/>
        </w:rPr>
        <w:t>ES laivyno pajėgumas</w:t>
      </w:r>
      <w:r>
        <w:rPr>
          <w:noProof/>
        </w:rPr>
        <w:t xml:space="preserve"> toliau mažėjo. 2017 m. gruodžio mėn. ES laivyno registre buvo 82 912 laivų, kurių bendras pajėgumas sudarė 1 487,983 bendrosios talpos (GT) ir 5 763,933 kilovatų (kW). Palyginti su praėjusiais metais, laivų skaičius sumažėjo 1,45 %, kW – 6,54 %, o GT – 9,59 %. Tačiau keletas laivyno segmentų neatitinka savo žvejybos galimybių.</w:t>
      </w:r>
    </w:p>
    <w:p>
      <w:pPr>
        <w:spacing w:after="0"/>
        <w:rPr>
          <w:bCs/>
          <w:noProof/>
          <w:szCs w:val="24"/>
        </w:rPr>
      </w:pPr>
    </w:p>
    <w:p>
      <w:pPr>
        <w:spacing w:after="0"/>
        <w:rPr>
          <w:noProof/>
          <w:szCs w:val="24"/>
        </w:rPr>
      </w:pPr>
      <w:r>
        <w:rPr>
          <w:noProof/>
          <w:u w:val="single"/>
        </w:rPr>
        <w:t>ES laivyno ekonominės veiklos rezultatai</w:t>
      </w:r>
      <w:r>
        <w:rPr>
          <w:noProof/>
        </w:rPr>
        <w:t xml:space="preserve"> vėl gerėjo – 2016 m. grynasis pelnas siekė 1,3 mlrd. EUR. ES laivynas iškrovė apie 5 mln. tonų jūros gėrybių, o jų vertė, apie kurią pranešta, siekė 7,7 mlrd. EUR. ES laivyno (išskyrus Graikijos) sukurta bendroji pridėtinė vertė ir bendrasis pelnas (išskyrus subsidijas) atitinkamai sudarė 4,5 mlrd. EUR ir 2,1 mlrd. EUR. Grynoji pelno marža buvo 17 % – t. y. daug didesnė už 2015 m. maržą (11 %). 2017 ir 2018 m. prognozės rodo teigiamus ekonominius rezultatus. </w:t>
      </w:r>
    </w:p>
    <w:p>
      <w:pPr>
        <w:spacing w:after="0"/>
        <w:rPr>
          <w:noProof/>
          <w:szCs w:val="24"/>
        </w:rPr>
      </w:pPr>
    </w:p>
    <w:p>
      <w:pPr>
        <w:spacing w:after="0"/>
        <w:rPr>
          <w:noProof/>
          <w:szCs w:val="24"/>
        </w:rPr>
      </w:pPr>
      <w:r>
        <w:rPr>
          <w:noProof/>
          <w:u w:val="single"/>
        </w:rPr>
        <w:t>Kalbant apie socialinį tvarumą</w:t>
      </w:r>
      <w:r>
        <w:rPr>
          <w:noProof/>
        </w:rPr>
        <w:t>, nuo 2008 m. bendras užimtumo lygis etato ekvivalentais ES laivyne mažėjo vidutiniškai 1,3 % per metus – iš dalies dėl ES laivyno pajėgumo mažėjimo. Tačiau vidutinis darbo užmokestis, tenkantis etato ekvivalentui, didėjo vidutiniškai 2,7 % per metus. Vidutinis metinis darbo užmokestis už etato ekvivalentą yra 24 800 EUR.</w:t>
      </w:r>
    </w:p>
    <w:p>
      <w:pPr>
        <w:spacing w:after="0"/>
        <w:rPr>
          <w:noProof/>
          <w:szCs w:val="24"/>
        </w:rPr>
      </w:pPr>
    </w:p>
    <w:p>
      <w:pPr>
        <w:spacing w:after="0"/>
        <w:rPr>
          <w:noProof/>
          <w:szCs w:val="24"/>
        </w:rPr>
      </w:pPr>
      <w:r>
        <w:rPr>
          <w:noProof/>
        </w:rPr>
        <w:t xml:space="preserve">Svarbus žingsnis gerinant ES laivyno darbo sąlygas yra sėkmingas Tarptautinės darbo organizacijos konvencijos Nr. C188 dėl darbo žvejybos sektoriuje perkėlimas į ES </w:t>
      </w:r>
      <w:r>
        <w:rPr>
          <w:noProof/>
        </w:rPr>
        <w:lastRenderedPageBreak/>
        <w:t>teisę</w:t>
      </w:r>
      <w:r>
        <w:rPr>
          <w:rStyle w:val="FootnoteReference"/>
          <w:noProof/>
        </w:rPr>
        <w:footnoteReference w:id="20"/>
      </w:r>
      <w:r>
        <w:rPr>
          <w:noProof/>
        </w:rPr>
        <w:t>, kaip susitarė ES socialiniai partneriai. Šia konvencija sukurta bendra nuosekli priemonė, skirta gyvenimo ir darbo sąlygoms žvejybos laivuose gerinti. Tačiau tik kelios valstybės narės ratifikavo su žvejyba susijusias tarptautines konvencijas</w:t>
      </w:r>
      <w:r>
        <w:rPr>
          <w:rStyle w:val="FootnoteReference"/>
          <w:noProof/>
        </w:rPr>
        <w:footnoteReference w:id="21"/>
      </w:r>
      <w:r>
        <w:rPr>
          <w:noProof/>
        </w:rPr>
        <w:t xml:space="preserve"> ir šių standartų perkėlimas į ES teisę dar nėra baigtas. Komisijos darbotvarkėje daug dėmesio skiriama priemonėms, kuriomis siekiama užtikrinti, kad žvejybos laivuose būtų laikomasi deramo darbo, sveikatos ir saugos sąlygų. </w:t>
      </w:r>
    </w:p>
    <w:p>
      <w:pPr>
        <w:rPr>
          <w:noProof/>
          <w:szCs w:val="24"/>
        </w:rPr>
      </w:pPr>
    </w:p>
    <w:p>
      <w:pPr>
        <w:pStyle w:val="Heading2"/>
        <w:ind w:left="720"/>
        <w:rPr>
          <w:noProof/>
        </w:rPr>
      </w:pPr>
      <w:r>
        <w:rPr>
          <w:noProof/>
        </w:rPr>
        <w:t>Valdymas</w:t>
      </w:r>
    </w:p>
    <w:p>
      <w:pPr>
        <w:pStyle w:val="Heading3"/>
        <w:rPr>
          <w:noProof/>
        </w:rPr>
      </w:pPr>
      <w:r>
        <w:rPr>
          <w:noProof/>
        </w:rPr>
        <w:t>Su daugiamečiais planais susijusi pažanga</w:t>
      </w:r>
    </w:p>
    <w:p>
      <w:pPr>
        <w:spacing w:after="0"/>
        <w:rPr>
          <w:noProof/>
        </w:rPr>
      </w:pPr>
      <w:r>
        <w:rPr>
          <w:noProof/>
        </w:rPr>
        <w:t xml:space="preserve">Neseniai priimtas Šiaurės jūros demersinių išteklių valdymo daugiametis planas yra svarbus žingsnis, padėsiantis ilguoju laikotarpiu užtikrinti tausią žvejybą. Tai antrasis daugiametis planas, dėl kurio susitarta po 2016 m. Baltijos jūros daugiamečio plano. Tačiau Europos Parlamentas ir Taryba, priešingai, dar nepasiekė susitarimo dėl Adrijos jūros sardinių ir ančiuvių žvejybos daugiamečio plano, kurį Komisija pasiūlė 2017 m., o galimybė, kad sprendimas bus greitai priimtas, menka. Komisija glaudžiai bendradarbiauja su visais atitinkamais subjektais siekdama palengvinti diskusijas, kad būtų galima kuo greičiau įgyvendinti priemones, kuriomis būtų apsaugoti šie kritinės būklės ištekliai. </w:t>
      </w:r>
    </w:p>
    <w:p>
      <w:pPr>
        <w:spacing w:after="0"/>
        <w:rPr>
          <w:noProof/>
        </w:rPr>
      </w:pPr>
    </w:p>
    <w:p>
      <w:pPr>
        <w:spacing w:after="0"/>
        <w:rPr>
          <w:noProof/>
        </w:rPr>
      </w:pPr>
      <w:r>
        <w:rPr>
          <w:noProof/>
        </w:rPr>
        <w:t xml:space="preserve">2018 m. kovo mėn. Komisija pasiūlė du naujus daugiamečius planus: vienas iš jų skirtas </w:t>
      </w:r>
      <w:r>
        <w:rPr>
          <w:b/>
          <w:noProof/>
        </w:rPr>
        <w:t>vakarų Viduržemio jūros demersinių išteklių žvejybai</w:t>
      </w:r>
      <w:r>
        <w:rPr>
          <w:noProof/>
        </w:rPr>
        <w:t xml:space="preserve">, o kitas – </w:t>
      </w:r>
      <w:r>
        <w:rPr>
          <w:b/>
          <w:noProof/>
        </w:rPr>
        <w:t>vakarų vandenų demersinių išteklių žvejybai</w:t>
      </w:r>
      <w:r>
        <w:rPr>
          <w:noProof/>
        </w:rPr>
        <w:t>. Svarbu susitarti dėl šių pasiūlymų, kad būtų pasiektas F</w:t>
      </w:r>
      <w:r>
        <w:rPr>
          <w:smallCaps/>
          <w:noProof/>
          <w:vertAlign w:val="subscript"/>
        </w:rPr>
        <w:t>MSY</w:t>
      </w:r>
      <w:r>
        <w:rPr>
          <w:noProof/>
        </w:rPr>
        <w:t xml:space="preserve"> ir visiškai įgyvendintas įpareigojimas iškrauti laimikį. </w:t>
      </w:r>
    </w:p>
    <w:p>
      <w:pPr>
        <w:spacing w:after="0"/>
        <w:rPr>
          <w:bCs/>
          <w:noProof/>
          <w:szCs w:val="24"/>
        </w:rPr>
      </w:pPr>
    </w:p>
    <w:p>
      <w:pPr>
        <w:pStyle w:val="Heading3"/>
        <w:rPr>
          <w:noProof/>
        </w:rPr>
      </w:pPr>
      <w:r>
        <w:rPr>
          <w:noProof/>
        </w:rPr>
        <w:t>Regionalizavimas ir suinteresuotųjų subjektų dalyvavimas</w:t>
      </w:r>
    </w:p>
    <w:p>
      <w:pPr>
        <w:spacing w:after="0"/>
        <w:rPr>
          <w:bCs/>
          <w:noProof/>
          <w:szCs w:val="24"/>
        </w:rPr>
      </w:pPr>
      <w:r>
        <w:rPr>
          <w:noProof/>
        </w:rPr>
        <w:t xml:space="preserve">2013 m. BŽP reforma įvestas regionalizavimo principas: tais atvejais, kai taikomas regionalizavimas, atitinkamos valstybės narės gali pateikti bendras rekomendacijas dėl Komisijos deleguotųjų aktų priėmimo.  Naujos kartos daugiamečiai planai taip pat apima nuostatas dėl regionalizavimo, kuriomis valstybėms narėms ir suinteresuotiesiems subjektams suteikiama galimybė bendradarbiauti rengiant jiems pritaikytas valdymo priemones, kurios yra tinkamos jų jūrų baseinams. </w:t>
      </w:r>
    </w:p>
    <w:p>
      <w:pPr>
        <w:spacing w:after="0"/>
        <w:rPr>
          <w:noProof/>
          <w:szCs w:val="24"/>
        </w:rPr>
      </w:pPr>
    </w:p>
    <w:p>
      <w:pPr>
        <w:spacing w:after="0"/>
        <w:rPr>
          <w:noProof/>
          <w:sz w:val="22"/>
        </w:rPr>
      </w:pPr>
      <w:r>
        <w:rPr>
          <w:noProof/>
        </w:rPr>
        <w:t xml:space="preserve">Regionalizavimas atliko svarbų vaidmenį laipsniškai įvedant įpareigojimą iškrauti laimikį. Tačiau bendrų rekomendacijų dėl „Natura 2000“ teritorijose ir kitose saugomose teritorijose taikomų išsaugojimo priemonių pagal BŽP reglamento 11 straipsnį pateikta mažiau ir jos apima tik tam tikras Šiaurės jūros ir Baltijos jūros teritorijas. Siekiant padėti Viduržemio jūros regiono valstybėms narėms geriau suprasti  išsaugojimo priemonių pagal BŽP įgyvendinimo privalumus, 2017 m. spalio mėn. Zadare buvo surengtas tam skirtas seminaras šia tema. Valstybės narės ir suinteresuotieji subjektai turi dėti daugiau pastangų šioje srityje. Kad jiems būtų lengviau atlikti savo darbą, Komisija parengs rekomendacinį dokumentą dėl BŽP reglamento 11 straipsnyje numatytų deleguotųjų aktų </w:t>
      </w:r>
      <w:r>
        <w:rPr>
          <w:noProof/>
        </w:rPr>
        <w:lastRenderedPageBreak/>
        <w:t>rengimo. Be to, šiais metais Komisija pateikė ataskaitą apie naudojimąsi BŽP reglamente nurodytais deleguotaisiais įgaliojimais</w:t>
      </w:r>
      <w:r>
        <w:rPr>
          <w:rStyle w:val="FootnoteReference"/>
          <w:noProof/>
        </w:rPr>
        <w:footnoteReference w:id="22"/>
      </w:r>
      <w:r>
        <w:rPr>
          <w:noProof/>
        </w:rPr>
        <w:t>.</w:t>
      </w:r>
    </w:p>
    <w:p>
      <w:pPr>
        <w:spacing w:after="0"/>
        <w:rPr>
          <w:noProof/>
          <w:szCs w:val="24"/>
        </w:rPr>
      </w:pPr>
    </w:p>
    <w:p>
      <w:pPr>
        <w:spacing w:after="0"/>
        <w:rPr>
          <w:noProof/>
        </w:rPr>
      </w:pPr>
      <w:r>
        <w:rPr>
          <w:noProof/>
        </w:rPr>
        <w:t xml:space="preserve">Regionalizavimas taip pat sustiprino patariamųjų tarybų – pagrindinių suinteresuotųjų subjektų organizacijų, įsteigtų pagal BŽP, vaidmenį. Rengdamos savo bendras rekomendacijas, valstybės narės turi konsultuotis su patariamosiomis tarybomis. Todėl patariamųjų tarybų rekomendacijų skaičius vėl padidėjo nuo 56 2016 m. iki 64 2017 m. </w:t>
      </w:r>
    </w:p>
    <w:p>
      <w:pPr>
        <w:spacing w:after="0"/>
        <w:rPr>
          <w:noProof/>
        </w:rPr>
      </w:pPr>
    </w:p>
    <w:p>
      <w:pPr>
        <w:spacing w:after="0"/>
        <w:rPr>
          <w:noProof/>
        </w:rPr>
      </w:pPr>
      <w:r>
        <w:rPr>
          <w:noProof/>
        </w:rPr>
        <w:t>Siekiant sėkmingai įgyvendinti BŽP, labai svarbios patariamųjų tarybų žinios. Komisija ir valstybės narės remiasi jų analize, siekdamos, kad taikant esamas ES taisykles būtų išvengta žvejybos stabdymo atvejų arba jie būtų bent sušvelninti. Be to, patariamosios tarybos gali kurti darnaus valdymo strategijas, tokias kaip dvi Biskajos įlankos ir rytinės Lamanšo sąsiaurio dalies jūrų liežuvių išteklių valdymo strategijos, dėl kurių žvejyba vykdoma laikantis F</w:t>
      </w:r>
      <w:r>
        <w:rPr>
          <w:smallCaps/>
          <w:noProof/>
          <w:vertAlign w:val="subscript"/>
        </w:rPr>
        <w:t>MSY</w:t>
      </w:r>
      <w:r>
        <w:rPr>
          <w:noProof/>
        </w:rPr>
        <w:t xml:space="preserve"> ir todėl žvejams padidintos kvotos. </w:t>
      </w:r>
    </w:p>
    <w:p>
      <w:pPr>
        <w:spacing w:after="0"/>
        <w:rPr>
          <w:noProof/>
        </w:rPr>
      </w:pPr>
    </w:p>
    <w:p>
      <w:pPr>
        <w:spacing w:after="0"/>
        <w:rPr>
          <w:noProof/>
        </w:rPr>
      </w:pPr>
      <w:r>
        <w:rPr>
          <w:noProof/>
        </w:rPr>
        <w:t xml:space="preserve"> </w:t>
      </w:r>
    </w:p>
    <w:p>
      <w:pPr>
        <w:pStyle w:val="Heading2"/>
        <w:ind w:left="720"/>
        <w:rPr>
          <w:noProof/>
        </w:rPr>
      </w:pPr>
      <w:r>
        <w:rPr>
          <w:noProof/>
        </w:rPr>
        <w:t>Įpareigojimas iškrauti laimikį</w:t>
      </w:r>
    </w:p>
    <w:p>
      <w:pPr>
        <w:spacing w:after="0"/>
        <w:rPr>
          <w:noProof/>
        </w:rPr>
      </w:pPr>
      <w:r>
        <w:rPr>
          <w:noProof/>
        </w:rPr>
        <w:t xml:space="preserve">2018 m. toliau buvo laipsniškai įvedamas įpareigojimas iškrauti laimikį. Jis jau visapusiškai taikomas pelaginių žuvų žvejybai ir žvejybai Baltijos bei Juodojoje jūrose. Kalbant apie demersinių išteklių žvejybą, įpareigojimo iškrauti laimikį taikymo apimtis (vertinant kiekius) nuo praėjusių metų bendrai padidėjo nuo 35 % iki 44 %: Šiaurės jūroje tai sudaro 34 %, šiaurės vakarų vandenyse – 51 %, o pietvakarių vandenyse – 65 %. Viduržemio jūroje įpareigojimas iškrauti laimikį šiuo metu taikomas apie 66 % viso iškraunamo kiekio. Smulkiųjų pelaginių žuvų rūšių atveju tai sudaro 94 %, demersinių rūšių atveju – 24 %, o dvigeldžių moliuskų atveju – 71 %. Juodojoje jūroje nuo 2017 m. įpareigojimas iškrauti laimikį taikomas visam rūšių, kurių BLSK nustatytas (t. y. šprotų ir paprastųjų otų), laimikiui. </w:t>
      </w:r>
    </w:p>
    <w:p>
      <w:pPr>
        <w:spacing w:after="0"/>
        <w:rPr>
          <w:noProof/>
        </w:rPr>
      </w:pPr>
    </w:p>
    <w:p>
      <w:pPr>
        <w:spacing w:after="0"/>
        <w:rPr>
          <w:noProof/>
        </w:rPr>
      </w:pPr>
      <w:r>
        <w:rPr>
          <w:noProof/>
        </w:rPr>
        <w:t xml:space="preserve">Remiantis Pagrindinio reglamento nuostatomis, nuo 2019 m. sausio 1 d. įpareigojimas iškrauti laimikį bus taikomas visam rūšių, kurioms taikomi laimikio limitai, laimikiui, o Viduržemio jūroje – ir rūšių, kurioms taikomi mažiausi išteklių išsaugojimą užtikrinantys orientaciniai dydžiai, laimikiui. Siekiant sudaryti sąlygas visiškai ir laiku įgyvendinti įpareigojimą iškrauti laimikį, reikėtų visapusiškai taikyti visas pagal BŽP numatytas lankstumo priemones. </w:t>
      </w:r>
    </w:p>
    <w:p>
      <w:pPr>
        <w:spacing w:after="0"/>
        <w:rPr>
          <w:noProof/>
        </w:rPr>
      </w:pPr>
    </w:p>
    <w:p>
      <w:pPr>
        <w:spacing w:after="0"/>
        <w:rPr>
          <w:noProof/>
        </w:rPr>
      </w:pPr>
      <w:r>
        <w:rPr>
          <w:noProof/>
        </w:rPr>
        <w:t>Remiantis turima informacija, iki šiol nebuvo žvejybos stabdymo atvejų, susijusių su įpareigojimu iškrauti laimikį. Vis dėlto iki 2020 m. pasiekti F</w:t>
      </w:r>
      <w:r>
        <w:rPr>
          <w:smallCaps/>
          <w:noProof/>
          <w:vertAlign w:val="subscript"/>
        </w:rPr>
        <w:t>MSY</w:t>
      </w:r>
      <w:r>
        <w:rPr>
          <w:noProof/>
        </w:rPr>
        <w:t xml:space="preserve"> tikslą ir visiškai įgyvendinti įpareigojimą iškrauti laimikį yra sunkus uždavinys, todėl valstybės narės ir patariamosios tarybos raginamos tęsti savo darbą ir visų pirma nustatyti atvejus, kai sistemoje yra pakankamai žuvų, todėl keitimasis kvotomis gali užkirsti kelią žvejybos stabdymui. Valstybės narės taip pat turėtų apsvarstyti, ar galima būtų patobulinti jų vidaus taisykles. Europos jūrų reikalų ir žuvininkystės fondo lėšos, skirtos įpareigojimo iškrauti laimikį įgyvendinimui remti, tebėra labai nedidelės – su įpareigojimu iškrauti laimikį susijusioms priemonėms</w:t>
      </w:r>
      <w:r>
        <w:rPr>
          <w:rStyle w:val="FootnoteReference"/>
          <w:noProof/>
        </w:rPr>
        <w:footnoteReference w:id="23"/>
      </w:r>
      <w:r>
        <w:rPr>
          <w:noProof/>
        </w:rPr>
        <w:t xml:space="preserve"> numatyta tik 49 mln. EUR. </w:t>
      </w:r>
    </w:p>
    <w:p>
      <w:pPr>
        <w:spacing w:after="0"/>
        <w:rPr>
          <w:noProof/>
          <w:szCs w:val="24"/>
        </w:rPr>
      </w:pPr>
    </w:p>
    <w:p>
      <w:pPr>
        <w:spacing w:after="0"/>
        <w:rPr>
          <w:noProof/>
          <w:szCs w:val="24"/>
        </w:rPr>
      </w:pPr>
      <w:r>
        <w:rPr>
          <w:noProof/>
        </w:rPr>
        <w:t>Komisija yra visapusiškai įsipareigojusi bendradarbiauti su valstybėmis narėmis ir patariamosiomis tarybomis, kad būtų sudarytos sąlygos įgyvendinti įpareigojimą iškrauti laimikį. Šį įsipareigojimą liudija tai, kad neseniai iš dalies pakeista BŽP reglamento 15 straipsnio 6 dalis – suteikta galimybė išmetimo į jūrą mažinimo planus pratęsti dar trejiems metams</w:t>
      </w:r>
      <w:r>
        <w:rPr>
          <w:rStyle w:val="FootnoteReference"/>
          <w:noProof/>
        </w:rPr>
        <w:footnoteReference w:id="24"/>
      </w:r>
      <w:r>
        <w:rPr>
          <w:noProof/>
        </w:rPr>
        <w:t>. Europos Parlamentas ir Taryba turėtų pasinaudoti šiuo papildomu laikotarpiu, kad būtų pasiektas susitarimas dėl neseniai Komisijos pasiūlytų daugiamečių planų, nes daugiamečiai planai yra naudinga priemonė, padedanti išvengti galimų žvejybos stabdymo atvejų. Komisija kaip iki šiol padės toliau nagrinėti galimybes, visų pirma susijusias su žvejybos stabdymo atvejais, laikydamasi galiojančių ES taisyklių ir remdamasi konkrečiais valstybių narių pateiktais pavyzdžiais.</w:t>
      </w:r>
    </w:p>
    <w:p>
      <w:pPr>
        <w:spacing w:after="0"/>
        <w:rPr>
          <w:noProof/>
          <w:szCs w:val="24"/>
        </w:rPr>
      </w:pPr>
    </w:p>
    <w:p>
      <w:pPr>
        <w:spacing w:after="0"/>
        <w:rPr>
          <w:noProof/>
          <w:szCs w:val="24"/>
        </w:rPr>
      </w:pPr>
      <w:r>
        <w:rPr>
          <w:noProof/>
        </w:rPr>
        <w:t>Kalbant apie vykdymo užtikrinimą ir kontrolę, vis labiau akivaizdu, kad tradicinės kontrolės priemonės, pvz., inspektavimas jūroje ir priežiūra iš oro, yra ne tokios veiksmingos kaip nuolatinio nuotolinio elektroninio stebėjimo technologijos, pvz., vaizdo stebėjimo sistema ir jutikliai. Nesant susitarimo regioniniu lygmeniu, siekdama užtikrinti vienodas sąlygas Komisija neseniai pradėjo diskusijas su valstybėmis narėmis ir Europos žuvininkystės kontrolės agentūra, kad šis klausimas būtų sprendžiamas taikant pagal Kontrolės reglamentą</w:t>
      </w:r>
      <w:r>
        <w:rPr>
          <w:rStyle w:val="FootnoteReference"/>
          <w:noProof/>
        </w:rPr>
        <w:footnoteReference w:id="25"/>
      </w:r>
      <w:r>
        <w:rPr>
          <w:noProof/>
        </w:rPr>
        <w:t xml:space="preserve"> priimtas specialiąsias kontrolės ir inspektavimo programas.</w:t>
      </w:r>
    </w:p>
    <w:p>
      <w:pPr>
        <w:spacing w:after="0"/>
        <w:rPr>
          <w:noProof/>
        </w:rPr>
      </w:pPr>
    </w:p>
    <w:p>
      <w:pPr>
        <w:pStyle w:val="Heading2"/>
        <w:numPr>
          <w:ilvl w:val="0"/>
          <w:numId w:val="0"/>
        </w:numPr>
        <w:spacing w:after="0"/>
        <w:rPr>
          <w:noProof/>
        </w:rPr>
      </w:pPr>
    </w:p>
    <w:p>
      <w:pPr>
        <w:pStyle w:val="Heading2"/>
        <w:spacing w:after="0"/>
        <w:ind w:left="720"/>
        <w:contextualSpacing/>
        <w:rPr>
          <w:noProof/>
        </w:rPr>
      </w:pPr>
      <w:r>
        <w:rPr>
          <w:noProof/>
        </w:rPr>
        <w:t>Platesnis kontekstas. Tarptautinis vandenynų valdymas ir 2017 m. konferencija „Mūsų vandenynas“</w:t>
      </w:r>
    </w:p>
    <w:p>
      <w:pPr>
        <w:pStyle w:val="Heading2"/>
        <w:numPr>
          <w:ilvl w:val="0"/>
          <w:numId w:val="0"/>
        </w:numPr>
        <w:spacing w:after="0"/>
        <w:ind w:left="720"/>
        <w:contextualSpacing/>
        <w:rPr>
          <w:noProof/>
          <w:szCs w:val="24"/>
        </w:rPr>
      </w:pPr>
    </w:p>
    <w:p>
      <w:pPr>
        <w:spacing w:after="0"/>
        <w:contextualSpacing/>
        <w:rPr>
          <w:noProof/>
          <w:szCs w:val="24"/>
        </w:rPr>
      </w:pPr>
      <w:r>
        <w:rPr>
          <w:noProof/>
        </w:rPr>
        <w:t>2017 m. ES surengė itin didelės sėkmės sulaukusią ketvirtąją konferenciją „Mūsų vandenynas“ – joje prisiimti 433 konkretūs įsipareigojimai: jie apima 7,2 mlrd. EUR finansinių įsipareigojimų ir 2,5 mln. km</w:t>
      </w:r>
      <w:r>
        <w:rPr>
          <w:noProof/>
          <w:vertAlign w:val="superscript"/>
        </w:rPr>
        <w:t>2</w:t>
      </w:r>
      <w:r>
        <w:rPr>
          <w:noProof/>
        </w:rPr>
        <w:t xml:space="preserve"> papildomų saugomų jūrų teritorijų. </w:t>
      </w:r>
    </w:p>
    <w:p>
      <w:pPr>
        <w:spacing w:after="0"/>
        <w:contextualSpacing/>
        <w:rPr>
          <w:noProof/>
          <w:szCs w:val="24"/>
        </w:rPr>
      </w:pPr>
    </w:p>
    <w:p>
      <w:pPr>
        <w:spacing w:after="0"/>
        <w:contextualSpacing/>
        <w:rPr>
          <w:noProof/>
          <w:szCs w:val="24"/>
        </w:rPr>
      </w:pPr>
      <w:r>
        <w:rPr>
          <w:noProof/>
        </w:rPr>
        <w:t>Remdamasi bendru komunikatu dėl tarptautinio vandenynų valdymo Komisija savo darbe tarptautiniu lygmeniu daugiausia dėmesio skiria tam, kad būtų:</w:t>
      </w:r>
    </w:p>
    <w:p>
      <w:pPr>
        <w:spacing w:after="0"/>
        <w:contextualSpacing/>
        <w:rPr>
          <w:noProof/>
          <w:szCs w:val="24"/>
        </w:rPr>
      </w:pP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t>aktyviai skatinamas tausios žvejybos valdymas ne ES vandenyse per regionines žvejybos valdymo organizacijas (RŽVO);</w:t>
      </w:r>
    </w:p>
    <w:p>
      <w:pPr>
        <w:pStyle w:val="ListParagraph"/>
        <w:numPr>
          <w:ilvl w:val="0"/>
          <w:numId w:val="39"/>
        </w:numPr>
        <w:autoSpaceDE w:val="0"/>
        <w:autoSpaceDN w:val="0"/>
        <w:adjustRightInd w:val="0"/>
        <w:jc w:val="both"/>
        <w:rPr>
          <w:rFonts w:ascii="Times New Roman" w:hAnsi="Times New Roman"/>
          <w:noProof/>
          <w:color w:val="000000"/>
          <w:sz w:val="18"/>
          <w:szCs w:val="16"/>
        </w:rPr>
      </w:pPr>
      <w:r>
        <w:rPr>
          <w:rFonts w:ascii="Times New Roman" w:hAnsi="Times New Roman"/>
          <w:noProof/>
          <w:color w:val="000000"/>
          <w:sz w:val="24"/>
        </w:rPr>
        <w:t>remiamas geresnis RŽVO ir regioninių jūrų konvencijų šalių veiklos koordinavimas ir bendradarbiavimas su pasaulinėmis organizacijomis;</w:t>
      </w: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t>kovojama su NNN žvejyba ir stiprinamas darnus vandenynų išteklių valdymas pasitelkiant dvišalius dialogus NNN žvejybos klausimais ir darbo grupes. 2016 m. birželio mėn. įsigaliojęs Susitarimas dėl uosto valstybių priemonių (PSMA), 2017 m. liepos mėn. Maisto ir žemės ūkio organizacijos (FAO) priimtos Savanoriškos gairės dėl laimikio dokumentavimo sistemų ir 2017 m. balandžio mėn. FAO sudaryto Pasaulinio žvejybos laivų, transportavimo laivų su šaldymo įranga ir aprūpinimo laivų registro pirmoji darbinė redakcija yra svarbūs pokyčiai šioje srityje;</w:t>
      </w:r>
    </w:p>
    <w:p>
      <w:pPr>
        <w:pStyle w:val="ListParagraph"/>
        <w:numPr>
          <w:ilvl w:val="0"/>
          <w:numId w:val="39"/>
        </w:numPr>
        <w:jc w:val="both"/>
        <w:rPr>
          <w:rFonts w:ascii="Times New Roman" w:hAnsi="Times New Roman"/>
          <w:noProof/>
          <w:sz w:val="24"/>
          <w:szCs w:val="24"/>
        </w:rPr>
      </w:pPr>
      <w:r>
        <w:rPr>
          <w:rFonts w:ascii="Times New Roman" w:hAnsi="Times New Roman"/>
          <w:noProof/>
          <w:sz w:val="24"/>
        </w:rPr>
        <w:t>panaikintos tarptautinės sistemos spragos. Labai svarbus laimėjimas šioje srityje yra tarptautinio susitarimo, kuriuo užkertamas kelias nereglamentuojamai verslinei žvejybai Arkties atvirojoje jūroje, sudarymas;</w:t>
      </w: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lastRenderedPageBreak/>
        <w:t>plėtojama tausi žvejyba ir akvakultūra ir didinamas sektoriaus pajėgumas, įgyvendinant ES finansuojamas paramos programas su Ramiojo vandenyno, Vakarų Afrikos ir Indijos vandenyno regioniniais subjektais ir valstybėmis. 2017 m. priimtos dvi naujos regioninės programos: PESCAO (Vakarų Afrika) ir PEUMP (Ramiojo vandenyno regionas);</w:t>
      </w:r>
    </w:p>
    <w:p>
      <w:pPr>
        <w:pStyle w:val="ListParagraph"/>
        <w:numPr>
          <w:ilvl w:val="0"/>
          <w:numId w:val="39"/>
        </w:numPr>
        <w:contextualSpacing/>
        <w:jc w:val="both"/>
        <w:rPr>
          <w:rFonts w:ascii="Times New Roman" w:hAnsi="Times New Roman"/>
          <w:noProof/>
          <w:sz w:val="24"/>
          <w:szCs w:val="24"/>
        </w:rPr>
      </w:pPr>
      <w:r>
        <w:rPr>
          <w:rFonts w:ascii="Times New Roman" w:hAnsi="Times New Roman"/>
          <w:noProof/>
          <w:sz w:val="24"/>
        </w:rPr>
        <w:t xml:space="preserve">gerinamas žvejybos sektoriaus valdymas ir darni vietos žvejybos plėtra, įgyvendinant tausios žvejybos partnerystės susitarimus (TŽPS). </w:t>
      </w:r>
    </w:p>
    <w:p>
      <w:pPr>
        <w:spacing w:after="0"/>
        <w:rPr>
          <w:noProof/>
          <w:szCs w:val="24"/>
        </w:rPr>
      </w:pPr>
    </w:p>
    <w:p>
      <w:pPr>
        <w:spacing w:after="0"/>
        <w:rPr>
          <w:noProof/>
          <w:szCs w:val="24"/>
        </w:rPr>
      </w:pPr>
      <w:r>
        <w:rPr>
          <w:noProof/>
        </w:rPr>
        <w:t>2017 m. gruodžio 12 d. įsigaliojusiu naujuoju Reglamentu dėl tvaraus išorės žvejybos laivynų valdymo</w:t>
      </w:r>
      <w:r>
        <w:rPr>
          <w:rStyle w:val="FootnoteReference"/>
          <w:noProof/>
        </w:rPr>
        <w:footnoteReference w:id="26"/>
      </w:r>
      <w:r>
        <w:rPr>
          <w:noProof/>
        </w:rPr>
        <w:t xml:space="preserve"> siekiama sustiprinti ES, kaip pagrindinės pasaulinės veikėjos žuvininkystės, vandenynų valdymo ir kovos su NNN žvejyba srityse, vaidmenį. </w:t>
      </w:r>
    </w:p>
    <w:p>
      <w:pPr>
        <w:spacing w:after="0"/>
        <w:rPr>
          <w:noProof/>
          <w:szCs w:val="24"/>
        </w:rPr>
      </w:pPr>
    </w:p>
    <w:p>
      <w:pPr>
        <w:pStyle w:val="Heading1"/>
        <w:rPr>
          <w:noProof/>
        </w:rPr>
      </w:pPr>
      <w:r>
        <w:rPr>
          <w:noProof/>
        </w:rPr>
        <w:t xml:space="preserve">2019 m. BLSK pasiūlymai </w:t>
      </w:r>
    </w:p>
    <w:p>
      <w:pPr>
        <w:spacing w:after="0"/>
        <w:rPr>
          <w:bCs/>
          <w:noProof/>
        </w:rPr>
      </w:pPr>
      <w:r>
        <w:rPr>
          <w:noProof/>
        </w:rPr>
        <w:t>Nustatant 2019 m. BLSK bus taikomi trys orientyrai: greitai artėjantis 2020 m. F</w:t>
      </w:r>
      <w:r>
        <w:rPr>
          <w:smallCaps/>
          <w:noProof/>
          <w:vertAlign w:val="subscript"/>
        </w:rPr>
        <w:t>MSY</w:t>
      </w:r>
      <w:r>
        <w:rPr>
          <w:noProof/>
        </w:rPr>
        <w:t xml:space="preserve"> tikslas, visiškas įpareigojimo iškrauti laimikį įgyvendinimas 2019 m. ir Baltijos bei Šiaurės jūrų daugiamečiais planais pagrįstos žvejybos galimybės. Suinteresuotiesiems subjektams ir valstybėms narėms visi trys orientyrai yra vienodai svarbūs ir į juos būtina atsižvelgti nustatant BLSK, kad būtų užtikrintas nuoseklumas.</w:t>
      </w:r>
    </w:p>
    <w:p>
      <w:pPr>
        <w:spacing w:after="0"/>
        <w:rPr>
          <w:b/>
          <w:i/>
          <w:noProof/>
          <w:szCs w:val="24"/>
        </w:rPr>
      </w:pPr>
    </w:p>
    <w:p>
      <w:pPr>
        <w:pStyle w:val="Heading2"/>
        <w:tabs>
          <w:tab w:val="clear" w:pos="7665"/>
          <w:tab w:val="num" w:pos="1200"/>
        </w:tabs>
        <w:ind w:left="1200"/>
        <w:rPr>
          <w:noProof/>
        </w:rPr>
      </w:pPr>
      <w:r>
        <w:rPr>
          <w:noProof/>
        </w:rPr>
        <w:t>Bendri 2019 m. žvejybos galimybių pasiūlymų tikslai</w:t>
      </w:r>
    </w:p>
    <w:p>
      <w:pPr>
        <w:spacing w:after="0"/>
        <w:rPr>
          <w:bCs/>
          <w:noProof/>
          <w:szCs w:val="24"/>
        </w:rPr>
      </w:pPr>
      <w:r>
        <w:rPr>
          <w:noProof/>
        </w:rPr>
        <w:t>Kadangi tai paskutiniai metai iki 2020 m., kuriais turi būti pasiektas F</w:t>
      </w:r>
      <w:r>
        <w:rPr>
          <w:smallCaps/>
          <w:noProof/>
          <w:vertAlign w:val="subscript"/>
        </w:rPr>
        <w:t>MSY</w:t>
      </w:r>
      <w:r>
        <w:rPr>
          <w:noProof/>
        </w:rPr>
        <w:t xml:space="preserve"> tikslas, pagrindinis Komisijos tikslas – pasiekti, kad būtų smarkiai pasistūmėta siekiant F</w:t>
      </w:r>
      <w:r>
        <w:rPr>
          <w:smallCaps/>
          <w:noProof/>
          <w:vertAlign w:val="subscript"/>
        </w:rPr>
        <w:t>MSY</w:t>
      </w:r>
      <w:r>
        <w:rPr>
          <w:noProof/>
        </w:rPr>
        <w:t>. Kaip paaiškinta pirmiau, išteklių, kurių F</w:t>
      </w:r>
      <w:r>
        <w:rPr>
          <w:smallCaps/>
          <w:noProof/>
          <w:vertAlign w:val="subscript"/>
        </w:rPr>
        <w:t>MSY</w:t>
      </w:r>
      <w:r>
        <w:rPr>
          <w:noProof/>
        </w:rPr>
        <w:t xml:space="preserve"> įvertintas ir kuriuos valdo tik ES, atveju padaryta didelė pažanga. </w:t>
      </w:r>
    </w:p>
    <w:p>
      <w:pPr>
        <w:spacing w:after="0"/>
        <w:rPr>
          <w:bCs/>
          <w:noProof/>
          <w:szCs w:val="24"/>
        </w:rPr>
      </w:pPr>
    </w:p>
    <w:p>
      <w:pPr>
        <w:spacing w:after="0"/>
        <w:rPr>
          <w:bCs/>
          <w:noProof/>
          <w:szCs w:val="24"/>
        </w:rPr>
      </w:pPr>
      <w:r>
        <w:rPr>
          <w:noProof/>
        </w:rPr>
        <w:t>Tačiau užtikrinti, kad visi BLSK bet kuriuo metu atitiktų F</w:t>
      </w:r>
      <w:r>
        <w:rPr>
          <w:smallCaps/>
          <w:noProof/>
          <w:vertAlign w:val="subscript"/>
        </w:rPr>
        <w:t>MSY</w:t>
      </w:r>
      <w:r>
        <w:rPr>
          <w:noProof/>
        </w:rPr>
        <w:t>, yra sunkus uždavinys. Tiek dėl biologinių, tiek dėl socialinių ir ekonominių priežasčių gali būti neįmanoma užtikrinti, kad visi ištekliai vienu metu būtų žvejojami laikantis F</w:t>
      </w:r>
      <w:r>
        <w:rPr>
          <w:smallCaps/>
          <w:noProof/>
          <w:vertAlign w:val="subscript"/>
        </w:rPr>
        <w:t>MSY</w:t>
      </w:r>
      <w:r>
        <w:rPr>
          <w:noProof/>
        </w:rPr>
        <w:t>. Todėl BŽP F</w:t>
      </w:r>
      <w:r>
        <w:rPr>
          <w:smallCaps/>
          <w:noProof/>
          <w:vertAlign w:val="subscript"/>
        </w:rPr>
        <w:t>MSY</w:t>
      </w:r>
      <w:r>
        <w:rPr>
          <w:noProof/>
        </w:rPr>
        <w:t xml:space="preserve"> tikslo reikia siekti dedant nuolatines pastangas.</w:t>
      </w:r>
    </w:p>
    <w:p>
      <w:pPr>
        <w:spacing w:after="0"/>
        <w:rPr>
          <w:bCs/>
          <w:noProof/>
          <w:szCs w:val="24"/>
        </w:rPr>
      </w:pPr>
    </w:p>
    <w:p>
      <w:pPr>
        <w:spacing w:after="0" w:line="288" w:lineRule="auto"/>
        <w:rPr>
          <w:noProof/>
          <w:szCs w:val="24"/>
        </w:rPr>
      </w:pPr>
    </w:p>
    <w:p>
      <w:pPr>
        <w:pStyle w:val="Heading2"/>
        <w:tabs>
          <w:tab w:val="clear" w:pos="7665"/>
          <w:tab w:val="num" w:pos="1200"/>
        </w:tabs>
        <w:ind w:left="1200"/>
        <w:rPr>
          <w:noProof/>
        </w:rPr>
      </w:pPr>
      <w:r>
        <w:rPr>
          <w:noProof/>
        </w:rPr>
        <w:t>Kaip pasiekti mūsų tikslus: procesas nuo mokslo iki derybų dėl žvejybos galimybių</w:t>
      </w:r>
    </w:p>
    <w:p>
      <w:pPr>
        <w:spacing w:after="0"/>
        <w:rPr>
          <w:noProof/>
          <w:szCs w:val="24"/>
        </w:rPr>
      </w:pPr>
      <w:r>
        <w:rPr>
          <w:noProof/>
        </w:rPr>
        <w:t xml:space="preserve">Komisijos pasiūlymų dėl žvejybos galimybių </w:t>
      </w:r>
      <w:r>
        <w:rPr>
          <w:i/>
          <w:noProof/>
        </w:rPr>
        <w:t>pagrindas</w:t>
      </w:r>
      <w:r>
        <w:rPr>
          <w:noProof/>
        </w:rPr>
        <w:t xml:space="preserve"> yra Tarptautinės jūrų tyrinėjimo tarybos (ICES) mokslinės rekomendacijos, kurios gaunamos dalimis</w:t>
      </w:r>
      <w:r>
        <w:rPr>
          <w:rStyle w:val="FootnoteReference"/>
          <w:noProof/>
        </w:rPr>
        <w:footnoteReference w:id="27"/>
      </w:r>
      <w:r>
        <w:rPr>
          <w:noProof/>
        </w:rPr>
        <w:t xml:space="preserve">. Į pradinius pasiūlymus Komisija ketina įtraukti kuo daugiau išteklių. Tačiau konkrečiu su Šiaurės jūra ir Atlanto vandenynu susijusio pasiūlymo atveju dėl vėlai (spalio – gruodžio mėn.) pateikiamų rekomendacijų ištekliais, dėl kurių rekomendacijos gaunamos vėlai, žvejybos galimybės nustatomos </w:t>
      </w:r>
      <w:r>
        <w:rPr>
          <w:i/>
          <w:noProof/>
        </w:rPr>
        <w:t>pro memoria</w:t>
      </w:r>
      <w:r>
        <w:rPr>
          <w:noProof/>
        </w:rPr>
        <w:t xml:space="preserve">. </w:t>
      </w:r>
    </w:p>
    <w:p>
      <w:pPr>
        <w:spacing w:after="0"/>
        <w:rPr>
          <w:noProof/>
          <w:szCs w:val="24"/>
        </w:rPr>
      </w:pPr>
    </w:p>
    <w:p>
      <w:pPr>
        <w:spacing w:after="0"/>
        <w:rPr>
          <w:noProof/>
          <w:szCs w:val="24"/>
        </w:rPr>
      </w:pPr>
      <w:r>
        <w:rPr>
          <w:noProof/>
        </w:rPr>
        <w:t xml:space="preserve">Svarbus šio proceso bruožas – konsultacijos su suinteresuotaisiais subjektais, kurioms tenka esminis vaidmuo. Komisija ragina valstybes nares ir suinteresuotuosius subjektus </w:t>
      </w:r>
      <w:r>
        <w:rPr>
          <w:noProof/>
        </w:rPr>
        <w:lastRenderedPageBreak/>
        <w:t>savo darbą pradėti iš anksto, remiantis viešai paskelbtomis ICES rekomendacijomis, o ne laukti Komisijos pasiūlymų. Tuomet suinteresuotieji subjektai turės galimybę pateikti Komisijai rekomendacijas dėl žvejybos galimybių (visų pirma per atitinkamas patariamąsias tarybas) ir pasidalyti savo nuomone su valstybėmis narėmis. Šiame etape suinteresuotieji subjektai taip pat turėtų atsižvelgti į ICES rekomendacijų socialinį ir ekonominį poveikį.</w:t>
      </w:r>
    </w:p>
    <w:p>
      <w:pPr>
        <w:spacing w:after="0"/>
        <w:rPr>
          <w:noProof/>
          <w:szCs w:val="24"/>
        </w:rPr>
      </w:pPr>
    </w:p>
    <w:p>
      <w:pPr>
        <w:spacing w:after="0"/>
        <w:rPr>
          <w:noProof/>
          <w:szCs w:val="24"/>
        </w:rPr>
      </w:pPr>
      <w:r>
        <w:rPr>
          <w:noProof/>
        </w:rPr>
        <w:t xml:space="preserve">Atsižvelgdama į minėtas konsultacijas, Komisija parengs pasiūlymus. Bus pateikti keturi pasiūlymai dėl atitinkamai Baltijos jūros (rugsėjo mėn.), giliavandenių žuvų išteklių (rugsėjo mėn.), Atlanto vandenyno ir Šiaurės jūros (lapkričio mėn.) ir Juodosios jūros (lapkričio mėn.), kurie bus aptarti trijuose atskiruose Tarybos posėdžiuose. </w:t>
      </w:r>
    </w:p>
    <w:p>
      <w:pPr>
        <w:spacing w:after="0"/>
        <w:rPr>
          <w:noProof/>
          <w:szCs w:val="24"/>
        </w:rPr>
      </w:pPr>
    </w:p>
    <w:p>
      <w:pPr>
        <w:spacing w:after="0"/>
        <w:rPr>
          <w:noProof/>
          <w:szCs w:val="24"/>
        </w:rPr>
      </w:pPr>
      <w:r>
        <w:rPr>
          <w:noProof/>
        </w:rPr>
        <w:t>Rengdamasi atitinkamiems Tarybos posėdžiams ir per tuos posėdžius Komisija paaiškins ir aptars pasiūlymus su valstybėmis narėmis. Per diskusijas Komisija, remdamasi valstybių narių pateikta patikima ekonomine analize, įvertins, ar F</w:t>
      </w:r>
      <w:r>
        <w:rPr>
          <w:smallCaps/>
          <w:noProof/>
          <w:vertAlign w:val="subscript"/>
        </w:rPr>
        <w:t>MSY</w:t>
      </w:r>
      <w:r>
        <w:rPr>
          <w:noProof/>
        </w:rPr>
        <w:t xml:space="preserve"> atitinkantis išteklių naudojimo lygis 2019 m. keltų didelį pavojų susijusių žvejybos laivynų socialiniam ir ekonominiam tvarumui</w:t>
      </w:r>
      <w:r>
        <w:rPr>
          <w:rStyle w:val="FootnoteReference"/>
          <w:noProof/>
        </w:rPr>
        <w:footnoteReference w:id="28"/>
      </w:r>
      <w:r>
        <w:rPr>
          <w:noProof/>
        </w:rPr>
        <w:t xml:space="preserve">. Siekdama geriau organizuoti šias diskusijas, Komisija ragina valstybes nares tinkamu laiku parengti savo socialinius ir ekonominius argumentus remiantis ICES rekomendacijomis ir konsultuotis su suinteresuotaisiais subjektais. Kad būtų galima prasmingai įvertinti socialinius ir ekonominius argumentus, valstybės narės turėtų atsiųsti Komisijai savo pastabas ne vėliau kaip likus dviem mėnesiams iki atitinkamo Tarybos posėdžio. </w:t>
      </w:r>
    </w:p>
    <w:p>
      <w:pPr>
        <w:spacing w:after="0"/>
        <w:rPr>
          <w:noProof/>
          <w:szCs w:val="24"/>
        </w:rPr>
      </w:pPr>
    </w:p>
    <w:p>
      <w:pPr>
        <w:spacing w:after="0"/>
        <w:rPr>
          <w:noProof/>
          <w:sz w:val="22"/>
        </w:rPr>
      </w:pPr>
      <w:r>
        <w:rPr>
          <w:noProof/>
        </w:rPr>
        <w:t>BLSK pasiūlymai turi būti priimti iki JK išstojimo, todėl 2018 m. keisti sprendimų priėmimo proceso nenumatyta. 2018 m. kovo 19 d. derybininkų lygmeniu sutarto susitarimo dėl išstojimo projekto dabartinėse nuostatose numatyta pereinamojo laikotarpio nuostata, pagal kurią Tarybos sprendimai dėl 2019 m. žvejybos galimybių JK turėtų būti taikomi visa apimtimi visus 2019 metus. Tačiau, kad šios nuostatos galiotų, ir Sąjunga, ir JK turi oficialiai patvirtinti visą susitarimą dėl išstojimo, taigi iki to laiko nebus teisinio tikrumo dėl jų įgyvendinimo.</w:t>
      </w:r>
    </w:p>
    <w:p>
      <w:pPr>
        <w:spacing w:after="0"/>
        <w:rPr>
          <w:noProof/>
        </w:rPr>
      </w:pPr>
    </w:p>
    <w:p>
      <w:pPr>
        <w:spacing w:after="0"/>
        <w:rPr>
          <w:noProof/>
        </w:rPr>
      </w:pPr>
    </w:p>
    <w:p>
      <w:pPr>
        <w:pStyle w:val="Heading2"/>
        <w:numPr>
          <w:ilvl w:val="0"/>
          <w:numId w:val="0"/>
        </w:numPr>
        <w:ind w:left="1200" w:hanging="720"/>
        <w:rPr>
          <w:i/>
          <w:noProof/>
          <w:szCs w:val="24"/>
        </w:rPr>
      </w:pPr>
      <w:r>
        <w:rPr>
          <w:noProof/>
        </w:rPr>
        <w:t xml:space="preserve">3.3 Įvairių rūšių išteklių žvejybos galimybių nustatymas </w:t>
      </w:r>
    </w:p>
    <w:p>
      <w:pPr>
        <w:spacing w:after="0"/>
        <w:rPr>
          <w:bCs/>
          <w:noProof/>
          <w:szCs w:val="24"/>
        </w:rPr>
      </w:pPr>
      <w:r>
        <w:rPr>
          <w:i/>
          <w:noProof/>
        </w:rPr>
        <w:t>Baltijos ir Šiaurės jūrų</w:t>
      </w:r>
      <w:r>
        <w:rPr>
          <w:noProof/>
        </w:rPr>
        <w:t xml:space="preserve"> išteklių žvejybos galimybės bus nustatomos atsižvelgiant į atitinkamus daugiamečius planus, kuriuose nustatyti F</w:t>
      </w:r>
      <w:r>
        <w:rPr>
          <w:smallCaps/>
          <w:noProof/>
          <w:vertAlign w:val="subscript"/>
        </w:rPr>
        <w:t>MSY</w:t>
      </w:r>
      <w:r>
        <w:rPr>
          <w:noProof/>
        </w:rPr>
        <w:t xml:space="preserve"> atitinkančio mirtingumo intervalai ir todėl esama tam tikro lankstumo. Komisija siekia geriau numatyti poreikį pasinaudoti tokiu lankstumu ir šiuo metu bendradarbiauja su ICES, kad ji savo metinėse rekomendacijose, be kita ko, pateiktų informaciją apie tai, ar esama mišriosios žvejybos ir tarpusavio priklausomybės tos pačios rūšies viduje ir (arba) tarp skirtingų rūšių. Jei ši rekomendacija bus pateikta laiku, Komisija, siūlydama BLSK, ketina taikyti visą F</w:t>
      </w:r>
      <w:r>
        <w:rPr>
          <w:smallCaps/>
          <w:noProof/>
          <w:vertAlign w:val="subscript"/>
        </w:rPr>
        <w:t>MSY</w:t>
      </w:r>
      <w:r>
        <w:rPr>
          <w:noProof/>
        </w:rPr>
        <w:t xml:space="preserve"> verčių intervalą, kai tai pateisinama daugiamečiuose planuose nustatytais tarpusavio priklausomybės tarp skirtingų rūšių ir (arba) tos pačios rūšies viduje arba mišriosios žvejybos atvejais.</w:t>
      </w:r>
    </w:p>
    <w:p>
      <w:pPr>
        <w:spacing w:after="0"/>
        <w:rPr>
          <w:bCs/>
          <w:noProof/>
          <w:szCs w:val="24"/>
        </w:rPr>
      </w:pPr>
    </w:p>
    <w:p>
      <w:pPr>
        <w:spacing w:after="0"/>
        <w:rPr>
          <w:noProof/>
          <w:szCs w:val="24"/>
        </w:rPr>
      </w:pPr>
      <w:r>
        <w:rPr>
          <w:noProof/>
        </w:rPr>
        <w:t xml:space="preserve">Rengiant pasiūlymus taip pat svarbu atsižvelgti į tai, kad nuo 2019 m. žvejybos galimybės bus siūlomos atsižvelgiant į visišką įpareigojimo iškrauti laimikį įgyvendinimą. Ankstesniais metais, pateikusi savo pradinį pasiūlymą, Komisija </w:t>
      </w:r>
      <w:r>
        <w:rPr>
          <w:noProof/>
        </w:rPr>
        <w:lastRenderedPageBreak/>
        <w:t xml:space="preserve">siūlydavo  padidinti BLSK (angl. </w:t>
      </w:r>
      <w:r>
        <w:rPr>
          <w:i/>
          <w:noProof/>
        </w:rPr>
        <w:t>top-up</w:t>
      </w:r>
      <w:r>
        <w:rPr>
          <w:noProof/>
        </w:rPr>
        <w:t>), tačiau nuo šių metų Baltijos ir Šiaurės jūrų atveju Komisija savo pasiūlyme ketina remtis ICES rekomendacijomis dėl iškrovimo pagal F</w:t>
      </w:r>
      <w:r>
        <w:rPr>
          <w:smallCaps/>
          <w:noProof/>
          <w:vertAlign w:val="subscript"/>
        </w:rPr>
        <w:t>MSY</w:t>
      </w:r>
      <w:r>
        <w:rPr>
          <w:noProof/>
        </w:rPr>
        <w:t xml:space="preserve"> intervalus ir atitinkamais atvejais išskaičiuoti </w:t>
      </w:r>
      <w:r>
        <w:rPr>
          <w:i/>
          <w:noProof/>
        </w:rPr>
        <w:t>de minimis</w:t>
      </w:r>
      <w:r>
        <w:rPr>
          <w:noProof/>
        </w:rPr>
        <w:t xml:space="preserve"> leidimus. Tas pats bus taikoma ir </w:t>
      </w:r>
      <w:r>
        <w:rPr>
          <w:i/>
          <w:noProof/>
        </w:rPr>
        <w:t>Atlanto vandenynui</w:t>
      </w:r>
      <w:r>
        <w:rPr>
          <w:noProof/>
        </w:rPr>
        <w:t>. Kad būtų sudarytos sąlygos 2019 m. visiškai įgyvendinti įpareigojimą iškrauti laimikį, svarbu naudoti visas turimas poveikio švelninimo priemones, be kita ko, atitinkamais atvejais taikyti visas ICES rekomendacijas dėl mišriosios žvejybos metodo.</w:t>
      </w:r>
    </w:p>
    <w:p>
      <w:pPr>
        <w:spacing w:after="0"/>
        <w:rPr>
          <w:bCs/>
          <w:noProof/>
          <w:szCs w:val="24"/>
        </w:rPr>
      </w:pPr>
    </w:p>
    <w:p>
      <w:pPr>
        <w:pStyle w:val="Text2"/>
        <w:ind w:left="0"/>
        <w:rPr>
          <w:noProof/>
        </w:rPr>
      </w:pPr>
      <w:r>
        <w:rPr>
          <w:noProof/>
        </w:rPr>
        <w:t xml:space="preserve">Kalbant apie mokslines rekomendacijas, reikėtų atkreipti dėmesį į tai, kad ICES kas kelerius metus nustato </w:t>
      </w:r>
      <w:r>
        <w:rPr>
          <w:i/>
          <w:noProof/>
        </w:rPr>
        <w:t>lyginamuosius</w:t>
      </w:r>
      <w:r>
        <w:rPr>
          <w:noProof/>
        </w:rPr>
        <w:t xml:space="preserve"> išteklių </w:t>
      </w:r>
      <w:r>
        <w:rPr>
          <w:i/>
          <w:noProof/>
        </w:rPr>
        <w:t>standartus</w:t>
      </w:r>
      <w:r>
        <w:rPr>
          <w:noProof/>
        </w:rPr>
        <w:t>. Tais atvejais, kai dėl tokių lyginamųjų standartų rekomendacijos 2019 metams labai skiriasi nuo ICES rekomendacijų 2018 metams, Komisija ketina svarstyti galimybę nustatyti didelių skirtumų ribas atsižvelgdama į kiekvieną konkretų atvejį, kad tos rekomendacijos būtų įvestos palaipsniui ir būtų sušvelnintas jų poveikis BLSK nustatymui, kartu laikantis esamos teisinės sistemos.</w:t>
      </w:r>
    </w:p>
    <w:p>
      <w:pPr>
        <w:spacing w:after="0"/>
        <w:rPr>
          <w:bCs/>
          <w:noProof/>
          <w:szCs w:val="24"/>
        </w:rPr>
      </w:pPr>
      <w:r>
        <w:rPr>
          <w:noProof/>
        </w:rPr>
        <w:t xml:space="preserve">Kai kurie </w:t>
      </w:r>
      <w:r>
        <w:rPr>
          <w:i/>
          <w:noProof/>
        </w:rPr>
        <w:t>pagal iki 2013 m. taikytą BŽP priimti daugiamečiai planai</w:t>
      </w:r>
      <w:r>
        <w:rPr>
          <w:noProof/>
        </w:rPr>
        <w:t xml:space="preserve"> nebedera su naujosios BŽP tikslais, pavyzdžiui, dėl to, kad juose numatytas ne toks ambicingas tikslas. Tai pasakytina apie australines jūrines lydekas ir norveginius omarus. Tokiais atvejais Komisija, atsižvelgdama į visas ICES rekomendacijas dėl mišriosios žvejybos, ketina siūlyti 2019 m. BLSK, kuriuos taikant būtų pasiektas F</w:t>
      </w:r>
      <w:r>
        <w:rPr>
          <w:smallCaps/>
          <w:noProof/>
          <w:vertAlign w:val="subscript"/>
        </w:rPr>
        <w:t>MSY</w:t>
      </w:r>
      <w:r>
        <w:rPr>
          <w:noProof/>
        </w:rPr>
        <w:t>.</w:t>
      </w:r>
    </w:p>
    <w:p>
      <w:pPr>
        <w:spacing w:after="0"/>
        <w:rPr>
          <w:rFonts w:eastAsia="Calibri"/>
          <w:noProof/>
          <w:szCs w:val="24"/>
        </w:rPr>
      </w:pPr>
    </w:p>
    <w:p>
      <w:pPr>
        <w:spacing w:after="0"/>
        <w:rPr>
          <w:rFonts w:eastAsia="Calibri"/>
          <w:noProof/>
          <w:szCs w:val="24"/>
        </w:rPr>
      </w:pPr>
      <w:r>
        <w:rPr>
          <w:noProof/>
        </w:rPr>
        <w:t>Kalbant apie išteklius, kurių F</w:t>
      </w:r>
      <w:r>
        <w:rPr>
          <w:smallCaps/>
          <w:noProof/>
          <w:vertAlign w:val="subscript"/>
        </w:rPr>
        <w:t>MSY</w:t>
      </w:r>
      <w:r>
        <w:rPr>
          <w:noProof/>
        </w:rPr>
        <w:t xml:space="preserve"> įvertintas ir dėl kurių konsultuojamasi su </w:t>
      </w:r>
      <w:r>
        <w:rPr>
          <w:i/>
          <w:noProof/>
        </w:rPr>
        <w:t>ES nepriklausančiomis šalimis partnerėmis, atsižvelgiant į ES bei Norvegijos ir pakrantės valstybių konsultacijas</w:t>
      </w:r>
      <w:r>
        <w:rPr>
          <w:noProof/>
        </w:rPr>
        <w:t>, Komisija toliau siekia susitarti su tomis šalimis ir kartu stengiasi, kad būtų geriau siekiama F</w:t>
      </w:r>
      <w:r>
        <w:rPr>
          <w:smallCaps/>
          <w:noProof/>
          <w:vertAlign w:val="subscript"/>
        </w:rPr>
        <w:t>MSY</w:t>
      </w:r>
      <w:r>
        <w:rPr>
          <w:noProof/>
        </w:rPr>
        <w:t>.</w:t>
      </w:r>
    </w:p>
    <w:p>
      <w:pPr>
        <w:spacing w:after="0"/>
        <w:rPr>
          <w:rFonts w:eastAsia="Calibri"/>
          <w:noProof/>
          <w:szCs w:val="24"/>
        </w:rPr>
      </w:pPr>
    </w:p>
    <w:p>
      <w:pPr>
        <w:spacing w:after="0"/>
        <w:rPr>
          <w:bCs/>
          <w:noProof/>
          <w:szCs w:val="24"/>
        </w:rPr>
      </w:pPr>
      <w:r>
        <w:rPr>
          <w:noProof/>
        </w:rPr>
        <w:t>Be išteklių, kurių F</w:t>
      </w:r>
      <w:r>
        <w:rPr>
          <w:smallCaps/>
          <w:noProof/>
          <w:vertAlign w:val="subscript"/>
        </w:rPr>
        <w:t>MSY</w:t>
      </w:r>
      <w:r>
        <w:rPr>
          <w:noProof/>
        </w:rPr>
        <w:t xml:space="preserve"> įvertintas, į Komisijos pasiūlymą taip pat bus įtraukti keli ištekliai, kuriems ICES taikys tendencijų prognozės modelius ir pateiks kiekybinę laimikio rekomendaciją, grindžiamą F</w:t>
      </w:r>
      <w:r>
        <w:rPr>
          <w:smallCaps/>
          <w:noProof/>
          <w:vertAlign w:val="subscript"/>
        </w:rPr>
        <w:t>MSY</w:t>
      </w:r>
      <w:r>
        <w:rPr>
          <w:noProof/>
        </w:rPr>
        <w:t xml:space="preserve"> kintamuoju. Šiems ištekliams Komisija ketina taikyti tokį patį metodą kaip ir ištekliams, kurių MSY įvertintas. </w:t>
      </w:r>
    </w:p>
    <w:p>
      <w:pPr>
        <w:spacing w:after="0"/>
        <w:rPr>
          <w:bCs/>
          <w:noProof/>
          <w:szCs w:val="24"/>
        </w:rPr>
      </w:pPr>
    </w:p>
    <w:p>
      <w:pPr>
        <w:spacing w:after="0"/>
        <w:rPr>
          <w:bCs/>
          <w:noProof/>
          <w:szCs w:val="24"/>
        </w:rPr>
      </w:pPr>
      <w:r>
        <w:rPr>
          <w:noProof/>
        </w:rPr>
        <w:t xml:space="preserve">Galiausiai dėl kelių </w:t>
      </w:r>
      <w:r>
        <w:rPr>
          <w:i/>
          <w:noProof/>
        </w:rPr>
        <w:t>išteklių, kurie naudojami tik kaip priegauda</w:t>
      </w:r>
      <w:r>
        <w:rPr>
          <w:noProof/>
        </w:rPr>
        <w:t xml:space="preserve"> (pavyzdžiui, Tarybos ir Komisijos bendrame pareiškime nurodyti ištekliai), Komisija iš ICES gauna atsargumo principu pagrįstas rekomendacijas. Tai taikoma ne tik pagal Baltijos ir Šiaurės jūrų planus sužvejotai priegaudai, bet ir Atlanto vandenyne sužvejotai priegaudai. Kartais su šiais priegaudos BLSK susijusios kvotos išnaudojamos mažai. Šių išteklių ekonominė svarba nedidelė, o informacijos apie jų būklę trūksta. Komisija įvertins tinkamiausią ateityje taikytiną metodą atsižvelgdama į ICES rekomendacijas, į tai, kad tie ištekliai sudaro tik 5 % iškraunamų žuvų, kurioms taikomas BLSK, kiekio ir į būtinybę vengti žvejybos stabdymo atvejų vykdant ekonomiškai svarbią tikslinę žvejybą.</w:t>
      </w:r>
    </w:p>
    <w:p>
      <w:pPr>
        <w:spacing w:after="0"/>
        <w:rPr>
          <w:noProof/>
        </w:rPr>
      </w:pPr>
    </w:p>
    <w:p>
      <w:pPr>
        <w:spacing w:after="0"/>
        <w:rPr>
          <w:noProof/>
        </w:rPr>
      </w:pPr>
      <w:r>
        <w:rPr>
          <w:noProof/>
        </w:rPr>
        <w:t xml:space="preserve">Kalbant apie ungurius – išteklių, kurio būklė kritinė, – Komisija ketina į savo pasiūlymą dėl žvejybos galimybių Atlanto vandenyne ir Šiaurės jūroje įtraukti atitinkamas naujausiomis mokslinėmis rekomendacijomis pagrįstas priemones, skirtas visiems jūrų baseinams. Kitais metais Komisija iš naujo įvertins padėtį, atsižvelgdama į Ungurių reglamento vertinimo rezultatus, taip pat į valstybių narių  ungurių valdymo planų įgyvendinimo ataskaitų išvadas ir į taikyto laikino žvejybos draudimo rezultatus.  </w:t>
      </w:r>
    </w:p>
    <w:p>
      <w:pPr>
        <w:spacing w:after="0"/>
        <w:rPr>
          <w:noProof/>
        </w:rPr>
      </w:pPr>
    </w:p>
    <w:p>
      <w:pPr>
        <w:spacing w:after="0"/>
        <w:rPr>
          <w:bCs/>
          <w:noProof/>
          <w:szCs w:val="24"/>
        </w:rPr>
      </w:pPr>
      <w:r>
        <w:rPr>
          <w:b/>
          <w:noProof/>
        </w:rPr>
        <w:t>Išteklių, kurie priklauso regioninių žvejybos valdymo organizacijų kompetencijai</w:t>
      </w:r>
      <w:r>
        <w:rPr>
          <w:noProof/>
        </w:rPr>
        <w:t xml:space="preserve">, žvejybos galimybės kaip visada bus perkeltos remiantis jų sprendimais. </w:t>
      </w:r>
    </w:p>
    <w:p>
      <w:pPr>
        <w:rPr>
          <w:noProof/>
        </w:rPr>
      </w:pPr>
    </w:p>
    <w:p>
      <w:pPr>
        <w:pStyle w:val="Heading1"/>
        <w:rPr>
          <w:noProof/>
        </w:rPr>
      </w:pPr>
      <w:r>
        <w:rPr>
          <w:noProof/>
        </w:rPr>
        <w:t>Išvada</w:t>
      </w:r>
    </w:p>
    <w:p>
      <w:pPr>
        <w:rPr>
          <w:noProof/>
        </w:rPr>
      </w:pPr>
      <w:r>
        <w:rPr>
          <w:noProof/>
        </w:rPr>
        <w:t>Apskritai Europos Sąjunga daro pažangą įgyvendindama BŽP – F</w:t>
      </w:r>
      <w:r>
        <w:rPr>
          <w:smallCaps/>
          <w:noProof/>
          <w:vertAlign w:val="subscript"/>
        </w:rPr>
        <w:t>MSY</w:t>
      </w:r>
      <w:r>
        <w:rPr>
          <w:noProof/>
        </w:rPr>
        <w:t xml:space="preserve"> atitinkantis BLSK skaičius didėja. Tačiau tuo tenkintis nepakanka. Turime toliau judėti šia kryptimi, nes sparčiai artėja 2020 m. </w:t>
      </w:r>
    </w:p>
    <w:p>
      <w:pPr>
        <w:rPr>
          <w:noProof/>
        </w:rPr>
      </w:pPr>
      <w:r>
        <w:rPr>
          <w:noProof/>
        </w:rPr>
        <w:t xml:space="preserve">Padėtis Viduržemio ir Juodojoje jūrose ir toliau kelia didelį susirūpinimą. ES imasi iniciatyvos bandydama pakeisti padėtį, be kita ko, su savo tarptautiniais partneriais. Komisija padarys viską, kad būtų sudarytos sąlygos pasiekti greitą ir prasmingą susitarimą dėl dviejų naujų siūlomų daugiamečių planų, skirtų Adrijos jūros pelaginiams ištekliams ir vakarų Viduržemio jūros demersiniams ištekliams.   Valstybės narės taip pat turėtų dėti daugiau pastangų siekdamos užtikrinti, kad jų nacionaliniai valdymo planai pagal Viduržemio jūros reglamentą atitiktų naująją BŽP.  </w:t>
      </w:r>
    </w:p>
    <w:p>
      <w:pPr>
        <w:rPr>
          <w:b/>
          <w:bCs/>
          <w:smallCaps/>
          <w:noProof/>
          <w:szCs w:val="32"/>
        </w:rPr>
      </w:pPr>
      <w:r>
        <w:rPr>
          <w:noProof/>
        </w:rPr>
        <w:t>Visiškas įpareigojimo iškrauti laimikį įgyvendinimas taip pat kelia problemų tiek švelninant galimus žvejybos stabdymo atvejus, tiek užtikrinant darnų jo įgyvendinimą jūroje, taikant tinkamas vykdymo užtikrinimo ir kontrolės priemones.  ES laivynas iš esmės pelningas, taigi dabar reikia užtikrinti, kad būtų imtasi reikiamų priemonių tvariai ir konkurencingai ES žvejybos sektoriaus ateičiai užtikrinti.</w:t>
      </w:r>
      <w:r>
        <w:rPr>
          <w:noProof/>
        </w:rPr>
        <w:br w:type="page"/>
      </w:r>
    </w:p>
    <w:p>
      <w:pPr>
        <w:keepNext/>
        <w:tabs>
          <w:tab w:val="num" w:pos="850"/>
        </w:tabs>
        <w:spacing w:before="240" w:after="120"/>
        <w:ind w:left="851" w:hanging="851"/>
        <w:outlineLvl w:val="0"/>
        <w:rPr>
          <w:b/>
          <w:bCs/>
          <w:smallCaps/>
          <w:noProof/>
          <w:szCs w:val="32"/>
        </w:rPr>
      </w:pPr>
      <w:r>
        <w:rPr>
          <w:b/>
          <w:smallCaps/>
          <w:noProof/>
        </w:rPr>
        <w:lastRenderedPageBreak/>
        <w:t xml:space="preserve">Tvarkaraštis </w:t>
      </w:r>
    </w:p>
    <w:p>
      <w:pPr>
        <w:spacing w:after="60"/>
        <w:rPr>
          <w:noProof/>
          <w:szCs w:val="24"/>
        </w:rPr>
      </w:pPr>
    </w:p>
    <w:p>
      <w:pPr>
        <w:spacing w:after="60"/>
        <w:rPr>
          <w:noProof/>
          <w:szCs w:val="24"/>
        </w:rPr>
      </w:pPr>
      <w:r>
        <w:rPr>
          <w:noProof/>
        </w:rPr>
        <w:t>Toliau pateikiamas numatomas darbo grafikas.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5687"/>
      </w:tblGrid>
      <w:tr>
        <w:tc>
          <w:tcPr>
            <w:tcW w:w="0" w:type="auto"/>
            <w:shd w:val="clear" w:color="auto" w:fill="auto"/>
          </w:tcPr>
          <w:p>
            <w:pPr>
              <w:spacing w:before="120" w:after="60"/>
              <w:jc w:val="center"/>
              <w:rPr>
                <w:b/>
                <w:noProof/>
              </w:rPr>
            </w:pPr>
            <w:r>
              <w:rPr>
                <w:b/>
                <w:noProof/>
              </w:rPr>
              <w:t>Kada</w:t>
            </w:r>
          </w:p>
        </w:tc>
        <w:tc>
          <w:tcPr>
            <w:tcW w:w="0" w:type="auto"/>
            <w:shd w:val="clear" w:color="auto" w:fill="auto"/>
          </w:tcPr>
          <w:p>
            <w:pPr>
              <w:spacing w:before="120" w:after="60"/>
              <w:jc w:val="center"/>
              <w:rPr>
                <w:b/>
                <w:noProof/>
              </w:rPr>
            </w:pPr>
            <w:r>
              <w:rPr>
                <w:b/>
                <w:noProof/>
              </w:rPr>
              <w:t>Kas</w:t>
            </w:r>
          </w:p>
        </w:tc>
      </w:tr>
      <w:tr>
        <w:tc>
          <w:tcPr>
            <w:tcW w:w="0" w:type="auto"/>
            <w:shd w:val="clear" w:color="auto" w:fill="auto"/>
          </w:tcPr>
          <w:p>
            <w:pPr>
              <w:spacing w:before="120" w:after="60"/>
              <w:rPr>
                <w:noProof/>
                <w:szCs w:val="24"/>
              </w:rPr>
            </w:pPr>
            <w:r>
              <w:rPr>
                <w:noProof/>
              </w:rPr>
              <w:t>Gegužės / birželio / spalio / gruodžio mėn.</w:t>
            </w:r>
          </w:p>
        </w:tc>
        <w:tc>
          <w:tcPr>
            <w:tcW w:w="0" w:type="auto"/>
            <w:shd w:val="clear" w:color="auto" w:fill="auto"/>
          </w:tcPr>
          <w:p>
            <w:pPr>
              <w:spacing w:before="120" w:after="60"/>
              <w:rPr>
                <w:noProof/>
                <w:szCs w:val="24"/>
              </w:rPr>
            </w:pPr>
            <w:r>
              <w:rPr>
                <w:noProof/>
              </w:rPr>
              <w:t>ICES rekomendacijos dėl išteklių</w:t>
            </w:r>
          </w:p>
        </w:tc>
      </w:tr>
      <w:tr>
        <w:tc>
          <w:tcPr>
            <w:tcW w:w="0" w:type="auto"/>
            <w:shd w:val="clear" w:color="auto" w:fill="auto"/>
          </w:tcPr>
          <w:p>
            <w:pPr>
              <w:spacing w:before="120" w:after="60"/>
              <w:rPr>
                <w:noProof/>
                <w:szCs w:val="24"/>
              </w:rPr>
            </w:pPr>
            <w:r>
              <w:rPr>
                <w:noProof/>
              </w:rPr>
              <w:t>Birželio – rugsėjo mėn.</w:t>
            </w:r>
          </w:p>
        </w:tc>
        <w:tc>
          <w:tcPr>
            <w:tcW w:w="0" w:type="auto"/>
            <w:shd w:val="clear" w:color="auto" w:fill="auto"/>
          </w:tcPr>
          <w:p>
            <w:pPr>
              <w:spacing w:before="120" w:after="60"/>
              <w:rPr>
                <w:noProof/>
                <w:szCs w:val="24"/>
              </w:rPr>
            </w:pPr>
            <w:r>
              <w:rPr>
                <w:noProof/>
              </w:rPr>
              <w:t>Viešos konsultacijos dėl komunikato</w:t>
            </w:r>
          </w:p>
        </w:tc>
      </w:tr>
      <w:tr>
        <w:tc>
          <w:tcPr>
            <w:tcW w:w="0" w:type="auto"/>
            <w:shd w:val="clear" w:color="auto" w:fill="auto"/>
          </w:tcPr>
          <w:p>
            <w:pPr>
              <w:spacing w:before="120" w:after="60"/>
              <w:rPr>
                <w:noProof/>
                <w:szCs w:val="24"/>
              </w:rPr>
            </w:pPr>
            <w:r>
              <w:rPr>
                <w:noProof/>
              </w:rPr>
              <w:t>Rugsėjo 14 d.</w:t>
            </w:r>
          </w:p>
        </w:tc>
        <w:tc>
          <w:tcPr>
            <w:tcW w:w="0" w:type="auto"/>
            <w:shd w:val="clear" w:color="auto" w:fill="auto"/>
          </w:tcPr>
          <w:p>
            <w:pPr>
              <w:spacing w:before="120" w:after="60"/>
              <w:rPr>
                <w:noProof/>
                <w:szCs w:val="24"/>
              </w:rPr>
            </w:pPr>
            <w:r>
              <w:rPr>
                <w:noProof/>
              </w:rPr>
              <w:t>Seminaras su suinteresuotaisiais subjektais išteklių būklės tema</w:t>
            </w:r>
          </w:p>
        </w:tc>
      </w:tr>
      <w:tr>
        <w:tc>
          <w:tcPr>
            <w:tcW w:w="0" w:type="auto"/>
            <w:shd w:val="clear" w:color="auto" w:fill="auto"/>
          </w:tcPr>
          <w:p>
            <w:pPr>
              <w:spacing w:before="120" w:after="60"/>
              <w:rPr>
                <w:noProof/>
                <w:szCs w:val="24"/>
              </w:rPr>
            </w:pPr>
            <w:r>
              <w:rPr>
                <w:noProof/>
              </w:rPr>
              <w:t>Rugsėjo mėn.</w:t>
            </w:r>
          </w:p>
        </w:tc>
        <w:tc>
          <w:tcPr>
            <w:tcW w:w="0" w:type="auto"/>
            <w:shd w:val="clear" w:color="auto" w:fill="auto"/>
          </w:tcPr>
          <w:p>
            <w:pPr>
              <w:spacing w:before="120" w:after="60"/>
              <w:rPr>
                <w:noProof/>
                <w:szCs w:val="24"/>
              </w:rPr>
            </w:pPr>
            <w:r>
              <w:rPr>
                <w:noProof/>
              </w:rPr>
              <w:t>Pasiūlymų dėl Baltijos jūrai skirtų BLSK priėmimas</w:t>
            </w:r>
          </w:p>
        </w:tc>
      </w:tr>
      <w:tr>
        <w:tc>
          <w:tcPr>
            <w:tcW w:w="0" w:type="auto"/>
            <w:shd w:val="clear" w:color="auto" w:fill="auto"/>
          </w:tcPr>
          <w:p>
            <w:pPr>
              <w:spacing w:before="120" w:after="60"/>
              <w:rPr>
                <w:noProof/>
                <w:szCs w:val="24"/>
              </w:rPr>
            </w:pPr>
            <w:r>
              <w:rPr>
                <w:noProof/>
              </w:rPr>
              <w:t>Spalio mėn.</w:t>
            </w:r>
          </w:p>
        </w:tc>
        <w:tc>
          <w:tcPr>
            <w:tcW w:w="0" w:type="auto"/>
            <w:shd w:val="clear" w:color="auto" w:fill="auto"/>
          </w:tcPr>
          <w:p>
            <w:pPr>
              <w:spacing w:before="120" w:after="60"/>
              <w:rPr>
                <w:noProof/>
                <w:szCs w:val="24"/>
              </w:rPr>
            </w:pPr>
            <w:r>
              <w:rPr>
                <w:noProof/>
              </w:rPr>
              <w:t>Pasiūlymų dėl giliavandenių išteklių BLSK priėmimas</w:t>
            </w:r>
          </w:p>
          <w:p>
            <w:pPr>
              <w:spacing w:before="120" w:after="60"/>
              <w:rPr>
                <w:noProof/>
                <w:szCs w:val="24"/>
              </w:rPr>
            </w:pPr>
            <w:r>
              <w:rPr>
                <w:noProof/>
              </w:rPr>
              <w:t>Tarybos posėdis dėl Baltijos jūrai skirtų BLSK</w:t>
            </w:r>
          </w:p>
        </w:tc>
      </w:tr>
      <w:tr>
        <w:tc>
          <w:tcPr>
            <w:tcW w:w="0" w:type="auto"/>
            <w:shd w:val="clear" w:color="auto" w:fill="auto"/>
          </w:tcPr>
          <w:p>
            <w:pPr>
              <w:spacing w:before="120" w:after="60"/>
              <w:rPr>
                <w:noProof/>
                <w:szCs w:val="24"/>
              </w:rPr>
            </w:pPr>
            <w:r>
              <w:rPr>
                <w:noProof/>
              </w:rPr>
              <w:t>Lapkričio mėn.</w:t>
            </w:r>
          </w:p>
        </w:tc>
        <w:tc>
          <w:tcPr>
            <w:tcW w:w="0" w:type="auto"/>
            <w:shd w:val="clear" w:color="auto" w:fill="auto"/>
          </w:tcPr>
          <w:p>
            <w:pPr>
              <w:spacing w:before="120" w:after="60"/>
              <w:rPr>
                <w:noProof/>
                <w:szCs w:val="24"/>
              </w:rPr>
            </w:pPr>
            <w:r>
              <w:rPr>
                <w:noProof/>
              </w:rPr>
              <w:t>Pasiūlymų dėl Atlanto vandenynui, Šiaurės jūrai ir Juodajai jūrai skirtų BLSK priėmimas</w:t>
            </w:r>
          </w:p>
          <w:p>
            <w:pPr>
              <w:spacing w:before="120" w:after="60"/>
              <w:rPr>
                <w:noProof/>
                <w:szCs w:val="24"/>
              </w:rPr>
            </w:pPr>
            <w:r>
              <w:rPr>
                <w:noProof/>
              </w:rPr>
              <w:t>Tarybos posėdis dėl giliavandenių išteklių BLSK</w:t>
            </w:r>
          </w:p>
        </w:tc>
      </w:tr>
      <w:tr>
        <w:tc>
          <w:tcPr>
            <w:tcW w:w="0" w:type="auto"/>
            <w:shd w:val="clear" w:color="auto" w:fill="auto"/>
          </w:tcPr>
          <w:p>
            <w:pPr>
              <w:spacing w:before="120" w:after="60"/>
              <w:rPr>
                <w:noProof/>
                <w:szCs w:val="24"/>
              </w:rPr>
            </w:pPr>
            <w:r>
              <w:rPr>
                <w:noProof/>
              </w:rPr>
              <w:t>Gruodžio mėn.</w:t>
            </w:r>
          </w:p>
        </w:tc>
        <w:tc>
          <w:tcPr>
            <w:tcW w:w="0" w:type="auto"/>
            <w:shd w:val="clear" w:color="auto" w:fill="auto"/>
          </w:tcPr>
          <w:p>
            <w:pPr>
              <w:spacing w:before="120" w:after="60"/>
              <w:rPr>
                <w:noProof/>
                <w:szCs w:val="24"/>
              </w:rPr>
            </w:pPr>
            <w:r>
              <w:rPr>
                <w:noProof/>
              </w:rPr>
              <w:t>Tarybos posėdis dėl Atlanto vandenynui, Šiaurės jūrai ir Juodajai jūrai skirtų BLSK</w:t>
            </w:r>
          </w:p>
        </w:tc>
      </w:tr>
    </w:tbl>
    <w:p>
      <w:pPr>
        <w:spacing w:after="0"/>
        <w:rPr>
          <w:noProof/>
        </w:rPr>
      </w:pPr>
      <w:r>
        <w:rPr>
          <w:noProof/>
        </w:rPr>
        <w:tab/>
      </w:r>
    </w:p>
    <w:p>
      <w:pPr>
        <w:spacing w:after="0"/>
        <w:jc w:val="left"/>
        <w:rPr>
          <w:noProof/>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DF778" w16cid:durableId="1E522C16"/>
  <w16cid:commentId w16cid:paraId="41B1DD46" w16cid:durableId="1E522C17"/>
  <w16cid:commentId w16cid:paraId="0DD414BA" w16cid:durableId="1E522C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83901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0" w:firstLine="0"/>
      </w:pPr>
      <w:r>
        <w:rPr>
          <w:rStyle w:val="FootnoteReference"/>
        </w:rPr>
        <w:footnoteRef/>
      </w:r>
      <w:r>
        <w:t xml:space="preserve"> Prie šio komunikato pridėtame Komisijos tarnybų darbiniame dokumente pateikiamos išsamios įpareigojimo iškrauti laimikį įgyvendinimo, žvejybos pajėgumo ir žvejybos galimybių pusiausvyros, pažangos siekiant F</w:t>
      </w:r>
      <w:r>
        <w:rPr>
          <w:smallCaps/>
          <w:vertAlign w:val="subscript"/>
        </w:rPr>
        <w:t>MSY</w:t>
      </w:r>
      <w:r>
        <w:t xml:space="preserve"> ir išteklių būklės ataskaitos, kurių reikalaujama pagal 2013 m. gruodžio 11 d. Reglamento (ES) Nr. 1380/2013 (OL L 354, 2013 12 28) 15 straipsnio 14 dalį, 22 straipsnio 4 dalį ir 50 straipsnį.  </w:t>
      </w:r>
    </w:p>
  </w:footnote>
  <w:footnote w:id="3">
    <w:p>
      <w:pPr>
        <w:pStyle w:val="FootnoteText"/>
        <w:spacing w:after="0"/>
        <w:rPr>
          <w:rFonts w:ascii="Calibri" w:hAnsi="Calibri"/>
        </w:rPr>
      </w:pPr>
      <w:r>
        <w:rPr>
          <w:rStyle w:val="FootnoteReference"/>
        </w:rPr>
        <w:footnoteRef/>
      </w:r>
      <w:r>
        <w:t xml:space="preserve"> Direktyva 2008/56/EB, OL L 164, 2008 6 25, p. 19–40.</w:t>
      </w:r>
    </w:p>
  </w:footnote>
  <w:footnote w:id="4">
    <w:p>
      <w:pPr>
        <w:pStyle w:val="FootnoteText"/>
        <w:spacing w:after="0"/>
        <w:ind w:left="0" w:firstLine="0"/>
      </w:pPr>
      <w:r>
        <w:rPr>
          <w:rStyle w:val="FootnoteReference"/>
        </w:rPr>
        <w:footnoteRef/>
      </w:r>
      <w:r>
        <w:t xml:space="preserve"> FAO 27 rajonas, t. y. šiaurės rytų Atlantas ir gretimos jūros.</w:t>
      </w:r>
    </w:p>
  </w:footnote>
  <w:footnote w:id="5">
    <w:p>
      <w:pPr>
        <w:pStyle w:val="FootnoteText"/>
        <w:spacing w:after="0"/>
        <w:ind w:left="0" w:firstLine="0"/>
      </w:pPr>
      <w:r>
        <w:rPr>
          <w:rStyle w:val="FootnoteReference"/>
        </w:rPr>
        <w:footnoteRef/>
      </w:r>
      <w:r>
        <w:t xml:space="preserve"> BLSK arba žvejybos galimybės – laimikio limitas, išreikštas tonomis arba skaičiais ir nustatomas daugumai verslinių rūšių žuvų išteklių. </w:t>
      </w:r>
    </w:p>
  </w:footnote>
  <w:footnote w:id="6">
    <w:p>
      <w:pPr>
        <w:pStyle w:val="FootnoteText"/>
        <w:spacing w:after="0"/>
        <w:ind w:left="0" w:firstLine="0"/>
      </w:pPr>
      <w:r>
        <w:rPr>
          <w:rStyle w:val="FootnoteReference"/>
        </w:rPr>
        <w:footnoteRef/>
      </w:r>
      <w:r>
        <w:t xml:space="preserve"> 2016 m. liepos 6 d. Reglamentas (ES) 2016/1139, OL L 191, 2016 7 15, p. 1. </w:t>
      </w:r>
    </w:p>
  </w:footnote>
  <w:footnote w:id="7">
    <w:p>
      <w:pPr>
        <w:pStyle w:val="FootnoteText"/>
        <w:spacing w:after="0"/>
        <w:ind w:left="0" w:firstLine="0"/>
        <w:rPr>
          <w:lang w:val="pt-PT"/>
        </w:rPr>
      </w:pPr>
      <w:r>
        <w:rPr>
          <w:rStyle w:val="FootnoteReference"/>
        </w:rPr>
        <w:footnoteRef/>
      </w:r>
      <w:r>
        <w:t xml:space="preserve"> </w:t>
      </w:r>
      <w:r>
        <w:rPr>
          <w:color w:val="444444"/>
        </w:rPr>
        <w:t xml:space="preserve">COM(2016) 0493 </w:t>
      </w:r>
      <w:r>
        <w:rPr>
          <w:i/>
          <w:color w:val="444444"/>
        </w:rPr>
        <w:t>final</w:t>
      </w:r>
      <w:r>
        <w:rPr>
          <w:color w:val="444444"/>
        </w:rPr>
        <w:t xml:space="preserve"> – 2016/0238 (COD).</w:t>
      </w:r>
    </w:p>
  </w:footnote>
  <w:footnote w:id="8">
    <w:p>
      <w:pPr>
        <w:pStyle w:val="FootnoteText"/>
        <w:spacing w:after="0"/>
        <w:ind w:left="0" w:firstLine="0"/>
        <w:rPr>
          <w:lang w:val="pt-PT"/>
        </w:rPr>
      </w:pPr>
      <w:r>
        <w:rPr>
          <w:rStyle w:val="FootnoteReference"/>
        </w:rPr>
        <w:footnoteRef/>
      </w:r>
      <w:r>
        <w:t xml:space="preserve"> </w:t>
      </w:r>
      <w:r>
        <w:rPr>
          <w:color w:val="444444"/>
        </w:rPr>
        <w:t xml:space="preserve">COM(2018) 0115 </w:t>
      </w:r>
      <w:r>
        <w:rPr>
          <w:i/>
          <w:color w:val="444444"/>
        </w:rPr>
        <w:t>final</w:t>
      </w:r>
      <w:r>
        <w:rPr>
          <w:color w:val="444444"/>
        </w:rPr>
        <w:t xml:space="preserve"> – 2018/050 (COD).</w:t>
      </w:r>
      <w:r>
        <w:t xml:space="preserve"> </w:t>
      </w:r>
    </w:p>
  </w:footnote>
  <w:footnote w:id="9">
    <w:p>
      <w:pPr>
        <w:pStyle w:val="FootnoteText"/>
        <w:spacing w:after="0"/>
        <w:ind w:left="0" w:firstLine="0"/>
        <w:rPr>
          <w:lang w:val="pt-PT"/>
        </w:rPr>
      </w:pPr>
      <w:r>
        <w:rPr>
          <w:rStyle w:val="FootnoteReference"/>
        </w:rPr>
        <w:footnoteRef/>
      </w:r>
      <w:r>
        <w:t xml:space="preserve"> COM(2018) 0149 </w:t>
      </w:r>
      <w:r>
        <w:rPr>
          <w:i/>
        </w:rPr>
        <w:t>final</w:t>
      </w:r>
      <w:r>
        <w:t xml:space="preserve"> – 2018/074 (COD).</w:t>
      </w:r>
    </w:p>
  </w:footnote>
  <w:footnote w:id="10">
    <w:p>
      <w:pPr>
        <w:pStyle w:val="FootnoteText"/>
        <w:spacing w:after="0"/>
        <w:ind w:left="0" w:firstLine="0"/>
        <w:rPr>
          <w:lang w:val="pt-PT"/>
        </w:rPr>
      </w:pPr>
      <w:r>
        <w:rPr>
          <w:rStyle w:val="FootnoteReference"/>
        </w:rPr>
        <w:footnoteRef/>
      </w:r>
      <w:r>
        <w:t xml:space="preserve"> </w:t>
      </w:r>
      <w:r>
        <w:rPr>
          <w:color w:val="444444"/>
        </w:rPr>
        <w:t xml:space="preserve">COM(2017) 097 </w:t>
      </w:r>
      <w:r>
        <w:rPr>
          <w:i/>
          <w:color w:val="444444"/>
        </w:rPr>
        <w:t>final</w:t>
      </w:r>
      <w:r>
        <w:rPr>
          <w:color w:val="444444"/>
        </w:rPr>
        <w:t xml:space="preserve"> – 2017/043 (COD).</w:t>
      </w:r>
    </w:p>
  </w:footnote>
  <w:footnote w:id="11">
    <w:p>
      <w:pPr>
        <w:pStyle w:val="FootnoteText"/>
        <w:spacing w:after="0"/>
        <w:ind w:left="0" w:firstLine="0"/>
      </w:pPr>
      <w:r>
        <w:rPr>
          <w:rStyle w:val="FootnoteReference"/>
        </w:rPr>
        <w:footnoteRef/>
      </w:r>
      <w:r>
        <w:t xml:space="preserve"> STECF-Adhoc-18-01.</w:t>
      </w:r>
    </w:p>
  </w:footnote>
  <w:footnote w:id="12">
    <w:p>
      <w:pPr>
        <w:pStyle w:val="FootnoteText"/>
        <w:spacing w:after="0"/>
        <w:ind w:left="0" w:firstLine="0"/>
      </w:pPr>
      <w:r>
        <w:rPr>
          <w:rStyle w:val="FootnoteReference"/>
        </w:rPr>
        <w:footnoteRef/>
      </w:r>
      <w:r>
        <w:t xml:space="preserve"> 2007 m. rugsėjo 18 d. Tarybos reglamentas (EB) Nr. 1100/2007 (OL L 248, 2007 9 22, p. 17). Vertinimo gairės paskelbtos 2018 m. balandžio mėn.: </w:t>
      </w:r>
      <w:hyperlink r:id="rId1">
        <w:r>
          <w:rPr>
            <w:rStyle w:val="Hyperlink"/>
          </w:rPr>
          <w:t>http://ec.europa.eu/info/law/better-regulation/initiatives/ares-2018-1986447_en.</w:t>
        </w:r>
      </w:hyperlink>
      <w:r>
        <w:t xml:space="preserve"> </w:t>
      </w:r>
    </w:p>
  </w:footnote>
  <w:footnote w:id="13">
    <w:p>
      <w:pPr>
        <w:pStyle w:val="FootnoteText"/>
        <w:spacing w:after="0"/>
        <w:ind w:left="0" w:firstLine="0"/>
      </w:pPr>
      <w:r>
        <w:rPr>
          <w:rStyle w:val="FootnoteReference"/>
        </w:rPr>
        <w:footnoteRef/>
      </w:r>
      <w:r>
        <w:t xml:space="preserve"> STECF-Adhoc-18-01.</w:t>
      </w:r>
    </w:p>
  </w:footnote>
  <w:footnote w:id="14">
    <w:p>
      <w:pPr>
        <w:pStyle w:val="FootnoteText"/>
        <w:spacing w:after="0"/>
        <w:ind w:left="0" w:firstLine="0"/>
      </w:pPr>
      <w:r>
        <w:rPr>
          <w:rStyle w:val="FootnoteReference"/>
        </w:rPr>
        <w:footnoteRef/>
      </w:r>
      <w:r>
        <w:t xml:space="preserve"> 2006 m. gruodžio 21 d. Tarybos reglamentas (EB) Nr. 1967/2006 (</w:t>
      </w:r>
      <w:hyperlink r:id="rId2">
        <w:r>
          <w:rPr>
            <w:rStyle w:val="Hyperlink"/>
          </w:rPr>
          <w:t>OL L 36, 2007 2 8, p. 6</w:t>
        </w:r>
      </w:hyperlink>
      <w:r>
        <w:t>).</w:t>
      </w:r>
    </w:p>
  </w:footnote>
  <w:footnote w:id="15">
    <w:p>
      <w:pPr>
        <w:pStyle w:val="FootnoteText"/>
        <w:spacing w:after="0"/>
        <w:ind w:left="0" w:firstLine="0"/>
      </w:pPr>
      <w:r>
        <w:rPr>
          <w:rStyle w:val="FootnoteReference"/>
        </w:rPr>
        <w:footnoteRef/>
      </w:r>
      <w:r>
        <w:t xml:space="preserve"> 2018 m. sausio 5 d. Komisijos įgyvendinimo reglamentas (ES) 2018/17 (</w:t>
      </w:r>
      <w:hyperlink r:id="rId3">
        <w:r>
          <w:rPr>
            <w:rStyle w:val="Hyperlink"/>
          </w:rPr>
          <w:t>OL L 4, 2018 1 9, p. 20</w:t>
        </w:r>
      </w:hyperlink>
      <w:r>
        <w:t>).</w:t>
      </w:r>
    </w:p>
  </w:footnote>
  <w:footnote w:id="16">
    <w:p>
      <w:pPr>
        <w:pStyle w:val="FootnoteText"/>
        <w:spacing w:after="0"/>
        <w:ind w:left="0" w:firstLine="0"/>
      </w:pPr>
      <w:r>
        <w:rPr>
          <w:rStyle w:val="FootnoteReference"/>
        </w:rPr>
        <w:footnoteRef/>
      </w:r>
      <w:r>
        <w:t xml:space="preserve"> Nuo 482 su paprastaisiais tunais susijusio inspektavimo atvejų 2014 m. iki 2 855 inspektavimo, susijusio su paprastaisiais tunais, paprastosiomis durklažuvėmis, ilgapelekiais tunais bei smulkiosiomis pelaginėmis žuvimis Adrijos jūroje ir demersinėmis rūšims Sicilijos sąsiauryje, atvejų 2017 m.</w:t>
      </w:r>
    </w:p>
  </w:footnote>
  <w:footnote w:id="17">
    <w:p>
      <w:pPr>
        <w:pStyle w:val="FootnoteText"/>
        <w:spacing w:after="0"/>
        <w:ind w:left="0" w:firstLine="0"/>
      </w:pPr>
      <w:r>
        <w:rPr>
          <w:rStyle w:val="FootnoteReference"/>
        </w:rPr>
        <w:footnoteRef/>
      </w:r>
      <w:r>
        <w:t xml:space="preserve"> Maltoje paskelbta ministrų deklaracija „MedFish4Ever“. Ministrų konferencija dėl tausios žvejybos Viduržemio jūroje (</w:t>
      </w:r>
      <w:hyperlink r:id="rId4" w:anchor="quicktabs-medfish4ever=6">
        <w:r>
          <w:rPr>
            <w:rStyle w:val="Hyperlink"/>
          </w:rPr>
          <w:t>Malta, 2017 m. kovo 30 d.</w:t>
        </w:r>
      </w:hyperlink>
      <w:r>
        <w:t>).</w:t>
      </w:r>
    </w:p>
  </w:footnote>
  <w:footnote w:id="18">
    <w:p>
      <w:pPr>
        <w:pStyle w:val="FootnoteText"/>
        <w:spacing w:after="0"/>
        <w:ind w:left="0" w:firstLine="0"/>
      </w:pPr>
      <w:r>
        <w:rPr>
          <w:rStyle w:val="FootnoteReference"/>
        </w:rPr>
        <w:footnoteRef/>
      </w:r>
      <w:r>
        <w:t xml:space="preserve"> ICCAT rekomendacija 17-07, kuria iš dalies keičiama Rekomendacija 14-04.</w:t>
      </w:r>
    </w:p>
  </w:footnote>
  <w:footnote w:id="19">
    <w:p>
      <w:pPr>
        <w:pStyle w:val="FootnoteText"/>
        <w:spacing w:after="0"/>
        <w:ind w:left="0" w:firstLine="0"/>
      </w:pPr>
      <w:r>
        <w:rPr>
          <w:rStyle w:val="FootnoteReference"/>
        </w:rPr>
        <w:footnoteRef/>
      </w:r>
      <w:r>
        <w:t xml:space="preserve"> ICCAT rekomendacija 17–05, kuria nustatomos Viduržemio jūros ilgapelekių tunų išteklių valdymo priemonės. </w:t>
      </w:r>
    </w:p>
  </w:footnote>
  <w:footnote w:id="20">
    <w:p>
      <w:pPr>
        <w:pStyle w:val="FootnoteText"/>
        <w:spacing w:after="0"/>
        <w:ind w:left="0" w:firstLine="0"/>
      </w:pPr>
      <w:r>
        <w:rPr>
          <w:rStyle w:val="FootnoteReference"/>
        </w:rPr>
        <w:footnoteRef/>
      </w:r>
      <w:r>
        <w:t xml:space="preserve"> 2016 m. gruodžio 19 d. Direktyva 2017/159 (OL L 25, 2017 1 31, p. 12).</w:t>
      </w:r>
    </w:p>
  </w:footnote>
  <w:footnote w:id="21">
    <w:p>
      <w:pPr>
        <w:pStyle w:val="FootnoteText"/>
        <w:spacing w:after="0"/>
        <w:ind w:left="0" w:firstLine="0"/>
      </w:pPr>
      <w:r>
        <w:rPr>
          <w:rStyle w:val="FootnoteReference"/>
        </w:rPr>
        <w:footnoteRef/>
      </w:r>
      <w:r>
        <w:t xml:space="preserve"> 2007 m. TDO Konvencija Nr. C188 dėl darbo žvejybos sektoriuje, TJO 1995 m. STCW-F konvencija, TJO 2012 m. Keiptauno susitarimas dėl Toremolinoso protokolo dėl žvejybos laivų saugos įgyvendinimo.</w:t>
      </w:r>
    </w:p>
  </w:footnote>
  <w:footnote w:id="22">
    <w:p>
      <w:pPr>
        <w:pStyle w:val="FootnoteText"/>
        <w:spacing w:after="0"/>
        <w:ind w:left="0" w:firstLine="0"/>
      </w:pPr>
      <w:r>
        <w:rPr>
          <w:rStyle w:val="FootnoteReference"/>
        </w:rPr>
        <w:footnoteRef/>
      </w:r>
      <w:r>
        <w:t xml:space="preserve"> </w:t>
      </w:r>
      <w:r>
        <w:rPr>
          <w:color w:val="444444"/>
        </w:rPr>
        <w:t>COM(2018) 079 final.</w:t>
      </w:r>
    </w:p>
  </w:footnote>
  <w:footnote w:id="23">
    <w:p>
      <w:pPr>
        <w:spacing w:after="0"/>
        <w:rPr>
          <w:sz w:val="20"/>
        </w:rPr>
      </w:pPr>
      <w:r>
        <w:rPr>
          <w:rStyle w:val="FootnoteReference"/>
          <w:sz w:val="20"/>
        </w:rPr>
        <w:footnoteRef/>
      </w:r>
      <w:r>
        <w:rPr>
          <w:sz w:val="20"/>
        </w:rPr>
        <w:t>Šios priemonės apima paramą įrangai, kuria gerinamas žvejybos įrankių selektyvumas, laive esančią įrangą arba įrangą, kuria užtikrinama, kad laimikis nebūtų išmetamas į jūrą, investicijas į žvejybos uostus, aukcionams skirtas patalpas, iškrovimo vietas ir prieplaukas, rinkodaros priemones, kuriomis siekiama rasti naujų rinkų ir gerinti žvejybos produktų (įskaitant iškrautą nepageidaujamą laimikį) tiekimo rinkai sąlygas.</w:t>
      </w:r>
    </w:p>
  </w:footnote>
  <w:footnote w:id="24">
    <w:p>
      <w:pPr>
        <w:pStyle w:val="FootnoteText"/>
        <w:spacing w:after="0"/>
      </w:pPr>
      <w:r>
        <w:rPr>
          <w:rStyle w:val="FootnoteReference"/>
        </w:rPr>
        <w:footnoteRef/>
      </w:r>
      <w:r>
        <w:t xml:space="preserve"> Reglamentas (ES) 2017/2092, OL L 302, 2017 11 17, p. 1.</w:t>
      </w:r>
    </w:p>
  </w:footnote>
  <w:footnote w:id="25">
    <w:p>
      <w:pPr>
        <w:pStyle w:val="FootnoteText"/>
        <w:spacing w:after="0"/>
        <w:ind w:left="0" w:firstLine="0"/>
      </w:pPr>
      <w:r>
        <w:rPr>
          <w:rStyle w:val="FootnoteReference"/>
        </w:rPr>
        <w:footnoteRef/>
      </w:r>
      <w:r>
        <w:t xml:space="preserve"> 2009 m. lapkričio 20 d. Tarybos reglamentas (EB) Nr. 1224/2009 (</w:t>
      </w:r>
      <w:r>
        <w:rPr>
          <w:color w:val="444444"/>
        </w:rPr>
        <w:t>OL L 343, 2009 12 22</w:t>
      </w:r>
      <w:r>
        <w:t>).</w:t>
      </w:r>
    </w:p>
  </w:footnote>
  <w:footnote w:id="26">
    <w:p>
      <w:pPr>
        <w:pStyle w:val="FootnoteText"/>
        <w:spacing w:after="0"/>
        <w:ind w:left="0" w:firstLine="0"/>
      </w:pPr>
      <w:r>
        <w:rPr>
          <w:rStyle w:val="FootnoteReference"/>
        </w:rPr>
        <w:footnoteRef/>
      </w:r>
      <w:r>
        <w:t xml:space="preserve"> 2017 m. gruodžio 12 d. Reglamentas (ES) 2017/2403, OL L 347, 2017 12 28, p. 81.</w:t>
      </w:r>
    </w:p>
  </w:footnote>
  <w:footnote w:id="27">
    <w:p>
      <w:pPr>
        <w:pStyle w:val="FootnoteText"/>
        <w:spacing w:after="0"/>
        <w:ind w:left="0" w:firstLine="0"/>
      </w:pPr>
      <w:r>
        <w:rPr>
          <w:rStyle w:val="FootnoteReference"/>
        </w:rPr>
        <w:footnoteRef/>
      </w:r>
      <w:r>
        <w:t xml:space="preserve"> 2018 m. gegužės mėn. pabaigoje – dėl visų Baltijos jūros išteklių, birželio mėn. pradžioje – dėl giliavandenių žuvų išteklių, 2018 m. birželio mėn. pabaigoje – dėl 61 Šiaurės jūros, Biskajos įlankos ir Keltų jūros ištekliaus ir 2018 m. spalio – gruodžio mėn. – dėl kitų Šiaurės jūros bei Atlanto išteklių.</w:t>
      </w:r>
    </w:p>
  </w:footnote>
  <w:footnote w:id="28">
    <w:p>
      <w:pPr>
        <w:pStyle w:val="FootnoteText"/>
        <w:spacing w:after="0"/>
        <w:ind w:left="0" w:firstLine="0"/>
      </w:pPr>
      <w:r>
        <w:rPr>
          <w:rStyle w:val="FootnoteReference"/>
        </w:rPr>
        <w:footnoteRef/>
      </w:r>
      <w:r>
        <w:t xml:space="preserve"> Pagrindinio BŽP reglamento 7 konstatuojamoji dalis.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DF6DBB"/>
    <w:multiLevelType w:val="hybridMultilevel"/>
    <w:tmpl w:val="CD38925A"/>
    <w:lvl w:ilvl="0" w:tplc="B9EE7B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077442"/>
    <w:multiLevelType w:val="hybridMultilevel"/>
    <w:tmpl w:val="C952CA64"/>
    <w:lvl w:ilvl="0" w:tplc="1A7202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B3763F"/>
    <w:multiLevelType w:val="hybridMultilevel"/>
    <w:tmpl w:val="EF16B7F0"/>
    <w:lvl w:ilvl="0" w:tplc="B9EE7B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647DA8"/>
    <w:multiLevelType w:val="hybridMultilevel"/>
    <w:tmpl w:val="CCD6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6F01FE"/>
    <w:multiLevelType w:val="hybridMultilevel"/>
    <w:tmpl w:val="2870B5CC"/>
    <w:lvl w:ilvl="0" w:tplc="B9EE7B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200B6D"/>
    <w:multiLevelType w:val="hybridMultilevel"/>
    <w:tmpl w:val="237EE0BE"/>
    <w:lvl w:ilvl="0" w:tplc="E99C8A7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833137"/>
    <w:multiLevelType w:val="hybridMultilevel"/>
    <w:tmpl w:val="AC46A35E"/>
    <w:lvl w:ilvl="0" w:tplc="FE42B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734306"/>
    <w:multiLevelType w:val="multilevel"/>
    <w:tmpl w:val="E3DCF54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665"/>
        </w:tabs>
        <w:ind w:left="7665"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0903D98"/>
    <w:multiLevelType w:val="hybridMultilevel"/>
    <w:tmpl w:val="7D6627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68F5B9D"/>
    <w:multiLevelType w:val="hybridMultilevel"/>
    <w:tmpl w:val="D846AA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40C7436F"/>
    <w:multiLevelType w:val="hybridMultilevel"/>
    <w:tmpl w:val="627E1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592F31"/>
    <w:multiLevelType w:val="hybridMultilevel"/>
    <w:tmpl w:val="2BEE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nsid w:val="4A9A28CB"/>
    <w:multiLevelType w:val="hybridMultilevel"/>
    <w:tmpl w:val="44C82D00"/>
    <w:lvl w:ilvl="0" w:tplc="E99C8A7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6447D6"/>
    <w:multiLevelType w:val="hybridMultilevel"/>
    <w:tmpl w:val="2D8C9EB4"/>
    <w:lvl w:ilvl="0" w:tplc="E99C8A7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92366A"/>
    <w:multiLevelType w:val="hybridMultilevel"/>
    <w:tmpl w:val="689EDF1E"/>
    <w:lvl w:ilvl="0" w:tplc="0809000B">
      <w:start w:val="1"/>
      <w:numFmt w:val="bullet"/>
      <w:lvlText w:val=""/>
      <w:lvlJc w:val="left"/>
      <w:pPr>
        <w:ind w:left="720" w:hanging="360"/>
      </w:pPr>
      <w:rPr>
        <w:rFonts w:ascii="Wingdings" w:hAnsi="Wingdings" w:hint="default"/>
      </w:rPr>
    </w:lvl>
    <w:lvl w:ilvl="1" w:tplc="FBB4B018">
      <w:numFmt w:val="bullet"/>
      <w:lvlText w:val=""/>
      <w:lvlJc w:val="left"/>
      <w:pPr>
        <w:ind w:left="1620" w:hanging="54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9">
    <w:nsid w:val="5D432972"/>
    <w:multiLevelType w:val="hybridMultilevel"/>
    <w:tmpl w:val="62F2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nsid w:val="65012481"/>
    <w:multiLevelType w:val="hybridMultilevel"/>
    <w:tmpl w:val="383A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BB3530"/>
    <w:multiLevelType w:val="hybridMultilevel"/>
    <w:tmpl w:val="6386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44354F"/>
    <w:multiLevelType w:val="multilevel"/>
    <w:tmpl w:val="A65C84E8"/>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righ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37A4EF4"/>
    <w:multiLevelType w:val="hybridMultilevel"/>
    <w:tmpl w:val="2C866166"/>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620" w:hanging="54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942A33"/>
    <w:multiLevelType w:val="hybridMultilevel"/>
    <w:tmpl w:val="5030CA8E"/>
    <w:lvl w:ilvl="0" w:tplc="B9EE7B1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11"/>
  </w:num>
  <w:num w:numId="4">
    <w:abstractNumId w:val="21"/>
  </w:num>
  <w:num w:numId="5">
    <w:abstractNumId w:val="13"/>
  </w:num>
  <w:num w:numId="6">
    <w:abstractNumId w:val="20"/>
  </w:num>
  <w:num w:numId="7">
    <w:abstractNumId w:val="32"/>
  </w:num>
  <w:num w:numId="8">
    <w:abstractNumId w:val="36"/>
  </w:num>
  <w:num w:numId="9">
    <w:abstractNumId w:val="17"/>
  </w:num>
  <w:num w:numId="10">
    <w:abstractNumId w:val="31"/>
  </w:num>
  <w:num w:numId="11">
    <w:abstractNumId w:val="30"/>
  </w:num>
  <w:num w:numId="12">
    <w:abstractNumId w:val="24"/>
  </w:num>
  <w:num w:numId="13">
    <w:abstractNumId w:val="28"/>
  </w:num>
  <w:num w:numId="14">
    <w:abstractNumId w:val="12"/>
  </w:num>
  <w:num w:numId="15">
    <w:abstractNumId w:val="18"/>
  </w:num>
  <w:num w:numId="16">
    <w:abstractNumId w:val="8"/>
  </w:num>
  <w:num w:numId="17">
    <w:abstractNumId w:val="14"/>
  </w:num>
  <w:num w:numId="18">
    <w:abstractNumId w:val="37"/>
  </w:num>
  <w:num w:numId="19">
    <w:abstractNumId w:val="15"/>
  </w:num>
  <w:num w:numId="20">
    <w:abstractNumId w:val="10"/>
  </w:num>
  <w:num w:numId="21">
    <w:abstractNumId w:val="23"/>
  </w:num>
  <w:num w:numId="22">
    <w:abstractNumId w:val="3"/>
  </w:num>
  <w:num w:numId="23">
    <w:abstractNumId w:val="34"/>
  </w:num>
  <w:num w:numId="24">
    <w:abstractNumId w:val="4"/>
  </w:num>
  <w:num w:numId="25">
    <w:abstractNumId w:val="6"/>
  </w:num>
  <w:num w:numId="26">
    <w:abstractNumId w:val="33"/>
  </w:num>
  <w:num w:numId="27">
    <w:abstractNumId w:val="26"/>
  </w:num>
  <w:num w:numId="28">
    <w:abstractNumId w:val="9"/>
  </w:num>
  <w:num w:numId="29">
    <w:abstractNumId w:val="25"/>
  </w:num>
  <w:num w:numId="30">
    <w:abstractNumId w:val="27"/>
  </w:num>
  <w:num w:numId="31">
    <w:abstractNumId w:val="19"/>
  </w:num>
  <w:num w:numId="32">
    <w:abstractNumId w:val="16"/>
  </w:num>
  <w:num w:numId="33">
    <w:abstractNumId w:val="22"/>
  </w:num>
  <w:num w:numId="34">
    <w:abstractNumId w:val="38"/>
  </w:num>
  <w:num w:numId="35">
    <w:abstractNumId w:val="35"/>
  </w:num>
  <w:num w:numId="36">
    <w:abstractNumId w:val="29"/>
  </w:num>
  <w:num w:numId="37">
    <w:abstractNumId w:val="5"/>
  </w:num>
  <w:num w:numId="38">
    <w:abstractNumId w:val="39"/>
  </w:num>
  <w:num w:numId="39">
    <w:abstractNumId w:val="2"/>
  </w:num>
  <w:num w:numId="40">
    <w:abstractNumId w:val="7"/>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5ECD3F4-2080-4D93-84FD-59CFEB69BF7C"/>
    <w:docVar w:name="LW_COVERPAGE_TYPE" w:val="1"/>
    <w:docVar w:name="LW_CROSSREFERENCE" w:val="{SWD(2018) 329 final}"/>
    <w:docVar w:name="LW_DocType" w:val="REP"/>
    <w:docVar w:name="LW_EMISSION" w:val="2018 06 11"/>
    <w:docVar w:name="LW_EMISSION_ISODATE" w:val="2018-06-11"/>
    <w:docVar w:name="LW_EMISSION_LOCATION" w:val="BRX"/>
    <w:docVar w:name="LW_EMISSION_PREFIX" w:val="Briuselis, "/>
    <w:docVar w:name="LW_EMISSION_SUFFIX" w:val="&lt;EMPTY&gt;"/>
    <w:docVar w:name="LW_ID_DOCTYPE_NONLW" w:val="CP-012"/>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4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d\u279?l bendros \u382?uvininkyst\u279?s politikos pad\u279?ties ir konsultacij\u371? d\u279?l 2019 m. \u382?vejybos galimybi\u371?&lt;/FMT&gt;_x000b__x000b_"/>
    <w:docVar w:name="LW_TYPE.DOC.CP" w:val="KOMISIJOS KOMUNIKATAS EUROPOS PARLAMENTUI IR TARYBA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pPr>
      <w:tabs>
        <w:tab w:val="right" w:leader="dot" w:pos="8640"/>
      </w:tabs>
      <w:spacing w:before="120" w:after="120"/>
      <w:ind w:left="482" w:right="720" w:hanging="482"/>
    </w:pPr>
    <w:rPr>
      <w:caps/>
    </w:rPr>
  </w:style>
  <w:style w:type="paragraph" w:styleId="TOC2">
    <w:name w:val="toc 2"/>
    <w:basedOn w:val="Normal"/>
    <w:next w:val="Normal"/>
    <w:pPr>
      <w:tabs>
        <w:tab w:val="right" w:leader="dot" w:pos="8640"/>
      </w:tabs>
      <w:spacing w:before="60" w:after="60"/>
      <w:ind w:left="1077" w:right="720" w:hanging="595"/>
    </w:pPr>
  </w:style>
  <w:style w:type="paragraph" w:styleId="TOC3">
    <w:name w:val="toc 3"/>
    <w:basedOn w:val="Normal"/>
    <w:next w:val="Normal"/>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lt-LT"/>
    </w:rPr>
  </w:style>
  <w:style w:type="character" w:customStyle="1" w:styleId="HeaderChar">
    <w:name w:val="Header Char"/>
    <w:basedOn w:val="DefaultParagraphFont"/>
    <w:link w:val="Header"/>
    <w:uiPriority w:val="99"/>
    <w:rPr>
      <w:rFonts w:eastAsiaTheme="minorHAnsi"/>
      <w:sz w:val="24"/>
      <w:szCs w:val="22"/>
      <w:lang w:eastAsia="lt-LT"/>
    </w:rPr>
  </w:style>
  <w:style w:type="character" w:styleId="FootnoteReference">
    <w:name w:val="footnote reference"/>
    <w:uiPriority w:val="99"/>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lt-LT"/>
    </w:rPr>
  </w:style>
  <w:style w:type="character" w:customStyle="1" w:styleId="CommentSubjectChar">
    <w:name w:val="Comment Subject Char"/>
    <w:basedOn w:val="CommentTextChar"/>
    <w:link w:val="CommentSubject"/>
    <w:uiPriority w:val="99"/>
    <w:semiHidden/>
    <w:rPr>
      <w:b/>
      <w:bCs/>
      <w:lang w:eastAsia="lt-LT"/>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FootnoteTextChar">
    <w:name w:val="Footnote Text Char"/>
    <w:link w:val="FootnoteText"/>
    <w:uiPriority w:val="99"/>
    <w:semiHidden/>
    <w:rPr>
      <w:lang w:eastAsia="lt-LT"/>
    </w:rPr>
  </w:style>
  <w:style w:type="paragraph" w:customStyle="1" w:styleId="CM4">
    <w:name w:val="CM4"/>
    <w:basedOn w:val="Default"/>
    <w:next w:val="Default"/>
    <w:uiPriority w:val="99"/>
    <w:rPr>
      <w:rFonts w:eastAsia="Times New Roman"/>
      <w:color w:val="auto"/>
    </w:rPr>
  </w:style>
  <w:style w:type="paragraph" w:styleId="NormalWeb">
    <w:name w:val="Normal (Web)"/>
    <w:basedOn w:val="Normal"/>
    <w:uiPriority w:val="99"/>
    <w:semiHidden/>
    <w:unhideWhenUsed/>
    <w:pPr>
      <w:spacing w:before="100" w:beforeAutospacing="1" w:after="100" w:afterAutospacing="1"/>
      <w:jc w:val="left"/>
    </w:pPr>
    <w:rPr>
      <w:szCs w:val="24"/>
    </w:rPr>
  </w:style>
  <w:style w:type="character" w:styleId="Strong">
    <w:name w:val="Strong"/>
    <w:basedOn w:val="DefaultParagraphFont"/>
    <w:uiPriority w:val="22"/>
    <w:qFormat/>
    <w:rPr>
      <w:b/>
      <w:bCs/>
    </w:rPr>
  </w:style>
  <w:style w:type="paragraph" w:styleId="Revision">
    <w:name w:val="Revision"/>
    <w:hidden/>
    <w:uiPriority w:val="99"/>
    <w:semiHidden/>
    <w:rPr>
      <w:sz w:val="24"/>
    </w:rPr>
  </w:style>
  <w:style w:type="character" w:styleId="Hyperlink">
    <w:name w:val="Hyperlink"/>
    <w:basedOn w:val="DefaultParagraphFont"/>
    <w:uiPriority w:val="99"/>
    <w:unhideWhenUsed/>
    <w:rPr>
      <w:color w:val="0000FF"/>
      <w:u w:val="single"/>
    </w:rPr>
  </w:style>
  <w:style w:type="character" w:customStyle="1" w:styleId="PlainTextChar">
    <w:name w:val="Plain Text Char"/>
    <w:basedOn w:val="DefaultParagraphFont"/>
    <w:link w:val="PlainText"/>
    <w:uiPriority w:val="99"/>
    <w:rPr>
      <w:rFonts w:ascii="Courier New" w:hAnsi="Courier New"/>
      <w:lang w:eastAsia="lt-LT"/>
    </w:rPr>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b/>
      <w:smallCaps/>
      <w:sz w:val="24"/>
      <w:lang w:eastAsia="lt-LT"/>
    </w:rPr>
  </w:style>
  <w:style w:type="character" w:customStyle="1" w:styleId="Heading2Char">
    <w:name w:val="Heading 2 Char"/>
    <w:basedOn w:val="DefaultParagraphFont"/>
    <w:link w:val="Heading2"/>
    <w:rPr>
      <w:b/>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pPr>
      <w:tabs>
        <w:tab w:val="right" w:leader="dot" w:pos="8640"/>
      </w:tabs>
      <w:spacing w:before="120" w:after="120"/>
      <w:ind w:left="482" w:right="720" w:hanging="482"/>
    </w:pPr>
    <w:rPr>
      <w:caps/>
    </w:rPr>
  </w:style>
  <w:style w:type="paragraph" w:styleId="TOC2">
    <w:name w:val="toc 2"/>
    <w:basedOn w:val="Normal"/>
    <w:next w:val="Normal"/>
    <w:pPr>
      <w:tabs>
        <w:tab w:val="right" w:leader="dot" w:pos="8640"/>
      </w:tabs>
      <w:spacing w:before="60" w:after="60"/>
      <w:ind w:left="1077" w:right="720" w:hanging="595"/>
    </w:pPr>
  </w:style>
  <w:style w:type="paragraph" w:styleId="TOC3">
    <w:name w:val="toc 3"/>
    <w:basedOn w:val="Normal"/>
    <w:next w:val="Normal"/>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lt-LT"/>
    </w:rPr>
  </w:style>
  <w:style w:type="character" w:customStyle="1" w:styleId="HeaderChar">
    <w:name w:val="Header Char"/>
    <w:basedOn w:val="DefaultParagraphFont"/>
    <w:link w:val="Header"/>
    <w:uiPriority w:val="99"/>
    <w:rPr>
      <w:rFonts w:eastAsiaTheme="minorHAnsi"/>
      <w:sz w:val="24"/>
      <w:szCs w:val="22"/>
      <w:lang w:eastAsia="lt-LT"/>
    </w:rPr>
  </w:style>
  <w:style w:type="character" w:styleId="FootnoteReference">
    <w:name w:val="footnote reference"/>
    <w:uiPriority w:val="99"/>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lt-LT"/>
    </w:rPr>
  </w:style>
  <w:style w:type="character" w:customStyle="1" w:styleId="CommentSubjectChar">
    <w:name w:val="Comment Subject Char"/>
    <w:basedOn w:val="CommentTextChar"/>
    <w:link w:val="CommentSubject"/>
    <w:uiPriority w:val="99"/>
    <w:semiHidden/>
    <w:rPr>
      <w:b/>
      <w:bCs/>
      <w:lang w:eastAsia="lt-LT"/>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FootnoteTextChar">
    <w:name w:val="Footnote Text Char"/>
    <w:link w:val="FootnoteText"/>
    <w:uiPriority w:val="99"/>
    <w:semiHidden/>
    <w:rPr>
      <w:lang w:eastAsia="lt-LT"/>
    </w:rPr>
  </w:style>
  <w:style w:type="paragraph" w:customStyle="1" w:styleId="CM4">
    <w:name w:val="CM4"/>
    <w:basedOn w:val="Default"/>
    <w:next w:val="Default"/>
    <w:uiPriority w:val="99"/>
    <w:rPr>
      <w:rFonts w:eastAsia="Times New Roman"/>
      <w:color w:val="auto"/>
    </w:rPr>
  </w:style>
  <w:style w:type="paragraph" w:styleId="NormalWeb">
    <w:name w:val="Normal (Web)"/>
    <w:basedOn w:val="Normal"/>
    <w:uiPriority w:val="99"/>
    <w:semiHidden/>
    <w:unhideWhenUsed/>
    <w:pPr>
      <w:spacing w:before="100" w:beforeAutospacing="1" w:after="100" w:afterAutospacing="1"/>
      <w:jc w:val="left"/>
    </w:pPr>
    <w:rPr>
      <w:szCs w:val="24"/>
    </w:rPr>
  </w:style>
  <w:style w:type="character" w:styleId="Strong">
    <w:name w:val="Strong"/>
    <w:basedOn w:val="DefaultParagraphFont"/>
    <w:uiPriority w:val="22"/>
    <w:qFormat/>
    <w:rPr>
      <w:b/>
      <w:bCs/>
    </w:rPr>
  </w:style>
  <w:style w:type="paragraph" w:styleId="Revision">
    <w:name w:val="Revision"/>
    <w:hidden/>
    <w:uiPriority w:val="99"/>
    <w:semiHidden/>
    <w:rPr>
      <w:sz w:val="24"/>
    </w:rPr>
  </w:style>
  <w:style w:type="character" w:styleId="Hyperlink">
    <w:name w:val="Hyperlink"/>
    <w:basedOn w:val="DefaultParagraphFont"/>
    <w:uiPriority w:val="99"/>
    <w:unhideWhenUsed/>
    <w:rPr>
      <w:color w:val="0000FF"/>
      <w:u w:val="single"/>
    </w:rPr>
  </w:style>
  <w:style w:type="character" w:customStyle="1" w:styleId="PlainTextChar">
    <w:name w:val="Plain Text Char"/>
    <w:basedOn w:val="DefaultParagraphFont"/>
    <w:link w:val="PlainText"/>
    <w:uiPriority w:val="99"/>
    <w:rPr>
      <w:rFonts w:ascii="Courier New" w:hAnsi="Courier New"/>
      <w:lang w:eastAsia="lt-LT"/>
    </w:rPr>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b/>
      <w:smallCaps/>
      <w:sz w:val="24"/>
      <w:lang w:eastAsia="lt-LT"/>
    </w:rPr>
  </w:style>
  <w:style w:type="character" w:customStyle="1" w:styleId="Heading2Char">
    <w:name w:val="Heading 2 Char"/>
    <w:basedOn w:val="DefaultParagraphFont"/>
    <w:link w:val="Heading2"/>
    <w:rPr>
      <w:b/>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08">
      <w:bodyDiv w:val="1"/>
      <w:marLeft w:val="0"/>
      <w:marRight w:val="0"/>
      <w:marTop w:val="0"/>
      <w:marBottom w:val="0"/>
      <w:divBdr>
        <w:top w:val="none" w:sz="0" w:space="0" w:color="auto"/>
        <w:left w:val="none" w:sz="0" w:space="0" w:color="auto"/>
        <w:bottom w:val="none" w:sz="0" w:space="0" w:color="auto"/>
        <w:right w:val="none" w:sz="0" w:space="0" w:color="auto"/>
      </w:divBdr>
    </w:div>
    <w:div w:id="26489878">
      <w:bodyDiv w:val="1"/>
      <w:marLeft w:val="0"/>
      <w:marRight w:val="0"/>
      <w:marTop w:val="0"/>
      <w:marBottom w:val="0"/>
      <w:divBdr>
        <w:top w:val="none" w:sz="0" w:space="0" w:color="auto"/>
        <w:left w:val="none" w:sz="0" w:space="0" w:color="auto"/>
        <w:bottom w:val="none" w:sz="0" w:space="0" w:color="auto"/>
        <w:right w:val="none" w:sz="0" w:space="0" w:color="auto"/>
      </w:divBdr>
    </w:div>
    <w:div w:id="29691069">
      <w:bodyDiv w:val="1"/>
      <w:marLeft w:val="0"/>
      <w:marRight w:val="0"/>
      <w:marTop w:val="0"/>
      <w:marBottom w:val="0"/>
      <w:divBdr>
        <w:top w:val="none" w:sz="0" w:space="0" w:color="auto"/>
        <w:left w:val="none" w:sz="0" w:space="0" w:color="auto"/>
        <w:bottom w:val="none" w:sz="0" w:space="0" w:color="auto"/>
        <w:right w:val="none" w:sz="0" w:space="0" w:color="auto"/>
      </w:divBdr>
    </w:div>
    <w:div w:id="38214179">
      <w:bodyDiv w:val="1"/>
      <w:marLeft w:val="0"/>
      <w:marRight w:val="0"/>
      <w:marTop w:val="0"/>
      <w:marBottom w:val="0"/>
      <w:divBdr>
        <w:top w:val="none" w:sz="0" w:space="0" w:color="auto"/>
        <w:left w:val="none" w:sz="0" w:space="0" w:color="auto"/>
        <w:bottom w:val="none" w:sz="0" w:space="0" w:color="auto"/>
        <w:right w:val="none" w:sz="0" w:space="0" w:color="auto"/>
      </w:divBdr>
    </w:div>
    <w:div w:id="137384792">
      <w:bodyDiv w:val="1"/>
      <w:marLeft w:val="0"/>
      <w:marRight w:val="0"/>
      <w:marTop w:val="0"/>
      <w:marBottom w:val="0"/>
      <w:divBdr>
        <w:top w:val="none" w:sz="0" w:space="0" w:color="auto"/>
        <w:left w:val="none" w:sz="0" w:space="0" w:color="auto"/>
        <w:bottom w:val="none" w:sz="0" w:space="0" w:color="auto"/>
        <w:right w:val="none" w:sz="0" w:space="0" w:color="auto"/>
      </w:divBdr>
    </w:div>
    <w:div w:id="185799069">
      <w:bodyDiv w:val="1"/>
      <w:marLeft w:val="0"/>
      <w:marRight w:val="0"/>
      <w:marTop w:val="0"/>
      <w:marBottom w:val="0"/>
      <w:divBdr>
        <w:top w:val="none" w:sz="0" w:space="0" w:color="auto"/>
        <w:left w:val="none" w:sz="0" w:space="0" w:color="auto"/>
        <w:bottom w:val="none" w:sz="0" w:space="0" w:color="auto"/>
        <w:right w:val="none" w:sz="0" w:space="0" w:color="auto"/>
      </w:divBdr>
    </w:div>
    <w:div w:id="217935662">
      <w:bodyDiv w:val="1"/>
      <w:marLeft w:val="0"/>
      <w:marRight w:val="0"/>
      <w:marTop w:val="0"/>
      <w:marBottom w:val="0"/>
      <w:divBdr>
        <w:top w:val="none" w:sz="0" w:space="0" w:color="auto"/>
        <w:left w:val="none" w:sz="0" w:space="0" w:color="auto"/>
        <w:bottom w:val="none" w:sz="0" w:space="0" w:color="auto"/>
        <w:right w:val="none" w:sz="0" w:space="0" w:color="auto"/>
      </w:divBdr>
    </w:div>
    <w:div w:id="329187580">
      <w:bodyDiv w:val="1"/>
      <w:marLeft w:val="0"/>
      <w:marRight w:val="0"/>
      <w:marTop w:val="0"/>
      <w:marBottom w:val="0"/>
      <w:divBdr>
        <w:top w:val="none" w:sz="0" w:space="0" w:color="auto"/>
        <w:left w:val="none" w:sz="0" w:space="0" w:color="auto"/>
        <w:bottom w:val="none" w:sz="0" w:space="0" w:color="auto"/>
        <w:right w:val="none" w:sz="0" w:space="0" w:color="auto"/>
      </w:divBdr>
    </w:div>
    <w:div w:id="393242066">
      <w:bodyDiv w:val="1"/>
      <w:marLeft w:val="0"/>
      <w:marRight w:val="0"/>
      <w:marTop w:val="0"/>
      <w:marBottom w:val="0"/>
      <w:divBdr>
        <w:top w:val="none" w:sz="0" w:space="0" w:color="auto"/>
        <w:left w:val="none" w:sz="0" w:space="0" w:color="auto"/>
        <w:bottom w:val="none" w:sz="0" w:space="0" w:color="auto"/>
        <w:right w:val="none" w:sz="0" w:space="0" w:color="auto"/>
      </w:divBdr>
    </w:div>
    <w:div w:id="445545164">
      <w:bodyDiv w:val="1"/>
      <w:marLeft w:val="0"/>
      <w:marRight w:val="0"/>
      <w:marTop w:val="0"/>
      <w:marBottom w:val="0"/>
      <w:divBdr>
        <w:top w:val="none" w:sz="0" w:space="0" w:color="auto"/>
        <w:left w:val="none" w:sz="0" w:space="0" w:color="auto"/>
        <w:bottom w:val="none" w:sz="0" w:space="0" w:color="auto"/>
        <w:right w:val="none" w:sz="0" w:space="0" w:color="auto"/>
      </w:divBdr>
    </w:div>
    <w:div w:id="522397675">
      <w:bodyDiv w:val="1"/>
      <w:marLeft w:val="0"/>
      <w:marRight w:val="0"/>
      <w:marTop w:val="0"/>
      <w:marBottom w:val="0"/>
      <w:divBdr>
        <w:top w:val="none" w:sz="0" w:space="0" w:color="auto"/>
        <w:left w:val="none" w:sz="0" w:space="0" w:color="auto"/>
        <w:bottom w:val="none" w:sz="0" w:space="0" w:color="auto"/>
        <w:right w:val="none" w:sz="0" w:space="0" w:color="auto"/>
      </w:divBdr>
    </w:div>
    <w:div w:id="585067880">
      <w:bodyDiv w:val="1"/>
      <w:marLeft w:val="0"/>
      <w:marRight w:val="0"/>
      <w:marTop w:val="0"/>
      <w:marBottom w:val="0"/>
      <w:divBdr>
        <w:top w:val="none" w:sz="0" w:space="0" w:color="auto"/>
        <w:left w:val="none" w:sz="0" w:space="0" w:color="auto"/>
        <w:bottom w:val="none" w:sz="0" w:space="0" w:color="auto"/>
        <w:right w:val="none" w:sz="0" w:space="0" w:color="auto"/>
      </w:divBdr>
    </w:div>
    <w:div w:id="712970898">
      <w:bodyDiv w:val="1"/>
      <w:marLeft w:val="0"/>
      <w:marRight w:val="0"/>
      <w:marTop w:val="0"/>
      <w:marBottom w:val="0"/>
      <w:divBdr>
        <w:top w:val="none" w:sz="0" w:space="0" w:color="auto"/>
        <w:left w:val="none" w:sz="0" w:space="0" w:color="auto"/>
        <w:bottom w:val="none" w:sz="0" w:space="0" w:color="auto"/>
        <w:right w:val="none" w:sz="0" w:space="0" w:color="auto"/>
      </w:divBdr>
    </w:div>
    <w:div w:id="750081080">
      <w:bodyDiv w:val="1"/>
      <w:marLeft w:val="0"/>
      <w:marRight w:val="0"/>
      <w:marTop w:val="0"/>
      <w:marBottom w:val="0"/>
      <w:divBdr>
        <w:top w:val="none" w:sz="0" w:space="0" w:color="auto"/>
        <w:left w:val="none" w:sz="0" w:space="0" w:color="auto"/>
        <w:bottom w:val="none" w:sz="0" w:space="0" w:color="auto"/>
        <w:right w:val="none" w:sz="0" w:space="0" w:color="auto"/>
      </w:divBdr>
    </w:div>
    <w:div w:id="757748646">
      <w:bodyDiv w:val="1"/>
      <w:marLeft w:val="0"/>
      <w:marRight w:val="0"/>
      <w:marTop w:val="0"/>
      <w:marBottom w:val="0"/>
      <w:divBdr>
        <w:top w:val="none" w:sz="0" w:space="0" w:color="auto"/>
        <w:left w:val="none" w:sz="0" w:space="0" w:color="auto"/>
        <w:bottom w:val="none" w:sz="0" w:space="0" w:color="auto"/>
        <w:right w:val="none" w:sz="0" w:space="0" w:color="auto"/>
      </w:divBdr>
    </w:div>
    <w:div w:id="773745018">
      <w:bodyDiv w:val="1"/>
      <w:marLeft w:val="0"/>
      <w:marRight w:val="0"/>
      <w:marTop w:val="0"/>
      <w:marBottom w:val="0"/>
      <w:divBdr>
        <w:top w:val="none" w:sz="0" w:space="0" w:color="auto"/>
        <w:left w:val="none" w:sz="0" w:space="0" w:color="auto"/>
        <w:bottom w:val="none" w:sz="0" w:space="0" w:color="auto"/>
        <w:right w:val="none" w:sz="0" w:space="0" w:color="auto"/>
      </w:divBdr>
    </w:div>
    <w:div w:id="854996623">
      <w:bodyDiv w:val="1"/>
      <w:marLeft w:val="0"/>
      <w:marRight w:val="0"/>
      <w:marTop w:val="0"/>
      <w:marBottom w:val="0"/>
      <w:divBdr>
        <w:top w:val="none" w:sz="0" w:space="0" w:color="auto"/>
        <w:left w:val="none" w:sz="0" w:space="0" w:color="auto"/>
        <w:bottom w:val="none" w:sz="0" w:space="0" w:color="auto"/>
        <w:right w:val="none" w:sz="0" w:space="0" w:color="auto"/>
      </w:divBdr>
    </w:div>
    <w:div w:id="975527975">
      <w:bodyDiv w:val="1"/>
      <w:marLeft w:val="0"/>
      <w:marRight w:val="0"/>
      <w:marTop w:val="0"/>
      <w:marBottom w:val="0"/>
      <w:divBdr>
        <w:top w:val="none" w:sz="0" w:space="0" w:color="auto"/>
        <w:left w:val="none" w:sz="0" w:space="0" w:color="auto"/>
        <w:bottom w:val="none" w:sz="0" w:space="0" w:color="auto"/>
        <w:right w:val="none" w:sz="0" w:space="0" w:color="auto"/>
      </w:divBdr>
    </w:div>
    <w:div w:id="1129933316">
      <w:bodyDiv w:val="1"/>
      <w:marLeft w:val="0"/>
      <w:marRight w:val="0"/>
      <w:marTop w:val="0"/>
      <w:marBottom w:val="0"/>
      <w:divBdr>
        <w:top w:val="none" w:sz="0" w:space="0" w:color="auto"/>
        <w:left w:val="none" w:sz="0" w:space="0" w:color="auto"/>
        <w:bottom w:val="none" w:sz="0" w:space="0" w:color="auto"/>
        <w:right w:val="none" w:sz="0" w:space="0" w:color="auto"/>
      </w:divBdr>
    </w:div>
    <w:div w:id="1209689108">
      <w:bodyDiv w:val="1"/>
      <w:marLeft w:val="0"/>
      <w:marRight w:val="0"/>
      <w:marTop w:val="0"/>
      <w:marBottom w:val="0"/>
      <w:divBdr>
        <w:top w:val="none" w:sz="0" w:space="0" w:color="auto"/>
        <w:left w:val="none" w:sz="0" w:space="0" w:color="auto"/>
        <w:bottom w:val="none" w:sz="0" w:space="0" w:color="auto"/>
        <w:right w:val="none" w:sz="0" w:space="0" w:color="auto"/>
      </w:divBdr>
    </w:div>
    <w:div w:id="1211921636">
      <w:bodyDiv w:val="1"/>
      <w:marLeft w:val="0"/>
      <w:marRight w:val="0"/>
      <w:marTop w:val="0"/>
      <w:marBottom w:val="0"/>
      <w:divBdr>
        <w:top w:val="none" w:sz="0" w:space="0" w:color="auto"/>
        <w:left w:val="none" w:sz="0" w:space="0" w:color="auto"/>
        <w:bottom w:val="none" w:sz="0" w:space="0" w:color="auto"/>
        <w:right w:val="none" w:sz="0" w:space="0" w:color="auto"/>
      </w:divBdr>
      <w:divsChild>
        <w:div w:id="681859143">
          <w:marLeft w:val="0"/>
          <w:marRight w:val="0"/>
          <w:marTop w:val="0"/>
          <w:marBottom w:val="0"/>
          <w:divBdr>
            <w:top w:val="none" w:sz="0" w:space="0" w:color="auto"/>
            <w:left w:val="none" w:sz="0" w:space="0" w:color="auto"/>
            <w:bottom w:val="none" w:sz="0" w:space="0" w:color="auto"/>
            <w:right w:val="none" w:sz="0" w:space="0" w:color="auto"/>
          </w:divBdr>
          <w:divsChild>
            <w:div w:id="49501831">
              <w:marLeft w:val="0"/>
              <w:marRight w:val="0"/>
              <w:marTop w:val="0"/>
              <w:marBottom w:val="0"/>
              <w:divBdr>
                <w:top w:val="none" w:sz="0" w:space="0" w:color="auto"/>
                <w:left w:val="none" w:sz="0" w:space="0" w:color="auto"/>
                <w:bottom w:val="none" w:sz="0" w:space="0" w:color="auto"/>
                <w:right w:val="none" w:sz="0" w:space="0" w:color="auto"/>
              </w:divBdr>
              <w:divsChild>
                <w:div w:id="2139757770">
                  <w:marLeft w:val="0"/>
                  <w:marRight w:val="0"/>
                  <w:marTop w:val="0"/>
                  <w:marBottom w:val="0"/>
                  <w:divBdr>
                    <w:top w:val="none" w:sz="0" w:space="0" w:color="auto"/>
                    <w:left w:val="none" w:sz="0" w:space="0" w:color="auto"/>
                    <w:bottom w:val="none" w:sz="0" w:space="0" w:color="auto"/>
                    <w:right w:val="none" w:sz="0" w:space="0" w:color="auto"/>
                  </w:divBdr>
                  <w:divsChild>
                    <w:div w:id="2369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3620">
          <w:marLeft w:val="0"/>
          <w:marRight w:val="0"/>
          <w:marTop w:val="0"/>
          <w:marBottom w:val="0"/>
          <w:divBdr>
            <w:top w:val="none" w:sz="0" w:space="0" w:color="auto"/>
            <w:left w:val="none" w:sz="0" w:space="0" w:color="auto"/>
            <w:bottom w:val="none" w:sz="0" w:space="0" w:color="auto"/>
            <w:right w:val="none" w:sz="0" w:space="0" w:color="auto"/>
          </w:divBdr>
          <w:divsChild>
            <w:div w:id="557013538">
              <w:marLeft w:val="0"/>
              <w:marRight w:val="0"/>
              <w:marTop w:val="0"/>
              <w:marBottom w:val="0"/>
              <w:divBdr>
                <w:top w:val="none" w:sz="0" w:space="0" w:color="auto"/>
                <w:left w:val="none" w:sz="0" w:space="0" w:color="auto"/>
                <w:bottom w:val="none" w:sz="0" w:space="0" w:color="auto"/>
                <w:right w:val="none" w:sz="0" w:space="0" w:color="auto"/>
              </w:divBdr>
              <w:divsChild>
                <w:div w:id="39745652">
                  <w:marLeft w:val="0"/>
                  <w:marRight w:val="0"/>
                  <w:marTop w:val="0"/>
                  <w:marBottom w:val="0"/>
                  <w:divBdr>
                    <w:top w:val="none" w:sz="0" w:space="0" w:color="auto"/>
                    <w:left w:val="none" w:sz="0" w:space="0" w:color="auto"/>
                    <w:bottom w:val="none" w:sz="0" w:space="0" w:color="auto"/>
                    <w:right w:val="none" w:sz="0" w:space="0" w:color="auto"/>
                  </w:divBdr>
                  <w:divsChild>
                    <w:div w:id="16831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57301">
      <w:bodyDiv w:val="1"/>
      <w:marLeft w:val="0"/>
      <w:marRight w:val="0"/>
      <w:marTop w:val="0"/>
      <w:marBottom w:val="0"/>
      <w:divBdr>
        <w:top w:val="none" w:sz="0" w:space="0" w:color="auto"/>
        <w:left w:val="none" w:sz="0" w:space="0" w:color="auto"/>
        <w:bottom w:val="none" w:sz="0" w:space="0" w:color="auto"/>
        <w:right w:val="none" w:sz="0" w:space="0" w:color="auto"/>
      </w:divBdr>
    </w:div>
    <w:div w:id="1334190031">
      <w:bodyDiv w:val="1"/>
      <w:marLeft w:val="0"/>
      <w:marRight w:val="0"/>
      <w:marTop w:val="0"/>
      <w:marBottom w:val="0"/>
      <w:divBdr>
        <w:top w:val="none" w:sz="0" w:space="0" w:color="auto"/>
        <w:left w:val="none" w:sz="0" w:space="0" w:color="auto"/>
        <w:bottom w:val="none" w:sz="0" w:space="0" w:color="auto"/>
        <w:right w:val="none" w:sz="0" w:space="0" w:color="auto"/>
      </w:divBdr>
    </w:div>
    <w:div w:id="1352878964">
      <w:bodyDiv w:val="1"/>
      <w:marLeft w:val="0"/>
      <w:marRight w:val="0"/>
      <w:marTop w:val="0"/>
      <w:marBottom w:val="0"/>
      <w:divBdr>
        <w:top w:val="none" w:sz="0" w:space="0" w:color="auto"/>
        <w:left w:val="none" w:sz="0" w:space="0" w:color="auto"/>
        <w:bottom w:val="none" w:sz="0" w:space="0" w:color="auto"/>
        <w:right w:val="none" w:sz="0" w:space="0" w:color="auto"/>
      </w:divBdr>
    </w:div>
    <w:div w:id="1378892482">
      <w:bodyDiv w:val="1"/>
      <w:marLeft w:val="0"/>
      <w:marRight w:val="0"/>
      <w:marTop w:val="0"/>
      <w:marBottom w:val="0"/>
      <w:divBdr>
        <w:top w:val="none" w:sz="0" w:space="0" w:color="auto"/>
        <w:left w:val="none" w:sz="0" w:space="0" w:color="auto"/>
        <w:bottom w:val="none" w:sz="0" w:space="0" w:color="auto"/>
        <w:right w:val="none" w:sz="0" w:space="0" w:color="auto"/>
      </w:divBdr>
    </w:div>
    <w:div w:id="1420179318">
      <w:bodyDiv w:val="1"/>
      <w:marLeft w:val="0"/>
      <w:marRight w:val="0"/>
      <w:marTop w:val="0"/>
      <w:marBottom w:val="0"/>
      <w:divBdr>
        <w:top w:val="none" w:sz="0" w:space="0" w:color="auto"/>
        <w:left w:val="none" w:sz="0" w:space="0" w:color="auto"/>
        <w:bottom w:val="none" w:sz="0" w:space="0" w:color="auto"/>
        <w:right w:val="none" w:sz="0" w:space="0" w:color="auto"/>
      </w:divBdr>
    </w:div>
    <w:div w:id="1436942515">
      <w:bodyDiv w:val="1"/>
      <w:marLeft w:val="0"/>
      <w:marRight w:val="0"/>
      <w:marTop w:val="0"/>
      <w:marBottom w:val="0"/>
      <w:divBdr>
        <w:top w:val="none" w:sz="0" w:space="0" w:color="auto"/>
        <w:left w:val="none" w:sz="0" w:space="0" w:color="auto"/>
        <w:bottom w:val="none" w:sz="0" w:space="0" w:color="auto"/>
        <w:right w:val="none" w:sz="0" w:space="0" w:color="auto"/>
      </w:divBdr>
    </w:div>
    <w:div w:id="1502964024">
      <w:bodyDiv w:val="1"/>
      <w:marLeft w:val="0"/>
      <w:marRight w:val="0"/>
      <w:marTop w:val="0"/>
      <w:marBottom w:val="0"/>
      <w:divBdr>
        <w:top w:val="none" w:sz="0" w:space="0" w:color="auto"/>
        <w:left w:val="none" w:sz="0" w:space="0" w:color="auto"/>
        <w:bottom w:val="none" w:sz="0" w:space="0" w:color="auto"/>
        <w:right w:val="none" w:sz="0" w:space="0" w:color="auto"/>
      </w:divBdr>
    </w:div>
    <w:div w:id="1639452068">
      <w:bodyDiv w:val="1"/>
      <w:marLeft w:val="0"/>
      <w:marRight w:val="0"/>
      <w:marTop w:val="0"/>
      <w:marBottom w:val="0"/>
      <w:divBdr>
        <w:top w:val="none" w:sz="0" w:space="0" w:color="auto"/>
        <w:left w:val="none" w:sz="0" w:space="0" w:color="auto"/>
        <w:bottom w:val="none" w:sz="0" w:space="0" w:color="auto"/>
        <w:right w:val="none" w:sz="0" w:space="0" w:color="auto"/>
      </w:divBdr>
    </w:div>
    <w:div w:id="1811291158">
      <w:bodyDiv w:val="1"/>
      <w:marLeft w:val="0"/>
      <w:marRight w:val="0"/>
      <w:marTop w:val="0"/>
      <w:marBottom w:val="0"/>
      <w:divBdr>
        <w:top w:val="none" w:sz="0" w:space="0" w:color="auto"/>
        <w:left w:val="none" w:sz="0" w:space="0" w:color="auto"/>
        <w:bottom w:val="none" w:sz="0" w:space="0" w:color="auto"/>
        <w:right w:val="none" w:sz="0" w:space="0" w:color="auto"/>
      </w:divBdr>
    </w:div>
    <w:div w:id="1941798111">
      <w:bodyDiv w:val="1"/>
      <w:marLeft w:val="0"/>
      <w:marRight w:val="0"/>
      <w:marTop w:val="0"/>
      <w:marBottom w:val="0"/>
      <w:divBdr>
        <w:top w:val="none" w:sz="0" w:space="0" w:color="auto"/>
        <w:left w:val="none" w:sz="0" w:space="0" w:color="auto"/>
        <w:bottom w:val="none" w:sz="0" w:space="0" w:color="auto"/>
        <w:right w:val="none" w:sz="0" w:space="0" w:color="auto"/>
      </w:divBdr>
    </w:div>
    <w:div w:id="1957523820">
      <w:bodyDiv w:val="1"/>
      <w:marLeft w:val="0"/>
      <w:marRight w:val="0"/>
      <w:marTop w:val="0"/>
      <w:marBottom w:val="0"/>
      <w:divBdr>
        <w:top w:val="none" w:sz="0" w:space="0" w:color="auto"/>
        <w:left w:val="none" w:sz="0" w:space="0" w:color="auto"/>
        <w:bottom w:val="none" w:sz="0" w:space="0" w:color="auto"/>
        <w:right w:val="none" w:sz="0" w:space="0" w:color="auto"/>
      </w:divBdr>
    </w:div>
    <w:div w:id="1990012210">
      <w:bodyDiv w:val="1"/>
      <w:marLeft w:val="0"/>
      <w:marRight w:val="0"/>
      <w:marTop w:val="0"/>
      <w:marBottom w:val="0"/>
      <w:divBdr>
        <w:top w:val="none" w:sz="0" w:space="0" w:color="auto"/>
        <w:left w:val="none" w:sz="0" w:space="0" w:color="auto"/>
        <w:bottom w:val="none" w:sz="0" w:space="0" w:color="auto"/>
        <w:right w:val="none" w:sz="0" w:space="0" w:color="auto"/>
      </w:divBdr>
    </w:div>
    <w:div w:id="2010062544">
      <w:bodyDiv w:val="1"/>
      <w:marLeft w:val="0"/>
      <w:marRight w:val="0"/>
      <w:marTop w:val="0"/>
      <w:marBottom w:val="0"/>
      <w:divBdr>
        <w:top w:val="none" w:sz="0" w:space="0" w:color="auto"/>
        <w:left w:val="none" w:sz="0" w:space="0" w:color="auto"/>
        <w:bottom w:val="none" w:sz="0" w:space="0" w:color="auto"/>
        <w:right w:val="none" w:sz="0" w:space="0" w:color="auto"/>
      </w:divBdr>
    </w:div>
    <w:div w:id="208170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LT/TXT/?uri=CELEX:32018D0017" TargetMode="External"/><Relationship Id="rId2" Type="http://schemas.openxmlformats.org/officeDocument/2006/relationships/hyperlink" Target="http://eur-lex.europa.eu/legal-content/LT/TXT/?uri=celex:32006R1967R(01)" TargetMode="External"/><Relationship Id="rId1" Type="http://schemas.openxmlformats.org/officeDocument/2006/relationships/hyperlink" Target="http://ec.europa.eu/info/law/better-regulation/initiatives/ares-2018-1986447_en" TargetMode="External"/><Relationship Id="rId4" Type="http://schemas.openxmlformats.org/officeDocument/2006/relationships/hyperlink" Target="https://ec.europa.eu/fisheries/inseparable/en/medfish4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CC506078DB840AA0734C63B456C7F" ma:contentTypeVersion="2" ma:contentTypeDescription="Create a new document." ma:contentTypeScope="" ma:versionID="40b194734fdc9153997f1696afadc8eb">
  <xsd:schema xmlns:xsd="http://www.w3.org/2001/XMLSchema" xmlns:xs="http://www.w3.org/2001/XMLSchema" xmlns:p="http://schemas.microsoft.com/office/2006/metadata/properties" xmlns:ns1="4962eb87-691e-4ab8-bcad-1e23c43f590e" xmlns:ns3="http://schemas.microsoft.com/sharepoint/v4" targetNamespace="http://schemas.microsoft.com/office/2006/metadata/properties" ma:root="true" ma:fieldsID="38722e2cbe80aff242ee89183d1815ef" ns1:_="" ns3:_="">
    <xsd:import namespace="4962eb87-691e-4ab8-bcad-1e23c43f590e"/>
    <xsd:import namespace="http://schemas.microsoft.com/sharepoint/v4"/>
    <xsd:element name="properties">
      <xsd:complexType>
        <xsd:sequence>
          <xsd:element name="documentManagement">
            <xsd:complexType>
              <xsd:all>
                <xsd:element ref="ns1:Hyperlink"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2eb87-691e-4ab8-bcad-1e23c43f590e" elementFormDefault="qualified">
    <xsd:import namespace="http://schemas.microsoft.com/office/2006/documentManagement/types"/>
    <xsd:import namespace="http://schemas.microsoft.com/office/infopath/2007/PartnerControls"/>
    <xsd:element name="Hyperlink" ma:index="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Author Role="Creator">
  <Id>ddfe5cfd-e857-4716-9728-fe2b13c30ad4</Id>
  <Names>
    <Latin>
      <FirstName/>
      <LastName/>
    </Latin>
    <Greek>
      <FirstName/>
      <LastName/>
    </Greek>
    <Cyrillic>
      <FirstName/>
      <LastName/>
    </Cyrillic>
    <DocumentScript>
      <FirstName/>
      <LastName/>
      <FullName/>
    </DocumentScript>
  </Names>
  <Initials/>
  <Gender>f</Gender>
  <Email>Evangelia.GEORGITSI@ec.europa.eu</Email>
  <Service>MARE.D.3</Service>
  <Function/>
  <WebAddress/>
  <InheritedWebAddress/>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f03b5801-04c9-4931-aa17-c6d6c70bc579</AddressId>
    <Fax/>
    <Phone>+32 229 50443</Phone>
    <Office>J-99 01/036</Office>
  </MainWorkplace>
  <Workplaces>
    <Workplace IsMain="false">
      <AddressId>1264fb81-f6bb-475e-9f9d-a937d3be6ee2</AddressId>
      <Fax/>
      <Phone/>
      <Office/>
    </Workplace>
    <Workplace IsMain="true">
      <AddressId>f03b5801-04c9-4931-aa17-c6d6c70bc579</AddressId>
      <Fax/>
      <Phone>+32 229 50443</Phone>
      <Office>J-99 01/036</Office>
    </Workplace>
  </Workplaces>
</Author>
</file>

<file path=customXml/item5.xml><?xml version="1.0" encoding="utf-8"?>
<EurolookProperties>
  <Created>
    <Version>4.6</Version>
    <Date>2018-03-01T15:37:53</Date>
    <Language>EN</Language>
  </Created>
  <Edited>
    <Version>10.0.36920.0</Version>
    <Date>2018-03-20T12:37:56</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yperlink xmlns="4962eb87-691e-4ab8-bcad-1e23c43f590e">
      <Url xsi:nil="true"/>
      <Description xsi:nil="true"/>
    </Hyperlink>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F94C-6B9B-4A2C-BA6D-BB825799FD19}">
  <ds:schemaRefs>
    <ds:schemaRef ds:uri="http://schemas.microsoft.com/sharepoint/v3/contenttype/forms"/>
  </ds:schemaRefs>
</ds:datastoreItem>
</file>

<file path=customXml/itemProps2.xml><?xml version="1.0" encoding="utf-8"?>
<ds:datastoreItem xmlns:ds="http://schemas.openxmlformats.org/officeDocument/2006/customXml" ds:itemID="{B4F33626-50F0-4A50-8132-1290677B1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2eb87-691e-4ab8-bcad-1e23c43f59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399EB-A270-41E3-9C7F-FC7F0CAA0503}">
  <ds:schemaRefs/>
</ds:datastoreItem>
</file>

<file path=customXml/itemProps4.xml><?xml version="1.0" encoding="utf-8"?>
<ds:datastoreItem xmlns:ds="http://schemas.openxmlformats.org/officeDocument/2006/customXml" ds:itemID="{84A72812-48FE-4747-BA02-567D8EEBC741}">
  <ds:schemaRefs/>
</ds:datastoreItem>
</file>

<file path=customXml/itemProps5.xml><?xml version="1.0" encoding="utf-8"?>
<ds:datastoreItem xmlns:ds="http://schemas.openxmlformats.org/officeDocument/2006/customXml" ds:itemID="{3F8E4C76-ADD6-45EF-9952-02A2B770F8CC}">
  <ds:schemaRefs/>
</ds:datastoreItem>
</file>

<file path=customXml/itemProps6.xml><?xml version="1.0" encoding="utf-8"?>
<ds:datastoreItem xmlns:ds="http://schemas.openxmlformats.org/officeDocument/2006/customXml" ds:itemID="{B424AB90-A4AC-48F5-9DDE-169C8A144294}">
  <ds:schemaRefs>
    <ds:schemaRef ds:uri="http://schemas.openxmlformats.org/package/2006/metadata/core-properties"/>
    <ds:schemaRef ds:uri="http://schemas.microsoft.com/sharepoint/v4"/>
    <ds:schemaRef ds:uri="http://schemas.microsoft.com/office/2006/documentManagement/types"/>
    <ds:schemaRef ds:uri="4962eb87-691e-4ab8-bcad-1e23c43f590e"/>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6DED2551-B6B3-4331-A97B-F0DDE7C3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4249</Words>
  <Characters>28004</Characters>
  <Application>Microsoft Office Word</Application>
  <DocSecurity>0</DocSecurity>
  <PresentationFormat>Microsoft Word 14.0</PresentationFormat>
  <Lines>518</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16</cp:revision>
  <cp:lastPrinted>2018-03-20T11:32:00Z</cp:lastPrinted>
  <dcterms:created xsi:type="dcterms:W3CDTF">2018-06-28T15:23:00Z</dcterms:created>
  <dcterms:modified xsi:type="dcterms:W3CDTF">2018-06-29T07:13:00Z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Ernesto PENAS LADO</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ontentTypeId">
    <vt:lpwstr>0x01010081ECC506078DB840AA0734C63B456C7F</vt:lpwstr>
  </property>
  <property fmtid="{D5CDD505-2E9C-101B-9397-08002B2CF9AE}" pid="16" name="DocStatus">
    <vt:lpwstr>Green</vt:lpwstr>
  </property>
  <property fmtid="{D5CDD505-2E9C-101B-9397-08002B2CF9AE}" pid="17" name="Level of sensitivity">
    <vt:lpwstr>Standard treatment</vt:lpwstr>
  </property>
  <property name="OP_sanitized" fmtid="{D5CDD505-2E9C-101B-9397-08002B2CF9AE}" pid="18">
    <vt:lpwstr>True</vt:lpwstr>
  </property>
</Properties>
</file>