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5A6E138-3F19-4179-8010-F88883334B01"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center"/>
        <w:rPr>
          <w:rFonts w:ascii="Times New Roman" w:hAnsi="Times New Roman"/>
          <w:b/>
          <w:noProof/>
          <w:sz w:val="24"/>
          <w:szCs w:val="24"/>
        </w:rPr>
      </w:pPr>
      <w:bookmarkStart w:id="1" w:name="_GoBack"/>
      <w:bookmarkEnd w:id="1"/>
      <w:r>
        <w:rPr>
          <w:rFonts w:ascii="Times New Roman" w:hAnsi="Times New Roman"/>
          <w:b/>
          <w:noProof/>
          <w:sz w:val="24"/>
        </w:rPr>
        <w:lastRenderedPageBreak/>
        <w:t>KOMISIJOS ATASKAITA EUROPOS PARLAMENTUI IR</w:t>
      </w:r>
    </w:p>
    <w:p>
      <w:pPr>
        <w:spacing w:line="240" w:lineRule="auto"/>
        <w:jc w:val="center"/>
        <w:rPr>
          <w:rFonts w:ascii="Times New Roman" w:hAnsi="Times New Roman"/>
          <w:b/>
          <w:noProof/>
          <w:sz w:val="24"/>
          <w:szCs w:val="24"/>
        </w:rPr>
      </w:pPr>
      <w:r>
        <w:rPr>
          <w:rFonts w:ascii="Times New Roman" w:hAnsi="Times New Roman"/>
          <w:b/>
          <w:noProof/>
          <w:sz w:val="24"/>
        </w:rPr>
        <w:t>TARYBAI</w:t>
      </w:r>
    </w:p>
    <w:p>
      <w:pPr>
        <w:spacing w:line="240" w:lineRule="auto"/>
        <w:jc w:val="center"/>
        <w:rPr>
          <w:rFonts w:ascii="Times New Roman" w:hAnsi="Times New Roman"/>
          <w:b/>
          <w:noProof/>
          <w:sz w:val="24"/>
          <w:szCs w:val="24"/>
        </w:rPr>
      </w:pPr>
      <w:r>
        <w:rPr>
          <w:rFonts w:ascii="Times New Roman" w:hAnsi="Times New Roman"/>
          <w:b/>
          <w:noProof/>
          <w:sz w:val="24"/>
        </w:rPr>
        <w:t>dėl naudojimosi įgaliojimais priimti deleguotuosius aktus, suteiktais Komisijai pagal 2013 m. lapkričio 20 d. Europos Parlamento ir Tarybos direktyvą 2013/55/ES, kuria iš dalies keičiama Direktyva 2005/36/EB dėl profesinių kvalifikacijų pripažinimo ir Reglamentas (ES) Nr. 1024/2012 dėl administracinio bendradarbiavimo per Vidaus rinkos informacijos sistemą (IMI reglamentas)</w:t>
      </w:r>
    </w:p>
    <w:p>
      <w:pPr>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 xml:space="preserve">1. </w:t>
      </w:r>
      <w:r>
        <w:rPr>
          <w:noProof/>
        </w:rPr>
        <w:tab/>
      </w:r>
      <w:r>
        <w:rPr>
          <w:rFonts w:ascii="Times New Roman" w:hAnsi="Times New Roman"/>
          <w:b/>
          <w:noProof/>
          <w:sz w:val="24"/>
        </w:rPr>
        <w:t>ĮVADAS</w:t>
      </w:r>
    </w:p>
    <w:p>
      <w:pPr>
        <w:jc w:val="both"/>
        <w:rPr>
          <w:rFonts w:ascii="Times New Roman" w:hAnsi="Times New Roman"/>
          <w:noProof/>
          <w:sz w:val="24"/>
          <w:szCs w:val="24"/>
        </w:rPr>
      </w:pPr>
      <w:r>
        <w:rPr>
          <w:rFonts w:ascii="Times New Roman" w:hAnsi="Times New Roman"/>
          <w:noProof/>
          <w:sz w:val="24"/>
        </w:rPr>
        <w:t>2005 m. rugsėjo 7 d. Europos Parlamento ir Tarybos direktyvoje 2005/36/EB dėl profesinių kvalifikacijų pripažinimo</w:t>
      </w:r>
      <w:r>
        <w:rPr>
          <w:rStyle w:val="FootnoteReference"/>
          <w:rFonts w:ascii="Times New Roman" w:hAnsi="Times New Roman"/>
          <w:noProof/>
          <w:sz w:val="24"/>
        </w:rPr>
        <w:footnoteReference w:id="1"/>
      </w:r>
      <w:r>
        <w:rPr>
          <w:rFonts w:ascii="Times New Roman" w:hAnsi="Times New Roman"/>
          <w:noProof/>
          <w:sz w:val="24"/>
        </w:rPr>
        <w:t xml:space="preserve"> konsoliduota abipusio pripažinimo tvarka, kuri buvo pagrįsta 15 direktyvų. </w:t>
      </w:r>
    </w:p>
    <w:p>
      <w:pPr>
        <w:jc w:val="both"/>
        <w:rPr>
          <w:rFonts w:ascii="Times New Roman" w:hAnsi="Times New Roman"/>
          <w:noProof/>
          <w:sz w:val="24"/>
          <w:szCs w:val="24"/>
        </w:rPr>
      </w:pPr>
      <w:r>
        <w:rPr>
          <w:rFonts w:ascii="Times New Roman" w:hAnsi="Times New Roman"/>
          <w:noProof/>
          <w:sz w:val="24"/>
        </w:rPr>
        <w:t>2011 m. spalio 27 d. komunikate</w:t>
      </w:r>
      <w:r>
        <w:rPr>
          <w:rStyle w:val="FootnoteReference"/>
          <w:rFonts w:ascii="Times New Roman" w:hAnsi="Times New Roman"/>
          <w:noProof/>
          <w:sz w:val="24"/>
        </w:rPr>
        <w:footnoteReference w:id="2"/>
      </w:r>
      <w:r>
        <w:rPr>
          <w:rFonts w:ascii="Times New Roman" w:hAnsi="Times New Roman"/>
          <w:noProof/>
          <w:sz w:val="24"/>
        </w:rPr>
        <w:t xml:space="preserve"> Komisija pažymėjo, kad reikia modernizuoti Sąjungos teisę šioje srityje. Šiuo tikslu 2013 m. lapkričio 20 d. buvo priimta Direktyva 2013/55/ES</w:t>
      </w:r>
      <w:r>
        <w:rPr>
          <w:rStyle w:val="FootnoteReference"/>
          <w:rFonts w:ascii="Times New Roman" w:hAnsi="Times New Roman"/>
          <w:noProof/>
          <w:sz w:val="24"/>
        </w:rPr>
        <w:footnoteReference w:id="3"/>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Siekiant jos tikslų, Direktyva 2013/55/ES, kuria iš dalies keičiama Direktyva 2005/36/EB, Komisijai suteikiami įgaliojimai priimti deleguotuosius aktus tam tikrose Direktyvos 2005/36/EB (toliau – Direktyva) 57c straipsnio 2 dalyje nurodytose srityse, laikantis tame straipsnyje nurodytų sąlygų ir remiantis SESV 290 straipsniu.</w:t>
      </w:r>
    </w:p>
    <w:p>
      <w:pPr>
        <w:jc w:val="both"/>
        <w:rPr>
          <w:rFonts w:ascii="Times New Roman" w:hAnsi="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TEISINIS PAGRINDAS</w:t>
      </w:r>
    </w:p>
    <w:p>
      <w:pPr>
        <w:jc w:val="both"/>
        <w:rPr>
          <w:rFonts w:ascii="Times New Roman" w:hAnsi="Times New Roman"/>
          <w:noProof/>
          <w:sz w:val="24"/>
          <w:szCs w:val="24"/>
        </w:rPr>
      </w:pPr>
      <w:r>
        <w:rPr>
          <w:rFonts w:ascii="Times New Roman" w:hAnsi="Times New Roman"/>
          <w:noProof/>
          <w:sz w:val="24"/>
        </w:rPr>
        <w:t>Pagal Direktyvos 2005/36/EB su pakeitimais, padarytais Direktyva 2013/55/ES, 57c straipsnio 2 dalį įgaliojimai priimti deleguotuosius aktus jame nurodytose srityse Komisijai suteikiami penkerių metų laikotarpiui nuo 2014 m. sausio 17 d. Be to, pagal šį straipsnį Komisija privalo likus ne mažiau kaip devyniems mėnesiams iki penkerių metų laikotarpio pabaigos parengti naudojimosi deleguotaisiais įgaliojimais ataskaitą.</w:t>
      </w:r>
    </w:p>
    <w:p>
      <w:pPr>
        <w:jc w:val="both"/>
        <w:rPr>
          <w:rFonts w:ascii="Times New Roman" w:hAnsi="Times New Roman"/>
          <w:noProof/>
          <w:sz w:val="24"/>
          <w:szCs w:val="24"/>
        </w:rPr>
      </w:pPr>
      <w:r>
        <w:rPr>
          <w:rFonts w:ascii="Times New Roman" w:hAnsi="Times New Roman"/>
          <w:noProof/>
          <w:sz w:val="24"/>
        </w:rPr>
        <w:t>Deleguotieji įgaliojimai savaime pratęsiami penkerių metų laikotarpiams, išskyrus atvejus, kai Europos Parlamentas arba Taryba pareiškia prieštaravimų dėl tokio pratęsimo likus ne mažiau kaip trims mėnesiams iki kiekvieno laikotarpio pabaigos.</w:t>
      </w:r>
    </w:p>
    <w:p>
      <w:pPr>
        <w:jc w:val="both"/>
        <w:rPr>
          <w:rFonts w:ascii="Times New Roman" w:hAnsi="Times New Roman"/>
          <w:noProof/>
          <w:sz w:val="24"/>
          <w:szCs w:val="24"/>
        </w:rPr>
      </w:pPr>
      <w:r>
        <w:rPr>
          <w:rFonts w:ascii="Times New Roman" w:hAnsi="Times New Roman"/>
          <w:noProof/>
          <w:sz w:val="24"/>
        </w:rPr>
        <w:t xml:space="preserve">Įgaliojimai priimti deleguotus teisės aktus Komisijai suteikiami laikantis Direktyvos 2005/36/EB su pakeitimais, padarytais Direktyva 2013/55/ES, 57c straipsnyje nustatytų sąlygų. Europos Parlamentas arba Taryba gali juos bet kada atšaukti. </w:t>
      </w:r>
    </w:p>
    <w:p>
      <w:pPr>
        <w:jc w:val="both"/>
        <w:rPr>
          <w:noProof/>
        </w:rPr>
      </w:pPr>
      <w:r>
        <w:rPr>
          <w:rFonts w:ascii="Times New Roman" w:hAnsi="Times New Roman"/>
          <w:noProof/>
          <w:sz w:val="24"/>
        </w:rPr>
        <w:t>Pagal Direktyvos 2005/36/EB su pakeitimais, padarytais Direktyva 2013/55/ES, 57c straipsnio 2 dalį Komisijai suteikiami įgaliojimai priimti deleguotuosius aktus, susijusius pirmiausia su</w:t>
      </w:r>
    </w:p>
    <w:p>
      <w:pPr>
        <w:pStyle w:val="CM3"/>
        <w:spacing w:before="60" w:after="60"/>
        <w:rPr>
          <w:rFonts w:cs="EUAlbertina"/>
          <w:noProof/>
          <w:color w:val="000000"/>
        </w:rPr>
      </w:pPr>
    </w:p>
    <w:p>
      <w:pPr>
        <w:numPr>
          <w:ilvl w:val="0"/>
          <w:numId w:val="1"/>
        </w:numPr>
        <w:jc w:val="both"/>
        <w:rPr>
          <w:rFonts w:ascii="Times New Roman" w:hAnsi="Times New Roman"/>
          <w:noProof/>
          <w:sz w:val="24"/>
          <w:szCs w:val="24"/>
        </w:rPr>
      </w:pPr>
      <w:r>
        <w:rPr>
          <w:rFonts w:ascii="Times New Roman" w:hAnsi="Times New Roman"/>
          <w:noProof/>
          <w:sz w:val="24"/>
        </w:rPr>
        <w:t>formalios kvalifikacijos įrodymų pavadinimų ir, kai reikia, šiuos įrodymus išduodančių institucijų pavadinimų, su jais pateikiamų pažymėjimų ir atitinkamų profesinių vardų, nurodytų V priedo 5.1.1–5.1.4, 5.2.2, 5.3.2, 5.3.3, 5.4.2, 5.5.2, 5.6.2 ir 5.7.1 punktuose, atnaujinimu;</w:t>
      </w:r>
    </w:p>
    <w:p>
      <w:pPr>
        <w:numPr>
          <w:ilvl w:val="0"/>
          <w:numId w:val="1"/>
        </w:numPr>
        <w:jc w:val="both"/>
        <w:rPr>
          <w:rFonts w:ascii="Times New Roman" w:hAnsi="Times New Roman"/>
          <w:noProof/>
          <w:sz w:val="24"/>
          <w:szCs w:val="24"/>
        </w:rPr>
      </w:pPr>
      <w:r>
        <w:rPr>
          <w:rFonts w:ascii="Times New Roman" w:hAnsi="Times New Roman"/>
          <w:noProof/>
          <w:sz w:val="24"/>
        </w:rPr>
        <w:t>Direktyvoje nustatytų šešioms profesijoms taikomų būtiniausių rengimo reikalavimų atnaujinimu;</w:t>
      </w:r>
    </w:p>
    <w:p>
      <w:pPr>
        <w:numPr>
          <w:ilvl w:val="0"/>
          <w:numId w:val="1"/>
        </w:numPr>
        <w:jc w:val="both"/>
        <w:rPr>
          <w:rFonts w:ascii="Times New Roman" w:hAnsi="Times New Roman"/>
          <w:noProof/>
          <w:sz w:val="24"/>
          <w:szCs w:val="24"/>
        </w:rPr>
      </w:pPr>
      <w:r>
        <w:rPr>
          <w:rFonts w:ascii="Times New Roman" w:hAnsi="Times New Roman"/>
          <w:noProof/>
          <w:sz w:val="24"/>
        </w:rPr>
        <w:t>bendrosios rengimo struktūros nustatymu ar bendrųjų rengimo testų sudarymu.</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Priėmusi deleguotąjį aktą, Komisija vienu metu apie jį praneša Europos Parlamentui ir Tarybai (Direktyvos 2005/36/EB su pakeitimais, padarytais Direktyva 2013/55/ES, 57c straipsnio 4 dalis).</w:t>
      </w:r>
    </w:p>
    <w:p>
      <w:pPr>
        <w:jc w:val="both"/>
        <w:rPr>
          <w:rFonts w:ascii="Times New Roman" w:hAnsi="Times New Roman"/>
          <w:noProof/>
          <w:sz w:val="24"/>
          <w:szCs w:val="24"/>
        </w:rPr>
      </w:pPr>
      <w:r>
        <w:rPr>
          <w:rFonts w:ascii="Times New Roman" w:hAnsi="Times New Roman"/>
          <w:noProof/>
          <w:sz w:val="24"/>
        </w:rPr>
        <w:t>Pagal Direktyvos 2005/36/EB su pakeitimais, padarytais Direktyva 2013/55/ES, 57c straipsnio 5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pPr>
        <w:jc w:val="both"/>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3.</w:t>
      </w:r>
      <w:r>
        <w:rPr>
          <w:noProof/>
        </w:rPr>
        <w:tab/>
      </w:r>
      <w:r>
        <w:rPr>
          <w:rFonts w:ascii="Times New Roman" w:hAnsi="Times New Roman"/>
          <w:b/>
          <w:noProof/>
          <w:sz w:val="24"/>
        </w:rPr>
        <w:t>NAUDOJIMASIS DELEGUOTAISIAIS ĮGALIOJIMAIS</w:t>
      </w:r>
    </w:p>
    <w:p>
      <w:pPr>
        <w:jc w:val="both"/>
        <w:rPr>
          <w:rFonts w:ascii="Times New Roman" w:hAnsi="Times New Roman"/>
          <w:b/>
          <w:noProof/>
          <w:sz w:val="24"/>
          <w:szCs w:val="24"/>
        </w:rPr>
      </w:pPr>
      <w:r>
        <w:rPr>
          <w:rFonts w:ascii="Times New Roman" w:hAnsi="Times New Roman"/>
          <w:b/>
          <w:noProof/>
          <w:sz w:val="24"/>
        </w:rPr>
        <w:t>3.1. Jau priimti deleguotieji aktai</w:t>
      </w:r>
    </w:p>
    <w:p>
      <w:pPr>
        <w:jc w:val="both"/>
        <w:rPr>
          <w:rFonts w:ascii="Times New Roman" w:hAnsi="Times New Roman" w:cs="Times New Roman"/>
          <w:bCs/>
          <w:noProof/>
          <w:sz w:val="24"/>
          <w:szCs w:val="24"/>
        </w:rPr>
      </w:pPr>
      <w:r>
        <w:rPr>
          <w:rFonts w:ascii="Times New Roman" w:hAnsi="Times New Roman"/>
          <w:noProof/>
          <w:sz w:val="24"/>
        </w:rPr>
        <w:t xml:space="preserve">Ataskaitiniu laikotarpiu Komisija naudojosi šiais deleguotaisiais įgaliojimais: </w:t>
      </w:r>
    </w:p>
    <w:p>
      <w:pPr>
        <w:jc w:val="both"/>
        <w:rPr>
          <w:rFonts w:ascii="Times New Roman" w:hAnsi="Times New Roman"/>
          <w:noProof/>
          <w:sz w:val="24"/>
          <w:szCs w:val="24"/>
        </w:rPr>
      </w:pPr>
      <w:r>
        <w:rPr>
          <w:rFonts w:ascii="Times New Roman" w:hAnsi="Times New Roman"/>
          <w:noProof/>
          <w:sz w:val="24"/>
        </w:rPr>
        <w:t xml:space="preserve">remiantis Direktyvos 2005/36/EB su pakeitimais, padarytais Direktyva 2013/55/ES, 21a straipsnio 4 dalimi, priimti du Komisijos deleguotieji sprendimai, kuriais iš dalies keičiamas Direktyvos 2005/36/EB V priedas dėl formalios kvalifikacijos įrodymo (žr. pirmesnį 2.a punktą). </w:t>
      </w:r>
    </w:p>
    <w:p>
      <w:pPr>
        <w:jc w:val="both"/>
        <w:rPr>
          <w:rFonts w:ascii="Times New Roman" w:hAnsi="Times New Roman"/>
          <w:noProof/>
          <w:sz w:val="24"/>
          <w:szCs w:val="24"/>
        </w:rPr>
      </w:pPr>
      <w:r>
        <w:rPr>
          <w:rFonts w:ascii="Times New Roman" w:hAnsi="Times New Roman"/>
          <w:noProof/>
          <w:sz w:val="24"/>
        </w:rPr>
        <w:t>Pirmasis deleguotasis sprendimas, kuriuo iš dalies keičiamas V priedas, įtraukiant pakeitimus, susijusius su sektorinių profesijų nacionaliniais diplomais, apie kuriuos valstybės narės pranešė Komisijai, buvo priimtas 2016 m. sausio 13 d.</w:t>
      </w:r>
      <w:r>
        <w:rPr>
          <w:rStyle w:val="FootnoteReference"/>
          <w:rFonts w:ascii="Times New Roman" w:hAnsi="Times New Roman"/>
          <w:noProof/>
          <w:sz w:val="24"/>
        </w:rPr>
        <w:footnoteReference w:id="4"/>
      </w:r>
      <w:r>
        <w:rPr>
          <w:rFonts w:ascii="Times New Roman" w:hAnsi="Times New Roman"/>
          <w:noProof/>
          <w:sz w:val="24"/>
        </w:rPr>
        <w:t>, o antrasis deleguotasis sprendimas priimtas 2017 m. gruodžio 1 d.</w:t>
      </w:r>
      <w:r>
        <w:rPr>
          <w:rStyle w:val="FootnoteReference"/>
          <w:rFonts w:ascii="Times New Roman" w:hAnsi="Times New Roman"/>
          <w:noProof/>
          <w:sz w:val="24"/>
        </w:rPr>
        <w:footnoteReference w:id="5"/>
      </w:r>
      <w:r>
        <w:rPr>
          <w:rFonts w:ascii="Times New Roman" w:hAnsi="Times New Roman"/>
          <w:noProof/>
          <w:sz w:val="24"/>
        </w:rPr>
        <w:t xml:space="preserve">. </w:t>
      </w:r>
    </w:p>
    <w:p>
      <w:pPr>
        <w:rPr>
          <w:noProof/>
        </w:rPr>
      </w:pPr>
    </w:p>
    <w:p>
      <w:pPr>
        <w:jc w:val="both"/>
        <w:rPr>
          <w:rFonts w:ascii="Times New Roman" w:hAnsi="Times New Roman"/>
          <w:b/>
          <w:noProof/>
          <w:sz w:val="24"/>
          <w:szCs w:val="24"/>
        </w:rPr>
      </w:pPr>
      <w:r>
        <w:rPr>
          <w:rFonts w:ascii="Times New Roman" w:hAnsi="Times New Roman"/>
          <w:b/>
          <w:noProof/>
          <w:sz w:val="24"/>
        </w:rPr>
        <w:t>3.2. Konsultacijos prieš priėmimą</w:t>
      </w:r>
    </w:p>
    <w:p>
      <w:pPr>
        <w:jc w:val="both"/>
        <w:rPr>
          <w:rFonts w:ascii="Times New Roman" w:hAnsi="Times New Roman"/>
          <w:noProof/>
          <w:sz w:val="24"/>
          <w:szCs w:val="24"/>
        </w:rPr>
      </w:pPr>
      <w:r>
        <w:rPr>
          <w:rFonts w:ascii="Times New Roman" w:hAnsi="Times New Roman"/>
          <w:noProof/>
          <w:sz w:val="24"/>
        </w:rPr>
        <w:t>Laikydamasi įsipareigojimų pagal Tarpinstitucinį susitarimą dėl geresnės teisėkūros</w:t>
      </w:r>
      <w:r>
        <w:rPr>
          <w:rStyle w:val="FootnoteReference"/>
          <w:rFonts w:ascii="Times New Roman" w:hAnsi="Times New Roman"/>
          <w:noProof/>
          <w:sz w:val="24"/>
        </w:rPr>
        <w:footnoteReference w:id="6"/>
      </w:r>
      <w:r>
        <w:rPr>
          <w:rFonts w:ascii="Times New Roman" w:hAnsi="Times New Roman"/>
          <w:noProof/>
          <w:sz w:val="24"/>
        </w:rPr>
        <w:t xml:space="preserve">, Komisija, rengdama deleguotuosius aktus, konsultavosi su valstybių narių paskirtais ekspertais ir suinteresuotaisiais subjektais per reguliariai rengiamus tikslinius ekspertų susitikimus ir konsultacijas raštu. </w:t>
      </w:r>
    </w:p>
    <w:p>
      <w:pPr>
        <w:jc w:val="both"/>
        <w:rPr>
          <w:rFonts w:ascii="Times New Roman" w:hAnsi="Times New Roman"/>
          <w:noProof/>
          <w:sz w:val="24"/>
          <w:szCs w:val="24"/>
        </w:rPr>
      </w:pPr>
      <w:r>
        <w:rPr>
          <w:rFonts w:ascii="Times New Roman" w:hAnsi="Times New Roman"/>
          <w:noProof/>
          <w:sz w:val="24"/>
        </w:rPr>
        <w:t>Rengiant deleguotuosius aktus dalyvavusi ekspertų grupė – tai 2007 m. kovo 19 d. Komisijos sprendimu</w:t>
      </w:r>
      <w:r>
        <w:rPr>
          <w:rStyle w:val="FootnoteReference"/>
          <w:rFonts w:ascii="Times New Roman" w:hAnsi="Times New Roman"/>
          <w:noProof/>
          <w:sz w:val="24"/>
        </w:rPr>
        <w:footnoteReference w:id="7"/>
      </w:r>
      <w:r>
        <w:rPr>
          <w:rFonts w:ascii="Times New Roman" w:hAnsi="Times New Roman"/>
          <w:noProof/>
          <w:sz w:val="24"/>
        </w:rPr>
        <w:t xml:space="preserve"> įsteigta Profesinės kvalifikacijos pripažinimo koordinatorių grupė.</w:t>
      </w:r>
      <w:r>
        <w:rPr>
          <w:noProof/>
        </w:rPr>
        <w:t xml:space="preserve"> </w:t>
      </w:r>
      <w:r>
        <w:rPr>
          <w:rFonts w:ascii="Times New Roman" w:hAnsi="Times New Roman"/>
          <w:noProof/>
          <w:sz w:val="24"/>
        </w:rPr>
        <w:t>Į konsultacijose išsakytas pastabas atsižvelgta rengiant galutines deleguotųjų aktų redakcijas.</w:t>
      </w:r>
    </w:p>
    <w:p>
      <w:pPr>
        <w:jc w:val="both"/>
        <w:rPr>
          <w:rFonts w:ascii="Times New Roman" w:hAnsi="Times New Roman"/>
          <w:noProof/>
          <w:sz w:val="24"/>
          <w:szCs w:val="24"/>
        </w:rPr>
      </w:pPr>
      <w:r>
        <w:rPr>
          <w:rFonts w:ascii="Times New Roman" w:hAnsi="Times New Roman"/>
          <w:noProof/>
          <w:sz w:val="24"/>
        </w:rPr>
        <w:t>Su šiomis konsultacijomis susiję dokumentai buvo vienu metu perduoti Europos Parlamentui ir Tarybai, taip pat abi šios institucijos turėjo galimybę atsiųsti ekspertus į šios ekspertų grupės posėdžius.</w:t>
      </w:r>
    </w:p>
    <w:p>
      <w:pPr>
        <w:jc w:val="both"/>
        <w:rPr>
          <w:rFonts w:ascii="Times New Roman" w:hAnsi="Times New Roman"/>
          <w:b/>
          <w:noProof/>
          <w:sz w:val="24"/>
          <w:szCs w:val="24"/>
        </w:rPr>
      </w:pPr>
      <w:r>
        <w:rPr>
          <w:rFonts w:ascii="Times New Roman" w:hAnsi="Times New Roman"/>
          <w:b/>
          <w:noProof/>
          <w:sz w:val="24"/>
        </w:rPr>
        <w:t>3.3. Neprieštaravimas dėl deleguotųjų aktų</w:t>
      </w:r>
    </w:p>
    <w:p>
      <w:pPr>
        <w:jc w:val="both"/>
        <w:rPr>
          <w:rFonts w:ascii="Times New Roman" w:hAnsi="Times New Roman"/>
          <w:noProof/>
          <w:sz w:val="24"/>
          <w:szCs w:val="24"/>
        </w:rPr>
      </w:pPr>
      <w:r>
        <w:rPr>
          <w:rFonts w:ascii="Times New Roman" w:hAnsi="Times New Roman"/>
          <w:noProof/>
          <w:sz w:val="24"/>
        </w:rPr>
        <w:t>Pagal Direktyvos 2005/36/EB su pakeitimais, padarytais Direktyva 2013/55/ES, 57c straipsnio 5 dalį Europos Parlamentas arba Taryba gali pareikšti prieštaravimus dėl deleguotojo aktos per du mėnesius nuo pranešimo dienos; Europos Parlamento arba Tarybos iniciatyva šį laikotarpį galima pratęsti dar dviem mėnesiais. Jei Europos Parlamentas arba Taryba per šį laikotarpį pareiškia prieštaravimų dėl deleguotojo akto, šis aktas neįsigalioja.</w:t>
      </w:r>
    </w:p>
    <w:p>
      <w:pPr>
        <w:jc w:val="both"/>
        <w:rPr>
          <w:rFonts w:ascii="Times New Roman" w:hAnsi="Times New Roman"/>
          <w:b/>
          <w:noProof/>
          <w:sz w:val="24"/>
          <w:szCs w:val="24"/>
        </w:rPr>
      </w:pPr>
      <w:r>
        <w:rPr>
          <w:rFonts w:ascii="Times New Roman" w:hAnsi="Times New Roman"/>
          <w:noProof/>
          <w:sz w:val="24"/>
        </w:rPr>
        <w:t>Nei Europos Parlamentas, nei Taryba nepareiškė prieštaravimų dėl kurio nors 3.1 punkte nurodytų deleguotųjų aktų, todėl tie deleguotieji aktai buvo paskelbti ir įsigaliojo pasibaigus prieštaravimo laikotarpiui.</w:t>
      </w:r>
    </w:p>
    <w:p>
      <w:pPr>
        <w:jc w:val="both"/>
        <w:rPr>
          <w:rFonts w:ascii="Times New Roman" w:hAnsi="Times New Roman"/>
          <w:b/>
          <w:noProof/>
          <w:sz w:val="24"/>
          <w:szCs w:val="24"/>
        </w:rPr>
      </w:pPr>
      <w:r>
        <w:rPr>
          <w:rFonts w:ascii="Times New Roman" w:hAnsi="Times New Roman"/>
          <w:b/>
          <w:noProof/>
          <w:sz w:val="24"/>
        </w:rPr>
        <w:t>3.4. Galimi būsimi deleguotieji aktai</w:t>
      </w:r>
    </w:p>
    <w:p>
      <w:pPr>
        <w:jc w:val="both"/>
        <w:rPr>
          <w:rFonts w:ascii="Times New Roman" w:hAnsi="Times New Roman"/>
          <w:noProof/>
          <w:sz w:val="24"/>
          <w:szCs w:val="24"/>
        </w:rPr>
      </w:pPr>
      <w:r>
        <w:rPr>
          <w:rFonts w:ascii="Times New Roman" w:hAnsi="Times New Roman"/>
          <w:noProof/>
          <w:sz w:val="24"/>
        </w:rPr>
        <w:t>Remiantis 21a straipsnio 4 dalimi, siekiant iš dalies pakeisti Direktyvos 2005/36/EB V priedą dėl formalios kvalifikacijos įrodymo, reikės reguliariai priimti tolesnius deleguotuosius aktus. Šiuo metu Komisijos tarnybos rengia trečią deleguotąjį sprendimą.</w:t>
      </w:r>
    </w:p>
    <w:p>
      <w:pPr>
        <w:jc w:val="both"/>
        <w:rPr>
          <w:rFonts w:ascii="Times New Roman" w:hAnsi="Times New Roman"/>
          <w:noProof/>
          <w:sz w:val="24"/>
          <w:szCs w:val="24"/>
        </w:rPr>
      </w:pPr>
      <w:r>
        <w:rPr>
          <w:rFonts w:ascii="Times New Roman" w:hAnsi="Times New Roman"/>
          <w:noProof/>
          <w:sz w:val="24"/>
        </w:rPr>
        <w:t>Be to, Komisijos tarnybos rengia galimą deleguotąjį reglamentą, kuriuo pagal Direktyvos 49b straipsnį nustatomas bendrasis slidinėjimo instruktorių rengimo testas?</w:t>
      </w:r>
    </w:p>
    <w:p>
      <w:pPr>
        <w:jc w:val="both"/>
        <w:rPr>
          <w:rFonts w:ascii="Times New Roman" w:hAnsi="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IŠVADA</w:t>
      </w:r>
    </w:p>
    <w:p>
      <w:pPr>
        <w:jc w:val="both"/>
        <w:rPr>
          <w:rFonts w:ascii="Times New Roman" w:hAnsi="Times New Roman"/>
          <w:noProof/>
          <w:sz w:val="24"/>
          <w:szCs w:val="24"/>
        </w:rPr>
      </w:pPr>
      <w:r>
        <w:rPr>
          <w:rFonts w:ascii="Times New Roman" w:hAnsi="Times New Roman"/>
          <w:noProof/>
          <w:sz w:val="24"/>
        </w:rPr>
        <w:t>Komisija mano, kad jai suteiktais deleguotaisiais įgaliojimais naudojosi laikydamasi nustatytų apribojimų ir Direktyvos 2005/36/EB su pakeitimais, padarytais Direktyva 2013/55/ES, 57c straipsnyje nustatytų sąlygų. Komisija mano, kad įgaliojimus reikėtų pratęsti, kadangi ateityje reikės priimti daugiau deleguotųjų aktų, be kita ko, deleguotuosius aktus, kuriais iš dalies keičiamas Direktyvos 2005/36/EB V priedas dėl formalios kvalifikacijos įrodymo. Šią ataskaitą Komisija teikia laikydamasi Direktyvos 2005/36/EB su pakeitimais, padarytais Direktyva 2013/55/ES, 57c straipsnio 2 dalyje nustatyto ataskaitų teikimo reikalavimo. Komisija ragina Europos Parlamentą ir Tarybą susipažinti su šia ataskaita.</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OL L 255, 2005 9 30, p. 22.</w:t>
      </w:r>
    </w:p>
  </w:footnote>
  <w:footnote w:id="2">
    <w:p>
      <w:pPr>
        <w:pStyle w:val="FootnoteText"/>
      </w:pPr>
      <w:r>
        <w:rPr>
          <w:rStyle w:val="FootnoteReference"/>
        </w:rPr>
        <w:footnoteRef/>
      </w:r>
      <w:r>
        <w:t xml:space="preserve"> Bendrosios rinkos aktas. Dvylika svertų augimui skatinti ir pasitikėjimui stiprinti. „Bendros pastangos skatinti naująjį augimą“, COM(2011) 206 </w:t>
      </w:r>
      <w:r>
        <w:rPr>
          <w:i/>
        </w:rPr>
        <w:t>final</w:t>
      </w:r>
      <w:r>
        <w:t>.</w:t>
      </w:r>
    </w:p>
  </w:footnote>
  <w:footnote w:id="3">
    <w:p>
      <w:pPr>
        <w:pStyle w:val="FootnoteText"/>
        <w:rPr>
          <w:lang w:val="pt-PT"/>
        </w:rPr>
      </w:pPr>
      <w:r>
        <w:rPr>
          <w:rStyle w:val="FootnoteReference"/>
        </w:rPr>
        <w:footnoteRef/>
      </w:r>
      <w:r>
        <w:t xml:space="preserve"> OL L 354, 2013 12 28, p. 132.</w:t>
      </w:r>
    </w:p>
  </w:footnote>
  <w:footnote w:id="4">
    <w:p>
      <w:pPr>
        <w:pStyle w:val="FootnoteText"/>
        <w:rPr>
          <w:lang w:val="pl-PL"/>
        </w:rPr>
      </w:pPr>
      <w:r>
        <w:rPr>
          <w:rStyle w:val="FootnoteReference"/>
        </w:rPr>
        <w:footnoteRef/>
      </w:r>
      <w:r>
        <w:t xml:space="preserve"> OL L 134, 2016 5 24, p. 135.</w:t>
      </w:r>
    </w:p>
  </w:footnote>
  <w:footnote w:id="5">
    <w:p>
      <w:pPr>
        <w:pStyle w:val="FootnoteText"/>
        <w:rPr>
          <w:lang w:val="pl-PL"/>
        </w:rPr>
      </w:pPr>
      <w:r>
        <w:rPr>
          <w:rStyle w:val="FootnoteReference"/>
        </w:rPr>
        <w:footnoteRef/>
      </w:r>
      <w:r>
        <w:t xml:space="preserve"> OL L 317, 2017 12 1, p. 119.</w:t>
      </w:r>
    </w:p>
  </w:footnote>
  <w:footnote w:id="6">
    <w:p>
      <w:pPr>
        <w:pStyle w:val="FootnoteText"/>
      </w:pPr>
      <w:r>
        <w:rPr>
          <w:rStyle w:val="FootnoteReference"/>
        </w:rPr>
        <w:footnoteRef/>
      </w:r>
      <w:r>
        <w:t xml:space="preserve"> OL L 123, 2016 5 12.</w:t>
      </w:r>
    </w:p>
  </w:footnote>
  <w:footnote w:id="7">
    <w:p>
      <w:pPr>
        <w:pStyle w:val="FootnoteText"/>
      </w:pPr>
      <w:r>
        <w:rPr>
          <w:rStyle w:val="FootnoteReference"/>
        </w:rPr>
        <w:footnoteRef/>
      </w:r>
      <w:r>
        <w:t xml:space="preserve"> OL L 79, 2007 3 20, p.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781"/>
    <w:multiLevelType w:val="hybridMultilevel"/>
    <w:tmpl w:val="2FF67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B524EA4"/>
    <w:multiLevelType w:val="hybridMultilevel"/>
    <w:tmpl w:val="C31C8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B0F7B56"/>
    <w:multiLevelType w:val="hybridMultilevel"/>
    <w:tmpl w:val="E4787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717966"/>
    <w:multiLevelType w:val="hybridMultilevel"/>
    <w:tmpl w:val="FEDE20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5A6E138-3F19-4179-8010-F88883334B01"/>
    <w:docVar w:name="LW_COVERPAGE_TYPE" w:val="1"/>
    <w:docVar w:name="LW_CROSSREFERENCE" w:val="&lt;UNUSED&gt;"/>
    <w:docVar w:name="LW_DocType" w:val="NORMAL"/>
    <w:docVar w:name="LW_EMISSION" w:val="2018 05 07"/>
    <w:docVar w:name="LW_EMISSION_ISODATE" w:val="2018-05-07"/>
    <w:docVar w:name="LW_EMISSION_LOCATION" w:val="BRX"/>
    <w:docVar w:name="LW_EMISSION_PREFIX" w:val="Briuselis, "/>
    <w:docVar w:name="LW_EMISSION_SUFFIX" w:val="&lt;EMPTY&gt;"/>
    <w:docVar w:name="LW_ID_DOCTYPE_NONLW" w:val="CP-006"/>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8) 2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d\u279?l naudojimosi \u303?galiojimais priimti deleguotuosius aktus, suteiktais Komisijai pagal 2013 m. lapkri\u269?io 20 d. Europos Parlamento ir Tarybos direktyv\u261? 2013/55/ES, kuria i\u353? dalies kei\u269?iama Direktyva 2005/36/EB d\u279?l profesini\u371? kvalifikacij\u371? pripa\u382?inimo ir Reglamentas (ES) Nr. 1024/2012 d\u279?l administracinio bendradarbiavimo per Vidaus rinkos informacijos sistem\u261? (IMI reglamentas)&lt;/FMT&gt;"/>
    <w:docVar w:name="LW_TYPE.DOC.CP" w:val="KOMISIJOS ATASKAITA EUROPOS PARLAMENTUI IR TARYBAI"/>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EC72-0612-4024-949D-CAA4E371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833</Words>
  <Characters>6003</Characters>
  <Application>Microsoft Office Word</Application>
  <DocSecurity>0</DocSecurity>
  <Lines>103</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2018-04-10T07:53:00Z</cp:lastPrinted>
  <dcterms:created xsi:type="dcterms:W3CDTF">2018-04-20T12:55:00Z</dcterms:created>
  <dcterms:modified xsi:type="dcterms:W3CDTF">2018-04-25T15:51:00Z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