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0370864-9E2D-49F5-AF96-89BD66CBA4A6" style="width:450.75pt;height:361.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spacing w:before="360" w:after="0" w:line="240" w:lineRule="auto"/>
        <w:jc w:val="center"/>
        <w:rPr>
          <w:rFonts w:ascii="Times New Roman" w:eastAsia="Times New Roman" w:hAnsi="Times New Roman" w:cs="Times New Roman"/>
          <w:b/>
          <w:noProof/>
          <w:sz w:val="24"/>
          <w:szCs w:val="24"/>
        </w:rPr>
      </w:pPr>
      <w:bookmarkStart w:id="1" w:name="_GoBack"/>
      <w:bookmarkEnd w:id="1"/>
      <w:r>
        <w:rPr>
          <w:rFonts w:ascii="Times New Roman" w:hAnsi="Times New Roman"/>
          <w:b/>
          <w:noProof/>
          <w:sz w:val="24"/>
        </w:rPr>
        <w:lastRenderedPageBreak/>
        <w:t>KOMISIJOS ATASKAITA EUROPOS PARLAMENTUI, TARYBAI, EUROPOS EKONOMIKOS IR SOCIALINIŲ REIKALŲ KOMITETUI IR REGIONŲ KOMITETUI</w:t>
      </w:r>
    </w:p>
    <w:p>
      <w:pPr>
        <w:spacing w:before="360" w:after="360" w:line="240" w:lineRule="auto"/>
        <w:jc w:val="center"/>
        <w:rPr>
          <w:rFonts w:ascii="Times New Roman" w:eastAsia="Times New Roman" w:hAnsi="Times New Roman" w:cs="Times New Roman"/>
          <w:b/>
          <w:noProof/>
          <w:sz w:val="24"/>
          <w:szCs w:val="24"/>
        </w:rPr>
      </w:pPr>
      <w:r>
        <w:rPr>
          <w:rFonts w:ascii="Times New Roman" w:hAnsi="Times New Roman"/>
          <w:b/>
          <w:noProof/>
          <w:sz w:val="24"/>
        </w:rPr>
        <w:t xml:space="preserve">dėl 2014–2020 m. programos „Europa piliečiams“ įgyvendinimo laikotarpio vidurio vertinimo </w:t>
      </w:r>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Savo 2017 m. pranešime apie Sąjungos padėtį Pirmininkas J.-C. Junkeris pabrėžė, kad į darbą dėl Europos ateities turėtume įtraukti nacionalinio, regioninio ir vietos lygmens pilietinę visuomenę. Programa „Europa piliečiams“ yra viena iš priemonių Europos piliečiams įtraukti į Europos projektus</w:t>
      </w:r>
      <w:r>
        <w:rPr>
          <w:noProof/>
        </w:rPr>
        <w:t xml:space="preserve"> </w:t>
      </w:r>
      <w:r>
        <w:rPr>
          <w:rFonts w:ascii="Times New Roman" w:hAnsi="Times New Roman"/>
          <w:noProof/>
          <w:sz w:val="24"/>
        </w:rPr>
        <w:t>ir skatinti gilų susidomėjimą Europos Sąjunga bei tapatinimąsi su ja.</w:t>
      </w:r>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Šioje ataskaitoje išdėstyti laikotarpio vidurio rezultatai, gauti įgyvendinant programą „Europa piliečiams“, ir aptariami kokybiniai ir kiekybiniai programos įgyvendinimo aspektai, kaip reikalaujama 2014 m. balandžio 14 d. Tarybos reglamento (ES) Nr. 390/2014</w:t>
      </w:r>
      <w:r>
        <w:rPr>
          <w:rStyle w:val="FootnoteReference"/>
          <w:noProof/>
        </w:rPr>
        <w:footnoteReference w:id="1"/>
      </w:r>
      <w:r>
        <w:rPr>
          <w:rFonts w:ascii="Times New Roman" w:hAnsi="Times New Roman"/>
          <w:noProof/>
          <w:sz w:val="24"/>
        </w:rPr>
        <w:t xml:space="preserve"> (toliau – Reglamentas) 15 straipsnio 4 dalies a punkte. Ataskaita pagrįsta išorės specialistų atliktu laikotarpio vidurio vertinimu</w:t>
      </w:r>
      <w:r>
        <w:rPr>
          <w:rStyle w:val="FootnoteReference"/>
          <w:noProof/>
        </w:rPr>
        <w:footnoteReference w:id="2"/>
      </w:r>
      <w:r>
        <w:rPr>
          <w:rFonts w:ascii="Times New Roman" w:hAnsi="Times New Roman"/>
          <w:noProof/>
          <w:sz w:val="24"/>
        </w:rPr>
        <w:t xml:space="preserve"> ir Europos Komisijos parengtu tarnybų darbiniu dokumentu</w:t>
      </w:r>
      <w:r>
        <w:rPr>
          <w:rStyle w:val="FootnoteReference"/>
          <w:rFonts w:ascii="Times New Roman" w:hAnsi="Times New Roman"/>
          <w:noProof/>
          <w:sz w:val="24"/>
        </w:rPr>
        <w:footnoteReference w:id="3"/>
      </w:r>
      <w:r>
        <w:rPr>
          <w:rFonts w:ascii="Times New Roman" w:hAnsi="Times New Roman"/>
          <w:noProof/>
          <w:sz w:val="24"/>
        </w:rPr>
        <w:t>, ataskaitą rengiant taip pat atsižvelgta į 2017 m. kovo mėn. Europos Parlamento pranešimą dėl programos įgyvendinimo</w:t>
      </w:r>
      <w:r>
        <w:rPr>
          <w:rStyle w:val="FootnoteReference"/>
          <w:rFonts w:ascii="Times New Roman" w:hAnsi="Times New Roman"/>
          <w:noProof/>
          <w:sz w:val="24"/>
        </w:rPr>
        <w:footnoteReference w:id="4"/>
      </w:r>
      <w:r>
        <w:rPr>
          <w:rFonts w:ascii="Times New Roman" w:hAnsi="Times New Roman"/>
          <w:noProof/>
          <w:sz w:val="24"/>
        </w:rPr>
        <w:t xml:space="preserve"> ir 2017 m. sausio–balandžio mėn. Komisijos vykdytas viešas konsultacijas</w:t>
      </w:r>
      <w:r>
        <w:rPr>
          <w:rStyle w:val="FootnoteReference"/>
          <w:rFonts w:ascii="Times New Roman" w:hAnsi="Times New Roman"/>
          <w:noProof/>
          <w:sz w:val="24"/>
        </w:rPr>
        <w:footnoteReference w:id="5"/>
      </w:r>
      <w:r>
        <w:rPr>
          <w:rFonts w:ascii="Times New Roman" w:hAnsi="Times New Roman"/>
          <w:noProof/>
          <w:sz w:val="24"/>
        </w:rPr>
        <w:t>.</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1.</w:t>
      </w:r>
      <w:r>
        <w:rPr>
          <w:noProof/>
        </w:rPr>
        <w:tab/>
      </w:r>
      <w:r>
        <w:rPr>
          <w:rFonts w:ascii="Times New Roman" w:hAnsi="Times New Roman"/>
          <w:b/>
          <w:smallCaps/>
          <w:noProof/>
          <w:sz w:val="24"/>
        </w:rPr>
        <w:t>Įvadas ir aplinkybės</w:t>
      </w:r>
    </w:p>
    <w:p>
      <w:pPr>
        <w:spacing w:before="120" w:after="240" w:line="240" w:lineRule="auto"/>
        <w:jc w:val="both"/>
        <w:rPr>
          <w:rFonts w:ascii="Times New Roman" w:hAnsi="Times New Roman" w:cs="Times New Roman"/>
          <w:noProof/>
          <w:sz w:val="24"/>
          <w:szCs w:val="24"/>
        </w:rPr>
      </w:pPr>
      <w:r>
        <w:rPr>
          <w:rFonts w:ascii="Times New Roman" w:hAnsi="Times New Roman"/>
          <w:noProof/>
          <w:sz w:val="24"/>
        </w:rPr>
        <w:t>Dabartinė 2014–2020 m. programa „Europa piliečiams“ buvo nustatyta Tarybos reglamentu (ES) Nr. 390/2014.</w:t>
      </w:r>
    </w:p>
    <w:p>
      <w:pPr>
        <w:spacing w:before="120" w:after="240" w:line="240" w:lineRule="auto"/>
        <w:jc w:val="both"/>
        <w:rPr>
          <w:rFonts w:ascii="Times New Roman" w:hAnsi="Times New Roman" w:cs="Times New Roman"/>
          <w:noProof/>
          <w:sz w:val="24"/>
          <w:szCs w:val="24"/>
        </w:rPr>
      </w:pPr>
      <w:r>
        <w:rPr>
          <w:rFonts w:ascii="Times New Roman" w:hAnsi="Times New Roman"/>
          <w:noProof/>
          <w:sz w:val="24"/>
        </w:rPr>
        <w:t>Reglamente nustatyti jos bendrieji tikslai:</w:t>
      </w:r>
    </w:p>
    <w:p>
      <w:pPr>
        <w:pStyle w:val="ListParagraph"/>
        <w:numPr>
          <w:ilvl w:val="0"/>
          <w:numId w:val="3"/>
        </w:numPr>
        <w:spacing w:before="120" w:after="240" w:line="240" w:lineRule="auto"/>
        <w:jc w:val="both"/>
        <w:rPr>
          <w:rFonts w:ascii="Times New Roman" w:hAnsi="Times New Roman" w:cs="Times New Roman"/>
          <w:noProof/>
          <w:sz w:val="24"/>
          <w:szCs w:val="24"/>
        </w:rPr>
      </w:pPr>
      <w:r>
        <w:rPr>
          <w:rFonts w:ascii="Times New Roman" w:hAnsi="Times New Roman"/>
          <w:noProof/>
          <w:sz w:val="24"/>
        </w:rPr>
        <w:t>padėti piliečiams geriau suprasti ES, jos istoriją ir įvairovę ir</w:t>
      </w:r>
    </w:p>
    <w:p>
      <w:pPr>
        <w:pStyle w:val="ListParagraph"/>
        <w:numPr>
          <w:ilvl w:val="0"/>
          <w:numId w:val="3"/>
        </w:numPr>
        <w:spacing w:before="120" w:after="240" w:line="240" w:lineRule="auto"/>
        <w:jc w:val="both"/>
        <w:rPr>
          <w:rFonts w:ascii="Times New Roman" w:hAnsi="Times New Roman" w:cs="Times New Roman"/>
          <w:noProof/>
          <w:sz w:val="24"/>
          <w:szCs w:val="24"/>
        </w:rPr>
      </w:pPr>
      <w:r>
        <w:rPr>
          <w:rFonts w:ascii="Times New Roman" w:hAnsi="Times New Roman"/>
          <w:noProof/>
          <w:sz w:val="24"/>
        </w:rPr>
        <w:t>skatinti Europos pilietiškumą ir gerinti pilietinio ir demokratinio dalyvavimo ES lygiu sąlygas.</w:t>
      </w:r>
    </w:p>
    <w:p>
      <w:pPr>
        <w:spacing w:after="0" w:line="240" w:lineRule="auto"/>
        <w:jc w:val="both"/>
        <w:rPr>
          <w:rFonts w:ascii="Times New Roman" w:hAnsi="Times New Roman" w:cs="Times New Roman"/>
          <w:noProof/>
          <w:sz w:val="24"/>
          <w:szCs w:val="24"/>
        </w:rPr>
      </w:pPr>
      <w:r>
        <w:rPr>
          <w:rFonts w:ascii="Times New Roman" w:hAnsi="Times New Roman"/>
          <w:noProof/>
          <w:sz w:val="24"/>
        </w:rPr>
        <w:t>Konkretūs programos tikslai:</w:t>
      </w:r>
    </w:p>
    <w:p>
      <w:pPr>
        <w:spacing w:after="0" w:line="240" w:lineRule="auto"/>
        <w:jc w:val="both"/>
        <w:rPr>
          <w:rFonts w:ascii="Times New Roman" w:hAnsi="Times New Roman" w:cs="Times New Roman"/>
          <w:noProof/>
          <w:sz w:val="24"/>
          <w:szCs w:val="24"/>
        </w:rPr>
      </w:pPr>
    </w:p>
    <w:p>
      <w:pPr>
        <w:pStyle w:val="ListParagraph"/>
        <w:numPr>
          <w:ilvl w:val="0"/>
          <w:numId w:val="1"/>
        </w:numPr>
        <w:spacing w:line="240" w:lineRule="auto"/>
        <w:jc w:val="both"/>
        <w:rPr>
          <w:rFonts w:ascii="Times New Roman" w:hAnsi="Times New Roman" w:cs="Times New Roman"/>
          <w:noProof/>
          <w:sz w:val="24"/>
          <w:szCs w:val="24"/>
        </w:rPr>
      </w:pPr>
      <w:r>
        <w:rPr>
          <w:rFonts w:ascii="Times New Roman" w:hAnsi="Times New Roman"/>
          <w:noProof/>
          <w:sz w:val="24"/>
        </w:rPr>
        <w:t>gerinti atminimo, bendros istorijos ir ES vertybių bei ES tikslo suvokimą, būtent propaguoti taiką, ES vertybes ir jos tautų gerovę skatinant debatus, svarstymus ir tinklų kūrimą, ir</w:t>
      </w:r>
    </w:p>
    <w:p>
      <w:pPr>
        <w:pStyle w:val="ListParagraph"/>
        <w:numPr>
          <w:ilvl w:val="0"/>
          <w:numId w:val="1"/>
        </w:numPr>
        <w:spacing w:line="240" w:lineRule="auto"/>
        <w:jc w:val="both"/>
        <w:rPr>
          <w:rFonts w:ascii="Times New Roman" w:hAnsi="Times New Roman" w:cs="Times New Roman"/>
          <w:noProof/>
          <w:sz w:val="24"/>
          <w:szCs w:val="24"/>
        </w:rPr>
      </w:pPr>
      <w:r>
        <w:rPr>
          <w:rFonts w:ascii="Times New Roman" w:hAnsi="Times New Roman"/>
          <w:noProof/>
          <w:sz w:val="24"/>
        </w:rPr>
        <w:lastRenderedPageBreak/>
        <w:t>ES lygmeniu gerinant piliečių supratimą apie ES politikos formavimo procesą ir didinant galimybes visuomenės ir tarpkultūriniam dalyvavimui bei savanorystei, skatinti demokratišką ir pilietinį piliečių dalyvavimą ES lygmeniu.</w:t>
      </w:r>
    </w:p>
    <w:p>
      <w:pPr>
        <w:spacing w:line="240" w:lineRule="auto"/>
        <w:jc w:val="both"/>
        <w:rPr>
          <w:rFonts w:ascii="Times New Roman" w:hAnsi="Times New Roman" w:cs="Times New Roman"/>
          <w:noProof/>
          <w:sz w:val="24"/>
          <w:szCs w:val="24"/>
        </w:rPr>
      </w:pPr>
      <w:r>
        <w:rPr>
          <w:rFonts w:ascii="Times New Roman" w:hAnsi="Times New Roman"/>
          <w:noProof/>
          <w:sz w:val="24"/>
        </w:rPr>
        <w:t>Šią programą įgyvendina Europos Komisija, jai padeda Švietimo, garso ir vaizdo bei kultūros vykdomoji įstaiga (EACEA).</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2.</w:t>
      </w:r>
      <w:r>
        <w:rPr>
          <w:noProof/>
        </w:rPr>
        <w:tab/>
      </w:r>
      <w:r>
        <w:rPr>
          <w:rFonts w:ascii="Times New Roman" w:hAnsi="Times New Roman"/>
          <w:b/>
          <w:smallCaps/>
          <w:noProof/>
          <w:sz w:val="24"/>
        </w:rPr>
        <w:t>Pagrindiniai programos elementai ir įgyvendinimas</w:t>
      </w:r>
    </w:p>
    <w:p>
      <w:pPr>
        <w:spacing w:line="240" w:lineRule="auto"/>
        <w:jc w:val="both"/>
        <w:rPr>
          <w:rFonts w:ascii="Times New Roman" w:hAnsi="Times New Roman" w:cs="Times New Roman"/>
          <w:noProof/>
          <w:sz w:val="24"/>
          <w:szCs w:val="24"/>
        </w:rPr>
      </w:pPr>
      <w:r>
        <w:rPr>
          <w:rFonts w:ascii="Times New Roman" w:hAnsi="Times New Roman"/>
          <w:noProof/>
          <w:sz w:val="24"/>
        </w:rPr>
        <w:t>Pagal programą remiama labai įvairi veikla ir organizacijos, skatinančios aktyvų Europos pilietiškumą, įtraukiant visos Europos piliečius. Programą sudaro šios dvi kryptys – „Europos atminimas“ ir „Demokratinis įsipareigojimas ir piliečių dalyvavimas“; abi kryptys papildomos horizontaliąja priemone (</w:t>
      </w:r>
      <w:r>
        <w:rPr>
          <w:rFonts w:ascii="Times New Roman" w:hAnsi="Times New Roman"/>
          <w:i/>
          <w:noProof/>
          <w:sz w:val="24"/>
        </w:rPr>
        <w:t>horizontaliaisiais veiksmais</w:t>
      </w:r>
      <w:r>
        <w:rPr>
          <w:rFonts w:ascii="Times New Roman" w:hAnsi="Times New Roman"/>
          <w:noProof/>
          <w:sz w:val="24"/>
        </w:rPr>
        <w:t> –</w:t>
      </w:r>
      <w:r>
        <w:rPr>
          <w:rFonts w:ascii="Times New Roman" w:hAnsi="Times New Roman"/>
          <w:i/>
          <w:noProof/>
          <w:sz w:val="24"/>
        </w:rPr>
        <w:t xml:space="preserve"> rezultatų panaudojimo veiksmais</w:t>
      </w:r>
      <w:r>
        <w:rPr>
          <w:rFonts w:ascii="Times New Roman" w:hAnsi="Times New Roman"/>
          <w:noProof/>
          <w:sz w:val="24"/>
        </w:rPr>
        <w:t>), ja siekiama analizuoti, skleisti ir taikyti projektų rezultatus. Kaip nustatyta Reglamente, įgyvendinant programą teikiamos dotacijos veiksmams (jomis remiami abiejų krypčių projektai) ir dotacijos veiklai (jomis remiamos organizacijos, savo veikla siekiančios programos tikslų).</w:t>
      </w:r>
    </w:p>
    <w:p>
      <w:pPr>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2.1.</w:t>
      </w:r>
      <w:r>
        <w:rPr>
          <w:noProof/>
        </w:rPr>
        <w:tab/>
      </w:r>
      <w:r>
        <w:rPr>
          <w:rFonts w:ascii="Times New Roman" w:hAnsi="Times New Roman"/>
          <w:b/>
          <w:noProof/>
          <w:sz w:val="24"/>
        </w:rPr>
        <w:t>Programos kryptys</w:t>
      </w:r>
    </w:p>
    <w:p>
      <w:pPr>
        <w:numPr>
          <w:ilvl w:val="0"/>
          <w:numId w:val="2"/>
        </w:numPr>
        <w:spacing w:after="240" w:line="240" w:lineRule="auto"/>
        <w:contextualSpacing/>
        <w:jc w:val="both"/>
        <w:rPr>
          <w:rFonts w:ascii="Times New Roman" w:hAnsi="Times New Roman" w:cs="Times New Roman"/>
          <w:i/>
          <w:noProof/>
          <w:sz w:val="24"/>
          <w:szCs w:val="24"/>
        </w:rPr>
      </w:pPr>
      <w:r>
        <w:rPr>
          <w:rFonts w:ascii="Times New Roman" w:hAnsi="Times New Roman"/>
          <w:i/>
          <w:noProof/>
          <w:sz w:val="24"/>
        </w:rPr>
        <w:t>1 kryptis „Europos atminimas“</w:t>
      </w:r>
    </w:p>
    <w:p>
      <w:pPr>
        <w:spacing w:after="240" w:line="240" w:lineRule="auto"/>
        <w:ind w:left="720"/>
        <w:contextualSpacing/>
        <w:jc w:val="both"/>
        <w:rPr>
          <w:rFonts w:ascii="Times New Roman" w:hAnsi="Times New Roman" w:cs="Times New Roman"/>
          <w:i/>
          <w:noProof/>
          <w:sz w:val="24"/>
          <w:szCs w:val="24"/>
        </w:rPr>
      </w:pPr>
    </w:p>
    <w:p>
      <w:pPr>
        <w:spacing w:line="240" w:lineRule="auto"/>
        <w:ind w:left="283"/>
        <w:jc w:val="both"/>
        <w:rPr>
          <w:rFonts w:ascii="Times New Roman" w:hAnsi="Times New Roman" w:cs="Times New Roman"/>
          <w:noProof/>
          <w:sz w:val="24"/>
          <w:szCs w:val="24"/>
        </w:rPr>
      </w:pPr>
      <w:r>
        <w:rPr>
          <w:rFonts w:ascii="Times New Roman" w:hAnsi="Times New Roman"/>
          <w:noProof/>
          <w:sz w:val="24"/>
        </w:rPr>
        <w:t>Pagal šią programos kryptį remiama veikla, kuria skatinama apsvarstyti Europos kultūrų įvairovę ir ES bendras vertybes plačiausia prasme. Ja siekiama finansuoti projektus, skirtus svarstyti totalitarinių režimų priežastis Europos šiuolaikinėje istorijoje ir įamžinti jų nusikaltimų aukų atminimą.</w:t>
      </w:r>
    </w:p>
    <w:p>
      <w:pPr>
        <w:spacing w:line="240" w:lineRule="auto"/>
        <w:ind w:left="283"/>
        <w:jc w:val="both"/>
        <w:rPr>
          <w:rFonts w:ascii="Times New Roman" w:hAnsi="Times New Roman" w:cs="Times New Roman"/>
          <w:noProof/>
          <w:sz w:val="24"/>
          <w:szCs w:val="24"/>
        </w:rPr>
      </w:pPr>
      <w:r>
        <w:rPr>
          <w:rFonts w:ascii="Times New Roman" w:hAnsi="Times New Roman"/>
          <w:noProof/>
          <w:sz w:val="24"/>
        </w:rPr>
        <w:t>Pagal šią kryptį taip pat remiama veikla, susijusi su kitais lemiamos reikšmės momentais ir svarbiais pastarųjų metų Europos istorijos įvykiais. Pirmenybė visų pirma teikiama projektams, kuriais skatinama tolerancija, tarpusavio supratimas, kultūrų dialogas ir susitaikymas, kaip priemonei peržengti praeitį ir kurti ateitį, visų pirma siekiant informuoti jaunesniąją kartą.</w:t>
      </w:r>
    </w:p>
    <w:p>
      <w:pPr>
        <w:numPr>
          <w:ilvl w:val="0"/>
          <w:numId w:val="2"/>
        </w:numPr>
        <w:spacing w:after="240" w:line="240" w:lineRule="auto"/>
        <w:contextualSpacing/>
        <w:jc w:val="both"/>
        <w:rPr>
          <w:rFonts w:ascii="Times New Roman" w:hAnsi="Times New Roman" w:cs="Times New Roman"/>
          <w:i/>
          <w:noProof/>
          <w:sz w:val="24"/>
          <w:szCs w:val="24"/>
        </w:rPr>
      </w:pPr>
      <w:r>
        <w:rPr>
          <w:rFonts w:ascii="Times New Roman" w:hAnsi="Times New Roman"/>
          <w:i/>
          <w:noProof/>
          <w:sz w:val="24"/>
        </w:rPr>
        <w:t>2 kryptis „Demokratinis įsipareigojimas ir piliečių dalyvavimas“</w:t>
      </w:r>
    </w:p>
    <w:p>
      <w:pPr>
        <w:spacing w:after="240" w:line="240" w:lineRule="auto"/>
        <w:ind w:left="720"/>
        <w:contextualSpacing/>
        <w:jc w:val="both"/>
        <w:rPr>
          <w:rFonts w:ascii="Times New Roman" w:hAnsi="Times New Roman" w:cs="Times New Roman"/>
          <w:i/>
          <w:noProof/>
          <w:sz w:val="24"/>
          <w:szCs w:val="24"/>
        </w:rPr>
      </w:pPr>
    </w:p>
    <w:p>
      <w:pPr>
        <w:spacing w:line="240" w:lineRule="auto"/>
        <w:ind w:left="283"/>
        <w:jc w:val="both"/>
        <w:rPr>
          <w:rFonts w:ascii="Times New Roman" w:hAnsi="Times New Roman" w:cs="Times New Roman"/>
          <w:noProof/>
          <w:sz w:val="24"/>
          <w:szCs w:val="24"/>
        </w:rPr>
      </w:pPr>
      <w:r>
        <w:rPr>
          <w:rFonts w:ascii="Times New Roman" w:hAnsi="Times New Roman"/>
          <w:noProof/>
          <w:sz w:val="24"/>
        </w:rPr>
        <w:t>Pagal šią programos kryptį remiama veikla, susijusi su piliečių dalyvavimu, ir ypač daug dėmesio skiriama veiklai, tiesiogiai susijusiai su ES politika. Parama teikiama siekiant plėsti dalyvavimą formuojant ES politinę darbotvarkę su programos tikslais susijusiose srityse. Ši kryptis taip pat apima projektus ir iniciatyvas, kuriomis sudaromos galimybės ES lygmeniu plėtoti tarpusavio supratimą, tarpkultūrinį mokymąsi, solidarumą, visuomenės įsitraukimą ir savanorystę.</w:t>
      </w:r>
    </w:p>
    <w:p>
      <w:pPr>
        <w:spacing w:line="240" w:lineRule="auto"/>
        <w:ind w:left="283"/>
        <w:jc w:val="both"/>
        <w:rPr>
          <w:rFonts w:ascii="Times New Roman" w:hAnsi="Times New Roman" w:cs="Times New Roman"/>
          <w:noProof/>
          <w:sz w:val="24"/>
          <w:szCs w:val="24"/>
        </w:rPr>
      </w:pPr>
      <w:r>
        <w:rPr>
          <w:rFonts w:ascii="Times New Roman" w:hAnsi="Times New Roman"/>
          <w:noProof/>
          <w:sz w:val="24"/>
        </w:rPr>
        <w:t>Pagal 2 kryptį remiama šių rūšių veikla:</w:t>
      </w:r>
    </w:p>
    <w:p>
      <w:pPr>
        <w:spacing w:line="240" w:lineRule="auto"/>
        <w:ind w:left="283"/>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b/>
          <w:noProof/>
          <w:sz w:val="24"/>
        </w:rPr>
        <w:t>miestų partnerystė</w:t>
      </w:r>
      <w:r>
        <w:rPr>
          <w:rFonts w:ascii="Times New Roman" w:hAnsi="Times New Roman"/>
          <w:noProof/>
          <w:sz w:val="24"/>
        </w:rPr>
        <w:t>. Šia priemone remiami projektai, kuriais daugybė miestų partnerių piliečių raginami vienytis diskutuojant temomis, susijusiomis su programos tikslais. Šiais projektais, vietos ir ES lygmeniu telkiant piliečius diskusijoms konkrečiais Europos politinės darbotvarkės klausimais, siekiama skatinti piliečių dalyvavimą ir plėtoti galimybes įtraukti visuomenę.</w:t>
      </w:r>
    </w:p>
    <w:p>
      <w:pPr>
        <w:spacing w:line="240" w:lineRule="auto"/>
        <w:ind w:left="283"/>
        <w:jc w:val="both"/>
        <w:rPr>
          <w:rFonts w:ascii="Times New Roman" w:hAnsi="Times New Roman" w:cs="Times New Roman"/>
          <w:noProof/>
          <w:sz w:val="24"/>
          <w:szCs w:val="24"/>
        </w:rPr>
      </w:pPr>
      <w:r>
        <w:rPr>
          <w:rFonts w:ascii="Times New Roman" w:hAnsi="Times New Roman"/>
          <w:noProof/>
          <w:sz w:val="24"/>
        </w:rPr>
        <w:lastRenderedPageBreak/>
        <w:t>–</w:t>
      </w:r>
      <w:r>
        <w:rPr>
          <w:noProof/>
        </w:rPr>
        <w:tab/>
      </w:r>
      <w:r>
        <w:rPr>
          <w:rFonts w:ascii="Times New Roman" w:hAnsi="Times New Roman"/>
          <w:b/>
          <w:noProof/>
          <w:sz w:val="24"/>
        </w:rPr>
        <w:t>Miestų tinklai</w:t>
      </w:r>
      <w:r>
        <w:rPr>
          <w:rFonts w:ascii="Times New Roman" w:hAnsi="Times New Roman"/>
          <w:noProof/>
          <w:sz w:val="24"/>
        </w:rPr>
        <w:t>. Dirbdamos kartu ir spręsdamos bendrus klausimus savivaldybės, regionai ir asociacijos ilgainiui gali sukurti tinklus ir pasiekti, kad jų bendradarbiavimas taptų tvaresnis ir kad būtų keičiamasi gerąja patirtimi. Miestų tinklai organizuoja veiklą bendrai dominančiomis temomis, susijusiomis su programų tikslais, arba veiklą, susijusią su daugiamečiais prioritetais.</w:t>
      </w:r>
    </w:p>
    <w:p>
      <w:pPr>
        <w:spacing w:line="240" w:lineRule="auto"/>
        <w:ind w:left="283"/>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b/>
          <w:noProof/>
          <w:sz w:val="24"/>
        </w:rPr>
        <w:t>Pilietinės visuomenės projektai</w:t>
      </w:r>
      <w:r>
        <w:rPr>
          <w:rFonts w:ascii="Times New Roman" w:hAnsi="Times New Roman"/>
          <w:noProof/>
          <w:sz w:val="24"/>
        </w:rPr>
        <w:t>. Įgyvendinant šią priemonę teikiamos dotacijos tarpvalstybinės partnerystės ir tinklų projektams, į kuriuos tiesiogiai įtraukti piliečiai. Šiais projektais įvairios padėties piliečiai sutelkiami veiklai, kuria teikiama galimybių dalyvauti formuojant ES politinę darbotvarkę. Įgyvendinant šiuos projektus piliečiai kviečiami bendradarbiauti vietos ir Europos lygmenimis nustatant daugiametes prioritetines temas arba diskutuoti tomis temomis.</w:t>
      </w:r>
    </w:p>
    <w:p>
      <w:pPr>
        <w:numPr>
          <w:ilvl w:val="0"/>
          <w:numId w:val="2"/>
        </w:numPr>
        <w:spacing w:after="0" w:line="240" w:lineRule="auto"/>
        <w:contextualSpacing/>
        <w:jc w:val="both"/>
        <w:rPr>
          <w:rFonts w:ascii="Times New Roman" w:hAnsi="Times New Roman" w:cs="Times New Roman"/>
          <w:i/>
          <w:noProof/>
          <w:sz w:val="24"/>
          <w:szCs w:val="24"/>
        </w:rPr>
      </w:pPr>
      <w:r>
        <w:rPr>
          <w:rFonts w:ascii="Times New Roman" w:hAnsi="Times New Roman"/>
          <w:i/>
          <w:noProof/>
          <w:sz w:val="24"/>
        </w:rPr>
        <w:t xml:space="preserve"> Horizontalieji veiksmai. Rezultatų panaudojimas</w:t>
      </w:r>
    </w:p>
    <w:p>
      <w:pPr>
        <w:spacing w:after="0" w:line="240" w:lineRule="auto"/>
        <w:ind w:left="720"/>
        <w:contextualSpacing/>
        <w:jc w:val="both"/>
        <w:rPr>
          <w:rFonts w:ascii="Times New Roman" w:hAnsi="Times New Roman" w:cs="Times New Roman"/>
          <w:i/>
          <w:noProof/>
          <w:sz w:val="24"/>
          <w:szCs w:val="24"/>
        </w:rPr>
      </w:pPr>
    </w:p>
    <w:p>
      <w:pPr>
        <w:spacing w:after="0" w:line="240" w:lineRule="auto"/>
        <w:ind w:left="360"/>
        <w:jc w:val="both"/>
        <w:rPr>
          <w:rFonts w:ascii="Times New Roman" w:hAnsi="Times New Roman" w:cs="Times New Roman"/>
          <w:noProof/>
          <w:sz w:val="24"/>
          <w:szCs w:val="24"/>
        </w:rPr>
      </w:pPr>
      <w:r>
        <w:rPr>
          <w:rFonts w:ascii="Times New Roman" w:hAnsi="Times New Roman"/>
          <w:noProof/>
          <w:sz w:val="24"/>
        </w:rPr>
        <w:t>Ši priemonė apima komunikacijos veiklą, tyrimus, programos rezultatų sklaidą, taip pat paramą programos „Europa piliečiams“ informaciniams punktams, įsteigtiems valstybėse narėse ir dalyvaujančiose šalyse. Programos „Europa piliečiams“ informaciniuose punktuose paraiškų teikėjams teikiami patarimai, padedama ieškoti partnerių ir skleisti programos informaciją.</w:t>
      </w:r>
    </w:p>
    <w:p>
      <w:pPr>
        <w:spacing w:after="0" w:line="240" w:lineRule="auto"/>
        <w:jc w:val="both"/>
        <w:rPr>
          <w:rFonts w:ascii="Times New Roman" w:hAnsi="Times New Roman" w:cs="Times New Roman"/>
          <w:noProof/>
          <w:sz w:val="24"/>
          <w:szCs w:val="24"/>
        </w:rPr>
      </w:pP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2.2.</w:t>
      </w:r>
      <w:r>
        <w:rPr>
          <w:noProof/>
        </w:rPr>
        <w:tab/>
      </w:r>
      <w:r>
        <w:rPr>
          <w:rFonts w:ascii="Times New Roman" w:hAnsi="Times New Roman"/>
          <w:b/>
          <w:noProof/>
          <w:sz w:val="24"/>
        </w:rPr>
        <w:t>Biudžetas</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Bendras 2014–2020 m. laikotarpio programos biudžetas yra 187 718 000 EUR</w:t>
      </w:r>
      <w:r>
        <w:rPr>
          <w:rStyle w:val="FootnoteReference"/>
          <w:rFonts w:ascii="Times New Roman" w:hAnsi="Times New Roman"/>
          <w:noProof/>
          <w:sz w:val="24"/>
        </w:rPr>
        <w:footnoteReference w:id="6"/>
      </w:r>
      <w:r>
        <w:rPr>
          <w:rFonts w:ascii="Times New Roman" w:hAnsi="Times New Roman"/>
          <w:noProof/>
          <w:sz w:val="24"/>
        </w:rPr>
        <w:t xml:space="preserve">. Programai įgyvendinti per šį ataskaitinį laikotarpį buvo panaudotos visos įsipareigojimams ir mokėjimams skirtos lėšos. Programos kryptims ir veiklai lėšos paskirstytos taip: </w:t>
      </w:r>
    </w:p>
    <w:p>
      <w:pPr>
        <w:pStyle w:val="ListParagraph"/>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9,46 mln. EUR skirta projektams „Europos atminimas“; </w:t>
      </w:r>
    </w:p>
    <w:p>
      <w:pPr>
        <w:pStyle w:val="ListParagraph"/>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12,21 mln. EUR – miestų partnerystės projektams;</w:t>
      </w:r>
    </w:p>
    <w:p>
      <w:pPr>
        <w:pStyle w:val="ListParagraph"/>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12,71 mln. EUR – miestų tinklų projektams;</w:t>
      </w:r>
    </w:p>
    <w:p>
      <w:pPr>
        <w:pStyle w:val="ListParagraph"/>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10,32 mln. EUR – pilietinės visuomenės projektams. </w:t>
      </w:r>
    </w:p>
    <w:p>
      <w:pPr>
        <w:pStyle w:val="ListParagraph"/>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Organizacijoms, susijusioms su kryptimi „Europos atminimas“, iš viso skirta 3,64 mln. EUR struktūrinė parama. </w:t>
      </w:r>
    </w:p>
    <w:p>
      <w:pPr>
        <w:pStyle w:val="ListParagraph"/>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Analitikų grupėms ir Europos pilietinės visuomenės organizacijoms, veiklą vykdančioms piliečių dalyvavimo srityje, iš viso skirta 16,65 mln. EUR. </w:t>
      </w:r>
    </w:p>
    <w:p>
      <w:pPr>
        <w:pStyle w:val="ListParagraph"/>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Pagal šią programą 2,8 mln. EUR skirta ir horizontaliajai veiklai, įskaitant pastangas kuo geriau panaudoti programos rezultatus, finansuoti. </w:t>
      </w:r>
    </w:p>
    <w:p>
      <w:pPr>
        <w:spacing w:before="120" w:after="120" w:line="240" w:lineRule="auto"/>
        <w:jc w:val="center"/>
        <w:rPr>
          <w:rFonts w:ascii="Times New Roman" w:eastAsia="Times New Roman" w:hAnsi="Times New Roman" w:cs="Times New Roman"/>
          <w:noProof/>
          <w:sz w:val="20"/>
          <w:szCs w:val="20"/>
        </w:rPr>
      </w:pPr>
      <w:r>
        <w:rPr>
          <w:rFonts w:ascii="Times New Roman" w:hAnsi="Times New Roman"/>
          <w:i/>
          <w:noProof/>
          <w:sz w:val="20"/>
        </w:rPr>
        <w:t>1 lentelė. 2014–2016 m. programos metinės išlaidos</w:t>
      </w:r>
    </w:p>
    <w:tbl>
      <w:tblPr>
        <w:tblStyle w:val="TableGrid"/>
        <w:tblW w:w="5000" w:type="pct"/>
        <w:tblLook w:val="04A0" w:firstRow="1" w:lastRow="0" w:firstColumn="1" w:lastColumn="0" w:noHBand="0" w:noVBand="1"/>
      </w:tblPr>
      <w:tblGrid>
        <w:gridCol w:w="4585"/>
        <w:gridCol w:w="4704"/>
      </w:tblGrid>
      <w:tr>
        <w:tc>
          <w:tcPr>
            <w:tcW w:w="2468" w:type="pct"/>
            <w:shd w:val="clear" w:color="auto" w:fill="DBE5F1" w:themeFill="accent1" w:themeFillTint="33"/>
          </w:tcPr>
          <w:p>
            <w:pPr>
              <w:spacing w:before="60" w:after="60"/>
              <w:jc w:val="both"/>
              <w:rPr>
                <w:b/>
                <w:noProof/>
                <w:sz w:val="24"/>
                <w:szCs w:val="24"/>
              </w:rPr>
            </w:pPr>
            <w:r>
              <w:rPr>
                <w:b/>
                <w:noProof/>
                <w:sz w:val="24"/>
              </w:rPr>
              <w:t xml:space="preserve">Metai </w:t>
            </w:r>
          </w:p>
        </w:tc>
        <w:tc>
          <w:tcPr>
            <w:tcW w:w="2532" w:type="pct"/>
            <w:shd w:val="clear" w:color="auto" w:fill="DBE5F1" w:themeFill="accent1" w:themeFillTint="33"/>
          </w:tcPr>
          <w:p>
            <w:pPr>
              <w:spacing w:before="60" w:after="60"/>
              <w:jc w:val="both"/>
              <w:rPr>
                <w:b/>
                <w:noProof/>
                <w:sz w:val="24"/>
                <w:szCs w:val="24"/>
              </w:rPr>
            </w:pPr>
            <w:r>
              <w:rPr>
                <w:b/>
                <w:noProof/>
                <w:sz w:val="24"/>
              </w:rPr>
              <w:t>Išleista suma (EUR)</w:t>
            </w:r>
          </w:p>
        </w:tc>
      </w:tr>
      <w:tr>
        <w:tc>
          <w:tcPr>
            <w:tcW w:w="2468" w:type="pct"/>
          </w:tcPr>
          <w:p>
            <w:pPr>
              <w:spacing w:before="60" w:after="60"/>
              <w:jc w:val="both"/>
              <w:rPr>
                <w:noProof/>
                <w:sz w:val="24"/>
                <w:szCs w:val="24"/>
              </w:rPr>
            </w:pPr>
            <w:r>
              <w:rPr>
                <w:noProof/>
                <w:sz w:val="24"/>
              </w:rPr>
              <w:t>2014</w:t>
            </w:r>
          </w:p>
        </w:tc>
        <w:tc>
          <w:tcPr>
            <w:tcW w:w="2532" w:type="pct"/>
          </w:tcPr>
          <w:p>
            <w:pPr>
              <w:spacing w:before="60" w:after="60"/>
              <w:jc w:val="both"/>
              <w:rPr>
                <w:noProof/>
                <w:sz w:val="24"/>
                <w:szCs w:val="24"/>
              </w:rPr>
            </w:pPr>
            <w:r>
              <w:rPr>
                <w:noProof/>
                <w:sz w:val="24"/>
              </w:rPr>
              <w:t xml:space="preserve"> 22 688 003</w:t>
            </w:r>
          </w:p>
        </w:tc>
      </w:tr>
      <w:tr>
        <w:tc>
          <w:tcPr>
            <w:tcW w:w="2468" w:type="pct"/>
          </w:tcPr>
          <w:p>
            <w:pPr>
              <w:spacing w:before="60" w:after="60"/>
              <w:jc w:val="both"/>
              <w:rPr>
                <w:noProof/>
                <w:sz w:val="24"/>
                <w:szCs w:val="24"/>
              </w:rPr>
            </w:pPr>
            <w:r>
              <w:rPr>
                <w:noProof/>
                <w:sz w:val="24"/>
              </w:rPr>
              <w:t>2015</w:t>
            </w:r>
          </w:p>
        </w:tc>
        <w:tc>
          <w:tcPr>
            <w:tcW w:w="2532" w:type="pct"/>
          </w:tcPr>
          <w:p>
            <w:pPr>
              <w:spacing w:before="60" w:after="60"/>
              <w:jc w:val="both"/>
              <w:rPr>
                <w:noProof/>
                <w:sz w:val="24"/>
                <w:szCs w:val="24"/>
              </w:rPr>
            </w:pPr>
            <w:r>
              <w:rPr>
                <w:noProof/>
                <w:sz w:val="24"/>
              </w:rPr>
              <w:t xml:space="preserve"> 22 352 785</w:t>
            </w:r>
          </w:p>
        </w:tc>
      </w:tr>
      <w:tr>
        <w:tc>
          <w:tcPr>
            <w:tcW w:w="2468" w:type="pct"/>
            <w:tcBorders>
              <w:bottom w:val="single" w:sz="4" w:space="0" w:color="auto"/>
            </w:tcBorders>
          </w:tcPr>
          <w:p>
            <w:pPr>
              <w:spacing w:before="60" w:after="60"/>
              <w:jc w:val="both"/>
              <w:rPr>
                <w:noProof/>
                <w:sz w:val="24"/>
                <w:szCs w:val="24"/>
              </w:rPr>
            </w:pPr>
            <w:r>
              <w:rPr>
                <w:noProof/>
                <w:sz w:val="24"/>
              </w:rPr>
              <w:t>2016</w:t>
            </w:r>
          </w:p>
        </w:tc>
        <w:tc>
          <w:tcPr>
            <w:tcW w:w="2532" w:type="pct"/>
            <w:tcBorders>
              <w:bottom w:val="single" w:sz="4" w:space="0" w:color="auto"/>
            </w:tcBorders>
          </w:tcPr>
          <w:p>
            <w:pPr>
              <w:spacing w:before="60" w:after="60"/>
              <w:jc w:val="both"/>
              <w:rPr>
                <w:noProof/>
                <w:sz w:val="24"/>
                <w:szCs w:val="24"/>
              </w:rPr>
            </w:pPr>
            <w:r>
              <w:rPr>
                <w:noProof/>
                <w:sz w:val="24"/>
              </w:rPr>
              <w:t xml:space="preserve"> 22 765 895</w:t>
            </w:r>
          </w:p>
        </w:tc>
      </w:tr>
      <w:tr>
        <w:tc>
          <w:tcPr>
            <w:tcW w:w="2468" w:type="pct"/>
            <w:shd w:val="clear" w:color="auto" w:fill="B8CCE4" w:themeFill="accent1" w:themeFillTint="66"/>
          </w:tcPr>
          <w:p>
            <w:pPr>
              <w:spacing w:before="120" w:after="60"/>
              <w:jc w:val="both"/>
              <w:rPr>
                <w:b/>
                <w:noProof/>
                <w:sz w:val="24"/>
                <w:szCs w:val="24"/>
              </w:rPr>
            </w:pPr>
            <w:r>
              <w:rPr>
                <w:b/>
                <w:noProof/>
                <w:sz w:val="24"/>
              </w:rPr>
              <w:t>Iš viso 2014–2016 m.</w:t>
            </w:r>
          </w:p>
        </w:tc>
        <w:tc>
          <w:tcPr>
            <w:tcW w:w="2532" w:type="pct"/>
            <w:shd w:val="clear" w:color="auto" w:fill="B8CCE4" w:themeFill="accent1" w:themeFillTint="66"/>
          </w:tcPr>
          <w:p>
            <w:pPr>
              <w:spacing w:before="120" w:after="60"/>
              <w:jc w:val="both"/>
              <w:rPr>
                <w:noProof/>
                <w:sz w:val="24"/>
                <w:szCs w:val="24"/>
              </w:rPr>
            </w:pPr>
            <w:r>
              <w:rPr>
                <w:b/>
                <w:noProof/>
                <w:sz w:val="24"/>
              </w:rPr>
              <w:t xml:space="preserve"> 67 806 683</w:t>
            </w:r>
          </w:p>
        </w:tc>
      </w:tr>
    </w:tbl>
    <w:p>
      <w:pPr>
        <w:spacing w:before="120"/>
        <w:jc w:val="center"/>
        <w:rPr>
          <w:rFonts w:ascii="Times New Roman" w:eastAsia="Times New Roman" w:hAnsi="Times New Roman" w:cs="Times New Roman"/>
          <w:i/>
          <w:noProof/>
          <w:sz w:val="20"/>
          <w:szCs w:val="20"/>
        </w:rPr>
      </w:pPr>
      <w:r>
        <w:rPr>
          <w:rFonts w:ascii="Times New Roman" w:hAnsi="Times New Roman"/>
          <w:i/>
          <w:noProof/>
          <w:sz w:val="20"/>
        </w:rPr>
        <w:t>Šaltinis – Europos Komisijos 2014, 2015 ir 2016 m. programos veiklos metinės ataskaitos.</w:t>
      </w:r>
    </w:p>
    <w:p>
      <w:pPr>
        <w:jc w:val="center"/>
        <w:rPr>
          <w:rFonts w:ascii="Times New Roman" w:eastAsia="Times New Roman" w:hAnsi="Times New Roman" w:cs="Times New Roman"/>
          <w:i/>
          <w:noProof/>
          <w:sz w:val="20"/>
          <w:szCs w:val="20"/>
        </w:rPr>
      </w:pPr>
    </w:p>
    <w:p>
      <w:pPr>
        <w:spacing w:before="120"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2.3.</w:t>
      </w:r>
      <w:r>
        <w:rPr>
          <w:noProof/>
        </w:rPr>
        <w:tab/>
      </w:r>
      <w:r>
        <w:rPr>
          <w:rFonts w:ascii="Times New Roman" w:hAnsi="Times New Roman"/>
          <w:b/>
          <w:noProof/>
          <w:sz w:val="24"/>
        </w:rPr>
        <w:t>Gautos paraiškos ir atrinkti projektai</w:t>
      </w:r>
    </w:p>
    <w:p>
      <w:pPr>
        <w:spacing w:before="120" w:after="120" w:line="240" w:lineRule="auto"/>
        <w:jc w:val="both"/>
        <w:rPr>
          <w:rFonts w:ascii="Times New Roman" w:eastAsia="Calibri" w:hAnsi="Times New Roman" w:cs="Times New Roman"/>
          <w:noProof/>
          <w:sz w:val="24"/>
          <w:szCs w:val="24"/>
        </w:rPr>
      </w:pPr>
      <w:bookmarkStart w:id="2" w:name="_Toc491182727"/>
      <w:r>
        <w:rPr>
          <w:rFonts w:ascii="Times New Roman" w:hAnsi="Times New Roman"/>
          <w:noProof/>
          <w:sz w:val="24"/>
        </w:rPr>
        <w:t>2014–2016 m. pateikta daugiau kaip 7 000 dotacijų paraiškų. Palyginti su ankstesne programa, dotacijos skirtos mažesniam skaičiui projektų</w:t>
      </w:r>
      <w:r>
        <w:rPr>
          <w:rStyle w:val="FootnoteReference"/>
          <w:rFonts w:ascii="Times New Roman" w:hAnsi="Times New Roman"/>
          <w:noProof/>
          <w:sz w:val="24"/>
        </w:rPr>
        <w:footnoteReference w:id="7"/>
      </w:r>
      <w:r>
        <w:rPr>
          <w:rFonts w:ascii="Times New Roman" w:hAnsi="Times New Roman"/>
          <w:noProof/>
          <w:sz w:val="24"/>
        </w:rPr>
        <w:t>.</w:t>
      </w:r>
      <w:r>
        <w:rPr>
          <w:noProof/>
        </w:rPr>
        <w:t xml:space="preserve"> </w:t>
      </w:r>
      <w:r>
        <w:rPr>
          <w:rFonts w:ascii="Times New Roman" w:hAnsi="Times New Roman"/>
          <w:noProof/>
          <w:sz w:val="24"/>
        </w:rPr>
        <w:t>Tai iš dalies galima paaiškinti tuo, kad dotacijas gavę projektai buvo didesni ir projektuose buvo daugiau dalyvių.</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Vidutiniškai, finansuota mažiau nei 10 proc. 2014–2016 m. pateiktų projektų, išskyrus miestų partnerių projektus. 2016 m. finansuota 8 proc. atminimo projektų, 22 proc. miestų partnerystės projektų, 9 proc. miestų tinklų ir 5 proc. pilietinės visuomenės projektų</w:t>
      </w:r>
      <w:r>
        <w:rPr>
          <w:rStyle w:val="FootnoteReference"/>
          <w:noProof/>
        </w:rPr>
        <w:footnoteReference w:id="8"/>
      </w:r>
      <w:r>
        <w:rPr>
          <w:rFonts w:ascii="Times New Roman" w:hAnsi="Times New Roman"/>
          <w:noProof/>
          <w:sz w:val="24"/>
        </w:rPr>
        <w:t>. Iš to, kad teikiama daug dotacijų paraiškų, matyti, jog reikėtų papildomo finansavimo, taip pat finansavimo tolesniems veiksmams ir sklaidai. Daug projektų, nors ir teigiamai įvertinti – jais buvo galima užtikrinti platesnį programos poveikį, – negalėjo būti finansuoti dėl riboto biudžeto. Suinteresuotieji subjektai pabrėžė, kad dėl tokios padėties dalyviai gali nuspręsti ateityje neteikti paraiškų. Savo 2017 m. kovo mėn. pranešime dėl programos įgyvendinimo 2014–2020 m. laikotarpiu</w:t>
      </w:r>
      <w:r>
        <w:rPr>
          <w:rStyle w:val="FootnoteReference"/>
          <w:rFonts w:ascii="Times New Roman" w:hAnsi="Times New Roman"/>
          <w:noProof/>
          <w:sz w:val="24"/>
        </w:rPr>
        <w:footnoteReference w:id="9"/>
      </w:r>
      <w:r>
        <w:rPr>
          <w:rFonts w:ascii="Times New Roman" w:hAnsi="Times New Roman"/>
          <w:noProof/>
          <w:sz w:val="24"/>
        </w:rPr>
        <w:t xml:space="preserve"> Europos Parlamentas Tarybą ir Komisiją paragino apsvarstyti galimybę kito laikotarpio programai pagal būsimą daugiametę finansinę programą skirti bendrą maždaug 500 mln. EUR biudžetą</w:t>
      </w:r>
      <w:r>
        <w:rPr>
          <w:rStyle w:val="FootnoteReference"/>
          <w:rFonts w:ascii="Times New Roman" w:hAnsi="Times New Roman"/>
          <w:noProof/>
          <w:sz w:val="24"/>
        </w:rPr>
        <w:footnoteReference w:id="10"/>
      </w:r>
      <w:r>
        <w:rPr>
          <w:rFonts w:ascii="Times New Roman" w:hAnsi="Times New Roman"/>
          <w:noProof/>
          <w:sz w:val="24"/>
        </w:rPr>
        <w:t>. Europos ekonomikos ir socialinių reikalų komitetas taip pat priėjo prie panašios išvados 2017 m. spalio mėn. priimtoje nuomonėje „Pilietinės visuomenės organizacijų finansavimas“</w:t>
      </w:r>
      <w:r>
        <w:rPr>
          <w:rStyle w:val="FootnoteReference"/>
          <w:rFonts w:ascii="Times New Roman" w:hAnsi="Times New Roman"/>
          <w:noProof/>
          <w:sz w:val="24"/>
        </w:rPr>
        <w:footnoteReference w:id="11"/>
      </w:r>
      <w:r>
        <w:rPr>
          <w:rFonts w:ascii="Times New Roman" w:hAnsi="Times New Roman"/>
          <w:noProof/>
          <w:sz w:val="24"/>
        </w:rPr>
        <w:t>.</w:t>
      </w:r>
    </w:p>
    <w:p>
      <w:pPr>
        <w:pStyle w:val="Header"/>
        <w:tabs>
          <w:tab w:val="clear" w:pos="4535"/>
          <w:tab w:val="clear" w:pos="9071"/>
        </w:tabs>
        <w:spacing w:before="120"/>
        <w:rPr>
          <w:rFonts w:eastAsia="Times New Roman"/>
          <w:noProof/>
          <w:szCs w:val="24"/>
        </w:rPr>
      </w:pPr>
    </w:p>
    <w:p>
      <w:pPr>
        <w:pStyle w:val="Caption"/>
        <w:keepNext/>
        <w:rPr>
          <w:rFonts w:ascii="Times New Roman" w:hAnsi="Times New Roman"/>
          <w:noProof/>
          <w:color w:val="auto"/>
        </w:rPr>
      </w:pPr>
      <w:r>
        <w:rPr>
          <w:rFonts w:ascii="Times New Roman" w:hAnsi="Times New Roman"/>
          <w:noProof/>
          <w:color w:val="auto"/>
        </w:rPr>
        <w:t>Lentelė 2. Finansuotų projektų ir skirtų dotacijų skaičius, palyginti su gautų paraiškų skaičiumi</w:t>
      </w:r>
      <w:r>
        <w:rPr>
          <w:rStyle w:val="FootnoteReference"/>
          <w:rFonts w:ascii="Times New Roman" w:hAnsi="Times New Roman"/>
          <w:noProof/>
          <w:color w:val="auto"/>
        </w:rPr>
        <w:footnoteReference w:id="12"/>
      </w:r>
      <w:bookmarkEnd w:id="2"/>
    </w:p>
    <w:tbl>
      <w:tblPr>
        <w:tblW w:w="10137" w:type="dxa"/>
        <w:tblInd w:w="93" w:type="dxa"/>
        <w:tblLook w:val="04A0" w:firstRow="1" w:lastRow="0" w:firstColumn="1" w:lastColumn="0" w:noHBand="0" w:noVBand="1"/>
      </w:tblPr>
      <w:tblGrid>
        <w:gridCol w:w="897"/>
        <w:gridCol w:w="1184"/>
        <w:gridCol w:w="769"/>
        <w:gridCol w:w="98"/>
        <w:gridCol w:w="865"/>
        <w:gridCol w:w="886"/>
        <w:gridCol w:w="867"/>
        <w:gridCol w:w="865"/>
        <w:gridCol w:w="987"/>
        <w:gridCol w:w="867"/>
        <w:gridCol w:w="865"/>
        <w:gridCol w:w="987"/>
      </w:tblGrid>
      <w:tr>
        <w:trPr>
          <w:trHeight w:val="702"/>
        </w:trPr>
        <w:tc>
          <w:tcPr>
            <w:tcW w:w="897" w:type="dxa"/>
            <w:tcBorders>
              <w:top w:val="single" w:sz="8" w:space="0" w:color="auto"/>
              <w:left w:val="single" w:sz="8" w:space="0" w:color="auto"/>
              <w:bottom w:val="single" w:sz="8" w:space="0" w:color="auto"/>
              <w:right w:val="nil"/>
            </w:tcBorders>
            <w:shd w:val="clear" w:color="000000" w:fill="000000"/>
            <w:vAlign w:val="center"/>
            <w:hideMark/>
          </w:tcPr>
          <w:p>
            <w:pPr>
              <w:spacing w:after="0" w:line="240" w:lineRule="auto"/>
              <w:jc w:val="center"/>
              <w:rPr>
                <w:rFonts w:ascii="Calibri" w:eastAsia="Times New Roman" w:hAnsi="Calibri" w:cs="Times New Roman"/>
                <w:b/>
                <w:bCs/>
                <w:noProof/>
                <w:color w:val="FFFFFF"/>
                <w:sz w:val="14"/>
                <w:szCs w:val="14"/>
              </w:rPr>
            </w:pPr>
            <w:r>
              <w:rPr>
                <w:rFonts w:ascii="Calibri" w:hAnsi="Calibri"/>
                <w:b/>
                <w:noProof/>
                <w:color w:val="FFFFFF"/>
                <w:sz w:val="14"/>
                <w:szCs w:val="14"/>
              </w:rPr>
              <w:t>Kryptis</w:t>
            </w:r>
          </w:p>
        </w:tc>
        <w:tc>
          <w:tcPr>
            <w:tcW w:w="1184" w:type="dxa"/>
            <w:tcBorders>
              <w:top w:val="single" w:sz="8" w:space="0" w:color="auto"/>
              <w:left w:val="single" w:sz="8" w:space="0" w:color="auto"/>
              <w:bottom w:val="single" w:sz="8" w:space="0" w:color="auto"/>
              <w:right w:val="single" w:sz="8" w:space="0" w:color="auto"/>
            </w:tcBorders>
            <w:shd w:val="clear" w:color="000000" w:fill="000000"/>
            <w:vAlign w:val="center"/>
            <w:hideMark/>
          </w:tcPr>
          <w:p>
            <w:pPr>
              <w:spacing w:after="0" w:line="240" w:lineRule="auto"/>
              <w:jc w:val="center"/>
              <w:rPr>
                <w:rFonts w:ascii="Calibri" w:eastAsia="Times New Roman" w:hAnsi="Calibri" w:cs="Times New Roman"/>
                <w:b/>
                <w:bCs/>
                <w:noProof/>
                <w:color w:val="FFFFFF"/>
                <w:sz w:val="14"/>
                <w:szCs w:val="14"/>
              </w:rPr>
            </w:pPr>
            <w:r>
              <w:rPr>
                <w:rFonts w:ascii="Calibri" w:hAnsi="Calibri"/>
                <w:b/>
                <w:noProof/>
                <w:color w:val="FFFFFF"/>
                <w:sz w:val="14"/>
                <w:szCs w:val="14"/>
              </w:rPr>
              <w:t>Dotacijos rūšis</w:t>
            </w:r>
          </w:p>
        </w:tc>
        <w:tc>
          <w:tcPr>
            <w:tcW w:w="769" w:type="dxa"/>
            <w:tcBorders>
              <w:top w:val="single" w:sz="8" w:space="0" w:color="auto"/>
              <w:left w:val="nil"/>
              <w:bottom w:val="single" w:sz="8" w:space="0" w:color="auto"/>
              <w:right w:val="single" w:sz="8" w:space="0" w:color="auto"/>
            </w:tcBorders>
            <w:shd w:val="clear" w:color="000000" w:fill="000000"/>
            <w:vAlign w:val="center"/>
            <w:hideMark/>
          </w:tcPr>
          <w:p>
            <w:pPr>
              <w:spacing w:after="0" w:line="240" w:lineRule="auto"/>
              <w:jc w:val="center"/>
              <w:rPr>
                <w:rFonts w:ascii="Calibri" w:eastAsia="Times New Roman" w:hAnsi="Calibri" w:cs="Times New Roman"/>
                <w:b/>
                <w:bCs/>
                <w:noProof/>
                <w:color w:val="FFFFFF"/>
                <w:sz w:val="14"/>
                <w:szCs w:val="14"/>
              </w:rPr>
            </w:pPr>
            <w:r>
              <w:rPr>
                <w:rFonts w:ascii="Calibri" w:hAnsi="Calibri"/>
                <w:b/>
                <w:noProof/>
                <w:color w:val="FFFFFF"/>
                <w:sz w:val="14"/>
                <w:szCs w:val="14"/>
              </w:rPr>
              <w:t>Gautų paraiškų skaičius</w:t>
            </w:r>
          </w:p>
        </w:tc>
        <w:tc>
          <w:tcPr>
            <w:tcW w:w="963" w:type="dxa"/>
            <w:gridSpan w:val="2"/>
            <w:tcBorders>
              <w:top w:val="single" w:sz="8" w:space="0" w:color="auto"/>
              <w:left w:val="nil"/>
              <w:bottom w:val="single" w:sz="8" w:space="0" w:color="auto"/>
              <w:right w:val="single" w:sz="8" w:space="0" w:color="auto"/>
            </w:tcBorders>
            <w:shd w:val="clear" w:color="000000" w:fill="000000"/>
            <w:vAlign w:val="center"/>
            <w:hideMark/>
          </w:tcPr>
          <w:p>
            <w:pPr>
              <w:spacing w:after="0" w:line="240" w:lineRule="auto"/>
              <w:jc w:val="center"/>
              <w:rPr>
                <w:rFonts w:ascii="Calibri" w:eastAsia="Times New Roman" w:hAnsi="Calibri" w:cs="Times New Roman"/>
                <w:b/>
                <w:bCs/>
                <w:noProof/>
                <w:color w:val="FFFFFF"/>
                <w:sz w:val="14"/>
                <w:szCs w:val="14"/>
              </w:rPr>
            </w:pPr>
            <w:r>
              <w:rPr>
                <w:rFonts w:ascii="Calibri" w:hAnsi="Calibri"/>
                <w:b/>
                <w:noProof/>
                <w:color w:val="FFFFFF"/>
                <w:sz w:val="14"/>
                <w:szCs w:val="14"/>
              </w:rPr>
              <w:t>Atrinktų projektų skaičius</w:t>
            </w:r>
          </w:p>
        </w:tc>
        <w:tc>
          <w:tcPr>
            <w:tcW w:w="886" w:type="dxa"/>
            <w:tcBorders>
              <w:top w:val="single" w:sz="8" w:space="0" w:color="auto"/>
              <w:left w:val="nil"/>
              <w:bottom w:val="single" w:sz="8" w:space="0" w:color="auto"/>
              <w:right w:val="single" w:sz="8" w:space="0" w:color="auto"/>
            </w:tcBorders>
            <w:shd w:val="clear" w:color="000000" w:fill="000000"/>
            <w:vAlign w:val="center"/>
            <w:hideMark/>
          </w:tcPr>
          <w:p>
            <w:pPr>
              <w:spacing w:after="0" w:line="240" w:lineRule="auto"/>
              <w:jc w:val="center"/>
              <w:rPr>
                <w:rFonts w:ascii="Calibri" w:eastAsia="Times New Roman" w:hAnsi="Calibri" w:cs="Times New Roman"/>
                <w:b/>
                <w:bCs/>
                <w:noProof/>
                <w:color w:val="FFFFFF"/>
                <w:sz w:val="14"/>
                <w:szCs w:val="14"/>
              </w:rPr>
            </w:pPr>
            <w:r>
              <w:rPr>
                <w:rFonts w:ascii="Calibri" w:hAnsi="Calibri"/>
                <w:b/>
                <w:noProof/>
                <w:color w:val="FFFFFF"/>
                <w:sz w:val="14"/>
                <w:szCs w:val="14"/>
              </w:rPr>
              <w:t>Atrinktų projektų procentinė dalis</w:t>
            </w:r>
          </w:p>
        </w:tc>
        <w:tc>
          <w:tcPr>
            <w:tcW w:w="867" w:type="dxa"/>
            <w:tcBorders>
              <w:top w:val="single" w:sz="8" w:space="0" w:color="auto"/>
              <w:left w:val="nil"/>
              <w:bottom w:val="single" w:sz="8" w:space="0" w:color="auto"/>
              <w:right w:val="single" w:sz="8" w:space="0" w:color="auto"/>
            </w:tcBorders>
            <w:shd w:val="clear" w:color="000000" w:fill="000000"/>
            <w:vAlign w:val="center"/>
            <w:hideMark/>
          </w:tcPr>
          <w:p>
            <w:pPr>
              <w:spacing w:after="0" w:line="240" w:lineRule="auto"/>
              <w:jc w:val="center"/>
              <w:rPr>
                <w:rFonts w:ascii="Calibri" w:eastAsia="Times New Roman" w:hAnsi="Calibri" w:cs="Times New Roman"/>
                <w:b/>
                <w:bCs/>
                <w:noProof/>
                <w:color w:val="FFFFFF"/>
                <w:sz w:val="14"/>
                <w:szCs w:val="14"/>
              </w:rPr>
            </w:pPr>
            <w:r>
              <w:rPr>
                <w:rFonts w:ascii="Calibri" w:hAnsi="Calibri"/>
                <w:b/>
                <w:noProof/>
                <w:color w:val="FFFFFF"/>
                <w:sz w:val="14"/>
                <w:szCs w:val="14"/>
              </w:rPr>
              <w:t>Gautų paraiškų skaičius</w:t>
            </w:r>
          </w:p>
        </w:tc>
        <w:tc>
          <w:tcPr>
            <w:tcW w:w="865" w:type="dxa"/>
            <w:tcBorders>
              <w:top w:val="single" w:sz="8" w:space="0" w:color="auto"/>
              <w:left w:val="nil"/>
              <w:bottom w:val="single" w:sz="8" w:space="0" w:color="auto"/>
              <w:right w:val="single" w:sz="8" w:space="0" w:color="auto"/>
            </w:tcBorders>
            <w:shd w:val="clear" w:color="000000" w:fill="000000"/>
            <w:vAlign w:val="center"/>
            <w:hideMark/>
          </w:tcPr>
          <w:p>
            <w:pPr>
              <w:spacing w:after="0" w:line="240" w:lineRule="auto"/>
              <w:jc w:val="center"/>
              <w:rPr>
                <w:rFonts w:ascii="Calibri" w:eastAsia="Times New Roman" w:hAnsi="Calibri" w:cs="Times New Roman"/>
                <w:b/>
                <w:bCs/>
                <w:noProof/>
                <w:color w:val="FFFFFF"/>
                <w:sz w:val="14"/>
                <w:szCs w:val="14"/>
              </w:rPr>
            </w:pPr>
            <w:r>
              <w:rPr>
                <w:rFonts w:ascii="Calibri" w:hAnsi="Calibri"/>
                <w:b/>
                <w:noProof/>
                <w:color w:val="FFFFFF"/>
                <w:sz w:val="14"/>
                <w:szCs w:val="14"/>
              </w:rPr>
              <w:t>Atrinktų projektų skaičius</w:t>
            </w:r>
          </w:p>
        </w:tc>
        <w:tc>
          <w:tcPr>
            <w:tcW w:w="987" w:type="dxa"/>
            <w:tcBorders>
              <w:top w:val="single" w:sz="8" w:space="0" w:color="auto"/>
              <w:left w:val="nil"/>
              <w:bottom w:val="single" w:sz="8" w:space="0" w:color="auto"/>
              <w:right w:val="single" w:sz="8" w:space="0" w:color="auto"/>
            </w:tcBorders>
            <w:shd w:val="clear" w:color="000000" w:fill="000000"/>
            <w:vAlign w:val="center"/>
            <w:hideMark/>
          </w:tcPr>
          <w:p>
            <w:pPr>
              <w:spacing w:after="0" w:line="240" w:lineRule="auto"/>
              <w:jc w:val="center"/>
              <w:rPr>
                <w:rFonts w:ascii="Calibri" w:eastAsia="Times New Roman" w:hAnsi="Calibri" w:cs="Times New Roman"/>
                <w:b/>
                <w:bCs/>
                <w:noProof/>
                <w:color w:val="FFFFFF"/>
                <w:sz w:val="14"/>
                <w:szCs w:val="14"/>
              </w:rPr>
            </w:pPr>
            <w:r>
              <w:rPr>
                <w:rFonts w:ascii="Calibri" w:hAnsi="Calibri"/>
                <w:b/>
                <w:noProof/>
                <w:color w:val="FFFFFF"/>
                <w:sz w:val="14"/>
                <w:szCs w:val="14"/>
              </w:rPr>
              <w:t>Atrinktų projektų procentinė dalis</w:t>
            </w:r>
          </w:p>
        </w:tc>
        <w:tc>
          <w:tcPr>
            <w:tcW w:w="867" w:type="dxa"/>
            <w:tcBorders>
              <w:top w:val="single" w:sz="8" w:space="0" w:color="auto"/>
              <w:left w:val="nil"/>
              <w:bottom w:val="single" w:sz="8" w:space="0" w:color="auto"/>
              <w:right w:val="single" w:sz="8" w:space="0" w:color="auto"/>
            </w:tcBorders>
            <w:shd w:val="clear" w:color="000000" w:fill="000000"/>
            <w:vAlign w:val="center"/>
            <w:hideMark/>
          </w:tcPr>
          <w:p>
            <w:pPr>
              <w:spacing w:after="0" w:line="240" w:lineRule="auto"/>
              <w:jc w:val="center"/>
              <w:rPr>
                <w:rFonts w:ascii="Calibri" w:eastAsia="Times New Roman" w:hAnsi="Calibri" w:cs="Times New Roman"/>
                <w:b/>
                <w:bCs/>
                <w:noProof/>
                <w:color w:val="FFFFFF"/>
                <w:sz w:val="14"/>
                <w:szCs w:val="14"/>
              </w:rPr>
            </w:pPr>
            <w:r>
              <w:rPr>
                <w:rFonts w:ascii="Calibri" w:hAnsi="Calibri"/>
                <w:b/>
                <w:noProof/>
                <w:color w:val="FFFFFF"/>
                <w:sz w:val="14"/>
                <w:szCs w:val="14"/>
              </w:rPr>
              <w:t>Gautų paraiškų skaičius</w:t>
            </w:r>
          </w:p>
        </w:tc>
        <w:tc>
          <w:tcPr>
            <w:tcW w:w="865" w:type="dxa"/>
            <w:tcBorders>
              <w:top w:val="single" w:sz="8" w:space="0" w:color="auto"/>
              <w:left w:val="nil"/>
              <w:bottom w:val="single" w:sz="8" w:space="0" w:color="auto"/>
              <w:right w:val="single" w:sz="8" w:space="0" w:color="auto"/>
            </w:tcBorders>
            <w:shd w:val="clear" w:color="000000" w:fill="000000"/>
            <w:vAlign w:val="center"/>
            <w:hideMark/>
          </w:tcPr>
          <w:p>
            <w:pPr>
              <w:spacing w:after="0" w:line="240" w:lineRule="auto"/>
              <w:jc w:val="center"/>
              <w:rPr>
                <w:rFonts w:ascii="Calibri" w:eastAsia="Times New Roman" w:hAnsi="Calibri" w:cs="Times New Roman"/>
                <w:b/>
                <w:bCs/>
                <w:noProof/>
                <w:color w:val="FFFFFF"/>
                <w:sz w:val="14"/>
                <w:szCs w:val="14"/>
              </w:rPr>
            </w:pPr>
            <w:r>
              <w:rPr>
                <w:rFonts w:ascii="Calibri" w:hAnsi="Calibri"/>
                <w:b/>
                <w:noProof/>
                <w:color w:val="FFFFFF"/>
                <w:sz w:val="14"/>
                <w:szCs w:val="14"/>
              </w:rPr>
              <w:t>Atrinktų projektų skaičius</w:t>
            </w:r>
          </w:p>
        </w:tc>
        <w:tc>
          <w:tcPr>
            <w:tcW w:w="987" w:type="dxa"/>
            <w:tcBorders>
              <w:top w:val="single" w:sz="8" w:space="0" w:color="auto"/>
              <w:left w:val="nil"/>
              <w:bottom w:val="single" w:sz="8" w:space="0" w:color="auto"/>
              <w:right w:val="single" w:sz="8" w:space="0" w:color="auto"/>
            </w:tcBorders>
            <w:shd w:val="clear" w:color="000000" w:fill="000000"/>
            <w:vAlign w:val="center"/>
            <w:hideMark/>
          </w:tcPr>
          <w:p>
            <w:pPr>
              <w:spacing w:after="0" w:line="240" w:lineRule="auto"/>
              <w:jc w:val="center"/>
              <w:rPr>
                <w:rFonts w:ascii="Calibri" w:eastAsia="Times New Roman" w:hAnsi="Calibri" w:cs="Times New Roman"/>
                <w:b/>
                <w:bCs/>
                <w:noProof/>
                <w:color w:val="FFFFFF"/>
                <w:sz w:val="14"/>
                <w:szCs w:val="14"/>
              </w:rPr>
            </w:pPr>
            <w:r>
              <w:rPr>
                <w:rFonts w:ascii="Calibri" w:hAnsi="Calibri"/>
                <w:b/>
                <w:noProof/>
                <w:color w:val="FFFFFF"/>
                <w:sz w:val="14"/>
                <w:szCs w:val="14"/>
              </w:rPr>
              <w:t>Atrinktų projektų procentinė dalis</w:t>
            </w:r>
          </w:p>
        </w:tc>
      </w:tr>
      <w:tr>
        <w:trPr>
          <w:trHeight w:val="283"/>
        </w:trPr>
        <w:tc>
          <w:tcPr>
            <w:tcW w:w="2081" w:type="dxa"/>
            <w:gridSpan w:val="2"/>
            <w:tcBorders>
              <w:top w:val="single" w:sz="8" w:space="0" w:color="auto"/>
              <w:left w:val="single" w:sz="8" w:space="0" w:color="auto"/>
              <w:bottom w:val="single" w:sz="8" w:space="0" w:color="86BC25"/>
              <w:right w:val="single" w:sz="8" w:space="0" w:color="000000"/>
            </w:tcBorders>
            <w:shd w:val="clear" w:color="000000" w:fill="92D050"/>
            <w:vAlign w:val="center"/>
            <w:hideMark/>
          </w:tcPr>
          <w:p>
            <w:pPr>
              <w:spacing w:after="0" w:line="240" w:lineRule="auto"/>
              <w:jc w:val="both"/>
              <w:rPr>
                <w:rFonts w:ascii="Calibri" w:eastAsia="Times New Roman" w:hAnsi="Calibri" w:cs="Times New Roman"/>
                <w:b/>
                <w:bCs/>
                <w:noProof/>
                <w:color w:val="FFFFFF"/>
                <w:sz w:val="20"/>
                <w:szCs w:val="20"/>
              </w:rPr>
            </w:pPr>
            <w:r>
              <w:rPr>
                <w:rFonts w:ascii="Calibri" w:hAnsi="Calibri"/>
                <w:b/>
                <w:noProof/>
                <w:color w:val="FFFFFF"/>
                <w:sz w:val="20"/>
              </w:rPr>
              <w:t> </w:t>
            </w:r>
          </w:p>
        </w:tc>
        <w:tc>
          <w:tcPr>
            <w:tcW w:w="2618" w:type="dxa"/>
            <w:gridSpan w:val="4"/>
            <w:tcBorders>
              <w:top w:val="single" w:sz="8" w:space="0" w:color="auto"/>
              <w:left w:val="nil"/>
              <w:bottom w:val="single" w:sz="8" w:space="0" w:color="86BC25"/>
              <w:right w:val="single" w:sz="8" w:space="0" w:color="000000"/>
            </w:tcBorders>
            <w:shd w:val="clear" w:color="000000" w:fill="92D050"/>
            <w:vAlign w:val="center"/>
            <w:hideMark/>
          </w:tcPr>
          <w:p>
            <w:pPr>
              <w:spacing w:after="0" w:line="240" w:lineRule="auto"/>
              <w:jc w:val="center"/>
              <w:rPr>
                <w:rFonts w:ascii="Calibri" w:eastAsia="Times New Roman" w:hAnsi="Calibri" w:cs="Times New Roman"/>
                <w:b/>
                <w:bCs/>
                <w:noProof/>
                <w:color w:val="FFFFFF"/>
                <w:sz w:val="20"/>
                <w:szCs w:val="20"/>
              </w:rPr>
            </w:pPr>
            <w:r>
              <w:rPr>
                <w:rFonts w:ascii="Calibri" w:hAnsi="Calibri"/>
                <w:b/>
                <w:noProof/>
                <w:color w:val="FFFFFF"/>
                <w:sz w:val="20"/>
              </w:rPr>
              <w:t>2014 m.</w:t>
            </w:r>
          </w:p>
        </w:tc>
        <w:tc>
          <w:tcPr>
            <w:tcW w:w="2719" w:type="dxa"/>
            <w:gridSpan w:val="3"/>
            <w:tcBorders>
              <w:top w:val="single" w:sz="8" w:space="0" w:color="auto"/>
              <w:left w:val="nil"/>
              <w:bottom w:val="single" w:sz="8" w:space="0" w:color="86BC25"/>
              <w:right w:val="single" w:sz="8" w:space="0" w:color="000000"/>
            </w:tcBorders>
            <w:shd w:val="clear" w:color="000000" w:fill="92D050"/>
            <w:vAlign w:val="center"/>
            <w:hideMark/>
          </w:tcPr>
          <w:p>
            <w:pPr>
              <w:spacing w:after="0" w:line="240" w:lineRule="auto"/>
              <w:jc w:val="center"/>
              <w:rPr>
                <w:rFonts w:ascii="Calibri" w:eastAsia="Times New Roman" w:hAnsi="Calibri" w:cs="Times New Roman"/>
                <w:b/>
                <w:bCs/>
                <w:noProof/>
                <w:color w:val="FFFFFF"/>
                <w:sz w:val="20"/>
                <w:szCs w:val="20"/>
              </w:rPr>
            </w:pPr>
            <w:r>
              <w:rPr>
                <w:rFonts w:ascii="Calibri" w:hAnsi="Calibri"/>
                <w:b/>
                <w:noProof/>
                <w:color w:val="FFFFFF"/>
                <w:sz w:val="20"/>
              </w:rPr>
              <w:t>2015 m.</w:t>
            </w:r>
          </w:p>
        </w:tc>
        <w:tc>
          <w:tcPr>
            <w:tcW w:w="2719" w:type="dxa"/>
            <w:gridSpan w:val="3"/>
            <w:tcBorders>
              <w:top w:val="single" w:sz="8" w:space="0" w:color="auto"/>
              <w:left w:val="nil"/>
              <w:bottom w:val="single" w:sz="8" w:space="0" w:color="86BC25"/>
              <w:right w:val="nil"/>
            </w:tcBorders>
            <w:shd w:val="clear" w:color="000000" w:fill="92D050"/>
            <w:vAlign w:val="center"/>
            <w:hideMark/>
          </w:tcPr>
          <w:p>
            <w:pPr>
              <w:spacing w:after="0" w:line="240" w:lineRule="auto"/>
              <w:jc w:val="center"/>
              <w:rPr>
                <w:rFonts w:ascii="Calibri" w:eastAsia="Times New Roman" w:hAnsi="Calibri" w:cs="Times New Roman"/>
                <w:b/>
                <w:bCs/>
                <w:noProof/>
                <w:color w:val="FFFFFF"/>
                <w:sz w:val="20"/>
                <w:szCs w:val="20"/>
              </w:rPr>
            </w:pPr>
            <w:r>
              <w:rPr>
                <w:rFonts w:ascii="Calibri" w:hAnsi="Calibri"/>
                <w:b/>
                <w:noProof/>
                <w:color w:val="FFFFFF"/>
                <w:sz w:val="20"/>
              </w:rPr>
              <w:t>2016 m.</w:t>
            </w:r>
          </w:p>
        </w:tc>
      </w:tr>
      <w:tr>
        <w:trPr>
          <w:trHeight w:val="270"/>
        </w:trPr>
        <w:tc>
          <w:tcPr>
            <w:tcW w:w="897" w:type="dxa"/>
            <w:vMerge w:val="restart"/>
            <w:tcBorders>
              <w:top w:val="nil"/>
              <w:left w:val="single" w:sz="8" w:space="0" w:color="auto"/>
              <w:bottom w:val="single" w:sz="8" w:space="0" w:color="000000"/>
              <w:right w:val="single" w:sz="8" w:space="0" w:color="auto"/>
            </w:tcBorders>
            <w:shd w:val="clear" w:color="000000" w:fill="FFFFFF"/>
            <w:vAlign w:val="center"/>
            <w:hideMark/>
          </w:tcPr>
          <w:p>
            <w:pPr>
              <w:spacing w:after="0" w:line="240" w:lineRule="auto"/>
              <w:rPr>
                <w:rFonts w:ascii="Calibri" w:eastAsia="Times New Roman" w:hAnsi="Calibri" w:cs="Times New Roman"/>
                <w:b/>
                <w:bCs/>
                <w:noProof/>
                <w:color w:val="000000"/>
                <w:sz w:val="20"/>
                <w:szCs w:val="20"/>
              </w:rPr>
            </w:pPr>
            <w:r>
              <w:rPr>
                <w:rFonts w:ascii="Calibri" w:hAnsi="Calibri"/>
                <w:b/>
                <w:noProof/>
                <w:color w:val="000000"/>
                <w:sz w:val="20"/>
              </w:rPr>
              <w:t>1 KRYPTIS</w:t>
            </w:r>
          </w:p>
        </w:tc>
        <w:tc>
          <w:tcPr>
            <w:tcW w:w="1184"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Dotacijos veiksmams</w:t>
            </w:r>
          </w:p>
        </w:tc>
        <w:tc>
          <w:tcPr>
            <w:tcW w:w="867" w:type="dxa"/>
            <w:gridSpan w:val="2"/>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472</w:t>
            </w:r>
          </w:p>
        </w:tc>
        <w:tc>
          <w:tcPr>
            <w:tcW w:w="865"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36</w:t>
            </w:r>
          </w:p>
        </w:tc>
        <w:tc>
          <w:tcPr>
            <w:tcW w:w="886"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rPr>
                <w:rFonts w:ascii="Calibri" w:eastAsia="Times New Roman" w:hAnsi="Calibri" w:cs="Times New Roman"/>
                <w:noProof/>
                <w:color w:val="000000"/>
                <w:sz w:val="20"/>
                <w:szCs w:val="20"/>
              </w:rPr>
            </w:pPr>
            <w:r>
              <w:rPr>
                <w:rFonts w:ascii="Calibri" w:hAnsi="Calibri"/>
                <w:noProof/>
                <w:color w:val="000000"/>
                <w:sz w:val="20"/>
              </w:rPr>
              <w:t>8 %</w:t>
            </w:r>
          </w:p>
        </w:tc>
        <w:tc>
          <w:tcPr>
            <w:tcW w:w="867"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538</w:t>
            </w:r>
          </w:p>
        </w:tc>
        <w:tc>
          <w:tcPr>
            <w:tcW w:w="865"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33</w:t>
            </w:r>
          </w:p>
        </w:tc>
        <w:tc>
          <w:tcPr>
            <w:tcW w:w="987"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rPr>
                <w:rFonts w:ascii="Calibri" w:eastAsia="Times New Roman" w:hAnsi="Calibri" w:cs="Times New Roman"/>
                <w:noProof/>
                <w:color w:val="000000"/>
                <w:sz w:val="20"/>
                <w:szCs w:val="20"/>
              </w:rPr>
            </w:pPr>
            <w:r>
              <w:rPr>
                <w:rFonts w:ascii="Calibri" w:hAnsi="Calibri"/>
                <w:noProof/>
                <w:color w:val="000000"/>
                <w:sz w:val="20"/>
              </w:rPr>
              <w:t>6 %</w:t>
            </w:r>
          </w:p>
        </w:tc>
        <w:tc>
          <w:tcPr>
            <w:tcW w:w="867"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468</w:t>
            </w:r>
          </w:p>
        </w:tc>
        <w:tc>
          <w:tcPr>
            <w:tcW w:w="865"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38</w:t>
            </w:r>
          </w:p>
        </w:tc>
        <w:tc>
          <w:tcPr>
            <w:tcW w:w="987"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8 %</w:t>
            </w:r>
          </w:p>
        </w:tc>
      </w:tr>
      <w:tr>
        <w:trPr>
          <w:trHeight w:val="283"/>
        </w:trPr>
        <w:tc>
          <w:tcPr>
            <w:tcW w:w="897"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Calibri" w:eastAsia="Times New Roman" w:hAnsi="Calibri" w:cs="Times New Roman"/>
                <w:b/>
                <w:bCs/>
                <w:noProof/>
                <w:color w:val="000000"/>
                <w:sz w:val="20"/>
                <w:szCs w:val="20"/>
              </w:rPr>
            </w:pPr>
          </w:p>
        </w:tc>
        <w:tc>
          <w:tcPr>
            <w:tcW w:w="1184"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7" w:type="dxa"/>
            <w:gridSpan w:val="2"/>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5"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86"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7"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5"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987"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7"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5"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987"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r>
      <w:tr>
        <w:trPr>
          <w:trHeight w:val="472"/>
        </w:trPr>
        <w:tc>
          <w:tcPr>
            <w:tcW w:w="897"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Calibri" w:eastAsia="Times New Roman" w:hAnsi="Calibri" w:cs="Times New Roman"/>
                <w:b/>
                <w:bCs/>
                <w:noProof/>
                <w:color w:val="000000"/>
                <w:sz w:val="20"/>
                <w:szCs w:val="20"/>
              </w:rPr>
            </w:pPr>
          </w:p>
        </w:tc>
        <w:tc>
          <w:tcPr>
            <w:tcW w:w="1184"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Dotacijos veiklai</w:t>
            </w:r>
          </w:p>
        </w:tc>
        <w:tc>
          <w:tcPr>
            <w:tcW w:w="867" w:type="dxa"/>
            <w:gridSpan w:val="2"/>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22</w:t>
            </w:r>
          </w:p>
        </w:tc>
        <w:tc>
          <w:tcPr>
            <w:tcW w:w="865"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6</w:t>
            </w:r>
          </w:p>
        </w:tc>
        <w:tc>
          <w:tcPr>
            <w:tcW w:w="886"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27 %</w:t>
            </w:r>
          </w:p>
        </w:tc>
        <w:tc>
          <w:tcPr>
            <w:tcW w:w="86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6</w:t>
            </w:r>
          </w:p>
        </w:tc>
        <w:tc>
          <w:tcPr>
            <w:tcW w:w="865"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6</w:t>
            </w:r>
          </w:p>
        </w:tc>
        <w:tc>
          <w:tcPr>
            <w:tcW w:w="98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100 %</w:t>
            </w:r>
            <w:r>
              <w:rPr>
                <w:rStyle w:val="FootnoteReference"/>
                <w:rFonts w:ascii="Calibri" w:hAnsi="Calibri"/>
                <w:noProof/>
                <w:color w:val="000000"/>
                <w:sz w:val="20"/>
              </w:rPr>
              <w:footnoteReference w:id="13"/>
            </w:r>
          </w:p>
        </w:tc>
        <w:tc>
          <w:tcPr>
            <w:tcW w:w="86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6</w:t>
            </w:r>
          </w:p>
        </w:tc>
        <w:tc>
          <w:tcPr>
            <w:tcW w:w="865"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6</w:t>
            </w:r>
          </w:p>
        </w:tc>
        <w:tc>
          <w:tcPr>
            <w:tcW w:w="98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100 %</w:t>
            </w:r>
          </w:p>
        </w:tc>
      </w:tr>
      <w:tr>
        <w:trPr>
          <w:trHeight w:val="472"/>
        </w:trPr>
        <w:tc>
          <w:tcPr>
            <w:tcW w:w="897" w:type="dxa"/>
            <w:vMerge w:val="restart"/>
            <w:tcBorders>
              <w:top w:val="nil"/>
              <w:left w:val="single" w:sz="8" w:space="0" w:color="auto"/>
              <w:bottom w:val="single" w:sz="8" w:space="0" w:color="000000"/>
              <w:right w:val="single" w:sz="8" w:space="0" w:color="auto"/>
            </w:tcBorders>
            <w:shd w:val="clear" w:color="000000" w:fill="FFFFFF"/>
            <w:vAlign w:val="center"/>
            <w:hideMark/>
          </w:tcPr>
          <w:p>
            <w:pPr>
              <w:spacing w:after="0" w:line="240" w:lineRule="auto"/>
              <w:rPr>
                <w:rFonts w:ascii="Calibri" w:eastAsia="Times New Roman" w:hAnsi="Calibri" w:cs="Times New Roman"/>
                <w:b/>
                <w:bCs/>
                <w:noProof/>
                <w:color w:val="000000"/>
                <w:sz w:val="20"/>
                <w:szCs w:val="20"/>
              </w:rPr>
            </w:pPr>
            <w:r>
              <w:rPr>
                <w:rFonts w:ascii="Calibri" w:hAnsi="Calibri"/>
                <w:b/>
                <w:noProof/>
                <w:color w:val="000000"/>
                <w:sz w:val="20"/>
              </w:rPr>
              <w:t>2 KRYPTIS</w:t>
            </w:r>
          </w:p>
        </w:tc>
        <w:tc>
          <w:tcPr>
            <w:tcW w:w="1184" w:type="dxa"/>
            <w:tcBorders>
              <w:top w:val="nil"/>
              <w:left w:val="nil"/>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Miestų partnerystė</w:t>
            </w:r>
          </w:p>
        </w:tc>
        <w:tc>
          <w:tcPr>
            <w:tcW w:w="867" w:type="dxa"/>
            <w:gridSpan w:val="2"/>
            <w:tcBorders>
              <w:top w:val="nil"/>
              <w:left w:val="nil"/>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667</w:t>
            </w:r>
          </w:p>
        </w:tc>
        <w:tc>
          <w:tcPr>
            <w:tcW w:w="865" w:type="dxa"/>
            <w:tcBorders>
              <w:top w:val="nil"/>
              <w:left w:val="nil"/>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252</w:t>
            </w:r>
          </w:p>
        </w:tc>
        <w:tc>
          <w:tcPr>
            <w:tcW w:w="886" w:type="dxa"/>
            <w:tcBorders>
              <w:top w:val="nil"/>
              <w:left w:val="nil"/>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38 %</w:t>
            </w:r>
          </w:p>
        </w:tc>
        <w:tc>
          <w:tcPr>
            <w:tcW w:w="867" w:type="dxa"/>
            <w:tcBorders>
              <w:top w:val="nil"/>
              <w:left w:val="nil"/>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1404</w:t>
            </w:r>
          </w:p>
        </w:tc>
        <w:tc>
          <w:tcPr>
            <w:tcW w:w="865" w:type="dxa"/>
            <w:tcBorders>
              <w:top w:val="nil"/>
              <w:left w:val="nil"/>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252</w:t>
            </w:r>
          </w:p>
        </w:tc>
        <w:tc>
          <w:tcPr>
            <w:tcW w:w="987" w:type="dxa"/>
            <w:tcBorders>
              <w:top w:val="nil"/>
              <w:left w:val="nil"/>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18 %</w:t>
            </w:r>
          </w:p>
        </w:tc>
        <w:tc>
          <w:tcPr>
            <w:tcW w:w="867" w:type="dxa"/>
            <w:tcBorders>
              <w:top w:val="nil"/>
              <w:left w:val="nil"/>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1093</w:t>
            </w:r>
          </w:p>
        </w:tc>
        <w:tc>
          <w:tcPr>
            <w:tcW w:w="865" w:type="dxa"/>
            <w:tcBorders>
              <w:top w:val="nil"/>
              <w:left w:val="nil"/>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237</w:t>
            </w:r>
          </w:p>
        </w:tc>
        <w:tc>
          <w:tcPr>
            <w:tcW w:w="987" w:type="dxa"/>
            <w:tcBorders>
              <w:top w:val="nil"/>
              <w:left w:val="nil"/>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22 %</w:t>
            </w:r>
          </w:p>
        </w:tc>
      </w:tr>
      <w:tr>
        <w:trPr>
          <w:trHeight w:val="270"/>
        </w:trPr>
        <w:tc>
          <w:tcPr>
            <w:tcW w:w="897"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Calibri" w:eastAsia="Times New Roman" w:hAnsi="Calibri" w:cs="Times New Roman"/>
                <w:b/>
                <w:bCs/>
                <w:noProof/>
                <w:color w:val="000000"/>
                <w:sz w:val="20"/>
                <w:szCs w:val="20"/>
              </w:rPr>
            </w:pPr>
          </w:p>
        </w:tc>
        <w:tc>
          <w:tcPr>
            <w:tcW w:w="1184"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Miestų tinklai</w:t>
            </w:r>
          </w:p>
        </w:tc>
        <w:tc>
          <w:tcPr>
            <w:tcW w:w="867" w:type="dxa"/>
            <w:gridSpan w:val="2"/>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224</w:t>
            </w:r>
          </w:p>
        </w:tc>
        <w:tc>
          <w:tcPr>
            <w:tcW w:w="865"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35</w:t>
            </w:r>
          </w:p>
        </w:tc>
        <w:tc>
          <w:tcPr>
            <w:tcW w:w="886"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rPr>
                <w:rFonts w:ascii="Calibri" w:eastAsia="Times New Roman" w:hAnsi="Calibri" w:cs="Times New Roman"/>
                <w:noProof/>
                <w:color w:val="000000"/>
                <w:sz w:val="20"/>
                <w:szCs w:val="20"/>
              </w:rPr>
            </w:pPr>
            <w:r>
              <w:rPr>
                <w:rFonts w:ascii="Calibri" w:hAnsi="Calibri"/>
                <w:noProof/>
                <w:color w:val="000000"/>
                <w:sz w:val="20"/>
              </w:rPr>
              <w:t>16 %</w:t>
            </w:r>
          </w:p>
        </w:tc>
        <w:tc>
          <w:tcPr>
            <w:tcW w:w="867"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rPr>
                <w:rFonts w:ascii="Calibri" w:eastAsia="Times New Roman" w:hAnsi="Calibri" w:cs="Times New Roman"/>
                <w:noProof/>
                <w:color w:val="000000"/>
                <w:sz w:val="20"/>
                <w:szCs w:val="20"/>
              </w:rPr>
            </w:pPr>
            <w:r>
              <w:rPr>
                <w:rFonts w:ascii="Calibri" w:hAnsi="Calibri"/>
                <w:noProof/>
                <w:color w:val="000000"/>
                <w:sz w:val="20"/>
              </w:rPr>
              <w:t>339</w:t>
            </w:r>
          </w:p>
        </w:tc>
        <w:tc>
          <w:tcPr>
            <w:tcW w:w="865"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32</w:t>
            </w:r>
          </w:p>
        </w:tc>
        <w:tc>
          <w:tcPr>
            <w:tcW w:w="987"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rPr>
                <w:rFonts w:ascii="Calibri" w:eastAsia="Times New Roman" w:hAnsi="Calibri" w:cs="Times New Roman"/>
                <w:noProof/>
                <w:color w:val="000000"/>
                <w:sz w:val="20"/>
                <w:szCs w:val="20"/>
              </w:rPr>
            </w:pPr>
            <w:r>
              <w:rPr>
                <w:rFonts w:ascii="Calibri" w:hAnsi="Calibri"/>
                <w:noProof/>
                <w:color w:val="000000"/>
                <w:sz w:val="20"/>
              </w:rPr>
              <w:t>9 %</w:t>
            </w:r>
          </w:p>
        </w:tc>
        <w:tc>
          <w:tcPr>
            <w:tcW w:w="867"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328</w:t>
            </w:r>
          </w:p>
        </w:tc>
        <w:tc>
          <w:tcPr>
            <w:tcW w:w="865"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30</w:t>
            </w:r>
          </w:p>
        </w:tc>
        <w:tc>
          <w:tcPr>
            <w:tcW w:w="987" w:type="dxa"/>
            <w:vMerge w:val="restart"/>
            <w:tcBorders>
              <w:top w:val="nil"/>
              <w:left w:val="single" w:sz="8" w:space="0" w:color="auto"/>
              <w:bottom w:val="single" w:sz="8" w:space="0" w:color="86BC25"/>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9 %</w:t>
            </w:r>
          </w:p>
        </w:tc>
      </w:tr>
      <w:tr>
        <w:trPr>
          <w:trHeight w:val="283"/>
        </w:trPr>
        <w:tc>
          <w:tcPr>
            <w:tcW w:w="897"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Calibri" w:eastAsia="Times New Roman" w:hAnsi="Calibri" w:cs="Times New Roman"/>
                <w:b/>
                <w:bCs/>
                <w:noProof/>
                <w:color w:val="000000"/>
                <w:sz w:val="20"/>
                <w:szCs w:val="20"/>
              </w:rPr>
            </w:pPr>
          </w:p>
        </w:tc>
        <w:tc>
          <w:tcPr>
            <w:tcW w:w="1184"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7" w:type="dxa"/>
            <w:gridSpan w:val="2"/>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5"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86"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7"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5"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987"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7"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865"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c>
          <w:tcPr>
            <w:tcW w:w="987" w:type="dxa"/>
            <w:vMerge/>
            <w:tcBorders>
              <w:top w:val="nil"/>
              <w:left w:val="single" w:sz="8" w:space="0" w:color="auto"/>
              <w:bottom w:val="single" w:sz="8" w:space="0" w:color="86BC25"/>
              <w:right w:val="single" w:sz="8" w:space="0" w:color="auto"/>
            </w:tcBorders>
            <w:vAlign w:val="center"/>
            <w:hideMark/>
          </w:tcPr>
          <w:p>
            <w:pPr>
              <w:spacing w:after="0" w:line="240" w:lineRule="auto"/>
              <w:rPr>
                <w:rFonts w:ascii="Calibri" w:eastAsia="Times New Roman" w:hAnsi="Calibri" w:cs="Times New Roman"/>
                <w:noProof/>
                <w:color w:val="000000"/>
                <w:sz w:val="20"/>
                <w:szCs w:val="20"/>
              </w:rPr>
            </w:pPr>
          </w:p>
        </w:tc>
      </w:tr>
      <w:tr>
        <w:trPr>
          <w:trHeight w:val="702"/>
        </w:trPr>
        <w:tc>
          <w:tcPr>
            <w:tcW w:w="897"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Calibri" w:eastAsia="Times New Roman" w:hAnsi="Calibri" w:cs="Times New Roman"/>
                <w:b/>
                <w:bCs/>
                <w:noProof/>
                <w:color w:val="000000"/>
                <w:sz w:val="20"/>
                <w:szCs w:val="20"/>
              </w:rPr>
            </w:pPr>
          </w:p>
        </w:tc>
        <w:tc>
          <w:tcPr>
            <w:tcW w:w="1184"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Pilietinės visuomenės projektai</w:t>
            </w:r>
          </w:p>
        </w:tc>
        <w:tc>
          <w:tcPr>
            <w:tcW w:w="867" w:type="dxa"/>
            <w:gridSpan w:val="2"/>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538</w:t>
            </w:r>
          </w:p>
        </w:tc>
        <w:tc>
          <w:tcPr>
            <w:tcW w:w="865"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29</w:t>
            </w:r>
          </w:p>
        </w:tc>
        <w:tc>
          <w:tcPr>
            <w:tcW w:w="886"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5 %</w:t>
            </w:r>
          </w:p>
        </w:tc>
        <w:tc>
          <w:tcPr>
            <w:tcW w:w="86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440</w:t>
            </w:r>
          </w:p>
        </w:tc>
        <w:tc>
          <w:tcPr>
            <w:tcW w:w="865"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27</w:t>
            </w:r>
          </w:p>
        </w:tc>
        <w:tc>
          <w:tcPr>
            <w:tcW w:w="98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6 %</w:t>
            </w:r>
          </w:p>
        </w:tc>
        <w:tc>
          <w:tcPr>
            <w:tcW w:w="86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541</w:t>
            </w:r>
          </w:p>
        </w:tc>
        <w:tc>
          <w:tcPr>
            <w:tcW w:w="865"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25</w:t>
            </w:r>
          </w:p>
        </w:tc>
        <w:tc>
          <w:tcPr>
            <w:tcW w:w="98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5 %</w:t>
            </w:r>
          </w:p>
        </w:tc>
      </w:tr>
      <w:tr>
        <w:trPr>
          <w:trHeight w:val="472"/>
        </w:trPr>
        <w:tc>
          <w:tcPr>
            <w:tcW w:w="897" w:type="dxa"/>
            <w:vMerge/>
            <w:tcBorders>
              <w:top w:val="nil"/>
              <w:left w:val="single" w:sz="8" w:space="0" w:color="auto"/>
              <w:bottom w:val="single" w:sz="8" w:space="0" w:color="000000"/>
              <w:right w:val="single" w:sz="8" w:space="0" w:color="auto"/>
            </w:tcBorders>
            <w:vAlign w:val="center"/>
            <w:hideMark/>
          </w:tcPr>
          <w:p>
            <w:pPr>
              <w:spacing w:after="0" w:line="240" w:lineRule="auto"/>
              <w:rPr>
                <w:rFonts w:ascii="Calibri" w:eastAsia="Times New Roman" w:hAnsi="Calibri" w:cs="Times New Roman"/>
                <w:b/>
                <w:bCs/>
                <w:noProof/>
                <w:color w:val="000000"/>
                <w:sz w:val="20"/>
                <w:szCs w:val="20"/>
              </w:rPr>
            </w:pPr>
          </w:p>
        </w:tc>
        <w:tc>
          <w:tcPr>
            <w:tcW w:w="1184"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Dotacijos veiklai</w:t>
            </w:r>
          </w:p>
        </w:tc>
        <w:tc>
          <w:tcPr>
            <w:tcW w:w="867" w:type="dxa"/>
            <w:gridSpan w:val="2"/>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139</w:t>
            </w:r>
          </w:p>
        </w:tc>
        <w:tc>
          <w:tcPr>
            <w:tcW w:w="865"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29</w:t>
            </w:r>
          </w:p>
        </w:tc>
        <w:tc>
          <w:tcPr>
            <w:tcW w:w="886"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21 %</w:t>
            </w:r>
          </w:p>
        </w:tc>
        <w:tc>
          <w:tcPr>
            <w:tcW w:w="86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37</w:t>
            </w:r>
          </w:p>
        </w:tc>
        <w:tc>
          <w:tcPr>
            <w:tcW w:w="865"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31</w:t>
            </w:r>
          </w:p>
        </w:tc>
        <w:tc>
          <w:tcPr>
            <w:tcW w:w="98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84 %</w:t>
            </w:r>
          </w:p>
        </w:tc>
        <w:tc>
          <w:tcPr>
            <w:tcW w:w="86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31</w:t>
            </w:r>
          </w:p>
        </w:tc>
        <w:tc>
          <w:tcPr>
            <w:tcW w:w="865"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30</w:t>
            </w:r>
          </w:p>
        </w:tc>
        <w:tc>
          <w:tcPr>
            <w:tcW w:w="987" w:type="dxa"/>
            <w:tcBorders>
              <w:top w:val="nil"/>
              <w:left w:val="nil"/>
              <w:bottom w:val="single" w:sz="8" w:space="0" w:color="auto"/>
              <w:right w:val="single" w:sz="8" w:space="0" w:color="auto"/>
            </w:tcBorders>
            <w:shd w:val="clear" w:color="auto" w:fill="auto"/>
            <w:vAlign w:val="center"/>
            <w:hideMark/>
          </w:tcPr>
          <w:p>
            <w:pPr>
              <w:spacing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97 %</w:t>
            </w:r>
          </w:p>
        </w:tc>
      </w:tr>
      <w:tr>
        <w:trPr>
          <w:trHeight w:val="283"/>
        </w:trPr>
        <w:tc>
          <w:tcPr>
            <w:tcW w:w="897" w:type="dxa"/>
            <w:tcBorders>
              <w:top w:val="nil"/>
              <w:left w:val="single" w:sz="8" w:space="0" w:color="auto"/>
              <w:bottom w:val="single" w:sz="8" w:space="0" w:color="auto"/>
              <w:right w:val="nil"/>
            </w:tcBorders>
            <w:shd w:val="clear" w:color="000000" w:fill="E7F5CF"/>
            <w:vAlign w:val="center"/>
            <w:hideMark/>
          </w:tcPr>
          <w:p>
            <w:pPr>
              <w:spacing w:before="120" w:after="0" w:line="240" w:lineRule="auto"/>
              <w:rPr>
                <w:rFonts w:ascii="Calibri" w:eastAsia="Times New Roman" w:hAnsi="Calibri" w:cs="Times New Roman"/>
                <w:b/>
                <w:bCs/>
                <w:noProof/>
                <w:color w:val="000000"/>
                <w:sz w:val="20"/>
                <w:szCs w:val="20"/>
              </w:rPr>
            </w:pPr>
            <w:r>
              <w:rPr>
                <w:rFonts w:ascii="Calibri" w:hAnsi="Calibri"/>
                <w:b/>
                <w:noProof/>
                <w:color w:val="000000"/>
                <w:sz w:val="20"/>
              </w:rPr>
              <w:t>Iš viso</w:t>
            </w:r>
          </w:p>
        </w:tc>
        <w:tc>
          <w:tcPr>
            <w:tcW w:w="1184" w:type="dxa"/>
            <w:tcBorders>
              <w:top w:val="nil"/>
              <w:left w:val="single" w:sz="8" w:space="0" w:color="auto"/>
              <w:bottom w:val="single" w:sz="8" w:space="0" w:color="auto"/>
              <w:right w:val="single" w:sz="8" w:space="0" w:color="auto"/>
            </w:tcBorders>
            <w:shd w:val="clear" w:color="000000" w:fill="E7F5CF"/>
            <w:vAlign w:val="center"/>
            <w:hideMark/>
          </w:tcPr>
          <w:p>
            <w:pPr>
              <w:spacing w:before="120" w:after="0" w:line="240" w:lineRule="auto"/>
              <w:jc w:val="both"/>
              <w:rPr>
                <w:rFonts w:ascii="Calibri" w:eastAsia="Times New Roman" w:hAnsi="Calibri" w:cs="Times New Roman"/>
                <w:noProof/>
                <w:color w:val="000000"/>
                <w:sz w:val="20"/>
                <w:szCs w:val="20"/>
              </w:rPr>
            </w:pPr>
            <w:r>
              <w:rPr>
                <w:rFonts w:ascii="Calibri" w:hAnsi="Calibri"/>
                <w:noProof/>
                <w:color w:val="000000"/>
                <w:sz w:val="20"/>
              </w:rPr>
              <w:t> </w:t>
            </w:r>
          </w:p>
        </w:tc>
        <w:tc>
          <w:tcPr>
            <w:tcW w:w="867" w:type="dxa"/>
            <w:gridSpan w:val="2"/>
            <w:tcBorders>
              <w:top w:val="nil"/>
              <w:left w:val="nil"/>
              <w:bottom w:val="single" w:sz="8" w:space="0" w:color="auto"/>
              <w:right w:val="single" w:sz="8" w:space="0" w:color="auto"/>
            </w:tcBorders>
            <w:shd w:val="clear" w:color="000000" w:fill="E7F5CF"/>
            <w:vAlign w:val="center"/>
            <w:hideMark/>
          </w:tcPr>
          <w:p>
            <w:pPr>
              <w:spacing w:before="120" w:after="0" w:line="240" w:lineRule="auto"/>
              <w:jc w:val="both"/>
              <w:rPr>
                <w:rFonts w:ascii="Calibri" w:eastAsia="Times New Roman" w:hAnsi="Calibri" w:cs="Times New Roman"/>
                <w:b/>
                <w:bCs/>
                <w:noProof/>
                <w:color w:val="000000"/>
                <w:sz w:val="20"/>
                <w:szCs w:val="20"/>
              </w:rPr>
            </w:pPr>
            <w:r>
              <w:rPr>
                <w:rFonts w:ascii="Calibri" w:hAnsi="Calibri"/>
                <w:b/>
                <w:noProof/>
                <w:color w:val="000000"/>
                <w:sz w:val="20"/>
              </w:rPr>
              <w:t>2062</w:t>
            </w:r>
          </w:p>
        </w:tc>
        <w:tc>
          <w:tcPr>
            <w:tcW w:w="865" w:type="dxa"/>
            <w:tcBorders>
              <w:top w:val="nil"/>
              <w:left w:val="nil"/>
              <w:bottom w:val="single" w:sz="8" w:space="0" w:color="auto"/>
              <w:right w:val="single" w:sz="8" w:space="0" w:color="auto"/>
            </w:tcBorders>
            <w:shd w:val="clear" w:color="000000" w:fill="E7F5CF"/>
            <w:vAlign w:val="center"/>
            <w:hideMark/>
          </w:tcPr>
          <w:p>
            <w:pPr>
              <w:spacing w:before="120" w:after="0" w:line="240" w:lineRule="auto"/>
              <w:jc w:val="both"/>
              <w:rPr>
                <w:rFonts w:ascii="Calibri" w:eastAsia="Times New Roman" w:hAnsi="Calibri" w:cs="Times New Roman"/>
                <w:b/>
                <w:bCs/>
                <w:noProof/>
                <w:color w:val="000000"/>
                <w:sz w:val="20"/>
                <w:szCs w:val="20"/>
              </w:rPr>
            </w:pPr>
            <w:r>
              <w:rPr>
                <w:rFonts w:ascii="Calibri" w:hAnsi="Calibri"/>
                <w:b/>
                <w:noProof/>
                <w:color w:val="000000"/>
                <w:sz w:val="20"/>
              </w:rPr>
              <w:t>387</w:t>
            </w:r>
          </w:p>
        </w:tc>
        <w:tc>
          <w:tcPr>
            <w:tcW w:w="886" w:type="dxa"/>
            <w:tcBorders>
              <w:top w:val="nil"/>
              <w:left w:val="nil"/>
              <w:bottom w:val="single" w:sz="8" w:space="0" w:color="auto"/>
              <w:right w:val="single" w:sz="8" w:space="0" w:color="auto"/>
            </w:tcBorders>
            <w:shd w:val="clear" w:color="000000" w:fill="E7F5CF"/>
            <w:vAlign w:val="center"/>
            <w:hideMark/>
          </w:tcPr>
          <w:p>
            <w:pPr>
              <w:spacing w:before="120" w:after="0" w:line="240" w:lineRule="auto"/>
              <w:jc w:val="both"/>
              <w:rPr>
                <w:rFonts w:ascii="Calibri" w:eastAsia="Times New Roman" w:hAnsi="Calibri" w:cs="Times New Roman"/>
                <w:b/>
                <w:bCs/>
                <w:noProof/>
                <w:color w:val="000000"/>
                <w:sz w:val="20"/>
                <w:szCs w:val="20"/>
              </w:rPr>
            </w:pPr>
            <w:r>
              <w:rPr>
                <w:rFonts w:ascii="Calibri" w:hAnsi="Calibri"/>
                <w:b/>
                <w:noProof/>
                <w:color w:val="000000"/>
                <w:sz w:val="20"/>
              </w:rPr>
              <w:t> </w:t>
            </w:r>
          </w:p>
        </w:tc>
        <w:tc>
          <w:tcPr>
            <w:tcW w:w="867" w:type="dxa"/>
            <w:tcBorders>
              <w:top w:val="nil"/>
              <w:left w:val="nil"/>
              <w:bottom w:val="single" w:sz="8" w:space="0" w:color="auto"/>
              <w:right w:val="single" w:sz="8" w:space="0" w:color="auto"/>
            </w:tcBorders>
            <w:shd w:val="clear" w:color="000000" w:fill="E7F5CF"/>
            <w:vAlign w:val="center"/>
            <w:hideMark/>
          </w:tcPr>
          <w:p>
            <w:pPr>
              <w:spacing w:before="120" w:after="0" w:line="240" w:lineRule="auto"/>
              <w:jc w:val="both"/>
              <w:rPr>
                <w:rFonts w:ascii="Calibri" w:eastAsia="Times New Roman" w:hAnsi="Calibri" w:cs="Times New Roman"/>
                <w:b/>
                <w:bCs/>
                <w:noProof/>
                <w:color w:val="000000"/>
                <w:sz w:val="20"/>
                <w:szCs w:val="20"/>
              </w:rPr>
            </w:pPr>
            <w:r>
              <w:rPr>
                <w:rFonts w:ascii="Calibri" w:hAnsi="Calibri"/>
                <w:b/>
                <w:noProof/>
                <w:color w:val="000000"/>
                <w:sz w:val="20"/>
              </w:rPr>
              <w:t>2764</w:t>
            </w:r>
          </w:p>
        </w:tc>
        <w:tc>
          <w:tcPr>
            <w:tcW w:w="865" w:type="dxa"/>
            <w:tcBorders>
              <w:top w:val="nil"/>
              <w:left w:val="nil"/>
              <w:bottom w:val="single" w:sz="8" w:space="0" w:color="auto"/>
              <w:right w:val="single" w:sz="8" w:space="0" w:color="auto"/>
            </w:tcBorders>
            <w:shd w:val="clear" w:color="000000" w:fill="E7F5CF"/>
            <w:vAlign w:val="center"/>
            <w:hideMark/>
          </w:tcPr>
          <w:p>
            <w:pPr>
              <w:spacing w:before="120" w:after="0" w:line="240" w:lineRule="auto"/>
              <w:jc w:val="both"/>
              <w:rPr>
                <w:rFonts w:ascii="Calibri" w:eastAsia="Times New Roman" w:hAnsi="Calibri" w:cs="Times New Roman"/>
                <w:b/>
                <w:bCs/>
                <w:noProof/>
                <w:color w:val="000000"/>
                <w:sz w:val="20"/>
                <w:szCs w:val="20"/>
              </w:rPr>
            </w:pPr>
            <w:r>
              <w:rPr>
                <w:rFonts w:ascii="Calibri" w:hAnsi="Calibri"/>
                <w:b/>
                <w:noProof/>
                <w:color w:val="000000"/>
                <w:sz w:val="20"/>
              </w:rPr>
              <w:t>381</w:t>
            </w:r>
          </w:p>
        </w:tc>
        <w:tc>
          <w:tcPr>
            <w:tcW w:w="987" w:type="dxa"/>
            <w:tcBorders>
              <w:top w:val="nil"/>
              <w:left w:val="nil"/>
              <w:bottom w:val="single" w:sz="8" w:space="0" w:color="auto"/>
              <w:right w:val="single" w:sz="8" w:space="0" w:color="auto"/>
            </w:tcBorders>
            <w:shd w:val="clear" w:color="000000" w:fill="E7F5CF"/>
            <w:vAlign w:val="center"/>
            <w:hideMark/>
          </w:tcPr>
          <w:p>
            <w:pPr>
              <w:spacing w:before="120" w:after="0" w:line="240" w:lineRule="auto"/>
              <w:jc w:val="both"/>
              <w:rPr>
                <w:rFonts w:ascii="Calibri" w:eastAsia="Times New Roman" w:hAnsi="Calibri" w:cs="Times New Roman"/>
                <w:b/>
                <w:bCs/>
                <w:noProof/>
                <w:color w:val="000000"/>
                <w:sz w:val="20"/>
                <w:szCs w:val="20"/>
              </w:rPr>
            </w:pPr>
            <w:r>
              <w:rPr>
                <w:rFonts w:ascii="Calibri" w:hAnsi="Calibri"/>
                <w:b/>
                <w:noProof/>
                <w:color w:val="000000"/>
                <w:sz w:val="20"/>
              </w:rPr>
              <w:t> </w:t>
            </w:r>
          </w:p>
        </w:tc>
        <w:tc>
          <w:tcPr>
            <w:tcW w:w="867" w:type="dxa"/>
            <w:tcBorders>
              <w:top w:val="nil"/>
              <w:left w:val="nil"/>
              <w:bottom w:val="single" w:sz="8" w:space="0" w:color="auto"/>
              <w:right w:val="single" w:sz="8" w:space="0" w:color="auto"/>
            </w:tcBorders>
            <w:shd w:val="clear" w:color="000000" w:fill="E7F5CF"/>
            <w:vAlign w:val="center"/>
            <w:hideMark/>
          </w:tcPr>
          <w:p>
            <w:pPr>
              <w:spacing w:before="120" w:after="0" w:line="240" w:lineRule="auto"/>
              <w:jc w:val="both"/>
              <w:rPr>
                <w:rFonts w:ascii="Calibri" w:eastAsia="Times New Roman" w:hAnsi="Calibri" w:cs="Times New Roman"/>
                <w:b/>
                <w:bCs/>
                <w:noProof/>
                <w:color w:val="000000"/>
                <w:sz w:val="20"/>
                <w:szCs w:val="20"/>
              </w:rPr>
            </w:pPr>
            <w:r>
              <w:rPr>
                <w:rFonts w:ascii="Calibri" w:hAnsi="Calibri"/>
                <w:b/>
                <w:noProof/>
                <w:color w:val="000000"/>
                <w:sz w:val="20"/>
              </w:rPr>
              <w:t>2467</w:t>
            </w:r>
          </w:p>
        </w:tc>
        <w:tc>
          <w:tcPr>
            <w:tcW w:w="865" w:type="dxa"/>
            <w:tcBorders>
              <w:top w:val="nil"/>
              <w:left w:val="nil"/>
              <w:bottom w:val="single" w:sz="8" w:space="0" w:color="auto"/>
              <w:right w:val="single" w:sz="8" w:space="0" w:color="auto"/>
            </w:tcBorders>
            <w:shd w:val="clear" w:color="000000" w:fill="E7F5CF"/>
            <w:vAlign w:val="center"/>
            <w:hideMark/>
          </w:tcPr>
          <w:p>
            <w:pPr>
              <w:spacing w:before="120" w:after="0" w:line="240" w:lineRule="auto"/>
              <w:jc w:val="both"/>
              <w:rPr>
                <w:rFonts w:ascii="Calibri" w:eastAsia="Times New Roman" w:hAnsi="Calibri" w:cs="Times New Roman"/>
                <w:b/>
                <w:bCs/>
                <w:noProof/>
                <w:color w:val="000000"/>
                <w:sz w:val="20"/>
                <w:szCs w:val="20"/>
              </w:rPr>
            </w:pPr>
            <w:r>
              <w:rPr>
                <w:rFonts w:ascii="Calibri" w:hAnsi="Calibri"/>
                <w:b/>
                <w:noProof/>
                <w:color w:val="000000"/>
                <w:sz w:val="20"/>
              </w:rPr>
              <w:t>366</w:t>
            </w:r>
          </w:p>
        </w:tc>
        <w:tc>
          <w:tcPr>
            <w:tcW w:w="987" w:type="dxa"/>
            <w:tcBorders>
              <w:top w:val="nil"/>
              <w:left w:val="nil"/>
              <w:bottom w:val="single" w:sz="8" w:space="0" w:color="auto"/>
              <w:right w:val="single" w:sz="8" w:space="0" w:color="auto"/>
            </w:tcBorders>
            <w:shd w:val="clear" w:color="000000" w:fill="E7F5CF"/>
            <w:vAlign w:val="center"/>
            <w:hideMark/>
          </w:tcPr>
          <w:p>
            <w:pPr>
              <w:spacing w:before="120" w:after="0" w:line="240" w:lineRule="auto"/>
              <w:jc w:val="both"/>
              <w:rPr>
                <w:rFonts w:ascii="Calibri" w:eastAsia="Times New Roman" w:hAnsi="Calibri" w:cs="Times New Roman"/>
                <w:b/>
                <w:bCs/>
                <w:noProof/>
                <w:color w:val="000000"/>
                <w:sz w:val="20"/>
                <w:szCs w:val="20"/>
              </w:rPr>
            </w:pPr>
            <w:r>
              <w:rPr>
                <w:rFonts w:ascii="Calibri" w:hAnsi="Calibri"/>
                <w:b/>
                <w:noProof/>
                <w:color w:val="000000"/>
                <w:sz w:val="20"/>
              </w:rPr>
              <w:t> </w:t>
            </w:r>
          </w:p>
        </w:tc>
      </w:tr>
    </w:tbl>
    <w:p>
      <w:pPr>
        <w:tabs>
          <w:tab w:val="center" w:pos="4536"/>
        </w:tabs>
        <w:spacing w:before="120"/>
        <w:rPr>
          <w:i/>
          <w:noProof/>
          <w:sz w:val="20"/>
          <w:szCs w:val="20"/>
        </w:rPr>
      </w:pPr>
      <w:r>
        <w:rPr>
          <w:noProof/>
        </w:rPr>
        <w:tab/>
      </w:r>
      <w:r>
        <w:rPr>
          <w:rFonts w:ascii="Times New Roman" w:hAnsi="Times New Roman"/>
          <w:i/>
          <w:noProof/>
          <w:sz w:val="20"/>
        </w:rPr>
        <w:t>Šaltinis – 2017 m. laikotarpio vidurio programos vertinimas, Deloitte and Coffey International.</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2.4.</w:t>
      </w:r>
      <w:r>
        <w:rPr>
          <w:noProof/>
        </w:rPr>
        <w:tab/>
      </w:r>
      <w:r>
        <w:rPr>
          <w:rFonts w:ascii="Times New Roman" w:hAnsi="Times New Roman"/>
          <w:b/>
          <w:noProof/>
          <w:sz w:val="24"/>
        </w:rPr>
        <w:t>Projektų geografinė kilmė</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Įgyvendinant programą gali dalyvauti ES valstybės narės, šalys kandidatės, potencialios šalys kandidatės (t. y. Vakarų Balkanų šalys) ir ELPA šalys, esančios EEE susitarimo šalimis, jeigu jos pasirašo tarptautinį susitarimą, kuriuo nustatomos jų dalyvavimo programoje sąlygos. 2017 m. programa buvo įgyvendinama 33 dalyvaujančiose šalyse</w:t>
      </w:r>
      <w:r>
        <w:rPr>
          <w:rStyle w:val="FootnoteReference"/>
          <w:rFonts w:ascii="Times New Roman" w:hAnsi="Times New Roman"/>
          <w:noProof/>
          <w:sz w:val="24"/>
        </w:rPr>
        <w:footnoteReference w:id="14"/>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Atsižvelgiant į partnerių organizacijų dalyvavimą, visos įgyvendinant programą dalyvaujančios šalys gavo projektų dotacijas. Vengrija nuolat išlieka šalimi, turinčia daugiausiai dotacijų gavėjų, – nuo 2014 iki 2016 m. jai skirta apie 15 proc. visų projektų dotacijų. Pagal projektų skaičių nedaug atsilieka Slovakija ir Italija – joms skirta atitinkamai 13 ir 11 proc. dotacijų. Tokius skaičius daugiausia nulemia miestų partnerystės priemonė – šioje srityje visoms trims valstybėms narėms tenka beveik pusė gautų paraiškų.</w:t>
      </w:r>
    </w:p>
    <w:p>
      <w:pPr>
        <w:tabs>
          <w:tab w:val="num" w:pos="1429"/>
        </w:tabs>
        <w:spacing w:before="200" w:after="100"/>
        <w:jc w:val="center"/>
        <w:rPr>
          <w:rFonts w:ascii="Times New Roman" w:eastAsia="Calibri" w:hAnsi="Times New Roman" w:cs="Times New Roman"/>
          <w:i/>
          <w:noProof/>
          <w:sz w:val="20"/>
          <w:szCs w:val="20"/>
        </w:rPr>
      </w:pPr>
      <w:r>
        <w:rPr>
          <w:rFonts w:ascii="Times New Roman" w:hAnsi="Times New Roman"/>
          <w:i/>
          <w:noProof/>
          <w:sz w:val="20"/>
        </w:rPr>
        <w:t>Lentelė 3. 2014, 2015 ir 2016 m. gautų paraiškų skaičius pagal šalis</w:t>
      </w:r>
    </w:p>
    <w:p>
      <w:pPr>
        <w:tabs>
          <w:tab w:val="num" w:pos="1429"/>
        </w:tabs>
        <w:spacing w:before="200" w:after="100"/>
        <w:jc w:val="center"/>
        <w:rPr>
          <w:rFonts w:ascii="Times New Roman" w:eastAsia="Calibri" w:hAnsi="Times New Roman" w:cs="Times New Roman"/>
          <w:i/>
          <w:noProof/>
          <w:sz w:val="20"/>
          <w:szCs w:val="20"/>
        </w:rPr>
      </w:pPr>
      <w:r>
        <w:rPr>
          <w:rFonts w:ascii="Times New Roman" w:eastAsia="Calibri" w:hAnsi="Times New Roman" w:cs="Times New Roman"/>
          <w:i/>
          <w:noProof/>
          <w:sz w:val="20"/>
          <w:szCs w:val="20"/>
          <w:lang w:val="en-US" w:eastAsia="en-US" w:bidi="ar-SA"/>
        </w:rPr>
        <w:drawing>
          <wp:inline distT="0" distB="0" distL="0" distR="0">
            <wp:extent cx="5761355" cy="26289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1355" cy="2628932"/>
                    </a:xfrm>
                    <a:prstGeom prst="rect">
                      <a:avLst/>
                    </a:prstGeom>
                  </pic:spPr>
                </pic:pic>
              </a:graphicData>
            </a:graphic>
          </wp:inline>
        </w:drawing>
      </w:r>
    </w:p>
    <w:p>
      <w:pPr>
        <w:jc w:val="center"/>
        <w:rPr>
          <w:rFonts w:ascii="Times New Roman" w:hAnsi="Times New Roman" w:cs="Times New Roman"/>
          <w:i/>
          <w:noProof/>
          <w:sz w:val="20"/>
          <w:szCs w:val="20"/>
        </w:rPr>
      </w:pPr>
      <w:r>
        <w:rPr>
          <w:rFonts w:ascii="Times New Roman" w:hAnsi="Times New Roman"/>
          <w:i/>
          <w:noProof/>
          <w:sz w:val="20"/>
        </w:rPr>
        <w:t>Šaltinis – 2017 m. laikotarpio vidurio programos vertinimas, Deloitte and Coffey International.</w:t>
      </w:r>
    </w:p>
    <w:p>
      <w:pPr>
        <w:spacing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2.5.</w:t>
      </w:r>
      <w:r>
        <w:rPr>
          <w:noProof/>
        </w:rPr>
        <w:tab/>
      </w:r>
      <w:r>
        <w:rPr>
          <w:rFonts w:ascii="Times New Roman" w:hAnsi="Times New Roman"/>
          <w:b/>
          <w:noProof/>
          <w:sz w:val="24"/>
        </w:rPr>
        <w:t>Dalyviai ir partneriai</w:t>
      </w:r>
    </w:p>
    <w:p>
      <w:pPr>
        <w:spacing w:before="120" w:after="120" w:line="240" w:lineRule="auto"/>
        <w:jc w:val="both"/>
        <w:rPr>
          <w:rFonts w:ascii="Times New Roman" w:eastAsia="Times New Roman" w:hAnsi="Times New Roman" w:cs="Times New Roman"/>
          <w:noProof/>
          <w:sz w:val="24"/>
          <w:szCs w:val="24"/>
          <w:vertAlign w:val="superscript"/>
        </w:rPr>
      </w:pPr>
      <w:r>
        <w:rPr>
          <w:rFonts w:ascii="Times New Roman" w:hAnsi="Times New Roman"/>
          <w:noProof/>
          <w:sz w:val="24"/>
        </w:rPr>
        <w:t xml:space="preserve">2014–2016 m. dotacijos skirtos daugiau kaip 1 000 projektų 33 dalyvaujančiose šalyse paremti. Iš viso pagal programą remiamoje veikloje tiesiogiai dalyvavo 3,3 mln. piliečių (pvz., miestų partnerystės veiklos dalyviai, pilietinės visuomenės organizacijų organizuotų renginių dalyviai ir pan.), dar 3,9 mln. piliečių dalyvavo netiesiogiai (pvz., asmenys, kurie naudojosi medžiaga, internete pateikta įgyvendinant programą, skaitė analitikų grupių atliktų tyrimų medžiagą ir pan.). Iš duomenų apie gavėjus, paramą gavusius pirmą kartą, matyti, kad įgyvendinant programą pavyksta pasiekti naują auditoriją, t. y. pritraukiami ir nauji gavėjai, ir </w:t>
      </w:r>
      <w:r>
        <w:rPr>
          <w:rFonts w:ascii="Times New Roman" w:hAnsi="Times New Roman"/>
          <w:noProof/>
          <w:sz w:val="24"/>
        </w:rPr>
        <w:lastRenderedPageBreak/>
        <w:t>palaikomi platesnio masto bei labiau tarptautiniai partnerystės ryšiai</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Įgyvendinant programą per miestų partnerystės projektus ir miestų tinklus pasiekta beveik 4 500 Europos miestų</w:t>
      </w:r>
      <w:r>
        <w:rPr>
          <w:rStyle w:val="FootnoteReference"/>
          <w:noProof/>
        </w:rPr>
        <w:footnoteReference w:id="16"/>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Bendras kiekviename projekte dalyvaujančių partnerių skaičius taip pat gerokai išaugo. Laikui bėgant pareiškėjai įgijo daugiau patirties, taigi pateikta sudėtingesnių projektų, turinčių daugiau partnerių. Iš viso dalyvavo daugiau kaip 2 500 organizacijų – apie 700 atminimo krypties organizacijų ir 1 800 pilietinės visuomenės organizacijų.</w:t>
      </w:r>
      <w:r>
        <w:rPr>
          <w:rFonts w:ascii="Times New Roman" w:hAnsi="Times New Roman"/>
          <w:noProof/>
          <w:sz w:val="24"/>
          <w:vertAlign w:val="superscript"/>
        </w:rPr>
        <w:t xml:space="preserve"> </w:t>
      </w:r>
    </w:p>
    <w:p>
      <w:pPr>
        <w:spacing w:before="120" w:after="120" w:line="240" w:lineRule="auto"/>
        <w:jc w:val="both"/>
        <w:rPr>
          <w:rFonts w:ascii="Times New Roman" w:eastAsia="Times New Roman" w:hAnsi="Times New Roman" w:cs="Times New Roman"/>
          <w:noProof/>
          <w:sz w:val="24"/>
          <w:szCs w:val="24"/>
        </w:rPr>
      </w:pPr>
    </w:p>
    <w:p>
      <w:pPr>
        <w:keepNext/>
        <w:spacing w:before="120" w:after="120" w:line="240" w:lineRule="auto"/>
        <w:jc w:val="both"/>
        <w:rPr>
          <w:rFonts w:ascii="Times New Roman" w:eastAsia="Calibri" w:hAnsi="Times New Roman" w:cs="Times New Roman"/>
          <w:b/>
          <w:noProof/>
          <w:sz w:val="24"/>
          <w:szCs w:val="24"/>
        </w:rPr>
      </w:pPr>
      <w:r>
        <w:rPr>
          <w:rFonts w:ascii="Times New Roman" w:hAnsi="Times New Roman"/>
          <w:b/>
          <w:noProof/>
          <w:sz w:val="24"/>
        </w:rPr>
        <w:t>2.6.</w:t>
      </w:r>
      <w:r>
        <w:rPr>
          <w:noProof/>
        </w:rPr>
        <w:tab/>
      </w:r>
      <w:r>
        <w:rPr>
          <w:rFonts w:ascii="Times New Roman" w:hAnsi="Times New Roman"/>
          <w:b/>
          <w:noProof/>
          <w:sz w:val="24"/>
        </w:rPr>
        <w:t>Projektų kokybė</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Vietoj ankstesnės metinių prioritetų sistemos nustačius daugiamečių teminių prioritetų sistemą, projektų lygmeniu atsirado lankstumo ir patys projektai iš esmės pagerėjo. Siekiant pareiškėjams suteikti daugiau laiko projektams planuoti ir rengti, taip pat suteikti jiems galimybių geriau susitelkti į programos tikslus bei teikti labiau struktūrizuotus ir galbūt didesnio poveikio projektus, buvo nustatyti daugiamečiai prioritetai, apimantys likusį programos laikotarpį (2016–2020 m.).</w:t>
      </w:r>
      <w:r>
        <w:rPr>
          <w:rFonts w:ascii="Arial Narrow" w:hAnsi="Arial Narrow"/>
          <w:noProof/>
          <w:sz w:val="24"/>
        </w:rPr>
        <w:t xml:space="preserve"> </w:t>
      </w:r>
      <w:r>
        <w:rPr>
          <w:rFonts w:ascii="Times New Roman" w:hAnsi="Times New Roman"/>
          <w:noProof/>
          <w:sz w:val="24"/>
        </w:rPr>
        <w:t xml:space="preserve">Kadangi programa labai sutelkta į piliečius, kartu pabrėžiant svarbiausias temas, pavyzdžiui, migracijos, solidarumo, kultūrų įvairovės, socialinės įtraukties, Europos kultūros paveldo ir istorinės atminties, dalyviai turėjo galimybę Europos debatams suteikti eilinių piliečių perspektyvos, o ES institucijos galėjo su žmonėmis tiesiogiai pabendrauti vietoje.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Šie dalykai padėjo pagerinti bendrą miestų partnerystės projektų kokybę, ir tai matyti iš balų, gautų atliekant vertinimą. Anksčiau miestų partnerystės projektus dažnai sudarydavo asmenų iš įvairių šalių susitikimai, siekiant nagrinėti įvairias temas, pavyzdžiui, susijusias su aplinka arba sportu. Įgyvendinant šią programą, Komisijos ir vykdomosios įstaigos tiksliniais veiksmais pavyko pasiekti, kad pagal programą finansuojami miestų partnerystės ir miestų tinklų projektai po truputį taptų įtraukesni ir labiau struktūrizuoti. Šiuose projektuose dabar paprastai būna daug partnerių (vidutiniškai 5, kai projektai yra miestų partnerystės, ir 10, kai projektai yra miestų tinklų)</w:t>
      </w:r>
      <w:r>
        <w:rPr>
          <w:rStyle w:val="FootnoteReference"/>
          <w:rFonts w:ascii="Times New Roman" w:hAnsi="Times New Roman"/>
          <w:noProof/>
          <w:sz w:val="24"/>
        </w:rPr>
        <w:footnoteReference w:id="17"/>
      </w:r>
      <w:r>
        <w:rPr>
          <w:rFonts w:ascii="Times New Roman" w:hAnsi="Times New Roman"/>
          <w:noProof/>
          <w:sz w:val="24"/>
        </w:rPr>
        <w:t>, o patys projektai sutelkti į pagrindines temas, pavyzdžiui, migraciją arba debatus dėl Europos ateities.</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Griežtesni tapo Europos atminimo ir pilietinės visuomenės projektams taikomi turinio reikalavimai, taigi atsirado stipresnė sąsaja su programos tikslais. Dėl šių priežasčių vis daugiau organizacijų pradėjo teikti naujoviškų, Europos matmenį turinčių projektų</w:t>
      </w:r>
      <w:r>
        <w:rPr>
          <w:rStyle w:val="FootnoteReference"/>
          <w:rFonts w:ascii="Times New Roman" w:hAnsi="Times New Roman"/>
          <w:noProof/>
          <w:sz w:val="24"/>
        </w:rPr>
        <w:footnoteReference w:id="18"/>
      </w:r>
      <w:r>
        <w:rPr>
          <w:rFonts w:ascii="Times New Roman" w:hAnsi="Times New Roman"/>
          <w:noProof/>
          <w:sz w:val="24"/>
        </w:rPr>
        <w:t>.</w:t>
      </w:r>
    </w:p>
    <w:p>
      <w:pPr>
        <w:spacing w:before="120" w:after="120" w:line="240" w:lineRule="auto"/>
        <w:jc w:val="both"/>
        <w:rPr>
          <w:rFonts w:ascii="Times New Roman" w:eastAsia="Calibri" w:hAnsi="Times New Roman" w:cs="Times New Roman"/>
          <w:noProof/>
          <w:sz w:val="24"/>
          <w:szCs w:val="24"/>
        </w:rPr>
      </w:pPr>
    </w:p>
    <w:p>
      <w:pPr>
        <w:spacing w:before="120" w:after="120" w:line="240" w:lineRule="auto"/>
        <w:jc w:val="both"/>
        <w:rPr>
          <w:rFonts w:ascii="Times New Roman" w:eastAsia="Calibri" w:hAnsi="Times New Roman" w:cs="Times New Roman"/>
          <w:b/>
          <w:noProof/>
          <w:sz w:val="24"/>
          <w:szCs w:val="24"/>
        </w:rPr>
      </w:pPr>
      <w:r>
        <w:rPr>
          <w:rFonts w:ascii="Times New Roman" w:hAnsi="Times New Roman"/>
          <w:b/>
          <w:noProof/>
          <w:sz w:val="24"/>
        </w:rPr>
        <w:t>2.7.</w:t>
      </w:r>
      <w:r>
        <w:rPr>
          <w:noProof/>
        </w:rPr>
        <w:tab/>
      </w:r>
      <w:r>
        <w:rPr>
          <w:rFonts w:ascii="Times New Roman" w:hAnsi="Times New Roman"/>
          <w:b/>
          <w:noProof/>
          <w:sz w:val="24"/>
        </w:rPr>
        <w:t>Struktūrinė parama organizacijoms</w:t>
      </w:r>
    </w:p>
    <w:p>
      <w:pPr>
        <w:spacing w:before="120" w:after="120" w:line="240" w:lineRule="auto"/>
        <w:jc w:val="both"/>
        <w:rPr>
          <w:rFonts w:ascii="Times New Roman" w:eastAsia="Calibri" w:hAnsi="Times New Roman" w:cs="Times New Roman"/>
          <w:b/>
          <w:noProof/>
          <w:sz w:val="24"/>
          <w:szCs w:val="24"/>
        </w:rPr>
      </w:pPr>
      <w:r>
        <w:rPr>
          <w:rFonts w:ascii="Times New Roman" w:hAnsi="Times New Roman"/>
          <w:noProof/>
          <w:sz w:val="24"/>
        </w:rPr>
        <w:t>2014–2017 m. Europos pilietinės visuomenės organizacijos ir analitikų grupės daugiametę struktūrinę paramą gavo dotacijomis veiklai</w:t>
      </w:r>
      <w:r>
        <w:rPr>
          <w:rStyle w:val="FootnoteReference"/>
          <w:rFonts w:ascii="Times New Roman" w:hAnsi="Times New Roman"/>
          <w:noProof/>
          <w:sz w:val="24"/>
        </w:rPr>
        <w:footnoteReference w:id="19"/>
      </w:r>
      <w:r>
        <w:rPr>
          <w:rFonts w:ascii="Times New Roman" w:hAnsi="Times New Roman"/>
          <w:noProof/>
          <w:sz w:val="24"/>
        </w:rPr>
        <w:t>. Atrinktoms organizacijoms pagal jų 2014–2017 m. darbo programą bus skirtos metinės dotacijos veiklai. Išorės specialistams atlikus programos laikotarpio vidurio vertinimą, daugiametėmis dotacijomis veiklai gavėjams suteikta galimybė dirbti turint ilgesnio laikotarpio viziją, taigi jų veikla tapo veiksmingesnė.</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lastRenderedPageBreak/>
        <w:t>3.</w:t>
      </w:r>
      <w:r>
        <w:rPr>
          <w:noProof/>
        </w:rPr>
        <w:tab/>
      </w:r>
      <w:r>
        <w:rPr>
          <w:rFonts w:ascii="Times New Roman" w:hAnsi="Times New Roman"/>
          <w:b/>
          <w:smallCaps/>
          <w:noProof/>
          <w:sz w:val="24"/>
        </w:rPr>
        <w:t>Programos „Europa piliečiams“ laimėjimai</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Kaip nurodyta pridedamame Komisijos tarnybų darbiniame dokumente, vertinant pagal konkrečius tikslus, programos abiejų krypčių rezultatai per laikotarpio vidurį apskritai yra geri – tai nustatyta pagal poveikio rodiklius atliekant poveikio vertinimą, taip pat pagal Reglamente nustatytus su veiklos rezultatais susijusius rodiklius ir suinteresuotųjų subjektų pareikštą nuomonę.</w:t>
      </w:r>
    </w:p>
    <w:p>
      <w:pPr>
        <w:keepNext/>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3.1.</w:t>
      </w:r>
      <w:r>
        <w:rPr>
          <w:noProof/>
        </w:rPr>
        <w:tab/>
      </w:r>
      <w:r>
        <w:rPr>
          <w:rFonts w:ascii="Times New Roman" w:hAnsi="Times New Roman"/>
          <w:b/>
          <w:noProof/>
          <w:sz w:val="24"/>
        </w:rPr>
        <w:t>Programos aktualumas ir Europos pridėtinė vertė</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Sudėtingomis politinėmis, socialinėmis ir ekonominėmis aplinkybėmis programai teko svarbus vaidmuo – skatinti visos Europos piliečių įsitraukimą į pilietinę veiklą. Įgyvendinant programą piliečiai raginami aktyviau dalyvauti ES raidoje ir skatinamos pagrindinės ES vertybės, kaip antai tolerancija, solidarumas ir nediskriminavimas, – tam pasitelkiami projektai ir veikla, kurioje piliečiai gali dalyvauti, o jų balsai gali būti išgirsti. Daugeliu projektų tiesiogiai sprendžiami dabartiniai politiniai ir visuomenės klausimai, pavyzdžiui, susiję su migracija ir ekonomikos krizėmis. Pagal programą taip pat remta savanorystė, visų pirma suteiktos darbo vietos naujai įsteigto Europos solidarumo korpuso nariams.</w:t>
      </w:r>
    </w:p>
    <w:p>
      <w:pPr>
        <w:keepNext/>
        <w:tabs>
          <w:tab w:val="left" w:pos="850"/>
        </w:tabs>
        <w:spacing w:before="120" w:after="120" w:line="240" w:lineRule="auto"/>
        <w:jc w:val="both"/>
        <w:outlineLvl w:val="1"/>
        <w:rPr>
          <w:rFonts w:ascii="Times New Roman" w:eastAsia="Times New Roman" w:hAnsi="Times New Roman" w:cs="Times New Roman"/>
          <w:noProof/>
          <w:sz w:val="24"/>
          <w:szCs w:val="24"/>
        </w:rPr>
      </w:pPr>
      <w:r>
        <w:rPr>
          <w:rFonts w:ascii="Times New Roman" w:hAnsi="Times New Roman"/>
          <w:noProof/>
          <w:sz w:val="24"/>
        </w:rPr>
        <w:t>Šiuo laikotarpiu didėjant euroskepticizmui programos svarba tapo dar didesnė, taigi dar labiau reikia skatinti ugdyti bendrą Europos tapatybės jausmą ir apsvarstyti priežastis, nulemiančias klausimus dėl Europos Sąjungos patrauklumo ir pridėtinės vertės dalyvaujančioms šalims ir Europos piliečiams. Atsižvelgiant į tai, programa veikė kaip viešoji priemonė, kuria eiliniams piliečiams buvo suteikta galimybė pareikšti savo idėjas dėl Europos ateities.</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Palyginti su ankstesne programa, dabartinėje programoje, siekiant jos tikslų, labai svarbu labiau akcentuoti Europos istorinį atminimą. Dabartine programa visų pirma skatinama susimąstyti apie Europos kultūrų įvairovę ir bendras vertybes, be to, ankstesnė patirtis susisieta su pastarojo meto Europos istorija bei debatais dėl Europos ateities.</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Visa pagal programą „Europa piliečiams“ finansuojama veikla arba turi tarpvalstybinį aspektą, kai įtraukiami kelių dalyvaujančių šalių piliečiai ir organizacijos, arba yra susijusi su pačia Europos Sąjunga. Tokia veikla, kaip atminimas, miestų partnerystė ar visos Europos tinklai, siekiama plėsti perspektyvas ir puoselėti Europos tapatybę ir bendrystės jausmą. Programa daromas poveikis dalyviams ir papildomos kitos ES iniciatyvos, taigi ja apskritai parodoma Europos pridėtinė vertė, kurios nebūtų galima užtikrinti kitais būdais, jei programa nebūtų tęsiama.</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3.2.</w:t>
      </w:r>
      <w:r>
        <w:rPr>
          <w:noProof/>
        </w:rPr>
        <w:tab/>
      </w:r>
      <w:r>
        <w:rPr>
          <w:rFonts w:ascii="Times New Roman" w:hAnsi="Times New Roman"/>
          <w:b/>
          <w:noProof/>
          <w:sz w:val="24"/>
        </w:rPr>
        <w:t xml:space="preserve">Programos tikslų pasiekimas </w:t>
      </w:r>
    </w:p>
    <w:p>
      <w:pPr>
        <w:spacing w:before="120" w:after="120" w:line="240" w:lineRule="auto"/>
        <w:jc w:val="both"/>
        <w:rPr>
          <w:rFonts w:ascii="Times New Roman" w:eastAsia="Times New Roman" w:hAnsi="Times New Roman" w:cs="Times New Roman"/>
          <w:b/>
          <w:noProof/>
          <w:sz w:val="24"/>
          <w:szCs w:val="24"/>
          <w:highlight w:val="yellow"/>
        </w:rPr>
      </w:pPr>
      <w:r>
        <w:rPr>
          <w:rFonts w:ascii="Times New Roman" w:hAnsi="Times New Roman"/>
          <w:noProof/>
          <w:sz w:val="24"/>
        </w:rPr>
        <w:t>Programos kryptimi „Europos atminimas“ padėta geriau informuoti apie Europos istorinę atmintį ir atminimą, taip pat ir plėtojant veiklą, kuria atminimas siejamas su piliečių dalyvavimu ir demokratija pačia plačiausia prasme. Kalbant apie su holokaustu ir genocidu susijusius projektus, buvo skatinami nacionalines sienas peržengiantys mainai ir raginama laikytis europinio požiūrio į istoriją, o tai buvo labai vertinga vykstant tam tikriems debatams. Remiantis išorės specialistų atliktu laikotarpio vidurio vertinimu, dalyviai krypties „Europos atminimas“ projektus užbaigė pripažindami, kad su kitų dalyvaujančių šalių piliečiais juos sieja bendros vertybės ir kad projektais suteikta galimybė padėti ilgam pakeisti dalyvių požiūrį į ES ir jos istoriją, vertybes bei kultūrą</w:t>
      </w:r>
      <w:r>
        <w:rPr>
          <w:rStyle w:val="FootnoteReference"/>
          <w:rFonts w:ascii="Times New Roman" w:hAnsi="Times New Roman"/>
          <w:noProof/>
          <w:sz w:val="24"/>
        </w:rPr>
        <w:footnoteReference w:id="20"/>
      </w:r>
      <w:r>
        <w:rPr>
          <w:rFonts w:ascii="Times New Roman" w:hAnsi="Times New Roman"/>
          <w:noProof/>
          <w:sz w:val="24"/>
        </w:rPr>
        <w:t>.</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sz w:val="24"/>
        </w:rPr>
        <w:t>Miestų partnerystės srityje programa pasiekta rezultatų vietos lygmeniu didinant ir skatinant piliečių tarpusavio supratimą ir draugystę.</w:t>
      </w:r>
      <w:r>
        <w:rPr>
          <w:rFonts w:ascii="Times New Roman" w:hAnsi="Times New Roman"/>
          <w:noProof/>
          <w:color w:val="000000"/>
          <w:sz w:val="24"/>
        </w:rPr>
        <w:t xml:space="preserve"> Miestų partnerystės projektais skatinamas eilinių piliečių požiūris į pilietybę – vietos bendruomenių piliečiai įtraukiami ir skatinami patirti bei pripažinti pridėtinę ES vertę</w:t>
      </w:r>
      <w:r>
        <w:rPr>
          <w:rStyle w:val="FootnoteReference"/>
          <w:rFonts w:ascii="Times New Roman" w:hAnsi="Times New Roman"/>
          <w:noProof/>
          <w:color w:val="000000"/>
          <w:sz w:val="24"/>
        </w:rPr>
        <w:footnoteReference w:id="21"/>
      </w:r>
      <w:r>
        <w:rPr>
          <w:rFonts w:ascii="Times New Roman" w:hAnsi="Times New Roman"/>
          <w:noProof/>
          <w:color w:val="000000"/>
          <w:sz w:val="24"/>
        </w:rPr>
        <w:t>. Ši patirtis, savo ruožtu, kelia gilesnį ES bendrystės jausmą ir, galiausiai, skatina piliečius dalyvauti ES lygmens veikloje.</w:t>
      </w:r>
    </w:p>
    <w:p>
      <w:pPr>
        <w:spacing w:before="120" w:after="120" w:line="240" w:lineRule="auto"/>
        <w:jc w:val="both"/>
        <w:rPr>
          <w:noProof/>
          <w:color w:val="000000"/>
        </w:rPr>
      </w:pPr>
      <w:r>
        <w:rPr>
          <w:rFonts w:ascii="Times New Roman" w:hAnsi="Times New Roman"/>
          <w:noProof/>
          <w:sz w:val="24"/>
        </w:rPr>
        <w:t>Tradicinė miestų partnerystės priemonė papildyta miestų tinklais – miestams bei savivaldybėms siūloma galimybė plėtoti didelio masto projektus, kuriais siekiama didinti jų projektų poveikį ir tvarumą. Turėdami tokią galimybę dotacijų gavėjai galėjo rengti labiau su konkrečia tema ir politika susijusius projektus ir užmegzti ilgalaikius ryšius su organizacijomis partnerėmis</w:t>
      </w:r>
      <w:r>
        <w:rPr>
          <w:rStyle w:val="FootnoteReference"/>
          <w:rFonts w:ascii="Times New Roman" w:hAnsi="Times New Roman"/>
          <w:noProof/>
          <w:sz w:val="24"/>
        </w:rPr>
        <w:footnoteReference w:id="22"/>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Pagal programą buvo remiamos pilietinės visuomenės organizacijos – joms teiktos dotacijos – ir pilietinės visuomenės projektai. Teikiant šią paramą buvo užtikrintas pilietinis ir demokratinis dalyvavimas Europos lygmeniu, ir tuo padėta siekti bendro programos tikslo užtikrinti, kad ES būtų arčiau piliečių. Abiem kryptims skirtas biudžetas kiekvienais metais buvo naudojamas palyginti tolygiai. Iš to, kad programos „Europos piliečiams“ projektai pasiekė daug tiesioginių ir netiesioginių dalyvių, matyti, jog programos buvo veiksmingos, o sąnaudos – palyginti mažos.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Suinteresuotųjų subjektų organizacijų dalyvavimas įgyvendinant programą turėjo įtakos tam, kaip jie suvokia Europą. Dauguma dalyvaujančių organizacijų atkreipė dėmesį į teigiamą poveikį jų žinioms apie Europą ir įsipareigojo labiau įtraukti pilietinę visuomenę. Dalyvavimas įgyvendinant programą pilietinės visuomenės organizacijoms ir jų partneriams taip pat padėjo didinti savo gebėjimus ir įgyti tarptautinės patirties, mokytis vieniems iš kitų ir, tam tikrais atvejais, sudaryti tvarius tinklus.</w:t>
      </w:r>
    </w:p>
    <w:p>
      <w:pPr>
        <w:spacing w:after="240" w:line="240" w:lineRule="auto"/>
        <w:jc w:val="both"/>
        <w:rPr>
          <w:rFonts w:ascii="Times New Roman" w:hAnsi="Times New Roman" w:cs="Times New Roman"/>
          <w:noProof/>
          <w:sz w:val="24"/>
          <w:szCs w:val="24"/>
        </w:rPr>
      </w:pPr>
      <w:r>
        <w:rPr>
          <w:rFonts w:ascii="Times New Roman" w:hAnsi="Times New Roman"/>
          <w:noProof/>
          <w:sz w:val="24"/>
        </w:rPr>
        <w:t>Kalbat apie programos rezultatų tvarumą, projektais užmegzti ilgalaikiai partnerių ryšiai, ir daugeliu atvejų tie partneriai net ir pasibaigus projektui tęsė savo pilietinę veiklą. Taigi, pavyzdžiui, įgyvendinant miestų partnerystės projektus buvo sukurti miestų tinklai ir tie patys paramos gavėjai organizavo tolesnius renginius</w:t>
      </w:r>
      <w:r>
        <w:rPr>
          <w:noProof/>
        </w:rPr>
        <w:t xml:space="preserve"> </w:t>
      </w:r>
      <w:r>
        <w:rPr>
          <w:rFonts w:ascii="Times New Roman" w:hAnsi="Times New Roman"/>
          <w:noProof/>
          <w:sz w:val="24"/>
        </w:rPr>
        <w:t>, taip buvo tęsiama veikla ir projektai įvykus pirminiams pagal programą „Europa piliečiams“ finansuotiems renginiams. Tačiau buvo ir unikalių renginių, pavyzdžiui tokių,</w:t>
      </w:r>
      <w:r>
        <w:rPr>
          <w:noProof/>
        </w:rPr>
        <w:t xml:space="preserve"> </w:t>
      </w:r>
      <w:r>
        <w:rPr>
          <w:rFonts w:ascii="Times New Roman" w:hAnsi="Times New Roman"/>
          <w:noProof/>
          <w:sz w:val="24"/>
        </w:rPr>
        <w:t xml:space="preserve"> kuriais siekta skatinti keistis patirtimi dėmesį sutelkiant į socialinius ir kultūrinius aspektus</w:t>
      </w:r>
      <w:r>
        <w:rPr>
          <w:noProof/>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Vienas iš dalykų, supaprastintų įgyvendinant dabartinę programą, buvo tai, kad programą sudaro tik dvi kryptys ir horizontalusis veiksmas. Paaiškėjo, kad naujoji struktūra yra aiškesnė pareiškėjams ir veikia tinkamai, o nustačius daugiamečius prioritetus, perėjus prie vienkartinės išmokos sistemos ir įvairių e. priemonių (ataskaitų teikimo sistemos), pagerinta dar daug kitų dalykų.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Vis dėlto stebėsenos procesas buvo sunkus dėl to, kad Reglamente nustatyti rodiklių rinkiniai, kurių nebuvo galima tiesiogiai palyginti su rodikliais, kurie naudoti atliekant programos poveikio vertinimą. </w:t>
      </w:r>
    </w:p>
    <w:p>
      <w:pPr>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3.3.</w:t>
      </w:r>
      <w:r>
        <w:rPr>
          <w:noProof/>
        </w:rPr>
        <w:tab/>
      </w:r>
      <w:r>
        <w:rPr>
          <w:rFonts w:ascii="Times New Roman" w:hAnsi="Times New Roman"/>
          <w:b/>
          <w:noProof/>
          <w:sz w:val="24"/>
        </w:rPr>
        <w:t>Rezultatų panaudojimo veikla – siekis kuo geriau išnaudoti programos galimybes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Pagrindinė šios srities veikla – finansinė parama ES valstybių narių ir kitų dalyvaujančių šalių informacinėms struktūroms, t. y. programos „Europa piliečiams“ informaciniams punktams</w:t>
      </w:r>
      <w:r>
        <w:rPr>
          <w:rStyle w:val="FootnoteReference"/>
          <w:rFonts w:ascii="Times New Roman" w:hAnsi="Times New Roman"/>
          <w:noProof/>
          <w:sz w:val="24"/>
        </w:rPr>
        <w:footnoteReference w:id="23"/>
      </w:r>
      <w:r>
        <w:rPr>
          <w:rFonts w:ascii="Times New Roman" w:hAnsi="Times New Roman"/>
          <w:noProof/>
          <w:sz w:val="24"/>
        </w:rPr>
        <w:t>. Išorės specialistų atliktu laikotarpio vidurio vertinimu patvirtinama, kad programos „Europa piliečiams“ informacinių punktų veikla yra veiksminga, – jie, veikdami kaip nacionalinio lygmens dalyviai, propaguoja programą, padeda galimiems paraiškų teikėjams ir mezga ryšius su dalyvaujančių šalių visuomeninėmis organizacijoms ir suinteresuotaisiais subjektais.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Be to, buvo plėtojamos ir naudojamos tokios projektų rezultatų skaldos priemonės kaip platforma VALOR</w:t>
      </w:r>
      <w:r>
        <w:rPr>
          <w:rStyle w:val="FootnoteReference"/>
          <w:rFonts w:ascii="Times New Roman" w:hAnsi="Times New Roman"/>
          <w:noProof/>
          <w:sz w:val="24"/>
        </w:rPr>
        <w:footnoteReference w:id="24"/>
      </w:r>
      <w:r>
        <w:rPr>
          <w:rFonts w:ascii="Times New Roman" w:hAnsi="Times New Roman"/>
          <w:noProof/>
          <w:sz w:val="24"/>
        </w:rPr>
        <w:t>. Ši nauja internetinė duomenų bazė padeda skatinti keitimąsi gerąja patirtimi ir švietimo, kultūros bei pilietybės sričių ES finansuojamų programų sinergiją.</w:t>
      </w:r>
    </w:p>
    <w:p>
      <w:pPr>
        <w:spacing w:before="120" w:after="120" w:line="240" w:lineRule="auto"/>
        <w:jc w:val="both"/>
        <w:rPr>
          <w:rFonts w:ascii="Times New Roman" w:eastAsia="Times" w:hAnsi="Times New Roman" w:cs="Times New Roman"/>
          <w:noProof/>
          <w:sz w:val="24"/>
          <w:szCs w:val="24"/>
        </w:rPr>
      </w:pPr>
      <w:r>
        <w:rPr>
          <w:rFonts w:ascii="Times New Roman" w:hAnsi="Times New Roman"/>
          <w:noProof/>
          <w:sz w:val="24"/>
        </w:rPr>
        <w:t>Nors sklaidos veikla plačiai padėta geriau informuoti apie programą, būtų naudinga per antrą programos įgyvendinimo laikotarpio dalį parengti strategiškesnį metodą, kad veikla taptų dar geriau matoma, projektų rezultatus būtų lengviau perduoti ir jie būtų tvaresni.</w:t>
      </w:r>
    </w:p>
    <w:p>
      <w:pPr>
        <w:spacing w:before="120" w:after="120" w:line="240" w:lineRule="auto"/>
        <w:jc w:val="both"/>
        <w:rPr>
          <w:rFonts w:ascii="Times New Roman" w:hAnsi="Times New Roman" w:cs="Times New Roman"/>
          <w:noProof/>
          <w:sz w:val="24"/>
          <w:szCs w:val="24"/>
        </w:rPr>
      </w:pP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3.4.</w:t>
      </w:r>
      <w:r>
        <w:rPr>
          <w:noProof/>
        </w:rPr>
        <w:tab/>
      </w:r>
      <w:r>
        <w:rPr>
          <w:rFonts w:ascii="Times New Roman" w:hAnsi="Times New Roman"/>
          <w:b/>
          <w:noProof/>
          <w:sz w:val="24"/>
        </w:rPr>
        <w:t>Politiniai renginiai ir susitikimai</w:t>
      </w:r>
    </w:p>
    <w:p>
      <w:pPr>
        <w:spacing w:after="240" w:line="240" w:lineRule="auto"/>
        <w:jc w:val="both"/>
        <w:rPr>
          <w:rFonts w:ascii="Times New Roman" w:hAnsi="Times New Roman" w:cs="Times New Roman"/>
          <w:noProof/>
          <w:sz w:val="24"/>
          <w:szCs w:val="24"/>
        </w:rPr>
      </w:pPr>
      <w:r>
        <w:rPr>
          <w:rFonts w:ascii="Times New Roman" w:hAnsi="Times New Roman"/>
          <w:noProof/>
          <w:sz w:val="24"/>
        </w:rPr>
        <w:t>Per visą pirmą programos įgyvendinimo laikotarpio dalį organizuotais renginiais padėta geriau informuoti apie programą ir didinti jos bendrą matomumą, taip pat padėta aktyviau įtraukti suinteresuotuosius subjektus. Nuo 2010 m. Europos Komisija kasmet rengia programos krypties „Europos atminimas“ tinklų kūrimo susitikimus, juose susitinka organizacijų atstovai, kurių veikla susijusi su kryptimi „Europos atminimas“. Be to, nuo 2012 m. Europos Komisija Briuselyje organizuoja specialų kasmetinį renginį holokausto aukoms atminti, sausio 27 d. minint Tarptautinę holokausto aukų atminimo dieną. Šiais renginiais ne tik raginama plėtoti visą Europą aprėpiančius atminimo tinklus, bet ir gerinamas dialogas dėl daugiamečių šios programos atminimo krypties prioritetų, jais taip pat teikiama galimybė padaryti labiau matomą bendrą programos profilį.</w:t>
      </w:r>
    </w:p>
    <w:p>
      <w:pPr>
        <w:spacing w:after="0" w:line="240" w:lineRule="auto"/>
        <w:jc w:val="both"/>
        <w:rPr>
          <w:rFonts w:ascii="Times New Roman" w:hAnsi="Times New Roman" w:cs="Times New Roman"/>
          <w:noProof/>
          <w:sz w:val="24"/>
          <w:szCs w:val="24"/>
        </w:rPr>
      </w:pPr>
      <w:r>
        <w:rPr>
          <w:rFonts w:ascii="Times New Roman" w:hAnsi="Times New Roman"/>
          <w:noProof/>
          <w:sz w:val="24"/>
        </w:rPr>
        <w:t>Kalbant apie su piliečių dalyvavimu susijusią kryptį, bendradarbiaujant su suinteresuotųjų subjektų organizacijomis buvo surengtos dvi konferencijos (2014 m. Romoje ir 2016 m. Barselonoje), taigi padidintas politinis pagal programą finansuojamos veiklos matomumas.</w:t>
      </w:r>
    </w:p>
    <w:p>
      <w:pPr>
        <w:spacing w:after="0" w:line="240" w:lineRule="auto"/>
        <w:jc w:val="both"/>
        <w:rPr>
          <w:rFonts w:ascii="Arial Narrow" w:hAnsi="Arial Narrow" w:cs="Arial"/>
          <w:noProof/>
        </w:rPr>
      </w:pPr>
    </w:p>
    <w:p>
      <w:pPr>
        <w:spacing w:before="120" w:after="120" w:line="240" w:lineRule="auto"/>
        <w:jc w:val="both"/>
        <w:rPr>
          <w:rFonts w:ascii="Times New Roman" w:eastAsia="Times" w:hAnsi="Times New Roman" w:cs="Times New Roman"/>
          <w:noProof/>
          <w:sz w:val="24"/>
          <w:szCs w:val="24"/>
        </w:rPr>
      </w:pPr>
      <w:r>
        <w:rPr>
          <w:rFonts w:ascii="Times New Roman" w:hAnsi="Times New Roman"/>
          <w:noProof/>
          <w:sz w:val="24"/>
        </w:rPr>
        <w:t>Suinteresuotieji asmenys programos politikos formavimo procese dalyvauja per pilietinį dialogą, t. y. per reguliarius Komisijos darbuotojų ir maždaug 50 pagrindinių aktyviai dalyvaujančių suinteresuotųjų subjektų organizacijų susitikimus. Programos Pilietinio dialogo grupės darbu užtikrinama, kad ES debatuose būtų girdimas ir nepriklausomas pilietinės visuomenės balsas, o piliečiams teikiama galimybė palaikyti dialogą su Komisija ir kitomis institucijomis.</w:t>
      </w:r>
    </w:p>
    <w:p>
      <w:pPr>
        <w:spacing w:after="0" w:line="240" w:lineRule="auto"/>
        <w:jc w:val="both"/>
        <w:rPr>
          <w:rFonts w:ascii="Times New Roman" w:eastAsia="Times New Roman" w:hAnsi="Times New Roman" w:cs="Times New Roman"/>
          <w:noProof/>
          <w:sz w:val="24"/>
          <w:szCs w:val="24"/>
        </w:rPr>
      </w:pPr>
    </w:p>
    <w:p>
      <w:pPr>
        <w:keepNext/>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3.5.</w:t>
      </w:r>
      <w:r>
        <w:rPr>
          <w:noProof/>
        </w:rPr>
        <w:tab/>
      </w:r>
      <w:r>
        <w:rPr>
          <w:rFonts w:ascii="Times New Roman" w:hAnsi="Times New Roman"/>
          <w:b/>
          <w:noProof/>
          <w:sz w:val="24"/>
        </w:rPr>
        <w:t>Šios programos ir kitų ES programų tarpusavio papildomumas ir sinergija</w:t>
      </w:r>
    </w:p>
    <w:p>
      <w:pPr>
        <w:spacing w:after="240" w:line="240" w:lineRule="auto"/>
        <w:jc w:val="both"/>
        <w:rPr>
          <w:rFonts w:ascii="Times New Roman" w:hAnsi="Times New Roman" w:cs="Times New Roman"/>
          <w:noProof/>
          <w:sz w:val="24"/>
          <w:szCs w:val="24"/>
        </w:rPr>
      </w:pPr>
      <w:r>
        <w:rPr>
          <w:rFonts w:ascii="Times New Roman" w:hAnsi="Times New Roman"/>
          <w:noProof/>
          <w:sz w:val="24"/>
        </w:rPr>
        <w:t>Programa „Europa piliečiams“ dera su kitų sričių ES politika ir priemonėmis, skirtomis skatinti ES piliečius aktyviau dalyvauti ES pilietinėje visuomenėje, ir yra suderinama su kitomis savanorystės, jaunimo, mokslinių tyrimų ir inovacijų sričių priemonėmis.  Šia programa papildomos kitos ES finansavimo programos, visų pirma „Erasmus+“, Europos solidarumo korpusas, programos „Kūrybiška Europa“ kultūros paprogramė ir 2018-ieji Europos kultūros paveldo metai, t. y. dėmesys sutelkiamas į dalyvavimą ir labai pabrėžiami ES aspektai, susiję su piliečiais ir visuomene.</w:t>
      </w:r>
    </w:p>
    <w:p>
      <w:pPr>
        <w:spacing w:after="240" w:line="240" w:lineRule="auto"/>
        <w:jc w:val="both"/>
        <w:rPr>
          <w:rFonts w:ascii="Times New Roman" w:eastAsia="Times" w:hAnsi="Times New Roman" w:cs="Times New Roman"/>
          <w:noProof/>
          <w:sz w:val="24"/>
          <w:szCs w:val="24"/>
        </w:rPr>
      </w:pPr>
      <w:r>
        <w:rPr>
          <w:rFonts w:ascii="Times New Roman" w:hAnsi="Times New Roman"/>
          <w:noProof/>
          <w:sz w:val="24"/>
        </w:rPr>
        <w:t>Nors tam tikrose srityse sinergijos jau esama, pavyzdžiui, sukurta pirmiau minėta platforma VALOR, taip pat kartais vyksta programos „Europa piliečiams“ informacinių punktų, programos „Kūrybiška Europa“ centrų ir „ Erasmus+“ nacionalinių agentūrų bendradarbiavimas,</w:t>
      </w:r>
      <w:r>
        <w:rPr>
          <w:noProof/>
        </w:rPr>
        <w:t xml:space="preserve"> </w:t>
      </w:r>
      <w:r>
        <w:rPr>
          <w:rFonts w:ascii="Times New Roman" w:hAnsi="Times New Roman"/>
          <w:noProof/>
          <w:sz w:val="24"/>
        </w:rPr>
        <w:t>iš laikotarpio vidurio vertinimo matyti, kad ateityje įgyvendinant programą būtų naudinga ją koordinuoti su kitomis susijusiomis programomis.</w:t>
      </w:r>
    </w:p>
    <w:p>
      <w:pPr>
        <w:spacing w:after="240" w:line="240" w:lineRule="auto"/>
        <w:jc w:val="both"/>
        <w:rPr>
          <w:rFonts w:ascii="Times New Roman" w:eastAsia="Times New Roman" w:hAnsi="Times New Roman" w:cs="Times New Roman"/>
          <w:b/>
          <w:smallCaps/>
          <w:noProof/>
          <w:sz w:val="24"/>
          <w:szCs w:val="24"/>
        </w:rPr>
      </w:pPr>
      <w:bookmarkStart w:id="3" w:name="3"/>
      <w:bookmarkEnd w:id="3"/>
      <w:r>
        <w:rPr>
          <w:rFonts w:ascii="Times New Roman" w:hAnsi="Times New Roman"/>
          <w:b/>
          <w:smallCaps/>
          <w:noProof/>
          <w:sz w:val="24"/>
        </w:rPr>
        <w:t>4.</w:t>
      </w:r>
      <w:r>
        <w:rPr>
          <w:noProof/>
        </w:rPr>
        <w:tab/>
      </w:r>
      <w:r>
        <w:rPr>
          <w:rFonts w:ascii="Times New Roman" w:hAnsi="Times New Roman"/>
          <w:b/>
          <w:smallCaps/>
          <w:noProof/>
          <w:sz w:val="24"/>
        </w:rPr>
        <w:t>Išvados ir tolesni veiksmai</w:t>
      </w:r>
    </w:p>
    <w:p>
      <w:pPr>
        <w:spacing w:after="240" w:line="240" w:lineRule="auto"/>
        <w:jc w:val="both"/>
        <w:rPr>
          <w:rFonts w:ascii="Times New Roman" w:hAnsi="Times New Roman" w:cs="Times New Roman"/>
          <w:noProof/>
          <w:sz w:val="24"/>
          <w:szCs w:val="24"/>
        </w:rPr>
      </w:pPr>
      <w:r>
        <w:rPr>
          <w:rFonts w:ascii="Times New Roman" w:hAnsi="Times New Roman"/>
          <w:noProof/>
          <w:sz w:val="24"/>
        </w:rPr>
        <w:t>Dėl pastarojo dešimtmečio Europos politinių ir visuomeninių pokyčių išryškėjo su pilietiškumu susiję klausimai ir tapo aiškiai matyti, kad reikia didinti ES piliečių suvokiamą europinių projektų vertę.</w:t>
      </w:r>
    </w:p>
    <w:p>
      <w:pPr>
        <w:spacing w:before="120" w:after="240" w:line="240" w:lineRule="auto"/>
        <w:jc w:val="both"/>
        <w:rPr>
          <w:rFonts w:ascii="Times New Roman" w:eastAsia="Times New Roman" w:hAnsi="Times New Roman" w:cs="Times New Roman"/>
          <w:noProof/>
          <w:sz w:val="24"/>
          <w:szCs w:val="24"/>
        </w:rPr>
      </w:pPr>
      <w:r>
        <w:rPr>
          <w:rFonts w:ascii="Times New Roman" w:hAnsi="Times New Roman"/>
          <w:noProof/>
          <w:sz w:val="24"/>
        </w:rPr>
        <w:t>Šia 2014–2020 m. programos „Europa piliečiams“ laikotarpio vidurio vertinimo ataskaita patvirtinama programos nauda skatinant piliečių dalyvavimą, stiprinant tarpusavio bendrystės jausmą ir palaikant tarpusavio supratimą. Programai tenka teigiamas bendras vaidmuo skatinant piliečių dalyvavimą ir demokratinį įsipareigojimą, pasiekiant kuo daugiau piliečių, kurie priešingu atveju nebūtų įsitraukę įgyvendinant europinį projektą. Dalyvavimas programoje padeda daugiau sužinoti apie ES ir plėtoti bendrą Europos suvokimą bei tapatinimąsi su ja, taigi ilgesnėje perspektyvoje padedama remti Europos integracijos procesą. Piliečių dalyvavimo ir Europos atminimo srityse programa „Europa piliečiams“ nuo pat jos įgyvendinimo pradžios buvo pripažįstama kaip žingsnis nuoseklesnės ES strategijos ir politikos link. Šiomis aplinkybėmis programa taip pat gali padėti didinti piliečių susidomėjimą būsimais Europos Parlamento rinkimais ir skatinti juose dalyvauti.</w:t>
      </w:r>
    </w:p>
    <w:p>
      <w:pPr>
        <w:spacing w:line="240" w:lineRule="auto"/>
        <w:jc w:val="both"/>
        <w:rPr>
          <w:rFonts w:ascii="Times New Roman" w:hAnsi="Times New Roman" w:cs="Times New Roman"/>
          <w:noProof/>
          <w:color w:val="000000"/>
          <w:sz w:val="24"/>
          <w:szCs w:val="24"/>
        </w:rPr>
      </w:pPr>
      <w:r>
        <w:rPr>
          <w:rFonts w:ascii="Times New Roman" w:hAnsi="Times New Roman"/>
          <w:noProof/>
          <w:sz w:val="24"/>
        </w:rPr>
        <w:t>Programos dabartinė struktūra – dvi kryptys ir horizontalioji priemonė, susijusi su rezultatų panaudojimu, – buvo naudinga vykstant debatams dėl ES ateities remiantis praeityje įgyta patirtimi.</w:t>
      </w:r>
      <w:r>
        <w:rPr>
          <w:rFonts w:ascii="Times New Roman" w:hAnsi="Times New Roman"/>
          <w:noProof/>
          <w:color w:val="000000"/>
          <w:sz w:val="24"/>
        </w:rPr>
        <w:t xml:space="preserve"> Ir dotacijomis veiklai, ir dotacijomis veiksmams padėta pasiekti norimus rezultatus.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Nors dauguma ES finansuojamų programų yra tiesiogiai susijusios su konkrečia ES politika, programa „Europa piliečiams“ užpildoma spraga, nes siekiama Komisijos bendro tikslo – užtikrinti, kad ES būtų arčiau piliečių. Kadangi dirbama tiesiogiai su piliečiais, ši programa yra unikali priemonė, kuria eiliniams piliečiams suteikiama galimybė įsitraukti į ES veiklą. Šia programa įrodyta jos ES lygmens pridėtinė vertė, kuriama tiek jos poveikiu dalyviams, tiek jos vaidmeniu papildant kitas ES finansavimo priemones ir politikos iniciatyvas.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Rengdama būsimą daugiametę finansinę programą ir būsimas ES finansavimo programas Komisija vertins laikotarpio vidurio vertinimo išvadas ir atkreips dėmesį į visus nurodytus aspektus, susijusius su tobulinimu, visų pirma tai pasakytina apie programos matomumo didinimą, stebėsenos rodiklių persvarstymą ir sinergijos su kitomis atitinkamomis ES finansuojamomis programomis ir iniciatyvomis stiprinimą. </w:t>
      </w:r>
    </w:p>
    <w:sectPr>
      <w:headerReference w:type="even" r:id="rId17"/>
      <w:headerReference w:type="default" r:id="rId18"/>
      <w:footerReference w:type="even" r:id="rId19"/>
      <w:footerReference w:type="default" r:id="rId20"/>
      <w:headerReference w:type="first" r:id="rId21"/>
      <w:footerReference w:type="first" r:id="rId22"/>
      <w:pgSz w:w="11907" w:h="16839"/>
      <w:pgMar w:top="1134" w:right="1417" w:bottom="1134" w:left="1417"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74596"/>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567" w:hanging="567"/>
        <w:rPr>
          <w:rFonts w:ascii="Times New Roman" w:hAnsi="Times New Roman" w:cs="Times New Roman"/>
        </w:rPr>
      </w:pPr>
      <w:r>
        <w:rPr>
          <w:rStyle w:val="FootnoteReference"/>
          <w:rFonts w:ascii="Times New Roman" w:hAnsi="Times New Roman"/>
        </w:rPr>
        <w:footnoteRef/>
      </w:r>
      <w:r>
        <w:tab/>
      </w:r>
      <w:r>
        <w:rPr>
          <w:rFonts w:ascii="Times New Roman" w:hAnsi="Times New Roman"/>
        </w:rPr>
        <w:t>2014 m. balandžio 14 d. Tarybos reglamentas (ES) Nr. 390/2014, kuriuo nustatoma 2014–2020 m. laikotarpio programa „Europa piliečiams“, OL L 115, 2014 4 17.</w:t>
      </w:r>
    </w:p>
  </w:footnote>
  <w:footnote w:id="2">
    <w:p>
      <w:pPr>
        <w:pStyle w:val="FootnoteText"/>
        <w:ind w:left="567" w:hanging="567"/>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Programos „Europa piliečiams“ laikotarpio vidurio vertinimas, </w:t>
      </w:r>
      <w:r>
        <w:rPr>
          <w:rFonts w:ascii="Times New Roman" w:hAnsi="Times New Roman"/>
          <w:i/>
        </w:rPr>
        <w:t>Deloitte and Coffey International</w:t>
      </w:r>
      <w:r>
        <w:rPr>
          <w:rFonts w:ascii="Times New Roman" w:hAnsi="Times New Roman"/>
        </w:rPr>
        <w:t>, 2017 m. liepos mėn.</w:t>
      </w:r>
    </w:p>
  </w:footnote>
  <w:footnote w:id="3">
    <w:p>
      <w:pPr>
        <w:pStyle w:val="FootnoteText"/>
        <w:ind w:left="567" w:hanging="567"/>
        <w:rPr>
          <w:rFonts w:ascii="Times New Roman" w:hAnsi="Times New Roman" w:cs="Times New Roman"/>
        </w:rPr>
      </w:pPr>
      <w:r>
        <w:rPr>
          <w:rStyle w:val="FootnoteReference"/>
        </w:rPr>
        <w:footnoteRef/>
      </w:r>
      <w:r>
        <w:tab/>
      </w:r>
      <w:r>
        <w:rPr>
          <w:rFonts w:ascii="Times New Roman" w:hAnsi="Times New Roman"/>
        </w:rPr>
        <w:t>Komisijos tarnybų darbinis dokumentas, pridedamas prie ataskaitos dėl 2014–2020 m. programos „Europa piliečiams“ įgyvendinimo laikotarpio vidurio vertinimo.</w:t>
      </w:r>
    </w:p>
  </w:footnote>
  <w:footnote w:id="4">
    <w:p>
      <w:pPr>
        <w:pStyle w:val="FootnoteText"/>
        <w:ind w:left="567" w:hanging="56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Europos Parlamento pranešimas dėl 2014 m. balandžio 14 d. Tarybos reglamento (ES) Nr. 390/2014, kuriuo nustatoma 2014–2020 m. laikotarpio programa „Europa piliečiams“, įgyvendinimo (2015/2329(INI)).</w:t>
      </w:r>
    </w:p>
  </w:footnote>
  <w:footnote w:id="5">
    <w:p>
      <w:pPr>
        <w:pStyle w:val="FootnoteText"/>
        <w:ind w:left="567" w:hanging="56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Žr. </w:t>
      </w:r>
      <w:hyperlink r:id="rId1">
        <w:r>
          <w:rPr>
            <w:rStyle w:val="Hyperlink"/>
            <w:rFonts w:ascii="Times New Roman" w:hAnsi="Times New Roman"/>
          </w:rPr>
          <w:t>https://ec.europa.eu/home-affairs/content/public-consultation-mid-term-evaluation-europe-citizens-programme-2014-2020_en.</w:t>
        </w:r>
      </w:hyperlink>
    </w:p>
  </w:footnote>
  <w:footnote w:id="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Po derybų dėl dabartinės 2014–2020 m. daugiametės finansinės programos šis paskirtas biudžetas buvo sumažintas apie 29,5 mln. EUR, palyginti su Komisijos iš pradžių pasiūlytu biudžetu.</w:t>
      </w:r>
    </w:p>
  </w:footnote>
  <w:footnote w:id="7">
    <w:p>
      <w:pPr>
        <w:pStyle w:val="FootnoteText"/>
      </w:pPr>
      <w:r>
        <w:rPr>
          <w:rStyle w:val="FootnoteReference"/>
        </w:rPr>
        <w:footnoteRef/>
      </w:r>
      <w:r>
        <w:t xml:space="preserve"> </w:t>
      </w:r>
      <w:r>
        <w:rPr>
          <w:rFonts w:ascii="Times New Roman" w:hAnsi="Times New Roman"/>
        </w:rPr>
        <w:t xml:space="preserve">Pavyzdžiui, 2013 m. iš viso finansuoti 544 projektai, o 2016 m. finansuoti atrinkti tik 395 projektai. 2013 m. iš viso finansuoti 353 miestų partnerystės projektai ir 41 miestų tinklas, bet 2016 m. finansuoti tik 237 miestų partnerystės projektai ir 30 miestų tinklų. </w:t>
      </w:r>
    </w:p>
  </w:footnote>
  <w:footnote w:id="8">
    <w:p>
      <w:pPr>
        <w:pStyle w:val="FootnoteText"/>
        <w:ind w:left="567" w:hanging="56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Europos Komisijos 2014, 2015 ir 2016 m. programos veiklos metinės ataskaitos.</w:t>
      </w:r>
    </w:p>
  </w:footnote>
  <w:footnote w:id="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Žr. pirmiau pateiktą nuorodą.</w:t>
      </w:r>
    </w:p>
  </w:footnote>
  <w:footnote w:id="10">
    <w:p>
      <w:pPr>
        <w:pStyle w:val="FootnoteText"/>
      </w:pPr>
      <w:r>
        <w:rPr>
          <w:rStyle w:val="FootnoteReference"/>
          <w:rFonts w:ascii="Times New Roman" w:hAnsi="Times New Roman"/>
        </w:rPr>
        <w:footnoteRef/>
      </w:r>
      <w:r>
        <w:rPr>
          <w:rFonts w:ascii="Times New Roman" w:hAnsi="Times New Roman"/>
        </w:rPr>
        <w:t xml:space="preserve"> Tai būtų simbolinė atitiktis – kiekvienam piliečiui po 1 eurą.</w:t>
      </w:r>
    </w:p>
  </w:footnote>
  <w:footnote w:id="11">
    <w:p>
      <w:pPr>
        <w:pStyle w:val="FootnoteText"/>
      </w:pPr>
      <w:r>
        <w:rPr>
          <w:rStyle w:val="FootnoteReference"/>
        </w:rPr>
        <w:footnoteRef/>
      </w:r>
      <w:r>
        <w:t xml:space="preserve"> </w:t>
      </w:r>
      <w:r>
        <w:rPr>
          <w:rFonts w:ascii="Times New Roman" w:hAnsi="Times New Roman"/>
        </w:rPr>
        <w:t>Žr. Ekonomikos ir socialinių reikalų komiteto dokumentą  „Pilietinės visuomenės organizacijų finansavimas ES lėšomis“, 2017 m. spalio 19 d. Jean Marc Roirant nuomonė savo iniciatyva, EESRK 2017, 01953.</w:t>
      </w:r>
      <w:r>
        <w:rPr>
          <w:b/>
        </w:rPr>
        <w:t xml:space="preserve"> </w:t>
      </w:r>
    </w:p>
  </w:footnote>
  <w:footnote w:id="12">
    <w:p>
      <w:pPr>
        <w:pStyle w:val="FootnoteText"/>
        <w:ind w:left="567" w:hanging="56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Procentiniai dydžiai pateikti suapvalinti.</w:t>
      </w:r>
    </w:p>
  </w:footnote>
  <w:footnote w:id="13">
    <w:p>
      <w:pPr>
        <w:pStyle w:val="FootnoteText"/>
        <w:rPr>
          <w:rFonts w:ascii="Times New Roman" w:hAnsi="Times New Roman" w:cs="Times New Roman"/>
        </w:rPr>
      </w:pPr>
      <w:r>
        <w:rPr>
          <w:rStyle w:val="FootnoteReference"/>
        </w:rPr>
        <w:footnoteRef/>
      </w:r>
      <w:r>
        <w:t xml:space="preserve"> </w:t>
      </w:r>
      <w:r>
        <w:rPr>
          <w:rFonts w:ascii="Times New Roman" w:hAnsi="Times New Roman"/>
        </w:rPr>
        <w:t>2015 ir 2016 m. dar kartą teikti paraiškas galėjo tik organizacijos, iš pradžių atrinktos paskelbus kvietimą teikti pasiūlymus dėl pirmųjų programos metų.</w:t>
      </w:r>
    </w:p>
  </w:footnote>
  <w:footnote w:id="1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28 ES valstybėse narėse, taip pat Albanijoje, Bosnijoje ir Hercegovinoje, Juodkalnijoje, buvusioje Jugoslavijos Respublikoje Makedonijoje ir Serbijoje.</w:t>
      </w:r>
    </w:p>
  </w:footnote>
  <w:footnote w:id="1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Žr. prie šios ataskaitos pridedamo Komisijos tarnybų darbinio dokumento 3 skyrių.</w:t>
      </w:r>
    </w:p>
  </w:footnote>
  <w:footnote w:id="16">
    <w:p>
      <w:pPr>
        <w:pStyle w:val="FootnoteText"/>
        <w:ind w:left="567" w:hanging="56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EACEA pateikti programos stebėsenos duomenys.</w:t>
      </w:r>
    </w:p>
  </w:footnote>
  <w:footnote w:id="1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Žr., pvz., Prancūzijos miestų partnerystės projektą „Europos festivalis“, aprašytą pridedamo Komisijos tarnybų darbinio dokumento 4 priede.</w:t>
      </w:r>
    </w:p>
  </w:footnote>
  <w:footnote w:id="18">
    <w:p>
      <w:pPr>
        <w:autoSpaceDE w:val="0"/>
        <w:autoSpaceDN w:val="0"/>
        <w:spacing w:after="0"/>
      </w:pPr>
      <w:r>
        <w:rPr>
          <w:rStyle w:val="FootnoteReference"/>
          <w:rFonts w:ascii="Times New Roman" w:hAnsi="Times New Roman"/>
          <w:sz w:val="20"/>
        </w:rPr>
        <w:footnoteRef/>
      </w:r>
      <w:r>
        <w:rPr>
          <w:rFonts w:ascii="Times New Roman" w:hAnsi="Times New Roman"/>
          <w:sz w:val="20"/>
        </w:rPr>
        <w:t xml:space="preserve"> Žr., pvz., atminimo projektą „In Between?“, aprašytą pridedamo Komisijos tarnybų darbinio dokumento 4 priede.</w:t>
      </w:r>
    </w:p>
  </w:footnote>
  <w:footnote w:id="19">
    <w:p>
      <w:pPr>
        <w:pStyle w:val="FootnoteText"/>
        <w:ind w:left="426" w:hanging="426"/>
      </w:pPr>
      <w:r>
        <w:rPr>
          <w:rStyle w:val="FootnoteReference"/>
          <w:rFonts w:ascii="Times New Roman" w:hAnsi="Times New Roman"/>
        </w:rPr>
        <w:footnoteRef/>
      </w:r>
      <w:r>
        <w:rPr>
          <w:rFonts w:ascii="Times New Roman" w:hAnsi="Times New Roman"/>
        </w:rPr>
        <w:t xml:space="preserve"> Kvietimas teikti pasiūlymus dėl struktūrizuotos paramos Europos viešosios politikos tyrimų organizacijoms (analitikų grupėms) – COMM-C2/01-2013.</w:t>
      </w:r>
    </w:p>
  </w:footnote>
  <w:footnote w:id="2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Žr., pvz., Airijos vykdytą atminimo krypties projektą „Moterys, karas ir taika“, aprašytą pridedamo Komisijos tarnybų darbinio dokumento 4 priede.</w:t>
      </w:r>
    </w:p>
  </w:footnote>
  <w:footnote w:id="2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Žr., pvz., San Bartolomė de las Abiertas (Ispanija) ir Lavernosės-Lakasės vykdytą miestų partnerystės projektą, aprašytą pridedamo Komisijos tarnybų darbinio dokumento 4 priede.</w:t>
      </w:r>
    </w:p>
  </w:footnote>
  <w:footnote w:id="2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Žr., pvz., Nyderlandų vykdytą miestų partnerystės projektą „Miestas miestui, žmonės žmonėms. Europinės nulinių atliekų kultūros puoselėjimas“, aprašytą pridedamo Komisijos tarnybų darbinio dokumento 4 priede.</w:t>
      </w:r>
    </w:p>
  </w:footnote>
  <w:footnote w:id="23">
    <w:p>
      <w:pPr>
        <w:pStyle w:val="FootnoteText"/>
      </w:pPr>
      <w:r>
        <w:rPr>
          <w:rStyle w:val="FootnoteReference"/>
          <w:rFonts w:ascii="Times New Roman" w:hAnsi="Times New Roman"/>
        </w:rPr>
        <w:footnoteRef/>
      </w:r>
      <w:r>
        <w:rPr>
          <w:rFonts w:ascii="Times New Roman" w:hAnsi="Times New Roman"/>
        </w:rPr>
        <w:t xml:space="preserve"> 2014–2016 m. programos „Europa piliečiams“ informacinius punktus buvo įsteigusios visos valstybės narės ir dalyvaujančios šalys, išskyrus Jungtinę Karalystę, Albaniją, Bosniją ir Hercegoviną ir Juodkalniją.</w:t>
      </w:r>
    </w:p>
  </w:footnote>
  <w:footnote w:id="24">
    <w:p>
      <w:pPr>
        <w:pStyle w:val="FootnoteText"/>
        <w:ind w:left="567" w:hanging="567"/>
      </w:pPr>
      <w:r>
        <w:rPr>
          <w:rStyle w:val="FootnoteReference"/>
        </w:rPr>
        <w:footnoteRef/>
      </w:r>
      <w:r>
        <w:t xml:space="preserve"> </w:t>
      </w:r>
      <w:r>
        <w:tab/>
      </w:r>
      <w:r>
        <w:rPr>
          <w:rFonts w:ascii="Times New Roman" w:hAnsi="Times New Roman"/>
        </w:rPr>
        <w:t xml:space="preserve">Žr. </w:t>
      </w:r>
      <w:hyperlink r:id="rId2">
        <w:r>
          <w:rPr>
            <w:rStyle w:val="Hyperlink"/>
            <w:rFonts w:ascii="Times New Roman" w:hAnsi="Times New Roman"/>
          </w:rPr>
          <w:t>http://ec.europa.eu/programmes/europe-for-citizens/projects/.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6B64"/>
    <w:multiLevelType w:val="hybridMultilevel"/>
    <w:tmpl w:val="A640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EC6F0C"/>
    <w:multiLevelType w:val="hybridMultilevel"/>
    <w:tmpl w:val="FA02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2F63A1"/>
    <w:multiLevelType w:val="hybridMultilevel"/>
    <w:tmpl w:val="79BCA0F2"/>
    <w:lvl w:ilvl="0" w:tplc="08090001">
      <w:start w:val="1"/>
      <w:numFmt w:val="bullet"/>
      <w:lvlText w:val=""/>
      <w:lvlJc w:val="left"/>
      <w:pPr>
        <w:ind w:left="720" w:hanging="360"/>
      </w:pPr>
      <w:rPr>
        <w:rFonts w:ascii="Symbol" w:hAnsi="Symbol" w:hint="default"/>
      </w:rPr>
    </w:lvl>
    <w:lvl w:ilvl="1" w:tplc="F1748534">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0370864-9E2D-49F5-AF96-89BD66CBA4A6"/>
    <w:docVar w:name="LW_COVERPAGE_TYPE" w:val="1"/>
    <w:docVar w:name="LW_CROSSREFERENCE" w:val="{SWD(2018) 86 final}"/>
    <w:docVar w:name="LW_DocType" w:val="NORMAL"/>
    <w:docVar w:name="LW_EMISSION" w:val="2018 04 06"/>
    <w:docVar w:name="LW_EMISSION_ISODATE" w:val="2018-04-06"/>
    <w:docVar w:name="LW_EMISSION_LOCATION" w:val="BRX"/>
    <w:docVar w:name="LW_EMISSION_PREFIX" w:val="Briuselis, "/>
    <w:docVar w:name="LW_EMISSION_SUFFIX" w:val="&lt;EMPTY&gt;"/>
    <w:docVar w:name="LW_ID_DOCTYPE_NONLW" w:val="CP-008"/>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8) 17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d\u279?l 2014\u8211?2020 m. programos \u8222?Europa pilie\u269?iams\u8220? \u303?gyvendinimo laikotarpio vidurio vertinimo &lt;/FMT&gt;_x000b_"/>
    <w:docVar w:name="LW_TYPE.DOC.CP" w:val="KOMISIJOS ATASKAITA EUROPOS PARLAMENTUI, TARYBAI, EUROPOS EKONOMIKOS IR SOCIALINI\u370? REIKAL\u370? KOMITETUI IR REGION\u370? KOMITETUI"/>
    <w:docVar w:name="Stamp" w:val="\\dossiers.dgt.cec.eu.int\dossiers\HOME\HOME-2017-00958\HOME-2017-00958-00-00-EN-REV-00.201801100929480426427.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uiPriority w:val="99"/>
    <w:unhideWhenUsed/>
    <w:qFormat/>
    <w:pPr>
      <w:spacing w:after="0" w:line="240" w:lineRule="auto"/>
    </w:pPr>
    <w:rPr>
      <w:sz w:val="20"/>
      <w:szCs w:val="20"/>
    </w:rPr>
  </w:style>
  <w:style w:type="character" w:customStyle="1" w:styleId="FootnoteTextChar">
    <w:name w:val="Footnote Text Char"/>
    <w:aliases w:val="Footnote Text Char1 Char,Schriftart: 9 pt Char,Schriftart: 10 pt Char,Schriftart: 8 pt Char,WB-Fußnotentext Char,Reference Char,Fußnote Char,fn Char,Footnote Text Char2 Char,Footnote Text Char Char1 Char,Ch Char,stile 1 Char,Fuß Char"/>
    <w:basedOn w:val="DefaultParagraphFont"/>
    <w:uiPriority w:val="99"/>
    <w:rPr>
      <w:sz w:val="20"/>
      <w:szCs w:val="20"/>
    </w:rPr>
  </w:style>
  <w:style w:type="character" w:styleId="FootnoteReference">
    <w:name w:val="footnote reference"/>
    <w:aliases w:val="Footnote symbol,Voetnootverwijzing,Times 10 Point,Exposant 3 Point,Appel note de bas de p,BVI fnr,Footnote Reference Superscript,Footnote symboFußnotenzeichen,Footnote sign,EN Footnote Reference,fr,o,Footnote reference numbe,callout"/>
    <w:link w:val="FootnotesymbolCharCharCharChar"/>
    <w:uiPriority w:val="99"/>
    <w:qFormat/>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ListParagraph">
    <w:name w:val="List Paragraph"/>
    <w:basedOn w:val="Normal"/>
    <w:uiPriority w:val="34"/>
    <w:qFormat/>
    <w:pPr>
      <w:ind w:left="720"/>
      <w:contextualSpacing/>
    </w:pPr>
  </w:style>
  <w:style w:type="table" w:styleId="TableGrid">
    <w:name w:val="Table Grid"/>
    <w:aliases w:val="Document Table,CV1,Deloitte"/>
    <w:basedOn w:val="TableNormal"/>
    <w:uiPriority w:val="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 PSP,Caption - Centre Graphic,Char Char Char,Caption1 Char Char Char Char Char Char Char Char,Caption1 Char Char Char Char Char Char Char Char Tegn Tegn Tegn Tegn Tegn,Caption1 Char Char Char Char Char Char Char Char Tegn Tegn Tegn,Char"/>
    <w:basedOn w:val="Normal"/>
    <w:next w:val="Normal"/>
    <w:link w:val="CaptionChar"/>
    <w:uiPriority w:val="99"/>
    <w:unhideWhenUsed/>
    <w:qFormat/>
    <w:pPr>
      <w:spacing w:before="120" w:line="240" w:lineRule="auto"/>
      <w:jc w:val="center"/>
    </w:pPr>
    <w:rPr>
      <w:rFonts w:ascii="Calibri" w:eastAsia="Times New Roman" w:hAnsi="Calibri" w:cs="Times New Roman"/>
      <w:i/>
      <w:iCs/>
      <w:color w:val="86BC25"/>
      <w:sz w:val="20"/>
      <w:szCs w:val="18"/>
    </w:rPr>
  </w:style>
  <w:style w:type="character" w:customStyle="1" w:styleId="CaptionChar">
    <w:name w:val="Caption Char"/>
    <w:aliases w:val="Caption PSP Char,Caption - Centre Graphic Char,Char Char Char Char,Caption1 Char Char Char Char Char Char Char Char Char,Caption1 Char Char Char Char Char Char Char Char Tegn Tegn Tegn Tegn Tegn Char,Char Char"/>
    <w:link w:val="Caption"/>
    <w:uiPriority w:val="99"/>
    <w:rPr>
      <w:rFonts w:ascii="Calibri" w:eastAsia="Times New Roman" w:hAnsi="Calibri" w:cs="Times New Roman"/>
      <w:i/>
      <w:iCs/>
      <w:color w:val="86BC25"/>
      <w:sz w:val="20"/>
      <w:szCs w:val="18"/>
      <w:lang w:val="lt-LT"/>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uiPriority w:val="99"/>
    <w:unhideWhenUsed/>
    <w:qFormat/>
    <w:pPr>
      <w:spacing w:after="0" w:line="240" w:lineRule="auto"/>
    </w:pPr>
    <w:rPr>
      <w:sz w:val="20"/>
      <w:szCs w:val="20"/>
    </w:rPr>
  </w:style>
  <w:style w:type="character" w:customStyle="1" w:styleId="FootnoteTextChar">
    <w:name w:val="Footnote Text Char"/>
    <w:aliases w:val="Footnote Text Char1 Char,Schriftart: 9 pt Char,Schriftart: 10 pt Char,Schriftart: 8 pt Char,WB-Fußnotentext Char,Reference Char,Fußnote Char,fn Char,Footnote Text Char2 Char,Footnote Text Char Char1 Char,Ch Char,stile 1 Char,Fuß Char"/>
    <w:basedOn w:val="DefaultParagraphFont"/>
    <w:uiPriority w:val="99"/>
    <w:rPr>
      <w:sz w:val="20"/>
      <w:szCs w:val="20"/>
    </w:rPr>
  </w:style>
  <w:style w:type="character" w:styleId="FootnoteReference">
    <w:name w:val="footnote reference"/>
    <w:aliases w:val="Footnote symbol,Voetnootverwijzing,Times 10 Point,Exposant 3 Point,Appel note de bas de p,BVI fnr,Footnote Reference Superscript,Footnote symboFußnotenzeichen,Footnote sign,EN Footnote Reference,fr,o,Footnote reference numbe,callout"/>
    <w:link w:val="FootnotesymbolCharCharCharChar"/>
    <w:uiPriority w:val="99"/>
    <w:qFormat/>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ListParagraph">
    <w:name w:val="List Paragraph"/>
    <w:basedOn w:val="Normal"/>
    <w:uiPriority w:val="34"/>
    <w:qFormat/>
    <w:pPr>
      <w:ind w:left="720"/>
      <w:contextualSpacing/>
    </w:pPr>
  </w:style>
  <w:style w:type="table" w:styleId="TableGrid">
    <w:name w:val="Table Grid"/>
    <w:aliases w:val="Document Table,CV1,Deloitte"/>
    <w:basedOn w:val="TableNormal"/>
    <w:uiPriority w:val="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 PSP,Caption - Centre Graphic,Char Char Char,Caption1 Char Char Char Char Char Char Char Char,Caption1 Char Char Char Char Char Char Char Char Tegn Tegn Tegn Tegn Tegn,Caption1 Char Char Char Char Char Char Char Char Tegn Tegn Tegn,Char"/>
    <w:basedOn w:val="Normal"/>
    <w:next w:val="Normal"/>
    <w:link w:val="CaptionChar"/>
    <w:uiPriority w:val="99"/>
    <w:unhideWhenUsed/>
    <w:qFormat/>
    <w:pPr>
      <w:spacing w:before="120" w:line="240" w:lineRule="auto"/>
      <w:jc w:val="center"/>
    </w:pPr>
    <w:rPr>
      <w:rFonts w:ascii="Calibri" w:eastAsia="Times New Roman" w:hAnsi="Calibri" w:cs="Times New Roman"/>
      <w:i/>
      <w:iCs/>
      <w:color w:val="86BC25"/>
      <w:sz w:val="20"/>
      <w:szCs w:val="18"/>
    </w:rPr>
  </w:style>
  <w:style w:type="character" w:customStyle="1" w:styleId="CaptionChar">
    <w:name w:val="Caption Char"/>
    <w:aliases w:val="Caption PSP Char,Caption - Centre Graphic Char,Char Char Char Char,Caption1 Char Char Char Char Char Char Char Char Char,Caption1 Char Char Char Char Char Char Char Char Tegn Tegn Tegn Tegn Tegn Char,Char Char"/>
    <w:link w:val="Caption"/>
    <w:uiPriority w:val="99"/>
    <w:rPr>
      <w:rFonts w:ascii="Calibri" w:eastAsia="Times New Roman" w:hAnsi="Calibri" w:cs="Times New Roman"/>
      <w:i/>
      <w:iCs/>
      <w:color w:val="86BC25"/>
      <w:sz w:val="20"/>
      <w:szCs w:val="18"/>
      <w:lang w:val="lt-LT"/>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5815">
      <w:bodyDiv w:val="1"/>
      <w:marLeft w:val="0"/>
      <w:marRight w:val="0"/>
      <w:marTop w:val="0"/>
      <w:marBottom w:val="0"/>
      <w:divBdr>
        <w:top w:val="none" w:sz="0" w:space="0" w:color="auto"/>
        <w:left w:val="none" w:sz="0" w:space="0" w:color="auto"/>
        <w:bottom w:val="none" w:sz="0" w:space="0" w:color="auto"/>
        <w:right w:val="none" w:sz="0" w:space="0" w:color="auto"/>
      </w:divBdr>
    </w:div>
    <w:div w:id="116859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programmes/europe-for-citizens/projects/" TargetMode="External"/><Relationship Id="rId1" Type="http://schemas.openxmlformats.org/officeDocument/2006/relationships/hyperlink" Target="https://ec.europa.eu/home-affairs/content/public-consultation-mid-term-evaluation-europe-citizens-programme-2014-2020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547AF-1B60-4780-9AC0-0A466694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3372</Words>
  <Characters>23238</Characters>
  <Application>Microsoft Office Word</Application>
  <DocSecurity>0</DocSecurity>
  <Lines>505</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2017-12-07T09:01:00Z</cp:lastPrinted>
  <dcterms:created xsi:type="dcterms:W3CDTF">2018-03-21T14:10:00Z</dcterms:created>
  <dcterms:modified xsi:type="dcterms:W3CDTF">2018-03-27T10:06:00Z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