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9EC84FA28534B87A45C697E7C9791D9" style="width:450.75pt;height:402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2013/0304 (COD)</w:t>
      </w:r>
    </w:p>
    <w:p>
      <w:pPr>
        <w:pStyle w:val="Typedudocument"/>
        <w:rPr>
          <w:noProof/>
        </w:rPr>
      </w:pPr>
      <w:r>
        <w:rPr>
          <w:noProof/>
        </w:rPr>
        <w:t>KOMISIJOS KOMUNIKATAS EUROPOS PARLAMENTUI</w:t>
      </w:r>
      <w:r>
        <w:rPr>
          <w:noProof/>
        </w:rPr>
        <w:br/>
      </w:r>
      <w:r>
        <w:rPr>
          <w:noProof/>
        </w:rPr>
        <w:br/>
        <w:t>pagal Sutarties dėl Europos Sąjungos veikimo 294 straipsnio 6 dalį</w:t>
      </w:r>
      <w:r>
        <w:rPr>
          <w:noProof/>
        </w:rPr>
        <w:br/>
      </w:r>
      <w:r>
        <w:rPr>
          <w:noProof/>
        </w:rPr>
        <w:br/>
        <w:t>dėl</w:t>
      </w:r>
    </w:p>
    <w:p>
      <w:pPr>
        <w:pStyle w:val="Titreobjet"/>
        <w:rPr>
          <w:noProof/>
        </w:rPr>
      </w:pPr>
      <w:r>
        <w:rPr>
          <w:noProof/>
        </w:rPr>
        <w:t>Tarybos pozicijos dėl Europos Parlamento ir Tarybos direktyvos, kuria, siekiant į termino „narkotikas“ apibrėžtį įtraukti naujų psichoaktyviųjų medžiagų, iš dalies keičiamas Tarybos pamatinis sprendimas 2004/757/TVR ir panaikinamas Tarybos sprendimas 2005/387/TVR, priėmimo</w:t>
      </w:r>
    </w:p>
    <w:p>
      <w:pPr>
        <w:pStyle w:val="ManualHeading1"/>
        <w:rPr>
          <w:noProof/>
          <w:sz w:val="22"/>
        </w:rPr>
      </w:pPr>
      <w:r>
        <w:rPr>
          <w:noProof/>
        </w:rPr>
        <w:t>1.</w:t>
      </w:r>
      <w:r>
        <w:rPr>
          <w:noProof/>
        </w:rPr>
        <w:tab/>
        <w:t>Pagrindiniai faktai</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 xml:space="preserve">Pasiūlymo (dokumentas COM(2013) 618 </w:t>
            </w:r>
            <w:r>
              <w:rPr>
                <w:i/>
                <w:noProof/>
              </w:rPr>
              <w:t>final</w:t>
            </w:r>
            <w:r>
              <w:rPr>
                <w:noProof/>
              </w:rPr>
              <w:t xml:space="preserve"> - 2013/0304 (COD):</w:t>
            </w:r>
            <w:r>
              <w:rPr>
                <w:noProof/>
              </w:rPr>
              <w:br/>
              <w:t>perdavimo Europos Parlamentui ir Tarybai data:</w:t>
            </w:r>
          </w:p>
        </w:tc>
        <w:tc>
          <w:tcPr>
            <w:tcW w:w="2483" w:type="dxa"/>
          </w:tcPr>
          <w:p>
            <w:pPr>
              <w:jc w:val="left"/>
              <w:rPr>
                <w:noProof/>
              </w:rPr>
            </w:pPr>
            <w:r>
              <w:rPr>
                <w:noProof/>
              </w:rPr>
              <w:t>2013 09 17</w:t>
            </w:r>
            <w:r>
              <w:rPr>
                <w:noProof/>
                <w:color w:val="000000" w:themeColor="text1"/>
              </w:rPr>
              <w:t>.</w:t>
            </w:r>
          </w:p>
        </w:tc>
      </w:tr>
      <w:tr>
        <w:tc>
          <w:tcPr>
            <w:tcW w:w="6804" w:type="dxa"/>
          </w:tcPr>
          <w:p>
            <w:pPr>
              <w:rPr>
                <w:noProof/>
              </w:rPr>
            </w:pPr>
            <w:r>
              <w:rPr>
                <w:noProof/>
              </w:rPr>
              <w:t>Europos ekonomikos ir socialinių reikalų komiteto nuomonės (OL C 177, 2014 6 11, p. 52) data:</w:t>
            </w:r>
          </w:p>
        </w:tc>
        <w:tc>
          <w:tcPr>
            <w:tcW w:w="2483" w:type="dxa"/>
          </w:tcPr>
          <w:p>
            <w:pPr>
              <w:jc w:val="left"/>
              <w:rPr>
                <w:noProof/>
              </w:rPr>
            </w:pPr>
            <w:r>
              <w:rPr>
                <w:noProof/>
              </w:rPr>
              <w:t>2014 01 21.</w:t>
            </w:r>
          </w:p>
        </w:tc>
      </w:tr>
      <w:tr>
        <w:tc>
          <w:tcPr>
            <w:tcW w:w="6804" w:type="dxa"/>
          </w:tcPr>
          <w:p>
            <w:pPr>
              <w:rPr>
                <w:noProof/>
              </w:rPr>
            </w:pPr>
            <w:r>
              <w:rPr>
                <w:noProof/>
              </w:rPr>
              <w:t>Per pirmąjį svarstymą priimtos Europos Parlamento pozicijos data:</w:t>
            </w:r>
          </w:p>
        </w:tc>
        <w:tc>
          <w:tcPr>
            <w:tcW w:w="2483" w:type="dxa"/>
          </w:tcPr>
          <w:p>
            <w:pPr>
              <w:jc w:val="left"/>
              <w:rPr>
                <w:noProof/>
              </w:rPr>
            </w:pPr>
            <w:r>
              <w:rPr>
                <w:noProof/>
              </w:rPr>
              <w:t>2014 04 17.</w:t>
            </w:r>
          </w:p>
        </w:tc>
      </w:tr>
      <w:tr>
        <w:tc>
          <w:tcPr>
            <w:tcW w:w="6804" w:type="dxa"/>
          </w:tcPr>
          <w:p>
            <w:pPr>
              <w:rPr>
                <w:noProof/>
              </w:rPr>
            </w:pPr>
            <w:r>
              <w:rPr>
                <w:noProof/>
              </w:rPr>
              <w:t>Pakeisto pasiūlymo perdavimo data:</w:t>
            </w:r>
          </w:p>
        </w:tc>
        <w:tc>
          <w:tcPr>
            <w:tcW w:w="2483" w:type="dxa"/>
          </w:tcPr>
          <w:p>
            <w:pPr>
              <w:jc w:val="left"/>
              <w:rPr>
                <w:noProof/>
              </w:rPr>
            </w:pPr>
            <w:r>
              <w:rPr>
                <w:noProof/>
              </w:rPr>
              <w:t>Netaikoma</w:t>
            </w:r>
            <w:r>
              <w:rPr>
                <w:noProof/>
                <w:color w:val="000000" w:themeColor="text1"/>
              </w:rPr>
              <w:t>.</w:t>
            </w:r>
          </w:p>
        </w:tc>
      </w:tr>
      <w:tr>
        <w:tc>
          <w:tcPr>
            <w:tcW w:w="6804" w:type="dxa"/>
          </w:tcPr>
          <w:p>
            <w:pPr>
              <w:rPr>
                <w:noProof/>
              </w:rPr>
            </w:pPr>
            <w:r>
              <w:rPr>
                <w:noProof/>
              </w:rPr>
              <w:t>Tarybos pozicijos priėmimo data:</w:t>
            </w:r>
          </w:p>
        </w:tc>
        <w:tc>
          <w:tcPr>
            <w:tcW w:w="2483" w:type="dxa"/>
          </w:tcPr>
          <w:p>
            <w:pPr>
              <w:jc w:val="left"/>
              <w:rPr>
                <w:noProof/>
              </w:rPr>
            </w:pPr>
            <w:r>
              <w:rPr>
                <w:noProof/>
              </w:rPr>
              <w:t>2017 09 25.</w:t>
            </w:r>
          </w:p>
        </w:tc>
      </w:tr>
    </w:tbl>
    <w:p>
      <w:pPr>
        <w:pStyle w:val="ManualHeading1"/>
        <w:rPr>
          <w:noProof/>
        </w:rPr>
      </w:pPr>
      <w:r>
        <w:rPr>
          <w:noProof/>
        </w:rPr>
        <w:t>2.</w:t>
      </w:r>
      <w:r>
        <w:rPr>
          <w:noProof/>
        </w:rPr>
        <w:tab/>
        <w:t>Komisijos pasiūlymo tikslas</w:t>
      </w:r>
    </w:p>
    <w:p>
      <w:pPr>
        <w:pBdr>
          <w:top w:val="nil"/>
          <w:left w:val="nil"/>
          <w:bottom w:val="nil"/>
          <w:right w:val="nil"/>
          <w:between w:val="nil"/>
          <w:bar w:val="nil"/>
        </w:pBdr>
        <w:spacing w:before="0" w:after="240"/>
        <w:rPr>
          <w:rFonts w:eastAsia="Arial Unicode MS"/>
          <w:noProof/>
        </w:rPr>
      </w:pPr>
      <w:r>
        <w:rPr>
          <w:noProof/>
        </w:rPr>
        <w:t>Direktyva yra dalis dokumentų rinkinio, kurį sudaro du 2013 m. rugsėjo 17 d. Komisijos pateikti pasiūlymai dėl teisėkūros procedūra priimamų aktų dėl naujų psichoaktyviųjų medžiagų: Reglamento dėl naujų psichoaktyviųjų medžiagų pasiūlymas</w:t>
      </w:r>
      <w:r>
        <w:rPr>
          <w:rStyle w:val="FootnoteReference"/>
          <w:noProof/>
        </w:rPr>
        <w:footnoteReference w:id="1"/>
      </w:r>
      <w:r>
        <w:rPr>
          <w:noProof/>
        </w:rPr>
        <w:t xml:space="preserve"> ir Direktyvos, kuria dėl termino „narkotikai“ apibrėžties iš dalies keičiamas 2004 m. spalio 25 d. Tarybos pamatinis sprendimas 2004/757/TVR, nustatantis būtiniausias nuostatas dėl nusikalstamų veikų sudėties požymių ir bausmių neteisėtos prekybos narkotikais srityje, pasiūlymas</w:t>
      </w:r>
      <w:r>
        <w:rPr>
          <w:rStyle w:val="FootnoteReference"/>
          <w:noProof/>
        </w:rPr>
        <w:footnoteReference w:id="2"/>
      </w:r>
      <w:r>
        <w:rPr>
          <w:noProof/>
        </w:rPr>
        <w:t xml:space="preserve">. </w:t>
      </w:r>
    </w:p>
    <w:p>
      <w:pPr>
        <w:pBdr>
          <w:top w:val="nil"/>
          <w:left w:val="nil"/>
          <w:bottom w:val="nil"/>
          <w:right w:val="nil"/>
          <w:between w:val="nil"/>
          <w:bar w:val="nil"/>
        </w:pBdr>
        <w:spacing w:before="0" w:after="240"/>
        <w:rPr>
          <w:rFonts w:eastAsia="Arial Unicode MS"/>
          <w:noProof/>
        </w:rPr>
      </w:pPr>
      <w:r>
        <w:rPr>
          <w:noProof/>
        </w:rPr>
        <w:t>Dokumentų rinkiniu siekiama spartesniais, veiksmingesniais Sąjungos lygmens veiksmais sumažinti galimybių gauti riziką keliančių naujų psichoaktyviųjų medžiagų, palyginti su šiuo metu taikoma sistema, grindžiama 20015 m. gegužės 10 d. Tarybos sprendimu 2005/387/TVR dėl keitimosi informacija apie naujas psichoaktyvias medžiagas, jų rizikos įvertinimo ir kontrolės</w:t>
      </w:r>
      <w:r>
        <w:rPr>
          <w:rStyle w:val="FootnoteReference"/>
          <w:noProof/>
        </w:rPr>
        <w:footnoteReference w:id="3"/>
      </w:r>
      <w:r>
        <w:rPr>
          <w:noProof/>
        </w:rPr>
        <w:t>.</w:t>
      </w:r>
    </w:p>
    <w:p>
      <w:pPr>
        <w:pStyle w:val="ManualHeading1"/>
        <w:rPr>
          <w:noProof/>
        </w:rPr>
      </w:pPr>
      <w:r>
        <w:rPr>
          <w:noProof/>
        </w:rPr>
        <w:lastRenderedPageBreak/>
        <w:t>3.</w:t>
      </w:r>
      <w:r>
        <w:rPr>
          <w:noProof/>
        </w:rPr>
        <w:tab/>
        <w:t>Pastabos dėl Tarybos pozicijos</w:t>
      </w:r>
    </w:p>
    <w:p>
      <w:pPr>
        <w:pBdr>
          <w:top w:val="nil"/>
          <w:left w:val="nil"/>
          <w:bottom w:val="nil"/>
          <w:right w:val="nil"/>
          <w:between w:val="nil"/>
          <w:bar w:val="nil"/>
        </w:pBdr>
        <w:spacing w:before="0" w:after="240"/>
        <w:rPr>
          <w:rFonts w:eastAsia="Arial Unicode MS"/>
          <w:noProof/>
        </w:rPr>
      </w:pPr>
      <w:r>
        <w:rPr>
          <w:noProof/>
        </w:rPr>
        <w:t>Derybos dėl šio teisėkūros procedūra priimamų aktų rinkinio tęsiamos daugiau nei ketverius metus. Nagrinėdamos pasiūlymus Taryboje valstybės narės išreiškė abejonių dėl to, kad siūlomo reglamento teisiniu pagrindu pasirinktas Sutarties dėl Europos Sąjungos veikimo (SESV) 114 straipsnis. Siekdamas to paties tikslo – spartesnių ir veiksmingesnių ES veiksmų dėl naujų psichoaktyviųjų medžiagų – Nuolatinių atstovų komitetas (COREPER) 2016 m. balandžio 6 d.</w:t>
      </w:r>
      <w:r>
        <w:rPr>
          <w:rStyle w:val="FootnoteReference"/>
          <w:noProof/>
        </w:rPr>
        <w:footnoteReference w:id="4"/>
      </w:r>
      <w:r>
        <w:rPr>
          <w:noProof/>
        </w:rPr>
        <w:t xml:space="preserve"> sutarė dėl Tarybai pirmininkavusios valstybės narės pasiūlyto naujo požiūrio. </w:t>
      </w:r>
    </w:p>
    <w:p>
      <w:pPr>
        <w:pBdr>
          <w:top w:val="nil"/>
          <w:left w:val="nil"/>
          <w:bottom w:val="nil"/>
          <w:right w:val="nil"/>
          <w:between w:val="nil"/>
          <w:bar w:val="nil"/>
        </w:pBdr>
        <w:spacing w:before="0" w:after="240"/>
        <w:rPr>
          <w:rFonts w:eastAsia="Arial Unicode MS"/>
          <w:noProof/>
        </w:rPr>
      </w:pPr>
      <w:r>
        <w:rPr>
          <w:noProof/>
        </w:rPr>
        <w:t>Taikant šį naują požiūrį, 2013 m. Komisijos reglamento dėl naujų psichoaktyviųjų medžiagų pasiūlymo, grindžiamo SESV 114 straipsniu, atsisakyta. 2013 m. Komisijos reglamento dėl naujų psichoaktyviųjų medžiagų pasiūlymo nuostatos buvo įrašytos į Direktyvos, kuria iš dalies keičiamas Tarybos pamatinis sprendimas 2004/757/TVR, tekstą ir į naujo pasiūlymo, kuriuo iš dalies keičiamas Reglamentas Nr. 1920/2006, kuriuo įsteigiamas Europos narkotikų ir narkomanijos stebėsenos centras (ENNSC), tekstą, kurį Komisijos paprašyta pateikti. Komisija pasiūlymą, kuriuo iš dalies keičiamos Reglamento Nr. 1920/2006 nuostatos dėl keitimosi informacija apie naujas psichoaktyviąsias medžiagas, ankstyvojo perspėjimo sistemas ir rizikos įvertinimo procedūrą</w:t>
      </w:r>
      <w:r>
        <w:rPr>
          <w:rStyle w:val="FootnoteReference"/>
          <w:noProof/>
        </w:rPr>
        <w:footnoteReference w:id="5"/>
      </w:r>
      <w:r>
        <w:rPr>
          <w:noProof/>
        </w:rPr>
        <w:t>, priėmė 2016 m. rugpjūčio 29 d. 2013 m. pateiktas Reglamento dėl naujų psichoaktyviųjų medžiagų pasiūlymas iš Europos Komisijos 2017 m. darbo programos pašalintas.</w:t>
      </w:r>
    </w:p>
    <w:p>
      <w:pPr>
        <w:widowControl w:val="0"/>
        <w:rPr>
          <w:noProof/>
        </w:rPr>
      </w:pPr>
      <w:r>
        <w:rPr>
          <w:noProof/>
        </w:rPr>
        <w:t>2017 m. gegužės 29 d. trišalio dialogo posėdyje teisėkūros institucijos pasiekė politinį susitarimą dėl dokumentų rinkinio; šį susitarimą 2017 m. gegužės 31 d. patvirtino Nuolatinių atstovų komitetas, o 2017 m. birželio 8 d. – LIBE komitetas.</w:t>
      </w:r>
    </w:p>
    <w:p>
      <w:pPr>
        <w:widowControl w:val="0"/>
        <w:rPr>
          <w:noProof/>
        </w:rPr>
      </w:pPr>
      <w:r>
        <w:rPr>
          <w:noProof/>
        </w:rPr>
        <w:t>Laikantis minėto požiūrio, naujosios direktyvos tekstas apima svarbius 2013 m. Komisijos direktyvos, kuria iš dalies keičiamas 2004 m. spalio 25 d. Tarybos pamatinis sprendimas 2004/757/TVR, pasiūlymo pakeitimus. Kalbant konkrečiai, šiuo metu į direktyvą įtrauktos ir nuostatos dėl naujų psichoaktyviųjų medžiagų apibrėžties ir spartaus ES lygmens sprendimų dėl naujų psichoaktyviųjų medžiagų priėmimo. Medžiagos, kurias galima laikyti naujomis psichoaktyviosiomis medžiagomis, išvardytos naujame Pamatinio sprendimo 2004/757/TVR priede; šį sprendimą Komisija įgaliota iš dalies keisti deleguotaisiais aktais, kad į termino „narkotikas“ apibrėžtį būtų įtraukta naujų psichoaktyviųjų medžiagų. Visoms priede išvardytoms medžiagoms taikomos baudžiamosios teisės nuostatos, išdėstytos pamatiniame sprendime, laikantis jo teisinio pagrindo, t. y. SESV 83 straipsnio 1 dalies. Vis dėlto dokumentų rinkinys vis tiek atitinka Komisijos pirminį tikslą spartesniais ir veiksmingesniais Sąjungos lygmens veiksmais, palyginti su šiuo metu taikoma sistema, sumažinti galimybes gauti naujų riziką keliančių psichoaktyviųjų medžiagų.</w:t>
      </w:r>
    </w:p>
    <w:p>
      <w:pPr>
        <w:pStyle w:val="ManualHeading1"/>
        <w:rPr>
          <w:noProof/>
        </w:rPr>
      </w:pPr>
      <w:r>
        <w:rPr>
          <w:noProof/>
        </w:rPr>
        <w:t>4.</w:t>
      </w:r>
      <w:r>
        <w:rPr>
          <w:noProof/>
        </w:rPr>
        <w:tab/>
        <w:t>Išvada</w:t>
      </w:r>
    </w:p>
    <w:p>
      <w:pPr>
        <w:rPr>
          <w:noProof/>
        </w:rPr>
      </w:pPr>
      <w:r>
        <w:rPr>
          <w:noProof/>
        </w:rPr>
        <w:t>Komisija visiškai pritaria Tarybos pozicijai, nes ji vis tiek atitinka Komisijos pirminį tikslą.</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tab/>
        <w:t xml:space="preserve">COM(2013) 619 </w:t>
      </w:r>
      <w:r>
        <w:rPr>
          <w:i/>
        </w:rPr>
        <w:t>final</w:t>
      </w:r>
      <w:r>
        <w:t>.</w:t>
      </w:r>
    </w:p>
  </w:footnote>
  <w:footnote w:id="2">
    <w:p>
      <w:pPr>
        <w:pStyle w:val="FootnoteText"/>
        <w:rPr>
          <w:lang w:val="pt-PT"/>
        </w:rPr>
      </w:pPr>
      <w:r>
        <w:rPr>
          <w:rStyle w:val="FootnoteReference"/>
        </w:rPr>
        <w:footnoteRef/>
      </w:r>
      <w:r>
        <w:tab/>
        <w:t xml:space="preserve">COM(2013) 618 </w:t>
      </w:r>
      <w:r>
        <w:rPr>
          <w:i/>
        </w:rPr>
        <w:t>final</w:t>
      </w:r>
      <w:r>
        <w:t>.</w:t>
      </w:r>
    </w:p>
  </w:footnote>
  <w:footnote w:id="3">
    <w:p>
      <w:pPr>
        <w:pStyle w:val="FootnoteText"/>
      </w:pPr>
      <w:r>
        <w:rPr>
          <w:rStyle w:val="FootnoteReference"/>
        </w:rPr>
        <w:footnoteRef/>
      </w:r>
      <w:r>
        <w:tab/>
        <w:t>OL L 127, 2005 5 10, p. 32. Įvairios politinių strategijų galimybės išnagrinėtos prie abiejų pasiūlymų pridėtame poveikio vertinime SWD(2013) 319 </w:t>
      </w:r>
      <w:r>
        <w:rPr>
          <w:i/>
        </w:rPr>
        <w:t>final</w:t>
      </w:r>
      <w:r>
        <w:t>.</w:t>
      </w:r>
    </w:p>
  </w:footnote>
  <w:footnote w:id="4">
    <w:p>
      <w:pPr>
        <w:pStyle w:val="FootnoteText"/>
      </w:pPr>
      <w:r>
        <w:rPr>
          <w:rStyle w:val="FootnoteReference"/>
        </w:rPr>
        <w:footnoteRef/>
      </w:r>
      <w:r>
        <w:tab/>
        <w:t>Suvestinė ataskaita. Tarybos dokumentas 7908/1/16 REV 1, 2016 m. gegužės 27 d.</w:t>
      </w:r>
    </w:p>
  </w:footnote>
  <w:footnote w:id="5">
    <w:p>
      <w:pPr>
        <w:pStyle w:val="FootnoteText"/>
        <w:rPr>
          <w:lang w:val="de-DE"/>
        </w:rPr>
      </w:pPr>
      <w:r>
        <w:rPr>
          <w:rStyle w:val="FootnoteReference"/>
        </w:rPr>
        <w:footnoteRef/>
      </w:r>
      <w:r>
        <w:tab/>
        <w:t xml:space="preserve">COM(2016) 547 </w:t>
      </w:r>
      <w:r>
        <w:rPr>
          <w:i/>
        </w:rPr>
        <w:t>final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95AAD8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F72CD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4830AB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BC3D8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CBC15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1D0A3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B6E1FA"/>
    <w:lvl w:ilvl="0">
      <w:start w:val="1"/>
      <w:numFmt w:val="decimal"/>
      <w:pStyle w:val="ListNumber"/>
      <w:lvlText w:val="%1."/>
      <w:lvlJc w:val="left"/>
      <w:pPr>
        <w:tabs>
          <w:tab w:val="num" w:pos="360"/>
        </w:tabs>
        <w:ind w:left="360" w:hanging="360"/>
      </w:pPr>
    </w:lvl>
  </w:abstractNum>
  <w:abstractNum w:abstractNumId="7">
    <w:nsid w:val="FFFFFF89"/>
    <w:multiLevelType w:val="singleLevel"/>
    <w:tmpl w:val="372879C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25 14:02:5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9EC84FA28534B87A45C697E7C9791D9"/>
    <w:docVar w:name="LW_CROSSREFERENCE" w:val="&lt;UNUSED&gt;"/>
    <w:docVar w:name="LW_DocType" w:val="COM"/>
    <w:docVar w:name="LW_EMISSION" w:val="2017 09 27"/>
    <w:docVar w:name="LW_EMISSION_ISODATE" w:val="2017-09-27"/>
    <w:docVar w:name="LW_EMISSION_LOCATION" w:val="BRX"/>
    <w:docVar w:name="LW_EMISSION_PREFIX" w:val="Briuselis, "/>
    <w:docVar w:name="LW_EMISSION_SUFFIX" w:val=" "/>
    <w:docVar w:name="LW_ID_DOCMODEL" w:val="SJ-028"/>
    <w:docVar w:name="LW_ID_DOCSTRUCTURE" w:val="COM/PL/CODEC"/>
    <w:docVar w:name="LW_ID_DOCTYPE" w:val="SJ-028"/>
    <w:docVar w:name="LW_INTERETEEE.CP" w:val="&lt;UNUSED&gt;"/>
    <w:docVar w:name="LW_LANGUE" w:val="LT"/>
    <w:docVar w:name="LW_MARKING" w:val="&lt;UNUSED&gt;"/>
    <w:docVar w:name="LW_NOM.INST" w:val="EUROPOS KOMISIJA"/>
    <w:docVar w:name="LW_NOM.INST_JOINTDOC" w:val="&lt;EMPTY&gt;"/>
    <w:docVar w:name="LW_PART_NBR" w:val="1"/>
    <w:docVar w:name="LW_PART_NBR_TOTAL" w:val="1"/>
    <w:docVar w:name="LW_REF.II.NEW.CP" w:val="COD"/>
    <w:docVar w:name="LW_REF.II.NEW.CP_NUMBER" w:val="0304"/>
    <w:docVar w:name="LW_REF.II.NEW.CP_YEAR" w:val="2013"/>
    <w:docVar w:name="LW_REF.INST.NEW" w:val="COM"/>
    <w:docVar w:name="LW_REF.INST.NEW_ADOPTED" w:val="final"/>
    <w:docVar w:name="LW_REF.INST.NEW_TEXT" w:val="(2017) 560"/>
    <w:docVar w:name="LW_REF.INTERNE" w:val="&lt;UNUSED&gt;"/>
    <w:docVar w:name="LW_SOUS.TITRE.OBJ.CP" w:val="&lt;UNUSED&gt;"/>
    <w:docVar w:name="LW_SUPERTITRE" w:val="&lt;UNUSED&gt;"/>
    <w:docVar w:name="LW_TITRE.OBJ.CP" w:val="Tarybos pozicijos d\u279?l Europos Parlamento ir Tarybos direktyvos, kuria, siekiant \u303? termino \u8222?narkotikas\u8220? apibr\u279?\u382?t\u303? \u303?traukti nauj\u371? psichoaktyvi\u371?j\u371? med\u382?iag\u371?, i\u353? dalies kei\u269?iamas Tarybos pamatinis sprendimas 2004/757/TVR ir panaikinamas Tarybos sprendimas 2005/387/TVR, pri\u279?mimo"/>
    <w:docVar w:name="LW_TYPE.DOC.CP" w:val="KOMISIJOS KOMUNIKATAS EUROPOS PARLAMENTUI_x000b__x000b_pagal Sutarties d\u279?l Europos S\u261?jungos veikimo 294 straipsnio 6 dal\u303?_x000b__x000b_d\u279?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0CE66-6008-4220-B1B9-516A520A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596</Words>
  <Characters>4106</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2017-09-11T09:24:00Z</cp:lastPrinted>
  <dcterms:created xsi:type="dcterms:W3CDTF">2017-09-20T13:51:00Z</dcterms:created>
  <dcterms:modified xsi:type="dcterms:W3CDTF">2017-09-25T12:02:00Z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