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5ACEFE48FF04BFA9FE6FF9BB36972AC" style="width:450.95pt;height:352.4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AIŠKINAMASIS MEMORANDUMAS</w:t>
      </w:r>
    </w:p>
    <w:p>
      <w:pPr>
        <w:pStyle w:val="ManualHeading1"/>
        <w:rPr>
          <w:noProof/>
        </w:rPr>
      </w:pPr>
      <w:r>
        <w:t>1.</w:t>
      </w:r>
      <w:r>
        <w:tab/>
      </w:r>
      <w:r>
        <w:rPr>
          <w:noProof/>
        </w:rPr>
        <w:t>PASIŪLYMO APLINKYBĖS</w:t>
      </w:r>
    </w:p>
    <w:p>
      <w:pPr>
        <w:rPr>
          <w:noProof/>
        </w:rPr>
      </w:pPr>
      <w:r>
        <w:rPr>
          <w:noProof/>
        </w:rPr>
        <w:t>2005 m. sudarytas Tarptautinis Susitarimas dėl alyvuogių aliejaus ir valgomųjų alyvuogių</w:t>
      </w:r>
      <w:r>
        <w:rPr>
          <w:rStyle w:val="FootnoteReference"/>
          <w:noProof/>
        </w:rPr>
        <w:footnoteReference w:id="2"/>
      </w:r>
      <w:r>
        <w:rPr>
          <w:noProof/>
        </w:rPr>
        <w:t xml:space="preserve"> turėjo baigti galioti 2014 m. gruodžio 31 d., tačiau buvo pratęstas iki 2015 m. gruodžio 31 d. Pagal jo 47 straipsnio 3 dalį jis galios tol, kol įsigalios naujas Susitarimas.</w:t>
      </w:r>
    </w:p>
    <w:p>
      <w:pPr>
        <w:rPr>
          <w:noProof/>
        </w:rPr>
      </w:pPr>
      <w:r>
        <w:rPr>
          <w:noProof/>
        </w:rPr>
        <w:t>2013 m. lapkričio 19 d. Taryba įgaliojo Komisiją Sąjungos vardu pradėti derybas dėl naujo tarptautinio Susitarimo dėl alyvuogių aliejaus ir valgomųjų alyvuogių sudarymo;</w:t>
      </w:r>
    </w:p>
    <w:p>
      <w:pPr>
        <w:rPr>
          <w:noProof/>
        </w:rPr>
      </w:pPr>
      <w:r>
        <w:rPr>
          <w:noProof/>
        </w:rPr>
        <w:t xml:space="preserve">2015 m. spalio 5–9 d. Ženevos Tautų rūmuose vykusios Jungtinių Tautų konferencijos, skirtos deryboms dėl 2005 m. Tarptautinį Susitarimą dėl alyvuogių aliejaus ir valgomųjų alyvuogių pakeisiančio Susitarimo, metu Jungtinių Tautų Prekybos ir plėtros konferencijos (UNCTAD) 24-ių valstybių narių atstovai ir dvi tarpvyriausybinės organizacijos parengė naujojo Susitarimo tekstą. </w:t>
      </w:r>
    </w:p>
    <w:p>
      <w:pPr>
        <w:rPr>
          <w:noProof/>
        </w:rPr>
      </w:pPr>
      <w:r>
        <w:rPr>
          <w:noProof/>
        </w:rPr>
        <w:t xml:space="preserve">Susitarimo tekstas, dėl kurio susitarta konsultuojantis su Tarybos Prekių darbo grupe (PROBA), atitinka Tarybos priimtus derybų nurodymus. </w:t>
      </w:r>
    </w:p>
    <w:p>
      <w:pPr>
        <w:rPr>
          <w:noProof/>
        </w:rPr>
      </w:pPr>
      <w:r>
        <w:rPr>
          <w:noProof/>
        </w:rPr>
        <w:t>Pagal 2016 m. spalio 10 d. Tarybos sprendimą (ES) 2016/1892</w:t>
      </w:r>
      <w:r>
        <w:rPr>
          <w:rStyle w:val="FootnoteReference"/>
          <w:noProof/>
        </w:rPr>
        <w:footnoteReference w:id="3"/>
      </w:r>
      <w:r>
        <w:rPr>
          <w:noProof/>
        </w:rPr>
        <w:t xml:space="preserve">, 2015 m. Tarptautinis Susitarimas dėl alyvuogių aliejaus ir valgomųjų alyvuogių Europos Sąjungos vardu buvo pasirašytas 2016 m. lapkričio 28 d. Jungtinių Tautų būstinėje Niujorke, su sąlyga, kad vėliau bus sudarytas. </w:t>
      </w:r>
    </w:p>
    <w:p>
      <w:pPr>
        <w:rPr>
          <w:noProof/>
        </w:rPr>
      </w:pPr>
      <w:r>
        <w:rPr>
          <w:noProof/>
        </w:rPr>
        <w:t>Naujasis Susitarimas pagal jo 31 straipsnio 2 dalį laikinai įsigaliojo 2017 m. sausio 1 d.</w:t>
      </w:r>
    </w:p>
    <w:p>
      <w:pPr>
        <w:pStyle w:val="ManualHeading1"/>
        <w:rPr>
          <w:noProof/>
        </w:rPr>
      </w:pPr>
      <w:r>
        <w:t>2.</w:t>
      </w:r>
      <w:r>
        <w:tab/>
      </w:r>
      <w:r>
        <w:rPr>
          <w:noProof/>
        </w:rPr>
        <w:t>PASIŪLYMAS</w:t>
      </w:r>
    </w:p>
    <w:p>
      <w:pPr>
        <w:rPr>
          <w:noProof/>
        </w:rPr>
      </w:pPr>
      <w:r>
        <w:rPr>
          <w:noProof/>
        </w:rPr>
        <w:t>Atsižvelgdama į pirmiau išdėstytus faktus, Komisija siūlo, kad:</w:t>
      </w:r>
    </w:p>
    <w:p>
      <w:pPr>
        <w:rPr>
          <w:noProof/>
        </w:rPr>
      </w:pPr>
      <w:r>
        <w:rPr>
          <w:noProof/>
        </w:rPr>
        <w:t>pagal SESV 207 straipsnio 4 dalį ir 218 straipsnio 6 dalį Tarybos pirmininkas paskirtų asmenį, kuris būtų įgaliotas Europos Sąjungos vardu deponuoti Susitarimo 28 straipsnio 4 dalyje numatytus patvirtinimo aktus ir taip išreikšti Europos Sąjungos sutikimą laikytis Susitarimo.</w:t>
      </w:r>
    </w:p>
    <w:p>
      <w:pPr>
        <w:rPr>
          <w:noProof/>
        </w:rPr>
      </w:pPr>
      <w:r>
        <w:rPr>
          <w:noProof/>
        </w:rPr>
        <w:t xml:space="preserve">Be to, numatoma, kad Taryba pagal SESV 218 straipsnio 7 dalį įgalioja Komisiją nustatyti pozicijas, kurių turi būti laikomasi Sąjungos vardu Narių taryboje, įsteigtoje naujuoju Susitarimu, kai tai institucijai tenka priimti alyvuogių aliejaus, maišyto alyvuogių išspaudų aliejaus ir valgomųjų alyvuogių pavadinimų ir apibrėžimų, numatytų Susitarimo B ir C prieduose, pakeitimus pagal Susitarimo 19 straipsnio 2 dalį. </w:t>
      </w:r>
    </w:p>
    <w:p>
      <w:pPr>
        <w:pStyle w:val="ManualHeading1"/>
        <w:rPr>
          <w:noProof/>
        </w:rPr>
      </w:pPr>
      <w:r>
        <w:t>3.</w:t>
      </w:r>
      <w:r>
        <w:tab/>
      </w:r>
      <w:r>
        <w:rPr>
          <w:noProof/>
        </w:rPr>
        <w:t>POVEIKIS BIUDŽETUI</w:t>
      </w:r>
    </w:p>
    <w:p>
      <w:pPr>
        <w:rPr>
          <w:noProof/>
        </w:rPr>
      </w:pPr>
      <w:r>
        <w:rPr>
          <w:noProof/>
        </w:rPr>
        <w:t>Šiuo pasiūlymu nedaromas joks poveikis biudžetui.</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2017/0107 (NLE)</w:t>
      </w:r>
    </w:p>
    <w:p>
      <w:pPr>
        <w:pStyle w:val="Statut"/>
        <w:rPr>
          <w:noProof/>
        </w:rPr>
      </w:pPr>
      <w:r>
        <w:rPr>
          <w:noProof/>
        </w:rPr>
        <w:t>Pasiūlymas</w:t>
      </w:r>
    </w:p>
    <w:p>
      <w:pPr>
        <w:pStyle w:val="Typedudocument"/>
        <w:rPr>
          <w:noProof/>
        </w:rPr>
      </w:pPr>
      <w:r>
        <w:rPr>
          <w:noProof/>
        </w:rPr>
        <w:t>TARYBOS SPRENDIMAS</w:t>
      </w:r>
    </w:p>
    <w:p>
      <w:pPr>
        <w:pStyle w:val="Titreobjet"/>
        <w:rPr>
          <w:noProof/>
        </w:rPr>
      </w:pPr>
      <w:r>
        <w:rPr>
          <w:noProof/>
        </w:rPr>
        <w:t>dėl 2015 m. Tarptautinio Susitarimo dėl alyvuogių aliejaus ir valgomųjų alyvuogių sudarymo</w:t>
      </w:r>
    </w:p>
    <w:p>
      <w:pPr>
        <w:pStyle w:val="Institutionquiagit"/>
        <w:rPr>
          <w:noProof/>
        </w:rPr>
      </w:pPr>
      <w:r>
        <w:rPr>
          <w:noProof/>
        </w:rPr>
        <w:t>EUROPOS SĄJUNGOS TARYBA,</w:t>
      </w:r>
    </w:p>
    <w:p>
      <w:pPr>
        <w:rPr>
          <w:noProof/>
        </w:rPr>
      </w:pPr>
      <w:r>
        <w:rPr>
          <w:noProof/>
        </w:rPr>
        <w:t xml:space="preserve">atsižvelgdama į Sutartį dėl Europos Sąjungos veikimo, ypač į jos 207 straipsnio 4 dalį kartu su 218 straipsnio 6 dalies antros pastraipos a punkto v papunkčiu ir 218 straipsnio 7 dalimi, </w:t>
      </w:r>
    </w:p>
    <w:p>
      <w:pPr>
        <w:rPr>
          <w:noProof/>
        </w:rPr>
      </w:pPr>
      <w:r>
        <w:rPr>
          <w:noProof/>
        </w:rPr>
        <w:t>atsižvelgdama į Europos Komisijos pasiūlymą,</w:t>
      </w:r>
    </w:p>
    <w:p>
      <w:pPr>
        <w:rPr>
          <w:noProof/>
        </w:rPr>
      </w:pPr>
      <w:r>
        <w:rPr>
          <w:noProof/>
        </w:rPr>
        <w:t>atsižvelgdama į Europos Parlamento pritarimą,</w:t>
      </w:r>
    </w:p>
    <w:p>
      <w:pPr>
        <w:rPr>
          <w:noProof/>
        </w:rPr>
      </w:pPr>
      <w:r>
        <w:rPr>
          <w:noProof/>
        </w:rPr>
        <w:t>kadangi:</w:t>
      </w:r>
    </w:p>
    <w:p>
      <w:pPr>
        <w:pStyle w:val="ManualConsidrant"/>
        <w:rPr>
          <w:noProof/>
        </w:rPr>
      </w:pPr>
      <w:r>
        <w:t>(1)</w:t>
      </w:r>
      <w:r>
        <w:tab/>
      </w:r>
      <w:r>
        <w:rPr>
          <w:noProof/>
        </w:rPr>
        <w:t>2013 m. lapkričio 19 d. Taryba įgaliojo Komisiją Sąjungos vardu pradėti derybas dėl naujo tarptautinio Susitarimo dėl alyvuogių aliejaus ir valgomųjų alyvuogių sudarymo</w:t>
      </w:r>
      <w:r>
        <w:rPr>
          <w:rStyle w:val="FootnoteReference"/>
          <w:noProof/>
        </w:rPr>
        <w:footnoteReference w:id="4"/>
      </w:r>
      <w:r>
        <w:rPr>
          <w:noProof/>
        </w:rPr>
        <w:t>;</w:t>
      </w:r>
    </w:p>
    <w:p>
      <w:pPr>
        <w:pStyle w:val="ManualConsidrant"/>
        <w:rPr>
          <w:noProof/>
        </w:rPr>
      </w:pPr>
      <w:r>
        <w:t>(2)</w:t>
      </w:r>
      <w:r>
        <w:tab/>
      </w:r>
      <w:r>
        <w:rPr>
          <w:noProof/>
        </w:rPr>
        <w:t xml:space="preserve">Jungtinių Tautų konferencijoje, skirtoje deryboms dėl 2005 m. Tarptautinį Susitarimą dėl alyvuogių aliejaus ir valgomųjų alyvuogių pakeisiančio Susitarimo, Jungtinių Tautų Prekybos ir plėtros konferencijos (UNCTAD) 24-ių valstybių narių atstovai ir dvi tarpvyriausybinės organizacijos 2015 m. spalio 9 d. priėmė naujojo Susitarimo tekstą; </w:t>
      </w:r>
    </w:p>
    <w:p>
      <w:pPr>
        <w:pStyle w:val="ManualConsidrant"/>
        <w:rPr>
          <w:noProof/>
        </w:rPr>
      </w:pPr>
      <w:r>
        <w:t>(3)</w:t>
      </w:r>
      <w:r>
        <w:tab/>
      </w:r>
      <w:r>
        <w:rPr>
          <w:noProof/>
        </w:rPr>
        <w:t>pagal 2016 m. spalio 10 d. Tarybos sprendimą (ES) 2016/1892</w:t>
      </w:r>
      <w:r>
        <w:rPr>
          <w:rStyle w:val="FootnoteReference"/>
          <w:noProof/>
        </w:rPr>
        <w:footnoteReference w:id="5"/>
      </w:r>
      <w:r>
        <w:rPr>
          <w:noProof/>
        </w:rPr>
        <w:t>, 2015 m. Tarptautinis Susitarimas dėl alyvuogių aliejaus ir valgomųjų alyvuogių (toliau – Susitarimas) Europos Sąjungos vardu buvo pasirašytas 2016 m. lapkričio 28 d. Jungtinių Tautų būstinėje Niujorke, su sąlyga, kad vėliau bus sudarytas;</w:t>
      </w:r>
    </w:p>
    <w:p>
      <w:pPr>
        <w:pStyle w:val="ManualConsidrant"/>
        <w:rPr>
          <w:noProof/>
        </w:rPr>
      </w:pPr>
      <w:r>
        <w:t>(4)</w:t>
      </w:r>
      <w:r>
        <w:tab/>
      </w:r>
      <w:r>
        <w:rPr>
          <w:noProof/>
        </w:rPr>
        <w:t>Susitarimas pagal jo 31 straipsnio 2 dalį laikinai įsigaliojo 2017 m. sausio 1 d.;</w:t>
      </w:r>
    </w:p>
    <w:p>
      <w:pPr>
        <w:pStyle w:val="ManualConsidrant"/>
        <w:rPr>
          <w:noProof/>
        </w:rPr>
      </w:pPr>
      <w:r>
        <w:t>(5)</w:t>
      </w:r>
      <w:r>
        <w:tab/>
      </w:r>
      <w:r>
        <w:rPr>
          <w:noProof/>
        </w:rPr>
        <w:t>Susitarimu steigiamas sprendimų priėmimo organas, „Narių taryba“, kuris naudojasi visais įgaliojimais ir vykdo visas funkcijas, būtinas šio Susitarimo tikslams pasiekti. Įgaliojimai atstovauti Sąjungai Narių taryboje turėtų būti suteikiami Komisijai;</w:t>
      </w:r>
    </w:p>
    <w:p>
      <w:pPr>
        <w:pStyle w:val="ManualConsidrant"/>
        <w:rPr>
          <w:noProof/>
        </w:rPr>
      </w:pPr>
      <w:r>
        <w:t>(6)</w:t>
      </w:r>
      <w:r>
        <w:tab/>
      </w:r>
      <w:r>
        <w:rPr>
          <w:noProof/>
        </w:rPr>
        <w:t xml:space="preserve">pagal Susitarimo 19 straipsnio 2 dalį, Narių taryba gali iš dalies pakeisti alyvuogių aliejaus, maišyto alyvuogių išspaudų aliejaus ir valgomųjų alyvuogių pavadinimus ir apibrėžimus, numatytus Susitarimo B ir C priedų lentelėse ir taip pakeisti Susitarimą; </w:t>
      </w:r>
    </w:p>
    <w:p>
      <w:pPr>
        <w:pStyle w:val="ManualConsidrant"/>
        <w:rPr>
          <w:noProof/>
        </w:rPr>
      </w:pPr>
      <w:r>
        <w:t>(7)</w:t>
      </w:r>
      <w:r>
        <w:tab/>
      </w:r>
      <w:r>
        <w:rPr>
          <w:noProof/>
        </w:rPr>
        <w:t xml:space="preserve">siekiant palengvinti šių Susitarimo pakeitimų priėmimą Narių taryboje, tikslinga Komisiją įgalioti juos patvirtinti Sąjungos vardu. </w:t>
      </w:r>
    </w:p>
    <w:p>
      <w:pPr>
        <w:pStyle w:val="ManualConsidrant"/>
        <w:rPr>
          <w:noProof/>
        </w:rPr>
      </w:pPr>
      <w:r>
        <w:t>(8)</w:t>
      </w:r>
      <w:r>
        <w:tab/>
      </w:r>
      <w:r>
        <w:rPr>
          <w:noProof/>
        </w:rPr>
        <w:t>Komisija turėtų priimti Sąjungos poziciją dėl siūlomų Susitarimo pakeitimų stebėdama, kad tokios pozicijos atitiktų Sąjungos interesus, padėtų siekti tikslų, susijusių su Sąjungos prekybos politika ir neprieštarautų ES ir tarptautinei teisei, nepažeidžiant Komisijos įgaliojimų pritaikyti ES taisykles deleguotuoju aktu prie Susitarimo pakeitimų, priimtų Narių taryboje, visų pirma kiek tai susiję su prekybos alyvuogių aliejaus ir valgomųjų alyvuogių sektoriuje standartais, nurodytais Europos Parlamento ir Tarybos Reglamento (ES) Nr. 1308/2013</w:t>
      </w:r>
      <w:r>
        <w:rPr>
          <w:rStyle w:val="FootnoteReference"/>
          <w:noProof/>
        </w:rPr>
        <w:footnoteReference w:id="6"/>
      </w:r>
      <w:r>
        <w:rPr>
          <w:noProof/>
        </w:rPr>
        <w:t xml:space="preserve"> 75 straipsnyje; </w:t>
      </w:r>
    </w:p>
    <w:p>
      <w:pPr>
        <w:pStyle w:val="ManualConsidrant"/>
        <w:rPr>
          <w:noProof/>
        </w:rPr>
      </w:pPr>
      <w:r>
        <w:t>(9)</w:t>
      </w:r>
      <w:r>
        <w:tab/>
      </w:r>
      <w:r>
        <w:rPr>
          <w:noProof/>
        </w:rPr>
        <w:t>siekiant disponuoti valstybių narių patirtimi ir siekiant užtikrinti kuo didesnį Narių tarybos sprendimų ir ES taisyklių, kurios bus priimtos deleguotuoju aktu, kai Narių taryba tuos sprendimus priims, nuoseklumą reikėtų, kad Komisijai padėtų valstybių narių, kurioms turėtų būti pranešta apie pozicijas, kurių ji ketina laikytis Sąjungos vardu, atstovai. Tikslinga numatyti, kad tais atvejais, kai pagal Sutarties 238 straipsnio 3 dalies a punkto antrą pastraipą kelios sprendimą blokuojančią mažumą sudarančios valstybės narės prieštarauja Komisijos pozicijai, Komisija tos pozicijos priimti negali;</w:t>
      </w:r>
    </w:p>
    <w:p>
      <w:pPr>
        <w:pStyle w:val="ManualConsidrant"/>
        <w:rPr>
          <w:noProof/>
        </w:rPr>
      </w:pPr>
      <w:r>
        <w:t>(10)</w:t>
      </w:r>
      <w:r>
        <w:tab/>
      </w:r>
      <w:r>
        <w:rPr>
          <w:noProof/>
        </w:rPr>
        <w:t xml:space="preserve">Susitarimas turėtų būti patvirtintas Europos Sąjungos vardu, </w:t>
      </w:r>
    </w:p>
    <w:p>
      <w:pPr>
        <w:pStyle w:val="Formuledadoption"/>
        <w:rPr>
          <w:noProof/>
        </w:rPr>
      </w:pPr>
      <w:r>
        <w:rPr>
          <w:noProof/>
        </w:rPr>
        <w:t>PRIĖMĖ ŠĮ SPRENDIMĄ:</w:t>
      </w:r>
    </w:p>
    <w:p>
      <w:pPr>
        <w:pStyle w:val="Titrearticle"/>
        <w:rPr>
          <w:noProof/>
        </w:rPr>
      </w:pPr>
      <w:r>
        <w:rPr>
          <w:noProof/>
        </w:rPr>
        <w:t>1 straipsnis</w:t>
      </w:r>
    </w:p>
    <w:p>
      <w:pPr>
        <w:rPr>
          <w:noProof/>
        </w:rPr>
      </w:pPr>
      <w:r>
        <w:rPr>
          <w:noProof/>
        </w:rPr>
        <w:t>Sąjungos vardu patvirtinamas 2015 m. Tarptautinio Susitarimas dėl alyvuogių aliejaus ir valgomųjų alyvuogių.</w:t>
      </w:r>
    </w:p>
    <w:p>
      <w:pPr>
        <w:rPr>
          <w:noProof/>
        </w:rPr>
      </w:pPr>
      <w:r>
        <w:rPr>
          <w:noProof/>
        </w:rPr>
        <w:t>Susitarimo tekstas pridedamas prie šio sprendimo.</w:t>
      </w:r>
    </w:p>
    <w:p>
      <w:pPr>
        <w:pStyle w:val="Titrearticle"/>
        <w:rPr>
          <w:noProof/>
        </w:rPr>
      </w:pPr>
      <w:r>
        <w:rPr>
          <w:noProof/>
        </w:rPr>
        <w:t>2 straipsnis</w:t>
      </w:r>
    </w:p>
    <w:p>
      <w:pPr>
        <w:rPr>
          <w:noProof/>
        </w:rPr>
      </w:pPr>
      <w:r>
        <w:rPr>
          <w:noProof/>
        </w:rPr>
        <w:t>Tarybos pirmininkas paskiria asmenį, kuris įgaliojamas Europos Sąjungos vardu deponuoti Susitarimo 28 straipsnio 4 dalyje numatytus patvirtinimo aktus ir taip išreikšti Sąjungos sutikimą laikytis Susitarimo.</w:t>
      </w:r>
    </w:p>
    <w:p>
      <w:pPr>
        <w:pStyle w:val="Titrearticle"/>
        <w:rPr>
          <w:noProof/>
        </w:rPr>
      </w:pPr>
      <w:r>
        <w:rPr>
          <w:noProof/>
        </w:rPr>
        <w:t>3 straipsnis</w:t>
      </w:r>
    </w:p>
    <w:p>
      <w:pPr>
        <w:rPr>
          <w:noProof/>
        </w:rPr>
      </w:pPr>
      <w:r>
        <w:rPr>
          <w:noProof/>
        </w:rPr>
        <w:t>Pagal Susitarimo 3 straipsnį įsteigtoje Narių taryboje Sąjungą atstovauja Komisija.</w:t>
      </w:r>
    </w:p>
    <w:p>
      <w:pPr>
        <w:pStyle w:val="Titrearticle"/>
        <w:rPr>
          <w:noProof/>
        </w:rPr>
      </w:pPr>
      <w:r>
        <w:rPr>
          <w:noProof/>
        </w:rPr>
        <w:t>4 straipsnis</w:t>
      </w:r>
    </w:p>
    <w:p>
      <w:pPr>
        <w:rPr>
          <w:noProof/>
        </w:rPr>
      </w:pPr>
      <w:r>
        <w:rPr>
          <w:noProof/>
        </w:rPr>
        <w:t>Jei Susitarimu įsteigta Narių taryba raginama priimti alyvuogių aliejaus, maišyto alyvuogių išspaudų aliejaus ir valgomųjų alyvuogių pavadinimų ir apibrėžimų, numatytų Susitarimo B ir C priedų lentelėse, pakeitimus pagal Susitarimo 19 straipsnio 2 dalį, Komisijai suteikiami įgaliojimai nustatyti pozicijas, kurių Sąjungos vardu turi būti laikomasi dėl pakeitimų, jei laikomasi šių sąlygų:</w:t>
      </w:r>
    </w:p>
    <w:p>
      <w:pPr>
        <w:pStyle w:val="Point0"/>
        <w:rPr>
          <w:noProof/>
        </w:rPr>
      </w:pPr>
      <w:r>
        <w:rPr>
          <w:noProof/>
        </w:rPr>
        <w:t xml:space="preserve">1) </w:t>
      </w:r>
      <w:r>
        <w:rPr>
          <w:noProof/>
        </w:rPr>
        <w:tab/>
        <w:t>Komisija stebi, kad priimtos pozicijos:</w:t>
      </w:r>
    </w:p>
    <w:p>
      <w:pPr>
        <w:pStyle w:val="Point1"/>
        <w:rPr>
          <w:noProof/>
          <w:szCs w:val="24"/>
        </w:rPr>
      </w:pPr>
      <w:r>
        <w:rPr>
          <w:noProof/>
        </w:rPr>
        <w:t>–</w:t>
      </w:r>
      <w:r>
        <w:rPr>
          <w:noProof/>
        </w:rPr>
        <w:tab/>
        <w:t>atitiktų Sąjungos interesus;</w:t>
      </w:r>
    </w:p>
    <w:p>
      <w:pPr>
        <w:pStyle w:val="Point1"/>
        <w:rPr>
          <w:noProof/>
        </w:rPr>
      </w:pPr>
      <w:r>
        <w:rPr>
          <w:noProof/>
        </w:rPr>
        <w:t>–</w:t>
      </w:r>
      <w:r>
        <w:rPr>
          <w:noProof/>
        </w:rPr>
        <w:tab/>
        <w:t>neprieštarautų ES ir tarptautinei teisei, visų pirma Reglamentui (ES) Nr. 1308/2013, nepažeidžiant Komisijos įgaliojimų deleguotuoju aktu pritaikyti ES taisykles prie Susitarimo pakeitimų, priimtų Narių taryboje, kiek tai susiję su prekybos alyvuogių aliejaus ir valgomųjų alyvuogių sektoriuje standartais, nurodytais minėto reglamento 75 straipsnyje.</w:t>
      </w:r>
    </w:p>
    <w:p>
      <w:pPr>
        <w:pStyle w:val="Point0"/>
        <w:rPr>
          <w:noProof/>
        </w:rPr>
      </w:pPr>
      <w:r>
        <w:rPr>
          <w:noProof/>
        </w:rPr>
        <w:t>2)</w:t>
      </w:r>
      <w:r>
        <w:rPr>
          <w:noProof/>
        </w:rPr>
        <w:tab/>
        <w:t>Siekiant nustatyti Sąjungos poziciją, Komisija per tinkamą laikotarpį informuoja valstybių narių atstovus apie poziciją, kurios ji ketina laikytis Sąjungos vardu Narių taryboje.</w:t>
      </w:r>
    </w:p>
    <w:p>
      <w:pPr>
        <w:pStyle w:val="Text1"/>
        <w:rPr>
          <w:noProof/>
        </w:rPr>
      </w:pPr>
      <w:r>
        <w:rPr>
          <w:noProof/>
        </w:rPr>
        <w:t>Kai pagal Sutarties 238 straipsnio 3 dalies a punkto antrą pastraipą kelios sprendimą blokuojančią mažumą sudarančios valstybės narės prieštarauja Komisijos pozicijai, Komisija tokios pozicijos Narių taryboje priimti negali. Tokiu atveju Komisija pateikia atitinkamą pasiūlymą Tarybai pagal Sutarties 218 straipsnio 9 dalį.</w:t>
      </w:r>
    </w:p>
    <w:p>
      <w:pPr>
        <w:pStyle w:val="Titrearticle"/>
        <w:rPr>
          <w:noProof/>
        </w:rPr>
      </w:pPr>
      <w:r>
        <w:rPr>
          <w:noProof/>
        </w:rPr>
        <w:t>5 straipsnis</w:t>
      </w:r>
    </w:p>
    <w:p>
      <w:pPr>
        <w:rPr>
          <w:noProof/>
        </w:rPr>
      </w:pPr>
      <w:r>
        <w:rPr>
          <w:noProof/>
        </w:rPr>
        <w:t xml:space="preserve">Šis sprendimas įsigalioja septintą dieną po jo paskelbimo </w:t>
      </w:r>
      <w:r>
        <w:rPr>
          <w:i/>
          <w:noProof/>
        </w:rPr>
        <w:t>Europos Sąjungos oficialiajame leidinyje</w:t>
      </w:r>
      <w:r>
        <w:rPr>
          <w:noProof/>
        </w:rPr>
        <w:t>.</w:t>
      </w:r>
    </w:p>
    <w:p>
      <w:pPr>
        <w:pStyle w:val="Fait"/>
        <w:rPr>
          <w:noProof/>
        </w:rPr>
      </w:pPr>
      <w:r>
        <w:rPr>
          <w:noProof/>
        </w:rPr>
        <w:t>Priimta Briuselyje</w:t>
      </w:r>
    </w:p>
    <w:p>
      <w:pPr>
        <w:pStyle w:val="Institutionquisigne"/>
        <w:rPr>
          <w:noProof/>
        </w:rPr>
      </w:pPr>
      <w:r>
        <w:rPr>
          <w:noProof/>
        </w:rPr>
        <w:tab/>
        <w:t>Tarybos vardu</w:t>
      </w:r>
    </w:p>
    <w:p>
      <w:pPr>
        <w:pStyle w:val="Personnequisigne"/>
        <w:rPr>
          <w:noProof/>
        </w:rPr>
      </w:pPr>
      <w:r>
        <w:rPr>
          <w:noProof/>
        </w:rPr>
        <w:tab/>
        <w:t>Pirmininkas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fr-BE"/>
        </w:rPr>
      </w:pPr>
      <w:r>
        <w:rPr>
          <w:rStyle w:val="FootnoteReference"/>
        </w:rPr>
        <w:footnoteRef/>
      </w:r>
      <w:r>
        <w:tab/>
        <w:t>OL L 302, 2005 11 19, p. 47.</w:t>
      </w:r>
    </w:p>
  </w:footnote>
  <w:footnote w:id="3">
    <w:p>
      <w:pPr>
        <w:pStyle w:val="FootnoteText"/>
        <w:rPr>
          <w:lang w:val="fr-BE"/>
        </w:rPr>
      </w:pPr>
      <w:r>
        <w:rPr>
          <w:rStyle w:val="FootnoteReference"/>
        </w:rPr>
        <w:footnoteRef/>
      </w:r>
      <w:r>
        <w:tab/>
        <w:t>2016 m. spalio 10 d. Tarybos sprendimas (ES) 2016/1892 dėl 2015 m. Tarptautinio susitarimo dėl alyvuogių aliejaus ir valgomųjų alyvuogių pasirašymo Europos Sąjungos vardu ir jo laikino taikymo (OL L 293, 2016 10 28, p. 2).</w:t>
      </w:r>
    </w:p>
  </w:footnote>
  <w:footnote w:id="4">
    <w:p>
      <w:pPr>
        <w:pStyle w:val="FootnoteText"/>
        <w:rPr>
          <w:lang w:val="fr-BE"/>
        </w:rPr>
      </w:pPr>
      <w:r>
        <w:rPr>
          <w:rStyle w:val="FootnoteReference"/>
        </w:rPr>
        <w:footnoteRef/>
      </w:r>
      <w:r>
        <w:tab/>
        <w:t xml:space="preserve">COM(2013) 646 </w:t>
      </w:r>
      <w:r>
        <w:rPr>
          <w:i/>
        </w:rPr>
        <w:t>final</w:t>
      </w:r>
      <w:r>
        <w:t>, 2013 9 19.</w:t>
      </w:r>
    </w:p>
  </w:footnote>
  <w:footnote w:id="5">
    <w:p>
      <w:pPr>
        <w:pStyle w:val="FootnoteText"/>
        <w:rPr>
          <w:lang w:val="fr-BE"/>
        </w:rPr>
      </w:pPr>
      <w:r>
        <w:rPr>
          <w:rStyle w:val="FootnoteReference"/>
        </w:rPr>
        <w:footnoteRef/>
      </w:r>
      <w:r>
        <w:tab/>
        <w:t>2016 m. spalio 10 d. Tarybos sprendimas (ES) 2016/1892 dėl 2015 m. Tarptautinio Susitarimo dėl alyvuogių aliejaus ir valgomųjų alyvuogių pasirašymo Europos Sąjungos vardu ir jo laikino taikymo (OL L 293, 2016 10 28, p. 2).</w:t>
      </w:r>
    </w:p>
  </w:footnote>
  <w:footnote w:id="6">
    <w:p>
      <w:pPr>
        <w:pStyle w:val="FootnoteText"/>
        <w:rPr>
          <w:lang w:val="fr-BE"/>
        </w:rPr>
      </w:pPr>
      <w:r>
        <w:rPr>
          <w:rStyle w:val="FootnoteReference"/>
        </w:rPr>
        <w:footnoteRef/>
      </w:r>
      <w:r>
        <w:tab/>
        <w:t>2013 m. gruodžio 17 d. Europos Parlamento ir Tarybos reglamentas (ES) Nr. 1308/2013, kuriuo nustatomas bendras žemės ūkio produktų rinkų organizavimas ir panaikinami Tarybos reglamentai (EEB) Nr. 922/72, (EEB) Nr. 234/79, (EB) Nr. 1037/2001 ir (EB) Nr. 1234/2007 (OL L 347, 2013 12 20, p. 671).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9EC0BA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654A5C4"/>
    <w:lvl w:ilvl="0">
      <w:start w:val="1"/>
      <w:numFmt w:val="decimal"/>
      <w:pStyle w:val="ListNumber3"/>
      <w:lvlText w:val="%1."/>
      <w:lvlJc w:val="left"/>
      <w:pPr>
        <w:tabs>
          <w:tab w:val="num" w:pos="926"/>
        </w:tabs>
        <w:ind w:left="926" w:hanging="360"/>
      </w:pPr>
    </w:lvl>
  </w:abstractNum>
  <w:abstractNum w:abstractNumId="2">
    <w:nsid w:val="FFFFFF7F"/>
    <w:multiLevelType w:val="singleLevel"/>
    <w:tmpl w:val="903CDE10"/>
    <w:lvl w:ilvl="0">
      <w:start w:val="1"/>
      <w:numFmt w:val="decimal"/>
      <w:pStyle w:val="ListNumber2"/>
      <w:lvlText w:val="%1."/>
      <w:lvlJc w:val="left"/>
      <w:pPr>
        <w:tabs>
          <w:tab w:val="num" w:pos="643"/>
        </w:tabs>
        <w:ind w:left="643" w:hanging="360"/>
      </w:pPr>
    </w:lvl>
  </w:abstractNum>
  <w:abstractNum w:abstractNumId="3">
    <w:nsid w:val="FFFFFF81"/>
    <w:multiLevelType w:val="singleLevel"/>
    <w:tmpl w:val="C7EAFCA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EC0DC1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9"/>
    <w:multiLevelType w:val="singleLevel"/>
    <w:tmpl w:val="B6CA10D0"/>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5"/>
  </w:num>
  <w:num w:numId="3">
    <w:abstractNumId w:val="14"/>
  </w:num>
  <w:num w:numId="4">
    <w:abstractNumId w:val="22"/>
  </w:num>
  <w:num w:numId="5">
    <w:abstractNumId w:val="2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num>
  <w:num w:numId="8">
    <w:abstractNumId w:val="2"/>
  </w:num>
  <w:num w:numId="9">
    <w:abstractNumId w:val="5"/>
  </w:num>
  <w:num w:numId="10">
    <w:abstractNumId w:val="4"/>
  </w:num>
  <w:num w:numId="11">
    <w:abstractNumId w:val="3"/>
  </w:num>
  <w:num w:numId="12">
    <w:abstractNumId w:val="1"/>
  </w:num>
  <w:num w:numId="13">
    <w:abstractNumId w:val="0"/>
  </w:num>
  <w:num w:numId="14">
    <w:abstractNumId w:val="19"/>
  </w:num>
  <w:num w:numId="15">
    <w:abstractNumId w:val="11"/>
  </w:num>
  <w:num w:numId="16">
    <w:abstractNumId w:val="21"/>
  </w:num>
  <w:num w:numId="17">
    <w:abstractNumId w:val="10"/>
  </w:num>
  <w:num w:numId="18">
    <w:abstractNumId w:val="12"/>
  </w:num>
  <w:num w:numId="19">
    <w:abstractNumId w:val="8"/>
  </w:num>
  <w:num w:numId="20">
    <w:abstractNumId w:val="20"/>
  </w:num>
  <w:num w:numId="21">
    <w:abstractNumId w:val="7"/>
  </w:num>
  <w:num w:numId="22">
    <w:abstractNumId w:val="13"/>
  </w:num>
  <w:num w:numId="23">
    <w:abstractNumId w:val="17"/>
  </w:num>
  <w:num w:numId="24">
    <w:abstractNumId w:val="18"/>
  </w:num>
  <w:num w:numId="25">
    <w:abstractNumId w:val="9"/>
  </w:num>
  <w:num w:numId="26">
    <w:abstractNumId w:val="16"/>
  </w:num>
  <w:num w:numId="27">
    <w:abstractNumId w:val="24"/>
  </w:num>
  <w:num w:numId="28">
    <w:abstractNumId w:val="19"/>
  </w:num>
  <w:num w:numId="29">
    <w:abstractNumId w:val="11"/>
  </w:num>
  <w:num w:numId="30">
    <w:abstractNumId w:val="21"/>
  </w:num>
  <w:num w:numId="31">
    <w:abstractNumId w:val="10"/>
  </w:num>
  <w:num w:numId="32">
    <w:abstractNumId w:val="12"/>
  </w:num>
  <w:num w:numId="33">
    <w:abstractNumId w:val="8"/>
  </w:num>
  <w:num w:numId="34">
    <w:abstractNumId w:val="20"/>
  </w:num>
  <w:num w:numId="35">
    <w:abstractNumId w:val="7"/>
  </w:num>
  <w:num w:numId="36">
    <w:abstractNumId w:val="13"/>
  </w:num>
  <w:num w:numId="37">
    <w:abstractNumId w:val="17"/>
  </w:num>
  <w:num w:numId="38">
    <w:abstractNumId w:val="18"/>
  </w:num>
  <w:num w:numId="39">
    <w:abstractNumId w:val="9"/>
  </w:num>
  <w:num w:numId="40">
    <w:abstractNumId w:val="16"/>
  </w:num>
  <w:num w:numId="4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
  <w:docVars>
    <w:docVar w:name="COVERPAGE_EXISTS" w:val="True"/>
    <w:docVar w:name="DQCDateTime" w:val="2017-05-30 09:13:1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A5ACEFE48FF04BFA9FE6FF9BB36972AC"/>
    <w:docVar w:name="LW_CROSSREFERENCE" w:val="&lt;UNUSED&gt;"/>
    <w:docVar w:name="LW_DocType" w:val="COM"/>
    <w:docVar w:name="LW_EMISSION" w:val="2017 06 01"/>
    <w:docVar w:name="LW_EMISSION_ISODATE" w:val="2017-06-01"/>
    <w:docVar w:name="LW_EMISSION_LOCATION" w:val="BRX"/>
    <w:docVar w:name="LW_EMISSION_PREFIX" w:val="Briuselis,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LT"/>
    <w:docVar w:name="LW_MARKING" w:val="&lt;UNUSED&gt;"/>
    <w:docVar w:name="LW_NOM.INST" w:val="EUROPOS KOMISIJA"/>
    <w:docVar w:name="LW_NOM.INST_JOINTDOC" w:val="&lt;EMPTY&gt;"/>
    <w:docVar w:name="LW_PART_NBR" w:val="1"/>
    <w:docVar w:name="LW_PART_NBR_TOTAL" w:val="1"/>
    <w:docVar w:name="LW_REF.II.NEW.CP" w:val="NLE"/>
    <w:docVar w:name="LW_REF.II.NEW.CP_NUMBER" w:val="0107"/>
    <w:docVar w:name="LW_REF.II.NEW.CP_YEAR" w:val="2017"/>
    <w:docVar w:name="LW_REF.INST.NEW" w:val="COM"/>
    <w:docVar w:name="LW_REF.INST.NEW_ADOPTED" w:val="final"/>
    <w:docVar w:name="LW_REF.INST.NEW_TEXT" w:val="(2017) 264"/>
    <w:docVar w:name="LW_REF.INTERNE" w:val="&lt;UNUSED&gt;"/>
    <w:docVar w:name="LW_SOUS.TITRE.OBJ.CP" w:val="&lt;UNUSED&gt;"/>
    <w:docVar w:name="LW_STATUT.CP" w:val="Pasi\u363?lymas"/>
    <w:docVar w:name="LW_SUPERTITRE" w:val="&lt;UNUSED&gt;"/>
    <w:docVar w:name="LW_TITRE.OBJ.CP" w:val="d\u279?l 2015 m. Tarptautinio Susitarimo d\u279?l alyvuogi\u371? aliejaus ir valgom\u371?j\u371? alyvuogi\u371? sudarymo"/>
    <w:docVar w:name="LW_TYPE.DOC.CP" w:val="TARYBOS SPRENDIMAS"/>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2">
    <w:name w:val="List Bullet 2"/>
    <w:basedOn w:val="Normal"/>
    <w:pPr>
      <w:numPr>
        <w:numId w:val="5"/>
      </w:numPr>
    </w:pPr>
    <w:rPr>
      <w:rFonts w:eastAsia="Times New Roman"/>
    </w:rPr>
  </w:style>
  <w:style w:type="paragraph" w:customStyle="1" w:styleId="Fichefinanciretextetable">
    <w:name w:val="Fiche financière texte (table)"/>
    <w:basedOn w:val="Normal"/>
    <w:pPr>
      <w:spacing w:before="0" w:after="0"/>
      <w:jc w:val="left"/>
    </w:pPr>
    <w:rPr>
      <w:rFonts w:eastAsia="Times New Roman"/>
      <w:sz w:val="20"/>
    </w:rPr>
  </w:style>
  <w:style w:type="paragraph" w:customStyle="1" w:styleId="Fichefinanciretitretable">
    <w:name w:val="Fiche financière titre (table)"/>
    <w:basedOn w:val="Normal"/>
    <w:pPr>
      <w:jc w:val="center"/>
    </w:pPr>
    <w:rPr>
      <w:rFonts w:eastAsia="Times New Roman"/>
      <w:b/>
      <w:sz w:val="40"/>
    </w:rPr>
  </w:style>
  <w:style w:type="paragraph" w:styleId="ListNumber2">
    <w:name w:val="List Number 2"/>
    <w:basedOn w:val="Normal"/>
    <w:uiPriority w:val="99"/>
    <w:semiHidden/>
    <w:unhideWhenUsed/>
    <w:pPr>
      <w:numPr>
        <w:numId w:val="8"/>
      </w:numPr>
      <w:contextualSpacing/>
    </w:pPr>
  </w:style>
  <w:style w:type="paragraph" w:styleId="ListBullet">
    <w:name w:val="List Bullet"/>
    <w:basedOn w:val="Normal"/>
    <w:uiPriority w:val="99"/>
    <w:semiHidden/>
    <w:unhideWhenUsed/>
    <w:pPr>
      <w:numPr>
        <w:numId w:val="9"/>
      </w:numPr>
      <w:contextualSpacing/>
    </w:pPr>
  </w:style>
  <w:style w:type="paragraph" w:styleId="ListBullet3">
    <w:name w:val="List Bullet 3"/>
    <w:basedOn w:val="Normal"/>
    <w:uiPriority w:val="99"/>
    <w:semiHidden/>
    <w:unhideWhenUsed/>
    <w:pPr>
      <w:numPr>
        <w:numId w:val="10"/>
      </w:numPr>
      <w:contextualSpacing/>
    </w:pPr>
  </w:style>
  <w:style w:type="paragraph" w:styleId="ListBullet4">
    <w:name w:val="List Bullet 4"/>
    <w:basedOn w:val="Normal"/>
    <w:uiPriority w:val="99"/>
    <w:semiHidden/>
    <w:unhideWhenUsed/>
    <w:pPr>
      <w:numPr>
        <w:numId w:val="11"/>
      </w:numPr>
      <w:contextualSpacing/>
    </w:p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val="lt-L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lt-LT"/>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2">
    <w:name w:val="List Bullet 2"/>
    <w:basedOn w:val="Normal"/>
    <w:pPr>
      <w:numPr>
        <w:numId w:val="5"/>
      </w:numPr>
    </w:pPr>
    <w:rPr>
      <w:rFonts w:eastAsia="Times New Roman"/>
    </w:rPr>
  </w:style>
  <w:style w:type="paragraph" w:customStyle="1" w:styleId="Fichefinanciretextetable">
    <w:name w:val="Fiche financière texte (table)"/>
    <w:basedOn w:val="Normal"/>
    <w:pPr>
      <w:spacing w:before="0" w:after="0"/>
      <w:jc w:val="left"/>
    </w:pPr>
    <w:rPr>
      <w:rFonts w:eastAsia="Times New Roman"/>
      <w:sz w:val="20"/>
    </w:rPr>
  </w:style>
  <w:style w:type="paragraph" w:customStyle="1" w:styleId="Fichefinanciretitretable">
    <w:name w:val="Fiche financière titre (table)"/>
    <w:basedOn w:val="Normal"/>
    <w:pPr>
      <w:jc w:val="center"/>
    </w:pPr>
    <w:rPr>
      <w:rFonts w:eastAsia="Times New Roman"/>
      <w:b/>
      <w:sz w:val="40"/>
    </w:rPr>
  </w:style>
  <w:style w:type="paragraph" w:styleId="ListNumber2">
    <w:name w:val="List Number 2"/>
    <w:basedOn w:val="Normal"/>
    <w:uiPriority w:val="99"/>
    <w:semiHidden/>
    <w:unhideWhenUsed/>
    <w:pPr>
      <w:numPr>
        <w:numId w:val="8"/>
      </w:numPr>
      <w:contextualSpacing/>
    </w:pPr>
  </w:style>
  <w:style w:type="paragraph" w:styleId="ListBullet">
    <w:name w:val="List Bullet"/>
    <w:basedOn w:val="Normal"/>
    <w:uiPriority w:val="99"/>
    <w:semiHidden/>
    <w:unhideWhenUsed/>
    <w:pPr>
      <w:numPr>
        <w:numId w:val="9"/>
      </w:numPr>
      <w:contextualSpacing/>
    </w:pPr>
  </w:style>
  <w:style w:type="paragraph" w:styleId="ListBullet3">
    <w:name w:val="List Bullet 3"/>
    <w:basedOn w:val="Normal"/>
    <w:uiPriority w:val="99"/>
    <w:semiHidden/>
    <w:unhideWhenUsed/>
    <w:pPr>
      <w:numPr>
        <w:numId w:val="10"/>
      </w:numPr>
      <w:contextualSpacing/>
    </w:pPr>
  </w:style>
  <w:style w:type="paragraph" w:styleId="ListBullet4">
    <w:name w:val="List Bullet 4"/>
    <w:basedOn w:val="Normal"/>
    <w:uiPriority w:val="99"/>
    <w:semiHidden/>
    <w:unhideWhenUsed/>
    <w:pPr>
      <w:numPr>
        <w:numId w:val="11"/>
      </w:numPr>
      <w:contextualSpacing/>
    </w:p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val="lt-L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lt-LT"/>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712F2-FA4F-4F48-B8D8-807F0D05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982</Words>
  <Characters>6504</Characters>
  <Application>Microsoft Office Word</Application>
  <DocSecurity>0</DocSecurity>
  <Lines>120</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2016-03-02T09:20:00Z</cp:lastPrinted>
  <dcterms:created xsi:type="dcterms:W3CDTF">2017-05-19T10:01:00Z</dcterms:created>
  <dcterms:modified xsi:type="dcterms:W3CDTF">2017-05-30T07:13:00Z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20130911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y name="OP_sanitized" fmtid="{D5CDD505-2E9C-101B-9397-08002B2CF9AE}" pid="11">
    <vt:lpwstr>True</vt:lpwstr>
  </property>
</Properties>
</file>