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80A6D5F662C74C4CBD19DA26A3BEB459" style="width:450.75pt;height:321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jc w:val="both"/>
        <w:rPr>
          <w:rFonts w:ascii="Times New Roman" w:eastAsia="Times New Roman" w:hAnsi="Times New Roman"/>
          <w:b/>
          <w:smallCaps/>
          <w:noProof/>
          <w:sz w:val="24"/>
          <w:szCs w:val="24"/>
        </w:rPr>
      </w:pPr>
      <w:bookmarkStart w:id="1" w:name="_GoBack"/>
      <w:bookmarkEnd w:id="1"/>
      <w:r>
        <w:rPr>
          <w:rFonts w:ascii="Times New Roman" w:hAnsi="Times New Roman"/>
          <w:b/>
          <w:smallCaps/>
          <w:noProof/>
          <w:sz w:val="24"/>
        </w:rPr>
        <w:lastRenderedPageBreak/>
        <w:t>1. Įvadas</w:t>
      </w:r>
    </w:p>
    <w:p>
      <w:pPr>
        <w:jc w:val="both"/>
        <w:rPr>
          <w:rFonts w:ascii="Times New Roman" w:eastAsia="Times New Roman" w:hAnsi="Times New Roman"/>
          <w:b/>
          <w:smallCaps/>
          <w:noProof/>
          <w:sz w:val="24"/>
          <w:szCs w:val="24"/>
        </w:rPr>
      </w:pPr>
    </w:p>
    <w:p>
      <w:pPr>
        <w:pStyle w:val="Body"/>
        <w:pBdr>
          <w:top w:val="nil"/>
          <w:left w:val="nil"/>
          <w:bottom w:val="nil"/>
          <w:right w:val="nil"/>
          <w:between w:val="nil"/>
        </w:pBdr>
        <w:tabs>
          <w:tab w:val="left" w:pos="284"/>
        </w:tabs>
        <w:jc w:val="both"/>
        <w:rPr>
          <w:noProof/>
        </w:rPr>
      </w:pPr>
      <w:r>
        <w:rPr>
          <w:noProof/>
        </w:rPr>
        <w:t>Pasaulinė prekyba yra labai svarbi užtikrinant Europos Sąjungos konkurencingumą ir gerovę – Europos eksportas į kitas pasaulio šalis padeda išlaikyti daugiau kaip 30 milijonų darbo vietų. Pasauliniu mastu integruota ekonomika labai naudinga tiek didelėms ir mažosioms bei vidutinėms Europos bendrovėms, tiek Europos piliečiams, darbuotojams ir vartotojams. Bet pasaulinę prekybą reikia aktyviai formuoti bei valdyti ir taip užtikrinti, kad ji būtų sąžininga, skleistų vertybes ir kad toliau būtų grindžiama taisyklėmis. Europos Sąjunga siekia, kad prekybos politika būtų skaidri ir atsakinga, naudinga visiems piliečiams ir siūlytų modernius sprendimus technologinius pokyčius išgyvenančiai šių dienų ekonomikai. Kovo mėn. paskelbus Baltąją knygą dėl Europos ateities</w:t>
      </w:r>
      <w:r>
        <w:rPr>
          <w:rStyle w:val="FootnoteReference"/>
          <w:noProof/>
        </w:rPr>
        <w:footnoteReference w:id="1"/>
      </w:r>
      <w:r>
        <w:rPr>
          <w:noProof/>
        </w:rPr>
        <w:t>, buvo pradėtos atitinkamos diskusijos ir parengtas diskusijoms skirtas dokumentas</w:t>
      </w:r>
      <w:r>
        <w:rPr>
          <w:rStyle w:val="FootnoteReference"/>
          <w:noProof/>
          <w:sz w:val="24"/>
        </w:rPr>
        <w:footnoteReference w:id="2"/>
      </w:r>
      <w:r>
        <w:rPr>
          <w:noProof/>
        </w:rPr>
        <w:t>, kuriame aprašyta, kaip prekybos politika, vykdoma kartu su kitų sričių ES politika, gali padėti suvaldyti globalizaciją ir užtikrinti, kad prekybos teikiama nauda būtų tolygiai paskirstyta pagal ES solidarumo ir tvarumo principus.</w:t>
      </w:r>
    </w:p>
    <w:p>
      <w:pPr>
        <w:pStyle w:val="Body"/>
        <w:pBdr>
          <w:top w:val="nil"/>
          <w:left w:val="nil"/>
          <w:bottom w:val="nil"/>
          <w:right w:val="nil"/>
          <w:between w:val="nil"/>
        </w:pBdr>
        <w:tabs>
          <w:tab w:val="left" w:pos="284"/>
        </w:tabs>
        <w:jc w:val="both"/>
        <w:rPr>
          <w:noProof/>
        </w:rPr>
      </w:pPr>
    </w:p>
    <w:p>
      <w:pPr>
        <w:pStyle w:val="Body"/>
        <w:pBdr>
          <w:top w:val="nil"/>
          <w:left w:val="nil"/>
          <w:bottom w:val="nil"/>
          <w:right w:val="nil"/>
          <w:between w:val="nil"/>
        </w:pBdr>
        <w:tabs>
          <w:tab w:val="left" w:pos="284"/>
        </w:tabs>
        <w:jc w:val="both"/>
        <w:rPr>
          <w:noProof/>
        </w:rPr>
      </w:pPr>
      <w:r>
        <w:rPr>
          <w:noProof/>
        </w:rPr>
        <w:t xml:space="preserve">Tarptautinė aplinka, kurioje vykdoma ES prekybos politika, nuolat kinta: vis dažniau imamasi veiksmų, kurie silpnina taisyklėmis grindžiamą daugiašalę prekybos sistemą ir kuriais gali būti bandoma grąžinti protekcionizmą. Kita vertus, daugybė pasaulinėje prekyboje dalyvaujančių šalių – ir didelių, ir mažų – labai konkrečiais veiksmais parodė, kad palaiko sąžiningą ir atvirą tarptautinę prekybą. </w:t>
      </w:r>
    </w:p>
    <w:p>
      <w:pPr>
        <w:jc w:val="both"/>
        <w:rPr>
          <w:rFonts w:ascii="Times New Roman" w:eastAsia="Times New Roman" w:hAnsi="Times New Roman"/>
          <w:noProof/>
          <w:sz w:val="24"/>
          <w:szCs w:val="24"/>
        </w:rPr>
      </w:pPr>
    </w:p>
    <w:p>
      <w:pPr>
        <w:spacing w:after="200"/>
        <w:jc w:val="both"/>
        <w:rPr>
          <w:rFonts w:ascii="Times New Roman" w:eastAsia="Times New Roman" w:hAnsi="Times New Roman"/>
          <w:noProof/>
          <w:sz w:val="24"/>
          <w:szCs w:val="24"/>
        </w:rPr>
      </w:pPr>
      <w:r>
        <w:rPr>
          <w:rFonts w:ascii="Times New Roman" w:hAnsi="Times New Roman"/>
          <w:noProof/>
          <w:sz w:val="24"/>
        </w:rPr>
        <w:t xml:space="preserve">Europos Komisija siekia užtikrinti, kad ES prekybos politika vystytųsi taip, kad atitiktų svarbiausius Sąjungos ekonomikos ir politikos tikslus, todėl, pvz., vis labiau prekybos politiką derina su ES išorės ir vidaus politika. Pavyzdžiui, prekybos politika prisidedama prie Darnaus vystymosi darbotvarkėje iki 2030 m. nustatytos integruotos politikos vykdymo, susitelkiant ne tik į ekonominius aspektus, bet skiriant dėmesio ir socialiniams bei aplinkos tikslams, ir padedama vykdyti Europos migracijos darbotvarkę bei Europos saugumo darbotvarkę. Tvirtoje ir pažangioje politikos darbotvarkėje turi būti pasinaudota dabartinėmis galimybėmis, reaguojama į Europai kylančias problemas ir toliau ginami svarbiausi Europos interesai. Šiandien Komisija siūlo naujų iniciatyvų rinkinį, kuriuo pratęsiama ir papildoma esama (labai intensyvi) Sąjungos prekybos darbotvarkė, kad būtų pasiekti toliau nurodyti tikslai. </w:t>
      </w:r>
    </w:p>
    <w:p>
      <w:pPr>
        <w:spacing w:after="200"/>
        <w:ind w:left="360"/>
        <w:jc w:val="both"/>
        <w:rPr>
          <w:rFonts w:ascii="Times New Roman" w:eastAsia="Times New Roman" w:hAnsi="Times New Roman"/>
          <w:noProof/>
          <w:sz w:val="24"/>
          <w:szCs w:val="24"/>
        </w:rPr>
      </w:pPr>
      <w:r>
        <w:rPr>
          <w:rFonts w:ascii="Times New Roman" w:hAnsi="Times New Roman"/>
          <w:noProof/>
          <w:sz w:val="24"/>
        </w:rPr>
        <w:t xml:space="preserve">– Pirma, </w:t>
      </w:r>
      <w:r>
        <w:rPr>
          <w:rFonts w:ascii="Times New Roman" w:hAnsi="Times New Roman"/>
          <w:b/>
          <w:noProof/>
          <w:sz w:val="24"/>
        </w:rPr>
        <w:t>Reglamento, kuriuo nustatoma tiesioginių užsienio investicijų į ES tikrinimo sistema, pasiūlymas</w:t>
      </w:r>
      <w:r>
        <w:rPr>
          <w:rFonts w:ascii="Times New Roman" w:hAnsi="Times New Roman"/>
          <w:noProof/>
          <w:sz w:val="24"/>
        </w:rPr>
        <w:t>, kuriuo siekiama užtikrinti, kad užsienio investicijos išliktų svarbus ES ekonomikos augimo šaltinis ir kartu būtų apsaugoti svarbiausi ES interesai. Pasiūlymas dėl teisės akto pateikiamas kartu su Komisijos komunikatu, kuriame išsamiai paaiškinama, kodėl toks tikrinimas strategiškai būtinas.</w:t>
      </w:r>
    </w:p>
    <w:p>
      <w:pPr>
        <w:spacing w:after="200"/>
        <w:ind w:left="360"/>
        <w:jc w:val="both"/>
        <w:rPr>
          <w:rFonts w:ascii="Times New Roman" w:eastAsia="Times New Roman" w:hAnsi="Times New Roman"/>
          <w:noProof/>
          <w:sz w:val="24"/>
          <w:szCs w:val="24"/>
        </w:rPr>
      </w:pPr>
      <w:r>
        <w:rPr>
          <w:rFonts w:ascii="Times New Roman" w:hAnsi="Times New Roman"/>
          <w:noProof/>
          <w:sz w:val="24"/>
        </w:rPr>
        <w:t xml:space="preserve">– Antra, </w:t>
      </w:r>
      <w:r>
        <w:rPr>
          <w:rFonts w:ascii="Times New Roman" w:hAnsi="Times New Roman"/>
          <w:b/>
          <w:noProof/>
          <w:sz w:val="24"/>
        </w:rPr>
        <w:t>rekomendacijos pradėti derybas dėl prekybos susitarimų su Australija ir Naująja Zelandija</w:t>
      </w:r>
      <w:r>
        <w:rPr>
          <w:rFonts w:ascii="Times New Roman" w:hAnsi="Times New Roman"/>
          <w:noProof/>
          <w:sz w:val="24"/>
        </w:rPr>
        <w:t xml:space="preserve">. Šie susitarimai bus grindžiami naujausiomis sėkmingomis derybomis, pavyzdžiui, su Kanada, Singapūru, Vietnamu ir Japonija, ir bus siekiama išplėsti partnerių, įsipareigojusių taikyti pažangias pasaulinės prekybos taisykles, aljansą. </w:t>
      </w:r>
    </w:p>
    <w:p>
      <w:pPr>
        <w:spacing w:after="200"/>
        <w:ind w:left="360"/>
        <w:jc w:val="both"/>
        <w:rPr>
          <w:rFonts w:ascii="Times New Roman" w:eastAsia="Times New Roman" w:hAnsi="Times New Roman"/>
          <w:noProof/>
          <w:sz w:val="24"/>
          <w:szCs w:val="24"/>
        </w:rPr>
      </w:pPr>
      <w:r>
        <w:rPr>
          <w:rFonts w:ascii="Times New Roman" w:hAnsi="Times New Roman"/>
          <w:noProof/>
          <w:sz w:val="24"/>
        </w:rPr>
        <w:t xml:space="preserve">– Trečia, </w:t>
      </w:r>
      <w:r>
        <w:rPr>
          <w:rFonts w:ascii="Times New Roman" w:hAnsi="Times New Roman"/>
          <w:b/>
          <w:noProof/>
          <w:sz w:val="24"/>
        </w:rPr>
        <w:t>rekomendacija pradėti daugiašales derybas dėl Daugiašalio investicinių ginčų sprendimo teismo įsteigimo</w:t>
      </w:r>
      <w:r>
        <w:rPr>
          <w:rFonts w:ascii="Times New Roman" w:hAnsi="Times New Roman"/>
          <w:noProof/>
          <w:sz w:val="24"/>
        </w:rPr>
        <w:t>; toks teismas būtų didelė pasaulinio valdymo naujovė.</w:t>
      </w:r>
    </w:p>
    <w:p>
      <w:pPr>
        <w:spacing w:after="200"/>
        <w:ind w:left="360"/>
        <w:jc w:val="both"/>
        <w:rPr>
          <w:rFonts w:ascii="Times New Roman" w:eastAsia="Times New Roman" w:hAnsi="Times New Roman"/>
          <w:noProof/>
          <w:sz w:val="24"/>
          <w:szCs w:val="24"/>
        </w:rPr>
      </w:pPr>
      <w:r>
        <w:rPr>
          <w:rFonts w:ascii="Times New Roman" w:hAnsi="Times New Roman"/>
          <w:noProof/>
          <w:sz w:val="24"/>
        </w:rPr>
        <w:t xml:space="preserve">– Ketvirta, Komisija taip pat nutarė </w:t>
      </w:r>
      <w:r>
        <w:rPr>
          <w:rFonts w:ascii="Times New Roman" w:hAnsi="Times New Roman"/>
          <w:b/>
          <w:noProof/>
          <w:sz w:val="24"/>
        </w:rPr>
        <w:t>nuo šiol skelbti savo rekomendacijas dėl prekybos susitarimams sudaryti skirtų derybinių nurodymų</w:t>
      </w:r>
      <w:r>
        <w:rPr>
          <w:rFonts w:ascii="Times New Roman" w:hAnsi="Times New Roman"/>
          <w:noProof/>
          <w:sz w:val="24"/>
        </w:rPr>
        <w:t xml:space="preserve">. Šiandien bus paskelbtos pirmos trys minėtos rekomendacijos. Tai reiškia, kad, kai jos bus pateikiamos svarstyti Tarybai ir perduodamos Europos Parlamentui, kaip buvo daroma iki šiol, jos dabar tuo pačiu metu </w:t>
      </w:r>
      <w:r>
        <w:rPr>
          <w:rFonts w:ascii="Times New Roman" w:hAnsi="Times New Roman"/>
          <w:noProof/>
          <w:sz w:val="24"/>
        </w:rPr>
        <w:lastRenderedPageBreak/>
        <w:t xml:space="preserve">bus automatiškai perduodamos nacionaliniams parlamentams ir paskelbiamos viešai; tai leis nuo pat pradžių dėl planuojamo susitarimo pradėti plataus masto ir įtraukias diskusijas. </w:t>
      </w:r>
    </w:p>
    <w:p>
      <w:pPr>
        <w:spacing w:after="200"/>
        <w:ind w:left="360"/>
        <w:jc w:val="both"/>
        <w:rPr>
          <w:rFonts w:ascii="Times New Roman" w:eastAsia="Times New Roman" w:hAnsi="Times New Roman"/>
          <w:noProof/>
          <w:sz w:val="24"/>
          <w:szCs w:val="24"/>
        </w:rPr>
      </w:pPr>
      <w:r>
        <w:rPr>
          <w:rFonts w:ascii="Times New Roman" w:hAnsi="Times New Roman"/>
          <w:noProof/>
          <w:sz w:val="24"/>
        </w:rPr>
        <w:t xml:space="preserve">– Galiausiai Komisija taip pat nutarė </w:t>
      </w:r>
      <w:r>
        <w:rPr>
          <w:rFonts w:ascii="Times New Roman" w:hAnsi="Times New Roman"/>
          <w:b/>
          <w:noProof/>
          <w:sz w:val="24"/>
        </w:rPr>
        <w:t>įsteigti grupę, kuri teiktų patarimus ES prekybos susitarimų klausimais</w:t>
      </w:r>
      <w:r>
        <w:rPr>
          <w:rFonts w:ascii="Times New Roman" w:hAnsi="Times New Roman"/>
          <w:noProof/>
          <w:sz w:val="24"/>
        </w:rPr>
        <w:t>, taip siekdama skirti dar daugiau dėmesio skaidriam ir įtraukiam prekybos politikos formavimui.</w:t>
      </w:r>
    </w:p>
    <w:p>
      <w:pPr>
        <w:jc w:val="both"/>
        <w:rPr>
          <w:rFonts w:ascii="Times New Roman" w:eastAsia="Times New Roman" w:hAnsi="Times New Roman"/>
          <w:b/>
          <w:smallCaps/>
          <w:noProof/>
          <w:sz w:val="24"/>
          <w:szCs w:val="24"/>
        </w:rPr>
      </w:pPr>
      <w:r>
        <w:rPr>
          <w:rFonts w:ascii="Times New Roman" w:hAnsi="Times New Roman"/>
          <w:noProof/>
          <w:sz w:val="24"/>
        </w:rPr>
        <w:t>Be šio komunikato, šiandien Komisija taip pat skelbia pirmąją dvimetę prekybos politikos strategijos „Prekyba visiems“ įgyvendinimo ataskaitą.</w:t>
      </w:r>
      <w:r>
        <w:rPr>
          <w:rStyle w:val="FootnoteReference"/>
          <w:rFonts w:ascii="Times New Roman" w:hAnsi="Times New Roman"/>
          <w:noProof/>
          <w:sz w:val="24"/>
        </w:rPr>
        <w:footnoteReference w:id="3"/>
      </w:r>
      <w:r>
        <w:rPr>
          <w:rFonts w:ascii="Times New Roman" w:hAnsi="Times New Roman"/>
          <w:noProof/>
          <w:sz w:val="24"/>
        </w:rPr>
        <w:t xml:space="preserve"> Ataskaitoje pateikiami per dvejus metus nuo strategijos priėmimo pasiekti laimėjimai, atlikti darbai ir įgyta patirtis, kuria remiamasi plėtojant ES prekybos politiką. Ją papildys vėliau šį rudenį pateiksima </w:t>
      </w:r>
      <w:r>
        <w:rPr>
          <w:rFonts w:ascii="Times New Roman" w:hAnsi="Times New Roman"/>
          <w:i/>
          <w:noProof/>
          <w:sz w:val="24"/>
        </w:rPr>
        <w:t>Laisvosios prekybos susitarimų įgyvendinimo ataskaita</w:t>
      </w:r>
      <w:r>
        <w:rPr>
          <w:rFonts w:ascii="Times New Roman" w:hAnsi="Times New Roman"/>
          <w:noProof/>
          <w:sz w:val="24"/>
        </w:rPr>
        <w:t xml:space="preserve">; Komisija kviečia visas suinteresuotąsias šalis dalyvauti diskusijose apie perspektyvią prekybos politiką, remiantis dviem minėtomis ataskaitomis ir šiuo komunikatu. Be to, remiantis naujuoju Europos konsensusu dėl vystymosi, šiais metais bus peržiūrėta Pagalbos prekybai strategija. </w:t>
      </w:r>
    </w:p>
    <w:p>
      <w:pPr>
        <w:jc w:val="both"/>
        <w:rPr>
          <w:rFonts w:ascii="Times New Roman" w:eastAsia="Times New Roman" w:hAnsi="Times New Roman"/>
          <w:b/>
          <w:smallCaps/>
          <w:noProof/>
          <w:sz w:val="24"/>
          <w:szCs w:val="24"/>
        </w:rPr>
      </w:pPr>
    </w:p>
    <w:p>
      <w:pPr>
        <w:rPr>
          <w:rFonts w:ascii="Times New Roman" w:eastAsia="Times New Roman" w:hAnsi="Times New Roman"/>
          <w:b/>
          <w:smallCaps/>
          <w:noProof/>
          <w:sz w:val="24"/>
          <w:szCs w:val="24"/>
        </w:rPr>
      </w:pPr>
    </w:p>
    <w:p>
      <w:pPr>
        <w:spacing w:after="200"/>
        <w:rPr>
          <w:rFonts w:ascii="Times New Roman" w:eastAsia="Times New Roman" w:hAnsi="Times New Roman"/>
          <w:b/>
          <w:smallCaps/>
          <w:noProof/>
          <w:sz w:val="24"/>
          <w:szCs w:val="24"/>
        </w:rPr>
      </w:pPr>
      <w:r>
        <w:rPr>
          <w:rFonts w:ascii="Times New Roman" w:hAnsi="Times New Roman"/>
          <w:b/>
          <w:smallCaps/>
          <w:noProof/>
          <w:sz w:val="24"/>
        </w:rPr>
        <w:t>2. Sudaryti naujas prekybos partnerystes ir taip nustatyti pažangias pasaulinės prekybos taisykles</w:t>
      </w:r>
    </w:p>
    <w:p>
      <w:pPr>
        <w:spacing w:after="200"/>
        <w:jc w:val="both"/>
        <w:rPr>
          <w:rFonts w:ascii="Times New Roman" w:eastAsia="Times New Roman" w:hAnsi="Times New Roman"/>
          <w:noProof/>
          <w:sz w:val="24"/>
          <w:szCs w:val="24"/>
        </w:rPr>
      </w:pPr>
      <w:r>
        <w:rPr>
          <w:rFonts w:ascii="Times New Roman" w:hAnsi="Times New Roman"/>
          <w:noProof/>
          <w:sz w:val="24"/>
        </w:rPr>
        <w:t xml:space="preserve">ES pasiryžusi ginti </w:t>
      </w:r>
      <w:r>
        <w:rPr>
          <w:rFonts w:ascii="Times New Roman" w:hAnsi="Times New Roman"/>
          <w:b/>
          <w:noProof/>
          <w:sz w:val="24"/>
        </w:rPr>
        <w:t>atvirą prekybą, kurios pagrindas – taisyklėmis grindžiama daugiašalė prekybos sistema</w:t>
      </w:r>
      <w:r>
        <w:rPr>
          <w:rFonts w:ascii="Times New Roman" w:hAnsi="Times New Roman"/>
          <w:noProof/>
          <w:sz w:val="24"/>
        </w:rPr>
        <w:t xml:space="preserve">. Prekių, paslaugų, žmonių ir kapitalo judėjimo laisvė labai prisidėjo prie ES ekonomikos augimo, konkurencingumo ir vartotojų gerovės. Mūsų gerovė grindžiama minėtu atvirumu ir aukštais aplinkos, darbo, vartotojų ir socialinės apsaugos standartais ir tai yra tinkamiausias būdas užtikrinti, kad globalizacija būtų naudinga visiems europiečiams. Globalizacija – tai daugiau nei prekyba, o technologinė raida dar labiau sustiprina jos poveikį; tačiau nėra abejonių, kad prekybos politika labai svarbi siekiant suvaldyti globalizaciją ir taip užtikrinti, kad jos ekonominis ir socialinis poveikis ir poveikis aplinkai būtų naudingas Europos ir viso pasaulio žmonėms ir verslui. </w:t>
      </w:r>
    </w:p>
    <w:p>
      <w:pPr>
        <w:jc w:val="both"/>
        <w:rPr>
          <w:rFonts w:ascii="Times New Roman" w:eastAsia="Times New Roman" w:hAnsi="Times New Roman"/>
          <w:noProof/>
          <w:color w:val="000000"/>
          <w:sz w:val="24"/>
          <w:szCs w:val="24"/>
        </w:rPr>
      </w:pPr>
      <w:r>
        <w:rPr>
          <w:rFonts w:ascii="Times New Roman" w:hAnsi="Times New Roman"/>
          <w:noProof/>
          <w:sz w:val="24"/>
        </w:rPr>
        <w:t xml:space="preserve">ES ieško partnerių, kurie nori kartu </w:t>
      </w:r>
      <w:r>
        <w:rPr>
          <w:rFonts w:ascii="Times New Roman" w:hAnsi="Times New Roman"/>
          <w:b/>
          <w:noProof/>
          <w:sz w:val="24"/>
        </w:rPr>
        <w:t>kurti atviras ir pažangias</w:t>
      </w:r>
      <w:r>
        <w:rPr>
          <w:rFonts w:ascii="Times New Roman" w:hAnsi="Times New Roman"/>
          <w:noProof/>
          <w:sz w:val="24"/>
        </w:rPr>
        <w:t xml:space="preserve">, XXI a. prekybos ypatumus atitinkančias </w:t>
      </w:r>
      <w:r>
        <w:rPr>
          <w:rFonts w:ascii="Times New Roman" w:hAnsi="Times New Roman"/>
          <w:b/>
          <w:noProof/>
          <w:sz w:val="24"/>
        </w:rPr>
        <w:t>taisykles</w:t>
      </w:r>
      <w:r>
        <w:rPr>
          <w:rFonts w:ascii="Times New Roman" w:hAnsi="Times New Roman"/>
          <w:noProof/>
          <w:sz w:val="24"/>
        </w:rPr>
        <w:t xml:space="preserve"> ir taip sustiprinti pasaulinį valdymą. Naujausiuose ES susitarimuose su Kanada, Singapūru ar Vietnamu, taip pat iš esmės pasiektame susitarime su Japonija ne tik sukuriama naujų ekonominių galimybių mūsų įmonėms ir piliečiams, bet ir atsižvelgiama į visuotines Sąjungos vertybes bei jų sklaidą, kartu išsaugant nacionalinių vyriausybių teisę reglamentuoti atsižvelgiant į viešąjį interesą.</w:t>
      </w:r>
    </w:p>
    <w:p>
      <w:pPr>
        <w:jc w:val="both"/>
        <w:rPr>
          <w:rFonts w:ascii="Times New Roman" w:eastAsia="Times New Roman" w:hAnsi="Times New Roman"/>
          <w:b/>
          <w:i/>
          <w:noProof/>
          <w:sz w:val="24"/>
          <w:szCs w:val="24"/>
        </w:rPr>
      </w:pPr>
    </w:p>
    <w:p>
      <w:pPr>
        <w:spacing w:after="200"/>
        <w:jc w:val="both"/>
        <w:rPr>
          <w:rFonts w:ascii="Times New Roman" w:eastAsia="Times New Roman" w:hAnsi="Times New Roman"/>
          <w:b/>
          <w:i/>
          <w:noProof/>
          <w:sz w:val="24"/>
          <w:szCs w:val="24"/>
        </w:rPr>
      </w:pPr>
      <w:r>
        <w:rPr>
          <w:rFonts w:ascii="Times New Roman" w:hAnsi="Times New Roman"/>
          <w:b/>
          <w:i/>
          <w:noProof/>
          <w:sz w:val="24"/>
        </w:rPr>
        <w:t xml:space="preserve">Sukurti naujų ekonominių galimybių </w:t>
      </w:r>
    </w:p>
    <w:p>
      <w:pPr>
        <w:spacing w:after="200"/>
        <w:jc w:val="both"/>
        <w:rPr>
          <w:rFonts w:ascii="Times New Roman" w:eastAsia="Times New Roman" w:hAnsi="Times New Roman"/>
          <w:noProof/>
          <w:sz w:val="24"/>
          <w:szCs w:val="24"/>
        </w:rPr>
      </w:pPr>
      <w:r>
        <w:rPr>
          <w:rFonts w:ascii="Times New Roman" w:hAnsi="Times New Roman"/>
          <w:noProof/>
          <w:sz w:val="24"/>
        </w:rPr>
        <w:t xml:space="preserve">Siekdama patekti į naujas rinkas, Europos Komisija laikosi </w:t>
      </w:r>
      <w:r>
        <w:rPr>
          <w:rFonts w:ascii="Times New Roman" w:hAnsi="Times New Roman"/>
          <w:b/>
          <w:noProof/>
          <w:sz w:val="24"/>
        </w:rPr>
        <w:t>išsamios daugiašalių ir dvišalių derybų darbotvarkės</w:t>
      </w:r>
      <w:r>
        <w:rPr>
          <w:rFonts w:ascii="Times New Roman" w:hAnsi="Times New Roman"/>
          <w:noProof/>
          <w:sz w:val="24"/>
        </w:rPr>
        <w:t>, kad užtikrintų abipusį patekimą į rinką. Mūsų prekybos santykių visame pasaulyje pagrindas – ES daugiašaliai įsipareigojimai Pasaulio prekybos organizacijoje (PPO). Ruošdamasi gruodžio mėn. ministrų konferencijai Buenos Airėse, ES imasi vadovaujamo vaidmens PPO derybų darbotvarkei performuoti, siekdama modernizuoti pasaulinės prekybos taisykles ir atkurti PPO viršenybę nustatant taisykles, ypač stiprėjant protekcionizmui.</w:t>
      </w:r>
    </w:p>
    <w:p>
      <w:pPr>
        <w:spacing w:after="200"/>
        <w:jc w:val="both"/>
        <w:rPr>
          <w:rFonts w:ascii="Times New Roman" w:eastAsia="Times New Roman" w:hAnsi="Times New Roman"/>
          <w:noProof/>
          <w:sz w:val="24"/>
          <w:szCs w:val="24"/>
        </w:rPr>
      </w:pPr>
      <w:r>
        <w:rPr>
          <w:rFonts w:ascii="Times New Roman" w:hAnsi="Times New Roman"/>
          <w:noProof/>
          <w:sz w:val="24"/>
        </w:rPr>
        <w:t xml:space="preserve">Komisija įsipareigojusi </w:t>
      </w:r>
      <w:r>
        <w:rPr>
          <w:rFonts w:ascii="Times New Roman" w:hAnsi="Times New Roman"/>
          <w:b/>
          <w:noProof/>
          <w:sz w:val="24"/>
        </w:rPr>
        <w:t>sustiprinti ES ryšius su ateities ekonomikos augimo varikliais –Azijos ir Pietų Amerikos regionais</w:t>
      </w:r>
      <w:r>
        <w:rPr>
          <w:rFonts w:ascii="Times New Roman" w:hAnsi="Times New Roman"/>
          <w:noProof/>
          <w:sz w:val="24"/>
        </w:rPr>
        <w:t xml:space="preserve">. Derybose su Meksika ir MERCOSUR padaryta didelė pažanga ir Komisija deda pastangas, kad politinis susitarimas būtų pasiektas iki metų pabaigos. Netrukus taip pat bus paskelbti su Singapūru ir Vietnamu pasiekti susitarimai. </w:t>
      </w:r>
    </w:p>
    <w:p>
      <w:pPr>
        <w:spacing w:after="200"/>
        <w:jc w:val="both"/>
        <w:rPr>
          <w:rFonts w:ascii="Times New Roman" w:eastAsia="Times New Roman" w:hAnsi="Times New Roman"/>
          <w:noProof/>
          <w:sz w:val="24"/>
          <w:szCs w:val="24"/>
        </w:rPr>
      </w:pPr>
      <w:r>
        <w:rPr>
          <w:rFonts w:ascii="Times New Roman" w:hAnsi="Times New Roman"/>
          <w:noProof/>
          <w:sz w:val="24"/>
        </w:rPr>
        <w:t xml:space="preserve">Nuo rugsėjo 21 d. bus laikinai taikomas </w:t>
      </w:r>
      <w:r>
        <w:rPr>
          <w:rFonts w:ascii="Times New Roman" w:hAnsi="Times New Roman"/>
          <w:b/>
          <w:noProof/>
          <w:sz w:val="24"/>
        </w:rPr>
        <w:t>ES ir Kanados išsamus ekonomikos ir prekybos susitarimas (IEPS)</w:t>
      </w:r>
      <w:r>
        <w:rPr>
          <w:rFonts w:ascii="Times New Roman" w:hAnsi="Times New Roman"/>
          <w:noProof/>
          <w:sz w:val="24"/>
        </w:rPr>
        <w:t>. Liepos 6 d. ES ir Japonija iš esmės susitarė dėl pagrindinių ekonominės partnerystės susitarimo elementų ir dabar aktyviai dirbama, kad iki metų pabaigos būtų parengtas galutinis tekstas. Šiais plataus masto susitarimais, be kita ko, bus panaikinta didžioji dauguma muitų, kuriuos ES bendrovės moka prekiaudamos su Kanada ir Japonija, ir atverta rinka iš ES eksportuojamiems produktams, įskaitant žemės ūkio ir maisto produktus bei gėrimus. Šiais susitarimais bus panaikintos kliūtys įvairiuose paslaugų sektoriuose ir toliau skatinamas inovatyvios ir konkurencingos ekonomikos kūrimas, kad visoms bendrovėms, ypač mažosioms ir vidutinėms, būtų lengviau vykdyti veiklą.</w:t>
      </w:r>
    </w:p>
    <w:p>
      <w:pPr>
        <w:spacing w:after="200"/>
        <w:jc w:val="both"/>
        <w:rPr>
          <w:rFonts w:ascii="Times New Roman" w:eastAsia="Times New Roman" w:hAnsi="Times New Roman"/>
          <w:b/>
          <w:i/>
          <w:noProof/>
          <w:sz w:val="24"/>
          <w:szCs w:val="24"/>
        </w:rPr>
      </w:pPr>
      <w:r>
        <w:rPr>
          <w:rFonts w:ascii="Times New Roman" w:hAnsi="Times New Roman"/>
          <w:b/>
          <w:i/>
          <w:noProof/>
          <w:sz w:val="24"/>
        </w:rPr>
        <w:t>Skleisti visuotines Sąjungos vertybes</w:t>
      </w:r>
    </w:p>
    <w:p>
      <w:pPr>
        <w:jc w:val="both"/>
        <w:rPr>
          <w:rFonts w:ascii="Times New Roman" w:eastAsia="Times New Roman" w:hAnsi="Times New Roman"/>
          <w:noProof/>
          <w:sz w:val="24"/>
          <w:szCs w:val="24"/>
        </w:rPr>
      </w:pPr>
      <w:r>
        <w:rPr>
          <w:rFonts w:ascii="Times New Roman" w:hAnsi="Times New Roman"/>
          <w:noProof/>
          <w:sz w:val="24"/>
        </w:rPr>
        <w:t xml:space="preserve">ES rodo pavyzdį </w:t>
      </w:r>
      <w:r>
        <w:rPr>
          <w:rFonts w:ascii="Times New Roman" w:hAnsi="Times New Roman"/>
          <w:b/>
          <w:noProof/>
          <w:sz w:val="24"/>
        </w:rPr>
        <w:t>besąlygiškai saugodama aukštus Europos standartus aplinkos, vartotojų, socialinės ir darbo apsaugos, taip pat pagrindinių teisių srityse</w:t>
      </w:r>
      <w:r>
        <w:rPr>
          <w:rFonts w:ascii="Times New Roman" w:hAnsi="Times New Roman"/>
          <w:noProof/>
          <w:sz w:val="24"/>
        </w:rPr>
        <w:t>. Kartu su mūsų partneriais naudodamiesi prekybos politikos priemonėmis norime skleisti šiuos standartus visame pasaulyje pagal darnaus vystymosi tikslus, kuriuose prekyba įvardyta kaip viena esminių jų įgyvendinimo priemonių. Pavyzdžiui, visuose šio laikotarpio ES prekybos susitarimuose remiamas tarptautinių aplinkos apsaugos ir darbo standartų susitarimų įgyvendinimas, o ES ir Japonijos ekonominės partnerystės susitarimas yra pirmasis tarptautinis prekybos susitarimas, kuriuo aiškiai remiamas Paryžiaus klimato susitarimas. Susitarimu su Kanada pasiekta esminių su įsipareigojimais darbo srityje susijusių rezultatų. Tai įrodo, kad Komisijos šioje srityje taikomas metodas, nustatytas komunikate „Prekyba visiems“</w:t>
      </w:r>
      <w:r>
        <w:rPr>
          <w:rStyle w:val="None"/>
          <w:rFonts w:ascii="Times New Roman" w:hAnsi="Times New Roman"/>
          <w:noProof/>
          <w:sz w:val="24"/>
          <w:vertAlign w:val="superscript"/>
        </w:rPr>
        <w:footnoteReference w:id="4"/>
      </w:r>
      <w:r>
        <w:rPr>
          <w:rFonts w:ascii="Times New Roman" w:hAnsi="Times New Roman"/>
          <w:noProof/>
          <w:sz w:val="24"/>
        </w:rPr>
        <w:t>, duoda rezultatų. Šiuo metu Komisija dalyvauja visapusiškose diskusijose su Europos Parlamentu, Taryba ir suinteresuotosiomis šalimis, kad būtų veiksmingiau įgyvendinamos mūsų susitarimų nuostatos, skirtos prekybai ir darniam vystymuisi, ir užtikrintas jų vykdymas.</w:t>
      </w:r>
      <w:r>
        <w:rPr>
          <w:rFonts w:ascii="Times New Roman" w:hAnsi="Times New Roman"/>
          <w:noProof/>
          <w:color w:val="1F497D"/>
          <w:sz w:val="24"/>
        </w:rPr>
        <w:t xml:space="preserve"> </w:t>
      </w:r>
    </w:p>
    <w:p>
      <w:pPr>
        <w:jc w:val="both"/>
        <w:rPr>
          <w:rFonts w:ascii="Times New Roman" w:eastAsia="Times New Roman" w:hAnsi="Times New Roman"/>
          <w:noProof/>
          <w:sz w:val="24"/>
          <w:szCs w:val="24"/>
        </w:rPr>
      </w:pPr>
    </w:p>
    <w:p>
      <w:pPr>
        <w:jc w:val="both"/>
        <w:rPr>
          <w:rFonts w:ascii="Times New Roman" w:eastAsia="Times New Roman" w:hAnsi="Times New Roman"/>
          <w:b/>
          <w:i/>
          <w:noProof/>
          <w:sz w:val="24"/>
          <w:szCs w:val="24"/>
        </w:rPr>
      </w:pPr>
      <w:r>
        <w:rPr>
          <w:rFonts w:ascii="Times New Roman" w:hAnsi="Times New Roman"/>
          <w:b/>
          <w:i/>
          <w:noProof/>
          <w:sz w:val="24"/>
        </w:rPr>
        <w:t>Išlaikyti teisę reglamentuoti</w:t>
      </w:r>
    </w:p>
    <w:p>
      <w:pPr>
        <w:jc w:val="both"/>
        <w:rPr>
          <w:rFonts w:ascii="Times New Roman" w:eastAsia="Times New Roman" w:hAnsi="Times New Roman"/>
          <w:noProof/>
          <w:sz w:val="24"/>
          <w:szCs w:val="24"/>
        </w:rPr>
      </w:pPr>
    </w:p>
    <w:p>
      <w:pPr>
        <w:spacing w:after="200"/>
        <w:jc w:val="both"/>
        <w:rPr>
          <w:rFonts w:ascii="Times New Roman" w:eastAsia="Times New Roman" w:hAnsi="Times New Roman"/>
          <w:noProof/>
          <w:sz w:val="24"/>
          <w:szCs w:val="24"/>
        </w:rPr>
      </w:pPr>
      <w:r>
        <w:rPr>
          <w:rFonts w:ascii="Times New Roman" w:hAnsi="Times New Roman"/>
          <w:noProof/>
          <w:sz w:val="24"/>
        </w:rPr>
        <w:t xml:space="preserve">ES susitarimais taip pat </w:t>
      </w:r>
      <w:r>
        <w:rPr>
          <w:rFonts w:ascii="Times New Roman" w:hAnsi="Times New Roman"/>
          <w:b/>
          <w:noProof/>
          <w:sz w:val="24"/>
        </w:rPr>
        <w:t>aiškiai išsaugoma nacionalinių vyriausybių teisė reglamentuoti atsižvelgiant į viešąjį interesą</w:t>
      </w:r>
      <w:r>
        <w:rPr>
          <w:rFonts w:ascii="Times New Roman" w:hAnsi="Times New Roman"/>
          <w:noProof/>
          <w:sz w:val="24"/>
        </w:rPr>
        <w:t xml:space="preserve"> – tai svarbus visų būsimų derybų principas</w:t>
      </w:r>
      <w:r>
        <w:rPr>
          <w:rStyle w:val="FootnoteReference"/>
          <w:rFonts w:ascii="Times New Roman" w:hAnsi="Times New Roman"/>
          <w:noProof/>
        </w:rPr>
        <w:footnoteReference w:id="5"/>
      </w:r>
      <w:r>
        <w:rPr>
          <w:noProof/>
        </w:rPr>
        <w:t>.</w:t>
      </w:r>
      <w:r>
        <w:rPr>
          <w:rFonts w:ascii="Times New Roman" w:hAnsi="Times New Roman"/>
          <w:noProof/>
          <w:sz w:val="24"/>
        </w:rPr>
        <w:t xml:space="preserve"> Šiuo principu grindžiamas naujas ES požiūris į investicijų apsaugą. Dabar, kaip matyti iš susitarimo su Kanada, sudarydama dvišalius susitarimus Komisija laikosi visiškai kitokio požiūrio į investicijų apsaugą, kuriuo gerokai nukrypstama nuo investuotojų ir valstybės ginčų sprendimo sistemos. </w:t>
      </w:r>
    </w:p>
    <w:p>
      <w:pPr>
        <w:jc w:val="both"/>
        <w:rPr>
          <w:rFonts w:ascii="Times New Roman" w:eastAsia="Times New Roman" w:hAnsi="Times New Roman"/>
          <w:b/>
          <w:i/>
          <w:noProof/>
          <w:sz w:val="24"/>
          <w:szCs w:val="24"/>
        </w:rPr>
      </w:pPr>
      <w:r>
        <w:rPr>
          <w:rFonts w:ascii="Times New Roman" w:hAnsi="Times New Roman"/>
          <w:b/>
          <w:i/>
          <w:noProof/>
          <w:sz w:val="24"/>
        </w:rPr>
        <w:t>Užtikrinti naujas partnerystes</w:t>
      </w:r>
    </w:p>
    <w:p>
      <w:pPr>
        <w:jc w:val="both"/>
        <w:rPr>
          <w:rFonts w:ascii="Times New Roman" w:eastAsia="Times New Roman" w:hAnsi="Times New Roman"/>
          <w:noProof/>
          <w:sz w:val="24"/>
          <w:szCs w:val="24"/>
        </w:rPr>
      </w:pPr>
    </w:p>
    <w:p>
      <w:pPr>
        <w:jc w:val="both"/>
        <w:rPr>
          <w:rFonts w:ascii="Times New Roman" w:eastAsia="Times New Roman" w:hAnsi="Times New Roman"/>
          <w:noProof/>
          <w:color w:val="000000"/>
          <w:sz w:val="24"/>
          <w:szCs w:val="24"/>
        </w:rPr>
      </w:pPr>
      <w:r>
        <w:rPr>
          <w:rFonts w:ascii="Times New Roman" w:hAnsi="Times New Roman"/>
          <w:noProof/>
          <w:sz w:val="24"/>
        </w:rPr>
        <w:t xml:space="preserve">Susitarimai su Japonija ir Kanada ir greita pažanga, padaryta su tokiais partneriais kaip Meksika ir MERCOSUR, parodo, kad įmanoma sukurti pažangias ir modernias prekybos taisykles. </w:t>
      </w:r>
      <w:r>
        <w:rPr>
          <w:rFonts w:ascii="Times New Roman" w:hAnsi="Times New Roman"/>
          <w:b/>
          <w:noProof/>
          <w:sz w:val="24"/>
        </w:rPr>
        <w:t>Siekdama pasinaudoti šiais laimėjimais, Komisija teikia rekomendacijas Tarybai derėtis dėl dviejų naujų prekybos susitarimų</w:t>
      </w:r>
      <w:r>
        <w:rPr>
          <w:rFonts w:ascii="Times New Roman" w:hAnsi="Times New Roman"/>
          <w:noProof/>
          <w:sz w:val="24"/>
        </w:rPr>
        <w:t xml:space="preserve"> su Australija ir Naująja Zelandija; šios rekomendacijos papildo Komisijos neseniai pateiktą rekomendaciją pradėti derybas su Čile. Minėtų susitarimų tikslas – skatinti tvarų ekonomikos augimą didinant prekybos apimtis ir sukuriant stabilią ekonominių ryšių su visu Azijos ir Ramiojo vandenyno regionu stiprinimo platformą, ir plėsti partnerių, įsipareigojusių laikytis pažangių pasaulinės prekybos taisyklių, aljansą. </w:t>
      </w:r>
    </w:p>
    <w:p>
      <w:pPr>
        <w:spacing w:after="200"/>
        <w:rPr>
          <w:rFonts w:ascii="Times New Roman" w:eastAsia="Times New Roman" w:hAnsi="Times New Roman"/>
          <w:b/>
          <w:smallCaps/>
          <w:noProof/>
          <w:sz w:val="24"/>
          <w:szCs w:val="24"/>
        </w:rPr>
      </w:pPr>
    </w:p>
    <w:p>
      <w:pPr>
        <w:rPr>
          <w:rFonts w:ascii="Times New Roman" w:eastAsia="Times New Roman" w:hAnsi="Times New Roman"/>
          <w:b/>
          <w:smallCaps/>
          <w:noProof/>
          <w:sz w:val="24"/>
          <w:szCs w:val="24"/>
        </w:rPr>
      </w:pPr>
      <w:r>
        <w:rPr>
          <w:noProof/>
        </w:rPr>
        <w:br w:type="page"/>
      </w:r>
    </w:p>
    <w:p>
      <w:pPr>
        <w:spacing w:after="200"/>
        <w:rPr>
          <w:rFonts w:ascii="Times New Roman" w:eastAsia="Times New Roman" w:hAnsi="Times New Roman"/>
          <w:b/>
          <w:smallCaps/>
          <w:noProof/>
          <w:sz w:val="24"/>
          <w:szCs w:val="24"/>
        </w:rPr>
      </w:pPr>
      <w:r>
        <w:rPr>
          <w:rFonts w:ascii="Times New Roman" w:hAnsi="Times New Roman"/>
          <w:b/>
          <w:smallCaps/>
          <w:noProof/>
          <w:sz w:val="24"/>
        </w:rPr>
        <w:t xml:space="preserve">3. Veiksminga prekybos ir investicijų politika, kuria apsaugomi ES interesai ir užtikrinamas sąžiningumas </w:t>
      </w:r>
    </w:p>
    <w:p>
      <w:pPr>
        <w:pStyle w:val="Body"/>
        <w:pBdr>
          <w:top w:val="nil"/>
          <w:left w:val="nil"/>
          <w:bottom w:val="nil"/>
          <w:right w:val="nil"/>
          <w:between w:val="nil"/>
        </w:pBdr>
        <w:jc w:val="both"/>
        <w:rPr>
          <w:noProof/>
        </w:rPr>
      </w:pPr>
      <w:r>
        <w:rPr>
          <w:noProof/>
        </w:rPr>
        <w:t xml:space="preserve">Europos prekybos politika siekiame, kad atvira prekyba būtų sąžininga ir užtikrintų, kad Europos įmonės, darbuotojai ir ūkininkai turėtų tokias pačias veiklos sąlygas kaip mūsų prekybos partnerių visame pasaulyje įmonės, darbuotojai ir ūkininkai. </w:t>
      </w:r>
    </w:p>
    <w:p>
      <w:pPr>
        <w:pStyle w:val="Body"/>
        <w:pBdr>
          <w:top w:val="nil"/>
          <w:left w:val="nil"/>
          <w:bottom w:val="nil"/>
          <w:right w:val="nil"/>
          <w:between w:val="nil"/>
        </w:pBdr>
        <w:jc w:val="both"/>
        <w:rPr>
          <w:noProof/>
        </w:rPr>
      </w:pPr>
    </w:p>
    <w:p>
      <w:pPr>
        <w:pStyle w:val="Body"/>
        <w:pBdr>
          <w:top w:val="nil"/>
          <w:left w:val="nil"/>
          <w:bottom w:val="nil"/>
          <w:right w:val="nil"/>
          <w:between w:val="nil"/>
        </w:pBdr>
        <w:jc w:val="both"/>
        <w:rPr>
          <w:noProof/>
        </w:rPr>
      </w:pPr>
      <w:r>
        <w:rPr>
          <w:noProof/>
        </w:rPr>
        <w:t xml:space="preserve">Atveriant rinkas būtina </w:t>
      </w:r>
      <w:r>
        <w:rPr>
          <w:b/>
          <w:noProof/>
        </w:rPr>
        <w:t>užtikrinti, kad visi laikosi taisyklių ir kad apsaugomi svarbiausi ES interesai</w:t>
      </w:r>
      <w:r>
        <w:rPr>
          <w:noProof/>
        </w:rPr>
        <w:t xml:space="preserve">. ES aktyviai naudojasi visomis turimomis priemonėmis, kad užtikrintų, jog partneriai laikytųsi prisiimtų įsipareigojimų, panaikintų kliūtis prekybai ir pašalintų nesąžiningą praktiką. Kai kurie ES partneriai, įskaitant pasaulio šalis, kurių ekonomika yra didžiausia, vis dažniau imasi vidaus politikos veiksmų, kurie žalingi kitoms šalims ar silpnina taisyklėmis grindžiamą daugiašalę prekybos sistemą. Komisija taip pat pasirengusi, jei reikia, taikyti naujas kovos su šia tendencija priemones.  </w:t>
      </w:r>
    </w:p>
    <w:p>
      <w:pPr>
        <w:pStyle w:val="Body"/>
        <w:pBdr>
          <w:top w:val="nil"/>
          <w:left w:val="nil"/>
          <w:bottom w:val="nil"/>
          <w:right w:val="nil"/>
          <w:between w:val="nil"/>
        </w:pBdr>
        <w:jc w:val="both"/>
        <w:rPr>
          <w:noProof/>
        </w:rPr>
      </w:pPr>
    </w:p>
    <w:p>
      <w:pPr>
        <w:pStyle w:val="Body"/>
        <w:pBdr>
          <w:top w:val="nil"/>
          <w:left w:val="nil"/>
          <w:bottom w:val="nil"/>
          <w:right w:val="nil"/>
          <w:between w:val="nil"/>
        </w:pBdr>
        <w:jc w:val="both"/>
        <w:rPr>
          <w:noProof/>
        </w:rPr>
      </w:pPr>
      <w:r>
        <w:rPr>
          <w:b/>
          <w:noProof/>
        </w:rPr>
        <w:t>Prekybos apsaugos priemonės taip pat padeda užtikrinti, kad su Europos įmonėmis būtų konkuruojama sąžiningai</w:t>
      </w:r>
      <w:r>
        <w:rPr>
          <w:noProof/>
        </w:rPr>
        <w:t xml:space="preserve">. Komisija aktyviai dirba su Europos Parlamentu ir Taryba, kad, kaip siūloma, visapusiškai atnaujintų prekybos apsaugos priemonių taisykles ir pateiktų naują antidempingo apskaičiavimo metodiką, ir taip laikosi 2017 m. birželio 23 d. Europos Vadovų Tarybos išvadų, kuriomis teisėkūros institucijos raginamos kuo greičiau pasiekti susitarimą. Šiomis atnaujintomis taisyklėmis būtų išlaikytas ir sustiprintas ES gebėjimas reaguoti į didelius rinkos iškraipymus į ES eksportuojančiose šalyse. </w:t>
      </w:r>
    </w:p>
    <w:p>
      <w:pPr>
        <w:pStyle w:val="Body"/>
        <w:pBdr>
          <w:top w:val="nil"/>
          <w:left w:val="nil"/>
          <w:bottom w:val="nil"/>
          <w:right w:val="nil"/>
          <w:between w:val="nil"/>
        </w:pBdr>
        <w:jc w:val="both"/>
        <w:rPr>
          <w:noProof/>
        </w:rPr>
      </w:pPr>
    </w:p>
    <w:p>
      <w:pPr>
        <w:pStyle w:val="Body"/>
        <w:pBdr>
          <w:top w:val="nil"/>
          <w:left w:val="nil"/>
          <w:bottom w:val="nil"/>
          <w:right w:val="nil"/>
          <w:between w:val="nil"/>
        </w:pBdr>
        <w:jc w:val="both"/>
        <w:rPr>
          <w:noProof/>
        </w:rPr>
      </w:pPr>
      <w:r>
        <w:rPr>
          <w:noProof/>
        </w:rPr>
        <w:t xml:space="preserve">Tvirtesnė kompensacinės prekybos apsaugos priemonė ypač svarbi ES siekiant pašalinti vieną iš pagrindinių nesąžiningos tarptautinės prekybos priežasčių – </w:t>
      </w:r>
      <w:r>
        <w:rPr>
          <w:b/>
          <w:noProof/>
        </w:rPr>
        <w:t>nesąžiningą subsidijavimą</w:t>
      </w:r>
      <w:r>
        <w:rPr>
          <w:noProof/>
        </w:rPr>
        <w:t xml:space="preserve">, visų pirma tais atvejais, kai dėl jo atsiranda perteklinis pajėgumas. Be to, ES toliau sieks įgyvendinti daugiašales kovos su nesąžiningomis subsidijomis iniciatyvas. Visų pirma ES teikia pasiūlymus Pasaulio prekybos organizacijai, kuriais skatinamas pramonės subsidijų skaidrumas ir ribojamos galimybės taikyti žalingas subsidijas žemės ūkio ir žuvininkystės sektoriuose. Stiprindama tarptautinį ekonomikos valdymą, ES taip pat sprendžia perteklinio pajėgumo problemas, pavyzdžiui, skubias plieno sektoriaus problemas ji siekia spręsti pasitelkdama Pasaulinį plieno perteklinio pajėgumo forumą, kurį sukūrė G 20 ir EBPO narės. </w:t>
      </w:r>
    </w:p>
    <w:p>
      <w:pPr>
        <w:pStyle w:val="Body"/>
        <w:pBdr>
          <w:top w:val="nil"/>
          <w:left w:val="nil"/>
          <w:bottom w:val="nil"/>
          <w:right w:val="nil"/>
          <w:between w:val="nil"/>
        </w:pBdr>
        <w:jc w:val="both"/>
        <w:rPr>
          <w:noProof/>
        </w:rPr>
      </w:pPr>
    </w:p>
    <w:p>
      <w:pPr>
        <w:pStyle w:val="Body"/>
        <w:pBdr>
          <w:top w:val="nil"/>
          <w:left w:val="nil"/>
          <w:bottom w:val="nil"/>
          <w:right w:val="nil"/>
          <w:between w:val="nil"/>
        </w:pBdr>
        <w:jc w:val="both"/>
        <w:rPr>
          <w:noProof/>
        </w:rPr>
      </w:pPr>
      <w:r>
        <w:rPr>
          <w:noProof/>
        </w:rPr>
        <w:t xml:space="preserve">Kita sritis, kurioje dažnai nukenčia ES gamintojų interesai, yra viešieji pirkimai, kur didžiausi ES prekybos partneriai vis dar taiko apribojimus, kuriais diskriminuojamos ES įmonės ir neužtikrinamas abipusio patekimo į rinką principas. Todėl Komisija ragina skubiai priimti peržiūrėtą pasiūlymą dėl </w:t>
      </w:r>
      <w:r>
        <w:rPr>
          <w:b/>
          <w:noProof/>
        </w:rPr>
        <w:t>Tarptautinės viešųjų pirkimų priemonės</w:t>
      </w:r>
      <w:r>
        <w:rPr>
          <w:noProof/>
        </w:rPr>
        <w:t>, kuria skatinamas atviras ir abipusis patekimas į viešųjų pirkimų rinkas visame pasaulyje.</w:t>
      </w:r>
    </w:p>
    <w:p>
      <w:pPr>
        <w:jc w:val="both"/>
        <w:rPr>
          <w:rFonts w:ascii="Times New Roman" w:eastAsia="Times New Roman" w:hAnsi="Times New Roman"/>
          <w:noProof/>
          <w:color w:val="FF0000"/>
          <w:sz w:val="24"/>
          <w:szCs w:val="24"/>
          <w:shd w:val="clear" w:color="000000" w:fill="FFFF00"/>
        </w:rPr>
      </w:pPr>
    </w:p>
    <w:p>
      <w:pPr>
        <w:pStyle w:val="BodyA"/>
        <w:spacing w:after="0" w:line="240" w:lineRule="auto"/>
        <w:jc w:val="both"/>
        <w:rPr>
          <w:rStyle w:val="None"/>
          <w:rFonts w:ascii="Times New Roman" w:hAnsi="Times New Roman" w:cs="Times New Roman"/>
          <w:noProof/>
          <w:color w:val="000000" w:themeColor="text1"/>
          <w:sz w:val="24"/>
          <w:szCs w:val="24"/>
          <w:bdr w:val="none" w:sz="0" w:space="0" w:color="auto"/>
        </w:rPr>
      </w:pPr>
      <w:r>
        <w:rPr>
          <w:rFonts w:ascii="Times New Roman" w:hAnsi="Times New Roman"/>
          <w:noProof/>
          <w:sz w:val="24"/>
        </w:rPr>
        <w:t xml:space="preserve">ES, imdamasi su pasaulinio valdymo taisyklėmis susijusių veiksmų, taip pat turi atsižvelgti į naujas pasaulinės konkurencijos problemas, kaip antai </w:t>
      </w:r>
      <w:r>
        <w:rPr>
          <w:rFonts w:ascii="Times New Roman" w:hAnsi="Times New Roman"/>
          <w:b/>
          <w:noProof/>
          <w:sz w:val="24"/>
        </w:rPr>
        <w:t>susirūpinimą, kad strateginį ES turtą perima užsienio investuotojai</w:t>
      </w:r>
      <w:r>
        <w:rPr>
          <w:rFonts w:ascii="Times New Roman" w:hAnsi="Times New Roman"/>
          <w:noProof/>
          <w:sz w:val="24"/>
        </w:rPr>
        <w:t xml:space="preserve">, visų pirma subsidijuojamos ir (arba) valstybės valdomos įmonės. </w:t>
      </w:r>
      <w:r>
        <w:rPr>
          <w:rStyle w:val="None"/>
          <w:rFonts w:ascii="Times New Roman" w:hAnsi="Times New Roman"/>
          <w:noProof/>
          <w:color w:val="000000" w:themeColor="text1"/>
          <w:sz w:val="24"/>
        </w:rPr>
        <w:t xml:space="preserve">Principinis ES atvirumas TUI nesikeis. Tačiau jis turi būti papildytas aktyvia ir tinkama politika, kuri, viena vertus, atvertų kitų šalių ekonomiką ir užtikrintų, kad visi laikosi tų pačių taisyklių, ir, antra vertus, apsaugotų ES ar jos valstybių narių turtą nuo perėmimo, kuris labai pakenktų jų svarbiausiems interesams. ES prekybos ir investicijų politika tebėra tinkamiausia priemonė siekiant užtikrinti, kad trečiosios šalys būtų tokios pat atviros užsienio investicijoms kaip ES, ir skatinti sudaryti vienodas veiklos sąlygas ES veiklos vykdytojams, tačiau kartu būtina imtis priemonių svarbiausiems ES interesams apsaugoti. </w:t>
      </w:r>
    </w:p>
    <w:p>
      <w:pPr>
        <w:jc w:val="both"/>
        <w:rPr>
          <w:rFonts w:ascii="Times New Roman" w:eastAsia="Times New Roman" w:hAnsi="Times New Roman"/>
          <w:noProof/>
          <w:sz w:val="24"/>
          <w:szCs w:val="24"/>
        </w:rPr>
      </w:pPr>
    </w:p>
    <w:p>
      <w:pPr>
        <w:jc w:val="both"/>
        <w:rPr>
          <w:rFonts w:ascii="Times New Roman" w:eastAsia="Times New Roman" w:hAnsi="Times New Roman"/>
          <w:noProof/>
          <w:sz w:val="24"/>
          <w:szCs w:val="24"/>
        </w:rPr>
      </w:pPr>
      <w:r>
        <w:rPr>
          <w:rFonts w:ascii="Times New Roman" w:hAnsi="Times New Roman"/>
          <w:noProof/>
          <w:sz w:val="24"/>
        </w:rPr>
        <w:t xml:space="preserve">Be kitų šiandien pateiktų prekybos politikos priemonių, Komisija siūlo sustiprinti ES bendradarbiavimą ir sukurti </w:t>
      </w:r>
      <w:r>
        <w:rPr>
          <w:rFonts w:ascii="Times New Roman" w:hAnsi="Times New Roman"/>
          <w:b/>
          <w:noProof/>
          <w:sz w:val="24"/>
        </w:rPr>
        <w:t>tiesioginių užsienio investicijų</w:t>
      </w:r>
      <w:r>
        <w:rPr>
          <w:rFonts w:ascii="Times New Roman" w:hAnsi="Times New Roman"/>
          <w:noProof/>
          <w:sz w:val="24"/>
        </w:rPr>
        <w:t xml:space="preserve"> į ES </w:t>
      </w:r>
      <w:r>
        <w:rPr>
          <w:rFonts w:ascii="Times New Roman" w:hAnsi="Times New Roman"/>
          <w:b/>
          <w:noProof/>
          <w:sz w:val="24"/>
        </w:rPr>
        <w:t>tikrinimo</w:t>
      </w:r>
      <w:r>
        <w:rPr>
          <w:rFonts w:ascii="Times New Roman" w:hAnsi="Times New Roman"/>
          <w:noProof/>
          <w:sz w:val="24"/>
        </w:rPr>
        <w:t xml:space="preserve"> sistemą. Siekiama užkirsti kelią strateginio turto perėmimui, dėl kurio galėtų kilti grėsmė saugumui ar viešajai tvarkai, ir taip apsaugoti svarbiausius Europos interesus, kartu išlaikant bendrą ES rinkų atvirumą investicijoms. </w:t>
      </w:r>
    </w:p>
    <w:p>
      <w:pPr>
        <w:jc w:val="both"/>
        <w:rPr>
          <w:rFonts w:ascii="Times New Roman" w:eastAsia="Times New Roman" w:hAnsi="Times New Roman"/>
          <w:noProof/>
          <w:sz w:val="24"/>
          <w:szCs w:val="24"/>
        </w:rPr>
      </w:pPr>
    </w:p>
    <w:p>
      <w:pPr>
        <w:jc w:val="both"/>
        <w:rPr>
          <w:rFonts w:ascii="Times New Roman" w:eastAsia="Times New Roman" w:hAnsi="Times New Roman"/>
          <w:noProof/>
          <w:sz w:val="24"/>
          <w:szCs w:val="24"/>
        </w:rPr>
      </w:pPr>
      <w:r>
        <w:rPr>
          <w:rFonts w:ascii="Times New Roman" w:hAnsi="Times New Roman"/>
          <w:noProof/>
          <w:sz w:val="24"/>
        </w:rPr>
        <w:t xml:space="preserve">Todėl šiandien pateiktame </w:t>
      </w:r>
      <w:r>
        <w:rPr>
          <w:rFonts w:ascii="Times New Roman" w:hAnsi="Times New Roman"/>
          <w:b/>
          <w:noProof/>
          <w:sz w:val="24"/>
        </w:rPr>
        <w:t>Komunikate „Skatinti tiesiogines užsienio investicijas kartu apsaugant svarbiausius interesus“</w:t>
      </w:r>
      <w:r>
        <w:rPr>
          <w:rFonts w:ascii="Times New Roman" w:hAnsi="Times New Roman"/>
          <w:noProof/>
          <w:sz w:val="24"/>
        </w:rPr>
        <w:t xml:space="preserve"> valstybėms narėms ir reikiamais atvejais Komisijai siūloma imtis konkrečių tolesnių veiksmų, kad būtų tikrinamos tam tikros TUI į ES ir taip užtikrintas saugumas ir viešoji tvarka.</w:t>
      </w:r>
      <w:r>
        <w:rPr>
          <w:rFonts w:ascii="Times New Roman" w:hAnsi="Times New Roman"/>
          <w:noProof/>
          <w:color w:val="000000" w:themeColor="text1"/>
          <w:sz w:val="24"/>
        </w:rPr>
        <w:t xml:space="preserve"> Komunikatas papildomas pasiūlymu dėl reglamento, kuriuo nustatoma tiesioginių užsienio investicijų į ES tikrinimo saugumo ir viešosios tvarkos sumetimais sistema, valstybių narių bendradarbiavimo mechanizmas ir ES lygmens peržiūros sistema.</w:t>
      </w:r>
    </w:p>
    <w:p>
      <w:pPr>
        <w:spacing w:after="200" w:line="276" w:lineRule="auto"/>
        <w:jc w:val="both"/>
        <w:rPr>
          <w:rFonts w:ascii="Times New Roman" w:eastAsia="Times New Roman" w:hAnsi="Times New Roman"/>
          <w:b/>
          <w:smallCaps/>
          <w:noProof/>
          <w:sz w:val="24"/>
          <w:szCs w:val="24"/>
        </w:rPr>
      </w:pPr>
    </w:p>
    <w:p>
      <w:pPr>
        <w:spacing w:after="200" w:line="276" w:lineRule="auto"/>
        <w:jc w:val="both"/>
        <w:rPr>
          <w:rFonts w:ascii="Times New Roman" w:eastAsia="Times New Roman" w:hAnsi="Times New Roman"/>
          <w:b/>
          <w:smallCaps/>
          <w:noProof/>
          <w:sz w:val="24"/>
          <w:szCs w:val="24"/>
        </w:rPr>
      </w:pPr>
      <w:r>
        <w:rPr>
          <w:rFonts w:ascii="Times New Roman" w:hAnsi="Times New Roman"/>
          <w:b/>
          <w:smallCaps/>
          <w:noProof/>
          <w:sz w:val="24"/>
        </w:rPr>
        <w:t>4. Skaidriose ir įtraukiose derybose pasiekti veiksmingus susitarimus</w:t>
      </w:r>
    </w:p>
    <w:p>
      <w:pPr>
        <w:pStyle w:val="NormalWeb"/>
        <w:spacing w:before="280" w:beforeAutospacing="1" w:after="280" w:afterAutospacing="1"/>
        <w:jc w:val="both"/>
        <w:rPr>
          <w:noProof/>
        </w:rPr>
      </w:pPr>
      <w:r>
        <w:rPr>
          <w:noProof/>
        </w:rPr>
        <w:t xml:space="preserve">Labai svarbu tai, kaip mes vykdome prekybos politiką ir vedame prekybos derybas. Kad ES galėtų pasiekti veiksmingus, visiems piliečiams naudingus susitarimus, jie turi būti rengiami </w:t>
      </w:r>
      <w:r>
        <w:rPr>
          <w:b/>
          <w:noProof/>
        </w:rPr>
        <w:t>atskaitingai, skaidriai ir įtraukiai</w:t>
      </w:r>
      <w:r>
        <w:rPr>
          <w:noProof/>
        </w:rPr>
        <w:t xml:space="preserve">. Tai bendra visų ES institucijų, visų valstybių narių ir visų nacionalinių parlamentų atsakomybė. </w:t>
      </w:r>
    </w:p>
    <w:p>
      <w:pPr>
        <w:spacing w:after="150"/>
        <w:jc w:val="both"/>
        <w:rPr>
          <w:rFonts w:ascii="Times New Roman" w:eastAsia="Times New Roman" w:hAnsi="Times New Roman"/>
          <w:noProof/>
          <w:sz w:val="24"/>
          <w:szCs w:val="24"/>
        </w:rPr>
      </w:pPr>
      <w:r>
        <w:rPr>
          <w:rFonts w:ascii="Times New Roman" w:hAnsi="Times New Roman"/>
          <w:noProof/>
          <w:sz w:val="24"/>
        </w:rPr>
        <w:t xml:space="preserve">Kad iki galo pasinaudotume mūsų prekybos politikos teikiamomis galimybėmis, </w:t>
      </w:r>
      <w:r>
        <w:rPr>
          <w:rFonts w:ascii="Times New Roman" w:hAnsi="Times New Roman"/>
          <w:b/>
          <w:noProof/>
          <w:sz w:val="24"/>
        </w:rPr>
        <w:t>ES turi būti patikima derybų partnerė</w:t>
      </w:r>
      <w:r>
        <w:rPr>
          <w:rFonts w:ascii="Times New Roman" w:hAnsi="Times New Roman"/>
          <w:noProof/>
          <w:sz w:val="24"/>
        </w:rPr>
        <w:t>: sprendimų priėmimo mūsų institucijose procesas turi būti aiškus, numatomas ir adekvatus. Vadinasi, turime užtikrinti, kad mūsų institucinė struktūra leistų susitarimus, dėl kurių susiderėjome, atskaitingai, teisėtai ir veiksmingai ratifikuoti ir įgyvendinti. Nuomonėje dėl ES ir Singapūro laisvosios prekybos susitarimo</w:t>
      </w:r>
      <w:r>
        <w:rPr>
          <w:rStyle w:val="FootnoteReference"/>
          <w:rFonts w:ascii="Times New Roman" w:hAnsi="Times New Roman"/>
          <w:noProof/>
        </w:rPr>
        <w:footnoteReference w:id="6"/>
      </w:r>
      <w:r>
        <w:rPr>
          <w:rFonts w:ascii="Times New Roman" w:hAnsi="Times New Roman"/>
          <w:noProof/>
          <w:sz w:val="24"/>
        </w:rPr>
        <w:t xml:space="preserve"> Europos Sąjungos Teisingumo Teismas suteikė laukto aiškumo – išaiškino, kaip atskirta ES ir jos valstybių narių kompetencija prekybos ir investicijų susitarimuose. </w:t>
      </w:r>
    </w:p>
    <w:p>
      <w:pPr>
        <w:spacing w:after="150"/>
        <w:jc w:val="both"/>
        <w:rPr>
          <w:rFonts w:ascii="Times New Roman" w:eastAsia="Times New Roman" w:hAnsi="Times New Roman"/>
          <w:noProof/>
          <w:sz w:val="24"/>
          <w:szCs w:val="24"/>
        </w:rPr>
      </w:pPr>
      <w:r>
        <w:rPr>
          <w:rFonts w:ascii="Times New Roman" w:hAnsi="Times New Roman"/>
          <w:noProof/>
          <w:sz w:val="24"/>
        </w:rPr>
        <w:t xml:space="preserve">Į rekomendaciją pradėti derybas su Australija ir Naująja Zelandija įtrauktas didelis sąrašas ES bendrai prekybos politikai priklausančių temų, įskaitant prekybos prekėmis ir paslaugomis ir tiesioginių užsienio investicijų liberalizavimą, viešuosius pirkimus, pasaulines taisykles, kuriomis siekiama užtikrinti vienodas veiklos sąlygas, ir plataus užmojo darniam vystymuisi skirtus skyrius. Tai leidžia ES, </w:t>
      </w:r>
      <w:r>
        <w:rPr>
          <w:rFonts w:ascii="Times New Roman" w:hAnsi="Times New Roman"/>
          <w:b/>
          <w:noProof/>
          <w:sz w:val="24"/>
        </w:rPr>
        <w:t>atsižvelgiant į politinę būtinybę sustiprinti savo pasaulinę prekybos poziciją, greitai judėti į priekį</w:t>
      </w:r>
      <w:r>
        <w:rPr>
          <w:rFonts w:ascii="Times New Roman" w:hAnsi="Times New Roman"/>
          <w:noProof/>
          <w:sz w:val="24"/>
        </w:rPr>
        <w:t>. Komisija pasirengusi sparčiau vesti šias derybas, kad jas užbaigtų iki 2019 m. kovo mėn.</w:t>
      </w:r>
    </w:p>
    <w:p>
      <w:pPr>
        <w:jc w:val="both"/>
        <w:rPr>
          <w:rFonts w:ascii="Times New Roman" w:eastAsia="Times New Roman" w:hAnsi="Times New Roman"/>
          <w:noProof/>
          <w:sz w:val="24"/>
          <w:szCs w:val="24"/>
        </w:rPr>
      </w:pPr>
      <w:r>
        <w:rPr>
          <w:rFonts w:ascii="Times New Roman" w:hAnsi="Times New Roman"/>
          <w:noProof/>
          <w:sz w:val="24"/>
        </w:rPr>
        <w:t xml:space="preserve">Į rekomendaciją pradėti derybas su Australija ir Naująja Zelandija neįtraukta investicijų apsauga ir investicinių ginčų sprendimas: būtina užbaigti </w:t>
      </w:r>
      <w:r>
        <w:rPr>
          <w:rFonts w:ascii="Times New Roman" w:hAnsi="Times New Roman"/>
          <w:b/>
          <w:noProof/>
          <w:sz w:val="24"/>
        </w:rPr>
        <w:t>diskusijas dėl tinkamiausios ES prekybos susitarimų ir investicijų apsaugos susitarimų struktūros</w:t>
      </w:r>
      <w:r>
        <w:rPr>
          <w:rFonts w:ascii="Times New Roman" w:hAnsi="Times New Roman"/>
          <w:noProof/>
          <w:sz w:val="24"/>
        </w:rPr>
        <w:t xml:space="preserve">, ir Komisija pasirengusi šį klausimą toliau svarstyti su Taryba ir Europos Parlamentu. Tuo pačiu metu Komisija toliau veda derybas dėl investicijų, be kita ko, su Japonija, Kinija, Mianmaru ir kitais partneriais, kad pagerintų ES investuotojų padėtį užsienyje, paskatintų darnų vystymąsi ir apsaugotų vyriausybių teisę reglamentuoti. Šiandien Komisija taip pat priėmė rekomendaciją pradėti derybas dėl </w:t>
      </w:r>
      <w:r>
        <w:rPr>
          <w:rFonts w:ascii="Times New Roman" w:hAnsi="Times New Roman"/>
          <w:b/>
          <w:noProof/>
          <w:sz w:val="24"/>
        </w:rPr>
        <w:t>daugiašalio investicinių ginčų teismo įsteigimo</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Šis pasiūlymas – dar vienas žingsnis užtikrinant skaidresnį, nuoseklesnį ir sąžiningesnį investuotojų ginčų dėl investicijų apsaugos susitarimų nagrinėjimą.</w:t>
      </w:r>
    </w:p>
    <w:p>
      <w:pPr>
        <w:jc w:val="both"/>
        <w:rPr>
          <w:noProof/>
        </w:rPr>
      </w:pPr>
    </w:p>
    <w:p>
      <w:pPr>
        <w:jc w:val="both"/>
        <w:rPr>
          <w:noProof/>
        </w:rPr>
      </w:pPr>
      <w:r>
        <w:rPr>
          <w:rFonts w:ascii="Times New Roman" w:hAnsi="Times New Roman"/>
          <w:noProof/>
          <w:sz w:val="24"/>
        </w:rPr>
        <w:t xml:space="preserve">Teisinis kompetencijų padalijimo klausimas </w:t>
      </w:r>
      <w:r>
        <w:rPr>
          <w:rFonts w:ascii="Times New Roman" w:hAnsi="Times New Roman"/>
          <w:b/>
          <w:noProof/>
          <w:sz w:val="24"/>
        </w:rPr>
        <w:t>jokiu būdu neturėtų daryti įtakos teisės akto priėmimo proceso legitimumui ir įtraukumui</w:t>
      </w:r>
      <w:r>
        <w:rPr>
          <w:rFonts w:ascii="Times New Roman" w:hAnsi="Times New Roman"/>
          <w:noProof/>
          <w:sz w:val="24"/>
        </w:rPr>
        <w:t xml:space="preserve">. Tai turėtų būti užtikrinta, nepaisant to, ar galutinis sprendimas dėl teisės akto priėmimo būtų priimtas ES lygmeniu ar ir valstybių narių lygmeniu. Todėl Komisija vertina tai, kad ES valstybių narių vyriausybės </w:t>
      </w:r>
      <w:r>
        <w:rPr>
          <w:rFonts w:ascii="Times New Roman" w:hAnsi="Times New Roman"/>
          <w:b/>
          <w:noProof/>
          <w:sz w:val="24"/>
        </w:rPr>
        <w:t>prekybos derybų</w:t>
      </w:r>
      <w:r>
        <w:rPr>
          <w:rFonts w:ascii="Times New Roman" w:hAnsi="Times New Roman"/>
          <w:noProof/>
          <w:sz w:val="24"/>
        </w:rPr>
        <w:t xml:space="preserve"> klausimais vis labiau bendradarbiauja su </w:t>
      </w:r>
      <w:r>
        <w:rPr>
          <w:rFonts w:ascii="Times New Roman" w:hAnsi="Times New Roman"/>
          <w:b/>
          <w:noProof/>
          <w:sz w:val="24"/>
        </w:rPr>
        <w:t>nacionaliniais ir regioniniais parlamentais</w:t>
      </w:r>
      <w:r>
        <w:rPr>
          <w:rFonts w:ascii="Times New Roman" w:hAnsi="Times New Roman"/>
          <w:noProof/>
          <w:sz w:val="24"/>
        </w:rPr>
        <w:t xml:space="preserve">. Nacionaliniai parlamentai atlieka svarbų vaidmenį, stebėdami savo vyriausybių poziciją ES prekybos derybose. Todėl Komisija skatina valstybes nares, kai tik įmanoma, toliau užtikrinti nacionalinių parlamentų įsitraukimą kuo ankstesniu etapu į prekybos derybas. </w:t>
      </w:r>
    </w:p>
    <w:p>
      <w:pPr>
        <w:pStyle w:val="NormalWeb"/>
        <w:spacing w:before="280" w:beforeAutospacing="1" w:after="280" w:afterAutospacing="1"/>
        <w:jc w:val="both"/>
        <w:rPr>
          <w:noProof/>
        </w:rPr>
      </w:pPr>
      <w:r>
        <w:rPr>
          <w:noProof/>
        </w:rPr>
        <w:t xml:space="preserve">Tai yra viena iš pagrindinių priežasčių, kodėl Komisija nusprendė </w:t>
      </w:r>
      <w:r>
        <w:rPr>
          <w:b/>
          <w:noProof/>
        </w:rPr>
        <w:t>paskelbti savo rekomendacijas dėl prekybos susitarimams sudaryti skirtų derybinių nurodymų</w:t>
      </w:r>
      <w:r>
        <w:rPr>
          <w:noProof/>
        </w:rPr>
        <w:t xml:space="preserve">: šiandien paskelbtos pirmosios rekomendacijos dėl derybų su Australija ir Naująja Zelandija ir rekomendacija dėl daugiašalio investicinių ginčų teismo, laikantis praktikos, taikomos deryboms pagal 50 straipsnį su Jungtine Karalyste. </w:t>
      </w:r>
    </w:p>
    <w:p>
      <w:pPr>
        <w:pStyle w:val="NormalWeb"/>
        <w:spacing w:before="280" w:beforeAutospacing="1" w:after="280" w:afterAutospacing="1"/>
        <w:jc w:val="both"/>
        <w:rPr>
          <w:noProof/>
        </w:rPr>
      </w:pPr>
      <w:r>
        <w:rPr>
          <w:noProof/>
        </w:rPr>
        <w:t xml:space="preserve">Tai taip pat reiškia, kad, laikantis įprastos kitų rūšių Komisijos pasiūlymams taikomos praktikos, </w:t>
      </w:r>
      <w:r>
        <w:rPr>
          <w:b/>
          <w:noProof/>
        </w:rPr>
        <w:t>šios rekomendacijos</w:t>
      </w:r>
      <w:r>
        <w:rPr>
          <w:noProof/>
        </w:rPr>
        <w:t xml:space="preserve"> ir prie jų pridėta poveikio vertinimo ataskaita </w:t>
      </w:r>
      <w:r>
        <w:rPr>
          <w:b/>
          <w:noProof/>
        </w:rPr>
        <w:t>bus automatiškai ir tuo pačiu metu perduotos visiems ES nacionaliniams parlamentams</w:t>
      </w:r>
      <w:r>
        <w:rPr>
          <w:noProof/>
        </w:rPr>
        <w:t xml:space="preserve"> ir Europos Parlamentui ir Tarybai. Tai leis nacionaliniams parlamentams ir įvairioms suinteresuotosioms šalims kuo anksčiau pateikti nuomonę savo vyriausybėms, kurios jiems atstovauja Tarybos diskusijose. Komisija pasirengusi padėti valstybėms narėms į šį procesą įtraukti nacionalinius ir regioninius parlamentus ir išsamiau aptarti, kaip tam sudaryti kuo palankesnes sąlygas. </w:t>
      </w:r>
    </w:p>
    <w:p>
      <w:pPr>
        <w:jc w:val="both"/>
        <w:rPr>
          <w:rFonts w:ascii="Times New Roman" w:eastAsia="Times New Roman" w:hAnsi="Times New Roman"/>
          <w:noProof/>
          <w:sz w:val="24"/>
          <w:szCs w:val="24"/>
        </w:rPr>
      </w:pPr>
      <w:r>
        <w:rPr>
          <w:rFonts w:ascii="Times New Roman" w:hAnsi="Times New Roman"/>
          <w:noProof/>
          <w:sz w:val="24"/>
        </w:rPr>
        <w:t xml:space="preserve">Galiausiai, siekdama skirti dar daugiau dėmesio skaidriam ir įtraukiam prekybos politikos formavimui, Komisija nutarė įsteigti </w:t>
      </w:r>
      <w:r>
        <w:rPr>
          <w:rFonts w:ascii="Times New Roman" w:hAnsi="Times New Roman"/>
          <w:b/>
          <w:noProof/>
          <w:sz w:val="24"/>
        </w:rPr>
        <w:t>grupę, kuri teiktų patarimus derybų dėl ES prekybos susitarimų klausimais</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Grupę sudarys įvairių, visas interesų grupes apimančių suinteresuotųjų šalių – profesinių sąjungų, darbdavių organizacijų, vartotojų grupių ir kitų nevyriausybinių organizacijų – atstovai. Komisijos prekybos derybininkams ir politikos formuotojams jie duos naudingų patarimų į prekybos derybas įtrauktose srityse, o Komisija galės įvertinti įvairius požiūrius į prekybą ir nuomones apie ją.</w:t>
      </w:r>
    </w:p>
    <w:p>
      <w:pPr>
        <w:jc w:val="both"/>
        <w:rPr>
          <w:rFonts w:ascii="Times New Roman" w:eastAsia="Times New Roman" w:hAnsi="Times New Roman"/>
          <w:noProof/>
          <w:sz w:val="24"/>
          <w:szCs w:val="24"/>
        </w:rPr>
      </w:pPr>
    </w:p>
    <w:p>
      <w:pPr>
        <w:jc w:val="both"/>
        <w:rPr>
          <w:rFonts w:ascii="Times New Roman" w:eastAsia="Times New Roman" w:hAnsi="Times New Roman"/>
          <w:noProof/>
          <w:sz w:val="24"/>
          <w:szCs w:val="24"/>
        </w:rPr>
      </w:pPr>
    </w:p>
    <w:p>
      <w:pPr>
        <w:rPr>
          <w:rFonts w:ascii="Times New Roman" w:eastAsia="Times New Roman" w:hAnsi="Times New Roman"/>
          <w:b/>
          <w:smallCaps/>
          <w:noProof/>
          <w:sz w:val="24"/>
          <w:szCs w:val="24"/>
        </w:rPr>
      </w:pPr>
      <w:r>
        <w:rPr>
          <w:noProof/>
        </w:rPr>
        <w:br w:type="page"/>
      </w:r>
    </w:p>
    <w:p>
      <w:pPr>
        <w:spacing w:after="200"/>
        <w:rPr>
          <w:rFonts w:ascii="Times New Roman" w:eastAsia="Times New Roman" w:hAnsi="Times New Roman"/>
          <w:noProof/>
          <w:sz w:val="24"/>
          <w:szCs w:val="24"/>
        </w:rPr>
      </w:pPr>
      <w:r>
        <w:rPr>
          <w:rFonts w:ascii="Times New Roman" w:hAnsi="Times New Roman"/>
          <w:b/>
          <w:smallCaps/>
          <w:noProof/>
          <w:sz w:val="24"/>
        </w:rPr>
        <w:t>5. Išvada</w:t>
      </w:r>
    </w:p>
    <w:p>
      <w:pPr>
        <w:spacing w:after="200"/>
        <w:jc w:val="both"/>
        <w:rPr>
          <w:rFonts w:ascii="Times New Roman" w:eastAsia="Times New Roman" w:hAnsi="Times New Roman"/>
          <w:noProof/>
          <w:sz w:val="24"/>
          <w:szCs w:val="24"/>
        </w:rPr>
      </w:pPr>
      <w:r>
        <w:rPr>
          <w:rFonts w:ascii="Times New Roman" w:hAnsi="Times New Roman"/>
          <w:noProof/>
          <w:sz w:val="24"/>
        </w:rPr>
        <w:t xml:space="preserve">Europos Sąjunga turi puoselėti atvirą ir taisyklėmis grindžiamą daugiašalę prekybos sistemą ir vykdyti tvirtą ir aktyvią prekybos politiką, grindžiamą ne protekcionizmu, o atvirumu ir apsaugos priemonėmis, kuriomis užtikrinama tolesnė mūsų gerovė ir darnus Europos ekonomikos vystymasis. </w:t>
      </w:r>
    </w:p>
    <w:p>
      <w:pPr>
        <w:spacing w:after="200"/>
        <w:jc w:val="both"/>
        <w:rPr>
          <w:rFonts w:ascii="Times New Roman" w:eastAsia="Times New Roman" w:hAnsi="Times New Roman"/>
          <w:noProof/>
          <w:sz w:val="24"/>
          <w:szCs w:val="24"/>
        </w:rPr>
      </w:pPr>
      <w:r>
        <w:rPr>
          <w:rFonts w:ascii="Times New Roman" w:hAnsi="Times New Roman"/>
          <w:noProof/>
          <w:sz w:val="24"/>
        </w:rPr>
        <w:t>Šiuo tikslu Europos Sąjunga privalo visame pasaulyje laikytis ryžtingos ir pažangios, atviros, vertybėmis ir taisyklėmis grindžiamos prekybos darbotvarkės. Taigi, prekybos politika turi būti ne tik sukuriama naujų ekonominių galimybių mūsų įmonėms ir piliečiams, bet ir parodomos bei skleidžiamos visuotinės Sąjungos vertybės ir išsaugoma nacionalinių vyriausybių teisė reglamentuoti atsižvelgiant į viešąjį interesą.</w:t>
      </w:r>
    </w:p>
    <w:p>
      <w:pPr>
        <w:spacing w:after="200"/>
        <w:jc w:val="both"/>
        <w:rPr>
          <w:rFonts w:ascii="Times New Roman" w:eastAsia="Times New Roman" w:hAnsi="Times New Roman"/>
          <w:noProof/>
          <w:sz w:val="24"/>
          <w:szCs w:val="24"/>
        </w:rPr>
      </w:pPr>
      <w:r>
        <w:rPr>
          <w:rFonts w:ascii="Times New Roman" w:hAnsi="Times New Roman"/>
          <w:noProof/>
          <w:sz w:val="24"/>
        </w:rPr>
        <w:t>Likusį savo kadencijos laiką Komisija paskirs tam, kad remdamasi ankstesniais sėkmingais susitarimais užtikrintų apčiuopiamą naudą visiems piliečiams. Kad galėtų tai padaryti, ES turi laikytis tvirto strateginio požiūrio, kuriam pritartų visi instituciniai dalyviai. Privalome apie tai diskutuoti, kita vertus, neturėtume pamiršti mūsų užduoties toliau užtikrinti Europos interesus. Todėl Komisija ketina paspartinti visas vykdomas derybas ir kviečia visas institucijas kuo greičiau prisijungti prie diskusijų dėl platesnės ES prekybos susitarimų ir ES investicijų apsaugos susitarimų struktūros.</w:t>
      </w:r>
    </w:p>
    <w:p>
      <w:pPr>
        <w:spacing w:after="200"/>
        <w:jc w:val="both"/>
        <w:rPr>
          <w:rFonts w:ascii="Times New Roman" w:eastAsia="Times New Roman" w:hAnsi="Times New Roman"/>
          <w:noProof/>
          <w:sz w:val="24"/>
          <w:szCs w:val="24"/>
        </w:rPr>
      </w:pPr>
      <w:r>
        <w:rPr>
          <w:rFonts w:ascii="Times New Roman" w:hAnsi="Times New Roman"/>
          <w:noProof/>
          <w:sz w:val="24"/>
        </w:rPr>
        <w:t>Iš naujausių susitarimų su Kanada ir Japonija matyti, kad ryžtas sukurti atvirą, taisyklėmis grindžiamą ir pažangią prekybos politiką yra daugiau nei įmanomas. Jis realus ir ES ir jos partneriams duoda teigiamų rezultatų bei stiprina jų pasaulinį valdymą. Šiandien paskelbtų prekybos politikos priemonių rinkiniu toliau kuriama moderni ES prekybos politika, kuria prisidedama siekiant ryžtingo šios kadencijos Komisijos tikslo – suvaldyti globalizaciją.</w:t>
      </w:r>
    </w:p>
    <w:p>
      <w:pPr>
        <w:spacing w:after="200"/>
        <w:jc w:val="both"/>
        <w:rPr>
          <w:rFonts w:ascii="Times New Roman" w:eastAsia="Times New Roman" w:hAnsi="Times New Roman"/>
          <w:noProof/>
          <w:sz w:val="24"/>
          <w:szCs w:val="24"/>
        </w:rPr>
      </w:pPr>
    </w:p>
    <w:p>
      <w:pPr>
        <w:jc w:val="both"/>
        <w:rPr>
          <w:rFonts w:ascii="Times New Roman" w:eastAsia="Times New Roman" w:hAnsi="Times New Roman"/>
          <w:noProof/>
          <w:color w:val="000000"/>
          <w:sz w:val="24"/>
          <w:szCs w:val="24"/>
        </w:rPr>
      </w:pPr>
    </w:p>
    <w:p>
      <w:pPr>
        <w:spacing w:after="200"/>
        <w:jc w:val="both"/>
        <w:rPr>
          <w:rFonts w:ascii="Times New Roman" w:eastAsia="Times New Roman" w:hAnsi="Times New Roman"/>
          <w:noProof/>
          <w:sz w:val="24"/>
          <w:szCs w:val="24"/>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135" w:right="1417" w:bottom="993"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80408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rPr>
          <w:lang w:val="en-US"/>
        </w:rPr>
      </w:pPr>
      <w:r>
        <w:rPr>
          <w:rStyle w:val="FootnoteReference"/>
        </w:rPr>
        <w:t>1</w:t>
      </w:r>
      <w:r>
        <w:t xml:space="preserve"> Europos Komisija, „Baltoji knyga dėl Europos ateities“, COM(2017) 2025.</w:t>
      </w:r>
    </w:p>
  </w:footnote>
  <w:footnote w:id="2">
    <w:p>
      <w:pPr>
        <w:pStyle w:val="FootnoteText"/>
        <w:pBdr>
          <w:top w:val="nil"/>
          <w:left w:val="nil"/>
          <w:bottom w:val="nil"/>
          <w:right w:val="nil"/>
          <w:between w:val="nil"/>
        </w:pBdr>
      </w:pPr>
      <w:r>
        <w:rPr>
          <w:rStyle w:val="FootnoteReference"/>
        </w:rPr>
        <w:footnoteRef/>
      </w:r>
      <w:r>
        <w:t xml:space="preserve"> Diskusijoms skirtas Europos Komisijos dokumentas dėl globalizacijos suvaldymo, COM(2017) 240.</w:t>
      </w:r>
    </w:p>
  </w:footnote>
  <w:footnote w:id="3">
    <w:p>
      <w:pPr>
        <w:pStyle w:val="FootnoteText"/>
        <w:pBdr>
          <w:top w:val="nil"/>
          <w:left w:val="nil"/>
          <w:bottom w:val="nil"/>
          <w:right w:val="nil"/>
          <w:between w:val="nil"/>
        </w:pBdr>
        <w:jc w:val="both"/>
      </w:pPr>
      <w:r>
        <w:rPr>
          <w:rStyle w:val="FootnoteReference"/>
        </w:rPr>
        <w:footnoteRef/>
      </w:r>
      <w:r>
        <w:t xml:space="preserve"> Europos Komisija, Prekybos politikos strategijos „Prekyba visiems“ įgyvendinimo ataskaita, COM(2017) 491.</w:t>
      </w:r>
    </w:p>
  </w:footnote>
  <w:footnote w:id="4">
    <w:p>
      <w:pPr>
        <w:pStyle w:val="FootnoteText"/>
        <w:jc w:val="both"/>
      </w:pPr>
      <w:r>
        <w:rPr>
          <w:rStyle w:val="None"/>
          <w:vertAlign w:val="superscript"/>
        </w:rPr>
        <w:footnoteRef/>
      </w:r>
      <w:r>
        <w:t xml:space="preserve"> 2015 m. spalio 14 d. Komunikatas COM(2015) 497 „Prekyba visiems. Atsakingesnės prekybos ir investicijų politikos kūrimas“.</w:t>
      </w:r>
    </w:p>
  </w:footnote>
  <w:footnote w:id="5">
    <w:p>
      <w:pPr>
        <w:pStyle w:val="FootnoteText"/>
        <w:jc w:val="both"/>
      </w:pPr>
      <w:r>
        <w:rPr>
          <w:rStyle w:val="FootnoteReference"/>
        </w:rPr>
        <w:footnoteRef/>
      </w:r>
      <w:r>
        <w:t xml:space="preserve"> Šalių įsipareigojimai išsamiau paaiškinti bendrame aiškinamajame dokumente apie Kanados ir Europos Sąjungos bei jos valstybių narių išsamų ekonomikos ir prekybos susitarimą, žr. </w:t>
      </w:r>
      <w:hyperlink r:id="rId1">
        <w:r>
          <w:rPr>
            <w:rStyle w:val="Hyperlink"/>
          </w:rPr>
          <w:t>http://data.consilium.europa.eu/doc/document/ST-13541-2016-INIT/lt/</w:t>
        </w:r>
      </w:hyperlink>
      <w:r>
        <w:t>pdf.</w:t>
      </w:r>
    </w:p>
  </w:footnote>
  <w:footnote w:id="6">
    <w:p>
      <w:pPr>
        <w:pStyle w:val="FootnoteText"/>
      </w:pPr>
      <w:r>
        <w:rPr>
          <w:rStyle w:val="FootnoteReference"/>
        </w:rPr>
        <w:footnoteRef/>
      </w:r>
      <w:r>
        <w:t xml:space="preserve"> 2017 m. gegužės 16 d. pateikta Europos Sąjungos Teisingumo Teismo nuomonė 2/15 pagal SESV 218 straipsnio 11 dalį.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rFonts w:ascii="Times New Roman" w:eastAsia="Times New Roman" w:hAnsi="Times New Roman"/>
        <w:i/>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0D63AF1"/>
    <w:lvl w:ilvl="0" w:tplc="AC827E1E">
      <w:numFmt w:val="bullet"/>
      <w:lvlText w:val="-"/>
      <w:lvlJc w:val="left"/>
      <w:pPr>
        <w:ind w:left="1080" w:hanging="360"/>
      </w:pPr>
      <w:rPr>
        <w:rFonts w:ascii="Calibri" w:eastAsia="Times New Roman" w:hAnsi="Calibri"/>
        <w:w w:val="100"/>
        <w:sz w:val="20"/>
        <w:szCs w:val="20"/>
        <w:shd w:val="clear" w:color="auto" w:fill="auto"/>
      </w:rPr>
    </w:lvl>
    <w:lvl w:ilvl="1" w:tplc="D77A0DA4">
      <w:start w:val="1"/>
      <w:numFmt w:val="bullet"/>
      <w:lvlText w:val="o"/>
      <w:lvlJc w:val="left"/>
      <w:pPr>
        <w:ind w:left="1800" w:hanging="360"/>
      </w:pPr>
      <w:rPr>
        <w:rFonts w:ascii="Courier New" w:eastAsia="Courier New" w:hAnsi="Courier New"/>
        <w:w w:val="100"/>
        <w:sz w:val="20"/>
        <w:szCs w:val="20"/>
        <w:shd w:val="clear" w:color="auto" w:fill="auto"/>
      </w:rPr>
    </w:lvl>
    <w:lvl w:ilvl="2" w:tplc="AA54E04E">
      <w:start w:val="1"/>
      <w:numFmt w:val="bullet"/>
      <w:lvlText w:val="§"/>
      <w:lvlJc w:val="left"/>
      <w:pPr>
        <w:ind w:left="2520" w:hanging="360"/>
      </w:pPr>
      <w:rPr>
        <w:rFonts w:ascii="Wingdings" w:eastAsia="Wingdings" w:hAnsi="Wingdings"/>
        <w:w w:val="100"/>
        <w:sz w:val="20"/>
        <w:szCs w:val="20"/>
        <w:shd w:val="clear" w:color="auto" w:fill="auto"/>
      </w:rPr>
    </w:lvl>
    <w:lvl w:ilvl="3" w:tplc="9ABEF44E">
      <w:start w:val="1"/>
      <w:numFmt w:val="bullet"/>
      <w:lvlText w:val="·"/>
      <w:lvlJc w:val="left"/>
      <w:pPr>
        <w:ind w:left="3240" w:hanging="360"/>
      </w:pPr>
      <w:rPr>
        <w:rFonts w:ascii="Symbol" w:eastAsia="Symbol" w:hAnsi="Symbol"/>
        <w:w w:val="100"/>
        <w:sz w:val="20"/>
        <w:szCs w:val="20"/>
        <w:shd w:val="clear" w:color="auto" w:fill="auto"/>
      </w:rPr>
    </w:lvl>
    <w:lvl w:ilvl="4" w:tplc="D92E4984">
      <w:start w:val="1"/>
      <w:numFmt w:val="bullet"/>
      <w:lvlText w:val="o"/>
      <w:lvlJc w:val="left"/>
      <w:pPr>
        <w:ind w:left="3960" w:hanging="360"/>
      </w:pPr>
      <w:rPr>
        <w:rFonts w:ascii="Courier New" w:eastAsia="Courier New" w:hAnsi="Courier New"/>
        <w:w w:val="100"/>
        <w:sz w:val="20"/>
        <w:szCs w:val="20"/>
        <w:shd w:val="clear" w:color="auto" w:fill="auto"/>
      </w:rPr>
    </w:lvl>
    <w:lvl w:ilvl="5" w:tplc="C91A664A">
      <w:start w:val="1"/>
      <w:numFmt w:val="bullet"/>
      <w:lvlText w:val="§"/>
      <w:lvlJc w:val="left"/>
      <w:pPr>
        <w:ind w:left="4680" w:hanging="360"/>
      </w:pPr>
      <w:rPr>
        <w:rFonts w:ascii="Wingdings" w:eastAsia="Wingdings" w:hAnsi="Wingdings"/>
        <w:w w:val="100"/>
        <w:sz w:val="20"/>
        <w:szCs w:val="20"/>
        <w:shd w:val="clear" w:color="auto" w:fill="auto"/>
      </w:rPr>
    </w:lvl>
    <w:lvl w:ilvl="6" w:tplc="A93A870C">
      <w:start w:val="1"/>
      <w:numFmt w:val="bullet"/>
      <w:lvlText w:val="·"/>
      <w:lvlJc w:val="left"/>
      <w:pPr>
        <w:ind w:left="5400" w:hanging="360"/>
      </w:pPr>
      <w:rPr>
        <w:rFonts w:ascii="Symbol" w:eastAsia="Symbol" w:hAnsi="Symbol"/>
        <w:w w:val="100"/>
        <w:sz w:val="20"/>
        <w:szCs w:val="20"/>
        <w:shd w:val="clear" w:color="auto" w:fill="auto"/>
      </w:rPr>
    </w:lvl>
    <w:lvl w:ilvl="7" w:tplc="7C5656AA">
      <w:start w:val="1"/>
      <w:numFmt w:val="bullet"/>
      <w:lvlText w:val="o"/>
      <w:lvlJc w:val="left"/>
      <w:pPr>
        <w:ind w:left="6120" w:hanging="360"/>
      </w:pPr>
      <w:rPr>
        <w:rFonts w:ascii="Courier New" w:eastAsia="Courier New" w:hAnsi="Courier New"/>
        <w:w w:val="100"/>
        <w:sz w:val="20"/>
        <w:szCs w:val="20"/>
        <w:shd w:val="clear" w:color="auto" w:fill="auto"/>
      </w:rPr>
    </w:lvl>
    <w:lvl w:ilvl="8" w:tplc="35080468">
      <w:start w:val="1"/>
      <w:numFmt w:val="bullet"/>
      <w:lvlText w:val="§"/>
      <w:lvlJc w:val="left"/>
      <w:pPr>
        <w:ind w:left="6840" w:hanging="360"/>
      </w:pPr>
      <w:rPr>
        <w:rFonts w:ascii="Wingdings" w:eastAsia="Wingdings" w:hAnsi="Wingdings"/>
        <w:w w:val="100"/>
        <w:sz w:val="20"/>
        <w:szCs w:val="20"/>
        <w:shd w:val="clear" w:color="auto" w:fill="auto"/>
      </w:rPr>
    </w:lvl>
  </w:abstractNum>
  <w:abstractNum w:abstractNumId="1">
    <w:nsid w:val="00000002"/>
    <w:multiLevelType w:val="hybridMultilevel"/>
    <w:tmpl w:val="60B7ACD9"/>
    <w:lvl w:ilvl="0" w:tplc="29B0A85C">
      <w:start w:val="1"/>
      <w:numFmt w:val="bullet"/>
      <w:lvlText w:val="·"/>
      <w:lvlJc w:val="left"/>
      <w:pPr>
        <w:ind w:left="1080" w:hanging="360"/>
      </w:pPr>
      <w:rPr>
        <w:rFonts w:ascii="Symbol" w:eastAsia="Symbol" w:hAnsi="Symbol"/>
        <w:w w:val="100"/>
        <w:sz w:val="20"/>
        <w:szCs w:val="20"/>
        <w:shd w:val="clear" w:color="auto" w:fill="auto"/>
      </w:rPr>
    </w:lvl>
    <w:lvl w:ilvl="1" w:tplc="57B08268">
      <w:start w:val="1"/>
      <w:numFmt w:val="bullet"/>
      <w:lvlText w:val="o"/>
      <w:lvlJc w:val="left"/>
      <w:pPr>
        <w:ind w:left="1800" w:hanging="360"/>
      </w:pPr>
      <w:rPr>
        <w:rFonts w:ascii="Courier New" w:eastAsia="Courier New" w:hAnsi="Courier New"/>
        <w:w w:val="100"/>
        <w:sz w:val="20"/>
        <w:szCs w:val="20"/>
        <w:shd w:val="clear" w:color="auto" w:fill="auto"/>
      </w:rPr>
    </w:lvl>
    <w:lvl w:ilvl="2" w:tplc="3D148EB0">
      <w:start w:val="1"/>
      <w:numFmt w:val="bullet"/>
      <w:lvlText w:val="§"/>
      <w:lvlJc w:val="left"/>
      <w:pPr>
        <w:ind w:left="2520" w:hanging="360"/>
      </w:pPr>
      <w:rPr>
        <w:rFonts w:ascii="Wingdings" w:eastAsia="Wingdings" w:hAnsi="Wingdings"/>
        <w:w w:val="100"/>
        <w:sz w:val="20"/>
        <w:szCs w:val="20"/>
        <w:shd w:val="clear" w:color="auto" w:fill="auto"/>
      </w:rPr>
    </w:lvl>
    <w:lvl w:ilvl="3" w:tplc="9EA47CAE">
      <w:start w:val="1"/>
      <w:numFmt w:val="bullet"/>
      <w:lvlText w:val="·"/>
      <w:lvlJc w:val="left"/>
      <w:pPr>
        <w:ind w:left="3240" w:hanging="360"/>
      </w:pPr>
      <w:rPr>
        <w:rFonts w:ascii="Symbol" w:eastAsia="Symbol" w:hAnsi="Symbol"/>
        <w:w w:val="100"/>
        <w:sz w:val="20"/>
        <w:szCs w:val="20"/>
        <w:shd w:val="clear" w:color="auto" w:fill="auto"/>
      </w:rPr>
    </w:lvl>
    <w:lvl w:ilvl="4" w:tplc="AC06F85A">
      <w:start w:val="1"/>
      <w:numFmt w:val="bullet"/>
      <w:lvlText w:val="o"/>
      <w:lvlJc w:val="left"/>
      <w:pPr>
        <w:ind w:left="3960" w:hanging="360"/>
      </w:pPr>
      <w:rPr>
        <w:rFonts w:ascii="Courier New" w:eastAsia="Courier New" w:hAnsi="Courier New"/>
        <w:w w:val="100"/>
        <w:sz w:val="20"/>
        <w:szCs w:val="20"/>
        <w:shd w:val="clear" w:color="auto" w:fill="auto"/>
      </w:rPr>
    </w:lvl>
    <w:lvl w:ilvl="5" w:tplc="2B0CD208">
      <w:start w:val="1"/>
      <w:numFmt w:val="bullet"/>
      <w:lvlText w:val="§"/>
      <w:lvlJc w:val="left"/>
      <w:pPr>
        <w:ind w:left="4680" w:hanging="360"/>
      </w:pPr>
      <w:rPr>
        <w:rFonts w:ascii="Wingdings" w:eastAsia="Wingdings" w:hAnsi="Wingdings"/>
        <w:w w:val="100"/>
        <w:sz w:val="20"/>
        <w:szCs w:val="20"/>
        <w:shd w:val="clear" w:color="auto" w:fill="auto"/>
      </w:rPr>
    </w:lvl>
    <w:lvl w:ilvl="6" w:tplc="30465F86">
      <w:start w:val="1"/>
      <w:numFmt w:val="bullet"/>
      <w:lvlText w:val="·"/>
      <w:lvlJc w:val="left"/>
      <w:pPr>
        <w:ind w:left="5400" w:hanging="360"/>
      </w:pPr>
      <w:rPr>
        <w:rFonts w:ascii="Symbol" w:eastAsia="Symbol" w:hAnsi="Symbol"/>
        <w:w w:val="100"/>
        <w:sz w:val="20"/>
        <w:szCs w:val="20"/>
        <w:shd w:val="clear" w:color="auto" w:fill="auto"/>
      </w:rPr>
    </w:lvl>
    <w:lvl w:ilvl="7" w:tplc="09928A26">
      <w:start w:val="1"/>
      <w:numFmt w:val="bullet"/>
      <w:lvlText w:val="o"/>
      <w:lvlJc w:val="left"/>
      <w:pPr>
        <w:ind w:left="6120" w:hanging="360"/>
      </w:pPr>
      <w:rPr>
        <w:rFonts w:ascii="Courier New" w:eastAsia="Courier New" w:hAnsi="Courier New"/>
        <w:w w:val="100"/>
        <w:sz w:val="20"/>
        <w:szCs w:val="20"/>
        <w:shd w:val="clear" w:color="auto" w:fill="auto"/>
      </w:rPr>
    </w:lvl>
    <w:lvl w:ilvl="8" w:tplc="76201C7C">
      <w:start w:val="1"/>
      <w:numFmt w:val="bullet"/>
      <w:lvlText w:val="§"/>
      <w:lvlJc w:val="left"/>
      <w:pPr>
        <w:ind w:left="6840" w:hanging="360"/>
      </w:pPr>
      <w:rPr>
        <w:rFonts w:ascii="Wingdings" w:eastAsia="Wingdings" w:hAnsi="Wingdings"/>
        <w:w w:val="100"/>
        <w:sz w:val="20"/>
        <w:szCs w:val="20"/>
        <w:shd w:val="clear" w:color="auto" w:fill="auto"/>
      </w:rPr>
    </w:lvl>
  </w:abstractNum>
  <w:abstractNum w:abstractNumId="2">
    <w:nsid w:val="00000003"/>
    <w:multiLevelType w:val="hybridMultilevel"/>
    <w:tmpl w:val="3AB50C2A"/>
    <w:lvl w:ilvl="0" w:tplc="ACB06C16">
      <w:start w:val="1"/>
      <w:numFmt w:val="bullet"/>
      <w:lvlText w:val="·"/>
      <w:lvlJc w:val="left"/>
      <w:pPr>
        <w:ind w:left="1440" w:hanging="360"/>
      </w:pPr>
      <w:rPr>
        <w:rFonts w:ascii="Symbol" w:eastAsia="Symbol" w:hAnsi="Symbol"/>
        <w:w w:val="100"/>
        <w:sz w:val="20"/>
        <w:szCs w:val="20"/>
        <w:shd w:val="clear" w:color="auto" w:fill="auto"/>
      </w:rPr>
    </w:lvl>
    <w:lvl w:ilvl="1" w:tplc="FA7884C6">
      <w:start w:val="1"/>
      <w:numFmt w:val="bullet"/>
      <w:lvlText w:val="o"/>
      <w:lvlJc w:val="left"/>
      <w:pPr>
        <w:ind w:left="2160" w:hanging="360"/>
      </w:pPr>
      <w:rPr>
        <w:rFonts w:ascii="Courier New" w:eastAsia="Courier New" w:hAnsi="Courier New"/>
        <w:w w:val="100"/>
        <w:sz w:val="20"/>
        <w:szCs w:val="20"/>
        <w:shd w:val="clear" w:color="auto" w:fill="auto"/>
      </w:rPr>
    </w:lvl>
    <w:lvl w:ilvl="2" w:tplc="29D4200E">
      <w:start w:val="1"/>
      <w:numFmt w:val="bullet"/>
      <w:lvlText w:val="§"/>
      <w:lvlJc w:val="left"/>
      <w:pPr>
        <w:ind w:left="2880" w:hanging="360"/>
      </w:pPr>
      <w:rPr>
        <w:rFonts w:ascii="Wingdings" w:eastAsia="Wingdings" w:hAnsi="Wingdings"/>
        <w:w w:val="100"/>
        <w:sz w:val="20"/>
        <w:szCs w:val="20"/>
        <w:shd w:val="clear" w:color="auto" w:fill="auto"/>
      </w:rPr>
    </w:lvl>
    <w:lvl w:ilvl="3" w:tplc="20F4B906">
      <w:start w:val="1"/>
      <w:numFmt w:val="bullet"/>
      <w:lvlText w:val="·"/>
      <w:lvlJc w:val="left"/>
      <w:pPr>
        <w:ind w:left="3600" w:hanging="360"/>
      </w:pPr>
      <w:rPr>
        <w:rFonts w:ascii="Symbol" w:eastAsia="Symbol" w:hAnsi="Symbol"/>
        <w:w w:val="100"/>
        <w:sz w:val="20"/>
        <w:szCs w:val="20"/>
        <w:shd w:val="clear" w:color="auto" w:fill="auto"/>
      </w:rPr>
    </w:lvl>
    <w:lvl w:ilvl="4" w:tplc="BE58AD68">
      <w:start w:val="1"/>
      <w:numFmt w:val="bullet"/>
      <w:lvlText w:val="o"/>
      <w:lvlJc w:val="left"/>
      <w:pPr>
        <w:ind w:left="4320" w:hanging="360"/>
      </w:pPr>
      <w:rPr>
        <w:rFonts w:ascii="Courier New" w:eastAsia="Courier New" w:hAnsi="Courier New"/>
        <w:w w:val="100"/>
        <w:sz w:val="20"/>
        <w:szCs w:val="20"/>
        <w:shd w:val="clear" w:color="auto" w:fill="auto"/>
      </w:rPr>
    </w:lvl>
    <w:lvl w:ilvl="5" w:tplc="04A803FA">
      <w:start w:val="1"/>
      <w:numFmt w:val="bullet"/>
      <w:lvlText w:val="§"/>
      <w:lvlJc w:val="left"/>
      <w:pPr>
        <w:ind w:left="5040" w:hanging="360"/>
      </w:pPr>
      <w:rPr>
        <w:rFonts w:ascii="Wingdings" w:eastAsia="Wingdings" w:hAnsi="Wingdings"/>
        <w:w w:val="100"/>
        <w:sz w:val="20"/>
        <w:szCs w:val="20"/>
        <w:shd w:val="clear" w:color="auto" w:fill="auto"/>
      </w:rPr>
    </w:lvl>
    <w:lvl w:ilvl="6" w:tplc="E0E07DA8">
      <w:start w:val="1"/>
      <w:numFmt w:val="bullet"/>
      <w:lvlText w:val="·"/>
      <w:lvlJc w:val="left"/>
      <w:pPr>
        <w:ind w:left="5760" w:hanging="360"/>
      </w:pPr>
      <w:rPr>
        <w:rFonts w:ascii="Symbol" w:eastAsia="Symbol" w:hAnsi="Symbol"/>
        <w:w w:val="100"/>
        <w:sz w:val="20"/>
        <w:szCs w:val="20"/>
        <w:shd w:val="clear" w:color="auto" w:fill="auto"/>
      </w:rPr>
    </w:lvl>
    <w:lvl w:ilvl="7" w:tplc="03C86A5E">
      <w:start w:val="1"/>
      <w:numFmt w:val="bullet"/>
      <w:lvlText w:val="o"/>
      <w:lvlJc w:val="left"/>
      <w:pPr>
        <w:ind w:left="6480" w:hanging="360"/>
      </w:pPr>
      <w:rPr>
        <w:rFonts w:ascii="Courier New" w:eastAsia="Courier New" w:hAnsi="Courier New"/>
        <w:w w:val="100"/>
        <w:sz w:val="20"/>
        <w:szCs w:val="20"/>
        <w:shd w:val="clear" w:color="auto" w:fill="auto"/>
      </w:rPr>
    </w:lvl>
    <w:lvl w:ilvl="8" w:tplc="F67EDB04">
      <w:start w:val="1"/>
      <w:numFmt w:val="bullet"/>
      <w:lvlText w:val="§"/>
      <w:lvlJc w:val="left"/>
      <w:pPr>
        <w:ind w:left="7200" w:hanging="360"/>
      </w:pPr>
      <w:rPr>
        <w:rFonts w:ascii="Wingdings" w:eastAsia="Wingdings" w:hAnsi="Wingdings"/>
        <w:w w:val="100"/>
        <w:sz w:val="20"/>
        <w:szCs w:val="20"/>
        <w:shd w:val="clear" w:color="auto" w:fill="auto"/>
      </w:rPr>
    </w:lvl>
  </w:abstractNum>
  <w:abstractNum w:abstractNumId="3">
    <w:nsid w:val="00000004"/>
    <w:multiLevelType w:val="hybridMultilevel"/>
    <w:tmpl w:val="4431B782"/>
    <w:lvl w:ilvl="0" w:tplc="1B4A7044">
      <w:start w:val="1"/>
      <w:numFmt w:val="bullet"/>
      <w:lvlText w:val="·"/>
      <w:lvlJc w:val="left"/>
      <w:pPr>
        <w:ind w:left="1080" w:hanging="360"/>
      </w:pPr>
      <w:rPr>
        <w:rFonts w:ascii="Symbol" w:eastAsia="Symbol" w:hAnsi="Symbol"/>
        <w:w w:val="100"/>
        <w:sz w:val="20"/>
        <w:szCs w:val="20"/>
        <w:shd w:val="clear" w:color="auto" w:fill="auto"/>
      </w:rPr>
    </w:lvl>
    <w:lvl w:ilvl="1" w:tplc="74B81072">
      <w:start w:val="1"/>
      <w:numFmt w:val="bullet"/>
      <w:lvlText w:val="o"/>
      <w:lvlJc w:val="left"/>
      <w:pPr>
        <w:ind w:left="1800" w:hanging="360"/>
      </w:pPr>
      <w:rPr>
        <w:rFonts w:ascii="Courier New" w:eastAsia="Courier New" w:hAnsi="Courier New"/>
        <w:w w:val="100"/>
        <w:sz w:val="20"/>
        <w:szCs w:val="20"/>
        <w:shd w:val="clear" w:color="auto" w:fill="auto"/>
      </w:rPr>
    </w:lvl>
    <w:lvl w:ilvl="2" w:tplc="2EA86694">
      <w:start w:val="1"/>
      <w:numFmt w:val="bullet"/>
      <w:lvlText w:val="§"/>
      <w:lvlJc w:val="left"/>
      <w:pPr>
        <w:ind w:left="2520" w:hanging="360"/>
      </w:pPr>
      <w:rPr>
        <w:rFonts w:ascii="Wingdings" w:eastAsia="Wingdings" w:hAnsi="Wingdings"/>
        <w:w w:val="100"/>
        <w:sz w:val="20"/>
        <w:szCs w:val="20"/>
        <w:shd w:val="clear" w:color="auto" w:fill="auto"/>
      </w:rPr>
    </w:lvl>
    <w:lvl w:ilvl="3" w:tplc="9C9A5E5E">
      <w:start w:val="1"/>
      <w:numFmt w:val="bullet"/>
      <w:lvlText w:val="·"/>
      <w:lvlJc w:val="left"/>
      <w:pPr>
        <w:ind w:left="3240" w:hanging="360"/>
      </w:pPr>
      <w:rPr>
        <w:rFonts w:ascii="Symbol" w:eastAsia="Symbol" w:hAnsi="Symbol"/>
        <w:w w:val="100"/>
        <w:sz w:val="20"/>
        <w:szCs w:val="20"/>
        <w:shd w:val="clear" w:color="auto" w:fill="auto"/>
      </w:rPr>
    </w:lvl>
    <w:lvl w:ilvl="4" w:tplc="CE0C51D8">
      <w:start w:val="1"/>
      <w:numFmt w:val="bullet"/>
      <w:lvlText w:val="o"/>
      <w:lvlJc w:val="left"/>
      <w:pPr>
        <w:ind w:left="3960" w:hanging="360"/>
      </w:pPr>
      <w:rPr>
        <w:rFonts w:ascii="Courier New" w:eastAsia="Courier New" w:hAnsi="Courier New"/>
        <w:w w:val="100"/>
        <w:sz w:val="20"/>
        <w:szCs w:val="20"/>
        <w:shd w:val="clear" w:color="auto" w:fill="auto"/>
      </w:rPr>
    </w:lvl>
    <w:lvl w:ilvl="5" w:tplc="663EB980">
      <w:start w:val="1"/>
      <w:numFmt w:val="bullet"/>
      <w:lvlText w:val="§"/>
      <w:lvlJc w:val="left"/>
      <w:pPr>
        <w:ind w:left="4680" w:hanging="360"/>
      </w:pPr>
      <w:rPr>
        <w:rFonts w:ascii="Wingdings" w:eastAsia="Wingdings" w:hAnsi="Wingdings"/>
        <w:w w:val="100"/>
        <w:sz w:val="20"/>
        <w:szCs w:val="20"/>
        <w:shd w:val="clear" w:color="auto" w:fill="auto"/>
      </w:rPr>
    </w:lvl>
    <w:lvl w:ilvl="6" w:tplc="EDCE8A7A">
      <w:start w:val="1"/>
      <w:numFmt w:val="bullet"/>
      <w:lvlText w:val="·"/>
      <w:lvlJc w:val="left"/>
      <w:pPr>
        <w:ind w:left="5400" w:hanging="360"/>
      </w:pPr>
      <w:rPr>
        <w:rFonts w:ascii="Symbol" w:eastAsia="Symbol" w:hAnsi="Symbol"/>
        <w:w w:val="100"/>
        <w:sz w:val="20"/>
        <w:szCs w:val="20"/>
        <w:shd w:val="clear" w:color="auto" w:fill="auto"/>
      </w:rPr>
    </w:lvl>
    <w:lvl w:ilvl="7" w:tplc="F6FE2AB6">
      <w:start w:val="1"/>
      <w:numFmt w:val="bullet"/>
      <w:lvlText w:val="o"/>
      <w:lvlJc w:val="left"/>
      <w:pPr>
        <w:ind w:left="6120" w:hanging="360"/>
      </w:pPr>
      <w:rPr>
        <w:rFonts w:ascii="Courier New" w:eastAsia="Courier New" w:hAnsi="Courier New"/>
        <w:w w:val="100"/>
        <w:sz w:val="20"/>
        <w:szCs w:val="20"/>
        <w:shd w:val="clear" w:color="auto" w:fill="auto"/>
      </w:rPr>
    </w:lvl>
    <w:lvl w:ilvl="8" w:tplc="FE6875F2">
      <w:start w:val="1"/>
      <w:numFmt w:val="bullet"/>
      <w:lvlText w:val="§"/>
      <w:lvlJc w:val="left"/>
      <w:pPr>
        <w:ind w:left="6840" w:hanging="360"/>
      </w:pPr>
      <w:rPr>
        <w:rFonts w:ascii="Wingdings" w:eastAsia="Wingdings" w:hAnsi="Wingdings"/>
        <w:w w:val="100"/>
        <w:sz w:val="20"/>
        <w:szCs w:val="20"/>
        <w:shd w:val="clear" w:color="auto" w:fill="auto"/>
      </w:rPr>
    </w:lvl>
  </w:abstractNum>
  <w:abstractNum w:abstractNumId="4">
    <w:nsid w:val="00000005"/>
    <w:multiLevelType w:val="hybridMultilevel"/>
    <w:tmpl w:val="1C06DAC8"/>
    <w:lvl w:ilvl="0" w:tplc="FFB09AAC">
      <w:start w:val="1"/>
      <w:numFmt w:val="decimal"/>
      <w:lvlText w:val="%1."/>
      <w:lvlJc w:val="left"/>
      <w:pPr>
        <w:ind w:left="1080" w:hanging="360"/>
      </w:pPr>
    </w:lvl>
    <w:lvl w:ilvl="1" w:tplc="3DBE2086">
      <w:start w:val="1"/>
      <w:numFmt w:val="lowerLetter"/>
      <w:lvlText w:val="%2."/>
      <w:lvlJc w:val="left"/>
      <w:pPr>
        <w:ind w:left="1800" w:hanging="360"/>
      </w:pPr>
    </w:lvl>
    <w:lvl w:ilvl="2" w:tplc="FA18F4CC">
      <w:start w:val="1"/>
      <w:numFmt w:val="lowerRoman"/>
      <w:lvlText w:val="%3."/>
      <w:lvlJc w:val="right"/>
      <w:pPr>
        <w:ind w:left="2340" w:hanging="180"/>
      </w:pPr>
    </w:lvl>
    <w:lvl w:ilvl="3" w:tplc="E108A386">
      <w:start w:val="1"/>
      <w:numFmt w:val="decimal"/>
      <w:lvlText w:val="%4."/>
      <w:lvlJc w:val="left"/>
      <w:pPr>
        <w:ind w:left="3240" w:hanging="360"/>
      </w:pPr>
    </w:lvl>
    <w:lvl w:ilvl="4" w:tplc="F370A30A">
      <w:start w:val="1"/>
      <w:numFmt w:val="lowerLetter"/>
      <w:lvlText w:val="%5."/>
      <w:lvlJc w:val="left"/>
      <w:pPr>
        <w:ind w:left="3960" w:hanging="360"/>
      </w:pPr>
    </w:lvl>
    <w:lvl w:ilvl="5" w:tplc="4B7EAD42">
      <w:start w:val="1"/>
      <w:numFmt w:val="lowerRoman"/>
      <w:lvlText w:val="%6."/>
      <w:lvlJc w:val="right"/>
      <w:pPr>
        <w:ind w:left="4500" w:hanging="180"/>
      </w:pPr>
    </w:lvl>
    <w:lvl w:ilvl="6" w:tplc="588685F2">
      <w:start w:val="1"/>
      <w:numFmt w:val="decimal"/>
      <w:lvlText w:val="%7."/>
      <w:lvlJc w:val="left"/>
      <w:pPr>
        <w:ind w:left="5400" w:hanging="360"/>
      </w:pPr>
    </w:lvl>
    <w:lvl w:ilvl="7" w:tplc="1BC600C4">
      <w:start w:val="1"/>
      <w:numFmt w:val="lowerLetter"/>
      <w:lvlText w:val="%8."/>
      <w:lvlJc w:val="left"/>
      <w:pPr>
        <w:ind w:left="6120" w:hanging="360"/>
      </w:pPr>
    </w:lvl>
    <w:lvl w:ilvl="8" w:tplc="DE9A7C7E">
      <w:start w:val="1"/>
      <w:numFmt w:val="lowerRoman"/>
      <w:lvlText w:val="%9."/>
      <w:lvlJc w:val="right"/>
      <w:pPr>
        <w:ind w:left="6660" w:hanging="180"/>
      </w:pPr>
    </w:lvl>
  </w:abstractNum>
  <w:abstractNum w:abstractNumId="5">
    <w:nsid w:val="00000006"/>
    <w:multiLevelType w:val="hybridMultilevel"/>
    <w:tmpl w:val="06058ED8"/>
    <w:lvl w:ilvl="0" w:tplc="BDFCF2A4">
      <w:start w:val="1"/>
      <w:numFmt w:val="bullet"/>
      <w:lvlText w:val="·"/>
      <w:lvlJc w:val="left"/>
      <w:pPr>
        <w:ind w:left="1080" w:hanging="360"/>
      </w:pPr>
      <w:rPr>
        <w:rFonts w:ascii="Symbol" w:eastAsia="Symbol" w:hAnsi="Symbol"/>
        <w:w w:val="100"/>
        <w:sz w:val="20"/>
        <w:szCs w:val="20"/>
        <w:shd w:val="clear" w:color="auto" w:fill="auto"/>
      </w:rPr>
    </w:lvl>
    <w:lvl w:ilvl="1" w:tplc="3EA22AEC">
      <w:start w:val="1"/>
      <w:numFmt w:val="bullet"/>
      <w:lvlText w:val="o"/>
      <w:lvlJc w:val="left"/>
      <w:pPr>
        <w:ind w:left="1800" w:hanging="360"/>
      </w:pPr>
      <w:rPr>
        <w:rFonts w:ascii="Courier New" w:eastAsia="Courier New" w:hAnsi="Courier New"/>
        <w:w w:val="100"/>
        <w:sz w:val="20"/>
        <w:szCs w:val="20"/>
        <w:shd w:val="clear" w:color="auto" w:fill="auto"/>
      </w:rPr>
    </w:lvl>
    <w:lvl w:ilvl="2" w:tplc="EBC69B58">
      <w:start w:val="1"/>
      <w:numFmt w:val="bullet"/>
      <w:lvlText w:val="§"/>
      <w:lvlJc w:val="left"/>
      <w:pPr>
        <w:ind w:left="2520" w:hanging="360"/>
      </w:pPr>
      <w:rPr>
        <w:rFonts w:ascii="Wingdings" w:eastAsia="Wingdings" w:hAnsi="Wingdings"/>
        <w:w w:val="100"/>
        <w:sz w:val="20"/>
        <w:szCs w:val="20"/>
        <w:shd w:val="clear" w:color="auto" w:fill="auto"/>
      </w:rPr>
    </w:lvl>
    <w:lvl w:ilvl="3" w:tplc="F724D286">
      <w:start w:val="1"/>
      <w:numFmt w:val="bullet"/>
      <w:lvlText w:val="·"/>
      <w:lvlJc w:val="left"/>
      <w:pPr>
        <w:ind w:left="3240" w:hanging="360"/>
      </w:pPr>
      <w:rPr>
        <w:rFonts w:ascii="Symbol" w:eastAsia="Symbol" w:hAnsi="Symbol"/>
        <w:w w:val="100"/>
        <w:sz w:val="20"/>
        <w:szCs w:val="20"/>
        <w:shd w:val="clear" w:color="auto" w:fill="auto"/>
      </w:rPr>
    </w:lvl>
    <w:lvl w:ilvl="4" w:tplc="0D7A3DA8">
      <w:start w:val="1"/>
      <w:numFmt w:val="bullet"/>
      <w:lvlText w:val="o"/>
      <w:lvlJc w:val="left"/>
      <w:pPr>
        <w:ind w:left="3960" w:hanging="360"/>
      </w:pPr>
      <w:rPr>
        <w:rFonts w:ascii="Courier New" w:eastAsia="Courier New" w:hAnsi="Courier New"/>
        <w:w w:val="100"/>
        <w:sz w:val="20"/>
        <w:szCs w:val="20"/>
        <w:shd w:val="clear" w:color="auto" w:fill="auto"/>
      </w:rPr>
    </w:lvl>
    <w:lvl w:ilvl="5" w:tplc="CB1A5F08">
      <w:start w:val="1"/>
      <w:numFmt w:val="bullet"/>
      <w:lvlText w:val="§"/>
      <w:lvlJc w:val="left"/>
      <w:pPr>
        <w:ind w:left="4680" w:hanging="360"/>
      </w:pPr>
      <w:rPr>
        <w:rFonts w:ascii="Wingdings" w:eastAsia="Wingdings" w:hAnsi="Wingdings"/>
        <w:w w:val="100"/>
        <w:sz w:val="20"/>
        <w:szCs w:val="20"/>
        <w:shd w:val="clear" w:color="auto" w:fill="auto"/>
      </w:rPr>
    </w:lvl>
    <w:lvl w:ilvl="6" w:tplc="412EFC56">
      <w:start w:val="1"/>
      <w:numFmt w:val="bullet"/>
      <w:lvlText w:val="·"/>
      <w:lvlJc w:val="left"/>
      <w:pPr>
        <w:ind w:left="5400" w:hanging="360"/>
      </w:pPr>
      <w:rPr>
        <w:rFonts w:ascii="Symbol" w:eastAsia="Symbol" w:hAnsi="Symbol"/>
        <w:w w:val="100"/>
        <w:sz w:val="20"/>
        <w:szCs w:val="20"/>
        <w:shd w:val="clear" w:color="auto" w:fill="auto"/>
      </w:rPr>
    </w:lvl>
    <w:lvl w:ilvl="7" w:tplc="F39E9F44">
      <w:start w:val="1"/>
      <w:numFmt w:val="bullet"/>
      <w:lvlText w:val="o"/>
      <w:lvlJc w:val="left"/>
      <w:pPr>
        <w:ind w:left="6120" w:hanging="360"/>
      </w:pPr>
      <w:rPr>
        <w:rFonts w:ascii="Courier New" w:eastAsia="Courier New" w:hAnsi="Courier New"/>
        <w:w w:val="100"/>
        <w:sz w:val="20"/>
        <w:szCs w:val="20"/>
        <w:shd w:val="clear" w:color="auto" w:fill="auto"/>
      </w:rPr>
    </w:lvl>
    <w:lvl w:ilvl="8" w:tplc="628613AC">
      <w:start w:val="1"/>
      <w:numFmt w:val="bullet"/>
      <w:lvlText w:val="§"/>
      <w:lvlJc w:val="left"/>
      <w:pPr>
        <w:ind w:left="6840" w:hanging="360"/>
      </w:pPr>
      <w:rPr>
        <w:rFonts w:ascii="Wingdings" w:eastAsia="Wingdings" w:hAnsi="Wingdings"/>
        <w:w w:val="100"/>
        <w:sz w:val="20"/>
        <w:szCs w:val="20"/>
        <w:shd w:val="clear" w:color="auto" w:fill="auto"/>
      </w:rPr>
    </w:lvl>
  </w:abstractNum>
  <w:abstractNum w:abstractNumId="6">
    <w:nsid w:val="00000007"/>
    <w:multiLevelType w:val="hybridMultilevel"/>
    <w:tmpl w:val="56E509FE"/>
    <w:lvl w:ilvl="0" w:tplc="B664D2A6">
      <w:start w:val="1"/>
      <w:numFmt w:val="bullet"/>
      <w:lvlText w:val="·"/>
      <w:lvlJc w:val="left"/>
      <w:pPr>
        <w:ind w:left="1080" w:hanging="360"/>
      </w:pPr>
      <w:rPr>
        <w:rFonts w:ascii="Symbol" w:eastAsia="Symbol" w:hAnsi="Symbol"/>
        <w:w w:val="100"/>
        <w:sz w:val="20"/>
        <w:szCs w:val="20"/>
        <w:shd w:val="clear" w:color="auto" w:fill="auto"/>
      </w:rPr>
    </w:lvl>
    <w:lvl w:ilvl="1" w:tplc="E71E0512">
      <w:start w:val="1"/>
      <w:numFmt w:val="bullet"/>
      <w:lvlText w:val="o"/>
      <w:lvlJc w:val="left"/>
      <w:pPr>
        <w:ind w:left="1800" w:hanging="360"/>
      </w:pPr>
      <w:rPr>
        <w:rFonts w:ascii="Courier New" w:eastAsia="Courier New" w:hAnsi="Courier New"/>
        <w:w w:val="100"/>
        <w:sz w:val="20"/>
        <w:szCs w:val="20"/>
        <w:shd w:val="clear" w:color="auto" w:fill="auto"/>
      </w:rPr>
    </w:lvl>
    <w:lvl w:ilvl="2" w:tplc="F352391C">
      <w:start w:val="1"/>
      <w:numFmt w:val="bullet"/>
      <w:lvlText w:val="§"/>
      <w:lvlJc w:val="left"/>
      <w:pPr>
        <w:ind w:left="2520" w:hanging="360"/>
      </w:pPr>
      <w:rPr>
        <w:rFonts w:ascii="Wingdings" w:eastAsia="Wingdings" w:hAnsi="Wingdings"/>
        <w:w w:val="100"/>
        <w:sz w:val="20"/>
        <w:szCs w:val="20"/>
        <w:shd w:val="clear" w:color="auto" w:fill="auto"/>
      </w:rPr>
    </w:lvl>
    <w:lvl w:ilvl="3" w:tplc="452AD5C0">
      <w:start w:val="1"/>
      <w:numFmt w:val="bullet"/>
      <w:lvlText w:val="·"/>
      <w:lvlJc w:val="left"/>
      <w:pPr>
        <w:ind w:left="3240" w:hanging="360"/>
      </w:pPr>
      <w:rPr>
        <w:rFonts w:ascii="Symbol" w:eastAsia="Symbol" w:hAnsi="Symbol"/>
        <w:w w:val="100"/>
        <w:sz w:val="20"/>
        <w:szCs w:val="20"/>
        <w:shd w:val="clear" w:color="auto" w:fill="auto"/>
      </w:rPr>
    </w:lvl>
    <w:lvl w:ilvl="4" w:tplc="B6345BC4">
      <w:start w:val="1"/>
      <w:numFmt w:val="bullet"/>
      <w:lvlText w:val="o"/>
      <w:lvlJc w:val="left"/>
      <w:pPr>
        <w:ind w:left="3960" w:hanging="360"/>
      </w:pPr>
      <w:rPr>
        <w:rFonts w:ascii="Courier New" w:eastAsia="Courier New" w:hAnsi="Courier New"/>
        <w:w w:val="100"/>
        <w:sz w:val="20"/>
        <w:szCs w:val="20"/>
        <w:shd w:val="clear" w:color="auto" w:fill="auto"/>
      </w:rPr>
    </w:lvl>
    <w:lvl w:ilvl="5" w:tplc="E0B8749A">
      <w:start w:val="1"/>
      <w:numFmt w:val="bullet"/>
      <w:lvlText w:val="§"/>
      <w:lvlJc w:val="left"/>
      <w:pPr>
        <w:ind w:left="4680" w:hanging="360"/>
      </w:pPr>
      <w:rPr>
        <w:rFonts w:ascii="Wingdings" w:eastAsia="Wingdings" w:hAnsi="Wingdings"/>
        <w:w w:val="100"/>
        <w:sz w:val="20"/>
        <w:szCs w:val="20"/>
        <w:shd w:val="clear" w:color="auto" w:fill="auto"/>
      </w:rPr>
    </w:lvl>
    <w:lvl w:ilvl="6" w:tplc="A0FEAD98">
      <w:start w:val="1"/>
      <w:numFmt w:val="bullet"/>
      <w:lvlText w:val="·"/>
      <w:lvlJc w:val="left"/>
      <w:pPr>
        <w:ind w:left="5400" w:hanging="360"/>
      </w:pPr>
      <w:rPr>
        <w:rFonts w:ascii="Symbol" w:eastAsia="Symbol" w:hAnsi="Symbol"/>
        <w:w w:val="100"/>
        <w:sz w:val="20"/>
        <w:szCs w:val="20"/>
        <w:shd w:val="clear" w:color="auto" w:fill="auto"/>
      </w:rPr>
    </w:lvl>
    <w:lvl w:ilvl="7" w:tplc="39B0644A">
      <w:start w:val="1"/>
      <w:numFmt w:val="bullet"/>
      <w:lvlText w:val="o"/>
      <w:lvlJc w:val="left"/>
      <w:pPr>
        <w:ind w:left="6120" w:hanging="360"/>
      </w:pPr>
      <w:rPr>
        <w:rFonts w:ascii="Courier New" w:eastAsia="Courier New" w:hAnsi="Courier New"/>
        <w:w w:val="100"/>
        <w:sz w:val="20"/>
        <w:szCs w:val="20"/>
        <w:shd w:val="clear" w:color="auto" w:fill="auto"/>
      </w:rPr>
    </w:lvl>
    <w:lvl w:ilvl="8" w:tplc="0958E28E">
      <w:start w:val="1"/>
      <w:numFmt w:val="bullet"/>
      <w:lvlText w:val="§"/>
      <w:lvlJc w:val="left"/>
      <w:pPr>
        <w:ind w:left="6840" w:hanging="360"/>
      </w:pPr>
      <w:rPr>
        <w:rFonts w:ascii="Wingdings" w:eastAsia="Wingdings" w:hAnsi="Wingdings"/>
        <w:w w:val="100"/>
        <w:sz w:val="20"/>
        <w:szCs w:val="20"/>
        <w:shd w:val="clear" w:color="auto" w:fill="auto"/>
      </w:rPr>
    </w:lvl>
  </w:abstractNum>
  <w:abstractNum w:abstractNumId="7">
    <w:nsid w:val="00000008"/>
    <w:multiLevelType w:val="hybridMultilevel"/>
    <w:tmpl w:val="56F32F43"/>
    <w:lvl w:ilvl="0" w:tplc="B99C2E98">
      <w:start w:val="1"/>
      <w:numFmt w:val="bullet"/>
      <w:lvlText w:val="·"/>
      <w:lvlJc w:val="left"/>
      <w:pPr>
        <w:ind w:left="1080" w:hanging="360"/>
      </w:pPr>
      <w:rPr>
        <w:rFonts w:ascii="Symbol" w:eastAsia="Symbol" w:hAnsi="Symbol"/>
        <w:w w:val="100"/>
        <w:sz w:val="20"/>
        <w:szCs w:val="20"/>
        <w:shd w:val="clear" w:color="auto" w:fill="auto"/>
      </w:rPr>
    </w:lvl>
    <w:lvl w:ilvl="1" w:tplc="E9C49BFA">
      <w:start w:val="1"/>
      <w:numFmt w:val="bullet"/>
      <w:lvlText w:val="o"/>
      <w:lvlJc w:val="left"/>
      <w:pPr>
        <w:ind w:left="1800" w:hanging="360"/>
      </w:pPr>
      <w:rPr>
        <w:rFonts w:ascii="Courier New" w:eastAsia="Courier New" w:hAnsi="Courier New"/>
        <w:w w:val="100"/>
        <w:sz w:val="20"/>
        <w:szCs w:val="20"/>
        <w:shd w:val="clear" w:color="auto" w:fill="auto"/>
      </w:rPr>
    </w:lvl>
    <w:lvl w:ilvl="2" w:tplc="7512C918">
      <w:start w:val="1"/>
      <w:numFmt w:val="bullet"/>
      <w:lvlText w:val="§"/>
      <w:lvlJc w:val="left"/>
      <w:pPr>
        <w:ind w:left="2520" w:hanging="360"/>
      </w:pPr>
      <w:rPr>
        <w:rFonts w:ascii="Wingdings" w:eastAsia="Wingdings" w:hAnsi="Wingdings"/>
        <w:w w:val="100"/>
        <w:sz w:val="20"/>
        <w:szCs w:val="20"/>
        <w:shd w:val="clear" w:color="auto" w:fill="auto"/>
      </w:rPr>
    </w:lvl>
    <w:lvl w:ilvl="3" w:tplc="56B4D3BA">
      <w:start w:val="1"/>
      <w:numFmt w:val="bullet"/>
      <w:lvlText w:val="·"/>
      <w:lvlJc w:val="left"/>
      <w:pPr>
        <w:ind w:left="3240" w:hanging="360"/>
      </w:pPr>
      <w:rPr>
        <w:rFonts w:ascii="Symbol" w:eastAsia="Symbol" w:hAnsi="Symbol"/>
        <w:w w:val="100"/>
        <w:sz w:val="20"/>
        <w:szCs w:val="20"/>
        <w:shd w:val="clear" w:color="auto" w:fill="auto"/>
      </w:rPr>
    </w:lvl>
    <w:lvl w:ilvl="4" w:tplc="401E3A84">
      <w:start w:val="1"/>
      <w:numFmt w:val="bullet"/>
      <w:lvlText w:val="o"/>
      <w:lvlJc w:val="left"/>
      <w:pPr>
        <w:ind w:left="3960" w:hanging="360"/>
      </w:pPr>
      <w:rPr>
        <w:rFonts w:ascii="Courier New" w:eastAsia="Courier New" w:hAnsi="Courier New"/>
        <w:w w:val="100"/>
        <w:sz w:val="20"/>
        <w:szCs w:val="20"/>
        <w:shd w:val="clear" w:color="auto" w:fill="auto"/>
      </w:rPr>
    </w:lvl>
    <w:lvl w:ilvl="5" w:tplc="573CF3BC">
      <w:start w:val="1"/>
      <w:numFmt w:val="bullet"/>
      <w:lvlText w:val="§"/>
      <w:lvlJc w:val="left"/>
      <w:pPr>
        <w:ind w:left="4680" w:hanging="360"/>
      </w:pPr>
      <w:rPr>
        <w:rFonts w:ascii="Wingdings" w:eastAsia="Wingdings" w:hAnsi="Wingdings"/>
        <w:w w:val="100"/>
        <w:sz w:val="20"/>
        <w:szCs w:val="20"/>
        <w:shd w:val="clear" w:color="auto" w:fill="auto"/>
      </w:rPr>
    </w:lvl>
    <w:lvl w:ilvl="6" w:tplc="2EF26316">
      <w:start w:val="1"/>
      <w:numFmt w:val="bullet"/>
      <w:lvlText w:val="·"/>
      <w:lvlJc w:val="left"/>
      <w:pPr>
        <w:ind w:left="5400" w:hanging="360"/>
      </w:pPr>
      <w:rPr>
        <w:rFonts w:ascii="Symbol" w:eastAsia="Symbol" w:hAnsi="Symbol"/>
        <w:w w:val="100"/>
        <w:sz w:val="20"/>
        <w:szCs w:val="20"/>
        <w:shd w:val="clear" w:color="auto" w:fill="auto"/>
      </w:rPr>
    </w:lvl>
    <w:lvl w:ilvl="7" w:tplc="A34E96CA">
      <w:start w:val="1"/>
      <w:numFmt w:val="bullet"/>
      <w:lvlText w:val="o"/>
      <w:lvlJc w:val="left"/>
      <w:pPr>
        <w:ind w:left="6120" w:hanging="360"/>
      </w:pPr>
      <w:rPr>
        <w:rFonts w:ascii="Courier New" w:eastAsia="Courier New" w:hAnsi="Courier New"/>
        <w:w w:val="100"/>
        <w:sz w:val="20"/>
        <w:szCs w:val="20"/>
        <w:shd w:val="clear" w:color="auto" w:fill="auto"/>
      </w:rPr>
    </w:lvl>
    <w:lvl w:ilvl="8" w:tplc="2F96111E">
      <w:start w:val="1"/>
      <w:numFmt w:val="bullet"/>
      <w:lvlText w:val="§"/>
      <w:lvlJc w:val="left"/>
      <w:pPr>
        <w:ind w:left="6840" w:hanging="360"/>
      </w:pPr>
      <w:rPr>
        <w:rFonts w:ascii="Wingdings" w:eastAsia="Wingdings" w:hAnsi="Wingdings"/>
        <w:w w:val="100"/>
        <w:sz w:val="20"/>
        <w:szCs w:val="20"/>
        <w:shd w:val="clear" w:color="auto" w:fill="auto"/>
      </w:rPr>
    </w:lvl>
  </w:abstractNum>
  <w:abstractNum w:abstractNumId="8">
    <w:nsid w:val="185D607F"/>
    <w:multiLevelType w:val="hybridMultilevel"/>
    <w:tmpl w:val="8632C28A"/>
    <w:styleLink w:val="ImportedStyle1"/>
    <w:lvl w:ilvl="0" w:tplc="AFC22F1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C82B9C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5287A5C">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76CAC56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7C2A80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0B04736">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3A0433F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7E4DE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D0439BA">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nsid w:val="418D062A"/>
    <w:multiLevelType w:val="multilevel"/>
    <w:tmpl w:val="000041A7"/>
    <w:lvl w:ilvl="0">
      <w:start w:val="1"/>
      <w:numFmt w:val="decimal"/>
      <w:pStyle w:val="Point123"/>
      <w:lvlText w:val="%1."/>
      <w:lvlJc w:val="left"/>
      <w:pPr>
        <w:tabs>
          <w:tab w:val="left" w:pos="567"/>
        </w:tabs>
        <w:ind w:left="1134" w:hanging="567"/>
      </w:pPr>
    </w:lvl>
    <w:lvl w:ilvl="1">
      <w:start w:val="1"/>
      <w:numFmt w:val="lowerLetter"/>
      <w:pStyle w:val="Pointabc"/>
      <w:lvlText w:val="%2)"/>
      <w:lvlJc w:val="left"/>
      <w:pPr>
        <w:tabs>
          <w:tab w:val="left" w:pos="567"/>
        </w:tabs>
        <w:ind w:left="1134" w:hanging="567"/>
      </w:pPr>
    </w:lvl>
    <w:lvl w:ilvl="2">
      <w:start w:val="1"/>
      <w:numFmt w:val="decimal"/>
      <w:pStyle w:val="Point1231"/>
      <w:lvlText w:val="%3."/>
      <w:lvlJc w:val="left"/>
      <w:pPr>
        <w:tabs>
          <w:tab w:val="left" w:pos="1134"/>
        </w:tabs>
        <w:ind w:left="1701" w:hanging="567"/>
      </w:pPr>
    </w:lvl>
    <w:lvl w:ilvl="3">
      <w:start w:val="1"/>
      <w:numFmt w:val="lowerLetter"/>
      <w:pStyle w:val="Pointabc1"/>
      <w:lvlText w:val="%4)"/>
      <w:lvlJc w:val="left"/>
      <w:pPr>
        <w:tabs>
          <w:tab w:val="left" w:pos="1134"/>
        </w:tabs>
        <w:ind w:left="1701" w:hanging="567"/>
      </w:pPr>
    </w:lvl>
    <w:lvl w:ilvl="4">
      <w:start w:val="1"/>
      <w:numFmt w:val="decimal"/>
      <w:pStyle w:val="Point1232"/>
      <w:lvlText w:val="%5."/>
      <w:lvlJc w:val="left"/>
      <w:pPr>
        <w:tabs>
          <w:tab w:val="left" w:pos="1701"/>
        </w:tabs>
        <w:ind w:left="2268" w:hanging="567"/>
      </w:pPr>
    </w:lvl>
    <w:lvl w:ilvl="5">
      <w:start w:val="1"/>
      <w:numFmt w:val="lowerLetter"/>
      <w:pStyle w:val="Pointabc2"/>
      <w:lvlText w:val="%6)"/>
      <w:lvlJc w:val="left"/>
      <w:pPr>
        <w:tabs>
          <w:tab w:val="left" w:pos="1701"/>
        </w:tabs>
        <w:ind w:left="2268" w:hanging="567"/>
      </w:pPr>
    </w:lvl>
    <w:lvl w:ilvl="6">
      <w:start w:val="1"/>
      <w:numFmt w:val="decimal"/>
      <w:pStyle w:val="Point1233"/>
      <w:lvlText w:val="%7."/>
      <w:lvlJc w:val="left"/>
      <w:pPr>
        <w:tabs>
          <w:tab w:val="left" w:pos="2268"/>
        </w:tabs>
        <w:ind w:left="2835" w:hanging="567"/>
      </w:pPr>
    </w:lvl>
    <w:lvl w:ilvl="7">
      <w:start w:val="1"/>
      <w:numFmt w:val="lowerLetter"/>
      <w:pStyle w:val="Pointabc3"/>
      <w:lvlText w:val="%8)"/>
      <w:lvlJc w:val="left"/>
      <w:pPr>
        <w:tabs>
          <w:tab w:val="left" w:pos="2268"/>
        </w:tabs>
        <w:ind w:left="2835" w:hanging="567"/>
      </w:pPr>
    </w:lvl>
    <w:lvl w:ilvl="8">
      <w:start w:val="1"/>
      <w:numFmt w:val="lowerLetter"/>
      <w:pStyle w:val="Pointabc4"/>
      <w:lvlText w:val="%9)"/>
      <w:lvlJc w:val="left"/>
      <w:pPr>
        <w:tabs>
          <w:tab w:val="left" w:pos="2835"/>
        </w:tabs>
        <w:ind w:left="3402" w:hanging="567"/>
      </w:pPr>
    </w:lvl>
  </w:abstractNum>
  <w:abstractNum w:abstractNumId="10">
    <w:nsid w:val="55805C99"/>
    <w:multiLevelType w:val="hybridMultilevel"/>
    <w:tmpl w:val="8632C28A"/>
    <w:numStyleLink w:val="ImportedStyle1"/>
  </w:abstractNum>
  <w:num w:numId="1">
    <w:abstractNumId w:val="3"/>
  </w:num>
  <w:num w:numId="2">
    <w:abstractNumId w:val="7"/>
  </w:num>
  <w:num w:numId="3">
    <w:abstractNumId w:val="5"/>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9"/>
  </w:num>
  <w:num w:numId="9">
    <w:abstractNumId w:val="2"/>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720"/>
  <w:displayHorizontalDrawingGridEvery w:val="0"/>
  <w:displayVerticalDrawingGridEvery w:val="2"/>
  <w:noPunctuationKerning/>
  <w:characterSpacingControl w:val="doNotCompress"/>
  <w:hdrShapeDefaults>
    <o:shapedefaults v:ext="edit" spidmax="59393"/>
  </w:hdrShapeDefaults>
  <w:footnotePr>
    <w:footnote w:id="-1"/>
    <w:footnote w:id="0"/>
  </w:footnotePr>
  <w:endnotePr>
    <w:endnote w:id="-1"/>
    <w:endnote w:id="0"/>
  </w:endnotePr>
  <w:compat>
    <w:doNotExpandShiftReturn/>
    <w:compatSetting w:name="compatibilityMode" w:uri="http://schemas.microsoft.com/office/word" w:val="14"/>
  </w:compat>
  <w:docVars>
    <w:docVar w:name="COVERPAGE_EXISTS" w:val="True"/>
    <w:docVar w:name="DocStatus" w:val="Green"/>
    <w:docVar w:name="LW_CONFIDENCE" w:val=" "/>
    <w:docVar w:name="LW_CONST_RESTREINT_UE" w:val="RESTREINT UE"/>
    <w:docVar w:name="LW_CORRIGENDUM" w:val="&lt;UNUSED&gt;"/>
    <w:docVar w:name="LW_COVERPAGE_GUID" w:val="80A6D5F662C74C4CBD19DA26A3BEB459"/>
    <w:docVar w:name="LW_CROSSREFERENCE" w:val="&lt;UNUSED&gt;"/>
    <w:docVar w:name="LW_DocType" w:val="NORMAL"/>
    <w:docVar w:name="LW_EMISSION" w:val="2017 09 13"/>
    <w:docVar w:name="LW_EMISSION_ISODATE" w:val="2017-09-13"/>
    <w:docVar w:name="LW_EMISSION_LOCATION" w:val="BRX"/>
    <w:docVar w:name="LW_EMISSION_PREFIX" w:val="Briuselis, "/>
    <w:docVar w:name="LW_EMISSION_SUFFIX" w:val=" "/>
    <w:docVar w:name="LW_ID_DOCTYPE_NONLW" w:val="CP-014"/>
    <w:docVar w:name="LW_LANGUE" w:val="LT"/>
    <w:docVar w:name="LW_MARKING" w:val="&lt;UNUSED&gt;"/>
    <w:docVar w:name="LW_NOM.INST" w:val="EUROPOS KOMISIJA"/>
    <w:docVar w:name="LW_NOM.INST_JOINTDOC" w:val="&lt;EMPTY&gt;"/>
    <w:docVar w:name="LW_PART_NBR" w:val="1"/>
    <w:docVar w:name="LW_PART_NBR_TOTAL" w:val="1"/>
    <w:docVar w:name="LW_REF.INST.NEW" w:val="COM"/>
    <w:docVar w:name="LW_REF.INST.NEW_ADOPTED" w:val="final"/>
    <w:docVar w:name="LW_REF.INST.NEW_TEXT" w:val="(2017) 492"/>
    <w:docVar w:name="LW_REF.INTERNE" w:val="&lt;UNUSED&gt;"/>
    <w:docVar w:name="LW_SOUS.TITRE.OBJ.CP" w:val="&lt;UNUSED&gt;"/>
    <w:docVar w:name="LW_SUPERTITRE" w:val="&lt;UNUSED&gt;"/>
    <w:docVar w:name="LW_TITRE.OBJ.CP" w:val="Darni ir pa\u382?angi prekybos politika globalizacijai suvaldyti"/>
    <w:docVar w:name="LW_TYPE.DOC.CP" w:val="KOMISIJOS KOMUNIKATAS EUROPOS PARLAMENTUI, TARYBAI, EUROPOS EKONOMIKOS IR SOCIALINI\u370? REIKAL\u370? KOMITETUI IR REGION\u370? KOMITETUI"/>
    <w:docVar w:name="LW_TYPE.DOC.CP.USERTEXT" w:val="&lt;EMPTY&gt;"/>
  </w:docVars>
  <m:mathPr>
    <m:mathFont m:val="Cambria Math"/>
    <m:brkBin m:val="before"/>
    <m:brkBinSub m:val="--"/>
    <m:smallFrac/>
    <m:dispDef/>
    <m:lMargin m:val="1440"/>
    <m:rMargin m:val="1440"/>
    <m:defJc m:val="centerGroup"/>
    <m:wrapIndent m:val="1440"/>
    <m:intLim m:val="subSup"/>
    <m:naryLim m:val="undOvr"/>
  </m:mathPr>
  <w:themeFontLang w:val="en-US" w:eastAsia="ko-KR" w:bidi="lo-L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lt-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26"/>
    <w:qFormat/>
    <w:pPr>
      <w:ind w:left="720"/>
    </w:pPr>
    <w:rPr>
      <w:sz w:val="20"/>
      <w:szCs w:val="20"/>
    </w:rPr>
  </w:style>
  <w:style w:type="paragraph" w:customStyle="1" w:styleId="Body">
    <w:name w:val="Body"/>
    <w:rPr>
      <w:rFonts w:ascii="Times New Roman" w:eastAsia="Times New Roman" w:hAnsi="Times New Roman"/>
      <w:color w:val="000000"/>
      <w:sz w:val="24"/>
      <w:szCs w:val="24"/>
    </w:rPr>
  </w:style>
  <w:style w:type="paragraph" w:styleId="Header">
    <w:name w:val="header"/>
    <w:basedOn w:val="Normal"/>
    <w:link w:val="HeaderChar"/>
    <w:unhideWhenUsed/>
    <w:pPr>
      <w:tabs>
        <w:tab w:val="center" w:pos="4536"/>
        <w:tab w:val="right" w:pos="9072"/>
      </w:tabs>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styleId="FootnoteText">
    <w:name w:val="footnote text"/>
    <w:link w:val="FootnoteTextChar"/>
    <w:rPr>
      <w:rFonts w:ascii="Times New Roman" w:eastAsia="Times New Roman" w:hAnsi="Times New Roman"/>
      <w:color w:val="000000"/>
      <w:sz w:val="20"/>
      <w:szCs w:val="20"/>
    </w:rPr>
  </w:style>
  <w:style w:type="character" w:customStyle="1" w:styleId="FootnoteTextChar">
    <w:name w:val="Footnote Text Char"/>
    <w:basedOn w:val="DefaultParagraphFont"/>
    <w:link w:val="FootnoteText"/>
    <w:rPr>
      <w:rFonts w:ascii="Times New Roman" w:eastAsia="Times New Roman" w:hAnsi="Times New Roman"/>
      <w:color w:val="000000"/>
      <w:w w:val="100"/>
      <w:sz w:val="20"/>
      <w:szCs w:val="20"/>
      <w:shd w:val="clear" w:color="auto" w:fill="auto"/>
    </w:rPr>
  </w:style>
  <w:style w:type="paragraph" w:customStyle="1" w:styleId="Pointabc">
    <w:name w:val="Point abc"/>
    <w:basedOn w:val="Normal"/>
    <w:pPr>
      <w:numPr>
        <w:ilvl w:val="1"/>
        <w:numId w:val="8"/>
      </w:numPr>
      <w:ind w:left="0" w:firstLine="0"/>
    </w:pPr>
    <w:rPr>
      <w:rFonts w:ascii="Times New Roman" w:eastAsia="Times New Roman" w:hAnsi="Times New Roman"/>
      <w:sz w:val="24"/>
      <w:szCs w:val="24"/>
    </w:rPr>
  </w:style>
  <w:style w:type="paragraph" w:customStyle="1" w:styleId="Pointabc1">
    <w:name w:val="Point abc (1)"/>
    <w:basedOn w:val="Normal"/>
    <w:pPr>
      <w:numPr>
        <w:ilvl w:val="3"/>
        <w:numId w:val="8"/>
      </w:numPr>
      <w:ind w:left="0" w:firstLine="0"/>
    </w:pPr>
    <w:rPr>
      <w:rFonts w:ascii="Times New Roman" w:eastAsia="Times New Roman" w:hAnsi="Times New Roman"/>
      <w:sz w:val="24"/>
      <w:szCs w:val="24"/>
    </w:rPr>
  </w:style>
  <w:style w:type="paragraph" w:customStyle="1" w:styleId="Pointabc2">
    <w:name w:val="Point abc (2)"/>
    <w:basedOn w:val="Normal"/>
    <w:pPr>
      <w:numPr>
        <w:ilvl w:val="5"/>
        <w:numId w:val="8"/>
      </w:numPr>
      <w:ind w:left="0" w:firstLine="0"/>
    </w:pPr>
    <w:rPr>
      <w:rFonts w:ascii="Times New Roman" w:eastAsia="Times New Roman" w:hAnsi="Times New Roman"/>
      <w:sz w:val="24"/>
      <w:szCs w:val="24"/>
    </w:rPr>
  </w:style>
  <w:style w:type="paragraph" w:customStyle="1" w:styleId="Pointabc3">
    <w:name w:val="Point abc (3)"/>
    <w:basedOn w:val="Normal"/>
    <w:pPr>
      <w:numPr>
        <w:ilvl w:val="7"/>
        <w:numId w:val="8"/>
      </w:numPr>
      <w:ind w:left="0" w:firstLine="0"/>
    </w:pPr>
    <w:rPr>
      <w:rFonts w:ascii="Times New Roman" w:eastAsia="Times New Roman" w:hAnsi="Times New Roman"/>
      <w:sz w:val="24"/>
      <w:szCs w:val="24"/>
    </w:rPr>
  </w:style>
  <w:style w:type="paragraph" w:customStyle="1" w:styleId="Pointabc4">
    <w:name w:val="Point abc (4)"/>
    <w:basedOn w:val="Normal"/>
    <w:pPr>
      <w:numPr>
        <w:ilvl w:val="8"/>
        <w:numId w:val="8"/>
      </w:numPr>
      <w:ind w:left="0" w:firstLine="0"/>
    </w:pPr>
    <w:rPr>
      <w:rFonts w:ascii="Times New Roman" w:eastAsia="Times New Roman" w:hAnsi="Times New Roman"/>
      <w:sz w:val="24"/>
      <w:szCs w:val="24"/>
    </w:rPr>
  </w:style>
  <w:style w:type="paragraph" w:customStyle="1" w:styleId="Point123">
    <w:name w:val="Point 123"/>
    <w:basedOn w:val="Normal"/>
    <w:pPr>
      <w:numPr>
        <w:numId w:val="8"/>
      </w:numPr>
      <w:ind w:left="0" w:firstLine="0"/>
    </w:pPr>
    <w:rPr>
      <w:rFonts w:ascii="Times New Roman" w:eastAsia="Times New Roman" w:hAnsi="Times New Roman"/>
      <w:sz w:val="24"/>
      <w:szCs w:val="24"/>
    </w:rPr>
  </w:style>
  <w:style w:type="paragraph" w:customStyle="1" w:styleId="Point1231">
    <w:name w:val="Point 123 (1)"/>
    <w:basedOn w:val="Normal"/>
    <w:pPr>
      <w:numPr>
        <w:ilvl w:val="2"/>
        <w:numId w:val="8"/>
      </w:numPr>
      <w:ind w:left="0" w:firstLine="0"/>
    </w:pPr>
    <w:rPr>
      <w:rFonts w:ascii="Times New Roman" w:eastAsia="Times New Roman" w:hAnsi="Times New Roman"/>
      <w:sz w:val="24"/>
      <w:szCs w:val="24"/>
    </w:rPr>
  </w:style>
  <w:style w:type="paragraph" w:customStyle="1" w:styleId="Point1232">
    <w:name w:val="Point 123 (2)"/>
    <w:basedOn w:val="Normal"/>
    <w:pPr>
      <w:numPr>
        <w:ilvl w:val="4"/>
        <w:numId w:val="8"/>
      </w:numPr>
      <w:ind w:left="0" w:firstLine="0"/>
    </w:pPr>
    <w:rPr>
      <w:rFonts w:ascii="Times New Roman" w:eastAsia="Times New Roman" w:hAnsi="Times New Roman"/>
      <w:sz w:val="24"/>
      <w:szCs w:val="24"/>
    </w:rPr>
  </w:style>
  <w:style w:type="paragraph" w:customStyle="1" w:styleId="Point1233">
    <w:name w:val="Point 123 (3)"/>
    <w:basedOn w:val="Normal"/>
    <w:pPr>
      <w:numPr>
        <w:ilvl w:val="6"/>
        <w:numId w:val="8"/>
      </w:numPr>
      <w:ind w:left="0" w:firstLine="0"/>
    </w:pPr>
    <w:rPr>
      <w:rFonts w:ascii="Times New Roman" w:eastAsia="Times New Roman" w:hAnsi="Times New Roman"/>
      <w:sz w:val="24"/>
      <w:szCs w:val="24"/>
    </w:rPr>
  </w:style>
  <w:style w:type="character" w:styleId="FootnoteReference">
    <w:name w:val="footnote reference"/>
    <w:basedOn w:val="DefaultParagraphFont"/>
    <w:unhideWhenUsed/>
    <w:rPr>
      <w:w w:val="100"/>
      <w:sz w:val="20"/>
      <w:szCs w:val="20"/>
      <w:shd w:val="clear" w:color="auto" w:fill="auto"/>
      <w:vertAlign w:val="superscript"/>
    </w:rPr>
  </w:style>
  <w:style w:type="paragraph" w:styleId="NormalWeb">
    <w:name w:val="Normal (Web)"/>
    <w:basedOn w:val="Normal"/>
    <w:unhideWhenUsed/>
    <w:rPr>
      <w:rFonts w:ascii="Times New Roman" w:eastAsia="Times New Roman" w:hAnsi="Times New Roman"/>
      <w:sz w:val="24"/>
      <w:szCs w:val="24"/>
    </w:rPr>
  </w:style>
  <w:style w:type="paragraph" w:styleId="BalloonText">
    <w:name w:val="Balloon Text"/>
    <w:basedOn w:val="Normal"/>
    <w:link w:val="BalloonTextChar"/>
    <w:semiHidden/>
    <w:unhideWhenUsed/>
    <w:rPr>
      <w:rFonts w:ascii="Tahoma" w:eastAsia="Tahoma" w:hAnsi="Tahoma"/>
      <w:sz w:val="16"/>
      <w:szCs w:val="16"/>
    </w:rPr>
  </w:style>
  <w:style w:type="character" w:customStyle="1" w:styleId="BalloonTextChar">
    <w:name w:val="Balloon Text Char"/>
    <w:basedOn w:val="DefaultParagraphFont"/>
    <w:link w:val="BalloonText"/>
    <w:semiHidden/>
    <w:rPr>
      <w:rFonts w:ascii="Tahoma" w:eastAsia="Tahoma" w:hAnsi="Tahoma"/>
      <w:w w:val="100"/>
      <w:sz w:val="16"/>
      <w:szCs w:val="16"/>
      <w:shd w:val="clear" w:color="auto" w:fill="auto"/>
    </w:rPr>
  </w:style>
  <w:style w:type="character" w:styleId="CommentReference">
    <w:name w:val="annotation reference"/>
    <w:basedOn w:val="DefaultParagraphFont"/>
    <w:semiHidden/>
    <w:unhideWhenUsed/>
    <w:rPr>
      <w:w w:val="100"/>
      <w:sz w:val="16"/>
      <w:szCs w:val="16"/>
      <w:shd w:val="clear" w:color="auto" w:fill="auto"/>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w w:val="100"/>
      <w:sz w:val="20"/>
      <w:szCs w:val="20"/>
      <w:shd w:val="clear" w:color="auto" w:fill="auto"/>
    </w:rPr>
  </w:style>
  <w:style w:type="paragraph" w:styleId="CommentSubject">
    <w:name w:val="annotation subject"/>
    <w:basedOn w:val="CommentText"/>
    <w:next w:val="CommentText"/>
    <w:link w:val="CommentSubjectChar"/>
    <w:semiHidden/>
    <w:unhideWhenUsed/>
    <w:rPr>
      <w:b/>
    </w:rPr>
  </w:style>
  <w:style w:type="character" w:customStyle="1" w:styleId="CommentSubjectChar">
    <w:name w:val="Comment Subject Char"/>
    <w:basedOn w:val="CommentTextChar"/>
    <w:link w:val="CommentSubject"/>
    <w:semiHidden/>
    <w:rPr>
      <w:b/>
      <w:w w:val="100"/>
      <w:sz w:val="20"/>
      <w:szCs w:val="20"/>
      <w:shd w:val="clear" w:color="auto" w:fill="auto"/>
    </w:rPr>
  </w:style>
  <w:style w:type="paragraph" w:styleId="Revision">
    <w:name w:val="Revision"/>
    <w:semiHidden/>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odyA">
    <w:name w:val="Body A"/>
    <w:pPr>
      <w:pBdr>
        <w:top w:val="nil"/>
        <w:left w:val="nil"/>
        <w:bottom w:val="nil"/>
        <w:right w:val="nil"/>
        <w:between w:val="nil"/>
        <w:bar w:val="nil"/>
      </w:pBdr>
      <w:spacing w:after="200" w:line="276" w:lineRule="auto"/>
    </w:pPr>
    <w:rPr>
      <w:rFonts w:cs="Calibri"/>
      <w:color w:val="000000"/>
      <w:u w:color="000000"/>
      <w:bdr w:val="nil"/>
    </w:rPr>
  </w:style>
  <w:style w:type="numbering" w:customStyle="1" w:styleId="ImportedStyle1">
    <w:name w:val="Imported Style 1"/>
    <w:pPr>
      <w:numPr>
        <w:numId w:val="10"/>
      </w:numPr>
    </w:pPr>
  </w:style>
  <w:style w:type="character" w:customStyle="1" w:styleId="None">
    <w:name w:val="None"/>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ascii="Times New Roman" w:eastAsiaTheme="minorHAnsi"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rFonts w:ascii="Times New Roman" w:eastAsia="Times New Roman" w:hAnsi="Times New Roman"/>
      <w:smallCaps/>
      <w:sz w:val="24"/>
      <w:szCs w:val="24"/>
    </w:rPr>
  </w:style>
  <w:style w:type="character" w:customStyle="1" w:styleId="FooterCoverPageChar">
    <w:name w:val="Footer Cover Page Char"/>
    <w:basedOn w:val="DefaultParagraphFont"/>
    <w:link w:val="FooterCoverPage"/>
    <w:rPr>
      <w:rFonts w:ascii="Times New Roman" w:eastAsia="Times New Roman" w:hAnsi="Times New Roman"/>
      <w:smallCaps/>
      <w:sz w:val="24"/>
      <w:szCs w:val="24"/>
    </w:rPr>
  </w:style>
  <w:style w:type="paragraph" w:customStyle="1" w:styleId="HeaderCoverPage">
    <w:name w:val="Header Cover Page"/>
    <w:basedOn w:val="Normal"/>
    <w:link w:val="HeaderCoverPageChar"/>
    <w:pPr>
      <w:tabs>
        <w:tab w:val="center" w:pos="4535"/>
        <w:tab w:val="right" w:pos="9071"/>
      </w:tabs>
      <w:spacing w:after="120"/>
      <w:jc w:val="both"/>
    </w:pPr>
    <w:rPr>
      <w:rFonts w:ascii="Times New Roman" w:eastAsia="Times New Roman" w:hAnsi="Times New Roman"/>
      <w:smallCaps/>
      <w:sz w:val="24"/>
      <w:szCs w:val="24"/>
    </w:rPr>
  </w:style>
  <w:style w:type="character" w:customStyle="1" w:styleId="HeaderCoverPageChar">
    <w:name w:val="Header Cover Page Char"/>
    <w:basedOn w:val="DefaultParagraphFont"/>
    <w:link w:val="HeaderCoverPage"/>
    <w:rPr>
      <w:rFonts w:ascii="Times New Roman" w:eastAsia="Times New Roman" w:hAnsi="Times New Roman"/>
      <w:smallCap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lt-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26"/>
    <w:qFormat/>
    <w:pPr>
      <w:ind w:left="720"/>
    </w:pPr>
    <w:rPr>
      <w:sz w:val="20"/>
      <w:szCs w:val="20"/>
    </w:rPr>
  </w:style>
  <w:style w:type="paragraph" w:customStyle="1" w:styleId="Body">
    <w:name w:val="Body"/>
    <w:rPr>
      <w:rFonts w:ascii="Times New Roman" w:eastAsia="Times New Roman" w:hAnsi="Times New Roman"/>
      <w:color w:val="000000"/>
      <w:sz w:val="24"/>
      <w:szCs w:val="24"/>
    </w:rPr>
  </w:style>
  <w:style w:type="paragraph" w:styleId="Header">
    <w:name w:val="header"/>
    <w:basedOn w:val="Normal"/>
    <w:link w:val="HeaderChar"/>
    <w:unhideWhenUsed/>
    <w:pPr>
      <w:tabs>
        <w:tab w:val="center" w:pos="4536"/>
        <w:tab w:val="right" w:pos="9072"/>
      </w:tabs>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styleId="FootnoteText">
    <w:name w:val="footnote text"/>
    <w:link w:val="FootnoteTextChar"/>
    <w:rPr>
      <w:rFonts w:ascii="Times New Roman" w:eastAsia="Times New Roman" w:hAnsi="Times New Roman"/>
      <w:color w:val="000000"/>
      <w:sz w:val="20"/>
      <w:szCs w:val="20"/>
    </w:rPr>
  </w:style>
  <w:style w:type="character" w:customStyle="1" w:styleId="FootnoteTextChar">
    <w:name w:val="Footnote Text Char"/>
    <w:basedOn w:val="DefaultParagraphFont"/>
    <w:link w:val="FootnoteText"/>
    <w:rPr>
      <w:rFonts w:ascii="Times New Roman" w:eastAsia="Times New Roman" w:hAnsi="Times New Roman"/>
      <w:color w:val="000000"/>
      <w:w w:val="100"/>
      <w:sz w:val="20"/>
      <w:szCs w:val="20"/>
      <w:shd w:val="clear" w:color="auto" w:fill="auto"/>
    </w:rPr>
  </w:style>
  <w:style w:type="paragraph" w:customStyle="1" w:styleId="Pointabc">
    <w:name w:val="Point abc"/>
    <w:basedOn w:val="Normal"/>
    <w:pPr>
      <w:numPr>
        <w:ilvl w:val="1"/>
        <w:numId w:val="8"/>
      </w:numPr>
      <w:ind w:left="0" w:firstLine="0"/>
    </w:pPr>
    <w:rPr>
      <w:rFonts w:ascii="Times New Roman" w:eastAsia="Times New Roman" w:hAnsi="Times New Roman"/>
      <w:sz w:val="24"/>
      <w:szCs w:val="24"/>
    </w:rPr>
  </w:style>
  <w:style w:type="paragraph" w:customStyle="1" w:styleId="Pointabc1">
    <w:name w:val="Point abc (1)"/>
    <w:basedOn w:val="Normal"/>
    <w:pPr>
      <w:numPr>
        <w:ilvl w:val="3"/>
        <w:numId w:val="8"/>
      </w:numPr>
      <w:ind w:left="0" w:firstLine="0"/>
    </w:pPr>
    <w:rPr>
      <w:rFonts w:ascii="Times New Roman" w:eastAsia="Times New Roman" w:hAnsi="Times New Roman"/>
      <w:sz w:val="24"/>
      <w:szCs w:val="24"/>
    </w:rPr>
  </w:style>
  <w:style w:type="paragraph" w:customStyle="1" w:styleId="Pointabc2">
    <w:name w:val="Point abc (2)"/>
    <w:basedOn w:val="Normal"/>
    <w:pPr>
      <w:numPr>
        <w:ilvl w:val="5"/>
        <w:numId w:val="8"/>
      </w:numPr>
      <w:ind w:left="0" w:firstLine="0"/>
    </w:pPr>
    <w:rPr>
      <w:rFonts w:ascii="Times New Roman" w:eastAsia="Times New Roman" w:hAnsi="Times New Roman"/>
      <w:sz w:val="24"/>
      <w:szCs w:val="24"/>
    </w:rPr>
  </w:style>
  <w:style w:type="paragraph" w:customStyle="1" w:styleId="Pointabc3">
    <w:name w:val="Point abc (3)"/>
    <w:basedOn w:val="Normal"/>
    <w:pPr>
      <w:numPr>
        <w:ilvl w:val="7"/>
        <w:numId w:val="8"/>
      </w:numPr>
      <w:ind w:left="0" w:firstLine="0"/>
    </w:pPr>
    <w:rPr>
      <w:rFonts w:ascii="Times New Roman" w:eastAsia="Times New Roman" w:hAnsi="Times New Roman"/>
      <w:sz w:val="24"/>
      <w:szCs w:val="24"/>
    </w:rPr>
  </w:style>
  <w:style w:type="paragraph" w:customStyle="1" w:styleId="Pointabc4">
    <w:name w:val="Point abc (4)"/>
    <w:basedOn w:val="Normal"/>
    <w:pPr>
      <w:numPr>
        <w:ilvl w:val="8"/>
        <w:numId w:val="8"/>
      </w:numPr>
      <w:ind w:left="0" w:firstLine="0"/>
    </w:pPr>
    <w:rPr>
      <w:rFonts w:ascii="Times New Roman" w:eastAsia="Times New Roman" w:hAnsi="Times New Roman"/>
      <w:sz w:val="24"/>
      <w:szCs w:val="24"/>
    </w:rPr>
  </w:style>
  <w:style w:type="paragraph" w:customStyle="1" w:styleId="Point123">
    <w:name w:val="Point 123"/>
    <w:basedOn w:val="Normal"/>
    <w:pPr>
      <w:numPr>
        <w:numId w:val="8"/>
      </w:numPr>
      <w:ind w:left="0" w:firstLine="0"/>
    </w:pPr>
    <w:rPr>
      <w:rFonts w:ascii="Times New Roman" w:eastAsia="Times New Roman" w:hAnsi="Times New Roman"/>
      <w:sz w:val="24"/>
      <w:szCs w:val="24"/>
    </w:rPr>
  </w:style>
  <w:style w:type="paragraph" w:customStyle="1" w:styleId="Point1231">
    <w:name w:val="Point 123 (1)"/>
    <w:basedOn w:val="Normal"/>
    <w:pPr>
      <w:numPr>
        <w:ilvl w:val="2"/>
        <w:numId w:val="8"/>
      </w:numPr>
      <w:ind w:left="0" w:firstLine="0"/>
    </w:pPr>
    <w:rPr>
      <w:rFonts w:ascii="Times New Roman" w:eastAsia="Times New Roman" w:hAnsi="Times New Roman"/>
      <w:sz w:val="24"/>
      <w:szCs w:val="24"/>
    </w:rPr>
  </w:style>
  <w:style w:type="paragraph" w:customStyle="1" w:styleId="Point1232">
    <w:name w:val="Point 123 (2)"/>
    <w:basedOn w:val="Normal"/>
    <w:pPr>
      <w:numPr>
        <w:ilvl w:val="4"/>
        <w:numId w:val="8"/>
      </w:numPr>
      <w:ind w:left="0" w:firstLine="0"/>
    </w:pPr>
    <w:rPr>
      <w:rFonts w:ascii="Times New Roman" w:eastAsia="Times New Roman" w:hAnsi="Times New Roman"/>
      <w:sz w:val="24"/>
      <w:szCs w:val="24"/>
    </w:rPr>
  </w:style>
  <w:style w:type="paragraph" w:customStyle="1" w:styleId="Point1233">
    <w:name w:val="Point 123 (3)"/>
    <w:basedOn w:val="Normal"/>
    <w:pPr>
      <w:numPr>
        <w:ilvl w:val="6"/>
        <w:numId w:val="8"/>
      </w:numPr>
      <w:ind w:left="0" w:firstLine="0"/>
    </w:pPr>
    <w:rPr>
      <w:rFonts w:ascii="Times New Roman" w:eastAsia="Times New Roman" w:hAnsi="Times New Roman"/>
      <w:sz w:val="24"/>
      <w:szCs w:val="24"/>
    </w:rPr>
  </w:style>
  <w:style w:type="character" w:styleId="FootnoteReference">
    <w:name w:val="footnote reference"/>
    <w:basedOn w:val="DefaultParagraphFont"/>
    <w:unhideWhenUsed/>
    <w:rPr>
      <w:w w:val="100"/>
      <w:sz w:val="20"/>
      <w:szCs w:val="20"/>
      <w:shd w:val="clear" w:color="auto" w:fill="auto"/>
      <w:vertAlign w:val="superscript"/>
    </w:rPr>
  </w:style>
  <w:style w:type="paragraph" w:styleId="NormalWeb">
    <w:name w:val="Normal (Web)"/>
    <w:basedOn w:val="Normal"/>
    <w:unhideWhenUsed/>
    <w:rPr>
      <w:rFonts w:ascii="Times New Roman" w:eastAsia="Times New Roman" w:hAnsi="Times New Roman"/>
      <w:sz w:val="24"/>
      <w:szCs w:val="24"/>
    </w:rPr>
  </w:style>
  <w:style w:type="paragraph" w:styleId="BalloonText">
    <w:name w:val="Balloon Text"/>
    <w:basedOn w:val="Normal"/>
    <w:link w:val="BalloonTextChar"/>
    <w:semiHidden/>
    <w:unhideWhenUsed/>
    <w:rPr>
      <w:rFonts w:ascii="Tahoma" w:eastAsia="Tahoma" w:hAnsi="Tahoma"/>
      <w:sz w:val="16"/>
      <w:szCs w:val="16"/>
    </w:rPr>
  </w:style>
  <w:style w:type="character" w:customStyle="1" w:styleId="BalloonTextChar">
    <w:name w:val="Balloon Text Char"/>
    <w:basedOn w:val="DefaultParagraphFont"/>
    <w:link w:val="BalloonText"/>
    <w:semiHidden/>
    <w:rPr>
      <w:rFonts w:ascii="Tahoma" w:eastAsia="Tahoma" w:hAnsi="Tahoma"/>
      <w:w w:val="100"/>
      <w:sz w:val="16"/>
      <w:szCs w:val="16"/>
      <w:shd w:val="clear" w:color="auto" w:fill="auto"/>
    </w:rPr>
  </w:style>
  <w:style w:type="character" w:styleId="CommentReference">
    <w:name w:val="annotation reference"/>
    <w:basedOn w:val="DefaultParagraphFont"/>
    <w:semiHidden/>
    <w:unhideWhenUsed/>
    <w:rPr>
      <w:w w:val="100"/>
      <w:sz w:val="16"/>
      <w:szCs w:val="16"/>
      <w:shd w:val="clear" w:color="auto" w:fill="auto"/>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w w:val="100"/>
      <w:sz w:val="20"/>
      <w:szCs w:val="20"/>
      <w:shd w:val="clear" w:color="auto" w:fill="auto"/>
    </w:rPr>
  </w:style>
  <w:style w:type="paragraph" w:styleId="CommentSubject">
    <w:name w:val="annotation subject"/>
    <w:basedOn w:val="CommentText"/>
    <w:next w:val="CommentText"/>
    <w:link w:val="CommentSubjectChar"/>
    <w:semiHidden/>
    <w:unhideWhenUsed/>
    <w:rPr>
      <w:b/>
    </w:rPr>
  </w:style>
  <w:style w:type="character" w:customStyle="1" w:styleId="CommentSubjectChar">
    <w:name w:val="Comment Subject Char"/>
    <w:basedOn w:val="CommentTextChar"/>
    <w:link w:val="CommentSubject"/>
    <w:semiHidden/>
    <w:rPr>
      <w:b/>
      <w:w w:val="100"/>
      <w:sz w:val="20"/>
      <w:szCs w:val="20"/>
      <w:shd w:val="clear" w:color="auto" w:fill="auto"/>
    </w:rPr>
  </w:style>
  <w:style w:type="paragraph" w:styleId="Revision">
    <w:name w:val="Revision"/>
    <w:semiHidden/>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odyA">
    <w:name w:val="Body A"/>
    <w:pPr>
      <w:pBdr>
        <w:top w:val="nil"/>
        <w:left w:val="nil"/>
        <w:bottom w:val="nil"/>
        <w:right w:val="nil"/>
        <w:between w:val="nil"/>
        <w:bar w:val="nil"/>
      </w:pBdr>
      <w:spacing w:after="200" w:line="276" w:lineRule="auto"/>
    </w:pPr>
    <w:rPr>
      <w:rFonts w:cs="Calibri"/>
      <w:color w:val="000000"/>
      <w:u w:color="000000"/>
      <w:bdr w:val="nil"/>
    </w:rPr>
  </w:style>
  <w:style w:type="numbering" w:customStyle="1" w:styleId="ImportedStyle1">
    <w:name w:val="Imported Style 1"/>
    <w:pPr>
      <w:numPr>
        <w:numId w:val="10"/>
      </w:numPr>
    </w:pPr>
  </w:style>
  <w:style w:type="character" w:customStyle="1" w:styleId="None">
    <w:name w:val="None"/>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ascii="Times New Roman" w:eastAsiaTheme="minorHAnsi"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rFonts w:ascii="Times New Roman" w:eastAsia="Times New Roman" w:hAnsi="Times New Roman"/>
      <w:smallCaps/>
      <w:sz w:val="24"/>
      <w:szCs w:val="24"/>
    </w:rPr>
  </w:style>
  <w:style w:type="character" w:customStyle="1" w:styleId="FooterCoverPageChar">
    <w:name w:val="Footer Cover Page Char"/>
    <w:basedOn w:val="DefaultParagraphFont"/>
    <w:link w:val="FooterCoverPage"/>
    <w:rPr>
      <w:rFonts w:ascii="Times New Roman" w:eastAsia="Times New Roman" w:hAnsi="Times New Roman"/>
      <w:smallCaps/>
      <w:sz w:val="24"/>
      <w:szCs w:val="24"/>
    </w:rPr>
  </w:style>
  <w:style w:type="paragraph" w:customStyle="1" w:styleId="HeaderCoverPage">
    <w:name w:val="Header Cover Page"/>
    <w:basedOn w:val="Normal"/>
    <w:link w:val="HeaderCoverPageChar"/>
    <w:pPr>
      <w:tabs>
        <w:tab w:val="center" w:pos="4535"/>
        <w:tab w:val="right" w:pos="9071"/>
      </w:tabs>
      <w:spacing w:after="120"/>
      <w:jc w:val="both"/>
    </w:pPr>
    <w:rPr>
      <w:rFonts w:ascii="Times New Roman" w:eastAsia="Times New Roman" w:hAnsi="Times New Roman"/>
      <w:smallCaps/>
      <w:sz w:val="24"/>
      <w:szCs w:val="24"/>
    </w:rPr>
  </w:style>
  <w:style w:type="character" w:customStyle="1" w:styleId="HeaderCoverPageChar">
    <w:name w:val="Header Cover Page Char"/>
    <w:basedOn w:val="DefaultParagraphFont"/>
    <w:link w:val="HeaderCoverPage"/>
    <w:rPr>
      <w:rFonts w:ascii="Times New Roman" w:eastAsia="Times New Roman" w:hAnsi="Times New Roman"/>
      <w:small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886062">
      <w:bodyDiv w:val="1"/>
      <w:marLeft w:val="0"/>
      <w:marRight w:val="0"/>
      <w:marTop w:val="0"/>
      <w:marBottom w:val="0"/>
      <w:divBdr>
        <w:top w:val="none" w:sz="0" w:space="0" w:color="auto"/>
        <w:left w:val="none" w:sz="0" w:space="0" w:color="auto"/>
        <w:bottom w:val="none" w:sz="0" w:space="0" w:color="auto"/>
        <w:right w:val="none" w:sz="0" w:space="0" w:color="auto"/>
      </w:divBdr>
    </w:div>
    <w:div w:id="1933657313">
      <w:bodyDiv w:val="1"/>
      <w:marLeft w:val="0"/>
      <w:marRight w:val="0"/>
      <w:marTop w:val="0"/>
      <w:marBottom w:val="0"/>
      <w:divBdr>
        <w:top w:val="none" w:sz="0" w:space="0" w:color="auto"/>
        <w:left w:val="none" w:sz="0" w:space="0" w:color="auto"/>
        <w:bottom w:val="none" w:sz="0" w:space="0" w:color="auto"/>
        <w:right w:val="none" w:sz="0" w:space="0" w:color="auto"/>
      </w:divBdr>
    </w:div>
    <w:div w:id="1958633851">
      <w:bodyDiv w:val="1"/>
      <w:marLeft w:val="0"/>
      <w:marRight w:val="0"/>
      <w:marTop w:val="0"/>
      <w:marBottom w:val="0"/>
      <w:divBdr>
        <w:top w:val="none" w:sz="0" w:space="0" w:color="auto"/>
        <w:left w:val="none" w:sz="0" w:space="0" w:color="auto"/>
        <w:bottom w:val="none" w:sz="0" w:space="0" w:color="auto"/>
        <w:right w:val="none" w:sz="0" w:space="0" w:color="auto"/>
      </w:divBdr>
    </w:div>
    <w:div w:id="214350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data.consilium.europa.eu/doc/document/ST-13541-2016-INI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EE02F-4261-47A4-BA36-2DC1EB2D4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2680</Words>
  <Characters>18767</Characters>
  <Application>Microsoft Office Word</Application>
  <DocSecurity>0</DocSecurity>
  <Lines>293</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Manager/>
  <Company/>
  <LinksUpToDate>false</LinksUpToDate>
  <CharactersWithSpaces>21395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24</cp:revision>
  <cp:lastPrinted>2017-09-08T10:12:00Z</cp:lastPrinted>
  <dcterms:created xsi:type="dcterms:W3CDTF">2017-09-08T10:12:00Z</dcterms:created>
  <dcterms:modified xsi:type="dcterms:W3CDTF">2017-09-20T07:14:00Z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name="OP_sanitized" fmtid="{D5CDD505-2E9C-101B-9397-08002B2CF9AE}" pid="6">
    <vt:lpwstr>True</vt:lpwstr>
  </property>
</Properties>
</file>