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37" w:rsidRDefault="00810B37">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63D20856BED4AB1963EF9E7E5DE55A1" style="width:450.75pt;height:303.75pt">
            <v:imagedata r:id="rId8" o:title=""/>
          </v:shape>
        </w:pict>
      </w:r>
    </w:p>
    <w:bookmarkEnd w:id="0"/>
    <w:p w:rsidR="00810B37" w:rsidRDefault="00810B37">
      <w:pPr>
        <w:spacing w:after="120" w:line="240" w:lineRule="auto"/>
        <w:jc w:val="both"/>
        <w:rPr>
          <w:noProof/>
        </w:rPr>
        <w:sectPr w:rsidR="00810B3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299"/>
        </w:sectPr>
      </w:pPr>
    </w:p>
    <w:p w:rsidR="00810B37" w:rsidRDefault="00810B37">
      <w:pPr>
        <w:spacing w:before="120" w:after="240" w:line="240" w:lineRule="auto"/>
        <w:jc w:val="both"/>
        <w:rPr>
          <w:rFonts w:ascii="Times New Roman" w:hAnsi="Times New Roman"/>
          <w:b/>
          <w:noProof/>
          <w:sz w:val="24"/>
          <w:szCs w:val="24"/>
        </w:rPr>
      </w:pPr>
      <w:r>
        <w:rPr>
          <w:rFonts w:ascii="Times New Roman" w:hAnsi="Times New Roman"/>
          <w:b/>
          <w:noProof/>
          <w:sz w:val="24"/>
        </w:rPr>
        <w:t>1.</w:t>
      </w:r>
      <w:r>
        <w:rPr>
          <w:rFonts w:ascii="Times New Roman" w:hAnsi="Times New Roman"/>
          <w:b/>
          <w:noProof/>
          <w:sz w:val="24"/>
        </w:rPr>
        <w:tab/>
        <w:t xml:space="preserve">ĮVADAS </w:t>
      </w:r>
    </w:p>
    <w:p w:rsidR="00810B37" w:rsidRDefault="00810B37">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2007 m. Rumunijai stojant į Europos Sąjungą buvo sukurtas bendradarbiavimo ir tikrinimo mechanizmas (BTM)</w:t>
      </w:r>
      <w:r>
        <w:rPr>
          <w:rFonts w:ascii="Times New Roman" w:hAnsi="Times New Roman"/>
          <w:noProof/>
          <w:sz w:val="24"/>
          <w:vertAlign w:val="superscript"/>
        </w:rPr>
        <w:footnoteReference w:id="1"/>
      </w:r>
      <w:r>
        <w:rPr>
          <w:rFonts w:ascii="Times New Roman" w:hAnsi="Times New Roman"/>
          <w:noProof/>
          <w:sz w:val="24"/>
        </w:rPr>
        <w:t xml:space="preserve">, kuriuo siekiama pašalinti teismų reformos ir kovos su korupcija trūkumus. Nuo tada BTM ataskaitose konkrečiomis rekomendacijomis siekta padėti Rumunijos valdžios institucijoms sutelkti pastangas ir buvo apžvelgiama Rumunijos padaryta pažanga. Šiais metais sukanka 10 metų nuo BTM sukūrimo ir Komisija apžvelgia nuveiktus darbus, neišspręstus uždavinius ir likusius veiksmus, kurių dar reikia imtis, kad būtų pasiekti BTM tikslai. </w:t>
      </w:r>
    </w:p>
    <w:p w:rsidR="00810B37" w:rsidRDefault="00810B37">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Taryba yra ne kartą aiškiai pasakiusi, kad BTM bus baigtas taikyti, kai bus pasiekti visi keturi Rumunijai taikomi orientaciniai tikslai</w:t>
      </w:r>
      <w:r>
        <w:rPr>
          <w:rFonts w:ascii="Times New Roman" w:hAnsi="Times New Roman"/>
          <w:noProof/>
          <w:sz w:val="24"/>
          <w:vertAlign w:val="superscript"/>
        </w:rPr>
        <w:footnoteReference w:id="2"/>
      </w:r>
      <w:r>
        <w:rPr>
          <w:rFonts w:ascii="Times New Roman" w:hAnsi="Times New Roman"/>
          <w:noProof/>
          <w:sz w:val="24"/>
        </w:rPr>
        <w:t xml:space="preserve">. Orientaciniai tikslai buvo nustatyti stojant į ES ir apima valstybių narių funkcionavimui esminius klausimus – teismų nepriklausomumą ir veiksmingumą, tarnybinę etiką ir kovą su korupcija. Kad šie tikslai būtų pasiekti, reikia imtis teisėkūros ir institucinių veiksmų. Be to, tokius veiksmus visapusiškai įvertinti galima tik atsižvelgiant į tai, ar jų numatomas poveikis yra juntamas praktiškai ir ar juos galima laikyti įtvirtintais Rumunijos teisinėje ir institucinėje struktūroje ir negrįžtamais. Tai leidžia piliečiams tikėti, jog Rumunijoje priimami sprendimai ir taikoma praktika visiškai atitinka teisinės valstybės principus, ir suteikiamas pagrindas tarpusavio pasitikėjimui, kuris yra būtinas norint veiksmingai įgyvendinti ES teisę. </w:t>
      </w:r>
    </w:p>
    <w:p w:rsidR="00810B37" w:rsidRDefault="00810B37">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Teismų reforma ir kova su korupcija – svarbiausios problemos, su kuriomis per pastaruosius dešimt metų susidūrė Rumunijos visuomenė</w:t>
      </w:r>
      <w:r>
        <w:rPr>
          <w:rFonts w:ascii="Times New Roman" w:hAnsi="Times New Roman"/>
          <w:noProof/>
          <w:sz w:val="24"/>
          <w:vertAlign w:val="superscript"/>
        </w:rPr>
        <w:footnoteReference w:id="3"/>
      </w:r>
      <w:r>
        <w:rPr>
          <w:rFonts w:ascii="Times New Roman" w:hAnsi="Times New Roman"/>
          <w:noProof/>
          <w:sz w:val="24"/>
        </w:rPr>
        <w:t>. BTM Rumunijoje atlieka svarbų vaidmenį – tai reformų varomoji jėga ir priemonė, padedanti sekti daromą pažangą. Komisijos išvados ir BTM metodika nuolat sulaukdavo Tarybos pritarimo; prie jų rengimo bendradarbiaudamos ir teikdamos medžiagą prisidėjo daug valstybių narių. Bendradarbiavimą taip pat sustiprino tikslinė parama Rumunijai iš ES fondų.</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BTM ataskaitose ne tik apžvelgiama per pastaruosius 10 metų padaryta pažanga, bet ir pabrėžiama, kad nuo 2014 m. atsirado pažangos tvarumo ženklų. Dėl daugelio teisėjų ir prokurorų pademonstruoto ryžto, teisingumo ministrų atlikto įgyvendinimo darbo ir gero Rumunijos valdžios institucijų ir Komisijos bendradarbiavimo teisėkūros ir instituciniai veiksmai davė konkrečių rezultatų. Skatinant vykdyti teisingumo sistemos reformą ir imtis konkrečių veiksmų kovojant su visų lygmenų korupcija taip pat buvo labai svarbus aktyvus pilietinės visuomenės dalyvavimas. Tačiau BTM ataskaitose ir toliau pabrėžiama, jog liko sričių, kuriose tolesnę reformą vykdyti buvo sudėtinga ir kartais būdavo sulaukiama pasipriešinimo. Pažangos siekiant BTM tikslų tempą neišvengiamai sulėtino tokios esminės problemos, kaip abejojimas teismų nepriklausomumu ir teismo sprendimų autoritetingumu, ir kartais pasitaikantys konkretūs bandymai stabdyti reformas.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Šioje ataskaitoje apžvelgiami Rumunijoje nuo 2007 m. įvykę pokyčiai. Kaip ir ankstesniais metais, ji parengta Komisijai atlikus kruopščią analizę, glaudžiai bendradarbiaujant su Rumunijos institucijomis, taip pat atsižvelgiant į pilietinės visuomenės ir kitų suinteresuotųjų šalių, įskaitant kitas valstybes nares, pastabas.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Šiuo atžvilgiu pažymėtina, kad svarbu gerai suprasti BTM taikymo sritį. Sprendimuose, kuriais nustatytas BTM, apibrėžti BTM taikymo srities, susijusios su teismų reforma ir kova su korupcija, parametrai. Remiantis šiais parametrais bus nustatyta, kada orientaciniai tikslai yra pasiekti. Tačiau reformų tempui ir mastui neabejotinai turi įtakos platesnė Rumunijos visuomeninė, teisinė ir politinė aplinka, kurioje sprendžiamos konkrečios BTM taikymo sričiai priklausančios problemos. Pavyzdžiui, pastaraisiais metais Rumunijoje dėtų pastangų didinti administracinius gebėjimus nepakanka, o tai turi įtakos reformų procesui. Pagal teisėkūros praktiką pakeitimus leidžiama įtraukti staiga, juos patvirtinant Parlamente, nepaisant geresnio reglamentavimo principų ir nevykdant konsultacijų, todėl sunkiau įrodyti teisinės sistemos tvarumą tokiose srityse kaip korupcija. Reikia griežčiau laikytis lojalaus institucijų bendradarbiavimo principų ir paisyti teismų nepriklausomumo principo, nes Rumunijos žiniasklaidoje puldinėjami teisėjai bei prokurorai, ir reikia sukurti stipresnius teisių gynimo mechanizmus. Nors šios problemos nepriklauso BTM kompetencijai, jos daro tiesioginį poveikį gebėjimui vykdyti reformą ir, visų pirma, dėl jų Rumunijai tapo sudėtingiau pademonstruoti, kad reforma įsitvirtino ilgam.</w:t>
      </w:r>
    </w:p>
    <w:p w:rsidR="00810B37" w:rsidRDefault="00810B37">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 xml:space="preserve">Viena sritis, kurioje ši platesnė aplinka davė teigiamų rezultatų, yra skaidrumas. Daugelyje BTM veikimo sričių matyti aiški tendencija (ir praėjusiais metais) siekti geresnės kokybės informacijos apie teismų sistemą ir korupciją ir daugiau atvirumo, suteikiant daugiau galimybių su ja susipažinti. Tolesni įvairių Rumunijos institucijų veiksmai šia kryptimi pokytį įtvirtintų praktikoje, o tai padėtų įrodyti, kad daroma pažanga. Todėl, kalbant apie BTM veikimą, šioje ataskaitoje pateikiamos kelios rekomendacijos teikti daugiau ataskaitų ir užtikrinti didesnį skaidrumą. Trumpuoju laikotarpiu tai padėtų Komisijai padaryti galutines išvadas. Nustojus taikyti BTM, tai prisidėtų prie reformos tvarumo, nes padėtų užtikrinti atskaitomybę. </w:t>
      </w:r>
    </w:p>
    <w:p w:rsidR="00810B37" w:rsidRDefault="00810B37">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sz w:val="24"/>
        </w:rPr>
        <w:t xml:space="preserve">Galiausiai reikėtų pabrėžti, kad dėl išskirtinės BTM taikymo srities negalima jo sieti su kitomis politikos sritimis. Todėl Komisija nemano, kad būtų tinkama BTM sieti su kitose srityse priimtais sprendimais, pavyzdžiui, dėl tinkamumo finansuoti iš Europos struktūrinių ir investicijų fondų arba galimybės patekti į Šengeno erdvę. </w:t>
      </w:r>
    </w:p>
    <w:p w:rsidR="00810B37" w:rsidRDefault="00810B37">
      <w:pPr>
        <w:spacing w:before="120" w:after="120" w:line="240" w:lineRule="auto"/>
        <w:ind w:left="66"/>
        <w:jc w:val="both"/>
        <w:rPr>
          <w:rFonts w:ascii="Times New Roman" w:hAnsi="Times New Roman"/>
          <w:noProof/>
          <w:sz w:val="24"/>
          <w:szCs w:val="24"/>
        </w:rPr>
      </w:pPr>
      <w:r>
        <w:rPr>
          <w:rFonts w:ascii="Times New Roman" w:hAnsi="Times New Roman"/>
          <w:noProof/>
          <w:sz w:val="24"/>
        </w:rPr>
        <w:t>Siekiant nustatyti svarbiausius likusius veiksmus, reikalingus BTM tikslams įgyvendinti, šioje ataskaitoje žvelgiama į ilgesnio laikotarpio perspektyvą. Iki šiol įgytas pagreitis leidžia sutelkti dėmesį į svarbiausius likusius veiksmus, kurių reikia imtis. Kai bus imtasi šioje ataskaitoje nustatytų veiksmų orientaciniams tikslams pasiekti, bus laikoma, kad atitinkamas orientacinis tikslas laikinai pasiektas. Kai tai bus galima pasakyti apie visus orientacinius tikslus, BTM taikymas bus nutrauktas. Todėl galima manyti, kad pateiktos rekomendacijos yra pakankamos šiam tikslui pasiekti, išskyrus atvejį, kai dėl tam tikrų pokyčių akivaizdžiai sumažėtų daroma pažanga. Komisija mano, kad tai taip pat turėtų paspartinti Rumunijos valdžios institucijų ir visos ES vykdomą procesą. Komisijos nuomone, tuo atveju, kai laikoma, kad padaryta didelė pažanga siekiant orientacinių tikslų, ryžtingas reformos įgyvendinimas ir jos tempo bei nuoseklios krypties išlaikymas leistų tuos tikslus pasiekti greitai, o jei pažanga menka, tai padaryti būtų sudėtingiau. Todėl kitą ataskaitą Komisija ketina pateikti į 2017 m. pabaigą ir yra pasirengusi suteikti tolesnę pagalbą, kad padėtų užtikrinti negrįžtamą pažangą ir taip užbaigti mechanizmo taikymą.</w:t>
      </w:r>
    </w:p>
    <w:p w:rsidR="00810B37" w:rsidRDefault="00810B37">
      <w:pPr>
        <w:spacing w:before="360" w:after="240" w:line="240" w:lineRule="auto"/>
        <w:ind w:left="567" w:hanging="567"/>
        <w:jc w:val="both"/>
        <w:rPr>
          <w:rFonts w:ascii="Times New Roman" w:hAnsi="Times New Roman"/>
          <w:b/>
          <w:noProof/>
          <w:sz w:val="24"/>
          <w:szCs w:val="24"/>
        </w:rPr>
      </w:pPr>
    </w:p>
    <w:p w:rsidR="00810B37" w:rsidRDefault="00810B37">
      <w:pPr>
        <w:keepNext/>
        <w:spacing w:before="360" w:after="240" w:line="240" w:lineRule="auto"/>
        <w:ind w:left="567" w:hanging="567"/>
        <w:jc w:val="both"/>
        <w:rPr>
          <w:rFonts w:ascii="Times New Roman" w:hAnsi="Times New Roman"/>
          <w:b/>
          <w:noProof/>
          <w:sz w:val="24"/>
          <w:szCs w:val="24"/>
        </w:rPr>
      </w:pPr>
      <w:r>
        <w:rPr>
          <w:rFonts w:ascii="Times New Roman" w:hAnsi="Times New Roman"/>
          <w:b/>
          <w:noProof/>
          <w:sz w:val="24"/>
        </w:rPr>
        <w:t xml:space="preserve">2. </w:t>
      </w:r>
      <w:r>
        <w:rPr>
          <w:rFonts w:ascii="Times New Roman" w:hAnsi="Times New Roman"/>
          <w:b/>
          <w:noProof/>
          <w:sz w:val="24"/>
        </w:rPr>
        <w:tab/>
        <w:t xml:space="preserve">ORIENTACINIŲ TIKSLŲ ĮGYVENDINIMO NUO BTM TAIKYMO PRADŽIOS PAŽANGOS VERTINIMAS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Šiame skirsnyje ne tik vertinama pažanga, padaryta vykdant 2016 m. BTM ataskaitoje pateiktas rekomendacijas, bet ir bendrai apžvelgiamas reformų vykdymo dešimtmetis. Svarbiausi pokyčiai ir rezultatai išsamiai išdėstyti pridedamoje techninėje ataskaitoje</w:t>
      </w:r>
      <w:r>
        <w:rPr>
          <w:rStyle w:val="FootnoteReference"/>
          <w:rFonts w:ascii="Times New Roman" w:hAnsi="Times New Roman"/>
          <w:noProof/>
          <w:sz w:val="24"/>
        </w:rPr>
        <w:footnoteReference w:id="4"/>
      </w:r>
      <w:r>
        <w:rPr>
          <w:rFonts w:ascii="Times New Roman" w:hAnsi="Times New Roman"/>
          <w:noProof/>
          <w:sz w:val="24"/>
        </w:rPr>
        <w:t>. Nors orientaciniai tikslai yra atskiri, yra ir svarbių jų tarpusavio ryšių, kurie turi įtakos jų įgyvendinimui. Vertinant pažangą buvo atsižvelgiama į struktūrines sąlygas (pvz., įstatymus, institucijas ir išteklius), rezultatus ir patirtį ir į tai, ar pažanga gali būti laikoma negrįžtama. Taip pat pažymėtina, kad nuo tada, kai buvo susitarta dėl BTM orientacinių tikslų, iš esmės keitėsi EŽTT praktika, tarptautiniai standartai, geriausia patirtis ir lyginamoji informacija apie nacionalines teisingumo sistemas Europos Sąjungoje, kuriais Rumunijos valdžios institucijos vadovavosi vykdydamos reformas ir kurie padeda objektyviai ir palyginamai įvertinti Rumunijos teismų sistemos ir kovos su korupcija raidą, kiek tai susiję su keturiais orientaciniais tikslais.</w:t>
      </w:r>
    </w:p>
    <w:p w:rsidR="00810B37" w:rsidRDefault="00810B37">
      <w:pPr>
        <w:keepNext/>
        <w:rPr>
          <w:rFonts w:ascii="Times New Roman" w:hAnsi="Times New Roman"/>
          <w:b/>
          <w:noProof/>
          <w:sz w:val="24"/>
          <w:szCs w:val="24"/>
        </w:rPr>
      </w:pPr>
      <w:r>
        <w:rPr>
          <w:rFonts w:ascii="Times New Roman" w:hAnsi="Times New Roman"/>
          <w:b/>
          <w:noProof/>
          <w:sz w:val="24"/>
        </w:rPr>
        <w:t xml:space="preserve">2.1 </w:t>
      </w:r>
      <w:r>
        <w:rPr>
          <w:rFonts w:ascii="Times New Roman" w:hAnsi="Times New Roman"/>
          <w:b/>
          <w:noProof/>
          <w:sz w:val="24"/>
        </w:rPr>
        <w:tab/>
        <w:t>Teismo procesas</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Pirmasis orientacinis tikslas susijęs su </w:t>
      </w:r>
      <w:r>
        <w:rPr>
          <w:rFonts w:ascii="Times New Roman" w:hAnsi="Times New Roman"/>
          <w:i/>
          <w:noProof/>
          <w:sz w:val="24"/>
        </w:rPr>
        <w:t>teismų sistema</w:t>
      </w:r>
      <w:r>
        <w:rPr>
          <w:rFonts w:ascii="Times New Roman" w:hAnsi="Times New Roman"/>
          <w:noProof/>
          <w:sz w:val="24"/>
        </w:rPr>
        <w:t>. Daugiausia dėmesio skiriama nepriklausomos, nešališkos ir veiksmingos sistemos sukūrimui, teismo proceso nuoseklumo, skaidrumo bei atskaitomybės didinimui. Šioje srityje padaryta didelė pažanga, susijusi su institucijomis ir teisėkūra. Nuo 2012 m. Vyriausioji teismų taryba (VTT) įsitvirtino kaip teismų sistemos valdytoja ir rodė vis didesnį norą atlikti jai Konstitucijoje numatytą vaidmenį – ginti teismų nepriklausomumą. Dabar šį svarbų vaidmenį atliks neseniai išrinkta nauja Vyriausioji taryba. 2016 m. atliktos apklausos rodė, kad, kaip ir anksčiau, visuomenė gerai suvokia, kad teismai nepriklausomi, ir jais pasitiki</w:t>
      </w:r>
      <w:r>
        <w:rPr>
          <w:rStyle w:val="FootnoteReference"/>
          <w:rFonts w:ascii="Times New Roman" w:hAnsi="Times New Roman"/>
          <w:noProof/>
          <w:sz w:val="24"/>
        </w:rPr>
        <w:footnoteReference w:id="5"/>
      </w:r>
      <w:r>
        <w:rPr>
          <w:rFonts w:ascii="Times New Roman" w:hAnsi="Times New Roman"/>
          <w:noProof/>
          <w:sz w:val="24"/>
        </w:rPr>
        <w:t xml:space="preserve">. Tačiau, kaip matyti iš ankstesnių BTM ataskaitų, sulaukta ir reakcijos į šią tendenciją: teisėjai ir teisminės institucijos buvo užsipuolamos politikos arenoje ir žiniasklaidoje. Išpuoliai prieš Nacionalinį kovos su korupcija direktoratą buvo itin intensyvūs 2016 m.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Pažanga įgyvendinant struktūrines reformas kai kuriose su veiksmingumu, ištekliais ir darbo krūviu susijusiose srityse buvo per maža, kad būtų didelių pokyčių, tačiau pastaraisiais metais Teisingumo ministerija Komisijai teikė kokybišką informaciją ir tai rodo informacijos apie teismų sistemos veikimą, kurią šiuo metu turi Ministerija ir VTT, pokytį. Per pastaruosius trejus metus Teisingumo ministerija, VTT ir teisminės institucijos pademonstravo norą ir gebėjimą veikti kartu ir rasti sprendimų, kad reforma būtų vykdoma toliau. Tam padėjo ir tai, kad dvi paskutinės vyriausybės teisminėms institucijoms skyrė daugiau išteklių. Tačiau mažai pasistūmėta sprendžiant tokias problemas, kaip užtikrinti darbo krūvio pusiausvyrą teismuose ir tarp jų, kaip panaikinti didelių ir mažų teismų darbo krūvio skirtumus ir paskirstyti užduotis teisėjams bei teismo tarnautojams. 2016 m. nebuvo priimta teisės aktų šioms problemoms spręsti, o vien valdymo veiksmų nepakako, kad būtų rastas sprendimas. Didžiausias pasiekimas yra tai, kad dabar yra įdiegtos visos priemonės, reikalingos teismų veiklai ir žmogiškųjų išteklių padėčiai stebėti, ir kad yra parengta išsami 2015–2020 m. teismų vystymo strategija.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Taip pat laikoma, kad didelę įtaką įtvirtinant teismų profesionalumą ir nepriklausomumą turėjo griežtos priėmimo į teisėjo pareigas procedūros ir privalomi mokymai Nacionaliniame teisėjų institute. Kalbant apie aukšto rango teisėjų ir prokurorų paskyrimą, praėjusioje BTM ataskaitoje nurodyta, kad 2016 m. bus paskirtų pareigūnų išbandymo metai. Visų pirma tai susiję su paskirtais prokuratūros vadovais ir jų pavaduotojais. Vertinant rezultatus, problemų dėl tarnybinės etikos ir profesionalumo nekilo nė dėl vieno iš paskirtų kandidatų, be to, jų kandidatūros nesusilaukė teismų ar pilietinės visuomenės nepritarimo, o kai kurie kandidatai jau buvo įgiję ypač daug patirties. Tačiau taikytas procesas neleido visiems kandidatams užtikrinti aiškios, atviros ir skaidrios atrankos procedūros ir įsitvirtinti stabiliai nuolatinei sistemai</w:t>
      </w:r>
      <w:r>
        <w:rPr>
          <w:rStyle w:val="FootnoteReference"/>
          <w:rFonts w:ascii="Times New Roman" w:hAnsi="Times New Roman"/>
          <w:noProof/>
          <w:sz w:val="24"/>
        </w:rPr>
        <w:footnoteReference w:id="6"/>
      </w:r>
      <w:r>
        <w:rPr>
          <w:rFonts w:ascii="Times New Roman" w:hAnsi="Times New Roman"/>
          <w:noProof/>
          <w:sz w:val="24"/>
        </w:rPr>
        <w:t>.</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VTT taip pat atsako už sankcijų už teisėjų padarytus profesinius nusižengimus ir drausmės pažeidimus skyrimą. Tokius atvejus nagrinėja Teismų inspekcija. Po svarbios Teismų inspekcijos reformos 2012 m. Teismų inspekcija įsitvirtino kaip nepriklausoma ir profesionali institucija. Taip Inspekcija tapo veiksmingesnė ir autoritetingesnė ir tai patvirtina jos pasiekimai 2016 m. VTT priimtus sprendimus drausminėse bylose galima apskųsti Aukščiausiajam kasaciniam ir teisingumo teismui ir 2016 m. BTM ataskaitoje pažymėta, kad sprendimų grandinė tapo nuspėjamesnė ir nuoseklesnė.</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Siekdama modernizuoti materialinę teisę ir padidinti teismo proceso veiksmingumą ir nuoseklumą, Rumunija priėmė ir įgyvendino naujus Civilinį ir Baudžiamąjį kodeksus. Naujasis Civilinis kodeksas įsigaliojo 2011 m., Civilinio proceso kodeksas – 2013 m., o naujasis Baudžiamasis kodeksas – 2014 m. Perėjimas prie naujųjų civilinių kodeksų buvo laipsniškas ir dabar jie taikomi beveik visose bylose. Kalbant apie baudžiamuosius kodeksus, visos nuostatos buvo taikomos nuo pirmos įsigaliojimo dienos, todėl 2014, 2015 ir 2016 metais buvo siekiama užtikrinti nuoseklų jų taikymą visuose teismuose bei prokuratūrose ir stabilizuoti jų teisines nuostatas. Prisitaikydama prie šios svarbios reformos teismų sistema pademonstravo savo profesionalumą. Yra įrodymų, kad tai leido kažkiek paspartinti teismo procesą, labiau gerbti teises į teisingą bylos nagrinėjimą ir užtikrinti didesnį teismo sprendimų nuoseklumą. Šios esminės reformos beveik užbaigtos. Tačiau užbaigti šias svarbias su kodeksais susijusias reformas, kaip rekomenduota 2016 m. BTM ataskaitoje, buvo sudėtinga ir vis dar yra trūkumų. Civilinio kodekso nuostatos, pagal kurias reikalaujama naujos infrastruktūros, buvo ne kartą atidedamos, o tai rodo planavimo trūkumus. Neišvengiamą baudžiamųjų kodeksų nuostatų tobulinimo procesą, Konstituciniam Teismui priimant sprendimus, dar labiau komplikavo nenuspėjamas požiūris į teisėkūrą Parlamente. Svarbūs Vyriausybės pateikti baudžiamųjų kodeksų pakeitimai, kuriais siekiama nuostatas suderinti su Konstitucinio Teismo sprendimais, 2016 m. gruodžio mėn. teisės aktų leidėjų dar nebuvo priimti; nors šie pakeitimai ir buvo nagrinėjami Parlamente, kur jie sukėlė daug ginčų, motyvuojant tuo, kad dėl jų susilpnėtų teisinė kovos su korupcija sistema, net ir šie pakeitimai nebuvo priimti. 2017 m. sausio 18 d. Vyriausybė konsultacijoms pateikė dviejų nepaprastųjų potvarkių projektus: vieną dėl amnestijos, o kitą – dėl Baudžiamojo kodekso ir Baudžiamojo proceso kodekso pakeitimų</w:t>
      </w:r>
      <w:r>
        <w:rPr>
          <w:rStyle w:val="FootnoteReference"/>
          <w:rFonts w:ascii="Times New Roman" w:hAnsi="Times New Roman"/>
          <w:noProof/>
          <w:sz w:val="24"/>
        </w:rPr>
        <w:footnoteReference w:id="7"/>
      </w:r>
      <w:r>
        <w:rPr>
          <w:rFonts w:ascii="Times New Roman" w:hAnsi="Times New Roman"/>
          <w:noProof/>
          <w:sz w:val="24"/>
        </w:rPr>
        <w:t xml:space="preserve">.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Konstitucinis Teismas atliko svarbų vaidmenį toliau kuriant teisinę valstybę ir stiprinant nepriklausomą teisingumo sistemą. Nuo 2012 m. šalį sukrėtusios konstitucinės krizės daugelis Konstitucinio Teismo sprendimų padėjo išlaikyti teisingumo sistemos nepriklausomumą ir jais buvo siekiama pateikti sprendimų, susijusių su galių pusiausvyra ir pagrindinių teisių paisymu, t. y. su problemomis, kurių vien teisingumo sistema išspręsti negalėjo. 2016 m. dauguma iš 12 Konstitucinio Teismo sprendimų, kuriais buvo panaikintos naujojo Baudžiamojo kodekso ir Baudžiamojo proceso kodekso nuostatos, priimti siekiant, kad būtų paisoma Europos žmogaus teisių konvencijos.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Rumunijai stojant į Europos Sąjungą, vienas iš nustatytų nuolatinių trūkumų buvo teismo sprendimų nenuoseklumas. Visomis svarbiomis teisėkūros reformomis buvo siekiama stiprinti nuoseklumo užtikrinimo mechanizmus. BTM ataskaitose pažymėta, kad, įsigaliojus naujiesiems kodeksams, vis dažniau naudojamasi Aukščiausiojo kasacinio ir teisingumo teismo įdiegtais teisinio nuoseklumo užtikrinimo mechanizmais ir padidėjo jų veiksmingumas. Pastaraisiais metais teisinius mechanizmus papildė vadovų pastangos didinti nuoseklumą ir internete skelbti visus teismo sprendimus. 2016 m. BTM ataskaitoje taip pat pažymėta, jog esama teisinės kultūros pokyčių ženklų – teisminės institucijos pačios siekia nuoseklumo.</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Teismo sprendimų paisymas ir vykdymas yra susiję tiek su nepriklausomumu, tiek su nuoseklumu. Nevykdomas teismo sprendimas netenka viso savo naudingo poveikio, taip pat turi tiesioginį poveikį teismų darbo krūviui, kai vėliau tenka nagrinėti susijusias bylas arba apeliacijas dėl pasikartojančių sprendimų</w:t>
      </w:r>
      <w:r>
        <w:rPr>
          <w:rStyle w:val="FootnoteReference"/>
          <w:rFonts w:ascii="Times New Roman" w:hAnsi="Times New Roman"/>
          <w:noProof/>
          <w:sz w:val="24"/>
        </w:rPr>
        <w:footnoteReference w:id="8"/>
      </w:r>
      <w:r>
        <w:rPr>
          <w:rFonts w:ascii="Times New Roman" w:hAnsi="Times New Roman"/>
          <w:noProof/>
          <w:sz w:val="24"/>
        </w:rPr>
        <w:t>. Problemos, susijusios su tuo, kad valstybės institucijos ir viešojo administravimo institucijos nepaiso ir nevykdo teismo sprendimų – pasikartojanti tema: šiuo klausimu Komisija priėmė kelias iš eilės rekomendacijas (2014, 2015 ir 2016 m.), o EŽTT pripažino tai struktūriniu trūkumu</w:t>
      </w:r>
      <w:r>
        <w:rPr>
          <w:rStyle w:val="FootnoteReference"/>
          <w:rFonts w:ascii="Times New Roman" w:hAnsi="Times New Roman"/>
          <w:noProof/>
          <w:sz w:val="24"/>
        </w:rPr>
        <w:footnoteReference w:id="9"/>
      </w:r>
      <w:r>
        <w:rPr>
          <w:rFonts w:ascii="Times New Roman" w:hAnsi="Times New Roman"/>
          <w:noProof/>
          <w:sz w:val="24"/>
        </w:rPr>
        <w:t>. 2016 m. svarbus įvykis teismo sprendimų, susijusių su nusikalstamu būdu įgyto turto konfiskavimu, vykdymo srityje buvo susitarimas įsteigti naują Nacionalinę areštuoto turto valdymo agentūrą, kuri jau pradeda savo veiklą: jos kompetencijai priklausys ir procedūrų, kuriomis valstybės įstaigos bus skatinamos vykdyti turto susigrąžinimą ir spręsti dėl to patirtų viešųjų finansų nuostolių problemą, taikymas.</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Apskritai, nors būta sunkumų, Rumunija padarė didelę pažangą spręsdama daugelį su pirmuoju orientaciniu tikslu susijusių uždavinių, tačiau reikia dėti daugiau pastangų, kad būtų pademonstruoti pasiekimai tokiose srityse, kaip teismų nepriklausomumo paisymas Rumunijos viešajame gyvenime, taip pat reikia užbaigti Baudžiamojo ir Civilinio kodeksų reformas ir užtikrinti, kad visi veiksmingai vykdytų teismo sprendimus. </w:t>
      </w:r>
    </w:p>
    <w:p w:rsidR="00810B37" w:rsidRDefault="00810B37">
      <w:pPr>
        <w:keepNext/>
        <w:spacing w:before="120" w:after="120" w:line="240" w:lineRule="auto"/>
        <w:jc w:val="both"/>
        <w:rPr>
          <w:rFonts w:ascii="Times New Roman" w:hAnsi="Times New Roman"/>
          <w:b/>
          <w:noProof/>
          <w:sz w:val="24"/>
          <w:szCs w:val="24"/>
        </w:rPr>
      </w:pPr>
      <w:r>
        <w:rPr>
          <w:rFonts w:ascii="Times New Roman" w:hAnsi="Times New Roman"/>
          <w:b/>
          <w:noProof/>
          <w:sz w:val="24"/>
        </w:rPr>
        <w:t xml:space="preserve">2.2 </w:t>
      </w:r>
      <w:r>
        <w:rPr>
          <w:rFonts w:ascii="Times New Roman" w:hAnsi="Times New Roman"/>
          <w:b/>
          <w:noProof/>
          <w:sz w:val="24"/>
        </w:rPr>
        <w:tab/>
        <w:t>Tarnybinės etikos sistema ir Nacionalinė tarnybinės etikos agentūra</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 xml:space="preserve">Antrasis orientacinis tikslas – įsteigti </w:t>
      </w:r>
      <w:r>
        <w:rPr>
          <w:rFonts w:ascii="Times New Roman" w:hAnsi="Times New Roman"/>
          <w:i/>
          <w:noProof/>
          <w:sz w:val="24"/>
        </w:rPr>
        <w:t>Tarnybinės etikos agentūrą</w:t>
      </w:r>
      <w:r>
        <w:rPr>
          <w:rFonts w:ascii="Times New Roman" w:hAnsi="Times New Roman"/>
          <w:noProof/>
          <w:sz w:val="24"/>
        </w:rPr>
        <w:t xml:space="preserve">, atsakingą už turto, interesų nesuderinamumo ir galimų interesų konfliktų tikrinimą, taip pat už privalomųjų sprendimų, kuriais remiantis būtų imamasi atgrasančių sankcijų, priėmimą. Šio orientacinio tikslo įgyvendinimas rodo, kodėl būtina kreipti dėmesį į negrįžtamumo aspektą. Nors Nacionalinė tarnybinės etikos agentūra buvo įsteigta 2007 m., pirmaisiais metais kilo nemažai klausimų dėl jos teisėtumo. 2010 m., po Konstitucinio teismo sprendimo, Įstatymas, kuriuo įsteigiama Agentūra, buvo panaikintas ir jei nebūtų buvę išorinio spaudimo, neaišku, ar būtų buvusi sukurta nauja teisinė sistema, kaip kad nutiko po šešių mėnesių. </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Dabar Rumunijoje veikia visapusiška valstybės pareigūnams skirta tarnybinės etikos sistema, o Nacionalinė tarnybinės etikos agentūra įsitvirtino kaip šias taisykles įgyvendinanti nepriklausoma institucija. Pareiškus prieštaravimų dėl Agentūros priimtų sprendimų ir skirtų sankcijų, teismai nuosekliai pritardavo jos sprendimams bei sankcijoms. 2016 m. dar kartą pasitvirtino, kad Agentūros rezultatai, pasiekti nagrinėjant nepagrįsto praturtėjimo, interesų nesuderinamumo ir administracinių interesų konfliktų atvejus, palaipsniui gerėjo – nuo 2013 m. nuosekliai pasiekiama reikšmingų rezultatų. Svarbu pažymėti, kad Nacionalinė tarnybinės etikos agentūra (ANI) toliau rodė gerus rezultatus nepaisant valdymo sunkumų, kurią lėmė Agentūros pirmininko atsistatydinimas</w:t>
      </w:r>
      <w:r>
        <w:rPr>
          <w:rFonts w:ascii="Times New Roman" w:hAnsi="Times New Roman"/>
          <w:noProof/>
          <w:sz w:val="24"/>
          <w:vertAlign w:val="superscript"/>
        </w:rPr>
        <w:footnoteReference w:id="10"/>
      </w:r>
      <w:r>
        <w:rPr>
          <w:rFonts w:ascii="Times New Roman" w:hAnsi="Times New Roman"/>
          <w:noProof/>
          <w:sz w:val="24"/>
        </w:rPr>
        <w:t xml:space="preserve">. ANI turės dar vieną priemonę – viešųjų pirkimų </w:t>
      </w:r>
      <w:r>
        <w:rPr>
          <w:rFonts w:ascii="Times New Roman" w:hAnsi="Times New Roman"/>
          <w:i/>
          <w:noProof/>
          <w:sz w:val="24"/>
        </w:rPr>
        <w:t>ex ante</w:t>
      </w:r>
      <w:r>
        <w:rPr>
          <w:rFonts w:ascii="Times New Roman" w:hAnsi="Times New Roman"/>
          <w:noProof/>
          <w:sz w:val="24"/>
        </w:rPr>
        <w:t xml:space="preserve"> patikrų sistemą PREVENT, kurią reglamentuojantys teisės aktai patvirtinti Parlamente 2016 m. rudenį ir į kurią turėtų būti įtraukti visi interesų konfliktai, kaip nustatyta naujuosiuose viešųjų pirkimų įstatymuose.</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 xml:space="preserve">Laikydamasi paskutinėje BTM ataskaitoje pateiktos rekomendacijos ir siekdama, kad sprendimais dėl tarnybinės etikos būtų vadovaujamasi tikrinant kandidatų tinkamumą, 2016 m. ANI glaudžiai bendradarbiavo su Nuolatine rinkimų komisija. Tai pasitvirtino kaip veiksminga priemonė: nepaisant sprendimų dėl pažeistos tarnybinės etikos per vietos rinkimus išrinkti kandidatai vėliau buvo nušalinti nuo pareigų arba atstatydinti, o partijos bei rinkimų komisijos naudojosi ANI informacija, siekdamos, kad rinkimuose į Parlamentą būtų išvengta reikalavimų neatitinkančių kandidatų: atrodo, kad šioje srityje liko tik viena neišspręsta byla. </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 xml:space="preserve">Tačiau tarnybinės etikos teisinės sistemos, kurią sudaro įstatymų, kuriuose apibrėžiamos valstybės tarnautojų ir išrinktų arba paskirtų pareigūnų interesų konfliktų ir interesų nesuderinamumo situacijos, rinkinys, klausimas reguliariai iš naujo nagrinėjamas Parlamente. Kol kas nebuvo įmanoma įdiegti aiškios ir konsoliduotos teisinės sistemos, kuri taptų tvarumo pamatu, nors 2015 ir 2016 m. Aukščiausiasis kasacinis ir teisingumo teismas iš tiesų labiau stengėsi skatinti nuoseklų tarnybinės etikos įstatymų taikymą. Kita pasikartojanti problema – priešinimasis įgyvendinti Agentūros ataskaitas, net kai jos būdavo patvirtintos teismo sprendimu, ir atsakingų institucijų bei valdžios įstaigų nenoras taikyti reikiamas sankcijas (paprastai sankcijos reiškia atleidimą iš viešųjų pareigų arba administracines baudas). Per pastaruosius dvejus metus bendra situacija iš esmės pagerėjo, tačiau vis tiek atrodė, kad kai kuriuose Parlamento sprendimuose abejojama galutiniais teismo sprendimais, kuriais patvirtinamos Agentūros ataskaitos, arba vėluojama juos vykdyti. </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2013 m. liepos mėn. rekomendacijose Komisija išreiškė lūkestį, kad Ministrai turėtų rodyti pavyzdį, kaip laikytis tarnybinės etikos taisyklių, ir kad to paties reikėtų tikėtis kalbant apie kaltinimus korupcija. Tai tebėra labai svarbu norint, kad visuomenė pasitikėtų Vyriausybe ir Parlamentu</w:t>
      </w:r>
      <w:r>
        <w:rPr>
          <w:rStyle w:val="FootnoteReference"/>
          <w:rFonts w:ascii="Times New Roman" w:hAnsi="Times New Roman"/>
          <w:noProof/>
          <w:sz w:val="24"/>
        </w:rPr>
        <w:footnoteReference w:id="11"/>
      </w:r>
      <w:r>
        <w:rPr>
          <w:rFonts w:ascii="Times New Roman" w:hAnsi="Times New Roman"/>
          <w:noProof/>
          <w:sz w:val="24"/>
        </w:rPr>
        <w:t>.</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 xml:space="preserve">Apskritai, Rumunija padarė didelę pažangą siekdama antrojo orientacinio tikslo, o Nacionalinė tarnybinės etikos agentūra tapo gerbiama institucija. Tai rodo ir faktas, kad 2016 m. jai buvo patikėta sukurti sistemą PREVENT – viešųjų pirkimų procedūrų </w:t>
      </w:r>
      <w:r>
        <w:rPr>
          <w:rFonts w:ascii="Times New Roman" w:hAnsi="Times New Roman"/>
          <w:i/>
          <w:noProof/>
          <w:sz w:val="24"/>
        </w:rPr>
        <w:t>ex ante</w:t>
      </w:r>
      <w:r>
        <w:rPr>
          <w:rFonts w:ascii="Times New Roman" w:hAnsi="Times New Roman"/>
          <w:noProof/>
          <w:sz w:val="24"/>
        </w:rPr>
        <w:t xml:space="preserve"> patikrų sistemą. 2017 m. reikės įrodyti, kad ji veikia tinkamai. Nacionalinėje 2016–2020 m. kovos su korupcija strategijoje jai numatytas svarbus vaidmuo vykdant korupcijos prevenciją.</w:t>
      </w:r>
    </w:p>
    <w:p w:rsidR="00810B37" w:rsidRDefault="00810B37">
      <w:pPr>
        <w:keepNext/>
        <w:spacing w:after="120" w:line="240" w:lineRule="auto"/>
        <w:jc w:val="both"/>
        <w:rPr>
          <w:rFonts w:ascii="Times New Roman" w:hAnsi="Times New Roman"/>
          <w:b/>
          <w:noProof/>
          <w:sz w:val="24"/>
          <w:szCs w:val="24"/>
        </w:rPr>
      </w:pPr>
      <w:r>
        <w:rPr>
          <w:rFonts w:ascii="Times New Roman" w:hAnsi="Times New Roman"/>
          <w:b/>
          <w:noProof/>
          <w:sz w:val="24"/>
        </w:rPr>
        <w:t xml:space="preserve">2.3 </w:t>
      </w:r>
      <w:r>
        <w:rPr>
          <w:rFonts w:ascii="Times New Roman" w:hAnsi="Times New Roman"/>
          <w:b/>
          <w:noProof/>
          <w:sz w:val="24"/>
        </w:rPr>
        <w:tab/>
        <w:t>Kova su aukšto lygio korupcija</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Trečiasis orientacinis tikslas susijęs su profesionaliai atliekamais nešališkais</w:t>
      </w:r>
      <w:r>
        <w:rPr>
          <w:noProof/>
        </w:rPr>
        <w:t xml:space="preserve"> </w:t>
      </w:r>
      <w:r>
        <w:rPr>
          <w:rFonts w:ascii="Times New Roman" w:hAnsi="Times New Roman"/>
          <w:i/>
          <w:noProof/>
          <w:sz w:val="24"/>
        </w:rPr>
        <w:t xml:space="preserve">aukšto lygio korupcijos </w:t>
      </w:r>
      <w:r>
        <w:rPr>
          <w:rFonts w:ascii="Times New Roman" w:hAnsi="Times New Roman"/>
          <w:noProof/>
          <w:sz w:val="24"/>
        </w:rPr>
        <w:t>tyrimais. Korupcija – įsisenėjusi visuomenės problema, kelianti pavojų tiek valdymui, tiek ekonomikai. Plačiai pripažįstama, jog tai viena svarbiausių problemų Rumunijoje, ir tai rodo tiek nuomonių tyrimai</w:t>
      </w:r>
      <w:r>
        <w:rPr>
          <w:rFonts w:ascii="Times New Roman" w:hAnsi="Times New Roman"/>
          <w:noProof/>
          <w:sz w:val="24"/>
          <w:vertAlign w:val="superscript"/>
        </w:rPr>
        <w:footnoteReference w:id="12"/>
      </w:r>
      <w:r>
        <w:rPr>
          <w:rFonts w:ascii="Times New Roman" w:hAnsi="Times New Roman"/>
          <w:noProof/>
          <w:sz w:val="24"/>
        </w:rPr>
        <w:t>, tiek naujausia „Eurobarometro“ apklausa apie BTM.</w:t>
      </w:r>
      <w:r>
        <w:rPr>
          <w:rFonts w:ascii="Times New Roman" w:hAnsi="Times New Roman"/>
          <w:noProof/>
          <w:sz w:val="24"/>
          <w:vertAlign w:val="superscript"/>
        </w:rPr>
        <w:footnoteReference w:id="13"/>
      </w:r>
      <w:r>
        <w:rPr>
          <w:rFonts w:ascii="Times New Roman" w:hAnsi="Times New Roman"/>
          <w:noProof/>
          <w:sz w:val="24"/>
        </w:rPr>
        <w:t xml:space="preserve"> BTM ataskaitose pranešta apie tai, kad bėgant metams nuosekliai daugėjo aukšto lygio korupcijos bylų, kurios tiriamos, dėl kurių patraukiama baudžiamojon atsakomybėn ir priimamas teismo sprendimas, skaičius; ypač jų padaugėjo po 2011 m. Nuo 2013 m. institucijų, dalyvaujančių tiriant, patraukiant baudžiamojon atsakomybėn ir priimant sprendimus dėl aukšto lygio korupcijos, rezultatai buvo geri – visų rangų politikams iš visų partijų, valstybės tarnautojams, teisėjams ir verslininkams dažnai pareiškiami kaltinimai ir susijusios bylos išnagrinėjamos. Nacionalinis kovos su korupcija direktoratas nagrinėja labai daug bylų ir kasmet nustato šimtus aukšto ir vidutinio lygio korupcijos atvejų, kurie bus nagrinėjami teisme. Aukščiausiasis kasacinis ir teisingumo teismas ir Apeliacinis teismas priima galutinius nuosprendžius aukšto ir vidutinio lygio korupcijos bylose, kurių vis dar daug. Taip pat buvo matyti stipri tendencija konfiskuotą turtą naudoti nuostoliams, patirtiems dėl korupcijos nusikaltimų, padengti. Nuoseklūs 2016 m. rezultatai – teisminių institucijų nepriklausomumo ir profesionalumo ženklas, tačiau panašių nusikaltimų pasikartojimas taip pat leidžia teigti, kad korupcijos prevencija nebuvo veiksminga.</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2014 m. įsigaliojus naujiesiems baudžiamiesiems kodeksams, dabar Rumunijoje veikia visapusiška teisinė kovos su korupcijos nusikaltimais sistema. Nuo pat pradžių susirūpinimą kėlė teisinės sistemos stabilumas, nes, kaip jau minėta, reguliariai, dažnai nepasikonsultavus su svarbiausiomis šioje srityje veikiančiomis valstybės įstaigomis ir teisminėmis institucijomis, būdavo bandoma keisti įstatymus, pagal kuriuos baudžiama už korupciją</w:t>
      </w:r>
      <w:r>
        <w:rPr>
          <w:rStyle w:val="FootnoteReference"/>
          <w:rFonts w:ascii="Times New Roman" w:hAnsi="Times New Roman"/>
          <w:noProof/>
          <w:sz w:val="24"/>
        </w:rPr>
        <w:footnoteReference w:id="14"/>
      </w:r>
      <w:r>
        <w:rPr>
          <w:rFonts w:ascii="Times New Roman" w:hAnsi="Times New Roman"/>
          <w:noProof/>
          <w:sz w:val="24"/>
        </w:rPr>
        <w:t xml:space="preserve">. </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BTM ataskaitose taip pat pažymėta, jog yra aiškus ryšys tarp šio darbo veiksmingumo ir žiniasklaidoje bei politikų tarpe plačiai paplitusio viešo atskirų teisėjų ir visos teisingumo sistemos kritikavimo. Jose taip pat atkreiptas dėmesys į tai, kad trūksta sisteminio požiūrio į tai, kaip turėtų būti grindžiamas atsisakymas panaikinti parlamentarų imunitetą, kad būtų galima vykdyti tyrimą arba taikyti prevencines priemones. Tačiau apskritai Rumunijos pasiekimai šioje srityje ne veltui plačiai pripažinti ir padaryta didelė pažanga siekiant trečiojo orientacinio tikslo.</w:t>
      </w:r>
    </w:p>
    <w:p w:rsidR="00810B37" w:rsidRDefault="00810B37">
      <w:pPr>
        <w:keepNext/>
        <w:spacing w:after="120" w:line="240" w:lineRule="auto"/>
        <w:jc w:val="both"/>
        <w:rPr>
          <w:rFonts w:ascii="Times New Roman" w:hAnsi="Times New Roman"/>
          <w:b/>
          <w:noProof/>
          <w:sz w:val="24"/>
          <w:szCs w:val="24"/>
        </w:rPr>
      </w:pPr>
      <w:r>
        <w:rPr>
          <w:rFonts w:ascii="Times New Roman" w:hAnsi="Times New Roman"/>
          <w:b/>
          <w:noProof/>
          <w:sz w:val="24"/>
        </w:rPr>
        <w:t xml:space="preserve">2.4 </w:t>
      </w:r>
      <w:r>
        <w:rPr>
          <w:rFonts w:ascii="Times New Roman" w:hAnsi="Times New Roman"/>
          <w:b/>
          <w:noProof/>
          <w:sz w:val="24"/>
        </w:rPr>
        <w:tab/>
        <w:t>Kova su visų lygmenų korupcija</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Ketvirtasis orientacinis tikslas susijęs su tolesnėmis priemonėmis, kuriomis siekiama užkirsti kelią korupcijai ir</w:t>
      </w:r>
      <w:r>
        <w:rPr>
          <w:noProof/>
        </w:rPr>
        <w:t xml:space="preserve"> </w:t>
      </w:r>
      <w:r>
        <w:rPr>
          <w:rFonts w:ascii="Times New Roman" w:hAnsi="Times New Roman"/>
          <w:i/>
          <w:noProof/>
          <w:sz w:val="24"/>
        </w:rPr>
        <w:t>kovoti su ja</w:t>
      </w:r>
      <w:r>
        <w:rPr>
          <w:rFonts w:ascii="Times New Roman" w:hAnsi="Times New Roman"/>
          <w:noProof/>
          <w:sz w:val="24"/>
        </w:rPr>
        <w:t>, ypač vietos valdžios institucijose. Plačiai pripažįstama, kad vidutinio lygio ir smulki korupcija yra problema Rumunijoje, daranti poveikį jos ekonominei ir socialinei plėtrai. Pavyzdžiui, viešieji pirkimai – sritis, kurioje korupcijos paplitimas trukdo pajusti skatinamąjį investicijų poveikį. Kita sritis, kurioje korupcija turi didelių padarinių, – sveikatos priežiūra. Korupcijos prevencija ir viešojo administravimo institucijų iniciatyvus požiūris į korupcijos galimybių mažinimą svariai papildo prokuratūros darbą, kuriuo siekiama patraukti baudžiamojon atsakomybėn už padarytus pažeidimus. Įsteigus naują Nacionalinę areštuoto turto valdymo agentūrą (ANABI) ir jai pradėjus veikti 2017 m. sausio mėn., turtas bus susigrąžinamas sparčiau. Patraukimas baudžiamojon atsakomybėn už smulkią korupciją tapo įprastesne prokuratūros veiklos dalimi ir išlieka vienas iš prioritetų. Tačiau reikia imtis papildomų veiksmų, kad būtų veiksmingai sprendžiama ši plačiai paplitusi problema.</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Nacionalinė kovos su korupcija strategija – pagrindinė priemonė, pagal kurią viešojo administravimo institucijos imasi nacionalinio ir vietos lygmens prevencinių veiksmų. Iki 2011 m. taikytos kovos su korupcija strategijos nebuvo veiksmingos. Įgyvendinant Nacionalinę 2012–2015 m. kovos su korupcija strategiją labiau pavyko užmegzti ryšį su daugeliu institucijų, įskaitant vietos lygmens: buvo taikoma joje numatyta diskusijų sektorinėse platformose metodika ir aktyviai įtraukiama kiekviena institucija bei vykdomi NVO tarpusavio vertinimai. Tačiau 2015 m. atliktas vertinimas parodė, kad pažanga buvo lėta, o prevencinių priemonių taikymas – neveiksmingas, nes nepakako politinės institucijų vadovų valios įgyvendinti korupcijos prevencijos priemones. Siekdama konkrečiomis priemonėmis šalinti nustatytus trūkumus, 2016 m. rugpjūčio mėn. Vyriausybė priėmė naują 2016–2020 m. kovos su korupcija strategiją. Svarbiausias uždavinys bus įgyvendinti priemones visuose sektoriuose, įskaitant vietos lygmeniu, kur, daugelio stebėtojų manymu, korupcijos rizika itin didelė.</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Neabejojama, kad kelios iš eilės vyriausybės pradėjo taikyti kovos su korupcija priemones, dėta daug pastangų siekiant parengti kovos su korupcija strategijas bei tam tikras naujoviškas prevencines priemones. Tačiau, nors siekiant ketvirtojo orientacinio tikslo padaryta tam tikra pažanga, išlieka svarbių problemų, trukdančių veiksmingai įgyvendinti neseniai apibrėžtą prevencinę politiką.</w:t>
      </w:r>
    </w:p>
    <w:p w:rsidR="00810B37" w:rsidRDefault="00810B37">
      <w:pPr>
        <w:keepNext/>
        <w:spacing w:before="360" w:after="240" w:line="240" w:lineRule="auto"/>
        <w:jc w:val="both"/>
        <w:rPr>
          <w:rFonts w:ascii="Times New Roman" w:hAnsi="Times New Roman"/>
          <w:b/>
          <w:noProof/>
          <w:sz w:val="24"/>
          <w:szCs w:val="24"/>
        </w:rPr>
      </w:pPr>
      <w:r>
        <w:rPr>
          <w:rFonts w:ascii="Times New Roman" w:hAnsi="Times New Roman"/>
          <w:b/>
          <w:noProof/>
          <w:sz w:val="24"/>
        </w:rPr>
        <w:t>3.</w:t>
      </w:r>
      <w:r>
        <w:rPr>
          <w:rFonts w:ascii="Times New Roman" w:hAnsi="Times New Roman"/>
          <w:b/>
          <w:noProof/>
          <w:sz w:val="24"/>
        </w:rPr>
        <w:tab/>
        <w:t>SVARBIAUSI LIKĘ VEIKSMAI</w:t>
      </w:r>
    </w:p>
    <w:p w:rsidR="00810B37" w:rsidRDefault="00810B37">
      <w:pPr>
        <w:spacing w:before="120" w:after="120" w:line="240" w:lineRule="auto"/>
        <w:jc w:val="both"/>
        <w:rPr>
          <w:rFonts w:ascii="Times New Roman" w:hAnsi="Times New Roman"/>
          <w:b/>
          <w:noProof/>
          <w:sz w:val="24"/>
          <w:szCs w:val="24"/>
        </w:rPr>
      </w:pPr>
      <w:r>
        <w:rPr>
          <w:rFonts w:ascii="Times New Roman" w:hAnsi="Times New Roman"/>
          <w:noProof/>
          <w:sz w:val="24"/>
        </w:rPr>
        <w:t xml:space="preserve">Apskritai, apžvelgus dešimties metų laikotarpį, matyti, kad Rumunija padarė didelę pažangą siekdama orientacinių BTM tikslų. Veikia svarbios institucijos, priimti reikšmingi teisės aktai ir daugelyje sričių pasiekta konkrečių rezultatų. Komisija taip pat mano, kad Rumunija įrodė, jog egzistuoja vidaus apsaugos priemonių, saugančių, kad pažanga staiga nebūtų sustabdyta. Tačiau tebėra likusių svarbių trūkumų, kuriuos reikia šalinti. Reformos turi toliau vykti ta pačia kryptimi, o vidaus apsaugos priemonės turi būti dar labiau sustiprintos, kad būtų užtikrintas negrįžtamumas, reikalingas norint tinkamai pasiekti orientacinius tikslus. Todėl šiame skirsnyje išvardijami likę veiksmai, kurių būtina imtis, kad būtų užtikrinta, jog BTM tikslai būtų pasiekti. </w:t>
      </w:r>
    </w:p>
    <w:p w:rsidR="00810B37" w:rsidRDefault="00810B37">
      <w:pPr>
        <w:keepNext/>
        <w:spacing w:before="120" w:after="120" w:line="240" w:lineRule="auto"/>
        <w:jc w:val="both"/>
        <w:rPr>
          <w:rFonts w:ascii="Times New Roman" w:hAnsi="Times New Roman"/>
          <w:b/>
          <w:noProof/>
          <w:sz w:val="24"/>
          <w:szCs w:val="24"/>
        </w:rPr>
      </w:pPr>
      <w:r>
        <w:rPr>
          <w:rFonts w:ascii="Times New Roman" w:hAnsi="Times New Roman"/>
          <w:b/>
          <w:noProof/>
          <w:sz w:val="24"/>
        </w:rPr>
        <w:t xml:space="preserve">3.1. </w:t>
      </w:r>
      <w:r>
        <w:rPr>
          <w:rFonts w:ascii="Times New Roman" w:hAnsi="Times New Roman"/>
          <w:b/>
          <w:noProof/>
          <w:sz w:val="24"/>
        </w:rPr>
        <w:tab/>
        <w:t>Teismų nepriklausomumas</w:t>
      </w:r>
    </w:p>
    <w:p w:rsidR="00810B37" w:rsidRDefault="00810B37">
      <w:pPr>
        <w:keepNext/>
        <w:spacing w:before="120" w:after="120" w:line="240" w:lineRule="auto"/>
        <w:ind w:left="66"/>
        <w:jc w:val="both"/>
        <w:rPr>
          <w:rFonts w:ascii="Times New Roman" w:hAnsi="Times New Roman"/>
          <w:i/>
          <w:noProof/>
          <w:sz w:val="24"/>
          <w:szCs w:val="24"/>
        </w:rPr>
      </w:pPr>
      <w:r>
        <w:rPr>
          <w:rFonts w:ascii="Times New Roman" w:hAnsi="Times New Roman"/>
          <w:i/>
          <w:noProof/>
          <w:sz w:val="24"/>
        </w:rPr>
        <w:t>Paskyrimas</w:t>
      </w:r>
    </w:p>
    <w:p w:rsidR="00810B37" w:rsidRDefault="00810B37">
      <w:pPr>
        <w:pStyle w:val="ListParagraph"/>
        <w:spacing w:before="120" w:after="120" w:line="240" w:lineRule="auto"/>
        <w:ind w:left="66"/>
        <w:jc w:val="both"/>
        <w:rPr>
          <w:rFonts w:ascii="Times New Roman" w:hAnsi="Times New Roman"/>
          <w:noProof/>
          <w:sz w:val="24"/>
          <w:szCs w:val="24"/>
        </w:rPr>
      </w:pPr>
      <w:r>
        <w:rPr>
          <w:rFonts w:ascii="Times New Roman" w:hAnsi="Times New Roman"/>
          <w:noProof/>
          <w:sz w:val="24"/>
        </w:rPr>
        <w:t xml:space="preserve">Keliose iš eilės BTM ataskaitose pabrėžta, kad nors ir buvo matyti tendencija siekti skaidresnių ir nuopelnais pagrįstų paskyrimų, Įstatymas dėl vyriausiųjų prokurorų skyrimo ir jo įgyvendinimo praktika nėra pakankamai patikimi, kad skiriant būtų išvengta pernelyg didelės politinių veiksmų laisvės. Remiantis ankstesne patirtimi, dėl to gali kilti abejonių dėl kandidato nepriklausomumo, dėl politinės aklavietės paskyrimai gali vėluoti arba net gali būti paskirti tokie teisėjai, kurie, kaip vėliau paaiškės, turi tarnybinės etikos problemų. Europoje yra skirtingų su generalinio prokuroro (ar panašių aukšto rango pareigūnų prokuratūroje) paskyrimu susijusių teisinių tradicijų. Venecijos komisija tai pripažįsta. Tačiau svarbiausia užtikrinti tinkamas apsaugos priemones, susijusias su skaidrumu ir stabdžių bei atsvarų sistema, net ir tais atvejais, kai galutinis sprendimas būtų priimamas politiniu lygmeniu. </w:t>
      </w:r>
    </w:p>
    <w:p w:rsidR="00810B37" w:rsidRDefault="00810B37">
      <w:pPr>
        <w:numPr>
          <w:ilvl w:val="0"/>
          <w:numId w:val="7"/>
        </w:numPr>
        <w:spacing w:before="120" w:after="120" w:line="240" w:lineRule="auto"/>
        <w:ind w:left="426" w:hanging="357"/>
        <w:jc w:val="both"/>
        <w:rPr>
          <w:rFonts w:ascii="Times New Roman" w:hAnsi="Times New Roman"/>
          <w:noProof/>
          <w:sz w:val="24"/>
          <w:szCs w:val="24"/>
        </w:rPr>
      </w:pPr>
      <w:r>
        <w:rPr>
          <w:rFonts w:ascii="Times New Roman" w:hAnsi="Times New Roman"/>
          <w:b/>
          <w:noProof/>
          <w:sz w:val="24"/>
        </w:rPr>
        <w:t>Rekomendacija.</w:t>
      </w:r>
      <w:r>
        <w:rPr>
          <w:rFonts w:ascii="Times New Roman" w:hAnsi="Times New Roman"/>
          <w:noProof/>
          <w:sz w:val="24"/>
        </w:rPr>
        <w:t xml:space="preserve"> Padedant Venecijos komisijai, įdiegti patikimą ir nepriklausomą vyriausiųjų prokurorų skyrimo sistemą, pagrįstą aiškiais ir skaidriais kriterijais. </w:t>
      </w:r>
    </w:p>
    <w:p w:rsidR="00810B37" w:rsidRDefault="00810B37">
      <w:pPr>
        <w:keepNext/>
        <w:spacing w:before="120" w:after="120" w:line="240" w:lineRule="auto"/>
        <w:jc w:val="both"/>
        <w:rPr>
          <w:rFonts w:ascii="Times New Roman" w:hAnsi="Times New Roman"/>
          <w:noProof/>
          <w:sz w:val="24"/>
          <w:szCs w:val="24"/>
        </w:rPr>
      </w:pPr>
      <w:r>
        <w:rPr>
          <w:rFonts w:ascii="Times New Roman" w:hAnsi="Times New Roman"/>
          <w:i/>
          <w:noProof/>
          <w:sz w:val="24"/>
        </w:rPr>
        <w:t>Pagarba teisėjams ir teismo procesui</w:t>
      </w:r>
    </w:p>
    <w:p w:rsidR="00810B37" w:rsidRDefault="00810B37">
      <w:pPr>
        <w:spacing w:before="120" w:after="120" w:line="240" w:lineRule="auto"/>
        <w:ind w:left="68"/>
        <w:jc w:val="both"/>
        <w:rPr>
          <w:rFonts w:ascii="Times New Roman" w:hAnsi="Times New Roman"/>
          <w:noProof/>
          <w:sz w:val="24"/>
          <w:szCs w:val="24"/>
        </w:rPr>
      </w:pPr>
      <w:r>
        <w:rPr>
          <w:rFonts w:ascii="Times New Roman" w:hAnsi="Times New Roman"/>
          <w:noProof/>
          <w:sz w:val="24"/>
        </w:rPr>
        <w:t>Nemažas baudžiamojon atsakomybėn patrauktų ir nuteistų žymių Rumunijos politikų skaičius yra teismų nepriklausomumo ženklas, rodantis, kad net aukštas pareigas einantys nusikaltimą padarę asmenys nėra viršesni už įstatymą. Tačiau atrodo, kad būtent dėl to dažnai tiesiogiai užsipuolami atskiri teisėjai ir tai daugiau nei vien kritika ar nepritarimas nuosprendžiui arba sprendimui jį užginčyti turimomis teisinėmis priemonėmis. Dėl puolimo, kuriuo siekiama diskredituoti atskirus teisėjus arba teismines institucijas, kyla rizika, kad sumažės visuomenės pasitikėjimas visa teismų sistema, o taip pat gali būti įbauginti atskiri teisėjai. Parlamento ar Vyriausybės išsakoma pernelyg griežta ar asmeniška kritika teisėjams prieštarauja institucijų tarpusavio pagarbos principams ir kartu nepaisoma teismų nepriklausomumo.</w:t>
      </w:r>
    </w:p>
    <w:p w:rsidR="00810B37" w:rsidRDefault="00810B37">
      <w:pPr>
        <w:spacing w:before="120" w:after="120" w:line="240" w:lineRule="auto"/>
        <w:ind w:left="66"/>
        <w:jc w:val="both"/>
        <w:rPr>
          <w:rFonts w:ascii="Times New Roman" w:hAnsi="Times New Roman"/>
          <w:noProof/>
          <w:sz w:val="24"/>
          <w:szCs w:val="24"/>
        </w:rPr>
      </w:pPr>
      <w:r>
        <w:rPr>
          <w:rFonts w:ascii="Times New Roman" w:hAnsi="Times New Roman"/>
          <w:noProof/>
          <w:sz w:val="24"/>
        </w:rPr>
        <w:t xml:space="preserve">Konstitucijoje nustatyta, kad pagrindinė teisingumo sistemos nepriklausomumo gynėja yra Vyriausioji teismų taryba (VTT). Jos išvados labai padeda teisėjams, tačiau tai, kad labai sudėtinga užtikrinti lygiavertį VTT veiklos nušvietimo žiniasklaidoje lygį, palyginti su pradine kritika, rodo, su kokiais sunkumais susiduria teisminės institucijos, kai kalba eina apie žiniasklaidą. Nors VTT sprendimai visada perduodami Nacionalinei audiovizualinei tarybai, nepadaryta pažanga siekiant veiksmingo teisių gynimo arba informacijos ištaisymo žiniasklaidoje, kuri pradėjo ar perėmė puolimą: tai platesnio masto problemų, susijusių su žodžio laisve pagal Europos Tarybos standartus ir Europos Žmogaus Teisių Teismo praktiką, pasekmė. Nors platesnė žiniasklaidos reguliavimo ir teisių gynimo problema nepriklauso BTM taikymo sričiai, yra tiesioginis ryšys su teismų nepriklausomumu. Naujoji VTT ir Vyriausybė taip pat galėtų toliau įgyvendinti rekomendaciją ieškoti galimybių sukurti patikimesnį mechanizmą, kad remiantis VTT būtų galima paremti teisėjus, norinčius ginti save teisme, arba pati juos ginti teisme. </w:t>
      </w:r>
    </w:p>
    <w:p w:rsidR="00810B37" w:rsidRDefault="00810B37">
      <w:pPr>
        <w:pStyle w:val="ListParagraph"/>
        <w:numPr>
          <w:ilvl w:val="0"/>
          <w:numId w:val="6"/>
        </w:numPr>
        <w:spacing w:after="0" w:line="240" w:lineRule="auto"/>
        <w:ind w:left="431"/>
        <w:jc w:val="both"/>
        <w:rPr>
          <w:rFonts w:ascii="Times New Roman" w:hAnsi="Times New Roman"/>
          <w:noProof/>
          <w:sz w:val="24"/>
          <w:szCs w:val="24"/>
        </w:rPr>
      </w:pPr>
      <w:r>
        <w:rPr>
          <w:rFonts w:ascii="Times New Roman" w:hAnsi="Times New Roman"/>
          <w:b/>
          <w:noProof/>
          <w:sz w:val="24"/>
        </w:rPr>
        <w:t xml:space="preserve">Rekomendacija. </w:t>
      </w:r>
      <w:r>
        <w:rPr>
          <w:rFonts w:ascii="Times New Roman" w:hAnsi="Times New Roman"/>
          <w:noProof/>
          <w:sz w:val="24"/>
        </w:rPr>
        <w:t>Užtikrinti, kad į Parlamentarų elgesio kodeksą, kuris dabar rengiamas Parlamente, būtų įtrauktos aiškios nuostatos dėl institucijų tarpusavio pagarbos, ir būtų aiškiai nustatyta, kad parlamentarai ir Parlamento procedūros turėtų paisyti teismų nepriklausomumo principo. Galėtų būti priimtas panašus Ministrų elgesio kodeksas.</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VTT galėtų ir toliau teikti ataskaitas apie veiksmus, kurių imtasi ginant teisingumo sistemos nepriklausomumą ir teisėjų reputaciją, nepriklausomumą bei nešališkumą, ir galėtų surengti viešus debatus, kad Vyriausybė, Parlamentas ir Nacionalinė audiovizualinė taryba galėtų pateikti pastabų dėl ataskaitos.</w:t>
      </w:r>
    </w:p>
    <w:p w:rsidR="00810B37" w:rsidRDefault="00810B37">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3.2. </w:t>
      </w:r>
      <w:r>
        <w:rPr>
          <w:rFonts w:ascii="Times New Roman" w:hAnsi="Times New Roman"/>
          <w:b/>
          <w:noProof/>
          <w:sz w:val="24"/>
        </w:rPr>
        <w:tab/>
        <w:t>Teismų reforma</w:t>
      </w:r>
    </w:p>
    <w:p w:rsidR="00810B37" w:rsidRDefault="00810B37">
      <w:pPr>
        <w:keepNext/>
        <w:spacing w:before="120" w:after="120" w:line="240" w:lineRule="auto"/>
        <w:jc w:val="both"/>
        <w:rPr>
          <w:rFonts w:ascii="Times New Roman" w:hAnsi="Times New Roman"/>
          <w:i/>
          <w:noProof/>
          <w:sz w:val="24"/>
          <w:szCs w:val="24"/>
        </w:rPr>
      </w:pPr>
      <w:r>
        <w:rPr>
          <w:rFonts w:ascii="Times New Roman" w:hAnsi="Times New Roman"/>
          <w:i/>
          <w:noProof/>
          <w:sz w:val="24"/>
        </w:rPr>
        <w:t>Naujieji kodeksai</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Reikia užbaigti dabartinį Civilinio ir Baudžiamojo kodeksų reformų etapą. Baudžiamojo kodekso ir Baudžiamojo proceso kodekso atveju kitas etapas būtų Parlamento planų priimti 2016 m. Vyriausybės pateiktus pakeitimus įgyvendinimas siekiant užtikrinti teisinės sistemos stabilumą.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Kalbant apie Civilinio proceso kodeksą, 2016 m. gruodžio mėn. Vyriausybė nusprendė likusių naujojo Civilinio proceso kodekso nuostatų taikymą atidėti dvejiems metams, t. y. iki 2019 m. sausio 1 d. Teisingumo ministerija paskelbė planuojanti iki 2017 m. birželio 30 d. nustatyti tikslius sistemos poreikius, kad būtų galima visapusiškai taikyti likusias nuostatas, ir suteikti pakankamai laiko joms įgyvendinti iki 2018 m. pabaigos. </w:t>
      </w:r>
    </w:p>
    <w:p w:rsidR="00810B37" w:rsidRDefault="00810B37">
      <w:pPr>
        <w:numPr>
          <w:ilvl w:val="0"/>
          <w:numId w:val="6"/>
        </w:numPr>
        <w:spacing w:before="120" w:after="120" w:line="240" w:lineRule="auto"/>
        <w:ind w:left="429"/>
        <w:jc w:val="both"/>
        <w:rPr>
          <w:rFonts w:ascii="Times New Roman" w:hAnsi="Times New Roman"/>
          <w:noProof/>
          <w:sz w:val="24"/>
          <w:szCs w:val="24"/>
        </w:rPr>
      </w:pPr>
      <w:r>
        <w:rPr>
          <w:rFonts w:ascii="Times New Roman" w:hAnsi="Times New Roman"/>
          <w:b/>
          <w:noProof/>
          <w:sz w:val="24"/>
        </w:rPr>
        <w:t>Rekomendacija.</w:t>
      </w:r>
      <w:r>
        <w:rPr>
          <w:rFonts w:ascii="Times New Roman" w:hAnsi="Times New Roman"/>
          <w:noProof/>
          <w:sz w:val="24"/>
        </w:rPr>
        <w:t xml:space="preserve"> Reikėtų užbaigti dabartinį Rumunijos baudžiamųjų kodeksų reformos etapą, t. y. kad Parlamentas, pasikonsultavęs su teisminėmis institucijomis, įgyvendintų savo planus priimti 2016 m. Vyriausybės pateiktus pakeitimus. Teisingumo ministras, VTT ir Aukščiausiasis kasacinis ir teisingumo teismas turėtų užbaigti rengti veiksmų planą, kuriuo užtikrinama, kad likusias Civilinio proceso kodekso nuostatas būtų galima įgyvendinti iki naujojo termino.</w:t>
      </w:r>
    </w:p>
    <w:p w:rsidR="00810B37" w:rsidRDefault="00810B37">
      <w:pPr>
        <w:numPr>
          <w:ilvl w:val="0"/>
          <w:numId w:val="6"/>
        </w:numPr>
        <w:spacing w:before="120" w:after="120" w:line="240" w:lineRule="auto"/>
        <w:ind w:left="429"/>
        <w:jc w:val="both"/>
        <w:rPr>
          <w:rFonts w:ascii="Times New Roman" w:hAnsi="Times New Roman"/>
          <w:noProof/>
          <w:sz w:val="24"/>
          <w:szCs w:val="24"/>
        </w:rPr>
      </w:pPr>
      <w:r>
        <w:rPr>
          <w:rFonts w:ascii="Times New Roman" w:hAnsi="Times New Roman"/>
          <w:b/>
          <w:noProof/>
          <w:sz w:val="24"/>
        </w:rPr>
        <w:t>Rekomendacija.</w:t>
      </w:r>
      <w:r>
        <w:rPr>
          <w:rFonts w:ascii="Times New Roman" w:hAnsi="Times New Roman"/>
          <w:noProof/>
          <w:sz w:val="24"/>
        </w:rPr>
        <w:t xml:space="preserve"> Siekdami užtikrinti dar skaidresnį ir nuspėjamesnį teisėkūros procesą, Vyriausybė ir Parlamentas, priimdami sprendimus ir vykdydami teisėkūros veiklą, susijusią su Baudžiamuoju kodeksu ir Baudžiamojo proceso kodeksu, kovos su korupcija įstatymais, tarnybinės etikos įstatymais (dėl interesų nesuderinamumo, interesų konfliktų ir nepagrįsto praturtėjimo), teisingumo sistemos įstatymais (susijusiais su teisingumo sistemos organizavimu), Civiliniu kodeksu ir Civilinio proceso kodeksu, remdamiesi 2016 m. Vyriausybės nustatytu sprendimų priėmimo skaidrumo principu, turėtų užtikrinti visišką skaidrumą ir deramai atsižvelgti į konsultacijas su atitinkamomis valdžios institucijomis ir suinteresuotosiomis šalimis.</w:t>
      </w:r>
    </w:p>
    <w:p w:rsidR="00810B37" w:rsidRDefault="00810B37">
      <w:pPr>
        <w:keepNext/>
        <w:spacing w:before="120" w:after="120" w:line="240" w:lineRule="auto"/>
        <w:jc w:val="both"/>
        <w:rPr>
          <w:rFonts w:ascii="Times New Roman" w:hAnsi="Times New Roman"/>
          <w:i/>
          <w:noProof/>
          <w:sz w:val="24"/>
          <w:szCs w:val="24"/>
        </w:rPr>
      </w:pPr>
      <w:r>
        <w:rPr>
          <w:rFonts w:ascii="Times New Roman" w:hAnsi="Times New Roman"/>
          <w:i/>
          <w:noProof/>
          <w:sz w:val="24"/>
        </w:rPr>
        <w:t>Teismo sprendimų nuoseklumas</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2016 m. Aukščiausiasis kasacinis ir teisingumo teismas toliau sprendė teismo sprendimų nenuoseklumo problemą, taikydamas teisinius apeliacinių skundų teisės ir prejudiciniais klausimais mechanizmus. Pasikeitė ir žemesnio rango teisėjų požiūris – jie stengiasi labiau atsižvelgti į kitų teismų sprendimus panašiose bylose. Teismų valdymo organai ir Nacionalinis teisėjų institutas turės toliau didinti teisės ir praktikos nuoseklumą ir kurti priemones, kurios padėtų užtikrinti nuoseklų teisės taikymą, nes viešojo administravimo institucijų atliekama tolesnė su teismų praktika susijusi veikla ir pernelyg didelis teismų darbo krūvis toliau turi įtakos teismo sprendimų nuoseklumui. Tolesnės kliūtys siekti teismo sprendimų nuoseklumo labiau susijusios su platesnio masto problemomis, susijusiomis su teisėkūros procesu.</w:t>
      </w:r>
    </w:p>
    <w:p w:rsidR="00810B37" w:rsidRDefault="00810B37">
      <w:pPr>
        <w:keepNext/>
        <w:spacing w:before="120" w:after="120" w:line="240" w:lineRule="auto"/>
        <w:jc w:val="both"/>
        <w:rPr>
          <w:rFonts w:ascii="Times New Roman" w:hAnsi="Times New Roman"/>
          <w:i/>
          <w:noProof/>
          <w:sz w:val="24"/>
          <w:szCs w:val="24"/>
        </w:rPr>
      </w:pPr>
      <w:r>
        <w:rPr>
          <w:rFonts w:ascii="Times New Roman" w:hAnsi="Times New Roman"/>
          <w:i/>
          <w:noProof/>
          <w:sz w:val="24"/>
        </w:rPr>
        <w:t>Teismo sprendimų paisymas</w:t>
      </w:r>
    </w:p>
    <w:p w:rsidR="00810B37" w:rsidRDefault="00810B37">
      <w:pPr>
        <w:spacing w:after="120" w:line="240" w:lineRule="auto"/>
        <w:jc w:val="both"/>
        <w:rPr>
          <w:rFonts w:ascii="Times New Roman" w:hAnsi="Times New Roman"/>
          <w:noProof/>
          <w:sz w:val="24"/>
          <w:szCs w:val="24"/>
        </w:rPr>
      </w:pPr>
      <w:r>
        <w:rPr>
          <w:rFonts w:ascii="Times New Roman" w:hAnsi="Times New Roman"/>
          <w:noProof/>
          <w:sz w:val="24"/>
        </w:rPr>
        <w:t>Kaip nustatyta pagal pirmąjį orientacinį tikslą, teismo sprendimų paisymas ir vykdymas yra būtinas norint užtikrinti teismų sistemos veiksmingumą</w:t>
      </w:r>
      <w:r>
        <w:rPr>
          <w:rFonts w:ascii="Times New Roman" w:hAnsi="Times New Roman"/>
          <w:noProof/>
          <w:sz w:val="24"/>
          <w:vertAlign w:val="superscript"/>
        </w:rPr>
        <w:footnoteReference w:id="15"/>
      </w:r>
      <w:r>
        <w:rPr>
          <w:rFonts w:ascii="Times New Roman" w:hAnsi="Times New Roman"/>
          <w:noProof/>
          <w:sz w:val="24"/>
        </w:rPr>
        <w:t>. Administracijos nevykdomi arba pavėluotai vykdomi teismo sprendimai pakerta pasitikėjimą teisingumu ir eikvojamas laikas bei ištekliai, kai nagrinėjamos panašios bylos arba apeliacijos dėl pasikartojančių sprendimų</w:t>
      </w:r>
      <w:r>
        <w:rPr>
          <w:rStyle w:val="FootnoteReference"/>
          <w:rFonts w:ascii="Times New Roman" w:hAnsi="Times New Roman"/>
          <w:noProof/>
          <w:sz w:val="24"/>
        </w:rPr>
        <w:footnoteReference w:id="16"/>
      </w:r>
      <w:r>
        <w:rPr>
          <w:rFonts w:ascii="Times New Roman" w:hAnsi="Times New Roman"/>
          <w:noProof/>
          <w:sz w:val="24"/>
        </w:rPr>
        <w:t xml:space="preserve">. </w:t>
      </w:r>
    </w:p>
    <w:p w:rsidR="00810B37" w:rsidRDefault="00810B37">
      <w:pPr>
        <w:numPr>
          <w:ilvl w:val="0"/>
          <w:numId w:val="6"/>
        </w:numPr>
        <w:spacing w:before="120" w:after="120" w:line="240" w:lineRule="auto"/>
        <w:ind w:left="429"/>
        <w:jc w:val="both"/>
        <w:rPr>
          <w:rFonts w:ascii="Times New Roman" w:hAnsi="Times New Roman"/>
          <w:noProof/>
          <w:sz w:val="24"/>
          <w:szCs w:val="24"/>
        </w:rPr>
      </w:pPr>
      <w:r>
        <w:rPr>
          <w:rFonts w:ascii="Times New Roman" w:hAnsi="Times New Roman"/>
          <w:b/>
          <w:noProof/>
          <w:sz w:val="24"/>
        </w:rPr>
        <w:t>Rekomendacija.</w:t>
      </w:r>
      <w:r>
        <w:rPr>
          <w:rFonts w:ascii="Times New Roman" w:hAnsi="Times New Roman"/>
          <w:noProof/>
          <w:sz w:val="24"/>
        </w:rPr>
        <w:t xml:space="preserve"> Siekdama išspręsti teismo sprendimų nevykdančių ir teismų praktikos nepaisančių viešojo administravimo institucijų problemą, Vyriausybė turėtų parengti atitinkamą veiksmų planą ir nustatyti mechanizmą, kad būtų gauti tikslūs statistiniai duomenys, kuriais remiantis ateityje būtų galima vykdyti stebėseną. Ji taip pat turėtų sukurti vidaus stebėjimo sistemą, kurioje dalyvautų VTT ir Audito Rūmai, kad būtų užtikrintas tinkamas veiksmų plano įgyvendinimas.</w:t>
      </w:r>
    </w:p>
    <w:p w:rsidR="00810B37" w:rsidRDefault="00810B37">
      <w:pPr>
        <w:keepNext/>
        <w:spacing w:before="120" w:after="120" w:line="240" w:lineRule="auto"/>
        <w:jc w:val="both"/>
        <w:rPr>
          <w:rFonts w:ascii="Times New Roman" w:hAnsi="Times New Roman"/>
          <w:i/>
          <w:noProof/>
          <w:sz w:val="24"/>
          <w:szCs w:val="24"/>
        </w:rPr>
      </w:pPr>
      <w:r>
        <w:rPr>
          <w:rFonts w:ascii="Times New Roman" w:hAnsi="Times New Roman"/>
          <w:i/>
          <w:noProof/>
          <w:sz w:val="24"/>
        </w:rPr>
        <w:t>Struktūrinės reformos</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Dabar įgyvendinamas 2016 m. priimtas išsamus veiksmų planas</w:t>
      </w:r>
      <w:r>
        <w:rPr>
          <w:rStyle w:val="FootnoteReference"/>
          <w:rFonts w:ascii="Times New Roman" w:hAnsi="Times New Roman"/>
          <w:noProof/>
          <w:sz w:val="24"/>
        </w:rPr>
        <w:footnoteReference w:id="17"/>
      </w:r>
      <w:r>
        <w:rPr>
          <w:rFonts w:ascii="Times New Roman" w:hAnsi="Times New Roman"/>
          <w:noProof/>
          <w:sz w:val="24"/>
        </w:rPr>
        <w:t xml:space="preserve">, kuriame išdėstyti struktūrinės reformos veiksmai, kurių reikia imtis iki 2020 m., turėtų būti labai naudingas teisingumo sistemos naudotojams ir apskritai padidinti visuomenės pasitikėjimą sistema. Tačiau reikės ne tik pašalinti struktūrines kliūtis veiksmingai subalansauoti darbo krūvį, bet ir visiškai įgyvendinti veiksmų planą, norint, kad galutiniai teisingumo sistemos naudotojai galėtų įsitikinti teismo proceso veiksmingumu. Teismų sistemos dalyviams taip pat būtų naudinga, jei pagrindimas būtų pateikiamas tuo pat metu kaip ir sprendimas. </w:t>
      </w:r>
    </w:p>
    <w:p w:rsidR="00810B37" w:rsidRDefault="00810B37">
      <w:pPr>
        <w:pStyle w:val="ListParagraph"/>
        <w:numPr>
          <w:ilvl w:val="0"/>
          <w:numId w:val="6"/>
        </w:numPr>
        <w:spacing w:before="120" w:after="120" w:line="240" w:lineRule="auto"/>
        <w:ind w:left="429"/>
        <w:jc w:val="both"/>
        <w:rPr>
          <w:rFonts w:ascii="Times New Roman" w:hAnsi="Times New Roman"/>
          <w:noProof/>
          <w:sz w:val="24"/>
        </w:rPr>
      </w:pPr>
      <w:r>
        <w:rPr>
          <w:rFonts w:ascii="Times New Roman" w:hAnsi="Times New Roman"/>
          <w:b/>
          <w:noProof/>
          <w:sz w:val="24"/>
        </w:rPr>
        <w:t>Rekomendacija.</w:t>
      </w:r>
      <w:r>
        <w:rPr>
          <w:rFonts w:ascii="Times New Roman" w:hAnsi="Times New Roman"/>
          <w:noProof/>
          <w:sz w:val="24"/>
        </w:rPr>
        <w:t xml:space="preserve"> Strateginiai teismų valdymo organai, t. y. Teisingumo ministras, VTT, AKTT ir generalinis prokuroras, turėtų užtikrinti priimto veiksmų plano įgyvendinimą ir reguliariai teikti viešas ataskaitas apie jo įgyvendinimą, įskaitant apie tai, kaip buvo išspręstos teismo tarnautojų trūkumo, pernelyg didelio darbo krūvio ir sprendimų pagrindimo vėlavimo problemos.</w:t>
      </w:r>
    </w:p>
    <w:p w:rsidR="00810B37" w:rsidRDefault="00810B37">
      <w:pPr>
        <w:pStyle w:val="PlainText"/>
        <w:keepNext/>
        <w:spacing w:before="120" w:after="120"/>
        <w:jc w:val="both"/>
        <w:rPr>
          <w:rFonts w:ascii="Times New Roman" w:hAnsi="Times New Roman"/>
          <w:i/>
          <w:noProof/>
          <w:sz w:val="24"/>
          <w:szCs w:val="24"/>
        </w:rPr>
      </w:pPr>
      <w:r>
        <w:rPr>
          <w:rFonts w:ascii="Times New Roman" w:hAnsi="Times New Roman"/>
          <w:i/>
          <w:noProof/>
          <w:sz w:val="24"/>
        </w:rPr>
        <w:t>Vyriausiosios teismų tarybos (VTT) skaidrumas ir atskaitomybė</w:t>
      </w:r>
    </w:p>
    <w:p w:rsidR="00810B37" w:rsidRDefault="00810B37">
      <w:pPr>
        <w:pStyle w:val="PlainText"/>
        <w:spacing w:before="120" w:after="120"/>
        <w:jc w:val="both"/>
        <w:rPr>
          <w:rFonts w:ascii="Times New Roman" w:hAnsi="Times New Roman"/>
          <w:noProof/>
          <w:sz w:val="24"/>
          <w:szCs w:val="24"/>
        </w:rPr>
      </w:pPr>
      <w:r>
        <w:rPr>
          <w:rFonts w:ascii="Times New Roman" w:hAnsi="Times New Roman"/>
          <w:noProof/>
          <w:sz w:val="24"/>
        </w:rPr>
        <w:t>2014 m. BTM ataskaitoje pabrėžta, kad Vyriausioji teismų taryba (VTT) galėtų aktyviau dalyvauti didinant pasitikėjimą teismų sistema. 2016 m. ataskaitoje akcentuota, kokia svarbi kadenciją pradedanti VTT reformos vykdymo tempui, taip pat perteikiant aiškią kolektyvinę naująja programa paremtą filosofiją ir imantis priemonių skaidrumui bei atskaitomybei padidinti.</w:t>
      </w:r>
    </w:p>
    <w:p w:rsidR="00810B37" w:rsidRDefault="00810B37">
      <w:pPr>
        <w:pStyle w:val="ListParagraph"/>
        <w:numPr>
          <w:ilvl w:val="0"/>
          <w:numId w:val="6"/>
        </w:numPr>
        <w:spacing w:line="240" w:lineRule="auto"/>
        <w:ind w:left="429"/>
        <w:jc w:val="both"/>
        <w:rPr>
          <w:rFonts w:ascii="Times New Roman" w:hAnsi="Times New Roman"/>
          <w:noProof/>
          <w:sz w:val="24"/>
          <w:szCs w:val="24"/>
        </w:rPr>
      </w:pPr>
      <w:r>
        <w:rPr>
          <w:rFonts w:ascii="Times New Roman" w:hAnsi="Times New Roman"/>
          <w:b/>
          <w:noProof/>
          <w:sz w:val="24"/>
        </w:rPr>
        <w:t>Rekomendacija.</w:t>
      </w:r>
      <w:r>
        <w:rPr>
          <w:rFonts w:ascii="Times New Roman" w:hAnsi="Times New Roman"/>
          <w:noProof/>
          <w:sz w:val="24"/>
        </w:rPr>
        <w:t xml:space="preserve"> Naujoji VTT turėtų parengti bendrą savo įgaliojimais pagrįstą programą, įskaitant priemones skaidrumui bei atskaitomybei skatinti. Į ją turėtų būti įtraukta informavimo strategija, kurioje būtų numatyta reguliariai rengti atvirus posėdžius su visų lygmenų teisėjų ir prokurorų asamblėjomis, taip pat pilietine visuomene ir profesinėmis organizacijomis, ir joje turėtų būti nustatyta, kad metinės ataskaitos turi būti aptariamos teisėjų ir prokurorų generalinėse asamblėjose.</w:t>
      </w:r>
    </w:p>
    <w:p w:rsidR="00810B37" w:rsidRDefault="00810B37">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3.3. </w:t>
      </w:r>
      <w:r>
        <w:rPr>
          <w:rFonts w:ascii="Times New Roman" w:hAnsi="Times New Roman"/>
          <w:b/>
          <w:noProof/>
          <w:sz w:val="24"/>
        </w:rPr>
        <w:tab/>
        <w:t>Tarnybinės etikos sistema ir Nacionalinė tarnybinės etikos agentūra</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Tarnybinė etika turėtų būti pagrindinė viešojo gyvenimo norma ir teisinė sistema, o tarnybinės etikos institucijos turi skatinti siekti šio tikslo. Dabar Nacionalinę tarnybinės etikos agentūrą (ANI) galima laikyti įsitvirtinusia institucija, pasiekiančia nuoseklių rezultatų. Svarbu išlaikyti ANI pasiektus rezultatus ir toliau gerinti viešą interesų nesuderinamumo taisyklių priėmimą ir daugiau dėmesio skirti išankstinei prevencijai. Viešųjų pirkimų </w:t>
      </w:r>
      <w:r>
        <w:rPr>
          <w:rFonts w:ascii="Times New Roman" w:hAnsi="Times New Roman"/>
          <w:i/>
          <w:noProof/>
          <w:sz w:val="24"/>
        </w:rPr>
        <w:t>ex ante</w:t>
      </w:r>
      <w:r>
        <w:rPr>
          <w:rFonts w:ascii="Times New Roman" w:hAnsi="Times New Roman"/>
          <w:noProof/>
          <w:sz w:val="24"/>
        </w:rPr>
        <w:t xml:space="preserve"> patikrų sistema PREVENT – svarbi nauja priemonė, kurią ANI ir Nacionalinė viešųjų pirkimų agentūra turės pradėti naudoti 2017 m. Padaryta didelė pažanga ir vykdant tolesnius veiksmus, susijusius su ANI ataskaitomis, tačiau teismo procesas išlieka labai ilgas ir tebėra sankcijų taikymo išimčių.</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Teisinei tarnybinės etikos sistemai tebekyla sunkumų. Gaila, kad dabar neįmanoma ilgalaikio tarnybinės etikos sistemos tvarumo konsoliduoti vienu kodifikavimu.</w:t>
      </w:r>
    </w:p>
    <w:p w:rsidR="00810B37" w:rsidRDefault="00810B37">
      <w:pPr>
        <w:numPr>
          <w:ilvl w:val="0"/>
          <w:numId w:val="6"/>
        </w:numPr>
        <w:spacing w:before="120" w:after="120" w:line="240" w:lineRule="auto"/>
        <w:ind w:left="429"/>
        <w:jc w:val="both"/>
        <w:rPr>
          <w:rFonts w:ascii="Times New Roman" w:hAnsi="Times New Roman"/>
          <w:noProof/>
          <w:sz w:val="24"/>
          <w:szCs w:val="24"/>
        </w:rPr>
      </w:pPr>
      <w:r>
        <w:rPr>
          <w:rFonts w:ascii="Times New Roman" w:hAnsi="Times New Roman"/>
          <w:b/>
          <w:noProof/>
          <w:sz w:val="24"/>
        </w:rPr>
        <w:t>Rekomendacija.</w:t>
      </w:r>
      <w:r>
        <w:rPr>
          <w:rFonts w:ascii="Times New Roman" w:hAnsi="Times New Roman"/>
          <w:noProof/>
          <w:sz w:val="24"/>
        </w:rPr>
        <w:t xml:space="preserve"> Užtikrinti, kad sistema PREVENT pradėtų veikti. Nacionalinė tarnybinės etikos agentūra ir Nacionalinė viešųjų pirkimų agentūra turėtų teikti ataskaitas apie viešųjų pirkimų procedūrų </w:t>
      </w:r>
      <w:r>
        <w:rPr>
          <w:rFonts w:ascii="Times New Roman" w:hAnsi="Times New Roman"/>
          <w:i/>
          <w:noProof/>
          <w:sz w:val="24"/>
        </w:rPr>
        <w:t>ex ante</w:t>
      </w:r>
      <w:r>
        <w:rPr>
          <w:rFonts w:ascii="Times New Roman" w:hAnsi="Times New Roman"/>
          <w:noProof/>
          <w:sz w:val="24"/>
        </w:rPr>
        <w:t xml:space="preserve"> patikras ir tolesnius veiksmus, įskaitant </w:t>
      </w:r>
      <w:r>
        <w:rPr>
          <w:rFonts w:ascii="Times New Roman" w:hAnsi="Times New Roman"/>
          <w:i/>
          <w:noProof/>
          <w:sz w:val="24"/>
        </w:rPr>
        <w:t>ex post</w:t>
      </w:r>
      <w:r>
        <w:rPr>
          <w:rFonts w:ascii="Times New Roman" w:hAnsi="Times New Roman"/>
          <w:noProof/>
          <w:sz w:val="24"/>
        </w:rPr>
        <w:t xml:space="preserve"> patikras, taip pat apie nustatytus interesų konfliktų arba korupcijos atvejus ir organizuoti viešus debatus, kuriuose galėtų pasisakyti Vyriausybė, vietos valdžios institucijos, teisminės institucijos ir pilietinė visuomenė.</w:t>
      </w:r>
    </w:p>
    <w:p w:rsidR="00810B37" w:rsidRDefault="00810B37">
      <w:pPr>
        <w:spacing w:before="240" w:after="120" w:line="240" w:lineRule="auto"/>
        <w:jc w:val="both"/>
        <w:rPr>
          <w:rFonts w:ascii="Times New Roman" w:hAnsi="Times New Roman"/>
          <w:noProof/>
          <w:sz w:val="24"/>
          <w:szCs w:val="24"/>
        </w:rPr>
      </w:pPr>
      <w:r>
        <w:rPr>
          <w:rFonts w:ascii="Times New Roman" w:hAnsi="Times New Roman"/>
          <w:noProof/>
          <w:sz w:val="24"/>
        </w:rPr>
        <w:t xml:space="preserve">ANI turėtų toliau teikti ataskaitas apie tolesnius veiksmus teismuose, susijusius su jos ataskaitomis, apie galutinių sprendimų vykdymą ir apie prevencines priemones bei ugdymą tarnybinės etikos srityje. </w:t>
      </w:r>
    </w:p>
    <w:p w:rsidR="00810B37" w:rsidRDefault="00810B37">
      <w:pPr>
        <w:pStyle w:val="ListParagraph"/>
        <w:numPr>
          <w:ilvl w:val="0"/>
          <w:numId w:val="6"/>
        </w:numPr>
        <w:spacing w:before="240" w:after="120" w:line="240" w:lineRule="auto"/>
        <w:ind w:left="429"/>
        <w:jc w:val="both"/>
        <w:rPr>
          <w:rFonts w:ascii="Times New Roman" w:hAnsi="Times New Roman"/>
          <w:noProof/>
          <w:sz w:val="24"/>
          <w:szCs w:val="24"/>
        </w:rPr>
      </w:pPr>
      <w:r>
        <w:rPr>
          <w:rFonts w:ascii="Times New Roman" w:hAnsi="Times New Roman"/>
          <w:b/>
          <w:noProof/>
          <w:sz w:val="24"/>
        </w:rPr>
        <w:t>Rekomendacija.</w:t>
      </w:r>
      <w:r>
        <w:rPr>
          <w:rFonts w:ascii="Times New Roman" w:hAnsi="Times New Roman"/>
          <w:noProof/>
          <w:sz w:val="24"/>
        </w:rPr>
        <w:t xml:space="preserve"> Parlamentas turėtų skaidriai priimti sprendimus, kai kalbama apie tolesnius veiksmus, susijusius su galutiniais ir neatšaukiamais jo nariams skirtais sprendimais dėl interesų nesuderinamumo, interesų konfliktų ir nepagrįsto praturtėjimo.</w:t>
      </w:r>
    </w:p>
    <w:p w:rsidR="00810B37" w:rsidRDefault="00810B37">
      <w:pPr>
        <w:keepNext/>
        <w:spacing w:before="240" w:after="120" w:line="240" w:lineRule="auto"/>
        <w:jc w:val="both"/>
        <w:rPr>
          <w:rFonts w:ascii="Times New Roman" w:hAnsi="Times New Roman"/>
          <w:b/>
          <w:noProof/>
          <w:sz w:val="24"/>
          <w:szCs w:val="24"/>
        </w:rPr>
      </w:pPr>
      <w:r>
        <w:rPr>
          <w:rFonts w:ascii="Times New Roman" w:hAnsi="Times New Roman"/>
          <w:b/>
          <w:noProof/>
          <w:sz w:val="24"/>
        </w:rPr>
        <w:t xml:space="preserve">3.4 </w:t>
      </w:r>
      <w:r>
        <w:rPr>
          <w:rFonts w:ascii="Times New Roman" w:hAnsi="Times New Roman"/>
          <w:b/>
          <w:noProof/>
          <w:sz w:val="24"/>
        </w:rPr>
        <w:tab/>
        <w:t>Kova su korupcija</w:t>
      </w:r>
    </w:p>
    <w:p w:rsidR="00810B37" w:rsidRDefault="00810B37">
      <w:pPr>
        <w:keepNext/>
        <w:spacing w:before="120" w:after="120" w:line="240" w:lineRule="auto"/>
        <w:jc w:val="both"/>
        <w:rPr>
          <w:rFonts w:ascii="Times New Roman" w:hAnsi="Times New Roman"/>
          <w:i/>
          <w:noProof/>
          <w:sz w:val="24"/>
          <w:szCs w:val="24"/>
        </w:rPr>
      </w:pPr>
      <w:r>
        <w:rPr>
          <w:rFonts w:ascii="Times New Roman" w:hAnsi="Times New Roman"/>
          <w:i/>
          <w:noProof/>
          <w:sz w:val="24"/>
        </w:rPr>
        <w:t xml:space="preserve">Kova su aukšto lygio korupcija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Nacionalinis kovos su korupcija direktoratas (DNA) ir Aukščiausiasis kasacinis ir teisingumo teismas (AKTT) pasiekė įspūdingų rezultatų nagrinėdami aukšto ir vidutinio lygio korupcijos bylas. Stiprinant kovą su korupcija ir toliau bus labai svarbu išlaikyti teisminių institucijų pastangas kovoti su aukšto lygio korupcija. DNA ataskaitos pavyzdinės – labai atviros ir analitinės. Visų pirma, tai, kad kartojasi panašios korupcijos bylos, rodo, jog esama trūkumų, susijusių su mokymusi iš praeities klaidų ir su spragų viešosiose institucijose šalinimu. Faktas, kad teisėjai ir teisingumo sistema buvo dažnai užsipuolami žiniasklaidoje ir politikos arenoje, tebekelia rimtą grėsmę kovos su korupcija negrįžtamumui.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Kovos su korupcija įstatymai turi būti vienodai taikomi visiems ir visais lygmenimis. Po diskusijų Parlamente dėl objektyvių kriterijų, kuriais būtų pagrįstas atsisakymas panaikinti imunitetą, nepasiekta pokyčių įgyvendinant ankstesnes BTM rekomendacijas.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Akivaizdu, kad priėmus teisinius pakeitimus, kuriais susilpninama arba susiaurinama korupcijos, kaip nusikaltimo, apibrėžtis arba dėl kurių kiltų didelių pavojų DNA nepriklausomumui arba veiksmingumui, reikėtų iš naujo įvertinti padarytą pažangą</w:t>
      </w:r>
      <w:r>
        <w:rPr>
          <w:rStyle w:val="FootnoteReference"/>
          <w:rFonts w:ascii="Times New Roman" w:hAnsi="Times New Roman"/>
          <w:noProof/>
          <w:sz w:val="24"/>
        </w:rPr>
        <w:footnoteReference w:id="18"/>
      </w:r>
      <w:r>
        <w:rPr>
          <w:rFonts w:ascii="Times New Roman" w:hAnsi="Times New Roman"/>
          <w:noProof/>
          <w:sz w:val="24"/>
        </w:rPr>
        <w:t>.</w:t>
      </w:r>
    </w:p>
    <w:p w:rsidR="00810B37" w:rsidRDefault="00810B37">
      <w:pPr>
        <w:pStyle w:val="ListParagraph"/>
        <w:numPr>
          <w:ilvl w:val="0"/>
          <w:numId w:val="6"/>
        </w:numPr>
        <w:spacing w:before="240" w:after="120" w:line="240" w:lineRule="auto"/>
        <w:ind w:left="429"/>
        <w:jc w:val="both"/>
        <w:rPr>
          <w:rFonts w:ascii="Times New Roman" w:hAnsi="Times New Roman"/>
          <w:i/>
          <w:noProof/>
          <w:sz w:val="24"/>
        </w:rPr>
      </w:pPr>
      <w:r>
        <w:rPr>
          <w:rFonts w:ascii="Times New Roman" w:hAnsi="Times New Roman"/>
          <w:b/>
          <w:noProof/>
          <w:sz w:val="24"/>
        </w:rPr>
        <w:t>Rekomendacija.</w:t>
      </w:r>
      <w:r>
        <w:rPr>
          <w:rFonts w:ascii="Times New Roman" w:hAnsi="Times New Roman"/>
          <w:noProof/>
          <w:sz w:val="24"/>
        </w:rPr>
        <w:t xml:space="preserve"> Patvirtinti objektyvius kriterijus, kuriais remiantis būtų priimami ir grindžiami sprendimai panaikinti Parlamento narių imunitetą, siekiant padėti užtikrinti, kad imunitetas nebūtų naudojamas siekiant išvengti korupcijos nusikaltimų tyrimo ir patraukimo baudžiamojon atsakomybėn už juos. Vyriausybė taip pat galėtų apsvarstyti galimybę pakeisti įstatymą, nustatant, kad ministrų imunitetas galiotų tik tol, kol jie eina šias pareigas. Šioje srityje galėtų padėti Venecijos komisija ir Valstybių prieš korupciją grupė (GRECO)</w:t>
      </w:r>
      <w:r>
        <w:rPr>
          <w:rStyle w:val="FootnoteReference"/>
          <w:rFonts w:ascii="Times New Roman" w:hAnsi="Times New Roman"/>
          <w:noProof/>
          <w:sz w:val="24"/>
        </w:rPr>
        <w:footnoteReference w:id="19"/>
      </w:r>
      <w:r>
        <w:rPr>
          <w:rFonts w:ascii="Times New Roman" w:hAnsi="Times New Roman"/>
          <w:noProof/>
          <w:sz w:val="24"/>
        </w:rPr>
        <w:t xml:space="preserve">. Parlamentas turėtų įdiegti sistemą, pagal kurią būtų reguliariai teikiamos ataskaitos apie kolegijos priimtus sprendimus dėl prašymų panaikinti imunitetą, ir galėtų organizuoti viešus debatus, kuriuose galėtų pasisakyti Vyriausioji teismų taryba ir pilietinė visuomenė. </w:t>
      </w:r>
    </w:p>
    <w:p w:rsidR="00810B37" w:rsidRDefault="00810B37">
      <w:pPr>
        <w:keepNext/>
        <w:spacing w:before="240" w:after="120" w:line="240" w:lineRule="auto"/>
        <w:jc w:val="both"/>
        <w:rPr>
          <w:rFonts w:ascii="Times New Roman" w:hAnsi="Times New Roman"/>
          <w:i/>
          <w:noProof/>
          <w:sz w:val="24"/>
          <w:szCs w:val="24"/>
        </w:rPr>
      </w:pPr>
      <w:r>
        <w:rPr>
          <w:rFonts w:ascii="Times New Roman" w:hAnsi="Times New Roman"/>
          <w:i/>
          <w:noProof/>
          <w:sz w:val="24"/>
        </w:rPr>
        <w:t>Kova su visų lygmenų korupcija</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Korupcijos prevencija tebėra silpna ir dar neįsitvirtino kaip viena pagrindinių viešojo administravimo institucijų pareigų. 2016 m. rugpjūčio mėn. Vyriausybės pateikta nauja Nacionalinė kovos su korupcija strategija gali tapti veiksminga korupcijos prevencijos politikos priemone, jei ji bus tinkamai įgyvendinta ir taikoma praktikoje, įskaitant vietos lygmeniu. Reikšmingai paremti šį darbą būtų galima ir ES lėšomis. Toliau išvardyti nacionalinėje kovos su korupcija strategijoje numatyti veiksmai yra itin svarbūs ir jiems yra nustatyti terminai, kurių reikėtų laikytis.</w:t>
      </w:r>
    </w:p>
    <w:p w:rsidR="00810B37" w:rsidRDefault="00810B37">
      <w:pPr>
        <w:pStyle w:val="PlainText"/>
        <w:numPr>
          <w:ilvl w:val="0"/>
          <w:numId w:val="8"/>
        </w:numPr>
        <w:spacing w:before="120" w:after="120"/>
        <w:jc w:val="both"/>
        <w:rPr>
          <w:rFonts w:ascii="Times New Roman" w:hAnsi="Times New Roman"/>
          <w:noProof/>
          <w:sz w:val="24"/>
          <w:szCs w:val="24"/>
        </w:rPr>
      </w:pPr>
      <w:r>
        <w:rPr>
          <w:rFonts w:ascii="Times New Roman" w:hAnsi="Times New Roman"/>
          <w:noProof/>
          <w:sz w:val="24"/>
        </w:rPr>
        <w:t xml:space="preserve">Visos institucijos priims tarnybinės etikos planus ir vykdys suplanuotus veiksmus, susijusius su sprendimų priėmimo ir biudžeto paskirstymo skaidrumu ir galimybe gauti informaciją. </w:t>
      </w:r>
    </w:p>
    <w:p w:rsidR="00810B37" w:rsidRDefault="00810B37">
      <w:pPr>
        <w:pStyle w:val="PlainText"/>
        <w:numPr>
          <w:ilvl w:val="0"/>
          <w:numId w:val="8"/>
        </w:numPr>
        <w:spacing w:before="120" w:after="120"/>
        <w:jc w:val="both"/>
        <w:rPr>
          <w:rFonts w:ascii="Times New Roman" w:hAnsi="Times New Roman"/>
          <w:noProof/>
          <w:sz w:val="24"/>
          <w:szCs w:val="24"/>
        </w:rPr>
      </w:pPr>
      <w:r>
        <w:rPr>
          <w:rFonts w:ascii="Times New Roman" w:hAnsi="Times New Roman"/>
          <w:noProof/>
          <w:sz w:val="24"/>
        </w:rPr>
        <w:t xml:space="preserve">Teisingumo ministerija nustatys atitinkamus statistinius rodiklius, pagal kuriuos nustatys pradinę padėtį, kurią stebės naudodama statistinius duomenis apie tarnybinės etikos pažeidimus, korupcijos suvokimą ar kyšių davimą. </w:t>
      </w:r>
    </w:p>
    <w:p w:rsidR="00810B37" w:rsidRDefault="00810B37">
      <w:pPr>
        <w:pStyle w:val="ListParagraph"/>
        <w:numPr>
          <w:ilvl w:val="0"/>
          <w:numId w:val="8"/>
        </w:numPr>
        <w:spacing w:line="240" w:lineRule="auto"/>
        <w:jc w:val="both"/>
        <w:rPr>
          <w:rFonts w:ascii="Times New Roman" w:hAnsi="Times New Roman"/>
          <w:noProof/>
          <w:sz w:val="24"/>
          <w:szCs w:val="24"/>
        </w:rPr>
      </w:pPr>
      <w:r>
        <w:rPr>
          <w:rFonts w:ascii="Times New Roman" w:hAnsi="Times New Roman"/>
          <w:noProof/>
          <w:sz w:val="24"/>
        </w:rPr>
        <w:t>Patarėjų etikos klausimais teisinė sistema bus sustiprinta: tiek jų įgaliojimai, tiek jiems skirti ištekliai.</w:t>
      </w:r>
    </w:p>
    <w:p w:rsidR="00810B37" w:rsidRDefault="00810B37">
      <w:pPr>
        <w:pStyle w:val="ListParagraph"/>
        <w:numPr>
          <w:ilvl w:val="0"/>
          <w:numId w:val="8"/>
        </w:numPr>
        <w:spacing w:line="240" w:lineRule="auto"/>
        <w:jc w:val="both"/>
        <w:rPr>
          <w:rFonts w:ascii="Times New Roman" w:hAnsi="Times New Roman"/>
          <w:noProof/>
          <w:sz w:val="24"/>
          <w:szCs w:val="24"/>
        </w:rPr>
      </w:pPr>
      <w:r>
        <w:rPr>
          <w:rFonts w:ascii="Times New Roman" w:hAnsi="Times New Roman"/>
          <w:noProof/>
          <w:sz w:val="24"/>
        </w:rPr>
        <w:t xml:space="preserve">Vietos administracijai bus sukurtas tarnybinės etikos indeksas, pagal kurį bus matuojami svarbiausi rodikliai, kad būtų galima juos palyginti.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Buvo įsteigta Nacionalinė areštuoto turto valdymo agentūra ir dabar reikia įrodyti, kad ji gali veikti tinkamai, teikti skaidrius duomenis apie nusikalstamu būdu įgyto turto konfiskavimą ir galiausiai padidinti veiksmingai susigrąžinto turto dalį. </w:t>
      </w:r>
    </w:p>
    <w:p w:rsidR="00810B37" w:rsidRDefault="00810B37">
      <w:pPr>
        <w:spacing w:before="120" w:after="120" w:line="240" w:lineRule="auto"/>
        <w:jc w:val="both"/>
        <w:rPr>
          <w:rFonts w:ascii="Times New Roman" w:hAnsi="Times New Roman"/>
          <w:noProof/>
          <w:sz w:val="24"/>
          <w:szCs w:val="24"/>
        </w:rPr>
      </w:pPr>
      <w:r>
        <w:rPr>
          <w:rFonts w:ascii="Times New Roman" w:hAnsi="Times New Roman"/>
          <w:noProof/>
          <w:sz w:val="24"/>
        </w:rPr>
        <w:t xml:space="preserve">Tebėra sunku užkirsti kelią interesų konfliktams, sukčiavimui ir korupcijai viešųjų pirkimų srityje. 2016 m. nustatyti veiksmai, kuriais siekiama sustiprinti vidaus kontrolės sistemas perkančiosiose organizacijose ir IT sistemą, kurią naudojant būtų galima atlikti atsitiktines rizika pagrįstas </w:t>
      </w:r>
      <w:r>
        <w:rPr>
          <w:rFonts w:ascii="Times New Roman" w:hAnsi="Times New Roman"/>
          <w:i/>
          <w:noProof/>
          <w:sz w:val="24"/>
        </w:rPr>
        <w:t>ex ante</w:t>
      </w:r>
      <w:r>
        <w:rPr>
          <w:rFonts w:ascii="Times New Roman" w:hAnsi="Times New Roman"/>
          <w:noProof/>
          <w:sz w:val="24"/>
        </w:rPr>
        <w:t xml:space="preserve"> patikras Nacionalinėje viešųjų pirkimų agentūroje, yra daug žadantys, tačiau jie dar nėra užbaigti. Taip pat būtų svarbu, kad teisėjai būtų geriau išmokyti ir specializuotųsi viešųjų pirkimų srityje.</w:t>
      </w:r>
    </w:p>
    <w:p w:rsidR="00810B37" w:rsidRDefault="00810B37">
      <w:pPr>
        <w:numPr>
          <w:ilvl w:val="0"/>
          <w:numId w:val="6"/>
        </w:numPr>
        <w:spacing w:before="120" w:after="120" w:line="240" w:lineRule="auto"/>
        <w:ind w:left="426" w:hanging="357"/>
        <w:jc w:val="both"/>
        <w:rPr>
          <w:rFonts w:ascii="Times New Roman" w:hAnsi="Times New Roman"/>
          <w:noProof/>
          <w:sz w:val="24"/>
          <w:szCs w:val="24"/>
        </w:rPr>
      </w:pPr>
      <w:r>
        <w:rPr>
          <w:rFonts w:ascii="Times New Roman" w:hAnsi="Times New Roman"/>
          <w:b/>
          <w:noProof/>
          <w:sz w:val="24"/>
        </w:rPr>
        <w:t xml:space="preserve">Rekomendacija. </w:t>
      </w:r>
      <w:r>
        <w:rPr>
          <w:rFonts w:ascii="Times New Roman" w:hAnsi="Times New Roman"/>
          <w:noProof/>
          <w:sz w:val="24"/>
        </w:rPr>
        <w:t>Toliau įgyvendinti Nacionalinę kovos su korupcija strategiją laikantis 2016 m. rugpjūčio mėn. Vyriausybės nustatytų terminų. Teisingumo ministras turėtų įdiegti ataskaitų apie veiksmingą Nacionalinės kovos su korupcija strategijos įgyvendinimą teikimo sistemą (įskaitant statistinius duomenis apie tarnybinės etikos pažeidimus viešojo administravimo institucijose, išsamią informaciją apie drausmines procedūras bei sankcijas ir informaciją apie pažeidžiamose srityse taikytas struktūrines priemones).</w:t>
      </w:r>
    </w:p>
    <w:p w:rsidR="00810B37" w:rsidRDefault="00810B37">
      <w:pPr>
        <w:numPr>
          <w:ilvl w:val="0"/>
          <w:numId w:val="6"/>
        </w:numPr>
        <w:spacing w:before="120" w:after="120" w:line="240" w:lineRule="auto"/>
        <w:ind w:left="426" w:hanging="357"/>
        <w:jc w:val="both"/>
        <w:rPr>
          <w:rFonts w:ascii="Times New Roman" w:hAnsi="Times New Roman"/>
          <w:noProof/>
          <w:sz w:val="24"/>
          <w:szCs w:val="24"/>
        </w:rPr>
      </w:pPr>
      <w:r>
        <w:rPr>
          <w:rFonts w:ascii="Times New Roman" w:hAnsi="Times New Roman"/>
          <w:b/>
          <w:noProof/>
          <w:sz w:val="24"/>
        </w:rPr>
        <w:t xml:space="preserve">Rekomendacija. </w:t>
      </w:r>
      <w:r>
        <w:rPr>
          <w:rFonts w:ascii="Times New Roman" w:hAnsi="Times New Roman"/>
          <w:noProof/>
          <w:sz w:val="24"/>
        </w:rPr>
        <w:t xml:space="preserve">Užtikrinti, kad Nacionalinė areštuoto turto valdymo agentūra veiktų visu pajėgumu ir veiksmingai, kad galėtų parengti pirmąją metinę ataskaitą, kurioje būtų pateikta patikima statistinė informacija apie nusikalstamu būdu įgyto turto konfiskavimą. Agentūra turėtų įdiegti sistemą, pagal kurią būtų reguliariai teikiamos ataskaitos apie administracinių gebėjimų plėtojimą ir nusikalstamu būdu įgyto turto konfiskavimo bei valdymo rezultatus. </w:t>
      </w:r>
    </w:p>
    <w:p w:rsidR="00810B37" w:rsidRDefault="00810B37">
      <w:pPr>
        <w:spacing w:before="120" w:after="120" w:line="240" w:lineRule="auto"/>
        <w:jc w:val="both"/>
        <w:rPr>
          <w:rFonts w:ascii="Times New Roman" w:hAnsi="Times New Roman"/>
          <w:noProof/>
          <w:sz w:val="24"/>
          <w:szCs w:val="24"/>
        </w:rPr>
      </w:pPr>
    </w:p>
    <w:p w:rsidR="00810B37" w:rsidRDefault="00810B37">
      <w:pPr>
        <w:keepNext/>
        <w:spacing w:before="120" w:after="120" w:line="240" w:lineRule="auto"/>
        <w:jc w:val="both"/>
        <w:rPr>
          <w:rFonts w:ascii="Times New Roman" w:hAnsi="Times New Roman"/>
          <w:b/>
          <w:noProof/>
          <w:sz w:val="24"/>
          <w:szCs w:val="24"/>
        </w:rPr>
      </w:pPr>
      <w:r>
        <w:rPr>
          <w:rFonts w:ascii="Times New Roman" w:hAnsi="Times New Roman"/>
          <w:b/>
          <w:noProof/>
          <w:sz w:val="24"/>
        </w:rPr>
        <w:t xml:space="preserve">4. IŠVADA </w:t>
      </w:r>
    </w:p>
    <w:p w:rsidR="00810B37" w:rsidRDefault="00810B37">
      <w:pPr>
        <w:spacing w:line="240" w:lineRule="auto"/>
        <w:jc w:val="both"/>
        <w:rPr>
          <w:rFonts w:ascii="Times New Roman" w:hAnsi="Times New Roman"/>
          <w:noProof/>
          <w:sz w:val="24"/>
          <w:szCs w:val="24"/>
        </w:rPr>
      </w:pPr>
      <w:r>
        <w:rPr>
          <w:rFonts w:ascii="Times New Roman" w:hAnsi="Times New Roman"/>
          <w:noProof/>
          <w:sz w:val="24"/>
        </w:rPr>
        <w:t xml:space="preserve">Komisijos 2014, 2015 ir 2016 m. BTM ataskaitose nurodyta teigiama tendencija ir konkretūs rezultatai, rodantys, kad padaryta didelė pažanga, o taikant BTM atliktos reformos tampa vis labiau negrįžtamos. Ši teigiama tendencija pasitvirtino ir 2016 m. – teisminės institucijos toliau rodė rezultatus, net kai keitėsi jų vadovybė, o Vyriausybė suteikė stiprų postūmį gerinti korupcijos prevenciją. Apžvelgus per dešimties metų laikotarpį įvykusius pokyčius taikant BTM matyti, kad, nepaisant laikotarpių, kai reforma prarasdavo pagreitį ir ja būdavo abejojama, Rumunija padarė didelę pažangą siekdama orientacinių BTM tikslų. </w:t>
      </w:r>
    </w:p>
    <w:p w:rsidR="00810B37" w:rsidRDefault="00810B37">
      <w:pPr>
        <w:spacing w:line="240" w:lineRule="auto"/>
        <w:jc w:val="both"/>
        <w:rPr>
          <w:rFonts w:ascii="Times New Roman" w:hAnsi="Times New Roman"/>
          <w:noProof/>
          <w:sz w:val="24"/>
          <w:szCs w:val="24"/>
        </w:rPr>
      </w:pPr>
      <w:r>
        <w:rPr>
          <w:rFonts w:ascii="Times New Roman" w:hAnsi="Times New Roman"/>
          <w:noProof/>
          <w:sz w:val="24"/>
        </w:rPr>
        <w:t xml:space="preserve">Vis dėlto nemažai svarbių problemų, kurios buvo nustatytos ankstesnėse ataskaitose, nebuvo išspręstos, todėl šioje ataskaitoje negalima daryti išvados, kad orientaciniai tikslai buvo tinkamai pasiekti. Tačiau šioje ataskaitoje pateikta labai nedaug svarbių rekomendacijų, kurios leistų laikinai pasiekti atskirus orientacinius tikslus ir tada užbaigti BTM procesą. Daugelyje jų akcentuojama Rumunijos valdžios institucijų atsakomybė bei atskaitomybė ir vidaus apsaugos priemonės, reikalingos, norint užtikrinti rezultatų negrįžtamumą. To siekti taip pat padės sukurti ataskaitų teikimo ir atskaitomybės mechanizmai, kurie bus taikomi ir po to, kai BTM taikymas bus nutrauktas. Komisija mano, kad BTM tikslus galima pasiekti įgyvendinant šioje ataskaitoje išdėstytas rekomendacijas. Proceso sparta priklausys nuo to, kaip greitai Rumunija sugebės jas negrįžtamai įgyvendinti ir kaip pavyks išvengti neigiamų veiksmų, dėl kurių būtų suabejota iki šiol padaryta pažanga. </w:t>
      </w:r>
    </w:p>
    <w:p w:rsidR="00810B37" w:rsidRDefault="00810B37">
      <w:pPr>
        <w:spacing w:line="240" w:lineRule="auto"/>
        <w:jc w:val="both"/>
        <w:rPr>
          <w:rFonts w:ascii="Times New Roman" w:hAnsi="Times New Roman"/>
          <w:noProof/>
          <w:sz w:val="24"/>
          <w:szCs w:val="24"/>
        </w:rPr>
      </w:pPr>
      <w:r>
        <w:rPr>
          <w:rFonts w:ascii="Times New Roman" w:hAnsi="Times New Roman"/>
          <w:noProof/>
          <w:sz w:val="24"/>
        </w:rPr>
        <w:t>Todėl Komisija ragina Rumuniją imtis veiksmų, kad būtų įgyvendintos šioje ataskaitoje pateiktos rekomendacijos. Padarytą pažangą Komisija įvertins į 2017 m. pabaigą.</w:t>
      </w:r>
    </w:p>
    <w:p w:rsidR="00810B37" w:rsidRDefault="00810B37">
      <w:pPr>
        <w:spacing w:after="120" w:line="240" w:lineRule="auto"/>
        <w:ind w:left="720" w:hanging="720"/>
        <w:jc w:val="both"/>
        <w:rPr>
          <w:rFonts w:ascii="Times New Roman" w:hAnsi="Times New Roman"/>
          <w:noProof/>
          <w:sz w:val="24"/>
          <w:szCs w:val="24"/>
        </w:rPr>
      </w:pPr>
    </w:p>
    <w:sectPr w:rsidR="00810B37" w:rsidSect="00810B3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37" w:rsidRDefault="00810B37">
      <w:pPr>
        <w:spacing w:after="0" w:line="240" w:lineRule="auto"/>
      </w:pPr>
      <w:r>
        <w:separator/>
      </w:r>
    </w:p>
  </w:endnote>
  <w:endnote w:type="continuationSeparator" w:id="0">
    <w:p w:rsidR="00810B37" w:rsidRDefault="0081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37" w:rsidRDefault="00810B37">
      <w:pPr>
        <w:spacing w:after="0" w:line="240" w:lineRule="auto"/>
      </w:pPr>
      <w:r>
        <w:separator/>
      </w:r>
    </w:p>
  </w:footnote>
  <w:footnote w:type="continuationSeparator" w:id="0">
    <w:p w:rsidR="00810B37" w:rsidRDefault="00810B37">
      <w:pPr>
        <w:spacing w:after="0" w:line="240" w:lineRule="auto"/>
      </w:pPr>
      <w:r>
        <w:continuationSeparator/>
      </w:r>
    </w:p>
  </w:footnote>
  <w:footnote w:id="1">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2006 m. spalio 17 d. Ministrų Tarybos išvados (13339/06); 2006 m. gruodžio 13 d. Komisijos sprendimas, nustatantis bendradarbiavimo su Rumunija ir jos pažangos siekiant orientacinių tikslų teismų reformos ir kovos su korupcija srityse patikrinimo mechanizmą (C(2006) 6569 galutinis).</w:t>
      </w:r>
    </w:p>
  </w:footnote>
  <w:footnote w:id="2">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2016 m. kovo mėn. Taryba padarė tokią išvadą: „Remdamasi jau padaryta didele pažanga, Taryba ragina Rumuniją sutelkti pastangas, kad toliau būtų konsoliduojama padaryta pažanga, ir išlaikyti dabartinį tinkamą tempą atsižvelgiant į visas Komisijos ataskaitoje pateiktas rekomendacijas“ (http://data.consilium.europa.eu/doc/document/ST-7118-2016-INIT/lt/pdf).</w:t>
      </w:r>
    </w:p>
  </w:footnote>
  <w:footnote w:id="3">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„Eurobarometro“ greitoji apklausa Nr. 445 „Bendradarbiavimo ir tikrinimo mechanizmas Bulgarijai ir Rumunijai“, paskelbta 2017 m. sausio 25 d.</w:t>
      </w:r>
    </w:p>
  </w:footnote>
  <w:footnote w:id="4">
    <w:p w:rsidR="00810B37" w:rsidRDefault="00810B37">
      <w:pPr>
        <w:pStyle w:val="FootnoteText"/>
        <w:spacing w:after="0" w:line="240" w:lineRule="auto"/>
        <w:ind w:left="284" w:hanging="284"/>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SWD(2017) 25.</w:t>
      </w:r>
    </w:p>
  </w:footnote>
  <w:footnote w:id="5">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2016 m. ES teisingumo rezultatų suvestinė, COM(2016) 199</w:t>
      </w:r>
      <w:r>
        <w:rPr>
          <w:rFonts w:ascii="Times New Roman" w:hAnsi="Times New Roman"/>
          <w:i/>
        </w:rPr>
        <w:t xml:space="preserve"> final</w:t>
      </w:r>
      <w:r>
        <w:rPr>
          <w:rFonts w:ascii="Times New Roman" w:hAnsi="Times New Roman"/>
        </w:rPr>
        <w:t>, 48, 44 ir 46 diagramos. 2016 m. balandžio mėn. apklausos rodo, kad 60 % respondentų pasitiki arba labai pasitiki Nacionaliniu kovos su korupcija direktoratu (DNA)</w:t>
      </w:r>
      <w:hyperlink r:id="rId1" w:history="1">
        <w:r>
          <w:rPr>
            <w:rStyle w:val="Hyperlink"/>
            <w:rFonts w:ascii="Times New Roman" w:hAnsi="Times New Roman"/>
          </w:rPr>
          <w:t xml:space="preserve"> http://www.inscop.ro/wp-content/uploads/2016/04/INSCOP-raport-martie-2016-INCREDERE-INSTITUTII.pdf.</w:t>
        </w:r>
      </w:hyperlink>
      <w:r>
        <w:rPr>
          <w:rFonts w:ascii="Times New Roman" w:hAnsi="Times New Roman"/>
        </w:rPr>
        <w:t xml:space="preserve"> </w:t>
      </w:r>
    </w:p>
  </w:footnote>
  <w:footnote w:id="6">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Techninės ataskaitos 2.2 skirsnis.</w:t>
      </w:r>
    </w:p>
  </w:footnote>
  <w:footnote w:id="7">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Projektuose, dėl kurių vyksta konsultacijos, siūloma pakeisti nuostatas, susijusias su tokiais korupcijos nusikaltimais kaip piktnaudžiavimas tarnybine padėtimi ir interesų konfliktas, ir tai, kad Įstatymas dėl amnestijos būtų taikomas ir asmenims, nuteistiems už tam tikrus korupcijos nusikaltimus.</w:t>
      </w:r>
    </w:p>
  </w:footnote>
  <w:footnote w:id="8">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2016 m. nagrinėtų pasikartojančių bylų pavyzdys – bylos dėl PVM arba aplinkosaugos mokesčio, kuriose nacionalinio arba Europos lygmens teisingumo teismai jau priėmė aiškius sprendimus, tačiau administracija ir toliau perduodavo bylas teismams.</w:t>
      </w:r>
    </w:p>
  </w:footnote>
  <w:footnote w:id="9">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Byla </w:t>
      </w:r>
      <w:r>
        <w:rPr>
          <w:rFonts w:ascii="Times New Roman" w:hAnsi="Times New Roman"/>
          <w:i/>
        </w:rPr>
        <w:t>Săcăleanu (grupė)</w:t>
      </w:r>
      <w:r>
        <w:rPr>
          <w:rFonts w:ascii="Times New Roman" w:hAnsi="Times New Roman"/>
        </w:rPr>
        <w:t xml:space="preserve"> Nr. 73970/01. Administracija arba juridiniai asmenys, už kuriuos atsakinga valstybė, nevykdo arba vėluoja vykdyti galutinius nacionalinio teismo sprendimus. 2016 m. gruodžio mėn. Rumunijos valdžios institucijų parengtas veiksmų planas buvo perduotas Europos Tarybai </w:t>
      </w:r>
      <w:hyperlink r:id="rId2" w:history="1">
        <w:r>
          <w:rPr>
            <w:rStyle w:val="Hyperlink"/>
            <w:rFonts w:ascii="Times New Roman" w:hAnsi="Times New Roman"/>
          </w:rPr>
          <w:t>https://search.coe.int/cm/Pages/result_details.aspx?ObjectId=09000016806d8adb</w:t>
        </w:r>
      </w:hyperlink>
      <w:r>
        <w:rPr>
          <w:rFonts w:ascii="Times New Roman" w:hAnsi="Times New Roman"/>
        </w:rPr>
        <w:t xml:space="preserve">.  </w:t>
      </w:r>
    </w:p>
  </w:footnote>
  <w:footnote w:id="10">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2014, 2015 ir 2016 m. BTM ataskaitos. Po atsistatydinimo buvo pradėtas baudžiamosios veikos iki pirmininko kadencijos Agentūroje pradžios tyrimas.</w:t>
      </w:r>
    </w:p>
  </w:footnote>
  <w:footnote w:id="11">
    <w:p w:rsidR="00810B37" w:rsidRDefault="00810B37">
      <w:pPr>
        <w:pStyle w:val="FootnoteText"/>
        <w:spacing w:after="0" w:line="240" w:lineRule="auto"/>
        <w:ind w:left="284" w:hanging="284"/>
      </w:pPr>
      <w:r>
        <w:rPr>
          <w:rStyle w:val="FootnoteReference"/>
          <w:rFonts w:ascii="Times New Roman" w:hAnsi="Times New Roman"/>
        </w:rPr>
        <w:footnoteRef/>
      </w:r>
      <w:r>
        <w:rPr>
          <w:rFonts w:ascii="Times New Roman" w:hAnsi="Times New Roman"/>
        </w:rPr>
        <w:t xml:space="preserve">   2017 m. sausio pradžioje ombudsmenas užginčijo Konstituciniam Teismui įstatymo nuostatas, pagal kurias už korupciją nuteisti asmenys negali tapti Vyriausybės nariais.</w:t>
      </w:r>
    </w:p>
  </w:footnote>
  <w:footnote w:id="12">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„Eurobarometro“ greitoji apklausa Nr. 428 „Verslo subjektų požiūris į korupciją ES“, pateikta </w:t>
      </w:r>
      <w:hyperlink r:id="rId3" w:history="1">
        <w:r>
          <w:rPr>
            <w:rStyle w:val="Hyperlink"/>
            <w:rFonts w:ascii="Times New Roman" w:hAnsi="Times New Roman"/>
          </w:rPr>
          <w:t>http://ec.europa.eu/COMMFrontOffice/PublicOpinion/index.cfm/Survey/getSurveyDetail/instruments/FLASH/surveyKy/2084</w:t>
        </w:r>
      </w:hyperlink>
      <w:r>
        <w:rPr>
          <w:rFonts w:ascii="Times New Roman" w:hAnsi="Times New Roman"/>
        </w:rPr>
        <w:t xml:space="preserve"> ; </w:t>
      </w:r>
    </w:p>
  </w:footnote>
  <w:footnote w:id="13">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„Eurobarometro“ greitoji apklausa Nr. 445 „Bendradarbiavimo ir tikrinimo mechanizmas Bulgarijai ir Rumunijai“, paskelbta 2017 m. sausio 25 d.</w:t>
      </w:r>
    </w:p>
  </w:footnote>
  <w:footnote w:id="14">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 Įtakos teisinei kovos su korupcija sistemai ir kovos su korupcija rezultatams galėtų turėti 2017 m. sausio 18 d. Vyriausybės konsultacijoms pateikti du nepaprastųjų potvarkių projektai. </w:t>
      </w:r>
    </w:p>
  </w:footnote>
  <w:footnote w:id="15">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Europos žmogaus teisių konvencijos 6 straipsnio taikymo gairės – Teisė į teisingą bylos nagrinėjimą (civilinė teisė) </w:t>
      </w:r>
      <w:hyperlink r:id="rId4" w:history="1">
        <w:r>
          <w:rPr>
            <w:rStyle w:val="Hyperlink"/>
            <w:rFonts w:ascii="Times New Roman" w:hAnsi="Times New Roman"/>
          </w:rPr>
          <w:t>http://www.echr.coe.int/Documents/Guide_Art_6_ENG.pdf</w:t>
        </w:r>
      </w:hyperlink>
      <w:r>
        <w:t>.</w:t>
      </w:r>
      <w:r>
        <w:rPr>
          <w:rFonts w:ascii="Times New Roman" w:hAnsi="Times New Roman"/>
        </w:rPr>
        <w:t xml:space="preserve"> </w:t>
      </w:r>
    </w:p>
  </w:footnote>
  <w:footnote w:id="16">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2016 m. nagrinėtų pasikartojančių bylų pavyzdys – bylos dėl PVM arba aplinkosaugos mokesčio, kuriose nacionalinio arba Europos lygmens teisingumo teismai jau priėmė aiškius sprendimus, tačiau administracija ir toliau perduodavo bylas teismams.</w:t>
      </w:r>
    </w:p>
  </w:footnote>
  <w:footnote w:id="17">
    <w:p w:rsidR="00810B37" w:rsidRDefault="00810B37">
      <w:pPr>
        <w:pStyle w:val="FootnoteText"/>
        <w:spacing w:after="0" w:line="240" w:lineRule="auto"/>
        <w:ind w:left="284" w:hanging="284"/>
      </w:pPr>
      <w:r>
        <w:rPr>
          <w:rStyle w:val="FootnoteReference"/>
          <w:rFonts w:ascii="Times New Roman" w:hAnsi="Times New Roman"/>
        </w:rPr>
        <w:footnoteRef/>
      </w:r>
      <w:r>
        <w:rPr>
          <w:rFonts w:ascii="Times New Roman" w:hAnsi="Times New Roman"/>
        </w:rPr>
        <w:t xml:space="preserve">  2015–2020 m. teismų vystymo strategijos įgyvendinimo veiksmų planas, patvirtintas Vyriausybės sprendimu Nr. 282/2016.</w:t>
      </w:r>
    </w:p>
  </w:footnote>
  <w:footnote w:id="18">
    <w:p w:rsidR="00810B37" w:rsidRDefault="00810B37">
      <w:pPr>
        <w:pStyle w:val="FootnoteText"/>
        <w:spacing w:after="0" w:line="240" w:lineRule="auto"/>
        <w:ind w:left="284" w:hanging="284"/>
        <w:jc w:val="both"/>
      </w:pPr>
      <w:r>
        <w:rPr>
          <w:rStyle w:val="FootnoteReference"/>
        </w:rPr>
        <w:footnoteRef/>
      </w:r>
      <w:r>
        <w:t xml:space="preserve"> </w:t>
      </w:r>
      <w:r>
        <w:tab/>
      </w:r>
      <w:r>
        <w:rPr>
          <w:rFonts w:ascii="Times New Roman" w:hAnsi="Times New Roman"/>
        </w:rPr>
        <w:t xml:space="preserve">Atsižvelgiant į tai turėtų būti įvertinta bet kokia galiausiai priimta dviejų nepaprastųjų potvarkių projektų, kuriuos Vyriausybė pateikė konsultacijoms 2017 m. sausio 18 d., redakcija. </w:t>
      </w:r>
    </w:p>
  </w:footnote>
  <w:footnote w:id="19">
    <w:p w:rsidR="00810B37" w:rsidRDefault="00810B37">
      <w:pPr>
        <w:pStyle w:val="FootnoteText"/>
        <w:spacing w:after="0" w:line="240" w:lineRule="auto"/>
        <w:ind w:left="284" w:hanging="284"/>
        <w:jc w:val="both"/>
      </w:pPr>
      <w:r>
        <w:rPr>
          <w:rStyle w:val="FootnoteReference"/>
          <w:rFonts w:ascii="Times New Roman" w:hAnsi="Times New Roman"/>
        </w:rPr>
        <w:footnoteRef/>
      </w:r>
      <w:r>
        <w:rPr>
          <w:rFonts w:ascii="Times New Roman" w:hAnsi="Times New Roman"/>
        </w:rPr>
        <w:t xml:space="preserve">  Valstybių prieš korupciją grupę (GRECO) 1999 m. įsteigė Europos Taryba, siekiant stebėti, kaip valstybės laikosi antikorupcinių organizacijos standartų.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B37" w:rsidRDefault="00810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51"/>
    <w:multiLevelType w:val="hybridMultilevel"/>
    <w:tmpl w:val="6904595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0B0B56E7"/>
    <w:multiLevelType w:val="hybridMultilevel"/>
    <w:tmpl w:val="A98607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107692D"/>
    <w:multiLevelType w:val="hybridMultilevel"/>
    <w:tmpl w:val="DF3C9F7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1CC43D57"/>
    <w:multiLevelType w:val="hybridMultilevel"/>
    <w:tmpl w:val="FAF06544"/>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33770F83"/>
    <w:multiLevelType w:val="hybridMultilevel"/>
    <w:tmpl w:val="690A04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BBE03C6"/>
    <w:multiLevelType w:val="hybridMultilevel"/>
    <w:tmpl w:val="A086A1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7400B5F"/>
    <w:multiLevelType w:val="hybridMultilevel"/>
    <w:tmpl w:val="BA2A86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63A217BB"/>
    <w:multiLevelType w:val="hybridMultilevel"/>
    <w:tmpl w:val="2D6E1E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863D20856BED4AB1963EF9E7E5DE55A1"/>
    <w:docVar w:name="LW_CROSSREFERENCE" w:val="{SWD(2017) 25 final}"/>
    <w:docVar w:name="LW_DocType" w:val="NORMAL"/>
    <w:docVar w:name="LW_EMISSION" w:val="2017 01 25"/>
    <w:docVar w:name="LW_EMISSION_ISODATE" w:val="2017-01-25"/>
    <w:docVar w:name="LW_EMISSION_LOCATION" w:val="BRX"/>
    <w:docVar w:name="LW_EMISSION_PREFIX" w:val="Briuselis, "/>
    <w:docVar w:name="LW_EMISSION_SUFFIX" w:val=" "/>
    <w:docVar w:name="LW_ID_DOCTYPE_NONLW" w:val="CP-006"/>
    <w:docVar w:name="LW_LANGUE" w:val="LT"/>
    <w:docVar w:name="LW_MARKING" w:val="&lt;UNUSED&g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7) 44"/>
    <w:docVar w:name="LW_REF.INTERNE" w:val="&lt;UNUSED&gt;"/>
    <w:docVar w:name="LW_SOUS.TITRE.OBJ.CP" w:val="&lt;UNUSED&gt;"/>
    <w:docVar w:name="LW_SUPERTITRE" w:val="&lt;UNUSED&gt;"/>
    <w:docVar w:name="LW_TITRE.OBJ.CP" w:val="Rumunijos pa\u382?anga pagal bendradarbiavimo ir tikrinimo mechanizm\u261?"/>
    <w:docVar w:name="LW_TYPE.DOC.CP" w:val="KOMISIJOS ATASKAITA EUROPOS PARLAMENTUI IR TARYBAI"/>
  </w:docVars>
  <w:rsids>
    <w:rsidRoot w:val="00810B37"/>
    <w:rsid w:val="0081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lang w:val="lt-LT" w:eastAsia="lt-LT"/>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lang w:val="lt-LT" w:eastAsia="lt-LT"/>
    </w:rPr>
  </w:style>
  <w:style w:type="character" w:styleId="FootnoteReference">
    <w:name w:val="footnote reference"/>
    <w:aliases w:val="ftref,Footnotes refss,Fussnota,Footnote symbol,Footnote reference number,Times 10 Point,Exposant 3 Point,EN Footnote Reference,note TESI,Footnote Reference Superscript,Zchn Zchn,Footnote number,Footnote Reference Number,BVI fnr,o,Re"/>
    <w:basedOn w:val="DefaultParagraphFont"/>
    <w:uiPriority w:val="99"/>
    <w:unhideWhenUsed/>
    <w:rPr>
      <w:vertAlign w:val="superscript"/>
      <w:lang w:val="lt-LT" w:eastAsia="lt-LT"/>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lt-LT" w:eastAsia="lt-LT"/>
    </w:rPr>
  </w:style>
  <w:style w:type="character" w:customStyle="1" w:styleId="Marker">
    <w:name w:val="Marker"/>
    <w:rPr>
      <w:color w:val="0000FF"/>
      <w:lang w:val="lt-LT" w:eastAsia="lt-L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locked/>
    <w:rPr>
      <w:sz w:val="22"/>
      <w:lang w:val="lt-LT" w:eastAsia="lt-LT"/>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locked/>
    <w:rPr>
      <w:sz w:val="22"/>
      <w:lang w:val="lt-LT" w:eastAsia="lt-LT"/>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rPr>
  </w:style>
  <w:style w:type="character" w:customStyle="1" w:styleId="FooterCoverPageChar">
    <w:name w:val="Footer Cover Page Char"/>
    <w:link w:val="FooterCoverPage"/>
    <w:locked/>
    <w:rPr>
      <w:rFonts w:ascii="Times New Roman" w:hAnsi="Times New Roman"/>
      <w:sz w:val="24"/>
      <w:lang w:val="lt-LT" w:eastAsia="lt-LT"/>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4"/>
    </w:rPr>
  </w:style>
  <w:style w:type="character" w:customStyle="1" w:styleId="HeaderCoverPageChar">
    <w:name w:val="Header Cover Page Char"/>
    <w:link w:val="HeaderCoverPage"/>
    <w:locked/>
    <w:rPr>
      <w:rFonts w:ascii="Times New Roman" w:hAnsi="Times New Roman"/>
      <w:sz w:val="24"/>
      <w:lang w:val="lt-LT" w:eastAsia="lt-LT"/>
    </w:rPr>
  </w:style>
  <w:style w:type="character" w:styleId="CommentReference">
    <w:name w:val="annotation reference"/>
    <w:basedOn w:val="DefaultParagraphFont"/>
    <w:uiPriority w:val="99"/>
    <w:semiHidden/>
    <w:unhideWhenUsed/>
    <w:rPr>
      <w:sz w:val="16"/>
      <w:lang w:val="lt-LT" w:eastAsia="lt-L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lang w:val="lt-LT" w:eastAsia="lt-L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lang w:val="lt-LT" w:eastAsia="lt-LT"/>
    </w:rPr>
  </w:style>
  <w:style w:type="paragraph" w:styleId="PlainText">
    <w:name w:val="Plain Text"/>
    <w:basedOn w:val="Normal"/>
    <w:link w:val="PlainTextChar"/>
    <w:uiPriority w:val="99"/>
    <w:unhideWhenUsed/>
    <w:pPr>
      <w:spacing w:after="0" w:line="240" w:lineRule="auto"/>
    </w:pPr>
    <w:rPr>
      <w:rFonts w:eastAsia="SimSun"/>
      <w:szCs w:val="21"/>
    </w:rPr>
  </w:style>
  <w:style w:type="character" w:customStyle="1" w:styleId="PlainTextChar">
    <w:name w:val="Plain Text Char"/>
    <w:basedOn w:val="DefaultParagraphFont"/>
    <w:link w:val="PlainText"/>
    <w:uiPriority w:val="99"/>
    <w:locked/>
    <w:rPr>
      <w:rFonts w:eastAsia="SimSun"/>
      <w:sz w:val="21"/>
      <w:lang w:val="lt-LT" w:eastAsia="lt-LT"/>
    </w:rPr>
  </w:style>
  <w:style w:type="character" w:styleId="Hyperlink">
    <w:name w:val="Hyperlink"/>
    <w:basedOn w:val="DefaultParagraphFont"/>
    <w:uiPriority w:val="99"/>
    <w:unhideWhenUsed/>
    <w:rPr>
      <w:color w:val="0000FF"/>
      <w:u w:val="single"/>
      <w:lang w:val="lt-LT" w:eastAsia="lt-LT"/>
    </w:rPr>
  </w:style>
  <w:style w:type="paragraph" w:styleId="ListParagraph">
    <w:name w:val="List Paragraph"/>
    <w:basedOn w:val="Normal"/>
    <w:uiPriority w:val="34"/>
    <w:qFormat/>
    <w:pPr>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ec.europa.eu/COMMFrontOffice/PublicOpinion/index.cfm/Survey/getSurveyDetail/instruments/FLASH/surveyKy/2084" TargetMode="External"/><Relationship Id="rId2" Type="http://schemas.openxmlformats.org/officeDocument/2006/relationships/hyperlink" Target="https://search.coe.int/cm/Pages/result_details.aspx?ObjectId=09000016806d8adb" TargetMode="External"/><Relationship Id="rId1" Type="http://schemas.openxmlformats.org/officeDocument/2006/relationships/hyperlink" Target="%20http://www.inscop.ro/wp-content/uploads/2016/04/INSCOP-raport-martie-2016-INCREDERE-INSTITUTII.pdf." TargetMode="External"/><Relationship Id="rId4" Type="http://schemas.openxmlformats.org/officeDocument/2006/relationships/hyperlink" Target="http://www.echr.coe.int/Documents/Guide_Art_6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A6098-B9E6-43C9-9069-0A96C8E0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20</TotalTime>
  <Pages>15</Pages>
  <Words>5569</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cp:lastPrinted>2017-01-23T10:03:00Z</cp:lastPrinted>
  <dcterms:created xsi:type="dcterms:W3CDTF">2017-01-24T09:20:00Z</dcterms:created>
  <dcterms:modified xsi:type="dcterms:W3CDTF">2017-01-30T08:53:00Z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