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6BCF089608948379E6FF28126FAB474"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rPr>
        <w:t>•</w:t>
      </w:r>
      <w:r>
        <w:rPr>
          <w:noProof/>
        </w:rPr>
        <w:tab/>
        <w:t>Pasiūlymo pagrindimas ir tikslai</w:t>
      </w:r>
    </w:p>
    <w:p>
      <w:pPr>
        <w:pBdr>
          <w:top w:val="nil"/>
          <w:left w:val="nil"/>
          <w:bottom w:val="nil"/>
          <w:right w:val="nil"/>
          <w:between w:val="nil"/>
          <w:bar w:val="nil"/>
        </w:pBdr>
        <w:spacing w:before="0" w:after="240"/>
        <w:rPr>
          <w:b/>
          <w:noProof/>
          <w:u w:val="single"/>
        </w:rPr>
      </w:pPr>
      <w:r>
        <w:rPr>
          <w:b/>
          <w:noProof/>
          <w:u w:val="single"/>
        </w:rPr>
        <w:t>Įvadas</w:t>
      </w:r>
    </w:p>
    <w:p>
      <w:pPr>
        <w:pBdr>
          <w:top w:val="nil"/>
          <w:left w:val="nil"/>
          <w:bottom w:val="nil"/>
          <w:right w:val="nil"/>
          <w:between w:val="nil"/>
          <w:bar w:val="nil"/>
        </w:pBdr>
        <w:spacing w:before="0" w:after="240"/>
        <w:rPr>
          <w:noProof/>
        </w:rPr>
      </w:pPr>
      <w:r>
        <w:rPr>
          <w:noProof/>
        </w:rPr>
        <w:t xml:space="preserve">2016 m. gegužės 12 d. Komisijos pasiūlymu Taryba priėmė įgyvendinimo sprendimą, kuriame pateikiama rekomendacija dėl laikinos vidaus sienų kontrolės išimtinėmis aplinkybėmis, keliančiomis pavojų bendram Šengeno erdvės veikimui. Tai buvo pirmas kartas, kai buvo pasinaudota Šengeno sienų kodekso 29 straipsnyje nustatyta apsaugos procedūra. Dėl to, kad tuo metu Graikijoje buvo didelių išorės sienų kontrolės trūkumų ir daug neregistruotų migrantų, kurie galėjo siekti neteisėtai persikelti į kitas valstybes nares, susidarė išskirtinės aplinkybės, kurios kėlė didelę grėsmę viešajai tvarkai ir vidaus saugumui bei bendram Šengeno erdvės veikimui. </w:t>
      </w:r>
    </w:p>
    <w:p>
      <w:pPr>
        <w:pBdr>
          <w:top w:val="nil"/>
          <w:left w:val="nil"/>
          <w:bottom w:val="nil"/>
          <w:right w:val="nil"/>
          <w:between w:val="nil"/>
          <w:bar w:val="nil"/>
        </w:pBdr>
        <w:spacing w:before="0" w:after="240"/>
        <w:rPr>
          <w:noProof/>
        </w:rPr>
      </w:pPr>
      <w:r>
        <w:rPr>
          <w:noProof/>
        </w:rPr>
        <w:t xml:space="preserve">Rekomendacija buvo skirta penkioms Šengeno valstybėms (Austrijai, Vokietijai, Danijai, Švedijai ir Norvegijai) ir buvo susijusi su ribotu šių valstybių vidaus sienų ruožų skaičiumi. </w:t>
      </w:r>
    </w:p>
    <w:p>
      <w:pPr>
        <w:pBdr>
          <w:top w:val="nil"/>
          <w:left w:val="nil"/>
          <w:bottom w:val="nil"/>
          <w:right w:val="nil"/>
          <w:between w:val="nil"/>
          <w:bar w:val="nil"/>
        </w:pBdr>
        <w:spacing w:before="0" w:after="240"/>
        <w:rPr>
          <w:noProof/>
        </w:rPr>
      </w:pPr>
      <w:r>
        <w:rPr>
          <w:noProof/>
        </w:rPr>
        <w:t>Pagal rekomendaciją buvo leista išlaikyti tikslinę proporcingą kontrolę šešių mėnesių laikotarpį, t. y. iki 2016 m. lapkričio 12 d.</w:t>
      </w:r>
    </w:p>
    <w:p>
      <w:pPr>
        <w:pBdr>
          <w:top w:val="nil"/>
          <w:left w:val="nil"/>
          <w:bottom w:val="nil"/>
          <w:right w:val="nil"/>
          <w:between w:val="nil"/>
          <w:bar w:val="nil"/>
        </w:pBdr>
        <w:spacing w:before="0" w:after="240"/>
        <w:rPr>
          <w:noProof/>
        </w:rPr>
      </w:pPr>
      <w:r>
        <w:rPr>
          <w:noProof/>
        </w:rPr>
        <w:t>Pagal Šengeno sienų kodekso 29 straipsnį šį laikotarpį galima pratęsti vadovaujantis tame straipsnyje nustatytomis sąlygomis ir procedūra.</w:t>
      </w:r>
    </w:p>
    <w:p>
      <w:pPr>
        <w:pBdr>
          <w:top w:val="nil"/>
          <w:left w:val="nil"/>
          <w:bottom w:val="nil"/>
          <w:right w:val="nil"/>
          <w:between w:val="nil"/>
          <w:bar w:val="nil"/>
        </w:pBdr>
        <w:spacing w:before="0" w:after="240"/>
        <w:rPr>
          <w:b/>
          <w:noProof/>
          <w:u w:val="single"/>
        </w:rPr>
      </w:pPr>
      <w:r>
        <w:rPr>
          <w:b/>
          <w:noProof/>
          <w:u w:val="single"/>
        </w:rPr>
        <w:t>Dabartinė padėtis</w:t>
      </w:r>
    </w:p>
    <w:p>
      <w:pPr>
        <w:pBdr>
          <w:top w:val="nil"/>
          <w:left w:val="nil"/>
          <w:bottom w:val="nil"/>
          <w:right w:val="nil"/>
          <w:between w:val="nil"/>
          <w:bar w:val="nil"/>
        </w:pBdr>
        <w:spacing w:before="0" w:after="240"/>
        <w:rPr>
          <w:noProof/>
        </w:rPr>
      </w:pPr>
      <w:r>
        <w:rPr>
          <w:noProof/>
        </w:rPr>
        <w:t>Po gegužės 12 d. Tarybos rekomendacijos atitinkamos penkios Šengeno valstybės pranešė Komisijai, kad įgyvendins rekomenduojamą laikiną vidaus sienų kontrolę.</w:t>
      </w:r>
    </w:p>
    <w:p>
      <w:pPr>
        <w:pBdr>
          <w:top w:val="nil"/>
          <w:left w:val="nil"/>
          <w:bottom w:val="nil"/>
          <w:right w:val="nil"/>
          <w:between w:val="nil"/>
          <w:bar w:val="nil"/>
        </w:pBdr>
        <w:spacing w:before="0" w:after="240"/>
        <w:rPr>
          <w:noProof/>
        </w:rPr>
      </w:pPr>
      <w:r>
        <w:rPr>
          <w:noProof/>
        </w:rPr>
        <w:t>Rekomendacijoje numatytoje 2016 m. rugsėjo 28 d. ataskaitoje, kuri grindžiama iš atitinkamų Šengeno valstybių gauta informacija, Komisija nustatė, kad sienų kontrolė neviršijo rekomendacijoje nustatytų apribojimų: buvo kontroliuojami tik nustatyti migracijos maršrutai ir grėsmės; kontrolė buvo tikslinė, jos apimtis, dažnumas, vieta ir laikas buvo riboti, kontroliuojant tik tai, ką buvo būtina kontroliuoti, siekiant spręsti nustatytos grėsmės klausimą, ir kartu, nors negalima atmesti tam tikro ekonominio poveikio galimybės, kontrolė padarė minimalų poveikį plačiosios visuomenės atstovams kertant vidaus sienas. Be to, remdamasi tuo metu turima informacija Komisija padarė išvadą, kad nemato poreikio siūlyti iš dalies rekomendaciją keisti.</w:t>
      </w:r>
    </w:p>
    <w:p>
      <w:pPr>
        <w:pBdr>
          <w:top w:val="nil"/>
          <w:left w:val="nil"/>
          <w:bottom w:val="nil"/>
          <w:right w:val="nil"/>
          <w:between w:val="nil"/>
          <w:bar w:val="nil"/>
        </w:pBdr>
        <w:spacing w:before="0" w:after="240"/>
        <w:rPr>
          <w:noProof/>
        </w:rPr>
      </w:pPr>
      <w:r>
        <w:rPr>
          <w:noProof/>
        </w:rPr>
        <w:t xml:space="preserve">2016 m. spalio 18 ir 21 d. atitinkamos Šengeno valstybės pateikė Komisijai antrą ataskaitą dėl Tarybos rekomendacijos įgyvendinimo. Pateiktos informacijos tendencijos yra panašios į pirmoje ataskaitoje pateiktų duomenų tendencijas (mažėjo neįleistų asmenų skaičius ir gautų prašymų suteikti prieglobstį skaičius), tai rodo, kad padėtis laipsniškai stabilizuojasi. Spalio 20 d. rašte Komisijai penkios Šengeno valstybės pabrėžė, kad būtina leisti tęsti laikiną sienų kontrolę. Slovėnija taip pat savo spalio 6 d. rašte Komisijai išreiškė susirūpinimą dėl galimo Austrijos ir Slovėnijos sienos kontrolės pratęsimo. </w:t>
      </w:r>
    </w:p>
    <w:p>
      <w:pPr>
        <w:pBdr>
          <w:top w:val="nil"/>
          <w:left w:val="nil"/>
          <w:bottom w:val="nil"/>
          <w:right w:val="nil"/>
          <w:between w:val="nil"/>
          <w:bar w:val="nil"/>
        </w:pBdr>
        <w:spacing w:before="0" w:after="240"/>
        <w:rPr>
          <w:noProof/>
        </w:rPr>
      </w:pPr>
      <w:r>
        <w:rPr>
          <w:noProof/>
        </w:rPr>
        <w:t>Grįžimo prie Šengeno nuostatų veiksmų plane</w:t>
      </w:r>
      <w:r>
        <w:rPr>
          <w:rStyle w:val="FootnoteReference"/>
          <w:noProof/>
        </w:rPr>
        <w:footnoteReference w:id="1"/>
      </w:r>
      <w:r>
        <w:rPr>
          <w:noProof/>
        </w:rPr>
        <w:t xml:space="preserve"> buvo numatyta keletas iniciatyvų: be kita ko, pradėti taikyti Šengeno sienų kodekso 29 straipsnį ir priimti suderintą ES lygmens požiūrį į laikiną sienų kontrolę; veiksmų planu buvo siekiama sudaryti sąlygas iki 2016 m. pabaigos nutraukti visų vidaus sienų kontrolę ir grįžti prie įprastai veikiančios Šengeno erdvės.</w:t>
      </w:r>
    </w:p>
    <w:p>
      <w:pPr>
        <w:pBdr>
          <w:top w:val="nil"/>
          <w:left w:val="nil"/>
          <w:bottom w:val="nil"/>
          <w:right w:val="nil"/>
          <w:between w:val="nil"/>
          <w:bar w:val="nil"/>
        </w:pBdr>
        <w:spacing w:before="0" w:after="240"/>
        <w:rPr>
          <w:noProof/>
        </w:rPr>
      </w:pPr>
      <w:r>
        <w:rPr>
          <w:noProof/>
        </w:rPr>
        <w:t xml:space="preserve">Nepaisant to, kad į Europos Sąjungą atvykstančių neteisėtų migrantų ir prieglobsčio prašytojų skaičiai labai sumažėjo (visų pirma pradėjus įgyvendinti ES ir Turkijos pareiškimą), vis dar yra daug Graikijoje likusių neteisėtų migrantų (apie 60 000), kurie, kaip galima manyti, gali siekti neteisėtai persikelti į kitas valstybes nares. </w:t>
      </w:r>
    </w:p>
    <w:p>
      <w:pPr>
        <w:pBdr>
          <w:top w:val="nil"/>
          <w:left w:val="nil"/>
          <w:bottom w:val="nil"/>
          <w:right w:val="nil"/>
          <w:between w:val="nil"/>
          <w:bar w:val="nil"/>
        </w:pBdr>
        <w:spacing w:before="0" w:after="240"/>
        <w:rPr>
          <w:noProof/>
        </w:rPr>
      </w:pPr>
      <w:r>
        <w:rPr>
          <w:noProof/>
        </w:rPr>
        <w:t xml:space="preserve">Be to, rekomendacijoje nurodytų Šengeno valstybių priimtas bendras prieglobsčio prašymų skaičius tebelieka svarbus veiksnys, net jei jis neprilygsta per tą patį praėjusių metų laikotarpį gautam prašymų skaičiui. Dėl didelio skaičiaus neteisėtų migrantų ir prieglobsčio prašytojų atvykimo į Europos Sąjungą nuo 2015 m. rudens visoms ES valstybėms narėms kilo didelių sunkumų, į kuriuos būtina atsižvelgti. Šie sunkumai yra susiję su tinkamų apgyvendinimo vietų, galimybių naudotis švietimo ir sveikatos priežiūros sistemomis suteikimu asmenims, atvykusiems nuo praėjusių metų. Be to, likusių neišnagrinėtų prašymų tvarkymas, nauji atvykstantys asmenys ir prašymai suteikti apsaugą daro nuolatinį spaudimą šių valstybių administracijų veikimui. </w:t>
      </w:r>
    </w:p>
    <w:p>
      <w:pPr>
        <w:pBdr>
          <w:top w:val="nil"/>
          <w:left w:val="nil"/>
          <w:bottom w:val="nil"/>
          <w:right w:val="nil"/>
          <w:between w:val="nil"/>
          <w:bar w:val="nil"/>
        </w:pBdr>
        <w:spacing w:before="0" w:after="240"/>
        <w:rPr>
          <w:noProof/>
        </w:rPr>
      </w:pPr>
      <w:r>
        <w:rPr>
          <w:noProof/>
        </w:rPr>
        <w:t xml:space="preserve">Nepaisant didelės pažangos, kitiems „Grįžimo prie Šengeno erdvės nuostatų veiksmų plano“ veiksmams visapusiškai įgyvendinti ir atitinkamiems rezultatams patvirtinti vis dar reikia laiko. </w:t>
      </w:r>
    </w:p>
    <w:p>
      <w:pPr>
        <w:pBdr>
          <w:top w:val="nil"/>
          <w:left w:val="nil"/>
          <w:bottom w:val="nil"/>
          <w:right w:val="nil"/>
          <w:between w:val="nil"/>
          <w:bar w:val="nil"/>
        </w:pBdr>
        <w:spacing w:before="0" w:after="240"/>
        <w:rPr>
          <w:noProof/>
        </w:rPr>
      </w:pPr>
      <w:r>
        <w:rPr>
          <w:noProof/>
        </w:rPr>
        <w:t>Šiomis aplinkybėmis teisės aktas dėl Europos sienų ir pakrančių apsaugos pajėgų buvo priimtas ir įsigaliojo per rekordiškai trumpą laiką. Tačiau dar reikia sukurti greitojo reagavimo (žmogiškųjų išteklių ir techninės įrangos) rezervus ir skubaus grąžinimo rezervus, kurie turi pradėti veikti atitinkamai 2016 m. gruodžio 7 d. ir 2017 m. sausio 7 d. Pirmieji pažeidžiamumo vertinimai turėtų būti parengti per tris pirmus 2017 m. mėnesius.</w:t>
      </w:r>
    </w:p>
    <w:p>
      <w:pPr>
        <w:pBdr>
          <w:top w:val="nil"/>
          <w:left w:val="nil"/>
          <w:bottom w:val="nil"/>
          <w:right w:val="nil"/>
          <w:between w:val="nil"/>
          <w:bar w:val="nil"/>
        </w:pBdr>
        <w:spacing w:before="0" w:after="240"/>
        <w:rPr>
          <w:noProof/>
        </w:rPr>
      </w:pPr>
      <w:r>
        <w:rPr>
          <w:noProof/>
        </w:rPr>
        <w:t>Įgyvendinant ES ir Turkijos pareiškimą nuolat daroma pažanga. Nepaisant to, į Graikijos salas vidutiniškai tebeatvyksta 107 asmenys per parą. Svarbu toliau užtikrinti, kad pareiškimas būtų įgyvendinamas tvariai. Be to, dėl to, kad migrantai į Serbiją tebeatvyksta, išlieka poreikis bendradarbiauti, kaip buvo susitarta Vakarų Balkanų maršruto šalių vadovų susitikime priimtame pareiškime.</w:t>
      </w:r>
    </w:p>
    <w:p>
      <w:pPr>
        <w:pBdr>
          <w:top w:val="nil"/>
          <w:left w:val="nil"/>
          <w:bottom w:val="nil"/>
          <w:right w:val="nil"/>
          <w:between w:val="nil"/>
          <w:bar w:val="nil"/>
        </w:pBdr>
        <w:spacing w:before="0" w:after="240"/>
        <w:rPr>
          <w:noProof/>
        </w:rPr>
      </w:pPr>
      <w:r>
        <w:rPr>
          <w:noProof/>
        </w:rPr>
        <w:t>Todėl išskirtinės aplinkybės, kurios kelia didelę grėsmę viešajai tvarkai ir vidaus saugumui ir kelia pavojų visos Šengeno erdvės veikimui, išlieka.</w:t>
      </w:r>
    </w:p>
    <w:p>
      <w:pPr>
        <w:pBdr>
          <w:top w:val="nil"/>
          <w:left w:val="nil"/>
          <w:bottom w:val="nil"/>
          <w:right w:val="nil"/>
          <w:between w:val="nil"/>
          <w:bar w:val="nil"/>
        </w:pBdr>
        <w:spacing w:before="0" w:after="240"/>
        <w:rPr>
          <w:b/>
          <w:noProof/>
          <w:u w:val="single"/>
        </w:rPr>
      </w:pPr>
      <w:r>
        <w:rPr>
          <w:b/>
          <w:noProof/>
          <w:u w:val="single"/>
        </w:rPr>
        <w:t>Tolesni veiksmai</w:t>
      </w:r>
    </w:p>
    <w:p>
      <w:pPr>
        <w:pBdr>
          <w:top w:val="nil"/>
          <w:left w:val="nil"/>
          <w:bottom w:val="nil"/>
          <w:right w:val="nil"/>
          <w:between w:val="nil"/>
          <w:bar w:val="nil"/>
        </w:pBdr>
        <w:spacing w:before="0" w:after="240"/>
        <w:rPr>
          <w:noProof/>
        </w:rPr>
      </w:pPr>
      <w:r>
        <w:rPr>
          <w:noProof/>
        </w:rPr>
        <w:t xml:space="preserve">Atsižvelgiant į pirmiau nurodytus faktus matyti, kad dar nėra sąlygų, kurias buvo siekiama sukurti „Grįžimo prie Šengeno erdvės nuostatų veiksmų planu“, kad būtų galima panaikinti visų vidaus sienų kontrolę ir grįžti prie įprastai veikiančios Šengeno erdvės. Tačiau pasiekta svarbių stabilių rezultatų siekiant atkurti visapusiškai veikiančią Šengeno erdvę. Tačiau šiame etape padėtis Graikijoje ir Vakarų Balkanų maršrute išlieka nestabili ir valstybės narės, kurioms tenka didžiausia neteisėtų migrantų antrinio judėjimo našta, patiria didelį spaudimą. Visapusiškas Europos sienų ir pakrančių apsaugos pajėgų, kurios dar labiau sustiprins ES išorės sienų apsaugą, nuostatų įgyvendinimas bus užbaigtas 2017 m. sausio mėn. Tolesnis ES ir Turkijos pareiškimo įgyvendinimas padės toliau mažinti į ES atvykstančių asmenų skaičių ir užtikrins sąlygas, kuriomis nacionalinės sistemos galės toliau tvarkyti susikaupusius prieglobsčio prašymus ir stiprinti priėmimo pajėgumus. </w:t>
      </w:r>
    </w:p>
    <w:p>
      <w:pPr>
        <w:pBdr>
          <w:top w:val="nil"/>
          <w:left w:val="nil"/>
          <w:bottom w:val="nil"/>
          <w:right w:val="nil"/>
          <w:between w:val="nil"/>
          <w:bar w:val="nil"/>
        </w:pBdr>
        <w:spacing w:before="0" w:after="240"/>
        <w:rPr>
          <w:noProof/>
        </w:rPr>
      </w:pPr>
      <w:r>
        <w:rPr>
          <w:noProof/>
        </w:rPr>
        <w:t>Būtina nuosekliai atkurti visapusišką esamų Dublino reglamento taisyklių taikymą visapusiškai dalyvaujant Graikijai pagal Komisijos rekomendacijas</w:t>
      </w:r>
      <w:r>
        <w:rPr>
          <w:rStyle w:val="FootnoteReference"/>
          <w:noProof/>
        </w:rPr>
        <w:footnoteReference w:id="2"/>
      </w:r>
      <w:r>
        <w:rPr>
          <w:noProof/>
        </w:rPr>
        <w:t xml:space="preserve">, kartu ateičiai tobulinti šias taisykles remiantis solidarumo ir atsakomybės nuostatomis. Be to, naudojantis dar 2015 m. rugsėjo mėn. sukurtais skubaus perkėlimo Europos Sąjungoje mechanizmais reikėtų toliau siekti konkrečių rezultatų, susijusių su perkeltų asmenų skaičiais. Galiausiai būtina aktyviau grąžinti asmenis, neturinčius teisės pasilikti Europos Sąjungoje. </w:t>
      </w:r>
    </w:p>
    <w:p>
      <w:pPr>
        <w:pBdr>
          <w:top w:val="nil"/>
          <w:left w:val="nil"/>
          <w:bottom w:val="nil"/>
          <w:right w:val="nil"/>
          <w:between w:val="nil"/>
          <w:bar w:val="nil"/>
        </w:pBdr>
        <w:spacing w:before="0" w:after="240"/>
        <w:rPr>
          <w:noProof/>
        </w:rPr>
      </w:pPr>
      <w:r>
        <w:rPr>
          <w:noProof/>
        </w:rPr>
        <w:t>Todėl yra pagrindo leisti atitinkamoms valstybėms narėms dar vienam proporcingam laikotarpiui pratęsti dabartinę vidaus sienų kontrolę, kaip išskirtinę priemonę. Remiantis šiuo metu turimais faktiniais duomenimis, pratęsimas neturėtų būti ilgesnis negu trys mėnesiai.</w:t>
      </w:r>
    </w:p>
    <w:p>
      <w:pPr>
        <w:pBdr>
          <w:top w:val="nil"/>
          <w:left w:val="nil"/>
          <w:bottom w:val="nil"/>
          <w:right w:val="nil"/>
          <w:between w:val="nil"/>
          <w:bar w:val="nil"/>
        </w:pBdr>
        <w:spacing w:before="0" w:after="240"/>
        <w:rPr>
          <w:b/>
          <w:noProof/>
          <w:u w:val="single"/>
        </w:rPr>
      </w:pPr>
      <w:r>
        <w:rPr>
          <w:b/>
          <w:noProof/>
          <w:u w:val="single"/>
        </w:rPr>
        <w:t>Pasiūlymo taikymo sritis</w:t>
      </w:r>
    </w:p>
    <w:p>
      <w:pPr>
        <w:pBdr>
          <w:top w:val="nil"/>
          <w:left w:val="nil"/>
          <w:bottom w:val="nil"/>
          <w:right w:val="nil"/>
          <w:between w:val="nil"/>
          <w:bar w:val="nil"/>
        </w:pBdr>
        <w:spacing w:before="0" w:after="240"/>
        <w:rPr>
          <w:noProof/>
        </w:rPr>
      </w:pPr>
      <w:r>
        <w:rPr>
          <w:noProof/>
        </w:rPr>
        <w:t>Šiuo metu pagal 2016 m. gegužės 12 d. Tarybos rekomendaciją vidaus sienų kontrolę vykdančioms Šengeno valstybėms turėtų būti leista ją tęsti.</w:t>
      </w:r>
    </w:p>
    <w:p>
      <w:pPr>
        <w:pBdr>
          <w:top w:val="nil"/>
          <w:left w:val="nil"/>
          <w:bottom w:val="nil"/>
          <w:right w:val="nil"/>
          <w:between w:val="nil"/>
          <w:bar w:val="nil"/>
        </w:pBdr>
        <w:spacing w:before="0" w:after="240"/>
        <w:rPr>
          <w:noProof/>
        </w:rPr>
      </w:pPr>
      <w:r>
        <w:rPr>
          <w:noProof/>
        </w:rPr>
        <w:t>Tačiau, kadangi padėtis laipsniškai stabilizuojasi, pasienio kontrolė turėtų būti tik kraštutinė priemonė, kai kitomis, mažiau tarpvalstybinį eismą ribojančiomis priemonėmis, pvz., policijos patikrinimais pagal Šengeno sienų kodekso 23 straipsnį, neįmanoma tinkamai pašalinti nustatytų grėsmių. Atitinkamai valstybės narės, kurios nusprendžia tęsti vidaus sienų kontrolę pagal šią rekomendaciją, prieš ją pratęsdamos turėtų išnagrinėti visas turimas alternatyvias sienų kontrolės priemones. Atitinkamos valstybės narės turėtų pranešti apie šio nagrinėjimo rezultatus pranešime kitoms valstybėms narėms, Europos Parlamentui ir Komisijai dėl vidaus sienų kontrolės išsaugojimo.</w:t>
      </w:r>
    </w:p>
    <w:p>
      <w:pPr>
        <w:pBdr>
          <w:top w:val="nil"/>
          <w:left w:val="nil"/>
          <w:bottom w:val="nil"/>
          <w:right w:val="nil"/>
          <w:between w:val="nil"/>
          <w:bar w:val="nil"/>
        </w:pBdr>
        <w:spacing w:before="0" w:after="240"/>
        <w:rPr>
          <w:noProof/>
        </w:rPr>
      </w:pPr>
      <w:r>
        <w:rPr>
          <w:noProof/>
        </w:rPr>
        <w:t xml:space="preserve">Kaip nurodyta 2016 m. spalio 20 d. Europos Vadovų Tarybos išvadose dėl migracijos, grįžimo prie Šengeno erdvės nuostatų procesas susijęs su laikinos vidaus sienų kontrolės priderinimu prie dabartinių poreikių. Vidaus sienų kontrolė turėtų būti vykdoma tik remiantis rizikos analize ir žvalgybiniais duomenimis, o jos taikymo sritis, dažnumas, vieta ir laikas neturėtų viršyti to, kas tikrai būtina reaguojant į didelę grėsmę ir saugant viešąją tvarką ir vidaus saugumą. Valstybė narė, kuri toliau vykdo vidaus sienų kontrolę pagal šią rekomendaciją, kas savaitę turėtų peržiūrėti šios kontrolės veiksmų poreikį, dažnumą, vietą ir laiką, kontrolės veiksmus priderinti prie grėsmės lygio, ir, jei reikia, jų atsisakyti. Pagal šią rekomendaciją vidaus sienų kontrolę taikanti valstybė narė taip pat turėtų reguliariai keistis nuomonėmis su atitinkama (-omis) valstybe (-ėmis) nare (-ėmis) siekdama užtikrinti, kad vidaus sienų kontrolė būtų vykdoma tik tuose vidaus sienų ruožuose, kuriuose, kaip manoma, tai yra būtina ir proporcinga pagal Šengeno sienų kodeksą. </w:t>
      </w:r>
    </w:p>
    <w:p>
      <w:pPr>
        <w:pBdr>
          <w:top w:val="nil"/>
          <w:left w:val="nil"/>
          <w:bottom w:val="nil"/>
          <w:right w:val="nil"/>
          <w:between w:val="nil"/>
          <w:bar w:val="nil"/>
        </w:pBdr>
        <w:spacing w:before="0" w:after="240"/>
        <w:rPr>
          <w:noProof/>
        </w:rPr>
      </w:pPr>
      <w:r>
        <w:rPr>
          <w:noProof/>
        </w:rPr>
        <w:t>Turėtų būti nustatyta išsamesnių ataskaitų teikimo pareiga. Pasibaigus kiekvienam šios rekomendacijos įgyvendinimo mėnesiui atitinkamos valstybės narės turėtų atsiskaityti Komisijai dėl vykdytos kontrolės rezultatų ir prireikus vertinimo, ar būtina šią kontrolę tęsti. Į šią ataskaitą turėtų būti įtrauktas bent bendras patikrintų asmenų skaičius, bendras asmenų, kuriems, atlikus patikrinimą, atsisakyta leisti atvykti, skaičius, bendras sprendimų grąžinti, išduotų atlikus patikrinimą, skaičius ir bendras prie vidaus sienų, prie kurių vyko patikrinimai, gautų prieglobsčio prašymų, skaičius.</w:t>
      </w:r>
    </w:p>
    <w:p>
      <w:pPr>
        <w:pBdr>
          <w:top w:val="nil"/>
          <w:left w:val="nil"/>
          <w:bottom w:val="nil"/>
          <w:right w:val="nil"/>
          <w:between w:val="nil"/>
          <w:bar w:val="nil"/>
        </w:pBdr>
        <w:spacing w:before="0" w:after="240"/>
        <w:rPr>
          <w:rFonts w:eastAsia="Arial Unicode MS"/>
          <w:noProof/>
        </w:rPr>
      </w:pPr>
      <w:r>
        <w:rPr>
          <w:noProof/>
        </w:rPr>
        <w:t>Komisija atidžiai stebės šios rekomendacijos taikymą ir padėtį vietoje.</w:t>
      </w:r>
    </w:p>
    <w:p>
      <w:pPr>
        <w:pStyle w:val="ManualHeading2"/>
        <w:rPr>
          <w:rFonts w:eastAsia="Arial Unicode MS"/>
          <w:noProof/>
          <w:u w:color="000000"/>
          <w:bdr w:val="nil"/>
        </w:rPr>
      </w:pPr>
      <w:r>
        <w:rPr>
          <w:noProof/>
        </w:rPr>
        <w:t>•</w:t>
      </w:r>
      <w:r>
        <w:rPr>
          <w:noProof/>
        </w:rPr>
        <w:tab/>
        <w:t>Suderinamumas su toje pačioje politikos srityje galiojančiomis nuostatomis</w:t>
      </w:r>
    </w:p>
    <w:p>
      <w:pPr>
        <w:pBdr>
          <w:top w:val="nil"/>
          <w:left w:val="nil"/>
          <w:bottom w:val="nil"/>
          <w:right w:val="nil"/>
          <w:between w:val="nil"/>
          <w:bar w:val="nil"/>
        </w:pBdr>
        <w:spacing w:before="0" w:after="240"/>
        <w:rPr>
          <w:noProof/>
        </w:rPr>
      </w:pPr>
      <w:r>
        <w:rPr>
          <w:noProof/>
        </w:rPr>
        <w:t>Šia rekomendacija siekiama įgyvendinti šioje politikos srityje galiojančias nuostatas.</w:t>
      </w:r>
    </w:p>
    <w:p>
      <w:pPr>
        <w:pStyle w:val="ManualHeading2"/>
        <w:rPr>
          <w:rFonts w:eastAsia="Arial Unicode MS"/>
          <w:noProof/>
        </w:rPr>
      </w:pPr>
      <w:r>
        <w:rPr>
          <w:noProof/>
        </w:rPr>
        <w:t>•</w:t>
      </w:r>
      <w:r>
        <w:rPr>
          <w:noProof/>
        </w:rPr>
        <w:tab/>
        <w:t>Suderinamumas su kitomis Sąjungos politikos sritimis</w:t>
      </w:r>
    </w:p>
    <w:p>
      <w:pPr>
        <w:pBdr>
          <w:top w:val="nil"/>
          <w:left w:val="nil"/>
          <w:bottom w:val="nil"/>
          <w:right w:val="nil"/>
          <w:between w:val="nil"/>
          <w:bar w:val="nil"/>
        </w:pBdr>
        <w:spacing w:before="0" w:after="240"/>
        <w:rPr>
          <w:noProof/>
        </w:rPr>
      </w:pPr>
      <w:r>
        <w:rPr>
          <w:noProof/>
        </w:rPr>
        <w:t>Ši rekomendacija yra susijusi su Sąjungos vidaus rinkos ir migracijos ir prieglobsčio politika.</w:t>
      </w:r>
    </w:p>
    <w:p>
      <w:pPr>
        <w:pStyle w:val="ManualHeading1"/>
        <w:rPr>
          <w:noProof/>
        </w:rPr>
      </w:pPr>
      <w:r>
        <w:rPr>
          <w:noProof/>
        </w:rPr>
        <w:t>2.</w:t>
      </w:r>
      <w:r>
        <w:rPr>
          <w:noProof/>
        </w:rPr>
        <w:tab/>
        <w:t>TEISINIS PAGRINDAS, SUBSIDIARUMO IR PROPORCINGUMO PRINCIPAI</w:t>
      </w:r>
    </w:p>
    <w:p>
      <w:pPr>
        <w:pStyle w:val="ManualHeading2"/>
        <w:rPr>
          <w:rFonts w:eastAsia="Arial Unicode MS"/>
          <w:noProof/>
          <w:u w:color="000000"/>
          <w:bdr w:val="nil"/>
        </w:rPr>
      </w:pPr>
      <w:r>
        <w:rPr>
          <w:noProof/>
        </w:rPr>
        <w:t>•</w:t>
      </w:r>
      <w:r>
        <w:rPr>
          <w:noProof/>
        </w:rPr>
        <w:tab/>
        <w:t>Teisinis pagrindas</w:t>
      </w:r>
    </w:p>
    <w:p>
      <w:pPr>
        <w:pBdr>
          <w:top w:val="nil"/>
          <w:left w:val="nil"/>
          <w:bottom w:val="nil"/>
          <w:right w:val="nil"/>
          <w:between w:val="nil"/>
          <w:bar w:val="nil"/>
        </w:pBdr>
        <w:spacing w:before="0" w:after="240"/>
        <w:rPr>
          <w:noProof/>
        </w:rPr>
      </w:pPr>
      <w:r>
        <w:rPr>
          <w:noProof/>
        </w:rPr>
        <w:t>2016 m. kovo 9 d. Europos Parlamento ir Tarybos reglamento (ES) Nr. 2016/399 dėl Sąjungos kodekso, kuriuo nustatomos asmenų judėjimą per sienas reglamentuojančios taisyklės (Šengeno sienų kodeksas) 29 straipsnis.</w:t>
      </w:r>
    </w:p>
    <w:p>
      <w:pPr>
        <w:pStyle w:val="ManualHeading2"/>
        <w:rPr>
          <w:rFonts w:eastAsia="Arial Unicode MS"/>
          <w:noProof/>
          <w:u w:color="000000"/>
          <w:bdr w:val="nil"/>
        </w:rPr>
      </w:pPr>
      <w:r>
        <w:rPr>
          <w:noProof/>
        </w:rPr>
        <w:t>•</w:t>
      </w:r>
      <w:r>
        <w:rPr>
          <w:noProof/>
        </w:rPr>
        <w:tab/>
        <w:t xml:space="preserve">Subsidiarumo principas (neišimtinės kompetencijos atveju) </w:t>
      </w:r>
    </w:p>
    <w:p>
      <w:pPr>
        <w:pBdr>
          <w:top w:val="nil"/>
          <w:left w:val="nil"/>
          <w:bottom w:val="nil"/>
          <w:right w:val="nil"/>
          <w:between w:val="nil"/>
          <w:bar w:val="nil"/>
        </w:pBdr>
        <w:spacing w:before="0" w:after="240"/>
        <w:rPr>
          <w:noProof/>
        </w:rPr>
      </w:pPr>
      <w:r>
        <w:rPr>
          <w:noProof/>
        </w:rPr>
        <w:t>Reglamento (ES) Nr. 2016/399 29 straipsnyje nustatyta, kad remdamasi Komisijos pasiūlymu Taryba priima rekomendaciją dėl laikinos vidaus sienų kontrolės.</w:t>
      </w:r>
    </w:p>
    <w:p>
      <w:pPr>
        <w:rPr>
          <w:noProof/>
        </w:rPr>
      </w:pPr>
      <w:r>
        <w:rPr>
          <w:noProof/>
        </w:rPr>
        <w:t>Veiksmų Sąjungos lygmeniu reikia imtis kilus pavojui visam erdvės be vidaus sienų kontrolės veikimui.</w:t>
      </w:r>
    </w:p>
    <w:p>
      <w:pPr>
        <w:pStyle w:val="ManualHeading2"/>
        <w:rPr>
          <w:rFonts w:eastAsia="Arial Unicode MS"/>
          <w:noProof/>
          <w:u w:color="000000"/>
          <w:bdr w:val="nil"/>
        </w:rPr>
      </w:pPr>
      <w:r>
        <w:rPr>
          <w:noProof/>
        </w:rPr>
        <w:t>•</w:t>
      </w:r>
      <w:r>
        <w:rPr>
          <w:noProof/>
        </w:rPr>
        <w:tab/>
        <w:t>Proporcingumo principas</w:t>
      </w:r>
    </w:p>
    <w:p>
      <w:pPr>
        <w:pBdr>
          <w:top w:val="nil"/>
          <w:left w:val="nil"/>
          <w:bottom w:val="nil"/>
          <w:right w:val="nil"/>
          <w:between w:val="nil"/>
          <w:bar w:val="nil"/>
        </w:pBdr>
        <w:spacing w:before="0" w:after="240"/>
        <w:rPr>
          <w:noProof/>
        </w:rPr>
      </w:pPr>
      <w:r>
        <w:rPr>
          <w:noProof/>
        </w:rPr>
        <w:t>Šiuo pasiūlymu neviršijama to, kas būtina nustatytam tikslui pasiekti.</w:t>
      </w:r>
    </w:p>
    <w:p>
      <w:pPr>
        <w:pStyle w:val="ManualHeading1"/>
        <w:rPr>
          <w:noProof/>
        </w:rPr>
      </w:pPr>
      <w:r>
        <w:rPr>
          <w:noProof/>
        </w:rPr>
        <w:t>3.</w:t>
      </w:r>
      <w:r>
        <w:rPr>
          <w:noProof/>
        </w:rPr>
        <w:tab/>
        <w:t>EX POST VERTINIMO, KONSULTACIJŲ SU SUINTERESUOTOSIOMIS ŠALIMIS IR POVEIKIO VERTINIMO REZULTATAI</w:t>
      </w:r>
    </w:p>
    <w:p>
      <w:pPr>
        <w:pStyle w:val="ManualHeading2"/>
        <w:rPr>
          <w:rFonts w:eastAsia="Arial Unicode MS"/>
          <w:noProof/>
          <w:u w:color="000000"/>
          <w:bdr w:val="nil"/>
        </w:rPr>
      </w:pPr>
      <w:r>
        <w:rPr>
          <w:noProof/>
        </w:rPr>
        <w:t>•</w:t>
      </w:r>
      <w:r>
        <w:rPr>
          <w:noProof/>
        </w:rPr>
        <w:tab/>
        <w:t xml:space="preserve">Galiojančių teisės aktų </w:t>
      </w:r>
      <w:r>
        <w:rPr>
          <w:i/>
          <w:noProof/>
        </w:rPr>
        <w:t>ex post</w:t>
      </w:r>
      <w:r>
        <w:rPr>
          <w:noProof/>
        </w:rPr>
        <w:t xml:space="preserve"> vertinimas ir tinkamumo patikros</w:t>
      </w:r>
    </w:p>
    <w:p>
      <w:pPr>
        <w:pBdr>
          <w:top w:val="nil"/>
          <w:left w:val="nil"/>
          <w:bottom w:val="nil"/>
          <w:right w:val="nil"/>
          <w:between w:val="nil"/>
          <w:bar w:val="nil"/>
        </w:pBdr>
        <w:spacing w:before="0" w:after="240"/>
        <w:rPr>
          <w:noProof/>
        </w:rPr>
      </w:pPr>
      <w:r>
        <w:rPr>
          <w:noProof/>
        </w:rPr>
        <w:t>netaikoma</w:t>
      </w:r>
    </w:p>
    <w:p>
      <w:pPr>
        <w:pStyle w:val="ManualHeading2"/>
        <w:rPr>
          <w:rFonts w:eastAsia="Arial Unicode MS"/>
          <w:noProof/>
          <w:u w:color="000000"/>
          <w:bdr w:val="nil"/>
        </w:rPr>
      </w:pPr>
      <w:r>
        <w:rPr>
          <w:noProof/>
        </w:rPr>
        <w:t>•</w:t>
      </w:r>
      <w:r>
        <w:rPr>
          <w:noProof/>
        </w:rPr>
        <w:tab/>
        <w:t>Konsultacijos su suinteresuotosiomis šalimis</w:t>
      </w:r>
    </w:p>
    <w:p>
      <w:pPr>
        <w:pBdr>
          <w:top w:val="nil"/>
          <w:left w:val="nil"/>
          <w:bottom w:val="nil"/>
          <w:right w:val="nil"/>
          <w:between w:val="nil"/>
          <w:bar w:val="nil"/>
        </w:pBdr>
        <w:spacing w:before="0" w:after="240"/>
        <w:rPr>
          <w:noProof/>
        </w:rPr>
      </w:pPr>
      <w:r>
        <w:rPr>
          <w:noProof/>
        </w:rPr>
        <w:t>Atsižvelgiant į pasiūlymo skubumą, nebuvo galimybių atlikti konsultacijas su suinteresuotosiomis šalimis.</w:t>
      </w:r>
    </w:p>
    <w:p>
      <w:pPr>
        <w:pStyle w:val="ManualHeading2"/>
        <w:rPr>
          <w:rFonts w:eastAsia="Arial Unicode MS"/>
          <w:noProof/>
          <w:u w:color="000000"/>
          <w:bdr w:val="nil"/>
        </w:rPr>
      </w:pPr>
      <w:r>
        <w:rPr>
          <w:noProof/>
        </w:rPr>
        <w:t>•</w:t>
      </w:r>
      <w:r>
        <w:rPr>
          <w:noProof/>
        </w:rPr>
        <w:tab/>
        <w:t>Tiriamųjų duomenų rinkimas ir naudojimas</w:t>
      </w:r>
    </w:p>
    <w:p>
      <w:pPr>
        <w:pBdr>
          <w:top w:val="nil"/>
          <w:left w:val="nil"/>
          <w:bottom w:val="nil"/>
          <w:right w:val="nil"/>
          <w:between w:val="nil"/>
          <w:bar w:val="nil"/>
        </w:pBdr>
        <w:spacing w:before="0" w:after="240"/>
        <w:rPr>
          <w:noProof/>
        </w:rPr>
      </w:pPr>
      <w:r>
        <w:rPr>
          <w:noProof/>
        </w:rPr>
        <w:t>netaikoma</w:t>
      </w:r>
    </w:p>
    <w:p>
      <w:pPr>
        <w:pStyle w:val="ManualHeading2"/>
        <w:rPr>
          <w:rFonts w:eastAsia="Arial Unicode MS"/>
          <w:noProof/>
          <w:u w:color="000000"/>
          <w:bdr w:val="nil"/>
        </w:rPr>
      </w:pPr>
      <w:r>
        <w:rPr>
          <w:noProof/>
        </w:rPr>
        <w:t>•</w:t>
      </w:r>
      <w:r>
        <w:rPr>
          <w:noProof/>
        </w:rPr>
        <w:tab/>
        <w:t>Poveikio vertinimas</w:t>
      </w:r>
    </w:p>
    <w:p>
      <w:pPr>
        <w:pBdr>
          <w:top w:val="nil"/>
          <w:left w:val="nil"/>
          <w:bottom w:val="nil"/>
          <w:right w:val="nil"/>
          <w:between w:val="nil"/>
          <w:bar w:val="nil"/>
        </w:pBdr>
        <w:spacing w:before="0" w:after="240"/>
        <w:rPr>
          <w:noProof/>
        </w:rPr>
      </w:pPr>
      <w:r>
        <w:rPr>
          <w:noProof/>
        </w:rPr>
        <w:t xml:space="preserve">Atsižvelgiant į ribotą numatytą laikotarpį, atitinkamų valstybių narių pateiktus duomenis ir turimus duomenis dėl padėties Graikijoje, nebuvo parengta visaverčio poveikio vertinimo. </w:t>
      </w:r>
    </w:p>
    <w:p>
      <w:pPr>
        <w:pStyle w:val="ManualHeading2"/>
        <w:rPr>
          <w:rFonts w:eastAsia="Arial Unicode MS"/>
          <w:noProof/>
          <w:u w:color="000000"/>
          <w:bdr w:val="nil"/>
        </w:rPr>
      </w:pPr>
      <w:r>
        <w:rPr>
          <w:noProof/>
        </w:rPr>
        <w:t>•</w:t>
      </w:r>
      <w:r>
        <w:rPr>
          <w:noProof/>
        </w:rPr>
        <w:tab/>
        <w:t>Reglamentavimo tinkamumas ir supaprastinimas</w:t>
      </w:r>
    </w:p>
    <w:p>
      <w:pPr>
        <w:pBdr>
          <w:top w:val="nil"/>
          <w:left w:val="nil"/>
          <w:bottom w:val="nil"/>
          <w:right w:val="nil"/>
          <w:between w:val="nil"/>
          <w:bar w:val="nil"/>
        </w:pBdr>
        <w:spacing w:before="0" w:after="240"/>
        <w:rPr>
          <w:noProof/>
        </w:rPr>
      </w:pPr>
      <w:r>
        <w:rPr>
          <w:noProof/>
        </w:rPr>
        <w:t>netaikoma</w:t>
      </w:r>
    </w:p>
    <w:p>
      <w:pPr>
        <w:pStyle w:val="ManualHeading2"/>
        <w:rPr>
          <w:rFonts w:eastAsia="Arial Unicode MS"/>
          <w:noProof/>
          <w:u w:color="000000"/>
          <w:bdr w:val="nil"/>
        </w:rPr>
      </w:pPr>
      <w:r>
        <w:rPr>
          <w:noProof/>
        </w:rPr>
        <w:t>•</w:t>
      </w:r>
      <w:r>
        <w:rPr>
          <w:noProof/>
        </w:rPr>
        <w:tab/>
        <w:t>Pagrindinės teisės</w:t>
      </w:r>
    </w:p>
    <w:p>
      <w:pPr>
        <w:pBdr>
          <w:top w:val="nil"/>
          <w:left w:val="nil"/>
          <w:bottom w:val="nil"/>
          <w:right w:val="nil"/>
          <w:between w:val="nil"/>
          <w:bar w:val="nil"/>
        </w:pBdr>
        <w:spacing w:before="0" w:after="240"/>
        <w:rPr>
          <w:noProof/>
        </w:rPr>
      </w:pPr>
      <w:r>
        <w:rPr>
          <w:noProof/>
        </w:rPr>
        <w:t>Rengiant šį pasiūlymą atsižvelgta į pagrindinių teisių apsaugą.</w:t>
      </w:r>
    </w:p>
    <w:p>
      <w:pPr>
        <w:pStyle w:val="ManualHeading1"/>
        <w:rPr>
          <w:noProof/>
        </w:rPr>
      </w:pPr>
      <w:r>
        <w:rPr>
          <w:noProof/>
        </w:rPr>
        <w:t>4.</w:t>
      </w:r>
      <w:r>
        <w:rPr>
          <w:noProof/>
        </w:rPr>
        <w:tab/>
        <w:t>POVEIKIS BIUDŽETUI</w:t>
      </w:r>
    </w:p>
    <w:p>
      <w:pPr>
        <w:widowControl w:val="0"/>
        <w:shd w:val="clear" w:color="auto" w:fill="FFFFFF"/>
        <w:autoSpaceDE w:val="0"/>
        <w:autoSpaceDN w:val="0"/>
        <w:adjustRightInd w:val="0"/>
        <w:spacing w:before="230" w:after="0" w:line="269" w:lineRule="exact"/>
        <w:ind w:right="86"/>
        <w:rPr>
          <w:noProof/>
        </w:rPr>
      </w:pPr>
      <w:r>
        <w:rPr>
          <w:noProof/>
        </w:rPr>
        <w:t>Siūlomos priemonės nedaro poveikio ES biudžetui.</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Pasiūlymas</w:t>
      </w:r>
    </w:p>
    <w:p>
      <w:pPr>
        <w:pStyle w:val="Typedudocument"/>
        <w:rPr>
          <w:noProof/>
        </w:rPr>
      </w:pPr>
      <w:r>
        <w:rPr>
          <w:noProof/>
        </w:rPr>
        <w:t>TARYBOS ĮGYVENDINIMO SPRENDIMAS</w:t>
      </w:r>
    </w:p>
    <w:p>
      <w:pPr>
        <w:pStyle w:val="Titreobjet"/>
        <w:rPr>
          <w:noProof/>
        </w:rPr>
      </w:pPr>
      <w:r>
        <w:rPr>
          <w:noProof/>
        </w:rPr>
        <w:t>kuriuo pateikiama rekomendacija dėl laikinos vidaus sienų kontrolės išimtinėmis aplinkybėmis, keliančiomis pavojų bendram Šengeno erdvės veikimui, pratęsimo</w:t>
      </w:r>
    </w:p>
    <w:p>
      <w:pPr>
        <w:pStyle w:val="Institutionquiagit"/>
        <w:rPr>
          <w:noProof/>
        </w:rPr>
      </w:pPr>
      <w:r>
        <w:rPr>
          <w:noProof/>
        </w:rPr>
        <w:t>EUROPOS SĄJUNGOS TARYBA,</w:t>
      </w:r>
    </w:p>
    <w:p>
      <w:pPr>
        <w:rPr>
          <w:noProof/>
        </w:rPr>
      </w:pPr>
      <w:r>
        <w:rPr>
          <w:noProof/>
        </w:rPr>
        <w:t xml:space="preserve">atsižvelgdama į Sutartį dėl Europos Sąjungos veikimo, </w:t>
      </w:r>
    </w:p>
    <w:p>
      <w:pPr>
        <w:rPr>
          <w:noProof/>
        </w:rPr>
      </w:pPr>
      <w:r>
        <w:rPr>
          <w:noProof/>
        </w:rPr>
        <w:t>atsižvelgdama į 2016 m. kovo 9 d. Europos Parlamento ir Tarybos reglamentą (ES) 2016/399, nustatantį taisyklių, reglamentuojančių asmenų judėjimą per sienas, Sąjungos kodeksą (Šengeno sienų kodeksas)</w:t>
      </w:r>
      <w:r>
        <w:rPr>
          <w:rStyle w:val="FootnoteReference"/>
          <w:noProof/>
        </w:rPr>
        <w:footnoteReference w:id="3"/>
      </w:r>
      <w:r>
        <w:rPr>
          <w:noProof/>
        </w:rPr>
        <w:t>, ypač į jo 29 straipsnį,</w:t>
      </w:r>
    </w:p>
    <w:p>
      <w:pPr>
        <w:rPr>
          <w:noProof/>
        </w:rPr>
      </w:pPr>
      <w:r>
        <w:rPr>
          <w:noProof/>
        </w:rPr>
        <w:t>atsižvelgdama į Europos Komisijos pasiūlymą,</w:t>
      </w:r>
    </w:p>
    <w:p>
      <w:pPr>
        <w:rPr>
          <w:noProof/>
        </w:rPr>
      </w:pPr>
      <w:r>
        <w:rPr>
          <w:noProof/>
        </w:rPr>
        <w:t>kadangi:</w:t>
      </w:r>
    </w:p>
    <w:p>
      <w:pPr>
        <w:pStyle w:val="ManualConsidrant"/>
        <w:rPr>
          <w:noProof/>
        </w:rPr>
      </w:pPr>
      <w:r>
        <w:t>(1)</w:t>
      </w:r>
      <w:r>
        <w:tab/>
      </w:r>
      <w:r>
        <w:rPr>
          <w:noProof/>
        </w:rPr>
        <w:t>pagal Šengeno sienų kodekso 29 straipsnį 2016 m. gegužės 12 d. Taryba priėmė įgyvendinimo sprendimą, kuriame pateikiama rekomendacija dėl laikinos vidaus sienų kontrolės išimtinėmis aplinkybėmis, keliančiomis pavojų bendram Šengeno erdvės veikimui;</w:t>
      </w:r>
    </w:p>
    <w:p>
      <w:pPr>
        <w:pStyle w:val="ManualConsidrant"/>
        <w:rPr>
          <w:noProof/>
        </w:rPr>
      </w:pPr>
      <w:r>
        <w:t>(2)</w:t>
      </w:r>
      <w:r>
        <w:tab/>
      </w:r>
      <w:r>
        <w:rPr>
          <w:noProof/>
        </w:rPr>
        <w:t>Taryba rekomendavo penkioms Šengeno valstybėms (Austrijai, Vokietijai, Danijai, Švedijai ir Norvegijai) išlaikyti proporcingą laikiną sienų kontrolę ilgiausiai šešis mėnesius nuo įgyvendinimo sprendimo priėmimo, kad būtų pašalinta didelė grėsmė viešajai tvarkai arba vidaus saugumui, su kuria susidūrė šios valstybės dėl išorės sienų kontrolės trūkumų Graikijoje ir per Graikiją atvykusių neteisėtų migrantų, kurie ketina vykti į kitas Šengeno valstybes, antrinio judėjimo;</w:t>
      </w:r>
    </w:p>
    <w:p>
      <w:pPr>
        <w:pStyle w:val="ManualConsidrant"/>
        <w:rPr>
          <w:noProof/>
        </w:rPr>
      </w:pPr>
      <w:r>
        <w:t>(3)</w:t>
      </w:r>
      <w:r>
        <w:tab/>
      </w:r>
      <w:r>
        <w:rPr>
          <w:noProof/>
        </w:rPr>
        <w:t>2016 m. rugsėjo 28 d. Komisija pateikė įgyvendinimo sprendimo įgyvendinimo ataskaitą. Ji padarė išvadą, kad Austrijos, Vokietijos, Danijos, Švedijos ir Norvegijos vykdyta vidaus sienų kontrolė buvo proporcinga ir atitiko Tarybos rekomendaciją. Komisija taip pat padarė išvadą, kad, remdamasi turima informacija ir iš atitinkamų valstybių gautomis ataskaitomis, ataskaitos teikimo metu ji nemato poreikio siūlyti iš dalies pakeisti įgyvendinimo sprendimą;</w:t>
      </w:r>
    </w:p>
    <w:p>
      <w:pPr>
        <w:pStyle w:val="ManualConsidrant"/>
        <w:rPr>
          <w:noProof/>
        </w:rPr>
      </w:pPr>
      <w:r>
        <w:t>(4)</w:t>
      </w:r>
      <w:r>
        <w:tab/>
      </w:r>
      <w:r>
        <w:rPr>
          <w:noProof/>
        </w:rPr>
        <w:t xml:space="preserve">2016 m. spalio 18 ir 21 d. atitinkamos Šengeno valstybės pateikė Komisijai antrą ataskaitą dėl Tarybos rekomendacijos įgyvendinimo. Pateiktos informacijos tendencijos yra panašios į pirmoje ataskaitoje pateiktų duomenų tendencijas (mažėjo neįleistų asmenų skaičius ir gautų prašymų suteikti prieglobstį skaičius), tai rodo, kad padėtis laipsniškai stabilizuojasi; </w:t>
      </w:r>
    </w:p>
    <w:p>
      <w:pPr>
        <w:pStyle w:val="ManualConsidrant"/>
        <w:rPr>
          <w:noProof/>
        </w:rPr>
      </w:pPr>
      <w:r>
        <w:t>(5)</w:t>
      </w:r>
      <w:r>
        <w:tab/>
      </w:r>
      <w:r>
        <w:rPr>
          <w:noProof/>
        </w:rPr>
        <w:t>tačiau nors į Europos Sąjungą atvykstančių neteisėtų migrantų ir prieglobsčio prašytojų skaičiai labai sumažėjo, vis dar daug neteisėtų migrantų lieka Graikijoje ir labiausiai neteisėtų migrantų antrinio judėjimo iš Graikijos paveiktose valstybėse narėse. Remiantis praeities tendencijomis yra pagrindo manyti, kad šie asmenys gali norėti neteisėtai vykti į kitas valstybes nares, kai bus atsisakyta patikrinimų kertant sieną, kurie trukdo jų antriniam judėjimui;</w:t>
      </w:r>
    </w:p>
    <w:p>
      <w:pPr>
        <w:pStyle w:val="ManualConsidrant"/>
        <w:rPr>
          <w:noProof/>
        </w:rPr>
      </w:pPr>
      <w:r>
        <w:t>(6)</w:t>
      </w:r>
      <w:r>
        <w:tab/>
      </w:r>
      <w:r>
        <w:rPr>
          <w:noProof/>
        </w:rPr>
        <w:t>dėl bendro nuo migracijos krizės pradžios gautų ir vis dar teikiamų prieglobsčio prašymų skaičiaus nacionalinėms administracijoms ir tarnyboms visose ES valstybėse narėse ir ypač Šengeno valstybėse, kurioms skirtas įgyvendinimo sprendimas, teko didelė našta;</w:t>
      </w:r>
    </w:p>
    <w:p>
      <w:pPr>
        <w:pStyle w:val="ManualConsidrant"/>
        <w:rPr>
          <w:noProof/>
        </w:rPr>
      </w:pPr>
      <w:r>
        <w:t>(7)</w:t>
      </w:r>
      <w:r>
        <w:tab/>
      </w:r>
      <w:r>
        <w:rPr>
          <w:noProof/>
        </w:rPr>
        <w:t>vidaus sienų kontrolės negalima vertinti be kitų svarbių veiksnių. Komisija komunikate „Grįžimas prie Šengeno erdvės nuostatų. Veiksmų planas“</w:t>
      </w:r>
      <w:r>
        <w:rPr>
          <w:rStyle w:val="FootnoteReference"/>
          <w:noProof/>
        </w:rPr>
        <w:footnoteReference w:id="4"/>
      </w:r>
      <w:r>
        <w:rPr>
          <w:noProof/>
        </w:rPr>
        <w:t xml:space="preserve"> nustatė įvairias politikos priemones, kurios turi būti įgyvendintos, kad būtų galima grįžti prie visapusiškai veikiančios Šengeno erdvės;</w:t>
      </w:r>
    </w:p>
    <w:p>
      <w:pPr>
        <w:pStyle w:val="ManualConsidrant"/>
        <w:rPr>
          <w:noProof/>
        </w:rPr>
      </w:pPr>
      <w:r>
        <w:t>(8)</w:t>
      </w:r>
      <w:r>
        <w:tab/>
      </w:r>
      <w:r>
        <w:rPr>
          <w:noProof/>
        </w:rPr>
        <w:t>pažymėtina, kad į veiksmų planą buvo įtraukti teisės akto dėl Europos sienų ir pakrančių apsaugos pajėgų priėmimas ir įgyvendinimas. 2016 m. rugsėjo 17 d. Europos Parlamento ir Tarybos reglamentas (ES) 2016/1624 dėl Europos sienų ir pakrančių apsaugos pajėgų</w:t>
      </w:r>
      <w:r>
        <w:rPr>
          <w:rStyle w:val="FootnoteReference"/>
          <w:noProof/>
        </w:rPr>
        <w:footnoteReference w:id="5"/>
      </w:r>
      <w:r>
        <w:rPr>
          <w:noProof/>
        </w:rPr>
        <w:t xml:space="preserve"> įsigaliojo 2016 m. spalio 6 d., t. y. per devynis mėnesius nuo Komisijos pasiūlymo pateikimo – tai rodo visų dalyvių ryžtą; Tikimasi, kad bus sukurti greitojo reagavimo (žmogiškųjų išteklių ir techninės įrangos) rezervai ir skubaus grąžinimo rezervai, kurie pradės veikti atitinkamai 2016 m. gruodžio 7 d. ir 2017 m. sausio 7 d.; </w:t>
      </w:r>
    </w:p>
    <w:p>
      <w:pPr>
        <w:pStyle w:val="ManualConsidrant"/>
        <w:rPr>
          <w:noProof/>
        </w:rPr>
      </w:pPr>
      <w:r>
        <w:t>(9)</w:t>
      </w:r>
      <w:r>
        <w:tab/>
      </w:r>
      <w:r>
        <w:rPr>
          <w:noProof/>
        </w:rPr>
        <w:t>kitas „Grįžimo prie Šengeno erdvės nuostatų“ veiksmų plane nustatytas aspektas yra sėkmingas ES ir Turkijos pareiškimo įgyvendinimas. Nors įgyvendinant pareiškimą, kaip nustatyta trečiojoje pažangos ataskaitoje</w:t>
      </w:r>
      <w:r>
        <w:rPr>
          <w:rStyle w:val="FootnoteReference"/>
          <w:noProof/>
        </w:rPr>
        <w:footnoteReference w:id="6"/>
      </w:r>
      <w:r>
        <w:rPr>
          <w:noProof/>
        </w:rPr>
        <w:t xml:space="preserve">, nuolat daroma pažanga, svarbu toliau užtikrinti, kad pareiškimas būtų įgyvendinamas tvariai. Be to, išlieka poreikis bendradarbiauti, kaip buvo susitarta Vakarų Balkanų maršruto šalių vadovų susitikime priimtame pareiškime; </w:t>
      </w:r>
    </w:p>
    <w:p>
      <w:pPr>
        <w:pStyle w:val="ManualConsidrant"/>
        <w:rPr>
          <w:noProof/>
        </w:rPr>
      </w:pPr>
      <w:r>
        <w:t>(10)</w:t>
      </w:r>
      <w:r>
        <w:tab/>
      </w:r>
      <w:r>
        <w:rPr>
          <w:noProof/>
        </w:rPr>
        <w:t xml:space="preserve">iš pirmiau išvardytų faktų matyti, kad nepaisant nuolatinės didelės pažangos, padarytos „Grįžimo prie Šengeno erdvės nuostatų“ veiksmų plane nurodytose srityse, ir laipsniško padėties stabilizavimosi, vis dar reikia laiko, kad šie veiksmai būtų visapusiškai įgyvendinti, o atitinkami rezultatai patvirtinti; </w:t>
      </w:r>
    </w:p>
    <w:p>
      <w:pPr>
        <w:pStyle w:val="ManualConsidrant"/>
        <w:rPr>
          <w:noProof/>
        </w:rPr>
      </w:pPr>
      <w:r>
        <w:t>(11)</w:t>
      </w:r>
      <w:r>
        <w:tab/>
      </w:r>
      <w:r>
        <w:rPr>
          <w:noProof/>
        </w:rPr>
        <w:t>išskirtinės aplinkybės, kurios kelia didelę grėsmę viešajai tvarkai ir vidaus saugumui ir kelia pavojų bendram Šengeno erdvės veikimui, išlieka;</w:t>
      </w:r>
    </w:p>
    <w:p>
      <w:pPr>
        <w:pStyle w:val="ManualConsidrant"/>
        <w:rPr>
          <w:noProof/>
        </w:rPr>
      </w:pPr>
      <w:r>
        <w:t>(12)</w:t>
      </w:r>
      <w:r>
        <w:tab/>
      </w:r>
      <w:r>
        <w:rPr>
          <w:noProof/>
        </w:rPr>
        <w:t>atsižvelgiant į dabartinę nestabilią padėtį Graikijoje ir į likusį spaudimą valstybėse narėse, kurioms neteisėtų migrantų antrinis judėjimas iš Graikijos padarė didžiausią poveikį, manoma, kad yra pagrindo leisti proporcingai pratęsti laikiną vidaus sienų kontrolę toms valstybėms narėms, kurios šiuo metu tokią kontrolę vykdo kaip kraštutinę priemonę, kuria siekiama pašalinti didelę grėsmę jų viešajai tvarkai arba vidaus saugumui, t. y. Austrijai, Vokietijai, Danijai, Švedijai ir asocijuotajai šaliai Norvegijai, pagal Šengeno sienų kodekso 29 straipsnį;</w:t>
      </w:r>
    </w:p>
    <w:p>
      <w:pPr>
        <w:pStyle w:val="ManualConsidrant"/>
        <w:rPr>
          <w:noProof/>
        </w:rPr>
      </w:pPr>
      <w:r>
        <w:t>(13)</w:t>
      </w:r>
      <w:r>
        <w:tab/>
      </w:r>
      <w:r>
        <w:rPr>
          <w:noProof/>
        </w:rPr>
        <w:t>remiantis faktiniais šiame etape turimais rodikliais, šis pratęsimas neturėtų tęstis ilgiau nei tris mėnesius nuo šio įgyvendinimo sprendimo priėmimo;</w:t>
      </w:r>
    </w:p>
    <w:p>
      <w:pPr>
        <w:pStyle w:val="ManualConsidrant"/>
        <w:rPr>
          <w:noProof/>
        </w:rPr>
      </w:pPr>
      <w:r>
        <w:t>(14)</w:t>
      </w:r>
      <w:r>
        <w:tab/>
      </w:r>
      <w:r>
        <w:rPr>
          <w:noProof/>
        </w:rPr>
        <w:t xml:space="preserve">valstybės narės, nusprendusios toliau vykdyti vidaus sienų kontrolę pagal šį įgyvendinimo sprendimą, turėtų apie tai atitinkamai pranešti kitoms valstybėms narėms, Europos Parlamentui ir Komisijai; </w:t>
      </w:r>
    </w:p>
    <w:p>
      <w:pPr>
        <w:pStyle w:val="ManualConsidrant"/>
        <w:rPr>
          <w:noProof/>
        </w:rPr>
      </w:pPr>
      <w:r>
        <w:t>(15)</w:t>
      </w:r>
      <w:r>
        <w:tab/>
      </w:r>
      <w:r>
        <w:rPr>
          <w:noProof/>
        </w:rPr>
        <w:t>prieš pasirinkdamos tokios kontrolės galimybę atitinkamos valstybės narės turėtų išnagrinėti, ar nustatytai grėsmei veiksmingai pašalinti netiktų kitos alternatyvios priemonės nei sienų kontrolė. Valstybės narės savo pranešimuose turėtų pateikti šio nagrinėjimo rezultatus ir priežastis, dėl kurių buvo pasirinkta sienų kontrolė;</w:t>
      </w:r>
    </w:p>
    <w:p>
      <w:pPr>
        <w:pStyle w:val="ManualConsidrant"/>
        <w:rPr>
          <w:noProof/>
        </w:rPr>
      </w:pPr>
      <w:r>
        <w:t>(16)</w:t>
      </w:r>
      <w:r>
        <w:tab/>
      </w:r>
      <w:r>
        <w:rPr>
          <w:noProof/>
        </w:rPr>
        <w:t xml:space="preserve">kaip nurodyta 2016 m. spalio 20 d. Europos Vadovų Tarybos išvadose dėl migracijos, grįžimo prie Šengeno erdvės nuostatų procesas susijęs su laikinos vidaus sienų kontrolės priderinimu prie dabartinių poreikių. Kontrolė pagal šį įgyvendinimo sprendimą turėtų būti vykdoma tik tiek, kiek tai tikrai būtina, o jos intensyvumas neturi viršyti būtiniausio minimumo. Pavyzdžiui, jei per atitinkamą laikotarpį srautas yra nedidelis, kontrolės tam tikruose sienos ruožuose gali ir nebūti. Kad plačiajai visuomenei būtų kuo mažiau trukdoma kirsti atitinkamas vidaus sienas, gali vykti tik tikslinė kontrolė, pagrįsta rizikos analize ir žvalgybos informacija. Be to, bendradarbiaujant su visomis paveiktomis valstybėmis narėmis turi būti reguliariai nagrinėjamas ir iš naujo įvertinamas šios kontrolės būtinumas atitinkamuose sienos ruožuose, siekiant ją laipsniškai mažinti; </w:t>
      </w:r>
    </w:p>
    <w:p>
      <w:pPr>
        <w:pStyle w:val="ManualConsidrant"/>
        <w:rPr>
          <w:noProof/>
        </w:rPr>
      </w:pPr>
      <w:r>
        <w:t>(17)</w:t>
      </w:r>
      <w:r>
        <w:tab/>
      </w:r>
      <w:r>
        <w:rPr>
          <w:noProof/>
        </w:rPr>
        <w:t>kiekvieno šio įgyvendinimo sprendimo įgyvendinimo mėnesio pabaigoje Komisijai turėtų būti siunčiama išsami atliktų patikrinimų rezultatų ataskaita, prie kurios turi būti pridedamas jų tolesnio taikymo būtinumo vertinimas, jei taikoma. Į šią ataskaitą turėtų būti įtrauktas bendras patikrintų asmenų skaičius, bendras asmenų, kuriems, atlikus patikrinimą, atsisakyta leisti atvykti, skaičius, bendras sprendimų grąžinti, išduotų atlikus patikrinimą, skaičius ir bendras prie vidaus sienų, prie kurių vyko patikrinimai, gautų prieglobsčio prašymų, skaičius;</w:t>
      </w:r>
    </w:p>
    <w:p>
      <w:pPr>
        <w:pStyle w:val="ManualConsidrant"/>
        <w:rPr>
          <w:noProof/>
        </w:rPr>
      </w:pPr>
      <w:r>
        <w:t>(18)</w:t>
      </w:r>
      <w:r>
        <w:tab/>
      </w:r>
      <w:r>
        <w:rPr>
          <w:noProof/>
        </w:rPr>
        <w:t>Taryba atkreipia dėmesį į tai, kad Komisija paskelbė, jog atidžiai stebės, kaip taikomas šis įgyvendinimo sprendimas,</w:t>
      </w:r>
    </w:p>
    <w:p>
      <w:pPr>
        <w:rPr>
          <w:noProof/>
        </w:rPr>
      </w:pPr>
    </w:p>
    <w:p>
      <w:pPr>
        <w:pStyle w:val="Formuledadoption"/>
        <w:rPr>
          <w:noProof/>
        </w:rPr>
      </w:pPr>
      <w:r>
        <w:rPr>
          <w:noProof/>
        </w:rPr>
        <w:t xml:space="preserve">REKOMENDUOJA: </w:t>
      </w:r>
    </w:p>
    <w:p>
      <w:pPr>
        <w:pStyle w:val="Titrearticle"/>
        <w:rPr>
          <w:noProof/>
        </w:rPr>
      </w:pPr>
    </w:p>
    <w:p>
      <w:pPr>
        <w:rPr>
          <w:noProof/>
        </w:rPr>
      </w:pPr>
      <w:r>
        <w:rPr>
          <w:noProof/>
        </w:rPr>
        <w:t xml:space="preserve">1. Austrijai, Vokietijai, Danijai, Švedijai ir Norvegijai toliau tęsti proporcingą laikiną sienų kontrolę ne ilgiau kaip tris mėnesius, skaičiuojant nuo šio įgyvendinimo sprendimo priėmimo dienos, prie šių vidaus sienų: </w:t>
      </w:r>
    </w:p>
    <w:p>
      <w:pPr>
        <w:rPr>
          <w:noProof/>
        </w:rPr>
      </w:pPr>
      <w:r>
        <w:rPr>
          <w:noProof/>
        </w:rPr>
        <w:t>- Austrijai – prie Austrijos ir Vengrijos sausumos sienos bei Austrijos ir Slovėnijos sausumos sienos,</w:t>
      </w:r>
    </w:p>
    <w:p>
      <w:pPr>
        <w:rPr>
          <w:noProof/>
        </w:rPr>
      </w:pPr>
      <w:r>
        <w:rPr>
          <w:noProof/>
        </w:rPr>
        <w:t>- Vokietijai – prie Vokietijos ir Austrijos sausumos sienos;</w:t>
      </w:r>
    </w:p>
    <w:p>
      <w:pPr>
        <w:rPr>
          <w:noProof/>
        </w:rPr>
      </w:pPr>
      <w:r>
        <w:rPr>
          <w:noProof/>
        </w:rPr>
        <w:t>- Danijai – Danijos uostuose, kuriuose vyksta susisiekimas keltais su Vokietija, ir prie Danijos ir Vokietijos sausumos sienos,</w:t>
      </w:r>
    </w:p>
    <w:p>
      <w:pPr>
        <w:rPr>
          <w:noProof/>
        </w:rPr>
      </w:pPr>
      <w:r>
        <w:rPr>
          <w:noProof/>
        </w:rPr>
        <w:t>- Švedijai – pietų ir vakarų regionų policijos prižiūrimuose Švedijos uostuose ir prie Zundo tilto,</w:t>
      </w:r>
    </w:p>
    <w:p>
      <w:pPr>
        <w:rPr>
          <w:noProof/>
        </w:rPr>
      </w:pPr>
      <w:r>
        <w:rPr>
          <w:noProof/>
        </w:rPr>
        <w:t>- Norvegijai – Norvegijos uostuose, kuriuose vyksta susisiekimas keltais su Danija, Vokietija ir Švedija.</w:t>
      </w:r>
    </w:p>
    <w:p>
      <w:pPr>
        <w:rPr>
          <w:noProof/>
        </w:rPr>
      </w:pPr>
      <w:r>
        <w:rPr>
          <w:noProof/>
        </w:rPr>
        <w:t>2. Prieš pratęsdamos tokią kontrolę, atitinkamos valstybės narės turėtų pasikeisti nuomonėmis su susijusia (-iomis) valstybe (-ėmis) nare (-ėmis) siekdamos užtikrinti, kad vidaus sienų kontrolė būtų vykdoma tik ten, kur manoma, kad tai yra būtina ir proporcinga. Be to, atitinkamos valstybės narės turėtų užtikrinti, kad vidaus sienų kontrolė būtų vykdoma tik kaip kraštutinė priemonė, kai kitomis alternatyviomis priemonėmis to paties poveikio pasiekti neįmanoma, ir tik tuose vidaus sienų ruožuose, kur manoma, kad tai yra būtina ir proporcinga, vadovaujantis Šengeno sienų kodeksu. Atitinkamos valstybės narės turėtų apie tai pranešti kitoms valstybėms narėms, Europos Parlamentui ir Komisijai.</w:t>
      </w:r>
    </w:p>
    <w:p>
      <w:pPr>
        <w:rPr>
          <w:noProof/>
        </w:rPr>
      </w:pPr>
      <w:r>
        <w:rPr>
          <w:noProof/>
        </w:rPr>
        <w:t>3. Sienų kontrolė turėtų likti tikslinga, pagrįsta rizikos analize ir žvalgybos informacija, o jos taikymo sritis, dažnumas, vieta ir laikas neturėtų viršyti to, kas tikrai būtina reaguojant į didelę grėsmę, saugant viešąją tvarką ir užtikrinant vidaus saugumą. Valstybė narė, vykdanti vidaus sienų kontrolę pagal šį įgyvendinimo sprendimą, turėtų kas savaitę iš naujo įvertinti šios kontrolės būtinumą, dažnumą, vietą ir laiką, koreguoti kontrolės intensyvumą pagal esamos grėsmės lygį, prireikus mažinti ją ir kas mėnesį teikti ataskaitą Komisijai.</w:t>
      </w:r>
    </w:p>
    <w:p>
      <w:pPr>
        <w:pStyle w:val="Fait"/>
        <w:rPr>
          <w:noProof/>
        </w:rPr>
      </w:pPr>
      <w:r>
        <w:rPr>
          <w:noProof/>
        </w:rPr>
        <w:t>Priimta Strasbūre</w:t>
      </w:r>
    </w:p>
    <w:p>
      <w:pPr>
        <w:pStyle w:val="Institutionquisigne"/>
        <w:rPr>
          <w:noProof/>
        </w:rPr>
      </w:pPr>
      <w:r>
        <w:rPr>
          <w:noProof/>
        </w:rPr>
        <w:tab/>
        <w:t>Tarybos vardu</w:t>
      </w:r>
    </w:p>
    <w:p>
      <w:pPr>
        <w:pStyle w:val="Personnequisigne"/>
        <w:keepNext/>
        <w:rPr>
          <w:noProof/>
        </w:rPr>
      </w:pPr>
      <w:r>
        <w:rPr>
          <w:noProof/>
        </w:rPr>
        <w:tab/>
        <w:t>Pirmininkas</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Komisijos komunikatas Europos Parlamentui, Europos Vadovų Tarybai ir Tarybai „Grįžimas prie Šengeno erdvės nuostatų. Veiksmų planas“, COM(2016) 120 </w:t>
      </w:r>
      <w:r>
        <w:rPr>
          <w:i/>
        </w:rPr>
        <w:t>final</w:t>
      </w:r>
      <w:r>
        <w:t>.</w:t>
      </w:r>
    </w:p>
  </w:footnote>
  <w:footnote w:id="2">
    <w:p>
      <w:pPr>
        <w:pStyle w:val="FootnoteText"/>
      </w:pPr>
      <w:r>
        <w:rPr>
          <w:rStyle w:val="FootnoteReference"/>
        </w:rPr>
        <w:footnoteRef/>
      </w:r>
      <w:r>
        <w:tab/>
        <w:t xml:space="preserve">2016 m. vasario 10 d. Komisijos rekomendacija Graikijos Respublikai dėl skubių priemonių, kurių turi imtis Graikija, kad būtų atnaujintas perdavimas pagal Europos Parlamento ir Tarybos reglamentą (ES) Nr. 604/2013 (C(2016) 871 </w:t>
      </w:r>
      <w:r>
        <w:rPr>
          <w:i/>
        </w:rPr>
        <w:t>final</w:t>
      </w:r>
      <w:r>
        <w:t xml:space="preserve">). 2016 m. birželio 15 d. Komisijos rekomendacija Graikijos Respublikai dėl konkrečių skubių priemonių, kurių Graikija turi imtis, kad būtų atnaujintas perdavimas pagal Europos Parlamento ir Tarybos reglamentą (ES) Nr. 604/2013 (C(2016) 3805 </w:t>
      </w:r>
      <w:r>
        <w:rPr>
          <w:i/>
        </w:rPr>
        <w:t>final</w:t>
      </w:r>
      <w:r>
        <w:t xml:space="preserve">). 2016 m. rugsėjo 28 d. Komisijos rekomendacija Graikijos Respublikai dėl konkrečių skubių priemonių, kurių Graikija turi imtis, kad būtų atnaujintas perdavimas pagal Europos Parlamento ir Tarybos reglamentą (ES) Nr. 604/2013 (C(2016) 6311 </w:t>
      </w:r>
      <w:r>
        <w:rPr>
          <w:i/>
        </w:rPr>
        <w:t>final</w:t>
      </w:r>
      <w:r>
        <w:t>).</w:t>
      </w:r>
    </w:p>
  </w:footnote>
  <w:footnote w:id="3">
    <w:p>
      <w:pPr>
        <w:pStyle w:val="FootnoteText"/>
        <w:rPr>
          <w:lang w:val="pt-PT"/>
        </w:rPr>
      </w:pPr>
      <w:r>
        <w:rPr>
          <w:rStyle w:val="FootnoteReference"/>
        </w:rPr>
        <w:footnoteRef/>
      </w:r>
      <w:r>
        <w:tab/>
        <w:t>OL L 77, 2016 3 23, p. 1.</w:t>
      </w:r>
    </w:p>
  </w:footnote>
  <w:footnote w:id="4">
    <w:p>
      <w:pPr>
        <w:pStyle w:val="FootnoteText"/>
        <w:rPr>
          <w:lang w:val="pt-PT"/>
        </w:rPr>
      </w:pPr>
      <w:r>
        <w:rPr>
          <w:rStyle w:val="FootnoteReference"/>
        </w:rPr>
        <w:footnoteRef/>
      </w:r>
      <w:r>
        <w:tab/>
        <w:t xml:space="preserve">COM(2016) 120 </w:t>
      </w:r>
      <w:r>
        <w:rPr>
          <w:i/>
        </w:rPr>
        <w:t>final</w:t>
      </w:r>
      <w:r>
        <w:t>.</w:t>
      </w:r>
    </w:p>
  </w:footnote>
  <w:footnote w:id="5">
    <w:p>
      <w:pPr>
        <w:pStyle w:val="FootnoteText"/>
        <w:rPr>
          <w:lang w:val="pt-PT"/>
        </w:rPr>
      </w:pPr>
      <w:r>
        <w:rPr>
          <w:rStyle w:val="FootnoteReference"/>
        </w:rPr>
        <w:footnoteRef/>
      </w:r>
      <w:r>
        <w:tab/>
        <w:t>OL L 251, 2016 9 16, p. 1–76.</w:t>
      </w:r>
    </w:p>
  </w:footnote>
  <w:footnote w:id="6">
    <w:p>
      <w:pPr>
        <w:pStyle w:val="FootnoteText"/>
      </w:pPr>
      <w:r>
        <w:rPr>
          <w:rStyle w:val="FootnoteReference"/>
        </w:rPr>
        <w:footnoteRef/>
      </w:r>
      <w:r>
        <w:tab/>
        <w:t>Trečioji pažangos, padarytos įgyvendinant ES ir Turkijos pareiškimą, ataskaita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hideSpellingErrors/>
  <w:hideGrammaticalErrors/>
  <w:attachedTemplate r:id="rId1"/>
  <w:revisionView w:markup="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4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86BCF089608948379E6FF28126FAB474"/>
    <w:docVar w:name="LW_CROSSREFERENCE" w:val="&lt;UNUSED&gt;"/>
    <w:docVar w:name="LW_DocType" w:val="COM"/>
    <w:docVar w:name="LW_EMISSION" w:val="2016 10 25"/>
    <w:docVar w:name="LW_EMISSION_ISODATE" w:val="2016-10-25"/>
    <w:docVar w:name="LW_EMISSION_LOCATION" w:val="STR"/>
    <w:docVar w:name="LW_EMISSION_PREFIX" w:val="Strasbūras,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LT"/>
    <w:docVar w:name="LW_MARKING" w:val="&lt;UNUSED&gt;"/>
    <w:docVar w:name="LW_NOM.INST" w:val="EUROPOS KOMISIJA"/>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Pasi\u363?lymas"/>
    <w:docVar w:name="LW_SUPERTITRE" w:val="&lt;UNUSED&gt;"/>
    <w:docVar w:name="LW_TITRE.OBJ.CP" w:val="kuriuo pateikiama rekomendacija d\u279?l laikinos vidaus sien\u371? kontrol\u279?s i\u353?imtin\u279?mis aplinkyb\u279?mis, kelian\u269?iomis pavoj\u371? bendram \u352?engeno erdv\u279?s veikimui, prat\u281?simo"/>
    <w:docVar w:name="LW_TYPE.DOC.CP" w:val="TARYBOS \u302?GYVENDINIMO SPRENDIM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lt-L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A08EF-BFCA-4A75-9EC1-5A64137DF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2697</Words>
  <Characters>18316</Characters>
  <Application>Microsoft Office Word</Application>
  <DocSecurity>0</DocSecurity>
  <Lines>295</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2016-11-07T12:46:00Z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