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14CFD6F444A40A7A58D16103A750F05" style="width:450.8pt;height:334.2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pStyle w:val="Heading1"/>
        <w:spacing w:before="240" w:after="240" w:line="240" w:lineRule="auto"/>
        <w:rPr>
          <w:rFonts w:ascii="Times New Roman" w:hAnsi="Times New Roman"/>
          <w:smallCaps/>
          <w:noProof/>
          <w:color w:val="auto"/>
          <w:sz w:val="24"/>
          <w:szCs w:val="24"/>
        </w:rPr>
      </w:pPr>
      <w:bookmarkStart w:id="1" w:name="_GoBack"/>
      <w:bookmarkEnd w:id="1"/>
      <w:r>
        <w:rPr>
          <w:rFonts w:ascii="Times New Roman" w:hAnsi="Times New Roman"/>
          <w:smallCaps/>
          <w:noProof/>
          <w:color w:val="auto"/>
          <w:sz w:val="24"/>
        </w:rPr>
        <w:lastRenderedPageBreak/>
        <w:t>I.</w:t>
      </w:r>
      <w:r>
        <w:rPr>
          <w:noProof/>
        </w:rPr>
        <w:tab/>
      </w:r>
      <w:r>
        <w:rPr>
          <w:rFonts w:ascii="Times New Roman" w:hAnsi="Times New Roman"/>
          <w:smallCaps/>
          <w:noProof/>
          <w:color w:val="auto"/>
          <w:sz w:val="24"/>
        </w:rPr>
        <w:t>Įžanga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2016 m. balandžio 12 d. Komisija pateikė komunikatą dėl situacijos, susijusios su abipusiškumo santykių su tam tikromis trečiosiomis šalimis trūkumu vizų politikos srityje, dabartinės padėties ir galimų veiksmų (toliau – Balandžio mėn. komunikatas). Jame aprašoma su atitinkamomis trečiosiomis šalimis susijusi dabartinė padėtis ir primenama, kad vizų režimo abipusiškumo mechanizmas numato, kad jei susijusi trečioji šalis iki 2016 m. balandžio 12 d. nepanaikino vizų reikalavimo, Komisija pagal 2013 m. gruodžio 11 d. Reglamentą (ES) Nr. 1289/2013</w:t>
      </w:r>
      <w:r>
        <w:rPr>
          <w:rStyle w:val="FootnoteReference"/>
          <w:rFonts w:ascii="Times New Roman" w:hAnsi="Times New Roman"/>
          <w:noProof/>
          <w:sz w:val="24"/>
        </w:rPr>
        <w:footnoteReference w:id="2"/>
      </w:r>
      <w:r>
        <w:rPr>
          <w:rFonts w:ascii="Times New Roman" w:hAnsi="Times New Roman"/>
          <w:noProof/>
          <w:sz w:val="24"/>
        </w:rPr>
        <w:t>, kuriuo iš dalies keičiamas 2001 m. kovo 15 d. Tarybos reglamentas (EB) Nr. 539/2001 (toliau – Reglamentas), įpareigojama priimti įgyvendinimo aktą, kuriuo 12 mėnesių sustabdomas bevizio režimo taikymas tos trečiosios šalies piliečiams. Reglamente taip pat reikalaujama, kad Komisija atsižvelgtų į bevizio režimo taikymo sustabdymo padarinius ES ir jos valstybių narių išorės santykiams.</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Komunikate padaryta išvada, kad iki 2016 m. balandžio 12 d. nėra pasiekta visiško vizų režimo abipusiškumo su trimis šalimis – Brunėjumi, Kanada ir Jungtinėmis Valstijomis, – ir kad reikia jo siekti toliau.</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Pagal Geresnio reglamentavimo gaires Komisija įvertino bevizio režimo taikymo sustabdymo padarinius ir poveikį ir padarė išvadą, kad be poveikio ES piliečiams ir įgyvendinimo sunkumų dar reikėtų atsižvelgti į didelį poveikį įvairiausioms politikos sritims ir (arba) sektoriams, visų pirma poveikį Europos Sąjungos išorės santykiams su Kanada ir Jungtinėmis Amerikos Valstijomis metais, kuriais svarbūs prekybos srities susitarimai pasiekė labai svarbų etapą arba turėtų būti užbaigti. Taip pat padaryta išvada, kad galima pagrįstai tikėtis keliaujančiųjų iš Kanados ir Jungtinių Valstijų skaičiaus sumažėjimo, ir kad tai padarys ES didelių ekonominių nuostolių ir nepadės pasiekti tikslo – visiško bevizio režimo abipusiškumo visiems ES piliečiams.</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Komisija paragino Europos Parlamentą ir Tarybą nedelsiant pradėti diskusijas ir ne vėliau kaip 2016 m. liepos 12 d. paskelbti nuomonę dėl tinkamiausių tolesnių veiksmų, atsižvelgiant į bevizio režimo taikymo sustabdymo padarinių įvertinimą, pateiktą Balandžio mėn. komunikate.</w:t>
      </w:r>
    </w:p>
    <w:p>
      <w:pPr>
        <w:autoSpaceDE w:val="0"/>
        <w:autoSpaceDN w:val="0"/>
        <w:adjustRightInd w:val="0"/>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Šiame komunikate įvertinama pažanga, pasiekta diskusijose su Kanada ir Jungtinėmis Valstijomis priėmus Balandžio mėn. komunikatą, pranešama apie nuomones, išreikštas atsakant į komunikatą, ir išdėstomi tolesni veiksmai. </w:t>
      </w:r>
    </w:p>
    <w:p>
      <w:pPr>
        <w:pStyle w:val="Heading1"/>
        <w:spacing w:before="240" w:after="240" w:line="240" w:lineRule="auto"/>
        <w:rPr>
          <w:rFonts w:ascii="Times New Roman" w:hAnsi="Times New Roman"/>
          <w:smallCaps/>
          <w:noProof/>
          <w:color w:val="auto"/>
          <w:sz w:val="24"/>
          <w:szCs w:val="24"/>
        </w:rPr>
      </w:pPr>
      <w:r>
        <w:rPr>
          <w:rFonts w:ascii="Times New Roman" w:hAnsi="Times New Roman"/>
          <w:smallCaps/>
          <w:noProof/>
          <w:color w:val="auto"/>
          <w:sz w:val="24"/>
        </w:rPr>
        <w:t>II.</w:t>
      </w:r>
      <w:r>
        <w:rPr>
          <w:noProof/>
        </w:rPr>
        <w:tab/>
      </w:r>
      <w:r>
        <w:rPr>
          <w:rFonts w:ascii="Times New Roman" w:hAnsi="Times New Roman"/>
          <w:smallCaps/>
          <w:noProof/>
          <w:color w:val="auto"/>
          <w:sz w:val="24"/>
        </w:rPr>
        <w:t>Įvykiai po Balandžio mėn. komunikato priėmimo, kuriais siekiama visiško bevizio režimo abipusiškumo</w:t>
      </w:r>
    </w:p>
    <w:p>
      <w:pPr>
        <w:rPr>
          <w:rFonts w:ascii="Times New Roman" w:hAnsi="Times New Roman"/>
          <w:b/>
          <w:i/>
          <w:noProof/>
        </w:rPr>
      </w:pPr>
      <w:r>
        <w:rPr>
          <w:rFonts w:ascii="Times New Roman" w:hAnsi="Times New Roman"/>
          <w:b/>
          <w:i/>
          <w:noProof/>
        </w:rPr>
        <w:t xml:space="preserve">Brunėjus (pranešė Kroatija)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Balandžio mėn. komunikate tvirtinama, kad su Brunėjumi dar nepasiekta visiško bevizio režimo abipusiškumo, bet naujausi ryšių duomenys pateikia teigiamų ženklų. 2016 m. balandžio 12 d., tuo pat metu, kai priimtas Balandžio mėn. komunikatas, Brunėjus oficialiai panaikino vizų reikalavimą Kroatijos piliečiams ir pradėjo išduoti 90 dienų buvimo be vizų leidimus Lichtenšteino piliečiams. Apie tai oficialiai pranešta balandžio 13 d. Komisija džiaugiasi, kad abipusiškumo trūkumo su Brunėjumi klausimas išspręstas</w:t>
      </w:r>
      <w:r>
        <w:rPr>
          <w:rStyle w:val="FootnoteReference"/>
          <w:rFonts w:ascii="Times New Roman" w:hAnsi="Times New Roman"/>
          <w:noProof/>
          <w:sz w:val="24"/>
        </w:rPr>
        <w:footnoteReference w:id="3"/>
      </w:r>
      <w:r>
        <w:rPr>
          <w:rFonts w:ascii="Times New Roman" w:hAnsi="Times New Roman"/>
          <w:noProof/>
          <w:sz w:val="24"/>
        </w:rPr>
        <w:t>.</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Kanada (pranešė Bulgarija ir Rumunija)</w:t>
      </w:r>
    </w:p>
    <w:p>
      <w:pPr>
        <w:spacing w:line="240" w:lineRule="auto"/>
        <w:jc w:val="both"/>
        <w:rPr>
          <w:rFonts w:ascii="Times New Roman" w:hAnsi="Times New Roman" w:cs="Times New Roman"/>
          <w:noProof/>
          <w:sz w:val="24"/>
          <w:szCs w:val="24"/>
        </w:rPr>
      </w:pPr>
      <w:r>
        <w:rPr>
          <w:rFonts w:ascii="Times New Roman" w:hAnsi="Times New Roman"/>
          <w:noProof/>
          <w:sz w:val="24"/>
        </w:rPr>
        <w:t>Balandžio mėn. komunikate Komisija pabrėžė, kad būtina aktyviai siekti visiško bevizio režimo abipusiškumo, ir ragino Kanadą patvirtinti įsipareigojimą įvedant aiškias priemones, kuriomis siekiama užtikrinti visoms 28 Europos Sąjungos valstybėms narėms bevizio režimo abipusiškumą. Siekiant šio tikslo pastaraisiais mėnesiais įvyko keli aukšto lygio politiniai susitikimai su Kanados atstovais. Komisijos Pirmininkas J.-C. Junckeris ir Vadovų Tarybos Pirmininkas D. Tuskas gegužės 27 d. G 7 susitikime Japonijoje aptarė šį klausimą su Kanados Ministru Pirmininku J. Trudeau. Europos Parlamento Pirmininkas M. Schulzas ir Rumunijos Ministras Pirmininkas D. Cioloşas irgi susitiko su Ministru Pirmininku J. Trudeau atitinkamai gegužės 18 d. ir birželio 15 d. Ministrų lygmeniu Komisijos narys D. Avramopoulos gegužės 23 d. susitiko su Kanados imigracijos ministru J. McCallumu, o Vyriausioji įgaliotinė ir Komisijos pirmininko pavaduotoja F. Mogherini birželio 8 d. susitiko su Kanados užsienio reikalų ministru S. Dionu, imigracijos ministru J. McCallumu ir prekybos ministre Ch. Freeland.</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Bevizio režimo abipusiškumo klausimo svarbą atsižvelgiant į ES ir Kanados strateginės partnerystės susitarimą ir visų pirma rengiantis pasirašyti ir ratifikuoti ES ir Kanados išsamų ekonomikos ir prekybos susitarimą (IEPS) aukščiausiu politiniu lygmeniu pabrėžė ir Bulgarija bei Rumunija. Abi valstybės narės teigė, kad ekonominę naudą dėl IEPS įsigaliojimo sumažins faktas, kad Bulgarijos ir Rumunijos piliečiams, įskaitant verslininkus ir vartotojus, nebus leidžiama keliauti į Kanadą be vizų.</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Tuo pačiu metu, siekiant stiprinti pasitikėjimą ir sudaryti Kanados ekspertams sąlygas nustatyti galimas grėsmes bei numatyti konkrečias galimybes mažinti šias grėsmes ir nerimą, susijusį su vizų reikalavimo panaikinimu, birželio 9–15 d. surengta Kanados techninių ekspertų misija Rumunijoje. Abi šalys misiją įvertino teigiamai. Panašią ekspertų misiją Kanados valdžios institucijos numatė surengti liepos 21–27 d. Bulgarijoje.</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Vizų režimo abipusiškumą taip pat aptarė Kanados imigracijos, pabėgėlių ir pilietybės ministerijos ir Europos Komisijos atstovai birželio 28 d. bendrose konsultacijose migracijos ir prieglobsčio klausimais. Šiame posėdyje Kanados atstovai paaiškino, kad surengus ekspertų misijas Kanados imigracijos, pabėgėlių ir pilietybės ministras įvertins galimybę panaikinti vizų reikalavimą Bulgarijos ir Rumunijos piliečiams.</w:t>
      </w:r>
    </w:p>
    <w:p>
      <w:pPr>
        <w:spacing w:before="120" w:after="120" w:line="240" w:lineRule="auto"/>
        <w:jc w:val="both"/>
        <w:rPr>
          <w:rFonts w:ascii="Times New Roman" w:hAnsi="Times New Roman" w:cs="Times New Roman"/>
          <w:noProof/>
          <w:sz w:val="24"/>
          <w:szCs w:val="24"/>
        </w:rPr>
      </w:pPr>
      <w:r>
        <w:rPr>
          <w:noProof/>
        </w:rPr>
        <w:t>Kaip apibrėžta Balandžio mėn. komunikate, numatant visiško bevizio režimo abipusiškumo pažangą, vienas iš diskusijų su Kanada elementų buvo galimybė įdiegti laikiną techninį sprendimą – palaipsniui plėsti Elektroninio kelionės leidimo (eTA) taikymą Bulgarijos ir Rumunijos piliečiams</w:t>
      </w:r>
      <w:r>
        <w:rPr>
          <w:rStyle w:val="FootnoteReference"/>
          <w:rFonts w:ascii="Times New Roman" w:hAnsi="Times New Roman"/>
          <w:noProof/>
          <w:sz w:val="24"/>
        </w:rPr>
        <w:footnoteReference w:id="4"/>
      </w:r>
      <w:r>
        <w:rPr>
          <w:noProof/>
        </w:rPr>
        <w:t>.</w:t>
      </w:r>
      <w:r>
        <w:rPr>
          <w:rFonts w:ascii="Times New Roman" w:hAnsi="Times New Roman"/>
          <w:noProof/>
          <w:sz w:val="24"/>
        </w:rPr>
        <w:t xml:space="preserve"> ES tikslas išlieka visiškas bevizio režimo abipusiškumas visiems Bulgarijos ir Rumunijos piliečiams. Jo siekdama, Komisija ir susijusios valstybės narės nagrinėja įvairias galimybes ir ieško sprendimų. Atsižvelgiant į tai, reikėtų su Kanados valdžios institucijomis toliau aptarti 2016 m. birželio 28 d. Kanados pareiškimą apie vizų reikalavimo panaikinimą tam tikras sąlygas ir reikalavimus atitinkantiems Meksikos piliečiams nuo 2016 m. gruodžio 1 d.</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Intensyviu darbu ir konstruktyviomis diskusijomis buvo parengtas liepos 11 d. Briuselyje vykęs ministrų lygio Kanados, Bulgarijos, Rumunijos ir Komisijos atstovų susitikimas, skirtas apžvelgti pasiektą pažangą ir apsvarstyti tolesnius veiksmus siekiant visiško bevizio režimo abipusiškumo.</w:t>
      </w:r>
      <w:r>
        <w:rPr>
          <w:rFonts w:ascii="Times New Roman" w:hAnsi="Times New Roman"/>
          <w:noProof/>
          <w:color w:val="0D0D0D"/>
          <w:sz w:val="24"/>
        </w:rPr>
        <w:t xml:space="preserve"> Šiame susitikime Kanada įsipareigojo rudens pradžioje pranešti apie vertinimo rezultatus ir vizų reikalavimo panaikinimo darbotvarkę, įskaitant būtinus bendradarbiavimo su Bulgarija ir Rumunija elementus.</w:t>
      </w:r>
    </w:p>
    <w:p>
      <w:pPr>
        <w:spacing w:line="240" w:lineRule="auto"/>
        <w:jc w:val="both"/>
        <w:rPr>
          <w:rFonts w:ascii="Times New Roman" w:hAnsi="Times New Roman" w:cs="Times New Roman"/>
          <w:b/>
          <w:noProof/>
          <w:sz w:val="24"/>
          <w:szCs w:val="24"/>
        </w:rPr>
      </w:pPr>
      <w:r>
        <w:rPr>
          <w:rFonts w:ascii="Times New Roman" w:hAnsi="Times New Roman"/>
          <w:b/>
          <w:noProof/>
          <w:sz w:val="24"/>
        </w:rPr>
        <w:t xml:space="preserve">Nepaisant pastaraisiais mėnesiais suaktyvėjusių konstruktyvių diskusijų su Kanada, įskaitant ir aukščiausiu politiniu lygmeniu, Bulgarijos ir Rumunijos piliečiai, keliaujantys į Kanadą, vis dar privalo pateikti vizas. Komisija pažymi Kanados vyriausybės įsipareigojimą toliau bendradarbiauti su ES siekiant visiško bevizio režimo abipusiškumo visiems ES piliečiams. Todėl Komisija drauge su Bulgarija ir Rumunija ir toliau aktyviai sieks visiško bevizio režimo abipusiškumo, kad greičiau būtų pasiekta rezultatų. </w:t>
      </w:r>
      <w:r>
        <w:rPr>
          <w:rFonts w:ascii="Times New Roman" w:hAnsi="Times New Roman"/>
          <w:b/>
          <w:noProof/>
          <w:color w:val="0D0D0D"/>
          <w:sz w:val="24"/>
        </w:rPr>
        <w:t>Komisija nekantriai laukia 2016 m. spalio 27 d. įvyksiančio ES ir Kanados aukščiausiojo lygio susitikimo kaip progos patvirtinti apčiuopiamą pažangą, padarytą siekiant panaikinti vizų reikalavimus Bulgarijos ir Rumunijos piliečiams.</w:t>
      </w:r>
      <w:r>
        <w:rPr>
          <w:rFonts w:ascii="Times New Roman" w:hAnsi="Times New Roman"/>
          <w:noProof/>
          <w:color w:val="0D0D0D"/>
          <w:sz w:val="24"/>
        </w:rPr>
        <w:t xml:space="preserve"> </w:t>
      </w:r>
    </w:p>
    <w:p>
      <w:pPr>
        <w:spacing w:before="240" w:after="120" w:line="240" w:lineRule="auto"/>
        <w:jc w:val="both"/>
        <w:rPr>
          <w:rFonts w:ascii="Times New Roman" w:hAnsi="Times New Roman" w:cs="Times New Roman"/>
          <w:b/>
          <w:i/>
          <w:noProof/>
          <w:sz w:val="24"/>
          <w:szCs w:val="24"/>
        </w:rPr>
      </w:pPr>
      <w:r>
        <w:rPr>
          <w:rFonts w:ascii="Times New Roman" w:hAnsi="Times New Roman"/>
          <w:b/>
          <w:i/>
          <w:noProof/>
          <w:sz w:val="24"/>
        </w:rPr>
        <w:t>Jungtinės Valstijos (pranešė Bulgarija, Kroatija, Kipras, Lenkija ir Rumunija)</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Balandžio mėn. komunikate Komisija pabrėžė, kad būtina aktyviai siekti visiško bevizio režimo abipusiškumo, ir ragino Jungtines Valstijas patvirtinti įsipareigojimą įvedant aiškias priemones, kuriomis siekiama užtikrinti visoms 28 Europos Sąjungos valstybėms narėms bevizio režimo abipusiškumą. Siekiant šio tikslo suaktyvinti techninio ir politinio lygmens kontaktai su Jungtinėmis Valstijomis.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Balandžio 15 d., netrukus po to, kai buvo priimtas Balandžio mėn. komunikatas, Komisijos narys D. Avramopoulos aptarė šį klausimą su Vidaus saugumo departamento (DHS) sekretoriumi J. Johnsonu. Be to, ES delegacija Vašingtone bendraudama su Kongresu reguliariai pabrėžia būtinumą pereiti prie visiško bevizio režimo abipusiškumo.</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Birželio 2 d. surengtame ES ir JAV teisingumo ir vidaus reikalų vyresniųjų ministrų susitikime buvo smulkiai aptartas vizų abipusiškumo klausimas. Jungtinių Valstijų administracijos atstovai paaiškino, kad administracija ir toliau pasirengusi dirbti su ES ir penkiomis susijusiomis valstybėmis narėmis siekiant visiško bevizio režimo abipusiškumo, tačiau pažymėjo, kad Jungtinių Valstijų kongresas nepakeitė nuomonės ir kad iki naujų Prezidento ir Kongreso rinkimų neverta tikėtis didesnių permainų. Be to, kaip priežastis neišplėsti JAV bevizio režimo programos taikymo penkioms susijusioms ES valstybėms narėms nurodytas susirūpinimas dėl saugumo.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Jungtinės Valstijos ne kartą įspėjo dėl visų ES priemonių, kurios gali daryti neigiamą poveikį ne tik bevizio režimo abipusiškumui. Jos pabrėžė, kad įvedus vizų reikalavimus Jungtinių Valstijų piliečiams Kongresas tikrai sugrąžins vizų reikalavimus visiems ES piliečiams.</w:t>
      </w:r>
      <w:r>
        <w:rPr>
          <w:rFonts w:ascii="Times New Roman" w:hAnsi="Times New Roman"/>
          <w:b/>
          <w:noProof/>
          <w:sz w:val="24"/>
        </w:rPr>
        <w:t xml:space="preserve"> </w:t>
      </w:r>
      <w:r>
        <w:rPr>
          <w:rFonts w:ascii="Times New Roman" w:hAnsi="Times New Roman"/>
          <w:noProof/>
          <w:sz w:val="24"/>
        </w:rPr>
        <w:t xml:space="preserve">Dėl Balandžio mėn. komunikate Komisijos pasiūlytų idėjų (t. y., išplėsti Jungtinių Valstijų Elektroninio kelionės leidimo sistemą (ESTA) tam tikroms keliaujančiųjų kategorijoms) Jungtinių Valstijų atstovai atsakė, kad pagal galiojančius teisės aktus toks lankstumas nenumatytas, be to, atmetė galimybę, kad artimoje ateityje bus pateikta tai užtikrinančių teisėkūros pasiūlymų. Tačiau Jungtinės Valstijos, pripažindamos šio klausimo subtilumą, nurodė keletą galimybių palengvinti prašymų dėl vizos teikimo ir vizų išdavimo tvarką. Jos susijusios su vizų pratęsimu; be kita ko, prašymų dėl vizos teikėjams suteikiamos kai kurios lengvatos (pvz., nebūtina pateikti pirštų atspaudus ir dalyvauti pokalbyje). Tačiau šios galimybės egzistuoja jau senokai ir jų negalima priskirti prie pažangos siekiant visiško bevizio režimo abipusiškumo.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Jungtinių Valstijų Kongrese nuo balandžio mėn. nematyti ES piliečiams svarbios pažangos, susijusios su galiojančiomis Jungtinių Valstijų teisėkūros iniciatyvomis, visų pirma 2015 m. aktu dėl kelionėmis sukuriamų darbo vietų (angl. </w:t>
      </w:r>
      <w:r>
        <w:rPr>
          <w:rFonts w:ascii="Times New Roman" w:hAnsi="Times New Roman"/>
          <w:i/>
          <w:noProof/>
          <w:sz w:val="24"/>
        </w:rPr>
        <w:t>Jobs Originating through Launching Travel Act</w:t>
      </w:r>
      <w:r>
        <w:rPr>
          <w:rFonts w:ascii="Times New Roman" w:hAnsi="Times New Roman"/>
          <w:noProof/>
          <w:sz w:val="24"/>
        </w:rPr>
        <w:t>)</w:t>
      </w:r>
      <w:r>
        <w:rPr>
          <w:rStyle w:val="FootnoteReference"/>
          <w:rFonts w:ascii="Times New Roman" w:hAnsi="Times New Roman"/>
          <w:noProof/>
          <w:sz w:val="24"/>
        </w:rPr>
        <w:footnoteReference w:id="5"/>
      </w:r>
      <w:r>
        <w:rPr>
          <w:rFonts w:ascii="Times New Roman" w:hAnsi="Times New Roman"/>
          <w:noProof/>
          <w:sz w:val="24"/>
        </w:rPr>
        <w:t xml:space="preserve"> ir 2016 m. aktu dėl vienodos apsaugos kelionėse (angl. </w:t>
      </w:r>
      <w:r>
        <w:rPr>
          <w:rFonts w:ascii="Times New Roman" w:hAnsi="Times New Roman"/>
          <w:i/>
          <w:noProof/>
          <w:sz w:val="24"/>
        </w:rPr>
        <w:t>Equal Protection in Travel Act</w:t>
      </w:r>
      <w:r>
        <w:rPr>
          <w:rFonts w:ascii="Times New Roman" w:hAnsi="Times New Roman"/>
          <w:noProof/>
          <w:sz w:val="24"/>
        </w:rPr>
        <w:t>)</w:t>
      </w:r>
      <w:r>
        <w:rPr>
          <w:rStyle w:val="FootnoteReference"/>
          <w:rFonts w:ascii="Times New Roman" w:hAnsi="Times New Roman"/>
          <w:noProof/>
          <w:sz w:val="24"/>
        </w:rPr>
        <w:footnoteReference w:id="6"/>
      </w:r>
      <w:r>
        <w:rPr>
          <w:rFonts w:ascii="Times New Roman" w:hAnsi="Times New Roman"/>
          <w:noProof/>
          <w:sz w:val="24"/>
        </w:rPr>
        <w:t xml:space="preserve">. </w:t>
      </w:r>
    </w:p>
    <w:p>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Vizų režimo abipusiškumo klausimas taip pat buvo paminėtas gegužės16–18 d. </w:t>
      </w:r>
      <w:r>
        <w:rPr>
          <w:rStyle w:val="Emphasis"/>
          <w:rFonts w:ascii="Times New Roman" w:hAnsi="Times New Roman"/>
          <w:i w:val="0"/>
          <w:noProof/>
          <w:sz w:val="24"/>
        </w:rPr>
        <w:t>Europos Parlamento</w:t>
      </w:r>
      <w:r>
        <w:rPr>
          <w:rStyle w:val="st"/>
          <w:rFonts w:ascii="Times New Roman" w:hAnsi="Times New Roman"/>
          <w:i/>
          <w:noProof/>
          <w:sz w:val="24"/>
        </w:rPr>
        <w:t xml:space="preserve"> </w:t>
      </w:r>
      <w:r>
        <w:rPr>
          <w:rStyle w:val="st"/>
          <w:rFonts w:ascii="Times New Roman" w:hAnsi="Times New Roman"/>
          <w:noProof/>
          <w:sz w:val="24"/>
        </w:rPr>
        <w:t>Piliečių laisvių, teisingumo ir vidaus reikalų komitetui</w:t>
      </w:r>
      <w:r>
        <w:rPr>
          <w:rFonts w:ascii="Times New Roman" w:hAnsi="Times New Roman"/>
          <w:noProof/>
          <w:sz w:val="24"/>
        </w:rPr>
        <w:t xml:space="preserve"> (LIBE) lankantis Vašingtone. </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Verta pažymėti, kad Jungtinių Valstijų vyriausybės atskaitos biuras birželio 7 d. paskelbė ataskaitą, kurioje pateikiama informacija apie tai, kaip Bevizio režimo programos šalys partnerės dalijasi su JAV informacija, susijusia su teroristų tapatybe, duomenimis apie teistumą ir pamestus bei pavogtus pasus. Ataskaitoje pažymima, kad Jungtinėms Valstijoms pavyko gauti iš Bevizio režimo programos šalių informacijos apie daugiau negu 12 000 įtariamų teroristų, tarp jų apie beveik 5 000 anksčiau nežinomi Jungtinių Valstijų valdžios institucijoms. Komisija laiko šį pasikeitimą informacija labai svarbiu: jis rodo, kad Bevizio režimo programa ne tik palengvina milijonų teisėtai per Atlantą keliaujančių asmenų kelionę, bet ir duoda Jungtinėms Valstijoms svarbią naudą saugumo srityje. Ataskaitoje taip pat teigiama, kad per paskutinius metus keitimasis informacija išaugo geometrine progresija.</w:t>
      </w:r>
    </w:p>
    <w:p>
      <w:pPr>
        <w:spacing w:before="120" w:after="120" w:line="240" w:lineRule="auto"/>
        <w:jc w:val="both"/>
        <w:rPr>
          <w:rFonts w:ascii="Times New Roman" w:hAnsi="Times New Roman" w:cs="Times New Roman"/>
          <w:bCs/>
          <w:noProof/>
          <w:sz w:val="24"/>
          <w:szCs w:val="24"/>
        </w:rPr>
      </w:pPr>
      <w:r>
        <w:rPr>
          <w:rFonts w:ascii="Times New Roman" w:hAnsi="Times New Roman"/>
          <w:noProof/>
          <w:sz w:val="24"/>
        </w:rPr>
        <w:t>Komisija pažymi, kad tai gegužės 26 d. Jungtinių Valstijų Senato vidaus saugumo komiteto posėdyje</w:t>
      </w:r>
      <w:r>
        <w:rPr>
          <w:rStyle w:val="FootnoteReference"/>
          <w:rFonts w:ascii="Times New Roman" w:hAnsi="Times New Roman"/>
          <w:noProof/>
          <w:sz w:val="24"/>
        </w:rPr>
        <w:footnoteReference w:id="7"/>
      </w:r>
      <w:r>
        <w:rPr>
          <w:rFonts w:ascii="Times New Roman" w:hAnsi="Times New Roman"/>
          <w:noProof/>
          <w:sz w:val="24"/>
        </w:rPr>
        <w:t xml:space="preserve"> pabrėžė ir Vidaus saugumo sekretoriaus pavaduotojas A. Mayorkas, ir laikinai einantis pareigas kovos su terorizmu koordinatorius J. Siberellas (Valstybės departamentas); taip pat pripažinti naujausi ES pasiekimai saugumo srityje, tokie kaip ES Keleivio duomenų įrašo direktyva arba Europos kovos su terorizmu centro įkūrimas Europole.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b/>
          <w:noProof/>
          <w:sz w:val="24"/>
        </w:rPr>
        <w:t>Nepaisant suaktyvintų politinio ir techninio pobūdžio ryšių su Jungtinėmis Valstijomis, nematyti pažangos rodiklių, palyginamų su Kanados. Per pastaruosius tris mėnesius Jungtinės Valstijos neatliko jokių veiksmų dėl vizų reikalavimų panaikinimo Bulgarijos, Kroatijos, Kipro, Lenkijos ir Rumunijos piliečiams, keliaujantiems į Jungtines Valstijas. Todėl Komisija drauge su penkiomis susijusiomis valstybėmis narėmis ir toliau aktyviai veiks, kad greičiau būtų pasiekta rezultatų. Komisija išnaudos visas šios srities galimybes, įskaitant liepos 18 d. ES užsienio reikalų tarybos ir sekretoriaus J. Kerry bendrus pusryčius bei 2016 m. pabaigoje numatytą kitą ES ir JAV teisingumo ir vidaus reikalų ministrų ir aukštų pareigūnų susitikimą, siekdama nagrinėti pažangos perspektyvas ir visas galimybes ar būtinus veiksmus, kurių reikia šiam tikslui pasiekti.</w:t>
      </w:r>
    </w:p>
    <w:p>
      <w:pPr>
        <w:pStyle w:val="Heading1"/>
        <w:spacing w:after="240" w:line="240" w:lineRule="auto"/>
        <w:rPr>
          <w:rFonts w:ascii="Times New Roman" w:hAnsi="Times New Roman"/>
          <w:smallCaps/>
          <w:noProof/>
          <w:color w:val="auto"/>
          <w:sz w:val="24"/>
          <w:szCs w:val="24"/>
        </w:rPr>
      </w:pPr>
      <w:r>
        <w:rPr>
          <w:rFonts w:ascii="Times New Roman" w:hAnsi="Times New Roman"/>
          <w:smallCaps/>
          <w:noProof/>
          <w:color w:val="auto"/>
          <w:sz w:val="24"/>
        </w:rPr>
        <w:t>III.</w:t>
      </w:r>
      <w:r>
        <w:rPr>
          <w:noProof/>
        </w:rPr>
        <w:tab/>
      </w:r>
      <w:r>
        <w:rPr>
          <w:rFonts w:ascii="Times New Roman" w:hAnsi="Times New Roman"/>
          <w:smallCaps/>
          <w:noProof/>
          <w:color w:val="auto"/>
          <w:sz w:val="24"/>
        </w:rPr>
        <w:t xml:space="preserve">Nuomonės, išsakytos atsakant į Balandžio mėn. komunikatą </w:t>
      </w:r>
    </w:p>
    <w:p>
      <w:pPr>
        <w:spacing w:line="240" w:lineRule="auto"/>
        <w:jc w:val="both"/>
        <w:rPr>
          <w:rFonts w:ascii="Times New Roman" w:hAnsi="Times New Roman" w:cs="Times New Roman"/>
          <w:noProof/>
          <w:sz w:val="24"/>
          <w:szCs w:val="24"/>
        </w:rPr>
      </w:pPr>
      <w:r>
        <w:rPr>
          <w:rFonts w:ascii="Times New Roman" w:hAnsi="Times New Roman"/>
          <w:noProof/>
          <w:sz w:val="24"/>
        </w:rPr>
        <w:t>Balandžio mėn. komunikate Komisija kvietė Europos Parlamentą ir Tarybą kuo skubiau pradėti diskusijas dėl šiuo metu veikiančio abipusiškumo mechanizmo ir pareikšti nuomonę dėl tinkamiausio veikimo būdo, atsižvelgiant į Balandžio mėn. komunikate pateiktą vertinimą. Abi institucijos kviečiamos ne vėliau kaip iki 2016 m. liepos 12 d. informuoti Komisiją apie savo nuomones.</w:t>
      </w:r>
    </w:p>
    <w:p>
      <w:pPr>
        <w:pStyle w:val="NormalWeb"/>
        <w:spacing w:before="120" w:beforeAutospacing="0" w:after="120" w:afterAutospacing="0"/>
        <w:jc w:val="both"/>
        <w:rPr>
          <w:noProof/>
        </w:rPr>
      </w:pPr>
      <w:r>
        <w:rPr>
          <w:b/>
          <w:noProof/>
        </w:rPr>
        <w:t>Europos Parlamente</w:t>
      </w:r>
      <w:r>
        <w:rPr>
          <w:noProof/>
        </w:rPr>
        <w:t xml:space="preserve"> nebuvo surengta plenarinių diskusijų dėl šių nuomonių formavimo. </w:t>
      </w:r>
      <w:r>
        <w:rPr>
          <w:rStyle w:val="Emphasis"/>
          <w:i w:val="0"/>
          <w:noProof/>
        </w:rPr>
        <w:t>Piliečių</w:t>
      </w:r>
      <w:r>
        <w:rPr>
          <w:rStyle w:val="st"/>
          <w:i/>
          <w:noProof/>
        </w:rPr>
        <w:t xml:space="preserve"> </w:t>
      </w:r>
      <w:r>
        <w:rPr>
          <w:rStyle w:val="st"/>
          <w:noProof/>
        </w:rPr>
        <w:t>laisvių, teisingumo ir vidaus reikalų komiteto</w:t>
      </w:r>
      <w:r>
        <w:rPr>
          <w:noProof/>
        </w:rPr>
        <w:t xml:space="preserve"> pirmininkas birželio 7 d. pasiuntė komisijai raštą su prašymu kuo greičiau priimti Reglamente numatytus įgyvendinimo aktus. LIBE pirmininkas rašte nurodė, kad pagal Reglamento 1 straipsnio 4 dalies f punktą Komisija turi priimti įgyvendinimo aktą, pagal kurį laikinai, ne ilgiau kaip šešiems mėnesiams, sustabdomas bevizio režimo taikymas susijusios trečiosios šalies gyventojams, jei Jungtinės Valstijos ir Kanada nepanaikins vizų reikalavimo per 24 mėnesius nuo susijusių ES valstybių narių pranešimo apie abipusiškumo principo nesilaikymą. Rašte Komisijos prašoma laikytis šios teisinės prievolės ir kuo greičiau priimti būtinus įgyvendinimo aktus ir pabrėžiama, kad pagal SESV 265 straipsnį, jei Komisija nesiima veiksmų, gali būti kreipiamasi į Europos Sąjungos Teisingumo Teismą su ieškiniu.</w:t>
      </w:r>
    </w:p>
    <w:p>
      <w:pPr>
        <w:pStyle w:val="NormalWeb"/>
        <w:spacing w:before="120" w:beforeAutospacing="0" w:after="120" w:afterAutospacing="0"/>
        <w:jc w:val="both"/>
        <w:rPr>
          <w:noProof/>
        </w:rPr>
      </w:pPr>
      <w:r>
        <w:rPr>
          <w:b/>
          <w:noProof/>
        </w:rPr>
        <w:t>Taryba</w:t>
      </w:r>
      <w:r>
        <w:rPr>
          <w:noProof/>
        </w:rPr>
        <w:t xml:space="preserve"> neįtraukė šio klausimo į Ministrų Tarybos darbotvarkę, ir nei pirmininkaujanti šalis, nei Taryba neišreiškė nuomonės dėl šuo metu galiojančio abipusiškumo mechanizmo, atsižvelgdamos į komunikate pateiktą vertinimą. </w:t>
      </w:r>
    </w:p>
    <w:p>
      <w:pPr>
        <w:pStyle w:val="NormalWeb"/>
        <w:spacing w:before="120" w:beforeAutospacing="0" w:after="120" w:afterAutospacing="0"/>
        <w:jc w:val="both"/>
        <w:rPr>
          <w:noProof/>
        </w:rPr>
      </w:pPr>
      <w:r>
        <w:rPr>
          <w:noProof/>
        </w:rPr>
        <w:t xml:space="preserve">Iš visų valstybių narių Bulgarija ir Rumunija aktyviausiai reiškė savo nuomonę Komisijai ir kitoms dviem susijusioms trečiosioms šalims, ypač aukščiausiu politiniu lygiu Kanadai. </w:t>
      </w:r>
    </w:p>
    <w:p>
      <w:pPr>
        <w:spacing w:before="120" w:after="120" w:line="240" w:lineRule="auto"/>
        <w:jc w:val="both"/>
        <w:rPr>
          <w:rFonts w:ascii="Times New Roman" w:hAnsi="Times New Roman" w:cs="Times New Roman"/>
          <w:i/>
          <w:noProof/>
          <w:sz w:val="24"/>
          <w:szCs w:val="24"/>
        </w:rPr>
      </w:pPr>
      <w:r>
        <w:rPr>
          <w:rFonts w:ascii="Times New Roman" w:hAnsi="Times New Roman"/>
          <w:i/>
          <w:noProof/>
          <w:sz w:val="24"/>
        </w:rPr>
        <w:t xml:space="preserve">Kiti suinteresuotieji subjektai </w:t>
      </w:r>
    </w:p>
    <w:p>
      <w:pPr>
        <w:spacing w:before="120" w:after="120" w:line="240" w:lineRule="auto"/>
        <w:jc w:val="both"/>
        <w:rPr>
          <w:rFonts w:ascii="Times New Roman" w:hAnsi="Times New Roman" w:cs="Times New Roman"/>
          <w:b/>
          <w:noProof/>
          <w:color w:val="0D0D0D"/>
          <w:sz w:val="24"/>
          <w:szCs w:val="24"/>
        </w:rPr>
      </w:pPr>
      <w:r>
        <w:rPr>
          <w:rFonts w:ascii="Times New Roman" w:hAnsi="Times New Roman"/>
          <w:noProof/>
          <w:sz w:val="24"/>
        </w:rPr>
        <w:t xml:space="preserve">Savo nuomonę šiuo klausimu išsakė ir kai kurie </w:t>
      </w:r>
      <w:r>
        <w:rPr>
          <w:rFonts w:ascii="Times New Roman" w:hAnsi="Times New Roman"/>
          <w:b/>
          <w:noProof/>
          <w:sz w:val="24"/>
        </w:rPr>
        <w:t>suinteresuotieji subjektai</w:t>
      </w:r>
      <w:r>
        <w:rPr>
          <w:rFonts w:ascii="Times New Roman" w:hAnsi="Times New Roman"/>
          <w:noProof/>
          <w:sz w:val="24"/>
        </w:rPr>
        <w:t xml:space="preserve">. </w:t>
      </w:r>
      <w:r>
        <w:rPr>
          <w:rFonts w:ascii="Times New Roman" w:hAnsi="Times New Roman"/>
          <w:b/>
          <w:noProof/>
          <w:sz w:val="24"/>
        </w:rPr>
        <w:t>Tarptautinė oro transporto asociacija</w:t>
      </w:r>
      <w:r>
        <w:rPr>
          <w:rFonts w:ascii="Times New Roman" w:hAnsi="Times New Roman"/>
          <w:noProof/>
          <w:sz w:val="24"/>
        </w:rPr>
        <w:t xml:space="preserve"> (IATA), subūrusi apie 260 oro linijų, atstovaujančių 83 proc. pasaulinio oro transporto, paminėjo naujų reikalavimų keliaujantiems iš Kanados ir Jungtinių Valstijų į ES įvedimo ekonominius padarinius</w:t>
      </w:r>
      <w:r>
        <w:rPr>
          <w:rStyle w:val="FootnoteReference"/>
          <w:rFonts w:ascii="Times New Roman" w:hAnsi="Times New Roman"/>
          <w:noProof/>
          <w:sz w:val="24"/>
        </w:rPr>
        <w:footnoteReference w:id="8"/>
      </w:r>
      <w:r>
        <w:rPr>
          <w:rFonts w:ascii="Times New Roman" w:hAnsi="Times New Roman"/>
          <w:noProof/>
          <w:sz w:val="24"/>
        </w:rPr>
        <w:t>. IATA minėjo Europos kelionių komisijos duomenis, pagal kuriuos Europoje kasmet apsilanko per 30 mln. Kanados ir Jungtinių Valstijų turistų; 2014 m. jie išleido per 54 mlrd. USD. Be to, 31 turizmo pramonės atstovas pasirašė bendrą raštą Europos Parlamento LIBE komitetui, kuriame teigiama, kad bevizio režimo sustabdymas Kanados ir Jungtinių Valstijų piliečiams sustabdys teigiamą turizmo iš Jungtinių Valstijų ir Kanados srautų augimo tendenciją, neleis Europos kelionių ir turizmo sektoriui gauti būtinų pajamų ir sukels grėsmę tūkstančiams darbo vietų Europoje</w:t>
      </w:r>
      <w:r>
        <w:rPr>
          <w:rStyle w:val="FootnoteReference"/>
          <w:rFonts w:ascii="Times New Roman" w:hAnsi="Times New Roman"/>
          <w:noProof/>
          <w:sz w:val="24"/>
        </w:rPr>
        <w:footnoteReference w:id="9"/>
      </w:r>
      <w:r>
        <w:rPr>
          <w:rFonts w:ascii="Times New Roman" w:hAnsi="Times New Roman"/>
          <w:noProof/>
          <w:sz w:val="24"/>
        </w:rPr>
        <w:t xml:space="preserve">. </w:t>
      </w:r>
    </w:p>
    <w:p>
      <w:pPr>
        <w:pStyle w:val="Heading1"/>
        <w:spacing w:before="240" w:after="240" w:line="240" w:lineRule="auto"/>
        <w:rPr>
          <w:rFonts w:ascii="Times New Roman" w:hAnsi="Times New Roman"/>
          <w:b w:val="0"/>
          <w:smallCaps/>
          <w:noProof/>
          <w:color w:val="auto"/>
          <w:sz w:val="24"/>
          <w:szCs w:val="24"/>
        </w:rPr>
      </w:pPr>
      <w:r>
        <w:rPr>
          <w:rFonts w:ascii="Times New Roman" w:hAnsi="Times New Roman"/>
          <w:smallCaps/>
          <w:noProof/>
          <w:color w:val="auto"/>
          <w:sz w:val="24"/>
        </w:rPr>
        <w:t>IV. Išvados</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color w:val="0D0D0D"/>
          <w:sz w:val="24"/>
        </w:rPr>
        <w:t>Komisija džiaugiasi, kad pasiekta visiško bevizio režimo abipusiškumo su Brunėjumi.</w:t>
      </w:r>
    </w:p>
    <w:p>
      <w:pPr>
        <w:spacing w:before="120" w:after="120" w:line="240" w:lineRule="auto"/>
        <w:jc w:val="both"/>
        <w:rPr>
          <w:rFonts w:ascii="Times New Roman" w:hAnsi="Times New Roman" w:cs="Times New Roman"/>
          <w:noProof/>
          <w:color w:val="0D0D0D"/>
          <w:sz w:val="24"/>
          <w:szCs w:val="24"/>
        </w:rPr>
      </w:pPr>
      <w:r>
        <w:rPr>
          <w:rFonts w:ascii="Times New Roman" w:hAnsi="Times New Roman"/>
          <w:noProof/>
          <w:sz w:val="24"/>
        </w:rPr>
        <w:t xml:space="preserve">Dėl Kanados Komisija pažymi, kad nepaisant pastaruosius tris mėnesius suintensyvėjusių ir konstruktyvių diskusijų bei darbo su Kanados valdžios institucijomis siekiant pažangos užtikrinant visišką bevizio režimo abipusiškumą, į Kanadą keliaujantiems Bulgarijos ir Rumunijos gyventojams vis dar reikia vizų. Todėl Komisija drauge su Bulgarija ir Rumunija ir toliau aktyviai sieks visiško bevizio režimo abipusiškumo, kad greičiau būtų pasiekta rezultatų. Liepos 11 d. ministrų lygmens susitikime Briuselyje Kanada įsipareigojo rudens pradžioje pranešti apie vertinimo rezultatus ir vizų reikalavimo panaikinimo darbotvarkę, įskaitant būtinus bendradarbiavimo su Bulgarija ir Rumunija elementus. </w:t>
      </w:r>
      <w:r>
        <w:rPr>
          <w:rFonts w:ascii="Times New Roman" w:hAnsi="Times New Roman"/>
          <w:noProof/>
          <w:color w:val="0D0D0D"/>
          <w:sz w:val="24"/>
        </w:rPr>
        <w:t>Komisija nekantriai laukia 2016 m. spalio 27–28 d. įvyksiančio ES ir Kanados aukščiausiojo lygio susitikimo kaip progos patvirtinti apčiuopiamą pažangą, padarytą siekiant panaikinti vizų reikalavimus Bulgarijos ir Rumunijos piliečiams.</w:t>
      </w:r>
    </w:p>
    <w:p>
      <w:pPr>
        <w:spacing w:line="240" w:lineRule="auto"/>
        <w:jc w:val="both"/>
        <w:rPr>
          <w:rFonts w:ascii="Times New Roman" w:hAnsi="Times New Roman" w:cs="Times New Roman"/>
          <w:noProof/>
          <w:color w:val="0D0D0D"/>
          <w:sz w:val="24"/>
          <w:szCs w:val="24"/>
        </w:rPr>
      </w:pPr>
      <w:r>
        <w:rPr>
          <w:rFonts w:ascii="Times New Roman" w:hAnsi="Times New Roman"/>
          <w:noProof/>
          <w:sz w:val="24"/>
        </w:rPr>
        <w:t>Dėl Jungtinių Amerikos Valstijų Komisija pažymi, kad per pastaruosius tris mėnesius Jungtinės Valstijos neatliko jokių veiksmų dėl vizų reikalavimų panaikinimo Bulgarijos, Kroatijos, Kipro, Lenkijos ir Rumunijos piliečiams, keliaujantiems į Jungtines Valstijas. Todėl Komisija, kaip minėta pirmiau, išnaudos visas galimybes siekdama visiško bevizio režimo abipusiškumo drauge su penkiomis susijusiomis valstybėmis narėmis, kad greičiau būtų pasiekta rezultatų.</w:t>
      </w:r>
    </w:p>
    <w:p>
      <w:pPr>
        <w:spacing w:line="240" w:lineRule="auto"/>
        <w:jc w:val="both"/>
        <w:rPr>
          <w:rFonts w:ascii="Times New Roman" w:hAnsi="Times New Roman" w:cs="Times New Roman"/>
          <w:noProof/>
          <w:color w:val="0D0D0D"/>
          <w:sz w:val="24"/>
          <w:szCs w:val="24"/>
        </w:rPr>
      </w:pPr>
      <w:r>
        <w:rPr>
          <w:rFonts w:ascii="Times New Roman" w:hAnsi="Times New Roman"/>
          <w:noProof/>
          <w:color w:val="0D0D0D"/>
          <w:sz w:val="24"/>
        </w:rPr>
        <w:t xml:space="preserve">Komisija glaudžiai bendradarbiaus ir su Europos Parlamentu ir Taryba, siekdama užtikrinti, kad Europos Sąjunga išreikštų vieningą poziciją šiuo svarbiu klausimu, ir metams baigiantis pateiks tolesnės pažangos ataskaitą. </w:t>
      </w:r>
    </w:p>
    <w:p>
      <w:pPr>
        <w:pStyle w:val="NormalWeb"/>
        <w:spacing w:before="120" w:beforeAutospacing="0" w:after="120" w:afterAutospacing="0"/>
        <w:jc w:val="center"/>
        <w:rPr>
          <w:noProof/>
        </w:rPr>
      </w:pPr>
      <w:r>
        <w:rPr>
          <w:noProof/>
        </w:rPr>
        <w:t>_______</w:t>
      </w: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493738"/>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2013 m. gruodžio 11 d. Europos Parlamento ir Tarybos reglamentas (ES) Nr. 1289/2013, kuriuo iš dalies keičiamas Tarybos reglamentas (EB) Nr. 539/2001, nustatantis trečiųjų šalių, kurių piliečiai, kirsdami išorines sienas, privalo turėti vizas, ir trečiųjų šalių, kurių piliečiams toks reikalavimas netaikomas, sąrašus, OL L 347, 2013 12 20, p. 74–80.</w:t>
      </w:r>
    </w:p>
  </w:footnote>
  <w:footnote w:id="3">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Žr. 2016 m. balandžio 14 d. </w:t>
      </w:r>
      <w:r>
        <w:rPr>
          <w:rFonts w:ascii="Times New Roman" w:hAnsi="Times New Roman"/>
          <w:i/>
        </w:rPr>
        <w:t>Daily News</w:t>
      </w:r>
      <w:r>
        <w:rPr>
          <w:rFonts w:ascii="Times New Roman" w:hAnsi="Times New Roman"/>
        </w:rPr>
        <w:t>.</w:t>
      </w:r>
    </w:p>
  </w:footnote>
  <w:footnote w:id="4">
    <w:p>
      <w:pPr>
        <w:pStyle w:val="FootnoteText"/>
        <w:ind w:left="284" w:hanging="284"/>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Išsamiau: Komisijos ataskaita vertinant abipusiškumo principo nesilaikymo padėtį vizų politikos srityje (C(2015) 7455, 2015 11 5 </w:t>
      </w:r>
      <w:r>
        <w:rPr>
          <w:rFonts w:ascii="Times New Roman" w:hAnsi="Times New Roman"/>
          <w:i/>
        </w:rPr>
        <w:t>final,</w:t>
      </w:r>
      <w:r>
        <w:rPr>
          <w:rFonts w:ascii="Times New Roman" w:hAnsi="Times New Roman"/>
        </w:rPr>
        <w:t xml:space="preserve"> p. 4 ir COM(2016) 221 </w:t>
      </w:r>
      <w:r>
        <w:rPr>
          <w:rFonts w:ascii="Times New Roman" w:hAnsi="Times New Roman"/>
          <w:i/>
        </w:rPr>
        <w:t>final</w:t>
      </w:r>
      <w:r>
        <w:rPr>
          <w:rFonts w:ascii="Times New Roman" w:hAnsi="Times New Roman"/>
        </w:rPr>
        <w:t>).</w:t>
      </w:r>
    </w:p>
  </w:footnote>
  <w:footnote w:id="5">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 xml:space="preserve">https://www.congress.gov/bill/114th-congress/house-bill/1401  </w:t>
      </w:r>
    </w:p>
  </w:footnote>
  <w:footnote w:id="6">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https://www.congress.gov/bill/114th-congress/house-bill/4380/text</w:t>
      </w:r>
    </w:p>
  </w:footnote>
  <w:footnote w:id="7">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http://www.hsgac.senate.gov/hearings/protecting-america-from-the-threat-of-isis</w:t>
      </w:r>
    </w:p>
  </w:footnote>
  <w:footnote w:id="8">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http://www.iata.org/pressroom/pr/Pages/2016-06-02-07.aspx</w:t>
      </w:r>
    </w:p>
  </w:footnote>
  <w:footnote w:id="9">
    <w:p>
      <w:pPr>
        <w:pStyle w:val="FootnoteText"/>
        <w:ind w:left="284" w:hanging="284"/>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tab/>
      </w:r>
      <w:r>
        <w:rPr>
          <w:rFonts w:ascii="Times New Roman" w:hAnsi="Times New Roman"/>
        </w:rPr>
        <w:t>http://www.tourismmanifesto.eu/#!blank/c20x9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778"/>
    <w:multiLevelType w:val="hybridMultilevel"/>
    <w:tmpl w:val="C3C027F6"/>
    <w:lvl w:ilvl="0" w:tplc="021C4F64">
      <w:numFmt w:val="bullet"/>
      <w:lvlText w:val="-"/>
      <w:lvlJc w:val="left"/>
      <w:pPr>
        <w:ind w:left="720" w:hanging="360"/>
      </w:pPr>
      <w:rPr>
        <w:rFonts w:ascii="Times" w:eastAsia="Calibri" w:hAnsi="Times" w:cs="Times New Roman"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BBB55AE"/>
    <w:multiLevelType w:val="hybridMultilevel"/>
    <w:tmpl w:val="9D846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3370D14"/>
    <w:multiLevelType w:val="hybridMultilevel"/>
    <w:tmpl w:val="C6E84FD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8E61493"/>
    <w:multiLevelType w:val="hybridMultilevel"/>
    <w:tmpl w:val="33548B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39634FE3"/>
    <w:multiLevelType w:val="hybridMultilevel"/>
    <w:tmpl w:val="00D2D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A767D1F"/>
    <w:multiLevelType w:val="hybridMultilevel"/>
    <w:tmpl w:val="E912EEEE"/>
    <w:lvl w:ilvl="0" w:tplc="FFFFFFFF">
      <w:start w:val="1"/>
      <w:numFmt w:val="bullet"/>
      <w:lvlText w:val="–"/>
      <w:lvlJc w:val="left"/>
      <w:pPr>
        <w:ind w:left="1791" w:hanging="360"/>
      </w:pPr>
      <w:rPr>
        <w:rFonts w:ascii="Times New Roman" w:hAnsi="Times New Roman"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6">
    <w:nsid w:val="4E734986"/>
    <w:multiLevelType w:val="hybridMultilevel"/>
    <w:tmpl w:val="A7281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76D19D9"/>
    <w:multiLevelType w:val="hybridMultilevel"/>
    <w:tmpl w:val="97B0D540"/>
    <w:lvl w:ilvl="0" w:tplc="D2A23B44">
      <w:numFmt w:val="bullet"/>
      <w:lvlText w:val="-"/>
      <w:lvlJc w:val="left"/>
      <w:pPr>
        <w:ind w:left="1080" w:hanging="72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A312D09"/>
    <w:multiLevelType w:val="hybridMultilevel"/>
    <w:tmpl w:val="1F5EBD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D876787"/>
    <w:multiLevelType w:val="hybridMultilevel"/>
    <w:tmpl w:val="DB12F150"/>
    <w:lvl w:ilvl="0" w:tplc="FFFFFFFF">
      <w:start w:val="1"/>
      <w:numFmt w:val="bullet"/>
      <w:lvlText w:val="–"/>
      <w:lvlJc w:val="left"/>
      <w:pPr>
        <w:ind w:left="720" w:hanging="360"/>
      </w:pPr>
      <w:rPr>
        <w:rFonts w:ascii="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8"/>
  </w:num>
  <w:num w:numId="5">
    <w:abstractNumId w:val="7"/>
  </w:num>
  <w:num w:numId="6">
    <w:abstractNumId w:val="0"/>
  </w:num>
  <w:num w:numId="7">
    <w:abstractNumId w:val="3"/>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revisionView w:markup="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D14CFD6F444A40A7A58D16103A750F05"/>
    <w:docVar w:name="LW_CROSSREFERENCE" w:val="&lt;UNUSED&gt;"/>
    <w:docVar w:name="LW_DocType" w:val="NORMAL"/>
    <w:docVar w:name="LW_EMISSION" w:val="2016 07 13"/>
    <w:docVar w:name="LW_EMISSION_ISODATE" w:val="2016-07-13"/>
    <w:docVar w:name="LW_EMISSION_LOCATION" w:val="BRX"/>
    <w:docVar w:name="LW_EMISSION_PREFIX" w:val="Briuselis, "/>
    <w:docVar w:name="LW_EMISSION_SUFFIX" w:val=" "/>
    <w:docVar w:name="LW_ID_DOCTYPE_NONLW" w:val="CP-012"/>
    <w:docVar w:name="LW_LANGUE" w:val="LT"/>
    <w:docVar w:name="LW_MARKING" w:val="&lt;UNUSED&g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16) 481"/>
    <w:docVar w:name="LW_REF.INTERNE" w:val="&lt;UNUSED&gt;"/>
    <w:docVar w:name="LW_SOUS.TITRE.OBJ.CP" w:val="&lt;UNUSED&gt;"/>
    <w:docVar w:name="LW_SUPERTITRE" w:val="&lt;UNUSED&gt;"/>
    <w:docVar w:name="LW_TITRE.OBJ.CP" w:val="_x000b_Situacijos, susijusios su abipusi\u353?kumo santyki\u371? su tam tikromis tre\u269?iosiomis \u353?alimis tr\u363?kumu viz\u371? politikos srityje, dabartin\u279? pad\u279?tis ir galimi veiksmai_x000b_(T\u281?stinis darbas d\u279?l baland\u382?io 12 d. komunikato)"/>
    <w:docVar w:name="LW_TYPE.DOC.CP" w:val="KOMISIJOS KOMUNIKATAS EUROPOS PARLAMENTUI IR TARYBAI"/>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lt-LT" w:bidi="lt-L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both"/>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DefaultParagraphFont"/>
    <w:link w:val="FooterCoverPage"/>
    <w:rPr>
      <w:rFonts w:ascii="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DefaultParagraphFont"/>
    <w:link w:val="HeaderCoverPage"/>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mbria" w:eastAsia="Times New Roman" w:hAnsi="Cambria" w:cs="Times New Roman"/>
      <w:b/>
      <w:bCs/>
      <w:color w:val="365F91"/>
      <w:sz w:val="28"/>
      <w:szCs w:val="2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basedOn w:val="Normal"/>
    <w:link w:val="FootnoteTextChar"/>
    <w:uiPriority w:val="99"/>
    <w:unhideWhenUsed/>
    <w:pPr>
      <w:spacing w:after="0" w:line="240" w:lineRule="auto"/>
    </w:pPr>
    <w:rPr>
      <w:sz w:val="20"/>
      <w:szCs w:val="20"/>
    </w:rPr>
  </w:style>
  <w:style w:type="character" w:customStyle="1" w:styleId="FootnoteTextChar">
    <w:name w:val="Footnote Text Char"/>
    <w:basedOn w:val="DefaultParagraphFont"/>
    <w:link w:val="FootnoteText"/>
    <w:uiPriority w:val="99"/>
    <w:rPr>
      <w:sz w:val="20"/>
      <w:szCs w:val="20"/>
    </w:rPr>
  </w:style>
  <w:style w:type="character" w:styleId="FootnoteReference">
    <w:name w:val="footnote reference"/>
    <w:aliases w:val="Footnote Reference Superscript,BVI fnr,Footnote symbol,SUPERS,(Footnote Reference),Footnote,Voetnootverwijzing,Times 10 Point,Exposant 3 Point,Footnote reference number,note TESI,Odwołanie przypisu"/>
    <w:basedOn w:val="DefaultParagraphFont"/>
    <w:uiPriority w:val="99"/>
    <w:unhideWhenUsed/>
    <w:rPr>
      <w:vertAlign w:val="superscript"/>
    </w:rPr>
  </w:style>
  <w:style w:type="character" w:customStyle="1" w:styleId="st">
    <w:name w:val="st"/>
    <w:basedOn w:val="DefaultParagraphFont"/>
  </w:style>
  <w:style w:type="character" w:styleId="Emphasis">
    <w:name w:val="Emphasis"/>
    <w:basedOn w:val="DefaultParagraphFont"/>
    <w:uiPriority w:val="20"/>
    <w:qFormat/>
    <w:rPr>
      <w:i/>
      <w:i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locked/>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32213">
      <w:bodyDiv w:val="1"/>
      <w:marLeft w:val="0"/>
      <w:marRight w:val="0"/>
      <w:marTop w:val="0"/>
      <w:marBottom w:val="0"/>
      <w:divBdr>
        <w:top w:val="none" w:sz="0" w:space="0" w:color="auto"/>
        <w:left w:val="none" w:sz="0" w:space="0" w:color="auto"/>
        <w:bottom w:val="none" w:sz="0" w:space="0" w:color="auto"/>
        <w:right w:val="none" w:sz="0" w:space="0" w:color="auto"/>
      </w:divBdr>
    </w:div>
    <w:div w:id="117340325">
      <w:bodyDiv w:val="1"/>
      <w:marLeft w:val="0"/>
      <w:marRight w:val="0"/>
      <w:marTop w:val="0"/>
      <w:marBottom w:val="0"/>
      <w:divBdr>
        <w:top w:val="none" w:sz="0" w:space="0" w:color="auto"/>
        <w:left w:val="none" w:sz="0" w:space="0" w:color="auto"/>
        <w:bottom w:val="none" w:sz="0" w:space="0" w:color="auto"/>
        <w:right w:val="none" w:sz="0" w:space="0" w:color="auto"/>
      </w:divBdr>
    </w:div>
    <w:div w:id="140195787">
      <w:bodyDiv w:val="1"/>
      <w:marLeft w:val="0"/>
      <w:marRight w:val="0"/>
      <w:marTop w:val="0"/>
      <w:marBottom w:val="0"/>
      <w:divBdr>
        <w:top w:val="none" w:sz="0" w:space="0" w:color="auto"/>
        <w:left w:val="none" w:sz="0" w:space="0" w:color="auto"/>
        <w:bottom w:val="none" w:sz="0" w:space="0" w:color="auto"/>
        <w:right w:val="none" w:sz="0" w:space="0" w:color="auto"/>
      </w:divBdr>
    </w:div>
    <w:div w:id="328022626">
      <w:bodyDiv w:val="1"/>
      <w:marLeft w:val="0"/>
      <w:marRight w:val="0"/>
      <w:marTop w:val="0"/>
      <w:marBottom w:val="0"/>
      <w:divBdr>
        <w:top w:val="none" w:sz="0" w:space="0" w:color="auto"/>
        <w:left w:val="none" w:sz="0" w:space="0" w:color="auto"/>
        <w:bottom w:val="none" w:sz="0" w:space="0" w:color="auto"/>
        <w:right w:val="none" w:sz="0" w:space="0" w:color="auto"/>
      </w:divBdr>
    </w:div>
    <w:div w:id="355153257">
      <w:bodyDiv w:val="1"/>
      <w:marLeft w:val="0"/>
      <w:marRight w:val="0"/>
      <w:marTop w:val="0"/>
      <w:marBottom w:val="0"/>
      <w:divBdr>
        <w:top w:val="none" w:sz="0" w:space="0" w:color="auto"/>
        <w:left w:val="none" w:sz="0" w:space="0" w:color="auto"/>
        <w:bottom w:val="none" w:sz="0" w:space="0" w:color="auto"/>
        <w:right w:val="none" w:sz="0" w:space="0" w:color="auto"/>
      </w:divBdr>
    </w:div>
    <w:div w:id="409012340">
      <w:bodyDiv w:val="1"/>
      <w:marLeft w:val="0"/>
      <w:marRight w:val="0"/>
      <w:marTop w:val="0"/>
      <w:marBottom w:val="0"/>
      <w:divBdr>
        <w:top w:val="none" w:sz="0" w:space="0" w:color="auto"/>
        <w:left w:val="none" w:sz="0" w:space="0" w:color="auto"/>
        <w:bottom w:val="none" w:sz="0" w:space="0" w:color="auto"/>
        <w:right w:val="none" w:sz="0" w:space="0" w:color="auto"/>
      </w:divBdr>
    </w:div>
    <w:div w:id="445931592">
      <w:bodyDiv w:val="1"/>
      <w:marLeft w:val="0"/>
      <w:marRight w:val="0"/>
      <w:marTop w:val="0"/>
      <w:marBottom w:val="0"/>
      <w:divBdr>
        <w:top w:val="none" w:sz="0" w:space="0" w:color="auto"/>
        <w:left w:val="none" w:sz="0" w:space="0" w:color="auto"/>
        <w:bottom w:val="none" w:sz="0" w:space="0" w:color="auto"/>
        <w:right w:val="none" w:sz="0" w:space="0" w:color="auto"/>
      </w:divBdr>
    </w:div>
    <w:div w:id="621619972">
      <w:bodyDiv w:val="1"/>
      <w:marLeft w:val="0"/>
      <w:marRight w:val="0"/>
      <w:marTop w:val="0"/>
      <w:marBottom w:val="0"/>
      <w:divBdr>
        <w:top w:val="none" w:sz="0" w:space="0" w:color="auto"/>
        <w:left w:val="none" w:sz="0" w:space="0" w:color="auto"/>
        <w:bottom w:val="none" w:sz="0" w:space="0" w:color="auto"/>
        <w:right w:val="none" w:sz="0" w:space="0" w:color="auto"/>
      </w:divBdr>
    </w:div>
    <w:div w:id="669597696">
      <w:bodyDiv w:val="1"/>
      <w:marLeft w:val="0"/>
      <w:marRight w:val="0"/>
      <w:marTop w:val="0"/>
      <w:marBottom w:val="0"/>
      <w:divBdr>
        <w:top w:val="none" w:sz="0" w:space="0" w:color="auto"/>
        <w:left w:val="none" w:sz="0" w:space="0" w:color="auto"/>
        <w:bottom w:val="none" w:sz="0" w:space="0" w:color="auto"/>
        <w:right w:val="none" w:sz="0" w:space="0" w:color="auto"/>
      </w:divBdr>
    </w:div>
    <w:div w:id="776488375">
      <w:bodyDiv w:val="1"/>
      <w:marLeft w:val="0"/>
      <w:marRight w:val="0"/>
      <w:marTop w:val="0"/>
      <w:marBottom w:val="0"/>
      <w:divBdr>
        <w:top w:val="none" w:sz="0" w:space="0" w:color="auto"/>
        <w:left w:val="none" w:sz="0" w:space="0" w:color="auto"/>
        <w:bottom w:val="none" w:sz="0" w:space="0" w:color="auto"/>
        <w:right w:val="none" w:sz="0" w:space="0" w:color="auto"/>
      </w:divBdr>
    </w:div>
    <w:div w:id="829834655">
      <w:bodyDiv w:val="1"/>
      <w:marLeft w:val="0"/>
      <w:marRight w:val="0"/>
      <w:marTop w:val="0"/>
      <w:marBottom w:val="0"/>
      <w:divBdr>
        <w:top w:val="none" w:sz="0" w:space="0" w:color="auto"/>
        <w:left w:val="none" w:sz="0" w:space="0" w:color="auto"/>
        <w:bottom w:val="none" w:sz="0" w:space="0" w:color="auto"/>
        <w:right w:val="none" w:sz="0" w:space="0" w:color="auto"/>
      </w:divBdr>
    </w:div>
    <w:div w:id="1012414899">
      <w:bodyDiv w:val="1"/>
      <w:marLeft w:val="0"/>
      <w:marRight w:val="0"/>
      <w:marTop w:val="0"/>
      <w:marBottom w:val="0"/>
      <w:divBdr>
        <w:top w:val="none" w:sz="0" w:space="0" w:color="auto"/>
        <w:left w:val="none" w:sz="0" w:space="0" w:color="auto"/>
        <w:bottom w:val="none" w:sz="0" w:space="0" w:color="auto"/>
        <w:right w:val="none" w:sz="0" w:space="0" w:color="auto"/>
      </w:divBdr>
    </w:div>
    <w:div w:id="1216893163">
      <w:bodyDiv w:val="1"/>
      <w:marLeft w:val="0"/>
      <w:marRight w:val="0"/>
      <w:marTop w:val="0"/>
      <w:marBottom w:val="0"/>
      <w:divBdr>
        <w:top w:val="none" w:sz="0" w:space="0" w:color="auto"/>
        <w:left w:val="none" w:sz="0" w:space="0" w:color="auto"/>
        <w:bottom w:val="none" w:sz="0" w:space="0" w:color="auto"/>
        <w:right w:val="none" w:sz="0" w:space="0" w:color="auto"/>
      </w:divBdr>
    </w:div>
    <w:div w:id="1385909790">
      <w:bodyDiv w:val="1"/>
      <w:marLeft w:val="0"/>
      <w:marRight w:val="0"/>
      <w:marTop w:val="0"/>
      <w:marBottom w:val="0"/>
      <w:divBdr>
        <w:top w:val="none" w:sz="0" w:space="0" w:color="auto"/>
        <w:left w:val="none" w:sz="0" w:space="0" w:color="auto"/>
        <w:bottom w:val="none" w:sz="0" w:space="0" w:color="auto"/>
        <w:right w:val="none" w:sz="0" w:space="0" w:color="auto"/>
      </w:divBdr>
    </w:div>
    <w:div w:id="1447237707">
      <w:bodyDiv w:val="1"/>
      <w:marLeft w:val="0"/>
      <w:marRight w:val="0"/>
      <w:marTop w:val="0"/>
      <w:marBottom w:val="0"/>
      <w:divBdr>
        <w:top w:val="none" w:sz="0" w:space="0" w:color="auto"/>
        <w:left w:val="none" w:sz="0" w:space="0" w:color="auto"/>
        <w:bottom w:val="none" w:sz="0" w:space="0" w:color="auto"/>
        <w:right w:val="none" w:sz="0" w:space="0" w:color="auto"/>
      </w:divBdr>
    </w:div>
    <w:div w:id="1768959551">
      <w:bodyDiv w:val="1"/>
      <w:marLeft w:val="0"/>
      <w:marRight w:val="0"/>
      <w:marTop w:val="0"/>
      <w:marBottom w:val="0"/>
      <w:divBdr>
        <w:top w:val="none" w:sz="0" w:space="0" w:color="auto"/>
        <w:left w:val="none" w:sz="0" w:space="0" w:color="auto"/>
        <w:bottom w:val="none" w:sz="0" w:space="0" w:color="auto"/>
        <w:right w:val="none" w:sz="0" w:space="0" w:color="auto"/>
      </w:divBdr>
    </w:div>
    <w:div w:id="1863664704">
      <w:bodyDiv w:val="1"/>
      <w:marLeft w:val="0"/>
      <w:marRight w:val="0"/>
      <w:marTop w:val="0"/>
      <w:marBottom w:val="0"/>
      <w:divBdr>
        <w:top w:val="none" w:sz="0" w:space="0" w:color="auto"/>
        <w:left w:val="none" w:sz="0" w:space="0" w:color="auto"/>
        <w:bottom w:val="none" w:sz="0" w:space="0" w:color="auto"/>
        <w:right w:val="none" w:sz="0" w:space="0" w:color="auto"/>
      </w:divBdr>
    </w:div>
    <w:div w:id="1873837383">
      <w:bodyDiv w:val="1"/>
      <w:marLeft w:val="0"/>
      <w:marRight w:val="0"/>
      <w:marTop w:val="0"/>
      <w:marBottom w:val="0"/>
      <w:divBdr>
        <w:top w:val="none" w:sz="0" w:space="0" w:color="auto"/>
        <w:left w:val="none" w:sz="0" w:space="0" w:color="auto"/>
        <w:bottom w:val="none" w:sz="0" w:space="0" w:color="auto"/>
        <w:right w:val="none" w:sz="0" w:space="0" w:color="auto"/>
      </w:divBdr>
    </w:div>
    <w:div w:id="1877043100">
      <w:bodyDiv w:val="1"/>
      <w:marLeft w:val="0"/>
      <w:marRight w:val="0"/>
      <w:marTop w:val="0"/>
      <w:marBottom w:val="0"/>
      <w:divBdr>
        <w:top w:val="none" w:sz="0" w:space="0" w:color="auto"/>
        <w:left w:val="none" w:sz="0" w:space="0" w:color="auto"/>
        <w:bottom w:val="none" w:sz="0" w:space="0" w:color="auto"/>
        <w:right w:val="none" w:sz="0" w:space="0" w:color="auto"/>
      </w:divBdr>
    </w:div>
    <w:div w:id="190490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D1688-C3E4-40F2-A78A-1BF5499CE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2212</Words>
  <Characters>14999</Characters>
  <Application>Microsoft Office Word</Application>
  <DocSecurity>0</DocSecurity>
  <Lines>214</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17</cp:revision>
  <cp:lastPrinted>2016-07-08T12:58:00Z</cp:lastPrinted>
  <dcterms:created xsi:type="dcterms:W3CDTF">2016-07-12T10:35:00Z</dcterms:created>
  <dcterms:modified xsi:type="dcterms:W3CDTF">2016-08-01T07:37:00Z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y name="OP_sanitized" fmtid="{D5CDD505-2E9C-101B-9397-08002B2CF9AE}" pid="6">
    <vt:lpwstr>True</vt:lpwstr>
  </property>
</Properties>
</file>