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27F3" w:rsidRDefault="006D1C7A">
      <w:pPr>
        <w:pStyle w:val="Pagedecouverture"/>
        <w:rPr>
          <w:noProof/>
        </w:rPr>
      </w:pPr>
      <w:bookmarkStart w:id="0" w:name="LW_BM_COVERPAGE"/>
      <w:bookmarkStart w:id="1" w:name="_GoBack"/>
      <w:bookmarkEnd w:id="1"/>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D03A122D4DDF4385A3CD7B98229A1711" style="width:451pt;height:334.65pt">
            <v:imagedata r:id="rId9" o:title=""/>
          </v:shape>
        </w:pict>
      </w:r>
    </w:p>
    <w:bookmarkEnd w:id="0"/>
    <w:p w:rsidR="00E027F3" w:rsidRDefault="00E027F3">
      <w:pPr>
        <w:rPr>
          <w:noProof/>
        </w:rPr>
        <w:sectPr w:rsidR="00E027F3">
          <w:footerReference w:type="default" r:id="rId10"/>
          <w:pgSz w:w="11906" w:h="16838"/>
          <w:pgMar w:top="1134" w:right="1417" w:bottom="1134" w:left="1417" w:header="709" w:footer="709" w:gutter="0"/>
          <w:pgNumType w:start="1"/>
          <w:cols w:space="720"/>
          <w:docGrid w:linePitch="360"/>
        </w:sectPr>
      </w:pPr>
    </w:p>
    <w:p w:rsidR="00E027F3" w:rsidRDefault="006D1C7A">
      <w:pPr>
        <w:pStyle w:val="Typedudocument"/>
        <w:rPr>
          <w:noProof/>
        </w:rPr>
      </w:pPr>
      <w:r>
        <w:rPr>
          <w:noProof/>
        </w:rPr>
        <w:lastRenderedPageBreak/>
        <w:t xml:space="preserve">KOMISIJOS ATASKAITA EUROPOS PARLAMENTUI, TARYBAI, EUROPOS EKONOMIKOS IR SOCIALINIŲ REIKALŲ </w:t>
      </w:r>
      <w:r>
        <w:rPr>
          <w:noProof/>
        </w:rPr>
        <w:t>KOMITETUI IR REGIONŲ KOMITETUI</w:t>
      </w:r>
    </w:p>
    <w:p w:rsidR="00E027F3" w:rsidRDefault="006D1C7A">
      <w:pPr>
        <w:pStyle w:val="Titreobjet"/>
        <w:rPr>
          <w:noProof/>
        </w:rPr>
      </w:pPr>
      <w:r>
        <w:rPr>
          <w:noProof/>
        </w:rPr>
        <w:t>2015 m. konkurencijos politikos ataskaita</w:t>
      </w:r>
    </w:p>
    <w:p w:rsidR="00E027F3" w:rsidRDefault="006D1C7A">
      <w:pPr>
        <w:numPr>
          <w:ilvl w:val="0"/>
          <w:numId w:val="3"/>
        </w:numPr>
        <w:spacing w:line="240" w:lineRule="auto"/>
        <w:jc w:val="both"/>
        <w:rPr>
          <w:rFonts w:ascii="Times New Roman" w:hAnsi="Times New Roman"/>
          <w:noProof/>
          <w:sz w:val="24"/>
          <w:szCs w:val="24"/>
        </w:rPr>
      </w:pPr>
      <w:r>
        <w:rPr>
          <w:rFonts w:ascii="Times New Roman" w:hAnsi="Times New Roman"/>
          <w:b/>
          <w:noProof/>
          <w:sz w:val="24"/>
        </w:rPr>
        <w:t>Įvadas</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 xml:space="preserve">Griežta ir veiksminga ES konkurencijos politika visada buvo Europos kūrimo pagrindas. Dabar, kai ekonomikos atgaivinimo palaikymas ir ekonomikos augimo skatinimas yra viena iš </w:t>
      </w:r>
      <w:r>
        <w:rPr>
          <w:rFonts w:ascii="Times New Roman" w:hAnsi="Times New Roman"/>
          <w:noProof/>
          <w:sz w:val="24"/>
        </w:rPr>
        <w:t>svarbiausių ES darbotvarkės dalių, konkurencijos politika tapo svarbesnė nei kada nors anksčiau.</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Įgyvendinant konkurencijos politiką, rinkos tampa veiksmingos ir atviros. Europos vartotojams tai reiškia geresnius rinkos rezultatus, pavyzdžiui, mažesnes kai</w:t>
      </w:r>
      <w:r>
        <w:rPr>
          <w:rFonts w:ascii="Times New Roman" w:hAnsi="Times New Roman"/>
          <w:noProof/>
          <w:sz w:val="24"/>
        </w:rPr>
        <w:t>nas, geresnės kokybės produktus ir paslaugas, didesnį pasirinkimą. Be to, sveika konkurencija sukuria bendrovėms sąžiningas verslo sąlygas ir leidžia pasiekti savo komercinius tikslus, o tai savo ruožtu skatina augimą, darbo vietų kūrimą ir gerovę. Kai ben</w:t>
      </w:r>
      <w:r>
        <w:rPr>
          <w:rFonts w:ascii="Times New Roman" w:hAnsi="Times New Roman"/>
          <w:noProof/>
          <w:sz w:val="24"/>
        </w:rPr>
        <w:t>drovės gali konkuruoti pagal savo nuopelnus, įmonėms ir namų ūkiams tampa prieinami įvairūs aukštos kokybės, naujoviški produktai ir paslaugos konkurencingomis kainomis. Išaugusi konkurencija taip pat skatina įmones investuoti ir didinti veiksmingumą. Taip</w:t>
      </w:r>
      <w:r>
        <w:rPr>
          <w:rFonts w:ascii="Times New Roman" w:hAnsi="Times New Roman"/>
          <w:noProof/>
          <w:sz w:val="24"/>
        </w:rPr>
        <w:t xml:space="preserve"> padidėjęs veiksmingumas turi įtakos ir visai ekonomikai. Svarbiausias konkurencijos politikos tikslas – pagerinti rinkų veikimą ir taip suteikti naudos namų ūkiams ir įmonėms.</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Savo kadencijos pradžioje Europos Komisijos Pirmininkas Jeanas-Claude’as Juncke</w:t>
      </w:r>
      <w:r>
        <w:rPr>
          <w:rFonts w:ascii="Times New Roman" w:hAnsi="Times New Roman"/>
          <w:noProof/>
          <w:sz w:val="24"/>
        </w:rPr>
        <w:t>ris sakė, kad jo vadovaujama Komisija daugiausiai dėmesio skirs pagrindiniams Europos visuomenei ir ekonomikai iškilusiems uždaviniams. Konkurencijos politikai tenka svarbus vaidmuo sprendžiant tuos uždavinius. Darbu, kuris 2015 m. buvo nuveiktas konkurenc</w:t>
      </w:r>
      <w:r>
        <w:rPr>
          <w:rFonts w:ascii="Times New Roman" w:hAnsi="Times New Roman"/>
          <w:noProof/>
          <w:sz w:val="24"/>
        </w:rPr>
        <w:t>ijos srityje, buvo reikšmingai prisidėta prie įvairių svarbiausių Komisijos politikos prioritetų, konkrečiai, darbo vietų kūrimo, augimo ir investicijų, sujungtos skaitmeninės bendrosios rinkos, atsparios Europos energetikos sąjungos ir stipresnės bei teis</w:t>
      </w:r>
      <w:r>
        <w:rPr>
          <w:rFonts w:ascii="Times New Roman" w:hAnsi="Times New Roman"/>
          <w:noProof/>
          <w:sz w:val="24"/>
        </w:rPr>
        <w:t>ingesnės vidaus rinkos kūrimo.</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Komisija taip pat yra įsipareigojusi puoselėti konkurencijos kultūrą tiek ES, tiek ir už jos ribų – tai ji darys skatindama glaudesnį dialogą su valstybėmis narėmis</w:t>
      </w:r>
      <w:r>
        <w:rPr>
          <w:rStyle w:val="FootnoteReference"/>
          <w:rFonts w:ascii="Times New Roman" w:hAnsi="Times New Roman"/>
          <w:noProof/>
          <w:sz w:val="24"/>
        </w:rPr>
        <w:footnoteReference w:id="1"/>
      </w:r>
      <w:r>
        <w:rPr>
          <w:rFonts w:ascii="Times New Roman" w:hAnsi="Times New Roman"/>
          <w:noProof/>
          <w:sz w:val="24"/>
        </w:rPr>
        <w:t xml:space="preserve"> ir kitomis ES institucijomis, taip pat vykdydama aktyvų tar</w:t>
      </w:r>
      <w:r>
        <w:rPr>
          <w:rFonts w:ascii="Times New Roman" w:hAnsi="Times New Roman"/>
          <w:noProof/>
          <w:sz w:val="24"/>
        </w:rPr>
        <w:t>ptautinį bendradarbiavimą.</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Pagrindiniai konkurencijos teisės aktų vykdymo užtikrinimo principai yra nešališkumo užtikrinimas, teisinės valstybės įgyvendinimas ir bendro Europos intereso paisymas. ES konkurencijos politika taip pat pagrįsta sąžiningumo, pol</w:t>
      </w:r>
      <w:r>
        <w:rPr>
          <w:rFonts w:ascii="Times New Roman" w:hAnsi="Times New Roman"/>
          <w:noProof/>
          <w:sz w:val="24"/>
        </w:rPr>
        <w:t>itinio nepriklausomumo, skaidrumo ir tinkamo proceso principais.</w:t>
      </w:r>
    </w:p>
    <w:p w:rsidR="00E027F3" w:rsidRDefault="006D1C7A">
      <w:pPr>
        <w:numPr>
          <w:ilvl w:val="0"/>
          <w:numId w:val="3"/>
        </w:numPr>
        <w:spacing w:line="240" w:lineRule="auto"/>
        <w:jc w:val="both"/>
        <w:rPr>
          <w:rFonts w:ascii="Times New Roman" w:hAnsi="Times New Roman"/>
          <w:b/>
          <w:noProof/>
          <w:sz w:val="24"/>
          <w:szCs w:val="24"/>
        </w:rPr>
      </w:pPr>
      <w:r>
        <w:rPr>
          <w:rFonts w:ascii="Times New Roman" w:hAnsi="Times New Roman"/>
          <w:b/>
          <w:noProof/>
          <w:sz w:val="24"/>
        </w:rPr>
        <w:t>Konkurencijos politika skatina inovacijas ir investicijas visoje ES</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Po neseniai įvykusios ekonomikos ir finansų krizės Europos ekonomika po truputį atsigauna. Siekdama sukurti tvirtą pagrindą</w:t>
      </w:r>
      <w:r>
        <w:rPr>
          <w:rFonts w:ascii="Times New Roman" w:hAnsi="Times New Roman"/>
          <w:noProof/>
          <w:sz w:val="24"/>
        </w:rPr>
        <w:t xml:space="preserve"> tvariam augimui ir kokybiškų darbo vietų kūrimui, ES turi atkurti savo investicijų lygį, ypač – strateginėse mokslinių tyrimų, plėtros ir inovacijų srityse. Europos ateitis turėtų būti visų pirma grindžiama inovacijomis. Konkurencijos politika kuriama inv</w:t>
      </w:r>
      <w:r>
        <w:rPr>
          <w:rFonts w:ascii="Times New Roman" w:hAnsi="Times New Roman"/>
          <w:noProof/>
          <w:sz w:val="24"/>
        </w:rPr>
        <w:t>esticijas ir inovacijas skatinanti aplinka gali padėti tai pasiekti.</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lastRenderedPageBreak/>
        <w:t>Konkurencinis spaudimas skatina bendroves investuoti, tapti veiksmingesnėms, kurti naujas technologijas ir geresnius produktus. Veiksmingesnė konkurencija skatina investicijas, nes rinkos</w:t>
      </w:r>
      <w:r>
        <w:rPr>
          <w:rFonts w:ascii="Times New Roman" w:hAnsi="Times New Roman"/>
          <w:noProof/>
          <w:sz w:val="24"/>
        </w:rPr>
        <w:t xml:space="preserve"> išlieka atviros ir užtikrinama, kad bus imamasi veiksmų tuo atveju, jei rinkos lyderis piktnaudžiautų savo padėtimi trukdydamas savo konkurentams plėstis ir kurti inovacijas. Ekonometriniu modeliavimu parodyta, kad Komisijos sprendimai dėl kartelių ir sus</w:t>
      </w:r>
      <w:r>
        <w:rPr>
          <w:rFonts w:ascii="Times New Roman" w:hAnsi="Times New Roman"/>
          <w:noProof/>
          <w:sz w:val="24"/>
        </w:rPr>
        <w:t>ijungimų padeda pasiekti, kad investicijos po penkerių metų padidėtų 0,7 %</w:t>
      </w:r>
      <w:r>
        <w:rPr>
          <w:rStyle w:val="FootnoteReference"/>
          <w:rFonts w:ascii="Times New Roman" w:hAnsi="Times New Roman"/>
          <w:noProof/>
          <w:sz w:val="24"/>
        </w:rPr>
        <w:footnoteReference w:id="2"/>
      </w:r>
      <w:r>
        <w:rPr>
          <w:noProof/>
        </w:rPr>
        <w:t>.</w:t>
      </w:r>
      <w:r>
        <w:rPr>
          <w:rFonts w:ascii="Times New Roman" w:hAnsi="Times New Roman"/>
          <w:noProof/>
          <w:sz w:val="24"/>
        </w:rPr>
        <w:t xml:space="preserve"> Be to, ES valstybės pagalbos taisyklėmis viešieji ištekliai nukreipiami į naujų investicijų telkimą, užtikrinant, kad viešojo sektoriaus finansavimas paskatins privačiojo sektoria</w:t>
      </w:r>
      <w:r>
        <w:rPr>
          <w:rFonts w:ascii="Times New Roman" w:hAnsi="Times New Roman"/>
          <w:noProof/>
          <w:sz w:val="24"/>
        </w:rPr>
        <w:t>us investicijas, kurios priešingu atveju nebūtų įgyvendinamos.</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Siekiant paskatinti investicijas 2014 m. lapkričio mėn. buvo paskelbtas Investicijų planas Europai</w:t>
      </w:r>
      <w:r>
        <w:rPr>
          <w:rStyle w:val="FootnoteReference"/>
          <w:rFonts w:ascii="Times New Roman" w:hAnsi="Times New Roman"/>
          <w:noProof/>
          <w:sz w:val="24"/>
        </w:rPr>
        <w:footnoteReference w:id="3"/>
      </w:r>
      <w:r>
        <w:rPr>
          <w:rFonts w:ascii="Times New Roman" w:hAnsi="Times New Roman"/>
          <w:noProof/>
          <w:sz w:val="24"/>
        </w:rPr>
        <w:t xml:space="preserve"> . Pagrindinis plano elementas – Europos strateginių investicijų fondas</w:t>
      </w:r>
      <w:r>
        <w:rPr>
          <w:rStyle w:val="FootnoteReference"/>
          <w:rFonts w:ascii="Times New Roman" w:hAnsi="Times New Roman"/>
          <w:noProof/>
          <w:sz w:val="24"/>
        </w:rPr>
        <w:footnoteReference w:id="4"/>
      </w:r>
      <w:r>
        <w:rPr>
          <w:rFonts w:ascii="Times New Roman" w:hAnsi="Times New Roman"/>
          <w:noProof/>
          <w:sz w:val="24"/>
        </w:rPr>
        <w:t xml:space="preserve"> (ESIF), kuris pradėjo</w:t>
      </w:r>
      <w:r>
        <w:rPr>
          <w:rFonts w:ascii="Times New Roman" w:hAnsi="Times New Roman"/>
          <w:noProof/>
          <w:sz w:val="24"/>
        </w:rPr>
        <w:t xml:space="preserve"> veikti 2015 m. pabaigoje. Padedant Europos investicijų bankui (EIB), ESIF teikia finansavimą su ES biudžeto garantija ir taip suteikia galimybių vykdyti strategines investicijas, kurių rinkos subjektai nesugebėtų finansuoti savarankiškai.</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ESIF remiamas EI</w:t>
      </w:r>
      <w:r>
        <w:rPr>
          <w:rFonts w:ascii="Times New Roman" w:hAnsi="Times New Roman"/>
          <w:noProof/>
          <w:sz w:val="24"/>
        </w:rPr>
        <w:t>B projektų finansavimas nepatenka į valstybės pagalbos taisyklių taikymo sritį. Tačiau projektams taip pat gali būti teikiama valstybių narių (taip pat Europos struktūrinių ir investicijų fondų) finansinė parama (bendras finansavimas), kuriai taikomos vals</w:t>
      </w:r>
      <w:r>
        <w:rPr>
          <w:rFonts w:ascii="Times New Roman" w:hAnsi="Times New Roman"/>
          <w:noProof/>
          <w:sz w:val="24"/>
        </w:rPr>
        <w:t>tybės pagalbos taisyklės. Šį finansavimą turi patvirtinti Komisija, išskyrus atvejus, kai finansavimas suteikiamas rinkos sąlygomis. Komisija, siekdama suteikti paramą ESIF, valstybės narės bendrą finansavimą vertina pirmumo tvarka. Valstybės pagalbos tais</w:t>
      </w:r>
      <w:r>
        <w:rPr>
          <w:rFonts w:ascii="Times New Roman" w:hAnsi="Times New Roman"/>
          <w:noProof/>
          <w:sz w:val="24"/>
        </w:rPr>
        <w:t>yklės yra neatsiejamos nuo Investicijų plano tikslo spręsti rinkos nepakankamumo problemas ir telkti privačiojo sektoriaus investicijas. Vykdant valstybės pagalbos kontrolę užtikrinama, kad viešojo sektoriaus investiciniais projektais būtų tenkinami realūs</w:t>
      </w:r>
      <w:r>
        <w:rPr>
          <w:rFonts w:ascii="Times New Roman" w:hAnsi="Times New Roman"/>
          <w:noProof/>
          <w:sz w:val="24"/>
        </w:rPr>
        <w:t xml:space="preserve"> poreikiai, kontroliuojamos sąnaudos ir užtikrinama, kad viešojo sektoriaus lėšos tikrai reikalingos pradėti įgyvendinti projektus.</w:t>
      </w:r>
    </w:p>
    <w:p w:rsidR="00E027F3" w:rsidRDefault="006D1C7A">
      <w:pPr>
        <w:spacing w:line="240" w:lineRule="auto"/>
        <w:jc w:val="both"/>
        <w:rPr>
          <w:rFonts w:ascii="Times New Roman" w:hAnsi="Times New Roman"/>
          <w:i/>
          <w:noProof/>
          <w:sz w:val="24"/>
          <w:szCs w:val="24"/>
        </w:rPr>
      </w:pPr>
      <w:r>
        <w:rPr>
          <w:rFonts w:ascii="Times New Roman" w:hAnsi="Times New Roman"/>
          <w:i/>
          <w:noProof/>
          <w:sz w:val="24"/>
        </w:rPr>
        <w:t>Peržiūrėtos valstybės pagalbos taisyklės, kuriomis siekiama skatinti augimą didinančias pagalbos priemones</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 xml:space="preserve">Valstybės </w:t>
      </w:r>
      <w:r>
        <w:rPr>
          <w:rFonts w:ascii="Times New Roman" w:hAnsi="Times New Roman"/>
          <w:noProof/>
          <w:sz w:val="24"/>
        </w:rPr>
        <w:t>pagalbos taisyklės buvo nuodugniai peržiūrėtos vykdant valstybės pagalbos modernizavimo (VPM) iniciatyvą</w:t>
      </w:r>
      <w:r>
        <w:rPr>
          <w:rStyle w:val="FootnoteReference"/>
          <w:rFonts w:ascii="Times New Roman" w:hAnsi="Times New Roman"/>
          <w:noProof/>
          <w:sz w:val="24"/>
        </w:rPr>
        <w:footnoteReference w:id="5"/>
      </w:r>
      <w:r>
        <w:rPr>
          <w:noProof/>
        </w:rPr>
        <w:t>.</w:t>
      </w:r>
      <w:r>
        <w:rPr>
          <w:rFonts w:ascii="Times New Roman" w:hAnsi="Times New Roman"/>
          <w:noProof/>
          <w:sz w:val="24"/>
        </w:rPr>
        <w:t xml:space="preserve"> Šia iniciatyva padedama valstybėms narėms tiksliau nukreipti pagalbos priemones ekonomikos augimo, darbo vietų kūrimo ir socialinės sanglaudos link. </w:t>
      </w:r>
      <w:r>
        <w:rPr>
          <w:rFonts w:ascii="Times New Roman" w:hAnsi="Times New Roman"/>
          <w:noProof/>
          <w:sz w:val="24"/>
        </w:rPr>
        <w:t>Vykdydama VPM iniciatyvą, Komisija stiprina savo partnerystę su valstybėmis narėmis naujų taisyklių įgyvendinimo srityje, nes dabar valstybėms narėms tenka didesnė atsakomybė suteikti pagalbą be išankstinio pranešimo Komisijai.</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 xml:space="preserve">Šia sustiprinta partneryste </w:t>
      </w:r>
      <w:r>
        <w:rPr>
          <w:rFonts w:ascii="Times New Roman" w:hAnsi="Times New Roman"/>
          <w:noProof/>
          <w:sz w:val="24"/>
        </w:rPr>
        <w:t xml:space="preserve">siekiama užtikrinti, kad didesnis valstybių narių lankstumas teikiant pagalbą būtų derinamas su geresniu bendradarbiavimu, kruopščia nacionaline kontrole ir didesniu skaidrumu. Komisija rems strategines investicijas kartu su valstybėmis narėmis ieškodama, </w:t>
      </w:r>
      <w:r>
        <w:rPr>
          <w:rFonts w:ascii="Times New Roman" w:hAnsi="Times New Roman"/>
          <w:noProof/>
          <w:sz w:val="24"/>
        </w:rPr>
        <w:t>kaip kurti augimą didinančias pagalbos priemones, kuriomis būtų skatinama tvirta, integruota ir dinamiška bendroji rinka.</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lastRenderedPageBreak/>
        <w:t>Nauja valstybės pagalbos sistema užtikrins, kad viešojo sektoriaus finansavimas padėtų telkti privačiojo sektoriaus investicijas sieki</w:t>
      </w:r>
      <w:r>
        <w:rPr>
          <w:rFonts w:ascii="Times New Roman" w:hAnsi="Times New Roman"/>
          <w:noProof/>
          <w:sz w:val="24"/>
        </w:rPr>
        <w:t>ant prisidėti prie svarbių bendro intereso tikslų neiškraipant konkurencijos. Šiuo atžvilgiu be taisyklių, kurios buvo įtrauktos į 2014 m. priimtą išplėstą Bendrąjį bendrosios išimties reglamentą (BBIR)</w:t>
      </w:r>
      <w:r>
        <w:rPr>
          <w:rStyle w:val="FootnoteReference"/>
          <w:rFonts w:ascii="Times New Roman" w:hAnsi="Times New Roman"/>
          <w:noProof/>
          <w:sz w:val="24"/>
        </w:rPr>
        <w:footnoteReference w:id="6"/>
      </w:r>
      <w:r>
        <w:rPr>
          <w:rFonts w:ascii="Times New Roman" w:hAnsi="Times New Roman"/>
          <w:noProof/>
          <w:sz w:val="24"/>
        </w:rPr>
        <w:t>, siekiant skatinti inovacijas ir investicijas visoje</w:t>
      </w:r>
      <w:r>
        <w:rPr>
          <w:rFonts w:ascii="Times New Roman" w:hAnsi="Times New Roman"/>
          <w:noProof/>
          <w:sz w:val="24"/>
        </w:rPr>
        <w:t xml:space="preserve"> ES ypač svarbios yra trys sritys. Mokslinių tyrimų, technologijų plėtros ir inovacijų (MTTPI) sistema</w:t>
      </w:r>
      <w:r>
        <w:rPr>
          <w:rStyle w:val="FootnoteReference"/>
          <w:rFonts w:ascii="Times New Roman" w:hAnsi="Times New Roman"/>
          <w:noProof/>
          <w:sz w:val="24"/>
        </w:rPr>
        <w:footnoteReference w:id="7"/>
      </w:r>
      <w:r>
        <w:rPr>
          <w:rFonts w:ascii="Times New Roman" w:hAnsi="Times New Roman"/>
          <w:noProof/>
          <w:sz w:val="24"/>
        </w:rPr>
        <w:t xml:space="preserve"> </w:t>
      </w:r>
      <w:r>
        <w:rPr>
          <w:rStyle w:val="at1"/>
          <w:rFonts w:ascii="Times New Roman" w:hAnsi="Times New Roman"/>
          <w:noProof/>
          <w:sz w:val="24"/>
        </w:rPr>
        <w:t>palengvina pagalbos priemonių teikimą</w:t>
      </w:r>
      <w:r>
        <w:rPr>
          <w:rFonts w:ascii="Times New Roman" w:hAnsi="Times New Roman"/>
          <w:noProof/>
          <w:sz w:val="24"/>
        </w:rPr>
        <w:t xml:space="preserve"> </w:t>
      </w:r>
      <w:r>
        <w:rPr>
          <w:rStyle w:val="at2"/>
          <w:rFonts w:ascii="Times New Roman" w:hAnsi="Times New Roman"/>
          <w:noProof/>
          <w:sz w:val="24"/>
        </w:rPr>
        <w:t>moksliniams tyrimams, technologijų plėtrai ir inovacijų veiklai, siekiant papildyti privačiojo sektoriaus finansav</w:t>
      </w:r>
      <w:r>
        <w:rPr>
          <w:rStyle w:val="at2"/>
          <w:rFonts w:ascii="Times New Roman" w:hAnsi="Times New Roman"/>
          <w:noProof/>
          <w:sz w:val="24"/>
        </w:rPr>
        <w:t>imą</w:t>
      </w:r>
      <w:r>
        <w:rPr>
          <w:rFonts w:ascii="Times New Roman" w:hAnsi="Times New Roman"/>
          <w:noProof/>
          <w:sz w:val="24"/>
        </w:rPr>
        <w:t>.</w:t>
      </w:r>
      <w:r>
        <w:rPr>
          <w:rStyle w:val="at2"/>
          <w:rFonts w:ascii="Times New Roman" w:hAnsi="Times New Roman"/>
          <w:noProof/>
          <w:sz w:val="24"/>
        </w:rPr>
        <w:t xml:space="preserve"> Rizikos finansų valstybės pagalbos gairės</w:t>
      </w:r>
      <w:r>
        <w:rPr>
          <w:rStyle w:val="FootnoteReference"/>
          <w:rFonts w:ascii="Times New Roman" w:hAnsi="Times New Roman"/>
          <w:noProof/>
          <w:sz w:val="24"/>
        </w:rPr>
        <w:footnoteReference w:id="8"/>
      </w:r>
      <w:r>
        <w:rPr>
          <w:rStyle w:val="at2"/>
          <w:rFonts w:ascii="Times New Roman" w:hAnsi="Times New Roman"/>
          <w:noProof/>
          <w:sz w:val="24"/>
        </w:rPr>
        <w:t xml:space="preserve"> leidžia greičiau ir ne taip griežtai skirstyti rizikos finansų pagalbą</w:t>
      </w:r>
      <w:r>
        <w:rPr>
          <w:rFonts w:ascii="Times New Roman" w:hAnsi="Times New Roman"/>
          <w:noProof/>
          <w:sz w:val="24"/>
        </w:rPr>
        <w:t xml:space="preserve"> novatoriškoms ir augimo siekiančioms mažosioms ir vidutinėms įmonėms (MVĮ), </w:t>
      </w:r>
      <w:r>
        <w:rPr>
          <w:rStyle w:val="at2"/>
          <w:rFonts w:ascii="Times New Roman" w:hAnsi="Times New Roman"/>
          <w:noProof/>
          <w:sz w:val="24"/>
        </w:rPr>
        <w:t>taip pat vidutinės kapitalizacijos įmonėms</w:t>
      </w:r>
      <w:r>
        <w:rPr>
          <w:rFonts w:ascii="Times New Roman" w:hAnsi="Times New Roman"/>
          <w:noProof/>
          <w:sz w:val="24"/>
        </w:rPr>
        <w:t>.</w:t>
      </w:r>
      <w:r>
        <w:rPr>
          <w:rStyle w:val="at2"/>
          <w:rFonts w:ascii="Times New Roman" w:hAnsi="Times New Roman"/>
          <w:noProof/>
          <w:sz w:val="24"/>
        </w:rPr>
        <w:t xml:space="preserve"> </w:t>
      </w:r>
      <w:r>
        <w:rPr>
          <w:rFonts w:ascii="Times New Roman" w:hAnsi="Times New Roman"/>
          <w:noProof/>
          <w:sz w:val="24"/>
        </w:rPr>
        <w:t>Plačiajuosčio ryš</w:t>
      </w:r>
      <w:r>
        <w:rPr>
          <w:rFonts w:ascii="Times New Roman" w:hAnsi="Times New Roman"/>
          <w:noProof/>
          <w:sz w:val="24"/>
        </w:rPr>
        <w:t>io gairės</w:t>
      </w:r>
      <w:r>
        <w:rPr>
          <w:rStyle w:val="FootnoteReference"/>
          <w:rFonts w:ascii="Times New Roman" w:hAnsi="Times New Roman"/>
          <w:noProof/>
          <w:sz w:val="24"/>
        </w:rPr>
        <w:footnoteReference w:id="9"/>
      </w:r>
      <w:r>
        <w:rPr>
          <w:rFonts w:ascii="Times New Roman" w:hAnsi="Times New Roman"/>
          <w:noProof/>
          <w:sz w:val="24"/>
        </w:rPr>
        <w:t xml:space="preserve"> padeda valstybėms narėms spręsti finansavimo trūkumo ir rinkos nepakankamumo klausimus, kai jie yra susiję su tinkamo plačiajuosčio ryšio aprėpties sukūrimu, visų pirma, kaimo vietovėse.</w:t>
      </w:r>
    </w:p>
    <w:p w:rsidR="00E027F3" w:rsidRDefault="006D1C7A">
      <w:pPr>
        <w:pBdr>
          <w:top w:val="single" w:sz="4" w:space="1" w:color="auto"/>
          <w:left w:val="single" w:sz="4" w:space="4" w:color="auto"/>
          <w:bottom w:val="single" w:sz="4" w:space="1" w:color="auto"/>
          <w:right w:val="single" w:sz="4" w:space="4" w:color="auto"/>
        </w:pBdr>
        <w:jc w:val="both"/>
        <w:rPr>
          <w:rFonts w:ascii="Times New Roman" w:hAnsi="Times New Roman"/>
          <w:b/>
          <w:noProof/>
          <w:sz w:val="20"/>
          <w:szCs w:val="20"/>
        </w:rPr>
      </w:pPr>
      <w:r>
        <w:rPr>
          <w:rFonts w:ascii="Times New Roman" w:hAnsi="Times New Roman"/>
          <w:b/>
          <w:noProof/>
          <w:sz w:val="20"/>
        </w:rPr>
        <w:t>Pagalbos priemonės, kuriomis sudaromos sąlygos novatoriški</w:t>
      </w:r>
      <w:r>
        <w:rPr>
          <w:rFonts w:ascii="Times New Roman" w:hAnsi="Times New Roman"/>
          <w:b/>
          <w:noProof/>
          <w:sz w:val="20"/>
        </w:rPr>
        <w:t>ems moksliniams tyrimams</w:t>
      </w:r>
    </w:p>
    <w:p w:rsidR="00E027F3" w:rsidRDefault="006D1C7A">
      <w:pPr>
        <w:pBdr>
          <w:top w:val="single" w:sz="4" w:space="1" w:color="auto"/>
          <w:left w:val="single" w:sz="4" w:space="4" w:color="auto"/>
          <w:bottom w:val="single" w:sz="4" w:space="1" w:color="auto"/>
          <w:right w:val="single" w:sz="4" w:space="4" w:color="auto"/>
        </w:pBdr>
        <w:jc w:val="both"/>
        <w:rPr>
          <w:rFonts w:ascii="Times New Roman" w:hAnsi="Times New Roman"/>
          <w:noProof/>
          <w:sz w:val="20"/>
          <w:szCs w:val="20"/>
        </w:rPr>
      </w:pPr>
      <w:r>
        <w:rPr>
          <w:rFonts w:ascii="Times New Roman" w:hAnsi="Times New Roman"/>
          <w:noProof/>
          <w:sz w:val="20"/>
        </w:rPr>
        <w:t>Valstybės pagalbos taisyklės padeda skatinti ir skleisti inovacijas Europos Sąjungoje: šių taisyklių pagrindu remiami pažangiausi projektai pažangiausiose technologijų srityse.</w:t>
      </w:r>
    </w:p>
    <w:p w:rsidR="00E027F3" w:rsidRDefault="006D1C7A">
      <w:pPr>
        <w:pBdr>
          <w:top w:val="single" w:sz="4" w:space="1" w:color="auto"/>
          <w:left w:val="single" w:sz="4" w:space="4" w:color="auto"/>
          <w:bottom w:val="single" w:sz="4" w:space="1" w:color="auto"/>
          <w:right w:val="single" w:sz="4" w:space="4" w:color="auto"/>
        </w:pBdr>
        <w:jc w:val="both"/>
        <w:rPr>
          <w:rFonts w:ascii="Times New Roman" w:hAnsi="Times New Roman"/>
          <w:noProof/>
          <w:sz w:val="20"/>
          <w:szCs w:val="20"/>
        </w:rPr>
      </w:pPr>
      <w:r>
        <w:rPr>
          <w:rFonts w:ascii="Times New Roman" w:hAnsi="Times New Roman"/>
          <w:noProof/>
          <w:sz w:val="20"/>
        </w:rPr>
        <w:t>Pavyzdžiui, balandžio mėn. Komisija įvertino 50 mln. G</w:t>
      </w:r>
      <w:r>
        <w:rPr>
          <w:rFonts w:ascii="Times New Roman" w:hAnsi="Times New Roman"/>
          <w:noProof/>
          <w:sz w:val="20"/>
        </w:rPr>
        <w:t>BP (apie 71 mln. EUR) dotaciją, kurią JK valdžios institucijos ketino suteikti SABRE erdvėlaivio varikliui sukurti, ir nustatė, kad ši dotacija atitinka ES valstybės pagalbos taisykles. SABRE yra JK bendrovės „Reaction Engines Limited“ įgyvendinamas moksli</w:t>
      </w:r>
      <w:r>
        <w:rPr>
          <w:rFonts w:ascii="Times New Roman" w:hAnsi="Times New Roman"/>
          <w:noProof/>
          <w:sz w:val="20"/>
        </w:rPr>
        <w:t>nių tyrimų ir plėtros projektas, kuriuo siekiama sukurti variklį, kuris leistų reikšmingai sumažinti palydovų paleidimo į žemąją Žemės orbitą sąnaudas. Komisija įvertino šį projektą pagal savo MTTPI valstybės pagalbos sistemą ir padarė išvadą, kad iš priva</w:t>
      </w:r>
      <w:r>
        <w:rPr>
          <w:rFonts w:ascii="Times New Roman" w:hAnsi="Times New Roman"/>
          <w:noProof/>
          <w:sz w:val="20"/>
        </w:rPr>
        <w:t>taus kapitalo šaltinių gauto finansavimo nepakaks projektui užbaigti. Moksliniai tyrimai šioje srityje galėtų padėti pasiekti didelę technologinę pažangą, kuri suteiktų naudos vartotojams, naudojantiems žemojoje Žemės orbitoje esančių palydovų pagrindu vei</w:t>
      </w:r>
      <w:r>
        <w:rPr>
          <w:rFonts w:ascii="Times New Roman" w:hAnsi="Times New Roman"/>
          <w:noProof/>
          <w:sz w:val="20"/>
        </w:rPr>
        <w:t>kiančius produktus ir paslaugas, pavyzdžiui, judrųjį ryšį.</w:t>
      </w:r>
    </w:p>
    <w:p w:rsidR="00E027F3" w:rsidRDefault="006D1C7A">
      <w:pPr>
        <w:numPr>
          <w:ilvl w:val="0"/>
          <w:numId w:val="3"/>
        </w:numPr>
        <w:spacing w:line="240" w:lineRule="auto"/>
        <w:jc w:val="both"/>
        <w:rPr>
          <w:rFonts w:ascii="Times New Roman" w:hAnsi="Times New Roman"/>
          <w:b/>
          <w:noProof/>
          <w:sz w:val="24"/>
          <w:szCs w:val="24"/>
        </w:rPr>
      </w:pPr>
      <w:r>
        <w:rPr>
          <w:rFonts w:ascii="Times New Roman" w:hAnsi="Times New Roman"/>
          <w:b/>
          <w:noProof/>
          <w:sz w:val="24"/>
        </w:rPr>
        <w:t xml:space="preserve"> Naudojimasis skaitmeninės bendrosios rinkos teikiamomis galimybėmis</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Siekis paversti skaitmeninę bendrąją rinką realybe buvo Komisijos prioritetas nuo jos kadencijos pradžios. Skaitmeninės ekonomikos plėtra ne tik keičia mūsų pasaulį ir gyvenimo būdą, bet ir yra vienas iš pagrindinių ekonomikos augimo veiksnių. Klestinti sk</w:t>
      </w:r>
      <w:r>
        <w:rPr>
          <w:rFonts w:ascii="Times New Roman" w:hAnsi="Times New Roman"/>
          <w:noProof/>
          <w:sz w:val="24"/>
        </w:rPr>
        <w:t>aitmeninė bendroji rinka skatintų inovacijas, naujų darbo vietų kūrimą ir suteiktų naujų galimybių Europos pradedančiosioms įmonėms bei mažosioms ir vidutinėms įmonėms (MVĮ) patekti į daugiau nei 500 mln. vartotojų turinčią rinką. Komisija paskaičiavo, kad</w:t>
      </w:r>
      <w:r>
        <w:rPr>
          <w:rFonts w:ascii="Times New Roman" w:hAnsi="Times New Roman"/>
          <w:noProof/>
          <w:sz w:val="24"/>
        </w:rPr>
        <w:t xml:space="preserve"> panaikinus reguliavimo kliūtis ir sujungus 28 nacionalines rinkas į vieną bendrą rinką sukurta ES bendroji skaitmeninė rinka papildytų mūsų ekonomiką 415 mlrd. EUR per metus ir sukurtų šimtus tūkstančių naujų darbo vietų</w:t>
      </w:r>
      <w:r>
        <w:rPr>
          <w:rStyle w:val="FootnoteReference"/>
          <w:rFonts w:ascii="Times New Roman" w:hAnsi="Times New Roman"/>
          <w:noProof/>
          <w:sz w:val="24"/>
        </w:rPr>
        <w:footnoteReference w:id="10"/>
      </w:r>
      <w:r>
        <w:rPr>
          <w:rFonts w:ascii="Times New Roman" w:hAnsi="Times New Roman"/>
          <w:noProof/>
          <w:sz w:val="24"/>
        </w:rPr>
        <w:t>.</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2015 m. gegužės mėn. Komisija pr</w:t>
      </w:r>
      <w:r>
        <w:rPr>
          <w:rFonts w:ascii="Times New Roman" w:hAnsi="Times New Roman"/>
          <w:noProof/>
          <w:sz w:val="24"/>
        </w:rPr>
        <w:t>iėmė Bendrosios skaitmeninės rinkos strategiją</w:t>
      </w:r>
      <w:r>
        <w:rPr>
          <w:rStyle w:val="FootnoteReference"/>
          <w:rFonts w:ascii="Times New Roman" w:hAnsi="Times New Roman"/>
          <w:noProof/>
          <w:sz w:val="24"/>
        </w:rPr>
        <w:footnoteReference w:id="11"/>
      </w:r>
      <w:r>
        <w:rPr>
          <w:noProof/>
        </w:rPr>
        <w:t>.</w:t>
      </w:r>
      <w:r>
        <w:rPr>
          <w:rFonts w:ascii="Times New Roman" w:hAnsi="Times New Roman"/>
          <w:noProof/>
          <w:sz w:val="24"/>
        </w:rPr>
        <w:t xml:space="preserve"> Strategija apima 16 tikslinių veiksmų rinkinį, pagrįstą </w:t>
      </w:r>
      <w:r>
        <w:rPr>
          <w:rStyle w:val="Strong"/>
          <w:rFonts w:ascii="Times New Roman" w:hAnsi="Times New Roman"/>
          <w:b w:val="0"/>
          <w:noProof/>
          <w:sz w:val="24"/>
        </w:rPr>
        <w:t>trimis ramsčiais:</w:t>
      </w:r>
      <w:r>
        <w:rPr>
          <w:rFonts w:ascii="Times New Roman" w:hAnsi="Times New Roman"/>
          <w:noProof/>
          <w:sz w:val="24"/>
        </w:rPr>
        <w:t xml:space="preserve"> 1) vartotojams ir verslui visoje Europoje prieinamesnės skaitmeninės prekės ir paslaugos; 2) tinkamų vienodų sąlygų skaitmeniniams ti</w:t>
      </w:r>
      <w:r>
        <w:rPr>
          <w:rFonts w:ascii="Times New Roman" w:hAnsi="Times New Roman"/>
          <w:noProof/>
          <w:sz w:val="24"/>
        </w:rPr>
        <w:t>nklams ir novatoriškoms paslaugoms suklestėti sudarymas; 3) maksimalus skaitmeninės ekonomikos augimo galimybių panaudojimas.</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Skaitmeninės rinkos taip pat yra pagrindinis konkurencijos politikos prioritetas. Atviros ir sąžiningos skaitmeninės rinkos paskat</w:t>
      </w:r>
      <w:r>
        <w:rPr>
          <w:rFonts w:ascii="Times New Roman" w:hAnsi="Times New Roman"/>
          <w:noProof/>
          <w:sz w:val="24"/>
        </w:rPr>
        <w:t>ins inovacijas ir suteiks naudos vartotojams ir verslui. Bendroji skaitmeninė rinka turėtų būti ta vieta, kurioje visi dalyviai (dideli ir maži) galėtų kurti novatoriškus produktus ir konkuruoti savo privalumais. Be to, įgyvendinant konkurencijos politiką,</w:t>
      </w:r>
      <w:r>
        <w:rPr>
          <w:rFonts w:ascii="Times New Roman" w:hAnsi="Times New Roman"/>
          <w:noProof/>
          <w:sz w:val="24"/>
        </w:rPr>
        <w:t xml:space="preserve"> šalinamos esamos interneto kliūtys, kurios riboja interneto bendrovių ir pradedančiųjų įmonių investicijų perspektyvas ir neleidžia įmonėms, piliečiams ir vyriausybėms visapusiškai pasinaudoti skaitmeninėmis priemonėmis.</w:t>
      </w:r>
    </w:p>
    <w:p w:rsidR="00E027F3" w:rsidRDefault="006D1C7A">
      <w:pPr>
        <w:keepNext/>
        <w:spacing w:line="240" w:lineRule="auto"/>
        <w:jc w:val="both"/>
        <w:rPr>
          <w:rFonts w:ascii="Times New Roman" w:hAnsi="Times New Roman"/>
          <w:noProof/>
          <w:sz w:val="24"/>
          <w:szCs w:val="24"/>
        </w:rPr>
      </w:pPr>
      <w:r>
        <w:rPr>
          <w:rFonts w:ascii="Times New Roman" w:hAnsi="Times New Roman"/>
          <w:i/>
          <w:noProof/>
          <w:sz w:val="24"/>
        </w:rPr>
        <w:t>Neiškreiptos konkurencijos interne</w:t>
      </w:r>
      <w:r>
        <w:rPr>
          <w:rFonts w:ascii="Times New Roman" w:hAnsi="Times New Roman"/>
          <w:i/>
          <w:noProof/>
          <w:sz w:val="24"/>
        </w:rPr>
        <w:t>te užtikrinimas: kova su interneto ir inovacijų kliūtimis</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Dėl greitų skaitmeninės ekonomikos pokyčių politikos formuotojams kyla keletas uždavinių, tačiau poreikio peržiūrėti konkurencijos teisės aktus ir priemones nėra: konkurencijos politikos priemonės g</w:t>
      </w:r>
      <w:r>
        <w:rPr>
          <w:rFonts w:ascii="Times New Roman" w:hAnsi="Times New Roman"/>
          <w:noProof/>
          <w:sz w:val="24"/>
        </w:rPr>
        <w:t>reitai pritaikomos atsižvelgiant į specifines skaitmeninių rinkų savybes</w:t>
      </w:r>
      <w:r>
        <w:rPr>
          <w:rStyle w:val="FootnoteReference"/>
          <w:rFonts w:ascii="Times New Roman" w:hAnsi="Times New Roman"/>
          <w:noProof/>
          <w:sz w:val="24"/>
        </w:rPr>
        <w:footnoteReference w:id="12"/>
      </w:r>
      <w:r>
        <w:rPr>
          <w:noProof/>
        </w:rPr>
        <w:t>.</w:t>
      </w:r>
    </w:p>
    <w:p w:rsidR="00E027F3" w:rsidRDefault="006D1C7A">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b/>
          <w:noProof/>
          <w:sz w:val="20"/>
          <w:szCs w:val="20"/>
        </w:rPr>
      </w:pPr>
      <w:r>
        <w:rPr>
          <w:rFonts w:ascii="Times New Roman" w:hAnsi="Times New Roman"/>
          <w:b/>
          <w:noProof/>
          <w:sz w:val="20"/>
        </w:rPr>
        <w:t>Elektroninės prekybos sektoriaus tyrimas: rinkos žinių gerinimas siekiant pašalinti tarpvalstybines kliūtis</w:t>
      </w:r>
    </w:p>
    <w:p w:rsidR="00E027F3" w:rsidRDefault="006D1C7A">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noProof/>
          <w:sz w:val="20"/>
          <w:szCs w:val="20"/>
        </w:rPr>
      </w:pPr>
      <w:r>
        <w:rPr>
          <w:rFonts w:ascii="Times New Roman" w:hAnsi="Times New Roman"/>
          <w:noProof/>
          <w:sz w:val="20"/>
        </w:rPr>
        <w:t xml:space="preserve">2015 m. gegužės mėn. Komisija pradėjo antimonopolinį ES elektroninės </w:t>
      </w:r>
      <w:r>
        <w:rPr>
          <w:rFonts w:ascii="Times New Roman" w:hAnsi="Times New Roman"/>
          <w:noProof/>
          <w:sz w:val="20"/>
        </w:rPr>
        <w:t xml:space="preserve">prekybos sektoriaus tyrimą. 2014 m. maždaug pusė visų ES vartotojų pirko internetu, bet tik 15 % jų pirko internetu iš pardavėjų, įsisteigusių kitoje ES valstybėje narėje. Tai rodo, kad ES vis dar yra didelių tarpvalstybinės elektroninės prekybos kliūčių. </w:t>
      </w:r>
      <w:r>
        <w:rPr>
          <w:rFonts w:ascii="Times New Roman" w:hAnsi="Times New Roman"/>
          <w:noProof/>
          <w:sz w:val="20"/>
        </w:rPr>
        <w:t>Atliekant sektoriaus tyrimą, daugiausia dėmesio bus skiriama, visų pirma, bendrovių galimai daromoms kliūtims tarpvalstybinei elektroninei prekybai dažniausiai internete parduodamomis prekėmis ir paslaugomis, pavyzdžiui, elektronikos prekėmis, drabužiais i</w:t>
      </w:r>
      <w:r>
        <w:rPr>
          <w:rFonts w:ascii="Times New Roman" w:hAnsi="Times New Roman"/>
          <w:noProof/>
          <w:sz w:val="20"/>
        </w:rPr>
        <w:t>r avalyne, taip pat skaitmeniniu turiniu.</w:t>
      </w:r>
    </w:p>
    <w:p w:rsidR="00E027F3" w:rsidRDefault="006D1C7A">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noProof/>
          <w:sz w:val="20"/>
          <w:szCs w:val="20"/>
        </w:rPr>
      </w:pPr>
      <w:r>
        <w:rPr>
          <w:rFonts w:ascii="Times New Roman" w:hAnsi="Times New Roman"/>
          <w:noProof/>
          <w:sz w:val="20"/>
        </w:rPr>
        <w:t>Į sektoriaus tyrimą bus atsižvelgta Komisijai ir ES nacionalinėms konkurencijos institucijoms taikomose kovos su internetinės prekybos apribojimu priemonėse. Atliekant sektoriaus tyrimą gautos žinios padės geriau u</w:t>
      </w:r>
      <w:r>
        <w:rPr>
          <w:rFonts w:ascii="Times New Roman" w:hAnsi="Times New Roman"/>
          <w:noProof/>
          <w:sz w:val="20"/>
        </w:rPr>
        <w:t>žtikrinti konkurencijos teisės aktų laikymąsi elektroninės prekybos sektoriuje.</w:t>
      </w:r>
    </w:p>
    <w:p w:rsidR="00E027F3" w:rsidRDefault="006D1C7A">
      <w:pPr>
        <w:spacing w:after="120" w:line="240" w:lineRule="auto"/>
        <w:jc w:val="both"/>
        <w:rPr>
          <w:rFonts w:ascii="Times New Roman" w:hAnsi="Times New Roman"/>
          <w:noProof/>
          <w:sz w:val="24"/>
          <w:szCs w:val="24"/>
        </w:rPr>
      </w:pPr>
      <w:r>
        <w:rPr>
          <w:rFonts w:ascii="Times New Roman" w:hAnsi="Times New Roman"/>
          <w:noProof/>
          <w:sz w:val="24"/>
        </w:rPr>
        <w:t>Vienas iš pagrindinių konkurencijos teisės aktų laikymosi užtikrinimo tikslų yra skatinti visus pramonės sektoriaus dalyvius diegti inovacijas, nesvarbu, ar jie būtų pradedanči</w:t>
      </w:r>
      <w:r>
        <w:rPr>
          <w:rFonts w:ascii="Times New Roman" w:hAnsi="Times New Roman"/>
          <w:noProof/>
          <w:sz w:val="24"/>
        </w:rPr>
        <w:t>os, ar dominuojančią rinkos dalį užimančios įmonės. Tikslas – užtikrinti Europos vartotojams kuo platesnį novatoriškų produktų pasirinkimą. Pavyzdžiui, Komisija atlieka antimonopolinį tyrimą internetinės paieškos rinkoje dėl įmonės „Google“ taikomos prakti</w:t>
      </w:r>
      <w:r>
        <w:rPr>
          <w:rFonts w:ascii="Times New Roman" w:hAnsi="Times New Roman"/>
          <w:noProof/>
          <w:sz w:val="24"/>
        </w:rPr>
        <w:t>kos.</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Balandžio mėn. Komisija nusiuntė „Google“ prieštaravimo pareiškimą, teigdama, kad bendrovė piktnaudžiavo savo dominuojančia padėtimi Europos ekonominės erdvės internetinės paieškos paslaugų rinkoje, nes savo bendrosios paieškos rezultatų puslapiuose j</w:t>
      </w:r>
      <w:r>
        <w:rPr>
          <w:rFonts w:ascii="Times New Roman" w:hAnsi="Times New Roman"/>
          <w:noProof/>
          <w:sz w:val="24"/>
        </w:rPr>
        <w:t>i sistemingai teikia pirmenybę savo pačios kainų palyginimo priemonei</w:t>
      </w:r>
      <w:r>
        <w:rPr>
          <w:rStyle w:val="FootnoteReference"/>
          <w:rFonts w:ascii="Times New Roman" w:hAnsi="Times New Roman"/>
          <w:noProof/>
          <w:sz w:val="24"/>
        </w:rPr>
        <w:footnoteReference w:id="13"/>
      </w:r>
      <w:r>
        <w:rPr>
          <w:noProof/>
        </w:rPr>
        <w:t>.</w:t>
      </w:r>
      <w:r>
        <w:rPr>
          <w:rFonts w:ascii="Times New Roman" w:hAnsi="Times New Roman"/>
          <w:noProof/>
          <w:sz w:val="24"/>
        </w:rPr>
        <w:t xml:space="preserve"> Komisija yra susirūpinusi dėl to, kad vartotojų gaunami paieškos rezultatai ne visada yra ne visada geriausiai atitinka jų paiešką. Komisija padarė preliminarią išvadą, kad „Google“ el</w:t>
      </w:r>
      <w:r>
        <w:rPr>
          <w:rFonts w:ascii="Times New Roman" w:hAnsi="Times New Roman"/>
          <w:noProof/>
          <w:sz w:val="24"/>
        </w:rPr>
        <w:t>gesys pažeidžia ES antimonopolines taisykles, nes jis slopina konkurenciją ir todėl kenkia vartotojams.</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 xml:space="preserve">Komisija jau anksčiau nurodė keturias problemas, kylančias dėl „Google“ elgesio, ir pirmiau minėtas prieštaravimo pareiškimas yra susijęs su pirmąja iš </w:t>
      </w:r>
      <w:r>
        <w:rPr>
          <w:rFonts w:ascii="Times New Roman" w:hAnsi="Times New Roman"/>
          <w:noProof/>
          <w:sz w:val="24"/>
        </w:rPr>
        <w:t>nurodytųjų problemų (kainų palyginimas). Komisija taip pat aktyviai tiria įmonės „Google“ elgesį, susijusį su kitomis trimis problemomis: konkurentų interneto turinio kopijavimu, išimtinėmis reklamos sąlygomis ir reklamuotojams nustatytais nederamais aprib</w:t>
      </w:r>
      <w:r>
        <w:rPr>
          <w:rFonts w:ascii="Times New Roman" w:hAnsi="Times New Roman"/>
          <w:noProof/>
          <w:sz w:val="24"/>
        </w:rPr>
        <w:t>ojimais. Prieštaravimo pareiškimas dėl kainų palyginimo neturi jokio poveikio Komisijos atliekamo kitų trijų problemų tyrimo rezultatui.</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Kitas skaitmeniniame sektoriuje atliekamas tyrimas yra susijęs su įmone „Amazon“. Birželio mėn. Komisija pradėjo oficia</w:t>
      </w:r>
      <w:r>
        <w:rPr>
          <w:rFonts w:ascii="Times New Roman" w:hAnsi="Times New Roman"/>
          <w:noProof/>
          <w:sz w:val="24"/>
        </w:rPr>
        <w:t>lų antimonopolinį tyrimą dėl kai kurių „Amazon“ verslo metodų, susijusių su e. knygų platinimu</w:t>
      </w:r>
      <w:r>
        <w:rPr>
          <w:rStyle w:val="FootnoteReference"/>
          <w:rFonts w:ascii="Times New Roman" w:hAnsi="Times New Roman"/>
          <w:noProof/>
          <w:sz w:val="24"/>
        </w:rPr>
        <w:footnoteReference w:id="14"/>
      </w:r>
      <w:r>
        <w:rPr>
          <w:noProof/>
        </w:rPr>
        <w:t>.</w:t>
      </w:r>
      <w:r>
        <w:rPr>
          <w:rFonts w:ascii="Times New Roman" w:hAnsi="Times New Roman"/>
          <w:noProof/>
          <w:sz w:val="24"/>
        </w:rPr>
        <w:t xml:space="preserve"> Visų pirma, atliekant tyrimą daugiausia dėmesio skirta sąlygoms, kurios, panašu, apsaugo „Amazon“ nuo kitų e. knygų platintojų konkurencijos, pavyzdžiui, nuost</w:t>
      </w:r>
      <w:r>
        <w:rPr>
          <w:rFonts w:ascii="Times New Roman" w:hAnsi="Times New Roman"/>
          <w:noProof/>
          <w:sz w:val="24"/>
        </w:rPr>
        <w:t>atoms, kuriomis suteikiama teisė būti informuotai apie jos konkurentams siūlomas palankesnes arba alternatyvias sąlygas, ir (arba) teisė naudotis bent jau tokiomis pat, kaip ir jos konkurentams pasiūlytomis sąlygomis.</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 xml:space="preserve">Komisija yra susirūpinusi dėl to, kad </w:t>
      </w:r>
      <w:r>
        <w:rPr>
          <w:rFonts w:ascii="Times New Roman" w:hAnsi="Times New Roman"/>
          <w:noProof/>
          <w:sz w:val="24"/>
        </w:rPr>
        <w:t>šios nuostatos gali sutrikdyti vienodas sąlygas ir galbūt sumažinti konkurenciją rinkoje vartotojų nenaudai, nes kitiems e. knygų platintojams kuriant naujus ir novatoriškus produktus ir paslaugas būtų sunkiau konkuruoti su „Amazon“. Toks elgesys (jei jo b</w:t>
      </w:r>
      <w:r>
        <w:rPr>
          <w:rFonts w:ascii="Times New Roman" w:hAnsi="Times New Roman"/>
          <w:noProof/>
          <w:sz w:val="24"/>
        </w:rPr>
        <w:t>uvimas bus patvirtintas) pažeistų ES antimonopolines taisykles, draudžiančias piktnaudžiavimą dominuojančia padėtimi rinkoje ir konkurenciją ribojančius veiksmus. Komisijos tikslas – užtikrinti sveiką vidaus platformų konkurenciją ir užtikrinti, kad rinkos</w:t>
      </w:r>
      <w:r>
        <w:rPr>
          <w:rFonts w:ascii="Times New Roman" w:hAnsi="Times New Roman"/>
          <w:noProof/>
          <w:sz w:val="24"/>
        </w:rPr>
        <w:t xml:space="preserve"> dalyviai nepiktnaudžiautų savo padėtimi siekdami tokių sutarties sąlygų, kurios taptų kliūtimi rinkos inovacijoms.</w:t>
      </w:r>
    </w:p>
    <w:p w:rsidR="00E027F3" w:rsidRDefault="006D1C7A">
      <w:pPr>
        <w:spacing w:line="240" w:lineRule="auto"/>
        <w:jc w:val="both"/>
        <w:rPr>
          <w:rFonts w:ascii="Times New Roman" w:hAnsi="Times New Roman"/>
          <w:i/>
          <w:noProof/>
          <w:sz w:val="24"/>
          <w:szCs w:val="24"/>
        </w:rPr>
      </w:pPr>
      <w:r>
        <w:rPr>
          <w:rFonts w:ascii="Times New Roman" w:hAnsi="Times New Roman"/>
          <w:i/>
          <w:noProof/>
          <w:sz w:val="24"/>
        </w:rPr>
        <w:t>Platesnės prieigos prie žiniasklaidos priemonių ES piliečiams skatinimas</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 xml:space="preserve">Griežtas ir greitas konkurencijos teisės aktų laikymosi </w:t>
      </w:r>
      <w:r>
        <w:rPr>
          <w:rFonts w:ascii="Times New Roman" w:hAnsi="Times New Roman"/>
          <w:noProof/>
          <w:sz w:val="24"/>
        </w:rPr>
        <w:t>užtikrinimas yra pagrindinė priemonė siekiant veiksmingai spręsti naujuose ir greitai augančiuose skaitmeninės ekonomikos sektoriuose kylančias problemas. Tačiau nemažiau svarbu Europos piliečiams užtikrinti aktyvią konkurenciją labiau tradicinėse rinkose,</w:t>
      </w:r>
      <w:r>
        <w:rPr>
          <w:rFonts w:ascii="Times New Roman" w:hAnsi="Times New Roman"/>
          <w:noProof/>
          <w:sz w:val="24"/>
        </w:rPr>
        <w:t xml:space="preserve"> kaip antai transliuojamų televizijos programų rinkoje. Komisija siekia užtikrinti, kad vartotojai galėtų pasirinkti TV platintojus, konkuruojančius sąžiningomis ir vienodomis sąlygomis</w:t>
      </w:r>
      <w:r>
        <w:rPr>
          <w:rStyle w:val="FootnoteReference"/>
          <w:rFonts w:ascii="Times New Roman" w:hAnsi="Times New Roman"/>
          <w:noProof/>
          <w:sz w:val="24"/>
        </w:rPr>
        <w:footnoteReference w:id="15"/>
      </w:r>
      <w:r>
        <w:rPr>
          <w:noProof/>
        </w:rPr>
        <w:t>.</w:t>
      </w:r>
      <w:r>
        <w:rPr>
          <w:rFonts w:ascii="Times New Roman" w:hAnsi="Times New Roman"/>
          <w:noProof/>
          <w:sz w:val="24"/>
        </w:rPr>
        <w:t xml:space="preserve"> </w:t>
      </w:r>
    </w:p>
    <w:p w:rsidR="00E027F3" w:rsidRDefault="006D1C7A">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b/>
          <w:noProof/>
          <w:sz w:val="20"/>
          <w:szCs w:val="20"/>
        </w:rPr>
      </w:pPr>
      <w:r>
        <w:rPr>
          <w:rFonts w:ascii="Times New Roman" w:hAnsi="Times New Roman"/>
          <w:b/>
          <w:noProof/>
          <w:sz w:val="20"/>
        </w:rPr>
        <w:t>Inovacijų paskatų žiniasklaidos sektoriuje apsauga</w:t>
      </w:r>
    </w:p>
    <w:p w:rsidR="00E027F3" w:rsidRDefault="006D1C7A">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noProof/>
          <w:sz w:val="20"/>
          <w:szCs w:val="20"/>
        </w:rPr>
      </w:pPr>
      <w:r>
        <w:rPr>
          <w:rFonts w:ascii="Times New Roman" w:hAnsi="Times New Roman"/>
          <w:noProof/>
          <w:sz w:val="20"/>
        </w:rPr>
        <w:t xml:space="preserve">2015 m. vasario </w:t>
      </w:r>
      <w:r>
        <w:rPr>
          <w:rFonts w:ascii="Times New Roman" w:hAnsi="Times New Roman"/>
          <w:noProof/>
          <w:sz w:val="20"/>
        </w:rPr>
        <w:t>mėn. Komisija, remdamasi ES susijungimų reglamentu, leido bendrovei „Liberty Global“ įsigyti dalį Belgijos žiniasklaidos bendrovės „De Vijver Media NV“ (toliau – „De Vijver“), jeigu bus laikomasi tam tikrų įsipareigojimų. Komisijos sprendimas buvo pagrįsta</w:t>
      </w:r>
      <w:r>
        <w:rPr>
          <w:rFonts w:ascii="Times New Roman" w:hAnsi="Times New Roman"/>
          <w:noProof/>
          <w:sz w:val="20"/>
        </w:rPr>
        <w:t>s išsamiu tyrimu.</w:t>
      </w:r>
    </w:p>
    <w:p w:rsidR="00E027F3" w:rsidRDefault="006D1C7A">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noProof/>
          <w:sz w:val="20"/>
          <w:szCs w:val="20"/>
        </w:rPr>
      </w:pPr>
      <w:r>
        <w:rPr>
          <w:rFonts w:ascii="Times New Roman" w:hAnsi="Times New Roman"/>
          <w:noProof/>
          <w:sz w:val="20"/>
        </w:rPr>
        <w:t>Komisija išreiškė susirūpinimą, kad po sandorio sudarymo „De Vijver“ atsisakys suteikti savo kanalų licencijas TV platintojams, kurie konkuruoja su „Liberty Global“ kontroliuojama kabelinės televizijos bendrove „Telenet“. Šiam susirūpinim</w:t>
      </w:r>
      <w:r>
        <w:rPr>
          <w:rFonts w:ascii="Times New Roman" w:hAnsi="Times New Roman"/>
          <w:noProof/>
          <w:sz w:val="20"/>
        </w:rPr>
        <w:t>ui pašalinti nustatyti įpareigojimai įmonei „De Vijver“, kuriais ji įpareigojama TV platintojams Belgijoje suteikti „Vier“, „Vijf“ ir kitų panašių kanalų, kuriuos ji gali pradėti transliuoti, licencijas sąžiningomis, pagrįstomis ir nediskriminacinėmis sąly</w:t>
      </w:r>
      <w:r>
        <w:rPr>
          <w:rFonts w:ascii="Times New Roman" w:hAnsi="Times New Roman"/>
          <w:noProof/>
          <w:sz w:val="20"/>
        </w:rPr>
        <w:t>gomis. Jei „De Vijver“ nebūtų prisiėmusi šių įsipareigojimų, po sandorio sumažėtų konkurencija TV platinimo rinkoje ir galiausiai išaugtų kainos, o vartotojai gautų mažiau novatoriškų produktų.</w:t>
      </w:r>
    </w:p>
    <w:p w:rsidR="00E027F3" w:rsidRDefault="006D1C7A">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noProof/>
          <w:sz w:val="20"/>
          <w:szCs w:val="20"/>
        </w:rPr>
      </w:pPr>
      <w:r>
        <w:rPr>
          <w:rFonts w:ascii="Times New Roman" w:hAnsi="Times New Roman"/>
          <w:noProof/>
          <w:sz w:val="20"/>
        </w:rPr>
        <w:t>Be to, Komisija balandžio mėn. pritarė siūlomam įsigijimui: da</w:t>
      </w:r>
      <w:r>
        <w:rPr>
          <w:rFonts w:ascii="Times New Roman" w:hAnsi="Times New Roman"/>
          <w:noProof/>
          <w:sz w:val="20"/>
        </w:rPr>
        <w:t>ugiašalei kabelinių paslaugų ir telekomunikacijų bendrovei „Altice“ leista įsigyti Portugalijos telekomunikacijų operatorių „PT Portugal“. Sprendimas priimtas su sąlyga, kad„Altice“ įvykdys įsipareigojimą parduoti dvi savo patronuojamąsias bendroves Portug</w:t>
      </w:r>
      <w:r>
        <w:rPr>
          <w:rFonts w:ascii="Times New Roman" w:hAnsi="Times New Roman"/>
          <w:noProof/>
          <w:sz w:val="20"/>
        </w:rPr>
        <w:t>alijoje.</w:t>
      </w:r>
    </w:p>
    <w:p w:rsidR="00E027F3" w:rsidRDefault="006D1C7A">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noProof/>
          <w:sz w:val="20"/>
          <w:szCs w:val="20"/>
        </w:rPr>
      </w:pPr>
      <w:r>
        <w:rPr>
          <w:rFonts w:ascii="Times New Roman" w:hAnsi="Times New Roman"/>
          <w:noProof/>
          <w:sz w:val="20"/>
        </w:rPr>
        <w:t>„PT Portugal“ – telekomunikacijų ir multimedijos paslaugų operatorius, kurio veikla apima visus Portugalijos telekomunikacijų sektoriaus segmentus. Komisija išreiškė susirūpinimą, kad po susijungimo pirmiau praneštomis sąlygomis galėtų sumažėti ko</w:t>
      </w:r>
      <w:r>
        <w:rPr>
          <w:rFonts w:ascii="Times New Roman" w:hAnsi="Times New Roman"/>
          <w:noProof/>
          <w:sz w:val="20"/>
        </w:rPr>
        <w:t>nkurencija keliose Portugalijos telekomunikacijų rinkose. Bendrovėms susijungus, iš šių rinkų būtų pašalintas stiprus konkurentas ir dėl to kainos galėtų išaugti, o Portugalijos vartotojams susijungimas reikštų mažesnę konkurenciją. Siekdama pašalinti šį s</w:t>
      </w:r>
      <w:r>
        <w:rPr>
          <w:rFonts w:ascii="Times New Roman" w:hAnsi="Times New Roman"/>
          <w:noProof/>
          <w:sz w:val="20"/>
        </w:rPr>
        <w:t>usirūpinimą, „Altice“ pasiūlė pašalinti „Altice“ ir „PT Portugal“ veiklos sričių persidengimą įsipareigodama parduoti jai priklausančias Portugalijos įmones „Cabovisão“ ir „ONI“. Vertindama siūlomą sandorį, Komisija glaudžiai bendradarbiavo su Portugalijos</w:t>
      </w:r>
      <w:r>
        <w:rPr>
          <w:rFonts w:ascii="Times New Roman" w:hAnsi="Times New Roman"/>
          <w:noProof/>
          <w:sz w:val="20"/>
        </w:rPr>
        <w:t xml:space="preserve"> konkurencijos institucija.</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Kitas antimonopolinis tyrimas yra susijęs su tarpvalstybiniu mastu teikiamomis mokamomis televizijos paslaugomis Jungtinėje Karalystėje ir Airijoje. Liepos mėn. Komisija išsiuntė prieštaravimo pareiškimą bendrovei „Sky UK“ ir še</w:t>
      </w:r>
      <w:r>
        <w:rPr>
          <w:rFonts w:ascii="Times New Roman" w:hAnsi="Times New Roman"/>
          <w:noProof/>
          <w:sz w:val="24"/>
        </w:rPr>
        <w:t>šioms pagrindinėms JAV kino studijoms: „Disney“, „NBC Universal“, „Paramount Pictures“, „Sony“, „Twentieth Century Fox“ ir „Warner Bros“</w:t>
      </w:r>
      <w:r>
        <w:rPr>
          <w:rStyle w:val="FootnoteReference"/>
          <w:rFonts w:ascii="Times New Roman" w:hAnsi="Times New Roman"/>
          <w:noProof/>
          <w:sz w:val="24"/>
        </w:rPr>
        <w:footnoteReference w:id="16"/>
      </w:r>
      <w:r>
        <w:rPr>
          <w:noProof/>
        </w:rPr>
        <w:t>.</w:t>
      </w:r>
      <w:r>
        <w:rPr>
          <w:rFonts w:ascii="Times New Roman" w:hAnsi="Times New Roman"/>
          <w:noProof/>
          <w:sz w:val="24"/>
        </w:rPr>
        <w:t xml:space="preserve"> Komisijos tyrimu, kuris buvo pradėtas 2014 m. sausio mėn., nustatyti licencijavimo sutarčių, sudarytų tarp šešių kino</w:t>
      </w:r>
      <w:r>
        <w:rPr>
          <w:rFonts w:ascii="Times New Roman" w:hAnsi="Times New Roman"/>
          <w:noProof/>
          <w:sz w:val="24"/>
        </w:rPr>
        <w:t xml:space="preserve"> studijų ir „Sky UK“, straipsniai, kuriuose reikalaujama, kad „Sky UK“ užblokuotų prieigą prie filmų per jos internetinę mokamų TV paslaugų svetainę arba per jos palydovines mokamas TV paslaugas vartotojams, esantiems už bendrovės licencija nustatytos teri</w:t>
      </w:r>
      <w:r>
        <w:rPr>
          <w:rFonts w:ascii="Times New Roman" w:hAnsi="Times New Roman"/>
          <w:noProof/>
          <w:sz w:val="24"/>
        </w:rPr>
        <w:t>torijos ribų (JK ir Airijos). Tam tikruose susitarimuose taip pat yra straipsniai, kuriuose reikalaujama, kad kino studijos užtikrintų, jog jų su transliuotojais (išskyrus „Sky UK“) sudarytose licencijavimo sutartyse būtų draudžiama padaryti mokamas TV pas</w:t>
      </w:r>
      <w:r>
        <w:rPr>
          <w:rFonts w:ascii="Times New Roman" w:hAnsi="Times New Roman"/>
          <w:noProof/>
          <w:sz w:val="24"/>
        </w:rPr>
        <w:t>laugas prieinamas Jungtinėje Karalystėje ir Airijoje.</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Dėl tokios padėties nukenčia Europos vartotojai, kurie nori žiūrėti savo nuožiūra pasirenkamus mokamus TV kanalus nepriklausomai nuo to, kur ES jie gyvena ar keliauja. Komisija laikosi preliminarios nuo</w:t>
      </w:r>
      <w:r>
        <w:rPr>
          <w:rFonts w:ascii="Times New Roman" w:hAnsi="Times New Roman"/>
          <w:noProof/>
          <w:sz w:val="24"/>
        </w:rPr>
        <w:t>monės, kad, nesant įtikinamo pagrindimo, tokie sutarčių straipsniai būtų laikomi ES taisyklių, kuriomis draudžiami antikonkurenciniai susitarimai, pažeidimu.</w:t>
      </w:r>
    </w:p>
    <w:p w:rsidR="00E027F3" w:rsidRDefault="006D1C7A">
      <w:pPr>
        <w:spacing w:line="240" w:lineRule="auto"/>
        <w:jc w:val="both"/>
        <w:rPr>
          <w:rFonts w:ascii="Times New Roman" w:hAnsi="Times New Roman"/>
          <w:noProof/>
          <w:sz w:val="24"/>
          <w:szCs w:val="24"/>
        </w:rPr>
      </w:pPr>
      <w:r>
        <w:rPr>
          <w:rFonts w:ascii="Times New Roman" w:hAnsi="Times New Roman"/>
          <w:i/>
          <w:noProof/>
          <w:sz w:val="24"/>
        </w:rPr>
        <w:t>Judriojo ryšio įrenginių novatoriškų rinkų tobulinimas</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Judriojo ryšio įrenginiai, pavyzdžiui, išma</w:t>
      </w:r>
      <w:r>
        <w:rPr>
          <w:rFonts w:ascii="Times New Roman" w:hAnsi="Times New Roman"/>
          <w:noProof/>
          <w:sz w:val="24"/>
        </w:rPr>
        <w:t>nieji telefonai ir planšetiniai kompiuteriai, dabar yra neatsiejama daugumos Europos piliečių kasdienio gyvenimo dalis. 2015 m. buvo reikšmingi metai Europos judriojo ryšio vartotojams: Europos Parlamentas ir Taryba priėmė Reglamentą (ES) Nr. 2015/2120</w:t>
      </w:r>
      <w:r>
        <w:rPr>
          <w:rStyle w:val="FootnoteReference"/>
          <w:rFonts w:ascii="Times New Roman" w:hAnsi="Times New Roman"/>
          <w:noProof/>
          <w:sz w:val="24"/>
        </w:rPr>
        <w:footnoteReference w:id="17"/>
      </w:r>
      <w:r>
        <w:rPr>
          <w:rFonts w:ascii="Times New Roman" w:hAnsi="Times New Roman"/>
          <w:noProof/>
          <w:sz w:val="24"/>
        </w:rPr>
        <w:t>, k</w:t>
      </w:r>
      <w:r>
        <w:rPr>
          <w:rFonts w:ascii="Times New Roman" w:hAnsi="Times New Roman"/>
          <w:noProof/>
          <w:sz w:val="24"/>
        </w:rPr>
        <w:t>uriuo nuo 2017 m. birželio 15 d. bus panaikinti tarptinklinio ryšio mokesčiai Europos Sąjungoje. Antimonopolinių teisės aktų vykdymo užtikrinimo ir pačių antimonopolinių teisės aktų tikslas – apsaugoti konkurenciją judriojo ryšio įrenginių srityje, siekian</w:t>
      </w:r>
      <w:r>
        <w:rPr>
          <w:rFonts w:ascii="Times New Roman" w:hAnsi="Times New Roman"/>
          <w:noProof/>
          <w:sz w:val="24"/>
        </w:rPr>
        <w:t>t užtikrinti nuolatines inovacijas, kurios teiktų naudą Europos vartotojams.</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 xml:space="preserve">Po to, kai gruodžio mėn. buvo pradėti du atskiri antimonopoliniai tyrimai, Komisija nusiuntė du prieštaravimo pareiškimus įmonei „Qualcomm“, kuri yra didžiausia pasaulyje plataus </w:t>
      </w:r>
      <w:r>
        <w:rPr>
          <w:rFonts w:ascii="Times New Roman" w:hAnsi="Times New Roman"/>
          <w:noProof/>
          <w:sz w:val="24"/>
        </w:rPr>
        <w:t>vartojimo elektroniniuose prietaisuose naudojamų dažnių juostų mikroschemų tiekėja. Dažnių juostų mikroschemos atlieka ryšio palaikymo funkcijas išmaniuosiuose telefonuose, planšetiniuose kompiuteriuose ir kituose judriojo plačiajuosčio ryšio įrenginiuose.</w:t>
      </w:r>
      <w:r>
        <w:rPr>
          <w:rFonts w:ascii="Times New Roman" w:hAnsi="Times New Roman"/>
          <w:noProof/>
          <w:sz w:val="24"/>
        </w:rPr>
        <w:t xml:space="preserve"> Jos naudojamos balso ir duomenų perdavimui.</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Komisija laikosi preliminarios nuomonės, kad bendrovė piktnaudžiavo savo dominuojančia padėtimi judriojo plačiajuosčio ryšio technologijos 3G (UMTS) ir 4G (LTE plačiajuosčio ryšio) mikroschemų pasaulinėse rinkos</w:t>
      </w:r>
      <w:r>
        <w:rPr>
          <w:rFonts w:ascii="Times New Roman" w:hAnsi="Times New Roman"/>
          <w:noProof/>
          <w:sz w:val="24"/>
        </w:rPr>
        <w:t>e, pažeisdama ES antimonopolines taisykles</w:t>
      </w:r>
      <w:r>
        <w:rPr>
          <w:rStyle w:val="FootnoteReference"/>
          <w:rFonts w:ascii="Times New Roman" w:hAnsi="Times New Roman"/>
          <w:noProof/>
          <w:sz w:val="24"/>
        </w:rPr>
        <w:footnoteReference w:id="18"/>
      </w:r>
      <w:r>
        <w:rPr>
          <w:noProof/>
        </w:rPr>
        <w:t>.</w:t>
      </w:r>
      <w:r>
        <w:rPr>
          <w:rFonts w:ascii="Times New Roman" w:hAnsi="Times New Roman"/>
          <w:noProof/>
          <w:sz w:val="24"/>
        </w:rPr>
        <w:t xml:space="preserve"> Pirmajame tyrime nagrinėjama, ar „Qualcomm“ piktnaudžiavo savo dominuojančia padėtimi rinkoje siūlydama finansines paskatas didžiausiai išmaniųjų telefonų ir planšetinių kompiuterių gamintojai su sąlyga, kad ši </w:t>
      </w:r>
      <w:r>
        <w:rPr>
          <w:rFonts w:ascii="Times New Roman" w:hAnsi="Times New Roman"/>
          <w:noProof/>
          <w:sz w:val="24"/>
        </w:rPr>
        <w:t>bendrovė savo išmaniuosiuose telefonuose ir planšetiniuose kompiuteriuose naudos tik „Qualcomm“ dažnių juostų mikroschemas. Toks elgesys galėjo sumažinti gamintojo paskatas įsigyti mikroschemas iš „Qualcomm“ konkurentų ir pakenkti konkurencijai bei inovaci</w:t>
      </w:r>
      <w:r>
        <w:rPr>
          <w:rFonts w:ascii="Times New Roman" w:hAnsi="Times New Roman"/>
          <w:noProof/>
          <w:sz w:val="24"/>
        </w:rPr>
        <w:t>joms UMTS ir LTE dažnių juostų mikroschemų rinkose. Antrajame tyrime nagrinėjama, ar „Qualcomm“ taikė agresyvią kainodarą, nustatydama žemesnes už sąnaudas kainas, kad pašalintų konkurenciją rinkoje.</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Prietaisų tiekimo rinka yra tik vienas aspektas, kitas –</w:t>
      </w:r>
      <w:r>
        <w:rPr>
          <w:rFonts w:ascii="Times New Roman" w:hAnsi="Times New Roman"/>
          <w:noProof/>
          <w:sz w:val="24"/>
        </w:rPr>
        <w:t xml:space="preserve"> reikalavimas, kad išmaniuosiuose telefonuose ir planšetiniuose kompiuteriuose naudojama programinė įranga turi konkuruoti rinkoje neiškreiptomis sąlygomis. Judriojo ryšio programos ir paslaugos, įdiegtos į išmaniuosius telefonus, planšetinius kompiuterius</w:t>
      </w:r>
      <w:r>
        <w:rPr>
          <w:rFonts w:ascii="Times New Roman" w:hAnsi="Times New Roman"/>
          <w:noProof/>
          <w:sz w:val="24"/>
        </w:rPr>
        <w:t xml:space="preserve"> ir kitus judriojo ryšio įrenginius yra pagrįstos įrenginio operacine sistema. </w:t>
      </w:r>
      <w:r>
        <w:rPr>
          <w:rFonts w:ascii="Times New Roman" w:hAnsi="Times New Roman"/>
          <w:i/>
          <w:noProof/>
          <w:sz w:val="24"/>
        </w:rPr>
        <w:t>Google Android</w:t>
      </w:r>
      <w:r>
        <w:rPr>
          <w:rFonts w:ascii="Times New Roman" w:hAnsi="Times New Roman"/>
          <w:noProof/>
          <w:sz w:val="24"/>
        </w:rPr>
        <w:t xml:space="preserve"> tapo pagrindine išmaniųjų judriojo ryšio įrenginių operacine sistema Europos ekonominėje erdvėje, nes „Android“ dabar yra naudojama didžiojoje dalyje Europos judr</w:t>
      </w:r>
      <w:r>
        <w:rPr>
          <w:rFonts w:ascii="Times New Roman" w:hAnsi="Times New Roman"/>
          <w:noProof/>
          <w:sz w:val="24"/>
        </w:rPr>
        <w:t>iojo ryšio įrenginių.</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Balandžio mėn. Komisija pradėjo oficialią procedūrą prieš „Google“, siekdama ištirti, ar bendrovės elgesys, susijęs su „Android“, galėjo pažeisti ES antimonopolines taisykles</w:t>
      </w:r>
      <w:r>
        <w:rPr>
          <w:rStyle w:val="FootnoteReference"/>
          <w:rFonts w:ascii="Times New Roman" w:hAnsi="Times New Roman"/>
          <w:noProof/>
          <w:sz w:val="24"/>
        </w:rPr>
        <w:footnoteReference w:id="19"/>
      </w:r>
      <w:r>
        <w:rPr>
          <w:noProof/>
        </w:rPr>
        <w:t>.</w:t>
      </w:r>
      <w:r>
        <w:rPr>
          <w:rFonts w:ascii="Times New Roman" w:hAnsi="Times New Roman"/>
          <w:noProof/>
          <w:sz w:val="24"/>
        </w:rPr>
        <w:t xml:space="preserve"> „Android“ yra atvirojo kodo judriojo ryšio operacinė sistema, kurios pagrindinis kūrėjas yra „Google“. Iš esmės bet kas galėtų laisvai naudoti ir toliau plėtoti „Android“. Tačiau dauguma išmaniųjų telefonų ir planšetinių kompiuterių gamintojų naudoja oper</w:t>
      </w:r>
      <w:r>
        <w:rPr>
          <w:rFonts w:ascii="Times New Roman" w:hAnsi="Times New Roman"/>
          <w:noProof/>
          <w:sz w:val="24"/>
        </w:rPr>
        <w:t>acinę sistemą „Android“ kartu su įvairiomis nuosavybinėmis „Google“ prietaikomis ir paslaugomis, todėl turi sudaryti tam tikrus susitarimus su „Google“.</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Komisija vertina, ar „Google“, sudarydama antikonkurencinius susitarimus ir (arba) piktnaudžiaudama gal</w:t>
      </w:r>
      <w:r>
        <w:rPr>
          <w:rFonts w:ascii="Times New Roman" w:hAnsi="Times New Roman"/>
          <w:noProof/>
          <w:sz w:val="24"/>
        </w:rPr>
        <w:t>ima dominuojančia padėtimi, neteisėtai netrukdė kurti ir tiekti į rinką konkurentų judriojo ryšio operacinių sistemų, judriojo ryšio programų ir paslaugų Europos ekonominėje erdvėje. Šis tyrimas skiriasi nuo Komisijos tyrimo dėl įmonės „Google“ elgesio, su</w:t>
      </w:r>
      <w:r>
        <w:rPr>
          <w:rFonts w:ascii="Times New Roman" w:hAnsi="Times New Roman"/>
          <w:noProof/>
          <w:sz w:val="24"/>
        </w:rPr>
        <w:t>sijusio su internetinėmis paieškomis, ir yra vykdomas atskirai nuo pastarojo.</w:t>
      </w:r>
    </w:p>
    <w:p w:rsidR="00E027F3" w:rsidRDefault="006D1C7A">
      <w:pPr>
        <w:spacing w:line="240" w:lineRule="auto"/>
        <w:jc w:val="both"/>
        <w:rPr>
          <w:rFonts w:ascii="Times New Roman" w:hAnsi="Times New Roman"/>
          <w:noProof/>
          <w:sz w:val="24"/>
          <w:szCs w:val="24"/>
        </w:rPr>
      </w:pPr>
      <w:r>
        <w:rPr>
          <w:rFonts w:ascii="Times New Roman" w:hAnsi="Times New Roman"/>
          <w:i/>
          <w:noProof/>
          <w:sz w:val="24"/>
        </w:rPr>
        <w:t>Veiksminga susijungimų kontrolė siekiant užtikrinti investicijas į telekomunikacijų sektorių</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Veiksminga konkurencija telekomunikacijų sektoriuje yra pagrindinė investicijų varomo</w:t>
      </w:r>
      <w:r>
        <w:rPr>
          <w:rFonts w:ascii="Times New Roman" w:hAnsi="Times New Roman"/>
          <w:noProof/>
          <w:sz w:val="24"/>
        </w:rPr>
        <w:t>ji jėga, duodanti vartotojams ir verslui palankesnių rinkos rezultatų. Konkurencija yra pagrindinė varomoji jėga, kuri pritrauks investicijų europiečiams reikalingų sparčiojo plačiajuosčio ryšio tinklams plėsti. Vartotojams investicijos savaime naudos nesu</w:t>
      </w:r>
      <w:r>
        <w:rPr>
          <w:rFonts w:ascii="Times New Roman" w:hAnsi="Times New Roman"/>
          <w:noProof/>
          <w:sz w:val="24"/>
        </w:rPr>
        <w:t>teikia – ją suteikia investicijų poveikis konkurencijos parametrams, kaip antai pasirinkimui, kokybei ir kainai.</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Konkurencijos teisės aktų vykdymo užtikrinimas ne tik padeda išlaikyti telekomunikacijų rinką atvirą ir konkurencingą, bet ir išlieka pagrindin</w:t>
      </w:r>
      <w:r>
        <w:rPr>
          <w:rFonts w:ascii="Times New Roman" w:hAnsi="Times New Roman"/>
          <w:noProof/>
          <w:sz w:val="24"/>
        </w:rPr>
        <w:t>e priemone siekiant įveikti ES rinkos susiskaidymą</w:t>
      </w:r>
      <w:r>
        <w:rPr>
          <w:rStyle w:val="FootnoteReference"/>
          <w:rFonts w:ascii="Times New Roman" w:hAnsi="Times New Roman"/>
          <w:noProof/>
          <w:sz w:val="24"/>
        </w:rPr>
        <w:footnoteReference w:id="20"/>
      </w:r>
      <w:r>
        <w:rPr>
          <w:noProof/>
        </w:rPr>
        <w:t>.</w:t>
      </w:r>
      <w:r>
        <w:rPr>
          <w:rStyle w:val="FootnoteReference"/>
          <w:noProof/>
        </w:rPr>
        <w:t xml:space="preserve"> </w:t>
      </w:r>
      <w:r>
        <w:rPr>
          <w:rFonts w:ascii="Times New Roman" w:hAnsi="Times New Roman"/>
          <w:noProof/>
          <w:sz w:val="24"/>
        </w:rPr>
        <w:t>Įgyvendinant konkurencijos politiką taip pat prisidedama prie telekomunikacijų reguliavimo sistemos peržiūros, kuri yra viena iš pagrindinių priemonių pagal bendrosios skaitmeninės rinkos strategiją.</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 xml:space="preserve">Be </w:t>
      </w:r>
      <w:r>
        <w:rPr>
          <w:rFonts w:ascii="Times New Roman" w:hAnsi="Times New Roman"/>
          <w:noProof/>
          <w:sz w:val="24"/>
        </w:rPr>
        <w:t>to, šioje srityje labai svarbus vaidmuo tenka susijungimo kontrolei, nes ją vykdant įvertinama, ar siūlomas susijungimas galėtų pritraukti daugiau vartotojams naudos suteikiančių (pavyzdžiui, skirtų tinklo apimčiai didinti) investicijų.</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 xml:space="preserve">Gegužės mėn. </w:t>
      </w:r>
      <w:r>
        <w:rPr>
          <w:rFonts w:ascii="Times New Roman" w:hAnsi="Times New Roman"/>
          <w:noProof/>
          <w:sz w:val="24"/>
        </w:rPr>
        <w:t>Komisija, remdamasi ES susijungimų reglamentu, patvirtino pasiūlymą dėl Prancūzijos įmonės „Orange SA“ vykdomo JK registruotos, bet veiklą daugiausiai Ispanijoje vykdančios konkuruojančios telekomunikacijų bendrovės „Jazztel“ įsigijimo</w:t>
      </w:r>
      <w:r>
        <w:rPr>
          <w:rStyle w:val="FootnoteReference"/>
          <w:rFonts w:ascii="Times New Roman" w:hAnsi="Times New Roman"/>
          <w:noProof/>
          <w:sz w:val="24"/>
        </w:rPr>
        <w:footnoteReference w:id="21"/>
      </w:r>
      <w:r>
        <w:rPr>
          <w:noProof/>
        </w:rPr>
        <w:t>.</w:t>
      </w:r>
      <w:r>
        <w:rPr>
          <w:rFonts w:ascii="Times New Roman" w:hAnsi="Times New Roman"/>
          <w:noProof/>
          <w:sz w:val="24"/>
        </w:rPr>
        <w:t xml:space="preserve"> Patvirtinimas sute</w:t>
      </w:r>
      <w:r>
        <w:rPr>
          <w:rFonts w:ascii="Times New Roman" w:hAnsi="Times New Roman"/>
          <w:noProof/>
          <w:sz w:val="24"/>
        </w:rPr>
        <w:t>iktas su sąlyga, kad „Orange“ visapusiškai įgyvendins kelis įsipareigojimus, kuriais bus po perėmimo užtikrinta veiksminga konkurencija fiksuotosios prieigos prie interneto paslaugų rinkoje.</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Komisija buvo susirūpinusi, kad įvykus perėmimui pirmiau pranešto</w:t>
      </w:r>
      <w:r>
        <w:rPr>
          <w:rFonts w:ascii="Times New Roman" w:hAnsi="Times New Roman"/>
          <w:noProof/>
          <w:sz w:val="24"/>
        </w:rPr>
        <w:t>mis sąlygomis galėtų išaugti fiksuotosios prieigos prie interneto paslaugų kainos klientams Ispanijoje. Siekdama spręsti šias problemas, bendrovė „Orange“ pateikė įsipareigojimus, kuriais užtikrino, kad į mažmeninę rinką gali ateiti naujas fiksuotosios pri</w:t>
      </w:r>
      <w:r>
        <w:rPr>
          <w:rFonts w:ascii="Times New Roman" w:hAnsi="Times New Roman"/>
          <w:noProof/>
          <w:sz w:val="24"/>
        </w:rPr>
        <w:t>eigos prie interneto paslaugų dalyvis ir konkuruoti taip pat aktyviai, kaip „Orange“ ir „Jazztel“. Šiais įsipareigojimais pašalinamas pirminis Komisijos susirūpinimas.</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Komisija taip pat pradėjo du išsamius susijungusių telekomunikacijų sektoriaus bendrovių</w:t>
      </w:r>
      <w:r>
        <w:rPr>
          <w:rFonts w:ascii="Times New Roman" w:hAnsi="Times New Roman"/>
          <w:noProof/>
          <w:sz w:val="24"/>
        </w:rPr>
        <w:t xml:space="preserve"> tyrimus. Pirmiausia ji nagrinėja pasiūlymą, pagal kurį bendrovė „Hutchison“</w:t>
      </w:r>
      <w:r>
        <w:rPr>
          <w:rStyle w:val="FootnoteReference"/>
          <w:rFonts w:ascii="Times New Roman" w:hAnsi="Times New Roman"/>
          <w:noProof/>
          <w:sz w:val="24"/>
        </w:rPr>
        <w:footnoteReference w:id="22"/>
      </w:r>
      <w:r>
        <w:rPr>
          <w:rFonts w:ascii="Times New Roman" w:hAnsi="Times New Roman"/>
          <w:noProof/>
          <w:sz w:val="24"/>
        </w:rPr>
        <w:t xml:space="preserve"> įsigytų bendrovę„Telefónica UK“, siekdama įvertinti, ar sandoris nepakenktų konkurencijai. Komisija yra susirūpinusi, kad dėl sandorio galėtų padidėti kainos, sumažėti pasirinkim</w:t>
      </w:r>
      <w:r>
        <w:rPr>
          <w:rFonts w:ascii="Times New Roman" w:hAnsi="Times New Roman"/>
          <w:noProof/>
          <w:sz w:val="24"/>
        </w:rPr>
        <w:t>as ir inovacijos Jungtinės Karalystės judriojo telefono ryšio paslaugų sektoriaus klientams. Komisija taip pat atliko išsamų tyrimą dėl bendrovės „Liberty Global“</w:t>
      </w:r>
      <w:r>
        <w:rPr>
          <w:rStyle w:val="FootnoteReference"/>
          <w:rFonts w:ascii="Times New Roman" w:hAnsi="Times New Roman"/>
          <w:noProof/>
          <w:sz w:val="24"/>
        </w:rPr>
        <w:footnoteReference w:id="23"/>
      </w:r>
      <w:r>
        <w:rPr>
          <w:rFonts w:ascii="Times New Roman" w:hAnsi="Times New Roman"/>
          <w:noProof/>
          <w:sz w:val="24"/>
        </w:rPr>
        <w:t xml:space="preserve"> vykdomo bendrovės „BASE Belgium“ perėmimo, siekdama įsitikinti, kad klientai Belgijoje įvyku</w:t>
      </w:r>
      <w:r>
        <w:rPr>
          <w:rFonts w:ascii="Times New Roman" w:hAnsi="Times New Roman"/>
          <w:noProof/>
          <w:sz w:val="24"/>
        </w:rPr>
        <w:t>s siūlomam sandoriui nepatirs neigiamo poveikio dėl išaugusių kainų ir sumažėjusio pasirinkimo.</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Be to, Komisija išnagrinėjo siūlomą Danijos įmonių „Telenor“ ir „TeliaSonera“ susijungimą</w:t>
      </w:r>
      <w:r>
        <w:rPr>
          <w:rStyle w:val="FootnoteReference"/>
          <w:rFonts w:ascii="Times New Roman" w:hAnsi="Times New Roman"/>
          <w:noProof/>
          <w:sz w:val="24"/>
        </w:rPr>
        <w:footnoteReference w:id="24"/>
      </w:r>
      <w:r>
        <w:rPr>
          <w:noProof/>
        </w:rPr>
        <w:t>.</w:t>
      </w:r>
      <w:r>
        <w:rPr>
          <w:rFonts w:ascii="Times New Roman" w:hAnsi="Times New Roman"/>
          <w:noProof/>
          <w:sz w:val="24"/>
        </w:rPr>
        <w:t xml:space="preserve"> Komisija buvo susirūpinusi, kad dėl koncentracijos susikurtų didžiau</w:t>
      </w:r>
      <w:r>
        <w:rPr>
          <w:rFonts w:ascii="Times New Roman" w:hAnsi="Times New Roman"/>
          <w:noProof/>
          <w:sz w:val="24"/>
        </w:rPr>
        <w:t>sias Danijoje judriojo ryšio operatorius ir dėl to susidarytų labai koncentruota rinkos struktūra, kuri nulemtų didesnes kainas klientams ir sumažėjusias investavimo paskatas. 2015 m. rugsėjo mėn., po to, kai pateikė du taisomųjų priemonių rinkinius, kurių</w:t>
      </w:r>
      <w:r>
        <w:rPr>
          <w:rFonts w:ascii="Times New Roman" w:hAnsi="Times New Roman"/>
          <w:noProof/>
          <w:sz w:val="24"/>
        </w:rPr>
        <w:t>, panašu, nepakako konkurencijos problemoms pašalinti, šalys atsisakė sandorio.</w:t>
      </w:r>
    </w:p>
    <w:p w:rsidR="00E027F3" w:rsidRDefault="006D1C7A">
      <w:pPr>
        <w:numPr>
          <w:ilvl w:val="0"/>
          <w:numId w:val="3"/>
        </w:numPr>
        <w:spacing w:line="240" w:lineRule="auto"/>
        <w:jc w:val="both"/>
        <w:rPr>
          <w:rFonts w:ascii="Times New Roman" w:hAnsi="Times New Roman"/>
          <w:b/>
          <w:noProof/>
          <w:sz w:val="24"/>
          <w:szCs w:val="24"/>
        </w:rPr>
      </w:pPr>
      <w:r>
        <w:rPr>
          <w:rFonts w:ascii="Times New Roman" w:hAnsi="Times New Roman"/>
          <w:b/>
          <w:noProof/>
          <w:sz w:val="24"/>
        </w:rPr>
        <w:t>Integruotos ir klimatui nekenkiančios Europos energetikos sąjungos kūrimas</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 xml:space="preserve">Energetikos sąjungos sukūrimas yra svarbus žingsnis integruotuos, sąveikios ir atsparios energetikos </w:t>
      </w:r>
      <w:r>
        <w:rPr>
          <w:rFonts w:ascii="Times New Roman" w:hAnsi="Times New Roman"/>
          <w:noProof/>
          <w:sz w:val="24"/>
        </w:rPr>
        <w:t>rinkos, kuri būtų naudinga vartotojams, įmonėms ir aplinkai, link. Įmonėms ir namų ūkiams, kurie yra energetikos sąjungos pagrindiniai dalyviai, turėtų būti suteikta galimybė mokėti prieinamas ir konkurencingas kainas. Tuo pačiu ES energetikos politika yra</w:t>
      </w:r>
      <w:r>
        <w:rPr>
          <w:rFonts w:ascii="Times New Roman" w:hAnsi="Times New Roman"/>
          <w:noProof/>
          <w:sz w:val="24"/>
        </w:rPr>
        <w:t xml:space="preserve"> pagrįsta trimis ramsčiais: tvarumo, konkurencingumo ir tiekimo saugumo. Siekiant sukurti tvirtą energetikos sąjungą, kuri įgyvendintų plataus užmojo klimato politiką, Europos energetikos sistemą reikės pertvarkyti iš esmės. 2015 m. Komisija pradėjo įgyven</w:t>
      </w:r>
      <w:r>
        <w:rPr>
          <w:rFonts w:ascii="Times New Roman" w:hAnsi="Times New Roman"/>
          <w:noProof/>
          <w:sz w:val="24"/>
        </w:rPr>
        <w:t>dinti šį svarbų prioritetą.</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2015 m. vasario 25 d. Komisija paskelbė Atsparios energetikos sąjungos ir perspektyvios klimato kaitos politikos pagrindų strategiją</w:t>
      </w:r>
      <w:r>
        <w:rPr>
          <w:rStyle w:val="FootnoteReference"/>
          <w:rFonts w:ascii="Times New Roman" w:hAnsi="Times New Roman"/>
          <w:noProof/>
          <w:sz w:val="24"/>
        </w:rPr>
        <w:footnoteReference w:id="25"/>
      </w:r>
      <w:r>
        <w:rPr>
          <w:noProof/>
        </w:rPr>
        <w:t>.</w:t>
      </w:r>
      <w:r>
        <w:rPr>
          <w:rFonts w:ascii="Times New Roman" w:hAnsi="Times New Roman"/>
          <w:noProof/>
          <w:sz w:val="24"/>
        </w:rPr>
        <w:t xml:space="preserve"> Pagrindų strategijos penkiose glaudžiai susijusiose ir viena kitą papildančiose dimensijose (</w:t>
      </w:r>
      <w:r>
        <w:rPr>
          <w:rFonts w:ascii="Times New Roman" w:hAnsi="Times New Roman"/>
          <w:noProof/>
          <w:sz w:val="24"/>
        </w:rPr>
        <w:t>energijos tiekimo saugumo, solidarumo ir pasitikėjimo, visiškai integruotos Europos energijos rinkos, energijos vartojimo efektyvumo, kaip energijos poreikio mažinimo priemonės, ekonomikos priklausomybės nuo iškastinio kuro mažinimo ir mokslinių tyrimų, in</w:t>
      </w:r>
      <w:r>
        <w:rPr>
          <w:rFonts w:ascii="Times New Roman" w:hAnsi="Times New Roman"/>
          <w:noProof/>
          <w:sz w:val="24"/>
        </w:rPr>
        <w:t>ovacijų ir konkurencingumo) nurodyti energetikos sąjungos tikslai ir veiksmai, kurių imsis Komisija, siekdama įgyvendinti tuos tikslus.</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ES turi atsisakyti iškastiniu kuru pagrįstos ekonomikos, kuri yra susijusi su senomis technologijomis ir nebeveiksmingom</w:t>
      </w:r>
      <w:r>
        <w:rPr>
          <w:rFonts w:ascii="Times New Roman" w:hAnsi="Times New Roman"/>
          <w:noProof/>
          <w:sz w:val="24"/>
        </w:rPr>
        <w:t>is verslo modeliais. Turi būti panaikinta dabartinė suskaidyta sistema, kuriai būdinga nekoordinuojama nacionalinė politika, rinkos kliūtys ir energijos tiekimo požiūriu izoliuotos teritorijos. Taip pat labai svarbu suteikti didesnius įgaliojimus vartotoja</w:t>
      </w:r>
      <w:r>
        <w:rPr>
          <w:rFonts w:ascii="Times New Roman" w:hAnsi="Times New Roman"/>
          <w:noProof/>
          <w:sz w:val="24"/>
        </w:rPr>
        <w:t>ms – tuo tikslu jiems turi būti suteikta informacija ir teisė rinktis.</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Energijos rinkų integravimas yra vienas pagrindinių energetikos sąjungos tikslų. Jei Europos Sąjungoje nebūtų dujų ir elektros energijos paskirstymo kliūčių, tai suteiktų daugiau ekonom</w:t>
      </w:r>
      <w:r>
        <w:rPr>
          <w:rFonts w:ascii="Times New Roman" w:hAnsi="Times New Roman"/>
          <w:noProof/>
          <w:sz w:val="24"/>
        </w:rPr>
        <w:t>inio tvarumo, būtų labiau tausojama aplinka ir didinama socialinė įtrauktis.</w:t>
      </w:r>
    </w:p>
    <w:p w:rsidR="00E027F3" w:rsidRDefault="006D1C7A">
      <w:pPr>
        <w:spacing w:line="240" w:lineRule="auto"/>
        <w:jc w:val="both"/>
        <w:rPr>
          <w:rFonts w:ascii="Times New Roman" w:hAnsi="Times New Roman"/>
          <w:i/>
          <w:noProof/>
          <w:sz w:val="24"/>
          <w:szCs w:val="24"/>
        </w:rPr>
      </w:pPr>
      <w:r>
        <w:rPr>
          <w:rFonts w:ascii="Times New Roman" w:hAnsi="Times New Roman"/>
          <w:i/>
          <w:noProof/>
          <w:sz w:val="24"/>
        </w:rPr>
        <w:t>Antimonopolinių teisės aktų vykdymo užtikrinimas, kad elektros energija taptų saugesnė, įperkamesnė ir tvaresnė</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Skatinant rinkos integravimą į energijos sąjungą labai svarbus vaid</w:t>
      </w:r>
      <w:r>
        <w:rPr>
          <w:rFonts w:ascii="Times New Roman" w:hAnsi="Times New Roman"/>
          <w:noProof/>
          <w:sz w:val="24"/>
        </w:rPr>
        <w:t>muo tenka antimonopolinių teisės aktų vykdymo užtikrinimui: taip šalinami dominuojančių rinkos dalyvių elgesio sukelti iškraipymai. Puikus to pavyzdys – įmonės „Gazprom“ elgesio Vidurio ir Rytų Europoje antimonopolinis tyrimas</w:t>
      </w:r>
      <w:r>
        <w:rPr>
          <w:rStyle w:val="FootnoteReference"/>
          <w:rFonts w:ascii="Times New Roman" w:hAnsi="Times New Roman"/>
          <w:noProof/>
          <w:sz w:val="24"/>
        </w:rPr>
        <w:footnoteReference w:id="26"/>
      </w:r>
      <w:r>
        <w:rPr>
          <w:noProof/>
        </w:rPr>
        <w:t>.</w:t>
      </w:r>
    </w:p>
    <w:p w:rsidR="00E027F3" w:rsidRDefault="006D1C7A">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b/>
          <w:noProof/>
          <w:sz w:val="20"/>
          <w:szCs w:val="20"/>
        </w:rPr>
      </w:pPr>
      <w:r>
        <w:rPr>
          <w:rFonts w:ascii="Times New Roman" w:hAnsi="Times New Roman"/>
          <w:b/>
          <w:noProof/>
          <w:sz w:val="20"/>
        </w:rPr>
        <w:t>Užtikrinti, kad dominuojanč</w:t>
      </w:r>
      <w:r>
        <w:rPr>
          <w:rFonts w:ascii="Times New Roman" w:hAnsi="Times New Roman"/>
          <w:b/>
          <w:noProof/>
          <w:sz w:val="20"/>
        </w:rPr>
        <w:t>ią padėtį užimantys dujų tiekėjai laikytųsi taisyklių – „Gazprom“ tyrimas</w:t>
      </w:r>
    </w:p>
    <w:p w:rsidR="00E027F3" w:rsidRDefault="006D1C7A">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noProof/>
          <w:sz w:val="20"/>
          <w:szCs w:val="20"/>
        </w:rPr>
      </w:pPr>
      <w:r>
        <w:rPr>
          <w:rFonts w:ascii="Times New Roman" w:hAnsi="Times New Roman"/>
          <w:noProof/>
          <w:sz w:val="20"/>
        </w:rPr>
        <w:t>Balandžio mėn. Europos Komisija bendrovei „Gazprom“ pateikė prieštaravimo pareiškimą, kuriame tvirtina, kad tam tikra jos verslo praktika Vidurio ir Rytų Europos dujų rinkose yra pik</w:t>
      </w:r>
      <w:r>
        <w:rPr>
          <w:rFonts w:ascii="Times New Roman" w:hAnsi="Times New Roman"/>
          <w:noProof/>
          <w:sz w:val="20"/>
        </w:rPr>
        <w:t>tnaudžiavimas dominuojančia padėtimi rinkoje pažeidžiant ES antimonopolines taisykles. Dujos yra būtina prekė daugumos ES piliečių kasdieniame gyvenime ir Komisija laikosi preliminarios nuomonės, kad „Gazprom“ gali kliudyti konkurencijai dujų tiekimo rinko</w:t>
      </w:r>
      <w:r>
        <w:rPr>
          <w:rFonts w:ascii="Times New Roman" w:hAnsi="Times New Roman"/>
          <w:noProof/>
          <w:sz w:val="20"/>
        </w:rPr>
        <w:t>se aštuoniose Vidurio ir Rytų Europos valstybėse narėse (Bulgarijoje, Čekijoje, Estijoje, Vengrijoje, Latvijoje, Lietuvoje, Lenkijoje ir Slovakijoje). „Gazprom“ yra dominuojanti gamtinių dujų tiekėja tose šalyse: daugumoje jų šiai bendrovei priklauso daugi</w:t>
      </w:r>
      <w:r>
        <w:rPr>
          <w:rFonts w:ascii="Times New Roman" w:hAnsi="Times New Roman"/>
          <w:noProof/>
          <w:sz w:val="20"/>
        </w:rPr>
        <w:t>au kaip 50 % rinkos, o kai kuriais atvejais – iki 100 %.</w:t>
      </w:r>
    </w:p>
    <w:p w:rsidR="00E027F3" w:rsidRDefault="006D1C7A">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noProof/>
          <w:sz w:val="20"/>
          <w:szCs w:val="20"/>
        </w:rPr>
      </w:pPr>
      <w:r>
        <w:rPr>
          <w:rFonts w:ascii="Times New Roman" w:hAnsi="Times New Roman"/>
          <w:noProof/>
          <w:sz w:val="20"/>
        </w:rPr>
        <w:t xml:space="preserve">Remdamasi savo tyrimu, Komisija laikosi preliminarios nuomonės, kad „Gazprom“ galbūt pažeidžia ES antimonopolines taisykles vykdydama bendrą Vidurio ir Rytų Europos dujų rinkų suskaldymo strategiją, </w:t>
      </w:r>
      <w:r>
        <w:rPr>
          <w:rFonts w:ascii="Times New Roman" w:hAnsi="Times New Roman"/>
          <w:noProof/>
          <w:sz w:val="20"/>
        </w:rPr>
        <w:t>pavyzdžiui, mažindama savo klientų gebėjimą perparduoti dujas į užsienį. Dėl to kai kuriose valstybėse narėse „Gazprom“ galėjo taikyti nesąžiningas kainas. „Gazprom“ taip pat galėjo piktnaudžiauti dominuojančia padėtimi rinkoje dujų tiekimą susiedama su re</w:t>
      </w:r>
      <w:r>
        <w:rPr>
          <w:rFonts w:ascii="Times New Roman" w:hAnsi="Times New Roman"/>
          <w:noProof/>
          <w:sz w:val="20"/>
        </w:rPr>
        <w:t>ikalavimu didmeniniams klientams prisiimti nesusijusius įsipareigojimus dėl dujų perdavimo infrastruktūros.</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Antimonopolinių teisės aktų vykdymo užtikrinimu siekiama sukurti bendrą energijos rinką, to taip pat siekiama suardant antikonkurencinio rinkos pasi</w:t>
      </w:r>
      <w:r>
        <w:rPr>
          <w:rFonts w:ascii="Times New Roman" w:hAnsi="Times New Roman"/>
          <w:noProof/>
          <w:sz w:val="24"/>
        </w:rPr>
        <w:t>dalijimo susitarimus</w:t>
      </w:r>
      <w:r>
        <w:rPr>
          <w:rStyle w:val="FootnoteReference"/>
          <w:noProof/>
        </w:rPr>
        <w:footnoteReference w:id="27"/>
      </w:r>
      <w:r>
        <w:rPr>
          <w:rFonts w:ascii="Times New Roman" w:hAnsi="Times New Roman"/>
          <w:noProof/>
          <w:sz w:val="24"/>
        </w:rPr>
        <w:t xml:space="preserve"> ir išsaugojant prieigą prie infrastruktūros. Prieiga prie infrastruktūros yra svarbi siekiant išvengti trukdymų patekti į rinką ir išlaikyti investavimo paskatas. Vienas iš svarbių veiksmų šioje srityje būtų kovo mėn. įmonei „Bulgaria</w:t>
      </w:r>
      <w:r>
        <w:rPr>
          <w:rFonts w:ascii="Times New Roman" w:hAnsi="Times New Roman"/>
          <w:noProof/>
          <w:sz w:val="24"/>
        </w:rPr>
        <w:t>n Energy Holding“ (BEH), jos patronuojamajai dujų tiekimo įmonei „Bulgargaz“ ir jos patronuojamajai dujų infrastruktūros įmonei „Bulgartransgaz“ išsiųstas prieštaravimo pareiškimas</w:t>
      </w:r>
      <w:r>
        <w:rPr>
          <w:rStyle w:val="FootnoteReference"/>
          <w:rFonts w:ascii="Times New Roman" w:hAnsi="Times New Roman"/>
          <w:noProof/>
          <w:sz w:val="24"/>
        </w:rPr>
        <w:footnoteReference w:id="28"/>
      </w:r>
      <w:r>
        <w:rPr>
          <w:noProof/>
        </w:rPr>
        <w:t>.</w:t>
      </w:r>
      <w:r>
        <w:rPr>
          <w:rFonts w:ascii="Times New Roman" w:hAnsi="Times New Roman"/>
          <w:noProof/>
          <w:sz w:val="24"/>
        </w:rPr>
        <w:t xml:space="preserve"> </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BEH yra rinkoje įsitvirtinusi Bulgarijos valstybinė energetikos bendrovė</w:t>
      </w:r>
      <w:r>
        <w:rPr>
          <w:rFonts w:ascii="Times New Roman" w:hAnsi="Times New Roman"/>
          <w:noProof/>
          <w:sz w:val="24"/>
        </w:rPr>
        <w:t>. Ji yra vertikaliai integruota, t. y. BEH tiekia dujas, o jos patronuojamosioms bendrovėms priklauso arba jos kontroliuoja Bulgarijos dujų perdavimo vidaus tinklą, vienintelę Bulgarijos dujų saugyklą ir pagrindinio dujų įmporto į Bulgariją vamzdyno pajėgu</w:t>
      </w:r>
      <w:r>
        <w:rPr>
          <w:rFonts w:ascii="Times New Roman" w:hAnsi="Times New Roman"/>
          <w:noProof/>
          <w:sz w:val="24"/>
        </w:rPr>
        <w:t xml:space="preserve">mą. Komisija yra susirūpinusi dėl to, kad bendrovė BEH ir jos patronuojamosios bendrovės galėjo piktnaudžiauti savo dominuojančia padėtimi Bulgarijos dujų rinkoje nesuteikdamos konkurentams prieigos prie infrastruktūros, kuri yra būtina siekiant sėkmingai </w:t>
      </w:r>
      <w:r>
        <w:rPr>
          <w:rFonts w:ascii="Times New Roman" w:hAnsi="Times New Roman"/>
          <w:noProof/>
          <w:sz w:val="24"/>
        </w:rPr>
        <w:t>konkuruoti šalies dujų tiekimo rinkoje. Toks elgesys pažeistų ES antimonopolines taisykles ir dėl to sumažėtų konkurencija rinkoje, o poveikį patiriantys vartotojai naudotųsi prastesniais rinkos rezultatais.</w:t>
      </w:r>
    </w:p>
    <w:p w:rsidR="00E027F3" w:rsidRDefault="006D1C7A">
      <w:pPr>
        <w:spacing w:line="240" w:lineRule="auto"/>
        <w:jc w:val="both"/>
        <w:rPr>
          <w:rFonts w:ascii="Times New Roman" w:hAnsi="Times New Roman"/>
          <w:noProof/>
          <w:color w:val="FF0000"/>
          <w:sz w:val="24"/>
          <w:szCs w:val="24"/>
        </w:rPr>
      </w:pPr>
      <w:r>
        <w:rPr>
          <w:rFonts w:ascii="Times New Roman" w:hAnsi="Times New Roman"/>
          <w:noProof/>
          <w:sz w:val="24"/>
        </w:rPr>
        <w:t xml:space="preserve">Komisija taip pat atliko atskirą antimonopolinį </w:t>
      </w:r>
      <w:r>
        <w:rPr>
          <w:rFonts w:ascii="Times New Roman" w:hAnsi="Times New Roman"/>
          <w:noProof/>
          <w:sz w:val="24"/>
        </w:rPr>
        <w:t>tyrimą dėl BEH elgesio nereguliuojamoje Bulgarijos didmeninėje elektros energijos rinkoje</w:t>
      </w:r>
      <w:r>
        <w:rPr>
          <w:rStyle w:val="FootnoteReference"/>
          <w:rFonts w:ascii="Times New Roman" w:hAnsi="Times New Roman"/>
          <w:noProof/>
          <w:sz w:val="24"/>
        </w:rPr>
        <w:footnoteReference w:id="29"/>
      </w:r>
      <w:r>
        <w:rPr>
          <w:noProof/>
        </w:rPr>
        <w:t>.</w:t>
      </w:r>
      <w:r>
        <w:rPr>
          <w:rFonts w:ascii="Times New Roman" w:hAnsi="Times New Roman"/>
          <w:noProof/>
          <w:sz w:val="24"/>
        </w:rPr>
        <w:t xml:space="preserve"> Komisijai kilo susirūpinimas dėl to, kad BEH sudarė dirbtinių kliūčių tarp nacionalinių rinkų. Visų pirma, BEH parduodavo elektros energiją prekiautojams pagal suta</w:t>
      </w:r>
      <w:r>
        <w:rPr>
          <w:rFonts w:ascii="Times New Roman" w:hAnsi="Times New Roman"/>
          <w:noProof/>
          <w:sz w:val="24"/>
        </w:rPr>
        <w:t>rtis, kurios drausdavo jiems perparduoti elektros energiją už Bulgarijos ribų. BEH pasiūlė pašalinti Komisijos nurodytas problemas įsteigiant nepriklausomą Bulgarijos elektros energijos biržą, kurioje elektros energija būtų galima prekiauti anonimiškai, be</w:t>
      </w:r>
      <w:r>
        <w:rPr>
          <w:rFonts w:ascii="Times New Roman" w:hAnsi="Times New Roman"/>
          <w:noProof/>
          <w:sz w:val="24"/>
        </w:rPr>
        <w:t xml:space="preserve"> galimybės patikrinti, kur ji yra perparduodama. 2015 m. gruodžio 10 d. Komisija paskelbė BEH įsipareigojimus esant teisiškai privalomais.</w:t>
      </w:r>
    </w:p>
    <w:p w:rsidR="00E027F3" w:rsidRDefault="006D1C7A">
      <w:pPr>
        <w:keepNext/>
        <w:spacing w:line="240" w:lineRule="auto"/>
        <w:jc w:val="both"/>
        <w:rPr>
          <w:rFonts w:ascii="Times New Roman" w:hAnsi="Times New Roman"/>
          <w:i/>
          <w:noProof/>
          <w:sz w:val="24"/>
          <w:szCs w:val="24"/>
        </w:rPr>
      </w:pPr>
      <w:r>
        <w:rPr>
          <w:rFonts w:ascii="Times New Roman" w:hAnsi="Times New Roman"/>
          <w:i/>
          <w:noProof/>
          <w:sz w:val="24"/>
        </w:rPr>
        <w:t>Valstybės pagalbos kontrolė siekiant užtikrinti klimatui nekenkiančią ir atsparią energetikos rinką be nederamų konku</w:t>
      </w:r>
      <w:r>
        <w:rPr>
          <w:rFonts w:ascii="Times New Roman" w:hAnsi="Times New Roman"/>
          <w:i/>
          <w:noProof/>
          <w:sz w:val="24"/>
        </w:rPr>
        <w:t>rencijos iškraipymų</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Prisidedant prie perėjimo prie ekologiškos ekonomikos dar vienas svarbus konkurencijos politikos aspektas yra užtikrinti, kad rinkos veiktų tinkamai ir kad vyriausybės parama, įskaitant paramą siekiant lengviau pereiti prie atsinaujinan</w:t>
      </w:r>
      <w:r>
        <w:rPr>
          <w:rFonts w:ascii="Times New Roman" w:hAnsi="Times New Roman"/>
          <w:noProof/>
          <w:sz w:val="24"/>
        </w:rPr>
        <w:t>čiųjų energijos išteklių naudojimo, nesugriautų pusiausvyros.</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Valstybės pagalbos energetikai ir aplinkosaugai gairėse</w:t>
      </w:r>
      <w:r>
        <w:rPr>
          <w:rStyle w:val="FootnoteReference"/>
          <w:rFonts w:ascii="Times New Roman" w:hAnsi="Times New Roman"/>
          <w:noProof/>
          <w:sz w:val="24"/>
        </w:rPr>
        <w:footnoteReference w:id="30"/>
      </w:r>
      <w:r>
        <w:rPr>
          <w:rFonts w:ascii="Times New Roman" w:hAnsi="Times New Roman"/>
          <w:noProof/>
          <w:sz w:val="24"/>
        </w:rPr>
        <w:t xml:space="preserve"> Komisija skatina atsinaujinančiųjų energijos išteklių integraciją į rinką, nes tai padėtų išvengti konkurencijos iškraipymo. Nuo 2016 m. </w:t>
      </w:r>
      <w:r>
        <w:rPr>
          <w:rFonts w:ascii="Times New Roman" w:hAnsi="Times New Roman"/>
          <w:noProof/>
          <w:sz w:val="24"/>
        </w:rPr>
        <w:t>atsinaujinančiuosius išteklius naudojančios elektros energijos gamintojos turi parduoti savo elektrą tiesiogiai rinkoje. Valstybės parama gali būti teikiama tik kaip priemoka prie rinkos kainos. Be to, nuo 2017 m. valstybės narės turės teikti veiklos pagal</w:t>
      </w:r>
      <w:r>
        <w:rPr>
          <w:rFonts w:ascii="Times New Roman" w:hAnsi="Times New Roman"/>
          <w:noProof/>
          <w:sz w:val="24"/>
        </w:rPr>
        <w:t>bą taikydamos konkurencingą konkurso procedūrą.</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 xml:space="preserve">Gairės buvo parengtos siekiant prisidėti prie naujoviškų mažo anglies dioksido kiekio energijos technologijų įdiegimo rinkoje, kad rinkos nepakankamumo atveju būtų galima teikti valstybės pagalbą. Gairėse ES </w:t>
      </w:r>
      <w:r>
        <w:rPr>
          <w:rFonts w:ascii="Times New Roman" w:hAnsi="Times New Roman"/>
          <w:noProof/>
          <w:sz w:val="24"/>
        </w:rPr>
        <w:t>valstybės narės taip pat skatinamos bendradarbiauti tarpusavyje ir atsižvelgti į elektros energijos tiekimo iš kitų valstybių narių galimybes.</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Be to, vykdant valstybės pagalbos kontrolę vertinamos nacionalinės elektros tiekimo užtikrinimo priemonės (vadina</w:t>
      </w:r>
      <w:r>
        <w:rPr>
          <w:rFonts w:ascii="Times New Roman" w:hAnsi="Times New Roman"/>
          <w:noProof/>
          <w:sz w:val="24"/>
        </w:rPr>
        <w:t>mieji pajėgumų mechanizmai) ir taip prisidedama prie sujungtos, integruotos ir saugios Europos energijos rinkos kūrimo.</w:t>
      </w:r>
    </w:p>
    <w:p w:rsidR="00E027F3" w:rsidRDefault="006D1C7A">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b/>
          <w:noProof/>
          <w:sz w:val="20"/>
          <w:szCs w:val="20"/>
        </w:rPr>
      </w:pPr>
      <w:r>
        <w:rPr>
          <w:rFonts w:ascii="Times New Roman" w:hAnsi="Times New Roman"/>
          <w:b/>
          <w:noProof/>
          <w:sz w:val="20"/>
        </w:rPr>
        <w:t>Pajėgumo mechanizmų sektoriaus tyrimas siekiant energetikos sąjungos tikslų</w:t>
      </w:r>
    </w:p>
    <w:p w:rsidR="00E027F3" w:rsidRDefault="006D1C7A">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noProof/>
          <w:sz w:val="20"/>
          <w:szCs w:val="20"/>
        </w:rPr>
      </w:pPr>
      <w:r>
        <w:rPr>
          <w:rFonts w:ascii="Times New Roman" w:hAnsi="Times New Roman"/>
          <w:noProof/>
          <w:sz w:val="20"/>
        </w:rPr>
        <w:t>Balandžio mėn. Komisija pradėjo valstybės pagalbos sektoriau</w:t>
      </w:r>
      <w:r>
        <w:rPr>
          <w:rFonts w:ascii="Times New Roman" w:hAnsi="Times New Roman"/>
          <w:noProof/>
          <w:sz w:val="20"/>
        </w:rPr>
        <w:t>s tyrimą siekdama surinkti informacijos apie esamus ar planuojamus pajėgumų mechanizmus, pvz., priemones, kurių ėmėsi valstybės narės, siekdamos užtikrinti, kad elektros energijos pasiūla atitiktų paklausą vidutinės trukmės ir ilguoju laikotarpiu. Sektoria</w:t>
      </w:r>
      <w:r>
        <w:rPr>
          <w:rFonts w:ascii="Times New Roman" w:hAnsi="Times New Roman"/>
          <w:noProof/>
          <w:sz w:val="20"/>
        </w:rPr>
        <w:t>us tyrimu siekiama visų pirma įvertinti, ar tokios priemonės užtikrina elektros energijos tiekimo saugumą neiškreipdamos elektros energijos tiekėjų konkurencijos ir netrukdydamos tarpvalstybinei prekybai.</w:t>
      </w:r>
    </w:p>
    <w:p w:rsidR="00E027F3" w:rsidRDefault="006D1C7A">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noProof/>
          <w:sz w:val="20"/>
          <w:szCs w:val="20"/>
        </w:rPr>
      </w:pPr>
      <w:r>
        <w:rPr>
          <w:rFonts w:ascii="Times New Roman" w:hAnsi="Times New Roman"/>
          <w:noProof/>
          <w:sz w:val="20"/>
        </w:rPr>
        <w:t>Šis sektoriaus tyrimas yra pirmasis pagal ES valsty</w:t>
      </w:r>
      <w:r>
        <w:rPr>
          <w:rFonts w:ascii="Times New Roman" w:hAnsi="Times New Roman"/>
          <w:noProof/>
          <w:sz w:val="20"/>
        </w:rPr>
        <w:t>bės pagalbos taisykles vykdomas tyrimas ir apima tipinę grupę valstybių narių, kurios yra įdiegusius pajėgumų mechanizmus arba ketina tai padaryti, konkrečiai, Belgiją, Kroatiją, Daniją, Prancūziją, Vokietiją, Airiją, Italiją, Lenkiją, Portugaliją, Ispanij</w:t>
      </w:r>
      <w:r>
        <w:rPr>
          <w:rFonts w:ascii="Times New Roman" w:hAnsi="Times New Roman"/>
          <w:noProof/>
          <w:sz w:val="20"/>
        </w:rPr>
        <w:t>ą ir Švediją. Nors vyriausybės turi teisėtą interesą užtikrinti pakankamą elektros energijos tiekimą, įgyvendinama konkurencijos politika, siekiant išvengti pertrūkių, turėtų būti užtikrinama, kad viešosiomis priemonėmis būtų remiamos investicijos į elektr</w:t>
      </w:r>
      <w:r>
        <w:rPr>
          <w:rFonts w:ascii="Times New Roman" w:hAnsi="Times New Roman"/>
          <w:noProof/>
          <w:sz w:val="20"/>
        </w:rPr>
        <w:t>os energijos tiekimą, tos priemonės būtų suderintos su išmetamo anglies dioksido kiekio mažinimą skatinančiomis politikos priemonėmis, ir jas taikant nebūtų nepagrįstai suteikiamas pranašumas tam tikriems gamintojams ar technologijoms.</w:t>
      </w:r>
    </w:p>
    <w:p w:rsidR="00E027F3" w:rsidRDefault="006D1C7A">
      <w:pPr>
        <w:spacing w:line="240" w:lineRule="auto"/>
        <w:jc w:val="both"/>
        <w:rPr>
          <w:rFonts w:ascii="Times New Roman" w:hAnsi="Times New Roman"/>
          <w:i/>
          <w:iCs/>
          <w:noProof/>
          <w:sz w:val="24"/>
          <w:szCs w:val="24"/>
        </w:rPr>
      </w:pPr>
      <w:r>
        <w:rPr>
          <w:rFonts w:ascii="Times New Roman" w:hAnsi="Times New Roman"/>
          <w:i/>
          <w:noProof/>
          <w:sz w:val="24"/>
        </w:rPr>
        <w:t xml:space="preserve">Siekiant išlaikyti </w:t>
      </w:r>
      <w:r>
        <w:rPr>
          <w:rFonts w:ascii="Times New Roman" w:hAnsi="Times New Roman"/>
          <w:i/>
          <w:noProof/>
          <w:sz w:val="24"/>
        </w:rPr>
        <w:t>Europą patrauklia vieta investuoti, vykdoma susijungimų energetikos sektoriuje kontrolė</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Labai svarbu išvengti, kad tinklų pramonės šakose, pvz., energetikos sektoriuje, nesusidarytų rinkos struktūros, kurios kliudytų veiksmingai konkurencijai ir taip mažin</w:t>
      </w:r>
      <w:r>
        <w:rPr>
          <w:rFonts w:ascii="Times New Roman" w:hAnsi="Times New Roman"/>
          <w:noProof/>
          <w:sz w:val="24"/>
        </w:rPr>
        <w:t>tų paskatas investuoti ir diegti naujoves. ES susijungimų kontrolė išliko veiksminga priemone siekiant išlaikyti ES energijos rinką atvirą ir užtikrinant, kad investicijos lemtų geresnius rinkos rezultatus ES įmonėms ir namų ūkiams.</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Atlikusi nuodugnią apžv</w:t>
      </w:r>
      <w:r>
        <w:rPr>
          <w:rFonts w:ascii="Times New Roman" w:hAnsi="Times New Roman"/>
          <w:noProof/>
          <w:sz w:val="24"/>
        </w:rPr>
        <w:t>algą ir labai artimai bendradarbiaudama su JAV Teisingumo ministerijos Konkurencijos priežiūros skyriumi, Komisija, remdamasi ES susijungimų reglamentu, patvirtino pasiūlymą, pagal kurį JAV įsisteigusi bendrovė „General Electric“ (GE) įsigyja Prancūzijos e</w:t>
      </w:r>
      <w:r>
        <w:rPr>
          <w:rFonts w:ascii="Times New Roman" w:hAnsi="Times New Roman"/>
          <w:noProof/>
          <w:sz w:val="24"/>
        </w:rPr>
        <w:t>nergijos įmonę „ALSTOM Energy“</w:t>
      </w:r>
      <w:r>
        <w:rPr>
          <w:rStyle w:val="FootnoteReference"/>
          <w:rFonts w:ascii="Times New Roman" w:hAnsi="Times New Roman"/>
          <w:noProof/>
          <w:sz w:val="24"/>
        </w:rPr>
        <w:footnoteReference w:id="31"/>
      </w:r>
      <w:r>
        <w:rPr>
          <w:noProof/>
        </w:rPr>
        <w:t>.</w:t>
      </w:r>
      <w:r>
        <w:rPr>
          <w:rFonts w:ascii="Times New Roman" w:hAnsi="Times New Roman"/>
          <w:noProof/>
          <w:sz w:val="24"/>
        </w:rPr>
        <w:t xml:space="preserve"> Sandoris yra geras pavyzdys, kaip ES sukurtos technologijos gali klestėti ir pritraukti užsienio investicijas.</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Patvirtinimas suteiktas su sąlyga, kad „Alstom“ didelės galios dujų turbinų, kurios yra daugiausiai naudojamos d</w:t>
      </w:r>
      <w:r>
        <w:rPr>
          <w:rFonts w:ascii="Times New Roman" w:hAnsi="Times New Roman"/>
          <w:noProof/>
          <w:sz w:val="24"/>
        </w:rPr>
        <w:t>ujomis kūrenamose elektrinėse, verslo pagrindiniai padaliniai bus perleisti bendrovei „Ansaldo“ Italijoje. Komisija buvo susirūpinusi, kad sudarius sandorį būtų pašalintas vienas iš pagrindinių GE pasaulinio lygmens konkurentų didelės galios dujų turbinų r</w:t>
      </w:r>
      <w:r>
        <w:rPr>
          <w:rFonts w:ascii="Times New Roman" w:hAnsi="Times New Roman"/>
          <w:noProof/>
          <w:sz w:val="24"/>
        </w:rPr>
        <w:t>inkoje, kurioje įmonė GE yra didžiausia gamintoja pasaulyje, o „Alstom“ – viena iš svarbiausių rinkos dalyvių pasaulyje. Tai nulemtų investicijų sumažėjimą ir didesnes kainas. GE pasiūlytais įsipareigojimais šios problemos yra pašalinamos. Be to, pažangi d</w:t>
      </w:r>
      <w:r>
        <w:rPr>
          <w:rFonts w:ascii="Times New Roman" w:hAnsi="Times New Roman"/>
          <w:noProof/>
          <w:sz w:val="24"/>
        </w:rPr>
        <w:t>idelio galingumo dujų turbinų technologija yra itin svarbi siekiant įgyvendinti kovos su klimato kaita tikslus ir modernizuoti ES energijos tiekimą.</w:t>
      </w:r>
    </w:p>
    <w:p w:rsidR="00E027F3" w:rsidRDefault="006D1C7A">
      <w:pPr>
        <w:numPr>
          <w:ilvl w:val="0"/>
          <w:numId w:val="3"/>
        </w:numPr>
        <w:spacing w:line="240" w:lineRule="auto"/>
        <w:jc w:val="both"/>
        <w:rPr>
          <w:rFonts w:ascii="Times New Roman" w:hAnsi="Times New Roman"/>
          <w:b/>
          <w:noProof/>
          <w:sz w:val="24"/>
          <w:szCs w:val="24"/>
        </w:rPr>
      </w:pPr>
      <w:r>
        <w:rPr>
          <w:rFonts w:ascii="Times New Roman" w:hAnsi="Times New Roman"/>
          <w:b/>
          <w:noProof/>
          <w:sz w:val="24"/>
        </w:rPr>
        <w:t>Siekiant stipresnės ir teisingesnės ES bendrosios rinkos</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Intensyvėjančios globalizacijos laikais gilesnė ir</w:t>
      </w:r>
      <w:r>
        <w:rPr>
          <w:rFonts w:ascii="Times New Roman" w:hAnsi="Times New Roman"/>
          <w:noProof/>
          <w:sz w:val="24"/>
        </w:rPr>
        <w:t xml:space="preserve"> teisingesnė bendroji rinka yra pagrindinis turtas siekiant sukurti tvirtesnę ES ekonomiką, kuri skatina darbo vietų kūrimą ir ekonomikos augimą. Dėl šios priežasties bendrosios rinkos integravimo pažanga yra viena svarbiausių Komisijos darbotvarkės temų. </w:t>
      </w:r>
      <w:r>
        <w:rPr>
          <w:rFonts w:ascii="Times New Roman" w:hAnsi="Times New Roman"/>
          <w:noProof/>
          <w:sz w:val="24"/>
        </w:rPr>
        <w:t>Komisijos tikslas – suteikti naujų galimybių piliečiams ir įmonėms, leidžiant asmenims, prekėms, paslaugoms ir kapitalui laisviau judėti bendrojoje rinkoje.</w:t>
      </w:r>
    </w:p>
    <w:p w:rsidR="00E027F3" w:rsidRDefault="006D1C7A">
      <w:pPr>
        <w:spacing w:line="240" w:lineRule="auto"/>
        <w:jc w:val="both"/>
        <w:rPr>
          <w:rFonts w:ascii="Times New Roman" w:hAnsi="Times New Roman"/>
          <w:i/>
          <w:noProof/>
          <w:sz w:val="24"/>
          <w:szCs w:val="24"/>
        </w:rPr>
      </w:pPr>
      <w:r>
        <w:rPr>
          <w:rFonts w:ascii="Times New Roman" w:hAnsi="Times New Roman"/>
          <w:i/>
          <w:noProof/>
          <w:sz w:val="24"/>
        </w:rPr>
        <w:t>Didesnis apmokestinimo skaidrumas ir teisingos mokesčių naštos užtikrinimas visiems</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Kad bendroji ri</w:t>
      </w:r>
      <w:r>
        <w:rPr>
          <w:rFonts w:ascii="Times New Roman" w:hAnsi="Times New Roman"/>
          <w:noProof/>
          <w:sz w:val="24"/>
        </w:rPr>
        <w:t>nka veiktų visapusiškai, reikia, jog visi rinkos dalyviai (dideli ir maži, vietos ir pasauliniai) sąžiningai mokėtų jiems tenkančią mokesčių dalį. Todėl vienas iš pagrindinių J.-C. Junckerio vadovaujamos Komisijos  prioritetų yra kova su mokesčių slėpimu i</w:t>
      </w:r>
      <w:r>
        <w:rPr>
          <w:rFonts w:ascii="Times New Roman" w:hAnsi="Times New Roman"/>
          <w:noProof/>
          <w:sz w:val="24"/>
        </w:rPr>
        <w:t>r mokestiniu sukčiavimu – tai taip pat yra viena iš svarbiausių iniciatyvų siekiant ES bendrosios rinkos kūrimo pažangos.</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Kovo mėn. Komisija pristatė mokesčių skaidrumo teisės aktų rinkinį</w:t>
      </w:r>
      <w:r>
        <w:rPr>
          <w:rStyle w:val="FootnoteReference"/>
          <w:rFonts w:ascii="Times New Roman" w:hAnsi="Times New Roman"/>
          <w:noProof/>
          <w:sz w:val="24"/>
        </w:rPr>
        <w:footnoteReference w:id="32"/>
      </w:r>
      <w:r>
        <w:rPr>
          <w:rFonts w:ascii="Times New Roman" w:hAnsi="Times New Roman"/>
          <w:noProof/>
          <w:sz w:val="24"/>
        </w:rPr>
        <w:t>, kuriuo siekiama užtikrinti, kad valstybės narės turėtų informacij</w:t>
      </w:r>
      <w:r>
        <w:rPr>
          <w:rFonts w:ascii="Times New Roman" w:hAnsi="Times New Roman"/>
          <w:noProof/>
          <w:sz w:val="24"/>
        </w:rPr>
        <w:t>ą, kuri joms reikalinga savo mokesčių bazėms apsaugoti ir imtis veiksmingų veiksmų bendrovių, kurios bando išvengti teisingos mokesčių naštos, atžvilgiu. Birželio mėn. šis teisės aktų rinkinys buvo papildytas Komisijos sąžiningo ir veiksmingo apmokestinimo</w:t>
      </w:r>
      <w:r>
        <w:rPr>
          <w:rFonts w:ascii="Times New Roman" w:hAnsi="Times New Roman"/>
          <w:noProof/>
          <w:sz w:val="24"/>
        </w:rPr>
        <w:t xml:space="preserve"> veiksmų planu</w:t>
      </w:r>
      <w:r>
        <w:rPr>
          <w:rStyle w:val="FootnoteReference"/>
          <w:rFonts w:ascii="Times New Roman" w:hAnsi="Times New Roman"/>
          <w:noProof/>
          <w:sz w:val="24"/>
        </w:rPr>
        <w:footnoteReference w:id="33"/>
      </w:r>
      <w:r>
        <w:rPr>
          <w:noProof/>
        </w:rPr>
        <w:t>.</w:t>
      </w:r>
      <w:r>
        <w:rPr>
          <w:rFonts w:ascii="Times New Roman" w:hAnsi="Times New Roman"/>
          <w:noProof/>
          <w:sz w:val="24"/>
        </w:rPr>
        <w:t xml:space="preserve"> Veiksmų plane pristatytos įvairios kovos su mokesčių vengimu, tvarių pajamų užtikrinimo ir bendrosios rinkos sustiprinimo įmonėms iniciatyvos. Įgyvendinus visas šias priemones, Europos Sąjungoje iš esmės pagerės įmonių pelno mokesčio aplin</w:t>
      </w:r>
      <w:r>
        <w:rPr>
          <w:rFonts w:ascii="Times New Roman" w:hAnsi="Times New Roman"/>
          <w:noProof/>
          <w:sz w:val="24"/>
        </w:rPr>
        <w:t>ka: ji taps teisingesnė, veiksmingesnė ir palankesnė ekonomikos augimui.</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Sprendžiant šią problemą esminis vaidmuo tenka konkurencijos politikai. Po išsamių tyrimų, kurie buvo pradėti 2014 m. birželio mėn., Komisija padarė išvadą, kad Liuksemburgas ir Nyder</w:t>
      </w:r>
      <w:r>
        <w:rPr>
          <w:rFonts w:ascii="Times New Roman" w:hAnsi="Times New Roman"/>
          <w:noProof/>
          <w:sz w:val="24"/>
        </w:rPr>
        <w:t>landai suteikė atrankiąsias mokesčių lengvatas (neteisėta pagal ES valstybės pagalbos taisykles) bendrovėms „Fiat Finance and Trade“</w:t>
      </w:r>
      <w:r>
        <w:rPr>
          <w:rStyle w:val="FootnoteReference"/>
          <w:rFonts w:ascii="Times New Roman" w:hAnsi="Times New Roman"/>
          <w:noProof/>
          <w:sz w:val="24"/>
        </w:rPr>
        <w:footnoteReference w:id="34"/>
      </w:r>
      <w:r>
        <w:rPr>
          <w:rFonts w:ascii="Times New Roman" w:hAnsi="Times New Roman"/>
          <w:noProof/>
          <w:sz w:val="24"/>
        </w:rPr>
        <w:t xml:space="preserve"> ir „Starbucks“</w:t>
      </w:r>
      <w:r>
        <w:rPr>
          <w:rStyle w:val="FootnoteReference"/>
          <w:rFonts w:ascii="Times New Roman" w:hAnsi="Times New Roman"/>
          <w:noProof/>
          <w:sz w:val="24"/>
        </w:rPr>
        <w:footnoteReference w:id="35"/>
      </w:r>
      <w:r>
        <w:rPr>
          <w:noProof/>
        </w:rPr>
        <w:t>.</w:t>
      </w:r>
      <w:r>
        <w:rPr>
          <w:rFonts w:ascii="Times New Roman" w:hAnsi="Times New Roman"/>
          <w:noProof/>
          <w:sz w:val="24"/>
        </w:rPr>
        <w:t xml:space="preserve"> Atitinkamų nacionalinių mokesčių administratorių priimtais sprendimais dėl mokesčių dirbtinai sumažinti a</w:t>
      </w:r>
      <w:r>
        <w:rPr>
          <w:rFonts w:ascii="Times New Roman" w:hAnsi="Times New Roman"/>
          <w:noProof/>
          <w:sz w:val="24"/>
        </w:rPr>
        <w:t>biejų šių bendrovių mokami mokesčiai</w:t>
      </w:r>
      <w:r>
        <w:rPr>
          <w:rStyle w:val="FootnoteReference"/>
          <w:rFonts w:ascii="Times New Roman" w:hAnsi="Times New Roman"/>
          <w:noProof/>
          <w:sz w:val="24"/>
        </w:rPr>
        <w:footnoteReference w:id="36"/>
      </w:r>
      <w:r>
        <w:rPr>
          <w:noProof/>
        </w:rPr>
        <w:t xml:space="preserve">. </w:t>
      </w:r>
      <w:r>
        <w:rPr>
          <w:rFonts w:ascii="Times New Roman" w:hAnsi="Times New Roman"/>
          <w:noProof/>
          <w:sz w:val="24"/>
        </w:rPr>
        <w:t>Pagal ES valstybės pagalbos taisykles sprendimuose dėl mokesčių negalima naudoti metodų (nesvarbu, kokio jie sudėtingumo), kuriais nustatomos ekonomiškai nepagrįstos sandorių kainos ir dėl kurių neteisingai perkeliama</w:t>
      </w:r>
      <w:r>
        <w:rPr>
          <w:rFonts w:ascii="Times New Roman" w:hAnsi="Times New Roman"/>
          <w:noProof/>
          <w:sz w:val="24"/>
        </w:rPr>
        <w:t>s pelnas, kad bendrovė mokėtų mažiau mokesčių. Tai suteiktų bendrovei nesąžiningą konkurencinį pranašumą kitų bendrovių (paprastai MVĮ) atžvilgiu, nes pastarosios, už naudojamas prekes ir paslaugas atsiskaitydamos rinkos kainomis, moka mokestį už savo fakt</w:t>
      </w:r>
      <w:r>
        <w:rPr>
          <w:rFonts w:ascii="Times New Roman" w:hAnsi="Times New Roman"/>
          <w:noProof/>
          <w:sz w:val="24"/>
        </w:rPr>
        <w:t>inį pelną.</w:t>
      </w:r>
    </w:p>
    <w:p w:rsidR="00E027F3" w:rsidRDefault="006D1C7A">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b/>
          <w:noProof/>
          <w:sz w:val="20"/>
          <w:szCs w:val="20"/>
        </w:rPr>
      </w:pPr>
      <w:r>
        <w:rPr>
          <w:rFonts w:ascii="Times New Roman" w:hAnsi="Times New Roman"/>
          <w:b/>
          <w:noProof/>
          <w:sz w:val="20"/>
        </w:rPr>
        <w:t>Kova su nesąžiningomis mokesčių lengvatomis – sprendimai dėl „Starbucks“ ir „Fiat Finance &amp; Trade“</w:t>
      </w:r>
    </w:p>
    <w:p w:rsidR="00E027F3" w:rsidRDefault="006D1C7A">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noProof/>
          <w:sz w:val="20"/>
          <w:szCs w:val="20"/>
        </w:rPr>
      </w:pPr>
      <w:r>
        <w:rPr>
          <w:rFonts w:ascii="Times New Roman" w:hAnsi="Times New Roman"/>
          <w:noProof/>
          <w:sz w:val="20"/>
        </w:rPr>
        <w:t xml:space="preserve">Sprendimai dėl mokesčių yra visiškai teisėti. Tačiau „Starbucks“ ir „Fiat Finance &amp; Trade“ bylose dviem sprendimais dėl mokesčių patvirtinti </w:t>
      </w:r>
      <w:r>
        <w:rPr>
          <w:rFonts w:ascii="Times New Roman" w:hAnsi="Times New Roman"/>
          <w:noProof/>
          <w:sz w:val="20"/>
        </w:rPr>
        <w:t xml:space="preserve">dirbtiniai ir sudėtingi metodai, kaip nustatyti bendrovių apmokestinamąjį pelną. Taikant tokius metodus nustatomos rinkos sąlygų neatitinkančias prekių ir paslaugų, kurias vienos kitoms parduoda grupių „Fiat“ ir „Starbucks“ bendrovės, kainos (vadinamosios </w:t>
      </w:r>
      <w:r>
        <w:rPr>
          <w:rFonts w:ascii="Times New Roman" w:hAnsi="Times New Roman"/>
          <w:noProof/>
          <w:sz w:val="20"/>
        </w:rPr>
        <w:t>sandorių kainos), todėl tokios kainos neatspindi ekonominės realybės.</w:t>
      </w:r>
    </w:p>
    <w:p w:rsidR="00E027F3" w:rsidRDefault="006D1C7A">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noProof/>
          <w:sz w:val="24"/>
          <w:szCs w:val="24"/>
        </w:rPr>
      </w:pPr>
      <w:r>
        <w:rPr>
          <w:rFonts w:ascii="Times New Roman" w:hAnsi="Times New Roman"/>
          <w:noProof/>
          <w:sz w:val="20"/>
        </w:rPr>
        <w:t xml:space="preserve">ES valstybės pagalbos taisyklėse reikalaujama, kad nesuderinama valstybės pagalba būtų išieškota, siekiant sumažinti dėl tokios pagalbos atsiradusį konkurencijos iškraipymą. Dviejuose </w:t>
      </w:r>
      <w:r>
        <w:rPr>
          <w:rFonts w:ascii="Times New Roman" w:hAnsi="Times New Roman"/>
          <w:noProof/>
          <w:sz w:val="20"/>
        </w:rPr>
        <w:t>savo sprendimuose Komisija nustatė metodus, kaip apskaičiuoti nepagrįsto konkurencinio pranašumo, kurį yra įgijusios bendrovės „Fiat“ ir „Starbucks“, vertę, t. y. skirtumą tarp to, ką bendrovė sumokėjo, ir to, ką būtų turėjusi sumokėti, jei nebūtų priimtas</w:t>
      </w:r>
      <w:r>
        <w:rPr>
          <w:rFonts w:ascii="Times New Roman" w:hAnsi="Times New Roman"/>
          <w:noProof/>
          <w:sz w:val="20"/>
        </w:rPr>
        <w:t xml:space="preserve"> sprendimas dėl mokesčių. Ši suma yra maždaug 20–30 mln. eurų tiek bendrovės „Fiat“, tiek bendrovės „Starbucks“ atveju, tačiau tikslias išieškotinas sumas nustatys Liuksemburgo ir Nyderlandų mokesčių administratoriai, taikydami Komisijos sprendimuose nusta</w:t>
      </w:r>
      <w:r>
        <w:rPr>
          <w:rFonts w:ascii="Times New Roman" w:hAnsi="Times New Roman"/>
          <w:noProof/>
          <w:sz w:val="20"/>
        </w:rPr>
        <w:t>tytus metodus. Be to, bendrovės nebegalės pasinaudoti šiuose sprendimuose dėl mokesčių suteikta palankesne apmokestinimo tvarka.</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Gruodžio mėn. Komisija pradėjo oficialų tyrimą dėl Liuksemburgo valstybės taikomos apmokestinimo tvarkos bendrovei „McDonald’s“</w:t>
      </w:r>
      <w:r>
        <w:rPr>
          <w:rStyle w:val="FootnoteReference"/>
          <w:rFonts w:ascii="Times New Roman" w:hAnsi="Times New Roman"/>
          <w:noProof/>
          <w:sz w:val="24"/>
        </w:rPr>
        <w:footnoteReference w:id="37"/>
      </w:r>
      <w:r>
        <w:rPr>
          <w:noProof/>
        </w:rPr>
        <w:t xml:space="preserve">. </w:t>
      </w:r>
      <w:r>
        <w:rPr>
          <w:rFonts w:ascii="Times New Roman" w:hAnsi="Times New Roman"/>
          <w:noProof/>
          <w:sz w:val="24"/>
        </w:rPr>
        <w:t>Komisijos išankstine nuomone, gali būti, kad Liuksemburgo valdžios institucijos atrankiniu būdu nukrypo nuo Liuksemburgo mokesčių įstatymo nuostatų ir Liuksemburgo bei JAV sutarties dėl dvigubo apmokestinimo ir taip suteikė bendrovei „McDonald’s“ pranaš</w:t>
      </w:r>
      <w:r>
        <w:rPr>
          <w:rFonts w:ascii="Times New Roman" w:hAnsi="Times New Roman"/>
          <w:noProof/>
          <w:sz w:val="24"/>
        </w:rPr>
        <w:t>umo, kuriuo negalėjo pasinaudoti kitos bendrovės, kurių faktinė ir teisinė padėtis panaši.</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Komisija taip pat išreiškė susirūpinimą, kad sprendimai dėl mokesčių gali būti susiję su pagalba bendrovėms „Apple“ Airijoje</w:t>
      </w:r>
      <w:r>
        <w:rPr>
          <w:rStyle w:val="FootnoteReference"/>
          <w:rFonts w:ascii="Times New Roman" w:hAnsi="Times New Roman"/>
          <w:noProof/>
          <w:sz w:val="24"/>
        </w:rPr>
        <w:footnoteReference w:id="38"/>
      </w:r>
      <w:r>
        <w:rPr>
          <w:rFonts w:ascii="Times New Roman" w:hAnsi="Times New Roman"/>
          <w:noProof/>
          <w:sz w:val="24"/>
        </w:rPr>
        <w:t xml:space="preserve"> ir „Amazon“ Liuksemburge</w:t>
      </w:r>
      <w:r>
        <w:rPr>
          <w:rStyle w:val="FootnoteReference"/>
          <w:rFonts w:ascii="Times New Roman" w:hAnsi="Times New Roman"/>
          <w:noProof/>
          <w:sz w:val="24"/>
        </w:rPr>
        <w:footnoteReference w:id="39"/>
      </w:r>
      <w:r>
        <w:rPr>
          <w:noProof/>
        </w:rPr>
        <w:t>.</w:t>
      </w:r>
      <w:r>
        <w:rPr>
          <w:rFonts w:ascii="Times New Roman" w:hAnsi="Times New Roman"/>
          <w:noProof/>
          <w:sz w:val="24"/>
        </w:rPr>
        <w:t xml:space="preserve"> 2015 m. vasa</w:t>
      </w:r>
      <w:r>
        <w:rPr>
          <w:rFonts w:ascii="Times New Roman" w:hAnsi="Times New Roman"/>
          <w:noProof/>
          <w:sz w:val="24"/>
        </w:rPr>
        <w:t>rio mėn. pradėtas papildomas išsamus tyrimas dėl Belgijos perviršinio pelno mokesčio priėmimo praktikos</w:t>
      </w:r>
      <w:r>
        <w:rPr>
          <w:rStyle w:val="FootnoteReference"/>
          <w:rFonts w:ascii="Times New Roman" w:hAnsi="Times New Roman"/>
          <w:noProof/>
          <w:sz w:val="24"/>
        </w:rPr>
        <w:footnoteReference w:id="40"/>
      </w:r>
      <w:r>
        <w:rPr>
          <w:noProof/>
        </w:rPr>
        <w:t>.</w:t>
      </w:r>
      <w:r>
        <w:rPr>
          <w:rFonts w:ascii="Times New Roman" w:hAnsi="Times New Roman"/>
          <w:noProof/>
          <w:sz w:val="24"/>
        </w:rPr>
        <w:t xml:space="preserve"> 2016 m. sausio 11 d. Komisija priėmė neigiamą sprendimą, kuriame nurodė susigrąžinti lėšas, ir daro išvadą, kad Belgijos pagal jos perviršinio pelno m</w:t>
      </w:r>
      <w:r>
        <w:rPr>
          <w:rFonts w:ascii="Times New Roman" w:hAnsi="Times New Roman"/>
          <w:noProof/>
          <w:sz w:val="24"/>
        </w:rPr>
        <w:t>okesčių sistemą suteiktos atrankinės mokesčių lengvatos yra neteisėtos pagal ES valstybės pagalbos taisykles ir nurodo jas išieškoti</w:t>
      </w:r>
      <w:r>
        <w:rPr>
          <w:rStyle w:val="FootnoteReference"/>
          <w:rFonts w:ascii="Times New Roman" w:hAnsi="Times New Roman"/>
          <w:noProof/>
          <w:sz w:val="24"/>
        </w:rPr>
        <w:footnoteReference w:id="41"/>
      </w:r>
      <w:r>
        <w:rPr>
          <w:noProof/>
        </w:rPr>
        <w:t>.</w:t>
      </w:r>
      <w:r>
        <w:rPr>
          <w:rFonts w:ascii="Times New Roman" w:hAnsi="Times New Roman"/>
          <w:noProof/>
          <w:sz w:val="24"/>
        </w:rPr>
        <w:t xml:space="preserve"> Tuo pačiu Komisija toliau nagrinėja sprendimų dėl mokesčių praktiką visose ES valstybėse narėse</w:t>
      </w:r>
      <w:r>
        <w:rPr>
          <w:rStyle w:val="FootnoteReference"/>
          <w:rFonts w:ascii="Times New Roman" w:hAnsi="Times New Roman"/>
          <w:noProof/>
          <w:sz w:val="24"/>
        </w:rPr>
        <w:footnoteReference w:id="42"/>
      </w:r>
      <w:r>
        <w:rPr>
          <w:noProof/>
        </w:rPr>
        <w:t>.</w:t>
      </w:r>
      <w:r>
        <w:rPr>
          <w:rFonts w:ascii="Times New Roman" w:hAnsi="Times New Roman"/>
          <w:noProof/>
          <w:sz w:val="24"/>
        </w:rPr>
        <w:t xml:space="preserve"> </w:t>
      </w:r>
    </w:p>
    <w:p w:rsidR="00E027F3" w:rsidRDefault="006D1C7A">
      <w:pPr>
        <w:spacing w:line="240" w:lineRule="auto"/>
        <w:jc w:val="both"/>
        <w:rPr>
          <w:rFonts w:ascii="Times New Roman" w:hAnsi="Times New Roman"/>
          <w:i/>
          <w:noProof/>
          <w:sz w:val="24"/>
          <w:szCs w:val="24"/>
        </w:rPr>
      </w:pPr>
      <w:r>
        <w:rPr>
          <w:rFonts w:ascii="Times New Roman" w:hAnsi="Times New Roman"/>
          <w:i/>
          <w:noProof/>
          <w:sz w:val="24"/>
        </w:rPr>
        <w:t>Didesnių galių suteiki</w:t>
      </w:r>
      <w:r>
        <w:rPr>
          <w:rFonts w:ascii="Times New Roman" w:hAnsi="Times New Roman"/>
          <w:i/>
          <w:noProof/>
          <w:sz w:val="24"/>
        </w:rPr>
        <w:t>mas ES nacionalinėms konkurencijos institucijoms, kad jos taptų veiksmingesnėmis vykdymo užtikrinimo institucijomis</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Kitas svarbus aspektas siekiant sukurti iš tikrųjų vienodas sąlygas bendrovėms bendrojoje rinkoje yra užtikrinimas, kad įmonės galėtų kliaut</w:t>
      </w:r>
      <w:r>
        <w:rPr>
          <w:rFonts w:ascii="Times New Roman" w:hAnsi="Times New Roman"/>
          <w:noProof/>
          <w:sz w:val="24"/>
        </w:rPr>
        <w:t>is tuo, kad ES konkurencijos taisyklės taikomos nuosekliai, nesvarbu kokioje valstybėje narėje jos vykdytų veiklą. Šiuo požiūriu nacionalinių konkurencijos institucijų vaidmuo yra labai svarbus. 2004 m. įsigaliojęs Reglamentas Nr. 1/2003</w:t>
      </w:r>
      <w:r>
        <w:rPr>
          <w:rStyle w:val="FootnoteReference"/>
          <w:rFonts w:ascii="Times New Roman" w:hAnsi="Times New Roman"/>
          <w:noProof/>
          <w:sz w:val="24"/>
        </w:rPr>
        <w:footnoteReference w:id="43"/>
      </w:r>
      <w:r>
        <w:rPr>
          <w:rFonts w:ascii="Times New Roman" w:hAnsi="Times New Roman"/>
          <w:noProof/>
          <w:sz w:val="24"/>
        </w:rPr>
        <w:t xml:space="preserve"> pakeitė konkurenc</w:t>
      </w:r>
      <w:r>
        <w:rPr>
          <w:rFonts w:ascii="Times New Roman" w:hAnsi="Times New Roman"/>
          <w:noProof/>
          <w:sz w:val="24"/>
        </w:rPr>
        <w:t>ijos teisės aktų vykdymo užtikrinimo pobūdį, nes nacionalinėms konkurencijos institucijoms ir nacionaliniams teismams buvo suteiktas svarbus vaidmuo kartu su Komisija užtikrinti antimonopolinių taisyklių vykdymo užtikrinimą. ES konkurencijos taisyklės daba</w:t>
      </w:r>
      <w:r>
        <w:rPr>
          <w:rFonts w:ascii="Times New Roman" w:hAnsi="Times New Roman"/>
          <w:noProof/>
          <w:sz w:val="24"/>
        </w:rPr>
        <w:t>r taikomos tokiu mastu, kokio Komisija niekada nebūtų galėjusi pasiekti savarankiškai, be to,daug išsamiau ir veiksmingiau, nei būtų buvę įmanoma kitu atveju.</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2014 m. Komisijos komunikate „Antimonopolinių nuostatų vykdymo užtikrinimo pagal Reglamentą Nr. 1</w:t>
      </w:r>
      <w:r>
        <w:rPr>
          <w:rFonts w:ascii="Times New Roman" w:hAnsi="Times New Roman"/>
          <w:noProof/>
          <w:sz w:val="24"/>
        </w:rPr>
        <w:t>/2003 dešimtmetis“</w:t>
      </w:r>
      <w:r>
        <w:rPr>
          <w:rStyle w:val="FootnoteReference"/>
          <w:rFonts w:ascii="Times New Roman" w:hAnsi="Times New Roman"/>
          <w:noProof/>
          <w:sz w:val="24"/>
        </w:rPr>
        <w:footnoteReference w:id="44"/>
      </w:r>
      <w:r>
        <w:rPr>
          <w:rFonts w:ascii="Times New Roman" w:hAnsi="Times New Roman"/>
          <w:noProof/>
          <w:sz w:val="24"/>
        </w:rPr>
        <w:t xml:space="preserve"> nustatytos kelios konkrečios veiksmų sritys siekiant padidinti nacionalinių konkurencijos institucijų vykdymo užtikrinimo įgaliojimus ir nacionalinių sistemų konvergenciją. Dabar Komisija svarsto, ar galima būtų dar labiau pagerinti nac</w:t>
      </w:r>
      <w:r>
        <w:rPr>
          <w:rFonts w:ascii="Times New Roman" w:hAnsi="Times New Roman"/>
          <w:noProof/>
          <w:sz w:val="24"/>
        </w:rPr>
        <w:t>ionalinėms konkurencijos institucijoms pateiktą naudoti priemonių rinkinį. 2015 m. lapkričio mėn. Komisija pradėjo tikslines viešąsias konsultacijas, į kurias pakvietė plačiąją visuomenę ir suinteresuotuosius subjektus dalytis patirtimi ir teikti grįžtamąj</w:t>
      </w:r>
      <w:r>
        <w:rPr>
          <w:rFonts w:ascii="Times New Roman" w:hAnsi="Times New Roman"/>
          <w:noProof/>
          <w:sz w:val="24"/>
        </w:rPr>
        <w:t>ą informaciją apie galimus ES teisėkūros veiksmus siekiant dar labiau sustiprinti nacionalinių valdžios institucijų teisės aktų vykdymo užtikrinimą ir sankcijų priemones.</w:t>
      </w:r>
    </w:p>
    <w:p w:rsidR="00E027F3" w:rsidRDefault="006D1C7A">
      <w:pPr>
        <w:spacing w:line="240" w:lineRule="auto"/>
        <w:jc w:val="both"/>
        <w:rPr>
          <w:rFonts w:ascii="Times New Roman" w:hAnsi="Times New Roman"/>
          <w:i/>
          <w:noProof/>
          <w:sz w:val="24"/>
          <w:szCs w:val="24"/>
        </w:rPr>
      </w:pPr>
      <w:r>
        <w:rPr>
          <w:rFonts w:ascii="Times New Roman" w:hAnsi="Times New Roman"/>
          <w:i/>
          <w:noProof/>
          <w:sz w:val="24"/>
        </w:rPr>
        <w:t>Dėl išardytų kartelinių susitarimų ES vartotojai įgyja daugiau galių</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Sąžininga, skaid</w:t>
      </w:r>
      <w:r>
        <w:rPr>
          <w:rFonts w:ascii="Times New Roman" w:hAnsi="Times New Roman"/>
          <w:noProof/>
          <w:sz w:val="24"/>
        </w:rPr>
        <w:t>ri ir atvira bendroji rinka yra naudinga ES įmonėms ir valstybių narių ekonomikai, o labiausiai – Europos piliečiams. Akivaizdus pavyzdys yra Europos Komisijos darbas siekiant užtikrinti kovos su karteliniais susitarimais teisės aktų vykdymą. Gerai veikian</w:t>
      </w:r>
      <w:r>
        <w:rPr>
          <w:rFonts w:ascii="Times New Roman" w:hAnsi="Times New Roman"/>
          <w:noProof/>
          <w:sz w:val="24"/>
        </w:rPr>
        <w:t>čioje bendrojoje rinkoje bendrovės skatinamos būti veiksmingesnėmis ir novatoriškesnėms nei jų konkurentės ir tai suteikia naudos ES vartotojams, nes jie gauna geresnius produktus mažesnėmis kainomis. Karteliniai susitarimai daro žalą vartotojams ir ekonom</w:t>
      </w:r>
      <w:r>
        <w:rPr>
          <w:rFonts w:ascii="Times New Roman" w:hAnsi="Times New Roman"/>
          <w:noProof/>
          <w:sz w:val="24"/>
        </w:rPr>
        <w:t>ikai apskritai, nes kainas nustato ne rinka, o bendrovės.</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Birželio mėn. Komisija skyrė iš viso daugiau kaip 115 mln. EUR baudą aštuoniems mažmeninei prekybai maistu skirtų pakavimo padėklų gamintojams ir dviem platintojams dėl to, kad jie dalyvavo mažiausi</w:t>
      </w:r>
      <w:r>
        <w:rPr>
          <w:rFonts w:ascii="Times New Roman" w:hAnsi="Times New Roman"/>
          <w:noProof/>
          <w:sz w:val="24"/>
        </w:rPr>
        <w:t>ai viename iš penkių kartelinių susitarimų</w:t>
      </w:r>
      <w:r>
        <w:rPr>
          <w:rStyle w:val="FootnoteReference"/>
          <w:rFonts w:ascii="Times New Roman" w:hAnsi="Times New Roman"/>
          <w:noProof/>
          <w:sz w:val="24"/>
        </w:rPr>
        <w:footnoteReference w:id="45"/>
      </w:r>
      <w:r>
        <w:rPr>
          <w:noProof/>
        </w:rPr>
        <w:t>.</w:t>
      </w:r>
      <w:r>
        <w:rPr>
          <w:rFonts w:ascii="Times New Roman" w:hAnsi="Times New Roman"/>
          <w:noProof/>
          <w:sz w:val="24"/>
        </w:rPr>
        <w:t xml:space="preserve"> Tie aštuoni gamintojai buvo „Huhtamäki“ (Suomija), „Nespak“ ir „Vitembal“ (Prancūzija), „Silver Plastics“ (Vokietija), „Coopbox“, „Magic Pack“ ir „Sirap-Gema“ (Italija) ir „Linpac“ (Jungtinė Karalystė), du plati</w:t>
      </w:r>
      <w:r>
        <w:rPr>
          <w:rFonts w:ascii="Times New Roman" w:hAnsi="Times New Roman"/>
          <w:noProof/>
          <w:sz w:val="24"/>
        </w:rPr>
        <w:t>ntojai – „Ovarpack“ (Portugalija) ir „Propack“ (Jungtinė Karalystė).</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Užuot konkuravusios, bendrovės, pažeisdamos ES antimonopolines taisykles, susitarė dėl polistirolo putų ir polipropileno standžiųjų padėklų kainų nustatymo ir klientų pasidalijimo ir taip</w:t>
      </w:r>
      <w:r>
        <w:rPr>
          <w:rFonts w:ascii="Times New Roman" w:hAnsi="Times New Roman"/>
          <w:noProof/>
          <w:sz w:val="24"/>
        </w:rPr>
        <w:t xml:space="preserve"> padarė poveikį milijonams maistą perkančių vartotojų. Polistirolo putų ir polipropileno standieji padėklai yra naudojami pakuojant maisto produktus (pavyzdžiui, sūrį, mėsą, žuvį arba tortus), kurie yra parduodami parduotuvėse arba prekybos tinkluose.</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Komi</w:t>
      </w:r>
      <w:r>
        <w:rPr>
          <w:rFonts w:ascii="Times New Roman" w:hAnsi="Times New Roman"/>
          <w:noProof/>
          <w:sz w:val="24"/>
        </w:rPr>
        <w:t>sija taip pat skyrė iš viso 116 mln. EUR baudą aštuoniems optinių diskasukių tiekėjams dėl to, kad jie derino savo veiksmus dėl dviejų kompiuterių gamintojų – „Dell“ ir „Hewlett Packard“ – organizuotų viešųjų pirkimų konkursų</w:t>
      </w:r>
      <w:r>
        <w:rPr>
          <w:rStyle w:val="FootnoteReference"/>
          <w:rFonts w:ascii="Times New Roman" w:hAnsi="Times New Roman"/>
          <w:noProof/>
          <w:sz w:val="24"/>
        </w:rPr>
        <w:footnoteReference w:id="46"/>
      </w:r>
      <w:r>
        <w:rPr>
          <w:noProof/>
        </w:rPr>
        <w:t>.</w:t>
      </w:r>
      <w:r>
        <w:rPr>
          <w:rFonts w:ascii="Times New Roman" w:hAnsi="Times New Roman"/>
          <w:noProof/>
          <w:sz w:val="24"/>
        </w:rPr>
        <w:t xml:space="preserve"> Bauda skirta šiems tiekėjams</w:t>
      </w:r>
      <w:r>
        <w:rPr>
          <w:rFonts w:ascii="Times New Roman" w:hAnsi="Times New Roman"/>
          <w:noProof/>
          <w:sz w:val="24"/>
        </w:rPr>
        <w:t>: „Philips“, „Lite-On“, jų bendrai įmonei „Philips &amp; Lite-On Digital Solutions“, „Hitachi</w:t>
      </w:r>
      <w:r>
        <w:rPr>
          <w:noProof/>
        </w:rPr>
        <w:noBreakHyphen/>
      </w:r>
      <w:r>
        <w:rPr>
          <w:rFonts w:ascii="Times New Roman" w:hAnsi="Times New Roman"/>
          <w:noProof/>
          <w:sz w:val="24"/>
        </w:rPr>
        <w:t>LG Data Storage“, „Toshiba Samsung Storage Technology“, „Sony“, „Sony Optiarc“ ir „Quanta Storage“. Nors karteliniai ryšiai buvo palaikomi už Europos ekonominės erdvė</w:t>
      </w:r>
      <w:r>
        <w:rPr>
          <w:rFonts w:ascii="Times New Roman" w:hAnsi="Times New Roman"/>
          <w:noProof/>
          <w:sz w:val="24"/>
        </w:rPr>
        <w:t>s (EEE) ribų, karteliniai susitarimai buvo įgyvendinami pasauliniu lygiu, įskaitant EEE.</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Optiniai diskasukiai yra naudojami, pavyzdžiui, asmeniniuose kompiuteriuose, CD ir DVD grotuvuose ir vaizdo žaidimų pultuose, siekiant skaityti optiniuose diskuose (pa</w:t>
      </w:r>
      <w:r>
        <w:rPr>
          <w:rFonts w:ascii="Times New Roman" w:hAnsi="Times New Roman"/>
          <w:noProof/>
          <w:sz w:val="24"/>
        </w:rPr>
        <w:t>vyzdžiui, CD, DVD arba „Blu-ray“) esančią informaciją arba ją ten įrašyti. Kartelinis susitarimas apėmė optinius diskasukius, skirtus staliniams kompiuteriams ir planšetiniams kompiuteriams. Siekiant užtikrinti tokio tipo rinkų konkurencingumą,  labai svar</w:t>
      </w:r>
      <w:r>
        <w:rPr>
          <w:rFonts w:ascii="Times New Roman" w:hAnsi="Times New Roman"/>
          <w:noProof/>
          <w:sz w:val="24"/>
        </w:rPr>
        <w:t>bu garantuoti sąžiningas kainas dabartiniams vartotojams ir novatoriškus produktus ateities vartotojams.</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Kartelinių susitarimų išardymas yra tarsi užslėpto mokesčio, kurį turėjo mokėti milijonai nieko neįtariančių Europos vartotojų, panaikinimas. Be to, ka</w:t>
      </w:r>
      <w:r>
        <w:rPr>
          <w:rFonts w:ascii="Times New Roman" w:hAnsi="Times New Roman"/>
          <w:noProof/>
          <w:sz w:val="24"/>
        </w:rPr>
        <w:t>rteliniai susitarimai atima įmonėms paskatas diegti inovacijas ir tai labai apsunkina ES dinamiškumą ir būsimą augimą.</w:t>
      </w:r>
    </w:p>
    <w:p w:rsidR="00E027F3" w:rsidRDefault="006D1C7A">
      <w:pPr>
        <w:spacing w:line="240" w:lineRule="auto"/>
        <w:jc w:val="both"/>
        <w:rPr>
          <w:rFonts w:ascii="Times New Roman" w:hAnsi="Times New Roman"/>
          <w:i/>
          <w:noProof/>
          <w:sz w:val="24"/>
          <w:szCs w:val="24"/>
        </w:rPr>
      </w:pPr>
      <w:r>
        <w:rPr>
          <w:rFonts w:ascii="Times New Roman" w:hAnsi="Times New Roman"/>
          <w:i/>
          <w:noProof/>
          <w:sz w:val="24"/>
        </w:rPr>
        <w:t>Finansinių paslaugų rinkų veikimo pagerinimas – konkurencijos politikos pokyčiai finansų ir mokėjimų sektoriuose</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Komisija taip pat priėmė</w:t>
      </w:r>
      <w:r>
        <w:rPr>
          <w:rFonts w:ascii="Times New Roman" w:hAnsi="Times New Roman"/>
          <w:noProof/>
          <w:sz w:val="24"/>
        </w:rPr>
        <w:t xml:space="preserve"> sprendimą dėl kartelinių susitarimų finansų sektoriuje, kuris yra viena iš Komisijos prioritetinių sričių siekiant sukurti sąžiningesnę ir labiau integruotą bendrąją rinką. Vasario mėn. Komisija skyrė maždaug 15 mln. EUR baudą JK įsisteigusiam tarpininkui</w:t>
      </w:r>
      <w:r>
        <w:rPr>
          <w:rFonts w:ascii="Times New Roman" w:hAnsi="Times New Roman"/>
          <w:noProof/>
          <w:sz w:val="24"/>
        </w:rPr>
        <w:t xml:space="preserve"> ICAP, nes jis pažeidė ES antimonopolines taisykles palengvindamas kelių kartelinių susitarimų sudarymą jenos palūkanų normos išvestinių finansinių priemonių (angl. </w:t>
      </w:r>
      <w:r>
        <w:rPr>
          <w:rFonts w:ascii="Times New Roman" w:hAnsi="Times New Roman"/>
          <w:i/>
          <w:noProof/>
          <w:sz w:val="24"/>
        </w:rPr>
        <w:t>Yen interest rate derivative</w:t>
      </w:r>
      <w:r>
        <w:rPr>
          <w:rFonts w:ascii="Times New Roman" w:hAnsi="Times New Roman"/>
          <w:noProof/>
          <w:sz w:val="24"/>
        </w:rPr>
        <w:t>s, YIRD) sektoriuje</w:t>
      </w:r>
      <w:r>
        <w:rPr>
          <w:rStyle w:val="FootnoteReference"/>
          <w:rFonts w:ascii="Times New Roman" w:hAnsi="Times New Roman"/>
          <w:noProof/>
          <w:sz w:val="24"/>
        </w:rPr>
        <w:footnoteReference w:id="47"/>
      </w:r>
      <w:r>
        <w:rPr>
          <w:noProof/>
        </w:rPr>
        <w:t>.</w:t>
      </w:r>
      <w:r>
        <w:rPr>
          <w:rFonts w:ascii="Times New Roman" w:hAnsi="Times New Roman"/>
          <w:noProof/>
          <w:sz w:val="24"/>
        </w:rPr>
        <w:t xml:space="preserve"> Dėl to 2013 m. gruodžio mėn., remiantis priimtu teismo sprendimu, baudos buvo skirtos keliems pagrindiniams bankams.</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YIRD tyrimas – tik vienas Komisijos pastangų kovoti su antikonkurencine praktika finansų rinkose pavyzdžių. Kitą svarbų pavyzdį galima pat</w:t>
      </w:r>
      <w:r>
        <w:rPr>
          <w:rFonts w:ascii="Times New Roman" w:hAnsi="Times New Roman"/>
          <w:noProof/>
          <w:sz w:val="24"/>
        </w:rPr>
        <w:t>eikti iš mokėjimų sektoriaus. 2015 m. liepos mėn. Komisija nusiuntė prieštaravimo pareiškimą bendrovei „MasterCard“ dėl to, kad ji, kaip įtariama, padidino mokėjimo kortelėmis mokesčius ir taip padarė žalą ES vartotojams ir mažmenininkams</w:t>
      </w:r>
      <w:r>
        <w:rPr>
          <w:rStyle w:val="FootnoteReference"/>
          <w:rFonts w:ascii="Times New Roman" w:hAnsi="Times New Roman"/>
          <w:noProof/>
          <w:sz w:val="24"/>
        </w:rPr>
        <w:footnoteReference w:id="48"/>
      </w:r>
      <w:r>
        <w:rPr>
          <w:noProof/>
        </w:rPr>
        <w:t>.</w:t>
      </w:r>
      <w:r>
        <w:rPr>
          <w:rFonts w:ascii="Times New Roman" w:hAnsi="Times New Roman"/>
          <w:noProof/>
          <w:sz w:val="24"/>
        </w:rPr>
        <w:t xml:space="preserve"> Mokėjimai korte</w:t>
      </w:r>
      <w:r>
        <w:rPr>
          <w:rFonts w:ascii="Times New Roman" w:hAnsi="Times New Roman"/>
          <w:noProof/>
          <w:sz w:val="24"/>
        </w:rPr>
        <w:t>le užima labai svarbią vietą bendrojoje rinkoje perkant šalies viduje ar užsienyje, taip pat internetu. Mokėjimai kortele sudaro daugiau kaip 40 % Europos vartotojų ir įmonių kasmet atliekamų mokėjimų ne grynaisiais pinigais.</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Prieštaravimo pareiškime išdės</w:t>
      </w:r>
      <w:r>
        <w:rPr>
          <w:rFonts w:ascii="Times New Roman" w:hAnsi="Times New Roman"/>
          <w:noProof/>
          <w:sz w:val="24"/>
        </w:rPr>
        <w:t xml:space="preserve">tyta Komisijos preliminari nuomonė, kad „MasterCard“ taisyklėmis užkertamas kelias bankams taikyti mažesnius tarpbankinius mokesčius kitoje Europos ekonominės erdvės šalyje, kurioje tarpbankiniai mokesčiai yra mažesni, įsisteigusiems mažmenininkams. Todėl </w:t>
      </w:r>
      <w:r>
        <w:rPr>
          <w:rFonts w:ascii="Times New Roman" w:hAnsi="Times New Roman"/>
          <w:noProof/>
          <w:sz w:val="24"/>
        </w:rPr>
        <w:t>mažmenininkai negali pasinaudoti mažesniais mokesčiais kitose šalyse ir bankų tarpvalstybinė konkurencija gali būti ribojama pažeidžiant Europos antimonopolines taisykles. Prieštaravimo pareiškime taip pat teigiama, kad „MasterCard“ tarpbankiniai mokesčiai</w:t>
      </w:r>
      <w:r>
        <w:rPr>
          <w:rFonts w:ascii="Times New Roman" w:hAnsi="Times New Roman"/>
          <w:noProof/>
          <w:sz w:val="24"/>
        </w:rPr>
        <w:t xml:space="preserve"> už operacijas Europos Sąjungoje naudojant kituose pasaulio regionuose išduotas „MasterCard“ korteles nustatyti dirbtinai pakėlus minimalų tarifą už šių operacijų tvarkymą, todėl pažeidžiamos ES antimonopolinės taisyklės.</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Vienas iš dviejų dabartinio tyrimo</w:t>
      </w:r>
      <w:r>
        <w:rPr>
          <w:rFonts w:ascii="Times New Roman" w:hAnsi="Times New Roman"/>
          <w:noProof/>
          <w:sz w:val="24"/>
        </w:rPr>
        <w:t xml:space="preserve"> klausimų yra susijęs su tarpregioniniais sandoriais, kuriems nėra taikomas 2015 m. balandžio mėn. priimtas Tarpbankinių mokesčių reglamentas</w:t>
      </w:r>
      <w:r>
        <w:rPr>
          <w:rStyle w:val="FootnoteReference"/>
          <w:rFonts w:ascii="Times New Roman" w:hAnsi="Times New Roman"/>
          <w:noProof/>
          <w:sz w:val="24"/>
        </w:rPr>
        <w:footnoteReference w:id="49"/>
      </w:r>
      <w:r>
        <w:rPr>
          <w:rFonts w:ascii="Times New Roman" w:hAnsi="Times New Roman"/>
          <w:noProof/>
          <w:sz w:val="24"/>
        </w:rPr>
        <w:t>. Remiantis beveik dešimties metų senumo antimonopoline teismo praktika, reglamentu mokėjimų sektoriuje apribojami</w:t>
      </w:r>
      <w:r>
        <w:rPr>
          <w:rFonts w:ascii="Times New Roman" w:hAnsi="Times New Roman"/>
          <w:noProof/>
          <w:sz w:val="24"/>
        </w:rPr>
        <w:t xml:space="preserve"> tarpbankiniai mokesčiai už operacijas kortelėmis, kurios buvo išduotos ir yra naudojamos Europoje, taip suteikiant naudą vartotojams bei įmonėms ir skatinant augimą bei inovacijas. Kadangi kortelės yra dažniausiai naudojamas elektroninio mokėjimo būdas, š</w:t>
      </w:r>
      <w:r>
        <w:rPr>
          <w:rFonts w:ascii="Times New Roman" w:hAnsi="Times New Roman"/>
          <w:noProof/>
          <w:sz w:val="24"/>
        </w:rPr>
        <w:t>is reglamentas taip pat yra svarbi sudedamoji dalis siekiant užbaigti bendrosios skaitmeninės rinkos kūrimą.</w:t>
      </w:r>
    </w:p>
    <w:p w:rsidR="00E027F3" w:rsidRDefault="006D1C7A">
      <w:pPr>
        <w:spacing w:line="240" w:lineRule="auto"/>
        <w:jc w:val="both"/>
        <w:rPr>
          <w:rFonts w:ascii="Times New Roman" w:hAnsi="Times New Roman"/>
          <w:i/>
          <w:noProof/>
          <w:sz w:val="24"/>
          <w:szCs w:val="24"/>
        </w:rPr>
      </w:pPr>
      <w:r>
        <w:rPr>
          <w:rFonts w:ascii="Times New Roman" w:hAnsi="Times New Roman"/>
          <w:i/>
          <w:noProof/>
          <w:sz w:val="24"/>
        </w:rPr>
        <w:t>Valstybės pagalbos taisyklės bankų sektoriuje – ekonomikos atsigavimo rėmimas ir konkurencijos iškraipymo mažinimas</w:t>
      </w:r>
    </w:p>
    <w:p w:rsidR="00E027F3" w:rsidRDefault="006D1C7A">
      <w:pPr>
        <w:pStyle w:val="NormalWeb"/>
        <w:jc w:val="both"/>
        <w:rPr>
          <w:rStyle w:val="Emphasis"/>
          <w:i w:val="0"/>
          <w:noProof/>
        </w:rPr>
      </w:pPr>
      <w:r>
        <w:rPr>
          <w:noProof/>
        </w:rPr>
        <w:t>Bankų sektoriuje vykdoma valsty</w:t>
      </w:r>
      <w:r>
        <w:rPr>
          <w:noProof/>
        </w:rPr>
        <w:t>bės pagalbos kontrole buvo toliau ribojami konkurencijos iškraipymai ir užtikrinamos vienodos sąlygos, o kartu užtikrinama, kad mokesčių mokėtojų pinigai būtų naudojami tik tiek, kiek būtina. Be to, 2015 m. sausio mėn. įsigaliojo Bankų gaivinimo ir pertvar</w:t>
      </w:r>
      <w:r>
        <w:rPr>
          <w:noProof/>
        </w:rPr>
        <w:t>kymo direktyva (BGPD)</w:t>
      </w:r>
      <w:r>
        <w:rPr>
          <w:rStyle w:val="FootnoteReference"/>
          <w:noProof/>
        </w:rPr>
        <w:footnoteReference w:id="50"/>
      </w:r>
      <w:r>
        <w:rPr>
          <w:noProof/>
        </w:rPr>
        <w:t xml:space="preserve">, nustatanti bankų ir didelių investicinių įmonių pertvarkymo visose valstybėse narėse taisykles. Valstybės pagalba, skirta žlungantiems bankams, apie kurią Komisijai buvo pranešta po 2015 m. sausio 1 d., gali būti suteikta tik tada, </w:t>
      </w:r>
      <w:r>
        <w:rPr>
          <w:noProof/>
        </w:rPr>
        <w:t>jei bankas yra pertvarkomas laikantis BGPD bei ES valstybės pagalbos taisyklių.</w:t>
      </w:r>
    </w:p>
    <w:p w:rsidR="00E027F3" w:rsidRDefault="006D1C7A">
      <w:pPr>
        <w:pStyle w:val="NormalWeb"/>
        <w:jc w:val="both"/>
        <w:rPr>
          <w:rFonts w:eastAsia="Calibri"/>
          <w:noProof/>
        </w:rPr>
      </w:pPr>
      <w:r>
        <w:rPr>
          <w:noProof/>
        </w:rPr>
        <w:t xml:space="preserve">Lapkričio mėnesį Komisija nustatė, kad </w:t>
      </w:r>
      <w:r>
        <w:rPr>
          <w:i/>
          <w:noProof/>
        </w:rPr>
        <w:t>Banca delle Marche</w:t>
      </w:r>
      <w:r>
        <w:rPr>
          <w:noProof/>
        </w:rPr>
        <w:t xml:space="preserve">, </w:t>
      </w:r>
      <w:r>
        <w:rPr>
          <w:i/>
          <w:noProof/>
        </w:rPr>
        <w:t>Banca Popolare dell’Etruria e del Lazio</w:t>
      </w:r>
      <w:r>
        <w:rPr>
          <w:noProof/>
        </w:rPr>
        <w:t>,</w:t>
      </w:r>
      <w:r>
        <w:rPr>
          <w:rStyle w:val="FootnoteReference"/>
          <w:noProof/>
        </w:rPr>
        <w:t xml:space="preserve"> </w:t>
      </w:r>
      <w:r>
        <w:rPr>
          <w:i/>
          <w:noProof/>
        </w:rPr>
        <w:t>Cassa di Risparmio di Ferrara</w:t>
      </w:r>
      <w:r>
        <w:rPr>
          <w:noProof/>
        </w:rPr>
        <w:t xml:space="preserve"> ir </w:t>
      </w:r>
      <w:r>
        <w:rPr>
          <w:i/>
          <w:noProof/>
        </w:rPr>
        <w:t>Cassa di Risparmio della Provincia di Chiet</w:t>
      </w:r>
      <w:r>
        <w:rPr>
          <w:i/>
          <w:noProof/>
        </w:rPr>
        <w:t>i</w:t>
      </w:r>
      <w:r>
        <w:rPr>
          <w:noProof/>
        </w:rPr>
        <w:t xml:space="preserve"> (kurių bendra dalis sudaro maždaug 1 % Italijos rinkos) pertvarkymo planai atitinka ES valstybės pagalbos taisykles</w:t>
      </w:r>
      <w:r>
        <w:rPr>
          <w:rStyle w:val="FootnoteReference"/>
          <w:noProof/>
        </w:rPr>
        <w:footnoteReference w:id="51"/>
      </w:r>
      <w:r>
        <w:rPr>
          <w:noProof/>
        </w:rPr>
        <w:t>. Keturiuose bankuose, kuriems jau nustatytas specialusis administravimas, Italijos bankas (</w:t>
      </w:r>
      <w:r>
        <w:rPr>
          <w:i/>
          <w:noProof/>
        </w:rPr>
        <w:t>Bank of Italy</w:t>
      </w:r>
      <w:r>
        <w:rPr>
          <w:noProof/>
        </w:rPr>
        <w:t>) pradėjo vykdyti pertvarkymą pag</w:t>
      </w:r>
      <w:r>
        <w:rPr>
          <w:noProof/>
        </w:rPr>
        <w:t>al BGPD. Komisija nustatė, kad Italijai nusprendus naudoti nacionalinį pertvarkymo fondą sumažėjo viešųjų lėšų panaudojimas ir visokeriopi konkurencijos iškraipymai dėl taikomų priemonių, tuo pačiu buvo išsaugotas finansinis stabilumas.</w:t>
      </w:r>
    </w:p>
    <w:p w:rsidR="00E027F3" w:rsidRDefault="006D1C7A">
      <w:pPr>
        <w:pStyle w:val="NormalWeb"/>
        <w:jc w:val="both"/>
        <w:rPr>
          <w:rFonts w:eastAsia="Calibri"/>
          <w:noProof/>
        </w:rPr>
      </w:pPr>
      <w:r>
        <w:rPr>
          <w:noProof/>
        </w:rPr>
        <w:t>Be to, valstybės pa</w:t>
      </w:r>
      <w:r>
        <w:rPr>
          <w:noProof/>
        </w:rPr>
        <w:t>galbos taisyklės buvo esminės sutvirtinant keturių didžiausių Graikijos bankų pastangas spręsti Europos banko priežiūros institucijos nustatytas kapitalo trūkumo problemas</w:t>
      </w:r>
      <w:r>
        <w:rPr>
          <w:rStyle w:val="FootnoteReference"/>
          <w:noProof/>
        </w:rPr>
        <w:footnoteReference w:id="52"/>
      </w:r>
      <w:r>
        <w:rPr>
          <w:noProof/>
        </w:rPr>
        <w:t>. Lapkričio–gruodžio mėn. laikotarpiu Komisija patvirtino valstybės pagalbos priemon</w:t>
      </w:r>
      <w:r>
        <w:rPr>
          <w:noProof/>
        </w:rPr>
        <w:t xml:space="preserve">es, skirtas </w:t>
      </w:r>
      <w:r>
        <w:rPr>
          <w:i/>
          <w:noProof/>
        </w:rPr>
        <w:t>Piraeus Bank</w:t>
      </w:r>
      <w:r>
        <w:rPr>
          <w:rStyle w:val="FootnoteReference"/>
          <w:noProof/>
        </w:rPr>
        <w:footnoteReference w:id="53"/>
      </w:r>
      <w:r>
        <w:rPr>
          <w:noProof/>
        </w:rPr>
        <w:t xml:space="preserve"> ir Graikijos valstybiniam bankui (</w:t>
      </w:r>
      <w:r>
        <w:rPr>
          <w:i/>
          <w:noProof/>
        </w:rPr>
        <w:t>National Bank of Greece</w:t>
      </w:r>
      <w:r>
        <w:rPr>
          <w:noProof/>
        </w:rPr>
        <w:t>)</w:t>
      </w:r>
      <w:r>
        <w:rPr>
          <w:rStyle w:val="FootnoteReference"/>
          <w:noProof/>
        </w:rPr>
        <w:footnoteReference w:id="54"/>
      </w:r>
      <w:r>
        <w:rPr>
          <w:noProof/>
        </w:rPr>
        <w:t xml:space="preserve"> kapitalui atkurti. </w:t>
      </w:r>
      <w:r>
        <w:rPr>
          <w:rStyle w:val="Emphasis"/>
          <w:i w:val="0"/>
          <w:noProof/>
        </w:rPr>
        <w:t>Bankai pateikė restruktūrizavimo planus, kuriais siekiama užtikrinti jų ilgalaikį gyvybingumą – tokiais tapę jie galės vėl sutelkti savo veiklą į pasko</w:t>
      </w:r>
      <w:r>
        <w:rPr>
          <w:rStyle w:val="Emphasis"/>
          <w:i w:val="0"/>
          <w:noProof/>
        </w:rPr>
        <w:t>lų teikimą Graikijos įmonėms ir paramą gaivinant Graikijos ekonomiką.</w:t>
      </w:r>
    </w:p>
    <w:p w:rsidR="00E027F3" w:rsidRDefault="006D1C7A">
      <w:pPr>
        <w:pStyle w:val="NormalWeb"/>
        <w:jc w:val="both"/>
        <w:rPr>
          <w:noProof/>
        </w:rPr>
      </w:pPr>
      <w:r>
        <w:rPr>
          <w:noProof/>
        </w:rPr>
        <w:t>Komisija pagal Kipre įgyvendinamą ekonominio koregavimo programą taip pat užtikrina, kad būtų nuosekliai taikomos valstybės pagalbos taisyklės bankininkystės sektoriuje. Visų pirma, 2015</w:t>
      </w:r>
      <w:r>
        <w:rPr>
          <w:noProof/>
        </w:rPr>
        <w:t> m. gruodžio mėn. Komisija nustatė, kad 175 mln. EUR kapitalo injekcija bankui „Cypriot Cooperative Central Bank Ltd“ ir jo patronuojamosioms bendrovėms atitinka ES valstybės pagalbos taisykles</w:t>
      </w:r>
      <w:r>
        <w:rPr>
          <w:rStyle w:val="FootnoteReference"/>
          <w:noProof/>
        </w:rPr>
        <w:footnoteReference w:id="55"/>
      </w:r>
      <w:r>
        <w:rPr>
          <w:noProof/>
        </w:rPr>
        <w:t>. Komisija padarė išvadą, kad banko įsipareigotos taikyti rest</w:t>
      </w:r>
      <w:r>
        <w:rPr>
          <w:noProof/>
        </w:rPr>
        <w:t>ruktūrizavimo priemonės turėtų sumažinti konkurencijos iškraipymus ir tuo pačiu užtikrinti kad bankas taptų gyvybingas ilgalaikiu laikotarpiu.</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Pasibaigus programos įgyvendinimo laikotarpiui Portugalijoje</w:t>
      </w:r>
      <w:r>
        <w:rPr>
          <w:rStyle w:val="FootnoteReference"/>
          <w:rFonts w:ascii="Times New Roman" w:hAnsi="Times New Roman"/>
          <w:noProof/>
          <w:sz w:val="24"/>
        </w:rPr>
        <w:footnoteReference w:id="56"/>
      </w:r>
      <w:r>
        <w:rPr>
          <w:rFonts w:ascii="Times New Roman" w:hAnsi="Times New Roman"/>
          <w:noProof/>
          <w:sz w:val="24"/>
        </w:rPr>
        <w:t xml:space="preserve"> Komisija, remdamasi ES valstybės pagalbos taisyklėmis, patvirtino Portugalijos valstybės garantijų pratęsimą banko „Novo Banco“</w:t>
      </w:r>
      <w:r>
        <w:rPr>
          <w:rStyle w:val="FootnoteReference"/>
          <w:rFonts w:ascii="Times New Roman" w:hAnsi="Times New Roman"/>
          <w:noProof/>
          <w:sz w:val="24"/>
        </w:rPr>
        <w:footnoteReference w:id="57"/>
      </w:r>
      <w:r>
        <w:rPr>
          <w:rFonts w:ascii="Times New Roman" w:hAnsi="Times New Roman"/>
          <w:noProof/>
          <w:sz w:val="24"/>
        </w:rPr>
        <w:t xml:space="preserve"> išleistoms obligacijoms ir valstybės pagalbos priemones, skirtas padengti finansavimo trūkumą po „Banif“</w:t>
      </w:r>
      <w:r>
        <w:rPr>
          <w:rStyle w:val="FootnoteReference"/>
          <w:rFonts w:ascii="Times New Roman" w:hAnsi="Times New Roman"/>
          <w:noProof/>
          <w:sz w:val="24"/>
        </w:rPr>
        <w:footnoteReference w:id="58"/>
      </w:r>
      <w:r>
        <w:rPr>
          <w:rFonts w:ascii="Times New Roman" w:hAnsi="Times New Roman"/>
          <w:noProof/>
          <w:sz w:val="24"/>
        </w:rPr>
        <w:t xml:space="preserve"> pertvarkymo</w:t>
      </w:r>
      <w:r>
        <w:rPr>
          <w:noProof/>
        </w:rPr>
        <w:t>.</w:t>
      </w:r>
      <w:r>
        <w:rPr>
          <w:rFonts w:ascii="Times New Roman" w:hAnsi="Times New Roman"/>
          <w:noProof/>
          <w:sz w:val="24"/>
        </w:rPr>
        <w:t xml:space="preserve"> Siūlomo</w:t>
      </w:r>
      <w:r>
        <w:rPr>
          <w:rFonts w:ascii="Times New Roman" w:hAnsi="Times New Roman"/>
          <w:noProof/>
          <w:sz w:val="24"/>
        </w:rPr>
        <w:t>mis pagalbos priemonėmis buvo siekiama atitinkamai užtikrinti bankui „Novo Banco“ reikalingą likvidumą ir sudaryti sąlygas bankui „Banif“ tvarkingai pasitraukti iš rinkos siekiant išlaikyti Portugalijos bankų sektoriaus finansinį stabilumą.</w:t>
      </w:r>
    </w:p>
    <w:p w:rsidR="00E027F3" w:rsidRDefault="006D1C7A">
      <w:pPr>
        <w:numPr>
          <w:ilvl w:val="0"/>
          <w:numId w:val="3"/>
        </w:numPr>
        <w:spacing w:line="240" w:lineRule="auto"/>
        <w:jc w:val="both"/>
        <w:rPr>
          <w:rFonts w:ascii="Times New Roman" w:hAnsi="Times New Roman"/>
          <w:b/>
          <w:noProof/>
          <w:sz w:val="24"/>
          <w:szCs w:val="24"/>
        </w:rPr>
      </w:pPr>
      <w:r>
        <w:rPr>
          <w:rFonts w:ascii="Times New Roman" w:hAnsi="Times New Roman"/>
          <w:b/>
          <w:noProof/>
          <w:sz w:val="24"/>
        </w:rPr>
        <w:t>Vaisingo tarpta</w:t>
      </w:r>
      <w:r>
        <w:rPr>
          <w:rFonts w:ascii="Times New Roman" w:hAnsi="Times New Roman"/>
          <w:b/>
          <w:noProof/>
          <w:sz w:val="24"/>
        </w:rPr>
        <w:t>utinio bendradarbiavimo ir konstruktyvaus institucijų dialogo konkurencijos srityje skatinimas</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Komisija, ypač už konkurenciją atsakinga Komisijos narė Margrethe Vestager, yra visapusiškai įsipareigojusi atvirai ir konstruktyviai aptarti konkurencijos probl</w:t>
      </w:r>
      <w:r>
        <w:rPr>
          <w:rFonts w:ascii="Times New Roman" w:hAnsi="Times New Roman"/>
          <w:noProof/>
          <w:sz w:val="24"/>
        </w:rPr>
        <w:t>emas tarptautiniu lygiu ir su kitomis ES institucijomis.</w:t>
      </w:r>
    </w:p>
    <w:p w:rsidR="00E027F3" w:rsidRDefault="006D1C7A">
      <w:pPr>
        <w:spacing w:line="240" w:lineRule="auto"/>
        <w:jc w:val="both"/>
        <w:rPr>
          <w:rFonts w:ascii="Times New Roman" w:hAnsi="Times New Roman"/>
          <w:i/>
          <w:noProof/>
          <w:sz w:val="24"/>
          <w:szCs w:val="24"/>
        </w:rPr>
      </w:pPr>
      <w:r>
        <w:rPr>
          <w:rFonts w:ascii="Times New Roman" w:hAnsi="Times New Roman"/>
          <w:i/>
          <w:noProof/>
          <w:sz w:val="24"/>
        </w:rPr>
        <w:t>Tarptautinio bendradarbiavimo su tradiciniais ir naujais ūkio subjektais aktyvinimas</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Laipsniška pasaulio ekonomikos integracija reikšmingai paveikė konkurencijos teisės aktų vykdymo užtikrinimo insti</w:t>
      </w:r>
      <w:r>
        <w:rPr>
          <w:rFonts w:ascii="Times New Roman" w:hAnsi="Times New Roman"/>
          <w:noProof/>
          <w:sz w:val="24"/>
        </w:rPr>
        <w:t>tucijų darbą, nes globalizacija iš esmės reiškia tarpusavio priklausomybę. Per pastaruosius 25 metus taikomų konkurencijos sistemų skaičius išaugo: nuo maždaug 20-ies XX a. paskutiniame šimtmetyje iki 130-ies (apimančių 85 % pasaulio gyventojų) 2015 m. Nor</w:t>
      </w:r>
      <w:r>
        <w:rPr>
          <w:rFonts w:ascii="Times New Roman" w:hAnsi="Times New Roman"/>
          <w:noProof/>
          <w:sz w:val="24"/>
        </w:rPr>
        <w:t>s didėjantis antimonopolinių agentūrų skaičius rodo, kad konkurencijos kultūra toliau plinta visame pasaulyje, Komisija taip pat deda pastangas su tuo susijusioms problemoms spręsti.</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Šiuo tikslu Komisija aktyviai vykdo tarptautinį dvišalį ir daugiašalį ben</w:t>
      </w:r>
      <w:r>
        <w:rPr>
          <w:rFonts w:ascii="Times New Roman" w:hAnsi="Times New Roman"/>
          <w:noProof/>
          <w:sz w:val="24"/>
        </w:rPr>
        <w:t>dradarbiavimą konkurencijos klausimais konkurencijos forumuose, pavyzdžiui, EBPO konkurencijos komitete, Jungtinių Tautų prekybos ir plėtros konferencijoje (UNCTAD) ir Tarptautiniame konkurencijos tinkle (TKT).</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Kaip viena iš Tarptautinio konkurencijos tink</w:t>
      </w:r>
      <w:r>
        <w:rPr>
          <w:rFonts w:ascii="Times New Roman" w:hAnsi="Times New Roman"/>
          <w:noProof/>
          <w:sz w:val="24"/>
        </w:rPr>
        <w:t>lo pirmininkių Komisija prisidėjo prie Praktinio vadovo dėl tarptautinio bendradarbiavimo užtikrinant teisės aktų vykdymą susijungimų srityje, kuris buvo priimtas 2015 m., įgyvendinimo. Praktiniame vadove pateiktos tiesioginės ir konkrečiais atvejais pagrį</w:t>
      </w:r>
      <w:r>
        <w:rPr>
          <w:rFonts w:ascii="Times New Roman" w:hAnsi="Times New Roman"/>
          <w:noProof/>
          <w:sz w:val="24"/>
        </w:rPr>
        <w:t>stos rekomendacijos TKT nariams dėl to, kaip agentūros galėtų suderinti tvarkaraščius, keistis informacija ir bendradarbiauti turinio ir taisomųjų veiksmų klausimais, kad būtų išvengta neatitikimų.</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Sėkmingas bendradarbiavimas vykdant susijungimų kontrolę 2</w:t>
      </w:r>
      <w:r>
        <w:rPr>
          <w:rFonts w:ascii="Times New Roman" w:hAnsi="Times New Roman"/>
          <w:noProof/>
          <w:sz w:val="24"/>
        </w:rPr>
        <w:t>015 m. taip pat apėmė dvišalius santykius. Spalio mėnesį Komisija ir Kinijos Liaudies Respublikos prekybos ministerija (toliau – KLR PM) pasirašė</w:t>
      </w:r>
      <w:r>
        <w:rPr>
          <w:noProof/>
        </w:rPr>
        <w:t xml:space="preserve"> </w:t>
      </w:r>
      <w:r>
        <w:rPr>
          <w:rFonts w:ascii="Times New Roman" w:hAnsi="Times New Roman"/>
          <w:noProof/>
          <w:sz w:val="24"/>
        </w:rPr>
        <w:t>Bendradarbiavimo dėl susijungimų bylų peržiūros praktines rekomendacijas</w:t>
      </w:r>
      <w:r>
        <w:rPr>
          <w:noProof/>
        </w:rPr>
        <w:t>.</w:t>
      </w:r>
      <w:r>
        <w:rPr>
          <w:rFonts w:ascii="Times New Roman" w:hAnsi="Times New Roman"/>
          <w:noProof/>
          <w:sz w:val="24"/>
        </w:rPr>
        <w:t xml:space="preserve"> Praktinės gairės padės užtikrinti di</w:t>
      </w:r>
      <w:r>
        <w:rPr>
          <w:rFonts w:ascii="Times New Roman" w:hAnsi="Times New Roman"/>
          <w:noProof/>
          <w:sz w:val="24"/>
        </w:rPr>
        <w:t>desnį skaidrumą, susijusį su diskusijų tarp Komisijos ir KLR PM tvarkaraščiu ir turiniu, o tai leis vykdyti veiksmingesnę, nuoseklesnę ir neprieštaringą peržiūrą tais atvejais, kai susijungimą turi įvertinti abi institucijos. Tai yra dar vienas ES ir Kinij</w:t>
      </w:r>
      <w:r>
        <w:rPr>
          <w:rFonts w:ascii="Times New Roman" w:hAnsi="Times New Roman"/>
          <w:noProof/>
          <w:sz w:val="24"/>
        </w:rPr>
        <w:t>os bendradarbiavimo elementas, papildantis techninio bendradarbiavimo veiklą, kuri dabar yra vystoma kaip specialios bendradarbiavimo programos (II ES ir Kinijos prekybos projektas</w:t>
      </w:r>
      <w:r>
        <w:rPr>
          <w:rStyle w:val="FootnoteReference"/>
          <w:rFonts w:ascii="Times New Roman" w:hAnsi="Times New Roman"/>
          <w:noProof/>
          <w:sz w:val="24"/>
        </w:rPr>
        <w:footnoteReference w:id="59"/>
      </w:r>
      <w:r>
        <w:rPr>
          <w:rFonts w:ascii="Times New Roman" w:hAnsi="Times New Roman"/>
          <w:noProof/>
          <w:sz w:val="24"/>
        </w:rPr>
        <w:t>) dalis.</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Komisija tęsia darbą dėl konkurencijos ir valstybės pagalbos nuost</w:t>
      </w:r>
      <w:r>
        <w:rPr>
          <w:rFonts w:ascii="Times New Roman" w:hAnsi="Times New Roman"/>
          <w:noProof/>
          <w:sz w:val="24"/>
        </w:rPr>
        <w:t>atų įtraukimo į derybas dėl laisvosios prekybos susitarimų (LPS). 2015 m. didelė pažanga padaryta derinant konkurencijos nuostatas laisvosios prekybos susitarimuose su Japonija ir Vietnamu. Komisija taip pat padarė pažangą vykdydama derybas su JAV dėl Tran</w:t>
      </w:r>
      <w:r>
        <w:rPr>
          <w:rFonts w:ascii="Times New Roman" w:hAnsi="Times New Roman"/>
          <w:noProof/>
          <w:sz w:val="24"/>
        </w:rPr>
        <w:t xml:space="preserve">satlantinės prekybos ir investicijų partnerystės susitarimo (TPIP), į kurį bus įtrauktas skyrius dėl konkurencijos. </w:t>
      </w:r>
    </w:p>
    <w:p w:rsidR="00E027F3" w:rsidRDefault="006D1C7A">
      <w:pPr>
        <w:spacing w:line="240" w:lineRule="auto"/>
        <w:jc w:val="both"/>
        <w:rPr>
          <w:rFonts w:ascii="Times New Roman" w:hAnsi="Times New Roman"/>
          <w:i/>
          <w:noProof/>
          <w:sz w:val="24"/>
          <w:szCs w:val="24"/>
        </w:rPr>
      </w:pPr>
      <w:r>
        <w:rPr>
          <w:rFonts w:ascii="Times New Roman" w:hAnsi="Times New Roman"/>
          <w:i/>
          <w:noProof/>
          <w:sz w:val="24"/>
        </w:rPr>
        <w:t>Struktūrinis dialogas su Europos Parlamentu</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2015 m. Komisija sėkmingai tęsė savo darbinius santykius su Europos Parlamentu, visų pirma, Eko</w:t>
      </w:r>
      <w:r>
        <w:rPr>
          <w:rFonts w:ascii="Times New Roman" w:hAnsi="Times New Roman"/>
          <w:noProof/>
          <w:sz w:val="24"/>
        </w:rPr>
        <w:t>nomikos ir pinigų politikos (ECON) komitetu.</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Vykdydama struktūrinį dialogą su Parlamentu, Europos Komisijos narė M. Vestager liepos  ir lapkričio mėnesiais apsilankė ECON komitete. Ji palankiai įvertino galimybę dalyvauti komitete ir bendradarbiauti su Par</w:t>
      </w:r>
      <w:r>
        <w:rPr>
          <w:rFonts w:ascii="Times New Roman" w:hAnsi="Times New Roman"/>
          <w:noProof/>
          <w:sz w:val="24"/>
        </w:rPr>
        <w:t xml:space="preserve">lamento nariais konstruktyviose diskusijose dėl konkurencijos politikos.  </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Komisijos narė M. Vestager taip pat apsilankė ECON komiteto konkurencijos darbo grupėje balandį, o gegužės ir rugsėjo mėnesiais – Specialiajame sprendimų dėl mokesčių ir kitų panaša</w:t>
      </w:r>
      <w:r>
        <w:rPr>
          <w:rFonts w:ascii="Times New Roman" w:hAnsi="Times New Roman"/>
          <w:noProof/>
          <w:sz w:val="24"/>
        </w:rPr>
        <w:t>us pobūdžio ar poveikio priemonių komitete (TAXE). Birželio mėnesį ji lankėsi Žemės ūkio ir kaimo plėtros (AGRI) komitete, siekdama aptarti Rekomendacijų dėl bendrų pardavimų jautienos ir veršienos, alyvuogių aliejaus ir lauko kultūrų sektoriuose projektą.</w:t>
      </w:r>
    </w:p>
    <w:p w:rsidR="00E027F3" w:rsidRDefault="006D1C7A">
      <w:pPr>
        <w:pBdr>
          <w:top w:val="single" w:sz="4" w:space="1" w:color="auto"/>
          <w:left w:val="single" w:sz="4" w:space="4" w:color="auto"/>
          <w:bottom w:val="single" w:sz="4" w:space="1" w:color="auto"/>
          <w:right w:val="single" w:sz="4" w:space="4" w:color="auto"/>
        </w:pBdr>
        <w:jc w:val="both"/>
        <w:rPr>
          <w:rFonts w:ascii="Times New Roman" w:hAnsi="Times New Roman"/>
          <w:b/>
          <w:noProof/>
          <w:sz w:val="20"/>
          <w:szCs w:val="20"/>
        </w:rPr>
      </w:pPr>
      <w:r>
        <w:rPr>
          <w:rFonts w:ascii="Times New Roman" w:hAnsi="Times New Roman"/>
          <w:b/>
          <w:noProof/>
          <w:sz w:val="20"/>
        </w:rPr>
        <w:t>Parlamento dalyvavimo konkurencijos politikos iniciatyvose didinimas</w:t>
      </w:r>
    </w:p>
    <w:p w:rsidR="00E027F3" w:rsidRDefault="006D1C7A">
      <w:pPr>
        <w:pBdr>
          <w:top w:val="single" w:sz="4" w:space="1" w:color="auto"/>
          <w:left w:val="single" w:sz="4" w:space="4" w:color="auto"/>
          <w:bottom w:val="single" w:sz="4" w:space="1" w:color="auto"/>
          <w:right w:val="single" w:sz="4" w:space="4" w:color="auto"/>
        </w:pBdr>
        <w:jc w:val="both"/>
        <w:rPr>
          <w:rFonts w:ascii="Times New Roman" w:hAnsi="Times New Roman"/>
          <w:noProof/>
          <w:sz w:val="20"/>
          <w:szCs w:val="20"/>
        </w:rPr>
      </w:pPr>
      <w:r>
        <w:rPr>
          <w:rFonts w:ascii="Times New Roman" w:hAnsi="Times New Roman"/>
          <w:noProof/>
          <w:sz w:val="20"/>
        </w:rPr>
        <w:t>Paskelbusi Komunikatą „Antimonopolinių nuostatų vykdymo užtikrinimo pagal Reglamentą Nr. 1/2003 dešimtmetis“, Komisija svarsto, kaip suteikti nacionalinėms konkurencijos institucijoms da</w:t>
      </w:r>
      <w:r>
        <w:rPr>
          <w:rFonts w:ascii="Times New Roman" w:hAnsi="Times New Roman"/>
          <w:noProof/>
          <w:sz w:val="20"/>
        </w:rPr>
        <w:t>ugiau galių, kad jos taptų veiksmingesnėmis ES antimonopolinių taisyklių laikymosi užtikrintojomis. ECON komitetas buvo informuotas apie 2015 m. lapkričio mėnesį pradėtas viešasias konsultacijas siekiant gauti grįžtamojo pobūdžio informaciją iš įvairių sui</w:t>
      </w:r>
      <w:r>
        <w:rPr>
          <w:rFonts w:ascii="Times New Roman" w:hAnsi="Times New Roman"/>
          <w:noProof/>
          <w:sz w:val="20"/>
        </w:rPr>
        <w:t>nteresuotųjų šalių. Be to, Komisijos narė M. Vestager įsipareigojo skatinti Parlamentą visapusiškai įsitraukti į šią iniciatyvą tiek, kiek bus įmanoma atsižvelgiant į konkretų pasiūlymo turinį.</w:t>
      </w:r>
    </w:p>
    <w:p w:rsidR="00E027F3" w:rsidRDefault="006D1C7A">
      <w:pPr>
        <w:spacing w:line="240" w:lineRule="auto"/>
        <w:jc w:val="both"/>
        <w:rPr>
          <w:rFonts w:ascii="Times New Roman" w:hAnsi="Times New Roman"/>
          <w:i/>
          <w:noProof/>
          <w:sz w:val="24"/>
          <w:szCs w:val="24"/>
        </w:rPr>
      </w:pPr>
      <w:r>
        <w:rPr>
          <w:rFonts w:ascii="Times New Roman" w:hAnsi="Times New Roman"/>
          <w:i/>
          <w:noProof/>
          <w:sz w:val="24"/>
        </w:rPr>
        <w:t xml:space="preserve">Tolesnis Konkurencijos GD ryšių su Europos Parlamentu </w:t>
      </w:r>
      <w:r>
        <w:rPr>
          <w:rFonts w:ascii="Times New Roman" w:hAnsi="Times New Roman"/>
          <w:i/>
          <w:noProof/>
          <w:sz w:val="24"/>
        </w:rPr>
        <w:t>stiprinimas</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2015 m. liepos mėn. įvyko Konkurencijos GD organizuotas reguliarus informacinis seminaras ECON komiteto padėjėjams ir patarėjams politikos klausimais – seminare aptartos pagrindinės 2014 m. konkurencijos politikos ataskaitos temos. Be to, Konku</w:t>
      </w:r>
      <w:r>
        <w:rPr>
          <w:rFonts w:ascii="Times New Roman" w:hAnsi="Times New Roman"/>
          <w:noProof/>
          <w:sz w:val="24"/>
        </w:rPr>
        <w:t xml:space="preserve">rencijos GD pateikė bendrą informaciją apie valstybės pagalbos politiką ir procedūras TAXE specialiojo komiteto nariams ir susijusiems darbuotojams. </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Konkurencijos GD bendradarbiavo su Konkurencijos darbo grupe, kad parengtų 2015 m. gegužės mėnesį jau įvyk</w:t>
      </w:r>
      <w:r>
        <w:rPr>
          <w:rFonts w:ascii="Times New Roman" w:hAnsi="Times New Roman"/>
          <w:noProof/>
          <w:sz w:val="24"/>
        </w:rPr>
        <w:t>usį seminarą dėl tarptautinio bendradarbiavimo užtikrinant konkurencijos teisės aktų vykdymą, taip pat dėl ES ir JAV santykių šioje srityje. Be to, naujai paskirtas Konkurencijos GD generalinis direktorius Johannesas Laitenbergeras tapo pirmuoju generalini</w:t>
      </w:r>
      <w:r>
        <w:rPr>
          <w:rFonts w:ascii="Times New Roman" w:hAnsi="Times New Roman"/>
          <w:noProof/>
          <w:sz w:val="24"/>
        </w:rPr>
        <w:t>u direktoriumi, dalyvavusiu (2015 m. gruodžio mėn.) Parlamento darbo grupėje dėl konkurencijos politikos.</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Konkurencijos GD koordinavo darbą, susijusį su Komisijos tarnybų parengtais atsakymais į 331 rašytinius Parlamento narių klausimus ir 7 peticijas.</w:t>
      </w:r>
    </w:p>
    <w:p w:rsidR="00E027F3" w:rsidRDefault="006D1C7A">
      <w:pPr>
        <w:keepNext/>
        <w:spacing w:line="240" w:lineRule="auto"/>
        <w:jc w:val="both"/>
        <w:rPr>
          <w:rFonts w:ascii="Times New Roman" w:hAnsi="Times New Roman"/>
          <w:i/>
          <w:noProof/>
          <w:sz w:val="24"/>
          <w:szCs w:val="24"/>
        </w:rPr>
      </w:pPr>
      <w:r>
        <w:rPr>
          <w:rFonts w:ascii="Times New Roman" w:hAnsi="Times New Roman"/>
          <w:i/>
          <w:noProof/>
          <w:sz w:val="24"/>
        </w:rPr>
        <w:t>Kon</w:t>
      </w:r>
      <w:r>
        <w:rPr>
          <w:rFonts w:ascii="Times New Roman" w:hAnsi="Times New Roman"/>
          <w:i/>
          <w:noProof/>
          <w:sz w:val="24"/>
        </w:rPr>
        <w:t>kurencijos GD ryšiai su Europos ekonomikos ir socialinių reikalų komitetu (EESRK) ir Regionų komitetu (RK)</w:t>
      </w:r>
    </w:p>
    <w:p w:rsidR="00E027F3" w:rsidRDefault="006D1C7A">
      <w:pPr>
        <w:spacing w:line="240" w:lineRule="auto"/>
        <w:jc w:val="both"/>
        <w:rPr>
          <w:rFonts w:ascii="Times New Roman" w:hAnsi="Times New Roman"/>
          <w:noProof/>
          <w:sz w:val="24"/>
          <w:szCs w:val="24"/>
        </w:rPr>
      </w:pPr>
      <w:r>
        <w:rPr>
          <w:rFonts w:ascii="Times New Roman" w:hAnsi="Times New Roman"/>
          <w:noProof/>
          <w:sz w:val="24"/>
        </w:rPr>
        <w:t>Komisija panešė EESRK ir Regionų komitetui apie pagrindines politikos iniciatyvas ir dalyvavo tyrimo grupių bei skyrių posėdžiuose. Atitinkamai, buvę</w:t>
      </w:r>
      <w:r>
        <w:rPr>
          <w:rFonts w:ascii="Times New Roman" w:hAnsi="Times New Roman"/>
          <w:noProof/>
          <w:sz w:val="24"/>
        </w:rPr>
        <w:t>s Konkurencijos GD generalinis direktorius Alexanderis Italianeris liepos 14 d. dalyvavo EESRK Bendrosios rinkos, gamybos ir vartojimo skyriaus posėdyje. Savo ruožtu, EESRK rugsėjo 16 d. ir gruodžio 9 d. paskelbtoje Konkurencijos politikos ataskaitoje pate</w:t>
      </w:r>
      <w:r>
        <w:rPr>
          <w:rFonts w:ascii="Times New Roman" w:hAnsi="Times New Roman"/>
          <w:noProof/>
          <w:sz w:val="24"/>
        </w:rPr>
        <w:t>ikė nuomones dėl „Valstybės pagalbos įmonėms: Ar ji veiksminga ir efektyvi“ (nuomonė savo iniciatyva). Spalio 14 d. RK paskelbė nuomonę dėl Finansinių priemonių teritoriniam vystymuisi remti.</w:t>
      </w:r>
    </w:p>
    <w:sectPr w:rsidR="00E027F3">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27F3" w:rsidRDefault="006D1C7A">
      <w:pPr>
        <w:spacing w:after="0" w:line="240" w:lineRule="auto"/>
      </w:pPr>
      <w:r>
        <w:separator/>
      </w:r>
    </w:p>
  </w:endnote>
  <w:endnote w:type="continuationSeparator" w:id="0">
    <w:p w:rsidR="00E027F3" w:rsidRDefault="006D1C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7F3" w:rsidRDefault="006D1C7A">
    <w:pPr>
      <w:pStyle w:val="FooterCoverPage"/>
      <w:rPr>
        <w:rFonts w:ascii="Arial" w:hAnsi="Arial" w:cs="Arial"/>
        <w:b/>
        <w:sz w:val="48"/>
      </w:rPr>
    </w:pPr>
    <w:r>
      <w:rPr>
        <w:rFonts w:ascii="Arial" w:hAnsi="Arial" w:cs="Arial"/>
        <w:b/>
        <w:sz w:val="48"/>
      </w:rPr>
      <w:t>LT</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LT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7F3" w:rsidRDefault="00E027F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7F3" w:rsidRDefault="006D1C7A">
    <w:pPr>
      <w:pStyle w:val="Footer"/>
      <w:jc w:val="center"/>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noProof/>
      </w:rPr>
      <w:t>20</w:t>
    </w:r>
    <w:r>
      <w:rPr>
        <w:rFonts w:ascii="Times New Roman" w:hAnsi="Times New Roman"/>
      </w:rPr>
      <w:fldChar w:fldCharType="end"/>
    </w:r>
  </w:p>
  <w:p w:rsidR="00E027F3" w:rsidRDefault="00E027F3"/>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7F3" w:rsidRDefault="00E027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27F3" w:rsidRDefault="006D1C7A">
      <w:pPr>
        <w:spacing w:after="0" w:line="240" w:lineRule="auto"/>
      </w:pPr>
      <w:r>
        <w:separator/>
      </w:r>
    </w:p>
  </w:footnote>
  <w:footnote w:type="continuationSeparator" w:id="0">
    <w:p w:rsidR="00E027F3" w:rsidRDefault="006D1C7A">
      <w:pPr>
        <w:spacing w:after="0" w:line="240" w:lineRule="auto"/>
      </w:pPr>
      <w:r>
        <w:continuationSeparator/>
      </w:r>
    </w:p>
  </w:footnote>
  <w:footnote w:id="1">
    <w:p w:rsidR="00E027F3" w:rsidRDefault="006D1C7A">
      <w:pPr>
        <w:pStyle w:val="FootnoteText"/>
        <w:spacing w:after="0"/>
        <w:rPr>
          <w:rFonts w:ascii="Times New Roman" w:hAnsi="Times New Roman"/>
        </w:rPr>
      </w:pPr>
      <w:r>
        <w:rPr>
          <w:rStyle w:val="FootnoteReference"/>
          <w:rFonts w:ascii="Times New Roman" w:hAnsi="Times New Roman"/>
        </w:rPr>
        <w:footnoteRef/>
      </w:r>
      <w:r>
        <w:rPr>
          <w:rFonts w:ascii="Times New Roman" w:hAnsi="Times New Roman"/>
        </w:rPr>
        <w:t xml:space="preserve"> Žr., pavyzdžiui, 2015 m. gegužės mėn. Konkurencijos politikos informacinį dokumentą „</w:t>
      </w:r>
      <w:proofErr w:type="spellStart"/>
      <w:r>
        <w:rPr>
          <w:rFonts w:ascii="Times New Roman" w:hAnsi="Times New Roman"/>
        </w:rPr>
        <w:t>Improving</w:t>
      </w:r>
      <w:proofErr w:type="spellEnd"/>
      <w:r>
        <w:rPr>
          <w:rFonts w:ascii="Times New Roman" w:hAnsi="Times New Roman"/>
        </w:rPr>
        <w:t xml:space="preserve"> </w:t>
      </w:r>
      <w:proofErr w:type="spellStart"/>
      <w:r>
        <w:rPr>
          <w:rFonts w:ascii="Times New Roman" w:hAnsi="Times New Roman"/>
        </w:rPr>
        <w:t>competition</w:t>
      </w:r>
      <w:proofErr w:type="spellEnd"/>
      <w:r>
        <w:rPr>
          <w:rFonts w:ascii="Times New Roman" w:hAnsi="Times New Roman"/>
        </w:rPr>
        <w:t xml:space="preserve"> </w:t>
      </w:r>
      <w:proofErr w:type="spellStart"/>
      <w:r>
        <w:rPr>
          <w:rFonts w:ascii="Times New Roman" w:hAnsi="Times New Roman"/>
        </w:rPr>
        <w:t>in</w:t>
      </w:r>
      <w:proofErr w:type="spellEnd"/>
      <w:r>
        <w:rPr>
          <w:rFonts w:ascii="Times New Roman" w:hAnsi="Times New Roman"/>
        </w:rPr>
        <w:t xml:space="preserve">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Member</w:t>
      </w:r>
      <w:proofErr w:type="spellEnd"/>
      <w:r>
        <w:rPr>
          <w:rFonts w:ascii="Times New Roman" w:hAnsi="Times New Roman"/>
        </w:rPr>
        <w:t xml:space="preserve"> </w:t>
      </w:r>
      <w:proofErr w:type="spellStart"/>
      <w:r>
        <w:rPr>
          <w:rFonts w:ascii="Times New Roman" w:hAnsi="Times New Roman"/>
        </w:rPr>
        <w:t>States</w:t>
      </w:r>
      <w:proofErr w:type="spellEnd"/>
      <w:r>
        <w:rPr>
          <w:rFonts w:ascii="Times New Roman" w:hAnsi="Times New Roman"/>
        </w:rPr>
        <w:t xml:space="preserve"> to </w:t>
      </w:r>
      <w:proofErr w:type="spellStart"/>
      <w:r>
        <w:rPr>
          <w:rFonts w:ascii="Times New Roman" w:hAnsi="Times New Roman"/>
        </w:rPr>
        <w:t>boost</w:t>
      </w:r>
      <w:proofErr w:type="spellEnd"/>
      <w:r>
        <w:rPr>
          <w:rFonts w:ascii="Times New Roman" w:hAnsi="Times New Roman"/>
        </w:rPr>
        <w:t xml:space="preserve"> </w:t>
      </w:r>
      <w:proofErr w:type="spellStart"/>
      <w:r>
        <w:rPr>
          <w:rFonts w:ascii="Times New Roman" w:hAnsi="Times New Roman"/>
        </w:rPr>
        <w:t>growth</w:t>
      </w:r>
      <w:proofErr w:type="spellEnd"/>
      <w:r>
        <w:rPr>
          <w:rFonts w:ascii="Times New Roman" w:hAnsi="Times New Roman"/>
        </w:rPr>
        <w:t>“.</w:t>
      </w:r>
    </w:p>
  </w:footnote>
  <w:footnote w:id="2">
    <w:p w:rsidR="00E027F3" w:rsidRDefault="006D1C7A">
      <w:pPr>
        <w:pStyle w:val="FootnoteText"/>
        <w:spacing w:after="0" w:line="240" w:lineRule="auto"/>
        <w:rPr>
          <w:rFonts w:ascii="Times New Roman" w:hAnsi="Times New Roman"/>
        </w:rPr>
      </w:pPr>
      <w:r>
        <w:rPr>
          <w:rStyle w:val="FootnoteReference"/>
          <w:rFonts w:ascii="Times New Roman" w:hAnsi="Times New Roman"/>
        </w:rPr>
        <w:footnoteRef/>
      </w:r>
      <w:r>
        <w:rPr>
          <w:rFonts w:ascii="Times New Roman" w:hAnsi="Times New Roman"/>
        </w:rPr>
        <w:t xml:space="preserve"> </w:t>
      </w:r>
      <w:proofErr w:type="spellStart"/>
      <w:r>
        <w:rPr>
          <w:rFonts w:ascii="Times New Roman" w:hAnsi="Times New Roman"/>
        </w:rPr>
        <w:t>Dierx</w:t>
      </w:r>
      <w:proofErr w:type="spellEnd"/>
      <w:r>
        <w:rPr>
          <w:rFonts w:ascii="Times New Roman" w:hAnsi="Times New Roman"/>
        </w:rPr>
        <w:t xml:space="preserve"> A., </w:t>
      </w:r>
      <w:proofErr w:type="spellStart"/>
      <w:r>
        <w:rPr>
          <w:rFonts w:ascii="Times New Roman" w:hAnsi="Times New Roman"/>
        </w:rPr>
        <w:t>Ilzkovitz</w:t>
      </w:r>
      <w:proofErr w:type="spellEnd"/>
      <w:r>
        <w:rPr>
          <w:rFonts w:ascii="Times New Roman" w:hAnsi="Times New Roman"/>
        </w:rPr>
        <w:t xml:space="preserve">, F., </w:t>
      </w:r>
      <w:proofErr w:type="spellStart"/>
      <w:r>
        <w:rPr>
          <w:rFonts w:ascii="Times New Roman" w:hAnsi="Times New Roman"/>
        </w:rPr>
        <w:t>Pataracchia</w:t>
      </w:r>
      <w:proofErr w:type="spellEnd"/>
      <w:r>
        <w:rPr>
          <w:rFonts w:ascii="Times New Roman" w:hAnsi="Times New Roman"/>
        </w:rPr>
        <w:t xml:space="preserve">, B., </w:t>
      </w:r>
      <w:proofErr w:type="spellStart"/>
      <w:r>
        <w:rPr>
          <w:rFonts w:ascii="Times New Roman" w:hAnsi="Times New Roman"/>
        </w:rPr>
        <w:t>Ratto</w:t>
      </w:r>
      <w:proofErr w:type="spellEnd"/>
      <w:r>
        <w:rPr>
          <w:rFonts w:ascii="Times New Roman" w:hAnsi="Times New Roman"/>
        </w:rPr>
        <w:t xml:space="preserve">, M., </w:t>
      </w:r>
      <w:proofErr w:type="spellStart"/>
      <w:r>
        <w:rPr>
          <w:rFonts w:ascii="Times New Roman" w:hAnsi="Times New Roman"/>
        </w:rPr>
        <w:t>Thum-Thysen,</w:t>
      </w:r>
      <w:proofErr w:type="spellEnd"/>
      <w:r>
        <w:rPr>
          <w:rFonts w:ascii="Times New Roman" w:hAnsi="Times New Roman"/>
        </w:rPr>
        <w:t xml:space="preserve"> </w:t>
      </w:r>
      <w:proofErr w:type="spellStart"/>
      <w:r>
        <w:rPr>
          <w:rFonts w:ascii="Times New Roman" w:hAnsi="Times New Roman"/>
        </w:rPr>
        <w:t>A.,Varga</w:t>
      </w:r>
      <w:proofErr w:type="spellEnd"/>
      <w:r>
        <w:rPr>
          <w:rFonts w:ascii="Times New Roman" w:hAnsi="Times New Roman"/>
        </w:rPr>
        <w:t>, J., „</w:t>
      </w:r>
      <w:proofErr w:type="spellStart"/>
      <w:r>
        <w:rPr>
          <w:rFonts w:ascii="Times New Roman" w:hAnsi="Times New Roman"/>
        </w:rPr>
        <w:t>Distributional</w:t>
      </w:r>
      <w:proofErr w:type="spellEnd"/>
      <w:r>
        <w:rPr>
          <w:rFonts w:ascii="Times New Roman" w:hAnsi="Times New Roman"/>
        </w:rPr>
        <w:t xml:space="preserve"> </w:t>
      </w:r>
      <w:proofErr w:type="spellStart"/>
      <w:r>
        <w:rPr>
          <w:rFonts w:ascii="Times New Roman" w:hAnsi="Times New Roman"/>
        </w:rPr>
        <w:t>macroeconom</w:t>
      </w:r>
      <w:r>
        <w:rPr>
          <w:rFonts w:ascii="Times New Roman" w:hAnsi="Times New Roman"/>
        </w:rPr>
        <w:t>ic</w:t>
      </w:r>
      <w:proofErr w:type="spellEnd"/>
      <w:r>
        <w:rPr>
          <w:rFonts w:ascii="Times New Roman" w:hAnsi="Times New Roman"/>
        </w:rPr>
        <w:t xml:space="preserve"> </w:t>
      </w:r>
      <w:proofErr w:type="spellStart"/>
      <w:r>
        <w:rPr>
          <w:rFonts w:ascii="Times New Roman" w:hAnsi="Times New Roman"/>
        </w:rPr>
        <w:t>effects</w:t>
      </w:r>
      <w:proofErr w:type="spellEnd"/>
      <w:r>
        <w:rPr>
          <w:rFonts w:ascii="Times New Roman" w:hAnsi="Times New Roman"/>
        </w:rPr>
        <w:t xml:space="preserve"> </w:t>
      </w:r>
      <w:proofErr w:type="spellStart"/>
      <w:r>
        <w:rPr>
          <w:rFonts w:ascii="Times New Roman" w:hAnsi="Times New Roman"/>
        </w:rPr>
        <w:t>of</w:t>
      </w:r>
      <w:proofErr w:type="spellEnd"/>
      <w:r>
        <w:rPr>
          <w:rFonts w:ascii="Times New Roman" w:hAnsi="Times New Roman"/>
        </w:rPr>
        <w:t xml:space="preserve"> EU </w:t>
      </w:r>
      <w:proofErr w:type="spellStart"/>
      <w:r>
        <w:rPr>
          <w:rFonts w:ascii="Times New Roman" w:hAnsi="Times New Roman"/>
        </w:rPr>
        <w:t>competition</w:t>
      </w:r>
      <w:proofErr w:type="spellEnd"/>
      <w:r>
        <w:rPr>
          <w:rFonts w:ascii="Times New Roman" w:hAnsi="Times New Roman"/>
        </w:rPr>
        <w:t xml:space="preserve"> </w:t>
      </w:r>
      <w:proofErr w:type="spellStart"/>
      <w:r>
        <w:rPr>
          <w:rFonts w:ascii="Times New Roman" w:hAnsi="Times New Roman"/>
        </w:rPr>
        <w:t>policy</w:t>
      </w:r>
      <w:proofErr w:type="spellEnd"/>
      <w:r>
        <w:rPr>
          <w:rFonts w:ascii="Times New Roman" w:hAnsi="Times New Roman"/>
        </w:rPr>
        <w:t xml:space="preserve"> – a </w:t>
      </w:r>
      <w:proofErr w:type="spellStart"/>
      <w:r>
        <w:rPr>
          <w:rFonts w:ascii="Times New Roman" w:hAnsi="Times New Roman"/>
        </w:rPr>
        <w:t>general</w:t>
      </w:r>
      <w:proofErr w:type="spellEnd"/>
      <w:r>
        <w:rPr>
          <w:rFonts w:ascii="Times New Roman" w:hAnsi="Times New Roman"/>
        </w:rPr>
        <w:t xml:space="preserve"> </w:t>
      </w:r>
      <w:proofErr w:type="spellStart"/>
      <w:r>
        <w:rPr>
          <w:rFonts w:ascii="Times New Roman" w:hAnsi="Times New Roman"/>
        </w:rPr>
        <w:t>equilibrium</w:t>
      </w:r>
      <w:proofErr w:type="spellEnd"/>
      <w:r>
        <w:rPr>
          <w:rFonts w:ascii="Times New Roman" w:hAnsi="Times New Roman"/>
        </w:rPr>
        <w:t xml:space="preserve"> </w:t>
      </w:r>
      <w:proofErr w:type="spellStart"/>
      <w:r>
        <w:rPr>
          <w:rFonts w:ascii="Times New Roman" w:hAnsi="Times New Roman"/>
        </w:rPr>
        <w:t>analysis</w:t>
      </w:r>
      <w:proofErr w:type="spellEnd"/>
      <w:r>
        <w:rPr>
          <w:rFonts w:ascii="Times New Roman" w:hAnsi="Times New Roman"/>
        </w:rPr>
        <w:t xml:space="preserve">“, </w:t>
      </w:r>
      <w:proofErr w:type="spellStart"/>
      <w:r>
        <w:rPr>
          <w:rFonts w:ascii="Times New Roman" w:hAnsi="Times New Roman"/>
          <w:i/>
        </w:rPr>
        <w:t>Competition</w:t>
      </w:r>
      <w:proofErr w:type="spellEnd"/>
      <w:r>
        <w:rPr>
          <w:rFonts w:ascii="Times New Roman" w:hAnsi="Times New Roman"/>
          <w:i/>
        </w:rPr>
        <w:t xml:space="preserve"> </w:t>
      </w:r>
      <w:proofErr w:type="spellStart"/>
      <w:r>
        <w:rPr>
          <w:rFonts w:ascii="Times New Roman" w:hAnsi="Times New Roman"/>
          <w:i/>
        </w:rPr>
        <w:t>Policy</w:t>
      </w:r>
      <w:proofErr w:type="spellEnd"/>
      <w:r>
        <w:rPr>
          <w:rFonts w:ascii="Times New Roman" w:hAnsi="Times New Roman"/>
          <w:i/>
        </w:rPr>
        <w:t xml:space="preserve"> </w:t>
      </w:r>
      <w:proofErr w:type="spellStart"/>
      <w:r>
        <w:rPr>
          <w:rFonts w:ascii="Times New Roman" w:hAnsi="Times New Roman"/>
          <w:i/>
        </w:rPr>
        <w:t>and</w:t>
      </w:r>
      <w:proofErr w:type="spellEnd"/>
      <w:r>
        <w:rPr>
          <w:rFonts w:ascii="Times New Roman" w:hAnsi="Times New Roman"/>
          <w:i/>
        </w:rPr>
        <w:t xml:space="preserve"> </w:t>
      </w:r>
      <w:proofErr w:type="spellStart"/>
      <w:r>
        <w:rPr>
          <w:rFonts w:ascii="Times New Roman" w:hAnsi="Times New Roman"/>
          <w:i/>
        </w:rPr>
        <w:t>Shared</w:t>
      </w:r>
      <w:proofErr w:type="spellEnd"/>
      <w:r>
        <w:rPr>
          <w:rFonts w:ascii="Times New Roman" w:hAnsi="Times New Roman"/>
          <w:i/>
        </w:rPr>
        <w:t xml:space="preserve"> </w:t>
      </w:r>
      <w:proofErr w:type="spellStart"/>
      <w:r>
        <w:rPr>
          <w:rFonts w:ascii="Times New Roman" w:hAnsi="Times New Roman"/>
          <w:i/>
        </w:rPr>
        <w:t>Prosperity</w:t>
      </w:r>
      <w:proofErr w:type="spellEnd"/>
      <w:r>
        <w:rPr>
          <w:rFonts w:ascii="Times New Roman" w:hAnsi="Times New Roman"/>
        </w:rPr>
        <w:t xml:space="preserve"> (planuojama išleisti), Pasaulio bankas.</w:t>
      </w:r>
    </w:p>
  </w:footnote>
  <w:footnote w:id="3">
    <w:p w:rsidR="00E027F3" w:rsidRDefault="006D1C7A">
      <w:pPr>
        <w:pStyle w:val="FootnoteText"/>
        <w:spacing w:after="0" w:line="240" w:lineRule="auto"/>
        <w:rPr>
          <w:rFonts w:ascii="Times New Roman" w:hAnsi="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rPr>
        <w:t xml:space="preserve">Žr. </w:t>
      </w:r>
      <w:hyperlink r:id="rId1">
        <w:r>
          <w:rPr>
            <w:rStyle w:val="Hyperlink"/>
            <w:rFonts w:ascii="Times New Roman" w:hAnsi="Times New Roman"/>
          </w:rPr>
          <w:t>http://</w:t>
        </w:r>
        <w:r>
          <w:rPr>
            <w:rStyle w:val="Hyperlink"/>
            <w:rFonts w:ascii="Times New Roman" w:hAnsi="Times New Roman"/>
          </w:rPr>
          <w:t>ec.europa.eu/priorities/jobs-growth-investment/plan/index_en.htm</w:t>
        </w:r>
      </w:hyperlink>
      <w:r>
        <w:rPr>
          <w:rFonts w:ascii="Times New Roman" w:hAnsi="Times New Roman"/>
        </w:rPr>
        <w:t xml:space="preserve">. </w:t>
      </w:r>
    </w:p>
  </w:footnote>
  <w:footnote w:id="4">
    <w:p w:rsidR="00E027F3" w:rsidRDefault="006D1C7A">
      <w:pPr>
        <w:pStyle w:val="FootnoteText"/>
        <w:spacing w:after="0" w:line="240" w:lineRule="auto"/>
        <w:rPr>
          <w:rFonts w:ascii="Times New Roman" w:hAnsi="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rPr>
        <w:t xml:space="preserve">Žr. </w:t>
      </w:r>
      <w:hyperlink r:id="rId2">
        <w:r>
          <w:rPr>
            <w:rStyle w:val="Hyperlink"/>
            <w:rFonts w:ascii="Times New Roman" w:hAnsi="Times New Roman"/>
          </w:rPr>
          <w:t>http://ec.europa.eu/priorities/jobs-growth-investment/plan/efsi/index_en.htm</w:t>
        </w:r>
      </w:hyperlink>
      <w:r>
        <w:rPr>
          <w:rFonts w:ascii="Times New Roman" w:hAnsi="Times New Roman"/>
        </w:rPr>
        <w:t xml:space="preserve">. </w:t>
      </w:r>
    </w:p>
  </w:footnote>
  <w:footnote w:id="5">
    <w:p w:rsidR="00E027F3" w:rsidRDefault="006D1C7A">
      <w:pPr>
        <w:pStyle w:val="FootnoteText"/>
        <w:spacing w:after="0" w:line="240" w:lineRule="auto"/>
        <w:rPr>
          <w:rFonts w:ascii="Times New Roman" w:hAnsi="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rPr>
        <w:t xml:space="preserve">Žr. </w:t>
      </w:r>
      <w:hyperlink r:id="rId3">
        <w:r>
          <w:rPr>
            <w:rStyle w:val="Hyperlink"/>
            <w:rFonts w:ascii="Times New Roman" w:hAnsi="Times New Roman"/>
          </w:rPr>
          <w:t>http://ec.europa.eu/competition/state_aid/modernisation/index_en.html</w:t>
        </w:r>
      </w:hyperlink>
      <w:r>
        <w:rPr>
          <w:rFonts w:ascii="Times New Roman" w:hAnsi="Times New Roman"/>
        </w:rPr>
        <w:t xml:space="preserve">. </w:t>
      </w:r>
    </w:p>
  </w:footnote>
  <w:footnote w:id="6">
    <w:p w:rsidR="00E027F3" w:rsidRDefault="006D1C7A">
      <w:pPr>
        <w:pStyle w:val="FootnoteText"/>
        <w:spacing w:after="0" w:line="240" w:lineRule="auto"/>
        <w:rPr>
          <w:rFonts w:ascii="Times New Roman" w:hAnsi="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rPr>
        <w:t xml:space="preserve">2014 m. birželio 17 d. Komisijos reglamentas (ES) Nr. 651/2014, kuriuo tam tikrų kategorijų pagalba skelbiama suderinama su vidaus rinka taikant Sutarties 107 ir 108 straipsnius, OL L 187, 2014 6 26, žr. </w:t>
      </w:r>
      <w:hyperlink r:id="rId4">
        <w:r>
          <w:rPr>
            <w:rStyle w:val="Hyperlink"/>
            <w:rFonts w:ascii="Times New Roman" w:hAnsi="Times New Roman"/>
          </w:rPr>
          <w:t>http://eur-lex.europa.eu/legal-content/LT/TXT/HTML/?uri=CELEX:32014R0651&amp;from=LT</w:t>
        </w:r>
      </w:hyperlink>
      <w:r>
        <w:rPr>
          <w:rFonts w:ascii="Times New Roman" w:hAnsi="Times New Roman"/>
        </w:rPr>
        <w:t xml:space="preserve"> </w:t>
      </w:r>
    </w:p>
  </w:footnote>
  <w:footnote w:id="7">
    <w:p w:rsidR="00E027F3" w:rsidRDefault="006D1C7A">
      <w:pPr>
        <w:pStyle w:val="FootnoteText"/>
        <w:spacing w:after="0" w:line="240" w:lineRule="auto"/>
        <w:rPr>
          <w:rFonts w:ascii="Times New Roman" w:hAnsi="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rPr>
        <w:t>Komisijos komunikatas „Valstybės pagalbos moksliniams tyrimams, technologinei plėtrai ir inovacijoms sistema“ (OL C 198, 20</w:t>
      </w:r>
      <w:r>
        <w:rPr>
          <w:rFonts w:ascii="Times New Roman" w:hAnsi="Times New Roman"/>
        </w:rPr>
        <w:t xml:space="preserve">14 6 27, p. 1), žr. </w:t>
      </w:r>
      <w:hyperlink r:id="rId5">
        <w:r>
          <w:rPr>
            <w:rStyle w:val="Hyperlink"/>
            <w:rFonts w:ascii="Times New Roman" w:hAnsi="Times New Roman"/>
          </w:rPr>
          <w:t>http://eur-lex.europa.eu/legal-content/LT/TXT/HTML/?uri=CELEX:52014XC0627(01)&amp;from=EN</w:t>
        </w:r>
        <w:r>
          <w:rPr>
            <w:rStyle w:val="Hyperlink"/>
            <w:rFonts w:ascii="Times New Roman" w:hAnsi="Times New Roman"/>
          </w:rPr>
          <w:br/>
          <w:t>OL.C_.2014.198.01.0001.01.ENG</w:t>
        </w:r>
      </w:hyperlink>
    </w:p>
  </w:footnote>
  <w:footnote w:id="8">
    <w:p w:rsidR="00E027F3" w:rsidRDefault="006D1C7A">
      <w:pPr>
        <w:pStyle w:val="FootnoteText"/>
        <w:spacing w:after="0" w:line="240" w:lineRule="auto"/>
        <w:rPr>
          <w:rFonts w:ascii="Times New Roman" w:hAnsi="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rPr>
        <w:t>Komisijos kom</w:t>
      </w:r>
      <w:r>
        <w:rPr>
          <w:rFonts w:ascii="Times New Roman" w:hAnsi="Times New Roman"/>
        </w:rPr>
        <w:t xml:space="preserve">unikatas dėl valstybės pagalbos rizikos finansų investicijoms skatinti gairių, OL C 19, 2014 1 22, žr. </w:t>
      </w:r>
      <w:hyperlink r:id="rId6">
        <w:r>
          <w:rPr>
            <w:rStyle w:val="Hyperlink"/>
            <w:rFonts w:ascii="Times New Roman" w:hAnsi="Times New Roman"/>
          </w:rPr>
          <w:t>http://eur-lex.europa.eu/legal-content/LT/TXT/HT</w:t>
        </w:r>
        <w:r>
          <w:rPr>
            <w:rStyle w:val="Hyperlink"/>
            <w:rFonts w:ascii="Times New Roman" w:hAnsi="Times New Roman"/>
          </w:rPr>
          <w:t>ML/?uri=CELEX:52014XC0122(04)&amp;from=EN</w:t>
        </w:r>
      </w:hyperlink>
      <w:r>
        <w:rPr>
          <w:rStyle w:val="Hyperlink"/>
          <w:rFonts w:ascii="Times New Roman" w:hAnsi="Times New Roman"/>
        </w:rPr>
        <w:t>.</w:t>
      </w:r>
    </w:p>
  </w:footnote>
  <w:footnote w:id="9">
    <w:p w:rsidR="00E027F3" w:rsidRDefault="006D1C7A">
      <w:pPr>
        <w:pStyle w:val="FootnoteText"/>
        <w:spacing w:after="0" w:line="240" w:lineRule="auto"/>
        <w:rPr>
          <w:rFonts w:ascii="Times New Roman" w:hAnsi="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rPr>
        <w:t xml:space="preserve">Komisijos komunikatas „ Valstybės pagalbos taisyklių taikymo plačiajuosčio ryšio tinklų sparčiam diegimui ES gairės“, OL 2013 C 25, 2013 1 26, žr. </w:t>
      </w:r>
      <w:hyperlink r:id="rId7">
        <w:r>
          <w:rPr>
            <w:rStyle w:val="Hyperlink"/>
            <w:rFonts w:ascii="Times New Roman" w:hAnsi="Times New Roman"/>
          </w:rPr>
          <w:t>http://eur-lex.europa.eu/</w:t>
        </w:r>
      </w:hyperlink>
      <w:r>
        <w:rPr>
          <w:rFonts w:ascii="Times New Roman" w:hAnsi="Times New Roman"/>
        </w:rPr>
        <w:t xml:space="preserve"> </w:t>
      </w:r>
      <w:hyperlink r:id="rId8">
        <w:r>
          <w:rPr>
            <w:rStyle w:val="Hyperlink"/>
            <w:rFonts w:ascii="Times New Roman" w:hAnsi="Times New Roman"/>
          </w:rPr>
          <w:br/>
        </w:r>
        <w:proofErr w:type="spellStart"/>
        <w:r>
          <w:rPr>
            <w:rStyle w:val="Hyperlink"/>
            <w:rFonts w:ascii="Times New Roman" w:hAnsi="Times New Roman"/>
          </w:rPr>
          <w:t>LexUriServ</w:t>
        </w:r>
        <w:proofErr w:type="spellEnd"/>
        <w:r>
          <w:rPr>
            <w:rStyle w:val="Hyperlink"/>
            <w:rFonts w:ascii="Times New Roman" w:hAnsi="Times New Roman"/>
          </w:rPr>
          <w:t>/LexUriServ.do?uri=OJ:C:2013:025:0001:0026:lt:PDF</w:t>
        </w:r>
      </w:hyperlink>
      <w:r>
        <w:rPr>
          <w:rStyle w:val="Hyperlink"/>
          <w:rFonts w:ascii="Times New Roman" w:hAnsi="Times New Roman"/>
        </w:rPr>
        <w:t>.</w:t>
      </w:r>
    </w:p>
  </w:footnote>
  <w:footnote w:id="10">
    <w:p w:rsidR="00E027F3" w:rsidRDefault="006D1C7A">
      <w:pPr>
        <w:pStyle w:val="FootnoteText"/>
        <w:spacing w:after="0"/>
        <w:rPr>
          <w:rFonts w:ascii="Times New Roman" w:hAnsi="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rPr>
        <w:t xml:space="preserve">Žr. </w:t>
      </w:r>
      <w:hyperlink r:id="rId9">
        <w:r>
          <w:rPr>
            <w:rStyle w:val="Hyperlink"/>
            <w:rFonts w:ascii="Times New Roman" w:hAnsi="Times New Roman"/>
          </w:rPr>
          <w:t>http://ec.europa.eu/priorities/digital-single-market_en</w:t>
        </w:r>
      </w:hyperlink>
      <w:r>
        <w:rPr>
          <w:rFonts w:ascii="Times New Roman" w:hAnsi="Times New Roman"/>
        </w:rPr>
        <w:t xml:space="preserve">. </w:t>
      </w:r>
    </w:p>
  </w:footnote>
  <w:footnote w:id="11">
    <w:p w:rsidR="00E027F3" w:rsidRDefault="006D1C7A">
      <w:pPr>
        <w:pStyle w:val="FootnoteText"/>
        <w:spacing w:after="0" w:line="240" w:lineRule="auto"/>
        <w:rPr>
          <w:rFonts w:ascii="Times New Roman" w:hAnsi="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rPr>
        <w:t>2015 m. gegužės 6 d. Komisijos komunikatas Europos Parlamentui, Tarybai, Europos Ekonomikos ir socialinių reikalų komitetui ir Regionų komitetu</w:t>
      </w:r>
      <w:r>
        <w:rPr>
          <w:rFonts w:ascii="Times New Roman" w:hAnsi="Times New Roman"/>
        </w:rPr>
        <w:t xml:space="preserve">i „Europos bendrosios skaitmeninės rinkos strategija“, COM(2015) 192 </w:t>
      </w:r>
      <w:proofErr w:type="spellStart"/>
      <w:r>
        <w:rPr>
          <w:rFonts w:ascii="Times New Roman" w:hAnsi="Times New Roman"/>
          <w:i/>
        </w:rPr>
        <w:t>final</w:t>
      </w:r>
      <w:proofErr w:type="spellEnd"/>
      <w:r>
        <w:rPr>
          <w:rFonts w:ascii="Times New Roman" w:hAnsi="Times New Roman"/>
        </w:rPr>
        <w:t xml:space="preserve">, žr. </w:t>
      </w:r>
      <w:hyperlink r:id="rId10">
        <w:r>
          <w:rPr>
            <w:rStyle w:val="Hyperlink"/>
            <w:rFonts w:ascii="Times New Roman" w:hAnsi="Times New Roman"/>
          </w:rPr>
          <w:t>http://eur-lex.europa.eu/legal-content/LT/TXT/HTML/?uri=CELEX:52015DC0192&amp;f</w:t>
        </w:r>
        <w:r>
          <w:rPr>
            <w:rStyle w:val="Hyperlink"/>
            <w:rFonts w:ascii="Times New Roman" w:hAnsi="Times New Roman"/>
          </w:rPr>
          <w:t>rom=EN</w:t>
        </w:r>
      </w:hyperlink>
      <w:r>
        <w:rPr>
          <w:rFonts w:ascii="Times New Roman" w:hAnsi="Times New Roman"/>
        </w:rPr>
        <w:t>.</w:t>
      </w:r>
    </w:p>
  </w:footnote>
  <w:footnote w:id="12">
    <w:p w:rsidR="00E027F3" w:rsidRDefault="006D1C7A">
      <w:pPr>
        <w:pStyle w:val="FootnoteText"/>
        <w:spacing w:after="0" w:line="240" w:lineRule="auto"/>
        <w:rPr>
          <w:rFonts w:ascii="Times New Roman" w:hAnsi="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rPr>
        <w:t xml:space="preserve">Žr. naujausią Europos Parlamento tyrimą: </w:t>
      </w:r>
      <w:hyperlink r:id="rId11">
        <w:r>
          <w:rPr>
            <w:rStyle w:val="Hyperlink"/>
            <w:rFonts w:ascii="Times New Roman" w:hAnsi="Times New Roman"/>
          </w:rPr>
          <w:t>http://www.europarl.europa.eu/RegData/etudes/STUD/2015/542235/IPOL_STU%282015%29542235_EN.pdf</w:t>
        </w:r>
      </w:hyperlink>
      <w:r>
        <w:rPr>
          <w:rFonts w:ascii="Times New Roman" w:hAnsi="Times New Roman"/>
        </w:rPr>
        <w:t xml:space="preserve"> </w:t>
      </w:r>
    </w:p>
  </w:footnote>
  <w:footnote w:id="13">
    <w:p w:rsidR="00E027F3" w:rsidRDefault="006D1C7A">
      <w:pPr>
        <w:pStyle w:val="FootnoteText"/>
        <w:spacing w:after="0" w:line="240" w:lineRule="auto"/>
        <w:rPr>
          <w:rFonts w:ascii="Times New Roman" w:hAnsi="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rPr>
        <w:t>Byla AT.39740 „</w:t>
      </w:r>
      <w:proofErr w:type="spellStart"/>
      <w:r>
        <w:rPr>
          <w:rFonts w:ascii="Times New Roman" w:hAnsi="Times New Roman"/>
        </w:rPr>
        <w:t>Google</w:t>
      </w:r>
      <w:proofErr w:type="spellEnd"/>
      <w:r>
        <w:rPr>
          <w:rFonts w:ascii="Times New Roman" w:hAnsi="Times New Roman"/>
        </w:rPr>
        <w:t xml:space="preserve"> </w:t>
      </w:r>
      <w:proofErr w:type="spellStart"/>
      <w:r>
        <w:rPr>
          <w:rFonts w:ascii="Times New Roman" w:hAnsi="Times New Roman"/>
        </w:rPr>
        <w:t>search</w:t>
      </w:r>
      <w:proofErr w:type="spellEnd"/>
      <w:r>
        <w:rPr>
          <w:rFonts w:ascii="Times New Roman" w:hAnsi="Times New Roman"/>
        </w:rPr>
        <w:t xml:space="preserve">“, žr. 2015 m. balandžio 15 d. dokumentą IP/15/4780, paskelbtą </w:t>
      </w:r>
      <w:hyperlink r:id="rId12">
        <w:r>
          <w:rPr>
            <w:rStyle w:val="Hyperlink"/>
            <w:rFonts w:ascii="Times New Roman" w:hAnsi="Times New Roman"/>
          </w:rPr>
          <w:t>http://europa.eu/rapid/press-release_IP-15-4780_en.htm</w:t>
        </w:r>
      </w:hyperlink>
      <w:r>
        <w:rPr>
          <w:rFonts w:ascii="Times New Roman" w:hAnsi="Times New Roman"/>
        </w:rPr>
        <w:t>.</w:t>
      </w:r>
    </w:p>
  </w:footnote>
  <w:footnote w:id="14">
    <w:p w:rsidR="00E027F3" w:rsidRDefault="006D1C7A">
      <w:pPr>
        <w:pStyle w:val="FootnoteText"/>
        <w:spacing w:after="0" w:line="240" w:lineRule="auto"/>
        <w:rPr>
          <w:rFonts w:ascii="Times New Roman" w:hAnsi="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rPr>
        <w:t xml:space="preserve">Byla AT.40153 </w:t>
      </w:r>
      <w:r>
        <w:rPr>
          <w:rFonts w:ascii="Times New Roman" w:hAnsi="Times New Roman"/>
          <w:i/>
        </w:rPr>
        <w:t>Didžiausio palanku</w:t>
      </w:r>
      <w:r>
        <w:rPr>
          <w:rFonts w:ascii="Times New Roman" w:hAnsi="Times New Roman"/>
          <w:i/>
        </w:rPr>
        <w:t>mo statuso suteikimo e. knygoms sąlygos ir susiję klausimai</w:t>
      </w:r>
      <w:r>
        <w:rPr>
          <w:rFonts w:ascii="Times New Roman" w:hAnsi="Times New Roman"/>
        </w:rPr>
        <w:t xml:space="preserve">, žr. 2015 m. birželio 11 d. dokumentą IP/15/5166, paskelbtą </w:t>
      </w:r>
      <w:hyperlink r:id="rId13">
        <w:r>
          <w:rPr>
            <w:rStyle w:val="Hyperlink"/>
            <w:rFonts w:ascii="Times New Roman" w:hAnsi="Times New Roman"/>
          </w:rPr>
          <w:t>http://europa.eu/rapid/press-release_IP-15-5166_en.htm</w:t>
        </w:r>
      </w:hyperlink>
      <w:r>
        <w:rPr>
          <w:rFonts w:ascii="Times New Roman" w:hAnsi="Times New Roman"/>
        </w:rPr>
        <w:t xml:space="preserve">. </w:t>
      </w:r>
    </w:p>
  </w:footnote>
  <w:footnote w:id="15">
    <w:p w:rsidR="00E027F3" w:rsidRDefault="006D1C7A">
      <w:pPr>
        <w:pStyle w:val="FootnoteText"/>
        <w:spacing w:after="0" w:line="240" w:lineRule="auto"/>
        <w:rPr>
          <w:rFonts w:ascii="Times New Roman" w:hAnsi="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rPr>
        <w:t>Žr.</w:t>
      </w:r>
      <w:r>
        <w:rPr>
          <w:rFonts w:ascii="Times New Roman" w:hAnsi="Times New Roman"/>
        </w:rPr>
        <w:t xml:space="preserve"> bylą M.7194 </w:t>
      </w:r>
      <w:proofErr w:type="spellStart"/>
      <w:r>
        <w:rPr>
          <w:rFonts w:ascii="Times New Roman" w:hAnsi="Times New Roman"/>
          <w:i/>
        </w:rPr>
        <w:t>Liberty</w:t>
      </w:r>
      <w:proofErr w:type="spellEnd"/>
      <w:r>
        <w:rPr>
          <w:rFonts w:ascii="Times New Roman" w:hAnsi="Times New Roman"/>
          <w:i/>
        </w:rPr>
        <w:t xml:space="preserve"> </w:t>
      </w:r>
      <w:proofErr w:type="spellStart"/>
      <w:r>
        <w:rPr>
          <w:rFonts w:ascii="Times New Roman" w:hAnsi="Times New Roman"/>
          <w:i/>
        </w:rPr>
        <w:t>Global</w:t>
      </w:r>
      <w:proofErr w:type="spellEnd"/>
      <w:r>
        <w:rPr>
          <w:rFonts w:ascii="Times New Roman" w:hAnsi="Times New Roman"/>
          <w:i/>
        </w:rPr>
        <w:t xml:space="preserve"> / </w:t>
      </w:r>
      <w:proofErr w:type="spellStart"/>
      <w:r>
        <w:rPr>
          <w:rFonts w:ascii="Times New Roman" w:hAnsi="Times New Roman"/>
          <w:i/>
        </w:rPr>
        <w:t>Corelio</w:t>
      </w:r>
      <w:proofErr w:type="spellEnd"/>
      <w:r>
        <w:rPr>
          <w:rFonts w:ascii="Times New Roman" w:hAnsi="Times New Roman"/>
          <w:i/>
        </w:rPr>
        <w:t xml:space="preserve"> / W&amp;W / </w:t>
      </w:r>
      <w:proofErr w:type="spellStart"/>
      <w:r>
        <w:rPr>
          <w:rFonts w:ascii="Times New Roman" w:hAnsi="Times New Roman"/>
          <w:i/>
        </w:rPr>
        <w:t>De</w:t>
      </w:r>
      <w:proofErr w:type="spellEnd"/>
      <w:r>
        <w:rPr>
          <w:rFonts w:ascii="Times New Roman" w:hAnsi="Times New Roman"/>
          <w:i/>
        </w:rPr>
        <w:t xml:space="preserve"> </w:t>
      </w:r>
      <w:proofErr w:type="spellStart"/>
      <w:r>
        <w:rPr>
          <w:rFonts w:ascii="Times New Roman" w:hAnsi="Times New Roman"/>
          <w:i/>
        </w:rPr>
        <w:t>Vijver</w:t>
      </w:r>
      <w:proofErr w:type="spellEnd"/>
      <w:r>
        <w:rPr>
          <w:rFonts w:ascii="Times New Roman" w:hAnsi="Times New Roman"/>
          <w:i/>
        </w:rPr>
        <w:t xml:space="preserve"> </w:t>
      </w:r>
      <w:proofErr w:type="spellStart"/>
      <w:r>
        <w:rPr>
          <w:rFonts w:ascii="Times New Roman" w:hAnsi="Times New Roman"/>
          <w:i/>
        </w:rPr>
        <w:t>Media</w:t>
      </w:r>
      <w:proofErr w:type="spellEnd"/>
      <w:r>
        <w:rPr>
          <w:rFonts w:ascii="Times New Roman" w:hAnsi="Times New Roman"/>
        </w:rPr>
        <w:t xml:space="preserve">, 2015 m. vasario 24 d. Komisijos sprendimas, paskelbtas </w:t>
      </w:r>
      <w:hyperlink r:id="rId14">
        <w:r>
          <w:rPr>
            <w:rStyle w:val="Hyperlink"/>
            <w:rFonts w:ascii="Times New Roman" w:hAnsi="Times New Roman"/>
          </w:rPr>
          <w:t>http://ec.europa.eu/competition/elojade/isef/case_details.cfm?proc_code=2_M_7194</w:t>
        </w:r>
      </w:hyperlink>
      <w:r>
        <w:t>,</w:t>
      </w:r>
      <w:r>
        <w:rPr>
          <w:rFonts w:ascii="Times New Roman" w:hAnsi="Times New Roman"/>
        </w:rPr>
        <w:t xml:space="preserve"> ir bylą M.7499 </w:t>
      </w:r>
      <w:proofErr w:type="spellStart"/>
      <w:r>
        <w:rPr>
          <w:rFonts w:ascii="Times New Roman" w:hAnsi="Times New Roman"/>
          <w:i/>
        </w:rPr>
        <w:t>Altice</w:t>
      </w:r>
      <w:proofErr w:type="spellEnd"/>
      <w:r>
        <w:rPr>
          <w:rFonts w:ascii="Times New Roman" w:hAnsi="Times New Roman"/>
          <w:i/>
        </w:rPr>
        <w:t xml:space="preserve"> / PT </w:t>
      </w:r>
      <w:proofErr w:type="spellStart"/>
      <w:r>
        <w:rPr>
          <w:rFonts w:ascii="Times New Roman" w:hAnsi="Times New Roman"/>
          <w:i/>
        </w:rPr>
        <w:t>Portugal</w:t>
      </w:r>
      <w:proofErr w:type="spellEnd"/>
      <w:r>
        <w:rPr>
          <w:rFonts w:ascii="Times New Roman" w:hAnsi="Times New Roman"/>
        </w:rPr>
        <w:t xml:space="preserve">, 2015 m. balandžio 20 d. Komisijos sprendimas, paskelbtas </w:t>
      </w:r>
      <w:hyperlink r:id="rId15">
        <w:r>
          <w:rPr>
            <w:rStyle w:val="Hyperlink"/>
            <w:rFonts w:ascii="Times New Roman" w:hAnsi="Times New Roman"/>
          </w:rPr>
          <w:t>http://ec.europa.eu/competition/elojade/isef/case_details.cfm?proc_code=2_M_7499</w:t>
        </w:r>
      </w:hyperlink>
      <w:r>
        <w:rPr>
          <w:rFonts w:ascii="Times New Roman" w:hAnsi="Times New Roman"/>
        </w:rPr>
        <w:t xml:space="preserve"> .</w:t>
      </w:r>
    </w:p>
  </w:footnote>
  <w:footnote w:id="16">
    <w:p w:rsidR="00E027F3" w:rsidRDefault="006D1C7A">
      <w:pPr>
        <w:pStyle w:val="FootnoteText"/>
        <w:spacing w:after="0" w:line="240" w:lineRule="auto"/>
        <w:rPr>
          <w:rFonts w:ascii="Times New Roman" w:hAnsi="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rPr>
        <w:t xml:space="preserve">Byla AT.40153 </w:t>
      </w:r>
      <w:r>
        <w:rPr>
          <w:rFonts w:ascii="Times New Roman" w:hAnsi="Times New Roman"/>
          <w:i/>
        </w:rPr>
        <w:t>Tarpvalstybinė prieiga prie mokamos televizijos turinio</w:t>
      </w:r>
      <w:r>
        <w:rPr>
          <w:rFonts w:ascii="Times New Roman" w:hAnsi="Times New Roman"/>
        </w:rPr>
        <w:t xml:space="preserve">, žr. 2015 m. liepos 23 d. dokumentą IP/15/5432, paskelbtą </w:t>
      </w:r>
      <w:hyperlink r:id="rId16">
        <w:r>
          <w:rPr>
            <w:rStyle w:val="Hyperlink"/>
            <w:rFonts w:ascii="Times New Roman" w:hAnsi="Times New Roman"/>
          </w:rPr>
          <w:t>http://europa.eu/rapid/press-release_IP-15-5432_en.htm</w:t>
        </w:r>
      </w:hyperlink>
      <w:r>
        <w:rPr>
          <w:rFonts w:ascii="Times New Roman" w:hAnsi="Times New Roman"/>
        </w:rPr>
        <w:t>.</w:t>
      </w:r>
    </w:p>
  </w:footnote>
  <w:footnote w:id="17">
    <w:p w:rsidR="00E027F3" w:rsidRDefault="006D1C7A">
      <w:pPr>
        <w:pStyle w:val="FootnoteText"/>
        <w:spacing w:after="0" w:line="240" w:lineRule="auto"/>
        <w:rPr>
          <w:rFonts w:ascii="Times New Roman" w:hAnsi="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rPr>
        <w:t>2015 m. lapkričio 25 d. Europos Parlamento ir Tarybos reglamentas (ES) 2015/2120, kuriuo nustatomos priemonės, susijusios su atvira interneto priei</w:t>
      </w:r>
      <w:r>
        <w:rPr>
          <w:rFonts w:ascii="Times New Roman" w:hAnsi="Times New Roman"/>
        </w:rPr>
        <w:t xml:space="preserve">ga, ir kuriuo iš dalies keičiami Direktyva 2002/22/EB dėl universaliųjų paslaugų ir paslaugų gavėjų teisių, susijusių su elektroninių ryšių tinklais ir paslaugomis, ir Reglamentas (ES) Nr. 531/2012 dėl </w:t>
      </w:r>
      <w:proofErr w:type="spellStart"/>
      <w:r>
        <w:rPr>
          <w:rFonts w:ascii="Times New Roman" w:hAnsi="Times New Roman"/>
        </w:rPr>
        <w:t>tarptinklinio</w:t>
      </w:r>
      <w:proofErr w:type="spellEnd"/>
      <w:r>
        <w:rPr>
          <w:rFonts w:ascii="Times New Roman" w:hAnsi="Times New Roman"/>
        </w:rPr>
        <w:t xml:space="preserve"> ryšio per viešuosius judriojo ryšio tink</w:t>
      </w:r>
      <w:r>
        <w:rPr>
          <w:rFonts w:ascii="Times New Roman" w:hAnsi="Times New Roman"/>
        </w:rPr>
        <w:t>lus Sąjungoje, OL L 310, 2015 11 26, p. 1–18, paskelbtas</w:t>
      </w:r>
      <w:r>
        <w:t xml:space="preserve"> </w:t>
      </w:r>
      <w:hyperlink r:id="rId17">
        <w:r>
          <w:rPr>
            <w:rStyle w:val="Hyperlink"/>
            <w:rFonts w:ascii="Times New Roman" w:hAnsi="Times New Roman"/>
          </w:rPr>
          <w:t>http://eur-lex.europa.eu/legal-content/LT/TXT/?uri=CELEX%3A32015R2120</w:t>
        </w:r>
      </w:hyperlink>
      <w:r>
        <w:rPr>
          <w:rFonts w:ascii="Times New Roman" w:hAnsi="Times New Roman"/>
        </w:rPr>
        <w:t xml:space="preserve">. </w:t>
      </w:r>
    </w:p>
  </w:footnote>
  <w:footnote w:id="18">
    <w:p w:rsidR="00E027F3" w:rsidRDefault="006D1C7A">
      <w:pPr>
        <w:pStyle w:val="FootnoteText"/>
        <w:spacing w:after="0" w:line="240" w:lineRule="auto"/>
        <w:rPr>
          <w:rFonts w:ascii="Times New Roman" w:hAnsi="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rPr>
        <w:t xml:space="preserve">Bylos AT.40220 </w:t>
      </w:r>
      <w:proofErr w:type="spellStart"/>
      <w:r>
        <w:rPr>
          <w:rFonts w:ascii="Times New Roman" w:hAnsi="Times New Roman"/>
          <w:i/>
        </w:rPr>
        <w:t>Qualcomm</w:t>
      </w:r>
      <w:proofErr w:type="spellEnd"/>
      <w:r>
        <w:rPr>
          <w:rFonts w:ascii="Times New Roman" w:hAnsi="Times New Roman"/>
          <w:i/>
        </w:rPr>
        <w:t xml:space="preserve"> (mokėjimai </w:t>
      </w:r>
      <w:r>
        <w:rPr>
          <w:rFonts w:ascii="Times New Roman" w:hAnsi="Times New Roman"/>
          <w:i/>
        </w:rPr>
        <w:t>už išimtines teises)</w:t>
      </w:r>
      <w:r>
        <w:rPr>
          <w:rFonts w:ascii="Times New Roman" w:hAnsi="Times New Roman"/>
        </w:rPr>
        <w:t xml:space="preserve"> ir AT.39711 </w:t>
      </w:r>
      <w:proofErr w:type="spellStart"/>
      <w:r>
        <w:rPr>
          <w:rFonts w:ascii="Times New Roman" w:hAnsi="Times New Roman"/>
          <w:i/>
        </w:rPr>
        <w:t>Qualcomm</w:t>
      </w:r>
      <w:proofErr w:type="spellEnd"/>
      <w:r>
        <w:rPr>
          <w:rFonts w:ascii="Times New Roman" w:hAnsi="Times New Roman"/>
          <w:i/>
        </w:rPr>
        <w:t xml:space="preserve"> (agresyvi kainodara)</w:t>
      </w:r>
      <w:r>
        <w:rPr>
          <w:rFonts w:ascii="Times New Roman" w:hAnsi="Times New Roman"/>
        </w:rPr>
        <w:t xml:space="preserve">, žr. 2015 m. gruodžio 8 d. dokumentą IP/15/6271, paskelbtą </w:t>
      </w:r>
      <w:hyperlink r:id="rId18">
        <w:r>
          <w:rPr>
            <w:rStyle w:val="Hyperlink"/>
            <w:rFonts w:ascii="Times New Roman" w:hAnsi="Times New Roman"/>
          </w:rPr>
          <w:t>http://europa.eu/rapid/press-release_IP-15-6271_en.htm</w:t>
        </w:r>
      </w:hyperlink>
      <w:r>
        <w:rPr>
          <w:rFonts w:ascii="Times New Roman" w:hAnsi="Times New Roman"/>
        </w:rPr>
        <w:t xml:space="preserve">.  </w:t>
      </w:r>
    </w:p>
  </w:footnote>
  <w:footnote w:id="19">
    <w:p w:rsidR="00E027F3" w:rsidRDefault="006D1C7A">
      <w:pPr>
        <w:pStyle w:val="FootnoteText"/>
        <w:spacing w:after="0" w:line="240" w:lineRule="auto"/>
        <w:rPr>
          <w:rFonts w:ascii="Times New Roman" w:hAnsi="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rPr>
        <w:t xml:space="preserve">Byla AT.40099 </w:t>
      </w:r>
      <w:proofErr w:type="spellStart"/>
      <w:r>
        <w:rPr>
          <w:rFonts w:ascii="Times New Roman" w:hAnsi="Times New Roman"/>
          <w:i/>
        </w:rPr>
        <w:t>Google</w:t>
      </w:r>
      <w:proofErr w:type="spellEnd"/>
      <w:r>
        <w:rPr>
          <w:rFonts w:ascii="Times New Roman" w:hAnsi="Times New Roman"/>
          <w:i/>
        </w:rPr>
        <w:t xml:space="preserve"> </w:t>
      </w:r>
      <w:proofErr w:type="spellStart"/>
      <w:r>
        <w:rPr>
          <w:rFonts w:ascii="Times New Roman" w:hAnsi="Times New Roman"/>
          <w:i/>
        </w:rPr>
        <w:t>Android</w:t>
      </w:r>
      <w:proofErr w:type="spellEnd"/>
      <w:r>
        <w:rPr>
          <w:rFonts w:ascii="Times New Roman" w:hAnsi="Times New Roman"/>
        </w:rPr>
        <w:t xml:space="preserve">, žr. 2015 m. balandžio 15 d. MEMO/15/4782, paskelbtą </w:t>
      </w:r>
      <w:hyperlink r:id="rId19">
        <w:r>
          <w:rPr>
            <w:rStyle w:val="Hyperlink"/>
            <w:rFonts w:ascii="Times New Roman" w:hAnsi="Times New Roman"/>
          </w:rPr>
          <w:t>http://europa.eu/rapid/press-release_MEMO-15-4782_en.htm</w:t>
        </w:r>
      </w:hyperlink>
      <w:r>
        <w:rPr>
          <w:rFonts w:ascii="Times New Roman" w:hAnsi="Times New Roman"/>
        </w:rPr>
        <w:t>.</w:t>
      </w:r>
    </w:p>
  </w:footnote>
  <w:footnote w:id="20">
    <w:p w:rsidR="00E027F3" w:rsidRDefault="006D1C7A">
      <w:pPr>
        <w:pStyle w:val="FootnoteText"/>
        <w:spacing w:after="0" w:line="240" w:lineRule="auto"/>
        <w:rPr>
          <w:rFonts w:ascii="Times New Roman" w:hAnsi="Times New Roman"/>
        </w:rPr>
      </w:pPr>
      <w:r>
        <w:rPr>
          <w:rFonts w:ascii="Times New Roman" w:hAnsi="Times New Roman"/>
          <w:vertAlign w:val="superscript"/>
        </w:rPr>
        <w:footnoteRef/>
      </w:r>
      <w:r>
        <w:rPr>
          <w:rFonts w:ascii="Times New Roman" w:hAnsi="Times New Roman"/>
        </w:rPr>
        <w:t xml:space="preserve"> </w:t>
      </w:r>
      <w:r>
        <w:rPr>
          <w:rFonts w:ascii="Times New Roman" w:hAnsi="Times New Roman"/>
        </w:rPr>
        <w:t xml:space="preserve">Žr., pavyzdžiui, 2014 m. spalio 15 d. </w:t>
      </w:r>
      <w:r>
        <w:rPr>
          <w:rFonts w:ascii="Times New Roman" w:hAnsi="Times New Roman"/>
        </w:rPr>
        <w:t>sprendimą „</w:t>
      </w:r>
      <w:proofErr w:type="spellStart"/>
      <w:r>
        <w:rPr>
          <w:rFonts w:ascii="Times New Roman" w:hAnsi="Times New Roman"/>
        </w:rPr>
        <w:t>Slovak</w:t>
      </w:r>
      <w:proofErr w:type="spellEnd"/>
      <w:r>
        <w:rPr>
          <w:rFonts w:ascii="Times New Roman" w:hAnsi="Times New Roman"/>
        </w:rPr>
        <w:t xml:space="preserve"> </w:t>
      </w:r>
      <w:proofErr w:type="spellStart"/>
      <w:r>
        <w:rPr>
          <w:rFonts w:ascii="Times New Roman" w:hAnsi="Times New Roman"/>
        </w:rPr>
        <w:t>Telecom</w:t>
      </w:r>
      <w:proofErr w:type="spellEnd"/>
      <w:r>
        <w:rPr>
          <w:rFonts w:ascii="Times New Roman" w:hAnsi="Times New Roman"/>
        </w:rPr>
        <w:t>“ (byla AT.39523), paskelbtą</w:t>
      </w:r>
      <w:r>
        <w:t xml:space="preserve"> </w:t>
      </w:r>
      <w:hyperlink r:id="rId20">
        <w:r>
          <w:rPr>
            <w:rStyle w:val="Hyperlink"/>
            <w:rFonts w:ascii="Times New Roman" w:hAnsi="Times New Roman"/>
          </w:rPr>
          <w:t>http://ec.europa.eu/competition/elojade/isef/case_details.cfm?proc_code=1_39523</w:t>
        </w:r>
      </w:hyperlink>
      <w:r>
        <w:rPr>
          <w:rFonts w:ascii="Times New Roman" w:hAnsi="Times New Roman"/>
        </w:rPr>
        <w:t>. .</w:t>
      </w:r>
    </w:p>
  </w:footnote>
  <w:footnote w:id="21">
    <w:p w:rsidR="00E027F3" w:rsidRDefault="006D1C7A">
      <w:pPr>
        <w:pStyle w:val="FootnoteText"/>
        <w:spacing w:after="0" w:line="240" w:lineRule="auto"/>
        <w:rPr>
          <w:rFonts w:ascii="Times New Roman" w:hAnsi="Times New Roman"/>
        </w:rPr>
      </w:pPr>
      <w:r>
        <w:rPr>
          <w:rStyle w:val="FootnoteReference"/>
          <w:rFonts w:ascii="Times New Roman" w:hAnsi="Times New Roman"/>
        </w:rPr>
        <w:footnoteRef/>
      </w:r>
      <w:r>
        <w:rPr>
          <w:rFonts w:ascii="Times New Roman" w:hAnsi="Times New Roman"/>
        </w:rPr>
        <w:t xml:space="preserve"> Byla M.7421 </w:t>
      </w:r>
      <w:proofErr w:type="spellStart"/>
      <w:r>
        <w:rPr>
          <w:rFonts w:ascii="Times New Roman" w:hAnsi="Times New Roman"/>
          <w:i/>
        </w:rPr>
        <w:t>Orange</w:t>
      </w:r>
      <w:proofErr w:type="spellEnd"/>
      <w:r>
        <w:rPr>
          <w:rFonts w:ascii="Times New Roman" w:hAnsi="Times New Roman"/>
          <w:i/>
        </w:rPr>
        <w:t xml:space="preserve"> / </w:t>
      </w:r>
      <w:proofErr w:type="spellStart"/>
      <w:r>
        <w:rPr>
          <w:rFonts w:ascii="Times New Roman" w:hAnsi="Times New Roman"/>
          <w:i/>
        </w:rPr>
        <w:t>Jazztel</w:t>
      </w:r>
      <w:proofErr w:type="spellEnd"/>
      <w:r>
        <w:rPr>
          <w:rFonts w:ascii="Times New Roman" w:hAnsi="Times New Roman"/>
        </w:rPr>
        <w:t xml:space="preserve">, 2015 m. gegužės 19 d. Komisijos sprendimas, paskelbtas </w:t>
      </w:r>
      <w:hyperlink r:id="rId21">
        <w:r>
          <w:rPr>
            <w:rStyle w:val="Hyperlink"/>
            <w:rFonts w:ascii="Times New Roman" w:hAnsi="Times New Roman"/>
          </w:rPr>
          <w:t>http://ec.europa.eu/competition/elojade/isef/case_details.cfm?proc_code=2_M_7421</w:t>
        </w:r>
      </w:hyperlink>
      <w:r>
        <w:rPr>
          <w:rFonts w:ascii="Times New Roman" w:hAnsi="Times New Roman"/>
        </w:rPr>
        <w:t>. .</w:t>
      </w:r>
    </w:p>
  </w:footnote>
  <w:footnote w:id="22">
    <w:p w:rsidR="00E027F3" w:rsidRDefault="006D1C7A">
      <w:pPr>
        <w:pStyle w:val="FootnoteText"/>
        <w:spacing w:after="0" w:line="240" w:lineRule="auto"/>
        <w:rPr>
          <w:rFonts w:ascii="Times New Roman" w:hAnsi="Times New Roman"/>
        </w:rPr>
      </w:pPr>
      <w:r>
        <w:rPr>
          <w:rStyle w:val="FootnoteReference"/>
          <w:rFonts w:ascii="Times New Roman" w:hAnsi="Times New Roman"/>
        </w:rPr>
        <w:footnoteRef/>
      </w:r>
      <w:r>
        <w:rPr>
          <w:rFonts w:ascii="Times New Roman" w:hAnsi="Times New Roman"/>
        </w:rPr>
        <w:t xml:space="preserve"> Byl</w:t>
      </w:r>
      <w:r>
        <w:rPr>
          <w:rFonts w:ascii="Times New Roman" w:hAnsi="Times New Roman"/>
        </w:rPr>
        <w:t xml:space="preserve">a M.7612 </w:t>
      </w:r>
      <w:proofErr w:type="spellStart"/>
      <w:r>
        <w:rPr>
          <w:rFonts w:ascii="Times New Roman" w:hAnsi="Times New Roman"/>
          <w:i/>
        </w:rPr>
        <w:t>Hutchison</w:t>
      </w:r>
      <w:proofErr w:type="spellEnd"/>
      <w:r>
        <w:rPr>
          <w:rFonts w:ascii="Times New Roman" w:hAnsi="Times New Roman"/>
          <w:i/>
        </w:rPr>
        <w:t xml:space="preserve"> 3G UK / </w:t>
      </w:r>
      <w:proofErr w:type="spellStart"/>
      <w:r>
        <w:rPr>
          <w:rFonts w:ascii="Times New Roman" w:hAnsi="Times New Roman"/>
          <w:i/>
        </w:rPr>
        <w:t>Telefónica</w:t>
      </w:r>
      <w:proofErr w:type="spellEnd"/>
      <w:r>
        <w:rPr>
          <w:rFonts w:ascii="Times New Roman" w:hAnsi="Times New Roman"/>
          <w:i/>
        </w:rPr>
        <w:t xml:space="preserve"> UK</w:t>
      </w:r>
      <w:r>
        <w:rPr>
          <w:rFonts w:ascii="Times New Roman" w:hAnsi="Times New Roman"/>
        </w:rPr>
        <w:t>, paskelbta</w:t>
      </w:r>
      <w:r>
        <w:t xml:space="preserve"> </w:t>
      </w:r>
      <w:hyperlink r:id="rId22">
        <w:r>
          <w:rPr>
            <w:rStyle w:val="Hyperlink"/>
            <w:rFonts w:ascii="Times New Roman" w:hAnsi="Times New Roman"/>
          </w:rPr>
          <w:t>http://ec.europa.eu/competition/elojade/isef/case_details.cfm?proc_code=2_M_7612</w:t>
        </w:r>
      </w:hyperlink>
      <w:r>
        <w:rPr>
          <w:rFonts w:ascii="Times New Roman" w:hAnsi="Times New Roman"/>
        </w:rPr>
        <w:t>.</w:t>
      </w:r>
    </w:p>
  </w:footnote>
  <w:footnote w:id="23">
    <w:p w:rsidR="00E027F3" w:rsidRDefault="006D1C7A">
      <w:pPr>
        <w:pStyle w:val="FootnoteText"/>
        <w:spacing w:after="0" w:line="240" w:lineRule="auto"/>
        <w:rPr>
          <w:rStyle w:val="FootnoteReference"/>
          <w:rFonts w:ascii="Times New Roman" w:hAnsi="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rPr>
        <w:t xml:space="preserve">Byla M.7637 </w:t>
      </w:r>
      <w:proofErr w:type="spellStart"/>
      <w:r>
        <w:rPr>
          <w:rFonts w:ascii="Times New Roman" w:hAnsi="Times New Roman"/>
          <w:i/>
        </w:rPr>
        <w:t>Liberty</w:t>
      </w:r>
      <w:proofErr w:type="spellEnd"/>
      <w:r>
        <w:rPr>
          <w:rFonts w:ascii="Times New Roman" w:hAnsi="Times New Roman"/>
          <w:i/>
        </w:rPr>
        <w:t xml:space="preserve"> </w:t>
      </w:r>
      <w:proofErr w:type="spellStart"/>
      <w:r>
        <w:rPr>
          <w:rFonts w:ascii="Times New Roman" w:hAnsi="Times New Roman"/>
          <w:i/>
        </w:rPr>
        <w:t>Global</w:t>
      </w:r>
      <w:proofErr w:type="spellEnd"/>
      <w:r>
        <w:rPr>
          <w:rFonts w:ascii="Times New Roman" w:hAnsi="Times New Roman"/>
          <w:i/>
        </w:rPr>
        <w:t xml:space="preserve"> / BASE </w:t>
      </w:r>
      <w:proofErr w:type="spellStart"/>
      <w:r>
        <w:rPr>
          <w:rFonts w:ascii="Times New Roman" w:hAnsi="Times New Roman"/>
          <w:i/>
        </w:rPr>
        <w:t>Belgium</w:t>
      </w:r>
      <w:proofErr w:type="spellEnd"/>
      <w:r>
        <w:rPr>
          <w:rFonts w:ascii="Times New Roman" w:hAnsi="Times New Roman"/>
        </w:rPr>
        <w:t xml:space="preserve">, paskelbta </w:t>
      </w:r>
      <w:hyperlink r:id="rId23">
        <w:r>
          <w:rPr>
            <w:rStyle w:val="Hyperlink"/>
            <w:rFonts w:ascii="Times New Roman" w:hAnsi="Times New Roman"/>
          </w:rPr>
          <w:t>http://ec.europa.eu/competition/elojade/isef/case_details.cfm?proc_code=2_M_7637</w:t>
        </w:r>
      </w:hyperlink>
      <w:r>
        <w:rPr>
          <w:rFonts w:ascii="Times New Roman" w:hAnsi="Times New Roman"/>
        </w:rPr>
        <w:t>.</w:t>
      </w:r>
    </w:p>
  </w:footnote>
  <w:footnote w:id="24">
    <w:p w:rsidR="00E027F3" w:rsidRDefault="006D1C7A">
      <w:pPr>
        <w:pStyle w:val="FootnoteText"/>
        <w:spacing w:after="0" w:line="240" w:lineRule="auto"/>
        <w:rPr>
          <w:rFonts w:ascii="Times New Roman" w:hAnsi="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rPr>
        <w:t xml:space="preserve">Byla M.7419 </w:t>
      </w:r>
      <w:proofErr w:type="spellStart"/>
      <w:r>
        <w:rPr>
          <w:rFonts w:ascii="Times New Roman" w:hAnsi="Times New Roman"/>
          <w:i/>
        </w:rPr>
        <w:t>TeliaSonera</w:t>
      </w:r>
      <w:proofErr w:type="spellEnd"/>
      <w:r>
        <w:rPr>
          <w:rFonts w:ascii="Times New Roman" w:hAnsi="Times New Roman"/>
          <w:i/>
        </w:rPr>
        <w:t xml:space="preserve"> / </w:t>
      </w:r>
      <w:proofErr w:type="spellStart"/>
      <w:r>
        <w:rPr>
          <w:rFonts w:ascii="Times New Roman" w:hAnsi="Times New Roman"/>
          <w:i/>
        </w:rPr>
        <w:t>Telenor</w:t>
      </w:r>
      <w:proofErr w:type="spellEnd"/>
      <w:r>
        <w:rPr>
          <w:rFonts w:ascii="Times New Roman" w:hAnsi="Times New Roman"/>
          <w:i/>
        </w:rPr>
        <w:t xml:space="preserve"> / JV</w:t>
      </w:r>
      <w:r>
        <w:rPr>
          <w:rFonts w:ascii="Times New Roman" w:hAnsi="Times New Roman"/>
        </w:rPr>
        <w:t>,</w:t>
      </w:r>
      <w:r>
        <w:rPr>
          <w:rFonts w:ascii="Times New Roman" w:hAnsi="Times New Roman"/>
        </w:rPr>
        <w:t xml:space="preserve"> paskelbta </w:t>
      </w:r>
      <w:hyperlink r:id="rId24">
        <w:r>
          <w:rPr>
            <w:rStyle w:val="Hyperlink"/>
            <w:rFonts w:ascii="Times New Roman" w:hAnsi="Times New Roman"/>
          </w:rPr>
          <w:t>http://ec.europa.eu/competition/elojade/isef/case_details.cfm?proc_code=2_M_7419</w:t>
        </w:r>
      </w:hyperlink>
      <w:r>
        <w:rPr>
          <w:rFonts w:ascii="Times New Roman" w:hAnsi="Times New Roman"/>
        </w:rPr>
        <w:t>. .</w:t>
      </w:r>
    </w:p>
  </w:footnote>
  <w:footnote w:id="25">
    <w:p w:rsidR="00E027F3" w:rsidRDefault="006D1C7A">
      <w:pPr>
        <w:pStyle w:val="FootnoteText"/>
        <w:spacing w:after="0" w:line="240" w:lineRule="auto"/>
        <w:rPr>
          <w:rFonts w:ascii="Times New Roman" w:hAnsi="Times New Roman"/>
        </w:rPr>
      </w:pPr>
      <w:r>
        <w:rPr>
          <w:rStyle w:val="FootnoteReference"/>
          <w:rFonts w:ascii="Times New Roman" w:hAnsi="Times New Roman"/>
        </w:rPr>
        <w:footnoteRef/>
      </w:r>
      <w:r>
        <w:rPr>
          <w:rFonts w:ascii="Times New Roman" w:hAnsi="Times New Roman"/>
        </w:rPr>
        <w:t xml:space="preserve"> </w:t>
      </w:r>
      <w:r>
        <w:t>2015 m. vasario 25 d. Komisijos komunikatas Europos Parlame</w:t>
      </w:r>
      <w:r>
        <w:t xml:space="preserve">ntui, Tarybai, Europos ekonomikos ir socialinių reikalų komitetui, Regionų komitetui ir Europos investicijų bankui </w:t>
      </w:r>
      <w:r>
        <w:rPr>
          <w:rFonts w:ascii="Times New Roman" w:hAnsi="Times New Roman"/>
        </w:rPr>
        <w:t>„Atsparios energetikos sąjungos ir perspektyvios klimato kaitos politikos pagrindų strategija“</w:t>
      </w:r>
      <w:r>
        <w:t xml:space="preserve">, COM (2015) 080 </w:t>
      </w:r>
      <w:proofErr w:type="spellStart"/>
      <w:r>
        <w:rPr>
          <w:i/>
        </w:rPr>
        <w:t>final</w:t>
      </w:r>
      <w:proofErr w:type="spellEnd"/>
      <w:r>
        <w:t xml:space="preserve">, paskelbtas </w:t>
      </w:r>
      <w:hyperlink r:id="rId25">
        <w:r>
          <w:rPr>
            <w:rStyle w:val="Hyperlink"/>
            <w:rFonts w:ascii="Times New Roman" w:hAnsi="Times New Roman"/>
          </w:rPr>
          <w:t>http://eur-lex.europa.eu/legal-content/LT/TXT/?uri=COM%3A2015 % 3a80 %3afin</w:t>
        </w:r>
      </w:hyperlink>
      <w:r>
        <w:rPr>
          <w:rFonts w:ascii="Times New Roman" w:hAnsi="Times New Roman"/>
        </w:rPr>
        <w:t>. .</w:t>
      </w:r>
    </w:p>
  </w:footnote>
  <w:footnote w:id="26">
    <w:p w:rsidR="00E027F3" w:rsidRDefault="006D1C7A">
      <w:pPr>
        <w:pStyle w:val="FootnoteText"/>
        <w:spacing w:after="0" w:line="240" w:lineRule="auto"/>
        <w:rPr>
          <w:rFonts w:ascii="Times New Roman" w:hAnsi="Times New Roman"/>
        </w:rPr>
      </w:pPr>
      <w:r>
        <w:rPr>
          <w:rStyle w:val="FootnoteReference"/>
          <w:rFonts w:ascii="Times New Roman" w:hAnsi="Times New Roman"/>
        </w:rPr>
        <w:footnoteRef/>
      </w:r>
      <w:r>
        <w:rPr>
          <w:rFonts w:ascii="Times New Roman" w:hAnsi="Times New Roman"/>
        </w:rPr>
        <w:t xml:space="preserve"> Byla AT.39816 </w:t>
      </w:r>
      <w:r>
        <w:rPr>
          <w:rFonts w:ascii="Times New Roman" w:hAnsi="Times New Roman"/>
          <w:i/>
        </w:rPr>
        <w:t>Gamintojų grandies dujų tiekimas Vidurio ir Rytų Europoje</w:t>
      </w:r>
      <w:r>
        <w:rPr>
          <w:rFonts w:ascii="Times New Roman" w:hAnsi="Times New Roman"/>
        </w:rPr>
        <w:t>, žr. 2015 </w:t>
      </w:r>
      <w:proofErr w:type="spellStart"/>
      <w:r>
        <w:rPr>
          <w:rFonts w:ascii="Times New Roman" w:hAnsi="Times New Roman"/>
        </w:rPr>
        <w:t>m.balandžio</w:t>
      </w:r>
      <w:proofErr w:type="spellEnd"/>
      <w:r>
        <w:rPr>
          <w:rFonts w:ascii="Times New Roman" w:hAnsi="Times New Roman"/>
        </w:rPr>
        <w:t xml:space="preserve"> 22 d. d</w:t>
      </w:r>
      <w:r>
        <w:rPr>
          <w:rFonts w:ascii="Times New Roman" w:hAnsi="Times New Roman"/>
        </w:rPr>
        <w:t xml:space="preserve">okumentą IP/15/4828, paskelbtą </w:t>
      </w:r>
      <w:hyperlink r:id="rId26">
        <w:r>
          <w:rPr>
            <w:rStyle w:val="Hyperlink"/>
            <w:rFonts w:ascii="Times New Roman" w:hAnsi="Times New Roman"/>
          </w:rPr>
          <w:t>http://europa.eu/rapid/press-release_IP-15-4828_lt.htm</w:t>
        </w:r>
      </w:hyperlink>
      <w:r>
        <w:rPr>
          <w:rFonts w:ascii="Times New Roman" w:hAnsi="Times New Roman"/>
        </w:rPr>
        <w:t xml:space="preserve">. </w:t>
      </w:r>
    </w:p>
  </w:footnote>
  <w:footnote w:id="27">
    <w:p w:rsidR="00E027F3" w:rsidRDefault="006D1C7A">
      <w:pPr>
        <w:pStyle w:val="FootnoteText"/>
        <w:spacing w:after="0" w:line="240" w:lineRule="auto"/>
        <w:rPr>
          <w:rFonts w:ascii="Times New Roman" w:hAnsi="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rPr>
        <w:t xml:space="preserve">Žr., pavyzdžiui, bylą AT.39952 </w:t>
      </w:r>
      <w:r>
        <w:rPr>
          <w:rFonts w:ascii="Times New Roman" w:hAnsi="Times New Roman"/>
          <w:i/>
        </w:rPr>
        <w:t>Elektros energijos biržos</w:t>
      </w:r>
      <w:r>
        <w:rPr>
          <w:rFonts w:ascii="Times New Roman" w:hAnsi="Times New Roman"/>
        </w:rPr>
        <w:t>, 2014 m. kovo 5 d. Komisijos sprend</w:t>
      </w:r>
      <w:r>
        <w:rPr>
          <w:rFonts w:ascii="Times New Roman" w:hAnsi="Times New Roman"/>
        </w:rPr>
        <w:t xml:space="preserve">imas, žr. dokumentą IP/14/215, paskelbtą </w:t>
      </w:r>
      <w:hyperlink r:id="rId27">
        <w:r>
          <w:rPr>
            <w:rStyle w:val="Hyperlink"/>
            <w:rFonts w:ascii="Times New Roman" w:hAnsi="Times New Roman"/>
          </w:rPr>
          <w:t>http://europa.eu/rapid/press-release_IP-14-215_en.htm</w:t>
        </w:r>
      </w:hyperlink>
      <w:r>
        <w:rPr>
          <w:rFonts w:ascii="Times New Roman" w:hAnsi="Times New Roman"/>
        </w:rPr>
        <w:t xml:space="preserve"> </w:t>
      </w:r>
    </w:p>
  </w:footnote>
  <w:footnote w:id="28">
    <w:p w:rsidR="00E027F3" w:rsidRDefault="006D1C7A">
      <w:pPr>
        <w:pStyle w:val="FootnoteText"/>
        <w:spacing w:after="0" w:line="240" w:lineRule="auto"/>
        <w:rPr>
          <w:rFonts w:ascii="Times New Roman" w:hAnsi="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rPr>
        <w:t xml:space="preserve">Byla AT.39849 </w:t>
      </w:r>
      <w:r>
        <w:rPr>
          <w:rFonts w:ascii="Times New Roman" w:hAnsi="Times New Roman"/>
          <w:i/>
        </w:rPr>
        <w:t>BEH dujos</w:t>
      </w:r>
      <w:r>
        <w:rPr>
          <w:rFonts w:ascii="Times New Roman" w:hAnsi="Times New Roman"/>
        </w:rPr>
        <w:t xml:space="preserve">, žr. dokumentą IP/15/4651, paskelbtą </w:t>
      </w:r>
      <w:hyperlink r:id="rId28">
        <w:r>
          <w:rPr>
            <w:rStyle w:val="Hyperlink"/>
            <w:rFonts w:ascii="Times New Roman" w:hAnsi="Times New Roman"/>
          </w:rPr>
          <w:t>http://europa.eu/rapid/press-release_IP-15-4651_en.htm</w:t>
        </w:r>
      </w:hyperlink>
      <w:r>
        <w:rPr>
          <w:rFonts w:ascii="Times New Roman" w:hAnsi="Times New Roman"/>
        </w:rPr>
        <w:t>.</w:t>
      </w:r>
    </w:p>
  </w:footnote>
  <w:footnote w:id="29">
    <w:p w:rsidR="00E027F3" w:rsidRDefault="006D1C7A">
      <w:pPr>
        <w:pStyle w:val="FootnoteText"/>
        <w:spacing w:after="0" w:line="240" w:lineRule="auto"/>
        <w:rPr>
          <w:rFonts w:ascii="Times New Roman" w:hAnsi="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rPr>
        <w:t xml:space="preserve">Byla AT.39767 </w:t>
      </w:r>
      <w:r>
        <w:rPr>
          <w:rFonts w:ascii="Times New Roman" w:hAnsi="Times New Roman"/>
          <w:i/>
        </w:rPr>
        <w:t>BEH Elektros energija</w:t>
      </w:r>
      <w:r>
        <w:rPr>
          <w:rFonts w:ascii="Times New Roman" w:hAnsi="Times New Roman"/>
        </w:rPr>
        <w:t xml:space="preserve">, žr. 2015 m. gruodžio 10 d. dokumentą IP/15/6289, paskelbtą </w:t>
      </w:r>
      <w:hyperlink r:id="rId29">
        <w:r>
          <w:rPr>
            <w:rStyle w:val="Hyperlink"/>
            <w:rFonts w:ascii="Times New Roman" w:hAnsi="Times New Roman"/>
          </w:rPr>
          <w:t>http://europa.eu/rapid/press-release_IP-15-6289_en.htm</w:t>
        </w:r>
      </w:hyperlink>
      <w:r>
        <w:rPr>
          <w:rFonts w:ascii="Times New Roman" w:hAnsi="Times New Roman"/>
        </w:rPr>
        <w:t xml:space="preserve"> </w:t>
      </w:r>
    </w:p>
  </w:footnote>
  <w:footnote w:id="30">
    <w:p w:rsidR="00E027F3" w:rsidRDefault="006D1C7A">
      <w:pPr>
        <w:pStyle w:val="FootnoteText"/>
        <w:spacing w:after="0" w:line="240" w:lineRule="auto"/>
        <w:rPr>
          <w:rFonts w:ascii="Times New Roman" w:hAnsi="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rPr>
        <w:t xml:space="preserve">Komisijos komunikatas </w:t>
      </w:r>
      <w:r>
        <w:rPr>
          <w:rFonts w:ascii="Times New Roman" w:hAnsi="Times New Roman"/>
          <w:i/>
        </w:rPr>
        <w:t>2014–2020 m. Valstybės pagalbos aplinkos apsaugai ir energetikai gairės</w:t>
      </w:r>
      <w:r>
        <w:rPr>
          <w:rFonts w:ascii="Times New Roman" w:hAnsi="Times New Roman"/>
        </w:rPr>
        <w:t xml:space="preserve">, OL C 200, 2014 6 28, paskelbtas </w:t>
      </w:r>
      <w:hyperlink r:id="rId30">
        <w:r>
          <w:rPr>
            <w:rStyle w:val="Hyperlink"/>
            <w:rFonts w:ascii="Times New Roman" w:hAnsi="Times New Roman"/>
          </w:rPr>
          <w:t>http://eur-lex.europa.eu/legal-content/LT/TXT/?uri=CELEX:52014XC0628%2801%29</w:t>
        </w:r>
      </w:hyperlink>
      <w:r>
        <w:rPr>
          <w:rFonts w:ascii="Times New Roman" w:hAnsi="Times New Roman"/>
        </w:rPr>
        <w:t xml:space="preserve">. </w:t>
      </w:r>
    </w:p>
  </w:footnote>
  <w:footnote w:id="31">
    <w:p w:rsidR="00E027F3" w:rsidRDefault="006D1C7A">
      <w:pPr>
        <w:pStyle w:val="FootnoteText"/>
        <w:spacing w:after="0" w:line="240" w:lineRule="auto"/>
        <w:rPr>
          <w:rFonts w:ascii="Times New Roman" w:hAnsi="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rPr>
        <w:t xml:space="preserve">Byla M.7278 </w:t>
      </w:r>
      <w:proofErr w:type="spellStart"/>
      <w:r>
        <w:rPr>
          <w:rFonts w:ascii="Times New Roman" w:hAnsi="Times New Roman"/>
          <w:i/>
        </w:rPr>
        <w:t>General</w:t>
      </w:r>
      <w:proofErr w:type="spellEnd"/>
      <w:r>
        <w:rPr>
          <w:rFonts w:ascii="Times New Roman" w:hAnsi="Times New Roman"/>
          <w:i/>
        </w:rPr>
        <w:t xml:space="preserve"> </w:t>
      </w:r>
      <w:proofErr w:type="spellStart"/>
      <w:r>
        <w:rPr>
          <w:rFonts w:ascii="Times New Roman" w:hAnsi="Times New Roman"/>
          <w:i/>
        </w:rPr>
        <w:t>Electric</w:t>
      </w:r>
      <w:proofErr w:type="spellEnd"/>
      <w:r>
        <w:rPr>
          <w:rFonts w:ascii="Times New Roman" w:hAnsi="Times New Roman"/>
          <w:i/>
        </w:rPr>
        <w:t xml:space="preserve"> / </w:t>
      </w:r>
      <w:proofErr w:type="spellStart"/>
      <w:r>
        <w:rPr>
          <w:rFonts w:ascii="Times New Roman" w:hAnsi="Times New Roman"/>
          <w:i/>
        </w:rPr>
        <w:t>Alstom</w:t>
      </w:r>
      <w:proofErr w:type="spellEnd"/>
      <w:r>
        <w:rPr>
          <w:rFonts w:ascii="Times New Roman" w:hAnsi="Times New Roman"/>
          <w:i/>
        </w:rPr>
        <w:t xml:space="preserve"> (</w:t>
      </w:r>
      <w:proofErr w:type="spellStart"/>
      <w:r>
        <w:rPr>
          <w:rFonts w:ascii="Times New Roman" w:hAnsi="Times New Roman"/>
          <w:i/>
        </w:rPr>
        <w:t>Thermal</w:t>
      </w:r>
      <w:proofErr w:type="spellEnd"/>
      <w:r>
        <w:rPr>
          <w:rFonts w:ascii="Times New Roman" w:hAnsi="Times New Roman"/>
          <w:i/>
        </w:rPr>
        <w:t xml:space="preserve"> </w:t>
      </w:r>
      <w:proofErr w:type="spellStart"/>
      <w:r>
        <w:rPr>
          <w:rFonts w:ascii="Times New Roman" w:hAnsi="Times New Roman"/>
          <w:i/>
        </w:rPr>
        <w:t>power</w:t>
      </w:r>
      <w:proofErr w:type="spellEnd"/>
      <w:r>
        <w:rPr>
          <w:rFonts w:ascii="Times New Roman" w:hAnsi="Times New Roman"/>
          <w:i/>
        </w:rPr>
        <w:t xml:space="preserve"> – </w:t>
      </w:r>
      <w:proofErr w:type="spellStart"/>
      <w:r>
        <w:rPr>
          <w:rFonts w:ascii="Times New Roman" w:hAnsi="Times New Roman"/>
          <w:i/>
        </w:rPr>
        <w:t>Renewable</w:t>
      </w:r>
      <w:proofErr w:type="spellEnd"/>
      <w:r>
        <w:rPr>
          <w:rFonts w:ascii="Times New Roman" w:hAnsi="Times New Roman"/>
          <w:i/>
        </w:rPr>
        <w:t xml:space="preserve"> </w:t>
      </w:r>
      <w:proofErr w:type="spellStart"/>
      <w:r>
        <w:rPr>
          <w:rFonts w:ascii="Times New Roman" w:hAnsi="Times New Roman"/>
          <w:i/>
        </w:rPr>
        <w:t>power</w:t>
      </w:r>
      <w:proofErr w:type="spellEnd"/>
      <w:r>
        <w:rPr>
          <w:rFonts w:ascii="Times New Roman" w:hAnsi="Times New Roman"/>
          <w:i/>
        </w:rPr>
        <w:t xml:space="preserve"> &amp; </w:t>
      </w:r>
      <w:proofErr w:type="spellStart"/>
      <w:r>
        <w:rPr>
          <w:rFonts w:ascii="Times New Roman" w:hAnsi="Times New Roman"/>
          <w:i/>
        </w:rPr>
        <w:t>Grid</w:t>
      </w:r>
      <w:proofErr w:type="spellEnd"/>
      <w:r>
        <w:rPr>
          <w:rFonts w:ascii="Times New Roman" w:hAnsi="Times New Roman"/>
          <w:i/>
        </w:rPr>
        <w:t xml:space="preserve"> </w:t>
      </w:r>
      <w:proofErr w:type="spellStart"/>
      <w:r>
        <w:rPr>
          <w:rFonts w:ascii="Times New Roman" w:hAnsi="Times New Roman"/>
          <w:i/>
        </w:rPr>
        <w:t>Business</w:t>
      </w:r>
      <w:proofErr w:type="spellEnd"/>
      <w:r>
        <w:rPr>
          <w:rFonts w:ascii="Times New Roman" w:hAnsi="Times New Roman"/>
          <w:i/>
        </w:rPr>
        <w:t>)</w:t>
      </w:r>
      <w:r>
        <w:rPr>
          <w:rFonts w:ascii="Times New Roman" w:hAnsi="Times New Roman"/>
        </w:rPr>
        <w:t xml:space="preserve">, 2015 m. rugsėjo 8 d. Komisijos sprendimas, paskelbtas </w:t>
      </w:r>
      <w:hyperlink r:id="rId31">
        <w:r>
          <w:rPr>
            <w:rStyle w:val="Hyperlink"/>
            <w:rFonts w:ascii="Times New Roman" w:hAnsi="Times New Roman"/>
          </w:rPr>
          <w:t>http://ec.europa.eu/competition/elojade/isef/index.cfm?fuseaction=dsp_result</w:t>
        </w:r>
      </w:hyperlink>
      <w:r>
        <w:rPr>
          <w:rFonts w:ascii="Times New Roman" w:hAnsi="Times New Roman"/>
        </w:rPr>
        <w:t>.</w:t>
      </w:r>
    </w:p>
  </w:footnote>
  <w:footnote w:id="32">
    <w:p w:rsidR="00E027F3" w:rsidRDefault="006D1C7A">
      <w:pPr>
        <w:pStyle w:val="FootnoteText"/>
        <w:spacing w:after="0" w:line="240" w:lineRule="auto"/>
        <w:rPr>
          <w:rFonts w:ascii="Times New Roman" w:hAnsi="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rPr>
        <w:t>Žr. 2015 </w:t>
      </w:r>
      <w:proofErr w:type="spellStart"/>
      <w:r>
        <w:rPr>
          <w:rFonts w:ascii="Times New Roman" w:hAnsi="Times New Roman"/>
        </w:rPr>
        <w:t>m.kovo</w:t>
      </w:r>
      <w:proofErr w:type="spellEnd"/>
      <w:r>
        <w:rPr>
          <w:rFonts w:ascii="Times New Roman" w:hAnsi="Times New Roman"/>
        </w:rPr>
        <w:t xml:space="preserve"> 18 d. do</w:t>
      </w:r>
      <w:r>
        <w:rPr>
          <w:rFonts w:ascii="Times New Roman" w:hAnsi="Times New Roman"/>
        </w:rPr>
        <w:t xml:space="preserve">kumentą IP/15/4610, paskelbtą </w:t>
      </w:r>
      <w:hyperlink r:id="rId32">
        <w:r>
          <w:rPr>
            <w:rStyle w:val="Hyperlink"/>
            <w:rFonts w:ascii="Times New Roman" w:hAnsi="Times New Roman"/>
          </w:rPr>
          <w:t>http://europa.eu/rapid/press-release_IP-15-4610_lt.htm</w:t>
        </w:r>
      </w:hyperlink>
      <w:r>
        <w:rPr>
          <w:rFonts w:ascii="Times New Roman" w:hAnsi="Times New Roman"/>
        </w:rPr>
        <w:t>.</w:t>
      </w:r>
    </w:p>
  </w:footnote>
  <w:footnote w:id="33">
    <w:p w:rsidR="00E027F3" w:rsidRDefault="006D1C7A">
      <w:pPr>
        <w:pStyle w:val="FootnoteText"/>
        <w:spacing w:after="0" w:line="240" w:lineRule="auto"/>
        <w:rPr>
          <w:rFonts w:ascii="Times New Roman" w:hAnsi="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rPr>
        <w:t xml:space="preserve">Žr. 2015 m. birželio 17 d. dokumentą IP/15/5188, paskelbtą </w:t>
      </w:r>
      <w:r>
        <w:rPr>
          <w:rStyle w:val="Hyperlink"/>
          <w:rFonts w:ascii="Times New Roman" w:hAnsi="Times New Roman"/>
        </w:rPr>
        <w:t>http://europa.eu/rapid/press-releas</w:t>
      </w:r>
      <w:r>
        <w:rPr>
          <w:rStyle w:val="Hyperlink"/>
          <w:rFonts w:ascii="Times New Roman" w:hAnsi="Times New Roman"/>
        </w:rPr>
        <w:t>e_IP-15-5188_lt.htm</w:t>
      </w:r>
    </w:p>
  </w:footnote>
  <w:footnote w:id="34">
    <w:p w:rsidR="00E027F3" w:rsidRDefault="006D1C7A">
      <w:pPr>
        <w:pStyle w:val="FootnoteText"/>
        <w:spacing w:after="0" w:line="240" w:lineRule="auto"/>
        <w:rPr>
          <w:rFonts w:ascii="Times New Roman" w:hAnsi="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rPr>
        <w:t xml:space="preserve">Byla SA.38375 </w:t>
      </w:r>
      <w:r>
        <w:rPr>
          <w:rFonts w:ascii="Times New Roman" w:hAnsi="Times New Roman"/>
          <w:i/>
        </w:rPr>
        <w:t>Įtariama pagalba FFT– Liuksemburgas</w:t>
      </w:r>
      <w:r>
        <w:rPr>
          <w:rFonts w:ascii="Times New Roman" w:hAnsi="Times New Roman"/>
        </w:rPr>
        <w:t xml:space="preserve">, 2015 m. spalio 15 d. Komisijos sprendimas, paskelbtas </w:t>
      </w:r>
      <w:hyperlink r:id="rId33">
        <w:r>
          <w:rPr>
            <w:rStyle w:val="Hyperlink"/>
            <w:rFonts w:ascii="Times New Roman" w:hAnsi="Times New Roman"/>
          </w:rPr>
          <w:t>http://ec.europa.eu/competi</w:t>
        </w:r>
        <w:r>
          <w:rPr>
            <w:rStyle w:val="Hyperlink"/>
            <w:rFonts w:ascii="Times New Roman" w:hAnsi="Times New Roman"/>
          </w:rPr>
          <w:t>tion/elojade/isef/case_details.cfm?proc_code=3_SA_38375</w:t>
        </w:r>
      </w:hyperlink>
      <w:r>
        <w:rPr>
          <w:rFonts w:ascii="Times New Roman" w:hAnsi="Times New Roman"/>
        </w:rPr>
        <w:t xml:space="preserve">. </w:t>
      </w:r>
    </w:p>
  </w:footnote>
  <w:footnote w:id="35">
    <w:p w:rsidR="00E027F3" w:rsidRDefault="006D1C7A">
      <w:pPr>
        <w:pStyle w:val="FootnoteText"/>
        <w:spacing w:after="0" w:line="240" w:lineRule="auto"/>
        <w:rPr>
          <w:rFonts w:ascii="Times New Roman" w:hAnsi="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rPr>
        <w:t xml:space="preserve">Byla SA.38374 </w:t>
      </w:r>
      <w:r>
        <w:rPr>
          <w:rFonts w:ascii="Times New Roman" w:hAnsi="Times New Roman"/>
          <w:i/>
        </w:rPr>
        <w:t>Įtariama pagalba „</w:t>
      </w:r>
      <w:proofErr w:type="spellStart"/>
      <w:r>
        <w:rPr>
          <w:rFonts w:ascii="Times New Roman" w:hAnsi="Times New Roman"/>
          <w:i/>
        </w:rPr>
        <w:t>Starbucks</w:t>
      </w:r>
      <w:proofErr w:type="spellEnd"/>
      <w:r>
        <w:rPr>
          <w:rFonts w:ascii="Times New Roman" w:hAnsi="Times New Roman"/>
          <w:i/>
        </w:rPr>
        <w:t>“</w:t>
      </w:r>
      <w:r>
        <w:rPr>
          <w:rFonts w:ascii="Times New Roman" w:hAnsi="Times New Roman"/>
        </w:rPr>
        <w:t xml:space="preserve">, 2015 m. spalio 21 d. Komisijos sprendimas, paskelbtas </w:t>
      </w:r>
      <w:hyperlink r:id="rId34">
        <w:r>
          <w:rPr>
            <w:rStyle w:val="Hyperlink"/>
            <w:rFonts w:ascii="Times New Roman" w:hAnsi="Times New Roman"/>
          </w:rPr>
          <w:t>http://ec.europa.eu/competition/elojade/isef/case_details.cfm?proc_code=3_SA_38374</w:t>
        </w:r>
      </w:hyperlink>
      <w:r>
        <w:rPr>
          <w:rFonts w:ascii="Times New Roman" w:hAnsi="Times New Roman"/>
        </w:rPr>
        <w:t xml:space="preserve">. </w:t>
      </w:r>
    </w:p>
  </w:footnote>
  <w:footnote w:id="36">
    <w:p w:rsidR="00E027F3" w:rsidRDefault="006D1C7A">
      <w:pPr>
        <w:pStyle w:val="FootnoteText"/>
        <w:spacing w:after="0" w:line="240" w:lineRule="auto"/>
        <w:rPr>
          <w:rFonts w:ascii="Times New Roman" w:hAnsi="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rPr>
        <w:t xml:space="preserve">Žr. 2015 m. spalio 21 d. dokumentą IP/15/5880, paskelbtą </w:t>
      </w:r>
      <w:r>
        <w:rPr>
          <w:rStyle w:val="Hyperlink"/>
          <w:rFonts w:ascii="Times New Roman" w:hAnsi="Times New Roman"/>
        </w:rPr>
        <w:t>http://europa.eu/rapid/press-release_IP-15-5188_lt.htm</w:t>
      </w:r>
    </w:p>
  </w:footnote>
  <w:footnote w:id="37">
    <w:p w:rsidR="00E027F3" w:rsidRDefault="006D1C7A">
      <w:pPr>
        <w:pStyle w:val="FootnoteText"/>
        <w:spacing w:after="0" w:line="240" w:lineRule="auto"/>
        <w:rPr>
          <w:rFonts w:ascii="Times New Roman" w:hAnsi="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rPr>
        <w:t xml:space="preserve">Byla SA.38945 </w:t>
      </w:r>
      <w:r>
        <w:rPr>
          <w:rFonts w:ascii="Times New Roman" w:hAnsi="Times New Roman"/>
          <w:i/>
        </w:rPr>
        <w:t>Įtariama pagalba bendrovei „</w:t>
      </w:r>
      <w:proofErr w:type="spellStart"/>
      <w:r>
        <w:rPr>
          <w:rFonts w:ascii="Times New Roman" w:hAnsi="Times New Roman"/>
          <w:i/>
        </w:rPr>
        <w:t>Mc</w:t>
      </w:r>
      <w:proofErr w:type="spellEnd"/>
      <w:r>
        <w:rPr>
          <w:rFonts w:ascii="Times New Roman" w:hAnsi="Times New Roman"/>
          <w:i/>
        </w:rPr>
        <w:t xml:space="preserve"> </w:t>
      </w:r>
      <w:proofErr w:type="spellStart"/>
      <w:r>
        <w:rPr>
          <w:rFonts w:ascii="Times New Roman" w:hAnsi="Times New Roman"/>
          <w:i/>
        </w:rPr>
        <w:t>Donald</w:t>
      </w:r>
      <w:r>
        <w:rPr>
          <w:rFonts w:ascii="Times New Roman" w:hAnsi="Times New Roman"/>
          <w:i/>
        </w:rPr>
        <w:t>'s</w:t>
      </w:r>
      <w:proofErr w:type="spellEnd"/>
      <w:r>
        <w:rPr>
          <w:rFonts w:ascii="Times New Roman" w:hAnsi="Times New Roman"/>
          <w:i/>
        </w:rPr>
        <w:t>“ – Liuksemburgas</w:t>
      </w:r>
      <w:r>
        <w:rPr>
          <w:rFonts w:ascii="Times New Roman" w:hAnsi="Times New Roman"/>
        </w:rPr>
        <w:t xml:space="preserve">, 2015 gruodžio 3 d. Komisijos sprendimas pradėti oficialią tyrimo procedūrą, </w:t>
      </w:r>
      <w:proofErr w:type="spellStart"/>
      <w:r>
        <w:rPr>
          <w:rFonts w:ascii="Times New Roman" w:hAnsi="Times New Roman"/>
        </w:rPr>
        <w:t>žr.dokumentą</w:t>
      </w:r>
      <w:proofErr w:type="spellEnd"/>
      <w:r>
        <w:rPr>
          <w:rFonts w:ascii="Times New Roman" w:hAnsi="Times New Roman"/>
        </w:rPr>
        <w:t xml:space="preserve"> IP/15/6221, paskelbtą </w:t>
      </w:r>
      <w:hyperlink r:id="rId35">
        <w:r>
          <w:rPr>
            <w:rStyle w:val="Hyperlink"/>
            <w:rFonts w:ascii="Times New Roman" w:hAnsi="Times New Roman"/>
          </w:rPr>
          <w:t>http://europa.eu/rapid/press-release_IP-15-6221_lt</w:t>
        </w:r>
        <w:r>
          <w:rPr>
            <w:rStyle w:val="Hyperlink"/>
            <w:rFonts w:ascii="Times New Roman" w:hAnsi="Times New Roman"/>
          </w:rPr>
          <w:t>.htm</w:t>
        </w:r>
      </w:hyperlink>
      <w:r>
        <w:rPr>
          <w:rFonts w:ascii="Times New Roman" w:hAnsi="Times New Roman"/>
        </w:rPr>
        <w:t xml:space="preserve">. </w:t>
      </w:r>
    </w:p>
  </w:footnote>
  <w:footnote w:id="38">
    <w:p w:rsidR="00E027F3" w:rsidRDefault="006D1C7A">
      <w:pPr>
        <w:pStyle w:val="FootnoteText"/>
        <w:spacing w:after="0" w:line="240" w:lineRule="auto"/>
        <w:rPr>
          <w:rFonts w:ascii="Times New Roman" w:hAnsi="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rPr>
        <w:t xml:space="preserve">Byla SA.38373 </w:t>
      </w:r>
      <w:r>
        <w:rPr>
          <w:rFonts w:ascii="Times New Roman" w:hAnsi="Times New Roman"/>
          <w:i/>
        </w:rPr>
        <w:t xml:space="preserve">Įtariama pagalba bendrovei „Apple“, </w:t>
      </w:r>
      <w:r>
        <w:rPr>
          <w:rFonts w:ascii="Times New Roman" w:hAnsi="Times New Roman"/>
        </w:rPr>
        <w:t xml:space="preserve">paskelbta </w:t>
      </w:r>
      <w:hyperlink r:id="rId36">
        <w:r>
          <w:rPr>
            <w:rStyle w:val="Hyperlink"/>
            <w:rFonts w:ascii="Times New Roman" w:hAnsi="Times New Roman"/>
          </w:rPr>
          <w:t>http://ec.europa.eu/competition/elojade/isef/case_details.cfm?proc_code=3_SA_38373</w:t>
        </w:r>
      </w:hyperlink>
      <w:r>
        <w:rPr>
          <w:rFonts w:ascii="Times New Roman" w:hAnsi="Times New Roman"/>
          <w:i/>
        </w:rPr>
        <w:t xml:space="preserve">. </w:t>
      </w:r>
    </w:p>
  </w:footnote>
  <w:footnote w:id="39">
    <w:p w:rsidR="00E027F3" w:rsidRDefault="006D1C7A">
      <w:pPr>
        <w:pStyle w:val="FootnoteText"/>
        <w:spacing w:after="0" w:line="240" w:lineRule="auto"/>
        <w:rPr>
          <w:rFonts w:ascii="Times New Roman" w:hAnsi="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rPr>
        <w:t xml:space="preserve">Byla SA.38944 </w:t>
      </w:r>
      <w:r>
        <w:rPr>
          <w:rFonts w:ascii="Times New Roman" w:hAnsi="Times New Roman"/>
          <w:i/>
        </w:rPr>
        <w:t>Tariama pagalba bendrovei „</w:t>
      </w:r>
      <w:proofErr w:type="spellStart"/>
      <w:r>
        <w:rPr>
          <w:rFonts w:ascii="Times New Roman" w:hAnsi="Times New Roman"/>
          <w:i/>
        </w:rPr>
        <w:t>Amazon</w:t>
      </w:r>
      <w:proofErr w:type="spellEnd"/>
      <w:r>
        <w:rPr>
          <w:rFonts w:ascii="Times New Roman" w:hAnsi="Times New Roman"/>
          <w:i/>
        </w:rPr>
        <w:t>“</w:t>
      </w:r>
      <w:r>
        <w:rPr>
          <w:rFonts w:ascii="Times New Roman" w:hAnsi="Times New Roman"/>
        </w:rPr>
        <w:t xml:space="preserve">, paskelbta </w:t>
      </w:r>
      <w:hyperlink r:id="rId37">
        <w:r>
          <w:rPr>
            <w:rStyle w:val="Hyperlink"/>
            <w:rFonts w:ascii="Times New Roman" w:hAnsi="Times New Roman"/>
          </w:rPr>
          <w:t>http://ec.europa.eu/competition/elojade/isef/case_details.cfm?proc_code=3_SA_38944</w:t>
        </w:r>
      </w:hyperlink>
      <w:r>
        <w:rPr>
          <w:rFonts w:ascii="Times New Roman" w:hAnsi="Times New Roman"/>
        </w:rPr>
        <w:t xml:space="preserve">. </w:t>
      </w:r>
    </w:p>
  </w:footnote>
  <w:footnote w:id="40">
    <w:p w:rsidR="00E027F3" w:rsidRDefault="006D1C7A">
      <w:pPr>
        <w:pStyle w:val="FootnoteText"/>
        <w:spacing w:after="0" w:line="240" w:lineRule="auto"/>
        <w:rPr>
          <w:rFonts w:ascii="Times New Roman" w:hAnsi="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rPr>
        <w:t xml:space="preserve">Byla </w:t>
      </w:r>
      <w:r>
        <w:rPr>
          <w:rFonts w:ascii="Times New Roman" w:hAnsi="Times New Roman"/>
        </w:rPr>
        <w:t xml:space="preserve">SA.37667 </w:t>
      </w:r>
      <w:r>
        <w:rPr>
          <w:rFonts w:ascii="Times New Roman" w:hAnsi="Times New Roman"/>
          <w:i/>
        </w:rPr>
        <w:t xml:space="preserve">Atleidimas nuo </w:t>
      </w:r>
      <w:proofErr w:type="spellStart"/>
      <w:r>
        <w:rPr>
          <w:rFonts w:ascii="Times New Roman" w:hAnsi="Times New Roman"/>
          <w:i/>
        </w:rPr>
        <w:t>perviršinio</w:t>
      </w:r>
      <w:proofErr w:type="spellEnd"/>
      <w:r>
        <w:rPr>
          <w:rFonts w:ascii="Times New Roman" w:hAnsi="Times New Roman"/>
          <w:i/>
        </w:rPr>
        <w:t xml:space="preserve"> pelno mokesčio Belgijoje</w:t>
      </w:r>
      <w:r>
        <w:rPr>
          <w:rFonts w:ascii="Times New Roman" w:hAnsi="Times New Roman"/>
        </w:rPr>
        <w:t xml:space="preserve">, 2015 m. vasario 3 d. Komisijos sprendimas pradėti oficialią tyrimo procedūrą, žr. dokumentą IP/15/4080, paskelbtą </w:t>
      </w:r>
      <w:hyperlink r:id="rId38">
        <w:r>
          <w:rPr>
            <w:rStyle w:val="Hyperlink"/>
            <w:rFonts w:ascii="Times New Roman" w:hAnsi="Times New Roman"/>
          </w:rPr>
          <w:t>http://europa.eu/rapid/press-release_IP-15-4080_en.htm</w:t>
        </w:r>
      </w:hyperlink>
      <w:r>
        <w:rPr>
          <w:rFonts w:ascii="Times New Roman" w:hAnsi="Times New Roman"/>
        </w:rPr>
        <w:t xml:space="preserve">. </w:t>
      </w:r>
    </w:p>
  </w:footnote>
  <w:footnote w:id="41">
    <w:p w:rsidR="00E027F3" w:rsidRDefault="006D1C7A">
      <w:pPr>
        <w:pStyle w:val="FootnoteText"/>
        <w:tabs>
          <w:tab w:val="right" w:pos="9072"/>
        </w:tabs>
        <w:spacing w:after="0" w:line="240" w:lineRule="auto"/>
        <w:rPr>
          <w:rFonts w:ascii="Times New Roman" w:hAnsi="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rPr>
        <w:t xml:space="preserve">Žr. 2016 m. sausio 11 d. dokumentą IP/16/42, paskelbtą </w:t>
      </w:r>
      <w:hyperlink r:id="rId39">
        <w:r>
          <w:rPr>
            <w:rStyle w:val="Hyperlink"/>
            <w:rFonts w:ascii="Times New Roman" w:hAnsi="Times New Roman"/>
          </w:rPr>
          <w:t>http://europa.eu/rapid/press-release_IP-16-42_lt.htm</w:t>
        </w:r>
      </w:hyperlink>
      <w:r>
        <w:rPr>
          <w:rFonts w:ascii="Times New Roman" w:hAnsi="Times New Roman"/>
        </w:rPr>
        <w:t>.</w:t>
      </w:r>
    </w:p>
  </w:footnote>
  <w:footnote w:id="42">
    <w:p w:rsidR="00E027F3" w:rsidRDefault="006D1C7A">
      <w:pPr>
        <w:pStyle w:val="FootnoteText"/>
        <w:spacing w:after="0" w:line="240" w:lineRule="auto"/>
        <w:rPr>
          <w:rFonts w:ascii="Times New Roman" w:hAnsi="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rPr>
        <w:t>Žr. 2014 m. gr</w:t>
      </w:r>
      <w:r>
        <w:rPr>
          <w:rFonts w:ascii="Times New Roman" w:hAnsi="Times New Roman"/>
        </w:rPr>
        <w:t xml:space="preserve">uodžio 17 d. dokumentą IP/14/2742, paskelbtą </w:t>
      </w:r>
      <w:hyperlink r:id="rId40">
        <w:r>
          <w:rPr>
            <w:rStyle w:val="Hyperlink"/>
            <w:rFonts w:ascii="Times New Roman" w:hAnsi="Times New Roman"/>
          </w:rPr>
          <w:t>http://europa.eu/rapid/press-release_IP-14-2742_en.htm</w:t>
        </w:r>
      </w:hyperlink>
      <w:r>
        <w:rPr>
          <w:rFonts w:ascii="Times New Roman" w:hAnsi="Times New Roman"/>
        </w:rPr>
        <w:t>.</w:t>
      </w:r>
    </w:p>
  </w:footnote>
  <w:footnote w:id="43">
    <w:p w:rsidR="00E027F3" w:rsidRDefault="006D1C7A">
      <w:pPr>
        <w:pStyle w:val="FootnoteText"/>
        <w:spacing w:after="0" w:line="240" w:lineRule="auto"/>
        <w:rPr>
          <w:rFonts w:ascii="Times New Roman" w:hAnsi="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rPr>
        <w:t>2002 m. gruodžio 16 d. Tarybos Reglamentas (EB) Nr. 1/2003 dėl konkurencijos ta</w:t>
      </w:r>
      <w:r>
        <w:rPr>
          <w:rFonts w:ascii="Times New Roman" w:hAnsi="Times New Roman"/>
        </w:rPr>
        <w:t>isyklių, nustatytų Sutarties 81 ir 82 straipsniuose, įgyvendinimo, OL L 1, 2003 1 4, paskelbtas</w:t>
      </w:r>
      <w:r>
        <w:t xml:space="preserve"> </w:t>
      </w:r>
      <w:hyperlink r:id="rId41">
        <w:r>
          <w:rPr>
            <w:rStyle w:val="Hyperlink"/>
            <w:rFonts w:ascii="Times New Roman" w:hAnsi="Times New Roman"/>
          </w:rPr>
          <w:t>http://eur-lex.europa.eu/legal-content/LT/ALL/?uri=celex%3A32003R0001</w:t>
        </w:r>
      </w:hyperlink>
      <w:r>
        <w:rPr>
          <w:rFonts w:ascii="Times New Roman" w:hAnsi="Times New Roman"/>
        </w:rPr>
        <w:t xml:space="preserve">. </w:t>
      </w:r>
    </w:p>
  </w:footnote>
  <w:footnote w:id="44">
    <w:p w:rsidR="00E027F3" w:rsidRDefault="006D1C7A">
      <w:pPr>
        <w:pStyle w:val="FootnoteText"/>
        <w:spacing w:after="0" w:line="240" w:lineRule="auto"/>
        <w:rPr>
          <w:rFonts w:ascii="Times New Roman" w:hAnsi="Times New Roman"/>
        </w:rPr>
      </w:pPr>
      <w:r>
        <w:rPr>
          <w:rFonts w:ascii="Times New Roman" w:hAnsi="Times New Roman"/>
          <w:vertAlign w:val="superscript"/>
        </w:rPr>
        <w:footnoteRef/>
      </w:r>
      <w:r>
        <w:rPr>
          <w:rFonts w:ascii="Times New Roman" w:hAnsi="Times New Roman"/>
        </w:rPr>
        <w:t xml:space="preserve"> </w:t>
      </w:r>
      <w:r>
        <w:rPr>
          <w:rFonts w:ascii="Times New Roman" w:hAnsi="Times New Roman"/>
        </w:rPr>
        <w:t>2014 m. liepos 9 d. Komisijos komunikatas Europos Parlamentui ir Tarybai „Antimonopolinių nuostatų vykdymo užtikrinimo pagal Reglamentą Nr. 1/2003 dešimtmetis.</w:t>
      </w:r>
      <w:r>
        <w:rPr>
          <w:rFonts w:ascii="Times New Roman" w:hAnsi="Times New Roman"/>
          <w:i/>
        </w:rPr>
        <w:t xml:space="preserve"> </w:t>
      </w:r>
      <w:r>
        <w:rPr>
          <w:rFonts w:ascii="Times New Roman" w:hAnsi="Times New Roman"/>
        </w:rPr>
        <w:t>Laimėjimai ir perspektyvos“</w:t>
      </w:r>
      <w:r>
        <w:t xml:space="preserve">, COM(2014) 453, paskelbtas </w:t>
      </w:r>
      <w:hyperlink r:id="rId42">
        <w:r>
          <w:rPr>
            <w:rStyle w:val="Hyperlink"/>
            <w:rFonts w:ascii="Times New Roman" w:hAnsi="Times New Roman"/>
          </w:rPr>
          <w:t>http://eur-lex.europa.eu/legal-content/LT/TXT/?uri=CELEX%3A52014DC0453</w:t>
        </w:r>
      </w:hyperlink>
      <w:r>
        <w:rPr>
          <w:rFonts w:ascii="Times New Roman" w:hAnsi="Times New Roman"/>
        </w:rPr>
        <w:t>.</w:t>
      </w:r>
    </w:p>
  </w:footnote>
  <w:footnote w:id="45">
    <w:p w:rsidR="00E027F3" w:rsidRDefault="006D1C7A">
      <w:pPr>
        <w:pStyle w:val="FootnoteText"/>
        <w:spacing w:after="0" w:line="240" w:lineRule="auto"/>
        <w:rPr>
          <w:rFonts w:ascii="Times New Roman" w:hAnsi="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rPr>
        <w:t xml:space="preserve">Byla AT.39563 </w:t>
      </w:r>
      <w:r>
        <w:rPr>
          <w:rFonts w:ascii="Times New Roman" w:hAnsi="Times New Roman"/>
          <w:i/>
        </w:rPr>
        <w:t>Mažmeninei prekybai maistu skirtos pakuotės</w:t>
      </w:r>
      <w:r>
        <w:rPr>
          <w:rFonts w:ascii="Times New Roman" w:hAnsi="Times New Roman"/>
        </w:rPr>
        <w:t xml:space="preserve">, 2015 m. birželio 24 d.  Komisijos sprendimas, paskelbtas </w:t>
      </w:r>
      <w:hyperlink r:id="rId43">
        <w:r>
          <w:rPr>
            <w:rStyle w:val="Hyperlink"/>
            <w:rFonts w:ascii="Times New Roman" w:hAnsi="Times New Roman"/>
          </w:rPr>
          <w:t>http://ec.europa.eu/competition/elojade/isef/case_details.cfm?proc_code=1_39563</w:t>
        </w:r>
      </w:hyperlink>
      <w:r>
        <w:rPr>
          <w:rFonts w:ascii="Times New Roman" w:hAnsi="Times New Roman"/>
        </w:rPr>
        <w:t xml:space="preserve">. </w:t>
      </w:r>
    </w:p>
  </w:footnote>
  <w:footnote w:id="46">
    <w:p w:rsidR="00E027F3" w:rsidRDefault="006D1C7A">
      <w:pPr>
        <w:pStyle w:val="FootnoteText"/>
        <w:spacing w:after="0" w:line="240" w:lineRule="auto"/>
        <w:rPr>
          <w:rFonts w:ascii="Times New Roman" w:hAnsi="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rPr>
        <w:t xml:space="preserve">Byla AT.39639 </w:t>
      </w:r>
      <w:r>
        <w:rPr>
          <w:rFonts w:ascii="Times New Roman" w:hAnsi="Times New Roman"/>
          <w:i/>
        </w:rPr>
        <w:t>Optiniai diskasukiai</w:t>
      </w:r>
      <w:r>
        <w:rPr>
          <w:rFonts w:ascii="Times New Roman" w:hAnsi="Times New Roman"/>
        </w:rPr>
        <w:t>, 2015 m. spalio 21 d. Komisijos sprendim</w:t>
      </w:r>
      <w:r>
        <w:rPr>
          <w:rFonts w:ascii="Times New Roman" w:hAnsi="Times New Roman"/>
        </w:rPr>
        <w:t xml:space="preserve">as, paskelbtas </w:t>
      </w:r>
      <w:hyperlink r:id="rId44">
        <w:r>
          <w:rPr>
            <w:rStyle w:val="Hyperlink"/>
            <w:rFonts w:ascii="Times New Roman" w:hAnsi="Times New Roman"/>
          </w:rPr>
          <w:t>http://ec.europa.eu/competition/elojade/isef/case_details.cfm?proc_code=1_39639</w:t>
        </w:r>
      </w:hyperlink>
      <w:r>
        <w:rPr>
          <w:rFonts w:ascii="Times New Roman" w:hAnsi="Times New Roman"/>
        </w:rPr>
        <w:t xml:space="preserve">. </w:t>
      </w:r>
    </w:p>
  </w:footnote>
  <w:footnote w:id="47">
    <w:p w:rsidR="00E027F3" w:rsidRDefault="006D1C7A">
      <w:pPr>
        <w:pStyle w:val="FootnoteText"/>
        <w:spacing w:after="0" w:line="240" w:lineRule="auto"/>
        <w:rPr>
          <w:rFonts w:ascii="Times New Roman" w:hAnsi="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rPr>
        <w:t xml:space="preserve">Byla AT.39861 </w:t>
      </w:r>
      <w:r>
        <w:rPr>
          <w:rFonts w:ascii="Times New Roman" w:hAnsi="Times New Roman"/>
          <w:i/>
        </w:rPr>
        <w:t xml:space="preserve">Jenos palūkanų normos išvestinės finansinės </w:t>
      </w:r>
      <w:r>
        <w:rPr>
          <w:rFonts w:ascii="Times New Roman" w:hAnsi="Times New Roman"/>
          <w:i/>
        </w:rPr>
        <w:t>priemonės (YIRD)</w:t>
      </w:r>
      <w:r>
        <w:rPr>
          <w:rFonts w:ascii="Times New Roman" w:hAnsi="Times New Roman"/>
        </w:rPr>
        <w:t xml:space="preserve">, 2013 m. gruodžio 4 d. Komisijos sprendimas, paskelbtas </w:t>
      </w:r>
      <w:hyperlink r:id="rId45">
        <w:r>
          <w:rPr>
            <w:rStyle w:val="Hyperlink"/>
            <w:rFonts w:ascii="Times New Roman" w:hAnsi="Times New Roman"/>
          </w:rPr>
          <w:t>http://ec.europa.eu/competition/elojade/isef/case_details.cfm?proc_code=1_39861</w:t>
        </w:r>
      </w:hyperlink>
      <w:r>
        <w:rPr>
          <w:rFonts w:ascii="Times New Roman" w:hAnsi="Times New Roman"/>
        </w:rPr>
        <w:t xml:space="preserve">. </w:t>
      </w:r>
    </w:p>
  </w:footnote>
  <w:footnote w:id="48">
    <w:p w:rsidR="00E027F3" w:rsidRDefault="006D1C7A">
      <w:pPr>
        <w:pStyle w:val="FootnoteText"/>
        <w:spacing w:after="0" w:line="240" w:lineRule="auto"/>
        <w:rPr>
          <w:rFonts w:ascii="Times New Roman" w:hAnsi="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rPr>
        <w:t>Byla AT.40049 „</w:t>
      </w:r>
      <w:proofErr w:type="spellStart"/>
      <w:r>
        <w:rPr>
          <w:rFonts w:ascii="Times New Roman" w:hAnsi="Times New Roman"/>
        </w:rPr>
        <w:t>Mastercard</w:t>
      </w:r>
      <w:proofErr w:type="spellEnd"/>
      <w:r>
        <w:rPr>
          <w:rFonts w:ascii="Times New Roman" w:hAnsi="Times New Roman"/>
        </w:rPr>
        <w:t xml:space="preserve"> II“, žr. 2015 m. liepos 9 d. dokumentą IP/15/5323, paskelbtą </w:t>
      </w:r>
      <w:hyperlink r:id="rId46">
        <w:r>
          <w:rPr>
            <w:rStyle w:val="Hyperlink"/>
            <w:rFonts w:ascii="Times New Roman" w:hAnsi="Times New Roman"/>
          </w:rPr>
          <w:t>http://europa.eu/rapid/press-release_IP-15-5323_lt.htm</w:t>
        </w:r>
      </w:hyperlink>
      <w:r>
        <w:rPr>
          <w:rFonts w:ascii="Times New Roman" w:hAnsi="Times New Roman"/>
        </w:rPr>
        <w:t>.</w:t>
      </w:r>
    </w:p>
  </w:footnote>
  <w:footnote w:id="49">
    <w:p w:rsidR="00E027F3" w:rsidRDefault="006D1C7A">
      <w:pPr>
        <w:pStyle w:val="FootnoteText"/>
        <w:spacing w:after="0" w:line="240" w:lineRule="auto"/>
        <w:rPr>
          <w:rFonts w:ascii="Times New Roman" w:hAnsi="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rPr>
        <w:t>2015 m. balandžio 29 d. Europos Parla</w:t>
      </w:r>
      <w:r>
        <w:rPr>
          <w:rFonts w:ascii="Times New Roman" w:hAnsi="Times New Roman"/>
        </w:rPr>
        <w:t xml:space="preserve">mento ir Tarybos reglamentas (ES) 2015/751 dėl tarpbankinių mokesčių už kortele grindžiamas mokėjimo operacijas, OL L 123, 2015 5 19, paskelbtas </w:t>
      </w:r>
      <w:hyperlink r:id="rId47">
        <w:r>
          <w:rPr>
            <w:rStyle w:val="Hyperlink"/>
            <w:rFonts w:ascii="Times New Roman" w:hAnsi="Times New Roman"/>
          </w:rPr>
          <w:t>http://eur-lex.europa.eu/legal-content/LT/TXT/?uri=CELEX:32015R0751</w:t>
        </w:r>
      </w:hyperlink>
      <w:r>
        <w:rPr>
          <w:rFonts w:ascii="Times New Roman" w:hAnsi="Times New Roman"/>
        </w:rPr>
        <w:t xml:space="preserve">. </w:t>
      </w:r>
    </w:p>
  </w:footnote>
  <w:footnote w:id="50">
    <w:p w:rsidR="00E027F3" w:rsidRDefault="006D1C7A">
      <w:pPr>
        <w:pStyle w:val="FootnoteText"/>
        <w:spacing w:after="0" w:line="240" w:lineRule="auto"/>
        <w:rPr>
          <w:rFonts w:ascii="Times New Roman" w:hAnsi="Times New Roman"/>
          <w:color w:val="000000"/>
        </w:rPr>
      </w:pPr>
      <w:r>
        <w:rPr>
          <w:rStyle w:val="FootnoteReference"/>
          <w:rFonts w:ascii="Times New Roman" w:hAnsi="Times New Roman"/>
        </w:rPr>
        <w:footnoteRef/>
      </w:r>
      <w:r>
        <w:rPr>
          <w:rFonts w:ascii="Times New Roman" w:hAnsi="Times New Roman"/>
        </w:rPr>
        <w:t xml:space="preserve"> </w:t>
      </w:r>
      <w:r>
        <w:rPr>
          <w:rFonts w:ascii="Times New Roman" w:hAnsi="Times New Roman"/>
          <w:color w:val="000000"/>
        </w:rPr>
        <w:t xml:space="preserve">2014 m. gegužės 15 d. Europos Parlamento ir Tarybos direktyva 2014/59/ES, kuria nustatoma kredito įstaigų ir investicinių įmonių gaivinimo ir pertvarkymo sistema, OL L 173, 2014 6 12, </w:t>
      </w:r>
      <w:r>
        <w:rPr>
          <w:rFonts w:ascii="Times New Roman" w:hAnsi="Times New Roman"/>
          <w:color w:val="000000"/>
        </w:rPr>
        <w:t xml:space="preserve">paskelbta </w:t>
      </w:r>
    </w:p>
    <w:p w:rsidR="00E027F3" w:rsidRDefault="006D1C7A">
      <w:pPr>
        <w:pStyle w:val="FootnoteText"/>
        <w:spacing w:after="0" w:line="240" w:lineRule="auto"/>
        <w:rPr>
          <w:rFonts w:ascii="Times New Roman" w:hAnsi="Times New Roman"/>
          <w:i/>
          <w:color w:val="0000FF"/>
          <w:u w:val="single"/>
        </w:rPr>
      </w:pPr>
      <w:hyperlink r:id="rId48">
        <w:r>
          <w:rPr>
            <w:rStyle w:val="Hyperlink"/>
            <w:rFonts w:ascii="Times New Roman" w:hAnsi="Times New Roman"/>
            <w:i/>
          </w:rPr>
          <w:t>http://eur-lex.europa.eu/legal-content/LT/TXT/?qid=1427289116879&amp;uri=CELEX:32014L0059</w:t>
        </w:r>
      </w:hyperlink>
      <w:r>
        <w:rPr>
          <w:rFonts w:ascii="Times New Roman" w:hAnsi="Times New Roman"/>
          <w:i/>
        </w:rPr>
        <w:t>.</w:t>
      </w:r>
    </w:p>
  </w:footnote>
  <w:footnote w:id="51">
    <w:p w:rsidR="00E027F3" w:rsidRDefault="006D1C7A">
      <w:pPr>
        <w:pStyle w:val="FootnoteText"/>
        <w:spacing w:after="0" w:line="240" w:lineRule="auto"/>
        <w:rPr>
          <w:rFonts w:ascii="Times New Roman" w:hAnsi="Times New Roman"/>
        </w:rPr>
      </w:pPr>
      <w:r>
        <w:rPr>
          <w:rStyle w:val="FootnoteReference"/>
          <w:rFonts w:ascii="Times New Roman" w:hAnsi="Times New Roman"/>
        </w:rPr>
        <w:footnoteRef/>
      </w:r>
      <w:r>
        <w:rPr>
          <w:rFonts w:ascii="Times New Roman" w:hAnsi="Times New Roman"/>
          <w:i/>
        </w:rPr>
        <w:t xml:space="preserve"> </w:t>
      </w:r>
      <w:r>
        <w:rPr>
          <w:rFonts w:ascii="Times New Roman" w:hAnsi="Times New Roman"/>
        </w:rPr>
        <w:t>Byla SA.39543</w:t>
      </w:r>
      <w:r>
        <w:rPr>
          <w:rFonts w:ascii="Times New Roman" w:hAnsi="Times New Roman"/>
          <w:i/>
        </w:rPr>
        <w:t xml:space="preserve">„Banca </w:t>
      </w:r>
      <w:proofErr w:type="spellStart"/>
      <w:r>
        <w:rPr>
          <w:rFonts w:ascii="Times New Roman" w:hAnsi="Times New Roman"/>
          <w:i/>
        </w:rPr>
        <w:t>delle</w:t>
      </w:r>
      <w:proofErr w:type="spellEnd"/>
      <w:r>
        <w:rPr>
          <w:rFonts w:ascii="Times New Roman" w:hAnsi="Times New Roman"/>
          <w:i/>
        </w:rPr>
        <w:t xml:space="preserve"> </w:t>
      </w:r>
      <w:proofErr w:type="spellStart"/>
      <w:r>
        <w:rPr>
          <w:rFonts w:ascii="Times New Roman" w:hAnsi="Times New Roman"/>
          <w:i/>
        </w:rPr>
        <w:t>Marche</w:t>
      </w:r>
      <w:proofErr w:type="spellEnd"/>
      <w:r>
        <w:rPr>
          <w:rFonts w:ascii="Times New Roman" w:hAnsi="Times New Roman"/>
          <w:i/>
        </w:rPr>
        <w:t xml:space="preserve"> </w:t>
      </w:r>
      <w:proofErr w:type="spellStart"/>
      <w:r>
        <w:rPr>
          <w:rFonts w:ascii="Times New Roman" w:hAnsi="Times New Roman"/>
          <w:i/>
        </w:rPr>
        <w:t>S.p.A</w:t>
      </w:r>
      <w:proofErr w:type="spellEnd"/>
      <w:r>
        <w:rPr>
          <w:rFonts w:ascii="Times New Roman" w:hAnsi="Times New Roman"/>
          <w:i/>
        </w:rPr>
        <w:t>.“ pertvarkym</w:t>
      </w:r>
      <w:r>
        <w:rPr>
          <w:rFonts w:ascii="Times New Roman" w:hAnsi="Times New Roman"/>
          <w:i/>
        </w:rPr>
        <w:t>as</w:t>
      </w:r>
      <w:r>
        <w:rPr>
          <w:rFonts w:ascii="Times New Roman" w:hAnsi="Times New Roman"/>
        </w:rPr>
        <w:t xml:space="preserve">, 2015 m. lapkričio 22 d. Komisijos sprendimas, paskelbtas </w:t>
      </w:r>
      <w:hyperlink r:id="rId49">
        <w:r>
          <w:rPr>
            <w:rStyle w:val="Hyperlink"/>
            <w:rFonts w:ascii="Times New Roman" w:hAnsi="Times New Roman"/>
          </w:rPr>
          <w:t>http://ec.europa.eu/competition/elojade/isef/case_details.cfm?proc_code=3_SA_39543</w:t>
        </w:r>
      </w:hyperlink>
      <w:r>
        <w:rPr>
          <w:rFonts w:ascii="Times New Roman" w:hAnsi="Times New Roman"/>
        </w:rPr>
        <w:t>; byla SA.4</w:t>
      </w:r>
      <w:r>
        <w:rPr>
          <w:rFonts w:ascii="Times New Roman" w:hAnsi="Times New Roman"/>
        </w:rPr>
        <w:t xml:space="preserve">1134 </w:t>
      </w:r>
      <w:r>
        <w:rPr>
          <w:rFonts w:ascii="Times New Roman" w:hAnsi="Times New Roman"/>
          <w:i/>
        </w:rPr>
        <w:t>„</w:t>
      </w:r>
      <w:proofErr w:type="spellStart"/>
      <w:r>
        <w:rPr>
          <w:rFonts w:ascii="Times New Roman" w:hAnsi="Times New Roman"/>
          <w:i/>
        </w:rPr>
        <w:t>Banca</w:t>
      </w:r>
      <w:proofErr w:type="spellEnd"/>
      <w:r>
        <w:rPr>
          <w:rFonts w:ascii="Times New Roman" w:hAnsi="Times New Roman"/>
          <w:i/>
        </w:rPr>
        <w:t xml:space="preserve"> </w:t>
      </w:r>
      <w:proofErr w:type="spellStart"/>
      <w:r>
        <w:rPr>
          <w:rFonts w:ascii="Times New Roman" w:hAnsi="Times New Roman"/>
          <w:i/>
        </w:rPr>
        <w:t>Popolare</w:t>
      </w:r>
      <w:proofErr w:type="spellEnd"/>
      <w:r>
        <w:rPr>
          <w:rFonts w:ascii="Times New Roman" w:hAnsi="Times New Roman"/>
          <w:i/>
        </w:rPr>
        <w:t xml:space="preserve"> </w:t>
      </w:r>
      <w:proofErr w:type="spellStart"/>
      <w:r>
        <w:rPr>
          <w:rFonts w:ascii="Times New Roman" w:hAnsi="Times New Roman"/>
          <w:i/>
        </w:rPr>
        <w:t>dell’Etruria</w:t>
      </w:r>
      <w:proofErr w:type="spellEnd"/>
      <w:r>
        <w:rPr>
          <w:rFonts w:ascii="Times New Roman" w:hAnsi="Times New Roman"/>
          <w:i/>
        </w:rPr>
        <w:t xml:space="preserve"> e </w:t>
      </w:r>
      <w:proofErr w:type="spellStart"/>
      <w:r>
        <w:rPr>
          <w:rFonts w:ascii="Times New Roman" w:hAnsi="Times New Roman"/>
          <w:i/>
        </w:rPr>
        <w:t>del</w:t>
      </w:r>
      <w:proofErr w:type="spellEnd"/>
      <w:r>
        <w:rPr>
          <w:rFonts w:ascii="Times New Roman" w:hAnsi="Times New Roman"/>
          <w:i/>
        </w:rPr>
        <w:t xml:space="preserve"> </w:t>
      </w:r>
      <w:proofErr w:type="spellStart"/>
      <w:r>
        <w:rPr>
          <w:rFonts w:ascii="Times New Roman" w:hAnsi="Times New Roman"/>
          <w:i/>
        </w:rPr>
        <w:t>Lazio</w:t>
      </w:r>
      <w:proofErr w:type="spellEnd"/>
      <w:r>
        <w:rPr>
          <w:rFonts w:ascii="Times New Roman" w:hAnsi="Times New Roman"/>
          <w:i/>
        </w:rPr>
        <w:t xml:space="preserve"> - Soc. </w:t>
      </w:r>
      <w:proofErr w:type="spellStart"/>
      <w:r>
        <w:rPr>
          <w:rFonts w:ascii="Times New Roman" w:hAnsi="Times New Roman"/>
          <w:i/>
        </w:rPr>
        <w:t>Coop</w:t>
      </w:r>
      <w:proofErr w:type="spellEnd"/>
      <w:r>
        <w:rPr>
          <w:rFonts w:ascii="Times New Roman" w:hAnsi="Times New Roman"/>
          <w:i/>
        </w:rPr>
        <w:t>.“ pertvarkymas</w:t>
      </w:r>
      <w:r>
        <w:rPr>
          <w:rFonts w:ascii="Times New Roman" w:hAnsi="Times New Roman"/>
        </w:rPr>
        <w:t xml:space="preserve">, 2015 m. lapkričio 22 d. Komisijos sprendimas, paskelbtas </w:t>
      </w:r>
      <w:hyperlink r:id="rId50">
        <w:r>
          <w:rPr>
            <w:rStyle w:val="Hyperlink"/>
            <w:rFonts w:ascii="Times New Roman" w:hAnsi="Times New Roman"/>
          </w:rPr>
          <w:t>http://ec.europa.eu/com</w:t>
        </w:r>
        <w:r>
          <w:rPr>
            <w:rStyle w:val="Hyperlink"/>
            <w:rFonts w:ascii="Times New Roman" w:hAnsi="Times New Roman"/>
          </w:rPr>
          <w:t>petition/elojade/isef/case_details.cfm?proc_code=3_SA_41134</w:t>
        </w:r>
      </w:hyperlink>
      <w:r>
        <w:rPr>
          <w:rFonts w:ascii="Times New Roman" w:hAnsi="Times New Roman"/>
        </w:rPr>
        <w:t xml:space="preserve">; byla SA.41925 </w:t>
      </w:r>
      <w:r>
        <w:rPr>
          <w:rFonts w:ascii="Times New Roman" w:hAnsi="Times New Roman"/>
          <w:i/>
        </w:rPr>
        <w:t>„</w:t>
      </w:r>
      <w:proofErr w:type="spellStart"/>
      <w:r>
        <w:rPr>
          <w:rFonts w:ascii="Times New Roman" w:hAnsi="Times New Roman"/>
          <w:i/>
        </w:rPr>
        <w:t>Cassa</w:t>
      </w:r>
      <w:proofErr w:type="spellEnd"/>
      <w:r>
        <w:rPr>
          <w:rFonts w:ascii="Times New Roman" w:hAnsi="Times New Roman"/>
          <w:i/>
        </w:rPr>
        <w:t xml:space="preserve"> </w:t>
      </w:r>
      <w:proofErr w:type="spellStart"/>
      <w:r>
        <w:rPr>
          <w:rFonts w:ascii="Times New Roman" w:hAnsi="Times New Roman"/>
          <w:i/>
        </w:rPr>
        <w:t>di</w:t>
      </w:r>
      <w:proofErr w:type="spellEnd"/>
      <w:r>
        <w:rPr>
          <w:rFonts w:ascii="Times New Roman" w:hAnsi="Times New Roman"/>
          <w:i/>
        </w:rPr>
        <w:t xml:space="preserve"> </w:t>
      </w:r>
      <w:proofErr w:type="spellStart"/>
      <w:r>
        <w:rPr>
          <w:rFonts w:ascii="Times New Roman" w:hAnsi="Times New Roman"/>
          <w:i/>
        </w:rPr>
        <w:t>risparmio</w:t>
      </w:r>
      <w:proofErr w:type="spellEnd"/>
      <w:r>
        <w:rPr>
          <w:rFonts w:ascii="Times New Roman" w:hAnsi="Times New Roman"/>
          <w:i/>
        </w:rPr>
        <w:t xml:space="preserve"> </w:t>
      </w:r>
      <w:proofErr w:type="spellStart"/>
      <w:r>
        <w:rPr>
          <w:rFonts w:ascii="Times New Roman" w:hAnsi="Times New Roman"/>
          <w:i/>
        </w:rPr>
        <w:t>di</w:t>
      </w:r>
      <w:proofErr w:type="spellEnd"/>
      <w:r>
        <w:rPr>
          <w:rFonts w:ascii="Times New Roman" w:hAnsi="Times New Roman"/>
          <w:i/>
        </w:rPr>
        <w:t xml:space="preserve"> </w:t>
      </w:r>
      <w:proofErr w:type="spellStart"/>
      <w:r>
        <w:rPr>
          <w:rFonts w:ascii="Times New Roman" w:hAnsi="Times New Roman"/>
          <w:i/>
        </w:rPr>
        <w:t>Ferrara</w:t>
      </w:r>
      <w:proofErr w:type="spellEnd"/>
      <w:r>
        <w:rPr>
          <w:rFonts w:ascii="Times New Roman" w:hAnsi="Times New Roman"/>
          <w:i/>
        </w:rPr>
        <w:t xml:space="preserve"> </w:t>
      </w:r>
      <w:proofErr w:type="spellStart"/>
      <w:r>
        <w:rPr>
          <w:rFonts w:ascii="Times New Roman" w:hAnsi="Times New Roman"/>
          <w:i/>
        </w:rPr>
        <w:t>S.p.A</w:t>
      </w:r>
      <w:proofErr w:type="spellEnd"/>
      <w:r>
        <w:rPr>
          <w:rFonts w:ascii="Times New Roman" w:hAnsi="Times New Roman"/>
          <w:i/>
        </w:rPr>
        <w:t>.“ pertvarkymas</w:t>
      </w:r>
      <w:r>
        <w:rPr>
          <w:rFonts w:ascii="Times New Roman" w:hAnsi="Times New Roman"/>
        </w:rPr>
        <w:t xml:space="preserve">, 2015 m. lapkričio 22 d. Komisijos sprendimas, paskelbtas </w:t>
      </w:r>
      <w:hyperlink r:id="rId51">
        <w:r>
          <w:rPr>
            <w:rStyle w:val="Hyperlink"/>
            <w:rFonts w:ascii="Times New Roman" w:hAnsi="Times New Roman"/>
          </w:rPr>
          <w:t>http://ec.europa.eu/competition/elojade/isef/case_details.cfm?proc_code=3_SA_41925</w:t>
        </w:r>
      </w:hyperlink>
      <w:r>
        <w:rPr>
          <w:rFonts w:ascii="Times New Roman" w:hAnsi="Times New Roman"/>
        </w:rPr>
        <w:t xml:space="preserve">; byla SA.43547 </w:t>
      </w:r>
      <w:r>
        <w:rPr>
          <w:rFonts w:ascii="Times New Roman" w:hAnsi="Times New Roman"/>
          <w:i/>
        </w:rPr>
        <w:t>„</w:t>
      </w:r>
      <w:proofErr w:type="spellStart"/>
      <w:r>
        <w:rPr>
          <w:rFonts w:ascii="Times New Roman" w:hAnsi="Times New Roman"/>
          <w:i/>
        </w:rPr>
        <w:t>Cassa</w:t>
      </w:r>
      <w:proofErr w:type="spellEnd"/>
      <w:r>
        <w:rPr>
          <w:rFonts w:ascii="Times New Roman" w:hAnsi="Times New Roman"/>
          <w:i/>
        </w:rPr>
        <w:t xml:space="preserve"> </w:t>
      </w:r>
      <w:proofErr w:type="spellStart"/>
      <w:r>
        <w:rPr>
          <w:rFonts w:ascii="Times New Roman" w:hAnsi="Times New Roman"/>
          <w:i/>
        </w:rPr>
        <w:t>di</w:t>
      </w:r>
      <w:proofErr w:type="spellEnd"/>
      <w:r>
        <w:rPr>
          <w:rFonts w:ascii="Times New Roman" w:hAnsi="Times New Roman"/>
          <w:i/>
        </w:rPr>
        <w:t xml:space="preserve"> </w:t>
      </w:r>
      <w:proofErr w:type="spellStart"/>
      <w:r>
        <w:rPr>
          <w:rFonts w:ascii="Times New Roman" w:hAnsi="Times New Roman"/>
          <w:i/>
        </w:rPr>
        <w:t>risparmio</w:t>
      </w:r>
      <w:proofErr w:type="spellEnd"/>
      <w:r>
        <w:rPr>
          <w:rFonts w:ascii="Times New Roman" w:hAnsi="Times New Roman"/>
          <w:i/>
        </w:rPr>
        <w:t xml:space="preserve"> </w:t>
      </w:r>
      <w:proofErr w:type="spellStart"/>
      <w:r>
        <w:rPr>
          <w:rFonts w:ascii="Times New Roman" w:hAnsi="Times New Roman"/>
          <w:i/>
        </w:rPr>
        <w:t>della</w:t>
      </w:r>
      <w:proofErr w:type="spellEnd"/>
      <w:r>
        <w:rPr>
          <w:rFonts w:ascii="Times New Roman" w:hAnsi="Times New Roman"/>
          <w:i/>
        </w:rPr>
        <w:t xml:space="preserve"> </w:t>
      </w:r>
      <w:proofErr w:type="spellStart"/>
      <w:r>
        <w:rPr>
          <w:rFonts w:ascii="Times New Roman" w:hAnsi="Times New Roman"/>
          <w:i/>
        </w:rPr>
        <w:t>Provincia</w:t>
      </w:r>
      <w:proofErr w:type="spellEnd"/>
      <w:r>
        <w:rPr>
          <w:rFonts w:ascii="Times New Roman" w:hAnsi="Times New Roman"/>
          <w:i/>
        </w:rPr>
        <w:t xml:space="preserve"> </w:t>
      </w:r>
      <w:proofErr w:type="spellStart"/>
      <w:r>
        <w:rPr>
          <w:rFonts w:ascii="Times New Roman" w:hAnsi="Times New Roman"/>
          <w:i/>
        </w:rPr>
        <w:t>di</w:t>
      </w:r>
      <w:proofErr w:type="spellEnd"/>
      <w:r>
        <w:rPr>
          <w:rFonts w:ascii="Times New Roman" w:hAnsi="Times New Roman"/>
          <w:i/>
        </w:rPr>
        <w:t xml:space="preserve"> </w:t>
      </w:r>
      <w:proofErr w:type="spellStart"/>
      <w:r>
        <w:rPr>
          <w:rFonts w:ascii="Times New Roman" w:hAnsi="Times New Roman"/>
          <w:i/>
        </w:rPr>
        <w:t>Chieti</w:t>
      </w:r>
      <w:proofErr w:type="spellEnd"/>
      <w:r>
        <w:rPr>
          <w:rFonts w:ascii="Times New Roman" w:hAnsi="Times New Roman"/>
          <w:i/>
        </w:rPr>
        <w:t xml:space="preserve"> </w:t>
      </w:r>
      <w:proofErr w:type="spellStart"/>
      <w:r>
        <w:rPr>
          <w:rFonts w:ascii="Times New Roman" w:hAnsi="Times New Roman"/>
          <w:i/>
        </w:rPr>
        <w:t>S.p.A</w:t>
      </w:r>
      <w:proofErr w:type="spellEnd"/>
      <w:r>
        <w:rPr>
          <w:rFonts w:ascii="Times New Roman" w:hAnsi="Times New Roman"/>
          <w:i/>
        </w:rPr>
        <w:t>.“ pertvarkymas</w:t>
      </w:r>
      <w:r>
        <w:rPr>
          <w:rFonts w:ascii="Times New Roman" w:hAnsi="Times New Roman"/>
        </w:rPr>
        <w:t xml:space="preserve">, 2015 m. lapkričio 22 d. Komisijos sprendimas, paskelbtas </w:t>
      </w:r>
      <w:hyperlink r:id="rId52">
        <w:r>
          <w:rPr>
            <w:rStyle w:val="Hyperlink"/>
            <w:rFonts w:ascii="Times New Roman" w:hAnsi="Times New Roman"/>
          </w:rPr>
          <w:t>http://ec.europa.eu/competition/elojade/isef/case_details.cfm?proc_code=3_</w:t>
        </w:r>
      </w:hyperlink>
      <w:r>
        <w:rPr>
          <w:rFonts w:ascii="Times New Roman" w:hAnsi="Times New Roman"/>
        </w:rPr>
        <w:t>;</w:t>
      </w:r>
      <w:hyperlink r:id="rId53">
        <w:r>
          <w:rPr>
            <w:rStyle w:val="Hyperlink"/>
            <w:rFonts w:ascii="Times New Roman" w:hAnsi="Times New Roman"/>
          </w:rPr>
          <w:br/>
          <w:t>SA_43547</w:t>
        </w:r>
      </w:hyperlink>
      <w:r>
        <w:rPr>
          <w:rFonts w:ascii="Times New Roman" w:hAnsi="Times New Roman"/>
        </w:rPr>
        <w:t>.</w:t>
      </w:r>
    </w:p>
  </w:footnote>
  <w:footnote w:id="52">
    <w:p w:rsidR="00E027F3" w:rsidRDefault="006D1C7A">
      <w:pPr>
        <w:pStyle w:val="FootnoteText"/>
        <w:spacing w:after="0" w:line="240" w:lineRule="auto"/>
        <w:rPr>
          <w:rFonts w:ascii="Times New Roman" w:hAnsi="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rPr>
        <w:t xml:space="preserve">Žr. </w:t>
      </w:r>
      <w:hyperlink r:id="rId54">
        <w:r>
          <w:rPr>
            <w:rStyle w:val="Hyperlink"/>
            <w:rFonts w:ascii="Times New Roman" w:hAnsi="Times New Roman"/>
          </w:rPr>
          <w:t>https://www.bankingsupervision.europa.eu/press/pr/date/2015/html/sr151031.en.html</w:t>
        </w:r>
      </w:hyperlink>
      <w:r>
        <w:rPr>
          <w:rFonts w:ascii="Times New Roman" w:hAnsi="Times New Roman"/>
        </w:rPr>
        <w:t xml:space="preserve">.   </w:t>
      </w:r>
    </w:p>
  </w:footnote>
  <w:footnote w:id="53">
    <w:p w:rsidR="00E027F3" w:rsidRDefault="006D1C7A">
      <w:pPr>
        <w:pStyle w:val="FootnoteText"/>
        <w:spacing w:after="0" w:line="240" w:lineRule="auto"/>
        <w:rPr>
          <w:rFonts w:ascii="Times New Roman" w:hAnsi="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rPr>
        <w:t xml:space="preserve">Byla SA.43364 </w:t>
      </w:r>
      <w:r>
        <w:rPr>
          <w:rFonts w:ascii="Times New Roman" w:hAnsi="Times New Roman"/>
          <w:i/>
        </w:rPr>
        <w:t>2015 m. suteikt</w:t>
      </w:r>
      <w:r>
        <w:rPr>
          <w:rFonts w:ascii="Times New Roman" w:hAnsi="Times New Roman"/>
          <w:i/>
        </w:rPr>
        <w:t>a papildoma restruktūrizavimo pagalba bankui „</w:t>
      </w:r>
      <w:proofErr w:type="spellStart"/>
      <w:r>
        <w:rPr>
          <w:rFonts w:ascii="Times New Roman" w:hAnsi="Times New Roman"/>
          <w:i/>
        </w:rPr>
        <w:t>Piraeus</w:t>
      </w:r>
      <w:proofErr w:type="spellEnd"/>
      <w:r>
        <w:rPr>
          <w:rFonts w:ascii="Times New Roman" w:hAnsi="Times New Roman"/>
          <w:i/>
        </w:rPr>
        <w:t xml:space="preserve"> </w:t>
      </w:r>
      <w:proofErr w:type="spellStart"/>
      <w:r>
        <w:rPr>
          <w:rFonts w:ascii="Times New Roman" w:hAnsi="Times New Roman"/>
          <w:i/>
        </w:rPr>
        <w:t>Bank</w:t>
      </w:r>
      <w:proofErr w:type="spellEnd"/>
      <w:r>
        <w:rPr>
          <w:rFonts w:ascii="Times New Roman" w:hAnsi="Times New Roman"/>
          <w:i/>
        </w:rPr>
        <w:t>“</w:t>
      </w:r>
      <w:r>
        <w:rPr>
          <w:rFonts w:ascii="Times New Roman" w:hAnsi="Times New Roman"/>
        </w:rPr>
        <w:t xml:space="preserve">, 2015 m. lapkričio 29 d. Komisijos sprendimas, paskelbtas </w:t>
      </w:r>
      <w:hyperlink r:id="rId55">
        <w:r>
          <w:rPr>
            <w:rStyle w:val="Hyperlink"/>
            <w:rFonts w:ascii="Times New Roman" w:hAnsi="Times New Roman"/>
          </w:rPr>
          <w:t>http://ec.europa.eu/competition/eloj</w:t>
        </w:r>
        <w:r>
          <w:rPr>
            <w:rStyle w:val="Hyperlink"/>
            <w:rFonts w:ascii="Times New Roman" w:hAnsi="Times New Roman"/>
          </w:rPr>
          <w:t>ade/isef/case_details.cfm?proc_code=3_SA_43364</w:t>
        </w:r>
      </w:hyperlink>
      <w:r>
        <w:rPr>
          <w:rFonts w:ascii="Times New Roman" w:hAnsi="Times New Roman"/>
        </w:rPr>
        <w:t xml:space="preserve">.    </w:t>
      </w:r>
    </w:p>
  </w:footnote>
  <w:footnote w:id="54">
    <w:p w:rsidR="00E027F3" w:rsidRDefault="006D1C7A">
      <w:pPr>
        <w:pStyle w:val="FootnoteText"/>
        <w:spacing w:after="0" w:line="240" w:lineRule="auto"/>
        <w:rPr>
          <w:rFonts w:ascii="Times New Roman" w:hAnsi="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rPr>
        <w:t xml:space="preserve">Byla SA.43365 </w:t>
      </w:r>
      <w:r>
        <w:rPr>
          <w:rFonts w:ascii="Times New Roman" w:hAnsi="Times New Roman"/>
          <w:i/>
        </w:rPr>
        <w:t>2015 m. suteikta papildoma restruktūrizavimo pagalba bankui „</w:t>
      </w:r>
      <w:proofErr w:type="spellStart"/>
      <w:r>
        <w:rPr>
          <w:rFonts w:ascii="Times New Roman" w:hAnsi="Times New Roman"/>
          <w:i/>
        </w:rPr>
        <w:t>National</w:t>
      </w:r>
      <w:proofErr w:type="spellEnd"/>
      <w:r>
        <w:rPr>
          <w:rFonts w:ascii="Times New Roman" w:hAnsi="Times New Roman"/>
          <w:i/>
        </w:rPr>
        <w:t xml:space="preserve"> </w:t>
      </w:r>
      <w:proofErr w:type="spellStart"/>
      <w:r>
        <w:rPr>
          <w:rFonts w:ascii="Times New Roman" w:hAnsi="Times New Roman"/>
          <w:i/>
        </w:rPr>
        <w:t>Bank</w:t>
      </w:r>
      <w:proofErr w:type="spellEnd"/>
      <w:r>
        <w:rPr>
          <w:rFonts w:ascii="Times New Roman" w:hAnsi="Times New Roman"/>
          <w:i/>
        </w:rPr>
        <w:t xml:space="preserve"> </w:t>
      </w:r>
      <w:proofErr w:type="spellStart"/>
      <w:r>
        <w:rPr>
          <w:rFonts w:ascii="Times New Roman" w:hAnsi="Times New Roman"/>
          <w:i/>
        </w:rPr>
        <w:t>of</w:t>
      </w:r>
      <w:proofErr w:type="spellEnd"/>
      <w:r>
        <w:rPr>
          <w:rFonts w:ascii="Times New Roman" w:hAnsi="Times New Roman"/>
          <w:i/>
        </w:rPr>
        <w:t xml:space="preserve"> </w:t>
      </w:r>
      <w:proofErr w:type="spellStart"/>
      <w:r>
        <w:rPr>
          <w:rFonts w:ascii="Times New Roman" w:hAnsi="Times New Roman"/>
          <w:i/>
        </w:rPr>
        <w:t>Greece</w:t>
      </w:r>
      <w:proofErr w:type="spellEnd"/>
      <w:r>
        <w:rPr>
          <w:rFonts w:ascii="Times New Roman" w:hAnsi="Times New Roman"/>
          <w:i/>
        </w:rPr>
        <w:t xml:space="preserve"> (NBG)“</w:t>
      </w:r>
      <w:r>
        <w:rPr>
          <w:rFonts w:ascii="Times New Roman" w:hAnsi="Times New Roman"/>
        </w:rPr>
        <w:t xml:space="preserve">, 2015 m. gruodžio 4 d. Komisijos sprendimas, paskelbtas </w:t>
      </w:r>
      <w:hyperlink r:id="rId56">
        <w:r>
          <w:rPr>
            <w:rStyle w:val="Hyperlink"/>
            <w:rFonts w:ascii="Times New Roman" w:hAnsi="Times New Roman"/>
          </w:rPr>
          <w:t>http://ec.europa.eu/competition/elojade/isef/case_details.cfm?proc_code=3_SA_43365</w:t>
        </w:r>
      </w:hyperlink>
      <w:r>
        <w:rPr>
          <w:rFonts w:ascii="Times New Roman" w:hAnsi="Times New Roman"/>
        </w:rPr>
        <w:t xml:space="preserve">.   </w:t>
      </w:r>
    </w:p>
  </w:footnote>
  <w:footnote w:id="55">
    <w:p w:rsidR="00E027F3" w:rsidRDefault="006D1C7A">
      <w:pPr>
        <w:pStyle w:val="FootnoteText"/>
        <w:spacing w:after="0" w:line="240" w:lineRule="auto"/>
        <w:rPr>
          <w:rStyle w:val="FootnoteReference"/>
          <w:rFonts w:ascii="Times New Roman" w:hAnsi="Times New Roman"/>
          <w:sz w:val="22"/>
          <w:szCs w:val="22"/>
        </w:rPr>
      </w:pPr>
      <w:r>
        <w:rPr>
          <w:rStyle w:val="FootnoteReference"/>
          <w:rFonts w:ascii="Times New Roman" w:hAnsi="Times New Roman"/>
        </w:rPr>
        <w:footnoteRef/>
      </w:r>
      <w:r>
        <w:rPr>
          <w:rStyle w:val="FootnoteReference"/>
          <w:rFonts w:ascii="Times New Roman" w:hAnsi="Times New Roman"/>
        </w:rPr>
        <w:t xml:space="preserve"> </w:t>
      </w:r>
      <w:r>
        <w:rPr>
          <w:rFonts w:ascii="Times New Roman" w:hAnsi="Times New Roman"/>
        </w:rPr>
        <w:t xml:space="preserve">Byla SA.43367 </w:t>
      </w:r>
      <w:r>
        <w:rPr>
          <w:rFonts w:ascii="Times New Roman" w:hAnsi="Times New Roman"/>
          <w:i/>
        </w:rPr>
        <w:t xml:space="preserve">2015 m. suteikta papildoma restruktūrizavimo pagalba </w:t>
      </w:r>
      <w:r>
        <w:rPr>
          <w:rFonts w:ascii="Times New Roman" w:hAnsi="Times New Roman"/>
          <w:i/>
        </w:rPr>
        <w:t>bankui „</w:t>
      </w:r>
      <w:proofErr w:type="spellStart"/>
      <w:r>
        <w:rPr>
          <w:rFonts w:ascii="Times New Roman" w:hAnsi="Times New Roman"/>
          <w:i/>
        </w:rPr>
        <w:t>Cooperative</w:t>
      </w:r>
      <w:proofErr w:type="spellEnd"/>
      <w:r>
        <w:rPr>
          <w:rFonts w:ascii="Times New Roman" w:hAnsi="Times New Roman"/>
          <w:i/>
        </w:rPr>
        <w:t xml:space="preserve"> </w:t>
      </w:r>
      <w:proofErr w:type="spellStart"/>
      <w:r>
        <w:rPr>
          <w:rFonts w:ascii="Times New Roman" w:hAnsi="Times New Roman"/>
          <w:i/>
        </w:rPr>
        <w:t>Central</w:t>
      </w:r>
      <w:proofErr w:type="spellEnd"/>
      <w:r>
        <w:rPr>
          <w:rFonts w:ascii="Times New Roman" w:hAnsi="Times New Roman"/>
          <w:i/>
        </w:rPr>
        <w:t xml:space="preserve"> </w:t>
      </w:r>
      <w:proofErr w:type="spellStart"/>
      <w:r>
        <w:rPr>
          <w:rFonts w:ascii="Times New Roman" w:hAnsi="Times New Roman"/>
          <w:i/>
        </w:rPr>
        <w:t>Bank</w:t>
      </w:r>
      <w:proofErr w:type="spellEnd"/>
      <w:r>
        <w:rPr>
          <w:rFonts w:ascii="Times New Roman" w:hAnsi="Times New Roman"/>
          <w:i/>
        </w:rPr>
        <w:t>“</w:t>
      </w:r>
      <w:r>
        <w:rPr>
          <w:rFonts w:ascii="Times New Roman" w:hAnsi="Times New Roman"/>
        </w:rPr>
        <w:t xml:space="preserve">, 2015 m. gruodžio 18 d. Komisijos sprendimas, paskelbtas </w:t>
      </w:r>
      <w:hyperlink r:id="rId57">
        <w:r>
          <w:rPr>
            <w:rStyle w:val="Hyperlink"/>
            <w:rFonts w:ascii="Times New Roman" w:hAnsi="Times New Roman"/>
          </w:rPr>
          <w:t>http://ec.europa.eu/competition/elojade/isef/case_details.cfm?p</w:t>
        </w:r>
        <w:r>
          <w:rPr>
            <w:rStyle w:val="Hyperlink"/>
            <w:rFonts w:ascii="Times New Roman" w:hAnsi="Times New Roman"/>
          </w:rPr>
          <w:t>roc_code=3_</w:t>
        </w:r>
        <w:r>
          <w:rPr>
            <w:rStyle w:val="Hyperlink"/>
            <w:rFonts w:ascii="Times New Roman" w:hAnsi="Times New Roman"/>
          </w:rPr>
          <w:br/>
          <w:t>SA_43367</w:t>
        </w:r>
      </w:hyperlink>
      <w:r>
        <w:rPr>
          <w:rFonts w:ascii="Times New Roman" w:hAnsi="Times New Roman"/>
        </w:rPr>
        <w:t xml:space="preserve">. </w:t>
      </w:r>
    </w:p>
  </w:footnote>
  <w:footnote w:id="56">
    <w:p w:rsidR="00E027F3" w:rsidRDefault="006D1C7A">
      <w:pPr>
        <w:pStyle w:val="FootnoteText"/>
        <w:spacing w:after="0" w:line="240" w:lineRule="auto"/>
        <w:rPr>
          <w:rFonts w:ascii="Times New Roman" w:hAnsi="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rPr>
        <w:t>2014 m. birželio mėn. Portugalija sėkmingai užbaigė trejų metų ekonomikos koregavimo programą.</w:t>
      </w:r>
    </w:p>
  </w:footnote>
  <w:footnote w:id="57">
    <w:p w:rsidR="00E027F3" w:rsidRDefault="006D1C7A">
      <w:pPr>
        <w:pStyle w:val="FootnoteText"/>
        <w:spacing w:after="0" w:line="240" w:lineRule="auto"/>
        <w:rPr>
          <w:rFonts w:ascii="Times New Roman" w:hAnsi="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rPr>
        <w:t xml:space="preserve">Byla SA.43976 </w:t>
      </w:r>
      <w:r>
        <w:rPr>
          <w:rFonts w:ascii="Times New Roman" w:hAnsi="Times New Roman"/>
          <w:i/>
        </w:rPr>
        <w:t>Banko „</w:t>
      </w:r>
      <w:proofErr w:type="spellStart"/>
      <w:r>
        <w:rPr>
          <w:rFonts w:ascii="Times New Roman" w:hAnsi="Times New Roman"/>
          <w:i/>
        </w:rPr>
        <w:t>Banco</w:t>
      </w:r>
      <w:proofErr w:type="spellEnd"/>
      <w:r>
        <w:rPr>
          <w:rFonts w:ascii="Times New Roman" w:hAnsi="Times New Roman"/>
          <w:i/>
        </w:rPr>
        <w:t xml:space="preserve"> </w:t>
      </w:r>
      <w:proofErr w:type="spellStart"/>
      <w:r>
        <w:rPr>
          <w:rFonts w:ascii="Times New Roman" w:hAnsi="Times New Roman"/>
          <w:i/>
        </w:rPr>
        <w:t>Espirito</w:t>
      </w:r>
      <w:proofErr w:type="spellEnd"/>
      <w:r>
        <w:rPr>
          <w:rFonts w:ascii="Times New Roman" w:hAnsi="Times New Roman"/>
          <w:i/>
        </w:rPr>
        <w:t xml:space="preserve"> Santo S.A. (Novo </w:t>
      </w:r>
      <w:proofErr w:type="spellStart"/>
      <w:r>
        <w:rPr>
          <w:rFonts w:ascii="Times New Roman" w:hAnsi="Times New Roman"/>
          <w:i/>
        </w:rPr>
        <w:t>Banco</w:t>
      </w:r>
      <w:proofErr w:type="spellEnd"/>
      <w:r>
        <w:rPr>
          <w:rFonts w:ascii="Times New Roman" w:hAnsi="Times New Roman"/>
          <w:i/>
        </w:rPr>
        <w:t xml:space="preserve"> S.A.)“ 2014 m. pertvarkymo dalinis pakeitimas</w:t>
      </w:r>
      <w:r>
        <w:rPr>
          <w:rFonts w:ascii="Times New Roman" w:hAnsi="Times New Roman"/>
        </w:rPr>
        <w:t>, 2015 m. gruodžio 19 d. Komis</w:t>
      </w:r>
      <w:r>
        <w:rPr>
          <w:rFonts w:ascii="Times New Roman" w:hAnsi="Times New Roman"/>
        </w:rPr>
        <w:t xml:space="preserve">ijos sprendimas, paskelbtas </w:t>
      </w:r>
      <w:hyperlink r:id="rId58">
        <w:r>
          <w:rPr>
            <w:rStyle w:val="Hyperlink"/>
            <w:rFonts w:ascii="Times New Roman" w:hAnsi="Times New Roman"/>
          </w:rPr>
          <w:t>http://ec.europa.eu/competition/elojade/isef/case_</w:t>
        </w:r>
        <w:r>
          <w:rPr>
            <w:rStyle w:val="Hyperlink"/>
            <w:rFonts w:ascii="Times New Roman" w:hAnsi="Times New Roman"/>
          </w:rPr>
          <w:br/>
          <w:t>details.cfm?proc_code=3_SA_43976</w:t>
        </w:r>
      </w:hyperlink>
      <w:r>
        <w:rPr>
          <w:rFonts w:ascii="Times New Roman" w:hAnsi="Times New Roman"/>
        </w:rPr>
        <w:t xml:space="preserve">. </w:t>
      </w:r>
    </w:p>
  </w:footnote>
  <w:footnote w:id="58">
    <w:p w:rsidR="00E027F3" w:rsidRDefault="006D1C7A">
      <w:pPr>
        <w:pStyle w:val="FootnoteText"/>
        <w:spacing w:after="0" w:line="240" w:lineRule="auto"/>
      </w:pPr>
      <w:r>
        <w:rPr>
          <w:rStyle w:val="FootnoteReference"/>
          <w:rFonts w:ascii="Times New Roman" w:hAnsi="Times New Roman"/>
        </w:rPr>
        <w:footnoteRef/>
      </w:r>
      <w:r>
        <w:t xml:space="preserve"> </w:t>
      </w:r>
      <w:r>
        <w:rPr>
          <w:rFonts w:ascii="Times New Roman" w:hAnsi="Times New Roman"/>
        </w:rPr>
        <w:t xml:space="preserve">Byla SA.43977 </w:t>
      </w:r>
      <w:r>
        <w:rPr>
          <w:rFonts w:ascii="Times New Roman" w:hAnsi="Times New Roman"/>
          <w:i/>
        </w:rPr>
        <w:t>Banko „</w:t>
      </w:r>
      <w:proofErr w:type="spellStart"/>
      <w:r>
        <w:rPr>
          <w:rFonts w:ascii="Times New Roman" w:hAnsi="Times New Roman"/>
          <w:i/>
        </w:rPr>
        <w:t>Banif</w:t>
      </w:r>
      <w:proofErr w:type="spellEnd"/>
      <w:r>
        <w:rPr>
          <w:rFonts w:ascii="Times New Roman" w:hAnsi="Times New Roman"/>
          <w:i/>
        </w:rPr>
        <w:t xml:space="preserve"> - </w:t>
      </w:r>
      <w:proofErr w:type="spellStart"/>
      <w:r>
        <w:rPr>
          <w:rFonts w:ascii="Times New Roman" w:hAnsi="Times New Roman"/>
          <w:i/>
        </w:rPr>
        <w:t>Banco</w:t>
      </w:r>
      <w:proofErr w:type="spellEnd"/>
      <w:r>
        <w:rPr>
          <w:rFonts w:ascii="Times New Roman" w:hAnsi="Times New Roman"/>
          <w:i/>
        </w:rPr>
        <w:t xml:space="preserve"> </w:t>
      </w:r>
      <w:proofErr w:type="spellStart"/>
      <w:r>
        <w:rPr>
          <w:rFonts w:ascii="Times New Roman" w:hAnsi="Times New Roman"/>
          <w:i/>
        </w:rPr>
        <w:t>Int</w:t>
      </w:r>
      <w:r>
        <w:rPr>
          <w:rFonts w:ascii="Times New Roman" w:hAnsi="Times New Roman"/>
          <w:i/>
        </w:rPr>
        <w:t>ernacional</w:t>
      </w:r>
      <w:proofErr w:type="spellEnd"/>
      <w:r>
        <w:rPr>
          <w:rFonts w:ascii="Times New Roman" w:hAnsi="Times New Roman"/>
          <w:i/>
        </w:rPr>
        <w:t xml:space="preserve"> </w:t>
      </w:r>
      <w:proofErr w:type="spellStart"/>
      <w:r>
        <w:rPr>
          <w:rFonts w:ascii="Times New Roman" w:hAnsi="Times New Roman"/>
          <w:i/>
        </w:rPr>
        <w:t>do</w:t>
      </w:r>
      <w:proofErr w:type="spellEnd"/>
      <w:r>
        <w:rPr>
          <w:rFonts w:ascii="Times New Roman" w:hAnsi="Times New Roman"/>
          <w:i/>
        </w:rPr>
        <w:t xml:space="preserve"> </w:t>
      </w:r>
      <w:proofErr w:type="spellStart"/>
      <w:r>
        <w:rPr>
          <w:rFonts w:ascii="Times New Roman" w:hAnsi="Times New Roman"/>
          <w:i/>
        </w:rPr>
        <w:t>Funchal</w:t>
      </w:r>
      <w:proofErr w:type="spellEnd"/>
      <w:r>
        <w:rPr>
          <w:rFonts w:ascii="Times New Roman" w:hAnsi="Times New Roman"/>
          <w:i/>
        </w:rPr>
        <w:t>, S.A.“ pertvarkymas</w:t>
      </w:r>
      <w:r>
        <w:rPr>
          <w:rFonts w:ascii="Times New Roman" w:hAnsi="Times New Roman"/>
        </w:rPr>
        <w:t>, 2015 m. gruodžio 21 d. Komisijos sprendimas, paskelbtas</w:t>
      </w:r>
      <w:r>
        <w:t xml:space="preserve"> </w:t>
      </w:r>
      <w:hyperlink r:id="rId59">
        <w:r>
          <w:rPr>
            <w:rStyle w:val="Hyperlink"/>
            <w:rFonts w:ascii="Times New Roman" w:hAnsi="Times New Roman"/>
          </w:rPr>
          <w:t>http://ec.europa.eu/competition/elojade/isef/case_detai</w:t>
        </w:r>
        <w:r>
          <w:rPr>
            <w:rStyle w:val="Hyperlink"/>
            <w:rFonts w:ascii="Times New Roman" w:hAnsi="Times New Roman"/>
          </w:rPr>
          <w:t>ls.cfm?proc_code=3_</w:t>
        </w:r>
        <w:r>
          <w:rPr>
            <w:rStyle w:val="Hyperlink"/>
            <w:rFonts w:ascii="Times New Roman" w:hAnsi="Times New Roman"/>
          </w:rPr>
          <w:br/>
          <w:t>SA_43977</w:t>
        </w:r>
      </w:hyperlink>
      <w:r>
        <w:rPr>
          <w:rFonts w:ascii="Times New Roman" w:hAnsi="Times New Roman"/>
        </w:rPr>
        <w:t>.</w:t>
      </w:r>
    </w:p>
  </w:footnote>
  <w:footnote w:id="59">
    <w:p w:rsidR="00E027F3" w:rsidRDefault="006D1C7A">
      <w:pPr>
        <w:pStyle w:val="FootnoteText"/>
        <w:spacing w:line="240" w:lineRule="auto"/>
        <w:rPr>
          <w:rFonts w:ascii="Times New Roman" w:hAnsi="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rPr>
        <w:t>II ES ir Kinijos prekybos projektas.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7F3" w:rsidRDefault="00E027F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7F3" w:rsidRDefault="00E027F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7F3" w:rsidRDefault="00E027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D4554C"/>
    <w:multiLevelType w:val="hybridMultilevel"/>
    <w:tmpl w:val="2AAA0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82452C9"/>
    <w:multiLevelType w:val="hybridMultilevel"/>
    <w:tmpl w:val="6102087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C8C791E"/>
    <w:multiLevelType w:val="hybridMultilevel"/>
    <w:tmpl w:val="A3E89144"/>
    <w:lvl w:ilvl="0" w:tplc="B662537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7C2C7DD6"/>
    <w:multiLevelType w:val="hybridMultilevel"/>
    <w:tmpl w:val="243C91CA"/>
    <w:lvl w:ilvl="0" w:tplc="5F8869F8">
      <w:start w:val="1"/>
      <w:numFmt w:val="upperRoman"/>
      <w:pStyle w:val="HeaderCoverPage"/>
      <w:lvlText w:val="%1."/>
      <w:lvlJc w:val="left"/>
      <w:pPr>
        <w:ind w:left="720" w:hanging="360"/>
      </w:pPr>
      <w:rPr>
        <w:rFonts w:ascii="Times New Roman" w:eastAsia="Times New Roman" w:hAnsi="Times New Roman" w:cs="Times New Roman"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proofState w:spelling="clean" w:grammar="clean"/>
  <w:defaultTabStop w:val="720"/>
  <w:characterSpacingControl w:val="doNotCompress"/>
  <w:hdrShapeDefaults>
    <o:shapedefaults v:ext="edit" spidmax="47105">
      <o:colormenu v:ext="edit" fill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ocStatus" w:val="Red"/>
    <w:docVar w:name="LW_ACCOMPAGNANT.CP" w:val="&lt;UNUSED&gt;"/>
    <w:docVar w:name="LW_CONFIDENCE" w:val=" "/>
    <w:docVar w:name="LW_CONST_RESTREINT_UE" w:val="RESTREINT UE"/>
    <w:docVar w:name="LW_CORRIGENDUM" w:val="&lt;UNUSED&gt;"/>
    <w:docVar w:name="LW_COVERPAGE_GUID" w:val="D03A122D4DDF4385A3CD7B98229A1711"/>
    <w:docVar w:name="LW_CROSSREFERENCE" w:val="{SWD(2016) 198 final}"/>
    <w:docVar w:name="LW_DATE.ADOPT.CP_ISODATE" w:val="&lt;EMPTY&gt;"/>
    <w:docVar w:name="LW_DocType" w:val="NORMAL"/>
    <w:docVar w:name="LW_EMISSION" w:val="2016 06 15"/>
    <w:docVar w:name="LW_EMISSION_ISODATE" w:val="2016-06-15"/>
    <w:docVar w:name="LW_EMISSION_LOCATION" w:val="BRX"/>
    <w:docVar w:name="LW_EMISSION_PREFIX" w:val="Briuselis, "/>
    <w:docVar w:name="LW_EMISSION_SUFFIX" w:val=" "/>
    <w:docVar w:name="LW_ID_DOCTYPE_NONLW" w:val="CP-008"/>
    <w:docVar w:name="LW_INTERETEEE.CP" w:val="&lt;UNUSED&gt;"/>
    <w:docVar w:name="LW_LANGUE" w:val="LT"/>
    <w:docVar w:name="LW_LANGUESFAISANTFOI.CP" w:val="&lt;UNUSED&gt;"/>
    <w:docVar w:name="LW_MARKING" w:val="&lt;UNUSED&gt;"/>
    <w:docVar w:name="LW_NOM.INST" w:val="EUROPOS KOMISIJA"/>
    <w:docVar w:name="LW_NOM.INST_JOINTDOC" w:val="&lt;EMPTY&gt;"/>
    <w:docVar w:name="LW_OBJETACTEPRINCIPAL.CP" w:val="&lt;UNUSED&gt;"/>
    <w:docVar w:name="LW_PART_NBR" w:val="1"/>
    <w:docVar w:name="LW_PART_NBR_TOTAL" w:val="1"/>
    <w:docVar w:name="LW_REF.II.NEW.CP" w:val="&lt;UNUSED&gt;"/>
    <w:docVar w:name="LW_REF.II.NEW.CP_NUMBER" w:val="&lt;UNUSED&gt;"/>
    <w:docVar w:name="LW_REF.II.NEW.CP_YEAR" w:val="2016"/>
    <w:docVar w:name="LW_REF.INST.NEW" w:val="COM"/>
    <w:docVar w:name="LW_REF.INST.NEW_ADOPTED" w:val="final"/>
    <w:docVar w:name="LW_REF.INST.NEW_TEXT" w:val="(2016) 393"/>
    <w:docVar w:name="LW_REF.INTERNE" w:val="&lt;UNUSED&gt;"/>
    <w:docVar w:name="LW_SOUS.TITRE.OBJ.CP" w:val="&lt;UNUSED&gt;"/>
    <w:docVar w:name="LW_SUPERTITRE" w:val="&lt;UNUSED&gt;"/>
    <w:docVar w:name="LW_TITRE.OBJ.CP" w:val="2015 m. konkurencijos politikos ataskaita"/>
    <w:docVar w:name="LW_TYPE.DOC.CP" w:val="KOMISIJOS ATASKAITA EUROPOS PARLAMENTUI, TARYBAI, EUROPOS EKONOMIKOS IR SOCIALINI\u370? REIKAL\u370? KOMITETUI IR REGION\u370? KOMITETUI"/>
    <w:docVar w:name="LW_TYPEACTEPRINCIPAL.CP" w:val="&lt;UNUSED&gt;"/>
    <w:docVar w:name="Stamp" w:val="\\dossiers.dgt.cec.eu.int\dossiers\COMP\COMP-2016-00336\COMP-2016-00336-00-00-EN-REV-00.DOCX"/>
  </w:docVars>
  <w:rsids>
    <w:rsidRoot w:val="00E027F3"/>
    <w:rsid w:val="006D1C7A"/>
    <w:rsid w:val="00E027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colormenu v:ext="edit" fill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t-LT" w:eastAsia="lt-LT" w:bidi="lt-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t11">
    <w:name w:val="a__t11"/>
  </w:style>
  <w:style w:type="character" w:styleId="Hyperlink">
    <w:name w:val="Hyperlink"/>
    <w:uiPriority w:val="99"/>
    <w:unhideWhenUsed/>
    <w:rPr>
      <w:color w:val="0000FF"/>
      <w:u w:val="single"/>
    </w:rPr>
  </w:style>
  <w:style w:type="paragraph" w:styleId="FootnoteText">
    <w:name w:val="footnote text"/>
    <w:basedOn w:val="Normal"/>
    <w:unhideWhenUsed/>
    <w:qFormat/>
    <w:rPr>
      <w:sz w:val="20"/>
      <w:szCs w:val="20"/>
    </w:rPr>
  </w:style>
  <w:style w:type="character" w:customStyle="1" w:styleId="FootnoteTextChar">
    <w:name w:val="Footnote Text Char"/>
    <w:aliases w:val="Footnote Text Char2 Char Char,Footnote Text Char Char Char1 Char,Footnote Text Char1 Char Char Char Char,Footnote Text Char2 Char Char Char Char Char,Footnote Text Char1 Char1 Char Char Char Char Char,Voetnootteks Char,fn Char,f Char"/>
    <w:rPr>
      <w:lang w:eastAsia="lt-LT"/>
    </w:rPr>
  </w:style>
  <w:style w:type="character" w:styleId="FootnoteReference">
    <w:name w:val="footnote reference"/>
    <w:aliases w:val="Ref Char,de nota al pie Char,Footnote Char,Footnote number Char,Footnote symbol Char,note TESI Char,(NECG) Footnote Reference Char,Nota Char,fr Char,o Char,Fußnotenzeichen3 Char,Footnote Reference Number Char,BVI fnr Char,Char, Char"/>
    <w:link w:val="Ref"/>
    <w:unhideWhenUsed/>
    <w:qFormat/>
    <w:rPr>
      <w:vertAlign w:val="superscript"/>
    </w:rPr>
  </w:style>
  <w:style w:type="character" w:styleId="Emphasis">
    <w:name w:val="Emphasis"/>
    <w:uiPriority w:val="20"/>
    <w:qFormat/>
    <w:rPr>
      <w:i/>
      <w:iCs/>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sz w:val="24"/>
      <w:szCs w:val="24"/>
    </w:rPr>
  </w:style>
  <w:style w:type="character" w:styleId="FollowedHyperlink">
    <w:name w:val="FollowedHyperlink"/>
    <w:uiPriority w:val="99"/>
    <w:semiHidden/>
    <w:unhideWhenUsed/>
    <w:rPr>
      <w:color w:val="800080"/>
      <w:u w:val="single"/>
    </w:rPr>
  </w:style>
  <w:style w:type="character" w:customStyle="1" w:styleId="at1">
    <w:name w:val="a__t1"/>
  </w:style>
  <w:style w:type="character" w:customStyle="1" w:styleId="at3">
    <w:name w:val="a__t3"/>
  </w:style>
  <w:style w:type="character" w:customStyle="1" w:styleId="at2">
    <w:name w:val="a__t2"/>
  </w:style>
  <w:style w:type="character" w:styleId="Strong">
    <w:name w:val="Strong"/>
    <w:uiPriority w:val="22"/>
    <w:qFormat/>
    <w:rPr>
      <w:b/>
      <w:bCs/>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lang w:eastAsia="lt-LT"/>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link w:val="Header"/>
    <w:uiPriority w:val="99"/>
    <w:rPr>
      <w:sz w:val="22"/>
      <w:szCs w:val="22"/>
      <w:lang w:eastAsia="lt-LT"/>
    </w:rPr>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link w:val="Footer"/>
    <w:uiPriority w:val="99"/>
    <w:rPr>
      <w:sz w:val="22"/>
      <w:szCs w:val="22"/>
      <w:lang w:eastAsia="lt-LT"/>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link w:val="CommentText"/>
    <w:uiPriority w:val="99"/>
    <w:semiHidden/>
    <w:rPr>
      <w:lang w:eastAsia="lt-LT"/>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b/>
      <w:bCs/>
      <w:lang w:eastAsia="lt-LT"/>
    </w:rPr>
  </w:style>
  <w:style w:type="character" w:customStyle="1" w:styleId="Marker">
    <w:name w:val="Marker"/>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hanging="360"/>
    </w:pPr>
    <w:rPr>
      <w:rFonts w:ascii="Times New Roman" w:hAnsi="Times New Roman"/>
      <w:sz w:val="24"/>
      <w:szCs w:val="24"/>
    </w:rPr>
  </w:style>
  <w:style w:type="character" w:customStyle="1" w:styleId="FooterCoverPageChar">
    <w:name w:val="Footer Cover Page Char"/>
    <w:link w:val="FooterCoverPage"/>
    <w:rPr>
      <w:rFonts w:ascii="Times New Roman" w:hAnsi="Times New Roman"/>
      <w:sz w:val="24"/>
      <w:szCs w:val="24"/>
    </w:rPr>
  </w:style>
  <w:style w:type="paragraph" w:customStyle="1" w:styleId="HeaderCoverPage">
    <w:name w:val="Header Cover Page"/>
    <w:basedOn w:val="Normal"/>
    <w:link w:val="HeaderCoverPageChar"/>
    <w:pPr>
      <w:numPr>
        <w:numId w:val="3"/>
      </w:numPr>
      <w:tabs>
        <w:tab w:val="center" w:pos="4535"/>
        <w:tab w:val="right" w:pos="9071"/>
      </w:tabs>
      <w:spacing w:after="120" w:line="240" w:lineRule="auto"/>
      <w:ind w:left="0"/>
      <w:jc w:val="both"/>
    </w:pPr>
    <w:rPr>
      <w:rFonts w:ascii="Times New Roman" w:hAnsi="Times New Roman"/>
      <w:sz w:val="24"/>
      <w:szCs w:val="24"/>
    </w:rPr>
  </w:style>
  <w:style w:type="character" w:customStyle="1" w:styleId="HeaderCoverPageChar">
    <w:name w:val="Header Cover Page Char"/>
    <w:link w:val="HeaderCoverPage"/>
    <w:rPr>
      <w:rFonts w:ascii="Times New Roman" w:hAnsi="Times New Roman"/>
      <w:sz w:val="24"/>
      <w:szCs w:val="24"/>
    </w:rPr>
  </w:style>
  <w:style w:type="paragraph" w:customStyle="1" w:styleId="Ref">
    <w:name w:val="Ref"/>
    <w:aliases w:val="de nota al pie,Footnote,Footnote number,Footnote symbol,note TESI,(NECG) Footnote Reference,Nota,fr,o,Fußnotenzeichen3,Footnote Reference Number,Footnote Reference_LVL6,Footnote Reference_LVL61,Footnote Reference_LVL62,BVI fnr,Ch,de nota al pi..."/>
    <w:basedOn w:val="Normal"/>
    <w:link w:val="FootnoteReference"/>
    <w:pPr>
      <w:spacing w:after="160" w:line="240" w:lineRule="exact"/>
    </w:pPr>
    <w:rPr>
      <w:sz w:val="20"/>
      <w:szCs w:val="20"/>
      <w:vertAlign w:val="superscript"/>
    </w:rPr>
  </w:style>
  <w:style w:type="paragraph" w:styleId="Revision">
    <w:name w:val="Revision"/>
    <w:hidden/>
    <w:uiPriority w:val="99"/>
    <w:semiHidden/>
    <w:rPr>
      <w:sz w:val="22"/>
      <w:szCs w:val="22"/>
    </w:rPr>
  </w:style>
  <w:style w:type="paragraph" w:customStyle="1" w:styleId="Typedudocument">
    <w:name w:val="Type du document"/>
    <w:basedOn w:val="Normal"/>
    <w:next w:val="Normal"/>
    <w:pPr>
      <w:spacing w:before="360" w:after="0" w:line="240" w:lineRule="auto"/>
      <w:jc w:val="center"/>
    </w:pPr>
    <w:rPr>
      <w:rFonts w:ascii="Times New Roman" w:eastAsiaTheme="minorHAnsi" w:hAnsi="Times New Roman"/>
      <w:b/>
      <w:sz w:val="24"/>
    </w:rPr>
  </w:style>
  <w:style w:type="paragraph" w:customStyle="1" w:styleId="Titreobjet">
    <w:name w:val="Titre objet"/>
    <w:basedOn w:val="Normal"/>
    <w:next w:val="Normal"/>
    <w:pPr>
      <w:spacing w:before="360" w:after="360" w:line="240" w:lineRule="auto"/>
      <w:jc w:val="center"/>
    </w:pPr>
    <w:rPr>
      <w:rFonts w:ascii="Times New Roman" w:eastAsiaTheme="minorHAnsi" w:hAnsi="Times New Roman"/>
      <w:b/>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t-LT" w:eastAsia="lt-LT" w:bidi="lt-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t11">
    <w:name w:val="a__t11"/>
  </w:style>
  <w:style w:type="character" w:styleId="Hyperlink">
    <w:name w:val="Hyperlink"/>
    <w:uiPriority w:val="99"/>
    <w:unhideWhenUsed/>
    <w:rPr>
      <w:color w:val="0000FF"/>
      <w:u w:val="single"/>
    </w:rPr>
  </w:style>
  <w:style w:type="paragraph" w:styleId="FootnoteText">
    <w:name w:val="footnote text"/>
    <w:basedOn w:val="Normal"/>
    <w:unhideWhenUsed/>
    <w:qFormat/>
    <w:rPr>
      <w:sz w:val="20"/>
      <w:szCs w:val="20"/>
    </w:rPr>
  </w:style>
  <w:style w:type="character" w:customStyle="1" w:styleId="FootnoteTextChar">
    <w:name w:val="Footnote Text Char"/>
    <w:aliases w:val="Footnote Text Char2 Char Char,Footnote Text Char Char Char1 Char,Footnote Text Char1 Char Char Char Char,Footnote Text Char2 Char Char Char Char Char,Footnote Text Char1 Char1 Char Char Char Char Char,Voetnootteks Char,fn Char,f Char"/>
    <w:rPr>
      <w:lang w:eastAsia="lt-LT"/>
    </w:rPr>
  </w:style>
  <w:style w:type="character" w:styleId="FootnoteReference">
    <w:name w:val="footnote reference"/>
    <w:aliases w:val="Ref Char,de nota al pie Char,Footnote Char,Footnote number Char,Footnote symbol Char,note TESI Char,(NECG) Footnote Reference Char,Nota Char,fr Char,o Char,Fußnotenzeichen3 Char,Footnote Reference Number Char,BVI fnr Char,Char, Char"/>
    <w:link w:val="Ref"/>
    <w:unhideWhenUsed/>
    <w:qFormat/>
    <w:rPr>
      <w:vertAlign w:val="superscript"/>
    </w:rPr>
  </w:style>
  <w:style w:type="character" w:styleId="Emphasis">
    <w:name w:val="Emphasis"/>
    <w:uiPriority w:val="20"/>
    <w:qFormat/>
    <w:rPr>
      <w:i/>
      <w:iCs/>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sz w:val="24"/>
      <w:szCs w:val="24"/>
    </w:rPr>
  </w:style>
  <w:style w:type="character" w:styleId="FollowedHyperlink">
    <w:name w:val="FollowedHyperlink"/>
    <w:uiPriority w:val="99"/>
    <w:semiHidden/>
    <w:unhideWhenUsed/>
    <w:rPr>
      <w:color w:val="800080"/>
      <w:u w:val="single"/>
    </w:rPr>
  </w:style>
  <w:style w:type="character" w:customStyle="1" w:styleId="at1">
    <w:name w:val="a__t1"/>
  </w:style>
  <w:style w:type="character" w:customStyle="1" w:styleId="at3">
    <w:name w:val="a__t3"/>
  </w:style>
  <w:style w:type="character" w:customStyle="1" w:styleId="at2">
    <w:name w:val="a__t2"/>
  </w:style>
  <w:style w:type="character" w:styleId="Strong">
    <w:name w:val="Strong"/>
    <w:uiPriority w:val="22"/>
    <w:qFormat/>
    <w:rPr>
      <w:b/>
      <w:bCs/>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lang w:eastAsia="lt-LT"/>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link w:val="Header"/>
    <w:uiPriority w:val="99"/>
    <w:rPr>
      <w:sz w:val="22"/>
      <w:szCs w:val="22"/>
      <w:lang w:eastAsia="lt-LT"/>
    </w:rPr>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link w:val="Footer"/>
    <w:uiPriority w:val="99"/>
    <w:rPr>
      <w:sz w:val="22"/>
      <w:szCs w:val="22"/>
      <w:lang w:eastAsia="lt-LT"/>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link w:val="CommentText"/>
    <w:uiPriority w:val="99"/>
    <w:semiHidden/>
    <w:rPr>
      <w:lang w:eastAsia="lt-LT"/>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b/>
      <w:bCs/>
      <w:lang w:eastAsia="lt-LT"/>
    </w:rPr>
  </w:style>
  <w:style w:type="character" w:customStyle="1" w:styleId="Marker">
    <w:name w:val="Marker"/>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hanging="360"/>
    </w:pPr>
    <w:rPr>
      <w:rFonts w:ascii="Times New Roman" w:hAnsi="Times New Roman"/>
      <w:sz w:val="24"/>
      <w:szCs w:val="24"/>
    </w:rPr>
  </w:style>
  <w:style w:type="character" w:customStyle="1" w:styleId="FooterCoverPageChar">
    <w:name w:val="Footer Cover Page Char"/>
    <w:link w:val="FooterCoverPage"/>
    <w:rPr>
      <w:rFonts w:ascii="Times New Roman" w:hAnsi="Times New Roman"/>
      <w:sz w:val="24"/>
      <w:szCs w:val="24"/>
    </w:rPr>
  </w:style>
  <w:style w:type="paragraph" w:customStyle="1" w:styleId="HeaderCoverPage">
    <w:name w:val="Header Cover Page"/>
    <w:basedOn w:val="Normal"/>
    <w:link w:val="HeaderCoverPageChar"/>
    <w:pPr>
      <w:numPr>
        <w:numId w:val="3"/>
      </w:numPr>
      <w:tabs>
        <w:tab w:val="center" w:pos="4535"/>
        <w:tab w:val="right" w:pos="9071"/>
      </w:tabs>
      <w:spacing w:after="120" w:line="240" w:lineRule="auto"/>
      <w:ind w:left="0"/>
      <w:jc w:val="both"/>
    </w:pPr>
    <w:rPr>
      <w:rFonts w:ascii="Times New Roman" w:hAnsi="Times New Roman"/>
      <w:sz w:val="24"/>
      <w:szCs w:val="24"/>
    </w:rPr>
  </w:style>
  <w:style w:type="character" w:customStyle="1" w:styleId="HeaderCoverPageChar">
    <w:name w:val="Header Cover Page Char"/>
    <w:link w:val="HeaderCoverPage"/>
    <w:rPr>
      <w:rFonts w:ascii="Times New Roman" w:hAnsi="Times New Roman"/>
      <w:sz w:val="24"/>
      <w:szCs w:val="24"/>
    </w:rPr>
  </w:style>
  <w:style w:type="paragraph" w:customStyle="1" w:styleId="Ref">
    <w:name w:val="Ref"/>
    <w:aliases w:val="de nota al pie,Footnote,Footnote number,Footnote symbol,note TESI,(NECG) Footnote Reference,Nota,fr,o,Fußnotenzeichen3,Footnote Reference Number,Footnote Reference_LVL6,Footnote Reference_LVL61,Footnote Reference_LVL62,BVI fnr,Ch,de nota al pi..."/>
    <w:basedOn w:val="Normal"/>
    <w:link w:val="FootnoteReference"/>
    <w:pPr>
      <w:spacing w:after="160" w:line="240" w:lineRule="exact"/>
    </w:pPr>
    <w:rPr>
      <w:sz w:val="20"/>
      <w:szCs w:val="20"/>
      <w:vertAlign w:val="superscript"/>
    </w:rPr>
  </w:style>
  <w:style w:type="paragraph" w:styleId="Revision">
    <w:name w:val="Revision"/>
    <w:hidden/>
    <w:uiPriority w:val="99"/>
    <w:semiHidden/>
    <w:rPr>
      <w:sz w:val="22"/>
      <w:szCs w:val="22"/>
    </w:rPr>
  </w:style>
  <w:style w:type="paragraph" w:customStyle="1" w:styleId="Typedudocument">
    <w:name w:val="Type du document"/>
    <w:basedOn w:val="Normal"/>
    <w:next w:val="Normal"/>
    <w:pPr>
      <w:spacing w:before="360" w:after="0" w:line="240" w:lineRule="auto"/>
      <w:jc w:val="center"/>
    </w:pPr>
    <w:rPr>
      <w:rFonts w:ascii="Times New Roman" w:eastAsiaTheme="minorHAnsi" w:hAnsi="Times New Roman"/>
      <w:b/>
      <w:sz w:val="24"/>
    </w:rPr>
  </w:style>
  <w:style w:type="paragraph" w:customStyle="1" w:styleId="Titreobjet">
    <w:name w:val="Titre objet"/>
    <w:basedOn w:val="Normal"/>
    <w:next w:val="Normal"/>
    <w:pPr>
      <w:spacing w:before="360" w:after="360" w:line="240" w:lineRule="auto"/>
      <w:jc w:val="center"/>
    </w:pPr>
    <w:rPr>
      <w:rFonts w:ascii="Times New Roman" w:eastAsiaTheme="minorHAnsi" w:hAnsi="Times New Roman"/>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76725">
      <w:bodyDiv w:val="1"/>
      <w:marLeft w:val="0"/>
      <w:marRight w:val="0"/>
      <w:marTop w:val="0"/>
      <w:marBottom w:val="0"/>
      <w:divBdr>
        <w:top w:val="none" w:sz="0" w:space="0" w:color="auto"/>
        <w:left w:val="none" w:sz="0" w:space="0" w:color="auto"/>
        <w:bottom w:val="none" w:sz="0" w:space="0" w:color="auto"/>
        <w:right w:val="none" w:sz="0" w:space="0" w:color="auto"/>
      </w:divBdr>
    </w:div>
    <w:div w:id="138114997">
      <w:bodyDiv w:val="1"/>
      <w:marLeft w:val="0"/>
      <w:marRight w:val="0"/>
      <w:marTop w:val="0"/>
      <w:marBottom w:val="0"/>
      <w:divBdr>
        <w:top w:val="none" w:sz="0" w:space="0" w:color="auto"/>
        <w:left w:val="none" w:sz="0" w:space="0" w:color="auto"/>
        <w:bottom w:val="none" w:sz="0" w:space="0" w:color="auto"/>
        <w:right w:val="none" w:sz="0" w:space="0" w:color="auto"/>
      </w:divBdr>
    </w:div>
    <w:div w:id="164249153">
      <w:bodyDiv w:val="1"/>
      <w:marLeft w:val="0"/>
      <w:marRight w:val="0"/>
      <w:marTop w:val="0"/>
      <w:marBottom w:val="0"/>
      <w:divBdr>
        <w:top w:val="none" w:sz="0" w:space="0" w:color="auto"/>
        <w:left w:val="none" w:sz="0" w:space="0" w:color="auto"/>
        <w:bottom w:val="none" w:sz="0" w:space="0" w:color="auto"/>
        <w:right w:val="none" w:sz="0" w:space="0" w:color="auto"/>
      </w:divBdr>
      <w:divsChild>
        <w:div w:id="1551116788">
          <w:marLeft w:val="547"/>
          <w:marRight w:val="0"/>
          <w:marTop w:val="0"/>
          <w:marBottom w:val="0"/>
          <w:divBdr>
            <w:top w:val="none" w:sz="0" w:space="0" w:color="auto"/>
            <w:left w:val="none" w:sz="0" w:space="0" w:color="auto"/>
            <w:bottom w:val="none" w:sz="0" w:space="0" w:color="auto"/>
            <w:right w:val="none" w:sz="0" w:space="0" w:color="auto"/>
          </w:divBdr>
        </w:div>
      </w:divsChild>
    </w:div>
    <w:div w:id="201095686">
      <w:bodyDiv w:val="1"/>
      <w:marLeft w:val="0"/>
      <w:marRight w:val="0"/>
      <w:marTop w:val="0"/>
      <w:marBottom w:val="0"/>
      <w:divBdr>
        <w:top w:val="none" w:sz="0" w:space="0" w:color="auto"/>
        <w:left w:val="none" w:sz="0" w:space="0" w:color="auto"/>
        <w:bottom w:val="none" w:sz="0" w:space="0" w:color="auto"/>
        <w:right w:val="none" w:sz="0" w:space="0" w:color="auto"/>
      </w:divBdr>
    </w:div>
    <w:div w:id="249504361">
      <w:bodyDiv w:val="1"/>
      <w:marLeft w:val="0"/>
      <w:marRight w:val="0"/>
      <w:marTop w:val="0"/>
      <w:marBottom w:val="0"/>
      <w:divBdr>
        <w:top w:val="none" w:sz="0" w:space="0" w:color="auto"/>
        <w:left w:val="none" w:sz="0" w:space="0" w:color="auto"/>
        <w:bottom w:val="none" w:sz="0" w:space="0" w:color="auto"/>
        <w:right w:val="none" w:sz="0" w:space="0" w:color="auto"/>
      </w:divBdr>
    </w:div>
    <w:div w:id="250159904">
      <w:bodyDiv w:val="1"/>
      <w:marLeft w:val="0"/>
      <w:marRight w:val="0"/>
      <w:marTop w:val="0"/>
      <w:marBottom w:val="0"/>
      <w:divBdr>
        <w:top w:val="none" w:sz="0" w:space="0" w:color="auto"/>
        <w:left w:val="none" w:sz="0" w:space="0" w:color="auto"/>
        <w:bottom w:val="none" w:sz="0" w:space="0" w:color="auto"/>
        <w:right w:val="none" w:sz="0" w:space="0" w:color="auto"/>
      </w:divBdr>
    </w:div>
    <w:div w:id="328411732">
      <w:bodyDiv w:val="1"/>
      <w:marLeft w:val="0"/>
      <w:marRight w:val="0"/>
      <w:marTop w:val="0"/>
      <w:marBottom w:val="0"/>
      <w:divBdr>
        <w:top w:val="none" w:sz="0" w:space="0" w:color="auto"/>
        <w:left w:val="none" w:sz="0" w:space="0" w:color="auto"/>
        <w:bottom w:val="none" w:sz="0" w:space="0" w:color="auto"/>
        <w:right w:val="none" w:sz="0" w:space="0" w:color="auto"/>
      </w:divBdr>
      <w:divsChild>
        <w:div w:id="1083377238">
          <w:marLeft w:val="0"/>
          <w:marRight w:val="0"/>
          <w:marTop w:val="0"/>
          <w:marBottom w:val="0"/>
          <w:divBdr>
            <w:top w:val="none" w:sz="0" w:space="0" w:color="auto"/>
            <w:left w:val="none" w:sz="0" w:space="0" w:color="auto"/>
            <w:bottom w:val="none" w:sz="0" w:space="0" w:color="auto"/>
            <w:right w:val="none" w:sz="0" w:space="0" w:color="auto"/>
          </w:divBdr>
        </w:div>
        <w:div w:id="2029066860">
          <w:marLeft w:val="0"/>
          <w:marRight w:val="0"/>
          <w:marTop w:val="0"/>
          <w:marBottom w:val="0"/>
          <w:divBdr>
            <w:top w:val="none" w:sz="0" w:space="0" w:color="auto"/>
            <w:left w:val="none" w:sz="0" w:space="0" w:color="auto"/>
            <w:bottom w:val="none" w:sz="0" w:space="0" w:color="auto"/>
            <w:right w:val="none" w:sz="0" w:space="0" w:color="auto"/>
          </w:divBdr>
        </w:div>
      </w:divsChild>
    </w:div>
    <w:div w:id="336662167">
      <w:bodyDiv w:val="1"/>
      <w:marLeft w:val="0"/>
      <w:marRight w:val="0"/>
      <w:marTop w:val="0"/>
      <w:marBottom w:val="0"/>
      <w:divBdr>
        <w:top w:val="none" w:sz="0" w:space="0" w:color="auto"/>
        <w:left w:val="none" w:sz="0" w:space="0" w:color="auto"/>
        <w:bottom w:val="none" w:sz="0" w:space="0" w:color="auto"/>
        <w:right w:val="none" w:sz="0" w:space="0" w:color="auto"/>
      </w:divBdr>
    </w:div>
    <w:div w:id="338236823">
      <w:bodyDiv w:val="1"/>
      <w:marLeft w:val="0"/>
      <w:marRight w:val="0"/>
      <w:marTop w:val="0"/>
      <w:marBottom w:val="0"/>
      <w:divBdr>
        <w:top w:val="none" w:sz="0" w:space="0" w:color="auto"/>
        <w:left w:val="none" w:sz="0" w:space="0" w:color="auto"/>
        <w:bottom w:val="none" w:sz="0" w:space="0" w:color="auto"/>
        <w:right w:val="none" w:sz="0" w:space="0" w:color="auto"/>
      </w:divBdr>
    </w:div>
    <w:div w:id="354622246">
      <w:bodyDiv w:val="1"/>
      <w:marLeft w:val="0"/>
      <w:marRight w:val="0"/>
      <w:marTop w:val="0"/>
      <w:marBottom w:val="0"/>
      <w:divBdr>
        <w:top w:val="none" w:sz="0" w:space="0" w:color="auto"/>
        <w:left w:val="none" w:sz="0" w:space="0" w:color="auto"/>
        <w:bottom w:val="none" w:sz="0" w:space="0" w:color="auto"/>
        <w:right w:val="none" w:sz="0" w:space="0" w:color="auto"/>
      </w:divBdr>
    </w:div>
    <w:div w:id="442460929">
      <w:bodyDiv w:val="1"/>
      <w:marLeft w:val="0"/>
      <w:marRight w:val="0"/>
      <w:marTop w:val="0"/>
      <w:marBottom w:val="0"/>
      <w:divBdr>
        <w:top w:val="none" w:sz="0" w:space="0" w:color="auto"/>
        <w:left w:val="none" w:sz="0" w:space="0" w:color="auto"/>
        <w:bottom w:val="none" w:sz="0" w:space="0" w:color="auto"/>
        <w:right w:val="none" w:sz="0" w:space="0" w:color="auto"/>
      </w:divBdr>
    </w:div>
    <w:div w:id="568152643">
      <w:bodyDiv w:val="1"/>
      <w:marLeft w:val="0"/>
      <w:marRight w:val="0"/>
      <w:marTop w:val="0"/>
      <w:marBottom w:val="0"/>
      <w:divBdr>
        <w:top w:val="none" w:sz="0" w:space="0" w:color="auto"/>
        <w:left w:val="none" w:sz="0" w:space="0" w:color="auto"/>
        <w:bottom w:val="none" w:sz="0" w:space="0" w:color="auto"/>
        <w:right w:val="none" w:sz="0" w:space="0" w:color="auto"/>
      </w:divBdr>
      <w:divsChild>
        <w:div w:id="917448681">
          <w:marLeft w:val="0"/>
          <w:marRight w:val="0"/>
          <w:marTop w:val="0"/>
          <w:marBottom w:val="0"/>
          <w:divBdr>
            <w:top w:val="none" w:sz="0" w:space="0" w:color="auto"/>
            <w:left w:val="none" w:sz="0" w:space="0" w:color="auto"/>
            <w:bottom w:val="none" w:sz="0" w:space="0" w:color="auto"/>
            <w:right w:val="none" w:sz="0" w:space="0" w:color="auto"/>
          </w:divBdr>
        </w:div>
      </w:divsChild>
    </w:div>
    <w:div w:id="653529084">
      <w:bodyDiv w:val="1"/>
      <w:marLeft w:val="0"/>
      <w:marRight w:val="0"/>
      <w:marTop w:val="0"/>
      <w:marBottom w:val="0"/>
      <w:divBdr>
        <w:top w:val="none" w:sz="0" w:space="0" w:color="auto"/>
        <w:left w:val="none" w:sz="0" w:space="0" w:color="auto"/>
        <w:bottom w:val="none" w:sz="0" w:space="0" w:color="auto"/>
        <w:right w:val="none" w:sz="0" w:space="0" w:color="auto"/>
      </w:divBdr>
    </w:div>
    <w:div w:id="794375163">
      <w:bodyDiv w:val="1"/>
      <w:marLeft w:val="0"/>
      <w:marRight w:val="0"/>
      <w:marTop w:val="0"/>
      <w:marBottom w:val="0"/>
      <w:divBdr>
        <w:top w:val="none" w:sz="0" w:space="0" w:color="auto"/>
        <w:left w:val="none" w:sz="0" w:space="0" w:color="auto"/>
        <w:bottom w:val="none" w:sz="0" w:space="0" w:color="auto"/>
        <w:right w:val="none" w:sz="0" w:space="0" w:color="auto"/>
      </w:divBdr>
    </w:div>
    <w:div w:id="865992765">
      <w:bodyDiv w:val="1"/>
      <w:marLeft w:val="0"/>
      <w:marRight w:val="0"/>
      <w:marTop w:val="0"/>
      <w:marBottom w:val="0"/>
      <w:divBdr>
        <w:top w:val="none" w:sz="0" w:space="0" w:color="auto"/>
        <w:left w:val="none" w:sz="0" w:space="0" w:color="auto"/>
        <w:bottom w:val="none" w:sz="0" w:space="0" w:color="auto"/>
        <w:right w:val="none" w:sz="0" w:space="0" w:color="auto"/>
      </w:divBdr>
    </w:div>
    <w:div w:id="882253559">
      <w:bodyDiv w:val="1"/>
      <w:marLeft w:val="0"/>
      <w:marRight w:val="0"/>
      <w:marTop w:val="0"/>
      <w:marBottom w:val="0"/>
      <w:divBdr>
        <w:top w:val="none" w:sz="0" w:space="0" w:color="auto"/>
        <w:left w:val="none" w:sz="0" w:space="0" w:color="auto"/>
        <w:bottom w:val="none" w:sz="0" w:space="0" w:color="auto"/>
        <w:right w:val="none" w:sz="0" w:space="0" w:color="auto"/>
      </w:divBdr>
    </w:div>
    <w:div w:id="908199911">
      <w:bodyDiv w:val="1"/>
      <w:marLeft w:val="0"/>
      <w:marRight w:val="0"/>
      <w:marTop w:val="0"/>
      <w:marBottom w:val="0"/>
      <w:divBdr>
        <w:top w:val="none" w:sz="0" w:space="0" w:color="auto"/>
        <w:left w:val="none" w:sz="0" w:space="0" w:color="auto"/>
        <w:bottom w:val="none" w:sz="0" w:space="0" w:color="auto"/>
        <w:right w:val="none" w:sz="0" w:space="0" w:color="auto"/>
      </w:divBdr>
    </w:div>
    <w:div w:id="1112672687">
      <w:bodyDiv w:val="1"/>
      <w:marLeft w:val="0"/>
      <w:marRight w:val="0"/>
      <w:marTop w:val="0"/>
      <w:marBottom w:val="0"/>
      <w:divBdr>
        <w:top w:val="none" w:sz="0" w:space="0" w:color="auto"/>
        <w:left w:val="none" w:sz="0" w:space="0" w:color="auto"/>
        <w:bottom w:val="none" w:sz="0" w:space="0" w:color="auto"/>
        <w:right w:val="none" w:sz="0" w:space="0" w:color="auto"/>
      </w:divBdr>
    </w:div>
    <w:div w:id="1116413498">
      <w:bodyDiv w:val="1"/>
      <w:marLeft w:val="0"/>
      <w:marRight w:val="0"/>
      <w:marTop w:val="0"/>
      <w:marBottom w:val="0"/>
      <w:divBdr>
        <w:top w:val="none" w:sz="0" w:space="0" w:color="auto"/>
        <w:left w:val="none" w:sz="0" w:space="0" w:color="auto"/>
        <w:bottom w:val="none" w:sz="0" w:space="0" w:color="auto"/>
        <w:right w:val="none" w:sz="0" w:space="0" w:color="auto"/>
      </w:divBdr>
    </w:div>
    <w:div w:id="1180465607">
      <w:bodyDiv w:val="1"/>
      <w:marLeft w:val="0"/>
      <w:marRight w:val="0"/>
      <w:marTop w:val="0"/>
      <w:marBottom w:val="0"/>
      <w:divBdr>
        <w:top w:val="none" w:sz="0" w:space="0" w:color="auto"/>
        <w:left w:val="none" w:sz="0" w:space="0" w:color="auto"/>
        <w:bottom w:val="none" w:sz="0" w:space="0" w:color="auto"/>
        <w:right w:val="none" w:sz="0" w:space="0" w:color="auto"/>
      </w:divBdr>
      <w:divsChild>
        <w:div w:id="1366640607">
          <w:marLeft w:val="0"/>
          <w:marRight w:val="0"/>
          <w:marTop w:val="0"/>
          <w:marBottom w:val="0"/>
          <w:divBdr>
            <w:top w:val="none" w:sz="0" w:space="0" w:color="auto"/>
            <w:left w:val="none" w:sz="0" w:space="0" w:color="auto"/>
            <w:bottom w:val="none" w:sz="0" w:space="0" w:color="auto"/>
            <w:right w:val="none" w:sz="0" w:space="0" w:color="auto"/>
          </w:divBdr>
        </w:div>
      </w:divsChild>
    </w:div>
    <w:div w:id="1195582538">
      <w:bodyDiv w:val="1"/>
      <w:marLeft w:val="0"/>
      <w:marRight w:val="0"/>
      <w:marTop w:val="0"/>
      <w:marBottom w:val="0"/>
      <w:divBdr>
        <w:top w:val="none" w:sz="0" w:space="0" w:color="auto"/>
        <w:left w:val="none" w:sz="0" w:space="0" w:color="auto"/>
        <w:bottom w:val="none" w:sz="0" w:space="0" w:color="auto"/>
        <w:right w:val="none" w:sz="0" w:space="0" w:color="auto"/>
      </w:divBdr>
      <w:divsChild>
        <w:div w:id="1695958913">
          <w:marLeft w:val="0"/>
          <w:marRight w:val="0"/>
          <w:marTop w:val="0"/>
          <w:marBottom w:val="0"/>
          <w:divBdr>
            <w:top w:val="none" w:sz="0" w:space="0" w:color="auto"/>
            <w:left w:val="none" w:sz="0" w:space="0" w:color="auto"/>
            <w:bottom w:val="none" w:sz="0" w:space="0" w:color="auto"/>
            <w:right w:val="none" w:sz="0" w:space="0" w:color="auto"/>
          </w:divBdr>
        </w:div>
        <w:div w:id="1096752876">
          <w:marLeft w:val="0"/>
          <w:marRight w:val="0"/>
          <w:marTop w:val="0"/>
          <w:marBottom w:val="0"/>
          <w:divBdr>
            <w:top w:val="none" w:sz="0" w:space="0" w:color="auto"/>
            <w:left w:val="none" w:sz="0" w:space="0" w:color="auto"/>
            <w:bottom w:val="none" w:sz="0" w:space="0" w:color="auto"/>
            <w:right w:val="none" w:sz="0" w:space="0" w:color="auto"/>
          </w:divBdr>
        </w:div>
      </w:divsChild>
    </w:div>
    <w:div w:id="1203205290">
      <w:bodyDiv w:val="1"/>
      <w:marLeft w:val="0"/>
      <w:marRight w:val="0"/>
      <w:marTop w:val="0"/>
      <w:marBottom w:val="0"/>
      <w:divBdr>
        <w:top w:val="none" w:sz="0" w:space="0" w:color="auto"/>
        <w:left w:val="none" w:sz="0" w:space="0" w:color="auto"/>
        <w:bottom w:val="none" w:sz="0" w:space="0" w:color="auto"/>
        <w:right w:val="none" w:sz="0" w:space="0" w:color="auto"/>
      </w:divBdr>
      <w:divsChild>
        <w:div w:id="517474833">
          <w:marLeft w:val="720"/>
          <w:marRight w:val="0"/>
          <w:marTop w:val="0"/>
          <w:marBottom w:val="0"/>
          <w:divBdr>
            <w:top w:val="none" w:sz="0" w:space="0" w:color="auto"/>
            <w:left w:val="none" w:sz="0" w:space="0" w:color="auto"/>
            <w:bottom w:val="none" w:sz="0" w:space="0" w:color="auto"/>
            <w:right w:val="none" w:sz="0" w:space="0" w:color="auto"/>
          </w:divBdr>
        </w:div>
        <w:div w:id="607929745">
          <w:marLeft w:val="720"/>
          <w:marRight w:val="0"/>
          <w:marTop w:val="0"/>
          <w:marBottom w:val="0"/>
          <w:divBdr>
            <w:top w:val="none" w:sz="0" w:space="0" w:color="auto"/>
            <w:left w:val="none" w:sz="0" w:space="0" w:color="auto"/>
            <w:bottom w:val="none" w:sz="0" w:space="0" w:color="auto"/>
            <w:right w:val="none" w:sz="0" w:space="0" w:color="auto"/>
          </w:divBdr>
        </w:div>
        <w:div w:id="663438723">
          <w:marLeft w:val="720"/>
          <w:marRight w:val="0"/>
          <w:marTop w:val="0"/>
          <w:marBottom w:val="0"/>
          <w:divBdr>
            <w:top w:val="none" w:sz="0" w:space="0" w:color="auto"/>
            <w:left w:val="none" w:sz="0" w:space="0" w:color="auto"/>
            <w:bottom w:val="none" w:sz="0" w:space="0" w:color="auto"/>
            <w:right w:val="none" w:sz="0" w:space="0" w:color="auto"/>
          </w:divBdr>
        </w:div>
        <w:div w:id="1245604360">
          <w:marLeft w:val="720"/>
          <w:marRight w:val="0"/>
          <w:marTop w:val="0"/>
          <w:marBottom w:val="0"/>
          <w:divBdr>
            <w:top w:val="none" w:sz="0" w:space="0" w:color="auto"/>
            <w:left w:val="none" w:sz="0" w:space="0" w:color="auto"/>
            <w:bottom w:val="none" w:sz="0" w:space="0" w:color="auto"/>
            <w:right w:val="none" w:sz="0" w:space="0" w:color="auto"/>
          </w:divBdr>
        </w:div>
        <w:div w:id="1866673779">
          <w:marLeft w:val="720"/>
          <w:marRight w:val="0"/>
          <w:marTop w:val="0"/>
          <w:marBottom w:val="0"/>
          <w:divBdr>
            <w:top w:val="none" w:sz="0" w:space="0" w:color="auto"/>
            <w:left w:val="none" w:sz="0" w:space="0" w:color="auto"/>
            <w:bottom w:val="none" w:sz="0" w:space="0" w:color="auto"/>
            <w:right w:val="none" w:sz="0" w:space="0" w:color="auto"/>
          </w:divBdr>
        </w:div>
      </w:divsChild>
    </w:div>
    <w:div w:id="1255895331">
      <w:bodyDiv w:val="1"/>
      <w:marLeft w:val="0"/>
      <w:marRight w:val="0"/>
      <w:marTop w:val="0"/>
      <w:marBottom w:val="0"/>
      <w:divBdr>
        <w:top w:val="none" w:sz="0" w:space="0" w:color="auto"/>
        <w:left w:val="none" w:sz="0" w:space="0" w:color="auto"/>
        <w:bottom w:val="none" w:sz="0" w:space="0" w:color="auto"/>
        <w:right w:val="none" w:sz="0" w:space="0" w:color="auto"/>
      </w:divBdr>
      <w:divsChild>
        <w:div w:id="522207705">
          <w:marLeft w:val="547"/>
          <w:marRight w:val="0"/>
          <w:marTop w:val="0"/>
          <w:marBottom w:val="0"/>
          <w:divBdr>
            <w:top w:val="none" w:sz="0" w:space="0" w:color="auto"/>
            <w:left w:val="none" w:sz="0" w:space="0" w:color="auto"/>
            <w:bottom w:val="none" w:sz="0" w:space="0" w:color="auto"/>
            <w:right w:val="none" w:sz="0" w:space="0" w:color="auto"/>
          </w:divBdr>
        </w:div>
      </w:divsChild>
    </w:div>
    <w:div w:id="1308971220">
      <w:bodyDiv w:val="1"/>
      <w:marLeft w:val="0"/>
      <w:marRight w:val="0"/>
      <w:marTop w:val="0"/>
      <w:marBottom w:val="0"/>
      <w:divBdr>
        <w:top w:val="none" w:sz="0" w:space="0" w:color="auto"/>
        <w:left w:val="none" w:sz="0" w:space="0" w:color="auto"/>
        <w:bottom w:val="none" w:sz="0" w:space="0" w:color="auto"/>
        <w:right w:val="none" w:sz="0" w:space="0" w:color="auto"/>
      </w:divBdr>
    </w:div>
    <w:div w:id="1310012464">
      <w:bodyDiv w:val="1"/>
      <w:marLeft w:val="0"/>
      <w:marRight w:val="0"/>
      <w:marTop w:val="0"/>
      <w:marBottom w:val="0"/>
      <w:divBdr>
        <w:top w:val="none" w:sz="0" w:space="0" w:color="auto"/>
        <w:left w:val="none" w:sz="0" w:space="0" w:color="auto"/>
        <w:bottom w:val="none" w:sz="0" w:space="0" w:color="auto"/>
        <w:right w:val="none" w:sz="0" w:space="0" w:color="auto"/>
      </w:divBdr>
    </w:div>
    <w:div w:id="1328560483">
      <w:bodyDiv w:val="1"/>
      <w:marLeft w:val="0"/>
      <w:marRight w:val="0"/>
      <w:marTop w:val="0"/>
      <w:marBottom w:val="0"/>
      <w:divBdr>
        <w:top w:val="none" w:sz="0" w:space="0" w:color="auto"/>
        <w:left w:val="none" w:sz="0" w:space="0" w:color="auto"/>
        <w:bottom w:val="none" w:sz="0" w:space="0" w:color="auto"/>
        <w:right w:val="none" w:sz="0" w:space="0" w:color="auto"/>
      </w:divBdr>
      <w:divsChild>
        <w:div w:id="1790464151">
          <w:marLeft w:val="0"/>
          <w:marRight w:val="0"/>
          <w:marTop w:val="0"/>
          <w:marBottom w:val="0"/>
          <w:divBdr>
            <w:top w:val="none" w:sz="0" w:space="0" w:color="auto"/>
            <w:left w:val="none" w:sz="0" w:space="0" w:color="auto"/>
            <w:bottom w:val="none" w:sz="0" w:space="0" w:color="auto"/>
            <w:right w:val="none" w:sz="0" w:space="0" w:color="auto"/>
          </w:divBdr>
        </w:div>
      </w:divsChild>
    </w:div>
    <w:div w:id="1409032863">
      <w:bodyDiv w:val="1"/>
      <w:marLeft w:val="0"/>
      <w:marRight w:val="0"/>
      <w:marTop w:val="0"/>
      <w:marBottom w:val="0"/>
      <w:divBdr>
        <w:top w:val="none" w:sz="0" w:space="0" w:color="auto"/>
        <w:left w:val="none" w:sz="0" w:space="0" w:color="auto"/>
        <w:bottom w:val="none" w:sz="0" w:space="0" w:color="auto"/>
        <w:right w:val="none" w:sz="0" w:space="0" w:color="auto"/>
      </w:divBdr>
    </w:div>
    <w:div w:id="1447626273">
      <w:bodyDiv w:val="1"/>
      <w:marLeft w:val="0"/>
      <w:marRight w:val="0"/>
      <w:marTop w:val="0"/>
      <w:marBottom w:val="0"/>
      <w:divBdr>
        <w:top w:val="none" w:sz="0" w:space="0" w:color="auto"/>
        <w:left w:val="none" w:sz="0" w:space="0" w:color="auto"/>
        <w:bottom w:val="none" w:sz="0" w:space="0" w:color="auto"/>
        <w:right w:val="none" w:sz="0" w:space="0" w:color="auto"/>
      </w:divBdr>
      <w:divsChild>
        <w:div w:id="2092845573">
          <w:marLeft w:val="0"/>
          <w:marRight w:val="0"/>
          <w:marTop w:val="0"/>
          <w:marBottom w:val="0"/>
          <w:divBdr>
            <w:top w:val="none" w:sz="0" w:space="0" w:color="auto"/>
            <w:left w:val="none" w:sz="0" w:space="0" w:color="auto"/>
            <w:bottom w:val="none" w:sz="0" w:space="0" w:color="auto"/>
            <w:right w:val="none" w:sz="0" w:space="0" w:color="auto"/>
          </w:divBdr>
        </w:div>
        <w:div w:id="908150034">
          <w:marLeft w:val="0"/>
          <w:marRight w:val="0"/>
          <w:marTop w:val="0"/>
          <w:marBottom w:val="0"/>
          <w:divBdr>
            <w:top w:val="none" w:sz="0" w:space="0" w:color="auto"/>
            <w:left w:val="none" w:sz="0" w:space="0" w:color="auto"/>
            <w:bottom w:val="none" w:sz="0" w:space="0" w:color="auto"/>
            <w:right w:val="none" w:sz="0" w:space="0" w:color="auto"/>
          </w:divBdr>
        </w:div>
      </w:divsChild>
    </w:div>
    <w:div w:id="1535463198">
      <w:bodyDiv w:val="1"/>
      <w:marLeft w:val="0"/>
      <w:marRight w:val="0"/>
      <w:marTop w:val="0"/>
      <w:marBottom w:val="0"/>
      <w:divBdr>
        <w:top w:val="none" w:sz="0" w:space="0" w:color="auto"/>
        <w:left w:val="none" w:sz="0" w:space="0" w:color="auto"/>
        <w:bottom w:val="none" w:sz="0" w:space="0" w:color="auto"/>
        <w:right w:val="none" w:sz="0" w:space="0" w:color="auto"/>
      </w:divBdr>
      <w:divsChild>
        <w:div w:id="1563180469">
          <w:marLeft w:val="0"/>
          <w:marRight w:val="0"/>
          <w:marTop w:val="0"/>
          <w:marBottom w:val="0"/>
          <w:divBdr>
            <w:top w:val="none" w:sz="0" w:space="0" w:color="auto"/>
            <w:left w:val="none" w:sz="0" w:space="0" w:color="auto"/>
            <w:bottom w:val="none" w:sz="0" w:space="0" w:color="auto"/>
            <w:right w:val="none" w:sz="0" w:space="0" w:color="auto"/>
          </w:divBdr>
        </w:div>
      </w:divsChild>
    </w:div>
    <w:div w:id="1600481965">
      <w:bodyDiv w:val="1"/>
      <w:marLeft w:val="0"/>
      <w:marRight w:val="0"/>
      <w:marTop w:val="0"/>
      <w:marBottom w:val="0"/>
      <w:divBdr>
        <w:top w:val="none" w:sz="0" w:space="0" w:color="auto"/>
        <w:left w:val="none" w:sz="0" w:space="0" w:color="auto"/>
        <w:bottom w:val="none" w:sz="0" w:space="0" w:color="auto"/>
        <w:right w:val="none" w:sz="0" w:space="0" w:color="auto"/>
      </w:divBdr>
    </w:div>
    <w:div w:id="1722748249">
      <w:bodyDiv w:val="1"/>
      <w:marLeft w:val="0"/>
      <w:marRight w:val="0"/>
      <w:marTop w:val="0"/>
      <w:marBottom w:val="0"/>
      <w:divBdr>
        <w:top w:val="none" w:sz="0" w:space="0" w:color="auto"/>
        <w:left w:val="none" w:sz="0" w:space="0" w:color="auto"/>
        <w:bottom w:val="none" w:sz="0" w:space="0" w:color="auto"/>
        <w:right w:val="none" w:sz="0" w:space="0" w:color="auto"/>
      </w:divBdr>
      <w:divsChild>
        <w:div w:id="213661701">
          <w:marLeft w:val="0"/>
          <w:marRight w:val="0"/>
          <w:marTop w:val="0"/>
          <w:marBottom w:val="0"/>
          <w:divBdr>
            <w:top w:val="none" w:sz="0" w:space="0" w:color="auto"/>
            <w:left w:val="none" w:sz="0" w:space="0" w:color="auto"/>
            <w:bottom w:val="none" w:sz="0" w:space="0" w:color="auto"/>
            <w:right w:val="none" w:sz="0" w:space="0" w:color="auto"/>
          </w:divBdr>
        </w:div>
        <w:div w:id="761023633">
          <w:marLeft w:val="0"/>
          <w:marRight w:val="0"/>
          <w:marTop w:val="0"/>
          <w:marBottom w:val="0"/>
          <w:divBdr>
            <w:top w:val="none" w:sz="0" w:space="0" w:color="auto"/>
            <w:left w:val="none" w:sz="0" w:space="0" w:color="auto"/>
            <w:bottom w:val="none" w:sz="0" w:space="0" w:color="auto"/>
            <w:right w:val="none" w:sz="0" w:space="0" w:color="auto"/>
          </w:divBdr>
        </w:div>
      </w:divsChild>
    </w:div>
    <w:div w:id="1760561651">
      <w:bodyDiv w:val="1"/>
      <w:marLeft w:val="0"/>
      <w:marRight w:val="0"/>
      <w:marTop w:val="0"/>
      <w:marBottom w:val="0"/>
      <w:divBdr>
        <w:top w:val="none" w:sz="0" w:space="0" w:color="auto"/>
        <w:left w:val="none" w:sz="0" w:space="0" w:color="auto"/>
        <w:bottom w:val="none" w:sz="0" w:space="0" w:color="auto"/>
        <w:right w:val="none" w:sz="0" w:space="0" w:color="auto"/>
      </w:divBdr>
    </w:div>
    <w:div w:id="1794250922">
      <w:bodyDiv w:val="1"/>
      <w:marLeft w:val="0"/>
      <w:marRight w:val="0"/>
      <w:marTop w:val="0"/>
      <w:marBottom w:val="0"/>
      <w:divBdr>
        <w:top w:val="none" w:sz="0" w:space="0" w:color="auto"/>
        <w:left w:val="none" w:sz="0" w:space="0" w:color="auto"/>
        <w:bottom w:val="none" w:sz="0" w:space="0" w:color="auto"/>
        <w:right w:val="none" w:sz="0" w:space="0" w:color="auto"/>
      </w:divBdr>
    </w:div>
    <w:div w:id="1866484603">
      <w:bodyDiv w:val="1"/>
      <w:marLeft w:val="0"/>
      <w:marRight w:val="0"/>
      <w:marTop w:val="0"/>
      <w:marBottom w:val="0"/>
      <w:divBdr>
        <w:top w:val="none" w:sz="0" w:space="0" w:color="auto"/>
        <w:left w:val="none" w:sz="0" w:space="0" w:color="auto"/>
        <w:bottom w:val="none" w:sz="0" w:space="0" w:color="auto"/>
        <w:right w:val="none" w:sz="0" w:space="0" w:color="auto"/>
      </w:divBdr>
      <w:divsChild>
        <w:div w:id="1332685472">
          <w:marLeft w:val="0"/>
          <w:marRight w:val="0"/>
          <w:marTop w:val="0"/>
          <w:marBottom w:val="0"/>
          <w:divBdr>
            <w:top w:val="none" w:sz="0" w:space="0" w:color="auto"/>
            <w:left w:val="none" w:sz="0" w:space="0" w:color="auto"/>
            <w:bottom w:val="none" w:sz="0" w:space="0" w:color="auto"/>
            <w:right w:val="none" w:sz="0" w:space="0" w:color="auto"/>
          </w:divBdr>
        </w:div>
        <w:div w:id="1480074102">
          <w:marLeft w:val="0"/>
          <w:marRight w:val="0"/>
          <w:marTop w:val="0"/>
          <w:marBottom w:val="0"/>
          <w:divBdr>
            <w:top w:val="none" w:sz="0" w:space="0" w:color="auto"/>
            <w:left w:val="none" w:sz="0" w:space="0" w:color="auto"/>
            <w:bottom w:val="none" w:sz="0" w:space="0" w:color="auto"/>
            <w:right w:val="none" w:sz="0" w:space="0" w:color="auto"/>
          </w:divBdr>
        </w:div>
      </w:divsChild>
    </w:div>
    <w:div w:id="1876261713">
      <w:bodyDiv w:val="1"/>
      <w:marLeft w:val="0"/>
      <w:marRight w:val="0"/>
      <w:marTop w:val="0"/>
      <w:marBottom w:val="0"/>
      <w:divBdr>
        <w:top w:val="none" w:sz="0" w:space="0" w:color="auto"/>
        <w:left w:val="none" w:sz="0" w:space="0" w:color="auto"/>
        <w:bottom w:val="none" w:sz="0" w:space="0" w:color="auto"/>
        <w:right w:val="none" w:sz="0" w:space="0" w:color="auto"/>
      </w:divBdr>
      <w:divsChild>
        <w:div w:id="505219002">
          <w:marLeft w:val="720"/>
          <w:marRight w:val="0"/>
          <w:marTop w:val="0"/>
          <w:marBottom w:val="0"/>
          <w:divBdr>
            <w:top w:val="none" w:sz="0" w:space="0" w:color="auto"/>
            <w:left w:val="none" w:sz="0" w:space="0" w:color="auto"/>
            <w:bottom w:val="none" w:sz="0" w:space="0" w:color="auto"/>
            <w:right w:val="none" w:sz="0" w:space="0" w:color="auto"/>
          </w:divBdr>
        </w:div>
        <w:div w:id="1409883108">
          <w:marLeft w:val="720"/>
          <w:marRight w:val="0"/>
          <w:marTop w:val="0"/>
          <w:marBottom w:val="0"/>
          <w:divBdr>
            <w:top w:val="none" w:sz="0" w:space="0" w:color="auto"/>
            <w:left w:val="none" w:sz="0" w:space="0" w:color="auto"/>
            <w:bottom w:val="none" w:sz="0" w:space="0" w:color="auto"/>
            <w:right w:val="none" w:sz="0" w:space="0" w:color="auto"/>
          </w:divBdr>
        </w:div>
        <w:div w:id="1470171813">
          <w:marLeft w:val="1440"/>
          <w:marRight w:val="0"/>
          <w:marTop w:val="0"/>
          <w:marBottom w:val="0"/>
          <w:divBdr>
            <w:top w:val="none" w:sz="0" w:space="0" w:color="auto"/>
            <w:left w:val="none" w:sz="0" w:space="0" w:color="auto"/>
            <w:bottom w:val="none" w:sz="0" w:space="0" w:color="auto"/>
            <w:right w:val="none" w:sz="0" w:space="0" w:color="auto"/>
          </w:divBdr>
        </w:div>
        <w:div w:id="1825900112">
          <w:marLeft w:val="1440"/>
          <w:marRight w:val="0"/>
          <w:marTop w:val="0"/>
          <w:marBottom w:val="0"/>
          <w:divBdr>
            <w:top w:val="none" w:sz="0" w:space="0" w:color="auto"/>
            <w:left w:val="none" w:sz="0" w:space="0" w:color="auto"/>
            <w:bottom w:val="none" w:sz="0" w:space="0" w:color="auto"/>
            <w:right w:val="none" w:sz="0" w:space="0" w:color="auto"/>
          </w:divBdr>
        </w:div>
        <w:div w:id="1889875159">
          <w:marLeft w:val="1440"/>
          <w:marRight w:val="0"/>
          <w:marTop w:val="0"/>
          <w:marBottom w:val="0"/>
          <w:divBdr>
            <w:top w:val="none" w:sz="0" w:space="0" w:color="auto"/>
            <w:left w:val="none" w:sz="0" w:space="0" w:color="auto"/>
            <w:bottom w:val="none" w:sz="0" w:space="0" w:color="auto"/>
            <w:right w:val="none" w:sz="0" w:space="0" w:color="auto"/>
          </w:divBdr>
        </w:div>
        <w:div w:id="2019503696">
          <w:marLeft w:val="1440"/>
          <w:marRight w:val="0"/>
          <w:marTop w:val="0"/>
          <w:marBottom w:val="0"/>
          <w:divBdr>
            <w:top w:val="none" w:sz="0" w:space="0" w:color="auto"/>
            <w:left w:val="none" w:sz="0" w:space="0" w:color="auto"/>
            <w:bottom w:val="none" w:sz="0" w:space="0" w:color="auto"/>
            <w:right w:val="none" w:sz="0" w:space="0" w:color="auto"/>
          </w:divBdr>
        </w:div>
      </w:divsChild>
    </w:div>
    <w:div w:id="1893686747">
      <w:bodyDiv w:val="1"/>
      <w:marLeft w:val="0"/>
      <w:marRight w:val="0"/>
      <w:marTop w:val="0"/>
      <w:marBottom w:val="0"/>
      <w:divBdr>
        <w:top w:val="none" w:sz="0" w:space="0" w:color="auto"/>
        <w:left w:val="none" w:sz="0" w:space="0" w:color="auto"/>
        <w:bottom w:val="none" w:sz="0" w:space="0" w:color="auto"/>
        <w:right w:val="none" w:sz="0" w:space="0" w:color="auto"/>
      </w:divBdr>
    </w:div>
    <w:div w:id="1903445609">
      <w:bodyDiv w:val="1"/>
      <w:marLeft w:val="0"/>
      <w:marRight w:val="0"/>
      <w:marTop w:val="0"/>
      <w:marBottom w:val="0"/>
      <w:divBdr>
        <w:top w:val="none" w:sz="0" w:space="0" w:color="auto"/>
        <w:left w:val="none" w:sz="0" w:space="0" w:color="auto"/>
        <w:bottom w:val="none" w:sz="0" w:space="0" w:color="auto"/>
        <w:right w:val="none" w:sz="0" w:space="0" w:color="auto"/>
      </w:divBdr>
    </w:div>
    <w:div w:id="1914312226">
      <w:bodyDiv w:val="1"/>
      <w:marLeft w:val="0"/>
      <w:marRight w:val="0"/>
      <w:marTop w:val="0"/>
      <w:marBottom w:val="0"/>
      <w:divBdr>
        <w:top w:val="none" w:sz="0" w:space="0" w:color="auto"/>
        <w:left w:val="none" w:sz="0" w:space="0" w:color="auto"/>
        <w:bottom w:val="none" w:sz="0" w:space="0" w:color="auto"/>
        <w:right w:val="none" w:sz="0" w:space="0" w:color="auto"/>
      </w:divBdr>
      <w:divsChild>
        <w:div w:id="1507479994">
          <w:marLeft w:val="0"/>
          <w:marRight w:val="0"/>
          <w:marTop w:val="0"/>
          <w:marBottom w:val="0"/>
          <w:divBdr>
            <w:top w:val="none" w:sz="0" w:space="0" w:color="auto"/>
            <w:left w:val="none" w:sz="0" w:space="0" w:color="auto"/>
            <w:bottom w:val="none" w:sz="0" w:space="0" w:color="auto"/>
            <w:right w:val="none" w:sz="0" w:space="0" w:color="auto"/>
          </w:divBdr>
        </w:div>
        <w:div w:id="1647930325">
          <w:marLeft w:val="0"/>
          <w:marRight w:val="0"/>
          <w:marTop w:val="0"/>
          <w:marBottom w:val="0"/>
          <w:divBdr>
            <w:top w:val="none" w:sz="0" w:space="0" w:color="auto"/>
            <w:left w:val="none" w:sz="0" w:space="0" w:color="auto"/>
            <w:bottom w:val="none" w:sz="0" w:space="0" w:color="auto"/>
            <w:right w:val="none" w:sz="0" w:space="0" w:color="auto"/>
          </w:divBdr>
        </w:div>
      </w:divsChild>
    </w:div>
    <w:div w:id="1933511182">
      <w:bodyDiv w:val="1"/>
      <w:marLeft w:val="0"/>
      <w:marRight w:val="0"/>
      <w:marTop w:val="0"/>
      <w:marBottom w:val="0"/>
      <w:divBdr>
        <w:top w:val="none" w:sz="0" w:space="0" w:color="auto"/>
        <w:left w:val="none" w:sz="0" w:space="0" w:color="auto"/>
        <w:bottom w:val="none" w:sz="0" w:space="0" w:color="auto"/>
        <w:right w:val="none" w:sz="0" w:space="0" w:color="auto"/>
      </w:divBdr>
    </w:div>
    <w:div w:id="1971158399">
      <w:bodyDiv w:val="1"/>
      <w:marLeft w:val="0"/>
      <w:marRight w:val="0"/>
      <w:marTop w:val="0"/>
      <w:marBottom w:val="0"/>
      <w:divBdr>
        <w:top w:val="none" w:sz="0" w:space="0" w:color="auto"/>
        <w:left w:val="none" w:sz="0" w:space="0" w:color="auto"/>
        <w:bottom w:val="none" w:sz="0" w:space="0" w:color="auto"/>
        <w:right w:val="none" w:sz="0" w:space="0" w:color="auto"/>
      </w:divBdr>
    </w:div>
    <w:div w:id="2043287544">
      <w:bodyDiv w:val="1"/>
      <w:marLeft w:val="0"/>
      <w:marRight w:val="0"/>
      <w:marTop w:val="0"/>
      <w:marBottom w:val="0"/>
      <w:divBdr>
        <w:top w:val="none" w:sz="0" w:space="0" w:color="auto"/>
        <w:left w:val="none" w:sz="0" w:space="0" w:color="auto"/>
        <w:bottom w:val="none" w:sz="0" w:space="0" w:color="auto"/>
        <w:right w:val="none" w:sz="0" w:space="0" w:color="auto"/>
      </w:divBdr>
    </w:div>
    <w:div w:id="2066683133">
      <w:bodyDiv w:val="1"/>
      <w:marLeft w:val="0"/>
      <w:marRight w:val="0"/>
      <w:marTop w:val="0"/>
      <w:marBottom w:val="0"/>
      <w:divBdr>
        <w:top w:val="none" w:sz="0" w:space="0" w:color="auto"/>
        <w:left w:val="none" w:sz="0" w:space="0" w:color="auto"/>
        <w:bottom w:val="none" w:sz="0" w:space="0" w:color="auto"/>
        <w:right w:val="none" w:sz="0" w:space="0" w:color="auto"/>
      </w:divBdr>
      <w:divsChild>
        <w:div w:id="1301426242">
          <w:marLeft w:val="0"/>
          <w:marRight w:val="0"/>
          <w:marTop w:val="0"/>
          <w:marBottom w:val="0"/>
          <w:divBdr>
            <w:top w:val="none" w:sz="0" w:space="0" w:color="auto"/>
            <w:left w:val="none" w:sz="0" w:space="0" w:color="auto"/>
            <w:bottom w:val="none" w:sz="0" w:space="0" w:color="auto"/>
            <w:right w:val="none" w:sz="0" w:space="0" w:color="auto"/>
          </w:divBdr>
        </w:div>
      </w:divsChild>
    </w:div>
    <w:div w:id="2142532494">
      <w:bodyDiv w:val="1"/>
      <w:marLeft w:val="0"/>
      <w:marRight w:val="0"/>
      <w:marTop w:val="0"/>
      <w:marBottom w:val="0"/>
      <w:divBdr>
        <w:top w:val="none" w:sz="0" w:space="0" w:color="auto"/>
        <w:left w:val="none" w:sz="0" w:space="0" w:color="auto"/>
        <w:bottom w:val="none" w:sz="0" w:space="0" w:color="auto"/>
        <w:right w:val="none" w:sz="0" w:space="0" w:color="auto"/>
      </w:divBdr>
      <w:divsChild>
        <w:div w:id="12465694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3" Type="http://schemas.openxmlformats.org/officeDocument/2006/relationships/hyperlink" Target="http://europa.eu/rapid/press-release_IP-15-5166_en.htm" TargetMode="External"/><Relationship Id="rId18" Type="http://schemas.openxmlformats.org/officeDocument/2006/relationships/hyperlink" Target="http://europa.eu/rapid/press-release_IP-15-6271_en.htm" TargetMode="External"/><Relationship Id="rId26" Type="http://schemas.openxmlformats.org/officeDocument/2006/relationships/hyperlink" Target="http://europa.eu/rapid/press-release_IP-15-4828_lt.htm" TargetMode="External"/><Relationship Id="rId39" Type="http://schemas.openxmlformats.org/officeDocument/2006/relationships/hyperlink" Target="http://europa.eu/rapid/press-release_IP-16-42_lt.htm" TargetMode="External"/><Relationship Id="rId21" Type="http://schemas.openxmlformats.org/officeDocument/2006/relationships/hyperlink" Target="http://ec.europa.eu/competition/elojade/isef/case_details.cfm?proc_code=2_M_7421" TargetMode="External"/><Relationship Id="rId34" Type="http://schemas.openxmlformats.org/officeDocument/2006/relationships/hyperlink" Target="http://ec.europa.eu/competition/elojade/isef/case_details.cfm?proc_code=3_SA_38374" TargetMode="External"/><Relationship Id="rId42" Type="http://schemas.openxmlformats.org/officeDocument/2006/relationships/hyperlink" Target="http://eur-lex.europa.eu/legal-content/LT/TXT/?uri=CELEX:52014DC0453" TargetMode="External"/><Relationship Id="rId47" Type="http://schemas.openxmlformats.org/officeDocument/2006/relationships/hyperlink" Target="http://eur-lex.europa.eu/legal-content/LT/TXT/?uri=CELEX:32015R0751" TargetMode="External"/><Relationship Id="rId50" Type="http://schemas.openxmlformats.org/officeDocument/2006/relationships/hyperlink" Target="http://ec.europa.eu/competition/elojade/isef/case_details.cfm?proc_code=3_SA_41134" TargetMode="External"/><Relationship Id="rId55" Type="http://schemas.openxmlformats.org/officeDocument/2006/relationships/hyperlink" Target="http://ec.europa.eu/competition/elojade/isef/case_details.cfm?proc_code=3_SA_43364" TargetMode="External"/><Relationship Id="rId7" Type="http://schemas.openxmlformats.org/officeDocument/2006/relationships/hyperlink" Target="http://eur-lex.europa.eu/LexUriServ/LexUriServ.do?uri=OJ:C:2013:025:0001:0026:lt:PDF" TargetMode="External"/><Relationship Id="rId12" Type="http://schemas.openxmlformats.org/officeDocument/2006/relationships/hyperlink" Target="http://europa.eu/rapid/press-release_IP-15-4780_lt.htm" TargetMode="External"/><Relationship Id="rId17" Type="http://schemas.openxmlformats.org/officeDocument/2006/relationships/hyperlink" Target="http://eur-lex.europa.eu/legal-content/LT/TXT/?uri=CELEX%3A32015R2120" TargetMode="External"/><Relationship Id="rId25" Type="http://schemas.openxmlformats.org/officeDocument/2006/relationships/hyperlink" Target="http://eur-lex.europa.eu/legal-content/LT/TXT/?uri=COM:2015:80:FIN" TargetMode="External"/><Relationship Id="rId33" Type="http://schemas.openxmlformats.org/officeDocument/2006/relationships/hyperlink" Target="http://ec.europa.eu/competition/elojade/isef/case_details.cfm?proc_code=3_SA_38375" TargetMode="External"/><Relationship Id="rId38" Type="http://schemas.openxmlformats.org/officeDocument/2006/relationships/hyperlink" Target="http://europa.eu/rapid/press-release_IP-15-4080_en.htm" TargetMode="External"/><Relationship Id="rId46" Type="http://schemas.openxmlformats.org/officeDocument/2006/relationships/hyperlink" Target="http://europa.eu/rapid/press-release_IP-15-5323_lt.htm" TargetMode="External"/><Relationship Id="rId59" Type="http://schemas.openxmlformats.org/officeDocument/2006/relationships/hyperlink" Target="http://ec.europa.eu/competition/elojade/isef/case_details.cfm?proc_code=3_SA_43977" TargetMode="External"/><Relationship Id="rId2" Type="http://schemas.openxmlformats.org/officeDocument/2006/relationships/hyperlink" Target="http://ec.europa.eu/priorities/jobs-growth-investment/plan/efsi/index_en.htm" TargetMode="External"/><Relationship Id="rId16" Type="http://schemas.openxmlformats.org/officeDocument/2006/relationships/hyperlink" Target="http://europa.eu/rapid/press-release_IP-15-5432_en.htm" TargetMode="External"/><Relationship Id="rId20" Type="http://schemas.openxmlformats.org/officeDocument/2006/relationships/hyperlink" Target="http://ec.europa.eu/competition/elojade/isef/case_details.cfm?proc_code=1_39523" TargetMode="External"/><Relationship Id="rId29" Type="http://schemas.openxmlformats.org/officeDocument/2006/relationships/hyperlink" Target="http://europa.eu/rapid/press-release_IP-15-6289_en.htm" TargetMode="External"/><Relationship Id="rId41" Type="http://schemas.openxmlformats.org/officeDocument/2006/relationships/hyperlink" Target="http://eur-lex.europa.eu/legal-content/LT/ALL/?uri=celex%3A32003R0001" TargetMode="External"/><Relationship Id="rId54" Type="http://schemas.openxmlformats.org/officeDocument/2006/relationships/hyperlink" Target="https://www.bankingsupervision.europa.eu/press/pr/date/2015/html/sr151031.en.html" TargetMode="External"/><Relationship Id="rId1" Type="http://schemas.openxmlformats.org/officeDocument/2006/relationships/hyperlink" Target="http://ec.europa.eu/priorities/jobs-growth-investment/plan/index_en.htm" TargetMode="External"/><Relationship Id="rId6" Type="http://schemas.openxmlformats.org/officeDocument/2006/relationships/hyperlink" Target="http://eur-lex.europa.eu/legal-content/LT/TXT/HTML/?uri=CELEX:52014XC0122(04)&amp;from=EN" TargetMode="External"/><Relationship Id="rId11" Type="http://schemas.openxmlformats.org/officeDocument/2006/relationships/hyperlink" Target="http://www.europarl.europa.eu/RegData/etudes/STUD/2015/542235/IPOL_STU(2015)542235_EN.pdf" TargetMode="External"/><Relationship Id="rId24" Type="http://schemas.openxmlformats.org/officeDocument/2006/relationships/hyperlink" Target="http://ec.europa.eu/competition/elojade/isef/case_details.cfm?proc_code=2_M_7419" TargetMode="External"/><Relationship Id="rId32" Type="http://schemas.openxmlformats.org/officeDocument/2006/relationships/hyperlink" Target="http://europa.eu/rapid/press-release_IP-15-4610_lt.htm" TargetMode="External"/><Relationship Id="rId37" Type="http://schemas.openxmlformats.org/officeDocument/2006/relationships/hyperlink" Target="http://ec.europa.eu/competition/elojade/isef/case_details.cfm?proc_code=3_SA_38944" TargetMode="External"/><Relationship Id="rId40" Type="http://schemas.openxmlformats.org/officeDocument/2006/relationships/hyperlink" Target="http://europa.eu/rapid/press-release_IP-14-2742_en.htm" TargetMode="External"/><Relationship Id="rId45" Type="http://schemas.openxmlformats.org/officeDocument/2006/relationships/hyperlink" Target="http://ec.europa.eu/competition/elojade/isef/case_details.cfm?proc_code=1_39861" TargetMode="External"/><Relationship Id="rId53" Type="http://schemas.openxmlformats.org/officeDocument/2006/relationships/hyperlink" Target="http://ec.europa.eu/competition/elojade/isef/case_details.cfm?proc_code=3_SA_43547" TargetMode="External"/><Relationship Id="rId58" Type="http://schemas.openxmlformats.org/officeDocument/2006/relationships/hyperlink" Target="http://ec.europa.eu/competition/elojade/isef/case_details.cfm?proc_code=3_SA_43976" TargetMode="External"/><Relationship Id="rId5" Type="http://schemas.openxmlformats.org/officeDocument/2006/relationships/hyperlink" Target="http://eur-lex.europa.eu/legal-content/LT/TXT/HTML/?uri=CELEX:52014XC0627(01)&amp;from=EN" TargetMode="External"/><Relationship Id="rId15" Type="http://schemas.openxmlformats.org/officeDocument/2006/relationships/hyperlink" Target="http://ec.europa.eu/competition/elojade/isef/case_details.cfm?proc_code=2_M_7499" TargetMode="External"/><Relationship Id="rId23" Type="http://schemas.openxmlformats.org/officeDocument/2006/relationships/hyperlink" Target="http://ec.europa.eu/competition/elojade/isef/case_details.cfm?proc_code=2_M_7637" TargetMode="External"/><Relationship Id="rId28" Type="http://schemas.openxmlformats.org/officeDocument/2006/relationships/hyperlink" Target="http://europa.eu/rapid/press-release_IP-15-4651_en.htm" TargetMode="External"/><Relationship Id="rId36" Type="http://schemas.openxmlformats.org/officeDocument/2006/relationships/hyperlink" Target="http://ec.europa.eu/competition/elojade/isef/case_details.cfm?proc_code=3_SA_38373" TargetMode="External"/><Relationship Id="rId49" Type="http://schemas.openxmlformats.org/officeDocument/2006/relationships/hyperlink" Target="http://ec.europa.eu/competition/elojade/isef/case_details.cfm?proc_code=3_SA_39543" TargetMode="External"/><Relationship Id="rId57" Type="http://schemas.openxmlformats.org/officeDocument/2006/relationships/hyperlink" Target="http://ec.europa.eu/competition/elojade/isef/case_details.cfm?proc_code=3_SA_43367" TargetMode="External"/><Relationship Id="rId10" Type="http://schemas.openxmlformats.org/officeDocument/2006/relationships/hyperlink" Target="http://eur-lex.europa.eu/legal-content/LT/TXT/HTML/?uri=CELEX:52015DC0192&amp;from=EN" TargetMode="External"/><Relationship Id="rId19" Type="http://schemas.openxmlformats.org/officeDocument/2006/relationships/hyperlink" Target="http://europa.eu/rapid/press-release_MEMO-15-4782_en.htm" TargetMode="External"/><Relationship Id="rId31" Type="http://schemas.openxmlformats.org/officeDocument/2006/relationships/hyperlink" Target="http://ec.europa.eu/competition/elojade/isef/index.cfm?fuseaction=dsp_result" TargetMode="External"/><Relationship Id="rId44" Type="http://schemas.openxmlformats.org/officeDocument/2006/relationships/hyperlink" Target="http://ec.europa.eu/competition/elojade/isef/case_details.cfm?proc_code=1_39639" TargetMode="External"/><Relationship Id="rId52" Type="http://schemas.openxmlformats.org/officeDocument/2006/relationships/hyperlink" Target="http://ec.europa.eu/competition/elojade/isef/case_details.cfm?proc_code=3_SA_43547" TargetMode="External"/><Relationship Id="rId4" Type="http://schemas.openxmlformats.org/officeDocument/2006/relationships/hyperlink" Target="http://eur-lex.europa.eu/legal-content/LT/TXT/HTML/?uri=CELEX:32014R0651&amp;from=LT" TargetMode="External"/><Relationship Id="rId9" Type="http://schemas.openxmlformats.org/officeDocument/2006/relationships/hyperlink" Target="http://ec.europa.eu/priorities/digital-single-market_en" TargetMode="External"/><Relationship Id="rId14" Type="http://schemas.openxmlformats.org/officeDocument/2006/relationships/hyperlink" Target="http://ec.europa.eu/competition/elojade/isef/case_details.cfm?proc_code=2_M_7194" TargetMode="External"/><Relationship Id="rId22" Type="http://schemas.openxmlformats.org/officeDocument/2006/relationships/hyperlink" Target="http://ec.europa.eu/competition/elojade/isef/case_details.cfm?proc_code=2_M_7612" TargetMode="External"/><Relationship Id="rId27" Type="http://schemas.openxmlformats.org/officeDocument/2006/relationships/hyperlink" Target="http://europa.eu/rapid/press-release_IP-14-215_en.htm" TargetMode="External"/><Relationship Id="rId30" Type="http://schemas.openxmlformats.org/officeDocument/2006/relationships/hyperlink" Target="http://eur-lex.europa.eu/legal-content/LT/TXT/?uri=CELEX:52014XC0628(01)" TargetMode="External"/><Relationship Id="rId35" Type="http://schemas.openxmlformats.org/officeDocument/2006/relationships/hyperlink" Target="http://europa.eu/rapid/press-release_IP-15-6221_lt.htm" TargetMode="External"/><Relationship Id="rId43" Type="http://schemas.openxmlformats.org/officeDocument/2006/relationships/hyperlink" Target="http://ec.europa.eu/competition/elojade/isef/case_details.cfm?proc_code=1_39563" TargetMode="External"/><Relationship Id="rId48" Type="http://schemas.openxmlformats.org/officeDocument/2006/relationships/hyperlink" Target="http://eur-lex.europa.eu/legal-content/LT/TXT/?qid=1427289116879&amp;uri=CELEX:32014L0059" TargetMode="External"/><Relationship Id="rId56" Type="http://schemas.openxmlformats.org/officeDocument/2006/relationships/hyperlink" Target="http://ec.europa.eu/competition/elojade/isef/case_details.cfm?proc_code=3_SA_43365" TargetMode="External"/><Relationship Id="rId8" Type="http://schemas.openxmlformats.org/officeDocument/2006/relationships/hyperlink" Target="http://eur-lex.europa.eu/LexUriServ/LexUriServ.do?uri=OJ:C:2013:025:0001:0026:lt:PDF" TargetMode="External"/><Relationship Id="rId51" Type="http://schemas.openxmlformats.org/officeDocument/2006/relationships/hyperlink" Target="http://ec.europa.eu/competition/elojade/isef/case_details.cfm?proc_code=3_SA_41925" TargetMode="External"/><Relationship Id="rId3" Type="http://schemas.openxmlformats.org/officeDocument/2006/relationships/hyperlink" Target="http://ec.europa.eu/competition/state_aid/modernisation/index_e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EBEBEB"/>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E08E0D-0F06-44C0-8296-3D02C1E92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20</Pages>
  <Words>8705</Words>
  <Characters>49625</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58214</CharactersWithSpaces>
  <SharedDoc>false</SharedDoc>
  <HLinks>
    <vt:vector size="288" baseType="variant">
      <vt:variant>
        <vt:i4>2162734</vt:i4>
      </vt:variant>
      <vt:variant>
        <vt:i4>141</vt:i4>
      </vt:variant>
      <vt:variant>
        <vt:i4>0</vt:i4>
      </vt:variant>
      <vt:variant>
        <vt:i4>5</vt:i4>
      </vt:variant>
      <vt:variant>
        <vt:lpwstr>http://ec.europa.eu/competition/elojade/isef/case_details.cfm?proc_code=3_SA_43365</vt:lpwstr>
      </vt:variant>
      <vt:variant>
        <vt:lpwstr/>
      </vt:variant>
      <vt:variant>
        <vt:i4>2097198</vt:i4>
      </vt:variant>
      <vt:variant>
        <vt:i4>138</vt:i4>
      </vt:variant>
      <vt:variant>
        <vt:i4>0</vt:i4>
      </vt:variant>
      <vt:variant>
        <vt:i4>5</vt:i4>
      </vt:variant>
      <vt:variant>
        <vt:lpwstr>http://ec.europa.eu/competition/elojade/isef/case_details.cfm?proc_code=3_SA_43364</vt:lpwstr>
      </vt:variant>
      <vt:variant>
        <vt:lpwstr/>
      </vt:variant>
      <vt:variant>
        <vt:i4>196626</vt:i4>
      </vt:variant>
      <vt:variant>
        <vt:i4>135</vt:i4>
      </vt:variant>
      <vt:variant>
        <vt:i4>0</vt:i4>
      </vt:variant>
      <vt:variant>
        <vt:i4>5</vt:i4>
      </vt:variant>
      <vt:variant>
        <vt:lpwstr>https://www.bankingsupervision.europa.eu/press/pr/date/2015/html/sr151031.en.html</vt:lpwstr>
      </vt:variant>
      <vt:variant>
        <vt:lpwstr/>
      </vt:variant>
      <vt:variant>
        <vt:i4>5308465</vt:i4>
      </vt:variant>
      <vt:variant>
        <vt:i4>132</vt:i4>
      </vt:variant>
      <vt:variant>
        <vt:i4>0</vt:i4>
      </vt:variant>
      <vt:variant>
        <vt:i4>5</vt:i4>
      </vt:variant>
      <vt:variant>
        <vt:lpwstr>http://eur-lex.europa.eu/legal-content/EN/TXT/?uri=uriserv%3AOJ.L_.2015.123.01.0001.01.ENG</vt:lpwstr>
      </vt:variant>
      <vt:variant>
        <vt:lpwstr/>
      </vt:variant>
      <vt:variant>
        <vt:i4>5177420</vt:i4>
      </vt:variant>
      <vt:variant>
        <vt:i4>129</vt:i4>
      </vt:variant>
      <vt:variant>
        <vt:i4>0</vt:i4>
      </vt:variant>
      <vt:variant>
        <vt:i4>5</vt:i4>
      </vt:variant>
      <vt:variant>
        <vt:lpwstr>http://europa.eu/rapid/press-release_IP-15-5323_en.htm</vt:lpwstr>
      </vt:variant>
      <vt:variant>
        <vt:lpwstr/>
      </vt:variant>
      <vt:variant>
        <vt:i4>8192014</vt:i4>
      </vt:variant>
      <vt:variant>
        <vt:i4>126</vt:i4>
      </vt:variant>
      <vt:variant>
        <vt:i4>0</vt:i4>
      </vt:variant>
      <vt:variant>
        <vt:i4>5</vt:i4>
      </vt:variant>
      <vt:variant>
        <vt:lpwstr>http://ec.europa.eu/competition/elojade/isef/case_details.cfm?proc_code=1_39861</vt:lpwstr>
      </vt:variant>
      <vt:variant>
        <vt:lpwstr/>
      </vt:variant>
      <vt:variant>
        <vt:i4>7864320</vt:i4>
      </vt:variant>
      <vt:variant>
        <vt:i4>123</vt:i4>
      </vt:variant>
      <vt:variant>
        <vt:i4>0</vt:i4>
      </vt:variant>
      <vt:variant>
        <vt:i4>5</vt:i4>
      </vt:variant>
      <vt:variant>
        <vt:lpwstr>http://ec.europa.eu/competition/elojade/isef/case_details.cfm?proc_code=1_39639</vt:lpwstr>
      </vt:variant>
      <vt:variant>
        <vt:lpwstr/>
      </vt:variant>
      <vt:variant>
        <vt:i4>8192003</vt:i4>
      </vt:variant>
      <vt:variant>
        <vt:i4>120</vt:i4>
      </vt:variant>
      <vt:variant>
        <vt:i4>0</vt:i4>
      </vt:variant>
      <vt:variant>
        <vt:i4>5</vt:i4>
      </vt:variant>
      <vt:variant>
        <vt:lpwstr>http://ec.europa.eu/competition/elojade/isef/case_details.cfm?proc_code=1_39563</vt:lpwstr>
      </vt:variant>
      <vt:variant>
        <vt:lpwstr/>
      </vt:variant>
      <vt:variant>
        <vt:i4>8323168</vt:i4>
      </vt:variant>
      <vt:variant>
        <vt:i4>117</vt:i4>
      </vt:variant>
      <vt:variant>
        <vt:i4>0</vt:i4>
      </vt:variant>
      <vt:variant>
        <vt:i4>5</vt:i4>
      </vt:variant>
      <vt:variant>
        <vt:lpwstr>http://eur-lex.europa.eu/legal-content/EN/TXT/?uri=CELEX%3A52014DC0453</vt:lpwstr>
      </vt:variant>
      <vt:variant>
        <vt:lpwstr/>
      </vt:variant>
      <vt:variant>
        <vt:i4>917583</vt:i4>
      </vt:variant>
      <vt:variant>
        <vt:i4>114</vt:i4>
      </vt:variant>
      <vt:variant>
        <vt:i4>0</vt:i4>
      </vt:variant>
      <vt:variant>
        <vt:i4>5</vt:i4>
      </vt:variant>
      <vt:variant>
        <vt:lpwstr>http://eur-lex.europa.eu/legal-content/EN/ALL/?uri=celex%3A32003R0001</vt:lpwstr>
      </vt:variant>
      <vt:variant>
        <vt:lpwstr/>
      </vt:variant>
      <vt:variant>
        <vt:i4>5177417</vt:i4>
      </vt:variant>
      <vt:variant>
        <vt:i4>111</vt:i4>
      </vt:variant>
      <vt:variant>
        <vt:i4>0</vt:i4>
      </vt:variant>
      <vt:variant>
        <vt:i4>5</vt:i4>
      </vt:variant>
      <vt:variant>
        <vt:lpwstr>http://europa.eu/rapid/press-release_IP-14-2742_en.htm</vt:lpwstr>
      </vt:variant>
      <vt:variant>
        <vt:lpwstr/>
      </vt:variant>
      <vt:variant>
        <vt:i4>8323198</vt:i4>
      </vt:variant>
      <vt:variant>
        <vt:i4>108</vt:i4>
      </vt:variant>
      <vt:variant>
        <vt:i4>0</vt:i4>
      </vt:variant>
      <vt:variant>
        <vt:i4>5</vt:i4>
      </vt:variant>
      <vt:variant>
        <vt:lpwstr>http://europa.eu/rapid/press-release_IP-16-42_en.htm</vt:lpwstr>
      </vt:variant>
      <vt:variant>
        <vt:lpwstr/>
      </vt:variant>
      <vt:variant>
        <vt:i4>4456524</vt:i4>
      </vt:variant>
      <vt:variant>
        <vt:i4>105</vt:i4>
      </vt:variant>
      <vt:variant>
        <vt:i4>0</vt:i4>
      </vt:variant>
      <vt:variant>
        <vt:i4>5</vt:i4>
      </vt:variant>
      <vt:variant>
        <vt:lpwstr>http://europa.eu/rapid/press-release_IP-15-4080_en.htm</vt:lpwstr>
      </vt:variant>
      <vt:variant>
        <vt:lpwstr/>
      </vt:variant>
      <vt:variant>
        <vt:i4>2949159</vt:i4>
      </vt:variant>
      <vt:variant>
        <vt:i4>102</vt:i4>
      </vt:variant>
      <vt:variant>
        <vt:i4>0</vt:i4>
      </vt:variant>
      <vt:variant>
        <vt:i4>5</vt:i4>
      </vt:variant>
      <vt:variant>
        <vt:lpwstr>http://ec.europa.eu/competition/elojade/isef/case_details.cfm?proc_code=3_SA_38944</vt:lpwstr>
      </vt:variant>
      <vt:variant>
        <vt:lpwstr/>
      </vt:variant>
      <vt:variant>
        <vt:i4>2097188</vt:i4>
      </vt:variant>
      <vt:variant>
        <vt:i4>99</vt:i4>
      </vt:variant>
      <vt:variant>
        <vt:i4>0</vt:i4>
      </vt:variant>
      <vt:variant>
        <vt:i4>5</vt:i4>
      </vt:variant>
      <vt:variant>
        <vt:lpwstr>http://ec.europa.eu/competition/elojade/isef/case_details.cfm?proc_code=3_SA_38373</vt:lpwstr>
      </vt:variant>
      <vt:variant>
        <vt:lpwstr/>
      </vt:variant>
      <vt:variant>
        <vt:i4>4980815</vt:i4>
      </vt:variant>
      <vt:variant>
        <vt:i4>96</vt:i4>
      </vt:variant>
      <vt:variant>
        <vt:i4>0</vt:i4>
      </vt:variant>
      <vt:variant>
        <vt:i4>5</vt:i4>
      </vt:variant>
      <vt:variant>
        <vt:lpwstr>http://europa.eu/rapid/press-release_IP-15-6221_en.htm</vt:lpwstr>
      </vt:variant>
      <vt:variant>
        <vt:lpwstr/>
      </vt:variant>
      <vt:variant>
        <vt:i4>2555940</vt:i4>
      </vt:variant>
      <vt:variant>
        <vt:i4>93</vt:i4>
      </vt:variant>
      <vt:variant>
        <vt:i4>0</vt:i4>
      </vt:variant>
      <vt:variant>
        <vt:i4>5</vt:i4>
      </vt:variant>
      <vt:variant>
        <vt:lpwstr>http://ec.europa.eu/competition/elojade/isef/case_details.cfm?proc_code=3_SA_38374</vt:lpwstr>
      </vt:variant>
      <vt:variant>
        <vt:lpwstr/>
      </vt:variant>
      <vt:variant>
        <vt:i4>2490404</vt:i4>
      </vt:variant>
      <vt:variant>
        <vt:i4>90</vt:i4>
      </vt:variant>
      <vt:variant>
        <vt:i4>0</vt:i4>
      </vt:variant>
      <vt:variant>
        <vt:i4>5</vt:i4>
      </vt:variant>
      <vt:variant>
        <vt:lpwstr>http://ec.europa.eu/competition/elojade/isef/case_details.cfm?proc_code=3_SA_38375</vt:lpwstr>
      </vt:variant>
      <vt:variant>
        <vt:lpwstr/>
      </vt:variant>
      <vt:variant>
        <vt:i4>5046346</vt:i4>
      </vt:variant>
      <vt:variant>
        <vt:i4>87</vt:i4>
      </vt:variant>
      <vt:variant>
        <vt:i4>0</vt:i4>
      </vt:variant>
      <vt:variant>
        <vt:i4>5</vt:i4>
      </vt:variant>
      <vt:variant>
        <vt:lpwstr>http://europa.eu/rapid/press-release_IP-15-4610_en.htm</vt:lpwstr>
      </vt:variant>
      <vt:variant>
        <vt:lpwstr/>
      </vt:variant>
      <vt:variant>
        <vt:i4>3604495</vt:i4>
      </vt:variant>
      <vt:variant>
        <vt:i4>84</vt:i4>
      </vt:variant>
      <vt:variant>
        <vt:i4>0</vt:i4>
      </vt:variant>
      <vt:variant>
        <vt:i4>5</vt:i4>
      </vt:variant>
      <vt:variant>
        <vt:lpwstr>http://ec.europa.eu/competition/elojade/isef/index.cfm?fuseaction=dsp_result</vt:lpwstr>
      </vt:variant>
      <vt:variant>
        <vt:lpwstr/>
      </vt:variant>
      <vt:variant>
        <vt:i4>5963803</vt:i4>
      </vt:variant>
      <vt:variant>
        <vt:i4>81</vt:i4>
      </vt:variant>
      <vt:variant>
        <vt:i4>0</vt:i4>
      </vt:variant>
      <vt:variant>
        <vt:i4>5</vt:i4>
      </vt:variant>
      <vt:variant>
        <vt:lpwstr>http://eur-lex.europa.eu/legal-content/EN/TXT/?uri=CELEX:52014XC0628%2801%29</vt:lpwstr>
      </vt:variant>
      <vt:variant>
        <vt:lpwstr/>
      </vt:variant>
      <vt:variant>
        <vt:i4>4587591</vt:i4>
      </vt:variant>
      <vt:variant>
        <vt:i4>78</vt:i4>
      </vt:variant>
      <vt:variant>
        <vt:i4>0</vt:i4>
      </vt:variant>
      <vt:variant>
        <vt:i4>5</vt:i4>
      </vt:variant>
      <vt:variant>
        <vt:lpwstr>http://europa.eu/rapid/press-release_IP-15-6289_en.htm</vt:lpwstr>
      </vt:variant>
      <vt:variant>
        <vt:lpwstr/>
      </vt:variant>
      <vt:variant>
        <vt:i4>4784203</vt:i4>
      </vt:variant>
      <vt:variant>
        <vt:i4>75</vt:i4>
      </vt:variant>
      <vt:variant>
        <vt:i4>0</vt:i4>
      </vt:variant>
      <vt:variant>
        <vt:i4>5</vt:i4>
      </vt:variant>
      <vt:variant>
        <vt:lpwstr>http://europa.eu/rapid/press-release_IP-15-4651_en.htm</vt:lpwstr>
      </vt:variant>
      <vt:variant>
        <vt:lpwstr/>
      </vt:variant>
      <vt:variant>
        <vt:i4>4522011</vt:i4>
      </vt:variant>
      <vt:variant>
        <vt:i4>72</vt:i4>
      </vt:variant>
      <vt:variant>
        <vt:i4>0</vt:i4>
      </vt:variant>
      <vt:variant>
        <vt:i4>5</vt:i4>
      </vt:variant>
      <vt:variant>
        <vt:lpwstr>http://europa.eu/rapid/press-release_IP-14-215_en.htm</vt:lpwstr>
      </vt:variant>
      <vt:variant>
        <vt:lpwstr/>
      </vt:variant>
      <vt:variant>
        <vt:i4>5111884</vt:i4>
      </vt:variant>
      <vt:variant>
        <vt:i4>69</vt:i4>
      </vt:variant>
      <vt:variant>
        <vt:i4>0</vt:i4>
      </vt:variant>
      <vt:variant>
        <vt:i4>5</vt:i4>
      </vt:variant>
      <vt:variant>
        <vt:lpwstr>http://europa.eu/rapid/press-release_IP-15-4828_en.htm</vt:lpwstr>
      </vt:variant>
      <vt:variant>
        <vt:lpwstr/>
      </vt:variant>
      <vt:variant>
        <vt:i4>2031694</vt:i4>
      </vt:variant>
      <vt:variant>
        <vt:i4>66</vt:i4>
      </vt:variant>
      <vt:variant>
        <vt:i4>0</vt:i4>
      </vt:variant>
      <vt:variant>
        <vt:i4>5</vt:i4>
      </vt:variant>
      <vt:variant>
        <vt:lpwstr>http://eur-lex.europa.eu/legal-content/EN/TXT/?uri=COM%3A2015%3A80%3AFIN</vt:lpwstr>
      </vt:variant>
      <vt:variant>
        <vt:lpwstr/>
      </vt:variant>
      <vt:variant>
        <vt:i4>7929859</vt:i4>
      </vt:variant>
      <vt:variant>
        <vt:i4>63</vt:i4>
      </vt:variant>
      <vt:variant>
        <vt:i4>0</vt:i4>
      </vt:variant>
      <vt:variant>
        <vt:i4>5</vt:i4>
      </vt:variant>
      <vt:variant>
        <vt:lpwstr>http://ec.europa.eu/competition/elojade/isef/case_details.cfm?proc_code=1_39523</vt:lpwstr>
      </vt:variant>
      <vt:variant>
        <vt:lpwstr/>
      </vt:variant>
      <vt:variant>
        <vt:i4>2097261</vt:i4>
      </vt:variant>
      <vt:variant>
        <vt:i4>60</vt:i4>
      </vt:variant>
      <vt:variant>
        <vt:i4>0</vt:i4>
      </vt:variant>
      <vt:variant>
        <vt:i4>5</vt:i4>
      </vt:variant>
      <vt:variant>
        <vt:lpwstr>http://ec.europa.eu/competition/elojade/isef/case_details.cfm?proc_code=2_M_7419</vt:lpwstr>
      </vt:variant>
      <vt:variant>
        <vt:lpwstr/>
      </vt:variant>
      <vt:variant>
        <vt:i4>2883695</vt:i4>
      </vt:variant>
      <vt:variant>
        <vt:i4>57</vt:i4>
      </vt:variant>
      <vt:variant>
        <vt:i4>0</vt:i4>
      </vt:variant>
      <vt:variant>
        <vt:i4>5</vt:i4>
      </vt:variant>
      <vt:variant>
        <vt:lpwstr>http://ec.europa.eu/competition/elojade/isef/case_details.cfm?proc_code=2_M_7637</vt:lpwstr>
      </vt:variant>
      <vt:variant>
        <vt:lpwstr/>
      </vt:variant>
      <vt:variant>
        <vt:i4>2687085</vt:i4>
      </vt:variant>
      <vt:variant>
        <vt:i4>54</vt:i4>
      </vt:variant>
      <vt:variant>
        <vt:i4>0</vt:i4>
      </vt:variant>
      <vt:variant>
        <vt:i4>5</vt:i4>
      </vt:variant>
      <vt:variant>
        <vt:lpwstr>http://ec.europa.eu/competition/elojade/isef/case_details.cfm?proc_code=2_M_7612</vt:lpwstr>
      </vt:variant>
      <vt:variant>
        <vt:lpwstr/>
      </vt:variant>
      <vt:variant>
        <vt:i4>2621550</vt:i4>
      </vt:variant>
      <vt:variant>
        <vt:i4>51</vt:i4>
      </vt:variant>
      <vt:variant>
        <vt:i4>0</vt:i4>
      </vt:variant>
      <vt:variant>
        <vt:i4>5</vt:i4>
      </vt:variant>
      <vt:variant>
        <vt:lpwstr>http://ec.europa.eu/competition/elojade/isef/case_details.cfm?proc_code=2_M_7421</vt:lpwstr>
      </vt:variant>
      <vt:variant>
        <vt:lpwstr/>
      </vt:variant>
      <vt:variant>
        <vt:i4>2949171</vt:i4>
      </vt:variant>
      <vt:variant>
        <vt:i4>48</vt:i4>
      </vt:variant>
      <vt:variant>
        <vt:i4>0</vt:i4>
      </vt:variant>
      <vt:variant>
        <vt:i4>5</vt:i4>
      </vt:variant>
      <vt:variant>
        <vt:lpwstr>http://europa.eu/rapid/press-release_MEMO-15-4782_en.htm</vt:lpwstr>
      </vt:variant>
      <vt:variant>
        <vt:lpwstr/>
      </vt:variant>
      <vt:variant>
        <vt:i4>4784207</vt:i4>
      </vt:variant>
      <vt:variant>
        <vt:i4>45</vt:i4>
      </vt:variant>
      <vt:variant>
        <vt:i4>0</vt:i4>
      </vt:variant>
      <vt:variant>
        <vt:i4>5</vt:i4>
      </vt:variant>
      <vt:variant>
        <vt:lpwstr>http://europa.eu/rapid/press-release_IP-15-6271_en.htm</vt:lpwstr>
      </vt:variant>
      <vt:variant>
        <vt:lpwstr/>
      </vt:variant>
      <vt:variant>
        <vt:i4>1835074</vt:i4>
      </vt:variant>
      <vt:variant>
        <vt:i4>42</vt:i4>
      </vt:variant>
      <vt:variant>
        <vt:i4>0</vt:i4>
      </vt:variant>
      <vt:variant>
        <vt:i4>5</vt:i4>
      </vt:variant>
      <vt:variant>
        <vt:lpwstr>http://eur-lex.europa.eu/legal-content/EN/TXT/?uri=CELEX%3A32015R2120</vt:lpwstr>
      </vt:variant>
      <vt:variant>
        <vt:lpwstr/>
      </vt:variant>
      <vt:variant>
        <vt:i4>5111882</vt:i4>
      </vt:variant>
      <vt:variant>
        <vt:i4>39</vt:i4>
      </vt:variant>
      <vt:variant>
        <vt:i4>0</vt:i4>
      </vt:variant>
      <vt:variant>
        <vt:i4>5</vt:i4>
      </vt:variant>
      <vt:variant>
        <vt:lpwstr>http://europa.eu/rapid/press-release_IP-15-5432_en.htm</vt:lpwstr>
      </vt:variant>
      <vt:variant>
        <vt:lpwstr/>
      </vt:variant>
      <vt:variant>
        <vt:i4>2097253</vt:i4>
      </vt:variant>
      <vt:variant>
        <vt:i4>36</vt:i4>
      </vt:variant>
      <vt:variant>
        <vt:i4>0</vt:i4>
      </vt:variant>
      <vt:variant>
        <vt:i4>5</vt:i4>
      </vt:variant>
      <vt:variant>
        <vt:lpwstr>http://ec.europa.eu/competition/elojade/isef/case_details.cfm?proc_code=2_M_7499</vt:lpwstr>
      </vt:variant>
      <vt:variant>
        <vt:lpwstr/>
      </vt:variant>
      <vt:variant>
        <vt:i4>2621541</vt:i4>
      </vt:variant>
      <vt:variant>
        <vt:i4>33</vt:i4>
      </vt:variant>
      <vt:variant>
        <vt:i4>0</vt:i4>
      </vt:variant>
      <vt:variant>
        <vt:i4>5</vt:i4>
      </vt:variant>
      <vt:variant>
        <vt:lpwstr>http://ec.europa.eu/competition/elojade/isef/case_details.cfm?proc_code=2_M_7194</vt:lpwstr>
      </vt:variant>
      <vt:variant>
        <vt:lpwstr/>
      </vt:variant>
      <vt:variant>
        <vt:i4>4915275</vt:i4>
      </vt:variant>
      <vt:variant>
        <vt:i4>30</vt:i4>
      </vt:variant>
      <vt:variant>
        <vt:i4>0</vt:i4>
      </vt:variant>
      <vt:variant>
        <vt:i4>5</vt:i4>
      </vt:variant>
      <vt:variant>
        <vt:lpwstr>http://europa.eu/rapid/press-release_IP-15-5166_en.htm</vt:lpwstr>
      </vt:variant>
      <vt:variant>
        <vt:lpwstr/>
      </vt:variant>
      <vt:variant>
        <vt:i4>4456523</vt:i4>
      </vt:variant>
      <vt:variant>
        <vt:i4>27</vt:i4>
      </vt:variant>
      <vt:variant>
        <vt:i4>0</vt:i4>
      </vt:variant>
      <vt:variant>
        <vt:i4>5</vt:i4>
      </vt:variant>
      <vt:variant>
        <vt:lpwstr>http://europa.eu/rapid/press-release_IP-15-4780_en.htm</vt:lpwstr>
      </vt:variant>
      <vt:variant>
        <vt:lpwstr/>
      </vt:variant>
      <vt:variant>
        <vt:i4>262217</vt:i4>
      </vt:variant>
      <vt:variant>
        <vt:i4>24</vt:i4>
      </vt:variant>
      <vt:variant>
        <vt:i4>0</vt:i4>
      </vt:variant>
      <vt:variant>
        <vt:i4>5</vt:i4>
      </vt:variant>
      <vt:variant>
        <vt:lpwstr>http://www.europarl.europa.eu/RegData/etudes/STUD/2015/542235/IPOL_STU%282015%29542235_EN.pdf</vt:lpwstr>
      </vt:variant>
      <vt:variant>
        <vt:lpwstr/>
      </vt:variant>
      <vt:variant>
        <vt:i4>7995500</vt:i4>
      </vt:variant>
      <vt:variant>
        <vt:i4>21</vt:i4>
      </vt:variant>
      <vt:variant>
        <vt:i4>0</vt:i4>
      </vt:variant>
      <vt:variant>
        <vt:i4>5</vt:i4>
      </vt:variant>
      <vt:variant>
        <vt:lpwstr>http://eur-lex.europa.eu/legal-content/EN/TXT/?uri=celex%3A52015DC0192</vt:lpwstr>
      </vt:variant>
      <vt:variant>
        <vt:lpwstr/>
      </vt:variant>
      <vt:variant>
        <vt:i4>2162690</vt:i4>
      </vt:variant>
      <vt:variant>
        <vt:i4>18</vt:i4>
      </vt:variant>
      <vt:variant>
        <vt:i4>0</vt:i4>
      </vt:variant>
      <vt:variant>
        <vt:i4>5</vt:i4>
      </vt:variant>
      <vt:variant>
        <vt:lpwstr>http://eur-lex.europa.eu/_x000b_LexUriServ/LexUriServ.do?uri=OJ:C:2013:025:0001:0026:en:PDF</vt:lpwstr>
      </vt:variant>
      <vt:variant>
        <vt:lpwstr/>
      </vt:variant>
      <vt:variant>
        <vt:i4>5308441</vt:i4>
      </vt:variant>
      <vt:variant>
        <vt:i4>15</vt:i4>
      </vt:variant>
      <vt:variant>
        <vt:i4>0</vt:i4>
      </vt:variant>
      <vt:variant>
        <vt:i4>5</vt:i4>
      </vt:variant>
      <vt:variant>
        <vt:lpwstr>http://eur-lex.europa.eu/legal-content/EN/TXT/?uri=CELEX:52014XC0122(04)</vt:lpwstr>
      </vt:variant>
      <vt:variant>
        <vt:lpwstr/>
      </vt:variant>
      <vt:variant>
        <vt:i4>6881354</vt:i4>
      </vt:variant>
      <vt:variant>
        <vt:i4>12</vt:i4>
      </vt:variant>
      <vt:variant>
        <vt:i4>0</vt:i4>
      </vt:variant>
      <vt:variant>
        <vt:i4>5</vt:i4>
      </vt:variant>
      <vt:variant>
        <vt:lpwstr>http://eur-lex.europa.eu/legal-content/EN/TXT/?uri=uriserv:OJ.C_.2014.198.01.0001.01.ENG</vt:lpwstr>
      </vt:variant>
      <vt:variant>
        <vt:lpwstr/>
      </vt:variant>
      <vt:variant>
        <vt:i4>6815818</vt:i4>
      </vt:variant>
      <vt:variant>
        <vt:i4>9</vt:i4>
      </vt:variant>
      <vt:variant>
        <vt:i4>0</vt:i4>
      </vt:variant>
      <vt:variant>
        <vt:i4>5</vt:i4>
      </vt:variant>
      <vt:variant>
        <vt:lpwstr>http://eur-lex.europa.eu/legal-content/EN/TXT/?uri=uriserv:OJ.L_.2014.187.01.0001.01.ENG</vt:lpwstr>
      </vt:variant>
      <vt:variant>
        <vt:lpwstr/>
      </vt:variant>
      <vt:variant>
        <vt:i4>720927</vt:i4>
      </vt:variant>
      <vt:variant>
        <vt:i4>6</vt:i4>
      </vt:variant>
      <vt:variant>
        <vt:i4>0</vt:i4>
      </vt:variant>
      <vt:variant>
        <vt:i4>5</vt:i4>
      </vt:variant>
      <vt:variant>
        <vt:lpwstr>http://ec.europa.eu/competition/state_aid/modernisation/index_en.html</vt:lpwstr>
      </vt:variant>
      <vt:variant>
        <vt:lpwstr/>
      </vt:variant>
      <vt:variant>
        <vt:i4>3342427</vt:i4>
      </vt:variant>
      <vt:variant>
        <vt:i4>3</vt:i4>
      </vt:variant>
      <vt:variant>
        <vt:i4>0</vt:i4>
      </vt:variant>
      <vt:variant>
        <vt:i4>5</vt:i4>
      </vt:variant>
      <vt:variant>
        <vt:lpwstr>http://ec.europa.eu/priorities/jobs-growth-investment/plan/efsi/index_en.htm</vt:lpwstr>
      </vt:variant>
      <vt:variant>
        <vt:lpwstr/>
      </vt:variant>
      <vt:variant>
        <vt:i4>8323148</vt:i4>
      </vt:variant>
      <vt:variant>
        <vt:i4>0</vt:i4>
      </vt:variant>
      <vt:variant>
        <vt:i4>0</vt:i4>
      </vt:variant>
      <vt:variant>
        <vt:i4>5</vt:i4>
      </vt:variant>
      <vt:variant>
        <vt:lpwstr>http://ec.europa.eu/priorities/jobs-growth-investment/plan/index_en.htm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24</cp:revision>
  <cp:lastPrinted>2016-04-05T12:55:00Z</cp:lastPrinted>
  <dcterms:created xsi:type="dcterms:W3CDTF">2016-05-25T11:26:00Z</dcterms:created>
  <dcterms:modified xsi:type="dcterms:W3CDTF">2016-06-15T06:41:00Z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t">
    <vt:lpwstr>1</vt:lpwstr>
  </property>
  <property fmtid="{D5CDD505-2E9C-101B-9397-08002B2CF9AE}" pid="3" name="Total parts">
    <vt:lpwstr>1</vt:lpwstr>
  </property>
  <property fmtid="{D5CDD505-2E9C-101B-9397-08002B2CF9AE}" pid="4" name="Classification">
    <vt:lpwstr> </vt:lpwstr>
  </property>
  <property fmtid="{D5CDD505-2E9C-101B-9397-08002B2CF9AE}" pid="5" name="_AdHocReviewCycleID">
    <vt:i4>1975865362</vt:i4>
  </property>
  <property fmtid="{D5CDD505-2E9C-101B-9397-08002B2CF9AE}" pid="6" name="_NewReviewCycle">
    <vt:lpwstr/>
  </property>
  <property fmtid="{D5CDD505-2E9C-101B-9397-08002B2CF9AE}" pid="7" name="_EmailSubject">
    <vt:lpwstr>ACR 2015 - translation</vt:lpwstr>
  </property>
  <property fmtid="{D5CDD505-2E9C-101B-9397-08002B2CF9AE}" pid="8" name="_AuthorEmail">
    <vt:lpwstr>Inga.GUSSEVA@ec.europa.eu</vt:lpwstr>
  </property>
  <property fmtid="{D5CDD505-2E9C-101B-9397-08002B2CF9AE}" pid="9" name="_AuthorEmailDisplayName">
    <vt:lpwstr>GUSSEVA Inga (COMP)</vt:lpwstr>
  </property>
  <property fmtid="{D5CDD505-2E9C-101B-9397-08002B2CF9AE}" pid="10" name="_ReviewingToolsShownOnce">
    <vt:lpwstr/>
  </property>
  <property fmtid="{D5CDD505-2E9C-101B-9397-08002B2CF9AE}" pid="11" name="DocStatus">
    <vt:lpwstr>Red</vt:lpwstr>
  </property>
  <property name="OP_sanitized" fmtid="{D5CDD505-2E9C-101B-9397-08002B2CF9AE}" pid="12">
    <vt:lpwstr>True</vt:lpwstr>
  </property>
</Properties>
</file>