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_Toc440386882"/>
      <w:bookmarkStart w:id="1"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1CEB36098D4F4174A8AB25480E792069" style="width:450.75pt;height:334.5pt">
            <v:imagedata r:id="rId9" o:title=""/>
          </v:shape>
        </w:pict>
      </w:r>
    </w:p>
    <w:bookmarkEnd w:id="1"/>
    <w:p>
      <w:pPr>
        <w:widowControl/>
        <w:autoSpaceDE/>
        <w:autoSpaceDN/>
        <w:adjustRightInd/>
        <w:spacing w:before="120" w:after="120"/>
        <w:jc w:val="both"/>
        <w:rPr>
          <w:noProof/>
          <w:sz w:val="24"/>
          <w:szCs w:val="24"/>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aperSrc w:first="15" w:other="15"/>
          <w:pgNumType w:start="1"/>
          <w:cols w:space="720"/>
          <w:docGrid w:linePitch="326"/>
        </w:sectPr>
      </w:pPr>
    </w:p>
    <w:p>
      <w:pPr>
        <w:widowControl/>
        <w:rPr>
          <w:b/>
          <w:noProof/>
          <w:sz w:val="28"/>
          <w:szCs w:val="28"/>
        </w:rPr>
      </w:pPr>
      <w:bookmarkStart w:id="2" w:name="_GoBack"/>
      <w:bookmarkEnd w:id="2"/>
    </w:p>
    <w:p>
      <w:pPr>
        <w:widowControl/>
        <w:autoSpaceDE/>
        <w:autoSpaceDN/>
        <w:adjustRightInd/>
        <w:spacing w:before="120" w:after="240"/>
        <w:jc w:val="center"/>
        <w:rPr>
          <w:b/>
          <w:noProof/>
          <w:sz w:val="28"/>
          <w:szCs w:val="24"/>
        </w:rPr>
      </w:pPr>
      <w:r>
        <w:rPr>
          <w:b/>
          <w:noProof/>
          <w:sz w:val="28"/>
        </w:rPr>
        <w:t>Turinys</w:t>
      </w:r>
    </w:p>
    <w:p>
      <w:pPr>
        <w:pStyle w:val="TOC1"/>
        <w:widowControl/>
        <w:tabs>
          <w:tab w:val="left" w:pos="440"/>
          <w:tab w:val="right" w:leader="dot" w:pos="9062"/>
        </w:tabs>
        <w:rPr>
          <w:rFonts w:asciiTheme="minorHAnsi" w:eastAsiaTheme="minorEastAsia" w:hAnsiTheme="minorHAnsi" w:cstheme="minorBidi"/>
          <w:noProof/>
          <w:sz w:val="24"/>
          <w:szCs w:val="24"/>
          <w:lang w:val="en-GB" w:eastAsia="en-GB" w:bidi="ar-SA"/>
        </w:rPr>
      </w:pPr>
      <w:r>
        <w:rPr>
          <w:noProof/>
          <w:sz w:val="24"/>
          <w:szCs w:val="24"/>
        </w:rPr>
        <w:fldChar w:fldCharType="begin"/>
      </w:r>
      <w:r>
        <w:rPr>
          <w:noProof/>
          <w:sz w:val="24"/>
          <w:szCs w:val="24"/>
        </w:rPr>
        <w:instrText xml:space="preserve"> TOC \o "1-3" \h \z \u </w:instrText>
      </w:r>
      <w:r>
        <w:rPr>
          <w:noProof/>
          <w:sz w:val="24"/>
          <w:szCs w:val="24"/>
        </w:rPr>
        <w:fldChar w:fldCharType="separate"/>
      </w:r>
      <w:hyperlink w:anchor="_Toc451780500" w:history="1">
        <w:r>
          <w:rPr>
            <w:rStyle w:val="Hyperlink"/>
            <w:b/>
            <w:bCs/>
            <w:smallCaps/>
            <w:noProof/>
            <w:sz w:val="24"/>
            <w:szCs w:val="24"/>
          </w:rPr>
          <w:t>1.</w:t>
        </w:r>
        <w:r>
          <w:rPr>
            <w:rFonts w:asciiTheme="minorHAnsi" w:eastAsiaTheme="minorEastAsia" w:hAnsiTheme="minorHAnsi" w:cstheme="minorBidi"/>
            <w:noProof/>
            <w:sz w:val="24"/>
            <w:szCs w:val="24"/>
            <w:lang w:val="en-GB" w:eastAsia="en-GB" w:bidi="ar-SA"/>
          </w:rPr>
          <w:tab/>
        </w:r>
        <w:r>
          <w:rPr>
            <w:rStyle w:val="Hyperlink"/>
            <w:b/>
            <w:smallCaps/>
            <w:noProof/>
            <w:sz w:val="24"/>
            <w:szCs w:val="24"/>
          </w:rPr>
          <w:t>Įvadas</w:t>
        </w:r>
        <w:r>
          <w:rPr>
            <w:noProof/>
            <w:webHidden/>
            <w:sz w:val="24"/>
            <w:szCs w:val="24"/>
          </w:rPr>
          <w:tab/>
        </w:r>
        <w:r>
          <w:rPr>
            <w:noProof/>
            <w:webHidden/>
            <w:sz w:val="24"/>
            <w:szCs w:val="24"/>
          </w:rPr>
          <w:fldChar w:fldCharType="begin"/>
        </w:r>
        <w:r>
          <w:rPr>
            <w:noProof/>
            <w:webHidden/>
            <w:sz w:val="24"/>
            <w:szCs w:val="24"/>
          </w:rPr>
          <w:instrText xml:space="preserve"> PAGEREF _Toc451780500 \h </w:instrText>
        </w:r>
        <w:r>
          <w:rPr>
            <w:noProof/>
            <w:webHidden/>
            <w:sz w:val="24"/>
            <w:szCs w:val="24"/>
          </w:rPr>
        </w:r>
        <w:r>
          <w:rPr>
            <w:noProof/>
            <w:webHidden/>
            <w:sz w:val="24"/>
            <w:szCs w:val="24"/>
          </w:rPr>
          <w:fldChar w:fldCharType="separate"/>
        </w:r>
        <w:r>
          <w:rPr>
            <w:noProof/>
            <w:webHidden/>
            <w:sz w:val="24"/>
            <w:szCs w:val="24"/>
          </w:rPr>
          <w:t>3</w:t>
        </w:r>
        <w:r>
          <w:rPr>
            <w:noProof/>
            <w:webHidden/>
            <w:sz w:val="24"/>
            <w:szCs w:val="24"/>
          </w:rPr>
          <w:fldChar w:fldCharType="end"/>
        </w:r>
      </w:hyperlink>
    </w:p>
    <w:p>
      <w:pPr>
        <w:pStyle w:val="TOC1"/>
        <w:widowControl/>
        <w:tabs>
          <w:tab w:val="left" w:pos="440"/>
          <w:tab w:val="right" w:leader="dot" w:pos="9062"/>
        </w:tabs>
        <w:rPr>
          <w:rFonts w:asciiTheme="minorHAnsi" w:eastAsiaTheme="minorEastAsia" w:hAnsiTheme="minorHAnsi" w:cstheme="minorBidi"/>
          <w:noProof/>
          <w:sz w:val="24"/>
          <w:szCs w:val="24"/>
          <w:lang w:val="en-GB" w:eastAsia="en-GB" w:bidi="ar-SA"/>
        </w:rPr>
      </w:pPr>
      <w:hyperlink w:anchor="_Toc451780501" w:history="1">
        <w:r>
          <w:rPr>
            <w:rStyle w:val="Hyperlink"/>
            <w:b/>
            <w:smallCaps/>
            <w:noProof/>
            <w:sz w:val="24"/>
            <w:szCs w:val="24"/>
          </w:rPr>
          <w:t>2.</w:t>
        </w:r>
        <w:r>
          <w:rPr>
            <w:rFonts w:asciiTheme="minorHAnsi" w:eastAsiaTheme="minorEastAsia" w:hAnsiTheme="minorHAnsi" w:cstheme="minorBidi"/>
            <w:noProof/>
            <w:sz w:val="24"/>
            <w:szCs w:val="24"/>
            <w:lang w:val="en-GB" w:eastAsia="en-GB" w:bidi="ar-SA"/>
          </w:rPr>
          <w:tab/>
        </w:r>
        <w:r>
          <w:rPr>
            <w:rStyle w:val="Hyperlink"/>
            <w:b/>
            <w:smallCaps/>
            <w:noProof/>
            <w:sz w:val="24"/>
            <w:szCs w:val="24"/>
          </w:rPr>
          <w:t>Veiklos aplinkybės</w:t>
        </w:r>
        <w:r>
          <w:rPr>
            <w:noProof/>
            <w:webHidden/>
            <w:sz w:val="24"/>
            <w:szCs w:val="24"/>
          </w:rPr>
          <w:tab/>
        </w:r>
        <w:r>
          <w:rPr>
            <w:noProof/>
            <w:webHidden/>
            <w:sz w:val="24"/>
            <w:szCs w:val="24"/>
          </w:rPr>
          <w:fldChar w:fldCharType="begin"/>
        </w:r>
        <w:r>
          <w:rPr>
            <w:noProof/>
            <w:webHidden/>
            <w:sz w:val="24"/>
            <w:szCs w:val="24"/>
          </w:rPr>
          <w:instrText xml:space="preserve"> PAGEREF _Toc451780501 \h </w:instrText>
        </w:r>
        <w:r>
          <w:rPr>
            <w:noProof/>
            <w:webHidden/>
            <w:sz w:val="24"/>
            <w:szCs w:val="24"/>
          </w:rPr>
        </w:r>
        <w:r>
          <w:rPr>
            <w:noProof/>
            <w:webHidden/>
            <w:sz w:val="24"/>
            <w:szCs w:val="24"/>
          </w:rPr>
          <w:fldChar w:fldCharType="separate"/>
        </w:r>
        <w:r>
          <w:rPr>
            <w:noProof/>
            <w:webHidden/>
            <w:sz w:val="24"/>
            <w:szCs w:val="24"/>
          </w:rPr>
          <w:t>3</w:t>
        </w:r>
        <w:r>
          <w:rPr>
            <w:noProof/>
            <w:webHidden/>
            <w:sz w:val="24"/>
            <w:szCs w:val="24"/>
          </w:rPr>
          <w:fldChar w:fldCharType="end"/>
        </w:r>
      </w:hyperlink>
    </w:p>
    <w:p>
      <w:pPr>
        <w:pStyle w:val="TOC1"/>
        <w:widowControl/>
        <w:tabs>
          <w:tab w:val="left" w:pos="440"/>
          <w:tab w:val="right" w:leader="dot" w:pos="9062"/>
        </w:tabs>
        <w:rPr>
          <w:rFonts w:asciiTheme="minorHAnsi" w:eastAsiaTheme="minorEastAsia" w:hAnsiTheme="minorHAnsi" w:cstheme="minorBidi"/>
          <w:noProof/>
          <w:sz w:val="24"/>
          <w:szCs w:val="24"/>
          <w:lang w:val="en-GB" w:eastAsia="en-GB" w:bidi="ar-SA"/>
        </w:rPr>
      </w:pPr>
      <w:hyperlink w:anchor="_Toc451780502" w:history="1">
        <w:r>
          <w:rPr>
            <w:rStyle w:val="Hyperlink"/>
            <w:b/>
            <w:bCs/>
            <w:smallCaps/>
            <w:noProof/>
            <w:sz w:val="24"/>
            <w:szCs w:val="24"/>
          </w:rPr>
          <w:t>3.</w:t>
        </w:r>
        <w:r>
          <w:rPr>
            <w:rFonts w:asciiTheme="minorHAnsi" w:eastAsiaTheme="minorEastAsia" w:hAnsiTheme="minorHAnsi" w:cstheme="minorBidi"/>
            <w:noProof/>
            <w:sz w:val="24"/>
            <w:szCs w:val="24"/>
            <w:lang w:val="en-GB" w:eastAsia="en-GB" w:bidi="ar-SA"/>
          </w:rPr>
          <w:tab/>
        </w:r>
        <w:r>
          <w:rPr>
            <w:rStyle w:val="Hyperlink"/>
            <w:b/>
            <w:smallCaps/>
            <w:noProof/>
            <w:sz w:val="24"/>
            <w:szCs w:val="24"/>
          </w:rPr>
          <w:t>Finansinės ataskaitos</w:t>
        </w:r>
        <w:r>
          <w:rPr>
            <w:noProof/>
            <w:webHidden/>
            <w:sz w:val="24"/>
            <w:szCs w:val="24"/>
          </w:rPr>
          <w:tab/>
        </w:r>
        <w:r>
          <w:rPr>
            <w:noProof/>
            <w:webHidden/>
            <w:sz w:val="24"/>
            <w:szCs w:val="24"/>
          </w:rPr>
          <w:fldChar w:fldCharType="begin"/>
        </w:r>
        <w:r>
          <w:rPr>
            <w:noProof/>
            <w:webHidden/>
            <w:sz w:val="24"/>
            <w:szCs w:val="24"/>
          </w:rPr>
          <w:instrText xml:space="preserve"> PAGEREF _Toc451780502 \h </w:instrText>
        </w:r>
        <w:r>
          <w:rPr>
            <w:noProof/>
            <w:webHidden/>
            <w:sz w:val="24"/>
            <w:szCs w:val="24"/>
          </w:rPr>
        </w:r>
        <w:r>
          <w:rPr>
            <w:noProof/>
            <w:webHidden/>
            <w:sz w:val="24"/>
            <w:szCs w:val="24"/>
          </w:rPr>
          <w:fldChar w:fldCharType="separate"/>
        </w:r>
        <w:r>
          <w:rPr>
            <w:noProof/>
            <w:webHidden/>
            <w:sz w:val="24"/>
            <w:szCs w:val="24"/>
          </w:rPr>
          <w:t>4</w:t>
        </w:r>
        <w:r>
          <w:rPr>
            <w:noProof/>
            <w:webHidden/>
            <w:sz w:val="24"/>
            <w:szCs w:val="24"/>
          </w:rPr>
          <w:fldChar w:fldCharType="end"/>
        </w:r>
      </w:hyperlink>
    </w:p>
    <w:p>
      <w:pPr>
        <w:pStyle w:val="TOC1"/>
        <w:widowControl/>
        <w:tabs>
          <w:tab w:val="left" w:pos="440"/>
          <w:tab w:val="right" w:leader="dot" w:pos="9062"/>
        </w:tabs>
        <w:rPr>
          <w:rFonts w:asciiTheme="minorHAnsi" w:eastAsiaTheme="minorEastAsia" w:hAnsiTheme="minorHAnsi" w:cstheme="minorBidi"/>
          <w:noProof/>
          <w:sz w:val="24"/>
          <w:szCs w:val="24"/>
          <w:lang w:val="en-GB" w:eastAsia="en-GB" w:bidi="ar-SA"/>
        </w:rPr>
      </w:pPr>
      <w:hyperlink w:anchor="_Toc451780503" w:history="1">
        <w:r>
          <w:rPr>
            <w:rStyle w:val="Hyperlink"/>
            <w:b/>
            <w:bCs/>
            <w:smallCaps/>
            <w:noProof/>
            <w:sz w:val="24"/>
            <w:szCs w:val="24"/>
          </w:rPr>
          <w:t>4.</w:t>
        </w:r>
        <w:r>
          <w:rPr>
            <w:rFonts w:asciiTheme="minorHAnsi" w:eastAsiaTheme="minorEastAsia" w:hAnsiTheme="minorHAnsi" w:cstheme="minorBidi"/>
            <w:noProof/>
            <w:sz w:val="24"/>
            <w:szCs w:val="24"/>
            <w:lang w:val="en-GB" w:eastAsia="en-GB" w:bidi="ar-SA"/>
          </w:rPr>
          <w:tab/>
        </w:r>
        <w:r>
          <w:rPr>
            <w:rStyle w:val="Hyperlink"/>
            <w:b/>
            <w:smallCaps/>
            <w:noProof/>
            <w:sz w:val="24"/>
            <w:szCs w:val="24"/>
          </w:rPr>
          <w:t>ESIF garantijų fondo valdymas 2015 m.</w:t>
        </w:r>
        <w:r>
          <w:rPr>
            <w:noProof/>
            <w:webHidden/>
            <w:sz w:val="24"/>
            <w:szCs w:val="24"/>
          </w:rPr>
          <w:tab/>
        </w:r>
        <w:r>
          <w:rPr>
            <w:noProof/>
            <w:webHidden/>
            <w:sz w:val="24"/>
            <w:szCs w:val="24"/>
          </w:rPr>
          <w:fldChar w:fldCharType="begin"/>
        </w:r>
        <w:r>
          <w:rPr>
            <w:noProof/>
            <w:webHidden/>
            <w:sz w:val="24"/>
            <w:szCs w:val="24"/>
          </w:rPr>
          <w:instrText xml:space="preserve"> PAGEREF _Toc451780503 \h </w:instrText>
        </w:r>
        <w:r>
          <w:rPr>
            <w:noProof/>
            <w:webHidden/>
            <w:sz w:val="24"/>
            <w:szCs w:val="24"/>
          </w:rPr>
        </w:r>
        <w:r>
          <w:rPr>
            <w:noProof/>
            <w:webHidden/>
            <w:sz w:val="24"/>
            <w:szCs w:val="24"/>
          </w:rPr>
          <w:fldChar w:fldCharType="separate"/>
        </w:r>
        <w:r>
          <w:rPr>
            <w:noProof/>
            <w:webHidden/>
            <w:sz w:val="24"/>
            <w:szCs w:val="24"/>
          </w:rPr>
          <w:t>4</w:t>
        </w:r>
        <w:r>
          <w:rPr>
            <w:noProof/>
            <w:webHidden/>
            <w:sz w:val="24"/>
            <w:szCs w:val="24"/>
          </w:rPr>
          <w:fldChar w:fldCharType="end"/>
        </w:r>
      </w:hyperlink>
    </w:p>
    <w:p>
      <w:pPr>
        <w:pStyle w:val="TOC1"/>
        <w:widowControl/>
        <w:tabs>
          <w:tab w:val="left" w:pos="440"/>
          <w:tab w:val="right" w:leader="dot" w:pos="9062"/>
        </w:tabs>
        <w:rPr>
          <w:rFonts w:asciiTheme="minorHAnsi" w:eastAsiaTheme="minorEastAsia" w:hAnsiTheme="minorHAnsi" w:cstheme="minorBidi"/>
          <w:noProof/>
          <w:sz w:val="24"/>
          <w:szCs w:val="24"/>
          <w:lang w:val="en-GB" w:eastAsia="en-GB" w:bidi="ar-SA"/>
        </w:rPr>
      </w:pPr>
      <w:hyperlink w:anchor="_Toc451780504" w:history="1">
        <w:r>
          <w:rPr>
            <w:rStyle w:val="Hyperlink"/>
            <w:b/>
            <w:bCs/>
            <w:smallCaps/>
            <w:noProof/>
            <w:sz w:val="24"/>
            <w:szCs w:val="24"/>
          </w:rPr>
          <w:t>5.</w:t>
        </w:r>
        <w:r>
          <w:rPr>
            <w:rFonts w:asciiTheme="minorHAnsi" w:eastAsiaTheme="minorEastAsia" w:hAnsiTheme="minorHAnsi" w:cstheme="minorBidi"/>
            <w:noProof/>
            <w:sz w:val="24"/>
            <w:szCs w:val="24"/>
            <w:lang w:val="en-GB" w:eastAsia="en-GB" w:bidi="ar-SA"/>
          </w:rPr>
          <w:tab/>
        </w:r>
        <w:r>
          <w:rPr>
            <w:rStyle w:val="Hyperlink"/>
            <w:b/>
            <w:smallCaps/>
            <w:noProof/>
            <w:sz w:val="24"/>
            <w:szCs w:val="24"/>
          </w:rPr>
          <w:t>Tikslinės sumos tinkamumo ir ESIF garantijų fondo lygio įvertinimas</w:t>
        </w:r>
        <w:r>
          <w:rPr>
            <w:noProof/>
            <w:webHidden/>
            <w:sz w:val="24"/>
            <w:szCs w:val="24"/>
          </w:rPr>
          <w:tab/>
        </w:r>
        <w:r>
          <w:rPr>
            <w:noProof/>
            <w:webHidden/>
            <w:sz w:val="24"/>
            <w:szCs w:val="24"/>
          </w:rPr>
          <w:fldChar w:fldCharType="begin"/>
        </w:r>
        <w:r>
          <w:rPr>
            <w:noProof/>
            <w:webHidden/>
            <w:sz w:val="24"/>
            <w:szCs w:val="24"/>
          </w:rPr>
          <w:instrText xml:space="preserve"> PAGEREF _Toc451780504 \h </w:instrText>
        </w:r>
        <w:r>
          <w:rPr>
            <w:noProof/>
            <w:webHidden/>
            <w:sz w:val="24"/>
            <w:szCs w:val="24"/>
          </w:rPr>
        </w:r>
        <w:r>
          <w:rPr>
            <w:noProof/>
            <w:webHidden/>
            <w:sz w:val="24"/>
            <w:szCs w:val="24"/>
          </w:rPr>
          <w:fldChar w:fldCharType="separate"/>
        </w:r>
        <w:r>
          <w:rPr>
            <w:noProof/>
            <w:webHidden/>
            <w:sz w:val="24"/>
            <w:szCs w:val="24"/>
          </w:rPr>
          <w:t>5</w:t>
        </w:r>
        <w:r>
          <w:rPr>
            <w:noProof/>
            <w:webHidden/>
            <w:sz w:val="24"/>
            <w:szCs w:val="24"/>
          </w:rPr>
          <w:fldChar w:fldCharType="end"/>
        </w:r>
      </w:hyperlink>
    </w:p>
    <w:p>
      <w:pPr>
        <w:widowControl/>
        <w:rPr>
          <w:rFonts w:asciiTheme="minorHAnsi" w:eastAsiaTheme="minorEastAsia" w:hAnsiTheme="minorHAnsi" w:cstheme="minorBidi"/>
          <w:b/>
          <w:bCs/>
          <w:noProof/>
          <w:sz w:val="24"/>
          <w:szCs w:val="24"/>
        </w:rPr>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pPr>
      <w:r>
        <w:rPr>
          <w:b/>
          <w:bCs/>
          <w:noProof/>
          <w:sz w:val="24"/>
          <w:szCs w:val="24"/>
        </w:rPr>
        <w:fldChar w:fldCharType="end"/>
      </w:r>
    </w:p>
    <w:p>
      <w:pPr>
        <w:keepNext/>
        <w:widowControl/>
        <w:numPr>
          <w:ilvl w:val="0"/>
          <w:numId w:val="18"/>
        </w:numPr>
        <w:tabs>
          <w:tab w:val="num" w:pos="850"/>
        </w:tabs>
        <w:autoSpaceDE/>
        <w:autoSpaceDN/>
        <w:adjustRightInd/>
        <w:spacing w:before="240" w:after="240"/>
        <w:ind w:left="850" w:hanging="850"/>
        <w:jc w:val="both"/>
        <w:outlineLvl w:val="0"/>
        <w:rPr>
          <w:b/>
          <w:bCs/>
          <w:smallCaps/>
          <w:noProof/>
          <w:sz w:val="24"/>
          <w:szCs w:val="32"/>
        </w:rPr>
      </w:pPr>
      <w:bookmarkStart w:id="3" w:name="_Toc449686519"/>
      <w:bookmarkStart w:id="4" w:name="_Toc449969919"/>
      <w:bookmarkStart w:id="5" w:name="_Toc449969966"/>
      <w:bookmarkStart w:id="6" w:name="_Toc449686550"/>
      <w:bookmarkStart w:id="7" w:name="_Toc449689406"/>
      <w:bookmarkStart w:id="8" w:name="_Toc358640308"/>
      <w:bookmarkStart w:id="9" w:name="_Toc358640576"/>
      <w:bookmarkStart w:id="10" w:name="_Toc358640627"/>
      <w:bookmarkStart w:id="11" w:name="_Toc358640725"/>
      <w:bookmarkStart w:id="12" w:name="_Toc385254771"/>
      <w:bookmarkStart w:id="13" w:name="_Toc415736037"/>
      <w:bookmarkStart w:id="14" w:name="_Toc415748654"/>
      <w:bookmarkStart w:id="15" w:name="_Toc417031771"/>
      <w:bookmarkStart w:id="16" w:name="_Toc449626267"/>
      <w:bookmarkStart w:id="17" w:name="_Toc449626494"/>
      <w:bookmarkStart w:id="18" w:name="_Toc449972638"/>
      <w:bookmarkStart w:id="19" w:name="_Toc451780500"/>
      <w:bookmarkStart w:id="20" w:name="_Toc449689407"/>
      <w:bookmarkEnd w:id="0"/>
      <w:bookmarkEnd w:id="3"/>
      <w:bookmarkEnd w:id="4"/>
      <w:bookmarkEnd w:id="5"/>
      <w:bookmarkEnd w:id="6"/>
      <w:bookmarkEnd w:id="7"/>
      <w:r>
        <w:rPr>
          <w:b/>
          <w:smallCaps/>
          <w:noProof/>
          <w:sz w:val="24"/>
        </w:rPr>
        <w:lastRenderedPageBreak/>
        <w:t>Įvadas</w:t>
      </w:r>
      <w:bookmarkEnd w:id="8"/>
      <w:bookmarkEnd w:id="9"/>
      <w:bookmarkEnd w:id="10"/>
      <w:bookmarkEnd w:id="11"/>
      <w:bookmarkEnd w:id="12"/>
      <w:bookmarkEnd w:id="13"/>
      <w:bookmarkEnd w:id="14"/>
      <w:bookmarkEnd w:id="15"/>
      <w:bookmarkEnd w:id="16"/>
      <w:bookmarkEnd w:id="17"/>
      <w:bookmarkEnd w:id="18"/>
      <w:bookmarkEnd w:id="19"/>
    </w:p>
    <w:bookmarkEnd w:id="20"/>
    <w:p>
      <w:pPr>
        <w:widowControl/>
        <w:spacing w:before="240" w:after="240"/>
        <w:jc w:val="both"/>
        <w:rPr>
          <w:noProof/>
          <w:sz w:val="24"/>
          <w:szCs w:val="24"/>
        </w:rPr>
      </w:pPr>
      <w:r>
        <w:rPr>
          <w:noProof/>
          <w:sz w:val="24"/>
        </w:rPr>
        <w:t>Šios ataskaitos teisinis pagrindas – 2015 m. birželio 25 d. Europos Parlamento ir Tarybos reglamentas (ES) 2015/1017 dėl Europos strateginių investicijų fondo, Europos investavimo konsultacijų centro ir Europos investicinių projektų portalo, kuriuo iš dalies keičiamos reglamentų (ES) Nr. 1291/2013 ir (ES) Nr. 1316/2013 nuostatos dėl Europos strateginių investicijų fondo</w:t>
      </w:r>
      <w:r>
        <w:rPr>
          <w:rStyle w:val="FootnoteReference"/>
          <w:noProof/>
          <w:sz w:val="24"/>
        </w:rPr>
        <w:footnoteReference w:id="1"/>
      </w:r>
      <w:r>
        <w:rPr>
          <w:noProof/>
          <w:sz w:val="24"/>
        </w:rPr>
        <w:t xml:space="preserve"> (toliau – ESIF reglamentas). 2015 m. liepos 22 d. Europos Komisija ir Europos investicijų bankas (toliau – EIB) pasirašė susitarimą dėl ESIF valdymo ir ES garantijos teikimo (toliau – ESIF susitarimas).</w:t>
      </w:r>
    </w:p>
    <w:p>
      <w:pPr>
        <w:widowControl/>
        <w:spacing w:before="240" w:after="240"/>
        <w:jc w:val="both"/>
        <w:rPr>
          <w:noProof/>
          <w:sz w:val="24"/>
          <w:szCs w:val="24"/>
        </w:rPr>
      </w:pPr>
      <w:r>
        <w:rPr>
          <w:noProof/>
          <w:sz w:val="24"/>
        </w:rPr>
        <w:t>ESIF reglamento 16 straipsnio 6 dalyje nustatyta, kad Komisija iki kiekvienų metų gegužės 31 d. Europos Parlamentui, Tarybai ir Europos Audito Rūmams pateikia praėjusių kalendorinių metų ESIF garantijų fondo metinę valdymo ataskaitą, įskaitant tikslinės sumos tinkamumo, ESIF garantijų fondo lygio ir poreikio papildyti garantijų fondą įvertinimą. Šioje metinėje ataskaitoje nurodoma ESIF garantijų fondo finansinė būklė praėjusių kalendorinių metų pabaigoje, finansiniai srautai praėjusiais kalendoriniais metais, taip pat svarbūs sandoriai ir visa su finansinėmis ataskaitomis susijusi informacija. Joje taip pat pateikiama informacija apie ESIF garantijų fondo finansų valdymą, veiklos rezultatus ir riziką praėjusių kalendorinių metų pabaigoje.</w:t>
      </w:r>
    </w:p>
    <w:p>
      <w:pPr>
        <w:widowControl/>
        <w:spacing w:before="240" w:after="240"/>
        <w:jc w:val="both"/>
        <w:rPr>
          <w:noProof/>
          <w:sz w:val="24"/>
          <w:szCs w:val="24"/>
        </w:rPr>
      </w:pPr>
      <w:r>
        <w:rPr>
          <w:noProof/>
          <w:sz w:val="24"/>
        </w:rPr>
        <w:t>Be to, ESIF reglamento 16 straipsnio 2 dalyje nustatyta, kad EIB, kai tinkama, bendradarbiaudamas su Europos investicijų fondu (toliau – EIF), Europos Parlamentui ir Tarybai pateikia atskirą metinę EIB finansavimo ir investavimo operacijų, kurioms taikomas šis reglamentas (toliau – ESIF operacijos), ataskaitą, kuri skelbiama viešai.</w:t>
      </w:r>
      <w:bookmarkStart w:id="21" w:name="_Toc449686522"/>
      <w:bookmarkStart w:id="22" w:name="_Toc449686553"/>
      <w:bookmarkStart w:id="23" w:name="_Toc449686523"/>
      <w:bookmarkStart w:id="24" w:name="_Toc449686554"/>
      <w:bookmarkEnd w:id="21"/>
      <w:bookmarkEnd w:id="22"/>
      <w:bookmarkEnd w:id="23"/>
      <w:bookmarkEnd w:id="24"/>
      <w:r>
        <w:rPr>
          <w:noProof/>
          <w:sz w:val="24"/>
        </w:rPr>
        <w:t xml:space="preserve"> Kol kas EIB dar nepriėmė 2015 m. metinės ataskaitos.</w:t>
      </w:r>
    </w:p>
    <w:p>
      <w:pPr>
        <w:keepNext/>
        <w:widowControl/>
        <w:numPr>
          <w:ilvl w:val="0"/>
          <w:numId w:val="18"/>
        </w:numPr>
        <w:tabs>
          <w:tab w:val="num" w:pos="850"/>
        </w:tabs>
        <w:autoSpaceDE/>
        <w:autoSpaceDN/>
        <w:adjustRightInd/>
        <w:spacing w:before="480" w:after="240"/>
        <w:ind w:left="851" w:hanging="851"/>
        <w:jc w:val="both"/>
        <w:outlineLvl w:val="0"/>
        <w:rPr>
          <w:b/>
          <w:smallCaps/>
          <w:noProof/>
          <w:sz w:val="24"/>
          <w:szCs w:val="32"/>
        </w:rPr>
      </w:pPr>
      <w:bookmarkStart w:id="25" w:name="_Toc449689408"/>
      <w:bookmarkStart w:id="26" w:name="_Toc449972639"/>
      <w:bookmarkStart w:id="27" w:name="_Toc451780501"/>
      <w:r>
        <w:rPr>
          <w:b/>
          <w:smallCaps/>
          <w:noProof/>
          <w:sz w:val="24"/>
        </w:rPr>
        <w:t>Veiklos aplinkybės</w:t>
      </w:r>
      <w:bookmarkEnd w:id="25"/>
      <w:bookmarkEnd w:id="26"/>
      <w:bookmarkEnd w:id="27"/>
    </w:p>
    <w:p>
      <w:pPr>
        <w:widowControl/>
        <w:spacing w:before="240" w:after="240"/>
        <w:jc w:val="both"/>
        <w:rPr>
          <w:noProof/>
          <w:sz w:val="24"/>
          <w:szCs w:val="24"/>
        </w:rPr>
      </w:pPr>
      <w:r>
        <w:rPr>
          <w:noProof/>
          <w:sz w:val="24"/>
        </w:rPr>
        <w:t>ES garantija suteikiama EIB finansavimo ir investavimo operacijoms, vykdomoms infrastruktūros ir inovacijų srityje pagal EIB pasirašytas operacijas ir MVĮ srityje – pagal EIF pasirašytas operacijas. Daliai šių operacijų taikoma ES garantija, o kitos vykdomos EIB grupei prisiimant su jomis susijusią riziką.</w:t>
      </w:r>
    </w:p>
    <w:p>
      <w:pPr>
        <w:widowControl/>
        <w:spacing w:before="240" w:after="240"/>
        <w:jc w:val="both"/>
        <w:rPr>
          <w:noProof/>
          <w:sz w:val="24"/>
          <w:szCs w:val="24"/>
        </w:rPr>
      </w:pPr>
      <w:r>
        <w:rPr>
          <w:noProof/>
          <w:sz w:val="24"/>
        </w:rPr>
        <w:t>2015 m. bendra pagal ESIF pasirašytų operacijų suma sudarė 3 mlrd. EUR 19-oje valstybių narių; 1,2 mlrd. EUR sudarė EIB pasirašytos operacijos (10 operacijų), o 1,8 mlrd. EUR – EIF pasirašytos operacijos (83 operacijos). Kalbant apie šias pasirašytas operacijas, ES garantija 2015 m. pabaigoje buvo taikoma 1,553 mln. EUR sumai (1,155 mln. EUR – EIB ir 398 mln. EUR – EIF). Išmokėtina suma pagal visas neapmokėtas ES garantijų pozicijas sudarė apie 202 mln. EUR.</w:t>
      </w:r>
    </w:p>
    <w:p>
      <w:pPr>
        <w:widowControl/>
        <w:spacing w:before="240" w:after="240"/>
        <w:jc w:val="both"/>
        <w:rPr>
          <w:noProof/>
          <w:sz w:val="24"/>
          <w:szCs w:val="24"/>
        </w:rPr>
      </w:pPr>
      <w:r>
        <w:rPr>
          <w:noProof/>
          <w:sz w:val="24"/>
        </w:rPr>
        <w:t xml:space="preserve">EIB ir EIF yra atsakingi už atskirų operacijų vertinimą bei stebėseną ir 2016 m. kovo mėn. pateikė ataskaitą Komisijai ir Europos Audito Rūmams pagal ESIF reglamento 16 straipsnio 3 dalį. Remdamasi šia ataskaita Komisija įvertins tikslinės sumos tinkamumą ir ESIF garantijų fondo lygį. </w:t>
      </w:r>
    </w:p>
    <w:p>
      <w:pPr>
        <w:widowControl/>
        <w:spacing w:before="240" w:after="240"/>
        <w:jc w:val="both"/>
        <w:rPr>
          <w:noProof/>
          <w:sz w:val="24"/>
          <w:szCs w:val="24"/>
        </w:rPr>
      </w:pPr>
      <w:r>
        <w:rPr>
          <w:noProof/>
          <w:sz w:val="24"/>
        </w:rPr>
        <w:t>Pagal ESIF reglamento 16 straipsnio 2 dalį į Europos Parlamentui ir Tarybai teikiamą metinę ataskaitą EIB įtraukia konkrečią informaciją apie bendrą riziką, susijusią su finansavimo ir investavimo operacijomis, vykdomomis pagal ESIF, ir informaciją apie reikalavimus mokėti pagal garantiją.</w:t>
      </w:r>
    </w:p>
    <w:p>
      <w:pPr>
        <w:widowControl/>
        <w:spacing w:before="240" w:after="240"/>
        <w:jc w:val="both"/>
        <w:rPr>
          <w:rFonts w:eastAsiaTheme="minorHAnsi"/>
          <w:noProof/>
          <w:sz w:val="24"/>
          <w:szCs w:val="24"/>
        </w:rPr>
      </w:pPr>
      <w:r>
        <w:rPr>
          <w:noProof/>
          <w:sz w:val="24"/>
        </w:rPr>
        <w:t xml:space="preserve">Remiantis ESIF reglamento 12 straipsniu, ESIF garantijų fondas užtikrina likvidumo atsargas, iš kurių reikalavimo mokėti pagal ES garantiją atveju išmokama suma EIB. Pagal ES ir EIB sudarytą ESIF susitarimą, jeigu reikalavimų mokėti suma viršija EIB lėšų, esančių ESIF sąskaitoje, sumą, tuomet reikalavimus apmoka ESIF garantijų fondas. ESIF sąskaita, kurią administruoja EIB, buvo sukurta ES įplaukoms iš operacijų su ESIF garantija ir susigrąžintoms sumoms surinkti ir, atsižvelgiant į esamą likutį, mokėjimams pagal pareikalautą ES garantiją. </w:t>
      </w:r>
    </w:p>
    <w:p>
      <w:pPr>
        <w:widowControl/>
        <w:spacing w:before="240" w:after="240"/>
        <w:jc w:val="both"/>
        <w:rPr>
          <w:noProof/>
          <w:sz w:val="24"/>
          <w:szCs w:val="24"/>
        </w:rPr>
      </w:pPr>
      <w:r>
        <w:rPr>
          <w:noProof/>
          <w:sz w:val="24"/>
        </w:rPr>
        <w:t>Lėšos į ESIF garantijų fondą pervedamos palaipsniui, atsižvelgiant į ES garantijos pozicijos didėjimą.</w:t>
      </w:r>
    </w:p>
    <w:p>
      <w:pPr>
        <w:widowControl/>
        <w:spacing w:before="240" w:after="240"/>
        <w:jc w:val="both"/>
        <w:rPr>
          <w:noProof/>
          <w:sz w:val="24"/>
          <w:szCs w:val="24"/>
        </w:rPr>
      </w:pPr>
      <w:r>
        <w:rPr>
          <w:noProof/>
          <w:sz w:val="24"/>
        </w:rPr>
        <w:t xml:space="preserve">ESIF garantijų fondo išteklius tiesiogiai valdo Komisija, jie investuojami laikantis patikimo finansų valdymo principo ir tinkamų rizikos ribojimo taisyklių. </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rPr>
      </w:pPr>
      <w:bookmarkStart w:id="28" w:name="_Toc449686525"/>
      <w:bookmarkStart w:id="29" w:name="_Toc449686556"/>
      <w:bookmarkStart w:id="30" w:name="_Toc449689409"/>
      <w:bookmarkStart w:id="31" w:name="_Toc449686526"/>
      <w:bookmarkStart w:id="32" w:name="_Toc449686557"/>
      <w:bookmarkStart w:id="33" w:name="_Toc449689410"/>
      <w:bookmarkStart w:id="34" w:name="_Toc449689411"/>
      <w:bookmarkStart w:id="35" w:name="_Toc449972640"/>
      <w:bookmarkStart w:id="36" w:name="_Toc451780502"/>
      <w:bookmarkEnd w:id="28"/>
      <w:bookmarkEnd w:id="29"/>
      <w:bookmarkEnd w:id="30"/>
      <w:bookmarkEnd w:id="31"/>
      <w:bookmarkEnd w:id="32"/>
      <w:bookmarkEnd w:id="33"/>
      <w:r>
        <w:rPr>
          <w:b/>
          <w:smallCaps/>
          <w:noProof/>
          <w:sz w:val="24"/>
        </w:rPr>
        <w:t>Finansinės ataskaitos</w:t>
      </w:r>
      <w:bookmarkEnd w:id="34"/>
      <w:bookmarkEnd w:id="35"/>
      <w:bookmarkEnd w:id="36"/>
    </w:p>
    <w:p>
      <w:pPr>
        <w:widowControl/>
        <w:spacing w:before="240" w:after="240"/>
        <w:jc w:val="both"/>
        <w:rPr>
          <w:noProof/>
          <w:sz w:val="24"/>
          <w:szCs w:val="24"/>
        </w:rPr>
      </w:pPr>
      <w:r>
        <w:rPr>
          <w:noProof/>
          <w:sz w:val="24"/>
        </w:rPr>
        <w:t>2015 m. gruodžio 31 d. ESIF garantijų fonde lėšų nebuvo. Todėl ESIF garantijų fondas neįtrauktas į 2015 m. Europos Sąjungos konsoliduotąsias finansines ataskaitas.</w:t>
      </w:r>
    </w:p>
    <w:p>
      <w:pPr>
        <w:widowControl/>
        <w:spacing w:before="240" w:after="240"/>
        <w:jc w:val="both"/>
        <w:rPr>
          <w:noProof/>
          <w:sz w:val="24"/>
          <w:szCs w:val="24"/>
        </w:rPr>
      </w:pPr>
      <w:r>
        <w:rPr>
          <w:rFonts w:eastAsiaTheme="minorHAnsi"/>
          <w:noProof/>
          <w:sz w:val="24"/>
        </w:rPr>
        <w:t xml:space="preserve">ES 2015 m. finansinėse ataskaitose įrašyta 1 399 423 EUR gautina suma, kurią sudaro ES grynosios pajamos iš 2015 m. operacijų su ESIF garantija; 2016 m. sausio mėn. ši suma įskaityta į ESIF sąskaitą. </w:t>
      </w:r>
    </w:p>
    <w:p>
      <w:pPr>
        <w:widowControl/>
        <w:spacing w:before="240" w:after="240"/>
        <w:jc w:val="both"/>
        <w:rPr>
          <w:noProof/>
          <w:sz w:val="24"/>
          <w:szCs w:val="24"/>
        </w:rPr>
      </w:pPr>
      <w:r>
        <w:rPr>
          <w:noProof/>
          <w:sz w:val="24"/>
        </w:rPr>
        <w:t>2015 m. gruodžio 31 d. ES garantijų pozicija, susijusi su neįvykdytomis apmokėtomis ESIF operacijomis, sudarė 201 899 614 EUR iš bendros didžiausios ES garantuojamos 16 000 000 000 EUR sumos (ESIF reglamento 11 straipsnis). 201 899 614 EUR suma į 2015 metų ES finansinių ataskaitų aiškinamuosius raštus įrašyta kaip neapibrėžtieji įsipareigojimai.</w:t>
      </w:r>
    </w:p>
    <w:p>
      <w:pPr>
        <w:widowControl/>
        <w:rPr>
          <w:b/>
          <w:noProof/>
          <w:sz w:val="24"/>
          <w:szCs w:val="24"/>
        </w:rPr>
      </w:pPr>
      <w:bookmarkStart w:id="37" w:name="_Toc449689412"/>
      <w:r>
        <w:rPr>
          <w:b/>
          <w:noProof/>
          <w:sz w:val="24"/>
        </w:rPr>
        <w:t>Svarbūs sandoriai</w:t>
      </w:r>
      <w:bookmarkEnd w:id="37"/>
      <w:r>
        <w:rPr>
          <w:b/>
          <w:noProof/>
          <w:sz w:val="24"/>
        </w:rPr>
        <w:t xml:space="preserve"> </w:t>
      </w:r>
    </w:p>
    <w:p>
      <w:pPr>
        <w:widowControl/>
        <w:spacing w:before="240" w:after="240"/>
        <w:jc w:val="both"/>
        <w:rPr>
          <w:noProof/>
          <w:sz w:val="24"/>
          <w:szCs w:val="24"/>
        </w:rPr>
      </w:pPr>
      <w:r>
        <w:rPr>
          <w:noProof/>
          <w:sz w:val="24"/>
        </w:rPr>
        <w:t xml:space="preserve">2016 ir 2017 m. ESIF garantijų fondo atidėjiniams 2015 metais skirtas 1,35 mlrd. EUR biudžeto asignavimas. </w:t>
      </w:r>
    </w:p>
    <w:p>
      <w:pPr>
        <w:widowControl/>
        <w:spacing w:before="240" w:after="240"/>
        <w:jc w:val="both"/>
        <w:rPr>
          <w:noProof/>
          <w:sz w:val="24"/>
          <w:szCs w:val="24"/>
        </w:rPr>
      </w:pPr>
      <w:r>
        <w:rPr>
          <w:noProof/>
          <w:sz w:val="24"/>
        </w:rPr>
        <w:t>Jis įrašytas į 2015 metų ES finansinių ataskaitų aiškinamųjų raštų skyrių „Į apskaitą dar neįtraukti neįvykdyti biudžetiniai įsipareigojimai“.</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rPr>
      </w:pPr>
      <w:bookmarkStart w:id="38" w:name="_Toc449689413"/>
      <w:bookmarkStart w:id="39" w:name="_Toc449689414"/>
      <w:bookmarkStart w:id="40" w:name="_Toc449972641"/>
      <w:bookmarkStart w:id="41" w:name="_Toc451780503"/>
      <w:bookmarkEnd w:id="38"/>
      <w:r>
        <w:rPr>
          <w:b/>
          <w:smallCaps/>
          <w:noProof/>
          <w:sz w:val="24"/>
        </w:rPr>
        <w:t>ESIF garantijų fondo valdymas 2015 m.</w:t>
      </w:r>
      <w:bookmarkEnd w:id="39"/>
      <w:bookmarkEnd w:id="40"/>
      <w:bookmarkEnd w:id="41"/>
    </w:p>
    <w:p>
      <w:pPr>
        <w:widowControl/>
        <w:spacing w:before="240" w:after="240"/>
        <w:jc w:val="both"/>
        <w:rPr>
          <w:noProof/>
          <w:sz w:val="24"/>
          <w:szCs w:val="24"/>
        </w:rPr>
      </w:pPr>
      <w:r>
        <w:rPr>
          <w:noProof/>
          <w:sz w:val="24"/>
        </w:rPr>
        <w:t>2016 m. sausio 21 d. Komisija priėmė sprendimą C(2016) 165, kuriuo patvirtinamos Europos strateginių investicijų fondo garantijų fondo turto valdymo gairės.</w:t>
      </w:r>
    </w:p>
    <w:p>
      <w:pPr>
        <w:pStyle w:val="ListParagraph"/>
        <w:widowControl/>
        <w:spacing w:before="240" w:after="240"/>
        <w:ind w:left="0"/>
        <w:jc w:val="both"/>
        <w:rPr>
          <w:noProof/>
          <w:sz w:val="24"/>
          <w:szCs w:val="24"/>
        </w:rPr>
      </w:pPr>
      <w:r>
        <w:rPr>
          <w:noProof/>
          <w:sz w:val="24"/>
        </w:rPr>
        <w:t>Jokiu 2015 m. laikotarpiu ESIF garantijų fonde lėšų nebuvo. Todėl pirmoji ESIF garantijų fondo finansų valdymo, veiklos ir su fondo turtu susijusios rizikos ataskaita bus pateikta 2017 m. ir apims 2016 metus.</w:t>
      </w:r>
    </w:p>
    <w:p>
      <w:pPr>
        <w:keepNext/>
        <w:widowControl/>
        <w:numPr>
          <w:ilvl w:val="0"/>
          <w:numId w:val="18"/>
        </w:numPr>
        <w:tabs>
          <w:tab w:val="num" w:pos="850"/>
        </w:tabs>
        <w:autoSpaceDE/>
        <w:autoSpaceDN/>
        <w:adjustRightInd/>
        <w:spacing w:before="480" w:after="240"/>
        <w:ind w:left="851" w:hanging="851"/>
        <w:jc w:val="both"/>
        <w:outlineLvl w:val="0"/>
        <w:rPr>
          <w:b/>
          <w:bCs/>
          <w:smallCaps/>
          <w:noProof/>
          <w:sz w:val="24"/>
          <w:szCs w:val="32"/>
        </w:rPr>
      </w:pPr>
      <w:bookmarkStart w:id="42" w:name="_Toc449689415"/>
      <w:bookmarkStart w:id="43" w:name="_Toc449972642"/>
      <w:bookmarkStart w:id="44" w:name="_Toc451780504"/>
      <w:r>
        <w:rPr>
          <w:b/>
          <w:smallCaps/>
          <w:noProof/>
          <w:sz w:val="24"/>
        </w:rPr>
        <w:t>Tikslinės sumos tinkamumo ir ESIF garantijų fondo lygio įvertinimas</w:t>
      </w:r>
      <w:bookmarkEnd w:id="42"/>
      <w:bookmarkEnd w:id="43"/>
      <w:bookmarkEnd w:id="44"/>
    </w:p>
    <w:p>
      <w:pPr>
        <w:widowControl/>
        <w:spacing w:before="240" w:after="240"/>
        <w:jc w:val="both"/>
        <w:rPr>
          <w:noProof/>
          <w:sz w:val="24"/>
          <w:szCs w:val="24"/>
        </w:rPr>
      </w:pPr>
      <w:r>
        <w:rPr>
          <w:noProof/>
          <w:sz w:val="24"/>
        </w:rPr>
        <w:t xml:space="preserve">Nuo 2015 m. pabaigos EIB pasirašė dešimt operacijų, kurioms teikiama ESIF garantija; bendra operacijų vertė – 1,155 mln. EUR, iš kurių išmokėta 202 mln. EUR. Jei dėl šių operacijų bus patirta nuostolių, remiantis ESIF susitarimo nuostatomis, juos padengs ES garantija. Visų pirma, ES garantija infrastruktūros ir inovacijų srityje teikiama kaip portfelio pirmojo nuostolio dalis, taikoma EIB skolos operacijoms, ir kaip visapusiška garantija nuosavo kapitalo arba nuosavo kapitalo tipo operacijoms, kai EIB savo rizika </w:t>
      </w:r>
      <w:r>
        <w:rPr>
          <w:i/>
          <w:noProof/>
          <w:sz w:val="24"/>
        </w:rPr>
        <w:t>pari passu</w:t>
      </w:r>
      <w:r>
        <w:rPr>
          <w:noProof/>
          <w:sz w:val="24"/>
        </w:rPr>
        <w:t xml:space="preserve"> principu investuoja tą pačią lėšų sumą. </w:t>
      </w:r>
    </w:p>
    <w:p>
      <w:pPr>
        <w:widowControl/>
        <w:spacing w:before="240" w:after="240"/>
        <w:jc w:val="both"/>
        <w:rPr>
          <w:noProof/>
          <w:sz w:val="24"/>
          <w:szCs w:val="24"/>
        </w:rPr>
      </w:pPr>
      <w:r>
        <w:rPr>
          <w:noProof/>
          <w:sz w:val="24"/>
        </w:rPr>
        <w:t>2015 m. EIF pasirašytų operacijų, kurioms taikoma ESIF garantija, suma sudaro apie 398 mln. EUR; jei dėl šių operacijų bus patirta nuostolių, jie visų pirma bus padengti iš „InnovFin“ MVĮ garantijų priemonės ir programos COSME paskolų garantijų priemonės įnašų.</w:t>
      </w:r>
    </w:p>
    <w:p>
      <w:pPr>
        <w:widowControl/>
        <w:spacing w:before="240" w:after="240"/>
        <w:jc w:val="both"/>
        <w:rPr>
          <w:noProof/>
          <w:sz w:val="24"/>
          <w:szCs w:val="24"/>
        </w:rPr>
      </w:pPr>
      <w:r>
        <w:rPr>
          <w:noProof/>
          <w:sz w:val="24"/>
        </w:rPr>
        <w:t xml:space="preserve">Remiantis ESIF reglamentu, tikslinė ESIF garantijų fondo suma sudaro 50 % bendrų ES garantijos įsipareigojimų, kurie šiuo metu yra 16 mlrd. EUR. Atsižvelgiant į gana ribotą iki 2015 m. pabaigos pasirašytų operacijų skaičių ir išmokėtų sumų dydį, neturima pakankamai informacijos, kuria remiantis tikslinės sumos tinkamumą būtų galima įvertinti pagal faktines operacijas. Iki 2017 m. gegužės 31 d. bus pateikta pirmoji tikslinės sumos tinkamumo ir ESIF garantijų fondo lygio vertinimo ataskaita, kuri apims 2016 metus. </w:t>
      </w:r>
    </w:p>
    <w:p>
      <w:pPr>
        <w:widowControl/>
        <w:spacing w:before="240" w:after="240"/>
        <w:jc w:val="both"/>
        <w:rPr>
          <w:noProof/>
          <w:sz w:val="24"/>
          <w:szCs w:val="24"/>
        </w:rPr>
      </w:pPr>
      <w:r>
        <w:rPr>
          <w:noProof/>
          <w:sz w:val="24"/>
        </w:rPr>
        <w:t>Šiuo metu ES biudžete numatyta ESIF garantijų fondui 2016 m. skirti maždaug 500 mln. EUR.</w:t>
      </w:r>
    </w:p>
    <w:p>
      <w:pPr>
        <w:widowControl/>
        <w:spacing w:before="240" w:after="240"/>
        <w:jc w:val="both"/>
        <w:rPr>
          <w:noProof/>
          <w:sz w:val="24"/>
          <w:szCs w:val="24"/>
        </w:rPr>
      </w:pPr>
      <w:r>
        <w:rPr>
          <w:noProof/>
          <w:sz w:val="24"/>
        </w:rPr>
        <w:t>Ateityje Komisija galės atlikti išsamesnį vertinimą, nes numatoma, kad laikui bėgant ESIF operacijų sumos gerokai didės, be to, reikės atsižvelgti į ESIF programavimo laikotarpio biudžeto apribojimus.</w:t>
      </w:r>
    </w:p>
    <w:p>
      <w:pPr>
        <w:widowControl/>
        <w:spacing w:before="240" w:after="240"/>
        <w:jc w:val="both"/>
        <w:rPr>
          <w:noProof/>
        </w:rPr>
      </w:pPr>
    </w:p>
    <w:sectPr>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15447"/>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889283"/>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pPr>
      <w:r>
        <w:rPr>
          <w:rStyle w:val="FootnoteReference"/>
        </w:rPr>
        <w:footnoteRef/>
      </w:r>
      <w:r>
        <w:tab/>
        <w:t>OL L 169, 2015 7 1, p.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34F07"/>
    <w:multiLevelType w:val="hybridMultilevel"/>
    <w:tmpl w:val="9B6ABB6A"/>
    <w:lvl w:ilvl="0" w:tplc="1DAC8F6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0A6FBE"/>
    <w:multiLevelType w:val="hybridMultilevel"/>
    <w:tmpl w:val="9988660C"/>
    <w:lvl w:ilvl="0" w:tplc="A9EA035E">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nsid w:val="2E0B1B1D"/>
    <w:multiLevelType w:val="hybridMultilevel"/>
    <w:tmpl w:val="AA98FB40"/>
    <w:lvl w:ilvl="0" w:tplc="572A3A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876AF7"/>
    <w:multiLevelType w:val="hybridMultilevel"/>
    <w:tmpl w:val="A0E60D0A"/>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4">
    <w:nsid w:val="43FD7195"/>
    <w:multiLevelType w:val="hybridMultilevel"/>
    <w:tmpl w:val="7EE216C2"/>
    <w:lvl w:ilvl="0" w:tplc="72F6E5C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77C34C2"/>
    <w:multiLevelType w:val="hybridMultilevel"/>
    <w:tmpl w:val="71207D2C"/>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4EB24C5E"/>
    <w:multiLevelType w:val="hybridMultilevel"/>
    <w:tmpl w:val="E3805112"/>
    <w:lvl w:ilvl="0" w:tplc="08090001">
      <w:start w:val="1"/>
      <w:numFmt w:val="bullet"/>
      <w:lvlText w:val=""/>
      <w:lvlJc w:val="left"/>
      <w:pPr>
        <w:ind w:left="1320" w:hanging="360"/>
      </w:pPr>
      <w:rPr>
        <w:rFonts w:ascii="Symbol" w:hAnsi="Symbol" w:hint="default"/>
      </w:rPr>
    </w:lvl>
    <w:lvl w:ilvl="1" w:tplc="08090003">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7">
    <w:nsid w:val="5A203610"/>
    <w:multiLevelType w:val="multilevel"/>
    <w:tmpl w:val="35A8E0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61E60656"/>
    <w:multiLevelType w:val="multilevel"/>
    <w:tmpl w:val="B606A5D2"/>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552"/>
        </w:tabs>
        <w:ind w:left="552" w:hanging="432"/>
      </w:pPr>
      <w:rPr>
        <w:rFonts w:ascii="Times New Roman" w:hAnsi="Times New Roman" w:cs="Times New Roman" w:hint="default"/>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004"/>
        </w:tabs>
        <w:ind w:left="788" w:hanging="504"/>
      </w:pPr>
      <w:rPr>
        <w:rFonts w:hint="default"/>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69775C8"/>
    <w:multiLevelType w:val="hybridMultilevel"/>
    <w:tmpl w:val="1A6CF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CB1A15"/>
    <w:multiLevelType w:val="hybridMultilevel"/>
    <w:tmpl w:val="160040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DE696B"/>
    <w:multiLevelType w:val="hybridMultilevel"/>
    <w:tmpl w:val="7820FFC0"/>
    <w:lvl w:ilvl="0" w:tplc="953A6C7E">
      <w:start w:val="1"/>
      <w:numFmt w:val="decimal"/>
      <w:lvlText w:val="1. %1"/>
      <w:lvlJc w:val="left"/>
      <w:pPr>
        <w:ind w:left="1440" w:hanging="360"/>
      </w:pPr>
      <w:rPr>
        <w:rFonts w:ascii="Times New Roman" w:hAnsi="Times New Roman"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78A241BD"/>
    <w:multiLevelType w:val="singleLevel"/>
    <w:tmpl w:val="0809000F"/>
    <w:lvl w:ilvl="0">
      <w:start w:val="1"/>
      <w:numFmt w:val="decimal"/>
      <w:lvlText w:val="%1."/>
      <w:lvlJc w:val="left"/>
      <w:pPr>
        <w:ind w:left="1211" w:hanging="360"/>
      </w:pPr>
    </w:lvl>
  </w:abstractNum>
  <w:num w:numId="1">
    <w:abstractNumId w:val="8"/>
  </w:num>
  <w:num w:numId="2">
    <w:abstractNumId w:val="10"/>
  </w:num>
  <w:num w:numId="3">
    <w:abstractNumId w:val="3"/>
  </w:num>
  <w:num w:numId="4">
    <w:abstractNumId w:val="6"/>
  </w:num>
  <w:num w:numId="5">
    <w:abstractNumId w:val="5"/>
  </w:num>
  <w:num w:numId="6">
    <w:abstractNumId w:val="1"/>
  </w:num>
  <w:num w:numId="7">
    <w:abstractNumId w:val="8"/>
  </w:num>
  <w:num w:numId="8">
    <w:abstractNumId w:val="2"/>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num>
  <w:num w:numId="14">
    <w:abstractNumId w:val="4"/>
  </w:num>
  <w:num w:numId="15">
    <w:abstractNumId w:val="0"/>
  </w:num>
  <w:num w:numId="16">
    <w:abstractNumId w:val="7"/>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1CEB36098D4F4174A8AB25480E792069"/>
    <w:docVar w:name="LW_CROSSREFERENCE" w:val="&lt;UNUSED&gt;"/>
    <w:docVar w:name="LW_DocType" w:val="NORMAL"/>
    <w:docVar w:name="LW_EMISSION" w:val="2016 05 31"/>
    <w:docVar w:name="LW_EMISSION_ISODATE" w:val="2016-05-31"/>
    <w:docVar w:name="LW_EMISSION_LOCATION" w:val="BRX"/>
    <w:docVar w:name="LW_EMISSION_PREFIX" w:val="Briuselis, "/>
    <w:docVar w:name="LW_EMISSION_SUFFIX" w:val=" "/>
    <w:docVar w:name="LW_ID_DOCTYPE_NONLW" w:val="CP-035"/>
    <w:docVar w:name="LW_LANGUE" w:val="LT"/>
    <w:docVar w:name="LW_MARKING" w:val="&lt;UNUSED&gt;"/>
    <w:docVar w:name="LW_NOM.INST" w:val="EUROPOS KOMISIJA"/>
    <w:docVar w:name="LW_NOM.INST_JOINTDOC" w:val="&lt;EMPTY&gt;"/>
    <w:docVar w:name="LW_PART_NBR" w:val="1"/>
    <w:docVar w:name="LW_PART_NBR_TOTAL" w:val="1"/>
    <w:docVar w:name="LW_REF.II.NEW.CP" w:val="&lt;UNUSED&gt;"/>
    <w:docVar w:name="LW_REF.II.NEW.CP_NUMBER" w:val="&lt;UNUSED&gt;"/>
    <w:docVar w:name="LW_REF.II.NEW.CP_YEAR" w:val="2016"/>
    <w:docVar w:name="LW_REF.INST.NEW" w:val="COM"/>
    <w:docVar w:name="LW_REF.INST.NEW_ADOPTED" w:val="final"/>
    <w:docVar w:name="LW_REF.INST.NEW_TEXT" w:val="(2016) 353"/>
    <w:docVar w:name="LW_REF.INTERNE" w:val="&lt;UNUSED&gt;"/>
    <w:docVar w:name="LW_SOUS.TITRE.OBJ.CP" w:val="&lt;UNUSED&gt;"/>
    <w:docVar w:name="LW_SUPERTITRE" w:val="&lt;UNUSED&gt;"/>
    <w:docVar w:name="LW_TITRE.OBJ.CP" w:val="EUROPOS STRATEGINI\u370? INVESTICIJ\u370? FONDO GARANTIJ\u370? FONDO VALDYMAS 2015 M."/>
    <w:docVar w:name="LW_TYPE.DOC.CP" w:val="KOMISIJOS ATASKAITA EUROPOS PARLAMENTUI, TARYBAI IR EUROPOS AUDITO R\u362?MAMS_x000b_"/>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lt-LT" w:bidi="lt-L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numPr>
        <w:numId w:val="1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pPr>
      <w:keepNext/>
      <w:numPr>
        <w:ilvl w:val="1"/>
        <w:numId w:val="16"/>
      </w:numPr>
      <w:tabs>
        <w:tab w:val="left" w:pos="1134"/>
      </w:tabs>
      <w:spacing w:before="360" w:after="120"/>
      <w:jc w:val="both"/>
      <w:outlineLvl w:val="1"/>
    </w:pPr>
    <w:rPr>
      <w:b/>
      <w:bCs/>
      <w:iCs/>
      <w:sz w:val="24"/>
      <w:szCs w:val="24"/>
    </w:rPr>
  </w:style>
  <w:style w:type="paragraph" w:styleId="Heading3">
    <w:name w:val="heading 3"/>
    <w:basedOn w:val="Normal"/>
    <w:next w:val="Normal"/>
    <w:link w:val="Heading3Char"/>
    <w:autoRedefine/>
    <w:qFormat/>
    <w:pPr>
      <w:keepNext/>
      <w:numPr>
        <w:ilvl w:val="2"/>
        <w:numId w:val="16"/>
      </w:numPr>
      <w:spacing w:before="240" w:after="60"/>
      <w:outlineLvl w:val="2"/>
    </w:pPr>
    <w:rPr>
      <w:rFonts w:cs="Arial"/>
      <w:bCs/>
      <w:sz w:val="24"/>
      <w:szCs w:val="26"/>
      <w:u w:val="single"/>
    </w:rPr>
  </w:style>
  <w:style w:type="paragraph" w:styleId="Heading4">
    <w:name w:val="heading 4"/>
    <w:basedOn w:val="Normal"/>
    <w:next w:val="Normal"/>
    <w:link w:val="Heading4Char"/>
    <w:qFormat/>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pPr>
      <w:numPr>
        <w:ilvl w:val="4"/>
        <w:numId w:val="16"/>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bCs/>
      <w:iCs/>
      <w:sz w:val="24"/>
      <w:szCs w:val="24"/>
      <w:lang w:eastAsia="lt-LT"/>
    </w:rPr>
  </w:style>
  <w:style w:type="character" w:customStyle="1" w:styleId="Heading3Char">
    <w:name w:val="Heading 3 Char"/>
    <w:basedOn w:val="DefaultParagraphFont"/>
    <w:link w:val="Heading3"/>
    <w:rPr>
      <w:rFonts w:ascii="Times New Roman" w:eastAsia="Times New Roman" w:hAnsi="Times New Roman" w:cs="Arial"/>
      <w:bCs/>
      <w:sz w:val="24"/>
      <w:szCs w:val="26"/>
      <w:u w:val="single"/>
      <w:lang w:eastAsia="lt-LT"/>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lt-LT"/>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eastAsia="lt-LT"/>
    </w:rPr>
  </w:style>
  <w:style w:type="character" w:customStyle="1" w:styleId="Heading6Char">
    <w:name w:val="Heading 6 Char"/>
    <w:basedOn w:val="DefaultParagraphFont"/>
    <w:link w:val="Heading6"/>
    <w:rPr>
      <w:rFonts w:ascii="Times New Roman" w:eastAsia="Times New Roman" w:hAnsi="Times New Roman" w:cs="Times New Roman"/>
      <w:b/>
      <w:bCs/>
      <w:lang w:eastAsia="lt-LT"/>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lt-LT"/>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lt-L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lt-L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lt-LT"/>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lt-LT"/>
    </w:rPr>
  </w:style>
  <w:style w:type="character" w:styleId="FootnoteReference">
    <w:name w:val="footnote reference"/>
    <w:basedOn w:val="DefaultParagraphFont"/>
    <w:uiPriority w:val="99"/>
    <w:semiHidden/>
    <w:unhideWhenUsed/>
    <w:rPr>
      <w:vertAlign w:val="superscript"/>
    </w:rPr>
  </w:style>
  <w:style w:type="paragraph" w:customStyle="1" w:styleId="FooterCoverPage">
    <w:name w:val="Footer Cover Page"/>
    <w:basedOn w:val="Normal"/>
    <w:link w:val="FooterCoverPageChar"/>
    <w:pPr>
      <w:widowControl/>
      <w:tabs>
        <w:tab w:val="center" w:pos="4535"/>
        <w:tab w:val="right" w:pos="9071"/>
        <w:tab w:val="right" w:pos="9921"/>
      </w:tabs>
      <w:autoSpaceDE/>
      <w:autoSpaceDN/>
      <w:adjustRightInd/>
      <w:spacing w:before="360"/>
      <w:ind w:left="-850" w:right="-850"/>
    </w:pPr>
    <w:rPr>
      <w:sz w:val="24"/>
      <w:szCs w:val="24"/>
    </w:rPr>
  </w:style>
  <w:style w:type="character" w:customStyle="1" w:styleId="FooterCoverPageChar">
    <w:name w:val="Footer Cover Page Char"/>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widowControl/>
      <w:tabs>
        <w:tab w:val="center" w:pos="4535"/>
        <w:tab w:val="right" w:pos="9071"/>
      </w:tabs>
      <w:autoSpaceDE/>
      <w:autoSpaceDN/>
      <w:adjustRightInd/>
      <w:spacing w:after="120"/>
      <w:jc w:val="both"/>
    </w:pPr>
    <w:rPr>
      <w:sz w:val="24"/>
      <w:szCs w:val="24"/>
    </w:rPr>
  </w:style>
  <w:style w:type="character" w:customStyle="1" w:styleId="HeaderCoverPageChar">
    <w:name w:val="Header Cover Page Char"/>
    <w:link w:val="HeaderCoverPage"/>
    <w:rPr>
      <w:rFonts w:ascii="Times New Roman" w:eastAsia="Times New Roman" w:hAnsi="Times New Roman" w:cs="Times New Roman"/>
      <w:sz w:val="24"/>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autoSpaceDE/>
      <w:autoSpaceDN/>
      <w:adjustRightInd/>
      <w:jc w:val="both"/>
    </w:pPr>
    <w:rPr>
      <w:rFonts w:eastAsiaTheme="minorHAnsi"/>
      <w:sz w:val="24"/>
      <w:szCs w:val="22"/>
    </w:rPr>
  </w:style>
  <w:style w:type="character" w:styleId="BookTitle">
    <w:name w:val="Book Title"/>
    <w:basedOn w:val="DefaultParagraphFont"/>
    <w:uiPriority w:val="33"/>
    <w:qFormat/>
    <w:rPr>
      <w:b/>
      <w:bCs/>
      <w:smallCaps/>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lt-LT"/>
    </w:rPr>
  </w:style>
  <w:style w:type="paragraph" w:styleId="TOCHeading">
    <w:name w:val="TOC Heading"/>
    <w:basedOn w:val="Heading1"/>
    <w:next w:val="Normal"/>
    <w:uiPriority w:val="39"/>
    <w:semiHidden/>
    <w:unhideWhenUsed/>
    <w:qFormat/>
    <w:pPr>
      <w:widowControl/>
      <w:autoSpaceDE/>
      <w:autoSpaceDN/>
      <w:adjustRightInd/>
      <w:spacing w:line="276" w:lineRule="auto"/>
      <w:outlineLvl w:val="9"/>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tabs>
        <w:tab w:val="left" w:pos="720"/>
        <w:tab w:val="right" w:leader="dot" w:pos="9062"/>
      </w:tabs>
      <w:spacing w:after="100"/>
      <w:ind w:left="200"/>
      <w:jc w:val="both"/>
    </w:pPr>
  </w:style>
  <w:style w:type="character" w:styleId="Hyperlink">
    <w:name w:val="Hyperlink"/>
    <w:basedOn w:val="DefaultParagraphFont"/>
    <w:uiPriority w:val="99"/>
    <w:unhideWhenUsed/>
    <w:rPr>
      <w:color w:val="0000FF" w:themeColor="hyperlink"/>
      <w:u w:val="single"/>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0"/>
      <w:szCs w:val="20"/>
      <w:lang w:eastAsia="lt-LT"/>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eastAsia="lt-LT"/>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eastAsia="lt-LT"/>
    </w:rPr>
  </w:style>
  <w:style w:type="paragraph" w:customStyle="1" w:styleId="ListDash3">
    <w:name w:val="List Dash 3"/>
    <w:basedOn w:val="Normal"/>
    <w:pPr>
      <w:widowControl/>
      <w:autoSpaceDE/>
      <w:autoSpaceDN/>
      <w:adjustRightInd/>
      <w:spacing w:before="120" w:after="12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lt-LT" w:bidi="lt-L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numPr>
        <w:numId w:val="1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pPr>
      <w:keepNext/>
      <w:numPr>
        <w:ilvl w:val="1"/>
        <w:numId w:val="16"/>
      </w:numPr>
      <w:tabs>
        <w:tab w:val="left" w:pos="1134"/>
      </w:tabs>
      <w:spacing w:before="360" w:after="120"/>
      <w:jc w:val="both"/>
      <w:outlineLvl w:val="1"/>
    </w:pPr>
    <w:rPr>
      <w:b/>
      <w:bCs/>
      <w:iCs/>
      <w:sz w:val="24"/>
      <w:szCs w:val="24"/>
    </w:rPr>
  </w:style>
  <w:style w:type="paragraph" w:styleId="Heading3">
    <w:name w:val="heading 3"/>
    <w:basedOn w:val="Normal"/>
    <w:next w:val="Normal"/>
    <w:link w:val="Heading3Char"/>
    <w:autoRedefine/>
    <w:qFormat/>
    <w:pPr>
      <w:keepNext/>
      <w:numPr>
        <w:ilvl w:val="2"/>
        <w:numId w:val="16"/>
      </w:numPr>
      <w:spacing w:before="240" w:after="60"/>
      <w:outlineLvl w:val="2"/>
    </w:pPr>
    <w:rPr>
      <w:rFonts w:cs="Arial"/>
      <w:bCs/>
      <w:sz w:val="24"/>
      <w:szCs w:val="26"/>
      <w:u w:val="single"/>
    </w:rPr>
  </w:style>
  <w:style w:type="paragraph" w:styleId="Heading4">
    <w:name w:val="heading 4"/>
    <w:basedOn w:val="Normal"/>
    <w:next w:val="Normal"/>
    <w:link w:val="Heading4Char"/>
    <w:qFormat/>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pPr>
      <w:numPr>
        <w:ilvl w:val="4"/>
        <w:numId w:val="16"/>
      </w:numPr>
      <w:spacing w:before="240" w:after="60"/>
      <w:outlineLvl w:val="4"/>
    </w:pPr>
    <w:rPr>
      <w:b/>
      <w:bCs/>
      <w:i/>
      <w:iCs/>
      <w:sz w:val="26"/>
      <w:szCs w:val="26"/>
    </w:rPr>
  </w:style>
  <w:style w:type="paragraph" w:styleId="Heading6">
    <w:name w:val="heading 6"/>
    <w:basedOn w:val="Normal"/>
    <w:next w:val="Normal"/>
    <w:link w:val="Heading6Char"/>
    <w:qFormat/>
    <w:pPr>
      <w:numPr>
        <w:ilvl w:val="5"/>
        <w:numId w:val="16"/>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bCs/>
      <w:iCs/>
      <w:sz w:val="24"/>
      <w:szCs w:val="24"/>
      <w:lang w:eastAsia="lt-LT"/>
    </w:rPr>
  </w:style>
  <w:style w:type="character" w:customStyle="1" w:styleId="Heading3Char">
    <w:name w:val="Heading 3 Char"/>
    <w:basedOn w:val="DefaultParagraphFont"/>
    <w:link w:val="Heading3"/>
    <w:rPr>
      <w:rFonts w:ascii="Times New Roman" w:eastAsia="Times New Roman" w:hAnsi="Times New Roman" w:cs="Arial"/>
      <w:bCs/>
      <w:sz w:val="24"/>
      <w:szCs w:val="26"/>
      <w:u w:val="single"/>
      <w:lang w:eastAsia="lt-LT"/>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lang w:eastAsia="lt-LT"/>
    </w:rPr>
  </w:style>
  <w:style w:type="character" w:customStyle="1" w:styleId="Heading5Char">
    <w:name w:val="Heading 5 Char"/>
    <w:basedOn w:val="DefaultParagraphFont"/>
    <w:link w:val="Heading5"/>
    <w:rPr>
      <w:rFonts w:ascii="Times New Roman" w:eastAsia="Times New Roman" w:hAnsi="Times New Roman" w:cs="Times New Roman"/>
      <w:b/>
      <w:bCs/>
      <w:i/>
      <w:iCs/>
      <w:sz w:val="26"/>
      <w:szCs w:val="26"/>
      <w:lang w:eastAsia="lt-LT"/>
    </w:rPr>
  </w:style>
  <w:style w:type="character" w:customStyle="1" w:styleId="Heading6Char">
    <w:name w:val="Heading 6 Char"/>
    <w:basedOn w:val="DefaultParagraphFont"/>
    <w:link w:val="Heading6"/>
    <w:rPr>
      <w:rFonts w:ascii="Times New Roman" w:eastAsia="Times New Roman" w:hAnsi="Times New Roman" w:cs="Times New Roman"/>
      <w:b/>
      <w:bCs/>
      <w:lang w:eastAsia="lt-LT"/>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lt-LT"/>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lt-LT"/>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lt-L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lt-LT"/>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lt-LT"/>
    </w:rPr>
  </w:style>
  <w:style w:type="character" w:styleId="FootnoteReference">
    <w:name w:val="footnote reference"/>
    <w:basedOn w:val="DefaultParagraphFont"/>
    <w:uiPriority w:val="99"/>
    <w:semiHidden/>
    <w:unhideWhenUsed/>
    <w:rPr>
      <w:vertAlign w:val="superscript"/>
    </w:rPr>
  </w:style>
  <w:style w:type="paragraph" w:customStyle="1" w:styleId="FooterCoverPage">
    <w:name w:val="Footer Cover Page"/>
    <w:basedOn w:val="Normal"/>
    <w:link w:val="FooterCoverPageChar"/>
    <w:pPr>
      <w:widowControl/>
      <w:tabs>
        <w:tab w:val="center" w:pos="4535"/>
        <w:tab w:val="right" w:pos="9071"/>
        <w:tab w:val="right" w:pos="9921"/>
      </w:tabs>
      <w:autoSpaceDE/>
      <w:autoSpaceDN/>
      <w:adjustRightInd/>
      <w:spacing w:before="360"/>
      <w:ind w:left="-850" w:right="-850"/>
    </w:pPr>
    <w:rPr>
      <w:sz w:val="24"/>
      <w:szCs w:val="24"/>
    </w:rPr>
  </w:style>
  <w:style w:type="character" w:customStyle="1" w:styleId="FooterCoverPageChar">
    <w:name w:val="Footer Cover Page Char"/>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widowControl/>
      <w:tabs>
        <w:tab w:val="center" w:pos="4535"/>
        <w:tab w:val="right" w:pos="9071"/>
      </w:tabs>
      <w:autoSpaceDE/>
      <w:autoSpaceDN/>
      <w:adjustRightInd/>
      <w:spacing w:after="120"/>
      <w:jc w:val="both"/>
    </w:pPr>
    <w:rPr>
      <w:sz w:val="24"/>
      <w:szCs w:val="24"/>
    </w:rPr>
  </w:style>
  <w:style w:type="character" w:customStyle="1" w:styleId="HeaderCoverPageChar">
    <w:name w:val="Header Cover Page Char"/>
    <w:link w:val="HeaderCoverPage"/>
    <w:rPr>
      <w:rFonts w:ascii="Times New Roman" w:eastAsia="Times New Roman" w:hAnsi="Times New Roman" w:cs="Times New Roman"/>
      <w:sz w:val="24"/>
      <w:szCs w:val="24"/>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widowControl/>
      <w:autoSpaceDE/>
      <w:autoSpaceDN/>
      <w:adjustRightInd/>
      <w:jc w:val="both"/>
    </w:pPr>
    <w:rPr>
      <w:rFonts w:eastAsiaTheme="minorHAnsi"/>
      <w:sz w:val="24"/>
      <w:szCs w:val="22"/>
    </w:rPr>
  </w:style>
  <w:style w:type="character" w:styleId="BookTitle">
    <w:name w:val="Book Title"/>
    <w:basedOn w:val="DefaultParagraphFont"/>
    <w:uiPriority w:val="33"/>
    <w:qFormat/>
    <w:rPr>
      <w:b/>
      <w:bCs/>
      <w:smallCaps/>
      <w:spacing w:val="5"/>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lt-LT"/>
    </w:rPr>
  </w:style>
  <w:style w:type="paragraph" w:styleId="TOCHeading">
    <w:name w:val="TOC Heading"/>
    <w:basedOn w:val="Heading1"/>
    <w:next w:val="Normal"/>
    <w:uiPriority w:val="39"/>
    <w:semiHidden/>
    <w:unhideWhenUsed/>
    <w:qFormat/>
    <w:pPr>
      <w:widowControl/>
      <w:autoSpaceDE/>
      <w:autoSpaceDN/>
      <w:adjustRightInd/>
      <w:spacing w:line="276" w:lineRule="auto"/>
      <w:outlineLvl w:val="9"/>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tabs>
        <w:tab w:val="left" w:pos="720"/>
        <w:tab w:val="right" w:leader="dot" w:pos="9062"/>
      </w:tabs>
      <w:spacing w:after="100"/>
      <w:ind w:left="200"/>
      <w:jc w:val="both"/>
    </w:pPr>
  </w:style>
  <w:style w:type="character" w:styleId="Hyperlink">
    <w:name w:val="Hyperlink"/>
    <w:basedOn w:val="DefaultParagraphFont"/>
    <w:uiPriority w:val="99"/>
    <w:unhideWhenUsed/>
    <w:rPr>
      <w:color w:val="0000FF" w:themeColor="hyperlink"/>
      <w:u w:val="single"/>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sz w:val="20"/>
      <w:szCs w:val="20"/>
      <w:lang w:eastAsia="lt-LT"/>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lang w:eastAsia="lt-LT"/>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lang w:eastAsia="lt-LT"/>
    </w:rPr>
  </w:style>
  <w:style w:type="paragraph" w:customStyle="1" w:styleId="ListDash3">
    <w:name w:val="List Dash 3"/>
    <w:basedOn w:val="Normal"/>
    <w:pPr>
      <w:widowControl/>
      <w:autoSpaceDE/>
      <w:autoSpaceDN/>
      <w:adjustRightInd/>
      <w:spacing w:before="120" w:after="1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1508">
      <w:bodyDiv w:val="1"/>
      <w:marLeft w:val="0"/>
      <w:marRight w:val="0"/>
      <w:marTop w:val="0"/>
      <w:marBottom w:val="0"/>
      <w:divBdr>
        <w:top w:val="none" w:sz="0" w:space="0" w:color="auto"/>
        <w:left w:val="none" w:sz="0" w:space="0" w:color="auto"/>
        <w:bottom w:val="none" w:sz="0" w:space="0" w:color="auto"/>
        <w:right w:val="none" w:sz="0" w:space="0" w:color="auto"/>
      </w:divBdr>
    </w:div>
    <w:div w:id="154166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8B4A9-1CB4-440E-A550-747736983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1056</Words>
  <Characters>6496</Characters>
  <Application>Microsoft Office Word</Application>
  <DocSecurity>0</DocSecurity>
  <Lines>113</Lines>
  <Paragraphs>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23</cp:revision>
  <cp:lastPrinted>2016-05-02T15:31:00Z</cp:lastPrinted>
  <dcterms:created xsi:type="dcterms:W3CDTF">2016-05-04T10:30:00Z</dcterms:created>
  <dcterms:modified xsi:type="dcterms:W3CDTF">2016-05-30T14:21:00Z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