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6E" w:rsidRPr="00E9657B" w:rsidRDefault="009D4071" w:rsidP="009D4071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BBBFBE30-A385-41C7-9F06-4A311A760401" style="width:455.25pt;height:385.5pt">
            <v:imagedata r:id="rId11" o:title=""/>
          </v:shape>
        </w:pict>
      </w:r>
    </w:p>
    <w:p w:rsidR="00C33157" w:rsidRPr="00E9657B" w:rsidRDefault="00C33157" w:rsidP="00C33157">
      <w:pPr>
        <w:pStyle w:val="Pagedecouverture"/>
        <w:rPr>
          <w:noProof/>
        </w:rPr>
        <w:sectPr w:rsidR="00C33157" w:rsidRPr="00E9657B" w:rsidSect="009D4071">
          <w:footerReference w:type="even" r:id="rId12"/>
          <w:footerReference w:type="defaul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E9657B" w:rsidRPr="00BB2078" w:rsidRDefault="00E9657B" w:rsidP="00E9657B">
      <w:pPr>
        <w:pStyle w:val="Exposdesmotifstitre"/>
        <w:rPr>
          <w:noProof/>
        </w:rPr>
      </w:pPr>
      <w:bookmarkStart w:id="0" w:name="_GoBack"/>
      <w:bookmarkEnd w:id="0"/>
      <w:r w:rsidRPr="00BB2078">
        <w:rPr>
          <w:noProof/>
        </w:rPr>
        <w:lastRenderedPageBreak/>
        <w:t>RELAZIONE</w:t>
      </w:r>
    </w:p>
    <w:p w:rsidR="00E9657B" w:rsidRPr="00BB2078" w:rsidRDefault="00E9657B" w:rsidP="00E9657B">
      <w:pPr>
        <w:pStyle w:val="ManualHeading1"/>
        <w:rPr>
          <w:noProof/>
        </w:rPr>
      </w:pPr>
      <w:r w:rsidRPr="00BB2078">
        <w:rPr>
          <w:noProof/>
        </w:rPr>
        <w:t>1.</w:t>
      </w:r>
      <w:r w:rsidRPr="00BB2078">
        <w:rPr>
          <w:noProof/>
        </w:rPr>
        <w:tab/>
        <w:t>CONTESTO DELL</w:t>
      </w:r>
      <w:r>
        <w:rPr>
          <w:noProof/>
        </w:rPr>
        <w:t>'</w:t>
      </w:r>
      <w:r w:rsidRPr="00BB2078">
        <w:rPr>
          <w:noProof/>
        </w:rPr>
        <w:t>ATTO DELEGATO</w:t>
      </w:r>
    </w:p>
    <w:p w:rsidR="00E9657B" w:rsidRPr="00BB2078" w:rsidRDefault="00E9657B" w:rsidP="00E9657B">
      <w:pPr>
        <w:rPr>
          <w:noProof/>
          <w:shd w:val="clear" w:color="auto" w:fill="FFFFFF"/>
        </w:rPr>
      </w:pPr>
      <w:r w:rsidRPr="00BB2078">
        <w:rPr>
          <w:noProof/>
          <w:shd w:val="clear" w:color="auto" w:fill="FFFFFF"/>
        </w:rPr>
        <w:t>Il presente regolamento delegato aggiorna l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elenco dei progetti transfrontalieri selezionati nel settore dell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energia rinnovabile (</w:t>
      </w:r>
      <w:r>
        <w:rPr>
          <w:noProof/>
          <w:shd w:val="clear" w:color="auto" w:fill="FFFFFF"/>
        </w:rPr>
        <w:t>"</w:t>
      </w:r>
      <w:r w:rsidRPr="00BB2078">
        <w:rPr>
          <w:noProof/>
          <w:shd w:val="clear" w:color="auto" w:fill="FFFFFF"/>
        </w:rPr>
        <w:t>progetti transfrontalieri di energia rinnovabile</w:t>
      </w:r>
      <w:r>
        <w:rPr>
          <w:noProof/>
          <w:shd w:val="clear" w:color="auto" w:fill="FFFFFF"/>
        </w:rPr>
        <w:t>"</w:t>
      </w:r>
      <w:r w:rsidRPr="00BB2078">
        <w:rPr>
          <w:noProof/>
          <w:shd w:val="clear" w:color="auto" w:fill="FFFFFF"/>
        </w:rPr>
        <w:t>).</w:t>
      </w:r>
    </w:p>
    <w:p w:rsidR="00E9657B" w:rsidRPr="00BB2078" w:rsidRDefault="00E9657B" w:rsidP="00E9657B">
      <w:pPr>
        <w:rPr>
          <w:noProof/>
          <w:shd w:val="clear" w:color="auto" w:fill="FFFFFF"/>
        </w:rPr>
      </w:pPr>
      <w:r w:rsidRPr="00BB2078">
        <w:rPr>
          <w:noProof/>
          <w:shd w:val="clear" w:color="auto" w:fill="FFFFFF"/>
        </w:rPr>
        <w:t>I progetti transfrontalieri di energia rinnovabile contribuiscono alla decarbonizzazione, al completamento del mercato interno dell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energia e al rafforzamento della sicurezza dell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approvvigionamento. Sono inclusi in un accordo di cooperazione o in un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intesa di altro tipo tra due o più Stati membri o in un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intesa tra uno o più Stati membri e uno o più paesi terzi.</w:t>
      </w:r>
    </w:p>
    <w:p w:rsidR="00E9657B" w:rsidRPr="00BB2078" w:rsidRDefault="00E9657B" w:rsidP="00E9657B">
      <w:pPr>
        <w:rPr>
          <w:noProof/>
          <w:shd w:val="clear" w:color="auto" w:fill="FFFFFF"/>
        </w:rPr>
      </w:pPr>
      <w:r w:rsidRPr="00BB2078">
        <w:rPr>
          <w:noProof/>
        </w:rPr>
        <w:t>L</w:t>
      </w:r>
      <w:r>
        <w:rPr>
          <w:noProof/>
        </w:rPr>
        <w:t>'</w:t>
      </w:r>
      <w:r w:rsidRPr="00BB2078">
        <w:rPr>
          <w:noProof/>
        </w:rPr>
        <w:t>articolo 25, paragrafo 1, lettera b), del regolamento (UE) 2021/1153 del Parlamento europeo e del Consiglio che istituisce il meccanismo per collegare l</w:t>
      </w:r>
      <w:r>
        <w:rPr>
          <w:noProof/>
        </w:rPr>
        <w:t>'</w:t>
      </w:r>
      <w:r w:rsidRPr="00BB2078">
        <w:rPr>
          <w:noProof/>
        </w:rPr>
        <w:t>Europa</w:t>
      </w:r>
      <w:r w:rsidRPr="00BB2078">
        <w:rPr>
          <w:rStyle w:val="FootnoteReference"/>
          <w:noProof/>
        </w:rPr>
        <w:footnoteReference w:id="2"/>
      </w:r>
      <w:r w:rsidRPr="00BB2078">
        <w:rPr>
          <w:noProof/>
        </w:rPr>
        <w:t xml:space="preserve"> impone alla Commissione di adottare un atto delegato che stabilisca e aggiorni l</w:t>
      </w:r>
      <w:r>
        <w:rPr>
          <w:noProof/>
        </w:rPr>
        <w:t>'</w:t>
      </w:r>
      <w:r w:rsidRPr="00BB2078">
        <w:rPr>
          <w:noProof/>
          <w:shd w:val="clear" w:color="auto" w:fill="FFFFFF"/>
        </w:rPr>
        <w:t>elenco dei progetti transfrontalieri selezionati nel settore dell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energia rinnovabile, sulla base del progetto di elenco concordato dal gruppo competente per i progetti transfrontalieri nel settore dell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energia rinnovabile di cui all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 xml:space="preserve">allegato, parte IV, punto 4, lettera b), del </w:t>
      </w:r>
      <w:r w:rsidRPr="00BB2078">
        <w:rPr>
          <w:noProof/>
        </w:rPr>
        <w:t>regolamento (UE) 2021/1153</w:t>
      </w:r>
      <w:r w:rsidRPr="00BB2078">
        <w:rPr>
          <w:noProof/>
          <w:shd w:val="clear" w:color="auto" w:fill="FFFFFF"/>
        </w:rPr>
        <w:t>.</w:t>
      </w:r>
    </w:p>
    <w:p w:rsidR="00E9657B" w:rsidRPr="00BB2078" w:rsidRDefault="00E9657B" w:rsidP="00E9657B">
      <w:pPr>
        <w:rPr>
          <w:noProof/>
          <w:shd w:val="clear" w:color="auto" w:fill="FFFFFF"/>
        </w:rPr>
      </w:pPr>
      <w:r w:rsidRPr="00BB2078">
        <w:rPr>
          <w:noProof/>
          <w:shd w:val="clear" w:color="auto" w:fill="FFFFFF"/>
        </w:rPr>
        <w:t>Il primo elenco è stato adottato con regolamento delegato (UE) 2022/2202 della Commissione del 29 agosto 2022 ed è stato successivamente modificato con i regolamenti delegati della Commissione (UE) 2023/2639 del 19 settembre 2023 e (UE) 2024/2613 del 24 luglio 2024.</w:t>
      </w:r>
    </w:p>
    <w:p w:rsidR="00E9657B" w:rsidRPr="00BB2078" w:rsidRDefault="00E9657B" w:rsidP="00E9657B">
      <w:pPr>
        <w:rPr>
          <w:noProof/>
        </w:rPr>
      </w:pPr>
      <w:r w:rsidRPr="00BB2078">
        <w:rPr>
          <w:noProof/>
          <w:shd w:val="clear" w:color="auto" w:fill="FFFFFF"/>
        </w:rPr>
        <w:t>Ora deve essere aggiornato a seguito del quarto invito a presentare proposte di progetti transfrontalieri di energia rinnovabile.</w:t>
      </w:r>
    </w:p>
    <w:p w:rsidR="00E9657B" w:rsidRPr="00BB2078" w:rsidRDefault="00E9657B" w:rsidP="00E9657B">
      <w:pPr>
        <w:pStyle w:val="ManualHeading1"/>
        <w:rPr>
          <w:noProof/>
        </w:rPr>
      </w:pPr>
      <w:r w:rsidRPr="00BB2078">
        <w:rPr>
          <w:noProof/>
        </w:rPr>
        <w:t>2.</w:t>
      </w:r>
      <w:r w:rsidRPr="00BB2078">
        <w:rPr>
          <w:noProof/>
        </w:rPr>
        <w:tab/>
        <w:t>CONSULTAZIONI PRECEDENTI L</w:t>
      </w:r>
      <w:r>
        <w:rPr>
          <w:noProof/>
        </w:rPr>
        <w:t>'</w:t>
      </w:r>
      <w:r w:rsidRPr="00BB2078">
        <w:rPr>
          <w:noProof/>
        </w:rPr>
        <w:t>ADOZIONE DELL</w:t>
      </w:r>
      <w:r>
        <w:rPr>
          <w:noProof/>
        </w:rPr>
        <w:t>'</w:t>
      </w:r>
      <w:r w:rsidRPr="00BB2078">
        <w:rPr>
          <w:noProof/>
        </w:rPr>
        <w:t>ATTO</w:t>
      </w:r>
    </w:p>
    <w:p w:rsidR="00E9657B" w:rsidRPr="00BB2078" w:rsidRDefault="00E9657B" w:rsidP="00E9657B">
      <w:pPr>
        <w:rPr>
          <w:noProof/>
        </w:rPr>
      </w:pPr>
      <w:r w:rsidRPr="00BB2078">
        <w:rPr>
          <w:noProof/>
          <w:shd w:val="clear" w:color="auto" w:fill="FFFFFF"/>
        </w:rPr>
        <w:t>Il gruppo di esperti, istituito con regolamento delegato (UE) 2022/342 della Commissione, del</w:t>
      </w:r>
      <w:r>
        <w:rPr>
          <w:noProof/>
          <w:shd w:val="clear" w:color="auto" w:fill="FFFFFF"/>
        </w:rPr>
        <w:t> </w:t>
      </w:r>
      <w:r w:rsidRPr="00BB2078">
        <w:rPr>
          <w:noProof/>
          <w:shd w:val="clear" w:color="auto" w:fill="FFFFFF"/>
        </w:rPr>
        <w:t>21 dicembre 2021, per la preparazione e l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elaborazione dell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atto delegato che integra il meccanismo per collegare l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Europa per quanto riguarda i criteri e la procedura di identificazione dei progetti transfrontalieri nel settore dell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energia rinnovabile è stato consultato in merito al presente regolamento delegato il 1° aprile 2025. Muovendo dalla valutazione effettuata dalla Commissione, il gruppo di esperti ha concordato un progetto di elenco dei progetti transfrontalieri nel settore dell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energia rinnovabile. L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elenco definitivo dei progetti stabilito dal presente regolamento delegato è lo stesso concordato dal gruppo di esperti.</w:t>
      </w:r>
    </w:p>
    <w:p w:rsidR="00E9657B" w:rsidRPr="00BB2078" w:rsidRDefault="00E9657B" w:rsidP="00E9657B">
      <w:pPr>
        <w:pStyle w:val="ManualHeading1"/>
        <w:rPr>
          <w:noProof/>
        </w:rPr>
      </w:pPr>
      <w:r w:rsidRPr="00BB2078">
        <w:rPr>
          <w:noProof/>
        </w:rPr>
        <w:t>3.</w:t>
      </w:r>
      <w:r w:rsidRPr="00BB2078">
        <w:rPr>
          <w:noProof/>
        </w:rPr>
        <w:tab/>
        <w:t>ELEMENTI GIURIDICI DELL</w:t>
      </w:r>
      <w:r>
        <w:rPr>
          <w:noProof/>
        </w:rPr>
        <w:t>'</w:t>
      </w:r>
      <w:r w:rsidRPr="00BB2078">
        <w:rPr>
          <w:noProof/>
        </w:rPr>
        <w:t>ATTO DELEGATO</w:t>
      </w:r>
    </w:p>
    <w:p w:rsidR="00E9657B" w:rsidRPr="00BB2078" w:rsidRDefault="00E9657B" w:rsidP="00E9657B">
      <w:pPr>
        <w:rPr>
          <w:noProof/>
        </w:rPr>
      </w:pPr>
      <w:r w:rsidRPr="00BB2078">
        <w:rPr>
          <w:noProof/>
        </w:rPr>
        <w:t>Il presente regolamento delegato aggiunge all</w:t>
      </w:r>
      <w:r>
        <w:rPr>
          <w:noProof/>
        </w:rPr>
        <w:t>'</w:t>
      </w:r>
      <w:r w:rsidRPr="00BB2078">
        <w:rPr>
          <w:noProof/>
        </w:rPr>
        <w:t>elenco dei progetti selezionati cinque nuovi progetti transfrontalieri di energia rinnovabile che soddisfano i criteri di ammissibilità e di selezione stabiliti dal regolamento (UE) 2021/1153 e i criteri di selezione specifici e i dettagli della procedura di selezione di cui al regolamento delegato (UE) 2022/342 della Commissione</w:t>
      </w:r>
      <w:r w:rsidRPr="00BB2078">
        <w:rPr>
          <w:rStyle w:val="FootnoteReference"/>
          <w:noProof/>
        </w:rPr>
        <w:footnoteReference w:id="3"/>
      </w:r>
      <w:r w:rsidRPr="00BB2078">
        <w:rPr>
          <w:noProof/>
        </w:rPr>
        <w:t>. I progetti transfrontalieri di energia rinnovabile in questione contribuiscono al conseguimento degli obiettivi di cui all</w:t>
      </w:r>
      <w:r>
        <w:rPr>
          <w:noProof/>
        </w:rPr>
        <w:t>'</w:t>
      </w:r>
      <w:r w:rsidRPr="00BB2078">
        <w:rPr>
          <w:noProof/>
        </w:rPr>
        <w:t xml:space="preserve">articolo 7 </w:t>
      </w:r>
      <w:r w:rsidRPr="00BB2078">
        <w:rPr>
          <w:noProof/>
          <w:shd w:val="clear" w:color="auto" w:fill="FFFFFF"/>
        </w:rPr>
        <w:t xml:space="preserve">e </w:t>
      </w:r>
      <w:r w:rsidRPr="00BB2078">
        <w:rPr>
          <w:noProof/>
        </w:rPr>
        <w:t>all</w:t>
      </w:r>
      <w:r>
        <w:rPr>
          <w:noProof/>
        </w:rPr>
        <w:t>'</w:t>
      </w:r>
      <w:r w:rsidRPr="00BB2078">
        <w:rPr>
          <w:noProof/>
        </w:rPr>
        <w:t>allegato, parte IV, punto 1, del regolamento (UE) 2021/1153.</w:t>
      </w:r>
    </w:p>
    <w:p w:rsidR="00E9657B" w:rsidRPr="00BB2078" w:rsidRDefault="00E9657B" w:rsidP="00E9657B">
      <w:pPr>
        <w:rPr>
          <w:noProof/>
        </w:rPr>
        <w:sectPr w:rsidR="00E9657B" w:rsidRPr="00BB2078" w:rsidSect="009D4071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:rsidR="00E9657B" w:rsidRPr="00BB2078" w:rsidRDefault="002F7BD7" w:rsidP="002F7BD7">
      <w:pPr>
        <w:pStyle w:val="Typedudocument"/>
        <w:rPr>
          <w:noProof/>
        </w:rPr>
      </w:pPr>
      <w:r w:rsidRPr="002F7BD7">
        <w:rPr>
          <w:noProof/>
        </w:rPr>
        <w:lastRenderedPageBreak/>
        <w:t>REGOLAMENTO DELEGATO (UE) …/... DELLA COMMISSIONE</w:t>
      </w:r>
    </w:p>
    <w:p w:rsidR="00E9657B" w:rsidRPr="00BB2078" w:rsidRDefault="00B24D0D" w:rsidP="002F7BD7">
      <w:pPr>
        <w:pStyle w:val="Datedadoption"/>
        <w:rPr>
          <w:noProof/>
        </w:rPr>
      </w:pPr>
      <w:r>
        <w:rPr>
          <w:noProof/>
        </w:rPr>
        <w:t>del 29.7.2025</w:t>
      </w:r>
    </w:p>
    <w:p w:rsidR="00E9657B" w:rsidRPr="00BB2078" w:rsidRDefault="002F7BD7" w:rsidP="002F7BD7">
      <w:pPr>
        <w:pStyle w:val="Titreobjet"/>
        <w:rPr>
          <w:noProof/>
        </w:rPr>
      </w:pPr>
      <w:r w:rsidRPr="002F7BD7">
        <w:rPr>
          <w:noProof/>
        </w:rPr>
        <w:t>che modifica il regolamento delegato (UE) 2022/2202 aggiornando l'elenco dei progetti transfrontalieri selezionati nel settore dell'energia rinnovabile</w:t>
      </w:r>
    </w:p>
    <w:p w:rsidR="00E9657B" w:rsidRPr="00BB2078" w:rsidRDefault="002F7BD7" w:rsidP="002F7BD7">
      <w:pPr>
        <w:pStyle w:val="IntrtEEE"/>
        <w:rPr>
          <w:noProof/>
        </w:rPr>
      </w:pPr>
      <w:r w:rsidRPr="002F7BD7">
        <w:rPr>
          <w:noProof/>
        </w:rPr>
        <w:t>(Testo rilevante ai fini del SEE)</w:t>
      </w:r>
    </w:p>
    <w:p w:rsidR="00E9657B" w:rsidRPr="00BB2078" w:rsidRDefault="00E9657B" w:rsidP="00E9657B">
      <w:pPr>
        <w:pStyle w:val="Institutionquiagit"/>
        <w:rPr>
          <w:noProof/>
        </w:rPr>
      </w:pPr>
      <w:r w:rsidRPr="00BB2078">
        <w:rPr>
          <w:noProof/>
        </w:rPr>
        <w:t>LA COMMISSIONE EUROPEA,</w:t>
      </w:r>
    </w:p>
    <w:p w:rsidR="00E9657B" w:rsidRPr="00BB2078" w:rsidRDefault="00E9657B" w:rsidP="00E9657B">
      <w:pPr>
        <w:rPr>
          <w:noProof/>
        </w:rPr>
      </w:pPr>
      <w:r w:rsidRPr="00BB2078">
        <w:rPr>
          <w:noProof/>
          <w:color w:val="000000"/>
        </w:rPr>
        <w:t>visto il trattato sul funzionamento dell</w:t>
      </w:r>
      <w:r>
        <w:rPr>
          <w:noProof/>
          <w:color w:val="000000"/>
        </w:rPr>
        <w:t>'</w:t>
      </w:r>
      <w:r w:rsidRPr="00BB2078">
        <w:rPr>
          <w:noProof/>
          <w:color w:val="000000"/>
        </w:rPr>
        <w:t>Unione europea</w:t>
      </w:r>
      <w:r w:rsidRPr="00BB2078">
        <w:rPr>
          <w:noProof/>
        </w:rPr>
        <w:t>,</w:t>
      </w:r>
    </w:p>
    <w:p w:rsidR="00E9657B" w:rsidRPr="00BB2078" w:rsidRDefault="00E9657B" w:rsidP="00E9657B">
      <w:pPr>
        <w:rPr>
          <w:noProof/>
        </w:rPr>
      </w:pPr>
      <w:r w:rsidRPr="00BB2078">
        <w:rPr>
          <w:noProof/>
        </w:rPr>
        <w:t>visto il regolamento (UE) 2021/1153 del Parlamento europeo e del Consiglio, del 7 luglio</w:t>
      </w:r>
      <w:r>
        <w:rPr>
          <w:noProof/>
        </w:rPr>
        <w:t> </w:t>
      </w:r>
      <w:r w:rsidRPr="00BB2078">
        <w:rPr>
          <w:noProof/>
        </w:rPr>
        <w:t>2021, che istituisce il meccanismo per collegare l</w:t>
      </w:r>
      <w:r>
        <w:rPr>
          <w:noProof/>
        </w:rPr>
        <w:t>'</w:t>
      </w:r>
      <w:r w:rsidRPr="00BB2078">
        <w:rPr>
          <w:noProof/>
        </w:rPr>
        <w:t>Europa e abroga i regolamenti (UE) n. 1316/2013 e (UE) n. 283/2014</w:t>
      </w:r>
      <w:r w:rsidRPr="00BB2078">
        <w:rPr>
          <w:rStyle w:val="FootnoteReference"/>
          <w:noProof/>
        </w:rPr>
        <w:footnoteReference w:id="4"/>
      </w:r>
      <w:r w:rsidRPr="00BB2078">
        <w:rPr>
          <w:noProof/>
        </w:rPr>
        <w:t>, in particolare l</w:t>
      </w:r>
      <w:r>
        <w:rPr>
          <w:noProof/>
        </w:rPr>
        <w:t>'</w:t>
      </w:r>
      <w:r w:rsidRPr="00BB2078">
        <w:rPr>
          <w:noProof/>
        </w:rPr>
        <w:t>articolo 25, paragrafo 1, lettera b),</w:t>
      </w:r>
    </w:p>
    <w:p w:rsidR="00E9657B" w:rsidRPr="00BB2078" w:rsidRDefault="00E9657B" w:rsidP="00E9657B">
      <w:pPr>
        <w:rPr>
          <w:noProof/>
        </w:rPr>
      </w:pPr>
      <w:r w:rsidRPr="00BB2078">
        <w:rPr>
          <w:noProof/>
        </w:rPr>
        <w:t>considerando quanto segue:</w:t>
      </w:r>
    </w:p>
    <w:p w:rsidR="00E9657B" w:rsidRPr="00BB2078" w:rsidRDefault="00B0518A" w:rsidP="00B0518A">
      <w:pPr>
        <w:pStyle w:val="ManualConsidrant"/>
        <w:rPr>
          <w:noProof/>
        </w:rPr>
      </w:pPr>
      <w:r w:rsidRPr="00B0518A">
        <w:rPr>
          <w:noProof/>
        </w:rPr>
        <w:t>(1)</w:t>
      </w:r>
      <w:r w:rsidRPr="00B0518A">
        <w:rPr>
          <w:noProof/>
        </w:rPr>
        <w:tab/>
      </w:r>
      <w:r w:rsidR="00E9657B" w:rsidRPr="00BB2078">
        <w:rPr>
          <w:noProof/>
        </w:rPr>
        <w:t>Il regolamento (UE) 2021/1153 istituisce una categoria di progetti transfrontalieri nel settore dell</w:t>
      </w:r>
      <w:r w:rsidR="00E9657B">
        <w:rPr>
          <w:noProof/>
        </w:rPr>
        <w:t>'</w:t>
      </w:r>
      <w:r w:rsidR="00E9657B" w:rsidRPr="00BB2078">
        <w:rPr>
          <w:noProof/>
        </w:rPr>
        <w:t>energia rinnovabile che contribuiscono alla decarbonizzazione, al</w:t>
      </w:r>
      <w:r w:rsidR="00E9657B">
        <w:rPr>
          <w:noProof/>
        </w:rPr>
        <w:t> </w:t>
      </w:r>
      <w:r w:rsidR="00E9657B" w:rsidRPr="00BB2078">
        <w:rPr>
          <w:noProof/>
        </w:rPr>
        <w:t>completamento del mercato interno dell</w:t>
      </w:r>
      <w:r w:rsidR="00E9657B">
        <w:rPr>
          <w:noProof/>
        </w:rPr>
        <w:t>'</w:t>
      </w:r>
      <w:r w:rsidR="00E9657B" w:rsidRPr="00BB2078">
        <w:rPr>
          <w:noProof/>
        </w:rPr>
        <w:t>energia e al rafforzamento della sicurezza dell</w:t>
      </w:r>
      <w:r w:rsidR="00E9657B">
        <w:rPr>
          <w:noProof/>
        </w:rPr>
        <w:t>'</w:t>
      </w:r>
      <w:r w:rsidR="00E9657B" w:rsidRPr="00BB2078">
        <w:rPr>
          <w:noProof/>
        </w:rPr>
        <w:t>approvvigionamento energetico. Ai sensi dell</w:t>
      </w:r>
      <w:r w:rsidR="00E9657B">
        <w:rPr>
          <w:noProof/>
        </w:rPr>
        <w:t>'</w:t>
      </w:r>
      <w:r w:rsidR="00E9657B" w:rsidRPr="00BB2078">
        <w:rPr>
          <w:noProof/>
        </w:rPr>
        <w:t>articolo 7, paragrafo 1, del</w:t>
      </w:r>
      <w:r w:rsidR="00E9657B">
        <w:rPr>
          <w:noProof/>
        </w:rPr>
        <w:t> </w:t>
      </w:r>
      <w:r w:rsidR="00E9657B" w:rsidRPr="00BB2078">
        <w:rPr>
          <w:noProof/>
        </w:rPr>
        <w:t>regolamento (UE) 2021/1153 tali progetti transfrontalieri sono frutto di un accordo di cooperazione tra due o più Stati membri o tra uno o più Stati membri e uno o più paesi terzi a norma degli articoli 8, 9, 11 e 13 della direttiva (UE) 2018/2001 del Parlamento europeo e del Consiglio</w:t>
      </w:r>
      <w:r w:rsidR="00E9657B" w:rsidRPr="00BB2078">
        <w:rPr>
          <w:rStyle w:val="FootnoteReference"/>
          <w:noProof/>
        </w:rPr>
        <w:footnoteReference w:id="5"/>
      </w:r>
      <w:r w:rsidR="00E9657B" w:rsidRPr="00BB2078">
        <w:rPr>
          <w:noProof/>
        </w:rPr>
        <w:t>.</w:t>
      </w:r>
    </w:p>
    <w:p w:rsidR="00E9657B" w:rsidRPr="00BB2078" w:rsidRDefault="00B0518A" w:rsidP="00B0518A">
      <w:pPr>
        <w:pStyle w:val="ManualConsidrant"/>
        <w:rPr>
          <w:noProof/>
        </w:rPr>
      </w:pPr>
      <w:r w:rsidRPr="00B0518A">
        <w:rPr>
          <w:noProof/>
        </w:rPr>
        <w:t>(2)</w:t>
      </w:r>
      <w:r w:rsidRPr="00B0518A">
        <w:rPr>
          <w:noProof/>
        </w:rPr>
        <w:tab/>
      </w:r>
      <w:r w:rsidR="00E9657B" w:rsidRPr="00BB2078">
        <w:rPr>
          <w:noProof/>
        </w:rPr>
        <w:t>La selezione dei progetti transfrontalieri nel settore dell</w:t>
      </w:r>
      <w:r w:rsidR="00E9657B">
        <w:rPr>
          <w:noProof/>
        </w:rPr>
        <w:t>'</w:t>
      </w:r>
      <w:r w:rsidR="00E9657B" w:rsidRPr="00BB2078">
        <w:rPr>
          <w:noProof/>
        </w:rPr>
        <w:t>energia rinnovabile è soggetta ai criteri generali e alle procedure di cui al regolamento (UE) 2021/1153 e agli ulteriori criteri di selezione specifici e ai dettagli della procedura di selezione di cui al regolamento delegato (UE) 2022/342 della Commissione</w:t>
      </w:r>
      <w:r w:rsidR="00E9657B" w:rsidRPr="00BB2078">
        <w:rPr>
          <w:rStyle w:val="FootnoteReference"/>
          <w:noProof/>
        </w:rPr>
        <w:footnoteReference w:id="6"/>
      </w:r>
      <w:r w:rsidR="00E9657B" w:rsidRPr="00BB2078">
        <w:rPr>
          <w:noProof/>
        </w:rPr>
        <w:t>.</w:t>
      </w:r>
    </w:p>
    <w:p w:rsidR="00E9657B" w:rsidRPr="00BB2078" w:rsidRDefault="00B0518A" w:rsidP="00B0518A">
      <w:pPr>
        <w:pStyle w:val="ManualConsidrant"/>
        <w:rPr>
          <w:noProof/>
        </w:rPr>
      </w:pPr>
      <w:r w:rsidRPr="00B0518A">
        <w:rPr>
          <w:noProof/>
        </w:rPr>
        <w:t>(3)</w:t>
      </w:r>
      <w:r w:rsidRPr="00B0518A">
        <w:rPr>
          <w:noProof/>
        </w:rPr>
        <w:tab/>
      </w:r>
      <w:r w:rsidR="00E9657B" w:rsidRPr="00BB2078">
        <w:rPr>
          <w:noProof/>
        </w:rPr>
        <w:t>I progetti transfrontalieri nel settore dell</w:t>
      </w:r>
      <w:r w:rsidR="00E9657B">
        <w:rPr>
          <w:noProof/>
        </w:rPr>
        <w:t>'</w:t>
      </w:r>
      <w:r w:rsidR="00E9657B" w:rsidRPr="00BB2078">
        <w:rPr>
          <w:noProof/>
        </w:rPr>
        <w:t>energia rinnovabile sono selezionati e inclusi in un elenco appositamente redatto mediante atti delegati.</w:t>
      </w:r>
    </w:p>
    <w:p w:rsidR="00E9657B" w:rsidRPr="00BB2078" w:rsidRDefault="00B0518A" w:rsidP="00B0518A">
      <w:pPr>
        <w:pStyle w:val="ManualConsidrant"/>
        <w:rPr>
          <w:noProof/>
        </w:rPr>
      </w:pPr>
      <w:r w:rsidRPr="00B0518A">
        <w:rPr>
          <w:noProof/>
        </w:rPr>
        <w:t>(4)</w:t>
      </w:r>
      <w:r w:rsidRPr="00B0518A">
        <w:rPr>
          <w:noProof/>
        </w:rPr>
        <w:tab/>
      </w:r>
      <w:r w:rsidR="00E9657B" w:rsidRPr="00BB2078">
        <w:rPr>
          <w:noProof/>
        </w:rPr>
        <w:t>Per i progetti transfrontalieri nel settore dell</w:t>
      </w:r>
      <w:r w:rsidR="00E9657B">
        <w:rPr>
          <w:noProof/>
        </w:rPr>
        <w:t>'</w:t>
      </w:r>
      <w:r w:rsidR="00E9657B" w:rsidRPr="00BB2078">
        <w:rPr>
          <w:noProof/>
        </w:rPr>
        <w:t>energia rinnovabile inclusi nell</w:t>
      </w:r>
      <w:r w:rsidR="00E9657B">
        <w:rPr>
          <w:noProof/>
        </w:rPr>
        <w:t>'</w:t>
      </w:r>
      <w:r w:rsidR="00E9657B" w:rsidRPr="00BB2078">
        <w:rPr>
          <w:noProof/>
        </w:rPr>
        <w:t>elenco è possibile presentare domanda di finanziamento nell</w:t>
      </w:r>
      <w:r w:rsidR="00E9657B">
        <w:rPr>
          <w:noProof/>
        </w:rPr>
        <w:t>'</w:t>
      </w:r>
      <w:r w:rsidR="00E9657B" w:rsidRPr="00BB2078">
        <w:rPr>
          <w:noProof/>
        </w:rPr>
        <w:t>ambito del meccanismo per collegare l</w:t>
      </w:r>
      <w:r w:rsidR="00E9657B">
        <w:rPr>
          <w:noProof/>
        </w:rPr>
        <w:t>'</w:t>
      </w:r>
      <w:r w:rsidR="00E9657B" w:rsidRPr="00BB2078">
        <w:rPr>
          <w:noProof/>
        </w:rPr>
        <w:t>Europa</w:t>
      </w:r>
      <w:r w:rsidR="00E9657B" w:rsidRPr="00BB2078">
        <w:rPr>
          <w:rStyle w:val="FootnoteReference"/>
          <w:noProof/>
        </w:rPr>
        <w:footnoteReference w:id="7"/>
      </w:r>
      <w:r w:rsidR="00E9657B" w:rsidRPr="00BB2078">
        <w:rPr>
          <w:noProof/>
        </w:rPr>
        <w:t>.</w:t>
      </w:r>
    </w:p>
    <w:p w:rsidR="00E9657B" w:rsidRPr="00BB2078" w:rsidRDefault="00B0518A" w:rsidP="00B0518A">
      <w:pPr>
        <w:pStyle w:val="ManualConsidrant"/>
        <w:rPr>
          <w:noProof/>
        </w:rPr>
      </w:pPr>
      <w:r w:rsidRPr="00B0518A">
        <w:rPr>
          <w:noProof/>
        </w:rPr>
        <w:t>(5)</w:t>
      </w:r>
      <w:r w:rsidRPr="00B0518A">
        <w:rPr>
          <w:noProof/>
        </w:rPr>
        <w:tab/>
      </w:r>
      <w:r w:rsidR="00E9657B" w:rsidRPr="00BB2078">
        <w:rPr>
          <w:noProof/>
        </w:rPr>
        <w:t>A seguito di un invito a presentare proposte pubblicato il 3 settembre 2024 e chiuso il 7 gennaio 2025, sono stati selezionati cinque nuovi progetti transfrontalieri di energia rinnovabile. I progetti selezionati sono stati valutati da esperti esterni e da esperti dell</w:t>
      </w:r>
      <w:r w:rsidR="00E9657B">
        <w:rPr>
          <w:noProof/>
        </w:rPr>
        <w:t>'</w:t>
      </w:r>
      <w:r w:rsidR="00E9657B" w:rsidRPr="00BB2078">
        <w:rPr>
          <w:noProof/>
        </w:rPr>
        <w:t>Agenzia esecutiva europea per il clima, l</w:t>
      </w:r>
      <w:r w:rsidR="00E9657B">
        <w:rPr>
          <w:noProof/>
        </w:rPr>
        <w:t>'</w:t>
      </w:r>
      <w:r w:rsidR="00E9657B" w:rsidRPr="00BB2078">
        <w:rPr>
          <w:noProof/>
        </w:rPr>
        <w:t>infrastruttura e l</w:t>
      </w:r>
      <w:r w:rsidR="00E9657B">
        <w:rPr>
          <w:noProof/>
        </w:rPr>
        <w:t>'</w:t>
      </w:r>
      <w:r w:rsidR="00E9657B" w:rsidRPr="00BB2078">
        <w:rPr>
          <w:noProof/>
        </w:rPr>
        <w:t xml:space="preserve">ambiente e della Commissione europea, in particolare per quanto riguarda lo </w:t>
      </w:r>
      <w:r w:rsidR="00E9657B" w:rsidRPr="00BB2078">
        <w:rPr>
          <w:noProof/>
          <w:shd w:val="clear" w:color="auto" w:fill="FFFFFF"/>
        </w:rPr>
        <w:t>sfruttamento efficace sotto il profilo dei costi delle energie rinnovabili e la loro attuazione attraverso diverse tecnologie, tra cui l</w:t>
      </w:r>
      <w:r w:rsidR="00E9657B">
        <w:rPr>
          <w:noProof/>
          <w:shd w:val="clear" w:color="auto" w:fill="FFFFFF"/>
        </w:rPr>
        <w:t>'</w:t>
      </w:r>
      <w:r w:rsidR="00E9657B" w:rsidRPr="00BB2078">
        <w:rPr>
          <w:noProof/>
          <w:shd w:val="clear" w:color="auto" w:fill="FFFFFF"/>
        </w:rPr>
        <w:t>eolico offshore e onshore</w:t>
      </w:r>
      <w:r w:rsidR="00E9657B" w:rsidRPr="00BB2078">
        <w:rPr>
          <w:noProof/>
        </w:rPr>
        <w:t>.</w:t>
      </w:r>
    </w:p>
    <w:p w:rsidR="00E9657B" w:rsidRPr="00BB2078" w:rsidRDefault="00B0518A" w:rsidP="00B0518A">
      <w:pPr>
        <w:pStyle w:val="ManualConsidrant"/>
        <w:rPr>
          <w:noProof/>
        </w:rPr>
      </w:pPr>
      <w:r w:rsidRPr="00B0518A">
        <w:rPr>
          <w:noProof/>
        </w:rPr>
        <w:t>(6)</w:t>
      </w:r>
      <w:r w:rsidRPr="00B0518A">
        <w:rPr>
          <w:noProof/>
        </w:rPr>
        <w:tab/>
      </w:r>
      <w:r w:rsidR="00E9657B" w:rsidRPr="00BB2078">
        <w:rPr>
          <w:noProof/>
        </w:rPr>
        <w:t>La Commissione ha comunicato l</w:t>
      </w:r>
      <w:r w:rsidR="00E9657B">
        <w:rPr>
          <w:noProof/>
        </w:rPr>
        <w:t>'</w:t>
      </w:r>
      <w:r w:rsidR="00E9657B" w:rsidRPr="00BB2078">
        <w:rPr>
          <w:noProof/>
        </w:rPr>
        <w:t>esito della valutazione dei nuovi progetti transfrontalieri di energia rinnovabile selezionati al gruppo di esperti istituito con</w:t>
      </w:r>
      <w:r w:rsidR="00E9657B" w:rsidRPr="00BB2078">
        <w:rPr>
          <w:noProof/>
          <w:shd w:val="clear" w:color="auto" w:fill="FFFFFF"/>
        </w:rPr>
        <w:t xml:space="preserve"> regolamento delegato (UE) 2022/342 della Commissione, del 21 dicembre 2021</w:t>
      </w:r>
      <w:r w:rsidR="00E9657B" w:rsidRPr="00BB2078">
        <w:rPr>
          <w:noProof/>
        </w:rPr>
        <w:t xml:space="preserve">, ossia </w:t>
      </w:r>
      <w:r w:rsidR="00E9657B" w:rsidRPr="00BB2078">
        <w:rPr>
          <w:noProof/>
          <w:shd w:val="clear" w:color="auto" w:fill="FFFFFF"/>
        </w:rPr>
        <w:t>l</w:t>
      </w:r>
      <w:r w:rsidR="00E9657B">
        <w:rPr>
          <w:noProof/>
          <w:shd w:val="clear" w:color="auto" w:fill="FFFFFF"/>
        </w:rPr>
        <w:t>'</w:t>
      </w:r>
      <w:r w:rsidR="00E9657B" w:rsidRPr="00BB2078">
        <w:rPr>
          <w:noProof/>
          <w:shd w:val="clear" w:color="auto" w:fill="FFFFFF"/>
        </w:rPr>
        <w:t>atto delegato che integra il meccanismo per collegare l</w:t>
      </w:r>
      <w:r w:rsidR="00E9657B">
        <w:rPr>
          <w:noProof/>
          <w:shd w:val="clear" w:color="auto" w:fill="FFFFFF"/>
        </w:rPr>
        <w:t>'</w:t>
      </w:r>
      <w:r w:rsidR="00E9657B" w:rsidRPr="00BB2078">
        <w:rPr>
          <w:noProof/>
          <w:shd w:val="clear" w:color="auto" w:fill="FFFFFF"/>
        </w:rPr>
        <w:t>Europa per quanto riguarda i criteri e la procedura di identificazione dei progetti transfrontalieri nel settore dell</w:t>
      </w:r>
      <w:r w:rsidR="00E9657B">
        <w:rPr>
          <w:noProof/>
          <w:shd w:val="clear" w:color="auto" w:fill="FFFFFF"/>
        </w:rPr>
        <w:t>'</w:t>
      </w:r>
      <w:r w:rsidR="00E9657B" w:rsidRPr="00BB2078">
        <w:rPr>
          <w:noProof/>
          <w:shd w:val="clear" w:color="auto" w:fill="FFFFFF"/>
        </w:rPr>
        <w:t>energia rinnovabile. Dato l</w:t>
      </w:r>
      <w:r w:rsidR="00E9657B">
        <w:rPr>
          <w:noProof/>
          <w:shd w:val="clear" w:color="auto" w:fill="FFFFFF"/>
        </w:rPr>
        <w:t>'</w:t>
      </w:r>
      <w:r w:rsidR="00E9657B" w:rsidRPr="00BB2078">
        <w:rPr>
          <w:noProof/>
          <w:shd w:val="clear" w:color="auto" w:fill="FFFFFF"/>
        </w:rPr>
        <w:t>accordo del gruppo competente per i progetti transfrontalieri nel settore dell</w:t>
      </w:r>
      <w:r w:rsidR="00E9657B">
        <w:rPr>
          <w:noProof/>
          <w:shd w:val="clear" w:color="auto" w:fill="FFFFFF"/>
        </w:rPr>
        <w:t>'</w:t>
      </w:r>
      <w:r w:rsidR="00E9657B" w:rsidRPr="00BB2078">
        <w:rPr>
          <w:noProof/>
          <w:shd w:val="clear" w:color="auto" w:fill="FFFFFF"/>
        </w:rPr>
        <w:t>energia rinnovabile di cui all</w:t>
      </w:r>
      <w:r w:rsidR="00E9657B">
        <w:rPr>
          <w:noProof/>
          <w:shd w:val="clear" w:color="auto" w:fill="FFFFFF"/>
        </w:rPr>
        <w:t>'</w:t>
      </w:r>
      <w:r w:rsidR="00E9657B" w:rsidRPr="00BB2078">
        <w:rPr>
          <w:noProof/>
          <w:shd w:val="clear" w:color="auto" w:fill="FFFFFF"/>
        </w:rPr>
        <w:t>allegato, parte IV, punto 4, lettera b), del regolamento (UE) 2021/1153, è opportuno inserire nell</w:t>
      </w:r>
      <w:r w:rsidR="00E9657B">
        <w:rPr>
          <w:noProof/>
          <w:shd w:val="clear" w:color="auto" w:fill="FFFFFF"/>
        </w:rPr>
        <w:t>'</w:t>
      </w:r>
      <w:r w:rsidR="00E9657B" w:rsidRPr="00BB2078">
        <w:rPr>
          <w:noProof/>
          <w:shd w:val="clear" w:color="auto" w:fill="FFFFFF"/>
        </w:rPr>
        <w:t>elenco i nuovi progetti transfrontalieri di energia rinnovabile selezionati.</w:t>
      </w:r>
    </w:p>
    <w:p w:rsidR="00E9657B" w:rsidRPr="00BB2078" w:rsidRDefault="00B0518A" w:rsidP="00B0518A">
      <w:pPr>
        <w:pStyle w:val="ManualConsidrant"/>
        <w:rPr>
          <w:noProof/>
        </w:rPr>
      </w:pPr>
      <w:r w:rsidRPr="00B0518A">
        <w:rPr>
          <w:noProof/>
        </w:rPr>
        <w:t>(7)</w:t>
      </w:r>
      <w:r w:rsidRPr="00B0518A">
        <w:rPr>
          <w:noProof/>
        </w:rPr>
        <w:tab/>
      </w:r>
      <w:r w:rsidR="00E9657B" w:rsidRPr="00BB2078">
        <w:rPr>
          <w:noProof/>
        </w:rPr>
        <w:t>L</w:t>
      </w:r>
      <w:r w:rsidR="00E9657B">
        <w:rPr>
          <w:noProof/>
        </w:rPr>
        <w:t>'</w:t>
      </w:r>
      <w:r w:rsidR="00E9657B" w:rsidRPr="00BB2078">
        <w:rPr>
          <w:noProof/>
        </w:rPr>
        <w:t>inclusione dei progetti nell</w:t>
      </w:r>
      <w:r w:rsidR="00E9657B">
        <w:rPr>
          <w:noProof/>
        </w:rPr>
        <w:t>'</w:t>
      </w:r>
      <w:r w:rsidR="00E9657B" w:rsidRPr="00BB2078">
        <w:rPr>
          <w:noProof/>
        </w:rPr>
        <w:t>elenco dei progetti transfrontalieri di energia rinnovabile è subordinata alla loro conformità al diritto dell</w:t>
      </w:r>
      <w:r w:rsidR="00E9657B">
        <w:rPr>
          <w:noProof/>
        </w:rPr>
        <w:t>'</w:t>
      </w:r>
      <w:r w:rsidR="00E9657B" w:rsidRPr="00BB2078">
        <w:rPr>
          <w:noProof/>
        </w:rPr>
        <w:t>Unione, compreso l</w:t>
      </w:r>
      <w:r w:rsidR="00E9657B">
        <w:rPr>
          <w:noProof/>
        </w:rPr>
        <w:t>'</w:t>
      </w:r>
      <w:r w:rsidR="00E9657B" w:rsidRPr="00BB2078">
        <w:rPr>
          <w:noProof/>
        </w:rPr>
        <w:t>esito delle pertinenti procedure di valutazione ambientale e di autorizzazione.</w:t>
      </w:r>
    </w:p>
    <w:p w:rsidR="00E9657B" w:rsidRPr="00BB2078" w:rsidRDefault="00B0518A" w:rsidP="00B0518A">
      <w:pPr>
        <w:pStyle w:val="ManualConsidrant"/>
        <w:rPr>
          <w:noProof/>
        </w:rPr>
      </w:pPr>
      <w:r w:rsidRPr="00B0518A">
        <w:rPr>
          <w:noProof/>
        </w:rPr>
        <w:t>(8)</w:t>
      </w:r>
      <w:r w:rsidRPr="00B0518A">
        <w:rPr>
          <w:noProof/>
        </w:rPr>
        <w:tab/>
      </w:r>
      <w:r w:rsidR="00E9657B" w:rsidRPr="00BB2078">
        <w:rPr>
          <w:noProof/>
        </w:rPr>
        <w:t>È pertanto opportuno modificare di conseguenza il regolamento (UE) 2022/2202,</w:t>
      </w:r>
    </w:p>
    <w:p w:rsidR="00E9657B" w:rsidRPr="00BB2078" w:rsidRDefault="00E9657B" w:rsidP="00E9657B">
      <w:pPr>
        <w:pStyle w:val="Formuledadoption"/>
        <w:rPr>
          <w:noProof/>
        </w:rPr>
      </w:pPr>
      <w:r w:rsidRPr="00BB2078">
        <w:rPr>
          <w:noProof/>
        </w:rPr>
        <w:t>HA ADOTTATO IL PRESENTE REGOLAMENTO:</w:t>
      </w:r>
    </w:p>
    <w:p w:rsidR="00E9657B" w:rsidRPr="00BB2078" w:rsidRDefault="00E9657B" w:rsidP="00E9657B">
      <w:pPr>
        <w:pStyle w:val="Titrearticle"/>
        <w:rPr>
          <w:noProof/>
        </w:rPr>
      </w:pPr>
      <w:r w:rsidRPr="00BB2078">
        <w:rPr>
          <w:noProof/>
        </w:rPr>
        <w:t>Articolo 1</w:t>
      </w:r>
    </w:p>
    <w:p w:rsidR="00E9657B" w:rsidRPr="00BB2078" w:rsidRDefault="00E9657B" w:rsidP="00E9657B">
      <w:pPr>
        <w:rPr>
          <w:noProof/>
          <w:shd w:val="clear" w:color="auto" w:fill="FFFFFF"/>
        </w:rPr>
      </w:pPr>
      <w:r w:rsidRPr="00BB2078">
        <w:rPr>
          <w:noProof/>
        </w:rPr>
        <w:t>L</w:t>
      </w:r>
      <w:r>
        <w:rPr>
          <w:noProof/>
        </w:rPr>
        <w:t>'</w:t>
      </w:r>
      <w:r w:rsidRPr="00BB2078">
        <w:rPr>
          <w:noProof/>
        </w:rPr>
        <w:t xml:space="preserve">articolo 1 del </w:t>
      </w:r>
      <w:r w:rsidRPr="00BB2078">
        <w:rPr>
          <w:noProof/>
          <w:shd w:val="clear" w:color="auto" w:fill="FFFFFF"/>
        </w:rPr>
        <w:t>regolamento delegato (UE) 2022/2202 è sostituito dal seguente:</w:t>
      </w:r>
    </w:p>
    <w:p w:rsidR="00E9657B" w:rsidRPr="00BB2078" w:rsidRDefault="00E9657B" w:rsidP="00E9657B">
      <w:pPr>
        <w:rPr>
          <w:noProof/>
        </w:rPr>
      </w:pPr>
      <w:r w:rsidRPr="00BB2078">
        <w:rPr>
          <w:noProof/>
        </w:rPr>
        <w:tab/>
      </w:r>
      <w:r w:rsidRPr="00BB2078">
        <w:rPr>
          <w:noProof/>
        </w:rPr>
        <w:tab/>
      </w:r>
      <w:r w:rsidRPr="00BB2078">
        <w:rPr>
          <w:noProof/>
        </w:rPr>
        <w:tab/>
      </w:r>
      <w:r w:rsidRPr="00BB2078">
        <w:rPr>
          <w:noProof/>
        </w:rPr>
        <w:tab/>
      </w:r>
      <w:r w:rsidRPr="00BB2078">
        <w:rPr>
          <w:noProof/>
        </w:rPr>
        <w:tab/>
      </w:r>
      <w:r>
        <w:rPr>
          <w:noProof/>
        </w:rPr>
        <w:t>"</w:t>
      </w:r>
      <w:r w:rsidRPr="00BB2078">
        <w:rPr>
          <w:noProof/>
        </w:rPr>
        <w:t>Articolo 1</w:t>
      </w:r>
    </w:p>
    <w:p w:rsidR="00E9657B" w:rsidRPr="00BB2078" w:rsidRDefault="00E9657B" w:rsidP="00E9657B">
      <w:pPr>
        <w:rPr>
          <w:noProof/>
          <w:shd w:val="clear" w:color="auto" w:fill="FFFFFF"/>
        </w:rPr>
      </w:pPr>
      <w:r w:rsidRPr="00BB2078">
        <w:rPr>
          <w:noProof/>
        </w:rPr>
        <w:t>L</w:t>
      </w:r>
      <w:r>
        <w:rPr>
          <w:noProof/>
        </w:rPr>
        <w:t>'</w:t>
      </w:r>
      <w:r w:rsidRPr="00BB2078">
        <w:rPr>
          <w:noProof/>
          <w:shd w:val="clear" w:color="auto" w:fill="FFFFFF"/>
        </w:rPr>
        <w:t>elenco dei progetti transfrontalieri nel settore dell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energia rinnovabile selezionati conformemente all</w:t>
      </w:r>
      <w:r>
        <w:rPr>
          <w:noProof/>
          <w:shd w:val="clear" w:color="auto" w:fill="FFFFFF"/>
        </w:rPr>
        <w:t>'</w:t>
      </w:r>
      <w:r w:rsidRPr="00BB2078">
        <w:rPr>
          <w:noProof/>
          <w:shd w:val="clear" w:color="auto" w:fill="FFFFFF"/>
        </w:rPr>
        <w:t>allegato, parte IV, punto 4, lettera g), del regolamento (UE) 2021/1153 è il seguente:</w:t>
      </w:r>
    </w:p>
    <w:p w:rsidR="00E9657B" w:rsidRPr="00BB2078" w:rsidRDefault="00E9657B" w:rsidP="00E9657B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2"/>
        <w:gridCol w:w="2765"/>
        <w:gridCol w:w="2606"/>
        <w:gridCol w:w="2216"/>
      </w:tblGrid>
      <w:tr w:rsidR="00E9657B" w:rsidRPr="00BB2078" w:rsidTr="001665C8">
        <w:tc>
          <w:tcPr>
            <w:tcW w:w="1809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Numero del progetto</w:t>
            </w:r>
          </w:p>
        </w:tc>
        <w:tc>
          <w:tcPr>
            <w:tcW w:w="2835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Titolo del progetto</w:t>
            </w:r>
          </w:p>
        </w:tc>
        <w:tc>
          <w:tcPr>
            <w:tcW w:w="2322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Promotori del progetto</w:t>
            </w:r>
          </w:p>
        </w:tc>
        <w:tc>
          <w:tcPr>
            <w:tcW w:w="2323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Paesi partecipanti</w:t>
            </w:r>
          </w:p>
        </w:tc>
      </w:tr>
      <w:tr w:rsidR="00E9657B" w:rsidRPr="00BB2078" w:rsidTr="001665C8">
        <w:tc>
          <w:tcPr>
            <w:tcW w:w="1809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2022-05</w:t>
            </w:r>
          </w:p>
        </w:tc>
        <w:tc>
          <w:tcPr>
            <w:tcW w:w="2835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ELWIND – Progetto congiunto Estonia-Lettonia per l</w:t>
            </w:r>
            <w:r>
              <w:rPr>
                <w:noProof/>
              </w:rPr>
              <w:t>'</w:t>
            </w:r>
            <w:r w:rsidRPr="00BB2078">
              <w:rPr>
                <w:noProof/>
              </w:rPr>
              <w:t>eolico ibrido offshore</w:t>
            </w:r>
          </w:p>
        </w:tc>
        <w:tc>
          <w:tcPr>
            <w:tcW w:w="2322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Ministero degli Affari economici e delle comunicazioni estone; ministero dell</w:t>
            </w:r>
            <w:r>
              <w:rPr>
                <w:noProof/>
              </w:rPr>
              <w:t>'</w:t>
            </w:r>
            <w:r w:rsidRPr="00BB2078">
              <w:rPr>
                <w:noProof/>
              </w:rPr>
              <w:t>Economia della Repubblica di Lettonia</w:t>
            </w:r>
          </w:p>
        </w:tc>
        <w:tc>
          <w:tcPr>
            <w:tcW w:w="2323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Estonia e Lettonia</w:t>
            </w:r>
          </w:p>
        </w:tc>
      </w:tr>
      <w:tr w:rsidR="00E9657B" w:rsidRPr="00BB2078" w:rsidTr="001665C8">
        <w:tc>
          <w:tcPr>
            <w:tcW w:w="1809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2022-07</w:t>
            </w:r>
          </w:p>
        </w:tc>
        <w:tc>
          <w:tcPr>
            <w:tcW w:w="2835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CICERONE – CEO Alliance – Alleanza transfrontaliera europea per la catena del valore dell</w:t>
            </w:r>
            <w:r>
              <w:rPr>
                <w:noProof/>
              </w:rPr>
              <w:t>'</w:t>
            </w:r>
            <w:r w:rsidRPr="00BB2078">
              <w:rPr>
                <w:noProof/>
              </w:rPr>
              <w:t>idrogeno verde</w:t>
            </w:r>
          </w:p>
        </w:tc>
        <w:tc>
          <w:tcPr>
            <w:tcW w:w="2322" w:type="dxa"/>
          </w:tcPr>
          <w:p w:rsidR="00E9657B" w:rsidRPr="00C06F25" w:rsidRDefault="00E9657B" w:rsidP="001665C8">
            <w:pPr>
              <w:rPr>
                <w:noProof/>
                <w:lang w:val="es-ES"/>
              </w:rPr>
            </w:pPr>
            <w:r w:rsidRPr="00C06F25">
              <w:rPr>
                <w:noProof/>
                <w:lang w:val="es-ES"/>
              </w:rPr>
              <w:t>EON.SE; IBERDROLA CLIENTES S.A.U.</w:t>
            </w:r>
          </w:p>
        </w:tc>
        <w:tc>
          <w:tcPr>
            <w:tcW w:w="2323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Germania, Spagna e Paesi Bassi</w:t>
            </w:r>
          </w:p>
        </w:tc>
      </w:tr>
      <w:tr w:rsidR="00E9657B" w:rsidRPr="00BB2078" w:rsidTr="001665C8">
        <w:tc>
          <w:tcPr>
            <w:tcW w:w="1809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2022-10</w:t>
            </w:r>
          </w:p>
        </w:tc>
        <w:tc>
          <w:tcPr>
            <w:tcW w:w="2835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 xml:space="preserve">UNITED HEAT – Teleriscaldamento climaticamente neutro nella città europea di Görlitz-Zgorzelec </w:t>
            </w:r>
          </w:p>
        </w:tc>
        <w:tc>
          <w:tcPr>
            <w:tcW w:w="2322" w:type="dxa"/>
          </w:tcPr>
          <w:p w:rsidR="00E9657B" w:rsidRPr="00C06F25" w:rsidRDefault="00E9657B" w:rsidP="001665C8">
            <w:pPr>
              <w:rPr>
                <w:noProof/>
                <w:lang w:val="de-DE"/>
              </w:rPr>
            </w:pPr>
            <w:r w:rsidRPr="00C06F25">
              <w:rPr>
                <w:noProof/>
                <w:lang w:val="de-DE"/>
              </w:rPr>
              <w:t>Stadtwerke Görlitz AG; SEC Zgorzelec Sp. z o.o.</w:t>
            </w:r>
          </w:p>
        </w:tc>
        <w:tc>
          <w:tcPr>
            <w:tcW w:w="2323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Germania e Polonia</w:t>
            </w:r>
          </w:p>
        </w:tc>
      </w:tr>
      <w:tr w:rsidR="00E9657B" w:rsidRPr="00BB2078" w:rsidTr="001665C8">
        <w:tc>
          <w:tcPr>
            <w:tcW w:w="1809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2023-2</w:t>
            </w:r>
          </w:p>
        </w:tc>
        <w:tc>
          <w:tcPr>
            <w:tcW w:w="2835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ULP-RES WP – Parco eolico Utilitas Lode-Penuja per la produzione di energia rinnovabile</w:t>
            </w:r>
          </w:p>
        </w:tc>
        <w:tc>
          <w:tcPr>
            <w:tcW w:w="2322" w:type="dxa"/>
          </w:tcPr>
          <w:p w:rsidR="00E9657B" w:rsidRPr="00C06F25" w:rsidRDefault="00E9657B" w:rsidP="001665C8">
            <w:pPr>
              <w:rPr>
                <w:noProof/>
                <w:lang w:val="en-IE"/>
              </w:rPr>
            </w:pPr>
            <w:r w:rsidRPr="00C06F25">
              <w:rPr>
                <w:noProof/>
                <w:lang w:val="en-IE"/>
              </w:rPr>
              <w:t>Utilitas Wind SIA; Utilitas Wind OÜ</w:t>
            </w:r>
          </w:p>
        </w:tc>
        <w:tc>
          <w:tcPr>
            <w:tcW w:w="2323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Lettonia ed Estonia</w:t>
            </w:r>
          </w:p>
        </w:tc>
      </w:tr>
      <w:tr w:rsidR="00E9657B" w:rsidRPr="00BB2078" w:rsidTr="001665C8">
        <w:tc>
          <w:tcPr>
            <w:tcW w:w="1809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2023-3</w:t>
            </w:r>
          </w:p>
        </w:tc>
        <w:tc>
          <w:tcPr>
            <w:tcW w:w="2835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SLOWP – Parco eolico offshore Saare-Liivi</w:t>
            </w:r>
          </w:p>
        </w:tc>
        <w:tc>
          <w:tcPr>
            <w:tcW w:w="2322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Utilitas Wind OÜ</w:t>
            </w:r>
          </w:p>
        </w:tc>
        <w:tc>
          <w:tcPr>
            <w:tcW w:w="2323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Lussemburgo ed Estonia</w:t>
            </w:r>
          </w:p>
        </w:tc>
      </w:tr>
      <w:tr w:rsidR="00E9657B" w:rsidRPr="00BB2078" w:rsidTr="001665C8">
        <w:tc>
          <w:tcPr>
            <w:tcW w:w="1809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2023-6</w:t>
            </w:r>
          </w:p>
        </w:tc>
        <w:tc>
          <w:tcPr>
            <w:tcW w:w="2835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TMNHSA – Complesso idroelettrico Turnu Măgurele – Nicopoli</w:t>
            </w:r>
          </w:p>
        </w:tc>
        <w:tc>
          <w:tcPr>
            <w:tcW w:w="2322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  <w:color w:val="000000" w:themeColor="text1"/>
              </w:rPr>
              <w:t>Natsionalna Elektricheska Kompania EAD</w:t>
            </w:r>
            <w:r w:rsidRPr="00BB2078">
              <w:rPr>
                <w:noProof/>
              </w:rPr>
              <w:t>;</w:t>
            </w:r>
          </w:p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  <w:color w:val="000000" w:themeColor="text1"/>
              </w:rPr>
              <w:t>S.P.E.E.H. Hidroelectrica SA</w:t>
            </w:r>
            <w:r w:rsidRPr="00BB2078">
              <w:rPr>
                <w:noProof/>
              </w:rPr>
              <w:t xml:space="preserve"> </w:t>
            </w:r>
          </w:p>
        </w:tc>
        <w:tc>
          <w:tcPr>
            <w:tcW w:w="2323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Bulgaria e Romania</w:t>
            </w:r>
          </w:p>
        </w:tc>
      </w:tr>
      <w:tr w:rsidR="00E9657B" w:rsidRPr="00BB2078" w:rsidTr="001665C8">
        <w:tc>
          <w:tcPr>
            <w:tcW w:w="1809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2023-7</w:t>
            </w:r>
          </w:p>
        </w:tc>
        <w:tc>
          <w:tcPr>
            <w:tcW w:w="2835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BEI – Isola energetica di Bornholm</w:t>
            </w:r>
          </w:p>
        </w:tc>
        <w:tc>
          <w:tcPr>
            <w:tcW w:w="2322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Ministero del Clima, dell</w:t>
            </w:r>
            <w:r>
              <w:rPr>
                <w:noProof/>
              </w:rPr>
              <w:t>'</w:t>
            </w:r>
            <w:r w:rsidRPr="00BB2078">
              <w:rPr>
                <w:noProof/>
              </w:rPr>
              <w:t>energia e dell</w:t>
            </w:r>
            <w:r>
              <w:rPr>
                <w:noProof/>
              </w:rPr>
              <w:t>'</w:t>
            </w:r>
            <w:r w:rsidRPr="00BB2078">
              <w:rPr>
                <w:noProof/>
              </w:rPr>
              <w:t>approvvigionamento</w:t>
            </w:r>
          </w:p>
        </w:tc>
        <w:tc>
          <w:tcPr>
            <w:tcW w:w="2323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Danimarca e Germania</w:t>
            </w:r>
          </w:p>
        </w:tc>
      </w:tr>
      <w:tr w:rsidR="00E9657B" w:rsidRPr="00BB2078" w:rsidTr="001665C8">
        <w:tc>
          <w:tcPr>
            <w:tcW w:w="1809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2023-9</w:t>
            </w:r>
          </w:p>
        </w:tc>
        <w:tc>
          <w:tcPr>
            <w:tcW w:w="2835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PONTIS – Sviluppo del trasferimento di energie rinnovabili per l</w:t>
            </w:r>
            <w:r>
              <w:rPr>
                <w:noProof/>
              </w:rPr>
              <w:t>'</w:t>
            </w:r>
            <w:r w:rsidRPr="00BB2078">
              <w:rPr>
                <w:noProof/>
              </w:rPr>
              <w:t>approvvigionamento internazionale in un</w:t>
            </w:r>
            <w:r>
              <w:rPr>
                <w:noProof/>
              </w:rPr>
              <w:t>'</w:t>
            </w:r>
            <w:r w:rsidRPr="00BB2078">
              <w:rPr>
                <w:noProof/>
              </w:rPr>
              <w:t>Europa connessa</w:t>
            </w:r>
          </w:p>
        </w:tc>
        <w:tc>
          <w:tcPr>
            <w:tcW w:w="2322" w:type="dxa"/>
          </w:tcPr>
          <w:p w:rsidR="00E9657B" w:rsidRPr="00C06F25" w:rsidRDefault="00E9657B" w:rsidP="001665C8">
            <w:pPr>
              <w:rPr>
                <w:noProof/>
                <w:lang w:val="es-ES"/>
              </w:rPr>
            </w:pPr>
            <w:r w:rsidRPr="00C06F25">
              <w:rPr>
                <w:noProof/>
                <w:lang w:val="es-ES"/>
              </w:rPr>
              <w:t>Iberdrola Clientes S.A.U.;</w:t>
            </w:r>
          </w:p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Mitsubishi Corporation</w:t>
            </w:r>
          </w:p>
        </w:tc>
        <w:tc>
          <w:tcPr>
            <w:tcW w:w="2323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Spagna e Paesi Bassi</w:t>
            </w:r>
          </w:p>
        </w:tc>
      </w:tr>
      <w:tr w:rsidR="00E9657B" w:rsidRPr="00BB2078" w:rsidTr="001665C8">
        <w:tc>
          <w:tcPr>
            <w:tcW w:w="1809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2024-1</w:t>
            </w:r>
          </w:p>
        </w:tc>
        <w:tc>
          <w:tcPr>
            <w:tcW w:w="2835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 xml:space="preserve">CORES – </w:t>
            </w:r>
            <w:r w:rsidRPr="00BB2078">
              <w:rPr>
                <w:noProof/>
                <w:color w:val="333333"/>
                <w:shd w:val="clear" w:color="auto" w:fill="FFFFFF"/>
              </w:rPr>
              <w:t>Studi globali sul potenziale delle energie rinnovabili offshore</w:t>
            </w:r>
          </w:p>
        </w:tc>
        <w:tc>
          <w:tcPr>
            <w:tcW w:w="2322" w:type="dxa"/>
          </w:tcPr>
          <w:p w:rsidR="00E9657B" w:rsidRPr="00BB2078" w:rsidRDefault="00E9657B" w:rsidP="001665C8">
            <w:pPr>
              <w:rPr>
                <w:iCs/>
                <w:noProof/>
                <w:szCs w:val="24"/>
              </w:rPr>
            </w:pPr>
            <w:r w:rsidRPr="00BB2078">
              <w:rPr>
                <w:noProof/>
                <w:color w:val="000000" w:themeColor="text1"/>
              </w:rPr>
              <w:t>DGEG – Direção-Geral de Energia e Geologia</w:t>
            </w:r>
          </w:p>
        </w:tc>
        <w:tc>
          <w:tcPr>
            <w:tcW w:w="2323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 xml:space="preserve">Portogallo e Lussemburgo </w:t>
            </w:r>
          </w:p>
        </w:tc>
      </w:tr>
      <w:tr w:rsidR="00E9657B" w:rsidRPr="00BB2078" w:rsidTr="001665C8">
        <w:tc>
          <w:tcPr>
            <w:tcW w:w="1809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2024-2</w:t>
            </w:r>
          </w:p>
        </w:tc>
        <w:tc>
          <w:tcPr>
            <w:tcW w:w="2835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Produzione di energia da fonti rinnovabili Medlink – MedGen</w:t>
            </w:r>
          </w:p>
          <w:p w:rsidR="00E9657B" w:rsidRPr="00BB2078" w:rsidRDefault="00E9657B" w:rsidP="001665C8">
            <w:pPr>
              <w:rPr>
                <w:noProof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E9657B" w:rsidRPr="00BB2078" w:rsidRDefault="00E9657B" w:rsidP="001665C8">
            <w:pPr>
              <w:rPr>
                <w:iCs/>
                <w:noProof/>
                <w:szCs w:val="24"/>
              </w:rPr>
            </w:pPr>
            <w:r w:rsidRPr="00BB2078">
              <w:rPr>
                <w:noProof/>
                <w:color w:val="000000" w:themeColor="text1"/>
              </w:rPr>
              <w:t>Zhero Europe B.V.: soggetto giuridico privato stabilito in uno Stato membro (Paesi Bassi – coordinatore)</w:t>
            </w:r>
            <w:r w:rsidRPr="00BB2078">
              <w:rPr>
                <w:noProof/>
              </w:rPr>
              <w:t xml:space="preserve"> </w:t>
            </w:r>
            <w:r w:rsidRPr="00BB2078">
              <w:rPr>
                <w:noProof/>
              </w:rPr>
              <w:br/>
            </w:r>
            <w:r w:rsidRPr="00BB2078">
              <w:rPr>
                <w:noProof/>
                <w:color w:val="000000" w:themeColor="text1"/>
              </w:rPr>
              <w:t>Medlinks Algeria B.V.: soggetto giuridico privato stabilito in uno Stato membro (Paesi Bassi – promotore)</w:t>
            </w:r>
            <w:r w:rsidRPr="00BB2078">
              <w:rPr>
                <w:noProof/>
              </w:rPr>
              <w:t xml:space="preserve"> </w:t>
            </w:r>
            <w:r w:rsidRPr="00BB2078">
              <w:rPr>
                <w:noProof/>
              </w:rPr>
              <w:br/>
            </w:r>
            <w:r w:rsidRPr="00BB2078">
              <w:rPr>
                <w:noProof/>
                <w:color w:val="000000" w:themeColor="text1"/>
              </w:rPr>
              <w:t>Medlinks Tunisia B.V.: soggetto giuridico privato stabilito in uno Stato membro (Paesi Bassi – promotore)</w:t>
            </w:r>
          </w:p>
        </w:tc>
        <w:tc>
          <w:tcPr>
            <w:tcW w:w="2323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Italia, Algeria e Tunisia</w:t>
            </w:r>
          </w:p>
        </w:tc>
      </w:tr>
      <w:tr w:rsidR="00E9657B" w:rsidRPr="00BB2078" w:rsidTr="001665C8">
        <w:tc>
          <w:tcPr>
            <w:tcW w:w="1809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2024-3</w:t>
            </w:r>
          </w:p>
        </w:tc>
        <w:tc>
          <w:tcPr>
            <w:tcW w:w="2835" w:type="dxa"/>
          </w:tcPr>
          <w:p w:rsidR="00E9657B" w:rsidRPr="00C06F25" w:rsidRDefault="00E9657B" w:rsidP="001665C8">
            <w:pPr>
              <w:rPr>
                <w:noProof/>
                <w:lang w:val="es-ES"/>
              </w:rPr>
            </w:pPr>
            <w:r w:rsidRPr="00C06F25">
              <w:rPr>
                <w:noProof/>
                <w:lang w:val="es-ES"/>
              </w:rPr>
              <w:t>Parco eolico Utilitas Eleja-Joniski – UELJO WP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E9657B" w:rsidRPr="00C06F25" w:rsidRDefault="00E9657B" w:rsidP="001665C8">
            <w:pPr>
              <w:rPr>
                <w:rFonts w:cs="Arial"/>
                <w:iCs/>
                <w:noProof/>
                <w:color w:val="000000" w:themeColor="text1"/>
                <w:szCs w:val="24"/>
                <w:lang w:val="en-IE"/>
              </w:rPr>
            </w:pPr>
            <w:r w:rsidRPr="00C06F25">
              <w:rPr>
                <w:noProof/>
                <w:color w:val="000000" w:themeColor="text1"/>
                <w:lang w:val="en-IE"/>
              </w:rPr>
              <w:t>Utilitas Wind SIA;</w:t>
            </w:r>
          </w:p>
          <w:p w:rsidR="00E9657B" w:rsidRPr="00C06F25" w:rsidRDefault="00E9657B" w:rsidP="001665C8">
            <w:pPr>
              <w:rPr>
                <w:rFonts w:cs="Arial"/>
                <w:iCs/>
                <w:noProof/>
                <w:color w:val="000000" w:themeColor="text1"/>
                <w:szCs w:val="24"/>
                <w:lang w:val="en-IE"/>
              </w:rPr>
            </w:pPr>
            <w:r w:rsidRPr="00C06F25">
              <w:rPr>
                <w:noProof/>
                <w:color w:val="000000" w:themeColor="text1"/>
                <w:lang w:val="en-IE"/>
              </w:rPr>
              <w:t>Utilitas Wind UAB</w:t>
            </w:r>
          </w:p>
        </w:tc>
        <w:tc>
          <w:tcPr>
            <w:tcW w:w="2323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Lettonia e Lituania</w:t>
            </w:r>
          </w:p>
        </w:tc>
      </w:tr>
      <w:tr w:rsidR="00E9657B" w:rsidRPr="00BB2078" w:rsidTr="001665C8">
        <w:tc>
          <w:tcPr>
            <w:tcW w:w="1809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2024-4</w:t>
            </w:r>
          </w:p>
        </w:tc>
        <w:tc>
          <w:tcPr>
            <w:tcW w:w="2835" w:type="dxa"/>
          </w:tcPr>
          <w:p w:rsidR="00E9657B" w:rsidRPr="00BB2078" w:rsidRDefault="00E9657B" w:rsidP="001665C8">
            <w:pPr>
              <w:rPr>
                <w:b/>
                <w:bCs/>
                <w:noProof/>
                <w:szCs w:val="24"/>
              </w:rPr>
            </w:pPr>
            <w:r w:rsidRPr="00BB2078">
              <w:rPr>
                <w:noProof/>
                <w:color w:val="000000" w:themeColor="text1"/>
              </w:rPr>
              <w:t>Parco eolico offshore Liivi Bay</w:t>
            </w:r>
          </w:p>
          <w:p w:rsidR="00E9657B" w:rsidRPr="00BB2078" w:rsidRDefault="00E9657B" w:rsidP="001665C8">
            <w:pPr>
              <w:rPr>
                <w:b/>
                <w:bCs/>
                <w:noProof/>
              </w:rPr>
            </w:pPr>
          </w:p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b/>
                <w:noProof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E9657B" w:rsidRPr="00BB2078" w:rsidRDefault="00E9657B" w:rsidP="001665C8">
            <w:pPr>
              <w:rPr>
                <w:iCs/>
                <w:noProof/>
                <w:szCs w:val="24"/>
              </w:rPr>
            </w:pPr>
            <w:r w:rsidRPr="00BB2078">
              <w:rPr>
                <w:noProof/>
                <w:color w:val="000000" w:themeColor="text1"/>
              </w:rPr>
              <w:t>Enefit Green AS</w:t>
            </w:r>
          </w:p>
        </w:tc>
        <w:tc>
          <w:tcPr>
            <w:tcW w:w="2323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Estonia e Lettonia</w:t>
            </w:r>
          </w:p>
          <w:p w:rsidR="00E9657B" w:rsidRPr="00BB2078" w:rsidRDefault="00E9657B" w:rsidP="001665C8">
            <w:pPr>
              <w:rPr>
                <w:noProof/>
              </w:rPr>
            </w:pPr>
          </w:p>
          <w:p w:rsidR="00E9657B" w:rsidRPr="00BB2078" w:rsidRDefault="00E9657B" w:rsidP="001665C8">
            <w:pPr>
              <w:rPr>
                <w:noProof/>
              </w:rPr>
            </w:pPr>
          </w:p>
          <w:p w:rsidR="00E9657B" w:rsidRPr="00BB2078" w:rsidRDefault="00E9657B" w:rsidP="001665C8">
            <w:pPr>
              <w:rPr>
                <w:noProof/>
              </w:rPr>
            </w:pPr>
          </w:p>
          <w:p w:rsidR="00E9657B" w:rsidRPr="00BB2078" w:rsidRDefault="00E9657B" w:rsidP="001665C8">
            <w:pPr>
              <w:rPr>
                <w:noProof/>
              </w:rPr>
            </w:pPr>
          </w:p>
        </w:tc>
      </w:tr>
      <w:tr w:rsidR="00E9657B" w:rsidRPr="00BB2078" w:rsidTr="001665C8">
        <w:tc>
          <w:tcPr>
            <w:tcW w:w="1809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2024-6</w:t>
            </w:r>
          </w:p>
        </w:tc>
        <w:tc>
          <w:tcPr>
            <w:tcW w:w="2835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Trasformazione verde del teleriscaldamento nelle città gemellate di Słubice e Francoforte (Oder) – Twin Heat</w:t>
            </w:r>
          </w:p>
        </w:tc>
        <w:tc>
          <w:tcPr>
            <w:tcW w:w="2322" w:type="dxa"/>
          </w:tcPr>
          <w:p w:rsidR="00E9657B" w:rsidRPr="00C06F25" w:rsidRDefault="00E9657B" w:rsidP="001665C8">
            <w:pPr>
              <w:rPr>
                <w:rFonts w:cs="Arial"/>
                <w:iCs/>
                <w:noProof/>
                <w:color w:val="000000" w:themeColor="text1"/>
                <w:szCs w:val="24"/>
                <w:lang w:val="de-DE"/>
              </w:rPr>
            </w:pPr>
            <w:r w:rsidRPr="00C06F25">
              <w:rPr>
                <w:noProof/>
                <w:color w:val="000000" w:themeColor="text1"/>
                <w:lang w:val="de-DE"/>
              </w:rPr>
              <w:t xml:space="preserve">SEC Region Sp. z o.o. e Stadtwerke Frankfurt (Oder) GmbH </w:t>
            </w:r>
          </w:p>
          <w:p w:rsidR="00E9657B" w:rsidRPr="00C06F25" w:rsidRDefault="00E9657B" w:rsidP="001665C8">
            <w:pPr>
              <w:rPr>
                <w:noProof/>
                <w:lang w:val="de-DE"/>
              </w:rPr>
            </w:pPr>
          </w:p>
        </w:tc>
        <w:tc>
          <w:tcPr>
            <w:tcW w:w="2323" w:type="dxa"/>
          </w:tcPr>
          <w:p w:rsidR="00E9657B" w:rsidRPr="00BB2078" w:rsidRDefault="00E9657B" w:rsidP="001665C8">
            <w:pPr>
              <w:rPr>
                <w:noProof/>
              </w:rPr>
            </w:pPr>
            <w:r w:rsidRPr="00BB2078">
              <w:rPr>
                <w:noProof/>
              </w:rPr>
              <w:t>Polonia e Germania</w:t>
            </w:r>
            <w:r>
              <w:rPr>
                <w:noProof/>
              </w:rPr>
              <w:t>"</w:t>
            </w:r>
          </w:p>
        </w:tc>
      </w:tr>
    </w:tbl>
    <w:p w:rsidR="00E9657B" w:rsidRPr="00BB2078" w:rsidRDefault="00E9657B" w:rsidP="00E9657B">
      <w:pPr>
        <w:rPr>
          <w:noProof/>
        </w:rPr>
      </w:pPr>
    </w:p>
    <w:p w:rsidR="00E9657B" w:rsidRPr="00BB2078" w:rsidRDefault="00E9657B" w:rsidP="00E9657B">
      <w:pPr>
        <w:pStyle w:val="Titrearticle"/>
        <w:rPr>
          <w:noProof/>
        </w:rPr>
      </w:pPr>
      <w:r w:rsidRPr="00BB2078">
        <w:rPr>
          <w:noProof/>
        </w:rPr>
        <w:t>Articolo 2</w:t>
      </w:r>
    </w:p>
    <w:p w:rsidR="00E9657B" w:rsidRPr="00BB2078" w:rsidRDefault="00E9657B" w:rsidP="00E9657B">
      <w:pPr>
        <w:rPr>
          <w:noProof/>
        </w:rPr>
      </w:pPr>
      <w:r w:rsidRPr="00BB2078">
        <w:rPr>
          <w:noProof/>
        </w:rPr>
        <w:t xml:space="preserve">Il presente regolamento entra in vigore il </w:t>
      </w:r>
      <w:r w:rsidRPr="00BB2078">
        <w:rPr>
          <w:noProof/>
          <w:shd w:val="clear" w:color="auto" w:fill="FFFFFF"/>
        </w:rPr>
        <w:t>ventesimo</w:t>
      </w:r>
      <w:r w:rsidRPr="00BB2078">
        <w:rPr>
          <w:noProof/>
        </w:rPr>
        <w:t xml:space="preserve"> giorno successivo alla pubblicazione nella </w:t>
      </w:r>
      <w:r w:rsidRPr="00BB2078">
        <w:rPr>
          <w:i/>
          <w:noProof/>
        </w:rPr>
        <w:t>Gazzetta ufficiale dell</w:t>
      </w:r>
      <w:r>
        <w:rPr>
          <w:i/>
          <w:noProof/>
        </w:rPr>
        <w:t>'</w:t>
      </w:r>
      <w:r w:rsidRPr="00BB2078">
        <w:rPr>
          <w:i/>
          <w:noProof/>
        </w:rPr>
        <w:t>Unione europea</w:t>
      </w:r>
      <w:r w:rsidRPr="00BB2078">
        <w:rPr>
          <w:noProof/>
        </w:rPr>
        <w:t>.</w:t>
      </w:r>
    </w:p>
    <w:p w:rsidR="00E9657B" w:rsidRPr="00BB2078" w:rsidRDefault="00E9657B" w:rsidP="00E9657B">
      <w:pPr>
        <w:pStyle w:val="Applicationdirecte"/>
        <w:rPr>
          <w:noProof/>
        </w:rPr>
      </w:pPr>
      <w:r w:rsidRPr="00BB2078">
        <w:rPr>
          <w:noProof/>
        </w:rPr>
        <w:t>Il presente regolamento è obbligatorio in tutti i suoi elementi e direttamente applicabile in ciascuno degli Stati membri.</w:t>
      </w:r>
    </w:p>
    <w:p w:rsidR="00E9657B" w:rsidRPr="00BB2078" w:rsidRDefault="00B24D0D" w:rsidP="00916BD7">
      <w:pPr>
        <w:pStyle w:val="Fait"/>
        <w:rPr>
          <w:noProof/>
        </w:rPr>
      </w:pPr>
      <w:r>
        <w:rPr>
          <w:noProof/>
        </w:rPr>
        <w:t>Fatto a Bruxelles, il 29.7.2025</w:t>
      </w:r>
    </w:p>
    <w:p w:rsidR="00E9657B" w:rsidRPr="00BB2078" w:rsidRDefault="00E9657B" w:rsidP="00916BD7">
      <w:pPr>
        <w:pStyle w:val="Institutionquisigne"/>
        <w:rPr>
          <w:noProof/>
        </w:rPr>
      </w:pPr>
      <w:r w:rsidRPr="00BB2078">
        <w:rPr>
          <w:noProof/>
        </w:rPr>
        <w:tab/>
        <w:t>Per la Commissione</w:t>
      </w:r>
    </w:p>
    <w:p w:rsidR="009E4462" w:rsidRPr="00E9657B" w:rsidRDefault="000F2C13" w:rsidP="00AE53C0">
      <w:pPr>
        <w:pStyle w:val="Personnequisigne"/>
        <w:rPr>
          <w:noProof/>
        </w:rPr>
      </w:pPr>
      <w:r>
        <w:rPr>
          <w:noProof/>
        </w:rPr>
        <w:tab/>
        <w:t>La presidente</w:t>
      </w:r>
      <w:r>
        <w:rPr>
          <w:noProof/>
        </w:rPr>
        <w:br/>
      </w:r>
      <w:r>
        <w:rPr>
          <w:noProof/>
        </w:rPr>
        <w:tab/>
        <w:t>Ursula VON DER LEYEN</w:t>
      </w:r>
    </w:p>
    <w:sectPr w:rsidR="009E4462" w:rsidRPr="00E9657B" w:rsidSect="009D4071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DFA" w:rsidRDefault="00047DFA" w:rsidP="009E4462">
      <w:pPr>
        <w:spacing w:before="0" w:after="0"/>
      </w:pPr>
      <w:r>
        <w:separator/>
      </w:r>
    </w:p>
  </w:endnote>
  <w:endnote w:type="continuationSeparator" w:id="0">
    <w:p w:rsidR="00047DFA" w:rsidRDefault="00047DFA" w:rsidP="009E4462">
      <w:pPr>
        <w:spacing w:before="0" w:after="0"/>
      </w:pPr>
      <w:r>
        <w:continuationSeparator/>
      </w:r>
    </w:p>
  </w:endnote>
  <w:endnote w:type="continuationNotice" w:id="1">
    <w:p w:rsidR="00047DFA" w:rsidRDefault="00047DF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071" w:rsidRPr="009D4071" w:rsidRDefault="009D4071" w:rsidP="009D4071">
    <w:pPr>
      <w:pStyle w:val="Footer"/>
      <w:rPr>
        <w:rFonts w:ascii="Arial" w:hAnsi="Arial" w:cs="Arial"/>
        <w:b/>
        <w:sz w:val="48"/>
      </w:rPr>
    </w:pPr>
    <w:r w:rsidRPr="009D4071">
      <w:rPr>
        <w:rFonts w:ascii="Arial" w:hAnsi="Arial" w:cs="Arial"/>
        <w:b/>
        <w:sz w:val="48"/>
      </w:rPr>
      <w:t>IT</w:t>
    </w:r>
    <w:r w:rsidRPr="009D4071">
      <w:rPr>
        <w:rFonts w:ascii="Arial" w:hAnsi="Arial" w:cs="Arial"/>
        <w:b/>
        <w:sz w:val="48"/>
      </w:rPr>
      <w:tab/>
    </w:r>
    <w:r w:rsidRPr="009D4071">
      <w:rPr>
        <w:rFonts w:ascii="Arial" w:hAnsi="Arial" w:cs="Arial"/>
        <w:b/>
        <w:sz w:val="48"/>
      </w:rPr>
      <w:tab/>
    </w:r>
    <w:r w:rsidRPr="009D4071">
      <w:tab/>
    </w:r>
    <w:r w:rsidRPr="009D4071">
      <w:rPr>
        <w:rFonts w:ascii="Arial" w:hAnsi="Arial" w:cs="Arial"/>
        <w:b/>
        <w:sz w:val="48"/>
      </w:rPr>
      <w:t>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071" w:rsidRPr="009D4071" w:rsidRDefault="009D4071" w:rsidP="009D4071">
    <w:pPr>
      <w:pStyle w:val="Footer"/>
      <w:rPr>
        <w:rFonts w:ascii="Arial" w:hAnsi="Arial" w:cs="Arial"/>
        <w:b/>
        <w:sz w:val="48"/>
      </w:rPr>
    </w:pPr>
    <w:r w:rsidRPr="009D4071">
      <w:rPr>
        <w:rFonts w:ascii="Arial" w:hAnsi="Arial" w:cs="Arial"/>
        <w:b/>
        <w:sz w:val="48"/>
      </w:rPr>
      <w:t>IT</w:t>
    </w:r>
    <w:r w:rsidRPr="009D4071">
      <w:rPr>
        <w:rFonts w:ascii="Arial" w:hAnsi="Arial" w:cs="Arial"/>
        <w:b/>
        <w:sz w:val="48"/>
      </w:rPr>
      <w:tab/>
    </w:r>
    <w:r w:rsidRPr="009D4071">
      <w:rPr>
        <w:rFonts w:ascii="Arial" w:hAnsi="Arial" w:cs="Arial"/>
        <w:b/>
        <w:sz w:val="48"/>
      </w:rPr>
      <w:tab/>
    </w:r>
    <w:r w:rsidRPr="009D4071">
      <w:tab/>
    </w:r>
    <w:r w:rsidRPr="009D4071">
      <w:rPr>
        <w:rFonts w:ascii="Arial" w:hAnsi="Arial" w:cs="Arial"/>
        <w:b/>
        <w:sz w:val="48"/>
      </w:rPr>
      <w:t>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071" w:rsidRDefault="009D407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071" w:rsidRPr="009D4071" w:rsidRDefault="009D4071" w:rsidP="009D4071">
    <w:pPr>
      <w:pStyle w:val="Footer"/>
      <w:rPr>
        <w:rFonts w:ascii="Arial" w:hAnsi="Arial" w:cs="Arial"/>
        <w:b/>
        <w:sz w:val="48"/>
      </w:rPr>
    </w:pPr>
    <w:r w:rsidRPr="009D4071">
      <w:rPr>
        <w:rFonts w:ascii="Arial" w:hAnsi="Arial" w:cs="Arial"/>
        <w:b/>
        <w:sz w:val="48"/>
      </w:rPr>
      <w:t>IT</w:t>
    </w:r>
    <w:r w:rsidRPr="009D407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916BD7">
      <w:rPr>
        <w:noProof/>
      </w:rPr>
      <w:t>5</w:t>
    </w:r>
    <w:r>
      <w:fldChar w:fldCharType="end"/>
    </w:r>
    <w:r>
      <w:tab/>
    </w:r>
    <w:r w:rsidRPr="009D4071">
      <w:tab/>
    </w:r>
    <w:r w:rsidRPr="009D4071">
      <w:rPr>
        <w:rFonts w:ascii="Arial" w:hAnsi="Arial" w:cs="Arial"/>
        <w:b/>
        <w:sz w:val="48"/>
      </w:rPr>
      <w:t>IT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071" w:rsidRDefault="009D4071" w:rsidP="009D4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DFA" w:rsidRDefault="00047DFA" w:rsidP="009E4462">
      <w:pPr>
        <w:spacing w:before="0" w:after="0"/>
      </w:pPr>
      <w:r>
        <w:separator/>
      </w:r>
    </w:p>
  </w:footnote>
  <w:footnote w:type="continuationSeparator" w:id="0">
    <w:p w:rsidR="00047DFA" w:rsidRDefault="00047DFA" w:rsidP="009E4462">
      <w:pPr>
        <w:spacing w:before="0" w:after="0"/>
      </w:pPr>
      <w:r>
        <w:continuationSeparator/>
      </w:r>
    </w:p>
  </w:footnote>
  <w:footnote w:type="continuationNotice" w:id="1">
    <w:p w:rsidR="00047DFA" w:rsidRDefault="00047DFA">
      <w:pPr>
        <w:spacing w:before="0" w:after="0"/>
      </w:pPr>
    </w:p>
  </w:footnote>
  <w:footnote w:id="2">
    <w:p w:rsidR="00E9657B" w:rsidRPr="00BB2078" w:rsidRDefault="00E9657B" w:rsidP="00E9657B">
      <w:pPr>
        <w:rPr>
          <w:sz w:val="20"/>
          <w:szCs w:val="20"/>
        </w:rPr>
      </w:pPr>
      <w:r w:rsidRPr="008527E2">
        <w:rPr>
          <w:rStyle w:val="FootnoteReference"/>
        </w:rPr>
        <w:footnoteRef/>
      </w:r>
      <w:r w:rsidRPr="00BB2078">
        <w:tab/>
      </w:r>
      <w:r w:rsidRPr="00BB2078">
        <w:rPr>
          <w:sz w:val="20"/>
        </w:rPr>
        <w:t>GU L 249 del 14.7.2021, pag. 38, ELI: </w:t>
      </w:r>
      <w:hyperlink r:id="rId1" w:tooltip="Il link dà accesso al documento tramite il relativo URI ELI." w:history="1">
        <w:r w:rsidRPr="00BB2078">
          <w:rPr>
            <w:rStyle w:val="Hyperlink"/>
            <w:sz w:val="20"/>
          </w:rPr>
          <w:t>http://data.europa.eu/eli/reg/2021/1153/oj</w:t>
        </w:r>
      </w:hyperlink>
      <w:r w:rsidRPr="00BB2078">
        <w:t>.</w:t>
      </w:r>
    </w:p>
  </w:footnote>
  <w:footnote w:id="3">
    <w:p w:rsidR="00E9657B" w:rsidRPr="00BB2078" w:rsidRDefault="00E9657B" w:rsidP="00E9657B">
      <w:pPr>
        <w:pStyle w:val="FootnoteText"/>
      </w:pPr>
      <w:r>
        <w:rPr>
          <w:rStyle w:val="FootnoteReference"/>
        </w:rPr>
        <w:footnoteRef/>
      </w:r>
      <w:r w:rsidRPr="00BB2078">
        <w:tab/>
      </w:r>
      <w:bookmarkStart w:id="1" w:name="_Hlk203033859"/>
      <w:r w:rsidRPr="00BB2078">
        <w:t>GU L 62 dell</w:t>
      </w:r>
      <w:r>
        <w:t>'</w:t>
      </w:r>
      <w:r w:rsidRPr="00BB2078">
        <w:t xml:space="preserve">1.3.2022, pag. 1, ELI: </w:t>
      </w:r>
      <w:hyperlink r:id="rId2" w:history="1">
        <w:r w:rsidRPr="00BB2078">
          <w:rPr>
            <w:rStyle w:val="Hyperlink"/>
          </w:rPr>
          <w:t>http://data.europa.eu/eli/reg_del/2022/342/oj</w:t>
        </w:r>
      </w:hyperlink>
      <w:r w:rsidRPr="00BB2078">
        <w:t>.</w:t>
      </w:r>
      <w:bookmarkEnd w:id="1"/>
    </w:p>
  </w:footnote>
  <w:footnote w:id="4">
    <w:p w:rsidR="00E9657B" w:rsidRPr="00BB2078" w:rsidRDefault="00E9657B" w:rsidP="00E9657B">
      <w:pPr>
        <w:pStyle w:val="FootnoteText"/>
      </w:pPr>
      <w:r>
        <w:rPr>
          <w:rStyle w:val="FootnoteReference"/>
        </w:rPr>
        <w:footnoteRef/>
      </w:r>
      <w:r w:rsidRPr="00BB2078">
        <w:tab/>
        <w:t>Regolamento (UE) 2021/1153 del Parlamento europeo e del Consiglio, del 7 luglio 2021, che istituisce il meccanismo per collegare l</w:t>
      </w:r>
      <w:r>
        <w:t>'</w:t>
      </w:r>
      <w:r w:rsidRPr="00BB2078">
        <w:t>Europa e abroga i regolamenti (UE) n. 1316/2013 e (UE) n. 283/2014 (GU L 249 del 14.7.2021, pag. 38, ELI: </w:t>
      </w:r>
      <w:hyperlink r:id="rId3" w:tooltip="Il link dà accesso al documento tramite il relativo URI ELI." w:history="1">
        <w:r w:rsidRPr="00BB2078">
          <w:rPr>
            <w:rStyle w:val="Hyperlink"/>
          </w:rPr>
          <w:t>http://data.europa.eu/eli/reg/2021/1153/oj</w:t>
        </w:r>
      </w:hyperlink>
      <w:r w:rsidRPr="00BB2078">
        <w:t>).</w:t>
      </w:r>
    </w:p>
  </w:footnote>
  <w:footnote w:id="5">
    <w:p w:rsidR="00E9657B" w:rsidRPr="00BB2078" w:rsidRDefault="00E9657B" w:rsidP="00E9657B">
      <w:pPr>
        <w:pStyle w:val="FootnoteText"/>
      </w:pPr>
      <w:r>
        <w:rPr>
          <w:rStyle w:val="FootnoteReference"/>
        </w:rPr>
        <w:footnoteRef/>
      </w:r>
      <w:r w:rsidRPr="00BB2078">
        <w:tab/>
        <w:t>Direttiva (UE) 2018/2001 del Parlamento europeo e del Consiglio, dell</w:t>
      </w:r>
      <w:r>
        <w:t>'</w:t>
      </w:r>
      <w:r w:rsidRPr="00BB2078">
        <w:t>11 dicembre 2018, sulla promozione dell</w:t>
      </w:r>
      <w:r>
        <w:t>'</w:t>
      </w:r>
      <w:r w:rsidRPr="00BB2078">
        <w:t>uso dell</w:t>
      </w:r>
      <w:r>
        <w:t>'</w:t>
      </w:r>
      <w:r w:rsidRPr="00BB2078">
        <w:t>energia da fonti rinnovabili (GU L 328 del 21.12.2018, pag. 82, ELI:</w:t>
      </w:r>
      <w:r>
        <w:t> </w:t>
      </w:r>
      <w:r w:rsidRPr="00BB2078">
        <w:t>http://data.europa.eu/eli/dir/2018/2001/oj).</w:t>
      </w:r>
    </w:p>
  </w:footnote>
  <w:footnote w:id="6">
    <w:p w:rsidR="00E9657B" w:rsidRPr="00BB2078" w:rsidRDefault="00E9657B" w:rsidP="00E9657B">
      <w:pPr>
        <w:pStyle w:val="FootnoteText"/>
      </w:pPr>
      <w:r>
        <w:rPr>
          <w:rStyle w:val="FootnoteReference"/>
        </w:rPr>
        <w:footnoteRef/>
      </w:r>
      <w:r w:rsidRPr="00BB2078">
        <w:tab/>
        <w:t>Regolamento delegato (UE) 2022/342 della Commissione, del 21 dicembre 2021, che integra il regolamento (UE) 2021/1153 del Parlamento europeo e del Consiglio per quanto riguarda i criteri di selezione specifici e i dettagli della procedura di selezione dei progetti transfrontalieri nel settore</w:t>
      </w:r>
      <w:r w:rsidR="002A25AC">
        <w:t> </w:t>
      </w:r>
      <w:r w:rsidRPr="00BB2078">
        <w:t>dell</w:t>
      </w:r>
      <w:r>
        <w:t>'</w:t>
      </w:r>
      <w:r w:rsidRPr="00BB2078">
        <w:t>energia rinnovabile (GU</w:t>
      </w:r>
      <w:r w:rsidR="002A25AC">
        <w:t> </w:t>
      </w:r>
      <w:r w:rsidRPr="00BB2078">
        <w:t>L 62 dell</w:t>
      </w:r>
      <w:r>
        <w:t>'</w:t>
      </w:r>
      <w:r w:rsidRPr="00BB2078">
        <w:t>1.3.2022, pag. 1, ELI:</w:t>
      </w:r>
      <w:r>
        <w:t> </w:t>
      </w:r>
      <w:hyperlink r:id="rId4" w:tgtFrame="_blank" w:history="1">
        <w:r w:rsidRPr="00BB2078">
          <w:rPr>
            <w:rStyle w:val="Hyperlink"/>
          </w:rPr>
          <w:t>http://data.europa.eu/eli/reg_del/2022/342/oj</w:t>
        </w:r>
      </w:hyperlink>
      <w:r w:rsidRPr="00BB2078">
        <w:t>).</w:t>
      </w:r>
    </w:p>
  </w:footnote>
  <w:footnote w:id="7">
    <w:p w:rsidR="00E9657B" w:rsidRPr="00BB2078" w:rsidRDefault="00E9657B" w:rsidP="00E9657B">
      <w:pPr>
        <w:pStyle w:val="FootnoteText"/>
      </w:pPr>
      <w:r>
        <w:rPr>
          <w:rStyle w:val="FootnoteReference"/>
        </w:rPr>
        <w:footnoteRef/>
      </w:r>
      <w:r w:rsidRPr="00BB2078">
        <w:tab/>
        <w:t>Regolamento (UE) 2021/1153 del Parlamento europeo e del Consiglio, del 7 luglio 2021, che istituisce il meccanismo per collegare l</w:t>
      </w:r>
      <w:r>
        <w:t>'</w:t>
      </w:r>
      <w:r w:rsidRPr="00BB2078">
        <w:t>Europa e abroga i regolamenti (UE) n. 1316/2013 e (UE) n. 283/2014 (GU L 249 del 14.7.2021, pag. 38, ELI: http://data.europa.eu/eli/reg/2021/1153/oj).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071" w:rsidRDefault="009D4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071" w:rsidRDefault="009D4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DC6834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75E56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082B1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27868E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  <w:lvlOverride w:ilvl="0">
      <w:startOverride w:val="1"/>
    </w:lvlOverride>
  </w:num>
  <w:num w:numId="6">
    <w:abstractNumId w:val="18"/>
  </w:num>
  <w:num w:numId="7">
    <w:abstractNumId w:val="15"/>
  </w:num>
  <w:num w:numId="8">
    <w:abstractNumId w:val="8"/>
  </w:num>
  <w:num w:numId="9">
    <w:abstractNumId w:val="17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6"/>
  </w:num>
  <w:num w:numId="15">
    <w:abstractNumId w:val="4"/>
  </w:num>
  <w:num w:numId="16">
    <w:abstractNumId w:val="11"/>
  </w:num>
  <w:num w:numId="17">
    <w:abstractNumId w:val="13"/>
  </w:num>
  <w:num w:numId="18">
    <w:abstractNumId w:val="14"/>
  </w:num>
  <w:num w:numId="19">
    <w:abstractNumId w:val="6"/>
  </w:num>
  <w:num w:numId="20">
    <w:abstractNumId w:val="12"/>
  </w:num>
  <w:num w:numId="21">
    <w:abstractNumId w:val="18"/>
  </w:num>
  <w:num w:numId="22">
    <w:abstractNumId w:val="15"/>
  </w:num>
  <w:num w:numId="23">
    <w:abstractNumId w:val="8"/>
  </w:num>
  <w:num w:numId="24">
    <w:abstractNumId w:val="17"/>
  </w:num>
  <w:num w:numId="25">
    <w:abstractNumId w:val="7"/>
  </w:num>
  <w:num w:numId="26">
    <w:abstractNumId w:val="9"/>
  </w:num>
  <w:num w:numId="27">
    <w:abstractNumId w:val="10"/>
  </w:num>
  <w:num w:numId="28">
    <w:abstractNumId w:val="5"/>
  </w:num>
  <w:num w:numId="29">
    <w:abstractNumId w:val="16"/>
  </w:num>
  <w:num w:numId="30">
    <w:abstractNumId w:val="4"/>
  </w:num>
  <w:num w:numId="31">
    <w:abstractNumId w:val="11"/>
  </w:num>
  <w:num w:numId="32">
    <w:abstractNumId w:val="13"/>
  </w:num>
  <w:num w:numId="33">
    <w:abstractNumId w:val="14"/>
  </w:num>
  <w:num w:numId="34">
    <w:abstractNumId w:val="6"/>
  </w:num>
  <w:num w:numId="35">
    <w:abstractNumId w:val="12"/>
  </w:num>
  <w:num w:numId="36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07-22 10:48:33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BBBFBE30-A385-41C7-9F06-4A311A760401"/>
    <w:docVar w:name="LW_COVERPAGE_TYPE" w:val="1"/>
    <w:docVar w:name="LW_CROSSREFERENCE" w:val="&lt;UNUSED&gt;"/>
    <w:docVar w:name="LW_DATE.ADOPT.CP" w:val="del 29.7.2025"/>
    <w:docVar w:name="LW_DATE.ADOPT.CP_DATEFORMAT" w:val="del %DATE%"/>
    <w:docVar w:name="LW_DATE.ADOPT.CP_ISODATE" w:val="2025-07-29"/>
    <w:docVar w:name="LW_DocType" w:val="COM"/>
    <w:docVar w:name="LW_EMISSION" w:val="29.7.2025"/>
    <w:docVar w:name="LW_EMISSION_ISODATE" w:val="2025-07-29"/>
    <w:docVar w:name="LW_EMISSION_LOCATION" w:val="BRX"/>
    <w:docVar w:name="LW_EMISSION_PREFIX" w:val="Bruxelles, "/>
    <w:docVar w:name="LW_EMISSION_SUFFIX" w:val=" "/>
    <w:docVar w:name="LW_ID_DOCMODEL" w:val="SJ-003"/>
    <w:docVar w:name="LW_ID_DOCSIGNATURE" w:val="SJ-003"/>
    <w:docVar w:name="LW_ID_DOCSTRUCTURE" w:val="COM/AA"/>
    <w:docVar w:name="LW_ID_DOCTYPE" w:val="SJ-003"/>
    <w:docVar w:name="LW_INSERT_EXP.MOTIFS.NEW" w:val="1"/>
    <w:docVar w:name="LW_INTERETEEE.CP" w:val="(Testo rilevante ai fini del SEE)"/>
    <w:docVar w:name="LW_LANGUE" w:val="IT"/>
    <w:docVar w:name="LW_LANGUESFAISANTFOI.CP" w:val="&lt;UNUSED&gt;"/>
    <w:docVar w:name="LW_LEVEL_OF_SENSITIVITY" w:val="Standard treatment"/>
    <w:docVar w:name="LW_NOM.INST" w:val="COMMISSIONE EUROPEA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5) 5117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che modifica il regolamento delegato (UE) 2022/2202 aggiornando l'elenco dei progetti transfrontalieri selezionati nel settore dell'energia rinnovabile"/>
    <w:docVar w:name="LW_TYPE.DOC.CP" w:val="REGOLAMENTO DELEGATO (UE) \u8230?/... DELLA COMMISSIONE"/>
    <w:docVar w:name="LwApiVersions" w:val="LW4CoDe 1.24.5.0; LW 9.0, Build 20240221"/>
  </w:docVars>
  <w:rsids>
    <w:rsidRoot w:val="009E4462"/>
    <w:rsid w:val="0000052E"/>
    <w:rsid w:val="00000A29"/>
    <w:rsid w:val="000014CC"/>
    <w:rsid w:val="0000308E"/>
    <w:rsid w:val="00004A70"/>
    <w:rsid w:val="000138E8"/>
    <w:rsid w:val="000150A3"/>
    <w:rsid w:val="00015A87"/>
    <w:rsid w:val="000204FF"/>
    <w:rsid w:val="00021C61"/>
    <w:rsid w:val="000224F5"/>
    <w:rsid w:val="000305A8"/>
    <w:rsid w:val="00032085"/>
    <w:rsid w:val="000470E9"/>
    <w:rsid w:val="00047DFA"/>
    <w:rsid w:val="00051460"/>
    <w:rsid w:val="0006146A"/>
    <w:rsid w:val="00063AE7"/>
    <w:rsid w:val="00065CA0"/>
    <w:rsid w:val="0006613A"/>
    <w:rsid w:val="000671FA"/>
    <w:rsid w:val="000701B2"/>
    <w:rsid w:val="00070B7C"/>
    <w:rsid w:val="00072BFB"/>
    <w:rsid w:val="00077001"/>
    <w:rsid w:val="00081C53"/>
    <w:rsid w:val="00086766"/>
    <w:rsid w:val="0009025F"/>
    <w:rsid w:val="00094D49"/>
    <w:rsid w:val="000A747C"/>
    <w:rsid w:val="000A7C3C"/>
    <w:rsid w:val="000B0E14"/>
    <w:rsid w:val="000B2AD2"/>
    <w:rsid w:val="000B66F6"/>
    <w:rsid w:val="000B6B32"/>
    <w:rsid w:val="000B73F3"/>
    <w:rsid w:val="000C0D65"/>
    <w:rsid w:val="000C141F"/>
    <w:rsid w:val="000C6DD7"/>
    <w:rsid w:val="000E4D86"/>
    <w:rsid w:val="000E7E8F"/>
    <w:rsid w:val="000F2C13"/>
    <w:rsid w:val="000F583C"/>
    <w:rsid w:val="001065F5"/>
    <w:rsid w:val="001070E8"/>
    <w:rsid w:val="001113B5"/>
    <w:rsid w:val="00111CE8"/>
    <w:rsid w:val="00112BB7"/>
    <w:rsid w:val="00113120"/>
    <w:rsid w:val="00114D5D"/>
    <w:rsid w:val="00114ED2"/>
    <w:rsid w:val="001164A5"/>
    <w:rsid w:val="00116537"/>
    <w:rsid w:val="001214D2"/>
    <w:rsid w:val="001238EF"/>
    <w:rsid w:val="00135C3E"/>
    <w:rsid w:val="001414DC"/>
    <w:rsid w:val="00142C5E"/>
    <w:rsid w:val="00145661"/>
    <w:rsid w:val="00147680"/>
    <w:rsid w:val="0015010F"/>
    <w:rsid w:val="00156B88"/>
    <w:rsid w:val="00160857"/>
    <w:rsid w:val="00165677"/>
    <w:rsid w:val="00166002"/>
    <w:rsid w:val="001752DD"/>
    <w:rsid w:val="00177FAE"/>
    <w:rsid w:val="00180BA2"/>
    <w:rsid w:val="0018116E"/>
    <w:rsid w:val="0018207A"/>
    <w:rsid w:val="001822D3"/>
    <w:rsid w:val="00184784"/>
    <w:rsid w:val="001862B6"/>
    <w:rsid w:val="00190ABF"/>
    <w:rsid w:val="00190CD0"/>
    <w:rsid w:val="00192CAD"/>
    <w:rsid w:val="00193C39"/>
    <w:rsid w:val="00195D8C"/>
    <w:rsid w:val="00196C01"/>
    <w:rsid w:val="00196ED6"/>
    <w:rsid w:val="00197613"/>
    <w:rsid w:val="001A245F"/>
    <w:rsid w:val="001A248D"/>
    <w:rsid w:val="001A3EC6"/>
    <w:rsid w:val="001A448B"/>
    <w:rsid w:val="001A4873"/>
    <w:rsid w:val="001A7ED6"/>
    <w:rsid w:val="001B27C5"/>
    <w:rsid w:val="001B7C9D"/>
    <w:rsid w:val="001C29C3"/>
    <w:rsid w:val="001E07EA"/>
    <w:rsid w:val="001E3EBD"/>
    <w:rsid w:val="001E4CE2"/>
    <w:rsid w:val="001F1BBA"/>
    <w:rsid w:val="002028CE"/>
    <w:rsid w:val="00203AE8"/>
    <w:rsid w:val="00205699"/>
    <w:rsid w:val="00211F96"/>
    <w:rsid w:val="0021253F"/>
    <w:rsid w:val="0022218E"/>
    <w:rsid w:val="00222D25"/>
    <w:rsid w:val="00223A51"/>
    <w:rsid w:val="00223E85"/>
    <w:rsid w:val="0022431C"/>
    <w:rsid w:val="0023133B"/>
    <w:rsid w:val="00232B8A"/>
    <w:rsid w:val="00233DC7"/>
    <w:rsid w:val="002357EA"/>
    <w:rsid w:val="00244019"/>
    <w:rsid w:val="00247779"/>
    <w:rsid w:val="002567A2"/>
    <w:rsid w:val="0025695C"/>
    <w:rsid w:val="00256F6C"/>
    <w:rsid w:val="00261C78"/>
    <w:rsid w:val="00264181"/>
    <w:rsid w:val="0027076E"/>
    <w:rsid w:val="00270EE3"/>
    <w:rsid w:val="0027277F"/>
    <w:rsid w:val="00274B79"/>
    <w:rsid w:val="00280677"/>
    <w:rsid w:val="002826E1"/>
    <w:rsid w:val="00282B61"/>
    <w:rsid w:val="00285BEE"/>
    <w:rsid w:val="00286331"/>
    <w:rsid w:val="00291289"/>
    <w:rsid w:val="0029377F"/>
    <w:rsid w:val="0029533F"/>
    <w:rsid w:val="00295EE7"/>
    <w:rsid w:val="002A0BA1"/>
    <w:rsid w:val="002A25AC"/>
    <w:rsid w:val="002A3916"/>
    <w:rsid w:val="002A66D8"/>
    <w:rsid w:val="002B0B98"/>
    <w:rsid w:val="002B0E44"/>
    <w:rsid w:val="002B2FB5"/>
    <w:rsid w:val="002B30AF"/>
    <w:rsid w:val="002B5C11"/>
    <w:rsid w:val="002C2C1F"/>
    <w:rsid w:val="002D0465"/>
    <w:rsid w:val="002D1E77"/>
    <w:rsid w:val="002D2450"/>
    <w:rsid w:val="002D4CED"/>
    <w:rsid w:val="002E00E1"/>
    <w:rsid w:val="002E3F01"/>
    <w:rsid w:val="002F11A4"/>
    <w:rsid w:val="002F39E1"/>
    <w:rsid w:val="002F69A5"/>
    <w:rsid w:val="002F7BD7"/>
    <w:rsid w:val="00302367"/>
    <w:rsid w:val="00305423"/>
    <w:rsid w:val="00307BE9"/>
    <w:rsid w:val="003108E1"/>
    <w:rsid w:val="003209DC"/>
    <w:rsid w:val="00322A74"/>
    <w:rsid w:val="0032322C"/>
    <w:rsid w:val="0033344A"/>
    <w:rsid w:val="003359BF"/>
    <w:rsid w:val="00337F2F"/>
    <w:rsid w:val="0034349E"/>
    <w:rsid w:val="0034649C"/>
    <w:rsid w:val="00346CF8"/>
    <w:rsid w:val="00350FCA"/>
    <w:rsid w:val="00356634"/>
    <w:rsid w:val="0035734D"/>
    <w:rsid w:val="0037290D"/>
    <w:rsid w:val="003812F7"/>
    <w:rsid w:val="00385E19"/>
    <w:rsid w:val="00386DCA"/>
    <w:rsid w:val="0039050B"/>
    <w:rsid w:val="003A1C29"/>
    <w:rsid w:val="003A292B"/>
    <w:rsid w:val="003B6F1B"/>
    <w:rsid w:val="003B7624"/>
    <w:rsid w:val="003B7922"/>
    <w:rsid w:val="003C1E1B"/>
    <w:rsid w:val="003C4390"/>
    <w:rsid w:val="003C7A6A"/>
    <w:rsid w:val="003C7EC6"/>
    <w:rsid w:val="003D48FA"/>
    <w:rsid w:val="003D5E15"/>
    <w:rsid w:val="003D7163"/>
    <w:rsid w:val="003E3B77"/>
    <w:rsid w:val="003E4504"/>
    <w:rsid w:val="003E4E8C"/>
    <w:rsid w:val="003F2D00"/>
    <w:rsid w:val="003F5B61"/>
    <w:rsid w:val="003F7CAA"/>
    <w:rsid w:val="00400616"/>
    <w:rsid w:val="0040230D"/>
    <w:rsid w:val="00407FA4"/>
    <w:rsid w:val="00410AEF"/>
    <w:rsid w:val="00411E51"/>
    <w:rsid w:val="00417FDF"/>
    <w:rsid w:val="00420724"/>
    <w:rsid w:val="0042077B"/>
    <w:rsid w:val="004221CC"/>
    <w:rsid w:val="0042648E"/>
    <w:rsid w:val="004300CA"/>
    <w:rsid w:val="00440275"/>
    <w:rsid w:val="004404FA"/>
    <w:rsid w:val="00440920"/>
    <w:rsid w:val="00446B2A"/>
    <w:rsid w:val="004471B5"/>
    <w:rsid w:val="00450EA9"/>
    <w:rsid w:val="00451BEA"/>
    <w:rsid w:val="00453A44"/>
    <w:rsid w:val="004551E8"/>
    <w:rsid w:val="0045672D"/>
    <w:rsid w:val="00456A0C"/>
    <w:rsid w:val="00456CE9"/>
    <w:rsid w:val="00463F42"/>
    <w:rsid w:val="0046531C"/>
    <w:rsid w:val="0048068E"/>
    <w:rsid w:val="004862E6"/>
    <w:rsid w:val="00486B90"/>
    <w:rsid w:val="00490ECE"/>
    <w:rsid w:val="004936D2"/>
    <w:rsid w:val="004950C5"/>
    <w:rsid w:val="004A07DF"/>
    <w:rsid w:val="004A1E5F"/>
    <w:rsid w:val="004A337E"/>
    <w:rsid w:val="004A6A00"/>
    <w:rsid w:val="004A7618"/>
    <w:rsid w:val="004B0364"/>
    <w:rsid w:val="004B1D54"/>
    <w:rsid w:val="004B2A53"/>
    <w:rsid w:val="004C7A92"/>
    <w:rsid w:val="004D2418"/>
    <w:rsid w:val="004D757E"/>
    <w:rsid w:val="004E27BB"/>
    <w:rsid w:val="004E392C"/>
    <w:rsid w:val="004E6EFD"/>
    <w:rsid w:val="004F0586"/>
    <w:rsid w:val="004F0A66"/>
    <w:rsid w:val="005002B5"/>
    <w:rsid w:val="00512BB4"/>
    <w:rsid w:val="00516F1E"/>
    <w:rsid w:val="0052256E"/>
    <w:rsid w:val="00530306"/>
    <w:rsid w:val="00541398"/>
    <w:rsid w:val="00547F88"/>
    <w:rsid w:val="00551516"/>
    <w:rsid w:val="00556145"/>
    <w:rsid w:val="0056702C"/>
    <w:rsid w:val="00567B72"/>
    <w:rsid w:val="0057021C"/>
    <w:rsid w:val="00570BE2"/>
    <w:rsid w:val="005714B3"/>
    <w:rsid w:val="00574AC4"/>
    <w:rsid w:val="0058411E"/>
    <w:rsid w:val="0058415E"/>
    <w:rsid w:val="00585D9D"/>
    <w:rsid w:val="00594ECB"/>
    <w:rsid w:val="00595AA0"/>
    <w:rsid w:val="005A090A"/>
    <w:rsid w:val="005A0A34"/>
    <w:rsid w:val="005B1C4C"/>
    <w:rsid w:val="005B1EB6"/>
    <w:rsid w:val="005B4A16"/>
    <w:rsid w:val="005B56FA"/>
    <w:rsid w:val="005C6551"/>
    <w:rsid w:val="005D2802"/>
    <w:rsid w:val="005D6567"/>
    <w:rsid w:val="005D68D4"/>
    <w:rsid w:val="005E1469"/>
    <w:rsid w:val="005E44D7"/>
    <w:rsid w:val="005E5D43"/>
    <w:rsid w:val="005F4F5B"/>
    <w:rsid w:val="00602D72"/>
    <w:rsid w:val="0061754E"/>
    <w:rsid w:val="0061770A"/>
    <w:rsid w:val="006218FA"/>
    <w:rsid w:val="0062619C"/>
    <w:rsid w:val="006271D4"/>
    <w:rsid w:val="00636377"/>
    <w:rsid w:val="00636814"/>
    <w:rsid w:val="0064146F"/>
    <w:rsid w:val="0064312F"/>
    <w:rsid w:val="00652D8D"/>
    <w:rsid w:val="006601AA"/>
    <w:rsid w:val="006602EB"/>
    <w:rsid w:val="006605E8"/>
    <w:rsid w:val="00670585"/>
    <w:rsid w:val="0067531F"/>
    <w:rsid w:val="00677F5E"/>
    <w:rsid w:val="00681D16"/>
    <w:rsid w:val="00682D06"/>
    <w:rsid w:val="00687D1F"/>
    <w:rsid w:val="00690245"/>
    <w:rsid w:val="00690B1E"/>
    <w:rsid w:val="006A125F"/>
    <w:rsid w:val="006A69B7"/>
    <w:rsid w:val="006B096A"/>
    <w:rsid w:val="006B0A86"/>
    <w:rsid w:val="006B1F42"/>
    <w:rsid w:val="006B4506"/>
    <w:rsid w:val="006B55EC"/>
    <w:rsid w:val="006B6DB9"/>
    <w:rsid w:val="006B7A61"/>
    <w:rsid w:val="006E0AB5"/>
    <w:rsid w:val="006E5BB1"/>
    <w:rsid w:val="006F5090"/>
    <w:rsid w:val="006F5406"/>
    <w:rsid w:val="007050D0"/>
    <w:rsid w:val="0071058C"/>
    <w:rsid w:val="00713005"/>
    <w:rsid w:val="00714B04"/>
    <w:rsid w:val="00715452"/>
    <w:rsid w:val="00723D1C"/>
    <w:rsid w:val="00726491"/>
    <w:rsid w:val="0073214C"/>
    <w:rsid w:val="0075152E"/>
    <w:rsid w:val="00751B5E"/>
    <w:rsid w:val="0075372C"/>
    <w:rsid w:val="00753DBF"/>
    <w:rsid w:val="00756470"/>
    <w:rsid w:val="007611DB"/>
    <w:rsid w:val="0076178F"/>
    <w:rsid w:val="00764F02"/>
    <w:rsid w:val="00773331"/>
    <w:rsid w:val="00773C5C"/>
    <w:rsid w:val="007740E4"/>
    <w:rsid w:val="00780DBA"/>
    <w:rsid w:val="0078428D"/>
    <w:rsid w:val="007932EF"/>
    <w:rsid w:val="007A02FF"/>
    <w:rsid w:val="007A5A46"/>
    <w:rsid w:val="007A5C1A"/>
    <w:rsid w:val="007A66F5"/>
    <w:rsid w:val="007B3F1D"/>
    <w:rsid w:val="007B3FCF"/>
    <w:rsid w:val="007B7E8F"/>
    <w:rsid w:val="007C25F6"/>
    <w:rsid w:val="007C38F5"/>
    <w:rsid w:val="007C44A9"/>
    <w:rsid w:val="007D5F2F"/>
    <w:rsid w:val="007D72EE"/>
    <w:rsid w:val="007E05B0"/>
    <w:rsid w:val="007E51B9"/>
    <w:rsid w:val="007E5F5A"/>
    <w:rsid w:val="007E7F7B"/>
    <w:rsid w:val="007F715C"/>
    <w:rsid w:val="00803D87"/>
    <w:rsid w:val="008045D6"/>
    <w:rsid w:val="00806374"/>
    <w:rsid w:val="00810862"/>
    <w:rsid w:val="00810C07"/>
    <w:rsid w:val="00811169"/>
    <w:rsid w:val="008132DF"/>
    <w:rsid w:val="00813719"/>
    <w:rsid w:val="008149C9"/>
    <w:rsid w:val="0081691D"/>
    <w:rsid w:val="0082107E"/>
    <w:rsid w:val="008222F3"/>
    <w:rsid w:val="00825349"/>
    <w:rsid w:val="00825556"/>
    <w:rsid w:val="00826F44"/>
    <w:rsid w:val="00827ED1"/>
    <w:rsid w:val="0084234D"/>
    <w:rsid w:val="00843222"/>
    <w:rsid w:val="008436D1"/>
    <w:rsid w:val="00844B1A"/>
    <w:rsid w:val="00846425"/>
    <w:rsid w:val="008521F1"/>
    <w:rsid w:val="00854774"/>
    <w:rsid w:val="00855B20"/>
    <w:rsid w:val="00857CA6"/>
    <w:rsid w:val="00861F6E"/>
    <w:rsid w:val="008656A7"/>
    <w:rsid w:val="0087461B"/>
    <w:rsid w:val="00874D22"/>
    <w:rsid w:val="00877EAF"/>
    <w:rsid w:val="008859C1"/>
    <w:rsid w:val="00886CDB"/>
    <w:rsid w:val="00893162"/>
    <w:rsid w:val="0089610C"/>
    <w:rsid w:val="00896587"/>
    <w:rsid w:val="008A0442"/>
    <w:rsid w:val="008A2914"/>
    <w:rsid w:val="008A3A68"/>
    <w:rsid w:val="008B3DB6"/>
    <w:rsid w:val="008B3E74"/>
    <w:rsid w:val="008C035C"/>
    <w:rsid w:val="008C1045"/>
    <w:rsid w:val="008C34BA"/>
    <w:rsid w:val="008C7A2E"/>
    <w:rsid w:val="008D11B4"/>
    <w:rsid w:val="008E4D8E"/>
    <w:rsid w:val="008F59AC"/>
    <w:rsid w:val="00913E51"/>
    <w:rsid w:val="009166B6"/>
    <w:rsid w:val="00916BD7"/>
    <w:rsid w:val="00917C9D"/>
    <w:rsid w:val="009213F5"/>
    <w:rsid w:val="009238A8"/>
    <w:rsid w:val="009238C6"/>
    <w:rsid w:val="00930EED"/>
    <w:rsid w:val="009328EE"/>
    <w:rsid w:val="0093576C"/>
    <w:rsid w:val="00936A23"/>
    <w:rsid w:val="0093723A"/>
    <w:rsid w:val="00941C02"/>
    <w:rsid w:val="00945054"/>
    <w:rsid w:val="00945CF5"/>
    <w:rsid w:val="00961BC4"/>
    <w:rsid w:val="00974024"/>
    <w:rsid w:val="009743A8"/>
    <w:rsid w:val="00976FA8"/>
    <w:rsid w:val="009816DC"/>
    <w:rsid w:val="00982F0A"/>
    <w:rsid w:val="00987558"/>
    <w:rsid w:val="00990F22"/>
    <w:rsid w:val="00992D2C"/>
    <w:rsid w:val="00994E32"/>
    <w:rsid w:val="00996B7C"/>
    <w:rsid w:val="009A396E"/>
    <w:rsid w:val="009A7D41"/>
    <w:rsid w:val="009B48A0"/>
    <w:rsid w:val="009C196A"/>
    <w:rsid w:val="009C523C"/>
    <w:rsid w:val="009C7169"/>
    <w:rsid w:val="009D0557"/>
    <w:rsid w:val="009D4071"/>
    <w:rsid w:val="009D4CBD"/>
    <w:rsid w:val="009D75DC"/>
    <w:rsid w:val="009E4462"/>
    <w:rsid w:val="009F0ABB"/>
    <w:rsid w:val="009F2AD4"/>
    <w:rsid w:val="009F2DBC"/>
    <w:rsid w:val="00A01046"/>
    <w:rsid w:val="00A0428C"/>
    <w:rsid w:val="00A056A5"/>
    <w:rsid w:val="00A07374"/>
    <w:rsid w:val="00A07FCE"/>
    <w:rsid w:val="00A1146F"/>
    <w:rsid w:val="00A11D7B"/>
    <w:rsid w:val="00A123FD"/>
    <w:rsid w:val="00A15958"/>
    <w:rsid w:val="00A17B37"/>
    <w:rsid w:val="00A339F8"/>
    <w:rsid w:val="00A33BCC"/>
    <w:rsid w:val="00A41570"/>
    <w:rsid w:val="00A42115"/>
    <w:rsid w:val="00A55ACB"/>
    <w:rsid w:val="00A613AE"/>
    <w:rsid w:val="00A633A7"/>
    <w:rsid w:val="00A66B49"/>
    <w:rsid w:val="00A677D7"/>
    <w:rsid w:val="00A7449F"/>
    <w:rsid w:val="00A8451E"/>
    <w:rsid w:val="00A85D93"/>
    <w:rsid w:val="00A93618"/>
    <w:rsid w:val="00A93DF7"/>
    <w:rsid w:val="00A965BA"/>
    <w:rsid w:val="00AA16A7"/>
    <w:rsid w:val="00AA381F"/>
    <w:rsid w:val="00AA3D8E"/>
    <w:rsid w:val="00AA439D"/>
    <w:rsid w:val="00AA4B4C"/>
    <w:rsid w:val="00AB0DE6"/>
    <w:rsid w:val="00AB717A"/>
    <w:rsid w:val="00AC7918"/>
    <w:rsid w:val="00AD1207"/>
    <w:rsid w:val="00AD3CD0"/>
    <w:rsid w:val="00AD467F"/>
    <w:rsid w:val="00AE17BC"/>
    <w:rsid w:val="00AE53C0"/>
    <w:rsid w:val="00AF11C4"/>
    <w:rsid w:val="00AF17C5"/>
    <w:rsid w:val="00AF2AE5"/>
    <w:rsid w:val="00AF4310"/>
    <w:rsid w:val="00B035A0"/>
    <w:rsid w:val="00B0518A"/>
    <w:rsid w:val="00B070F1"/>
    <w:rsid w:val="00B11950"/>
    <w:rsid w:val="00B1712A"/>
    <w:rsid w:val="00B23407"/>
    <w:rsid w:val="00B24D0D"/>
    <w:rsid w:val="00B26D4A"/>
    <w:rsid w:val="00B27092"/>
    <w:rsid w:val="00B353E0"/>
    <w:rsid w:val="00B36B47"/>
    <w:rsid w:val="00B430B8"/>
    <w:rsid w:val="00B5331D"/>
    <w:rsid w:val="00B610FC"/>
    <w:rsid w:val="00B6198D"/>
    <w:rsid w:val="00B65EB0"/>
    <w:rsid w:val="00B666B7"/>
    <w:rsid w:val="00B67C77"/>
    <w:rsid w:val="00B755B9"/>
    <w:rsid w:val="00B76441"/>
    <w:rsid w:val="00B7744F"/>
    <w:rsid w:val="00B812BB"/>
    <w:rsid w:val="00B85B3E"/>
    <w:rsid w:val="00B910E5"/>
    <w:rsid w:val="00B91128"/>
    <w:rsid w:val="00B93A70"/>
    <w:rsid w:val="00BA5F2A"/>
    <w:rsid w:val="00BB10CF"/>
    <w:rsid w:val="00BB5CEA"/>
    <w:rsid w:val="00BB6900"/>
    <w:rsid w:val="00BD012E"/>
    <w:rsid w:val="00BD0F80"/>
    <w:rsid w:val="00BD20BF"/>
    <w:rsid w:val="00BD4AE3"/>
    <w:rsid w:val="00BD6850"/>
    <w:rsid w:val="00BE72F7"/>
    <w:rsid w:val="00BF10AA"/>
    <w:rsid w:val="00BF3B62"/>
    <w:rsid w:val="00BF7992"/>
    <w:rsid w:val="00C00564"/>
    <w:rsid w:val="00C01382"/>
    <w:rsid w:val="00C04B4F"/>
    <w:rsid w:val="00C061C9"/>
    <w:rsid w:val="00C075AF"/>
    <w:rsid w:val="00C11D11"/>
    <w:rsid w:val="00C12301"/>
    <w:rsid w:val="00C175BC"/>
    <w:rsid w:val="00C22612"/>
    <w:rsid w:val="00C32070"/>
    <w:rsid w:val="00C33157"/>
    <w:rsid w:val="00C33B2D"/>
    <w:rsid w:val="00C359CE"/>
    <w:rsid w:val="00C40B05"/>
    <w:rsid w:val="00C458D5"/>
    <w:rsid w:val="00C469A7"/>
    <w:rsid w:val="00C46B61"/>
    <w:rsid w:val="00C47B19"/>
    <w:rsid w:val="00C528DF"/>
    <w:rsid w:val="00C52ED8"/>
    <w:rsid w:val="00C63081"/>
    <w:rsid w:val="00C751BC"/>
    <w:rsid w:val="00C75F9E"/>
    <w:rsid w:val="00C85E47"/>
    <w:rsid w:val="00C8619A"/>
    <w:rsid w:val="00C92589"/>
    <w:rsid w:val="00CA0E77"/>
    <w:rsid w:val="00CB2C61"/>
    <w:rsid w:val="00CB4FE1"/>
    <w:rsid w:val="00CC52F3"/>
    <w:rsid w:val="00CC5393"/>
    <w:rsid w:val="00CC7CAC"/>
    <w:rsid w:val="00CD2A4F"/>
    <w:rsid w:val="00CD318C"/>
    <w:rsid w:val="00CD58DB"/>
    <w:rsid w:val="00CE2FDD"/>
    <w:rsid w:val="00CE4985"/>
    <w:rsid w:val="00CE4C84"/>
    <w:rsid w:val="00CF0378"/>
    <w:rsid w:val="00CF301C"/>
    <w:rsid w:val="00CF5430"/>
    <w:rsid w:val="00CF772B"/>
    <w:rsid w:val="00D02259"/>
    <w:rsid w:val="00D10B2B"/>
    <w:rsid w:val="00D1164E"/>
    <w:rsid w:val="00D121C6"/>
    <w:rsid w:val="00D16F1E"/>
    <w:rsid w:val="00D17EB8"/>
    <w:rsid w:val="00D20381"/>
    <w:rsid w:val="00D25644"/>
    <w:rsid w:val="00D27929"/>
    <w:rsid w:val="00D3094F"/>
    <w:rsid w:val="00D37577"/>
    <w:rsid w:val="00D46A57"/>
    <w:rsid w:val="00D51472"/>
    <w:rsid w:val="00D53713"/>
    <w:rsid w:val="00D61884"/>
    <w:rsid w:val="00D62DF8"/>
    <w:rsid w:val="00D66ED9"/>
    <w:rsid w:val="00D72CB5"/>
    <w:rsid w:val="00D868D2"/>
    <w:rsid w:val="00D87996"/>
    <w:rsid w:val="00D87C4C"/>
    <w:rsid w:val="00D95B5C"/>
    <w:rsid w:val="00D9773A"/>
    <w:rsid w:val="00DA5F9B"/>
    <w:rsid w:val="00DB24FF"/>
    <w:rsid w:val="00DB4ABB"/>
    <w:rsid w:val="00DC0E56"/>
    <w:rsid w:val="00DC19EF"/>
    <w:rsid w:val="00DC3884"/>
    <w:rsid w:val="00DC6F4E"/>
    <w:rsid w:val="00DD630B"/>
    <w:rsid w:val="00DE4BEC"/>
    <w:rsid w:val="00DF0A2E"/>
    <w:rsid w:val="00DF1A19"/>
    <w:rsid w:val="00DF22E6"/>
    <w:rsid w:val="00DF3669"/>
    <w:rsid w:val="00DF398E"/>
    <w:rsid w:val="00DF722C"/>
    <w:rsid w:val="00E05F83"/>
    <w:rsid w:val="00E06557"/>
    <w:rsid w:val="00E079E4"/>
    <w:rsid w:val="00E107C2"/>
    <w:rsid w:val="00E139AF"/>
    <w:rsid w:val="00E213F8"/>
    <w:rsid w:val="00E24204"/>
    <w:rsid w:val="00E27A2C"/>
    <w:rsid w:val="00E3732A"/>
    <w:rsid w:val="00E37A33"/>
    <w:rsid w:val="00E4637C"/>
    <w:rsid w:val="00E46FF4"/>
    <w:rsid w:val="00E47AB1"/>
    <w:rsid w:val="00E5188B"/>
    <w:rsid w:val="00E55568"/>
    <w:rsid w:val="00E571DE"/>
    <w:rsid w:val="00E61BDD"/>
    <w:rsid w:val="00E679AA"/>
    <w:rsid w:val="00E739D6"/>
    <w:rsid w:val="00E74937"/>
    <w:rsid w:val="00E7554C"/>
    <w:rsid w:val="00E76B0F"/>
    <w:rsid w:val="00E7767A"/>
    <w:rsid w:val="00E77900"/>
    <w:rsid w:val="00E87424"/>
    <w:rsid w:val="00E903E0"/>
    <w:rsid w:val="00E922CB"/>
    <w:rsid w:val="00E9657B"/>
    <w:rsid w:val="00E96B31"/>
    <w:rsid w:val="00E97272"/>
    <w:rsid w:val="00EA20CC"/>
    <w:rsid w:val="00EA2C7E"/>
    <w:rsid w:val="00EA5022"/>
    <w:rsid w:val="00EA7F03"/>
    <w:rsid w:val="00EB7340"/>
    <w:rsid w:val="00EC713C"/>
    <w:rsid w:val="00ED0086"/>
    <w:rsid w:val="00ED158F"/>
    <w:rsid w:val="00ED278A"/>
    <w:rsid w:val="00ED460C"/>
    <w:rsid w:val="00ED6944"/>
    <w:rsid w:val="00EE0320"/>
    <w:rsid w:val="00EE64DC"/>
    <w:rsid w:val="00EF18A4"/>
    <w:rsid w:val="00F176A6"/>
    <w:rsid w:val="00F176DF"/>
    <w:rsid w:val="00F230E7"/>
    <w:rsid w:val="00F2320C"/>
    <w:rsid w:val="00F34848"/>
    <w:rsid w:val="00F3564A"/>
    <w:rsid w:val="00F43F2F"/>
    <w:rsid w:val="00F51D1C"/>
    <w:rsid w:val="00F55CF3"/>
    <w:rsid w:val="00F60118"/>
    <w:rsid w:val="00F62507"/>
    <w:rsid w:val="00F665C1"/>
    <w:rsid w:val="00F804CF"/>
    <w:rsid w:val="00F91FB1"/>
    <w:rsid w:val="00F96629"/>
    <w:rsid w:val="00F96FB3"/>
    <w:rsid w:val="00FA36C1"/>
    <w:rsid w:val="00FB4248"/>
    <w:rsid w:val="00FB5949"/>
    <w:rsid w:val="00FB6B30"/>
    <w:rsid w:val="00FC0F9B"/>
    <w:rsid w:val="00FC38F8"/>
    <w:rsid w:val="00FD1E70"/>
    <w:rsid w:val="00FD5115"/>
    <w:rsid w:val="00FD51DB"/>
    <w:rsid w:val="00FD6954"/>
    <w:rsid w:val="00FD6F3F"/>
    <w:rsid w:val="00FE3470"/>
    <w:rsid w:val="00FE756A"/>
    <w:rsid w:val="00FF36A0"/>
    <w:rsid w:val="00FF6002"/>
    <w:rsid w:val="00FF66F5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13C04F8C-7438-464B-A5A6-16B4D5D3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it-I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9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9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9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0557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36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377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377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ListBullet">
    <w:name w:val="List Bullet"/>
    <w:basedOn w:val="Normal"/>
    <w:uiPriority w:val="99"/>
    <w:semiHidden/>
    <w:unhideWhenUsed/>
    <w:rsid w:val="00CC52F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C52F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52F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52F3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44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441"/>
    <w:rPr>
      <w:rFonts w:ascii="Segoe UI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690B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812F7"/>
    <w:rPr>
      <w:color w:val="0000FF" w:themeColor="hyperlink"/>
      <w:u w:val="single"/>
    </w:rPr>
  </w:style>
  <w:style w:type="paragraph" w:customStyle="1" w:styleId="freemarkerexpression">
    <w:name w:val="freemarker expression"/>
    <w:basedOn w:val="Normal"/>
    <w:link w:val="freemarkerexpressionChar"/>
    <w:qFormat/>
    <w:rsid w:val="00F51D1C"/>
    <w:pPr>
      <w:widowControl w:val="0"/>
      <w:spacing w:before="0" w:after="0"/>
      <w:jc w:val="center"/>
    </w:pPr>
    <w:rPr>
      <w:rFonts w:eastAsia="Calibri"/>
      <w:color w:val="FF0000"/>
      <w:sz w:val="20"/>
      <w:szCs w:val="24"/>
      <w:lang w:eastAsia="en-GB"/>
    </w:rPr>
  </w:style>
  <w:style w:type="character" w:customStyle="1" w:styleId="freemarkerexpressionChar">
    <w:name w:val="freemarker expression Char"/>
    <w:basedOn w:val="DefaultParagraphFont"/>
    <w:link w:val="freemarkerexpression"/>
    <w:rsid w:val="00F51D1C"/>
    <w:rPr>
      <w:rFonts w:ascii="Times New Roman" w:eastAsia="Calibri" w:hAnsi="Times New Roman" w:cs="Times New Roman"/>
      <w:color w:val="FF0000"/>
      <w:sz w:val="20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B096A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256E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9D4071"/>
    <w:rPr>
      <w:rFonts w:ascii="Times New Roman" w:hAnsi="Times New Roman" w:cs="Times New Roman"/>
      <w:sz w:val="24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9D4071"/>
    <w:rPr>
      <w:rFonts w:ascii="Times New Roman" w:hAnsi="Times New Roman" w:cs="Times New Roman"/>
      <w:sz w:val="24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9D40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9D4071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9D40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2"/>
      </w:numPr>
    </w:pPr>
  </w:style>
  <w:style w:type="paragraph" w:customStyle="1" w:styleId="Tiret1">
    <w:name w:val="Tiret 1"/>
    <w:basedOn w:val="Point1"/>
    <w:pPr>
      <w:numPr>
        <w:numId w:val="23"/>
      </w:numPr>
    </w:pPr>
  </w:style>
  <w:style w:type="paragraph" w:customStyle="1" w:styleId="Tiret2">
    <w:name w:val="Tiret 2"/>
    <w:basedOn w:val="Point2"/>
    <w:pPr>
      <w:numPr>
        <w:numId w:val="24"/>
      </w:numPr>
    </w:pPr>
  </w:style>
  <w:style w:type="paragraph" w:customStyle="1" w:styleId="Tiret3">
    <w:name w:val="Tiret 3"/>
    <w:basedOn w:val="Point3"/>
    <w:pPr>
      <w:numPr>
        <w:numId w:val="25"/>
      </w:numPr>
    </w:pPr>
  </w:style>
  <w:style w:type="paragraph" w:customStyle="1" w:styleId="Tiret4">
    <w:name w:val="Tiret 4"/>
    <w:basedOn w:val="Point4"/>
    <w:pPr>
      <w:numPr>
        <w:numId w:val="26"/>
      </w:numPr>
    </w:pPr>
  </w:style>
  <w:style w:type="paragraph" w:customStyle="1" w:styleId="Tiret5">
    <w:name w:val="Tiret 5"/>
    <w:basedOn w:val="Point5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8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8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9D4071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9D4071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9D4071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9D4071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'1.0' encoding='UTF-8' standalone='yes'?>
<Relationships xmlns="http://schemas.openxmlformats.org/package/2006/relationships"><Relationship Id="rId3" Type="http://schemas.openxmlformats.org/officeDocument/2006/relationships/hyperlink" Target="http://data.europa.eu/eli/reg/2021/1153/oj" TargetMode="External"/><Relationship Id="rId2" Type="http://schemas.openxmlformats.org/officeDocument/2006/relationships/hyperlink" Target="http://data.europa.eu/eli/reg_del/2022/342/oj" TargetMode="External"/><Relationship Id="rId1" Type="http://schemas.openxmlformats.org/officeDocument/2006/relationships/hyperlink" Target="http://data.europa.eu/eli/reg/2021/1153/oj" TargetMode="External"/><Relationship Id="rId4" Type="http://schemas.openxmlformats.org/officeDocument/2006/relationships/hyperlink" Target="http://data.europa.eu/eli/reg_del/2022/342/oj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BAD999D84E12C74482EA5120F5227F6F00217DECAAC21D6B43958DFE68658C192E" ma:contentTypeVersion="27" ma:contentTypeDescription="Create a new document in this library." ma:contentTypeScope="" ma:versionID="e7e27166b6ddd379314dbc4ffb647a9d">
  <xsd:schema xmlns:xsd="http://www.w3.org/2001/XMLSchema" xmlns:xs="http://www.w3.org/2001/XMLSchema" xmlns:p="http://schemas.microsoft.com/office/2006/metadata/properties" xmlns:ns2="http://schemas.microsoft.com/sharepoint/v3/fields" xmlns:ns3="144c03d0-0f03-451f-9d46-5279004462a4" xmlns:ns4="f7bb8512-91eb-4bfd-be42-d6f021407e9a" targetNamespace="http://schemas.microsoft.com/office/2006/metadata/properties" ma:root="true" ma:fieldsID="6ba0d890b3d934a84d947fa41105d8de" ns2:_="" ns3:_="" ns4:_="">
    <xsd:import namespace="http://schemas.microsoft.com/sharepoint/v3/fields"/>
    <xsd:import namespace="144c03d0-0f03-451f-9d46-5279004462a4"/>
    <xsd:import namespace="f7bb8512-91eb-4bfd-be42-d6f021407e9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SharedWithUsers" minOccurs="0"/>
                <xsd:element ref="ns3:SharedWithDetails" minOccurs="0"/>
                <xsd:element ref="ns3:EC_Collab_Status" minOccurs="0"/>
                <xsd:element ref="ns4:MediaServiceSearchPropertie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03d0-0f03-451f-9d46-5279004462a4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 ma:readOnly="false">
      <xsd:simpleType>
        <xsd:restriction base="dms:Text"/>
      </xsd:simpleType>
    </xsd:element>
    <xsd:element name="EC_Collab_DocumentLanguage" ma:index="14" ma:displayName="Language" ma:default="EN" ma:format="Dropdow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EC_Collab_Status" ma:index="17" nillable="true" ma:displayName="EC Status" ma:default="Not Started" ma:format="Dropdown" ma:internalName="EC_Collab_Status" ma:readOnly="false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TaxCatchAll" ma:index="21" nillable="true" ma:displayName="Taxonomy Catch All Column" ma:hidden="true" ma:list="{51513471-611d-4aba-ae12-e8d0e877eea6}" ma:internalName="TaxCatchAll" ma:showField="CatchAllData" ma:web="144c03d0-0f03-451f-9d46-527900446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b8512-91eb-4bfd-be42-d6f021407e9a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144c03d0-0f03-451f-9d46-5279004462a4" xsi:nil="true"/>
    <EC_Collab_Status xmlns="144c03d0-0f03-451f-9d46-5279004462a4">Not Started</EC_Collab_Status>
    <_Status xmlns="http://schemas.microsoft.com/sharepoint/v3/fields">Not Started</_Status>
    <EC_Collab_DocumentLanguage xmlns="144c03d0-0f03-451f-9d46-5279004462a4">EN</EC_Collab_DocumentLanguage>
    <lcf76f155ced4ddcb4097134ff3c332f xmlns="f7bb8512-91eb-4bfd-be42-d6f021407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144c03d0-0f03-451f-9d46-5279004462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E1CB-1E55-4919-9605-7E1A28966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B041E-F5CC-4FBD-A363-C92FA7448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44c03d0-0f03-451f-9d46-5279004462a4"/>
    <ds:schemaRef ds:uri="f7bb8512-91eb-4bfd-be42-d6f02140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FA6C5-5AF7-45A5-A68A-8BF134389AB7}">
  <ds:schemaRefs>
    <ds:schemaRef ds:uri="http://schemas.microsoft.com/office/2006/metadata/properties"/>
    <ds:schemaRef ds:uri="http://schemas.microsoft.com/office/infopath/2007/PartnerControls"/>
    <ds:schemaRef ds:uri="144c03d0-0f03-451f-9d46-5279004462a4"/>
    <ds:schemaRef ds:uri="http://schemas.microsoft.com/sharepoint/v3/fields"/>
    <ds:schemaRef ds:uri="f7bb8512-91eb-4bfd-be42-d6f021407e9a"/>
  </ds:schemaRefs>
</ds:datastoreItem>
</file>

<file path=customXml/itemProps4.xml><?xml version="1.0" encoding="utf-8"?>
<ds:datastoreItem xmlns:ds="http://schemas.openxmlformats.org/officeDocument/2006/customXml" ds:itemID="{3F34AAAF-37A7-4CEE-8134-EBF6AC71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15</TotalTime>
  <Pages>6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54</cp:revision>
  <cp:lastPrinted>2025-03-28T00:03:00Z</cp:lastPrinted>
  <dcterms:created xsi:type="dcterms:W3CDTF">2025-07-10T14:13:00Z</dcterms:created>
  <dcterms:modified xsi:type="dcterms:W3CDTF">2025-07-22T08:48:00Z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8.0.25.0</vt:lpwstr>
  </property>
  <property fmtid="{D5CDD505-2E9C-101B-9397-08002B2CF9AE}" pid="4" name="Last edited using">
    <vt:lpwstr>LW 9.1, Build 20240808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SJ-003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2023-06-21T11:38:20Z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0fcf2662-9c1b-46d0-8bfd-fcba62b79888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ContentTypeId">
    <vt:lpwstr>0x010100BAD999D84E12C74482EA5120F5227F6F00217DECAAC21D6B43958DFE68658C192E</vt:lpwstr>
  </property>
  <property fmtid="{D5CDD505-2E9C-101B-9397-08002B2CF9AE}" pid="18" name="MediaServiceImageTags">
    <vt:lpwstr/>
  </property>
  <property fmtid="{D5CDD505-2E9C-101B-9397-08002B2CF9AE}" pid="19" name="DQCStatus">
    <vt:lpwstr>Green (DQC version 03)</vt:lpwstr>
  </property>
</Properties>
</file>