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2.0.0 -->
  <w:body>
    <w:p w:rsidR="00E72EF2" w:rsidRPr="00BE0EBD">
      <w:pPr>
        <w:rPr>
          <w:rFonts w:ascii="Arial" w:hAnsi="Arial" w:cs="Arial"/>
          <w:b/>
          <w:sz w:val="20"/>
          <w:szCs w:val="20"/>
          <w:lang w:val="fr-B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7"/>
        <w:gridCol w:w="7381"/>
      </w:tblGrid>
      <w:tr w:rsidTr="008607B9">
        <w:tblPrEx>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188" w:type="dxa"/>
            <w:gridSpan w:val="2"/>
            <w:tcBorders>
              <w:bottom w:val="single" w:sz="4" w:space="0" w:color="auto"/>
            </w:tcBorders>
            <w:shd w:val="clear" w:color="auto" w:fill="0000FF"/>
          </w:tcPr>
          <w:p w:rsidR="007D6F93" w:rsidRPr="008E0AC8" w:rsidP="00824525">
            <w:pPr>
              <w:spacing w:before="60" w:after="60"/>
              <w:jc w:val="center"/>
              <w:rPr>
                <w:rFonts w:ascii="Arial" w:hAnsi="Arial" w:cs="Arial"/>
                <w:b/>
                <w:sz w:val="28"/>
                <w:szCs w:val="28"/>
              </w:rPr>
            </w:pPr>
            <w:r>
              <w:rPr>
                <w:rFonts w:ascii="Arial" w:hAnsi="Arial"/>
                <w:b/>
                <w:sz w:val="28"/>
              </w:rPr>
              <w:t>INVITO A PRESENTARE CONTRIBUTI</w:t>
            </w:r>
          </w:p>
          <w:p w:rsidR="009E6661" w:rsidRPr="008E0AC8" w:rsidP="00B312B7">
            <w:pPr>
              <w:spacing w:before="60" w:after="60"/>
              <w:jc w:val="center"/>
              <w:rPr>
                <w:rFonts w:ascii="Arial" w:hAnsi="Arial" w:cs="Arial"/>
                <w:b/>
                <w:i/>
                <w:sz w:val="20"/>
                <w:szCs w:val="20"/>
              </w:rPr>
            </w:pPr>
            <w:r>
              <w:rPr>
                <w:rFonts w:ascii="Arial" w:hAnsi="Arial"/>
                <w:b/>
                <w:sz w:val="28"/>
              </w:rPr>
              <w:t>PER UN</w:t>
            </w:r>
            <w:r w:rsidR="00D52D42">
              <w:rPr>
                <w:rFonts w:ascii="Arial" w:hAnsi="Arial"/>
                <w:b/>
                <w:sz w:val="28"/>
              </w:rPr>
              <w:t>'</w:t>
            </w:r>
            <w:r>
              <w:rPr>
                <w:rFonts w:ascii="Arial" w:hAnsi="Arial"/>
                <w:b/>
                <w:sz w:val="28"/>
              </w:rPr>
              <w:t>INIZIATIVA (</w:t>
            </w:r>
            <w:r>
              <w:rPr>
                <w:rFonts w:ascii="Arial" w:hAnsi="Arial"/>
                <w:b/>
                <w:color w:val="FFFFFF" w:themeColor="background1"/>
                <w:sz w:val="28"/>
              </w:rPr>
              <w:t>senza valutazione d</w:t>
            </w:r>
            <w:r w:rsidR="00D52D42">
              <w:rPr>
                <w:rFonts w:ascii="Arial" w:hAnsi="Arial"/>
                <w:b/>
                <w:color w:val="FFFFFF" w:themeColor="background1"/>
                <w:sz w:val="28"/>
              </w:rPr>
              <w:t>'</w:t>
            </w:r>
            <w:r>
              <w:rPr>
                <w:rFonts w:ascii="Arial" w:hAnsi="Arial"/>
                <w:b/>
                <w:color w:val="FFFFFF" w:themeColor="background1"/>
                <w:sz w:val="28"/>
              </w:rPr>
              <w:t>impatto</w:t>
            </w:r>
            <w:r>
              <w:rPr>
                <w:rFonts w:ascii="Arial" w:hAnsi="Arial"/>
                <w:b/>
                <w:sz w:val="28"/>
              </w:rPr>
              <w:t>)</w:t>
            </w:r>
          </w:p>
        </w:tc>
      </w:tr>
      <w:tr w:rsidTr="00035A3D">
        <w:tblPrEx>
          <w:tblW w:w="10188" w:type="dxa"/>
          <w:tblLayout w:type="fixed"/>
          <w:tblLook w:val="01E0"/>
        </w:tblPrEx>
        <w:tc>
          <w:tcPr>
            <w:tcW w:w="10188" w:type="dxa"/>
            <w:gridSpan w:val="2"/>
            <w:tcBorders>
              <w:bottom w:val="single" w:sz="4" w:space="0" w:color="auto"/>
            </w:tcBorders>
            <w:shd w:val="clear" w:color="auto" w:fill="E6E6E6"/>
          </w:tcPr>
          <w:p w:rsidR="00B96B28" w:rsidRPr="008E0AC8" w:rsidP="00E27F93">
            <w:pPr>
              <w:spacing w:before="120" w:after="120"/>
              <w:jc w:val="both"/>
              <w:rPr>
                <w:rFonts w:ascii="Arial" w:hAnsi="Arial" w:cs="Arial"/>
                <w:b/>
                <w:color w:val="FF0000"/>
                <w:sz w:val="20"/>
                <w:szCs w:val="20"/>
              </w:rPr>
            </w:pPr>
          </w:p>
        </w:tc>
      </w:tr>
      <w:tr w:rsidTr="008607B9">
        <w:tblPrEx>
          <w:tblW w:w="10188" w:type="dxa"/>
          <w:tblLayout w:type="fixed"/>
          <w:tblLook w:val="01E0"/>
        </w:tblPrEx>
        <w:tc>
          <w:tcPr>
            <w:tcW w:w="2807" w:type="dxa"/>
            <w:tcBorders>
              <w:bottom w:val="single" w:sz="4" w:space="0" w:color="auto"/>
            </w:tcBorders>
            <w:shd w:val="clear" w:color="auto" w:fill="E6E6E6"/>
          </w:tcPr>
          <w:p w:rsidR="009E6661" w:rsidRPr="008E0AC8" w:rsidP="00824525">
            <w:pPr>
              <w:spacing w:before="60" w:after="60"/>
              <w:jc w:val="both"/>
              <w:rPr>
                <w:rFonts w:ascii="Arial" w:hAnsi="Arial" w:cs="Arial"/>
                <w:b/>
                <w:bCs/>
                <w:smallCaps/>
                <w:sz w:val="20"/>
                <w:szCs w:val="20"/>
              </w:rPr>
            </w:pPr>
            <w:r>
              <w:rPr>
                <w:rFonts w:ascii="Arial" w:hAnsi="Arial"/>
                <w:b/>
                <w:smallCaps/>
                <w:sz w:val="20"/>
              </w:rPr>
              <w:t>Titolo dell</w:t>
            </w:r>
            <w:r w:rsidR="00D52D42">
              <w:rPr>
                <w:rFonts w:ascii="Arial" w:hAnsi="Arial"/>
                <w:b/>
                <w:smallCaps/>
                <w:sz w:val="20"/>
              </w:rPr>
              <w:t>'</w:t>
            </w:r>
            <w:r>
              <w:rPr>
                <w:rFonts w:ascii="Arial" w:hAnsi="Arial"/>
                <w:b/>
                <w:smallCaps/>
                <w:sz w:val="20"/>
              </w:rPr>
              <w:t>iniziativa</w:t>
            </w:r>
          </w:p>
        </w:tc>
        <w:tc>
          <w:tcPr>
            <w:tcW w:w="7381" w:type="dxa"/>
          </w:tcPr>
          <w:p w:rsidR="0075560F" w:rsidRPr="008E0AC8" w:rsidP="00347966">
            <w:pPr>
              <w:spacing w:before="60" w:after="120"/>
              <w:jc w:val="both"/>
              <w:rPr>
                <w:rFonts w:ascii="Arial" w:hAnsi="Arial" w:cs="Arial"/>
                <w:color w:val="000080"/>
                <w:sz w:val="20"/>
                <w:szCs w:val="20"/>
              </w:rPr>
            </w:pPr>
            <w:r>
              <w:rPr>
                <w:rFonts w:ascii="Arial" w:hAnsi="Arial"/>
                <w:color w:val="000080"/>
                <w:sz w:val="20"/>
              </w:rPr>
              <w:t>Norme di produzione biologica - modifica mirata (regolamento (UE) 2018/848)</w:t>
            </w:r>
          </w:p>
        </w:tc>
      </w:tr>
      <w:tr w:rsidTr="00035A3D">
        <w:tblPrEx>
          <w:tblW w:w="10188" w:type="dxa"/>
          <w:tblLayout w:type="fixed"/>
          <w:tblLook w:val="01E0"/>
        </w:tblPrEx>
        <w:tc>
          <w:tcPr>
            <w:tcW w:w="2807" w:type="dxa"/>
            <w:tcBorders>
              <w:bottom w:val="single" w:sz="4" w:space="0" w:color="auto"/>
              <w:right w:val="single" w:sz="4" w:space="0" w:color="auto"/>
            </w:tcBorders>
            <w:shd w:val="clear" w:color="auto" w:fill="E6E6E6"/>
          </w:tcPr>
          <w:p w:rsidR="00F07210" w:rsidRPr="008E0AC8" w:rsidP="00D52D42">
            <w:pPr>
              <w:spacing w:before="60" w:after="60"/>
              <w:rPr>
                <w:rFonts w:ascii="Arial" w:hAnsi="Arial" w:cs="Arial"/>
                <w:b/>
                <w:bCs/>
                <w:smallCaps/>
                <w:sz w:val="20"/>
                <w:szCs w:val="20"/>
              </w:rPr>
            </w:pPr>
            <w:r>
              <w:rPr>
                <w:rFonts w:ascii="Arial" w:hAnsi="Arial"/>
                <w:b/>
                <w:smallCaps/>
                <w:sz w:val="20"/>
              </w:rPr>
              <w:t>DG capofila – unità</w:t>
            </w:r>
            <w:r w:rsidR="00D52D42">
              <w:rPr>
                <w:rFonts w:ascii="Arial" w:hAnsi="Arial"/>
                <w:b/>
                <w:smallCaps/>
                <w:sz w:val="20"/>
              </w:rPr>
              <w:t> </w:t>
            </w:r>
            <w:r>
              <w:rPr>
                <w:rFonts w:ascii="Arial" w:hAnsi="Arial"/>
                <w:b/>
                <w:smallCaps/>
                <w:sz w:val="20"/>
              </w:rPr>
              <w:t>competente</w:t>
            </w:r>
          </w:p>
        </w:tc>
        <w:tc>
          <w:tcPr>
            <w:tcW w:w="7381" w:type="dxa"/>
            <w:tcBorders>
              <w:top w:val="single" w:sz="4" w:space="0" w:color="auto"/>
              <w:left w:val="single" w:sz="4" w:space="0" w:color="auto"/>
              <w:bottom w:val="single" w:sz="4" w:space="0" w:color="auto"/>
              <w:right w:val="single" w:sz="4" w:space="0" w:color="auto"/>
            </w:tcBorders>
          </w:tcPr>
          <w:p w:rsidR="00F07210" w:rsidRPr="008E0AC8" w:rsidP="00106A9A">
            <w:pPr>
              <w:spacing w:before="60" w:after="60"/>
              <w:jc w:val="both"/>
              <w:rPr>
                <w:rFonts w:ascii="Arial" w:hAnsi="Arial" w:cs="Arial"/>
                <w:color w:val="000080"/>
                <w:sz w:val="20"/>
                <w:szCs w:val="20"/>
              </w:rPr>
            </w:pPr>
            <w:r>
              <w:rPr>
                <w:rFonts w:ascii="Arial" w:hAnsi="Arial"/>
                <w:color w:val="000080"/>
                <w:sz w:val="20"/>
              </w:rPr>
              <w:t>Direzione generale dell</w:t>
            </w:r>
            <w:r w:rsidR="00D52D42">
              <w:rPr>
                <w:rFonts w:ascii="Arial" w:hAnsi="Arial"/>
                <w:color w:val="000080"/>
                <w:sz w:val="20"/>
              </w:rPr>
              <w:t>'</w:t>
            </w:r>
            <w:r>
              <w:rPr>
                <w:rFonts w:ascii="Arial" w:hAnsi="Arial"/>
                <w:color w:val="000080"/>
                <w:sz w:val="20"/>
              </w:rPr>
              <w:t>Agricoltura e dello sviluppo rurale, unità B.4 - Agricoltura biologica</w:t>
            </w:r>
          </w:p>
        </w:tc>
      </w:tr>
      <w:tr w:rsidTr="008607B9">
        <w:tblPrEx>
          <w:tblW w:w="10188" w:type="dxa"/>
          <w:tblLayout w:type="fixed"/>
          <w:tblLook w:val="01E0"/>
        </w:tblPrEx>
        <w:tc>
          <w:tcPr>
            <w:tcW w:w="2807" w:type="dxa"/>
            <w:tcBorders>
              <w:bottom w:val="single" w:sz="4" w:space="0" w:color="auto"/>
              <w:right w:val="single" w:sz="4" w:space="0" w:color="auto"/>
            </w:tcBorders>
            <w:shd w:val="clear" w:color="auto" w:fill="E6E6E6"/>
          </w:tcPr>
          <w:p w:rsidR="00423AEF" w:rsidRPr="008E0AC8" w:rsidP="00824525">
            <w:pPr>
              <w:spacing w:before="60" w:after="60"/>
              <w:jc w:val="both"/>
              <w:rPr>
                <w:rFonts w:ascii="Arial" w:hAnsi="Arial" w:cs="Arial"/>
                <w:b/>
                <w:bCs/>
                <w:smallCaps/>
                <w:sz w:val="20"/>
                <w:szCs w:val="20"/>
              </w:rPr>
            </w:pPr>
            <w:r>
              <w:rPr>
                <w:rFonts w:ascii="Arial" w:hAnsi="Arial"/>
                <w:b/>
                <w:smallCaps/>
                <w:sz w:val="20"/>
              </w:rPr>
              <w:t>Probabile tipo di iniziativa</w:t>
            </w:r>
          </w:p>
        </w:tc>
        <w:tc>
          <w:tcPr>
            <w:tcW w:w="7381" w:type="dxa"/>
            <w:tcBorders>
              <w:top w:val="single" w:sz="4" w:space="0" w:color="auto"/>
              <w:left w:val="single" w:sz="4" w:space="0" w:color="auto"/>
              <w:bottom w:val="single" w:sz="4" w:space="0" w:color="auto"/>
              <w:right w:val="single" w:sz="4" w:space="0" w:color="auto"/>
            </w:tcBorders>
          </w:tcPr>
          <w:p w:rsidR="00423AEF" w:rsidRPr="008E0AC8" w:rsidP="00810C61">
            <w:pPr>
              <w:spacing w:before="60" w:after="60"/>
              <w:jc w:val="both"/>
              <w:rPr>
                <w:rFonts w:ascii="Arial" w:hAnsi="Arial" w:cs="Arial"/>
                <w:bCs/>
                <w:color w:val="000080"/>
                <w:sz w:val="20"/>
                <w:szCs w:val="20"/>
              </w:rPr>
            </w:pPr>
            <w:r>
              <w:rPr>
                <w:rFonts w:ascii="Arial" w:hAnsi="Arial"/>
                <w:color w:val="000080"/>
                <w:sz w:val="20"/>
              </w:rPr>
              <w:t>REGOLAMENTO DEL PARLAMENTO EUROPEO E DEL CONSIGLIO</w:t>
            </w:r>
          </w:p>
        </w:tc>
      </w:tr>
      <w:tr w:rsidTr="00AB5C82">
        <w:tblPrEx>
          <w:tblW w:w="10188" w:type="dxa"/>
          <w:tblLayout w:type="fixed"/>
          <w:tblLook w:val="01E0"/>
        </w:tblPrEx>
        <w:tc>
          <w:tcPr>
            <w:tcW w:w="2807" w:type="dxa"/>
            <w:tcBorders>
              <w:bottom w:val="single" w:sz="4" w:space="0" w:color="auto"/>
              <w:right w:val="single" w:sz="4" w:space="0" w:color="auto"/>
            </w:tcBorders>
            <w:shd w:val="clear" w:color="auto" w:fill="E6E6E6"/>
          </w:tcPr>
          <w:p w:rsidR="00002DFF" w:rsidRPr="008E0AC8" w:rsidP="0066565B">
            <w:pPr>
              <w:spacing w:before="60" w:after="60"/>
              <w:jc w:val="both"/>
              <w:rPr>
                <w:rFonts w:ascii="Arial" w:hAnsi="Arial" w:cs="Arial"/>
                <w:b/>
                <w:bCs/>
                <w:smallCaps/>
                <w:sz w:val="20"/>
                <w:szCs w:val="20"/>
              </w:rPr>
            </w:pPr>
            <w:r>
              <w:rPr>
                <w:rFonts w:ascii="Arial" w:hAnsi="Arial"/>
                <w:b/>
                <w:smallCaps/>
                <w:sz w:val="20"/>
              </w:rPr>
              <w:t>Calendario indicativo</w:t>
            </w:r>
          </w:p>
        </w:tc>
        <w:tc>
          <w:tcPr>
            <w:tcW w:w="7381" w:type="dxa"/>
            <w:tcBorders>
              <w:top w:val="single" w:sz="4" w:space="0" w:color="auto"/>
              <w:left w:val="single" w:sz="4" w:space="0" w:color="auto"/>
              <w:bottom w:val="single" w:sz="4" w:space="0" w:color="auto"/>
              <w:right w:val="single" w:sz="4" w:space="0" w:color="auto"/>
            </w:tcBorders>
          </w:tcPr>
          <w:p w:rsidR="00002DFF" w:rsidRPr="008E0AC8" w:rsidP="00B312B7">
            <w:pPr>
              <w:spacing w:before="120" w:after="120"/>
              <w:jc w:val="both"/>
              <w:rPr>
                <w:rFonts w:ascii="Arial" w:hAnsi="Arial" w:cs="Arial"/>
                <w:color w:val="000080"/>
                <w:sz w:val="20"/>
                <w:szCs w:val="20"/>
                <w:highlight w:val="green"/>
              </w:rPr>
            </w:pPr>
            <w:r>
              <w:rPr>
                <w:rFonts w:ascii="Arial" w:hAnsi="Arial"/>
                <w:color w:val="000080"/>
                <w:sz w:val="20"/>
              </w:rPr>
              <w:t>Quarto trimestre 2025</w:t>
            </w:r>
          </w:p>
        </w:tc>
      </w:tr>
      <w:tr w:rsidTr="00224B13">
        <w:tblPrEx>
          <w:tblW w:w="10188" w:type="dxa"/>
          <w:tblLayout w:type="fixed"/>
          <w:tblLook w:val="01E0"/>
        </w:tblPrEx>
        <w:tc>
          <w:tcPr>
            <w:tcW w:w="2807" w:type="dxa"/>
            <w:tcBorders>
              <w:bottom w:val="single" w:sz="4" w:space="0" w:color="auto"/>
              <w:right w:val="single" w:sz="4" w:space="0" w:color="auto"/>
            </w:tcBorders>
            <w:shd w:val="clear" w:color="auto" w:fill="E6E6E6"/>
          </w:tcPr>
          <w:p w:rsidR="008D5042" w:rsidRPr="008E0AC8" w:rsidP="00224B13">
            <w:pPr>
              <w:spacing w:before="60" w:after="60"/>
              <w:jc w:val="both"/>
              <w:rPr>
                <w:rFonts w:ascii="Arial" w:hAnsi="Arial" w:cs="Arial"/>
                <w:b/>
                <w:bCs/>
                <w:smallCaps/>
                <w:sz w:val="20"/>
                <w:szCs w:val="20"/>
              </w:rPr>
            </w:pPr>
            <w:r>
              <w:rPr>
                <w:rFonts w:ascii="Arial" w:hAnsi="Arial"/>
                <w:b/>
                <w:smallCaps/>
                <w:sz w:val="20"/>
              </w:rPr>
              <w:t>Informazioni aggiuntive</w:t>
            </w:r>
          </w:p>
        </w:tc>
        <w:tc>
          <w:tcPr>
            <w:tcW w:w="7381" w:type="dxa"/>
            <w:tcBorders>
              <w:top w:val="single" w:sz="4" w:space="0" w:color="auto"/>
              <w:left w:val="single" w:sz="4" w:space="0" w:color="auto"/>
              <w:bottom w:val="single" w:sz="4" w:space="0" w:color="auto"/>
              <w:right w:val="single" w:sz="4" w:space="0" w:color="auto"/>
            </w:tcBorders>
          </w:tcPr>
          <w:p w:rsidR="00861903" w:rsidRPr="008E0AC8" w:rsidP="00347966">
            <w:pPr>
              <w:spacing w:before="120" w:after="120"/>
              <w:jc w:val="both"/>
              <w:rPr>
                <w:rFonts w:ascii="Arial" w:hAnsi="Arial" w:cs="Arial"/>
                <w:color w:val="000080"/>
                <w:sz w:val="20"/>
                <w:szCs w:val="20"/>
              </w:rPr>
            </w:pPr>
            <w:r>
              <w:fldChar w:fldCharType="begin"/>
            </w:r>
            <w:r>
              <w:instrText xml:space="preserve"> HYPERLINK "https://agriculture.ec.europa.eu/farming/organic-farming_it" </w:instrText>
            </w:r>
            <w:r>
              <w:fldChar w:fldCharType="separate"/>
            </w:r>
            <w:r>
              <w:rPr>
                <w:rStyle w:val="Hyperlink"/>
                <w:rFonts w:ascii="Arial" w:hAnsi="Arial"/>
                <w:sz w:val="20"/>
              </w:rPr>
              <w:t>Agricoltura biologica - Commissione europea</w:t>
            </w:r>
            <w:r>
              <w:fldChar w:fldCharType="end"/>
            </w:r>
          </w:p>
        </w:tc>
      </w:tr>
      <w:tr w:rsidTr="008607B9">
        <w:tblPrEx>
          <w:tblW w:w="10188" w:type="dxa"/>
          <w:tblLayout w:type="fixed"/>
          <w:tblLook w:val="01E0"/>
        </w:tblPrEx>
        <w:tc>
          <w:tcPr>
            <w:tcW w:w="10188" w:type="dxa"/>
            <w:gridSpan w:val="2"/>
            <w:tcBorders>
              <w:bottom w:val="single" w:sz="4" w:space="0" w:color="auto"/>
              <w:right w:val="single" w:sz="4" w:space="0" w:color="auto"/>
            </w:tcBorders>
            <w:shd w:val="clear" w:color="auto" w:fill="E6E6E6"/>
          </w:tcPr>
          <w:p w:rsidR="00CF6C0F" w:rsidRPr="008E0AC8" w:rsidP="00574A42">
            <w:pPr>
              <w:spacing w:before="60" w:after="60"/>
              <w:rPr>
                <w:rFonts w:ascii="Arial" w:hAnsi="Arial" w:cs="Arial"/>
                <w:b/>
                <w:color w:val="FF0000"/>
                <w:sz w:val="20"/>
                <w:szCs w:val="20"/>
              </w:rPr>
            </w:pPr>
            <w:r>
              <w:rPr>
                <w:rFonts w:ascii="Arial" w:hAnsi="Arial"/>
                <w:i/>
                <w:color w:val="FF0000"/>
                <w:sz w:val="18"/>
              </w:rPr>
              <w:t>Questo documento ha scopo puramente informativo. Non pregiudica in nulla la decisione finale della Commissione di proseguire o meno l</w:t>
            </w:r>
            <w:r w:rsidR="00D52D42">
              <w:rPr>
                <w:rFonts w:ascii="Arial" w:hAnsi="Arial"/>
                <w:i/>
                <w:color w:val="FF0000"/>
                <w:sz w:val="18"/>
              </w:rPr>
              <w:t>'</w:t>
            </w:r>
            <w:r>
              <w:rPr>
                <w:rFonts w:ascii="Arial" w:hAnsi="Arial"/>
                <w:i/>
                <w:color w:val="FF0000"/>
                <w:sz w:val="18"/>
              </w:rPr>
              <w:t>iniziativa, né il contenuto finale della stessa. Tutti gli elementi dell</w:t>
            </w:r>
            <w:r w:rsidR="00D52D42">
              <w:rPr>
                <w:rFonts w:ascii="Arial" w:hAnsi="Arial"/>
                <w:i/>
                <w:color w:val="FF0000"/>
                <w:sz w:val="18"/>
              </w:rPr>
              <w:t>'</w:t>
            </w:r>
            <w:r>
              <w:rPr>
                <w:rFonts w:ascii="Arial" w:hAnsi="Arial"/>
                <w:i/>
                <w:color w:val="FF0000"/>
                <w:sz w:val="18"/>
              </w:rPr>
              <w:t>iniziativa qui descritti, compresa la sua tempistica, possono cambiare.</w:t>
            </w:r>
          </w:p>
        </w:tc>
      </w:tr>
    </w:tbl>
    <w:p w:rsidR="00BA33B7" w:rsidRPr="008E0AC8">
      <w:pPr>
        <w:rPr>
          <w:sz w:val="20"/>
          <w:szCs w:val="20"/>
        </w:rPr>
        <w:sectPr w:rsidSect="00E72EF2">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851" w:left="1134" w:header="709" w:footer="709" w:gutter="0"/>
          <w:cols w:space="708"/>
          <w:titlePg/>
          <w:docGrid w:linePitch="360"/>
        </w:sectPr>
      </w:pPr>
    </w:p>
    <w:p w:rsidR="00BA33B7" w:rsidRPr="008E0AC8">
      <w:pPr>
        <w:rPr>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Tr="3D4D4A38">
        <w:tblPrEx>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188" w:type="dxa"/>
            <w:tcBorders>
              <w:bottom w:val="single" w:sz="4" w:space="0" w:color="auto"/>
            </w:tcBorders>
            <w:shd w:val="clear" w:color="auto" w:fill="0000FF"/>
          </w:tcPr>
          <w:p w:rsidR="009E6661" w:rsidRPr="008E0AC8" w:rsidP="00AB4B4B">
            <w:pPr>
              <w:spacing w:before="60" w:after="60"/>
              <w:jc w:val="center"/>
              <w:rPr>
                <w:rFonts w:ascii="Arial" w:hAnsi="Arial" w:cs="Arial"/>
                <w:b/>
              </w:rPr>
            </w:pPr>
            <w:r>
              <w:rPr>
                <w:rFonts w:ascii="Arial" w:hAnsi="Arial"/>
                <w:b/>
              </w:rPr>
              <w:t>A. Contesto politico, definizione del problema e analisi della sussidiarietà</w:t>
            </w:r>
          </w:p>
        </w:tc>
      </w:tr>
      <w:tr w:rsidTr="3D4D4A38">
        <w:tblPrEx>
          <w:tblW w:w="10188" w:type="dxa"/>
          <w:tblLook w:val="01E0"/>
        </w:tblPrEx>
        <w:tc>
          <w:tcPr>
            <w:tcW w:w="10188" w:type="dxa"/>
            <w:tcBorders>
              <w:bottom w:val="single" w:sz="4" w:space="0" w:color="auto"/>
            </w:tcBorders>
            <w:shd w:val="clear" w:color="auto" w:fill="E6E6E6"/>
          </w:tcPr>
          <w:p w:rsidR="009E6661" w:rsidRPr="008E0AC8" w:rsidP="00347966">
            <w:pPr>
              <w:spacing w:before="120" w:after="120"/>
              <w:jc w:val="both"/>
              <w:rPr>
                <w:rFonts w:ascii="Arial" w:hAnsi="Arial" w:cs="Arial"/>
              </w:rPr>
            </w:pPr>
            <w:r>
              <w:rPr>
                <w:rFonts w:ascii="Arial" w:hAnsi="Arial"/>
                <w:b/>
              </w:rPr>
              <w:t>Contesto politico</w:t>
            </w:r>
          </w:p>
        </w:tc>
      </w:tr>
      <w:tr w:rsidTr="3D4D4A38">
        <w:tblPrEx>
          <w:tblW w:w="10188" w:type="dxa"/>
          <w:tblLook w:val="01E0"/>
        </w:tblPrEx>
        <w:tc>
          <w:tcPr>
            <w:tcW w:w="10188" w:type="dxa"/>
            <w:tcBorders>
              <w:bottom w:val="single" w:sz="4" w:space="0" w:color="auto"/>
            </w:tcBorders>
          </w:tcPr>
          <w:p w:rsidR="00DA53DE" w:rsidRPr="008E0AC8" w:rsidP="0002279A">
            <w:pPr>
              <w:spacing w:before="60" w:after="120"/>
              <w:jc w:val="both"/>
              <w:rPr>
                <w:rFonts w:ascii="Arial" w:hAnsi="Arial" w:cs="Arial"/>
                <w:color w:val="000080"/>
                <w:sz w:val="20"/>
                <w:szCs w:val="20"/>
              </w:rPr>
            </w:pPr>
            <w:bookmarkStart w:id="0" w:name="_Hlk195109328"/>
            <w:r>
              <w:rPr>
                <w:rFonts w:ascii="Arial" w:hAnsi="Arial"/>
                <w:color w:val="000080"/>
                <w:sz w:val="20"/>
              </w:rPr>
              <w:t>L</w:t>
            </w:r>
            <w:r w:rsidR="00D52D42">
              <w:rPr>
                <w:rFonts w:ascii="Arial" w:hAnsi="Arial"/>
                <w:color w:val="000080"/>
                <w:sz w:val="20"/>
              </w:rPr>
              <w:t>'</w:t>
            </w:r>
            <w:r>
              <w:rPr>
                <w:rFonts w:ascii="Arial" w:hAnsi="Arial"/>
                <w:color w:val="000080"/>
                <w:sz w:val="20"/>
              </w:rPr>
              <w:t>agricoltura biologica è una componente fondamentale della politica agricola comune (PAC) dell</w:t>
            </w:r>
            <w:r w:rsidR="00D52D42">
              <w:rPr>
                <w:rFonts w:ascii="Arial" w:hAnsi="Arial"/>
                <w:color w:val="000080"/>
                <w:sz w:val="20"/>
              </w:rPr>
              <w:t>'</w:t>
            </w:r>
            <w:r>
              <w:rPr>
                <w:rFonts w:ascii="Arial" w:hAnsi="Arial"/>
                <w:color w:val="000080"/>
                <w:sz w:val="20"/>
              </w:rPr>
              <w:t>Unione europea (UE). Definita a livello dell</w:t>
            </w:r>
            <w:r w:rsidR="00D52D42">
              <w:rPr>
                <w:rFonts w:ascii="Arial" w:hAnsi="Arial"/>
                <w:color w:val="000080"/>
                <w:sz w:val="20"/>
              </w:rPr>
              <w:t>'</w:t>
            </w:r>
            <w:r>
              <w:rPr>
                <w:rFonts w:ascii="Arial" w:hAnsi="Arial"/>
                <w:color w:val="000080"/>
                <w:sz w:val="20"/>
              </w:rPr>
              <w:t>UE dal 1992, la percentuale di terreni coltivati con pratiche biologiche è aumentata costantemente fino a raggiungere l</w:t>
            </w:r>
            <w:r w:rsidR="00D52D42">
              <w:rPr>
                <w:rFonts w:ascii="Arial" w:hAnsi="Arial"/>
                <w:color w:val="000080"/>
                <w:sz w:val="20"/>
              </w:rPr>
              <w:t>'</w:t>
            </w:r>
            <w:r>
              <w:rPr>
                <w:rFonts w:ascii="Arial" w:hAnsi="Arial"/>
                <w:color w:val="000080"/>
                <w:sz w:val="20"/>
              </w:rPr>
              <w:t>attuale 11 %. I consumatori acquistano un numero crescente di alimenti biologici, riconoscibili grazie a un logo dell</w:t>
            </w:r>
            <w:r w:rsidR="00D52D42">
              <w:rPr>
                <w:rFonts w:ascii="Arial" w:hAnsi="Arial"/>
                <w:color w:val="000080"/>
                <w:sz w:val="20"/>
              </w:rPr>
              <w:t>'</w:t>
            </w:r>
            <w:r>
              <w:rPr>
                <w:rFonts w:ascii="Arial" w:hAnsi="Arial"/>
                <w:color w:val="000080"/>
                <w:sz w:val="20"/>
              </w:rPr>
              <w:t>UE e a un</w:t>
            </w:r>
            <w:r w:rsidR="00D52D42">
              <w:rPr>
                <w:rFonts w:ascii="Arial" w:hAnsi="Arial"/>
                <w:color w:val="000080"/>
                <w:sz w:val="20"/>
              </w:rPr>
              <w:t>'</w:t>
            </w:r>
            <w:r>
              <w:rPr>
                <w:rFonts w:ascii="Arial" w:hAnsi="Arial"/>
                <w:color w:val="000080"/>
                <w:sz w:val="20"/>
              </w:rPr>
              <w:t>etichetta comune. Per promuovere il settore biologico, la Commissione, oltre a sostenerlo finanziariamente attraverso la PAC, ha elaborato un</w:t>
            </w:r>
            <w:r>
              <w:t xml:space="preserve"> </w:t>
            </w:r>
            <w:r>
              <w:fldChar w:fldCharType="begin"/>
            </w:r>
            <w:r>
              <w:instrText xml:space="preserve"> HYPERLINK "https://agriculture.ec.europa.eu/document/download/beb1129c-d35b-4964-ac00-2060e6e07bb0_en" </w:instrText>
            </w:r>
            <w:r>
              <w:fldChar w:fldCharType="separate"/>
            </w:r>
            <w:r>
              <w:rPr>
                <w:rStyle w:val="Hyperlink"/>
                <w:rFonts w:ascii="Arial" w:hAnsi="Arial"/>
                <w:sz w:val="20"/>
              </w:rPr>
              <w:t>piano d</w:t>
            </w:r>
            <w:r w:rsidR="00D52D42">
              <w:rPr>
                <w:rStyle w:val="Hyperlink"/>
                <w:rFonts w:ascii="Arial" w:hAnsi="Arial"/>
                <w:sz w:val="20"/>
              </w:rPr>
              <w:t>'</w:t>
            </w:r>
            <w:r>
              <w:rPr>
                <w:rStyle w:val="Hyperlink"/>
                <w:rFonts w:ascii="Arial" w:hAnsi="Arial"/>
                <w:sz w:val="20"/>
              </w:rPr>
              <w:t>azione dell</w:t>
            </w:r>
            <w:r w:rsidR="00D52D42">
              <w:rPr>
                <w:rStyle w:val="Hyperlink"/>
                <w:rFonts w:ascii="Arial" w:hAnsi="Arial"/>
                <w:sz w:val="20"/>
              </w:rPr>
              <w:t>'</w:t>
            </w:r>
            <w:r>
              <w:rPr>
                <w:rStyle w:val="Hyperlink"/>
                <w:rFonts w:ascii="Arial" w:hAnsi="Arial"/>
                <w:sz w:val="20"/>
              </w:rPr>
              <w:t>UE per lo sviluppo della produzione biologica</w:t>
            </w:r>
            <w:r>
              <w:fldChar w:fldCharType="end"/>
            </w:r>
            <w:r>
              <w:rPr>
                <w:rFonts w:ascii="Arial" w:hAnsi="Arial"/>
                <w:color w:val="000080"/>
                <w:sz w:val="20"/>
              </w:rPr>
              <w:t>, invitando i paesi dell</w:t>
            </w:r>
            <w:r w:rsidR="00D52D42">
              <w:rPr>
                <w:rFonts w:ascii="Arial" w:hAnsi="Arial"/>
                <w:color w:val="000080"/>
                <w:sz w:val="20"/>
              </w:rPr>
              <w:t>'</w:t>
            </w:r>
            <w:r>
              <w:rPr>
                <w:rFonts w:ascii="Arial" w:hAnsi="Arial"/>
                <w:color w:val="000080"/>
                <w:sz w:val="20"/>
              </w:rPr>
              <w:t>UE a definire le loro strategie nazionali in materia. Recentemente, il ruolo chiave dell</w:t>
            </w:r>
            <w:r w:rsidR="00D52D42">
              <w:rPr>
                <w:rFonts w:ascii="Arial" w:hAnsi="Arial"/>
                <w:color w:val="000080"/>
                <w:sz w:val="20"/>
              </w:rPr>
              <w:t>'</w:t>
            </w:r>
            <w:r>
              <w:rPr>
                <w:rFonts w:ascii="Arial" w:hAnsi="Arial"/>
                <w:color w:val="000080"/>
                <w:sz w:val="20"/>
              </w:rPr>
              <w:t xml:space="preserve">agricoltura biologica è stato ulteriormente sottolineato dalla Commissione nella sua </w:t>
            </w:r>
            <w:r>
              <w:fldChar w:fldCharType="begin"/>
            </w:r>
            <w:r>
              <w:instrText xml:space="preserve"> HYPERLINK "https://eur-lex.europa.eu/legal-content/IT/TXT/PDF/?uri=CELEX:52025DC0075" </w:instrText>
            </w:r>
            <w:r>
              <w:fldChar w:fldCharType="separate"/>
            </w:r>
            <w:r>
              <w:rPr>
                <w:rStyle w:val="Hyperlink"/>
                <w:rFonts w:ascii="Arial" w:hAnsi="Arial"/>
                <w:sz w:val="20"/>
              </w:rPr>
              <w:t>visione per l</w:t>
            </w:r>
            <w:r w:rsidR="00D52D42">
              <w:rPr>
                <w:rStyle w:val="Hyperlink"/>
                <w:rFonts w:ascii="Arial" w:hAnsi="Arial"/>
                <w:sz w:val="20"/>
              </w:rPr>
              <w:t>'</w:t>
            </w:r>
            <w:r>
              <w:rPr>
                <w:rStyle w:val="Hyperlink"/>
                <w:rFonts w:ascii="Arial" w:hAnsi="Arial"/>
                <w:sz w:val="20"/>
              </w:rPr>
              <w:t>agricoltura e l</w:t>
            </w:r>
            <w:r w:rsidR="00D52D42">
              <w:rPr>
                <w:rStyle w:val="Hyperlink"/>
                <w:rFonts w:ascii="Arial" w:hAnsi="Arial"/>
                <w:sz w:val="20"/>
              </w:rPr>
              <w:t>'</w:t>
            </w:r>
            <w:r>
              <w:rPr>
                <w:rStyle w:val="Hyperlink"/>
                <w:rFonts w:ascii="Arial" w:hAnsi="Arial"/>
                <w:sz w:val="20"/>
              </w:rPr>
              <w:t>alimentazione</w:t>
            </w:r>
            <w:r>
              <w:fldChar w:fldCharType="end"/>
            </w:r>
            <w:r>
              <w:rPr>
                <w:rFonts w:ascii="Arial" w:hAnsi="Arial"/>
                <w:color w:val="000080"/>
                <w:sz w:val="20"/>
              </w:rPr>
              <w:t>, adottata nel 2025, che ribadisce anche l</w:t>
            </w:r>
            <w:r w:rsidR="00D52D42">
              <w:rPr>
                <w:rFonts w:ascii="Arial" w:hAnsi="Arial"/>
                <w:color w:val="000080"/>
                <w:sz w:val="20"/>
              </w:rPr>
              <w:t>'</w:t>
            </w:r>
            <w:r>
              <w:rPr>
                <w:rFonts w:ascii="Arial" w:hAnsi="Arial"/>
                <w:color w:val="000080"/>
                <w:sz w:val="20"/>
              </w:rPr>
              <w:t>importanza di continuare a sostenere questo settore nell</w:t>
            </w:r>
            <w:r w:rsidR="00D52D42">
              <w:rPr>
                <w:rFonts w:ascii="Arial" w:hAnsi="Arial"/>
                <w:color w:val="000080"/>
                <w:sz w:val="20"/>
              </w:rPr>
              <w:t>'</w:t>
            </w:r>
            <w:r>
              <w:rPr>
                <w:rFonts w:ascii="Arial" w:hAnsi="Arial"/>
                <w:color w:val="000080"/>
                <w:sz w:val="20"/>
              </w:rPr>
              <w:t>ambito della PAC.</w:t>
            </w:r>
          </w:p>
          <w:p w:rsidR="00900927" w:rsidRPr="008E0AC8" w:rsidP="0002279A">
            <w:pPr>
              <w:spacing w:before="60" w:after="120"/>
              <w:jc w:val="both"/>
              <w:rPr>
                <w:rFonts w:ascii="Arial" w:hAnsi="Arial" w:cs="Arial"/>
                <w:color w:val="000080"/>
                <w:sz w:val="20"/>
                <w:szCs w:val="20"/>
              </w:rPr>
            </w:pPr>
            <w:r>
              <w:rPr>
                <w:rFonts w:ascii="Arial" w:hAnsi="Arial"/>
                <w:color w:val="000080"/>
                <w:sz w:val="20"/>
              </w:rPr>
              <w:t>La produzione e l</w:t>
            </w:r>
            <w:r w:rsidR="00D52D42">
              <w:rPr>
                <w:rFonts w:ascii="Arial" w:hAnsi="Arial"/>
                <w:color w:val="000080"/>
                <w:sz w:val="20"/>
              </w:rPr>
              <w:t>'</w:t>
            </w:r>
            <w:r>
              <w:rPr>
                <w:rFonts w:ascii="Arial" w:hAnsi="Arial"/>
                <w:color w:val="000080"/>
                <w:sz w:val="20"/>
              </w:rPr>
              <w:t>etichettatura dei prodotti biologici sono disciplinate dal regolamento (UE)</w:t>
            </w:r>
            <w:r w:rsidR="00D52D42">
              <w:rPr>
                <w:rFonts w:ascii="Arial" w:hAnsi="Arial"/>
                <w:color w:val="000080"/>
                <w:sz w:val="20"/>
              </w:rPr>
              <w:t> </w:t>
            </w:r>
            <w:r>
              <w:rPr>
                <w:rFonts w:ascii="Arial" w:hAnsi="Arial"/>
                <w:color w:val="000080"/>
                <w:sz w:val="20"/>
              </w:rPr>
              <w:t>2018/848, il quale stabilisce le norme dettagliate che stanno alla base della produzione biologica e che rappresentano lo standard dell</w:t>
            </w:r>
            <w:r w:rsidR="00D52D42">
              <w:rPr>
                <w:rFonts w:ascii="Arial" w:hAnsi="Arial"/>
                <w:color w:val="000080"/>
                <w:sz w:val="20"/>
              </w:rPr>
              <w:t>'</w:t>
            </w:r>
            <w:r>
              <w:rPr>
                <w:rFonts w:ascii="Arial" w:hAnsi="Arial"/>
                <w:color w:val="000080"/>
                <w:sz w:val="20"/>
              </w:rPr>
              <w:t>UE più elevato di una produzione agricola ecologicamente sostenibile. Tale regolamento stabilisce norme rigorose per la produzione biologica nell</w:t>
            </w:r>
            <w:r w:rsidR="00D52D42">
              <w:rPr>
                <w:rFonts w:ascii="Arial" w:hAnsi="Arial"/>
                <w:color w:val="000080"/>
                <w:sz w:val="20"/>
              </w:rPr>
              <w:t>'</w:t>
            </w:r>
            <w:r>
              <w:rPr>
                <w:rFonts w:ascii="Arial" w:hAnsi="Arial"/>
                <w:color w:val="000080"/>
                <w:sz w:val="20"/>
              </w:rPr>
              <w:t>UE e queste vanno mantenute. Tuttavia, per agevolare la crescita e la</w:t>
            </w:r>
            <w:r w:rsidR="00D52D42">
              <w:rPr>
                <w:rFonts w:ascii="Arial" w:hAnsi="Arial"/>
                <w:color w:val="000080"/>
                <w:sz w:val="20"/>
              </w:rPr>
              <w:t> </w:t>
            </w:r>
            <w:r>
              <w:rPr>
                <w:rFonts w:ascii="Arial" w:hAnsi="Arial"/>
                <w:color w:val="000080"/>
                <w:sz w:val="20"/>
              </w:rPr>
              <w:t>competitività del comparto biologico e in linea con l</w:t>
            </w:r>
            <w:r w:rsidR="00D52D42">
              <w:rPr>
                <w:rFonts w:ascii="Arial" w:hAnsi="Arial"/>
                <w:color w:val="000080"/>
                <w:sz w:val="20"/>
              </w:rPr>
              <w:t>'</w:t>
            </w:r>
            <w:r>
              <w:rPr>
                <w:rFonts w:ascii="Arial" w:hAnsi="Arial"/>
                <w:color w:val="000080"/>
                <w:sz w:val="20"/>
              </w:rPr>
              <w:t>obiettivo di semplificare il quadro normativo che interessa le</w:t>
            </w:r>
            <w:r w:rsidR="00D52D42">
              <w:rPr>
                <w:rFonts w:ascii="Arial" w:hAnsi="Arial"/>
                <w:color w:val="000080"/>
                <w:sz w:val="20"/>
              </w:rPr>
              <w:t> </w:t>
            </w:r>
            <w:r>
              <w:rPr>
                <w:rFonts w:ascii="Arial" w:hAnsi="Arial"/>
                <w:color w:val="000080"/>
                <w:sz w:val="20"/>
              </w:rPr>
              <w:t>aziende agricole e l</w:t>
            </w:r>
            <w:r w:rsidR="00D52D42">
              <w:rPr>
                <w:rFonts w:ascii="Arial" w:hAnsi="Arial"/>
                <w:color w:val="000080"/>
                <w:sz w:val="20"/>
              </w:rPr>
              <w:t>'</w:t>
            </w:r>
            <w:r>
              <w:rPr>
                <w:rFonts w:ascii="Arial" w:hAnsi="Arial"/>
                <w:color w:val="000080"/>
                <w:sz w:val="20"/>
              </w:rPr>
              <w:t>intera catena del valore agroalimentare, come sottolineato nella</w:t>
            </w:r>
            <w:r>
              <w:t xml:space="preserve"> </w:t>
            </w:r>
            <w:r>
              <w:fldChar w:fldCharType="begin"/>
            </w:r>
            <w:r>
              <w:instrText xml:space="preserve"> HYPERLINK "https://eur-lex.europa.eu/legal-content/IT/TXT/PDF/?uri=CELEX:52025DC0075" </w:instrText>
            </w:r>
            <w:r>
              <w:fldChar w:fldCharType="separate"/>
            </w:r>
            <w:r>
              <w:rPr>
                <w:rStyle w:val="Hyperlink"/>
                <w:rFonts w:ascii="Arial" w:hAnsi="Arial"/>
                <w:sz w:val="20"/>
              </w:rPr>
              <w:t>visione per l</w:t>
            </w:r>
            <w:r w:rsidR="00D52D42">
              <w:rPr>
                <w:rStyle w:val="Hyperlink"/>
                <w:rFonts w:ascii="Arial" w:hAnsi="Arial"/>
                <w:sz w:val="20"/>
              </w:rPr>
              <w:t>'</w:t>
            </w:r>
            <w:r>
              <w:rPr>
                <w:rStyle w:val="Hyperlink"/>
                <w:rFonts w:ascii="Arial" w:hAnsi="Arial"/>
                <w:sz w:val="20"/>
              </w:rPr>
              <w:t>agricoltura e l</w:t>
            </w:r>
            <w:r w:rsidR="00D52D42">
              <w:rPr>
                <w:rStyle w:val="Hyperlink"/>
                <w:rFonts w:ascii="Arial" w:hAnsi="Arial"/>
                <w:sz w:val="20"/>
              </w:rPr>
              <w:t>'</w:t>
            </w:r>
            <w:r>
              <w:rPr>
                <w:rStyle w:val="Hyperlink"/>
                <w:rFonts w:ascii="Arial" w:hAnsi="Arial"/>
                <w:sz w:val="20"/>
              </w:rPr>
              <w:t>alimentazione</w:t>
            </w:r>
            <w:r>
              <w:fldChar w:fldCharType="end"/>
            </w:r>
            <w:r>
              <w:rPr>
                <w:rFonts w:ascii="Arial" w:hAnsi="Arial"/>
                <w:color w:val="000080"/>
                <w:sz w:val="20"/>
              </w:rPr>
              <w:t>, è indispensabile rivedere un numero limitato di elementi della legislazione vigente.</w:t>
            </w:r>
            <w:bookmarkEnd w:id="0"/>
          </w:p>
        </w:tc>
      </w:tr>
      <w:tr w:rsidTr="3D4D4A38">
        <w:tblPrEx>
          <w:tblW w:w="10188" w:type="dxa"/>
          <w:tblLook w:val="01E0"/>
        </w:tblPrEx>
        <w:tc>
          <w:tcPr>
            <w:tcW w:w="10188" w:type="dxa"/>
            <w:tcBorders>
              <w:bottom w:val="single" w:sz="4" w:space="0" w:color="auto"/>
            </w:tcBorders>
            <w:shd w:val="clear" w:color="auto" w:fill="E6E6E6"/>
          </w:tcPr>
          <w:p w:rsidR="0071651E" w:rsidRPr="008E0AC8" w:rsidP="00347966">
            <w:pPr>
              <w:spacing w:before="120" w:after="120"/>
              <w:jc w:val="both"/>
              <w:rPr>
                <w:rFonts w:ascii="Arial" w:hAnsi="Arial" w:cs="Arial"/>
              </w:rPr>
            </w:pPr>
            <w:r>
              <w:rPr>
                <w:rFonts w:ascii="Arial" w:hAnsi="Arial"/>
                <w:b/>
              </w:rPr>
              <w:t>Problema che si intende affrontare con l</w:t>
            </w:r>
            <w:r w:rsidR="00D52D42">
              <w:rPr>
                <w:rFonts w:ascii="Arial" w:hAnsi="Arial"/>
                <w:b/>
              </w:rPr>
              <w:t>'</w:t>
            </w:r>
            <w:r>
              <w:rPr>
                <w:rFonts w:ascii="Arial" w:hAnsi="Arial"/>
                <w:b/>
              </w:rPr>
              <w:t>iniziativa</w:t>
            </w:r>
          </w:p>
        </w:tc>
      </w:tr>
      <w:tr w:rsidTr="3D4D4A38">
        <w:tblPrEx>
          <w:tblW w:w="10188" w:type="dxa"/>
          <w:tblLook w:val="01E0"/>
        </w:tblPrEx>
        <w:tc>
          <w:tcPr>
            <w:tcW w:w="10188" w:type="dxa"/>
            <w:tcBorders>
              <w:bottom w:val="single" w:sz="4" w:space="0" w:color="auto"/>
            </w:tcBorders>
          </w:tcPr>
          <w:p w:rsidR="00F23035" w:rsidRPr="008E0AC8" w:rsidP="00F23035">
            <w:pPr>
              <w:spacing w:after="120"/>
              <w:jc w:val="both"/>
              <w:rPr>
                <w:rFonts w:ascii="Arial" w:hAnsi="Arial" w:cs="Arial"/>
                <w:color w:val="000080"/>
                <w:sz w:val="20"/>
                <w:szCs w:val="20"/>
              </w:rPr>
            </w:pPr>
            <w:bookmarkStart w:id="1" w:name="_Hlk195109337"/>
            <w:r>
              <w:rPr>
                <w:rFonts w:ascii="Arial" w:hAnsi="Arial"/>
                <w:color w:val="000080"/>
                <w:sz w:val="20"/>
              </w:rPr>
              <w:t>Per rendere la produzione biologica dell</w:t>
            </w:r>
            <w:r w:rsidR="00D52D42">
              <w:rPr>
                <w:rFonts w:ascii="Arial" w:hAnsi="Arial"/>
                <w:color w:val="000080"/>
                <w:sz w:val="20"/>
              </w:rPr>
              <w:t>'</w:t>
            </w:r>
            <w:r>
              <w:rPr>
                <w:rFonts w:ascii="Arial" w:hAnsi="Arial"/>
                <w:color w:val="000080"/>
                <w:sz w:val="20"/>
              </w:rPr>
              <w:t>UE più competitiva e garantire norme stabili per il commercio di prodotti biologici, le disposizioni per il settore in vigore dal 2022 (regolamento (UE) 2018/848) richiedono un adeguamento mirato per creare un quadro normativo più efficiente e di più facile attuazione.</w:t>
            </w:r>
          </w:p>
          <w:p w:rsidR="009C66AA" w:rsidP="00C37D85">
            <w:pPr>
              <w:spacing w:after="120"/>
              <w:jc w:val="both"/>
              <w:rPr>
                <w:rFonts w:ascii="Arial" w:hAnsi="Arial" w:cs="Arial"/>
                <w:color w:val="000080"/>
                <w:sz w:val="20"/>
                <w:szCs w:val="20"/>
              </w:rPr>
            </w:pPr>
            <w:r>
              <w:rPr>
                <w:rFonts w:ascii="Arial" w:hAnsi="Arial"/>
                <w:color w:val="000080"/>
                <w:sz w:val="20"/>
              </w:rPr>
              <w:t xml:space="preserve">In primo luogo, a seguito della </w:t>
            </w:r>
            <w:r>
              <w:fldChar w:fldCharType="begin"/>
            </w:r>
            <w:r>
              <w:instrText xml:space="preserve"> HYPERLINK "https://eur-lex.europa.eu/legal-content/IT/TXT/?uri=celex:62023CJ0240" </w:instrText>
            </w:r>
            <w:r>
              <w:fldChar w:fldCharType="separate"/>
            </w:r>
            <w:r>
              <w:rPr>
                <w:rStyle w:val="Hyperlink"/>
                <w:rFonts w:ascii="Arial" w:hAnsi="Arial"/>
                <w:sz w:val="20"/>
              </w:rPr>
              <w:t>causa Herbaria II</w:t>
            </w:r>
            <w:r>
              <w:fldChar w:fldCharType="end"/>
            </w:r>
            <w:r>
              <w:rPr>
                <w:rFonts w:ascii="Arial" w:hAnsi="Arial"/>
                <w:color w:val="000080"/>
                <w:sz w:val="20"/>
              </w:rPr>
              <w:t>, è importante dare chiarezza e certezza agli operatori in merito alle norme in vigore per l</w:t>
            </w:r>
            <w:r w:rsidR="00D52D42">
              <w:rPr>
                <w:rFonts w:ascii="Arial" w:hAnsi="Arial"/>
                <w:color w:val="000080"/>
                <w:sz w:val="20"/>
              </w:rPr>
              <w:t>'</w:t>
            </w:r>
            <w:r>
              <w:rPr>
                <w:rFonts w:ascii="Arial" w:hAnsi="Arial"/>
                <w:color w:val="000080"/>
                <w:sz w:val="20"/>
              </w:rPr>
              <w:t>importazione di prodotti biologici nell</w:t>
            </w:r>
            <w:r w:rsidR="00D52D42">
              <w:rPr>
                <w:rFonts w:ascii="Arial" w:hAnsi="Arial"/>
                <w:color w:val="000080"/>
                <w:sz w:val="20"/>
              </w:rPr>
              <w:t>'</w:t>
            </w:r>
            <w:r>
              <w:rPr>
                <w:rFonts w:ascii="Arial" w:hAnsi="Arial"/>
                <w:color w:val="000080"/>
                <w:sz w:val="20"/>
              </w:rPr>
              <w:t>ambito del regime di equivalenza. Ciò anche per garantire che il logo biologico dell</w:t>
            </w:r>
            <w:r w:rsidR="00D52D42">
              <w:rPr>
                <w:rFonts w:ascii="Arial" w:hAnsi="Arial"/>
                <w:color w:val="000080"/>
                <w:sz w:val="20"/>
              </w:rPr>
              <w:t>'</w:t>
            </w:r>
            <w:r>
              <w:rPr>
                <w:rFonts w:ascii="Arial" w:hAnsi="Arial"/>
                <w:color w:val="000080"/>
                <w:sz w:val="20"/>
              </w:rPr>
              <w:t>UE possa informare in modo attendibile i consumatori circa le norme e il metodo di produzione dei prodotti immessi sul mercato dell</w:t>
            </w:r>
            <w:r w:rsidR="00D52D42">
              <w:rPr>
                <w:rFonts w:ascii="Arial" w:hAnsi="Arial"/>
                <w:color w:val="000080"/>
                <w:sz w:val="20"/>
              </w:rPr>
              <w:t>'</w:t>
            </w:r>
            <w:r>
              <w:rPr>
                <w:rFonts w:ascii="Arial" w:hAnsi="Arial"/>
                <w:color w:val="000080"/>
                <w:sz w:val="20"/>
              </w:rPr>
              <w:t>UE.</w:t>
            </w:r>
          </w:p>
          <w:p w:rsidR="00E201CD" w:rsidP="00C37D85">
            <w:pPr>
              <w:spacing w:after="120"/>
              <w:jc w:val="both"/>
              <w:rPr>
                <w:rFonts w:ascii="Arial" w:hAnsi="Arial" w:cs="Arial"/>
                <w:color w:val="000080"/>
                <w:sz w:val="20"/>
                <w:szCs w:val="20"/>
              </w:rPr>
            </w:pPr>
            <w:r>
              <w:rPr>
                <w:rFonts w:ascii="Arial" w:hAnsi="Arial"/>
                <w:color w:val="000080"/>
                <w:sz w:val="20"/>
              </w:rPr>
              <w:t>In secondo luogo, è importante evitare potenziali turbolenze nel commercio di prodotti biologici con 11 paesi terzi equivalenti il cui termine per il riconoscimento scade il 31 dicembre 2026. Di fatto, la sospensione dei rispettivi sistemi di riconoscimento di cui beneficia l</w:t>
            </w:r>
            <w:r w:rsidR="00D52D42">
              <w:rPr>
                <w:rFonts w:ascii="Arial" w:hAnsi="Arial"/>
                <w:color w:val="000080"/>
                <w:sz w:val="20"/>
              </w:rPr>
              <w:t>'</w:t>
            </w:r>
            <w:r>
              <w:rPr>
                <w:rFonts w:ascii="Arial" w:hAnsi="Arial"/>
                <w:color w:val="000080"/>
                <w:sz w:val="20"/>
              </w:rPr>
              <w:t>intero settore biologico dell</w:t>
            </w:r>
            <w:r w:rsidR="00D52D42">
              <w:rPr>
                <w:rFonts w:ascii="Arial" w:hAnsi="Arial"/>
                <w:color w:val="000080"/>
                <w:sz w:val="20"/>
              </w:rPr>
              <w:t>'</w:t>
            </w:r>
            <w:r>
              <w:rPr>
                <w:rFonts w:ascii="Arial" w:hAnsi="Arial"/>
                <w:color w:val="000080"/>
                <w:sz w:val="20"/>
              </w:rPr>
              <w:t>UE va evitata mediante una proroga di tale termine.</w:t>
            </w:r>
          </w:p>
          <w:p w:rsidR="002279E2" w:rsidP="002D2AAE">
            <w:pPr>
              <w:spacing w:after="120"/>
              <w:jc w:val="both"/>
              <w:rPr>
                <w:rFonts w:ascii="Arial" w:hAnsi="Arial" w:cs="Arial"/>
                <w:color w:val="000080"/>
                <w:sz w:val="20"/>
                <w:szCs w:val="20"/>
              </w:rPr>
            </w:pPr>
            <w:r>
              <w:rPr>
                <w:rFonts w:ascii="Arial" w:hAnsi="Arial"/>
                <w:color w:val="000080"/>
                <w:sz w:val="20"/>
              </w:rPr>
              <w:t>Infine, sebbene il regolamento (UE)</w:t>
            </w:r>
            <w:r w:rsidR="00D52D42">
              <w:rPr>
                <w:rFonts w:ascii="Arial" w:hAnsi="Arial"/>
                <w:color w:val="000080"/>
                <w:sz w:val="20"/>
              </w:rPr>
              <w:t> </w:t>
            </w:r>
            <w:r>
              <w:rPr>
                <w:rFonts w:ascii="Arial" w:hAnsi="Arial"/>
                <w:color w:val="000080"/>
                <w:sz w:val="20"/>
              </w:rPr>
              <w:t>2018/848 sia reputato fornire una solida base per la crescita e l</w:t>
            </w:r>
            <w:r w:rsidR="00D52D42">
              <w:rPr>
                <w:rFonts w:ascii="Arial" w:hAnsi="Arial"/>
                <w:color w:val="000080"/>
                <w:sz w:val="20"/>
              </w:rPr>
              <w:t>'</w:t>
            </w:r>
            <w:r>
              <w:rPr>
                <w:rFonts w:ascii="Arial" w:hAnsi="Arial"/>
                <w:color w:val="000080"/>
                <w:sz w:val="20"/>
              </w:rPr>
              <w:t>affidabilità del</w:t>
            </w:r>
            <w:r w:rsidR="00D52D42">
              <w:rPr>
                <w:rFonts w:ascii="Arial" w:hAnsi="Arial"/>
                <w:color w:val="000080"/>
                <w:sz w:val="20"/>
              </w:rPr>
              <w:t> </w:t>
            </w:r>
            <w:r>
              <w:rPr>
                <w:rFonts w:ascii="Arial" w:hAnsi="Arial"/>
                <w:color w:val="000080"/>
                <w:sz w:val="20"/>
              </w:rPr>
              <w:t>settore biologico nell</w:t>
            </w:r>
            <w:r w:rsidR="00D52D42">
              <w:rPr>
                <w:rFonts w:ascii="Arial" w:hAnsi="Arial"/>
                <w:color w:val="000080"/>
                <w:sz w:val="20"/>
              </w:rPr>
              <w:t>'</w:t>
            </w:r>
            <w:r>
              <w:rPr>
                <w:rFonts w:ascii="Arial" w:hAnsi="Arial"/>
                <w:color w:val="000080"/>
                <w:sz w:val="20"/>
              </w:rPr>
              <w:t>UE, gli Stati membri e le parti interessate hanno più volte sottolineato alcune inutili complessità dell</w:t>
            </w:r>
            <w:r w:rsidR="00D52D42">
              <w:rPr>
                <w:rFonts w:ascii="Arial" w:hAnsi="Arial"/>
                <w:color w:val="000080"/>
                <w:sz w:val="20"/>
              </w:rPr>
              <w:t>'</w:t>
            </w:r>
            <w:r>
              <w:rPr>
                <w:rFonts w:ascii="Arial" w:hAnsi="Arial"/>
                <w:color w:val="000080"/>
                <w:sz w:val="20"/>
              </w:rPr>
              <w:t>attuale quadro normativo. L</w:t>
            </w:r>
            <w:r w:rsidR="00D52D42">
              <w:rPr>
                <w:rFonts w:ascii="Arial" w:hAnsi="Arial"/>
                <w:color w:val="000080"/>
                <w:sz w:val="20"/>
              </w:rPr>
              <w:t>'</w:t>
            </w:r>
            <w:r>
              <w:rPr>
                <w:rFonts w:ascii="Arial" w:hAnsi="Arial"/>
                <w:color w:val="000080"/>
                <w:sz w:val="20"/>
              </w:rPr>
              <w:t xml:space="preserve">eliminazione mirata di tali complessità intende rendere la produzione </w:t>
            </w:r>
            <w:r>
              <w:rPr>
                <w:rFonts w:ascii="Arial" w:hAnsi="Arial"/>
                <w:color w:val="000080"/>
                <w:sz w:val="20"/>
              </w:rPr>
              <w:t>biologica dell</w:t>
            </w:r>
            <w:r w:rsidR="00D52D42">
              <w:rPr>
                <w:rFonts w:ascii="Arial" w:hAnsi="Arial"/>
                <w:color w:val="000080"/>
                <w:sz w:val="20"/>
              </w:rPr>
              <w:t>'</w:t>
            </w:r>
            <w:r>
              <w:rPr>
                <w:rFonts w:ascii="Arial" w:hAnsi="Arial"/>
                <w:color w:val="000080"/>
                <w:sz w:val="20"/>
              </w:rPr>
              <w:t>UE più competitiva e ridurre gli oneri normativi. Sono già state individuate complessità per quanto riguarda:</w:t>
            </w:r>
          </w:p>
          <w:p w:rsidR="002279E2" w:rsidP="00D52D42">
            <w:pPr>
              <w:pStyle w:val="ListParagraph"/>
              <w:numPr>
                <w:ilvl w:val="0"/>
                <w:numId w:val="74"/>
              </w:numPr>
              <w:spacing w:after="120"/>
              <w:rPr>
                <w:rFonts w:ascii="Arial" w:hAnsi="Arial" w:cs="Arial"/>
                <w:color w:val="000080"/>
                <w:sz w:val="20"/>
                <w:szCs w:val="20"/>
              </w:rPr>
            </w:pPr>
            <w:r>
              <w:rPr>
                <w:rFonts w:ascii="Arial" w:hAnsi="Arial"/>
                <w:color w:val="000080"/>
                <w:sz w:val="20"/>
              </w:rPr>
              <w:t>le norme di produzione animale delle quaglie, i tempi di attesa a seguito di un trattamento veterinario allopatico, i ricoveri per pollame da ingrasso e l</w:t>
            </w:r>
            <w:r w:rsidR="00D52D42">
              <w:rPr>
                <w:rFonts w:ascii="Arial" w:hAnsi="Arial"/>
                <w:color w:val="000080"/>
                <w:sz w:val="20"/>
              </w:rPr>
              <w:t>'</w:t>
            </w:r>
            <w:r>
              <w:rPr>
                <w:rFonts w:ascii="Arial" w:hAnsi="Arial"/>
                <w:color w:val="000080"/>
                <w:sz w:val="20"/>
              </w:rPr>
              <w:t>accesso agli spazi all</w:t>
            </w:r>
            <w:r w:rsidR="00D52D42">
              <w:rPr>
                <w:rFonts w:ascii="Arial" w:hAnsi="Arial"/>
                <w:color w:val="000080"/>
                <w:sz w:val="20"/>
              </w:rPr>
              <w:t>'</w:t>
            </w:r>
            <w:r>
              <w:rPr>
                <w:rFonts w:ascii="Arial" w:hAnsi="Arial"/>
                <w:color w:val="000080"/>
                <w:sz w:val="20"/>
              </w:rPr>
              <w:t>aperto per il pollame fino a una determinata età;</w:t>
            </w:r>
          </w:p>
          <w:p w:rsidR="002279E2" w:rsidP="002B1CA2">
            <w:pPr>
              <w:pStyle w:val="ListParagraph"/>
              <w:numPr>
                <w:ilvl w:val="0"/>
                <w:numId w:val="74"/>
              </w:numPr>
              <w:spacing w:after="120"/>
              <w:jc w:val="both"/>
              <w:rPr>
                <w:rFonts w:ascii="Arial" w:hAnsi="Arial" w:cs="Arial"/>
                <w:color w:val="000080"/>
                <w:sz w:val="20"/>
                <w:szCs w:val="20"/>
              </w:rPr>
            </w:pPr>
            <w:r>
              <w:rPr>
                <w:rFonts w:ascii="Arial" w:hAnsi="Arial"/>
                <w:color w:val="000080"/>
                <w:sz w:val="20"/>
              </w:rPr>
              <w:t>i prodotti e le sostanze per la pulizia e la disinfezione degli impianti di trasformazione e magazzinaggio;</w:t>
            </w:r>
          </w:p>
          <w:p w:rsidR="00F23035" w:rsidRPr="00387C6C" w:rsidP="002B1CA2">
            <w:pPr>
              <w:pStyle w:val="ListParagraph"/>
              <w:numPr>
                <w:ilvl w:val="0"/>
                <w:numId w:val="74"/>
              </w:numPr>
              <w:spacing w:after="120"/>
              <w:jc w:val="both"/>
              <w:rPr>
                <w:rFonts w:ascii="Arial" w:hAnsi="Arial" w:cs="Arial"/>
                <w:color w:val="000080"/>
                <w:sz w:val="20"/>
                <w:szCs w:val="20"/>
              </w:rPr>
            </w:pPr>
            <w:r>
              <w:rPr>
                <w:rFonts w:ascii="Arial" w:hAnsi="Arial"/>
                <w:color w:val="000080"/>
                <w:sz w:val="20"/>
              </w:rPr>
              <w:t>i criteri di ammissibilità per gruppi di operatori e piccoli venditori di prodotti biologici non imballati</w:t>
            </w:r>
            <w:bookmarkEnd w:id="1"/>
            <w:r>
              <w:rPr>
                <w:rFonts w:ascii="Arial" w:hAnsi="Arial"/>
                <w:color w:val="000080"/>
                <w:sz w:val="20"/>
              </w:rPr>
              <w:t>.</w:t>
            </w:r>
          </w:p>
        </w:tc>
      </w:tr>
      <w:tr w:rsidTr="3D4D4A38">
        <w:tblPrEx>
          <w:tblW w:w="10188" w:type="dxa"/>
          <w:tblLook w:val="01E0"/>
        </w:tblPrEx>
        <w:tc>
          <w:tcPr>
            <w:tcW w:w="10188" w:type="dxa"/>
            <w:tcBorders>
              <w:bottom w:val="single" w:sz="4" w:space="0" w:color="auto"/>
            </w:tcBorders>
            <w:shd w:val="clear" w:color="auto" w:fill="E6E6E6"/>
          </w:tcPr>
          <w:p w:rsidR="009E6661" w:rsidRPr="008E0AC8" w:rsidP="00347966">
            <w:pPr>
              <w:spacing w:before="120" w:after="120"/>
              <w:jc w:val="both"/>
              <w:rPr>
                <w:rFonts w:ascii="Arial" w:hAnsi="Arial" w:cs="Arial"/>
              </w:rPr>
            </w:pPr>
            <w:r>
              <w:rPr>
                <w:rFonts w:ascii="Arial" w:hAnsi="Arial"/>
                <w:b/>
              </w:rPr>
              <w:t>Base per l</w:t>
            </w:r>
            <w:r w:rsidR="00D52D42">
              <w:rPr>
                <w:rFonts w:ascii="Arial" w:hAnsi="Arial"/>
                <w:b/>
              </w:rPr>
              <w:t>'</w:t>
            </w:r>
            <w:r>
              <w:rPr>
                <w:rFonts w:ascii="Arial" w:hAnsi="Arial"/>
                <w:b/>
              </w:rPr>
              <w:t>azione dell</w:t>
            </w:r>
            <w:r w:rsidR="00D52D42">
              <w:rPr>
                <w:rFonts w:ascii="Arial" w:hAnsi="Arial"/>
                <w:b/>
              </w:rPr>
              <w:t>'</w:t>
            </w:r>
            <w:r>
              <w:rPr>
                <w:rFonts w:ascii="Arial" w:hAnsi="Arial"/>
                <w:b/>
              </w:rPr>
              <w:t>UE (base giuridica e analisi della sussidiarietà)</w:t>
            </w:r>
          </w:p>
        </w:tc>
      </w:tr>
      <w:tr w:rsidTr="3D4D4A38">
        <w:tblPrEx>
          <w:tblW w:w="10188" w:type="dxa"/>
          <w:tblLook w:val="01E0"/>
        </w:tblPrEx>
        <w:tc>
          <w:tcPr>
            <w:tcW w:w="10188" w:type="dxa"/>
            <w:shd w:val="clear" w:color="auto" w:fill="D9D9D9" w:themeFill="background1" w:themeFillShade="D9"/>
          </w:tcPr>
          <w:p w:rsidR="002B1AA3" w:rsidRPr="008E0AC8" w:rsidP="001533F9">
            <w:pPr>
              <w:spacing w:before="120" w:after="120"/>
              <w:jc w:val="both"/>
              <w:rPr>
                <w:rFonts w:ascii="Arial" w:hAnsi="Arial" w:cs="Arial"/>
                <w:b/>
                <w:color w:val="1036A0"/>
              </w:rPr>
            </w:pPr>
            <w:r>
              <w:rPr>
                <w:rFonts w:ascii="Arial" w:hAnsi="Arial"/>
                <w:b/>
                <w:color w:val="000000" w:themeColor="text1"/>
              </w:rPr>
              <w:t>Base</w:t>
            </w:r>
            <w:r>
              <w:rPr>
                <w:rFonts w:ascii="Arial" w:hAnsi="Arial"/>
                <w:b/>
                <w:color w:val="1036A0"/>
              </w:rPr>
              <w:t xml:space="preserve"> </w:t>
            </w:r>
            <w:r>
              <w:rPr>
                <w:rFonts w:ascii="Arial" w:hAnsi="Arial"/>
                <w:b/>
                <w:color w:val="000000" w:themeColor="text1"/>
              </w:rPr>
              <w:t>giuridica</w:t>
            </w:r>
          </w:p>
        </w:tc>
      </w:tr>
      <w:tr w:rsidTr="3D4D4A38">
        <w:tblPrEx>
          <w:tblW w:w="10188" w:type="dxa"/>
          <w:tblLook w:val="01E0"/>
        </w:tblPrEx>
        <w:tc>
          <w:tcPr>
            <w:tcW w:w="10188" w:type="dxa"/>
          </w:tcPr>
          <w:p w:rsidR="000047A7" w:rsidRPr="008E0AC8" w:rsidP="00B64B39">
            <w:pPr>
              <w:spacing w:before="120" w:after="120"/>
              <w:jc w:val="both"/>
              <w:rPr>
                <w:rFonts w:ascii="Arial" w:hAnsi="Arial" w:cs="Arial"/>
                <w:color w:val="000080"/>
                <w:sz w:val="20"/>
                <w:szCs w:val="20"/>
              </w:rPr>
            </w:pPr>
            <w:bookmarkStart w:id="2" w:name="_Hlk195109354"/>
            <w:r>
              <w:rPr>
                <w:rFonts w:ascii="Arial" w:hAnsi="Arial"/>
                <w:color w:val="000080"/>
                <w:sz w:val="20"/>
              </w:rPr>
              <w:t>L</w:t>
            </w:r>
            <w:r w:rsidR="00D52D42">
              <w:rPr>
                <w:rFonts w:ascii="Arial" w:hAnsi="Arial"/>
                <w:color w:val="000080"/>
                <w:sz w:val="20"/>
              </w:rPr>
              <w:t>'</w:t>
            </w:r>
            <w:r>
              <w:rPr>
                <w:rFonts w:ascii="Arial" w:hAnsi="Arial"/>
                <w:color w:val="000080"/>
                <w:sz w:val="20"/>
              </w:rPr>
              <w:t>articolo 43, paragrafo 2, del trattato sul funzionamento dell</w:t>
            </w:r>
            <w:r w:rsidR="00D52D42">
              <w:rPr>
                <w:rFonts w:ascii="Arial" w:hAnsi="Arial"/>
                <w:color w:val="000080"/>
                <w:sz w:val="20"/>
              </w:rPr>
              <w:t>'</w:t>
            </w:r>
            <w:r>
              <w:rPr>
                <w:rFonts w:ascii="Arial" w:hAnsi="Arial"/>
                <w:color w:val="000080"/>
                <w:sz w:val="20"/>
              </w:rPr>
              <w:t>Unione europea costituisce la base giuridica per la presentazione da parte della Commissione di una proposta di modifica del regolamento del Parlamento europeo e del Consiglio in virtù del suo diritto di iniziativa di cui all</w:t>
            </w:r>
            <w:r w:rsidR="00D52D42">
              <w:rPr>
                <w:rFonts w:ascii="Arial" w:hAnsi="Arial"/>
                <w:color w:val="000080"/>
                <w:sz w:val="20"/>
              </w:rPr>
              <w:t>'</w:t>
            </w:r>
            <w:r>
              <w:rPr>
                <w:rFonts w:ascii="Arial" w:hAnsi="Arial"/>
                <w:color w:val="000080"/>
                <w:sz w:val="20"/>
              </w:rPr>
              <w:t>articolo 17 del trattato sull</w:t>
            </w:r>
            <w:r w:rsidR="00D52D42">
              <w:rPr>
                <w:rFonts w:ascii="Arial" w:hAnsi="Arial"/>
                <w:color w:val="000080"/>
                <w:sz w:val="20"/>
              </w:rPr>
              <w:t>'</w:t>
            </w:r>
            <w:r>
              <w:rPr>
                <w:rFonts w:ascii="Arial" w:hAnsi="Arial"/>
                <w:color w:val="000080"/>
                <w:sz w:val="20"/>
              </w:rPr>
              <w:t>Unione europea.</w:t>
            </w:r>
            <w:bookmarkEnd w:id="2"/>
          </w:p>
        </w:tc>
      </w:tr>
      <w:tr w:rsidTr="3D4D4A38">
        <w:tblPrEx>
          <w:tblW w:w="10188" w:type="dxa"/>
          <w:tblLook w:val="01E0"/>
        </w:tblPrEx>
        <w:tc>
          <w:tcPr>
            <w:tcW w:w="10188" w:type="dxa"/>
            <w:shd w:val="clear" w:color="auto" w:fill="D9D9D9" w:themeFill="background1" w:themeFillShade="D9"/>
          </w:tcPr>
          <w:p w:rsidR="002B1AA3" w:rsidRPr="008E0AC8" w:rsidP="001E25A5">
            <w:pPr>
              <w:spacing w:before="120" w:after="120"/>
              <w:jc w:val="both"/>
              <w:rPr>
                <w:rFonts w:ascii="Arial" w:hAnsi="Arial" w:cs="Arial"/>
                <w:b/>
                <w:color w:val="1036A0"/>
              </w:rPr>
            </w:pPr>
            <w:r>
              <w:rPr>
                <w:rFonts w:ascii="Arial" w:hAnsi="Arial"/>
                <w:b/>
                <w:color w:val="000000" w:themeColor="text1"/>
              </w:rPr>
              <w:t>Necessità pratica di un</w:t>
            </w:r>
            <w:r w:rsidR="00D52D42">
              <w:rPr>
                <w:rFonts w:ascii="Arial" w:hAnsi="Arial"/>
                <w:b/>
                <w:color w:val="000000" w:themeColor="text1"/>
              </w:rPr>
              <w:t>'</w:t>
            </w:r>
            <w:r>
              <w:rPr>
                <w:rFonts w:ascii="Arial" w:hAnsi="Arial"/>
                <w:b/>
                <w:color w:val="000000" w:themeColor="text1"/>
              </w:rPr>
              <w:t>azione dell</w:t>
            </w:r>
            <w:r w:rsidR="00D52D42">
              <w:rPr>
                <w:rFonts w:ascii="Arial" w:hAnsi="Arial"/>
                <w:b/>
                <w:color w:val="000000" w:themeColor="text1"/>
              </w:rPr>
              <w:t>'</w:t>
            </w:r>
            <w:r>
              <w:rPr>
                <w:rFonts w:ascii="Arial" w:hAnsi="Arial"/>
                <w:b/>
                <w:color w:val="000000" w:themeColor="text1"/>
              </w:rPr>
              <w:t>UE</w:t>
            </w:r>
          </w:p>
        </w:tc>
      </w:tr>
      <w:tr w:rsidTr="3D4D4A38">
        <w:tblPrEx>
          <w:tblW w:w="10188" w:type="dxa"/>
          <w:tblLook w:val="01E0"/>
        </w:tblPrEx>
        <w:tc>
          <w:tcPr>
            <w:tcW w:w="10188" w:type="dxa"/>
          </w:tcPr>
          <w:p w:rsidR="000047A7" w:rsidRPr="008E0AC8" w:rsidP="00E87DC5">
            <w:pPr>
              <w:spacing w:after="120"/>
              <w:jc w:val="both"/>
              <w:rPr>
                <w:rFonts w:ascii="Arial" w:hAnsi="Arial" w:cs="Arial"/>
                <w:color w:val="000080"/>
                <w:sz w:val="20"/>
                <w:szCs w:val="20"/>
              </w:rPr>
            </w:pPr>
            <w:bookmarkStart w:id="3" w:name="_Hlk195109362"/>
            <w:r>
              <w:rPr>
                <w:rFonts w:ascii="Arial" w:hAnsi="Arial"/>
                <w:color w:val="000080"/>
                <w:sz w:val="20"/>
              </w:rPr>
              <w:t>Le norme che disciplinano la produzione biologica e l</w:t>
            </w:r>
            <w:r w:rsidR="00D52D42">
              <w:rPr>
                <w:rFonts w:ascii="Arial" w:hAnsi="Arial"/>
                <w:color w:val="000080"/>
                <w:sz w:val="20"/>
              </w:rPr>
              <w:t>'</w:t>
            </w:r>
            <w:r>
              <w:rPr>
                <w:rFonts w:ascii="Arial" w:hAnsi="Arial"/>
                <w:color w:val="000080"/>
                <w:sz w:val="20"/>
              </w:rPr>
              <w:t>etichettatura sono stabilite da un regolamento del Parlamento europeo e del Consiglio nell</w:t>
            </w:r>
            <w:r w:rsidR="00D52D42">
              <w:rPr>
                <w:rFonts w:ascii="Arial" w:hAnsi="Arial"/>
                <w:color w:val="000080"/>
                <w:sz w:val="20"/>
              </w:rPr>
              <w:t>'</w:t>
            </w:r>
            <w:r>
              <w:rPr>
                <w:rFonts w:ascii="Arial" w:hAnsi="Arial"/>
                <w:color w:val="000080"/>
                <w:sz w:val="20"/>
              </w:rPr>
              <w:t>ambito della competenza concorrente dell</w:t>
            </w:r>
            <w:r w:rsidR="00D52D42">
              <w:rPr>
                <w:rFonts w:ascii="Arial" w:hAnsi="Arial"/>
                <w:color w:val="000080"/>
                <w:sz w:val="20"/>
              </w:rPr>
              <w:t>'</w:t>
            </w:r>
            <w:r>
              <w:rPr>
                <w:rFonts w:ascii="Arial" w:hAnsi="Arial"/>
                <w:color w:val="000080"/>
                <w:sz w:val="20"/>
              </w:rPr>
              <w:t>UE e degli Stati membri. Un regime biologico unificato a livello dell</w:t>
            </w:r>
            <w:r w:rsidR="00D52D42">
              <w:rPr>
                <w:rFonts w:ascii="Arial" w:hAnsi="Arial"/>
                <w:color w:val="000080"/>
                <w:sz w:val="20"/>
              </w:rPr>
              <w:t>'</w:t>
            </w:r>
            <w:r>
              <w:rPr>
                <w:rFonts w:ascii="Arial" w:hAnsi="Arial"/>
                <w:color w:val="000080"/>
                <w:sz w:val="20"/>
              </w:rPr>
              <w:t>UE è essenziale per il buon funzionamento del mercato unico, garantisce ai consumatori europei l</w:t>
            </w:r>
            <w:r w:rsidR="00D52D42">
              <w:rPr>
                <w:rFonts w:ascii="Arial" w:hAnsi="Arial"/>
                <w:color w:val="000080"/>
                <w:sz w:val="20"/>
              </w:rPr>
              <w:t>'</w:t>
            </w:r>
            <w:r>
              <w:rPr>
                <w:rFonts w:ascii="Arial" w:hAnsi="Arial"/>
                <w:color w:val="000080"/>
                <w:sz w:val="20"/>
              </w:rPr>
              <w:t>accesso ad alimenti realmente biologici, prodotti in ambito europeo secondo le stesse norme, e consente all</w:t>
            </w:r>
            <w:r w:rsidR="00D52D42">
              <w:rPr>
                <w:rFonts w:ascii="Arial" w:hAnsi="Arial"/>
                <w:color w:val="000080"/>
                <w:sz w:val="20"/>
              </w:rPr>
              <w:t>'</w:t>
            </w:r>
            <w:r>
              <w:rPr>
                <w:rFonts w:ascii="Arial" w:hAnsi="Arial"/>
                <w:color w:val="000080"/>
                <w:sz w:val="20"/>
              </w:rPr>
              <w:t>UE di adottare una posizione comune nei negoziati commerciali. Gli obiettivi del regolamento (UE) 2018/848 richiedono un approccio armonizzato a livello dell</w:t>
            </w:r>
            <w:r w:rsidR="00D52D42">
              <w:rPr>
                <w:rFonts w:ascii="Arial" w:hAnsi="Arial"/>
                <w:color w:val="000080"/>
                <w:sz w:val="20"/>
              </w:rPr>
              <w:t>'</w:t>
            </w:r>
            <w:r>
              <w:rPr>
                <w:rFonts w:ascii="Arial" w:hAnsi="Arial"/>
                <w:color w:val="000080"/>
                <w:sz w:val="20"/>
              </w:rPr>
              <w:t>UE, che risulta più efficace di 27 sistemi nazionali. Ai sensi dell</w:t>
            </w:r>
            <w:r w:rsidR="00D52D42">
              <w:rPr>
                <w:rFonts w:ascii="Arial" w:hAnsi="Arial"/>
                <w:color w:val="000080"/>
                <w:sz w:val="20"/>
              </w:rPr>
              <w:t>'</w:t>
            </w:r>
            <w:r>
              <w:rPr>
                <w:rFonts w:ascii="Arial" w:hAnsi="Arial"/>
                <w:color w:val="000080"/>
                <w:sz w:val="20"/>
              </w:rPr>
              <w:t>articolo 5 del trattato sull</w:t>
            </w:r>
            <w:r w:rsidR="00D52D42">
              <w:rPr>
                <w:rFonts w:ascii="Arial" w:hAnsi="Arial"/>
                <w:color w:val="000080"/>
                <w:sz w:val="20"/>
              </w:rPr>
              <w:t>'</w:t>
            </w:r>
            <w:r>
              <w:rPr>
                <w:rFonts w:ascii="Arial" w:hAnsi="Arial"/>
                <w:color w:val="000080"/>
                <w:sz w:val="20"/>
              </w:rPr>
              <w:t>Unione europea, l</w:t>
            </w:r>
            <w:r w:rsidR="00D52D42">
              <w:rPr>
                <w:rFonts w:ascii="Arial" w:hAnsi="Arial"/>
                <w:color w:val="000080"/>
                <w:sz w:val="20"/>
              </w:rPr>
              <w:t>'</w:t>
            </w:r>
            <w:r>
              <w:rPr>
                <w:rFonts w:ascii="Arial" w:hAnsi="Arial"/>
                <w:color w:val="000080"/>
                <w:sz w:val="20"/>
              </w:rPr>
              <w:t>UE si trova nella posizione ideale per fornire questo contesto unificato. Ciò garantirà condizioni di parità per gli operatori, agevolerà la libera circolazione dei prodotti biologici e rafforzerà la posizione dell</w:t>
            </w:r>
            <w:r w:rsidR="00D52D42">
              <w:rPr>
                <w:rFonts w:ascii="Arial" w:hAnsi="Arial"/>
                <w:color w:val="000080"/>
                <w:sz w:val="20"/>
              </w:rPr>
              <w:t>'</w:t>
            </w:r>
            <w:r>
              <w:rPr>
                <w:rFonts w:ascii="Arial" w:hAnsi="Arial"/>
                <w:color w:val="000080"/>
                <w:sz w:val="20"/>
              </w:rPr>
              <w:t>UE nel commercio internazionale.</w:t>
            </w:r>
            <w:bookmarkEnd w:id="3"/>
          </w:p>
        </w:tc>
      </w:tr>
      <w:tr w:rsidTr="3D4D4A38">
        <w:tblPrEx>
          <w:tblW w:w="10188" w:type="dxa"/>
          <w:tblLook w:val="01E0"/>
        </w:tblPrEx>
        <w:tc>
          <w:tcPr>
            <w:tcW w:w="10188" w:type="dxa"/>
            <w:tcBorders>
              <w:bottom w:val="single" w:sz="4" w:space="0" w:color="auto"/>
            </w:tcBorders>
            <w:shd w:val="clear" w:color="auto" w:fill="0000FF"/>
          </w:tcPr>
          <w:p w:rsidR="00423AEF" w:rsidRPr="008E0AC8" w:rsidP="00353BFB">
            <w:pPr>
              <w:spacing w:before="60" w:after="60"/>
              <w:jc w:val="both"/>
              <w:rPr>
                <w:rFonts w:ascii="Arial" w:hAnsi="Arial" w:cs="Arial"/>
                <w:b/>
              </w:rPr>
            </w:pPr>
            <w:r>
              <w:rPr>
                <w:rFonts w:ascii="Arial" w:hAnsi="Arial"/>
                <w:b/>
              </w:rPr>
              <w:t>B. Obiettivi dell</w:t>
            </w:r>
            <w:r w:rsidR="00D52D42">
              <w:rPr>
                <w:rFonts w:ascii="Arial" w:hAnsi="Arial"/>
                <w:b/>
              </w:rPr>
              <w:t>'</w:t>
            </w:r>
            <w:r>
              <w:rPr>
                <w:rFonts w:ascii="Arial" w:hAnsi="Arial"/>
                <w:b/>
              </w:rPr>
              <w:t>iniziativa e modalità di conseguimento</w:t>
            </w:r>
          </w:p>
        </w:tc>
      </w:tr>
      <w:tr w:rsidTr="3D4D4A38">
        <w:tblPrEx>
          <w:tblW w:w="10188" w:type="dxa"/>
          <w:tblLook w:val="01E0"/>
        </w:tblPrEx>
        <w:tc>
          <w:tcPr>
            <w:tcW w:w="10188" w:type="dxa"/>
            <w:tcBorders>
              <w:bottom w:val="single" w:sz="4" w:space="0" w:color="auto"/>
            </w:tcBorders>
          </w:tcPr>
          <w:p w:rsidR="002310CE" w:rsidRPr="000E2301" w:rsidP="00CF0DC4">
            <w:pPr>
              <w:spacing w:before="120" w:after="120"/>
              <w:jc w:val="both"/>
              <w:rPr>
                <w:rFonts w:ascii="Arial" w:hAnsi="Arial" w:cs="Arial"/>
                <w:color w:val="000080"/>
                <w:sz w:val="20"/>
                <w:szCs w:val="20"/>
              </w:rPr>
            </w:pPr>
            <w:bookmarkStart w:id="4" w:name="_Hlk195109371"/>
            <w:r>
              <w:rPr>
                <w:rFonts w:ascii="Arial" w:hAnsi="Arial"/>
                <w:color w:val="000080"/>
                <w:sz w:val="20"/>
              </w:rPr>
              <w:t>L</w:t>
            </w:r>
            <w:r w:rsidR="00D52D42">
              <w:rPr>
                <w:rFonts w:ascii="Arial" w:hAnsi="Arial"/>
                <w:color w:val="000080"/>
                <w:sz w:val="20"/>
              </w:rPr>
              <w:t>'</w:t>
            </w:r>
            <w:r>
              <w:rPr>
                <w:rFonts w:ascii="Arial" w:hAnsi="Arial"/>
                <w:color w:val="000080"/>
                <w:sz w:val="20"/>
              </w:rPr>
              <w:t>iniziativa vuole dare certezza sui prodotti biologici importati nell</w:t>
            </w:r>
            <w:r w:rsidR="00D52D42">
              <w:rPr>
                <w:rFonts w:ascii="Arial" w:hAnsi="Arial"/>
                <w:color w:val="000080"/>
                <w:sz w:val="20"/>
              </w:rPr>
              <w:t>'</w:t>
            </w:r>
            <w:r>
              <w:rPr>
                <w:rFonts w:ascii="Arial" w:hAnsi="Arial"/>
                <w:color w:val="000080"/>
                <w:sz w:val="20"/>
              </w:rPr>
              <w:t>ambito del regime di equivalenza, garantendo norme chiare sul commercio di prodotti biologici con i paesi terzi e la fiducia nel logo biologico dell</w:t>
            </w:r>
            <w:r w:rsidR="00D52D42">
              <w:rPr>
                <w:rFonts w:ascii="Arial" w:hAnsi="Arial"/>
                <w:color w:val="000080"/>
                <w:sz w:val="20"/>
              </w:rPr>
              <w:t>'</w:t>
            </w:r>
            <w:r>
              <w:rPr>
                <w:rFonts w:ascii="Arial" w:hAnsi="Arial"/>
                <w:color w:val="000080"/>
                <w:sz w:val="20"/>
              </w:rPr>
              <w:t>UE. Le modifiche mirate punteranno a eliminare gli oneri inutili e a semplificare alcune norme di produzione eccessivamente restrittive per quanto riguarda, ad esempio, le aree di produzione zootecnica, la pulizia e la disinfezione delle strutture di trasformazione e magazzinaggio, la composizione dei gruppi di operatori e le norme per i piccoli venditori di cui sopra. L</w:t>
            </w:r>
            <w:r w:rsidR="00D52D42">
              <w:rPr>
                <w:rFonts w:ascii="Arial" w:hAnsi="Arial"/>
                <w:color w:val="000080"/>
                <w:sz w:val="20"/>
              </w:rPr>
              <w:t>'</w:t>
            </w:r>
            <w:r>
              <w:rPr>
                <w:rFonts w:ascii="Arial" w:hAnsi="Arial"/>
                <w:color w:val="000080"/>
                <w:sz w:val="20"/>
              </w:rPr>
              <w:t>iniziativa intende mantenere gli standard molto elevati dell</w:t>
            </w:r>
            <w:r w:rsidR="00D52D42">
              <w:rPr>
                <w:rFonts w:ascii="Arial" w:hAnsi="Arial"/>
                <w:color w:val="000080"/>
                <w:sz w:val="20"/>
              </w:rPr>
              <w:t>'</w:t>
            </w:r>
            <w:r>
              <w:rPr>
                <w:rFonts w:ascii="Arial" w:hAnsi="Arial"/>
                <w:color w:val="000080"/>
                <w:sz w:val="20"/>
              </w:rPr>
              <w:t>agricoltura biologica dell</w:t>
            </w:r>
            <w:r w:rsidR="00D52D42">
              <w:rPr>
                <w:rFonts w:ascii="Arial" w:hAnsi="Arial"/>
                <w:color w:val="000080"/>
                <w:sz w:val="20"/>
              </w:rPr>
              <w:t>'</w:t>
            </w:r>
            <w:r>
              <w:rPr>
                <w:rFonts w:ascii="Arial" w:hAnsi="Arial"/>
                <w:color w:val="000080"/>
                <w:sz w:val="20"/>
              </w:rPr>
              <w:t>UE incoraggiandone lo sviluppo.</w:t>
            </w:r>
            <w:bookmarkEnd w:id="4"/>
          </w:p>
        </w:tc>
      </w:tr>
      <w:tr w:rsidTr="3D4D4A38">
        <w:tblPrEx>
          <w:tblW w:w="10188" w:type="dxa"/>
          <w:tblLook w:val="01E0"/>
        </w:tblPrEx>
        <w:tc>
          <w:tcPr>
            <w:tcW w:w="10188" w:type="dxa"/>
            <w:tcBorders>
              <w:bottom w:val="single" w:sz="4" w:space="0" w:color="auto"/>
            </w:tcBorders>
            <w:shd w:val="clear" w:color="auto" w:fill="D9D9D9" w:themeFill="background1" w:themeFillShade="D9"/>
          </w:tcPr>
          <w:p w:rsidR="00990974" w:rsidRPr="008E0AC8" w:rsidP="006C75CC">
            <w:pPr>
              <w:spacing w:before="60" w:after="60"/>
              <w:jc w:val="both"/>
              <w:rPr>
                <w:rFonts w:ascii="Arial" w:hAnsi="Arial" w:cs="Arial"/>
                <w:b/>
                <w:sz w:val="20"/>
                <w:szCs w:val="20"/>
              </w:rPr>
            </w:pPr>
            <w:r>
              <w:rPr>
                <w:rFonts w:ascii="Arial" w:hAnsi="Arial"/>
                <w:b/>
                <w:sz w:val="20"/>
              </w:rPr>
              <w:t>Probabile impatto</w:t>
            </w:r>
          </w:p>
        </w:tc>
      </w:tr>
      <w:tr w:rsidTr="3D4D4A38">
        <w:tblPrEx>
          <w:tblW w:w="10188" w:type="dxa"/>
          <w:tblLook w:val="01E0"/>
        </w:tblPrEx>
        <w:tc>
          <w:tcPr>
            <w:tcW w:w="10188" w:type="dxa"/>
            <w:tcBorders>
              <w:bottom w:val="single" w:sz="4" w:space="0" w:color="auto"/>
            </w:tcBorders>
          </w:tcPr>
          <w:p w:rsidR="00316F1E" w:rsidRPr="008E0AC8" w:rsidP="003D0B04">
            <w:pPr>
              <w:jc w:val="both"/>
              <w:rPr>
                <w:rFonts w:ascii="Arial" w:hAnsi="Arial" w:cs="Arial"/>
                <w:color w:val="000080"/>
                <w:sz w:val="20"/>
                <w:szCs w:val="20"/>
              </w:rPr>
            </w:pPr>
            <w:r>
              <w:rPr>
                <w:rFonts w:ascii="Arial" w:hAnsi="Arial"/>
                <w:color w:val="000080"/>
                <w:sz w:val="20"/>
              </w:rPr>
              <w:t>L</w:t>
            </w:r>
            <w:r w:rsidR="00D52D42">
              <w:rPr>
                <w:rFonts w:ascii="Arial" w:hAnsi="Arial"/>
                <w:color w:val="000080"/>
                <w:sz w:val="20"/>
              </w:rPr>
              <w:t>'</w:t>
            </w:r>
            <w:r>
              <w:rPr>
                <w:rFonts w:ascii="Arial" w:hAnsi="Arial"/>
                <w:color w:val="000080"/>
                <w:sz w:val="20"/>
              </w:rPr>
              <w:t>iniziativa dovrebbe avere un impatto mirato sul settore biologico, con benefici per gli agricoltori, le imprese e i</w:t>
            </w:r>
            <w:r w:rsidR="00D52D42">
              <w:rPr>
                <w:rFonts w:ascii="Arial" w:hAnsi="Arial"/>
                <w:color w:val="000080"/>
                <w:sz w:val="20"/>
              </w:rPr>
              <w:t> </w:t>
            </w:r>
            <w:r>
              <w:rPr>
                <w:rFonts w:ascii="Arial" w:hAnsi="Arial"/>
                <w:color w:val="000080"/>
                <w:sz w:val="20"/>
              </w:rPr>
              <w:t>consumatori. Oltre a fornire la necessaria certezza per i prodotti biologici importati nell</w:t>
            </w:r>
            <w:r w:rsidR="00D52D42">
              <w:rPr>
                <w:rFonts w:ascii="Arial" w:hAnsi="Arial"/>
                <w:color w:val="000080"/>
                <w:sz w:val="20"/>
              </w:rPr>
              <w:t>'</w:t>
            </w:r>
            <w:r>
              <w:rPr>
                <w:rFonts w:ascii="Arial" w:hAnsi="Arial"/>
                <w:color w:val="000080"/>
                <w:sz w:val="20"/>
              </w:rPr>
              <w:t>ambito di regimi di equivalenza e a prorogare il termine per il riconoscimento di paesi terzi equivalenti, l</w:t>
            </w:r>
            <w:r w:rsidR="00D52D42">
              <w:rPr>
                <w:rFonts w:ascii="Arial" w:hAnsi="Arial"/>
                <w:color w:val="000080"/>
                <w:sz w:val="20"/>
              </w:rPr>
              <w:t>'</w:t>
            </w:r>
            <w:r>
              <w:rPr>
                <w:rFonts w:ascii="Arial" w:hAnsi="Arial"/>
                <w:color w:val="000080"/>
                <w:sz w:val="20"/>
              </w:rPr>
              <w:t>iniziativa dovrebbe andare a</w:t>
            </w:r>
            <w:r w:rsidR="00D52D42">
              <w:rPr>
                <w:rFonts w:ascii="Arial" w:hAnsi="Arial"/>
                <w:color w:val="000080"/>
                <w:sz w:val="20"/>
              </w:rPr>
              <w:t> </w:t>
            </w:r>
            <w:r>
              <w:rPr>
                <w:rFonts w:ascii="Arial" w:hAnsi="Arial"/>
                <w:color w:val="000080"/>
                <w:sz w:val="20"/>
              </w:rPr>
              <w:t>beneficio del settore biologico e ridurre i costi, nonché contenere gli oneri amministrativi. L</w:t>
            </w:r>
            <w:r w:rsidR="00D52D42">
              <w:rPr>
                <w:rFonts w:ascii="Arial" w:hAnsi="Arial"/>
                <w:color w:val="000080"/>
                <w:sz w:val="20"/>
              </w:rPr>
              <w:t>'</w:t>
            </w:r>
            <w:r>
              <w:rPr>
                <w:rFonts w:ascii="Arial" w:hAnsi="Arial"/>
                <w:color w:val="000080"/>
                <w:sz w:val="20"/>
              </w:rPr>
              <w:t>iniziativa potrebbe inoltre agevolare gli investimenti e creare opportunità di lavoro nel settore biologico, specie nelle zone rurali, e contribuire allo sviluppo di pratiche agricole sostenibili e rispettose dell</w:t>
            </w:r>
            <w:r w:rsidR="00D52D42">
              <w:rPr>
                <w:rFonts w:ascii="Arial" w:hAnsi="Arial"/>
                <w:color w:val="000080"/>
                <w:sz w:val="20"/>
              </w:rPr>
              <w:t>'</w:t>
            </w:r>
            <w:r>
              <w:rPr>
                <w:rFonts w:ascii="Arial" w:hAnsi="Arial"/>
                <w:color w:val="000080"/>
                <w:sz w:val="20"/>
              </w:rPr>
              <w:t>ambiente. Allo stesso tempo, avrà un impatto minimo sui partner commerciali dell</w:t>
            </w:r>
            <w:r w:rsidR="00D52D42">
              <w:rPr>
                <w:rFonts w:ascii="Arial" w:hAnsi="Arial"/>
                <w:color w:val="000080"/>
                <w:sz w:val="20"/>
              </w:rPr>
              <w:t>'</w:t>
            </w:r>
            <w:r>
              <w:rPr>
                <w:rFonts w:ascii="Arial" w:hAnsi="Arial"/>
                <w:color w:val="000080"/>
                <w:sz w:val="20"/>
              </w:rPr>
              <w:t>UE.</w:t>
            </w:r>
          </w:p>
          <w:p w:rsidR="00316F1E" w:rsidRPr="008E0AC8" w:rsidP="003D0B04">
            <w:pPr>
              <w:jc w:val="both"/>
              <w:rPr>
                <w:rFonts w:ascii="Arial" w:hAnsi="Arial" w:cs="Arial"/>
                <w:color w:val="000080"/>
                <w:sz w:val="20"/>
                <w:szCs w:val="20"/>
                <w:highlight w:val="yellow"/>
              </w:rPr>
            </w:pPr>
            <w:r>
              <w:rPr>
                <w:rFonts w:ascii="Arial" w:hAnsi="Arial"/>
                <w:color w:val="000080"/>
                <w:sz w:val="20"/>
              </w:rPr>
              <w:t>L</w:t>
            </w:r>
            <w:r w:rsidR="00D52D42">
              <w:rPr>
                <w:rFonts w:ascii="Arial" w:hAnsi="Arial"/>
                <w:color w:val="000080"/>
                <w:sz w:val="20"/>
              </w:rPr>
              <w:t>'</w:t>
            </w:r>
            <w:r>
              <w:rPr>
                <w:rFonts w:ascii="Arial" w:hAnsi="Arial"/>
                <w:color w:val="000080"/>
                <w:sz w:val="20"/>
              </w:rPr>
              <w:t>iniziativa non dovrebbe avere impatti significativi sui diritti fondamentali e sull</w:t>
            </w:r>
            <w:r w:rsidR="00D52D42">
              <w:rPr>
                <w:rFonts w:ascii="Arial" w:hAnsi="Arial"/>
                <w:color w:val="000080"/>
                <w:sz w:val="20"/>
              </w:rPr>
              <w:t>'</w:t>
            </w:r>
            <w:r>
              <w:rPr>
                <w:rFonts w:ascii="Arial" w:hAnsi="Arial"/>
                <w:color w:val="000080"/>
                <w:sz w:val="20"/>
              </w:rPr>
              <w:t>uguaglianza. Può comunque contribuire a migliorare l</w:t>
            </w:r>
            <w:r w:rsidR="00D52D42">
              <w:rPr>
                <w:rFonts w:ascii="Arial" w:hAnsi="Arial"/>
                <w:color w:val="000080"/>
                <w:sz w:val="20"/>
              </w:rPr>
              <w:t>'</w:t>
            </w:r>
            <w:r>
              <w:rPr>
                <w:rFonts w:ascii="Arial" w:hAnsi="Arial"/>
                <w:color w:val="000080"/>
                <w:sz w:val="20"/>
              </w:rPr>
              <w:t>accesso dei consumatori ai prodotti biologici. Contribuirà inoltre al conseguimento di diversi obiettivi di sviluppo sostenibile (OSS), tra cui l</w:t>
            </w:r>
            <w:r w:rsidR="00D52D42">
              <w:rPr>
                <w:rFonts w:ascii="Arial" w:hAnsi="Arial"/>
                <w:color w:val="000080"/>
                <w:sz w:val="20"/>
              </w:rPr>
              <w:t>'</w:t>
            </w:r>
            <w:r>
              <w:rPr>
                <w:rFonts w:ascii="Arial" w:hAnsi="Arial"/>
                <w:color w:val="000080"/>
                <w:sz w:val="20"/>
              </w:rPr>
              <w:t>OSS 2: Sconfiggere la fame, l</w:t>
            </w:r>
            <w:r w:rsidR="00D52D42">
              <w:rPr>
                <w:rFonts w:ascii="Arial" w:hAnsi="Arial"/>
                <w:color w:val="000080"/>
                <w:sz w:val="20"/>
              </w:rPr>
              <w:t>'</w:t>
            </w:r>
            <w:r>
              <w:rPr>
                <w:rFonts w:ascii="Arial" w:hAnsi="Arial"/>
                <w:color w:val="000080"/>
                <w:sz w:val="20"/>
              </w:rPr>
              <w:t>OSS 8: Lavoro dignitoso e crescita economica, l</w:t>
            </w:r>
            <w:r w:rsidR="00D52D42">
              <w:rPr>
                <w:rFonts w:ascii="Arial" w:hAnsi="Arial"/>
                <w:color w:val="000080"/>
                <w:sz w:val="20"/>
              </w:rPr>
              <w:t>'</w:t>
            </w:r>
            <w:r>
              <w:rPr>
                <w:rFonts w:ascii="Arial" w:hAnsi="Arial"/>
                <w:color w:val="000080"/>
                <w:sz w:val="20"/>
              </w:rPr>
              <w:t>OSS 12: Consumo e produzione responsabili e l</w:t>
            </w:r>
            <w:r w:rsidR="00D52D42">
              <w:rPr>
                <w:rFonts w:ascii="Arial" w:hAnsi="Arial"/>
                <w:color w:val="000080"/>
                <w:sz w:val="20"/>
              </w:rPr>
              <w:t>'</w:t>
            </w:r>
            <w:r>
              <w:rPr>
                <w:rFonts w:ascii="Arial" w:hAnsi="Arial"/>
                <w:color w:val="000080"/>
                <w:sz w:val="20"/>
              </w:rPr>
              <w:t>OSS 13: Promuovere azioni per combattere i cambiamenti climatici.</w:t>
            </w:r>
          </w:p>
        </w:tc>
      </w:tr>
      <w:tr w:rsidTr="3D4D4A38">
        <w:tblPrEx>
          <w:tblW w:w="10188" w:type="dxa"/>
          <w:tblLook w:val="01E0"/>
        </w:tblPrEx>
        <w:tc>
          <w:tcPr>
            <w:tcW w:w="10188" w:type="dxa"/>
            <w:tcBorders>
              <w:bottom w:val="single" w:sz="4" w:space="0" w:color="auto"/>
            </w:tcBorders>
            <w:shd w:val="clear" w:color="auto" w:fill="D9D9D9" w:themeFill="background1" w:themeFillShade="D9"/>
          </w:tcPr>
          <w:p w:rsidR="006C75CC" w:rsidRPr="008E0AC8" w:rsidP="00A22CFB">
            <w:pPr>
              <w:spacing w:before="60" w:after="60"/>
              <w:jc w:val="both"/>
              <w:rPr>
                <w:rFonts w:ascii="Arial" w:hAnsi="Arial" w:cs="Arial"/>
                <w:color w:val="00B050"/>
                <w:sz w:val="20"/>
                <w:szCs w:val="20"/>
              </w:rPr>
            </w:pPr>
            <w:r>
              <w:rPr>
                <w:rFonts w:ascii="Arial" w:hAnsi="Arial"/>
                <w:b/>
                <w:sz w:val="20"/>
              </w:rPr>
              <w:t>Monitoraggio futuro</w:t>
            </w:r>
          </w:p>
        </w:tc>
      </w:tr>
      <w:tr w:rsidTr="3D4D4A38">
        <w:tblPrEx>
          <w:tblW w:w="10188" w:type="dxa"/>
          <w:tblLook w:val="01E0"/>
        </w:tblPrEx>
        <w:tc>
          <w:tcPr>
            <w:tcW w:w="10188" w:type="dxa"/>
            <w:tcBorders>
              <w:bottom w:val="single" w:sz="4" w:space="0" w:color="auto"/>
            </w:tcBorders>
          </w:tcPr>
          <w:p w:rsidR="00E451AF" w:rsidRPr="000E2301" w:rsidP="003B2B2D">
            <w:pPr>
              <w:spacing w:before="120" w:after="120"/>
              <w:jc w:val="both"/>
              <w:rPr>
                <w:rFonts w:ascii="Arial" w:hAnsi="Arial" w:cs="Arial"/>
                <w:color w:val="000080"/>
                <w:sz w:val="20"/>
                <w:szCs w:val="20"/>
              </w:rPr>
            </w:pPr>
            <w:bookmarkStart w:id="5" w:name="_Hlk195109402"/>
            <w:r>
              <w:rPr>
                <w:rFonts w:ascii="Arial" w:hAnsi="Arial"/>
                <w:color w:val="000080"/>
                <w:sz w:val="20"/>
              </w:rPr>
              <w:t>La Commissione monitorerà i progressi e gli sviluppi nel settore in relazione alle modifiche mirate nell</w:t>
            </w:r>
            <w:r w:rsidR="00D52D42">
              <w:rPr>
                <w:rFonts w:ascii="Arial" w:hAnsi="Arial"/>
                <w:color w:val="000080"/>
                <w:sz w:val="20"/>
              </w:rPr>
              <w:t>'</w:t>
            </w:r>
            <w:r>
              <w:rPr>
                <w:rFonts w:ascii="Arial" w:hAnsi="Arial"/>
                <w:color w:val="000080"/>
                <w:sz w:val="20"/>
              </w:rPr>
              <w:t>ambito delle riunioni periodiche con gli Stati membri e i rappresentanti delle parti interessate (gruppo di esperti e gruppo di dialogo civile sulla produzione biologica).</w:t>
            </w:r>
            <w:bookmarkEnd w:id="5"/>
            <w:r>
              <w:rPr>
                <w:rFonts w:ascii="Arial" w:hAnsi="Arial"/>
                <w:color w:val="000080"/>
                <w:sz w:val="20"/>
              </w:rPr>
              <w:t xml:space="preserve"> Per quanto riguarda le equivalenze con i paesi terzi, la Commissione continuerà a garantirne l</w:t>
            </w:r>
            <w:r w:rsidR="00D52D42">
              <w:rPr>
                <w:rFonts w:ascii="Arial" w:hAnsi="Arial"/>
                <w:color w:val="000080"/>
                <w:sz w:val="20"/>
              </w:rPr>
              <w:t>'</w:t>
            </w:r>
            <w:r>
              <w:rPr>
                <w:rFonts w:ascii="Arial" w:hAnsi="Arial"/>
                <w:color w:val="000080"/>
                <w:sz w:val="20"/>
              </w:rPr>
              <w:t>adeguata supervisione, come già stabilito all</w:t>
            </w:r>
            <w:r w:rsidR="00D52D42">
              <w:rPr>
                <w:rFonts w:ascii="Arial" w:hAnsi="Arial"/>
                <w:color w:val="000080"/>
                <w:sz w:val="20"/>
              </w:rPr>
              <w:t>'</w:t>
            </w:r>
            <w:r>
              <w:rPr>
                <w:rFonts w:ascii="Arial" w:hAnsi="Arial"/>
                <w:color w:val="000080"/>
                <w:sz w:val="20"/>
              </w:rPr>
              <w:t>articolo 48 del regolamento (UE) 2018/848.</w:t>
            </w:r>
          </w:p>
        </w:tc>
      </w:tr>
      <w:tr w:rsidTr="3D4D4A38">
        <w:tblPrEx>
          <w:tblW w:w="10188" w:type="dxa"/>
          <w:tblLook w:val="01E0"/>
        </w:tblPrEx>
        <w:tc>
          <w:tcPr>
            <w:tcW w:w="10188" w:type="dxa"/>
            <w:tcBorders>
              <w:bottom w:val="single" w:sz="4" w:space="0" w:color="auto"/>
            </w:tcBorders>
            <w:shd w:val="clear" w:color="auto" w:fill="0000FF"/>
          </w:tcPr>
          <w:p w:rsidR="0009231D" w:rsidRPr="008E0AC8" w:rsidP="00D52D42">
            <w:pPr>
              <w:keepNext/>
              <w:spacing w:before="60" w:after="60"/>
              <w:jc w:val="both"/>
              <w:rPr>
                <w:rFonts w:ascii="Arial" w:hAnsi="Arial" w:cs="Arial"/>
                <w:b/>
              </w:rPr>
            </w:pPr>
            <w:r>
              <w:rPr>
                <w:rFonts w:ascii="Arial" w:hAnsi="Arial"/>
                <w:b/>
              </w:rPr>
              <w:t>C. Legiferare meglio</w:t>
            </w:r>
          </w:p>
        </w:tc>
      </w:tr>
      <w:tr w:rsidTr="3D4D4A38">
        <w:tblPrEx>
          <w:tblW w:w="10188" w:type="dxa"/>
          <w:tblLook w:val="01E0"/>
        </w:tblPrEx>
        <w:tc>
          <w:tcPr>
            <w:tcW w:w="10188" w:type="dxa"/>
            <w:tcBorders>
              <w:bottom w:val="single" w:sz="4" w:space="0" w:color="auto"/>
            </w:tcBorders>
            <w:shd w:val="clear" w:color="auto" w:fill="E6E6E6"/>
          </w:tcPr>
          <w:p w:rsidR="00B312B7" w:rsidRPr="008E0AC8" w:rsidP="00D52D42">
            <w:pPr>
              <w:keepNext/>
              <w:spacing w:before="120" w:after="120"/>
              <w:jc w:val="both"/>
              <w:rPr>
                <w:rFonts w:ascii="Arial" w:hAnsi="Arial" w:cs="Arial"/>
                <w:sz w:val="20"/>
                <w:szCs w:val="20"/>
              </w:rPr>
            </w:pPr>
            <w:r>
              <w:rPr>
                <w:rFonts w:ascii="Arial" w:hAnsi="Arial"/>
                <w:b/>
                <w:sz w:val="20"/>
              </w:rPr>
              <w:t>Valutazione d</w:t>
            </w:r>
            <w:r w:rsidR="00D52D42">
              <w:rPr>
                <w:rFonts w:ascii="Arial" w:hAnsi="Arial"/>
                <w:b/>
                <w:sz w:val="20"/>
              </w:rPr>
              <w:t>'</w:t>
            </w:r>
            <w:r>
              <w:rPr>
                <w:rFonts w:ascii="Arial" w:hAnsi="Arial"/>
                <w:b/>
                <w:sz w:val="20"/>
              </w:rPr>
              <w:t>impatto</w:t>
            </w:r>
          </w:p>
        </w:tc>
      </w:tr>
      <w:tr w:rsidTr="3D4D4A38">
        <w:tblPrEx>
          <w:tblW w:w="10188" w:type="dxa"/>
          <w:tblLook w:val="01E0"/>
        </w:tblPrEx>
        <w:tc>
          <w:tcPr>
            <w:tcW w:w="10188" w:type="dxa"/>
            <w:tcBorders>
              <w:bottom w:val="single" w:sz="4" w:space="0" w:color="auto"/>
            </w:tcBorders>
          </w:tcPr>
          <w:p w:rsidR="003F2270" w:rsidRPr="003C7F98" w:rsidP="320F4EA2">
            <w:pPr>
              <w:pStyle w:val="Default"/>
              <w:jc w:val="both"/>
              <w:rPr>
                <w:color w:val="000080"/>
                <w:sz w:val="20"/>
                <w:szCs w:val="20"/>
              </w:rPr>
            </w:pPr>
            <w:r>
              <w:rPr>
                <w:color w:val="000080"/>
                <w:sz w:val="20"/>
              </w:rPr>
              <w:t>Data l</w:t>
            </w:r>
            <w:r w:rsidR="00D52D42">
              <w:rPr>
                <w:color w:val="000080"/>
                <w:sz w:val="20"/>
              </w:rPr>
              <w:t>'</w:t>
            </w:r>
            <w:r>
              <w:rPr>
                <w:color w:val="000080"/>
                <w:sz w:val="20"/>
              </w:rPr>
              <w:t>urgente necessità di intervenire, la proposta della Commissione sarà accompagnata da un documento di lavoro dei servizi della Commissione che descriverà le misure proposte e il loro impatto e presenterà gli elementi che le giustificano sulla base dell</w:t>
            </w:r>
            <w:r w:rsidR="00D52D42">
              <w:rPr>
                <w:color w:val="000080"/>
                <w:sz w:val="20"/>
              </w:rPr>
              <w:t>'</w:t>
            </w:r>
            <w:r>
              <w:rPr>
                <w:color w:val="000080"/>
                <w:sz w:val="20"/>
              </w:rPr>
              <w:t>ampio riscontro ottenuto attraverso consultazioni mirate degli Stati membri e delle parti interessate, nonché dei riscontri raccolti con il presente invito a presentare contributi. Le misure proposte saranno mirate e non altereranno il funzionamento generale della legislazione, né incideranno sugli obiettivi della normativa in materia di agricoltura biologica o su quelli della PAC. Questo approccio garantisce un processo decisionale proporzionato ed efficiente, assicurando nel contempo trasparenza e responsabilità.</w:t>
            </w:r>
          </w:p>
        </w:tc>
      </w:tr>
      <w:tr w:rsidTr="3D4D4A38">
        <w:tblPrEx>
          <w:tblW w:w="10188" w:type="dxa"/>
          <w:tblLook w:val="01E0"/>
        </w:tblPrEx>
        <w:trPr>
          <w:trHeight w:val="526"/>
        </w:trPr>
        <w:tc>
          <w:tcPr>
            <w:tcW w:w="10188" w:type="dxa"/>
            <w:tcBorders>
              <w:top w:val="single" w:sz="4" w:space="0" w:color="auto"/>
              <w:left w:val="single" w:sz="4" w:space="0" w:color="auto"/>
              <w:bottom w:val="single" w:sz="4" w:space="0" w:color="auto"/>
              <w:right w:val="single" w:sz="4" w:space="0" w:color="auto"/>
            </w:tcBorders>
            <w:shd w:val="clear" w:color="auto" w:fill="E6E6E6"/>
          </w:tcPr>
          <w:p w:rsidR="00B312B7" w:rsidRPr="008E0AC8" w:rsidP="00743562">
            <w:pPr>
              <w:spacing w:before="60" w:after="60"/>
              <w:jc w:val="both"/>
              <w:rPr>
                <w:rFonts w:ascii="Arial" w:hAnsi="Arial" w:cs="Arial"/>
              </w:rPr>
            </w:pPr>
            <w:r>
              <w:rPr>
                <w:rFonts w:ascii="Arial" w:hAnsi="Arial"/>
                <w:b/>
              </w:rPr>
              <w:t>Strategia di consultazione</w:t>
            </w:r>
          </w:p>
        </w:tc>
      </w:tr>
      <w:tr w:rsidTr="3D4D4A38">
        <w:tblPrEx>
          <w:tblW w:w="10188" w:type="dxa"/>
          <w:tblLook w:val="01E0"/>
        </w:tblPrEx>
        <w:tc>
          <w:tcPr>
            <w:tcW w:w="10188" w:type="dxa"/>
            <w:tcBorders>
              <w:bottom w:val="single" w:sz="4" w:space="0" w:color="auto"/>
            </w:tcBorders>
          </w:tcPr>
          <w:p w:rsidR="004303CD">
            <w:pPr>
              <w:jc w:val="both"/>
              <w:rPr>
                <w:rFonts w:ascii="Arial" w:hAnsi="Arial" w:cs="Arial"/>
                <w:color w:val="000080"/>
                <w:sz w:val="20"/>
                <w:szCs w:val="20"/>
              </w:rPr>
            </w:pPr>
            <w:bookmarkStart w:id="6" w:name="_Hlk195109415"/>
            <w:r>
              <w:rPr>
                <w:rFonts w:ascii="Arial" w:hAnsi="Arial"/>
                <w:color w:val="000080"/>
                <w:sz w:val="20"/>
              </w:rPr>
              <w:t xml:space="preserve">La Commissione scambia regolarmente informazioni con gli Stati membri e le parti interessate, raccogliendo anche i loro pareri su aspetti della normativa in materia di agricoltura biologica che andrebbero modificati. Anche la </w:t>
            </w:r>
            <w:r>
              <w:fldChar w:fldCharType="begin"/>
            </w:r>
            <w:r>
              <w:instrText xml:space="preserve"> HYPERLINK "https://commission.europa.eu/document/download/25d40cdf-9e5e-4a8b-8da6-7a72efad04ed_en?filenahttps://commission.europa.eu/document/download/25d40cdf-9e5e-4a8b-8da6-7a72efad04ed_en?filename=fo_2024_8_organic_production_and_labeling_en.pdf" </w:instrText>
            </w:r>
            <w:r>
              <w:fldChar w:fldCharType="separate"/>
            </w:r>
            <w:r>
              <w:rPr>
                <w:rStyle w:val="Hyperlink"/>
                <w:rFonts w:ascii="Arial" w:hAnsi="Arial"/>
                <w:sz w:val="20"/>
              </w:rPr>
              <w:t>piattaforma Fit for Future (F4F)</w:t>
            </w:r>
            <w:r>
              <w:fldChar w:fldCharType="end"/>
            </w:r>
            <w:r>
              <w:rPr>
                <w:rFonts w:ascii="Arial" w:hAnsi="Arial"/>
                <w:color w:val="000080"/>
                <w:sz w:val="20"/>
              </w:rPr>
              <w:t xml:space="preserve"> ha emesso nel 2024 un parere sulla semplificazione della normativa.</w:t>
            </w:r>
            <w:r>
              <w:rPr>
                <w:color w:val="000080"/>
                <w:sz w:val="20"/>
              </w:rPr>
              <w:t xml:space="preserve"> </w:t>
            </w:r>
            <w:r>
              <w:rPr>
                <w:rFonts w:ascii="Arial" w:hAnsi="Arial"/>
                <w:color w:val="000080"/>
                <w:sz w:val="20"/>
              </w:rPr>
              <w:t>Per darvi seguito, nel primo e secondo trimestre del</w:t>
            </w:r>
            <w:r w:rsidR="00D52D42">
              <w:rPr>
                <w:rFonts w:ascii="Arial" w:hAnsi="Arial"/>
                <w:color w:val="000080"/>
                <w:sz w:val="20"/>
              </w:rPr>
              <w:t xml:space="preserve"> </w:t>
            </w:r>
            <w:r>
              <w:rPr>
                <w:rFonts w:ascii="Arial" w:hAnsi="Arial"/>
                <w:color w:val="000080"/>
                <w:sz w:val="20"/>
              </w:rPr>
              <w:t>2025 la Commissione ha consultato gli Stati membri (gruppo di esperti sulla produzione biologica (GREX)) e le parti interessate (gruppo di dialogo civile sulla produzione biologica) in</w:t>
            </w:r>
            <w:r w:rsidR="00D52D42">
              <w:rPr>
                <w:rFonts w:ascii="Arial" w:hAnsi="Arial"/>
                <w:color w:val="000080"/>
                <w:sz w:val="20"/>
              </w:rPr>
              <w:t> </w:t>
            </w:r>
            <w:r>
              <w:rPr>
                <w:rFonts w:ascii="Arial" w:hAnsi="Arial"/>
                <w:color w:val="000080"/>
                <w:sz w:val="20"/>
              </w:rPr>
              <w:t>modo da ottenere un riscontro pratico.</w:t>
            </w:r>
          </w:p>
          <w:p w:rsidR="004303CD" w:rsidP="004303CD">
            <w:pPr>
              <w:jc w:val="both"/>
              <w:rPr>
                <w:rFonts w:ascii="Arial" w:hAnsi="Arial" w:cs="Arial"/>
                <w:color w:val="000080"/>
                <w:sz w:val="20"/>
                <w:szCs w:val="20"/>
              </w:rPr>
            </w:pPr>
            <w:r>
              <w:rPr>
                <w:rFonts w:ascii="Arial" w:hAnsi="Arial"/>
                <w:color w:val="000080"/>
                <w:sz w:val="20"/>
              </w:rPr>
              <w:t>Il 24 settembre 2025 si è tenuta una riunione congiunta GREX-CDG per sottoporre il regolamento (UE) 2018/848 a prove di stress. Per il mese di novembre 2025 è previsto un dialogo sull</w:t>
            </w:r>
            <w:r w:rsidR="00D52D42">
              <w:rPr>
                <w:rFonts w:ascii="Arial" w:hAnsi="Arial"/>
                <w:color w:val="000080"/>
                <w:sz w:val="20"/>
              </w:rPr>
              <w:t>'</w:t>
            </w:r>
            <w:r>
              <w:rPr>
                <w:rFonts w:ascii="Arial" w:hAnsi="Arial"/>
                <w:color w:val="000080"/>
                <w:sz w:val="20"/>
              </w:rPr>
              <w:t>attuazione della politica in materia di agricoltura biologica, presieduto dal commissario per l</w:t>
            </w:r>
            <w:r w:rsidR="00D52D42">
              <w:rPr>
                <w:rFonts w:ascii="Arial" w:hAnsi="Arial"/>
                <w:color w:val="000080"/>
                <w:sz w:val="20"/>
              </w:rPr>
              <w:t>'</w:t>
            </w:r>
            <w:r>
              <w:rPr>
                <w:rFonts w:ascii="Arial" w:hAnsi="Arial"/>
                <w:color w:val="000080"/>
                <w:sz w:val="20"/>
              </w:rPr>
              <w:t>Agricoltura e l</w:t>
            </w:r>
            <w:r w:rsidR="00D52D42">
              <w:rPr>
                <w:rFonts w:ascii="Arial" w:hAnsi="Arial"/>
                <w:color w:val="000080"/>
                <w:sz w:val="20"/>
              </w:rPr>
              <w:t>'</w:t>
            </w:r>
            <w:r>
              <w:rPr>
                <w:rFonts w:ascii="Arial" w:hAnsi="Arial"/>
                <w:color w:val="000080"/>
                <w:sz w:val="20"/>
              </w:rPr>
              <w:t>alimentazione Christophe Hansen.</w:t>
            </w:r>
          </w:p>
          <w:p w:rsidR="004303CD" w:rsidP="004303CD">
            <w:pPr>
              <w:jc w:val="both"/>
              <w:rPr>
                <w:rFonts w:ascii="Arial" w:hAnsi="Arial" w:cs="Arial"/>
                <w:color w:val="000080"/>
                <w:sz w:val="20"/>
                <w:szCs w:val="20"/>
              </w:rPr>
            </w:pPr>
            <w:r>
              <w:rPr>
                <w:rFonts w:ascii="Arial" w:hAnsi="Arial"/>
                <w:color w:val="000080"/>
                <w:sz w:val="20"/>
              </w:rPr>
              <w:t>Infine, sono anche state condotte consultazioni degli Stati membri e delle parti interessate incentrate sulla semplificazione di aspetti dell</w:t>
            </w:r>
            <w:r w:rsidR="00D52D42">
              <w:rPr>
                <w:rFonts w:ascii="Arial" w:hAnsi="Arial"/>
                <w:color w:val="000080"/>
                <w:sz w:val="20"/>
              </w:rPr>
              <w:t>'</w:t>
            </w:r>
            <w:r>
              <w:rPr>
                <w:rFonts w:ascii="Arial" w:hAnsi="Arial"/>
                <w:color w:val="000080"/>
                <w:sz w:val="20"/>
              </w:rPr>
              <w:t>agricoltura biologica nel contesto della politica agricola comune (PAC). La presente iniziativa risponde ai criteri di pertinenza, proporzionalità e idoneità allo scopo.</w:t>
            </w:r>
          </w:p>
          <w:p w:rsidR="002E3633" w:rsidRPr="008E0AC8" w:rsidP="004303CD">
            <w:pPr>
              <w:jc w:val="both"/>
              <w:rPr>
                <w:color w:val="000080"/>
                <w:sz w:val="20"/>
                <w:szCs w:val="20"/>
              </w:rPr>
            </w:pPr>
            <w:r>
              <w:rPr>
                <w:rFonts w:ascii="Arial" w:hAnsi="Arial"/>
                <w:color w:val="000080"/>
                <w:sz w:val="20"/>
              </w:rPr>
              <w:t>I partecipanti al presente invito a presentare contributi sono pregati di condividere informazioni fattuali e prove documentali (quantitative o qualitative) sull</w:t>
            </w:r>
            <w:r w:rsidR="00D52D42">
              <w:rPr>
                <w:rFonts w:ascii="Arial" w:hAnsi="Arial"/>
                <w:color w:val="000080"/>
                <w:sz w:val="20"/>
              </w:rPr>
              <w:t>'</w:t>
            </w:r>
            <w:r>
              <w:rPr>
                <w:rFonts w:ascii="Arial" w:hAnsi="Arial"/>
                <w:color w:val="000080"/>
                <w:sz w:val="20"/>
              </w:rPr>
              <w:t>entità della riduzione degli oneri e la quantificazione dei costi e benefici in relazione agli aspetti menzionati sopra. Sono inoltre invitati a condividere i loro pareri su altri aspetti del quadro legislativo per l</w:t>
            </w:r>
            <w:r w:rsidR="00D52D42">
              <w:rPr>
                <w:rFonts w:ascii="Arial" w:hAnsi="Arial"/>
                <w:color w:val="000080"/>
                <w:sz w:val="20"/>
              </w:rPr>
              <w:t>'</w:t>
            </w:r>
            <w:r>
              <w:rPr>
                <w:rFonts w:ascii="Arial" w:hAnsi="Arial"/>
                <w:color w:val="000080"/>
                <w:sz w:val="20"/>
              </w:rPr>
              <w:t>agricoltura biologica che potrebbero essere semplificati. Tutte le attività di consultazione, comprese le risposte al presente invito a presentare contributi, confluiranno nel documento di lavoro dei servizi della Commissione che accompagna la proposta legislativa della Commissione.</w:t>
            </w:r>
          </w:p>
          <w:p w:rsidR="00EC4226" w:rsidRPr="008E0AC8" w:rsidP="00024898">
            <w:pPr>
              <w:jc w:val="both"/>
            </w:pPr>
            <w:bookmarkEnd w:id="6"/>
          </w:p>
        </w:tc>
      </w:tr>
    </w:tbl>
    <w:p w:rsidR="009E6661" w:rsidRPr="008E0AC8" w:rsidP="004B7E6F">
      <w:pPr>
        <w:rPr>
          <w:rFonts w:ascii="Arial" w:hAnsi="Arial" w:cs="Arial"/>
          <w:sz w:val="20"/>
          <w:szCs w:val="20"/>
        </w:rPr>
      </w:pPr>
    </w:p>
    <w:sectPr w:rsidSect="00C9010B">
      <w:footerReference w:type="even" r:id="rId15"/>
      <w:footerReference w:type="default" r:id="rId16"/>
      <w:headerReference w:type="first" r:id="rId17"/>
      <w:type w:val="continuous"/>
      <w:pgSz w:w="11906" w:h="16838" w:code="9"/>
      <w:pgMar w:top="851" w:right="567"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RPr="00CB3AF2" w:rsidP="00D92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035A3D" w:rsidRPr="00CB3A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RPr="00CB3AF2" w:rsidP="002B4E61">
    <w:pPr>
      <w:pStyle w:val="Footer"/>
      <w:framePr w:wrap="around" w:vAnchor="text" w:hAnchor="margin" w:xAlign="center" w:y="1"/>
      <w:rPr>
        <w:rStyle w:val="PageNumber"/>
        <w:rFonts w:ascii="Arial" w:hAnsi="Arial"/>
        <w:sz w:val="16"/>
      </w:rPr>
    </w:pPr>
    <w:r>
      <w:tab/>
    </w:r>
    <w:r>
      <w:tab/>
    </w:r>
  </w:p>
  <w:p w:rsidR="00035A3D" w:rsidRPr="00CB3AF2" w:rsidP="002B4E61">
    <w:pPr>
      <w:pStyle w:val="Footer"/>
      <w:framePr w:wrap="around" w:vAnchor="text" w:hAnchor="margin" w:xAlign="center" w:y="1"/>
      <w:rPr>
        <w:rStyle w:val="PageNumber"/>
        <w:rFonts w:ascii="Arial" w:hAnsi="Arial"/>
        <w:sz w:val="16"/>
      </w:rPr>
    </w:pPr>
    <w:r>
      <w:tab/>
    </w:r>
    <w:r>
      <w:tab/>
    </w:r>
    <w:r>
      <w:tab/>
    </w:r>
    <w:r>
      <w:rPr>
        <w:rStyle w:val="PageNumber"/>
        <w:rFonts w:ascii="Arial" w:hAnsi="Arial"/>
        <w:sz w:val="16"/>
      </w:rPr>
      <w:t xml:space="preserve"> </w:t>
    </w: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Pr>
        <w:rStyle w:val="PageNumber"/>
        <w:rFonts w:ascii="Arial" w:hAnsi="Arial"/>
        <w:sz w:val="16"/>
      </w:rPr>
      <w:t>3</w:t>
    </w:r>
    <w:r>
      <w:rPr>
        <w:rStyle w:val="PageNumber"/>
        <w:rFonts w:ascii="Arial" w:hAnsi="Arial"/>
        <w:sz w:val="16"/>
      </w:rPr>
      <w:fldChar w:fldCharType="end"/>
    </w:r>
  </w:p>
  <w:p w:rsidR="00035A3D" w:rsidRPr="00CB3AF2">
    <w:pPr>
      <w:pStyle w:val="Footer"/>
      <w:rPr>
        <w:rFonts w:ascii="Arial" w:hAnsi="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A31" w:rsidRPr="00CB3A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RPr="00CB3AF2" w:rsidP="00D92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035A3D" w:rsidRPr="00CB3AF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RPr="00CB3AF2" w:rsidP="002B4E61">
    <w:pPr>
      <w:pStyle w:val="Footer"/>
      <w:framePr w:wrap="around" w:vAnchor="text" w:hAnchor="margin" w:xAlign="center" w:y="1"/>
      <w:rPr>
        <w:rStyle w:val="PageNumber"/>
        <w:rFonts w:ascii="Arial" w:hAnsi="Arial"/>
        <w:sz w:val="16"/>
      </w:rPr>
    </w:pPr>
    <w:r>
      <w:tab/>
    </w:r>
    <w:r>
      <w:tab/>
    </w:r>
  </w:p>
  <w:p w:rsidR="00035A3D" w:rsidRPr="00CB3AF2" w:rsidP="002B4E61">
    <w:pPr>
      <w:pStyle w:val="Footer"/>
      <w:framePr w:wrap="around" w:vAnchor="text" w:hAnchor="margin" w:xAlign="center" w:y="1"/>
      <w:rPr>
        <w:rStyle w:val="PageNumber"/>
        <w:rFonts w:ascii="Arial" w:hAnsi="Arial"/>
        <w:sz w:val="16"/>
      </w:rPr>
    </w:pPr>
    <w:r>
      <w:tab/>
    </w:r>
    <w:r>
      <w:tab/>
    </w:r>
    <w:r>
      <w:tab/>
    </w:r>
    <w:r>
      <w:rPr>
        <w:rStyle w:val="PageNumber"/>
        <w:rFonts w:ascii="Arial" w:hAnsi="Arial"/>
        <w:sz w:val="16"/>
      </w:rPr>
      <w:t xml:space="preserve"> </w:t>
    </w: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Pr>
        <w:rStyle w:val="PageNumber"/>
        <w:rFonts w:ascii="Arial" w:hAnsi="Arial"/>
        <w:sz w:val="16"/>
      </w:rPr>
      <w:t>2</w:t>
    </w:r>
    <w:r>
      <w:rPr>
        <w:rStyle w:val="PageNumber"/>
        <w:rFonts w:ascii="Arial" w:hAnsi="Arial"/>
        <w:sz w:val="16"/>
      </w:rPr>
      <w:fldChar w:fldCharType="end"/>
    </w:r>
  </w:p>
  <w:p w:rsidR="00035A3D" w:rsidRPr="00CB3AF2">
    <w:pPr>
      <w:pStyle w:val="Footer"/>
      <w:rPr>
        <w:rFonts w:ascii="Arial" w:hAnsi="Arial"/>
        <w:sz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A31" w:rsidRPr="00CB3A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A31" w:rsidRPr="00CB3A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RPr="00CB3AF2" w:rsidP="00E72EF2">
    <w:pPr>
      <w:pStyle w:val="Header"/>
      <w:jc w:val="center"/>
    </w:pPr>
    <w:r>
      <w:rPr>
        <w:noProof/>
      </w:rPr>
      <w:drawing>
        <wp:inline distT="0" distB="0" distL="0" distR="0">
          <wp:extent cx="1991580" cy="533400"/>
          <wp:effectExtent l="0" t="0" r="8890" b="0"/>
          <wp:docPr id="15" name="Picture 15" descr="logo-ce-horizontal-it-quadri-lr.jpg (52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e-horizontal-it-quadri-lr.jpg (521×139)"/>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91580" cy="5334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RPr="00CB3AF2" w:rsidP="00E72EF2">
    <w:pPr>
      <w:pStyle w:val="Header"/>
      <w:jc w:val="center"/>
    </w:pPr>
    <w:r>
      <w:rPr>
        <w:rFonts w:ascii="Arial" w:hAnsi="Arial"/>
        <w:noProof/>
      </w:rPr>
      <w:drawing>
        <wp:inline distT="0" distB="0" distL="0" distR="0">
          <wp:extent cx="1908175" cy="508635"/>
          <wp:effectExtent l="0" t="0" r="0" b="5715"/>
          <wp:docPr id="2" name="Picture 2"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arning" style="width:11.95pt;height:11.95pt" o:bullet="t">
        <v:imagedata r:id="rId1" o:title="warning"/>
      </v:shape>
    </w:pict>
  </w:numPicBullet>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B"/>
    <w:multiLevelType w:val="multilevel"/>
    <w:tmpl w:val="0000000B"/>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817336"/>
    <w:multiLevelType w:val="hybridMultilevel"/>
    <w:tmpl w:val="BEC2BCAC"/>
    <w:lvl w:ilvl="0">
      <w:start w:val="1"/>
      <w:numFmt w:val="bullet"/>
      <w:lvlText w:val=""/>
      <w:lvlJc w:val="left"/>
      <w:pPr>
        <w:tabs>
          <w:tab w:val="num" w:pos="420"/>
        </w:tabs>
        <w:ind w:left="420" w:hanging="360"/>
      </w:pPr>
      <w:rPr>
        <w:rFonts w:ascii="Symbol" w:hAnsi="Symbol" w:hint="default"/>
        <w:color w:val="auto"/>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026E585C"/>
    <w:multiLevelType w:val="hybridMultilevel"/>
    <w:tmpl w:val="FA3440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D0D5E5F"/>
    <w:multiLevelType w:val="hybridMultilevel"/>
    <w:tmpl w:val="CB68DBA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Times New Roman" w:eastAsia="Times New Roman" w:hAnsi="Times New Roman"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FED26DF"/>
    <w:multiLevelType w:val="multilevel"/>
    <w:tmpl w:val="33CA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B139FC"/>
    <w:multiLevelType w:val="hybridMultilevel"/>
    <w:tmpl w:val="7862ED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5F05494"/>
    <w:multiLevelType w:val="multilevel"/>
    <w:tmpl w:val="2570B046"/>
    <w:lvl w:ilvl="0">
      <w:start w:val="1"/>
      <w:numFmt w:val="decimal"/>
      <w:lvlText w:val="(%1)"/>
      <w:lvlJc w:val="left"/>
      <w:pPr>
        <w:tabs>
          <w:tab w:val="num" w:pos="720"/>
        </w:tabs>
        <w:ind w:left="720" w:hanging="72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19306991"/>
    <w:multiLevelType w:val="hybridMultilevel"/>
    <w:tmpl w:val="D206AE38"/>
    <w:lvl w:ilvl="0">
      <w:start w:val="1"/>
      <w:numFmt w:val="decimal"/>
      <w:lvlText w:val="%1."/>
      <w:lvlJc w:val="left"/>
      <w:pPr>
        <w:ind w:left="1080" w:hanging="360"/>
      </w:pPr>
      <w:rPr>
        <w:rFonts w:hint="default"/>
      </w:rPr>
    </w:lvl>
    <w:lvl w:ilvl="1">
      <w:start w:val="0"/>
      <w:numFmt w:val="bullet"/>
      <w:lvlText w:val="-"/>
      <w:lvlJc w:val="left"/>
      <w:pPr>
        <w:ind w:left="1800" w:hanging="360"/>
      </w:pPr>
      <w:rPr>
        <w:rFonts w:ascii="Times New Roman" w:eastAsia="Times New Roman" w:hAnsi="Times New Roman"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9D82F03"/>
    <w:multiLevelType w:val="hybridMultilevel"/>
    <w:tmpl w:val="3F5AB3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B9E3807"/>
    <w:multiLevelType w:val="hybridMultilevel"/>
    <w:tmpl w:val="67604E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BA70D2C"/>
    <w:multiLevelType w:val="hybridMultilevel"/>
    <w:tmpl w:val="E4A674DE"/>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C34307B"/>
    <w:multiLevelType w:val="hybridMultilevel"/>
    <w:tmpl w:val="529EDEAC"/>
    <w:lvl w:ilvl="0">
      <w:start w:val="1"/>
      <w:numFmt w:val="decimal"/>
      <w:lvlText w:val="(%1)"/>
      <w:lvlJc w:val="left"/>
      <w:pPr>
        <w:tabs>
          <w:tab w:val="num" w:pos="0"/>
        </w:tabs>
        <w:ind w:left="340" w:hanging="34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FD31A23"/>
    <w:multiLevelType w:val="multilevel"/>
    <w:tmpl w:val="E220AA92"/>
    <w:lvl w:ilvl="0">
      <w:start w:val="1"/>
      <w:numFmt w:val="decimal"/>
      <w:lvlText w:val="(%1)"/>
      <w:lvlJc w:val="left"/>
      <w:pPr>
        <w:tabs>
          <w:tab w:val="num" w:pos="0"/>
        </w:tabs>
        <w:ind w:left="340" w:hanging="34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20C55A74"/>
    <w:multiLevelType w:val="hybridMultilevel"/>
    <w:tmpl w:val="CE3089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1A613A4"/>
    <w:multiLevelType w:val="hybridMultilevel"/>
    <w:tmpl w:val="88BCF7CA"/>
    <w:lvl w:ilvl="0">
      <w:start w:val="1"/>
      <w:numFmt w:val="bullet"/>
      <w:lvlText w:val=""/>
      <w:lvlJc w:val="left"/>
      <w:pPr>
        <w:ind w:left="1080" w:hanging="360"/>
      </w:pPr>
      <w:rPr>
        <w:rFonts w:ascii="Symbol" w:hAnsi="Symbol" w:hint="default"/>
        <w:color w:val="00B05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2C87C11"/>
    <w:multiLevelType w:val="hybridMultilevel"/>
    <w:tmpl w:val="CEC618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3F81829"/>
    <w:multiLevelType w:val="multilevel"/>
    <w:tmpl w:val="0BAA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076867"/>
    <w:multiLevelType w:val="hybridMultilevel"/>
    <w:tmpl w:val="07745386"/>
    <w:lvl w:ilvl="0">
      <w:start w:val="1"/>
      <w:numFmt w:val="bullet"/>
      <w:lvlText w:val="­"/>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7535F55"/>
    <w:multiLevelType w:val="multilevel"/>
    <w:tmpl w:val="33CA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FD4EFF"/>
    <w:multiLevelType w:val="hybridMultilevel"/>
    <w:tmpl w:val="A9C0D7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8323397"/>
    <w:multiLevelType w:val="hybridMultilevel"/>
    <w:tmpl w:val="F8E03BE8"/>
    <w:lvl w:ilvl="0">
      <w:start w:val="1"/>
      <w:numFmt w:val="decimal"/>
      <w:lvlText w:val="%1."/>
      <w:lvlJc w:val="left"/>
      <w:pPr>
        <w:ind w:left="1080" w:hanging="360"/>
      </w:pPr>
      <w:rPr>
        <w:rFonts w:hint="default"/>
      </w:rPr>
    </w:lvl>
    <w:lvl w:ilvl="1">
      <w:start w:val="0"/>
      <w:numFmt w:val="bullet"/>
      <w:lvlText w:val="-"/>
      <w:lvlJc w:val="left"/>
      <w:pPr>
        <w:ind w:left="1800" w:hanging="360"/>
      </w:pPr>
      <w:rPr>
        <w:rFonts w:ascii="Times New Roman" w:eastAsia="Times New Roman" w:hAnsi="Times New Roman"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97117A4"/>
    <w:multiLevelType w:val="hybridMultilevel"/>
    <w:tmpl w:val="2248955C"/>
    <w:name w:val="Point"/>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A966F93"/>
    <w:multiLevelType w:val="multilevel"/>
    <w:tmpl w:val="1B723916"/>
    <w:lvl w:ilvl="0">
      <w:start w:val="1"/>
      <w:numFmt w:val="decimal"/>
      <w:lvlText w:val="(%1)"/>
      <w:lvlJc w:val="left"/>
      <w:pPr>
        <w:tabs>
          <w:tab w:val="num" w:pos="0"/>
        </w:tabs>
        <w:ind w:left="340" w:hanging="34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B761BBE"/>
    <w:multiLevelType w:val="hybridMultilevel"/>
    <w:tmpl w:val="E5BA9B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2C5869AA"/>
    <w:multiLevelType w:val="multilevel"/>
    <w:tmpl w:val="529EDEAC"/>
    <w:lvl w:ilvl="0">
      <w:start w:val="1"/>
      <w:numFmt w:val="decimal"/>
      <w:lvlText w:val="(%1)"/>
      <w:lvlJc w:val="left"/>
      <w:pPr>
        <w:tabs>
          <w:tab w:val="num" w:pos="0"/>
        </w:tabs>
        <w:ind w:left="340" w:hanging="34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CF56CE7"/>
    <w:multiLevelType w:val="hybridMultilevel"/>
    <w:tmpl w:val="2FE48D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2D1962A8"/>
    <w:multiLevelType w:val="multilevel"/>
    <w:tmpl w:val="1032AAE0"/>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2D5E2CC9"/>
    <w:multiLevelType w:val="hybridMultilevel"/>
    <w:tmpl w:val="D250EE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318575A8"/>
    <w:multiLevelType w:val="hybridMultilevel"/>
    <w:tmpl w:val="5678B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33EA6205"/>
    <w:multiLevelType w:val="hybridMultilevel"/>
    <w:tmpl w:val="0D500D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40263F5"/>
    <w:multiLevelType w:val="hybridMultilevel"/>
    <w:tmpl w:val="DFAE95B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2">
    <w:nsid w:val="368724A1"/>
    <w:multiLevelType w:val="hybridMultilevel"/>
    <w:tmpl w:val="DD26854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39897C36"/>
    <w:multiLevelType w:val="multilevel"/>
    <w:tmpl w:val="E220AA92"/>
    <w:lvl w:ilvl="0">
      <w:start w:val="1"/>
      <w:numFmt w:val="decimal"/>
      <w:lvlText w:val="(%1)"/>
      <w:lvlJc w:val="left"/>
      <w:pPr>
        <w:tabs>
          <w:tab w:val="num" w:pos="0"/>
        </w:tabs>
        <w:ind w:left="340" w:hanging="34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nsid w:val="3A307DE5"/>
    <w:multiLevelType w:val="hybridMultilevel"/>
    <w:tmpl w:val="1520C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A3C3D2A"/>
    <w:multiLevelType w:val="hybridMultilevel"/>
    <w:tmpl w:val="54EA010A"/>
    <w:lvl w:ilvl="0">
      <w:start w:val="1"/>
      <w:numFmt w:val="bullet"/>
      <w:lvlText w:val=""/>
      <w:lvlJc w:val="left"/>
      <w:pPr>
        <w:ind w:left="360" w:hanging="360"/>
      </w:pPr>
      <w:rPr>
        <w:rFonts w:ascii="Symbol" w:hAnsi="Symbol" w:hint="default"/>
        <w:color w:val="002060"/>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nsid w:val="4276634C"/>
    <w:multiLevelType w:val="hybridMultilevel"/>
    <w:tmpl w:val="C5F272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43BE1588"/>
    <w:multiLevelType w:val="hybridMultilevel"/>
    <w:tmpl w:val="880E19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45840C1C"/>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4C3958F1"/>
    <w:multiLevelType w:val="multilevel"/>
    <w:tmpl w:val="CCB6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F083460"/>
    <w:multiLevelType w:val="hybridMultilevel"/>
    <w:tmpl w:val="23D043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4F792AF0"/>
    <w:multiLevelType w:val="hybridMultilevel"/>
    <w:tmpl w:val="21BED8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1835A61"/>
    <w:multiLevelType w:val="hybridMultilevel"/>
    <w:tmpl w:val="FCEC847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nsid w:val="52095C40"/>
    <w:multiLevelType w:val="hybridMultilevel"/>
    <w:tmpl w:val="8DAEDF5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5863B45"/>
    <w:multiLevelType w:val="hybridMultilevel"/>
    <w:tmpl w:val="324A93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56664BD7"/>
    <w:multiLevelType w:val="hybridMultilevel"/>
    <w:tmpl w:val="6A7A26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56856FBB"/>
    <w:multiLevelType w:val="hybridMultilevel"/>
    <w:tmpl w:val="594ACD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nsid w:val="58B016D8"/>
    <w:multiLevelType w:val="hybridMultilevel"/>
    <w:tmpl w:val="E220AA92"/>
    <w:lvl w:ilvl="0">
      <w:start w:val="1"/>
      <w:numFmt w:val="decimal"/>
      <w:lvlText w:val="(%1)"/>
      <w:lvlJc w:val="left"/>
      <w:pPr>
        <w:tabs>
          <w:tab w:val="num" w:pos="0"/>
        </w:tabs>
        <w:ind w:left="340" w:hanging="34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8">
    <w:nsid w:val="5BAD451E"/>
    <w:multiLevelType w:val="multilevel"/>
    <w:tmpl w:val="C69C089A"/>
    <w:lvl w:ilvl="0">
      <w:start w:val="1"/>
      <w:numFmt w:val="decimal"/>
      <w:lvlText w:val="(%1)"/>
      <w:lvlJc w:val="left"/>
      <w:pPr>
        <w:tabs>
          <w:tab w:val="num" w:pos="0"/>
        </w:tabs>
        <w:ind w:left="340" w:hanging="34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5CB43AAD"/>
    <w:multiLevelType w:val="hybridMultilevel"/>
    <w:tmpl w:val="CB98329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0">
    <w:nsid w:val="5EA651A2"/>
    <w:multiLevelType w:val="hybridMultilevel"/>
    <w:tmpl w:val="459A8C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5F7553A2"/>
    <w:multiLevelType w:val="hybridMultilevel"/>
    <w:tmpl w:val="E5B6FA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646A11D7"/>
    <w:multiLevelType w:val="hybridMultilevel"/>
    <w:tmpl w:val="1B723916"/>
    <w:lvl w:ilvl="0">
      <w:start w:val="1"/>
      <w:numFmt w:val="decimal"/>
      <w:lvlText w:val="(%1)"/>
      <w:lvlJc w:val="left"/>
      <w:pPr>
        <w:tabs>
          <w:tab w:val="num" w:pos="0"/>
        </w:tabs>
        <w:ind w:left="340" w:hanging="34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648754F0"/>
    <w:multiLevelType w:val="hybridMultilevel"/>
    <w:tmpl w:val="B888AF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657F010F"/>
    <w:multiLevelType w:val="hybridMultilevel"/>
    <w:tmpl w:val="9A24EDC4"/>
    <w:lvl w:ilvl="0">
      <w:start w:val="1"/>
      <w:numFmt w:val="decimal"/>
      <w:lvlText w:val="(%1)"/>
      <w:lvlJc w:val="left"/>
      <w:pPr>
        <w:tabs>
          <w:tab w:val="num" w:pos="0"/>
        </w:tabs>
        <w:ind w:left="340" w:hanging="34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69386236"/>
    <w:multiLevelType w:val="hybridMultilevel"/>
    <w:tmpl w:val="D7FC7A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57">
    <w:nsid w:val="6C41534E"/>
    <w:multiLevelType w:val="hybridMultilevel"/>
    <w:tmpl w:val="F82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D2B5511"/>
    <w:multiLevelType w:val="singleLevel"/>
    <w:tmpl w:val="74A09970"/>
    <w:name w:val="List Bullet 1"/>
    <w:lvl w:ilvl="0">
      <w:start w:val="1"/>
      <w:numFmt w:val="bullet"/>
      <w:pStyle w:val="ListBullet"/>
      <w:lvlText w:val=""/>
      <w:lvlJc w:val="left"/>
      <w:pPr>
        <w:tabs>
          <w:tab w:val="num" w:pos="283"/>
        </w:tabs>
        <w:ind w:left="283" w:hanging="283"/>
      </w:pPr>
      <w:rPr>
        <w:rFonts w:ascii="Symbol" w:hAnsi="Symbol" w:hint="default"/>
      </w:rPr>
    </w:lvl>
  </w:abstractNum>
  <w:abstractNum w:abstractNumId="59">
    <w:nsid w:val="6D7B58CE"/>
    <w:multiLevelType w:val="hybridMultilevel"/>
    <w:tmpl w:val="55143764"/>
    <w:lvl w:ilvl="0">
      <w:start w:val="1"/>
      <w:numFmt w:val="bullet"/>
      <w:pStyle w:val="ListDash4"/>
      <w:lvlText w:val="–"/>
      <w:lvlJc w:val="left"/>
      <w:pPr>
        <w:tabs>
          <w:tab w:val="num" w:pos="1287"/>
        </w:tabs>
        <w:ind w:left="1287" w:hanging="283"/>
      </w:pPr>
      <w:rPr>
        <w:rFonts w:ascii="Times New Roman" w:hAnsi="Times New Roman" w:cs="Times New Roman" w:hint="default"/>
      </w:rPr>
    </w:lvl>
    <w:lvl w:ilvl="1">
      <w:start w:val="0"/>
      <w:numFmt w:val="bullet"/>
      <w:lvlText w:val="-"/>
      <w:lvlJc w:val="left"/>
      <w:pPr>
        <w:ind w:left="1593" w:hanging="360"/>
      </w:pPr>
      <w:rPr>
        <w:rFonts w:ascii="Times" w:eastAsia="Times New Roman" w:hAnsi="Times" w:cs="Times New Roman" w:hint="default"/>
      </w:rPr>
    </w:lvl>
    <w:lvl w:ilvl="2" w:tentative="1">
      <w:start w:val="1"/>
      <w:numFmt w:val="bullet"/>
      <w:lvlText w:val=""/>
      <w:lvlJc w:val="left"/>
      <w:pPr>
        <w:tabs>
          <w:tab w:val="num" w:pos="2313"/>
        </w:tabs>
        <w:ind w:left="2313" w:hanging="360"/>
      </w:pPr>
      <w:rPr>
        <w:rFonts w:ascii="Wingdings" w:hAnsi="Wingdings" w:hint="default"/>
      </w:rPr>
    </w:lvl>
    <w:lvl w:ilvl="3" w:tentative="1">
      <w:start w:val="1"/>
      <w:numFmt w:val="bullet"/>
      <w:lvlText w:val=""/>
      <w:lvlJc w:val="left"/>
      <w:pPr>
        <w:tabs>
          <w:tab w:val="num" w:pos="3033"/>
        </w:tabs>
        <w:ind w:left="3033" w:hanging="360"/>
      </w:pPr>
      <w:rPr>
        <w:rFonts w:ascii="Symbol" w:hAnsi="Symbol" w:hint="default"/>
      </w:rPr>
    </w:lvl>
    <w:lvl w:ilvl="4" w:tentative="1">
      <w:start w:val="1"/>
      <w:numFmt w:val="bullet"/>
      <w:lvlText w:val="o"/>
      <w:lvlJc w:val="left"/>
      <w:pPr>
        <w:tabs>
          <w:tab w:val="num" w:pos="3753"/>
        </w:tabs>
        <w:ind w:left="3753" w:hanging="360"/>
      </w:pPr>
      <w:rPr>
        <w:rFonts w:ascii="Courier New" w:hAnsi="Courier New" w:cs="Wingdings" w:hint="default"/>
      </w:rPr>
    </w:lvl>
    <w:lvl w:ilvl="5" w:tentative="1">
      <w:start w:val="1"/>
      <w:numFmt w:val="bullet"/>
      <w:lvlText w:val=""/>
      <w:lvlJc w:val="left"/>
      <w:pPr>
        <w:tabs>
          <w:tab w:val="num" w:pos="4473"/>
        </w:tabs>
        <w:ind w:left="4473" w:hanging="360"/>
      </w:pPr>
      <w:rPr>
        <w:rFonts w:ascii="Wingdings" w:hAnsi="Wingdings" w:hint="default"/>
      </w:rPr>
    </w:lvl>
    <w:lvl w:ilvl="6" w:tentative="1">
      <w:start w:val="1"/>
      <w:numFmt w:val="bullet"/>
      <w:lvlText w:val=""/>
      <w:lvlJc w:val="left"/>
      <w:pPr>
        <w:tabs>
          <w:tab w:val="num" w:pos="5193"/>
        </w:tabs>
        <w:ind w:left="5193" w:hanging="360"/>
      </w:pPr>
      <w:rPr>
        <w:rFonts w:ascii="Symbol" w:hAnsi="Symbol" w:hint="default"/>
      </w:rPr>
    </w:lvl>
    <w:lvl w:ilvl="7" w:tentative="1">
      <w:start w:val="1"/>
      <w:numFmt w:val="bullet"/>
      <w:lvlText w:val="o"/>
      <w:lvlJc w:val="left"/>
      <w:pPr>
        <w:tabs>
          <w:tab w:val="num" w:pos="5913"/>
        </w:tabs>
        <w:ind w:left="5913" w:hanging="360"/>
      </w:pPr>
      <w:rPr>
        <w:rFonts w:ascii="Courier New" w:hAnsi="Courier New" w:cs="Wingdings" w:hint="default"/>
      </w:rPr>
    </w:lvl>
    <w:lvl w:ilvl="8" w:tentative="1">
      <w:start w:val="1"/>
      <w:numFmt w:val="bullet"/>
      <w:lvlText w:val=""/>
      <w:lvlJc w:val="left"/>
      <w:pPr>
        <w:tabs>
          <w:tab w:val="num" w:pos="6633"/>
        </w:tabs>
        <w:ind w:left="6633" w:hanging="360"/>
      </w:pPr>
      <w:rPr>
        <w:rFonts w:ascii="Wingdings" w:hAnsi="Wingdings" w:hint="default"/>
      </w:rPr>
    </w:lvl>
  </w:abstractNum>
  <w:abstractNum w:abstractNumId="60">
    <w:nsid w:val="6EA908FE"/>
    <w:multiLevelType w:val="hybridMultilevel"/>
    <w:tmpl w:val="24AE98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nsid w:val="6EAB6C5A"/>
    <w:multiLevelType w:val="hybridMultilevel"/>
    <w:tmpl w:val="96608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EE231E5"/>
    <w:multiLevelType w:val="hybridMultilevel"/>
    <w:tmpl w:val="D71CCF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nsid w:val="70B11079"/>
    <w:multiLevelType w:val="hybridMultilevel"/>
    <w:tmpl w:val="440AB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4F8230A"/>
    <w:multiLevelType w:val="hybridMultilevel"/>
    <w:tmpl w:val="C69C089A"/>
    <w:lvl w:ilvl="0">
      <w:start w:val="1"/>
      <w:numFmt w:val="decimal"/>
      <w:lvlText w:val="(%1)"/>
      <w:lvlJc w:val="left"/>
      <w:pPr>
        <w:tabs>
          <w:tab w:val="num" w:pos="0"/>
        </w:tabs>
        <w:ind w:left="340" w:hanging="34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nsid w:val="7530130B"/>
    <w:multiLevelType w:val="hybridMultilevel"/>
    <w:tmpl w:val="9A648C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787F71DC"/>
    <w:multiLevelType w:val="hybridMultilevel"/>
    <w:tmpl w:val="CD04A9BA"/>
    <w:lvl w:ilvl="0">
      <w:start w:val="1"/>
      <w:numFmt w:val="bullet"/>
      <w:lvlText w:val="-"/>
      <w:lvlJc w:val="left"/>
      <w:pPr>
        <w:ind w:left="360" w:hanging="360"/>
      </w:pPr>
      <w:rPr>
        <w:rFonts w:ascii="Calibri" w:hAnsi="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7">
    <w:nsid w:val="78E24D68"/>
    <w:multiLevelType w:val="hybridMultilevel"/>
    <w:tmpl w:val="0BBEE9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A9D3B63"/>
    <w:multiLevelType w:val="hybridMultilevel"/>
    <w:tmpl w:val="E808FD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AA02D34"/>
    <w:multiLevelType w:val="hybridMultilevel"/>
    <w:tmpl w:val="805480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0">
    <w:nsid w:val="7BDA39E1"/>
    <w:multiLevelType w:val="hybridMultilevel"/>
    <w:tmpl w:val="5470C2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1">
    <w:nsid w:val="7C2607D2"/>
    <w:multiLevelType w:val="hybridMultilevel"/>
    <w:tmpl w:val="5E042CE8"/>
    <w:lvl w:ilvl="0">
      <w:start w:val="1"/>
      <w:numFmt w:val="decimal"/>
      <w:lvlText w:val="(%1)"/>
      <w:lvlJc w:val="left"/>
      <w:pPr>
        <w:tabs>
          <w:tab w:val="num" w:pos="0"/>
        </w:tabs>
        <w:ind w:left="340" w:hanging="34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cap="rnd">
          <w14:noFill/>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0"/>
  </w:num>
  <w:num w:numId="2">
    <w:abstractNumId w:val="58"/>
  </w:num>
  <w:num w:numId="3">
    <w:abstractNumId w:val="6"/>
  </w:num>
  <w:num w:numId="4">
    <w:abstractNumId w:val="44"/>
  </w:num>
  <w:num w:numId="5">
    <w:abstractNumId w:val="0"/>
  </w:num>
  <w:num w:numId="6">
    <w:abstractNumId w:val="1"/>
  </w:num>
  <w:num w:numId="7">
    <w:abstractNumId w:val="2"/>
  </w:num>
  <w:num w:numId="8">
    <w:abstractNumId w:val="32"/>
  </w:num>
  <w:num w:numId="9">
    <w:abstractNumId w:val="56"/>
  </w:num>
  <w:num w:numId="10">
    <w:abstractNumId w:val="26"/>
  </w:num>
  <w:num w:numId="11">
    <w:abstractNumId w:val="36"/>
  </w:num>
  <w:num w:numId="12">
    <w:abstractNumId w:val="59"/>
  </w:num>
  <w:num w:numId="13">
    <w:abstractNumId w:val="38"/>
  </w:num>
  <w:num w:numId="14">
    <w:abstractNumId w:val="16"/>
  </w:num>
  <w:num w:numId="15">
    <w:abstractNumId w:val="47"/>
  </w:num>
  <w:num w:numId="16">
    <w:abstractNumId w:val="27"/>
  </w:num>
  <w:num w:numId="17">
    <w:abstractNumId w:val="7"/>
  </w:num>
  <w:num w:numId="18">
    <w:abstractNumId w:val="13"/>
  </w:num>
  <w:num w:numId="19">
    <w:abstractNumId w:val="64"/>
  </w:num>
  <w:num w:numId="20">
    <w:abstractNumId w:val="33"/>
  </w:num>
  <w:num w:numId="21">
    <w:abstractNumId w:val="71"/>
  </w:num>
  <w:num w:numId="22">
    <w:abstractNumId w:val="48"/>
  </w:num>
  <w:num w:numId="23">
    <w:abstractNumId w:val="52"/>
  </w:num>
  <w:num w:numId="24">
    <w:abstractNumId w:val="23"/>
  </w:num>
  <w:num w:numId="25">
    <w:abstractNumId w:val="12"/>
  </w:num>
  <w:num w:numId="26">
    <w:abstractNumId w:val="25"/>
  </w:num>
  <w:num w:numId="27">
    <w:abstractNumId w:val="54"/>
  </w:num>
  <w:num w:numId="28">
    <w:abstractNumId w:val="35"/>
  </w:num>
  <w:num w:numId="29">
    <w:abstractNumId w:val="50"/>
  </w:num>
  <w:num w:numId="30">
    <w:abstractNumId w:val="46"/>
  </w:num>
  <w:num w:numId="31">
    <w:abstractNumId w:val="9"/>
  </w:num>
  <w:num w:numId="32">
    <w:abstractNumId w:val="66"/>
  </w:num>
  <w:num w:numId="33">
    <w:abstractNumId w:val="69"/>
  </w:num>
  <w:num w:numId="34">
    <w:abstractNumId w:val="3"/>
  </w:num>
  <w:num w:numId="35">
    <w:abstractNumId w:val="20"/>
  </w:num>
  <w:num w:numId="36">
    <w:abstractNumId w:val="28"/>
  </w:num>
  <w:num w:numId="37">
    <w:abstractNumId w:val="45"/>
  </w:num>
  <w:num w:numId="38">
    <w:abstractNumId w:val="60"/>
  </w:num>
  <w:num w:numId="39">
    <w:abstractNumId w:val="42"/>
  </w:num>
  <w:num w:numId="40">
    <w:abstractNumId w:val="37"/>
  </w:num>
  <w:num w:numId="41">
    <w:abstractNumId w:val="55"/>
  </w:num>
  <w:num w:numId="42">
    <w:abstractNumId w:val="29"/>
  </w:num>
  <w:num w:numId="43">
    <w:abstractNumId w:val="62"/>
  </w:num>
  <w:num w:numId="44">
    <w:abstractNumId w:val="4"/>
  </w:num>
  <w:num w:numId="45">
    <w:abstractNumId w:val="53"/>
  </w:num>
  <w:num w:numId="46">
    <w:abstractNumId w:val="11"/>
  </w:num>
  <w:num w:numId="47">
    <w:abstractNumId w:val="14"/>
  </w:num>
  <w:num w:numId="48">
    <w:abstractNumId w:val="65"/>
  </w:num>
  <w:num w:numId="49">
    <w:abstractNumId w:val="70"/>
  </w:num>
  <w:num w:numId="50">
    <w:abstractNumId w:val="35"/>
  </w:num>
  <w:num w:numId="51">
    <w:abstractNumId w:val="18"/>
  </w:num>
  <w:num w:numId="52">
    <w:abstractNumId w:val="57"/>
  </w:num>
  <w:num w:numId="53">
    <w:abstractNumId w:val="51"/>
  </w:num>
  <w:num w:numId="54">
    <w:abstractNumId w:val="41"/>
  </w:num>
  <w:num w:numId="55">
    <w:abstractNumId w:val="63"/>
  </w:num>
  <w:num w:numId="56">
    <w:abstractNumId w:val="68"/>
  </w:num>
  <w:num w:numId="57">
    <w:abstractNumId w:val="30"/>
  </w:num>
  <w:num w:numId="58">
    <w:abstractNumId w:val="15"/>
  </w:num>
  <w:num w:numId="59">
    <w:abstractNumId w:val="34"/>
  </w:num>
  <w:num w:numId="60">
    <w:abstractNumId w:val="35"/>
  </w:num>
  <w:num w:numId="61">
    <w:abstractNumId w:val="40"/>
  </w:num>
  <w:num w:numId="62">
    <w:abstractNumId w:val="17"/>
  </w:num>
  <w:num w:numId="63">
    <w:abstractNumId w:val="39"/>
  </w:num>
  <w:num w:numId="64">
    <w:abstractNumId w:val="43"/>
  </w:num>
  <w:num w:numId="65">
    <w:abstractNumId w:val="67"/>
  </w:num>
  <w:num w:numId="66">
    <w:abstractNumId w:val="61"/>
  </w:num>
  <w:num w:numId="67">
    <w:abstractNumId w:val="8"/>
  </w:num>
  <w:num w:numId="68">
    <w:abstractNumId w:val="21"/>
  </w:num>
  <w:num w:numId="69">
    <w:abstractNumId w:val="31"/>
  </w:num>
  <w:num w:numId="70">
    <w:abstractNumId w:val="49"/>
  </w:num>
  <w:num w:numId="71">
    <w:abstractNumId w:val="22"/>
  </w:num>
  <w:num w:numId="72">
    <w:abstractNumId w:val="5"/>
  </w:num>
  <w:num w:numId="73">
    <w:abstractNumId w:val="19"/>
  </w:num>
  <w:num w:numId="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LW_DocType" w:val="NORMAL"/>
    <w:docVar w:name="Stamp" w:val="\\dossiers.dgt.cec.eu.int\dossiers\AGRI\AGRI-2025-01781\AGRI-2025-01781-00-00-EN-EDT-00.202506031704468917705.DOCX"/>
  </w:docVar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7B9"/>
    <w:rPr>
      <w:sz w:val="24"/>
      <w:szCs w:val="24"/>
    </w:rPr>
  </w:style>
  <w:style w:type="paragraph" w:styleId="Heading1">
    <w:name w:val="heading 1"/>
    <w:basedOn w:val="Normal"/>
    <w:next w:val="Normal"/>
    <w:link w:val="Heading1Char"/>
    <w:qFormat/>
    <w:rsid w:val="004851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semiHidden/>
    <w:unhideWhenUsed/>
    <w:qFormat/>
    <w:rsid w:val="00EC422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E6661"/>
    <w:pPr>
      <w:tabs>
        <w:tab w:val="center" w:pos="4153"/>
        <w:tab w:val="right" w:pos="8306"/>
      </w:tabs>
    </w:pPr>
  </w:style>
  <w:style w:type="paragraph" w:styleId="FootnoteText">
    <w:name w:val="footnote text"/>
    <w:basedOn w:val="Normal"/>
    <w:link w:val="FootnoteTextChar"/>
    <w:semiHidden/>
    <w:rsid w:val="009E6661"/>
    <w:pPr>
      <w:spacing w:after="240"/>
      <w:ind w:left="357" w:hanging="357"/>
      <w:jc w:val="both"/>
    </w:pPr>
    <w:rPr>
      <w:sz w:val="20"/>
      <w:szCs w:val="20"/>
    </w:rPr>
  </w:style>
  <w:style w:type="character" w:styleId="FootnoteReference">
    <w:name w:val="footnote reference"/>
    <w:aliases w:val=" BVI fnr,BVI fnr,Footnote Reference Superscript,Footnote symbol"/>
    <w:semiHidden/>
    <w:rsid w:val="009E6661"/>
    <w:rPr>
      <w:vertAlign w:val="superscript"/>
    </w:rPr>
  </w:style>
  <w:style w:type="character" w:customStyle="1" w:styleId="FootnoteTextChar">
    <w:name w:val="Footnote Text Char"/>
    <w:link w:val="FootnoteText"/>
    <w:rsid w:val="009E6661"/>
    <w:rPr>
      <w:lang w:val="it-IT" w:eastAsia="en-GB" w:bidi="ar-SA"/>
    </w:rPr>
  </w:style>
  <w:style w:type="paragraph" w:styleId="ListBullet">
    <w:name w:val="List Bullet"/>
    <w:basedOn w:val="Normal"/>
    <w:rsid w:val="009E6661"/>
    <w:pPr>
      <w:numPr>
        <w:numId w:val="2"/>
      </w:numPr>
      <w:spacing w:before="120" w:after="120"/>
      <w:jc w:val="both"/>
    </w:pPr>
    <w:rPr>
      <w:lang w:eastAsia="de-DE"/>
    </w:rPr>
  </w:style>
  <w:style w:type="paragraph" w:customStyle="1" w:styleId="Text1">
    <w:name w:val="Text 1"/>
    <w:basedOn w:val="Normal"/>
    <w:rsid w:val="009E6661"/>
    <w:pPr>
      <w:spacing w:before="120" w:after="120"/>
      <w:ind w:left="850"/>
      <w:jc w:val="both"/>
    </w:pPr>
    <w:rPr>
      <w:lang w:eastAsia="en-US"/>
    </w:rPr>
  </w:style>
  <w:style w:type="character" w:styleId="Emphasis">
    <w:name w:val="Emphasis"/>
    <w:qFormat/>
    <w:rsid w:val="009E6661"/>
    <w:rPr>
      <w:b/>
      <w:bCs/>
      <w:i w:val="0"/>
      <w:iCs w:val="0"/>
    </w:rPr>
  </w:style>
  <w:style w:type="paragraph" w:customStyle="1" w:styleId="ListBullet1">
    <w:name w:val="List Bullet 1"/>
    <w:basedOn w:val="Normal"/>
    <w:rsid w:val="009E6661"/>
    <w:pPr>
      <w:numPr>
        <w:numId w:val="9"/>
      </w:numPr>
      <w:spacing w:before="120" w:after="120"/>
      <w:jc w:val="both"/>
    </w:pPr>
    <w:rPr>
      <w:lang w:eastAsia="de-DE"/>
    </w:rPr>
  </w:style>
  <w:style w:type="character" w:customStyle="1" w:styleId="at31">
    <w:name w:val="a__t31"/>
    <w:rsid w:val="009E6661"/>
    <w:rPr>
      <w:b/>
      <w:bCs/>
    </w:rPr>
  </w:style>
  <w:style w:type="paragraph" w:styleId="NormalWeb">
    <w:name w:val="Normal (Web)"/>
    <w:basedOn w:val="Normal"/>
    <w:link w:val="NormalWebChar"/>
    <w:rsid w:val="00D03063"/>
    <w:pPr>
      <w:spacing w:before="100" w:beforeAutospacing="1" w:after="100" w:afterAutospacing="1"/>
    </w:pPr>
  </w:style>
  <w:style w:type="character" w:customStyle="1" w:styleId="NormalWebChar">
    <w:name w:val="Normal (Web) Char"/>
    <w:link w:val="NormalWeb"/>
    <w:rsid w:val="00D03063"/>
    <w:rPr>
      <w:sz w:val="24"/>
      <w:szCs w:val="24"/>
      <w:lang w:val="it-IT" w:eastAsia="en-GB" w:bidi="ar-SA"/>
    </w:rPr>
  </w:style>
  <w:style w:type="paragraph" w:customStyle="1" w:styleId="ListDash4">
    <w:name w:val="List Dash 4"/>
    <w:basedOn w:val="Normal"/>
    <w:rsid w:val="00D03063"/>
    <w:pPr>
      <w:numPr>
        <w:numId w:val="12"/>
      </w:numPr>
    </w:pPr>
  </w:style>
  <w:style w:type="paragraph" w:styleId="Footer">
    <w:name w:val="footer"/>
    <w:basedOn w:val="Normal"/>
    <w:rsid w:val="00B07956"/>
    <w:pPr>
      <w:tabs>
        <w:tab w:val="center" w:pos="4536"/>
        <w:tab w:val="right" w:pos="9072"/>
      </w:tabs>
    </w:pPr>
  </w:style>
  <w:style w:type="character" w:styleId="PageNumber">
    <w:name w:val="page number"/>
    <w:basedOn w:val="DefaultParagraphFont"/>
    <w:rsid w:val="00B07956"/>
  </w:style>
  <w:style w:type="paragraph" w:styleId="BalloonText">
    <w:name w:val="Balloon Text"/>
    <w:basedOn w:val="Normal"/>
    <w:semiHidden/>
    <w:rsid w:val="00991122"/>
    <w:rPr>
      <w:rFonts w:ascii="Tahoma" w:hAnsi="Tahoma" w:cs="Tahoma"/>
      <w:sz w:val="16"/>
      <w:szCs w:val="16"/>
    </w:rPr>
  </w:style>
  <w:style w:type="character" w:styleId="Hyperlink">
    <w:name w:val="Hyperlink"/>
    <w:uiPriority w:val="99"/>
    <w:unhideWhenUsed/>
    <w:rsid w:val="003154F3"/>
    <w:rPr>
      <w:color w:val="0000FF"/>
      <w:u w:val="single"/>
    </w:rPr>
  </w:style>
  <w:style w:type="character" w:styleId="CommentReference">
    <w:name w:val="annotation reference"/>
    <w:uiPriority w:val="99"/>
    <w:rsid w:val="000E132C"/>
    <w:rPr>
      <w:sz w:val="16"/>
      <w:szCs w:val="16"/>
    </w:rPr>
  </w:style>
  <w:style w:type="paragraph" w:styleId="CommentText">
    <w:name w:val="annotation text"/>
    <w:basedOn w:val="Normal"/>
    <w:link w:val="CommentTextChar"/>
    <w:uiPriority w:val="99"/>
    <w:rsid w:val="000E132C"/>
    <w:rPr>
      <w:sz w:val="20"/>
      <w:szCs w:val="20"/>
    </w:rPr>
  </w:style>
  <w:style w:type="character" w:customStyle="1" w:styleId="CommentTextChar">
    <w:name w:val="Comment Text Char"/>
    <w:basedOn w:val="DefaultParagraphFont"/>
    <w:link w:val="CommentText"/>
    <w:uiPriority w:val="99"/>
    <w:rsid w:val="000E132C"/>
  </w:style>
  <w:style w:type="paragraph" w:styleId="CommentSubject">
    <w:name w:val="annotation subject"/>
    <w:basedOn w:val="CommentText"/>
    <w:next w:val="CommentText"/>
    <w:link w:val="CommentSubjectChar"/>
    <w:rsid w:val="000E132C"/>
    <w:rPr>
      <w:b/>
      <w:bCs/>
    </w:rPr>
  </w:style>
  <w:style w:type="character" w:customStyle="1" w:styleId="CommentSubjectChar">
    <w:name w:val="Comment Subject Char"/>
    <w:link w:val="CommentSubject"/>
    <w:rsid w:val="000E132C"/>
    <w:rPr>
      <w:b/>
      <w:bCs/>
    </w:rPr>
  </w:style>
  <w:style w:type="paragraph" w:customStyle="1" w:styleId="ListDash1">
    <w:name w:val="List Dash 1"/>
    <w:basedOn w:val="Normal"/>
    <w:qFormat/>
    <w:rsid w:val="00FA069C"/>
    <w:pPr>
      <w:tabs>
        <w:tab w:val="num" w:pos="567"/>
      </w:tabs>
      <w:ind w:left="568" w:hanging="284"/>
    </w:pPr>
  </w:style>
  <w:style w:type="paragraph" w:styleId="ListParagraph">
    <w:name w:val="List Paragraph"/>
    <w:basedOn w:val="Normal"/>
    <w:uiPriority w:val="34"/>
    <w:qFormat/>
    <w:rsid w:val="001C7D0F"/>
    <w:pPr>
      <w:ind w:left="720"/>
      <w:contextualSpacing/>
    </w:pPr>
  </w:style>
  <w:style w:type="character" w:styleId="FollowedHyperlink">
    <w:name w:val="FollowedHyperlink"/>
    <w:basedOn w:val="DefaultParagraphFont"/>
    <w:rsid w:val="00454F27"/>
    <w:rPr>
      <w:color w:val="800080" w:themeColor="followedHyperlink"/>
      <w:u w:val="single"/>
    </w:rPr>
  </w:style>
  <w:style w:type="paragraph" w:styleId="Revision">
    <w:name w:val="Revision"/>
    <w:hidden/>
    <w:uiPriority w:val="99"/>
    <w:semiHidden/>
    <w:rsid w:val="00810C61"/>
    <w:rPr>
      <w:sz w:val="24"/>
      <w:szCs w:val="24"/>
    </w:rPr>
  </w:style>
  <w:style w:type="character" w:customStyle="1" w:styleId="UnresolvedMention">
    <w:name w:val="Unresolved Mention"/>
    <w:basedOn w:val="DefaultParagraphFont"/>
    <w:uiPriority w:val="99"/>
    <w:semiHidden/>
    <w:unhideWhenUsed/>
    <w:rsid w:val="00900927"/>
    <w:rPr>
      <w:color w:val="605E5C"/>
      <w:shd w:val="clear" w:color="auto" w:fill="E1DFDD"/>
    </w:rPr>
  </w:style>
  <w:style w:type="paragraph" w:customStyle="1" w:styleId="Default">
    <w:name w:val="Default"/>
    <w:rsid w:val="00782D00"/>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4851A5"/>
    <w:rPr>
      <w:rFonts w:asciiTheme="majorHAnsi" w:eastAsiaTheme="majorEastAsia" w:hAnsiTheme="majorHAnsi" w:cstheme="majorBidi"/>
      <w:color w:val="365F91" w:themeColor="accent1" w:themeShade="BF"/>
      <w:sz w:val="32"/>
      <w:szCs w:val="32"/>
    </w:rPr>
  </w:style>
  <w:style w:type="character" w:customStyle="1" w:styleId="Heading6Char">
    <w:name w:val="Heading 6 Char"/>
    <w:basedOn w:val="DefaultParagraphFont"/>
    <w:link w:val="Heading6"/>
    <w:semiHidden/>
    <w:rsid w:val="00EC4226"/>
    <w:rPr>
      <w:rFonts w:asciiTheme="majorHAnsi" w:eastAsiaTheme="majorEastAsia" w:hAnsiTheme="majorHAnsi" w:cstheme="majorBidi"/>
      <w:color w:val="243F60" w:themeColor="accent1" w:themeShade="7F"/>
      <w:sz w:val="24"/>
      <w:szCs w:val="24"/>
    </w:rPr>
  </w:style>
  <w:style w:type="paragraph" w:customStyle="1" w:styleId="oj-normal">
    <w:name w:val="oj-normal"/>
    <w:basedOn w:val="Normal"/>
    <w:rsid w:val="00552261"/>
    <w:pPr>
      <w:spacing w:before="100" w:beforeAutospacing="1" w:after="100" w:afterAutospacing="1"/>
    </w:pPr>
    <w:rPr>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_rels/header4.xml.rels>&#65279;<?xml version="1.0" encoding="utf-8" standalone="yes"?><Relationships xmlns="http://schemas.openxmlformats.org/package/2006/relationships"><Relationship Id="rId1" Type="http://schemas.openxmlformats.org/officeDocument/2006/relationships/image" Target="media/image2.jpeg" /></Relationships>
</file>

<file path=word/_rels/numbering.xml.rels>&#65279;<?xml version="1.0" encoding="utf-8" standalone="yes"?><Relationships xmlns="http://schemas.openxmlformats.org/package/2006/relationships"><Relationship Id="rId1"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Documents%20and%20Settings\brusspa\Desktop\ROADMAP%20template%20new%2010%20January%202012.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ead xmlns="a89a7c5c-3d39-4f6f-a0b2-197da2102b13" xsi:nil="true"/>
    <SGA2lead xmlns="a89a7c5c-3d39-4f6f-a0b2-197da2102b13">
      <UserInfo>
        <DisplayName/>
        <AccountId xsi:nil="true"/>
        <AccountType/>
      </UserInfo>
    </SGA2lead>
    <ContactinDGBRsupport xmlns="a89a7c5c-3d39-4f6f-a0b2-197da2102b13">
      <UserInfo>
        <DisplayName/>
        <AccountId xsi:nil="true"/>
        <AccountType/>
      </UserInfo>
    </ContactinDGBRsupport>
    <Adoption xmlns="a89a7c5c-3d39-4f6f-a0b2-197da2102b13">
      <Url xsi:nil="true"/>
      <Description xsi:nil="true"/>
    </Adoption>
    <Type xmlns="a89a7c5c-3d39-4f6f-a0b2-197da2102b13" xsi:nil="true"/>
    <Status xmlns="a89a7c5c-3d39-4f6f-a0b2-197da2102b13" xsi:nil="true"/>
    <Legislativetrainschedule xmlns="a89a7c5c-3d39-4f6f-a0b2-197da2102b13">
      <Url xsi:nil="true"/>
      <Description xsi:nil="true"/>
    </Legislativetrainschedule>
    <DecidePLAN xmlns="a89a7c5c-3d39-4f6f-a0b2-197da2102b13" xsi:nil="true"/>
    <Agreementlevel xmlns="a89a7c5c-3d39-4f6f-a0b2-197da2102b13" xsi:nil="true"/>
    <ContactinleadDG xmlns="a89a7c5c-3d39-4f6f-a0b2-197da2102b13">
      <UserInfo>
        <DisplayName/>
        <AccountId xsi:nil="true"/>
        <AccountType/>
      </UserInfo>
    </ContactinleadDG>
    <Callforevidence xmlns="a89a7c5c-3d39-4f6f-a0b2-197da2102b13">
      <Url xsi:nil="true"/>
      <Description xsi:nil="true"/>
    </Callforevidence>
    <ContactinSGpolicy xmlns="a89a7c5c-3d39-4f6f-a0b2-197da2102b13">
      <UserInfo>
        <DisplayName/>
        <AccountId xsi:nil="true"/>
        <AccountType/>
      </UserInfo>
    </ContactinSGpolicy>
    <Remarks xmlns="a89a7c5c-3d39-4f6f-a0b2-197da2102b13" xsi:nil="true"/>
    <Topic xmlns="a89a7c5c-3d39-4f6f-a0b2-197da2102b1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156F1F625EFD409752700F7BC1905C" ma:contentTypeVersion="28" ma:contentTypeDescription="Create a new document." ma:contentTypeScope="" ma:versionID="a1a90a1faf831fe71c82dc19dee0894f">
  <xsd:schema xmlns:xsd="http://www.w3.org/2001/XMLSchema" xmlns:xs="http://www.w3.org/2001/XMLSchema" xmlns:p="http://schemas.microsoft.com/office/2006/metadata/properties" xmlns:ns2="a89a7c5c-3d39-4f6f-a0b2-197da2102b13" xmlns:ns3="a5817e60-585f-494a-8087-c20e4bfac4f3" targetNamespace="http://schemas.microsoft.com/office/2006/metadata/properties" ma:root="true" ma:fieldsID="be5ffc05e48e28627f8d9c946615c6c5" ns2:_="" ns3:_="">
    <xsd:import namespace="a89a7c5c-3d39-4f6f-a0b2-197da2102b13"/>
    <xsd:import namespace="a5817e60-585f-494a-8087-c20e4bfac4f3"/>
    <xsd:element name="properties">
      <xsd:complexType>
        <xsd:sequence>
          <xsd:element name="documentManagement">
            <xsd:complexType>
              <xsd:all>
                <xsd:element ref="ns2:Type" minOccurs="0"/>
                <xsd:element ref="ns2:Legislativetrainschedule" minOccurs="0"/>
                <xsd:element ref="ns2:Lead" minOccurs="0"/>
                <xsd:element ref="ns2:Adoption" minOccurs="0"/>
                <xsd:element ref="ns2:Callforevidence" minOccurs="0"/>
                <xsd:element ref="ns2:ContactinleadDG" minOccurs="0"/>
                <xsd:element ref="ns2:ContactinSGpolicy" minOccurs="0"/>
                <xsd:element ref="ns2:SGA2lead" minOccurs="0"/>
                <xsd:element ref="ns2:Status" minOccurs="0"/>
                <xsd:element ref="ns2:ContactinDGBRsupport"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Agreementlevel" minOccurs="0"/>
                <xsd:element ref="ns2:Remarks" minOccurs="0"/>
                <xsd:element ref="ns2:Topic" minOccurs="0"/>
                <xsd:element ref="ns2:DecidePL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a7c5c-3d39-4f6f-a0b2-197da2102b13" elementFormDefault="qualified">
    <xsd:import namespace="http://schemas.microsoft.com/office/2006/documentManagement/types"/>
    <xsd:import namespace="http://schemas.microsoft.com/office/infopath/2007/PartnerControls"/>
    <xsd:element name="Type" ma:index="2" nillable="true" ma:displayName=" Type" ma:format="Dropdown" ma:internalName="Type">
      <xsd:simpleType>
        <xsd:restriction base="dms:Choice">
          <xsd:enumeration value="Impact assessment"/>
          <xsd:enumeration value="Evaluation"/>
          <xsd:enumeration value="Other"/>
          <xsd:enumeration value="Fitness Check"/>
          <xsd:enumeration value="B2B"/>
          <xsd:enumeration value="Omnibus"/>
        </xsd:restriction>
      </xsd:simpleType>
    </xsd:element>
    <xsd:element name="Legislativetrainschedule" ma:index="3" nillable="true" ma:displayName="Legislative train schedule" ma:format="Hyperlink" ma:internalName="Legislativetrainschedule">
      <xsd:complexType>
        <xsd:complexContent>
          <xsd:extension base="dms:URL">
            <xsd:sequence>
              <xsd:element name="Url" type="dms:ValidUrl" minOccurs="0" nillable="true"/>
              <xsd:element name="Description" type="xsd:string" nillable="true"/>
            </xsd:sequence>
          </xsd:extension>
        </xsd:complexContent>
      </xsd:complexType>
    </xsd:element>
    <xsd:element name="Lead" ma:index="4" nillable="true" ma:displayName="Lead DG" ma:format="Dropdown" ma:list="d0dfb1ab-7df0-4ed7-9b51-d2cac5af1611" ma:internalName="Lead" ma:showField="Title">
      <xsd:simpleType>
        <xsd:restriction base="dms:Lookup"/>
      </xsd:simpleType>
    </xsd:element>
    <xsd:element name="Adoption" ma:index="5" nillable="true" ma:displayName="Adoption" ma:format="Hyperlink" ma:internalName="Adoption">
      <xsd:complexType>
        <xsd:complexContent>
          <xsd:extension base="dms:URL">
            <xsd:sequence>
              <xsd:element name="Url" type="dms:ValidUrl" minOccurs="0" nillable="true"/>
              <xsd:element name="Description" type="xsd:string" nillable="true"/>
            </xsd:sequence>
          </xsd:extension>
        </xsd:complexContent>
      </xsd:complexType>
    </xsd:element>
    <xsd:element name="Callforevidence" ma:index="6" nillable="true" ma:displayName="Call for evidence" ma:format="Hyperlink" ma:internalName="Callforevidence">
      <xsd:complexType>
        <xsd:complexContent>
          <xsd:extension base="dms:URL">
            <xsd:sequence>
              <xsd:element name="Url" type="dms:ValidUrl" minOccurs="0" nillable="true"/>
              <xsd:element name="Description" type="xsd:string" nillable="true"/>
            </xsd:sequence>
          </xsd:extension>
        </xsd:complexContent>
      </xsd:complexType>
    </xsd:element>
    <xsd:element name="ContactinleadDG" ma:index="7" nillable="true" ma:displayName="Contact in lead DG" ma:format="Dropdown" ma:list="UserInfo" ma:SharePointGroup="0" ma:internalName="ContactinleadDG">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actinSGpolicy" ma:index="8" nillable="true" ma:displayName="Contact in SG policy" ma:format="Dropdown" ma:list="UserInfo" ma:SharePointGroup="0" ma:internalName="ContactinSGpolic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GA2lead" ma:index="9" nillable="true" ma:displayName="SGA2 lead" ma:format="Dropdown" ma:list="UserInfo" ma:SharePointGroup="0" ma:internalName="SGA2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0" nillable="true" ma:displayName="Status" ma:format="Dropdown" ma:internalName="Status">
      <xsd:simpleType>
        <xsd:restriction base="dms:Choice">
          <xsd:enumeration value="Ongoing"/>
          <xsd:enumeration value="Finished"/>
          <xsd:enumeration value="ISC"/>
          <xsd:enumeration value="Abandoned"/>
          <xsd:enumeration value="Superseded"/>
        </xsd:restriction>
      </xsd:simpleType>
    </xsd:element>
    <xsd:element name="ContactinDGBRsupport" ma:index="11" nillable="true" ma:displayName="SGA2 back-up" ma:format="Dropdown" ma:list="UserInfo" ma:SharePointGroup="0" ma:internalName="ContactinDGBRsuppor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greementlevel" ma:index="24" nillable="true" ma:displayName="Agreement level" ma:format="Dropdown" ma:internalName="Agreementlevel">
      <xsd:simpleType>
        <xsd:restriction base="dms:Choice">
          <xsd:enumeration value="AC_ok"/>
          <xsd:enumeration value="MW_ok"/>
          <xsd:enumeration value="CAB_ok"/>
        </xsd:restriction>
      </xsd:simpleType>
    </xsd:element>
    <xsd:element name="Remarks" ma:index="25" nillable="true" ma:displayName="Remarks" ma:format="Dropdown" ma:internalName="Remarks">
      <xsd:simpleType>
        <xsd:restriction base="dms:Note"/>
      </xsd:simpleType>
    </xsd:element>
    <xsd:element name="Topic" ma:index="26" nillable="true" ma:displayName="Topic" ma:format="Dropdown" ma:internalName="Topic">
      <xsd:simpleType>
        <xsd:restriction base="dms:Choice">
          <xsd:enumeration value="Call for Evidence"/>
          <xsd:enumeration value="External work"/>
          <xsd:enumeration value="Stakeholder consultations"/>
          <xsd:enumeration value="Content work"/>
          <xsd:enumeration value="Planning"/>
          <xsd:enumeration value="ISCG"/>
          <xsd:enumeration value="Upstream RSB"/>
          <xsd:enumeration value="Derogations"/>
          <xsd:enumeration value="Background"/>
          <xsd:enumeration value="Miscellaneous"/>
        </xsd:restriction>
      </xsd:simpleType>
    </xsd:element>
    <xsd:element name="DecidePLAN" ma:index="27" nillable="true" ma:displayName="Decide PLAN" ma:format="Dropdown" ma:internalName="DecidePLA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17e60-585f-494a-8087-c20e4bfac4f3"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AD5CF-E8B4-447F-AE82-B85FCBFC32F4}">
  <ds:schemaRefs>
    <ds:schemaRef ds:uri="http://schemas.microsoft.com/office/2006/documentManagement/types"/>
    <ds:schemaRef ds:uri="a5817e60-585f-494a-8087-c20e4bfac4f3"/>
    <ds:schemaRef ds:uri="http://purl.org/dc/elements/1.1/"/>
    <ds:schemaRef ds:uri="http://schemas.microsoft.com/office/infopath/2007/PartnerControls"/>
    <ds:schemaRef ds:uri="a89a7c5c-3d39-4f6f-a0b2-197da2102b13"/>
    <ds:schemaRef ds:uri="http://purl.org/dc/dcmitype/"/>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9ADF71C-59A8-4C6F-A3C1-8CF867750A43}">
  <ds:schemaRefs>
    <ds:schemaRef ds:uri="http://schemas.microsoft.com/office/2006/metadata/longProperties"/>
  </ds:schemaRefs>
</ds:datastoreItem>
</file>

<file path=customXml/itemProps3.xml><?xml version="1.0" encoding="utf-8"?>
<ds:datastoreItem xmlns:ds="http://schemas.openxmlformats.org/officeDocument/2006/customXml" ds:itemID="{DAFCED4F-D4F0-48AD-BAFF-14A3A70EB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a7c5c-3d39-4f6f-a0b2-197da2102b13"/>
    <ds:schemaRef ds:uri="a5817e60-585f-494a-8087-c20e4bfac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9C7C2-FFD0-42A3-8379-592EFD88BF9E}">
  <ds:schemaRefs>
    <ds:schemaRef ds:uri="http://schemas.openxmlformats.org/officeDocument/2006/bibliography"/>
  </ds:schemaRefs>
</ds:datastoreItem>
</file>

<file path=customXml/itemProps5.xml><?xml version="1.0" encoding="utf-8"?>
<ds:datastoreItem xmlns:ds="http://schemas.openxmlformats.org/officeDocument/2006/customXml" ds:itemID="{05DDC3C4-2292-4C4E-BF8F-969950C98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