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256" w:rsidRPr="008F0AED" w:rsidRDefault="00B27FD5" w:rsidP="00B27FD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A27AE5-2DC6-4783-BE21-FD690977F0C7" style="width:455.25pt;height:384.75pt">
            <v:imagedata r:id="rId11" o:title=""/>
          </v:shape>
        </w:pict>
      </w:r>
    </w:p>
    <w:p w:rsidR="00FE4256" w:rsidRPr="008F0AED" w:rsidRDefault="00FE4256" w:rsidP="00FE4256">
      <w:pPr>
        <w:rPr>
          <w:noProof/>
        </w:rPr>
        <w:sectPr w:rsidR="00FE4256" w:rsidRPr="008F0AED" w:rsidSect="00B27FD5">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FE4256" w:rsidRPr="008F0AED" w:rsidRDefault="00FE4256">
      <w:pPr>
        <w:pStyle w:val="Exposdesmotifstitre"/>
        <w:rPr>
          <w:noProof/>
        </w:rPr>
      </w:pPr>
      <w:bookmarkStart w:id="0" w:name="_GoBack"/>
      <w:bookmarkEnd w:id="0"/>
      <w:r w:rsidRPr="008F0AED">
        <w:rPr>
          <w:noProof/>
        </w:rPr>
        <w:lastRenderedPageBreak/>
        <w:t>RELAZIONE</w:t>
      </w:r>
    </w:p>
    <w:p w:rsidR="00FE4256" w:rsidRPr="008F0AED" w:rsidRDefault="00FE4256" w:rsidP="00D8786D">
      <w:pPr>
        <w:pStyle w:val="ManualHeading1"/>
        <w:rPr>
          <w:rFonts w:eastAsia="Arial Unicode MS"/>
          <w:noProof/>
        </w:rPr>
      </w:pPr>
      <w:r>
        <w:rPr>
          <w:noProof/>
        </w:rPr>
        <w:t>1.</w:t>
      </w:r>
      <w:r>
        <w:rPr>
          <w:noProof/>
        </w:rPr>
        <w:tab/>
      </w:r>
      <w:r w:rsidRPr="008F0AED">
        <w:rPr>
          <w:noProof/>
        </w:rPr>
        <w:t>Oggetto della proposta</w:t>
      </w:r>
    </w:p>
    <w:p w:rsidR="009413D6" w:rsidRPr="008F0AED" w:rsidRDefault="00FE4256">
      <w:pPr>
        <w:rPr>
          <w:noProof/>
          <w:szCs w:val="24"/>
        </w:rPr>
      </w:pPr>
      <w:r w:rsidRPr="008F0AED">
        <w:rPr>
          <w:noProof/>
        </w:rPr>
        <w:t>La presente proposta riguarda una modifica della decisione (UE) 2021/1765 del Consiglio</w:t>
      </w:r>
      <w:r w:rsidRPr="008F0AED">
        <w:rPr>
          <w:rStyle w:val="FootnoteReference"/>
          <w:rFonts w:eastAsia="Arial Unicode MS"/>
          <w:noProof/>
        </w:rPr>
        <w:footnoteReference w:id="1"/>
      </w:r>
      <w:r w:rsidRPr="008F0AED">
        <w:rPr>
          <w:noProof/>
        </w:rPr>
        <w:t xml:space="preserve"> relativa alla posizione che deve essere adottata a nome dell</w:t>
      </w:r>
      <w:r w:rsidR="00865CAC">
        <w:rPr>
          <w:noProof/>
        </w:rPr>
        <w:t>'</w:t>
      </w:r>
      <w:r w:rsidRPr="008F0AED">
        <w:rPr>
          <w:noProof/>
        </w:rPr>
        <w:t>Unione europea per il periodo 2021-2026 in sede di comitato specializzato per la pesca istituito dall</w:t>
      </w:r>
      <w:r w:rsidR="00865CAC">
        <w:rPr>
          <w:noProof/>
        </w:rPr>
        <w:t>'</w:t>
      </w:r>
      <w:r w:rsidRPr="008F0AED">
        <w:rPr>
          <w:noProof/>
        </w:rPr>
        <w:t>accordo sugli scambi e la cooperazione tra l</w:t>
      </w:r>
      <w:r w:rsidR="00865CAC">
        <w:rPr>
          <w:noProof/>
        </w:rPr>
        <w:t>'</w:t>
      </w:r>
      <w:r w:rsidRPr="008F0AED">
        <w:rPr>
          <w:noProof/>
        </w:rPr>
        <w:t>Unione europea e la Comunità europea dell</w:t>
      </w:r>
      <w:r w:rsidR="00865CAC">
        <w:rPr>
          <w:noProof/>
        </w:rPr>
        <w:t>'</w:t>
      </w:r>
      <w:r w:rsidRPr="008F0AED">
        <w:rPr>
          <w:noProof/>
        </w:rPr>
        <w:t>energia atomica, da una parte, e il Regno Unito di Gran Bretagna e Irlanda del Nord, dall</w:t>
      </w:r>
      <w:r w:rsidR="00865CAC">
        <w:rPr>
          <w:noProof/>
        </w:rPr>
        <w:t>'</w:t>
      </w:r>
      <w:r w:rsidRPr="008F0AED">
        <w:rPr>
          <w:noProof/>
        </w:rPr>
        <w:t>altra.</w:t>
      </w:r>
    </w:p>
    <w:p w:rsidR="00FE4256" w:rsidRPr="008F0AED" w:rsidRDefault="00C36D01">
      <w:pPr>
        <w:rPr>
          <w:rFonts w:eastAsia="Arial Unicode MS"/>
          <w:noProof/>
        </w:rPr>
      </w:pPr>
      <w:r w:rsidRPr="008F0AED">
        <w:rPr>
          <w:noProof/>
        </w:rPr>
        <w:t>La presente proposta è finalizzata a modificare la decisione (UE) 2021/1765 per prorogarne l</w:t>
      </w:r>
      <w:r w:rsidR="00865CAC">
        <w:rPr>
          <w:noProof/>
        </w:rPr>
        <w:t>'</w:t>
      </w:r>
      <w:r w:rsidRPr="008F0AED">
        <w:rPr>
          <w:noProof/>
        </w:rPr>
        <w:t>applicazione fino al 30 giugno 2038.</w:t>
      </w:r>
    </w:p>
    <w:p w:rsidR="00FE4256" w:rsidRPr="008F0AED" w:rsidRDefault="00FE4256">
      <w:pPr>
        <w:pStyle w:val="ManualHeading1"/>
        <w:rPr>
          <w:noProof/>
        </w:rPr>
      </w:pPr>
      <w:r>
        <w:rPr>
          <w:noProof/>
        </w:rPr>
        <w:t>2.</w:t>
      </w:r>
      <w:r>
        <w:rPr>
          <w:noProof/>
        </w:rPr>
        <w:tab/>
      </w:r>
      <w:r w:rsidRPr="008F0AED">
        <w:rPr>
          <w:noProof/>
        </w:rPr>
        <w:t>Contesto della proposta</w:t>
      </w:r>
    </w:p>
    <w:p w:rsidR="00FE4256" w:rsidRPr="008F0AED" w:rsidRDefault="00FE4256">
      <w:pPr>
        <w:pStyle w:val="ManualHeading2"/>
        <w:rPr>
          <w:noProof/>
        </w:rPr>
      </w:pPr>
      <w:r>
        <w:rPr>
          <w:noProof/>
        </w:rPr>
        <w:t>2.1.</w:t>
      </w:r>
      <w:r>
        <w:rPr>
          <w:noProof/>
        </w:rPr>
        <w:tab/>
      </w:r>
      <w:r w:rsidRPr="008F0AED">
        <w:rPr>
          <w:noProof/>
        </w:rPr>
        <w:t>Accordo sugli scambi commerciali e la cooperazione tra l</w:t>
      </w:r>
      <w:r w:rsidR="00865CAC">
        <w:rPr>
          <w:noProof/>
        </w:rPr>
        <w:t>'</w:t>
      </w:r>
      <w:r w:rsidRPr="008F0AED">
        <w:rPr>
          <w:noProof/>
        </w:rPr>
        <w:t>Unione europea e il Regno Unito</w:t>
      </w:r>
    </w:p>
    <w:p w:rsidR="00FE4256" w:rsidRPr="008F0AED" w:rsidRDefault="00387A3D">
      <w:pPr>
        <w:rPr>
          <w:rFonts w:eastAsia="Arial Unicode MS"/>
          <w:noProof/>
        </w:rPr>
      </w:pPr>
      <w:bookmarkStart w:id="1" w:name="_Hlk228801237"/>
      <w:r w:rsidRPr="008F0AED">
        <w:rPr>
          <w:noProof/>
        </w:rPr>
        <w:t>L</w:t>
      </w:r>
      <w:r w:rsidR="00865CAC">
        <w:rPr>
          <w:noProof/>
        </w:rPr>
        <w:t>'</w:t>
      </w:r>
      <w:r w:rsidRPr="008F0AED">
        <w:rPr>
          <w:noProof/>
        </w:rPr>
        <w:t>accordo sugli scambi e la cooperazione tra l</w:t>
      </w:r>
      <w:r w:rsidR="00865CAC">
        <w:rPr>
          <w:noProof/>
        </w:rPr>
        <w:t>'</w:t>
      </w:r>
      <w:r w:rsidRPr="008F0AED">
        <w:rPr>
          <w:noProof/>
        </w:rPr>
        <w:t>Unione europea e la Comunità europea dell</w:t>
      </w:r>
      <w:r w:rsidR="00865CAC">
        <w:rPr>
          <w:noProof/>
        </w:rPr>
        <w:t>'</w:t>
      </w:r>
      <w:r w:rsidRPr="008F0AED">
        <w:rPr>
          <w:noProof/>
        </w:rPr>
        <w:t>energia atomica, da una parte, e il Regno Unito di Gran Bretagna e Irlanda del Nord, dall</w:t>
      </w:r>
      <w:r w:rsidR="00865CAC">
        <w:rPr>
          <w:noProof/>
        </w:rPr>
        <w:t>'</w:t>
      </w:r>
      <w:r w:rsidRPr="008F0AED">
        <w:rPr>
          <w:noProof/>
        </w:rPr>
        <w:t>altra (</w:t>
      </w:r>
      <w:r w:rsidR="00865CAC">
        <w:rPr>
          <w:noProof/>
        </w:rPr>
        <w:t>"</w:t>
      </w:r>
      <w:r w:rsidRPr="008F0AED">
        <w:rPr>
          <w:noProof/>
        </w:rPr>
        <w:t>accordo sugli scambi commerciali e la cooperazione</w:t>
      </w:r>
      <w:r w:rsidR="00865CAC">
        <w:rPr>
          <w:noProof/>
        </w:rPr>
        <w:t>"</w:t>
      </w:r>
      <w:r w:rsidRPr="008F0AED">
        <w:rPr>
          <w:noProof/>
        </w:rPr>
        <w:t>)</w:t>
      </w:r>
      <w:r w:rsidRPr="008F0AED">
        <w:rPr>
          <w:rStyle w:val="FootnoteReference"/>
          <w:rFonts w:eastAsia="Arial Unicode MS"/>
          <w:noProof/>
        </w:rPr>
        <w:footnoteReference w:id="2"/>
      </w:r>
      <w:bookmarkEnd w:id="1"/>
      <w:r w:rsidRPr="008F0AED">
        <w:rPr>
          <w:noProof/>
        </w:rPr>
        <w:t xml:space="preserve"> stabilisce regimi preferenziali in settori quali gli scambi di merci e servizi, il commercio digitale, la proprietà intellettuale, gli appalti pubblici, il settore aereo e il trasporto su strada, l</w:t>
      </w:r>
      <w:r w:rsidR="00865CAC">
        <w:rPr>
          <w:noProof/>
        </w:rPr>
        <w:t>'</w:t>
      </w:r>
      <w:r w:rsidRPr="008F0AED">
        <w:rPr>
          <w:noProof/>
        </w:rPr>
        <w:t>energia, la pesca, il coordinamento della sicurezza sociale, la cooperazione delle autorità di contrasto e giudiziarie in materia penale, la cooperazione tematica e la partecipazione ai programmi dell</w:t>
      </w:r>
      <w:r w:rsidR="00865CAC">
        <w:rPr>
          <w:noProof/>
        </w:rPr>
        <w:t>'</w:t>
      </w:r>
      <w:r w:rsidRPr="008F0AED">
        <w:rPr>
          <w:noProof/>
        </w:rPr>
        <w:t>Unione. Le</w:t>
      </w:r>
      <w:r w:rsidR="00865CAC">
        <w:rPr>
          <w:noProof/>
        </w:rPr>
        <w:t> </w:t>
      </w:r>
      <w:r w:rsidRPr="008F0AED">
        <w:rPr>
          <w:noProof/>
        </w:rPr>
        <w:t>sue disposizioni mirano a garantire parità di condizioni e il rispetto dei diritti fondamentali. L</w:t>
      </w:r>
      <w:r w:rsidR="00865CAC">
        <w:rPr>
          <w:noProof/>
        </w:rPr>
        <w:t>'</w:t>
      </w:r>
      <w:r w:rsidRPr="008F0AED">
        <w:rPr>
          <w:noProof/>
        </w:rPr>
        <w:t>accordo sugli scambi e la cooperazione è stato applicato in via provvisoria dal 1°</w:t>
      </w:r>
      <w:r w:rsidR="00865CAC">
        <w:rPr>
          <w:noProof/>
        </w:rPr>
        <w:t> </w:t>
      </w:r>
      <w:r w:rsidRPr="008F0AED">
        <w:rPr>
          <w:noProof/>
        </w:rPr>
        <w:t>gennaio</w:t>
      </w:r>
      <w:r w:rsidR="00865CAC">
        <w:rPr>
          <w:noProof/>
        </w:rPr>
        <w:t> </w:t>
      </w:r>
      <w:r w:rsidRPr="008F0AED">
        <w:rPr>
          <w:noProof/>
        </w:rPr>
        <w:t>2021 ed è entrato in vigore il 1° maggio 2021.</w:t>
      </w:r>
    </w:p>
    <w:p w:rsidR="00FE4256" w:rsidRPr="008F0AED" w:rsidRDefault="00FE4256">
      <w:pPr>
        <w:pStyle w:val="ManualHeading2"/>
        <w:rPr>
          <w:noProof/>
        </w:rPr>
      </w:pPr>
      <w:r>
        <w:rPr>
          <w:noProof/>
        </w:rPr>
        <w:t>2.2.</w:t>
      </w:r>
      <w:r>
        <w:rPr>
          <w:noProof/>
        </w:rPr>
        <w:tab/>
      </w:r>
      <w:r w:rsidRPr="008F0AED">
        <w:rPr>
          <w:noProof/>
        </w:rPr>
        <w:t>Il comitato specializzato per la pesca</w:t>
      </w:r>
    </w:p>
    <w:p w:rsidR="009413D6" w:rsidRPr="008F0AED" w:rsidRDefault="009413D6" w:rsidP="009413D6">
      <w:pPr>
        <w:rPr>
          <w:noProof/>
          <w:szCs w:val="24"/>
        </w:rPr>
      </w:pPr>
      <w:r w:rsidRPr="008F0AED">
        <w:rPr>
          <w:noProof/>
        </w:rPr>
        <w:t>L</w:t>
      </w:r>
      <w:r w:rsidR="00865CAC">
        <w:rPr>
          <w:noProof/>
        </w:rPr>
        <w:t>'</w:t>
      </w:r>
      <w:r w:rsidRPr="008F0AED">
        <w:rPr>
          <w:noProof/>
        </w:rPr>
        <w:t>articolo 8, paragrafo 1, lettera q), dell</w:t>
      </w:r>
      <w:r w:rsidR="00865CAC">
        <w:rPr>
          <w:noProof/>
        </w:rPr>
        <w:t>'</w:t>
      </w:r>
      <w:r w:rsidRPr="008F0AED">
        <w:rPr>
          <w:noProof/>
        </w:rPr>
        <w:t>accordo sugli scambi e la cooperazione istituisce il comitato specializzato per la pesca. L</w:t>
      </w:r>
      <w:r w:rsidR="00865CAC">
        <w:rPr>
          <w:noProof/>
        </w:rPr>
        <w:t>'</w:t>
      </w:r>
      <w:r w:rsidRPr="008F0AED">
        <w:rPr>
          <w:noProof/>
        </w:rPr>
        <w:t>articolo 8, paragrafo 4, dell</w:t>
      </w:r>
      <w:r w:rsidR="00865CAC">
        <w:rPr>
          <w:noProof/>
        </w:rPr>
        <w:t>'</w:t>
      </w:r>
      <w:r w:rsidRPr="008F0AED">
        <w:rPr>
          <w:noProof/>
        </w:rPr>
        <w:t>accordo sugli scambi e la cooperazione stabilisce gli ambiti di competenza dei comitati specializzati e l</w:t>
      </w:r>
      <w:r w:rsidR="00865CAC">
        <w:rPr>
          <w:noProof/>
        </w:rPr>
        <w:t>'</w:t>
      </w:r>
      <w:r w:rsidRPr="008F0AED">
        <w:rPr>
          <w:noProof/>
        </w:rPr>
        <w:t>articolo 508 elenca, in modo non esaustivo, i compiti e gli ambiti di competenza del comitato specializzato per la pesca</w:t>
      </w:r>
      <w:r w:rsidR="00865CAC">
        <w:rPr>
          <w:noProof/>
        </w:rPr>
        <w:t>.</w:t>
      </w:r>
    </w:p>
    <w:p w:rsidR="009D392B" w:rsidRPr="008F0AED" w:rsidRDefault="009D392B" w:rsidP="009D392B">
      <w:pPr>
        <w:rPr>
          <w:noProof/>
        </w:rPr>
      </w:pPr>
      <w:r w:rsidRPr="008F0AED">
        <w:rPr>
          <w:noProof/>
        </w:rPr>
        <w:t>Il 5 ottobre 2021 il Consiglio ha adottato la decisione (UE) 2021/1765, che stabilisce la posizione che deve essere adottata a nome dell</w:t>
      </w:r>
      <w:r w:rsidR="00865CAC">
        <w:rPr>
          <w:noProof/>
        </w:rPr>
        <w:t>'</w:t>
      </w:r>
      <w:r w:rsidRPr="008F0AED">
        <w:rPr>
          <w:noProof/>
        </w:rPr>
        <w:t>Unione in sede di comitato specializzato per la pesca.</w:t>
      </w:r>
    </w:p>
    <w:p w:rsidR="006442B3" w:rsidRPr="008F0AED" w:rsidRDefault="009D392B" w:rsidP="00237D51">
      <w:pPr>
        <w:rPr>
          <w:noProof/>
        </w:rPr>
      </w:pPr>
      <w:r w:rsidRPr="008F0AED">
        <w:rPr>
          <w:noProof/>
        </w:rPr>
        <w:t xml:space="preserve">La decisione (UE) 2021/1765 </w:t>
      </w:r>
      <w:bookmarkStart w:id="2" w:name="_Hlk223970372"/>
      <w:r w:rsidRPr="008F0AED">
        <w:rPr>
          <w:noProof/>
        </w:rPr>
        <w:t>è stata riesaminata nel luglio 2023 dalla Commissione e dal Consiglio al fine di valutare se la decisione</w:t>
      </w:r>
      <w:r w:rsidRPr="008F0AED">
        <w:rPr>
          <w:rStyle w:val="normaltextrun"/>
          <w:noProof/>
        </w:rPr>
        <w:t xml:space="preserve"> fosse stata messa in atto a tale data e se</w:t>
      </w:r>
      <w:r w:rsidRPr="008F0AED">
        <w:rPr>
          <w:noProof/>
        </w:rPr>
        <w:t xml:space="preserve"> le </w:t>
      </w:r>
      <w:r w:rsidRPr="008F0AED">
        <w:rPr>
          <w:rStyle w:val="normaltextrun"/>
          <w:noProof/>
        </w:rPr>
        <w:t>consultazioni</w:t>
      </w:r>
      <w:bookmarkEnd w:id="2"/>
      <w:r w:rsidRPr="008F0AED">
        <w:rPr>
          <w:rStyle w:val="normaltextrun"/>
          <w:noProof/>
        </w:rPr>
        <w:t xml:space="preserve"> e le riunioni svolte nell</w:t>
      </w:r>
      <w:r w:rsidR="00865CAC">
        <w:rPr>
          <w:rStyle w:val="normaltextrun"/>
          <w:noProof/>
        </w:rPr>
        <w:t>'</w:t>
      </w:r>
      <w:r w:rsidRPr="008F0AED">
        <w:rPr>
          <w:rStyle w:val="normaltextrun"/>
          <w:noProof/>
        </w:rPr>
        <w:t xml:space="preserve">ambito del comitato specializzato per la pesca fossero state condotte in linea con i principi e gli orientamenti stabiliti a norma della </w:t>
      </w:r>
      <w:r w:rsidRPr="008F0AED">
        <w:rPr>
          <w:noProof/>
        </w:rPr>
        <w:t>decisione (UE)</w:t>
      </w:r>
      <w:r w:rsidR="00865CAC">
        <w:rPr>
          <w:noProof/>
        </w:rPr>
        <w:t> </w:t>
      </w:r>
      <w:r w:rsidRPr="008F0AED">
        <w:rPr>
          <w:noProof/>
        </w:rPr>
        <w:t>2021/1765</w:t>
      </w:r>
      <w:r w:rsidRPr="008F0AED">
        <w:rPr>
          <w:rStyle w:val="normaltextrun"/>
          <w:noProof/>
        </w:rPr>
        <w:t xml:space="preserve">. </w:t>
      </w:r>
      <w:bookmarkStart w:id="3" w:name="_Hlk223970395"/>
      <w:r w:rsidRPr="008F0AED">
        <w:rPr>
          <w:rStyle w:val="normaltextrun"/>
          <w:noProof/>
        </w:rPr>
        <w:t>Il riesame ha stabilito che non era necessaria una revisione</w:t>
      </w:r>
      <w:r w:rsidRPr="008F0AED">
        <w:rPr>
          <w:noProof/>
        </w:rPr>
        <w:t xml:space="preserve"> e che da allora non sono stati individuati problemi di attuazione.</w:t>
      </w:r>
      <w:bookmarkEnd w:id="3"/>
    </w:p>
    <w:p w:rsidR="009D392B" w:rsidRPr="008F0AED" w:rsidRDefault="00CA6AD4" w:rsidP="009413D6">
      <w:pPr>
        <w:rPr>
          <w:rFonts w:eastAsia="Arial Unicode MS"/>
          <w:noProof/>
        </w:rPr>
      </w:pPr>
      <w:r w:rsidRPr="008F0AED">
        <w:rPr>
          <w:noProof/>
        </w:rPr>
        <w:lastRenderedPageBreak/>
        <w:t xml:space="preserve">Le discussioni in seno al </w:t>
      </w:r>
      <w:r w:rsidRPr="008F0AED">
        <w:rPr>
          <w:rStyle w:val="normaltextrun"/>
          <w:noProof/>
        </w:rPr>
        <w:t>comitato specializzato per la pesca e al relativo gruppo di lavoro sono condotte in linea con i principi e gli orientamenti delineati</w:t>
      </w:r>
      <w:r w:rsidRPr="008F0AED">
        <w:rPr>
          <w:noProof/>
        </w:rPr>
        <w:t xml:space="preserve"> nella decisione (UE)</w:t>
      </w:r>
      <w:r w:rsidR="00865CAC">
        <w:rPr>
          <w:noProof/>
        </w:rPr>
        <w:t> </w:t>
      </w:r>
      <w:r w:rsidRPr="008F0AED">
        <w:rPr>
          <w:noProof/>
        </w:rPr>
        <w:t xml:space="preserve">2021/1765. La preparazione </w:t>
      </w:r>
      <w:r w:rsidRPr="008F0AED">
        <w:rPr>
          <w:rStyle w:val="normaltextrun"/>
          <w:noProof/>
        </w:rPr>
        <w:t xml:space="preserve">delle riunioni del comitato specializzato per la pesca e del relativo gruppo di lavoro si svolge in sede di gruppo </w:t>
      </w:r>
      <w:r w:rsidR="00865CAC">
        <w:rPr>
          <w:rStyle w:val="normaltextrun"/>
          <w:noProof/>
        </w:rPr>
        <w:t>"</w:t>
      </w:r>
      <w:r w:rsidRPr="008F0AED">
        <w:rPr>
          <w:rStyle w:val="normaltextrun"/>
          <w:noProof/>
        </w:rPr>
        <w:t>Regno Unito</w:t>
      </w:r>
      <w:r w:rsidR="00865CAC">
        <w:rPr>
          <w:rStyle w:val="normaltextrun"/>
          <w:noProof/>
        </w:rPr>
        <w:t>"</w:t>
      </w:r>
      <w:r w:rsidRPr="008F0AED">
        <w:rPr>
          <w:rStyle w:val="normaltextrun"/>
          <w:noProof/>
        </w:rPr>
        <w:t xml:space="preserve"> del Consiglio sulla base di documenti informali dei servizi della Commissione che specificano ulteriormente la proposta di posizione dell</w:t>
      </w:r>
      <w:r w:rsidR="00865CAC">
        <w:rPr>
          <w:rStyle w:val="normaltextrun"/>
          <w:noProof/>
        </w:rPr>
        <w:t>'</w:t>
      </w:r>
      <w:r w:rsidRPr="008F0AED">
        <w:rPr>
          <w:rStyle w:val="normaltextrun"/>
          <w:noProof/>
        </w:rPr>
        <w:t>UE che deve essere adottata in tali consessi in linea con il processo istituito a norma dell</w:t>
      </w:r>
      <w:r w:rsidR="00865CAC">
        <w:rPr>
          <w:rStyle w:val="normaltextrun"/>
          <w:noProof/>
        </w:rPr>
        <w:t>'</w:t>
      </w:r>
      <w:r w:rsidRPr="008F0AED">
        <w:rPr>
          <w:rStyle w:val="normaltextrun"/>
          <w:noProof/>
        </w:rPr>
        <w:t>allegato III</w:t>
      </w:r>
      <w:r w:rsidRPr="008F0AED">
        <w:rPr>
          <w:noProof/>
        </w:rPr>
        <w:t xml:space="preserve"> della decisione (UE) 2021/1765</w:t>
      </w:r>
      <w:bookmarkStart w:id="4" w:name="_Hlk230005202"/>
      <w:r w:rsidRPr="008F0AED">
        <w:rPr>
          <w:rStyle w:val="normaltextrun"/>
          <w:noProof/>
        </w:rPr>
        <w:t xml:space="preserve">. </w:t>
      </w:r>
      <w:bookmarkEnd w:id="4"/>
      <w:r w:rsidRPr="008F0AED">
        <w:rPr>
          <w:noProof/>
        </w:rPr>
        <w:t>Nel complesso, si ritiene che la decisione (UE) 2021/1765 sia ancora idonea allo scopo e non richieda alcuna revisione in questa fase.</w:t>
      </w:r>
    </w:p>
    <w:p w:rsidR="00FE4256" w:rsidRPr="008F0AED" w:rsidRDefault="00FE4256">
      <w:pPr>
        <w:pStyle w:val="ManualHeading2"/>
        <w:rPr>
          <w:noProof/>
        </w:rPr>
      </w:pPr>
      <w:r>
        <w:rPr>
          <w:noProof/>
        </w:rPr>
        <w:t>2.3.</w:t>
      </w:r>
      <w:r>
        <w:rPr>
          <w:noProof/>
        </w:rPr>
        <w:tab/>
      </w:r>
      <w:r w:rsidRPr="008F0AED">
        <w:rPr>
          <w:noProof/>
        </w:rPr>
        <w:t>Gli atti previsti del comitato specializzato per la pesca</w:t>
      </w:r>
    </w:p>
    <w:p w:rsidR="00925FF3" w:rsidRPr="008F0AED" w:rsidRDefault="00925FF3">
      <w:pPr>
        <w:rPr>
          <w:rFonts w:eastAsia="Arial Unicode MS"/>
          <w:noProof/>
        </w:rPr>
      </w:pPr>
      <w:r w:rsidRPr="008F0AED">
        <w:rPr>
          <w:noProof/>
        </w:rPr>
        <w:t>A norma dell</w:t>
      </w:r>
      <w:r w:rsidR="00865CAC">
        <w:rPr>
          <w:noProof/>
        </w:rPr>
        <w:t>'</w:t>
      </w:r>
      <w:r w:rsidRPr="008F0AED">
        <w:rPr>
          <w:noProof/>
        </w:rPr>
        <w:t>articolo 508, paragrafo 2, dell</w:t>
      </w:r>
      <w:r w:rsidR="00865CAC">
        <w:rPr>
          <w:noProof/>
        </w:rPr>
        <w:t>'</w:t>
      </w:r>
      <w:r w:rsidRPr="008F0AED">
        <w:rPr>
          <w:noProof/>
        </w:rPr>
        <w:t xml:space="preserve">accordo sugli scambi e la cooperazione, il comitato specializzato può adottare misure, comprese decisioni e raccomandazioni: </w:t>
      </w:r>
    </w:p>
    <w:p w:rsidR="00925FF3" w:rsidRPr="008F0AED" w:rsidRDefault="00925FF3" w:rsidP="0076049A">
      <w:pPr>
        <w:pStyle w:val="Bullet0"/>
        <w:numPr>
          <w:ilvl w:val="0"/>
          <w:numId w:val="6"/>
        </w:numPr>
        <w:rPr>
          <w:noProof/>
        </w:rPr>
      </w:pPr>
      <w:r w:rsidRPr="008F0AED">
        <w:rPr>
          <w:noProof/>
        </w:rPr>
        <w:t>registrando le questioni concordate dalle parti a seguito delle consultazioni di cui all</w:t>
      </w:r>
      <w:r w:rsidR="00865CAC">
        <w:rPr>
          <w:noProof/>
        </w:rPr>
        <w:t>'</w:t>
      </w:r>
      <w:r w:rsidRPr="008F0AED">
        <w:rPr>
          <w:noProof/>
        </w:rPr>
        <w:t>articolo 498 dell</w:t>
      </w:r>
      <w:r w:rsidR="00865CAC">
        <w:rPr>
          <w:noProof/>
        </w:rPr>
        <w:t>'</w:t>
      </w:r>
      <w:r w:rsidRPr="008F0AED">
        <w:rPr>
          <w:noProof/>
        </w:rPr>
        <w:t>accordo sugli scambi e la cooperazione;</w:t>
      </w:r>
    </w:p>
    <w:p w:rsidR="00925FF3" w:rsidRPr="008F0AED" w:rsidRDefault="00925FF3" w:rsidP="0007014E">
      <w:pPr>
        <w:pStyle w:val="Bullet0"/>
        <w:rPr>
          <w:noProof/>
        </w:rPr>
      </w:pPr>
      <w:r w:rsidRPr="008F0AED">
        <w:rPr>
          <w:noProof/>
        </w:rPr>
        <w:t>in relazione alle materie di cui al paragrafo 1, lettere b), c), d), e), f), g), i), j), l), m) e n) dell</w:t>
      </w:r>
      <w:r w:rsidR="00865CAC">
        <w:rPr>
          <w:noProof/>
        </w:rPr>
        <w:t>'</w:t>
      </w:r>
      <w:r w:rsidRPr="008F0AED">
        <w:rPr>
          <w:noProof/>
        </w:rPr>
        <w:t>articolo 508 dell</w:t>
      </w:r>
      <w:r w:rsidR="00865CAC">
        <w:rPr>
          <w:noProof/>
        </w:rPr>
        <w:t>'</w:t>
      </w:r>
      <w:r w:rsidRPr="008F0AED">
        <w:rPr>
          <w:noProof/>
        </w:rPr>
        <w:t xml:space="preserve">accordo sugli scambi e la cooperazione; </w:t>
      </w:r>
    </w:p>
    <w:p w:rsidR="00925FF3" w:rsidRPr="008F0AED" w:rsidRDefault="00925FF3" w:rsidP="0007014E">
      <w:pPr>
        <w:pStyle w:val="Bullet0"/>
        <w:rPr>
          <w:noProof/>
        </w:rPr>
      </w:pPr>
      <w:r w:rsidRPr="008F0AED">
        <w:rPr>
          <w:noProof/>
        </w:rPr>
        <w:t>modificando l</w:t>
      </w:r>
      <w:r w:rsidR="00865CAC">
        <w:rPr>
          <w:noProof/>
        </w:rPr>
        <w:t>'</w:t>
      </w:r>
      <w:r w:rsidRPr="008F0AED">
        <w:rPr>
          <w:noProof/>
        </w:rPr>
        <w:t>elenco degli obblighi internazionali preesistenti di cui all</w:t>
      </w:r>
      <w:r w:rsidR="00865CAC">
        <w:rPr>
          <w:noProof/>
        </w:rPr>
        <w:t>'</w:t>
      </w:r>
      <w:r w:rsidRPr="008F0AED">
        <w:rPr>
          <w:noProof/>
        </w:rPr>
        <w:t>articolo 496, paragrafo 2, dell</w:t>
      </w:r>
      <w:r w:rsidR="00865CAC">
        <w:rPr>
          <w:noProof/>
        </w:rPr>
        <w:t>'</w:t>
      </w:r>
      <w:r w:rsidRPr="008F0AED">
        <w:rPr>
          <w:noProof/>
        </w:rPr>
        <w:t>accordo sugli scambi e la cooperazione;</w:t>
      </w:r>
    </w:p>
    <w:p w:rsidR="00925FF3" w:rsidRPr="008F0AED" w:rsidRDefault="00925FF3" w:rsidP="0007014E">
      <w:pPr>
        <w:pStyle w:val="Bullet0"/>
        <w:rPr>
          <w:noProof/>
        </w:rPr>
      </w:pPr>
      <w:r w:rsidRPr="008F0AED">
        <w:rPr>
          <w:noProof/>
        </w:rPr>
        <w:t>in relazione a qualsiasi altro aspetto della cooperazione in materia di gestione sostenibile della pesca nell</w:t>
      </w:r>
      <w:r w:rsidR="00865CAC">
        <w:rPr>
          <w:noProof/>
        </w:rPr>
        <w:t>'</w:t>
      </w:r>
      <w:r w:rsidRPr="008F0AED">
        <w:rPr>
          <w:noProof/>
        </w:rPr>
        <w:t>ambito della rubrica sulla pesca dell</w:t>
      </w:r>
      <w:r w:rsidR="00865CAC">
        <w:rPr>
          <w:noProof/>
        </w:rPr>
        <w:t>'</w:t>
      </w:r>
      <w:r w:rsidRPr="008F0AED">
        <w:rPr>
          <w:noProof/>
        </w:rPr>
        <w:t>accordo sugli scambi e la cooperazione; e</w:t>
      </w:r>
    </w:p>
    <w:p w:rsidR="00925FF3" w:rsidRPr="008F0AED" w:rsidRDefault="00925FF3" w:rsidP="0007014E">
      <w:pPr>
        <w:pStyle w:val="Bullet0"/>
        <w:rPr>
          <w:noProof/>
        </w:rPr>
      </w:pPr>
      <w:r w:rsidRPr="008F0AED">
        <w:rPr>
          <w:noProof/>
        </w:rPr>
        <w:t>sulle modalità di un riesame a norma dell</w:t>
      </w:r>
      <w:r w:rsidR="00865CAC">
        <w:rPr>
          <w:noProof/>
        </w:rPr>
        <w:t>'</w:t>
      </w:r>
      <w:r w:rsidRPr="008F0AED">
        <w:rPr>
          <w:noProof/>
        </w:rPr>
        <w:t>articolo 510 dell</w:t>
      </w:r>
      <w:r w:rsidR="00865CAC">
        <w:rPr>
          <w:noProof/>
        </w:rPr>
        <w:t>'</w:t>
      </w:r>
      <w:r w:rsidRPr="008F0AED">
        <w:rPr>
          <w:noProof/>
        </w:rPr>
        <w:t>accordo sugli scambi e la cooperazione.</w:t>
      </w:r>
    </w:p>
    <w:p w:rsidR="00FE4256" w:rsidRPr="008F0AED" w:rsidRDefault="00CC57AE">
      <w:pPr>
        <w:rPr>
          <w:noProof/>
        </w:rPr>
      </w:pPr>
      <w:r w:rsidRPr="008F0AED">
        <w:rPr>
          <w:noProof/>
        </w:rPr>
        <w:t>L</w:t>
      </w:r>
      <w:r w:rsidR="00865CAC">
        <w:rPr>
          <w:noProof/>
        </w:rPr>
        <w:t>'</w:t>
      </w:r>
      <w:r w:rsidRPr="008F0AED">
        <w:rPr>
          <w:noProof/>
        </w:rPr>
        <w:t>allegato II della decisione (UE) 2021/1765 stabilisce in dettaglio le azioni che l</w:t>
      </w:r>
      <w:r w:rsidR="00865CAC">
        <w:rPr>
          <w:noProof/>
        </w:rPr>
        <w:t>'</w:t>
      </w:r>
      <w:r w:rsidRPr="008F0AED">
        <w:rPr>
          <w:noProof/>
        </w:rPr>
        <w:t>Unione deve intraprendere per quanto riguarda le competenze del comitato specializzato per la pesca, al fine di stabilire la posizione che deve essere adottata a nome dell</w:t>
      </w:r>
      <w:r w:rsidR="00865CAC">
        <w:rPr>
          <w:noProof/>
        </w:rPr>
        <w:t>'</w:t>
      </w:r>
      <w:r w:rsidRPr="008F0AED">
        <w:rPr>
          <w:noProof/>
        </w:rPr>
        <w:t>Unione in sede di comitato specializzato per la pesca nell</w:t>
      </w:r>
      <w:r w:rsidR="00865CAC">
        <w:rPr>
          <w:noProof/>
        </w:rPr>
        <w:t>'</w:t>
      </w:r>
      <w:r w:rsidRPr="008F0AED">
        <w:rPr>
          <w:noProof/>
        </w:rPr>
        <w:t>ambito dell</w:t>
      </w:r>
      <w:r w:rsidR="00865CAC">
        <w:rPr>
          <w:noProof/>
        </w:rPr>
        <w:t>'</w:t>
      </w:r>
      <w:r w:rsidRPr="008F0AED">
        <w:rPr>
          <w:noProof/>
        </w:rPr>
        <w:t>accordo sugli scambi commerciali e la cooperazione per quanto riguarda gli atti del comitato specializzato per la pesca aventi effetti giuridici.</w:t>
      </w:r>
    </w:p>
    <w:p w:rsidR="00A903CC" w:rsidRPr="008F0AED" w:rsidRDefault="00A903CC">
      <w:pPr>
        <w:rPr>
          <w:rFonts w:eastAsia="Arial Unicode MS"/>
          <w:noProof/>
        </w:rPr>
      </w:pPr>
      <w:r w:rsidRPr="008F0AED">
        <w:rPr>
          <w:noProof/>
        </w:rPr>
        <w:t>A titolo di esempio, dal 2023 il comitato specializzato per la pesca ha adottato le decisioni e/o raccomandazioni seguenti, a norma dell</w:t>
      </w:r>
      <w:r w:rsidR="00865CAC">
        <w:rPr>
          <w:noProof/>
        </w:rPr>
        <w:t>'</w:t>
      </w:r>
      <w:r w:rsidRPr="008F0AED">
        <w:rPr>
          <w:noProof/>
        </w:rPr>
        <w:t>articolo 508, paragrafo 2, dell</w:t>
      </w:r>
      <w:r w:rsidR="00865CAC">
        <w:rPr>
          <w:noProof/>
        </w:rPr>
        <w:t>'</w:t>
      </w:r>
      <w:r w:rsidRPr="008F0AED">
        <w:rPr>
          <w:noProof/>
        </w:rPr>
        <w:t>accordo sugli scambi commerciali e la cooperazione e in linea con la decisione (UE) 2021/1765:</w:t>
      </w:r>
    </w:p>
    <w:p w:rsidR="00A903CC" w:rsidRPr="008F0AED" w:rsidRDefault="00A903CC" w:rsidP="0007014E">
      <w:pPr>
        <w:pStyle w:val="Bullet0"/>
        <w:rPr>
          <w:noProof/>
        </w:rPr>
      </w:pPr>
      <w:r w:rsidRPr="008F0AED">
        <w:rPr>
          <w:noProof/>
        </w:rPr>
        <w:t>decisione 1/2023, del 24 luglio 2023, per quanto riguarda il meccanismo per il trasferimento volontario, nel corso dell</w:t>
      </w:r>
      <w:r w:rsidR="00865CAC">
        <w:rPr>
          <w:noProof/>
        </w:rPr>
        <w:t>'</w:t>
      </w:r>
      <w:r w:rsidRPr="008F0AED">
        <w:rPr>
          <w:noProof/>
        </w:rPr>
        <w:t>anno, delle possibilità di pesca;</w:t>
      </w:r>
    </w:p>
    <w:p w:rsidR="00A903CC" w:rsidRPr="008F0AED" w:rsidRDefault="00A903CC" w:rsidP="0007014E">
      <w:pPr>
        <w:pStyle w:val="Bullet0"/>
        <w:rPr>
          <w:noProof/>
        </w:rPr>
      </w:pPr>
      <w:r w:rsidRPr="008F0AED">
        <w:rPr>
          <w:noProof/>
        </w:rPr>
        <w:t>raccomandazione 1/2023, del 24 luglio 2023, per quanto riguarda gli orientamenti per le notifiche a norma dell</w:t>
      </w:r>
      <w:r w:rsidR="00865CAC">
        <w:rPr>
          <w:noProof/>
        </w:rPr>
        <w:t>'</w:t>
      </w:r>
      <w:r w:rsidRPr="008F0AED">
        <w:rPr>
          <w:noProof/>
        </w:rPr>
        <w:t>articolo 496, paragrafo 3, dell</w:t>
      </w:r>
      <w:r w:rsidR="00865CAC">
        <w:rPr>
          <w:noProof/>
        </w:rPr>
        <w:t>'</w:t>
      </w:r>
      <w:r w:rsidRPr="008F0AED">
        <w:rPr>
          <w:noProof/>
        </w:rPr>
        <w:t>accordo;</w:t>
      </w:r>
    </w:p>
    <w:p w:rsidR="00A903CC" w:rsidRPr="008F0AED" w:rsidRDefault="00A903CC" w:rsidP="0007014E">
      <w:pPr>
        <w:pStyle w:val="Bullet0"/>
        <w:rPr>
          <w:noProof/>
        </w:rPr>
      </w:pPr>
      <w:r w:rsidRPr="008F0AED">
        <w:rPr>
          <w:noProof/>
        </w:rPr>
        <w:t>raccomandazione 2/2023, del 24 luglio 2023, per quanto riguarda l</w:t>
      </w:r>
      <w:r w:rsidR="00865CAC">
        <w:rPr>
          <w:noProof/>
        </w:rPr>
        <w:t>'</w:t>
      </w:r>
      <w:r w:rsidRPr="008F0AED">
        <w:rPr>
          <w:noProof/>
        </w:rPr>
        <w:t>allineamento delle zone di gestione della limanda, della passera lingua di cane, del rombo chiodato e del rombo liscio;</w:t>
      </w:r>
    </w:p>
    <w:p w:rsidR="008B4F40" w:rsidRPr="008F0AED" w:rsidRDefault="002F0B9C" w:rsidP="008B4F40">
      <w:pPr>
        <w:pStyle w:val="Bullet0"/>
        <w:rPr>
          <w:noProof/>
        </w:rPr>
      </w:pPr>
      <w:r w:rsidRPr="008F0AED">
        <w:rPr>
          <w:noProof/>
        </w:rPr>
        <w:t>decisione 1/2025 del 19 giugno 2025, per quanto riguarda le disposizioni sul livello e le condizioni dell</w:t>
      </w:r>
      <w:r w:rsidR="00865CAC">
        <w:rPr>
          <w:noProof/>
        </w:rPr>
        <w:t>'</w:t>
      </w:r>
      <w:r w:rsidRPr="008F0AED">
        <w:rPr>
          <w:noProof/>
        </w:rPr>
        <w:t>accesso concesso da una parte alle navi dell</w:t>
      </w:r>
      <w:r w:rsidR="00865CAC">
        <w:rPr>
          <w:noProof/>
        </w:rPr>
        <w:t>'</w:t>
      </w:r>
      <w:r w:rsidRPr="008F0AED">
        <w:rPr>
          <w:noProof/>
        </w:rPr>
        <w:t>altra parte per svolgere attività di pesca nelle proprie acque dal 1° luglio 2026 al 30 giugno 2038;</w:t>
      </w:r>
    </w:p>
    <w:p w:rsidR="00D74ADE" w:rsidRPr="008F0AED" w:rsidRDefault="00D74ADE" w:rsidP="008B4F40">
      <w:pPr>
        <w:pStyle w:val="Bullet0"/>
        <w:rPr>
          <w:noProof/>
        </w:rPr>
      </w:pPr>
      <w:r w:rsidRPr="008F0AED">
        <w:rPr>
          <w:noProof/>
        </w:rPr>
        <w:t>raccomandazione 1/2026, del 22 aprile 2026, per quanto riguarda un accordo congiunto UE-Regno Unito in materia di monitoraggio, controllo e sorveglianza.</w:t>
      </w:r>
    </w:p>
    <w:p w:rsidR="00FE4256" w:rsidRPr="008F0AED" w:rsidRDefault="00FE4256" w:rsidP="00FE4256">
      <w:pPr>
        <w:pStyle w:val="ManualHeading1"/>
        <w:rPr>
          <w:rFonts w:eastAsia="Arial Unicode MS"/>
          <w:noProof/>
        </w:rPr>
      </w:pPr>
      <w:r>
        <w:rPr>
          <w:noProof/>
        </w:rPr>
        <w:lastRenderedPageBreak/>
        <w:t>3.</w:t>
      </w:r>
      <w:r>
        <w:rPr>
          <w:noProof/>
        </w:rPr>
        <w:tab/>
      </w:r>
      <w:r w:rsidRPr="008F0AED">
        <w:rPr>
          <w:noProof/>
        </w:rPr>
        <w:t>La posizione da adottare a nome dell</w:t>
      </w:r>
      <w:r w:rsidR="00865CAC">
        <w:rPr>
          <w:noProof/>
        </w:rPr>
        <w:t>'</w:t>
      </w:r>
      <w:r w:rsidRPr="008F0AED">
        <w:rPr>
          <w:noProof/>
        </w:rPr>
        <w:t>Unione</w:t>
      </w:r>
    </w:p>
    <w:p w:rsidR="00FE4256" w:rsidRPr="008F0AED" w:rsidRDefault="00BA7AFD">
      <w:pPr>
        <w:rPr>
          <w:noProof/>
        </w:rPr>
      </w:pPr>
      <w:bookmarkStart w:id="5" w:name="_Hlk223970896"/>
      <w:r w:rsidRPr="008F0AED">
        <w:rPr>
          <w:noProof/>
        </w:rPr>
        <w:t>A norma dell</w:t>
      </w:r>
      <w:r w:rsidR="00865CAC">
        <w:rPr>
          <w:noProof/>
        </w:rPr>
        <w:t>'</w:t>
      </w:r>
      <w:r w:rsidRPr="008F0AED">
        <w:rPr>
          <w:noProof/>
        </w:rPr>
        <w:t>articolo 218, paragrafo 9, del trattato sul funzionamento dell</w:t>
      </w:r>
      <w:r w:rsidR="00865CAC">
        <w:rPr>
          <w:noProof/>
        </w:rPr>
        <w:t>'</w:t>
      </w:r>
      <w:r w:rsidRPr="008F0AED">
        <w:rPr>
          <w:noProof/>
        </w:rPr>
        <w:t>Unione europea (TFUE) il Consiglio adotta su proposta della Commissione le posizioni da adottare a nome dell</w:t>
      </w:r>
      <w:r w:rsidR="00865CAC">
        <w:rPr>
          <w:noProof/>
        </w:rPr>
        <w:t>'</w:t>
      </w:r>
      <w:r w:rsidRPr="008F0AED">
        <w:rPr>
          <w:noProof/>
        </w:rPr>
        <w:t>Unione in un organo istituito da un accordo, se tale organo deve adottare atti che hanno effetti giuridici, fatta eccezione per gli atti che integrano o modificano il quadro istituzionale dell</w:t>
      </w:r>
      <w:r w:rsidR="00865CAC">
        <w:rPr>
          <w:noProof/>
        </w:rPr>
        <w:t>'</w:t>
      </w:r>
      <w:r w:rsidRPr="008F0AED">
        <w:rPr>
          <w:noProof/>
        </w:rPr>
        <w:t xml:space="preserve">accordo. </w:t>
      </w:r>
      <w:r w:rsidR="008F0AED" w:rsidRPr="008F0AED">
        <w:rPr>
          <w:noProof/>
        </w:rPr>
        <w:t>Pertanto,</w:t>
      </w:r>
      <w:r w:rsidRPr="008F0AED">
        <w:rPr>
          <w:noProof/>
        </w:rPr>
        <w:t xml:space="preserve"> le posizioni da adottare a nome dell</w:t>
      </w:r>
      <w:r w:rsidR="00865CAC">
        <w:rPr>
          <w:noProof/>
        </w:rPr>
        <w:t>'</w:t>
      </w:r>
      <w:r w:rsidRPr="008F0AED">
        <w:rPr>
          <w:noProof/>
        </w:rPr>
        <w:t>Unione in sede di comitato specializzato della pesca</w:t>
      </w:r>
      <w:bookmarkEnd w:id="5"/>
      <w:r w:rsidRPr="008F0AED">
        <w:rPr>
          <w:noProof/>
        </w:rPr>
        <w:t xml:space="preserve"> in relazione alle decisioni adottate a norma dell</w:t>
      </w:r>
      <w:r w:rsidR="00865CAC">
        <w:rPr>
          <w:noProof/>
        </w:rPr>
        <w:t>'</w:t>
      </w:r>
      <w:r w:rsidRPr="008F0AED">
        <w:rPr>
          <w:noProof/>
        </w:rPr>
        <w:t>articolo 508, paragrafo 2, dell</w:t>
      </w:r>
      <w:r w:rsidR="00865CAC">
        <w:rPr>
          <w:noProof/>
        </w:rPr>
        <w:t>'</w:t>
      </w:r>
      <w:r w:rsidRPr="008F0AED">
        <w:rPr>
          <w:noProof/>
        </w:rPr>
        <w:t>accordo sugli scambi commerciali e la cooperazione sono adottate conformemente all</w:t>
      </w:r>
      <w:r w:rsidR="00865CAC">
        <w:rPr>
          <w:noProof/>
        </w:rPr>
        <w:t>'</w:t>
      </w:r>
      <w:r w:rsidRPr="008F0AED">
        <w:rPr>
          <w:noProof/>
        </w:rPr>
        <w:t xml:space="preserve">articolo 218, paragrafo 9, TFUE </w:t>
      </w:r>
    </w:p>
    <w:p w:rsidR="00BA7AFD" w:rsidRPr="008F0AED" w:rsidRDefault="00BA7AFD">
      <w:pPr>
        <w:rPr>
          <w:noProof/>
        </w:rPr>
      </w:pPr>
      <w:bookmarkStart w:id="6" w:name="_Hlk223970946"/>
      <w:r w:rsidRPr="008F0AED">
        <w:rPr>
          <w:noProof/>
        </w:rPr>
        <w:t>La decisione (UE) 2021/1765 ha istituito</w:t>
      </w:r>
      <w:bookmarkEnd w:id="6"/>
      <w:r w:rsidRPr="008F0AED">
        <w:rPr>
          <w:noProof/>
        </w:rPr>
        <w:t xml:space="preserve"> un approccio a due livelli per stabilire la posizione che deve essere adottata a nome dell</w:t>
      </w:r>
      <w:r w:rsidR="00865CAC">
        <w:rPr>
          <w:noProof/>
        </w:rPr>
        <w:t>'</w:t>
      </w:r>
      <w:r w:rsidRPr="008F0AED">
        <w:rPr>
          <w:noProof/>
        </w:rPr>
        <w:t xml:space="preserve">Unione in sede di comitato specializzato per la pesca. </w:t>
      </w:r>
      <w:r w:rsidR="008F0AED" w:rsidRPr="008F0AED">
        <w:rPr>
          <w:noProof/>
        </w:rPr>
        <w:t>In</w:t>
      </w:r>
      <w:r w:rsidR="00865CAC">
        <w:rPr>
          <w:noProof/>
        </w:rPr>
        <w:t> </w:t>
      </w:r>
      <w:r w:rsidR="008F0AED" w:rsidRPr="008F0AED">
        <w:rPr>
          <w:noProof/>
        </w:rPr>
        <w:t>primo luogo,</w:t>
      </w:r>
      <w:r w:rsidRPr="008F0AED">
        <w:rPr>
          <w:noProof/>
        </w:rPr>
        <w:t xml:space="preserve"> gli allegati I e II della decisione (UE) 2021/1765 stabiliscono i principi e gli orientamenti da integrare nella posizione che deve essere adottata a nome dell</w:t>
      </w:r>
      <w:r w:rsidR="00865CAC">
        <w:rPr>
          <w:noProof/>
        </w:rPr>
        <w:t>'</w:t>
      </w:r>
      <w:r w:rsidRPr="008F0AED">
        <w:rPr>
          <w:noProof/>
        </w:rPr>
        <w:t xml:space="preserve">Unione. </w:t>
      </w:r>
      <w:r w:rsidR="008F0AED" w:rsidRPr="008F0AED">
        <w:rPr>
          <w:noProof/>
        </w:rPr>
        <w:t>In</w:t>
      </w:r>
      <w:r w:rsidR="00865CAC">
        <w:rPr>
          <w:noProof/>
        </w:rPr>
        <w:t> </w:t>
      </w:r>
      <w:r w:rsidR="008F0AED" w:rsidRPr="008F0AED">
        <w:rPr>
          <w:noProof/>
        </w:rPr>
        <w:t>secondo luogo,</w:t>
      </w:r>
      <w:r w:rsidRPr="008F0AED">
        <w:rPr>
          <w:noProof/>
        </w:rPr>
        <w:t xml:space="preserve"> per ogni riunione in cui il comitato specializzato per la pesca è chiamato </w:t>
      </w:r>
      <w:r w:rsidR="008F0AED" w:rsidRPr="008F0AED">
        <w:rPr>
          <w:noProof/>
        </w:rPr>
        <w:t>a</w:t>
      </w:r>
      <w:r w:rsidRPr="008F0AED">
        <w:rPr>
          <w:noProof/>
        </w:rPr>
        <w:t xml:space="preserve"> adottare atti o misure che hanno effetti giuridici, la posizione deve essere integrata da </w:t>
      </w:r>
      <w:r w:rsidR="00865CAC">
        <w:rPr>
          <w:noProof/>
        </w:rPr>
        <w:t>"</w:t>
      </w:r>
      <w:r w:rsidRPr="008F0AED">
        <w:rPr>
          <w:noProof/>
        </w:rPr>
        <w:t>documenti scritti</w:t>
      </w:r>
      <w:r w:rsidR="00865CAC">
        <w:rPr>
          <w:noProof/>
        </w:rPr>
        <w:t>"</w:t>
      </w:r>
      <w:r w:rsidRPr="008F0AED">
        <w:rPr>
          <w:noProof/>
        </w:rPr>
        <w:t xml:space="preserve"> preparati dalla Commissione e discussi in sede dei gruppi di lavoro del Consiglio interessati, conformemente alla procedura di cui all</w:t>
      </w:r>
      <w:r w:rsidR="00865CAC">
        <w:rPr>
          <w:noProof/>
        </w:rPr>
        <w:t>'</w:t>
      </w:r>
      <w:r w:rsidRPr="008F0AED">
        <w:rPr>
          <w:noProof/>
        </w:rPr>
        <w:t>allegato III della decisione (UE)</w:t>
      </w:r>
      <w:r w:rsidR="00865CAC">
        <w:rPr>
          <w:noProof/>
        </w:rPr>
        <w:t> </w:t>
      </w:r>
      <w:r w:rsidRPr="008F0AED">
        <w:rPr>
          <w:noProof/>
        </w:rPr>
        <w:t>2021/1765.</w:t>
      </w:r>
    </w:p>
    <w:p w:rsidR="00BA7AFD" w:rsidRPr="008F0AED" w:rsidRDefault="00BA7AFD">
      <w:pPr>
        <w:rPr>
          <w:noProof/>
        </w:rPr>
      </w:pPr>
      <w:r w:rsidRPr="008F0AED">
        <w:rPr>
          <w:noProof/>
        </w:rPr>
        <w:t xml:space="preserve">Dato che la decisione (UE) 2021/1765 si è </w:t>
      </w:r>
      <w:bookmarkStart w:id="7" w:name="_Hlk223971032"/>
      <w:r w:rsidRPr="008F0AED">
        <w:rPr>
          <w:noProof/>
        </w:rPr>
        <w:t>dimostrata idonea allo scopo, la presente proposta mira a prorogare fino al 30 giugno 2038 la posizione dell</w:t>
      </w:r>
      <w:r w:rsidR="00865CAC">
        <w:rPr>
          <w:noProof/>
        </w:rPr>
        <w:t>'</w:t>
      </w:r>
      <w:r w:rsidRPr="008F0AED">
        <w:rPr>
          <w:noProof/>
        </w:rPr>
        <w:t>Unione in sede di comitato specializzato per la pesca di cui alla decisione (UE) 2021/1765.</w:t>
      </w:r>
      <w:bookmarkEnd w:id="7"/>
    </w:p>
    <w:p w:rsidR="00BA7AFD" w:rsidRPr="008F0AED" w:rsidRDefault="00BA7AFD">
      <w:pPr>
        <w:rPr>
          <w:noProof/>
        </w:rPr>
      </w:pPr>
      <w:bookmarkStart w:id="8" w:name="_Hlk223971080"/>
      <w:r w:rsidRPr="008F0AED">
        <w:rPr>
          <w:noProof/>
        </w:rPr>
        <w:t>La proposta attua i principi e gli orientamenti della politica comune della pesca (PCP) stabiliti nel regolamento (UE) n. 1380/2013, in particolare gli articoli 2, 28 e 33. Essa attua inoltre le disposizioni dei piani pluriennali di cui al regolamento (UE) 2018/973 che istituisce un piano pluriennale per gli stock demersali nel Mare del Nord</w:t>
      </w:r>
      <w:r w:rsidRPr="008F0AED">
        <w:rPr>
          <w:rStyle w:val="FootnoteReference"/>
          <w:noProof/>
        </w:rPr>
        <w:footnoteReference w:id="3"/>
      </w:r>
      <w:r w:rsidRPr="008F0AED">
        <w:rPr>
          <w:noProof/>
        </w:rPr>
        <w:t xml:space="preserve"> e al regolamento (UE) 2019/472 che istituisce un piano pluriennale per gli stock pescati nelle acque occidentali</w:t>
      </w:r>
      <w:bookmarkStart w:id="9" w:name="_Hlk223971091"/>
      <w:r w:rsidRPr="008F0AED">
        <w:rPr>
          <w:rStyle w:val="FootnoteReference"/>
          <w:noProof/>
        </w:rPr>
        <w:footnoteReference w:id="4"/>
      </w:r>
      <w:bookmarkEnd w:id="8"/>
      <w:r w:rsidRPr="008F0AED">
        <w:rPr>
          <w:noProof/>
        </w:rPr>
        <w:t>.</w:t>
      </w:r>
      <w:bookmarkEnd w:id="9"/>
    </w:p>
    <w:p w:rsidR="002F0B9C" w:rsidRPr="008F0AED" w:rsidRDefault="002F0B9C" w:rsidP="002F0B9C">
      <w:pPr>
        <w:rPr>
          <w:rFonts w:eastAsia="Times New Roman"/>
          <w:noProof/>
          <w:szCs w:val="24"/>
        </w:rPr>
      </w:pPr>
      <w:r w:rsidRPr="008F0AED">
        <w:rPr>
          <w:noProof/>
        </w:rPr>
        <w:t>Come già disposto dalla decisione (UE) 2021/1765, e conformemente all</w:t>
      </w:r>
      <w:r w:rsidR="00865CAC">
        <w:rPr>
          <w:noProof/>
        </w:rPr>
        <w:t>'</w:t>
      </w:r>
      <w:r w:rsidRPr="008F0AED">
        <w:rPr>
          <w:noProof/>
        </w:rPr>
        <w:t xml:space="preserve">articolo 218, paragrafo 10, TFUE e alla decisione (UE) 2021/689 del Consiglio, il Parlamento europeo deve essere immediatamente e pienamente informato delle attività del comitato specializzato per la pesca, fatte salve le disposizioni necessarie per tutelare la riservatezza. Come regola generale la Commissione trasmetterà le informazioni al Parlamento europeo tramite la commissione parlamentare competente. Tali informazioni dovrebbero comprendere il briefing e il debriefing rispettivamente prima e dopo le riunioni del comitato specializzato per la pesca e tutti i documenti connessi alle riunioni nel momento stesso in cui la Commissione li fornisce al Consiglio. </w:t>
      </w:r>
    </w:p>
    <w:p w:rsidR="002F0B9C" w:rsidRPr="008F0AED" w:rsidRDefault="002F0B9C" w:rsidP="002F0B9C">
      <w:pPr>
        <w:rPr>
          <w:rFonts w:eastAsia="Times New Roman"/>
          <w:noProof/>
          <w:szCs w:val="24"/>
        </w:rPr>
      </w:pPr>
      <w:r w:rsidRPr="008F0AED">
        <w:rPr>
          <w:noProof/>
        </w:rPr>
        <w:t>Tali modalità di lavoro devono basarsi sul principio di leale cooperazione tra le istituzioni dell</w:t>
      </w:r>
      <w:r w:rsidR="00865CAC">
        <w:rPr>
          <w:noProof/>
        </w:rPr>
        <w:t>'</w:t>
      </w:r>
      <w:r w:rsidRPr="008F0AED">
        <w:rPr>
          <w:noProof/>
        </w:rPr>
        <w:t>Unione sancito dall</w:t>
      </w:r>
      <w:r w:rsidR="00865CAC">
        <w:rPr>
          <w:noProof/>
        </w:rPr>
        <w:t>'</w:t>
      </w:r>
      <w:r w:rsidRPr="008F0AED">
        <w:rPr>
          <w:noProof/>
        </w:rPr>
        <w:t>articolo 13, paragrafo 2, TUE.</w:t>
      </w:r>
    </w:p>
    <w:p w:rsidR="00FE4256" w:rsidRPr="008F0AED" w:rsidRDefault="00FE4256">
      <w:pPr>
        <w:pStyle w:val="ManualHeading1"/>
        <w:rPr>
          <w:noProof/>
        </w:rPr>
      </w:pPr>
      <w:r>
        <w:rPr>
          <w:noProof/>
        </w:rPr>
        <w:lastRenderedPageBreak/>
        <w:t>4.</w:t>
      </w:r>
      <w:r>
        <w:rPr>
          <w:noProof/>
        </w:rPr>
        <w:tab/>
      </w:r>
      <w:r w:rsidRPr="008F0AED">
        <w:rPr>
          <w:noProof/>
        </w:rPr>
        <w:t>Base giuridica</w:t>
      </w:r>
    </w:p>
    <w:p w:rsidR="00FE4256" w:rsidRPr="008F0AED" w:rsidRDefault="00FE4256">
      <w:pPr>
        <w:pStyle w:val="ManualHeading2"/>
        <w:rPr>
          <w:noProof/>
        </w:rPr>
      </w:pPr>
      <w:r>
        <w:rPr>
          <w:noProof/>
        </w:rPr>
        <w:t>4.1.</w:t>
      </w:r>
      <w:r>
        <w:rPr>
          <w:noProof/>
        </w:rPr>
        <w:tab/>
      </w:r>
      <w:r w:rsidRPr="008F0AED">
        <w:rPr>
          <w:noProof/>
        </w:rPr>
        <w:t>Base giuridica procedurale</w:t>
      </w:r>
    </w:p>
    <w:p w:rsidR="00FE4256" w:rsidRPr="008F0AED" w:rsidRDefault="00FE4256" w:rsidP="00FE4256">
      <w:pPr>
        <w:pStyle w:val="ManualHeading3"/>
        <w:tabs>
          <w:tab w:val="clear" w:pos="850"/>
          <w:tab w:val="num" w:pos="1984"/>
        </w:tabs>
        <w:ind w:left="1984" w:hanging="567"/>
        <w:rPr>
          <w:noProof/>
        </w:rPr>
      </w:pPr>
      <w:r>
        <w:rPr>
          <w:noProof/>
        </w:rPr>
        <w:t>4.1.1.</w:t>
      </w:r>
      <w:r>
        <w:rPr>
          <w:noProof/>
        </w:rPr>
        <w:tab/>
      </w:r>
      <w:r w:rsidRPr="008F0AED">
        <w:rPr>
          <w:noProof/>
        </w:rPr>
        <w:t>Principi</w:t>
      </w:r>
    </w:p>
    <w:p w:rsidR="00FE4256" w:rsidRPr="008F0AED" w:rsidRDefault="00FE4256">
      <w:pPr>
        <w:rPr>
          <w:noProof/>
        </w:rPr>
      </w:pPr>
      <w:r w:rsidRPr="008F0AED">
        <w:rPr>
          <w:noProof/>
        </w:rPr>
        <w:t>L</w:t>
      </w:r>
      <w:r w:rsidR="00865CAC">
        <w:rPr>
          <w:noProof/>
        </w:rPr>
        <w:t>'</w:t>
      </w:r>
      <w:r w:rsidRPr="008F0AED">
        <w:rPr>
          <w:noProof/>
        </w:rPr>
        <w:t>articolo 218, paragrafo 9, del trattato sul funzionamento dell</w:t>
      </w:r>
      <w:r w:rsidR="00865CAC">
        <w:rPr>
          <w:noProof/>
        </w:rPr>
        <w:t>'</w:t>
      </w:r>
      <w:r w:rsidRPr="008F0AED">
        <w:rPr>
          <w:noProof/>
        </w:rPr>
        <w:t>Unione europea (TFUE) prevede l</w:t>
      </w:r>
      <w:r w:rsidR="00865CAC">
        <w:rPr>
          <w:noProof/>
        </w:rPr>
        <w:t>'</w:t>
      </w:r>
      <w:r w:rsidRPr="008F0AED">
        <w:rPr>
          <w:noProof/>
        </w:rPr>
        <w:t xml:space="preserve">adozione di decisioni che stabiliscono </w:t>
      </w:r>
      <w:r w:rsidR="00865CAC">
        <w:rPr>
          <w:noProof/>
        </w:rPr>
        <w:t>"</w:t>
      </w:r>
      <w:r w:rsidRPr="008F0AED">
        <w:rPr>
          <w:i/>
          <w:iCs/>
          <w:noProof/>
        </w:rPr>
        <w:t>le posizioni da adottare a nome dell</w:t>
      </w:r>
      <w:r w:rsidR="00865CAC">
        <w:rPr>
          <w:i/>
          <w:iCs/>
          <w:noProof/>
        </w:rPr>
        <w:t>'</w:t>
      </w:r>
      <w:r w:rsidRPr="008F0AED">
        <w:rPr>
          <w:i/>
          <w:iCs/>
          <w:noProof/>
        </w:rPr>
        <w:t>Unione in un organo istituito da un accordo, se tale organo deve adottare atti che hanno effetti giuridici, fatta eccezione per gli atti che integrano o modificano il quadro istituzionale dell</w:t>
      </w:r>
      <w:r w:rsidR="00865CAC">
        <w:rPr>
          <w:i/>
          <w:iCs/>
          <w:noProof/>
        </w:rPr>
        <w:t>'</w:t>
      </w:r>
      <w:r w:rsidRPr="008F0AED">
        <w:rPr>
          <w:i/>
          <w:iCs/>
          <w:noProof/>
        </w:rPr>
        <w:t>accordo</w:t>
      </w:r>
      <w:r w:rsidR="00865CAC">
        <w:rPr>
          <w:noProof/>
        </w:rPr>
        <w:t>"</w:t>
      </w:r>
      <w:r w:rsidRPr="008F0AED">
        <w:rPr>
          <w:noProof/>
        </w:rPr>
        <w:t>.</w:t>
      </w:r>
    </w:p>
    <w:p w:rsidR="00FE4256" w:rsidRPr="008F0AED" w:rsidRDefault="00FE4256">
      <w:pPr>
        <w:rPr>
          <w:noProof/>
        </w:rPr>
      </w:pPr>
      <w:r w:rsidRPr="008F0AED">
        <w:rPr>
          <w:noProof/>
        </w:rPr>
        <w:t xml:space="preserve">Rientrano nel concetto di </w:t>
      </w:r>
      <w:r w:rsidR="00865CAC">
        <w:rPr>
          <w:noProof/>
        </w:rPr>
        <w:t>"</w:t>
      </w:r>
      <w:r w:rsidRPr="008F0AED">
        <w:rPr>
          <w:i/>
          <w:noProof/>
        </w:rPr>
        <w:t>atti che hanno effetti giuridici</w:t>
      </w:r>
      <w:r w:rsidR="00865CAC">
        <w:rPr>
          <w:noProof/>
        </w:rPr>
        <w:t>"</w:t>
      </w:r>
      <w:r w:rsidRPr="008F0AED">
        <w:rPr>
          <w:noProof/>
        </w:rPr>
        <w:t xml:space="preserve"> gli atti che hanno effetti giuridici in forza delle norme di diritto internazionale disciplinanti l</w:t>
      </w:r>
      <w:r w:rsidR="00865CAC">
        <w:rPr>
          <w:noProof/>
        </w:rPr>
        <w:t>'</w:t>
      </w:r>
      <w:r w:rsidRPr="008F0AED">
        <w:rPr>
          <w:noProof/>
        </w:rPr>
        <w:t xml:space="preserve">organo in questione. Vi rientrano anche gli atti sprovvisti di carattere vincolante ai sensi del diritto internazionale ma che </w:t>
      </w:r>
      <w:r w:rsidR="00865CAC">
        <w:rPr>
          <w:noProof/>
        </w:rPr>
        <w:t>"</w:t>
      </w:r>
      <w:r w:rsidRPr="008F0AED">
        <w:rPr>
          <w:i/>
          <w:iCs/>
          <w:noProof/>
        </w:rPr>
        <w:t>sono tali da incidere in modo determinante sul contenuto della normativa adottata dal legislatore dell</w:t>
      </w:r>
      <w:r w:rsidR="00865CAC">
        <w:rPr>
          <w:i/>
          <w:iCs/>
          <w:noProof/>
        </w:rPr>
        <w:t>'</w:t>
      </w:r>
      <w:r w:rsidRPr="008F0AED">
        <w:rPr>
          <w:i/>
          <w:iCs/>
          <w:noProof/>
        </w:rPr>
        <w:t>Unione</w:t>
      </w:r>
      <w:r w:rsidR="00865CAC">
        <w:rPr>
          <w:noProof/>
        </w:rPr>
        <w:t>"</w:t>
      </w:r>
      <w:r w:rsidRPr="008F0AED">
        <w:rPr>
          <w:rStyle w:val="FootnoteReference"/>
          <w:noProof/>
        </w:rPr>
        <w:footnoteReference w:id="5"/>
      </w:r>
      <w:r w:rsidRPr="008F0AED">
        <w:rPr>
          <w:noProof/>
        </w:rPr>
        <w:t>.</w:t>
      </w:r>
    </w:p>
    <w:p w:rsidR="00FE4256" w:rsidRPr="008F0AED" w:rsidRDefault="00FE4256" w:rsidP="00FE4256">
      <w:pPr>
        <w:pStyle w:val="ManualHeading3"/>
        <w:tabs>
          <w:tab w:val="clear" w:pos="850"/>
          <w:tab w:val="num" w:pos="1984"/>
        </w:tabs>
        <w:ind w:left="1984" w:hanging="567"/>
        <w:rPr>
          <w:noProof/>
        </w:rPr>
      </w:pPr>
      <w:r>
        <w:rPr>
          <w:noProof/>
        </w:rPr>
        <w:t>4.1.2.</w:t>
      </w:r>
      <w:r>
        <w:rPr>
          <w:noProof/>
        </w:rPr>
        <w:tab/>
      </w:r>
      <w:r w:rsidRPr="008F0AED">
        <w:rPr>
          <w:noProof/>
        </w:rPr>
        <w:t>Applicazione al caso concreto</w:t>
      </w:r>
    </w:p>
    <w:p w:rsidR="00FE4256" w:rsidRPr="008F0AED" w:rsidRDefault="00FE4256">
      <w:pPr>
        <w:rPr>
          <w:noProof/>
        </w:rPr>
      </w:pPr>
      <w:r w:rsidRPr="008F0AED">
        <w:rPr>
          <w:noProof/>
        </w:rPr>
        <w:t>Il comitato specializzato per la pesca è un organo istituito da un accordo, vale a dire l</w:t>
      </w:r>
      <w:r w:rsidR="00865CAC">
        <w:rPr>
          <w:noProof/>
        </w:rPr>
        <w:t>'</w:t>
      </w:r>
      <w:r w:rsidRPr="008F0AED">
        <w:rPr>
          <w:noProof/>
        </w:rPr>
        <w:t>accordo sugli scambi e la cooperazione.</w:t>
      </w:r>
    </w:p>
    <w:p w:rsidR="00FE4256" w:rsidRPr="008F0AED" w:rsidRDefault="00FE4256">
      <w:pPr>
        <w:rPr>
          <w:noProof/>
        </w:rPr>
      </w:pPr>
      <w:r w:rsidRPr="008F0AED">
        <w:rPr>
          <w:noProof/>
        </w:rPr>
        <w:t>Le misure adottate dal comitato specializzato per la pesca sono vincolanti per le parti a norma dell</w:t>
      </w:r>
      <w:r w:rsidR="00865CAC">
        <w:rPr>
          <w:noProof/>
        </w:rPr>
        <w:t>'</w:t>
      </w:r>
      <w:r w:rsidRPr="008F0AED">
        <w:rPr>
          <w:noProof/>
        </w:rPr>
        <w:t>articolo 10 dell</w:t>
      </w:r>
      <w:r w:rsidR="00865CAC">
        <w:rPr>
          <w:noProof/>
        </w:rPr>
        <w:t>'</w:t>
      </w:r>
      <w:r w:rsidRPr="008F0AED">
        <w:rPr>
          <w:noProof/>
        </w:rPr>
        <w:t xml:space="preserve">accordo sugli scambi e la cooperazione, il quale recita che: </w:t>
      </w:r>
      <w:r w:rsidR="00865CAC">
        <w:rPr>
          <w:i/>
          <w:noProof/>
        </w:rPr>
        <w:t>"</w:t>
      </w:r>
      <w:r w:rsidRPr="008F0AED">
        <w:rPr>
          <w:i/>
          <w:noProof/>
        </w:rPr>
        <w:t>Le decisioni adottate dal consiglio di partenariato o, a seconda dei casi, da un comitato sono vincolanti per le parti e per tutti gli organi istituiti a norma del presente accordo o eventuale accordo integrativo, compreso il collegio arbitrale di cui al titolo I della parte sesta. Le</w:t>
      </w:r>
      <w:r w:rsidR="00865CAC">
        <w:rPr>
          <w:i/>
          <w:noProof/>
        </w:rPr>
        <w:t> </w:t>
      </w:r>
      <w:r w:rsidRPr="008F0AED">
        <w:rPr>
          <w:i/>
          <w:noProof/>
        </w:rPr>
        <w:t>raccomandazioni non sono vincolanti.</w:t>
      </w:r>
      <w:r w:rsidR="00865CAC">
        <w:rPr>
          <w:i/>
          <w:noProof/>
        </w:rPr>
        <w:t>"</w:t>
      </w:r>
      <w:r w:rsidRPr="008F0AED">
        <w:rPr>
          <w:i/>
          <w:noProof/>
        </w:rPr>
        <w:t>.</w:t>
      </w:r>
    </w:p>
    <w:p w:rsidR="00FE4256" w:rsidRPr="008F0AED" w:rsidRDefault="00FE4256">
      <w:pPr>
        <w:rPr>
          <w:noProof/>
        </w:rPr>
      </w:pPr>
      <w:r w:rsidRPr="008F0AED">
        <w:rPr>
          <w:noProof/>
        </w:rPr>
        <w:t>Le misure adottate dal comitato specializzato per la pesca non integrano né modificano il quadro istituzionale dell</w:t>
      </w:r>
      <w:r w:rsidR="00865CAC">
        <w:rPr>
          <w:noProof/>
        </w:rPr>
        <w:t>'</w:t>
      </w:r>
      <w:r w:rsidRPr="008F0AED">
        <w:rPr>
          <w:noProof/>
        </w:rPr>
        <w:t>accordo sugli scambi e la cooperazione.</w:t>
      </w:r>
    </w:p>
    <w:p w:rsidR="00FE4256" w:rsidRPr="008F0AED" w:rsidRDefault="00FE4256">
      <w:pPr>
        <w:rPr>
          <w:noProof/>
        </w:rPr>
      </w:pPr>
      <w:r w:rsidRPr="008F0AED">
        <w:rPr>
          <w:noProof/>
        </w:rPr>
        <w:t>La base giuridica procedurale della decisione proposta è pertanto l</w:t>
      </w:r>
      <w:r w:rsidR="00865CAC">
        <w:rPr>
          <w:noProof/>
        </w:rPr>
        <w:t>'</w:t>
      </w:r>
      <w:r w:rsidRPr="008F0AED">
        <w:rPr>
          <w:noProof/>
        </w:rPr>
        <w:t>articolo 218, paragrafo 9, TFUE.</w:t>
      </w:r>
    </w:p>
    <w:p w:rsidR="00FE4256" w:rsidRPr="008F0AED" w:rsidRDefault="00FE4256">
      <w:pPr>
        <w:pStyle w:val="ManualHeading2"/>
        <w:rPr>
          <w:noProof/>
        </w:rPr>
      </w:pPr>
      <w:r>
        <w:rPr>
          <w:noProof/>
        </w:rPr>
        <w:t>4.2.</w:t>
      </w:r>
      <w:r>
        <w:rPr>
          <w:noProof/>
        </w:rPr>
        <w:tab/>
      </w:r>
      <w:r w:rsidRPr="008F0AED">
        <w:rPr>
          <w:noProof/>
        </w:rPr>
        <w:t>Base giuridica sostanziale</w:t>
      </w:r>
    </w:p>
    <w:p w:rsidR="00FE4256" w:rsidRPr="008F0AED" w:rsidRDefault="00FE4256" w:rsidP="00FE4256">
      <w:pPr>
        <w:pStyle w:val="ManualHeading3"/>
        <w:tabs>
          <w:tab w:val="clear" w:pos="850"/>
          <w:tab w:val="num" w:pos="1984"/>
        </w:tabs>
        <w:ind w:left="1984" w:hanging="567"/>
        <w:rPr>
          <w:noProof/>
        </w:rPr>
      </w:pPr>
      <w:r>
        <w:rPr>
          <w:noProof/>
        </w:rPr>
        <w:t>4.2.1.</w:t>
      </w:r>
      <w:r>
        <w:rPr>
          <w:noProof/>
        </w:rPr>
        <w:tab/>
      </w:r>
      <w:r w:rsidRPr="008F0AED">
        <w:rPr>
          <w:noProof/>
        </w:rPr>
        <w:t>Principi</w:t>
      </w:r>
    </w:p>
    <w:p w:rsidR="00FE4256" w:rsidRPr="008F0AED" w:rsidRDefault="00FE4256">
      <w:pPr>
        <w:rPr>
          <w:noProof/>
        </w:rPr>
      </w:pPr>
      <w:r w:rsidRPr="008F0AED">
        <w:rPr>
          <w:noProof/>
        </w:rPr>
        <w:t>La base giuridica sostanziale delle decisioni di cui all</w:t>
      </w:r>
      <w:r w:rsidR="00865CAC">
        <w:rPr>
          <w:noProof/>
        </w:rPr>
        <w:t>'</w:t>
      </w:r>
      <w:r w:rsidRPr="008F0AED">
        <w:rPr>
          <w:noProof/>
        </w:rPr>
        <w:t>articolo 218, paragrafo 9, TFUE dipende essenzialmente dall</w:t>
      </w:r>
      <w:r w:rsidR="00865CAC">
        <w:rPr>
          <w:noProof/>
        </w:rPr>
        <w:t>'</w:t>
      </w:r>
      <w:r w:rsidRPr="008F0AED">
        <w:rPr>
          <w:noProof/>
        </w:rPr>
        <w:t>obiettivo e dal contenuto dell</w:t>
      </w:r>
      <w:r w:rsidR="00865CAC">
        <w:rPr>
          <w:noProof/>
        </w:rPr>
        <w:t>'</w:t>
      </w:r>
      <w:r w:rsidRPr="008F0AED">
        <w:rPr>
          <w:noProof/>
        </w:rPr>
        <w:t>atto previsto su cui dovrà prendersi posizione a nome dell</w:t>
      </w:r>
      <w:r w:rsidR="00865CAC">
        <w:rPr>
          <w:noProof/>
        </w:rPr>
        <w:t>'</w:t>
      </w:r>
      <w:r w:rsidRPr="008F0AED">
        <w:rPr>
          <w:noProof/>
        </w:rPr>
        <w:t>Unione. Se l</w:t>
      </w:r>
      <w:r w:rsidR="00865CAC">
        <w:rPr>
          <w:noProof/>
        </w:rPr>
        <w:t>'</w:t>
      </w:r>
      <w:r w:rsidRPr="008F0AED">
        <w:rPr>
          <w:noProof/>
        </w:rPr>
        <w:t>atto previsto persegue una duplice finalità o ha una doppia componente, una delle quali sia da considerarsi principale e l</w:t>
      </w:r>
      <w:r w:rsidR="00865CAC">
        <w:rPr>
          <w:noProof/>
        </w:rPr>
        <w:t>'</w:t>
      </w:r>
      <w:r w:rsidRPr="008F0AED">
        <w:rPr>
          <w:noProof/>
        </w:rPr>
        <w:t>altra solo accessoria, la decisione a norma dell</w:t>
      </w:r>
      <w:r w:rsidR="00865CAC">
        <w:rPr>
          <w:noProof/>
        </w:rPr>
        <w:t>'</w:t>
      </w:r>
      <w:r w:rsidRPr="008F0AED">
        <w:rPr>
          <w:noProof/>
        </w:rPr>
        <w:t>articolo 218, paragrafo 9, TFUE deve fondarsi su una sola base giuridica sostanziale, ossia su quella richiesta dalla finalità o dalla componente principale o preponderante.</w:t>
      </w:r>
    </w:p>
    <w:p w:rsidR="00FE4256" w:rsidRPr="008F0AED" w:rsidRDefault="00FE4256">
      <w:pPr>
        <w:rPr>
          <w:noProof/>
        </w:rPr>
      </w:pPr>
      <w:r w:rsidRPr="008F0AED">
        <w:rPr>
          <w:noProof/>
        </w:rPr>
        <w:t>Riguardo a un atto previsto che persegua contemporaneamente più finalità o abbia più componenti tra loro inscindibili, di cui nessuna sia accessoria rispetto alle altre, la base giuridica sostanziale della decisione a norma dell</w:t>
      </w:r>
      <w:r w:rsidR="00865CAC">
        <w:rPr>
          <w:noProof/>
        </w:rPr>
        <w:t>'</w:t>
      </w:r>
      <w:r w:rsidRPr="008F0AED">
        <w:rPr>
          <w:noProof/>
        </w:rPr>
        <w:t>articolo 218, paragrafo 9, TFUE deve includere, in via eccezionale, le varie basi giuridiche corrispondenti.</w:t>
      </w:r>
    </w:p>
    <w:p w:rsidR="00FE4256" w:rsidRPr="008F0AED" w:rsidRDefault="00FE4256" w:rsidP="00FE4256">
      <w:pPr>
        <w:pStyle w:val="ManualHeading3"/>
        <w:tabs>
          <w:tab w:val="clear" w:pos="850"/>
          <w:tab w:val="num" w:pos="1984"/>
        </w:tabs>
        <w:ind w:left="1984" w:hanging="567"/>
        <w:rPr>
          <w:noProof/>
        </w:rPr>
      </w:pPr>
      <w:r>
        <w:rPr>
          <w:noProof/>
        </w:rPr>
        <w:t>4.2.2.</w:t>
      </w:r>
      <w:r>
        <w:rPr>
          <w:noProof/>
        </w:rPr>
        <w:tab/>
      </w:r>
      <w:r w:rsidRPr="008F0AED">
        <w:rPr>
          <w:noProof/>
        </w:rPr>
        <w:t>Applicazione al caso concreto</w:t>
      </w:r>
    </w:p>
    <w:p w:rsidR="00FE4256" w:rsidRPr="008F0AED" w:rsidRDefault="00FE4256">
      <w:pPr>
        <w:rPr>
          <w:noProof/>
        </w:rPr>
      </w:pPr>
      <w:r w:rsidRPr="008F0AED">
        <w:rPr>
          <w:noProof/>
        </w:rPr>
        <w:t>La decisione prevista rientra nel settore della politica comune della pesca.</w:t>
      </w:r>
    </w:p>
    <w:p w:rsidR="00FE4256" w:rsidRPr="008F0AED" w:rsidRDefault="00FE4256">
      <w:pPr>
        <w:rPr>
          <w:noProof/>
        </w:rPr>
      </w:pPr>
      <w:r w:rsidRPr="008F0AED">
        <w:rPr>
          <w:noProof/>
        </w:rPr>
        <w:lastRenderedPageBreak/>
        <w:t>La base giuridica sostanziale della decisione proposta si basa pertanto sull</w:t>
      </w:r>
      <w:r w:rsidR="00865CAC">
        <w:rPr>
          <w:noProof/>
        </w:rPr>
        <w:t>'</w:t>
      </w:r>
      <w:r w:rsidRPr="008F0AED">
        <w:rPr>
          <w:noProof/>
        </w:rPr>
        <w:t>articolo 43 TFUE.</w:t>
      </w:r>
    </w:p>
    <w:p w:rsidR="00FE4256" w:rsidRPr="008F0AED" w:rsidRDefault="00FE4256">
      <w:pPr>
        <w:pStyle w:val="ManualHeading2"/>
        <w:rPr>
          <w:noProof/>
        </w:rPr>
      </w:pPr>
      <w:r>
        <w:rPr>
          <w:noProof/>
        </w:rPr>
        <w:t>4.3.</w:t>
      </w:r>
      <w:r>
        <w:rPr>
          <w:noProof/>
        </w:rPr>
        <w:tab/>
      </w:r>
      <w:r w:rsidRPr="008F0AED">
        <w:rPr>
          <w:noProof/>
        </w:rPr>
        <w:t>Conclusioni</w:t>
      </w:r>
    </w:p>
    <w:p w:rsidR="00AE5B0C" w:rsidRPr="008F0AED" w:rsidRDefault="00FE4256" w:rsidP="00794B72">
      <w:pPr>
        <w:rPr>
          <w:noProof/>
        </w:rPr>
      </w:pPr>
      <w:r w:rsidRPr="008F0AED">
        <w:rPr>
          <w:noProof/>
        </w:rPr>
        <w:t>La base giuridica della decisione proposta deve quindi essere costituita dall</w:t>
      </w:r>
      <w:r w:rsidR="00865CAC">
        <w:rPr>
          <w:noProof/>
        </w:rPr>
        <w:t>'</w:t>
      </w:r>
      <w:r w:rsidRPr="008F0AED">
        <w:rPr>
          <w:noProof/>
        </w:rPr>
        <w:t>articolo 43 TFUE, in combinato disposto con l</w:t>
      </w:r>
      <w:r w:rsidR="00865CAC">
        <w:rPr>
          <w:noProof/>
        </w:rPr>
        <w:t>'</w:t>
      </w:r>
      <w:r w:rsidRPr="008F0AED">
        <w:rPr>
          <w:noProof/>
        </w:rPr>
        <w:t>articolo 218, paragrafo 9, TFUE.</w:t>
      </w:r>
    </w:p>
    <w:p w:rsidR="00F05A8F" w:rsidRPr="008F0AED" w:rsidRDefault="00F05A8F">
      <w:pPr>
        <w:rPr>
          <w:noProof/>
        </w:rPr>
        <w:sectPr w:rsidR="00F05A8F" w:rsidRPr="008F0AED" w:rsidSect="00B27FD5">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4F56D4" w:rsidRDefault="00360EB2">
      <w:pPr>
        <w:pStyle w:val="Rfrenceinterinstitutionnelle"/>
        <w:rPr>
          <w:noProof/>
        </w:rPr>
      </w:pPr>
      <w:r>
        <w:rPr>
          <w:noProof/>
        </w:rPr>
        <w:lastRenderedPageBreak/>
        <w:t>2026/0158 (NLE)</w:t>
      </w:r>
    </w:p>
    <w:p w:rsidR="00FE4256" w:rsidRPr="008F0AED" w:rsidRDefault="008F0AED" w:rsidP="008F0AED">
      <w:pPr>
        <w:pStyle w:val="Statut"/>
        <w:rPr>
          <w:noProof/>
        </w:rPr>
      </w:pPr>
      <w:r w:rsidRPr="008F0AED">
        <w:rPr>
          <w:noProof/>
        </w:rPr>
        <w:t>Proposta di</w:t>
      </w:r>
    </w:p>
    <w:p w:rsidR="00FE4256" w:rsidRPr="008F0AED" w:rsidRDefault="008F0AED" w:rsidP="008F0AED">
      <w:pPr>
        <w:pStyle w:val="Typedudocument"/>
        <w:rPr>
          <w:noProof/>
        </w:rPr>
      </w:pPr>
      <w:r w:rsidRPr="008F0AED">
        <w:rPr>
          <w:noProof/>
        </w:rPr>
        <w:t>DECISIONE DEL CONSIGLIO</w:t>
      </w:r>
    </w:p>
    <w:p w:rsidR="00FE4256" w:rsidRPr="008F0AED" w:rsidRDefault="008F0AED" w:rsidP="008F0AED">
      <w:pPr>
        <w:pStyle w:val="Titreobjet"/>
        <w:rPr>
          <w:noProof/>
        </w:rPr>
      </w:pPr>
      <w:r w:rsidRPr="008F0AED">
        <w:rPr>
          <w:noProof/>
        </w:rPr>
        <w:t>che modifica la decisione (UE) 2021/1765 del Consiglio, del 5 ottobre 2021, relativa alla posizione che deve essere adottata a nome dell</w:t>
      </w:r>
      <w:r w:rsidR="00865CAC">
        <w:rPr>
          <w:noProof/>
        </w:rPr>
        <w:t>'</w:t>
      </w:r>
      <w:r w:rsidRPr="008F0AED">
        <w:rPr>
          <w:noProof/>
        </w:rPr>
        <w:t>Unione europea per il periodo 2021-2026 in sede di comitato specializzato per la pesca istituito dall</w:t>
      </w:r>
      <w:r w:rsidR="00865CAC">
        <w:rPr>
          <w:noProof/>
        </w:rPr>
        <w:t>'</w:t>
      </w:r>
      <w:r w:rsidRPr="008F0AED">
        <w:rPr>
          <w:noProof/>
        </w:rPr>
        <w:t>accordo sugli scambi e la cooperazione tra l</w:t>
      </w:r>
      <w:r w:rsidR="00865CAC">
        <w:rPr>
          <w:noProof/>
        </w:rPr>
        <w:t>'</w:t>
      </w:r>
      <w:r w:rsidRPr="008F0AED">
        <w:rPr>
          <w:noProof/>
        </w:rPr>
        <w:t>Unione europea e la Comunità europea dell</w:t>
      </w:r>
      <w:r w:rsidR="00865CAC">
        <w:rPr>
          <w:noProof/>
        </w:rPr>
        <w:t>'</w:t>
      </w:r>
      <w:r w:rsidRPr="008F0AED">
        <w:rPr>
          <w:noProof/>
        </w:rPr>
        <w:t>energia atomica, da una parte, e il Regno Unito di Gran Bretagna e Irlanda del Nord, dall</w:t>
      </w:r>
      <w:r w:rsidR="00865CAC">
        <w:rPr>
          <w:noProof/>
        </w:rPr>
        <w:t>'</w:t>
      </w:r>
      <w:r w:rsidRPr="008F0AED">
        <w:rPr>
          <w:noProof/>
        </w:rPr>
        <w:t>altra</w:t>
      </w:r>
    </w:p>
    <w:p w:rsidR="00FE4256" w:rsidRPr="008F0AED" w:rsidRDefault="00FE4256">
      <w:pPr>
        <w:pStyle w:val="Institutionquiagit"/>
        <w:rPr>
          <w:noProof/>
        </w:rPr>
      </w:pPr>
      <w:r w:rsidRPr="008F0AED">
        <w:rPr>
          <w:noProof/>
        </w:rPr>
        <w:t>IL CONSIGLIO DELL</w:t>
      </w:r>
      <w:r w:rsidR="00865CAC">
        <w:rPr>
          <w:noProof/>
        </w:rPr>
        <w:t>'</w:t>
      </w:r>
      <w:r w:rsidRPr="008F0AED">
        <w:rPr>
          <w:noProof/>
        </w:rPr>
        <w:t>UNIONE EUROPEA,</w:t>
      </w:r>
    </w:p>
    <w:p w:rsidR="00FE4256" w:rsidRPr="008F0AED" w:rsidRDefault="00FE4256">
      <w:pPr>
        <w:rPr>
          <w:noProof/>
        </w:rPr>
      </w:pPr>
      <w:r w:rsidRPr="008F0AED">
        <w:rPr>
          <w:noProof/>
        </w:rPr>
        <w:t>visto il trattato sul funzionamento dell</w:t>
      </w:r>
      <w:r w:rsidR="00865CAC">
        <w:rPr>
          <w:noProof/>
        </w:rPr>
        <w:t>'</w:t>
      </w:r>
      <w:r w:rsidRPr="008F0AED">
        <w:rPr>
          <w:noProof/>
        </w:rPr>
        <w:t>Unione europea, in particolare l</w:t>
      </w:r>
      <w:r w:rsidR="00865CAC">
        <w:rPr>
          <w:noProof/>
        </w:rPr>
        <w:t>'</w:t>
      </w:r>
      <w:r w:rsidRPr="008F0AED">
        <w:rPr>
          <w:noProof/>
        </w:rPr>
        <w:t>articolo 43,</w:t>
      </w:r>
      <w:r w:rsidR="008F0AED">
        <w:rPr>
          <w:noProof/>
        </w:rPr>
        <w:t xml:space="preserve"> </w:t>
      </w:r>
      <w:r w:rsidRPr="008F0AED">
        <w:rPr>
          <w:noProof/>
        </w:rPr>
        <w:t>in</w:t>
      </w:r>
      <w:r w:rsidR="00865CAC">
        <w:rPr>
          <w:noProof/>
        </w:rPr>
        <w:t> </w:t>
      </w:r>
      <w:r w:rsidRPr="008F0AED">
        <w:rPr>
          <w:noProof/>
        </w:rPr>
        <w:t>combinato disposto con l</w:t>
      </w:r>
      <w:r w:rsidR="00865CAC">
        <w:rPr>
          <w:noProof/>
        </w:rPr>
        <w:t>'</w:t>
      </w:r>
      <w:r w:rsidRPr="008F0AED">
        <w:rPr>
          <w:noProof/>
        </w:rPr>
        <w:t>articolo 218, paragrafo 9,</w:t>
      </w:r>
    </w:p>
    <w:p w:rsidR="00FE4256" w:rsidRPr="008F0AED" w:rsidRDefault="00FE4256">
      <w:pPr>
        <w:rPr>
          <w:noProof/>
        </w:rPr>
      </w:pPr>
      <w:r w:rsidRPr="008F0AED">
        <w:rPr>
          <w:noProof/>
        </w:rPr>
        <w:t>vista la proposta della Commissione europea,</w:t>
      </w:r>
    </w:p>
    <w:p w:rsidR="00FE4256" w:rsidRPr="008F0AED" w:rsidRDefault="00FE4256">
      <w:pPr>
        <w:rPr>
          <w:noProof/>
        </w:rPr>
      </w:pPr>
      <w:r w:rsidRPr="008F0AED">
        <w:rPr>
          <w:noProof/>
        </w:rPr>
        <w:t>considerando quanto segue:</w:t>
      </w:r>
    </w:p>
    <w:p w:rsidR="00FE4256" w:rsidRPr="008F0AED" w:rsidRDefault="00B315A5" w:rsidP="00D86754">
      <w:pPr>
        <w:pStyle w:val="ManualConsidrant"/>
        <w:rPr>
          <w:noProof/>
        </w:rPr>
      </w:pPr>
      <w:r>
        <w:rPr>
          <w:noProof/>
        </w:rPr>
        <w:t>(1)</w:t>
      </w:r>
      <w:r>
        <w:rPr>
          <w:noProof/>
        </w:rPr>
        <w:tab/>
      </w:r>
      <w:r w:rsidRPr="008F0AED">
        <w:rPr>
          <w:noProof/>
        </w:rPr>
        <w:t>Il 5 ottobre 2021 il Consiglio ha adottato la decisione (UE) 2021/1765</w:t>
      </w:r>
      <w:r w:rsidRPr="008F0AED">
        <w:rPr>
          <w:rStyle w:val="FootnoteReference"/>
          <w:noProof/>
        </w:rPr>
        <w:footnoteReference w:id="6"/>
      </w:r>
      <w:r w:rsidRPr="008F0AED">
        <w:rPr>
          <w:noProof/>
        </w:rPr>
        <w:t>, che stabilisce i principi e gli orientamenti relativi alla posizione che deve essere adottata a nome dell</w:t>
      </w:r>
      <w:r w:rsidR="00865CAC">
        <w:rPr>
          <w:noProof/>
        </w:rPr>
        <w:t>'</w:t>
      </w:r>
      <w:r w:rsidRPr="008F0AED">
        <w:rPr>
          <w:noProof/>
        </w:rPr>
        <w:t>Unione in sede di comitato specializzato per la pesca per il periodo 2021-2026. In</w:t>
      </w:r>
      <w:r w:rsidR="00865CAC">
        <w:rPr>
          <w:noProof/>
        </w:rPr>
        <w:t> </w:t>
      </w:r>
      <w:r w:rsidRPr="008F0AED">
        <w:rPr>
          <w:noProof/>
        </w:rPr>
        <w:t>tale contesto la Commissione conduce le consultazioni a nome dell</w:t>
      </w:r>
      <w:r w:rsidR="00865CAC">
        <w:rPr>
          <w:noProof/>
        </w:rPr>
        <w:t>'</w:t>
      </w:r>
      <w:r w:rsidRPr="008F0AED">
        <w:rPr>
          <w:noProof/>
        </w:rPr>
        <w:t>Unione sulla base delle posizioni dell</w:t>
      </w:r>
      <w:r w:rsidR="00865CAC">
        <w:rPr>
          <w:noProof/>
        </w:rPr>
        <w:t>'</w:t>
      </w:r>
      <w:r w:rsidRPr="008F0AED">
        <w:rPr>
          <w:noProof/>
        </w:rPr>
        <w:t>Unione specificate dal Consiglio a norma delle pertinenti disposizioni del trattato, garantendo nel contempo uno stretto coordinamento con il Consiglio e i suoi organi preparatori, secondo il principio di leale cooperazione tra le istituzioni dell</w:t>
      </w:r>
      <w:r w:rsidR="00865CAC">
        <w:rPr>
          <w:noProof/>
        </w:rPr>
        <w:t>'</w:t>
      </w:r>
      <w:r w:rsidRPr="008F0AED">
        <w:rPr>
          <w:noProof/>
        </w:rPr>
        <w:t>Unione di cui all</w:t>
      </w:r>
      <w:r w:rsidR="00865CAC">
        <w:rPr>
          <w:noProof/>
        </w:rPr>
        <w:t>'</w:t>
      </w:r>
      <w:r w:rsidRPr="008F0AED">
        <w:rPr>
          <w:noProof/>
        </w:rPr>
        <w:t>articolo 13, paragrafo 2, del trattato sull</w:t>
      </w:r>
      <w:r w:rsidR="00865CAC">
        <w:rPr>
          <w:noProof/>
        </w:rPr>
        <w:t>'</w:t>
      </w:r>
      <w:r w:rsidRPr="008F0AED">
        <w:rPr>
          <w:noProof/>
        </w:rPr>
        <w:t>Unione europea.</w:t>
      </w:r>
    </w:p>
    <w:p w:rsidR="000A0A18" w:rsidRPr="008F0AED" w:rsidRDefault="00786FC5" w:rsidP="000A0A18">
      <w:pPr>
        <w:pStyle w:val="ManualConsidrant"/>
        <w:rPr>
          <w:noProof/>
        </w:rPr>
      </w:pPr>
      <w:r>
        <w:rPr>
          <w:noProof/>
        </w:rPr>
        <w:t>(2)</w:t>
      </w:r>
      <w:r>
        <w:rPr>
          <w:noProof/>
        </w:rPr>
        <w:tab/>
      </w:r>
      <w:r w:rsidRPr="008F0AED">
        <w:rPr>
          <w:noProof/>
        </w:rPr>
        <w:t>Secondo le conclusioni del riesame della decisione (UE) 2021/1765</w:t>
      </w:r>
      <w:bookmarkStart w:id="10" w:name="_Hlk225161655"/>
      <w:r w:rsidRPr="008F0AED">
        <w:rPr>
          <w:noProof/>
        </w:rPr>
        <w:t>, effettuato nel luglio 2023,</w:t>
      </w:r>
      <w:r w:rsidR="008F0AED">
        <w:rPr>
          <w:i/>
          <w:noProof/>
        </w:rPr>
        <w:t xml:space="preserve"> </w:t>
      </w:r>
      <w:r w:rsidRPr="008F0AED">
        <w:rPr>
          <w:rStyle w:val="normaltextrun"/>
          <w:noProof/>
        </w:rPr>
        <w:t xml:space="preserve">non erano necessarie modifiche del testo. </w:t>
      </w:r>
      <w:r w:rsidRPr="008F0AED">
        <w:rPr>
          <w:noProof/>
        </w:rPr>
        <w:t>Poiché da allora non sono stati individuati problemi di attuazione, la decisione (UE) 2021/1765 rimane idonea allo scopo.</w:t>
      </w:r>
      <w:bookmarkEnd w:id="10"/>
    </w:p>
    <w:p w:rsidR="00CA6AD4" w:rsidRPr="008F0AED" w:rsidRDefault="00CC57AE" w:rsidP="00CA6AD4">
      <w:pPr>
        <w:pStyle w:val="ManualConsidrant"/>
        <w:rPr>
          <w:noProof/>
        </w:rPr>
      </w:pPr>
      <w:r>
        <w:rPr>
          <w:noProof/>
        </w:rPr>
        <w:t>(3)</w:t>
      </w:r>
      <w:r>
        <w:rPr>
          <w:noProof/>
        </w:rPr>
        <w:tab/>
      </w:r>
      <w:r w:rsidRPr="008F0AED">
        <w:rPr>
          <w:noProof/>
        </w:rPr>
        <w:t>La decisione (UE) 2021/1765 scade il 31 dicembre 2026. È pertanto opportuno prorogarne l</w:t>
      </w:r>
      <w:r w:rsidR="00865CAC">
        <w:rPr>
          <w:noProof/>
        </w:rPr>
        <w:t>'</w:t>
      </w:r>
      <w:r w:rsidRPr="008F0AED">
        <w:rPr>
          <w:noProof/>
        </w:rPr>
        <w:t>applicazione per quanto riguarda la posizione che deve essere adottata a nome dell</w:t>
      </w:r>
      <w:r w:rsidR="00865CAC">
        <w:rPr>
          <w:noProof/>
        </w:rPr>
        <w:t>'</w:t>
      </w:r>
      <w:r w:rsidRPr="008F0AED">
        <w:rPr>
          <w:noProof/>
        </w:rPr>
        <w:t>Unione in sede di comitato specializzato per la pesca in relazione ad atti o misure che hanno effetti giuridici.</w:t>
      </w:r>
    </w:p>
    <w:p w:rsidR="00387A3D" w:rsidRPr="008F0AED" w:rsidRDefault="00387A3D" w:rsidP="00CA6AD4">
      <w:pPr>
        <w:pStyle w:val="ManualConsidrant"/>
        <w:rPr>
          <w:noProof/>
        </w:rPr>
      </w:pPr>
      <w:r>
        <w:rPr>
          <w:noProof/>
        </w:rPr>
        <w:t>(4)</w:t>
      </w:r>
      <w:r>
        <w:rPr>
          <w:noProof/>
        </w:rPr>
        <w:tab/>
      </w:r>
      <w:r w:rsidRPr="008F0AED">
        <w:rPr>
          <w:noProof/>
        </w:rPr>
        <w:t>È opportuno che la Commissione effettui un riesame dell</w:t>
      </w:r>
      <w:r w:rsidR="00865CAC">
        <w:rPr>
          <w:noProof/>
        </w:rPr>
        <w:t>'</w:t>
      </w:r>
      <w:r w:rsidRPr="008F0AED">
        <w:rPr>
          <w:noProof/>
        </w:rPr>
        <w:t>effettiva attuazione della decisione (UE) 2021/1765. Il riesame dovrebbe valutare se siano necessarie eventuali revisioni e, se del caso, dovrebbe essere accompagnato da una proposta in tal senso.</w:t>
      </w:r>
    </w:p>
    <w:p w:rsidR="00CA6AD4" w:rsidRPr="008F0AED" w:rsidRDefault="00623560" w:rsidP="00CA6AD4">
      <w:pPr>
        <w:pStyle w:val="ManualConsidrant"/>
        <w:rPr>
          <w:noProof/>
        </w:rPr>
      </w:pPr>
      <w:r>
        <w:rPr>
          <w:noProof/>
        </w:rPr>
        <w:lastRenderedPageBreak/>
        <w:t>(5)</w:t>
      </w:r>
      <w:r>
        <w:rPr>
          <w:noProof/>
        </w:rPr>
        <w:tab/>
      </w:r>
      <w:r w:rsidRPr="008F0AED">
        <w:rPr>
          <w:noProof/>
        </w:rPr>
        <w:t xml:space="preserve">Il </w:t>
      </w:r>
      <w:bookmarkStart w:id="11" w:name="_Hlk223972669"/>
      <w:r w:rsidRPr="008F0AED">
        <w:rPr>
          <w:noProof/>
        </w:rPr>
        <w:t>Parlamento europeo deve essere immediatamente e pienamente informato, come stabilito all</w:t>
      </w:r>
      <w:r w:rsidR="00865CAC">
        <w:rPr>
          <w:noProof/>
        </w:rPr>
        <w:t>'</w:t>
      </w:r>
      <w:r w:rsidRPr="008F0AED">
        <w:rPr>
          <w:noProof/>
        </w:rPr>
        <w:t>articolo 218, paragrafo 10,</w:t>
      </w:r>
      <w:bookmarkEnd w:id="11"/>
      <w:r w:rsidRPr="008F0AED">
        <w:rPr>
          <w:noProof/>
        </w:rPr>
        <w:t xml:space="preserve"> del trattato sul funzionamento dell</w:t>
      </w:r>
      <w:r w:rsidR="00865CAC">
        <w:rPr>
          <w:noProof/>
        </w:rPr>
        <w:t>'</w:t>
      </w:r>
      <w:r w:rsidRPr="008F0AED">
        <w:rPr>
          <w:noProof/>
        </w:rPr>
        <w:t>Unione europea.</w:t>
      </w:r>
    </w:p>
    <w:p w:rsidR="00894CEF" w:rsidRPr="008F0AED" w:rsidRDefault="00553D5C" w:rsidP="00CA6AD4">
      <w:pPr>
        <w:pStyle w:val="ManualConsidrant"/>
        <w:rPr>
          <w:noProof/>
        </w:rPr>
      </w:pPr>
      <w:r>
        <w:rPr>
          <w:noProof/>
        </w:rPr>
        <w:t>(6)</w:t>
      </w:r>
      <w:r>
        <w:rPr>
          <w:noProof/>
        </w:rPr>
        <w:tab/>
      </w:r>
      <w:r w:rsidRPr="008F0AED">
        <w:rPr>
          <w:noProof/>
        </w:rPr>
        <w:t xml:space="preserve">È pertanto opportuno modificare di </w:t>
      </w:r>
      <w:bookmarkStart w:id="12" w:name="_Hlk223972698"/>
      <w:r w:rsidRPr="008F0AED">
        <w:rPr>
          <w:noProof/>
        </w:rPr>
        <w:t>conseguenza la decisione (UE) 2021/1765</w:t>
      </w:r>
      <w:bookmarkEnd w:id="12"/>
      <w:r w:rsidRPr="008F0AED">
        <w:rPr>
          <w:noProof/>
        </w:rPr>
        <w:t xml:space="preserve">, </w:t>
      </w:r>
    </w:p>
    <w:p w:rsidR="00FE4256" w:rsidRPr="008F0AED" w:rsidRDefault="00FE4256" w:rsidP="00313E90">
      <w:pPr>
        <w:pStyle w:val="Formuledadoption"/>
        <w:rPr>
          <w:noProof/>
        </w:rPr>
      </w:pPr>
      <w:r w:rsidRPr="008F0AED">
        <w:rPr>
          <w:noProof/>
        </w:rPr>
        <w:t>HA ADOTTATO LA PRESENTE DECISIONE:</w:t>
      </w:r>
    </w:p>
    <w:p w:rsidR="00FE4256" w:rsidRPr="008F0AED" w:rsidRDefault="00FE4256">
      <w:pPr>
        <w:pStyle w:val="Titrearticle"/>
        <w:rPr>
          <w:noProof/>
        </w:rPr>
      </w:pPr>
      <w:r w:rsidRPr="008F0AED">
        <w:rPr>
          <w:noProof/>
        </w:rPr>
        <w:t>Articolo 1</w:t>
      </w:r>
    </w:p>
    <w:p w:rsidR="00623560" w:rsidRPr="008F0AED" w:rsidRDefault="00623560">
      <w:pPr>
        <w:rPr>
          <w:noProof/>
        </w:rPr>
      </w:pPr>
      <w:r w:rsidRPr="008F0AED">
        <w:rPr>
          <w:noProof/>
        </w:rPr>
        <w:t>La decisione (UE) 2021/1765 è così modificata:</w:t>
      </w:r>
    </w:p>
    <w:p w:rsidR="00623560" w:rsidRPr="008F0AED" w:rsidRDefault="00623560" w:rsidP="0076049A">
      <w:pPr>
        <w:pStyle w:val="Point0"/>
        <w:rPr>
          <w:noProof/>
        </w:rPr>
      </w:pPr>
      <w:r>
        <w:rPr>
          <w:noProof/>
        </w:rPr>
        <w:t>(1)</w:t>
      </w:r>
      <w:r>
        <w:rPr>
          <w:noProof/>
        </w:rPr>
        <w:tab/>
      </w:r>
      <w:r w:rsidRPr="008F0AED">
        <w:rPr>
          <w:noProof/>
        </w:rPr>
        <w:t>l</w:t>
      </w:r>
      <w:r w:rsidR="00865CAC">
        <w:rPr>
          <w:noProof/>
        </w:rPr>
        <w:t>'</w:t>
      </w:r>
      <w:r w:rsidRPr="008F0AED">
        <w:rPr>
          <w:noProof/>
        </w:rPr>
        <w:t>articolo 3 è sostituito dal seguente:</w:t>
      </w:r>
    </w:p>
    <w:p w:rsidR="00D80FA5" w:rsidRPr="008F0AED" w:rsidRDefault="00865CAC" w:rsidP="00894CEF">
      <w:pPr>
        <w:ind w:left="360"/>
        <w:rPr>
          <w:noProof/>
        </w:rPr>
      </w:pPr>
      <w:r>
        <w:rPr>
          <w:noProof/>
        </w:rPr>
        <w:t>"</w:t>
      </w:r>
      <w:bookmarkStart w:id="13" w:name="_Hlk223971387"/>
      <w:r w:rsidR="00623560" w:rsidRPr="008F0AED">
        <w:rPr>
          <w:noProof/>
        </w:rPr>
        <w:t xml:space="preserve">La presente decisione si applica fino al 30 giugno 2038. </w:t>
      </w:r>
    </w:p>
    <w:p w:rsidR="00623560" w:rsidRPr="008F0AED" w:rsidRDefault="00623560" w:rsidP="00894CEF">
      <w:pPr>
        <w:ind w:left="360"/>
        <w:rPr>
          <w:noProof/>
        </w:rPr>
      </w:pPr>
      <w:r w:rsidRPr="008F0AED">
        <w:rPr>
          <w:noProof/>
        </w:rPr>
        <w:t>È valutata secondo necessità e, se del caso, riveduta dal Consiglio su proposta della Commissione. In ogni caso si effettua una revisione entro il 31 dicembre 2036</w:t>
      </w:r>
      <w:bookmarkEnd w:id="13"/>
      <w:r w:rsidRPr="008F0AED">
        <w:rPr>
          <w:noProof/>
        </w:rPr>
        <w:t>.</w:t>
      </w:r>
      <w:r w:rsidR="00865CAC">
        <w:rPr>
          <w:noProof/>
        </w:rPr>
        <w:t>"</w:t>
      </w:r>
      <w:r w:rsidRPr="008F0AED">
        <w:rPr>
          <w:noProof/>
        </w:rPr>
        <w:t>.</w:t>
      </w:r>
    </w:p>
    <w:p w:rsidR="00FE4256" w:rsidRPr="008F0AED" w:rsidRDefault="00FE4256" w:rsidP="00CA6AD4">
      <w:pPr>
        <w:pStyle w:val="Titrearticle"/>
        <w:ind w:left="3600" w:firstLine="720"/>
        <w:jc w:val="both"/>
        <w:rPr>
          <w:noProof/>
        </w:rPr>
      </w:pPr>
      <w:r w:rsidRPr="008F0AED">
        <w:rPr>
          <w:noProof/>
        </w:rPr>
        <w:t>Articolo 2</w:t>
      </w:r>
    </w:p>
    <w:p w:rsidR="00FE4256" w:rsidRPr="008F0AED" w:rsidRDefault="00623560" w:rsidP="00623560">
      <w:pPr>
        <w:rPr>
          <w:noProof/>
        </w:rPr>
      </w:pPr>
      <w:r w:rsidRPr="008F0AED">
        <w:rPr>
          <w:noProof/>
        </w:rPr>
        <w:t xml:space="preserve">La presente decisione entra in vigore il giorno della pubblicazione nella </w:t>
      </w:r>
      <w:r w:rsidRPr="008F0AED">
        <w:rPr>
          <w:i/>
          <w:iCs/>
          <w:noProof/>
        </w:rPr>
        <w:t>Gazzetta ufficiale dell</w:t>
      </w:r>
      <w:r w:rsidR="00865CAC">
        <w:rPr>
          <w:i/>
          <w:iCs/>
          <w:noProof/>
        </w:rPr>
        <w:t>'</w:t>
      </w:r>
      <w:r w:rsidRPr="008F0AED">
        <w:rPr>
          <w:i/>
          <w:iCs/>
          <w:noProof/>
        </w:rPr>
        <w:t>Unione europea</w:t>
      </w:r>
      <w:r w:rsidRPr="008F0AED">
        <w:rPr>
          <w:noProof/>
        </w:rPr>
        <w:t>.</w:t>
      </w:r>
    </w:p>
    <w:p w:rsidR="00794B72" w:rsidRPr="008F0AED" w:rsidRDefault="00794B72" w:rsidP="00623560">
      <w:pPr>
        <w:rPr>
          <w:noProof/>
        </w:rPr>
      </w:pPr>
    </w:p>
    <w:p w:rsidR="00FE4256" w:rsidRPr="008F0AED" w:rsidRDefault="008F0AED" w:rsidP="002C1959">
      <w:pPr>
        <w:pStyle w:val="Fait"/>
        <w:rPr>
          <w:noProof/>
        </w:rPr>
      </w:pPr>
      <w:r>
        <w:rPr>
          <w:noProof/>
        </w:rPr>
        <w:t>Fatto a Bruxelles, il</w:t>
      </w:r>
    </w:p>
    <w:p w:rsidR="00FE4256" w:rsidRPr="008F0AED" w:rsidRDefault="00FE4256" w:rsidP="002C1959">
      <w:pPr>
        <w:pStyle w:val="Institutionquisigne"/>
        <w:rPr>
          <w:noProof/>
        </w:rPr>
      </w:pPr>
      <w:r w:rsidRPr="008F0AED">
        <w:rPr>
          <w:noProof/>
        </w:rPr>
        <w:tab/>
        <w:t>Per il Consiglio</w:t>
      </w:r>
    </w:p>
    <w:p w:rsidR="00FE4256" w:rsidRPr="008F0AED" w:rsidRDefault="00FE4256" w:rsidP="00FE4256">
      <w:pPr>
        <w:pStyle w:val="Personnequisigne"/>
        <w:rPr>
          <w:noProof/>
        </w:rPr>
      </w:pPr>
      <w:r w:rsidRPr="008F0AED">
        <w:rPr>
          <w:noProof/>
        </w:rPr>
        <w:tab/>
        <w:t>Il presidente</w:t>
      </w:r>
    </w:p>
    <w:sectPr w:rsidR="00FE4256" w:rsidRPr="008F0AED" w:rsidSect="00B27FD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B34" w:rsidRDefault="006F4B34" w:rsidP="00FE4256">
      <w:pPr>
        <w:spacing w:before="0" w:after="0"/>
      </w:pPr>
      <w:r>
        <w:separator/>
      </w:r>
    </w:p>
  </w:endnote>
  <w:endnote w:type="continuationSeparator" w:id="0">
    <w:p w:rsidR="006F4B34" w:rsidRDefault="006F4B34" w:rsidP="00FE42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D5" w:rsidRPr="00B27FD5" w:rsidRDefault="00B27FD5" w:rsidP="00B27FD5">
    <w:pPr>
      <w:pStyle w:val="Footer"/>
      <w:rPr>
        <w:rFonts w:ascii="Arial" w:hAnsi="Arial" w:cs="Arial"/>
        <w:b/>
        <w:sz w:val="48"/>
      </w:rPr>
    </w:pPr>
    <w:r w:rsidRPr="00B27FD5">
      <w:rPr>
        <w:rFonts w:ascii="Arial" w:hAnsi="Arial" w:cs="Arial"/>
        <w:b/>
        <w:sz w:val="48"/>
      </w:rPr>
      <w:t>IT</w:t>
    </w:r>
    <w:r w:rsidRPr="00B27FD5">
      <w:rPr>
        <w:rFonts w:ascii="Arial" w:hAnsi="Arial" w:cs="Arial"/>
        <w:b/>
        <w:sz w:val="48"/>
      </w:rPr>
      <w:tab/>
    </w:r>
    <w:r w:rsidRPr="00B27FD5">
      <w:rPr>
        <w:rFonts w:ascii="Arial" w:hAnsi="Arial" w:cs="Arial"/>
        <w:b/>
        <w:sz w:val="48"/>
      </w:rPr>
      <w:tab/>
    </w:r>
    <w:r w:rsidRPr="00B27FD5">
      <w:tab/>
    </w:r>
    <w:r w:rsidRPr="00B27FD5">
      <w:rPr>
        <w:rFonts w:ascii="Arial" w:hAnsi="Arial" w:cs="Arial"/>
        <w:b/>
        <w:sz w:val="48"/>
      </w:rP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D5" w:rsidRPr="00B27FD5" w:rsidRDefault="00B27FD5" w:rsidP="00B27FD5">
    <w:pPr>
      <w:pStyle w:val="Footer"/>
      <w:rPr>
        <w:rFonts w:ascii="Arial" w:hAnsi="Arial" w:cs="Arial"/>
        <w:b/>
        <w:sz w:val="48"/>
      </w:rPr>
    </w:pPr>
    <w:r w:rsidRPr="00B27FD5">
      <w:rPr>
        <w:rFonts w:ascii="Arial" w:hAnsi="Arial" w:cs="Arial"/>
        <w:b/>
        <w:sz w:val="48"/>
      </w:rPr>
      <w:t>IT</w:t>
    </w:r>
    <w:r w:rsidRPr="00B27FD5">
      <w:rPr>
        <w:rFonts w:ascii="Arial" w:hAnsi="Arial" w:cs="Arial"/>
        <w:b/>
        <w:sz w:val="48"/>
      </w:rPr>
      <w:tab/>
    </w:r>
    <w:r w:rsidRPr="00B27FD5">
      <w:rPr>
        <w:rFonts w:ascii="Arial" w:hAnsi="Arial" w:cs="Arial"/>
        <w:b/>
        <w:sz w:val="48"/>
      </w:rPr>
      <w:tab/>
    </w:r>
    <w:r w:rsidRPr="00B27FD5">
      <w:tab/>
    </w:r>
    <w:r w:rsidRPr="00B27FD5">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D5" w:rsidRDefault="00B27F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D5" w:rsidRPr="00B27FD5" w:rsidRDefault="00B27FD5" w:rsidP="00B27FD5">
    <w:pPr>
      <w:pStyle w:val="Footer"/>
      <w:rPr>
        <w:rFonts w:ascii="Arial" w:hAnsi="Arial" w:cs="Arial"/>
        <w:b/>
        <w:sz w:val="48"/>
      </w:rPr>
    </w:pPr>
    <w:r w:rsidRPr="00B27FD5">
      <w:rPr>
        <w:rFonts w:ascii="Arial" w:hAnsi="Arial" w:cs="Arial"/>
        <w:b/>
        <w:sz w:val="48"/>
      </w:rPr>
      <w:t>IT</w:t>
    </w:r>
    <w:r w:rsidRPr="00B27FD5">
      <w:rPr>
        <w:rFonts w:ascii="Arial" w:hAnsi="Arial" w:cs="Arial"/>
        <w:b/>
        <w:sz w:val="48"/>
      </w:rPr>
      <w:tab/>
    </w:r>
    <w:r>
      <w:fldChar w:fldCharType="begin"/>
    </w:r>
    <w:r>
      <w:instrText xml:space="preserve"> PAGE  \* MERGEFORMAT </w:instrText>
    </w:r>
    <w:r>
      <w:fldChar w:fldCharType="separate"/>
    </w:r>
    <w:r w:rsidR="002C1959">
      <w:rPr>
        <w:noProof/>
      </w:rPr>
      <w:t>7</w:t>
    </w:r>
    <w:r>
      <w:fldChar w:fldCharType="end"/>
    </w:r>
    <w:r>
      <w:tab/>
    </w:r>
    <w:r w:rsidRPr="00B27FD5">
      <w:tab/>
    </w:r>
    <w:r w:rsidRPr="00B27FD5">
      <w:rPr>
        <w:rFonts w:ascii="Arial" w:hAnsi="Arial" w:cs="Arial"/>
        <w:b/>
        <w:sz w:val="48"/>
      </w:rPr>
      <w:t>IT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D5" w:rsidRDefault="00B27FD5" w:rsidP="00B27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B34" w:rsidRDefault="006F4B34" w:rsidP="00FE4256">
      <w:pPr>
        <w:spacing w:before="0" w:after="0"/>
      </w:pPr>
      <w:r>
        <w:separator/>
      </w:r>
    </w:p>
  </w:footnote>
  <w:footnote w:type="continuationSeparator" w:id="0">
    <w:p w:rsidR="006F4B34" w:rsidRDefault="006F4B34" w:rsidP="00FE4256">
      <w:pPr>
        <w:spacing w:before="0" w:after="0"/>
      </w:pPr>
      <w:r>
        <w:continuationSeparator/>
      </w:r>
    </w:p>
  </w:footnote>
  <w:footnote w:id="1">
    <w:p w:rsidR="00C36D01" w:rsidRPr="00894CEF" w:rsidRDefault="00C36D01" w:rsidP="00C36D01">
      <w:pPr>
        <w:pStyle w:val="FootnoteText"/>
      </w:pPr>
      <w:r>
        <w:rPr>
          <w:rStyle w:val="FootnoteReference"/>
        </w:rPr>
        <w:footnoteRef/>
      </w:r>
      <w:r>
        <w:tab/>
        <w:t>Decisione (UE) 2021/1765 del Consiglio, del 5 ottobre 2021, relativa alla posizione che deve essere adottata a nome dell</w:t>
      </w:r>
      <w:r w:rsidR="00865CAC">
        <w:t>'</w:t>
      </w:r>
      <w:r>
        <w:t>Unione europea per il periodo 2021-2026 in sede di comitato specializzato per la pesca istituito dall</w:t>
      </w:r>
      <w:r w:rsidR="00865CAC">
        <w:t>'</w:t>
      </w:r>
      <w:r>
        <w:t>accordo sugli scambi e la cooperazione tra l</w:t>
      </w:r>
      <w:r w:rsidR="00865CAC">
        <w:t>'</w:t>
      </w:r>
      <w:r>
        <w:t>Unione europea e la Comunità europea dell</w:t>
      </w:r>
      <w:r w:rsidR="00865CAC">
        <w:t>'</w:t>
      </w:r>
      <w:r>
        <w:t>energia atomica, da una parte, e il Regno Unito di Gran Bretagna e Irlanda del Nord, dall</w:t>
      </w:r>
      <w:r w:rsidR="00865CAC">
        <w:t>'</w:t>
      </w:r>
      <w:r>
        <w:t>altra (GU</w:t>
      </w:r>
      <w:r w:rsidR="00865CAC">
        <w:t> </w:t>
      </w:r>
      <w:r>
        <w:t>L 355 del 7.10.2021, pag. 135,</w:t>
      </w:r>
      <w:r>
        <w:rPr>
          <w:rFonts w:ascii="Roboto" w:hAnsi="Roboto"/>
          <w:color w:val="333333"/>
          <w:sz w:val="21"/>
          <w:shd w:val="clear" w:color="auto" w:fill="FFFFFF"/>
        </w:rPr>
        <w:t xml:space="preserve"> </w:t>
      </w:r>
      <w:r>
        <w:t>ELI: </w:t>
      </w:r>
      <w:hyperlink r:id="rId1" w:tooltip="Accesso al documento tramite l'URI dell'ELI." w:history="1">
        <w:r>
          <w:rPr>
            <w:rStyle w:val="Hyperlink"/>
            <w:u w:val="none"/>
          </w:rPr>
          <w:t>http://data.europa.eu/eli/dec/2021/1765/oj</w:t>
        </w:r>
      </w:hyperlink>
      <w:r>
        <w:t>).</w:t>
      </w:r>
    </w:p>
  </w:footnote>
  <w:footnote w:id="2">
    <w:p w:rsidR="00387A3D" w:rsidRPr="00AD10FF" w:rsidRDefault="00387A3D" w:rsidP="00387A3D">
      <w:pPr>
        <w:pStyle w:val="FootnoteText"/>
      </w:pPr>
      <w:r>
        <w:rPr>
          <w:rStyle w:val="FootnoteReference"/>
        </w:rPr>
        <w:footnoteRef/>
      </w:r>
      <w:r>
        <w:tab/>
        <w:t>Accordo sugli scambi commerciali e la cooperazione tra l</w:t>
      </w:r>
      <w:r w:rsidR="00865CAC">
        <w:t>'</w:t>
      </w:r>
      <w:r>
        <w:t>Unione europea e la Comunità europea dell</w:t>
      </w:r>
      <w:r w:rsidR="00865CAC">
        <w:t>'</w:t>
      </w:r>
      <w:r>
        <w:t>energia atomica, da una parte, e il Regno Unito di Gran Bretagna e Irlanda del Nord, dall</w:t>
      </w:r>
      <w:r w:rsidR="00865CAC">
        <w:t>'</w:t>
      </w:r>
      <w:r>
        <w:t>altra (GU</w:t>
      </w:r>
      <w:r w:rsidR="00865CAC">
        <w:t> </w:t>
      </w:r>
      <w:r>
        <w:t>L 149 del 30.4.2021, pag. 10, ELI: </w:t>
      </w:r>
      <w:hyperlink r:id="rId2" w:tooltip="Accesso al documento tramite l'URI dell'ELI." w:history="1">
        <w:r>
          <w:rPr>
            <w:rStyle w:val="Hyperlink"/>
          </w:rPr>
          <w:t>http://data.europa.eu/eli/agree_internation/2021/689(1)/oj</w:t>
        </w:r>
      </w:hyperlink>
      <w:r>
        <w:t>).</w:t>
      </w:r>
    </w:p>
  </w:footnote>
  <w:footnote w:id="3">
    <w:p w:rsidR="00BA7AFD" w:rsidRPr="00894CEF" w:rsidRDefault="00BA7AFD" w:rsidP="00B95164">
      <w:pPr>
        <w:pStyle w:val="FootnoteText"/>
      </w:pPr>
      <w:r>
        <w:rPr>
          <w:rStyle w:val="FootnoteReference"/>
        </w:rPr>
        <w:footnoteRef/>
      </w:r>
      <w:r>
        <w:tab/>
        <w:t>Regolamento (UE) 2018/973 del Parlamento europeo e del Consiglio, del 4 luglio 2018, che istituisce un piano pluriennale per gli stock demersali nel Mare del Nord e per le attività di pesca che sfruttano tali stock, precisa i dettagli dell</w:t>
      </w:r>
      <w:r w:rsidR="00865CAC">
        <w:t>'</w:t>
      </w:r>
      <w:r>
        <w:t>attuazione dell</w:t>
      </w:r>
      <w:r w:rsidR="00865CAC">
        <w:t>'</w:t>
      </w:r>
      <w:r>
        <w:t>obbligo di sbarco nel Mare del Nord e abroga i regolamenti (CE) n. 676/2007 e (CE) n. 1342/2008 del Consiglio (GU L 179 del 16.7.2018, pag. 1, ELI: </w:t>
      </w:r>
      <w:hyperlink r:id="rId3" w:tooltip="Accesso al documento tramite l'URI dell'ELI." w:history="1">
        <w:r>
          <w:rPr>
            <w:rStyle w:val="Hyperlink"/>
          </w:rPr>
          <w:t>http://data.europa.eu/eli/reg/2018/973/oj</w:t>
        </w:r>
      </w:hyperlink>
      <w:r>
        <w:t>).</w:t>
      </w:r>
    </w:p>
  </w:footnote>
  <w:footnote w:id="4">
    <w:p w:rsidR="00BA7AFD" w:rsidRPr="00894CEF" w:rsidRDefault="00BA7AFD" w:rsidP="00BA7AFD">
      <w:pPr>
        <w:pStyle w:val="FootnoteText"/>
      </w:pPr>
      <w:r>
        <w:rPr>
          <w:rStyle w:val="FootnoteReference"/>
        </w:rPr>
        <w:footnoteRef/>
      </w:r>
      <w:r>
        <w:tab/>
        <w:t>Regolamento (UE) 2019/472 del Parlamento europeo e del Consiglio, del 19 marzo 2019, che istituisce un piano pluriennale per gli stock pescati nelle acque occidentali e nelle acque adiacenti e per le attività di pesca che sfruttano questi stock, modifica i regolamenti (UE) 2016/1139 e (UE) 2018/973, e abroga i regolamenti (CE) n. 811/2004, (CE) n. 2166/2005, (CE) n. 388/2006, (CE) n. 509/2007 e (CE)</w:t>
      </w:r>
      <w:r w:rsidR="00865CAC">
        <w:t> </w:t>
      </w:r>
      <w:r>
        <w:t>n. 1300/2008 del Consiglio (GU L 83 del 25.3.2019, pag. 1, ELI: </w:t>
      </w:r>
      <w:hyperlink r:id="rId4" w:tooltip="Accesso al documento tramite l'URI dell'ELI." w:history="1">
        <w:r>
          <w:rPr>
            <w:rStyle w:val="Hyperlink"/>
          </w:rPr>
          <w:t>http://data.europa.eu/eli/reg/2019/472/oj</w:t>
        </w:r>
      </w:hyperlink>
      <w:r>
        <w:t xml:space="preserve">). </w:t>
      </w:r>
    </w:p>
    <w:p w:rsidR="00BA7AFD" w:rsidRPr="00865CAC" w:rsidRDefault="00BA7AFD">
      <w:pPr>
        <w:pStyle w:val="FootnoteText"/>
      </w:pPr>
    </w:p>
  </w:footnote>
  <w:footnote w:id="5">
    <w:p w:rsidR="00FE4256" w:rsidRPr="00B035F8" w:rsidRDefault="00FE4256">
      <w:pPr>
        <w:pStyle w:val="FootnoteText"/>
      </w:pPr>
      <w:r>
        <w:rPr>
          <w:rStyle w:val="FootnoteReference"/>
        </w:rPr>
        <w:footnoteRef/>
      </w:r>
      <w:r w:rsidR="00865CAC">
        <w:tab/>
      </w:r>
      <w:r>
        <w:t xml:space="preserve">Sentenza della Corte di giustizia del 7 ottobre 2014, Germania/Consiglio, C-399/12, ECLI:EU:C:2014:2258, punti 61-64. </w:t>
      </w:r>
    </w:p>
  </w:footnote>
  <w:footnote w:id="6">
    <w:p w:rsidR="00B315A5" w:rsidRPr="00894CEF" w:rsidRDefault="00B315A5" w:rsidP="00B315A5">
      <w:pPr>
        <w:pStyle w:val="FootnoteText"/>
      </w:pPr>
      <w:r>
        <w:rPr>
          <w:rStyle w:val="FootnoteReference"/>
        </w:rPr>
        <w:footnoteRef/>
      </w:r>
      <w:r>
        <w:tab/>
        <w:t>Decisione (UE) 2021/1765 del Consiglio, del 5 ottobre 2021, relativa alla posizione che deve essere adottata a nome dell</w:t>
      </w:r>
      <w:r w:rsidR="00865CAC">
        <w:t>'</w:t>
      </w:r>
      <w:r>
        <w:t>Unione europea per il periodo 2021-2026 in sede di comitato specializzato per la pesca istituito dall</w:t>
      </w:r>
      <w:r w:rsidR="00865CAC">
        <w:t>'</w:t>
      </w:r>
      <w:r>
        <w:t>accordo sugli scambi e la cooperazione tra l</w:t>
      </w:r>
      <w:r w:rsidR="00865CAC">
        <w:t>'</w:t>
      </w:r>
      <w:r>
        <w:t>Unione europea e la Comunità europea dell</w:t>
      </w:r>
      <w:r w:rsidR="00865CAC">
        <w:t>'</w:t>
      </w:r>
      <w:r>
        <w:t>energia atomica, da una parte, e il Regno Unito di Gran Bretagna e Irlanda del Nord, dall</w:t>
      </w:r>
      <w:r w:rsidR="00865CAC">
        <w:t>'</w:t>
      </w:r>
      <w:r>
        <w:t>altra (GU</w:t>
      </w:r>
      <w:r w:rsidR="00865CAC">
        <w:t> </w:t>
      </w:r>
      <w:r>
        <w:t>L 355 del 7.10.2021, pag. 135, ELI: </w:t>
      </w:r>
      <w:hyperlink r:id="rId5" w:tooltip="Accesso al documento tramite l'URI dell'ELI." w:history="1">
        <w:r>
          <w:rPr>
            <w:rStyle w:val="Hyperlink"/>
          </w:rPr>
          <w:t>http://data.europa.eu/eli/dec/2021/1765/oj</w:t>
        </w:r>
      </w:hyperlink>
      <w:r>
        <w:t>).</w:t>
      </w:r>
    </w:p>
    <w:p w:rsidR="00B315A5" w:rsidRPr="00865CAC" w:rsidRDefault="00B315A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D5" w:rsidRDefault="00B27F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D5" w:rsidRDefault="00B27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740AB8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E62FE2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18511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420F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1:39: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EA27AE5-2DC6-4783-BE21-FD690977F0C7"/>
    <w:docVar w:name="LW_COVERPAGE_TYPE" w:val="1"/>
    <w:docVar w:name="LW_CreatedUtc" w:val="2026-02-26T13:27:18.9580519Z"/>
    <w:docVar w:name="LW_CROSSREFERENCE" w:val="&lt;UNUSED&gt;"/>
    <w:docVar w:name="LW_DocType" w:val="COM"/>
    <w:docVar w:name="LW_EMISSION" w:val="23.6.2026"/>
    <w:docVar w:name="LW_EMISSION_ISODATE" w:val="2026-06-2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NLE"/>
    <w:docVar w:name="LW_REF.II.NEW.CP_NUMBER" w:val="0158"/>
    <w:docVar w:name="LW_REF.II.NEW.CP_YEAR" w:val="2026"/>
    <w:docVar w:name="LW_REF.INST.NEW" w:val="COM"/>
    <w:docVar w:name="LW_REF.INST.NEW_ADOPTED" w:val="final"/>
    <w:docVar w:name="LW_REF.INST.NEW_TEXT" w:val="(2026) 2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di"/>
    <w:docVar w:name="LW_SUPERTITRE" w:val="&lt;UNUSED&gt;"/>
    <w:docVar w:name="LW_TITRE.OBJ.CP" w:val="che modifica la decisione (UE) 2021/1765 del Consiglio, del 5 ottobre 2021, relativa alla posizione che deve essere adottata a nome dell'Unione europea per il periodo 2021-2026 in sede di comitato specializzato per la pesca istituito dall'accordo sugli scambi e la cooperazione tra l'Unione europea e la Comunità europea dell'energia atomica, da una parte, e il Regno Unito di Gran Bretagna e Irlanda del Nord, dall'altra"/>
    <w:docVar w:name="LW_TYPE.DOC.CP" w:val="DECISIONE DEL CONSIGLIO"/>
    <w:docVar w:name="LwApiVersions" w:val="LW4CoDe 1.24.5.0; LW 9.2, Build 20251112"/>
  </w:docVars>
  <w:rsids>
    <w:rsidRoot w:val="00FE4256"/>
    <w:rsid w:val="00003B11"/>
    <w:rsid w:val="00010957"/>
    <w:rsid w:val="000177FD"/>
    <w:rsid w:val="00037485"/>
    <w:rsid w:val="00057EE3"/>
    <w:rsid w:val="0007014E"/>
    <w:rsid w:val="00085F53"/>
    <w:rsid w:val="000961A1"/>
    <w:rsid w:val="000A0A18"/>
    <w:rsid w:val="000B1324"/>
    <w:rsid w:val="000B3E4B"/>
    <w:rsid w:val="000B536C"/>
    <w:rsid w:val="000B5F9A"/>
    <w:rsid w:val="000E2E5C"/>
    <w:rsid w:val="001065F5"/>
    <w:rsid w:val="0011425F"/>
    <w:rsid w:val="001238EF"/>
    <w:rsid w:val="00152B96"/>
    <w:rsid w:val="001653EA"/>
    <w:rsid w:val="00166BCF"/>
    <w:rsid w:val="00195F66"/>
    <w:rsid w:val="00196719"/>
    <w:rsid w:val="00197613"/>
    <w:rsid w:val="00197803"/>
    <w:rsid w:val="001C27BE"/>
    <w:rsid w:val="001C5C4A"/>
    <w:rsid w:val="001F1B26"/>
    <w:rsid w:val="00205A52"/>
    <w:rsid w:val="00233DC7"/>
    <w:rsid w:val="00237D51"/>
    <w:rsid w:val="0024261D"/>
    <w:rsid w:val="00246C39"/>
    <w:rsid w:val="00246D79"/>
    <w:rsid w:val="00247779"/>
    <w:rsid w:val="00250F73"/>
    <w:rsid w:val="00252269"/>
    <w:rsid w:val="002528DA"/>
    <w:rsid w:val="00253BC8"/>
    <w:rsid w:val="002569EF"/>
    <w:rsid w:val="002730ED"/>
    <w:rsid w:val="00285BEE"/>
    <w:rsid w:val="00294F23"/>
    <w:rsid w:val="0029533F"/>
    <w:rsid w:val="002A47F8"/>
    <w:rsid w:val="002A5027"/>
    <w:rsid w:val="002B30AF"/>
    <w:rsid w:val="002C1959"/>
    <w:rsid w:val="002C7D79"/>
    <w:rsid w:val="002E0A08"/>
    <w:rsid w:val="002F0B9C"/>
    <w:rsid w:val="002F3FC7"/>
    <w:rsid w:val="00300B17"/>
    <w:rsid w:val="0030494A"/>
    <w:rsid w:val="00305DE7"/>
    <w:rsid w:val="00313E90"/>
    <w:rsid w:val="00313EBA"/>
    <w:rsid w:val="00316679"/>
    <w:rsid w:val="0033344A"/>
    <w:rsid w:val="00337EFD"/>
    <w:rsid w:val="00340F99"/>
    <w:rsid w:val="00355499"/>
    <w:rsid w:val="0036070A"/>
    <w:rsid w:val="0036152F"/>
    <w:rsid w:val="003637DE"/>
    <w:rsid w:val="00363FBD"/>
    <w:rsid w:val="00364463"/>
    <w:rsid w:val="003765E0"/>
    <w:rsid w:val="003820CB"/>
    <w:rsid w:val="00382EED"/>
    <w:rsid w:val="00387A3D"/>
    <w:rsid w:val="00391C6F"/>
    <w:rsid w:val="003A0BBF"/>
    <w:rsid w:val="003C6091"/>
    <w:rsid w:val="003E7F65"/>
    <w:rsid w:val="003F56D1"/>
    <w:rsid w:val="00405517"/>
    <w:rsid w:val="00407C1A"/>
    <w:rsid w:val="00425D84"/>
    <w:rsid w:val="0042648E"/>
    <w:rsid w:val="0044069F"/>
    <w:rsid w:val="00444E7E"/>
    <w:rsid w:val="00470033"/>
    <w:rsid w:val="004936D2"/>
    <w:rsid w:val="004A4948"/>
    <w:rsid w:val="004A7F06"/>
    <w:rsid w:val="004C67E2"/>
    <w:rsid w:val="004C7481"/>
    <w:rsid w:val="004F2D2A"/>
    <w:rsid w:val="004F56D4"/>
    <w:rsid w:val="005129BA"/>
    <w:rsid w:val="00553D5C"/>
    <w:rsid w:val="00562765"/>
    <w:rsid w:val="00580643"/>
    <w:rsid w:val="005870A1"/>
    <w:rsid w:val="005B1EB6"/>
    <w:rsid w:val="005B25ED"/>
    <w:rsid w:val="005C141D"/>
    <w:rsid w:val="005D1F90"/>
    <w:rsid w:val="005E3CDB"/>
    <w:rsid w:val="005F13AA"/>
    <w:rsid w:val="00623560"/>
    <w:rsid w:val="00624BF0"/>
    <w:rsid w:val="00630610"/>
    <w:rsid w:val="006442B3"/>
    <w:rsid w:val="00651799"/>
    <w:rsid w:val="00696E99"/>
    <w:rsid w:val="006A1F72"/>
    <w:rsid w:val="006B07B5"/>
    <w:rsid w:val="006D19F4"/>
    <w:rsid w:val="006F4AD4"/>
    <w:rsid w:val="006F4B34"/>
    <w:rsid w:val="00707BF0"/>
    <w:rsid w:val="00752A68"/>
    <w:rsid w:val="0076049A"/>
    <w:rsid w:val="00773331"/>
    <w:rsid w:val="00786FC5"/>
    <w:rsid w:val="007932EF"/>
    <w:rsid w:val="00794B72"/>
    <w:rsid w:val="007A0822"/>
    <w:rsid w:val="007A500D"/>
    <w:rsid w:val="007C601E"/>
    <w:rsid w:val="007D0148"/>
    <w:rsid w:val="007E05B0"/>
    <w:rsid w:val="007F0C2E"/>
    <w:rsid w:val="007F53D1"/>
    <w:rsid w:val="008120C4"/>
    <w:rsid w:val="00812EE2"/>
    <w:rsid w:val="00813554"/>
    <w:rsid w:val="008273C5"/>
    <w:rsid w:val="00842717"/>
    <w:rsid w:val="00865CAC"/>
    <w:rsid w:val="00874D22"/>
    <w:rsid w:val="00894CEF"/>
    <w:rsid w:val="008A2914"/>
    <w:rsid w:val="008A3C7A"/>
    <w:rsid w:val="008B40B5"/>
    <w:rsid w:val="008B4F40"/>
    <w:rsid w:val="008C70B5"/>
    <w:rsid w:val="008E4D8E"/>
    <w:rsid w:val="008F0AED"/>
    <w:rsid w:val="008F1BC8"/>
    <w:rsid w:val="00925FF3"/>
    <w:rsid w:val="009413D6"/>
    <w:rsid w:val="00954DF5"/>
    <w:rsid w:val="00956B71"/>
    <w:rsid w:val="00962311"/>
    <w:rsid w:val="00975367"/>
    <w:rsid w:val="00995837"/>
    <w:rsid w:val="009C493B"/>
    <w:rsid w:val="009C50C6"/>
    <w:rsid w:val="009C545D"/>
    <w:rsid w:val="009C7BA0"/>
    <w:rsid w:val="009D00BF"/>
    <w:rsid w:val="009D0183"/>
    <w:rsid w:val="009D23FB"/>
    <w:rsid w:val="009D392B"/>
    <w:rsid w:val="00A133D1"/>
    <w:rsid w:val="00A162B1"/>
    <w:rsid w:val="00A5592E"/>
    <w:rsid w:val="00A6566B"/>
    <w:rsid w:val="00A67022"/>
    <w:rsid w:val="00A82DA8"/>
    <w:rsid w:val="00A879F0"/>
    <w:rsid w:val="00A903CC"/>
    <w:rsid w:val="00A95BE2"/>
    <w:rsid w:val="00A973FE"/>
    <w:rsid w:val="00AB3A50"/>
    <w:rsid w:val="00AD45BC"/>
    <w:rsid w:val="00AD6063"/>
    <w:rsid w:val="00AE4FC7"/>
    <w:rsid w:val="00AE5B0C"/>
    <w:rsid w:val="00AE6470"/>
    <w:rsid w:val="00AF2F82"/>
    <w:rsid w:val="00B02FA8"/>
    <w:rsid w:val="00B02FE6"/>
    <w:rsid w:val="00B20F49"/>
    <w:rsid w:val="00B27FD5"/>
    <w:rsid w:val="00B30EB2"/>
    <w:rsid w:val="00B315A5"/>
    <w:rsid w:val="00B3554A"/>
    <w:rsid w:val="00B72277"/>
    <w:rsid w:val="00B8538F"/>
    <w:rsid w:val="00B95164"/>
    <w:rsid w:val="00BA0E5A"/>
    <w:rsid w:val="00BA7AFD"/>
    <w:rsid w:val="00BE57B3"/>
    <w:rsid w:val="00BE7F0B"/>
    <w:rsid w:val="00C054C7"/>
    <w:rsid w:val="00C12301"/>
    <w:rsid w:val="00C1284A"/>
    <w:rsid w:val="00C23AD9"/>
    <w:rsid w:val="00C3660B"/>
    <w:rsid w:val="00C36D01"/>
    <w:rsid w:val="00C55AE7"/>
    <w:rsid w:val="00C61639"/>
    <w:rsid w:val="00C75452"/>
    <w:rsid w:val="00C80CB5"/>
    <w:rsid w:val="00CA6AD4"/>
    <w:rsid w:val="00CA7632"/>
    <w:rsid w:val="00CC4DD3"/>
    <w:rsid w:val="00CC4F8D"/>
    <w:rsid w:val="00CC57AE"/>
    <w:rsid w:val="00CE016E"/>
    <w:rsid w:val="00CE58A9"/>
    <w:rsid w:val="00CF7600"/>
    <w:rsid w:val="00CF7989"/>
    <w:rsid w:val="00D01D8C"/>
    <w:rsid w:val="00D03E41"/>
    <w:rsid w:val="00D112C0"/>
    <w:rsid w:val="00D20381"/>
    <w:rsid w:val="00D43904"/>
    <w:rsid w:val="00D56F1B"/>
    <w:rsid w:val="00D71AD7"/>
    <w:rsid w:val="00D73721"/>
    <w:rsid w:val="00D74ADE"/>
    <w:rsid w:val="00D80FA5"/>
    <w:rsid w:val="00D826A2"/>
    <w:rsid w:val="00D8508B"/>
    <w:rsid w:val="00D86754"/>
    <w:rsid w:val="00D8786D"/>
    <w:rsid w:val="00D93D02"/>
    <w:rsid w:val="00DA0041"/>
    <w:rsid w:val="00DD0C77"/>
    <w:rsid w:val="00DD31B8"/>
    <w:rsid w:val="00DD3396"/>
    <w:rsid w:val="00DD4A6C"/>
    <w:rsid w:val="00DE1F24"/>
    <w:rsid w:val="00DF2C8D"/>
    <w:rsid w:val="00DF3882"/>
    <w:rsid w:val="00DF7ED2"/>
    <w:rsid w:val="00E1219D"/>
    <w:rsid w:val="00E13777"/>
    <w:rsid w:val="00E34B72"/>
    <w:rsid w:val="00E43579"/>
    <w:rsid w:val="00E524DC"/>
    <w:rsid w:val="00E55AEB"/>
    <w:rsid w:val="00E664ED"/>
    <w:rsid w:val="00E66DA1"/>
    <w:rsid w:val="00E71797"/>
    <w:rsid w:val="00E7182D"/>
    <w:rsid w:val="00E73AA1"/>
    <w:rsid w:val="00E82947"/>
    <w:rsid w:val="00E84336"/>
    <w:rsid w:val="00E90D64"/>
    <w:rsid w:val="00E91A62"/>
    <w:rsid w:val="00E972BE"/>
    <w:rsid w:val="00EB66C2"/>
    <w:rsid w:val="00EC6E1E"/>
    <w:rsid w:val="00ED3954"/>
    <w:rsid w:val="00ED70EE"/>
    <w:rsid w:val="00EE08B1"/>
    <w:rsid w:val="00F05A8F"/>
    <w:rsid w:val="00F06D43"/>
    <w:rsid w:val="00F14B45"/>
    <w:rsid w:val="00F41C98"/>
    <w:rsid w:val="00F52554"/>
    <w:rsid w:val="00F61F19"/>
    <w:rsid w:val="00F67E4C"/>
    <w:rsid w:val="00F76FFB"/>
    <w:rsid w:val="00F95170"/>
    <w:rsid w:val="00F96027"/>
    <w:rsid w:val="00FA4369"/>
    <w:rsid w:val="00FC38F8"/>
    <w:rsid w:val="00FE0909"/>
    <w:rsid w:val="00FE3B39"/>
    <w:rsid w:val="00FE4256"/>
    <w:rsid w:val="00FF4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CA8911C-5EB9-4D8C-A5E4-60B8B730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E4256"/>
    <w:pPr>
      <w:spacing w:after="0" w:line="240" w:lineRule="auto"/>
    </w:pPr>
    <w:rPr>
      <w:rFonts w:ascii="Times New Roman" w:hAnsi="Times New Roman" w:cs="Times New Roman"/>
      <w:sz w:val="24"/>
    </w:rPr>
  </w:style>
  <w:style w:type="character" w:styleId="Emphasis">
    <w:name w:val="Emphasis"/>
    <w:basedOn w:val="DefaultParagraphFont"/>
    <w:uiPriority w:val="20"/>
    <w:qFormat/>
    <w:rsid w:val="00ED3954"/>
    <w:rPr>
      <w:i/>
      <w:iCs/>
    </w:rPr>
  </w:style>
  <w:style w:type="character" w:styleId="Hyperlink">
    <w:name w:val="Hyperlink"/>
    <w:basedOn w:val="DefaultParagraphFont"/>
    <w:uiPriority w:val="99"/>
    <w:unhideWhenUsed/>
    <w:rsid w:val="00B315A5"/>
    <w:rPr>
      <w:color w:val="0000FF" w:themeColor="hyperlink"/>
      <w:u w:val="single"/>
    </w:rPr>
  </w:style>
  <w:style w:type="character" w:customStyle="1" w:styleId="UnresolvedMention">
    <w:name w:val="Unresolved Mention"/>
    <w:basedOn w:val="DefaultParagraphFont"/>
    <w:uiPriority w:val="99"/>
    <w:semiHidden/>
    <w:unhideWhenUsed/>
    <w:rsid w:val="00B315A5"/>
    <w:rPr>
      <w:color w:val="605E5C"/>
      <w:shd w:val="clear" w:color="auto" w:fill="E1DFDD"/>
    </w:rPr>
  </w:style>
  <w:style w:type="paragraph" w:styleId="ListParagraph">
    <w:name w:val="List Paragraph"/>
    <w:basedOn w:val="Normal"/>
    <w:uiPriority w:val="34"/>
    <w:qFormat/>
    <w:rsid w:val="00623560"/>
    <w:pPr>
      <w:ind w:left="720"/>
      <w:contextualSpacing/>
    </w:pPr>
  </w:style>
  <w:style w:type="character" w:styleId="CommentReference">
    <w:name w:val="annotation reference"/>
    <w:basedOn w:val="DefaultParagraphFont"/>
    <w:uiPriority w:val="99"/>
    <w:semiHidden/>
    <w:unhideWhenUsed/>
    <w:rsid w:val="00623560"/>
    <w:rPr>
      <w:sz w:val="16"/>
      <w:szCs w:val="16"/>
    </w:rPr>
  </w:style>
  <w:style w:type="paragraph" w:styleId="CommentText">
    <w:name w:val="annotation text"/>
    <w:basedOn w:val="Normal"/>
    <w:link w:val="CommentTextChar"/>
    <w:uiPriority w:val="99"/>
    <w:unhideWhenUsed/>
    <w:rsid w:val="00623560"/>
    <w:rPr>
      <w:sz w:val="20"/>
      <w:szCs w:val="20"/>
    </w:rPr>
  </w:style>
  <w:style w:type="character" w:customStyle="1" w:styleId="CommentTextChar">
    <w:name w:val="Comment Text Char"/>
    <w:basedOn w:val="DefaultParagraphFont"/>
    <w:link w:val="CommentText"/>
    <w:uiPriority w:val="99"/>
    <w:rsid w:val="00623560"/>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623560"/>
    <w:rPr>
      <w:b/>
      <w:bCs/>
    </w:rPr>
  </w:style>
  <w:style w:type="character" w:customStyle="1" w:styleId="CommentSubjectChar">
    <w:name w:val="Comment Subject Char"/>
    <w:basedOn w:val="CommentTextChar"/>
    <w:link w:val="CommentSubject"/>
    <w:uiPriority w:val="99"/>
    <w:semiHidden/>
    <w:rsid w:val="00623560"/>
    <w:rPr>
      <w:rFonts w:ascii="Times New Roman" w:hAnsi="Times New Roman" w:cs="Times New Roman"/>
      <w:b/>
      <w:bCs/>
      <w:sz w:val="20"/>
      <w:szCs w:val="20"/>
      <w:lang w:val="it-IT"/>
    </w:rPr>
  </w:style>
  <w:style w:type="character" w:customStyle="1" w:styleId="normaltextrun">
    <w:name w:val="normaltextrun"/>
    <w:basedOn w:val="DefaultParagraphFont"/>
    <w:rsid w:val="00D826A2"/>
  </w:style>
  <w:style w:type="paragraph" w:styleId="ListBullet">
    <w:name w:val="List Bullet"/>
    <w:basedOn w:val="Normal"/>
    <w:uiPriority w:val="99"/>
    <w:semiHidden/>
    <w:unhideWhenUsed/>
    <w:rsid w:val="00FF4FE0"/>
    <w:pPr>
      <w:numPr>
        <w:numId w:val="1"/>
      </w:numPr>
      <w:contextualSpacing/>
    </w:pPr>
  </w:style>
  <w:style w:type="paragraph" w:styleId="ListBullet2">
    <w:name w:val="List Bullet 2"/>
    <w:basedOn w:val="Normal"/>
    <w:uiPriority w:val="99"/>
    <w:semiHidden/>
    <w:unhideWhenUsed/>
    <w:rsid w:val="00FF4FE0"/>
    <w:pPr>
      <w:numPr>
        <w:numId w:val="2"/>
      </w:numPr>
      <w:contextualSpacing/>
    </w:pPr>
  </w:style>
  <w:style w:type="paragraph" w:styleId="ListBullet3">
    <w:name w:val="List Bullet 3"/>
    <w:basedOn w:val="Normal"/>
    <w:uiPriority w:val="99"/>
    <w:semiHidden/>
    <w:unhideWhenUsed/>
    <w:rsid w:val="00FF4FE0"/>
    <w:pPr>
      <w:numPr>
        <w:numId w:val="3"/>
      </w:numPr>
      <w:contextualSpacing/>
    </w:pPr>
  </w:style>
  <w:style w:type="paragraph" w:styleId="ListBullet4">
    <w:name w:val="List Bullet 4"/>
    <w:basedOn w:val="Normal"/>
    <w:uiPriority w:val="99"/>
    <w:semiHidden/>
    <w:unhideWhenUsed/>
    <w:rsid w:val="00FF4FE0"/>
    <w:pPr>
      <w:numPr>
        <w:numId w:val="4"/>
      </w:numPr>
      <w:contextualSpacing/>
    </w:pPr>
  </w:style>
  <w:style w:type="character" w:styleId="FollowedHyperlink">
    <w:name w:val="FollowedHyperlink"/>
    <w:basedOn w:val="DefaultParagraphFont"/>
    <w:uiPriority w:val="99"/>
    <w:semiHidden/>
    <w:unhideWhenUsed/>
    <w:rsid w:val="00F67E4C"/>
    <w:rPr>
      <w:color w:val="800080" w:themeColor="followedHyperlink"/>
      <w:u w:val="single"/>
    </w:rPr>
  </w:style>
  <w:style w:type="character" w:customStyle="1" w:styleId="HeaderChar">
    <w:name w:val="Header Char"/>
    <w:basedOn w:val="DefaultParagraphFont"/>
    <w:link w:val="Header"/>
    <w:uiPriority w:val="99"/>
    <w:rsid w:val="00B27FD5"/>
    <w:rPr>
      <w:rFonts w:ascii="Times New Roman" w:hAnsi="Times New Roman" w:cs="Times New Roman"/>
      <w:sz w:val="24"/>
      <w:lang w:val="it-IT"/>
    </w:rPr>
  </w:style>
  <w:style w:type="character" w:customStyle="1" w:styleId="FooterChar">
    <w:name w:val="Footer Char"/>
    <w:basedOn w:val="DefaultParagraphFont"/>
    <w:link w:val="Footer"/>
    <w:uiPriority w:val="99"/>
    <w:rsid w:val="00B27FD5"/>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it-IT"/>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it-IT"/>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it-IT"/>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it-IT"/>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it-IT"/>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it-IT"/>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it-IT"/>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27FD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27FD5"/>
    <w:pPr>
      <w:spacing w:before="0"/>
      <w:jc w:val="right"/>
    </w:pPr>
    <w:rPr>
      <w:sz w:val="28"/>
    </w:rPr>
  </w:style>
  <w:style w:type="paragraph" w:customStyle="1" w:styleId="FooterSensitivity">
    <w:name w:val="Footer Sensitivity"/>
    <w:basedOn w:val="Normal"/>
    <w:rsid w:val="00B27FD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27FD5"/>
    <w:pPr>
      <w:tabs>
        <w:tab w:val="center" w:pos="4535"/>
        <w:tab w:val="right" w:pos="9071"/>
      </w:tabs>
      <w:spacing w:before="0"/>
    </w:pPr>
  </w:style>
  <w:style w:type="paragraph" w:customStyle="1" w:styleId="HeaderLandscape">
    <w:name w:val="HeaderLandscape"/>
    <w:basedOn w:val="Normal"/>
    <w:rsid w:val="00B27FD5"/>
    <w:pPr>
      <w:tabs>
        <w:tab w:val="center" w:pos="7285"/>
        <w:tab w:val="right" w:pos="14003"/>
      </w:tabs>
      <w:spacing w:before="0"/>
    </w:pPr>
  </w:style>
  <w:style w:type="paragraph" w:styleId="Footer">
    <w:name w:val="footer"/>
    <w:basedOn w:val="Normal"/>
    <w:link w:val="FooterChar"/>
    <w:uiPriority w:val="99"/>
    <w:unhideWhenUsed/>
    <w:rsid w:val="00B27FD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27FD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03720">
      <w:bodyDiv w:val="1"/>
      <w:marLeft w:val="0"/>
      <w:marRight w:val="0"/>
      <w:marTop w:val="0"/>
      <w:marBottom w:val="0"/>
      <w:divBdr>
        <w:top w:val="none" w:sz="0" w:space="0" w:color="auto"/>
        <w:left w:val="none" w:sz="0" w:space="0" w:color="auto"/>
        <w:bottom w:val="none" w:sz="0" w:space="0" w:color="auto"/>
        <w:right w:val="none" w:sz="0" w:space="0" w:color="auto"/>
      </w:divBdr>
    </w:div>
    <w:div w:id="116485446">
      <w:bodyDiv w:val="1"/>
      <w:marLeft w:val="0"/>
      <w:marRight w:val="0"/>
      <w:marTop w:val="0"/>
      <w:marBottom w:val="0"/>
      <w:divBdr>
        <w:top w:val="none" w:sz="0" w:space="0" w:color="auto"/>
        <w:left w:val="none" w:sz="0" w:space="0" w:color="auto"/>
        <w:bottom w:val="none" w:sz="0" w:space="0" w:color="auto"/>
        <w:right w:val="none" w:sz="0" w:space="0" w:color="auto"/>
      </w:divBdr>
    </w:div>
    <w:div w:id="138305941">
      <w:bodyDiv w:val="1"/>
      <w:marLeft w:val="0"/>
      <w:marRight w:val="0"/>
      <w:marTop w:val="0"/>
      <w:marBottom w:val="0"/>
      <w:divBdr>
        <w:top w:val="none" w:sz="0" w:space="0" w:color="auto"/>
        <w:left w:val="none" w:sz="0" w:space="0" w:color="auto"/>
        <w:bottom w:val="none" w:sz="0" w:space="0" w:color="auto"/>
        <w:right w:val="none" w:sz="0" w:space="0" w:color="auto"/>
      </w:divBdr>
    </w:div>
    <w:div w:id="138497371">
      <w:bodyDiv w:val="1"/>
      <w:marLeft w:val="0"/>
      <w:marRight w:val="0"/>
      <w:marTop w:val="0"/>
      <w:marBottom w:val="0"/>
      <w:divBdr>
        <w:top w:val="none" w:sz="0" w:space="0" w:color="auto"/>
        <w:left w:val="none" w:sz="0" w:space="0" w:color="auto"/>
        <w:bottom w:val="none" w:sz="0" w:space="0" w:color="auto"/>
        <w:right w:val="none" w:sz="0" w:space="0" w:color="auto"/>
      </w:divBdr>
    </w:div>
    <w:div w:id="728726475">
      <w:bodyDiv w:val="1"/>
      <w:marLeft w:val="0"/>
      <w:marRight w:val="0"/>
      <w:marTop w:val="0"/>
      <w:marBottom w:val="0"/>
      <w:divBdr>
        <w:top w:val="none" w:sz="0" w:space="0" w:color="auto"/>
        <w:left w:val="none" w:sz="0" w:space="0" w:color="auto"/>
        <w:bottom w:val="none" w:sz="0" w:space="0" w:color="auto"/>
        <w:right w:val="none" w:sz="0" w:space="0" w:color="auto"/>
      </w:divBdr>
    </w:div>
    <w:div w:id="745148197">
      <w:bodyDiv w:val="1"/>
      <w:marLeft w:val="0"/>
      <w:marRight w:val="0"/>
      <w:marTop w:val="0"/>
      <w:marBottom w:val="0"/>
      <w:divBdr>
        <w:top w:val="none" w:sz="0" w:space="0" w:color="auto"/>
        <w:left w:val="none" w:sz="0" w:space="0" w:color="auto"/>
        <w:bottom w:val="none" w:sz="0" w:space="0" w:color="auto"/>
        <w:right w:val="none" w:sz="0" w:space="0" w:color="auto"/>
      </w:divBdr>
    </w:div>
    <w:div w:id="822741828">
      <w:bodyDiv w:val="1"/>
      <w:marLeft w:val="0"/>
      <w:marRight w:val="0"/>
      <w:marTop w:val="0"/>
      <w:marBottom w:val="0"/>
      <w:divBdr>
        <w:top w:val="none" w:sz="0" w:space="0" w:color="auto"/>
        <w:left w:val="none" w:sz="0" w:space="0" w:color="auto"/>
        <w:bottom w:val="none" w:sz="0" w:space="0" w:color="auto"/>
        <w:right w:val="none" w:sz="0" w:space="0" w:color="auto"/>
      </w:divBdr>
    </w:div>
    <w:div w:id="901527916">
      <w:bodyDiv w:val="1"/>
      <w:marLeft w:val="0"/>
      <w:marRight w:val="0"/>
      <w:marTop w:val="0"/>
      <w:marBottom w:val="0"/>
      <w:divBdr>
        <w:top w:val="none" w:sz="0" w:space="0" w:color="auto"/>
        <w:left w:val="none" w:sz="0" w:space="0" w:color="auto"/>
        <w:bottom w:val="none" w:sz="0" w:space="0" w:color="auto"/>
        <w:right w:val="none" w:sz="0" w:space="0" w:color="auto"/>
      </w:divBdr>
    </w:div>
    <w:div w:id="988438097">
      <w:bodyDiv w:val="1"/>
      <w:marLeft w:val="0"/>
      <w:marRight w:val="0"/>
      <w:marTop w:val="0"/>
      <w:marBottom w:val="0"/>
      <w:divBdr>
        <w:top w:val="none" w:sz="0" w:space="0" w:color="auto"/>
        <w:left w:val="none" w:sz="0" w:space="0" w:color="auto"/>
        <w:bottom w:val="none" w:sz="0" w:space="0" w:color="auto"/>
        <w:right w:val="none" w:sz="0" w:space="0" w:color="auto"/>
      </w:divBdr>
    </w:div>
    <w:div w:id="1010329281">
      <w:bodyDiv w:val="1"/>
      <w:marLeft w:val="0"/>
      <w:marRight w:val="0"/>
      <w:marTop w:val="0"/>
      <w:marBottom w:val="0"/>
      <w:divBdr>
        <w:top w:val="none" w:sz="0" w:space="0" w:color="auto"/>
        <w:left w:val="none" w:sz="0" w:space="0" w:color="auto"/>
        <w:bottom w:val="none" w:sz="0" w:space="0" w:color="auto"/>
        <w:right w:val="none" w:sz="0" w:space="0" w:color="auto"/>
      </w:divBdr>
    </w:div>
    <w:div w:id="1439373328">
      <w:bodyDiv w:val="1"/>
      <w:marLeft w:val="0"/>
      <w:marRight w:val="0"/>
      <w:marTop w:val="0"/>
      <w:marBottom w:val="0"/>
      <w:divBdr>
        <w:top w:val="none" w:sz="0" w:space="0" w:color="auto"/>
        <w:left w:val="none" w:sz="0" w:space="0" w:color="auto"/>
        <w:bottom w:val="none" w:sz="0" w:space="0" w:color="auto"/>
        <w:right w:val="none" w:sz="0" w:space="0" w:color="auto"/>
      </w:divBdr>
    </w:div>
    <w:div w:id="1580746092">
      <w:bodyDiv w:val="1"/>
      <w:marLeft w:val="0"/>
      <w:marRight w:val="0"/>
      <w:marTop w:val="0"/>
      <w:marBottom w:val="0"/>
      <w:divBdr>
        <w:top w:val="none" w:sz="0" w:space="0" w:color="auto"/>
        <w:left w:val="none" w:sz="0" w:space="0" w:color="auto"/>
        <w:bottom w:val="none" w:sz="0" w:space="0" w:color="auto"/>
        <w:right w:val="none" w:sz="0" w:space="0" w:color="auto"/>
      </w:divBdr>
    </w:div>
    <w:div w:id="191176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973/oj" TargetMode="External"/><Relationship Id="rId2" Type="http://schemas.openxmlformats.org/officeDocument/2006/relationships/hyperlink" Target="http://data.europa.eu/eli/agree_internation/2021/689(1)/oj" TargetMode="External"/><Relationship Id="rId1" Type="http://schemas.openxmlformats.org/officeDocument/2006/relationships/hyperlink" Target="http://data.europa.eu/eli/dec/2021/1765/oj" TargetMode="External"/><Relationship Id="rId5" Type="http://schemas.openxmlformats.org/officeDocument/2006/relationships/hyperlink" Target="http://data.europa.eu/eli/dec/2021/1765/oj" TargetMode="External"/><Relationship Id="rId4" Type="http://schemas.openxmlformats.org/officeDocument/2006/relationships/hyperlink" Target="http://data.europa.eu/eli/reg/2019/4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CD9A8-B9CE-437A-BCB9-43611A81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04C8A-3A1F-4E42-A159-F40A22C66EB5}">
  <ds:schemaRefs>
    <ds:schemaRef ds:uri="http://schemas.microsoft.com/sharepoint/v3/contenttype/forms"/>
  </ds:schemaRefs>
</ds:datastoreItem>
</file>

<file path=customXml/itemProps3.xml><?xml version="1.0" encoding="utf-8"?>
<ds:datastoreItem xmlns:ds="http://schemas.openxmlformats.org/officeDocument/2006/customXml" ds:itemID="{95637B0C-1366-470F-8AAD-1B649BC1F54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F6DB1BC7-B146-498F-A407-2C203154D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8</Pages>
  <Words>2290</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25</cp:revision>
  <dcterms:created xsi:type="dcterms:W3CDTF">2026-05-27T11:00:00Z</dcterms:created>
  <dcterms:modified xsi:type="dcterms:W3CDTF">2026-06-15T09:39:00Z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2026-03-02T15:52:44Z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9d8edcf1-1347-440e-9d11-95f8be3767f6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y name="OP_sanitized" fmtid="{D5CDD505-2E9C-101B-9397-08002B2CF9AE}" pid="21">
    <vt:lpwstr>True</vt:lpwstr>
  </property>
</Properties>
</file>