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71DE" w14:textId="1174FAD6" w:rsidR="008E6595" w:rsidRPr="00042241" w:rsidRDefault="00FF71FD" w:rsidP="00FF71FD">
      <w:pPr>
        <w:pStyle w:val="Pagedecouverture"/>
        <w:rPr>
          <w:noProof/>
        </w:rPr>
      </w:pPr>
      <w:r>
        <w:rPr>
          <w:noProof/>
        </w:rPr>
        <w:pict w14:anchorId="239B1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38C3E9EC-E396-4DB5-B948-D4971E05967B" style="width:455.4pt;height:369.6pt">
            <v:imagedata r:id="rId11" o:title=""/>
          </v:shape>
        </w:pict>
      </w:r>
    </w:p>
    <w:p w14:paraId="254AE5DC" w14:textId="15F5CC81" w:rsidR="00D4411B" w:rsidRPr="00042241" w:rsidRDefault="00D4411B" w:rsidP="00D4411B">
      <w:pPr>
        <w:rPr>
          <w:noProof/>
        </w:rPr>
        <w:sectPr w:rsidR="00D4411B" w:rsidRPr="00042241" w:rsidSect="00FF71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4560EFCE" w14:textId="77777777" w:rsidR="00B35235" w:rsidRPr="00042241" w:rsidRDefault="00B35235" w:rsidP="00B35235">
      <w:pPr>
        <w:pStyle w:val="Exposdesmotifstitre"/>
        <w:rPr>
          <w:noProof/>
        </w:rPr>
      </w:pPr>
      <w:r w:rsidRPr="00042241">
        <w:rPr>
          <w:noProof/>
        </w:rPr>
        <w:lastRenderedPageBreak/>
        <w:t>RELAZIONE</w:t>
      </w:r>
    </w:p>
    <w:p w14:paraId="32DC853B" w14:textId="77777777" w:rsidR="00B35235" w:rsidRPr="00042241" w:rsidRDefault="006B1DE0" w:rsidP="006B1DE0">
      <w:pPr>
        <w:pStyle w:val="ManualHeading1"/>
        <w:rPr>
          <w:noProof/>
        </w:rPr>
      </w:pPr>
      <w:bookmarkStart w:id="0" w:name="DQPStarAt1DQPStarAt0F4D73E20FBC44DA84C53"/>
      <w:bookmarkEnd w:id="0"/>
      <w:r w:rsidRPr="00042241">
        <w:rPr>
          <w:noProof/>
        </w:rPr>
        <w:t>1.</w:t>
      </w:r>
      <w:r w:rsidRPr="00042241">
        <w:rPr>
          <w:noProof/>
        </w:rPr>
        <w:tab/>
        <w:t>CONTESTO DELLA PROPOSTA</w:t>
      </w:r>
    </w:p>
    <w:p w14:paraId="50F008A4" w14:textId="6BAD7E45" w:rsidR="00B35235" w:rsidRPr="00042241" w:rsidRDefault="30BAC377" w:rsidP="00B35235">
      <w:pPr>
        <w:pStyle w:val="Text1"/>
        <w:rPr>
          <w:noProof/>
        </w:rPr>
      </w:pPr>
      <w:r w:rsidRPr="00042241">
        <w:rPr>
          <w:noProof/>
        </w:rPr>
        <w:t>Il 4 giugno 2025 la Commissione ha presentato una proposta di decisione del Consiglio a norma dell</w:t>
      </w:r>
      <w:r w:rsidR="0080195E">
        <w:rPr>
          <w:noProof/>
        </w:rPr>
        <w:t>'</w:t>
      </w:r>
      <w:r w:rsidRPr="00042241">
        <w:rPr>
          <w:noProof/>
        </w:rPr>
        <w:t>articolo 140, paragrafo 2, del trattato sul funzionamento dell</w:t>
      </w:r>
      <w:r w:rsidR="0080195E">
        <w:rPr>
          <w:noProof/>
        </w:rPr>
        <w:t>'</w:t>
      </w:r>
      <w:r w:rsidRPr="00042241">
        <w:rPr>
          <w:noProof/>
        </w:rPr>
        <w:t>Unione europea (TFUE). La proposta indica che la Bulgaria soddisfa le condizioni necessarie per adottare l</w:t>
      </w:r>
      <w:r w:rsidR="0080195E">
        <w:rPr>
          <w:noProof/>
        </w:rPr>
        <w:t>'</w:t>
      </w:r>
      <w:r w:rsidRPr="00042241">
        <w:rPr>
          <w:noProof/>
        </w:rPr>
        <w:t>euro e che la deroga del paese è abrogata a decorrere dal 1º gennaio 2026.</w:t>
      </w:r>
    </w:p>
    <w:p w14:paraId="23885E1C" w14:textId="44476279" w:rsidR="00B35235" w:rsidRPr="00042241" w:rsidRDefault="30BAC377" w:rsidP="00B35235">
      <w:pPr>
        <w:pStyle w:val="Text1"/>
        <w:rPr>
          <w:noProof/>
        </w:rPr>
      </w:pPr>
      <w:r w:rsidRPr="00042241">
        <w:rPr>
          <w:noProof/>
        </w:rPr>
        <w:t>Se adotterà la decisione, il Consiglio dovrà successivamente adottare le altre misure necessarie per l</w:t>
      </w:r>
      <w:r w:rsidR="0080195E">
        <w:rPr>
          <w:noProof/>
        </w:rPr>
        <w:t>'</w:t>
      </w:r>
      <w:r w:rsidRPr="00042241">
        <w:rPr>
          <w:noProof/>
        </w:rPr>
        <w:t>introduzione dell</w:t>
      </w:r>
      <w:r w:rsidR="0080195E">
        <w:rPr>
          <w:noProof/>
        </w:rPr>
        <w:t>'</w:t>
      </w:r>
      <w:r w:rsidRPr="00042241">
        <w:rPr>
          <w:noProof/>
        </w:rPr>
        <w:t>euro in Bulgaria.</w:t>
      </w:r>
    </w:p>
    <w:p w14:paraId="418F2C8B" w14:textId="127E25E8" w:rsidR="00B35235" w:rsidRPr="00042241" w:rsidRDefault="00B35235" w:rsidP="00B35235">
      <w:pPr>
        <w:pStyle w:val="Text1"/>
        <w:rPr>
          <w:noProof/>
        </w:rPr>
      </w:pPr>
      <w:r w:rsidRPr="00042241">
        <w:rPr>
          <w:noProof/>
        </w:rPr>
        <w:t>Il regolamento (CE) n. 974/98 del Consiglio relativo</w:t>
      </w:r>
      <w:r w:rsidR="00300279">
        <w:rPr>
          <w:noProof/>
        </w:rPr>
        <w:t xml:space="preserve"> </w:t>
      </w:r>
      <w:r w:rsidRPr="00042241">
        <w:rPr>
          <w:noProof/>
        </w:rPr>
        <w:t>all</w:t>
      </w:r>
      <w:r w:rsidR="0080195E">
        <w:rPr>
          <w:noProof/>
        </w:rPr>
        <w:t>'</w:t>
      </w:r>
      <w:r w:rsidRPr="00042241">
        <w:rPr>
          <w:noProof/>
        </w:rPr>
        <w:t>introduzione dell</w:t>
      </w:r>
      <w:r w:rsidR="0080195E">
        <w:rPr>
          <w:noProof/>
        </w:rPr>
        <w:t>'</w:t>
      </w:r>
      <w:r w:rsidRPr="00042241">
        <w:rPr>
          <w:noProof/>
        </w:rPr>
        <w:t>euro(</w:t>
      </w:r>
      <w:r w:rsidRPr="00042241">
        <w:rPr>
          <w:rStyle w:val="FootnoteReference"/>
          <w:noProof/>
        </w:rPr>
        <w:footnoteReference w:id="2"/>
      </w:r>
      <w:r w:rsidRPr="00042241">
        <w:rPr>
          <w:noProof/>
        </w:rPr>
        <w:t>)</w:t>
      </w:r>
      <w:r w:rsidRPr="00042241">
        <w:rPr>
          <w:rStyle w:val="FootnoteReference"/>
          <w:noProof/>
        </w:rPr>
        <w:t xml:space="preserve"> </w:t>
      </w:r>
      <w:r w:rsidRPr="00042241">
        <w:rPr>
          <w:noProof/>
        </w:rPr>
        <w:t>ha disciplinato l</w:t>
      </w:r>
      <w:r w:rsidR="0080195E">
        <w:rPr>
          <w:noProof/>
        </w:rPr>
        <w:t>'</w:t>
      </w:r>
      <w:r w:rsidRPr="00042241">
        <w:rPr>
          <w:noProof/>
        </w:rPr>
        <w:t>introduzione iniziale dell</w:t>
      </w:r>
      <w:r w:rsidR="0080195E">
        <w:rPr>
          <w:noProof/>
        </w:rPr>
        <w:t>'</w:t>
      </w:r>
      <w:r w:rsidRPr="00042241">
        <w:rPr>
          <w:noProof/>
        </w:rPr>
        <w:t>euro negli Stati membri entrati a far parte della zona euro con la prima ondata e in Grecia(</w:t>
      </w:r>
      <w:r w:rsidRPr="00042241">
        <w:rPr>
          <w:rStyle w:val="FootnoteReference"/>
          <w:noProof/>
        </w:rPr>
        <w:footnoteReference w:id="3"/>
      </w:r>
      <w:r w:rsidRPr="00042241">
        <w:rPr>
          <w:noProof/>
        </w:rPr>
        <w:t>). Tale regolamento è stato modificato dai seguenti regolamenti:</w:t>
      </w:r>
    </w:p>
    <w:p w14:paraId="2CAC9834" w14:textId="77777777" w:rsidR="00B35235" w:rsidRPr="00042241" w:rsidRDefault="009D499C" w:rsidP="00B35235">
      <w:pPr>
        <w:pStyle w:val="Text1"/>
        <w:rPr>
          <w:noProof/>
        </w:rPr>
      </w:pPr>
      <w:r w:rsidRPr="00042241">
        <w:rPr>
          <w:noProof/>
        </w:rPr>
        <w:t>- regolamento (CE) n. 2169/2005, allo scopo di preparare i futuri allargamenti della zona euro;</w:t>
      </w:r>
    </w:p>
    <w:p w14:paraId="7457D635" w14:textId="5EBA3FD9" w:rsidR="00B35235" w:rsidRPr="00042241" w:rsidRDefault="009D499C" w:rsidP="00B35235">
      <w:pPr>
        <w:pStyle w:val="Text1"/>
        <w:rPr>
          <w:noProof/>
        </w:rPr>
      </w:pPr>
      <w:r w:rsidRPr="00042241">
        <w:rPr>
          <w:noProof/>
        </w:rPr>
        <w:t>- regolamento (CE) n. 1647/2006, allo scopo di includere la Slovenia (che ha adottato l</w:t>
      </w:r>
      <w:r w:rsidR="0080195E">
        <w:rPr>
          <w:noProof/>
        </w:rPr>
        <w:t>'</w:t>
      </w:r>
      <w:r w:rsidRPr="00042241">
        <w:rPr>
          <w:noProof/>
        </w:rPr>
        <w:t>euro il 1° gennaio 2007);</w:t>
      </w:r>
    </w:p>
    <w:p w14:paraId="68C1AEDB" w14:textId="1D113E95" w:rsidR="00B35235" w:rsidRPr="00042241" w:rsidRDefault="009D499C" w:rsidP="00B35235">
      <w:pPr>
        <w:pStyle w:val="Text1"/>
        <w:rPr>
          <w:noProof/>
        </w:rPr>
      </w:pPr>
      <w:r w:rsidRPr="00042241">
        <w:rPr>
          <w:noProof/>
        </w:rPr>
        <w:t>- regolamento (CE) n. 835/2007, allo scopo di includere Cipro (che ha adottato l</w:t>
      </w:r>
      <w:r w:rsidR="0080195E">
        <w:rPr>
          <w:noProof/>
        </w:rPr>
        <w:t>'</w:t>
      </w:r>
      <w:r w:rsidRPr="00042241">
        <w:rPr>
          <w:noProof/>
        </w:rPr>
        <w:t>euro il 1° gennaio 2008);</w:t>
      </w:r>
    </w:p>
    <w:p w14:paraId="695DEE48" w14:textId="7CFD1986" w:rsidR="00B35235" w:rsidRPr="00042241" w:rsidRDefault="009D499C" w:rsidP="00B35235">
      <w:pPr>
        <w:pStyle w:val="Text1"/>
        <w:rPr>
          <w:noProof/>
        </w:rPr>
      </w:pPr>
      <w:r w:rsidRPr="00042241">
        <w:rPr>
          <w:noProof/>
        </w:rPr>
        <w:t>- regolamento (CE) n. 836/2007, allo scopo di includere Malta (che ha adottato l</w:t>
      </w:r>
      <w:r w:rsidR="0080195E">
        <w:rPr>
          <w:noProof/>
        </w:rPr>
        <w:t>'</w:t>
      </w:r>
      <w:r w:rsidRPr="00042241">
        <w:rPr>
          <w:noProof/>
        </w:rPr>
        <w:t>euro il 1° gennaio 2008);</w:t>
      </w:r>
    </w:p>
    <w:p w14:paraId="538B417B" w14:textId="03BD5BD6" w:rsidR="00B35235" w:rsidRPr="00042241" w:rsidRDefault="009D499C" w:rsidP="00B35235">
      <w:pPr>
        <w:pStyle w:val="Text1"/>
        <w:rPr>
          <w:noProof/>
        </w:rPr>
      </w:pPr>
      <w:r w:rsidRPr="00042241">
        <w:rPr>
          <w:noProof/>
        </w:rPr>
        <w:t>- regolamento (CE) n. 693/2008, allo scopo di includere la Slovacchia (che ha adottato l</w:t>
      </w:r>
      <w:r w:rsidR="0080195E">
        <w:rPr>
          <w:noProof/>
        </w:rPr>
        <w:t>'</w:t>
      </w:r>
      <w:r w:rsidRPr="00042241">
        <w:rPr>
          <w:noProof/>
        </w:rPr>
        <w:t>euro nel gennaio 2009);</w:t>
      </w:r>
    </w:p>
    <w:p w14:paraId="205BF928" w14:textId="71046DA6" w:rsidR="00B35235" w:rsidRPr="00042241" w:rsidRDefault="009D499C" w:rsidP="00B35235">
      <w:pPr>
        <w:pStyle w:val="Text1"/>
        <w:rPr>
          <w:noProof/>
        </w:rPr>
      </w:pPr>
      <w:r w:rsidRPr="00042241">
        <w:rPr>
          <w:noProof/>
        </w:rPr>
        <w:t>- regolamento (UE) n. 670/2010, allo scopo di includere l</w:t>
      </w:r>
      <w:r w:rsidR="0080195E">
        <w:rPr>
          <w:noProof/>
        </w:rPr>
        <w:t>'</w:t>
      </w:r>
      <w:r w:rsidRPr="00042241">
        <w:rPr>
          <w:noProof/>
        </w:rPr>
        <w:t>Estonia (che ha adottato l</w:t>
      </w:r>
      <w:r w:rsidR="0080195E">
        <w:rPr>
          <w:noProof/>
        </w:rPr>
        <w:t>'</w:t>
      </w:r>
      <w:r w:rsidRPr="00042241">
        <w:rPr>
          <w:noProof/>
        </w:rPr>
        <w:t>euro nel gennaio 2011);</w:t>
      </w:r>
    </w:p>
    <w:p w14:paraId="03723579" w14:textId="6B23B854" w:rsidR="00B35235" w:rsidRPr="00042241" w:rsidRDefault="009D499C" w:rsidP="00B35235">
      <w:pPr>
        <w:pStyle w:val="Text1"/>
        <w:rPr>
          <w:noProof/>
        </w:rPr>
      </w:pPr>
      <w:r w:rsidRPr="00042241">
        <w:rPr>
          <w:noProof/>
        </w:rPr>
        <w:t>- regolamento (UE) n. 678/2013, allo scopo di includere la Lettonia (che ha adottato l</w:t>
      </w:r>
      <w:r w:rsidR="0080195E">
        <w:rPr>
          <w:noProof/>
        </w:rPr>
        <w:t>'</w:t>
      </w:r>
      <w:r w:rsidRPr="00042241">
        <w:rPr>
          <w:noProof/>
        </w:rPr>
        <w:t>euro nel gennaio 2014);</w:t>
      </w:r>
    </w:p>
    <w:p w14:paraId="4F7A1070" w14:textId="022322A2" w:rsidR="00B35235" w:rsidRPr="00042241" w:rsidRDefault="009D499C" w:rsidP="2B01EE09">
      <w:pPr>
        <w:pStyle w:val="Text1"/>
        <w:rPr>
          <w:noProof/>
        </w:rPr>
      </w:pPr>
      <w:r w:rsidRPr="00042241">
        <w:rPr>
          <w:noProof/>
        </w:rPr>
        <w:t>- regolamento (UE) n. 827/2014, allo scopo di includere la Lituania (che ha adottato l</w:t>
      </w:r>
      <w:r w:rsidR="0080195E">
        <w:rPr>
          <w:noProof/>
        </w:rPr>
        <w:t>'</w:t>
      </w:r>
      <w:r w:rsidRPr="00042241">
        <w:rPr>
          <w:noProof/>
        </w:rPr>
        <w:t>euro nel gennaio 2015);</w:t>
      </w:r>
    </w:p>
    <w:p w14:paraId="18D57C58" w14:textId="6DB62A52" w:rsidR="00EF3F1C" w:rsidRPr="00042241" w:rsidRDefault="009D499C" w:rsidP="00B35235">
      <w:pPr>
        <w:pStyle w:val="Text1"/>
        <w:rPr>
          <w:noProof/>
        </w:rPr>
      </w:pPr>
      <w:r w:rsidRPr="00042241">
        <w:rPr>
          <w:noProof/>
        </w:rPr>
        <w:t>- regolamento (UE) 2022/1207, allo scopo di includere la Croazia (che ha adottato l</w:t>
      </w:r>
      <w:r w:rsidR="0080195E">
        <w:rPr>
          <w:noProof/>
        </w:rPr>
        <w:t>'</w:t>
      </w:r>
      <w:r w:rsidRPr="00042241">
        <w:rPr>
          <w:noProof/>
        </w:rPr>
        <w:t>euro nel gennaio 2023).</w:t>
      </w:r>
    </w:p>
    <w:p w14:paraId="511005C6" w14:textId="290DFA5F" w:rsidR="00B35235" w:rsidRPr="00042241" w:rsidRDefault="36734E36" w:rsidP="00B35235">
      <w:pPr>
        <w:pStyle w:val="Text1"/>
        <w:rPr>
          <w:noProof/>
        </w:rPr>
      </w:pPr>
      <w:r w:rsidRPr="00042241">
        <w:rPr>
          <w:noProof/>
        </w:rPr>
        <w:t>Affinché anche la Bulgaria possa rientrare nel campo di applicazione del regolamento (CE) n. 974/98, occorre introdurre in quest</w:t>
      </w:r>
      <w:r w:rsidR="0080195E">
        <w:rPr>
          <w:noProof/>
        </w:rPr>
        <w:t>'</w:t>
      </w:r>
      <w:r w:rsidRPr="00042241">
        <w:rPr>
          <w:noProof/>
        </w:rPr>
        <w:t>ultimo atto un riferimento a questo Stato membro. La presente proposta contiene le necessarie modifiche del citato regolamento.</w:t>
      </w:r>
    </w:p>
    <w:p w14:paraId="6EBA538B" w14:textId="34113821" w:rsidR="00B35235" w:rsidRPr="00042241" w:rsidRDefault="07E85C85" w:rsidP="00B35235">
      <w:pPr>
        <w:pStyle w:val="Text1"/>
        <w:rPr>
          <w:noProof/>
        </w:rPr>
      </w:pPr>
      <w:r w:rsidRPr="00042241">
        <w:rPr>
          <w:noProof/>
        </w:rPr>
        <w:t>Il piano nazionale di passaggio all</w:t>
      </w:r>
      <w:r w:rsidR="0080195E">
        <w:rPr>
          <w:noProof/>
        </w:rPr>
        <w:t>'</w:t>
      </w:r>
      <w:r w:rsidRPr="00042241">
        <w:rPr>
          <w:noProof/>
        </w:rPr>
        <w:t>euro della Bulgaria specifica che l</w:t>
      </w:r>
      <w:r w:rsidR="0080195E">
        <w:rPr>
          <w:noProof/>
        </w:rPr>
        <w:t>'</w:t>
      </w:r>
      <w:r w:rsidRPr="00042241">
        <w:rPr>
          <w:noProof/>
        </w:rPr>
        <w:t>adozione dell</w:t>
      </w:r>
      <w:r w:rsidR="0080195E">
        <w:rPr>
          <w:noProof/>
        </w:rPr>
        <w:t>'</w:t>
      </w:r>
      <w:r w:rsidRPr="00042241">
        <w:rPr>
          <w:noProof/>
        </w:rPr>
        <w:t>euro come moneta bulgara dovrebbe coincidere con l</w:t>
      </w:r>
      <w:r w:rsidR="0080195E">
        <w:rPr>
          <w:noProof/>
        </w:rPr>
        <w:t>'</w:t>
      </w:r>
      <w:r w:rsidRPr="00042241">
        <w:rPr>
          <w:noProof/>
        </w:rPr>
        <w:t>introduzione nel paese delle banconote e delle monete in euro.</w:t>
      </w:r>
    </w:p>
    <w:p w14:paraId="7D23FACC" w14:textId="72100B4D" w:rsidR="00B35235" w:rsidRPr="00042241" w:rsidRDefault="006B1DE0" w:rsidP="006B1DE0">
      <w:pPr>
        <w:pStyle w:val="ManualHeading1"/>
        <w:rPr>
          <w:noProof/>
        </w:rPr>
      </w:pPr>
      <w:r w:rsidRPr="00042241">
        <w:rPr>
          <w:noProof/>
        </w:rPr>
        <w:lastRenderedPageBreak/>
        <w:t>2.</w:t>
      </w:r>
      <w:r w:rsidRPr="00042241">
        <w:rPr>
          <w:noProof/>
        </w:rPr>
        <w:tab/>
        <w:t>RISULTATI DELLE CONSULTAZIONI DEI PORTATORI DI INTERESSI E DELLA VALUTAZIONE D</w:t>
      </w:r>
      <w:r w:rsidR="0080195E">
        <w:rPr>
          <w:noProof/>
        </w:rPr>
        <w:t>'</w:t>
      </w:r>
      <w:r w:rsidRPr="00042241">
        <w:rPr>
          <w:noProof/>
        </w:rPr>
        <w:t>IMPATTO</w:t>
      </w:r>
    </w:p>
    <w:p w14:paraId="68595553" w14:textId="4454D691" w:rsidR="00B35235" w:rsidRPr="00042241" w:rsidRDefault="0C4E6C78" w:rsidP="00B35235">
      <w:pPr>
        <w:pStyle w:val="Text1"/>
        <w:rPr>
          <w:noProof/>
        </w:rPr>
      </w:pPr>
      <w:r w:rsidRPr="00042241">
        <w:rPr>
          <w:noProof/>
        </w:rPr>
        <w:t>Le sfide in materia di politica economica cui gli Stati membri sono confrontati costituiscono regolarmente oggetto di discussioni, sotto rubriche differenti, nell</w:t>
      </w:r>
      <w:r w:rsidR="0080195E">
        <w:rPr>
          <w:noProof/>
        </w:rPr>
        <w:t>'</w:t>
      </w:r>
      <w:r w:rsidRPr="00042241">
        <w:rPr>
          <w:noProof/>
        </w:rPr>
        <w:t xml:space="preserve">ambito del comitato economico e finanziario (nel seguito </w:t>
      </w:r>
      <w:r w:rsidR="0080195E">
        <w:rPr>
          <w:noProof/>
        </w:rPr>
        <w:t>"</w:t>
      </w:r>
      <w:r w:rsidRPr="00042241">
        <w:rPr>
          <w:noProof/>
        </w:rPr>
        <w:t>CEF</w:t>
      </w:r>
      <w:r w:rsidR="0080195E">
        <w:rPr>
          <w:noProof/>
        </w:rPr>
        <w:t>"</w:t>
      </w:r>
      <w:r w:rsidRPr="00042241">
        <w:rPr>
          <w:noProof/>
        </w:rPr>
        <w:t>) e dell</w:t>
      </w:r>
      <w:r w:rsidR="0080195E">
        <w:rPr>
          <w:noProof/>
        </w:rPr>
        <w:t>'</w:t>
      </w:r>
      <w:r w:rsidRPr="00042241">
        <w:rPr>
          <w:noProof/>
        </w:rPr>
        <w:t>ECOFIN/Eurogruppo. Esse prevedono discussioni informali su questioni specificamente rilevanti per la preparazione di una futura adesione alla zona euro (comprese le politiche del tasso di cambio).</w:t>
      </w:r>
    </w:p>
    <w:p w14:paraId="462B3CAD" w14:textId="1B21FE1A" w:rsidR="00B35235" w:rsidRPr="00042241" w:rsidRDefault="00B35235" w:rsidP="00B35235">
      <w:pPr>
        <w:pStyle w:val="Text1"/>
        <w:rPr>
          <w:noProof/>
        </w:rPr>
      </w:pPr>
      <w:r w:rsidRPr="00042241">
        <w:rPr>
          <w:noProof/>
        </w:rPr>
        <w:t>Gli sviluppi economici nella zona euro e negli Stati membri sono oggetto di valutazione attraverso le diverse procedure di coordinamento e di controllo delle politiche economiche (nello specifico ai sensi dell</w:t>
      </w:r>
      <w:r w:rsidR="0080195E">
        <w:rPr>
          <w:noProof/>
        </w:rPr>
        <w:t>'</w:t>
      </w:r>
      <w:r w:rsidRPr="00042241">
        <w:rPr>
          <w:noProof/>
        </w:rPr>
        <w:t>articolo 121 TFUE), e nell</w:t>
      </w:r>
      <w:r w:rsidR="0080195E">
        <w:rPr>
          <w:noProof/>
        </w:rPr>
        <w:t>'</w:t>
      </w:r>
      <w:r w:rsidRPr="00042241">
        <w:rPr>
          <w:noProof/>
        </w:rPr>
        <w:t>ambito del monitoraggio e delle analisi degli sviluppi regolarmente condotti dalla Commissione, sia per un paese determinato che per l</w:t>
      </w:r>
      <w:r w:rsidR="0080195E">
        <w:rPr>
          <w:noProof/>
        </w:rPr>
        <w:t>'</w:t>
      </w:r>
      <w:r w:rsidRPr="00042241">
        <w:rPr>
          <w:noProof/>
        </w:rPr>
        <w:t>insieme della zona (in particolare previsioni, pubblicazioni periodiche e contributi per il CEF e l</w:t>
      </w:r>
      <w:r w:rsidR="0080195E">
        <w:rPr>
          <w:noProof/>
        </w:rPr>
        <w:t>'</w:t>
      </w:r>
      <w:r w:rsidRPr="00042241">
        <w:rPr>
          <w:noProof/>
        </w:rPr>
        <w:t>ECOFIN/Eurogruppo). In conformità con il principio di proporzionalità e con le precedenti prassi, non si ritiene necessaria alcuna valutazione formale dell</w:t>
      </w:r>
      <w:r w:rsidR="0080195E">
        <w:rPr>
          <w:noProof/>
        </w:rPr>
        <w:t>'</w:t>
      </w:r>
      <w:r w:rsidRPr="00042241">
        <w:rPr>
          <w:noProof/>
        </w:rPr>
        <w:t>impatto.</w:t>
      </w:r>
    </w:p>
    <w:p w14:paraId="03C3856E" w14:textId="77777777" w:rsidR="00B35235" w:rsidRPr="00042241" w:rsidRDefault="006B1DE0" w:rsidP="006B1DE0">
      <w:pPr>
        <w:pStyle w:val="ManualHeading1"/>
        <w:rPr>
          <w:noProof/>
        </w:rPr>
      </w:pPr>
      <w:r w:rsidRPr="00042241">
        <w:rPr>
          <w:noProof/>
        </w:rPr>
        <w:t>3.</w:t>
      </w:r>
      <w:r w:rsidRPr="00042241">
        <w:rPr>
          <w:noProof/>
        </w:rPr>
        <w:tab/>
        <w:t>ELEMENTI GIURIDICI DELLA PROPOSTA</w:t>
      </w:r>
    </w:p>
    <w:p w14:paraId="7EE2727F" w14:textId="77777777" w:rsidR="00B35235" w:rsidRPr="00042241" w:rsidRDefault="006B1DE0" w:rsidP="006B1DE0">
      <w:pPr>
        <w:pStyle w:val="ManualHeading2"/>
        <w:rPr>
          <w:noProof/>
        </w:rPr>
      </w:pPr>
      <w:bookmarkStart w:id="1" w:name="DQPStarAt1DQPStarAt449D5EE33AEC4BCD9CA1F"/>
      <w:bookmarkEnd w:id="1"/>
      <w:r w:rsidRPr="00042241">
        <w:rPr>
          <w:noProof/>
        </w:rPr>
        <w:t>3.1.</w:t>
      </w:r>
      <w:r w:rsidRPr="00042241">
        <w:rPr>
          <w:noProof/>
        </w:rPr>
        <w:tab/>
        <w:t>Base giuridica</w:t>
      </w:r>
    </w:p>
    <w:p w14:paraId="504F726A" w14:textId="06B0ACBD" w:rsidR="00B35235" w:rsidRPr="00042241" w:rsidRDefault="00B35235" w:rsidP="00B35235">
      <w:pPr>
        <w:pStyle w:val="Text1"/>
        <w:rPr>
          <w:noProof/>
        </w:rPr>
      </w:pPr>
      <w:r w:rsidRPr="00042241">
        <w:rPr>
          <w:noProof/>
        </w:rPr>
        <w:t>La base giuridica della presente proposta è l</w:t>
      </w:r>
      <w:r w:rsidR="0080195E">
        <w:rPr>
          <w:noProof/>
        </w:rPr>
        <w:t>'</w:t>
      </w:r>
      <w:r w:rsidRPr="00042241">
        <w:rPr>
          <w:noProof/>
        </w:rPr>
        <w:t>articolo 140, paragrafo 3, TFUE, che disciplina l</w:t>
      </w:r>
      <w:r w:rsidR="0080195E">
        <w:rPr>
          <w:noProof/>
        </w:rPr>
        <w:t>'</w:t>
      </w:r>
      <w:r w:rsidRPr="00042241">
        <w:rPr>
          <w:noProof/>
        </w:rPr>
        <w:t>adozione delle altre misure necessarie per l</w:t>
      </w:r>
      <w:r w:rsidR="0080195E">
        <w:rPr>
          <w:noProof/>
        </w:rPr>
        <w:t>'</w:t>
      </w:r>
      <w:r w:rsidRPr="00042241">
        <w:rPr>
          <w:noProof/>
        </w:rPr>
        <w:t>introduzione dell</w:t>
      </w:r>
      <w:r w:rsidR="0080195E">
        <w:rPr>
          <w:noProof/>
        </w:rPr>
        <w:t>'</w:t>
      </w:r>
      <w:r w:rsidRPr="00042241">
        <w:rPr>
          <w:noProof/>
        </w:rPr>
        <w:t>euro nello Stato membro la cui deroga sia stata abolita conformemente all</w:t>
      </w:r>
      <w:r w:rsidR="0080195E">
        <w:rPr>
          <w:noProof/>
        </w:rPr>
        <w:t>'</w:t>
      </w:r>
      <w:r w:rsidRPr="00042241">
        <w:rPr>
          <w:noProof/>
        </w:rPr>
        <w:t>articolo 140, paragrafo 2, TFUE.</w:t>
      </w:r>
    </w:p>
    <w:p w14:paraId="12E52527" w14:textId="01F05B19" w:rsidR="00B35235" w:rsidRPr="00042241" w:rsidRDefault="00B35235" w:rsidP="00B35235">
      <w:pPr>
        <w:pStyle w:val="Text1"/>
        <w:rPr>
          <w:noProof/>
        </w:rPr>
      </w:pPr>
      <w:r w:rsidRPr="00042241">
        <w:rPr>
          <w:noProof/>
        </w:rPr>
        <w:t>Il Consiglio delibera all</w:t>
      </w:r>
      <w:r w:rsidR="0080195E">
        <w:rPr>
          <w:noProof/>
        </w:rPr>
        <w:t>'</w:t>
      </w:r>
      <w:r w:rsidRPr="00042241">
        <w:rPr>
          <w:noProof/>
        </w:rPr>
        <w:t>unanimità degli Stati membri che hanno come valuta l</w:t>
      </w:r>
      <w:r w:rsidR="0080195E">
        <w:rPr>
          <w:noProof/>
        </w:rPr>
        <w:t>'</w:t>
      </w:r>
      <w:r w:rsidRPr="00042241">
        <w:rPr>
          <w:noProof/>
        </w:rPr>
        <w:t>euro e dello Stato membro interessato, su proposta della Commissione e previa consultazione della BCE.</w:t>
      </w:r>
    </w:p>
    <w:p w14:paraId="7BCEF812" w14:textId="77777777" w:rsidR="00B35235" w:rsidRPr="00042241" w:rsidRDefault="006B1DE0" w:rsidP="006B1DE0">
      <w:pPr>
        <w:pStyle w:val="ManualHeading2"/>
        <w:rPr>
          <w:noProof/>
        </w:rPr>
      </w:pPr>
      <w:r w:rsidRPr="00042241">
        <w:rPr>
          <w:noProof/>
        </w:rPr>
        <w:t>3.2.</w:t>
      </w:r>
      <w:r w:rsidRPr="00042241">
        <w:rPr>
          <w:noProof/>
        </w:rPr>
        <w:tab/>
        <w:t>Sussidiarietà e proporzionalità</w:t>
      </w:r>
    </w:p>
    <w:p w14:paraId="4E0FBF80" w14:textId="4BE96794" w:rsidR="00B35235" w:rsidRPr="00042241" w:rsidRDefault="00B35235" w:rsidP="00B35235">
      <w:pPr>
        <w:pStyle w:val="Text1"/>
        <w:rPr>
          <w:noProof/>
        </w:rPr>
      </w:pPr>
      <w:r w:rsidRPr="00042241">
        <w:rPr>
          <w:noProof/>
        </w:rPr>
        <w:t>La proposta è di competenza esclusiva dell</w:t>
      </w:r>
      <w:r w:rsidR="0080195E">
        <w:rPr>
          <w:noProof/>
        </w:rPr>
        <w:t>'</w:t>
      </w:r>
      <w:r w:rsidRPr="00042241">
        <w:rPr>
          <w:noProof/>
        </w:rPr>
        <w:t>Unione, il principio di sussidiarietà non è pertanto d</w:t>
      </w:r>
      <w:r w:rsidR="0080195E">
        <w:rPr>
          <w:noProof/>
        </w:rPr>
        <w:t>'</w:t>
      </w:r>
      <w:r w:rsidRPr="00042241">
        <w:rPr>
          <w:noProof/>
        </w:rPr>
        <w:t>applicazione.</w:t>
      </w:r>
    </w:p>
    <w:p w14:paraId="4D32802B" w14:textId="77777777" w:rsidR="00B35235" w:rsidRPr="00042241" w:rsidRDefault="00B35235" w:rsidP="00B35235">
      <w:pPr>
        <w:pStyle w:val="Text1"/>
        <w:rPr>
          <w:noProof/>
        </w:rPr>
      </w:pPr>
      <w:r w:rsidRPr="00042241">
        <w:rPr>
          <w:noProof/>
        </w:rPr>
        <w:t>La presente iniziativa si limita a quanto necessario per conseguire il suo obiettivo e rispetta pertanto il principio di proporzionalità.</w:t>
      </w:r>
    </w:p>
    <w:p w14:paraId="256BD654" w14:textId="77777777" w:rsidR="00B35235" w:rsidRPr="00042241" w:rsidRDefault="006B1DE0" w:rsidP="006B1DE0">
      <w:pPr>
        <w:pStyle w:val="ManualHeading2"/>
        <w:rPr>
          <w:noProof/>
        </w:rPr>
      </w:pPr>
      <w:r w:rsidRPr="00042241">
        <w:rPr>
          <w:noProof/>
        </w:rPr>
        <w:t>3.3.</w:t>
      </w:r>
      <w:r w:rsidRPr="00042241">
        <w:rPr>
          <w:noProof/>
        </w:rPr>
        <w:tab/>
        <w:t>Scelta dello strumento giuridico</w:t>
      </w:r>
    </w:p>
    <w:p w14:paraId="350A0CCA" w14:textId="348DBAE1" w:rsidR="00B35235" w:rsidRPr="00042241" w:rsidRDefault="004379E8" w:rsidP="00B35235">
      <w:pPr>
        <w:pStyle w:val="Text1"/>
        <w:rPr>
          <w:noProof/>
        </w:rPr>
      </w:pPr>
      <w:r w:rsidRPr="00042241">
        <w:rPr>
          <w:noProof/>
        </w:rPr>
        <w:t>Il regolamento è lo strumento giuridico adeguato per modificare il regolamento (CE) n. 974/98 del Consiglio relativo all</w:t>
      </w:r>
      <w:r w:rsidR="0080195E">
        <w:rPr>
          <w:noProof/>
        </w:rPr>
        <w:t>'</w:t>
      </w:r>
      <w:r w:rsidRPr="00042241">
        <w:rPr>
          <w:noProof/>
        </w:rPr>
        <w:t>introduzione dell</w:t>
      </w:r>
      <w:r w:rsidR="0080195E">
        <w:rPr>
          <w:noProof/>
        </w:rPr>
        <w:t>'</w:t>
      </w:r>
      <w:r w:rsidRPr="00042241">
        <w:rPr>
          <w:noProof/>
        </w:rPr>
        <w:t>euro.</w:t>
      </w:r>
    </w:p>
    <w:p w14:paraId="5D9964AB" w14:textId="77777777" w:rsidR="00B35235" w:rsidRPr="00042241" w:rsidRDefault="006B1DE0" w:rsidP="006B1DE0">
      <w:pPr>
        <w:pStyle w:val="ManualHeading1"/>
        <w:rPr>
          <w:noProof/>
        </w:rPr>
      </w:pPr>
      <w:r w:rsidRPr="00042241">
        <w:rPr>
          <w:noProof/>
        </w:rPr>
        <w:t>4.</w:t>
      </w:r>
      <w:r w:rsidRPr="00042241">
        <w:rPr>
          <w:noProof/>
        </w:rPr>
        <w:tab/>
        <w:t>INCIDENZA SUL BILANCIO</w:t>
      </w:r>
    </w:p>
    <w:p w14:paraId="60B7D24E" w14:textId="0E91A8EF" w:rsidR="00B35235" w:rsidRPr="00042241" w:rsidRDefault="00B35235" w:rsidP="00B35235">
      <w:pPr>
        <w:pStyle w:val="Text1"/>
        <w:rPr>
          <w:noProof/>
        </w:rPr>
      </w:pPr>
      <w:r w:rsidRPr="00042241">
        <w:rPr>
          <w:noProof/>
        </w:rPr>
        <w:t>La proposta non comporta alcuna incidenza sul bilancio dell</w:t>
      </w:r>
      <w:r w:rsidR="0080195E">
        <w:rPr>
          <w:noProof/>
        </w:rPr>
        <w:t>'</w:t>
      </w:r>
      <w:r w:rsidRPr="00042241">
        <w:rPr>
          <w:noProof/>
        </w:rPr>
        <w:t>Unione.</w:t>
      </w:r>
    </w:p>
    <w:p w14:paraId="070BE08B" w14:textId="77777777" w:rsidR="00B35235" w:rsidRPr="00042241" w:rsidRDefault="006B1DE0" w:rsidP="006B1DE0">
      <w:pPr>
        <w:pStyle w:val="ManualHeading1"/>
        <w:rPr>
          <w:noProof/>
        </w:rPr>
      </w:pPr>
      <w:r w:rsidRPr="00042241">
        <w:rPr>
          <w:noProof/>
        </w:rPr>
        <w:t>5.</w:t>
      </w:r>
      <w:r w:rsidRPr="00042241">
        <w:rPr>
          <w:noProof/>
        </w:rPr>
        <w:tab/>
        <w:t>COMMENTI SUI SINGOLI ARTICOLI</w:t>
      </w:r>
    </w:p>
    <w:p w14:paraId="6DB1DEAE" w14:textId="77777777" w:rsidR="00B35235" w:rsidRPr="00042241" w:rsidRDefault="006B1DE0" w:rsidP="006B1DE0">
      <w:pPr>
        <w:pStyle w:val="ManualHeading2"/>
        <w:rPr>
          <w:noProof/>
        </w:rPr>
      </w:pPr>
      <w:bookmarkStart w:id="2" w:name="DQPStarAt1DQPStarAt55093608EF8147D681E05"/>
      <w:bookmarkEnd w:id="2"/>
      <w:r w:rsidRPr="00042241">
        <w:rPr>
          <w:noProof/>
        </w:rPr>
        <w:t>5.1.</w:t>
      </w:r>
      <w:r w:rsidRPr="00042241">
        <w:rPr>
          <w:noProof/>
        </w:rPr>
        <w:tab/>
        <w:t>Articolo 1</w:t>
      </w:r>
    </w:p>
    <w:p w14:paraId="5BB89D2A" w14:textId="32F3C3BA" w:rsidR="00504383" w:rsidRPr="00042241" w:rsidRDefault="00B35235" w:rsidP="00B35235">
      <w:pPr>
        <w:pStyle w:val="Text1"/>
        <w:rPr>
          <w:noProof/>
        </w:rPr>
      </w:pPr>
      <w:r w:rsidRPr="00042241">
        <w:rPr>
          <w:noProof/>
        </w:rPr>
        <w:t>Ai sensi dell</w:t>
      </w:r>
      <w:r w:rsidR="0080195E">
        <w:rPr>
          <w:noProof/>
        </w:rPr>
        <w:t>'</w:t>
      </w:r>
      <w:r w:rsidRPr="00042241">
        <w:rPr>
          <w:noProof/>
        </w:rPr>
        <w:t>articolo 1, lettera a) e dell</w:t>
      </w:r>
      <w:r w:rsidR="0080195E">
        <w:rPr>
          <w:noProof/>
        </w:rPr>
        <w:t>'</w:t>
      </w:r>
      <w:r w:rsidRPr="00042241">
        <w:rPr>
          <w:noProof/>
        </w:rPr>
        <w:t>articolo 1 bis del regolamento (CE) n. 974/98, la tabella di cui all</w:t>
      </w:r>
      <w:r w:rsidR="0080195E">
        <w:rPr>
          <w:noProof/>
        </w:rPr>
        <w:t>'</w:t>
      </w:r>
      <w:r w:rsidRPr="00042241">
        <w:rPr>
          <w:noProof/>
        </w:rPr>
        <w:t>allegato del regolamento elenca gli Stati membri partecipanti e stabilisce la data di adozione dell</w:t>
      </w:r>
      <w:r w:rsidR="0080195E">
        <w:rPr>
          <w:noProof/>
        </w:rPr>
        <w:t>'</w:t>
      </w:r>
      <w:r w:rsidRPr="00042241">
        <w:rPr>
          <w:noProof/>
        </w:rPr>
        <w:t>euro, la data di sostituzione del denaro liquido e l</w:t>
      </w:r>
      <w:r w:rsidR="0080195E">
        <w:rPr>
          <w:noProof/>
        </w:rPr>
        <w:t>'</w:t>
      </w:r>
      <w:r w:rsidRPr="00042241">
        <w:rPr>
          <w:noProof/>
        </w:rPr>
        <w:t xml:space="preserve">eventuale periodo di </w:t>
      </w:r>
      <w:r w:rsidR="0080195E">
        <w:rPr>
          <w:noProof/>
        </w:rPr>
        <w:t>"</w:t>
      </w:r>
      <w:r w:rsidRPr="00042241">
        <w:rPr>
          <w:noProof/>
        </w:rPr>
        <w:t>abbandono graduale</w:t>
      </w:r>
      <w:r w:rsidR="0080195E">
        <w:rPr>
          <w:noProof/>
        </w:rPr>
        <w:t>"</w:t>
      </w:r>
      <w:r w:rsidRPr="00042241">
        <w:rPr>
          <w:noProof/>
        </w:rPr>
        <w:t xml:space="preserve"> per ogni Stato membro partecipante.</w:t>
      </w:r>
    </w:p>
    <w:p w14:paraId="54723A16" w14:textId="5ECF34D9" w:rsidR="00504383" w:rsidRPr="00042241" w:rsidRDefault="00B35235" w:rsidP="00B35235">
      <w:pPr>
        <w:pStyle w:val="Text1"/>
        <w:rPr>
          <w:noProof/>
        </w:rPr>
      </w:pPr>
      <w:r w:rsidRPr="00042241">
        <w:rPr>
          <w:noProof/>
        </w:rPr>
        <w:t>A norma dell</w:t>
      </w:r>
      <w:r w:rsidR="0080195E">
        <w:rPr>
          <w:noProof/>
        </w:rPr>
        <w:t>'</w:t>
      </w:r>
      <w:r w:rsidRPr="00042241">
        <w:rPr>
          <w:noProof/>
        </w:rPr>
        <w:t>articolo 1, lettera</w:t>
      </w:r>
      <w:r w:rsidR="008A3F17">
        <w:rPr>
          <w:noProof/>
        </w:rPr>
        <w:t xml:space="preserve"> </w:t>
      </w:r>
      <w:r w:rsidRPr="00042241">
        <w:rPr>
          <w:noProof/>
        </w:rPr>
        <w:t xml:space="preserve">i), del regolamento (CE) n. 974/98, un periodo di </w:t>
      </w:r>
      <w:r w:rsidR="0080195E">
        <w:rPr>
          <w:noProof/>
        </w:rPr>
        <w:t>"</w:t>
      </w:r>
      <w:r w:rsidRPr="00042241">
        <w:rPr>
          <w:noProof/>
        </w:rPr>
        <w:t>abbandono graduale</w:t>
      </w:r>
      <w:r w:rsidR="0080195E">
        <w:rPr>
          <w:noProof/>
        </w:rPr>
        <w:t>"</w:t>
      </w:r>
      <w:r w:rsidRPr="00042241">
        <w:rPr>
          <w:noProof/>
        </w:rPr>
        <w:t xml:space="preserve"> può essere applicato solo agli Stati membri in cui la data di adozione dell</w:t>
      </w:r>
      <w:r w:rsidR="0080195E">
        <w:rPr>
          <w:noProof/>
        </w:rPr>
        <w:t>'</w:t>
      </w:r>
      <w:r w:rsidRPr="00042241">
        <w:rPr>
          <w:noProof/>
        </w:rPr>
        <w:t>euro coincide con quella di sostituzione del denaro liquido. Ciò non è</w:t>
      </w:r>
      <w:r w:rsidR="008A3F17">
        <w:rPr>
          <w:noProof/>
        </w:rPr>
        <w:t xml:space="preserve"> </w:t>
      </w:r>
      <w:r w:rsidRPr="00042241">
        <w:rPr>
          <w:noProof/>
        </w:rPr>
        <w:t>avvenuto né nel caso degli undici Stati membri che hanno adottato l</w:t>
      </w:r>
      <w:r w:rsidR="0080195E">
        <w:rPr>
          <w:noProof/>
        </w:rPr>
        <w:t>'</w:t>
      </w:r>
      <w:r w:rsidRPr="00042241">
        <w:rPr>
          <w:noProof/>
        </w:rPr>
        <w:t>euro il 1° gennaio 1999 né della Grecia che l</w:t>
      </w:r>
      <w:r w:rsidR="0080195E">
        <w:rPr>
          <w:noProof/>
        </w:rPr>
        <w:t>'</w:t>
      </w:r>
      <w:r w:rsidRPr="00042241">
        <w:rPr>
          <w:noProof/>
        </w:rPr>
        <w:t>ha adottato il 1° gennaio 2001.</w:t>
      </w:r>
    </w:p>
    <w:p w14:paraId="3D2B3210" w14:textId="01092D2B" w:rsidR="00504383" w:rsidRPr="00042241" w:rsidRDefault="000E488C" w:rsidP="00B35235">
      <w:pPr>
        <w:pStyle w:val="Text1"/>
        <w:rPr>
          <w:noProof/>
        </w:rPr>
      </w:pPr>
      <w:r w:rsidRPr="00042241">
        <w:rPr>
          <w:noProof/>
        </w:rPr>
        <w:t>Nel caso di Slovenia, Cipro, Malta, Slovacchia, Estonia, Lettonia, Lituania e Croazia le date di adozione dell</w:t>
      </w:r>
      <w:r w:rsidR="0080195E">
        <w:rPr>
          <w:noProof/>
        </w:rPr>
        <w:t>'</w:t>
      </w:r>
      <w:r w:rsidRPr="00042241">
        <w:rPr>
          <w:noProof/>
        </w:rPr>
        <w:t>euro e di sostituzione del denaro liquido hanno coinciso (1º gennaio 2007 per la Slovenia, 1º gennaio 2008 per Cipro e Malta, 1º gennaio 2009 per la Slovacchia, 1º gennaio 2011 per l</w:t>
      </w:r>
      <w:r w:rsidR="0080195E">
        <w:rPr>
          <w:noProof/>
        </w:rPr>
        <w:t>'</w:t>
      </w:r>
      <w:r w:rsidRPr="00042241">
        <w:rPr>
          <w:noProof/>
        </w:rPr>
        <w:t xml:space="preserve">Estonia, 1º gennaio 2014 per la Lettonia, 1º gennaio 2015 per la Lituania e 1º gennaio 2023 per la Croazia). Questi paesi hanno scelto tuttavia di non applicare il periodo di </w:t>
      </w:r>
      <w:r w:rsidR="0080195E">
        <w:rPr>
          <w:noProof/>
        </w:rPr>
        <w:t>"</w:t>
      </w:r>
      <w:r w:rsidRPr="00042241">
        <w:rPr>
          <w:noProof/>
        </w:rPr>
        <w:t>abbandono graduale</w:t>
      </w:r>
      <w:r w:rsidR="0080195E">
        <w:rPr>
          <w:noProof/>
        </w:rPr>
        <w:t>"</w:t>
      </w:r>
      <w:r w:rsidRPr="00042241">
        <w:rPr>
          <w:noProof/>
        </w:rPr>
        <w:t>.</w:t>
      </w:r>
    </w:p>
    <w:p w14:paraId="3D2C6202" w14:textId="7FCB547B" w:rsidR="00B35235" w:rsidRPr="00042241" w:rsidRDefault="7E6E52C5" w:rsidP="00B35235">
      <w:pPr>
        <w:pStyle w:val="Text1"/>
        <w:rPr>
          <w:noProof/>
        </w:rPr>
      </w:pPr>
      <w:r w:rsidRPr="00042241">
        <w:rPr>
          <w:noProof/>
        </w:rPr>
        <w:t>Anche il piano di passaggio all</w:t>
      </w:r>
      <w:r w:rsidR="0080195E">
        <w:rPr>
          <w:noProof/>
        </w:rPr>
        <w:t>'</w:t>
      </w:r>
      <w:r w:rsidRPr="00042241">
        <w:rPr>
          <w:noProof/>
        </w:rPr>
        <w:t>euro della Bulgaria indica la stessa data per l</w:t>
      </w:r>
      <w:r w:rsidR="0080195E">
        <w:rPr>
          <w:noProof/>
        </w:rPr>
        <w:t>'</w:t>
      </w:r>
      <w:r w:rsidRPr="00042241">
        <w:rPr>
          <w:noProof/>
        </w:rPr>
        <w:t>adozione dell</w:t>
      </w:r>
      <w:r w:rsidR="0080195E">
        <w:rPr>
          <w:noProof/>
        </w:rPr>
        <w:t>'</w:t>
      </w:r>
      <w:r w:rsidRPr="00042241">
        <w:rPr>
          <w:noProof/>
        </w:rPr>
        <w:t xml:space="preserve">euro e la sostituzione del denaro liquido (1º gennaio 2026) e questo Stato ha scelto di non applicare il periodo di </w:t>
      </w:r>
      <w:r w:rsidR="0080195E">
        <w:rPr>
          <w:noProof/>
        </w:rPr>
        <w:t>"</w:t>
      </w:r>
      <w:r w:rsidRPr="00042241">
        <w:rPr>
          <w:noProof/>
        </w:rPr>
        <w:t>abbandono graduale</w:t>
      </w:r>
      <w:r w:rsidR="0080195E">
        <w:rPr>
          <w:noProof/>
        </w:rPr>
        <w:t>"</w:t>
      </w:r>
      <w:r w:rsidRPr="00042241">
        <w:rPr>
          <w:noProof/>
        </w:rPr>
        <w:t>.</w:t>
      </w:r>
    </w:p>
    <w:p w14:paraId="6AB8CA87" w14:textId="7BD69A42" w:rsidR="00B35235" w:rsidRPr="00042241" w:rsidRDefault="30BAC377" w:rsidP="00B35235">
      <w:pPr>
        <w:pStyle w:val="Text1"/>
        <w:rPr>
          <w:noProof/>
        </w:rPr>
      </w:pPr>
      <w:r w:rsidRPr="00042241">
        <w:rPr>
          <w:noProof/>
        </w:rPr>
        <w:t>L</w:t>
      </w:r>
      <w:r w:rsidR="0080195E">
        <w:rPr>
          <w:noProof/>
        </w:rPr>
        <w:t>'</w:t>
      </w:r>
      <w:r w:rsidRPr="00042241">
        <w:rPr>
          <w:noProof/>
        </w:rPr>
        <w:t>articolo aggiunge la Bulgaria e i relativi dati, che si riportano di seguito, alla tabella di cui all</w:t>
      </w:r>
      <w:r w:rsidR="0080195E">
        <w:rPr>
          <w:noProof/>
        </w:rPr>
        <w:t>'</w:t>
      </w:r>
      <w:r w:rsidRPr="00042241">
        <w:rPr>
          <w:noProof/>
        </w:rPr>
        <w:t>allegato del regolamento (CE) n. 974/98, secondo l</w:t>
      </w:r>
      <w:r w:rsidR="0080195E">
        <w:rPr>
          <w:noProof/>
        </w:rPr>
        <w:t>'</w:t>
      </w:r>
      <w:r w:rsidRPr="00042241">
        <w:rPr>
          <w:noProof/>
        </w:rPr>
        <w:t>ordine protocollare.</w:t>
      </w:r>
    </w:p>
    <w:tbl>
      <w:tblPr>
        <w:tblW w:w="6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521"/>
        <w:gridCol w:w="1695"/>
        <w:gridCol w:w="1809"/>
      </w:tblGrid>
      <w:tr w:rsidR="00B35235" w14:paraId="287F79CD" w14:textId="77777777" w:rsidTr="2B01EE09">
        <w:trPr>
          <w:jc w:val="center"/>
        </w:trPr>
        <w:tc>
          <w:tcPr>
            <w:tcW w:w="1521" w:type="dxa"/>
          </w:tcPr>
          <w:p w14:paraId="4E3E9B26" w14:textId="77777777" w:rsidR="00B35235" w:rsidRDefault="00B35235" w:rsidP="00956B6B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Stato membro</w:t>
            </w:r>
          </w:p>
        </w:tc>
        <w:tc>
          <w:tcPr>
            <w:tcW w:w="1521" w:type="dxa"/>
          </w:tcPr>
          <w:p w14:paraId="52D2CF2E" w14:textId="689FD996" w:rsidR="00B35235" w:rsidRDefault="00B35235" w:rsidP="00956B6B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Data di adozione dell</w:t>
            </w:r>
            <w:r w:rsidR="0080195E">
              <w:rPr>
                <w:noProof/>
                <w:sz w:val="16"/>
              </w:rPr>
              <w:t>'</w:t>
            </w:r>
            <w:r>
              <w:rPr>
                <w:noProof/>
                <w:sz w:val="16"/>
              </w:rPr>
              <w:t>euro</w:t>
            </w:r>
          </w:p>
        </w:tc>
        <w:tc>
          <w:tcPr>
            <w:tcW w:w="1695" w:type="dxa"/>
          </w:tcPr>
          <w:p w14:paraId="7C62F166" w14:textId="77777777" w:rsidR="00B35235" w:rsidRDefault="00B35235" w:rsidP="00956B6B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Data di sostituzione del denaro liquido</w:t>
            </w:r>
          </w:p>
        </w:tc>
        <w:tc>
          <w:tcPr>
            <w:tcW w:w="1809" w:type="dxa"/>
          </w:tcPr>
          <w:p w14:paraId="7AD3C026" w14:textId="7F6BC0AF" w:rsidR="00B35235" w:rsidRDefault="00B35235" w:rsidP="00956B6B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Adozione di un periodo di </w:t>
            </w:r>
            <w:r w:rsidR="0080195E">
              <w:rPr>
                <w:noProof/>
                <w:sz w:val="16"/>
              </w:rPr>
              <w:t>"</w:t>
            </w:r>
            <w:r>
              <w:rPr>
                <w:noProof/>
                <w:sz w:val="16"/>
              </w:rPr>
              <w:t>abbandono graduale</w:t>
            </w:r>
            <w:r w:rsidR="0080195E">
              <w:rPr>
                <w:noProof/>
                <w:sz w:val="16"/>
              </w:rPr>
              <w:t>"</w:t>
            </w:r>
          </w:p>
        </w:tc>
      </w:tr>
      <w:tr w:rsidR="00B35235" w14:paraId="6299FE7E" w14:textId="77777777" w:rsidTr="2B01EE09">
        <w:trPr>
          <w:jc w:val="center"/>
        </w:trPr>
        <w:tc>
          <w:tcPr>
            <w:tcW w:w="1521" w:type="dxa"/>
          </w:tcPr>
          <w:p w14:paraId="3D707B06" w14:textId="2145EF8B" w:rsidR="00B35235" w:rsidRDefault="0080195E" w:rsidP="00956B6B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"</w:t>
            </w:r>
            <w:r w:rsidR="30BAC377">
              <w:rPr>
                <w:noProof/>
                <w:sz w:val="16"/>
              </w:rPr>
              <w:t>Bulgaria</w:t>
            </w:r>
          </w:p>
        </w:tc>
        <w:tc>
          <w:tcPr>
            <w:tcW w:w="1521" w:type="dxa"/>
          </w:tcPr>
          <w:p w14:paraId="1F2C6EF2" w14:textId="77777777" w:rsidR="00B35235" w:rsidRDefault="30BAC377" w:rsidP="00956B6B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1° gennaio 2026</w:t>
            </w:r>
          </w:p>
        </w:tc>
        <w:tc>
          <w:tcPr>
            <w:tcW w:w="1695" w:type="dxa"/>
          </w:tcPr>
          <w:p w14:paraId="06A9049F" w14:textId="77777777" w:rsidR="00B35235" w:rsidRDefault="30BAC377" w:rsidP="00956B6B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1° gennaio 2026</w:t>
            </w:r>
          </w:p>
        </w:tc>
        <w:tc>
          <w:tcPr>
            <w:tcW w:w="1809" w:type="dxa"/>
          </w:tcPr>
          <w:p w14:paraId="1D22FEE9" w14:textId="07B97B1A" w:rsidR="00B35235" w:rsidRDefault="00B35235" w:rsidP="00956B6B">
            <w:pPr>
              <w:jc w:val="center"/>
              <w:rPr>
                <w:rFonts w:cs="Arial"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No</w:t>
            </w:r>
            <w:r w:rsidR="0080195E">
              <w:rPr>
                <w:noProof/>
                <w:sz w:val="16"/>
              </w:rPr>
              <w:t>"</w:t>
            </w:r>
          </w:p>
        </w:tc>
      </w:tr>
    </w:tbl>
    <w:p w14:paraId="48C51D69" w14:textId="77777777" w:rsidR="00B35235" w:rsidRPr="00042241" w:rsidRDefault="00B35235" w:rsidP="00B35235">
      <w:pPr>
        <w:pStyle w:val="Text1"/>
        <w:rPr>
          <w:noProof/>
        </w:rPr>
      </w:pPr>
    </w:p>
    <w:p w14:paraId="4D0625BA" w14:textId="77777777" w:rsidR="00B35235" w:rsidRPr="00042241" w:rsidRDefault="006B1DE0" w:rsidP="006B1DE0">
      <w:pPr>
        <w:pStyle w:val="ManualHeading2"/>
        <w:rPr>
          <w:noProof/>
        </w:rPr>
      </w:pPr>
      <w:r w:rsidRPr="00042241">
        <w:rPr>
          <w:noProof/>
        </w:rPr>
        <w:t>5.2.</w:t>
      </w:r>
      <w:r w:rsidRPr="00042241">
        <w:rPr>
          <w:noProof/>
        </w:rPr>
        <w:tab/>
        <w:t>Articolo 2</w:t>
      </w:r>
    </w:p>
    <w:p w14:paraId="7FE22F93" w14:textId="0B789EC5" w:rsidR="0067565A" w:rsidRPr="00042241" w:rsidRDefault="30BAC377" w:rsidP="00B35235">
      <w:pPr>
        <w:rPr>
          <w:noProof/>
        </w:rPr>
      </w:pPr>
      <w:r w:rsidRPr="00042241">
        <w:rPr>
          <w:noProof/>
        </w:rPr>
        <w:t>L</w:t>
      </w:r>
      <w:r w:rsidR="0080195E">
        <w:rPr>
          <w:noProof/>
        </w:rPr>
        <w:t>'</w:t>
      </w:r>
      <w:r w:rsidRPr="00042241">
        <w:rPr>
          <w:noProof/>
        </w:rPr>
        <w:t>articolo fissa al 1º gennaio 2026 la data di entrata in vigore del regolamento, assicurando in tal modo la sua applicazione ad una data coerente con i termini stabiliti dagli altri atti del Consiglio relativi all</w:t>
      </w:r>
      <w:r w:rsidR="0080195E">
        <w:rPr>
          <w:noProof/>
        </w:rPr>
        <w:t>'</w:t>
      </w:r>
      <w:r w:rsidRPr="00042241">
        <w:rPr>
          <w:noProof/>
        </w:rPr>
        <w:t>adozione dell</w:t>
      </w:r>
      <w:r w:rsidR="0080195E">
        <w:rPr>
          <w:noProof/>
        </w:rPr>
        <w:t>'</w:t>
      </w:r>
      <w:r w:rsidRPr="00042241">
        <w:rPr>
          <w:noProof/>
        </w:rPr>
        <w:t>euro da parte della Bulgaria, ossia la stessa data di abolizione della deroga e di entrata in vigore del tasso di conversione del lev bulgaro.</w:t>
      </w:r>
    </w:p>
    <w:p w14:paraId="234826E5" w14:textId="77777777" w:rsidR="00414613" w:rsidRPr="00042241" w:rsidRDefault="00414613" w:rsidP="00414613">
      <w:pPr>
        <w:rPr>
          <w:noProof/>
        </w:rPr>
        <w:sectPr w:rsidR="00414613" w:rsidRPr="00042241" w:rsidSect="00FF71FD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14:paraId="2208E8D9" w14:textId="22D03F4A" w:rsidR="005622A3" w:rsidRPr="00042241" w:rsidRDefault="00FF71FD" w:rsidP="00FF71FD">
      <w:pPr>
        <w:pStyle w:val="Rfrenceinterinstitutionnelle"/>
        <w:rPr>
          <w:noProof/>
        </w:rPr>
      </w:pPr>
      <w:r w:rsidRPr="00FF71FD">
        <w:t>2025/0159 (NLE)</w:t>
      </w:r>
    </w:p>
    <w:p w14:paraId="4AD99583" w14:textId="776D4FC5" w:rsidR="00414613" w:rsidRPr="00042241" w:rsidRDefault="0089403B" w:rsidP="0089403B">
      <w:pPr>
        <w:pStyle w:val="Statut"/>
        <w:rPr>
          <w:noProof/>
        </w:rPr>
      </w:pPr>
      <w:r w:rsidRPr="0089403B">
        <w:rPr>
          <w:noProof/>
        </w:rPr>
        <w:t>Proposta di</w:t>
      </w:r>
    </w:p>
    <w:p w14:paraId="1849A3C6" w14:textId="2FAF2FB3" w:rsidR="00414613" w:rsidRPr="00042241" w:rsidRDefault="0089403B" w:rsidP="0089403B">
      <w:pPr>
        <w:pStyle w:val="Typedudocument"/>
        <w:rPr>
          <w:noProof/>
        </w:rPr>
      </w:pPr>
      <w:r w:rsidRPr="0089403B">
        <w:rPr>
          <w:noProof/>
        </w:rPr>
        <w:t>REGOLAMENTO DEL CONSIGLIO</w:t>
      </w:r>
    </w:p>
    <w:p w14:paraId="5C1CACF5" w14:textId="33169C8E" w:rsidR="00414613" w:rsidRPr="00042241" w:rsidRDefault="0089403B" w:rsidP="0089403B">
      <w:pPr>
        <w:pStyle w:val="Titreobjet"/>
        <w:rPr>
          <w:noProof/>
        </w:rPr>
      </w:pPr>
      <w:r w:rsidRPr="0089403B">
        <w:rPr>
          <w:noProof/>
        </w:rPr>
        <w:t>che modifica il regolamento (CE) n. 974/98 per quanto concerne l'introduzione dell'euro in Bulgaria</w:t>
      </w:r>
    </w:p>
    <w:p w14:paraId="53241E86" w14:textId="3AE7A2F6" w:rsidR="00414613" w:rsidRPr="00042241" w:rsidRDefault="00414613">
      <w:pPr>
        <w:pStyle w:val="Institutionquiagit"/>
        <w:rPr>
          <w:noProof/>
        </w:rPr>
      </w:pPr>
      <w:r w:rsidRPr="00042241">
        <w:rPr>
          <w:noProof/>
        </w:rPr>
        <w:t>IL CONSIGLIO DELL</w:t>
      </w:r>
      <w:r w:rsidR="0080195E">
        <w:rPr>
          <w:noProof/>
        </w:rPr>
        <w:t>'</w:t>
      </w:r>
      <w:r w:rsidRPr="00042241">
        <w:rPr>
          <w:noProof/>
        </w:rPr>
        <w:t>UNIONE EUROPEA,</w:t>
      </w:r>
    </w:p>
    <w:p w14:paraId="2BB3ED9F" w14:textId="03CE5E2D" w:rsidR="00414613" w:rsidRPr="00042241" w:rsidRDefault="00414613">
      <w:pPr>
        <w:rPr>
          <w:noProof/>
        </w:rPr>
      </w:pPr>
      <w:r w:rsidRPr="00042241">
        <w:rPr>
          <w:noProof/>
        </w:rPr>
        <w:t>visto il trattato sul funzionamento dell</w:t>
      </w:r>
      <w:r w:rsidR="0080195E">
        <w:rPr>
          <w:noProof/>
        </w:rPr>
        <w:t>'</w:t>
      </w:r>
      <w:r w:rsidRPr="00042241">
        <w:rPr>
          <w:noProof/>
        </w:rPr>
        <w:t>Unione europea, in particolare l</w:t>
      </w:r>
      <w:r w:rsidR="0080195E">
        <w:rPr>
          <w:noProof/>
        </w:rPr>
        <w:t>'</w:t>
      </w:r>
      <w:r w:rsidRPr="00042241">
        <w:rPr>
          <w:noProof/>
        </w:rPr>
        <w:t>articolo</w:t>
      </w:r>
      <w:r w:rsidR="008A3F17">
        <w:rPr>
          <w:noProof/>
        </w:rPr>
        <w:t xml:space="preserve"> </w:t>
      </w:r>
      <w:r w:rsidRPr="00042241">
        <w:rPr>
          <w:noProof/>
        </w:rPr>
        <w:t>140, paragrafo 3,</w:t>
      </w:r>
    </w:p>
    <w:p w14:paraId="30AFB8AA" w14:textId="77777777" w:rsidR="00414613" w:rsidRPr="00042241" w:rsidRDefault="00414613">
      <w:pPr>
        <w:rPr>
          <w:noProof/>
        </w:rPr>
      </w:pPr>
      <w:r w:rsidRPr="00042241">
        <w:rPr>
          <w:noProof/>
        </w:rPr>
        <w:t>vista la proposta della Commissione europea,</w:t>
      </w:r>
    </w:p>
    <w:p w14:paraId="604C2BAC" w14:textId="77777777" w:rsidR="00414613" w:rsidRPr="00042241" w:rsidRDefault="7E087140">
      <w:pPr>
        <w:rPr>
          <w:noProof/>
        </w:rPr>
      </w:pPr>
      <w:r w:rsidRPr="00042241">
        <w:rPr>
          <w:noProof/>
        </w:rPr>
        <w:t>visto il parere della Banca centrale europea(</w:t>
      </w:r>
      <w:r w:rsidRPr="00042241">
        <w:rPr>
          <w:rStyle w:val="FootnoteReference"/>
          <w:noProof/>
        </w:rPr>
        <w:footnoteReference w:id="4"/>
      </w:r>
      <w:r w:rsidRPr="00042241">
        <w:rPr>
          <w:noProof/>
        </w:rPr>
        <w:t>),</w:t>
      </w:r>
    </w:p>
    <w:p w14:paraId="65343E1F" w14:textId="77777777" w:rsidR="00414613" w:rsidRPr="00042241" w:rsidRDefault="00414613">
      <w:pPr>
        <w:rPr>
          <w:noProof/>
        </w:rPr>
      </w:pPr>
      <w:r w:rsidRPr="00042241">
        <w:rPr>
          <w:noProof/>
        </w:rPr>
        <w:t>considerando quanto segue:</w:t>
      </w:r>
    </w:p>
    <w:p w14:paraId="204026E5" w14:textId="2FD3D1CA" w:rsidR="00414613" w:rsidRPr="00042241" w:rsidRDefault="383E4E3C" w:rsidP="006B1DE0">
      <w:pPr>
        <w:pStyle w:val="ManualConsidrant"/>
        <w:rPr>
          <w:noProof/>
        </w:rPr>
      </w:pPr>
      <w:r w:rsidRPr="00042241">
        <w:rPr>
          <w:noProof/>
        </w:rPr>
        <w:t>(1)</w:t>
      </w:r>
      <w:r w:rsidRPr="00042241">
        <w:rPr>
          <w:noProof/>
        </w:rPr>
        <w:tab/>
        <w:t>Il regolamento (CE) n. 974/98 del Consiglio(</w:t>
      </w:r>
      <w:r w:rsidR="00414613" w:rsidRPr="00042241">
        <w:rPr>
          <w:rStyle w:val="FootnoteReference"/>
          <w:noProof/>
        </w:rPr>
        <w:footnoteReference w:id="5"/>
      </w:r>
      <w:r w:rsidRPr="00042241">
        <w:rPr>
          <w:noProof/>
        </w:rPr>
        <w:t>) prevede la sostituzione con l</w:t>
      </w:r>
      <w:r w:rsidR="0080195E">
        <w:rPr>
          <w:noProof/>
        </w:rPr>
        <w:t>'</w:t>
      </w:r>
      <w:r w:rsidRPr="00042241">
        <w:rPr>
          <w:noProof/>
        </w:rPr>
        <w:t>euro delle monete degli Stati membri che soddisfacevano le condizioni necessarie per l</w:t>
      </w:r>
      <w:r w:rsidR="0080195E">
        <w:rPr>
          <w:noProof/>
        </w:rPr>
        <w:t>'</w:t>
      </w:r>
      <w:r w:rsidRPr="00042241">
        <w:rPr>
          <w:noProof/>
        </w:rPr>
        <w:t>adozione dell</w:t>
      </w:r>
      <w:r w:rsidR="0080195E">
        <w:rPr>
          <w:noProof/>
        </w:rPr>
        <w:t>'</w:t>
      </w:r>
      <w:r w:rsidRPr="00042241">
        <w:rPr>
          <w:noProof/>
        </w:rPr>
        <w:t>euro al momento del passaggio della Comunità alla terza fase dell</w:t>
      </w:r>
      <w:r w:rsidR="0080195E">
        <w:rPr>
          <w:noProof/>
        </w:rPr>
        <w:t>'</w:t>
      </w:r>
      <w:r w:rsidRPr="00042241">
        <w:rPr>
          <w:noProof/>
        </w:rPr>
        <w:t>Unione economica e monetaria.</w:t>
      </w:r>
    </w:p>
    <w:p w14:paraId="5820EDCA" w14:textId="4F961FFC" w:rsidR="00414613" w:rsidRPr="00042241" w:rsidRDefault="383E4E3C" w:rsidP="006B1DE0">
      <w:pPr>
        <w:pStyle w:val="ManualConsidrant"/>
        <w:rPr>
          <w:noProof/>
        </w:rPr>
      </w:pPr>
      <w:r w:rsidRPr="00042241">
        <w:rPr>
          <w:noProof/>
        </w:rPr>
        <w:t>(2)</w:t>
      </w:r>
      <w:r w:rsidRPr="00042241">
        <w:rPr>
          <w:noProof/>
        </w:rPr>
        <w:tab/>
        <w:t>A norma dell</w:t>
      </w:r>
      <w:r w:rsidR="0080195E">
        <w:rPr>
          <w:noProof/>
        </w:rPr>
        <w:t>'</w:t>
      </w:r>
      <w:r w:rsidRPr="00042241">
        <w:rPr>
          <w:noProof/>
        </w:rPr>
        <w:t>articolo 5 dell</w:t>
      </w:r>
      <w:r w:rsidR="0080195E">
        <w:rPr>
          <w:noProof/>
        </w:rPr>
        <w:t>'</w:t>
      </w:r>
      <w:r w:rsidRPr="00042241">
        <w:rPr>
          <w:noProof/>
        </w:rPr>
        <w:t>atto di adesione del 2005(</w:t>
      </w:r>
      <w:r w:rsidR="00883AF9" w:rsidRPr="00042241">
        <w:rPr>
          <w:rStyle w:val="FootnoteReference"/>
          <w:noProof/>
        </w:rPr>
        <w:footnoteReference w:id="6"/>
      </w:r>
      <w:r w:rsidRPr="00042241">
        <w:rPr>
          <w:noProof/>
        </w:rPr>
        <w:t>), la Bulgaria partecipa all</w:t>
      </w:r>
      <w:r w:rsidR="0080195E">
        <w:rPr>
          <w:noProof/>
        </w:rPr>
        <w:t>'</w:t>
      </w:r>
      <w:r w:rsidRPr="00042241">
        <w:rPr>
          <w:noProof/>
        </w:rPr>
        <w:t>Unione economica e monetaria a decorrere dalla data di adesione quale Stato membro con deroga ai sensi dell</w:t>
      </w:r>
      <w:r w:rsidR="0080195E">
        <w:rPr>
          <w:noProof/>
        </w:rPr>
        <w:t>'</w:t>
      </w:r>
      <w:r w:rsidRPr="00042241">
        <w:rPr>
          <w:noProof/>
        </w:rPr>
        <w:t>articolo 139, paragrafo 1, del trattato.</w:t>
      </w:r>
    </w:p>
    <w:p w14:paraId="024F4CFB" w14:textId="52112984" w:rsidR="00414613" w:rsidRPr="00042241" w:rsidRDefault="6FB03243" w:rsidP="006B1DE0">
      <w:pPr>
        <w:pStyle w:val="ManualConsidrant"/>
        <w:rPr>
          <w:noProof/>
        </w:rPr>
      </w:pPr>
      <w:r w:rsidRPr="00042241">
        <w:rPr>
          <w:noProof/>
        </w:rPr>
        <w:t>(3)</w:t>
      </w:r>
      <w:r w:rsidRPr="00042241">
        <w:rPr>
          <w:noProof/>
        </w:rPr>
        <w:tab/>
        <w:t>A norma della decisione (UE) 2025/... del Consiglio(</w:t>
      </w:r>
      <w:r w:rsidR="00414613" w:rsidRPr="00042241">
        <w:rPr>
          <w:rStyle w:val="FootnoteReference"/>
          <w:noProof/>
        </w:rPr>
        <w:footnoteReference w:id="7"/>
      </w:r>
      <w:r w:rsidRPr="00042241">
        <w:rPr>
          <w:noProof/>
        </w:rPr>
        <w:t>), la Bulgaria soddisfa le condizioni necessarie per l</w:t>
      </w:r>
      <w:r w:rsidR="0080195E">
        <w:rPr>
          <w:noProof/>
        </w:rPr>
        <w:t>'</w:t>
      </w:r>
      <w:r w:rsidRPr="00042241">
        <w:rPr>
          <w:noProof/>
        </w:rPr>
        <w:t>adozione dell</w:t>
      </w:r>
      <w:r w:rsidR="0080195E">
        <w:rPr>
          <w:noProof/>
        </w:rPr>
        <w:t>'</w:t>
      </w:r>
      <w:r w:rsidRPr="00042241">
        <w:rPr>
          <w:noProof/>
        </w:rPr>
        <w:t>euro e la deroga riguardante la Bulgaria è abrogata con decorrenza dal 1° gennaio 2026.</w:t>
      </w:r>
    </w:p>
    <w:p w14:paraId="3748F08E" w14:textId="551530A7" w:rsidR="00414613" w:rsidRPr="00042241" w:rsidRDefault="383E4E3C" w:rsidP="006B1DE0">
      <w:pPr>
        <w:pStyle w:val="ManualConsidrant"/>
        <w:rPr>
          <w:noProof/>
        </w:rPr>
      </w:pPr>
      <w:r w:rsidRPr="00042241">
        <w:rPr>
          <w:noProof/>
        </w:rPr>
        <w:t>(4)</w:t>
      </w:r>
      <w:r w:rsidRPr="00042241">
        <w:rPr>
          <w:noProof/>
        </w:rPr>
        <w:tab/>
        <w:t>Per l</w:t>
      </w:r>
      <w:r w:rsidR="0080195E">
        <w:rPr>
          <w:noProof/>
        </w:rPr>
        <w:t>'</w:t>
      </w:r>
      <w:r w:rsidRPr="00042241">
        <w:rPr>
          <w:noProof/>
        </w:rPr>
        <w:t>introduzione dell</w:t>
      </w:r>
      <w:r w:rsidR="0080195E">
        <w:rPr>
          <w:noProof/>
        </w:rPr>
        <w:t>'</w:t>
      </w:r>
      <w:r w:rsidRPr="00042241">
        <w:rPr>
          <w:noProof/>
        </w:rPr>
        <w:t>euro in Bulgaria occorre estendere ad essa le vigenti disposizioni del regolamento (CE) n. 974/98 relativo all</w:t>
      </w:r>
      <w:r w:rsidR="0080195E">
        <w:rPr>
          <w:noProof/>
        </w:rPr>
        <w:t>'</w:t>
      </w:r>
      <w:r w:rsidRPr="00042241">
        <w:rPr>
          <w:noProof/>
        </w:rPr>
        <w:t>introduzione dell</w:t>
      </w:r>
      <w:r w:rsidR="0080195E">
        <w:rPr>
          <w:noProof/>
        </w:rPr>
        <w:t>'</w:t>
      </w:r>
      <w:r w:rsidRPr="00042241">
        <w:rPr>
          <w:noProof/>
        </w:rPr>
        <w:t>euro.</w:t>
      </w:r>
    </w:p>
    <w:p w14:paraId="04415A59" w14:textId="0B37113B" w:rsidR="00414613" w:rsidRPr="00042241" w:rsidRDefault="383E4E3C" w:rsidP="006B1DE0">
      <w:pPr>
        <w:pStyle w:val="ManualConsidrant"/>
        <w:rPr>
          <w:noProof/>
        </w:rPr>
      </w:pPr>
      <w:r w:rsidRPr="00042241">
        <w:rPr>
          <w:noProof/>
        </w:rPr>
        <w:t>(5)</w:t>
      </w:r>
      <w:r w:rsidRPr="00042241">
        <w:rPr>
          <w:noProof/>
        </w:rPr>
        <w:tab/>
        <w:t>Il piano di passaggio all</w:t>
      </w:r>
      <w:r w:rsidR="0080195E">
        <w:rPr>
          <w:noProof/>
        </w:rPr>
        <w:t>'</w:t>
      </w:r>
      <w:r w:rsidRPr="00042241">
        <w:rPr>
          <w:noProof/>
        </w:rPr>
        <w:t>euro della Bulgaria specifica che le banconote e le monete in euro avranno corso legale in detto Stato membro il giorno dell</w:t>
      </w:r>
      <w:r w:rsidR="0080195E">
        <w:rPr>
          <w:noProof/>
        </w:rPr>
        <w:t>'</w:t>
      </w:r>
      <w:r w:rsidRPr="00042241">
        <w:rPr>
          <w:noProof/>
        </w:rPr>
        <w:t>introduzione dell</w:t>
      </w:r>
      <w:r w:rsidR="0080195E">
        <w:rPr>
          <w:noProof/>
        </w:rPr>
        <w:t>'</w:t>
      </w:r>
      <w:r w:rsidRPr="00042241">
        <w:rPr>
          <w:noProof/>
        </w:rPr>
        <w:t>euro come moneta nazionale. È pertanto opportuno che la data di adozione dell</w:t>
      </w:r>
      <w:r w:rsidR="0080195E">
        <w:rPr>
          <w:noProof/>
        </w:rPr>
        <w:t>'</w:t>
      </w:r>
      <w:r w:rsidRPr="00042241">
        <w:rPr>
          <w:noProof/>
        </w:rPr>
        <w:t xml:space="preserve">euro e di sostituzione del denaro liquido sia il 1° gennaio 2026. È opportuno che il periodo di </w:t>
      </w:r>
      <w:r w:rsidR="0080195E">
        <w:rPr>
          <w:noProof/>
        </w:rPr>
        <w:t>"</w:t>
      </w:r>
      <w:r w:rsidRPr="00042241">
        <w:rPr>
          <w:noProof/>
        </w:rPr>
        <w:t>abbandono graduale</w:t>
      </w:r>
      <w:r w:rsidR="0080195E">
        <w:rPr>
          <w:noProof/>
        </w:rPr>
        <w:t>"</w:t>
      </w:r>
      <w:r w:rsidRPr="00042241">
        <w:rPr>
          <w:noProof/>
        </w:rPr>
        <w:t xml:space="preserve"> non si applichi.</w:t>
      </w:r>
    </w:p>
    <w:p w14:paraId="5A33BBE2" w14:textId="77777777" w:rsidR="00414613" w:rsidRPr="00042241" w:rsidRDefault="006B1DE0" w:rsidP="006B1DE0">
      <w:pPr>
        <w:pStyle w:val="ManualConsidrant"/>
        <w:rPr>
          <w:noProof/>
        </w:rPr>
      </w:pPr>
      <w:r w:rsidRPr="00042241">
        <w:rPr>
          <w:noProof/>
        </w:rPr>
        <w:t>(6)</w:t>
      </w:r>
      <w:r w:rsidRPr="00042241">
        <w:rPr>
          <w:noProof/>
        </w:rPr>
        <w:tab/>
        <w:t>È pertanto opportuno modificare di conseguenza il regolamento (CE) n. 974/98,</w:t>
      </w:r>
    </w:p>
    <w:p w14:paraId="0DBBA5BF" w14:textId="77777777" w:rsidR="00414613" w:rsidRPr="00042241" w:rsidRDefault="00414613">
      <w:pPr>
        <w:pStyle w:val="Formuledadoption"/>
        <w:rPr>
          <w:noProof/>
        </w:rPr>
      </w:pPr>
      <w:r w:rsidRPr="00042241">
        <w:rPr>
          <w:noProof/>
        </w:rPr>
        <w:t>HA ADOTTATO IL PRESENTE REGOLAMENTO:</w:t>
      </w:r>
    </w:p>
    <w:p w14:paraId="72D23F4A" w14:textId="77777777" w:rsidR="00414613" w:rsidRPr="00042241" w:rsidRDefault="00414613">
      <w:pPr>
        <w:pStyle w:val="Titrearticle"/>
        <w:rPr>
          <w:noProof/>
        </w:rPr>
      </w:pPr>
      <w:r w:rsidRPr="00042241">
        <w:rPr>
          <w:noProof/>
        </w:rPr>
        <w:t>Articolo 1</w:t>
      </w:r>
    </w:p>
    <w:p w14:paraId="06D2EEDA" w14:textId="4BBDBAFE" w:rsidR="00414613" w:rsidRPr="00042241" w:rsidRDefault="56BE6612" w:rsidP="00B91EB1">
      <w:pPr>
        <w:spacing w:after="240"/>
        <w:rPr>
          <w:noProof/>
        </w:rPr>
      </w:pPr>
      <w:bookmarkStart w:id="3" w:name="texte"/>
      <w:r w:rsidRPr="00042241">
        <w:rPr>
          <w:noProof/>
        </w:rPr>
        <w:t>Nell</w:t>
      </w:r>
      <w:r w:rsidR="0080195E">
        <w:rPr>
          <w:noProof/>
        </w:rPr>
        <w:t>'</w:t>
      </w:r>
      <w:r w:rsidRPr="00042241">
        <w:rPr>
          <w:noProof/>
        </w:rPr>
        <w:t>allegato del regolamento (CE) n. 974/98 è inserita la voce seguente tra la voce relativa al Belgio e la voce relativa alla Germania:</w:t>
      </w:r>
    </w:p>
    <w:tbl>
      <w:tblPr>
        <w:tblW w:w="6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1520"/>
        <w:gridCol w:w="1696"/>
        <w:gridCol w:w="1808"/>
      </w:tblGrid>
      <w:tr w:rsidR="00D13AC3" w14:paraId="49FF46ED" w14:textId="77777777" w:rsidTr="2B01EE09">
        <w:tc>
          <w:tcPr>
            <w:tcW w:w="1519" w:type="dxa"/>
          </w:tcPr>
          <w:p w14:paraId="6521C323" w14:textId="20F526A7" w:rsidR="00805A9B" w:rsidRDefault="0080195E" w:rsidP="00DC3ED2">
            <w:pPr>
              <w:rPr>
                <w:rFonts w:cs="Arial"/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"</w:t>
            </w:r>
            <w:r w:rsidR="16DF2206">
              <w:rPr>
                <w:noProof/>
                <w:sz w:val="18"/>
              </w:rPr>
              <w:t>Bulgaria</w:t>
            </w:r>
          </w:p>
        </w:tc>
        <w:tc>
          <w:tcPr>
            <w:tcW w:w="1520" w:type="dxa"/>
          </w:tcPr>
          <w:p w14:paraId="5B47FA6B" w14:textId="77777777" w:rsidR="00805A9B" w:rsidRDefault="16DF2206" w:rsidP="00DC3ED2">
            <w:pPr>
              <w:rPr>
                <w:rFonts w:cs="Arial"/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1° gennaio 2026</w:t>
            </w:r>
          </w:p>
        </w:tc>
        <w:tc>
          <w:tcPr>
            <w:tcW w:w="1696" w:type="dxa"/>
          </w:tcPr>
          <w:p w14:paraId="735EB981" w14:textId="77777777" w:rsidR="00805A9B" w:rsidRDefault="16DF2206" w:rsidP="00DC3ED2">
            <w:pPr>
              <w:rPr>
                <w:rFonts w:cs="Arial"/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1° gennaio 2026</w:t>
            </w:r>
          </w:p>
        </w:tc>
        <w:tc>
          <w:tcPr>
            <w:tcW w:w="1808" w:type="dxa"/>
          </w:tcPr>
          <w:p w14:paraId="13FF7384" w14:textId="4C8C3B57" w:rsidR="00805A9B" w:rsidRDefault="00805A9B" w:rsidP="00DC3ED2">
            <w:pPr>
              <w:rPr>
                <w:rFonts w:cs="Arial"/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No</w:t>
            </w:r>
            <w:r w:rsidR="0080195E">
              <w:rPr>
                <w:noProof/>
                <w:sz w:val="18"/>
              </w:rPr>
              <w:t>"</w:t>
            </w:r>
            <w:r>
              <w:rPr>
                <w:noProof/>
                <w:sz w:val="18"/>
              </w:rPr>
              <w:t>.</w:t>
            </w:r>
          </w:p>
        </w:tc>
      </w:tr>
    </w:tbl>
    <w:bookmarkEnd w:id="3"/>
    <w:p w14:paraId="6150BFDF" w14:textId="77777777" w:rsidR="00414613" w:rsidRPr="00042241" w:rsidRDefault="00414613">
      <w:pPr>
        <w:pStyle w:val="Titrearticle"/>
        <w:rPr>
          <w:noProof/>
        </w:rPr>
      </w:pPr>
      <w:r w:rsidRPr="00042241">
        <w:rPr>
          <w:noProof/>
        </w:rPr>
        <w:t>Articolo 2</w:t>
      </w:r>
    </w:p>
    <w:p w14:paraId="71DDBCAE" w14:textId="77777777" w:rsidR="008E6595" w:rsidRPr="00042241" w:rsidRDefault="7E087140" w:rsidP="008E6595">
      <w:pPr>
        <w:rPr>
          <w:noProof/>
        </w:rPr>
      </w:pPr>
      <w:r w:rsidRPr="00042241">
        <w:rPr>
          <w:noProof/>
        </w:rPr>
        <w:t>Il presente regolamento entra in vigore il 1° gennaio 2026.</w:t>
      </w:r>
    </w:p>
    <w:p w14:paraId="629C43EA" w14:textId="77777777" w:rsidR="00414613" w:rsidRPr="00042241" w:rsidRDefault="00414613" w:rsidP="008E6595">
      <w:pPr>
        <w:pStyle w:val="Applicationdirecte"/>
        <w:rPr>
          <w:noProof/>
        </w:rPr>
      </w:pPr>
      <w:r w:rsidRPr="00042241">
        <w:rPr>
          <w:noProof/>
        </w:rPr>
        <w:t>Il presente regolamento è obbligatorio in tutti i suoi elementi e direttamente applicabile in ciascuno degli Stati membri.</w:t>
      </w:r>
    </w:p>
    <w:p w14:paraId="1FE646A5" w14:textId="4B99C27C" w:rsidR="00414613" w:rsidRPr="00042241" w:rsidRDefault="00FF71FD" w:rsidP="00FF71FD">
      <w:pPr>
        <w:pStyle w:val="Fait"/>
        <w:rPr>
          <w:noProof/>
        </w:rPr>
      </w:pPr>
      <w:r w:rsidRPr="00FF71FD">
        <w:t>Fatto a Bruxelles, il</w:t>
      </w:r>
    </w:p>
    <w:p w14:paraId="6030EB3A" w14:textId="77777777" w:rsidR="00414613" w:rsidRPr="00042241" w:rsidRDefault="00414613" w:rsidP="00C3066B">
      <w:pPr>
        <w:pStyle w:val="Institutionquisigne"/>
        <w:rPr>
          <w:noProof/>
        </w:rPr>
      </w:pPr>
      <w:r w:rsidRPr="00042241">
        <w:rPr>
          <w:noProof/>
        </w:rPr>
        <w:tab/>
        <w:t>Per il Consiglio</w:t>
      </w:r>
    </w:p>
    <w:p w14:paraId="4FBCEE41" w14:textId="77777777" w:rsidR="0048086E" w:rsidRPr="00042241" w:rsidRDefault="00414613" w:rsidP="00C3066B">
      <w:pPr>
        <w:pStyle w:val="Personnequisigne"/>
        <w:keepNext/>
        <w:rPr>
          <w:noProof/>
        </w:rPr>
      </w:pPr>
      <w:r w:rsidRPr="00042241">
        <w:rPr>
          <w:noProof/>
        </w:rPr>
        <w:tab/>
        <w:t>Il presidente</w:t>
      </w:r>
    </w:p>
    <w:p w14:paraId="1E0D19D1" w14:textId="77777777" w:rsidR="0048086E" w:rsidRPr="00042241" w:rsidRDefault="0048086E" w:rsidP="0048086E">
      <w:pPr>
        <w:pStyle w:val="Personnequisigne"/>
        <w:rPr>
          <w:noProof/>
        </w:rPr>
      </w:pPr>
    </w:p>
    <w:sectPr w:rsidR="0048086E" w:rsidRPr="00042241" w:rsidSect="00FF71FD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2ECA" w14:textId="77777777" w:rsidR="00916C8B" w:rsidRPr="00E12037" w:rsidRDefault="00916C8B" w:rsidP="00414613">
      <w:pPr>
        <w:spacing w:before="0" w:after="0"/>
      </w:pPr>
      <w:r w:rsidRPr="00E12037">
        <w:separator/>
      </w:r>
    </w:p>
  </w:endnote>
  <w:endnote w:type="continuationSeparator" w:id="0">
    <w:p w14:paraId="199922E3" w14:textId="77777777" w:rsidR="00916C8B" w:rsidRPr="00E12037" w:rsidRDefault="00916C8B" w:rsidP="00414613">
      <w:pPr>
        <w:spacing w:before="0" w:after="0"/>
      </w:pPr>
      <w:r w:rsidRPr="00E12037">
        <w:continuationSeparator/>
      </w:r>
    </w:p>
  </w:endnote>
  <w:endnote w:type="continuationNotice" w:id="1">
    <w:p w14:paraId="707812E9" w14:textId="77777777" w:rsidR="00916C8B" w:rsidRPr="00E12037" w:rsidRDefault="00916C8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71B6" w14:textId="1F5D50EB" w:rsidR="00FF71FD" w:rsidRPr="00FF71FD" w:rsidRDefault="00FF71FD" w:rsidP="00FF71FD">
    <w:pPr>
      <w:pStyle w:val="Footer"/>
      <w:rPr>
        <w:rFonts w:ascii="Arial" w:hAnsi="Arial" w:cs="Arial"/>
        <w:b/>
        <w:sz w:val="48"/>
      </w:rPr>
    </w:pPr>
    <w:r w:rsidRPr="00FF71FD">
      <w:rPr>
        <w:rFonts w:ascii="Arial" w:hAnsi="Arial" w:cs="Arial"/>
        <w:b/>
        <w:sz w:val="48"/>
      </w:rPr>
      <w:t>IT</w:t>
    </w:r>
    <w:r w:rsidRPr="00FF71FD">
      <w:rPr>
        <w:rFonts w:ascii="Arial" w:hAnsi="Arial" w:cs="Arial"/>
        <w:b/>
        <w:sz w:val="48"/>
      </w:rPr>
      <w:tab/>
    </w:r>
    <w:r w:rsidRPr="00FF71FD">
      <w:rPr>
        <w:rFonts w:ascii="Arial" w:hAnsi="Arial" w:cs="Arial"/>
        <w:b/>
        <w:sz w:val="48"/>
      </w:rPr>
      <w:tab/>
    </w:r>
    <w:r w:rsidRPr="00FF71FD">
      <w:tab/>
    </w:r>
    <w:proofErr w:type="spellStart"/>
    <w:r w:rsidRPr="00FF71FD">
      <w:rPr>
        <w:rFonts w:ascii="Arial" w:hAnsi="Arial" w:cs="Arial"/>
        <w:b/>
        <w:sz w:val="48"/>
      </w:rPr>
      <w:t>IT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E839" w14:textId="096D63DD" w:rsidR="00FF71FD" w:rsidRPr="00FF71FD" w:rsidRDefault="00FF71FD" w:rsidP="00FF71FD">
    <w:pPr>
      <w:pStyle w:val="Footer"/>
      <w:rPr>
        <w:rFonts w:ascii="Arial" w:hAnsi="Arial" w:cs="Arial"/>
        <w:b/>
        <w:sz w:val="48"/>
      </w:rPr>
    </w:pPr>
    <w:r w:rsidRPr="00FF71FD">
      <w:rPr>
        <w:rFonts w:ascii="Arial" w:hAnsi="Arial" w:cs="Arial"/>
        <w:b/>
        <w:sz w:val="48"/>
      </w:rPr>
      <w:t>IT</w:t>
    </w:r>
    <w:r w:rsidRPr="00FF71FD">
      <w:rPr>
        <w:rFonts w:ascii="Arial" w:hAnsi="Arial" w:cs="Arial"/>
        <w:b/>
        <w:sz w:val="48"/>
      </w:rPr>
      <w:tab/>
    </w:r>
    <w:r w:rsidRPr="00FF71FD">
      <w:rPr>
        <w:rFonts w:ascii="Arial" w:hAnsi="Arial" w:cs="Arial"/>
        <w:b/>
        <w:sz w:val="48"/>
      </w:rPr>
      <w:tab/>
    </w:r>
    <w:r w:rsidRPr="00FF71FD">
      <w:tab/>
    </w:r>
    <w:proofErr w:type="spellStart"/>
    <w:r w:rsidRPr="00FF71FD">
      <w:rPr>
        <w:rFonts w:ascii="Arial" w:hAnsi="Arial" w:cs="Arial"/>
        <w:b/>
        <w:sz w:val="48"/>
      </w:rPr>
      <w:t>IT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5F62" w14:textId="77777777" w:rsidR="00FF71FD" w:rsidRPr="00FF71FD" w:rsidRDefault="00FF71FD" w:rsidP="00FF71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9F92" w14:textId="77777777" w:rsidR="0085170C" w:rsidRDefault="0085170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2CDC" w14:textId="166FA0CD" w:rsidR="00FF71FD" w:rsidRPr="00FF71FD" w:rsidRDefault="00FF71FD" w:rsidP="00FF71FD">
    <w:pPr>
      <w:pStyle w:val="Footer"/>
      <w:rPr>
        <w:rFonts w:ascii="Arial" w:hAnsi="Arial" w:cs="Arial"/>
        <w:b/>
        <w:sz w:val="48"/>
      </w:rPr>
    </w:pPr>
    <w:r w:rsidRPr="00FF71FD">
      <w:rPr>
        <w:rFonts w:ascii="Arial" w:hAnsi="Arial" w:cs="Arial"/>
        <w:b/>
        <w:sz w:val="48"/>
      </w:rPr>
      <w:t>IT</w:t>
    </w:r>
    <w:r w:rsidRPr="00FF71FD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FF71FD">
      <w:tab/>
    </w:r>
    <w:r w:rsidRPr="00FF71FD">
      <w:rPr>
        <w:rFonts w:ascii="Arial" w:hAnsi="Arial" w:cs="Arial"/>
        <w:b/>
        <w:sz w:val="48"/>
      </w:rPr>
      <w:t>IT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CA08" w14:textId="77777777" w:rsidR="0085170C" w:rsidRDefault="0085170C" w:rsidP="00FF7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AE4F" w14:textId="77777777" w:rsidR="00916C8B" w:rsidRPr="00E12037" w:rsidRDefault="00916C8B" w:rsidP="00414613">
      <w:pPr>
        <w:spacing w:before="0" w:after="0"/>
      </w:pPr>
      <w:r w:rsidRPr="00E12037">
        <w:separator/>
      </w:r>
    </w:p>
  </w:footnote>
  <w:footnote w:type="continuationSeparator" w:id="0">
    <w:p w14:paraId="54DBFD40" w14:textId="77777777" w:rsidR="00916C8B" w:rsidRPr="00E12037" w:rsidRDefault="00916C8B" w:rsidP="00414613">
      <w:pPr>
        <w:spacing w:before="0" w:after="0"/>
      </w:pPr>
      <w:r w:rsidRPr="00E12037">
        <w:continuationSeparator/>
      </w:r>
    </w:p>
  </w:footnote>
  <w:footnote w:type="continuationNotice" w:id="1">
    <w:p w14:paraId="15DEA641" w14:textId="77777777" w:rsidR="00916C8B" w:rsidRPr="00E12037" w:rsidRDefault="00916C8B">
      <w:pPr>
        <w:spacing w:before="0" w:after="0"/>
      </w:pPr>
    </w:p>
  </w:footnote>
  <w:footnote w:id="2">
    <w:p w14:paraId="76A84485" w14:textId="45FF113F" w:rsidR="00B35235" w:rsidRPr="00042241" w:rsidRDefault="00300279" w:rsidP="00B35235">
      <w:pPr>
        <w:pStyle w:val="FootnoteText"/>
      </w:pPr>
      <w:r w:rsidRPr="00E12037">
        <w:t>(</w:t>
      </w:r>
      <w:r w:rsidR="00EF3F1C" w:rsidRPr="00300279">
        <w:rPr>
          <w:rStyle w:val="FootnoteReference"/>
        </w:rPr>
        <w:footnoteRef/>
      </w:r>
      <w:r w:rsidRPr="00E12037">
        <w:t>)</w:t>
      </w:r>
      <w:r w:rsidR="00EF3F1C" w:rsidRPr="00042241">
        <w:tab/>
      </w:r>
      <w:r w:rsidR="008A3F17">
        <w:t>GU L</w:t>
      </w:r>
      <w:r w:rsidR="00EF3F1C" w:rsidRPr="00042241">
        <w:t xml:space="preserve"> 139 dell</w:t>
      </w:r>
      <w:r w:rsidR="0080195E">
        <w:t>'</w:t>
      </w:r>
      <w:r w:rsidR="00EF3F1C" w:rsidRPr="00042241">
        <w:t>11.5.1998, pag. 1.</w:t>
      </w:r>
    </w:p>
  </w:footnote>
  <w:footnote w:id="3">
    <w:p w14:paraId="3059A884" w14:textId="375F119A" w:rsidR="00B35235" w:rsidRPr="00042241" w:rsidRDefault="00300279" w:rsidP="00B35235">
      <w:pPr>
        <w:pStyle w:val="FootnoteText"/>
      </w:pPr>
      <w:r w:rsidRPr="00E12037">
        <w:t>(</w:t>
      </w:r>
      <w:r w:rsidR="00EF3F1C" w:rsidRPr="00300279">
        <w:rPr>
          <w:rStyle w:val="FootnoteReference"/>
        </w:rPr>
        <w:footnoteRef/>
      </w:r>
      <w:r w:rsidRPr="00E12037">
        <w:t>)</w:t>
      </w:r>
      <w:r w:rsidR="00EF3F1C" w:rsidRPr="00042241">
        <w:tab/>
        <w:t>Regolamento (CE)</w:t>
      </w:r>
      <w:r w:rsidR="008A3F17">
        <w:t xml:space="preserve"> n. </w:t>
      </w:r>
      <w:r w:rsidR="00EF3F1C" w:rsidRPr="00042241">
        <w:t>2596/2000 del Consiglio, del 27 novembre 2000, che modifica il regolamento</w:t>
      </w:r>
      <w:r w:rsidR="008A3F17">
        <w:t xml:space="preserve"> </w:t>
      </w:r>
      <w:r w:rsidR="00EF3F1C" w:rsidRPr="00042241">
        <w:t xml:space="preserve">(CE) </w:t>
      </w:r>
      <w:r w:rsidR="008A3F17">
        <w:t>n. </w:t>
      </w:r>
      <w:r w:rsidR="00EF3F1C" w:rsidRPr="00042241">
        <w:t>974/98 relativo all</w:t>
      </w:r>
      <w:r w:rsidR="0080195E">
        <w:t>'</w:t>
      </w:r>
      <w:r w:rsidR="00EF3F1C" w:rsidRPr="00042241">
        <w:t>introduzione dell</w:t>
      </w:r>
      <w:r w:rsidR="0080195E">
        <w:t>'</w:t>
      </w:r>
      <w:r w:rsidR="00EF3F1C" w:rsidRPr="00042241">
        <w:t>euro (</w:t>
      </w:r>
      <w:r w:rsidR="008A3F17">
        <w:t>GU L</w:t>
      </w:r>
      <w:r w:rsidR="00EF3F1C" w:rsidRPr="00042241">
        <w:t xml:space="preserve"> 300 del 29.11.2000, pag. 2).</w:t>
      </w:r>
    </w:p>
  </w:footnote>
  <w:footnote w:id="4">
    <w:p w14:paraId="7AA28FB7" w14:textId="23C86C01" w:rsidR="3211560E" w:rsidRPr="008A3F17" w:rsidRDefault="00300279" w:rsidP="00F42E7E">
      <w:pPr>
        <w:pStyle w:val="FootnoteText"/>
      </w:pPr>
      <w:r w:rsidRPr="00E12037">
        <w:t>(</w:t>
      </w:r>
      <w:r w:rsidR="00EF3F1C" w:rsidRPr="00300279">
        <w:rPr>
          <w:rStyle w:val="FootnoteReference"/>
        </w:rPr>
        <w:footnoteRef/>
      </w:r>
      <w:r w:rsidRPr="00E12037">
        <w:t>)</w:t>
      </w:r>
      <w:r w:rsidR="00EF3F1C" w:rsidRPr="008A3F17">
        <w:tab/>
        <w:t>Parere del [...] [...] [...].</w:t>
      </w:r>
    </w:p>
  </w:footnote>
  <w:footnote w:id="5">
    <w:p w14:paraId="49704F6C" w14:textId="7F4E3AEC" w:rsidR="00414613" w:rsidRPr="008A3F17" w:rsidRDefault="00300279" w:rsidP="00B91EB1">
      <w:pPr>
        <w:pStyle w:val="FootnoteText"/>
      </w:pPr>
      <w:r w:rsidRPr="00E12037">
        <w:t>(</w:t>
      </w:r>
      <w:r w:rsidR="00EF3F1C" w:rsidRPr="00300279">
        <w:rPr>
          <w:rStyle w:val="FootnoteReference"/>
        </w:rPr>
        <w:footnoteRef/>
      </w:r>
      <w:r w:rsidRPr="00E12037">
        <w:t>)</w:t>
      </w:r>
      <w:r w:rsidR="00EF3F1C" w:rsidRPr="008A3F17">
        <w:tab/>
        <w:t>Regolamento (CE) </w:t>
      </w:r>
      <w:r w:rsidR="008A3F17" w:rsidRPr="008A3F17">
        <w:t>n. </w:t>
      </w:r>
      <w:r w:rsidR="00EF3F1C" w:rsidRPr="008A3F17">
        <w:t>974/98 del Consiglio, del 3 maggio 1998, relativo all</w:t>
      </w:r>
      <w:r w:rsidR="0080195E">
        <w:t>'</w:t>
      </w:r>
      <w:r w:rsidR="00EF3F1C" w:rsidRPr="008A3F17">
        <w:t>introduzione dell</w:t>
      </w:r>
      <w:r w:rsidR="0080195E">
        <w:t>'</w:t>
      </w:r>
      <w:r w:rsidR="00EF3F1C" w:rsidRPr="008A3F17">
        <w:t>euro (</w:t>
      </w:r>
      <w:r w:rsidR="008A3F17" w:rsidRPr="008A3F17">
        <w:t>GU L</w:t>
      </w:r>
      <w:r w:rsidR="00EF3F1C" w:rsidRPr="008A3F17">
        <w:t> 139 dell</w:t>
      </w:r>
      <w:r w:rsidR="0080195E">
        <w:t>'</w:t>
      </w:r>
      <w:r w:rsidR="00EF3F1C" w:rsidRPr="008A3F17">
        <w:t>11.5.1998, pag. 1).</w:t>
      </w:r>
    </w:p>
  </w:footnote>
  <w:footnote w:id="6">
    <w:p w14:paraId="74A3CA75" w14:textId="26328BE6" w:rsidR="00883AF9" w:rsidRPr="008A3F17" w:rsidRDefault="00300279" w:rsidP="00883AF9">
      <w:pPr>
        <w:pStyle w:val="FootnoteText"/>
      </w:pPr>
      <w:r w:rsidRPr="00E12037">
        <w:t>(</w:t>
      </w:r>
      <w:r w:rsidR="4D4D0E6B" w:rsidRPr="00300279">
        <w:rPr>
          <w:rStyle w:val="FootnoteReference"/>
        </w:rPr>
        <w:footnoteRef/>
      </w:r>
      <w:r w:rsidRPr="00E12037">
        <w:t>)</w:t>
      </w:r>
      <w:r w:rsidR="4D4D0E6B" w:rsidRPr="008A3F17">
        <w:tab/>
        <w:t>Atto relativo alle condizioni di adesione della Repubblica di Bulgaria e della Romania e agli adattamenti dei trattati sui quali si fonda l</w:t>
      </w:r>
      <w:r w:rsidR="0080195E">
        <w:t>'</w:t>
      </w:r>
      <w:r w:rsidR="4D4D0E6B" w:rsidRPr="008A3F17">
        <w:t>Unione europea (</w:t>
      </w:r>
      <w:r w:rsidR="008A3F17" w:rsidRPr="008A3F17">
        <w:t>GU L</w:t>
      </w:r>
      <w:r w:rsidR="4D4D0E6B" w:rsidRPr="008A3F17">
        <w:t> 157 del 21.6.2005, pag. 203).</w:t>
      </w:r>
    </w:p>
  </w:footnote>
  <w:footnote w:id="7">
    <w:p w14:paraId="4A9ADDBE" w14:textId="03C60E32" w:rsidR="00414613" w:rsidRPr="008A3F17" w:rsidRDefault="00300279" w:rsidP="00B91EB1">
      <w:pPr>
        <w:pStyle w:val="FootnoteText"/>
        <w:rPr>
          <w:rFonts w:eastAsia="Arial"/>
        </w:rPr>
      </w:pPr>
      <w:r w:rsidRPr="00E12037">
        <w:t>(</w:t>
      </w:r>
      <w:r w:rsidR="00EF3F1C" w:rsidRPr="00300279">
        <w:rPr>
          <w:rStyle w:val="FootnoteReference"/>
        </w:rPr>
        <w:footnoteRef/>
      </w:r>
      <w:r w:rsidRPr="00E12037">
        <w:t>)</w:t>
      </w:r>
      <w:r w:rsidR="00EF3F1C" w:rsidRPr="008A3F17">
        <w:tab/>
      </w:r>
      <w:r w:rsidR="00EF3F1C" w:rsidRPr="008A3F17">
        <w:rPr>
          <w:color w:val="333333"/>
        </w:rPr>
        <w:t xml:space="preserve">Decisione (UE) </w:t>
      </w:r>
      <w:r w:rsidR="00EF3F1C" w:rsidRPr="008A3F17">
        <w:t xml:space="preserve">2025/… del Consiglio </w:t>
      </w:r>
      <w:r w:rsidR="00EF3F1C" w:rsidRPr="008A3F17">
        <w:rPr>
          <w:color w:val="333333"/>
        </w:rPr>
        <w:t>relativa all</w:t>
      </w:r>
      <w:r w:rsidR="0080195E">
        <w:rPr>
          <w:color w:val="333333"/>
        </w:rPr>
        <w:t>'</w:t>
      </w:r>
      <w:r w:rsidR="00EF3F1C" w:rsidRPr="008A3F17">
        <w:rPr>
          <w:color w:val="333333"/>
        </w:rPr>
        <w:t>adozione dell</w:t>
      </w:r>
      <w:r w:rsidR="0080195E">
        <w:rPr>
          <w:color w:val="333333"/>
        </w:rPr>
        <w:t>'</w:t>
      </w:r>
      <w:r w:rsidR="00EF3F1C" w:rsidRPr="008A3F17">
        <w:rPr>
          <w:color w:val="333333"/>
        </w:rPr>
        <w:t>euro da parte della Bulgaria il 1° gennaio 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964C" w14:textId="77777777" w:rsidR="00FF71FD" w:rsidRPr="00FF71FD" w:rsidRDefault="00FF71FD" w:rsidP="00FF7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2AF3" w14:textId="77777777" w:rsidR="00FF71FD" w:rsidRPr="00FF71FD" w:rsidRDefault="00FF71FD" w:rsidP="00FF7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30BC" w14:textId="77777777" w:rsidR="00FF71FD" w:rsidRPr="00FF71FD" w:rsidRDefault="00FF71FD" w:rsidP="00FF71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AB40" w14:textId="77777777" w:rsidR="0085170C" w:rsidRDefault="0085170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A9FD" w14:textId="77777777" w:rsidR="0085170C" w:rsidRDefault="00851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DDD24D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7F4CF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94C8E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90767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B68E8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1E0E65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FD0CA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4F62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73466723">
    <w:abstractNumId w:val="6"/>
  </w:num>
  <w:num w:numId="2" w16cid:durableId="301737753">
    <w:abstractNumId w:val="2"/>
  </w:num>
  <w:num w:numId="3" w16cid:durableId="216012432">
    <w:abstractNumId w:val="1"/>
  </w:num>
  <w:num w:numId="4" w16cid:durableId="395974459">
    <w:abstractNumId w:val="0"/>
  </w:num>
  <w:num w:numId="5" w16cid:durableId="565723349">
    <w:abstractNumId w:val="7"/>
  </w:num>
  <w:num w:numId="6" w16cid:durableId="1521091786">
    <w:abstractNumId w:val="5"/>
  </w:num>
  <w:num w:numId="7" w16cid:durableId="1576277918">
    <w:abstractNumId w:val="4"/>
  </w:num>
  <w:num w:numId="8" w16cid:durableId="507065941">
    <w:abstractNumId w:val="3"/>
  </w:num>
  <w:num w:numId="9" w16cid:durableId="1497770354">
    <w:abstractNumId w:val="19"/>
  </w:num>
  <w:num w:numId="10" w16cid:durableId="276328313">
    <w:abstractNumId w:val="12"/>
  </w:num>
  <w:num w:numId="11" w16cid:durableId="969632863">
    <w:abstractNumId w:val="21"/>
  </w:num>
  <w:num w:numId="12" w16cid:durableId="1366174049">
    <w:abstractNumId w:val="11"/>
  </w:num>
  <w:num w:numId="13" w16cid:durableId="1027870300">
    <w:abstractNumId w:val="13"/>
  </w:num>
  <w:num w:numId="14" w16cid:durableId="669017385">
    <w:abstractNumId w:val="14"/>
  </w:num>
  <w:num w:numId="15" w16cid:durableId="180165493">
    <w:abstractNumId w:val="9"/>
  </w:num>
  <w:num w:numId="16" w16cid:durableId="119809705">
    <w:abstractNumId w:val="20"/>
  </w:num>
  <w:num w:numId="17" w16cid:durableId="1316714734">
    <w:abstractNumId w:val="8"/>
  </w:num>
  <w:num w:numId="18" w16cid:durableId="990209824">
    <w:abstractNumId w:val="15"/>
  </w:num>
  <w:num w:numId="19" w16cid:durableId="176621658">
    <w:abstractNumId w:val="17"/>
  </w:num>
  <w:num w:numId="20" w16cid:durableId="1876893729">
    <w:abstractNumId w:val="18"/>
  </w:num>
  <w:num w:numId="21" w16cid:durableId="1727992532">
    <w:abstractNumId w:val="10"/>
  </w:num>
  <w:num w:numId="22" w16cid:durableId="1142575720">
    <w:abstractNumId w:val="16"/>
  </w:num>
  <w:num w:numId="23" w16cid:durableId="941376921">
    <w:abstractNumId w:val="22"/>
  </w:num>
  <w:num w:numId="24" w16cid:durableId="53747685">
    <w:abstractNumId w:val="19"/>
  </w:num>
  <w:num w:numId="25" w16cid:durableId="1631863729">
    <w:abstractNumId w:val="12"/>
  </w:num>
  <w:num w:numId="26" w16cid:durableId="438453779">
    <w:abstractNumId w:val="21"/>
  </w:num>
  <w:num w:numId="27" w16cid:durableId="1438401151">
    <w:abstractNumId w:val="11"/>
  </w:num>
  <w:num w:numId="28" w16cid:durableId="511801494">
    <w:abstractNumId w:val="13"/>
  </w:num>
  <w:num w:numId="29" w16cid:durableId="590698615">
    <w:abstractNumId w:val="14"/>
  </w:num>
  <w:num w:numId="30" w16cid:durableId="731270447">
    <w:abstractNumId w:val="9"/>
  </w:num>
  <w:num w:numId="31" w16cid:durableId="196435175">
    <w:abstractNumId w:val="20"/>
  </w:num>
  <w:num w:numId="32" w16cid:durableId="1278759120">
    <w:abstractNumId w:val="8"/>
  </w:num>
  <w:num w:numId="33" w16cid:durableId="642349196">
    <w:abstractNumId w:val="15"/>
  </w:num>
  <w:num w:numId="34" w16cid:durableId="259871626">
    <w:abstractNumId w:val="17"/>
  </w:num>
  <w:num w:numId="35" w16cid:durableId="441605990">
    <w:abstractNumId w:val="18"/>
  </w:num>
  <w:num w:numId="36" w16cid:durableId="1605769819">
    <w:abstractNumId w:val="10"/>
  </w:num>
  <w:num w:numId="37" w16cid:durableId="1769962987">
    <w:abstractNumId w:val="16"/>
  </w:num>
  <w:num w:numId="38" w16cid:durableId="157622882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57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DQCDateTime" w:val="2025-06-03 18:03:44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Yellow"/>
    <w:docVar w:name="DQCVersion" w:val="3"/>
    <w:docVar w:name="DQCWithWarnings" w:val="0"/>
    <w:docVar w:name="EPKit_DocumentHasBeenSaved" w:val="true"/>
    <w:docVar w:name="LW_CORRIGENDUM" w:val="&lt;UNUSED&gt;"/>
    <w:docVar w:name="LW_COVERPAGE_EXISTS" w:val="True"/>
    <w:docVar w:name="LW_COVERPAGE_GUID" w:val="38C3E9EC-E396-4DB5-B948-D4971E05967B"/>
    <w:docVar w:name="LW_COVERPAGE_TYPE" w:val="1"/>
    <w:docVar w:name="LW_CROSSREFERENCE" w:val="&lt;UNUSED&gt;"/>
    <w:docVar w:name="LW_DocType" w:val="COM"/>
    <w:docVar w:name="LW_EMISSION" w:val="4.6.2025"/>
    <w:docVar w:name="LW_EMISSION_ISODATE" w:val="2025-06-04"/>
    <w:docVar w:name="LW_EMISSION_LOCATION" w:val="BRX"/>
    <w:docVar w:name="LW_EMISSION_PREFIX" w:val="Bruxelles, "/>
    <w:docVar w:name="LW_EMISSION_SUFFIX" w:val=" "/>
    <w:docVar w:name="LW_FAITA" w:val="Done at Brussels,"/>
    <w:docVar w:name="LW_ID_DOCMODEL" w:val="SJ-016"/>
    <w:docVar w:name="LW_ID_DOCSIGNATURE" w:val="SJ-016"/>
    <w:docVar w:name="LW_ID_DOCSTRUCTURE" w:val="COM/PL/ORG"/>
    <w:docVar w:name="LW_ID_DOCTYPE" w:val="SJ-016"/>
    <w:docVar w:name="LW_ID_STATUT" w:val="SJ-016"/>
    <w:docVar w:name="LW_INST.SIGNE" w:val="_x0009_For the Council"/>
    <w:docVar w:name="LW_INTERETEEE.CP" w:val="&lt;UNUSED&gt;"/>
    <w:docVar w:name="LW_LANGUE" w:val="IT"/>
    <w:docVar w:name="LW_LEVEL_OF_SENSITIVITY" w:val="Standard treatment"/>
    <w:docVar w:name="LW_NOM.INST" w:val="COMMISSIONE EUROPEA"/>
    <w:docVar w:name="LW_NOM.INST_JOINTDOC" w:val="&lt;EMPTY&gt;"/>
    <w:docVar w:name="LW_PART_NBR" w:val="1"/>
    <w:docVar w:name="LW_PART_NBR_TOTAL" w:val="1"/>
    <w:docVar w:name="LW_PERS.SIGNE" w:val="_x0009_The President"/>
    <w:docVar w:name="LW_REF.II.NEW.CP" w:val="NLE"/>
    <w:docVar w:name="LW_REF.II.NEW.CP_NUMBER" w:val="0159"/>
    <w:docVar w:name="LW_REF.II.NEW.CP_YEAR" w:val="2025"/>
    <w:docVar w:name="LW_REF.INST.NEW" w:val="COM"/>
    <w:docVar w:name="LW_REF.INST.NEW_ADOPTED" w:val="final/2     DOWNGRADED ON 4.6.2025"/>
    <w:docVar w:name="LW_REF.INST.NEW_TEXT" w:val="(2025) 30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di"/>
    <w:docVar w:name="LW_SUPERTITRE" w:val="&lt;UNUSED&gt;"/>
    <w:docVar w:name="LW_TITRE.OBJ.CP" w:val="che modifica il regolamento (CE) n. 974/98 per quanto concerne l'introduzione dell'euro in Bulgaria"/>
    <w:docVar w:name="LW_TYPE.DOC.CP" w:val="REGOLAMENTO DEL CONSIGLIO"/>
    <w:docVar w:name="LwApiVersions" w:val="LW4CoDe 1.24.5.0; LW 9.0, Build 20240221"/>
  </w:docVars>
  <w:rsids>
    <w:rsidRoot w:val="00414613"/>
    <w:rsid w:val="00004F37"/>
    <w:rsid w:val="00015150"/>
    <w:rsid w:val="00031F00"/>
    <w:rsid w:val="000322CC"/>
    <w:rsid w:val="00042241"/>
    <w:rsid w:val="000456D7"/>
    <w:rsid w:val="000479AC"/>
    <w:rsid w:val="0005353E"/>
    <w:rsid w:val="00072404"/>
    <w:rsid w:val="000724B9"/>
    <w:rsid w:val="000735F1"/>
    <w:rsid w:val="000769C5"/>
    <w:rsid w:val="0008208F"/>
    <w:rsid w:val="00087BA4"/>
    <w:rsid w:val="000908D6"/>
    <w:rsid w:val="00094F85"/>
    <w:rsid w:val="000A450C"/>
    <w:rsid w:val="000A59D6"/>
    <w:rsid w:val="000A6618"/>
    <w:rsid w:val="000A81F8"/>
    <w:rsid w:val="000B6E0F"/>
    <w:rsid w:val="000C4834"/>
    <w:rsid w:val="000C5D6E"/>
    <w:rsid w:val="000D0F11"/>
    <w:rsid w:val="000D4AF7"/>
    <w:rsid w:val="000D5A9D"/>
    <w:rsid w:val="000D7B2F"/>
    <w:rsid w:val="000E2184"/>
    <w:rsid w:val="000E488C"/>
    <w:rsid w:val="000E6EDF"/>
    <w:rsid w:val="000F03FA"/>
    <w:rsid w:val="000F05B0"/>
    <w:rsid w:val="000F1CFA"/>
    <w:rsid w:val="000F2033"/>
    <w:rsid w:val="000F3FA7"/>
    <w:rsid w:val="001023F5"/>
    <w:rsid w:val="001117C7"/>
    <w:rsid w:val="00116792"/>
    <w:rsid w:val="00120966"/>
    <w:rsid w:val="00127B7F"/>
    <w:rsid w:val="00133418"/>
    <w:rsid w:val="00134F8B"/>
    <w:rsid w:val="00141895"/>
    <w:rsid w:val="0014478C"/>
    <w:rsid w:val="00153A1D"/>
    <w:rsid w:val="00155EED"/>
    <w:rsid w:val="001670FE"/>
    <w:rsid w:val="00170B47"/>
    <w:rsid w:val="00183458"/>
    <w:rsid w:val="001A39E4"/>
    <w:rsid w:val="001A5BE0"/>
    <w:rsid w:val="001B329E"/>
    <w:rsid w:val="001B3488"/>
    <w:rsid w:val="001B3A94"/>
    <w:rsid w:val="001B4B4E"/>
    <w:rsid w:val="001B6E63"/>
    <w:rsid w:val="001C43D5"/>
    <w:rsid w:val="001C4B0A"/>
    <w:rsid w:val="001C4B70"/>
    <w:rsid w:val="001C5FC8"/>
    <w:rsid w:val="001C6F47"/>
    <w:rsid w:val="001D2E78"/>
    <w:rsid w:val="001D4495"/>
    <w:rsid w:val="001D5676"/>
    <w:rsid w:val="001E4D1A"/>
    <w:rsid w:val="001E5484"/>
    <w:rsid w:val="001E6831"/>
    <w:rsid w:val="001F089F"/>
    <w:rsid w:val="001F5225"/>
    <w:rsid w:val="00201328"/>
    <w:rsid w:val="0020283C"/>
    <w:rsid w:val="00204562"/>
    <w:rsid w:val="00210B66"/>
    <w:rsid w:val="00212814"/>
    <w:rsid w:val="00220178"/>
    <w:rsid w:val="002215D3"/>
    <w:rsid w:val="00230483"/>
    <w:rsid w:val="00233646"/>
    <w:rsid w:val="002444A9"/>
    <w:rsid w:val="00246156"/>
    <w:rsid w:val="002468DA"/>
    <w:rsid w:val="00247BCC"/>
    <w:rsid w:val="0025317B"/>
    <w:rsid w:val="002536BC"/>
    <w:rsid w:val="00262F01"/>
    <w:rsid w:val="002665C5"/>
    <w:rsid w:val="00266C2A"/>
    <w:rsid w:val="00270125"/>
    <w:rsid w:val="00274434"/>
    <w:rsid w:val="00274732"/>
    <w:rsid w:val="002776D7"/>
    <w:rsid w:val="00283180"/>
    <w:rsid w:val="002911D8"/>
    <w:rsid w:val="0029613D"/>
    <w:rsid w:val="00297140"/>
    <w:rsid w:val="002971F9"/>
    <w:rsid w:val="002A0709"/>
    <w:rsid w:val="002A1BF7"/>
    <w:rsid w:val="002B1B57"/>
    <w:rsid w:val="002B373A"/>
    <w:rsid w:val="002B4191"/>
    <w:rsid w:val="002B7EF2"/>
    <w:rsid w:val="002C0139"/>
    <w:rsid w:val="002C25CE"/>
    <w:rsid w:val="002C3AD3"/>
    <w:rsid w:val="002C6CED"/>
    <w:rsid w:val="002D059C"/>
    <w:rsid w:val="002D4558"/>
    <w:rsid w:val="002D47D2"/>
    <w:rsid w:val="002D5723"/>
    <w:rsid w:val="002D5C5A"/>
    <w:rsid w:val="002E1A5B"/>
    <w:rsid w:val="002E7FED"/>
    <w:rsid w:val="002F0603"/>
    <w:rsid w:val="002F1708"/>
    <w:rsid w:val="002F3D2A"/>
    <w:rsid w:val="002F541C"/>
    <w:rsid w:val="002F7E47"/>
    <w:rsid w:val="00300279"/>
    <w:rsid w:val="00300DF9"/>
    <w:rsid w:val="00314FE0"/>
    <w:rsid w:val="00324168"/>
    <w:rsid w:val="00326F17"/>
    <w:rsid w:val="00327EA9"/>
    <w:rsid w:val="003360C3"/>
    <w:rsid w:val="00336DA5"/>
    <w:rsid w:val="00340DAE"/>
    <w:rsid w:val="00346971"/>
    <w:rsid w:val="00346E15"/>
    <w:rsid w:val="00351177"/>
    <w:rsid w:val="0035185F"/>
    <w:rsid w:val="003528E6"/>
    <w:rsid w:val="0035332F"/>
    <w:rsid w:val="00354564"/>
    <w:rsid w:val="00357418"/>
    <w:rsid w:val="00366762"/>
    <w:rsid w:val="003828BA"/>
    <w:rsid w:val="0038661C"/>
    <w:rsid w:val="003867A1"/>
    <w:rsid w:val="00387178"/>
    <w:rsid w:val="00393C3E"/>
    <w:rsid w:val="003942EC"/>
    <w:rsid w:val="003A3F89"/>
    <w:rsid w:val="003A5DEF"/>
    <w:rsid w:val="003B1407"/>
    <w:rsid w:val="003C70AA"/>
    <w:rsid w:val="003C72D4"/>
    <w:rsid w:val="003C734A"/>
    <w:rsid w:val="003D0A12"/>
    <w:rsid w:val="003D247D"/>
    <w:rsid w:val="003E4922"/>
    <w:rsid w:val="003E6161"/>
    <w:rsid w:val="003E626D"/>
    <w:rsid w:val="003F3D65"/>
    <w:rsid w:val="003F474D"/>
    <w:rsid w:val="00400F45"/>
    <w:rsid w:val="00411D37"/>
    <w:rsid w:val="00414613"/>
    <w:rsid w:val="0041529B"/>
    <w:rsid w:val="00416F74"/>
    <w:rsid w:val="00417364"/>
    <w:rsid w:val="00424642"/>
    <w:rsid w:val="004317EF"/>
    <w:rsid w:val="00431D7B"/>
    <w:rsid w:val="0043404A"/>
    <w:rsid w:val="00435004"/>
    <w:rsid w:val="00435732"/>
    <w:rsid w:val="00436D75"/>
    <w:rsid w:val="004379E8"/>
    <w:rsid w:val="00440765"/>
    <w:rsid w:val="004413D3"/>
    <w:rsid w:val="00444191"/>
    <w:rsid w:val="00451D7F"/>
    <w:rsid w:val="00452242"/>
    <w:rsid w:val="00454EFE"/>
    <w:rsid w:val="00460941"/>
    <w:rsid w:val="0046173E"/>
    <w:rsid w:val="00462F55"/>
    <w:rsid w:val="00466E5B"/>
    <w:rsid w:val="00467709"/>
    <w:rsid w:val="004758A6"/>
    <w:rsid w:val="0048086E"/>
    <w:rsid w:val="00494896"/>
    <w:rsid w:val="00494E0A"/>
    <w:rsid w:val="004951B1"/>
    <w:rsid w:val="00497A79"/>
    <w:rsid w:val="004A0EE2"/>
    <w:rsid w:val="004A5F4C"/>
    <w:rsid w:val="004A5FCD"/>
    <w:rsid w:val="004B60A0"/>
    <w:rsid w:val="004C1FA8"/>
    <w:rsid w:val="004C37B9"/>
    <w:rsid w:val="004C4FE1"/>
    <w:rsid w:val="004D1664"/>
    <w:rsid w:val="004D1A88"/>
    <w:rsid w:val="004E02D3"/>
    <w:rsid w:val="004F348F"/>
    <w:rsid w:val="005003EC"/>
    <w:rsid w:val="00500D22"/>
    <w:rsid w:val="005026AA"/>
    <w:rsid w:val="005038A9"/>
    <w:rsid w:val="00504383"/>
    <w:rsid w:val="00504564"/>
    <w:rsid w:val="00506CB3"/>
    <w:rsid w:val="00507223"/>
    <w:rsid w:val="00510482"/>
    <w:rsid w:val="00514257"/>
    <w:rsid w:val="00515735"/>
    <w:rsid w:val="00517FFC"/>
    <w:rsid w:val="00520341"/>
    <w:rsid w:val="00520C23"/>
    <w:rsid w:val="005231DA"/>
    <w:rsid w:val="0052555D"/>
    <w:rsid w:val="0053037C"/>
    <w:rsid w:val="00541D79"/>
    <w:rsid w:val="0054273D"/>
    <w:rsid w:val="0054777B"/>
    <w:rsid w:val="005501B8"/>
    <w:rsid w:val="00553F6C"/>
    <w:rsid w:val="005563A8"/>
    <w:rsid w:val="005603A1"/>
    <w:rsid w:val="005622A3"/>
    <w:rsid w:val="00575112"/>
    <w:rsid w:val="005778E4"/>
    <w:rsid w:val="00585DF5"/>
    <w:rsid w:val="0059199E"/>
    <w:rsid w:val="005940AD"/>
    <w:rsid w:val="00597919"/>
    <w:rsid w:val="005A34C5"/>
    <w:rsid w:val="005A4C9D"/>
    <w:rsid w:val="005A656D"/>
    <w:rsid w:val="005B1504"/>
    <w:rsid w:val="005B4BA0"/>
    <w:rsid w:val="005B5679"/>
    <w:rsid w:val="005B7805"/>
    <w:rsid w:val="005D2998"/>
    <w:rsid w:val="005D3FE2"/>
    <w:rsid w:val="005D46E3"/>
    <w:rsid w:val="005D76C3"/>
    <w:rsid w:val="005E48DF"/>
    <w:rsid w:val="005E7D15"/>
    <w:rsid w:val="005F0BC6"/>
    <w:rsid w:val="005F1A87"/>
    <w:rsid w:val="005F57F1"/>
    <w:rsid w:val="005F5E2D"/>
    <w:rsid w:val="00610465"/>
    <w:rsid w:val="00611698"/>
    <w:rsid w:val="006135E8"/>
    <w:rsid w:val="00615488"/>
    <w:rsid w:val="00620A9E"/>
    <w:rsid w:val="00621667"/>
    <w:rsid w:val="006229E4"/>
    <w:rsid w:val="006230CA"/>
    <w:rsid w:val="00624FC9"/>
    <w:rsid w:val="006255E8"/>
    <w:rsid w:val="00625D57"/>
    <w:rsid w:val="00627999"/>
    <w:rsid w:val="00627BD1"/>
    <w:rsid w:val="00627E49"/>
    <w:rsid w:val="00654B86"/>
    <w:rsid w:val="00656964"/>
    <w:rsid w:val="00660ECD"/>
    <w:rsid w:val="00661E6C"/>
    <w:rsid w:val="0066551C"/>
    <w:rsid w:val="00665819"/>
    <w:rsid w:val="00673F9E"/>
    <w:rsid w:val="0067565A"/>
    <w:rsid w:val="00675CE5"/>
    <w:rsid w:val="00681391"/>
    <w:rsid w:val="0068205C"/>
    <w:rsid w:val="00692466"/>
    <w:rsid w:val="00692703"/>
    <w:rsid w:val="00693B27"/>
    <w:rsid w:val="006945BE"/>
    <w:rsid w:val="00697315"/>
    <w:rsid w:val="00697DA2"/>
    <w:rsid w:val="006A7612"/>
    <w:rsid w:val="006B070A"/>
    <w:rsid w:val="006B13BC"/>
    <w:rsid w:val="006B1DE0"/>
    <w:rsid w:val="006B7309"/>
    <w:rsid w:val="006C1681"/>
    <w:rsid w:val="006C59AA"/>
    <w:rsid w:val="006C7D6B"/>
    <w:rsid w:val="006E0215"/>
    <w:rsid w:val="006E2598"/>
    <w:rsid w:val="006F0223"/>
    <w:rsid w:val="006F4E1F"/>
    <w:rsid w:val="00702923"/>
    <w:rsid w:val="007167FF"/>
    <w:rsid w:val="00724CB1"/>
    <w:rsid w:val="0072553B"/>
    <w:rsid w:val="0072588C"/>
    <w:rsid w:val="00754F4C"/>
    <w:rsid w:val="00757695"/>
    <w:rsid w:val="0076163B"/>
    <w:rsid w:val="00763DD6"/>
    <w:rsid w:val="007659B6"/>
    <w:rsid w:val="007674EE"/>
    <w:rsid w:val="00771B84"/>
    <w:rsid w:val="00774D8D"/>
    <w:rsid w:val="00774E48"/>
    <w:rsid w:val="0077684D"/>
    <w:rsid w:val="007810BF"/>
    <w:rsid w:val="007847B0"/>
    <w:rsid w:val="00790E27"/>
    <w:rsid w:val="00795BCE"/>
    <w:rsid w:val="007A74C6"/>
    <w:rsid w:val="007B1574"/>
    <w:rsid w:val="007B481A"/>
    <w:rsid w:val="007C181E"/>
    <w:rsid w:val="007C699B"/>
    <w:rsid w:val="007C6C9B"/>
    <w:rsid w:val="007D4101"/>
    <w:rsid w:val="007D5E84"/>
    <w:rsid w:val="007E64C3"/>
    <w:rsid w:val="007F5699"/>
    <w:rsid w:val="00800B83"/>
    <w:rsid w:val="0080195E"/>
    <w:rsid w:val="0080583E"/>
    <w:rsid w:val="00805A9B"/>
    <w:rsid w:val="0082294E"/>
    <w:rsid w:val="0084189E"/>
    <w:rsid w:val="00843978"/>
    <w:rsid w:val="0085170C"/>
    <w:rsid w:val="00853DDB"/>
    <w:rsid w:val="00864642"/>
    <w:rsid w:val="00876B67"/>
    <w:rsid w:val="00877092"/>
    <w:rsid w:val="00877E78"/>
    <w:rsid w:val="00883AF9"/>
    <w:rsid w:val="008915E2"/>
    <w:rsid w:val="00893074"/>
    <w:rsid w:val="0089403B"/>
    <w:rsid w:val="008A19BB"/>
    <w:rsid w:val="008A3F17"/>
    <w:rsid w:val="008A5D0B"/>
    <w:rsid w:val="008B3DA9"/>
    <w:rsid w:val="008C260B"/>
    <w:rsid w:val="008D37D8"/>
    <w:rsid w:val="008D4C58"/>
    <w:rsid w:val="008D6804"/>
    <w:rsid w:val="008D6C03"/>
    <w:rsid w:val="008E2727"/>
    <w:rsid w:val="008E5BF0"/>
    <w:rsid w:val="008E6595"/>
    <w:rsid w:val="008F5BD4"/>
    <w:rsid w:val="008F609D"/>
    <w:rsid w:val="00900939"/>
    <w:rsid w:val="0091553B"/>
    <w:rsid w:val="00915EF7"/>
    <w:rsid w:val="00916C8B"/>
    <w:rsid w:val="009251B1"/>
    <w:rsid w:val="009313DF"/>
    <w:rsid w:val="0093653C"/>
    <w:rsid w:val="00937E78"/>
    <w:rsid w:val="00941F1D"/>
    <w:rsid w:val="009446F7"/>
    <w:rsid w:val="00956B6B"/>
    <w:rsid w:val="00957ED7"/>
    <w:rsid w:val="0096015A"/>
    <w:rsid w:val="00967D95"/>
    <w:rsid w:val="00972E2E"/>
    <w:rsid w:val="0097353F"/>
    <w:rsid w:val="00981342"/>
    <w:rsid w:val="009A7080"/>
    <w:rsid w:val="009B0E0E"/>
    <w:rsid w:val="009B57A5"/>
    <w:rsid w:val="009D0040"/>
    <w:rsid w:val="009D499C"/>
    <w:rsid w:val="009D5032"/>
    <w:rsid w:val="009D7964"/>
    <w:rsid w:val="009E269E"/>
    <w:rsid w:val="009E401B"/>
    <w:rsid w:val="009F0665"/>
    <w:rsid w:val="009F2412"/>
    <w:rsid w:val="009F2919"/>
    <w:rsid w:val="009F3EBC"/>
    <w:rsid w:val="00A06A7D"/>
    <w:rsid w:val="00A141DB"/>
    <w:rsid w:val="00A16511"/>
    <w:rsid w:val="00A21985"/>
    <w:rsid w:val="00A245A9"/>
    <w:rsid w:val="00A30D56"/>
    <w:rsid w:val="00A35572"/>
    <w:rsid w:val="00A44FCE"/>
    <w:rsid w:val="00A47B5E"/>
    <w:rsid w:val="00A5270F"/>
    <w:rsid w:val="00A60413"/>
    <w:rsid w:val="00A60DA3"/>
    <w:rsid w:val="00A6282F"/>
    <w:rsid w:val="00A71DD4"/>
    <w:rsid w:val="00A72FA3"/>
    <w:rsid w:val="00A74EE4"/>
    <w:rsid w:val="00A75D30"/>
    <w:rsid w:val="00A76D4A"/>
    <w:rsid w:val="00A84680"/>
    <w:rsid w:val="00A84D9D"/>
    <w:rsid w:val="00A85C59"/>
    <w:rsid w:val="00A96CA6"/>
    <w:rsid w:val="00AA51B3"/>
    <w:rsid w:val="00AA5D6D"/>
    <w:rsid w:val="00AB1211"/>
    <w:rsid w:val="00AB1AF4"/>
    <w:rsid w:val="00AB1C62"/>
    <w:rsid w:val="00AB1D97"/>
    <w:rsid w:val="00AB3736"/>
    <w:rsid w:val="00AB3EF6"/>
    <w:rsid w:val="00AB527A"/>
    <w:rsid w:val="00AC041F"/>
    <w:rsid w:val="00AC2F9B"/>
    <w:rsid w:val="00AC6EC2"/>
    <w:rsid w:val="00AC7CCC"/>
    <w:rsid w:val="00AD144F"/>
    <w:rsid w:val="00AD2AB0"/>
    <w:rsid w:val="00AD5D8F"/>
    <w:rsid w:val="00AE747B"/>
    <w:rsid w:val="00AF020B"/>
    <w:rsid w:val="00B03CDA"/>
    <w:rsid w:val="00B0508B"/>
    <w:rsid w:val="00B0781D"/>
    <w:rsid w:val="00B125CD"/>
    <w:rsid w:val="00B177EC"/>
    <w:rsid w:val="00B20EDA"/>
    <w:rsid w:val="00B24F94"/>
    <w:rsid w:val="00B30548"/>
    <w:rsid w:val="00B35235"/>
    <w:rsid w:val="00B41CDA"/>
    <w:rsid w:val="00B421AF"/>
    <w:rsid w:val="00B5141C"/>
    <w:rsid w:val="00B570E4"/>
    <w:rsid w:val="00B65195"/>
    <w:rsid w:val="00B673E5"/>
    <w:rsid w:val="00B70AF6"/>
    <w:rsid w:val="00B72D8F"/>
    <w:rsid w:val="00B73B9F"/>
    <w:rsid w:val="00B74E84"/>
    <w:rsid w:val="00B91A86"/>
    <w:rsid w:val="00B91EB1"/>
    <w:rsid w:val="00BA32BD"/>
    <w:rsid w:val="00BA500B"/>
    <w:rsid w:val="00BA5C44"/>
    <w:rsid w:val="00BA76C1"/>
    <w:rsid w:val="00BB0B40"/>
    <w:rsid w:val="00BB18F3"/>
    <w:rsid w:val="00BC34BE"/>
    <w:rsid w:val="00BC43C3"/>
    <w:rsid w:val="00BC49B1"/>
    <w:rsid w:val="00BC4D0B"/>
    <w:rsid w:val="00BD1607"/>
    <w:rsid w:val="00BE0B08"/>
    <w:rsid w:val="00BE2217"/>
    <w:rsid w:val="00BE3FD0"/>
    <w:rsid w:val="00BE5B31"/>
    <w:rsid w:val="00BE667E"/>
    <w:rsid w:val="00BF0193"/>
    <w:rsid w:val="00BF2F92"/>
    <w:rsid w:val="00BF6AF3"/>
    <w:rsid w:val="00BF7572"/>
    <w:rsid w:val="00C013C4"/>
    <w:rsid w:val="00C0333A"/>
    <w:rsid w:val="00C0466B"/>
    <w:rsid w:val="00C10A76"/>
    <w:rsid w:val="00C20C1D"/>
    <w:rsid w:val="00C20CA0"/>
    <w:rsid w:val="00C21810"/>
    <w:rsid w:val="00C243E7"/>
    <w:rsid w:val="00C267AD"/>
    <w:rsid w:val="00C27AE0"/>
    <w:rsid w:val="00C3066B"/>
    <w:rsid w:val="00C34CA4"/>
    <w:rsid w:val="00C370C4"/>
    <w:rsid w:val="00C449AF"/>
    <w:rsid w:val="00C44E0E"/>
    <w:rsid w:val="00C52F4D"/>
    <w:rsid w:val="00C62BF6"/>
    <w:rsid w:val="00C63BF0"/>
    <w:rsid w:val="00CA001F"/>
    <w:rsid w:val="00CA6678"/>
    <w:rsid w:val="00CA7C8D"/>
    <w:rsid w:val="00CB33C0"/>
    <w:rsid w:val="00CC00B6"/>
    <w:rsid w:val="00CC48F0"/>
    <w:rsid w:val="00CD5D08"/>
    <w:rsid w:val="00CD6948"/>
    <w:rsid w:val="00CE5E90"/>
    <w:rsid w:val="00CF1A22"/>
    <w:rsid w:val="00CF1B78"/>
    <w:rsid w:val="00CF421A"/>
    <w:rsid w:val="00CF73B5"/>
    <w:rsid w:val="00D01D44"/>
    <w:rsid w:val="00D02A96"/>
    <w:rsid w:val="00D04E99"/>
    <w:rsid w:val="00D0651A"/>
    <w:rsid w:val="00D13AC3"/>
    <w:rsid w:val="00D20AE9"/>
    <w:rsid w:val="00D216E1"/>
    <w:rsid w:val="00D21EFE"/>
    <w:rsid w:val="00D2499B"/>
    <w:rsid w:val="00D309E5"/>
    <w:rsid w:val="00D319FB"/>
    <w:rsid w:val="00D32D34"/>
    <w:rsid w:val="00D4293B"/>
    <w:rsid w:val="00D4411B"/>
    <w:rsid w:val="00D46981"/>
    <w:rsid w:val="00D46DA6"/>
    <w:rsid w:val="00D47DE8"/>
    <w:rsid w:val="00D57E1D"/>
    <w:rsid w:val="00D6488F"/>
    <w:rsid w:val="00D64998"/>
    <w:rsid w:val="00D65572"/>
    <w:rsid w:val="00D7073F"/>
    <w:rsid w:val="00D753CE"/>
    <w:rsid w:val="00D75989"/>
    <w:rsid w:val="00D83023"/>
    <w:rsid w:val="00D8303D"/>
    <w:rsid w:val="00D84050"/>
    <w:rsid w:val="00D862B8"/>
    <w:rsid w:val="00D90162"/>
    <w:rsid w:val="00D90716"/>
    <w:rsid w:val="00D91FE7"/>
    <w:rsid w:val="00D94ECD"/>
    <w:rsid w:val="00D9658C"/>
    <w:rsid w:val="00DA03A8"/>
    <w:rsid w:val="00DA4CC5"/>
    <w:rsid w:val="00DA5BC3"/>
    <w:rsid w:val="00DB7B65"/>
    <w:rsid w:val="00DC01E5"/>
    <w:rsid w:val="00DC1457"/>
    <w:rsid w:val="00DC3ED2"/>
    <w:rsid w:val="00DC5F27"/>
    <w:rsid w:val="00DD6DE8"/>
    <w:rsid w:val="00DE7148"/>
    <w:rsid w:val="00DE7DF5"/>
    <w:rsid w:val="00DF0FB0"/>
    <w:rsid w:val="00E00D45"/>
    <w:rsid w:val="00E00D66"/>
    <w:rsid w:val="00E017D4"/>
    <w:rsid w:val="00E042A2"/>
    <w:rsid w:val="00E06612"/>
    <w:rsid w:val="00E10A92"/>
    <w:rsid w:val="00E11CE6"/>
    <w:rsid w:val="00E12037"/>
    <w:rsid w:val="00E1460B"/>
    <w:rsid w:val="00E15509"/>
    <w:rsid w:val="00E40484"/>
    <w:rsid w:val="00E40EA9"/>
    <w:rsid w:val="00E47845"/>
    <w:rsid w:val="00E47947"/>
    <w:rsid w:val="00E61539"/>
    <w:rsid w:val="00E74031"/>
    <w:rsid w:val="00E85246"/>
    <w:rsid w:val="00E8652D"/>
    <w:rsid w:val="00E95543"/>
    <w:rsid w:val="00E978FD"/>
    <w:rsid w:val="00EA6063"/>
    <w:rsid w:val="00EB58D6"/>
    <w:rsid w:val="00EC4277"/>
    <w:rsid w:val="00EC5743"/>
    <w:rsid w:val="00ED19B8"/>
    <w:rsid w:val="00ED22D1"/>
    <w:rsid w:val="00ED3897"/>
    <w:rsid w:val="00ED7537"/>
    <w:rsid w:val="00ED7E79"/>
    <w:rsid w:val="00EE094C"/>
    <w:rsid w:val="00EE62E0"/>
    <w:rsid w:val="00EE662F"/>
    <w:rsid w:val="00EF0525"/>
    <w:rsid w:val="00EF3489"/>
    <w:rsid w:val="00EF3DAB"/>
    <w:rsid w:val="00EF3F1C"/>
    <w:rsid w:val="00EF612F"/>
    <w:rsid w:val="00F0751C"/>
    <w:rsid w:val="00F07ED1"/>
    <w:rsid w:val="00F1661F"/>
    <w:rsid w:val="00F32C55"/>
    <w:rsid w:val="00F42E7E"/>
    <w:rsid w:val="00F43D97"/>
    <w:rsid w:val="00F53D9F"/>
    <w:rsid w:val="00F54769"/>
    <w:rsid w:val="00F61C9F"/>
    <w:rsid w:val="00F62F4D"/>
    <w:rsid w:val="00F637C1"/>
    <w:rsid w:val="00F67301"/>
    <w:rsid w:val="00F83709"/>
    <w:rsid w:val="00F86A3A"/>
    <w:rsid w:val="00F92AC3"/>
    <w:rsid w:val="00F94884"/>
    <w:rsid w:val="00FA1376"/>
    <w:rsid w:val="00FA14C1"/>
    <w:rsid w:val="00FB4F7B"/>
    <w:rsid w:val="00FC6508"/>
    <w:rsid w:val="00FC6559"/>
    <w:rsid w:val="00FD1B54"/>
    <w:rsid w:val="00FD5B59"/>
    <w:rsid w:val="00FD6215"/>
    <w:rsid w:val="00FE0DBA"/>
    <w:rsid w:val="00FE1F8E"/>
    <w:rsid w:val="00FE27CE"/>
    <w:rsid w:val="00FE3449"/>
    <w:rsid w:val="00FE4218"/>
    <w:rsid w:val="00FE74EB"/>
    <w:rsid w:val="00FF284A"/>
    <w:rsid w:val="00FF3842"/>
    <w:rsid w:val="00FF4B4A"/>
    <w:rsid w:val="00FF71FD"/>
    <w:rsid w:val="01F6F810"/>
    <w:rsid w:val="04108180"/>
    <w:rsid w:val="047DA65C"/>
    <w:rsid w:val="05821E51"/>
    <w:rsid w:val="059F197D"/>
    <w:rsid w:val="06D08C30"/>
    <w:rsid w:val="07E85C85"/>
    <w:rsid w:val="08FFD9FB"/>
    <w:rsid w:val="09DE39B6"/>
    <w:rsid w:val="0A12FB08"/>
    <w:rsid w:val="0BEE72F7"/>
    <w:rsid w:val="0C4E6C78"/>
    <w:rsid w:val="0E095E8C"/>
    <w:rsid w:val="0F6C2199"/>
    <w:rsid w:val="102F3040"/>
    <w:rsid w:val="1052B144"/>
    <w:rsid w:val="105E361A"/>
    <w:rsid w:val="111FCF52"/>
    <w:rsid w:val="115F7B20"/>
    <w:rsid w:val="12D38F0B"/>
    <w:rsid w:val="130EFC04"/>
    <w:rsid w:val="1332EA5C"/>
    <w:rsid w:val="133691AB"/>
    <w:rsid w:val="139E5448"/>
    <w:rsid w:val="14E5F932"/>
    <w:rsid w:val="15F747BE"/>
    <w:rsid w:val="16DF2206"/>
    <w:rsid w:val="175487FB"/>
    <w:rsid w:val="17B94D5C"/>
    <w:rsid w:val="1828C22E"/>
    <w:rsid w:val="18CE57C6"/>
    <w:rsid w:val="191BC230"/>
    <w:rsid w:val="1A6EAC25"/>
    <w:rsid w:val="1AA5B339"/>
    <w:rsid w:val="1B4ECC49"/>
    <w:rsid w:val="1B99FF5D"/>
    <w:rsid w:val="1C93D9FD"/>
    <w:rsid w:val="1CD36796"/>
    <w:rsid w:val="1D7D5A2F"/>
    <w:rsid w:val="1D856D3E"/>
    <w:rsid w:val="1DA8735A"/>
    <w:rsid w:val="1E4F42E0"/>
    <w:rsid w:val="1E778DB4"/>
    <w:rsid w:val="1F0F5A2C"/>
    <w:rsid w:val="1F807819"/>
    <w:rsid w:val="1FA9BA76"/>
    <w:rsid w:val="1FC9B356"/>
    <w:rsid w:val="1FFBF4F9"/>
    <w:rsid w:val="214619D9"/>
    <w:rsid w:val="21CEB72D"/>
    <w:rsid w:val="23069C42"/>
    <w:rsid w:val="23547E23"/>
    <w:rsid w:val="23916C1B"/>
    <w:rsid w:val="24D5B613"/>
    <w:rsid w:val="251A4680"/>
    <w:rsid w:val="25CF5065"/>
    <w:rsid w:val="260BF921"/>
    <w:rsid w:val="262C6C35"/>
    <w:rsid w:val="279AE6EE"/>
    <w:rsid w:val="27B628EE"/>
    <w:rsid w:val="2818805B"/>
    <w:rsid w:val="2B01EE09"/>
    <w:rsid w:val="2B5456A4"/>
    <w:rsid w:val="2B776B46"/>
    <w:rsid w:val="2B8888F2"/>
    <w:rsid w:val="2BFF265F"/>
    <w:rsid w:val="2E35DE00"/>
    <w:rsid w:val="2E5DB8C8"/>
    <w:rsid w:val="2EC24744"/>
    <w:rsid w:val="2F05E92E"/>
    <w:rsid w:val="3024BB73"/>
    <w:rsid w:val="30590C91"/>
    <w:rsid w:val="30BAC377"/>
    <w:rsid w:val="313D3E66"/>
    <w:rsid w:val="3211560E"/>
    <w:rsid w:val="3401EA41"/>
    <w:rsid w:val="35FF2142"/>
    <w:rsid w:val="360454FB"/>
    <w:rsid w:val="36106ADE"/>
    <w:rsid w:val="36734E36"/>
    <w:rsid w:val="37729546"/>
    <w:rsid w:val="37871A14"/>
    <w:rsid w:val="37BB2F23"/>
    <w:rsid w:val="381717A5"/>
    <w:rsid w:val="383E4E3C"/>
    <w:rsid w:val="38C7EAA6"/>
    <w:rsid w:val="3ADC39D7"/>
    <w:rsid w:val="3AE97763"/>
    <w:rsid w:val="3AF36E54"/>
    <w:rsid w:val="3B1D5EF8"/>
    <w:rsid w:val="3BB8AB46"/>
    <w:rsid w:val="3CF9DF5C"/>
    <w:rsid w:val="3EF5099E"/>
    <w:rsid w:val="3FF27720"/>
    <w:rsid w:val="414F161C"/>
    <w:rsid w:val="439EB34F"/>
    <w:rsid w:val="44A19C7B"/>
    <w:rsid w:val="44E9FFFE"/>
    <w:rsid w:val="45D3E4C8"/>
    <w:rsid w:val="4668468F"/>
    <w:rsid w:val="4776BA5A"/>
    <w:rsid w:val="47AD3749"/>
    <w:rsid w:val="48185EEE"/>
    <w:rsid w:val="4823C773"/>
    <w:rsid w:val="482A77B1"/>
    <w:rsid w:val="48488DC2"/>
    <w:rsid w:val="495C699B"/>
    <w:rsid w:val="4A7542B9"/>
    <w:rsid w:val="4B618296"/>
    <w:rsid w:val="4B8F8D08"/>
    <w:rsid w:val="4BF2B2FE"/>
    <w:rsid w:val="4C946F15"/>
    <w:rsid w:val="4D4D0E6B"/>
    <w:rsid w:val="4EAF3245"/>
    <w:rsid w:val="4EBE6D42"/>
    <w:rsid w:val="4F53BEB4"/>
    <w:rsid w:val="50FD7E52"/>
    <w:rsid w:val="525FF67C"/>
    <w:rsid w:val="5395E386"/>
    <w:rsid w:val="53F168C0"/>
    <w:rsid w:val="54DB7DA6"/>
    <w:rsid w:val="5526C83A"/>
    <w:rsid w:val="5624A50F"/>
    <w:rsid w:val="56BE6612"/>
    <w:rsid w:val="57470430"/>
    <w:rsid w:val="587448F1"/>
    <w:rsid w:val="5896687F"/>
    <w:rsid w:val="59DDC970"/>
    <w:rsid w:val="5AF49A0C"/>
    <w:rsid w:val="5BC5E3AA"/>
    <w:rsid w:val="5CB9206D"/>
    <w:rsid w:val="5CEF1AED"/>
    <w:rsid w:val="5D1C4F91"/>
    <w:rsid w:val="5D490BB0"/>
    <w:rsid w:val="5ECF69A4"/>
    <w:rsid w:val="5EF203AC"/>
    <w:rsid w:val="5F6413BF"/>
    <w:rsid w:val="613B526A"/>
    <w:rsid w:val="62C90B80"/>
    <w:rsid w:val="63C78056"/>
    <w:rsid w:val="6408E5E6"/>
    <w:rsid w:val="6743DCCD"/>
    <w:rsid w:val="6788C66D"/>
    <w:rsid w:val="67AB9F1C"/>
    <w:rsid w:val="67D39140"/>
    <w:rsid w:val="67D5149B"/>
    <w:rsid w:val="6AEF29A0"/>
    <w:rsid w:val="6BCB3DA8"/>
    <w:rsid w:val="6D25D97D"/>
    <w:rsid w:val="6E64D417"/>
    <w:rsid w:val="6E6963D1"/>
    <w:rsid w:val="6FB03243"/>
    <w:rsid w:val="71F72E58"/>
    <w:rsid w:val="72AE1A5B"/>
    <w:rsid w:val="72D95452"/>
    <w:rsid w:val="7336EE51"/>
    <w:rsid w:val="73A6F5C9"/>
    <w:rsid w:val="75B845C8"/>
    <w:rsid w:val="765409D4"/>
    <w:rsid w:val="77ABA008"/>
    <w:rsid w:val="796BA963"/>
    <w:rsid w:val="798B4571"/>
    <w:rsid w:val="7B8A9939"/>
    <w:rsid w:val="7BB15089"/>
    <w:rsid w:val="7C0FA759"/>
    <w:rsid w:val="7CF3D942"/>
    <w:rsid w:val="7DFC5750"/>
    <w:rsid w:val="7E087140"/>
    <w:rsid w:val="7E6E52C5"/>
    <w:rsid w:val="7EACD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50A27F"/>
  <w15:chartTrackingRefBased/>
  <w15:docId w15:val="{71168A51-722E-4A29-8523-CE50BC3C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it-I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1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1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1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1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5A34C5"/>
    <w:rPr>
      <w:b/>
      <w:bCs/>
      <w:sz w:val="20"/>
    </w:rPr>
  </w:style>
  <w:style w:type="paragraph" w:styleId="TableofFigures">
    <w:name w:val="table of figures"/>
    <w:basedOn w:val="Normal"/>
    <w:next w:val="Normal"/>
    <w:rsid w:val="005A34C5"/>
  </w:style>
  <w:style w:type="paragraph" w:styleId="ListNumber">
    <w:name w:val="List Number"/>
    <w:basedOn w:val="Normal"/>
    <w:rsid w:val="00414613"/>
    <w:pPr>
      <w:numPr>
        <w:numId w:val="1"/>
      </w:numPr>
      <w:contextualSpacing/>
    </w:pPr>
  </w:style>
  <w:style w:type="paragraph" w:styleId="ListNumber2">
    <w:name w:val="List Number 2"/>
    <w:basedOn w:val="Normal"/>
    <w:rsid w:val="00414613"/>
    <w:pPr>
      <w:numPr>
        <w:numId w:val="2"/>
      </w:numPr>
      <w:contextualSpacing/>
    </w:pPr>
  </w:style>
  <w:style w:type="paragraph" w:styleId="ListNumber3">
    <w:name w:val="List Number 3"/>
    <w:basedOn w:val="Normal"/>
    <w:rsid w:val="00414613"/>
    <w:pPr>
      <w:numPr>
        <w:numId w:val="3"/>
      </w:numPr>
      <w:contextualSpacing/>
    </w:pPr>
  </w:style>
  <w:style w:type="paragraph" w:styleId="ListNumber4">
    <w:name w:val="List Number 4"/>
    <w:basedOn w:val="Normal"/>
    <w:rsid w:val="00414613"/>
    <w:pPr>
      <w:numPr>
        <w:numId w:val="4"/>
      </w:numPr>
      <w:contextualSpacing/>
    </w:pPr>
  </w:style>
  <w:style w:type="paragraph" w:styleId="ListBullet">
    <w:name w:val="List Bullet"/>
    <w:basedOn w:val="Normal"/>
    <w:rsid w:val="00414613"/>
    <w:pPr>
      <w:numPr>
        <w:numId w:val="5"/>
      </w:numPr>
      <w:contextualSpacing/>
    </w:pPr>
  </w:style>
  <w:style w:type="paragraph" w:styleId="ListBullet2">
    <w:name w:val="List Bullet 2"/>
    <w:basedOn w:val="Normal"/>
    <w:rsid w:val="00414613"/>
    <w:pPr>
      <w:numPr>
        <w:numId w:val="6"/>
      </w:numPr>
      <w:contextualSpacing/>
    </w:pPr>
  </w:style>
  <w:style w:type="paragraph" w:styleId="ListBullet3">
    <w:name w:val="List Bullet 3"/>
    <w:basedOn w:val="Normal"/>
    <w:rsid w:val="00414613"/>
    <w:pPr>
      <w:numPr>
        <w:numId w:val="7"/>
      </w:numPr>
      <w:contextualSpacing/>
    </w:pPr>
  </w:style>
  <w:style w:type="paragraph" w:styleId="ListBullet4">
    <w:name w:val="List Bullet 4"/>
    <w:basedOn w:val="Normal"/>
    <w:rsid w:val="00414613"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rsid w:val="009D79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796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F637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37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37C1"/>
  </w:style>
  <w:style w:type="paragraph" w:styleId="CommentSubject">
    <w:name w:val="annotation subject"/>
    <w:basedOn w:val="CommentText"/>
    <w:next w:val="CommentText"/>
    <w:link w:val="CommentSubjectChar"/>
    <w:rsid w:val="00F637C1"/>
    <w:rPr>
      <w:b/>
      <w:bCs/>
    </w:rPr>
  </w:style>
  <w:style w:type="character" w:customStyle="1" w:styleId="CommentSubjectChar">
    <w:name w:val="Comment Subject Char"/>
    <w:link w:val="CommentSubject"/>
    <w:rsid w:val="00F637C1"/>
    <w:rPr>
      <w:b/>
      <w:bCs/>
    </w:rPr>
  </w:style>
  <w:style w:type="character" w:styleId="Hyperlink">
    <w:name w:val="Hyperlink"/>
    <w:rsid w:val="00F637C1"/>
    <w:rPr>
      <w:color w:val="0000FF"/>
      <w:u w:val="single"/>
    </w:rPr>
  </w:style>
  <w:style w:type="paragraph" w:customStyle="1" w:styleId="Sous-titreobjet">
    <w:name w:val="Sous-titre objet"/>
    <w:basedOn w:val="Normal"/>
    <w:rsid w:val="007D53B6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  <w:rsid w:val="007D53B6"/>
  </w:style>
  <w:style w:type="paragraph" w:styleId="Revision">
    <w:name w:val="Revision"/>
    <w:hidden/>
    <w:uiPriority w:val="99"/>
    <w:semiHidden/>
    <w:rsid w:val="00541D79"/>
    <w:rPr>
      <w:rFonts w:ascii="Times New Roman" w:hAnsi="Times New Roman"/>
      <w:sz w:val="24"/>
      <w:lang w:val="it-I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25CE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FF71FD"/>
    <w:rPr>
      <w:rFonts w:ascii="Times New Roman" w:hAnsi="Times New Roman" w:cs="Times New Roman"/>
      <w:sz w:val="24"/>
      <w:lang w:val="it-IT"/>
    </w:rPr>
  </w:style>
  <w:style w:type="character" w:customStyle="1" w:styleId="FooterChar">
    <w:name w:val="Footer Char"/>
    <w:link w:val="Footer"/>
    <w:uiPriority w:val="99"/>
    <w:rsid w:val="00FF71FD"/>
    <w:rPr>
      <w:rFonts w:ascii="Times New Roman" w:hAnsi="Times New Roman" w:cs="Times New Roman"/>
      <w:sz w:val="24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FF71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FF71FD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FF71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Tiret5">
    <w:name w:val="Tiret 5"/>
    <w:basedOn w:val="Point5"/>
    <w:pPr>
      <w:numPr>
        <w:numId w:val="29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0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0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0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0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0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0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0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2"/>
      </w:numPr>
    </w:pPr>
  </w:style>
  <w:style w:type="paragraph" w:customStyle="1" w:styleId="Point1number">
    <w:name w:val="Point 1 (number)"/>
    <w:basedOn w:val="Normal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pPr>
      <w:numPr>
        <w:ilvl w:val="8"/>
        <w:numId w:val="32"/>
      </w:numPr>
    </w:pPr>
  </w:style>
  <w:style w:type="paragraph" w:customStyle="1" w:styleId="Bullet0">
    <w:name w:val="Bullet 0"/>
    <w:basedOn w:val="Normal"/>
    <w:pPr>
      <w:numPr>
        <w:numId w:val="33"/>
      </w:numPr>
    </w:pPr>
  </w:style>
  <w:style w:type="paragraph" w:customStyle="1" w:styleId="Bullet1">
    <w:name w:val="Bullet 1"/>
    <w:basedOn w:val="Normal"/>
    <w:pPr>
      <w:numPr>
        <w:numId w:val="34"/>
      </w:numPr>
    </w:pPr>
  </w:style>
  <w:style w:type="paragraph" w:customStyle="1" w:styleId="Bullet2">
    <w:name w:val="Bullet 2"/>
    <w:basedOn w:val="Normal"/>
    <w:pPr>
      <w:numPr>
        <w:numId w:val="35"/>
      </w:numPr>
    </w:pPr>
  </w:style>
  <w:style w:type="paragraph" w:customStyle="1" w:styleId="Bullet3">
    <w:name w:val="Bullet 3"/>
    <w:basedOn w:val="Normal"/>
    <w:pPr>
      <w:numPr>
        <w:numId w:val="36"/>
      </w:numPr>
    </w:pPr>
  </w:style>
  <w:style w:type="paragraph" w:customStyle="1" w:styleId="Bullet4">
    <w:name w:val="Bullet 4"/>
    <w:basedOn w:val="Normal"/>
    <w:pPr>
      <w:numPr>
        <w:numId w:val="37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F71FD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FF71FD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FF71F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FF71F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3c966-cb45-4885-93fc-2ce78a94204b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ac131f03-315b-4cd8-8e3a-6189969fd4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3" ma:contentTypeDescription="Create a new document." ma:contentTypeScope="" ma:versionID="c1fe114fd752ad9ccc310c1b1b03b0e4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4a49f1ae8b27401b4ba562f83e91bdf2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0c5cd3-642e-4cca-8698-4a581b2b2d57}" ma:internalName="TaxCatchAll" ma:showField="CatchAllData" ma:web="ac131f03-315b-4cd8-8e3a-6189969fd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ECFINStandard.xsl" StyleName="ECFIN - Standard" Version="2021.02"/>
</file>

<file path=customXml/itemProps1.xml><?xml version="1.0" encoding="utf-8"?>
<ds:datastoreItem xmlns:ds="http://schemas.openxmlformats.org/officeDocument/2006/customXml" ds:itemID="{0A6755DF-4ACE-4E95-939C-86530C19F84C}">
  <ds:schemaRefs>
    <ds:schemaRef ds:uri="http://schemas.microsoft.com/office/2006/metadata/properties"/>
    <ds:schemaRef ds:uri="http://schemas.microsoft.com/office/infopath/2007/PartnerControls"/>
    <ds:schemaRef ds:uri="5843c966-cb45-4885-93fc-2ce78a94204b"/>
    <ds:schemaRef ds:uri="ac131f03-315b-4cd8-8e3a-6189969fd4f0"/>
  </ds:schemaRefs>
</ds:datastoreItem>
</file>

<file path=customXml/itemProps2.xml><?xml version="1.0" encoding="utf-8"?>
<ds:datastoreItem xmlns:ds="http://schemas.openxmlformats.org/officeDocument/2006/customXml" ds:itemID="{CBA21B03-9DAE-40E7-A92F-DD0CDF978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1C30F-824B-4B24-A081-D54E77FE9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6201E-2E6B-463C-AE68-3AC9BBCD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25</TotalTime>
  <Pages>6</Pages>
  <Words>1327</Words>
  <Characters>7650</Characters>
  <Application>Microsoft Office Word</Application>
  <DocSecurity>0</DocSecurity>
  <Lines>170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76</cp:revision>
  <cp:lastPrinted>2013-04-25T18:19:00Z</cp:lastPrinted>
  <dcterms:created xsi:type="dcterms:W3CDTF">2025-05-26T08:37:00Z</dcterms:created>
  <dcterms:modified xsi:type="dcterms:W3CDTF">2025-06-04T08:42:00Z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5.8.64.0</vt:lpwstr>
  </property>
  <property fmtid="{D5CDD505-2E9C-101B-9397-08002B2CF9AE}" pid="4" name="Last edited using">
    <vt:lpwstr>LW 9.1, Build 20240808</vt:lpwstr>
  </property>
  <property fmtid="{D5CDD505-2E9C-101B-9397-08002B2CF9AE}" pid="5" name="Created using">
    <vt:lpwstr>LW 5.8.2, Build 20120919</vt:lpwstr>
  </property>
  <property fmtid="{D5CDD505-2E9C-101B-9397-08002B2CF9AE}" pid="6" name="_NewReviewCycle">
    <vt:lpwstr/>
  </property>
  <property fmtid="{D5CDD505-2E9C-101B-9397-08002B2CF9AE}" pid="7" name="LWTemplateID">
    <vt:lpwstr>SJ-016</vt:lpwstr>
  </property>
  <property fmtid="{D5CDD505-2E9C-101B-9397-08002B2CF9AE}" pid="8" name="Part">
    <vt:lpwstr>1</vt:lpwstr>
  </property>
  <property fmtid="{D5CDD505-2E9C-101B-9397-08002B2CF9AE}" pid="9" name="Total parts">
    <vt:lpwstr>1</vt:lpwstr>
  </property>
  <property fmtid="{D5CDD505-2E9C-101B-9397-08002B2CF9AE}" pid="10" name="Level of sensitivity">
    <vt:lpwstr>Standard treatment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2025-03-11T13:53:40Z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ae1bf1ba-f335-4abf-8164-6bc6de051467</vt:lpwstr>
  </property>
  <property fmtid="{D5CDD505-2E9C-101B-9397-08002B2CF9AE}" pid="17" name="MSIP_Label_6bd9ddd1-4d20-43f6-abfa-fc3c07406f94_ContentBits">
    <vt:lpwstr>0</vt:lpwstr>
  </property>
  <property fmtid="{D5CDD505-2E9C-101B-9397-08002B2CF9AE}" pid="18" name="ContentTypeId">
    <vt:lpwstr>0x010100199782AF6692CB4E8097BF428225D135</vt:lpwstr>
  </property>
  <property fmtid="{D5CDD505-2E9C-101B-9397-08002B2CF9AE}" pid="19" name="MediaServiceImageTags">
    <vt:lpwstr/>
  </property>
  <property fmtid="{D5CDD505-2E9C-101B-9397-08002B2CF9AE}" pid="20" name="DQCStatus">
    <vt:lpwstr>Yellow (DQC version 03)</vt:lpwstr>
  </property>
</Properties>
</file>