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555485" w14:textId="77693F60" w:rsidR="00387FF4" w:rsidRPr="005A46D9" w:rsidRDefault="00F40367" w:rsidP="00F40367">
      <w:pPr>
        <w:pStyle w:val="Pagedecouverture"/>
        <w:rPr>
          <w:noProof/>
        </w:rPr>
      </w:pPr>
      <w:bookmarkStart w:id="0" w:name="LW_BM_COVERPAGE"/>
      <w:r>
        <w:rPr>
          <w:noProof/>
        </w:rPr>
        <w:pict w14:anchorId="478490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7A3B066-0AF8-4F2E-ABDD-3660A6993461" style="width:455.25pt;height:286.5pt">
            <v:imagedata r:id="rId8" o:title=""/>
          </v:shape>
        </w:pict>
      </w:r>
    </w:p>
    <w:bookmarkEnd w:id="0"/>
    <w:p w14:paraId="52765022" w14:textId="77777777" w:rsidR="00387FF4" w:rsidRPr="005A46D9" w:rsidRDefault="00387FF4" w:rsidP="00387FF4">
      <w:pPr>
        <w:rPr>
          <w:noProof/>
        </w:rPr>
        <w:sectPr w:rsidR="00387FF4" w:rsidRPr="005A46D9" w:rsidSect="00F4036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58182FD" w14:textId="148AFF1A" w:rsidR="008C083F" w:rsidRPr="008C083F" w:rsidRDefault="008C083F" w:rsidP="008C083F">
      <w:pPr>
        <w:pStyle w:val="Typedudocument"/>
        <w:rPr>
          <w:noProof/>
        </w:rPr>
      </w:pPr>
      <w:bookmarkStart w:id="1" w:name="_GoBack"/>
      <w:bookmarkEnd w:id="1"/>
      <w:r w:rsidRPr="008C083F">
        <w:rPr>
          <w:noProof/>
        </w:rPr>
        <w:lastRenderedPageBreak/>
        <w:t>RELAZIONE DELLA COMMISSIONE AL PARLAMENTO EUROPEO E AL CONSIGLIO</w:t>
      </w:r>
    </w:p>
    <w:p w14:paraId="6134DD17" w14:textId="44129412" w:rsidR="008C083F" w:rsidRPr="008C083F" w:rsidRDefault="008C083F" w:rsidP="008C083F">
      <w:pPr>
        <w:pStyle w:val="Titreobjet"/>
        <w:rPr>
          <w:noProof/>
        </w:rPr>
      </w:pPr>
      <w:r w:rsidRPr="008C083F">
        <w:rPr>
          <w:noProof/>
        </w:rPr>
        <w:t>sulle attività della Fondazione IFRS, dell'EFRAG e del PIOB nel 2024</w:t>
      </w:r>
    </w:p>
    <w:p w14:paraId="7C15A138" w14:textId="33BFD400" w:rsidR="005C5409" w:rsidRPr="005A46D9" w:rsidRDefault="005C5409" w:rsidP="005C5409">
      <w:pPr>
        <w:pStyle w:val="ManualHeading1"/>
        <w:spacing w:after="240"/>
        <w:rPr>
          <w:noProof/>
        </w:rPr>
      </w:pPr>
      <w:r>
        <w:rPr>
          <w:noProof/>
        </w:rPr>
        <w:t>1.</w:t>
      </w:r>
      <w:r>
        <w:rPr>
          <w:noProof/>
        </w:rPr>
        <w:tab/>
        <w:t>INTRODUZIONE</w:t>
      </w:r>
    </w:p>
    <w:p w14:paraId="64D6DCC0" w14:textId="65ACCEE5" w:rsidR="005C5409" w:rsidRPr="005A46D9" w:rsidRDefault="005C5409" w:rsidP="005C5409">
      <w:pPr>
        <w:spacing w:before="120" w:after="120"/>
        <w:jc w:val="both"/>
        <w:rPr>
          <w:rFonts w:ascii="Times New Roman" w:hAnsi="Times New Roman"/>
          <w:noProof/>
          <w:sz w:val="24"/>
          <w:szCs w:val="24"/>
        </w:rPr>
      </w:pPr>
      <w:r>
        <w:rPr>
          <w:rFonts w:ascii="Times New Roman" w:hAnsi="Times New Roman"/>
          <w:noProof/>
          <w:sz w:val="24"/>
        </w:rPr>
        <w:t>Il 28 aprile 2021 l'Unione europea ha adottato il programma per il mercato unico</w:t>
      </w:r>
      <w:r>
        <w:rPr>
          <w:rStyle w:val="FootnoteReference"/>
          <w:noProof/>
          <w:lang w:eastAsia="en-GB"/>
        </w:rPr>
        <w:footnoteReference w:id="1"/>
      </w:r>
      <w:r>
        <w:rPr>
          <w:rFonts w:ascii="Times New Roman" w:hAnsi="Times New Roman"/>
          <w:noProof/>
          <w:sz w:val="24"/>
        </w:rPr>
        <w:t xml:space="preserve"> per sostenere e rafforzare la governance del mercato unico, con una dotazione complessiva di 4,21</w:t>
      </w:r>
      <w:r w:rsidR="00EE116F">
        <w:rPr>
          <w:rFonts w:ascii="Times New Roman" w:hAnsi="Times New Roman"/>
          <w:noProof/>
          <w:sz w:val="24"/>
        </w:rPr>
        <w:t> </w:t>
      </w:r>
      <w:r>
        <w:rPr>
          <w:rFonts w:ascii="Times New Roman" w:hAnsi="Times New Roman"/>
          <w:noProof/>
          <w:sz w:val="24"/>
        </w:rPr>
        <w:t>miliardi</w:t>
      </w:r>
      <w:r w:rsidR="00EE116F">
        <w:rPr>
          <w:rFonts w:ascii="Times New Roman" w:hAnsi="Times New Roman"/>
          <w:noProof/>
          <w:sz w:val="24"/>
        </w:rPr>
        <w:t> </w:t>
      </w:r>
      <w:r>
        <w:rPr>
          <w:rFonts w:ascii="Times New Roman" w:hAnsi="Times New Roman"/>
          <w:noProof/>
          <w:sz w:val="24"/>
        </w:rPr>
        <w:t>di</w:t>
      </w:r>
      <w:r w:rsidR="00EE116F">
        <w:rPr>
          <w:rFonts w:ascii="Times New Roman" w:hAnsi="Times New Roman"/>
          <w:noProof/>
          <w:sz w:val="24"/>
        </w:rPr>
        <w:t> </w:t>
      </w:r>
      <w:r>
        <w:rPr>
          <w:rFonts w:ascii="Times New Roman" w:hAnsi="Times New Roman"/>
          <w:noProof/>
          <w:sz w:val="24"/>
        </w:rPr>
        <w:t>EUR per il periodo 2021-2027. Il regolamento relativo al programma per il mercato unico comprendeva una dotazione di bilancio di 220,5 milioni di EUR per i processi di normazione, di cui 10,0 milioni di EUR stanziati nel 2024</w:t>
      </w:r>
      <w:r>
        <w:rPr>
          <w:rStyle w:val="FootnoteReference"/>
          <w:rFonts w:ascii="Times New Roman" w:hAnsi="Times New Roman"/>
          <w:noProof/>
          <w:sz w:val="24"/>
          <w:szCs w:val="24"/>
        </w:rPr>
        <w:footnoteReference w:id="2"/>
      </w:r>
      <w:r>
        <w:rPr>
          <w:rFonts w:ascii="Times New Roman" w:hAnsi="Times New Roman"/>
          <w:noProof/>
          <w:sz w:val="24"/>
        </w:rPr>
        <w:t xml:space="preserve"> per sostenere lo sviluppo di principi internazionali di informativa finanziaria e non finanziaria e di revisione contabile e agevolare la loro integrazione nel diritto dell'UE.</w:t>
      </w:r>
    </w:p>
    <w:p w14:paraId="18EC66AB" w14:textId="314DB7B4" w:rsidR="005C5409" w:rsidRPr="005A46D9" w:rsidRDefault="005C5409" w:rsidP="005C5409">
      <w:pPr>
        <w:spacing w:before="120" w:after="120"/>
        <w:jc w:val="both"/>
        <w:rPr>
          <w:rFonts w:ascii="Times New Roman" w:hAnsi="Times New Roman"/>
          <w:noProof/>
          <w:sz w:val="24"/>
          <w:szCs w:val="24"/>
        </w:rPr>
      </w:pPr>
      <w:r>
        <w:rPr>
          <w:rFonts w:ascii="Times New Roman" w:hAnsi="Times New Roman"/>
          <w:noProof/>
          <w:sz w:val="24"/>
        </w:rPr>
        <w:t>Nell'ambito del programma per il mercato unico la Commissione ha fornito una sovvenzione annuale all'International Financial Reporting Standards Foundation (Fondazione IFRS) per lo sviluppo dei principi internazionali d'informativa finanziaria (principi contabili IFRS), al Gruppo consultivo europeo sull'informativa finanziaria (EFRAG) e al Public Interest Oversight Board (PIOB).</w:t>
      </w:r>
      <w:r>
        <w:rPr>
          <w:rFonts w:ascii="Times New Roman" w:hAnsi="Times New Roman"/>
          <w:noProof/>
        </w:rPr>
        <w:t xml:space="preserve"> </w:t>
      </w:r>
      <w:r>
        <w:rPr>
          <w:rFonts w:ascii="Times New Roman" w:hAnsi="Times New Roman"/>
          <w:noProof/>
          <w:sz w:val="24"/>
        </w:rPr>
        <w:t>Tali organizzazioni svolgono un ruolo importante nel garantire la qualità, l'affidabilità e l'accessibilità delle informazioni finanziarie e delle informazioni sulla sostenibilità contenute nelle relazioni societarie attraverso le loro attività di sviluppo di principi internazionali di informativa finanziaria e non finanziaria e di revisione contabile. La presente relazione illustra sinteticamente le attività che queste hanno svolto nel 2024, ad eccezione delle attività della Fondazione IFRS nell'ambito della rendicontazione di sostenibilità, in quanto queste ultime non sono (co)finanziate dalla sovvenzione dell'UE.</w:t>
      </w:r>
    </w:p>
    <w:p w14:paraId="402B6040" w14:textId="77777777" w:rsidR="005C5409" w:rsidRPr="005A46D9" w:rsidRDefault="005C5409" w:rsidP="005C5409">
      <w:pPr>
        <w:pStyle w:val="ManualHeading1"/>
        <w:rPr>
          <w:noProof/>
        </w:rPr>
      </w:pPr>
      <w:r>
        <w:rPr>
          <w:noProof/>
        </w:rPr>
        <w:t>2.</w:t>
      </w:r>
      <w:r>
        <w:rPr>
          <w:noProof/>
        </w:rPr>
        <w:tab/>
        <w:t>Fondazione IFRS</w:t>
      </w:r>
    </w:p>
    <w:p w14:paraId="5B183E95" w14:textId="1582C938" w:rsidR="005C5409" w:rsidRPr="005A46D9" w:rsidRDefault="005C5409" w:rsidP="005C5409">
      <w:pPr>
        <w:pStyle w:val="ManualHeading1"/>
        <w:rPr>
          <w:noProof/>
        </w:rPr>
      </w:pPr>
      <w:r>
        <w:rPr>
          <w:noProof/>
        </w:rPr>
        <w:t>2.1.</w:t>
      </w:r>
      <w:r>
        <w:rPr>
          <w:noProof/>
        </w:rPr>
        <w:tab/>
        <w:t>Governance</w:t>
      </w:r>
    </w:p>
    <w:p w14:paraId="4C25B0F8" w14:textId="0985713E" w:rsidR="005C5409" w:rsidRPr="005A46D9" w:rsidRDefault="005C5409" w:rsidP="005C5409">
      <w:pPr>
        <w:spacing w:before="120" w:after="120"/>
        <w:jc w:val="both"/>
        <w:rPr>
          <w:rFonts w:ascii="Times New Roman" w:hAnsi="Times New Roman"/>
          <w:noProof/>
          <w:sz w:val="24"/>
          <w:szCs w:val="24"/>
        </w:rPr>
      </w:pPr>
      <w:r>
        <w:rPr>
          <w:rFonts w:ascii="Times New Roman" w:hAnsi="Times New Roman"/>
          <w:noProof/>
          <w:sz w:val="24"/>
        </w:rPr>
        <w:t>La Fondazione IFRS è un'organizzazione senza scopo di lucro istituita al fine di sviluppare, promuovere e agevolare l'adozione di un'unica serie di principi contabili e di informativa sulla sostenibilità di elevata qualità, comprensibili, applicabili e riconosciuti a livello mondiale.</w:t>
      </w:r>
    </w:p>
    <w:p w14:paraId="3DE40AF9" w14:textId="236EBB69" w:rsidR="004A0129" w:rsidRPr="005A46D9" w:rsidRDefault="004A0129" w:rsidP="00416513">
      <w:pPr>
        <w:pStyle w:val="NormalWeb"/>
        <w:shd w:val="clear" w:color="auto" w:fill="FFFFFF"/>
        <w:jc w:val="both"/>
        <w:rPr>
          <w:noProof/>
        </w:rPr>
      </w:pPr>
      <w:r>
        <w:rPr>
          <w:noProof/>
        </w:rPr>
        <w:t xml:space="preserve">La </w:t>
      </w:r>
      <w:bookmarkStart w:id="2" w:name="_Hlk210646291"/>
      <w:r>
        <w:rPr>
          <w:noProof/>
        </w:rPr>
        <w:t>Fondazione IFRS</w:t>
      </w:r>
      <w:bookmarkEnd w:id="2"/>
      <w:r>
        <w:rPr>
          <w:noProof/>
        </w:rPr>
        <w:t xml:space="preserve"> è diretta da un consiglio costituito da 22 fiduciari, collettivamente competenti per la vigilanza della governance e della strategia organizzativa della Fondazione IFRS, la vigilanza </w:t>
      </w:r>
      <w:hyperlink r:id="rId15" w:tgtFrame="_blank" w:history="1">
        <w:r>
          <w:rPr>
            <w:noProof/>
          </w:rPr>
          <w:t>sull'iter procedurale</w:t>
        </w:r>
      </w:hyperlink>
      <w:r>
        <w:rPr>
          <w:noProof/>
        </w:rPr>
        <w:t>, il mantenimento dello statuto e del manuale sull'iter procedurale (</w:t>
      </w:r>
      <w:r>
        <w:rPr>
          <w:i/>
          <w:iCs/>
          <w:noProof/>
        </w:rPr>
        <w:t>Due Process Handbook</w:t>
      </w:r>
      <w:r>
        <w:rPr>
          <w:noProof/>
        </w:rPr>
        <w:t xml:space="preserve">) della Fondazione IFRS, la nomina dei membri dell'International Accounting Standards Board (organismo internazionale di normalizzazione contabile, IASB), dell'International Sustainability Standards Board (ISSB), del Comitato d'interpretazione degli IFRS e di vari organi consultivi, e la garanzia di finanziamenti della </w:t>
      </w:r>
      <w:r>
        <w:rPr>
          <w:noProof/>
        </w:rPr>
        <w:lastRenderedPageBreak/>
        <w:t xml:space="preserve">Fondazione IFRS. Nel corso del 2024 </w:t>
      </w:r>
      <w:r>
        <w:rPr>
          <w:noProof/>
          <w:shd w:val="clear" w:color="auto" w:fill="FFFFFF"/>
        </w:rPr>
        <w:t>Erkki Liikanen ha ricoperto la carica di presidente del consiglio dei fiduciari.</w:t>
      </w:r>
    </w:p>
    <w:p w14:paraId="7C2513CB" w14:textId="6A187194" w:rsidR="00EB585F" w:rsidRPr="005A46D9" w:rsidRDefault="004A0129" w:rsidP="005C5409">
      <w:pPr>
        <w:jc w:val="both"/>
        <w:rPr>
          <w:rFonts w:ascii="Times New Roman" w:hAnsi="Times New Roman" w:cs="Times New Roman"/>
          <w:noProof/>
          <w:sz w:val="24"/>
          <w:szCs w:val="24"/>
        </w:rPr>
      </w:pPr>
      <w:r>
        <w:rPr>
          <w:rFonts w:ascii="Times New Roman" w:hAnsi="Times New Roman"/>
          <w:noProof/>
          <w:sz w:val="24"/>
        </w:rPr>
        <w:t>I fiduciari sono responsabili dinanzi al Monitoring Board. Il Monitoring Board, di cui la Commissione è membro, rafforza la funzione di vigilanza dell'interesse pubblico della Fondazione IFRS, promuove lo sviluppo di principi di qualità elevati e nomina i fiduciari.</w:t>
      </w:r>
    </w:p>
    <w:p w14:paraId="00EEF7DA" w14:textId="2D4C07E3" w:rsidR="0001487E" w:rsidRPr="005A46D9" w:rsidRDefault="0001487E" w:rsidP="0001487E">
      <w:pPr>
        <w:spacing w:before="120" w:after="120"/>
        <w:jc w:val="both"/>
        <w:rPr>
          <w:rFonts w:ascii="Times New Roman" w:hAnsi="Times New Roman" w:cs="Times New Roman"/>
          <w:noProof/>
          <w:sz w:val="24"/>
          <w:szCs w:val="24"/>
        </w:rPr>
      </w:pPr>
      <w:r>
        <w:rPr>
          <w:rFonts w:ascii="Times New Roman" w:hAnsi="Times New Roman"/>
          <w:noProof/>
          <w:sz w:val="24"/>
        </w:rPr>
        <w:t>La Fondazione IFRS è la sede dello IASB, cui spetta la responsabilità di sviluppare i principi contabili IFRS, e dell'ISSB, che è responsabile dell'elaborazione dei principi IFRS di informativa sulla sostenibilità. Lo IASB e l'ISSB sono composti ciascuno da 14 membri, che sono nominati per un mandato di cinque anni, rinnovabile una volta. Nel 2024 lo IASB è stato presieduto da Andreas Barckow e l'ISSB da Emmanuel Faber.</w:t>
      </w:r>
    </w:p>
    <w:p w14:paraId="585466F7" w14:textId="56A98F3C" w:rsidR="005C5409" w:rsidRPr="005A46D9" w:rsidRDefault="005C5409" w:rsidP="005C5409">
      <w:pPr>
        <w:jc w:val="both"/>
        <w:rPr>
          <w:rFonts w:ascii="Times New Roman" w:hAnsi="Times New Roman"/>
          <w:noProof/>
          <w:sz w:val="24"/>
          <w:szCs w:val="24"/>
        </w:rPr>
      </w:pPr>
      <w:r>
        <w:rPr>
          <w:rFonts w:ascii="Times New Roman" w:hAnsi="Times New Roman"/>
          <w:noProof/>
          <w:sz w:val="24"/>
        </w:rPr>
        <w:t xml:space="preserve">Ai sensi del </w:t>
      </w:r>
      <w:bookmarkStart w:id="3" w:name="_Hlk203055499"/>
      <w:r>
        <w:rPr>
          <w:rFonts w:ascii="Times New Roman" w:hAnsi="Times New Roman"/>
          <w:noProof/>
          <w:sz w:val="24"/>
        </w:rPr>
        <w:t>regolamento IAS</w:t>
      </w:r>
      <w:r>
        <w:rPr>
          <w:rStyle w:val="FootnoteReference"/>
          <w:rFonts w:ascii="Times New Roman" w:hAnsi="Times New Roman"/>
          <w:noProof/>
          <w:sz w:val="24"/>
          <w:szCs w:val="24"/>
          <w:lang w:eastAsia="en-GB"/>
        </w:rPr>
        <w:footnoteReference w:id="3"/>
      </w:r>
      <w:bookmarkEnd w:id="3"/>
      <w:r>
        <w:rPr>
          <w:rFonts w:ascii="Times New Roman" w:hAnsi="Times New Roman"/>
          <w:noProof/>
          <w:sz w:val="24"/>
        </w:rPr>
        <w:t>, la Commissione può omologare principi contabili IFRS nuovi o modificati tenendo conto del parere sull'omologazione emesso dall'EFRAG. Data</w:t>
      </w:r>
      <w:r w:rsidR="00EE116F">
        <w:rPr>
          <w:rFonts w:ascii="Times New Roman" w:hAnsi="Times New Roman"/>
          <w:noProof/>
          <w:sz w:val="24"/>
        </w:rPr>
        <w:t> </w:t>
      </w:r>
      <w:r>
        <w:rPr>
          <w:rFonts w:ascii="Times New Roman" w:hAnsi="Times New Roman"/>
          <w:noProof/>
          <w:sz w:val="24"/>
        </w:rPr>
        <w:t>l'importanza economica dei principi contabili IFRS, la Commissione fornisce sostegno finanziario alla Fondazione IFRS per lo sviluppo di tali principi. La Commissione non ha il mandato giuridico di omologare (o adottare) principi di informativa sulla sostenibilità a livello mondiale, ma insieme all'EFRAG promuove l'interoperabilità dei principi europei di rendicontazione di sostenibilità (ESRS) con i principi IFRS di informativa sulla sostenibilità e altri principi a livello mondiale, fra cui quelli della Global Reporting Initiative (GRI).</w:t>
      </w:r>
    </w:p>
    <w:p w14:paraId="351E73D4" w14:textId="77777777" w:rsidR="005C5409" w:rsidRPr="005A46D9" w:rsidRDefault="005C5409" w:rsidP="005C5409">
      <w:pPr>
        <w:pStyle w:val="ManualHeading1"/>
        <w:rPr>
          <w:noProof/>
        </w:rPr>
      </w:pPr>
      <w:r>
        <w:rPr>
          <w:noProof/>
        </w:rPr>
        <w:t>2.2.</w:t>
      </w:r>
      <w:r>
        <w:rPr>
          <w:noProof/>
        </w:rPr>
        <w:tab/>
        <w:t>Attività</w:t>
      </w:r>
    </w:p>
    <w:p w14:paraId="6C4E4B7A" w14:textId="7FC8D8CF" w:rsidR="005C5409" w:rsidRPr="005A46D9" w:rsidRDefault="005C5409" w:rsidP="005C5409">
      <w:pPr>
        <w:pStyle w:val="ManualHeading1"/>
        <w:rPr>
          <w:noProof/>
        </w:rPr>
      </w:pPr>
      <w:r>
        <w:rPr>
          <w:noProof/>
        </w:rPr>
        <w:t>2.2.1.</w:t>
      </w:r>
      <w:r>
        <w:rPr>
          <w:noProof/>
        </w:rPr>
        <w:tab/>
        <w:t>Principi nuovi e modificati</w:t>
      </w:r>
    </w:p>
    <w:p w14:paraId="11EF4980" w14:textId="6986CECA" w:rsidR="00A47FE5" w:rsidRPr="005A46D9" w:rsidRDefault="00AE51A9" w:rsidP="00FD5501">
      <w:pPr>
        <w:jc w:val="both"/>
        <w:rPr>
          <w:rFonts w:ascii="Times New Roman" w:hAnsi="Times New Roman"/>
          <w:noProof/>
          <w:sz w:val="24"/>
          <w:szCs w:val="24"/>
        </w:rPr>
      </w:pPr>
      <w:r>
        <w:rPr>
          <w:rFonts w:ascii="Times New Roman" w:hAnsi="Times New Roman"/>
          <w:noProof/>
          <w:sz w:val="24"/>
        </w:rPr>
        <w:t xml:space="preserve">Nell'aprile 2024 lo IASB ha pubblicato il nuovo IFRS 18 </w:t>
      </w:r>
      <w:r>
        <w:rPr>
          <w:rFonts w:ascii="Times New Roman" w:hAnsi="Times New Roman"/>
          <w:i/>
          <w:noProof/>
          <w:sz w:val="24"/>
        </w:rPr>
        <w:t>Presentazione e informativa di bilancio</w:t>
      </w:r>
      <w:r>
        <w:rPr>
          <w:rFonts w:ascii="Times New Roman" w:hAnsi="Times New Roman"/>
          <w:noProof/>
          <w:sz w:val="24"/>
        </w:rPr>
        <w:t xml:space="preserve">, che mira a garantire che il risultato economico presentato nel bilancio sia più trasparente e comparabile a livello mondiale. A sua volta, ciò consentirà agli investitori di prendere decisioni di investimento migliori. Quando l'IFRS 18 entrerà in vigore, sostituirà l'attuale IAS 1 </w:t>
      </w:r>
      <w:r>
        <w:rPr>
          <w:rFonts w:ascii="Times New Roman" w:hAnsi="Times New Roman"/>
          <w:i/>
          <w:noProof/>
          <w:sz w:val="24"/>
        </w:rPr>
        <w:t>Presentazione del bilancio</w:t>
      </w:r>
      <w:r>
        <w:rPr>
          <w:rFonts w:ascii="Times New Roman" w:hAnsi="Times New Roman"/>
          <w:noProof/>
          <w:sz w:val="24"/>
        </w:rPr>
        <w:t>.</w:t>
      </w:r>
    </w:p>
    <w:p w14:paraId="71722CC8" w14:textId="1EF9CF9E" w:rsidR="00AE51A9" w:rsidRPr="005A46D9" w:rsidRDefault="00AE51A9" w:rsidP="00FD5501">
      <w:pPr>
        <w:jc w:val="both"/>
        <w:rPr>
          <w:rFonts w:ascii="Times New Roman" w:hAnsi="Times New Roman"/>
          <w:noProof/>
          <w:sz w:val="24"/>
          <w:szCs w:val="24"/>
        </w:rPr>
      </w:pPr>
      <w:r>
        <w:rPr>
          <w:rFonts w:ascii="Times New Roman" w:hAnsi="Times New Roman"/>
          <w:noProof/>
          <w:sz w:val="24"/>
        </w:rPr>
        <w:t xml:space="preserve">A maggio lo IASB ha pubblicato il nuovo IFRS 19 </w:t>
      </w:r>
      <w:r>
        <w:rPr>
          <w:rFonts w:ascii="Times New Roman" w:hAnsi="Times New Roman"/>
          <w:i/>
          <w:noProof/>
          <w:sz w:val="24"/>
        </w:rPr>
        <w:t>Società controllate senza responsabilità pubblica: informazioni integrative</w:t>
      </w:r>
      <w:r>
        <w:rPr>
          <w:rFonts w:ascii="Times New Roman" w:hAnsi="Times New Roman"/>
          <w:noProof/>
          <w:sz w:val="24"/>
        </w:rPr>
        <w:t>, che introduce la possibilità per le società controllate senza responsabilità pubblica ma con una controllante conforme ai principi contabili IFRS di applicare al proprio bilancio individuale un numero ridotto di obblighi di informativa. Tale</w:t>
      </w:r>
      <w:r w:rsidR="00EE116F">
        <w:rPr>
          <w:rFonts w:ascii="Times New Roman" w:hAnsi="Times New Roman"/>
          <w:noProof/>
          <w:sz w:val="24"/>
        </w:rPr>
        <w:t> </w:t>
      </w:r>
      <w:r>
        <w:rPr>
          <w:rFonts w:ascii="Times New Roman" w:hAnsi="Times New Roman"/>
          <w:noProof/>
          <w:sz w:val="24"/>
        </w:rPr>
        <w:t>principio volontario è inteso a generare risparmi attraverso la riduzione degli obblighi di informazione, mantenendo nel contempo i dati essenziali dei bilanci e garantendone la comparabilità per gli utenti.</w:t>
      </w:r>
    </w:p>
    <w:p w14:paraId="5C47C16A" w14:textId="5F373ECF" w:rsidR="00AE51A9" w:rsidRPr="005A46D9" w:rsidRDefault="00AE51A9" w:rsidP="00FD5501">
      <w:pPr>
        <w:jc w:val="both"/>
        <w:rPr>
          <w:rFonts w:ascii="Times New Roman" w:hAnsi="Times New Roman"/>
          <w:noProof/>
          <w:sz w:val="24"/>
          <w:szCs w:val="24"/>
        </w:rPr>
      </w:pPr>
      <w:r>
        <w:rPr>
          <w:rFonts w:ascii="Times New Roman" w:hAnsi="Times New Roman"/>
          <w:noProof/>
          <w:sz w:val="24"/>
        </w:rPr>
        <w:t xml:space="preserve">Sempre a maggio lo IASB ha pubblicato modifiche di entità minore all'ambito di applicazione dell'IFRS 9 </w:t>
      </w:r>
      <w:r>
        <w:rPr>
          <w:rFonts w:ascii="Times New Roman" w:hAnsi="Times New Roman"/>
          <w:i/>
          <w:noProof/>
          <w:sz w:val="24"/>
        </w:rPr>
        <w:t>Strumenti finanziari</w:t>
      </w:r>
      <w:r>
        <w:rPr>
          <w:rFonts w:ascii="Times New Roman" w:hAnsi="Times New Roman"/>
          <w:noProof/>
          <w:sz w:val="24"/>
        </w:rPr>
        <w:t xml:space="preserve"> e a quello dell'IFRS 7 </w:t>
      </w:r>
      <w:r>
        <w:rPr>
          <w:rFonts w:ascii="Times New Roman" w:hAnsi="Times New Roman"/>
          <w:i/>
          <w:noProof/>
          <w:sz w:val="24"/>
        </w:rPr>
        <w:t>Strumenti finanziari: Informazioni integrative</w:t>
      </w:r>
      <w:r>
        <w:rPr>
          <w:rFonts w:ascii="Times New Roman" w:hAnsi="Times New Roman"/>
          <w:noProof/>
          <w:sz w:val="24"/>
        </w:rPr>
        <w:t xml:space="preserve"> (</w:t>
      </w:r>
      <w:r>
        <w:rPr>
          <w:rFonts w:ascii="Times New Roman" w:hAnsi="Times New Roman"/>
          <w:i/>
          <w:noProof/>
          <w:sz w:val="24"/>
        </w:rPr>
        <w:t>Modifiche alla classificazione e alla valutazione degli strumenti finanziari</w:t>
      </w:r>
      <w:r>
        <w:rPr>
          <w:rFonts w:ascii="Times New Roman" w:hAnsi="Times New Roman"/>
          <w:noProof/>
          <w:sz w:val="24"/>
        </w:rPr>
        <w:t xml:space="preserve">) per tenere conto delle risultanze della </w:t>
      </w:r>
      <w:r>
        <w:rPr>
          <w:rFonts w:ascii="Times New Roman" w:hAnsi="Times New Roman"/>
          <w:i/>
          <w:noProof/>
          <w:sz w:val="24"/>
        </w:rPr>
        <w:t>revisione post-attuazione (PIR)</w:t>
      </w:r>
      <w:r>
        <w:rPr>
          <w:rFonts w:ascii="Times New Roman" w:hAnsi="Times New Roman"/>
          <w:noProof/>
          <w:sz w:val="24"/>
        </w:rPr>
        <w:t xml:space="preserve"> concernente le disposizioni in materia di classificazione e valutazione di cui all'IFRS 9.</w:t>
      </w:r>
    </w:p>
    <w:p w14:paraId="060A8576" w14:textId="710B06F9" w:rsidR="00AE51A9" w:rsidRPr="005A46D9" w:rsidRDefault="00AE51A9" w:rsidP="00FD5501">
      <w:pPr>
        <w:jc w:val="both"/>
        <w:rPr>
          <w:rFonts w:ascii="Times New Roman" w:hAnsi="Times New Roman"/>
          <w:noProof/>
          <w:sz w:val="24"/>
          <w:szCs w:val="24"/>
        </w:rPr>
      </w:pPr>
      <w:r>
        <w:rPr>
          <w:rFonts w:ascii="Times New Roman" w:hAnsi="Times New Roman"/>
          <w:noProof/>
          <w:sz w:val="24"/>
        </w:rPr>
        <w:lastRenderedPageBreak/>
        <w:t xml:space="preserve">A luglio lo IASB ha pubblicato il documento </w:t>
      </w:r>
      <w:r>
        <w:rPr>
          <w:rFonts w:ascii="Times New Roman" w:hAnsi="Times New Roman"/>
          <w:i/>
          <w:noProof/>
          <w:sz w:val="24"/>
        </w:rPr>
        <w:t>Miglioramenti annuali ai Principi contabili IFRS – Volume 11</w:t>
      </w:r>
      <w:r>
        <w:rPr>
          <w:rFonts w:ascii="Times New Roman" w:hAnsi="Times New Roman"/>
          <w:noProof/>
          <w:sz w:val="24"/>
        </w:rPr>
        <w:t>, volto a precisare la formulazione dei diversi principi contabili IFRS o a porre rimedio a conseguenze, sviste o conflitti indesiderati di portata modesta riguardanti le disposizioni previste da tali principi.</w:t>
      </w:r>
    </w:p>
    <w:p w14:paraId="48D44404" w14:textId="3415E13B" w:rsidR="00AE51A9" w:rsidRPr="005A46D9" w:rsidRDefault="00220DA3" w:rsidP="00FD5501">
      <w:pPr>
        <w:jc w:val="both"/>
        <w:rPr>
          <w:rFonts w:ascii="Times New Roman" w:hAnsi="Times New Roman"/>
          <w:noProof/>
          <w:sz w:val="24"/>
          <w:szCs w:val="24"/>
        </w:rPr>
      </w:pPr>
      <w:r>
        <w:rPr>
          <w:rFonts w:ascii="Times New Roman" w:hAnsi="Times New Roman"/>
          <w:noProof/>
          <w:sz w:val="24"/>
        </w:rPr>
        <w:t>A dicembre lo IASB ha pubblicato modifiche all'IFRS 9 e all'IFRS 7 (</w:t>
      </w:r>
      <w:r>
        <w:rPr>
          <w:rFonts w:ascii="Times New Roman" w:hAnsi="Times New Roman"/>
          <w:i/>
          <w:noProof/>
          <w:sz w:val="24"/>
        </w:rPr>
        <w:t>Contratti collegati all'energia elettrica dipendente dalla natura</w:t>
      </w:r>
      <w:r>
        <w:rPr>
          <w:rFonts w:ascii="Times New Roman" w:hAnsi="Times New Roman"/>
          <w:noProof/>
          <w:sz w:val="24"/>
        </w:rPr>
        <w:t>) per prendere in considerazione con maggiore precisione l'effetto degli accordi di compravendita di energia elettrica sui bilanci, in quanto le imprese stipulano sempre più spesso tali accordi per l'approvvigionamento di energia da fonti rinnovabili. Gli accordi di compravendita di energia elettrica aiutano le imprese a mitigare gli effetti dei cambiamenti climatici e a decarbonizzare i loro processi di produzione e i loro prodotti.</w:t>
      </w:r>
    </w:p>
    <w:p w14:paraId="0493B618" w14:textId="466E7684" w:rsidR="005C5409" w:rsidRPr="005A46D9" w:rsidRDefault="005C5409" w:rsidP="005C5409">
      <w:pPr>
        <w:jc w:val="both"/>
        <w:rPr>
          <w:rFonts w:ascii="Times New Roman" w:hAnsi="Times New Roman"/>
          <w:noProof/>
          <w:sz w:val="24"/>
          <w:szCs w:val="24"/>
        </w:rPr>
      </w:pPr>
      <w:r>
        <w:rPr>
          <w:rFonts w:ascii="Times New Roman" w:hAnsi="Times New Roman"/>
          <w:noProof/>
          <w:sz w:val="24"/>
        </w:rPr>
        <w:t>Infine la Fondazione IFRS ha effettuato un aggiornamento della tassonomia IFRS allo scopo di riflettere le implicazioni dei nuovi principi contabili e delle modifiche</w:t>
      </w:r>
      <w:r>
        <w:rPr>
          <w:rStyle w:val="FootnoteReference"/>
          <w:rFonts w:ascii="Times New Roman" w:hAnsi="Times New Roman"/>
          <w:noProof/>
          <w:sz w:val="24"/>
          <w:szCs w:val="24"/>
          <w:lang w:eastAsia="en-GB"/>
        </w:rPr>
        <w:footnoteReference w:id="4"/>
      </w:r>
      <w:r>
        <w:rPr>
          <w:rFonts w:ascii="Times New Roman" w:hAnsi="Times New Roman"/>
          <w:noProof/>
          <w:sz w:val="24"/>
        </w:rPr>
        <w:t>.</w:t>
      </w:r>
    </w:p>
    <w:p w14:paraId="498BDE40" w14:textId="46730BE7" w:rsidR="005C5409" w:rsidRPr="005A46D9" w:rsidRDefault="005C5409" w:rsidP="005C5409">
      <w:pPr>
        <w:pStyle w:val="ManualHeading1"/>
        <w:rPr>
          <w:noProof/>
        </w:rPr>
      </w:pPr>
      <w:r>
        <w:rPr>
          <w:noProof/>
        </w:rPr>
        <w:t>2.2.2.</w:t>
      </w:r>
      <w:r>
        <w:rPr>
          <w:noProof/>
        </w:rPr>
        <w:tab/>
        <w:t>Progetti</w:t>
      </w:r>
    </w:p>
    <w:p w14:paraId="3CDD455A" w14:textId="306E4FCF" w:rsidR="002B7AD3" w:rsidRPr="005A46D9" w:rsidRDefault="002B7AD3" w:rsidP="002B7AD3">
      <w:pPr>
        <w:jc w:val="both"/>
        <w:rPr>
          <w:rFonts w:ascii="Times New Roman" w:hAnsi="Times New Roman"/>
          <w:noProof/>
          <w:sz w:val="24"/>
          <w:szCs w:val="24"/>
        </w:rPr>
      </w:pPr>
      <w:r>
        <w:rPr>
          <w:rFonts w:ascii="Times New Roman" w:hAnsi="Times New Roman"/>
          <w:noProof/>
          <w:sz w:val="24"/>
        </w:rPr>
        <w:t xml:space="preserve">Nel marzo 2024 lo IASB ha pubblicato l'Exposure Draft </w:t>
      </w:r>
      <w:r>
        <w:rPr>
          <w:rFonts w:ascii="Times New Roman" w:hAnsi="Times New Roman"/>
          <w:i/>
          <w:noProof/>
          <w:sz w:val="24"/>
        </w:rPr>
        <w:t>Business Combinations – Disclosures, Goodwill and Impairment</w:t>
      </w:r>
      <w:r>
        <w:rPr>
          <w:rFonts w:ascii="Times New Roman" w:hAnsi="Times New Roman"/>
          <w:noProof/>
          <w:sz w:val="24"/>
        </w:rPr>
        <w:t xml:space="preserve"> al fine di migliorare le informazioni che le società comunicano in merito ai risultati delle aggregazioni aziendali e di modificare la verifica per riduzione di valore delle unità generatrici di flussi finanziari che contengono l'avviamento.</w:t>
      </w:r>
    </w:p>
    <w:p w14:paraId="7E3A23DE" w14:textId="00183386" w:rsidR="00EF12D5" w:rsidRPr="005A46D9" w:rsidRDefault="007C469F" w:rsidP="002B7AD3">
      <w:pPr>
        <w:jc w:val="both"/>
        <w:rPr>
          <w:rFonts w:ascii="Times New Roman" w:hAnsi="Times New Roman"/>
          <w:noProof/>
          <w:sz w:val="24"/>
          <w:szCs w:val="24"/>
        </w:rPr>
      </w:pPr>
      <w:r>
        <w:rPr>
          <w:rFonts w:ascii="Times New Roman" w:hAnsi="Times New Roman"/>
          <w:noProof/>
          <w:sz w:val="24"/>
        </w:rPr>
        <w:t xml:space="preserve">A luglio lo IASB ha pubblicato nel bilancio l'Exposure Draft </w:t>
      </w:r>
      <w:r>
        <w:rPr>
          <w:rFonts w:ascii="Times New Roman" w:hAnsi="Times New Roman"/>
          <w:i/>
          <w:noProof/>
          <w:sz w:val="24"/>
        </w:rPr>
        <w:t>Climate-related and Other Uncertainties in the Financial Statements</w:t>
      </w:r>
      <w:r>
        <w:rPr>
          <w:rFonts w:ascii="Times New Roman" w:hAnsi="Times New Roman"/>
          <w:noProof/>
          <w:sz w:val="24"/>
        </w:rPr>
        <w:t>, che comprendeva otto esempi su come un'entità dovrebbe applicare i Principi contabili IFRS per riflettere nel proprio bilancio gli effetti delle incertezze legate al clima e di altro tipo.</w:t>
      </w:r>
    </w:p>
    <w:p w14:paraId="36E635DB" w14:textId="3EF7325F" w:rsidR="007B5DF2" w:rsidRPr="005A46D9" w:rsidRDefault="007B5DF2" w:rsidP="002B7AD3">
      <w:pPr>
        <w:jc w:val="both"/>
        <w:rPr>
          <w:rFonts w:ascii="Times New Roman" w:hAnsi="Times New Roman"/>
          <w:noProof/>
          <w:sz w:val="24"/>
          <w:szCs w:val="24"/>
        </w:rPr>
      </w:pPr>
      <w:r>
        <w:rPr>
          <w:rFonts w:ascii="Times New Roman" w:hAnsi="Times New Roman"/>
          <w:noProof/>
          <w:sz w:val="24"/>
        </w:rPr>
        <w:t xml:space="preserve">Sempre a luglio lo IASB ha pubblicato l'Exposure Draft </w:t>
      </w:r>
      <w:r>
        <w:rPr>
          <w:rFonts w:ascii="Times New Roman" w:hAnsi="Times New Roman"/>
          <w:i/>
          <w:noProof/>
          <w:sz w:val="24"/>
        </w:rPr>
        <w:t xml:space="preserve">Amendments to IFRS 19 Subsidiaries without Public Accountability: Disclosures, </w:t>
      </w:r>
      <w:r>
        <w:rPr>
          <w:rFonts w:ascii="Times New Roman" w:hAnsi="Times New Roman"/>
          <w:noProof/>
          <w:sz w:val="24"/>
        </w:rPr>
        <w:t>che</w:t>
      </w:r>
      <w:r>
        <w:rPr>
          <w:rFonts w:ascii="Times New Roman" w:hAnsi="Times New Roman"/>
          <w:i/>
          <w:noProof/>
          <w:sz w:val="24"/>
        </w:rPr>
        <w:t xml:space="preserve"> </w:t>
      </w:r>
      <w:r>
        <w:rPr>
          <w:rFonts w:ascii="Times New Roman" w:hAnsi="Times New Roman"/>
          <w:noProof/>
          <w:sz w:val="24"/>
        </w:rPr>
        <w:t>mirava ad allineare l'IFRS 19 agli IFRS nuovi e a quelli modificati pubblicati tra il febbraio 2021 e il maggio 2024.</w:t>
      </w:r>
    </w:p>
    <w:p w14:paraId="1A8E2B3E" w14:textId="48DD0B45" w:rsidR="000F655B" w:rsidRPr="005A46D9" w:rsidRDefault="000F655B" w:rsidP="000F655B">
      <w:pPr>
        <w:jc w:val="both"/>
        <w:rPr>
          <w:rFonts w:ascii="Times New Roman" w:hAnsi="Times New Roman"/>
          <w:noProof/>
          <w:sz w:val="24"/>
          <w:szCs w:val="24"/>
        </w:rPr>
      </w:pPr>
      <w:r>
        <w:rPr>
          <w:rFonts w:ascii="Times New Roman" w:hAnsi="Times New Roman"/>
          <w:noProof/>
          <w:sz w:val="24"/>
        </w:rPr>
        <w:t xml:space="preserve">A luglio e a settembre, rispettivamente, lo IASB ha completato le revisioni post-attuazione dell'IFRS 9 </w:t>
      </w:r>
      <w:r>
        <w:rPr>
          <w:rFonts w:ascii="Times New Roman" w:hAnsi="Times New Roman"/>
          <w:i/>
          <w:noProof/>
          <w:sz w:val="24"/>
        </w:rPr>
        <w:t>Strumenti finanziari – Riduzione di valore</w:t>
      </w:r>
      <w:r>
        <w:rPr>
          <w:rFonts w:ascii="Times New Roman" w:hAnsi="Times New Roman"/>
          <w:noProof/>
          <w:sz w:val="24"/>
        </w:rPr>
        <w:t xml:space="preserve"> e dell'IFRS 15 </w:t>
      </w:r>
      <w:r>
        <w:rPr>
          <w:rFonts w:ascii="Times New Roman" w:hAnsi="Times New Roman"/>
          <w:i/>
          <w:noProof/>
          <w:sz w:val="24"/>
        </w:rPr>
        <w:t>Ricavi provenienti da contratti con i clienti</w:t>
      </w:r>
      <w:r>
        <w:rPr>
          <w:rFonts w:ascii="Times New Roman" w:hAnsi="Times New Roman"/>
          <w:noProof/>
          <w:sz w:val="24"/>
        </w:rPr>
        <w:t>, e ha concluso che le disposizioni di entrambi i principi producevano gli effetti sperati.</w:t>
      </w:r>
    </w:p>
    <w:p w14:paraId="222CC78A" w14:textId="63063D17" w:rsidR="00752D49" w:rsidRPr="005A46D9" w:rsidRDefault="00752D49" w:rsidP="00752D49">
      <w:pPr>
        <w:jc w:val="both"/>
        <w:rPr>
          <w:rFonts w:ascii="Times New Roman" w:hAnsi="Times New Roman"/>
          <w:noProof/>
          <w:sz w:val="24"/>
          <w:szCs w:val="24"/>
        </w:rPr>
      </w:pPr>
      <w:r>
        <w:rPr>
          <w:rFonts w:ascii="Times New Roman" w:hAnsi="Times New Roman"/>
          <w:noProof/>
          <w:sz w:val="24"/>
        </w:rPr>
        <w:t xml:space="preserve">A settembre lo IASB ha pubblicato l'Exposure Draft </w:t>
      </w:r>
      <w:r>
        <w:rPr>
          <w:rFonts w:ascii="Times New Roman" w:hAnsi="Times New Roman"/>
          <w:i/>
          <w:noProof/>
          <w:sz w:val="24"/>
        </w:rPr>
        <w:t>Equity Method of Accounting – IAS 28 Investments in Associates and Joint Ventures (revised 202x)</w:t>
      </w:r>
      <w:r>
        <w:rPr>
          <w:rFonts w:ascii="Times New Roman" w:hAnsi="Times New Roman"/>
          <w:noProof/>
          <w:sz w:val="24"/>
        </w:rPr>
        <w:t xml:space="preserve"> al fine di integrare e precisare l'applicazione del metodo del patrimonio netto.</w:t>
      </w:r>
    </w:p>
    <w:p w14:paraId="2B74EC2E" w14:textId="3B688ED2" w:rsidR="00F018BD" w:rsidRPr="005A46D9" w:rsidRDefault="00F018BD" w:rsidP="008F283E">
      <w:pPr>
        <w:jc w:val="both"/>
        <w:rPr>
          <w:noProof/>
        </w:rPr>
      </w:pPr>
      <w:r>
        <w:rPr>
          <w:rFonts w:ascii="Times New Roman" w:hAnsi="Times New Roman"/>
          <w:noProof/>
          <w:sz w:val="24"/>
        </w:rPr>
        <w:t xml:space="preserve">A novembre lo IASB ha pubblicato l'Exposure Draft </w:t>
      </w:r>
      <w:r>
        <w:rPr>
          <w:rFonts w:ascii="Times New Roman" w:hAnsi="Times New Roman"/>
          <w:i/>
          <w:noProof/>
          <w:sz w:val="24"/>
        </w:rPr>
        <w:t>Provisions – Targeted Improvements</w:t>
      </w:r>
      <w:r>
        <w:rPr>
          <w:rFonts w:ascii="Times New Roman" w:hAnsi="Times New Roman"/>
          <w:noProof/>
          <w:sz w:val="24"/>
        </w:rPr>
        <w:t>,</w:t>
      </w:r>
      <w:r>
        <w:rPr>
          <w:rFonts w:ascii="Times New Roman" w:hAnsi="Times New Roman"/>
          <w:i/>
          <w:noProof/>
          <w:sz w:val="24"/>
        </w:rPr>
        <w:t xml:space="preserve"> </w:t>
      </w:r>
      <w:r>
        <w:rPr>
          <w:rFonts w:ascii="Times New Roman" w:hAnsi="Times New Roman"/>
          <w:noProof/>
          <w:sz w:val="24"/>
        </w:rPr>
        <w:t xml:space="preserve">contenente tre proposte di miglioramento dello IAS 37 </w:t>
      </w:r>
      <w:r>
        <w:rPr>
          <w:rFonts w:ascii="Times New Roman" w:hAnsi="Times New Roman"/>
          <w:i/>
          <w:noProof/>
          <w:sz w:val="24"/>
        </w:rPr>
        <w:t>Accantonamenti, passività e attività potenziali</w:t>
      </w:r>
      <w:r>
        <w:rPr>
          <w:rFonts w:ascii="Times New Roman" w:hAnsi="Times New Roman"/>
          <w:noProof/>
          <w:sz w:val="24"/>
        </w:rPr>
        <w:t>.</w:t>
      </w:r>
    </w:p>
    <w:p w14:paraId="046B4731" w14:textId="283B9A5C" w:rsidR="005619C6" w:rsidRPr="005A46D9" w:rsidRDefault="00881619" w:rsidP="00313B89">
      <w:pPr>
        <w:jc w:val="both"/>
        <w:rPr>
          <w:rFonts w:ascii="Times New Roman" w:hAnsi="Times New Roman"/>
          <w:noProof/>
          <w:sz w:val="24"/>
          <w:szCs w:val="24"/>
        </w:rPr>
      </w:pPr>
      <w:r>
        <w:rPr>
          <w:rFonts w:ascii="Times New Roman" w:hAnsi="Times New Roman"/>
          <w:noProof/>
          <w:sz w:val="24"/>
        </w:rPr>
        <w:t>Nel corso del 2024 lo IASB ha inoltre completato le sue discussioni sul progetto riguardante le attività a tariffe regolamentate (</w:t>
      </w:r>
      <w:r>
        <w:rPr>
          <w:rFonts w:ascii="Times New Roman" w:hAnsi="Times New Roman"/>
          <w:i/>
          <w:noProof/>
          <w:sz w:val="24"/>
        </w:rPr>
        <w:t>Rate-regulated Activities</w:t>
      </w:r>
      <w:r>
        <w:rPr>
          <w:rFonts w:ascii="Times New Roman" w:hAnsi="Times New Roman"/>
          <w:noProof/>
          <w:sz w:val="24"/>
        </w:rPr>
        <w:t xml:space="preserve">) e ha proseguito i lavori sull'Exposure </w:t>
      </w:r>
      <w:r>
        <w:rPr>
          <w:rFonts w:ascii="Times New Roman" w:hAnsi="Times New Roman"/>
          <w:noProof/>
          <w:sz w:val="24"/>
        </w:rPr>
        <w:lastRenderedPageBreak/>
        <w:t xml:space="preserve">Draft </w:t>
      </w:r>
      <w:r>
        <w:rPr>
          <w:rFonts w:ascii="Times New Roman" w:hAnsi="Times New Roman"/>
          <w:i/>
          <w:noProof/>
          <w:sz w:val="24"/>
        </w:rPr>
        <w:t>Dynamic Risk Management</w:t>
      </w:r>
      <w:r>
        <w:rPr>
          <w:rFonts w:ascii="Times New Roman" w:hAnsi="Times New Roman"/>
          <w:noProof/>
          <w:sz w:val="24"/>
        </w:rPr>
        <w:t xml:space="preserve"> al fine di elaborare i requisiti per il macro-hedging del rischio di tasso di interesse nel portafoglio bancario.</w:t>
      </w:r>
    </w:p>
    <w:p w14:paraId="5A8308D1" w14:textId="55F1B8F4" w:rsidR="005C5409" w:rsidRPr="005A46D9" w:rsidRDefault="005C5409" w:rsidP="005C5409">
      <w:pPr>
        <w:jc w:val="both"/>
        <w:rPr>
          <w:rFonts w:ascii="Times New Roman" w:hAnsi="Times New Roman"/>
          <w:noProof/>
          <w:sz w:val="24"/>
          <w:szCs w:val="24"/>
        </w:rPr>
      </w:pPr>
      <w:r>
        <w:rPr>
          <w:rFonts w:ascii="Times New Roman" w:hAnsi="Times New Roman"/>
          <w:noProof/>
          <w:sz w:val="24"/>
        </w:rPr>
        <w:t>Una panoramica dell'insieme delle attività e dei progetti è consultabile sul sito web della Fondazione IFRS</w:t>
      </w:r>
      <w:r>
        <w:rPr>
          <w:rStyle w:val="FootnoteReference"/>
          <w:rFonts w:ascii="Times New Roman" w:hAnsi="Times New Roman"/>
          <w:noProof/>
          <w:sz w:val="24"/>
          <w:szCs w:val="24"/>
          <w:lang w:eastAsia="en-GB"/>
        </w:rPr>
        <w:footnoteReference w:id="5"/>
      </w:r>
      <w:r>
        <w:rPr>
          <w:rFonts w:ascii="Times New Roman" w:hAnsi="Times New Roman"/>
          <w:noProof/>
          <w:sz w:val="24"/>
        </w:rPr>
        <w:t>.</w:t>
      </w:r>
    </w:p>
    <w:p w14:paraId="7411B9FD" w14:textId="0E363934" w:rsidR="005C5409" w:rsidRPr="005A46D9" w:rsidRDefault="005C5409" w:rsidP="009C695E">
      <w:pPr>
        <w:pStyle w:val="ManualHeading1"/>
        <w:rPr>
          <w:noProof/>
        </w:rPr>
      </w:pPr>
      <w:r>
        <w:rPr>
          <w:noProof/>
        </w:rPr>
        <w:t>2.3.</w:t>
      </w:r>
      <w:r>
        <w:rPr>
          <w:noProof/>
        </w:rPr>
        <w:tab/>
        <w:t>Finanziamento</w:t>
      </w:r>
    </w:p>
    <w:p w14:paraId="67191179" w14:textId="0EF4E60B" w:rsidR="005C5409" w:rsidRPr="005A46D9" w:rsidRDefault="005C5409" w:rsidP="005C5409">
      <w:pPr>
        <w:spacing w:before="120" w:after="120"/>
        <w:jc w:val="both"/>
        <w:rPr>
          <w:rFonts w:ascii="Times New Roman" w:hAnsi="Times New Roman"/>
          <w:noProof/>
          <w:sz w:val="24"/>
          <w:szCs w:val="24"/>
        </w:rPr>
      </w:pPr>
      <w:r>
        <w:rPr>
          <w:rFonts w:ascii="Times New Roman" w:hAnsi="Times New Roman"/>
          <w:noProof/>
          <w:sz w:val="24"/>
        </w:rPr>
        <w:t>Nel 2024 la Fondazione IFRS ha ricevuto dalla Commissione una sovvenzione di 3,05 milioni</w:t>
      </w:r>
      <w:r w:rsidR="00EE116F">
        <w:rPr>
          <w:rFonts w:ascii="Times New Roman" w:hAnsi="Times New Roman"/>
          <w:noProof/>
          <w:sz w:val="24"/>
        </w:rPr>
        <w:t> </w:t>
      </w:r>
      <w:r>
        <w:rPr>
          <w:rFonts w:ascii="Times New Roman" w:hAnsi="Times New Roman"/>
          <w:noProof/>
          <w:sz w:val="24"/>
        </w:rPr>
        <w:t>di EUR per le attività connesse allo IASB, che rappresenta il 17 % dei finanziamenti totali ricevuti dalla Fondazione IFRS per tali attività. La Commissione ha continuato a essere il maggiore contributore, applicando un tasso di cofinanziamento massimo del 20 % delle spese ammissibili.</w:t>
      </w:r>
    </w:p>
    <w:p w14:paraId="47C044D2" w14:textId="60EAFF93" w:rsidR="005C5409" w:rsidRPr="005A46D9" w:rsidRDefault="005C5409" w:rsidP="005C5409">
      <w:pPr>
        <w:spacing w:before="120" w:after="120"/>
        <w:jc w:val="both"/>
        <w:rPr>
          <w:rFonts w:ascii="Times New Roman" w:hAnsi="Times New Roman"/>
          <w:noProof/>
          <w:sz w:val="24"/>
          <w:szCs w:val="24"/>
        </w:rPr>
      </w:pPr>
      <w:r>
        <w:rPr>
          <w:rFonts w:ascii="Times New Roman" w:hAnsi="Times New Roman"/>
          <w:noProof/>
          <w:sz w:val="24"/>
        </w:rPr>
        <w:t>La ripartizione dei finanziamenti per le attività connesse allo IASB in base alle principali zone geografiche e alle reti internazionali di contabilità mostra che nel 2024 l'UE e i suoi Stati membri rappresentavano il 32,8 % dei contributi totali, l'Asia-Oceania il 34,8 %, le reti internazionali di contabilità il 14,7 %, le Americhe il 5,5 %, l'Africa lo 0,9 % e altri l'11,3 %. La quota relativa del finanziamento della Commissione e degli Stati membri è aumentata rispetto al 2023 (passando dal 32,0 % al 32,8 %).</w:t>
      </w:r>
    </w:p>
    <w:p w14:paraId="5E6E936B" w14:textId="77777777" w:rsidR="005C5409" w:rsidRPr="005A46D9" w:rsidRDefault="005C5409" w:rsidP="005C5409">
      <w:pPr>
        <w:pStyle w:val="ManualHeading1"/>
        <w:rPr>
          <w:noProof/>
        </w:rPr>
      </w:pPr>
      <w:r>
        <w:rPr>
          <w:noProof/>
        </w:rPr>
        <w:t>3.</w:t>
      </w:r>
      <w:r>
        <w:rPr>
          <w:noProof/>
        </w:rPr>
        <w:tab/>
        <w:t>EFRAG</w:t>
      </w:r>
    </w:p>
    <w:p w14:paraId="531A5540" w14:textId="77777777" w:rsidR="005C5409" w:rsidRPr="005A46D9" w:rsidRDefault="005C5409" w:rsidP="005C5409">
      <w:pPr>
        <w:pStyle w:val="ManualHeading1"/>
        <w:spacing w:after="240"/>
        <w:rPr>
          <w:noProof/>
        </w:rPr>
      </w:pPr>
      <w:r>
        <w:rPr>
          <w:noProof/>
        </w:rPr>
        <w:t>3.1.</w:t>
      </w:r>
      <w:r>
        <w:rPr>
          <w:noProof/>
        </w:rPr>
        <w:tab/>
        <w:t>Governance</w:t>
      </w:r>
    </w:p>
    <w:p w14:paraId="344548E0" w14:textId="0CC7E394" w:rsidR="005C5409" w:rsidRPr="005A46D9" w:rsidRDefault="005C5409" w:rsidP="005C5409">
      <w:pPr>
        <w:jc w:val="both"/>
        <w:rPr>
          <w:rFonts w:ascii="Times New Roman" w:hAnsi="Times New Roman"/>
          <w:noProof/>
          <w:sz w:val="24"/>
        </w:rPr>
      </w:pPr>
      <w:r>
        <w:rPr>
          <w:rFonts w:ascii="Times New Roman" w:hAnsi="Times New Roman"/>
          <w:noProof/>
          <w:sz w:val="24"/>
        </w:rPr>
        <w:t>L'EFRAG è un'organizzazione finanziata tanto dal settore pubblico quanto da quello privato che opera nell'interesse pubblico europeo e ha la forma giuridica di un'AISBL (organizzazione internazionale senza scopo di lucro di diritto belga). Le sue attività si articolano in due pilastri: informativa finanziaria e rendicontazione di sostenibilità.</w:t>
      </w:r>
    </w:p>
    <w:p w14:paraId="61097DEF" w14:textId="2617126B" w:rsidR="005C5409" w:rsidRPr="005A46D9" w:rsidRDefault="005C5409" w:rsidP="005C5409">
      <w:pPr>
        <w:jc w:val="both"/>
        <w:rPr>
          <w:rFonts w:ascii="Times New Roman" w:hAnsi="Times New Roman"/>
          <w:noProof/>
          <w:sz w:val="24"/>
          <w:szCs w:val="24"/>
        </w:rPr>
      </w:pPr>
      <w:r>
        <w:rPr>
          <w:rFonts w:ascii="Times New Roman" w:hAnsi="Times New Roman"/>
          <w:noProof/>
          <w:sz w:val="24"/>
        </w:rPr>
        <w:t>Nel settore dell'informativa finanziaria, la missione dell'EFRAG è servire l'interesse pubblico europeo elaborando e promuovendo pareri europei nel campo dell'informativa finanziaria e garantendo che tali pareri siano adeguatamente presi in considerazione nel processo di normazione dello IASB e nei dibattiti internazionali correlati. L'EFRAG fornisce pareri alla Commissione in merito all'opportunità per l'UE di omologare principi contabili IFRS nuovi o riveduti. Svolge inoltre attività di ricerca contabile proattiva.</w:t>
      </w:r>
    </w:p>
    <w:p w14:paraId="2BF4FFB2" w14:textId="000E0476" w:rsidR="00226AA8" w:rsidRPr="005A46D9" w:rsidRDefault="00EA3ADE" w:rsidP="00226AA8">
      <w:pPr>
        <w:jc w:val="both"/>
        <w:rPr>
          <w:rFonts w:ascii="Times New Roman" w:hAnsi="Times New Roman"/>
          <w:noProof/>
          <w:sz w:val="24"/>
        </w:rPr>
      </w:pPr>
      <w:r>
        <w:rPr>
          <w:rFonts w:ascii="Times New Roman" w:hAnsi="Times New Roman"/>
          <w:noProof/>
          <w:sz w:val="24"/>
        </w:rPr>
        <w:t>Nel settore della rendicontazione di sostenibilità, a norma della direttiva relativa alla rendicontazione societaria di sostenibilità</w:t>
      </w:r>
      <w:r>
        <w:rPr>
          <w:rStyle w:val="FootnoteReference"/>
          <w:rFonts w:ascii="Times New Roman" w:hAnsi="Times New Roman"/>
          <w:noProof/>
          <w:sz w:val="24"/>
          <w:szCs w:val="24"/>
        </w:rPr>
        <w:footnoteReference w:id="6"/>
      </w:r>
      <w:r>
        <w:rPr>
          <w:rFonts w:ascii="Times New Roman" w:hAnsi="Times New Roman"/>
          <w:noProof/>
          <w:sz w:val="24"/>
        </w:rPr>
        <w:t>, l'EFRAG offre pareri tecnici alla Commissione sotto forma di progetti di ESRS elaborati secondo un solido iter procedurale. Sostiene altresì l'efficace attuazione degli ESRS.</w:t>
      </w:r>
    </w:p>
    <w:p w14:paraId="31EFCCA0" w14:textId="35E0A24E" w:rsidR="005C5409" w:rsidRPr="005A46D9" w:rsidRDefault="000D278B" w:rsidP="005C5409">
      <w:pPr>
        <w:jc w:val="both"/>
        <w:rPr>
          <w:rFonts w:ascii="Times New Roman" w:hAnsi="Times New Roman"/>
          <w:noProof/>
          <w:sz w:val="24"/>
          <w:szCs w:val="24"/>
        </w:rPr>
      </w:pPr>
      <w:r>
        <w:rPr>
          <w:rFonts w:ascii="Times New Roman" w:hAnsi="Times New Roman"/>
          <w:noProof/>
          <w:sz w:val="24"/>
        </w:rPr>
        <w:t>Il consiglio di amministrazione dell'EFRAG è responsabile della vigilanza sull'iter procedurale di tutti gli organismi tecnici. A tal fine si avvale del sostegno di un comitato di vigilanza sull'iter procedurale (</w:t>
      </w:r>
      <w:r>
        <w:rPr>
          <w:rFonts w:ascii="Times New Roman" w:hAnsi="Times New Roman"/>
          <w:i/>
          <w:iCs/>
          <w:noProof/>
          <w:sz w:val="24"/>
        </w:rPr>
        <w:t>Due Process Committee</w:t>
      </w:r>
      <w:r>
        <w:rPr>
          <w:rFonts w:ascii="Times New Roman" w:hAnsi="Times New Roman"/>
          <w:noProof/>
          <w:sz w:val="24"/>
        </w:rPr>
        <w:t>, DPC). Nel 2024 Wolf Klinz ha ricoperto la carica di presidente del consiglio dell'EFRAG per l'informativa finanziaria e Patrick de Cambourg quella di presidente del consiglio dell'EFRAG sulla rendicontazione di sostenibilità. Fino</w:t>
      </w:r>
      <w:r w:rsidR="00EE116F">
        <w:rPr>
          <w:rFonts w:ascii="Times New Roman" w:hAnsi="Times New Roman"/>
          <w:noProof/>
          <w:sz w:val="24"/>
        </w:rPr>
        <w:t> </w:t>
      </w:r>
      <w:r>
        <w:rPr>
          <w:rFonts w:ascii="Times New Roman" w:hAnsi="Times New Roman"/>
          <w:noProof/>
          <w:sz w:val="24"/>
        </w:rPr>
        <w:t>al</w:t>
      </w:r>
      <w:r w:rsidR="00EE116F">
        <w:rPr>
          <w:rFonts w:ascii="Times New Roman" w:hAnsi="Times New Roman"/>
          <w:noProof/>
          <w:sz w:val="24"/>
        </w:rPr>
        <w:t> </w:t>
      </w:r>
      <w:r>
        <w:rPr>
          <w:rFonts w:ascii="Times New Roman" w:hAnsi="Times New Roman"/>
          <w:noProof/>
          <w:sz w:val="24"/>
        </w:rPr>
        <w:t>giugno</w:t>
      </w:r>
      <w:r w:rsidR="00EE116F">
        <w:rPr>
          <w:rFonts w:ascii="Times New Roman" w:hAnsi="Times New Roman"/>
          <w:noProof/>
          <w:sz w:val="24"/>
        </w:rPr>
        <w:t> </w:t>
      </w:r>
      <w:r>
        <w:rPr>
          <w:rFonts w:ascii="Times New Roman" w:hAnsi="Times New Roman"/>
          <w:noProof/>
          <w:sz w:val="24"/>
        </w:rPr>
        <w:t>2024 Hans Buysse ha ricoperto la carica di presidente del consiglio di amministrazione dell'EFRAG e dal luglio 2024 è stato sostituito da Benoit Jaspar.</w:t>
      </w:r>
    </w:p>
    <w:p w14:paraId="2E1D3C01" w14:textId="3AA1ADC2" w:rsidR="00AE0F47" w:rsidRPr="005A46D9" w:rsidRDefault="005C5409" w:rsidP="00AE0F47">
      <w:pPr>
        <w:pStyle w:val="ManualHeading1"/>
        <w:rPr>
          <w:noProof/>
        </w:rPr>
      </w:pPr>
      <w:r>
        <w:rPr>
          <w:noProof/>
        </w:rPr>
        <w:t>3.2.</w:t>
      </w:r>
      <w:r>
        <w:rPr>
          <w:noProof/>
        </w:rPr>
        <w:tab/>
        <w:t>Pilastro relativo all'informativa finanziaria</w:t>
      </w:r>
    </w:p>
    <w:p w14:paraId="26524536" w14:textId="2F97FE04" w:rsidR="005C5409" w:rsidRPr="005A46D9" w:rsidRDefault="005C5409" w:rsidP="005C5409">
      <w:pPr>
        <w:jc w:val="both"/>
        <w:rPr>
          <w:rFonts w:ascii="Times New Roman" w:hAnsi="Times New Roman"/>
          <w:noProof/>
          <w:sz w:val="24"/>
          <w:szCs w:val="24"/>
        </w:rPr>
      </w:pPr>
      <w:r>
        <w:rPr>
          <w:rFonts w:ascii="Times New Roman" w:hAnsi="Times New Roman"/>
          <w:noProof/>
          <w:sz w:val="24"/>
        </w:rPr>
        <w:t>Nel 2024 l'attività dell'EFRAG sull'informativa finanziaria ha continuato a essere guidata prevalentemente dal programma di lavoro dello IASB, del Comitato d'interpretazione degli IFRS e della Fondazione IFRS.</w:t>
      </w:r>
    </w:p>
    <w:p w14:paraId="5C866FDC" w14:textId="3E7C0543" w:rsidR="00D55609" w:rsidRPr="005A46D9" w:rsidRDefault="00D55609" w:rsidP="00D55609">
      <w:pPr>
        <w:jc w:val="both"/>
        <w:rPr>
          <w:rFonts w:ascii="Times New Roman" w:hAnsi="Times New Roman"/>
          <w:noProof/>
          <w:sz w:val="24"/>
          <w:szCs w:val="24"/>
        </w:rPr>
      </w:pPr>
      <w:r>
        <w:rPr>
          <w:rFonts w:ascii="Times New Roman" w:hAnsi="Times New Roman"/>
          <w:noProof/>
          <w:sz w:val="24"/>
        </w:rPr>
        <w:t xml:space="preserve">L'EFRAG ha emesso un parere definitivo sulle modifiche allo IAS 21 </w:t>
      </w:r>
      <w:r>
        <w:rPr>
          <w:rFonts w:ascii="Times New Roman" w:hAnsi="Times New Roman"/>
          <w:i/>
          <w:noProof/>
          <w:sz w:val="24"/>
        </w:rPr>
        <w:t>Effetti delle variazioni dei cambi delle valute estere</w:t>
      </w:r>
      <w:r>
        <w:rPr>
          <w:rFonts w:ascii="Times New Roman" w:hAnsi="Times New Roman"/>
          <w:noProof/>
          <w:sz w:val="24"/>
        </w:rPr>
        <w:t xml:space="preserve"> </w:t>
      </w:r>
      <w:r>
        <w:rPr>
          <w:rFonts w:ascii="Times New Roman" w:hAnsi="Times New Roman"/>
          <w:i/>
          <w:noProof/>
          <w:sz w:val="24"/>
        </w:rPr>
        <w:t>(impossibilità di cambio)</w:t>
      </w:r>
      <w:r>
        <w:rPr>
          <w:rFonts w:ascii="Times New Roman" w:hAnsi="Times New Roman"/>
          <w:noProof/>
          <w:sz w:val="24"/>
        </w:rPr>
        <w:t xml:space="preserve">, sulle modifiche all'IFRS 9 </w:t>
      </w:r>
      <w:r>
        <w:rPr>
          <w:rFonts w:ascii="Times New Roman" w:hAnsi="Times New Roman"/>
          <w:i/>
          <w:noProof/>
          <w:sz w:val="24"/>
        </w:rPr>
        <w:t>Strumenti finanziari</w:t>
      </w:r>
      <w:r>
        <w:rPr>
          <w:rFonts w:ascii="Times New Roman" w:hAnsi="Times New Roman"/>
          <w:noProof/>
          <w:sz w:val="24"/>
        </w:rPr>
        <w:t xml:space="preserve"> e all'IFRS 7 </w:t>
      </w:r>
      <w:r>
        <w:rPr>
          <w:rFonts w:ascii="Times New Roman" w:hAnsi="Times New Roman"/>
          <w:i/>
          <w:noProof/>
          <w:sz w:val="24"/>
        </w:rPr>
        <w:t>Strumenti finanziari: Informazioni integrative (Modifiche alla classificazione e alla valutazione degli strumenti finanziari)</w:t>
      </w:r>
      <w:r>
        <w:rPr>
          <w:rFonts w:ascii="Times New Roman" w:hAnsi="Times New Roman"/>
          <w:noProof/>
          <w:sz w:val="24"/>
        </w:rPr>
        <w:t xml:space="preserve"> nonché sui </w:t>
      </w:r>
      <w:r>
        <w:rPr>
          <w:rFonts w:ascii="Times New Roman" w:hAnsi="Times New Roman"/>
          <w:i/>
          <w:noProof/>
          <w:sz w:val="24"/>
        </w:rPr>
        <w:t>Miglioramenti annuali ai Principi contabili IFRS — Volume 11</w:t>
      </w:r>
      <w:r>
        <w:rPr>
          <w:rFonts w:ascii="Times New Roman" w:hAnsi="Times New Roman"/>
          <w:noProof/>
          <w:sz w:val="24"/>
        </w:rPr>
        <w:t>.</w:t>
      </w:r>
    </w:p>
    <w:p w14:paraId="27049A93" w14:textId="36E2A25F" w:rsidR="00962CD1" w:rsidRPr="005A46D9" w:rsidRDefault="00962CD1" w:rsidP="005C5409">
      <w:pPr>
        <w:jc w:val="both"/>
        <w:rPr>
          <w:rFonts w:ascii="Times New Roman" w:hAnsi="Times New Roman"/>
          <w:noProof/>
          <w:sz w:val="24"/>
          <w:szCs w:val="24"/>
        </w:rPr>
      </w:pPr>
      <w:r>
        <w:rPr>
          <w:rFonts w:ascii="Times New Roman" w:hAnsi="Times New Roman"/>
          <w:noProof/>
          <w:sz w:val="24"/>
        </w:rPr>
        <w:t xml:space="preserve">L'EFRAG ha preparato pareri sull'omologazione dell'IFRS 18 </w:t>
      </w:r>
      <w:r>
        <w:rPr>
          <w:rFonts w:ascii="Times New Roman" w:hAnsi="Times New Roman"/>
          <w:i/>
          <w:noProof/>
          <w:sz w:val="24"/>
        </w:rPr>
        <w:t>Presentazione e informativa di bilancio</w:t>
      </w:r>
      <w:r>
        <w:rPr>
          <w:rFonts w:ascii="Times New Roman" w:hAnsi="Times New Roman"/>
          <w:noProof/>
          <w:sz w:val="24"/>
        </w:rPr>
        <w:t xml:space="preserve"> e dell'IFRS 19 </w:t>
      </w:r>
      <w:r>
        <w:rPr>
          <w:rFonts w:ascii="Times New Roman" w:hAnsi="Times New Roman"/>
          <w:i/>
          <w:noProof/>
          <w:sz w:val="24"/>
        </w:rPr>
        <w:t>Società controllate senza responsabilità pubblica: informazioni integrative</w:t>
      </w:r>
      <w:r>
        <w:rPr>
          <w:rFonts w:ascii="Times New Roman" w:hAnsi="Times New Roman"/>
          <w:noProof/>
          <w:sz w:val="24"/>
        </w:rPr>
        <w:t>.</w:t>
      </w:r>
    </w:p>
    <w:p w14:paraId="193F4CB6" w14:textId="2F7BF7D8" w:rsidR="005C5409" w:rsidRPr="005A46D9" w:rsidRDefault="005C5409" w:rsidP="005C5409">
      <w:pPr>
        <w:jc w:val="both"/>
        <w:rPr>
          <w:rFonts w:ascii="Times New Roman" w:hAnsi="Times New Roman" w:cs="Times New Roman"/>
          <w:noProof/>
          <w:sz w:val="24"/>
          <w:szCs w:val="24"/>
        </w:rPr>
      </w:pPr>
      <w:r>
        <w:rPr>
          <w:rFonts w:ascii="Times New Roman" w:hAnsi="Times New Roman"/>
          <w:noProof/>
          <w:sz w:val="24"/>
        </w:rPr>
        <w:t>L'EFRAG ha anche emesso sei lettere di osservazioni e due resoconti dei riscontri e ha pubblicato un documento di ricerca sul collegamento tra l'informativa finanziaria e la rendicontazione di sostenibilità.</w:t>
      </w:r>
    </w:p>
    <w:p w14:paraId="2C6E9033" w14:textId="7FA7496E" w:rsidR="005C5409" w:rsidRPr="005A46D9" w:rsidRDefault="005C5409" w:rsidP="005C5409">
      <w:pPr>
        <w:jc w:val="both"/>
        <w:rPr>
          <w:rFonts w:ascii="Times New Roman" w:hAnsi="Times New Roman"/>
          <w:noProof/>
          <w:sz w:val="24"/>
          <w:szCs w:val="24"/>
        </w:rPr>
      </w:pPr>
      <w:r>
        <w:rPr>
          <w:rFonts w:ascii="Times New Roman" w:hAnsi="Times New Roman"/>
          <w:noProof/>
          <w:sz w:val="24"/>
        </w:rPr>
        <w:t xml:space="preserve">Inoltre l'EFRAG ha monitorato attentamente importanti progetti dello IASB in corso intesi a definire principi contabili dello IASB che richiederanno l'omologazione dell'UE nell'immediato futuro. </w:t>
      </w:r>
      <w:r w:rsidRPr="008C083F">
        <w:rPr>
          <w:rFonts w:ascii="Times New Roman" w:hAnsi="Times New Roman"/>
          <w:noProof/>
          <w:sz w:val="24"/>
          <w:lang w:val="en-IE"/>
        </w:rPr>
        <w:t xml:space="preserve">Questi progetti comprendono </w:t>
      </w:r>
      <w:r w:rsidRPr="008C083F">
        <w:rPr>
          <w:rFonts w:ascii="Times New Roman" w:hAnsi="Times New Roman"/>
          <w:i/>
          <w:noProof/>
          <w:sz w:val="24"/>
          <w:lang w:val="en-IE"/>
        </w:rPr>
        <w:t>Rate-regulated Activities</w:t>
      </w:r>
      <w:r w:rsidRPr="008C083F">
        <w:rPr>
          <w:rFonts w:ascii="Times New Roman" w:hAnsi="Times New Roman"/>
          <w:noProof/>
          <w:sz w:val="24"/>
          <w:lang w:val="en-IE"/>
        </w:rPr>
        <w:t xml:space="preserve">, </w:t>
      </w:r>
      <w:hyperlink r:id="rId16" w:history="1">
        <w:r w:rsidRPr="008C083F">
          <w:rPr>
            <w:rFonts w:ascii="Times New Roman" w:hAnsi="Times New Roman"/>
            <w:i/>
            <w:noProof/>
            <w:sz w:val="24"/>
            <w:lang w:val="en-IE"/>
          </w:rPr>
          <w:t>Financial Instruments with Characteristics of Equity</w:t>
        </w:r>
      </w:hyperlink>
      <w:r w:rsidRPr="008C083F">
        <w:rPr>
          <w:rFonts w:ascii="Times New Roman" w:hAnsi="Times New Roman"/>
          <w:i/>
          <w:noProof/>
          <w:sz w:val="24"/>
          <w:lang w:val="en-IE"/>
        </w:rPr>
        <w:t xml:space="preserve"> </w:t>
      </w:r>
      <w:r w:rsidRPr="008C083F">
        <w:rPr>
          <w:rFonts w:ascii="Times New Roman" w:hAnsi="Times New Roman"/>
          <w:noProof/>
          <w:sz w:val="24"/>
          <w:lang w:val="en-IE"/>
        </w:rPr>
        <w:t>e</w:t>
      </w:r>
      <w:r w:rsidRPr="008C083F">
        <w:rPr>
          <w:rFonts w:ascii="Times New Roman" w:hAnsi="Times New Roman"/>
          <w:i/>
          <w:noProof/>
          <w:sz w:val="24"/>
          <w:lang w:val="en-IE"/>
        </w:rPr>
        <w:t xml:space="preserve"> Dynamic Risk Management</w:t>
      </w:r>
      <w:r w:rsidRPr="008C083F">
        <w:rPr>
          <w:rFonts w:ascii="Times New Roman" w:hAnsi="Times New Roman"/>
          <w:noProof/>
          <w:sz w:val="24"/>
          <w:lang w:val="en-IE"/>
        </w:rPr>
        <w:t xml:space="preserve">. </w:t>
      </w:r>
      <w:r>
        <w:rPr>
          <w:rFonts w:ascii="Times New Roman" w:hAnsi="Times New Roman"/>
          <w:noProof/>
          <w:sz w:val="24"/>
        </w:rPr>
        <w:t>Nel 2024 l'EFRAG ha organizzato attività di sensibilizzazione e tavole rotonde per capire se e in che misura i trattamenti contabili proposti dallo IASB potessero funzionare per le parti interessate europee o piuttosto presentare problemi di applicazione. Ha poi informato lo IASB in merito ai potenziali problemi cui i portatori di interessi europei potrebbero far fronte.</w:t>
      </w:r>
    </w:p>
    <w:p w14:paraId="6DB37116" w14:textId="77777777" w:rsidR="005C5409" w:rsidRPr="005A46D9" w:rsidRDefault="005C5409" w:rsidP="005C5409">
      <w:pPr>
        <w:pStyle w:val="NormalWeb"/>
        <w:spacing w:line="276" w:lineRule="auto"/>
        <w:jc w:val="both"/>
        <w:rPr>
          <w:noProof/>
        </w:rPr>
      </w:pPr>
      <w:r>
        <w:rPr>
          <w:noProof/>
        </w:rPr>
        <w:t>Attraverso il suo gruppo di esperti accademici e la sua rete accademica, l'EFRAG ha rafforzato la cooperazione con il mondo accademico.</w:t>
      </w:r>
    </w:p>
    <w:p w14:paraId="180658F9" w14:textId="5EA18DD8" w:rsidR="005C5409" w:rsidRPr="005A46D9" w:rsidRDefault="00AE0F47" w:rsidP="005C5409">
      <w:pPr>
        <w:pStyle w:val="ManualHeading1"/>
        <w:rPr>
          <w:noProof/>
        </w:rPr>
      </w:pPr>
      <w:r>
        <w:rPr>
          <w:noProof/>
        </w:rPr>
        <w:t>3.3.</w:t>
      </w:r>
      <w:r>
        <w:rPr>
          <w:noProof/>
        </w:rPr>
        <w:tab/>
        <w:t>Pilastro relativo alla rendicontazione di sostenibilità</w:t>
      </w:r>
    </w:p>
    <w:p w14:paraId="29CD3962" w14:textId="6A914E92" w:rsidR="002F4F3E" w:rsidRPr="005A46D9" w:rsidRDefault="007B6C77" w:rsidP="002F4F3E">
      <w:pPr>
        <w:jc w:val="both"/>
        <w:rPr>
          <w:rFonts w:ascii="Times New Roman" w:hAnsi="Times New Roman"/>
          <w:noProof/>
          <w:sz w:val="24"/>
          <w:szCs w:val="24"/>
        </w:rPr>
      </w:pPr>
      <w:r>
        <w:rPr>
          <w:rFonts w:ascii="Times New Roman" w:hAnsi="Times New Roman"/>
          <w:noProof/>
          <w:sz w:val="24"/>
        </w:rPr>
        <w:t>Nel 2024 l'attività dell'EFRAG ha riguardato la fornitura di sostegno all'attuazione (sotto forma di "domande e risposte" e orientamenti di attuazione) alle grandi imprese soggette agli ESRS e l'elaborazione di principi di rendicontazione semplificati per le PMI.</w:t>
      </w:r>
    </w:p>
    <w:p w14:paraId="27C02F88" w14:textId="1AA12BB2" w:rsidR="0018111E" w:rsidRPr="005A46D9" w:rsidRDefault="007F5ACA" w:rsidP="002F4F3E">
      <w:pPr>
        <w:jc w:val="both"/>
        <w:rPr>
          <w:rFonts w:ascii="Times New Roman" w:hAnsi="Times New Roman"/>
          <w:noProof/>
          <w:sz w:val="24"/>
          <w:szCs w:val="24"/>
        </w:rPr>
      </w:pPr>
      <w:r>
        <w:rPr>
          <w:rFonts w:ascii="Times New Roman" w:hAnsi="Times New Roman"/>
          <w:noProof/>
          <w:sz w:val="24"/>
        </w:rPr>
        <w:t>A gennaio l'EFRAG ha tenuto una consultazione pubblica sull'elaborazione di due principi per le PMI, vale a dire una norma semplificata volta a ridurre l'onere di rendicontazione per le PMI quotate ("principio per le PMI quotate") e un principio ad uso volontario teso a sostenere le PMI non quotate nella fornitura di informazioni alle banche o ai gruppi più grandi di cui fanno parte ("principio volontario per le PMI").</w:t>
      </w:r>
    </w:p>
    <w:p w14:paraId="6F669B6E" w14:textId="1E7509DD" w:rsidR="00F00B5D" w:rsidRPr="005A46D9" w:rsidRDefault="00F00B5D" w:rsidP="002F4F3E">
      <w:pPr>
        <w:jc w:val="both"/>
        <w:rPr>
          <w:rFonts w:ascii="Times New Roman" w:hAnsi="Times New Roman" w:cs="Times New Roman"/>
          <w:noProof/>
          <w:sz w:val="24"/>
          <w:szCs w:val="24"/>
          <w:shd w:val="clear" w:color="auto" w:fill="FFFFFF"/>
        </w:rPr>
      </w:pPr>
      <w:r>
        <w:rPr>
          <w:rFonts w:ascii="Times New Roman" w:hAnsi="Times New Roman"/>
          <w:noProof/>
          <w:sz w:val="24"/>
        </w:rPr>
        <w:t>Il 2 maggio l'EFRAG e la Fondazione IFRS hanno pubblicato orientamenti sull'interoperabilità che descrivono l'allineamento di alto livello tra i principi ESRS e quelli dell'ISSB e spiegano</w:t>
      </w:r>
      <w:r>
        <w:rPr>
          <w:rFonts w:ascii="Times New Roman" w:hAnsi="Times New Roman"/>
          <w:noProof/>
          <w:sz w:val="24"/>
          <w:shd w:val="clear" w:color="auto" w:fill="FFFFFF"/>
        </w:rPr>
        <w:t xml:space="preserve"> come le imprese possono applicare entrambe le serie di principi. Gli orientamenti comprendevano anche un'analisi dettagliata dell'allineamento fra le informative relative al clima.</w:t>
      </w:r>
    </w:p>
    <w:p w14:paraId="74DDAAD6" w14:textId="5288E68E" w:rsidR="00F00B5D" w:rsidRPr="005A46D9" w:rsidRDefault="00F00B5D" w:rsidP="002F4F3E">
      <w:pPr>
        <w:jc w:val="both"/>
        <w:rPr>
          <w:rFonts w:ascii="Times New Roman" w:hAnsi="Times New Roman"/>
          <w:noProof/>
          <w:sz w:val="24"/>
          <w:szCs w:val="24"/>
        </w:rPr>
      </w:pPr>
      <w:r>
        <w:rPr>
          <w:rFonts w:ascii="Times New Roman" w:hAnsi="Times New Roman"/>
          <w:noProof/>
          <w:sz w:val="24"/>
        </w:rPr>
        <w:t>Nel mese di maggio l'EFRAG ha pubblicato tre documenti di orientamento sull'attuazione per le imprese impegnate nella preparazione della loro dichiarazione di sostenibilità conformemente agli ESRS, che comprendono la valutazione della rilevanza, l'informativa relativa alla catena del valore e la definizione di un elenco di elementi d'informazione.</w:t>
      </w:r>
    </w:p>
    <w:p w14:paraId="63752BB5" w14:textId="09A7ED0C" w:rsidR="002F4F3E" w:rsidRPr="005A46D9" w:rsidRDefault="002F4F3E" w:rsidP="002F4F3E">
      <w:pPr>
        <w:jc w:val="both"/>
        <w:rPr>
          <w:rFonts w:ascii="Times New Roman" w:hAnsi="Times New Roman"/>
          <w:noProof/>
          <w:sz w:val="24"/>
          <w:szCs w:val="24"/>
        </w:rPr>
      </w:pPr>
      <w:r>
        <w:rPr>
          <w:rFonts w:ascii="Times New Roman" w:hAnsi="Times New Roman"/>
          <w:noProof/>
          <w:sz w:val="24"/>
        </w:rPr>
        <w:t>L'EFRAG ha anche avviato i lavori su un documento di orientamento per i piani di transizione delle imprese e ha gestito la sua piattaforma di domande e risposte sugli ESRS per sostenerne l'attuazione.</w:t>
      </w:r>
    </w:p>
    <w:p w14:paraId="37010038" w14:textId="28A2D185" w:rsidR="00D31A37" w:rsidRPr="005A46D9" w:rsidRDefault="00D31A37" w:rsidP="002F4F3E">
      <w:pPr>
        <w:jc w:val="both"/>
        <w:rPr>
          <w:rFonts w:ascii="Times New Roman" w:hAnsi="Times New Roman"/>
          <w:noProof/>
          <w:sz w:val="24"/>
          <w:szCs w:val="24"/>
        </w:rPr>
      </w:pPr>
      <w:r>
        <w:rPr>
          <w:rFonts w:ascii="Times New Roman" w:hAnsi="Times New Roman"/>
          <w:noProof/>
          <w:sz w:val="24"/>
        </w:rPr>
        <w:t>Nell'agosto 2024 l'EFRAG ha trasmesso alla Commissione il suo parere tecnico sulla tassonomia digitale XBRL della prima serie di ESRS (</w:t>
      </w:r>
      <w:r>
        <w:rPr>
          <w:rFonts w:ascii="Times New Roman" w:hAnsi="Times New Roman"/>
          <w:i/>
          <w:noProof/>
          <w:sz w:val="24"/>
        </w:rPr>
        <w:t>ESRS Set 1 XBRL Taxonomy</w:t>
      </w:r>
      <w:r>
        <w:rPr>
          <w:rFonts w:ascii="Times New Roman" w:hAnsi="Times New Roman"/>
          <w:noProof/>
          <w:sz w:val="24"/>
        </w:rPr>
        <w:t>), al fine di aiutare le imprese a sottoporre a taggatura digitale le informazioni che comunicano.</w:t>
      </w:r>
    </w:p>
    <w:p w14:paraId="16B64345" w14:textId="5F009D5E" w:rsidR="00C83544" w:rsidRPr="005A46D9" w:rsidRDefault="00C83544" w:rsidP="002F4F3E">
      <w:pPr>
        <w:jc w:val="both"/>
        <w:rPr>
          <w:rFonts w:ascii="Times New Roman" w:hAnsi="Times New Roman" w:cs="Times New Roman"/>
          <w:noProof/>
          <w:sz w:val="24"/>
          <w:szCs w:val="24"/>
        </w:rPr>
      </w:pPr>
      <w:r>
        <w:rPr>
          <w:rFonts w:ascii="Times New Roman" w:hAnsi="Times New Roman"/>
          <w:noProof/>
          <w:sz w:val="24"/>
        </w:rPr>
        <w:t xml:space="preserve">A novembre l'EFRAG ha finalizzato il progetto di principio per le PMI quotate, ma </w:t>
      </w:r>
      <w:r>
        <w:rPr>
          <w:rFonts w:ascii="Times New Roman" w:hAnsi="Times New Roman"/>
          <w:noProof/>
          <w:color w:val="191818"/>
          <w:sz w:val="24"/>
          <w:shd w:val="clear" w:color="auto" w:fill="FFFFFF"/>
        </w:rPr>
        <w:t>non ha proceduto a una votazione formale, in attesa di un chiarimento politico sull'eventualità che il principio costituisca un obbligo di cui alla direttiva relativa alla rendicontazione societaria di sostenibilità a seguito dell'adozione della direttiva omnibus</w:t>
      </w:r>
      <w:r>
        <w:rPr>
          <w:rStyle w:val="FootnoteReference"/>
          <w:rFonts w:ascii="Times New Roman" w:hAnsi="Times New Roman" w:cs="Times New Roman"/>
          <w:noProof/>
          <w:color w:val="191818"/>
          <w:sz w:val="24"/>
          <w:szCs w:val="24"/>
          <w:shd w:val="clear" w:color="auto" w:fill="FFFFFF"/>
        </w:rPr>
        <w:footnoteReference w:id="7"/>
      </w:r>
      <w:r>
        <w:rPr>
          <w:rFonts w:ascii="Times New Roman" w:hAnsi="Times New Roman"/>
          <w:noProof/>
          <w:sz w:val="24"/>
        </w:rPr>
        <w:t>.</w:t>
      </w:r>
    </w:p>
    <w:p w14:paraId="187321D2" w14:textId="35A20E1E" w:rsidR="002F4F3E" w:rsidRPr="005A46D9" w:rsidRDefault="00D1425D" w:rsidP="002F4F3E">
      <w:pPr>
        <w:jc w:val="both"/>
        <w:rPr>
          <w:rFonts w:ascii="Times New Roman" w:hAnsi="Times New Roman"/>
          <w:noProof/>
          <w:sz w:val="24"/>
          <w:szCs w:val="24"/>
        </w:rPr>
      </w:pPr>
      <w:r>
        <w:rPr>
          <w:rFonts w:ascii="Times New Roman" w:hAnsi="Times New Roman"/>
          <w:noProof/>
          <w:sz w:val="24"/>
        </w:rPr>
        <w:t>A dicembre l'EFRAG ha presentato alla Commissione il progetto di principio volontario per le PMI. Date le numerose richieste, l'EFRAG ha anche iniziato a elaborare orientamenti e forme di sostegno per le PMI che intendono applicare tale principio.</w:t>
      </w:r>
    </w:p>
    <w:p w14:paraId="668981D4" w14:textId="26DA0C67" w:rsidR="005C5409" w:rsidRPr="005A46D9" w:rsidRDefault="005C5409" w:rsidP="009C695E">
      <w:pPr>
        <w:pStyle w:val="ManualHeading1"/>
        <w:spacing w:after="240"/>
        <w:rPr>
          <w:noProof/>
        </w:rPr>
      </w:pPr>
      <w:r>
        <w:rPr>
          <w:noProof/>
        </w:rPr>
        <w:t>3.4.</w:t>
      </w:r>
      <w:r>
        <w:rPr>
          <w:noProof/>
        </w:rPr>
        <w:tab/>
        <w:t>Finanziamento</w:t>
      </w:r>
    </w:p>
    <w:p w14:paraId="03FD0110" w14:textId="13A815C3" w:rsidR="007E2DA5" w:rsidRPr="005A46D9" w:rsidRDefault="007E2DA5" w:rsidP="007E2DA5">
      <w:pPr>
        <w:jc w:val="both"/>
        <w:rPr>
          <w:rFonts w:ascii="Times New Roman" w:eastAsia="Times New Roman" w:hAnsi="Times New Roman"/>
          <w:noProof/>
          <w:sz w:val="24"/>
          <w:szCs w:val="20"/>
        </w:rPr>
      </w:pPr>
      <w:r>
        <w:rPr>
          <w:rFonts w:ascii="Times New Roman" w:hAnsi="Times New Roman"/>
          <w:noProof/>
          <w:sz w:val="24"/>
        </w:rPr>
        <w:t>Per il 2024, i costi operativi complessivi dell'EFRAG sono stati pari a 15,1 milioni di EUR, che comprendono contributi in natura da terzi stimati a 3,2 milioni di EUR. I finanziamenti della Commissione, combinati ai contributi versati dalle organizzazioni aderenti all'EFRAG, hanno coperto le spese dell'associazione. Alla fine del 2024 gli utili portati a nuovo dell'EFRAG erano pari a 4,9 milioni di EUR. I contributi in natura comprendono il tempo dedicato dai membri del consiglio per l'informativa finanziaria, del consiglio sulla rendicontazione di sostenibilità e dei gruppi di esperti tecnici dell'EFRAG (ricevono un compenso in denaro solo i loro presidenti), nonché i distacchi temporanei presso il segretariato dell'EFRAG.</w:t>
      </w:r>
    </w:p>
    <w:p w14:paraId="4BDCB381" w14:textId="13E99B41" w:rsidR="005C5409" w:rsidRPr="005A46D9" w:rsidRDefault="007E2DA5" w:rsidP="005C5409">
      <w:pPr>
        <w:jc w:val="both"/>
        <w:rPr>
          <w:rFonts w:ascii="Times New Roman" w:eastAsia="Times New Roman" w:hAnsi="Times New Roman"/>
          <w:noProof/>
          <w:sz w:val="24"/>
          <w:szCs w:val="20"/>
        </w:rPr>
      </w:pPr>
      <w:r>
        <w:rPr>
          <w:rFonts w:ascii="Times New Roman" w:hAnsi="Times New Roman"/>
          <w:noProof/>
          <w:sz w:val="24"/>
        </w:rPr>
        <w:t>La Commissione ha aumentato da 6,3 a 6,6 milioni di EUR il contributo dell'UE per il 2024, suddividendolo in due sovvenzioni per azioni, una per l'informativa finanziaria (2</w:t>
      </w:r>
      <w:r w:rsidR="00EE116F">
        <w:rPr>
          <w:rFonts w:ascii="Times New Roman" w:hAnsi="Times New Roman"/>
          <w:noProof/>
          <w:sz w:val="24"/>
        </w:rPr>
        <w:t> </w:t>
      </w:r>
      <w:r>
        <w:rPr>
          <w:rFonts w:ascii="Times New Roman" w:hAnsi="Times New Roman"/>
          <w:noProof/>
          <w:sz w:val="24"/>
        </w:rPr>
        <w:t>milioni</w:t>
      </w:r>
      <w:r w:rsidR="00EE116F">
        <w:rPr>
          <w:rFonts w:ascii="Times New Roman" w:hAnsi="Times New Roman"/>
          <w:noProof/>
          <w:sz w:val="24"/>
        </w:rPr>
        <w:t> </w:t>
      </w:r>
      <w:r>
        <w:rPr>
          <w:rFonts w:ascii="Times New Roman" w:hAnsi="Times New Roman"/>
          <w:noProof/>
          <w:sz w:val="24"/>
        </w:rPr>
        <w:t>di</w:t>
      </w:r>
      <w:r w:rsidR="00EE116F">
        <w:rPr>
          <w:rFonts w:ascii="Times New Roman" w:hAnsi="Times New Roman"/>
          <w:noProof/>
          <w:sz w:val="24"/>
        </w:rPr>
        <w:t> </w:t>
      </w:r>
      <w:r>
        <w:rPr>
          <w:rFonts w:ascii="Times New Roman" w:hAnsi="Times New Roman"/>
          <w:noProof/>
          <w:sz w:val="24"/>
        </w:rPr>
        <w:t>EUR) e l'altra per la rendicontazione di sostenibilità (4,6 milioni di EUR). Ha</w:t>
      </w:r>
      <w:r w:rsidR="00EE116F">
        <w:rPr>
          <w:rFonts w:ascii="Times New Roman" w:hAnsi="Times New Roman"/>
          <w:noProof/>
          <w:sz w:val="24"/>
        </w:rPr>
        <w:t> </w:t>
      </w:r>
      <w:r>
        <w:rPr>
          <w:rFonts w:ascii="Times New Roman" w:hAnsi="Times New Roman"/>
          <w:noProof/>
          <w:sz w:val="24"/>
        </w:rPr>
        <w:t>fornito un cofinanziamento fino al 60 % delle spese ammissibili dell'EFRAG per l'informativa finanziaria e fino al 90 % delle spese ammissibili dell'EFRAG per la rendicontazione di sostenibilità. Per quanto riguarda l'informativa finanziaria i contributi in denaro sono giunti da organizzazioni di portatori di interessi europee (0,6 milioni di EUR) e da organizzazioni nazionali di Francia, Germania, Italia, Belgio, Paesi Bassi, Danimarca, Spagna, Svezia e Lussemburgo (1,6 milioni di EUR). Quanto alla rendicontazione di sostenibilità, le organizzazioni di portatori di interessi europee hanno contribuito con finanziamenti per 0,5</w:t>
      </w:r>
      <w:r w:rsidR="00EE116F">
        <w:rPr>
          <w:rFonts w:ascii="Times New Roman" w:hAnsi="Times New Roman"/>
          <w:noProof/>
          <w:sz w:val="24"/>
        </w:rPr>
        <w:t> </w:t>
      </w:r>
      <w:r>
        <w:rPr>
          <w:rFonts w:ascii="Times New Roman" w:hAnsi="Times New Roman"/>
          <w:noProof/>
          <w:sz w:val="24"/>
        </w:rPr>
        <w:t>milioni di EUR, le organizzazioni nazionali per 1 milione di EUR, gli "amici dell'EFRAG" per 0,3 milioni di EUR e le organizzazioni della società civile per 0,1 milioni di EUR.</w:t>
      </w:r>
    </w:p>
    <w:p w14:paraId="6CDF431D" w14:textId="1B83FC9E" w:rsidR="005C5409" w:rsidRPr="008C083F" w:rsidRDefault="005C5409" w:rsidP="005C5409">
      <w:pPr>
        <w:pStyle w:val="ManualHeading1"/>
        <w:rPr>
          <w:noProof/>
          <w:lang w:val="en-IE"/>
        </w:rPr>
      </w:pPr>
      <w:r w:rsidRPr="008C083F">
        <w:rPr>
          <w:noProof/>
          <w:lang w:val="en-IE"/>
        </w:rPr>
        <w:t>4.</w:t>
      </w:r>
      <w:r w:rsidRPr="008C083F">
        <w:rPr>
          <w:noProof/>
          <w:lang w:val="en-IE"/>
        </w:rPr>
        <w:tab/>
        <w:t>Public Interest Oversight Board (PIOB)</w:t>
      </w:r>
    </w:p>
    <w:p w14:paraId="4C1E94EA" w14:textId="77777777" w:rsidR="005C5409" w:rsidRPr="005A46D9" w:rsidRDefault="005C5409" w:rsidP="005C5409">
      <w:pPr>
        <w:pStyle w:val="ManualHeading1"/>
        <w:rPr>
          <w:noProof/>
        </w:rPr>
      </w:pPr>
      <w:r>
        <w:rPr>
          <w:noProof/>
        </w:rPr>
        <w:t>4.1.</w:t>
      </w:r>
      <w:r>
        <w:rPr>
          <w:noProof/>
        </w:rPr>
        <w:tab/>
        <w:t>Governance</w:t>
      </w:r>
    </w:p>
    <w:p w14:paraId="4C43A5B5" w14:textId="53610DC9" w:rsidR="005C5409" w:rsidRPr="005A46D9" w:rsidRDefault="005C5409" w:rsidP="005C5409">
      <w:pPr>
        <w:jc w:val="both"/>
        <w:rPr>
          <w:noProof/>
        </w:rPr>
      </w:pPr>
      <w:bookmarkStart w:id="4" w:name="_Hlk169708962"/>
      <w:r>
        <w:rPr>
          <w:rFonts w:ascii="Times New Roman" w:hAnsi="Times New Roman"/>
          <w:noProof/>
          <w:sz w:val="24"/>
        </w:rPr>
        <w:t>Il PIOB è l'organismo di vigilanza indipendente a livello mondiale che garantisce la qualità e l'interesse pubblico del processo di definizione dei principi internazionali in materia di revisione contabile, di certificazione e di deontologia, formulati dall'International Auditing and Assurance Standards Board (IAASB) e dall'International Ethics Standards Board for Accountants (IESBA). Il suo compito principale è garantire che lo IAASB e lo IESBA seguano l'iter procedurale nell'elaborazione di principi e strategie in linea con il quadro in materia di interesse pubblico. Dal 2022 il PIOB è responsabile della selezione e della nomina dei membri dello IAASB e dello IESBA.</w:t>
      </w:r>
    </w:p>
    <w:p w14:paraId="52679397" w14:textId="765C4185" w:rsidR="005C5409" w:rsidRPr="005A46D9" w:rsidRDefault="005C5409" w:rsidP="005C5409">
      <w:pPr>
        <w:jc w:val="both"/>
        <w:rPr>
          <w:rFonts w:ascii="Times New Roman" w:hAnsi="Times New Roman"/>
          <w:noProof/>
          <w:sz w:val="24"/>
          <w:szCs w:val="24"/>
        </w:rPr>
      </w:pPr>
      <w:bookmarkStart w:id="5" w:name="_Hlk169709028"/>
      <w:bookmarkEnd w:id="4"/>
      <w:r>
        <w:rPr>
          <w:rFonts w:ascii="Times New Roman" w:hAnsi="Times New Roman"/>
          <w:noProof/>
          <w:sz w:val="24"/>
        </w:rPr>
        <w:t>Il Monitoring Group</w:t>
      </w:r>
      <w:r>
        <w:rPr>
          <w:rStyle w:val="FootnoteReference"/>
          <w:rFonts w:ascii="Times New Roman" w:hAnsi="Times New Roman"/>
          <w:noProof/>
          <w:sz w:val="24"/>
          <w:szCs w:val="24"/>
        </w:rPr>
        <w:footnoteReference w:id="8"/>
      </w:r>
      <w:r>
        <w:rPr>
          <w:rFonts w:ascii="Times New Roman" w:hAnsi="Times New Roman"/>
          <w:noProof/>
          <w:sz w:val="24"/>
        </w:rPr>
        <w:t>, del quale la Commissione è membro, controlla le modalità con cui il PIOB assolve il suo mandato ad agire nell'interesse pubblico per quanto riguarda la vigilanza che esercita sul processo di definizione dei principi. Esso nomina i 10 membri del PIOB, ma non il presidente, che è nominato dalla IOSCO.</w:t>
      </w:r>
    </w:p>
    <w:bookmarkEnd w:id="5"/>
    <w:p w14:paraId="6A95F519" w14:textId="0829DE7E" w:rsidR="005C5409" w:rsidRPr="005A46D9" w:rsidRDefault="005C5409" w:rsidP="005C5409">
      <w:pPr>
        <w:jc w:val="both"/>
        <w:rPr>
          <w:rFonts w:ascii="Times New Roman" w:eastAsia="Times New Roman" w:hAnsi="Times New Roman"/>
          <w:b/>
          <w:smallCaps/>
          <w:noProof/>
          <w:sz w:val="24"/>
          <w:szCs w:val="20"/>
        </w:rPr>
      </w:pPr>
      <w:r>
        <w:rPr>
          <w:rFonts w:ascii="Times New Roman" w:hAnsi="Times New Roman"/>
          <w:b/>
          <w:smallCaps/>
          <w:noProof/>
          <w:sz w:val="24"/>
        </w:rPr>
        <w:t>4.2.</w:t>
      </w:r>
      <w:r>
        <w:rPr>
          <w:rFonts w:ascii="Times New Roman" w:hAnsi="Times New Roman"/>
          <w:b/>
          <w:smallCaps/>
          <w:noProof/>
          <w:sz w:val="24"/>
        </w:rPr>
        <w:tab/>
        <w:t>Attività</w:t>
      </w:r>
    </w:p>
    <w:p w14:paraId="37789EB6" w14:textId="4DF28F57" w:rsidR="00A359B8" w:rsidRPr="005A46D9" w:rsidRDefault="00C54DA2" w:rsidP="005C5409">
      <w:pPr>
        <w:jc w:val="both"/>
        <w:rPr>
          <w:rFonts w:ascii="Times New Roman" w:eastAsia="Times New Roman" w:hAnsi="Times New Roman" w:cs="Times New Roman"/>
          <w:b/>
          <w:smallCaps/>
          <w:noProof/>
          <w:sz w:val="24"/>
          <w:szCs w:val="24"/>
        </w:rPr>
      </w:pPr>
      <w:r>
        <w:rPr>
          <w:rFonts w:ascii="Times New Roman" w:hAnsi="Times New Roman"/>
          <w:noProof/>
          <w:sz w:val="24"/>
        </w:rPr>
        <w:t>Nel 2024 il PIOB ha vigilato sulle attività dello IAASB e dello IESBA. Ha approvato tre principi IESBA, un principio IAASB come pure le strategie e i piani di lavoro di entrambi gli organismi per il periodo 2024-2027. Ha pubblicato tre questioni di interesse pubblico, che sono menzionate anche in altre pubblicazioni di supporto sulla vigilanza</w:t>
      </w:r>
      <w:r>
        <w:rPr>
          <w:rStyle w:val="FootnoteReference"/>
          <w:rFonts w:ascii="Times New Roman" w:hAnsi="Times New Roman" w:cs="Times New Roman"/>
          <w:noProof/>
          <w:sz w:val="24"/>
          <w:szCs w:val="24"/>
        </w:rPr>
        <w:footnoteReference w:id="9"/>
      </w:r>
      <w:r>
        <w:rPr>
          <w:rFonts w:ascii="Times New Roman" w:hAnsi="Times New Roman"/>
          <w:noProof/>
          <w:sz w:val="24"/>
        </w:rPr>
        <w:t>.</w:t>
      </w:r>
    </w:p>
    <w:p w14:paraId="77E03EF8" w14:textId="173EA666" w:rsidR="00A359B8" w:rsidRPr="005A46D9" w:rsidRDefault="001410AF" w:rsidP="005C5409">
      <w:pPr>
        <w:jc w:val="both"/>
        <w:rPr>
          <w:rFonts w:ascii="Times New Roman" w:eastAsia="Times New Roman" w:hAnsi="Times New Roman"/>
          <w:b/>
          <w:smallCaps/>
          <w:noProof/>
          <w:sz w:val="24"/>
          <w:szCs w:val="20"/>
        </w:rPr>
      </w:pPr>
      <w:r>
        <w:rPr>
          <w:rFonts w:ascii="Times New Roman" w:hAnsi="Times New Roman"/>
          <w:noProof/>
          <w:sz w:val="24"/>
        </w:rPr>
        <w:t>Il PIOB ha completato il terzo ciclo di nomine dei membri dello IAASB e dello IESBA; questa procedura, istituita nel 2021, ha portato con successo a una composizione multipartecipativa caratterizzata da una migliore diversità geografica e di genere, in linea con le raccomandazioni del Monitoring Group.</w:t>
      </w:r>
    </w:p>
    <w:p w14:paraId="667A1396" w14:textId="71B56689" w:rsidR="005C5409" w:rsidRPr="005A46D9" w:rsidRDefault="005C5409" w:rsidP="005C5409">
      <w:pPr>
        <w:pStyle w:val="ManualHeading1"/>
        <w:rPr>
          <w:noProof/>
        </w:rPr>
      </w:pPr>
      <w:r>
        <w:rPr>
          <w:noProof/>
        </w:rPr>
        <w:t>4.3.</w:t>
      </w:r>
      <w:r>
        <w:rPr>
          <w:noProof/>
        </w:rPr>
        <w:tab/>
        <w:t>Finanziamento</w:t>
      </w:r>
    </w:p>
    <w:p w14:paraId="176F2438" w14:textId="496C3E21" w:rsidR="00971AB0" w:rsidRPr="005A46D9" w:rsidRDefault="002C1226" w:rsidP="00971AB0">
      <w:pPr>
        <w:spacing w:before="120" w:after="120"/>
        <w:jc w:val="both"/>
        <w:rPr>
          <w:rFonts w:ascii="Times New Roman" w:hAnsi="Times New Roman" w:cs="Times New Roman"/>
          <w:noProof/>
          <w:sz w:val="24"/>
          <w:szCs w:val="24"/>
        </w:rPr>
      </w:pPr>
      <w:bookmarkStart w:id="6" w:name="_Hlk169779903"/>
      <w:bookmarkStart w:id="7" w:name="_Hlk169708213"/>
      <w:r>
        <w:rPr>
          <w:rFonts w:ascii="Times New Roman" w:hAnsi="Times New Roman"/>
          <w:noProof/>
          <w:sz w:val="24"/>
        </w:rPr>
        <w:t>Per il 2024 il bilancio complessivo del PIOB ammontava a 2,5 milioni di EUR. Il PIOB ha ricevuto 18 contributi in denaro, di cui 350 000 EUR dalla Commissione europea, con un tasso di cofinanziamento massimo del 30 % delle spese ammissibili. Il governo spagnolo mette a disposizione locali per gli uffici del PIOB, per un valore di 199 928 EUR.</w:t>
      </w:r>
    </w:p>
    <w:p w14:paraId="068D695C" w14:textId="092CBD9F" w:rsidR="00E169D9" w:rsidRPr="005A46D9" w:rsidRDefault="003836DF" w:rsidP="00AB11D4">
      <w:pPr>
        <w:spacing w:before="120" w:after="120"/>
        <w:jc w:val="both"/>
        <w:rPr>
          <w:rFonts w:ascii="Times New Roman" w:hAnsi="Times New Roman" w:cs="Times New Roman"/>
          <w:noProof/>
          <w:sz w:val="24"/>
          <w:szCs w:val="24"/>
        </w:rPr>
      </w:pPr>
      <w:r>
        <w:rPr>
          <w:rFonts w:ascii="Times New Roman" w:hAnsi="Times New Roman"/>
          <w:noProof/>
          <w:sz w:val="24"/>
        </w:rPr>
        <w:t>La Federazione internazionale degli esperti contabili (IFAC) è rimasta il maggiore contributore ma, in linea con le raccomandazioni del Monitoring Group di ridurre la dipendenza della professione di revisore dal sistema di definizione dei principi di revisione, il contributo dell'IFAC è costantemente diminuito (da 1,4 milioni di EUR (63,56 %) nel 2022 a 950 000</w:t>
      </w:r>
      <w:r w:rsidR="00EE116F">
        <w:rPr>
          <w:rFonts w:ascii="Times New Roman" w:hAnsi="Times New Roman"/>
          <w:noProof/>
          <w:sz w:val="24"/>
        </w:rPr>
        <w:t> </w:t>
      </w:r>
      <w:r>
        <w:rPr>
          <w:rFonts w:ascii="Times New Roman" w:hAnsi="Times New Roman"/>
          <w:noProof/>
          <w:sz w:val="24"/>
        </w:rPr>
        <w:t xml:space="preserve">EUR (41,37 %) nel 2023, per poi scendere a 650 000 EUR (26,16 %) nel 2024). </w:t>
      </w:r>
      <w:bookmarkStart w:id="8" w:name="_Hlk169779954"/>
      <w:bookmarkEnd w:id="6"/>
      <w:r>
        <w:rPr>
          <w:rFonts w:ascii="Times New Roman" w:hAnsi="Times New Roman"/>
          <w:noProof/>
          <w:sz w:val="24"/>
        </w:rPr>
        <w:t>Nonostante le numerose iniziative volte ad attrarre enti promotori per sostituire i contributi dell'IFAC, nel 2024 il PIOB ha dovuto far fronte a un deficit di finanziamento. Il deficit è stato colmato dal Global Public Policy Committee (GPPC) – che rappresenta le sei maggiori reti internazionali di revisione contabile – grazie al pagamento di una somma una tantum di 500 000 EUR.</w:t>
      </w:r>
    </w:p>
    <w:p w14:paraId="4D725FCD" w14:textId="661448C0" w:rsidR="0021001F" w:rsidRPr="005A46D9" w:rsidRDefault="00CB7E03" w:rsidP="00AB11D4">
      <w:pPr>
        <w:spacing w:before="120" w:after="120"/>
        <w:jc w:val="both"/>
        <w:rPr>
          <w:rFonts w:ascii="Times New Roman" w:hAnsi="Times New Roman" w:cs="Times New Roman"/>
          <w:noProof/>
          <w:sz w:val="24"/>
          <w:szCs w:val="24"/>
        </w:rPr>
      </w:pPr>
      <w:r>
        <w:rPr>
          <w:rFonts w:ascii="Times New Roman" w:hAnsi="Times New Roman"/>
          <w:noProof/>
          <w:sz w:val="24"/>
        </w:rPr>
        <w:t xml:space="preserve">Il 2025 è l'ultimo anno in cui l'IFAC verserà un contributo finanziario (con un importo pari a 500 000 EUR). A meno che non si trovino altri enti promotori, il PIOB tornerà a fare i conti con una carenza di finanziamenti. È pertanto urgente che il </w:t>
      </w:r>
      <w:bookmarkStart w:id="9" w:name="_Hlk169789406"/>
      <w:bookmarkEnd w:id="7"/>
      <w:r>
        <w:rPr>
          <w:rFonts w:ascii="Times New Roman" w:hAnsi="Times New Roman"/>
          <w:noProof/>
          <w:sz w:val="24"/>
        </w:rPr>
        <w:t>Monitoring Group e il PIOB sanino il deficit di finanziamento strutturale e assicurino la sostenibilità a lungo termine delle funzioni di vigilanza e nomina del PIOB, che sono fondamentali per la qualità e l'indipendenza del sistema di definizione di principi internazionali.</w:t>
      </w:r>
    </w:p>
    <w:bookmarkEnd w:id="8"/>
    <w:bookmarkEnd w:id="9"/>
    <w:p w14:paraId="7B4F1AA1" w14:textId="46A2D6E4" w:rsidR="005C5409" w:rsidRPr="005A46D9" w:rsidRDefault="005C5409" w:rsidP="005C5409">
      <w:pPr>
        <w:pStyle w:val="ManualHeading1"/>
        <w:rPr>
          <w:rFonts w:eastAsia="Calibri"/>
          <w:noProof/>
        </w:rPr>
      </w:pPr>
      <w:r>
        <w:rPr>
          <w:noProof/>
        </w:rPr>
        <w:t>5.</w:t>
      </w:r>
      <w:r>
        <w:rPr>
          <w:noProof/>
        </w:rPr>
        <w:tab/>
        <w:t>Conclusioni</w:t>
      </w:r>
    </w:p>
    <w:p w14:paraId="789254E9" w14:textId="2D94776B" w:rsidR="000D05BC" w:rsidRPr="005A46D9" w:rsidRDefault="000D05BC" w:rsidP="00A74961">
      <w:pPr>
        <w:spacing w:before="120" w:after="120"/>
        <w:contextualSpacing/>
        <w:jc w:val="both"/>
        <w:rPr>
          <w:noProof/>
        </w:rPr>
      </w:pPr>
      <w:r>
        <w:rPr>
          <w:rFonts w:ascii="Times New Roman" w:hAnsi="Times New Roman"/>
          <w:noProof/>
          <w:sz w:val="24"/>
        </w:rPr>
        <w:t>Da molti anni l'UE contribuisce finanziariamente alla Fondazione IFRS, all'EFRAG e al PIOB. Il suo costante sostegno è stato indispensabile per tali organizzazioni e ha consentito loro di svolgere i rispettivi compiti nell'interesse pubblico, contribuendo di conseguenza all'elaborazione di principi di elevata qualità che assicurano il funzionamento efficace del mercato interno dell'UE.</w:t>
      </w:r>
    </w:p>
    <w:sectPr w:rsidR="000D05BC" w:rsidRPr="005A46D9" w:rsidSect="00387FF4">
      <w:headerReference w:type="even" r:id="rId17"/>
      <w:headerReference w:type="default" r:id="rId18"/>
      <w:footerReference w:type="even" r:id="rId19"/>
      <w:footerReference w:type="default" r:id="rId20"/>
      <w:headerReference w:type="first" r:id="rId21"/>
      <w:footerReference w:type="first" r:id="rId22"/>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CACF27" w14:textId="77777777" w:rsidR="006870D1" w:rsidRPr="005A46D9" w:rsidRDefault="006870D1" w:rsidP="00387FF4">
      <w:pPr>
        <w:spacing w:after="0" w:line="240" w:lineRule="auto"/>
      </w:pPr>
      <w:r>
        <w:separator/>
      </w:r>
    </w:p>
  </w:endnote>
  <w:endnote w:type="continuationSeparator" w:id="0">
    <w:p w14:paraId="50648E9F" w14:textId="77777777" w:rsidR="006870D1" w:rsidRPr="005A46D9" w:rsidRDefault="006870D1" w:rsidP="00387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C1D10" w14:textId="3630C70B" w:rsidR="00F40367" w:rsidRPr="00F40367" w:rsidRDefault="00F40367" w:rsidP="00F40367">
    <w:pPr>
      <w:pStyle w:val="FooterCoverPage"/>
      <w:rPr>
        <w:rFonts w:ascii="Arial" w:hAnsi="Arial" w:cs="Arial"/>
        <w:b/>
        <w:sz w:val="48"/>
      </w:rPr>
    </w:pPr>
    <w:r w:rsidRPr="00F40367">
      <w:rPr>
        <w:rFonts w:ascii="Arial" w:hAnsi="Arial" w:cs="Arial"/>
        <w:b/>
        <w:sz w:val="48"/>
      </w:rPr>
      <w:t>IT</w:t>
    </w:r>
    <w:r w:rsidRPr="00F40367">
      <w:rPr>
        <w:rFonts w:ascii="Arial" w:hAnsi="Arial" w:cs="Arial"/>
        <w:b/>
        <w:sz w:val="48"/>
      </w:rPr>
      <w:tab/>
    </w:r>
    <w:r w:rsidRPr="00F40367">
      <w:rPr>
        <w:rFonts w:ascii="Arial" w:hAnsi="Arial" w:cs="Arial"/>
        <w:b/>
        <w:sz w:val="48"/>
      </w:rPr>
      <w:tab/>
    </w:r>
    <w:r w:rsidRPr="00F40367">
      <w:tab/>
    </w:r>
    <w:r w:rsidRPr="00F40367">
      <w:rPr>
        <w:rFonts w:ascii="Arial" w:hAnsi="Arial" w:cs="Arial"/>
        <w:b/>
        <w:sz w:val="48"/>
      </w:rP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54447" w14:textId="47481167" w:rsidR="00F40367" w:rsidRPr="00F40367" w:rsidRDefault="00F40367" w:rsidP="00F40367">
    <w:pPr>
      <w:pStyle w:val="FooterCoverPage"/>
      <w:rPr>
        <w:rFonts w:ascii="Arial" w:hAnsi="Arial" w:cs="Arial"/>
        <w:b/>
        <w:sz w:val="48"/>
      </w:rPr>
    </w:pPr>
    <w:r w:rsidRPr="00F40367">
      <w:rPr>
        <w:rFonts w:ascii="Arial" w:hAnsi="Arial" w:cs="Arial"/>
        <w:b/>
        <w:sz w:val="48"/>
      </w:rPr>
      <w:t>IT</w:t>
    </w:r>
    <w:r w:rsidRPr="00F40367">
      <w:rPr>
        <w:rFonts w:ascii="Arial" w:hAnsi="Arial" w:cs="Arial"/>
        <w:b/>
        <w:sz w:val="48"/>
      </w:rPr>
      <w:tab/>
    </w:r>
    <w:r w:rsidRPr="00F40367">
      <w:rPr>
        <w:rFonts w:ascii="Arial" w:hAnsi="Arial" w:cs="Arial"/>
        <w:b/>
        <w:sz w:val="48"/>
      </w:rPr>
      <w:tab/>
    </w:r>
    <w:r w:rsidRPr="00F40367">
      <w:tab/>
    </w:r>
    <w:r w:rsidRPr="00F40367">
      <w:rPr>
        <w:rFonts w:ascii="Arial" w:hAnsi="Arial" w:cs="Arial"/>
        <w:b/>
        <w:sz w:val="48"/>
      </w:rPr>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8124E" w14:textId="77777777" w:rsidR="00F40367" w:rsidRPr="00F40367" w:rsidRDefault="00F40367" w:rsidP="00F4036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F0241" w14:textId="77777777" w:rsidR="00387FF4" w:rsidRPr="005A46D9" w:rsidRDefault="00387F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770512"/>
      <w:docPartObj>
        <w:docPartGallery w:val="Page Numbers (Bottom of Page)"/>
        <w:docPartUnique/>
      </w:docPartObj>
    </w:sdtPr>
    <w:sdtEndPr/>
    <w:sdtContent>
      <w:p w14:paraId="3E2E7FF5" w14:textId="3EC4A02D" w:rsidR="00A44990" w:rsidRPr="005A46D9" w:rsidRDefault="00A44990">
        <w:pPr>
          <w:pStyle w:val="Footer"/>
          <w:jc w:val="right"/>
        </w:pPr>
        <w:r>
          <w:fldChar w:fldCharType="begin"/>
        </w:r>
        <w:r>
          <w:instrText xml:space="preserve"> PAGE   \* MERGEFORMAT </w:instrText>
        </w:r>
        <w:r>
          <w:fldChar w:fldCharType="separate"/>
        </w:r>
        <w:r w:rsidR="00F40367">
          <w:rPr>
            <w:noProof/>
          </w:rPr>
          <w:t>2</w:t>
        </w:r>
        <w:r>
          <w:fldChar w:fldCharType="end"/>
        </w:r>
      </w:p>
    </w:sdtContent>
  </w:sdt>
  <w:p w14:paraId="2F6D35B0" w14:textId="77777777" w:rsidR="00387FF4" w:rsidRPr="005A46D9" w:rsidRDefault="00387F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98E83" w14:textId="77777777" w:rsidR="00387FF4" w:rsidRPr="005A46D9" w:rsidRDefault="0038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9006FD" w14:textId="77777777" w:rsidR="006870D1" w:rsidRPr="005A46D9" w:rsidRDefault="006870D1" w:rsidP="00387FF4">
      <w:pPr>
        <w:spacing w:after="0" w:line="240" w:lineRule="auto"/>
      </w:pPr>
      <w:r>
        <w:separator/>
      </w:r>
    </w:p>
  </w:footnote>
  <w:footnote w:type="continuationSeparator" w:id="0">
    <w:p w14:paraId="0450BEEC" w14:textId="77777777" w:rsidR="006870D1" w:rsidRPr="005A46D9" w:rsidRDefault="006870D1" w:rsidP="00387FF4">
      <w:pPr>
        <w:spacing w:after="0" w:line="240" w:lineRule="auto"/>
      </w:pPr>
      <w:r>
        <w:continuationSeparator/>
      </w:r>
    </w:p>
  </w:footnote>
  <w:footnote w:id="1">
    <w:p w14:paraId="179A6316" w14:textId="6B2D483A" w:rsidR="005C5409" w:rsidRPr="005A46D9" w:rsidRDefault="005C5409" w:rsidP="00EE116F">
      <w:pPr>
        <w:pStyle w:val="footnotetext1"/>
        <w:jc w:val="both"/>
        <w:rPr>
          <w:rFonts w:ascii="Times New Roman" w:hAnsi="Times New Roman"/>
          <w:sz w:val="18"/>
          <w:szCs w:val="18"/>
        </w:rPr>
      </w:pPr>
      <w:r>
        <w:rPr>
          <w:rStyle w:val="FootnoteReference"/>
          <w:rFonts w:ascii="Times New Roman" w:hAnsi="Times New Roman"/>
          <w:sz w:val="18"/>
          <w:lang w:val="en-GB"/>
        </w:rPr>
        <w:footnoteRef/>
      </w:r>
      <w:r w:rsidR="00EE116F">
        <w:t xml:space="preserve"> </w:t>
      </w:r>
      <w:r>
        <w:rPr>
          <w:rFonts w:ascii="Times New Roman" w:hAnsi="Times New Roman"/>
          <w:sz w:val="18"/>
        </w:rPr>
        <w:t>Regolamento (UE) 2021/690 che istituisce il programma relativo al mercato interno e alla competitività delle imprese (GU</w:t>
      </w:r>
      <w:r w:rsidR="00EE116F">
        <w:rPr>
          <w:rFonts w:ascii="Times New Roman" w:hAnsi="Times New Roman"/>
          <w:sz w:val="18"/>
        </w:rPr>
        <w:t> </w:t>
      </w:r>
      <w:r>
        <w:rPr>
          <w:rFonts w:ascii="Times New Roman" w:hAnsi="Times New Roman"/>
          <w:sz w:val="18"/>
        </w:rPr>
        <w:t>L</w:t>
      </w:r>
      <w:r w:rsidR="00EE116F">
        <w:rPr>
          <w:rFonts w:ascii="Times New Roman" w:hAnsi="Times New Roman"/>
          <w:sz w:val="18"/>
        </w:rPr>
        <w:t> </w:t>
      </w:r>
      <w:r>
        <w:rPr>
          <w:rFonts w:ascii="Times New Roman" w:hAnsi="Times New Roman"/>
          <w:sz w:val="18"/>
        </w:rPr>
        <w:t>153 del 3.5.2021, pag. 1, ELI: http://data.europa.eu/eli/reg/2021/690/oj).</w:t>
      </w:r>
    </w:p>
  </w:footnote>
  <w:footnote w:id="2">
    <w:p w14:paraId="53643AEC" w14:textId="645D349D" w:rsidR="00C435E8" w:rsidRPr="005A46D9" w:rsidRDefault="00C435E8" w:rsidP="008E1AF0">
      <w:pPr>
        <w:pStyle w:val="FootnoteText"/>
        <w:jc w:val="both"/>
      </w:pPr>
      <w:r>
        <w:rPr>
          <w:rStyle w:val="FootnoteReference"/>
        </w:rPr>
        <w:footnoteRef/>
      </w:r>
      <w:r>
        <w:t xml:space="preserve"> </w:t>
      </w:r>
      <w:r>
        <w:rPr>
          <w:rFonts w:ascii="Times New Roman" w:hAnsi="Times New Roman"/>
          <w:sz w:val="18"/>
        </w:rPr>
        <w:t>Allegato I della decisione di esecuzione C(2024) 5420 della Commissione che modifica la decisione di esecuzione C(2023) 8926 per quanto riguarda l'attuazione di determinate azioni nell'ambito del programma per il mercato unico.</w:t>
      </w:r>
    </w:p>
  </w:footnote>
  <w:footnote w:id="3">
    <w:p w14:paraId="30424954" w14:textId="422F5CC6" w:rsidR="005C5409" w:rsidRPr="005A46D9" w:rsidRDefault="005C5409" w:rsidP="00EE116F">
      <w:pPr>
        <w:pStyle w:val="FootnoteText"/>
        <w:jc w:val="both"/>
      </w:pPr>
      <w:r>
        <w:rPr>
          <w:rStyle w:val="FootnoteReference"/>
          <w:rFonts w:ascii="Times New Roman" w:hAnsi="Times New Roman"/>
          <w:sz w:val="18"/>
        </w:rPr>
        <w:footnoteRef/>
      </w:r>
      <w:r>
        <w:t xml:space="preserve"> </w:t>
      </w:r>
      <w:r>
        <w:rPr>
          <w:rFonts w:ascii="Times New Roman" w:hAnsi="Times New Roman"/>
          <w:sz w:val="18"/>
        </w:rPr>
        <w:t>Regolamento (CE) n. 1606/2002 del Parlamento europeo e del Consiglio relativo all'applicazione di principi contabili internazionali (GU L 243 dell'11.9.2002, pag. 1, ELI: </w:t>
      </w:r>
      <w:hyperlink r:id="rId1" w:tooltip="Il link dà accesso al documento tramite il relativo URI ELI." w:history="1">
        <w:r>
          <w:rPr>
            <w:rStyle w:val="Hyperlink"/>
            <w:rFonts w:ascii="Times New Roman" w:hAnsi="Times New Roman"/>
            <w:sz w:val="18"/>
          </w:rPr>
          <w:t>http://data.europa.eu/eli/reg/2002/1606/oj</w:t>
        </w:r>
      </w:hyperlink>
      <w:r>
        <w:rPr>
          <w:rFonts w:ascii="Times New Roman" w:hAnsi="Times New Roman"/>
          <w:sz w:val="18"/>
        </w:rPr>
        <w:t>).</w:t>
      </w:r>
    </w:p>
  </w:footnote>
  <w:footnote w:id="4">
    <w:p w14:paraId="01537EFD" w14:textId="65CCA98D" w:rsidR="005C5409" w:rsidRPr="005A46D9" w:rsidRDefault="005C5409" w:rsidP="005C5409">
      <w:pPr>
        <w:pStyle w:val="FootnoteText"/>
        <w:ind w:left="142" w:hanging="142"/>
      </w:pPr>
      <w:r>
        <w:rPr>
          <w:rStyle w:val="FootnoteReference"/>
        </w:rPr>
        <w:footnoteRef/>
      </w:r>
      <w:r>
        <w:t xml:space="preserve"> </w:t>
      </w:r>
      <w:r>
        <w:rPr>
          <w:rFonts w:ascii="Times New Roman" w:hAnsi="Times New Roman"/>
          <w:sz w:val="18"/>
        </w:rPr>
        <w:t>La tassonomia IFRS contribuisce al formato elettronico unico europeo di cui al regolamento delegato (UE) 2019/815 della Commissione.</w:t>
      </w:r>
    </w:p>
  </w:footnote>
  <w:footnote w:id="5">
    <w:p w14:paraId="31DC0D91" w14:textId="228A0046" w:rsidR="005C5409" w:rsidRPr="005A46D9" w:rsidRDefault="005C5409" w:rsidP="00EE116F">
      <w:pPr>
        <w:pStyle w:val="FootnoteText"/>
        <w:jc w:val="both"/>
        <w:rPr>
          <w:rFonts w:ascii="Times New Roman" w:hAnsi="Times New Roman"/>
          <w:sz w:val="18"/>
          <w:szCs w:val="18"/>
        </w:rPr>
      </w:pPr>
      <w:r>
        <w:rPr>
          <w:rStyle w:val="FootnoteReference"/>
          <w:rFonts w:ascii="Times New Roman" w:hAnsi="Times New Roman"/>
          <w:sz w:val="18"/>
        </w:rPr>
        <w:footnoteRef/>
      </w:r>
      <w:r w:rsidR="00EE116F">
        <w:rPr>
          <w:rFonts w:ascii="Times New Roman" w:hAnsi="Times New Roman"/>
          <w:sz w:val="18"/>
        </w:rPr>
        <w:t> </w:t>
      </w:r>
      <w:r>
        <w:rPr>
          <w:rFonts w:ascii="Times New Roman" w:hAnsi="Times New Roman"/>
          <w:sz w:val="18"/>
        </w:rPr>
        <w:t xml:space="preserve">Piano di lavoro della Fondazione IFRS: </w:t>
      </w:r>
      <w:hyperlink r:id="rId2" w:history="1">
        <w:r>
          <w:rPr>
            <w:rStyle w:val="Hyperlink"/>
            <w:rFonts w:ascii="Times New Roman" w:hAnsi="Times New Roman"/>
            <w:sz w:val="18"/>
          </w:rPr>
          <w:t>https://www.ifrs.org/projects/work-plan/</w:t>
        </w:r>
      </w:hyperlink>
      <w:r>
        <w:rPr>
          <w:rFonts w:ascii="Times New Roman" w:hAnsi="Times New Roman"/>
          <w:sz w:val="18"/>
        </w:rPr>
        <w:t xml:space="preserve">; progetti completati: </w:t>
      </w:r>
      <w:hyperlink r:id="rId3" w:history="1">
        <w:r>
          <w:rPr>
            <w:rStyle w:val="Hyperlink"/>
            <w:rFonts w:ascii="Times New Roman" w:hAnsi="Times New Roman"/>
            <w:sz w:val="18"/>
          </w:rPr>
          <w:t>https://www.ifrs.org/projects/completed-projects/</w:t>
        </w:r>
      </w:hyperlink>
      <w:r>
        <w:rPr>
          <w:rFonts w:ascii="Times New Roman" w:hAnsi="Times New Roman"/>
          <w:sz w:val="18"/>
        </w:rPr>
        <w:t>.</w:t>
      </w:r>
    </w:p>
  </w:footnote>
  <w:footnote w:id="6">
    <w:p w14:paraId="025003D4" w14:textId="005101B9" w:rsidR="00794AE3" w:rsidRPr="005A46D9" w:rsidRDefault="00794AE3" w:rsidP="00794AE3">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Direttiva (UE) 2022/2464 del Parlamento europeo e del Consiglio, del 14 dicembre 2022, che modifica il regolamento (UE) n. 537/2014, la direttiva 2004/109/CE, la direttiva 2006/43/CE e la direttiva 2013/34/UE per quanto riguarda la rendicontazione societaria di sostenibilità (GU L 322 del 16.12.2022, pag. 15, ELI: http://data.europa.eu/eli/dir/2022/2464/oj).</w:t>
      </w:r>
    </w:p>
  </w:footnote>
  <w:footnote w:id="7">
    <w:p w14:paraId="732872FE" w14:textId="66BA1022" w:rsidR="00FA237D" w:rsidRPr="00EE116F" w:rsidRDefault="00FA237D" w:rsidP="00EE116F">
      <w:pPr>
        <w:pStyle w:val="FootnoteText"/>
        <w:jc w:val="both"/>
        <w:rPr>
          <w:rFonts w:ascii="Times New Roman" w:hAnsi="Times New Roman"/>
          <w:sz w:val="18"/>
          <w:szCs w:val="18"/>
        </w:rPr>
      </w:pPr>
      <w:r>
        <w:rPr>
          <w:rStyle w:val="FootnoteReference"/>
          <w:rFonts w:ascii="Times New Roman" w:hAnsi="Times New Roman"/>
          <w:sz w:val="18"/>
          <w:szCs w:val="18"/>
        </w:rPr>
        <w:footnoteRef/>
      </w:r>
      <w:r w:rsidR="00EE116F">
        <w:rPr>
          <w:rFonts w:ascii="Times New Roman" w:hAnsi="Times New Roman"/>
          <w:sz w:val="18"/>
        </w:rPr>
        <w:t xml:space="preserve"> </w:t>
      </w:r>
      <w:r>
        <w:rPr>
          <w:rFonts w:ascii="Times New Roman" w:hAnsi="Times New Roman"/>
          <w:sz w:val="18"/>
        </w:rPr>
        <w:t xml:space="preserve">Il 26 febbraio 2025 la Commissione ha adottato il pacchetto Omnibus I, comprendente due proposte di modifica, tra l'altro, della direttiva relativa alla rendicontazione societaria di sostenibilità (COM(2025) 80 e COM(2025) 81), </w:t>
      </w:r>
      <w:hyperlink r:id="rId4" w:history="1">
        <w:r>
          <w:rPr>
            <w:rFonts w:ascii="Times New Roman" w:hAnsi="Times New Roman"/>
            <w:color w:val="0000FF"/>
            <w:sz w:val="18"/>
            <w:u w:val="single"/>
          </w:rPr>
          <w:t>Omnibus I – Commissione europea</w:t>
        </w:r>
      </w:hyperlink>
      <w:r>
        <w:t>.</w:t>
      </w:r>
    </w:p>
  </w:footnote>
  <w:footnote w:id="8">
    <w:p w14:paraId="1D2AB21B" w14:textId="2920757B" w:rsidR="003226D6" w:rsidRPr="008C083F" w:rsidRDefault="003226D6">
      <w:pPr>
        <w:pStyle w:val="FootnoteText"/>
        <w:rPr>
          <w:lang w:val="en-IE"/>
        </w:rPr>
      </w:pPr>
      <w:r>
        <w:rPr>
          <w:rStyle w:val="FootnoteReference"/>
        </w:rPr>
        <w:footnoteRef/>
      </w:r>
      <w:r w:rsidRPr="008C083F">
        <w:rPr>
          <w:lang w:val="en-IE"/>
        </w:rPr>
        <w:t xml:space="preserve"> </w:t>
      </w:r>
      <w:hyperlink r:id="rId5" w:history="1">
        <w:r w:rsidRPr="008C083F">
          <w:rPr>
            <w:rFonts w:ascii="Times New Roman" w:hAnsi="Times New Roman"/>
            <w:color w:val="0000FF"/>
            <w:sz w:val="18"/>
            <w:u w:val="single"/>
            <w:lang w:val="en-IE"/>
          </w:rPr>
          <w:t>The Monitoring Group (iosco.org)</w:t>
        </w:r>
      </w:hyperlink>
      <w:r w:rsidRPr="008C083F">
        <w:rPr>
          <w:lang w:val="en-IE"/>
        </w:rPr>
        <w:t>.</w:t>
      </w:r>
    </w:p>
  </w:footnote>
  <w:footnote w:id="9">
    <w:p w14:paraId="6A98CAB4" w14:textId="70735B88" w:rsidR="00506CA9" w:rsidRPr="005A46D9" w:rsidRDefault="00506CA9" w:rsidP="00EE116F">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Il 14 luglio 2025 il PIOB ha pubblicato la sua 20</w:t>
      </w:r>
      <w:r>
        <w:rPr>
          <w:rFonts w:ascii="Times New Roman" w:hAnsi="Times New Roman"/>
          <w:sz w:val="18"/>
          <w:vertAlign w:val="superscript"/>
        </w:rPr>
        <w:t>a</w:t>
      </w:r>
      <w:r>
        <w:rPr>
          <w:rFonts w:ascii="Times New Roman" w:hAnsi="Times New Roman"/>
          <w:sz w:val="18"/>
        </w:rPr>
        <w:t xml:space="preserve"> relazione pubblica annuale (per l'anno 2024) sul proprio sito web: https://ipiob.org/.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C878B" w14:textId="77777777" w:rsidR="00F40367" w:rsidRPr="00F40367" w:rsidRDefault="00F40367" w:rsidP="00F4036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8F680" w14:textId="77777777" w:rsidR="00F40367" w:rsidRPr="00F40367" w:rsidRDefault="00F40367" w:rsidP="00F4036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79ADC" w14:textId="77777777" w:rsidR="00F40367" w:rsidRPr="00F40367" w:rsidRDefault="00F40367" w:rsidP="00F4036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3F439" w14:textId="77777777" w:rsidR="00387FF4" w:rsidRPr="005A46D9" w:rsidRDefault="00387F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A5B84" w14:textId="77777777" w:rsidR="00387FF4" w:rsidRPr="005A46D9" w:rsidRDefault="00387F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F472A" w14:textId="77777777" w:rsidR="00387FF4" w:rsidRPr="005A46D9" w:rsidRDefault="00387F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632DD"/>
    <w:multiLevelType w:val="multilevel"/>
    <w:tmpl w:val="ED3C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343CB2"/>
    <w:multiLevelType w:val="multilevel"/>
    <w:tmpl w:val="850C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7A3B066-0AF8-4F2E-ABDD-3660A6993461"/>
    <w:docVar w:name="LW_COVERPAGE_TYPE" w:val="1"/>
    <w:docVar w:name="LW_CROSSREFERENCE" w:val="&lt;UNUSED&gt;"/>
    <w:docVar w:name="LW_DocType" w:val="NORMAL"/>
    <w:docVar w:name="LW_EMISSION" w:val="15.12.2025"/>
    <w:docVar w:name="LW_EMISSION_ISODATE" w:val="2025-12-15"/>
    <w:docVar w:name="LW_EMISSION_LOCATION" w:val="BRX"/>
    <w:docVar w:name="LW_EMISSION_PREFIX" w:val="Bruxelles, "/>
    <w:docVar w:name="LW_EMISSION_SUFFIX" w:val=" "/>
    <w:docVar w:name="LW_ID_DOCTYPE_NONLW" w:val="CP-006"/>
    <w:docVar w:name="LW_LANGUE" w:val="IT"/>
    <w:docVar w:name="LW_LEVEL_OF_SENSITIVITY" w:val="Standard treatmen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25) 7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lle attività della Fondazione IFRS, dell'EFRAG e del PIOB nel 2024"/>
    <w:docVar w:name="LW_TYPE.DOC.CP" w:val="RELAZIONE DELLA COMMISSIONE AL PARLAMENTO EUROPEO E AL CONSIGLIO"/>
    <w:docVar w:name="LwApiVersions" w:val="LW4CoDe 1.24.5.0; LW 9.2, Build 20251112"/>
  </w:docVars>
  <w:rsids>
    <w:rsidRoot w:val="00387FF4"/>
    <w:rsid w:val="00005C4A"/>
    <w:rsid w:val="00005E93"/>
    <w:rsid w:val="00010453"/>
    <w:rsid w:val="0001487E"/>
    <w:rsid w:val="0001497F"/>
    <w:rsid w:val="00015FC8"/>
    <w:rsid w:val="00023756"/>
    <w:rsid w:val="00026AA5"/>
    <w:rsid w:val="00030570"/>
    <w:rsid w:val="000437C2"/>
    <w:rsid w:val="0004681C"/>
    <w:rsid w:val="000538F0"/>
    <w:rsid w:val="00064F0F"/>
    <w:rsid w:val="00071D45"/>
    <w:rsid w:val="00071DE6"/>
    <w:rsid w:val="000732DA"/>
    <w:rsid w:val="00075550"/>
    <w:rsid w:val="00081273"/>
    <w:rsid w:val="00091706"/>
    <w:rsid w:val="000A0BF9"/>
    <w:rsid w:val="000A1565"/>
    <w:rsid w:val="000A35BD"/>
    <w:rsid w:val="000B26A1"/>
    <w:rsid w:val="000C16EB"/>
    <w:rsid w:val="000D05BC"/>
    <w:rsid w:val="000D0B8B"/>
    <w:rsid w:val="000D1967"/>
    <w:rsid w:val="000D278B"/>
    <w:rsid w:val="000D3872"/>
    <w:rsid w:val="000D5330"/>
    <w:rsid w:val="000D5CD6"/>
    <w:rsid w:val="000E7FD4"/>
    <w:rsid w:val="000F0C74"/>
    <w:rsid w:val="000F2714"/>
    <w:rsid w:val="000F2EAA"/>
    <w:rsid w:val="000F320C"/>
    <w:rsid w:val="000F655B"/>
    <w:rsid w:val="0010589F"/>
    <w:rsid w:val="00107559"/>
    <w:rsid w:val="00110F46"/>
    <w:rsid w:val="0011219B"/>
    <w:rsid w:val="00113402"/>
    <w:rsid w:val="0011618A"/>
    <w:rsid w:val="001213A8"/>
    <w:rsid w:val="001233BD"/>
    <w:rsid w:val="001331DA"/>
    <w:rsid w:val="00136821"/>
    <w:rsid w:val="00136EA6"/>
    <w:rsid w:val="001410AF"/>
    <w:rsid w:val="0014170F"/>
    <w:rsid w:val="00143EBD"/>
    <w:rsid w:val="00152C00"/>
    <w:rsid w:val="001550C7"/>
    <w:rsid w:val="0016408B"/>
    <w:rsid w:val="001721E8"/>
    <w:rsid w:val="001809C4"/>
    <w:rsid w:val="0018111E"/>
    <w:rsid w:val="00185C46"/>
    <w:rsid w:val="0018735E"/>
    <w:rsid w:val="00191712"/>
    <w:rsid w:val="001971A4"/>
    <w:rsid w:val="001A53B1"/>
    <w:rsid w:val="001A7A2D"/>
    <w:rsid w:val="001B6278"/>
    <w:rsid w:val="001C185A"/>
    <w:rsid w:val="001C3FFA"/>
    <w:rsid w:val="001C520E"/>
    <w:rsid w:val="001C673D"/>
    <w:rsid w:val="001C7770"/>
    <w:rsid w:val="001D0B10"/>
    <w:rsid w:val="001D167C"/>
    <w:rsid w:val="001D4A9F"/>
    <w:rsid w:val="001D4FAA"/>
    <w:rsid w:val="001D768B"/>
    <w:rsid w:val="001E2895"/>
    <w:rsid w:val="001F03C5"/>
    <w:rsid w:val="001F7EF5"/>
    <w:rsid w:val="002002B0"/>
    <w:rsid w:val="00200CA7"/>
    <w:rsid w:val="002039F4"/>
    <w:rsid w:val="0021001F"/>
    <w:rsid w:val="002109B9"/>
    <w:rsid w:val="00212562"/>
    <w:rsid w:val="00214176"/>
    <w:rsid w:val="00220DA3"/>
    <w:rsid w:val="00222D55"/>
    <w:rsid w:val="00226AA8"/>
    <w:rsid w:val="00234B99"/>
    <w:rsid w:val="00235536"/>
    <w:rsid w:val="00235EB8"/>
    <w:rsid w:val="002364D4"/>
    <w:rsid w:val="0025298B"/>
    <w:rsid w:val="002532B6"/>
    <w:rsid w:val="00254B7C"/>
    <w:rsid w:val="00255A60"/>
    <w:rsid w:val="00256BD3"/>
    <w:rsid w:val="002633FE"/>
    <w:rsid w:val="0028360C"/>
    <w:rsid w:val="00283D1F"/>
    <w:rsid w:val="00285525"/>
    <w:rsid w:val="0028561C"/>
    <w:rsid w:val="00285E05"/>
    <w:rsid w:val="00294106"/>
    <w:rsid w:val="00294685"/>
    <w:rsid w:val="00295408"/>
    <w:rsid w:val="00295B4A"/>
    <w:rsid w:val="002A13CB"/>
    <w:rsid w:val="002A34E7"/>
    <w:rsid w:val="002A3E0F"/>
    <w:rsid w:val="002A7D89"/>
    <w:rsid w:val="002B29FF"/>
    <w:rsid w:val="002B2CC7"/>
    <w:rsid w:val="002B641B"/>
    <w:rsid w:val="002B6D0F"/>
    <w:rsid w:val="002B7AD3"/>
    <w:rsid w:val="002C1226"/>
    <w:rsid w:val="002C219D"/>
    <w:rsid w:val="002C491C"/>
    <w:rsid w:val="002D516D"/>
    <w:rsid w:val="002E5AC4"/>
    <w:rsid w:val="002E6FC3"/>
    <w:rsid w:val="002F4CDF"/>
    <w:rsid w:val="002F4F3E"/>
    <w:rsid w:val="002F7AB8"/>
    <w:rsid w:val="00306B1C"/>
    <w:rsid w:val="0031040E"/>
    <w:rsid w:val="00313B89"/>
    <w:rsid w:val="0031520C"/>
    <w:rsid w:val="003166E3"/>
    <w:rsid w:val="00317A8D"/>
    <w:rsid w:val="003226D6"/>
    <w:rsid w:val="0032727F"/>
    <w:rsid w:val="003274AE"/>
    <w:rsid w:val="00330B74"/>
    <w:rsid w:val="003413A9"/>
    <w:rsid w:val="00343E1C"/>
    <w:rsid w:val="00344220"/>
    <w:rsid w:val="00345A21"/>
    <w:rsid w:val="00354FA3"/>
    <w:rsid w:val="003565FE"/>
    <w:rsid w:val="00363784"/>
    <w:rsid w:val="00370E61"/>
    <w:rsid w:val="0037360D"/>
    <w:rsid w:val="00375AE7"/>
    <w:rsid w:val="00377029"/>
    <w:rsid w:val="003836DF"/>
    <w:rsid w:val="00387FF4"/>
    <w:rsid w:val="0039170E"/>
    <w:rsid w:val="00393F27"/>
    <w:rsid w:val="003A0504"/>
    <w:rsid w:val="003A1B2C"/>
    <w:rsid w:val="003A41EA"/>
    <w:rsid w:val="003B31AF"/>
    <w:rsid w:val="003B3E83"/>
    <w:rsid w:val="003C021C"/>
    <w:rsid w:val="003C1A0E"/>
    <w:rsid w:val="003C21DD"/>
    <w:rsid w:val="003D10CF"/>
    <w:rsid w:val="003D46CB"/>
    <w:rsid w:val="003D6A7A"/>
    <w:rsid w:val="003E0891"/>
    <w:rsid w:val="003E365E"/>
    <w:rsid w:val="003E37FD"/>
    <w:rsid w:val="003F040A"/>
    <w:rsid w:val="003F64E3"/>
    <w:rsid w:val="00400C72"/>
    <w:rsid w:val="00411DF1"/>
    <w:rsid w:val="004138BB"/>
    <w:rsid w:val="00415D5E"/>
    <w:rsid w:val="00416513"/>
    <w:rsid w:val="00416B93"/>
    <w:rsid w:val="00417862"/>
    <w:rsid w:val="00422085"/>
    <w:rsid w:val="004272BF"/>
    <w:rsid w:val="00427407"/>
    <w:rsid w:val="00432C77"/>
    <w:rsid w:val="004366FE"/>
    <w:rsid w:val="00441EFB"/>
    <w:rsid w:val="00442970"/>
    <w:rsid w:val="004502AF"/>
    <w:rsid w:val="00454049"/>
    <w:rsid w:val="004540BD"/>
    <w:rsid w:val="0046089D"/>
    <w:rsid w:val="00460E33"/>
    <w:rsid w:val="0046175A"/>
    <w:rsid w:val="0046533F"/>
    <w:rsid w:val="0046544D"/>
    <w:rsid w:val="00467B56"/>
    <w:rsid w:val="004762EF"/>
    <w:rsid w:val="00477CE0"/>
    <w:rsid w:val="00480EFE"/>
    <w:rsid w:val="00481914"/>
    <w:rsid w:val="004845AC"/>
    <w:rsid w:val="00484AFB"/>
    <w:rsid w:val="00484C0A"/>
    <w:rsid w:val="00487773"/>
    <w:rsid w:val="00493D66"/>
    <w:rsid w:val="004A00D1"/>
    <w:rsid w:val="004A0129"/>
    <w:rsid w:val="004A1231"/>
    <w:rsid w:val="004A55FC"/>
    <w:rsid w:val="004B19B1"/>
    <w:rsid w:val="004B295A"/>
    <w:rsid w:val="004B50F0"/>
    <w:rsid w:val="004B7933"/>
    <w:rsid w:val="004C0D76"/>
    <w:rsid w:val="004C538E"/>
    <w:rsid w:val="004D1184"/>
    <w:rsid w:val="004E52CD"/>
    <w:rsid w:val="004E6612"/>
    <w:rsid w:val="004F1CA0"/>
    <w:rsid w:val="004F2E06"/>
    <w:rsid w:val="004F3947"/>
    <w:rsid w:val="004F45AA"/>
    <w:rsid w:val="004F6A59"/>
    <w:rsid w:val="00502334"/>
    <w:rsid w:val="00505A2D"/>
    <w:rsid w:val="0050636F"/>
    <w:rsid w:val="00506CA9"/>
    <w:rsid w:val="0051378D"/>
    <w:rsid w:val="00515576"/>
    <w:rsid w:val="00515FF3"/>
    <w:rsid w:val="00516A1A"/>
    <w:rsid w:val="00520825"/>
    <w:rsid w:val="0053511A"/>
    <w:rsid w:val="005353B1"/>
    <w:rsid w:val="00535E2B"/>
    <w:rsid w:val="00546286"/>
    <w:rsid w:val="00546824"/>
    <w:rsid w:val="00546908"/>
    <w:rsid w:val="005526A8"/>
    <w:rsid w:val="00552975"/>
    <w:rsid w:val="00554957"/>
    <w:rsid w:val="00557142"/>
    <w:rsid w:val="005619C6"/>
    <w:rsid w:val="00564289"/>
    <w:rsid w:val="00565798"/>
    <w:rsid w:val="0056718A"/>
    <w:rsid w:val="0057631C"/>
    <w:rsid w:val="005779DB"/>
    <w:rsid w:val="00580592"/>
    <w:rsid w:val="00582854"/>
    <w:rsid w:val="00590562"/>
    <w:rsid w:val="00597101"/>
    <w:rsid w:val="005976DC"/>
    <w:rsid w:val="005A0504"/>
    <w:rsid w:val="005A32BA"/>
    <w:rsid w:val="005A46D9"/>
    <w:rsid w:val="005A5E1C"/>
    <w:rsid w:val="005B027A"/>
    <w:rsid w:val="005B1C08"/>
    <w:rsid w:val="005B6E84"/>
    <w:rsid w:val="005C1066"/>
    <w:rsid w:val="005C35E0"/>
    <w:rsid w:val="005C5409"/>
    <w:rsid w:val="005C7E9D"/>
    <w:rsid w:val="005D14A1"/>
    <w:rsid w:val="005E1C4C"/>
    <w:rsid w:val="005E37B4"/>
    <w:rsid w:val="005E7A18"/>
    <w:rsid w:val="00600DFD"/>
    <w:rsid w:val="00605D22"/>
    <w:rsid w:val="00610252"/>
    <w:rsid w:val="0061126B"/>
    <w:rsid w:val="00611353"/>
    <w:rsid w:val="00616F2D"/>
    <w:rsid w:val="006208EE"/>
    <w:rsid w:val="0063137F"/>
    <w:rsid w:val="00632B1E"/>
    <w:rsid w:val="00632D96"/>
    <w:rsid w:val="0065591E"/>
    <w:rsid w:val="00656861"/>
    <w:rsid w:val="00657D6D"/>
    <w:rsid w:val="00660B18"/>
    <w:rsid w:val="00664C50"/>
    <w:rsid w:val="00666CA4"/>
    <w:rsid w:val="006725FE"/>
    <w:rsid w:val="00680177"/>
    <w:rsid w:val="006814E4"/>
    <w:rsid w:val="00685693"/>
    <w:rsid w:val="006864DC"/>
    <w:rsid w:val="006870D1"/>
    <w:rsid w:val="00687ACA"/>
    <w:rsid w:val="00691B14"/>
    <w:rsid w:val="006A7399"/>
    <w:rsid w:val="006B11D6"/>
    <w:rsid w:val="006B190A"/>
    <w:rsid w:val="006B5489"/>
    <w:rsid w:val="006B66B1"/>
    <w:rsid w:val="006C3138"/>
    <w:rsid w:val="006D4B75"/>
    <w:rsid w:val="006E51BB"/>
    <w:rsid w:val="006E67A2"/>
    <w:rsid w:val="006E7087"/>
    <w:rsid w:val="006F207A"/>
    <w:rsid w:val="006F3057"/>
    <w:rsid w:val="006F5708"/>
    <w:rsid w:val="0070085B"/>
    <w:rsid w:val="007016B7"/>
    <w:rsid w:val="00714F50"/>
    <w:rsid w:val="00722B98"/>
    <w:rsid w:val="00723A16"/>
    <w:rsid w:val="0072428D"/>
    <w:rsid w:val="00724B7C"/>
    <w:rsid w:val="00727987"/>
    <w:rsid w:val="007400CA"/>
    <w:rsid w:val="00740A48"/>
    <w:rsid w:val="007458FF"/>
    <w:rsid w:val="00746D1D"/>
    <w:rsid w:val="00747FF6"/>
    <w:rsid w:val="00751B5B"/>
    <w:rsid w:val="00752D49"/>
    <w:rsid w:val="00754AB6"/>
    <w:rsid w:val="007600FC"/>
    <w:rsid w:val="007636DE"/>
    <w:rsid w:val="007647AA"/>
    <w:rsid w:val="0076536D"/>
    <w:rsid w:val="00767153"/>
    <w:rsid w:val="00767C19"/>
    <w:rsid w:val="0077256A"/>
    <w:rsid w:val="00781633"/>
    <w:rsid w:val="00784859"/>
    <w:rsid w:val="00787623"/>
    <w:rsid w:val="0079169F"/>
    <w:rsid w:val="00791CDD"/>
    <w:rsid w:val="00791F47"/>
    <w:rsid w:val="00794AE3"/>
    <w:rsid w:val="0079666D"/>
    <w:rsid w:val="007A23EC"/>
    <w:rsid w:val="007B5DF2"/>
    <w:rsid w:val="007B6C77"/>
    <w:rsid w:val="007B7478"/>
    <w:rsid w:val="007C09F0"/>
    <w:rsid w:val="007C0F07"/>
    <w:rsid w:val="007C23EC"/>
    <w:rsid w:val="007C25DF"/>
    <w:rsid w:val="007C322D"/>
    <w:rsid w:val="007C469F"/>
    <w:rsid w:val="007D183B"/>
    <w:rsid w:val="007D5F76"/>
    <w:rsid w:val="007E2DA5"/>
    <w:rsid w:val="007E6F9C"/>
    <w:rsid w:val="007F06C5"/>
    <w:rsid w:val="007F2DEE"/>
    <w:rsid w:val="007F4467"/>
    <w:rsid w:val="007F5ACA"/>
    <w:rsid w:val="007F62A4"/>
    <w:rsid w:val="00801112"/>
    <w:rsid w:val="008013A5"/>
    <w:rsid w:val="00801402"/>
    <w:rsid w:val="00803C09"/>
    <w:rsid w:val="008062E0"/>
    <w:rsid w:val="00806CC4"/>
    <w:rsid w:val="00812321"/>
    <w:rsid w:val="00814FCA"/>
    <w:rsid w:val="00820135"/>
    <w:rsid w:val="008208DD"/>
    <w:rsid w:val="0082785E"/>
    <w:rsid w:val="00831828"/>
    <w:rsid w:val="00834D94"/>
    <w:rsid w:val="008368E8"/>
    <w:rsid w:val="00841EE2"/>
    <w:rsid w:val="00844FD6"/>
    <w:rsid w:val="0084719E"/>
    <w:rsid w:val="00847628"/>
    <w:rsid w:val="0085029D"/>
    <w:rsid w:val="0085172B"/>
    <w:rsid w:val="00855788"/>
    <w:rsid w:val="00863C35"/>
    <w:rsid w:val="008706B0"/>
    <w:rsid w:val="00875232"/>
    <w:rsid w:val="00881619"/>
    <w:rsid w:val="008828E2"/>
    <w:rsid w:val="00882BBE"/>
    <w:rsid w:val="0088727A"/>
    <w:rsid w:val="008927BB"/>
    <w:rsid w:val="00895A6C"/>
    <w:rsid w:val="008A061C"/>
    <w:rsid w:val="008A16A6"/>
    <w:rsid w:val="008B6680"/>
    <w:rsid w:val="008B773C"/>
    <w:rsid w:val="008C02F5"/>
    <w:rsid w:val="008C083F"/>
    <w:rsid w:val="008C289F"/>
    <w:rsid w:val="008C49D8"/>
    <w:rsid w:val="008C72BC"/>
    <w:rsid w:val="008D4B36"/>
    <w:rsid w:val="008D65DF"/>
    <w:rsid w:val="008E1AF0"/>
    <w:rsid w:val="008E212A"/>
    <w:rsid w:val="008E418F"/>
    <w:rsid w:val="008E55DB"/>
    <w:rsid w:val="008F283E"/>
    <w:rsid w:val="008F3D8F"/>
    <w:rsid w:val="008F4355"/>
    <w:rsid w:val="0090099E"/>
    <w:rsid w:val="009012D1"/>
    <w:rsid w:val="009027B2"/>
    <w:rsid w:val="00904832"/>
    <w:rsid w:val="00910BAE"/>
    <w:rsid w:val="009319E2"/>
    <w:rsid w:val="009320AF"/>
    <w:rsid w:val="00952E00"/>
    <w:rsid w:val="009615E3"/>
    <w:rsid w:val="00962CD1"/>
    <w:rsid w:val="00964227"/>
    <w:rsid w:val="00966689"/>
    <w:rsid w:val="00971AB0"/>
    <w:rsid w:val="009726A6"/>
    <w:rsid w:val="00976EE4"/>
    <w:rsid w:val="00976F95"/>
    <w:rsid w:val="00982E87"/>
    <w:rsid w:val="009922B5"/>
    <w:rsid w:val="009A3ADC"/>
    <w:rsid w:val="009A4200"/>
    <w:rsid w:val="009A4801"/>
    <w:rsid w:val="009A6B43"/>
    <w:rsid w:val="009B0E76"/>
    <w:rsid w:val="009B10DB"/>
    <w:rsid w:val="009B3304"/>
    <w:rsid w:val="009B58C7"/>
    <w:rsid w:val="009B60F3"/>
    <w:rsid w:val="009C695E"/>
    <w:rsid w:val="009C7ACD"/>
    <w:rsid w:val="009D04CF"/>
    <w:rsid w:val="009D092E"/>
    <w:rsid w:val="009D452E"/>
    <w:rsid w:val="009E02AE"/>
    <w:rsid w:val="009E137D"/>
    <w:rsid w:val="009E48D3"/>
    <w:rsid w:val="009E50C5"/>
    <w:rsid w:val="009E617E"/>
    <w:rsid w:val="009E7A7F"/>
    <w:rsid w:val="009F3D55"/>
    <w:rsid w:val="00A00F36"/>
    <w:rsid w:val="00A06BA0"/>
    <w:rsid w:val="00A11F74"/>
    <w:rsid w:val="00A12736"/>
    <w:rsid w:val="00A16986"/>
    <w:rsid w:val="00A21293"/>
    <w:rsid w:val="00A21419"/>
    <w:rsid w:val="00A2317E"/>
    <w:rsid w:val="00A310EB"/>
    <w:rsid w:val="00A33C8C"/>
    <w:rsid w:val="00A34BBE"/>
    <w:rsid w:val="00A359B8"/>
    <w:rsid w:val="00A3668B"/>
    <w:rsid w:val="00A36FBC"/>
    <w:rsid w:val="00A3739C"/>
    <w:rsid w:val="00A428F2"/>
    <w:rsid w:val="00A42D7C"/>
    <w:rsid w:val="00A44990"/>
    <w:rsid w:val="00A4652F"/>
    <w:rsid w:val="00A47FE5"/>
    <w:rsid w:val="00A535CE"/>
    <w:rsid w:val="00A55631"/>
    <w:rsid w:val="00A61A4E"/>
    <w:rsid w:val="00A63CE3"/>
    <w:rsid w:val="00A6607C"/>
    <w:rsid w:val="00A66A34"/>
    <w:rsid w:val="00A67D66"/>
    <w:rsid w:val="00A7012F"/>
    <w:rsid w:val="00A74961"/>
    <w:rsid w:val="00A77127"/>
    <w:rsid w:val="00A87A86"/>
    <w:rsid w:val="00A903BD"/>
    <w:rsid w:val="00A90FA0"/>
    <w:rsid w:val="00A947BB"/>
    <w:rsid w:val="00AA0909"/>
    <w:rsid w:val="00AA45C8"/>
    <w:rsid w:val="00AA4C23"/>
    <w:rsid w:val="00AA79D5"/>
    <w:rsid w:val="00AB0420"/>
    <w:rsid w:val="00AB11D4"/>
    <w:rsid w:val="00AC094E"/>
    <w:rsid w:val="00AC6EBF"/>
    <w:rsid w:val="00AD1F38"/>
    <w:rsid w:val="00AD38C9"/>
    <w:rsid w:val="00AD4190"/>
    <w:rsid w:val="00AD7B66"/>
    <w:rsid w:val="00AE0F47"/>
    <w:rsid w:val="00AE29DF"/>
    <w:rsid w:val="00AE51A9"/>
    <w:rsid w:val="00AF2124"/>
    <w:rsid w:val="00AF397C"/>
    <w:rsid w:val="00AF7BEC"/>
    <w:rsid w:val="00B065FF"/>
    <w:rsid w:val="00B11639"/>
    <w:rsid w:val="00B122B0"/>
    <w:rsid w:val="00B127AA"/>
    <w:rsid w:val="00B1526A"/>
    <w:rsid w:val="00B21608"/>
    <w:rsid w:val="00B2598C"/>
    <w:rsid w:val="00B32B4C"/>
    <w:rsid w:val="00B32EDC"/>
    <w:rsid w:val="00B34DF9"/>
    <w:rsid w:val="00B36733"/>
    <w:rsid w:val="00B368EC"/>
    <w:rsid w:val="00B36FBF"/>
    <w:rsid w:val="00B4072D"/>
    <w:rsid w:val="00B57452"/>
    <w:rsid w:val="00B57BFF"/>
    <w:rsid w:val="00B6582B"/>
    <w:rsid w:val="00B664C5"/>
    <w:rsid w:val="00B71065"/>
    <w:rsid w:val="00B74B86"/>
    <w:rsid w:val="00B76111"/>
    <w:rsid w:val="00B82C3D"/>
    <w:rsid w:val="00B91579"/>
    <w:rsid w:val="00B926D7"/>
    <w:rsid w:val="00B94F66"/>
    <w:rsid w:val="00B96BC1"/>
    <w:rsid w:val="00BB2F46"/>
    <w:rsid w:val="00BB3159"/>
    <w:rsid w:val="00BB3DAC"/>
    <w:rsid w:val="00BB507A"/>
    <w:rsid w:val="00BC08A5"/>
    <w:rsid w:val="00BC4D59"/>
    <w:rsid w:val="00BD0BD2"/>
    <w:rsid w:val="00BD19A8"/>
    <w:rsid w:val="00BD1AE9"/>
    <w:rsid w:val="00BD4E52"/>
    <w:rsid w:val="00BE07D3"/>
    <w:rsid w:val="00BE145A"/>
    <w:rsid w:val="00BE3E12"/>
    <w:rsid w:val="00BF0A10"/>
    <w:rsid w:val="00BF6971"/>
    <w:rsid w:val="00C24564"/>
    <w:rsid w:val="00C31454"/>
    <w:rsid w:val="00C322BC"/>
    <w:rsid w:val="00C322E0"/>
    <w:rsid w:val="00C41166"/>
    <w:rsid w:val="00C435E8"/>
    <w:rsid w:val="00C44267"/>
    <w:rsid w:val="00C46AF0"/>
    <w:rsid w:val="00C46FDC"/>
    <w:rsid w:val="00C47071"/>
    <w:rsid w:val="00C52253"/>
    <w:rsid w:val="00C5253D"/>
    <w:rsid w:val="00C54DA2"/>
    <w:rsid w:val="00C57960"/>
    <w:rsid w:val="00C60902"/>
    <w:rsid w:val="00C62726"/>
    <w:rsid w:val="00C67E59"/>
    <w:rsid w:val="00C70D26"/>
    <w:rsid w:val="00C74F9A"/>
    <w:rsid w:val="00C82BB5"/>
    <w:rsid w:val="00C83544"/>
    <w:rsid w:val="00C8418A"/>
    <w:rsid w:val="00C87E49"/>
    <w:rsid w:val="00CB11B4"/>
    <w:rsid w:val="00CB233F"/>
    <w:rsid w:val="00CB323C"/>
    <w:rsid w:val="00CB3B3A"/>
    <w:rsid w:val="00CB4C8C"/>
    <w:rsid w:val="00CB52C2"/>
    <w:rsid w:val="00CB7E03"/>
    <w:rsid w:val="00CC5BAA"/>
    <w:rsid w:val="00CC6A22"/>
    <w:rsid w:val="00CC6DAD"/>
    <w:rsid w:val="00CD4F79"/>
    <w:rsid w:val="00CE33DF"/>
    <w:rsid w:val="00CE512D"/>
    <w:rsid w:val="00CE6619"/>
    <w:rsid w:val="00CE69D3"/>
    <w:rsid w:val="00CF159E"/>
    <w:rsid w:val="00CF48E0"/>
    <w:rsid w:val="00CF51ED"/>
    <w:rsid w:val="00D01BE6"/>
    <w:rsid w:val="00D02423"/>
    <w:rsid w:val="00D05301"/>
    <w:rsid w:val="00D0631D"/>
    <w:rsid w:val="00D1225F"/>
    <w:rsid w:val="00D13E09"/>
    <w:rsid w:val="00D1425D"/>
    <w:rsid w:val="00D219CB"/>
    <w:rsid w:val="00D24FF3"/>
    <w:rsid w:val="00D25DF2"/>
    <w:rsid w:val="00D27ED3"/>
    <w:rsid w:val="00D31A37"/>
    <w:rsid w:val="00D3523E"/>
    <w:rsid w:val="00D358E7"/>
    <w:rsid w:val="00D423B4"/>
    <w:rsid w:val="00D46DDA"/>
    <w:rsid w:val="00D470EA"/>
    <w:rsid w:val="00D51C2F"/>
    <w:rsid w:val="00D542EA"/>
    <w:rsid w:val="00D55609"/>
    <w:rsid w:val="00D603B6"/>
    <w:rsid w:val="00D620F0"/>
    <w:rsid w:val="00D64D27"/>
    <w:rsid w:val="00D67CEF"/>
    <w:rsid w:val="00D72048"/>
    <w:rsid w:val="00D77DCB"/>
    <w:rsid w:val="00D805C1"/>
    <w:rsid w:val="00D80CFC"/>
    <w:rsid w:val="00D8722D"/>
    <w:rsid w:val="00D9159E"/>
    <w:rsid w:val="00D91FFC"/>
    <w:rsid w:val="00D9259A"/>
    <w:rsid w:val="00D9689E"/>
    <w:rsid w:val="00DA451E"/>
    <w:rsid w:val="00DD0D77"/>
    <w:rsid w:val="00DD2689"/>
    <w:rsid w:val="00DD2ABE"/>
    <w:rsid w:val="00DE279B"/>
    <w:rsid w:val="00DE534A"/>
    <w:rsid w:val="00DF26B2"/>
    <w:rsid w:val="00DF4219"/>
    <w:rsid w:val="00DF48D2"/>
    <w:rsid w:val="00E06C68"/>
    <w:rsid w:val="00E07E96"/>
    <w:rsid w:val="00E122CC"/>
    <w:rsid w:val="00E124B2"/>
    <w:rsid w:val="00E14246"/>
    <w:rsid w:val="00E14290"/>
    <w:rsid w:val="00E169D9"/>
    <w:rsid w:val="00E21128"/>
    <w:rsid w:val="00E22CAF"/>
    <w:rsid w:val="00E25E93"/>
    <w:rsid w:val="00E279F0"/>
    <w:rsid w:val="00E331C3"/>
    <w:rsid w:val="00E40F9D"/>
    <w:rsid w:val="00E47098"/>
    <w:rsid w:val="00E47C03"/>
    <w:rsid w:val="00E511B2"/>
    <w:rsid w:val="00E5167E"/>
    <w:rsid w:val="00E53FDD"/>
    <w:rsid w:val="00E54D55"/>
    <w:rsid w:val="00E55354"/>
    <w:rsid w:val="00E56A55"/>
    <w:rsid w:val="00E82097"/>
    <w:rsid w:val="00E82244"/>
    <w:rsid w:val="00E85E04"/>
    <w:rsid w:val="00E87A2D"/>
    <w:rsid w:val="00E90DED"/>
    <w:rsid w:val="00E94D4F"/>
    <w:rsid w:val="00EA3ADE"/>
    <w:rsid w:val="00EB585F"/>
    <w:rsid w:val="00ED2054"/>
    <w:rsid w:val="00ED37E3"/>
    <w:rsid w:val="00ED7094"/>
    <w:rsid w:val="00EE116F"/>
    <w:rsid w:val="00EE5491"/>
    <w:rsid w:val="00EF12D5"/>
    <w:rsid w:val="00EF40B3"/>
    <w:rsid w:val="00EF6BBB"/>
    <w:rsid w:val="00F00B5D"/>
    <w:rsid w:val="00F00CFE"/>
    <w:rsid w:val="00F018BD"/>
    <w:rsid w:val="00F0282A"/>
    <w:rsid w:val="00F03E24"/>
    <w:rsid w:val="00F07DA3"/>
    <w:rsid w:val="00F11498"/>
    <w:rsid w:val="00F15316"/>
    <w:rsid w:val="00F1637A"/>
    <w:rsid w:val="00F1699D"/>
    <w:rsid w:val="00F16F37"/>
    <w:rsid w:val="00F25213"/>
    <w:rsid w:val="00F27F1B"/>
    <w:rsid w:val="00F311ED"/>
    <w:rsid w:val="00F3150F"/>
    <w:rsid w:val="00F40367"/>
    <w:rsid w:val="00F43C74"/>
    <w:rsid w:val="00F45244"/>
    <w:rsid w:val="00F45D9E"/>
    <w:rsid w:val="00F466E9"/>
    <w:rsid w:val="00F4765D"/>
    <w:rsid w:val="00F47ABE"/>
    <w:rsid w:val="00F52DDC"/>
    <w:rsid w:val="00F55488"/>
    <w:rsid w:val="00F574BD"/>
    <w:rsid w:val="00F579AB"/>
    <w:rsid w:val="00F619FC"/>
    <w:rsid w:val="00F61D5E"/>
    <w:rsid w:val="00F64FF9"/>
    <w:rsid w:val="00F76E23"/>
    <w:rsid w:val="00F83AE3"/>
    <w:rsid w:val="00F84B17"/>
    <w:rsid w:val="00F850DE"/>
    <w:rsid w:val="00F86630"/>
    <w:rsid w:val="00F971CD"/>
    <w:rsid w:val="00F97CC9"/>
    <w:rsid w:val="00FA237D"/>
    <w:rsid w:val="00FA26BD"/>
    <w:rsid w:val="00FA2E7B"/>
    <w:rsid w:val="00FA50F0"/>
    <w:rsid w:val="00FB0D15"/>
    <w:rsid w:val="00FB161C"/>
    <w:rsid w:val="00FB2178"/>
    <w:rsid w:val="00FB29D2"/>
    <w:rsid w:val="00FC000D"/>
    <w:rsid w:val="00FC1698"/>
    <w:rsid w:val="00FC4A78"/>
    <w:rsid w:val="00FC699D"/>
    <w:rsid w:val="00FD2EDF"/>
    <w:rsid w:val="00FD5501"/>
    <w:rsid w:val="00FD5CC3"/>
    <w:rsid w:val="00FE0E2F"/>
    <w:rsid w:val="00FE189B"/>
    <w:rsid w:val="00FE7D9F"/>
    <w:rsid w:val="00FF1BB9"/>
    <w:rsid w:val="00FF51A3"/>
    <w:rsid w:val="00FF7B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36C76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F0A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470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87FF4"/>
    <w:rPr>
      <w:color w:val="0000FF"/>
      <w:shd w:val="clear" w:color="auto" w:fill="auto"/>
    </w:rPr>
  </w:style>
  <w:style w:type="paragraph" w:styleId="Header">
    <w:name w:val="header"/>
    <w:basedOn w:val="Normal"/>
    <w:link w:val="HeaderChar"/>
    <w:uiPriority w:val="99"/>
    <w:unhideWhenUsed/>
    <w:rsid w:val="00387F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FF4"/>
  </w:style>
  <w:style w:type="paragraph" w:styleId="Footer">
    <w:name w:val="footer"/>
    <w:basedOn w:val="Normal"/>
    <w:link w:val="FooterChar"/>
    <w:uiPriority w:val="99"/>
    <w:unhideWhenUsed/>
    <w:rsid w:val="00387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FF4"/>
  </w:style>
  <w:style w:type="paragraph" w:customStyle="1" w:styleId="Pagedecouverture">
    <w:name w:val="Page de couverture"/>
    <w:basedOn w:val="Normal"/>
    <w:next w:val="Normal"/>
    <w:rsid w:val="00387FF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87FF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87FF4"/>
    <w:rPr>
      <w:rFonts w:ascii="Times New Roman" w:hAnsi="Times New Roman" w:cs="Times New Roman"/>
      <w:sz w:val="24"/>
    </w:rPr>
  </w:style>
  <w:style w:type="paragraph" w:customStyle="1" w:styleId="FooterSensitivity">
    <w:name w:val="Footer Sensitivity"/>
    <w:basedOn w:val="Normal"/>
    <w:link w:val="FooterSensitivityChar"/>
    <w:rsid w:val="00387FF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87FF4"/>
    <w:rPr>
      <w:rFonts w:ascii="Times New Roman" w:hAnsi="Times New Roman" w:cs="Times New Roman"/>
      <w:b/>
      <w:sz w:val="32"/>
    </w:rPr>
  </w:style>
  <w:style w:type="paragraph" w:customStyle="1" w:styleId="HeaderCoverPage">
    <w:name w:val="Header Cover Page"/>
    <w:basedOn w:val="Normal"/>
    <w:link w:val="HeaderCoverPageChar"/>
    <w:rsid w:val="00387FF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87FF4"/>
    <w:rPr>
      <w:rFonts w:ascii="Times New Roman" w:hAnsi="Times New Roman" w:cs="Times New Roman"/>
      <w:sz w:val="24"/>
    </w:rPr>
  </w:style>
  <w:style w:type="paragraph" w:customStyle="1" w:styleId="HeaderSensitivity">
    <w:name w:val="Header Sensitivity"/>
    <w:basedOn w:val="Normal"/>
    <w:link w:val="HeaderSensitivityChar"/>
    <w:rsid w:val="00387FF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87FF4"/>
    <w:rPr>
      <w:rFonts w:ascii="Times New Roman" w:hAnsi="Times New Roman" w:cs="Times New Roman"/>
      <w:b/>
      <w:sz w:val="32"/>
    </w:rPr>
  </w:style>
  <w:style w:type="paragraph" w:customStyle="1" w:styleId="HeaderSensitivityRight">
    <w:name w:val="Header Sensitivity Right"/>
    <w:basedOn w:val="Normal"/>
    <w:link w:val="HeaderSensitivityRightChar"/>
    <w:rsid w:val="00387FF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87FF4"/>
    <w:rPr>
      <w:rFonts w:ascii="Times New Roman" w:hAnsi="Times New Roman" w:cs="Times New Roman"/>
      <w:sz w:val="28"/>
    </w:rPr>
  </w:style>
  <w:style w:type="paragraph" w:customStyle="1" w:styleId="Typedudocument">
    <w:name w:val="Type du document"/>
    <w:basedOn w:val="Normal"/>
    <w:next w:val="Normal"/>
    <w:rsid w:val="005C5409"/>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5C5409"/>
    <w:pPr>
      <w:spacing w:before="360" w:after="360" w:line="240" w:lineRule="auto"/>
      <w:jc w:val="center"/>
    </w:pPr>
    <w:rPr>
      <w:rFonts w:ascii="Times New Roman" w:hAnsi="Times New Roman" w:cs="Times New Roman"/>
      <w:b/>
      <w:sz w:val="24"/>
    </w:rPr>
  </w:style>
  <w:style w:type="character" w:styleId="Hyperlink">
    <w:name w:val="Hyperlink"/>
    <w:unhideWhenUsed/>
    <w:rsid w:val="005C5409"/>
    <w:rPr>
      <w:color w:val="0000FF"/>
      <w:u w:val="single"/>
    </w:rPr>
  </w:style>
  <w:style w:type="paragraph" w:customStyle="1" w:styleId="footnotetext1">
    <w:name w:val="footnote text1"/>
    <w:aliases w:val="FT"/>
    <w:basedOn w:val="Normal"/>
    <w:unhideWhenUsed/>
    <w:rsid w:val="005C5409"/>
    <w:pPr>
      <w:spacing w:after="0" w:line="240" w:lineRule="auto"/>
    </w:pPr>
    <w:rPr>
      <w:rFonts w:ascii="Calibri" w:eastAsia="Calibri" w:hAnsi="Calibri" w:cs="Times New Roman"/>
      <w:sz w:val="20"/>
      <w:szCs w:val="20"/>
    </w:rPr>
  </w:style>
  <w:style w:type="character" w:styleId="FootnoteReference">
    <w:name w:val="footnote reference"/>
    <w:aliases w:val="Footnote,Footnote number,Footnote symbol,Footnote Reference Number,Footnote reference number,Times 10 Point,Exposant 3 Point,Footnote Reference Superscript,note TESI,SUPERS,EN Footnote Reference,Ref,de nota al pie"/>
    <w:link w:val="BVIfnrCarCarCarCarCharCharCharChar"/>
    <w:uiPriority w:val="99"/>
    <w:unhideWhenUsed/>
    <w:qFormat/>
    <w:rsid w:val="005C5409"/>
    <w:rPr>
      <w:vertAlign w:val="superscript"/>
    </w:rPr>
  </w:style>
  <w:style w:type="paragraph" w:customStyle="1" w:styleId="ManualHeading1">
    <w:name w:val="Manual Heading 1"/>
    <w:basedOn w:val="Normal"/>
    <w:next w:val="Normal"/>
    <w:rsid w:val="005C5409"/>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0"/>
      <w:lang w:eastAsia="en-GB"/>
    </w:rPr>
  </w:style>
  <w:style w:type="paragraph" w:styleId="NormalWeb">
    <w:name w:val="Normal (Web)"/>
    <w:basedOn w:val="Normal"/>
    <w:uiPriority w:val="99"/>
    <w:unhideWhenUsed/>
    <w:rsid w:val="005C5409"/>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semiHidden/>
    <w:unhideWhenUsed/>
    <w:rsid w:val="005C5409"/>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semiHidden/>
    <w:rsid w:val="005C5409"/>
    <w:rPr>
      <w:rFonts w:ascii="Calibri" w:eastAsia="Calibri" w:hAnsi="Calibri" w:cs="Times New Roman"/>
      <w:sz w:val="20"/>
      <w:szCs w:val="20"/>
      <w:lang w:val="it-IT"/>
    </w:rPr>
  </w:style>
  <w:style w:type="paragraph" w:customStyle="1" w:styleId="BVIfnrCarCarCarCarCharCharCharChar">
    <w:name w:val="BVI fnr Car Car Car Car Char Char Char Char"/>
    <w:basedOn w:val="Normal"/>
    <w:link w:val="FootnoteReference"/>
    <w:autoRedefine/>
    <w:uiPriority w:val="99"/>
    <w:qFormat/>
    <w:rsid w:val="005C5409"/>
    <w:pPr>
      <w:spacing w:after="0" w:line="240" w:lineRule="auto"/>
      <w:ind w:left="720" w:hanging="720"/>
    </w:pPr>
    <w:rPr>
      <w:vertAlign w:val="superscript"/>
    </w:rPr>
  </w:style>
  <w:style w:type="paragraph" w:styleId="Revision">
    <w:name w:val="Revision"/>
    <w:hidden/>
    <w:uiPriority w:val="99"/>
    <w:semiHidden/>
    <w:rsid w:val="005C5409"/>
    <w:pPr>
      <w:spacing w:after="0" w:line="240" w:lineRule="auto"/>
    </w:pPr>
  </w:style>
  <w:style w:type="character" w:styleId="FollowedHyperlink">
    <w:name w:val="FollowedHyperlink"/>
    <w:basedOn w:val="DefaultParagraphFont"/>
    <w:uiPriority w:val="99"/>
    <w:semiHidden/>
    <w:unhideWhenUsed/>
    <w:rsid w:val="00D9259A"/>
    <w:rPr>
      <w:color w:val="954F72" w:themeColor="followedHyperlink"/>
      <w:u w:val="single"/>
    </w:rPr>
  </w:style>
  <w:style w:type="character" w:styleId="CommentReference">
    <w:name w:val="annotation reference"/>
    <w:basedOn w:val="DefaultParagraphFont"/>
    <w:uiPriority w:val="99"/>
    <w:semiHidden/>
    <w:unhideWhenUsed/>
    <w:rsid w:val="006F5708"/>
    <w:rPr>
      <w:sz w:val="16"/>
      <w:szCs w:val="16"/>
    </w:rPr>
  </w:style>
  <w:style w:type="paragraph" w:styleId="CommentText">
    <w:name w:val="annotation text"/>
    <w:basedOn w:val="Normal"/>
    <w:link w:val="CommentTextChar"/>
    <w:uiPriority w:val="99"/>
    <w:unhideWhenUsed/>
    <w:rsid w:val="006F5708"/>
    <w:pPr>
      <w:spacing w:line="240" w:lineRule="auto"/>
    </w:pPr>
    <w:rPr>
      <w:sz w:val="20"/>
      <w:szCs w:val="20"/>
    </w:rPr>
  </w:style>
  <w:style w:type="character" w:customStyle="1" w:styleId="CommentTextChar">
    <w:name w:val="Comment Text Char"/>
    <w:basedOn w:val="DefaultParagraphFont"/>
    <w:link w:val="CommentText"/>
    <w:uiPriority w:val="99"/>
    <w:rsid w:val="006F5708"/>
    <w:rPr>
      <w:sz w:val="20"/>
      <w:szCs w:val="20"/>
    </w:rPr>
  </w:style>
  <w:style w:type="paragraph" w:styleId="CommentSubject">
    <w:name w:val="annotation subject"/>
    <w:basedOn w:val="CommentText"/>
    <w:next w:val="CommentText"/>
    <w:link w:val="CommentSubjectChar"/>
    <w:uiPriority w:val="99"/>
    <w:semiHidden/>
    <w:unhideWhenUsed/>
    <w:rsid w:val="006F5708"/>
    <w:rPr>
      <w:b/>
      <w:bCs/>
    </w:rPr>
  </w:style>
  <w:style w:type="character" w:customStyle="1" w:styleId="CommentSubjectChar">
    <w:name w:val="Comment Subject Char"/>
    <w:basedOn w:val="CommentTextChar"/>
    <w:link w:val="CommentSubject"/>
    <w:uiPriority w:val="99"/>
    <w:semiHidden/>
    <w:rsid w:val="006F5708"/>
    <w:rPr>
      <w:b/>
      <w:bCs/>
      <w:sz w:val="20"/>
      <w:szCs w:val="20"/>
    </w:rPr>
  </w:style>
  <w:style w:type="character" w:customStyle="1" w:styleId="UnresolvedMention">
    <w:name w:val="Unresolved Mention"/>
    <w:basedOn w:val="DefaultParagraphFont"/>
    <w:uiPriority w:val="99"/>
    <w:semiHidden/>
    <w:unhideWhenUsed/>
    <w:rsid w:val="00222D55"/>
    <w:rPr>
      <w:color w:val="605E5C"/>
      <w:shd w:val="clear" w:color="auto" w:fill="E1DFDD"/>
    </w:rPr>
  </w:style>
  <w:style w:type="character" w:customStyle="1" w:styleId="Heading1Char">
    <w:name w:val="Heading 1 Char"/>
    <w:basedOn w:val="DefaultParagraphFont"/>
    <w:link w:val="Heading1"/>
    <w:uiPriority w:val="9"/>
    <w:rsid w:val="00BF0A1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470E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2038">
      <w:bodyDiv w:val="1"/>
      <w:marLeft w:val="0"/>
      <w:marRight w:val="0"/>
      <w:marTop w:val="0"/>
      <w:marBottom w:val="0"/>
      <w:divBdr>
        <w:top w:val="none" w:sz="0" w:space="0" w:color="auto"/>
        <w:left w:val="none" w:sz="0" w:space="0" w:color="auto"/>
        <w:bottom w:val="none" w:sz="0" w:space="0" w:color="auto"/>
        <w:right w:val="none" w:sz="0" w:space="0" w:color="auto"/>
      </w:divBdr>
    </w:div>
    <w:div w:id="53243636">
      <w:bodyDiv w:val="1"/>
      <w:marLeft w:val="0"/>
      <w:marRight w:val="0"/>
      <w:marTop w:val="0"/>
      <w:marBottom w:val="0"/>
      <w:divBdr>
        <w:top w:val="none" w:sz="0" w:space="0" w:color="auto"/>
        <w:left w:val="none" w:sz="0" w:space="0" w:color="auto"/>
        <w:bottom w:val="none" w:sz="0" w:space="0" w:color="auto"/>
        <w:right w:val="none" w:sz="0" w:space="0" w:color="auto"/>
      </w:divBdr>
    </w:div>
    <w:div w:id="80030916">
      <w:bodyDiv w:val="1"/>
      <w:marLeft w:val="0"/>
      <w:marRight w:val="0"/>
      <w:marTop w:val="0"/>
      <w:marBottom w:val="0"/>
      <w:divBdr>
        <w:top w:val="none" w:sz="0" w:space="0" w:color="auto"/>
        <w:left w:val="none" w:sz="0" w:space="0" w:color="auto"/>
        <w:bottom w:val="none" w:sz="0" w:space="0" w:color="auto"/>
        <w:right w:val="none" w:sz="0" w:space="0" w:color="auto"/>
      </w:divBdr>
    </w:div>
    <w:div w:id="592400892">
      <w:bodyDiv w:val="1"/>
      <w:marLeft w:val="0"/>
      <w:marRight w:val="0"/>
      <w:marTop w:val="0"/>
      <w:marBottom w:val="0"/>
      <w:divBdr>
        <w:top w:val="none" w:sz="0" w:space="0" w:color="auto"/>
        <w:left w:val="none" w:sz="0" w:space="0" w:color="auto"/>
        <w:bottom w:val="none" w:sz="0" w:space="0" w:color="auto"/>
        <w:right w:val="none" w:sz="0" w:space="0" w:color="auto"/>
      </w:divBdr>
      <w:divsChild>
        <w:div w:id="532617278">
          <w:marLeft w:val="0"/>
          <w:marRight w:val="0"/>
          <w:marTop w:val="0"/>
          <w:marBottom w:val="0"/>
          <w:divBdr>
            <w:top w:val="none" w:sz="0" w:space="0" w:color="auto"/>
            <w:left w:val="none" w:sz="0" w:space="0" w:color="auto"/>
            <w:bottom w:val="none" w:sz="0" w:space="0" w:color="auto"/>
            <w:right w:val="none" w:sz="0" w:space="0" w:color="auto"/>
          </w:divBdr>
          <w:divsChild>
            <w:div w:id="27035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781910">
      <w:bodyDiv w:val="1"/>
      <w:marLeft w:val="0"/>
      <w:marRight w:val="0"/>
      <w:marTop w:val="0"/>
      <w:marBottom w:val="0"/>
      <w:divBdr>
        <w:top w:val="none" w:sz="0" w:space="0" w:color="auto"/>
        <w:left w:val="none" w:sz="0" w:space="0" w:color="auto"/>
        <w:bottom w:val="none" w:sz="0" w:space="0" w:color="auto"/>
        <w:right w:val="none" w:sz="0" w:space="0" w:color="auto"/>
      </w:divBdr>
    </w:div>
    <w:div w:id="779451480">
      <w:bodyDiv w:val="1"/>
      <w:marLeft w:val="0"/>
      <w:marRight w:val="0"/>
      <w:marTop w:val="0"/>
      <w:marBottom w:val="0"/>
      <w:divBdr>
        <w:top w:val="none" w:sz="0" w:space="0" w:color="auto"/>
        <w:left w:val="none" w:sz="0" w:space="0" w:color="auto"/>
        <w:bottom w:val="none" w:sz="0" w:space="0" w:color="auto"/>
        <w:right w:val="none" w:sz="0" w:space="0" w:color="auto"/>
      </w:divBdr>
    </w:div>
    <w:div w:id="1156145148">
      <w:bodyDiv w:val="1"/>
      <w:marLeft w:val="0"/>
      <w:marRight w:val="0"/>
      <w:marTop w:val="0"/>
      <w:marBottom w:val="0"/>
      <w:divBdr>
        <w:top w:val="none" w:sz="0" w:space="0" w:color="auto"/>
        <w:left w:val="none" w:sz="0" w:space="0" w:color="auto"/>
        <w:bottom w:val="none" w:sz="0" w:space="0" w:color="auto"/>
        <w:right w:val="none" w:sz="0" w:space="0" w:color="auto"/>
      </w:divBdr>
    </w:div>
    <w:div w:id="1330905963">
      <w:bodyDiv w:val="1"/>
      <w:marLeft w:val="0"/>
      <w:marRight w:val="0"/>
      <w:marTop w:val="0"/>
      <w:marBottom w:val="0"/>
      <w:divBdr>
        <w:top w:val="none" w:sz="0" w:space="0" w:color="auto"/>
        <w:left w:val="none" w:sz="0" w:space="0" w:color="auto"/>
        <w:bottom w:val="none" w:sz="0" w:space="0" w:color="auto"/>
        <w:right w:val="none" w:sz="0" w:space="0" w:color="auto"/>
      </w:divBdr>
    </w:div>
    <w:div w:id="1400440029">
      <w:bodyDiv w:val="1"/>
      <w:marLeft w:val="0"/>
      <w:marRight w:val="0"/>
      <w:marTop w:val="0"/>
      <w:marBottom w:val="0"/>
      <w:divBdr>
        <w:top w:val="none" w:sz="0" w:space="0" w:color="auto"/>
        <w:left w:val="none" w:sz="0" w:space="0" w:color="auto"/>
        <w:bottom w:val="none" w:sz="0" w:space="0" w:color="auto"/>
        <w:right w:val="none" w:sz="0" w:space="0" w:color="auto"/>
      </w:divBdr>
    </w:div>
    <w:div w:id="1481800934">
      <w:bodyDiv w:val="1"/>
      <w:marLeft w:val="0"/>
      <w:marRight w:val="0"/>
      <w:marTop w:val="0"/>
      <w:marBottom w:val="0"/>
      <w:divBdr>
        <w:top w:val="none" w:sz="0" w:space="0" w:color="auto"/>
        <w:left w:val="none" w:sz="0" w:space="0" w:color="auto"/>
        <w:bottom w:val="none" w:sz="0" w:space="0" w:color="auto"/>
        <w:right w:val="none" w:sz="0" w:space="0" w:color="auto"/>
      </w:divBdr>
    </w:div>
    <w:div w:id="1719041732">
      <w:bodyDiv w:val="1"/>
      <w:marLeft w:val="0"/>
      <w:marRight w:val="0"/>
      <w:marTop w:val="0"/>
      <w:marBottom w:val="0"/>
      <w:divBdr>
        <w:top w:val="none" w:sz="0" w:space="0" w:color="auto"/>
        <w:left w:val="none" w:sz="0" w:space="0" w:color="auto"/>
        <w:bottom w:val="none" w:sz="0" w:space="0" w:color="auto"/>
        <w:right w:val="none" w:sz="0" w:space="0" w:color="auto"/>
      </w:divBdr>
    </w:div>
    <w:div w:id="1731347642">
      <w:bodyDiv w:val="1"/>
      <w:marLeft w:val="0"/>
      <w:marRight w:val="0"/>
      <w:marTop w:val="0"/>
      <w:marBottom w:val="0"/>
      <w:divBdr>
        <w:top w:val="none" w:sz="0" w:space="0" w:color="auto"/>
        <w:left w:val="none" w:sz="0" w:space="0" w:color="auto"/>
        <w:bottom w:val="none" w:sz="0" w:space="0" w:color="auto"/>
        <w:right w:val="none" w:sz="0" w:space="0" w:color="auto"/>
      </w:divBdr>
    </w:div>
    <w:div w:id="212449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ifrs.org/content/ifrs/home/projects/work-plan/financial-instruments-with-characteristics-of-equity.html"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frs.org/content/ifrs/home/about-us/our-due-process.html"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ifrs.org/projects/completed-projects/" TargetMode="External"/><Relationship Id="rId2" Type="http://schemas.openxmlformats.org/officeDocument/2006/relationships/hyperlink" Target="https://www.ifrs.org/projects/work-plan/" TargetMode="External"/><Relationship Id="rId1" Type="http://schemas.openxmlformats.org/officeDocument/2006/relationships/hyperlink" Target="http://data.europa.eu/eli/reg/2002/1606/oj" TargetMode="External"/><Relationship Id="rId5" Type="http://schemas.openxmlformats.org/officeDocument/2006/relationships/hyperlink" Target="https://www.iosco.org/about/?subsection=monitoring_group" TargetMode="External"/><Relationship Id="rId4" Type="http://schemas.openxmlformats.org/officeDocument/2006/relationships/hyperlink" Target="https://commission.europa.eu/publications/omnibus-i_en?prefLang=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EDB35-9CC9-4E75-AE9E-B146FA721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3276</Words>
  <Characters>18676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2025-11-25T11:21:00Z</dcterms:created>
  <dcterms:modified xsi:type="dcterms:W3CDTF">2025-12-12T15:06:00Z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2025-10-08T11:54:24Z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05c25bc9-592b-4277-bfd6-44b632b554f9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