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FD6E3" w14:textId="403E39B3" w:rsidR="0062235E" w:rsidRPr="00685D02" w:rsidRDefault="009A1E37" w:rsidP="009A1E37">
      <w:pPr>
        <w:pStyle w:val="Pagedecouverture"/>
        <w:rPr>
          <w:noProof/>
        </w:rPr>
      </w:pPr>
      <w:bookmarkStart w:id="0" w:name="LW_BM_COVERPAGE"/>
      <w:r>
        <w:rPr>
          <w:noProof/>
        </w:rPr>
        <w:pict w14:anchorId="7A50B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074297E0-B0FC-4094-9B98-77832FC67535" style="width:455.25pt;height:300pt">
            <v:imagedata r:id="rId11" o:title=""/>
          </v:shape>
        </w:pict>
      </w:r>
    </w:p>
    <w:bookmarkEnd w:id="0"/>
    <w:p w14:paraId="69474710" w14:textId="77777777" w:rsidR="00535E6D" w:rsidRPr="00685D02" w:rsidRDefault="00535E6D" w:rsidP="00535E6D">
      <w:pPr>
        <w:rPr>
          <w:rFonts w:ascii="Times New Roman" w:hAnsi="Times New Roman" w:cs="Times New Roman"/>
          <w:noProof/>
          <w:lang w:val="en-IE"/>
        </w:rPr>
        <w:sectPr w:rsidR="00535E6D" w:rsidRPr="00685D02" w:rsidSect="009A1E3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Theme="minorEastAsia" w:hAnsi="Times New Roman" w:cs="Times New Roman"/>
          <w:noProof/>
          <w:color w:val="auto"/>
          <w:kern w:val="2"/>
          <w:sz w:val="22"/>
          <w:szCs w:val="22"/>
          <w14:ligatures w14:val="standardContextual"/>
        </w:rPr>
        <w:id w:val="-1982607423"/>
        <w:docPartObj>
          <w:docPartGallery w:val="Table of Contents"/>
          <w:docPartUnique/>
        </w:docPartObj>
      </w:sdtPr>
      <w:sdtEndPr>
        <w:rPr>
          <w:b/>
          <w:bCs/>
        </w:rPr>
      </w:sdtEndPr>
      <w:sdtContent>
        <w:p w14:paraId="1D401B93" w14:textId="7EEF7F0E" w:rsidR="00F00D70" w:rsidRPr="00347028" w:rsidRDefault="00F00D70">
          <w:pPr>
            <w:pStyle w:val="TOCHeading"/>
            <w:rPr>
              <w:rFonts w:ascii="Times New Roman" w:hAnsi="Times New Roman" w:cs="Times New Roman"/>
              <w:noProof/>
              <w:sz w:val="22"/>
              <w:szCs w:val="22"/>
            </w:rPr>
          </w:pPr>
          <w:r>
            <w:rPr>
              <w:rFonts w:ascii="Times New Roman" w:hAnsi="Times New Roman"/>
              <w:noProof/>
              <w:sz w:val="22"/>
            </w:rPr>
            <w:t>Indice</w:t>
          </w:r>
        </w:p>
        <w:p w14:paraId="4F0F893C" w14:textId="129BD0F3" w:rsidR="0038309D" w:rsidRDefault="00F00D70">
          <w:pPr>
            <w:pStyle w:val="TOC1"/>
            <w:tabs>
              <w:tab w:val="left" w:pos="440"/>
              <w:tab w:val="right" w:leader="dot" w:pos="9016"/>
            </w:tabs>
            <w:rPr>
              <w:rFonts w:eastAsiaTheme="minorEastAsia"/>
              <w:noProof/>
              <w:sz w:val="24"/>
              <w:szCs w:val="24"/>
              <w:lang w:val="en-IE" w:eastAsia="en-IE"/>
            </w:rPr>
          </w:pPr>
          <w:r>
            <w:rPr>
              <w:rFonts w:ascii="Times New Roman" w:hAnsi="Times New Roman" w:cs="Times New Roman"/>
              <w:noProof/>
            </w:rPr>
            <w:fldChar w:fldCharType="begin"/>
          </w:r>
          <w:r>
            <w:rPr>
              <w:rFonts w:ascii="Times New Roman" w:hAnsi="Times New Roman" w:cs="Times New Roman"/>
              <w:noProof/>
            </w:rPr>
            <w:instrText xml:space="preserve"> TOC \o "1-3" \h \z \u </w:instrText>
          </w:r>
          <w:r>
            <w:rPr>
              <w:rFonts w:ascii="Times New Roman" w:hAnsi="Times New Roman" w:cs="Times New Roman"/>
              <w:noProof/>
            </w:rPr>
            <w:fldChar w:fldCharType="separate"/>
          </w:r>
          <w:hyperlink w:anchor="_Toc218937016" w:history="1">
            <w:r w:rsidR="0038309D" w:rsidRPr="002E3D7E">
              <w:rPr>
                <w:rStyle w:val="Hyperlink"/>
                <w:noProof/>
              </w:rPr>
              <w:t>1.</w:t>
            </w:r>
            <w:r w:rsidR="0038309D">
              <w:rPr>
                <w:rFonts w:eastAsiaTheme="minorEastAsia"/>
                <w:noProof/>
                <w:sz w:val="24"/>
                <w:szCs w:val="24"/>
                <w:lang w:val="en-IE" w:eastAsia="en-IE"/>
              </w:rPr>
              <w:tab/>
            </w:r>
            <w:r w:rsidR="0038309D" w:rsidRPr="002E3D7E">
              <w:rPr>
                <w:rStyle w:val="Hyperlink"/>
                <w:noProof/>
              </w:rPr>
              <w:t>Introduzione</w:t>
            </w:r>
            <w:r w:rsidR="0038309D">
              <w:rPr>
                <w:noProof/>
                <w:webHidden/>
              </w:rPr>
              <w:tab/>
            </w:r>
            <w:r w:rsidR="0038309D">
              <w:rPr>
                <w:noProof/>
                <w:webHidden/>
              </w:rPr>
              <w:fldChar w:fldCharType="begin"/>
            </w:r>
            <w:r w:rsidR="0038309D">
              <w:rPr>
                <w:noProof/>
                <w:webHidden/>
              </w:rPr>
              <w:instrText xml:space="preserve"> PAGEREF _Toc218937016 \h </w:instrText>
            </w:r>
            <w:r w:rsidR="0038309D">
              <w:rPr>
                <w:noProof/>
                <w:webHidden/>
              </w:rPr>
            </w:r>
            <w:r w:rsidR="0038309D">
              <w:rPr>
                <w:noProof/>
                <w:webHidden/>
              </w:rPr>
              <w:fldChar w:fldCharType="separate"/>
            </w:r>
            <w:r w:rsidR="002D6403">
              <w:rPr>
                <w:noProof/>
                <w:webHidden/>
              </w:rPr>
              <w:t>3</w:t>
            </w:r>
            <w:r w:rsidR="0038309D">
              <w:rPr>
                <w:noProof/>
                <w:webHidden/>
              </w:rPr>
              <w:fldChar w:fldCharType="end"/>
            </w:r>
          </w:hyperlink>
        </w:p>
        <w:p w14:paraId="2210AAE0" w14:textId="48EA58C6" w:rsidR="0038309D" w:rsidRDefault="009A1E37">
          <w:pPr>
            <w:pStyle w:val="TOC1"/>
            <w:tabs>
              <w:tab w:val="left" w:pos="440"/>
              <w:tab w:val="right" w:leader="dot" w:pos="9016"/>
            </w:tabs>
            <w:rPr>
              <w:rFonts w:eastAsiaTheme="minorEastAsia"/>
              <w:noProof/>
              <w:sz w:val="24"/>
              <w:szCs w:val="24"/>
              <w:lang w:val="en-IE" w:eastAsia="en-IE"/>
            </w:rPr>
          </w:pPr>
          <w:hyperlink w:anchor="_Toc218937017" w:history="1">
            <w:r w:rsidR="0038309D" w:rsidRPr="002E3D7E">
              <w:rPr>
                <w:rStyle w:val="Hyperlink"/>
                <w:noProof/>
              </w:rPr>
              <w:t>2.</w:t>
            </w:r>
            <w:r w:rsidR="0038309D">
              <w:rPr>
                <w:rFonts w:eastAsiaTheme="minorEastAsia"/>
                <w:noProof/>
                <w:sz w:val="24"/>
                <w:szCs w:val="24"/>
                <w:lang w:val="en-IE" w:eastAsia="en-IE"/>
              </w:rPr>
              <w:tab/>
            </w:r>
            <w:r w:rsidR="0038309D" w:rsidRPr="002E3D7E">
              <w:rPr>
                <w:rStyle w:val="Hyperlink"/>
                <w:noProof/>
              </w:rPr>
              <w:t>Situazione attuale dell</w:t>
            </w:r>
            <w:r w:rsidR="00F06D2E">
              <w:rPr>
                <w:rStyle w:val="Hyperlink"/>
                <w:noProof/>
              </w:rPr>
              <w:t>'</w:t>
            </w:r>
            <w:r w:rsidR="0038309D" w:rsidRPr="002E3D7E">
              <w:rPr>
                <w:rStyle w:val="Hyperlink"/>
                <w:noProof/>
              </w:rPr>
              <w:t>EU ETS</w:t>
            </w:r>
            <w:r w:rsidR="0038309D">
              <w:rPr>
                <w:noProof/>
                <w:webHidden/>
              </w:rPr>
              <w:tab/>
            </w:r>
            <w:r w:rsidR="0038309D">
              <w:rPr>
                <w:noProof/>
                <w:webHidden/>
              </w:rPr>
              <w:fldChar w:fldCharType="begin"/>
            </w:r>
            <w:r w:rsidR="0038309D">
              <w:rPr>
                <w:noProof/>
                <w:webHidden/>
              </w:rPr>
              <w:instrText xml:space="preserve"> PAGEREF _Toc218937017 \h </w:instrText>
            </w:r>
            <w:r w:rsidR="0038309D">
              <w:rPr>
                <w:noProof/>
                <w:webHidden/>
              </w:rPr>
            </w:r>
            <w:r w:rsidR="0038309D">
              <w:rPr>
                <w:noProof/>
                <w:webHidden/>
              </w:rPr>
              <w:fldChar w:fldCharType="separate"/>
            </w:r>
            <w:r w:rsidR="002D6403">
              <w:rPr>
                <w:noProof/>
                <w:webHidden/>
              </w:rPr>
              <w:t>4</w:t>
            </w:r>
            <w:r w:rsidR="0038309D">
              <w:rPr>
                <w:noProof/>
                <w:webHidden/>
              </w:rPr>
              <w:fldChar w:fldCharType="end"/>
            </w:r>
          </w:hyperlink>
        </w:p>
        <w:p w14:paraId="74781250" w14:textId="71A2A098"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18" w:history="1">
            <w:r w:rsidR="0038309D" w:rsidRPr="002E3D7E">
              <w:rPr>
                <w:rStyle w:val="Hyperlink"/>
                <w:noProof/>
              </w:rPr>
              <w:t>2.1.</w:t>
            </w:r>
            <w:r w:rsidR="0038309D">
              <w:rPr>
                <w:rFonts w:cstheme="minorBidi"/>
                <w:noProof/>
                <w:kern w:val="2"/>
                <w:sz w:val="24"/>
                <w:szCs w:val="24"/>
                <w:lang w:val="en-IE" w:eastAsia="en-IE"/>
                <w14:ligatures w14:val="standardContextual"/>
              </w:rPr>
              <w:tab/>
            </w:r>
            <w:r w:rsidR="0038309D" w:rsidRPr="002E3D7E">
              <w:rPr>
                <w:rStyle w:val="Hyperlink"/>
                <w:noProof/>
              </w:rPr>
              <w:t>Ambito di applicazione e portata</w:t>
            </w:r>
            <w:r w:rsidR="0038309D">
              <w:rPr>
                <w:noProof/>
                <w:webHidden/>
              </w:rPr>
              <w:tab/>
            </w:r>
            <w:r w:rsidR="0038309D">
              <w:rPr>
                <w:noProof/>
                <w:webHidden/>
              </w:rPr>
              <w:fldChar w:fldCharType="begin"/>
            </w:r>
            <w:r w:rsidR="0038309D">
              <w:rPr>
                <w:noProof/>
                <w:webHidden/>
              </w:rPr>
              <w:instrText xml:space="preserve"> PAGEREF _Toc218937018 \h </w:instrText>
            </w:r>
            <w:r w:rsidR="0038309D">
              <w:rPr>
                <w:noProof/>
                <w:webHidden/>
              </w:rPr>
            </w:r>
            <w:r w:rsidR="0038309D">
              <w:rPr>
                <w:noProof/>
                <w:webHidden/>
              </w:rPr>
              <w:fldChar w:fldCharType="separate"/>
            </w:r>
            <w:r w:rsidR="002D6403">
              <w:rPr>
                <w:noProof/>
                <w:webHidden/>
              </w:rPr>
              <w:t>4</w:t>
            </w:r>
            <w:r w:rsidR="0038309D">
              <w:rPr>
                <w:noProof/>
                <w:webHidden/>
              </w:rPr>
              <w:fldChar w:fldCharType="end"/>
            </w:r>
          </w:hyperlink>
        </w:p>
        <w:p w14:paraId="3D637715" w14:textId="4D3C723B"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19" w:history="1">
            <w:r w:rsidR="0038309D" w:rsidRPr="002E3D7E">
              <w:rPr>
                <w:rStyle w:val="Hyperlink"/>
                <w:noProof/>
              </w:rPr>
              <w:t>2.2.</w:t>
            </w:r>
            <w:r w:rsidR="0038309D">
              <w:rPr>
                <w:rFonts w:cstheme="minorBidi"/>
                <w:noProof/>
                <w:kern w:val="2"/>
                <w:sz w:val="24"/>
                <w:szCs w:val="24"/>
                <w:lang w:val="en-IE" w:eastAsia="en-IE"/>
                <w14:ligatures w14:val="standardContextual"/>
              </w:rPr>
              <w:tab/>
            </w:r>
            <w:r w:rsidR="0038309D" w:rsidRPr="002E3D7E">
              <w:rPr>
                <w:rStyle w:val="Hyperlink"/>
                <w:noProof/>
              </w:rPr>
              <w:t>ETS2, il nuovo sistema per lo scambio di quote di emissioni per i settori dell</w:t>
            </w:r>
            <w:r w:rsidR="00F06D2E">
              <w:rPr>
                <w:rStyle w:val="Hyperlink"/>
                <w:noProof/>
              </w:rPr>
              <w:t>'</w:t>
            </w:r>
            <w:r w:rsidR="0038309D" w:rsidRPr="002E3D7E">
              <w:rPr>
                <w:rStyle w:val="Hyperlink"/>
                <w:noProof/>
              </w:rPr>
              <w:t>edilizia e del trasporto stradale e ulteriori settori</w:t>
            </w:r>
            <w:r w:rsidR="0038309D">
              <w:rPr>
                <w:noProof/>
                <w:webHidden/>
              </w:rPr>
              <w:tab/>
            </w:r>
            <w:r w:rsidR="0038309D">
              <w:rPr>
                <w:noProof/>
                <w:webHidden/>
              </w:rPr>
              <w:fldChar w:fldCharType="begin"/>
            </w:r>
            <w:r w:rsidR="0038309D">
              <w:rPr>
                <w:noProof/>
                <w:webHidden/>
              </w:rPr>
              <w:instrText xml:space="preserve"> PAGEREF _Toc218937019 \h </w:instrText>
            </w:r>
            <w:r w:rsidR="0038309D">
              <w:rPr>
                <w:noProof/>
                <w:webHidden/>
              </w:rPr>
            </w:r>
            <w:r w:rsidR="0038309D">
              <w:rPr>
                <w:noProof/>
                <w:webHidden/>
              </w:rPr>
              <w:fldChar w:fldCharType="separate"/>
            </w:r>
            <w:r w:rsidR="002D6403">
              <w:rPr>
                <w:noProof/>
                <w:webHidden/>
              </w:rPr>
              <w:t>5</w:t>
            </w:r>
            <w:r w:rsidR="0038309D">
              <w:rPr>
                <w:noProof/>
                <w:webHidden/>
              </w:rPr>
              <w:fldChar w:fldCharType="end"/>
            </w:r>
          </w:hyperlink>
        </w:p>
        <w:p w14:paraId="2BDC2963" w14:textId="66BF74CB"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20" w:history="1">
            <w:r w:rsidR="0038309D" w:rsidRPr="002E3D7E">
              <w:rPr>
                <w:rStyle w:val="Hyperlink"/>
                <w:noProof/>
              </w:rPr>
              <w:t>2.3.</w:t>
            </w:r>
            <w:r w:rsidR="0038309D">
              <w:rPr>
                <w:rFonts w:cstheme="minorBidi"/>
                <w:noProof/>
                <w:kern w:val="2"/>
                <w:sz w:val="24"/>
                <w:szCs w:val="24"/>
                <w:lang w:val="en-IE" w:eastAsia="en-IE"/>
                <w14:ligatures w14:val="standardContextual"/>
              </w:rPr>
              <w:tab/>
            </w:r>
            <w:r w:rsidR="0038309D" w:rsidRPr="002E3D7E">
              <w:rPr>
                <w:rStyle w:val="Hyperlink"/>
                <w:noProof/>
              </w:rPr>
              <w:t>Fondo sociale per il clima</w:t>
            </w:r>
            <w:r w:rsidR="0038309D">
              <w:rPr>
                <w:noProof/>
                <w:webHidden/>
              </w:rPr>
              <w:tab/>
            </w:r>
            <w:r w:rsidR="0038309D">
              <w:rPr>
                <w:noProof/>
                <w:webHidden/>
              </w:rPr>
              <w:fldChar w:fldCharType="begin"/>
            </w:r>
            <w:r w:rsidR="0038309D">
              <w:rPr>
                <w:noProof/>
                <w:webHidden/>
              </w:rPr>
              <w:instrText xml:space="preserve"> PAGEREF _Toc218937020 \h </w:instrText>
            </w:r>
            <w:r w:rsidR="0038309D">
              <w:rPr>
                <w:noProof/>
                <w:webHidden/>
              </w:rPr>
            </w:r>
            <w:r w:rsidR="0038309D">
              <w:rPr>
                <w:noProof/>
                <w:webHidden/>
              </w:rPr>
              <w:fldChar w:fldCharType="separate"/>
            </w:r>
            <w:r w:rsidR="002D6403">
              <w:rPr>
                <w:noProof/>
                <w:webHidden/>
              </w:rPr>
              <w:t>6</w:t>
            </w:r>
            <w:r w:rsidR="0038309D">
              <w:rPr>
                <w:noProof/>
                <w:webHidden/>
              </w:rPr>
              <w:fldChar w:fldCharType="end"/>
            </w:r>
          </w:hyperlink>
        </w:p>
        <w:p w14:paraId="382C7CC1" w14:textId="28B514C4" w:rsidR="0038309D" w:rsidRDefault="009A1E37">
          <w:pPr>
            <w:pStyle w:val="TOC3"/>
            <w:tabs>
              <w:tab w:val="left" w:pos="1440"/>
              <w:tab w:val="right" w:leader="dot" w:pos="9016"/>
            </w:tabs>
            <w:rPr>
              <w:rFonts w:cstheme="minorBidi"/>
              <w:noProof/>
              <w:kern w:val="2"/>
              <w:sz w:val="24"/>
              <w:szCs w:val="24"/>
              <w:lang w:val="en-IE" w:eastAsia="en-IE"/>
              <w14:ligatures w14:val="standardContextual"/>
            </w:rPr>
          </w:pPr>
          <w:hyperlink w:anchor="_Toc218937021" w:history="1">
            <w:r w:rsidR="0038309D" w:rsidRPr="002E3D7E">
              <w:rPr>
                <w:rStyle w:val="Hyperlink"/>
                <w:noProof/>
              </w:rPr>
              <w:t>2.3.1.</w:t>
            </w:r>
            <w:r w:rsidR="0038309D">
              <w:rPr>
                <w:rFonts w:cstheme="minorBidi"/>
                <w:noProof/>
                <w:kern w:val="2"/>
                <w:sz w:val="24"/>
                <w:szCs w:val="24"/>
                <w:lang w:val="en-IE" w:eastAsia="en-IE"/>
                <w14:ligatures w14:val="standardContextual"/>
              </w:rPr>
              <w:tab/>
            </w:r>
            <w:r w:rsidR="0038309D" w:rsidRPr="002E3D7E">
              <w:rPr>
                <w:rStyle w:val="Hyperlink"/>
                <w:noProof/>
              </w:rPr>
              <w:t>Piani sociali per il clima</w:t>
            </w:r>
            <w:r w:rsidR="0038309D">
              <w:rPr>
                <w:noProof/>
                <w:webHidden/>
              </w:rPr>
              <w:tab/>
            </w:r>
            <w:r w:rsidR="0038309D">
              <w:rPr>
                <w:noProof/>
                <w:webHidden/>
              </w:rPr>
              <w:fldChar w:fldCharType="begin"/>
            </w:r>
            <w:r w:rsidR="0038309D">
              <w:rPr>
                <w:noProof/>
                <w:webHidden/>
              </w:rPr>
              <w:instrText xml:space="preserve"> PAGEREF _Toc218937021 \h </w:instrText>
            </w:r>
            <w:r w:rsidR="0038309D">
              <w:rPr>
                <w:noProof/>
                <w:webHidden/>
              </w:rPr>
            </w:r>
            <w:r w:rsidR="0038309D">
              <w:rPr>
                <w:noProof/>
                <w:webHidden/>
              </w:rPr>
              <w:fldChar w:fldCharType="separate"/>
            </w:r>
            <w:r w:rsidR="002D6403">
              <w:rPr>
                <w:noProof/>
                <w:webHidden/>
              </w:rPr>
              <w:t>6</w:t>
            </w:r>
            <w:r w:rsidR="0038309D">
              <w:rPr>
                <w:noProof/>
                <w:webHidden/>
              </w:rPr>
              <w:fldChar w:fldCharType="end"/>
            </w:r>
          </w:hyperlink>
        </w:p>
        <w:p w14:paraId="1DBABE06" w14:textId="6905B3CD" w:rsidR="0038309D" w:rsidRDefault="009A1E37">
          <w:pPr>
            <w:pStyle w:val="TOC1"/>
            <w:tabs>
              <w:tab w:val="left" w:pos="440"/>
              <w:tab w:val="right" w:leader="dot" w:pos="9016"/>
            </w:tabs>
            <w:rPr>
              <w:rFonts w:eastAsiaTheme="minorEastAsia"/>
              <w:noProof/>
              <w:sz w:val="24"/>
              <w:szCs w:val="24"/>
              <w:lang w:val="en-IE" w:eastAsia="en-IE"/>
            </w:rPr>
          </w:pPr>
          <w:hyperlink w:anchor="_Toc218937022" w:history="1">
            <w:r w:rsidR="0038309D" w:rsidRPr="002E3D7E">
              <w:rPr>
                <w:rStyle w:val="Hyperlink"/>
                <w:noProof/>
              </w:rPr>
              <w:t>3.</w:t>
            </w:r>
            <w:r w:rsidR="0038309D">
              <w:rPr>
                <w:rFonts w:eastAsiaTheme="minorEastAsia"/>
                <w:noProof/>
                <w:sz w:val="24"/>
                <w:szCs w:val="24"/>
                <w:lang w:val="en-IE" w:eastAsia="en-IE"/>
              </w:rPr>
              <w:tab/>
            </w:r>
            <w:r w:rsidR="0038309D" w:rsidRPr="002E3D7E">
              <w:rPr>
                <w:rStyle w:val="Hyperlink"/>
                <w:noProof/>
              </w:rPr>
              <w:t>Tetto massimo per le emissioni</w:t>
            </w:r>
            <w:r w:rsidR="0038309D">
              <w:rPr>
                <w:noProof/>
                <w:webHidden/>
              </w:rPr>
              <w:tab/>
            </w:r>
            <w:r w:rsidR="0038309D">
              <w:rPr>
                <w:noProof/>
                <w:webHidden/>
              </w:rPr>
              <w:fldChar w:fldCharType="begin"/>
            </w:r>
            <w:r w:rsidR="0038309D">
              <w:rPr>
                <w:noProof/>
                <w:webHidden/>
              </w:rPr>
              <w:instrText xml:space="preserve"> PAGEREF _Toc218937022 \h </w:instrText>
            </w:r>
            <w:r w:rsidR="0038309D">
              <w:rPr>
                <w:noProof/>
                <w:webHidden/>
              </w:rPr>
            </w:r>
            <w:r w:rsidR="0038309D">
              <w:rPr>
                <w:noProof/>
                <w:webHidden/>
              </w:rPr>
              <w:fldChar w:fldCharType="separate"/>
            </w:r>
            <w:r w:rsidR="002D6403">
              <w:rPr>
                <w:noProof/>
                <w:webHidden/>
              </w:rPr>
              <w:t>7</w:t>
            </w:r>
            <w:r w:rsidR="0038309D">
              <w:rPr>
                <w:noProof/>
                <w:webHidden/>
              </w:rPr>
              <w:fldChar w:fldCharType="end"/>
            </w:r>
          </w:hyperlink>
        </w:p>
        <w:p w14:paraId="2018B1B7" w14:textId="43F473B1" w:rsidR="0038309D" w:rsidRDefault="009A1E37">
          <w:pPr>
            <w:pStyle w:val="TOC1"/>
            <w:tabs>
              <w:tab w:val="left" w:pos="440"/>
              <w:tab w:val="right" w:leader="dot" w:pos="9016"/>
            </w:tabs>
            <w:rPr>
              <w:rFonts w:eastAsiaTheme="minorEastAsia"/>
              <w:noProof/>
              <w:sz w:val="24"/>
              <w:szCs w:val="24"/>
              <w:lang w:val="en-IE" w:eastAsia="en-IE"/>
            </w:rPr>
          </w:pPr>
          <w:hyperlink w:anchor="_Toc218937023" w:history="1">
            <w:r w:rsidR="0038309D" w:rsidRPr="002E3D7E">
              <w:rPr>
                <w:rStyle w:val="Hyperlink"/>
                <w:noProof/>
              </w:rPr>
              <w:t>4.</w:t>
            </w:r>
            <w:r w:rsidR="0038309D">
              <w:rPr>
                <w:rFonts w:eastAsiaTheme="minorEastAsia"/>
                <w:noProof/>
                <w:sz w:val="24"/>
                <w:szCs w:val="24"/>
                <w:lang w:val="en-IE" w:eastAsia="en-IE"/>
              </w:rPr>
              <w:tab/>
            </w:r>
            <w:r w:rsidR="0038309D" w:rsidRPr="002E3D7E">
              <w:rPr>
                <w:rStyle w:val="Hyperlink"/>
                <w:noProof/>
              </w:rPr>
              <w:t>Vendita all</w:t>
            </w:r>
            <w:r w:rsidR="00F06D2E">
              <w:rPr>
                <w:rStyle w:val="Hyperlink"/>
                <w:noProof/>
              </w:rPr>
              <w:t>'</w:t>
            </w:r>
            <w:r w:rsidR="0038309D" w:rsidRPr="002E3D7E">
              <w:rPr>
                <w:rStyle w:val="Hyperlink"/>
                <w:noProof/>
              </w:rPr>
              <w:t>asta delle quote di emissioni</w:t>
            </w:r>
            <w:r w:rsidR="0038309D">
              <w:rPr>
                <w:noProof/>
                <w:webHidden/>
              </w:rPr>
              <w:tab/>
            </w:r>
            <w:r w:rsidR="0038309D">
              <w:rPr>
                <w:noProof/>
                <w:webHidden/>
              </w:rPr>
              <w:fldChar w:fldCharType="begin"/>
            </w:r>
            <w:r w:rsidR="0038309D">
              <w:rPr>
                <w:noProof/>
                <w:webHidden/>
              </w:rPr>
              <w:instrText xml:space="preserve"> PAGEREF _Toc218937023 \h </w:instrText>
            </w:r>
            <w:r w:rsidR="0038309D">
              <w:rPr>
                <w:noProof/>
                <w:webHidden/>
              </w:rPr>
            </w:r>
            <w:r w:rsidR="0038309D">
              <w:rPr>
                <w:noProof/>
                <w:webHidden/>
              </w:rPr>
              <w:fldChar w:fldCharType="separate"/>
            </w:r>
            <w:r w:rsidR="002D6403">
              <w:rPr>
                <w:noProof/>
                <w:webHidden/>
              </w:rPr>
              <w:t>11</w:t>
            </w:r>
            <w:r w:rsidR="0038309D">
              <w:rPr>
                <w:noProof/>
                <w:webHidden/>
              </w:rPr>
              <w:fldChar w:fldCharType="end"/>
            </w:r>
          </w:hyperlink>
        </w:p>
        <w:p w14:paraId="6E668288" w14:textId="5D28305A"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24" w:history="1">
            <w:r w:rsidR="0038309D" w:rsidRPr="002E3D7E">
              <w:rPr>
                <w:rStyle w:val="Hyperlink"/>
                <w:noProof/>
              </w:rPr>
              <w:t>4.1.</w:t>
            </w:r>
            <w:r w:rsidR="0038309D">
              <w:rPr>
                <w:rFonts w:cstheme="minorBidi"/>
                <w:noProof/>
                <w:kern w:val="2"/>
                <w:sz w:val="24"/>
                <w:szCs w:val="24"/>
                <w:lang w:val="en-IE" w:eastAsia="en-IE"/>
                <w14:ligatures w14:val="standardContextual"/>
              </w:rPr>
              <w:tab/>
            </w:r>
            <w:r w:rsidR="0038309D" w:rsidRPr="002E3D7E">
              <w:rPr>
                <w:rStyle w:val="Hyperlink"/>
                <w:noProof/>
              </w:rPr>
              <w:t>Vendita all</w:t>
            </w:r>
            <w:r w:rsidR="00F06D2E">
              <w:rPr>
                <w:rStyle w:val="Hyperlink"/>
                <w:noProof/>
              </w:rPr>
              <w:t>'</w:t>
            </w:r>
            <w:r w:rsidR="0038309D" w:rsidRPr="002E3D7E">
              <w:rPr>
                <w:rStyle w:val="Hyperlink"/>
                <w:noProof/>
              </w:rPr>
              <w:t>asta e cancellazione di quote per via dell</w:t>
            </w:r>
            <w:r w:rsidR="00F06D2E">
              <w:rPr>
                <w:rStyle w:val="Hyperlink"/>
                <w:noProof/>
              </w:rPr>
              <w:t>'</w:t>
            </w:r>
            <w:r w:rsidR="0038309D" w:rsidRPr="002E3D7E">
              <w:rPr>
                <w:rStyle w:val="Hyperlink"/>
                <w:noProof/>
              </w:rPr>
              <w:t>ampliamento dell</w:t>
            </w:r>
            <w:r w:rsidR="00F06D2E">
              <w:rPr>
                <w:rStyle w:val="Hyperlink"/>
                <w:noProof/>
              </w:rPr>
              <w:t>'</w:t>
            </w:r>
            <w:r w:rsidR="0038309D" w:rsidRPr="002E3D7E">
              <w:rPr>
                <w:rStyle w:val="Hyperlink"/>
                <w:noProof/>
              </w:rPr>
              <w:t>ambito di applicazione dell</w:t>
            </w:r>
            <w:r w:rsidR="00F06D2E">
              <w:rPr>
                <w:rStyle w:val="Hyperlink"/>
                <w:noProof/>
              </w:rPr>
              <w:t>'</w:t>
            </w:r>
            <w:r w:rsidR="0038309D" w:rsidRPr="002E3D7E">
              <w:rPr>
                <w:rStyle w:val="Hyperlink"/>
                <w:noProof/>
              </w:rPr>
              <w:t>EU ETS al trasporto marittimo</w:t>
            </w:r>
            <w:r w:rsidR="0038309D">
              <w:rPr>
                <w:noProof/>
                <w:webHidden/>
              </w:rPr>
              <w:tab/>
            </w:r>
            <w:r w:rsidR="0038309D">
              <w:rPr>
                <w:noProof/>
                <w:webHidden/>
              </w:rPr>
              <w:fldChar w:fldCharType="begin"/>
            </w:r>
            <w:r w:rsidR="0038309D">
              <w:rPr>
                <w:noProof/>
                <w:webHidden/>
              </w:rPr>
              <w:instrText xml:space="preserve"> PAGEREF _Toc218937024 \h </w:instrText>
            </w:r>
            <w:r w:rsidR="0038309D">
              <w:rPr>
                <w:noProof/>
                <w:webHidden/>
              </w:rPr>
            </w:r>
            <w:r w:rsidR="0038309D">
              <w:rPr>
                <w:noProof/>
                <w:webHidden/>
              </w:rPr>
              <w:fldChar w:fldCharType="separate"/>
            </w:r>
            <w:r w:rsidR="002D6403">
              <w:rPr>
                <w:noProof/>
                <w:webHidden/>
              </w:rPr>
              <w:t>12</w:t>
            </w:r>
            <w:r w:rsidR="0038309D">
              <w:rPr>
                <w:noProof/>
                <w:webHidden/>
              </w:rPr>
              <w:fldChar w:fldCharType="end"/>
            </w:r>
          </w:hyperlink>
        </w:p>
        <w:p w14:paraId="6DAA9F6D" w14:textId="57E1EA07"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25" w:history="1">
            <w:r w:rsidR="0038309D" w:rsidRPr="002E3D7E">
              <w:rPr>
                <w:rStyle w:val="Hyperlink"/>
                <w:noProof/>
              </w:rPr>
              <w:t>4.2.</w:t>
            </w:r>
            <w:r w:rsidR="0038309D">
              <w:rPr>
                <w:rFonts w:cstheme="minorBidi"/>
                <w:noProof/>
                <w:kern w:val="2"/>
                <w:sz w:val="24"/>
                <w:szCs w:val="24"/>
                <w:lang w:val="en-IE" w:eastAsia="en-IE"/>
                <w14:ligatures w14:val="standardContextual"/>
              </w:rPr>
              <w:tab/>
            </w:r>
            <w:r w:rsidR="0038309D" w:rsidRPr="002E3D7E">
              <w:rPr>
                <w:rStyle w:val="Hyperlink"/>
                <w:noProof/>
              </w:rPr>
              <w:t>Flessibilità prevista dal regolamento sulla condivisione degli sforzi</w:t>
            </w:r>
            <w:r w:rsidR="0038309D">
              <w:rPr>
                <w:noProof/>
                <w:webHidden/>
              </w:rPr>
              <w:tab/>
            </w:r>
            <w:r w:rsidR="0038309D">
              <w:rPr>
                <w:noProof/>
                <w:webHidden/>
              </w:rPr>
              <w:fldChar w:fldCharType="begin"/>
            </w:r>
            <w:r w:rsidR="0038309D">
              <w:rPr>
                <w:noProof/>
                <w:webHidden/>
              </w:rPr>
              <w:instrText xml:space="preserve"> PAGEREF _Toc218937025 \h </w:instrText>
            </w:r>
            <w:r w:rsidR="0038309D">
              <w:rPr>
                <w:noProof/>
                <w:webHidden/>
              </w:rPr>
            </w:r>
            <w:r w:rsidR="0038309D">
              <w:rPr>
                <w:noProof/>
                <w:webHidden/>
              </w:rPr>
              <w:fldChar w:fldCharType="separate"/>
            </w:r>
            <w:r w:rsidR="002D6403">
              <w:rPr>
                <w:noProof/>
                <w:webHidden/>
              </w:rPr>
              <w:t>13</w:t>
            </w:r>
            <w:r w:rsidR="0038309D">
              <w:rPr>
                <w:noProof/>
                <w:webHidden/>
              </w:rPr>
              <w:fldChar w:fldCharType="end"/>
            </w:r>
          </w:hyperlink>
        </w:p>
        <w:p w14:paraId="45B31AE6" w14:textId="6E60421F"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26" w:history="1">
            <w:r w:rsidR="0038309D" w:rsidRPr="002E3D7E">
              <w:rPr>
                <w:rStyle w:val="Hyperlink"/>
                <w:noProof/>
              </w:rPr>
              <w:t>4.3.</w:t>
            </w:r>
            <w:r w:rsidR="0038309D">
              <w:rPr>
                <w:rFonts w:cstheme="minorBidi"/>
                <w:noProof/>
                <w:kern w:val="2"/>
                <w:sz w:val="24"/>
                <w:szCs w:val="24"/>
                <w:lang w:val="en-IE" w:eastAsia="en-IE"/>
                <w14:ligatures w14:val="standardContextual"/>
              </w:rPr>
              <w:tab/>
            </w:r>
            <w:r w:rsidR="0038309D" w:rsidRPr="002E3D7E">
              <w:rPr>
                <w:rStyle w:val="Hyperlink"/>
                <w:noProof/>
              </w:rPr>
              <w:t>Cancellazione volontaria di quote</w:t>
            </w:r>
            <w:r w:rsidR="0038309D">
              <w:rPr>
                <w:noProof/>
                <w:webHidden/>
              </w:rPr>
              <w:tab/>
            </w:r>
            <w:r w:rsidR="0038309D">
              <w:rPr>
                <w:noProof/>
                <w:webHidden/>
              </w:rPr>
              <w:fldChar w:fldCharType="begin"/>
            </w:r>
            <w:r w:rsidR="0038309D">
              <w:rPr>
                <w:noProof/>
                <w:webHidden/>
              </w:rPr>
              <w:instrText xml:space="preserve"> PAGEREF _Toc218937026 \h </w:instrText>
            </w:r>
            <w:r w:rsidR="0038309D">
              <w:rPr>
                <w:noProof/>
                <w:webHidden/>
              </w:rPr>
            </w:r>
            <w:r w:rsidR="0038309D">
              <w:rPr>
                <w:noProof/>
                <w:webHidden/>
              </w:rPr>
              <w:fldChar w:fldCharType="separate"/>
            </w:r>
            <w:r w:rsidR="002D6403">
              <w:rPr>
                <w:noProof/>
                <w:webHidden/>
              </w:rPr>
              <w:t>13</w:t>
            </w:r>
            <w:r w:rsidR="0038309D">
              <w:rPr>
                <w:noProof/>
                <w:webHidden/>
              </w:rPr>
              <w:fldChar w:fldCharType="end"/>
            </w:r>
          </w:hyperlink>
        </w:p>
        <w:p w14:paraId="031BBE9A" w14:textId="6B726049" w:rsidR="0038309D" w:rsidRDefault="009A1E37">
          <w:pPr>
            <w:pStyle w:val="TOC1"/>
            <w:tabs>
              <w:tab w:val="left" w:pos="440"/>
              <w:tab w:val="right" w:leader="dot" w:pos="9016"/>
            </w:tabs>
            <w:rPr>
              <w:rFonts w:eastAsiaTheme="minorEastAsia"/>
              <w:noProof/>
              <w:sz w:val="24"/>
              <w:szCs w:val="24"/>
              <w:lang w:val="en-IE" w:eastAsia="en-IE"/>
            </w:rPr>
          </w:pPr>
          <w:hyperlink w:anchor="_Toc218937027" w:history="1">
            <w:r w:rsidR="0038309D" w:rsidRPr="002E3D7E">
              <w:rPr>
                <w:rStyle w:val="Hyperlink"/>
                <w:noProof/>
              </w:rPr>
              <w:t>5.</w:t>
            </w:r>
            <w:r w:rsidR="0038309D">
              <w:rPr>
                <w:rFonts w:eastAsiaTheme="minorEastAsia"/>
                <w:noProof/>
                <w:sz w:val="24"/>
                <w:szCs w:val="24"/>
                <w:lang w:val="en-IE" w:eastAsia="en-IE"/>
              </w:rPr>
              <w:tab/>
            </w:r>
            <w:r w:rsidR="0038309D" w:rsidRPr="002E3D7E">
              <w:rPr>
                <w:rStyle w:val="Hyperlink"/>
                <w:noProof/>
              </w:rPr>
              <w:t>Assegnazione di quote di emissioni a titolo gratuito</w:t>
            </w:r>
            <w:r w:rsidR="0038309D">
              <w:rPr>
                <w:noProof/>
                <w:webHidden/>
              </w:rPr>
              <w:tab/>
            </w:r>
            <w:r w:rsidR="0038309D">
              <w:rPr>
                <w:noProof/>
                <w:webHidden/>
              </w:rPr>
              <w:fldChar w:fldCharType="begin"/>
            </w:r>
            <w:r w:rsidR="0038309D">
              <w:rPr>
                <w:noProof/>
                <w:webHidden/>
              </w:rPr>
              <w:instrText xml:space="preserve"> PAGEREF _Toc218937027 \h </w:instrText>
            </w:r>
            <w:r w:rsidR="0038309D">
              <w:rPr>
                <w:noProof/>
                <w:webHidden/>
              </w:rPr>
            </w:r>
            <w:r w:rsidR="0038309D">
              <w:rPr>
                <w:noProof/>
                <w:webHidden/>
              </w:rPr>
              <w:fldChar w:fldCharType="separate"/>
            </w:r>
            <w:r w:rsidR="002D6403">
              <w:rPr>
                <w:noProof/>
                <w:webHidden/>
              </w:rPr>
              <w:t>14</w:t>
            </w:r>
            <w:r w:rsidR="0038309D">
              <w:rPr>
                <w:noProof/>
                <w:webHidden/>
              </w:rPr>
              <w:fldChar w:fldCharType="end"/>
            </w:r>
          </w:hyperlink>
        </w:p>
        <w:p w14:paraId="5A6BD3A4" w14:textId="234ADE44"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28" w:history="1">
            <w:r w:rsidR="0038309D" w:rsidRPr="002E3D7E">
              <w:rPr>
                <w:rStyle w:val="Hyperlink"/>
                <w:noProof/>
              </w:rPr>
              <w:t>5.1.</w:t>
            </w:r>
            <w:r w:rsidR="0038309D">
              <w:rPr>
                <w:rFonts w:cstheme="minorBidi"/>
                <w:noProof/>
                <w:kern w:val="2"/>
                <w:sz w:val="24"/>
                <w:szCs w:val="24"/>
                <w:lang w:val="en-IE" w:eastAsia="en-IE"/>
                <w14:ligatures w14:val="standardContextual"/>
              </w:rPr>
              <w:tab/>
            </w:r>
            <w:r w:rsidR="0038309D" w:rsidRPr="002E3D7E">
              <w:rPr>
                <w:rStyle w:val="Hyperlink"/>
                <w:noProof/>
              </w:rPr>
              <w:t>Meccanismo di adeguamento del carbonio alle frontiere</w:t>
            </w:r>
            <w:r w:rsidR="0038309D">
              <w:rPr>
                <w:noProof/>
                <w:webHidden/>
              </w:rPr>
              <w:tab/>
            </w:r>
            <w:r w:rsidR="0038309D">
              <w:rPr>
                <w:noProof/>
                <w:webHidden/>
              </w:rPr>
              <w:fldChar w:fldCharType="begin"/>
            </w:r>
            <w:r w:rsidR="0038309D">
              <w:rPr>
                <w:noProof/>
                <w:webHidden/>
              </w:rPr>
              <w:instrText xml:space="preserve"> PAGEREF _Toc218937028 \h </w:instrText>
            </w:r>
            <w:r w:rsidR="0038309D">
              <w:rPr>
                <w:noProof/>
                <w:webHidden/>
              </w:rPr>
            </w:r>
            <w:r w:rsidR="0038309D">
              <w:rPr>
                <w:noProof/>
                <w:webHidden/>
              </w:rPr>
              <w:fldChar w:fldCharType="separate"/>
            </w:r>
            <w:r w:rsidR="002D6403">
              <w:rPr>
                <w:noProof/>
                <w:webHidden/>
              </w:rPr>
              <w:t>17</w:t>
            </w:r>
            <w:r w:rsidR="0038309D">
              <w:rPr>
                <w:noProof/>
                <w:webHidden/>
              </w:rPr>
              <w:fldChar w:fldCharType="end"/>
            </w:r>
          </w:hyperlink>
        </w:p>
        <w:p w14:paraId="75A30F2C" w14:textId="47D7AED0" w:rsidR="0038309D" w:rsidRDefault="009A1E37">
          <w:pPr>
            <w:pStyle w:val="TOC1"/>
            <w:tabs>
              <w:tab w:val="left" w:pos="440"/>
              <w:tab w:val="right" w:leader="dot" w:pos="9016"/>
            </w:tabs>
            <w:rPr>
              <w:rFonts w:eastAsiaTheme="minorEastAsia"/>
              <w:noProof/>
              <w:sz w:val="24"/>
              <w:szCs w:val="24"/>
              <w:lang w:val="en-IE" w:eastAsia="en-IE"/>
            </w:rPr>
          </w:pPr>
          <w:hyperlink w:anchor="_Toc218937029" w:history="1">
            <w:r w:rsidR="0038309D" w:rsidRPr="002E3D7E">
              <w:rPr>
                <w:rStyle w:val="Hyperlink"/>
                <w:noProof/>
              </w:rPr>
              <w:t>6.</w:t>
            </w:r>
            <w:r w:rsidR="0038309D">
              <w:rPr>
                <w:rFonts w:eastAsiaTheme="minorEastAsia"/>
                <w:noProof/>
                <w:sz w:val="24"/>
                <w:szCs w:val="24"/>
                <w:lang w:val="en-IE" w:eastAsia="en-IE"/>
              </w:rPr>
              <w:tab/>
            </w:r>
            <w:r w:rsidR="0038309D" w:rsidRPr="002E3D7E">
              <w:rPr>
                <w:rStyle w:val="Hyperlink"/>
                <w:noProof/>
              </w:rPr>
              <w:t>Mercato del carbonio dell</w:t>
            </w:r>
            <w:r w:rsidR="00F06D2E">
              <w:rPr>
                <w:rStyle w:val="Hyperlink"/>
                <w:noProof/>
              </w:rPr>
              <w:t>'</w:t>
            </w:r>
            <w:r w:rsidR="0038309D" w:rsidRPr="002E3D7E">
              <w:rPr>
                <w:rStyle w:val="Hyperlink"/>
                <w:noProof/>
              </w:rPr>
              <w:t>UE</w:t>
            </w:r>
            <w:r w:rsidR="0038309D">
              <w:rPr>
                <w:noProof/>
                <w:webHidden/>
              </w:rPr>
              <w:tab/>
            </w:r>
            <w:r w:rsidR="0038309D">
              <w:rPr>
                <w:noProof/>
                <w:webHidden/>
              </w:rPr>
              <w:fldChar w:fldCharType="begin"/>
            </w:r>
            <w:r w:rsidR="0038309D">
              <w:rPr>
                <w:noProof/>
                <w:webHidden/>
              </w:rPr>
              <w:instrText xml:space="preserve"> PAGEREF _Toc218937029 \h </w:instrText>
            </w:r>
            <w:r w:rsidR="0038309D">
              <w:rPr>
                <w:noProof/>
                <w:webHidden/>
              </w:rPr>
            </w:r>
            <w:r w:rsidR="0038309D">
              <w:rPr>
                <w:noProof/>
                <w:webHidden/>
              </w:rPr>
              <w:fldChar w:fldCharType="separate"/>
            </w:r>
            <w:r w:rsidR="002D6403">
              <w:rPr>
                <w:noProof/>
                <w:webHidden/>
              </w:rPr>
              <w:t>18</w:t>
            </w:r>
            <w:r w:rsidR="0038309D">
              <w:rPr>
                <w:noProof/>
                <w:webHidden/>
              </w:rPr>
              <w:fldChar w:fldCharType="end"/>
            </w:r>
          </w:hyperlink>
        </w:p>
        <w:p w14:paraId="0B89FE9A" w14:textId="69B68FA7"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30" w:history="1">
            <w:r w:rsidR="0038309D" w:rsidRPr="002E3D7E">
              <w:rPr>
                <w:rStyle w:val="Hyperlink"/>
                <w:noProof/>
              </w:rPr>
              <w:t>6.1.</w:t>
            </w:r>
            <w:r w:rsidR="0038309D">
              <w:rPr>
                <w:rFonts w:cstheme="minorBidi"/>
                <w:noProof/>
                <w:kern w:val="2"/>
                <w:sz w:val="24"/>
                <w:szCs w:val="24"/>
                <w:lang w:val="en-IE" w:eastAsia="en-IE"/>
                <w14:ligatures w14:val="standardContextual"/>
              </w:rPr>
              <w:tab/>
            </w:r>
            <w:r w:rsidR="0038309D" w:rsidRPr="002E3D7E">
              <w:rPr>
                <w:rStyle w:val="Hyperlink"/>
                <w:noProof/>
              </w:rPr>
              <w:t>Equilibrio fra domanda e offerta</w:t>
            </w:r>
            <w:r w:rsidR="0038309D">
              <w:rPr>
                <w:noProof/>
                <w:webHidden/>
              </w:rPr>
              <w:tab/>
            </w:r>
            <w:r w:rsidR="0038309D">
              <w:rPr>
                <w:noProof/>
                <w:webHidden/>
              </w:rPr>
              <w:fldChar w:fldCharType="begin"/>
            </w:r>
            <w:r w:rsidR="0038309D">
              <w:rPr>
                <w:noProof/>
                <w:webHidden/>
              </w:rPr>
              <w:instrText xml:space="preserve"> PAGEREF _Toc218937030 \h </w:instrText>
            </w:r>
            <w:r w:rsidR="0038309D">
              <w:rPr>
                <w:noProof/>
                <w:webHidden/>
              </w:rPr>
            </w:r>
            <w:r w:rsidR="0038309D">
              <w:rPr>
                <w:noProof/>
                <w:webHidden/>
              </w:rPr>
              <w:fldChar w:fldCharType="separate"/>
            </w:r>
            <w:r w:rsidR="002D6403">
              <w:rPr>
                <w:noProof/>
                <w:webHidden/>
              </w:rPr>
              <w:t>18</w:t>
            </w:r>
            <w:r w:rsidR="0038309D">
              <w:rPr>
                <w:noProof/>
                <w:webHidden/>
              </w:rPr>
              <w:fldChar w:fldCharType="end"/>
            </w:r>
          </w:hyperlink>
        </w:p>
        <w:p w14:paraId="47F917E9" w14:textId="6D6347E7"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31" w:history="1">
            <w:r w:rsidR="0038309D" w:rsidRPr="002E3D7E">
              <w:rPr>
                <w:rStyle w:val="Hyperlink"/>
                <w:noProof/>
              </w:rPr>
              <w:t>6.2.</w:t>
            </w:r>
            <w:r w:rsidR="0038309D">
              <w:rPr>
                <w:rFonts w:cstheme="minorBidi"/>
                <w:noProof/>
                <w:kern w:val="2"/>
                <w:sz w:val="24"/>
                <w:szCs w:val="24"/>
                <w:lang w:val="en-IE" w:eastAsia="en-IE"/>
                <w14:ligatures w14:val="standardContextual"/>
              </w:rPr>
              <w:tab/>
            </w:r>
            <w:r w:rsidR="0038309D" w:rsidRPr="002E3D7E">
              <w:rPr>
                <w:rStyle w:val="Hyperlink"/>
                <w:noProof/>
              </w:rPr>
              <w:t>Sorveglianza del mercato</w:t>
            </w:r>
            <w:r w:rsidR="0038309D">
              <w:rPr>
                <w:noProof/>
                <w:webHidden/>
              </w:rPr>
              <w:tab/>
            </w:r>
            <w:r w:rsidR="0038309D">
              <w:rPr>
                <w:noProof/>
                <w:webHidden/>
              </w:rPr>
              <w:fldChar w:fldCharType="begin"/>
            </w:r>
            <w:r w:rsidR="0038309D">
              <w:rPr>
                <w:noProof/>
                <w:webHidden/>
              </w:rPr>
              <w:instrText xml:space="preserve"> PAGEREF _Toc218937031 \h </w:instrText>
            </w:r>
            <w:r w:rsidR="0038309D">
              <w:rPr>
                <w:noProof/>
                <w:webHidden/>
              </w:rPr>
            </w:r>
            <w:r w:rsidR="0038309D">
              <w:rPr>
                <w:noProof/>
                <w:webHidden/>
              </w:rPr>
              <w:fldChar w:fldCharType="separate"/>
            </w:r>
            <w:r w:rsidR="002D6403">
              <w:rPr>
                <w:noProof/>
                <w:webHidden/>
              </w:rPr>
              <w:t>19</w:t>
            </w:r>
            <w:r w:rsidR="0038309D">
              <w:rPr>
                <w:noProof/>
                <w:webHidden/>
              </w:rPr>
              <w:fldChar w:fldCharType="end"/>
            </w:r>
          </w:hyperlink>
        </w:p>
        <w:p w14:paraId="3A1727CD" w14:textId="352738D0" w:rsidR="0038309D" w:rsidRDefault="009A1E37">
          <w:pPr>
            <w:pStyle w:val="TOC1"/>
            <w:tabs>
              <w:tab w:val="left" w:pos="440"/>
              <w:tab w:val="right" w:leader="dot" w:pos="9016"/>
            </w:tabs>
            <w:rPr>
              <w:rFonts w:eastAsiaTheme="minorEastAsia"/>
              <w:noProof/>
              <w:sz w:val="24"/>
              <w:szCs w:val="24"/>
              <w:lang w:val="en-IE" w:eastAsia="en-IE"/>
            </w:rPr>
          </w:pPr>
          <w:hyperlink w:anchor="_Toc218937032" w:history="1">
            <w:r w:rsidR="0038309D" w:rsidRPr="002E3D7E">
              <w:rPr>
                <w:rStyle w:val="Hyperlink"/>
                <w:noProof/>
              </w:rPr>
              <w:t>7.</w:t>
            </w:r>
            <w:r w:rsidR="0038309D">
              <w:rPr>
                <w:rFonts w:eastAsiaTheme="minorEastAsia"/>
                <w:noProof/>
                <w:sz w:val="24"/>
                <w:szCs w:val="24"/>
                <w:lang w:val="en-IE" w:eastAsia="en-IE"/>
              </w:rPr>
              <w:tab/>
            </w:r>
            <w:r w:rsidR="0038309D" w:rsidRPr="002E3D7E">
              <w:rPr>
                <w:rStyle w:val="Hyperlink"/>
                <w:noProof/>
              </w:rPr>
              <w:t>Andamento delle emissioni</w:t>
            </w:r>
            <w:r w:rsidR="0038309D">
              <w:rPr>
                <w:noProof/>
                <w:webHidden/>
              </w:rPr>
              <w:tab/>
            </w:r>
            <w:r w:rsidR="0038309D">
              <w:rPr>
                <w:noProof/>
                <w:webHidden/>
              </w:rPr>
              <w:fldChar w:fldCharType="begin"/>
            </w:r>
            <w:r w:rsidR="0038309D">
              <w:rPr>
                <w:noProof/>
                <w:webHidden/>
              </w:rPr>
              <w:instrText xml:space="preserve"> PAGEREF _Toc218937032 \h </w:instrText>
            </w:r>
            <w:r w:rsidR="0038309D">
              <w:rPr>
                <w:noProof/>
                <w:webHidden/>
              </w:rPr>
            </w:r>
            <w:r w:rsidR="0038309D">
              <w:rPr>
                <w:noProof/>
                <w:webHidden/>
              </w:rPr>
              <w:fldChar w:fldCharType="separate"/>
            </w:r>
            <w:r w:rsidR="002D6403">
              <w:rPr>
                <w:noProof/>
                <w:webHidden/>
              </w:rPr>
              <w:t>22</w:t>
            </w:r>
            <w:r w:rsidR="0038309D">
              <w:rPr>
                <w:noProof/>
                <w:webHidden/>
              </w:rPr>
              <w:fldChar w:fldCharType="end"/>
            </w:r>
          </w:hyperlink>
        </w:p>
        <w:p w14:paraId="255EBB5E" w14:textId="4F609953"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33" w:history="1">
            <w:r w:rsidR="0038309D" w:rsidRPr="002E3D7E">
              <w:rPr>
                <w:rStyle w:val="Hyperlink"/>
                <w:noProof/>
              </w:rPr>
              <w:t>7.1.</w:t>
            </w:r>
            <w:r w:rsidR="0038309D">
              <w:rPr>
                <w:rFonts w:cstheme="minorBidi"/>
                <w:noProof/>
                <w:kern w:val="2"/>
                <w:sz w:val="24"/>
                <w:szCs w:val="24"/>
                <w:lang w:val="en-IE" w:eastAsia="en-IE"/>
                <w14:ligatures w14:val="standardContextual"/>
              </w:rPr>
              <w:tab/>
            </w:r>
            <w:r w:rsidR="0038309D" w:rsidRPr="002E3D7E">
              <w:rPr>
                <w:rStyle w:val="Hyperlink"/>
                <w:noProof/>
              </w:rPr>
              <w:t>Emissioni prodotte dalla combustione di combustibili fossili negli impianti</w:t>
            </w:r>
            <w:r w:rsidR="0038309D">
              <w:rPr>
                <w:noProof/>
                <w:webHidden/>
              </w:rPr>
              <w:tab/>
            </w:r>
            <w:r w:rsidR="0038309D">
              <w:rPr>
                <w:noProof/>
                <w:webHidden/>
              </w:rPr>
              <w:fldChar w:fldCharType="begin"/>
            </w:r>
            <w:r w:rsidR="0038309D">
              <w:rPr>
                <w:noProof/>
                <w:webHidden/>
              </w:rPr>
              <w:instrText xml:space="preserve"> PAGEREF _Toc218937033 \h </w:instrText>
            </w:r>
            <w:r w:rsidR="0038309D">
              <w:rPr>
                <w:noProof/>
                <w:webHidden/>
              </w:rPr>
            </w:r>
            <w:r w:rsidR="0038309D">
              <w:rPr>
                <w:noProof/>
                <w:webHidden/>
              </w:rPr>
              <w:fldChar w:fldCharType="separate"/>
            </w:r>
            <w:r w:rsidR="002D6403">
              <w:rPr>
                <w:noProof/>
                <w:webHidden/>
              </w:rPr>
              <w:t>24</w:t>
            </w:r>
            <w:r w:rsidR="0038309D">
              <w:rPr>
                <w:noProof/>
                <w:webHidden/>
              </w:rPr>
              <w:fldChar w:fldCharType="end"/>
            </w:r>
          </w:hyperlink>
        </w:p>
        <w:p w14:paraId="3E46BB19" w14:textId="0F55A2E5" w:rsidR="0038309D" w:rsidRDefault="009A1E37">
          <w:pPr>
            <w:pStyle w:val="TOC1"/>
            <w:tabs>
              <w:tab w:val="left" w:pos="440"/>
              <w:tab w:val="right" w:leader="dot" w:pos="9016"/>
            </w:tabs>
            <w:rPr>
              <w:rFonts w:eastAsiaTheme="minorEastAsia"/>
              <w:noProof/>
              <w:sz w:val="24"/>
              <w:szCs w:val="24"/>
              <w:lang w:val="en-IE" w:eastAsia="en-IE"/>
            </w:rPr>
          </w:pPr>
          <w:hyperlink w:anchor="_Toc218937034" w:history="1">
            <w:r w:rsidR="0038309D" w:rsidRPr="002E3D7E">
              <w:rPr>
                <w:rStyle w:val="Hyperlink"/>
                <w:noProof/>
              </w:rPr>
              <w:t>8.</w:t>
            </w:r>
            <w:r w:rsidR="0038309D">
              <w:rPr>
                <w:rFonts w:eastAsiaTheme="minorEastAsia"/>
                <w:noProof/>
                <w:sz w:val="24"/>
                <w:szCs w:val="24"/>
                <w:lang w:val="en-IE" w:eastAsia="en-IE"/>
              </w:rPr>
              <w:tab/>
            </w:r>
            <w:r w:rsidR="0038309D" w:rsidRPr="002E3D7E">
              <w:rPr>
                <w:rStyle w:val="Hyperlink"/>
                <w:noProof/>
              </w:rPr>
              <w:t>Entrate generate dall</w:t>
            </w:r>
            <w:r w:rsidR="00F06D2E">
              <w:rPr>
                <w:rStyle w:val="Hyperlink"/>
                <w:noProof/>
              </w:rPr>
              <w:t>'</w:t>
            </w:r>
            <w:r w:rsidR="0038309D" w:rsidRPr="002E3D7E">
              <w:rPr>
                <w:rStyle w:val="Hyperlink"/>
                <w:noProof/>
              </w:rPr>
              <w:t>EU ETS</w:t>
            </w:r>
            <w:r w:rsidR="0038309D">
              <w:rPr>
                <w:noProof/>
                <w:webHidden/>
              </w:rPr>
              <w:tab/>
            </w:r>
            <w:r w:rsidR="0038309D">
              <w:rPr>
                <w:noProof/>
                <w:webHidden/>
              </w:rPr>
              <w:fldChar w:fldCharType="begin"/>
            </w:r>
            <w:r w:rsidR="0038309D">
              <w:rPr>
                <w:noProof/>
                <w:webHidden/>
              </w:rPr>
              <w:instrText xml:space="preserve"> PAGEREF _Toc218937034 \h </w:instrText>
            </w:r>
            <w:r w:rsidR="0038309D">
              <w:rPr>
                <w:noProof/>
                <w:webHidden/>
              </w:rPr>
            </w:r>
            <w:r w:rsidR="0038309D">
              <w:rPr>
                <w:noProof/>
                <w:webHidden/>
              </w:rPr>
              <w:fldChar w:fldCharType="separate"/>
            </w:r>
            <w:r w:rsidR="002D6403">
              <w:rPr>
                <w:noProof/>
                <w:webHidden/>
              </w:rPr>
              <w:t>25</w:t>
            </w:r>
            <w:r w:rsidR="0038309D">
              <w:rPr>
                <w:noProof/>
                <w:webHidden/>
              </w:rPr>
              <w:fldChar w:fldCharType="end"/>
            </w:r>
          </w:hyperlink>
        </w:p>
        <w:p w14:paraId="3A847F88" w14:textId="3AC054B4"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35" w:history="1">
            <w:r w:rsidR="0038309D" w:rsidRPr="002E3D7E">
              <w:rPr>
                <w:rStyle w:val="Hyperlink"/>
                <w:noProof/>
              </w:rPr>
              <w:t>8.1.</w:t>
            </w:r>
            <w:r w:rsidR="0038309D">
              <w:rPr>
                <w:rFonts w:cstheme="minorBidi"/>
                <w:noProof/>
                <w:kern w:val="2"/>
                <w:sz w:val="24"/>
                <w:szCs w:val="24"/>
                <w:lang w:val="en-IE" w:eastAsia="en-IE"/>
                <w14:ligatures w14:val="standardContextual"/>
              </w:rPr>
              <w:tab/>
            </w:r>
            <w:r w:rsidR="0038309D" w:rsidRPr="002E3D7E">
              <w:rPr>
                <w:rStyle w:val="Hyperlink"/>
                <w:noProof/>
              </w:rPr>
              <w:t>Aiuti per i costi indiretti</w:t>
            </w:r>
            <w:r w:rsidR="0038309D">
              <w:rPr>
                <w:noProof/>
                <w:webHidden/>
              </w:rPr>
              <w:tab/>
            </w:r>
            <w:r w:rsidR="0038309D">
              <w:rPr>
                <w:noProof/>
                <w:webHidden/>
              </w:rPr>
              <w:fldChar w:fldCharType="begin"/>
            </w:r>
            <w:r w:rsidR="0038309D">
              <w:rPr>
                <w:noProof/>
                <w:webHidden/>
              </w:rPr>
              <w:instrText xml:space="preserve"> PAGEREF _Toc218937035 \h </w:instrText>
            </w:r>
            <w:r w:rsidR="0038309D">
              <w:rPr>
                <w:noProof/>
                <w:webHidden/>
              </w:rPr>
            </w:r>
            <w:r w:rsidR="0038309D">
              <w:rPr>
                <w:noProof/>
                <w:webHidden/>
              </w:rPr>
              <w:fldChar w:fldCharType="separate"/>
            </w:r>
            <w:r w:rsidR="002D6403">
              <w:rPr>
                <w:noProof/>
                <w:webHidden/>
              </w:rPr>
              <w:t>29</w:t>
            </w:r>
            <w:r w:rsidR="0038309D">
              <w:rPr>
                <w:noProof/>
                <w:webHidden/>
              </w:rPr>
              <w:fldChar w:fldCharType="end"/>
            </w:r>
          </w:hyperlink>
        </w:p>
        <w:p w14:paraId="081D48E5" w14:textId="2920D829"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36" w:history="1">
            <w:r w:rsidR="0038309D" w:rsidRPr="002E3D7E">
              <w:rPr>
                <w:rStyle w:val="Hyperlink"/>
                <w:noProof/>
              </w:rPr>
              <w:t>8.2.</w:t>
            </w:r>
            <w:r w:rsidR="0038309D">
              <w:rPr>
                <w:rFonts w:cstheme="minorBidi"/>
                <w:noProof/>
                <w:kern w:val="2"/>
                <w:sz w:val="24"/>
                <w:szCs w:val="24"/>
                <w:lang w:val="en-IE" w:eastAsia="en-IE"/>
                <w14:ligatures w14:val="standardContextual"/>
              </w:rPr>
              <w:tab/>
            </w:r>
            <w:r w:rsidR="0038309D" w:rsidRPr="002E3D7E">
              <w:rPr>
                <w:rStyle w:val="Hyperlink"/>
                <w:noProof/>
              </w:rPr>
              <w:t>Fondo per l</w:t>
            </w:r>
            <w:r w:rsidR="00F06D2E">
              <w:rPr>
                <w:rStyle w:val="Hyperlink"/>
                <w:noProof/>
              </w:rPr>
              <w:t>'</w:t>
            </w:r>
            <w:r w:rsidR="0038309D" w:rsidRPr="002E3D7E">
              <w:rPr>
                <w:rStyle w:val="Hyperlink"/>
                <w:noProof/>
              </w:rPr>
              <w:t>innovazione dell</w:t>
            </w:r>
            <w:r w:rsidR="00F06D2E">
              <w:rPr>
                <w:rStyle w:val="Hyperlink"/>
                <w:noProof/>
              </w:rPr>
              <w:t>'</w:t>
            </w:r>
            <w:r w:rsidR="0038309D" w:rsidRPr="002E3D7E">
              <w:rPr>
                <w:rStyle w:val="Hyperlink"/>
                <w:noProof/>
              </w:rPr>
              <w:t>ETS</w:t>
            </w:r>
            <w:r w:rsidR="0038309D">
              <w:rPr>
                <w:noProof/>
                <w:webHidden/>
              </w:rPr>
              <w:tab/>
            </w:r>
            <w:r w:rsidR="0038309D">
              <w:rPr>
                <w:noProof/>
                <w:webHidden/>
              </w:rPr>
              <w:fldChar w:fldCharType="begin"/>
            </w:r>
            <w:r w:rsidR="0038309D">
              <w:rPr>
                <w:noProof/>
                <w:webHidden/>
              </w:rPr>
              <w:instrText xml:space="preserve"> PAGEREF _Toc218937036 \h </w:instrText>
            </w:r>
            <w:r w:rsidR="0038309D">
              <w:rPr>
                <w:noProof/>
                <w:webHidden/>
              </w:rPr>
            </w:r>
            <w:r w:rsidR="0038309D">
              <w:rPr>
                <w:noProof/>
                <w:webHidden/>
              </w:rPr>
              <w:fldChar w:fldCharType="separate"/>
            </w:r>
            <w:r w:rsidR="002D6403">
              <w:rPr>
                <w:noProof/>
                <w:webHidden/>
              </w:rPr>
              <w:t>31</w:t>
            </w:r>
            <w:r w:rsidR="0038309D">
              <w:rPr>
                <w:noProof/>
                <w:webHidden/>
              </w:rPr>
              <w:fldChar w:fldCharType="end"/>
            </w:r>
          </w:hyperlink>
        </w:p>
        <w:p w14:paraId="66822D6A" w14:textId="5EFA2009"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37" w:history="1">
            <w:r w:rsidR="0038309D" w:rsidRPr="002E3D7E">
              <w:rPr>
                <w:rStyle w:val="Hyperlink"/>
                <w:noProof/>
              </w:rPr>
              <w:t>8.3.</w:t>
            </w:r>
            <w:r w:rsidR="0038309D">
              <w:rPr>
                <w:rFonts w:cstheme="minorBidi"/>
                <w:noProof/>
                <w:kern w:val="2"/>
                <w:sz w:val="24"/>
                <w:szCs w:val="24"/>
                <w:lang w:val="en-IE" w:eastAsia="en-IE"/>
                <w14:ligatures w14:val="standardContextual"/>
              </w:rPr>
              <w:tab/>
            </w:r>
            <w:r w:rsidR="0038309D" w:rsidRPr="002E3D7E">
              <w:rPr>
                <w:rStyle w:val="Hyperlink"/>
                <w:noProof/>
              </w:rPr>
              <w:t>Fondo per la modernizzazione dell</w:t>
            </w:r>
            <w:r w:rsidR="00F06D2E">
              <w:rPr>
                <w:rStyle w:val="Hyperlink"/>
                <w:noProof/>
              </w:rPr>
              <w:t>'</w:t>
            </w:r>
            <w:r w:rsidR="0038309D" w:rsidRPr="002E3D7E">
              <w:rPr>
                <w:rStyle w:val="Hyperlink"/>
                <w:noProof/>
              </w:rPr>
              <w:t>ETS</w:t>
            </w:r>
            <w:r w:rsidR="0038309D">
              <w:rPr>
                <w:noProof/>
                <w:webHidden/>
              </w:rPr>
              <w:tab/>
            </w:r>
            <w:r w:rsidR="0038309D">
              <w:rPr>
                <w:noProof/>
                <w:webHidden/>
              </w:rPr>
              <w:fldChar w:fldCharType="begin"/>
            </w:r>
            <w:r w:rsidR="0038309D">
              <w:rPr>
                <w:noProof/>
                <w:webHidden/>
              </w:rPr>
              <w:instrText xml:space="preserve"> PAGEREF _Toc218937037 \h </w:instrText>
            </w:r>
            <w:r w:rsidR="0038309D">
              <w:rPr>
                <w:noProof/>
                <w:webHidden/>
              </w:rPr>
            </w:r>
            <w:r w:rsidR="0038309D">
              <w:rPr>
                <w:noProof/>
                <w:webHidden/>
              </w:rPr>
              <w:fldChar w:fldCharType="separate"/>
            </w:r>
            <w:r w:rsidR="002D6403">
              <w:rPr>
                <w:noProof/>
                <w:webHidden/>
              </w:rPr>
              <w:t>34</w:t>
            </w:r>
            <w:r w:rsidR="0038309D">
              <w:rPr>
                <w:noProof/>
                <w:webHidden/>
              </w:rPr>
              <w:fldChar w:fldCharType="end"/>
            </w:r>
          </w:hyperlink>
        </w:p>
        <w:p w14:paraId="2B152C80" w14:textId="412B9D3B"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38" w:history="1">
            <w:r w:rsidR="0038309D" w:rsidRPr="002E3D7E">
              <w:rPr>
                <w:rStyle w:val="Hyperlink"/>
                <w:noProof/>
              </w:rPr>
              <w:t>8.4.</w:t>
            </w:r>
            <w:r w:rsidR="0038309D">
              <w:rPr>
                <w:rFonts w:cstheme="minorBidi"/>
                <w:noProof/>
                <w:kern w:val="2"/>
                <w:sz w:val="24"/>
                <w:szCs w:val="24"/>
                <w:lang w:val="en-IE" w:eastAsia="en-IE"/>
                <w14:ligatures w14:val="standardContextual"/>
              </w:rPr>
              <w:tab/>
            </w:r>
            <w:r w:rsidR="0038309D" w:rsidRPr="002E3D7E">
              <w:rPr>
                <w:rStyle w:val="Hyperlink"/>
                <w:noProof/>
              </w:rPr>
              <w:t>Fondo per la decarbonizzazione dell</w:t>
            </w:r>
            <w:r w:rsidR="00F06D2E">
              <w:rPr>
                <w:rStyle w:val="Hyperlink"/>
                <w:noProof/>
              </w:rPr>
              <w:t>'</w:t>
            </w:r>
            <w:r w:rsidR="0038309D" w:rsidRPr="002E3D7E">
              <w:rPr>
                <w:rStyle w:val="Hyperlink"/>
                <w:noProof/>
              </w:rPr>
              <w:t>ETS destinato alla Grecia</w:t>
            </w:r>
            <w:r w:rsidR="0038309D">
              <w:rPr>
                <w:noProof/>
                <w:webHidden/>
              </w:rPr>
              <w:tab/>
            </w:r>
            <w:r w:rsidR="0038309D">
              <w:rPr>
                <w:noProof/>
                <w:webHidden/>
              </w:rPr>
              <w:fldChar w:fldCharType="begin"/>
            </w:r>
            <w:r w:rsidR="0038309D">
              <w:rPr>
                <w:noProof/>
                <w:webHidden/>
              </w:rPr>
              <w:instrText xml:space="preserve"> PAGEREF _Toc218937038 \h </w:instrText>
            </w:r>
            <w:r w:rsidR="0038309D">
              <w:rPr>
                <w:noProof/>
                <w:webHidden/>
              </w:rPr>
            </w:r>
            <w:r w:rsidR="0038309D">
              <w:rPr>
                <w:noProof/>
                <w:webHidden/>
              </w:rPr>
              <w:fldChar w:fldCharType="separate"/>
            </w:r>
            <w:r w:rsidR="002D6403">
              <w:rPr>
                <w:noProof/>
                <w:webHidden/>
              </w:rPr>
              <w:t>35</w:t>
            </w:r>
            <w:r w:rsidR="0038309D">
              <w:rPr>
                <w:noProof/>
                <w:webHidden/>
              </w:rPr>
              <w:fldChar w:fldCharType="end"/>
            </w:r>
          </w:hyperlink>
        </w:p>
        <w:p w14:paraId="6659010A" w14:textId="504DFAB5" w:rsidR="0038309D" w:rsidRDefault="009A1E37">
          <w:pPr>
            <w:pStyle w:val="TOC1"/>
            <w:tabs>
              <w:tab w:val="left" w:pos="440"/>
              <w:tab w:val="right" w:leader="dot" w:pos="9016"/>
            </w:tabs>
            <w:rPr>
              <w:rFonts w:eastAsiaTheme="minorEastAsia"/>
              <w:noProof/>
              <w:sz w:val="24"/>
              <w:szCs w:val="24"/>
              <w:lang w:val="en-IE" w:eastAsia="en-IE"/>
            </w:rPr>
          </w:pPr>
          <w:hyperlink w:anchor="_Toc218937039" w:history="1">
            <w:r w:rsidR="0038309D" w:rsidRPr="002E3D7E">
              <w:rPr>
                <w:rStyle w:val="Hyperlink"/>
                <w:noProof/>
              </w:rPr>
              <w:t>9.</w:t>
            </w:r>
            <w:r w:rsidR="0038309D">
              <w:rPr>
                <w:rFonts w:eastAsiaTheme="minorEastAsia"/>
                <w:noProof/>
                <w:sz w:val="24"/>
                <w:szCs w:val="24"/>
                <w:lang w:val="en-IE" w:eastAsia="en-IE"/>
              </w:rPr>
              <w:tab/>
            </w:r>
            <w:r w:rsidR="0038309D" w:rsidRPr="002E3D7E">
              <w:rPr>
                <w:rStyle w:val="Hyperlink"/>
                <w:noProof/>
              </w:rPr>
              <w:t>Trasporto aereo</w:t>
            </w:r>
            <w:r w:rsidR="0038309D">
              <w:rPr>
                <w:noProof/>
                <w:webHidden/>
              </w:rPr>
              <w:tab/>
            </w:r>
            <w:r w:rsidR="0038309D">
              <w:rPr>
                <w:noProof/>
                <w:webHidden/>
              </w:rPr>
              <w:fldChar w:fldCharType="begin"/>
            </w:r>
            <w:r w:rsidR="0038309D">
              <w:rPr>
                <w:noProof/>
                <w:webHidden/>
              </w:rPr>
              <w:instrText xml:space="preserve"> PAGEREF _Toc218937039 \h </w:instrText>
            </w:r>
            <w:r w:rsidR="0038309D">
              <w:rPr>
                <w:noProof/>
                <w:webHidden/>
              </w:rPr>
            </w:r>
            <w:r w:rsidR="0038309D">
              <w:rPr>
                <w:noProof/>
                <w:webHidden/>
              </w:rPr>
              <w:fldChar w:fldCharType="separate"/>
            </w:r>
            <w:r w:rsidR="002D6403">
              <w:rPr>
                <w:noProof/>
                <w:webHidden/>
              </w:rPr>
              <w:t>36</w:t>
            </w:r>
            <w:r w:rsidR="0038309D">
              <w:rPr>
                <w:noProof/>
                <w:webHidden/>
              </w:rPr>
              <w:fldChar w:fldCharType="end"/>
            </w:r>
          </w:hyperlink>
        </w:p>
        <w:p w14:paraId="7F89D4F7" w14:textId="56552FF7" w:rsidR="0038309D" w:rsidRDefault="009A1E37">
          <w:pPr>
            <w:pStyle w:val="TOC1"/>
            <w:tabs>
              <w:tab w:val="left" w:pos="720"/>
              <w:tab w:val="right" w:leader="dot" w:pos="9016"/>
            </w:tabs>
            <w:rPr>
              <w:rFonts w:eastAsiaTheme="minorEastAsia"/>
              <w:noProof/>
              <w:sz w:val="24"/>
              <w:szCs w:val="24"/>
              <w:lang w:val="en-IE" w:eastAsia="en-IE"/>
            </w:rPr>
          </w:pPr>
          <w:hyperlink w:anchor="_Toc218937040" w:history="1">
            <w:r w:rsidR="0038309D" w:rsidRPr="002E3D7E">
              <w:rPr>
                <w:rStyle w:val="Hyperlink"/>
                <w:noProof/>
              </w:rPr>
              <w:t>10.</w:t>
            </w:r>
            <w:r w:rsidR="0038309D">
              <w:rPr>
                <w:rFonts w:eastAsiaTheme="minorEastAsia"/>
                <w:noProof/>
                <w:sz w:val="24"/>
                <w:szCs w:val="24"/>
                <w:lang w:val="en-IE" w:eastAsia="en-IE"/>
              </w:rPr>
              <w:tab/>
            </w:r>
            <w:r w:rsidR="0038309D" w:rsidRPr="002E3D7E">
              <w:rPr>
                <w:rStyle w:val="Hyperlink"/>
                <w:noProof/>
              </w:rPr>
              <w:t>Trasporto marittimo</w:t>
            </w:r>
            <w:r w:rsidR="0038309D">
              <w:rPr>
                <w:noProof/>
                <w:webHidden/>
              </w:rPr>
              <w:tab/>
            </w:r>
            <w:r w:rsidR="0038309D">
              <w:rPr>
                <w:noProof/>
                <w:webHidden/>
              </w:rPr>
              <w:fldChar w:fldCharType="begin"/>
            </w:r>
            <w:r w:rsidR="0038309D">
              <w:rPr>
                <w:noProof/>
                <w:webHidden/>
              </w:rPr>
              <w:instrText xml:space="preserve"> PAGEREF _Toc218937040 \h </w:instrText>
            </w:r>
            <w:r w:rsidR="0038309D">
              <w:rPr>
                <w:noProof/>
                <w:webHidden/>
              </w:rPr>
            </w:r>
            <w:r w:rsidR="0038309D">
              <w:rPr>
                <w:noProof/>
                <w:webHidden/>
              </w:rPr>
              <w:fldChar w:fldCharType="separate"/>
            </w:r>
            <w:r w:rsidR="002D6403">
              <w:rPr>
                <w:noProof/>
                <w:webHidden/>
              </w:rPr>
              <w:t>40</w:t>
            </w:r>
            <w:r w:rsidR="0038309D">
              <w:rPr>
                <w:noProof/>
                <w:webHidden/>
              </w:rPr>
              <w:fldChar w:fldCharType="end"/>
            </w:r>
          </w:hyperlink>
        </w:p>
        <w:p w14:paraId="65BBFCFE" w14:textId="35DA52BB" w:rsidR="0038309D" w:rsidRDefault="009A1E37">
          <w:pPr>
            <w:pStyle w:val="TOC1"/>
            <w:tabs>
              <w:tab w:val="left" w:pos="720"/>
              <w:tab w:val="right" w:leader="dot" w:pos="9016"/>
            </w:tabs>
            <w:rPr>
              <w:rFonts w:eastAsiaTheme="minorEastAsia"/>
              <w:noProof/>
              <w:sz w:val="24"/>
              <w:szCs w:val="24"/>
              <w:lang w:val="en-IE" w:eastAsia="en-IE"/>
            </w:rPr>
          </w:pPr>
          <w:hyperlink w:anchor="_Toc218937041" w:history="1">
            <w:r w:rsidR="0038309D" w:rsidRPr="002E3D7E">
              <w:rPr>
                <w:rStyle w:val="Hyperlink"/>
                <w:noProof/>
              </w:rPr>
              <w:t>11.</w:t>
            </w:r>
            <w:r w:rsidR="0038309D">
              <w:rPr>
                <w:rFonts w:eastAsiaTheme="minorEastAsia"/>
                <w:noProof/>
                <w:sz w:val="24"/>
                <w:szCs w:val="24"/>
                <w:lang w:val="en-IE" w:eastAsia="en-IE"/>
              </w:rPr>
              <w:tab/>
            </w:r>
            <w:r w:rsidR="0038309D" w:rsidRPr="002E3D7E">
              <w:rPr>
                <w:rStyle w:val="Hyperlink"/>
                <w:noProof/>
              </w:rPr>
              <w:t>Quadro di attuazione dell</w:t>
            </w:r>
            <w:r w:rsidR="00F06D2E">
              <w:rPr>
                <w:rStyle w:val="Hyperlink"/>
                <w:noProof/>
              </w:rPr>
              <w:t>'</w:t>
            </w:r>
            <w:r w:rsidR="0038309D" w:rsidRPr="002E3D7E">
              <w:rPr>
                <w:rStyle w:val="Hyperlink"/>
                <w:noProof/>
              </w:rPr>
              <w:t>EU ETS</w:t>
            </w:r>
            <w:r w:rsidR="0038309D">
              <w:rPr>
                <w:noProof/>
                <w:webHidden/>
              </w:rPr>
              <w:tab/>
            </w:r>
            <w:r w:rsidR="0038309D">
              <w:rPr>
                <w:noProof/>
                <w:webHidden/>
              </w:rPr>
              <w:fldChar w:fldCharType="begin"/>
            </w:r>
            <w:r w:rsidR="0038309D">
              <w:rPr>
                <w:noProof/>
                <w:webHidden/>
              </w:rPr>
              <w:instrText xml:space="preserve"> PAGEREF _Toc218937041 \h </w:instrText>
            </w:r>
            <w:r w:rsidR="0038309D">
              <w:rPr>
                <w:noProof/>
                <w:webHidden/>
              </w:rPr>
            </w:r>
            <w:r w:rsidR="0038309D">
              <w:rPr>
                <w:noProof/>
                <w:webHidden/>
              </w:rPr>
              <w:fldChar w:fldCharType="separate"/>
            </w:r>
            <w:r w:rsidR="002D6403">
              <w:rPr>
                <w:noProof/>
                <w:webHidden/>
              </w:rPr>
              <w:t>41</w:t>
            </w:r>
            <w:r w:rsidR="0038309D">
              <w:rPr>
                <w:noProof/>
                <w:webHidden/>
              </w:rPr>
              <w:fldChar w:fldCharType="end"/>
            </w:r>
          </w:hyperlink>
        </w:p>
        <w:p w14:paraId="77E58073" w14:textId="77C183B1"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42" w:history="1">
            <w:r w:rsidR="0038309D" w:rsidRPr="002E3D7E">
              <w:rPr>
                <w:rStyle w:val="Hyperlink"/>
                <w:noProof/>
              </w:rPr>
              <w:t>11.1.</w:t>
            </w:r>
            <w:r w:rsidR="0038309D">
              <w:rPr>
                <w:rFonts w:cstheme="minorBidi"/>
                <w:noProof/>
                <w:kern w:val="2"/>
                <w:sz w:val="24"/>
                <w:szCs w:val="24"/>
                <w:lang w:val="en-IE" w:eastAsia="en-IE"/>
                <w14:ligatures w14:val="standardContextual"/>
              </w:rPr>
              <w:tab/>
            </w:r>
            <w:r w:rsidR="0038309D" w:rsidRPr="002E3D7E">
              <w:rPr>
                <w:rStyle w:val="Hyperlink"/>
                <w:noProof/>
              </w:rPr>
              <w:t>Monitoraggio e comunicazione delle emissioni</w:t>
            </w:r>
            <w:r w:rsidR="0038309D">
              <w:rPr>
                <w:noProof/>
                <w:webHidden/>
              </w:rPr>
              <w:tab/>
            </w:r>
            <w:r w:rsidR="0038309D">
              <w:rPr>
                <w:noProof/>
                <w:webHidden/>
              </w:rPr>
              <w:fldChar w:fldCharType="begin"/>
            </w:r>
            <w:r w:rsidR="0038309D">
              <w:rPr>
                <w:noProof/>
                <w:webHidden/>
              </w:rPr>
              <w:instrText xml:space="preserve"> PAGEREF _Toc218937042 \h </w:instrText>
            </w:r>
            <w:r w:rsidR="0038309D">
              <w:rPr>
                <w:noProof/>
                <w:webHidden/>
              </w:rPr>
            </w:r>
            <w:r w:rsidR="0038309D">
              <w:rPr>
                <w:noProof/>
                <w:webHidden/>
              </w:rPr>
              <w:fldChar w:fldCharType="separate"/>
            </w:r>
            <w:r w:rsidR="002D6403">
              <w:rPr>
                <w:noProof/>
                <w:webHidden/>
              </w:rPr>
              <w:t>41</w:t>
            </w:r>
            <w:r w:rsidR="0038309D">
              <w:rPr>
                <w:noProof/>
                <w:webHidden/>
              </w:rPr>
              <w:fldChar w:fldCharType="end"/>
            </w:r>
          </w:hyperlink>
        </w:p>
        <w:p w14:paraId="3A7DB65C" w14:textId="34F77C38" w:rsidR="0038309D" w:rsidRDefault="009A1E37">
          <w:pPr>
            <w:pStyle w:val="TOC3"/>
            <w:tabs>
              <w:tab w:val="left" w:pos="1440"/>
              <w:tab w:val="right" w:leader="dot" w:pos="9016"/>
            </w:tabs>
            <w:rPr>
              <w:rFonts w:cstheme="minorBidi"/>
              <w:noProof/>
              <w:kern w:val="2"/>
              <w:sz w:val="24"/>
              <w:szCs w:val="24"/>
              <w:lang w:val="en-IE" w:eastAsia="en-IE"/>
              <w14:ligatures w14:val="standardContextual"/>
            </w:rPr>
          </w:pPr>
          <w:hyperlink w:anchor="_Toc218937043" w:history="1">
            <w:r w:rsidR="0038309D" w:rsidRPr="002E3D7E">
              <w:rPr>
                <w:rStyle w:val="Hyperlink"/>
                <w:noProof/>
              </w:rPr>
              <w:t>11.1.1.</w:t>
            </w:r>
            <w:r w:rsidR="0038309D">
              <w:rPr>
                <w:rFonts w:cstheme="minorBidi"/>
                <w:noProof/>
                <w:kern w:val="2"/>
                <w:sz w:val="24"/>
                <w:szCs w:val="24"/>
                <w:lang w:val="en-IE" w:eastAsia="en-IE"/>
                <w14:ligatures w14:val="standardContextual"/>
              </w:rPr>
              <w:tab/>
            </w:r>
            <w:r w:rsidR="0038309D" w:rsidRPr="002E3D7E">
              <w:rPr>
                <w:rStyle w:val="Hyperlink"/>
                <w:noProof/>
              </w:rPr>
              <w:t>Monitoraggio e comunicazione delle emissioni derivanti dall</w:t>
            </w:r>
            <w:r w:rsidR="00F06D2E">
              <w:rPr>
                <w:rStyle w:val="Hyperlink"/>
                <w:noProof/>
              </w:rPr>
              <w:t>'</w:t>
            </w:r>
            <w:r w:rsidR="0038309D" w:rsidRPr="002E3D7E">
              <w:rPr>
                <w:rStyle w:val="Hyperlink"/>
                <w:noProof/>
              </w:rPr>
              <w:t>incenerimento dei rifiuti urbani</w:t>
            </w:r>
            <w:r w:rsidR="0038309D">
              <w:rPr>
                <w:noProof/>
                <w:webHidden/>
              </w:rPr>
              <w:tab/>
            </w:r>
            <w:r w:rsidR="0038309D">
              <w:rPr>
                <w:noProof/>
                <w:webHidden/>
              </w:rPr>
              <w:fldChar w:fldCharType="begin"/>
            </w:r>
            <w:r w:rsidR="0038309D">
              <w:rPr>
                <w:noProof/>
                <w:webHidden/>
              </w:rPr>
              <w:instrText xml:space="preserve"> PAGEREF _Toc218937043 \h </w:instrText>
            </w:r>
            <w:r w:rsidR="0038309D">
              <w:rPr>
                <w:noProof/>
                <w:webHidden/>
              </w:rPr>
            </w:r>
            <w:r w:rsidR="0038309D">
              <w:rPr>
                <w:noProof/>
                <w:webHidden/>
              </w:rPr>
              <w:fldChar w:fldCharType="separate"/>
            </w:r>
            <w:r w:rsidR="002D6403">
              <w:rPr>
                <w:noProof/>
                <w:webHidden/>
              </w:rPr>
              <w:t>42</w:t>
            </w:r>
            <w:r w:rsidR="0038309D">
              <w:rPr>
                <w:noProof/>
                <w:webHidden/>
              </w:rPr>
              <w:fldChar w:fldCharType="end"/>
            </w:r>
          </w:hyperlink>
        </w:p>
        <w:p w14:paraId="03C9C78F" w14:textId="29F02D07" w:rsidR="0038309D" w:rsidRDefault="009A1E37">
          <w:pPr>
            <w:pStyle w:val="TOC3"/>
            <w:tabs>
              <w:tab w:val="left" w:pos="1440"/>
              <w:tab w:val="right" w:leader="dot" w:pos="9016"/>
            </w:tabs>
            <w:rPr>
              <w:rFonts w:cstheme="minorBidi"/>
              <w:noProof/>
              <w:kern w:val="2"/>
              <w:sz w:val="24"/>
              <w:szCs w:val="24"/>
              <w:lang w:val="en-IE" w:eastAsia="en-IE"/>
              <w14:ligatures w14:val="standardContextual"/>
            </w:rPr>
          </w:pPr>
          <w:hyperlink w:anchor="_Toc218937044" w:history="1">
            <w:r w:rsidR="0038309D" w:rsidRPr="002E3D7E">
              <w:rPr>
                <w:rStyle w:val="Hyperlink"/>
                <w:noProof/>
              </w:rPr>
              <w:t>11.1.2.</w:t>
            </w:r>
            <w:r w:rsidR="0038309D">
              <w:rPr>
                <w:rFonts w:cstheme="minorBidi"/>
                <w:noProof/>
                <w:kern w:val="2"/>
                <w:sz w:val="24"/>
                <w:szCs w:val="24"/>
                <w:lang w:val="en-IE" w:eastAsia="en-IE"/>
                <w14:ligatures w14:val="standardContextual"/>
              </w:rPr>
              <w:tab/>
            </w:r>
            <w:r w:rsidR="0038309D" w:rsidRPr="002E3D7E">
              <w:rPr>
                <w:rStyle w:val="Hyperlink"/>
                <w:noProof/>
              </w:rPr>
              <w:t>Monitoraggio e comunicazione degli effetti del trasporto aereo non legati alle emissioni di CO</w:t>
            </w:r>
            <w:r w:rsidR="0038309D" w:rsidRPr="002E3D7E">
              <w:rPr>
                <w:rStyle w:val="Hyperlink"/>
                <w:noProof/>
                <w:vertAlign w:val="subscript"/>
              </w:rPr>
              <w:t>2</w:t>
            </w:r>
            <w:r w:rsidR="0038309D">
              <w:rPr>
                <w:noProof/>
                <w:webHidden/>
              </w:rPr>
              <w:tab/>
            </w:r>
            <w:r w:rsidR="0038309D">
              <w:rPr>
                <w:noProof/>
                <w:webHidden/>
              </w:rPr>
              <w:fldChar w:fldCharType="begin"/>
            </w:r>
            <w:r w:rsidR="0038309D">
              <w:rPr>
                <w:noProof/>
                <w:webHidden/>
              </w:rPr>
              <w:instrText xml:space="preserve"> PAGEREF _Toc218937044 \h </w:instrText>
            </w:r>
            <w:r w:rsidR="0038309D">
              <w:rPr>
                <w:noProof/>
                <w:webHidden/>
              </w:rPr>
            </w:r>
            <w:r w:rsidR="0038309D">
              <w:rPr>
                <w:noProof/>
                <w:webHidden/>
              </w:rPr>
              <w:fldChar w:fldCharType="separate"/>
            </w:r>
            <w:r w:rsidR="002D6403">
              <w:rPr>
                <w:noProof/>
                <w:webHidden/>
              </w:rPr>
              <w:t>42</w:t>
            </w:r>
            <w:r w:rsidR="0038309D">
              <w:rPr>
                <w:noProof/>
                <w:webHidden/>
              </w:rPr>
              <w:fldChar w:fldCharType="end"/>
            </w:r>
          </w:hyperlink>
        </w:p>
        <w:p w14:paraId="6EF96E25" w14:textId="0AC1CEAC"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45" w:history="1">
            <w:r w:rsidR="0038309D" w:rsidRPr="002E3D7E">
              <w:rPr>
                <w:rStyle w:val="Hyperlink"/>
                <w:noProof/>
              </w:rPr>
              <w:t>11.2.</w:t>
            </w:r>
            <w:r w:rsidR="0038309D">
              <w:rPr>
                <w:rFonts w:cstheme="minorBidi"/>
                <w:noProof/>
                <w:kern w:val="2"/>
                <w:sz w:val="24"/>
                <w:szCs w:val="24"/>
                <w:lang w:val="en-IE" w:eastAsia="en-IE"/>
                <w14:ligatures w14:val="standardContextual"/>
              </w:rPr>
              <w:tab/>
            </w:r>
            <w:r w:rsidR="0038309D" w:rsidRPr="002E3D7E">
              <w:rPr>
                <w:rStyle w:val="Hyperlink"/>
                <w:noProof/>
              </w:rPr>
              <w:t>Verifica e accreditamento</w:t>
            </w:r>
            <w:r w:rsidR="0038309D">
              <w:rPr>
                <w:noProof/>
                <w:webHidden/>
              </w:rPr>
              <w:tab/>
            </w:r>
            <w:r w:rsidR="0038309D">
              <w:rPr>
                <w:noProof/>
                <w:webHidden/>
              </w:rPr>
              <w:fldChar w:fldCharType="begin"/>
            </w:r>
            <w:r w:rsidR="0038309D">
              <w:rPr>
                <w:noProof/>
                <w:webHidden/>
              </w:rPr>
              <w:instrText xml:space="preserve"> PAGEREF _Toc218937045 \h </w:instrText>
            </w:r>
            <w:r w:rsidR="0038309D">
              <w:rPr>
                <w:noProof/>
                <w:webHidden/>
              </w:rPr>
            </w:r>
            <w:r w:rsidR="0038309D">
              <w:rPr>
                <w:noProof/>
                <w:webHidden/>
              </w:rPr>
              <w:fldChar w:fldCharType="separate"/>
            </w:r>
            <w:r w:rsidR="002D6403">
              <w:rPr>
                <w:noProof/>
                <w:webHidden/>
              </w:rPr>
              <w:t>43</w:t>
            </w:r>
            <w:r w:rsidR="0038309D">
              <w:rPr>
                <w:noProof/>
                <w:webHidden/>
              </w:rPr>
              <w:fldChar w:fldCharType="end"/>
            </w:r>
          </w:hyperlink>
        </w:p>
        <w:p w14:paraId="7203804B" w14:textId="35994E19"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46" w:history="1">
            <w:r w:rsidR="0038309D" w:rsidRPr="002E3D7E">
              <w:rPr>
                <w:rStyle w:val="Hyperlink"/>
                <w:noProof/>
              </w:rPr>
              <w:t>11.3.</w:t>
            </w:r>
            <w:r w:rsidR="0038309D">
              <w:rPr>
                <w:rFonts w:cstheme="minorBidi"/>
                <w:noProof/>
                <w:kern w:val="2"/>
                <w:sz w:val="24"/>
                <w:szCs w:val="24"/>
                <w:lang w:val="en-IE" w:eastAsia="en-IE"/>
                <w14:ligatures w14:val="standardContextual"/>
              </w:rPr>
              <w:tab/>
            </w:r>
            <w:r w:rsidR="0038309D" w:rsidRPr="002E3D7E">
              <w:rPr>
                <w:rStyle w:val="Hyperlink"/>
                <w:noProof/>
              </w:rPr>
              <w:t>Documenti d</w:t>
            </w:r>
            <w:r w:rsidR="00F06D2E">
              <w:rPr>
                <w:rStyle w:val="Hyperlink"/>
                <w:noProof/>
              </w:rPr>
              <w:t>'</w:t>
            </w:r>
            <w:r w:rsidR="0038309D" w:rsidRPr="002E3D7E">
              <w:rPr>
                <w:rStyle w:val="Hyperlink"/>
                <w:noProof/>
              </w:rPr>
              <w:t>orientamento</w:t>
            </w:r>
            <w:r w:rsidR="0038309D">
              <w:rPr>
                <w:noProof/>
                <w:webHidden/>
              </w:rPr>
              <w:tab/>
            </w:r>
            <w:r w:rsidR="0038309D">
              <w:rPr>
                <w:noProof/>
                <w:webHidden/>
              </w:rPr>
              <w:fldChar w:fldCharType="begin"/>
            </w:r>
            <w:r w:rsidR="0038309D">
              <w:rPr>
                <w:noProof/>
                <w:webHidden/>
              </w:rPr>
              <w:instrText xml:space="preserve"> PAGEREF _Toc218937046 \h </w:instrText>
            </w:r>
            <w:r w:rsidR="0038309D">
              <w:rPr>
                <w:noProof/>
                <w:webHidden/>
              </w:rPr>
            </w:r>
            <w:r w:rsidR="0038309D">
              <w:rPr>
                <w:noProof/>
                <w:webHidden/>
              </w:rPr>
              <w:fldChar w:fldCharType="separate"/>
            </w:r>
            <w:r w:rsidR="002D6403">
              <w:rPr>
                <w:noProof/>
                <w:webHidden/>
              </w:rPr>
              <w:t>44</w:t>
            </w:r>
            <w:r w:rsidR="0038309D">
              <w:rPr>
                <w:noProof/>
                <w:webHidden/>
              </w:rPr>
              <w:fldChar w:fldCharType="end"/>
            </w:r>
          </w:hyperlink>
        </w:p>
        <w:p w14:paraId="0B5DAB05" w14:textId="105525C5"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47" w:history="1">
            <w:r w:rsidR="0038309D" w:rsidRPr="002E3D7E">
              <w:rPr>
                <w:rStyle w:val="Hyperlink"/>
                <w:noProof/>
              </w:rPr>
              <w:t>11.4.</w:t>
            </w:r>
            <w:r w:rsidR="0038309D">
              <w:rPr>
                <w:rFonts w:cstheme="minorBidi"/>
                <w:noProof/>
                <w:kern w:val="2"/>
                <w:sz w:val="24"/>
                <w:szCs w:val="24"/>
                <w:lang w:val="en-IE" w:eastAsia="en-IE"/>
                <w14:ligatures w14:val="standardContextual"/>
              </w:rPr>
              <w:tab/>
            </w:r>
            <w:r w:rsidR="0038309D" w:rsidRPr="002E3D7E">
              <w:rPr>
                <w:rStyle w:val="Hyperlink"/>
                <w:noProof/>
              </w:rPr>
              <w:t>Autorità nazionali competenti</w:t>
            </w:r>
            <w:r w:rsidR="0038309D">
              <w:rPr>
                <w:noProof/>
                <w:webHidden/>
              </w:rPr>
              <w:tab/>
            </w:r>
            <w:r w:rsidR="0038309D">
              <w:rPr>
                <w:noProof/>
                <w:webHidden/>
              </w:rPr>
              <w:fldChar w:fldCharType="begin"/>
            </w:r>
            <w:r w:rsidR="0038309D">
              <w:rPr>
                <w:noProof/>
                <w:webHidden/>
              </w:rPr>
              <w:instrText xml:space="preserve"> PAGEREF _Toc218937047 \h </w:instrText>
            </w:r>
            <w:r w:rsidR="0038309D">
              <w:rPr>
                <w:noProof/>
                <w:webHidden/>
              </w:rPr>
            </w:r>
            <w:r w:rsidR="0038309D">
              <w:rPr>
                <w:noProof/>
                <w:webHidden/>
              </w:rPr>
              <w:fldChar w:fldCharType="separate"/>
            </w:r>
            <w:r w:rsidR="002D6403">
              <w:rPr>
                <w:noProof/>
                <w:webHidden/>
              </w:rPr>
              <w:t>44</w:t>
            </w:r>
            <w:r w:rsidR="0038309D">
              <w:rPr>
                <w:noProof/>
                <w:webHidden/>
              </w:rPr>
              <w:fldChar w:fldCharType="end"/>
            </w:r>
          </w:hyperlink>
        </w:p>
        <w:p w14:paraId="23769657" w14:textId="36EB8712"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48" w:history="1">
            <w:r w:rsidR="0038309D" w:rsidRPr="002E3D7E">
              <w:rPr>
                <w:rStyle w:val="Hyperlink"/>
                <w:noProof/>
              </w:rPr>
              <w:t>11.5.</w:t>
            </w:r>
            <w:r w:rsidR="0038309D">
              <w:rPr>
                <w:rFonts w:cstheme="minorBidi"/>
                <w:noProof/>
                <w:kern w:val="2"/>
                <w:sz w:val="24"/>
                <w:szCs w:val="24"/>
                <w:lang w:val="en-IE" w:eastAsia="en-IE"/>
                <w14:ligatures w14:val="standardContextual"/>
              </w:rPr>
              <w:tab/>
            </w:r>
            <w:r w:rsidR="0038309D" w:rsidRPr="002E3D7E">
              <w:rPr>
                <w:rStyle w:val="Hyperlink"/>
                <w:noProof/>
              </w:rPr>
              <w:t>Conformità all</w:t>
            </w:r>
            <w:r w:rsidR="00F06D2E">
              <w:rPr>
                <w:rStyle w:val="Hyperlink"/>
                <w:noProof/>
              </w:rPr>
              <w:t>'</w:t>
            </w:r>
            <w:r w:rsidR="0038309D" w:rsidRPr="002E3D7E">
              <w:rPr>
                <w:rStyle w:val="Hyperlink"/>
                <w:noProof/>
              </w:rPr>
              <w:t>EU ETS</w:t>
            </w:r>
            <w:r w:rsidR="0038309D">
              <w:rPr>
                <w:noProof/>
                <w:webHidden/>
              </w:rPr>
              <w:tab/>
            </w:r>
            <w:r w:rsidR="0038309D">
              <w:rPr>
                <w:noProof/>
                <w:webHidden/>
              </w:rPr>
              <w:fldChar w:fldCharType="begin"/>
            </w:r>
            <w:r w:rsidR="0038309D">
              <w:rPr>
                <w:noProof/>
                <w:webHidden/>
              </w:rPr>
              <w:instrText xml:space="preserve"> PAGEREF _Toc218937048 \h </w:instrText>
            </w:r>
            <w:r w:rsidR="0038309D">
              <w:rPr>
                <w:noProof/>
                <w:webHidden/>
              </w:rPr>
            </w:r>
            <w:r w:rsidR="0038309D">
              <w:rPr>
                <w:noProof/>
                <w:webHidden/>
              </w:rPr>
              <w:fldChar w:fldCharType="separate"/>
            </w:r>
            <w:r w:rsidR="002D6403">
              <w:rPr>
                <w:noProof/>
                <w:webHidden/>
              </w:rPr>
              <w:t>45</w:t>
            </w:r>
            <w:r w:rsidR="0038309D">
              <w:rPr>
                <w:noProof/>
                <w:webHidden/>
              </w:rPr>
              <w:fldChar w:fldCharType="end"/>
            </w:r>
          </w:hyperlink>
        </w:p>
        <w:p w14:paraId="177251F0" w14:textId="74504CC5" w:rsidR="0038309D" w:rsidRDefault="009A1E37">
          <w:pPr>
            <w:pStyle w:val="TOC2"/>
            <w:tabs>
              <w:tab w:val="left" w:pos="960"/>
              <w:tab w:val="right" w:leader="dot" w:pos="9016"/>
            </w:tabs>
            <w:rPr>
              <w:rFonts w:cstheme="minorBidi"/>
              <w:noProof/>
              <w:kern w:val="2"/>
              <w:sz w:val="24"/>
              <w:szCs w:val="24"/>
              <w:lang w:val="en-IE" w:eastAsia="en-IE"/>
              <w14:ligatures w14:val="standardContextual"/>
            </w:rPr>
          </w:pPr>
          <w:hyperlink w:anchor="_Toc218937049" w:history="1">
            <w:r w:rsidR="0038309D" w:rsidRPr="002E3D7E">
              <w:rPr>
                <w:rStyle w:val="Hyperlink"/>
                <w:noProof/>
              </w:rPr>
              <w:t>11.6.</w:t>
            </w:r>
            <w:r w:rsidR="0038309D">
              <w:rPr>
                <w:rFonts w:cstheme="minorBidi"/>
                <w:noProof/>
                <w:kern w:val="2"/>
                <w:sz w:val="24"/>
                <w:szCs w:val="24"/>
                <w:lang w:val="en-IE" w:eastAsia="en-IE"/>
                <w14:ligatures w14:val="standardContextual"/>
              </w:rPr>
              <w:tab/>
            </w:r>
            <w:r w:rsidR="0038309D" w:rsidRPr="002E3D7E">
              <w:rPr>
                <w:rStyle w:val="Hyperlink"/>
                <w:noProof/>
              </w:rPr>
              <w:t>Quadro di attuazione per il trasporto marittimo</w:t>
            </w:r>
            <w:r w:rsidR="0038309D">
              <w:rPr>
                <w:noProof/>
                <w:webHidden/>
              </w:rPr>
              <w:tab/>
            </w:r>
            <w:r w:rsidR="0038309D">
              <w:rPr>
                <w:noProof/>
                <w:webHidden/>
              </w:rPr>
              <w:fldChar w:fldCharType="begin"/>
            </w:r>
            <w:r w:rsidR="0038309D">
              <w:rPr>
                <w:noProof/>
                <w:webHidden/>
              </w:rPr>
              <w:instrText xml:space="preserve"> PAGEREF _Toc218937049 \h </w:instrText>
            </w:r>
            <w:r w:rsidR="0038309D">
              <w:rPr>
                <w:noProof/>
                <w:webHidden/>
              </w:rPr>
            </w:r>
            <w:r w:rsidR="0038309D">
              <w:rPr>
                <w:noProof/>
                <w:webHidden/>
              </w:rPr>
              <w:fldChar w:fldCharType="separate"/>
            </w:r>
            <w:r w:rsidR="002D6403">
              <w:rPr>
                <w:noProof/>
                <w:webHidden/>
              </w:rPr>
              <w:t>47</w:t>
            </w:r>
            <w:r w:rsidR="0038309D">
              <w:rPr>
                <w:noProof/>
                <w:webHidden/>
              </w:rPr>
              <w:fldChar w:fldCharType="end"/>
            </w:r>
          </w:hyperlink>
        </w:p>
        <w:p w14:paraId="17BE1EDC" w14:textId="6E0A316F" w:rsidR="0038309D" w:rsidRDefault="009A1E37">
          <w:pPr>
            <w:pStyle w:val="TOC3"/>
            <w:tabs>
              <w:tab w:val="left" w:pos="1440"/>
              <w:tab w:val="right" w:leader="dot" w:pos="9016"/>
            </w:tabs>
            <w:rPr>
              <w:rFonts w:cstheme="minorBidi"/>
              <w:noProof/>
              <w:kern w:val="2"/>
              <w:sz w:val="24"/>
              <w:szCs w:val="24"/>
              <w:lang w:val="en-IE" w:eastAsia="en-IE"/>
              <w14:ligatures w14:val="standardContextual"/>
            </w:rPr>
          </w:pPr>
          <w:hyperlink w:anchor="_Toc218937050" w:history="1">
            <w:r w:rsidR="0038309D" w:rsidRPr="002E3D7E">
              <w:rPr>
                <w:rStyle w:val="Hyperlink"/>
                <w:noProof/>
              </w:rPr>
              <w:t>11.6.1.</w:t>
            </w:r>
            <w:r w:rsidR="0038309D">
              <w:rPr>
                <w:rFonts w:cstheme="minorBidi"/>
                <w:noProof/>
                <w:kern w:val="2"/>
                <w:sz w:val="24"/>
                <w:szCs w:val="24"/>
                <w:lang w:val="en-IE" w:eastAsia="en-IE"/>
                <w14:ligatures w14:val="standardContextual"/>
              </w:rPr>
              <w:tab/>
            </w:r>
            <w:r w:rsidR="0038309D" w:rsidRPr="002E3D7E">
              <w:rPr>
                <w:rStyle w:val="Hyperlink"/>
                <w:noProof/>
              </w:rPr>
              <w:t>Monitoraggio e comunicazione delle emissioni</w:t>
            </w:r>
            <w:r w:rsidR="0038309D">
              <w:rPr>
                <w:noProof/>
                <w:webHidden/>
              </w:rPr>
              <w:tab/>
            </w:r>
            <w:r w:rsidR="0038309D">
              <w:rPr>
                <w:noProof/>
                <w:webHidden/>
              </w:rPr>
              <w:fldChar w:fldCharType="begin"/>
            </w:r>
            <w:r w:rsidR="0038309D">
              <w:rPr>
                <w:noProof/>
                <w:webHidden/>
              </w:rPr>
              <w:instrText xml:space="preserve"> PAGEREF _Toc218937050 \h </w:instrText>
            </w:r>
            <w:r w:rsidR="0038309D">
              <w:rPr>
                <w:noProof/>
                <w:webHidden/>
              </w:rPr>
            </w:r>
            <w:r w:rsidR="0038309D">
              <w:rPr>
                <w:noProof/>
                <w:webHidden/>
              </w:rPr>
              <w:fldChar w:fldCharType="separate"/>
            </w:r>
            <w:r w:rsidR="002D6403">
              <w:rPr>
                <w:noProof/>
                <w:webHidden/>
              </w:rPr>
              <w:t>47</w:t>
            </w:r>
            <w:r w:rsidR="0038309D">
              <w:rPr>
                <w:noProof/>
                <w:webHidden/>
              </w:rPr>
              <w:fldChar w:fldCharType="end"/>
            </w:r>
          </w:hyperlink>
        </w:p>
        <w:p w14:paraId="73B29A03" w14:textId="055747D0" w:rsidR="0038309D" w:rsidRDefault="009A1E37">
          <w:pPr>
            <w:pStyle w:val="TOC3"/>
            <w:tabs>
              <w:tab w:val="left" w:pos="1440"/>
              <w:tab w:val="right" w:leader="dot" w:pos="9016"/>
            </w:tabs>
            <w:rPr>
              <w:rFonts w:cstheme="minorBidi"/>
              <w:noProof/>
              <w:kern w:val="2"/>
              <w:sz w:val="24"/>
              <w:szCs w:val="24"/>
              <w:lang w:val="en-IE" w:eastAsia="en-IE"/>
              <w14:ligatures w14:val="standardContextual"/>
            </w:rPr>
          </w:pPr>
          <w:hyperlink w:anchor="_Toc218937051" w:history="1">
            <w:r w:rsidR="0038309D" w:rsidRPr="002E3D7E">
              <w:rPr>
                <w:rStyle w:val="Hyperlink"/>
                <w:noProof/>
              </w:rPr>
              <w:t>11.6.2.</w:t>
            </w:r>
            <w:r w:rsidR="0038309D">
              <w:rPr>
                <w:rFonts w:cstheme="minorBidi"/>
                <w:noProof/>
                <w:kern w:val="2"/>
                <w:sz w:val="24"/>
                <w:szCs w:val="24"/>
                <w:lang w:val="en-IE" w:eastAsia="en-IE"/>
                <w14:ligatures w14:val="standardContextual"/>
              </w:rPr>
              <w:tab/>
            </w:r>
            <w:r w:rsidR="0038309D" w:rsidRPr="002E3D7E">
              <w:rPr>
                <w:rStyle w:val="Hyperlink"/>
                <w:noProof/>
              </w:rPr>
              <w:t>Verifica e accreditamento</w:t>
            </w:r>
            <w:r w:rsidR="0038309D">
              <w:rPr>
                <w:noProof/>
                <w:webHidden/>
              </w:rPr>
              <w:tab/>
            </w:r>
            <w:r w:rsidR="0038309D">
              <w:rPr>
                <w:noProof/>
                <w:webHidden/>
              </w:rPr>
              <w:fldChar w:fldCharType="begin"/>
            </w:r>
            <w:r w:rsidR="0038309D">
              <w:rPr>
                <w:noProof/>
                <w:webHidden/>
              </w:rPr>
              <w:instrText xml:space="preserve"> PAGEREF _Toc218937051 \h </w:instrText>
            </w:r>
            <w:r w:rsidR="0038309D">
              <w:rPr>
                <w:noProof/>
                <w:webHidden/>
              </w:rPr>
            </w:r>
            <w:r w:rsidR="0038309D">
              <w:rPr>
                <w:noProof/>
                <w:webHidden/>
              </w:rPr>
              <w:fldChar w:fldCharType="separate"/>
            </w:r>
            <w:r w:rsidR="002D6403">
              <w:rPr>
                <w:noProof/>
                <w:webHidden/>
              </w:rPr>
              <w:t>48</w:t>
            </w:r>
            <w:r w:rsidR="0038309D">
              <w:rPr>
                <w:noProof/>
                <w:webHidden/>
              </w:rPr>
              <w:fldChar w:fldCharType="end"/>
            </w:r>
          </w:hyperlink>
        </w:p>
        <w:p w14:paraId="25CB58DB" w14:textId="148785AB" w:rsidR="0038309D" w:rsidRDefault="009A1E37">
          <w:pPr>
            <w:pStyle w:val="TOC3"/>
            <w:tabs>
              <w:tab w:val="left" w:pos="1440"/>
              <w:tab w:val="right" w:leader="dot" w:pos="9016"/>
            </w:tabs>
            <w:rPr>
              <w:rFonts w:cstheme="minorBidi"/>
              <w:noProof/>
              <w:kern w:val="2"/>
              <w:sz w:val="24"/>
              <w:szCs w:val="24"/>
              <w:lang w:val="en-IE" w:eastAsia="en-IE"/>
              <w14:ligatures w14:val="standardContextual"/>
            </w:rPr>
          </w:pPr>
          <w:hyperlink w:anchor="_Toc218937052" w:history="1">
            <w:r w:rsidR="0038309D" w:rsidRPr="002E3D7E">
              <w:rPr>
                <w:rStyle w:val="Hyperlink"/>
                <w:noProof/>
              </w:rPr>
              <w:t>11.6.3.</w:t>
            </w:r>
            <w:r w:rsidR="0038309D">
              <w:rPr>
                <w:rFonts w:cstheme="minorBidi"/>
                <w:noProof/>
                <w:kern w:val="2"/>
                <w:sz w:val="24"/>
                <w:szCs w:val="24"/>
                <w:lang w:val="en-IE" w:eastAsia="en-IE"/>
                <w14:ligatures w14:val="standardContextual"/>
              </w:rPr>
              <w:tab/>
            </w:r>
            <w:r w:rsidR="0038309D" w:rsidRPr="002E3D7E">
              <w:rPr>
                <w:rStyle w:val="Hyperlink"/>
                <w:noProof/>
              </w:rPr>
              <w:t>Autorità di riferimento</w:t>
            </w:r>
            <w:r w:rsidR="0038309D">
              <w:rPr>
                <w:noProof/>
                <w:webHidden/>
              </w:rPr>
              <w:tab/>
            </w:r>
            <w:r w:rsidR="0038309D">
              <w:rPr>
                <w:noProof/>
                <w:webHidden/>
              </w:rPr>
              <w:fldChar w:fldCharType="begin"/>
            </w:r>
            <w:r w:rsidR="0038309D">
              <w:rPr>
                <w:noProof/>
                <w:webHidden/>
              </w:rPr>
              <w:instrText xml:space="preserve"> PAGEREF _Toc218937052 \h </w:instrText>
            </w:r>
            <w:r w:rsidR="0038309D">
              <w:rPr>
                <w:noProof/>
                <w:webHidden/>
              </w:rPr>
            </w:r>
            <w:r w:rsidR="0038309D">
              <w:rPr>
                <w:noProof/>
                <w:webHidden/>
              </w:rPr>
              <w:fldChar w:fldCharType="separate"/>
            </w:r>
            <w:r w:rsidR="002D6403">
              <w:rPr>
                <w:noProof/>
                <w:webHidden/>
              </w:rPr>
              <w:t>49</w:t>
            </w:r>
            <w:r w:rsidR="0038309D">
              <w:rPr>
                <w:noProof/>
                <w:webHidden/>
              </w:rPr>
              <w:fldChar w:fldCharType="end"/>
            </w:r>
          </w:hyperlink>
        </w:p>
        <w:p w14:paraId="051C9577" w14:textId="09FCB5C8" w:rsidR="0038309D" w:rsidRDefault="009A1E37">
          <w:pPr>
            <w:pStyle w:val="TOC3"/>
            <w:tabs>
              <w:tab w:val="left" w:pos="1440"/>
              <w:tab w:val="right" w:leader="dot" w:pos="9016"/>
            </w:tabs>
            <w:rPr>
              <w:rFonts w:cstheme="minorBidi"/>
              <w:noProof/>
              <w:kern w:val="2"/>
              <w:sz w:val="24"/>
              <w:szCs w:val="24"/>
              <w:lang w:val="en-IE" w:eastAsia="en-IE"/>
              <w14:ligatures w14:val="standardContextual"/>
            </w:rPr>
          </w:pPr>
          <w:hyperlink w:anchor="_Toc218937053" w:history="1">
            <w:r w:rsidR="0038309D" w:rsidRPr="002E3D7E">
              <w:rPr>
                <w:rStyle w:val="Hyperlink"/>
                <w:noProof/>
              </w:rPr>
              <w:t>11.6.4.</w:t>
            </w:r>
            <w:r w:rsidR="0038309D">
              <w:rPr>
                <w:rFonts w:cstheme="minorBidi"/>
                <w:noProof/>
                <w:kern w:val="2"/>
                <w:sz w:val="24"/>
                <w:szCs w:val="24"/>
                <w:lang w:val="en-IE" w:eastAsia="en-IE"/>
                <w14:ligatures w14:val="standardContextual"/>
              </w:rPr>
              <w:tab/>
            </w:r>
            <w:r w:rsidR="0038309D" w:rsidRPr="002E3D7E">
              <w:rPr>
                <w:rStyle w:val="Hyperlink"/>
                <w:noProof/>
              </w:rPr>
              <w:t>Conformità all</w:t>
            </w:r>
            <w:r w:rsidR="00F06D2E">
              <w:rPr>
                <w:rStyle w:val="Hyperlink"/>
                <w:noProof/>
              </w:rPr>
              <w:t>'</w:t>
            </w:r>
            <w:r w:rsidR="0038309D" w:rsidRPr="002E3D7E">
              <w:rPr>
                <w:rStyle w:val="Hyperlink"/>
                <w:noProof/>
              </w:rPr>
              <w:t>EU ETS per il trasporto marittimo</w:t>
            </w:r>
            <w:r w:rsidR="0038309D">
              <w:rPr>
                <w:noProof/>
                <w:webHidden/>
              </w:rPr>
              <w:tab/>
            </w:r>
            <w:r w:rsidR="0038309D">
              <w:rPr>
                <w:noProof/>
                <w:webHidden/>
              </w:rPr>
              <w:fldChar w:fldCharType="begin"/>
            </w:r>
            <w:r w:rsidR="0038309D">
              <w:rPr>
                <w:noProof/>
                <w:webHidden/>
              </w:rPr>
              <w:instrText xml:space="preserve"> PAGEREF _Toc218937053 \h </w:instrText>
            </w:r>
            <w:r w:rsidR="0038309D">
              <w:rPr>
                <w:noProof/>
                <w:webHidden/>
              </w:rPr>
            </w:r>
            <w:r w:rsidR="0038309D">
              <w:rPr>
                <w:noProof/>
                <w:webHidden/>
              </w:rPr>
              <w:fldChar w:fldCharType="separate"/>
            </w:r>
            <w:r w:rsidR="002D6403">
              <w:rPr>
                <w:noProof/>
                <w:webHidden/>
              </w:rPr>
              <w:t>49</w:t>
            </w:r>
            <w:r w:rsidR="0038309D">
              <w:rPr>
                <w:noProof/>
                <w:webHidden/>
              </w:rPr>
              <w:fldChar w:fldCharType="end"/>
            </w:r>
          </w:hyperlink>
        </w:p>
        <w:p w14:paraId="349EA9C8" w14:textId="2B2B15C8" w:rsidR="0038309D" w:rsidRDefault="009A1E37">
          <w:pPr>
            <w:pStyle w:val="TOC3"/>
            <w:tabs>
              <w:tab w:val="left" w:pos="1440"/>
              <w:tab w:val="right" w:leader="dot" w:pos="9016"/>
            </w:tabs>
            <w:rPr>
              <w:rFonts w:cstheme="minorBidi"/>
              <w:noProof/>
              <w:kern w:val="2"/>
              <w:sz w:val="24"/>
              <w:szCs w:val="24"/>
              <w:lang w:val="en-IE" w:eastAsia="en-IE"/>
              <w14:ligatures w14:val="standardContextual"/>
            </w:rPr>
          </w:pPr>
          <w:hyperlink w:anchor="_Toc218937054" w:history="1">
            <w:r w:rsidR="0038309D" w:rsidRPr="002E3D7E">
              <w:rPr>
                <w:rStyle w:val="Hyperlink"/>
                <w:noProof/>
              </w:rPr>
              <w:t>11.6.5.</w:t>
            </w:r>
            <w:r w:rsidR="0038309D">
              <w:rPr>
                <w:rFonts w:cstheme="minorBidi"/>
                <w:noProof/>
                <w:kern w:val="2"/>
                <w:sz w:val="24"/>
                <w:szCs w:val="24"/>
                <w:lang w:val="en-IE" w:eastAsia="en-IE"/>
                <w14:ligatures w14:val="standardContextual"/>
              </w:rPr>
              <w:tab/>
            </w:r>
            <w:r w:rsidR="0038309D" w:rsidRPr="002E3D7E">
              <w:rPr>
                <w:rStyle w:val="Hyperlink"/>
                <w:noProof/>
              </w:rPr>
              <w:t>Attuazione dell</w:t>
            </w:r>
            <w:r w:rsidR="00F06D2E">
              <w:rPr>
                <w:rStyle w:val="Hyperlink"/>
                <w:noProof/>
              </w:rPr>
              <w:t>'</w:t>
            </w:r>
            <w:r w:rsidR="0038309D" w:rsidRPr="002E3D7E">
              <w:rPr>
                <w:rStyle w:val="Hyperlink"/>
                <w:noProof/>
              </w:rPr>
              <w:t>ETS2</w:t>
            </w:r>
            <w:r w:rsidR="0038309D">
              <w:rPr>
                <w:noProof/>
                <w:webHidden/>
              </w:rPr>
              <w:tab/>
            </w:r>
            <w:r w:rsidR="0038309D">
              <w:rPr>
                <w:noProof/>
                <w:webHidden/>
              </w:rPr>
              <w:fldChar w:fldCharType="begin"/>
            </w:r>
            <w:r w:rsidR="0038309D">
              <w:rPr>
                <w:noProof/>
                <w:webHidden/>
              </w:rPr>
              <w:instrText xml:space="preserve"> PAGEREF _Toc218937054 \h </w:instrText>
            </w:r>
            <w:r w:rsidR="0038309D">
              <w:rPr>
                <w:noProof/>
                <w:webHidden/>
              </w:rPr>
            </w:r>
            <w:r w:rsidR="0038309D">
              <w:rPr>
                <w:noProof/>
                <w:webHidden/>
              </w:rPr>
              <w:fldChar w:fldCharType="separate"/>
            </w:r>
            <w:r w:rsidR="002D6403">
              <w:rPr>
                <w:noProof/>
                <w:webHidden/>
              </w:rPr>
              <w:t>49</w:t>
            </w:r>
            <w:r w:rsidR="0038309D">
              <w:rPr>
                <w:noProof/>
                <w:webHidden/>
              </w:rPr>
              <w:fldChar w:fldCharType="end"/>
            </w:r>
          </w:hyperlink>
        </w:p>
        <w:p w14:paraId="45E4364C" w14:textId="00C6FDF8" w:rsidR="0038309D" w:rsidRDefault="009A1E37">
          <w:pPr>
            <w:pStyle w:val="TOC1"/>
            <w:tabs>
              <w:tab w:val="left" w:pos="720"/>
              <w:tab w:val="right" w:leader="dot" w:pos="9016"/>
            </w:tabs>
            <w:rPr>
              <w:rFonts w:eastAsiaTheme="minorEastAsia"/>
              <w:noProof/>
              <w:sz w:val="24"/>
              <w:szCs w:val="24"/>
              <w:lang w:val="en-IE" w:eastAsia="en-IE"/>
            </w:rPr>
          </w:pPr>
          <w:hyperlink w:anchor="_Toc218937055" w:history="1">
            <w:r w:rsidR="0038309D" w:rsidRPr="002E3D7E">
              <w:rPr>
                <w:rStyle w:val="Hyperlink"/>
                <w:noProof/>
              </w:rPr>
              <w:t>12.</w:t>
            </w:r>
            <w:r w:rsidR="0038309D">
              <w:rPr>
                <w:rFonts w:eastAsiaTheme="minorEastAsia"/>
                <w:noProof/>
                <w:sz w:val="24"/>
                <w:szCs w:val="24"/>
                <w:lang w:val="en-IE" w:eastAsia="en-IE"/>
              </w:rPr>
              <w:tab/>
            </w:r>
            <w:r w:rsidR="0038309D" w:rsidRPr="002E3D7E">
              <w:rPr>
                <w:rStyle w:val="Hyperlink"/>
                <w:noProof/>
              </w:rPr>
              <w:t>L</w:t>
            </w:r>
            <w:r w:rsidR="00F06D2E">
              <w:rPr>
                <w:rStyle w:val="Hyperlink"/>
                <w:noProof/>
              </w:rPr>
              <w:t>'</w:t>
            </w:r>
            <w:r w:rsidR="0038309D" w:rsidRPr="002E3D7E">
              <w:rPr>
                <w:rStyle w:val="Hyperlink"/>
                <w:noProof/>
              </w:rPr>
              <w:t>EU ETS nel contesto della governance dell</w:t>
            </w:r>
            <w:r w:rsidR="00F06D2E">
              <w:rPr>
                <w:rStyle w:val="Hyperlink"/>
                <w:noProof/>
              </w:rPr>
              <w:t>'</w:t>
            </w:r>
            <w:r w:rsidR="0038309D" w:rsidRPr="002E3D7E">
              <w:rPr>
                <w:rStyle w:val="Hyperlink"/>
                <w:noProof/>
              </w:rPr>
              <w:t>UE in materia di energia e clima</w:t>
            </w:r>
            <w:r w:rsidR="0038309D">
              <w:rPr>
                <w:noProof/>
                <w:webHidden/>
              </w:rPr>
              <w:tab/>
            </w:r>
            <w:r w:rsidR="0038309D">
              <w:rPr>
                <w:noProof/>
                <w:webHidden/>
              </w:rPr>
              <w:fldChar w:fldCharType="begin"/>
            </w:r>
            <w:r w:rsidR="0038309D">
              <w:rPr>
                <w:noProof/>
                <w:webHidden/>
              </w:rPr>
              <w:instrText xml:space="preserve"> PAGEREF _Toc218937055 \h </w:instrText>
            </w:r>
            <w:r w:rsidR="0038309D">
              <w:rPr>
                <w:noProof/>
                <w:webHidden/>
              </w:rPr>
            </w:r>
            <w:r w:rsidR="0038309D">
              <w:rPr>
                <w:noProof/>
                <w:webHidden/>
              </w:rPr>
              <w:fldChar w:fldCharType="separate"/>
            </w:r>
            <w:r w:rsidR="002D6403">
              <w:rPr>
                <w:noProof/>
                <w:webHidden/>
              </w:rPr>
              <w:t>49</w:t>
            </w:r>
            <w:r w:rsidR="0038309D">
              <w:rPr>
                <w:noProof/>
                <w:webHidden/>
              </w:rPr>
              <w:fldChar w:fldCharType="end"/>
            </w:r>
          </w:hyperlink>
        </w:p>
        <w:p w14:paraId="5F03D6E0" w14:textId="437882AD" w:rsidR="0038309D" w:rsidRDefault="009A1E37">
          <w:pPr>
            <w:pStyle w:val="TOC1"/>
            <w:tabs>
              <w:tab w:val="left" w:pos="720"/>
              <w:tab w:val="right" w:leader="dot" w:pos="9016"/>
            </w:tabs>
            <w:rPr>
              <w:rFonts w:eastAsiaTheme="minorEastAsia"/>
              <w:noProof/>
              <w:sz w:val="24"/>
              <w:szCs w:val="24"/>
              <w:lang w:val="en-IE" w:eastAsia="en-IE"/>
            </w:rPr>
          </w:pPr>
          <w:hyperlink w:anchor="_Toc218937056" w:history="1">
            <w:r w:rsidR="0038309D" w:rsidRPr="002E3D7E">
              <w:rPr>
                <w:rStyle w:val="Hyperlink"/>
                <w:noProof/>
              </w:rPr>
              <w:t>13.</w:t>
            </w:r>
            <w:r w:rsidR="0038309D">
              <w:rPr>
                <w:rFonts w:eastAsiaTheme="minorEastAsia"/>
                <w:noProof/>
                <w:sz w:val="24"/>
                <w:szCs w:val="24"/>
                <w:lang w:val="en-IE" w:eastAsia="en-IE"/>
              </w:rPr>
              <w:tab/>
            </w:r>
            <w:r w:rsidR="0038309D" w:rsidRPr="002E3D7E">
              <w:rPr>
                <w:rStyle w:val="Hyperlink"/>
                <w:noProof/>
              </w:rPr>
              <w:t>Collegamento tra l</w:t>
            </w:r>
            <w:r w:rsidR="00F06D2E">
              <w:rPr>
                <w:rStyle w:val="Hyperlink"/>
                <w:noProof/>
              </w:rPr>
              <w:t>'</w:t>
            </w:r>
            <w:r w:rsidR="0038309D" w:rsidRPr="002E3D7E">
              <w:rPr>
                <w:rStyle w:val="Hyperlink"/>
                <w:noProof/>
              </w:rPr>
              <w:t>EU ETS e l</w:t>
            </w:r>
            <w:r w:rsidR="00F06D2E">
              <w:rPr>
                <w:rStyle w:val="Hyperlink"/>
                <w:noProof/>
              </w:rPr>
              <w:t>'</w:t>
            </w:r>
            <w:r w:rsidR="0038309D" w:rsidRPr="002E3D7E">
              <w:rPr>
                <w:rStyle w:val="Hyperlink"/>
                <w:noProof/>
              </w:rPr>
              <w:t>ETS svizzero</w:t>
            </w:r>
            <w:r w:rsidR="0038309D">
              <w:rPr>
                <w:noProof/>
                <w:webHidden/>
              </w:rPr>
              <w:tab/>
            </w:r>
            <w:r w:rsidR="0038309D">
              <w:rPr>
                <w:noProof/>
                <w:webHidden/>
              </w:rPr>
              <w:fldChar w:fldCharType="begin"/>
            </w:r>
            <w:r w:rsidR="0038309D">
              <w:rPr>
                <w:noProof/>
                <w:webHidden/>
              </w:rPr>
              <w:instrText xml:space="preserve"> PAGEREF _Toc218937056 \h </w:instrText>
            </w:r>
            <w:r w:rsidR="0038309D">
              <w:rPr>
                <w:noProof/>
                <w:webHidden/>
              </w:rPr>
            </w:r>
            <w:r w:rsidR="0038309D">
              <w:rPr>
                <w:noProof/>
                <w:webHidden/>
              </w:rPr>
              <w:fldChar w:fldCharType="separate"/>
            </w:r>
            <w:r w:rsidR="002D6403">
              <w:rPr>
                <w:noProof/>
                <w:webHidden/>
              </w:rPr>
              <w:t>50</w:t>
            </w:r>
            <w:r w:rsidR="0038309D">
              <w:rPr>
                <w:noProof/>
                <w:webHidden/>
              </w:rPr>
              <w:fldChar w:fldCharType="end"/>
            </w:r>
          </w:hyperlink>
        </w:p>
        <w:p w14:paraId="31574457" w14:textId="319896A2" w:rsidR="0038309D" w:rsidRDefault="009A1E37">
          <w:pPr>
            <w:pStyle w:val="TOC1"/>
            <w:tabs>
              <w:tab w:val="left" w:pos="720"/>
              <w:tab w:val="right" w:leader="dot" w:pos="9016"/>
            </w:tabs>
            <w:rPr>
              <w:rFonts w:eastAsiaTheme="minorEastAsia"/>
              <w:noProof/>
              <w:sz w:val="24"/>
              <w:szCs w:val="24"/>
              <w:lang w:val="en-IE" w:eastAsia="en-IE"/>
            </w:rPr>
          </w:pPr>
          <w:hyperlink w:anchor="_Toc218937057" w:history="1">
            <w:r w:rsidR="0038309D" w:rsidRPr="002E3D7E">
              <w:rPr>
                <w:rStyle w:val="Hyperlink"/>
                <w:noProof/>
              </w:rPr>
              <w:t>14.</w:t>
            </w:r>
            <w:r w:rsidR="0038309D">
              <w:rPr>
                <w:rFonts w:eastAsiaTheme="minorEastAsia"/>
                <w:noProof/>
                <w:sz w:val="24"/>
                <w:szCs w:val="24"/>
                <w:lang w:val="en-IE" w:eastAsia="en-IE"/>
              </w:rPr>
              <w:tab/>
            </w:r>
            <w:r w:rsidR="0038309D" w:rsidRPr="002E3D7E">
              <w:rPr>
                <w:rStyle w:val="Hyperlink"/>
                <w:noProof/>
              </w:rPr>
              <w:t>Sintesi</w:t>
            </w:r>
            <w:r w:rsidR="0038309D">
              <w:rPr>
                <w:noProof/>
                <w:webHidden/>
              </w:rPr>
              <w:tab/>
            </w:r>
            <w:r w:rsidR="0038309D">
              <w:rPr>
                <w:noProof/>
                <w:webHidden/>
              </w:rPr>
              <w:fldChar w:fldCharType="begin"/>
            </w:r>
            <w:r w:rsidR="0038309D">
              <w:rPr>
                <w:noProof/>
                <w:webHidden/>
              </w:rPr>
              <w:instrText xml:space="preserve"> PAGEREF _Toc218937057 \h </w:instrText>
            </w:r>
            <w:r w:rsidR="0038309D">
              <w:rPr>
                <w:noProof/>
                <w:webHidden/>
              </w:rPr>
            </w:r>
            <w:r w:rsidR="0038309D">
              <w:rPr>
                <w:noProof/>
                <w:webHidden/>
              </w:rPr>
              <w:fldChar w:fldCharType="separate"/>
            </w:r>
            <w:r w:rsidR="002D6403">
              <w:rPr>
                <w:noProof/>
                <w:webHidden/>
              </w:rPr>
              <w:t>54</w:t>
            </w:r>
            <w:r w:rsidR="0038309D">
              <w:rPr>
                <w:noProof/>
                <w:webHidden/>
              </w:rPr>
              <w:fldChar w:fldCharType="end"/>
            </w:r>
          </w:hyperlink>
        </w:p>
        <w:p w14:paraId="60A90523" w14:textId="7BE585D5" w:rsidR="00685D02" w:rsidRDefault="00F00D70">
          <w:pPr>
            <w:rPr>
              <w:rFonts w:ascii="Times New Roman" w:hAnsi="Times New Roman" w:cs="Times New Roman"/>
              <w:b/>
              <w:noProof/>
            </w:rPr>
          </w:pPr>
          <w:r>
            <w:rPr>
              <w:rFonts w:ascii="Times New Roman" w:hAnsi="Times New Roman" w:cs="Times New Roman"/>
              <w:b/>
              <w:noProof/>
            </w:rPr>
            <w:fldChar w:fldCharType="end"/>
          </w:r>
        </w:p>
      </w:sdtContent>
    </w:sdt>
    <w:p w14:paraId="1314E31D" w14:textId="163DEC90" w:rsidR="001A7A22" w:rsidRPr="00685D02" w:rsidRDefault="001A7A22">
      <w:pPr>
        <w:rPr>
          <w:rFonts w:ascii="Times New Roman" w:hAnsi="Times New Roman" w:cs="Times New Roman"/>
          <w:noProof/>
        </w:rPr>
      </w:pPr>
      <w:r>
        <w:rPr>
          <w:noProof/>
        </w:rPr>
        <w:br w:type="page"/>
      </w:r>
    </w:p>
    <w:p w14:paraId="4582D281" w14:textId="05546E37" w:rsidR="00613B80" w:rsidRPr="00CE747B" w:rsidRDefault="00613B80" w:rsidP="00CE747B">
      <w:pPr>
        <w:pStyle w:val="CMR-Heading"/>
        <w:rPr>
          <w:noProof/>
        </w:rPr>
      </w:pPr>
      <w:bookmarkStart w:id="2" w:name="_Toc180513389"/>
      <w:bookmarkStart w:id="3" w:name="_Toc218937016"/>
      <w:r>
        <w:rPr>
          <w:noProof/>
        </w:rPr>
        <w:lastRenderedPageBreak/>
        <w:t>Introduzione</w:t>
      </w:r>
      <w:bookmarkEnd w:id="2"/>
      <w:bookmarkEnd w:id="3"/>
      <w:r>
        <w:rPr>
          <w:noProof/>
        </w:rPr>
        <w:t xml:space="preserve"> </w:t>
      </w:r>
    </w:p>
    <w:p w14:paraId="40C9B8AC" w14:textId="6AA9A125" w:rsidR="00EE63A3" w:rsidRPr="00685D02" w:rsidRDefault="00317318" w:rsidP="00CE747B">
      <w:pPr>
        <w:pStyle w:val="CMR-text"/>
        <w:rPr>
          <w:noProof/>
        </w:rPr>
      </w:pPr>
      <w:r>
        <w:rPr>
          <w:noProof/>
        </w:rPr>
        <w:t>Il sistema per lo scambio di quote di emissioni di gas a effetto serra nell</w:t>
      </w:r>
      <w:r w:rsidR="00F06D2E">
        <w:rPr>
          <w:noProof/>
        </w:rPr>
        <w:t>'</w:t>
      </w:r>
      <w:r>
        <w:rPr>
          <w:noProof/>
        </w:rPr>
        <w:t>Unione (EU ETS), concepito per ridurre le emissioni in modo efficace sotto il profilo dei costi, è un pilastro della politica climatica dell</w:t>
      </w:r>
      <w:r w:rsidR="00F06D2E">
        <w:rPr>
          <w:noProof/>
        </w:rPr>
        <w:t>'</w:t>
      </w:r>
      <w:r>
        <w:rPr>
          <w:noProof/>
        </w:rPr>
        <w:t xml:space="preserve">Unione. In linea con il principio </w:t>
      </w:r>
      <w:r w:rsidR="00F06D2E">
        <w:rPr>
          <w:noProof/>
        </w:rPr>
        <w:t>"</w:t>
      </w:r>
      <w:r>
        <w:rPr>
          <w:noProof/>
        </w:rPr>
        <w:t>chi inquina paga</w:t>
      </w:r>
      <w:r w:rsidR="00F06D2E">
        <w:rPr>
          <w:noProof/>
        </w:rPr>
        <w:t>"</w:t>
      </w:r>
      <w:r>
        <w:rPr>
          <w:noProof/>
        </w:rPr>
        <w:t>, l</w:t>
      </w:r>
      <w:r w:rsidR="00F06D2E">
        <w:rPr>
          <w:noProof/>
        </w:rPr>
        <w:t>'</w:t>
      </w:r>
      <w:r>
        <w:rPr>
          <w:noProof/>
        </w:rPr>
        <w:t>EU ETS fissa un tetto massimo e un prezzo per le emissioni generate dal settore energetico, da quello industriale, dal trasporto marittimo e da una parte del settore del trasporto aereo in Europa. L</w:t>
      </w:r>
      <w:r w:rsidR="00F06D2E">
        <w:rPr>
          <w:noProof/>
        </w:rPr>
        <w:t>'</w:t>
      </w:r>
      <w:r>
        <w:rPr>
          <w:noProof/>
        </w:rPr>
        <w:t>EU ETS si applica al 40 % delle emissioni totali dell</w:t>
      </w:r>
      <w:r w:rsidR="00F06D2E">
        <w:rPr>
          <w:noProof/>
        </w:rPr>
        <w:t>'</w:t>
      </w:r>
      <w:r>
        <w:rPr>
          <w:noProof/>
        </w:rPr>
        <w:t xml:space="preserve">UE. </w:t>
      </w:r>
    </w:p>
    <w:p w14:paraId="3D8683E0" w14:textId="46C2366E" w:rsidR="00317318" w:rsidRPr="00685D02" w:rsidRDefault="00242B13" w:rsidP="00317318">
      <w:pPr>
        <w:pStyle w:val="CMR-text"/>
        <w:rPr>
          <w:rFonts w:cs="Times New Roman"/>
          <w:noProof/>
        </w:rPr>
      </w:pPr>
      <w:r>
        <w:rPr>
          <w:noProof/>
        </w:rPr>
        <w:t>Il tetto massimo fa sì che le emissioni diminuiscano nel tempo, mentre il prezzo del carbonio, determinato dal mercato, spinge le imprese a diffondere soluzioni ed a investire per ridurre le emissioni, laddove ciò sia meno costoso e nel rispetto del principio della neutralità tecnologica. Il prezzo del carbonio determina anche le entrate dell</w:t>
      </w:r>
      <w:r w:rsidR="00F06D2E">
        <w:rPr>
          <w:noProof/>
        </w:rPr>
        <w:t>'</w:t>
      </w:r>
      <w:r>
        <w:rPr>
          <w:noProof/>
        </w:rPr>
        <w:t>EU ETS.</w:t>
      </w:r>
    </w:p>
    <w:p w14:paraId="1D72433C" w14:textId="32D8A2C5" w:rsidR="00DA6FBA" w:rsidRPr="00685D02" w:rsidRDefault="00317318" w:rsidP="00317318">
      <w:pPr>
        <w:pStyle w:val="CMR-text"/>
        <w:rPr>
          <w:rFonts w:cs="Times New Roman"/>
          <w:noProof/>
        </w:rPr>
      </w:pPr>
      <w:r>
        <w:rPr>
          <w:noProof/>
        </w:rPr>
        <w:t>Dal suo varo nel 2005 l</w:t>
      </w:r>
      <w:r w:rsidR="00F06D2E">
        <w:rPr>
          <w:noProof/>
        </w:rPr>
        <w:t>'</w:t>
      </w:r>
      <w:r>
        <w:rPr>
          <w:noProof/>
        </w:rPr>
        <w:t>EU ETS ha contribuito a ridurre del 50 % le emissioni derivanti dalla produzione di energia elettrica e calore e dalla produzione industriale</w:t>
      </w:r>
      <w:r>
        <w:rPr>
          <w:rStyle w:val="FootnoteReference"/>
          <w:rFonts w:cs="Times New Roman"/>
          <w:noProof/>
          <w:lang w:val="en-IE"/>
        </w:rPr>
        <w:footnoteReference w:id="2"/>
      </w:r>
      <w:r>
        <w:rPr>
          <w:noProof/>
        </w:rPr>
        <w:t xml:space="preserve"> ed è sulla buona strada per raggiungere il suo obiettivo di riduzione del 62 % (rispetto al 2005) fissato per il 2030. Ad oggi il sistema ha generato circa 248 miliardi di EUR di proventi grazie alle aste, distribuiti principalmente ai bilanci nazionali per essere utilizzati a sostegno dell</w:t>
      </w:r>
      <w:r w:rsidR="00F06D2E">
        <w:rPr>
          <w:noProof/>
        </w:rPr>
        <w:t>'</w:t>
      </w:r>
      <w:r>
        <w:rPr>
          <w:noProof/>
        </w:rPr>
        <w:t>azione per il clima e della trasformazione energetica.</w:t>
      </w:r>
    </w:p>
    <w:p w14:paraId="44CB9C06" w14:textId="3BE92A58" w:rsidR="00F0382F" w:rsidRPr="00685D02" w:rsidRDefault="00F0382F" w:rsidP="00F0382F">
      <w:pPr>
        <w:pStyle w:val="CMR-text"/>
        <w:rPr>
          <w:rStyle w:val="CMR-textChar"/>
          <w:rFonts w:cs="Times New Roman"/>
          <w:noProof/>
        </w:rPr>
      </w:pPr>
      <w:r>
        <w:rPr>
          <w:rStyle w:val="CMR-textChar"/>
          <w:noProof/>
        </w:rPr>
        <w:t>La presente relazione fa il punto sul funzionamento dell</w:t>
      </w:r>
      <w:r w:rsidR="00F06D2E">
        <w:rPr>
          <w:rStyle w:val="CMR-textChar"/>
          <w:noProof/>
        </w:rPr>
        <w:t>'</w:t>
      </w:r>
      <w:r>
        <w:rPr>
          <w:rStyle w:val="CMR-textChar"/>
          <w:noProof/>
        </w:rPr>
        <w:t>EU ETS nel 2024, esaminando anche gli sviluppi pertinenti nella prima metà del 2025. Fornisce una panoramica aggiornata degli aspetti principali del quadro del sistema ed evidenzia gli sviluppi annuali.</w:t>
      </w:r>
    </w:p>
    <w:p w14:paraId="0A9A0983" w14:textId="318E0CA3" w:rsidR="002B0030" w:rsidRPr="00685D02" w:rsidRDefault="003F16A0" w:rsidP="00DE76A1">
      <w:pPr>
        <w:pStyle w:val="CMR-text"/>
        <w:rPr>
          <w:rFonts w:cs="Times New Roman"/>
          <w:noProof/>
        </w:rPr>
      </w:pPr>
      <w:r>
        <w:rPr>
          <w:rStyle w:val="CMR-textChar"/>
          <w:noProof/>
        </w:rPr>
        <w:t>Elemento ancora più importante, nella relazione è evidenziato l</w:t>
      </w:r>
      <w:r w:rsidR="00F06D2E">
        <w:rPr>
          <w:rStyle w:val="CMR-textChar"/>
          <w:noProof/>
        </w:rPr>
        <w:t>'</w:t>
      </w:r>
      <w:r>
        <w:rPr>
          <w:rStyle w:val="CMR-textChar"/>
          <w:noProof/>
        </w:rPr>
        <w:t>andamento delle emissioni e delle entrate generate dalle aste nell</w:t>
      </w:r>
      <w:r w:rsidR="00F06D2E">
        <w:rPr>
          <w:rStyle w:val="CMR-textChar"/>
          <w:noProof/>
        </w:rPr>
        <w:t>'</w:t>
      </w:r>
      <w:r>
        <w:rPr>
          <w:rStyle w:val="CMR-textChar"/>
          <w:noProof/>
        </w:rPr>
        <w:t>ambito dell</w:t>
      </w:r>
      <w:r w:rsidR="00F06D2E">
        <w:rPr>
          <w:rStyle w:val="CMR-textChar"/>
          <w:noProof/>
        </w:rPr>
        <w:t>'</w:t>
      </w:r>
      <w:r>
        <w:rPr>
          <w:rStyle w:val="CMR-textChar"/>
          <w:noProof/>
        </w:rPr>
        <w:t xml:space="preserve">EU ETS. </w:t>
      </w:r>
      <w:r>
        <w:rPr>
          <w:noProof/>
        </w:rPr>
        <w:t>Nel 2024 le emissioni generate degli impianti industriali e per la produzione di energia elettrica che rientrano nell</w:t>
      </w:r>
      <w:r w:rsidR="00F06D2E">
        <w:rPr>
          <w:noProof/>
        </w:rPr>
        <w:t>'</w:t>
      </w:r>
      <w:r>
        <w:rPr>
          <w:noProof/>
        </w:rPr>
        <w:t>EU ETS hanno continuato a diminuire, con un calo del 5,8 % rispetto ai livelli del 2023. Nel settore del trasporto aereo, le emissioni intraeuropee sono aumentate del 15 % rispetto al 2023, in parte a causa dell</w:t>
      </w:r>
      <w:r w:rsidR="00F06D2E">
        <w:rPr>
          <w:noProof/>
        </w:rPr>
        <w:t>'</w:t>
      </w:r>
      <w:r>
        <w:rPr>
          <w:noProof/>
        </w:rPr>
        <w:t>ampliamento dell</w:t>
      </w:r>
      <w:r w:rsidR="00F06D2E">
        <w:rPr>
          <w:noProof/>
        </w:rPr>
        <w:t>'</w:t>
      </w:r>
      <w:r>
        <w:rPr>
          <w:noProof/>
        </w:rPr>
        <w:t>ambito di applicazione geografico (reinclusione dei voli non nazionali che interessano le regioni ultraperiferiche). Allo stesso tempo il 2024 è stato il primo anno in cui le emissioni prodotte dal trasporto marittimo sono state incluse nell</w:t>
      </w:r>
      <w:r w:rsidR="00F06D2E">
        <w:rPr>
          <w:noProof/>
        </w:rPr>
        <w:t>'</w:t>
      </w:r>
      <w:r>
        <w:rPr>
          <w:noProof/>
        </w:rPr>
        <w:t xml:space="preserve">EU ETS. </w:t>
      </w:r>
    </w:p>
    <w:p w14:paraId="2BB45073" w14:textId="5EE9CE18" w:rsidR="00C34E83" w:rsidRPr="00685D02" w:rsidRDefault="00B038BF" w:rsidP="00317318">
      <w:pPr>
        <w:pStyle w:val="CMR-text"/>
        <w:rPr>
          <w:rFonts w:cs="Times New Roman"/>
          <w:noProof/>
        </w:rPr>
      </w:pPr>
      <w:r>
        <w:rPr>
          <w:noProof/>
        </w:rPr>
        <w:t>Le entrate totali generate dall</w:t>
      </w:r>
      <w:r w:rsidR="00F06D2E">
        <w:rPr>
          <w:noProof/>
        </w:rPr>
        <w:t>'</w:t>
      </w:r>
      <w:r>
        <w:rPr>
          <w:noProof/>
        </w:rPr>
        <w:t>EU ETS nel 2024 sono ammontate a 38,8 miliardi di EUR e sono state destinate prevalentemente ai bilanci degli Stati membri, ma anche al Fondo per l</w:t>
      </w:r>
      <w:r w:rsidR="00F06D2E">
        <w:rPr>
          <w:noProof/>
        </w:rPr>
        <w:t>'</w:t>
      </w:r>
      <w:r>
        <w:rPr>
          <w:noProof/>
        </w:rPr>
        <w:t>innovazione e al Fondo per la modernizzazione, nonché al bilancio del dispositivo per la ripresa e la resilienza per il piano REPowerEU</w:t>
      </w:r>
      <w:r>
        <w:rPr>
          <w:rStyle w:val="FootnoteReference"/>
          <w:rFonts w:cs="Times New Roman"/>
          <w:noProof/>
          <w:lang w:val="en-IE"/>
        </w:rPr>
        <w:footnoteReference w:id="3"/>
      </w:r>
      <w:r>
        <w:rPr>
          <w:noProof/>
        </w:rPr>
        <w:t>. La relazione descrive il modo in cui gli Stati membri hanno utilizzato i proventi dell</w:t>
      </w:r>
      <w:r w:rsidR="00F06D2E">
        <w:rPr>
          <w:noProof/>
        </w:rPr>
        <w:t>'</w:t>
      </w:r>
      <w:r>
        <w:rPr>
          <w:noProof/>
        </w:rPr>
        <w:t>ETS nel 2024 e riassume gli sviluppi registrati nell</w:t>
      </w:r>
      <w:r w:rsidR="00F06D2E">
        <w:rPr>
          <w:noProof/>
        </w:rPr>
        <w:t>'</w:t>
      </w:r>
      <w:r>
        <w:rPr>
          <w:noProof/>
        </w:rPr>
        <w:t xml:space="preserve">ambito dei due fondi citati. </w:t>
      </w:r>
    </w:p>
    <w:p w14:paraId="3F8BAEFE" w14:textId="0D2ACD63" w:rsidR="00DD681D" w:rsidRPr="00685D02" w:rsidRDefault="00DD681D" w:rsidP="00317318">
      <w:pPr>
        <w:pStyle w:val="CMR-text"/>
        <w:rPr>
          <w:rFonts w:cs="Times New Roman"/>
          <w:noProof/>
        </w:rPr>
      </w:pPr>
      <w:r>
        <w:rPr>
          <w:noProof/>
        </w:rPr>
        <w:t>La relazione illustra gli adeguamenti del tetto massimo dell</w:t>
      </w:r>
      <w:r w:rsidR="00F06D2E">
        <w:rPr>
          <w:noProof/>
        </w:rPr>
        <w:t>'</w:t>
      </w:r>
      <w:r>
        <w:rPr>
          <w:noProof/>
        </w:rPr>
        <w:t>EU ETS che diventeranno effettivi nel 2026 per via della prevista ridefinizione dei parametri di riferimento, dell</w:t>
      </w:r>
      <w:r w:rsidR="00F06D2E">
        <w:rPr>
          <w:noProof/>
        </w:rPr>
        <w:t>'</w:t>
      </w:r>
      <w:r>
        <w:rPr>
          <w:noProof/>
        </w:rPr>
        <w:t>ampliamento dell</w:t>
      </w:r>
      <w:r w:rsidR="00F06D2E">
        <w:rPr>
          <w:noProof/>
        </w:rPr>
        <w:t>'</w:t>
      </w:r>
      <w:r>
        <w:rPr>
          <w:noProof/>
        </w:rPr>
        <w:t xml:space="preserve">ambito di </w:t>
      </w:r>
      <w:r>
        <w:rPr>
          <w:noProof/>
        </w:rPr>
        <w:lastRenderedPageBreak/>
        <w:t xml:space="preserve">applicazione per coprire le emissioni di altri gas a effetto serra derivanti dal trasporto marittimo e di un elenco aggiornato degli emettitori di entità ridotta esclusi dal sistema. </w:t>
      </w:r>
    </w:p>
    <w:p w14:paraId="46532982" w14:textId="2A9B0EAD" w:rsidR="00447C9A" w:rsidRPr="00685D02" w:rsidRDefault="00447C9A" w:rsidP="00447C9A">
      <w:pPr>
        <w:pStyle w:val="CMR-text"/>
        <w:rPr>
          <w:rStyle w:val="CMR-textChar"/>
          <w:rFonts w:cs="Times New Roman"/>
          <w:noProof/>
        </w:rPr>
      </w:pPr>
      <w:r>
        <w:rPr>
          <w:rStyle w:val="CMR-textChar"/>
          <w:noProof/>
        </w:rPr>
        <w:t>La relazione è adottata in conformità dell</w:t>
      </w:r>
      <w:r w:rsidR="00F06D2E">
        <w:rPr>
          <w:rStyle w:val="CMR-textChar"/>
          <w:noProof/>
        </w:rPr>
        <w:t>'</w:t>
      </w:r>
      <w:r>
        <w:rPr>
          <w:rStyle w:val="CMR-textChar"/>
          <w:noProof/>
        </w:rPr>
        <w:t>articolo 10, paragrafo 5, e dell</w:t>
      </w:r>
      <w:r w:rsidR="00F06D2E">
        <w:rPr>
          <w:rStyle w:val="CMR-textChar"/>
          <w:noProof/>
        </w:rPr>
        <w:t>'</w:t>
      </w:r>
      <w:r>
        <w:rPr>
          <w:rStyle w:val="CMR-textChar"/>
          <w:noProof/>
        </w:rPr>
        <w:t>articolo 21, paragrafo 2, della direttiva ETS (direttiva 2003/87/CE)</w:t>
      </w:r>
      <w:r>
        <w:rPr>
          <w:rStyle w:val="CMR-textChar"/>
          <w:rFonts w:cs="Times New Roman"/>
          <w:noProof/>
          <w:vertAlign w:val="superscript"/>
          <w:lang w:val="en-IE"/>
        </w:rPr>
        <w:footnoteReference w:id="4"/>
      </w:r>
      <w:r>
        <w:rPr>
          <w:rStyle w:val="CMR-textChar"/>
          <w:noProof/>
        </w:rPr>
        <w:t>. Si basa principalmente sui dati contenuti nel registro dell</w:t>
      </w:r>
      <w:r w:rsidR="00F06D2E">
        <w:rPr>
          <w:rStyle w:val="CMR-textChar"/>
          <w:noProof/>
        </w:rPr>
        <w:t>'</w:t>
      </w:r>
      <w:r>
        <w:rPr>
          <w:rStyle w:val="CMR-textChar"/>
          <w:noProof/>
        </w:rPr>
        <w:t>Unione e nelle comunicazioni degli Stati membri ed è accompagnata da un documento di lavoro dei servizi della Commissione (informazioni tecniche). La relazione è stata redatta prima della sessione del Consiglio dell</w:t>
      </w:r>
      <w:r w:rsidR="00F06D2E">
        <w:rPr>
          <w:rStyle w:val="CMR-textChar"/>
          <w:noProof/>
        </w:rPr>
        <w:t>'</w:t>
      </w:r>
      <w:r>
        <w:rPr>
          <w:rStyle w:val="CMR-textChar"/>
          <w:noProof/>
        </w:rPr>
        <w:t>Unione europea (Ambiente) del 4 e 5 novembre 2025.</w:t>
      </w:r>
    </w:p>
    <w:p w14:paraId="46D2769B" w14:textId="14906D55" w:rsidR="00613B80" w:rsidRPr="00EC4FC3" w:rsidRDefault="00FB43F0" w:rsidP="00EC4FC3">
      <w:pPr>
        <w:pStyle w:val="CMR-Heading"/>
        <w:rPr>
          <w:noProof/>
        </w:rPr>
      </w:pPr>
      <w:bookmarkStart w:id="6" w:name="_Toc180513390"/>
      <w:bookmarkStart w:id="7" w:name="_Toc218937017"/>
      <w:bookmarkStart w:id="8" w:name="bookmark57"/>
      <w:r>
        <w:rPr>
          <w:noProof/>
        </w:rPr>
        <w:t>Situazione attuale dell</w:t>
      </w:r>
      <w:r w:rsidR="00F06D2E">
        <w:rPr>
          <w:noProof/>
        </w:rPr>
        <w:t>'</w:t>
      </w:r>
      <w:r>
        <w:rPr>
          <w:noProof/>
        </w:rPr>
        <w:t>EU ETS</w:t>
      </w:r>
      <w:bookmarkEnd w:id="6"/>
      <w:bookmarkEnd w:id="7"/>
    </w:p>
    <w:p w14:paraId="7DC0390C" w14:textId="58FA068A" w:rsidR="009268E7" w:rsidRPr="00EC4FC3" w:rsidRDefault="009268E7" w:rsidP="00EC4FC3">
      <w:pPr>
        <w:pStyle w:val="CMR-Subheading"/>
        <w:rPr>
          <w:noProof/>
        </w:rPr>
      </w:pPr>
      <w:bookmarkStart w:id="9" w:name="_Toc180513391"/>
      <w:bookmarkStart w:id="10" w:name="_Toc218937018"/>
      <w:bookmarkEnd w:id="8"/>
      <w:r>
        <w:rPr>
          <w:noProof/>
        </w:rPr>
        <w:t>Ambito di applicazione e portata</w:t>
      </w:r>
      <w:bookmarkEnd w:id="9"/>
      <w:bookmarkEnd w:id="10"/>
    </w:p>
    <w:p w14:paraId="45F415F4" w14:textId="5F2A5737" w:rsidR="00F65AD8" w:rsidRPr="00685D02" w:rsidRDefault="00825622" w:rsidP="00F65AD8">
      <w:pPr>
        <w:spacing w:before="120" w:after="120" w:line="276" w:lineRule="auto"/>
        <w:jc w:val="both"/>
        <w:rPr>
          <w:rFonts w:ascii="Times New Roman" w:hAnsi="Times New Roman" w:cs="Times New Roman"/>
          <w:noProof/>
          <w:kern w:val="0"/>
          <w14:ligatures w14:val="none"/>
        </w:rPr>
      </w:pPr>
      <w:r>
        <w:rPr>
          <w:rFonts w:ascii="Times New Roman" w:hAnsi="Times New Roman"/>
          <w:noProof/>
        </w:rPr>
        <w:t>L</w:t>
      </w:r>
      <w:r w:rsidR="00F06D2E">
        <w:rPr>
          <w:rFonts w:ascii="Times New Roman" w:hAnsi="Times New Roman"/>
          <w:noProof/>
        </w:rPr>
        <w:t>'</w:t>
      </w:r>
      <w:r>
        <w:rPr>
          <w:rFonts w:ascii="Times New Roman" w:hAnsi="Times New Roman"/>
          <w:noProof/>
        </w:rPr>
        <w:t>EU ETS si applica in tutti i 27 Stati membri dell</w:t>
      </w:r>
      <w:r w:rsidR="00F06D2E">
        <w:rPr>
          <w:rFonts w:ascii="Times New Roman" w:hAnsi="Times New Roman"/>
          <w:noProof/>
        </w:rPr>
        <w:t>'</w:t>
      </w:r>
      <w:r>
        <w:rPr>
          <w:rFonts w:ascii="Times New Roman" w:hAnsi="Times New Roman"/>
          <w:noProof/>
        </w:rPr>
        <w:t>UE, più Islanda, Liechtenstein e Norvegia, nonché agli impianti di produzione di energia elettrica dell</w:t>
      </w:r>
      <w:r w:rsidR="00F06D2E">
        <w:rPr>
          <w:rFonts w:ascii="Times New Roman" w:hAnsi="Times New Roman"/>
          <w:noProof/>
        </w:rPr>
        <w:t>'</w:t>
      </w:r>
      <w:r>
        <w:rPr>
          <w:rFonts w:ascii="Times New Roman" w:hAnsi="Times New Roman"/>
          <w:noProof/>
        </w:rPr>
        <w:t>Irlanda del Nord</w:t>
      </w:r>
      <w:r>
        <w:rPr>
          <w:rFonts w:ascii="Times New Roman" w:hAnsi="Times New Roman" w:cs="Times New Roman"/>
          <w:noProof/>
          <w:kern w:val="0"/>
          <w:vertAlign w:val="superscript"/>
          <w:lang w:val="en-IE"/>
        </w:rPr>
        <w:footnoteReference w:id="5"/>
      </w:r>
      <w:r>
        <w:rPr>
          <w:rFonts w:ascii="Times New Roman" w:hAnsi="Times New Roman"/>
          <w:noProof/>
        </w:rPr>
        <w:t xml:space="preserve">. Da gennaio 2020 è collegato al sistema per lo scambio di quote di emissioni della Svizzera (ETS svizzero). </w:t>
      </w:r>
    </w:p>
    <w:p w14:paraId="56EA70F6" w14:textId="14BB32AA" w:rsidR="000E17ED" w:rsidRPr="00685D02" w:rsidRDefault="000E17ED" w:rsidP="0051688B">
      <w:pPr>
        <w:pStyle w:val="CMR-text"/>
        <w:rPr>
          <w:rFonts w:cs="Times New Roman"/>
          <w:noProof/>
        </w:rPr>
      </w:pPr>
      <w:r>
        <w:rPr>
          <w:noProof/>
        </w:rPr>
        <w:t>Dal 2024 l</w:t>
      </w:r>
      <w:r w:rsidR="00F06D2E">
        <w:rPr>
          <w:noProof/>
        </w:rPr>
        <w:t>'</w:t>
      </w:r>
      <w:r>
        <w:rPr>
          <w:noProof/>
        </w:rPr>
        <w:t>ambito di applicazione settoriale dell</w:t>
      </w:r>
      <w:r w:rsidR="00F06D2E">
        <w:rPr>
          <w:noProof/>
        </w:rPr>
        <w:t>'</w:t>
      </w:r>
      <w:r>
        <w:rPr>
          <w:noProof/>
        </w:rPr>
        <w:t>EU ETS comprende le emissioni di gas a effetto serra di oltre 12 000 soggetti derivanti da:</w:t>
      </w:r>
    </w:p>
    <w:p w14:paraId="57A744A2" w14:textId="58BCD752" w:rsidR="000E17ED" w:rsidRPr="00685D02" w:rsidRDefault="005E0FFD" w:rsidP="000E17ED">
      <w:pPr>
        <w:pStyle w:val="CMR-text"/>
        <w:numPr>
          <w:ilvl w:val="0"/>
          <w:numId w:val="42"/>
        </w:numPr>
        <w:rPr>
          <w:rFonts w:cs="Times New Roman"/>
          <w:noProof/>
        </w:rPr>
      </w:pPr>
      <w:r>
        <w:rPr>
          <w:noProof/>
        </w:rPr>
        <w:t>impianti di produzione di energia elettrica e calore e impianti del settore manifatturiero presenti in Europa;</w:t>
      </w:r>
    </w:p>
    <w:p w14:paraId="38321660" w14:textId="75C7F7B6" w:rsidR="000E17ED" w:rsidRPr="00685D02" w:rsidRDefault="005E0FFD" w:rsidP="00B17867">
      <w:pPr>
        <w:pStyle w:val="CMR-text"/>
        <w:numPr>
          <w:ilvl w:val="0"/>
          <w:numId w:val="42"/>
        </w:numPr>
        <w:rPr>
          <w:rFonts w:cs="Times New Roman"/>
          <w:noProof/>
        </w:rPr>
      </w:pPr>
      <w:r>
        <w:rPr>
          <w:noProof/>
        </w:rPr>
        <w:t xml:space="preserve">operatori aerei che effettuano voli tra aeroporti nello Spazio economico europeo (SEE) e dal SEE verso la Svizzera e il Regno Unito; </w:t>
      </w:r>
    </w:p>
    <w:p w14:paraId="6B9F486C" w14:textId="20717BA5" w:rsidR="00315ABD" w:rsidRPr="00685D02" w:rsidRDefault="005E0FFD" w:rsidP="00B17867">
      <w:pPr>
        <w:pStyle w:val="CMR-text"/>
        <w:numPr>
          <w:ilvl w:val="0"/>
          <w:numId w:val="42"/>
        </w:numPr>
        <w:rPr>
          <w:rFonts w:cs="Times New Roman"/>
          <w:noProof/>
        </w:rPr>
      </w:pPr>
      <w:r>
        <w:rPr>
          <w:noProof/>
        </w:rPr>
        <w:t xml:space="preserve">trasporto marittimo nelle tratte tra due porti del SEE e quando le navi si trovano in tali porti, nonché metà delle emissioni delle tratte da e verso i porti del SEE che iniziano o terminano al di fuori del SEE. </w:t>
      </w:r>
    </w:p>
    <w:p w14:paraId="3EAF85BE" w14:textId="4C8BEB6F" w:rsidR="009A070B" w:rsidRPr="00685D02" w:rsidRDefault="00070ECA" w:rsidP="00AB2562">
      <w:pPr>
        <w:pStyle w:val="CMR-text"/>
        <w:rPr>
          <w:rFonts w:cs="Times New Roman"/>
          <w:noProof/>
        </w:rPr>
      </w:pPr>
      <w:r>
        <w:rPr>
          <w:noProof/>
        </w:rPr>
        <w:t>Oltre che alle emissioni di CO</w:t>
      </w:r>
      <w:r>
        <w:rPr>
          <w:noProof/>
          <w:vertAlign w:val="subscript"/>
        </w:rPr>
        <w:t>2</w:t>
      </w:r>
      <w:r>
        <w:rPr>
          <w:noProof/>
        </w:rPr>
        <w:t>, l</w:t>
      </w:r>
      <w:r w:rsidR="00F06D2E">
        <w:rPr>
          <w:noProof/>
        </w:rPr>
        <w:t>'</w:t>
      </w:r>
      <w:r>
        <w:rPr>
          <w:noProof/>
        </w:rPr>
        <w:t>EU ETS si applica alle emissioni di altri gas a effetto serra derivanti da impianti di produzione di energia elettrica e calore e da impianti del settore manifatturiero. Sono</w:t>
      </w:r>
      <w:r w:rsidR="00F06D2E">
        <w:rPr>
          <w:noProof/>
        </w:rPr>
        <w:t> </w:t>
      </w:r>
      <w:r>
        <w:rPr>
          <w:noProof/>
        </w:rPr>
        <w:t>inclusi:</w:t>
      </w:r>
    </w:p>
    <w:p w14:paraId="2961D1B3" w14:textId="1E534F20" w:rsidR="009A070B" w:rsidRPr="00685D02" w:rsidRDefault="00AB2562" w:rsidP="009A070B">
      <w:pPr>
        <w:pStyle w:val="CMR-text"/>
        <w:numPr>
          <w:ilvl w:val="0"/>
          <w:numId w:val="50"/>
        </w:numPr>
        <w:rPr>
          <w:rFonts w:cs="Times New Roman"/>
          <w:noProof/>
        </w:rPr>
      </w:pPr>
      <w:r>
        <w:rPr>
          <w:noProof/>
        </w:rPr>
        <w:t>N</w:t>
      </w:r>
      <w:r>
        <w:rPr>
          <w:noProof/>
          <w:vertAlign w:val="subscript"/>
        </w:rPr>
        <w:t>2</w:t>
      </w:r>
      <w:r>
        <w:rPr>
          <w:noProof/>
        </w:rPr>
        <w:t xml:space="preserve">O (ossido di azoto) derivante dalla produzione di acido nitrico, acido adipico e acido gliossilico e di gliossale; </w:t>
      </w:r>
    </w:p>
    <w:p w14:paraId="74B8EDB6" w14:textId="77777777" w:rsidR="00890F31" w:rsidRPr="00685D02" w:rsidRDefault="00AB2562" w:rsidP="00890F31">
      <w:pPr>
        <w:pStyle w:val="CMR-text"/>
        <w:numPr>
          <w:ilvl w:val="0"/>
          <w:numId w:val="50"/>
        </w:numPr>
        <w:rPr>
          <w:rFonts w:cs="Times New Roman"/>
          <w:noProof/>
        </w:rPr>
      </w:pPr>
      <w:r>
        <w:rPr>
          <w:noProof/>
        </w:rPr>
        <w:t>PFC (perfluorocarburi) derivanti dalla produzione di alluminio primario.</w:t>
      </w:r>
    </w:p>
    <w:p w14:paraId="7E63596C" w14:textId="78F92A18" w:rsidR="00BE2312" w:rsidRPr="00685D02" w:rsidRDefault="00973338">
      <w:pPr>
        <w:pStyle w:val="CMR-text"/>
        <w:rPr>
          <w:rFonts w:cs="Times New Roman"/>
          <w:noProof/>
        </w:rPr>
      </w:pPr>
      <w:r>
        <w:rPr>
          <w:noProof/>
        </w:rPr>
        <w:t>Le emissioni di CH</w:t>
      </w:r>
      <w:r>
        <w:rPr>
          <w:noProof/>
          <w:vertAlign w:val="subscript"/>
        </w:rPr>
        <w:t xml:space="preserve">4 </w:t>
      </w:r>
      <w:r>
        <w:rPr>
          <w:noProof/>
        </w:rPr>
        <w:t>(metano) e N</w:t>
      </w:r>
      <w:r>
        <w:rPr>
          <w:noProof/>
          <w:vertAlign w:val="subscript"/>
        </w:rPr>
        <w:t>2</w:t>
      </w:r>
      <w:r>
        <w:rPr>
          <w:noProof/>
        </w:rPr>
        <w:t>O (ossido di azoto) derivanti dalle attività di trasporto marittimo rientrano nell</w:t>
      </w:r>
      <w:r w:rsidR="00F06D2E">
        <w:rPr>
          <w:noProof/>
        </w:rPr>
        <w:t>'</w:t>
      </w:r>
      <w:r>
        <w:rPr>
          <w:noProof/>
        </w:rPr>
        <w:t xml:space="preserve">ambito di applicazione a decorrere da gennaio 2026. </w:t>
      </w:r>
    </w:p>
    <w:p w14:paraId="6B9B7510" w14:textId="6751F450" w:rsidR="00070ECA" w:rsidRPr="00685D02" w:rsidRDefault="00AB2562" w:rsidP="00854C42">
      <w:pPr>
        <w:pStyle w:val="CMR-text"/>
        <w:rPr>
          <w:rFonts w:cs="Times New Roman"/>
          <w:noProof/>
        </w:rPr>
      </w:pPr>
      <w:r>
        <w:rPr>
          <w:noProof/>
        </w:rPr>
        <w:lastRenderedPageBreak/>
        <w:t>Nel 2024 23 paesi hanno comunicato autorizzazioni per attività nell</w:t>
      </w:r>
      <w:r w:rsidR="00F06D2E">
        <w:rPr>
          <w:noProof/>
        </w:rPr>
        <w:t>'</w:t>
      </w:r>
      <w:r>
        <w:rPr>
          <w:noProof/>
        </w:rPr>
        <w:t>ambito dell</w:t>
      </w:r>
      <w:r w:rsidR="00F06D2E">
        <w:rPr>
          <w:noProof/>
        </w:rPr>
        <w:t>'</w:t>
      </w:r>
      <w:r>
        <w:rPr>
          <w:noProof/>
        </w:rPr>
        <w:t>ETS che rilasciano emissioni diverse dal CO</w:t>
      </w:r>
      <w:r>
        <w:rPr>
          <w:noProof/>
          <w:vertAlign w:val="subscript"/>
        </w:rPr>
        <w:t>2</w:t>
      </w:r>
      <w:r>
        <w:rPr>
          <w:noProof/>
        </w:rPr>
        <w:t>. Quattro paesi hanno dichiarato di avere incluso nelle autorizzazioni per gli impianti attività di cattura e stoccaggio del carbonio</w:t>
      </w:r>
      <w:r>
        <w:rPr>
          <w:rStyle w:val="FootnoteReference"/>
          <w:rFonts w:cs="Times New Roman"/>
          <w:noProof/>
          <w:lang w:val="en-IE"/>
        </w:rPr>
        <w:footnoteReference w:id="6"/>
      </w:r>
      <w:r>
        <w:rPr>
          <w:noProof/>
        </w:rPr>
        <w:t>.</w:t>
      </w:r>
    </w:p>
    <w:p w14:paraId="2CBE0C8C" w14:textId="7DC9F8E9" w:rsidR="00AD2625" w:rsidRPr="00685D02" w:rsidRDefault="003271ED" w:rsidP="003754EE">
      <w:pPr>
        <w:pStyle w:val="CMR-text"/>
        <w:rPr>
          <w:rFonts w:cs="Times New Roman"/>
          <w:noProof/>
        </w:rPr>
      </w:pPr>
      <w:r>
        <w:rPr>
          <w:noProof/>
        </w:rPr>
        <w:t>Dal 2024 gli impianti di incenerimento dei rifiuti urbani monitorano e comunicano le loro emissioni nell</w:t>
      </w:r>
      <w:r w:rsidR="00F06D2E">
        <w:rPr>
          <w:noProof/>
        </w:rPr>
        <w:t>'</w:t>
      </w:r>
      <w:r>
        <w:rPr>
          <w:noProof/>
        </w:rPr>
        <w:t>ambito dell</w:t>
      </w:r>
      <w:r w:rsidR="00F06D2E">
        <w:rPr>
          <w:noProof/>
        </w:rPr>
        <w:t>'</w:t>
      </w:r>
      <w:r>
        <w:rPr>
          <w:noProof/>
        </w:rPr>
        <w:t>EU ETS, pur senza essere tenuti a restituire quote. Le emissioni derivanti dal trattamento dei rifiuti sono soggette a obiettivi di riduzione nazionali a norma del regolamento sulla condivisione degli sforzi (regolamento (UE) 2018/842)</w:t>
      </w:r>
      <w:r>
        <w:rPr>
          <w:rStyle w:val="FootnoteReference"/>
          <w:rFonts w:cs="Times New Roman"/>
          <w:noProof/>
          <w:lang w:val="en-IE"/>
        </w:rPr>
        <w:footnoteReference w:id="7"/>
      </w:r>
      <w:r>
        <w:rPr>
          <w:noProof/>
        </w:rPr>
        <w:t>.</w:t>
      </w:r>
    </w:p>
    <w:p w14:paraId="59104185" w14:textId="0BADDAE5" w:rsidR="003754EE" w:rsidRPr="00685D02" w:rsidRDefault="00F27D7B" w:rsidP="50C721A3">
      <w:pPr>
        <w:pStyle w:val="CMR-text"/>
        <w:rPr>
          <w:rFonts w:cs="Times New Roman"/>
          <w:noProof/>
        </w:rPr>
      </w:pPr>
      <w:r>
        <w:rPr>
          <w:noProof/>
        </w:rPr>
        <w:t>Le informazioni sugli impianti, sugli operatori aerei e sulle società di navigazione, nonché sulle emissioni di gas a effetto serra comunicate che rientrano nell</w:t>
      </w:r>
      <w:r w:rsidR="00F06D2E">
        <w:rPr>
          <w:noProof/>
        </w:rPr>
        <w:t>'</w:t>
      </w:r>
      <w:r>
        <w:rPr>
          <w:noProof/>
        </w:rPr>
        <w:t>ambito dell</w:t>
      </w:r>
      <w:r w:rsidR="00F06D2E">
        <w:rPr>
          <w:noProof/>
        </w:rPr>
        <w:t>'</w:t>
      </w:r>
      <w:r>
        <w:rPr>
          <w:noProof/>
        </w:rPr>
        <w:t>EU ETS (al 2024) sono reperibili nella sezione 1 del documento di lavoro dei servizi della Commissione che accompagna la presente relazione.</w:t>
      </w:r>
    </w:p>
    <w:p w14:paraId="0472DEF2" w14:textId="2278A1F5" w:rsidR="002A77C7" w:rsidRPr="00EC4FC3" w:rsidRDefault="00981812" w:rsidP="00EC4FC3">
      <w:pPr>
        <w:pStyle w:val="CMR-Subheading"/>
        <w:rPr>
          <w:noProof/>
        </w:rPr>
      </w:pPr>
      <w:bookmarkStart w:id="11" w:name="_Toc180513392"/>
      <w:bookmarkStart w:id="12" w:name="_Toc218937019"/>
      <w:bookmarkStart w:id="13" w:name="bookmark58"/>
      <w:r>
        <w:rPr>
          <w:noProof/>
        </w:rPr>
        <w:t>ETS2, il nuovo sistema per lo scambio di quote di emissioni per i settori dell</w:t>
      </w:r>
      <w:r w:rsidR="00F06D2E">
        <w:rPr>
          <w:noProof/>
        </w:rPr>
        <w:t>'</w:t>
      </w:r>
      <w:r>
        <w:rPr>
          <w:noProof/>
        </w:rPr>
        <w:t>edilizia e del trasporto stradale e ulteriori settori</w:t>
      </w:r>
      <w:bookmarkEnd w:id="11"/>
      <w:bookmarkEnd w:id="12"/>
    </w:p>
    <w:bookmarkEnd w:id="13"/>
    <w:p w14:paraId="7D7D3DFB" w14:textId="018FB536" w:rsidR="00CD7286" w:rsidRPr="00685D02" w:rsidRDefault="46BD1937" w:rsidP="50C721A3">
      <w:pPr>
        <w:pStyle w:val="CMR-text"/>
        <w:rPr>
          <w:rFonts w:eastAsia="Calibri" w:cs="Times New Roman"/>
          <w:noProof/>
        </w:rPr>
      </w:pPr>
      <w:r>
        <w:rPr>
          <w:noProof/>
        </w:rPr>
        <w:t>Nell</w:t>
      </w:r>
      <w:r w:rsidR="00F06D2E">
        <w:rPr>
          <w:noProof/>
        </w:rPr>
        <w:t>'</w:t>
      </w:r>
      <w:r>
        <w:rPr>
          <w:noProof/>
        </w:rPr>
        <w:t>ambito della revisione del 2023 della direttiva ETS è stato creato un nuovo sistema per lo scambio di quote di emissioni (ETS2) per coprire le emissioni di CO</w:t>
      </w:r>
      <w:r>
        <w:rPr>
          <w:noProof/>
          <w:vertAlign w:val="subscript"/>
        </w:rPr>
        <w:t>2</w:t>
      </w:r>
      <w:r>
        <w:rPr>
          <w:noProof/>
        </w:rPr>
        <w:t xml:space="preserve"> derivanti dalla combustione di combustibili nei settori dell</w:t>
      </w:r>
      <w:r w:rsidR="00F06D2E">
        <w:rPr>
          <w:noProof/>
        </w:rPr>
        <w:t>'</w:t>
      </w:r>
      <w:r>
        <w:rPr>
          <w:noProof/>
        </w:rPr>
        <w:t>edilizia e del trasporto stradale e in ulteriori settori (principalmente le piccole industrie non contemplate dall</w:t>
      </w:r>
      <w:r w:rsidR="00F06D2E">
        <w:rPr>
          <w:noProof/>
        </w:rPr>
        <w:t>'</w:t>
      </w:r>
      <w:r>
        <w:rPr>
          <w:noProof/>
        </w:rPr>
        <w:t xml:space="preserve">attuale EU ETS). </w:t>
      </w:r>
    </w:p>
    <w:p w14:paraId="7F3734C8" w14:textId="74509155" w:rsidR="00E662C8" w:rsidRPr="00685D02" w:rsidRDefault="004F3320" w:rsidP="00B17867">
      <w:pPr>
        <w:pStyle w:val="CMR-text"/>
        <w:rPr>
          <w:rFonts w:eastAsia="Calibri" w:cs="Times New Roman"/>
          <w:noProof/>
        </w:rPr>
      </w:pPr>
      <w:r>
        <w:rPr>
          <w:noProof/>
        </w:rPr>
        <w:t>L</w:t>
      </w:r>
      <w:r w:rsidR="00F06D2E">
        <w:rPr>
          <w:noProof/>
        </w:rPr>
        <w:t>'</w:t>
      </w:r>
      <w:r>
        <w:rPr>
          <w:noProof/>
        </w:rPr>
        <w:t>ETS2 è un sistema distinto dall</w:t>
      </w:r>
      <w:r w:rsidR="00F06D2E">
        <w:rPr>
          <w:noProof/>
        </w:rPr>
        <w:t>'</w:t>
      </w:r>
      <w:r>
        <w:rPr>
          <w:noProof/>
        </w:rPr>
        <w:t>attuale EU ETS. Sebbene entrambi siano sistemi di scambio che prevedono massimali, l</w:t>
      </w:r>
      <w:r w:rsidR="00F06D2E">
        <w:rPr>
          <w:noProof/>
        </w:rPr>
        <w:t>'</w:t>
      </w:r>
      <w:r>
        <w:rPr>
          <w:noProof/>
        </w:rPr>
        <w:t>ETS2 riguarda le emissioni a monte. Ciò significa che i fornitori di combustibile (soggetti regolamentati) sono tenuti a monitorare e comunicare le emissioni corrispondenti alla combustione dei combustibili immessi in consumo nei settori coperti dall</w:t>
      </w:r>
      <w:r w:rsidR="00F06D2E">
        <w:rPr>
          <w:noProof/>
        </w:rPr>
        <w:t>'</w:t>
      </w:r>
      <w:r>
        <w:rPr>
          <w:noProof/>
        </w:rPr>
        <w:t>ETS2, nonché ad acquistare e restituire le quote corrispondenti a tali emissioni. Dal gennaio 2025 i soggetti regolamentati che rientrano nell</w:t>
      </w:r>
      <w:r w:rsidR="00F06D2E">
        <w:rPr>
          <w:noProof/>
        </w:rPr>
        <w:t>'</w:t>
      </w:r>
      <w:r>
        <w:rPr>
          <w:noProof/>
        </w:rPr>
        <w:t>ambito di applicazione dell</w:t>
      </w:r>
      <w:r w:rsidR="00F06D2E">
        <w:rPr>
          <w:noProof/>
        </w:rPr>
        <w:t>'</w:t>
      </w:r>
      <w:r>
        <w:rPr>
          <w:noProof/>
        </w:rPr>
        <w:t>ETS2 devono disporre di un</w:t>
      </w:r>
      <w:r w:rsidR="00F06D2E">
        <w:rPr>
          <w:noProof/>
        </w:rPr>
        <w:t>'</w:t>
      </w:r>
      <w:r>
        <w:rPr>
          <w:noProof/>
        </w:rPr>
        <w:t xml:space="preserve">autorizzazione ad emettere gas a effetto serra e di un piano di monitoraggio approvato per il controllo e la comunicazione delle loro emissioni annuali. </w:t>
      </w:r>
    </w:p>
    <w:p w14:paraId="1B06BD3E" w14:textId="13FB445C" w:rsidR="006E1E23" w:rsidRPr="00685D02" w:rsidRDefault="007B36A8" w:rsidP="004877AA">
      <w:pPr>
        <w:pStyle w:val="CMR-text"/>
        <w:rPr>
          <w:rFonts w:eastAsia="Calibri" w:cs="Times New Roman"/>
          <w:noProof/>
        </w:rPr>
      </w:pPr>
      <w:r>
        <w:rPr>
          <w:noProof/>
        </w:rPr>
        <w:t>La comunicazione annuale delle emissioni verificate sarà obbligatoria per le emissioni rilasciate a partire dal 2025 e dovrà essere presentata entro il 30 aprile dell</w:t>
      </w:r>
      <w:r w:rsidR="00F06D2E">
        <w:rPr>
          <w:noProof/>
        </w:rPr>
        <w:t>'</w:t>
      </w:r>
      <w:r>
        <w:rPr>
          <w:noProof/>
        </w:rPr>
        <w:t>anno successivo, pertanto le emissioni per il 2025 devono essere comunicate nel 2026. I soggetti regolamentati dovranno restituire il numero di quote corrispondente alle loro emissioni entro il 31 maggio dell</w:t>
      </w:r>
      <w:r w:rsidR="00F06D2E">
        <w:rPr>
          <w:noProof/>
        </w:rPr>
        <w:t>'</w:t>
      </w:r>
      <w:r>
        <w:rPr>
          <w:noProof/>
        </w:rPr>
        <w:t>anno di riferimento. L</w:t>
      </w:r>
      <w:r w:rsidR="00F06D2E">
        <w:rPr>
          <w:noProof/>
        </w:rPr>
        <w:t>'</w:t>
      </w:r>
      <w:r>
        <w:rPr>
          <w:noProof/>
        </w:rPr>
        <w:t>adempimento di tale obbligo può essere rinviato di un anno in caso di prezzi eccezionalmente elevati del gas o del petrolio nel primo semestre del 2026. Per il quadro di attuazione dell</w:t>
      </w:r>
      <w:r w:rsidR="00F06D2E">
        <w:rPr>
          <w:noProof/>
        </w:rPr>
        <w:t>'</w:t>
      </w:r>
      <w:r>
        <w:rPr>
          <w:noProof/>
        </w:rPr>
        <w:t>ETS2 e i relativi documenti, cfr.</w:t>
      </w:r>
      <w:r w:rsidR="00F06D2E">
        <w:rPr>
          <w:noProof/>
        </w:rPr>
        <w:t> </w:t>
      </w:r>
      <w:r>
        <w:rPr>
          <w:noProof/>
        </w:rPr>
        <w:t>capitolo 11.</w:t>
      </w:r>
    </w:p>
    <w:p w14:paraId="6B4CEC35" w14:textId="7738AC41" w:rsidR="001F37A3" w:rsidRPr="00685D02" w:rsidRDefault="002D1BB3" w:rsidP="7577C652">
      <w:pPr>
        <w:pStyle w:val="CMR-text"/>
        <w:rPr>
          <w:rFonts w:eastAsia="Calibri" w:cs="Times New Roman"/>
          <w:noProof/>
        </w:rPr>
      </w:pPr>
      <w:r>
        <w:rPr>
          <w:noProof/>
        </w:rPr>
        <w:t>Nel dicembre 2024 la Commissione ha pubblicato il quantitativo di quote di emissioni a livello dell</w:t>
      </w:r>
      <w:r w:rsidR="00F06D2E">
        <w:rPr>
          <w:noProof/>
        </w:rPr>
        <w:t>'</w:t>
      </w:r>
      <w:r>
        <w:rPr>
          <w:noProof/>
        </w:rPr>
        <w:t>UE per l</w:t>
      </w:r>
      <w:r w:rsidR="00F06D2E">
        <w:rPr>
          <w:noProof/>
        </w:rPr>
        <w:t>'</w:t>
      </w:r>
      <w:r>
        <w:rPr>
          <w:noProof/>
        </w:rPr>
        <w:t>ETS2 nel 2027. Tale tetto massimo è fissato a 1 036 288 784 quote per il 2027, per l</w:t>
      </w:r>
      <w:r w:rsidR="00F06D2E">
        <w:rPr>
          <w:noProof/>
        </w:rPr>
        <w:t>'</w:t>
      </w:r>
      <w:r>
        <w:rPr>
          <w:noProof/>
        </w:rPr>
        <w:t>UE-27 e i tre Stati EFTA-SEE. Il tetto massimo dell</w:t>
      </w:r>
      <w:r w:rsidR="00F06D2E">
        <w:rPr>
          <w:noProof/>
        </w:rPr>
        <w:t>'</w:t>
      </w:r>
      <w:r>
        <w:rPr>
          <w:noProof/>
        </w:rPr>
        <w:t>ETS2 per il 2027 è stato calcolato sulla base della media delle emissioni di CO</w:t>
      </w:r>
      <w:r>
        <w:rPr>
          <w:noProof/>
          <w:vertAlign w:val="subscript"/>
        </w:rPr>
        <w:t>2</w:t>
      </w:r>
      <w:r>
        <w:rPr>
          <w:noProof/>
        </w:rPr>
        <w:t xml:space="preserve"> derivanti dalla combustione di combustibili nelle attività dell</w:t>
      </w:r>
      <w:r w:rsidR="00F06D2E">
        <w:rPr>
          <w:noProof/>
        </w:rPr>
        <w:t>'</w:t>
      </w:r>
      <w:r>
        <w:rPr>
          <w:noProof/>
        </w:rPr>
        <w:t xml:space="preserve">ETS2 dal 2016 al 2018. In linea con la direttiva ETS, tale media è ridotta fino al 2027 con le modalità seguenti: i) fino al 2024, una traiettoria lineare di riduzione coerente con quella stabilita per tutte le emissioni che rientrano </w:t>
      </w:r>
      <w:r>
        <w:rPr>
          <w:noProof/>
        </w:rPr>
        <w:lastRenderedPageBreak/>
        <w:t>nell</w:t>
      </w:r>
      <w:r w:rsidR="00F06D2E">
        <w:rPr>
          <w:noProof/>
        </w:rPr>
        <w:t>'</w:t>
      </w:r>
      <w:r>
        <w:rPr>
          <w:noProof/>
        </w:rPr>
        <w:t>ambito di applicazione del regolamento sulla condivisione degli sforzi e ii) per il periodo 2025</w:t>
      </w:r>
      <w:r w:rsidR="00F06D2E">
        <w:rPr>
          <w:noProof/>
        </w:rPr>
        <w:noBreakHyphen/>
      </w:r>
      <w:r>
        <w:rPr>
          <w:noProof/>
        </w:rPr>
        <w:t>2027, un fattore lineare di riduzione annuale del 5,1 %.</w:t>
      </w:r>
    </w:p>
    <w:p w14:paraId="023DC044" w14:textId="19AFD066" w:rsidR="004877AA" w:rsidRPr="00685D02" w:rsidRDefault="00FD385D" w:rsidP="00B17867">
      <w:pPr>
        <w:pStyle w:val="CMR-text"/>
        <w:rPr>
          <w:rFonts w:eastAsia="Calibri" w:cs="Times New Roman"/>
          <w:noProof/>
        </w:rPr>
      </w:pPr>
      <w:r>
        <w:rPr>
          <w:noProof/>
        </w:rPr>
        <w:t>Il tetto massimo dell</w:t>
      </w:r>
      <w:r w:rsidR="00F06D2E">
        <w:rPr>
          <w:noProof/>
        </w:rPr>
        <w:t>'</w:t>
      </w:r>
      <w:r>
        <w:rPr>
          <w:noProof/>
        </w:rPr>
        <w:t>ETS2 applicabile a partire dal 2028 sarà determinato entro giugno 2027, sulla base della media delle emissioni di CO</w:t>
      </w:r>
      <w:r>
        <w:rPr>
          <w:noProof/>
          <w:vertAlign w:val="subscript"/>
        </w:rPr>
        <w:t>2</w:t>
      </w:r>
      <w:r>
        <w:rPr>
          <w:noProof/>
        </w:rPr>
        <w:t xml:space="preserve"> comunicate dai soggetti regolamentati dall</w:t>
      </w:r>
      <w:r w:rsidR="00F06D2E">
        <w:rPr>
          <w:noProof/>
        </w:rPr>
        <w:t>'</w:t>
      </w:r>
      <w:r>
        <w:rPr>
          <w:noProof/>
        </w:rPr>
        <w:t>ETS2 per il periodo dal 2024 al 2026. Gli Stati membri possono scegliere di includere unilateralmente nell</w:t>
      </w:r>
      <w:r w:rsidR="00F06D2E">
        <w:rPr>
          <w:noProof/>
        </w:rPr>
        <w:t>'</w:t>
      </w:r>
      <w:r>
        <w:rPr>
          <w:noProof/>
        </w:rPr>
        <w:t>ETS2 le emissioni di CO</w:t>
      </w:r>
      <w:r>
        <w:rPr>
          <w:noProof/>
          <w:vertAlign w:val="subscript"/>
        </w:rPr>
        <w:t>2</w:t>
      </w:r>
      <w:r>
        <w:rPr>
          <w:noProof/>
        </w:rPr>
        <w:t xml:space="preserve"> provenienti da attività che non rientrano nell</w:t>
      </w:r>
      <w:r w:rsidR="00F06D2E">
        <w:rPr>
          <w:noProof/>
        </w:rPr>
        <w:t>'</w:t>
      </w:r>
      <w:r>
        <w:rPr>
          <w:noProof/>
        </w:rPr>
        <w:t>ambito di applicazione della direttiva ETS, previa</w:t>
      </w:r>
      <w:r w:rsidR="00F06D2E">
        <w:rPr>
          <w:noProof/>
        </w:rPr>
        <w:t> </w:t>
      </w:r>
      <w:r>
        <w:rPr>
          <w:noProof/>
        </w:rPr>
        <w:t>approvazione da parte della Commissione europea. Ad oggi la Commissione ha approvato le richieste di inclusione unilaterale di attività supplementari di Austria, Finlandia, Paesi Bassi e Svezia. Il tetto massimo dell</w:t>
      </w:r>
      <w:r w:rsidR="00F06D2E">
        <w:rPr>
          <w:noProof/>
        </w:rPr>
        <w:t>'</w:t>
      </w:r>
      <w:r>
        <w:rPr>
          <w:noProof/>
        </w:rPr>
        <w:t>ETS2 per il 2027 sarà modificato per tenere conto delle ulteriori emissioni derivanti dall</w:t>
      </w:r>
      <w:r w:rsidR="00F06D2E">
        <w:rPr>
          <w:noProof/>
        </w:rPr>
        <w:t>'</w:t>
      </w:r>
      <w:r>
        <w:rPr>
          <w:noProof/>
        </w:rPr>
        <w:t>inclusione unilaterale di attività supplementari a livello nazionale.</w:t>
      </w:r>
    </w:p>
    <w:p w14:paraId="6C168E36" w14:textId="48D36D48" w:rsidR="00400A0B" w:rsidRPr="00685D02" w:rsidRDefault="00482AFF" w:rsidP="00B17867">
      <w:pPr>
        <w:pStyle w:val="CMR-text"/>
        <w:rPr>
          <w:rFonts w:eastAsia="Calibri" w:cs="Times New Roman"/>
          <w:noProof/>
        </w:rPr>
      </w:pPr>
      <w:r>
        <w:rPr>
          <w:noProof/>
        </w:rPr>
        <w:t>L</w:t>
      </w:r>
      <w:r w:rsidR="00F06D2E">
        <w:rPr>
          <w:noProof/>
        </w:rPr>
        <w:t>'</w:t>
      </w:r>
      <w:r>
        <w:rPr>
          <w:noProof/>
        </w:rPr>
        <w:t>ETS2 integra gli obiettivi nazionali di riduzione delle emissioni di cui al regolamento sulla condivisione degli sforzi. Gli Stati membri devono attuare politiche complementari nei settori coperti dall</w:t>
      </w:r>
      <w:r w:rsidR="00F06D2E">
        <w:rPr>
          <w:noProof/>
        </w:rPr>
        <w:t>'</w:t>
      </w:r>
      <w:r>
        <w:rPr>
          <w:noProof/>
        </w:rPr>
        <w:t>ETS2 non solo per conseguire i propri obiettivi ma anche per tenere sotto controllo i prezzi dell</w:t>
      </w:r>
      <w:r w:rsidR="00F06D2E">
        <w:rPr>
          <w:noProof/>
        </w:rPr>
        <w:t>'</w:t>
      </w:r>
      <w:r>
        <w:rPr>
          <w:noProof/>
        </w:rPr>
        <w:t>ETS2. Nel settembre 2025 la Commissione ha pubblicato una panoramica delle politiche e delle misure efficaci che possono contribuire alla riduzione delle emissioni nei settori del trasporto stradale e dell</w:t>
      </w:r>
      <w:r w:rsidR="00F06D2E">
        <w:rPr>
          <w:noProof/>
        </w:rPr>
        <w:t>'</w:t>
      </w:r>
      <w:r>
        <w:rPr>
          <w:noProof/>
        </w:rPr>
        <w:t>edilizia</w:t>
      </w:r>
      <w:r>
        <w:rPr>
          <w:rStyle w:val="FootnoteReference"/>
          <w:rFonts w:eastAsia="Calibri" w:cs="Times New Roman"/>
          <w:noProof/>
          <w:lang w:val="en-IE"/>
        </w:rPr>
        <w:footnoteReference w:id="8"/>
      </w:r>
      <w:r>
        <w:rPr>
          <w:noProof/>
        </w:rPr>
        <w:t>.</w:t>
      </w:r>
    </w:p>
    <w:p w14:paraId="65544CC7" w14:textId="76D3CE2B" w:rsidR="00981812" w:rsidRPr="00EC4FC3" w:rsidRDefault="00981812" w:rsidP="00EC4FC3">
      <w:pPr>
        <w:pStyle w:val="CMR-Subheading"/>
        <w:rPr>
          <w:noProof/>
        </w:rPr>
      </w:pPr>
      <w:bookmarkStart w:id="14" w:name="_Toc180513393"/>
      <w:bookmarkStart w:id="15" w:name="_Toc218937020"/>
      <w:r>
        <w:rPr>
          <w:noProof/>
        </w:rPr>
        <w:t>Fondo sociale per il clima</w:t>
      </w:r>
      <w:bookmarkEnd w:id="14"/>
      <w:bookmarkEnd w:id="15"/>
    </w:p>
    <w:p w14:paraId="4F6B61D4" w14:textId="1D62A1AA" w:rsidR="0514A328" w:rsidRPr="00685D02" w:rsidRDefault="00B94D6D" w:rsidP="00A31D0C">
      <w:pPr>
        <w:pStyle w:val="CMR-text"/>
        <w:rPr>
          <w:rFonts w:eastAsia="Calibri" w:cs="Times New Roman"/>
          <w:noProof/>
        </w:rPr>
      </w:pPr>
      <w:r>
        <w:rPr>
          <w:noProof/>
        </w:rPr>
        <w:t>Il Fondo sociale per il clima è stato istituito unitamente all</w:t>
      </w:r>
      <w:r w:rsidR="00F06D2E">
        <w:rPr>
          <w:noProof/>
        </w:rPr>
        <w:t>'</w:t>
      </w:r>
      <w:r>
        <w:rPr>
          <w:noProof/>
        </w:rPr>
        <w:t>ETS2 allo scopo di fornire agli Stati membri finanziamenti per affrontare gli impatti sociali derivanti dall</w:t>
      </w:r>
      <w:r w:rsidR="00F06D2E">
        <w:rPr>
          <w:noProof/>
        </w:rPr>
        <w:t>'</w:t>
      </w:r>
      <w:r>
        <w:rPr>
          <w:noProof/>
        </w:rPr>
        <w:t>inclusione dei settori dell</w:t>
      </w:r>
      <w:r w:rsidR="00F06D2E">
        <w:rPr>
          <w:noProof/>
        </w:rPr>
        <w:t>'</w:t>
      </w:r>
      <w:r>
        <w:rPr>
          <w:noProof/>
        </w:rPr>
        <w:t xml:space="preserve">edilizia e del trasporto su strada nel nuovo sistema e per sostenere i gruppi più vulnerabili, in particolare le famiglie in condizioni di povertà energetica o di povertà dei trasporti. </w:t>
      </w:r>
    </w:p>
    <w:p w14:paraId="49134771" w14:textId="3E2101D6" w:rsidR="0514A328" w:rsidRPr="00685D02" w:rsidRDefault="0514A328">
      <w:pPr>
        <w:pStyle w:val="CMR-text"/>
        <w:rPr>
          <w:rFonts w:eastAsia="Calibri" w:cs="Times New Roman"/>
          <w:noProof/>
        </w:rPr>
      </w:pPr>
      <w:r>
        <w:rPr>
          <w:noProof/>
        </w:rPr>
        <w:t>Il Fondo metterà a disposizione 65 miliardi di EUR (a prezzi correnti) nel periodo 2026-2032, finanziati attraverso le entrate con destinazione specifica esterna derivanti principalmente dalla vendita all</w:t>
      </w:r>
      <w:r w:rsidR="00F06D2E">
        <w:rPr>
          <w:noProof/>
        </w:rPr>
        <w:t>'</w:t>
      </w:r>
      <w:r>
        <w:rPr>
          <w:noProof/>
        </w:rPr>
        <w:t>asta delle quote di emissioni dell</w:t>
      </w:r>
      <w:r w:rsidR="00F06D2E">
        <w:rPr>
          <w:noProof/>
        </w:rPr>
        <w:t>'</w:t>
      </w:r>
      <w:r>
        <w:rPr>
          <w:noProof/>
        </w:rPr>
        <w:t>ETS2 e dalla vendita all</w:t>
      </w:r>
      <w:r w:rsidR="00F06D2E">
        <w:rPr>
          <w:noProof/>
        </w:rPr>
        <w:t>'</w:t>
      </w:r>
      <w:r>
        <w:rPr>
          <w:noProof/>
        </w:rPr>
        <w:t>asta di 50 milioni di quote di emissioni dell</w:t>
      </w:r>
      <w:r w:rsidR="00F06D2E">
        <w:rPr>
          <w:noProof/>
        </w:rPr>
        <w:t>'</w:t>
      </w:r>
      <w:r>
        <w:rPr>
          <w:noProof/>
        </w:rPr>
        <w:t xml:space="preserve">attuale EU ETS (già iniziata nel 2025). La dotazione finanziaria del Fondo assegnata a ciascuno Stato membro è stata stabilita sulla base di indicatori relativi alle emissioni, al profilo demografico, alla povertà energetica e dei trasporti e alla prosperità relativa. Gli Stati membri erano tenuti a presentare i piani sociali nazionali per il clima alla Commissione per approvazione entro il 30 giugno 2025, indicando in che modo intendevano spendere le proprie risorse del Fondo. Incluso un contributo obbligatorio minimo del 25 % ai rispettivi piani dovuto dagli Stati membri, il Fondo sociale per il clima mobiliterà almeno 86,7 miliardi di EUR. </w:t>
      </w:r>
    </w:p>
    <w:p w14:paraId="7CA7185C" w14:textId="2A98BE98" w:rsidR="006D7E6C" w:rsidRPr="00EC4FC3" w:rsidRDefault="006D7E6C" w:rsidP="00EC4FC3">
      <w:pPr>
        <w:pStyle w:val="CMR-SubHead2"/>
        <w:rPr>
          <w:noProof/>
        </w:rPr>
      </w:pPr>
      <w:bookmarkStart w:id="16" w:name="_Toc218937021"/>
      <w:r>
        <w:rPr>
          <w:noProof/>
        </w:rPr>
        <w:t>Piani sociali per il clima</w:t>
      </w:r>
      <w:bookmarkEnd w:id="16"/>
    </w:p>
    <w:p w14:paraId="36618F50" w14:textId="6F6A4C72" w:rsidR="00527522" w:rsidRPr="00685D02" w:rsidRDefault="0514A328">
      <w:pPr>
        <w:pStyle w:val="CMR-text"/>
        <w:rPr>
          <w:rFonts w:eastAsia="Calibri" w:cs="Times New Roman"/>
          <w:noProof/>
        </w:rPr>
      </w:pPr>
      <w:r>
        <w:rPr>
          <w:noProof/>
        </w:rPr>
        <w:t>I piani sociali per il clima dovrebbero includere un</w:t>
      </w:r>
      <w:r w:rsidR="00F06D2E">
        <w:rPr>
          <w:noProof/>
        </w:rPr>
        <w:t>'</w:t>
      </w:r>
      <w:r>
        <w:rPr>
          <w:noProof/>
        </w:rPr>
        <w:t>analisi dei probabili effetti dell</w:t>
      </w:r>
      <w:r w:rsidR="00F06D2E">
        <w:rPr>
          <w:noProof/>
        </w:rPr>
        <w:t>'</w:t>
      </w:r>
      <w:r>
        <w:rPr>
          <w:noProof/>
        </w:rPr>
        <w:t>ETS2 sui gruppi vulnerabili, nonché misure e investimenti strutturali per mitigare tali effetti in modo da sostenere i gruppi vulnerabili individuati. Le misure e gli investimenti potrebbero riguardare il miglioramento dell</w:t>
      </w:r>
      <w:r w:rsidR="00F06D2E">
        <w:rPr>
          <w:noProof/>
        </w:rPr>
        <w:t>'</w:t>
      </w:r>
      <w:r>
        <w:rPr>
          <w:noProof/>
        </w:rPr>
        <w:t>efficienza energetica e la ristrutturazione di edifici, lo sviluppo di sistemi di riscaldamento e raffrescamento puliti e l</w:t>
      </w:r>
      <w:r w:rsidR="00F06D2E">
        <w:rPr>
          <w:noProof/>
        </w:rPr>
        <w:t>'</w:t>
      </w:r>
      <w:r>
        <w:rPr>
          <w:noProof/>
        </w:rPr>
        <w:t>integrazione dell</w:t>
      </w:r>
      <w:r w:rsidR="00F06D2E">
        <w:rPr>
          <w:noProof/>
        </w:rPr>
        <w:t>'</w:t>
      </w:r>
      <w:r>
        <w:rPr>
          <w:noProof/>
        </w:rPr>
        <w:t xml:space="preserve">energia rinnovabile, nonché la diffusione di soluzioni di mobilità a zero emissioni e, in casi debitamente giustificati, a basse emissioni, compresi i trasporti pubblici. </w:t>
      </w:r>
    </w:p>
    <w:p w14:paraId="4188892B" w14:textId="45001B8D" w:rsidR="00B24028" w:rsidRPr="00685D02" w:rsidRDefault="0514A328" w:rsidP="00B24028">
      <w:pPr>
        <w:pStyle w:val="CMR-text"/>
        <w:rPr>
          <w:rFonts w:eastAsia="Calibri" w:cs="Times New Roman"/>
          <w:noProof/>
        </w:rPr>
      </w:pPr>
      <w:r>
        <w:rPr>
          <w:noProof/>
        </w:rPr>
        <w:lastRenderedPageBreak/>
        <w:t xml:space="preserve">Tutte le misure e gli investimenti devono rispettare il principio </w:t>
      </w:r>
      <w:r w:rsidR="00F06D2E">
        <w:rPr>
          <w:noProof/>
        </w:rPr>
        <w:t>"</w:t>
      </w:r>
      <w:r>
        <w:rPr>
          <w:noProof/>
        </w:rPr>
        <w:t>non arrecare un danno significativo</w:t>
      </w:r>
      <w:r w:rsidR="00F06D2E">
        <w:rPr>
          <w:noProof/>
        </w:rPr>
        <w:t>"</w:t>
      </w:r>
      <w:r>
        <w:rPr>
          <w:noProof/>
        </w:rPr>
        <w:t xml:space="preserve"> (DNSH) per quanto riguarda i sei obiettivi ambientali delineati nel regolamento sulla tassonomia (regolamento (UE) 2020/852). Gli Stati membri hanno inoltre la possibilità di destinare una modesta quota della propria dotazione a titolo del Fondo al sostegno diretto temporaneo al reddito. Devono</w:t>
      </w:r>
      <w:r w:rsidR="00F06D2E">
        <w:rPr>
          <w:noProof/>
        </w:rPr>
        <w:t> </w:t>
      </w:r>
      <w:r>
        <w:rPr>
          <w:noProof/>
        </w:rPr>
        <w:t>inoltre garantire la coerenza delle politiche con i rispettivi piani nazionali per l</w:t>
      </w:r>
      <w:r w:rsidR="00F06D2E">
        <w:rPr>
          <w:noProof/>
        </w:rPr>
        <w:t>'</w:t>
      </w:r>
      <w:r>
        <w:rPr>
          <w:noProof/>
        </w:rPr>
        <w:t>energia e il clima (PNEC), e i piani sociali per il clima possono includere misure di accompagnamento volte a migliorare la coerenza e rafforzare gli incentivi per l</w:t>
      </w:r>
      <w:r w:rsidR="00F06D2E">
        <w:rPr>
          <w:noProof/>
        </w:rPr>
        <w:t>'</w:t>
      </w:r>
      <w:r>
        <w:rPr>
          <w:noProof/>
        </w:rPr>
        <w:t>adozione di alternative pulite.</w:t>
      </w:r>
    </w:p>
    <w:p w14:paraId="0F225FCF" w14:textId="4FA565C8" w:rsidR="0514A328" w:rsidRPr="00685D02" w:rsidRDefault="08BC77B9" w:rsidP="2DC1D0FA">
      <w:pPr>
        <w:pStyle w:val="CMR-text"/>
        <w:rPr>
          <w:rFonts w:eastAsia="Calibri" w:cs="Times New Roman"/>
          <w:noProof/>
        </w:rPr>
      </w:pPr>
      <w:r>
        <w:rPr>
          <w:noProof/>
        </w:rPr>
        <w:t>Già nel 2023 la Commissione ha istituito un apposito gruppo di esperti con rappresentanti degli Stati membri per discutere e scambiare migliori pratiche; il gruppo si riunisce periodicamente. La</w:t>
      </w:r>
      <w:r w:rsidR="00F06D2E">
        <w:rPr>
          <w:noProof/>
        </w:rPr>
        <w:t> </w:t>
      </w:r>
      <w:r>
        <w:rPr>
          <w:noProof/>
        </w:rPr>
        <w:t>Commissione ha inoltre pubblicato diverse note tematiche e vari documenti di orientamento. Nel</w:t>
      </w:r>
      <w:r w:rsidR="00F06D2E">
        <w:rPr>
          <w:noProof/>
        </w:rPr>
        <w:t> </w:t>
      </w:r>
      <w:r>
        <w:rPr>
          <w:noProof/>
        </w:rPr>
        <w:t>giugno 2024 sono state pubblicate due note sulle migliori pratiche relative a misure e investimenti efficaci sotto il profilo dei costi e a consultazioni pubbliche efficaci. Nel marzo 2025 sono stati pubblicati due documenti di orientamento sulla preparazione dei piani sociali per il clima e sull</w:t>
      </w:r>
      <w:r w:rsidR="00F06D2E">
        <w:rPr>
          <w:noProof/>
        </w:rPr>
        <w:t>'</w:t>
      </w:r>
      <w:r>
        <w:rPr>
          <w:noProof/>
        </w:rPr>
        <w:t>applicazione del principio DNSH. L</w:t>
      </w:r>
      <w:r w:rsidR="00F06D2E">
        <w:rPr>
          <w:noProof/>
        </w:rPr>
        <w:t>'</w:t>
      </w:r>
      <w:r>
        <w:rPr>
          <w:noProof/>
        </w:rPr>
        <w:t>ultimo documento di orientamento sul monitoraggio e sull</w:t>
      </w:r>
      <w:r w:rsidR="00F06D2E">
        <w:rPr>
          <w:noProof/>
        </w:rPr>
        <w:t>'</w:t>
      </w:r>
      <w:r>
        <w:rPr>
          <w:noProof/>
        </w:rPr>
        <w:t>attuazione è stato pubblicato nell</w:t>
      </w:r>
      <w:r w:rsidR="00F06D2E">
        <w:rPr>
          <w:noProof/>
        </w:rPr>
        <w:t>'</w:t>
      </w:r>
      <w:r>
        <w:rPr>
          <w:noProof/>
        </w:rPr>
        <w:t>ottobre 2025</w:t>
      </w:r>
      <w:r>
        <w:rPr>
          <w:rStyle w:val="FootnoteReference"/>
          <w:rFonts w:eastAsia="Calibri" w:cs="Times New Roman"/>
          <w:noProof/>
          <w:lang w:val="en-IE"/>
        </w:rPr>
        <w:footnoteReference w:id="9"/>
      </w:r>
      <w:r>
        <w:rPr>
          <w:noProof/>
        </w:rPr>
        <w:t xml:space="preserve">. Inoltre la Commissione ha istituito una piattaforma che consente agli Stati membri di formulare domande su base continuativa. </w:t>
      </w:r>
    </w:p>
    <w:p w14:paraId="69974877" w14:textId="44C71E1E" w:rsidR="0514A328" w:rsidRPr="00685D02" w:rsidRDefault="0514A328" w:rsidP="00A31D0C">
      <w:pPr>
        <w:pStyle w:val="CMR-text"/>
        <w:rPr>
          <w:rFonts w:eastAsia="Calibri" w:cs="Times New Roman"/>
          <w:noProof/>
        </w:rPr>
      </w:pPr>
      <w:r>
        <w:rPr>
          <w:noProof/>
        </w:rPr>
        <w:t>La Commissione inoltre ha assistito direttamente 10 Stati membri nella preparazione dei rispettivi piani sociali per il clima tramite lo strumento di sostegno tecnico. Il sostegno ha riguardato una valutazione iniziale degli impatti dell</w:t>
      </w:r>
      <w:r w:rsidR="00F06D2E">
        <w:rPr>
          <w:noProof/>
        </w:rPr>
        <w:t>'</w:t>
      </w:r>
      <w:r>
        <w:rPr>
          <w:noProof/>
        </w:rPr>
        <w:t xml:space="preserve">ETS2 e dei gruppi vulnerabili, il coinvolgimento dei portatori di interessi, nonché la selezione e la caratterizzazione delle misure e degli investimenti pertinenti. </w:t>
      </w:r>
    </w:p>
    <w:p w14:paraId="1F0AD4D2" w14:textId="10E20C71" w:rsidR="0514A328" w:rsidRPr="00685D02" w:rsidRDefault="0514A328" w:rsidP="00A31D0C">
      <w:pPr>
        <w:pStyle w:val="CMR-text"/>
        <w:rPr>
          <w:rFonts w:eastAsia="Calibri" w:cs="Times New Roman"/>
          <w:noProof/>
        </w:rPr>
      </w:pPr>
      <w:r>
        <w:rPr>
          <w:noProof/>
        </w:rPr>
        <w:t>Alla fine del 2024 e all</w:t>
      </w:r>
      <w:r w:rsidR="00F06D2E">
        <w:rPr>
          <w:noProof/>
        </w:rPr>
        <w:t>'</w:t>
      </w:r>
      <w:r>
        <w:rPr>
          <w:noProof/>
        </w:rPr>
        <w:t>inizio del 2025 gli Stati membri hanno avviato consultazioni obbligatorie dei portatori di interessi in merito ai propri piani sociali per il clima. Le consultazioni proseguiranno fino alla presentazione ufficiale dei piani. In parallelo nel giugno 2025 il commissario Hoekstra ha presieduto il primo dialogo sull</w:t>
      </w:r>
      <w:r w:rsidR="00F06D2E">
        <w:rPr>
          <w:noProof/>
        </w:rPr>
        <w:t>'</w:t>
      </w:r>
      <w:r>
        <w:rPr>
          <w:noProof/>
        </w:rPr>
        <w:t>attuazione dell</w:t>
      </w:r>
      <w:r w:rsidR="00F06D2E">
        <w:rPr>
          <w:noProof/>
        </w:rPr>
        <w:t>'</w:t>
      </w:r>
      <w:r>
        <w:rPr>
          <w:noProof/>
        </w:rPr>
        <w:t>ETS2 e del Fondo sociale per il clima, cui ha partecipato un gruppo diversificato di portatori di interessi provenienti da settori diversi: pompe di calore, industria automobilistica, ristrutturazione edilizia, micromobilità, approvvigionamento di carburante e società civile.</w:t>
      </w:r>
    </w:p>
    <w:p w14:paraId="3BDF8E68" w14:textId="76928CD2" w:rsidR="004874BD" w:rsidRDefault="00D07057">
      <w:pPr>
        <w:pStyle w:val="CMR-text"/>
        <w:rPr>
          <w:rFonts w:eastAsia="Calibri" w:cs="Times New Roman"/>
          <w:noProof/>
        </w:rPr>
      </w:pPr>
      <w:r>
        <w:rPr>
          <w:noProof/>
        </w:rPr>
        <w:t>A metà ottobre 2025 due Stati membri (Lettonia e Svezia) avevano ufficialmente sottoposto i loro piani alla valutazione della Commissione, che ha inoltre esaminato i progetti di piani sociali per il clima di circa 15 paesi. La Commissione sta lavorando a stretto contatto con tutti gli Stati membri durante l</w:t>
      </w:r>
      <w:r w:rsidR="00F06D2E">
        <w:rPr>
          <w:noProof/>
        </w:rPr>
        <w:t>'</w:t>
      </w:r>
      <w:r>
        <w:rPr>
          <w:noProof/>
        </w:rPr>
        <w:t xml:space="preserve">intero processo di preparazione, presentazione e valutazione, incoraggiandoli vivamente ad attuare con celerità il Fondo sociale per il clima e a fornire rapidamente il sostegno ai gruppi vulnerabili. </w:t>
      </w:r>
    </w:p>
    <w:p w14:paraId="5C949C6D" w14:textId="4C4CDDA3" w:rsidR="00026106" w:rsidRPr="00685D02" w:rsidRDefault="00966D14">
      <w:pPr>
        <w:pStyle w:val="CMR-text"/>
        <w:rPr>
          <w:rFonts w:eastAsia="Calibri" w:cs="Times New Roman"/>
          <w:noProof/>
        </w:rPr>
      </w:pPr>
      <w:r>
        <w:rPr>
          <w:noProof/>
        </w:rPr>
        <w:t xml:space="preserve">La Commissione dispone di cinque mesi di tempo per valutare i piani che sono stati formalmente presentati e può formulare osservazioni o richiedere allo Stato membro interessato informazioni supplementari entro due mesi dal ricevimento dei piani. </w:t>
      </w:r>
    </w:p>
    <w:p w14:paraId="131CE6B0" w14:textId="205DCA2F" w:rsidR="00613B80" w:rsidRPr="00EC4FC3" w:rsidRDefault="00613B80" w:rsidP="00EC4FC3">
      <w:pPr>
        <w:pStyle w:val="CMR-Heading"/>
        <w:rPr>
          <w:noProof/>
        </w:rPr>
      </w:pPr>
      <w:bookmarkStart w:id="17" w:name="_Toc180513394"/>
      <w:bookmarkStart w:id="18" w:name="_Toc218937022"/>
      <w:r>
        <w:rPr>
          <w:noProof/>
        </w:rPr>
        <w:t>Tetto massimo per le emissioni</w:t>
      </w:r>
      <w:bookmarkEnd w:id="17"/>
      <w:bookmarkEnd w:id="18"/>
    </w:p>
    <w:p w14:paraId="0D948825" w14:textId="18CEA0E5" w:rsidR="006E7BA3" w:rsidRPr="00685D02" w:rsidRDefault="00974DEC" w:rsidP="001856AF">
      <w:pPr>
        <w:pStyle w:val="CMR-text"/>
        <w:rPr>
          <w:rFonts w:cs="Times New Roman"/>
          <w:noProof/>
        </w:rPr>
      </w:pPr>
      <w:r>
        <w:rPr>
          <w:noProof/>
        </w:rPr>
        <w:t>Nell</w:t>
      </w:r>
      <w:r w:rsidR="00F06D2E">
        <w:rPr>
          <w:noProof/>
        </w:rPr>
        <w:t>'</w:t>
      </w:r>
      <w:r>
        <w:rPr>
          <w:noProof/>
        </w:rPr>
        <w:t>EU ETS il tetto fissa il volume massimo assoluto di emissioni che i soggetti regolamentati possono emettere nel corso di una fase di scambio. Corrisponde al numero di quote di emissioni rilasciate per quel periodo, posto che una quota corrisponde a una tonnellata di emissioni di CO</w:t>
      </w:r>
      <w:r>
        <w:rPr>
          <w:noProof/>
          <w:vertAlign w:val="subscript"/>
        </w:rPr>
        <w:t>2</w:t>
      </w:r>
      <w:r>
        <w:rPr>
          <w:noProof/>
        </w:rPr>
        <w:t>eq (biossido di carbonio equivalente). Il tetto massimo diminuisce di anno in anno così da garantire che l</w:t>
      </w:r>
      <w:r w:rsidR="00F06D2E">
        <w:rPr>
          <w:noProof/>
        </w:rPr>
        <w:t>'</w:t>
      </w:r>
      <w:r>
        <w:rPr>
          <w:noProof/>
        </w:rPr>
        <w:t xml:space="preserve">UE raggiunga </w:t>
      </w:r>
      <w:r>
        <w:rPr>
          <w:noProof/>
        </w:rPr>
        <w:lastRenderedPageBreak/>
        <w:t>il proprio obiettivo generale di riduzione delle emissioni, dando certezza alle imprese che partecipano all</w:t>
      </w:r>
      <w:r w:rsidR="00F06D2E">
        <w:rPr>
          <w:noProof/>
        </w:rPr>
        <w:t>'</w:t>
      </w:r>
      <w:r>
        <w:rPr>
          <w:noProof/>
        </w:rPr>
        <w:t xml:space="preserve">ETS sulla prevista scarsità di offerta di quote di emissioni. </w:t>
      </w:r>
    </w:p>
    <w:p w14:paraId="6B352AA6" w14:textId="5B5F8F1A" w:rsidR="00DF6D65" w:rsidRPr="00685D02" w:rsidRDefault="00133030" w:rsidP="001856AF">
      <w:pPr>
        <w:pStyle w:val="CMR-text"/>
        <w:rPr>
          <w:rFonts w:cs="Times New Roman"/>
          <w:noProof/>
        </w:rPr>
      </w:pPr>
      <w:r>
        <w:rPr>
          <w:noProof/>
        </w:rPr>
        <w:t>Il tetto massimo è attualmente fissato in modo da ottenere una riduzione delle emissioni dell</w:t>
      </w:r>
      <w:r w:rsidR="00F06D2E">
        <w:rPr>
          <w:noProof/>
        </w:rPr>
        <w:t>'</w:t>
      </w:r>
      <w:r>
        <w:rPr>
          <w:noProof/>
        </w:rPr>
        <w:t>EU ETS pari al 62 % entro il 2030 rispetto ai livelli del 2005. Dal 2024 al 2027 il tetto massimo diminuisce di anno in anno al tasso del 4,3 % delle emissioni di riferimento di cui agli articoli 3 quater e 9 della direttiva ETS</w:t>
      </w:r>
      <w:r>
        <w:rPr>
          <w:rStyle w:val="FootnoteReference"/>
          <w:rFonts w:cs="Times New Roman"/>
          <w:noProof/>
          <w:lang w:val="en-IE"/>
        </w:rPr>
        <w:footnoteReference w:id="10"/>
      </w:r>
      <w:r>
        <w:rPr>
          <w:noProof/>
        </w:rPr>
        <w:t xml:space="preserve">. A decorrere dal 2028 il tasso di riduzione annuale sarà pari al 4,4 %. </w:t>
      </w:r>
    </w:p>
    <w:p w14:paraId="0F5846FD" w14:textId="64E1194F" w:rsidR="00983DBA" w:rsidRPr="00685D02" w:rsidRDefault="00281708" w:rsidP="00DF6D65">
      <w:pPr>
        <w:pStyle w:val="CMR-text"/>
        <w:rPr>
          <w:rFonts w:cs="Times New Roman"/>
          <w:noProof/>
        </w:rPr>
      </w:pPr>
      <w:r>
        <w:rPr>
          <w:noProof/>
        </w:rPr>
        <w:t>Per quanto riguarda il tetto massimo si applicano calcoli separati alle emissioni generate dalla produzione di energia elettrica e calore, dalla produzione industriale e dal trasporto marittimo (ai sensi dell</w:t>
      </w:r>
      <w:r w:rsidR="00F06D2E">
        <w:rPr>
          <w:noProof/>
        </w:rPr>
        <w:t>'</w:t>
      </w:r>
      <w:r>
        <w:rPr>
          <w:noProof/>
        </w:rPr>
        <w:t>articolo 9 della direttiva ETS) e dal trasporto aereo (ai sensi dell</w:t>
      </w:r>
      <w:r w:rsidR="00F06D2E">
        <w:rPr>
          <w:noProof/>
        </w:rPr>
        <w:t>'</w:t>
      </w:r>
      <w:r>
        <w:rPr>
          <w:noProof/>
        </w:rPr>
        <w:t>articolo 3 quater della medesima direttiva) che rientrano nell</w:t>
      </w:r>
      <w:r w:rsidR="00F06D2E">
        <w:rPr>
          <w:noProof/>
        </w:rPr>
        <w:t>'</w:t>
      </w:r>
      <w:r>
        <w:rPr>
          <w:noProof/>
        </w:rPr>
        <w:t>ambito di applicazione dell</w:t>
      </w:r>
      <w:r w:rsidR="00F06D2E">
        <w:rPr>
          <w:noProof/>
        </w:rPr>
        <w:t>'</w:t>
      </w:r>
      <w:r>
        <w:rPr>
          <w:noProof/>
        </w:rPr>
        <w:t xml:space="preserve">EU ETS. </w:t>
      </w:r>
    </w:p>
    <w:p w14:paraId="58D375CF" w14:textId="7675449D" w:rsidR="00983DBA" w:rsidRPr="00685D02" w:rsidRDefault="00281708" w:rsidP="00983DBA">
      <w:pPr>
        <w:pStyle w:val="CMR-text"/>
        <w:numPr>
          <w:ilvl w:val="0"/>
          <w:numId w:val="40"/>
        </w:numPr>
        <w:rPr>
          <w:rFonts w:cs="Times New Roman"/>
          <w:noProof/>
        </w:rPr>
      </w:pPr>
      <w:r>
        <w:rPr>
          <w:noProof/>
        </w:rPr>
        <w:t>Nel 2024 sono state rilasciate 1 386 051 745 quote di emissioni per la produzione di energia elettrica e calore, per la produzione industriale e per il trasporto marittimo</w:t>
      </w:r>
      <w:r>
        <w:rPr>
          <w:rStyle w:val="FootnoteReference"/>
          <w:rFonts w:cs="Times New Roman"/>
          <w:noProof/>
          <w:lang w:val="en-IE"/>
        </w:rPr>
        <w:footnoteReference w:id="11"/>
      </w:r>
      <w:r>
        <w:rPr>
          <w:noProof/>
        </w:rPr>
        <w:t>, mentre per il trasporto aereo ne sono state rilasciate 27 563 529</w:t>
      </w:r>
      <w:r>
        <w:rPr>
          <w:rStyle w:val="FootnoteReference"/>
          <w:rFonts w:cs="Times New Roman"/>
          <w:noProof/>
          <w:lang w:val="en-IE"/>
        </w:rPr>
        <w:footnoteReference w:id="12"/>
      </w:r>
      <w:r>
        <w:rPr>
          <w:noProof/>
        </w:rPr>
        <w:t>.</w:t>
      </w:r>
    </w:p>
    <w:p w14:paraId="3B5007E6" w14:textId="1411E7A6" w:rsidR="00DF6D65" w:rsidRPr="00685D02" w:rsidRDefault="0015388E" w:rsidP="00A31D0C">
      <w:pPr>
        <w:pStyle w:val="CMR-text"/>
        <w:numPr>
          <w:ilvl w:val="0"/>
          <w:numId w:val="40"/>
        </w:numPr>
        <w:rPr>
          <w:rFonts w:cs="Times New Roman"/>
          <w:noProof/>
        </w:rPr>
      </w:pPr>
      <w:r>
        <w:rPr>
          <w:noProof/>
        </w:rPr>
        <w:t xml:space="preserve">Nel 2025 sono state rilasciate 1 298 127 514 quote di emissioni per la produzione di energia elettrica e calore, per la produzione industriale e per il trasporto marittimo, mentre per il trasporto aereo ne sono state rilasciate 26 233 302. </w:t>
      </w:r>
    </w:p>
    <w:p w14:paraId="165084D0" w14:textId="631856FD" w:rsidR="000527CF" w:rsidRPr="00685D02" w:rsidRDefault="3FB8DF5E" w:rsidP="00FE2381">
      <w:pPr>
        <w:pStyle w:val="CMR-text"/>
        <w:rPr>
          <w:rFonts w:cs="Times New Roman"/>
          <w:noProof/>
        </w:rPr>
      </w:pPr>
      <w:r>
        <w:rPr>
          <w:noProof/>
        </w:rPr>
        <w:t>A norma dell</w:t>
      </w:r>
      <w:r w:rsidR="00F06D2E">
        <w:rPr>
          <w:noProof/>
        </w:rPr>
        <w:t>'</w:t>
      </w:r>
      <w:r>
        <w:rPr>
          <w:noProof/>
        </w:rPr>
        <w:t>articolo 9 della direttiva ETS, per il 2026 è prevista una riduzione del tetto massimo pari a 27 milioni di quote (in linea con l</w:t>
      </w:r>
      <w:r w:rsidR="00F06D2E">
        <w:rPr>
          <w:noProof/>
        </w:rPr>
        <w:t>'</w:t>
      </w:r>
      <w:r>
        <w:rPr>
          <w:noProof/>
        </w:rPr>
        <w:t>obiettivo generale di riduzione delle emissioni entro il 2030 nell</w:t>
      </w:r>
      <w:r w:rsidR="00F06D2E">
        <w:rPr>
          <w:noProof/>
        </w:rPr>
        <w:t>'</w:t>
      </w:r>
      <w:r>
        <w:rPr>
          <w:noProof/>
        </w:rPr>
        <w:t>ambito dell</w:t>
      </w:r>
      <w:r w:rsidR="00F06D2E">
        <w:rPr>
          <w:noProof/>
        </w:rPr>
        <w:t>'</w:t>
      </w:r>
      <w:r>
        <w:rPr>
          <w:noProof/>
        </w:rPr>
        <w:t xml:space="preserve">EU ETS). </w:t>
      </w:r>
    </w:p>
    <w:p w14:paraId="1B525BA6" w14:textId="788FC554" w:rsidR="000527CF" w:rsidRPr="00685D02" w:rsidRDefault="1D086358" w:rsidP="00FE2381">
      <w:pPr>
        <w:pStyle w:val="CMR-text"/>
        <w:rPr>
          <w:rFonts w:cs="Times New Roman"/>
          <w:noProof/>
        </w:rPr>
      </w:pPr>
      <w:r>
        <w:rPr>
          <w:noProof/>
        </w:rPr>
        <w:t>Al contempo tale tetto massimo deve essere aumentato in modo da riflettere l</w:t>
      </w:r>
      <w:r w:rsidR="00F06D2E">
        <w:rPr>
          <w:noProof/>
        </w:rPr>
        <w:t>'</w:t>
      </w:r>
      <w:r>
        <w:rPr>
          <w:noProof/>
        </w:rPr>
        <w:t>estensione dell</w:t>
      </w:r>
      <w:r w:rsidR="00F06D2E">
        <w:rPr>
          <w:noProof/>
        </w:rPr>
        <w:t>'</w:t>
      </w:r>
      <w:r>
        <w:rPr>
          <w:noProof/>
        </w:rPr>
        <w:t>ambito di applicazione dell</w:t>
      </w:r>
      <w:r w:rsidR="00F06D2E">
        <w:rPr>
          <w:noProof/>
        </w:rPr>
        <w:t>'</w:t>
      </w:r>
      <w:r>
        <w:rPr>
          <w:noProof/>
        </w:rPr>
        <w:t>EU ETS alle emissioni di N</w:t>
      </w:r>
      <w:r>
        <w:rPr>
          <w:noProof/>
          <w:vertAlign w:val="subscript"/>
        </w:rPr>
        <w:t>2</w:t>
      </w:r>
      <w:r>
        <w:rPr>
          <w:noProof/>
        </w:rPr>
        <w:t>O e CH</w:t>
      </w:r>
      <w:r>
        <w:rPr>
          <w:noProof/>
          <w:vertAlign w:val="subscript"/>
        </w:rPr>
        <w:t>4</w:t>
      </w:r>
      <w:r>
        <w:rPr>
          <w:noProof/>
        </w:rPr>
        <w:t xml:space="preserve"> generate dal trasporto marittimo. </w:t>
      </w:r>
    </w:p>
    <w:p w14:paraId="3CE1B039" w14:textId="4D977044" w:rsidR="00662872" w:rsidRPr="00685D02" w:rsidRDefault="5AFC1DA4" w:rsidP="00FE2381">
      <w:pPr>
        <w:pStyle w:val="CMR-text"/>
        <w:rPr>
          <w:rFonts w:cs="Times New Roman"/>
          <w:noProof/>
        </w:rPr>
      </w:pPr>
      <w:r>
        <w:rPr>
          <w:noProof/>
        </w:rPr>
        <w:t>Sulla base delle emissioni per l</w:t>
      </w:r>
      <w:r w:rsidR="00F06D2E">
        <w:rPr>
          <w:noProof/>
        </w:rPr>
        <w:t>'</w:t>
      </w:r>
      <w:r>
        <w:rPr>
          <w:noProof/>
        </w:rPr>
        <w:t>anno più recente per il quale sono disponibili dati</w:t>
      </w:r>
      <w:r>
        <w:rPr>
          <w:rStyle w:val="FootnoteReference"/>
          <w:rFonts w:cs="Times New Roman"/>
          <w:noProof/>
          <w:lang w:val="en-IE"/>
        </w:rPr>
        <w:footnoteReference w:id="13"/>
      </w:r>
      <w:r>
        <w:rPr>
          <w:noProof/>
        </w:rPr>
        <w:t>, tale aumento è pari a 2 375 680 quote. Tali quote supplementari saranno messe all</w:t>
      </w:r>
      <w:r w:rsidR="00F06D2E">
        <w:rPr>
          <w:noProof/>
        </w:rPr>
        <w:t>'</w:t>
      </w:r>
      <w:r>
        <w:rPr>
          <w:noProof/>
        </w:rPr>
        <w:t>asta e integreranno il Fondo per l</w:t>
      </w:r>
      <w:r w:rsidR="00F06D2E">
        <w:rPr>
          <w:noProof/>
        </w:rPr>
        <w:t>'</w:t>
      </w:r>
      <w:r>
        <w:rPr>
          <w:noProof/>
        </w:rPr>
        <w:t>innovazione, che è interamente finanziato dall</w:t>
      </w:r>
      <w:r w:rsidR="00F06D2E">
        <w:rPr>
          <w:noProof/>
        </w:rPr>
        <w:t>'</w:t>
      </w:r>
      <w:r>
        <w:rPr>
          <w:noProof/>
        </w:rPr>
        <w:t xml:space="preserve">EU ETS (cfr. capitolo 8.2). </w:t>
      </w:r>
    </w:p>
    <w:p w14:paraId="02D7B956" w14:textId="124702EB" w:rsidR="00D009F9" w:rsidRPr="00685D02" w:rsidRDefault="00962167" w:rsidP="00FE2381">
      <w:pPr>
        <w:pStyle w:val="CMR-text"/>
        <w:rPr>
          <w:rFonts w:cs="Times New Roman"/>
          <w:noProof/>
        </w:rPr>
      </w:pPr>
      <w:r>
        <w:rPr>
          <w:noProof/>
        </w:rPr>
        <w:t>Inoltre l</w:t>
      </w:r>
      <w:r w:rsidR="00F06D2E">
        <w:rPr>
          <w:noProof/>
        </w:rPr>
        <w:t>'</w:t>
      </w:r>
      <w:r>
        <w:rPr>
          <w:noProof/>
        </w:rPr>
        <w:t>elenco degli impianti esclusi da alcuni Stati membri a norma dell</w:t>
      </w:r>
      <w:r w:rsidR="00F06D2E">
        <w:rPr>
          <w:noProof/>
        </w:rPr>
        <w:t>'</w:t>
      </w:r>
      <w:r>
        <w:rPr>
          <w:noProof/>
        </w:rPr>
        <w:t>articolo 27 della direttiva ETS è stato aggiornato per il periodo 2026-2030, il che ha determinato modesti adeguamenti del tetto massimo e del fattore di riduzione lineare a decorrere dal 2026.</w:t>
      </w:r>
    </w:p>
    <w:p w14:paraId="20391F1B" w14:textId="7B341D02" w:rsidR="00FE2381" w:rsidRPr="0008163A" w:rsidRDefault="2595B433" w:rsidP="0081523A">
      <w:pPr>
        <w:pStyle w:val="CMR-text"/>
        <w:rPr>
          <w:rFonts w:cs="Times New Roman"/>
          <w:noProof/>
        </w:rPr>
      </w:pPr>
      <w:r>
        <w:rPr>
          <w:noProof/>
        </w:rPr>
        <w:t>Complessivamente nel 2026 saranno rilasciate 1 185 420 090 quote di emissioni per la produzione di energia elettrica e calore, per la produzione industriale e per il trasporto marittimo, mentre per il trasporto aereo ne saranno rilasciate 24 903 076</w:t>
      </w:r>
      <w:r>
        <w:rPr>
          <w:rStyle w:val="FootnoteReference"/>
          <w:rFonts w:cs="Times New Roman"/>
          <w:noProof/>
          <w:lang w:val="en-IE"/>
        </w:rPr>
        <w:footnoteReference w:id="14"/>
      </w:r>
      <w:r>
        <w:rPr>
          <w:noProof/>
        </w:rPr>
        <w:t>.</w:t>
      </w:r>
    </w:p>
    <w:p w14:paraId="0E5ABA0A" w14:textId="402DE262" w:rsidR="00281708" w:rsidRPr="00685D02" w:rsidRDefault="006B068B" w:rsidP="001856AF">
      <w:pPr>
        <w:pStyle w:val="CMR-text"/>
        <w:rPr>
          <w:rFonts w:cs="Times New Roman"/>
          <w:noProof/>
        </w:rPr>
      </w:pPr>
      <w:r>
        <w:rPr>
          <w:noProof/>
        </w:rPr>
        <w:lastRenderedPageBreak/>
        <w:t>La tabella 1 riporta i quantitativi totali di quote di emissioni rilasciate per i diversi settori per cui l</w:t>
      </w:r>
      <w:r w:rsidR="00F06D2E">
        <w:rPr>
          <w:noProof/>
        </w:rPr>
        <w:t>'</w:t>
      </w:r>
      <w:r>
        <w:rPr>
          <w:noProof/>
        </w:rPr>
        <w:t>EU</w:t>
      </w:r>
      <w:r w:rsidR="0008163A">
        <w:rPr>
          <w:noProof/>
        </w:rPr>
        <w:t> </w:t>
      </w:r>
      <w:r>
        <w:rPr>
          <w:noProof/>
        </w:rPr>
        <w:t xml:space="preserve">ETS prevede un tetto massimo. </w:t>
      </w:r>
    </w:p>
    <w:p w14:paraId="18316AD5" w14:textId="0C3C2D75" w:rsidR="00F950F8" w:rsidRPr="007B73CC" w:rsidRDefault="00F950F8" w:rsidP="00AD0AB1">
      <w:pPr>
        <w:pStyle w:val="Caption"/>
        <w:keepNext/>
        <w:rPr>
          <w:noProof/>
          <w:sz w:val="20"/>
        </w:rPr>
      </w:pPr>
      <w:bookmarkStart w:id="19" w:name="_Ref176771273"/>
      <w:r>
        <w:rPr>
          <w:noProof/>
          <w:sz w:val="20"/>
        </w:rPr>
        <w:t xml:space="preserve">Tabella </w:t>
      </w:r>
      <w:r>
        <w:rPr>
          <w:noProof/>
          <w:sz w:val="20"/>
        </w:rPr>
        <w:fldChar w:fldCharType="begin"/>
      </w:r>
      <w:r>
        <w:rPr>
          <w:noProof/>
          <w:sz w:val="20"/>
        </w:rPr>
        <w:instrText xml:space="preserve"> SEQ Table \* ARABIC </w:instrText>
      </w:r>
      <w:r>
        <w:rPr>
          <w:noProof/>
          <w:sz w:val="20"/>
        </w:rPr>
        <w:fldChar w:fldCharType="separate"/>
      </w:r>
      <w:r>
        <w:rPr>
          <w:noProof/>
          <w:sz w:val="20"/>
        </w:rPr>
        <w:t>1</w:t>
      </w:r>
      <w:r>
        <w:rPr>
          <w:noProof/>
          <w:sz w:val="20"/>
        </w:rPr>
        <w:fldChar w:fldCharType="end"/>
      </w:r>
      <w:bookmarkEnd w:id="19"/>
      <w:r>
        <w:rPr>
          <w:noProof/>
          <w:sz w:val="20"/>
        </w:rPr>
        <w:t>. Tetto massimo dell</w:t>
      </w:r>
      <w:r w:rsidR="00F06D2E">
        <w:rPr>
          <w:noProof/>
          <w:sz w:val="20"/>
        </w:rPr>
        <w:t>'</w:t>
      </w:r>
      <w:r>
        <w:rPr>
          <w:noProof/>
          <w:sz w:val="20"/>
        </w:rPr>
        <w:t>EU ETS nel periodo 2021-2026. Si applicano calcoli separati del tetto massimo: i)</w:t>
      </w:r>
      <w:r w:rsidR="0008163A">
        <w:rPr>
          <w:noProof/>
          <w:sz w:val="20"/>
        </w:rPr>
        <w:t> </w:t>
      </w:r>
      <w:r>
        <w:rPr>
          <w:noProof/>
          <w:sz w:val="20"/>
        </w:rPr>
        <w:t>alle emissioni generate dalla produzione di energia elettrica e di calore, dalla produzione industriale e, a partire dal 2024, dal trasporto marittimo e ii) alle emissioni generate dal trasporto aereo che rientrano nell</w:t>
      </w:r>
      <w:r w:rsidR="00F06D2E">
        <w:rPr>
          <w:noProof/>
          <w:sz w:val="20"/>
        </w:rPr>
        <w:t>'</w:t>
      </w:r>
      <w:r>
        <w:rPr>
          <w:noProof/>
          <w:sz w:val="20"/>
        </w:rPr>
        <w:t>ambito di applicazione dell</w:t>
      </w:r>
      <w:r w:rsidR="00F06D2E">
        <w:rPr>
          <w:noProof/>
          <w:sz w:val="20"/>
        </w:rPr>
        <w:t>'</w:t>
      </w:r>
      <w:r>
        <w:rPr>
          <w:noProof/>
          <w:sz w:val="20"/>
        </w:rPr>
        <w:t>EU ETS. Dal 1º gennaio 2024 l</w:t>
      </w:r>
      <w:r w:rsidR="00F06D2E">
        <w:rPr>
          <w:noProof/>
          <w:sz w:val="20"/>
        </w:rPr>
        <w:t>'</w:t>
      </w:r>
      <w:r>
        <w:rPr>
          <w:noProof/>
          <w:sz w:val="20"/>
        </w:rPr>
        <w:t>ambito di applicazione dell</w:t>
      </w:r>
      <w:r w:rsidR="00F06D2E">
        <w:rPr>
          <w:noProof/>
          <w:sz w:val="20"/>
        </w:rPr>
        <w:t>'</w:t>
      </w:r>
      <w:r>
        <w:rPr>
          <w:noProof/>
          <w:sz w:val="20"/>
        </w:rPr>
        <w:t>EU ETS per il trasporto aereo è stato esteso anche alle emissioni della maggior parte dei voli tra il SEE e le nove regioni ultraperiferiche dell</w:t>
      </w:r>
      <w:r w:rsidR="00F06D2E">
        <w:rPr>
          <w:noProof/>
          <w:sz w:val="20"/>
        </w:rPr>
        <w:t>'</w:t>
      </w:r>
      <w:r>
        <w:rPr>
          <w:noProof/>
          <w:sz w:val="20"/>
        </w:rPr>
        <w:t>UE, come pure ai voli dalle regioni ultraperiferiche verso la Svizzera e il Regno Unito (cfr.</w:t>
      </w:r>
      <w:r w:rsidR="0008163A">
        <w:rPr>
          <w:noProof/>
          <w:sz w:val="20"/>
        </w:rPr>
        <w:t> </w:t>
      </w:r>
      <w:r>
        <w:rPr>
          <w:noProof/>
          <w:sz w:val="20"/>
        </w:rPr>
        <w:t>capitolo 9). L</w:t>
      </w:r>
      <w:r w:rsidR="00F06D2E">
        <w:rPr>
          <w:noProof/>
          <w:sz w:val="20"/>
        </w:rPr>
        <w:t>'</w:t>
      </w:r>
      <w:r>
        <w:rPr>
          <w:noProof/>
          <w:sz w:val="20"/>
        </w:rPr>
        <w:t>estensione incide sul quantitativo totale di quote di emissioni per il trasporto aereo dal 2024.</w:t>
      </w:r>
    </w:p>
    <w:tbl>
      <w:tblPr>
        <w:tblStyle w:val="TableGridLight"/>
        <w:tblpPr w:leftFromText="180" w:rightFromText="180" w:vertAnchor="text" w:horzAnchor="margin" w:tblpY="-10"/>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05"/>
        <w:gridCol w:w="4701"/>
        <w:gridCol w:w="3610"/>
      </w:tblGrid>
      <w:tr w:rsidR="00C56D4C" w:rsidRPr="007B73CC" w14:paraId="61489489" w14:textId="77777777" w:rsidTr="00864A9D">
        <w:trPr>
          <w:cantSplit/>
        </w:trPr>
        <w:tc>
          <w:tcPr>
            <w:tcW w:w="391" w:type="pct"/>
            <w:vAlign w:val="center"/>
          </w:tcPr>
          <w:p w14:paraId="20E4C149" w14:textId="77777777" w:rsidR="006946F0" w:rsidRPr="007B73CC" w:rsidRDefault="006946F0" w:rsidP="00296014">
            <w:pPr>
              <w:pStyle w:val="CMR-tables"/>
              <w:rPr>
                <w:rFonts w:cs="Times New Roman"/>
                <w:b/>
                <w:noProof/>
                <w:szCs w:val="20"/>
              </w:rPr>
            </w:pPr>
            <w:r>
              <w:rPr>
                <w:b/>
                <w:noProof/>
              </w:rPr>
              <w:t>Anno</w:t>
            </w:r>
          </w:p>
        </w:tc>
        <w:tc>
          <w:tcPr>
            <w:tcW w:w="2607" w:type="pct"/>
            <w:vAlign w:val="center"/>
          </w:tcPr>
          <w:p w14:paraId="02D7D3E2" w14:textId="0BB81062" w:rsidR="006946F0" w:rsidRPr="007B73CC" w:rsidRDefault="00AF553C" w:rsidP="00296014">
            <w:pPr>
              <w:pStyle w:val="CMR-tables"/>
              <w:jc w:val="center"/>
              <w:rPr>
                <w:rFonts w:cs="Times New Roman"/>
                <w:b/>
                <w:noProof/>
                <w:szCs w:val="20"/>
              </w:rPr>
            </w:pPr>
            <w:r>
              <w:rPr>
                <w:b/>
                <w:noProof/>
              </w:rPr>
              <w:t>Quantitativo totale di quote per la produzione di energia elettrica e calore, la produzione industriale e</w:t>
            </w:r>
            <w:r w:rsidR="0008163A">
              <w:rPr>
                <w:b/>
                <w:noProof/>
              </w:rPr>
              <w:t> </w:t>
            </w:r>
            <w:r>
              <w:rPr>
                <w:b/>
                <w:noProof/>
              </w:rPr>
              <w:t>il trasporto marittimo</w:t>
            </w:r>
          </w:p>
        </w:tc>
        <w:tc>
          <w:tcPr>
            <w:tcW w:w="2002" w:type="pct"/>
            <w:vAlign w:val="center"/>
          </w:tcPr>
          <w:p w14:paraId="2CE827B8" w14:textId="1BC7319E" w:rsidR="006946F0" w:rsidRPr="007B73CC" w:rsidRDefault="00AF553C" w:rsidP="00296014">
            <w:pPr>
              <w:pStyle w:val="CMR-tables"/>
              <w:jc w:val="center"/>
              <w:rPr>
                <w:rFonts w:cs="Times New Roman"/>
                <w:b/>
                <w:noProof/>
                <w:szCs w:val="20"/>
              </w:rPr>
            </w:pPr>
            <w:r>
              <w:rPr>
                <w:b/>
                <w:noProof/>
              </w:rPr>
              <w:t>Quantitativo totale di quote per il trasporto aereo</w:t>
            </w:r>
          </w:p>
        </w:tc>
      </w:tr>
      <w:tr w:rsidR="00C56D4C" w:rsidRPr="007B73CC" w14:paraId="55206652" w14:textId="77777777" w:rsidTr="00864A9D">
        <w:trPr>
          <w:cantSplit/>
        </w:trPr>
        <w:tc>
          <w:tcPr>
            <w:tcW w:w="391" w:type="pct"/>
            <w:shd w:val="clear" w:color="auto" w:fill="D9E2F3" w:themeFill="accent1" w:themeFillTint="33"/>
            <w:vAlign w:val="center"/>
          </w:tcPr>
          <w:p w14:paraId="387742AE" w14:textId="77777777" w:rsidR="006946F0" w:rsidRPr="007B73CC" w:rsidRDefault="006946F0" w:rsidP="00296014">
            <w:pPr>
              <w:pStyle w:val="CMR-tables"/>
              <w:jc w:val="center"/>
              <w:rPr>
                <w:rFonts w:cs="Times New Roman"/>
                <w:noProof/>
                <w:szCs w:val="20"/>
              </w:rPr>
            </w:pPr>
            <w:r>
              <w:rPr>
                <w:noProof/>
              </w:rPr>
              <w:t>2021</w:t>
            </w:r>
          </w:p>
        </w:tc>
        <w:tc>
          <w:tcPr>
            <w:tcW w:w="2607" w:type="pct"/>
            <w:shd w:val="clear" w:color="auto" w:fill="D9E2F3" w:themeFill="accent1" w:themeFillTint="33"/>
            <w:vAlign w:val="center"/>
          </w:tcPr>
          <w:p w14:paraId="5245F12A" w14:textId="77777777" w:rsidR="006946F0" w:rsidRPr="007B73CC" w:rsidRDefault="006946F0" w:rsidP="00296014">
            <w:pPr>
              <w:pStyle w:val="CMR-tables"/>
              <w:jc w:val="center"/>
              <w:rPr>
                <w:rFonts w:cs="Times New Roman"/>
                <w:noProof/>
                <w:szCs w:val="20"/>
              </w:rPr>
            </w:pPr>
            <w:r>
              <w:rPr>
                <w:noProof/>
              </w:rPr>
              <w:t>1 571 583 007</w:t>
            </w:r>
          </w:p>
        </w:tc>
        <w:tc>
          <w:tcPr>
            <w:tcW w:w="2002" w:type="pct"/>
            <w:shd w:val="clear" w:color="auto" w:fill="D9E2F3" w:themeFill="accent1" w:themeFillTint="33"/>
            <w:vAlign w:val="center"/>
          </w:tcPr>
          <w:p w14:paraId="6041BDEF" w14:textId="77777777" w:rsidR="006946F0" w:rsidRPr="007B73CC" w:rsidRDefault="006946F0" w:rsidP="00296014">
            <w:pPr>
              <w:pStyle w:val="CMR-tables"/>
              <w:jc w:val="center"/>
              <w:rPr>
                <w:rFonts w:cs="Times New Roman"/>
                <w:noProof/>
                <w:szCs w:val="20"/>
              </w:rPr>
            </w:pPr>
            <w:r>
              <w:rPr>
                <w:noProof/>
              </w:rPr>
              <w:t>28 306 545</w:t>
            </w:r>
          </w:p>
        </w:tc>
      </w:tr>
      <w:tr w:rsidR="00C56D4C" w:rsidRPr="007B73CC" w14:paraId="4E137D5E" w14:textId="77777777" w:rsidTr="00864A9D">
        <w:trPr>
          <w:cantSplit/>
        </w:trPr>
        <w:tc>
          <w:tcPr>
            <w:tcW w:w="391" w:type="pct"/>
            <w:vAlign w:val="center"/>
          </w:tcPr>
          <w:p w14:paraId="5702323A" w14:textId="77777777" w:rsidR="006946F0" w:rsidRPr="007B73CC" w:rsidRDefault="006946F0" w:rsidP="00296014">
            <w:pPr>
              <w:pStyle w:val="CMR-tables"/>
              <w:jc w:val="center"/>
              <w:rPr>
                <w:rFonts w:cs="Times New Roman"/>
                <w:noProof/>
                <w:szCs w:val="20"/>
              </w:rPr>
            </w:pPr>
            <w:r>
              <w:rPr>
                <w:noProof/>
              </w:rPr>
              <w:t>2022</w:t>
            </w:r>
          </w:p>
        </w:tc>
        <w:tc>
          <w:tcPr>
            <w:tcW w:w="2607" w:type="pct"/>
            <w:vAlign w:val="center"/>
          </w:tcPr>
          <w:p w14:paraId="0A4DBE21" w14:textId="77777777" w:rsidR="006946F0" w:rsidRPr="007B73CC" w:rsidRDefault="006946F0" w:rsidP="00296014">
            <w:pPr>
              <w:pStyle w:val="CMR-tables"/>
              <w:jc w:val="center"/>
              <w:rPr>
                <w:rFonts w:cs="Times New Roman"/>
                <w:noProof/>
                <w:szCs w:val="20"/>
              </w:rPr>
            </w:pPr>
            <w:r>
              <w:rPr>
                <w:noProof/>
              </w:rPr>
              <w:t>1 528 579 492</w:t>
            </w:r>
          </w:p>
        </w:tc>
        <w:tc>
          <w:tcPr>
            <w:tcW w:w="2002" w:type="pct"/>
            <w:vAlign w:val="center"/>
          </w:tcPr>
          <w:p w14:paraId="6383B068" w14:textId="77777777" w:rsidR="006946F0" w:rsidRPr="007B73CC" w:rsidRDefault="006946F0" w:rsidP="00296014">
            <w:pPr>
              <w:pStyle w:val="CMR-tables"/>
              <w:jc w:val="center"/>
              <w:rPr>
                <w:rFonts w:cs="Times New Roman"/>
                <w:noProof/>
                <w:szCs w:val="20"/>
              </w:rPr>
            </w:pPr>
            <w:r>
              <w:rPr>
                <w:noProof/>
              </w:rPr>
              <w:t>27 268 379</w:t>
            </w:r>
          </w:p>
        </w:tc>
      </w:tr>
      <w:tr w:rsidR="00C56D4C" w:rsidRPr="007B73CC" w14:paraId="1C6C5600" w14:textId="77777777" w:rsidTr="00864A9D">
        <w:trPr>
          <w:cantSplit/>
        </w:trPr>
        <w:tc>
          <w:tcPr>
            <w:tcW w:w="391" w:type="pct"/>
            <w:shd w:val="clear" w:color="auto" w:fill="D9E2F3" w:themeFill="accent1" w:themeFillTint="33"/>
            <w:vAlign w:val="center"/>
          </w:tcPr>
          <w:p w14:paraId="5CBD5517" w14:textId="77777777" w:rsidR="006946F0" w:rsidRPr="007B73CC" w:rsidRDefault="006946F0" w:rsidP="00296014">
            <w:pPr>
              <w:pStyle w:val="CMR-tables"/>
              <w:jc w:val="center"/>
              <w:rPr>
                <w:rFonts w:cs="Times New Roman"/>
                <w:noProof/>
                <w:szCs w:val="20"/>
              </w:rPr>
            </w:pPr>
            <w:r>
              <w:rPr>
                <w:noProof/>
              </w:rPr>
              <w:t>2023</w:t>
            </w:r>
          </w:p>
        </w:tc>
        <w:tc>
          <w:tcPr>
            <w:tcW w:w="2607" w:type="pct"/>
            <w:shd w:val="clear" w:color="auto" w:fill="D9E2F3" w:themeFill="accent1" w:themeFillTint="33"/>
            <w:vAlign w:val="center"/>
          </w:tcPr>
          <w:p w14:paraId="66763A4E" w14:textId="5842DC1C" w:rsidR="006946F0" w:rsidRPr="007B73CC" w:rsidRDefault="00436AD0" w:rsidP="00296014">
            <w:pPr>
              <w:pStyle w:val="CMR-tables"/>
              <w:jc w:val="center"/>
              <w:rPr>
                <w:rFonts w:cs="Times New Roman"/>
                <w:noProof/>
                <w:szCs w:val="20"/>
              </w:rPr>
            </w:pPr>
            <w:r>
              <w:rPr>
                <w:noProof/>
              </w:rPr>
              <w:t>1 485 575 977</w:t>
            </w:r>
          </w:p>
        </w:tc>
        <w:tc>
          <w:tcPr>
            <w:tcW w:w="2002" w:type="pct"/>
            <w:shd w:val="clear" w:color="auto" w:fill="D9E2F3" w:themeFill="accent1" w:themeFillTint="33"/>
            <w:vAlign w:val="center"/>
          </w:tcPr>
          <w:p w14:paraId="60A7B234" w14:textId="566B3B93" w:rsidR="006946F0" w:rsidRPr="007B73CC" w:rsidRDefault="009F64FD" w:rsidP="00296014">
            <w:pPr>
              <w:pStyle w:val="CMR-tables"/>
              <w:jc w:val="center"/>
              <w:rPr>
                <w:rFonts w:cs="Times New Roman"/>
                <w:noProof/>
                <w:szCs w:val="20"/>
              </w:rPr>
            </w:pPr>
            <w:r>
              <w:rPr>
                <w:noProof/>
              </w:rPr>
              <w:t>26 341 779</w:t>
            </w:r>
          </w:p>
        </w:tc>
      </w:tr>
      <w:tr w:rsidR="00C56D4C" w:rsidRPr="007B73CC" w14:paraId="283F842A" w14:textId="77777777" w:rsidTr="00864A9D">
        <w:trPr>
          <w:cantSplit/>
        </w:trPr>
        <w:tc>
          <w:tcPr>
            <w:tcW w:w="391" w:type="pct"/>
            <w:vAlign w:val="bottom"/>
          </w:tcPr>
          <w:p w14:paraId="032C0111" w14:textId="77777777" w:rsidR="006946F0" w:rsidRPr="007B73CC" w:rsidRDefault="006946F0" w:rsidP="00296014">
            <w:pPr>
              <w:pStyle w:val="CMR-tables"/>
              <w:jc w:val="center"/>
              <w:rPr>
                <w:rFonts w:cs="Times New Roman"/>
                <w:noProof/>
                <w:szCs w:val="20"/>
              </w:rPr>
            </w:pPr>
            <w:r>
              <w:rPr>
                <w:noProof/>
              </w:rPr>
              <w:t>2024</w:t>
            </w:r>
          </w:p>
        </w:tc>
        <w:tc>
          <w:tcPr>
            <w:tcW w:w="2607" w:type="pct"/>
            <w:vAlign w:val="center"/>
          </w:tcPr>
          <w:p w14:paraId="4A318C18" w14:textId="77777777" w:rsidR="006946F0" w:rsidRPr="007B73CC" w:rsidRDefault="006946F0" w:rsidP="00296014">
            <w:pPr>
              <w:pStyle w:val="CMR-tables"/>
              <w:jc w:val="center"/>
              <w:rPr>
                <w:rFonts w:cs="Times New Roman"/>
                <w:noProof/>
                <w:szCs w:val="20"/>
              </w:rPr>
            </w:pPr>
            <w:r>
              <w:rPr>
                <w:noProof/>
              </w:rPr>
              <w:t>1 386 051 745</w:t>
            </w:r>
          </w:p>
        </w:tc>
        <w:tc>
          <w:tcPr>
            <w:tcW w:w="2002" w:type="pct"/>
            <w:vAlign w:val="center"/>
          </w:tcPr>
          <w:p w14:paraId="69D840EC" w14:textId="774E7AE5" w:rsidR="006946F0" w:rsidRPr="007B73CC" w:rsidRDefault="42E1C883" w:rsidP="00296014">
            <w:pPr>
              <w:pStyle w:val="CMR-tables"/>
              <w:jc w:val="center"/>
              <w:rPr>
                <w:rFonts w:cs="Times New Roman"/>
                <w:noProof/>
                <w:szCs w:val="20"/>
              </w:rPr>
            </w:pPr>
            <w:r>
              <w:rPr>
                <w:noProof/>
              </w:rPr>
              <w:t>27 563 529</w:t>
            </w:r>
          </w:p>
        </w:tc>
      </w:tr>
      <w:tr w:rsidR="001F688D" w:rsidRPr="007B73CC" w14:paraId="2766BED2" w14:textId="77777777" w:rsidTr="00864A9D">
        <w:trPr>
          <w:cantSplit/>
        </w:trPr>
        <w:tc>
          <w:tcPr>
            <w:tcW w:w="391" w:type="pct"/>
            <w:shd w:val="clear" w:color="auto" w:fill="D9E2F3" w:themeFill="accent1" w:themeFillTint="33"/>
            <w:vAlign w:val="bottom"/>
          </w:tcPr>
          <w:p w14:paraId="3D9B9779" w14:textId="7D18574C" w:rsidR="001F688D" w:rsidRPr="007B73CC" w:rsidRDefault="001F688D" w:rsidP="001F688D">
            <w:pPr>
              <w:pStyle w:val="CMR-tables"/>
              <w:jc w:val="center"/>
              <w:rPr>
                <w:rFonts w:cs="Times New Roman"/>
                <w:noProof/>
                <w:szCs w:val="20"/>
              </w:rPr>
            </w:pPr>
            <w:r>
              <w:rPr>
                <w:noProof/>
              </w:rPr>
              <w:t>2025</w:t>
            </w:r>
          </w:p>
        </w:tc>
        <w:tc>
          <w:tcPr>
            <w:tcW w:w="2607" w:type="pct"/>
            <w:shd w:val="clear" w:color="auto" w:fill="D9E2F3" w:themeFill="accent1" w:themeFillTint="33"/>
            <w:vAlign w:val="center"/>
          </w:tcPr>
          <w:p w14:paraId="150EC3C4" w14:textId="18CDA3FF" w:rsidR="001F688D" w:rsidRPr="007B73CC" w:rsidRDefault="00C1337B" w:rsidP="001F688D">
            <w:pPr>
              <w:pStyle w:val="CMR-tables"/>
              <w:jc w:val="center"/>
              <w:rPr>
                <w:rFonts w:cs="Times New Roman"/>
                <w:noProof/>
                <w:szCs w:val="20"/>
              </w:rPr>
            </w:pPr>
            <w:r>
              <w:rPr>
                <w:noProof/>
              </w:rPr>
              <w:t>1 298 127 514</w:t>
            </w:r>
          </w:p>
        </w:tc>
        <w:tc>
          <w:tcPr>
            <w:tcW w:w="2002" w:type="pct"/>
            <w:shd w:val="clear" w:color="auto" w:fill="D9E2F3" w:themeFill="accent1" w:themeFillTint="33"/>
            <w:vAlign w:val="center"/>
          </w:tcPr>
          <w:p w14:paraId="727902A1" w14:textId="5F828338" w:rsidR="001F688D" w:rsidRPr="007B73CC" w:rsidRDefault="00076600" w:rsidP="001F688D">
            <w:pPr>
              <w:pStyle w:val="CMR-tables"/>
              <w:jc w:val="center"/>
              <w:rPr>
                <w:rFonts w:cs="Times New Roman"/>
                <w:noProof/>
                <w:szCs w:val="20"/>
              </w:rPr>
            </w:pPr>
            <w:r>
              <w:rPr>
                <w:noProof/>
              </w:rPr>
              <w:t>26 233 302</w:t>
            </w:r>
          </w:p>
        </w:tc>
      </w:tr>
      <w:tr w:rsidR="001F688D" w:rsidRPr="007B73CC" w14:paraId="0FD56625" w14:textId="77777777" w:rsidTr="00864A9D">
        <w:trPr>
          <w:cantSplit/>
        </w:trPr>
        <w:tc>
          <w:tcPr>
            <w:tcW w:w="391" w:type="pct"/>
            <w:vAlign w:val="bottom"/>
          </w:tcPr>
          <w:p w14:paraId="612C9F18" w14:textId="0B2F6F2A" w:rsidR="001F688D" w:rsidRPr="007B73CC" w:rsidRDefault="001F688D" w:rsidP="001F688D">
            <w:pPr>
              <w:pStyle w:val="CMR-tables"/>
              <w:jc w:val="center"/>
              <w:rPr>
                <w:rFonts w:cs="Times New Roman"/>
                <w:noProof/>
                <w:szCs w:val="20"/>
              </w:rPr>
            </w:pPr>
            <w:r>
              <w:rPr>
                <w:noProof/>
              </w:rPr>
              <w:t>2026</w:t>
            </w:r>
          </w:p>
        </w:tc>
        <w:tc>
          <w:tcPr>
            <w:tcW w:w="2607" w:type="pct"/>
            <w:vAlign w:val="center"/>
          </w:tcPr>
          <w:p w14:paraId="07E03E7A" w14:textId="3C19C421" w:rsidR="001F688D" w:rsidRPr="007B73CC" w:rsidRDefault="00E1646E" w:rsidP="001F688D">
            <w:pPr>
              <w:pStyle w:val="CMR-tables"/>
              <w:jc w:val="center"/>
              <w:rPr>
                <w:rFonts w:cs="Times New Roman"/>
                <w:noProof/>
                <w:szCs w:val="20"/>
              </w:rPr>
            </w:pPr>
            <w:r>
              <w:rPr>
                <w:noProof/>
              </w:rPr>
              <w:t>1 185 420 090</w:t>
            </w:r>
          </w:p>
        </w:tc>
        <w:tc>
          <w:tcPr>
            <w:tcW w:w="2002" w:type="pct"/>
            <w:vAlign w:val="center"/>
          </w:tcPr>
          <w:p w14:paraId="40C9913B" w14:textId="6C676262" w:rsidR="001F688D" w:rsidRPr="007B73CC" w:rsidRDefault="002C7AFD" w:rsidP="001F688D">
            <w:pPr>
              <w:pStyle w:val="CMR-tables"/>
              <w:jc w:val="center"/>
              <w:rPr>
                <w:rFonts w:cs="Times New Roman"/>
                <w:noProof/>
                <w:szCs w:val="20"/>
              </w:rPr>
            </w:pPr>
            <w:r>
              <w:rPr>
                <w:noProof/>
              </w:rPr>
              <w:t>24 903 076</w:t>
            </w:r>
          </w:p>
        </w:tc>
      </w:tr>
    </w:tbl>
    <w:p w14:paraId="719CD660" w14:textId="699A2FE5" w:rsidR="003B46B7" w:rsidRPr="00685D02" w:rsidRDefault="001D3D34" w:rsidP="003B46B7">
      <w:pPr>
        <w:pStyle w:val="CMR-text"/>
        <w:rPr>
          <w:rFonts w:cs="Times New Roman"/>
          <w:noProof/>
        </w:rPr>
      </w:pPr>
      <w:r>
        <w:rPr>
          <w:noProof/>
        </w:rPr>
        <w:t>La figura 1 illustra le variazioni del tetto massimo in tutte le fasi dell</w:t>
      </w:r>
      <w:r w:rsidR="00F06D2E">
        <w:rPr>
          <w:noProof/>
        </w:rPr>
        <w:t>'</w:t>
      </w:r>
      <w:r>
        <w:rPr>
          <w:noProof/>
        </w:rPr>
        <w:t>EU ETS, compresi i prossimi adeguamenti.</w:t>
      </w:r>
    </w:p>
    <w:p w14:paraId="0CAFB56D" w14:textId="28D90E6C" w:rsidR="00CF29E9" w:rsidRPr="0038309D" w:rsidRDefault="00CF29E9" w:rsidP="001856AF">
      <w:pPr>
        <w:pStyle w:val="CMR-text"/>
        <w:rPr>
          <w:rFonts w:cs="Times New Roman"/>
          <w:noProof/>
        </w:rPr>
      </w:pPr>
    </w:p>
    <w:p w14:paraId="1EACF626" w14:textId="3A7D989E" w:rsidR="00586F89" w:rsidRPr="00685D02" w:rsidRDefault="00FB46B8" w:rsidP="00095218">
      <w:pPr>
        <w:rPr>
          <w:rFonts w:ascii="Times New Roman" w:hAnsi="Times New Roman" w:cs="Times New Roman"/>
          <w:noProof/>
        </w:rPr>
        <w:sectPr w:rsidR="00586F89" w:rsidRPr="00685D02" w:rsidSect="00DE0A3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r>
        <w:rPr>
          <w:noProof/>
        </w:rPr>
        <w:br w:type="page"/>
      </w:r>
    </w:p>
    <w:p w14:paraId="298B4050" w14:textId="5D4C3703" w:rsidR="00CB7227" w:rsidRPr="00685D02" w:rsidRDefault="00B64DFD" w:rsidP="00CB7227">
      <w:pPr>
        <w:pStyle w:val="CMR-text"/>
        <w:keepNext/>
        <w:rPr>
          <w:rFonts w:cs="Times New Roman"/>
          <w:noProof/>
        </w:rPr>
      </w:pPr>
      <w:r>
        <w:rPr>
          <w:noProof/>
          <w:lang w:val="en-GB" w:eastAsia="en-GB"/>
        </w:rPr>
        <w:lastRenderedPageBreak/>
        <mc:AlternateContent>
          <mc:Choice Requires="wpg">
            <w:drawing>
              <wp:anchor distT="0" distB="0" distL="114300" distR="114300" simplePos="0" relativeHeight="251658240" behindDoc="0" locked="0" layoutInCell="1" allowOverlap="1" wp14:anchorId="73843CD6" wp14:editId="55710A41">
                <wp:simplePos x="0" y="0"/>
                <wp:positionH relativeFrom="margin">
                  <wp:posOffset>9525</wp:posOffset>
                </wp:positionH>
                <wp:positionV relativeFrom="paragraph">
                  <wp:posOffset>152400</wp:posOffset>
                </wp:positionV>
                <wp:extent cx="8815036" cy="3072384"/>
                <wp:effectExtent l="0" t="0" r="24765" b="13970"/>
                <wp:wrapNone/>
                <wp:docPr id="14" name="Group 13">
                  <a:extLst xmlns:a="http://schemas.openxmlformats.org/drawingml/2006/main">
                    <a:ext uri="{FF2B5EF4-FFF2-40B4-BE49-F238E27FC236}">
                      <a16:creationId xmlns:a16="http://schemas.microsoft.com/office/drawing/2014/main" id="{ADF00BAB-2B47-A65E-2F4E-7EAFA14FC351}"/>
                    </a:ext>
                  </a:extLst>
                </wp:docPr>
                <wp:cNvGraphicFramePr/>
                <a:graphic xmlns:a="http://schemas.openxmlformats.org/drawingml/2006/main">
                  <a:graphicData uri="http://schemas.microsoft.com/office/word/2010/wordprocessingGroup">
                    <wpg:wgp>
                      <wpg:cNvGrpSpPr/>
                      <wpg:grpSpPr>
                        <a:xfrm>
                          <a:off x="0" y="0"/>
                          <a:ext cx="8815036" cy="3072384"/>
                          <a:chOff x="152142" y="-54909"/>
                          <a:chExt cx="12192000" cy="3294517"/>
                        </a:xfrm>
                      </wpg:grpSpPr>
                      <wpg:grpSp>
                        <wpg:cNvPr id="1337808088" name="Group 1337808088">
                          <a:extLst>
                            <a:ext uri="{FF2B5EF4-FFF2-40B4-BE49-F238E27FC236}">
                              <a16:creationId xmlns:a16="http://schemas.microsoft.com/office/drawing/2014/main" id="{20B9392E-5058-4EE4-83A3-6DA798EFCEC8}"/>
                            </a:ext>
                          </a:extLst>
                        </wpg:cNvPr>
                        <wpg:cNvGrpSpPr/>
                        <wpg:grpSpPr>
                          <a:xfrm>
                            <a:off x="152142" y="-54909"/>
                            <a:ext cx="12192000" cy="3294517"/>
                            <a:chOff x="152142" y="-53110"/>
                            <a:chExt cx="12192000" cy="3186567"/>
                          </a:xfrm>
                        </wpg:grpSpPr>
                        <wpg:graphicFrame>
                          <wpg:cNvPr id="1984049462" name="Chart 1984049462">
                            <a:extLst>
                              <a:ext uri="{FF2B5EF4-FFF2-40B4-BE49-F238E27FC236}">
                                <a16:creationId xmlns:a16="http://schemas.microsoft.com/office/drawing/2014/main" id="{51948686-7680-46B8-86CA-0A4483050B68}"/>
                              </a:ext>
                            </a:extLst>
                          </wpg:cNvPr>
                          <wpg:cNvFrPr>
                            <a:graphicFrameLocks/>
                          </wpg:cNvFrPr>
                          <wpg:xfrm>
                            <a:off x="152142" y="-53110"/>
                            <a:ext cx="12192000" cy="3186567"/>
                          </wpg:xfrm>
                          <a:graphic>
                            <a:graphicData uri="http://schemas.openxmlformats.org/drawingml/2006/chart">
                              <c:chart xmlns:c="http://schemas.openxmlformats.org/drawingml/2006/chart" xmlns:r="http://schemas.openxmlformats.org/officeDocument/2006/relationships" r:id="rId24"/>
                            </a:graphicData>
                          </a:graphic>
                        </wpg:graphicFrame>
                        <wpg:grpSp>
                          <wpg:cNvPr id="408161355" name="Group 408161355">
                            <a:extLst>
                              <a:ext uri="{FF2B5EF4-FFF2-40B4-BE49-F238E27FC236}">
                                <a16:creationId xmlns:a16="http://schemas.microsoft.com/office/drawing/2014/main" id="{236BDC30-3C28-4594-A126-1C667CAF722A}"/>
                              </a:ext>
                            </a:extLst>
                          </wpg:cNvPr>
                          <wpg:cNvGrpSpPr/>
                          <wpg:grpSpPr>
                            <a:xfrm>
                              <a:off x="761432" y="0"/>
                              <a:ext cx="11543269" cy="1883844"/>
                              <a:chOff x="761432" y="0"/>
                              <a:chExt cx="11543269" cy="1883844"/>
                            </a:xfrm>
                          </wpg:grpSpPr>
                          <wps:wsp>
                            <wps:cNvPr id="1393576556" name="TextBox 4">
                              <a:extLst>
                                <a:ext uri="{FF2B5EF4-FFF2-40B4-BE49-F238E27FC236}">
                                  <a16:creationId xmlns:a16="http://schemas.microsoft.com/office/drawing/2014/main" id="{273E9B15-A855-4AB8-98DC-7CDEA3A13A7F}"/>
                                </a:ext>
                              </a:extLst>
                            </wps:cNvPr>
                            <wps:cNvSpPr txBox="1"/>
                            <wps:spPr>
                              <a:xfrm>
                                <a:off x="761432" y="174503"/>
                                <a:ext cx="1276350" cy="447637"/>
                              </a:xfrm>
                              <a:prstGeom prst="rect">
                                <a:avLst/>
                              </a:prstGeom>
                              <a:solidFill>
                                <a:srgbClr val="E7E6E6">
                                  <a:lumMod val="90000"/>
                                </a:srgbClr>
                              </a:solidFill>
                              <a:ln w="12700" cap="flat" cmpd="sng" algn="ctr">
                                <a:solidFill>
                                  <a:sysClr val="windowText" lastClr="000000"/>
                                </a:solidFill>
                                <a:prstDash val="solid"/>
                                <a:miter lim="800000"/>
                              </a:ln>
                              <a:effectLst/>
                            </wps:spPr>
                            <wps:txbx>
                              <w:txbxContent>
                                <w:p w14:paraId="6490598F" w14:textId="77777777" w:rsidR="00B64DFD" w:rsidRPr="00B64DFD" w:rsidRDefault="00B64DFD" w:rsidP="00B64DFD">
                                  <w:pPr>
                                    <w:pStyle w:val="CMR-footnote"/>
                                    <w:spacing w:before="0" w:after="0"/>
                                    <w:jc w:val="center"/>
                                    <w:rPr>
                                      <w14:ligatures w14:val="none"/>
                                    </w:rPr>
                                  </w:pPr>
                                  <w:r>
                                    <w:t>2005</w:t>
                                  </w:r>
                                </w:p>
                                <w:p w14:paraId="10C8BCF0" w14:textId="77777777" w:rsidR="00B64DFD" w:rsidRPr="00B64DFD" w:rsidRDefault="00B64DFD" w:rsidP="00B64DFD">
                                  <w:pPr>
                                    <w:pStyle w:val="CMR-footnote"/>
                                    <w:spacing w:before="0" w:after="0"/>
                                    <w:jc w:val="center"/>
                                    <w:rPr>
                                      <w:b/>
                                      <w:bCs/>
                                    </w:rPr>
                                  </w:pPr>
                                  <w:r>
                                    <w:rPr>
                                      <w:b/>
                                    </w:rPr>
                                    <w:t>2,3 miliardi</w:t>
                                  </w:r>
                                </w:p>
                              </w:txbxContent>
                            </wps:txbx>
                            <wps:bodyPr wrap="square" rtlCol="0">
                              <a:noAutofit/>
                            </wps:bodyPr>
                          </wps:wsp>
                          <wps:wsp>
                            <wps:cNvPr id="1015961637" name="TextBox 5">
                              <a:extLst>
                                <a:ext uri="{FF2B5EF4-FFF2-40B4-BE49-F238E27FC236}">
                                  <a16:creationId xmlns:a16="http://schemas.microsoft.com/office/drawing/2014/main" id="{813B61D9-FA18-4FE5-BC13-E72A4C5896B3}"/>
                                </a:ext>
                              </a:extLst>
                            </wps:cNvPr>
                            <wps:cNvSpPr txBox="1"/>
                            <wps:spPr>
                              <a:xfrm>
                                <a:off x="2256009" y="245658"/>
                                <a:ext cx="1778882" cy="376493"/>
                              </a:xfrm>
                              <a:prstGeom prst="rect">
                                <a:avLst/>
                              </a:prstGeom>
                              <a:solidFill>
                                <a:srgbClr val="ED7D31">
                                  <a:lumMod val="20000"/>
                                  <a:lumOff val="80000"/>
                                </a:srgbClr>
                              </a:solidFill>
                              <a:ln w="12700" cap="flat" cmpd="sng" algn="ctr">
                                <a:solidFill>
                                  <a:srgbClr val="ED7D31"/>
                                </a:solidFill>
                                <a:prstDash val="solid"/>
                                <a:miter lim="800000"/>
                              </a:ln>
                              <a:effectLst/>
                            </wps:spPr>
                            <wps:txbx>
                              <w:txbxContent>
                                <w:p w14:paraId="0004EB94" w14:textId="77777777" w:rsidR="00B64DFD" w:rsidRDefault="00B64DFD" w:rsidP="00B64DFD">
                                  <w:pPr>
                                    <w:pStyle w:val="CMR-footnote"/>
                                    <w:spacing w:before="0" w:after="0"/>
                                    <w:jc w:val="center"/>
                                    <w:rPr>
                                      <w14:ligatures w14:val="none"/>
                                    </w:rPr>
                                  </w:pPr>
                                  <w:r>
                                    <w:t>Media 2008-12</w:t>
                                  </w:r>
                                </w:p>
                                <w:p w14:paraId="57CE3C92" w14:textId="3B13DCE6" w:rsidR="00B64DFD" w:rsidRDefault="00B64DFD" w:rsidP="00B64DFD">
                                  <w:pPr>
                                    <w:pStyle w:val="CMR-footnote"/>
                                    <w:spacing w:before="0" w:after="0"/>
                                    <w:jc w:val="center"/>
                                    <w:rPr>
                                      <w:b/>
                                      <w:bCs/>
                                    </w:rPr>
                                  </w:pPr>
                                  <w:r>
                                    <w:rPr>
                                      <w:b/>
                                    </w:rPr>
                                    <w:t>2,2 miliardi</w:t>
                                  </w:r>
                                </w:p>
                              </w:txbxContent>
                            </wps:txbx>
                            <wps:bodyPr wrap="square" rtlCol="0">
                              <a:noAutofit/>
                            </wps:bodyPr>
                          </wps:wsp>
                          <wps:wsp>
                            <wps:cNvPr id="255803615" name="TextBox 6">
                              <a:extLst>
                                <a:ext uri="{FF2B5EF4-FFF2-40B4-BE49-F238E27FC236}">
                                  <a16:creationId xmlns:a16="http://schemas.microsoft.com/office/drawing/2014/main" id="{0222080B-5534-4901-A95F-C4F628C5E81F}"/>
                                </a:ext>
                              </a:extLst>
                            </wps:cNvPr>
                            <wps:cNvSpPr txBox="1"/>
                            <wps:spPr>
                              <a:xfrm>
                                <a:off x="3873365" y="538682"/>
                                <a:ext cx="1057835" cy="407858"/>
                              </a:xfrm>
                              <a:prstGeom prst="rect">
                                <a:avLst/>
                              </a:prstGeom>
                              <a:solidFill>
                                <a:srgbClr val="70AD47">
                                  <a:lumMod val="20000"/>
                                  <a:lumOff val="80000"/>
                                </a:srgbClr>
                              </a:solidFill>
                              <a:ln w="12700" cap="flat" cmpd="sng" algn="ctr">
                                <a:solidFill>
                                  <a:srgbClr val="70AD47"/>
                                </a:solidFill>
                                <a:prstDash val="solid"/>
                                <a:miter lim="800000"/>
                              </a:ln>
                              <a:effectLst/>
                            </wps:spPr>
                            <wps:txbx>
                              <w:txbxContent>
                                <w:p w14:paraId="1DF68289" w14:textId="77777777" w:rsidR="00B64DFD" w:rsidRDefault="00B64DFD" w:rsidP="00B64DFD">
                                  <w:pPr>
                                    <w:pStyle w:val="CMR-footnote"/>
                                    <w:spacing w:before="0" w:after="0"/>
                                    <w:jc w:val="center"/>
                                    <w:rPr>
                                      <w14:ligatures w14:val="none"/>
                                    </w:rPr>
                                  </w:pPr>
                                  <w:r>
                                    <w:t>2013</w:t>
                                  </w:r>
                                </w:p>
                                <w:p w14:paraId="14FA8CC7" w14:textId="77777777" w:rsidR="00B64DFD" w:rsidRDefault="00B64DFD" w:rsidP="00B64DFD">
                                  <w:pPr>
                                    <w:pStyle w:val="CMR-footnote"/>
                                    <w:spacing w:before="0" w:after="0"/>
                                    <w:jc w:val="center"/>
                                    <w:rPr>
                                      <w:b/>
                                      <w:bCs/>
                                    </w:rPr>
                                  </w:pPr>
                                  <w:r>
                                    <w:rPr>
                                      <w:b/>
                                    </w:rPr>
                                    <w:t>2,1 miliardi</w:t>
                                  </w:r>
                                </w:p>
                              </w:txbxContent>
                            </wps:txbx>
                            <wps:bodyPr wrap="square" rtlCol="0">
                              <a:noAutofit/>
                            </wps:bodyPr>
                          </wps:wsp>
                          <wps:wsp>
                            <wps:cNvPr id="1032649367" name="TextBox 7">
                              <a:extLst>
                                <a:ext uri="{FF2B5EF4-FFF2-40B4-BE49-F238E27FC236}">
                                  <a16:creationId xmlns:a16="http://schemas.microsoft.com/office/drawing/2014/main" id="{42B73A03-AF41-4B64-B531-4ED06F3AA28F}"/>
                                </a:ext>
                              </a:extLst>
                            </wps:cNvPr>
                            <wps:cNvSpPr txBox="1"/>
                            <wps:spPr>
                              <a:xfrm>
                                <a:off x="6574876" y="591413"/>
                                <a:ext cx="1896214" cy="521918"/>
                              </a:xfrm>
                              <a:prstGeom prst="rect">
                                <a:avLst/>
                              </a:prstGeom>
                              <a:solidFill>
                                <a:srgbClr val="70AD47">
                                  <a:lumMod val="20000"/>
                                  <a:lumOff val="80000"/>
                                </a:srgbClr>
                              </a:solidFill>
                              <a:ln w="12700" cap="flat" cmpd="sng" algn="ctr">
                                <a:solidFill>
                                  <a:srgbClr val="70AD47"/>
                                </a:solidFill>
                                <a:prstDash val="solid"/>
                                <a:miter lim="800000"/>
                              </a:ln>
                              <a:effectLst/>
                            </wps:spPr>
                            <wps:txbx>
                              <w:txbxContent>
                                <w:p w14:paraId="6AF75AF3" w14:textId="77777777" w:rsidR="00B64DFD" w:rsidRDefault="00B64DFD" w:rsidP="006E3B52">
                                  <w:pPr>
                                    <w:pStyle w:val="CMR-footnote"/>
                                    <w:spacing w:before="0" w:after="0"/>
                                    <w:jc w:val="center"/>
                                    <w:rPr>
                                      <w14:ligatures w14:val="none"/>
                                    </w:rPr>
                                  </w:pPr>
                                  <w:r>
                                    <w:t>2020</w:t>
                                  </w:r>
                                </w:p>
                                <w:p w14:paraId="2E690002" w14:textId="77777777" w:rsidR="00B64DFD" w:rsidRDefault="00B64DFD" w:rsidP="006E3B52">
                                  <w:pPr>
                                    <w:pStyle w:val="CMR-footnote"/>
                                    <w:spacing w:before="0" w:after="0"/>
                                    <w:jc w:val="center"/>
                                    <w:rPr>
                                      <w:b/>
                                    </w:rPr>
                                  </w:pPr>
                                  <w:r>
                                    <w:rPr>
                                      <w:b/>
                                    </w:rPr>
                                    <w:t>1,8 miliardi</w:t>
                                  </w:r>
                                </w:p>
                                <w:p w14:paraId="0D321D94" w14:textId="225E1591" w:rsidR="00B64DFD" w:rsidRDefault="00B64DFD" w:rsidP="006E3B52">
                                  <w:pPr>
                                    <w:pStyle w:val="CMR-footnote"/>
                                    <w:spacing w:before="0" w:after="0"/>
                                    <w:jc w:val="center"/>
                                  </w:pPr>
                                  <w:r>
                                    <w:t>(-21% rispetto al 2005)</w:t>
                                  </w:r>
                                </w:p>
                              </w:txbxContent>
                            </wps:txbx>
                            <wps:bodyPr wrap="square" rtlCol="0">
                              <a:noAutofit/>
                            </wps:bodyPr>
                          </wps:wsp>
                          <wps:wsp>
                            <wps:cNvPr id="101244633" name="TextBox 8">
                              <a:extLst>
                                <a:ext uri="{FF2B5EF4-FFF2-40B4-BE49-F238E27FC236}">
                                  <a16:creationId xmlns:a16="http://schemas.microsoft.com/office/drawing/2014/main" id="{4DCCB19F-3492-4795-A666-C89FA0CC7C1A}"/>
                                </a:ext>
                              </a:extLst>
                            </wps:cNvPr>
                            <wps:cNvSpPr txBox="1"/>
                            <wps:spPr>
                              <a:xfrm>
                                <a:off x="11294274" y="1221517"/>
                                <a:ext cx="1010427" cy="662327"/>
                              </a:xfrm>
                              <a:prstGeom prst="rect">
                                <a:avLst/>
                              </a:prstGeom>
                              <a:solidFill>
                                <a:srgbClr val="4472C4">
                                  <a:lumMod val="20000"/>
                                  <a:lumOff val="80000"/>
                                </a:srgbClr>
                              </a:solidFill>
                              <a:ln w="12700" cap="flat" cmpd="sng" algn="ctr">
                                <a:solidFill>
                                  <a:srgbClr val="4472C4"/>
                                </a:solidFill>
                                <a:prstDash val="solid"/>
                                <a:miter lim="800000"/>
                              </a:ln>
                              <a:effectLst/>
                            </wps:spPr>
                            <wps:txbx>
                              <w:txbxContent>
                                <w:p w14:paraId="56A569DE" w14:textId="77777777" w:rsidR="00B64DFD" w:rsidRDefault="00B64DFD" w:rsidP="006E3B52">
                                  <w:pPr>
                                    <w:pStyle w:val="CMR-footnote"/>
                                    <w:spacing w:before="0" w:after="0"/>
                                    <w:jc w:val="center"/>
                                    <w:rPr>
                                      <w14:ligatures w14:val="none"/>
                                    </w:rPr>
                                  </w:pPr>
                                  <w:r>
                                    <w:t>2030:</w:t>
                                  </w:r>
                                </w:p>
                                <w:p w14:paraId="22DB3ED8" w14:textId="52475F1F" w:rsidR="00B64DFD" w:rsidRDefault="00B64DFD" w:rsidP="006E3B52">
                                  <w:pPr>
                                    <w:pStyle w:val="CMR-footnote"/>
                                    <w:spacing w:before="0" w:after="0"/>
                                    <w:jc w:val="center"/>
                                  </w:pPr>
                                  <w:r>
                                    <w:rPr>
                                      <w:b/>
                                    </w:rPr>
                                    <w:t>-62% rispetto al 2005</w:t>
                                  </w:r>
                                </w:p>
                              </w:txbxContent>
                            </wps:txbx>
                            <wps:bodyPr wrap="square" rtlCol="0">
                              <a:noAutofit/>
                            </wps:bodyPr>
                          </wps:wsp>
                          <wps:wsp>
                            <wps:cNvPr id="551733132" name="TextBox 10">
                              <a:extLst>
                                <a:ext uri="{FF2B5EF4-FFF2-40B4-BE49-F238E27FC236}">
                                  <a16:creationId xmlns:a16="http://schemas.microsoft.com/office/drawing/2014/main" id="{9096F6B3-09E2-410B-80EB-45460B81028F}"/>
                                </a:ext>
                              </a:extLst>
                            </wps:cNvPr>
                            <wps:cNvSpPr txBox="1"/>
                            <wps:spPr>
                              <a:xfrm>
                                <a:off x="4454734" y="0"/>
                                <a:ext cx="3108736" cy="432463"/>
                              </a:xfrm>
                              <a:prstGeom prst="rect">
                                <a:avLst/>
                              </a:prstGeom>
                              <a:solidFill>
                                <a:srgbClr val="FFC000">
                                  <a:lumMod val="20000"/>
                                  <a:lumOff val="80000"/>
                                </a:srgbClr>
                              </a:solidFill>
                              <a:ln w="12700" cap="flat" cmpd="sng" algn="ctr">
                                <a:solidFill>
                                  <a:srgbClr val="FFC000"/>
                                </a:solidFill>
                                <a:prstDash val="solid"/>
                                <a:miter lim="800000"/>
                              </a:ln>
                              <a:effectLst/>
                            </wps:spPr>
                            <wps:txbx>
                              <w:txbxContent>
                                <w:p w14:paraId="5006AC19" w14:textId="77777777" w:rsidR="00B64DFD" w:rsidRDefault="00B64DFD" w:rsidP="00B64DFD">
                                  <w:pPr>
                                    <w:pStyle w:val="CMR-footnote"/>
                                    <w:spacing w:before="0" w:after="0"/>
                                    <w:jc w:val="center"/>
                                    <w:rPr>
                                      <w14:ligatures w14:val="none"/>
                                    </w:rPr>
                                  </w:pPr>
                                  <w:r>
                                    <w:t>Riduzione del tetto massimo (2013-20)</w:t>
                                  </w:r>
                                </w:p>
                                <w:p w14:paraId="2B052DCD" w14:textId="6C464112" w:rsidR="00B64DFD" w:rsidRDefault="00B64DFD" w:rsidP="00B64DFD">
                                  <w:pPr>
                                    <w:pStyle w:val="CMR-footnote"/>
                                    <w:spacing w:before="0" w:after="0"/>
                                    <w:jc w:val="center"/>
                                    <w:rPr>
                                      <w:b/>
                                      <w:bCs/>
                                    </w:rPr>
                                  </w:pPr>
                                  <w:r>
                                    <w:rPr>
                                      <w:b/>
                                    </w:rPr>
                                    <w:t>-1,74% all</w:t>
                                  </w:r>
                                  <w:r w:rsidR="00F06D2E">
                                    <w:rPr>
                                      <w:b/>
                                    </w:rPr>
                                    <w:t>'</w:t>
                                  </w:r>
                                  <w:r>
                                    <w:rPr>
                                      <w:b/>
                                    </w:rPr>
                                    <w:t>anno</w:t>
                                  </w:r>
                                </w:p>
                              </w:txbxContent>
                            </wps:txbx>
                            <wps:bodyPr wrap="square" rtlCol="0">
                              <a:noAutofit/>
                            </wps:bodyPr>
                          </wps:wsp>
                          <wps:wsp>
                            <wps:cNvPr id="1893723611" name="TextBox 11">
                              <a:extLst>
                                <a:ext uri="{FF2B5EF4-FFF2-40B4-BE49-F238E27FC236}">
                                  <a16:creationId xmlns:a16="http://schemas.microsoft.com/office/drawing/2014/main" id="{75ED37CD-6B9F-4104-B518-207DF852F48E}"/>
                                </a:ext>
                              </a:extLst>
                            </wps:cNvPr>
                            <wps:cNvSpPr txBox="1"/>
                            <wps:spPr>
                              <a:xfrm>
                                <a:off x="7593552" y="1"/>
                                <a:ext cx="1568939" cy="546268"/>
                              </a:xfrm>
                              <a:prstGeom prst="rect">
                                <a:avLst/>
                              </a:prstGeom>
                              <a:solidFill>
                                <a:srgbClr val="FFC000">
                                  <a:lumMod val="20000"/>
                                  <a:lumOff val="80000"/>
                                </a:srgbClr>
                              </a:solidFill>
                              <a:ln w="12700" cap="flat" cmpd="sng" algn="ctr">
                                <a:solidFill>
                                  <a:srgbClr val="FFC000"/>
                                </a:solidFill>
                                <a:prstDash val="solid"/>
                                <a:miter lim="800000"/>
                              </a:ln>
                              <a:effectLst/>
                            </wps:spPr>
                            <wps:txbx>
                              <w:txbxContent>
                                <w:p w14:paraId="00BAC879" w14:textId="77777777" w:rsidR="00B64DFD" w:rsidRDefault="00B64DFD" w:rsidP="00B64DFD">
                                  <w:pPr>
                                    <w:pStyle w:val="CMR-footnote"/>
                                    <w:spacing w:before="0" w:after="0"/>
                                    <w:jc w:val="center"/>
                                    <w:rPr>
                                      <w14:ligatures w14:val="none"/>
                                    </w:rPr>
                                  </w:pPr>
                                  <w:r>
                                    <w:t>Riduzione del tetto massimo (2021-23)</w:t>
                                  </w:r>
                                </w:p>
                                <w:p w14:paraId="18A989E0" w14:textId="5E3B41F4" w:rsidR="00B64DFD" w:rsidRDefault="00B64DFD" w:rsidP="00B64DFD">
                                  <w:pPr>
                                    <w:pStyle w:val="CMR-footnote"/>
                                    <w:spacing w:before="0" w:after="0"/>
                                    <w:jc w:val="center"/>
                                    <w:rPr>
                                      <w:b/>
                                      <w:bCs/>
                                    </w:rPr>
                                  </w:pPr>
                                  <w:r>
                                    <w:rPr>
                                      <w:b/>
                                    </w:rPr>
                                    <w:t>-2,2% all</w:t>
                                  </w:r>
                                  <w:r w:rsidR="00F06D2E">
                                    <w:rPr>
                                      <w:b/>
                                    </w:rPr>
                                    <w:t>'</w:t>
                                  </w:r>
                                  <w:r>
                                    <w:rPr>
                                      <w:b/>
                                    </w:rPr>
                                    <w:t>anno</w:t>
                                  </w:r>
                                </w:p>
                              </w:txbxContent>
                            </wps:txbx>
                            <wps:bodyPr wrap="square" rtlCol="0">
                              <a:noAutofit/>
                            </wps:bodyPr>
                          </wps:wsp>
                        </wpg:grpSp>
                      </wpg:grpSp>
                      <wps:wsp>
                        <wps:cNvPr id="753458949" name="TextBox 11">
                          <a:extLst>
                            <a:ext uri="{FF2B5EF4-FFF2-40B4-BE49-F238E27FC236}">
                              <a16:creationId xmlns:a16="http://schemas.microsoft.com/office/drawing/2014/main" id="{CA5A65A1-06C0-4A22-877E-57C5B186A480}"/>
                            </a:ext>
                          </a:extLst>
                        </wps:cNvPr>
                        <wps:cNvSpPr txBox="1"/>
                        <wps:spPr>
                          <a:xfrm>
                            <a:off x="9206034" y="-8"/>
                            <a:ext cx="1563585" cy="611398"/>
                          </a:xfrm>
                          <a:prstGeom prst="rect">
                            <a:avLst/>
                          </a:prstGeom>
                          <a:solidFill>
                            <a:srgbClr val="FFC000">
                              <a:lumMod val="20000"/>
                              <a:lumOff val="80000"/>
                            </a:srgbClr>
                          </a:solidFill>
                          <a:ln w="12700" cap="flat" cmpd="sng" algn="ctr">
                            <a:solidFill>
                              <a:srgbClr val="FFC000"/>
                            </a:solidFill>
                            <a:prstDash val="solid"/>
                            <a:miter lim="800000"/>
                          </a:ln>
                          <a:effectLst/>
                        </wps:spPr>
                        <wps:txbx>
                          <w:txbxContent>
                            <w:p w14:paraId="3B1B0788" w14:textId="35EDF854" w:rsidR="00B64DFD" w:rsidRDefault="00B64DFD" w:rsidP="006E3B52">
                              <w:pPr>
                                <w:pStyle w:val="CMR-footnote"/>
                                <w:spacing w:before="0" w:after="0"/>
                                <w:jc w:val="center"/>
                                <w:rPr>
                                  <w14:ligatures w14:val="none"/>
                                </w:rPr>
                              </w:pPr>
                              <w:r>
                                <w:t>Riduzione del tetto massimo (2024</w:t>
                              </w:r>
                              <w:r w:rsidR="00C606E6">
                                <w:noBreakHyphen/>
                              </w:r>
                              <w:r>
                                <w:t>27)</w:t>
                              </w:r>
                            </w:p>
                            <w:p w14:paraId="16FCB161" w14:textId="0E6E330C" w:rsidR="00B64DFD" w:rsidRPr="006E3B52" w:rsidRDefault="00B64DFD" w:rsidP="006E3B52">
                              <w:pPr>
                                <w:pStyle w:val="CMR-footnote"/>
                                <w:spacing w:before="0" w:after="0"/>
                                <w:jc w:val="center"/>
                                <w:rPr>
                                  <w:b/>
                                </w:rPr>
                              </w:pPr>
                              <w:r>
                                <w:rPr>
                                  <w:b/>
                                </w:rPr>
                                <w:t>-4,3% all</w:t>
                              </w:r>
                              <w:r w:rsidR="00F06D2E">
                                <w:rPr>
                                  <w:b/>
                                </w:rPr>
                                <w:t>'</w:t>
                              </w:r>
                              <w:r>
                                <w:rPr>
                                  <w:b/>
                                </w:rPr>
                                <w:t>anno</w:t>
                              </w:r>
                            </w:p>
                          </w:txbxContent>
                        </wps:txbx>
                        <wps:bodyPr wrap="square" rtlCol="0">
                          <a:noAutofit/>
                        </wps:bodyPr>
                      </wps:wsp>
                      <wps:wsp>
                        <wps:cNvPr id="355328055" name="TextBox 12">
                          <a:extLst>
                            <a:ext uri="{FF2B5EF4-FFF2-40B4-BE49-F238E27FC236}">
                              <a16:creationId xmlns:a16="http://schemas.microsoft.com/office/drawing/2014/main" id="{DA84C499-BF2D-4C69-88A8-95F42467B63B}"/>
                            </a:ext>
                          </a:extLst>
                        </wps:cNvPr>
                        <wps:cNvSpPr txBox="1"/>
                        <wps:spPr>
                          <a:xfrm>
                            <a:off x="10770342" y="-17"/>
                            <a:ext cx="1570575" cy="611398"/>
                          </a:xfrm>
                          <a:prstGeom prst="rect">
                            <a:avLst/>
                          </a:prstGeom>
                          <a:solidFill>
                            <a:srgbClr val="FFC000">
                              <a:lumMod val="20000"/>
                              <a:lumOff val="80000"/>
                            </a:srgbClr>
                          </a:solidFill>
                          <a:ln w="12700" cap="flat" cmpd="sng" algn="ctr">
                            <a:solidFill>
                              <a:srgbClr val="FFC000"/>
                            </a:solidFill>
                            <a:prstDash val="solid"/>
                            <a:miter lim="800000"/>
                          </a:ln>
                          <a:effectLst/>
                        </wps:spPr>
                        <wps:txbx>
                          <w:txbxContent>
                            <w:p w14:paraId="772DA49C" w14:textId="77777777" w:rsidR="00B64DFD" w:rsidRDefault="00B64DFD" w:rsidP="006E3B52">
                              <w:pPr>
                                <w:pStyle w:val="CMR-footnote"/>
                                <w:spacing w:before="0" w:after="0"/>
                                <w:jc w:val="center"/>
                                <w:rPr>
                                  <w14:ligatures w14:val="none"/>
                                </w:rPr>
                              </w:pPr>
                              <w:r>
                                <w:t>Riduzione del tetto massimo (2028-)</w:t>
                              </w:r>
                            </w:p>
                            <w:p w14:paraId="2D10F4BA" w14:textId="34A8FEE5" w:rsidR="00B64DFD" w:rsidRDefault="00B64DFD" w:rsidP="006E3B52">
                              <w:pPr>
                                <w:pStyle w:val="CMR-footnote"/>
                                <w:spacing w:before="0" w:after="0"/>
                                <w:jc w:val="center"/>
                                <w:rPr>
                                  <w:b/>
                                </w:rPr>
                              </w:pPr>
                              <w:r>
                                <w:rPr>
                                  <w:b/>
                                </w:rPr>
                                <w:t>-4,4% all</w:t>
                              </w:r>
                              <w:r w:rsidR="00F06D2E">
                                <w:rPr>
                                  <w:b/>
                                </w:rPr>
                                <w:t>'</w:t>
                              </w:r>
                              <w:r>
                                <w:rPr>
                                  <w:b/>
                                </w:rPr>
                                <w:t>anno</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3843CD6" id="Group 13" o:spid="_x0000_s1026" style="position:absolute;left:0;text-align:left;margin-left:.75pt;margin-top:12pt;width:694.1pt;height:241.9pt;z-index:251658240;mso-position-horizontal-relative:margin;mso-width-relative:margin;mso-height-relative:margin" coordorigin="1521,-549" coordsize="121920,32945"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">
                <v:group id="Group 1337808088" o:spid="_x0000_s1027" style="position:absolute;left:1521;top:-549;width:121920;height:32945" coordorigin="1521,-531" coordsize="121920,3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">
                  <v:shape id="Chart 1984049462" o:spid="_x0000_s1028" type="#_x0000_t75" style="position:absolute;left:1437;top:-594;width:122085;height:31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">
                    <v:imagedata r:id="rId25" o:title=""/>
                    <o:lock v:ext="edit" aspectratio="f"/>
                  </v:shape>
                  <v:group id="Group 408161355" o:spid="_x0000_s1029" style="position:absolute;left:7614;width:115433;height:18838" coordorigin="7614" coordsize="115432,1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">
                    <v:shapetype id="_x0000_t202" coordsize="21600,21600" o:spt="202" path="m,l,21600r21600,l21600,xe">
                      <v:stroke joinstyle="miter"/>
                      <v:path gradientshapeok="t" o:connecttype="rect"/>
                    </v:shapetype>
                    <v:shape id="TextBox 4" o:spid="_x0000_s1030" type="#_x0000_t202" style="position:absolute;left:7614;top:1745;width:12763;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" fillcolor="#d0cece" strokecolor="windowText" strokeweight="1pt">
                      <v:textbox>
                        <w:txbxContent>
                          <w:p w14:paraId="6490598F" w14:textId="77777777" w:rsidR="00B64DFD" w:rsidRPr="00B64DFD" w:rsidRDefault="00B64DFD" w:rsidP="00B64DFD">
                            <w:pPr>
                              <w:pStyle w:val="CMR-footnote"/>
                              <w:spacing w:before="0" w:after="0"/>
                              <w:jc w:val="center"/>
                              <w:rPr>
                                <w14:ligatures w14:val="none"/>
                              </w:rPr>
                            </w:pPr>
                            <w:r>
                              <w:t>2005</w:t>
                            </w:r>
                          </w:p>
                          <w:p w14:paraId="10C8BCF0" w14:textId="77777777" w:rsidR="00B64DFD" w:rsidRPr="00B64DFD" w:rsidRDefault="00B64DFD" w:rsidP="00B64DFD">
                            <w:pPr>
                              <w:pStyle w:val="CMR-footnote"/>
                              <w:spacing w:before="0" w:after="0"/>
                              <w:jc w:val="center"/>
                              <w:rPr>
                                <w:b/>
                                <w:bCs/>
                              </w:rPr>
                            </w:pPr>
                            <w:r>
                              <w:rPr>
                                <w:b/>
                              </w:rPr>
                              <w:t>2,3 miliardi</w:t>
                            </w:r>
                          </w:p>
                        </w:txbxContent>
                      </v:textbox>
                    </v:shape>
                    <v:shape id="TextBox 5" o:spid="_x0000_s1031" type="#_x0000_t202" style="position:absolute;left:22560;top:2456;width:17788;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" fillcolor="#fbe5d6" strokecolor="#ed7d31" strokeweight="1pt">
                      <v:textbox>
                        <w:txbxContent>
                          <w:p w14:paraId="0004EB94" w14:textId="77777777" w:rsidR="00B64DFD" w:rsidRDefault="00B64DFD" w:rsidP="00B64DFD">
                            <w:pPr>
                              <w:pStyle w:val="CMR-footnote"/>
                              <w:spacing w:before="0" w:after="0"/>
                              <w:jc w:val="center"/>
                              <w:rPr>
                                <w14:ligatures w14:val="none"/>
                              </w:rPr>
                            </w:pPr>
                            <w:r>
                              <w:t>Media 2008-12</w:t>
                            </w:r>
                          </w:p>
                          <w:p w14:paraId="57CE3C92" w14:textId="3B13DCE6" w:rsidR="00B64DFD" w:rsidRDefault="00B64DFD" w:rsidP="00B64DFD">
                            <w:pPr>
                              <w:pStyle w:val="CMR-footnote"/>
                              <w:spacing w:before="0" w:after="0"/>
                              <w:jc w:val="center"/>
                              <w:rPr>
                                <w:b/>
                                <w:bCs/>
                              </w:rPr>
                            </w:pPr>
                            <w:r>
                              <w:rPr>
                                <w:b/>
                              </w:rPr>
                              <w:t>2,2 miliardi</w:t>
                            </w:r>
                          </w:p>
                        </w:txbxContent>
                      </v:textbox>
                    </v:shape>
                    <v:shape id="TextBox 6" o:spid="_x0000_s1032" type="#_x0000_t202" style="position:absolute;left:38733;top:5386;width:10579;height:4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" fillcolor="#e2f0d9" strokecolor="#70ad47" strokeweight="1pt">
                      <v:textbox>
                        <w:txbxContent>
                          <w:p w14:paraId="1DF68289" w14:textId="77777777" w:rsidR="00B64DFD" w:rsidRDefault="00B64DFD" w:rsidP="00B64DFD">
                            <w:pPr>
                              <w:pStyle w:val="CMR-footnote"/>
                              <w:spacing w:before="0" w:after="0"/>
                              <w:jc w:val="center"/>
                              <w:rPr>
                                <w14:ligatures w14:val="none"/>
                              </w:rPr>
                            </w:pPr>
                            <w:r>
                              <w:t>2013</w:t>
                            </w:r>
                          </w:p>
                          <w:p w14:paraId="14FA8CC7" w14:textId="77777777" w:rsidR="00B64DFD" w:rsidRDefault="00B64DFD" w:rsidP="00B64DFD">
                            <w:pPr>
                              <w:pStyle w:val="CMR-footnote"/>
                              <w:spacing w:before="0" w:after="0"/>
                              <w:jc w:val="center"/>
                              <w:rPr>
                                <w:b/>
                                <w:bCs/>
                              </w:rPr>
                            </w:pPr>
                            <w:r>
                              <w:rPr>
                                <w:b/>
                              </w:rPr>
                              <w:t>2,1 miliardi</w:t>
                            </w:r>
                          </w:p>
                        </w:txbxContent>
                      </v:textbox>
                    </v:shape>
                    <v:shape id="TextBox 7" o:spid="_x0000_s1033" type="#_x0000_t202" style="position:absolute;left:65748;top:5914;width:18962;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" fillcolor="#e2f0d9" strokecolor="#70ad47" strokeweight="1pt">
                      <v:textbox>
                        <w:txbxContent>
                          <w:p w14:paraId="6AF75AF3" w14:textId="77777777" w:rsidR="00B64DFD" w:rsidRDefault="00B64DFD" w:rsidP="006E3B52">
                            <w:pPr>
                              <w:pStyle w:val="CMR-footnote"/>
                              <w:spacing w:before="0" w:after="0"/>
                              <w:jc w:val="center"/>
                              <w:rPr>
                                <w14:ligatures w14:val="none"/>
                              </w:rPr>
                            </w:pPr>
                            <w:r>
                              <w:t>2020</w:t>
                            </w:r>
                          </w:p>
                          <w:p w14:paraId="2E690002" w14:textId="77777777" w:rsidR="00B64DFD" w:rsidRDefault="00B64DFD" w:rsidP="006E3B52">
                            <w:pPr>
                              <w:pStyle w:val="CMR-footnote"/>
                              <w:spacing w:before="0" w:after="0"/>
                              <w:jc w:val="center"/>
                              <w:rPr>
                                <w:b/>
                              </w:rPr>
                            </w:pPr>
                            <w:r>
                              <w:rPr>
                                <w:b/>
                              </w:rPr>
                              <w:t>1,8 miliardi</w:t>
                            </w:r>
                          </w:p>
                          <w:p w14:paraId="0D321D94" w14:textId="225E1591" w:rsidR="00B64DFD" w:rsidRDefault="00B64DFD" w:rsidP="006E3B52">
                            <w:pPr>
                              <w:pStyle w:val="CMR-footnote"/>
                              <w:spacing w:before="0" w:after="0"/>
                              <w:jc w:val="center"/>
                            </w:pPr>
                            <w:r>
                              <w:t>(-21% rispetto al 2005)</w:t>
                            </w:r>
                          </w:p>
                        </w:txbxContent>
                      </v:textbox>
                    </v:shape>
                    <v:shape id="TextBox 8" o:spid="_x0000_s1034" type="#_x0000_t202" style="position:absolute;left:112942;top:12215;width:10105;height:6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" fillcolor="#dae3f3" strokecolor="#4472c4" strokeweight="1pt">
                      <v:textbox>
                        <w:txbxContent>
                          <w:p w14:paraId="56A569DE" w14:textId="77777777" w:rsidR="00B64DFD" w:rsidRDefault="00B64DFD" w:rsidP="006E3B52">
                            <w:pPr>
                              <w:pStyle w:val="CMR-footnote"/>
                              <w:spacing w:before="0" w:after="0"/>
                              <w:jc w:val="center"/>
                              <w:rPr>
                                <w14:ligatures w14:val="none"/>
                              </w:rPr>
                            </w:pPr>
                            <w:r>
                              <w:t>2030:</w:t>
                            </w:r>
                          </w:p>
                          <w:p w14:paraId="22DB3ED8" w14:textId="52475F1F" w:rsidR="00B64DFD" w:rsidRDefault="00B64DFD" w:rsidP="006E3B52">
                            <w:pPr>
                              <w:pStyle w:val="CMR-footnote"/>
                              <w:spacing w:before="0" w:after="0"/>
                              <w:jc w:val="center"/>
                            </w:pPr>
                            <w:r>
                              <w:rPr>
                                <w:b/>
                              </w:rPr>
                              <w:t>-62% rispetto al 2005</w:t>
                            </w:r>
                          </w:p>
                        </w:txbxContent>
                      </v:textbox>
                    </v:shape>
                    <v:shape id="TextBox 10" o:spid="_x0000_s1035" type="#_x0000_t202" style="position:absolute;left:44547;width:31087;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" fillcolor="#fff2cc" strokecolor="#ffc000" strokeweight="1pt">
                      <v:textbox>
                        <w:txbxContent>
                          <w:p w14:paraId="5006AC19" w14:textId="77777777" w:rsidR="00B64DFD" w:rsidRDefault="00B64DFD" w:rsidP="00B64DFD">
                            <w:pPr>
                              <w:pStyle w:val="CMR-footnote"/>
                              <w:spacing w:before="0" w:after="0"/>
                              <w:jc w:val="center"/>
                              <w:rPr>
                                <w14:ligatures w14:val="none"/>
                              </w:rPr>
                            </w:pPr>
                            <w:r>
                              <w:t>Riduzione del tetto massimo (2013-20)</w:t>
                            </w:r>
                          </w:p>
                          <w:p w14:paraId="2B052DCD" w14:textId="6C464112" w:rsidR="00B64DFD" w:rsidRDefault="00B64DFD" w:rsidP="00B64DFD">
                            <w:pPr>
                              <w:pStyle w:val="CMR-footnote"/>
                              <w:spacing w:before="0" w:after="0"/>
                              <w:jc w:val="center"/>
                              <w:rPr>
                                <w:b/>
                                <w:bCs/>
                              </w:rPr>
                            </w:pPr>
                            <w:r>
                              <w:rPr>
                                <w:b/>
                              </w:rPr>
                              <w:t>-1,74% all</w:t>
                            </w:r>
                            <w:r w:rsidR="00F06D2E">
                              <w:rPr>
                                <w:b/>
                              </w:rPr>
                              <w:t>'</w:t>
                            </w:r>
                            <w:r>
                              <w:rPr>
                                <w:b/>
                              </w:rPr>
                              <w:t>anno</w:t>
                            </w:r>
                          </w:p>
                        </w:txbxContent>
                      </v:textbox>
                    </v:shape>
                    <v:shape id="TextBox 11" o:spid="_x0000_s1036" type="#_x0000_t202" style="position:absolute;left:75935;width:15689;height:5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" fillcolor="#fff2cc" strokecolor="#ffc000" strokeweight="1pt">
                      <v:textbox>
                        <w:txbxContent>
                          <w:p w14:paraId="00BAC879" w14:textId="77777777" w:rsidR="00B64DFD" w:rsidRDefault="00B64DFD" w:rsidP="00B64DFD">
                            <w:pPr>
                              <w:pStyle w:val="CMR-footnote"/>
                              <w:spacing w:before="0" w:after="0"/>
                              <w:jc w:val="center"/>
                              <w:rPr>
                                <w14:ligatures w14:val="none"/>
                              </w:rPr>
                            </w:pPr>
                            <w:r>
                              <w:t>Riduzione del tetto massimo (2021-23)</w:t>
                            </w:r>
                          </w:p>
                          <w:p w14:paraId="18A989E0" w14:textId="5E3B41F4" w:rsidR="00B64DFD" w:rsidRDefault="00B64DFD" w:rsidP="00B64DFD">
                            <w:pPr>
                              <w:pStyle w:val="CMR-footnote"/>
                              <w:spacing w:before="0" w:after="0"/>
                              <w:jc w:val="center"/>
                              <w:rPr>
                                <w:b/>
                                <w:bCs/>
                              </w:rPr>
                            </w:pPr>
                            <w:r>
                              <w:rPr>
                                <w:b/>
                              </w:rPr>
                              <w:t>-2,2% all</w:t>
                            </w:r>
                            <w:r w:rsidR="00F06D2E">
                              <w:rPr>
                                <w:b/>
                              </w:rPr>
                              <w:t>'</w:t>
                            </w:r>
                            <w:r>
                              <w:rPr>
                                <w:b/>
                              </w:rPr>
                              <w:t>anno</w:t>
                            </w:r>
                          </w:p>
                        </w:txbxContent>
                      </v:textbox>
                    </v:shape>
                  </v:group>
                </v:group>
                <v:shape id="TextBox 11" o:spid="_x0000_s1037" type="#_x0000_t202" style="position:absolute;left:92060;width:15636;height:6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" fillcolor="#fff2cc" strokecolor="#ffc000" strokeweight="1pt">
                  <v:textbox>
                    <w:txbxContent>
                      <w:p w14:paraId="3B1B0788" w14:textId="35EDF854" w:rsidR="00B64DFD" w:rsidRDefault="00B64DFD" w:rsidP="006E3B52">
                        <w:pPr>
                          <w:pStyle w:val="CMR-footnote"/>
                          <w:spacing w:before="0" w:after="0"/>
                          <w:jc w:val="center"/>
                          <w:rPr>
                            <w14:ligatures w14:val="none"/>
                          </w:rPr>
                        </w:pPr>
                        <w:r>
                          <w:t>Riduzione del tetto massimo (2024</w:t>
                        </w:r>
                        <w:r w:rsidR="00C606E6">
                          <w:noBreakHyphen/>
                        </w:r>
                        <w:r>
                          <w:t>27)</w:t>
                        </w:r>
                      </w:p>
                      <w:p w14:paraId="16FCB161" w14:textId="0E6E330C" w:rsidR="00B64DFD" w:rsidRPr="006E3B52" w:rsidRDefault="00B64DFD" w:rsidP="006E3B52">
                        <w:pPr>
                          <w:pStyle w:val="CMR-footnote"/>
                          <w:spacing w:before="0" w:after="0"/>
                          <w:jc w:val="center"/>
                          <w:rPr>
                            <w:b/>
                          </w:rPr>
                        </w:pPr>
                        <w:r>
                          <w:rPr>
                            <w:b/>
                          </w:rPr>
                          <w:t>-4,3% all</w:t>
                        </w:r>
                        <w:r w:rsidR="00F06D2E">
                          <w:rPr>
                            <w:b/>
                          </w:rPr>
                          <w:t>'</w:t>
                        </w:r>
                        <w:r>
                          <w:rPr>
                            <w:b/>
                          </w:rPr>
                          <w:t>anno</w:t>
                        </w:r>
                      </w:p>
                    </w:txbxContent>
                  </v:textbox>
                </v:shape>
                <v:shape id="TextBox 12" o:spid="_x0000_s1038" type="#_x0000_t202" style="position:absolute;left:107703;width:15706;height:6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" fillcolor="#fff2cc" strokecolor="#ffc000" strokeweight="1pt">
                  <v:textbox>
                    <w:txbxContent>
                      <w:p w14:paraId="772DA49C" w14:textId="77777777" w:rsidR="00B64DFD" w:rsidRDefault="00B64DFD" w:rsidP="006E3B52">
                        <w:pPr>
                          <w:pStyle w:val="CMR-footnote"/>
                          <w:spacing w:before="0" w:after="0"/>
                          <w:jc w:val="center"/>
                          <w:rPr>
                            <w14:ligatures w14:val="none"/>
                          </w:rPr>
                        </w:pPr>
                        <w:r>
                          <w:t>Riduzione del tetto massimo (2028-)</w:t>
                        </w:r>
                      </w:p>
                      <w:p w14:paraId="2D10F4BA" w14:textId="34A8FEE5" w:rsidR="00B64DFD" w:rsidRDefault="00B64DFD" w:rsidP="006E3B52">
                        <w:pPr>
                          <w:pStyle w:val="CMR-footnote"/>
                          <w:spacing w:before="0" w:after="0"/>
                          <w:jc w:val="center"/>
                          <w:rPr>
                            <w:b/>
                          </w:rPr>
                        </w:pPr>
                        <w:r>
                          <w:rPr>
                            <w:b/>
                          </w:rPr>
                          <w:t>-4,4% all</w:t>
                        </w:r>
                        <w:r w:rsidR="00F06D2E">
                          <w:rPr>
                            <w:b/>
                          </w:rPr>
                          <w:t>'</w:t>
                        </w:r>
                        <w:r>
                          <w:rPr>
                            <w:b/>
                          </w:rPr>
                          <w:t>anno</w:t>
                        </w:r>
                      </w:p>
                    </w:txbxContent>
                  </v:textbox>
                </v:shape>
                <w10:wrap anchorx="margin"/>
              </v:group>
            </w:pict>
          </mc:Fallback>
        </mc:AlternateContent>
      </w:r>
    </w:p>
    <w:p w14:paraId="39CB3FF3" w14:textId="77777777" w:rsidR="00B64DFD" w:rsidRDefault="00B64DFD" w:rsidP="00CB7227">
      <w:pPr>
        <w:pStyle w:val="Caption"/>
        <w:rPr>
          <w:noProof/>
          <w:sz w:val="20"/>
        </w:rPr>
      </w:pPr>
      <w:bookmarkStart w:id="20" w:name="_Ref176771377"/>
    </w:p>
    <w:p w14:paraId="3CDB67EA" w14:textId="77777777" w:rsidR="00B64DFD" w:rsidRPr="0038309D" w:rsidRDefault="00B64DFD" w:rsidP="00CB7227">
      <w:pPr>
        <w:pStyle w:val="Caption"/>
        <w:rPr>
          <w:noProof/>
          <w:sz w:val="20"/>
        </w:rPr>
      </w:pPr>
    </w:p>
    <w:p w14:paraId="32AC0E02" w14:textId="77777777" w:rsidR="00B64DFD" w:rsidRPr="0038309D" w:rsidRDefault="00B64DFD" w:rsidP="00CB7227">
      <w:pPr>
        <w:pStyle w:val="Caption"/>
        <w:rPr>
          <w:noProof/>
          <w:sz w:val="20"/>
        </w:rPr>
      </w:pPr>
    </w:p>
    <w:p w14:paraId="2222ED8F" w14:textId="77777777" w:rsidR="00B64DFD" w:rsidRPr="0038309D" w:rsidRDefault="00B64DFD" w:rsidP="00CB7227">
      <w:pPr>
        <w:pStyle w:val="Caption"/>
        <w:rPr>
          <w:noProof/>
          <w:sz w:val="20"/>
        </w:rPr>
      </w:pPr>
    </w:p>
    <w:p w14:paraId="7449512D" w14:textId="77777777" w:rsidR="00B64DFD" w:rsidRPr="0038309D" w:rsidRDefault="00B64DFD" w:rsidP="00CB7227">
      <w:pPr>
        <w:pStyle w:val="Caption"/>
        <w:rPr>
          <w:noProof/>
          <w:sz w:val="20"/>
        </w:rPr>
      </w:pPr>
    </w:p>
    <w:p w14:paraId="3B13A6AA" w14:textId="77777777" w:rsidR="00B64DFD" w:rsidRPr="0038309D" w:rsidRDefault="00B64DFD" w:rsidP="00CB7227">
      <w:pPr>
        <w:pStyle w:val="Caption"/>
        <w:rPr>
          <w:noProof/>
          <w:sz w:val="20"/>
        </w:rPr>
      </w:pPr>
    </w:p>
    <w:p w14:paraId="62AB86CD" w14:textId="77777777" w:rsidR="00B64DFD" w:rsidRPr="0038309D" w:rsidRDefault="00B64DFD" w:rsidP="00CB7227">
      <w:pPr>
        <w:pStyle w:val="Caption"/>
        <w:rPr>
          <w:noProof/>
          <w:sz w:val="20"/>
        </w:rPr>
      </w:pPr>
    </w:p>
    <w:p w14:paraId="2A83F9F0" w14:textId="77777777" w:rsidR="00B64DFD" w:rsidRPr="0038309D" w:rsidRDefault="00B64DFD" w:rsidP="00CB7227">
      <w:pPr>
        <w:pStyle w:val="Caption"/>
        <w:rPr>
          <w:noProof/>
          <w:sz w:val="20"/>
        </w:rPr>
      </w:pPr>
    </w:p>
    <w:p w14:paraId="4E411A62" w14:textId="77777777" w:rsidR="00B64DFD" w:rsidRPr="0038309D" w:rsidRDefault="00B64DFD" w:rsidP="00CB7227">
      <w:pPr>
        <w:pStyle w:val="Caption"/>
        <w:rPr>
          <w:noProof/>
          <w:sz w:val="20"/>
        </w:rPr>
      </w:pPr>
    </w:p>
    <w:p w14:paraId="73B53959" w14:textId="77777777" w:rsidR="00B64DFD" w:rsidRPr="0038309D" w:rsidRDefault="00B64DFD" w:rsidP="00CB7227">
      <w:pPr>
        <w:pStyle w:val="Caption"/>
        <w:rPr>
          <w:noProof/>
          <w:sz w:val="20"/>
        </w:rPr>
      </w:pPr>
    </w:p>
    <w:p w14:paraId="021CE465" w14:textId="77777777" w:rsidR="00171B07" w:rsidRPr="0038309D" w:rsidRDefault="00171B07" w:rsidP="00CB7227">
      <w:pPr>
        <w:pStyle w:val="Caption"/>
        <w:rPr>
          <w:noProof/>
          <w:sz w:val="20"/>
        </w:rPr>
      </w:pPr>
    </w:p>
    <w:p w14:paraId="30A35207" w14:textId="77777777" w:rsidR="00171B07" w:rsidRPr="0038309D" w:rsidRDefault="00171B07" w:rsidP="00CB7227">
      <w:pPr>
        <w:pStyle w:val="Caption"/>
        <w:rPr>
          <w:noProof/>
          <w:sz w:val="20"/>
        </w:rPr>
      </w:pPr>
    </w:p>
    <w:p w14:paraId="2899411C" w14:textId="77777777" w:rsidR="00171B07" w:rsidRPr="0038309D" w:rsidRDefault="00171B07" w:rsidP="00CB7227">
      <w:pPr>
        <w:pStyle w:val="Caption"/>
        <w:rPr>
          <w:noProof/>
          <w:sz w:val="20"/>
        </w:rPr>
      </w:pPr>
    </w:p>
    <w:p w14:paraId="3C2ACB36" w14:textId="1495E4FA" w:rsidR="0051775A" w:rsidRPr="007B73CC" w:rsidRDefault="00CB7227" w:rsidP="00CB7227">
      <w:pPr>
        <w:pStyle w:val="Caption"/>
        <w:rPr>
          <w:noProof/>
          <w:sz w:val="20"/>
        </w:rPr>
      </w:pPr>
      <w:r>
        <w:rPr>
          <w:noProof/>
          <w:sz w:val="20"/>
        </w:rPr>
        <w:t xml:space="preserve">Figura </w:t>
      </w:r>
      <w:bookmarkEnd w:id="20"/>
      <w:r>
        <w:rPr>
          <w:noProof/>
          <w:sz w:val="20"/>
        </w:rPr>
        <w:t>1. Tetto massimo di emissioni nell</w:t>
      </w:r>
      <w:r w:rsidR="00F06D2E">
        <w:rPr>
          <w:noProof/>
          <w:sz w:val="20"/>
        </w:rPr>
        <w:t>'</w:t>
      </w:r>
      <w:r>
        <w:rPr>
          <w:noProof/>
          <w:sz w:val="20"/>
        </w:rPr>
        <w:t>ambito dell</w:t>
      </w:r>
      <w:r w:rsidR="00F06D2E">
        <w:rPr>
          <w:noProof/>
          <w:sz w:val="20"/>
        </w:rPr>
        <w:t>'</w:t>
      </w:r>
      <w:r>
        <w:rPr>
          <w:noProof/>
          <w:sz w:val="20"/>
        </w:rPr>
        <w:t>EU ETS rispetto alle emissioni verificate. Le cifre tengono conto della revisione del 2023 della direttiva ETS, che prevede la ridefinizione del tetto massimo nel 2024 e nel 2026, l</w:t>
      </w:r>
      <w:r w:rsidR="00F06D2E">
        <w:rPr>
          <w:noProof/>
          <w:sz w:val="20"/>
        </w:rPr>
        <w:t>'</w:t>
      </w:r>
      <w:r>
        <w:rPr>
          <w:noProof/>
          <w:sz w:val="20"/>
        </w:rPr>
        <w:t>inclusione del trasporto marittimo nell</w:t>
      </w:r>
      <w:r w:rsidR="00F06D2E">
        <w:rPr>
          <w:noProof/>
          <w:sz w:val="20"/>
        </w:rPr>
        <w:t>'</w:t>
      </w:r>
      <w:r>
        <w:rPr>
          <w:noProof/>
          <w:sz w:val="20"/>
        </w:rPr>
        <w:t xml:space="preserve">EU ETS a partire dal 2024 e un fattore di riduzione lineare del 4,3 % nel periodo 2024-2027 e del 4,4 % a partire dal 2028. </w:t>
      </w:r>
      <w:r>
        <w:rPr>
          <w:b/>
          <w:noProof/>
          <w:sz w:val="20"/>
        </w:rPr>
        <w:t xml:space="preserve">Il trasporto aereo non è incluso. </w:t>
      </w:r>
      <w:r>
        <w:rPr>
          <w:noProof/>
          <w:sz w:val="20"/>
        </w:rPr>
        <w:t>Date le modifiche dell</w:t>
      </w:r>
      <w:r w:rsidR="00F06D2E">
        <w:rPr>
          <w:noProof/>
          <w:sz w:val="20"/>
        </w:rPr>
        <w:t>'</w:t>
      </w:r>
      <w:r>
        <w:rPr>
          <w:noProof/>
          <w:sz w:val="20"/>
        </w:rPr>
        <w:t>ambito di applicazione, i dati per il periodo 2005-2007 non sono direttamente comparabili con quelli più recenti. A partire dal 2021 nell</w:t>
      </w:r>
      <w:r w:rsidR="00F06D2E">
        <w:rPr>
          <w:noProof/>
          <w:sz w:val="20"/>
        </w:rPr>
        <w:t>'</w:t>
      </w:r>
      <w:r>
        <w:rPr>
          <w:noProof/>
          <w:sz w:val="20"/>
        </w:rPr>
        <w:t>EU ETS non rientrano più gli impianti del Regno Unito, ma soltanto i produttori di energia elettrica dell</w:t>
      </w:r>
      <w:r w:rsidR="00F06D2E">
        <w:rPr>
          <w:noProof/>
          <w:sz w:val="20"/>
        </w:rPr>
        <w:t>'</w:t>
      </w:r>
      <w:r>
        <w:rPr>
          <w:noProof/>
          <w:sz w:val="20"/>
        </w:rPr>
        <w:t xml:space="preserve">Irlanda del Nord. </w:t>
      </w:r>
      <w:r>
        <w:rPr>
          <w:b/>
          <w:noProof/>
          <w:sz w:val="20"/>
        </w:rPr>
        <w:t>Dal 2024 le emissioni verificate che sono riportate nella figura comprendono anche il settore marittimo, pertanto le emissioni del 2024 e del 2023 non sono comparabili.</w:t>
      </w:r>
      <w:r>
        <w:rPr>
          <w:noProof/>
          <w:sz w:val="20"/>
        </w:rPr>
        <w:t xml:space="preserve"> Legenda: barre = tetto massimo, segmenti di colore chiaro nel 2014-2016 = quote di emissioni rinviate dalle aste, segmenti di colore chiaro dal 2019 = quote di emissioni immesse nella riserva stabilizzatrice del mercato, segmenti di colore scuro dal 2024 = estensione al settore marittimo, linea tratteggiata = emissioni verificate.</w:t>
      </w:r>
    </w:p>
    <w:p w14:paraId="5EDE9B47" w14:textId="2248C8CD" w:rsidR="004F002D" w:rsidRPr="0038309D" w:rsidRDefault="004F002D" w:rsidP="00711B75">
      <w:pPr>
        <w:pStyle w:val="CMR-text"/>
        <w:rPr>
          <w:rFonts w:cs="Times New Roman"/>
          <w:i/>
          <w:noProof/>
        </w:rPr>
      </w:pPr>
    </w:p>
    <w:p w14:paraId="6C6BC394" w14:textId="77777777" w:rsidR="00586F89" w:rsidRPr="0038309D" w:rsidRDefault="00586F89">
      <w:pPr>
        <w:rPr>
          <w:rFonts w:ascii="Times New Roman" w:hAnsi="Times New Roman" w:cs="Times New Roman"/>
          <w:noProof/>
        </w:rPr>
        <w:sectPr w:rsidR="00586F89" w:rsidRPr="0038309D" w:rsidSect="00D86E5B">
          <w:headerReference w:type="even" r:id="rId26"/>
          <w:headerReference w:type="default" r:id="rId27"/>
          <w:footerReference w:type="even" r:id="rId28"/>
          <w:footerReference w:type="default" r:id="rId29"/>
          <w:headerReference w:type="first" r:id="rId30"/>
          <w:footerReference w:type="first" r:id="rId31"/>
          <w:pgSz w:w="16838" w:h="11906" w:orient="landscape"/>
          <w:pgMar w:top="1440" w:right="1440" w:bottom="1440" w:left="1440" w:header="709" w:footer="709" w:gutter="0"/>
          <w:cols w:space="708"/>
          <w:docGrid w:linePitch="360"/>
        </w:sectPr>
      </w:pPr>
    </w:p>
    <w:p w14:paraId="47B20D80" w14:textId="65BEF0D4" w:rsidR="00613B80" w:rsidRPr="00EC4FC3" w:rsidRDefault="00613B80" w:rsidP="00EC4FC3">
      <w:pPr>
        <w:pStyle w:val="CMR-Heading"/>
        <w:rPr>
          <w:noProof/>
        </w:rPr>
      </w:pPr>
      <w:bookmarkStart w:id="21" w:name="_Toc180513395"/>
      <w:bookmarkStart w:id="22" w:name="_Toc218937023"/>
      <w:r>
        <w:rPr>
          <w:noProof/>
        </w:rPr>
        <w:lastRenderedPageBreak/>
        <w:t>Vendita all</w:t>
      </w:r>
      <w:r w:rsidR="00F06D2E">
        <w:rPr>
          <w:noProof/>
        </w:rPr>
        <w:t>'</w:t>
      </w:r>
      <w:r>
        <w:rPr>
          <w:noProof/>
        </w:rPr>
        <w:t>asta delle quote di emissioni</w:t>
      </w:r>
      <w:bookmarkEnd w:id="21"/>
      <w:bookmarkEnd w:id="22"/>
    </w:p>
    <w:p w14:paraId="0D1EEB08" w14:textId="0A34CD05" w:rsidR="00E109D2" w:rsidRPr="00685D02" w:rsidRDefault="3293C6BF" w:rsidP="00E109D2">
      <w:pPr>
        <w:pStyle w:val="CMR-text"/>
        <w:rPr>
          <w:rFonts w:cs="Times New Roman"/>
          <w:noProof/>
        </w:rPr>
      </w:pPr>
      <w:r>
        <w:rPr>
          <w:noProof/>
        </w:rPr>
        <w:t>La vendita all</w:t>
      </w:r>
      <w:r w:rsidR="00F06D2E">
        <w:rPr>
          <w:noProof/>
        </w:rPr>
        <w:t>'</w:t>
      </w:r>
      <w:r>
        <w:rPr>
          <w:noProof/>
        </w:rPr>
        <w:t>asta, che interessa fino al 57 % del tetto massimo, è il metodo principale di distribuzione delle quote di emissioni nell</w:t>
      </w:r>
      <w:r w:rsidR="00F06D2E">
        <w:rPr>
          <w:noProof/>
        </w:rPr>
        <w:t>'</w:t>
      </w:r>
      <w:r>
        <w:rPr>
          <w:noProof/>
        </w:rPr>
        <w:t>ambito dell</w:t>
      </w:r>
      <w:r w:rsidR="00F06D2E">
        <w:rPr>
          <w:noProof/>
        </w:rPr>
        <w:t>'</w:t>
      </w:r>
      <w:r>
        <w:rPr>
          <w:noProof/>
        </w:rPr>
        <w:t>EU ETS</w:t>
      </w:r>
      <w:r>
        <w:rPr>
          <w:rStyle w:val="FootnoteReference"/>
          <w:rFonts w:cs="Times New Roman"/>
          <w:noProof/>
          <w:lang w:val="en-IE"/>
        </w:rPr>
        <w:footnoteReference w:id="15"/>
      </w:r>
      <w:r>
        <w:rPr>
          <w:noProof/>
        </w:rPr>
        <w:t>. Il regolamento sulle vendite all</w:t>
      </w:r>
      <w:r w:rsidR="00F06D2E">
        <w:rPr>
          <w:noProof/>
        </w:rPr>
        <w:t>'</w:t>
      </w:r>
      <w:r>
        <w:rPr>
          <w:noProof/>
        </w:rPr>
        <w:t>asta (regolamento</w:t>
      </w:r>
      <w:r w:rsidR="0008163A">
        <w:rPr>
          <w:noProof/>
        </w:rPr>
        <w:t> </w:t>
      </w:r>
      <w:r>
        <w:rPr>
          <w:noProof/>
        </w:rPr>
        <w:t>(UE) n. 2023/2830)</w:t>
      </w:r>
      <w:r>
        <w:rPr>
          <w:rStyle w:val="FootnoteReference"/>
          <w:rFonts w:cs="Times New Roman"/>
          <w:noProof/>
          <w:lang w:val="en-IE"/>
        </w:rPr>
        <w:footnoteReference w:id="16"/>
      </w:r>
      <w:r>
        <w:rPr>
          <w:noProof/>
        </w:rPr>
        <w:t xml:space="preserve"> stabilisce norme volte a garantire che queste si svolgano in maniera aperta, trasparente, armonizzata e non discriminatoria, precisando i tempi, la gestione e altri aspetti della vendita all</w:t>
      </w:r>
      <w:r w:rsidR="00F06D2E">
        <w:rPr>
          <w:noProof/>
        </w:rPr>
        <w:t>'</w:t>
      </w:r>
      <w:r>
        <w:rPr>
          <w:noProof/>
        </w:rPr>
        <w:t xml:space="preserve">asta delle quote di emissioni. </w:t>
      </w:r>
    </w:p>
    <w:p w14:paraId="762B442E" w14:textId="4F482098" w:rsidR="00E109D2" w:rsidRPr="00685D02" w:rsidRDefault="00E109D2" w:rsidP="00E109D2">
      <w:pPr>
        <w:pStyle w:val="CMR-text"/>
        <w:rPr>
          <w:rFonts w:cs="Times New Roman"/>
          <w:noProof/>
        </w:rPr>
      </w:pPr>
      <w:r>
        <w:rPr>
          <w:noProof/>
        </w:rPr>
        <w:t xml:space="preserve">Nel 2024 le aste hanno continuato a svolgersi tramite European Energy Exchange AG (EEX): </w:t>
      </w:r>
    </w:p>
    <w:p w14:paraId="74E39457" w14:textId="53E19E2E" w:rsidR="00E109D2" w:rsidRPr="00685D02" w:rsidRDefault="00E109D2" w:rsidP="00E109D2">
      <w:pPr>
        <w:pStyle w:val="CMR-text"/>
        <w:numPr>
          <w:ilvl w:val="0"/>
          <w:numId w:val="21"/>
        </w:numPr>
        <w:rPr>
          <w:rFonts w:cs="Times New Roman"/>
          <w:noProof/>
        </w:rPr>
      </w:pPr>
      <w:r>
        <w:rPr>
          <w:noProof/>
        </w:rPr>
        <w:t>per i 25 Stati membri che partecipano a una procedura di appalto congiunta, in quanto EEX è la piattaforma d</w:t>
      </w:r>
      <w:r w:rsidR="00F06D2E">
        <w:rPr>
          <w:noProof/>
        </w:rPr>
        <w:t>'</w:t>
      </w:r>
      <w:r>
        <w:rPr>
          <w:noProof/>
        </w:rPr>
        <w:t xml:space="preserve">asta comune; </w:t>
      </w:r>
    </w:p>
    <w:p w14:paraId="59BEC2B8" w14:textId="2EF10B09" w:rsidR="00E109D2" w:rsidRPr="00685D02" w:rsidRDefault="00E109D2" w:rsidP="00E109D2">
      <w:pPr>
        <w:pStyle w:val="CMR-text"/>
        <w:numPr>
          <w:ilvl w:val="0"/>
          <w:numId w:val="21"/>
        </w:numPr>
        <w:rPr>
          <w:rFonts w:cs="Times New Roman"/>
          <w:noProof/>
        </w:rPr>
      </w:pPr>
      <w:r>
        <w:rPr>
          <w:noProof/>
        </w:rPr>
        <w:t>per la Polonia, che ha rinunciato alla procedura di appalto congiunta ma non ha designato una propria piattaforma d</w:t>
      </w:r>
      <w:r w:rsidR="00F06D2E">
        <w:rPr>
          <w:noProof/>
        </w:rPr>
        <w:t>'</w:t>
      </w:r>
      <w:r>
        <w:rPr>
          <w:noProof/>
        </w:rPr>
        <w:t>asta;</w:t>
      </w:r>
    </w:p>
    <w:p w14:paraId="0640E317" w14:textId="03BF5650" w:rsidR="00E109D2" w:rsidRPr="00685D02" w:rsidRDefault="00E109D2" w:rsidP="00E109D2">
      <w:pPr>
        <w:pStyle w:val="CMR-text"/>
        <w:numPr>
          <w:ilvl w:val="0"/>
          <w:numId w:val="21"/>
        </w:numPr>
        <w:rPr>
          <w:rFonts w:cs="Times New Roman"/>
          <w:noProof/>
        </w:rPr>
      </w:pPr>
      <w:r>
        <w:rPr>
          <w:noProof/>
        </w:rPr>
        <w:t>per Islanda, Liechtenstein e Norvegia in seguito alla modifica dell</w:t>
      </w:r>
      <w:r w:rsidR="00F06D2E">
        <w:rPr>
          <w:noProof/>
        </w:rPr>
        <w:t>'</w:t>
      </w:r>
      <w:r>
        <w:rPr>
          <w:noProof/>
        </w:rPr>
        <w:t>accordo SEE nel 2019, che consente loro di partecipare all</w:t>
      </w:r>
      <w:r w:rsidR="00F06D2E">
        <w:rPr>
          <w:noProof/>
        </w:rPr>
        <w:t>'</w:t>
      </w:r>
      <w:r>
        <w:rPr>
          <w:noProof/>
        </w:rPr>
        <w:t>accordo sull</w:t>
      </w:r>
      <w:r w:rsidR="00F06D2E">
        <w:rPr>
          <w:noProof/>
        </w:rPr>
        <w:t>'</w:t>
      </w:r>
      <w:r>
        <w:rPr>
          <w:noProof/>
        </w:rPr>
        <w:t>appalto congiunto per la piattaforma d</w:t>
      </w:r>
      <w:r w:rsidR="00F06D2E">
        <w:rPr>
          <w:noProof/>
        </w:rPr>
        <w:t>'</w:t>
      </w:r>
      <w:r>
        <w:rPr>
          <w:noProof/>
        </w:rPr>
        <w:t xml:space="preserve">asta comune; </w:t>
      </w:r>
    </w:p>
    <w:p w14:paraId="02549F75" w14:textId="55808232" w:rsidR="00E109D2" w:rsidRPr="00685D02" w:rsidRDefault="00E109D2" w:rsidP="00E109D2">
      <w:pPr>
        <w:pStyle w:val="CMR-text"/>
        <w:numPr>
          <w:ilvl w:val="0"/>
          <w:numId w:val="21"/>
        </w:numPr>
        <w:rPr>
          <w:rFonts w:cs="Times New Roman"/>
          <w:noProof/>
        </w:rPr>
      </w:pPr>
      <w:r>
        <w:rPr>
          <w:noProof/>
        </w:rPr>
        <w:t>per il Regno Unito, limitatamente alla vendita all</w:t>
      </w:r>
      <w:r w:rsidR="00F06D2E">
        <w:rPr>
          <w:noProof/>
        </w:rPr>
        <w:t>'</w:t>
      </w:r>
      <w:r>
        <w:rPr>
          <w:noProof/>
        </w:rPr>
        <w:t>asta di quote di emissioni per gli impianti di produzione di energia elettrica nell</w:t>
      </w:r>
      <w:r w:rsidR="00F06D2E">
        <w:rPr>
          <w:noProof/>
        </w:rPr>
        <w:t>'</w:t>
      </w:r>
      <w:r>
        <w:rPr>
          <w:noProof/>
        </w:rPr>
        <w:t xml:space="preserve">Irlanda del Nord. </w:t>
      </w:r>
    </w:p>
    <w:p w14:paraId="03760487" w14:textId="0CCDD4B8" w:rsidR="00E109D2" w:rsidRPr="00685D02" w:rsidRDefault="0080588F" w:rsidP="003F687D">
      <w:pPr>
        <w:pStyle w:val="CMR-text"/>
        <w:numPr>
          <w:ilvl w:val="0"/>
          <w:numId w:val="21"/>
        </w:numPr>
        <w:rPr>
          <w:rFonts w:cs="Times New Roman"/>
          <w:noProof/>
        </w:rPr>
      </w:pPr>
      <w:r>
        <w:rPr>
          <w:noProof/>
        </w:rPr>
        <w:t>EEX ha inoltre messo all</w:t>
      </w:r>
      <w:r w:rsidR="00F06D2E">
        <w:rPr>
          <w:noProof/>
        </w:rPr>
        <w:t>'</w:t>
      </w:r>
      <w:r>
        <w:rPr>
          <w:noProof/>
        </w:rPr>
        <w:t>asta quote di emissioni per la Germania in qualità di piattaforma d</w:t>
      </w:r>
      <w:r w:rsidR="00F06D2E">
        <w:rPr>
          <w:noProof/>
        </w:rPr>
        <w:t>'</w:t>
      </w:r>
      <w:r>
        <w:rPr>
          <w:noProof/>
        </w:rPr>
        <w:t xml:space="preserve">asta indipendente del paese. </w:t>
      </w:r>
    </w:p>
    <w:p w14:paraId="61986B49" w14:textId="24A801A8" w:rsidR="00E109D2" w:rsidRPr="00685D02" w:rsidRDefault="006B068B" w:rsidP="00E109D2">
      <w:pPr>
        <w:pStyle w:val="CMR-text"/>
        <w:rPr>
          <w:rFonts w:cs="Times New Roman"/>
          <w:noProof/>
        </w:rPr>
      </w:pPr>
      <w:r>
        <w:rPr>
          <w:noProof/>
        </w:rPr>
        <w:t>La tabella 2 fornisce una panoramica dei volumi annui di quote messe all</w:t>
      </w:r>
      <w:r w:rsidR="00F06D2E">
        <w:rPr>
          <w:noProof/>
        </w:rPr>
        <w:t>'</w:t>
      </w:r>
      <w:r>
        <w:rPr>
          <w:noProof/>
        </w:rPr>
        <w:t>asta da EEX dal 2021.</w:t>
      </w:r>
    </w:p>
    <w:p w14:paraId="2F58C1DA" w14:textId="2BEA1ACC" w:rsidR="00E109D2" w:rsidRPr="007B73CC" w:rsidRDefault="00E109D2" w:rsidP="00E109D2">
      <w:pPr>
        <w:pStyle w:val="Caption"/>
        <w:keepNext/>
        <w:spacing w:line="257" w:lineRule="auto"/>
        <w:rPr>
          <w:noProof/>
          <w:sz w:val="20"/>
        </w:rPr>
      </w:pPr>
      <w:r>
        <w:rPr>
          <w:noProof/>
          <w:sz w:val="20"/>
        </w:rPr>
        <w:t>Tabella 2 – Volumi totali di quote messe all</w:t>
      </w:r>
      <w:r w:rsidR="00F06D2E">
        <w:rPr>
          <w:noProof/>
          <w:sz w:val="20"/>
        </w:rPr>
        <w:t>'</w:t>
      </w:r>
      <w:r>
        <w:rPr>
          <w:noProof/>
          <w:sz w:val="20"/>
        </w:rPr>
        <w:t>asta (2021-2024).</w:t>
      </w:r>
    </w:p>
    <w:tbl>
      <w:tblPr>
        <w:tblStyle w:val="TableGridLight"/>
        <w:tblW w:w="9067"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3256"/>
        <w:gridCol w:w="2480"/>
        <w:gridCol w:w="3331"/>
      </w:tblGrid>
      <w:tr w:rsidR="00E109D2" w:rsidRPr="007B73CC" w14:paraId="12BCF78D" w14:textId="77777777" w:rsidTr="00380C53">
        <w:trPr>
          <w:cantSplit/>
          <w:trHeight w:val="470"/>
        </w:trPr>
        <w:tc>
          <w:tcPr>
            <w:tcW w:w="3256" w:type="dxa"/>
            <w:vAlign w:val="center"/>
            <w:hideMark/>
          </w:tcPr>
          <w:p w14:paraId="7B1199CA" w14:textId="77777777" w:rsidR="00E109D2" w:rsidRPr="007B73CC" w:rsidRDefault="00E109D2" w:rsidP="00AB164F">
            <w:pPr>
              <w:pStyle w:val="CMR-tables"/>
              <w:keepNext/>
              <w:jc w:val="center"/>
              <w:rPr>
                <w:rFonts w:cs="Times New Roman"/>
                <w:b/>
                <w:noProof/>
                <w:szCs w:val="20"/>
              </w:rPr>
            </w:pPr>
            <w:r>
              <w:rPr>
                <w:noProof/>
              </w:rPr>
              <w:t>Anno</w:t>
            </w:r>
          </w:p>
        </w:tc>
        <w:tc>
          <w:tcPr>
            <w:tcW w:w="2480" w:type="dxa"/>
            <w:vAlign w:val="center"/>
            <w:hideMark/>
          </w:tcPr>
          <w:p w14:paraId="6D45D32A" w14:textId="77777777" w:rsidR="00E109D2" w:rsidRPr="007B73CC" w:rsidRDefault="00E109D2" w:rsidP="00AB164F">
            <w:pPr>
              <w:pStyle w:val="CMR-tables"/>
              <w:keepNext/>
              <w:jc w:val="center"/>
              <w:rPr>
                <w:rFonts w:cs="Times New Roman"/>
                <w:b/>
                <w:noProof/>
                <w:szCs w:val="20"/>
              </w:rPr>
            </w:pPr>
            <w:r>
              <w:rPr>
                <w:noProof/>
              </w:rPr>
              <w:t>Quote generiche</w:t>
            </w:r>
          </w:p>
        </w:tc>
        <w:tc>
          <w:tcPr>
            <w:tcW w:w="3331" w:type="dxa"/>
            <w:vAlign w:val="center"/>
            <w:hideMark/>
          </w:tcPr>
          <w:p w14:paraId="2AC2EAF8" w14:textId="77777777" w:rsidR="00E109D2" w:rsidRPr="007B73CC" w:rsidRDefault="00E109D2" w:rsidP="00AB164F">
            <w:pPr>
              <w:pStyle w:val="CMR-tables"/>
              <w:keepNext/>
              <w:jc w:val="center"/>
              <w:rPr>
                <w:rFonts w:cs="Times New Roman"/>
                <w:b/>
                <w:noProof/>
                <w:szCs w:val="20"/>
              </w:rPr>
            </w:pPr>
            <w:r>
              <w:rPr>
                <w:noProof/>
              </w:rPr>
              <w:t>Quote del trasporto aereo</w:t>
            </w:r>
          </w:p>
        </w:tc>
      </w:tr>
      <w:tr w:rsidR="00E109D2" w:rsidRPr="007B73CC" w14:paraId="1ECAA8EB" w14:textId="77777777" w:rsidTr="00380C53">
        <w:trPr>
          <w:cantSplit/>
          <w:trHeight w:val="470"/>
        </w:trPr>
        <w:tc>
          <w:tcPr>
            <w:tcW w:w="3256" w:type="dxa"/>
            <w:shd w:val="clear" w:color="auto" w:fill="D9E2F3" w:themeFill="accent1" w:themeFillTint="33"/>
            <w:vAlign w:val="center"/>
            <w:hideMark/>
          </w:tcPr>
          <w:p w14:paraId="76718C53" w14:textId="77777777" w:rsidR="00E109D2" w:rsidRPr="007B73CC" w:rsidRDefault="00E109D2" w:rsidP="00AB164F">
            <w:pPr>
              <w:pStyle w:val="CMR-tables"/>
              <w:keepNext/>
              <w:jc w:val="center"/>
              <w:rPr>
                <w:rFonts w:cs="Times New Roman"/>
                <w:b/>
                <w:noProof/>
                <w:szCs w:val="20"/>
              </w:rPr>
            </w:pPr>
            <w:r>
              <w:rPr>
                <w:noProof/>
              </w:rPr>
              <w:t>2021</w:t>
            </w:r>
          </w:p>
        </w:tc>
        <w:tc>
          <w:tcPr>
            <w:tcW w:w="2480" w:type="dxa"/>
            <w:shd w:val="clear" w:color="auto" w:fill="D9E2F3" w:themeFill="accent1" w:themeFillTint="33"/>
            <w:vAlign w:val="center"/>
            <w:hideMark/>
          </w:tcPr>
          <w:p w14:paraId="7D213D84" w14:textId="77777777" w:rsidR="00E109D2" w:rsidRPr="007B73CC" w:rsidRDefault="00E109D2" w:rsidP="00AB164F">
            <w:pPr>
              <w:pStyle w:val="CMR-tables"/>
              <w:keepNext/>
              <w:jc w:val="center"/>
              <w:rPr>
                <w:rFonts w:cs="Times New Roman"/>
                <w:b/>
                <w:noProof/>
                <w:szCs w:val="20"/>
              </w:rPr>
            </w:pPr>
            <w:r>
              <w:rPr>
                <w:noProof/>
              </w:rPr>
              <w:t>582 952 500</w:t>
            </w:r>
          </w:p>
        </w:tc>
        <w:tc>
          <w:tcPr>
            <w:tcW w:w="3331" w:type="dxa"/>
            <w:shd w:val="clear" w:color="auto" w:fill="D9E2F3" w:themeFill="accent1" w:themeFillTint="33"/>
            <w:vAlign w:val="center"/>
            <w:hideMark/>
          </w:tcPr>
          <w:p w14:paraId="7F41EA69" w14:textId="77777777" w:rsidR="00E109D2" w:rsidRPr="007B73CC" w:rsidRDefault="00E109D2" w:rsidP="00AB164F">
            <w:pPr>
              <w:pStyle w:val="CMR-tables"/>
              <w:keepNext/>
              <w:jc w:val="center"/>
              <w:rPr>
                <w:rFonts w:cs="Times New Roman"/>
                <w:b/>
                <w:noProof/>
                <w:szCs w:val="20"/>
              </w:rPr>
            </w:pPr>
            <w:r>
              <w:rPr>
                <w:noProof/>
              </w:rPr>
              <w:t>3 785 500</w:t>
            </w:r>
          </w:p>
        </w:tc>
      </w:tr>
      <w:tr w:rsidR="00E109D2" w:rsidRPr="007B73CC" w14:paraId="41AB3907" w14:textId="77777777" w:rsidTr="00380C53">
        <w:trPr>
          <w:cantSplit/>
          <w:trHeight w:val="470"/>
        </w:trPr>
        <w:tc>
          <w:tcPr>
            <w:tcW w:w="3256" w:type="dxa"/>
            <w:vAlign w:val="center"/>
            <w:hideMark/>
          </w:tcPr>
          <w:p w14:paraId="5FBF1310" w14:textId="77777777" w:rsidR="00E109D2" w:rsidRPr="007B73CC" w:rsidRDefault="00E109D2" w:rsidP="00AB164F">
            <w:pPr>
              <w:pStyle w:val="CMR-tables"/>
              <w:keepNext/>
              <w:jc w:val="center"/>
              <w:rPr>
                <w:rFonts w:cs="Times New Roman"/>
                <w:b/>
                <w:noProof/>
                <w:szCs w:val="20"/>
              </w:rPr>
            </w:pPr>
            <w:r>
              <w:rPr>
                <w:noProof/>
              </w:rPr>
              <w:t>2022</w:t>
            </w:r>
          </w:p>
        </w:tc>
        <w:tc>
          <w:tcPr>
            <w:tcW w:w="2480" w:type="dxa"/>
            <w:vAlign w:val="center"/>
            <w:hideMark/>
          </w:tcPr>
          <w:p w14:paraId="404B48E5" w14:textId="77777777" w:rsidR="00E109D2" w:rsidRPr="007B73CC" w:rsidRDefault="00E109D2" w:rsidP="00AB164F">
            <w:pPr>
              <w:pStyle w:val="CMR-tables"/>
              <w:keepNext/>
              <w:jc w:val="center"/>
              <w:rPr>
                <w:rFonts w:cs="Times New Roman"/>
                <w:b/>
                <w:noProof/>
                <w:szCs w:val="20"/>
              </w:rPr>
            </w:pPr>
            <w:r>
              <w:rPr>
                <w:noProof/>
              </w:rPr>
              <w:t>482 389 000</w:t>
            </w:r>
          </w:p>
        </w:tc>
        <w:tc>
          <w:tcPr>
            <w:tcW w:w="3331" w:type="dxa"/>
            <w:vAlign w:val="center"/>
            <w:hideMark/>
          </w:tcPr>
          <w:p w14:paraId="23384B3D" w14:textId="77777777" w:rsidR="00E109D2" w:rsidRPr="007B73CC" w:rsidRDefault="00E109D2" w:rsidP="00AB164F">
            <w:pPr>
              <w:pStyle w:val="CMR-tables"/>
              <w:keepNext/>
              <w:jc w:val="center"/>
              <w:rPr>
                <w:rFonts w:cs="Times New Roman"/>
                <w:b/>
                <w:noProof/>
                <w:szCs w:val="20"/>
              </w:rPr>
            </w:pPr>
            <w:r>
              <w:rPr>
                <w:noProof/>
              </w:rPr>
              <w:t>3 698 000</w:t>
            </w:r>
          </w:p>
        </w:tc>
      </w:tr>
      <w:tr w:rsidR="00E109D2" w:rsidRPr="007B73CC" w14:paraId="635F8537" w14:textId="77777777" w:rsidTr="00380C53">
        <w:trPr>
          <w:cantSplit/>
          <w:trHeight w:val="470"/>
        </w:trPr>
        <w:tc>
          <w:tcPr>
            <w:tcW w:w="3256" w:type="dxa"/>
            <w:shd w:val="clear" w:color="auto" w:fill="D9E2F3" w:themeFill="accent1" w:themeFillTint="33"/>
            <w:vAlign w:val="center"/>
          </w:tcPr>
          <w:p w14:paraId="60B7A186" w14:textId="77777777" w:rsidR="00E109D2" w:rsidRPr="007B73CC" w:rsidRDefault="00E109D2" w:rsidP="00AB164F">
            <w:pPr>
              <w:pStyle w:val="CMR-tables"/>
              <w:keepNext/>
              <w:jc w:val="center"/>
              <w:rPr>
                <w:rFonts w:cs="Times New Roman"/>
                <w:noProof/>
                <w:szCs w:val="20"/>
              </w:rPr>
            </w:pPr>
            <w:r>
              <w:rPr>
                <w:noProof/>
              </w:rPr>
              <w:t>2023</w:t>
            </w:r>
          </w:p>
        </w:tc>
        <w:tc>
          <w:tcPr>
            <w:tcW w:w="2480" w:type="dxa"/>
            <w:shd w:val="clear" w:color="auto" w:fill="D9E2F3" w:themeFill="accent1" w:themeFillTint="33"/>
            <w:vAlign w:val="center"/>
          </w:tcPr>
          <w:p w14:paraId="7FBC85AA" w14:textId="77777777" w:rsidR="00E109D2" w:rsidRPr="007B73CC" w:rsidRDefault="00E109D2" w:rsidP="00AB164F">
            <w:pPr>
              <w:pStyle w:val="CMR-tables"/>
              <w:keepNext/>
              <w:jc w:val="center"/>
              <w:rPr>
                <w:rFonts w:cs="Times New Roman"/>
                <w:noProof/>
                <w:szCs w:val="20"/>
              </w:rPr>
            </w:pPr>
            <w:r>
              <w:rPr>
                <w:noProof/>
              </w:rPr>
              <w:t>517 587 000</w:t>
            </w:r>
          </w:p>
        </w:tc>
        <w:tc>
          <w:tcPr>
            <w:tcW w:w="3331" w:type="dxa"/>
            <w:shd w:val="clear" w:color="auto" w:fill="D9E2F3" w:themeFill="accent1" w:themeFillTint="33"/>
            <w:vAlign w:val="center"/>
          </w:tcPr>
          <w:p w14:paraId="7E60D1DA" w14:textId="77777777" w:rsidR="00E109D2" w:rsidRPr="007B73CC" w:rsidRDefault="00E109D2" w:rsidP="00AB164F">
            <w:pPr>
              <w:pStyle w:val="CMR-tables"/>
              <w:keepNext/>
              <w:jc w:val="center"/>
              <w:rPr>
                <w:rFonts w:cs="Times New Roman"/>
                <w:noProof/>
                <w:szCs w:val="20"/>
              </w:rPr>
            </w:pPr>
            <w:r>
              <w:rPr>
                <w:noProof/>
              </w:rPr>
              <w:t>5 720 500</w:t>
            </w:r>
          </w:p>
        </w:tc>
      </w:tr>
      <w:tr w:rsidR="00E109D2" w:rsidRPr="007B73CC" w14:paraId="69E5B5B5" w14:textId="77777777" w:rsidTr="00380C53">
        <w:trPr>
          <w:cantSplit/>
          <w:trHeight w:val="288"/>
        </w:trPr>
        <w:tc>
          <w:tcPr>
            <w:tcW w:w="3256" w:type="dxa"/>
            <w:vAlign w:val="center"/>
            <w:hideMark/>
          </w:tcPr>
          <w:p w14:paraId="628673E8" w14:textId="36E20651" w:rsidR="00E109D2" w:rsidRPr="007B73CC" w:rsidRDefault="00E109D2" w:rsidP="00AB164F">
            <w:pPr>
              <w:pStyle w:val="CMR-tables"/>
              <w:keepNext/>
              <w:jc w:val="center"/>
              <w:rPr>
                <w:rFonts w:cs="Times New Roman"/>
                <w:b/>
                <w:noProof/>
                <w:szCs w:val="20"/>
              </w:rPr>
            </w:pPr>
            <w:r>
              <w:rPr>
                <w:noProof/>
              </w:rPr>
              <w:t xml:space="preserve">2024 </w:t>
            </w:r>
          </w:p>
        </w:tc>
        <w:tc>
          <w:tcPr>
            <w:tcW w:w="2480" w:type="dxa"/>
            <w:vAlign w:val="center"/>
          </w:tcPr>
          <w:p w14:paraId="5B197ED2" w14:textId="77777777" w:rsidR="00E109D2" w:rsidRPr="007B73CC" w:rsidRDefault="00E109D2" w:rsidP="00AB164F">
            <w:pPr>
              <w:pStyle w:val="CMR-tables"/>
              <w:keepNext/>
              <w:jc w:val="center"/>
              <w:rPr>
                <w:rFonts w:cs="Times New Roman"/>
                <w:b/>
                <w:noProof/>
                <w:szCs w:val="20"/>
              </w:rPr>
            </w:pPr>
            <w:r>
              <w:rPr>
                <w:noProof/>
              </w:rPr>
              <w:t>592 801 500</w:t>
            </w:r>
          </w:p>
        </w:tc>
        <w:tc>
          <w:tcPr>
            <w:tcW w:w="3331" w:type="dxa"/>
            <w:vAlign w:val="center"/>
          </w:tcPr>
          <w:p w14:paraId="7C231B92" w14:textId="77777777" w:rsidR="00E109D2" w:rsidRPr="007B73CC" w:rsidRDefault="00E109D2" w:rsidP="00AB164F">
            <w:pPr>
              <w:pStyle w:val="CMR-tables"/>
              <w:keepNext/>
              <w:jc w:val="center"/>
              <w:rPr>
                <w:rFonts w:cs="Times New Roman"/>
                <w:b/>
                <w:noProof/>
                <w:szCs w:val="20"/>
              </w:rPr>
            </w:pPr>
            <w:r>
              <w:rPr>
                <w:noProof/>
              </w:rPr>
              <w:t>6 688 500</w:t>
            </w:r>
          </w:p>
        </w:tc>
      </w:tr>
    </w:tbl>
    <w:p w14:paraId="41BABA93" w14:textId="54E213BB" w:rsidR="00E109D2" w:rsidRPr="00685D02" w:rsidRDefault="00E109D2" w:rsidP="00E109D2">
      <w:pPr>
        <w:pStyle w:val="CMR-text"/>
        <w:rPr>
          <w:rFonts w:cs="Times New Roman"/>
          <w:noProof/>
        </w:rPr>
      </w:pPr>
      <w:r>
        <w:rPr>
          <w:noProof/>
        </w:rPr>
        <w:t xml:space="preserve">In totale nel 2024 si sono svolte 221 aste. Nessuna asta è stata annullata. Dal gennaio 2025 le quote rilasciate per il settore del trasporto aereo sono quote generiche e non costituiscono più una categoria di quote a </w:t>
      </w:r>
      <w:r w:rsidR="00F626E5">
        <w:rPr>
          <w:noProof/>
        </w:rPr>
        <w:t>sé</w:t>
      </w:r>
      <w:r>
        <w:rPr>
          <w:noProof/>
        </w:rPr>
        <w:t xml:space="preserve"> stante.</w:t>
      </w:r>
    </w:p>
    <w:p w14:paraId="33946994" w14:textId="62B7C9F0" w:rsidR="00E109D2" w:rsidRPr="00685D02" w:rsidRDefault="5B706CD9" w:rsidP="00E109D2">
      <w:pPr>
        <w:pStyle w:val="CMR-text"/>
        <w:rPr>
          <w:rFonts w:cs="Times New Roman"/>
          <w:noProof/>
        </w:rPr>
      </w:pPr>
      <w:r>
        <w:rPr>
          <w:noProof/>
        </w:rPr>
        <w:t>A partire da luglio 2023 i volumi d</w:t>
      </w:r>
      <w:r w:rsidR="00F06D2E">
        <w:rPr>
          <w:noProof/>
        </w:rPr>
        <w:t>'</w:t>
      </w:r>
      <w:r>
        <w:rPr>
          <w:noProof/>
        </w:rPr>
        <w:t xml:space="preserve">asta comprenderanno le quote di emissioni assegnate al dispositivo per la ripresa e la resilienza (RRF) a norma del regolamento REPowerEU (regolamento </w:t>
      </w:r>
      <w:r>
        <w:rPr>
          <w:noProof/>
        </w:rPr>
        <w:lastRenderedPageBreak/>
        <w:t>(UE)</w:t>
      </w:r>
      <w:r w:rsidR="0008163A">
        <w:rPr>
          <w:noProof/>
        </w:rPr>
        <w:t> </w:t>
      </w:r>
      <w:r>
        <w:rPr>
          <w:noProof/>
        </w:rPr>
        <w:t>2023/435)</w:t>
      </w:r>
      <w:r>
        <w:rPr>
          <w:rStyle w:val="FootnoteReference"/>
          <w:rFonts w:cs="Times New Roman"/>
          <w:noProof/>
          <w:lang w:val="en-IE"/>
        </w:rPr>
        <w:footnoteReference w:id="17"/>
      </w:r>
      <w:r>
        <w:rPr>
          <w:noProof/>
        </w:rPr>
        <w:t xml:space="preserve"> che genereranno 20 miliardi di EUR per l</w:t>
      </w:r>
      <w:r w:rsidR="00F06D2E">
        <w:rPr>
          <w:noProof/>
        </w:rPr>
        <w:t>'</w:t>
      </w:r>
      <w:r>
        <w:rPr>
          <w:noProof/>
        </w:rPr>
        <w:t>RRF entro il 31 agosto 2026. Gli Stati membri utilizzeranno queste risorse RRF aggiuntive per realizzare ulteriori riforme e investimenti volti a portare avanti transizione verso l</w:t>
      </w:r>
      <w:r w:rsidR="00F06D2E">
        <w:rPr>
          <w:noProof/>
        </w:rPr>
        <w:t>'</w:t>
      </w:r>
      <w:r>
        <w:rPr>
          <w:noProof/>
        </w:rPr>
        <w:t>energia pulita e rafforzare la sicurezza energetica. Al 30 giugno 2025 erano stati raccolti 11,5 miliardi di EUR per RRF-REPowerEU grazie alla vendita all</w:t>
      </w:r>
      <w:r w:rsidR="00F06D2E">
        <w:rPr>
          <w:noProof/>
        </w:rPr>
        <w:t>'</w:t>
      </w:r>
      <w:r>
        <w:rPr>
          <w:noProof/>
        </w:rPr>
        <w:t>asta di 164 710 000 quote.</w:t>
      </w:r>
    </w:p>
    <w:p w14:paraId="5FA313E0" w14:textId="66EE54C5" w:rsidR="00E109D2" w:rsidRPr="00685D02" w:rsidRDefault="001D3D34" w:rsidP="00E109D2">
      <w:pPr>
        <w:pStyle w:val="CMR-text"/>
        <w:rPr>
          <w:rFonts w:cs="Times New Roman"/>
          <w:noProof/>
        </w:rPr>
      </w:pPr>
      <w:r>
        <w:rPr>
          <w:noProof/>
        </w:rPr>
        <w:t>La figura 2 fornisce una panoramica dei prezzi di aggiudicazione delle vendite all</w:t>
      </w:r>
      <w:r w:rsidR="00F06D2E">
        <w:rPr>
          <w:noProof/>
        </w:rPr>
        <w:t>'</w:t>
      </w:r>
      <w:r>
        <w:rPr>
          <w:noProof/>
        </w:rPr>
        <w:t>asta sul mercato del carbonio dell</w:t>
      </w:r>
      <w:r w:rsidR="00F06D2E">
        <w:rPr>
          <w:noProof/>
        </w:rPr>
        <w:t>'</w:t>
      </w:r>
      <w:r>
        <w:rPr>
          <w:noProof/>
        </w:rPr>
        <w:t>UE nel 2024 e nel primo semestre del 2025. Nel 2024 il prezzo più alto (75,35 EUR) è stato raggiunto il 3 giugno, e il più basso (49,50 EUR) il 23 febbraio. Il prezzo medio per il 2024 è stato di 64,74 EUR, in aumento rispetto a 83,60 EUR nel 2023. Nel 2024 i prezzi di vendita all</w:t>
      </w:r>
      <w:r w:rsidR="00F06D2E">
        <w:rPr>
          <w:noProof/>
        </w:rPr>
        <w:t>'</w:t>
      </w:r>
      <w:r>
        <w:rPr>
          <w:noProof/>
        </w:rPr>
        <w:t>asta si sono mantenuti entro un intervallo relativamente stabile: 182 valori su 221 (82 %) erano compresi tra 60</w:t>
      </w:r>
      <w:r w:rsidR="0008163A">
        <w:rPr>
          <w:noProof/>
        </w:rPr>
        <w:t> </w:t>
      </w:r>
      <w:r>
        <w:rPr>
          <w:noProof/>
        </w:rPr>
        <w:t>EUR e 75 EUR.</w:t>
      </w:r>
    </w:p>
    <w:p w14:paraId="0E3E72A9" w14:textId="56CD708A" w:rsidR="00E109D2" w:rsidRPr="00685D02" w:rsidRDefault="3293C6BF" w:rsidP="00E109D2">
      <w:pPr>
        <w:pStyle w:val="CMR-text"/>
        <w:rPr>
          <w:rFonts w:cs="Times New Roman"/>
          <w:noProof/>
        </w:rPr>
      </w:pPr>
      <w:r>
        <w:rPr>
          <w:noProof/>
        </w:rPr>
        <w:t>La piattaforma d</w:t>
      </w:r>
      <w:r w:rsidR="00F06D2E">
        <w:rPr>
          <w:noProof/>
        </w:rPr>
        <w:t>'</w:t>
      </w:r>
      <w:r>
        <w:rPr>
          <w:noProof/>
        </w:rPr>
        <w:t>asta pubblica regolarmente i risultati dettagliati di ciascuna asta sul proprio sito web</w:t>
      </w:r>
      <w:r>
        <w:rPr>
          <w:rStyle w:val="FootnoteReference"/>
          <w:rFonts w:cs="Times New Roman"/>
          <w:noProof/>
          <w:lang w:val="en-IE"/>
        </w:rPr>
        <w:footnoteReference w:id="18"/>
      </w:r>
      <w:r>
        <w:rPr>
          <w:noProof/>
        </w:rPr>
        <w:t>. Ulteriori informazioni sull</w:t>
      </w:r>
      <w:r w:rsidR="00F06D2E">
        <w:rPr>
          <w:noProof/>
        </w:rPr>
        <w:t>'</w:t>
      </w:r>
      <w:r>
        <w:rPr>
          <w:noProof/>
        </w:rPr>
        <w:t>andamento delle aste, compresi partecipazione, coefficienti di copertura e prezzi, sono reperibili nelle relazioni sulle aste dei paesi partecipanti all</w:t>
      </w:r>
      <w:r w:rsidR="00F06D2E">
        <w:rPr>
          <w:noProof/>
        </w:rPr>
        <w:t>'</w:t>
      </w:r>
      <w:r>
        <w:rPr>
          <w:noProof/>
        </w:rPr>
        <w:t>ETS</w:t>
      </w:r>
      <w:r>
        <w:rPr>
          <w:rStyle w:val="FootnoteReference"/>
          <w:rFonts w:cs="Times New Roman"/>
          <w:noProof/>
          <w:lang w:val="en-IE"/>
        </w:rPr>
        <w:footnoteReference w:id="19"/>
      </w:r>
      <w:r>
        <w:rPr>
          <w:noProof/>
        </w:rPr>
        <w:t>.</w:t>
      </w:r>
    </w:p>
    <w:p w14:paraId="71FE1BB5" w14:textId="1BB1D8BA" w:rsidR="003A69EA" w:rsidRPr="009268F3" w:rsidRDefault="009268F3" w:rsidP="0008163A">
      <w:pPr>
        <w:pStyle w:val="Caption"/>
        <w:keepNext/>
        <w:spacing w:line="257" w:lineRule="auto"/>
        <w:rPr>
          <w:noProof/>
          <w:sz w:val="20"/>
        </w:rPr>
      </w:pPr>
      <w:r>
        <w:rPr>
          <w:noProof/>
          <w:lang w:val="en-GB" w:eastAsia="en-GB"/>
        </w:rPr>
        <w:drawing>
          <wp:inline distT="0" distB="0" distL="0" distR="0" wp14:anchorId="51EA56D2" wp14:editId="4AC7FB9A">
            <wp:extent cx="5731510" cy="3375660"/>
            <wp:effectExtent l="0" t="0" r="2540" b="0"/>
            <wp:docPr id="1874873789" name="Chart 1">
              <a:extLst xmlns:a="http://schemas.openxmlformats.org/drawingml/2006/main">
                <a:ext uri="{FF2B5EF4-FFF2-40B4-BE49-F238E27FC236}">
                  <a16:creationId xmlns:a16="http://schemas.microsoft.com/office/drawing/2014/main" id="{751C2AB8-CCE3-4B4D-8872-B060FB285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noProof/>
          <w:sz w:val="20"/>
        </w:rPr>
        <w:t>Figura</w:t>
      </w:r>
      <w:r w:rsidR="0008163A">
        <w:rPr>
          <w:noProof/>
          <w:sz w:val="20"/>
        </w:rPr>
        <w:t> </w:t>
      </w:r>
      <w:r>
        <w:rPr>
          <w:noProof/>
          <w:sz w:val="20"/>
        </w:rPr>
        <w:t>2. Prezzi di aggiudicazione nelle vendite all</w:t>
      </w:r>
      <w:r w:rsidR="00F06D2E">
        <w:rPr>
          <w:noProof/>
          <w:sz w:val="20"/>
        </w:rPr>
        <w:t>'</w:t>
      </w:r>
      <w:r>
        <w:rPr>
          <w:noProof/>
          <w:sz w:val="20"/>
        </w:rPr>
        <w:t>asta di quote di emissioni generiche (1º</w:t>
      </w:r>
      <w:r w:rsidR="0008163A">
        <w:rPr>
          <w:noProof/>
          <w:sz w:val="20"/>
        </w:rPr>
        <w:t> </w:t>
      </w:r>
      <w:r>
        <w:rPr>
          <w:noProof/>
          <w:sz w:val="20"/>
        </w:rPr>
        <w:t>gennaio</w:t>
      </w:r>
      <w:r w:rsidR="0008163A">
        <w:rPr>
          <w:noProof/>
          <w:sz w:val="20"/>
        </w:rPr>
        <w:t> </w:t>
      </w:r>
      <w:r>
        <w:rPr>
          <w:noProof/>
          <w:sz w:val="20"/>
        </w:rPr>
        <w:t>2024</w:t>
      </w:r>
      <w:r w:rsidR="0008163A">
        <w:rPr>
          <w:noProof/>
          <w:sz w:val="20"/>
        </w:rPr>
        <w:noBreakHyphen/>
      </w:r>
      <w:r>
        <w:rPr>
          <w:noProof/>
          <w:sz w:val="20"/>
        </w:rPr>
        <w:t>30</w:t>
      </w:r>
      <w:r w:rsidR="0008163A">
        <w:rPr>
          <w:noProof/>
          <w:sz w:val="20"/>
        </w:rPr>
        <w:t> </w:t>
      </w:r>
      <w:r>
        <w:rPr>
          <w:noProof/>
          <w:sz w:val="20"/>
        </w:rPr>
        <w:t>giugno 2025) [EUR/tonnellata di CO</w:t>
      </w:r>
      <w:r>
        <w:rPr>
          <w:noProof/>
          <w:sz w:val="20"/>
          <w:vertAlign w:val="subscript"/>
        </w:rPr>
        <w:t>2</w:t>
      </w:r>
      <w:r>
        <w:rPr>
          <w:noProof/>
          <w:sz w:val="20"/>
        </w:rPr>
        <w:t>]</w:t>
      </w:r>
    </w:p>
    <w:p w14:paraId="5BF620E9" w14:textId="7164FBA6" w:rsidR="00AA2923" w:rsidRPr="00685D02" w:rsidRDefault="00373308" w:rsidP="004F3BD5">
      <w:pPr>
        <w:pStyle w:val="CMR-Subheading"/>
        <w:rPr>
          <w:rFonts w:cs="Times New Roman"/>
          <w:noProof/>
          <w:sz w:val="22"/>
          <w:szCs w:val="22"/>
        </w:rPr>
      </w:pPr>
      <w:bookmarkStart w:id="23" w:name="_Toc218937024"/>
      <w:r>
        <w:rPr>
          <w:noProof/>
          <w:sz w:val="22"/>
        </w:rPr>
        <w:t>Vendita all</w:t>
      </w:r>
      <w:r w:rsidR="00F06D2E">
        <w:rPr>
          <w:noProof/>
          <w:sz w:val="22"/>
        </w:rPr>
        <w:t>'</w:t>
      </w:r>
      <w:r>
        <w:rPr>
          <w:noProof/>
          <w:sz w:val="22"/>
        </w:rPr>
        <w:t>asta e cancellazione di quote per via dell</w:t>
      </w:r>
      <w:r w:rsidR="00F06D2E">
        <w:rPr>
          <w:noProof/>
          <w:sz w:val="22"/>
        </w:rPr>
        <w:t>'</w:t>
      </w:r>
      <w:r>
        <w:rPr>
          <w:noProof/>
          <w:sz w:val="22"/>
        </w:rPr>
        <w:t>ampliamento dell</w:t>
      </w:r>
      <w:r w:rsidR="00F06D2E">
        <w:rPr>
          <w:noProof/>
          <w:sz w:val="22"/>
        </w:rPr>
        <w:t>'</w:t>
      </w:r>
      <w:r>
        <w:rPr>
          <w:noProof/>
          <w:sz w:val="22"/>
        </w:rPr>
        <w:t>ambito di applicazione dell</w:t>
      </w:r>
      <w:r w:rsidR="00F06D2E">
        <w:rPr>
          <w:noProof/>
          <w:sz w:val="22"/>
        </w:rPr>
        <w:t>'</w:t>
      </w:r>
      <w:r>
        <w:rPr>
          <w:noProof/>
          <w:sz w:val="22"/>
        </w:rPr>
        <w:t>EU ETS al trasporto marittimo</w:t>
      </w:r>
      <w:bookmarkEnd w:id="23"/>
    </w:p>
    <w:p w14:paraId="14B5D574" w14:textId="292BE4B7" w:rsidR="00E109D2" w:rsidRPr="00685D02" w:rsidRDefault="00C00F62" w:rsidP="00E109D2">
      <w:pPr>
        <w:pStyle w:val="CMR-text"/>
        <w:rPr>
          <w:rFonts w:cs="Times New Roman"/>
          <w:noProof/>
        </w:rPr>
      </w:pPr>
      <w:r>
        <w:rPr>
          <w:noProof/>
        </w:rPr>
        <w:t>Il trasporto marittimo è incluso nell</w:t>
      </w:r>
      <w:r w:rsidR="00F06D2E">
        <w:rPr>
          <w:noProof/>
        </w:rPr>
        <w:t>'</w:t>
      </w:r>
      <w:r>
        <w:rPr>
          <w:noProof/>
        </w:rPr>
        <w:t xml:space="preserve">EU ETS con un periodo iniziale di introduzione graduale per il 2024 e il 2025, durante il quale le società di navigazione sono tenute a restituire quote solo per una parte delle loro emissioni (rispettivamente il 40 % e il 70 %). Se sono restituite meno quote rispetto alle emissioni </w:t>
      </w:r>
      <w:r>
        <w:rPr>
          <w:noProof/>
        </w:rPr>
        <w:lastRenderedPageBreak/>
        <w:t>verificate generate dal trasporto marittimo nel 2024 e 2025, gli Stati membri cancelleranno il numero di quote corrispondente a tale differenza. A norma dell</w:t>
      </w:r>
      <w:r w:rsidR="00F06D2E">
        <w:rPr>
          <w:noProof/>
        </w:rPr>
        <w:t>'</w:t>
      </w:r>
      <w:r>
        <w:rPr>
          <w:noProof/>
        </w:rPr>
        <w:t>articolo 3 octies ter e dell</w:t>
      </w:r>
      <w:r w:rsidR="00F06D2E">
        <w:rPr>
          <w:noProof/>
        </w:rPr>
        <w:t>'</w:t>
      </w:r>
      <w:r>
        <w:rPr>
          <w:noProof/>
        </w:rPr>
        <w:t>articolo 12, paragrafo</w:t>
      </w:r>
      <w:r w:rsidR="0008163A">
        <w:rPr>
          <w:noProof/>
        </w:rPr>
        <w:t> </w:t>
      </w:r>
      <w:r>
        <w:rPr>
          <w:noProof/>
        </w:rPr>
        <w:t>3-sexies, della direttiva ETS, la differenza deve essere cancellata dalla vendita all</w:t>
      </w:r>
      <w:r w:rsidR="00F06D2E">
        <w:rPr>
          <w:noProof/>
        </w:rPr>
        <w:t>'</w:t>
      </w:r>
      <w:r>
        <w:rPr>
          <w:noProof/>
        </w:rPr>
        <w:t>asta. La</w:t>
      </w:r>
      <w:r w:rsidR="0008163A">
        <w:rPr>
          <w:noProof/>
        </w:rPr>
        <w:t> </w:t>
      </w:r>
      <w:r>
        <w:rPr>
          <w:noProof/>
        </w:rPr>
        <w:t>cancellazione per il 2024, per un totale di 54 243 768 quote, sarà effettuata nel 2026 attraverso una modifica del calendario delle aste.</w:t>
      </w:r>
    </w:p>
    <w:p w14:paraId="2D8E4983" w14:textId="0D8DDDDD" w:rsidR="00E109D2" w:rsidRPr="00685D02" w:rsidRDefault="00E109D2" w:rsidP="00E109D2">
      <w:pPr>
        <w:pStyle w:val="CMR-text"/>
        <w:rPr>
          <w:rFonts w:cs="Times New Roman"/>
          <w:noProof/>
        </w:rPr>
      </w:pPr>
      <w:r>
        <w:rPr>
          <w:noProof/>
        </w:rPr>
        <w:t>L</w:t>
      </w:r>
      <w:r w:rsidR="00F06D2E">
        <w:rPr>
          <w:noProof/>
        </w:rPr>
        <w:t>'</w:t>
      </w:r>
      <w:r>
        <w:rPr>
          <w:noProof/>
        </w:rPr>
        <w:t>articolo 9 della direttiva ETS prevede che, a decorrere dal gennaio 2026, il quantitativo di quote dovrà essere aumentato per tenere conto della copertura delle emissioni di gas a effetto serra diverse dalle emissioni di CO</w:t>
      </w:r>
      <w:r>
        <w:rPr>
          <w:noProof/>
          <w:vertAlign w:val="subscript"/>
        </w:rPr>
        <w:t>2</w:t>
      </w:r>
      <w:r>
        <w:rPr>
          <w:noProof/>
        </w:rPr>
        <w:t xml:space="preserve"> generate dal trasporto marittimo. Le quote risultanti da tale aumento devono essere messe all</w:t>
      </w:r>
      <w:r w:rsidR="00F06D2E">
        <w:rPr>
          <w:noProof/>
        </w:rPr>
        <w:t>'</w:t>
      </w:r>
      <w:r>
        <w:rPr>
          <w:noProof/>
        </w:rPr>
        <w:t>asta nel 2026 e aggiunte al Fondo per l</w:t>
      </w:r>
      <w:r w:rsidR="00F06D2E">
        <w:rPr>
          <w:noProof/>
        </w:rPr>
        <w:t>'</w:t>
      </w:r>
      <w:r>
        <w:rPr>
          <w:noProof/>
        </w:rPr>
        <w:t>innovazione attraverso una modifica del calendario delle aste.</w:t>
      </w:r>
    </w:p>
    <w:p w14:paraId="6F161A98" w14:textId="4C53B425" w:rsidR="000F66CB" w:rsidRPr="00EC4FC3" w:rsidRDefault="000F66CB" w:rsidP="00EC4FC3">
      <w:pPr>
        <w:pStyle w:val="CMR-Subheading"/>
        <w:rPr>
          <w:noProof/>
        </w:rPr>
      </w:pPr>
      <w:bookmarkStart w:id="24" w:name="_Ref206606635"/>
      <w:bookmarkStart w:id="25" w:name="_Toc218937025"/>
      <w:r>
        <w:rPr>
          <w:noProof/>
        </w:rPr>
        <w:t>Flessibilità prevista dal regolamento sulla condivisione degli sforzi</w:t>
      </w:r>
      <w:bookmarkEnd w:id="24"/>
      <w:bookmarkEnd w:id="25"/>
    </w:p>
    <w:p w14:paraId="2DCE827C" w14:textId="0A88E637" w:rsidR="00603B47" w:rsidRPr="00685D02" w:rsidRDefault="00CB67F3">
      <w:pPr>
        <w:pStyle w:val="CMR-text"/>
        <w:rPr>
          <w:rFonts w:cs="Times New Roman"/>
          <w:noProof/>
        </w:rPr>
      </w:pPr>
      <w:r>
        <w:rPr>
          <w:noProof/>
        </w:rPr>
        <w:t>Il regolamento sulla condivisione degli sforzi stabilisce per gli Stati membri obiettivi nazionali vincolanti di riduzione delle emissioni per il periodo 2021-2030. Tali obiettivi riguardano settori non contemplati dall</w:t>
      </w:r>
      <w:r w:rsidR="00F06D2E">
        <w:rPr>
          <w:noProof/>
        </w:rPr>
        <w:t>'</w:t>
      </w:r>
      <w:r>
        <w:rPr>
          <w:noProof/>
        </w:rPr>
        <w:t xml:space="preserve">attuale EU ETS: trasporti interni (escluso il trasporto aereo), edilizia, agricoltura, piccole industrie e rifiuti. </w:t>
      </w:r>
    </w:p>
    <w:p w14:paraId="36DA55C0" w14:textId="7F0C9A33" w:rsidR="008561AD" w:rsidRPr="00685D02" w:rsidRDefault="18A94C7C" w:rsidP="00EC0D81">
      <w:pPr>
        <w:pStyle w:val="CMR-text"/>
        <w:rPr>
          <w:rFonts w:cs="Times New Roman"/>
          <w:noProof/>
        </w:rPr>
      </w:pPr>
      <w:r>
        <w:rPr>
          <w:noProof/>
        </w:rPr>
        <w:t>Il regolamento contiene una disposizione di flessibilità una tantum in virtù della quale nove Stati membri</w:t>
      </w:r>
      <w:r>
        <w:rPr>
          <w:rStyle w:val="FootnoteReference"/>
          <w:rFonts w:cs="Times New Roman"/>
          <w:bCs/>
          <w:noProof/>
          <w:lang w:val="en-IE"/>
        </w:rPr>
        <w:footnoteReference w:id="20"/>
      </w:r>
      <w:r>
        <w:rPr>
          <w:noProof/>
        </w:rPr>
        <w:t>, per conformarsi al rispettivo obiettivo, hanno la possibilità di cancellare collettivamente fino a un massimo di 100 milioni di quote EU ETS, che dovranno essere sottratte dai rispettivi volumi d</w:t>
      </w:r>
      <w:r w:rsidR="00F06D2E">
        <w:rPr>
          <w:noProof/>
        </w:rPr>
        <w:t>'</w:t>
      </w:r>
      <w:r>
        <w:rPr>
          <w:noProof/>
        </w:rPr>
        <w:t xml:space="preserve">asta. </w:t>
      </w:r>
    </w:p>
    <w:p w14:paraId="6FCD45F0" w14:textId="73D1558C" w:rsidR="00E109D2" w:rsidRPr="00685D02" w:rsidRDefault="578539C1">
      <w:pPr>
        <w:pStyle w:val="CMR-text"/>
        <w:rPr>
          <w:rFonts w:cs="Times New Roman"/>
          <w:noProof/>
        </w:rPr>
      </w:pPr>
      <w:r>
        <w:rPr>
          <w:noProof/>
        </w:rPr>
        <w:t>Dal 2021 al 2024 sei</w:t>
      </w:r>
      <w:r>
        <w:rPr>
          <w:rStyle w:val="FootnoteReference"/>
          <w:rFonts w:cs="Times New Roman"/>
          <w:bCs/>
          <w:noProof/>
          <w:lang w:val="en-IE"/>
        </w:rPr>
        <w:footnoteReference w:id="21"/>
      </w:r>
      <w:r>
        <w:rPr>
          <w:noProof/>
        </w:rPr>
        <w:t xml:space="preserve"> di questi Stati membri si sono avvalsi della flessibilità prevista dal regolamento sulla condivisione degli sforzi e hanno sottratto collettivamente 28,8 milioni di quote dai rispettivi volumi d</w:t>
      </w:r>
      <w:r w:rsidR="00F06D2E">
        <w:rPr>
          <w:noProof/>
        </w:rPr>
        <w:t>'</w:t>
      </w:r>
      <w:r>
        <w:rPr>
          <w:noProof/>
        </w:rPr>
        <w:t>asta. Per il futuro la Svezia inizierà ad avvalersi di tale flessibilità a decorrere dal 2025, mentre la Danimarca e il Lussemburgo cesseranno di utilizzare tale meccanismo a partire dal 2026.</w:t>
      </w:r>
    </w:p>
    <w:p w14:paraId="5F8C64FB" w14:textId="28D0D584" w:rsidR="000F66CB" w:rsidRPr="00EC4FC3" w:rsidRDefault="000F66CB" w:rsidP="00EC4FC3">
      <w:pPr>
        <w:pStyle w:val="CMR-Subheading"/>
        <w:rPr>
          <w:noProof/>
        </w:rPr>
      </w:pPr>
      <w:bookmarkStart w:id="26" w:name="_Toc218937026"/>
      <w:r>
        <w:rPr>
          <w:noProof/>
        </w:rPr>
        <w:t>Cancellazione volontaria di quote</w:t>
      </w:r>
      <w:bookmarkEnd w:id="26"/>
    </w:p>
    <w:p w14:paraId="28828CC1" w14:textId="6505E351" w:rsidR="00863142" w:rsidRPr="00685D02" w:rsidRDefault="00D01696" w:rsidP="000F66CB">
      <w:pPr>
        <w:pStyle w:val="CMR-text"/>
        <w:rPr>
          <w:rFonts w:cs="Times New Roman"/>
          <w:noProof/>
        </w:rPr>
      </w:pPr>
      <w:r>
        <w:rPr>
          <w:noProof/>
        </w:rPr>
        <w:t>A norma dell</w:t>
      </w:r>
      <w:r w:rsidR="00F06D2E">
        <w:rPr>
          <w:noProof/>
        </w:rPr>
        <w:t>'</w:t>
      </w:r>
      <w:r>
        <w:rPr>
          <w:noProof/>
        </w:rPr>
        <w:t xml:space="preserve">articolo 12, paragrafo 4, della direttiva ETS gli Stati membri sono incoraggiati a cancellare quote in caso di chiusura della capacità di generazione di energia elettrica nel loro territorio a seguito di misure nazionali supplementari. In tal modo gli Stati membri possono evitare che la conseguente diminuzione delle emissioni sia </w:t>
      </w:r>
      <w:r w:rsidR="00F06D2E">
        <w:rPr>
          <w:noProof/>
        </w:rPr>
        <w:t>"</w:t>
      </w:r>
      <w:r>
        <w:rPr>
          <w:noProof/>
        </w:rPr>
        <w:t>compensata</w:t>
      </w:r>
      <w:r w:rsidR="00F06D2E">
        <w:rPr>
          <w:noProof/>
        </w:rPr>
        <w:t>"</w:t>
      </w:r>
      <w:r>
        <w:rPr>
          <w:noProof/>
        </w:rPr>
        <w:t xml:space="preserve"> altrove nel sistema. </w:t>
      </w:r>
    </w:p>
    <w:p w14:paraId="6AA5EF9E" w14:textId="3DCDF479" w:rsidR="000F66CB" w:rsidRPr="00685D02" w:rsidRDefault="00863142" w:rsidP="000F66CB">
      <w:pPr>
        <w:pStyle w:val="CMR-text"/>
        <w:rPr>
          <w:rFonts w:cs="Times New Roman"/>
          <w:noProof/>
        </w:rPr>
      </w:pPr>
      <w:r>
        <w:rPr>
          <w:noProof/>
        </w:rPr>
        <w:t>Lo Stato membro interessato deve informare la Commissione della prevista cancellazione. La</w:t>
      </w:r>
      <w:r w:rsidR="0008163A">
        <w:rPr>
          <w:noProof/>
        </w:rPr>
        <w:t> </w:t>
      </w:r>
      <w:r>
        <w:rPr>
          <w:noProof/>
        </w:rPr>
        <w:t>cancellazione è effettuata riducendo il quantitativo totale di quote di emissioni che lo Stato membro deve mettere all</w:t>
      </w:r>
      <w:r w:rsidR="00F06D2E">
        <w:rPr>
          <w:noProof/>
        </w:rPr>
        <w:t>'</w:t>
      </w:r>
      <w:r>
        <w:rPr>
          <w:noProof/>
        </w:rPr>
        <w:t>asta, fino a un ammontare massimo corrispondente alla somma delle emissioni verificate pertinenti nel corso dei cinque anni precedenti la chiusura. La procedura è stabilita all</w:t>
      </w:r>
      <w:r w:rsidR="00F06D2E">
        <w:rPr>
          <w:noProof/>
        </w:rPr>
        <w:t>'</w:t>
      </w:r>
      <w:r>
        <w:rPr>
          <w:noProof/>
        </w:rPr>
        <w:t>articolo</w:t>
      </w:r>
      <w:r w:rsidR="0008163A">
        <w:rPr>
          <w:noProof/>
        </w:rPr>
        <w:t> </w:t>
      </w:r>
      <w:r>
        <w:rPr>
          <w:noProof/>
        </w:rPr>
        <w:t>25 del regolamento sulla vendita all</w:t>
      </w:r>
      <w:r w:rsidR="00F06D2E">
        <w:rPr>
          <w:noProof/>
        </w:rPr>
        <w:t>'</w:t>
      </w:r>
      <w:r>
        <w:rPr>
          <w:noProof/>
        </w:rPr>
        <w:t xml:space="preserve">asta. </w:t>
      </w:r>
    </w:p>
    <w:p w14:paraId="234BF97E" w14:textId="28F11743" w:rsidR="00B712A2" w:rsidRPr="00685D02" w:rsidRDefault="1BAD2891" w:rsidP="000F66CB">
      <w:pPr>
        <w:pStyle w:val="CMR-text"/>
        <w:rPr>
          <w:rFonts w:cs="Times New Roman"/>
          <w:noProof/>
        </w:rPr>
      </w:pPr>
      <w:r>
        <w:rPr>
          <w:noProof/>
        </w:rPr>
        <w:lastRenderedPageBreak/>
        <w:t>Nel dicembre 2023 la Germania ha notificato alla Commissione l</w:t>
      </w:r>
      <w:r w:rsidR="00F06D2E">
        <w:rPr>
          <w:noProof/>
        </w:rPr>
        <w:t>'</w:t>
      </w:r>
      <w:r>
        <w:rPr>
          <w:noProof/>
        </w:rPr>
        <w:t>intenzione di cancellare le quote di emissioni associate a due centrali elettriche chiuse nel 2022 nel quadro della politica nazionale di abbandono graduale del carbone</w:t>
      </w:r>
      <w:r>
        <w:rPr>
          <w:rFonts w:cs="Times New Roman"/>
          <w:noProof/>
          <w:vertAlign w:val="superscript"/>
          <w:lang w:val="en-IE"/>
        </w:rPr>
        <w:footnoteReference w:id="22"/>
      </w:r>
      <w:r>
        <w:rPr>
          <w:noProof/>
        </w:rPr>
        <w:t xml:space="preserve">. Le cancellazioni dovrebbero avvenire tra il 2025 e il 2030. Il numero di quote di emissioni da cancellare in relazione alla notifica può essere comunicato alla Commissione annualmente. </w:t>
      </w:r>
    </w:p>
    <w:p w14:paraId="7373D892" w14:textId="228E6FE3" w:rsidR="000F66CB" w:rsidRPr="00685D02" w:rsidRDefault="000F66CB" w:rsidP="000F66CB">
      <w:pPr>
        <w:pStyle w:val="CMR-text"/>
        <w:rPr>
          <w:rFonts w:cs="Times New Roman"/>
          <w:noProof/>
        </w:rPr>
      </w:pPr>
      <w:r>
        <w:rPr>
          <w:noProof/>
        </w:rPr>
        <w:t>La metodologia per il calcolo del numero di quote da cancellare faceva parte della notifica. Essa tiene conto delle emissioni derivanti dalla produzione di energia elettrica sostitutiva nel mercato dell</w:t>
      </w:r>
      <w:r w:rsidR="00F06D2E">
        <w:rPr>
          <w:noProof/>
        </w:rPr>
        <w:t>'</w:t>
      </w:r>
      <w:r>
        <w:rPr>
          <w:noProof/>
        </w:rPr>
        <w:t xml:space="preserve">energia elettrica e del funzionamento della riserva stabilizzatrice del mercato. </w:t>
      </w:r>
    </w:p>
    <w:p w14:paraId="3FE94397" w14:textId="3CD2B9CC" w:rsidR="000F66CB" w:rsidRPr="00685D02" w:rsidRDefault="6A5786B3" w:rsidP="009269F7">
      <w:pPr>
        <w:pStyle w:val="CMR-text"/>
        <w:rPr>
          <w:rFonts w:cs="Times New Roman"/>
          <w:noProof/>
        </w:rPr>
      </w:pPr>
      <w:r>
        <w:rPr>
          <w:noProof/>
        </w:rPr>
        <w:t>Nell</w:t>
      </w:r>
      <w:r w:rsidR="00F06D2E">
        <w:rPr>
          <w:noProof/>
        </w:rPr>
        <w:t>'</w:t>
      </w:r>
      <w:r>
        <w:rPr>
          <w:noProof/>
        </w:rPr>
        <w:t>aprile 2025 la Germania ha comunicato alla Commissione il numero di quote da cancellare per l</w:t>
      </w:r>
      <w:r w:rsidR="00F06D2E">
        <w:rPr>
          <w:noProof/>
        </w:rPr>
        <w:t>'</w:t>
      </w:r>
      <w:r>
        <w:rPr>
          <w:noProof/>
        </w:rPr>
        <w:t>anno 2023, dal 1º settembre al 31 dicembre 2025</w:t>
      </w:r>
      <w:r>
        <w:rPr>
          <w:rStyle w:val="FootnoteReference"/>
          <w:rFonts w:cs="Times New Roman"/>
          <w:noProof/>
          <w:lang w:val="en-IE"/>
        </w:rPr>
        <w:footnoteReference w:id="23"/>
      </w:r>
      <w:r>
        <w:rPr>
          <w:noProof/>
        </w:rPr>
        <w:t>. Sulla base della metodologia notificata, il numero di quote da cancellare dipenderebbe dall</w:t>
      </w:r>
      <w:r w:rsidR="00F06D2E">
        <w:rPr>
          <w:noProof/>
        </w:rPr>
        <w:t>'</w:t>
      </w:r>
      <w:r>
        <w:rPr>
          <w:noProof/>
        </w:rPr>
        <w:t>indicatore di eccedenza della riserva stabilizzatrice del mercato nell</w:t>
      </w:r>
      <w:r w:rsidR="00F06D2E">
        <w:rPr>
          <w:noProof/>
        </w:rPr>
        <w:t>'</w:t>
      </w:r>
      <w:r>
        <w:rPr>
          <w:noProof/>
        </w:rPr>
        <w:t>ambito dell</w:t>
      </w:r>
      <w:r w:rsidR="00F06D2E">
        <w:rPr>
          <w:noProof/>
        </w:rPr>
        <w:t>'</w:t>
      </w:r>
      <w:r>
        <w:rPr>
          <w:noProof/>
        </w:rPr>
        <w:t>EU ETS (il numero totale di quote di emissioni in circolazione, TNAC) nel 2024</w:t>
      </w:r>
      <w:r>
        <w:rPr>
          <w:rStyle w:val="FootnoteReference"/>
          <w:rFonts w:cs="Times New Roman"/>
          <w:noProof/>
          <w:lang w:val="en-IE"/>
        </w:rPr>
        <w:footnoteReference w:id="24"/>
      </w:r>
      <w:r>
        <w:rPr>
          <w:noProof/>
        </w:rPr>
        <w:t>.</w:t>
      </w:r>
    </w:p>
    <w:p w14:paraId="3B3B93E7" w14:textId="4343C598" w:rsidR="00923280" w:rsidRPr="00685D02" w:rsidRDefault="00923280" w:rsidP="50C721A3">
      <w:pPr>
        <w:pStyle w:val="CMR-text"/>
        <w:rPr>
          <w:rFonts w:cs="Times New Roman"/>
          <w:noProof/>
        </w:rPr>
      </w:pPr>
      <w:r>
        <w:rPr>
          <w:noProof/>
        </w:rPr>
        <w:t>Il TNAC per il 2024 è stato pubblicato dalla Commissione il 28 maggio 2025 (cfr. capitolo 6.1) e ammontava a 1,15 miliardi di quote. Di conseguenza 514 000 quote sono state cancellate dal volume d</w:t>
      </w:r>
      <w:r w:rsidR="00F06D2E">
        <w:rPr>
          <w:noProof/>
        </w:rPr>
        <w:t>'</w:t>
      </w:r>
      <w:r>
        <w:rPr>
          <w:noProof/>
        </w:rPr>
        <w:t>asta tedesco. I calendari riveduti delle aste per il 2025, adottati il 28 luglio 2025, riflettono già la cancellazione.</w:t>
      </w:r>
    </w:p>
    <w:p w14:paraId="78DAFA45" w14:textId="7E8890E0" w:rsidR="00613B80" w:rsidRPr="00EC4FC3" w:rsidRDefault="00613B80" w:rsidP="00EC4FC3">
      <w:pPr>
        <w:pStyle w:val="CMR-Heading"/>
        <w:rPr>
          <w:noProof/>
        </w:rPr>
      </w:pPr>
      <w:bookmarkStart w:id="27" w:name="_Toc180513396"/>
      <w:bookmarkStart w:id="28" w:name="_Toc218937027"/>
      <w:r>
        <w:rPr>
          <w:noProof/>
        </w:rPr>
        <w:t>Assegnazione di quote di emissioni a titolo gratuito</w:t>
      </w:r>
      <w:bookmarkEnd w:id="27"/>
      <w:bookmarkEnd w:id="28"/>
    </w:p>
    <w:p w14:paraId="5BCD0397" w14:textId="5336DD19" w:rsidR="009712D9" w:rsidRPr="00685D02" w:rsidRDefault="00133B6C" w:rsidP="005E05CB">
      <w:pPr>
        <w:pStyle w:val="CMR-text"/>
        <w:rPr>
          <w:rFonts w:cs="Times New Roman"/>
          <w:noProof/>
        </w:rPr>
      </w:pPr>
      <w:r>
        <w:rPr>
          <w:noProof/>
        </w:rPr>
        <w:t>L</w:t>
      </w:r>
      <w:r w:rsidR="00F06D2E">
        <w:rPr>
          <w:noProof/>
        </w:rPr>
        <w:t>'</w:t>
      </w:r>
      <w:r>
        <w:rPr>
          <w:noProof/>
        </w:rPr>
        <w:t>assegnazione a titolo gratuito è una misura di carattere transitorio destinata principalmente ai settori industriali. Sebbene la vendita all</w:t>
      </w:r>
      <w:r w:rsidR="00F06D2E">
        <w:rPr>
          <w:noProof/>
        </w:rPr>
        <w:t>'</w:t>
      </w:r>
      <w:r>
        <w:rPr>
          <w:noProof/>
        </w:rPr>
        <w:t>asta sia il metodo principale per la distribuzione delle quote di emissioni nell</w:t>
      </w:r>
      <w:r w:rsidR="00F06D2E">
        <w:rPr>
          <w:noProof/>
        </w:rPr>
        <w:t>'</w:t>
      </w:r>
      <w:r>
        <w:rPr>
          <w:noProof/>
        </w:rPr>
        <w:t>EU ETS, una parte significativa è assegnata agli impianti a titolo gratuito per scongiurare il rischio di rilocalizzazione delle emissioni di carbonio</w:t>
      </w:r>
      <w:r>
        <w:rPr>
          <w:rStyle w:val="FootnoteReference"/>
          <w:rFonts w:cs="Times New Roman"/>
          <w:noProof/>
          <w:lang w:val="en-IE"/>
        </w:rPr>
        <w:footnoteReference w:id="25"/>
      </w:r>
      <w:r>
        <w:rPr>
          <w:noProof/>
        </w:rPr>
        <w:t xml:space="preserve">. </w:t>
      </w:r>
    </w:p>
    <w:p w14:paraId="67F8DD7F" w14:textId="7E6CBEB2" w:rsidR="004D3E16" w:rsidRPr="00685D02" w:rsidRDefault="00787D24" w:rsidP="005E05CB">
      <w:pPr>
        <w:pStyle w:val="CMR-text"/>
        <w:rPr>
          <w:rFonts w:cs="Times New Roman"/>
          <w:noProof/>
        </w:rPr>
      </w:pPr>
      <w:r>
        <w:rPr>
          <w:noProof/>
        </w:rPr>
        <w:t>Un elenco specifico individua i settori considerati a rischio di rilocalizzazione delle emissioni di carbonio che sono ammissibili all</w:t>
      </w:r>
      <w:r w:rsidR="00F06D2E">
        <w:rPr>
          <w:noProof/>
        </w:rPr>
        <w:t>'</w:t>
      </w:r>
      <w:r>
        <w:rPr>
          <w:noProof/>
        </w:rPr>
        <w:t>assegnazione gratuita al 100 % dei livelli dei parametri di riferimento pertinenti. L</w:t>
      </w:r>
      <w:r w:rsidR="00F06D2E">
        <w:rPr>
          <w:noProof/>
        </w:rPr>
        <w:t>'</w:t>
      </w:r>
      <w:r>
        <w:rPr>
          <w:noProof/>
        </w:rPr>
        <w:t>elenco individua 63 settori e sottosettori, responsabili della maggior parte delle emissioni industriali nell</w:t>
      </w:r>
      <w:r w:rsidR="00F06D2E">
        <w:rPr>
          <w:noProof/>
        </w:rPr>
        <w:t>'</w:t>
      </w:r>
      <w:r>
        <w:rPr>
          <w:noProof/>
        </w:rPr>
        <w:t>EU ETS. Per i settori meno esposti l</w:t>
      </w:r>
      <w:r w:rsidR="00F06D2E">
        <w:rPr>
          <w:noProof/>
        </w:rPr>
        <w:t>'</w:t>
      </w:r>
      <w:r>
        <w:rPr>
          <w:noProof/>
        </w:rPr>
        <w:t>assegnazione gratuita corrisponde a un massimo del 30 % del valore dei parametri di riferimento.</w:t>
      </w:r>
    </w:p>
    <w:p w14:paraId="0DD754BD" w14:textId="66545278" w:rsidR="006D09F2" w:rsidRPr="00685D02" w:rsidRDefault="006D09F2" w:rsidP="005E05CB">
      <w:pPr>
        <w:pStyle w:val="CMR-text"/>
        <w:rPr>
          <w:rFonts w:cs="Times New Roman"/>
          <w:noProof/>
        </w:rPr>
      </w:pPr>
      <w:r>
        <w:rPr>
          <w:noProof/>
        </w:rPr>
        <w:t>L</w:t>
      </w:r>
      <w:r w:rsidR="00F06D2E">
        <w:rPr>
          <w:noProof/>
        </w:rPr>
        <w:t>'</w:t>
      </w:r>
      <w:r>
        <w:rPr>
          <w:noProof/>
        </w:rPr>
        <w:t>assegnazione a titolo gratuito si basa su parametri di riferimento relativi alle prestazioni, che tengono conto dell</w:t>
      </w:r>
      <w:r w:rsidR="00F06D2E">
        <w:rPr>
          <w:noProof/>
        </w:rPr>
        <w:t>'</w:t>
      </w:r>
      <w:r>
        <w:rPr>
          <w:noProof/>
        </w:rPr>
        <w:t>intensità media delle emissioni per unità di prodotto del 10 % degli impianti più efficienti di ciascun settore. Poiché le quote devono essere restituite per tutte le emissioni, per le emissioni in eccesso rispetto ai valori di tali parametri di riferimento è necessario acquistare quote sul mercato. Tali parametri sono ridotti in modo incrementale per spingere sempre più il settore verso la decarbonizzazione e incentivare l</w:t>
      </w:r>
      <w:r w:rsidR="00F06D2E">
        <w:rPr>
          <w:noProof/>
        </w:rPr>
        <w:t>'</w:t>
      </w:r>
      <w:r>
        <w:rPr>
          <w:noProof/>
        </w:rPr>
        <w:t xml:space="preserve">innovazione. </w:t>
      </w:r>
    </w:p>
    <w:p w14:paraId="34444376" w14:textId="6EC911AB" w:rsidR="4ACDE71C" w:rsidRPr="00685D02" w:rsidRDefault="31ABD125" w:rsidP="005E05CB">
      <w:pPr>
        <w:pStyle w:val="CMR-text"/>
        <w:rPr>
          <w:rFonts w:cs="Times New Roman"/>
          <w:noProof/>
        </w:rPr>
      </w:pPr>
      <w:r>
        <w:rPr>
          <w:noProof/>
        </w:rPr>
        <w:t>Nel 2021 la Commissione ha aggiornato i valori dei parametri di riferimento per il periodo di assegnazione 2021-2025</w:t>
      </w:r>
      <w:r>
        <w:rPr>
          <w:rStyle w:val="FootnoteReference"/>
          <w:rFonts w:cs="Times New Roman"/>
          <w:noProof/>
          <w:lang w:val="en-IE"/>
        </w:rPr>
        <w:footnoteReference w:id="26"/>
      </w:r>
      <w:r>
        <w:rPr>
          <w:noProof/>
        </w:rPr>
        <w:t>, e ripeterà l</w:t>
      </w:r>
      <w:r w:rsidR="00F06D2E">
        <w:rPr>
          <w:noProof/>
        </w:rPr>
        <w:t>'</w:t>
      </w:r>
      <w:r>
        <w:rPr>
          <w:noProof/>
        </w:rPr>
        <w:t>esercizio per il periodo di assegnazione 2026-2030 (al momento della stesura del presente documento tale processo è in corso). In base alla direttiva ETS riveduta, i tassi di riduzione annuale di riferimento sono stati aumentati per stimolare ulteriormente la trasformazione industriale: il tasso minimo aumenterà dallo 0,2 % allo 0,3 % annuo e il tasso massimo dall</w:t>
      </w:r>
      <w:r w:rsidR="00F06D2E">
        <w:rPr>
          <w:noProof/>
        </w:rPr>
        <w:t>'</w:t>
      </w:r>
      <w:r>
        <w:rPr>
          <w:noProof/>
        </w:rPr>
        <w:t xml:space="preserve">1,6 % al 2,5 % annuo a partire dal 2026. Il tasso di riduzione annuale applicabile sarà determinato in modo specifico per ciascun parametro di riferimento. </w:t>
      </w:r>
    </w:p>
    <w:p w14:paraId="316E6C73" w14:textId="7207DA9C" w:rsidR="4ACDE71C" w:rsidRPr="00685D02" w:rsidRDefault="024CF539" w:rsidP="0060292C">
      <w:pPr>
        <w:pStyle w:val="CMR-text"/>
        <w:rPr>
          <w:rFonts w:cs="Times New Roman"/>
          <w:noProof/>
        </w:rPr>
      </w:pPr>
      <w:r>
        <w:rPr>
          <w:noProof/>
        </w:rPr>
        <w:t>Dal 2021 i volumi delle assegnazioni gratuite sono adeguati in caso di variazioni significative dei volumi di produzione industriale, sulla base di un confronto tra i volumi iniziali e la media dei due anni precedenti</w:t>
      </w:r>
      <w:r>
        <w:rPr>
          <w:rFonts w:cs="Times New Roman"/>
          <w:noProof/>
          <w:vertAlign w:val="superscript"/>
          <w:lang w:val="en-IE"/>
        </w:rPr>
        <w:footnoteReference w:id="27"/>
      </w:r>
      <w:r>
        <w:rPr>
          <w:noProof/>
        </w:rPr>
        <w:t>. La soglia per gli adeguamenti è fissata a una variazione del 15 % relativamente ad aumenti o diminuzioni della produzione e i successivi adeguamenti possono essere effettuati tra intervalli ridotti pari al 5 %. I gestori sono tenuti a presentare alle autorità nazionali competenti relazioni annuali sui dati di produzione, sulla cui base possono essere adeguati i volumi di quote assegnate a titolo gratuito. Questo maggior rigore ha comportato un aumento del numero di adeguamenti annuali dell</w:t>
      </w:r>
      <w:r w:rsidR="00F06D2E">
        <w:rPr>
          <w:noProof/>
        </w:rPr>
        <w:t>'</w:t>
      </w:r>
      <w:r>
        <w:rPr>
          <w:noProof/>
        </w:rPr>
        <w:t>assegnazione gratuita. Il numero medio di domande presentate ogni anno nel periodo 2021-2024 è stato superiore a 3 900, quasi il triplo della media annuale fino al 2020. Di anno in anno si registra un aumento di tale numero, dato che per le successive variazioni dell</w:t>
      </w:r>
      <w:r w:rsidR="00F06D2E">
        <w:rPr>
          <w:noProof/>
        </w:rPr>
        <w:t>'</w:t>
      </w:r>
      <w:r>
        <w:rPr>
          <w:noProof/>
        </w:rPr>
        <w:t>assegnazione gratuita si applicano gli intervalli ridotti del 5 %.</w:t>
      </w:r>
    </w:p>
    <w:p w14:paraId="3E4B9C0F" w14:textId="22C45261" w:rsidR="4ACDE71C" w:rsidRPr="00685D02" w:rsidRDefault="31ABD125" w:rsidP="50C721A3">
      <w:pPr>
        <w:pStyle w:val="CMR-text"/>
        <w:rPr>
          <w:rFonts w:cs="Times New Roman"/>
          <w:noProof/>
        </w:rPr>
      </w:pPr>
      <w:r>
        <w:rPr>
          <w:noProof/>
        </w:rPr>
        <w:t>Inizialmente l</w:t>
      </w:r>
      <w:r w:rsidR="00F06D2E">
        <w:rPr>
          <w:noProof/>
        </w:rPr>
        <w:t>'</w:t>
      </w:r>
      <w:r>
        <w:rPr>
          <w:noProof/>
        </w:rPr>
        <w:t>assegnazione gratuita totale per il periodo 2021-2025 era stata fissata a 2 791 milioni di quote di emissioni per 7 430 impianti; ipotizzando un prezzo del carbonio di 70 EUR/t CO</w:t>
      </w:r>
      <w:r>
        <w:rPr>
          <w:noProof/>
          <w:vertAlign w:val="subscript"/>
        </w:rPr>
        <w:t>2</w:t>
      </w:r>
      <w:r>
        <w:rPr>
          <w:noProof/>
        </w:rPr>
        <w:t>, il valore dell</w:t>
      </w:r>
      <w:r w:rsidR="00F06D2E">
        <w:rPr>
          <w:noProof/>
        </w:rPr>
        <w:t>'</w:t>
      </w:r>
      <w:r>
        <w:rPr>
          <w:noProof/>
        </w:rPr>
        <w:t>assegnazione ammonterebbe a circa 39 miliardi di EUR l</w:t>
      </w:r>
      <w:r w:rsidR="00F06D2E">
        <w:rPr>
          <w:noProof/>
        </w:rPr>
        <w:t>'</w:t>
      </w:r>
      <w:r>
        <w:rPr>
          <w:noProof/>
        </w:rPr>
        <w:t>anno. Nella prima metà del 2025 la Commissione aveva adottato 16 decisioni per adeguare i volumi delle assegnazioni gratuite, determinando una riduzione netta di 173,7 milioni di quote</w:t>
      </w:r>
      <w:r>
        <w:rPr>
          <w:rFonts w:cs="Times New Roman"/>
          <w:noProof/>
          <w:vertAlign w:val="superscript"/>
        </w:rPr>
        <w:footnoteReference w:id="28"/>
      </w:r>
      <w:r>
        <w:rPr>
          <w:noProof/>
        </w:rPr>
        <w:t xml:space="preserve"> per via di variazioni nei volumi della produzione industriale. Nel contempo la Commissione ha però adottato anche sette decisioni che rettificano il livello iniziale dell</w:t>
      </w:r>
      <w:r w:rsidR="00F06D2E">
        <w:rPr>
          <w:noProof/>
        </w:rPr>
        <w:t>'</w:t>
      </w:r>
      <w:r>
        <w:rPr>
          <w:noProof/>
        </w:rPr>
        <w:t>assegnazione gratuita con l</w:t>
      </w:r>
      <w:r w:rsidR="00F06D2E">
        <w:rPr>
          <w:noProof/>
        </w:rPr>
        <w:t>'</w:t>
      </w:r>
      <w:r>
        <w:rPr>
          <w:noProof/>
        </w:rPr>
        <w:t>aggiunta di 2,3 milioni di quote di emissioni</w:t>
      </w:r>
      <w:r>
        <w:rPr>
          <w:rFonts w:cs="Times New Roman"/>
          <w:noProof/>
          <w:vertAlign w:val="superscript"/>
        </w:rPr>
        <w:footnoteReference w:id="29"/>
      </w:r>
      <w:r>
        <w:rPr>
          <w:noProof/>
        </w:rPr>
        <w:t xml:space="preserve"> resa necessaria da errori riscontrati nei dati presentati dagli impianti all</w:t>
      </w:r>
      <w:r w:rsidR="00F06D2E">
        <w:rPr>
          <w:noProof/>
        </w:rPr>
        <w:t>'</w:t>
      </w:r>
      <w:r>
        <w:rPr>
          <w:noProof/>
        </w:rPr>
        <w:t>atto di presentare la domanda di assegnazione gratuita. Nel complesso l</w:t>
      </w:r>
      <w:r w:rsidR="00F06D2E">
        <w:rPr>
          <w:noProof/>
        </w:rPr>
        <w:t>'</w:t>
      </w:r>
      <w:r>
        <w:rPr>
          <w:noProof/>
        </w:rPr>
        <w:t>assegnazione gratuita per il periodo 2021-2025 è stata ridotta di 171,5 milioni di quote rispetto al totale iniziale.</w:t>
      </w:r>
    </w:p>
    <w:p w14:paraId="1B668B13" w14:textId="1D833423" w:rsidR="4ACDE71C" w:rsidRPr="00685D02" w:rsidRDefault="4ACDE71C" w:rsidP="0060292C">
      <w:pPr>
        <w:pStyle w:val="CMR-text"/>
        <w:rPr>
          <w:rFonts w:cs="Times New Roman"/>
          <w:noProof/>
        </w:rPr>
      </w:pPr>
      <w:r>
        <w:rPr>
          <w:noProof/>
        </w:rPr>
        <w:t>Gli adeguamenti del livello di assegnazione gratuita sono effettuati a partire dalla riserva per i nuovi entranti (NER) e comprendono anche eventuali variazioni dell</w:t>
      </w:r>
      <w:r w:rsidR="00F06D2E">
        <w:rPr>
          <w:noProof/>
        </w:rPr>
        <w:t>'</w:t>
      </w:r>
      <w:r>
        <w:rPr>
          <w:noProof/>
        </w:rPr>
        <w:t>assegnazione dovute all</w:t>
      </w:r>
      <w:r w:rsidR="00F06D2E">
        <w:rPr>
          <w:noProof/>
        </w:rPr>
        <w:t>'</w:t>
      </w:r>
      <w:r>
        <w:rPr>
          <w:noProof/>
        </w:rPr>
        <w:t>apertura o alla chiusura di impianti. Il volume iniziale della riserva per i nuovi entranti all</w:t>
      </w:r>
      <w:r w:rsidR="00F06D2E">
        <w:rPr>
          <w:noProof/>
        </w:rPr>
        <w:t>'</w:t>
      </w:r>
      <w:r>
        <w:rPr>
          <w:noProof/>
        </w:rPr>
        <w:t>inizio del 2021 ammontava a 331,3 milioni di quote di emissioni e includeva le quote non assegnate della fase 3 (2013-2020) e 200</w:t>
      </w:r>
      <w:r w:rsidR="0008163A">
        <w:rPr>
          <w:noProof/>
        </w:rPr>
        <w:t> </w:t>
      </w:r>
      <w:r>
        <w:rPr>
          <w:noProof/>
        </w:rPr>
        <w:t xml:space="preserve">milioni di quote provenienti dalla riserva stabilizzatrice del mercato. </w:t>
      </w:r>
    </w:p>
    <w:p w14:paraId="317957E4" w14:textId="41655584" w:rsidR="0F5F5892" w:rsidRPr="00685D02" w:rsidRDefault="0065476E" w:rsidP="0045336E">
      <w:pPr>
        <w:pStyle w:val="CMR-text"/>
        <w:rPr>
          <w:rFonts w:eastAsiaTheme="minorEastAsia" w:cs="Times New Roman"/>
          <w:i/>
          <w:noProof/>
        </w:rPr>
      </w:pPr>
      <w:r>
        <w:rPr>
          <w:noProof/>
        </w:rPr>
        <w:t>La tabella 3 riporta i livelli annuali (iniziali e adeguati) dell</w:t>
      </w:r>
      <w:r w:rsidR="00F06D2E">
        <w:rPr>
          <w:noProof/>
        </w:rPr>
        <w:t>'</w:t>
      </w:r>
      <w:r>
        <w:rPr>
          <w:noProof/>
        </w:rPr>
        <w:t>assegnazione gratuita nel periodo di assegnazione 2021-2025, indicando le riduzioni dell</w:t>
      </w:r>
      <w:r w:rsidR="00F06D2E">
        <w:rPr>
          <w:noProof/>
        </w:rPr>
        <w:t>'"</w:t>
      </w:r>
      <w:r>
        <w:rPr>
          <w:noProof/>
        </w:rPr>
        <w:t>assegnazione gratuita effettiva</w:t>
      </w:r>
      <w:r w:rsidR="00F06D2E">
        <w:rPr>
          <w:noProof/>
        </w:rPr>
        <w:t>"</w:t>
      </w:r>
      <w:r>
        <w:rPr>
          <w:noProof/>
        </w:rPr>
        <w:t xml:space="preserve"> per gli anni 2024 e 2025. I motivi principali di questi volumi ridotti sono da ricercarsi negli effetti negativi della pandemia e della crisi energetica sui livelli di produzione in taluni settori, soprattutto nel 2022 e nel 2023. Poiché gli adeguamenti dell</w:t>
      </w:r>
      <w:r w:rsidR="00F06D2E">
        <w:rPr>
          <w:noProof/>
        </w:rPr>
        <w:t>'</w:t>
      </w:r>
      <w:r>
        <w:rPr>
          <w:noProof/>
        </w:rPr>
        <w:t>assegnazione gratuita si basano su un confronto che tiene conto dei livelli di produzione medi su un arco di due anni, gli effetti di una protratta diminuzione della produzione sono pienamente visibili dopo due anni.</w:t>
      </w:r>
    </w:p>
    <w:p w14:paraId="22B44197" w14:textId="766F596A" w:rsidR="00D82168" w:rsidRPr="007B73CC" w:rsidRDefault="00D82168" w:rsidP="0045336E">
      <w:pPr>
        <w:pStyle w:val="Caption"/>
        <w:keepNext/>
        <w:rPr>
          <w:noProof/>
          <w:sz w:val="20"/>
        </w:rPr>
      </w:pPr>
      <w:bookmarkStart w:id="29" w:name="_Ref176771527"/>
      <w:r>
        <w:rPr>
          <w:noProof/>
          <w:sz w:val="20"/>
        </w:rPr>
        <w:t xml:space="preserve">Tabella </w:t>
      </w:r>
      <w:bookmarkEnd w:id="29"/>
      <w:r>
        <w:rPr>
          <w:noProof/>
          <w:sz w:val="20"/>
        </w:rPr>
        <w:t>3. Assegnazione gratuita nell</w:t>
      </w:r>
      <w:r w:rsidR="00F06D2E">
        <w:rPr>
          <w:noProof/>
          <w:sz w:val="20"/>
        </w:rPr>
        <w:t>'</w:t>
      </w:r>
      <w:r>
        <w:rPr>
          <w:noProof/>
          <w:sz w:val="20"/>
        </w:rPr>
        <w:t>EU ETS (2021-2025) [milioni di quote]. Dati estratti dal registro dell</w:t>
      </w:r>
      <w:r w:rsidR="00F06D2E">
        <w:rPr>
          <w:noProof/>
          <w:sz w:val="20"/>
        </w:rPr>
        <w:t>'</w:t>
      </w:r>
      <w:r>
        <w:rPr>
          <w:noProof/>
          <w:sz w:val="20"/>
        </w:rPr>
        <w:t xml:space="preserve">Unione il 30 giugno 2025 </w:t>
      </w:r>
    </w:p>
    <w:tbl>
      <w:tblPr>
        <w:tblStyle w:val="TableGridLight"/>
        <w:tblW w:w="901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2263"/>
        <w:gridCol w:w="1125"/>
        <w:gridCol w:w="1125"/>
        <w:gridCol w:w="1125"/>
        <w:gridCol w:w="1125"/>
        <w:gridCol w:w="1125"/>
        <w:gridCol w:w="1125"/>
      </w:tblGrid>
      <w:tr w:rsidR="2FB941BE" w:rsidRPr="007B73CC" w14:paraId="1AEE99C6" w14:textId="77777777" w:rsidTr="00380C53">
        <w:trPr>
          <w:cantSplit/>
          <w:trHeight w:val="390"/>
        </w:trPr>
        <w:tc>
          <w:tcPr>
            <w:tcW w:w="2263" w:type="dxa"/>
            <w:vAlign w:val="center"/>
          </w:tcPr>
          <w:p w14:paraId="21370450" w14:textId="3BF16ECE" w:rsidR="2FB941BE" w:rsidRPr="007B73CC" w:rsidRDefault="2FB941BE" w:rsidP="00D54832">
            <w:pPr>
              <w:pStyle w:val="CMR-tables"/>
              <w:keepNext/>
              <w:rPr>
                <w:rFonts w:cs="Times New Roman"/>
                <w:b/>
                <w:noProof/>
                <w:szCs w:val="20"/>
              </w:rPr>
            </w:pPr>
            <w:r>
              <w:rPr>
                <w:b/>
                <w:noProof/>
              </w:rPr>
              <w:t xml:space="preserve">Anno </w:t>
            </w:r>
          </w:p>
        </w:tc>
        <w:tc>
          <w:tcPr>
            <w:tcW w:w="1125" w:type="dxa"/>
            <w:vAlign w:val="center"/>
          </w:tcPr>
          <w:p w14:paraId="7FEEB1D3" w14:textId="16C6B59D" w:rsidR="2FB941BE" w:rsidRPr="007B73CC" w:rsidRDefault="2FB941BE" w:rsidP="00D54832">
            <w:pPr>
              <w:pStyle w:val="CMR-tables"/>
              <w:keepNext/>
              <w:jc w:val="center"/>
              <w:rPr>
                <w:rFonts w:cs="Times New Roman"/>
                <w:noProof/>
                <w:szCs w:val="20"/>
              </w:rPr>
            </w:pPr>
            <w:r>
              <w:rPr>
                <w:noProof/>
              </w:rPr>
              <w:t>2021</w:t>
            </w:r>
          </w:p>
        </w:tc>
        <w:tc>
          <w:tcPr>
            <w:tcW w:w="1125" w:type="dxa"/>
            <w:vAlign w:val="center"/>
          </w:tcPr>
          <w:p w14:paraId="58BBB876" w14:textId="6031FC1C" w:rsidR="2FB941BE" w:rsidRPr="007B73CC" w:rsidRDefault="2FB941BE" w:rsidP="00D54832">
            <w:pPr>
              <w:pStyle w:val="CMR-tables"/>
              <w:keepNext/>
              <w:jc w:val="center"/>
              <w:rPr>
                <w:rFonts w:cs="Times New Roman"/>
                <w:noProof/>
                <w:szCs w:val="20"/>
              </w:rPr>
            </w:pPr>
            <w:r>
              <w:rPr>
                <w:noProof/>
              </w:rPr>
              <w:t>2022</w:t>
            </w:r>
          </w:p>
        </w:tc>
        <w:tc>
          <w:tcPr>
            <w:tcW w:w="1125" w:type="dxa"/>
            <w:vAlign w:val="center"/>
          </w:tcPr>
          <w:p w14:paraId="4B59FE51" w14:textId="78A1A139" w:rsidR="2FB941BE" w:rsidRPr="007B73CC" w:rsidRDefault="2FB941BE" w:rsidP="00D54832">
            <w:pPr>
              <w:pStyle w:val="CMR-tables"/>
              <w:keepNext/>
              <w:jc w:val="center"/>
              <w:rPr>
                <w:rFonts w:cs="Times New Roman"/>
                <w:noProof/>
                <w:szCs w:val="20"/>
              </w:rPr>
            </w:pPr>
            <w:r>
              <w:rPr>
                <w:noProof/>
              </w:rPr>
              <w:t>2023</w:t>
            </w:r>
          </w:p>
        </w:tc>
        <w:tc>
          <w:tcPr>
            <w:tcW w:w="1125" w:type="dxa"/>
            <w:vAlign w:val="center"/>
          </w:tcPr>
          <w:p w14:paraId="1824AC6A" w14:textId="6BB30CDA" w:rsidR="2FB941BE" w:rsidRPr="007B73CC" w:rsidRDefault="2FB941BE" w:rsidP="00D54832">
            <w:pPr>
              <w:pStyle w:val="CMR-tables"/>
              <w:keepNext/>
              <w:jc w:val="center"/>
              <w:rPr>
                <w:rFonts w:cs="Times New Roman"/>
                <w:noProof/>
                <w:szCs w:val="20"/>
              </w:rPr>
            </w:pPr>
            <w:r>
              <w:rPr>
                <w:noProof/>
              </w:rPr>
              <w:t>2024</w:t>
            </w:r>
          </w:p>
        </w:tc>
        <w:tc>
          <w:tcPr>
            <w:tcW w:w="1125" w:type="dxa"/>
            <w:vAlign w:val="center"/>
          </w:tcPr>
          <w:p w14:paraId="3DAC66B8" w14:textId="4F00FEDB" w:rsidR="2FB941BE" w:rsidRPr="007B73CC" w:rsidRDefault="2FB941BE" w:rsidP="00D54832">
            <w:pPr>
              <w:pStyle w:val="CMR-tables"/>
              <w:keepNext/>
              <w:jc w:val="center"/>
              <w:rPr>
                <w:rFonts w:cs="Times New Roman"/>
                <w:noProof/>
                <w:szCs w:val="20"/>
              </w:rPr>
            </w:pPr>
            <w:r>
              <w:rPr>
                <w:noProof/>
              </w:rPr>
              <w:t>2025</w:t>
            </w:r>
          </w:p>
        </w:tc>
        <w:tc>
          <w:tcPr>
            <w:tcW w:w="1125" w:type="dxa"/>
            <w:vAlign w:val="center"/>
          </w:tcPr>
          <w:p w14:paraId="1BC681F4" w14:textId="743DF48B" w:rsidR="2FB941BE" w:rsidRPr="0024224B" w:rsidRDefault="2FB941BE" w:rsidP="00D54832">
            <w:pPr>
              <w:pStyle w:val="CMR-tables"/>
              <w:keepNext/>
              <w:jc w:val="center"/>
              <w:rPr>
                <w:rFonts w:cs="Times New Roman"/>
                <w:b/>
                <w:noProof/>
                <w:szCs w:val="20"/>
              </w:rPr>
            </w:pPr>
            <w:r>
              <w:rPr>
                <w:b/>
                <w:noProof/>
              </w:rPr>
              <w:t>Totale</w:t>
            </w:r>
          </w:p>
        </w:tc>
      </w:tr>
      <w:tr w:rsidR="2FB941BE" w:rsidRPr="007B73CC" w14:paraId="394F4B7D" w14:textId="77777777" w:rsidTr="00380C53">
        <w:trPr>
          <w:cantSplit/>
          <w:trHeight w:val="1092"/>
        </w:trPr>
        <w:tc>
          <w:tcPr>
            <w:tcW w:w="2263" w:type="dxa"/>
            <w:shd w:val="clear" w:color="auto" w:fill="D9E2F3" w:themeFill="accent1" w:themeFillTint="33"/>
            <w:vAlign w:val="center"/>
          </w:tcPr>
          <w:p w14:paraId="283BE1A8" w14:textId="3EE743A2" w:rsidR="2FB941BE" w:rsidRPr="007B73CC" w:rsidRDefault="2FB941BE" w:rsidP="00D54832">
            <w:pPr>
              <w:pStyle w:val="CMR-tables"/>
              <w:keepNext/>
              <w:rPr>
                <w:rFonts w:cs="Times New Roman"/>
                <w:b/>
                <w:noProof/>
                <w:szCs w:val="20"/>
              </w:rPr>
            </w:pPr>
            <w:r>
              <w:rPr>
                <w:b/>
                <w:noProof/>
              </w:rPr>
              <w:t xml:space="preserve">Assegnazione gratuita iniziale (UE-27 + Islanda, Liechtenstein e Norvegia) </w:t>
            </w:r>
          </w:p>
        </w:tc>
        <w:tc>
          <w:tcPr>
            <w:tcW w:w="1125" w:type="dxa"/>
            <w:shd w:val="clear" w:color="auto" w:fill="D9E2F3" w:themeFill="accent1" w:themeFillTint="33"/>
            <w:vAlign w:val="center"/>
          </w:tcPr>
          <w:p w14:paraId="31E194ED" w14:textId="2E0C9683" w:rsidR="2FB941BE" w:rsidRPr="007B73CC" w:rsidRDefault="2FB941BE" w:rsidP="00E64668">
            <w:pPr>
              <w:pStyle w:val="CMR-tables"/>
              <w:keepNext/>
              <w:jc w:val="center"/>
              <w:rPr>
                <w:rFonts w:cs="Times New Roman"/>
                <w:noProof/>
                <w:szCs w:val="20"/>
              </w:rPr>
            </w:pPr>
            <w:r>
              <w:rPr>
                <w:noProof/>
              </w:rPr>
              <w:t>559,6</w:t>
            </w:r>
          </w:p>
        </w:tc>
        <w:tc>
          <w:tcPr>
            <w:tcW w:w="1125" w:type="dxa"/>
            <w:shd w:val="clear" w:color="auto" w:fill="D9E2F3" w:themeFill="accent1" w:themeFillTint="33"/>
            <w:vAlign w:val="center"/>
          </w:tcPr>
          <w:p w14:paraId="49DF93B8" w14:textId="33F6E367" w:rsidR="2FB941BE" w:rsidRPr="007B73CC" w:rsidRDefault="2FB941BE" w:rsidP="00E64668">
            <w:pPr>
              <w:pStyle w:val="CMR-tables"/>
              <w:keepNext/>
              <w:jc w:val="center"/>
              <w:rPr>
                <w:rFonts w:cs="Times New Roman"/>
                <w:noProof/>
                <w:szCs w:val="20"/>
              </w:rPr>
            </w:pPr>
            <w:r>
              <w:rPr>
                <w:noProof/>
              </w:rPr>
              <w:t>558,9</w:t>
            </w:r>
          </w:p>
        </w:tc>
        <w:tc>
          <w:tcPr>
            <w:tcW w:w="1125" w:type="dxa"/>
            <w:shd w:val="clear" w:color="auto" w:fill="D9E2F3" w:themeFill="accent1" w:themeFillTint="33"/>
            <w:vAlign w:val="center"/>
          </w:tcPr>
          <w:p w14:paraId="42317239" w14:textId="217EA8A8" w:rsidR="2FB941BE" w:rsidRPr="007B73CC" w:rsidRDefault="2FB941BE" w:rsidP="00E64668">
            <w:pPr>
              <w:pStyle w:val="CMR-tables"/>
              <w:keepNext/>
              <w:jc w:val="center"/>
              <w:rPr>
                <w:rFonts w:cs="Times New Roman"/>
                <w:noProof/>
                <w:szCs w:val="20"/>
              </w:rPr>
            </w:pPr>
            <w:r>
              <w:rPr>
                <w:noProof/>
              </w:rPr>
              <w:t>558,2</w:t>
            </w:r>
          </w:p>
        </w:tc>
        <w:tc>
          <w:tcPr>
            <w:tcW w:w="1125" w:type="dxa"/>
            <w:shd w:val="clear" w:color="auto" w:fill="D9E2F3" w:themeFill="accent1" w:themeFillTint="33"/>
            <w:vAlign w:val="center"/>
          </w:tcPr>
          <w:p w14:paraId="1AE059AA" w14:textId="1318FE64" w:rsidR="2FB941BE" w:rsidRPr="007B73CC" w:rsidRDefault="2FB941BE" w:rsidP="00E64668">
            <w:pPr>
              <w:pStyle w:val="CMR-tables"/>
              <w:keepNext/>
              <w:jc w:val="center"/>
              <w:rPr>
                <w:rFonts w:cs="Times New Roman"/>
                <w:noProof/>
                <w:szCs w:val="20"/>
              </w:rPr>
            </w:pPr>
            <w:r>
              <w:rPr>
                <w:noProof/>
              </w:rPr>
              <w:t>557,5</w:t>
            </w:r>
          </w:p>
        </w:tc>
        <w:tc>
          <w:tcPr>
            <w:tcW w:w="1125" w:type="dxa"/>
            <w:shd w:val="clear" w:color="auto" w:fill="D9E2F3" w:themeFill="accent1" w:themeFillTint="33"/>
            <w:vAlign w:val="center"/>
          </w:tcPr>
          <w:p w14:paraId="0A4B8CF1" w14:textId="40E3EF23" w:rsidR="2FB941BE" w:rsidRPr="007B73CC" w:rsidRDefault="2FB941BE" w:rsidP="00E64668">
            <w:pPr>
              <w:pStyle w:val="CMR-tables"/>
              <w:keepNext/>
              <w:jc w:val="center"/>
              <w:rPr>
                <w:rFonts w:cs="Times New Roman"/>
                <w:noProof/>
                <w:szCs w:val="20"/>
              </w:rPr>
            </w:pPr>
            <w:r>
              <w:rPr>
                <w:noProof/>
              </w:rPr>
              <w:t>556,8</w:t>
            </w:r>
          </w:p>
        </w:tc>
        <w:tc>
          <w:tcPr>
            <w:tcW w:w="1125" w:type="dxa"/>
            <w:shd w:val="clear" w:color="auto" w:fill="D9E2F3" w:themeFill="accent1" w:themeFillTint="33"/>
            <w:vAlign w:val="center"/>
          </w:tcPr>
          <w:p w14:paraId="74E4F36A" w14:textId="3E9AA303" w:rsidR="2FB941BE" w:rsidRPr="0024224B" w:rsidRDefault="2FB941BE" w:rsidP="00E64668">
            <w:pPr>
              <w:pStyle w:val="CMR-tables"/>
              <w:keepNext/>
              <w:jc w:val="center"/>
              <w:rPr>
                <w:rFonts w:cs="Times New Roman"/>
                <w:b/>
                <w:noProof/>
                <w:szCs w:val="20"/>
              </w:rPr>
            </w:pPr>
            <w:r>
              <w:rPr>
                <w:b/>
                <w:noProof/>
              </w:rPr>
              <w:t>2 791,1</w:t>
            </w:r>
          </w:p>
        </w:tc>
      </w:tr>
      <w:tr w:rsidR="2FB941BE" w:rsidRPr="007B73CC" w14:paraId="233C0001" w14:textId="77777777" w:rsidTr="00380C53">
        <w:trPr>
          <w:cantSplit/>
          <w:trHeight w:val="802"/>
        </w:trPr>
        <w:tc>
          <w:tcPr>
            <w:tcW w:w="2263" w:type="dxa"/>
            <w:vAlign w:val="center"/>
          </w:tcPr>
          <w:p w14:paraId="3C53EE53" w14:textId="2B9DD101" w:rsidR="2FB941BE" w:rsidRPr="007B73CC" w:rsidRDefault="2FB941BE" w:rsidP="00D54832">
            <w:pPr>
              <w:pStyle w:val="CMR-tables"/>
              <w:keepNext/>
              <w:rPr>
                <w:rFonts w:cs="Times New Roman"/>
                <w:b/>
                <w:noProof/>
                <w:szCs w:val="20"/>
              </w:rPr>
            </w:pPr>
            <w:r>
              <w:rPr>
                <w:b/>
                <w:noProof/>
              </w:rPr>
              <w:t xml:space="preserve">Assegnazione gratuita effettiva </w:t>
            </w:r>
          </w:p>
        </w:tc>
        <w:tc>
          <w:tcPr>
            <w:tcW w:w="1125" w:type="dxa"/>
            <w:vAlign w:val="center"/>
          </w:tcPr>
          <w:p w14:paraId="6498E815" w14:textId="74500CB6" w:rsidR="2FB941BE" w:rsidRPr="007B73CC" w:rsidRDefault="2FB941BE" w:rsidP="00E64668">
            <w:pPr>
              <w:pStyle w:val="CMR-tables"/>
              <w:keepNext/>
              <w:jc w:val="center"/>
              <w:rPr>
                <w:rFonts w:cs="Times New Roman"/>
                <w:noProof/>
                <w:szCs w:val="20"/>
              </w:rPr>
            </w:pPr>
            <w:r>
              <w:rPr>
                <w:noProof/>
              </w:rPr>
              <w:t>545,7</w:t>
            </w:r>
          </w:p>
        </w:tc>
        <w:tc>
          <w:tcPr>
            <w:tcW w:w="1125" w:type="dxa"/>
            <w:vAlign w:val="center"/>
          </w:tcPr>
          <w:p w14:paraId="2D43B582" w14:textId="3E04A77D" w:rsidR="2FB941BE" w:rsidRPr="007B73CC" w:rsidRDefault="2FB941BE" w:rsidP="00E64668">
            <w:pPr>
              <w:pStyle w:val="CMR-tables"/>
              <w:keepNext/>
              <w:jc w:val="center"/>
              <w:rPr>
                <w:rFonts w:cs="Times New Roman"/>
                <w:noProof/>
                <w:szCs w:val="20"/>
              </w:rPr>
            </w:pPr>
            <w:r>
              <w:rPr>
                <w:noProof/>
              </w:rPr>
              <w:t>542,4</w:t>
            </w:r>
          </w:p>
        </w:tc>
        <w:tc>
          <w:tcPr>
            <w:tcW w:w="1125" w:type="dxa"/>
            <w:vAlign w:val="center"/>
          </w:tcPr>
          <w:p w14:paraId="647DF859" w14:textId="539A4C89" w:rsidR="2FB941BE" w:rsidRPr="007B73CC" w:rsidRDefault="2FB941BE" w:rsidP="00E64668">
            <w:pPr>
              <w:pStyle w:val="CMR-tables"/>
              <w:keepNext/>
              <w:jc w:val="center"/>
              <w:rPr>
                <w:rFonts w:cs="Times New Roman"/>
                <w:noProof/>
                <w:szCs w:val="20"/>
              </w:rPr>
            </w:pPr>
            <w:r>
              <w:rPr>
                <w:noProof/>
              </w:rPr>
              <w:t>537,0</w:t>
            </w:r>
          </w:p>
        </w:tc>
        <w:tc>
          <w:tcPr>
            <w:tcW w:w="1125" w:type="dxa"/>
            <w:vAlign w:val="center"/>
          </w:tcPr>
          <w:p w14:paraId="4361D595" w14:textId="617713B6" w:rsidR="2FB941BE" w:rsidRPr="007B73CC" w:rsidRDefault="00251609" w:rsidP="00E64668">
            <w:pPr>
              <w:pStyle w:val="CMR-tables"/>
              <w:keepNext/>
              <w:jc w:val="center"/>
              <w:rPr>
                <w:rFonts w:cs="Times New Roman"/>
                <w:noProof/>
                <w:szCs w:val="20"/>
              </w:rPr>
            </w:pPr>
            <w:r>
              <w:rPr>
                <w:noProof/>
              </w:rPr>
              <w:t>499,7</w:t>
            </w:r>
          </w:p>
        </w:tc>
        <w:tc>
          <w:tcPr>
            <w:tcW w:w="1125" w:type="dxa"/>
            <w:vAlign w:val="center"/>
          </w:tcPr>
          <w:p w14:paraId="700B1DCC" w14:textId="303C1532" w:rsidR="2FB941BE" w:rsidRPr="007B73CC" w:rsidRDefault="009B197F" w:rsidP="00E64668">
            <w:pPr>
              <w:pStyle w:val="CMR-tables"/>
              <w:keepNext/>
              <w:jc w:val="center"/>
              <w:rPr>
                <w:rFonts w:cs="Times New Roman"/>
                <w:noProof/>
                <w:szCs w:val="20"/>
              </w:rPr>
            </w:pPr>
            <w:r>
              <w:rPr>
                <w:noProof/>
              </w:rPr>
              <w:t>494,8</w:t>
            </w:r>
          </w:p>
        </w:tc>
        <w:tc>
          <w:tcPr>
            <w:tcW w:w="1125" w:type="dxa"/>
            <w:vAlign w:val="center"/>
          </w:tcPr>
          <w:p w14:paraId="72669C27" w14:textId="0C05DE1B" w:rsidR="2FB941BE" w:rsidRPr="0024224B" w:rsidRDefault="2FB941BE" w:rsidP="00E64668">
            <w:pPr>
              <w:pStyle w:val="CMR-tables"/>
              <w:keepNext/>
              <w:jc w:val="center"/>
              <w:rPr>
                <w:rFonts w:cs="Times New Roman"/>
                <w:b/>
                <w:noProof/>
                <w:szCs w:val="20"/>
              </w:rPr>
            </w:pPr>
            <w:r>
              <w:rPr>
                <w:b/>
                <w:noProof/>
              </w:rPr>
              <w:t>2 619,6</w:t>
            </w:r>
          </w:p>
        </w:tc>
      </w:tr>
      <w:tr w:rsidR="2FB941BE" w:rsidRPr="007B73CC" w14:paraId="428691B2" w14:textId="77777777" w:rsidTr="00380C53">
        <w:trPr>
          <w:cantSplit/>
          <w:trHeight w:val="802"/>
        </w:trPr>
        <w:tc>
          <w:tcPr>
            <w:tcW w:w="2263" w:type="dxa"/>
            <w:shd w:val="clear" w:color="auto" w:fill="D9E2F3" w:themeFill="accent1" w:themeFillTint="33"/>
            <w:vAlign w:val="center"/>
          </w:tcPr>
          <w:p w14:paraId="3AF6E7E7" w14:textId="2D33FF79" w:rsidR="2FB941BE" w:rsidRPr="007B73CC" w:rsidRDefault="2FB941BE" w:rsidP="00D54832">
            <w:pPr>
              <w:pStyle w:val="CMR-tables"/>
              <w:keepNext/>
              <w:rPr>
                <w:rFonts w:cs="Times New Roman"/>
                <w:b/>
                <w:noProof/>
                <w:szCs w:val="20"/>
              </w:rPr>
            </w:pPr>
            <w:r>
              <w:rPr>
                <w:b/>
                <w:noProof/>
              </w:rPr>
              <w:t xml:space="preserve">Assegnazione gratuita adeguata e rettificata </w:t>
            </w:r>
          </w:p>
        </w:tc>
        <w:tc>
          <w:tcPr>
            <w:tcW w:w="1125" w:type="dxa"/>
            <w:shd w:val="clear" w:color="auto" w:fill="D9E2F3" w:themeFill="accent1" w:themeFillTint="33"/>
            <w:vAlign w:val="center"/>
          </w:tcPr>
          <w:p w14:paraId="68B7EC0D" w14:textId="58267B76" w:rsidR="2FB941BE" w:rsidRPr="007B73CC" w:rsidRDefault="2FB941BE" w:rsidP="00E64668">
            <w:pPr>
              <w:pStyle w:val="CMR-tables"/>
              <w:keepNext/>
              <w:jc w:val="center"/>
              <w:rPr>
                <w:rFonts w:cs="Times New Roman"/>
                <w:noProof/>
                <w:szCs w:val="20"/>
              </w:rPr>
            </w:pPr>
            <w:r>
              <w:rPr>
                <w:noProof/>
              </w:rPr>
              <w:t>-13,9</w:t>
            </w:r>
          </w:p>
        </w:tc>
        <w:tc>
          <w:tcPr>
            <w:tcW w:w="1125" w:type="dxa"/>
            <w:shd w:val="clear" w:color="auto" w:fill="D9E2F3" w:themeFill="accent1" w:themeFillTint="33"/>
            <w:vAlign w:val="center"/>
          </w:tcPr>
          <w:p w14:paraId="61CAE806" w14:textId="575B4CE9" w:rsidR="2FB941BE" w:rsidRPr="007B73CC" w:rsidRDefault="2FB941BE" w:rsidP="00E64668">
            <w:pPr>
              <w:pStyle w:val="CMR-tables"/>
              <w:keepNext/>
              <w:jc w:val="center"/>
              <w:rPr>
                <w:rFonts w:cs="Times New Roman"/>
                <w:noProof/>
                <w:szCs w:val="20"/>
              </w:rPr>
            </w:pPr>
            <w:r>
              <w:rPr>
                <w:noProof/>
              </w:rPr>
              <w:t>-16,5</w:t>
            </w:r>
          </w:p>
        </w:tc>
        <w:tc>
          <w:tcPr>
            <w:tcW w:w="1125" w:type="dxa"/>
            <w:shd w:val="clear" w:color="auto" w:fill="D9E2F3" w:themeFill="accent1" w:themeFillTint="33"/>
            <w:vAlign w:val="center"/>
          </w:tcPr>
          <w:p w14:paraId="4FF4A443" w14:textId="64A267D3" w:rsidR="2FB941BE" w:rsidRPr="007B73CC" w:rsidRDefault="2FB941BE" w:rsidP="00E64668">
            <w:pPr>
              <w:pStyle w:val="CMR-tables"/>
              <w:keepNext/>
              <w:jc w:val="center"/>
              <w:rPr>
                <w:rFonts w:cs="Times New Roman"/>
                <w:noProof/>
                <w:szCs w:val="20"/>
              </w:rPr>
            </w:pPr>
            <w:r>
              <w:rPr>
                <w:noProof/>
              </w:rPr>
              <w:t>-21,2</w:t>
            </w:r>
          </w:p>
        </w:tc>
        <w:tc>
          <w:tcPr>
            <w:tcW w:w="1125" w:type="dxa"/>
            <w:shd w:val="clear" w:color="auto" w:fill="D9E2F3" w:themeFill="accent1" w:themeFillTint="33"/>
            <w:vAlign w:val="center"/>
          </w:tcPr>
          <w:p w14:paraId="54AEBB6A" w14:textId="4575FA0B" w:rsidR="2FB941BE" w:rsidRPr="007B73CC" w:rsidRDefault="2FB941BE" w:rsidP="00E64668">
            <w:pPr>
              <w:pStyle w:val="CMR-tables"/>
              <w:keepNext/>
              <w:jc w:val="center"/>
              <w:rPr>
                <w:rFonts w:cs="Times New Roman"/>
                <w:noProof/>
                <w:szCs w:val="20"/>
              </w:rPr>
            </w:pPr>
            <w:r>
              <w:rPr>
                <w:noProof/>
              </w:rPr>
              <w:t>-57,8</w:t>
            </w:r>
          </w:p>
        </w:tc>
        <w:tc>
          <w:tcPr>
            <w:tcW w:w="1125" w:type="dxa"/>
            <w:shd w:val="clear" w:color="auto" w:fill="D9E2F3" w:themeFill="accent1" w:themeFillTint="33"/>
            <w:vAlign w:val="center"/>
          </w:tcPr>
          <w:p w14:paraId="27D881A3" w14:textId="5A066384" w:rsidR="2FB941BE" w:rsidRPr="007B73CC" w:rsidRDefault="2FB941BE" w:rsidP="00E64668">
            <w:pPr>
              <w:pStyle w:val="CMR-tables"/>
              <w:keepNext/>
              <w:jc w:val="center"/>
              <w:rPr>
                <w:rFonts w:cs="Times New Roman"/>
                <w:noProof/>
                <w:szCs w:val="20"/>
              </w:rPr>
            </w:pPr>
            <w:r>
              <w:rPr>
                <w:noProof/>
              </w:rPr>
              <w:t>-62,0</w:t>
            </w:r>
          </w:p>
        </w:tc>
        <w:tc>
          <w:tcPr>
            <w:tcW w:w="1125" w:type="dxa"/>
            <w:shd w:val="clear" w:color="auto" w:fill="D9E2F3" w:themeFill="accent1" w:themeFillTint="33"/>
            <w:vAlign w:val="center"/>
          </w:tcPr>
          <w:p w14:paraId="4F89833B" w14:textId="4224B1E5" w:rsidR="2FB941BE" w:rsidRPr="0024224B" w:rsidRDefault="2FB941BE" w:rsidP="00E64668">
            <w:pPr>
              <w:pStyle w:val="CMR-tables"/>
              <w:keepNext/>
              <w:jc w:val="center"/>
              <w:rPr>
                <w:rFonts w:cs="Times New Roman"/>
                <w:b/>
                <w:noProof/>
                <w:szCs w:val="20"/>
              </w:rPr>
            </w:pPr>
            <w:r>
              <w:rPr>
                <w:b/>
                <w:noProof/>
              </w:rPr>
              <w:t>-171,5</w:t>
            </w:r>
          </w:p>
        </w:tc>
      </w:tr>
    </w:tbl>
    <w:p w14:paraId="109EBADC" w14:textId="1F4C5987" w:rsidR="00782261" w:rsidRPr="00685D02" w:rsidRDefault="009E19D1" w:rsidP="00782261">
      <w:pPr>
        <w:pStyle w:val="CMR-text"/>
        <w:rPr>
          <w:rFonts w:cs="Times New Roman"/>
          <w:noProof/>
        </w:rPr>
      </w:pPr>
      <w:r>
        <w:rPr>
          <w:noProof/>
        </w:rPr>
        <w:t>Dal 2013 l</w:t>
      </w:r>
      <w:r w:rsidR="00F06D2E">
        <w:rPr>
          <w:noProof/>
        </w:rPr>
        <w:t>'</w:t>
      </w:r>
      <w:r>
        <w:rPr>
          <w:noProof/>
        </w:rPr>
        <w:t>EU ETS si basa sul concetto di un approccio armonizzato a livello dell</w:t>
      </w:r>
      <w:r w:rsidR="00F06D2E">
        <w:rPr>
          <w:noProof/>
        </w:rPr>
        <w:t>'</w:t>
      </w:r>
      <w:r>
        <w:rPr>
          <w:noProof/>
        </w:rPr>
        <w:t>UE per un sistema transitorio di assegnazione gratuita di quote basato su parametri di riferimento. Per via di tale impostazione e dell</w:t>
      </w:r>
      <w:r w:rsidR="00F06D2E">
        <w:rPr>
          <w:noProof/>
        </w:rPr>
        <w:t>'</w:t>
      </w:r>
      <w:r>
        <w:rPr>
          <w:noProof/>
        </w:rPr>
        <w:t>uso di parametri di riferimento, è contemplata la possibilità che in talune situazioni l</w:t>
      </w:r>
      <w:r w:rsidR="00F06D2E">
        <w:rPr>
          <w:noProof/>
        </w:rPr>
        <w:t>'</w:t>
      </w:r>
      <w:r>
        <w:rPr>
          <w:noProof/>
        </w:rPr>
        <w:t>assegnazione gratuita di quote di emissione a favore di singoli impianti superi le emissioni verificate per uno o più anni. Tuttavia l</w:t>
      </w:r>
      <w:r w:rsidR="00F06D2E">
        <w:rPr>
          <w:noProof/>
        </w:rPr>
        <w:t>'</w:t>
      </w:r>
      <w:r>
        <w:rPr>
          <w:noProof/>
        </w:rPr>
        <w:t>eccedenza di pochi impianti non impedisce la diminuzione delle emissioni complessive, senza contare che la maggior parte degli impianti dovrebbe sostenere il costo del carbonio per ottenere il quantitativo di quote supplementari necessario a coprire le proprie emissioni. I</w:t>
      </w:r>
      <w:r w:rsidR="0008163A">
        <w:rPr>
          <w:noProof/>
        </w:rPr>
        <w:t> </w:t>
      </w:r>
      <w:r>
        <w:rPr>
          <w:noProof/>
        </w:rPr>
        <w:t>motivi</w:t>
      </w:r>
      <w:r w:rsidR="0008163A">
        <w:rPr>
          <w:noProof/>
        </w:rPr>
        <w:t> </w:t>
      </w:r>
      <w:r>
        <w:rPr>
          <w:noProof/>
        </w:rPr>
        <w:t>principali per cui un impianto potrebbe ricevere a titolo gratuito quote eccedentarie sono illustrati di seguito.</w:t>
      </w:r>
    </w:p>
    <w:p w14:paraId="1DAE82AD" w14:textId="63BFAD2E" w:rsidR="001E3B52" w:rsidRPr="00685D02" w:rsidRDefault="00782261" w:rsidP="00782261">
      <w:pPr>
        <w:pStyle w:val="CMR-text"/>
        <w:rPr>
          <w:rFonts w:cs="Times New Roman"/>
          <w:noProof/>
        </w:rPr>
      </w:pPr>
      <w:r>
        <w:rPr>
          <w:noProof/>
        </w:rPr>
        <w:t>I valori dei parametri di riferimento sono determinati e regolarmente aggiornati sulla base del livello medio delle prestazioni del 10 % degli impianti più efficienti (a minore intensità di emissioni) che utilizzano il parametro di riferimento in questione. Ciò significa che, nell</w:t>
      </w:r>
      <w:r w:rsidR="00F06D2E">
        <w:rPr>
          <w:noProof/>
        </w:rPr>
        <w:t>'</w:t>
      </w:r>
      <w:r>
        <w:rPr>
          <w:noProof/>
        </w:rPr>
        <w:t>ambito di ciascun parametro di riferimento, alcuni impianti con prestazioni superiori rispetto al restante 90 % riceverebbero un numero di quote sufficiente a coprire le proprie emissioni o addirittura un</w:t>
      </w:r>
      <w:r w:rsidR="00F06D2E">
        <w:rPr>
          <w:noProof/>
        </w:rPr>
        <w:t>'</w:t>
      </w:r>
      <w:r>
        <w:rPr>
          <w:noProof/>
        </w:rPr>
        <w:t>eccedenza di quote. Inoltre</w:t>
      </w:r>
      <w:r w:rsidR="0008163A">
        <w:rPr>
          <w:noProof/>
        </w:rPr>
        <w:t> </w:t>
      </w:r>
      <w:r>
        <w:rPr>
          <w:noProof/>
        </w:rPr>
        <w:t>il</w:t>
      </w:r>
      <w:r w:rsidR="0008163A">
        <w:rPr>
          <w:noProof/>
        </w:rPr>
        <w:t> </w:t>
      </w:r>
      <w:r>
        <w:rPr>
          <w:noProof/>
        </w:rPr>
        <w:t>regolamento sull</w:t>
      </w:r>
      <w:r w:rsidR="00F06D2E">
        <w:rPr>
          <w:noProof/>
        </w:rPr>
        <w:t>'</w:t>
      </w:r>
      <w:r>
        <w:rPr>
          <w:noProof/>
        </w:rPr>
        <w:t>assegnazione gratuita comprende disposizioni sull</w:t>
      </w:r>
      <w:r w:rsidR="00F06D2E">
        <w:rPr>
          <w:noProof/>
        </w:rPr>
        <w:t>'</w:t>
      </w:r>
      <w:r>
        <w:rPr>
          <w:noProof/>
        </w:rPr>
        <w:t>attribuzione delle quote gratuite in caso di esportazione e importazione di calore o gas di scarico che possono differire dalle modalità di comunicazione delle emissioni. In tali casi le emissioni e le quote gratuite potrebbero essere attribuite a impianti distinti, con il risultato che un impianto risulterebbe ricevere un quantitativo di quote superiore alle sue emissioni. Un esempio è il caso in cui a un impianto chimico che importa calore da un altro impianto sono assegnate quote gratuite per attenuare i rischi di rilocalizzazione delle emissioni di carbonio, mentre le emissioni sono comunicate dall</w:t>
      </w:r>
      <w:r w:rsidR="00F06D2E">
        <w:rPr>
          <w:noProof/>
        </w:rPr>
        <w:t>'</w:t>
      </w:r>
      <w:r>
        <w:rPr>
          <w:noProof/>
        </w:rPr>
        <w:t xml:space="preserve">impianto di produzione del calore. </w:t>
      </w:r>
    </w:p>
    <w:p w14:paraId="024D0308" w14:textId="032DBD38" w:rsidR="00782261" w:rsidRPr="00685D02" w:rsidRDefault="00782261" w:rsidP="00782261">
      <w:pPr>
        <w:pStyle w:val="CMR-text"/>
        <w:rPr>
          <w:rFonts w:cs="Times New Roman"/>
          <w:noProof/>
        </w:rPr>
      </w:pPr>
      <w:r>
        <w:rPr>
          <w:noProof/>
        </w:rPr>
        <w:t>Anche le norme relative agli adeguamenti annuali dell</w:t>
      </w:r>
      <w:r w:rsidR="00F06D2E">
        <w:rPr>
          <w:noProof/>
        </w:rPr>
        <w:t>'</w:t>
      </w:r>
      <w:r>
        <w:rPr>
          <w:noProof/>
        </w:rPr>
        <w:t xml:space="preserve">assegnazione effettuati per riflettere variazioni significative dei volumi di produzione industriale (cfr. sopra) sono pertinenti per una potenziale eccedenza di quote. La media calcolata su due anni crea un </w:t>
      </w:r>
      <w:r w:rsidR="00F06D2E">
        <w:rPr>
          <w:noProof/>
        </w:rPr>
        <w:t>"</w:t>
      </w:r>
      <w:r>
        <w:rPr>
          <w:noProof/>
        </w:rPr>
        <w:t>cuscinetto</w:t>
      </w:r>
      <w:r w:rsidR="00F06D2E">
        <w:rPr>
          <w:noProof/>
        </w:rPr>
        <w:t>"</w:t>
      </w:r>
      <w:r>
        <w:rPr>
          <w:noProof/>
        </w:rPr>
        <w:t>, nel senso che una diminuzione significativa della produzione si rifletterebbe pienamente sui livelli dell</w:t>
      </w:r>
      <w:r w:rsidR="00F06D2E">
        <w:rPr>
          <w:noProof/>
        </w:rPr>
        <w:t>'</w:t>
      </w:r>
      <w:r>
        <w:rPr>
          <w:noProof/>
        </w:rPr>
        <w:t>assegnazione gratuita solo a distanza di due anni, ossia le emissioni comunicate diminuirebbero immediatamente a differenza dell</w:t>
      </w:r>
      <w:r w:rsidR="00F06D2E">
        <w:rPr>
          <w:noProof/>
        </w:rPr>
        <w:t>'</w:t>
      </w:r>
      <w:r>
        <w:rPr>
          <w:noProof/>
        </w:rPr>
        <w:t>assegnazione gratuita.</w:t>
      </w:r>
    </w:p>
    <w:p w14:paraId="076DD4A5" w14:textId="75532C33" w:rsidR="008949B8" w:rsidRPr="00EC4FC3" w:rsidRDefault="002C446D" w:rsidP="00EC4FC3">
      <w:pPr>
        <w:pStyle w:val="CMR-Subheading"/>
        <w:rPr>
          <w:noProof/>
        </w:rPr>
      </w:pPr>
      <w:bookmarkStart w:id="30" w:name="_Toc218937028"/>
      <w:bookmarkStart w:id="31" w:name="_Toc180513397"/>
      <w:r>
        <w:rPr>
          <w:noProof/>
        </w:rPr>
        <w:t>Meccanismo di adeguamento del carbonio alle frontiere</w:t>
      </w:r>
      <w:bookmarkEnd w:id="30"/>
      <w:r>
        <w:rPr>
          <w:noProof/>
        </w:rPr>
        <w:t xml:space="preserve"> </w:t>
      </w:r>
      <w:bookmarkEnd w:id="31"/>
    </w:p>
    <w:p w14:paraId="7F1238B1" w14:textId="539B7D04" w:rsidR="00D52984" w:rsidRPr="00685D02" w:rsidRDefault="6FDB8928" w:rsidP="009035AD">
      <w:pPr>
        <w:pStyle w:val="CMR-text"/>
        <w:rPr>
          <w:rFonts w:cs="Times New Roman"/>
          <w:noProof/>
        </w:rPr>
      </w:pPr>
      <w:r>
        <w:rPr>
          <w:noProof/>
        </w:rPr>
        <w:t xml:space="preserve">Nel quadro del pacchetto </w:t>
      </w:r>
      <w:r w:rsidR="00F06D2E">
        <w:rPr>
          <w:noProof/>
        </w:rPr>
        <w:t>"</w:t>
      </w:r>
      <w:r>
        <w:rPr>
          <w:noProof/>
        </w:rPr>
        <w:t>Pronti per il 55 %</w:t>
      </w:r>
      <w:r w:rsidR="00F06D2E">
        <w:rPr>
          <w:noProof/>
        </w:rPr>
        <w:t>"</w:t>
      </w:r>
      <w:r>
        <w:rPr>
          <w:noProof/>
        </w:rPr>
        <w:t>, il regolamento sul meccanismo di adeguamento del carbonio alle frontiere (CBAM) (regolamento (UE) 2023/956)</w:t>
      </w:r>
      <w:r>
        <w:rPr>
          <w:rStyle w:val="FootnoteReference"/>
          <w:rFonts w:cs="Times New Roman"/>
          <w:noProof/>
          <w:lang w:val="en-IE"/>
        </w:rPr>
        <w:footnoteReference w:id="30"/>
      </w:r>
      <w:r>
        <w:rPr>
          <w:noProof/>
        </w:rPr>
        <w:t xml:space="preserve"> è stato adottato al fine di attenuare il rischio di rilocalizzazione delle emissioni di carbonio derivante dall</w:t>
      </w:r>
      <w:r w:rsidR="00F06D2E">
        <w:rPr>
          <w:noProof/>
        </w:rPr>
        <w:t>'</w:t>
      </w:r>
      <w:r>
        <w:rPr>
          <w:noProof/>
        </w:rPr>
        <w:t>eliminazione graduale dell</w:t>
      </w:r>
      <w:r w:rsidR="00F06D2E">
        <w:rPr>
          <w:noProof/>
        </w:rPr>
        <w:t>'</w:t>
      </w:r>
      <w:r>
        <w:rPr>
          <w:noProof/>
        </w:rPr>
        <w:t>assegnazione gratuita dell</w:t>
      </w:r>
      <w:r w:rsidR="00F06D2E">
        <w:rPr>
          <w:noProof/>
        </w:rPr>
        <w:t>'</w:t>
      </w:r>
      <w:r>
        <w:rPr>
          <w:noProof/>
        </w:rPr>
        <w:t>ETS man mano che l</w:t>
      </w:r>
      <w:r w:rsidR="00F06D2E">
        <w:rPr>
          <w:noProof/>
        </w:rPr>
        <w:t>'</w:t>
      </w:r>
      <w:r>
        <w:rPr>
          <w:noProof/>
        </w:rPr>
        <w:t>UE intensifica l</w:t>
      </w:r>
      <w:r w:rsidR="00F06D2E">
        <w:rPr>
          <w:noProof/>
        </w:rPr>
        <w:t>'</w:t>
      </w:r>
      <w:r>
        <w:rPr>
          <w:noProof/>
        </w:rPr>
        <w:t xml:space="preserve">azione per il clima. </w:t>
      </w:r>
    </w:p>
    <w:p w14:paraId="07AE67C3" w14:textId="46FBEAEB" w:rsidR="00CA07B3" w:rsidRPr="00685D02" w:rsidRDefault="5FC30C0E" w:rsidP="009035AD">
      <w:pPr>
        <w:pStyle w:val="CMR-text"/>
        <w:rPr>
          <w:rFonts w:cs="Times New Roman"/>
          <w:noProof/>
        </w:rPr>
      </w:pPr>
      <w:r>
        <w:rPr>
          <w:noProof/>
        </w:rPr>
        <w:t>In alcuni settori industriali contemplati dall</w:t>
      </w:r>
      <w:r w:rsidR="00F06D2E">
        <w:rPr>
          <w:noProof/>
        </w:rPr>
        <w:t>'</w:t>
      </w:r>
      <w:r>
        <w:rPr>
          <w:noProof/>
        </w:rPr>
        <w:t>EU ETS (cemento, alluminio, concimi, idrogeno, ferro e acciaio), a partire dal 2026 l</w:t>
      </w:r>
      <w:r w:rsidR="00F06D2E">
        <w:rPr>
          <w:noProof/>
        </w:rPr>
        <w:t>'</w:t>
      </w:r>
      <w:r>
        <w:rPr>
          <w:noProof/>
        </w:rPr>
        <w:t>assegnazione gratuita sarà gradualmente sostituita dal CBAM. Questi</w:t>
      </w:r>
      <w:r w:rsidR="0008163A">
        <w:rPr>
          <w:noProof/>
        </w:rPr>
        <w:t> </w:t>
      </w:r>
      <w:r>
        <w:rPr>
          <w:noProof/>
        </w:rPr>
        <w:t>settori rappresentavano circa il 54 % dell</w:t>
      </w:r>
      <w:r w:rsidR="00F06D2E">
        <w:rPr>
          <w:noProof/>
        </w:rPr>
        <w:t>'</w:t>
      </w:r>
      <w:r>
        <w:rPr>
          <w:noProof/>
        </w:rPr>
        <w:t xml:space="preserve">assegnazione gratuita totale nel periodo 2021-2025. </w:t>
      </w:r>
    </w:p>
    <w:p w14:paraId="4951FDBA" w14:textId="2D834412" w:rsidR="005941B1" w:rsidRPr="00685D02" w:rsidRDefault="00707524" w:rsidP="00BC4C9A">
      <w:pPr>
        <w:pStyle w:val="CMR-text"/>
        <w:rPr>
          <w:rFonts w:cs="Times New Roman"/>
          <w:noProof/>
        </w:rPr>
      </w:pPr>
      <w:r>
        <w:rPr>
          <w:noProof/>
        </w:rPr>
        <w:t>Il CBAM garantisce il pagamento di un corrispettivo per le emissioni di carbonio incorporate nella produzione di determinate merci importate nell</w:t>
      </w:r>
      <w:r w:rsidR="00F06D2E">
        <w:rPr>
          <w:noProof/>
        </w:rPr>
        <w:t>'</w:t>
      </w:r>
      <w:r>
        <w:rPr>
          <w:noProof/>
        </w:rPr>
        <w:t>UE, di modo che il prezzo del carbonio per le importazioni sia equivalente a quello per la produzione interna (nell</w:t>
      </w:r>
      <w:r w:rsidR="00F06D2E">
        <w:rPr>
          <w:noProof/>
        </w:rPr>
        <w:t>'</w:t>
      </w:r>
      <w:r>
        <w:rPr>
          <w:noProof/>
        </w:rPr>
        <w:t>ambito dell</w:t>
      </w:r>
      <w:r w:rsidR="00F06D2E">
        <w:rPr>
          <w:noProof/>
        </w:rPr>
        <w:t>'</w:t>
      </w:r>
      <w:r>
        <w:rPr>
          <w:noProof/>
        </w:rPr>
        <w:t>EU ETS) e che non siano compromessi gli obiettivi climatici dell</w:t>
      </w:r>
      <w:r w:rsidR="00F06D2E">
        <w:rPr>
          <w:noProof/>
        </w:rPr>
        <w:t>'</w:t>
      </w:r>
      <w:r>
        <w:rPr>
          <w:noProof/>
        </w:rPr>
        <w:t>UE. Il CBAM interesserà le emissioni dirette per tutti i settori contemplati e quelle indirette (derivanti dall</w:t>
      </w:r>
      <w:r w:rsidR="00F06D2E">
        <w:rPr>
          <w:noProof/>
        </w:rPr>
        <w:t>'</w:t>
      </w:r>
      <w:r>
        <w:rPr>
          <w:noProof/>
        </w:rPr>
        <w:t xml:space="preserve">energia elettrica consumata durante i processi di produzione) per il cemento e i concimi. Inizialmente non saranno prese in considerazione le emissioni indirette dei settori ammissibili agli aiuti per i costi indiretti del carbonio (alluminio, idrogeno, ferro e acciaio – cfr. capitolo 8.1). </w:t>
      </w:r>
    </w:p>
    <w:p w14:paraId="3CA1EF75" w14:textId="1E2FAD89" w:rsidR="00085A37" w:rsidRPr="00685D02" w:rsidRDefault="00085A37" w:rsidP="00085A37">
      <w:pPr>
        <w:pStyle w:val="CMR-text"/>
        <w:rPr>
          <w:rFonts w:cs="Times New Roman"/>
          <w:noProof/>
        </w:rPr>
      </w:pPr>
      <w:r>
        <w:rPr>
          <w:noProof/>
        </w:rPr>
        <w:t>Nell</w:t>
      </w:r>
      <w:r w:rsidR="00F06D2E">
        <w:rPr>
          <w:noProof/>
        </w:rPr>
        <w:t>'</w:t>
      </w:r>
      <w:r>
        <w:rPr>
          <w:noProof/>
        </w:rPr>
        <w:t>ottobre 2023 è iniziato un periodo transitorio durante il quale gli importatori comunicano le emissioni ma non sono ancora tenuti a effettuare pagamenti. Tale periodo terminerà alla fine del 2025, quando avrà inizio la fase di piena attuazione, che sarà graduale.</w:t>
      </w:r>
    </w:p>
    <w:p w14:paraId="53883DCE" w14:textId="02BA5796" w:rsidR="001B7142" w:rsidRPr="00685D02" w:rsidRDefault="005941B1" w:rsidP="00BC4C9A">
      <w:pPr>
        <w:pStyle w:val="CMR-text"/>
        <w:rPr>
          <w:rFonts w:cs="Times New Roman"/>
          <w:noProof/>
        </w:rPr>
      </w:pPr>
      <w:r>
        <w:rPr>
          <w:noProof/>
        </w:rPr>
        <w:t>A decorrere dal 2026 chi importa nell</w:t>
      </w:r>
      <w:r w:rsidR="00F06D2E">
        <w:rPr>
          <w:noProof/>
        </w:rPr>
        <w:t>'</w:t>
      </w:r>
      <w:r>
        <w:rPr>
          <w:noProof/>
        </w:rPr>
        <w:t>UE merci nei settori soggetti al CBAM dovrà acquistare e restituire certificati per le emissioni incorporate. Per sostenere gli sforzi di decarbonizzazione dell</w:t>
      </w:r>
      <w:r w:rsidR="00F06D2E">
        <w:rPr>
          <w:noProof/>
        </w:rPr>
        <w:t>'</w:t>
      </w:r>
      <w:r>
        <w:rPr>
          <w:noProof/>
        </w:rPr>
        <w:t>industria, la direttiva ETS destina al Fondo per l</w:t>
      </w:r>
      <w:r w:rsidR="00F06D2E">
        <w:rPr>
          <w:noProof/>
        </w:rPr>
        <w:t>'</w:t>
      </w:r>
      <w:r>
        <w:rPr>
          <w:noProof/>
        </w:rPr>
        <w:t>innovazione (cfr. capitolo 8.2) i proventi della vendita all</w:t>
      </w:r>
      <w:r w:rsidR="00F06D2E">
        <w:rPr>
          <w:noProof/>
        </w:rPr>
        <w:t>'</w:t>
      </w:r>
      <w:r>
        <w:rPr>
          <w:noProof/>
        </w:rPr>
        <w:t>asta delle quote di emissioni che in precedenza erano assegnate a titolo gratuito, riservando particolare attenzione ai progetti nei settori CBAM.</w:t>
      </w:r>
    </w:p>
    <w:p w14:paraId="596F54A1" w14:textId="6E978E04" w:rsidR="00E3633C" w:rsidRPr="00685D02" w:rsidRDefault="00085A37" w:rsidP="00BC4C9A">
      <w:pPr>
        <w:pStyle w:val="CMR-text"/>
        <w:rPr>
          <w:rFonts w:cs="Times New Roman"/>
          <w:noProof/>
        </w:rPr>
      </w:pPr>
      <w:r>
        <w:rPr>
          <w:noProof/>
        </w:rPr>
        <w:t>L</w:t>
      </w:r>
      <w:r w:rsidR="00F06D2E">
        <w:rPr>
          <w:noProof/>
        </w:rPr>
        <w:t>'</w:t>
      </w:r>
      <w:r>
        <w:rPr>
          <w:noProof/>
        </w:rPr>
        <w:t>UE sta inoltre adottando misure per semplificare e rafforzare il CBAM per la fase definitiva. Nel</w:t>
      </w:r>
      <w:r w:rsidR="0008163A">
        <w:rPr>
          <w:noProof/>
        </w:rPr>
        <w:t> </w:t>
      </w:r>
      <w:r>
        <w:rPr>
          <w:noProof/>
        </w:rPr>
        <w:t>giugno 2025 il Parlamento europeo e il Consiglio hanno raggiunto un accordo politico provvisorio su una proposta di semplificazione del CBAM, che è stata adottata formalmente nel settembre 2025</w:t>
      </w:r>
      <w:r>
        <w:rPr>
          <w:rStyle w:val="FootnoteReference"/>
          <w:rFonts w:cs="Times New Roman"/>
          <w:noProof/>
          <w:lang w:val="en-IE"/>
        </w:rPr>
        <w:footnoteReference w:id="31"/>
      </w:r>
      <w:r>
        <w:rPr>
          <w:noProof/>
        </w:rPr>
        <w:t>. Un aspetto fondamentale della proposta è l</w:t>
      </w:r>
      <w:r w:rsidR="00F06D2E">
        <w:rPr>
          <w:noProof/>
        </w:rPr>
        <w:t>'</w:t>
      </w:r>
      <w:r>
        <w:rPr>
          <w:noProof/>
        </w:rPr>
        <w:t>aumento della soglia di esenzione per consentire di esentare dal CBAM fino a 50 tonnellate di merci importate per importatore all</w:t>
      </w:r>
      <w:r w:rsidR="00F06D2E">
        <w:rPr>
          <w:noProof/>
        </w:rPr>
        <w:t>'</w:t>
      </w:r>
      <w:r>
        <w:rPr>
          <w:noProof/>
        </w:rPr>
        <w:t>anno. Si prevede che l</w:t>
      </w:r>
      <w:r w:rsidR="00F06D2E">
        <w:rPr>
          <w:noProof/>
        </w:rPr>
        <w:t>'</w:t>
      </w:r>
      <w:r>
        <w:rPr>
          <w:noProof/>
        </w:rPr>
        <w:t>innalzamento della soglia esenterà il 90 % delle imprese, pur continuando a coprire il 99 % delle emissioni. Al momento della stesura del presente documento, la Commissione sta inoltre preparando vari atti di diritto derivato (atti delegati e atti di esecuzione) per garantire un</w:t>
      </w:r>
      <w:r w:rsidR="00F06D2E">
        <w:rPr>
          <w:noProof/>
        </w:rPr>
        <w:t>'</w:t>
      </w:r>
      <w:r>
        <w:rPr>
          <w:noProof/>
        </w:rPr>
        <w:t>attuazione tempestiva ed efficace del CBAM quando nel 2026 avrà inizio la fase definitiva.</w:t>
      </w:r>
    </w:p>
    <w:p w14:paraId="4CD281B1" w14:textId="6FEEFABA" w:rsidR="00D74578" w:rsidRPr="00685D02" w:rsidRDefault="00C46F62" w:rsidP="00BC4C9A">
      <w:pPr>
        <w:pStyle w:val="CMR-text"/>
        <w:rPr>
          <w:rFonts w:cs="Times New Roman"/>
          <w:noProof/>
        </w:rPr>
      </w:pPr>
      <w:r>
        <w:rPr>
          <w:noProof/>
        </w:rPr>
        <w:t>La Commissione sta inoltre preparando proposte legislative volte ad estendere il CBAM a determinate merci a valle per prevenire la rilocalizzazione delle emissioni di carbonio a valle</w:t>
      </w:r>
      <w:r>
        <w:rPr>
          <w:rStyle w:val="FootnoteReference"/>
          <w:rFonts w:cs="Times New Roman"/>
          <w:noProof/>
          <w:lang w:val="en-IE"/>
        </w:rPr>
        <w:footnoteReference w:id="32"/>
      </w:r>
      <w:r>
        <w:rPr>
          <w:noProof/>
        </w:rPr>
        <w:t>, per scongiurare il rischio di elusione</w:t>
      </w:r>
      <w:r>
        <w:rPr>
          <w:rStyle w:val="FootnoteReference"/>
          <w:rFonts w:cs="Times New Roman"/>
          <w:noProof/>
          <w:lang w:val="en-IE"/>
        </w:rPr>
        <w:footnoteReference w:id="33"/>
      </w:r>
      <w:r>
        <w:rPr>
          <w:noProof/>
        </w:rPr>
        <w:t xml:space="preserve"> e per adeguare le norme applicabili alle importazioni di energia elettrica. </w:t>
      </w:r>
    </w:p>
    <w:p w14:paraId="7B349234" w14:textId="1BE0D18A" w:rsidR="002D6F58" w:rsidRPr="00685D02" w:rsidRDefault="00D74578" w:rsidP="00BC4C9A">
      <w:pPr>
        <w:pStyle w:val="CMR-text"/>
        <w:rPr>
          <w:rFonts w:cs="Times New Roman"/>
          <w:noProof/>
        </w:rPr>
      </w:pPr>
      <w:r>
        <w:rPr>
          <w:noProof/>
        </w:rPr>
        <w:t>Allo stesso tempo la Commissione pubblicherà una proposta per affrontare il rischio di rilocalizzazione delle emissioni di carbonio legato alle esportazioni di merci soggette al CBAM prodotte nell</w:t>
      </w:r>
      <w:r w:rsidR="00F06D2E">
        <w:rPr>
          <w:noProof/>
        </w:rPr>
        <w:t>'</w:t>
      </w:r>
      <w:r>
        <w:rPr>
          <w:noProof/>
        </w:rPr>
        <w:t xml:space="preserve">UE, come annunciato nella comunicazione </w:t>
      </w:r>
      <w:r w:rsidR="00F06D2E">
        <w:rPr>
          <w:noProof/>
        </w:rPr>
        <w:t>"</w:t>
      </w:r>
      <w:r>
        <w:rPr>
          <w:noProof/>
        </w:rPr>
        <w:t>Conseguire gli obiettivi del patto per l</w:t>
      </w:r>
      <w:r w:rsidR="00F06D2E">
        <w:rPr>
          <w:noProof/>
        </w:rPr>
        <w:t>'</w:t>
      </w:r>
      <w:r>
        <w:rPr>
          <w:noProof/>
        </w:rPr>
        <w:t>industria pulita I</w:t>
      </w:r>
      <w:r w:rsidR="00F06D2E">
        <w:rPr>
          <w:noProof/>
        </w:rPr>
        <w:t>"</w:t>
      </w:r>
      <w:r>
        <w:rPr>
          <w:rStyle w:val="FootnoteReference"/>
          <w:rFonts w:cs="Times New Roman"/>
          <w:noProof/>
          <w:lang w:val="en-IE"/>
        </w:rPr>
        <w:footnoteReference w:id="34"/>
      </w:r>
      <w:r>
        <w:rPr>
          <w:noProof/>
        </w:rPr>
        <w:t>. Come</w:t>
      </w:r>
      <w:r w:rsidR="0008163A">
        <w:rPr>
          <w:noProof/>
        </w:rPr>
        <w:t> </w:t>
      </w:r>
      <w:r>
        <w:rPr>
          <w:noProof/>
        </w:rPr>
        <w:t>evidenziato nella relazione sul mercato del carbonio dello scorso anno, con l</w:t>
      </w:r>
      <w:r w:rsidR="00F06D2E">
        <w:rPr>
          <w:noProof/>
        </w:rPr>
        <w:t>'</w:t>
      </w:r>
      <w:r>
        <w:rPr>
          <w:noProof/>
        </w:rPr>
        <w:t>eliminazione graduale dell</w:t>
      </w:r>
      <w:r w:rsidR="00F06D2E">
        <w:rPr>
          <w:noProof/>
        </w:rPr>
        <w:t>'</w:t>
      </w:r>
      <w:r>
        <w:rPr>
          <w:noProof/>
        </w:rPr>
        <w:t>assegnazione gratuita i produttori dell</w:t>
      </w:r>
      <w:r w:rsidR="00F06D2E">
        <w:rPr>
          <w:noProof/>
        </w:rPr>
        <w:t>'</w:t>
      </w:r>
      <w:r>
        <w:rPr>
          <w:noProof/>
        </w:rPr>
        <w:t>UE di merci soggette al CBAM dovranno pagare per le loro emissioni di carbonio incorporate, mentre la rilocalizzazione delle emissioni di carbonio è affrontata dal CBAM attraverso l</w:t>
      </w:r>
      <w:r w:rsidR="00F06D2E">
        <w:rPr>
          <w:noProof/>
        </w:rPr>
        <w:t>'</w:t>
      </w:r>
      <w:r>
        <w:rPr>
          <w:noProof/>
        </w:rPr>
        <w:t xml:space="preserve">applicazione di un prezzo del carbonio equivalente per le merci importate. </w:t>
      </w:r>
    </w:p>
    <w:p w14:paraId="35C61CAE" w14:textId="53901B68" w:rsidR="00415808" w:rsidRPr="00685D02" w:rsidRDefault="009F7EBD" w:rsidP="00BC4C9A">
      <w:pPr>
        <w:pStyle w:val="CMR-text"/>
        <w:rPr>
          <w:rFonts w:cs="Times New Roman"/>
          <w:noProof/>
        </w:rPr>
      </w:pPr>
      <w:r>
        <w:rPr>
          <w:noProof/>
        </w:rPr>
        <w:t>La Commissione sta inoltre preparando un riesame completo del CBAM da pubblicare entro la fine del 2025, come previsto dal regolamento CBAM. Nel contesto di tale riesame si procederà a valutare la possibilità di ampliare l</w:t>
      </w:r>
      <w:r w:rsidR="00F06D2E">
        <w:rPr>
          <w:noProof/>
        </w:rPr>
        <w:t>'</w:t>
      </w:r>
      <w:r>
        <w:rPr>
          <w:noProof/>
        </w:rPr>
        <w:t>ambito di applicazione del CBAM, i criteri utilizzati per individuare le merci soggette al CBAM e la metodologia per il calcolo delle emissioni indirette. La valutazione riguarderà inoltre il sistema di governance, i costi amministrativi, i progressi compiuti nei dibattiti internazionali in materia di azione per il clima e l</w:t>
      </w:r>
      <w:r w:rsidR="00F06D2E">
        <w:rPr>
          <w:noProof/>
        </w:rPr>
        <w:t>'</w:t>
      </w:r>
      <w:r>
        <w:rPr>
          <w:noProof/>
        </w:rPr>
        <w:t>impatto del CBAM sulle importazioni da paesi in via di sviluppo, in particolare dai paesi meno sviluppati.</w:t>
      </w:r>
    </w:p>
    <w:p w14:paraId="67C5943A" w14:textId="55544569" w:rsidR="00DB484C" w:rsidRPr="00EC4FC3" w:rsidRDefault="00613B80" w:rsidP="00EC4FC3">
      <w:pPr>
        <w:pStyle w:val="CMR-Heading"/>
        <w:rPr>
          <w:noProof/>
        </w:rPr>
      </w:pPr>
      <w:bookmarkStart w:id="32" w:name="_Toc176419518"/>
      <w:bookmarkStart w:id="33" w:name="_Toc176419549"/>
      <w:bookmarkStart w:id="34" w:name="_Toc176419519"/>
      <w:bookmarkStart w:id="35" w:name="_Toc176419550"/>
      <w:bookmarkStart w:id="36" w:name="_Toc180513398"/>
      <w:bookmarkStart w:id="37" w:name="_Toc218937029"/>
      <w:bookmarkEnd w:id="32"/>
      <w:bookmarkEnd w:id="33"/>
      <w:bookmarkEnd w:id="34"/>
      <w:bookmarkEnd w:id="35"/>
      <w:r>
        <w:rPr>
          <w:noProof/>
        </w:rPr>
        <w:t>Mercato del carbonio dell</w:t>
      </w:r>
      <w:r w:rsidR="00F06D2E">
        <w:rPr>
          <w:noProof/>
        </w:rPr>
        <w:t>'</w:t>
      </w:r>
      <w:r>
        <w:rPr>
          <w:noProof/>
        </w:rPr>
        <w:t>UE</w:t>
      </w:r>
      <w:bookmarkEnd w:id="36"/>
      <w:bookmarkEnd w:id="37"/>
      <w:r>
        <w:rPr>
          <w:noProof/>
        </w:rPr>
        <w:t xml:space="preserve"> </w:t>
      </w:r>
    </w:p>
    <w:p w14:paraId="5899D9BF" w14:textId="547E80B1" w:rsidR="00DB484C" w:rsidRPr="00EC4FC3" w:rsidRDefault="00E0576C" w:rsidP="00EC4FC3">
      <w:pPr>
        <w:pStyle w:val="CMR-Subheading"/>
        <w:rPr>
          <w:noProof/>
        </w:rPr>
      </w:pPr>
      <w:bookmarkStart w:id="38" w:name="_Toc180513399"/>
      <w:bookmarkStart w:id="39" w:name="_Ref207551907"/>
      <w:bookmarkStart w:id="40" w:name="_Toc218937030"/>
      <w:r>
        <w:rPr>
          <w:noProof/>
        </w:rPr>
        <w:t>Equilibrio fra domanda e offerta</w:t>
      </w:r>
      <w:bookmarkEnd w:id="38"/>
      <w:bookmarkEnd w:id="39"/>
      <w:bookmarkEnd w:id="40"/>
    </w:p>
    <w:p w14:paraId="59F0CAA7" w14:textId="516BAE3D" w:rsidR="00B244AB" w:rsidRPr="00685D02" w:rsidRDefault="00B244AB" w:rsidP="0006239E">
      <w:pPr>
        <w:pStyle w:val="CMR-text"/>
        <w:rPr>
          <w:rFonts w:cs="Times New Roman"/>
          <w:noProof/>
        </w:rPr>
      </w:pPr>
      <w:r>
        <w:rPr>
          <w:noProof/>
        </w:rPr>
        <w:t>La riserva stabilizzatrice del mercato promuove l</w:t>
      </w:r>
      <w:r w:rsidR="00F06D2E">
        <w:rPr>
          <w:noProof/>
        </w:rPr>
        <w:t>'</w:t>
      </w:r>
      <w:r>
        <w:rPr>
          <w:noProof/>
        </w:rPr>
        <w:t>equilibrio e la resilienza del mercato del carbonio adeguando di anno in anno l</w:t>
      </w:r>
      <w:r w:rsidR="00F06D2E">
        <w:rPr>
          <w:noProof/>
        </w:rPr>
        <w:t>'</w:t>
      </w:r>
      <w:r>
        <w:rPr>
          <w:noProof/>
        </w:rPr>
        <w:t>offerta di quote da mettere all</w:t>
      </w:r>
      <w:r w:rsidR="00F06D2E">
        <w:rPr>
          <w:noProof/>
        </w:rPr>
        <w:t>'</w:t>
      </w:r>
      <w:r>
        <w:rPr>
          <w:noProof/>
        </w:rPr>
        <w:t>asta nell</w:t>
      </w:r>
      <w:r w:rsidR="00F06D2E">
        <w:rPr>
          <w:noProof/>
        </w:rPr>
        <w:t>'</w:t>
      </w:r>
      <w:r>
        <w:rPr>
          <w:noProof/>
        </w:rPr>
        <w:t>EU ETS. È uno strumento basato su norme che è stato introdotto per la prima volta per porre rimedio allo squilibrio strutturale venutosi a creare, all</w:t>
      </w:r>
      <w:r w:rsidR="00F06D2E">
        <w:rPr>
          <w:noProof/>
        </w:rPr>
        <w:t>'</w:t>
      </w:r>
      <w:r>
        <w:rPr>
          <w:noProof/>
        </w:rPr>
        <w:t>inizio della fase 3, tra l</w:t>
      </w:r>
      <w:r w:rsidR="00F06D2E">
        <w:rPr>
          <w:noProof/>
        </w:rPr>
        <w:t>'</w:t>
      </w:r>
      <w:r>
        <w:rPr>
          <w:noProof/>
        </w:rPr>
        <w:t>offerta e la domanda di quote di emissioni nel mercato del carbonio dell</w:t>
      </w:r>
      <w:r w:rsidR="00F06D2E">
        <w:rPr>
          <w:noProof/>
        </w:rPr>
        <w:t>'</w:t>
      </w:r>
      <w:r>
        <w:rPr>
          <w:noProof/>
        </w:rPr>
        <w:t>UE. Nel 2013 il mercato ha registrato un</w:t>
      </w:r>
      <w:r w:rsidR="00F06D2E">
        <w:rPr>
          <w:noProof/>
        </w:rPr>
        <w:t>'</w:t>
      </w:r>
      <w:r>
        <w:rPr>
          <w:noProof/>
        </w:rPr>
        <w:t xml:space="preserve">eccedenza di 2,1 miliardi di quote, che da allora la riserva stabilizzatrice del mercato ha contribuito a ridurre. A breve termine la riserva reagisce agli shock improvvisi di offerta-domanda, ad esempio quello dovuto alla recessione economica causata dalla pandemia di COVID-19 nel 2020. </w:t>
      </w:r>
    </w:p>
    <w:p w14:paraId="059B5DC9" w14:textId="6BC1F07C" w:rsidR="00B244AB" w:rsidRPr="00685D02" w:rsidRDefault="00B244AB" w:rsidP="0006239E">
      <w:pPr>
        <w:pStyle w:val="CMR-text"/>
        <w:rPr>
          <w:rFonts w:cs="Times New Roman"/>
          <w:noProof/>
        </w:rPr>
      </w:pPr>
      <w:r>
        <w:rPr>
          <w:noProof/>
        </w:rPr>
        <w:t>La riserva stabilizzatrice del mercato adegua l</w:t>
      </w:r>
      <w:r w:rsidR="00F06D2E">
        <w:rPr>
          <w:noProof/>
        </w:rPr>
        <w:t>'</w:t>
      </w:r>
      <w:r>
        <w:rPr>
          <w:noProof/>
        </w:rPr>
        <w:t>offerta di quote di emissioni sul mercato del carbonio dell</w:t>
      </w:r>
      <w:r w:rsidR="00F06D2E">
        <w:rPr>
          <w:noProof/>
        </w:rPr>
        <w:t>'</w:t>
      </w:r>
      <w:r>
        <w:rPr>
          <w:noProof/>
        </w:rPr>
        <w:t>UE in base a soglie predefinite per il numero totale di quote di emissioni in circolazione (</w:t>
      </w:r>
      <w:r>
        <w:rPr>
          <w:i/>
          <w:noProof/>
        </w:rPr>
        <w:t>total</w:t>
      </w:r>
      <w:r w:rsidR="0008163A">
        <w:rPr>
          <w:i/>
          <w:noProof/>
        </w:rPr>
        <w:t> </w:t>
      </w:r>
      <w:r>
        <w:rPr>
          <w:i/>
          <w:noProof/>
        </w:rPr>
        <w:t>number of allowances in circulation</w:t>
      </w:r>
      <w:r>
        <w:rPr>
          <w:noProof/>
        </w:rPr>
        <w:t>, TNAC). Sulla base del livello del TNAC, le quote di emissioni sono ritirate dalle aste e integrate nella riserva o svincolate dalla riserva e messe all</w:t>
      </w:r>
      <w:r w:rsidR="00F06D2E">
        <w:rPr>
          <w:noProof/>
        </w:rPr>
        <w:t>'</w:t>
      </w:r>
      <w:r>
        <w:rPr>
          <w:noProof/>
        </w:rPr>
        <w:t>asta. In</w:t>
      </w:r>
      <w:r w:rsidR="0008163A">
        <w:rPr>
          <w:noProof/>
        </w:rPr>
        <w:t> </w:t>
      </w:r>
      <w:r>
        <w:rPr>
          <w:noProof/>
        </w:rPr>
        <w:t>tal</w:t>
      </w:r>
      <w:r w:rsidR="0008163A">
        <w:rPr>
          <w:noProof/>
        </w:rPr>
        <w:t> </w:t>
      </w:r>
      <w:r>
        <w:rPr>
          <w:noProof/>
        </w:rPr>
        <w:t>modo la riserva stabilizzatrice del mercato favorisce l</w:t>
      </w:r>
      <w:r w:rsidR="00F06D2E">
        <w:rPr>
          <w:noProof/>
        </w:rPr>
        <w:t>'</w:t>
      </w:r>
      <w:r>
        <w:rPr>
          <w:noProof/>
        </w:rPr>
        <w:t>equilibrio e la resilienza agli shock di offerta-domanda, consentendo il buon funzionamento del mercato del carbonio dell</w:t>
      </w:r>
      <w:r w:rsidR="00F06D2E">
        <w:rPr>
          <w:noProof/>
        </w:rPr>
        <w:t>'</w:t>
      </w:r>
      <w:r>
        <w:rPr>
          <w:noProof/>
        </w:rPr>
        <w:t>UE. La riserva è diventata operativa nel 2019 e da allora ogni anno ritira quote di emissioni dalla circolazione.</w:t>
      </w:r>
    </w:p>
    <w:p w14:paraId="245BA34F" w14:textId="3F079F27" w:rsidR="00BA6F4D" w:rsidRPr="00685D02" w:rsidRDefault="7AA41F30" w:rsidP="0006239E">
      <w:pPr>
        <w:pStyle w:val="CMR-text"/>
        <w:rPr>
          <w:rFonts w:cs="Times New Roman"/>
          <w:noProof/>
        </w:rPr>
      </w:pPr>
      <w:r>
        <w:rPr>
          <w:noProof/>
        </w:rPr>
        <w:t>La Commissione pubblica annualmente il TNAC, che è calcolato per l</w:t>
      </w:r>
      <w:r w:rsidR="00F06D2E">
        <w:rPr>
          <w:noProof/>
        </w:rPr>
        <w:t>'</w:t>
      </w:r>
      <w:r>
        <w:rPr>
          <w:noProof/>
        </w:rPr>
        <w:t>anno precedente, mentre gli adeguamenti dell</w:t>
      </w:r>
      <w:r w:rsidR="00F06D2E">
        <w:rPr>
          <w:noProof/>
        </w:rPr>
        <w:t>'</w:t>
      </w:r>
      <w:r>
        <w:rPr>
          <w:noProof/>
        </w:rPr>
        <w:t>offerta vengono effettuati nei 12 mesi successivi alla sua pubblicazione secondo uno schema specifico. Il 28 maggio 2025 la Commissione ha pubblicato la comunicazione relativa al TNAC per il 2024</w:t>
      </w:r>
      <w:r>
        <w:rPr>
          <w:rStyle w:val="FootnoteReference"/>
          <w:rFonts w:cs="Times New Roman"/>
          <w:noProof/>
          <w:lang w:val="en-IE"/>
        </w:rPr>
        <w:footnoteReference w:id="35"/>
      </w:r>
      <w:r>
        <w:rPr>
          <w:noProof/>
        </w:rPr>
        <w:t xml:space="preserve">. </w:t>
      </w:r>
    </w:p>
    <w:p w14:paraId="591D200F" w14:textId="741BB0FC" w:rsidR="005819BB" w:rsidRPr="00685D02" w:rsidRDefault="00721126" w:rsidP="00314598">
      <w:pPr>
        <w:pStyle w:val="CMR-text"/>
        <w:rPr>
          <w:rFonts w:cs="Times New Roman"/>
          <w:noProof/>
        </w:rPr>
      </w:pPr>
      <w:r>
        <w:rPr>
          <w:noProof/>
        </w:rPr>
        <w:t>Il TNAC per il 2024 ammonta a 1,15 miliardi di quote ed è dunque leggermente in aumento rispetto al 2023. Di conseguenza tra settembre 2025 e agosto 2026 le quote di emissioni ritirate dai volumi d</w:t>
      </w:r>
      <w:r w:rsidR="00F06D2E">
        <w:rPr>
          <w:noProof/>
        </w:rPr>
        <w:t>'</w:t>
      </w:r>
      <w:r>
        <w:rPr>
          <w:noProof/>
        </w:rPr>
        <w:t xml:space="preserve">asta saranno 276 milioni (il 24 % del TNAC). </w:t>
      </w:r>
    </w:p>
    <w:p w14:paraId="2A32D739" w14:textId="6DE97923" w:rsidR="00314598" w:rsidRPr="00685D02" w:rsidRDefault="00544DEC" w:rsidP="00314598">
      <w:pPr>
        <w:pStyle w:val="CMR-text"/>
        <w:rPr>
          <w:rFonts w:cs="Times New Roman"/>
          <w:noProof/>
        </w:rPr>
      </w:pPr>
      <w:r>
        <w:rPr>
          <w:noProof/>
        </w:rPr>
        <w:t>All</w:t>
      </w:r>
      <w:r w:rsidR="00F06D2E">
        <w:rPr>
          <w:noProof/>
        </w:rPr>
        <w:t>'</w:t>
      </w:r>
      <w:r>
        <w:rPr>
          <w:noProof/>
        </w:rPr>
        <w:t xml:space="preserve">inizio di ogni anno le quote di emissioni nella riserva stabilizzatrice del mercato che superano la soglia di 400 milioni di quote sono invalidate. Il 1º gennaio 2025 sono stati quindi invalidati 271 milioni di quote di emissioni della riserva stabilizzatrice del mercato, lasciandone 400 milioni. Dal 2023 sono stati invalidati in totale 3,2 miliardi di quote di emissioni. </w:t>
      </w:r>
    </w:p>
    <w:p w14:paraId="6668795C" w14:textId="05E3C628" w:rsidR="00701B18" w:rsidRPr="00685D02" w:rsidRDefault="00AE06DF" w:rsidP="0006239E">
      <w:pPr>
        <w:pStyle w:val="CMR-text"/>
        <w:rPr>
          <w:rFonts w:cs="Times New Roman"/>
          <w:noProof/>
          <w:highlight w:val="cyan"/>
        </w:rPr>
      </w:pPr>
      <w:r>
        <w:rPr>
          <w:noProof/>
        </w:rPr>
        <w:t>La figura 3 illustra l</w:t>
      </w:r>
      <w:r w:rsidR="00F06D2E">
        <w:rPr>
          <w:noProof/>
        </w:rPr>
        <w:t>'</w:t>
      </w:r>
      <w:r>
        <w:rPr>
          <w:noProof/>
        </w:rPr>
        <w:t>andamento dell</w:t>
      </w:r>
      <w:r w:rsidR="00F06D2E">
        <w:rPr>
          <w:noProof/>
        </w:rPr>
        <w:t>'</w:t>
      </w:r>
      <w:r>
        <w:rPr>
          <w:noProof/>
        </w:rPr>
        <w:t>eccedenza di quote di emissioni nel mercato del carbonio dell</w:t>
      </w:r>
      <w:r w:rsidR="00F06D2E">
        <w:rPr>
          <w:noProof/>
        </w:rPr>
        <w:t>'</w:t>
      </w:r>
      <w:r>
        <w:rPr>
          <w:noProof/>
        </w:rPr>
        <w:t>UE dal 2013. I contributi nazionali alla riserva stabilizzatrice del mercato sono riportati nella sezione 2 del documento di lavoro dei servizi della Commissione che accompagna la presente relazione.</w:t>
      </w:r>
    </w:p>
    <w:p w14:paraId="4EF13EA9" w14:textId="147025A4" w:rsidR="00E84CD0" w:rsidRDefault="009268F3" w:rsidP="000006BA">
      <w:pPr>
        <w:pStyle w:val="Caption"/>
        <w:jc w:val="left"/>
        <w:rPr>
          <w:noProof/>
          <w:sz w:val="20"/>
        </w:rPr>
      </w:pPr>
      <w:r>
        <w:rPr>
          <w:noProof/>
          <w:lang w:val="en-GB" w:eastAsia="en-GB"/>
        </w:rPr>
        <w:drawing>
          <wp:inline distT="0" distB="0" distL="0" distR="0" wp14:anchorId="2D60CED5" wp14:editId="4C5C77C5">
            <wp:extent cx="5731510" cy="2394585"/>
            <wp:effectExtent l="0" t="0" r="2540" b="5715"/>
            <wp:docPr id="100538709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DCE95C3" w14:textId="384B754A" w:rsidR="00966B7E" w:rsidRPr="007B73CC" w:rsidRDefault="00E84CD0" w:rsidP="000006BA">
      <w:pPr>
        <w:pStyle w:val="Caption"/>
        <w:jc w:val="left"/>
        <w:rPr>
          <w:noProof/>
          <w:sz w:val="20"/>
        </w:rPr>
      </w:pPr>
      <w:bookmarkStart w:id="41" w:name="_Ref176771602"/>
      <w:r>
        <w:rPr>
          <w:noProof/>
          <w:sz w:val="20"/>
        </w:rPr>
        <w:t>Figura 3</w:t>
      </w:r>
      <w:r>
        <w:rPr>
          <w:noProof/>
          <w:sz w:val="20"/>
        </w:rPr>
        <w:fldChar w:fldCharType="begin"/>
      </w:r>
      <w:r>
        <w:rPr>
          <w:noProof/>
          <w:sz w:val="20"/>
        </w:rPr>
        <w:instrText xml:space="preserve"> SEQ Figure \* ARABIC </w:instrText>
      </w:r>
      <w:r>
        <w:rPr>
          <w:noProof/>
          <w:sz w:val="20"/>
        </w:rPr>
        <w:fldChar w:fldCharType="end"/>
      </w:r>
      <w:bookmarkEnd w:id="41"/>
      <w:r>
        <w:rPr>
          <w:noProof/>
          <w:sz w:val="20"/>
        </w:rPr>
        <w:t>. Eccedenza di quote di emissioni nell</w:t>
      </w:r>
      <w:r w:rsidR="00F06D2E">
        <w:rPr>
          <w:noProof/>
          <w:sz w:val="20"/>
        </w:rPr>
        <w:t>'</w:t>
      </w:r>
      <w:r>
        <w:rPr>
          <w:noProof/>
          <w:sz w:val="20"/>
        </w:rPr>
        <w:t>EU ETS (2013-2024)</w:t>
      </w:r>
    </w:p>
    <w:p w14:paraId="31D5B682" w14:textId="4FDACF7F" w:rsidR="090A0939" w:rsidRPr="00EC4FC3" w:rsidRDefault="64FB3A56" w:rsidP="00EC4FC3">
      <w:pPr>
        <w:pStyle w:val="CMR-Subheading"/>
        <w:rPr>
          <w:noProof/>
        </w:rPr>
      </w:pPr>
      <w:bookmarkStart w:id="42" w:name="_Toc180513401"/>
      <w:bookmarkStart w:id="43" w:name="_Toc218937031"/>
      <w:r>
        <w:rPr>
          <w:noProof/>
        </w:rPr>
        <w:t>Sorveglianza del mercato</w:t>
      </w:r>
      <w:bookmarkEnd w:id="42"/>
      <w:bookmarkEnd w:id="43"/>
      <w:r>
        <w:rPr>
          <w:noProof/>
        </w:rPr>
        <w:t xml:space="preserve"> </w:t>
      </w:r>
    </w:p>
    <w:p w14:paraId="647F3E25" w14:textId="7B1548C1" w:rsidR="301D5333" w:rsidRPr="00685D02" w:rsidRDefault="108EF2AA" w:rsidP="0006239E">
      <w:pPr>
        <w:pStyle w:val="CMR-text"/>
        <w:rPr>
          <w:rFonts w:cs="Times New Roman"/>
          <w:noProof/>
        </w:rPr>
      </w:pPr>
      <w:r>
        <w:rPr>
          <w:noProof/>
        </w:rPr>
        <w:t>Il mercato del carbonio dell</w:t>
      </w:r>
      <w:r w:rsidR="00F06D2E">
        <w:rPr>
          <w:noProof/>
        </w:rPr>
        <w:t>'</w:t>
      </w:r>
      <w:r>
        <w:rPr>
          <w:noProof/>
        </w:rPr>
        <w:t>UE è soggetto alle rigorose norme di sorveglianza sancite per i mercati finanziari dell</w:t>
      </w:r>
      <w:r w:rsidR="00F06D2E">
        <w:rPr>
          <w:noProof/>
        </w:rPr>
        <w:t>'</w:t>
      </w:r>
      <w:r>
        <w:rPr>
          <w:noProof/>
        </w:rPr>
        <w:t>UE. Consta di un mercato primario, in cui le quote di emissioni sono vendute all</w:t>
      </w:r>
      <w:r w:rsidR="00F06D2E">
        <w:rPr>
          <w:noProof/>
        </w:rPr>
        <w:t>'</w:t>
      </w:r>
      <w:r>
        <w:rPr>
          <w:noProof/>
        </w:rPr>
        <w:t>asta ai partecipanti al mercato, e di un mercato secondario, in cui i partecipanti scambiano contratti a pronti e contratti derivati sulle quote di emissioni. Tali contratti, sia a pronti che derivati, sono classificati come strumenti finanziari ai sensi della direttiva relativa ai mercati degli strumenti finanziari (direttiva</w:t>
      </w:r>
      <w:r w:rsidR="0008163A">
        <w:rPr>
          <w:noProof/>
        </w:rPr>
        <w:t> </w:t>
      </w:r>
      <w:r>
        <w:rPr>
          <w:noProof/>
        </w:rPr>
        <w:t>2014/65/UE – MiFID II)</w:t>
      </w:r>
      <w:r>
        <w:rPr>
          <w:rStyle w:val="FootnoteReference"/>
          <w:rFonts w:cs="Times New Roman"/>
          <w:noProof/>
          <w:lang w:val="en-IE"/>
        </w:rPr>
        <w:footnoteReference w:id="36"/>
      </w:r>
      <w:r>
        <w:rPr>
          <w:noProof/>
        </w:rPr>
        <w:t>. La classificazione trova riscontro anche nel diritto derivato, compreso il regolamento sulle vendite all</w:t>
      </w:r>
      <w:r w:rsidR="00F06D2E">
        <w:rPr>
          <w:noProof/>
        </w:rPr>
        <w:t>'</w:t>
      </w:r>
      <w:r>
        <w:rPr>
          <w:noProof/>
        </w:rPr>
        <w:t>asta, che disciplina il mercato primario (aste di quote di emissioni).</w:t>
      </w:r>
    </w:p>
    <w:p w14:paraId="4455B3A5" w14:textId="781D2650" w:rsidR="003A55BF" w:rsidRPr="00685D02" w:rsidRDefault="108EF2AA" w:rsidP="0006239E">
      <w:pPr>
        <w:pStyle w:val="CMR-text"/>
        <w:rPr>
          <w:rFonts w:cs="Times New Roman"/>
          <w:noProof/>
        </w:rPr>
      </w:pPr>
      <w:r>
        <w:rPr>
          <w:noProof/>
        </w:rPr>
        <w:t>La responsabilità della sorveglianza del mercato del carbonio dell</w:t>
      </w:r>
      <w:r w:rsidR="00F06D2E">
        <w:rPr>
          <w:noProof/>
        </w:rPr>
        <w:t>'</w:t>
      </w:r>
      <w:r>
        <w:rPr>
          <w:noProof/>
        </w:rPr>
        <w:t>UE è condivisa dalle autorità finanziarie di tutti gli Stati membri</w:t>
      </w:r>
      <w:r>
        <w:rPr>
          <w:rStyle w:val="FootnoteReference"/>
          <w:rFonts w:eastAsia="Times New Roman" w:cs="Times New Roman"/>
          <w:noProof/>
          <w:color w:val="333333"/>
          <w:lang w:val="en-IE"/>
        </w:rPr>
        <w:footnoteReference w:id="37"/>
      </w:r>
      <w:r>
        <w:rPr>
          <w:noProof/>
        </w:rPr>
        <w:t>, sotto il coordinamento dell</w:t>
      </w:r>
      <w:r w:rsidR="00F06D2E">
        <w:rPr>
          <w:noProof/>
        </w:rPr>
        <w:t>'</w:t>
      </w:r>
      <w:r>
        <w:rPr>
          <w:noProof/>
        </w:rPr>
        <w:t>autorità europea di regolamentazione, ossia l</w:t>
      </w:r>
      <w:r w:rsidR="00F06D2E">
        <w:rPr>
          <w:noProof/>
        </w:rPr>
        <w:t>'</w:t>
      </w:r>
      <w:r>
        <w:rPr>
          <w:noProof/>
        </w:rPr>
        <w:t>Autorità europea degli strumenti finanziari e dei mercati (ESMA), la quale controlla il comportamento dei partecipanti al mercato grazie a obblighi esaustivi di segnalazione e trasparenza. Inoltre allo scambio di quote di emissioni si applicano altre norme relative ai mercati finanziari, ad esempio le norme volte a prevenire gli abusi di mercato e l</w:t>
      </w:r>
      <w:r w:rsidR="00F06D2E">
        <w:rPr>
          <w:noProof/>
        </w:rPr>
        <w:t>'</w:t>
      </w:r>
      <w:r>
        <w:rPr>
          <w:noProof/>
        </w:rPr>
        <w:t>abuso di informazioni privilegiate (regolamento (UE) n. 596/2014)</w:t>
      </w:r>
      <w:r>
        <w:rPr>
          <w:rStyle w:val="FootnoteReference"/>
          <w:rFonts w:eastAsia="Times New Roman" w:cs="Times New Roman"/>
          <w:noProof/>
          <w:color w:val="333333"/>
          <w:lang w:val="en-IE"/>
        </w:rPr>
        <w:footnoteReference w:id="38"/>
      </w:r>
      <w:r>
        <w:rPr>
          <w:noProof/>
        </w:rPr>
        <w:t xml:space="preserve">, che obbligano i partecipanti al mercato a segnalare immediatamente ordini e operazioni sospetti. Le autorità nazionali hanno il potere di reagire con misure correttive o sanzioni qualora individuino abusi di mercato. </w:t>
      </w:r>
    </w:p>
    <w:p w14:paraId="18DF17E4" w14:textId="42D028B7" w:rsidR="00BA1805" w:rsidRPr="00685D02" w:rsidRDefault="00D82973" w:rsidP="50C721A3">
      <w:pPr>
        <w:pStyle w:val="CMR-text"/>
        <w:rPr>
          <w:rFonts w:cs="Times New Roman"/>
          <w:noProof/>
        </w:rPr>
      </w:pPr>
      <w:r>
        <w:rPr>
          <w:noProof/>
        </w:rPr>
        <w:t>A seguito della revisione del 2023 della direttiva ETS sono state attuate diverse modifiche, volte a migliorare ulteriormente la trasparenza del mercato del carbonio dell</w:t>
      </w:r>
      <w:r w:rsidR="00F06D2E">
        <w:rPr>
          <w:noProof/>
        </w:rPr>
        <w:t>'</w:t>
      </w:r>
      <w:r>
        <w:rPr>
          <w:noProof/>
        </w:rPr>
        <w:t>UE. L</w:t>
      </w:r>
      <w:r w:rsidR="00F06D2E">
        <w:rPr>
          <w:noProof/>
        </w:rPr>
        <w:t>'</w:t>
      </w:r>
      <w:r>
        <w:rPr>
          <w:noProof/>
        </w:rPr>
        <w:t>ESMA è stata incaricata di monitorare e valutare periodicamente il funzionamento dell</w:t>
      </w:r>
      <w:r w:rsidR="00F06D2E">
        <w:rPr>
          <w:noProof/>
        </w:rPr>
        <w:t>'</w:t>
      </w:r>
      <w:r>
        <w:rPr>
          <w:noProof/>
        </w:rPr>
        <w:t>EU ETS per quanto riguarda il mercato primario delle aste e la negoziazione sui mercati secondari. Nella sua prima relazione annuale sul monitoraggio dei mercati del carbonio dell</w:t>
      </w:r>
      <w:r w:rsidR="00F06D2E">
        <w:rPr>
          <w:noProof/>
        </w:rPr>
        <w:t>'</w:t>
      </w:r>
      <w:r>
        <w:rPr>
          <w:noProof/>
        </w:rPr>
        <w:t>UE, pubblicata il 7 ottobre 2024</w:t>
      </w:r>
      <w:r>
        <w:rPr>
          <w:rStyle w:val="FootnoteReference"/>
          <w:rFonts w:cs="Times New Roman"/>
          <w:noProof/>
        </w:rPr>
        <w:footnoteReference w:id="39"/>
      </w:r>
      <w:r>
        <w:rPr>
          <w:noProof/>
        </w:rPr>
        <w:t xml:space="preserve"> e basata su dati del 2023, l</w:t>
      </w:r>
      <w:r w:rsidR="00F06D2E">
        <w:rPr>
          <w:noProof/>
        </w:rPr>
        <w:t>'</w:t>
      </w:r>
      <w:r>
        <w:rPr>
          <w:noProof/>
        </w:rPr>
        <w:t>ESMA non ha riscontrato problemi significativi nel funzionamento del mercato. Ha rilevato che la decarbonizzazione del settore energetico e l</w:t>
      </w:r>
      <w:r w:rsidR="00F06D2E">
        <w:rPr>
          <w:noProof/>
        </w:rPr>
        <w:t>'</w:t>
      </w:r>
      <w:r>
        <w:rPr>
          <w:noProof/>
        </w:rPr>
        <w:t>attività industriale costituiscono elementi trainanti per l</w:t>
      </w:r>
      <w:r w:rsidR="00F06D2E">
        <w:rPr>
          <w:noProof/>
        </w:rPr>
        <w:t>'</w:t>
      </w:r>
      <w:r>
        <w:rPr>
          <w:noProof/>
        </w:rPr>
        <w:t>evoluzione dei prezzi nei mercati del carbonio dell</w:t>
      </w:r>
      <w:r w:rsidR="00F06D2E">
        <w:rPr>
          <w:noProof/>
        </w:rPr>
        <w:t>'</w:t>
      </w:r>
      <w:r>
        <w:rPr>
          <w:noProof/>
        </w:rPr>
        <w:t>UE.</w:t>
      </w:r>
    </w:p>
    <w:p w14:paraId="2FCE02F7" w14:textId="33232797" w:rsidR="00642E53" w:rsidRPr="00685D02" w:rsidRDefault="009B0B48" w:rsidP="00C85649">
      <w:pPr>
        <w:pStyle w:val="CMR-text"/>
        <w:rPr>
          <w:rFonts w:cs="Times New Roman"/>
          <w:noProof/>
        </w:rPr>
      </w:pPr>
      <w:r>
        <w:rPr>
          <w:noProof/>
        </w:rPr>
        <w:t>Nella sua relazione più recente</w:t>
      </w:r>
      <w:r>
        <w:rPr>
          <w:rStyle w:val="FootnoteReference"/>
          <w:rFonts w:cs="Times New Roman"/>
          <w:noProof/>
          <w:lang w:val="en-IE"/>
        </w:rPr>
        <w:footnoteReference w:id="40"/>
      </w:r>
      <w:r>
        <w:rPr>
          <w:noProof/>
        </w:rPr>
        <w:t>, pubblicata il 22 ottobre 2025 e basata su dati di mercato del 2024, l</w:t>
      </w:r>
      <w:r w:rsidR="00F06D2E">
        <w:rPr>
          <w:noProof/>
        </w:rPr>
        <w:t>'</w:t>
      </w:r>
      <w:r>
        <w:rPr>
          <w:noProof/>
        </w:rPr>
        <w:t>ESMA ha riconfermato che i mercati del carbonio si sono evoluti in linea con le aspettative del mercato. L</w:t>
      </w:r>
      <w:r w:rsidR="00F06D2E">
        <w:rPr>
          <w:noProof/>
        </w:rPr>
        <w:t>'</w:t>
      </w:r>
      <w:r>
        <w:rPr>
          <w:noProof/>
        </w:rPr>
        <w:t>analisi conferma modelli e tendenze evidenziati nella relazione precedente. La relazione del 2025 dimostra un calo graduale iniziale dei prezzi dell</w:t>
      </w:r>
      <w:r w:rsidR="00F06D2E">
        <w:rPr>
          <w:noProof/>
        </w:rPr>
        <w:t>'</w:t>
      </w:r>
      <w:r>
        <w:rPr>
          <w:noProof/>
        </w:rPr>
        <w:t>ETS nel 2024, seguito da una stabilizzazione trainata dalla debolezza della domanda del settore energetico, che ha proseguito il suo percorso verso la decarbonizzazione, e da volumi d</w:t>
      </w:r>
      <w:r w:rsidR="00F06D2E">
        <w:rPr>
          <w:noProof/>
        </w:rPr>
        <w:t>'</w:t>
      </w:r>
      <w:r>
        <w:rPr>
          <w:noProof/>
        </w:rPr>
        <w:t>asta più elevati. L</w:t>
      </w:r>
      <w:r w:rsidR="00F06D2E">
        <w:rPr>
          <w:noProof/>
        </w:rPr>
        <w:t>'</w:t>
      </w:r>
      <w:r>
        <w:rPr>
          <w:noProof/>
        </w:rPr>
        <w:t xml:space="preserve">ESMA ha altresì riconfermato la persistenza di una relativa concentrazione delle aste, attribuita alla preferenza degli operatori a reperire quote di emissioni tramite intermediari finanziari. </w:t>
      </w:r>
    </w:p>
    <w:p w14:paraId="7FE0F5B3" w14:textId="36A03169" w:rsidR="00BA3BBE" w:rsidRPr="00685D02" w:rsidRDefault="00BA3BBE" w:rsidP="00C85649">
      <w:pPr>
        <w:pStyle w:val="CMR-text"/>
        <w:rPr>
          <w:rFonts w:cs="Times New Roman"/>
          <w:noProof/>
        </w:rPr>
      </w:pPr>
      <w:r>
        <w:rPr>
          <w:noProof/>
        </w:rPr>
        <w:t>L</w:t>
      </w:r>
      <w:r w:rsidR="00F06D2E">
        <w:rPr>
          <w:noProof/>
        </w:rPr>
        <w:t>'</w:t>
      </w:r>
      <w:r>
        <w:rPr>
          <w:noProof/>
        </w:rPr>
        <w:t>ESMA ha osservato che l</w:t>
      </w:r>
      <w:r w:rsidR="00F06D2E">
        <w:rPr>
          <w:noProof/>
        </w:rPr>
        <w:t>'</w:t>
      </w:r>
      <w:r>
        <w:rPr>
          <w:noProof/>
        </w:rPr>
        <w:t>attività di scambio è aumentata del 35 % nel 2024, raggiungendo un totale di 13,7 miliardi di tonnellate di CO</w:t>
      </w:r>
      <w:r>
        <w:rPr>
          <w:noProof/>
          <w:vertAlign w:val="subscript"/>
        </w:rPr>
        <w:t>2</w:t>
      </w:r>
      <w:r>
        <w:rPr>
          <w:noProof/>
        </w:rPr>
        <w:t>eq scambiate nell</w:t>
      </w:r>
      <w:r w:rsidR="00F06D2E">
        <w:rPr>
          <w:noProof/>
        </w:rPr>
        <w:t>'</w:t>
      </w:r>
      <w:r>
        <w:rPr>
          <w:noProof/>
        </w:rPr>
        <w:t>ambito di 4,7 milioni di operazioni. La crescita del mercato è stata trainata principalmente dagli scambi in sede, mentre l</w:t>
      </w:r>
      <w:r w:rsidR="00F06D2E">
        <w:rPr>
          <w:noProof/>
        </w:rPr>
        <w:t>'</w:t>
      </w:r>
      <w:r>
        <w:rPr>
          <w:noProof/>
        </w:rPr>
        <w:t>attività di scambio fuori dai mercati regolamentati (fuori borsa) è rimasta stabile. Le imprese di investimento e gli enti creditizi continuano a svolgere un ruolo importante sia nei mercati regolamentati che al di fuori di essi e rappresentano il 63 % del volume totale delle negoziazioni.</w:t>
      </w:r>
    </w:p>
    <w:p w14:paraId="5A806A93" w14:textId="5EA8DF59" w:rsidR="00E86FD6" w:rsidRPr="00685D02" w:rsidRDefault="007E7958" w:rsidP="009B25EB">
      <w:pPr>
        <w:pStyle w:val="CMR-text"/>
        <w:rPr>
          <w:rFonts w:cs="Times New Roman"/>
          <w:noProof/>
        </w:rPr>
      </w:pPr>
      <w:r>
        <w:rPr>
          <w:noProof/>
        </w:rPr>
        <w:t>L</w:t>
      </w:r>
      <w:r w:rsidR="00F06D2E">
        <w:rPr>
          <w:noProof/>
        </w:rPr>
        <w:t>'</w:t>
      </w:r>
      <w:r>
        <w:rPr>
          <w:noProof/>
        </w:rPr>
        <w:t xml:space="preserve">ESMA ha sottolineato che i contratti </w:t>
      </w:r>
      <w:r>
        <w:rPr>
          <w:i/>
          <w:noProof/>
        </w:rPr>
        <w:t>future</w:t>
      </w:r>
      <w:r>
        <w:rPr>
          <w:noProof/>
        </w:rPr>
        <w:t xml:space="preserve"> sono il fulcro dei mercati dei derivati e nel 2024 hanno rappresentato i tre quarti dei volumi negoziati. Nel complesso il mercato secondario contribuisce al buon funzionamento dell</w:t>
      </w:r>
      <w:r w:rsidR="00F06D2E">
        <w:rPr>
          <w:noProof/>
        </w:rPr>
        <w:t>'</w:t>
      </w:r>
      <w:r>
        <w:rPr>
          <w:noProof/>
        </w:rPr>
        <w:t>EU ETS agevolando l</w:t>
      </w:r>
      <w:r w:rsidR="00F06D2E">
        <w:rPr>
          <w:noProof/>
        </w:rPr>
        <w:t>'</w:t>
      </w:r>
      <w:r>
        <w:rPr>
          <w:noProof/>
        </w:rPr>
        <w:t xml:space="preserve">acquisizione di quote di emissioni presso gli intermediari finanziari da parte dei soggetti tenuti alla conformità. </w:t>
      </w:r>
    </w:p>
    <w:p w14:paraId="59993081" w14:textId="329348D3" w:rsidR="00D03E38" w:rsidRPr="00685D02" w:rsidRDefault="006C66F1" w:rsidP="00C85649">
      <w:pPr>
        <w:pStyle w:val="CMR-text"/>
        <w:rPr>
          <w:rFonts w:cs="Times New Roman"/>
          <w:noProof/>
        </w:rPr>
      </w:pPr>
      <w:r>
        <w:rPr>
          <w:noProof/>
        </w:rPr>
        <w:t>L</w:t>
      </w:r>
      <w:r w:rsidR="00F06D2E">
        <w:rPr>
          <w:noProof/>
        </w:rPr>
        <w:t>'</w:t>
      </w:r>
      <w:r>
        <w:rPr>
          <w:noProof/>
        </w:rPr>
        <w:t>ESMA ha inoltre ribadito l</w:t>
      </w:r>
      <w:r w:rsidR="00F06D2E">
        <w:rPr>
          <w:noProof/>
        </w:rPr>
        <w:t>'</w:t>
      </w:r>
      <w:r>
        <w:rPr>
          <w:noProof/>
        </w:rPr>
        <w:t>importanza di mettere a disposizione dei soggetti che figurano nel registro dell</w:t>
      </w:r>
      <w:r w:rsidR="00F06D2E">
        <w:rPr>
          <w:noProof/>
        </w:rPr>
        <w:t>'</w:t>
      </w:r>
      <w:r>
        <w:rPr>
          <w:noProof/>
        </w:rPr>
        <w:t>Unione identificativi delle persone giuridiche (</w:t>
      </w:r>
      <w:r>
        <w:rPr>
          <w:i/>
          <w:noProof/>
        </w:rPr>
        <w:t>Legal Entity Identifiers</w:t>
      </w:r>
      <w:r>
        <w:rPr>
          <w:noProof/>
        </w:rPr>
        <w:t>, LEI) e sollecita gli amministratori nazionali a compiere ulteriori sforzi per garantire l</w:t>
      </w:r>
      <w:r w:rsidR="00F06D2E">
        <w:rPr>
          <w:noProof/>
        </w:rPr>
        <w:t>'</w:t>
      </w:r>
      <w:r>
        <w:rPr>
          <w:noProof/>
        </w:rPr>
        <w:t>attuazione dell</w:t>
      </w:r>
      <w:r w:rsidR="00F06D2E">
        <w:rPr>
          <w:noProof/>
        </w:rPr>
        <w:t>'</w:t>
      </w:r>
      <w:r>
        <w:rPr>
          <w:noProof/>
        </w:rPr>
        <w:t>obbligo di registrazione del LEI per i titolari di conti nel registro dell</w:t>
      </w:r>
      <w:r w:rsidR="00F06D2E">
        <w:rPr>
          <w:noProof/>
        </w:rPr>
        <w:t>'</w:t>
      </w:r>
      <w:r>
        <w:rPr>
          <w:noProof/>
        </w:rPr>
        <w:t>Unione. Tale aspetto rimarrà particolarmente pertinente nel 2025, in quanto il numero di titolari di conti continua ad aumentare a causa dell</w:t>
      </w:r>
      <w:r w:rsidR="00F06D2E">
        <w:rPr>
          <w:noProof/>
        </w:rPr>
        <w:t>'</w:t>
      </w:r>
      <w:r>
        <w:rPr>
          <w:noProof/>
        </w:rPr>
        <w:t>estensione dell</w:t>
      </w:r>
      <w:r w:rsidR="00F06D2E">
        <w:rPr>
          <w:noProof/>
        </w:rPr>
        <w:t>'</w:t>
      </w:r>
      <w:r>
        <w:rPr>
          <w:noProof/>
        </w:rPr>
        <w:t>EU ETS al settore marittimo e dell</w:t>
      </w:r>
      <w:r w:rsidR="00F06D2E">
        <w:rPr>
          <w:noProof/>
        </w:rPr>
        <w:t>'</w:t>
      </w:r>
      <w:r>
        <w:rPr>
          <w:noProof/>
        </w:rPr>
        <w:t>avvio dell</w:t>
      </w:r>
      <w:r w:rsidR="00F06D2E">
        <w:rPr>
          <w:noProof/>
        </w:rPr>
        <w:t>'</w:t>
      </w:r>
      <w:r>
        <w:rPr>
          <w:noProof/>
        </w:rPr>
        <w:t>ETS2 per l</w:t>
      </w:r>
      <w:r w:rsidR="00F06D2E">
        <w:rPr>
          <w:noProof/>
        </w:rPr>
        <w:t>'</w:t>
      </w:r>
      <w:r>
        <w:rPr>
          <w:noProof/>
        </w:rPr>
        <w:t>edilizia, il trasporto stradale e altri settori. L</w:t>
      </w:r>
      <w:r w:rsidR="00F06D2E">
        <w:rPr>
          <w:noProof/>
        </w:rPr>
        <w:t>'</w:t>
      </w:r>
      <w:r>
        <w:rPr>
          <w:noProof/>
        </w:rPr>
        <w:t>ESMA ritiene che a tale riguardo sia necessario proseguire l</w:t>
      </w:r>
      <w:r w:rsidR="00F06D2E">
        <w:rPr>
          <w:noProof/>
        </w:rPr>
        <w:t>'</w:t>
      </w:r>
      <w:r>
        <w:rPr>
          <w:noProof/>
        </w:rPr>
        <w:t xml:space="preserve">analisi e il monitoraggio del mercato del carbonio. </w:t>
      </w:r>
    </w:p>
    <w:p w14:paraId="5F34B86E" w14:textId="3E2EA2A9" w:rsidR="00251165" w:rsidRPr="00685D02" w:rsidRDefault="0EE9AD71" w:rsidP="00C85649">
      <w:pPr>
        <w:pStyle w:val="CMR-text"/>
        <w:rPr>
          <w:rFonts w:cs="Times New Roman"/>
          <w:noProof/>
        </w:rPr>
      </w:pPr>
      <w:r>
        <w:rPr>
          <w:noProof/>
        </w:rPr>
        <w:t>Sebbene il LEI non sia obbligatorio per aprire un conto nel registro dell</w:t>
      </w:r>
      <w:r w:rsidR="00F06D2E">
        <w:rPr>
          <w:noProof/>
        </w:rPr>
        <w:t>'</w:t>
      </w:r>
      <w:r>
        <w:rPr>
          <w:noProof/>
        </w:rPr>
        <w:t>Unione, i soggetti che ne dispongono sono tenuti a indicare tali informazioni nel registro dell</w:t>
      </w:r>
      <w:r w:rsidR="00F06D2E">
        <w:rPr>
          <w:noProof/>
        </w:rPr>
        <w:t>'</w:t>
      </w:r>
      <w:r>
        <w:rPr>
          <w:noProof/>
        </w:rPr>
        <w:t>Unione al momento dell</w:t>
      </w:r>
      <w:r w:rsidR="00F06D2E">
        <w:rPr>
          <w:noProof/>
        </w:rPr>
        <w:t>'</w:t>
      </w:r>
      <w:r>
        <w:rPr>
          <w:noProof/>
        </w:rPr>
        <w:t>apertura di un conto. Inoltre la modifica del 2023 del regolamento sul registro (regolamento (UE) 2019/1122)</w:t>
      </w:r>
      <w:r>
        <w:rPr>
          <w:rStyle w:val="FootnoteReference"/>
          <w:rFonts w:cs="Times New Roman"/>
          <w:noProof/>
          <w:lang w:val="en-IE"/>
        </w:rPr>
        <w:footnoteReference w:id="41"/>
      </w:r>
      <w:r>
        <w:rPr>
          <w:noProof/>
        </w:rPr>
        <w:t xml:space="preserve"> prevede che gli amministratori nazionali esaminino, entro la fine del 2024, i conti che non contengono informazioni sul LEI o sullo status di sede di negoziazione o controparte centrale di cui all</w:t>
      </w:r>
      <w:r w:rsidR="00F06D2E">
        <w:rPr>
          <w:noProof/>
        </w:rPr>
        <w:t>'</w:t>
      </w:r>
      <w:r>
        <w:rPr>
          <w:noProof/>
        </w:rPr>
        <w:t>allegato III, tabella III-I, del regolamento. Nonostante l</w:t>
      </w:r>
      <w:r w:rsidR="00F06D2E">
        <w:rPr>
          <w:noProof/>
        </w:rPr>
        <w:t>'</w:t>
      </w:r>
      <w:r>
        <w:rPr>
          <w:noProof/>
        </w:rPr>
        <w:t xml:space="preserve">obbligo di esaminare le informazioni sui LEI, la disponibilità di tali identificativi rimane al di sotto delle aspettative. </w:t>
      </w:r>
    </w:p>
    <w:p w14:paraId="5DF6AA9F" w14:textId="44F9D095" w:rsidR="00AC64A9" w:rsidRPr="00685D02" w:rsidRDefault="7560A819" w:rsidP="00C85649">
      <w:pPr>
        <w:pStyle w:val="CMR-text"/>
        <w:rPr>
          <w:rFonts w:cs="Times New Roman"/>
          <w:noProof/>
        </w:rPr>
      </w:pPr>
      <w:r>
        <w:rPr>
          <w:noProof/>
        </w:rPr>
        <w:t>Il 28 marzo 2024 sono entrati in vigore la direttiva riveduta relativa ai mercati degli strumenti finanziari (MiFID II)</w:t>
      </w:r>
      <w:r>
        <w:rPr>
          <w:rFonts w:cs="Times New Roman"/>
          <w:noProof/>
          <w:vertAlign w:val="superscript"/>
          <w:lang w:val="en-IE"/>
        </w:rPr>
        <w:footnoteReference w:id="42"/>
      </w:r>
      <w:r>
        <w:rPr>
          <w:noProof/>
        </w:rPr>
        <w:t xml:space="preserve"> e il regolamento riveduto sui mercati degli strumenti finanziari (MiFIR) (regolamento</w:t>
      </w:r>
      <w:r w:rsidR="0008163A">
        <w:rPr>
          <w:noProof/>
        </w:rPr>
        <w:t> </w:t>
      </w:r>
      <w:r>
        <w:rPr>
          <w:noProof/>
        </w:rPr>
        <w:t>(UE) 2024/791)</w:t>
      </w:r>
      <w:r>
        <w:rPr>
          <w:rFonts w:cs="Times New Roman"/>
          <w:noProof/>
          <w:vertAlign w:val="superscript"/>
          <w:lang w:val="en-IE"/>
        </w:rPr>
        <w:footnoteReference w:id="43"/>
      </w:r>
      <w:r>
        <w:rPr>
          <w:noProof/>
        </w:rPr>
        <w:t>, che rafforzano ulteriormente le norme in materia di mercati finanziari, trasparenza e vigilanza. L</w:t>
      </w:r>
      <w:r w:rsidR="00F06D2E">
        <w:rPr>
          <w:noProof/>
        </w:rPr>
        <w:t>'</w:t>
      </w:r>
      <w:r>
        <w:rPr>
          <w:noProof/>
        </w:rPr>
        <w:t>articolo 57 MiFIR estende i controlli sulla gestione delle posizioni alle sedi di negoziazione che negoziano derivati sulle quote di emissioni. L</w:t>
      </w:r>
      <w:r w:rsidR="00F06D2E">
        <w:rPr>
          <w:noProof/>
        </w:rPr>
        <w:t>'</w:t>
      </w:r>
      <w:r>
        <w:rPr>
          <w:noProof/>
        </w:rPr>
        <w:t>articolo 58 del medesimo regolamento modifica l</w:t>
      </w:r>
      <w:r w:rsidR="00F06D2E">
        <w:rPr>
          <w:noProof/>
        </w:rPr>
        <w:t>'</w:t>
      </w:r>
      <w:r>
        <w:rPr>
          <w:noProof/>
        </w:rPr>
        <w:t>ambito della segnalazione delle posizioni delle sedi di negoziazione e delle imprese di investimento escludendo le quote di emissioni e introduce un nuovo obbligo di presentare due relazioni settimanali sulle posizioni</w:t>
      </w:r>
      <w:r>
        <w:rPr>
          <w:rFonts w:cs="Times New Roman"/>
          <w:noProof/>
          <w:vertAlign w:val="superscript"/>
          <w:lang w:val="en-IE"/>
        </w:rPr>
        <w:footnoteReference w:id="44"/>
      </w:r>
      <w:r>
        <w:rPr>
          <w:noProof/>
        </w:rPr>
        <w:t xml:space="preserve">, migliorando la trasparenza dello scambio di quote e della negoziazione dei relativi derivati. </w:t>
      </w:r>
    </w:p>
    <w:p w14:paraId="32EA8BB5" w14:textId="1C0C1F2B" w:rsidR="007C6401" w:rsidRPr="00685D02" w:rsidRDefault="00341EF6" w:rsidP="003D21B9">
      <w:pPr>
        <w:pStyle w:val="CMR-text"/>
        <w:rPr>
          <w:rFonts w:cs="Times New Roman"/>
          <w:noProof/>
        </w:rPr>
      </w:pPr>
      <w:r>
        <w:rPr>
          <w:noProof/>
        </w:rPr>
        <w:t>Per dare seguito a queste nuove norme, la Commissione sta rivedendo il quadro normativo per i mercati dei derivati su merci, comprese le quote di emissioni. Sta valutando se i limiti di posizione e i controlli sulla gestione possano contribuire a prevenire gli abusi di mercato e a promuovere condizioni ordinate di fissazione dei prezzi e di regolamento. Sta inoltre esaminando i criteri per definire le attività accessorie a livello di gruppo, esplorando la possibilità di centralizzare e armonizzare la raccolta dei dati sulle operazioni tra il MiFIR e il regolamento sulle infrastrutture del mercato europeo (EMIR- regolamento (UE) n. 648/2012)</w:t>
      </w:r>
      <w:r>
        <w:rPr>
          <w:rStyle w:val="FootnoteReference"/>
          <w:rFonts w:cs="Times New Roman"/>
          <w:noProof/>
          <w:lang w:val="en-IE"/>
        </w:rPr>
        <w:footnoteReference w:id="45"/>
      </w:r>
      <w:r>
        <w:rPr>
          <w:noProof/>
        </w:rPr>
        <w:t xml:space="preserve"> e valutando quali dati dovrebbero essere pubblici e come divulgarli al meglio. Nell</w:t>
      </w:r>
      <w:r w:rsidR="00F06D2E">
        <w:rPr>
          <w:noProof/>
        </w:rPr>
        <w:t>'</w:t>
      </w:r>
      <w:r>
        <w:rPr>
          <w:noProof/>
        </w:rPr>
        <w:t>ambito di tale attività, la Commissione ha svolto una consultazione mirata</w:t>
      </w:r>
      <w:r>
        <w:rPr>
          <w:rStyle w:val="FootnoteReference"/>
          <w:rFonts w:cs="Times New Roman"/>
          <w:noProof/>
          <w:lang w:val="en-IE"/>
        </w:rPr>
        <w:footnoteReference w:id="46"/>
      </w:r>
      <w:r>
        <w:rPr>
          <w:noProof/>
        </w:rPr>
        <w:t xml:space="preserve"> sull</w:t>
      </w:r>
      <w:r w:rsidR="00F06D2E">
        <w:rPr>
          <w:noProof/>
        </w:rPr>
        <w:t>'</w:t>
      </w:r>
      <w:r>
        <w:rPr>
          <w:noProof/>
        </w:rPr>
        <w:t>esame del funzionamento dei mercati dei derivati su merci e su taluni aspetti relativi ai mercati a pronti dell</w:t>
      </w:r>
      <w:r w:rsidR="00F06D2E">
        <w:rPr>
          <w:noProof/>
        </w:rPr>
        <w:t>'</w:t>
      </w:r>
      <w:r>
        <w:rPr>
          <w:noProof/>
        </w:rPr>
        <w:t xml:space="preserve">energia, che riguardano anche le norme relative ai mercati finanziari applicabili alle quote di emissioni. </w:t>
      </w:r>
    </w:p>
    <w:p w14:paraId="2B3E0621" w14:textId="3EA7DADB" w:rsidR="00EC7AB4" w:rsidRPr="00685D02" w:rsidRDefault="00FF336D" w:rsidP="003D21B9">
      <w:pPr>
        <w:pStyle w:val="CMR-text"/>
        <w:rPr>
          <w:rFonts w:cs="Times New Roman"/>
          <w:noProof/>
        </w:rPr>
      </w:pPr>
      <w:r>
        <w:rPr>
          <w:noProof/>
        </w:rPr>
        <w:t>I risultati della consultazione mirata sul quadro relativo ai derivati su merci confluiranno nei lavori della task force per il mercato del gas (GMTF), istituita all</w:t>
      </w:r>
      <w:r w:rsidR="00F06D2E">
        <w:rPr>
          <w:noProof/>
        </w:rPr>
        <w:t>'</w:t>
      </w:r>
      <w:r>
        <w:rPr>
          <w:noProof/>
        </w:rPr>
        <w:t>inizio del 2025 nell</w:t>
      </w:r>
      <w:r w:rsidR="00F06D2E">
        <w:rPr>
          <w:noProof/>
        </w:rPr>
        <w:t>'</w:t>
      </w:r>
      <w:r>
        <w:rPr>
          <w:noProof/>
        </w:rPr>
        <w:t>ambito del piano d</w:t>
      </w:r>
      <w:r w:rsidR="00F06D2E">
        <w:rPr>
          <w:noProof/>
        </w:rPr>
        <w:t>'</w:t>
      </w:r>
      <w:r>
        <w:rPr>
          <w:noProof/>
        </w:rPr>
        <w:t>azione per un</w:t>
      </w:r>
      <w:r w:rsidR="00F06D2E">
        <w:rPr>
          <w:noProof/>
        </w:rPr>
        <w:t>'</w:t>
      </w:r>
      <w:r>
        <w:rPr>
          <w:noProof/>
        </w:rPr>
        <w:t>energia a prezzi accessibili</w:t>
      </w:r>
      <w:r>
        <w:rPr>
          <w:rStyle w:val="FootnoteReference"/>
          <w:rFonts w:cs="Times New Roman"/>
          <w:noProof/>
          <w:lang w:val="en-IE"/>
        </w:rPr>
        <w:footnoteReference w:id="47"/>
      </w:r>
      <w:r>
        <w:rPr>
          <w:noProof/>
        </w:rPr>
        <w:t>, al fine di esaminare il funzionamento dei mercati del gas dell</w:t>
      </w:r>
      <w:r w:rsidR="00F06D2E">
        <w:rPr>
          <w:noProof/>
        </w:rPr>
        <w:t>'</w:t>
      </w:r>
      <w:r>
        <w:rPr>
          <w:noProof/>
        </w:rPr>
        <w:t>UE e intervenire ove necessario e opportuno. Dato che le norme relative ai derivati energetici si applicano in larga misura anche allo scambio di quote di emissioni e dei prodotti derivati associati, le conclusioni della task force, che dovrebbe terminare i suoi lavori entro la fine del 2025, potrebbero essere pertinenti per i mercati del carbonio dell</w:t>
      </w:r>
      <w:r w:rsidR="00F06D2E">
        <w:rPr>
          <w:noProof/>
        </w:rPr>
        <w:t>'</w:t>
      </w:r>
      <w:r>
        <w:rPr>
          <w:noProof/>
        </w:rPr>
        <w:t xml:space="preserve">UE. </w:t>
      </w:r>
    </w:p>
    <w:p w14:paraId="3DD8AE7E" w14:textId="3164585F" w:rsidR="00613B80" w:rsidRPr="00EC4FC3" w:rsidRDefault="00613B80" w:rsidP="00EC4FC3">
      <w:pPr>
        <w:pStyle w:val="CMR-Heading"/>
        <w:rPr>
          <w:noProof/>
        </w:rPr>
      </w:pPr>
      <w:bookmarkStart w:id="44" w:name="_Toc180513402"/>
      <w:bookmarkStart w:id="45" w:name="_Toc218937032"/>
      <w:r>
        <w:rPr>
          <w:noProof/>
        </w:rPr>
        <w:t>Andamento delle emissioni</w:t>
      </w:r>
      <w:bookmarkEnd w:id="44"/>
      <w:bookmarkEnd w:id="45"/>
    </w:p>
    <w:p w14:paraId="265A9ACD" w14:textId="44D0B5E4" w:rsidR="00155EEB" w:rsidRPr="00685D02" w:rsidRDefault="71BFB6D5" w:rsidP="00B65C51">
      <w:pPr>
        <w:pStyle w:val="CMR-text"/>
        <w:rPr>
          <w:rFonts w:cs="Times New Roman"/>
          <w:noProof/>
        </w:rPr>
      </w:pPr>
      <w:r>
        <w:rPr>
          <w:noProof/>
        </w:rPr>
        <w:t>Nel 2024 le emissioni complessive nell</w:t>
      </w:r>
      <w:r w:rsidR="00F06D2E">
        <w:rPr>
          <w:noProof/>
        </w:rPr>
        <w:t>'</w:t>
      </w:r>
      <w:r>
        <w:rPr>
          <w:noProof/>
        </w:rPr>
        <w:t>EU ETS ammontavano a 1 187 milioni di tonnellate (Mt)</w:t>
      </w:r>
      <w:r>
        <w:rPr>
          <w:rStyle w:val="FootnoteReference"/>
          <w:rFonts w:cs="Times New Roman"/>
          <w:noProof/>
          <w:lang w:val="en-IE"/>
        </w:rPr>
        <w:footnoteReference w:id="48"/>
      </w:r>
      <w:r>
        <w:rPr>
          <w:noProof/>
        </w:rPr>
        <w:t>. Tale</w:t>
      </w:r>
      <w:r w:rsidR="0008163A">
        <w:rPr>
          <w:noProof/>
        </w:rPr>
        <w:t> </w:t>
      </w:r>
      <w:r>
        <w:rPr>
          <w:noProof/>
        </w:rPr>
        <w:t>quantitativo è superiore a quello del 2023 (1 150,3 Mt di CO</w:t>
      </w:r>
      <w:r>
        <w:rPr>
          <w:noProof/>
          <w:vertAlign w:val="subscript"/>
        </w:rPr>
        <w:t>2</w:t>
      </w:r>
      <w:r>
        <w:rPr>
          <w:noProof/>
        </w:rPr>
        <w:t>eq), in parte per effetto dell</w:t>
      </w:r>
      <w:r w:rsidR="00F06D2E">
        <w:rPr>
          <w:noProof/>
        </w:rPr>
        <w:t>'</w:t>
      </w:r>
      <w:r>
        <w:rPr>
          <w:noProof/>
        </w:rPr>
        <w:t>inclusione del settore marittimo nell</w:t>
      </w:r>
      <w:r w:rsidR="00F06D2E">
        <w:rPr>
          <w:noProof/>
        </w:rPr>
        <w:t>'</w:t>
      </w:r>
      <w:r>
        <w:rPr>
          <w:noProof/>
        </w:rPr>
        <w:t xml:space="preserve">EU ETS. Considerando solo gli impianti e gli operatori aerei, nel 2024 le emissioni ETS sono state inferiori del 4,4 % rispetto ai livelli del 2023. </w:t>
      </w:r>
    </w:p>
    <w:p w14:paraId="6754C0DF" w14:textId="75CBCAB9" w:rsidR="002E0E53" w:rsidRPr="00685D02" w:rsidRDefault="2B9C80DF" w:rsidP="00B65C51">
      <w:pPr>
        <w:pStyle w:val="CMR-text"/>
        <w:rPr>
          <w:rFonts w:cs="Times New Roman"/>
          <w:noProof/>
        </w:rPr>
      </w:pPr>
      <w:r>
        <w:rPr>
          <w:noProof/>
        </w:rPr>
        <w:t>Le emissioni degli impianti industriali e per la produzione di energia elettrica sono ammontate a 1 033,3</w:t>
      </w:r>
      <w:r w:rsidR="0008163A">
        <w:rPr>
          <w:noProof/>
        </w:rPr>
        <w:t> </w:t>
      </w:r>
      <w:r>
        <w:rPr>
          <w:noProof/>
        </w:rPr>
        <w:t>Mt di CO</w:t>
      </w:r>
      <w:r>
        <w:rPr>
          <w:noProof/>
          <w:vertAlign w:val="subscript"/>
        </w:rPr>
        <w:t>2</w:t>
      </w:r>
      <w:r>
        <w:rPr>
          <w:noProof/>
        </w:rPr>
        <w:t>eq, con un calo del 5,8 % rispetto ai livelli del 2023. Grazie a questa evoluzione positiva, le emissioni ETS di questi impianti risultano ora inferiori di circa il 50 % rispetto ai livelli del 2005 e sono sulla buona strada per raggiungere l</w:t>
      </w:r>
      <w:r w:rsidR="00F06D2E">
        <w:rPr>
          <w:noProof/>
        </w:rPr>
        <w:t>'</w:t>
      </w:r>
      <w:r>
        <w:rPr>
          <w:noProof/>
        </w:rPr>
        <w:t>obiettivo di riduzione del 62 % fissato per il 2030. La</w:t>
      </w:r>
      <w:r w:rsidR="0008163A">
        <w:rPr>
          <w:noProof/>
        </w:rPr>
        <w:t> </w:t>
      </w:r>
      <w:r>
        <w:rPr>
          <w:noProof/>
        </w:rPr>
        <w:t>tabella 4 riporta i dati sulle emissioni annue degli impianti. Le emissioni derivanti dal trasporto aereo e marittimo sono esaminate rispettivamente nei capitoli 9 e 10.</w:t>
      </w:r>
    </w:p>
    <w:p w14:paraId="46D38617" w14:textId="1AA22B8E" w:rsidR="006210A4" w:rsidRPr="00685D02" w:rsidRDefault="45F1AB47" w:rsidP="00664AF0">
      <w:pPr>
        <w:pStyle w:val="CMR-text"/>
        <w:rPr>
          <w:rFonts w:cs="Times New Roman"/>
          <w:noProof/>
        </w:rPr>
      </w:pPr>
      <w:r>
        <w:rPr>
          <w:noProof/>
        </w:rPr>
        <w:t>I settori della produzione di energia elettrica e calore hanno contribuito in maggior misura alla riduzione complessiva delle emissioni nell</w:t>
      </w:r>
      <w:r w:rsidR="00F06D2E">
        <w:rPr>
          <w:noProof/>
        </w:rPr>
        <w:t>'</w:t>
      </w:r>
      <w:r>
        <w:rPr>
          <w:noProof/>
        </w:rPr>
        <w:t>ambito dell</w:t>
      </w:r>
      <w:r w:rsidR="00F06D2E">
        <w:rPr>
          <w:noProof/>
        </w:rPr>
        <w:t>'</w:t>
      </w:r>
      <w:r>
        <w:rPr>
          <w:noProof/>
        </w:rPr>
        <w:t>EU ETS. Le emissioni derivanti dalla produzione di energia elettrica e calore sono diminuite del 10,7 % rispetto al 2023</w:t>
      </w:r>
      <w:r>
        <w:rPr>
          <w:rStyle w:val="FootnoteReference"/>
          <w:rFonts w:cs="Times New Roman"/>
          <w:noProof/>
          <w:lang w:val="en-IE"/>
        </w:rPr>
        <w:footnoteReference w:id="49"/>
      </w:r>
      <w:r>
        <w:rPr>
          <w:noProof/>
        </w:rPr>
        <w:t>, in gran parte a causa di un aumento sostanziale della quota di energie rinnovabili e di energia nucleare nel mix energetico, associato a una minore dipendenza dai principali combustibili fossili quali il gas naturale e il carbone (cfr. capitolo 7.1). Tale tendenza è emersa nonostante un calo dei prezzi medi del carbonio nel 2024 (che rientravano per lo più in un intervallo compreso tra 60 e 75 EUR) e un aumento complessivo della produzione di energia elettrica.</w:t>
      </w:r>
    </w:p>
    <w:p w14:paraId="7F47588A" w14:textId="6D349B44" w:rsidR="00897B8A" w:rsidRPr="00685D02" w:rsidRDefault="72E16706" w:rsidP="00664AF0">
      <w:pPr>
        <w:pStyle w:val="CMR-text"/>
        <w:rPr>
          <w:rFonts w:cs="Times New Roman"/>
          <w:noProof/>
        </w:rPr>
      </w:pPr>
      <w:r>
        <w:rPr>
          <w:noProof/>
        </w:rPr>
        <w:t>Nel 2024 le rinnovabili e i biocombustibili sono stati la principale fonte di energia elettrica nell</w:t>
      </w:r>
      <w:r w:rsidR="00F06D2E">
        <w:rPr>
          <w:noProof/>
        </w:rPr>
        <w:t>'</w:t>
      </w:r>
      <w:r>
        <w:rPr>
          <w:noProof/>
        </w:rPr>
        <w:t>UE, con una quota del 47,2 %. La produzione complessiva di energia elettrica da fonti rinnovabili è aumentata del 7,6 % nel 2024, con un notevole incremento dell</w:t>
      </w:r>
      <w:r w:rsidR="00F06D2E">
        <w:rPr>
          <w:noProof/>
        </w:rPr>
        <w:t>'</w:t>
      </w:r>
      <w:r>
        <w:rPr>
          <w:noProof/>
        </w:rPr>
        <w:t>energia solare pari al 19,3 % e un aumento dell</w:t>
      </w:r>
      <w:r w:rsidR="00F06D2E">
        <w:rPr>
          <w:noProof/>
        </w:rPr>
        <w:t>'</w:t>
      </w:r>
      <w:r>
        <w:rPr>
          <w:noProof/>
        </w:rPr>
        <w:t>energia idroelettrica del 12 %, anche se l</w:t>
      </w:r>
      <w:r w:rsidR="00F06D2E">
        <w:rPr>
          <w:noProof/>
        </w:rPr>
        <w:t>'</w:t>
      </w:r>
      <w:r>
        <w:rPr>
          <w:noProof/>
        </w:rPr>
        <w:t>uso di biocombustibili è diminuito del 5,2 %</w:t>
      </w:r>
      <w:r>
        <w:rPr>
          <w:rStyle w:val="FootnoteReference"/>
          <w:rFonts w:cs="Times New Roman"/>
          <w:noProof/>
          <w:lang w:val="en-IE"/>
        </w:rPr>
        <w:footnoteReference w:id="50"/>
      </w:r>
      <w:r>
        <w:rPr>
          <w:noProof/>
        </w:rPr>
        <w:t>.</w:t>
      </w:r>
    </w:p>
    <w:p w14:paraId="5C611B32" w14:textId="099FFE51" w:rsidR="003B749F" w:rsidRPr="00685D02" w:rsidRDefault="00C8562E" w:rsidP="00664AF0">
      <w:pPr>
        <w:pStyle w:val="CMR-text"/>
        <w:rPr>
          <w:rFonts w:cs="Times New Roman"/>
          <w:noProof/>
        </w:rPr>
      </w:pPr>
      <w:r>
        <w:rPr>
          <w:noProof/>
        </w:rPr>
        <w:t>L</w:t>
      </w:r>
      <w:r w:rsidR="00F06D2E">
        <w:rPr>
          <w:noProof/>
        </w:rPr>
        <w:t>'</w:t>
      </w:r>
      <w:r>
        <w:rPr>
          <w:noProof/>
        </w:rPr>
        <w:t>energia nucleare e la combustione di combustibili fossili hanno contribuito rispettivamente per il 23,5 % e il 28,1 % alla produzione di energia elettrica. Tali percentuali si spiegano con un calo dell</w:t>
      </w:r>
      <w:r w:rsidR="00F06D2E">
        <w:rPr>
          <w:noProof/>
        </w:rPr>
        <w:t>'</w:t>
      </w:r>
      <w:r>
        <w:rPr>
          <w:noProof/>
        </w:rPr>
        <w:t>11,9 % dell</w:t>
      </w:r>
      <w:r w:rsidR="00F06D2E">
        <w:rPr>
          <w:noProof/>
        </w:rPr>
        <w:t>'</w:t>
      </w:r>
      <w:r>
        <w:rPr>
          <w:noProof/>
        </w:rPr>
        <w:t>energia elettrica prodotta a partire dal carbone, una diminuzione del consumo di gas naturale pari all</w:t>
      </w:r>
      <w:r w:rsidR="00F06D2E">
        <w:rPr>
          <w:noProof/>
        </w:rPr>
        <w:t>'</w:t>
      </w:r>
      <w:r>
        <w:rPr>
          <w:noProof/>
        </w:rPr>
        <w:t>8,1 %, un aumento del 5,2 % dell</w:t>
      </w:r>
      <w:r w:rsidR="00F06D2E">
        <w:rPr>
          <w:noProof/>
        </w:rPr>
        <w:t>''</w:t>
      </w:r>
      <w:r>
        <w:rPr>
          <w:noProof/>
        </w:rPr>
        <w:t xml:space="preserve">energia elettrica prodotta a partire dal petrolio e un aumento della produzione di energia nucleare pari al 5,1 %. </w:t>
      </w:r>
    </w:p>
    <w:p w14:paraId="0C5EAE72" w14:textId="03BF9052" w:rsidR="00E2084F" w:rsidRPr="00685D02" w:rsidRDefault="678FB2C1" w:rsidP="00664AF0">
      <w:pPr>
        <w:pStyle w:val="CMR-text"/>
        <w:rPr>
          <w:rFonts w:cs="Times New Roman"/>
          <w:noProof/>
        </w:rPr>
      </w:pPr>
      <w:r>
        <w:rPr>
          <w:noProof/>
        </w:rPr>
        <w:t>Nel 2024 l</w:t>
      </w:r>
      <w:r w:rsidR="00F06D2E">
        <w:rPr>
          <w:noProof/>
        </w:rPr>
        <w:t>'</w:t>
      </w:r>
      <w:r>
        <w:rPr>
          <w:noProof/>
        </w:rPr>
        <w:t>UE ha registrato un altro anno record per quanto riguarda la capacità di energia solare installata, con ulteriori 65,5 GW che hanno portato il totale a 338 GW, come riferito da SolarPower Europe. La capacità di energia eolica ha raggiunto i 234 GW, con l</w:t>
      </w:r>
      <w:r w:rsidR="00F06D2E">
        <w:rPr>
          <w:noProof/>
        </w:rPr>
        <w:t>'</w:t>
      </w:r>
      <w:r>
        <w:rPr>
          <w:noProof/>
        </w:rPr>
        <w:t>installazione di 12,9 GW nello stesso anno, secondo i dati forniti da WindEurope.</w:t>
      </w:r>
    </w:p>
    <w:p w14:paraId="6AFE5FD0" w14:textId="2745ADB9" w:rsidR="00317FAE" w:rsidRPr="00685D02" w:rsidRDefault="55C8FAFD" w:rsidP="00A71432">
      <w:pPr>
        <w:pStyle w:val="CMR-text"/>
        <w:rPr>
          <w:rFonts w:cs="Times New Roman"/>
          <w:noProof/>
        </w:rPr>
      </w:pPr>
      <w:r>
        <w:rPr>
          <w:rStyle w:val="CMR-textChar"/>
          <w:noProof/>
        </w:rPr>
        <w:t>Le emissioni degli impianti industriali nel 2024 sono leggermente diminuite dello 0,8 %</w:t>
      </w:r>
      <w:r>
        <w:rPr>
          <w:noProof/>
        </w:rPr>
        <w:t xml:space="preserve"> rispetto al 2023. Nonostante la riduzione complessiva della produzione industriale</w:t>
      </w:r>
      <w:r>
        <w:rPr>
          <w:rStyle w:val="FootnoteReference"/>
          <w:rFonts w:cs="Times New Roman"/>
          <w:noProof/>
          <w:lang w:val="en-IE"/>
        </w:rPr>
        <w:footnoteReference w:id="51"/>
      </w:r>
      <w:r>
        <w:rPr>
          <w:noProof/>
        </w:rPr>
        <w:t>, si è osservata una modesta ripresa in alcuni settori ad alta intensità energetica come l</w:t>
      </w:r>
      <w:r w:rsidR="00F06D2E">
        <w:rPr>
          <w:noProof/>
        </w:rPr>
        <w:t>'</w:t>
      </w:r>
      <w:r>
        <w:rPr>
          <w:noProof/>
        </w:rPr>
        <w:t>acciaio, i fertilizzanti e i prodotti chimici. Ciò</w:t>
      </w:r>
      <w:r w:rsidR="0008163A">
        <w:rPr>
          <w:noProof/>
        </w:rPr>
        <w:t> </w:t>
      </w:r>
      <w:r>
        <w:rPr>
          <w:noProof/>
        </w:rPr>
        <w:t>indica che tali settori stanno gradualmente incrementando l</w:t>
      </w:r>
      <w:r w:rsidR="00F06D2E">
        <w:rPr>
          <w:noProof/>
        </w:rPr>
        <w:t>'</w:t>
      </w:r>
      <w:r>
        <w:rPr>
          <w:noProof/>
        </w:rPr>
        <w:t>attività dopo la crisi energetica innescata dall</w:t>
      </w:r>
      <w:r w:rsidR="00F06D2E">
        <w:rPr>
          <w:noProof/>
        </w:rPr>
        <w:t>'</w:t>
      </w:r>
      <w:r>
        <w:rPr>
          <w:noProof/>
        </w:rPr>
        <w:t>impennata dei prezzi del gas naturale nel 2022 a causa dell</w:t>
      </w:r>
      <w:r w:rsidR="00F06D2E">
        <w:rPr>
          <w:noProof/>
        </w:rPr>
        <w:t>'</w:t>
      </w:r>
      <w:r>
        <w:rPr>
          <w:noProof/>
        </w:rPr>
        <w:t>invasione dell</w:t>
      </w:r>
      <w:r w:rsidR="00F06D2E">
        <w:rPr>
          <w:noProof/>
        </w:rPr>
        <w:t>'</w:t>
      </w:r>
      <w:r>
        <w:rPr>
          <w:noProof/>
        </w:rPr>
        <w:t>Ucraina da parte della Russia. Le differenze nei livelli di produzione riscontrate nei vari settori possono giustificare la tendenza generalmente stabile delle emissioni, sebbene nel 2024 si siano osservati anche modesti miglioramenti dell</w:t>
      </w:r>
      <w:r w:rsidR="00F06D2E">
        <w:rPr>
          <w:noProof/>
        </w:rPr>
        <w:t>'</w:t>
      </w:r>
      <w:r>
        <w:rPr>
          <w:noProof/>
        </w:rPr>
        <w:t>efficienza energetica in alcuni settori.</w:t>
      </w:r>
    </w:p>
    <w:p w14:paraId="758D68A2" w14:textId="45861E50" w:rsidR="009235EF" w:rsidRPr="007B73CC" w:rsidRDefault="009235EF" w:rsidP="00787D75">
      <w:pPr>
        <w:pStyle w:val="Caption"/>
        <w:keepNext/>
        <w:rPr>
          <w:noProof/>
          <w:sz w:val="20"/>
        </w:rPr>
      </w:pPr>
      <w:bookmarkStart w:id="46" w:name="_Ref176771676"/>
      <w:r>
        <w:rPr>
          <w:noProof/>
          <w:sz w:val="20"/>
        </w:rPr>
        <w:t xml:space="preserve">Tabella </w:t>
      </w:r>
      <w:bookmarkEnd w:id="46"/>
      <w:r>
        <w:rPr>
          <w:noProof/>
          <w:sz w:val="20"/>
        </w:rPr>
        <w:t>4. Emissioni verificate degli impianti nell</w:t>
      </w:r>
      <w:r w:rsidR="00F06D2E">
        <w:rPr>
          <w:noProof/>
          <w:sz w:val="20"/>
        </w:rPr>
        <w:t>'</w:t>
      </w:r>
      <w:r>
        <w:rPr>
          <w:noProof/>
          <w:sz w:val="20"/>
        </w:rPr>
        <w:t>ambito dell</w:t>
      </w:r>
      <w:r w:rsidR="00F06D2E">
        <w:rPr>
          <w:noProof/>
          <w:sz w:val="20"/>
        </w:rPr>
        <w:t>'</w:t>
      </w:r>
      <w:r>
        <w:rPr>
          <w:noProof/>
          <w:sz w:val="20"/>
        </w:rPr>
        <w:t>EU ETS (2019-2024) [milioni di tonnellate di CO</w:t>
      </w:r>
      <w:r>
        <w:rPr>
          <w:noProof/>
          <w:sz w:val="20"/>
          <w:vertAlign w:val="subscript"/>
        </w:rPr>
        <w:t>2</w:t>
      </w:r>
      <w:r>
        <w:rPr>
          <w:noProof/>
          <w:sz w:val="20"/>
        </w:rPr>
        <w:t>eq] Dati estratti dal registro dell</w:t>
      </w:r>
      <w:r w:rsidR="00F06D2E">
        <w:rPr>
          <w:noProof/>
          <w:sz w:val="20"/>
        </w:rPr>
        <w:t>'</w:t>
      </w:r>
      <w:r>
        <w:rPr>
          <w:noProof/>
          <w:sz w:val="20"/>
        </w:rPr>
        <w:t>Unione il 1</w:t>
      </w:r>
      <w:r>
        <w:rPr>
          <w:noProof/>
          <w:sz w:val="20"/>
          <w:vertAlign w:val="superscript"/>
        </w:rPr>
        <w:t>o</w:t>
      </w:r>
      <w:r>
        <w:rPr>
          <w:noProof/>
          <w:sz w:val="20"/>
        </w:rPr>
        <w:t xml:space="preserve"> ottobre 2025 </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2048"/>
        <w:gridCol w:w="1001"/>
        <w:gridCol w:w="1479"/>
        <w:gridCol w:w="1479"/>
        <w:gridCol w:w="1003"/>
        <w:gridCol w:w="1003"/>
        <w:gridCol w:w="1003"/>
      </w:tblGrid>
      <w:tr w:rsidR="00AE0487" w:rsidRPr="007B73CC" w14:paraId="44BC9381" w14:textId="0D09117E" w:rsidTr="000E7DB9">
        <w:trPr>
          <w:cantSplit/>
        </w:trPr>
        <w:tc>
          <w:tcPr>
            <w:tcW w:w="1136" w:type="pct"/>
            <w:vAlign w:val="center"/>
          </w:tcPr>
          <w:p w14:paraId="1E7C9FB8" w14:textId="4F6DAC21" w:rsidR="00AE0487" w:rsidRPr="007B73CC" w:rsidRDefault="00AE0487" w:rsidP="004A32CC">
            <w:pPr>
              <w:pStyle w:val="CMR-tables"/>
              <w:keepLines/>
              <w:rPr>
                <w:rFonts w:cs="Times New Roman"/>
                <w:b/>
                <w:noProof/>
                <w:szCs w:val="20"/>
              </w:rPr>
            </w:pPr>
            <w:r>
              <w:rPr>
                <w:b/>
                <w:noProof/>
              </w:rPr>
              <w:t>Anno</w:t>
            </w:r>
          </w:p>
        </w:tc>
        <w:tc>
          <w:tcPr>
            <w:tcW w:w="555" w:type="pct"/>
            <w:vAlign w:val="center"/>
          </w:tcPr>
          <w:p w14:paraId="2E081815" w14:textId="7C9AEE9B" w:rsidR="00AE0487" w:rsidRPr="007B73CC" w:rsidRDefault="00AE0487" w:rsidP="004A32CC">
            <w:pPr>
              <w:pStyle w:val="CMR-tables"/>
              <w:keepLines/>
              <w:jc w:val="center"/>
              <w:rPr>
                <w:rFonts w:cs="Times New Roman"/>
                <w:noProof/>
                <w:szCs w:val="20"/>
              </w:rPr>
            </w:pPr>
            <w:r>
              <w:rPr>
                <w:noProof/>
              </w:rPr>
              <w:t>2019</w:t>
            </w:r>
          </w:p>
        </w:tc>
        <w:tc>
          <w:tcPr>
            <w:tcW w:w="820" w:type="pct"/>
            <w:vAlign w:val="center"/>
          </w:tcPr>
          <w:p w14:paraId="0790A6FD" w14:textId="5BF818FD" w:rsidR="00AE0487" w:rsidRPr="007B73CC" w:rsidRDefault="00AE0487" w:rsidP="004A32CC">
            <w:pPr>
              <w:pStyle w:val="CMR-tables"/>
              <w:keepLines/>
              <w:jc w:val="center"/>
              <w:rPr>
                <w:rFonts w:cs="Times New Roman"/>
                <w:noProof/>
                <w:szCs w:val="20"/>
              </w:rPr>
            </w:pPr>
            <w:r>
              <w:rPr>
                <w:noProof/>
              </w:rPr>
              <w:t>2020</w:t>
            </w:r>
          </w:p>
        </w:tc>
        <w:tc>
          <w:tcPr>
            <w:tcW w:w="820" w:type="pct"/>
            <w:vAlign w:val="center"/>
          </w:tcPr>
          <w:p w14:paraId="5362E4B7" w14:textId="44293D3D" w:rsidR="00AE0487" w:rsidRPr="007B73CC" w:rsidRDefault="00AE0487" w:rsidP="004A32CC">
            <w:pPr>
              <w:pStyle w:val="CMR-tables"/>
              <w:keepLines/>
              <w:jc w:val="center"/>
              <w:rPr>
                <w:rFonts w:cs="Times New Roman"/>
                <w:noProof/>
                <w:szCs w:val="20"/>
              </w:rPr>
            </w:pPr>
            <w:r>
              <w:rPr>
                <w:noProof/>
              </w:rPr>
              <w:t>2021</w:t>
            </w:r>
          </w:p>
        </w:tc>
        <w:tc>
          <w:tcPr>
            <w:tcW w:w="556" w:type="pct"/>
            <w:vAlign w:val="center"/>
          </w:tcPr>
          <w:p w14:paraId="13ED3226" w14:textId="6B0EE53F" w:rsidR="00AE0487" w:rsidRPr="007B73CC" w:rsidRDefault="00AE0487" w:rsidP="004A32CC">
            <w:pPr>
              <w:pStyle w:val="CMR-tables"/>
              <w:keepLines/>
              <w:jc w:val="center"/>
              <w:rPr>
                <w:rFonts w:cs="Times New Roman"/>
                <w:noProof/>
                <w:szCs w:val="20"/>
              </w:rPr>
            </w:pPr>
            <w:r>
              <w:rPr>
                <w:noProof/>
              </w:rPr>
              <w:t>2022</w:t>
            </w:r>
          </w:p>
        </w:tc>
        <w:tc>
          <w:tcPr>
            <w:tcW w:w="556" w:type="pct"/>
            <w:vAlign w:val="center"/>
          </w:tcPr>
          <w:p w14:paraId="0DA9A457" w14:textId="54513474" w:rsidR="00AE0487" w:rsidRPr="007B73CC" w:rsidRDefault="00AE0487" w:rsidP="004A32CC">
            <w:pPr>
              <w:pStyle w:val="CMR-tables"/>
              <w:keepLines/>
              <w:jc w:val="center"/>
              <w:rPr>
                <w:rFonts w:cs="Times New Roman"/>
                <w:noProof/>
                <w:szCs w:val="20"/>
              </w:rPr>
            </w:pPr>
            <w:r>
              <w:rPr>
                <w:noProof/>
              </w:rPr>
              <w:t>2023</w:t>
            </w:r>
          </w:p>
        </w:tc>
        <w:tc>
          <w:tcPr>
            <w:tcW w:w="556" w:type="pct"/>
          </w:tcPr>
          <w:p w14:paraId="2FF0C612" w14:textId="1488E552" w:rsidR="00AE0487" w:rsidRPr="007B73CC" w:rsidRDefault="00AE0487" w:rsidP="004A32CC">
            <w:pPr>
              <w:pStyle w:val="CMR-tables"/>
              <w:keepLines/>
              <w:jc w:val="center"/>
              <w:rPr>
                <w:rFonts w:cs="Times New Roman"/>
                <w:noProof/>
                <w:szCs w:val="20"/>
              </w:rPr>
            </w:pPr>
            <w:r>
              <w:rPr>
                <w:noProof/>
              </w:rPr>
              <w:t>2024</w:t>
            </w:r>
          </w:p>
        </w:tc>
      </w:tr>
      <w:tr w:rsidR="00724F16" w:rsidRPr="007B73CC" w14:paraId="499AD4CA" w14:textId="20970132" w:rsidTr="000E7DB9">
        <w:trPr>
          <w:cantSplit/>
          <w:trHeight w:val="884"/>
        </w:trPr>
        <w:tc>
          <w:tcPr>
            <w:tcW w:w="1136" w:type="pct"/>
            <w:shd w:val="clear" w:color="auto" w:fill="D9E2F3" w:themeFill="accent1" w:themeFillTint="33"/>
            <w:vAlign w:val="center"/>
          </w:tcPr>
          <w:p w14:paraId="18C06FAF" w14:textId="137FF181" w:rsidR="00AE0487" w:rsidRPr="007B73CC" w:rsidRDefault="00AE0487" w:rsidP="004A32CC">
            <w:pPr>
              <w:pStyle w:val="CMR-tables"/>
              <w:keepLines/>
              <w:rPr>
                <w:rFonts w:cs="Times New Roman"/>
                <w:b/>
                <w:noProof/>
                <w:szCs w:val="20"/>
              </w:rPr>
            </w:pPr>
            <w:r>
              <w:rPr>
                <w:b/>
                <w:noProof/>
              </w:rPr>
              <w:t>Emissioni verificate – Impianti</w:t>
            </w:r>
          </w:p>
        </w:tc>
        <w:tc>
          <w:tcPr>
            <w:tcW w:w="555" w:type="pct"/>
            <w:shd w:val="clear" w:color="auto" w:fill="D9E2F3" w:themeFill="accent1" w:themeFillTint="33"/>
            <w:vAlign w:val="center"/>
          </w:tcPr>
          <w:p w14:paraId="298950FC" w14:textId="17CC7F5A" w:rsidR="00AE0487" w:rsidRPr="007B73CC" w:rsidRDefault="00AE0487" w:rsidP="004A32CC">
            <w:pPr>
              <w:pStyle w:val="CMR-tables"/>
              <w:keepLines/>
              <w:jc w:val="center"/>
              <w:rPr>
                <w:rFonts w:cs="Times New Roman"/>
                <w:noProof/>
                <w:szCs w:val="20"/>
              </w:rPr>
            </w:pPr>
            <w:r>
              <w:rPr>
                <w:noProof/>
              </w:rPr>
              <w:t>1 530</w:t>
            </w:r>
          </w:p>
        </w:tc>
        <w:tc>
          <w:tcPr>
            <w:tcW w:w="820" w:type="pct"/>
            <w:shd w:val="clear" w:color="auto" w:fill="D9E2F3" w:themeFill="accent1" w:themeFillTint="33"/>
            <w:vAlign w:val="center"/>
          </w:tcPr>
          <w:p w14:paraId="09F49A93" w14:textId="77777777" w:rsidR="00AE0487" w:rsidRPr="007B73CC" w:rsidRDefault="00AE0487" w:rsidP="004A32CC">
            <w:pPr>
              <w:pStyle w:val="CMR-tables"/>
              <w:keepLines/>
              <w:spacing w:after="60"/>
              <w:jc w:val="center"/>
              <w:rPr>
                <w:rFonts w:cs="Times New Roman"/>
                <w:noProof/>
                <w:szCs w:val="20"/>
              </w:rPr>
            </w:pPr>
            <w:r>
              <w:rPr>
                <w:noProof/>
              </w:rPr>
              <w:t>1 356</w:t>
            </w:r>
          </w:p>
          <w:p w14:paraId="13F4A72B" w14:textId="760ACEC8" w:rsidR="00AE0487" w:rsidRPr="007B73CC" w:rsidRDefault="00AE0487" w:rsidP="004A32CC">
            <w:pPr>
              <w:pStyle w:val="CMR-tables"/>
              <w:keepLines/>
              <w:spacing w:before="60" w:after="60"/>
              <w:jc w:val="center"/>
              <w:rPr>
                <w:rFonts w:cs="Times New Roman"/>
                <w:noProof/>
                <w:szCs w:val="20"/>
              </w:rPr>
            </w:pPr>
            <w:r>
              <w:rPr>
                <w:noProof/>
              </w:rPr>
              <w:t>(1 253 escl. Regno Unito)</w:t>
            </w:r>
          </w:p>
        </w:tc>
        <w:tc>
          <w:tcPr>
            <w:tcW w:w="820" w:type="pct"/>
            <w:shd w:val="clear" w:color="auto" w:fill="D9E2F3" w:themeFill="accent1" w:themeFillTint="33"/>
            <w:vAlign w:val="center"/>
          </w:tcPr>
          <w:p w14:paraId="2BBDEB5F" w14:textId="242F700E" w:rsidR="00AE0487" w:rsidRPr="007B73CC" w:rsidRDefault="00AE0487" w:rsidP="004A32CC">
            <w:pPr>
              <w:pStyle w:val="CMR-tables"/>
              <w:keepLines/>
              <w:jc w:val="center"/>
              <w:rPr>
                <w:rFonts w:cs="Times New Roman"/>
                <w:noProof/>
                <w:szCs w:val="20"/>
              </w:rPr>
            </w:pPr>
            <w:r>
              <w:rPr>
                <w:noProof/>
              </w:rPr>
              <w:t>1 337</w:t>
            </w:r>
          </w:p>
        </w:tc>
        <w:tc>
          <w:tcPr>
            <w:tcW w:w="556" w:type="pct"/>
            <w:shd w:val="clear" w:color="auto" w:fill="D9E2F3" w:themeFill="accent1" w:themeFillTint="33"/>
            <w:vAlign w:val="center"/>
          </w:tcPr>
          <w:p w14:paraId="2FFB71AE" w14:textId="50723019" w:rsidR="00AE0487" w:rsidRPr="007B73CC" w:rsidRDefault="00AE0487" w:rsidP="004A32CC">
            <w:pPr>
              <w:pStyle w:val="CMR-tables"/>
              <w:keepLines/>
              <w:jc w:val="center"/>
              <w:rPr>
                <w:rFonts w:cs="Times New Roman"/>
                <w:noProof/>
                <w:szCs w:val="20"/>
              </w:rPr>
            </w:pPr>
            <w:r>
              <w:rPr>
                <w:noProof/>
              </w:rPr>
              <w:t>1 313</w:t>
            </w:r>
          </w:p>
        </w:tc>
        <w:tc>
          <w:tcPr>
            <w:tcW w:w="556" w:type="pct"/>
            <w:shd w:val="clear" w:color="auto" w:fill="D9E2F3" w:themeFill="accent1" w:themeFillTint="33"/>
            <w:vAlign w:val="center"/>
          </w:tcPr>
          <w:p w14:paraId="5C44F5B4" w14:textId="607E4692" w:rsidR="00AE0487" w:rsidRPr="007B73CC" w:rsidRDefault="00AE0487" w:rsidP="004A32CC">
            <w:pPr>
              <w:pStyle w:val="CMR-tables"/>
              <w:keepLines/>
              <w:jc w:val="center"/>
              <w:rPr>
                <w:rFonts w:cs="Times New Roman"/>
                <w:noProof/>
                <w:szCs w:val="20"/>
              </w:rPr>
            </w:pPr>
            <w:r>
              <w:rPr>
                <w:noProof/>
              </w:rPr>
              <w:t>1 096</w:t>
            </w:r>
          </w:p>
        </w:tc>
        <w:tc>
          <w:tcPr>
            <w:tcW w:w="556" w:type="pct"/>
            <w:shd w:val="clear" w:color="auto" w:fill="D9E2F3" w:themeFill="accent1" w:themeFillTint="33"/>
            <w:vAlign w:val="center"/>
          </w:tcPr>
          <w:p w14:paraId="5C158CC4" w14:textId="4A0B1912" w:rsidR="00AE0487" w:rsidRPr="007B73CC" w:rsidRDefault="009D020D" w:rsidP="004A32CC">
            <w:pPr>
              <w:pStyle w:val="CMR-tables"/>
              <w:keepLines/>
              <w:jc w:val="center"/>
              <w:rPr>
                <w:rFonts w:cs="Times New Roman"/>
                <w:noProof/>
                <w:szCs w:val="20"/>
              </w:rPr>
            </w:pPr>
            <w:r>
              <w:rPr>
                <w:noProof/>
              </w:rPr>
              <w:t>1 033</w:t>
            </w:r>
          </w:p>
        </w:tc>
      </w:tr>
      <w:tr w:rsidR="00AE0487" w:rsidRPr="007B73CC" w14:paraId="63DDA08A" w14:textId="68C14FBB" w:rsidTr="000E7DB9">
        <w:trPr>
          <w:cantSplit/>
        </w:trPr>
        <w:tc>
          <w:tcPr>
            <w:tcW w:w="1136" w:type="pct"/>
            <w:vAlign w:val="center"/>
          </w:tcPr>
          <w:p w14:paraId="09577C6D" w14:textId="40A1DBE1" w:rsidR="00AE0487" w:rsidRPr="007B73CC" w:rsidRDefault="00AE0487" w:rsidP="004A32CC">
            <w:pPr>
              <w:pStyle w:val="CMR-tables"/>
              <w:keepLines/>
              <w:rPr>
                <w:rFonts w:cs="Times New Roman"/>
                <w:b/>
                <w:noProof/>
                <w:szCs w:val="20"/>
              </w:rPr>
            </w:pPr>
            <w:r>
              <w:rPr>
                <w:b/>
                <w:noProof/>
              </w:rPr>
              <w:t>Variazione su base annua</w:t>
            </w:r>
          </w:p>
        </w:tc>
        <w:tc>
          <w:tcPr>
            <w:tcW w:w="555" w:type="pct"/>
            <w:vAlign w:val="center"/>
          </w:tcPr>
          <w:p w14:paraId="7C4D1A17" w14:textId="36CCD990" w:rsidR="00AE0487" w:rsidRPr="007B73CC" w:rsidRDefault="00AE0487" w:rsidP="004A32CC">
            <w:pPr>
              <w:pStyle w:val="CMR-tables"/>
              <w:keepLines/>
              <w:jc w:val="center"/>
              <w:rPr>
                <w:rFonts w:cs="Times New Roman"/>
                <w:noProof/>
                <w:szCs w:val="20"/>
              </w:rPr>
            </w:pPr>
            <w:r>
              <w:rPr>
                <w:noProof/>
              </w:rPr>
              <w:t>-9,1 %</w:t>
            </w:r>
          </w:p>
        </w:tc>
        <w:tc>
          <w:tcPr>
            <w:tcW w:w="820" w:type="pct"/>
            <w:vAlign w:val="center"/>
          </w:tcPr>
          <w:p w14:paraId="34EEE2E9" w14:textId="5C51E28E" w:rsidR="00AE0487" w:rsidRPr="007B73CC" w:rsidRDefault="00AE0487" w:rsidP="004A32CC">
            <w:pPr>
              <w:pStyle w:val="CMR-tables"/>
              <w:keepLines/>
              <w:jc w:val="center"/>
              <w:rPr>
                <w:rFonts w:cs="Times New Roman"/>
                <w:noProof/>
                <w:szCs w:val="20"/>
              </w:rPr>
            </w:pPr>
            <w:r>
              <w:rPr>
                <w:noProof/>
              </w:rPr>
              <w:t>-11,4 %</w:t>
            </w:r>
          </w:p>
        </w:tc>
        <w:tc>
          <w:tcPr>
            <w:tcW w:w="820" w:type="pct"/>
            <w:vAlign w:val="center"/>
          </w:tcPr>
          <w:p w14:paraId="6FD82D6C" w14:textId="77777777" w:rsidR="00AE0487" w:rsidRPr="007B73CC" w:rsidRDefault="00AE0487" w:rsidP="004A32CC">
            <w:pPr>
              <w:pStyle w:val="CMR-tables"/>
              <w:keepLines/>
              <w:spacing w:after="60"/>
              <w:jc w:val="center"/>
              <w:rPr>
                <w:rFonts w:cs="Times New Roman"/>
                <w:noProof/>
                <w:szCs w:val="20"/>
              </w:rPr>
            </w:pPr>
            <w:r>
              <w:rPr>
                <w:noProof/>
              </w:rPr>
              <w:t>-1,4 %</w:t>
            </w:r>
          </w:p>
          <w:p w14:paraId="4B83D68A" w14:textId="658E57B7" w:rsidR="00AE0487" w:rsidRPr="007B73CC" w:rsidRDefault="00AE0487" w:rsidP="004A32CC">
            <w:pPr>
              <w:pStyle w:val="CMR-tables"/>
              <w:keepLines/>
              <w:jc w:val="center"/>
              <w:rPr>
                <w:rFonts w:cs="Times New Roman"/>
                <w:noProof/>
                <w:szCs w:val="20"/>
              </w:rPr>
            </w:pPr>
            <w:r>
              <w:rPr>
                <w:noProof/>
              </w:rPr>
              <w:t>(6,6 % escl. Regno Unito)</w:t>
            </w:r>
          </w:p>
        </w:tc>
        <w:tc>
          <w:tcPr>
            <w:tcW w:w="556" w:type="pct"/>
            <w:vAlign w:val="center"/>
          </w:tcPr>
          <w:p w14:paraId="1BCA5A6E" w14:textId="54A65C0C" w:rsidR="00AE0487" w:rsidRPr="007B73CC" w:rsidRDefault="00AE0487" w:rsidP="004A32CC">
            <w:pPr>
              <w:pStyle w:val="CMR-tables"/>
              <w:keepLines/>
              <w:jc w:val="center"/>
              <w:rPr>
                <w:rFonts w:cs="Times New Roman"/>
                <w:noProof/>
                <w:szCs w:val="20"/>
              </w:rPr>
            </w:pPr>
            <w:r>
              <w:rPr>
                <w:noProof/>
              </w:rPr>
              <w:t>-1,8 %</w:t>
            </w:r>
          </w:p>
        </w:tc>
        <w:tc>
          <w:tcPr>
            <w:tcW w:w="556" w:type="pct"/>
            <w:vAlign w:val="center"/>
          </w:tcPr>
          <w:p w14:paraId="3CFBEFD3" w14:textId="5EFE6A67" w:rsidR="00AE0487" w:rsidRPr="007B73CC" w:rsidRDefault="00AE0487" w:rsidP="004A32CC">
            <w:pPr>
              <w:pStyle w:val="CMR-tables"/>
              <w:keepLines/>
              <w:jc w:val="center"/>
              <w:rPr>
                <w:rFonts w:cs="Times New Roman"/>
                <w:noProof/>
                <w:szCs w:val="20"/>
              </w:rPr>
            </w:pPr>
            <w:r>
              <w:rPr>
                <w:noProof/>
              </w:rPr>
              <w:t>-16,5 %</w:t>
            </w:r>
          </w:p>
        </w:tc>
        <w:tc>
          <w:tcPr>
            <w:tcW w:w="556" w:type="pct"/>
            <w:vAlign w:val="center"/>
          </w:tcPr>
          <w:p w14:paraId="5B1CB65D" w14:textId="3BCB7FDB" w:rsidR="00AE0487" w:rsidRPr="007B73CC" w:rsidRDefault="0040215C" w:rsidP="004A32CC">
            <w:pPr>
              <w:pStyle w:val="CMR-tables"/>
              <w:keepLines/>
              <w:jc w:val="center"/>
              <w:rPr>
                <w:rFonts w:cs="Times New Roman"/>
                <w:noProof/>
                <w:szCs w:val="20"/>
              </w:rPr>
            </w:pPr>
            <w:r>
              <w:rPr>
                <w:noProof/>
              </w:rPr>
              <w:t>-5,7 %</w:t>
            </w:r>
          </w:p>
        </w:tc>
      </w:tr>
      <w:tr w:rsidR="00724F16" w:rsidRPr="007B73CC" w14:paraId="669CFA02" w14:textId="503199C8" w:rsidTr="000E7DB9">
        <w:trPr>
          <w:cantSplit/>
        </w:trPr>
        <w:tc>
          <w:tcPr>
            <w:tcW w:w="1136" w:type="pct"/>
            <w:shd w:val="clear" w:color="auto" w:fill="D9E2F3" w:themeFill="accent1" w:themeFillTint="33"/>
            <w:vAlign w:val="center"/>
          </w:tcPr>
          <w:p w14:paraId="4467A8D2" w14:textId="2F07B9B9" w:rsidR="00AE0487" w:rsidRPr="007B73CC" w:rsidRDefault="00AE0487" w:rsidP="004A32CC">
            <w:pPr>
              <w:pStyle w:val="CMR-tables"/>
              <w:keepLines/>
              <w:rPr>
                <w:rFonts w:cs="Times New Roman"/>
                <w:b/>
                <w:noProof/>
                <w:szCs w:val="20"/>
              </w:rPr>
            </w:pPr>
            <w:r>
              <w:rPr>
                <w:b/>
                <w:noProof/>
              </w:rPr>
              <w:t>Emissioni verificate – produzione di energia elettrica e calore</w:t>
            </w:r>
          </w:p>
        </w:tc>
        <w:tc>
          <w:tcPr>
            <w:tcW w:w="555" w:type="pct"/>
            <w:shd w:val="clear" w:color="auto" w:fill="D9E2F3" w:themeFill="accent1" w:themeFillTint="33"/>
            <w:vAlign w:val="center"/>
          </w:tcPr>
          <w:p w14:paraId="57C449B8" w14:textId="4721ACD9" w:rsidR="00AE0487" w:rsidRPr="007B73CC" w:rsidRDefault="00AE0487" w:rsidP="004A32CC">
            <w:pPr>
              <w:pStyle w:val="CMR-tables"/>
              <w:keepLines/>
              <w:jc w:val="center"/>
              <w:rPr>
                <w:rFonts w:cs="Times New Roman"/>
                <w:noProof/>
                <w:szCs w:val="20"/>
              </w:rPr>
            </w:pPr>
            <w:r>
              <w:rPr>
                <w:noProof/>
              </w:rPr>
              <w:t>822</w:t>
            </w:r>
          </w:p>
        </w:tc>
        <w:tc>
          <w:tcPr>
            <w:tcW w:w="820" w:type="pct"/>
            <w:shd w:val="clear" w:color="auto" w:fill="D9E2F3" w:themeFill="accent1" w:themeFillTint="33"/>
            <w:vAlign w:val="center"/>
          </w:tcPr>
          <w:p w14:paraId="6E69FDD6" w14:textId="77777777" w:rsidR="00AE0487" w:rsidRPr="007B73CC" w:rsidRDefault="00AE0487" w:rsidP="004A32CC">
            <w:pPr>
              <w:pStyle w:val="CMR-tables"/>
              <w:keepLines/>
              <w:spacing w:after="60"/>
              <w:jc w:val="center"/>
              <w:rPr>
                <w:rFonts w:cs="Times New Roman"/>
                <w:noProof/>
                <w:szCs w:val="20"/>
              </w:rPr>
            </w:pPr>
            <w:r>
              <w:rPr>
                <w:noProof/>
              </w:rPr>
              <w:t>696</w:t>
            </w:r>
          </w:p>
          <w:p w14:paraId="204CF1FC" w14:textId="5B0282F5" w:rsidR="00AE0487" w:rsidRPr="007B73CC" w:rsidRDefault="00AE0487" w:rsidP="004A32CC">
            <w:pPr>
              <w:pStyle w:val="CMR-tables"/>
              <w:keepLines/>
              <w:spacing w:before="60" w:after="60"/>
              <w:jc w:val="center"/>
              <w:rPr>
                <w:rFonts w:cs="Times New Roman"/>
                <w:noProof/>
                <w:szCs w:val="20"/>
              </w:rPr>
            </w:pPr>
            <w:r>
              <w:rPr>
                <w:noProof/>
              </w:rPr>
              <w:t>(653 escl. Regno Unito)</w:t>
            </w:r>
          </w:p>
        </w:tc>
        <w:tc>
          <w:tcPr>
            <w:tcW w:w="820" w:type="pct"/>
            <w:shd w:val="clear" w:color="auto" w:fill="D9E2F3" w:themeFill="accent1" w:themeFillTint="33"/>
            <w:vAlign w:val="center"/>
          </w:tcPr>
          <w:p w14:paraId="42EC17BB" w14:textId="6DC2C133" w:rsidR="00AE0487" w:rsidRPr="007B73CC" w:rsidRDefault="00AE0487" w:rsidP="004A32CC">
            <w:pPr>
              <w:pStyle w:val="CMR-tables"/>
              <w:keepLines/>
              <w:jc w:val="center"/>
              <w:rPr>
                <w:rFonts w:cs="Times New Roman"/>
                <w:noProof/>
                <w:szCs w:val="20"/>
              </w:rPr>
            </w:pPr>
            <w:r>
              <w:rPr>
                <w:noProof/>
              </w:rPr>
              <w:t>708</w:t>
            </w:r>
          </w:p>
        </w:tc>
        <w:tc>
          <w:tcPr>
            <w:tcW w:w="556" w:type="pct"/>
            <w:shd w:val="clear" w:color="auto" w:fill="D9E2F3" w:themeFill="accent1" w:themeFillTint="33"/>
            <w:vAlign w:val="center"/>
          </w:tcPr>
          <w:p w14:paraId="765729D6" w14:textId="67B2E561" w:rsidR="00AE0487" w:rsidRPr="007B73CC" w:rsidRDefault="00AE0487" w:rsidP="004A32CC">
            <w:pPr>
              <w:pStyle w:val="CMR-tables"/>
              <w:keepLines/>
              <w:jc w:val="center"/>
              <w:rPr>
                <w:rFonts w:cs="Times New Roman"/>
                <w:noProof/>
                <w:szCs w:val="20"/>
              </w:rPr>
            </w:pPr>
            <w:r>
              <w:rPr>
                <w:noProof/>
              </w:rPr>
              <w:t>725</w:t>
            </w:r>
          </w:p>
        </w:tc>
        <w:tc>
          <w:tcPr>
            <w:tcW w:w="556" w:type="pct"/>
            <w:shd w:val="clear" w:color="auto" w:fill="D9E2F3" w:themeFill="accent1" w:themeFillTint="33"/>
            <w:vAlign w:val="center"/>
          </w:tcPr>
          <w:p w14:paraId="08ECECD5" w14:textId="5E00873A" w:rsidR="00AE0487" w:rsidRPr="007B73CC" w:rsidRDefault="00AE0487" w:rsidP="004A32CC">
            <w:pPr>
              <w:pStyle w:val="CMR-tables"/>
              <w:keepLines/>
              <w:jc w:val="center"/>
              <w:rPr>
                <w:rFonts w:cs="Times New Roman"/>
                <w:noProof/>
                <w:szCs w:val="20"/>
              </w:rPr>
            </w:pPr>
            <w:r>
              <w:rPr>
                <w:noProof/>
              </w:rPr>
              <w:t>552</w:t>
            </w:r>
          </w:p>
        </w:tc>
        <w:tc>
          <w:tcPr>
            <w:tcW w:w="556" w:type="pct"/>
            <w:shd w:val="clear" w:color="auto" w:fill="D9E2F3" w:themeFill="accent1" w:themeFillTint="33"/>
            <w:vAlign w:val="center"/>
          </w:tcPr>
          <w:p w14:paraId="19E568B2" w14:textId="08F4CEB3" w:rsidR="00AE0487" w:rsidRPr="007B73CC" w:rsidRDefault="005211C1" w:rsidP="004A32CC">
            <w:pPr>
              <w:pStyle w:val="CMR-tables"/>
              <w:keepLines/>
              <w:jc w:val="center"/>
              <w:rPr>
                <w:rFonts w:cs="Times New Roman"/>
                <w:noProof/>
                <w:szCs w:val="20"/>
              </w:rPr>
            </w:pPr>
            <w:r>
              <w:rPr>
                <w:noProof/>
              </w:rPr>
              <w:t>493</w:t>
            </w:r>
          </w:p>
        </w:tc>
      </w:tr>
      <w:tr w:rsidR="00AE0487" w:rsidRPr="007B73CC" w14:paraId="1CF3F98A" w14:textId="06F57C54" w:rsidTr="000E7DB9">
        <w:trPr>
          <w:cantSplit/>
        </w:trPr>
        <w:tc>
          <w:tcPr>
            <w:tcW w:w="1136" w:type="pct"/>
            <w:vAlign w:val="center"/>
          </w:tcPr>
          <w:p w14:paraId="1B9F43A5" w14:textId="0EA4977D" w:rsidR="00AE0487" w:rsidRPr="007B73CC" w:rsidRDefault="00AE0487" w:rsidP="004A32CC">
            <w:pPr>
              <w:pStyle w:val="CMR-tables"/>
              <w:keepLines/>
              <w:rPr>
                <w:rFonts w:cs="Times New Roman"/>
                <w:b/>
                <w:noProof/>
                <w:szCs w:val="20"/>
              </w:rPr>
            </w:pPr>
            <w:r>
              <w:rPr>
                <w:b/>
                <w:noProof/>
              </w:rPr>
              <w:t>Variazione su base annua</w:t>
            </w:r>
          </w:p>
        </w:tc>
        <w:tc>
          <w:tcPr>
            <w:tcW w:w="555" w:type="pct"/>
            <w:vAlign w:val="center"/>
          </w:tcPr>
          <w:p w14:paraId="47F2D2F4" w14:textId="42327BF2" w:rsidR="00AE0487" w:rsidRPr="007B73CC" w:rsidRDefault="00AE0487" w:rsidP="004A32CC">
            <w:pPr>
              <w:pStyle w:val="CMR-tables"/>
              <w:keepLines/>
              <w:jc w:val="center"/>
              <w:rPr>
                <w:rFonts w:cs="Times New Roman"/>
                <w:noProof/>
                <w:szCs w:val="20"/>
              </w:rPr>
            </w:pPr>
            <w:r>
              <w:rPr>
                <w:noProof/>
              </w:rPr>
              <w:t>-14,7 %</w:t>
            </w:r>
          </w:p>
        </w:tc>
        <w:tc>
          <w:tcPr>
            <w:tcW w:w="820" w:type="pct"/>
            <w:vAlign w:val="center"/>
          </w:tcPr>
          <w:p w14:paraId="4993B574" w14:textId="50397E4D" w:rsidR="00AE0487" w:rsidRPr="007B73CC" w:rsidRDefault="00AE0487" w:rsidP="004A32CC">
            <w:pPr>
              <w:pStyle w:val="CMR-tables"/>
              <w:keepLines/>
              <w:jc w:val="center"/>
              <w:rPr>
                <w:rFonts w:cs="Times New Roman"/>
                <w:noProof/>
                <w:szCs w:val="20"/>
              </w:rPr>
            </w:pPr>
            <w:r>
              <w:rPr>
                <w:noProof/>
              </w:rPr>
              <w:t>-15,3 %</w:t>
            </w:r>
          </w:p>
        </w:tc>
        <w:tc>
          <w:tcPr>
            <w:tcW w:w="820" w:type="pct"/>
            <w:vAlign w:val="center"/>
          </w:tcPr>
          <w:p w14:paraId="01A38009" w14:textId="77777777" w:rsidR="00AE0487" w:rsidRPr="007B73CC" w:rsidRDefault="00AE0487" w:rsidP="004A32CC">
            <w:pPr>
              <w:pStyle w:val="CMR-tables"/>
              <w:keepLines/>
              <w:spacing w:after="60"/>
              <w:jc w:val="center"/>
              <w:rPr>
                <w:rFonts w:cs="Times New Roman"/>
                <w:noProof/>
                <w:szCs w:val="20"/>
              </w:rPr>
            </w:pPr>
            <w:r>
              <w:rPr>
                <w:noProof/>
              </w:rPr>
              <w:t>1,6 %</w:t>
            </w:r>
          </w:p>
          <w:p w14:paraId="42A502AD" w14:textId="5C0350EC" w:rsidR="00AE0487" w:rsidRPr="007B73CC" w:rsidRDefault="00AE0487" w:rsidP="004A32CC">
            <w:pPr>
              <w:pStyle w:val="CMR-tables"/>
              <w:keepLines/>
              <w:jc w:val="center"/>
              <w:rPr>
                <w:rFonts w:cs="Times New Roman"/>
                <w:noProof/>
                <w:szCs w:val="20"/>
              </w:rPr>
            </w:pPr>
            <w:r>
              <w:rPr>
                <w:noProof/>
              </w:rPr>
              <w:t>(8,5 % escl. Regno Unito)</w:t>
            </w:r>
          </w:p>
        </w:tc>
        <w:tc>
          <w:tcPr>
            <w:tcW w:w="556" w:type="pct"/>
            <w:vAlign w:val="center"/>
          </w:tcPr>
          <w:p w14:paraId="4F647107" w14:textId="07ADB100" w:rsidR="00AE0487" w:rsidRPr="007B73CC" w:rsidRDefault="00AE0487" w:rsidP="004A32CC">
            <w:pPr>
              <w:pStyle w:val="CMR-tables"/>
              <w:keepLines/>
              <w:jc w:val="center"/>
              <w:rPr>
                <w:rFonts w:cs="Times New Roman"/>
                <w:noProof/>
                <w:szCs w:val="20"/>
              </w:rPr>
            </w:pPr>
            <w:r>
              <w:rPr>
                <w:noProof/>
              </w:rPr>
              <w:t>2,4 %</w:t>
            </w:r>
          </w:p>
        </w:tc>
        <w:tc>
          <w:tcPr>
            <w:tcW w:w="556" w:type="pct"/>
            <w:vAlign w:val="center"/>
          </w:tcPr>
          <w:p w14:paraId="5B50ECA3" w14:textId="2542262B" w:rsidR="00AE0487" w:rsidRPr="007B73CC" w:rsidRDefault="00AE0487" w:rsidP="004A32CC">
            <w:pPr>
              <w:pStyle w:val="CMR-tables"/>
              <w:keepLines/>
              <w:jc w:val="center"/>
              <w:rPr>
                <w:rFonts w:cs="Times New Roman"/>
                <w:noProof/>
                <w:szCs w:val="20"/>
              </w:rPr>
            </w:pPr>
            <w:r>
              <w:rPr>
                <w:noProof/>
              </w:rPr>
              <w:t>-23,9 %</w:t>
            </w:r>
          </w:p>
        </w:tc>
        <w:tc>
          <w:tcPr>
            <w:tcW w:w="556" w:type="pct"/>
            <w:vAlign w:val="center"/>
          </w:tcPr>
          <w:p w14:paraId="12AF5C4A" w14:textId="32AA7036" w:rsidR="00AE0487" w:rsidRPr="007B73CC" w:rsidRDefault="007C0F43" w:rsidP="004A32CC">
            <w:pPr>
              <w:pStyle w:val="CMR-tables"/>
              <w:keepLines/>
              <w:jc w:val="center"/>
              <w:rPr>
                <w:rFonts w:cs="Times New Roman"/>
                <w:noProof/>
                <w:szCs w:val="20"/>
              </w:rPr>
            </w:pPr>
            <w:r>
              <w:rPr>
                <w:noProof/>
              </w:rPr>
              <w:t>-10,7 %</w:t>
            </w:r>
          </w:p>
        </w:tc>
      </w:tr>
      <w:tr w:rsidR="00724F16" w:rsidRPr="007B73CC" w14:paraId="60FA30C5" w14:textId="0C2CAAAC" w:rsidTr="000E7DB9">
        <w:trPr>
          <w:cantSplit/>
        </w:trPr>
        <w:tc>
          <w:tcPr>
            <w:tcW w:w="1136" w:type="pct"/>
            <w:shd w:val="clear" w:color="auto" w:fill="D9E2F3" w:themeFill="accent1" w:themeFillTint="33"/>
            <w:vAlign w:val="center"/>
          </w:tcPr>
          <w:p w14:paraId="076FC4AA" w14:textId="2F23A96D" w:rsidR="00AE0487" w:rsidRPr="007B73CC" w:rsidRDefault="00AE0487" w:rsidP="004A32CC">
            <w:pPr>
              <w:pStyle w:val="CMR-tables"/>
              <w:keepLines/>
              <w:rPr>
                <w:rFonts w:cs="Times New Roman"/>
                <w:b/>
                <w:noProof/>
                <w:szCs w:val="20"/>
              </w:rPr>
            </w:pPr>
            <w:r>
              <w:rPr>
                <w:b/>
                <w:noProof/>
              </w:rPr>
              <w:t>Emissioni verificate – produzione industriale</w:t>
            </w:r>
          </w:p>
        </w:tc>
        <w:tc>
          <w:tcPr>
            <w:tcW w:w="555" w:type="pct"/>
            <w:shd w:val="clear" w:color="auto" w:fill="D9E2F3" w:themeFill="accent1" w:themeFillTint="33"/>
            <w:vAlign w:val="center"/>
          </w:tcPr>
          <w:p w14:paraId="65D85A43" w14:textId="3DDBA15F" w:rsidR="00AE0487" w:rsidRPr="007B73CC" w:rsidRDefault="00AE0487" w:rsidP="004A32CC">
            <w:pPr>
              <w:pStyle w:val="CMR-tables"/>
              <w:keepLines/>
              <w:jc w:val="center"/>
              <w:rPr>
                <w:rFonts w:cs="Times New Roman"/>
                <w:noProof/>
                <w:szCs w:val="20"/>
              </w:rPr>
            </w:pPr>
            <w:r>
              <w:rPr>
                <w:noProof/>
              </w:rPr>
              <w:t>708</w:t>
            </w:r>
          </w:p>
        </w:tc>
        <w:tc>
          <w:tcPr>
            <w:tcW w:w="820" w:type="pct"/>
            <w:shd w:val="clear" w:color="auto" w:fill="D9E2F3" w:themeFill="accent1" w:themeFillTint="33"/>
            <w:vAlign w:val="center"/>
          </w:tcPr>
          <w:p w14:paraId="1344EE89" w14:textId="77777777" w:rsidR="00AE0487" w:rsidRPr="007B73CC" w:rsidRDefault="00AE0487" w:rsidP="004A32CC">
            <w:pPr>
              <w:pStyle w:val="CMR-tables"/>
              <w:keepLines/>
              <w:spacing w:after="60"/>
              <w:jc w:val="center"/>
              <w:rPr>
                <w:rFonts w:cs="Times New Roman"/>
                <w:noProof/>
                <w:szCs w:val="20"/>
              </w:rPr>
            </w:pPr>
            <w:r>
              <w:rPr>
                <w:noProof/>
              </w:rPr>
              <w:t>660</w:t>
            </w:r>
          </w:p>
          <w:p w14:paraId="380BB87F" w14:textId="272F5C5A" w:rsidR="00AE0487" w:rsidRPr="007B73CC" w:rsidRDefault="00AE0487" w:rsidP="004A32CC">
            <w:pPr>
              <w:pStyle w:val="CMR-tables"/>
              <w:keepLines/>
              <w:spacing w:before="60" w:after="60"/>
              <w:jc w:val="center"/>
              <w:rPr>
                <w:rFonts w:cs="Times New Roman"/>
                <w:noProof/>
                <w:szCs w:val="20"/>
              </w:rPr>
            </w:pPr>
            <w:r>
              <w:rPr>
                <w:noProof/>
              </w:rPr>
              <w:t>(601 escl. Regno Unito)</w:t>
            </w:r>
          </w:p>
        </w:tc>
        <w:tc>
          <w:tcPr>
            <w:tcW w:w="820" w:type="pct"/>
            <w:shd w:val="clear" w:color="auto" w:fill="D9E2F3" w:themeFill="accent1" w:themeFillTint="33"/>
            <w:vAlign w:val="center"/>
          </w:tcPr>
          <w:p w14:paraId="34B1B927" w14:textId="2827D9B0" w:rsidR="00AE0487" w:rsidRPr="007B73CC" w:rsidRDefault="00AE0487" w:rsidP="004A32CC">
            <w:pPr>
              <w:pStyle w:val="CMR-tables"/>
              <w:keepLines/>
              <w:jc w:val="center"/>
              <w:rPr>
                <w:rFonts w:cs="Times New Roman"/>
                <w:noProof/>
                <w:szCs w:val="20"/>
              </w:rPr>
            </w:pPr>
            <w:r>
              <w:rPr>
                <w:noProof/>
              </w:rPr>
              <w:t>629</w:t>
            </w:r>
          </w:p>
        </w:tc>
        <w:tc>
          <w:tcPr>
            <w:tcW w:w="556" w:type="pct"/>
            <w:shd w:val="clear" w:color="auto" w:fill="D9E2F3" w:themeFill="accent1" w:themeFillTint="33"/>
            <w:vAlign w:val="center"/>
          </w:tcPr>
          <w:p w14:paraId="2118DEEB" w14:textId="7C73705D" w:rsidR="00AE0487" w:rsidRPr="007B73CC" w:rsidRDefault="00AE0487" w:rsidP="004A32CC">
            <w:pPr>
              <w:pStyle w:val="CMR-tables"/>
              <w:keepLines/>
              <w:jc w:val="center"/>
              <w:rPr>
                <w:rFonts w:cs="Times New Roman"/>
                <w:noProof/>
                <w:szCs w:val="20"/>
              </w:rPr>
            </w:pPr>
            <w:r>
              <w:rPr>
                <w:noProof/>
              </w:rPr>
              <w:t>589</w:t>
            </w:r>
          </w:p>
        </w:tc>
        <w:tc>
          <w:tcPr>
            <w:tcW w:w="556" w:type="pct"/>
            <w:shd w:val="clear" w:color="auto" w:fill="D9E2F3" w:themeFill="accent1" w:themeFillTint="33"/>
            <w:vAlign w:val="center"/>
          </w:tcPr>
          <w:p w14:paraId="522C975D" w14:textId="6F89D5C6" w:rsidR="00AE0487" w:rsidRPr="007B73CC" w:rsidRDefault="00AE0487" w:rsidP="004A32CC">
            <w:pPr>
              <w:pStyle w:val="CMR-tables"/>
              <w:keepLines/>
              <w:jc w:val="center"/>
              <w:rPr>
                <w:rFonts w:cs="Times New Roman"/>
                <w:noProof/>
                <w:szCs w:val="20"/>
              </w:rPr>
            </w:pPr>
            <w:r>
              <w:rPr>
                <w:noProof/>
              </w:rPr>
              <w:t>544</w:t>
            </w:r>
          </w:p>
        </w:tc>
        <w:tc>
          <w:tcPr>
            <w:tcW w:w="556" w:type="pct"/>
            <w:shd w:val="clear" w:color="auto" w:fill="D9E2F3" w:themeFill="accent1" w:themeFillTint="33"/>
            <w:vAlign w:val="center"/>
          </w:tcPr>
          <w:p w14:paraId="289C3FEF" w14:textId="407EFD0F" w:rsidR="00AE0487" w:rsidRPr="007B73CC" w:rsidRDefault="00D37CEC" w:rsidP="004A32CC">
            <w:pPr>
              <w:pStyle w:val="CMR-tables"/>
              <w:keepLines/>
              <w:jc w:val="center"/>
              <w:rPr>
                <w:rFonts w:cs="Times New Roman"/>
                <w:noProof/>
                <w:szCs w:val="20"/>
              </w:rPr>
            </w:pPr>
            <w:r>
              <w:rPr>
                <w:noProof/>
              </w:rPr>
              <w:t>540</w:t>
            </w:r>
          </w:p>
        </w:tc>
      </w:tr>
      <w:tr w:rsidR="00AE0487" w:rsidRPr="007B73CC" w14:paraId="20550022" w14:textId="52A13227" w:rsidTr="000E7DB9">
        <w:trPr>
          <w:cantSplit/>
        </w:trPr>
        <w:tc>
          <w:tcPr>
            <w:tcW w:w="1136" w:type="pct"/>
            <w:vAlign w:val="center"/>
          </w:tcPr>
          <w:p w14:paraId="0A9778BE" w14:textId="3FF67A31" w:rsidR="00AE0487" w:rsidRPr="007B73CC" w:rsidRDefault="00AE0487" w:rsidP="004A32CC">
            <w:pPr>
              <w:pStyle w:val="CMR-tables"/>
              <w:keepLines/>
              <w:rPr>
                <w:rFonts w:cs="Times New Roman"/>
                <w:b/>
                <w:noProof/>
                <w:szCs w:val="20"/>
              </w:rPr>
            </w:pPr>
            <w:r>
              <w:rPr>
                <w:b/>
                <w:noProof/>
              </w:rPr>
              <w:t>Variazione su base annua</w:t>
            </w:r>
          </w:p>
        </w:tc>
        <w:tc>
          <w:tcPr>
            <w:tcW w:w="555" w:type="pct"/>
            <w:vAlign w:val="center"/>
          </w:tcPr>
          <w:p w14:paraId="6FFFD97A" w14:textId="1F3B700A" w:rsidR="00AE0487" w:rsidRPr="007B73CC" w:rsidRDefault="00AE0487" w:rsidP="004A32CC">
            <w:pPr>
              <w:pStyle w:val="CMR-tables"/>
              <w:keepLines/>
              <w:jc w:val="center"/>
              <w:rPr>
                <w:rFonts w:cs="Times New Roman"/>
                <w:noProof/>
                <w:szCs w:val="20"/>
              </w:rPr>
            </w:pPr>
            <w:r>
              <w:rPr>
                <w:noProof/>
              </w:rPr>
              <w:t>-1,6 %</w:t>
            </w:r>
          </w:p>
        </w:tc>
        <w:tc>
          <w:tcPr>
            <w:tcW w:w="820" w:type="pct"/>
            <w:vAlign w:val="center"/>
          </w:tcPr>
          <w:p w14:paraId="45470FF6" w14:textId="30505F51" w:rsidR="00AE0487" w:rsidRPr="007B73CC" w:rsidRDefault="00AE0487" w:rsidP="004A32CC">
            <w:pPr>
              <w:pStyle w:val="CMR-tables"/>
              <w:keepLines/>
              <w:jc w:val="center"/>
              <w:rPr>
                <w:rFonts w:cs="Times New Roman"/>
                <w:noProof/>
                <w:szCs w:val="20"/>
              </w:rPr>
            </w:pPr>
            <w:r>
              <w:rPr>
                <w:noProof/>
              </w:rPr>
              <w:t>-6,9 %</w:t>
            </w:r>
          </w:p>
        </w:tc>
        <w:tc>
          <w:tcPr>
            <w:tcW w:w="820" w:type="pct"/>
            <w:vAlign w:val="center"/>
          </w:tcPr>
          <w:p w14:paraId="5FDC7E38" w14:textId="77777777" w:rsidR="00AE0487" w:rsidRPr="007B73CC" w:rsidRDefault="00AE0487" w:rsidP="004A32CC">
            <w:pPr>
              <w:pStyle w:val="CMR-tables"/>
              <w:keepLines/>
              <w:spacing w:after="60"/>
              <w:jc w:val="center"/>
              <w:rPr>
                <w:rFonts w:cs="Times New Roman"/>
                <w:noProof/>
                <w:szCs w:val="20"/>
              </w:rPr>
            </w:pPr>
            <w:r>
              <w:rPr>
                <w:noProof/>
              </w:rPr>
              <w:t>-4,7 %</w:t>
            </w:r>
          </w:p>
          <w:p w14:paraId="523C26E9" w14:textId="5B649A5A" w:rsidR="00AE0487" w:rsidRPr="007B73CC" w:rsidRDefault="00AE0487" w:rsidP="004A32CC">
            <w:pPr>
              <w:pStyle w:val="CMR-tables"/>
              <w:keepLines/>
              <w:jc w:val="center"/>
              <w:rPr>
                <w:rFonts w:cs="Times New Roman"/>
                <w:noProof/>
                <w:szCs w:val="20"/>
              </w:rPr>
            </w:pPr>
            <w:r>
              <w:rPr>
                <w:noProof/>
              </w:rPr>
              <w:t>(4,7 % escl. Regno Unito)</w:t>
            </w:r>
          </w:p>
        </w:tc>
        <w:tc>
          <w:tcPr>
            <w:tcW w:w="556" w:type="pct"/>
            <w:vAlign w:val="center"/>
          </w:tcPr>
          <w:p w14:paraId="68AD8A9D" w14:textId="7D77AD2D" w:rsidR="00AE0487" w:rsidRPr="007B73CC" w:rsidRDefault="00AE0487" w:rsidP="004A32CC">
            <w:pPr>
              <w:pStyle w:val="CMR-tables"/>
              <w:keepLines/>
              <w:jc w:val="center"/>
              <w:rPr>
                <w:rFonts w:cs="Times New Roman"/>
                <w:noProof/>
                <w:szCs w:val="20"/>
              </w:rPr>
            </w:pPr>
            <w:r>
              <w:rPr>
                <w:noProof/>
              </w:rPr>
              <w:t>-6,4 %</w:t>
            </w:r>
          </w:p>
        </w:tc>
        <w:tc>
          <w:tcPr>
            <w:tcW w:w="556" w:type="pct"/>
            <w:vAlign w:val="center"/>
          </w:tcPr>
          <w:p w14:paraId="64AB9E4C" w14:textId="45E8E0D5" w:rsidR="00AE0487" w:rsidRPr="007B73CC" w:rsidRDefault="00AE0487" w:rsidP="004A32CC">
            <w:pPr>
              <w:pStyle w:val="CMR-tables"/>
              <w:keepLines/>
              <w:jc w:val="center"/>
              <w:rPr>
                <w:rFonts w:cs="Times New Roman"/>
                <w:noProof/>
                <w:szCs w:val="20"/>
              </w:rPr>
            </w:pPr>
            <w:r>
              <w:rPr>
                <w:noProof/>
              </w:rPr>
              <w:t>-7,5 %</w:t>
            </w:r>
          </w:p>
        </w:tc>
        <w:tc>
          <w:tcPr>
            <w:tcW w:w="556" w:type="pct"/>
            <w:vAlign w:val="center"/>
          </w:tcPr>
          <w:p w14:paraId="0D0DD32B" w14:textId="56F54977" w:rsidR="00AE0487" w:rsidRPr="007B73CC" w:rsidRDefault="00265129" w:rsidP="004A32CC">
            <w:pPr>
              <w:pStyle w:val="CMR-tables"/>
              <w:keepLines/>
              <w:jc w:val="center"/>
              <w:rPr>
                <w:rFonts w:cs="Times New Roman"/>
                <w:noProof/>
                <w:szCs w:val="20"/>
              </w:rPr>
            </w:pPr>
            <w:r>
              <w:rPr>
                <w:noProof/>
              </w:rPr>
              <w:t>-0,8 %</w:t>
            </w:r>
          </w:p>
        </w:tc>
      </w:tr>
    </w:tbl>
    <w:p w14:paraId="160A58FE" w14:textId="49605584" w:rsidR="00025260" w:rsidRPr="00EC4FC3" w:rsidRDefault="00025260" w:rsidP="004A32CC">
      <w:pPr>
        <w:pStyle w:val="CMR-Subheading"/>
        <w:keepNext/>
        <w:ind w:left="998" w:hanging="431"/>
        <w:rPr>
          <w:noProof/>
        </w:rPr>
      </w:pPr>
      <w:bookmarkStart w:id="47" w:name="_Toc218937033"/>
      <w:r>
        <w:rPr>
          <w:noProof/>
        </w:rPr>
        <w:t>Emissioni prodotte dalla combustione di combustibili fossili negli impianti</w:t>
      </w:r>
      <w:bookmarkEnd w:id="47"/>
    </w:p>
    <w:p w14:paraId="6A91E1E6" w14:textId="053072B9" w:rsidR="00AD2322" w:rsidRPr="00685D02" w:rsidRDefault="00176FB3" w:rsidP="00F20957">
      <w:pPr>
        <w:jc w:val="both"/>
        <w:rPr>
          <w:rFonts w:ascii="Times New Roman" w:hAnsi="Times New Roman" w:cs="Times New Roman"/>
          <w:noProof/>
        </w:rPr>
      </w:pPr>
      <w:r>
        <w:rPr>
          <w:rStyle w:val="CMR-textChar"/>
          <w:rFonts w:cs="Times New Roman"/>
          <w:noProof/>
        </w:rPr>
        <w:fldChar w:fldCharType="begin"/>
      </w:r>
      <w:r>
        <w:rPr>
          <w:rStyle w:val="CMR-textChar"/>
          <w:rFonts w:cs="Times New Roman"/>
          <w:noProof/>
        </w:rPr>
        <w:instrText xml:space="preserve"> REF _Ref176771715 \h  \* MERGEFORMAT </w:instrText>
      </w:r>
      <w:r>
        <w:rPr>
          <w:rStyle w:val="CMR-textChar"/>
          <w:rFonts w:cs="Times New Roman"/>
          <w:noProof/>
        </w:rPr>
      </w:r>
      <w:r>
        <w:rPr>
          <w:rStyle w:val="CMR-textChar"/>
          <w:rFonts w:cs="Times New Roman"/>
          <w:noProof/>
        </w:rPr>
        <w:fldChar w:fldCharType="separate"/>
      </w:r>
      <w:r w:rsidR="0038309D">
        <w:rPr>
          <w:rStyle w:val="CMR-textChar"/>
          <w:rFonts w:cs="Times New Roman"/>
          <w:noProof/>
        </w:rPr>
        <w:t>Le f</w:t>
      </w:r>
      <w:r>
        <w:rPr>
          <w:rStyle w:val="CMR-textChar"/>
          <w:rFonts w:cs="Times New Roman"/>
          <w:noProof/>
        </w:rPr>
        <w:t xml:space="preserve">igure 4 </w:t>
      </w:r>
      <w:r>
        <w:rPr>
          <w:rStyle w:val="CMR-textChar"/>
          <w:rFonts w:cs="Times New Roman"/>
          <w:noProof/>
        </w:rPr>
        <w:fldChar w:fldCharType="end"/>
      </w:r>
      <w:r>
        <w:rPr>
          <w:rStyle w:val="CMR-textChar"/>
          <w:noProof/>
        </w:rPr>
        <w:t>e 5 mostrano</w:t>
      </w:r>
      <w:r>
        <w:rPr>
          <w:rFonts w:ascii="Times New Roman" w:hAnsi="Times New Roman"/>
          <w:noProof/>
        </w:rPr>
        <w:t xml:space="preserve"> l</w:t>
      </w:r>
      <w:r w:rsidR="00F06D2E">
        <w:rPr>
          <w:rFonts w:ascii="Times New Roman" w:hAnsi="Times New Roman"/>
          <w:noProof/>
        </w:rPr>
        <w:t>'</w:t>
      </w:r>
      <w:r>
        <w:rPr>
          <w:rFonts w:ascii="Times New Roman" w:hAnsi="Times New Roman"/>
          <w:noProof/>
        </w:rPr>
        <w:t>andamento delle emissioni prodotte dalla combustione di combustibili fossili negli impianti che rientrano nell</w:t>
      </w:r>
      <w:r w:rsidR="00F06D2E">
        <w:rPr>
          <w:rFonts w:ascii="Times New Roman" w:hAnsi="Times New Roman"/>
          <w:noProof/>
        </w:rPr>
        <w:t>'</w:t>
      </w:r>
      <w:r>
        <w:rPr>
          <w:rFonts w:ascii="Times New Roman" w:hAnsi="Times New Roman"/>
          <w:noProof/>
        </w:rPr>
        <w:t>ambito di applicazione dell</w:t>
      </w:r>
      <w:r w:rsidR="00F06D2E">
        <w:rPr>
          <w:rFonts w:ascii="Times New Roman" w:hAnsi="Times New Roman"/>
          <w:noProof/>
        </w:rPr>
        <w:t>'</w:t>
      </w:r>
      <w:r>
        <w:rPr>
          <w:rFonts w:ascii="Times New Roman" w:hAnsi="Times New Roman"/>
          <w:noProof/>
        </w:rPr>
        <w:t>EU ETS</w:t>
      </w:r>
      <w:r>
        <w:rPr>
          <w:rStyle w:val="CMR-textChar"/>
          <w:noProof/>
        </w:rPr>
        <w:t>, rispettivamente in percentuale delle emissioni totali degli impianti e per tipo di combustibile</w:t>
      </w:r>
      <w:r>
        <w:rPr>
          <w:rStyle w:val="FootnoteReference"/>
          <w:rFonts w:ascii="Times New Roman" w:hAnsi="Times New Roman" w:cs="Times New Roman"/>
          <w:noProof/>
          <w:kern w:val="0"/>
          <w:lang w:val="en-IE"/>
        </w:rPr>
        <w:footnoteReference w:id="52"/>
      </w:r>
      <w:r>
        <w:rPr>
          <w:rStyle w:val="CMR-textChar"/>
          <w:noProof/>
        </w:rPr>
        <w:t>.</w:t>
      </w:r>
      <w:r>
        <w:rPr>
          <w:rFonts w:ascii="Times New Roman" w:hAnsi="Times New Roman"/>
          <w:noProof/>
        </w:rPr>
        <w:t xml:space="preserve"> Non tutte le emissioni nell</w:t>
      </w:r>
      <w:r w:rsidR="00F06D2E">
        <w:rPr>
          <w:rFonts w:ascii="Times New Roman" w:hAnsi="Times New Roman"/>
          <w:noProof/>
        </w:rPr>
        <w:t>'</w:t>
      </w:r>
      <w:r>
        <w:rPr>
          <w:rFonts w:ascii="Times New Roman" w:hAnsi="Times New Roman"/>
          <w:noProof/>
        </w:rPr>
        <w:t>ambito dell</w:t>
      </w:r>
      <w:r w:rsidR="00F06D2E">
        <w:rPr>
          <w:rFonts w:ascii="Times New Roman" w:hAnsi="Times New Roman"/>
          <w:noProof/>
        </w:rPr>
        <w:t>'</w:t>
      </w:r>
      <w:r>
        <w:rPr>
          <w:rFonts w:ascii="Times New Roman" w:hAnsi="Times New Roman"/>
          <w:noProof/>
        </w:rPr>
        <w:t xml:space="preserve">ETS derivano dalla combustione di combustibili fossili: alcune sono prodotte direttamente dai processi industriali. La figura 4 riporta la percentuale di emissioni derivanti dalla combustione di combustibili fossili rispetto alle emissioni totali degli impianti, mentre la figura </w:t>
      </w:r>
      <w:r>
        <w:rPr>
          <w:rStyle w:val="CMR-textChar"/>
          <w:noProof/>
        </w:rPr>
        <w:t xml:space="preserve">5 ne mostra </w:t>
      </w:r>
      <w:r>
        <w:rPr>
          <w:rFonts w:ascii="Times New Roman" w:hAnsi="Times New Roman"/>
          <w:noProof/>
        </w:rPr>
        <w:t xml:space="preserve">la ripartizione per tipo di combustibile. </w:t>
      </w:r>
    </w:p>
    <w:p w14:paraId="586B27C5" w14:textId="556AEC0B" w:rsidR="00C67AE7" w:rsidRPr="00685D02" w:rsidRDefault="33EB2012" w:rsidP="65EC3A73">
      <w:pPr>
        <w:jc w:val="both"/>
        <w:rPr>
          <w:rFonts w:ascii="Times New Roman" w:hAnsi="Times New Roman" w:cs="Times New Roman"/>
          <w:noProof/>
        </w:rPr>
      </w:pPr>
      <w:r>
        <w:rPr>
          <w:rStyle w:val="CMR-textChar"/>
          <w:noProof/>
        </w:rPr>
        <w:t>Nel complesso</w:t>
      </w:r>
      <w:r>
        <w:rPr>
          <w:rFonts w:ascii="Times New Roman" w:hAnsi="Times New Roman"/>
          <w:noProof/>
        </w:rPr>
        <w:t>, le emissioni mostrano un andamento discendente determinato dalla decarbonizzazione del settore energetico, ossia dalla diffusione delle rinnovabili, dalla sostituzione del carbone con il gas naturale e dal crescente utilizzo di biomassa</w:t>
      </w:r>
      <w:r>
        <w:rPr>
          <w:rStyle w:val="FootnoteReference"/>
          <w:rFonts w:ascii="Times New Roman" w:hAnsi="Times New Roman" w:cs="Times New Roman"/>
          <w:noProof/>
          <w:kern w:val="0"/>
          <w:lang w:val="en-IE"/>
        </w:rPr>
        <w:footnoteReference w:id="53"/>
      </w:r>
      <w:r>
        <w:rPr>
          <w:rFonts w:ascii="Times New Roman" w:hAnsi="Times New Roman"/>
          <w:noProof/>
        </w:rPr>
        <w:t xml:space="preserve">. </w:t>
      </w:r>
      <w:r>
        <w:rPr>
          <w:rStyle w:val="CMR-textChar"/>
          <w:noProof/>
        </w:rPr>
        <w:t xml:space="preserve">Come illustrato nella </w:t>
      </w:r>
      <w:r>
        <w:rPr>
          <w:rStyle w:val="CMR-textChar"/>
          <w:rFonts w:cs="Times New Roman"/>
          <w:noProof/>
        </w:rPr>
        <w:fldChar w:fldCharType="begin"/>
      </w:r>
      <w:r>
        <w:rPr>
          <w:rStyle w:val="CMR-textChar"/>
          <w:rFonts w:cs="Times New Roman"/>
          <w:noProof/>
        </w:rPr>
        <w:instrText xml:space="preserve"> REF _Ref176771720 \h  \* MERGEFORMAT </w:instrText>
      </w:r>
      <w:r>
        <w:rPr>
          <w:rStyle w:val="CMR-textChar"/>
          <w:rFonts w:cs="Times New Roman"/>
          <w:noProof/>
        </w:rPr>
      </w:r>
      <w:r>
        <w:rPr>
          <w:rStyle w:val="CMR-textChar"/>
          <w:rFonts w:cs="Times New Roman"/>
          <w:noProof/>
        </w:rPr>
        <w:fldChar w:fldCharType="separate"/>
      </w:r>
      <w:r w:rsidR="0038309D">
        <w:rPr>
          <w:rStyle w:val="CMR-textChar"/>
          <w:rFonts w:cs="Times New Roman"/>
          <w:noProof/>
        </w:rPr>
        <w:t>f</w:t>
      </w:r>
      <w:r>
        <w:rPr>
          <w:rStyle w:val="CMR-textChar"/>
          <w:rFonts w:cs="Times New Roman"/>
          <w:noProof/>
        </w:rPr>
        <w:t>igur</w:t>
      </w:r>
      <w:r w:rsidR="0038309D">
        <w:rPr>
          <w:rStyle w:val="CMR-textChar"/>
          <w:rFonts w:cs="Times New Roman"/>
          <w:noProof/>
        </w:rPr>
        <w:t>a</w:t>
      </w:r>
      <w:r>
        <w:rPr>
          <w:rStyle w:val="CMR-textChar"/>
          <w:rFonts w:cs="Times New Roman"/>
          <w:noProof/>
        </w:rPr>
        <w:t xml:space="preserve"> </w:t>
      </w:r>
      <w:r>
        <w:rPr>
          <w:rStyle w:val="CMR-textChar"/>
          <w:rFonts w:cs="Times New Roman"/>
          <w:noProof/>
        </w:rPr>
        <w:fldChar w:fldCharType="end"/>
      </w:r>
      <w:r>
        <w:rPr>
          <w:rStyle w:val="CMR-textChar"/>
          <w:noProof/>
        </w:rPr>
        <w:t>5, la</w:t>
      </w:r>
      <w:r>
        <w:rPr>
          <w:rFonts w:ascii="Times New Roman" w:hAnsi="Times New Roman"/>
          <w:noProof/>
        </w:rPr>
        <w:t xml:space="preserve"> tendenza all</w:t>
      </w:r>
      <w:r w:rsidR="00F06D2E">
        <w:rPr>
          <w:rFonts w:ascii="Times New Roman" w:hAnsi="Times New Roman"/>
          <w:noProof/>
        </w:rPr>
        <w:t>'</w:t>
      </w:r>
      <w:r>
        <w:rPr>
          <w:rFonts w:ascii="Times New Roman" w:hAnsi="Times New Roman"/>
          <w:noProof/>
        </w:rPr>
        <w:t>aumento dell</w:t>
      </w:r>
      <w:r w:rsidR="00F06D2E">
        <w:rPr>
          <w:rFonts w:ascii="Times New Roman" w:hAnsi="Times New Roman"/>
          <w:noProof/>
        </w:rPr>
        <w:t>'</w:t>
      </w:r>
      <w:r>
        <w:rPr>
          <w:rFonts w:ascii="Times New Roman" w:hAnsi="Times New Roman"/>
          <w:noProof/>
        </w:rPr>
        <w:t>uso del carbon fossile osservata nel 2022 (legata all</w:t>
      </w:r>
      <w:r w:rsidR="00F06D2E">
        <w:rPr>
          <w:rFonts w:ascii="Times New Roman" w:hAnsi="Times New Roman"/>
          <w:noProof/>
        </w:rPr>
        <w:t>'</w:t>
      </w:r>
      <w:r>
        <w:rPr>
          <w:rFonts w:ascii="Times New Roman" w:hAnsi="Times New Roman"/>
          <w:noProof/>
        </w:rPr>
        <w:t>aumento dei prezzi del gas naturale per via dell</w:t>
      </w:r>
      <w:r w:rsidR="00F06D2E">
        <w:rPr>
          <w:rFonts w:ascii="Times New Roman" w:hAnsi="Times New Roman"/>
          <w:noProof/>
        </w:rPr>
        <w:t>'</w:t>
      </w:r>
      <w:r>
        <w:rPr>
          <w:rFonts w:ascii="Times New Roman" w:hAnsi="Times New Roman"/>
          <w:noProof/>
        </w:rPr>
        <w:t>invasione dell</w:t>
      </w:r>
      <w:r w:rsidR="00F06D2E">
        <w:rPr>
          <w:rFonts w:ascii="Times New Roman" w:hAnsi="Times New Roman"/>
          <w:noProof/>
        </w:rPr>
        <w:t>'</w:t>
      </w:r>
      <w:r>
        <w:rPr>
          <w:rFonts w:ascii="Times New Roman" w:hAnsi="Times New Roman"/>
          <w:noProof/>
        </w:rPr>
        <w:t>Ucraina da parte della Russia) ha subito un</w:t>
      </w:r>
      <w:r w:rsidR="00F06D2E">
        <w:rPr>
          <w:rFonts w:ascii="Times New Roman" w:hAnsi="Times New Roman"/>
          <w:noProof/>
        </w:rPr>
        <w:t>'</w:t>
      </w:r>
      <w:r>
        <w:rPr>
          <w:rFonts w:ascii="Times New Roman" w:hAnsi="Times New Roman"/>
          <w:noProof/>
        </w:rPr>
        <w:t xml:space="preserve">inversione </w:t>
      </w:r>
      <w:r>
        <w:rPr>
          <w:rStyle w:val="CMR-textChar"/>
          <w:noProof/>
        </w:rPr>
        <w:t>nel 2024, anno in cui la quota rappresentata dal carbon fossile ha raggiunto i livelli più bassi dal 2013</w:t>
      </w:r>
      <w:r>
        <w:rPr>
          <w:rFonts w:ascii="Times New Roman" w:hAnsi="Times New Roman"/>
          <w:noProof/>
        </w:rPr>
        <w:t xml:space="preserve">. </w:t>
      </w:r>
    </w:p>
    <w:p w14:paraId="191CFDD7" w14:textId="2192C376" w:rsidR="00CC46ED" w:rsidRPr="00685D02" w:rsidRDefault="00E02889" w:rsidP="00CC46ED">
      <w:pPr>
        <w:keepNext/>
        <w:jc w:val="both"/>
        <w:rPr>
          <w:rFonts w:ascii="Times New Roman" w:hAnsi="Times New Roman" w:cs="Times New Roman"/>
          <w:noProof/>
        </w:rPr>
      </w:pPr>
      <w:r>
        <w:rPr>
          <w:noProof/>
          <w:lang w:val="en-GB" w:eastAsia="en-GB"/>
        </w:rPr>
        <w:drawing>
          <wp:inline distT="0" distB="0" distL="0" distR="0" wp14:anchorId="104C70A6" wp14:editId="3726F335">
            <wp:extent cx="5731510" cy="2432050"/>
            <wp:effectExtent l="0" t="0" r="2540" b="6350"/>
            <wp:docPr id="1304318677" name="Chart 1">
              <a:extLst xmlns:a="http://schemas.openxmlformats.org/drawingml/2006/main">
                <a:ext uri="{FF2B5EF4-FFF2-40B4-BE49-F238E27FC236}">
                  <a16:creationId xmlns:a16="http://schemas.microsoft.com/office/drawing/2014/main" id="{CAADC2EB-1DDE-4DF2-A127-2D6631A56E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11A370A" w14:textId="78F0CFCF" w:rsidR="001A56DF" w:rsidRPr="007B73CC" w:rsidRDefault="00CC46ED" w:rsidP="00CC46ED">
      <w:pPr>
        <w:pStyle w:val="Caption"/>
        <w:rPr>
          <w:noProof/>
          <w:sz w:val="20"/>
        </w:rPr>
      </w:pPr>
      <w:bookmarkStart w:id="48" w:name="_Ref176771715"/>
      <w:r>
        <w:rPr>
          <w:noProof/>
          <w:sz w:val="20"/>
        </w:rPr>
        <w:t>Figura 4</w:t>
      </w:r>
      <w:r>
        <w:rPr>
          <w:noProof/>
          <w:sz w:val="20"/>
        </w:rPr>
        <w:fldChar w:fldCharType="begin"/>
      </w:r>
      <w:r>
        <w:rPr>
          <w:noProof/>
          <w:sz w:val="20"/>
        </w:rPr>
        <w:instrText xml:space="preserve"> SEQ Figure \* ARABIC </w:instrText>
      </w:r>
      <w:r>
        <w:rPr>
          <w:noProof/>
          <w:sz w:val="20"/>
        </w:rPr>
        <w:fldChar w:fldCharType="end"/>
      </w:r>
      <w:bookmarkEnd w:id="48"/>
      <w:r>
        <w:rPr>
          <w:noProof/>
          <w:sz w:val="20"/>
        </w:rPr>
        <w:t>. Andamento delle emissioni totali prodotte dalla combustione di combustibili fossili negli impianti che rientrano nell</w:t>
      </w:r>
      <w:r w:rsidR="00F06D2E">
        <w:rPr>
          <w:noProof/>
          <w:sz w:val="20"/>
        </w:rPr>
        <w:t>'</w:t>
      </w:r>
      <w:r>
        <w:rPr>
          <w:noProof/>
          <w:sz w:val="20"/>
        </w:rPr>
        <w:t>ambito di applicazione dell</w:t>
      </w:r>
      <w:r w:rsidR="00F06D2E">
        <w:rPr>
          <w:noProof/>
          <w:sz w:val="20"/>
        </w:rPr>
        <w:t>'</w:t>
      </w:r>
      <w:r>
        <w:rPr>
          <w:noProof/>
          <w:sz w:val="20"/>
        </w:rPr>
        <w:t xml:space="preserve">EU ETS (2013-2024). Le cifre indicano la percentuale sulle emissioni totali degli impianti. </w:t>
      </w:r>
    </w:p>
    <w:p w14:paraId="6E63846E" w14:textId="30B7BCC5" w:rsidR="00130AC0" w:rsidRPr="00685D02" w:rsidRDefault="00C606E6" w:rsidP="00130AC0">
      <w:pPr>
        <w:keepNext/>
        <w:jc w:val="both"/>
        <w:rPr>
          <w:rFonts w:ascii="Times New Roman" w:hAnsi="Times New Roman" w:cs="Times New Roman"/>
          <w:noProof/>
        </w:rPr>
      </w:pPr>
      <w:r>
        <w:rPr>
          <w:rFonts w:ascii="Times New Roman" w:hAnsi="Times New Roman" w:cs="Times New Roman"/>
          <w:noProof/>
          <w:lang w:val="en-GB" w:eastAsia="en-GB"/>
        </w:rPr>
        <w:drawing>
          <wp:inline distT="0" distB="0" distL="0" distR="0" wp14:anchorId="2DAA5B16" wp14:editId="13D19AC6">
            <wp:extent cx="5731510" cy="3331838"/>
            <wp:effectExtent l="0" t="0" r="2540" b="2540"/>
            <wp:docPr id="1844877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8920" cy="3336146"/>
                    </a:xfrm>
                    <a:prstGeom prst="rect">
                      <a:avLst/>
                    </a:prstGeom>
                    <a:noFill/>
                  </pic:spPr>
                </pic:pic>
              </a:graphicData>
            </a:graphic>
          </wp:inline>
        </w:drawing>
      </w:r>
    </w:p>
    <w:p w14:paraId="47A9609B" w14:textId="67662110" w:rsidR="001A56DF" w:rsidRPr="007B73CC" w:rsidRDefault="269DA4C7" w:rsidP="00623DEB">
      <w:pPr>
        <w:jc w:val="both"/>
        <w:rPr>
          <w:rFonts w:ascii="Times New Roman" w:hAnsi="Times New Roman" w:cs="Times New Roman"/>
          <w:i/>
          <w:iCs/>
          <w:noProof/>
          <w:sz w:val="20"/>
          <w:szCs w:val="20"/>
        </w:rPr>
      </w:pPr>
      <w:bookmarkStart w:id="49" w:name="_Ref176771720"/>
      <w:r>
        <w:rPr>
          <w:rFonts w:ascii="Times New Roman" w:hAnsi="Times New Roman"/>
          <w:i/>
          <w:noProof/>
          <w:sz w:val="20"/>
        </w:rPr>
        <w:t>Figura 5</w:t>
      </w:r>
      <w:r>
        <w:rPr>
          <w:rFonts w:ascii="Times New Roman" w:hAnsi="Times New Roman" w:cs="Times New Roman"/>
          <w:i/>
          <w:noProof/>
          <w:sz w:val="20"/>
        </w:rPr>
        <w:fldChar w:fldCharType="begin"/>
      </w:r>
      <w:r>
        <w:rPr>
          <w:rFonts w:ascii="Times New Roman" w:hAnsi="Times New Roman" w:cs="Times New Roman"/>
          <w:i/>
          <w:noProof/>
          <w:sz w:val="20"/>
        </w:rPr>
        <w:instrText xml:space="preserve"> SEQ Figure \* ARABIC </w:instrText>
      </w:r>
      <w:r>
        <w:rPr>
          <w:rFonts w:ascii="Times New Roman" w:hAnsi="Times New Roman" w:cs="Times New Roman"/>
          <w:i/>
          <w:noProof/>
          <w:sz w:val="20"/>
        </w:rPr>
        <w:fldChar w:fldCharType="end"/>
      </w:r>
      <w:bookmarkEnd w:id="49"/>
      <w:r>
        <w:rPr>
          <w:rFonts w:ascii="Times New Roman" w:hAnsi="Times New Roman"/>
          <w:i/>
          <w:noProof/>
          <w:sz w:val="20"/>
        </w:rPr>
        <w:t>. Andamento delle emissioni prodotte dalla combustione di diversi combustibili negli impianti che rientrano nell</w:t>
      </w:r>
      <w:r w:rsidR="00F06D2E">
        <w:rPr>
          <w:rFonts w:ascii="Times New Roman" w:hAnsi="Times New Roman"/>
          <w:i/>
          <w:noProof/>
          <w:sz w:val="20"/>
        </w:rPr>
        <w:t>'</w:t>
      </w:r>
      <w:r>
        <w:rPr>
          <w:rFonts w:ascii="Times New Roman" w:hAnsi="Times New Roman"/>
          <w:i/>
          <w:noProof/>
          <w:sz w:val="20"/>
        </w:rPr>
        <w:t>ambito di applicazione dell</w:t>
      </w:r>
      <w:r w:rsidR="00F06D2E">
        <w:rPr>
          <w:rFonts w:ascii="Times New Roman" w:hAnsi="Times New Roman"/>
          <w:i/>
          <w:noProof/>
          <w:sz w:val="20"/>
        </w:rPr>
        <w:t>'</w:t>
      </w:r>
      <w:r>
        <w:rPr>
          <w:rFonts w:ascii="Times New Roman" w:hAnsi="Times New Roman"/>
          <w:i/>
          <w:noProof/>
          <w:sz w:val="20"/>
        </w:rPr>
        <w:t xml:space="preserve">EU ETS (2013-2024). Le cifre indicano la percentuale sulle emissioni totali di combustione degli impianti. Le percentuali non sono indicate se le emissioni derivanti dalla combustione di un determinato combustibile non superano mai il 3 %. La voce </w:t>
      </w:r>
      <w:r w:rsidR="00F06D2E">
        <w:rPr>
          <w:rFonts w:ascii="Times New Roman" w:hAnsi="Times New Roman"/>
          <w:i/>
          <w:noProof/>
          <w:sz w:val="20"/>
        </w:rPr>
        <w:t>"</w:t>
      </w:r>
      <w:r>
        <w:rPr>
          <w:rFonts w:ascii="Times New Roman" w:hAnsi="Times New Roman"/>
          <w:i/>
          <w:noProof/>
          <w:sz w:val="20"/>
        </w:rPr>
        <w:t>Altri combustibili fossili*</w:t>
      </w:r>
      <w:r w:rsidR="00F06D2E">
        <w:rPr>
          <w:rFonts w:ascii="Times New Roman" w:hAnsi="Times New Roman"/>
          <w:i/>
          <w:noProof/>
          <w:sz w:val="20"/>
        </w:rPr>
        <w:t>"</w:t>
      </w:r>
      <w:r>
        <w:rPr>
          <w:rFonts w:ascii="Times New Roman" w:hAnsi="Times New Roman"/>
          <w:i/>
          <w:noProof/>
          <w:sz w:val="20"/>
        </w:rPr>
        <w:t xml:space="preserve"> si riferisce ai combustibili che non sono già elencati nella legenda. La biomassa ha un fattore di emissione pari a zero nell</w:t>
      </w:r>
      <w:r w:rsidR="00F06D2E">
        <w:rPr>
          <w:rFonts w:ascii="Times New Roman" w:hAnsi="Times New Roman"/>
          <w:i/>
          <w:noProof/>
          <w:sz w:val="20"/>
        </w:rPr>
        <w:t>'</w:t>
      </w:r>
      <w:r>
        <w:rPr>
          <w:rFonts w:ascii="Times New Roman" w:hAnsi="Times New Roman"/>
          <w:i/>
          <w:noProof/>
          <w:sz w:val="20"/>
        </w:rPr>
        <w:t xml:space="preserve">EU ETS, pertanto le emissioni derivanti dalla sua combustione sono indicate in aggiunta alle emissioni totali di combustione degli impianti. </w:t>
      </w:r>
    </w:p>
    <w:p w14:paraId="3F1F697C" w14:textId="681DBE42" w:rsidR="00613B80" w:rsidRPr="00EC4FC3" w:rsidRDefault="00613B80" w:rsidP="00EC4FC3">
      <w:pPr>
        <w:pStyle w:val="CMR-Heading"/>
        <w:rPr>
          <w:noProof/>
        </w:rPr>
      </w:pPr>
      <w:bookmarkStart w:id="50" w:name="_Toc180513403"/>
      <w:bookmarkStart w:id="51" w:name="_Toc218937034"/>
      <w:r>
        <w:rPr>
          <w:noProof/>
        </w:rPr>
        <w:t>Entrate generate dall</w:t>
      </w:r>
      <w:r w:rsidR="00F06D2E">
        <w:rPr>
          <w:noProof/>
        </w:rPr>
        <w:t>'</w:t>
      </w:r>
      <w:r>
        <w:rPr>
          <w:noProof/>
        </w:rPr>
        <w:t>EU ETS</w:t>
      </w:r>
      <w:bookmarkEnd w:id="50"/>
      <w:bookmarkEnd w:id="51"/>
      <w:r>
        <w:rPr>
          <w:noProof/>
        </w:rPr>
        <w:t xml:space="preserve"> </w:t>
      </w:r>
    </w:p>
    <w:p w14:paraId="2FE8FC86" w14:textId="525171A9" w:rsidR="00876E44" w:rsidRPr="00685D02" w:rsidRDefault="00757735" w:rsidP="008C7E4E">
      <w:pPr>
        <w:pStyle w:val="CMR-text"/>
        <w:rPr>
          <w:rFonts w:cs="Times New Roman"/>
          <w:noProof/>
        </w:rPr>
      </w:pPr>
      <w:r>
        <w:rPr>
          <w:noProof/>
        </w:rPr>
        <w:t>La vendita all</w:t>
      </w:r>
      <w:r w:rsidR="00F06D2E">
        <w:rPr>
          <w:noProof/>
        </w:rPr>
        <w:t>'</w:t>
      </w:r>
      <w:r>
        <w:rPr>
          <w:noProof/>
        </w:rPr>
        <w:t>asta delle quote di emissioni dell</w:t>
      </w:r>
      <w:r w:rsidR="00F06D2E">
        <w:rPr>
          <w:noProof/>
        </w:rPr>
        <w:t>'</w:t>
      </w:r>
      <w:r>
        <w:rPr>
          <w:noProof/>
        </w:rPr>
        <w:t>EU ETS genera entrate considerevoli con cui gli Stati membri possono sostenere l</w:t>
      </w:r>
      <w:r w:rsidR="00F06D2E">
        <w:rPr>
          <w:noProof/>
        </w:rPr>
        <w:t>'</w:t>
      </w:r>
      <w:r>
        <w:rPr>
          <w:noProof/>
        </w:rPr>
        <w:t xml:space="preserve">azione per il clima e la trasformazione energetica. Nel 2024 i proventi totali delle aste hanno raggiunto 38,8 miliardi di EUR. </w:t>
      </w:r>
    </w:p>
    <w:p w14:paraId="0182454D" w14:textId="27C29A5E" w:rsidR="003F1EDF" w:rsidRPr="00685D02" w:rsidRDefault="00757735" w:rsidP="00876E44">
      <w:pPr>
        <w:pStyle w:val="CMR-text"/>
        <w:numPr>
          <w:ilvl w:val="0"/>
          <w:numId w:val="41"/>
        </w:numPr>
        <w:rPr>
          <w:rFonts w:cs="Times New Roman"/>
          <w:noProof/>
        </w:rPr>
      </w:pPr>
      <w:r>
        <w:rPr>
          <w:noProof/>
        </w:rPr>
        <w:t>Di questi, 24,4 miliardi di EUR sono andati direttamente agli Stati membri e 0,3 miliardi di EUR all</w:t>
      </w:r>
      <w:r w:rsidR="00F06D2E">
        <w:rPr>
          <w:noProof/>
        </w:rPr>
        <w:t>'</w:t>
      </w:r>
      <w:r>
        <w:rPr>
          <w:noProof/>
        </w:rPr>
        <w:t>Islanda, al Liechtenstein, alla Norvegia e all</w:t>
      </w:r>
      <w:r w:rsidR="00F06D2E">
        <w:rPr>
          <w:noProof/>
        </w:rPr>
        <w:t>'</w:t>
      </w:r>
      <w:r>
        <w:rPr>
          <w:noProof/>
        </w:rPr>
        <w:t xml:space="preserve">Irlanda del Nord. </w:t>
      </w:r>
    </w:p>
    <w:p w14:paraId="55695E2B" w14:textId="622F4024" w:rsidR="001302F9" w:rsidRPr="00685D02" w:rsidRDefault="00EF61CA" w:rsidP="00876E44">
      <w:pPr>
        <w:pStyle w:val="CMR-text"/>
        <w:numPr>
          <w:ilvl w:val="0"/>
          <w:numId w:val="41"/>
        </w:numPr>
        <w:rPr>
          <w:rFonts w:cs="Times New Roman"/>
          <w:noProof/>
        </w:rPr>
      </w:pPr>
      <w:r>
        <w:rPr>
          <w:noProof/>
        </w:rPr>
        <w:t>Al Fondo per la modernizzazione dell</w:t>
      </w:r>
      <w:r w:rsidR="00F06D2E">
        <w:rPr>
          <w:noProof/>
        </w:rPr>
        <w:t>'</w:t>
      </w:r>
      <w:r>
        <w:rPr>
          <w:noProof/>
        </w:rPr>
        <w:t>ETS e al Fondo per l</w:t>
      </w:r>
      <w:r w:rsidR="00F06D2E">
        <w:rPr>
          <w:noProof/>
        </w:rPr>
        <w:t>'</w:t>
      </w:r>
      <w:r>
        <w:rPr>
          <w:noProof/>
        </w:rPr>
        <w:t>innovazione sono stati destinati rispettivamente 6,3 miliardi di EUR e 2,3 miliardi di EUR, mentre i restanti 5,6 miliardi di EUR sono stati destinati al dispositivo per la ripresa e la resilienza per finanziare il piano REPowerEU, che gli Stati membri utilizzano per portare avanti la transizione verso l</w:t>
      </w:r>
      <w:r w:rsidR="00F06D2E">
        <w:rPr>
          <w:noProof/>
        </w:rPr>
        <w:t>'</w:t>
      </w:r>
      <w:r>
        <w:rPr>
          <w:noProof/>
        </w:rPr>
        <w:t>energia pulita e promuovere la sicurezza energetica attraverso l</w:t>
      </w:r>
      <w:r w:rsidR="00F06D2E">
        <w:rPr>
          <w:noProof/>
        </w:rPr>
        <w:t>'</w:t>
      </w:r>
      <w:r>
        <w:rPr>
          <w:noProof/>
        </w:rPr>
        <w:t>attuazione delle riforme e degli investimenti inclusi nei capitoli REPowerEU dei rispettivi piani per la ripresa e la resilienza.</w:t>
      </w:r>
    </w:p>
    <w:p w14:paraId="3CF0E860" w14:textId="3DB2A2B6" w:rsidR="00757735" w:rsidRPr="00685D02" w:rsidRDefault="00844486" w:rsidP="00B24B3C">
      <w:pPr>
        <w:pStyle w:val="CMR-text"/>
        <w:rPr>
          <w:rFonts w:cs="Times New Roman"/>
          <w:noProof/>
        </w:rPr>
      </w:pPr>
      <w:r>
        <w:rPr>
          <w:noProof/>
        </w:rPr>
        <w:t xml:space="preserve">La figura 6 mostra la distribuzione dei proventi delle aste del 2024. I dati dettagliati sulle entrate per paese e per fondo sono inclusi nella sezione 3 del documento di lavoro dei servizi della Commissione che accompagna la presente relazione. </w:t>
      </w:r>
    </w:p>
    <w:p w14:paraId="30BFCBF4" w14:textId="0E92A2D3" w:rsidR="003A7581" w:rsidRPr="00685D02" w:rsidRDefault="00E5258C" w:rsidP="00A70C6B">
      <w:pPr>
        <w:pStyle w:val="CMR-tables"/>
        <w:jc w:val="center"/>
        <w:rPr>
          <w:rFonts w:cs="Times New Roman"/>
          <w:noProof/>
          <w:sz w:val="22"/>
          <w:highlight w:val="lightGray"/>
        </w:rPr>
      </w:pPr>
      <w:r>
        <w:rPr>
          <w:noProof/>
          <w:lang w:val="en-GB" w:eastAsia="en-GB"/>
        </w:rPr>
        <w:drawing>
          <wp:inline distT="0" distB="0" distL="0" distR="0" wp14:anchorId="074E99D3" wp14:editId="0D7BF404">
            <wp:extent cx="5541819" cy="3456709"/>
            <wp:effectExtent l="0" t="0" r="1905" b="10795"/>
            <wp:docPr id="461708643" name="Chart 1">
              <a:extLst xmlns:a="http://schemas.openxmlformats.org/drawingml/2006/main">
                <a:ext uri="{FF2B5EF4-FFF2-40B4-BE49-F238E27FC236}">
                  <a16:creationId xmlns:a16="http://schemas.microsoft.com/office/drawing/2014/main" id="{6217A31C-40A2-5BD2-B722-6F0AE3A9B9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9B3B42E" w14:textId="77702A93" w:rsidR="0037499C" w:rsidRPr="007B73CC" w:rsidRDefault="003A7581" w:rsidP="009C3C52">
      <w:pPr>
        <w:pStyle w:val="Caption"/>
        <w:rPr>
          <w:noProof/>
          <w:sz w:val="20"/>
        </w:rPr>
      </w:pPr>
      <w:bookmarkStart w:id="52" w:name="_Ref176945887"/>
      <w:r>
        <w:rPr>
          <w:noProof/>
          <w:sz w:val="20"/>
        </w:rPr>
        <w:t>Figura 6</w:t>
      </w:r>
      <w:r>
        <w:rPr>
          <w:noProof/>
          <w:sz w:val="20"/>
        </w:rPr>
        <w:fldChar w:fldCharType="begin"/>
      </w:r>
      <w:r>
        <w:rPr>
          <w:noProof/>
          <w:sz w:val="20"/>
        </w:rPr>
        <w:instrText xml:space="preserve"> SEQ Figure \* ARABIC </w:instrText>
      </w:r>
      <w:r>
        <w:rPr>
          <w:noProof/>
          <w:sz w:val="20"/>
        </w:rPr>
        <w:fldChar w:fldCharType="end"/>
      </w:r>
      <w:bookmarkEnd w:id="52"/>
      <w:r>
        <w:rPr>
          <w:noProof/>
          <w:sz w:val="20"/>
        </w:rPr>
        <w:t>. Distribuzione dei proventi delle aste dell</w:t>
      </w:r>
      <w:r w:rsidR="00F06D2E">
        <w:rPr>
          <w:noProof/>
          <w:sz w:val="20"/>
        </w:rPr>
        <w:t>'</w:t>
      </w:r>
      <w:r>
        <w:rPr>
          <w:noProof/>
          <w:sz w:val="20"/>
        </w:rPr>
        <w:t>ETS del 2024 tra i bilanci nazionali, il Fondo per l</w:t>
      </w:r>
      <w:r w:rsidR="00F06D2E">
        <w:rPr>
          <w:noProof/>
          <w:sz w:val="20"/>
        </w:rPr>
        <w:t>'</w:t>
      </w:r>
      <w:r>
        <w:rPr>
          <w:noProof/>
          <w:sz w:val="20"/>
        </w:rPr>
        <w:t>innovazione, il Fondo per la modernizzazione e il dispositivo per la ripresa e la resilienza</w:t>
      </w:r>
    </w:p>
    <w:p w14:paraId="04351C18" w14:textId="0E46983A" w:rsidR="00C93ED1" w:rsidRPr="00685D02" w:rsidRDefault="00740A55" w:rsidP="000866E8">
      <w:pPr>
        <w:pStyle w:val="CMR-text"/>
        <w:rPr>
          <w:rFonts w:cs="Times New Roman"/>
          <w:noProof/>
        </w:rPr>
      </w:pPr>
      <w:r>
        <w:rPr>
          <w:noProof/>
        </w:rPr>
        <w:t>A norma dell</w:t>
      </w:r>
      <w:r w:rsidR="00F06D2E">
        <w:rPr>
          <w:noProof/>
        </w:rPr>
        <w:t>'</w:t>
      </w:r>
      <w:r>
        <w:rPr>
          <w:noProof/>
        </w:rPr>
        <w:t>articolo 10, paragrafo 3, della direttiva ETS gli Stati membri sono tenuti a utilizzare il 100 % dei proventi (o l</w:t>
      </w:r>
      <w:r w:rsidR="00F06D2E">
        <w:rPr>
          <w:noProof/>
        </w:rPr>
        <w:t>'</w:t>
      </w:r>
      <w:r>
        <w:rPr>
          <w:noProof/>
        </w:rPr>
        <w:t>equivalente in valore finanziario) per sostenere l</w:t>
      </w:r>
      <w:r w:rsidR="00F06D2E">
        <w:rPr>
          <w:noProof/>
        </w:rPr>
        <w:t>'</w:t>
      </w:r>
      <w:r>
        <w:rPr>
          <w:noProof/>
        </w:rPr>
        <w:t>azione per il clima e la trasformazione energetica, a eccezione dei proventi che gli Stati membri destinano ad aiuti alle industrie ad alta intensità di energia elettrica per i costi indiretti del carbonio (cfr. capitolo 8.1). Gli scopi specifici sono elencati all</w:t>
      </w:r>
      <w:r w:rsidR="00F06D2E">
        <w:rPr>
          <w:noProof/>
        </w:rPr>
        <w:t>'</w:t>
      </w:r>
      <w:r>
        <w:rPr>
          <w:noProof/>
        </w:rPr>
        <w:t>articolo 10, paragrafo 3, e comprendono la decarbonizzazione dell</w:t>
      </w:r>
      <w:r w:rsidR="00F06D2E">
        <w:rPr>
          <w:noProof/>
        </w:rPr>
        <w:t>'</w:t>
      </w:r>
      <w:r>
        <w:rPr>
          <w:noProof/>
        </w:rPr>
        <w:t>industria, la</w:t>
      </w:r>
      <w:r w:rsidR="0008163A">
        <w:rPr>
          <w:noProof/>
        </w:rPr>
        <w:t> </w:t>
      </w:r>
      <w:r>
        <w:rPr>
          <w:noProof/>
        </w:rPr>
        <w:t>trasformazione energetica, le tecnologie pulite, l</w:t>
      </w:r>
      <w:r w:rsidR="00F06D2E">
        <w:rPr>
          <w:noProof/>
        </w:rPr>
        <w:t>'</w:t>
      </w:r>
      <w:r>
        <w:rPr>
          <w:noProof/>
        </w:rPr>
        <w:t>adattamento ai cambiamenti climatici, la</w:t>
      </w:r>
      <w:r w:rsidR="0008163A">
        <w:rPr>
          <w:noProof/>
        </w:rPr>
        <w:t> </w:t>
      </w:r>
      <w:r>
        <w:rPr>
          <w:noProof/>
        </w:rPr>
        <w:t>decarbonizzazione del settore dei trasporti e azioni per una transizione giusta. La Commissione monitora attentamente il rispetto di questo nuovo obbligo per garantire che tutti i proventi dell</w:t>
      </w:r>
      <w:r w:rsidR="00F06D2E">
        <w:rPr>
          <w:noProof/>
        </w:rPr>
        <w:t>'</w:t>
      </w:r>
      <w:r>
        <w:rPr>
          <w:noProof/>
        </w:rPr>
        <w:t>ETS siano effettivamente spesi per tali scopi.</w:t>
      </w:r>
    </w:p>
    <w:p w14:paraId="516D1734" w14:textId="0B9C8F67" w:rsidR="009A7085" w:rsidRPr="00685D02" w:rsidRDefault="007B7A7D" w:rsidP="009A7085">
      <w:pPr>
        <w:pStyle w:val="CMR-text"/>
        <w:rPr>
          <w:rFonts w:cs="Times New Roman"/>
          <w:noProof/>
        </w:rPr>
      </w:pPr>
      <w:r>
        <w:rPr>
          <w:noProof/>
        </w:rPr>
        <w:t>L</w:t>
      </w:r>
      <w:r w:rsidR="00F06D2E">
        <w:rPr>
          <w:noProof/>
        </w:rPr>
        <w:t>'</w:t>
      </w:r>
      <w:r>
        <w:rPr>
          <w:noProof/>
        </w:rPr>
        <w:t>obbligo riguarda anche i proventi delle aste di quote di emissioni supplementari derivanti dall</w:t>
      </w:r>
      <w:r w:rsidR="00F06D2E">
        <w:rPr>
          <w:noProof/>
        </w:rPr>
        <w:t>'</w:t>
      </w:r>
      <w:r>
        <w:rPr>
          <w:noProof/>
        </w:rPr>
        <w:t>inclusione del trasporto marittimo nell</w:t>
      </w:r>
      <w:r w:rsidR="00F06D2E">
        <w:rPr>
          <w:noProof/>
        </w:rPr>
        <w:t>'</w:t>
      </w:r>
      <w:r>
        <w:rPr>
          <w:noProof/>
        </w:rPr>
        <w:t xml:space="preserve">EU ETS, un settore in cui gli Stati membri sono incoraggiati a contribuire maggiormente alla protezione, al ripristino e a una migliore gestione degli ecosistemi marini, in particolare delle zone marine protette. Inoltre gli Stati membri che, avendo un rapporto elevato tra società di navigazione e popolazione, ricevono volumi maggiori di quote di emissioni supplementari dovrebbero utilizzare la percentuale corrispondente per fini legati al settore marittimo. </w:t>
      </w:r>
    </w:p>
    <w:p w14:paraId="5ACC01CE" w14:textId="58ACAC51" w:rsidR="00B56728" w:rsidRPr="00685D02" w:rsidRDefault="3C3D0526" w:rsidP="001E72FA">
      <w:pPr>
        <w:pStyle w:val="CMR-text"/>
        <w:rPr>
          <w:rFonts w:cs="Times New Roman"/>
          <w:noProof/>
        </w:rPr>
      </w:pPr>
      <w:r>
        <w:rPr>
          <w:noProof/>
        </w:rPr>
        <w:t>Gli Stati membri riferiscono ogni anno alla Commissione a norma del regolamento sulla governance (regolamento (UE) 2018/1999)</w:t>
      </w:r>
      <w:r>
        <w:rPr>
          <w:rStyle w:val="FootnoteReference"/>
          <w:rFonts w:cs="Times New Roman"/>
          <w:noProof/>
          <w:lang w:val="en-IE"/>
        </w:rPr>
        <w:footnoteReference w:id="54"/>
      </w:r>
      <w:r>
        <w:rPr>
          <w:noProof/>
        </w:rPr>
        <w:t xml:space="preserve"> in merito all</w:t>
      </w:r>
      <w:r w:rsidR="00F06D2E">
        <w:rPr>
          <w:noProof/>
        </w:rPr>
        <w:t>'</w:t>
      </w:r>
      <w:r>
        <w:rPr>
          <w:noProof/>
        </w:rPr>
        <w:t>uso dei proventi dell</w:t>
      </w:r>
      <w:r w:rsidR="00F06D2E">
        <w:rPr>
          <w:noProof/>
        </w:rPr>
        <w:t>'</w:t>
      </w:r>
      <w:r>
        <w:rPr>
          <w:noProof/>
        </w:rPr>
        <w:t>ETS. Le relazioni in questione si basano su modelli, sono trasmesse tramite Reportnet 3, gestito dall</w:t>
      </w:r>
      <w:r w:rsidR="00F06D2E">
        <w:rPr>
          <w:noProof/>
        </w:rPr>
        <w:t>'</w:t>
      </w:r>
      <w:r>
        <w:rPr>
          <w:noProof/>
        </w:rPr>
        <w:t>Agenzia europea dell</w:t>
      </w:r>
      <w:r w:rsidR="00F06D2E">
        <w:rPr>
          <w:noProof/>
        </w:rPr>
        <w:t>'</w:t>
      </w:r>
      <w:r>
        <w:rPr>
          <w:noProof/>
        </w:rPr>
        <w:t>ambiente</w:t>
      </w:r>
      <w:r>
        <w:rPr>
          <w:rStyle w:val="FootnoteReference"/>
          <w:rFonts w:cs="Times New Roman"/>
          <w:noProof/>
          <w:lang w:val="en-IE"/>
        </w:rPr>
        <w:footnoteReference w:id="55"/>
      </w:r>
      <w:r>
        <w:rPr>
          <w:noProof/>
        </w:rPr>
        <w:t>, e</w:t>
      </w:r>
      <w:r w:rsidR="0008163A">
        <w:rPr>
          <w:noProof/>
        </w:rPr>
        <w:t> </w:t>
      </w:r>
      <w:r>
        <w:rPr>
          <w:noProof/>
        </w:rPr>
        <w:t>sono pubblicamente disponibili sul sito web dell</w:t>
      </w:r>
      <w:r w:rsidR="00F06D2E">
        <w:rPr>
          <w:noProof/>
        </w:rPr>
        <w:t>'</w:t>
      </w:r>
      <w:r>
        <w:rPr>
          <w:noProof/>
        </w:rPr>
        <w:t>Agenzia. Le relazioni devono essere sufficientemente dettagliate da consentire di valutare la conformità all</w:t>
      </w:r>
      <w:r w:rsidR="00F06D2E">
        <w:rPr>
          <w:noProof/>
        </w:rPr>
        <w:t>'</w:t>
      </w:r>
      <w:r>
        <w:rPr>
          <w:noProof/>
        </w:rPr>
        <w:t xml:space="preserve">obiettivo di spesa. In caso contrario, la Commissione può imporre allo Stato membro di ripresentare le informazioni per colmare le lacune. </w:t>
      </w:r>
    </w:p>
    <w:p w14:paraId="66496439" w14:textId="684C2FEE" w:rsidR="00195726" w:rsidRPr="00685D02" w:rsidRDefault="3AC9B8AD" w:rsidP="00195726">
      <w:pPr>
        <w:pStyle w:val="CMR-text"/>
        <w:rPr>
          <w:rFonts w:cs="Times New Roman"/>
          <w:noProof/>
          <w:highlight w:val="yellow"/>
        </w:rPr>
      </w:pPr>
      <w:r>
        <w:rPr>
          <w:noProof/>
        </w:rPr>
        <w:t>Dei 24,4 miliardi di EUR di proventi dell</w:t>
      </w:r>
      <w:r w:rsidR="00F06D2E">
        <w:rPr>
          <w:noProof/>
        </w:rPr>
        <w:t>'</w:t>
      </w:r>
      <w:r>
        <w:rPr>
          <w:noProof/>
        </w:rPr>
        <w:t>ETS riscossi dagli Stati membri nel 2024, 21,2</w:t>
      </w:r>
      <w:r w:rsidR="0008163A">
        <w:rPr>
          <w:noProof/>
        </w:rPr>
        <w:t> </w:t>
      </w:r>
      <w:r>
        <w:rPr>
          <w:noProof/>
        </w:rPr>
        <w:t>miliardi</w:t>
      </w:r>
      <w:r w:rsidR="0008163A">
        <w:rPr>
          <w:noProof/>
        </w:rPr>
        <w:t> </w:t>
      </w:r>
      <w:r>
        <w:rPr>
          <w:noProof/>
        </w:rPr>
        <w:t>di</w:t>
      </w:r>
      <w:r w:rsidR="0008163A">
        <w:rPr>
          <w:noProof/>
        </w:rPr>
        <w:t> </w:t>
      </w:r>
      <w:r>
        <w:rPr>
          <w:noProof/>
        </w:rPr>
        <w:t>EUR sono soggetti all</w:t>
      </w:r>
      <w:r w:rsidR="00F06D2E">
        <w:rPr>
          <w:noProof/>
        </w:rPr>
        <w:t>'</w:t>
      </w:r>
      <w:r>
        <w:rPr>
          <w:noProof/>
        </w:rPr>
        <w:t>obbligo di cui all</w:t>
      </w:r>
      <w:r w:rsidR="00F06D2E">
        <w:rPr>
          <w:noProof/>
        </w:rPr>
        <w:t>'</w:t>
      </w:r>
      <w:r>
        <w:rPr>
          <w:noProof/>
        </w:rPr>
        <w:t>articolo 10, paragrafo 3</w:t>
      </w:r>
      <w:r>
        <w:rPr>
          <w:rStyle w:val="FootnoteReference"/>
          <w:rFonts w:cs="Times New Roman"/>
          <w:noProof/>
          <w:lang w:val="en-IE"/>
        </w:rPr>
        <w:footnoteReference w:id="56"/>
      </w:r>
      <w:r>
        <w:rPr>
          <w:noProof/>
        </w:rPr>
        <w:t xml:space="preserve"> giacché, secondo quanto riferito, 3,2 miliardi di EUR dei proventi del 2024 (13 %) hanno finanziato aiuti destinati alle industrie ad alta intensità di energia elettrica per i costi indiretti del carbonio. Sebbene tutti i proventi pertinenti dell</w:t>
      </w:r>
      <w:r w:rsidR="00F06D2E">
        <w:rPr>
          <w:noProof/>
        </w:rPr>
        <w:t>'</w:t>
      </w:r>
      <w:r>
        <w:rPr>
          <w:noProof/>
        </w:rPr>
        <w:t>ETS debbano essere destinati a investimenti legati al clima e all</w:t>
      </w:r>
      <w:r w:rsidR="00F06D2E">
        <w:rPr>
          <w:noProof/>
        </w:rPr>
        <w:t>'</w:t>
      </w:r>
      <w:r>
        <w:rPr>
          <w:noProof/>
        </w:rPr>
        <w:t>energia, non è necessario spenderli tutti nello stesso anno in cui sono stati generati. Dei proventi del 2024 da utilizzare per gli scopi di cui all</w:t>
      </w:r>
      <w:r w:rsidR="00F06D2E">
        <w:rPr>
          <w:noProof/>
        </w:rPr>
        <w:t>'</w:t>
      </w:r>
      <w:r>
        <w:rPr>
          <w:noProof/>
        </w:rPr>
        <w:t xml:space="preserve">articolo 10, paragrafo 3, il 77 % è già stato esborsato nel 2024 e un altro 3 % è stato impegnato per azioni specifiche. Le future relazioni descriveranno il modo in cui gli Stati membri hanno utilizzato il resto. </w:t>
      </w:r>
    </w:p>
    <w:p w14:paraId="2587DF9B" w14:textId="07CF59A4" w:rsidR="00C347BD" w:rsidRPr="00685D02" w:rsidRDefault="31C1E0E1" w:rsidP="008C7E4E">
      <w:pPr>
        <w:pStyle w:val="CMR-text"/>
        <w:rPr>
          <w:rFonts w:cs="Times New Roman"/>
          <w:noProof/>
        </w:rPr>
      </w:pPr>
      <w:r>
        <w:rPr>
          <w:noProof/>
        </w:rPr>
        <w:t>Gli Stati membri hanno riferito di aver già esborsato 16,4 dei 21,2 miliardi di EUR e di aver impegnato altri 0,5 miliardi di EUR per gli scopi di cui all</w:t>
      </w:r>
      <w:r w:rsidR="00F06D2E">
        <w:rPr>
          <w:noProof/>
        </w:rPr>
        <w:t>'</w:t>
      </w:r>
      <w:r>
        <w:rPr>
          <w:noProof/>
        </w:rPr>
        <w:t>articolo 10, paragrafo 3</w:t>
      </w:r>
      <w:r>
        <w:rPr>
          <w:rStyle w:val="FootnoteReference"/>
          <w:rFonts w:cs="Times New Roman"/>
          <w:noProof/>
          <w:lang w:val="en-IE"/>
        </w:rPr>
        <w:footnoteReference w:id="57"/>
      </w:r>
      <w:r>
        <w:rPr>
          <w:noProof/>
        </w:rPr>
        <w:t xml:space="preserve">. Restano pertanto ancora da assegnare ed esborsare circa 4,3 miliardi di EUR, il cui uso andrà comunicato. </w:t>
      </w:r>
    </w:p>
    <w:p w14:paraId="33FD0045" w14:textId="1EDC08CB" w:rsidR="001D677A" w:rsidRPr="00685D02" w:rsidRDefault="004C7BB7" w:rsidP="008C7E4E">
      <w:pPr>
        <w:pStyle w:val="CMR-text"/>
        <w:rPr>
          <w:rFonts w:cs="Times New Roman"/>
          <w:noProof/>
        </w:rPr>
      </w:pPr>
      <w:r>
        <w:rPr>
          <w:noProof/>
        </w:rPr>
        <w:t>Nella tabella 5 è illustrata la ripartizione dei 24,4 miliardi di EUR di proventi dell</w:t>
      </w:r>
      <w:r w:rsidR="00F06D2E">
        <w:rPr>
          <w:noProof/>
        </w:rPr>
        <w:t>'</w:t>
      </w:r>
      <w:r>
        <w:rPr>
          <w:noProof/>
        </w:rPr>
        <w:t xml:space="preserve">ETS riscossi dagli Stati membri nel 2024. </w:t>
      </w:r>
    </w:p>
    <w:p w14:paraId="22DC90AA" w14:textId="2DDC5C15" w:rsidR="003B51C5" w:rsidRPr="00EB1066" w:rsidRDefault="003B51C5" w:rsidP="003B51C5">
      <w:pPr>
        <w:pStyle w:val="Caption"/>
        <w:keepNext/>
        <w:rPr>
          <w:noProof/>
          <w:sz w:val="20"/>
        </w:rPr>
      </w:pPr>
      <w:bookmarkStart w:id="53" w:name="_Ref180760941"/>
      <w:r>
        <w:rPr>
          <w:noProof/>
          <w:sz w:val="20"/>
        </w:rPr>
        <w:t xml:space="preserve">Tabella </w:t>
      </w:r>
      <w:bookmarkEnd w:id="53"/>
      <w:r>
        <w:rPr>
          <w:noProof/>
          <w:sz w:val="20"/>
        </w:rPr>
        <w:t>5. Ripartizione dei 24,4 miliardi di EUR di proventi ETS incassati dagli Stati membri nel 2024</w:t>
      </w:r>
    </w:p>
    <w:tbl>
      <w:tblPr>
        <w:tblStyle w:val="PlainTable5"/>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6948"/>
        <w:gridCol w:w="2068"/>
      </w:tblGrid>
      <w:tr w:rsidR="000E7DB9" w:rsidRPr="00EB1066" w14:paraId="5144FFC6" w14:textId="77777777" w:rsidTr="000E7D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2"/>
            <w:tcBorders>
              <w:bottom w:val="none" w:sz="0" w:space="0" w:color="auto"/>
              <w:right w:val="none" w:sz="0" w:space="0" w:color="auto"/>
            </w:tcBorders>
          </w:tcPr>
          <w:p w14:paraId="04B28FD8" w14:textId="2676345A" w:rsidR="000E7DB9" w:rsidRPr="00EB1066" w:rsidRDefault="000E7DB9" w:rsidP="00A0384F">
            <w:pPr>
              <w:pStyle w:val="CMR-tables"/>
              <w:keepNext/>
              <w:jc w:val="center"/>
              <w:rPr>
                <w:rFonts w:cs="Times New Roman"/>
                <w:b/>
                <w:i w:val="0"/>
                <w:noProof/>
                <w:szCs w:val="20"/>
              </w:rPr>
            </w:pPr>
            <w:r>
              <w:rPr>
                <w:b/>
                <w:i w:val="0"/>
                <w:noProof/>
              </w:rPr>
              <w:t>Proventi</w:t>
            </w:r>
            <w:r>
              <w:rPr>
                <w:noProof/>
              </w:rPr>
              <w:br/>
            </w:r>
            <w:r>
              <w:rPr>
                <w:b/>
                <w:i w:val="0"/>
                <w:noProof/>
              </w:rPr>
              <w:t>(miliardi EUR)</w:t>
            </w:r>
          </w:p>
        </w:tc>
      </w:tr>
      <w:tr w:rsidR="00381357" w:rsidRPr="00EB1066" w14:paraId="21349C27" w14:textId="77777777" w:rsidTr="000E7DB9">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948" w:type="dxa"/>
            <w:tcBorders>
              <w:right w:val="none" w:sz="0" w:space="0" w:color="auto"/>
            </w:tcBorders>
            <w:shd w:val="clear" w:color="auto" w:fill="D9E2F3" w:themeFill="accent1" w:themeFillTint="33"/>
            <w:vAlign w:val="center"/>
          </w:tcPr>
          <w:p w14:paraId="5B5CFBFB" w14:textId="0BCB3CBB" w:rsidR="005353DB" w:rsidRPr="00EB1066" w:rsidRDefault="005353DB" w:rsidP="00A0384F">
            <w:pPr>
              <w:pStyle w:val="CMR-tables"/>
              <w:keepNext/>
              <w:rPr>
                <w:rFonts w:cs="Times New Roman"/>
                <w:i w:val="0"/>
                <w:noProof/>
                <w:szCs w:val="20"/>
              </w:rPr>
            </w:pPr>
            <w:r>
              <w:rPr>
                <w:i w:val="0"/>
                <w:noProof/>
              </w:rPr>
              <w:t>Proventi usati per finanziare aiuti indiretti per i costi del carbonio</w:t>
            </w:r>
          </w:p>
        </w:tc>
        <w:tc>
          <w:tcPr>
            <w:tcW w:w="2068" w:type="dxa"/>
            <w:shd w:val="clear" w:color="auto" w:fill="D9E2F3" w:themeFill="accent1" w:themeFillTint="33"/>
            <w:vAlign w:val="center"/>
          </w:tcPr>
          <w:p w14:paraId="193BABA5" w14:textId="5CE8BF04" w:rsidR="005353DB" w:rsidRPr="00EB1066" w:rsidRDefault="438D9322" w:rsidP="4F1F6D99">
            <w:pPr>
              <w:pStyle w:val="CMR-tables"/>
              <w:keepNext/>
              <w:jc w:val="right"/>
              <w:cnfStyle w:val="000000100000" w:firstRow="0" w:lastRow="0" w:firstColumn="0" w:lastColumn="0" w:oddVBand="0" w:evenVBand="0" w:oddHBand="1" w:evenHBand="0" w:firstRowFirstColumn="0" w:firstRowLastColumn="0" w:lastRowFirstColumn="0" w:lastRowLastColumn="0"/>
              <w:rPr>
                <w:rFonts w:cs="Times New Roman"/>
                <w:noProof/>
                <w:szCs w:val="20"/>
              </w:rPr>
            </w:pPr>
            <w:r>
              <w:rPr>
                <w:noProof/>
              </w:rPr>
              <w:t>3,2</w:t>
            </w:r>
          </w:p>
        </w:tc>
      </w:tr>
      <w:tr w:rsidR="00C4058D" w:rsidRPr="00EB1066" w14:paraId="6CB75938" w14:textId="77777777" w:rsidTr="000E7DB9">
        <w:trPr>
          <w:trHeight w:val="700"/>
        </w:trPr>
        <w:tc>
          <w:tcPr>
            <w:cnfStyle w:val="001000000000" w:firstRow="0" w:lastRow="0" w:firstColumn="1" w:lastColumn="0" w:oddVBand="0" w:evenVBand="0" w:oddHBand="0" w:evenHBand="0" w:firstRowFirstColumn="0" w:firstRowLastColumn="0" w:lastRowFirstColumn="0" w:lastRowLastColumn="0"/>
            <w:tcW w:w="6948" w:type="dxa"/>
            <w:tcBorders>
              <w:right w:val="none" w:sz="0" w:space="0" w:color="auto"/>
            </w:tcBorders>
            <w:vAlign w:val="center"/>
          </w:tcPr>
          <w:p w14:paraId="3C90A9CF" w14:textId="073D0DC7" w:rsidR="005353DB" w:rsidRPr="00EB1066" w:rsidRDefault="2AC4E0C5" w:rsidP="00195726">
            <w:pPr>
              <w:pStyle w:val="CMR-tables"/>
              <w:keepNext/>
              <w:rPr>
                <w:rFonts w:cs="Times New Roman"/>
                <w:i w:val="0"/>
                <w:noProof/>
                <w:szCs w:val="20"/>
              </w:rPr>
            </w:pPr>
            <w:r>
              <w:rPr>
                <w:i w:val="0"/>
                <w:noProof/>
              </w:rPr>
              <w:t>Proventi soggetti all</w:t>
            </w:r>
            <w:r w:rsidR="00F06D2E">
              <w:rPr>
                <w:i w:val="0"/>
                <w:noProof/>
              </w:rPr>
              <w:t>'</w:t>
            </w:r>
            <w:r>
              <w:rPr>
                <w:i w:val="0"/>
                <w:noProof/>
              </w:rPr>
              <w:t>obbligo ex articolo 10, paragrafo 3, ed esborsati nel 2024</w:t>
            </w:r>
          </w:p>
        </w:tc>
        <w:tc>
          <w:tcPr>
            <w:tcW w:w="2068" w:type="dxa"/>
            <w:vAlign w:val="center"/>
          </w:tcPr>
          <w:p w14:paraId="14CF3881" w14:textId="1FC63386" w:rsidR="005353DB" w:rsidRPr="00EB1066" w:rsidRDefault="570CF98E" w:rsidP="4F1F6D99">
            <w:pPr>
              <w:pStyle w:val="CMR-tables"/>
              <w:keepNext/>
              <w:jc w:val="right"/>
              <w:cnfStyle w:val="000000000000" w:firstRow="0" w:lastRow="0" w:firstColumn="0" w:lastColumn="0" w:oddVBand="0" w:evenVBand="0" w:oddHBand="0" w:evenHBand="0" w:firstRowFirstColumn="0" w:firstRowLastColumn="0" w:lastRowFirstColumn="0" w:lastRowLastColumn="0"/>
              <w:rPr>
                <w:rFonts w:cs="Times New Roman"/>
                <w:noProof/>
                <w:szCs w:val="20"/>
              </w:rPr>
            </w:pPr>
            <w:r>
              <w:rPr>
                <w:noProof/>
              </w:rPr>
              <w:t>16,4</w:t>
            </w:r>
          </w:p>
        </w:tc>
      </w:tr>
      <w:tr w:rsidR="00381357" w:rsidRPr="00EB1066" w14:paraId="7B6C31E7" w14:textId="77777777" w:rsidTr="000E7DB9">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948" w:type="dxa"/>
            <w:tcBorders>
              <w:right w:val="none" w:sz="0" w:space="0" w:color="auto"/>
            </w:tcBorders>
            <w:shd w:val="clear" w:color="auto" w:fill="D9E2F3" w:themeFill="accent1" w:themeFillTint="33"/>
            <w:vAlign w:val="center"/>
          </w:tcPr>
          <w:p w14:paraId="50E6A790" w14:textId="3C44EFDD" w:rsidR="005353DB" w:rsidRPr="00EB1066" w:rsidRDefault="00F40F1A" w:rsidP="00A0384F">
            <w:pPr>
              <w:pStyle w:val="CMR-tables"/>
              <w:keepNext/>
              <w:rPr>
                <w:rFonts w:cs="Times New Roman"/>
                <w:i w:val="0"/>
                <w:noProof/>
                <w:szCs w:val="20"/>
              </w:rPr>
            </w:pPr>
            <w:r>
              <w:rPr>
                <w:i w:val="0"/>
                <w:noProof/>
              </w:rPr>
              <w:t>Proventi incassati dagli Stati membri nel 2024, soggetti all</w:t>
            </w:r>
            <w:r w:rsidR="00F06D2E">
              <w:rPr>
                <w:i w:val="0"/>
                <w:noProof/>
              </w:rPr>
              <w:t>'</w:t>
            </w:r>
            <w:r>
              <w:rPr>
                <w:i w:val="0"/>
                <w:noProof/>
              </w:rPr>
              <w:t>obbligo ex articolo 10, paragrafo 3, e impegnati</w:t>
            </w:r>
          </w:p>
        </w:tc>
        <w:tc>
          <w:tcPr>
            <w:tcW w:w="2068" w:type="dxa"/>
            <w:shd w:val="clear" w:color="auto" w:fill="D9E2F3" w:themeFill="accent1" w:themeFillTint="33"/>
            <w:vAlign w:val="center"/>
          </w:tcPr>
          <w:p w14:paraId="3BB720A5" w14:textId="7C6354E1" w:rsidR="005353DB" w:rsidRPr="00EB1066" w:rsidRDefault="11F29C02" w:rsidP="4F1F6D99">
            <w:pPr>
              <w:pStyle w:val="CMR-tables"/>
              <w:keepNext/>
              <w:jc w:val="right"/>
              <w:cnfStyle w:val="000000100000" w:firstRow="0" w:lastRow="0" w:firstColumn="0" w:lastColumn="0" w:oddVBand="0" w:evenVBand="0" w:oddHBand="1" w:evenHBand="0" w:firstRowFirstColumn="0" w:firstRowLastColumn="0" w:lastRowFirstColumn="0" w:lastRowLastColumn="0"/>
              <w:rPr>
                <w:rFonts w:cs="Times New Roman"/>
                <w:noProof/>
                <w:szCs w:val="20"/>
              </w:rPr>
            </w:pPr>
            <w:r>
              <w:rPr>
                <w:noProof/>
              </w:rPr>
              <w:t>0,5</w:t>
            </w:r>
          </w:p>
        </w:tc>
      </w:tr>
      <w:tr w:rsidR="00C4058D" w:rsidRPr="00EB1066" w14:paraId="7E837526" w14:textId="77777777" w:rsidTr="000E7DB9">
        <w:trPr>
          <w:trHeight w:val="700"/>
        </w:trPr>
        <w:tc>
          <w:tcPr>
            <w:cnfStyle w:val="001000000000" w:firstRow="0" w:lastRow="0" w:firstColumn="1" w:lastColumn="0" w:oddVBand="0" w:evenVBand="0" w:oddHBand="0" w:evenHBand="0" w:firstRowFirstColumn="0" w:firstRowLastColumn="0" w:lastRowFirstColumn="0" w:lastRowLastColumn="0"/>
            <w:tcW w:w="6948" w:type="dxa"/>
            <w:tcBorders>
              <w:right w:val="none" w:sz="0" w:space="0" w:color="auto"/>
            </w:tcBorders>
            <w:vAlign w:val="center"/>
          </w:tcPr>
          <w:p w14:paraId="243B7E66" w14:textId="4CB47B60" w:rsidR="00F40F1A" w:rsidRPr="00EB1066" w:rsidRDefault="001758B7" w:rsidP="00A0384F">
            <w:pPr>
              <w:pStyle w:val="CMR-tables"/>
              <w:keepNext/>
              <w:rPr>
                <w:rFonts w:cs="Times New Roman"/>
                <w:i w:val="0"/>
                <w:noProof/>
                <w:szCs w:val="20"/>
              </w:rPr>
            </w:pPr>
            <w:r>
              <w:rPr>
                <w:i w:val="0"/>
                <w:noProof/>
              </w:rPr>
              <w:t>Proventi riscossi dagli Stati membri nel 2024 ancora da assegnare, esborsare e comunicare</w:t>
            </w:r>
          </w:p>
        </w:tc>
        <w:tc>
          <w:tcPr>
            <w:tcW w:w="2068" w:type="dxa"/>
            <w:vAlign w:val="center"/>
          </w:tcPr>
          <w:p w14:paraId="196CD065" w14:textId="0367C4C3" w:rsidR="00F40F1A" w:rsidRPr="00EB1066" w:rsidRDefault="29EF7875" w:rsidP="4F1F6D99">
            <w:pPr>
              <w:pStyle w:val="CMR-tables"/>
              <w:keepNext/>
              <w:jc w:val="right"/>
              <w:cnfStyle w:val="000000000000" w:firstRow="0" w:lastRow="0" w:firstColumn="0" w:lastColumn="0" w:oddVBand="0" w:evenVBand="0" w:oddHBand="0" w:evenHBand="0" w:firstRowFirstColumn="0" w:firstRowLastColumn="0" w:lastRowFirstColumn="0" w:lastRowLastColumn="0"/>
              <w:rPr>
                <w:rFonts w:cs="Times New Roman"/>
                <w:noProof/>
                <w:szCs w:val="20"/>
              </w:rPr>
            </w:pPr>
            <w:r>
              <w:rPr>
                <w:noProof/>
              </w:rPr>
              <w:t>4,3</w:t>
            </w:r>
          </w:p>
        </w:tc>
      </w:tr>
    </w:tbl>
    <w:p w14:paraId="42EB1128" w14:textId="7FC0D9A3" w:rsidR="003B1D7C" w:rsidRPr="00685D02" w:rsidRDefault="7B5FD863" w:rsidP="4F1F6D99">
      <w:pPr>
        <w:pStyle w:val="CMR-text"/>
        <w:rPr>
          <w:rFonts w:cs="Times New Roman"/>
          <w:noProof/>
        </w:rPr>
      </w:pPr>
      <w:r>
        <w:rPr>
          <w:noProof/>
        </w:rPr>
        <w:t>Dei 16,4 miliardi di EUR di proventi indicati come generati ed esborsati nel 2024 per gli scopi di cui all</w:t>
      </w:r>
      <w:r w:rsidR="00F06D2E">
        <w:rPr>
          <w:noProof/>
        </w:rPr>
        <w:t>'</w:t>
      </w:r>
      <w:r>
        <w:rPr>
          <w:noProof/>
        </w:rPr>
        <w:t xml:space="preserve">articolo 10, paragrafo 3, 3,2 miliardi di EUR sono stati utilizzati per progetti in </w:t>
      </w:r>
      <w:r w:rsidR="00F06D2E">
        <w:rPr>
          <w:noProof/>
        </w:rPr>
        <w:t>"</w:t>
      </w:r>
      <w:r>
        <w:rPr>
          <w:noProof/>
        </w:rPr>
        <w:t>approvvigionamento - rinnovabili, reti e stoccaggio dell</w:t>
      </w:r>
      <w:r w:rsidR="00F06D2E">
        <w:rPr>
          <w:noProof/>
        </w:rPr>
        <w:t>'</w:t>
      </w:r>
      <w:r>
        <w:rPr>
          <w:noProof/>
        </w:rPr>
        <w:t>energia</w:t>
      </w:r>
      <w:r w:rsidR="00F06D2E">
        <w:rPr>
          <w:noProof/>
        </w:rPr>
        <w:t>"</w:t>
      </w:r>
      <w:r>
        <w:rPr>
          <w:noProof/>
        </w:rPr>
        <w:t xml:space="preserve">, 3,3 miliardi di EUR in </w:t>
      </w:r>
      <w:r w:rsidR="00F06D2E">
        <w:rPr>
          <w:noProof/>
        </w:rPr>
        <w:t>"</w:t>
      </w:r>
      <w:r>
        <w:rPr>
          <w:noProof/>
        </w:rPr>
        <w:t>efficienza energetica, riscaldamento e raffrescamento degli edifici</w:t>
      </w:r>
      <w:r w:rsidR="00F06D2E">
        <w:rPr>
          <w:noProof/>
        </w:rPr>
        <w:t>"</w:t>
      </w:r>
      <w:r>
        <w:rPr>
          <w:noProof/>
        </w:rPr>
        <w:t xml:space="preserve"> e 3,6 miliardi di EUR in </w:t>
      </w:r>
      <w:r w:rsidR="00F06D2E">
        <w:rPr>
          <w:noProof/>
        </w:rPr>
        <w:t>"</w:t>
      </w:r>
      <w:r>
        <w:rPr>
          <w:noProof/>
        </w:rPr>
        <w:t>trasporti pubblici e mobilità</w:t>
      </w:r>
      <w:r w:rsidR="00F06D2E">
        <w:rPr>
          <w:noProof/>
        </w:rPr>
        <w:t>"</w:t>
      </w:r>
      <w:r>
        <w:rPr>
          <w:noProof/>
        </w:rPr>
        <w:t>. Tra questi figurano sovvenzioni per l</w:t>
      </w:r>
      <w:r w:rsidR="00F06D2E">
        <w:rPr>
          <w:noProof/>
        </w:rPr>
        <w:t>'</w:t>
      </w:r>
      <w:r>
        <w:rPr>
          <w:noProof/>
        </w:rPr>
        <w:t>ammodernamento di impianti eolici e di biogas in Danimarca, progetti di riqualificazione profonda con una riduzione di almeno il 40 % del consumo di calore negli edifici residenziali in Lituania e investimenti nel trasporto ferroviario e nelle piste ciclabili in Slovenia.</w:t>
      </w:r>
    </w:p>
    <w:p w14:paraId="005D502B" w14:textId="62F89824" w:rsidR="0075066F" w:rsidRPr="00685D02" w:rsidRDefault="63248229" w:rsidP="008C7E4E">
      <w:pPr>
        <w:pStyle w:val="CMR-text"/>
        <w:rPr>
          <w:rFonts w:cs="Times New Roman"/>
          <w:noProof/>
        </w:rPr>
      </w:pPr>
      <w:r>
        <w:rPr>
          <w:noProof/>
        </w:rPr>
        <w:t xml:space="preserve">Gli Stati membri hanno inoltre riferito di aver utilizzato 0,8 miliardi di EUR per progetti di </w:t>
      </w:r>
      <w:r w:rsidR="00F06D2E">
        <w:rPr>
          <w:noProof/>
        </w:rPr>
        <w:t>"</w:t>
      </w:r>
      <w:r>
        <w:rPr>
          <w:noProof/>
        </w:rPr>
        <w:t>decarbonizzazione dell</w:t>
      </w:r>
      <w:r w:rsidR="00F06D2E">
        <w:rPr>
          <w:noProof/>
        </w:rPr>
        <w:t>'</w:t>
      </w:r>
      <w:r>
        <w:rPr>
          <w:noProof/>
        </w:rPr>
        <w:t>industria (tecnologie a basse emissioni di carbonio, cattura, CCUS, efficienza energetica nei settori industriali, escluso quello energetico)</w:t>
      </w:r>
      <w:r w:rsidR="00F06D2E">
        <w:rPr>
          <w:noProof/>
        </w:rPr>
        <w:t>"</w:t>
      </w:r>
      <w:r>
        <w:rPr>
          <w:noProof/>
        </w:rPr>
        <w:t>, compresi finanziamenti a favore di progetti relativi all</w:t>
      </w:r>
      <w:r w:rsidR="00F06D2E">
        <w:rPr>
          <w:noProof/>
        </w:rPr>
        <w:t>'</w:t>
      </w:r>
      <w:r>
        <w:rPr>
          <w:noProof/>
        </w:rPr>
        <w:t>idrogeno per la decarbonizzazione dell</w:t>
      </w:r>
      <w:r w:rsidR="00F06D2E">
        <w:rPr>
          <w:noProof/>
        </w:rPr>
        <w:t>'</w:t>
      </w:r>
      <w:r>
        <w:rPr>
          <w:noProof/>
        </w:rPr>
        <w:t xml:space="preserve">industria in Germania. </w:t>
      </w:r>
    </w:p>
    <w:p w14:paraId="2B781472" w14:textId="378926F0" w:rsidR="00D03EE3" w:rsidRPr="00685D02" w:rsidRDefault="508137E0" w:rsidP="008C7E4E">
      <w:pPr>
        <w:pStyle w:val="CMR-text"/>
        <w:rPr>
          <w:rFonts w:cs="Times New Roman"/>
          <w:noProof/>
        </w:rPr>
      </w:pPr>
      <w:r>
        <w:rPr>
          <w:noProof/>
        </w:rPr>
        <w:t xml:space="preserve">Gli Stati membri hanno altresì comunicato di aver utilizzato 1,4 miliardi di EUR per misure e progetti relativi a </w:t>
      </w:r>
      <w:r w:rsidR="00F06D2E">
        <w:rPr>
          <w:noProof/>
        </w:rPr>
        <w:t>"</w:t>
      </w:r>
      <w:r>
        <w:rPr>
          <w:noProof/>
        </w:rPr>
        <w:t>sostegno sociale e transizione giusta</w:t>
      </w:r>
      <w:r w:rsidR="00F06D2E">
        <w:rPr>
          <w:noProof/>
        </w:rPr>
        <w:t>"</w:t>
      </w:r>
      <w:r>
        <w:rPr>
          <w:noProof/>
        </w:rPr>
        <w:t xml:space="preserve">, compreso il </w:t>
      </w:r>
      <w:r w:rsidR="00F06D2E">
        <w:rPr>
          <w:noProof/>
        </w:rPr>
        <w:t>"</w:t>
      </w:r>
      <w:r>
        <w:rPr>
          <w:noProof/>
        </w:rPr>
        <w:t>Fondo verde</w:t>
      </w:r>
      <w:r w:rsidR="00F06D2E">
        <w:rPr>
          <w:noProof/>
        </w:rPr>
        <w:t>"</w:t>
      </w:r>
      <w:r>
        <w:rPr>
          <w:noProof/>
        </w:rPr>
        <w:t xml:space="preserve"> greco che finanzia azioni per lo sviluppo delle regioni che stanno realizzando la transizione delle loro economie dai combustibili fossili, nonché progetti per la protezione e la gestione delle foreste. </w:t>
      </w:r>
    </w:p>
    <w:p w14:paraId="46ADA7E2" w14:textId="507F2C96" w:rsidR="71DAA29C" w:rsidRPr="00685D02" w:rsidRDefault="71DAA29C" w:rsidP="2B39CB23">
      <w:pPr>
        <w:pStyle w:val="CMR-text"/>
        <w:rPr>
          <w:rFonts w:cs="Times New Roman"/>
          <w:noProof/>
        </w:rPr>
      </w:pPr>
      <w:r>
        <w:rPr>
          <w:noProof/>
        </w:rPr>
        <w:t xml:space="preserve">Gli Stati membri hanno inoltre riferito di aver utilizzato 0,5 miliardi di EUR per misure nel settore del </w:t>
      </w:r>
      <w:r w:rsidR="00F06D2E">
        <w:rPr>
          <w:noProof/>
        </w:rPr>
        <w:t>"</w:t>
      </w:r>
      <w:r>
        <w:rPr>
          <w:noProof/>
        </w:rPr>
        <w:t>trasporto su strada (automobili, autocarri)</w:t>
      </w:r>
      <w:r w:rsidR="00F06D2E">
        <w:rPr>
          <w:noProof/>
        </w:rPr>
        <w:t>"</w:t>
      </w:r>
      <w:r>
        <w:rPr>
          <w:noProof/>
        </w:rPr>
        <w:t>, compreso il sostegno finanziario per l</w:t>
      </w:r>
      <w:r w:rsidR="00F06D2E">
        <w:rPr>
          <w:noProof/>
        </w:rPr>
        <w:t>'</w:t>
      </w:r>
      <w:r>
        <w:rPr>
          <w:noProof/>
        </w:rPr>
        <w:t>acquisto di veicoli elettrici e/o ibridi in Svezia, Lettonia, Romania e a Malta.</w:t>
      </w:r>
    </w:p>
    <w:p w14:paraId="3F9C7461" w14:textId="5B80A927" w:rsidR="00E51274" w:rsidRPr="00685D02" w:rsidRDefault="5CC62F55" w:rsidP="004B0B27">
      <w:pPr>
        <w:pStyle w:val="CMR-text"/>
        <w:rPr>
          <w:rFonts w:cs="Times New Roman"/>
          <w:noProof/>
        </w:rPr>
      </w:pPr>
      <w:r>
        <w:rPr>
          <w:noProof/>
        </w:rPr>
        <w:t>Gli Stati membri hanno comunicato di avere destinato nel 2024 2,8 miliardi di EUR ad azioni che non rientravano in nessuna delle categorie figuranti nei modelli o che corrispondevano a più categorie (in</w:t>
      </w:r>
      <w:r w:rsidR="0008163A">
        <w:rPr>
          <w:noProof/>
        </w:rPr>
        <w:t> </w:t>
      </w:r>
      <w:r>
        <w:rPr>
          <w:noProof/>
        </w:rPr>
        <w:t xml:space="preserve">tali casi gli Stati membri hanno indicato la categoria </w:t>
      </w:r>
      <w:r w:rsidR="00F06D2E">
        <w:rPr>
          <w:noProof/>
        </w:rPr>
        <w:t>"</w:t>
      </w:r>
      <w:r>
        <w:rPr>
          <w:noProof/>
        </w:rPr>
        <w:t>altro</w:t>
      </w:r>
      <w:r w:rsidR="00F06D2E">
        <w:rPr>
          <w:noProof/>
        </w:rPr>
        <w:t>"</w:t>
      </w:r>
      <w:r>
        <w:rPr>
          <w:noProof/>
        </w:rPr>
        <w:t>). Ne è un esempio il Fondo per la biodiversità in Spagna, che consente il ripristino degli ecosistemi, la diffusione delle energie rinnovabili nelle zone rurali e l</w:t>
      </w:r>
      <w:r w:rsidR="00F06D2E">
        <w:rPr>
          <w:noProof/>
        </w:rPr>
        <w:t>'</w:t>
      </w:r>
      <w:r>
        <w:rPr>
          <w:noProof/>
        </w:rPr>
        <w:t xml:space="preserve">applicazione su più larga scala di pratiche sostenibili di uso del suolo che aumentano la biodiversità e al contempo conseguono riduzioni misurabili delle emissioni a livello del paesaggio. </w:t>
      </w:r>
    </w:p>
    <w:p w14:paraId="61FDE183" w14:textId="3B6B4ABD" w:rsidR="00C64C83" w:rsidRPr="00685D02" w:rsidRDefault="00C64C83" w:rsidP="004B0B27">
      <w:pPr>
        <w:pStyle w:val="CMR-text"/>
        <w:rPr>
          <w:rFonts w:cs="Times New Roman"/>
          <w:noProof/>
        </w:rPr>
      </w:pPr>
      <w:r>
        <w:rPr>
          <w:noProof/>
        </w:rPr>
        <w:t>La figura 7 illustra in modo sintetico l</w:t>
      </w:r>
      <w:r w:rsidR="00F06D2E">
        <w:rPr>
          <w:noProof/>
        </w:rPr>
        <w:t>'</w:t>
      </w:r>
      <w:r>
        <w:rPr>
          <w:noProof/>
        </w:rPr>
        <w:t>uso dei proventi dell</w:t>
      </w:r>
      <w:r w:rsidR="00F06D2E">
        <w:rPr>
          <w:noProof/>
        </w:rPr>
        <w:t>'</w:t>
      </w:r>
      <w:r>
        <w:rPr>
          <w:noProof/>
        </w:rPr>
        <w:t xml:space="preserve">ETS da parte degli Stati membri nelle diverse categorie. </w:t>
      </w:r>
    </w:p>
    <w:p w14:paraId="4222462D" w14:textId="2A18426C" w:rsidR="009019DC" w:rsidRPr="0038309D" w:rsidRDefault="009019DC" w:rsidP="009019DC">
      <w:pPr>
        <w:pStyle w:val="CMR-text"/>
        <w:keepNext/>
        <w:rPr>
          <w:rFonts w:cs="Times New Roman"/>
          <w:noProof/>
          <w:highlight w:val="yellow"/>
        </w:rPr>
      </w:pPr>
    </w:p>
    <w:p w14:paraId="7AF12026" w14:textId="2030A613" w:rsidR="00BB5240" w:rsidRPr="00685D02" w:rsidRDefault="00C606E6" w:rsidP="009019DC">
      <w:pPr>
        <w:pStyle w:val="CMR-text"/>
        <w:keepNext/>
        <w:rPr>
          <w:rFonts w:cs="Times New Roman"/>
          <w:noProof/>
          <w:highlight w:val="yellow"/>
        </w:rPr>
      </w:pPr>
      <w:r w:rsidRPr="00C32C80">
        <w:rPr>
          <w:rFonts w:cs="Times New Roman"/>
          <w:noProof/>
          <w:lang w:val="en-GB" w:eastAsia="en-GB"/>
        </w:rPr>
        <w:drawing>
          <wp:inline distT="0" distB="0" distL="0" distR="0" wp14:anchorId="7A8815CD" wp14:editId="736104DF">
            <wp:extent cx="5841000" cy="2566882"/>
            <wp:effectExtent l="0" t="0" r="7620" b="5080"/>
            <wp:docPr id="7556051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43003" cy="2567762"/>
                    </a:xfrm>
                    <a:prstGeom prst="rect">
                      <a:avLst/>
                    </a:prstGeom>
                    <a:noFill/>
                  </pic:spPr>
                </pic:pic>
              </a:graphicData>
            </a:graphic>
          </wp:inline>
        </w:drawing>
      </w:r>
    </w:p>
    <w:p w14:paraId="76EBA519" w14:textId="539501C0" w:rsidR="002D1FDB" w:rsidRPr="00EB1066" w:rsidRDefault="27A8E07F" w:rsidP="007C0CA9">
      <w:pPr>
        <w:pStyle w:val="Caption"/>
        <w:rPr>
          <w:noProof/>
          <w:sz w:val="20"/>
        </w:rPr>
      </w:pPr>
      <w:bookmarkStart w:id="54" w:name="_Ref178859783"/>
      <w:r>
        <w:rPr>
          <w:noProof/>
          <w:sz w:val="20"/>
        </w:rPr>
        <w:t>Figura 7</w:t>
      </w:r>
      <w:r>
        <w:rPr>
          <w:noProof/>
          <w:sz w:val="20"/>
          <w:highlight w:val="yellow"/>
        </w:rPr>
        <w:fldChar w:fldCharType="begin"/>
      </w:r>
      <w:r>
        <w:rPr>
          <w:noProof/>
          <w:sz w:val="20"/>
          <w:highlight w:val="yellow"/>
        </w:rPr>
        <w:instrText xml:space="preserve"> SEQ Figure \* ARABIC </w:instrText>
      </w:r>
      <w:r>
        <w:rPr>
          <w:noProof/>
          <w:sz w:val="20"/>
          <w:highlight w:val="yellow"/>
        </w:rPr>
        <w:fldChar w:fldCharType="end"/>
      </w:r>
      <w:bookmarkEnd w:id="54"/>
      <w:r>
        <w:rPr>
          <w:noProof/>
          <w:sz w:val="20"/>
        </w:rPr>
        <w:t>. Ripartizione per categoria dei 16,4 miliardi di EUR dei proventi delle aste ETS del 2024 indicati come esborsati. Le categorie combinate al di sotto dei 500 milioni di EUR comprendono (in milioni di EUR): adattamento (105), scopi internazionali e finanziamenti internazionali per il clima (94), LULUCF, agricoltura e assorbimenti nel suolo (349), costi amministrativi (50), gestione dei rifiuti (28), trasporto marittimo (29), trasporto aereo (14), assorbimenti permanenti (3).</w:t>
      </w:r>
    </w:p>
    <w:p w14:paraId="0FCCEF92" w14:textId="68426642" w:rsidR="004B0B27" w:rsidRPr="00685D02" w:rsidRDefault="4B29D129" w:rsidP="004B0B27">
      <w:pPr>
        <w:pStyle w:val="CMR-text"/>
        <w:rPr>
          <w:rFonts w:cs="Times New Roman"/>
          <w:noProof/>
          <w:highlight w:val="yellow"/>
        </w:rPr>
      </w:pPr>
      <w:r>
        <w:rPr>
          <w:noProof/>
        </w:rPr>
        <w:t>I proventi delle aste dell</w:t>
      </w:r>
      <w:r w:rsidR="00F06D2E">
        <w:rPr>
          <w:noProof/>
        </w:rPr>
        <w:t>'</w:t>
      </w:r>
      <w:r>
        <w:rPr>
          <w:noProof/>
        </w:rPr>
        <w:t>EU ETS hanno apportato un contributo essenziale a questi e a molti altri progetti di forte impatto nell</w:t>
      </w:r>
      <w:r w:rsidR="00F06D2E">
        <w:rPr>
          <w:noProof/>
        </w:rPr>
        <w:t>'</w:t>
      </w:r>
      <w:r>
        <w:rPr>
          <w:noProof/>
        </w:rPr>
        <w:t>ambito dell</w:t>
      </w:r>
      <w:r w:rsidR="00F06D2E">
        <w:rPr>
          <w:noProof/>
        </w:rPr>
        <w:t>'</w:t>
      </w:r>
      <w:r>
        <w:rPr>
          <w:noProof/>
        </w:rPr>
        <w:t>azione per il clima e della trasformazione energetica attuati negli Stati membri, progetti che non solo contribuiscono a ridurre le emissioni, ma fanno anche sì che la transizione verde sia giusta. È importante sottolineare che gli Stati membri devono adoperarsi per garantire la visibilità della fonte di finanziamento delle azioni o dei progetti finanziati dai proventi dell</w:t>
      </w:r>
      <w:r w:rsidR="00F06D2E">
        <w:rPr>
          <w:noProof/>
        </w:rPr>
        <w:t>'</w:t>
      </w:r>
      <w:r>
        <w:rPr>
          <w:noProof/>
        </w:rPr>
        <w:t>ETS, per mettere in luce il contributo dell</w:t>
      </w:r>
      <w:r w:rsidR="00F06D2E">
        <w:rPr>
          <w:noProof/>
        </w:rPr>
        <w:t>'</w:t>
      </w:r>
      <w:r>
        <w:rPr>
          <w:noProof/>
        </w:rPr>
        <w:t>EU ETS alla progressiva decarbonizzazione e alla transizione giusta. Per la maggior parte delle azioni comunicate per il 2024 non è chiaro se l</w:t>
      </w:r>
      <w:r w:rsidR="00F06D2E">
        <w:rPr>
          <w:noProof/>
        </w:rPr>
        <w:t>'</w:t>
      </w:r>
      <w:r>
        <w:rPr>
          <w:noProof/>
        </w:rPr>
        <w:t xml:space="preserve">EU ETS sia esplicitamente indicato e pubblicizzato come fonte di finanziamento e la Commissione intende dare seguito a tale questione. </w:t>
      </w:r>
    </w:p>
    <w:p w14:paraId="331E7ED5" w14:textId="410BB7A6" w:rsidR="00836A03" w:rsidRPr="00685D02" w:rsidRDefault="0789B65D" w:rsidP="008C7E4E">
      <w:pPr>
        <w:pStyle w:val="CMR-text"/>
        <w:rPr>
          <w:rFonts w:cs="Times New Roman"/>
          <w:noProof/>
          <w:highlight w:val="lightGray"/>
        </w:rPr>
      </w:pPr>
      <w:r>
        <w:rPr>
          <w:noProof/>
        </w:rPr>
        <w:t>Una panoramica del modo in cui ciascuno Stato membro ha utilizzato i proventi dell</w:t>
      </w:r>
      <w:r w:rsidR="00F06D2E">
        <w:rPr>
          <w:noProof/>
        </w:rPr>
        <w:t>'</w:t>
      </w:r>
      <w:r>
        <w:rPr>
          <w:noProof/>
        </w:rPr>
        <w:t>ETS è inclusa nella relazione 2025 sui progressi dell</w:t>
      </w:r>
      <w:r w:rsidR="00F06D2E">
        <w:rPr>
          <w:noProof/>
        </w:rPr>
        <w:t>'</w:t>
      </w:r>
      <w:r>
        <w:rPr>
          <w:noProof/>
        </w:rPr>
        <w:t>azione per il clima e nel documento di lavoro dei servizi della Commissione che accompagna la relazione</w:t>
      </w:r>
      <w:r>
        <w:rPr>
          <w:rStyle w:val="FootnoteReference"/>
          <w:rFonts w:cs="Times New Roman"/>
          <w:noProof/>
          <w:lang w:val="en-IE"/>
        </w:rPr>
        <w:footnoteReference w:id="58"/>
      </w:r>
      <w:r>
        <w:rPr>
          <w:noProof/>
        </w:rPr>
        <w:t>.</w:t>
      </w:r>
    </w:p>
    <w:p w14:paraId="22A46E0F" w14:textId="10C330E5" w:rsidR="00613B80" w:rsidRPr="00EC4FC3" w:rsidRDefault="00274D7B" w:rsidP="00EC4FC3">
      <w:pPr>
        <w:pStyle w:val="CMR-Subheading"/>
        <w:rPr>
          <w:noProof/>
        </w:rPr>
      </w:pPr>
      <w:bookmarkStart w:id="55" w:name="_Toc180513404"/>
      <w:bookmarkStart w:id="56" w:name="_Toc218937035"/>
      <w:bookmarkStart w:id="57" w:name="_Ref207549666"/>
      <w:r>
        <w:rPr>
          <w:noProof/>
        </w:rPr>
        <w:t>Aiuti per i costi indiretti</w:t>
      </w:r>
      <w:bookmarkEnd w:id="55"/>
      <w:bookmarkEnd w:id="56"/>
      <w:r>
        <w:rPr>
          <w:noProof/>
        </w:rPr>
        <w:t xml:space="preserve"> </w:t>
      </w:r>
      <w:bookmarkEnd w:id="57"/>
    </w:p>
    <w:p w14:paraId="2493D434" w14:textId="3D173F2D" w:rsidR="00276413" w:rsidRPr="00685D02" w:rsidRDefault="00276413" w:rsidP="50C721A3">
      <w:pPr>
        <w:pStyle w:val="CMR-text"/>
        <w:rPr>
          <w:rFonts w:cs="Times New Roman"/>
          <w:noProof/>
        </w:rPr>
      </w:pPr>
      <w:bookmarkStart w:id="58" w:name="_Hlk212199126"/>
      <w:r>
        <w:rPr>
          <w:noProof/>
        </w:rPr>
        <w:t>A norma dell</w:t>
      </w:r>
      <w:r w:rsidR="00F06D2E">
        <w:rPr>
          <w:noProof/>
        </w:rPr>
        <w:t>'</w:t>
      </w:r>
      <w:r>
        <w:rPr>
          <w:noProof/>
        </w:rPr>
        <w:t>articolo 10 bis, paragrafo 6, della direttiva ETS, gli Stati membri sono incoraggiati ad adottare misure finanziarie a favore dei settori o dei sottosettori esposti a un rischio concreto di rilocalizzazione delle emissioni di carbonio a causa di costi indiretti del carbonio significativi. Si tratta del costo del carbonio trasferito alle industrie ad alta intensità di energia elettrica attraverso le bollette dell</w:t>
      </w:r>
      <w:r w:rsidR="00F06D2E">
        <w:rPr>
          <w:noProof/>
        </w:rPr>
        <w:t>'</w:t>
      </w:r>
      <w:r>
        <w:rPr>
          <w:noProof/>
        </w:rPr>
        <w:t>energia elettrica, per via dell</w:t>
      </w:r>
      <w:r w:rsidR="00F06D2E">
        <w:rPr>
          <w:noProof/>
        </w:rPr>
        <w:t>'</w:t>
      </w:r>
      <w:r>
        <w:rPr>
          <w:noProof/>
        </w:rPr>
        <w:t xml:space="preserve">acquisto di quote ETS da parte delle società energetiche. </w:t>
      </w:r>
    </w:p>
    <w:bookmarkEnd w:id="58"/>
    <w:p w14:paraId="5D3A6959" w14:textId="21429CA5" w:rsidR="00556519" w:rsidRPr="00685D02" w:rsidRDefault="00C766D6" w:rsidP="00CC1F95">
      <w:pPr>
        <w:pStyle w:val="CMR-text"/>
        <w:rPr>
          <w:rFonts w:cs="Times New Roman"/>
          <w:noProof/>
        </w:rPr>
      </w:pPr>
      <w:r>
        <w:rPr>
          <w:noProof/>
        </w:rPr>
        <w:t>La Commissione ha adottato orientamenti relativi agli aiuti di Stato nell</w:t>
      </w:r>
      <w:r w:rsidR="00F06D2E">
        <w:rPr>
          <w:noProof/>
        </w:rPr>
        <w:t>'</w:t>
      </w:r>
      <w:r>
        <w:rPr>
          <w:noProof/>
        </w:rPr>
        <w:t>ambito dell</w:t>
      </w:r>
      <w:r w:rsidR="00F06D2E">
        <w:rPr>
          <w:noProof/>
        </w:rPr>
        <w:t>'</w:t>
      </w:r>
      <w:r>
        <w:rPr>
          <w:noProof/>
        </w:rPr>
        <w:t>EU ETS al fine di armonizzare le condizioni alle quali gli Stati membri forniscono tali aiuti e di ridurre al minimo le distorsioni della concorrenza nel mercato interno</w:t>
      </w:r>
      <w:r>
        <w:rPr>
          <w:rStyle w:val="FootnoteReference"/>
          <w:rFonts w:cs="Times New Roman"/>
          <w:noProof/>
          <w:lang w:val="en-IE"/>
        </w:rPr>
        <w:footnoteReference w:id="59"/>
      </w:r>
      <w:r>
        <w:rPr>
          <w:noProof/>
        </w:rPr>
        <w:t xml:space="preserve">. Tali orientamenti definiscono i settori esposti a un rischio concreto di rilocalizzazione delle emissioni di carbonio a causa dei costi indiretti delle emissioni e stabiliscono che i beneficiari dovrebbero reinvestire parte degli aiuti in progetti che riducano la loro impronta di carbonio diretta o indiretta e di conseguenza la loro esposizione al rischio di rilocalizzazione delle emissioni di carbonio. </w:t>
      </w:r>
    </w:p>
    <w:p w14:paraId="21FD8903" w14:textId="30EBC02F" w:rsidR="00CC1F95" w:rsidRPr="00685D02" w:rsidRDefault="00CC1F95" w:rsidP="00CC1F95">
      <w:pPr>
        <w:pStyle w:val="CMR-text"/>
        <w:rPr>
          <w:rFonts w:cs="Times New Roman"/>
          <w:noProof/>
        </w:rPr>
      </w:pPr>
      <w:r>
        <w:rPr>
          <w:noProof/>
        </w:rPr>
        <w:t>Ogni Stato membro che concede aiuti di Stato per compensare i costi indiretti delle emissioni ha notificato il proprio regime alla Commissione ai fini della valutazione degli aiuti di Stato e ha ricevuto conferma della compatibilità del regime con il mercato interno. Gli Stati membri che concedono tale compensazione sono tenuti a pubblicare gli importi totali versati a titolo di compensazione, indicando la ripartizione per settore o sottosettore beneficiario.</w:t>
      </w:r>
    </w:p>
    <w:p w14:paraId="6758AC4F" w14:textId="35CEBEDC" w:rsidR="001E57D5" w:rsidRPr="00685D02" w:rsidRDefault="001E57D5" w:rsidP="00854C42">
      <w:pPr>
        <w:pStyle w:val="CMR-text"/>
        <w:rPr>
          <w:rFonts w:cs="Times New Roman"/>
          <w:noProof/>
        </w:rPr>
      </w:pPr>
      <w:r>
        <w:rPr>
          <w:noProof/>
        </w:rPr>
        <w:t>Come l</w:t>
      </w:r>
      <w:r w:rsidR="00F06D2E">
        <w:rPr>
          <w:noProof/>
        </w:rPr>
        <w:t>'</w:t>
      </w:r>
      <w:r>
        <w:rPr>
          <w:noProof/>
        </w:rPr>
        <w:t xml:space="preserve">anno precedente, anche nel 2024 sono stati 15 gli Stati membri che hanno concesso aiuti per i costi indiretti sostenuti nel 2023. La composizione è tuttavia cambiata per via della scadenza di un regime di sostegno temporaneo in Austria e della reintroduzione dei pagamenti nei Paesi Bassi. </w:t>
      </w:r>
    </w:p>
    <w:p w14:paraId="43C775EF" w14:textId="6C2EBCD8" w:rsidR="001E57D5" w:rsidRPr="00685D02" w:rsidRDefault="00AC538D" w:rsidP="00854C42">
      <w:pPr>
        <w:pStyle w:val="CMR-text"/>
        <w:rPr>
          <w:rFonts w:cs="Times New Roman"/>
          <w:noProof/>
        </w:rPr>
      </w:pPr>
      <w:r>
        <w:rPr>
          <w:noProof/>
        </w:rPr>
        <w:t>La tabella 6 riporta una sintesi dei pagamenti effettuati dagli Stati membri, ponendoli a confronto con i proventi delle aste del 2023. L</w:t>
      </w:r>
      <w:r w:rsidR="00F06D2E">
        <w:rPr>
          <w:noProof/>
        </w:rPr>
        <w:t>'</w:t>
      </w:r>
      <w:r>
        <w:rPr>
          <w:noProof/>
        </w:rPr>
        <w:t xml:space="preserve">importo totale dei pagamenti per i costi indiretti nel 2024 è pari a circa 5,52 miliardi di EUR. Si tratta di un aumento del 40 % rispetto ai 3,95 miliardi di EUR erogati nel 2023, mentre il numero di impianti beneficiari è rimasto sostanzialmente invariato, attestandosi a circa 1 850. </w:t>
      </w:r>
    </w:p>
    <w:p w14:paraId="62092554" w14:textId="731E29EE" w:rsidR="004722B7" w:rsidRPr="00EB1066" w:rsidRDefault="004722B7" w:rsidP="00854C42">
      <w:pPr>
        <w:pStyle w:val="Caption"/>
        <w:keepNext/>
        <w:rPr>
          <w:noProof/>
          <w:sz w:val="20"/>
        </w:rPr>
      </w:pPr>
      <w:bookmarkStart w:id="59" w:name="_Ref206588751"/>
      <w:r>
        <w:rPr>
          <w:noProof/>
          <w:sz w:val="20"/>
        </w:rPr>
        <w:t xml:space="preserve">Tabella </w:t>
      </w:r>
      <w:bookmarkEnd w:id="59"/>
      <w:r>
        <w:rPr>
          <w:noProof/>
          <w:sz w:val="20"/>
        </w:rPr>
        <w:t>6. Importi degli aiuti dai proventi delle aste ETS versati nel 2024 per i costi indiretti sostenuti nel 2023</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554"/>
        <w:gridCol w:w="1843"/>
        <w:gridCol w:w="1560"/>
        <w:gridCol w:w="2126"/>
        <w:gridCol w:w="1933"/>
      </w:tblGrid>
      <w:tr w:rsidR="001E57D5" w:rsidRPr="00EB1066" w14:paraId="32CFDBDB" w14:textId="77777777" w:rsidTr="0091482D">
        <w:trPr>
          <w:trHeight w:val="300"/>
        </w:trPr>
        <w:tc>
          <w:tcPr>
            <w:tcW w:w="862" w:type="pct"/>
            <w:tcMar>
              <w:left w:w="108" w:type="dxa"/>
              <w:right w:w="108" w:type="dxa"/>
            </w:tcMar>
            <w:vAlign w:val="center"/>
          </w:tcPr>
          <w:p w14:paraId="7A2E3D5D" w14:textId="77777777" w:rsidR="001E57D5" w:rsidRPr="00EB1066" w:rsidRDefault="001E57D5" w:rsidP="00711452">
            <w:pPr>
              <w:pStyle w:val="CMR-text"/>
              <w:spacing w:before="0" w:after="0"/>
              <w:jc w:val="left"/>
              <w:rPr>
                <w:rFonts w:cs="Times New Roman"/>
                <w:noProof/>
                <w:sz w:val="20"/>
                <w:szCs w:val="20"/>
              </w:rPr>
            </w:pPr>
            <w:r>
              <w:rPr>
                <w:b/>
                <w:noProof/>
                <w:sz w:val="20"/>
              </w:rPr>
              <w:t>Stato membro</w:t>
            </w:r>
          </w:p>
        </w:tc>
        <w:tc>
          <w:tcPr>
            <w:tcW w:w="1022" w:type="pct"/>
            <w:tcMar>
              <w:left w:w="108" w:type="dxa"/>
              <w:right w:w="108" w:type="dxa"/>
            </w:tcMar>
            <w:vAlign w:val="center"/>
          </w:tcPr>
          <w:p w14:paraId="5AF51E4E" w14:textId="6D239293" w:rsidR="001E57D5" w:rsidRPr="00EB1066" w:rsidRDefault="001E57D5" w:rsidP="0091482D">
            <w:pPr>
              <w:pStyle w:val="CMR-text"/>
              <w:spacing w:before="0" w:after="0"/>
              <w:jc w:val="left"/>
              <w:rPr>
                <w:rFonts w:cs="Times New Roman"/>
                <w:noProof/>
                <w:sz w:val="20"/>
                <w:szCs w:val="20"/>
              </w:rPr>
            </w:pPr>
            <w:r>
              <w:rPr>
                <w:b/>
                <w:noProof/>
                <w:color w:val="000000" w:themeColor="text1"/>
                <w:sz w:val="20"/>
              </w:rPr>
              <w:t>Importo versato per i costi</w:t>
            </w:r>
            <w:r w:rsidR="0038309D">
              <w:rPr>
                <w:b/>
                <w:noProof/>
                <w:color w:val="000000" w:themeColor="text1"/>
                <w:sz w:val="20"/>
              </w:rPr>
              <w:t xml:space="preserve"> i</w:t>
            </w:r>
            <w:r>
              <w:rPr>
                <w:b/>
                <w:noProof/>
                <w:color w:val="000000" w:themeColor="text1"/>
                <w:sz w:val="20"/>
              </w:rPr>
              <w:t>ndiretti</w:t>
            </w:r>
            <w:r w:rsidR="0038309D">
              <w:rPr>
                <w:b/>
                <w:noProof/>
                <w:color w:val="000000" w:themeColor="text1"/>
                <w:sz w:val="20"/>
              </w:rPr>
              <w:t xml:space="preserve"> </w:t>
            </w:r>
            <w:r>
              <w:rPr>
                <w:b/>
                <w:noProof/>
                <w:color w:val="000000" w:themeColor="text1"/>
                <w:sz w:val="20"/>
              </w:rPr>
              <w:t>sostenuti nel 2023</w:t>
            </w:r>
            <w:r w:rsidR="0038309D">
              <w:rPr>
                <w:b/>
                <w:noProof/>
                <w:color w:val="000000" w:themeColor="text1"/>
                <w:sz w:val="20"/>
              </w:rPr>
              <w:t xml:space="preserve"> </w:t>
            </w:r>
            <w:r>
              <w:rPr>
                <w:b/>
                <w:noProof/>
                <w:color w:val="000000" w:themeColor="text1"/>
                <w:sz w:val="20"/>
              </w:rPr>
              <w:t>[milioni di EUR]</w:t>
            </w:r>
          </w:p>
        </w:tc>
        <w:tc>
          <w:tcPr>
            <w:tcW w:w="865" w:type="pct"/>
            <w:tcMar>
              <w:left w:w="108" w:type="dxa"/>
              <w:right w:w="108" w:type="dxa"/>
            </w:tcMar>
            <w:vAlign w:val="center"/>
          </w:tcPr>
          <w:p w14:paraId="08988A8E" w14:textId="1FC331C5" w:rsidR="001E57D5" w:rsidRPr="00EB1066" w:rsidRDefault="001E57D5" w:rsidP="00711452">
            <w:pPr>
              <w:pStyle w:val="CMR-text"/>
              <w:spacing w:before="0" w:after="0"/>
              <w:jc w:val="left"/>
              <w:rPr>
                <w:rFonts w:cs="Times New Roman"/>
                <w:noProof/>
                <w:sz w:val="20"/>
                <w:szCs w:val="20"/>
              </w:rPr>
            </w:pPr>
            <w:r>
              <w:rPr>
                <w:b/>
                <w:noProof/>
                <w:color w:val="000000" w:themeColor="text1"/>
                <w:sz w:val="20"/>
              </w:rPr>
              <w:t>Numero</w:t>
            </w:r>
            <w:r w:rsidR="0038309D">
              <w:rPr>
                <w:b/>
                <w:noProof/>
                <w:color w:val="000000" w:themeColor="text1"/>
                <w:sz w:val="20"/>
              </w:rPr>
              <w:t xml:space="preserve"> </w:t>
            </w:r>
            <w:r>
              <w:rPr>
                <w:b/>
                <w:noProof/>
                <w:color w:val="000000" w:themeColor="text1"/>
                <w:sz w:val="20"/>
              </w:rPr>
              <w:t>di beneficiari</w:t>
            </w:r>
            <w:r>
              <w:rPr>
                <w:noProof/>
              </w:rPr>
              <w:t xml:space="preserve"> </w:t>
            </w:r>
            <w:r>
              <w:rPr>
                <w:noProof/>
              </w:rPr>
              <w:br/>
            </w:r>
            <w:r>
              <w:rPr>
                <w:b/>
                <w:noProof/>
                <w:color w:val="000000" w:themeColor="text1"/>
                <w:sz w:val="20"/>
              </w:rPr>
              <w:t>(impianti)</w:t>
            </w:r>
          </w:p>
        </w:tc>
        <w:tc>
          <w:tcPr>
            <w:tcW w:w="1179" w:type="pct"/>
            <w:tcMar>
              <w:left w:w="108" w:type="dxa"/>
              <w:right w:w="108" w:type="dxa"/>
            </w:tcMar>
            <w:vAlign w:val="center"/>
          </w:tcPr>
          <w:p w14:paraId="5F08127F" w14:textId="1F772DC9" w:rsidR="001E57D5" w:rsidRPr="00D036A1" w:rsidRDefault="001E57D5" w:rsidP="00711452">
            <w:pPr>
              <w:pStyle w:val="CMR-text"/>
              <w:spacing w:before="0" w:after="0"/>
              <w:jc w:val="left"/>
              <w:rPr>
                <w:rFonts w:cs="Times New Roman"/>
                <w:noProof/>
                <w:sz w:val="20"/>
                <w:szCs w:val="20"/>
              </w:rPr>
            </w:pPr>
            <w:r>
              <w:rPr>
                <w:b/>
                <w:noProof/>
                <w:color w:val="000000" w:themeColor="text1"/>
                <w:sz w:val="20"/>
              </w:rPr>
              <w:t>Proventi</w:t>
            </w:r>
            <w:r>
              <w:rPr>
                <w:noProof/>
              </w:rPr>
              <w:br/>
            </w:r>
            <w:r>
              <w:rPr>
                <w:b/>
                <w:noProof/>
                <w:color w:val="000000" w:themeColor="text1"/>
                <w:sz w:val="20"/>
              </w:rPr>
              <w:t>delle aste</w:t>
            </w:r>
            <w:r>
              <w:rPr>
                <w:noProof/>
              </w:rPr>
              <w:br/>
            </w:r>
            <w:r>
              <w:rPr>
                <w:b/>
                <w:noProof/>
                <w:color w:val="000000" w:themeColor="text1"/>
                <w:sz w:val="20"/>
              </w:rPr>
              <w:t>nel 2023</w:t>
            </w:r>
            <w:hyperlink r:id="rId38" w:anchor="_ftn3">
              <w:r>
                <w:rPr>
                  <w:rStyle w:val="Hyperlink"/>
                  <w:b/>
                  <w:noProof/>
                  <w:color w:val="000000" w:themeColor="text1"/>
                  <w:sz w:val="20"/>
                  <w:vertAlign w:val="superscript"/>
                </w:rPr>
                <w:t>[3]</w:t>
              </w:r>
            </w:hyperlink>
            <w:r>
              <w:rPr>
                <w:noProof/>
              </w:rPr>
              <w:br/>
            </w:r>
            <w:r>
              <w:rPr>
                <w:b/>
                <w:noProof/>
                <w:color w:val="000000" w:themeColor="text1"/>
                <w:sz w:val="20"/>
              </w:rPr>
              <w:t>[milioni di EUR]</w:t>
            </w:r>
          </w:p>
        </w:tc>
        <w:tc>
          <w:tcPr>
            <w:tcW w:w="1072" w:type="pct"/>
            <w:tcMar>
              <w:left w:w="108" w:type="dxa"/>
              <w:right w:w="108" w:type="dxa"/>
            </w:tcMar>
            <w:vAlign w:val="center"/>
          </w:tcPr>
          <w:p w14:paraId="53BA72B8" w14:textId="77777777" w:rsidR="001E57D5" w:rsidRPr="00EB1066" w:rsidRDefault="001E57D5" w:rsidP="00711452">
            <w:pPr>
              <w:pStyle w:val="CMR-text"/>
              <w:spacing w:before="0" w:after="0"/>
              <w:jc w:val="left"/>
              <w:rPr>
                <w:rFonts w:cs="Times New Roman"/>
                <w:noProof/>
                <w:sz w:val="20"/>
                <w:szCs w:val="20"/>
              </w:rPr>
            </w:pPr>
            <w:r>
              <w:rPr>
                <w:b/>
                <w:noProof/>
                <w:color w:val="000000" w:themeColor="text1"/>
                <w:sz w:val="20"/>
              </w:rPr>
              <w:t>Entità relativa degli aiuti per costi indiretti rispetto ai proventi delle aste</w:t>
            </w:r>
          </w:p>
        </w:tc>
      </w:tr>
      <w:tr w:rsidR="008B4F92" w:rsidRPr="00EB1066" w14:paraId="1EEF044B" w14:textId="77777777" w:rsidTr="0091482D">
        <w:trPr>
          <w:trHeight w:val="340"/>
        </w:trPr>
        <w:tc>
          <w:tcPr>
            <w:tcW w:w="862" w:type="pct"/>
            <w:shd w:val="clear" w:color="auto" w:fill="D9E2F3" w:themeFill="accent1" w:themeFillTint="33"/>
            <w:tcMar>
              <w:left w:w="108" w:type="dxa"/>
              <w:right w:w="108" w:type="dxa"/>
            </w:tcMar>
            <w:vAlign w:val="center"/>
          </w:tcPr>
          <w:p w14:paraId="6B322052"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Belgio</w:t>
            </w:r>
          </w:p>
        </w:tc>
        <w:tc>
          <w:tcPr>
            <w:tcW w:w="1022" w:type="pct"/>
            <w:shd w:val="clear" w:color="auto" w:fill="D9E2F3" w:themeFill="accent1" w:themeFillTint="33"/>
            <w:tcMar>
              <w:left w:w="108" w:type="dxa"/>
              <w:right w:w="108" w:type="dxa"/>
            </w:tcMar>
            <w:vAlign w:val="center"/>
          </w:tcPr>
          <w:p w14:paraId="7D0ED9BB"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249,9</w:t>
            </w:r>
          </w:p>
        </w:tc>
        <w:tc>
          <w:tcPr>
            <w:tcW w:w="865" w:type="pct"/>
            <w:shd w:val="clear" w:color="auto" w:fill="D9E2F3" w:themeFill="accent1" w:themeFillTint="33"/>
            <w:tcMar>
              <w:left w:w="108" w:type="dxa"/>
              <w:right w:w="108" w:type="dxa"/>
            </w:tcMar>
            <w:vAlign w:val="center"/>
          </w:tcPr>
          <w:p w14:paraId="3DC3C329" w14:textId="527A067B"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56</w:t>
            </w:r>
          </w:p>
        </w:tc>
        <w:tc>
          <w:tcPr>
            <w:tcW w:w="1179" w:type="pct"/>
            <w:shd w:val="clear" w:color="auto" w:fill="D9E2F3" w:themeFill="accent1" w:themeFillTint="33"/>
            <w:tcMar>
              <w:left w:w="108" w:type="dxa"/>
              <w:right w:w="108" w:type="dxa"/>
            </w:tcMar>
            <w:vAlign w:val="center"/>
          </w:tcPr>
          <w:p w14:paraId="1A22C8D9"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739,9</w:t>
            </w:r>
          </w:p>
        </w:tc>
        <w:tc>
          <w:tcPr>
            <w:tcW w:w="1072" w:type="pct"/>
            <w:shd w:val="clear" w:color="auto" w:fill="D9E2F3" w:themeFill="accent1" w:themeFillTint="33"/>
            <w:tcMar>
              <w:left w:w="108" w:type="dxa"/>
              <w:right w:w="108" w:type="dxa"/>
            </w:tcMar>
            <w:vAlign w:val="center"/>
          </w:tcPr>
          <w:p w14:paraId="437FF536"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33,8 %</w:t>
            </w:r>
          </w:p>
        </w:tc>
      </w:tr>
      <w:tr w:rsidR="001E57D5" w:rsidRPr="00EB1066" w14:paraId="763B75EE" w14:textId="77777777" w:rsidTr="0091482D">
        <w:trPr>
          <w:trHeight w:val="340"/>
        </w:trPr>
        <w:tc>
          <w:tcPr>
            <w:tcW w:w="862" w:type="pct"/>
            <w:tcMar>
              <w:left w:w="108" w:type="dxa"/>
              <w:right w:w="108" w:type="dxa"/>
            </w:tcMar>
            <w:vAlign w:val="center"/>
          </w:tcPr>
          <w:p w14:paraId="52846565"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Cechia</w:t>
            </w:r>
          </w:p>
        </w:tc>
        <w:tc>
          <w:tcPr>
            <w:tcW w:w="1022" w:type="pct"/>
            <w:tcMar>
              <w:left w:w="108" w:type="dxa"/>
              <w:right w:w="108" w:type="dxa"/>
            </w:tcMar>
            <w:vAlign w:val="center"/>
          </w:tcPr>
          <w:p w14:paraId="3C32BDB7"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60,4</w:t>
            </w:r>
          </w:p>
        </w:tc>
        <w:tc>
          <w:tcPr>
            <w:tcW w:w="865" w:type="pct"/>
            <w:tcMar>
              <w:left w:w="108" w:type="dxa"/>
              <w:right w:w="108" w:type="dxa"/>
            </w:tcMar>
            <w:vAlign w:val="center"/>
          </w:tcPr>
          <w:p w14:paraId="01A4F026" w14:textId="2E577759"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23</w:t>
            </w:r>
          </w:p>
        </w:tc>
        <w:tc>
          <w:tcPr>
            <w:tcW w:w="1179" w:type="pct"/>
            <w:tcMar>
              <w:left w:w="108" w:type="dxa"/>
              <w:right w:w="108" w:type="dxa"/>
            </w:tcMar>
            <w:vAlign w:val="center"/>
          </w:tcPr>
          <w:p w14:paraId="2F9D8D0A"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771,3</w:t>
            </w:r>
          </w:p>
        </w:tc>
        <w:tc>
          <w:tcPr>
            <w:tcW w:w="1072" w:type="pct"/>
            <w:tcMar>
              <w:left w:w="108" w:type="dxa"/>
              <w:right w:w="108" w:type="dxa"/>
            </w:tcMar>
            <w:vAlign w:val="center"/>
          </w:tcPr>
          <w:p w14:paraId="4A388B0E"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7,8 %</w:t>
            </w:r>
          </w:p>
        </w:tc>
      </w:tr>
      <w:tr w:rsidR="008B4F92" w:rsidRPr="00EB1066" w14:paraId="7A9DB0D7" w14:textId="77777777" w:rsidTr="0091482D">
        <w:trPr>
          <w:trHeight w:val="340"/>
        </w:trPr>
        <w:tc>
          <w:tcPr>
            <w:tcW w:w="862" w:type="pct"/>
            <w:shd w:val="clear" w:color="auto" w:fill="D9E2F3" w:themeFill="accent1" w:themeFillTint="33"/>
            <w:tcMar>
              <w:left w:w="108" w:type="dxa"/>
              <w:right w:w="108" w:type="dxa"/>
            </w:tcMar>
            <w:vAlign w:val="center"/>
          </w:tcPr>
          <w:p w14:paraId="62282BE3"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Finlandia</w:t>
            </w:r>
          </w:p>
        </w:tc>
        <w:tc>
          <w:tcPr>
            <w:tcW w:w="1022" w:type="pct"/>
            <w:shd w:val="clear" w:color="auto" w:fill="D9E2F3" w:themeFill="accent1" w:themeFillTint="33"/>
            <w:tcMar>
              <w:left w:w="108" w:type="dxa"/>
              <w:right w:w="108" w:type="dxa"/>
            </w:tcMar>
            <w:vAlign w:val="center"/>
          </w:tcPr>
          <w:p w14:paraId="3A288A31"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143,2</w:t>
            </w:r>
          </w:p>
        </w:tc>
        <w:tc>
          <w:tcPr>
            <w:tcW w:w="865" w:type="pct"/>
            <w:shd w:val="clear" w:color="auto" w:fill="D9E2F3" w:themeFill="accent1" w:themeFillTint="33"/>
            <w:tcMar>
              <w:left w:w="108" w:type="dxa"/>
              <w:right w:w="108" w:type="dxa"/>
            </w:tcMar>
            <w:vAlign w:val="center"/>
          </w:tcPr>
          <w:p w14:paraId="404A54C4" w14:textId="6C8A62ED"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55</w:t>
            </w:r>
          </w:p>
        </w:tc>
        <w:tc>
          <w:tcPr>
            <w:tcW w:w="1179" w:type="pct"/>
            <w:shd w:val="clear" w:color="auto" w:fill="D9E2F3" w:themeFill="accent1" w:themeFillTint="33"/>
            <w:tcMar>
              <w:left w:w="108" w:type="dxa"/>
              <w:right w:w="108" w:type="dxa"/>
            </w:tcMar>
            <w:vAlign w:val="center"/>
          </w:tcPr>
          <w:p w14:paraId="7EA2AA4E"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571,5</w:t>
            </w:r>
          </w:p>
        </w:tc>
        <w:tc>
          <w:tcPr>
            <w:tcW w:w="1072" w:type="pct"/>
            <w:shd w:val="clear" w:color="auto" w:fill="D9E2F3" w:themeFill="accent1" w:themeFillTint="33"/>
            <w:tcMar>
              <w:left w:w="108" w:type="dxa"/>
              <w:right w:w="108" w:type="dxa"/>
            </w:tcMar>
            <w:vAlign w:val="center"/>
          </w:tcPr>
          <w:p w14:paraId="416C8100"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25,1 %</w:t>
            </w:r>
          </w:p>
        </w:tc>
      </w:tr>
      <w:tr w:rsidR="001E57D5" w:rsidRPr="00EB1066" w14:paraId="324135A0" w14:textId="77777777" w:rsidTr="0091482D">
        <w:trPr>
          <w:trHeight w:val="340"/>
        </w:trPr>
        <w:tc>
          <w:tcPr>
            <w:tcW w:w="862" w:type="pct"/>
            <w:tcMar>
              <w:left w:w="108" w:type="dxa"/>
              <w:right w:w="108" w:type="dxa"/>
            </w:tcMar>
            <w:vAlign w:val="center"/>
          </w:tcPr>
          <w:p w14:paraId="0E963220"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Francia</w:t>
            </w:r>
          </w:p>
        </w:tc>
        <w:tc>
          <w:tcPr>
            <w:tcW w:w="1022" w:type="pct"/>
            <w:tcMar>
              <w:left w:w="108" w:type="dxa"/>
              <w:right w:w="108" w:type="dxa"/>
            </w:tcMar>
            <w:vAlign w:val="center"/>
          </w:tcPr>
          <w:p w14:paraId="330DBF95"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908,8</w:t>
            </w:r>
          </w:p>
        </w:tc>
        <w:tc>
          <w:tcPr>
            <w:tcW w:w="865" w:type="pct"/>
            <w:tcMar>
              <w:left w:w="108" w:type="dxa"/>
              <w:right w:w="108" w:type="dxa"/>
            </w:tcMar>
            <w:vAlign w:val="center"/>
          </w:tcPr>
          <w:p w14:paraId="317B7552" w14:textId="140216E3"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293</w:t>
            </w:r>
          </w:p>
        </w:tc>
        <w:tc>
          <w:tcPr>
            <w:tcW w:w="1179" w:type="pct"/>
            <w:tcMar>
              <w:left w:w="108" w:type="dxa"/>
              <w:right w:w="108" w:type="dxa"/>
            </w:tcMar>
            <w:vAlign w:val="center"/>
          </w:tcPr>
          <w:p w14:paraId="68509B7C"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2 060,1</w:t>
            </w:r>
          </w:p>
        </w:tc>
        <w:tc>
          <w:tcPr>
            <w:tcW w:w="1072" w:type="pct"/>
            <w:tcMar>
              <w:left w:w="108" w:type="dxa"/>
              <w:right w:w="108" w:type="dxa"/>
            </w:tcMar>
            <w:vAlign w:val="center"/>
          </w:tcPr>
          <w:p w14:paraId="7769D5EF"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44,1 %</w:t>
            </w:r>
          </w:p>
        </w:tc>
      </w:tr>
      <w:tr w:rsidR="008B4F92" w:rsidRPr="00EB1066" w14:paraId="7AC3E53F" w14:textId="77777777" w:rsidTr="0091482D">
        <w:trPr>
          <w:trHeight w:val="340"/>
        </w:trPr>
        <w:tc>
          <w:tcPr>
            <w:tcW w:w="862" w:type="pct"/>
            <w:shd w:val="clear" w:color="auto" w:fill="D9E2F3" w:themeFill="accent1" w:themeFillTint="33"/>
            <w:tcMar>
              <w:left w:w="108" w:type="dxa"/>
              <w:right w:w="108" w:type="dxa"/>
            </w:tcMar>
            <w:vAlign w:val="center"/>
          </w:tcPr>
          <w:p w14:paraId="0AB30216"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Germania</w:t>
            </w:r>
          </w:p>
        </w:tc>
        <w:tc>
          <w:tcPr>
            <w:tcW w:w="1022" w:type="pct"/>
            <w:shd w:val="clear" w:color="auto" w:fill="D9E2F3" w:themeFill="accent1" w:themeFillTint="33"/>
            <w:tcMar>
              <w:left w:w="108" w:type="dxa"/>
              <w:right w:w="108" w:type="dxa"/>
            </w:tcMar>
            <w:vAlign w:val="center"/>
          </w:tcPr>
          <w:p w14:paraId="1063B9FF"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2 395,0</w:t>
            </w:r>
          </w:p>
        </w:tc>
        <w:tc>
          <w:tcPr>
            <w:tcW w:w="865" w:type="pct"/>
            <w:shd w:val="clear" w:color="auto" w:fill="D9E2F3" w:themeFill="accent1" w:themeFillTint="33"/>
            <w:tcMar>
              <w:left w:w="108" w:type="dxa"/>
              <w:right w:w="108" w:type="dxa"/>
            </w:tcMar>
            <w:vAlign w:val="center"/>
          </w:tcPr>
          <w:p w14:paraId="5CE3215C" w14:textId="2F34AE73"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707</w:t>
            </w:r>
          </w:p>
        </w:tc>
        <w:tc>
          <w:tcPr>
            <w:tcW w:w="1179" w:type="pct"/>
            <w:shd w:val="clear" w:color="auto" w:fill="D9E2F3" w:themeFill="accent1" w:themeFillTint="33"/>
            <w:tcMar>
              <w:left w:w="108" w:type="dxa"/>
              <w:right w:w="108" w:type="dxa"/>
            </w:tcMar>
            <w:vAlign w:val="center"/>
          </w:tcPr>
          <w:p w14:paraId="1083A955"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7 582,5</w:t>
            </w:r>
          </w:p>
        </w:tc>
        <w:tc>
          <w:tcPr>
            <w:tcW w:w="1072" w:type="pct"/>
            <w:shd w:val="clear" w:color="auto" w:fill="D9E2F3" w:themeFill="accent1" w:themeFillTint="33"/>
            <w:tcMar>
              <w:left w:w="108" w:type="dxa"/>
              <w:right w:w="108" w:type="dxa"/>
            </w:tcMar>
            <w:vAlign w:val="center"/>
          </w:tcPr>
          <w:p w14:paraId="2603CC5D"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31,6 %</w:t>
            </w:r>
          </w:p>
        </w:tc>
      </w:tr>
      <w:tr w:rsidR="008B4F92" w:rsidRPr="00EB1066" w14:paraId="3EE26B6A" w14:textId="77777777" w:rsidTr="0091482D">
        <w:trPr>
          <w:trHeight w:val="340"/>
        </w:trPr>
        <w:tc>
          <w:tcPr>
            <w:tcW w:w="862" w:type="pct"/>
            <w:tcMar>
              <w:left w:w="108" w:type="dxa"/>
              <w:right w:w="108" w:type="dxa"/>
            </w:tcMar>
            <w:vAlign w:val="center"/>
          </w:tcPr>
          <w:p w14:paraId="483E9D71"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Grecia</w:t>
            </w:r>
          </w:p>
        </w:tc>
        <w:tc>
          <w:tcPr>
            <w:tcW w:w="1022" w:type="pct"/>
            <w:tcMar>
              <w:left w:w="108" w:type="dxa"/>
              <w:right w:w="108" w:type="dxa"/>
            </w:tcMar>
            <w:vAlign w:val="center"/>
          </w:tcPr>
          <w:p w14:paraId="252AE61F" w14:textId="7D1A1810" w:rsidR="001E57D5" w:rsidRPr="00EB1066" w:rsidRDefault="00AD5CA7" w:rsidP="00711452">
            <w:pPr>
              <w:pStyle w:val="CMR-text"/>
              <w:spacing w:before="0" w:after="0" w:line="240" w:lineRule="auto"/>
              <w:jc w:val="right"/>
              <w:rPr>
                <w:rFonts w:cs="Times New Roman"/>
                <w:noProof/>
                <w:sz w:val="20"/>
                <w:szCs w:val="20"/>
              </w:rPr>
            </w:pPr>
            <w:r>
              <w:rPr>
                <w:noProof/>
                <w:color w:val="000000"/>
                <w:sz w:val="20"/>
              </w:rPr>
              <w:t>287,0</w:t>
            </w:r>
          </w:p>
        </w:tc>
        <w:tc>
          <w:tcPr>
            <w:tcW w:w="865" w:type="pct"/>
            <w:tcMar>
              <w:left w:w="108" w:type="dxa"/>
              <w:right w:w="108" w:type="dxa"/>
            </w:tcMar>
            <w:vAlign w:val="center"/>
          </w:tcPr>
          <w:p w14:paraId="79CB0694" w14:textId="7380120D" w:rsidR="001E57D5" w:rsidRPr="00EB1066" w:rsidRDefault="00F53165" w:rsidP="00711452">
            <w:pPr>
              <w:pStyle w:val="CMR-text"/>
              <w:spacing w:before="0" w:after="0" w:line="240" w:lineRule="auto"/>
              <w:jc w:val="right"/>
              <w:rPr>
                <w:rFonts w:cs="Times New Roman"/>
                <w:noProof/>
                <w:sz w:val="20"/>
                <w:szCs w:val="20"/>
              </w:rPr>
            </w:pPr>
            <w:r>
              <w:rPr>
                <w:noProof/>
                <w:color w:val="000000"/>
                <w:sz w:val="20"/>
              </w:rPr>
              <w:t>57</w:t>
            </w:r>
          </w:p>
        </w:tc>
        <w:tc>
          <w:tcPr>
            <w:tcW w:w="1179" w:type="pct"/>
            <w:tcMar>
              <w:left w:w="108" w:type="dxa"/>
              <w:right w:w="108" w:type="dxa"/>
            </w:tcMar>
            <w:vAlign w:val="center"/>
          </w:tcPr>
          <w:p w14:paraId="7CC85B5D" w14:textId="4A9E29B4" w:rsidR="001E57D5" w:rsidRPr="00EB1066" w:rsidRDefault="00E0690B" w:rsidP="00711452">
            <w:pPr>
              <w:pStyle w:val="CMR-text"/>
              <w:spacing w:before="0" w:after="0" w:line="240" w:lineRule="auto"/>
              <w:jc w:val="right"/>
              <w:rPr>
                <w:rFonts w:cs="Times New Roman"/>
                <w:noProof/>
                <w:sz w:val="20"/>
                <w:szCs w:val="20"/>
              </w:rPr>
            </w:pPr>
            <w:r>
              <w:rPr>
                <w:noProof/>
                <w:color w:val="000000"/>
                <w:sz w:val="20"/>
              </w:rPr>
              <w:t>1 441,8</w:t>
            </w:r>
          </w:p>
        </w:tc>
        <w:tc>
          <w:tcPr>
            <w:tcW w:w="1072" w:type="pct"/>
            <w:tcMar>
              <w:left w:w="108" w:type="dxa"/>
              <w:right w:w="108" w:type="dxa"/>
            </w:tcMar>
            <w:vAlign w:val="center"/>
          </w:tcPr>
          <w:p w14:paraId="2D660BE0" w14:textId="7D11A639" w:rsidR="001E57D5" w:rsidRPr="00EB1066" w:rsidRDefault="00E0690B" w:rsidP="00711452">
            <w:pPr>
              <w:pStyle w:val="CMR-text"/>
              <w:spacing w:before="0" w:after="0" w:line="240" w:lineRule="auto"/>
              <w:jc w:val="right"/>
              <w:rPr>
                <w:rFonts w:cs="Times New Roman"/>
                <w:noProof/>
                <w:sz w:val="20"/>
                <w:szCs w:val="20"/>
              </w:rPr>
            </w:pPr>
            <w:r>
              <w:rPr>
                <w:noProof/>
                <w:color w:val="000000"/>
                <w:sz w:val="20"/>
              </w:rPr>
              <w:t>19,9 %</w:t>
            </w:r>
          </w:p>
        </w:tc>
      </w:tr>
      <w:tr w:rsidR="008B4F92" w:rsidRPr="00EB1066" w14:paraId="7A1B1A16" w14:textId="77777777" w:rsidTr="0091482D">
        <w:trPr>
          <w:trHeight w:val="340"/>
        </w:trPr>
        <w:tc>
          <w:tcPr>
            <w:tcW w:w="862" w:type="pct"/>
            <w:shd w:val="clear" w:color="auto" w:fill="D9E2F3" w:themeFill="accent1" w:themeFillTint="33"/>
            <w:tcMar>
              <w:left w:w="108" w:type="dxa"/>
              <w:right w:w="108" w:type="dxa"/>
            </w:tcMar>
            <w:vAlign w:val="center"/>
          </w:tcPr>
          <w:p w14:paraId="0F3F8F96"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Italia</w:t>
            </w:r>
          </w:p>
        </w:tc>
        <w:tc>
          <w:tcPr>
            <w:tcW w:w="1022" w:type="pct"/>
            <w:shd w:val="clear" w:color="auto" w:fill="D9E2F3" w:themeFill="accent1" w:themeFillTint="33"/>
            <w:tcMar>
              <w:left w:w="108" w:type="dxa"/>
              <w:right w:w="108" w:type="dxa"/>
            </w:tcMar>
            <w:vAlign w:val="center"/>
          </w:tcPr>
          <w:p w14:paraId="14742B50"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165,5</w:t>
            </w:r>
          </w:p>
        </w:tc>
        <w:tc>
          <w:tcPr>
            <w:tcW w:w="865" w:type="pct"/>
            <w:shd w:val="clear" w:color="auto" w:fill="D9E2F3" w:themeFill="accent1" w:themeFillTint="33"/>
            <w:tcMar>
              <w:left w:w="108" w:type="dxa"/>
              <w:right w:w="108" w:type="dxa"/>
            </w:tcMar>
            <w:vAlign w:val="center"/>
          </w:tcPr>
          <w:p w14:paraId="47AE49EB" w14:textId="13153D29"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252</w:t>
            </w:r>
          </w:p>
        </w:tc>
        <w:tc>
          <w:tcPr>
            <w:tcW w:w="1179" w:type="pct"/>
            <w:shd w:val="clear" w:color="auto" w:fill="D9E2F3" w:themeFill="accent1" w:themeFillTint="33"/>
            <w:tcMar>
              <w:left w:w="108" w:type="dxa"/>
              <w:right w:w="108" w:type="dxa"/>
            </w:tcMar>
            <w:vAlign w:val="center"/>
          </w:tcPr>
          <w:p w14:paraId="04569C82"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3 547,4</w:t>
            </w:r>
          </w:p>
        </w:tc>
        <w:tc>
          <w:tcPr>
            <w:tcW w:w="1072" w:type="pct"/>
            <w:shd w:val="clear" w:color="auto" w:fill="D9E2F3" w:themeFill="accent1" w:themeFillTint="33"/>
            <w:tcMar>
              <w:left w:w="108" w:type="dxa"/>
              <w:right w:w="108" w:type="dxa"/>
            </w:tcMar>
            <w:vAlign w:val="center"/>
          </w:tcPr>
          <w:p w14:paraId="09BEDC6E"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4,7 %</w:t>
            </w:r>
          </w:p>
        </w:tc>
      </w:tr>
      <w:tr w:rsidR="001E57D5" w:rsidRPr="00EB1066" w14:paraId="7BCA839A" w14:textId="77777777" w:rsidTr="0091482D">
        <w:trPr>
          <w:trHeight w:val="340"/>
        </w:trPr>
        <w:tc>
          <w:tcPr>
            <w:tcW w:w="862" w:type="pct"/>
            <w:tcMar>
              <w:left w:w="108" w:type="dxa"/>
              <w:right w:w="108" w:type="dxa"/>
            </w:tcMar>
            <w:vAlign w:val="center"/>
          </w:tcPr>
          <w:p w14:paraId="7CC4ABAF" w14:textId="77458F40" w:rsidR="001E57D5" w:rsidRPr="00EB1066" w:rsidRDefault="001E57D5" w:rsidP="00854C42">
            <w:pPr>
              <w:pStyle w:val="CMR-text"/>
              <w:spacing w:before="0" w:after="0" w:line="240" w:lineRule="auto"/>
              <w:rPr>
                <w:rFonts w:cs="Times New Roman"/>
                <w:noProof/>
                <w:sz w:val="20"/>
                <w:szCs w:val="20"/>
              </w:rPr>
            </w:pPr>
            <w:r>
              <w:rPr>
                <w:noProof/>
                <w:color w:val="000000"/>
                <w:sz w:val="20"/>
              </w:rPr>
              <w:t>Lussemburgo</w:t>
            </w:r>
          </w:p>
        </w:tc>
        <w:tc>
          <w:tcPr>
            <w:tcW w:w="1022" w:type="pct"/>
            <w:tcMar>
              <w:left w:w="108" w:type="dxa"/>
              <w:right w:w="108" w:type="dxa"/>
            </w:tcMar>
            <w:vAlign w:val="center"/>
          </w:tcPr>
          <w:p w14:paraId="1FFB55C8"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37,6</w:t>
            </w:r>
          </w:p>
        </w:tc>
        <w:tc>
          <w:tcPr>
            <w:tcW w:w="865" w:type="pct"/>
            <w:tcMar>
              <w:left w:w="108" w:type="dxa"/>
              <w:right w:w="108" w:type="dxa"/>
            </w:tcMar>
            <w:vAlign w:val="center"/>
          </w:tcPr>
          <w:p w14:paraId="0816A137" w14:textId="1376E67C"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4</w:t>
            </w:r>
          </w:p>
        </w:tc>
        <w:tc>
          <w:tcPr>
            <w:tcW w:w="1179" w:type="pct"/>
            <w:tcMar>
              <w:left w:w="108" w:type="dxa"/>
              <w:right w:w="108" w:type="dxa"/>
            </w:tcMar>
            <w:vAlign w:val="center"/>
          </w:tcPr>
          <w:p w14:paraId="6733805D"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7,6</w:t>
            </w:r>
          </w:p>
        </w:tc>
        <w:tc>
          <w:tcPr>
            <w:tcW w:w="1072" w:type="pct"/>
            <w:tcMar>
              <w:left w:w="108" w:type="dxa"/>
              <w:right w:w="108" w:type="dxa"/>
            </w:tcMar>
            <w:vAlign w:val="center"/>
          </w:tcPr>
          <w:p w14:paraId="3DD05144"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492,0 %</w:t>
            </w:r>
          </w:p>
        </w:tc>
      </w:tr>
      <w:tr w:rsidR="008B4F92" w:rsidRPr="00EB1066" w14:paraId="119E550F" w14:textId="77777777" w:rsidTr="0091482D">
        <w:trPr>
          <w:trHeight w:val="340"/>
        </w:trPr>
        <w:tc>
          <w:tcPr>
            <w:tcW w:w="862" w:type="pct"/>
            <w:shd w:val="clear" w:color="auto" w:fill="D9E2F3" w:themeFill="accent1" w:themeFillTint="33"/>
            <w:tcMar>
              <w:left w:w="108" w:type="dxa"/>
              <w:right w:w="108" w:type="dxa"/>
            </w:tcMar>
            <w:vAlign w:val="center"/>
          </w:tcPr>
          <w:p w14:paraId="2327AC59"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Paesi Bassi</w:t>
            </w:r>
          </w:p>
        </w:tc>
        <w:tc>
          <w:tcPr>
            <w:tcW w:w="1022" w:type="pct"/>
            <w:shd w:val="clear" w:color="auto" w:fill="D9E2F3" w:themeFill="accent1" w:themeFillTint="33"/>
            <w:tcMar>
              <w:left w:w="108" w:type="dxa"/>
              <w:right w:w="108" w:type="dxa"/>
            </w:tcMar>
            <w:vAlign w:val="center"/>
          </w:tcPr>
          <w:p w14:paraId="440BA07B"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147,3</w:t>
            </w:r>
          </w:p>
        </w:tc>
        <w:tc>
          <w:tcPr>
            <w:tcW w:w="865" w:type="pct"/>
            <w:shd w:val="clear" w:color="auto" w:fill="D9E2F3" w:themeFill="accent1" w:themeFillTint="33"/>
            <w:tcMar>
              <w:left w:w="108" w:type="dxa"/>
              <w:right w:w="108" w:type="dxa"/>
            </w:tcMar>
            <w:vAlign w:val="center"/>
          </w:tcPr>
          <w:p w14:paraId="0D1879D6" w14:textId="0CA342D7" w:rsidR="001E57D5" w:rsidRPr="00EB1066" w:rsidRDefault="00BB65ED" w:rsidP="00711452">
            <w:pPr>
              <w:pStyle w:val="CMR-text"/>
              <w:spacing w:before="0" w:after="0" w:line="240" w:lineRule="auto"/>
              <w:jc w:val="right"/>
              <w:rPr>
                <w:rFonts w:cs="Times New Roman"/>
                <w:noProof/>
                <w:sz w:val="20"/>
                <w:szCs w:val="20"/>
              </w:rPr>
            </w:pPr>
            <w:r>
              <w:rPr>
                <w:noProof/>
                <w:color w:val="000000"/>
                <w:sz w:val="20"/>
              </w:rPr>
              <w:t xml:space="preserve">48 </w:t>
            </w:r>
          </w:p>
        </w:tc>
        <w:tc>
          <w:tcPr>
            <w:tcW w:w="1179" w:type="pct"/>
            <w:shd w:val="clear" w:color="auto" w:fill="D9E2F3" w:themeFill="accent1" w:themeFillTint="33"/>
            <w:tcMar>
              <w:left w:w="108" w:type="dxa"/>
              <w:right w:w="108" w:type="dxa"/>
            </w:tcMar>
            <w:vAlign w:val="center"/>
          </w:tcPr>
          <w:p w14:paraId="7F06B079"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1 261,1</w:t>
            </w:r>
          </w:p>
        </w:tc>
        <w:tc>
          <w:tcPr>
            <w:tcW w:w="1072" w:type="pct"/>
            <w:shd w:val="clear" w:color="auto" w:fill="D9E2F3" w:themeFill="accent1" w:themeFillTint="33"/>
            <w:tcMar>
              <w:left w:w="108" w:type="dxa"/>
              <w:right w:w="108" w:type="dxa"/>
            </w:tcMar>
            <w:vAlign w:val="center"/>
          </w:tcPr>
          <w:p w14:paraId="3EAD18D4"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11,7 %</w:t>
            </w:r>
          </w:p>
        </w:tc>
      </w:tr>
      <w:tr w:rsidR="001E57D5" w:rsidRPr="00EB1066" w14:paraId="63272C19" w14:textId="77777777" w:rsidTr="0091482D">
        <w:trPr>
          <w:trHeight w:val="340"/>
        </w:trPr>
        <w:tc>
          <w:tcPr>
            <w:tcW w:w="862" w:type="pct"/>
            <w:tcMar>
              <w:left w:w="108" w:type="dxa"/>
              <w:right w:w="108" w:type="dxa"/>
            </w:tcMar>
            <w:vAlign w:val="center"/>
          </w:tcPr>
          <w:p w14:paraId="0231E457"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Polonia</w:t>
            </w:r>
          </w:p>
        </w:tc>
        <w:tc>
          <w:tcPr>
            <w:tcW w:w="1022" w:type="pct"/>
            <w:tcMar>
              <w:left w:w="108" w:type="dxa"/>
              <w:right w:w="108" w:type="dxa"/>
            </w:tcMar>
            <w:vAlign w:val="center"/>
          </w:tcPr>
          <w:p w14:paraId="4F118072" w14:textId="6C7F7924"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614,6</w:t>
            </w:r>
          </w:p>
        </w:tc>
        <w:tc>
          <w:tcPr>
            <w:tcW w:w="865" w:type="pct"/>
            <w:tcMar>
              <w:left w:w="108" w:type="dxa"/>
              <w:right w:w="108" w:type="dxa"/>
            </w:tcMar>
            <w:vAlign w:val="center"/>
          </w:tcPr>
          <w:p w14:paraId="6D798103" w14:textId="5374E50F"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97</w:t>
            </w:r>
          </w:p>
        </w:tc>
        <w:tc>
          <w:tcPr>
            <w:tcW w:w="1179" w:type="pct"/>
            <w:tcMar>
              <w:left w:w="108" w:type="dxa"/>
              <w:right w:w="108" w:type="dxa"/>
            </w:tcMar>
            <w:vAlign w:val="center"/>
          </w:tcPr>
          <w:p w14:paraId="69573AA3"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5 406,7</w:t>
            </w:r>
          </w:p>
        </w:tc>
        <w:tc>
          <w:tcPr>
            <w:tcW w:w="1072" w:type="pct"/>
            <w:tcMar>
              <w:left w:w="108" w:type="dxa"/>
              <w:right w:w="108" w:type="dxa"/>
            </w:tcMar>
            <w:vAlign w:val="center"/>
          </w:tcPr>
          <w:p w14:paraId="52716471" w14:textId="5381D0B8"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11,4 %</w:t>
            </w:r>
          </w:p>
        </w:tc>
      </w:tr>
      <w:tr w:rsidR="008B4F92" w:rsidRPr="00EB1066" w14:paraId="6E0C39AE" w14:textId="77777777" w:rsidTr="0091482D">
        <w:trPr>
          <w:trHeight w:val="340"/>
        </w:trPr>
        <w:tc>
          <w:tcPr>
            <w:tcW w:w="862" w:type="pct"/>
            <w:shd w:val="clear" w:color="auto" w:fill="D9E2F3" w:themeFill="accent1" w:themeFillTint="33"/>
            <w:tcMar>
              <w:left w:w="108" w:type="dxa"/>
              <w:right w:w="108" w:type="dxa"/>
            </w:tcMar>
            <w:vAlign w:val="center"/>
          </w:tcPr>
          <w:p w14:paraId="70D3AE3F"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Portogallo</w:t>
            </w:r>
          </w:p>
        </w:tc>
        <w:tc>
          <w:tcPr>
            <w:tcW w:w="1022" w:type="pct"/>
            <w:shd w:val="clear" w:color="auto" w:fill="D9E2F3" w:themeFill="accent1" w:themeFillTint="33"/>
            <w:tcMar>
              <w:left w:w="108" w:type="dxa"/>
              <w:right w:w="108" w:type="dxa"/>
            </w:tcMar>
            <w:vAlign w:val="center"/>
          </w:tcPr>
          <w:p w14:paraId="03D087B3"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25,0</w:t>
            </w:r>
          </w:p>
        </w:tc>
        <w:tc>
          <w:tcPr>
            <w:tcW w:w="865" w:type="pct"/>
            <w:shd w:val="clear" w:color="auto" w:fill="D9E2F3" w:themeFill="accent1" w:themeFillTint="33"/>
            <w:tcMar>
              <w:left w:w="108" w:type="dxa"/>
              <w:right w:w="108" w:type="dxa"/>
            </w:tcMar>
            <w:vAlign w:val="center"/>
          </w:tcPr>
          <w:p w14:paraId="71F28536" w14:textId="46844B43"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23</w:t>
            </w:r>
          </w:p>
        </w:tc>
        <w:tc>
          <w:tcPr>
            <w:tcW w:w="1179" w:type="pct"/>
            <w:shd w:val="clear" w:color="auto" w:fill="D9E2F3" w:themeFill="accent1" w:themeFillTint="33"/>
            <w:tcMar>
              <w:left w:w="108" w:type="dxa"/>
              <w:right w:w="108" w:type="dxa"/>
            </w:tcMar>
            <w:vAlign w:val="center"/>
          </w:tcPr>
          <w:p w14:paraId="7FED68BE"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726,7</w:t>
            </w:r>
          </w:p>
        </w:tc>
        <w:tc>
          <w:tcPr>
            <w:tcW w:w="1072" w:type="pct"/>
            <w:shd w:val="clear" w:color="auto" w:fill="D9E2F3" w:themeFill="accent1" w:themeFillTint="33"/>
            <w:tcMar>
              <w:left w:w="108" w:type="dxa"/>
              <w:right w:w="108" w:type="dxa"/>
            </w:tcMar>
            <w:vAlign w:val="center"/>
          </w:tcPr>
          <w:p w14:paraId="51D8323D"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3,4 %</w:t>
            </w:r>
          </w:p>
        </w:tc>
      </w:tr>
      <w:tr w:rsidR="001E57D5" w:rsidRPr="00EB1066" w14:paraId="17E8A34F" w14:textId="77777777" w:rsidTr="0091482D">
        <w:trPr>
          <w:trHeight w:val="340"/>
        </w:trPr>
        <w:tc>
          <w:tcPr>
            <w:tcW w:w="862" w:type="pct"/>
            <w:tcMar>
              <w:left w:w="108" w:type="dxa"/>
              <w:right w:w="108" w:type="dxa"/>
            </w:tcMar>
            <w:vAlign w:val="center"/>
          </w:tcPr>
          <w:p w14:paraId="660DBB26"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Romania</w:t>
            </w:r>
          </w:p>
        </w:tc>
        <w:tc>
          <w:tcPr>
            <w:tcW w:w="1022" w:type="pct"/>
            <w:tcMar>
              <w:left w:w="108" w:type="dxa"/>
              <w:right w:w="108" w:type="dxa"/>
            </w:tcMar>
            <w:vAlign w:val="center"/>
          </w:tcPr>
          <w:p w14:paraId="37D19339"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116,7</w:t>
            </w:r>
          </w:p>
        </w:tc>
        <w:tc>
          <w:tcPr>
            <w:tcW w:w="865" w:type="pct"/>
            <w:tcMar>
              <w:left w:w="108" w:type="dxa"/>
              <w:right w:w="108" w:type="dxa"/>
            </w:tcMar>
            <w:vAlign w:val="center"/>
          </w:tcPr>
          <w:p w14:paraId="7E09B331" w14:textId="5C4828DF"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31</w:t>
            </w:r>
          </w:p>
        </w:tc>
        <w:tc>
          <w:tcPr>
            <w:tcW w:w="1179" w:type="pct"/>
            <w:tcMar>
              <w:left w:w="108" w:type="dxa"/>
              <w:right w:w="108" w:type="dxa"/>
            </w:tcMar>
            <w:vAlign w:val="center"/>
          </w:tcPr>
          <w:p w14:paraId="552C5590"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571,8</w:t>
            </w:r>
          </w:p>
        </w:tc>
        <w:tc>
          <w:tcPr>
            <w:tcW w:w="1072" w:type="pct"/>
            <w:tcMar>
              <w:left w:w="108" w:type="dxa"/>
              <w:right w:w="108" w:type="dxa"/>
            </w:tcMar>
            <w:vAlign w:val="center"/>
          </w:tcPr>
          <w:p w14:paraId="20DB4B68"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20,4 %</w:t>
            </w:r>
          </w:p>
        </w:tc>
      </w:tr>
      <w:tr w:rsidR="008B4F92" w:rsidRPr="00EB1066" w14:paraId="62CAEE73" w14:textId="77777777" w:rsidTr="0091482D">
        <w:trPr>
          <w:trHeight w:val="340"/>
        </w:trPr>
        <w:tc>
          <w:tcPr>
            <w:tcW w:w="862" w:type="pct"/>
            <w:shd w:val="clear" w:color="auto" w:fill="D9E2F3" w:themeFill="accent1" w:themeFillTint="33"/>
            <w:tcMar>
              <w:left w:w="108" w:type="dxa"/>
              <w:right w:w="108" w:type="dxa"/>
            </w:tcMar>
            <w:vAlign w:val="center"/>
          </w:tcPr>
          <w:p w14:paraId="52CDCEF6"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Slovacchia</w:t>
            </w:r>
          </w:p>
        </w:tc>
        <w:tc>
          <w:tcPr>
            <w:tcW w:w="1022" w:type="pct"/>
            <w:shd w:val="clear" w:color="auto" w:fill="D9E2F3" w:themeFill="accent1" w:themeFillTint="33"/>
            <w:tcMar>
              <w:left w:w="108" w:type="dxa"/>
              <w:right w:w="108" w:type="dxa"/>
            </w:tcMar>
            <w:vAlign w:val="center"/>
          </w:tcPr>
          <w:p w14:paraId="3C899539"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58,3</w:t>
            </w:r>
          </w:p>
        </w:tc>
        <w:tc>
          <w:tcPr>
            <w:tcW w:w="865" w:type="pct"/>
            <w:shd w:val="clear" w:color="auto" w:fill="D9E2F3" w:themeFill="accent1" w:themeFillTint="33"/>
            <w:tcMar>
              <w:left w:w="108" w:type="dxa"/>
              <w:right w:w="108" w:type="dxa"/>
            </w:tcMar>
            <w:vAlign w:val="center"/>
          </w:tcPr>
          <w:p w14:paraId="052E8E17" w14:textId="5754E38E"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9</w:t>
            </w:r>
          </w:p>
        </w:tc>
        <w:tc>
          <w:tcPr>
            <w:tcW w:w="1179" w:type="pct"/>
            <w:shd w:val="clear" w:color="auto" w:fill="D9E2F3" w:themeFill="accent1" w:themeFillTint="33"/>
            <w:tcMar>
              <w:left w:w="108" w:type="dxa"/>
              <w:right w:w="108" w:type="dxa"/>
            </w:tcMar>
            <w:vAlign w:val="center"/>
          </w:tcPr>
          <w:p w14:paraId="660DCEC9"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377,5</w:t>
            </w:r>
          </w:p>
        </w:tc>
        <w:tc>
          <w:tcPr>
            <w:tcW w:w="1072" w:type="pct"/>
            <w:shd w:val="clear" w:color="auto" w:fill="D9E2F3" w:themeFill="accent1" w:themeFillTint="33"/>
            <w:tcMar>
              <w:left w:w="108" w:type="dxa"/>
              <w:right w:w="108" w:type="dxa"/>
            </w:tcMar>
            <w:vAlign w:val="center"/>
          </w:tcPr>
          <w:p w14:paraId="3AC2EB55"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15,4 %</w:t>
            </w:r>
          </w:p>
        </w:tc>
      </w:tr>
      <w:tr w:rsidR="001E57D5" w:rsidRPr="00EB1066" w14:paraId="5F05B83B" w14:textId="77777777" w:rsidTr="0091482D">
        <w:trPr>
          <w:trHeight w:val="340"/>
        </w:trPr>
        <w:tc>
          <w:tcPr>
            <w:tcW w:w="862" w:type="pct"/>
            <w:tcMar>
              <w:left w:w="108" w:type="dxa"/>
              <w:right w:w="108" w:type="dxa"/>
            </w:tcMar>
            <w:vAlign w:val="center"/>
          </w:tcPr>
          <w:p w14:paraId="1E2A9210"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Slovenia</w:t>
            </w:r>
          </w:p>
        </w:tc>
        <w:tc>
          <w:tcPr>
            <w:tcW w:w="1022" w:type="pct"/>
            <w:tcMar>
              <w:left w:w="108" w:type="dxa"/>
              <w:right w:w="108" w:type="dxa"/>
            </w:tcMar>
            <w:vAlign w:val="center"/>
          </w:tcPr>
          <w:p w14:paraId="623232F2"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25,4</w:t>
            </w:r>
          </w:p>
        </w:tc>
        <w:tc>
          <w:tcPr>
            <w:tcW w:w="865" w:type="pct"/>
            <w:tcMar>
              <w:left w:w="108" w:type="dxa"/>
              <w:right w:w="108" w:type="dxa"/>
            </w:tcMar>
            <w:vAlign w:val="center"/>
          </w:tcPr>
          <w:p w14:paraId="3AD96487" w14:textId="6EAA91AE"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16</w:t>
            </w:r>
          </w:p>
        </w:tc>
        <w:tc>
          <w:tcPr>
            <w:tcW w:w="1179" w:type="pct"/>
            <w:tcMar>
              <w:left w:w="108" w:type="dxa"/>
              <w:right w:w="108" w:type="dxa"/>
            </w:tcMar>
            <w:vAlign w:val="center"/>
          </w:tcPr>
          <w:p w14:paraId="40F25720"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186,5</w:t>
            </w:r>
          </w:p>
        </w:tc>
        <w:tc>
          <w:tcPr>
            <w:tcW w:w="1072" w:type="pct"/>
            <w:tcMar>
              <w:left w:w="108" w:type="dxa"/>
              <w:right w:w="108" w:type="dxa"/>
            </w:tcMar>
            <w:vAlign w:val="center"/>
          </w:tcPr>
          <w:p w14:paraId="2C05366D"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13,6 %</w:t>
            </w:r>
          </w:p>
        </w:tc>
      </w:tr>
      <w:tr w:rsidR="008B4F92" w:rsidRPr="00EB1066" w14:paraId="1C274CE1" w14:textId="77777777" w:rsidTr="0091482D">
        <w:trPr>
          <w:trHeight w:val="340"/>
        </w:trPr>
        <w:tc>
          <w:tcPr>
            <w:tcW w:w="862" w:type="pct"/>
            <w:shd w:val="clear" w:color="auto" w:fill="D9E2F3" w:themeFill="accent1" w:themeFillTint="33"/>
            <w:tcMar>
              <w:left w:w="108" w:type="dxa"/>
              <w:right w:w="108" w:type="dxa"/>
            </w:tcMar>
            <w:vAlign w:val="center"/>
          </w:tcPr>
          <w:p w14:paraId="797997F5" w14:textId="77777777" w:rsidR="001E57D5" w:rsidRPr="00EB1066" w:rsidRDefault="001E57D5" w:rsidP="00854C42">
            <w:pPr>
              <w:pStyle w:val="CMR-text"/>
              <w:spacing w:before="0" w:after="0" w:line="240" w:lineRule="auto"/>
              <w:rPr>
                <w:rFonts w:cs="Times New Roman"/>
                <w:noProof/>
                <w:sz w:val="20"/>
                <w:szCs w:val="20"/>
              </w:rPr>
            </w:pPr>
            <w:r>
              <w:rPr>
                <w:noProof/>
                <w:color w:val="000000"/>
                <w:sz w:val="20"/>
              </w:rPr>
              <w:t>Spagna</w:t>
            </w:r>
          </w:p>
        </w:tc>
        <w:tc>
          <w:tcPr>
            <w:tcW w:w="1022" w:type="pct"/>
            <w:shd w:val="clear" w:color="auto" w:fill="D9E2F3" w:themeFill="accent1" w:themeFillTint="33"/>
            <w:tcMar>
              <w:left w:w="108" w:type="dxa"/>
              <w:right w:w="108" w:type="dxa"/>
            </w:tcMar>
            <w:vAlign w:val="center"/>
          </w:tcPr>
          <w:p w14:paraId="48C77AC1"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282,8</w:t>
            </w:r>
          </w:p>
        </w:tc>
        <w:tc>
          <w:tcPr>
            <w:tcW w:w="865" w:type="pct"/>
            <w:shd w:val="clear" w:color="auto" w:fill="D9E2F3" w:themeFill="accent1" w:themeFillTint="33"/>
            <w:tcMar>
              <w:left w:w="108" w:type="dxa"/>
              <w:right w:w="108" w:type="dxa"/>
            </w:tcMar>
            <w:vAlign w:val="center"/>
          </w:tcPr>
          <w:p w14:paraId="27BD158E" w14:textId="20A3AAE9"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191</w:t>
            </w:r>
          </w:p>
        </w:tc>
        <w:tc>
          <w:tcPr>
            <w:tcW w:w="1179" w:type="pct"/>
            <w:shd w:val="clear" w:color="auto" w:fill="D9E2F3" w:themeFill="accent1" w:themeFillTint="33"/>
            <w:tcMar>
              <w:left w:w="108" w:type="dxa"/>
              <w:right w:w="108" w:type="dxa"/>
            </w:tcMar>
            <w:vAlign w:val="center"/>
          </w:tcPr>
          <w:p w14:paraId="1BF0C174"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3 514,0</w:t>
            </w:r>
          </w:p>
        </w:tc>
        <w:tc>
          <w:tcPr>
            <w:tcW w:w="1072" w:type="pct"/>
            <w:shd w:val="clear" w:color="auto" w:fill="D9E2F3" w:themeFill="accent1" w:themeFillTint="33"/>
            <w:tcMar>
              <w:left w:w="108" w:type="dxa"/>
              <w:right w:w="108" w:type="dxa"/>
            </w:tcMar>
            <w:vAlign w:val="center"/>
          </w:tcPr>
          <w:p w14:paraId="7E3A42F2" w14:textId="77777777" w:rsidR="001E57D5" w:rsidRPr="00EB1066" w:rsidRDefault="001E57D5" w:rsidP="00711452">
            <w:pPr>
              <w:pStyle w:val="CMR-text"/>
              <w:spacing w:before="0" w:after="0" w:line="240" w:lineRule="auto"/>
              <w:jc w:val="right"/>
              <w:rPr>
                <w:rFonts w:cs="Times New Roman"/>
                <w:noProof/>
                <w:sz w:val="20"/>
                <w:szCs w:val="20"/>
              </w:rPr>
            </w:pPr>
            <w:r>
              <w:rPr>
                <w:noProof/>
                <w:color w:val="000000"/>
                <w:sz w:val="20"/>
              </w:rPr>
              <w:t>8,0 %</w:t>
            </w:r>
          </w:p>
        </w:tc>
      </w:tr>
    </w:tbl>
    <w:p w14:paraId="2D13BDF6" w14:textId="08E36DA9" w:rsidR="002F4398" w:rsidRPr="00685D02" w:rsidRDefault="62080A7E" w:rsidP="002F4398">
      <w:pPr>
        <w:pStyle w:val="CMR-text"/>
        <w:rPr>
          <w:rFonts w:cs="Times New Roman"/>
          <w:noProof/>
        </w:rPr>
      </w:pPr>
      <w:r>
        <w:rPr>
          <w:noProof/>
        </w:rPr>
        <w:t>L</w:t>
      </w:r>
      <w:r w:rsidR="00F06D2E">
        <w:rPr>
          <w:noProof/>
        </w:rPr>
        <w:t>'</w:t>
      </w:r>
      <w:r>
        <w:rPr>
          <w:noProof/>
        </w:rPr>
        <w:t>aumento dell</w:t>
      </w:r>
      <w:r w:rsidR="00F06D2E">
        <w:rPr>
          <w:noProof/>
        </w:rPr>
        <w:t>'</w:t>
      </w:r>
      <w:r>
        <w:rPr>
          <w:noProof/>
        </w:rPr>
        <w:t>importo totale degli aiuti è dovuto principalmente all</w:t>
      </w:r>
      <w:r w:rsidR="00F06D2E">
        <w:rPr>
          <w:noProof/>
        </w:rPr>
        <w:t>'</w:t>
      </w:r>
      <w:r>
        <w:rPr>
          <w:noProof/>
        </w:rPr>
        <w:t>incremento dei prezzi delle quote di emissioni. Gli aiuti in un dato anno si basano sul prezzo a termine delle quote di emissioni nell</w:t>
      </w:r>
      <w:r w:rsidR="00F06D2E">
        <w:rPr>
          <w:noProof/>
        </w:rPr>
        <w:t>'</w:t>
      </w:r>
      <w:r>
        <w:rPr>
          <w:noProof/>
        </w:rPr>
        <w:t>anno precedente: gli aiuti erogati nel 2024 per i costi sostenuti nel 2023 si basano dunque sul prezzo medio a termine del 2022. Tale prezzo era pari a 83,59 EUR, con un aumento di circa il 50 % rispetto all</w:t>
      </w:r>
      <w:r w:rsidR="00F06D2E">
        <w:rPr>
          <w:noProof/>
        </w:rPr>
        <w:t>'</w:t>
      </w:r>
      <w:r>
        <w:rPr>
          <w:noProof/>
        </w:rPr>
        <w:t>anno precedente</w:t>
      </w:r>
      <w:r>
        <w:rPr>
          <w:rStyle w:val="FootnoteReference"/>
          <w:rFonts w:eastAsia="Times New Roman" w:cs="Times New Roman"/>
          <w:noProof/>
          <w:lang w:val="en-IE"/>
        </w:rPr>
        <w:footnoteReference w:id="60"/>
      </w:r>
      <w:r>
        <w:rPr>
          <w:noProof/>
        </w:rPr>
        <w:t>. L</w:t>
      </w:r>
      <w:r w:rsidR="00F06D2E">
        <w:rPr>
          <w:noProof/>
        </w:rPr>
        <w:t>'</w:t>
      </w:r>
      <w:r>
        <w:rPr>
          <w:noProof/>
        </w:rPr>
        <w:t>importo totale degli aiuti erogati non aumenta in automatico in misura pari al prezzo delle quote di emissioni, in quanto i regimi di compensazione degli Stati membri spesso prevedono una dotazione massima calcolata per l</w:t>
      </w:r>
      <w:r w:rsidR="00F06D2E">
        <w:rPr>
          <w:noProof/>
        </w:rPr>
        <w:t>'</w:t>
      </w:r>
      <w:r>
        <w:rPr>
          <w:noProof/>
        </w:rPr>
        <w:t xml:space="preserve">intero periodo di applicazione (che nella maggior parte dei casi è il periodo 2021-2030). </w:t>
      </w:r>
    </w:p>
    <w:p w14:paraId="04815CBD" w14:textId="1AFE4D77" w:rsidR="002F4398" w:rsidRPr="00685D02" w:rsidRDefault="00E84E0D" w:rsidP="002F4398">
      <w:pPr>
        <w:pStyle w:val="CMR-text"/>
        <w:rPr>
          <w:rFonts w:cs="Times New Roman"/>
          <w:noProof/>
        </w:rPr>
      </w:pPr>
      <w:r>
        <w:rPr>
          <w:noProof/>
        </w:rPr>
        <w:t>L</w:t>
      </w:r>
      <w:r w:rsidR="00F06D2E">
        <w:rPr>
          <w:noProof/>
        </w:rPr>
        <w:t>'</w:t>
      </w:r>
      <w:r>
        <w:rPr>
          <w:noProof/>
        </w:rPr>
        <w:t>importo degli aiuti erogati per la compensazione dei costi indiretti risulta in aumento nel 2024 anche quando è espresso in percentuale dei proventi delle aste nazionali. L</w:t>
      </w:r>
      <w:r w:rsidR="00F06D2E">
        <w:rPr>
          <w:noProof/>
        </w:rPr>
        <w:t>'</w:t>
      </w:r>
      <w:r>
        <w:rPr>
          <w:noProof/>
        </w:rPr>
        <w:t>importo erogato rappresentava il 19 % dei proventi delle aste del 2023 riscossi dagli Stati membri partecipanti (16 % nel 2022). La</w:t>
      </w:r>
      <w:r w:rsidR="0091482D">
        <w:rPr>
          <w:noProof/>
        </w:rPr>
        <w:t> </w:t>
      </w:r>
      <w:r>
        <w:rPr>
          <w:noProof/>
        </w:rPr>
        <w:t>percentuale è dunque aumentata ma più lentamente rispetto sia al prezzo delle quote sia agli importi in valore assoluto versati a titolo di compensazione. Ciò è dovuto principalmente al fatto che i) l</w:t>
      </w:r>
      <w:r w:rsidR="00F06D2E">
        <w:rPr>
          <w:noProof/>
        </w:rPr>
        <w:t>'</w:t>
      </w:r>
      <w:r>
        <w:rPr>
          <w:noProof/>
        </w:rPr>
        <w:t>effetto dell</w:t>
      </w:r>
      <w:r w:rsidR="00F06D2E">
        <w:rPr>
          <w:noProof/>
        </w:rPr>
        <w:t>'</w:t>
      </w:r>
      <w:r>
        <w:rPr>
          <w:noProof/>
        </w:rPr>
        <w:t>aumento dei prezzi delle quote è in parte controbilanciato dalla diminuzione del volume assoluto delle quote messe all</w:t>
      </w:r>
      <w:r w:rsidR="00F06D2E">
        <w:rPr>
          <w:noProof/>
        </w:rPr>
        <w:t>'</w:t>
      </w:r>
      <w:r>
        <w:rPr>
          <w:noProof/>
        </w:rPr>
        <w:t xml:space="preserve">asta, e ii) la compensazione totale potrebbe essere limitata dai bilanci assegnati a ciascun regime nazionale. </w:t>
      </w:r>
    </w:p>
    <w:p w14:paraId="2ABD1D18" w14:textId="3F0DB238" w:rsidR="001E57D5" w:rsidRPr="00685D02" w:rsidRDefault="001E57D5" w:rsidP="00854C42">
      <w:pPr>
        <w:pStyle w:val="CMR-text"/>
        <w:rPr>
          <w:rFonts w:cs="Times New Roman"/>
          <w:noProof/>
        </w:rPr>
      </w:pPr>
      <w:r>
        <w:rPr>
          <w:noProof/>
        </w:rPr>
        <w:t xml:space="preserve">Gli Stati membri che spendono oltre il 25 % dei proventi delle aste per i costi indiretti in un dato anno sono tenuti a pubblicare una relazione che illustri i motivi per cui hanno superato tale soglia. Nel 2023 la maggior parte degli Stati membri è rimasta ben al di sotto di tale livello, ma cinque Stati membri hanno speso di più. A seguire sono esposte sinteticamente le motivazioni addotte dagli Stati membri in questione. </w:t>
      </w:r>
    </w:p>
    <w:p w14:paraId="4A45A315" w14:textId="056D95E9" w:rsidR="001E57D5" w:rsidRPr="00685D02" w:rsidRDefault="00C77E56" w:rsidP="00854C42">
      <w:pPr>
        <w:pStyle w:val="CMR-text"/>
        <w:rPr>
          <w:rFonts w:cs="Times New Roman"/>
          <w:noProof/>
        </w:rPr>
      </w:pPr>
      <w:r>
        <w:rPr>
          <w:noProof/>
        </w:rPr>
        <w:t xml:space="preserve">Gli aiuti erogati da Belgio, Francia e Lussemburgo hanno superato la suddetta soglia per la maggior parte degli ultimi cinque anni. Come negli anni precedenti, in Belgio e in Francia il superamento è stato attribuito alla quota ingente di produzione di energia elettrica a basse emissioni di carbonio nei due paesi, che ha determinato proventi delle aste relativamente contenuti rispetto alla percentuale di industrie ad alta intensità di energia elettrica di questi paesi. </w:t>
      </w:r>
    </w:p>
    <w:p w14:paraId="2F4B5805" w14:textId="2905ECF4" w:rsidR="006A278C" w:rsidRPr="00685D02" w:rsidRDefault="3F599D0F" w:rsidP="006A278C">
      <w:pPr>
        <w:pStyle w:val="CMR-text"/>
        <w:rPr>
          <w:rFonts w:cs="Times New Roman"/>
          <w:noProof/>
        </w:rPr>
      </w:pPr>
      <w:r>
        <w:rPr>
          <w:noProof/>
        </w:rPr>
        <w:t>Nel caso del Lussemburgo, la spesa ha continuato a superare di gran lunga i proventi totali delle aste. Ciò è dovuto in parte all</w:t>
      </w:r>
      <w:r w:rsidR="00F06D2E">
        <w:rPr>
          <w:noProof/>
        </w:rPr>
        <w:t>'</w:t>
      </w:r>
      <w:r>
        <w:rPr>
          <w:noProof/>
        </w:rPr>
        <w:t>uso delle quote di emissioni ETS per compensare le emissioni nei settori contemplati dal regolamento sulla condivisione degli sforzi</w:t>
      </w:r>
      <w:r>
        <w:rPr>
          <w:rStyle w:val="FootnoteReference"/>
          <w:rFonts w:cs="Times New Roman"/>
          <w:noProof/>
          <w:lang w:val="en-IE"/>
        </w:rPr>
        <w:footnoteReference w:id="61"/>
      </w:r>
      <w:r>
        <w:rPr>
          <w:noProof/>
        </w:rPr>
        <w:t xml:space="preserve">. Si tratta di una pratica che sfrutta la flessibilità prevista da tale regolamento (cfr. capitolo </w:t>
      </w:r>
      <w:r>
        <w:rPr>
          <w:rFonts w:cs="Times New Roman"/>
          <w:noProof/>
        </w:rPr>
        <w:fldChar w:fldCharType="begin"/>
      </w:r>
      <w:r>
        <w:rPr>
          <w:rFonts w:cs="Times New Roman"/>
          <w:noProof/>
        </w:rPr>
        <w:instrText xml:space="preserve"> REF _Ref206606635 \r \h  \* MERGEFORMAT </w:instrText>
      </w:r>
      <w:r>
        <w:rPr>
          <w:rFonts w:cs="Times New Roman"/>
          <w:noProof/>
        </w:rPr>
      </w:r>
      <w:r>
        <w:rPr>
          <w:rFonts w:cs="Times New Roman"/>
          <w:noProof/>
        </w:rPr>
        <w:fldChar w:fldCharType="separate"/>
      </w:r>
      <w:r>
        <w:rPr>
          <w:rFonts w:cs="Times New Roman"/>
          <w:noProof/>
        </w:rPr>
        <w:t>4.2</w:t>
      </w:r>
      <w:r>
        <w:rPr>
          <w:rFonts w:cs="Times New Roman"/>
          <w:noProof/>
        </w:rPr>
        <w:fldChar w:fldCharType="end"/>
      </w:r>
      <w:r>
        <w:rPr>
          <w:noProof/>
        </w:rPr>
        <w:t xml:space="preserve">). </w:t>
      </w:r>
    </w:p>
    <w:p w14:paraId="2FEC9A22" w14:textId="463197DD" w:rsidR="001E57D5" w:rsidRPr="00685D02" w:rsidRDefault="14E8BFD2" w:rsidP="00854C42">
      <w:pPr>
        <w:pStyle w:val="CMR-text"/>
        <w:rPr>
          <w:rFonts w:cs="Times New Roman"/>
          <w:noProof/>
        </w:rPr>
      </w:pPr>
      <w:r>
        <w:rPr>
          <w:noProof/>
        </w:rPr>
        <w:t>Anche in Finlandia e Germania la percentuale dei proventi ha superato il 25 %. In ciascun caso le autorità hanno attribuito il superamento della soglia all</w:t>
      </w:r>
      <w:r w:rsidR="00F06D2E">
        <w:rPr>
          <w:noProof/>
        </w:rPr>
        <w:t>'</w:t>
      </w:r>
      <w:r>
        <w:rPr>
          <w:noProof/>
        </w:rPr>
        <w:t>aumento dei prezzi delle quote di emissioni utilizzati come base per la compensazione. Dall</w:t>
      </w:r>
      <w:r w:rsidR="00F06D2E">
        <w:rPr>
          <w:noProof/>
        </w:rPr>
        <w:t>'</w:t>
      </w:r>
      <w:r>
        <w:rPr>
          <w:noProof/>
        </w:rPr>
        <w:t>analisi storica condotta dall</w:t>
      </w:r>
      <w:r w:rsidR="00F06D2E">
        <w:rPr>
          <w:noProof/>
        </w:rPr>
        <w:t>'</w:t>
      </w:r>
      <w:r>
        <w:rPr>
          <w:noProof/>
        </w:rPr>
        <w:t>autorità tedesca competente per lo scambio di quote di emissioni è emerso che la soglia del 25 % è stata superata quattro volte dal 2013 e che in questi casi il superamento è stato trainato prevalentemente dai prezzi elevati delle quote di emissioni</w:t>
      </w:r>
      <w:r>
        <w:rPr>
          <w:rStyle w:val="FootnoteReference"/>
          <w:rFonts w:cs="Times New Roman"/>
          <w:noProof/>
          <w:lang w:val="en-IE"/>
        </w:rPr>
        <w:footnoteReference w:id="62"/>
      </w:r>
      <w:r>
        <w:rPr>
          <w:noProof/>
        </w:rPr>
        <w:t xml:space="preserve">. </w:t>
      </w:r>
    </w:p>
    <w:p w14:paraId="191EF956" w14:textId="5A6BD454" w:rsidR="00613B80" w:rsidRPr="00EC4FC3" w:rsidRDefault="00613B80" w:rsidP="00EC4FC3">
      <w:pPr>
        <w:pStyle w:val="CMR-Subheading"/>
        <w:rPr>
          <w:noProof/>
        </w:rPr>
      </w:pPr>
      <w:bookmarkStart w:id="60" w:name="_Toc180513405"/>
      <w:bookmarkStart w:id="61" w:name="_Toc218937036"/>
      <w:r>
        <w:rPr>
          <w:noProof/>
        </w:rPr>
        <w:t>Fondo per l</w:t>
      </w:r>
      <w:r w:rsidR="00F06D2E">
        <w:rPr>
          <w:noProof/>
        </w:rPr>
        <w:t>'</w:t>
      </w:r>
      <w:r>
        <w:rPr>
          <w:noProof/>
        </w:rPr>
        <w:t>innovazione dell</w:t>
      </w:r>
      <w:r w:rsidR="00F06D2E">
        <w:rPr>
          <w:noProof/>
        </w:rPr>
        <w:t>'</w:t>
      </w:r>
      <w:r>
        <w:rPr>
          <w:noProof/>
        </w:rPr>
        <w:t>ETS</w:t>
      </w:r>
      <w:bookmarkEnd w:id="60"/>
      <w:bookmarkEnd w:id="61"/>
      <w:r>
        <w:rPr>
          <w:noProof/>
        </w:rPr>
        <w:t xml:space="preserve"> </w:t>
      </w:r>
    </w:p>
    <w:p w14:paraId="7AC6640E" w14:textId="638AD08D" w:rsidR="00B66305" w:rsidRPr="00685D02" w:rsidRDefault="75E7290C" w:rsidP="00B66305">
      <w:pPr>
        <w:pStyle w:val="CMR-text"/>
        <w:rPr>
          <w:rFonts w:cs="Times New Roman"/>
          <w:noProof/>
        </w:rPr>
      </w:pPr>
      <w:r>
        <w:rPr>
          <w:noProof/>
        </w:rPr>
        <w:t>Il Fondo per l</w:t>
      </w:r>
      <w:r w:rsidR="00F06D2E">
        <w:rPr>
          <w:noProof/>
        </w:rPr>
        <w:t>'</w:t>
      </w:r>
      <w:r>
        <w:rPr>
          <w:noProof/>
        </w:rPr>
        <w:t>innovazione, finanziato interamente dell</w:t>
      </w:r>
      <w:r w:rsidR="00F06D2E">
        <w:rPr>
          <w:noProof/>
        </w:rPr>
        <w:t>'</w:t>
      </w:r>
      <w:r>
        <w:rPr>
          <w:noProof/>
        </w:rPr>
        <w:t>EU ETS, è uno dei più cospicui programmi di finanziamento a livello mondiale per lo sviluppo di soluzioni e tecnologie innovative a basse e zero emissioni di carbonio nei settori dell</w:t>
      </w:r>
      <w:r w:rsidR="00F06D2E">
        <w:rPr>
          <w:noProof/>
        </w:rPr>
        <w:t>'</w:t>
      </w:r>
      <w:r>
        <w:rPr>
          <w:noProof/>
        </w:rPr>
        <w:t>industria, dell</w:t>
      </w:r>
      <w:r w:rsidR="00F06D2E">
        <w:rPr>
          <w:noProof/>
        </w:rPr>
        <w:t>'</w:t>
      </w:r>
      <w:r>
        <w:rPr>
          <w:noProof/>
        </w:rPr>
        <w:t>energia, della mobilità e dell</w:t>
      </w:r>
      <w:r w:rsidR="00F06D2E">
        <w:rPr>
          <w:noProof/>
        </w:rPr>
        <w:t>'</w:t>
      </w:r>
      <w:r>
        <w:rPr>
          <w:noProof/>
        </w:rPr>
        <w:t>edilizia. Eroga</w:t>
      </w:r>
      <w:r w:rsidR="0091482D">
        <w:rPr>
          <w:noProof/>
        </w:rPr>
        <w:t> </w:t>
      </w:r>
      <w:r>
        <w:rPr>
          <w:noProof/>
        </w:rPr>
        <w:t>sovvenzioni a favore di progetti finalizzati alla commercializzazione di tecnologie innovative a basse emissioni di carbonio e all</w:t>
      </w:r>
      <w:r w:rsidR="00F06D2E">
        <w:rPr>
          <w:noProof/>
        </w:rPr>
        <w:t>'</w:t>
      </w:r>
      <w:r>
        <w:rPr>
          <w:noProof/>
        </w:rPr>
        <w:t>introduzione sul mercato di soluzioni industriali per decarbonizzare l</w:t>
      </w:r>
      <w:r w:rsidR="00F06D2E">
        <w:rPr>
          <w:noProof/>
        </w:rPr>
        <w:t>'</w:t>
      </w:r>
      <w:r>
        <w:rPr>
          <w:noProof/>
        </w:rPr>
        <w:t>Europa e sostenere la transizione verso la neutralità climatica. Con una dotazione disponibile totale stimata di 40 miliardi di EUR (sulla base di un prezzo del carbonio di 75 EUR/t CO</w:t>
      </w:r>
      <w:r>
        <w:rPr>
          <w:noProof/>
          <w:vertAlign w:val="subscript"/>
        </w:rPr>
        <w:t>2</w:t>
      </w:r>
      <w:r>
        <w:rPr>
          <w:noProof/>
        </w:rPr>
        <w:t>), dal 2020 il Fondo per l</w:t>
      </w:r>
      <w:r w:rsidR="00F06D2E">
        <w:rPr>
          <w:noProof/>
        </w:rPr>
        <w:t>'</w:t>
      </w:r>
      <w:r>
        <w:rPr>
          <w:noProof/>
        </w:rPr>
        <w:t>innovazione ha pubblicato undici inviti a presentare proposte, due dei quali per aste nell</w:t>
      </w:r>
      <w:r w:rsidR="00F06D2E">
        <w:rPr>
          <w:noProof/>
        </w:rPr>
        <w:t>'</w:t>
      </w:r>
      <w:r>
        <w:rPr>
          <w:noProof/>
        </w:rPr>
        <w:t>ambito della Banca europea dell</w:t>
      </w:r>
      <w:r w:rsidR="00F06D2E">
        <w:rPr>
          <w:noProof/>
        </w:rPr>
        <w:t>'</w:t>
      </w:r>
      <w:r>
        <w:rPr>
          <w:noProof/>
        </w:rPr>
        <w:t xml:space="preserve">idrogeno. </w:t>
      </w:r>
    </w:p>
    <w:p w14:paraId="277D1AB3" w14:textId="6F0CF56C" w:rsidR="00FD4030" w:rsidRPr="00685D02" w:rsidRDefault="5EFE6CE4" w:rsidP="00BF11CB">
      <w:pPr>
        <w:pStyle w:val="CMR-text"/>
        <w:rPr>
          <w:rFonts w:cs="Times New Roman"/>
          <w:noProof/>
        </w:rPr>
      </w:pPr>
      <w:r>
        <w:rPr>
          <w:noProof/>
        </w:rPr>
        <w:t>La Commissione riferisce in modo più dettagliato sull</w:t>
      </w:r>
      <w:r w:rsidR="00F06D2E">
        <w:rPr>
          <w:noProof/>
        </w:rPr>
        <w:t>'</w:t>
      </w:r>
      <w:r>
        <w:rPr>
          <w:noProof/>
        </w:rPr>
        <w:t>attuazione del Fondo per l</w:t>
      </w:r>
      <w:r w:rsidR="00F06D2E">
        <w:rPr>
          <w:noProof/>
        </w:rPr>
        <w:t>'</w:t>
      </w:r>
      <w:r>
        <w:rPr>
          <w:noProof/>
        </w:rPr>
        <w:t>innovazione in separata sede. La terza relazione sui progressi nell</w:t>
      </w:r>
      <w:r w:rsidR="00F06D2E">
        <w:rPr>
          <w:noProof/>
        </w:rPr>
        <w:t>'</w:t>
      </w:r>
      <w:r>
        <w:rPr>
          <w:noProof/>
        </w:rPr>
        <w:t>attuazione del Fondo per l</w:t>
      </w:r>
      <w:r w:rsidR="00F06D2E">
        <w:rPr>
          <w:noProof/>
        </w:rPr>
        <w:t>'</w:t>
      </w:r>
      <w:r>
        <w:rPr>
          <w:noProof/>
        </w:rPr>
        <w:t>innovazione è prevista per il quarto trimestre del 2025</w:t>
      </w:r>
      <w:r>
        <w:rPr>
          <w:rStyle w:val="FootnoteReference"/>
          <w:rFonts w:cs="Times New Roman"/>
          <w:noProof/>
          <w:lang w:val="en-IE"/>
        </w:rPr>
        <w:footnoteReference w:id="63"/>
      </w:r>
      <w:r>
        <w:rPr>
          <w:noProof/>
        </w:rPr>
        <w:t>.</w:t>
      </w:r>
    </w:p>
    <w:p w14:paraId="20948735" w14:textId="56368AF9" w:rsidR="00D8362F" w:rsidRPr="00685D02" w:rsidRDefault="749D949E" w:rsidP="00487C69">
      <w:pPr>
        <w:pStyle w:val="CMR-text"/>
        <w:rPr>
          <w:rFonts w:cs="Times New Roman"/>
          <w:noProof/>
        </w:rPr>
      </w:pPr>
      <w:r>
        <w:rPr>
          <w:noProof/>
        </w:rPr>
        <w:t>Nel ciclo di inviti del 2023, conclusosi nel febbraio 2024 (asta) e nell</w:t>
      </w:r>
      <w:r w:rsidR="00F06D2E">
        <w:rPr>
          <w:noProof/>
        </w:rPr>
        <w:t>'</w:t>
      </w:r>
      <w:r>
        <w:rPr>
          <w:noProof/>
        </w:rPr>
        <w:t>aprile 2024 (tecnologie a zero emissioni nette), il portafoglio del Fondo si è arricchito di 83 progetti, per un valore pari a 4,9 miliardi di EUR, a sostegno della decarbonizzazione nelle industrie ad alta intensità energetica, della produzione di idrogeno, della produzione di energia da fonti rinnovabili, del settore della mobilità (compresi il trasporto marittimo e quello aereo) e della produzione di tecnologie chiave a zero emissioni nette. Il</w:t>
      </w:r>
      <w:r w:rsidR="0091482D">
        <w:rPr>
          <w:noProof/>
        </w:rPr>
        <w:t> </w:t>
      </w:r>
      <w:r>
        <w:rPr>
          <w:noProof/>
        </w:rPr>
        <w:t>sostegno è ripartito tra 18 paesi dell</w:t>
      </w:r>
      <w:r w:rsidR="00F06D2E">
        <w:rPr>
          <w:noProof/>
        </w:rPr>
        <w:t>'</w:t>
      </w:r>
      <w:r>
        <w:rPr>
          <w:noProof/>
        </w:rPr>
        <w:t>UE e del SEE ed è destinato anche a progetti firmati per la prima volta in Estonia e in Slovacchia. Si prevede che questi progetti determineranno una riduzione delle emissioni pari a 408 milioni di tonnellate di CO</w:t>
      </w:r>
      <w:r>
        <w:rPr>
          <w:noProof/>
          <w:vertAlign w:val="subscript"/>
        </w:rPr>
        <w:t>2</w:t>
      </w:r>
      <w:r>
        <w:rPr>
          <w:noProof/>
        </w:rPr>
        <w:t xml:space="preserve">eq nei primi 10 anni di operatività. </w:t>
      </w:r>
    </w:p>
    <w:p w14:paraId="0C7E0565" w14:textId="4F40D1CD" w:rsidR="00912C5A" w:rsidRPr="00685D02" w:rsidRDefault="00100D98" w:rsidP="00487C69">
      <w:pPr>
        <w:pStyle w:val="CMR-text"/>
        <w:rPr>
          <w:rFonts w:cs="Times New Roman"/>
          <w:noProof/>
          <w:highlight w:val="yellow"/>
        </w:rPr>
      </w:pPr>
      <w:r>
        <w:rPr>
          <w:noProof/>
        </w:rPr>
        <w:t>Nel 2023 si è svolta la prima asta per la produzione di idrogeno rinnovabile (RFNBO) nell</w:t>
      </w:r>
      <w:r w:rsidR="00F06D2E">
        <w:rPr>
          <w:noProof/>
        </w:rPr>
        <w:t>'</w:t>
      </w:r>
      <w:r>
        <w:rPr>
          <w:noProof/>
        </w:rPr>
        <w:t>ambito della Banca europea dell</w:t>
      </w:r>
      <w:r w:rsidR="00F06D2E">
        <w:rPr>
          <w:noProof/>
        </w:rPr>
        <w:t>'</w:t>
      </w:r>
      <w:r>
        <w:rPr>
          <w:noProof/>
        </w:rPr>
        <w:t>idrogeno. Sono stati selezionati sei progetti, che beneficiano di un sostegno di 694</w:t>
      </w:r>
      <w:r w:rsidR="0091482D">
        <w:rPr>
          <w:noProof/>
        </w:rPr>
        <w:t> </w:t>
      </w:r>
      <w:r>
        <w:rPr>
          <w:noProof/>
        </w:rPr>
        <w:t>milioni di EUR per la produzione di 1,52 milioni di tonnellate di idrogeno rinnovabile nei primi 10</w:t>
      </w:r>
      <w:r w:rsidR="0091482D">
        <w:rPr>
          <w:noProof/>
        </w:rPr>
        <w:t> </w:t>
      </w:r>
      <w:r>
        <w:rPr>
          <w:noProof/>
        </w:rPr>
        <w:t>anni di operatività. Questa procedura di gara competitiva ha garantito un sostegno efficace sotto il profilo dei costi per la fornitura di idrogeno verde ai settori dell</w:t>
      </w:r>
      <w:r w:rsidR="00F06D2E">
        <w:rPr>
          <w:noProof/>
        </w:rPr>
        <w:t>'</w:t>
      </w:r>
      <w:r>
        <w:rPr>
          <w:noProof/>
        </w:rPr>
        <w:t xml:space="preserve">agricoltura, del trasporto marittimo e del trasporto pesante, nonché per la produzione di elettrometano ed e-metanolo. È stato utilizzato il meccanismo di </w:t>
      </w:r>
      <w:r w:rsidR="00F06D2E">
        <w:rPr>
          <w:noProof/>
        </w:rPr>
        <w:t>"</w:t>
      </w:r>
      <w:r>
        <w:rPr>
          <w:noProof/>
        </w:rPr>
        <w:t>asta come servizio</w:t>
      </w:r>
      <w:r w:rsidR="00F06D2E">
        <w:rPr>
          <w:noProof/>
        </w:rPr>
        <w:t>"</w:t>
      </w:r>
      <w:r>
        <w:rPr>
          <w:noProof/>
        </w:rPr>
        <w:t>, nell</w:t>
      </w:r>
      <w:r w:rsidR="00F06D2E">
        <w:rPr>
          <w:noProof/>
        </w:rPr>
        <w:t>'</w:t>
      </w:r>
      <w:r>
        <w:rPr>
          <w:noProof/>
        </w:rPr>
        <w:t>ambito del quale la Germania ha contribuito con 350</w:t>
      </w:r>
      <w:r w:rsidR="0091482D">
        <w:rPr>
          <w:noProof/>
        </w:rPr>
        <w:t> </w:t>
      </w:r>
      <w:r>
        <w:rPr>
          <w:noProof/>
        </w:rPr>
        <w:t>milioni</w:t>
      </w:r>
      <w:r w:rsidR="0091482D">
        <w:rPr>
          <w:noProof/>
        </w:rPr>
        <w:t> </w:t>
      </w:r>
      <w:r>
        <w:rPr>
          <w:noProof/>
        </w:rPr>
        <w:t>di EUR a una finestra di finanziamento nazionale.</w:t>
      </w:r>
    </w:p>
    <w:p w14:paraId="42C32C8B" w14:textId="68BAE6C3" w:rsidR="00F75FC9" w:rsidRPr="00685D02" w:rsidRDefault="00F75FC9" w:rsidP="00487C69">
      <w:pPr>
        <w:pStyle w:val="CMR-text"/>
        <w:rPr>
          <w:rFonts w:cs="Times New Roman"/>
          <w:noProof/>
        </w:rPr>
      </w:pPr>
      <w:r>
        <w:rPr>
          <w:noProof/>
        </w:rPr>
        <w:t>L</w:t>
      </w:r>
      <w:r w:rsidR="00F06D2E">
        <w:rPr>
          <w:noProof/>
        </w:rPr>
        <w:t>'</w:t>
      </w:r>
      <w:r>
        <w:rPr>
          <w:noProof/>
        </w:rPr>
        <w:t>invito a presentare proposte per le sovvenzioni pubblicato nel 2023 ha incluso per la prima volta un tema relativo alla fabbricazione: sono stati sostenuti 20 progetti con un finanziamento di 1,0</w:t>
      </w:r>
      <w:r w:rsidR="0091482D">
        <w:rPr>
          <w:noProof/>
        </w:rPr>
        <w:t> </w:t>
      </w:r>
      <w:r>
        <w:rPr>
          <w:noProof/>
        </w:rPr>
        <w:t>miliardi</w:t>
      </w:r>
      <w:r w:rsidR="0091482D">
        <w:rPr>
          <w:noProof/>
        </w:rPr>
        <w:t> </w:t>
      </w:r>
      <w:r>
        <w:rPr>
          <w:noProof/>
        </w:rPr>
        <w:t>di</w:t>
      </w:r>
      <w:r w:rsidR="0091482D">
        <w:rPr>
          <w:noProof/>
        </w:rPr>
        <w:t> </w:t>
      </w:r>
      <w:r>
        <w:rPr>
          <w:noProof/>
        </w:rPr>
        <w:t>EUR per la produzione di tecnologie chiave nella transizione verso l</w:t>
      </w:r>
      <w:r w:rsidR="00F06D2E">
        <w:rPr>
          <w:noProof/>
        </w:rPr>
        <w:t>'</w:t>
      </w:r>
      <w:r>
        <w:rPr>
          <w:noProof/>
        </w:rPr>
        <w:t>azzeramento delle emissioni nette, quali elettrolizzatori, pannelli solari, batterie, pompe di calore e turbine eoliche. Analogamente è stato incluso per la prima volta il tema dei progetti pilota, incentrato su progetti altamente innovativi con un notevole potenziale di decarbonizzazione: 489 milioni di EUR sono stati destinati a 19 progetti che interessano una gamma di settori, tra cui a titolo di esempio l</w:t>
      </w:r>
      <w:r w:rsidR="00F06D2E">
        <w:rPr>
          <w:noProof/>
        </w:rPr>
        <w:t>'</w:t>
      </w:r>
      <w:r>
        <w:rPr>
          <w:noProof/>
        </w:rPr>
        <w:t>accumulo di energia idroelettrica mediante pompaggio, lo stoccaggio di energia termica, l</w:t>
      </w:r>
      <w:r w:rsidR="00F06D2E">
        <w:rPr>
          <w:noProof/>
        </w:rPr>
        <w:t>'</w:t>
      </w:r>
      <w:r>
        <w:rPr>
          <w:noProof/>
        </w:rPr>
        <w:t>energia marina e l</w:t>
      </w:r>
      <w:r w:rsidR="00F06D2E">
        <w:rPr>
          <w:noProof/>
        </w:rPr>
        <w:t>'</w:t>
      </w:r>
      <w:r>
        <w:rPr>
          <w:noProof/>
        </w:rPr>
        <w:t xml:space="preserve">energia mareomotrice. </w:t>
      </w:r>
    </w:p>
    <w:p w14:paraId="797CCA67" w14:textId="0272A264" w:rsidR="005648C7" w:rsidRPr="00685D02" w:rsidRDefault="005C02D9" w:rsidP="00487C69">
      <w:pPr>
        <w:pStyle w:val="CMR-text"/>
        <w:rPr>
          <w:rFonts w:cs="Times New Roman"/>
          <w:noProof/>
        </w:rPr>
      </w:pPr>
      <w:r>
        <w:rPr>
          <w:noProof/>
        </w:rPr>
        <w:t xml:space="preserve">I restanti progetti erano progetti su vasta scala (23 progetti con una dotazione di 2,8 miliardi di EUR), su media scala (14 progetti con una dotazione di 434 milioni di EUR) e su piccola scala (7 progetti con una dotazione di 30 milioni di EUR). </w:t>
      </w:r>
    </w:p>
    <w:p w14:paraId="4B5D1D67" w14:textId="091DDF96" w:rsidR="00A2564E" w:rsidRPr="00685D02" w:rsidRDefault="005E56C6" w:rsidP="00487C69">
      <w:pPr>
        <w:pStyle w:val="CMR-text"/>
        <w:rPr>
          <w:rFonts w:cs="Times New Roman"/>
          <w:noProof/>
        </w:rPr>
      </w:pPr>
      <w:r>
        <w:rPr>
          <w:noProof/>
        </w:rPr>
        <w:t>Nel luglio 2025 il portafoglio del Fondo contava già 194 progetti in corso che dovrebbero ricevere un sostegno di 11,3 miliardi di EUR</w:t>
      </w:r>
      <w:r>
        <w:rPr>
          <w:rStyle w:val="FootnoteReference"/>
          <w:rFonts w:cs="Times New Roman"/>
          <w:noProof/>
          <w:lang w:val="en-IE"/>
        </w:rPr>
        <w:footnoteReference w:id="64"/>
      </w:r>
      <w:r>
        <w:rPr>
          <w:noProof/>
        </w:rPr>
        <w:t>. Tali progetti sono ubicati in 27 paesi UE/SEE e dovrebbero conseguire una riduzione delle emissioni pari a circa 860 milioni di tonnellate di CO</w:t>
      </w:r>
      <w:r>
        <w:rPr>
          <w:noProof/>
          <w:vertAlign w:val="subscript"/>
        </w:rPr>
        <w:t>2</w:t>
      </w:r>
      <w:r>
        <w:rPr>
          <w:noProof/>
        </w:rPr>
        <w:t>eq nei primi 10</w:t>
      </w:r>
      <w:r w:rsidR="0091482D">
        <w:rPr>
          <w:noProof/>
        </w:rPr>
        <w:t> </w:t>
      </w:r>
      <w:r>
        <w:rPr>
          <w:noProof/>
        </w:rPr>
        <w:t>anni di operatività.</w:t>
      </w:r>
    </w:p>
    <w:p w14:paraId="32D87AEE" w14:textId="623C1BFB" w:rsidR="00FD4030" w:rsidRPr="00685D02" w:rsidRDefault="5EFE6CE4" w:rsidP="721F4017">
      <w:pPr>
        <w:pStyle w:val="CMR-text"/>
        <w:rPr>
          <w:rFonts w:cs="Times New Roman"/>
          <w:noProof/>
        </w:rPr>
      </w:pPr>
      <w:r>
        <w:rPr>
          <w:noProof/>
        </w:rPr>
        <w:t>Per questi progetti l</w:t>
      </w:r>
      <w:r w:rsidR="00F06D2E">
        <w:rPr>
          <w:noProof/>
        </w:rPr>
        <w:t>'</w:t>
      </w:r>
      <w:r>
        <w:rPr>
          <w:noProof/>
        </w:rPr>
        <w:t>incentivo dato dal prezzo del carbonio dell</w:t>
      </w:r>
      <w:r w:rsidR="00F06D2E">
        <w:rPr>
          <w:noProof/>
        </w:rPr>
        <w:t>'</w:t>
      </w:r>
      <w:r>
        <w:rPr>
          <w:noProof/>
        </w:rPr>
        <w:t>EU ETS è molto maggiore dell</w:t>
      </w:r>
      <w:r w:rsidR="00F06D2E">
        <w:rPr>
          <w:noProof/>
        </w:rPr>
        <w:t>'</w:t>
      </w:r>
      <w:r>
        <w:rPr>
          <w:noProof/>
        </w:rPr>
        <w:t>importo finanziato dall</w:t>
      </w:r>
      <w:r w:rsidR="00F06D2E">
        <w:rPr>
          <w:noProof/>
        </w:rPr>
        <w:t>'</w:t>
      </w:r>
      <w:r>
        <w:rPr>
          <w:noProof/>
        </w:rPr>
        <w:t>ETS stesso. Ad esempio, i benefici per le imprese in termini di costi del carbonio evitati grazie ai progetti sostenuti dal Fondo per l</w:t>
      </w:r>
      <w:r w:rsidR="00F06D2E">
        <w:rPr>
          <w:noProof/>
        </w:rPr>
        <w:t>'</w:t>
      </w:r>
      <w:r>
        <w:rPr>
          <w:noProof/>
        </w:rPr>
        <w:t>innovazione ammontano finora a circa 65 miliardi di EUR (considerato un prezzo medio del carbonio di 75 EUR/t CO</w:t>
      </w:r>
      <w:r>
        <w:rPr>
          <w:noProof/>
          <w:vertAlign w:val="subscript"/>
        </w:rPr>
        <w:t>2</w:t>
      </w:r>
      <w:r>
        <w:rPr>
          <w:noProof/>
        </w:rPr>
        <w:t>). Questo riflette la logica dell</w:t>
      </w:r>
      <w:r w:rsidR="00F06D2E">
        <w:rPr>
          <w:noProof/>
        </w:rPr>
        <w:t>'</w:t>
      </w:r>
      <w:r>
        <w:rPr>
          <w:noProof/>
        </w:rPr>
        <w:t>EU ETS, secondo cui il prezzo del carbonio è il principale incentivo a lungo termine, che il Fondo per l</w:t>
      </w:r>
      <w:r w:rsidR="00F06D2E">
        <w:rPr>
          <w:noProof/>
        </w:rPr>
        <w:t>'</w:t>
      </w:r>
      <w:r>
        <w:rPr>
          <w:noProof/>
        </w:rPr>
        <w:t>innovazione integra per accelerare il cambiamento</w:t>
      </w:r>
      <w:r>
        <w:rPr>
          <w:rStyle w:val="FootnoteReference"/>
          <w:rFonts w:cs="Times New Roman"/>
          <w:noProof/>
          <w:lang w:val="en-IE"/>
        </w:rPr>
        <w:footnoteReference w:id="65"/>
      </w:r>
      <w:r>
        <w:rPr>
          <w:noProof/>
        </w:rPr>
        <w:t>.</w:t>
      </w:r>
    </w:p>
    <w:p w14:paraId="785C75B8" w14:textId="6A0286BF" w:rsidR="0001055F" w:rsidRPr="00685D02" w:rsidRDefault="00C77477" w:rsidP="0001055F">
      <w:pPr>
        <w:pStyle w:val="CMR-text"/>
        <w:rPr>
          <w:rFonts w:cs="Times New Roman"/>
          <w:noProof/>
        </w:rPr>
      </w:pPr>
      <w:r>
        <w:rPr>
          <w:noProof/>
        </w:rPr>
        <w:t>Alla fine del 2024 la Commissione ha pubblicato tre nuovi inviti con un</w:t>
      </w:r>
      <w:r w:rsidR="0013231C">
        <w:rPr>
          <w:noProof/>
        </w:rPr>
        <w:t>a</w:t>
      </w:r>
      <w:r>
        <w:rPr>
          <w:noProof/>
        </w:rPr>
        <w:t xml:space="preserve"> dotazione totale di 4,6 miliardi di EUR:</w:t>
      </w:r>
    </w:p>
    <w:p w14:paraId="0E1D128D" w14:textId="1B3ADCA0" w:rsidR="0001055F" w:rsidRPr="00685D02" w:rsidRDefault="0001055F" w:rsidP="0001055F">
      <w:pPr>
        <w:pStyle w:val="CMR-text"/>
        <w:numPr>
          <w:ilvl w:val="0"/>
          <w:numId w:val="52"/>
        </w:numPr>
        <w:rPr>
          <w:rFonts w:cs="Times New Roman"/>
          <w:noProof/>
        </w:rPr>
      </w:pPr>
      <w:r>
        <w:rPr>
          <w:noProof/>
        </w:rPr>
        <w:t>tecnologie a zero emissioni nette: l</w:t>
      </w:r>
      <w:r w:rsidR="00F06D2E">
        <w:rPr>
          <w:noProof/>
        </w:rPr>
        <w:t>'</w:t>
      </w:r>
      <w:r>
        <w:rPr>
          <w:noProof/>
        </w:rPr>
        <w:t>invito a presentare proposte per le tecnologie a zero emissioni nette disponeva di un bilancio di 2,4 miliardi di EUR; al momento della sua conclusione nell</w:t>
      </w:r>
      <w:r w:rsidR="00F06D2E">
        <w:rPr>
          <w:noProof/>
        </w:rPr>
        <w:t>'</w:t>
      </w:r>
      <w:r>
        <w:rPr>
          <w:noProof/>
        </w:rPr>
        <w:t>aprile 2025 erano pervenute 359 proposte da 28 paesi. Nel loro complesso questi progetti hanno chiesto un sostegno di importo pari a 21,7 miliardi di EUR, oltre nove volte il bilancio disponibile. Dai risultati preliminari emerge che le proposte pervenute nell</w:t>
      </w:r>
      <w:r w:rsidR="00F06D2E">
        <w:rPr>
          <w:noProof/>
        </w:rPr>
        <w:t>'</w:t>
      </w:r>
      <w:r>
        <w:rPr>
          <w:noProof/>
        </w:rPr>
        <w:t>ambito dell</w:t>
      </w:r>
      <w:r w:rsidR="00F06D2E">
        <w:rPr>
          <w:noProof/>
        </w:rPr>
        <w:t>'</w:t>
      </w:r>
      <w:r>
        <w:rPr>
          <w:noProof/>
        </w:rPr>
        <w:t>invito hanno riguardato i principali settori interessati dalla decarbonizzazione in un</w:t>
      </w:r>
      <w:r w:rsidR="00F06D2E">
        <w:rPr>
          <w:noProof/>
        </w:rPr>
        <w:t>'</w:t>
      </w:r>
      <w:r>
        <w:rPr>
          <w:noProof/>
        </w:rPr>
        <w:t>ampia gamma di categorie: industrie ad alta intensità energetica (169 proposte), gestione industriale del carbonio (24 proposte), energie rinnovabili (67 proposte) e stoccaggio dell</w:t>
      </w:r>
      <w:r w:rsidR="00F06D2E">
        <w:rPr>
          <w:noProof/>
        </w:rPr>
        <w:t>'</w:t>
      </w:r>
      <w:r>
        <w:rPr>
          <w:noProof/>
        </w:rPr>
        <w:t xml:space="preserve">energia (43 proposte). Nella categoria </w:t>
      </w:r>
      <w:r w:rsidR="00F06D2E">
        <w:rPr>
          <w:noProof/>
        </w:rPr>
        <w:t>"</w:t>
      </w:r>
      <w:r>
        <w:rPr>
          <w:noProof/>
        </w:rPr>
        <w:t>Mobilità</w:t>
      </w:r>
      <w:r w:rsidR="00F06D2E">
        <w:rPr>
          <w:noProof/>
        </w:rPr>
        <w:t>"</w:t>
      </w:r>
      <w:r>
        <w:rPr>
          <w:noProof/>
        </w:rPr>
        <w:t>, che è stata introdotta nel 2023 e che comprende il trasporto marittimo, il trasporto aereo e il trasporto stradale, sono state raccolte 50 proposte, mentre per il settore dell</w:t>
      </w:r>
      <w:r w:rsidR="00F06D2E">
        <w:rPr>
          <w:noProof/>
        </w:rPr>
        <w:t>'</w:t>
      </w:r>
      <w:r>
        <w:rPr>
          <w:noProof/>
        </w:rPr>
        <w:t>edilizia sono pervenute sei proposte. In particolare è emerso un forte interesse da parte ad esempio dei settori dei prodotti chimici, della calce e del cemento, delle raffinerie e dell</w:t>
      </w:r>
      <w:r w:rsidR="00F06D2E">
        <w:rPr>
          <w:noProof/>
        </w:rPr>
        <w:t>'</w:t>
      </w:r>
      <w:r>
        <w:rPr>
          <w:noProof/>
        </w:rPr>
        <w:t>idrogeno. La Commissione pubblicherà i risultati di tale invito nella seconda metà del 2025; </w:t>
      </w:r>
    </w:p>
    <w:p w14:paraId="0C5D64B2" w14:textId="5044BFAD" w:rsidR="0001055F" w:rsidRPr="00685D02" w:rsidRDefault="0001055F" w:rsidP="0001055F">
      <w:pPr>
        <w:pStyle w:val="CMR-text"/>
        <w:numPr>
          <w:ilvl w:val="0"/>
          <w:numId w:val="53"/>
        </w:numPr>
        <w:rPr>
          <w:rFonts w:cs="Times New Roman"/>
          <w:noProof/>
        </w:rPr>
      </w:pPr>
      <w:r>
        <w:rPr>
          <w:noProof/>
        </w:rPr>
        <w:t>batterie: per la prima volta la Commissione ha pubblicato un invito per il finanziamento della produzione di celle di batterie per veicoli elettrici. Nell</w:t>
      </w:r>
      <w:r w:rsidR="00F06D2E">
        <w:rPr>
          <w:noProof/>
        </w:rPr>
        <w:t>'</w:t>
      </w:r>
      <w:r>
        <w:rPr>
          <w:noProof/>
        </w:rPr>
        <w:t>ambito dell</w:t>
      </w:r>
      <w:r w:rsidR="00F06D2E">
        <w:rPr>
          <w:noProof/>
        </w:rPr>
        <w:t>'</w:t>
      </w:r>
      <w:r>
        <w:rPr>
          <w:noProof/>
        </w:rPr>
        <w:t>invito, che disponeva di una dotazione di 1 miliardo di EUR, nell</w:t>
      </w:r>
      <w:r w:rsidR="00F06D2E">
        <w:rPr>
          <w:noProof/>
        </w:rPr>
        <w:t>'</w:t>
      </w:r>
      <w:r>
        <w:rPr>
          <w:noProof/>
        </w:rPr>
        <w:t>aprile 2025 sono pervenute 14 proposte provenienti da otto paesi. Nel luglio 2025 è stato annunciato che nell</w:t>
      </w:r>
      <w:r w:rsidR="00F06D2E">
        <w:rPr>
          <w:noProof/>
        </w:rPr>
        <w:t>'</w:t>
      </w:r>
      <w:r>
        <w:rPr>
          <w:noProof/>
        </w:rPr>
        <w:t>ambito dell</w:t>
      </w:r>
      <w:r w:rsidR="00F06D2E">
        <w:rPr>
          <w:noProof/>
        </w:rPr>
        <w:t>'</w:t>
      </w:r>
      <w:r>
        <w:rPr>
          <w:noProof/>
        </w:rPr>
        <w:t>invito sono stati selezionati per il finanziamento sei progetti presentati da Francia (due), Germania (due), Svezia e Polonia, che beneficeranno di un sostegno complessivamente pari a 852 milioni di EUR. Tali</w:t>
      </w:r>
      <w:r w:rsidR="0091482D">
        <w:rPr>
          <w:noProof/>
        </w:rPr>
        <w:t> </w:t>
      </w:r>
      <w:r>
        <w:rPr>
          <w:noProof/>
        </w:rPr>
        <w:t>progetti</w:t>
      </w:r>
      <w:r w:rsidR="0091482D">
        <w:rPr>
          <w:noProof/>
        </w:rPr>
        <w:t> </w:t>
      </w:r>
      <w:r>
        <w:rPr>
          <w:noProof/>
        </w:rPr>
        <w:t>avranno nel loro complesso una capacità di produzione di celle di batterie per veicoli elettrici pari a circa 56 gigawattora (GWh) all</w:t>
      </w:r>
      <w:r w:rsidR="00F06D2E">
        <w:rPr>
          <w:noProof/>
        </w:rPr>
        <w:t>'</w:t>
      </w:r>
      <w:r>
        <w:rPr>
          <w:noProof/>
        </w:rPr>
        <w:t>anno;</w:t>
      </w:r>
    </w:p>
    <w:p w14:paraId="75ECC05A" w14:textId="348FEB1F" w:rsidR="0001055F" w:rsidRPr="00685D02" w:rsidRDefault="0001055F" w:rsidP="0001055F">
      <w:pPr>
        <w:pStyle w:val="CMR-text"/>
        <w:numPr>
          <w:ilvl w:val="0"/>
          <w:numId w:val="54"/>
        </w:numPr>
        <w:rPr>
          <w:rFonts w:cs="Times New Roman"/>
          <w:noProof/>
        </w:rPr>
      </w:pPr>
      <w:r>
        <w:rPr>
          <w:noProof/>
        </w:rPr>
        <w:t>asta per l</w:t>
      </w:r>
      <w:r w:rsidR="00F06D2E">
        <w:rPr>
          <w:noProof/>
        </w:rPr>
        <w:t>'</w:t>
      </w:r>
      <w:r>
        <w:rPr>
          <w:noProof/>
        </w:rPr>
        <w:t>idrogeno: il terzo invito a presentare proposte riguardava il secondo ciclo dell</w:t>
      </w:r>
      <w:r w:rsidR="00F06D2E">
        <w:rPr>
          <w:noProof/>
        </w:rPr>
        <w:t>'</w:t>
      </w:r>
      <w:r>
        <w:rPr>
          <w:noProof/>
        </w:rPr>
        <w:t>asta della Banca europea dell</w:t>
      </w:r>
      <w:r w:rsidR="00F06D2E">
        <w:rPr>
          <w:noProof/>
        </w:rPr>
        <w:t>'</w:t>
      </w:r>
      <w:r>
        <w:rPr>
          <w:noProof/>
        </w:rPr>
        <w:t>idrogeno per la produzione di idrogeno rinnovabile. L</w:t>
      </w:r>
      <w:r w:rsidR="00F06D2E">
        <w:rPr>
          <w:noProof/>
        </w:rPr>
        <w:t>'</w:t>
      </w:r>
      <w:r>
        <w:rPr>
          <w:noProof/>
        </w:rPr>
        <w:t>asta è stata aperta con un bilancio totale di 1,2 miliardi di EUR, compresa una nuova dotazione specifica di 200 milioni di EUR destinata a progetti che coinvolgono acquirenti nel settore marittimo. L</w:t>
      </w:r>
      <w:r w:rsidR="00F06D2E">
        <w:rPr>
          <w:noProof/>
        </w:rPr>
        <w:t>'</w:t>
      </w:r>
      <w:r>
        <w:rPr>
          <w:noProof/>
        </w:rPr>
        <w:t>asta si è conclusa nel febbraio 2025 con 66 offerte provenienti da 11 paesi. Per la preparazione delle convenzioni di sovvenzione sono stati selezionati 15 progetti in cinque diversi paesi.</w:t>
      </w:r>
      <w:r w:rsidR="0091482D">
        <w:rPr>
          <w:noProof/>
        </w:rPr>
        <w:t xml:space="preserve"> </w:t>
      </w:r>
      <w:r>
        <w:rPr>
          <w:noProof/>
        </w:rPr>
        <w:t>Il</w:t>
      </w:r>
      <w:r w:rsidR="0091482D">
        <w:rPr>
          <w:noProof/>
        </w:rPr>
        <w:t> </w:t>
      </w:r>
      <w:r>
        <w:rPr>
          <w:noProof/>
        </w:rPr>
        <w:t>regime prevedeva anche dotazioni nazionali nell</w:t>
      </w:r>
      <w:r w:rsidR="00F06D2E">
        <w:rPr>
          <w:noProof/>
        </w:rPr>
        <w:t>'</w:t>
      </w:r>
      <w:r>
        <w:rPr>
          <w:noProof/>
        </w:rPr>
        <w:t xml:space="preserve">ambito del meccanismo </w:t>
      </w:r>
      <w:r w:rsidR="00F06D2E">
        <w:rPr>
          <w:noProof/>
        </w:rPr>
        <w:t>"</w:t>
      </w:r>
      <w:r>
        <w:rPr>
          <w:noProof/>
        </w:rPr>
        <w:t>asta come servizio</w:t>
      </w:r>
      <w:r w:rsidR="00F06D2E">
        <w:rPr>
          <w:noProof/>
        </w:rPr>
        <w:t>"</w:t>
      </w:r>
      <w:r>
        <w:rPr>
          <w:noProof/>
        </w:rPr>
        <w:t>: l</w:t>
      </w:r>
      <w:r w:rsidR="00F06D2E">
        <w:rPr>
          <w:noProof/>
        </w:rPr>
        <w:t>'</w:t>
      </w:r>
      <w:r>
        <w:rPr>
          <w:noProof/>
        </w:rPr>
        <w:t>Austria ha contribuito con 400 milioni di EUR, la Spagna con un importo compreso tra 280 e 400 milioni di EUR e la Lituania con 36 milioni di EUR. I promotori dei 15 progetti selezionati devono presentare una garanzia di completamento prima della firma della convenzione di sovvenzione; ove decidessero di non procedere in tal senso e di ritirarsi dalla procedura di selezione, i progetti dell</w:t>
      </w:r>
      <w:r w:rsidR="00F06D2E">
        <w:rPr>
          <w:noProof/>
        </w:rPr>
        <w:t>'</w:t>
      </w:r>
      <w:r>
        <w:rPr>
          <w:noProof/>
        </w:rPr>
        <w:t>elenco di riserva avrebbero la possibilità di essere selezionati per la preparazione della convenzione di sovvenzione. L</w:t>
      </w:r>
      <w:r w:rsidR="00F06D2E">
        <w:rPr>
          <w:noProof/>
        </w:rPr>
        <w:t>'</w:t>
      </w:r>
      <w:r>
        <w:rPr>
          <w:noProof/>
        </w:rPr>
        <w:t>elenco definitivo dei progetti finanziati sarà pubblicato entro la fine del 2025.</w:t>
      </w:r>
    </w:p>
    <w:p w14:paraId="038BC24A" w14:textId="734CCA74" w:rsidR="00C42B3E" w:rsidRPr="00685D02" w:rsidRDefault="67747637" w:rsidP="00854C42">
      <w:pPr>
        <w:jc w:val="both"/>
        <w:rPr>
          <w:rFonts w:ascii="Times New Roman" w:hAnsi="Times New Roman" w:cs="Times New Roman"/>
          <w:noProof/>
        </w:rPr>
      </w:pPr>
      <w:r>
        <w:rPr>
          <w:rFonts w:ascii="Times New Roman" w:hAnsi="Times New Roman"/>
          <w:noProof/>
        </w:rPr>
        <w:t>Al fine di aumentare la maturità tecnica, finanziaria e operativa dei progetti innovativi, viene fornita assistenza allo sviluppo dei progetti tramite la Banca europea per gli investimenti. Nel 2024 la BEI ha firmato 23 accordi di assistenza allo sviluppo di progetti e ha provveduto alla loro esecuzione. Dall</w:t>
      </w:r>
      <w:r w:rsidR="00F06D2E">
        <w:rPr>
          <w:rFonts w:ascii="Times New Roman" w:hAnsi="Times New Roman"/>
          <w:noProof/>
        </w:rPr>
        <w:t>'</w:t>
      </w:r>
      <w:r>
        <w:rPr>
          <w:rFonts w:ascii="Times New Roman" w:hAnsi="Times New Roman"/>
          <w:noProof/>
        </w:rPr>
        <w:t>avvio del programma sono 62 i progetti per i quali è stato firmato un accordo di assistenza e che sono stati completati. L</w:t>
      </w:r>
      <w:r w:rsidR="00F06D2E">
        <w:rPr>
          <w:rFonts w:ascii="Times New Roman" w:hAnsi="Times New Roman"/>
          <w:noProof/>
        </w:rPr>
        <w:t>'</w:t>
      </w:r>
      <w:r>
        <w:rPr>
          <w:rFonts w:ascii="Times New Roman" w:hAnsi="Times New Roman"/>
          <w:noProof/>
        </w:rPr>
        <w:t>impatto dell</w:t>
      </w:r>
      <w:r w:rsidR="00F06D2E">
        <w:rPr>
          <w:rFonts w:ascii="Times New Roman" w:hAnsi="Times New Roman"/>
          <w:noProof/>
        </w:rPr>
        <w:t>'</w:t>
      </w:r>
      <w:r>
        <w:rPr>
          <w:rFonts w:ascii="Times New Roman" w:hAnsi="Times New Roman"/>
          <w:noProof/>
        </w:rPr>
        <w:t>assistenza allo sviluppo dei progetti è sempre più visibile: nove progetti che in precedenza erano stati respinti hanno ottenuto una sovvenzione nell</w:t>
      </w:r>
      <w:r w:rsidR="00F06D2E">
        <w:rPr>
          <w:rFonts w:ascii="Times New Roman" w:hAnsi="Times New Roman"/>
          <w:noProof/>
        </w:rPr>
        <w:t>'</w:t>
      </w:r>
      <w:r>
        <w:rPr>
          <w:rFonts w:ascii="Times New Roman" w:hAnsi="Times New Roman"/>
          <w:noProof/>
        </w:rPr>
        <w:t>ambito dell</w:t>
      </w:r>
      <w:r w:rsidR="00F06D2E">
        <w:rPr>
          <w:rFonts w:ascii="Times New Roman" w:hAnsi="Times New Roman"/>
          <w:noProof/>
        </w:rPr>
        <w:t>'</w:t>
      </w:r>
      <w:r>
        <w:rPr>
          <w:rFonts w:ascii="Times New Roman" w:hAnsi="Times New Roman"/>
          <w:noProof/>
        </w:rPr>
        <w:t>invito a presentare proposte del Fondo per l</w:t>
      </w:r>
      <w:r w:rsidR="00F06D2E">
        <w:rPr>
          <w:rFonts w:ascii="Times New Roman" w:hAnsi="Times New Roman"/>
          <w:noProof/>
        </w:rPr>
        <w:t>'</w:t>
      </w:r>
      <w:r>
        <w:rPr>
          <w:rFonts w:ascii="Times New Roman" w:hAnsi="Times New Roman"/>
          <w:noProof/>
        </w:rPr>
        <w:t>innovazione del 2023. L</w:t>
      </w:r>
      <w:r w:rsidR="00F06D2E">
        <w:rPr>
          <w:rFonts w:ascii="Times New Roman" w:hAnsi="Times New Roman"/>
          <w:noProof/>
        </w:rPr>
        <w:t>'</w:t>
      </w:r>
      <w:r>
        <w:rPr>
          <w:rFonts w:ascii="Times New Roman" w:hAnsi="Times New Roman"/>
          <w:noProof/>
        </w:rPr>
        <w:t>assistenza allo sviluppo dei progetti è inoltre stata estesa in modo da essere accessibile agli sviluppatori di progetti che non hanno ancora presentato domanda di finanziamento a titolo del Fondo; le domande vanno presentate direttamente alla BEI</w:t>
      </w:r>
      <w:r>
        <w:rPr>
          <w:rStyle w:val="FootnoteReference"/>
          <w:rFonts w:ascii="Times New Roman" w:hAnsi="Times New Roman" w:cs="Times New Roman"/>
          <w:noProof/>
          <w:lang w:val="en-IE"/>
        </w:rPr>
        <w:footnoteReference w:id="66"/>
      </w:r>
      <w:r>
        <w:rPr>
          <w:rFonts w:ascii="Times New Roman" w:hAnsi="Times New Roman"/>
          <w:noProof/>
        </w:rPr>
        <w:t xml:space="preserve">. </w:t>
      </w:r>
    </w:p>
    <w:p w14:paraId="466CCDC2" w14:textId="7DEA4FA1" w:rsidR="00FD4030" w:rsidRPr="00685D02" w:rsidRDefault="60DDFD35" w:rsidP="67696D88">
      <w:pPr>
        <w:pStyle w:val="CMR-text"/>
        <w:rPr>
          <w:rFonts w:cs="Times New Roman"/>
          <w:noProof/>
        </w:rPr>
      </w:pPr>
      <w:r>
        <w:rPr>
          <w:noProof/>
        </w:rPr>
        <w:t>Dal 2023 tutti i progetti che soddisfano le soglie minime per tutti i criteri di aggiudicazione nei normali inviti a presentare proposte per le sovvenzioni (selezionati o meno per il finanziamento da parte del Fondo per l</w:t>
      </w:r>
      <w:r w:rsidR="00F06D2E">
        <w:rPr>
          <w:noProof/>
        </w:rPr>
        <w:t>'</w:t>
      </w:r>
      <w:r>
        <w:rPr>
          <w:noProof/>
        </w:rPr>
        <w:t>innovazione) hanno ricevuto il marchio STEP (piattaforma per le tecnologie strategiche per l</w:t>
      </w:r>
      <w:r w:rsidR="00F06D2E">
        <w:rPr>
          <w:noProof/>
        </w:rPr>
        <w:t>'</w:t>
      </w:r>
      <w:r>
        <w:rPr>
          <w:noProof/>
        </w:rPr>
        <w:t>Europa)</w:t>
      </w:r>
      <w:r>
        <w:rPr>
          <w:rStyle w:val="FootnoteReference"/>
          <w:rFonts w:cs="Times New Roman"/>
          <w:noProof/>
          <w:lang w:val="en-IE"/>
        </w:rPr>
        <w:footnoteReference w:id="67"/>
      </w:r>
      <w:r>
        <w:rPr>
          <w:noProof/>
        </w:rPr>
        <w:t>. Il marchio STEP è il marchio di qualità dell</w:t>
      </w:r>
      <w:r w:rsidR="00F06D2E">
        <w:rPr>
          <w:noProof/>
        </w:rPr>
        <w:t>'</w:t>
      </w:r>
      <w:r>
        <w:rPr>
          <w:noProof/>
        </w:rPr>
        <w:t>UE assegnato a progetti di qualità elevata che concorrono al conseguimento degli obiettivi STEP e contribuisce a facilitare l</w:t>
      </w:r>
      <w:r w:rsidR="00F06D2E">
        <w:rPr>
          <w:noProof/>
        </w:rPr>
        <w:t>'</w:t>
      </w:r>
      <w:r>
        <w:rPr>
          <w:noProof/>
        </w:rPr>
        <w:t>accesso ai finanziamenti degli Stati membri o di investitori privati.</w:t>
      </w:r>
    </w:p>
    <w:p w14:paraId="25266B21" w14:textId="46AEA807" w:rsidR="00613B80" w:rsidRPr="00EC4FC3" w:rsidRDefault="00613B80" w:rsidP="00EC4FC3">
      <w:pPr>
        <w:pStyle w:val="CMR-Subheading"/>
        <w:rPr>
          <w:noProof/>
        </w:rPr>
      </w:pPr>
      <w:bookmarkStart w:id="62" w:name="_Toc180513406"/>
      <w:bookmarkStart w:id="63" w:name="_Toc218937037"/>
      <w:r>
        <w:rPr>
          <w:noProof/>
        </w:rPr>
        <w:t>Fondo per la modernizzazione dell</w:t>
      </w:r>
      <w:r w:rsidR="00F06D2E">
        <w:rPr>
          <w:noProof/>
        </w:rPr>
        <w:t>'</w:t>
      </w:r>
      <w:r>
        <w:rPr>
          <w:noProof/>
        </w:rPr>
        <w:t>ETS</w:t>
      </w:r>
      <w:bookmarkEnd w:id="62"/>
      <w:bookmarkEnd w:id="63"/>
    </w:p>
    <w:p w14:paraId="594A88ED" w14:textId="30924361" w:rsidR="006F078C" w:rsidRPr="00685D02" w:rsidRDefault="00DC0230" w:rsidP="002C03CF">
      <w:pPr>
        <w:pStyle w:val="CMR-text"/>
        <w:rPr>
          <w:rFonts w:cs="Times New Roman"/>
          <w:noProof/>
        </w:rPr>
      </w:pPr>
      <w:r>
        <w:rPr>
          <w:noProof/>
        </w:rPr>
        <w:t>Il Fondo per la modernizzazione è un programma di solidarietà finanziato dall</w:t>
      </w:r>
      <w:r w:rsidR="00F06D2E">
        <w:rPr>
          <w:noProof/>
        </w:rPr>
        <w:t>'</w:t>
      </w:r>
      <w:r>
        <w:rPr>
          <w:noProof/>
        </w:rPr>
        <w:t>EU ETS. Fornisce sostegno agli Stati membri a reddito più basso (che inizialmente erano 10</w:t>
      </w:r>
      <w:r>
        <w:rPr>
          <w:rStyle w:val="FootnoteReference"/>
          <w:rFonts w:cs="Times New Roman"/>
          <w:noProof/>
          <w:lang w:val="en-IE"/>
        </w:rPr>
        <w:footnoteReference w:id="68"/>
      </w:r>
      <w:r>
        <w:rPr>
          <w:noProof/>
        </w:rPr>
        <w:t>, cui si sono aggiunti altri tre nel 2024</w:t>
      </w:r>
      <w:r>
        <w:rPr>
          <w:rStyle w:val="FootnoteReference"/>
          <w:rFonts w:cs="Times New Roman"/>
          <w:noProof/>
          <w:lang w:val="en-IE"/>
        </w:rPr>
        <w:footnoteReference w:id="69"/>
      </w:r>
      <w:r>
        <w:rPr>
          <w:noProof/>
        </w:rPr>
        <w:t>) nel perseguimento degli obiettivi climatici ed energetici per il 2030, aiutandoli a realizzare progetti finalizzati a modernizzare i sistemi energetici e migliorare l</w:t>
      </w:r>
      <w:r w:rsidR="00F06D2E">
        <w:rPr>
          <w:noProof/>
        </w:rPr>
        <w:t>'</w:t>
      </w:r>
      <w:r>
        <w:rPr>
          <w:noProof/>
        </w:rPr>
        <w:t>efficienza energetica. La dotazione del Fondo proviene dalla vendita all</w:t>
      </w:r>
      <w:r w:rsidR="00F06D2E">
        <w:rPr>
          <w:noProof/>
        </w:rPr>
        <w:t>'</w:t>
      </w:r>
      <w:r>
        <w:rPr>
          <w:noProof/>
        </w:rPr>
        <w:t>asta di parte del tetto massimo dell</w:t>
      </w:r>
      <w:r w:rsidR="00F06D2E">
        <w:rPr>
          <w:noProof/>
        </w:rPr>
        <w:t>'</w:t>
      </w:r>
      <w:r>
        <w:rPr>
          <w:noProof/>
        </w:rPr>
        <w:t>EU ETS (che corrisponde a 438</w:t>
      </w:r>
      <w:r w:rsidR="0091482D">
        <w:rPr>
          <w:noProof/>
        </w:rPr>
        <w:t> </w:t>
      </w:r>
      <w:r>
        <w:rPr>
          <w:noProof/>
        </w:rPr>
        <w:t>milioni di quote di emissioni), distribuita tra gli Stati membri beneficiari in percentuali prestabilite</w:t>
      </w:r>
      <w:r>
        <w:rPr>
          <w:rStyle w:val="FootnoteReference"/>
          <w:rFonts w:cs="Times New Roman"/>
          <w:noProof/>
          <w:lang w:val="en-IE"/>
        </w:rPr>
        <w:footnoteReference w:id="70"/>
      </w:r>
      <w:r>
        <w:rPr>
          <w:noProof/>
        </w:rPr>
        <w:t>. A</w:t>
      </w:r>
      <w:r w:rsidR="0091482D">
        <w:rPr>
          <w:noProof/>
        </w:rPr>
        <w:t> </w:t>
      </w:r>
      <w:r>
        <w:rPr>
          <w:noProof/>
        </w:rPr>
        <w:t>ciò si aggiungono 320 milioni di quote di emissioni che sei Stati membri beneficiari hanno trasferito dalla fase 3 dell</w:t>
      </w:r>
      <w:r w:rsidR="00F06D2E">
        <w:rPr>
          <w:noProof/>
        </w:rPr>
        <w:t>'</w:t>
      </w:r>
      <w:r>
        <w:rPr>
          <w:noProof/>
        </w:rPr>
        <w:t>EU ETS (2013-2020) al Fondo per la modernizzazione, portandolo così a oltre 750 milioni di quote, ossia 56 miliardi di EUR dal 2021 al 2030 (ipotizzando un prezzo medio del carbonio di 75 EUR/t CO</w:t>
      </w:r>
      <w:r>
        <w:rPr>
          <w:noProof/>
          <w:vertAlign w:val="subscript"/>
        </w:rPr>
        <w:t>2</w:t>
      </w:r>
      <w:r>
        <w:rPr>
          <w:noProof/>
        </w:rPr>
        <w:t>).</w:t>
      </w:r>
      <w:r>
        <w:rPr>
          <w:noProof/>
          <w:vertAlign w:val="subscript"/>
        </w:rPr>
        <w:t xml:space="preserve"> </w:t>
      </w:r>
    </w:p>
    <w:p w14:paraId="1B73E050" w14:textId="36B54EEA" w:rsidR="006F078C" w:rsidRPr="00685D02" w:rsidRDefault="00C33D98" w:rsidP="002C03CF">
      <w:pPr>
        <w:pStyle w:val="CMR-text"/>
        <w:rPr>
          <w:rFonts w:cs="Times New Roman"/>
          <w:noProof/>
        </w:rPr>
      </w:pPr>
      <w:r>
        <w:rPr>
          <w:noProof/>
        </w:rPr>
        <w:t>Pur potendo scegliere gli investimenti che intendono sostenere, gli Stati membri sono tenuti a utilizzare la maggior parte delle loro risorse a titolo del Fondo per investimenti prioritari, che comprendono: produzione e uso di energia elettrica, riscaldamento e raffrescamento da fonti energetiche rinnovabili, efficienza energetica, stoccaggio e modernizzazione delle reti energetiche, sostegno alle famiglie a basso reddito per contrastare la povertà energetica e azioni per una transizione giusta nelle regioni dipendenti dai combustibili fossili. Le proposte di investimento sono valutate dalla BEI. Quando</w:t>
      </w:r>
      <w:r w:rsidR="0091482D">
        <w:rPr>
          <w:noProof/>
        </w:rPr>
        <w:t> </w:t>
      </w:r>
      <w:r>
        <w:rPr>
          <w:noProof/>
        </w:rPr>
        <w:t>il</w:t>
      </w:r>
      <w:r w:rsidR="0091482D">
        <w:rPr>
          <w:noProof/>
        </w:rPr>
        <w:t> </w:t>
      </w:r>
      <w:r>
        <w:rPr>
          <w:noProof/>
        </w:rPr>
        <w:t>carattere prioritario dell</w:t>
      </w:r>
      <w:r w:rsidR="00F06D2E">
        <w:rPr>
          <w:noProof/>
        </w:rPr>
        <w:t>'</w:t>
      </w:r>
      <w:r>
        <w:rPr>
          <w:noProof/>
        </w:rPr>
        <w:t>investimento è stato confermato dalla BEI o, se l</w:t>
      </w:r>
      <w:r w:rsidR="00F06D2E">
        <w:rPr>
          <w:noProof/>
        </w:rPr>
        <w:t>'</w:t>
      </w:r>
      <w:r>
        <w:rPr>
          <w:noProof/>
        </w:rPr>
        <w:t>investimento non è prioritario, quando il comitato per gli investimenti del Fondo ne raccomanda il finanziamento, la Commissione adotta una decisione di esborso. Le decisioni di esborso sono emanate in due cicli ogni anno e riguardano gli investimenti in tutti gli Stati membri beneficiari.</w:t>
      </w:r>
    </w:p>
    <w:p w14:paraId="23883846" w14:textId="15FFFC03" w:rsidR="0011429F" w:rsidRPr="00685D02" w:rsidRDefault="2887EC8D" w:rsidP="002C03CF">
      <w:pPr>
        <w:pStyle w:val="CMR-text"/>
        <w:rPr>
          <w:rFonts w:cs="Times New Roman"/>
          <w:noProof/>
        </w:rPr>
      </w:pPr>
      <w:r>
        <w:rPr>
          <w:noProof/>
        </w:rPr>
        <w:t>Dal gennaio 2021 sono stati confermati 200 tra regimi e singoli progetti, per un importo totale di 19,1</w:t>
      </w:r>
      <w:r w:rsidR="0091482D">
        <w:rPr>
          <w:noProof/>
        </w:rPr>
        <w:t> </w:t>
      </w:r>
      <w:r>
        <w:rPr>
          <w:noProof/>
        </w:rPr>
        <w:t>miliardi di EUR erogati agli Stati membri beneficiari. Si tratta di iniziative riguardanti principalmente l</w:t>
      </w:r>
      <w:r w:rsidR="00F06D2E">
        <w:rPr>
          <w:noProof/>
        </w:rPr>
        <w:t>'</w:t>
      </w:r>
      <w:r>
        <w:rPr>
          <w:noProof/>
        </w:rPr>
        <w:t>energia da fonti rinnovabili, l</w:t>
      </w:r>
      <w:r w:rsidR="00F06D2E">
        <w:rPr>
          <w:noProof/>
        </w:rPr>
        <w:t>'</w:t>
      </w:r>
      <w:r>
        <w:rPr>
          <w:noProof/>
        </w:rPr>
        <w:t>efficienza energetica, lo stoccaggio dell</w:t>
      </w:r>
      <w:r w:rsidR="00F06D2E">
        <w:rPr>
          <w:noProof/>
        </w:rPr>
        <w:t>'</w:t>
      </w:r>
      <w:r>
        <w:rPr>
          <w:noProof/>
        </w:rPr>
        <w:t xml:space="preserve">energia e la modernizzazione delle reti energetiche. </w:t>
      </w:r>
    </w:p>
    <w:p w14:paraId="3BF8A088" w14:textId="03EB9283" w:rsidR="0064552C" w:rsidRPr="00685D02" w:rsidRDefault="55C07573" w:rsidP="002C03CF">
      <w:pPr>
        <w:pStyle w:val="CMR-text"/>
        <w:rPr>
          <w:rFonts w:cs="Times New Roman"/>
          <w:noProof/>
        </w:rPr>
      </w:pPr>
      <w:r>
        <w:rPr>
          <w:noProof/>
        </w:rPr>
        <w:t>Nel giugno 2025 la Commissione ha adottato l</w:t>
      </w:r>
      <w:r w:rsidR="00F06D2E">
        <w:rPr>
          <w:noProof/>
        </w:rPr>
        <w:t>'</w:t>
      </w:r>
      <w:r>
        <w:rPr>
          <w:noProof/>
        </w:rPr>
        <w:t>ottava decisione di esborso</w:t>
      </w:r>
      <w:r>
        <w:rPr>
          <w:rStyle w:val="FootnoteReference"/>
          <w:rFonts w:cs="Times New Roman"/>
          <w:noProof/>
          <w:lang w:val="en-IE"/>
        </w:rPr>
        <w:footnoteReference w:id="71"/>
      </w:r>
      <w:r>
        <w:rPr>
          <w:noProof/>
        </w:rPr>
        <w:t xml:space="preserve"> nell</w:t>
      </w:r>
      <w:r w:rsidR="00F06D2E">
        <w:rPr>
          <w:noProof/>
        </w:rPr>
        <w:t>'</w:t>
      </w:r>
      <w:r>
        <w:rPr>
          <w:noProof/>
        </w:rPr>
        <w:t>ambito del Fondo per la modernizzazione, la seconda per entità dal 2021. Su tale base la BEI ha erogato in totale 3,7</w:t>
      </w:r>
      <w:r w:rsidR="0091482D">
        <w:rPr>
          <w:noProof/>
        </w:rPr>
        <w:t> </w:t>
      </w:r>
      <w:r>
        <w:rPr>
          <w:noProof/>
        </w:rPr>
        <w:t>miliardi</w:t>
      </w:r>
      <w:r w:rsidR="0091482D">
        <w:rPr>
          <w:noProof/>
        </w:rPr>
        <w:t> </w:t>
      </w:r>
      <w:r>
        <w:rPr>
          <w:noProof/>
        </w:rPr>
        <w:t>di EUR a nove Stati membri beneficiari</w:t>
      </w:r>
      <w:r>
        <w:rPr>
          <w:rStyle w:val="FootnoteReference"/>
          <w:rFonts w:cs="Times New Roman"/>
          <w:noProof/>
          <w:lang w:val="en-IE"/>
        </w:rPr>
        <w:footnoteReference w:id="72"/>
      </w:r>
      <w:r>
        <w:rPr>
          <w:noProof/>
        </w:rPr>
        <w:t xml:space="preserve"> per finanziare 34 proposte di investimento. I</w:t>
      </w:r>
      <w:r w:rsidR="0091482D">
        <w:rPr>
          <w:noProof/>
        </w:rPr>
        <w:t> </w:t>
      </w:r>
      <w:r>
        <w:rPr>
          <w:noProof/>
        </w:rPr>
        <w:t>progetti riguardano tra l</w:t>
      </w:r>
      <w:r w:rsidR="00F06D2E">
        <w:rPr>
          <w:noProof/>
        </w:rPr>
        <w:t>'</w:t>
      </w:r>
      <w:r>
        <w:rPr>
          <w:noProof/>
        </w:rPr>
        <w:t xml:space="preserve">altro il sostegno per lo sviluppo del programma </w:t>
      </w:r>
      <w:r w:rsidR="00F06D2E">
        <w:rPr>
          <w:noProof/>
        </w:rPr>
        <w:t>"</w:t>
      </w:r>
      <w:r>
        <w:rPr>
          <w:noProof/>
        </w:rPr>
        <w:t>Aria pulita</w:t>
      </w:r>
      <w:r w:rsidR="00F06D2E">
        <w:rPr>
          <w:noProof/>
        </w:rPr>
        <w:t>"</w:t>
      </w:r>
      <w:r>
        <w:rPr>
          <w:noProof/>
        </w:rPr>
        <w:t xml:space="preserve"> finalizzato al miglioramento dell</w:t>
      </w:r>
      <w:r w:rsidR="00F06D2E">
        <w:rPr>
          <w:noProof/>
        </w:rPr>
        <w:t>'</w:t>
      </w:r>
      <w:r>
        <w:rPr>
          <w:noProof/>
        </w:rPr>
        <w:t>efficienza energetica e alla sostituzione delle fonti di calore nelle abitazioni monofamiliari in Polonia e per l</w:t>
      </w:r>
      <w:r w:rsidR="00F06D2E">
        <w:rPr>
          <w:noProof/>
        </w:rPr>
        <w:t>'</w:t>
      </w:r>
      <w:r>
        <w:rPr>
          <w:noProof/>
        </w:rPr>
        <w:t xml:space="preserve">aumento della capacità della rete elettrica in Lettonia. </w:t>
      </w:r>
    </w:p>
    <w:p w14:paraId="6F679527" w14:textId="0C7D4AA2" w:rsidR="00DB11ED" w:rsidRPr="00685D02" w:rsidRDefault="6F920625" w:rsidP="00DB11ED">
      <w:pPr>
        <w:pStyle w:val="CMR-text"/>
        <w:rPr>
          <w:rFonts w:cs="Times New Roman"/>
          <w:noProof/>
        </w:rPr>
      </w:pPr>
      <w:r>
        <w:rPr>
          <w:noProof/>
        </w:rPr>
        <w:t>La finestra temporale per presentare un altro ciclo di proposte nell</w:t>
      </w:r>
      <w:r w:rsidR="00F06D2E">
        <w:rPr>
          <w:noProof/>
        </w:rPr>
        <w:t>'</w:t>
      </w:r>
      <w:r>
        <w:rPr>
          <w:noProof/>
        </w:rPr>
        <w:t xml:space="preserve">ambito del Fondo per la modernizzazione si è chiusa il 12 agosto 2025 per i progetti non prioritari e il 9 settembre 2025 per quelli prioritari. </w:t>
      </w:r>
    </w:p>
    <w:p w14:paraId="5BBEBFD3" w14:textId="6C72A817" w:rsidR="006F078C" w:rsidRPr="00685D02" w:rsidRDefault="526052FE" w:rsidP="002C03CF">
      <w:pPr>
        <w:pStyle w:val="CMR-text"/>
        <w:rPr>
          <w:rFonts w:cs="Times New Roman"/>
          <w:noProof/>
        </w:rPr>
      </w:pPr>
      <w:r>
        <w:rPr>
          <w:noProof/>
        </w:rPr>
        <w:t xml:space="preserve">A partire dal 2025 gli investimenti devono inoltre rispettare i criteri </w:t>
      </w:r>
      <w:r w:rsidR="00F06D2E">
        <w:rPr>
          <w:noProof/>
        </w:rPr>
        <w:t>"</w:t>
      </w:r>
      <w:r>
        <w:rPr>
          <w:noProof/>
        </w:rPr>
        <w:t>non arrecare un danno significativo</w:t>
      </w:r>
      <w:r w:rsidR="00F06D2E">
        <w:rPr>
          <w:noProof/>
        </w:rPr>
        <w:t>"</w:t>
      </w:r>
      <w:r>
        <w:rPr>
          <w:noProof/>
        </w:rPr>
        <w:t xml:space="preserve"> di cui al regolamento sulla tassonomia (tranne gli investimenti finanziati attraverso le quote trasferite). </w:t>
      </w:r>
    </w:p>
    <w:p w14:paraId="2334C0BF" w14:textId="7A51A0EA" w:rsidR="00213E11" w:rsidRPr="00EC4FC3" w:rsidRDefault="00213E11" w:rsidP="00EC4FC3">
      <w:pPr>
        <w:pStyle w:val="CMR-Subheading"/>
        <w:rPr>
          <w:noProof/>
        </w:rPr>
      </w:pPr>
      <w:bookmarkStart w:id="64" w:name="_Toc180513407"/>
      <w:bookmarkStart w:id="65" w:name="_Toc218937038"/>
      <w:r>
        <w:rPr>
          <w:noProof/>
        </w:rPr>
        <w:t>Fondo per la decarbonizzazione dell</w:t>
      </w:r>
      <w:r w:rsidR="00F06D2E">
        <w:rPr>
          <w:noProof/>
        </w:rPr>
        <w:t>'</w:t>
      </w:r>
      <w:r>
        <w:rPr>
          <w:noProof/>
        </w:rPr>
        <w:t>ETS destinato alla Grecia</w:t>
      </w:r>
      <w:bookmarkEnd w:id="64"/>
      <w:bookmarkEnd w:id="65"/>
    </w:p>
    <w:p w14:paraId="78EA7BA0" w14:textId="4B1A7ABA" w:rsidR="6DC88DB8" w:rsidRPr="00685D02" w:rsidRDefault="24216302" w:rsidP="2122AAA8">
      <w:pPr>
        <w:pStyle w:val="CMR-text"/>
        <w:rPr>
          <w:rFonts w:cs="Times New Roman"/>
          <w:noProof/>
        </w:rPr>
      </w:pPr>
      <w:r>
        <w:rPr>
          <w:noProof/>
        </w:rPr>
        <w:t>L</w:t>
      </w:r>
      <w:r w:rsidR="00F06D2E">
        <w:rPr>
          <w:noProof/>
        </w:rPr>
        <w:t>'</w:t>
      </w:r>
      <w:r>
        <w:rPr>
          <w:noProof/>
        </w:rPr>
        <w:t>articolo 10 bis, paragrafo 9, della direttiva ETS conferisce alla Grecia il diritto, a determinate condizioni, di richiedere fino a un massimo di 25 milioni di quote di emissioni per la decarbonizzazione della fornitura di energia elettrica delle sue isole</w:t>
      </w:r>
      <w:r>
        <w:rPr>
          <w:rStyle w:val="FootnoteReference"/>
          <w:rFonts w:cs="Times New Roman"/>
          <w:noProof/>
          <w:lang w:val="en-IE"/>
        </w:rPr>
        <w:footnoteReference w:id="73"/>
      </w:r>
      <w:r>
        <w:rPr>
          <w:noProof/>
        </w:rPr>
        <w:t>. La vendita all</w:t>
      </w:r>
      <w:r w:rsidR="00F06D2E">
        <w:rPr>
          <w:noProof/>
        </w:rPr>
        <w:t>'</w:t>
      </w:r>
      <w:r>
        <w:rPr>
          <w:noProof/>
        </w:rPr>
        <w:t>asta di tali quote finanzierà il Fondo, il cui valore stimato è di circa 2 miliardi di EUR. La Grecia, la Commissione europea e la BEI si stanno adoperando per rendere operativa questa disposizione. Nel novembre 2024 il vicepresidente esecutivo per il Green Deal europeo Maroš Šefčovič, il ministro greco dell</w:t>
      </w:r>
      <w:r w:rsidR="00F06D2E">
        <w:rPr>
          <w:noProof/>
        </w:rPr>
        <w:t>'</w:t>
      </w:r>
      <w:r>
        <w:rPr>
          <w:noProof/>
        </w:rPr>
        <w:t>Ambiente e dell</w:t>
      </w:r>
      <w:r w:rsidR="00F06D2E">
        <w:rPr>
          <w:noProof/>
        </w:rPr>
        <w:t>'</w:t>
      </w:r>
      <w:r>
        <w:rPr>
          <w:noProof/>
        </w:rPr>
        <w:t>energia Theodoros Skylakakis e il vicepresidente della BEI Ioannis Tsakiris hanno firmato un accordo trilaterale a Naxos, in Grecia, per l</w:t>
      </w:r>
      <w:r w:rsidR="00F06D2E">
        <w:rPr>
          <w:noProof/>
        </w:rPr>
        <w:t>'</w:t>
      </w:r>
      <w:r>
        <w:rPr>
          <w:noProof/>
        </w:rPr>
        <w:t>istituzione del Fondo nazionale per la decarbonizzazione dell</w:t>
      </w:r>
      <w:r w:rsidR="00F06D2E">
        <w:rPr>
          <w:noProof/>
        </w:rPr>
        <w:t>'</w:t>
      </w:r>
      <w:r>
        <w:rPr>
          <w:noProof/>
        </w:rPr>
        <w:t>ETS destinato alle isole greche</w:t>
      </w:r>
      <w:r>
        <w:rPr>
          <w:rFonts w:cs="Times New Roman"/>
          <w:noProof/>
          <w:vertAlign w:val="superscript"/>
          <w:lang w:val="en-IE"/>
        </w:rPr>
        <w:footnoteReference w:id="74"/>
      </w:r>
      <w:r>
        <w:rPr>
          <w:noProof/>
        </w:rPr>
        <w:t xml:space="preserve">. </w:t>
      </w:r>
    </w:p>
    <w:p w14:paraId="4429EB96" w14:textId="2AD8D320" w:rsidR="6DC88DB8" w:rsidRDefault="283A2DEF" w:rsidP="45A3302D">
      <w:pPr>
        <w:pStyle w:val="CMR-text"/>
        <w:rPr>
          <w:rFonts w:cs="Times New Roman"/>
          <w:noProof/>
        </w:rPr>
      </w:pPr>
      <w:r>
        <w:rPr>
          <w:noProof/>
        </w:rPr>
        <w:t>La BEI avrà il compito di valutare la sostenibilità finanziaria e i benefici socioeconomici della proposta di progetto della Grecia per decarbonizzare la fornitura di energia elettrica delle isole greche. Se tutte</w:t>
      </w:r>
      <w:r w:rsidR="0091482D">
        <w:rPr>
          <w:noProof/>
        </w:rPr>
        <w:t> </w:t>
      </w:r>
      <w:r>
        <w:rPr>
          <w:noProof/>
        </w:rPr>
        <w:t>le condizioni sono soddisfatte, le quote sarebbero vendute all</w:t>
      </w:r>
      <w:r w:rsidR="00F06D2E">
        <w:rPr>
          <w:noProof/>
        </w:rPr>
        <w:t>'</w:t>
      </w:r>
      <w:r>
        <w:rPr>
          <w:noProof/>
        </w:rPr>
        <w:t>asta e i proventi messi a disposizione per il cofinanziamento fino al 60 % delle componenti approvate del progetto. In termini concreti, i</w:t>
      </w:r>
      <w:r w:rsidR="0091482D">
        <w:rPr>
          <w:noProof/>
        </w:rPr>
        <w:t> </w:t>
      </w:r>
      <w:r>
        <w:rPr>
          <w:noProof/>
        </w:rPr>
        <w:t xml:space="preserve">finanziamenti dovrebbero sostenere progetti riguardanti la fornitura di energia rinnovabile sulle isole (ad esempio sistemi fotovoltaici, parchi eolici offshore e sistemi di stoccaggio autonomi), nonché iniziative volte a collegare le isole alla rete elettrica continentale. Il Fondo contribuirà inoltre alle misure di adattamento ai cambiamenti climatici e rafforzerà la resilienza agli eventi meteorologici estremi. </w:t>
      </w:r>
    </w:p>
    <w:p w14:paraId="3C184CE3" w14:textId="77777777" w:rsidR="00E718DF" w:rsidRPr="0038309D" w:rsidRDefault="00E718DF" w:rsidP="45A3302D">
      <w:pPr>
        <w:pStyle w:val="CMR-text"/>
        <w:rPr>
          <w:rFonts w:cs="Times New Roman"/>
          <w:noProof/>
        </w:rPr>
      </w:pPr>
    </w:p>
    <w:p w14:paraId="1E7A700B" w14:textId="738BE3E4" w:rsidR="00613B80" w:rsidRPr="00EC4FC3" w:rsidRDefault="00613B80" w:rsidP="00EC4FC3">
      <w:pPr>
        <w:pStyle w:val="CMR-Heading"/>
        <w:rPr>
          <w:noProof/>
        </w:rPr>
      </w:pPr>
      <w:bookmarkStart w:id="66" w:name="_Toc180513408"/>
      <w:bookmarkStart w:id="67" w:name="_Ref207358766"/>
      <w:bookmarkStart w:id="68" w:name="_Toc218937039"/>
      <w:r>
        <w:rPr>
          <w:noProof/>
        </w:rPr>
        <w:t>Trasporto aereo</w:t>
      </w:r>
      <w:bookmarkEnd w:id="66"/>
      <w:bookmarkEnd w:id="67"/>
      <w:bookmarkEnd w:id="68"/>
    </w:p>
    <w:p w14:paraId="62EB8901" w14:textId="24117CA7" w:rsidR="00414F36" w:rsidRPr="00685D02" w:rsidRDefault="5E0A25F4" w:rsidP="00187D4D">
      <w:pPr>
        <w:pStyle w:val="CMR-text"/>
        <w:rPr>
          <w:rStyle w:val="Bodytext1"/>
          <w:rFonts w:cs="Times New Roman"/>
          <w:noProof/>
        </w:rPr>
      </w:pPr>
      <w:r>
        <w:rPr>
          <w:rStyle w:val="Bodytext1"/>
          <w:noProof/>
        </w:rPr>
        <w:t>L</w:t>
      </w:r>
      <w:r w:rsidR="00F06D2E">
        <w:rPr>
          <w:rStyle w:val="Bodytext1"/>
          <w:noProof/>
        </w:rPr>
        <w:t>'</w:t>
      </w:r>
      <w:r>
        <w:rPr>
          <w:rStyle w:val="Bodytext1"/>
          <w:noProof/>
        </w:rPr>
        <w:t xml:space="preserve">EU ETS disciplina le emissioni del trasporto aereo dal 2012. Dal punto di vista giuridico, rientrano nel sistema tutti i voli in partenza da e verso il SEE e tutti i voli in arrivo se non esentati. </w:t>
      </w:r>
    </w:p>
    <w:p w14:paraId="01E853C9" w14:textId="30F3C678" w:rsidR="00920844" w:rsidRPr="00685D02" w:rsidRDefault="5E0A25F4" w:rsidP="00187D4D">
      <w:pPr>
        <w:pStyle w:val="CMR-text"/>
        <w:rPr>
          <w:rFonts w:cs="Times New Roman"/>
          <w:noProof/>
        </w:rPr>
      </w:pPr>
      <w:r>
        <w:rPr>
          <w:rStyle w:val="Bodytext1"/>
          <w:noProof/>
        </w:rPr>
        <w:t>Nel 2013 tuttavia l</w:t>
      </w:r>
      <w:r w:rsidR="00F06D2E">
        <w:rPr>
          <w:rStyle w:val="Bodytext1"/>
          <w:noProof/>
        </w:rPr>
        <w:t>'</w:t>
      </w:r>
      <w:r>
        <w:rPr>
          <w:rStyle w:val="Bodytext1"/>
          <w:noProof/>
        </w:rPr>
        <w:t>UE ha limitato gli obblighi dell</w:t>
      </w:r>
      <w:r w:rsidR="00F06D2E">
        <w:rPr>
          <w:rStyle w:val="Bodytext1"/>
          <w:noProof/>
        </w:rPr>
        <w:t>'</w:t>
      </w:r>
      <w:r>
        <w:rPr>
          <w:rStyle w:val="Bodytext1"/>
          <w:noProof/>
        </w:rPr>
        <w:t>ETS ai voli all</w:t>
      </w:r>
      <w:r w:rsidR="00F06D2E">
        <w:rPr>
          <w:rStyle w:val="Bodytext1"/>
          <w:noProof/>
        </w:rPr>
        <w:t>'</w:t>
      </w:r>
      <w:r>
        <w:rPr>
          <w:rStyle w:val="Bodytext1"/>
          <w:noProof/>
        </w:rPr>
        <w:t>interno del SEE per agevolare l</w:t>
      </w:r>
      <w:r w:rsidR="00F06D2E">
        <w:rPr>
          <w:rStyle w:val="Bodytext1"/>
          <w:noProof/>
        </w:rPr>
        <w:t>'</w:t>
      </w:r>
      <w:r>
        <w:rPr>
          <w:rStyle w:val="Bodytext1"/>
          <w:noProof/>
        </w:rPr>
        <w:t>elaborazione, a opera dell</w:t>
      </w:r>
      <w:r w:rsidR="00F06D2E">
        <w:rPr>
          <w:rStyle w:val="Bodytext1"/>
          <w:noProof/>
        </w:rPr>
        <w:t>'</w:t>
      </w:r>
      <w:r>
        <w:rPr>
          <w:rStyle w:val="Bodytext1"/>
          <w:noProof/>
        </w:rPr>
        <w:t>Organizzazione per l</w:t>
      </w:r>
      <w:r w:rsidR="00F06D2E">
        <w:rPr>
          <w:rStyle w:val="Bodytext1"/>
          <w:noProof/>
        </w:rPr>
        <w:t>'</w:t>
      </w:r>
      <w:r>
        <w:rPr>
          <w:rStyle w:val="Bodytext1"/>
          <w:noProof/>
        </w:rPr>
        <w:t>aviazione civile internazionale (ICAO), di una misura mondiale basata sul mercato volta a ridurre le emissioni del trasporto aereo</w:t>
      </w:r>
      <w:r>
        <w:rPr>
          <w:rStyle w:val="Bodytext1"/>
          <w:rFonts w:cs="Times New Roman"/>
          <w:noProof/>
          <w:vertAlign w:val="superscript"/>
          <w:lang w:val="en-IE"/>
        </w:rPr>
        <w:footnoteReference w:id="75"/>
      </w:r>
      <w:r>
        <w:rPr>
          <w:rStyle w:val="Bodytext1"/>
          <w:noProof/>
        </w:rPr>
        <w:t>. Da allora la limitazione dell</w:t>
      </w:r>
      <w:r w:rsidR="00F06D2E">
        <w:rPr>
          <w:rStyle w:val="Bodytext1"/>
          <w:noProof/>
        </w:rPr>
        <w:t>'</w:t>
      </w:r>
      <w:r>
        <w:rPr>
          <w:rStyle w:val="Bodytext1"/>
          <w:noProof/>
        </w:rPr>
        <w:t>ambito di applicazione della direttiva ETS è stata prorogata tre volte e nella revisione del 2023 si sottolinea che dovrebbe trattarsi dell</w:t>
      </w:r>
      <w:r w:rsidR="00F06D2E">
        <w:rPr>
          <w:rStyle w:val="Bodytext1"/>
          <w:noProof/>
        </w:rPr>
        <w:t>'</w:t>
      </w:r>
      <w:r>
        <w:rPr>
          <w:rStyle w:val="Bodytext1"/>
          <w:noProof/>
        </w:rPr>
        <w:t>ultima deroga temporanea all</w:t>
      </w:r>
      <w:r w:rsidR="00F06D2E">
        <w:rPr>
          <w:rStyle w:val="Bodytext1"/>
          <w:noProof/>
        </w:rPr>
        <w:t>'</w:t>
      </w:r>
      <w:r>
        <w:rPr>
          <w:rStyle w:val="Bodytext1"/>
          <w:noProof/>
        </w:rPr>
        <w:t>EU ETS</w:t>
      </w:r>
      <w:r>
        <w:rPr>
          <w:rStyle w:val="FootnoteReference"/>
          <w:rFonts w:cs="Times New Roman"/>
          <w:noProof/>
          <w:lang w:val="en-IE" w:eastAsia="bg-BG" w:bidi="bg-BG"/>
        </w:rPr>
        <w:footnoteReference w:id="76"/>
      </w:r>
      <w:r>
        <w:rPr>
          <w:rStyle w:val="Bodytext1"/>
          <w:noProof/>
        </w:rPr>
        <w:t>.</w:t>
      </w:r>
      <w:r>
        <w:rPr>
          <w:noProof/>
        </w:rPr>
        <w:t xml:space="preserve"> I voli da e verso circa 75</w:t>
      </w:r>
      <w:r w:rsidR="0091482D">
        <w:rPr>
          <w:noProof/>
        </w:rPr>
        <w:t> </w:t>
      </w:r>
      <w:r>
        <w:rPr>
          <w:noProof/>
        </w:rPr>
        <w:t>paesi meno sviluppati e piccoli Stati insulari in via di sviluppo sono esentati su base continuativa.</w:t>
      </w:r>
    </w:p>
    <w:p w14:paraId="60FF6E22" w14:textId="09F16047" w:rsidR="00187D4D" w:rsidRPr="00685D02" w:rsidRDefault="00C46D90" w:rsidP="00187D4D">
      <w:pPr>
        <w:pStyle w:val="CMR-text"/>
        <w:rPr>
          <w:rStyle w:val="Bodytext1"/>
          <w:rFonts w:cs="Times New Roman"/>
          <w:noProof/>
        </w:rPr>
      </w:pPr>
      <w:r>
        <w:rPr>
          <w:rStyle w:val="Bodytext1"/>
          <w:noProof/>
        </w:rPr>
        <w:t>Dal 1º gennaio 2020 l</w:t>
      </w:r>
      <w:r w:rsidR="00F06D2E">
        <w:rPr>
          <w:rStyle w:val="Bodytext1"/>
          <w:noProof/>
        </w:rPr>
        <w:t>'</w:t>
      </w:r>
      <w:r>
        <w:rPr>
          <w:rStyle w:val="Bodytext1"/>
          <w:noProof/>
        </w:rPr>
        <w:t>EU ETS si applica anche alle emissioni dei voli in partenza verso la Svizzera, mentre l</w:t>
      </w:r>
      <w:r w:rsidR="00F06D2E">
        <w:rPr>
          <w:rStyle w:val="Bodytext1"/>
          <w:noProof/>
        </w:rPr>
        <w:t>'</w:t>
      </w:r>
      <w:r>
        <w:rPr>
          <w:rStyle w:val="Bodytext1"/>
          <w:noProof/>
        </w:rPr>
        <w:t>ETS svizzero si applica ai voli in partenza verso aeroporti del SEE. In questo modo è creato un incentivo alla decarbonizzazione mantenendo al contempo condizioni di parità in entrambe le direzioni. Analogamente, dal 1º gennaio 2021 l</w:t>
      </w:r>
      <w:r w:rsidR="00F06D2E">
        <w:rPr>
          <w:rStyle w:val="Bodytext1"/>
          <w:noProof/>
        </w:rPr>
        <w:t>'</w:t>
      </w:r>
      <w:r>
        <w:rPr>
          <w:rStyle w:val="Bodytext1"/>
          <w:noProof/>
        </w:rPr>
        <w:t>EU ETS si applica ai voli in partenza verso il Regno Unito e l</w:t>
      </w:r>
      <w:r w:rsidR="00F06D2E">
        <w:rPr>
          <w:rStyle w:val="Bodytext1"/>
          <w:noProof/>
        </w:rPr>
        <w:t>'</w:t>
      </w:r>
      <w:r>
        <w:rPr>
          <w:rStyle w:val="Bodytext1"/>
          <w:noProof/>
        </w:rPr>
        <w:t>ETS del Regno Unito a quelli in partenza verso aeroporti del SEE. Ciò fa sì che il prezzo del carbonio continui ad applicarsi alle emissioni del trasporto aereo nonostante l</w:t>
      </w:r>
      <w:r w:rsidR="00F06D2E">
        <w:rPr>
          <w:rStyle w:val="Bodytext1"/>
          <w:noProof/>
        </w:rPr>
        <w:t>'</w:t>
      </w:r>
      <w:r>
        <w:rPr>
          <w:rStyle w:val="Bodytext1"/>
          <w:noProof/>
        </w:rPr>
        <w:t>uscita del Regno Unito dall</w:t>
      </w:r>
      <w:r w:rsidR="00F06D2E">
        <w:rPr>
          <w:rStyle w:val="Bodytext1"/>
          <w:noProof/>
        </w:rPr>
        <w:t>'</w:t>
      </w:r>
      <w:r>
        <w:rPr>
          <w:rStyle w:val="Bodytext1"/>
          <w:noProof/>
        </w:rPr>
        <w:t>UE.</w:t>
      </w:r>
    </w:p>
    <w:p w14:paraId="42310410" w14:textId="2730A84F" w:rsidR="00187D4D" w:rsidRPr="00685D02" w:rsidRDefault="3F0A0337" w:rsidP="00187D4D">
      <w:pPr>
        <w:pStyle w:val="CMR-text"/>
        <w:rPr>
          <w:rStyle w:val="Bodytext1"/>
          <w:rFonts w:cs="Times New Roman"/>
          <w:noProof/>
        </w:rPr>
      </w:pPr>
      <w:r>
        <w:rPr>
          <w:rStyle w:val="Bodytext1"/>
          <w:noProof/>
        </w:rPr>
        <w:t>Dal 1º gennaio 2024 l</w:t>
      </w:r>
      <w:r w:rsidR="00F06D2E">
        <w:rPr>
          <w:rStyle w:val="Bodytext1"/>
          <w:noProof/>
        </w:rPr>
        <w:t>'</w:t>
      </w:r>
      <w:r>
        <w:rPr>
          <w:rStyle w:val="Bodytext1"/>
          <w:noProof/>
        </w:rPr>
        <w:t>EU ETS si applica alle emissioni della maggior parte dei voli</w:t>
      </w:r>
      <w:r>
        <w:rPr>
          <w:rStyle w:val="FootnoteReference"/>
          <w:rFonts w:cs="Times New Roman"/>
          <w:noProof/>
          <w:lang w:val="en-IE"/>
        </w:rPr>
        <w:footnoteReference w:id="77"/>
      </w:r>
      <w:r>
        <w:rPr>
          <w:rStyle w:val="Bodytext1"/>
          <w:noProof/>
        </w:rPr>
        <w:t xml:space="preserve"> da e per le nove regioni ultraperiferiche dell</w:t>
      </w:r>
      <w:r w:rsidR="00F06D2E">
        <w:rPr>
          <w:rStyle w:val="Bodytext1"/>
          <w:noProof/>
        </w:rPr>
        <w:t>'</w:t>
      </w:r>
      <w:r>
        <w:rPr>
          <w:rStyle w:val="Bodytext1"/>
          <w:noProof/>
        </w:rPr>
        <w:t>UE, come pure alle emissioni dei voli in partenza dalle regioni ultraperiferiche verso la Svizzera e il Regno Unito. Complessivamente ciò equivale a un ampliamento della copertura del prezzo del carbonio dell</w:t>
      </w:r>
      <w:r w:rsidR="00F06D2E">
        <w:rPr>
          <w:rStyle w:val="Bodytext1"/>
          <w:noProof/>
        </w:rPr>
        <w:t>'</w:t>
      </w:r>
      <w:r>
        <w:rPr>
          <w:rStyle w:val="Bodytext1"/>
          <w:noProof/>
        </w:rPr>
        <w:t>ETS di circa il 7 %. Dal 2024 anche la Svizzera ha incluso nel proprio ETS le emissioni dei voli verso le regioni ultraperiferiche</w:t>
      </w:r>
      <w:r>
        <w:rPr>
          <w:rStyle w:val="FootnoteReference"/>
          <w:rFonts w:cs="Times New Roman"/>
          <w:noProof/>
          <w:lang w:val="en-IE"/>
        </w:rPr>
        <w:footnoteReference w:id="78"/>
      </w:r>
      <w:r>
        <w:rPr>
          <w:rStyle w:val="Bodytext1"/>
          <w:noProof/>
        </w:rPr>
        <w:t>.</w:t>
      </w:r>
    </w:p>
    <w:p w14:paraId="266618AD" w14:textId="3A72AC0B" w:rsidR="00537304" w:rsidRPr="00685D02" w:rsidRDefault="23C5340A" w:rsidP="00537304">
      <w:pPr>
        <w:pStyle w:val="CMR-text"/>
        <w:rPr>
          <w:rFonts w:cs="Times New Roman"/>
          <w:noProof/>
        </w:rPr>
      </w:pPr>
      <w:r>
        <w:rPr>
          <w:rStyle w:val="Bodytext1"/>
          <w:noProof/>
        </w:rPr>
        <w:t>In parallelo, per agevolare i lavori dell</w:t>
      </w:r>
      <w:r w:rsidR="00F06D2E">
        <w:rPr>
          <w:rStyle w:val="Bodytext1"/>
          <w:noProof/>
        </w:rPr>
        <w:t>'</w:t>
      </w:r>
      <w:r>
        <w:rPr>
          <w:rStyle w:val="Bodytext1"/>
          <w:noProof/>
        </w:rPr>
        <w:t>ICAO, l</w:t>
      </w:r>
      <w:r w:rsidR="00F06D2E">
        <w:rPr>
          <w:rStyle w:val="Bodytext1"/>
          <w:noProof/>
        </w:rPr>
        <w:t>'</w:t>
      </w:r>
      <w:r>
        <w:rPr>
          <w:rStyle w:val="Bodytext1"/>
          <w:noProof/>
        </w:rPr>
        <w:t>applicazione limitata dell</w:t>
      </w:r>
      <w:r w:rsidR="00F06D2E">
        <w:rPr>
          <w:rStyle w:val="Bodytext1"/>
          <w:noProof/>
        </w:rPr>
        <w:t>'</w:t>
      </w:r>
      <w:r>
        <w:rPr>
          <w:rStyle w:val="Bodytext1"/>
          <w:noProof/>
        </w:rPr>
        <w:t>EU ETS al trasporto aereo intraeuropeo è stata prorogata fino a fine 2026, dato che dal 2027 tutti i principali paesi terzi dovrebbero applicare il regime di compensazione e riduzione delle emissioni di carbonio per il trasporto aereo internazionale (</w:t>
      </w:r>
      <w:r>
        <w:rPr>
          <w:rStyle w:val="Bodytext1"/>
          <w:i/>
          <w:noProof/>
        </w:rPr>
        <w:t>Carbon Offsetting and Reduction Scheme for International Aviation</w:t>
      </w:r>
      <w:r>
        <w:rPr>
          <w:rStyle w:val="Bodytext1"/>
          <w:noProof/>
        </w:rPr>
        <w:t>, CORSIA). Nel</w:t>
      </w:r>
      <w:r w:rsidR="0091482D">
        <w:rPr>
          <w:rStyle w:val="Bodytext1"/>
          <w:noProof/>
        </w:rPr>
        <w:t> </w:t>
      </w:r>
      <w:r>
        <w:rPr>
          <w:rStyle w:val="Bodytext1"/>
          <w:noProof/>
        </w:rPr>
        <w:t>contesto del riesame dell</w:t>
      </w:r>
      <w:r w:rsidR="00F06D2E">
        <w:rPr>
          <w:rStyle w:val="Bodytext1"/>
          <w:noProof/>
        </w:rPr>
        <w:t>'</w:t>
      </w:r>
      <w:r>
        <w:rPr>
          <w:rStyle w:val="Bodytext1"/>
          <w:noProof/>
        </w:rPr>
        <w:t>ETS a metà del 2026, la Commissione è tenuta a valutare se i paesi terzi che si ritiene partecipino a CORSIA rappresentino più o meno del 70 % delle emissioni del trasporto aereo internazionale, sulla base dei dati più recenti sulle emissioni (articolo 28 ter, paragrafo 3, lettera</w:t>
      </w:r>
      <w:r w:rsidR="0091482D">
        <w:rPr>
          <w:rStyle w:val="Bodytext1"/>
          <w:noProof/>
        </w:rPr>
        <w:t> </w:t>
      </w:r>
      <w:r>
        <w:rPr>
          <w:rStyle w:val="Bodytext1"/>
          <w:noProof/>
        </w:rPr>
        <w:t>b), della direttiva ETS). Tale approccio mira a incentivare l</w:t>
      </w:r>
      <w:r w:rsidR="00F06D2E">
        <w:rPr>
          <w:rStyle w:val="Bodytext1"/>
          <w:noProof/>
        </w:rPr>
        <w:t>'</w:t>
      </w:r>
      <w:r>
        <w:rPr>
          <w:rStyle w:val="Bodytext1"/>
          <w:noProof/>
        </w:rPr>
        <w:t xml:space="preserve">attuazione di CORSIA da parte di tutti i paesi che </w:t>
      </w:r>
      <w:r>
        <w:rPr>
          <w:noProof/>
        </w:rPr>
        <w:t>dovrebbero partecipare a tale regime quando quest</w:t>
      </w:r>
      <w:r w:rsidR="00F06D2E">
        <w:rPr>
          <w:noProof/>
        </w:rPr>
        <w:t>'</w:t>
      </w:r>
      <w:r>
        <w:rPr>
          <w:noProof/>
        </w:rPr>
        <w:t>ultimo diventerà obbligatorio</w:t>
      </w:r>
      <w:r>
        <w:rPr>
          <w:rStyle w:val="FootnoteReference"/>
          <w:rFonts w:cs="Times New Roman"/>
          <w:noProof/>
          <w:lang w:val="en-IE" w:eastAsia="bg-BG"/>
        </w:rPr>
        <w:footnoteReference w:id="79"/>
      </w:r>
      <w:r>
        <w:rPr>
          <w:noProof/>
        </w:rPr>
        <w:t xml:space="preserve">. </w:t>
      </w:r>
      <w:r w:rsidRPr="0091482D">
        <w:rPr>
          <w:noProof/>
        </w:rPr>
        <w:t>Nel</w:t>
      </w:r>
      <w:r w:rsidR="0091482D">
        <w:rPr>
          <w:noProof/>
        </w:rPr>
        <w:t> </w:t>
      </w:r>
      <w:r w:rsidRPr="0091482D">
        <w:rPr>
          <w:noProof/>
        </w:rPr>
        <w:t>complesso</w:t>
      </w:r>
      <w:r>
        <w:rPr>
          <w:noProof/>
        </w:rPr>
        <w:t xml:space="preserve"> l</w:t>
      </w:r>
      <w:r w:rsidR="00F06D2E">
        <w:rPr>
          <w:noProof/>
        </w:rPr>
        <w:t>'</w:t>
      </w:r>
      <w:r>
        <w:rPr>
          <w:noProof/>
        </w:rPr>
        <w:t>UE incoraggia tutti i paesi a partecipare.</w:t>
      </w:r>
    </w:p>
    <w:p w14:paraId="35CD6AE8" w14:textId="5EC81373" w:rsidR="00537304" w:rsidRPr="00685D02" w:rsidRDefault="23C5340A" w:rsidP="00537304">
      <w:pPr>
        <w:pStyle w:val="CMR-text"/>
        <w:rPr>
          <w:rFonts w:cs="Times New Roman"/>
          <w:noProof/>
        </w:rPr>
      </w:pPr>
      <w:r>
        <w:rPr>
          <w:noProof/>
        </w:rPr>
        <w:t xml:space="preserve">La valutazione prescritta dalla direttiva ETS stabilisce parametri chiari per il calcolo della soglia del 70 %. Il numeratore è costituito dalle emissioni del trasporto aereo internazionale rappresentate dagli </w:t>
      </w:r>
      <w:r w:rsidR="00F06D2E">
        <w:rPr>
          <w:noProof/>
        </w:rPr>
        <w:t>"</w:t>
      </w:r>
      <w:r>
        <w:rPr>
          <w:i/>
          <w:noProof/>
        </w:rPr>
        <w:t>Stati elencati nell</w:t>
      </w:r>
      <w:r w:rsidR="00F06D2E">
        <w:rPr>
          <w:i/>
          <w:noProof/>
        </w:rPr>
        <w:t>'</w:t>
      </w:r>
      <w:r>
        <w:rPr>
          <w:i/>
          <w:noProof/>
        </w:rPr>
        <w:t>atto di esecuzione adottato in applicazione dell</w:t>
      </w:r>
      <w:r w:rsidR="00F06D2E">
        <w:rPr>
          <w:i/>
          <w:noProof/>
        </w:rPr>
        <w:t>'</w:t>
      </w:r>
      <w:r>
        <w:rPr>
          <w:i/>
          <w:noProof/>
        </w:rPr>
        <w:t>articolo 25 bis, paragrafo 3</w:t>
      </w:r>
      <w:r w:rsidR="00F06D2E">
        <w:rPr>
          <w:noProof/>
        </w:rPr>
        <w:t>"</w:t>
      </w:r>
      <w:r>
        <w:rPr>
          <w:noProof/>
        </w:rPr>
        <w:t>, ossia Stati diversi dai paesi del SEE, dalla Svizzera e dal Regno Unito. Il numeratore comprende pertanto le emissioni prodotte dai voli sulle rotte tra gli Stati elencati nell</w:t>
      </w:r>
      <w:r w:rsidR="00F06D2E">
        <w:rPr>
          <w:noProof/>
        </w:rPr>
        <w:t>'</w:t>
      </w:r>
      <w:r>
        <w:rPr>
          <w:noProof/>
        </w:rPr>
        <w:t>atto di esecuzione, nonché sulle rotte tra uno Stato membro del SEE o la Svizzera o il Regno Unito e tali Stati. La valutazione segue il principio basato sulle rotte, vale a dire presume che qualsiasi volo su tali rotte sia soggetto all</w:t>
      </w:r>
      <w:r w:rsidR="00F06D2E">
        <w:rPr>
          <w:noProof/>
        </w:rPr>
        <w:t>'</w:t>
      </w:r>
      <w:r>
        <w:rPr>
          <w:noProof/>
        </w:rPr>
        <w:t>obbligo di compensazione nell</w:t>
      </w:r>
      <w:r w:rsidR="00F06D2E">
        <w:rPr>
          <w:noProof/>
        </w:rPr>
        <w:t>'</w:t>
      </w:r>
      <w:r>
        <w:rPr>
          <w:noProof/>
        </w:rPr>
        <w:t>ambito di CORSIA, anche se effettuato da un vettore con partenza da uno Stato non partecipante</w:t>
      </w:r>
      <w:r>
        <w:rPr>
          <w:rStyle w:val="FootnoteReference"/>
          <w:rFonts w:cs="Times New Roman"/>
          <w:noProof/>
          <w:lang w:val="en-IE" w:eastAsia="bg-BG"/>
        </w:rPr>
        <w:footnoteReference w:id="80"/>
      </w:r>
      <w:r>
        <w:rPr>
          <w:noProof/>
        </w:rPr>
        <w:t xml:space="preserve">. In questo modo si evita una sottostima. Il denominatore di questo calcolo è costituito da tutte le </w:t>
      </w:r>
      <w:r w:rsidR="00F06D2E">
        <w:rPr>
          <w:noProof/>
        </w:rPr>
        <w:t>"</w:t>
      </w:r>
      <w:r>
        <w:rPr>
          <w:i/>
          <w:noProof/>
        </w:rPr>
        <w:t>emissioni del trasporto aereo internazionale</w:t>
      </w:r>
      <w:r w:rsidR="00F06D2E">
        <w:rPr>
          <w:noProof/>
        </w:rPr>
        <w:t>"</w:t>
      </w:r>
      <w:r>
        <w:rPr>
          <w:noProof/>
        </w:rPr>
        <w:t>, ossia tutte le emissioni prodotte dai voli sulle rotte tra due paesi ICAO. Per questo calcolo saranno utilizzati i dati pubblicati</w:t>
      </w:r>
      <w:r>
        <w:rPr>
          <w:rStyle w:val="FootnoteReference"/>
          <w:rFonts w:cs="Times New Roman"/>
          <w:noProof/>
          <w:lang w:val="en-IE" w:eastAsia="bg-BG"/>
        </w:rPr>
        <w:footnoteReference w:id="81"/>
      </w:r>
      <w:r>
        <w:rPr>
          <w:noProof/>
        </w:rPr>
        <w:t xml:space="preserve"> dal segretariato dell</w:t>
      </w:r>
      <w:r w:rsidR="00F06D2E">
        <w:rPr>
          <w:noProof/>
        </w:rPr>
        <w:t>'</w:t>
      </w:r>
      <w:r>
        <w:rPr>
          <w:noProof/>
        </w:rPr>
        <w:t>ICAO, che sono comunicati direttamente dai paesi oppure integrati dal segretariato dell</w:t>
      </w:r>
      <w:r w:rsidR="00F06D2E">
        <w:rPr>
          <w:noProof/>
        </w:rPr>
        <w:t>'</w:t>
      </w:r>
      <w:r>
        <w:rPr>
          <w:noProof/>
        </w:rPr>
        <w:t>ICAO secondo una metodologia concordata. Il calcolo è riportato nella tabella seguente.</w:t>
      </w:r>
    </w:p>
    <w:p w14:paraId="035EC969" w14:textId="21904933" w:rsidR="00E838BB" w:rsidRPr="00526DF4" w:rsidRDefault="009A1E37" w:rsidP="00187D4D">
      <w:pPr>
        <w:pStyle w:val="CMR-text"/>
        <w:rPr>
          <w:rStyle w:val="Bodytext1"/>
          <w:rFonts w:cs="Times New Roman"/>
          <w:noProof/>
          <w:sz w:val="20"/>
          <w:szCs w:val="20"/>
        </w:rPr>
      </w:pPr>
      <m:oMathPara>
        <m:oMath>
          <m:f>
            <m:fPr>
              <m:ctrlPr>
                <w:rPr>
                  <w:rFonts w:ascii="Cambria Math" w:hAnsi="Cambria Math" w:cs="Times New Roman"/>
                  <w:i/>
                  <w:noProof/>
                  <w:sz w:val="16"/>
                  <w:szCs w:val="16"/>
                  <w:lang w:val="en-IE" w:eastAsia="bg-BG"/>
                </w:rPr>
              </m:ctrlPr>
            </m:fPr>
            <m:num>
              <m:sSub>
                <m:sSubPr>
                  <m:ctrlPr>
                    <w:rPr>
                      <w:rFonts w:ascii="Cambria Math" w:hAnsi="Cambria Math" w:cs="Times New Roman"/>
                      <w:i/>
                      <w:noProof/>
                      <w:sz w:val="16"/>
                      <w:szCs w:val="16"/>
                      <w:lang w:val="en-IE" w:eastAsia="bg-BG"/>
                    </w:rPr>
                  </m:ctrlPr>
                </m:sSubPr>
                <m:e>
                  <m:r>
                    <w:rPr>
                      <w:rFonts w:ascii="Cambria Math" w:hAnsi="Cambria Math" w:cs="Times New Roman"/>
                      <w:noProof/>
                      <w:kern w:val="2"/>
                      <w:sz w:val="16"/>
                      <w:szCs w:val="16"/>
                      <w:lang w:val="en-IE" w:eastAsia="bg-BG"/>
                      <w14:ligatures w14:val="standardContextual"/>
                    </w:rPr>
                    <m:t>CO</m:t>
                  </m:r>
                </m:e>
                <m:sub>
                  <m:r>
                    <w:rPr>
                      <w:rFonts w:ascii="Cambria Math" w:hAnsi="Cambria Math" w:cs="Times New Roman"/>
                      <w:noProof/>
                      <w:kern w:val="2"/>
                      <w:sz w:val="16"/>
                      <w:szCs w:val="16"/>
                      <w:lang w:val="en-IE" w:eastAsia="bg-BG"/>
                      <w14:ligatures w14:val="standardContextual"/>
                    </w:rPr>
                    <m:t>2</m:t>
                  </m:r>
                </m:sub>
              </m:sSub>
              <m:r>
                <w:rPr>
                  <w:rFonts w:ascii="Cambria Math" w:hAnsi="Cambria Math" w:cs="Times New Roman"/>
                  <w:noProof/>
                  <w:kern w:val="2"/>
                  <w:sz w:val="16"/>
                  <w:szCs w:val="16"/>
                  <w:lang w:val="en-IE" w:eastAsia="bg-BG"/>
                  <w14:ligatures w14:val="standardContextual"/>
                </w:rPr>
                <m:t xml:space="preserve"> emissions relating to </m:t>
              </m:r>
              <m:r>
                <w:rPr>
                  <w:rStyle w:val="Bodytext1"/>
                  <w:rFonts w:ascii="Cambria Math" w:hAnsi="Cambria Math" w:cs="Times New Roman"/>
                  <w:noProof/>
                  <w:kern w:val="2"/>
                  <w:sz w:val="16"/>
                  <w:szCs w:val="16"/>
                  <w:lang w:val="en-IE" w:eastAsia="bg-BG"/>
                  <w14:ligatures w14:val="standardContextual"/>
                </w:rPr>
                <m:t>non-European States</m:t>
              </m:r>
              <m:r>
                <w:rPr>
                  <w:rFonts w:ascii="Cambria Math" w:hAnsi="Cambria Math" w:cs="Times New Roman"/>
                  <w:noProof/>
                  <w:kern w:val="2"/>
                  <w:sz w:val="16"/>
                  <w:szCs w:val="16"/>
                  <w:lang w:val="en-IE" w:eastAsia="bg-BG"/>
                  <w14:ligatures w14:val="standardContextual"/>
                </w:rPr>
                <m:t xml:space="preserve">on routes between </m:t>
              </m:r>
              <m:r>
                <w:rPr>
                  <w:rFonts w:ascii="Cambria Math" w:hAnsi="Cambria Math" w:cs="Times New Roman"/>
                  <w:noProof/>
                  <w:kern w:val="2"/>
                  <w:sz w:val="18"/>
                  <w:szCs w:val="18"/>
                  <w:lang w:val="en-IE" w:eastAsia="bg-BG"/>
                  <w14:ligatures w14:val="standardContextual"/>
                </w:rPr>
                <m:t>countries</m:t>
              </m:r>
              <m:r>
                <w:rPr>
                  <w:rFonts w:ascii="Cambria Math" w:hAnsi="Cambria Math" w:cs="Times New Roman"/>
                  <w:noProof/>
                  <w:kern w:val="2"/>
                  <w:sz w:val="16"/>
                  <w:szCs w:val="16"/>
                  <w:lang w:val="en-IE" w:eastAsia="bg-BG"/>
                  <w14:ligatures w14:val="standardContextual"/>
                </w:rPr>
                <m:t xml:space="preserve"> participating in CORSIA offsetting</m:t>
              </m:r>
            </m:num>
            <m:den>
              <m:sSub>
                <m:sSubPr>
                  <m:ctrlPr>
                    <w:rPr>
                      <w:rFonts w:ascii="Cambria Math" w:hAnsi="Cambria Math" w:cs="Times New Roman"/>
                      <w:i/>
                      <w:noProof/>
                      <w:sz w:val="16"/>
                      <w:szCs w:val="16"/>
                      <w:lang w:val="en-IE" w:eastAsia="bg-BG"/>
                    </w:rPr>
                  </m:ctrlPr>
                </m:sSubPr>
                <m:e>
                  <m:r>
                    <w:rPr>
                      <w:rFonts w:ascii="Cambria Math" w:hAnsi="Cambria Math" w:cs="Times New Roman"/>
                      <w:noProof/>
                      <w:kern w:val="2"/>
                      <w:sz w:val="16"/>
                      <w:szCs w:val="16"/>
                      <w:lang w:val="en-IE" w:eastAsia="bg-BG"/>
                      <w14:ligatures w14:val="standardContextual"/>
                    </w:rPr>
                    <m:t>CO</m:t>
                  </m:r>
                </m:e>
                <m:sub>
                  <m:r>
                    <w:rPr>
                      <w:rFonts w:ascii="Cambria Math" w:hAnsi="Cambria Math" w:cs="Times New Roman"/>
                      <w:noProof/>
                      <w:kern w:val="2"/>
                      <w:sz w:val="16"/>
                      <w:szCs w:val="16"/>
                      <w:lang w:val="en-IE" w:eastAsia="bg-BG"/>
                      <w14:ligatures w14:val="standardContextual"/>
                    </w:rPr>
                    <m:t>2</m:t>
                  </m:r>
                </m:sub>
              </m:sSub>
              <m:r>
                <w:rPr>
                  <w:rFonts w:ascii="Cambria Math" w:hAnsi="Cambria Math" w:cs="Times New Roman"/>
                  <w:noProof/>
                  <w:kern w:val="2"/>
                  <w:sz w:val="16"/>
                  <w:szCs w:val="16"/>
                  <w:lang w:val="en-IE" w:eastAsia="bg-BG"/>
                  <w14:ligatures w14:val="standardContextual"/>
                </w:rPr>
                <m:t xml:space="preserve"> emissions on international routes</m:t>
              </m:r>
            </m:den>
          </m:f>
        </m:oMath>
      </m:oMathPara>
    </w:p>
    <w:p w14:paraId="6D75C15C" w14:textId="3DFDB552" w:rsidR="00187D4D" w:rsidRPr="00685D02" w:rsidRDefault="30A45A5F" w:rsidP="00187D4D">
      <w:pPr>
        <w:pStyle w:val="CMR-text"/>
        <w:rPr>
          <w:rFonts w:cs="Times New Roman"/>
          <w:noProof/>
        </w:rPr>
      </w:pPr>
      <w:r>
        <w:rPr>
          <w:rStyle w:val="Bodytext1"/>
          <w:noProof/>
        </w:rPr>
        <w:t>Nel 2024 sono stati rilasciati circa</w:t>
      </w:r>
      <w:r>
        <w:rPr>
          <w:noProof/>
        </w:rPr>
        <w:t xml:space="preserve"> 27,6 milioni </w:t>
      </w:r>
      <w:r>
        <w:rPr>
          <w:rStyle w:val="Bodytext1"/>
          <w:noProof/>
        </w:rPr>
        <w:t>di quote di emissioni del trasporto aereo, in linea con l</w:t>
      </w:r>
      <w:r w:rsidR="00F06D2E">
        <w:rPr>
          <w:rStyle w:val="Bodytext1"/>
          <w:noProof/>
        </w:rPr>
        <w:t>'</w:t>
      </w:r>
      <w:r>
        <w:rPr>
          <w:rStyle w:val="Bodytext1"/>
          <w:noProof/>
        </w:rPr>
        <w:t>ambito di applicazione vigente dell</w:t>
      </w:r>
      <w:r w:rsidR="00F06D2E">
        <w:rPr>
          <w:rStyle w:val="Bodytext1"/>
          <w:noProof/>
        </w:rPr>
        <w:t>'</w:t>
      </w:r>
      <w:r>
        <w:rPr>
          <w:rStyle w:val="Bodytext1"/>
          <w:noProof/>
        </w:rPr>
        <w:t>EU ETS. Il volume di quote assegnate a titolo gratuito ha raggiunto 17,5 milioni. Gli operatori aerei gestiti dagli amministratori nazionali nel SEE hanno ricevuto a titolo gratuito poco più di 0,3 milioni di quote di emissioni del trasporto aereo nell</w:t>
      </w:r>
      <w:r w:rsidR="00F06D2E">
        <w:rPr>
          <w:rStyle w:val="Bodytext1"/>
          <w:noProof/>
        </w:rPr>
        <w:t>'</w:t>
      </w:r>
      <w:r>
        <w:rPr>
          <w:rStyle w:val="Bodytext1"/>
          <w:noProof/>
        </w:rPr>
        <w:t>ambito dell</w:t>
      </w:r>
      <w:r w:rsidR="00F06D2E">
        <w:rPr>
          <w:rStyle w:val="Bodytext1"/>
          <w:noProof/>
        </w:rPr>
        <w:t>'</w:t>
      </w:r>
      <w:r>
        <w:rPr>
          <w:rStyle w:val="Bodytext1"/>
          <w:noProof/>
        </w:rPr>
        <w:t>ETS svizzero. Nel 2024 sono stati messi all</w:t>
      </w:r>
      <w:r w:rsidR="00F06D2E">
        <w:rPr>
          <w:rStyle w:val="Bodytext1"/>
          <w:noProof/>
        </w:rPr>
        <w:t>'</w:t>
      </w:r>
      <w:r>
        <w:rPr>
          <w:rStyle w:val="Bodytext1"/>
          <w:noProof/>
        </w:rPr>
        <w:t xml:space="preserve">asta circa 6,7 milioni di quote del trasporto aereo. </w:t>
      </w:r>
    </w:p>
    <w:p w14:paraId="0AC3BD1F" w14:textId="0869B4B9" w:rsidR="00B7738B" w:rsidRPr="00685D02" w:rsidRDefault="7B107DC4" w:rsidP="00B7738B">
      <w:pPr>
        <w:pStyle w:val="CMR-text"/>
        <w:rPr>
          <w:rStyle w:val="Bodytext1"/>
          <w:rFonts w:cs="Times New Roman"/>
          <w:noProof/>
        </w:rPr>
      </w:pPr>
      <w:r>
        <w:rPr>
          <w:noProof/>
        </w:rPr>
        <w:t>Nel 2024 è proseguito l</w:t>
      </w:r>
      <w:r w:rsidR="00F06D2E">
        <w:rPr>
          <w:noProof/>
        </w:rPr>
        <w:t>'</w:t>
      </w:r>
      <w:r>
        <w:rPr>
          <w:noProof/>
        </w:rPr>
        <w:t>aumento delle emissioni degli operatori aerei rispetto all</w:t>
      </w:r>
      <w:r w:rsidR="00F06D2E">
        <w:rPr>
          <w:noProof/>
        </w:rPr>
        <w:t>'</w:t>
      </w:r>
      <w:r>
        <w:rPr>
          <w:noProof/>
        </w:rPr>
        <w:t>anno precedente, che sono passate da 54,3 milioni di tonnellate di CO</w:t>
      </w:r>
      <w:r>
        <w:rPr>
          <w:noProof/>
          <w:vertAlign w:val="subscript"/>
        </w:rPr>
        <w:t>2</w:t>
      </w:r>
      <w:r>
        <w:rPr>
          <w:noProof/>
        </w:rPr>
        <w:t xml:space="preserve">eq a 62,6 milioni (di cui 1,1 Mt generate da operatori gestiti dalla Svizzera). </w:t>
      </w:r>
      <w:bookmarkStart w:id="69" w:name="bookmark56"/>
      <w:r>
        <w:rPr>
          <w:noProof/>
        </w:rPr>
        <w:t>Ciò è dovuto in parte all</w:t>
      </w:r>
      <w:r w:rsidR="00F06D2E">
        <w:rPr>
          <w:noProof/>
        </w:rPr>
        <w:t>'</w:t>
      </w:r>
      <w:r>
        <w:rPr>
          <w:noProof/>
        </w:rPr>
        <w:t>ampliamento dell</w:t>
      </w:r>
      <w:r w:rsidR="00F06D2E">
        <w:rPr>
          <w:noProof/>
        </w:rPr>
        <w:t>'</w:t>
      </w:r>
      <w:r>
        <w:rPr>
          <w:noProof/>
        </w:rPr>
        <w:t xml:space="preserve">ambito di applicazione geografico per le regioni ultraperiferiche. La tabella 7 </w:t>
      </w:r>
      <w:r>
        <w:rPr>
          <w:rStyle w:val="Bodytext1"/>
          <w:noProof/>
        </w:rPr>
        <w:t>riporta le emissioni degli operatori aerei, nonché i volumi di quote assegnate a titolo gratuito e messe all</w:t>
      </w:r>
      <w:r w:rsidR="00F06D2E">
        <w:rPr>
          <w:rStyle w:val="Bodytext1"/>
          <w:noProof/>
        </w:rPr>
        <w:t>'</w:t>
      </w:r>
      <w:r>
        <w:rPr>
          <w:rStyle w:val="Bodytext1"/>
          <w:noProof/>
        </w:rPr>
        <w:t>asta nel settore del trasporto aereo dal 2019.</w:t>
      </w:r>
      <w:bookmarkEnd w:id="69"/>
      <w:r>
        <w:rPr>
          <w:rStyle w:val="Bodytext1"/>
          <w:noProof/>
        </w:rPr>
        <w:t xml:space="preserve"> Dal 2021 l</w:t>
      </w:r>
      <w:r w:rsidR="00F06D2E">
        <w:rPr>
          <w:rStyle w:val="Bodytext1"/>
          <w:noProof/>
        </w:rPr>
        <w:t>'</w:t>
      </w:r>
      <w:r>
        <w:rPr>
          <w:rStyle w:val="Bodytext1"/>
          <w:noProof/>
        </w:rPr>
        <w:t xml:space="preserve">EU ETS non si applica più ai voli in arrivo dal Regno Unito. </w:t>
      </w:r>
    </w:p>
    <w:p w14:paraId="1E2EC45E" w14:textId="77EE2B4C" w:rsidR="00B7738B" w:rsidRPr="00685D02" w:rsidRDefault="1B2FF804" w:rsidP="00B7738B">
      <w:pPr>
        <w:pStyle w:val="CMR-text"/>
        <w:rPr>
          <w:rStyle w:val="Bodytext1"/>
          <w:rFonts w:cs="Times New Roman"/>
          <w:noProof/>
        </w:rPr>
      </w:pPr>
      <w:r>
        <w:rPr>
          <w:rStyle w:val="Bodytext1"/>
          <w:noProof/>
        </w:rPr>
        <w:t>Nell</w:t>
      </w:r>
      <w:r w:rsidR="00F06D2E">
        <w:rPr>
          <w:rStyle w:val="Bodytext1"/>
          <w:noProof/>
        </w:rPr>
        <w:t>'</w:t>
      </w:r>
      <w:r>
        <w:rPr>
          <w:rStyle w:val="Bodytext1"/>
          <w:noProof/>
        </w:rPr>
        <w:t xml:space="preserve">ambito del pacchetto </w:t>
      </w:r>
      <w:r w:rsidR="00F06D2E">
        <w:rPr>
          <w:rStyle w:val="Bodytext1"/>
          <w:noProof/>
        </w:rPr>
        <w:t>"</w:t>
      </w:r>
      <w:r>
        <w:rPr>
          <w:rStyle w:val="Bodytext1"/>
          <w:noProof/>
        </w:rPr>
        <w:t>Pronti per il 55 %</w:t>
      </w:r>
      <w:r w:rsidR="00F06D2E">
        <w:rPr>
          <w:rStyle w:val="Bodytext1"/>
          <w:noProof/>
        </w:rPr>
        <w:t>"</w:t>
      </w:r>
      <w:r>
        <w:rPr>
          <w:rStyle w:val="Bodytext1"/>
          <w:noProof/>
        </w:rPr>
        <w:t>, nel 2023 sono state adottate due riforme relative all</w:t>
      </w:r>
      <w:r w:rsidR="00F06D2E">
        <w:rPr>
          <w:rStyle w:val="Bodytext1"/>
          <w:noProof/>
        </w:rPr>
        <w:t>'</w:t>
      </w:r>
      <w:r>
        <w:rPr>
          <w:rStyle w:val="Bodytext1"/>
          <w:noProof/>
        </w:rPr>
        <w:t>EU ETS per il trasporto aereo, volte a ridurre in modo più marcato le emissioni del settore</w:t>
      </w:r>
      <w:r>
        <w:rPr>
          <w:rStyle w:val="FootnoteReference"/>
          <w:rFonts w:cs="Times New Roman"/>
          <w:noProof/>
          <w:lang w:val="en-IE"/>
        </w:rPr>
        <w:footnoteReference w:id="82"/>
      </w:r>
      <w:r>
        <w:rPr>
          <w:rStyle w:val="Bodytext1"/>
          <w:noProof/>
        </w:rPr>
        <w:t xml:space="preserve"> e ad attuare CORSIA nel diritto dell</w:t>
      </w:r>
      <w:r w:rsidR="00F06D2E">
        <w:rPr>
          <w:rStyle w:val="Bodytext1"/>
          <w:noProof/>
        </w:rPr>
        <w:t>'</w:t>
      </w:r>
      <w:r>
        <w:rPr>
          <w:rStyle w:val="Bodytext1"/>
          <w:noProof/>
        </w:rPr>
        <w:t>Unione per i voli extraeuropei delle compagnie aeree con sede nell</w:t>
      </w:r>
      <w:r w:rsidR="00F06D2E">
        <w:rPr>
          <w:rStyle w:val="Bodytext1"/>
          <w:noProof/>
        </w:rPr>
        <w:t>'</w:t>
      </w:r>
      <w:r>
        <w:rPr>
          <w:rStyle w:val="Bodytext1"/>
          <w:noProof/>
        </w:rPr>
        <w:t>UE</w:t>
      </w:r>
      <w:r>
        <w:rPr>
          <w:rStyle w:val="FootnoteReference"/>
          <w:rFonts w:cs="Times New Roman"/>
          <w:noProof/>
          <w:lang w:val="en-IE"/>
        </w:rPr>
        <w:footnoteReference w:id="83"/>
      </w:r>
      <w:r>
        <w:rPr>
          <w:rStyle w:val="Bodytext1"/>
          <w:noProof/>
        </w:rPr>
        <w:t>. Le</w:t>
      </w:r>
      <w:r w:rsidR="0091482D">
        <w:rPr>
          <w:rStyle w:val="Bodytext1"/>
          <w:noProof/>
        </w:rPr>
        <w:t> </w:t>
      </w:r>
      <w:r>
        <w:rPr>
          <w:rStyle w:val="Bodytext1"/>
          <w:noProof/>
        </w:rPr>
        <w:t xml:space="preserve">riforme sono in corso di attuazione. </w:t>
      </w:r>
    </w:p>
    <w:p w14:paraId="2D670AED" w14:textId="452D7C7D" w:rsidR="00254618" w:rsidRPr="00685D02" w:rsidRDefault="1B2FF804" w:rsidP="00510DED">
      <w:pPr>
        <w:pStyle w:val="CMR-text"/>
        <w:rPr>
          <w:rStyle w:val="Bodytext1"/>
          <w:rFonts w:cs="Times New Roman"/>
          <w:noProof/>
        </w:rPr>
      </w:pPr>
      <w:r>
        <w:rPr>
          <w:rStyle w:val="Bodytext1"/>
          <w:noProof/>
        </w:rPr>
        <w:t>Ai fini dell</w:t>
      </w:r>
      <w:r w:rsidR="00F06D2E">
        <w:rPr>
          <w:rStyle w:val="Bodytext1"/>
          <w:noProof/>
        </w:rPr>
        <w:t>'</w:t>
      </w:r>
      <w:r>
        <w:rPr>
          <w:rStyle w:val="Bodytext1"/>
          <w:noProof/>
        </w:rPr>
        <w:t>attuazione di CORSIA nel diritto dell</w:t>
      </w:r>
      <w:r w:rsidR="00F06D2E">
        <w:rPr>
          <w:rStyle w:val="Bodytext1"/>
          <w:noProof/>
        </w:rPr>
        <w:t>'</w:t>
      </w:r>
      <w:r>
        <w:rPr>
          <w:rStyle w:val="Bodytext1"/>
          <w:noProof/>
        </w:rPr>
        <w:t>Unione, nel luglio 2025 la Commissione ha adottato l</w:t>
      </w:r>
      <w:r w:rsidR="00F06D2E">
        <w:rPr>
          <w:rStyle w:val="Bodytext1"/>
          <w:noProof/>
        </w:rPr>
        <w:t>'</w:t>
      </w:r>
      <w:r>
        <w:rPr>
          <w:rStyle w:val="Bodytext1"/>
          <w:noProof/>
        </w:rPr>
        <w:t>elenco degli Stati che si ritiene applichino CORSIA per le emissioni nel 2025</w:t>
      </w:r>
      <w:r>
        <w:rPr>
          <w:rStyle w:val="FootnoteReference"/>
          <w:rFonts w:cs="Times New Roman"/>
          <w:noProof/>
          <w:lang w:val="en-IE"/>
        </w:rPr>
        <w:footnoteReference w:id="84"/>
      </w:r>
      <w:r>
        <w:rPr>
          <w:rStyle w:val="Bodytext1"/>
          <w:noProof/>
        </w:rPr>
        <w:t>. L</w:t>
      </w:r>
      <w:r w:rsidR="00F06D2E">
        <w:rPr>
          <w:rStyle w:val="Bodytext1"/>
          <w:noProof/>
        </w:rPr>
        <w:t>'</w:t>
      </w:r>
      <w:r>
        <w:rPr>
          <w:rStyle w:val="Bodytext1"/>
          <w:noProof/>
        </w:rPr>
        <w:t>elenco è aggiornato ogni anno. Nel luglio 2024 la Commissione ha inoltre pubblicato le modalità di calcolo degli obblighi di compensazione nell</w:t>
      </w:r>
      <w:r w:rsidR="00F06D2E">
        <w:rPr>
          <w:rStyle w:val="Bodytext1"/>
          <w:noProof/>
        </w:rPr>
        <w:t>'</w:t>
      </w:r>
      <w:r>
        <w:rPr>
          <w:rStyle w:val="Bodytext1"/>
          <w:noProof/>
        </w:rPr>
        <w:t>ambito di CORSIA</w:t>
      </w:r>
      <w:r>
        <w:rPr>
          <w:rStyle w:val="FootnoteReference"/>
          <w:rFonts w:cs="Times New Roman"/>
          <w:noProof/>
          <w:lang w:val="en-IE"/>
        </w:rPr>
        <w:footnoteReference w:id="85"/>
      </w:r>
      <w:r>
        <w:rPr>
          <w:rStyle w:val="Bodytext1"/>
          <w:noProof/>
        </w:rPr>
        <w:t xml:space="preserve">, che le autorità competenti degli Stati membri utilizzeranno per le emissioni fino alla fine del 2026. </w:t>
      </w:r>
    </w:p>
    <w:p w14:paraId="032FFBC1" w14:textId="715479A4" w:rsidR="00B7738B" w:rsidRPr="002D6403" w:rsidRDefault="54B487A1" w:rsidP="00B7738B">
      <w:pPr>
        <w:pStyle w:val="CMR-text"/>
        <w:rPr>
          <w:rStyle w:val="Bodytext1"/>
          <w:rFonts w:cs="Times New Roman"/>
          <w:noProof/>
        </w:rPr>
      </w:pPr>
      <w:r>
        <w:rPr>
          <w:rStyle w:val="Bodytext1"/>
          <w:noProof/>
        </w:rPr>
        <w:t>Compiendo un importante passo avanti sul fronte della trasparenza, la Commissione sta pubblicando ulteriori dati sulle emissioni del trasporto aereo, sempre proteggendo i dati sensibili sotto il profilo commerciale. Nel giugno 2025 la Commissione ha pubblicato dati annuali aggregati sulle emissioni prodotte da coppie di aerodromi all</w:t>
      </w:r>
      <w:r w:rsidR="00F06D2E">
        <w:rPr>
          <w:rStyle w:val="Bodytext1"/>
          <w:noProof/>
        </w:rPr>
        <w:t>'</w:t>
      </w:r>
      <w:r>
        <w:rPr>
          <w:rStyle w:val="Bodytext1"/>
          <w:noProof/>
        </w:rPr>
        <w:t>interno del SEE nel 2023</w:t>
      </w:r>
      <w:r>
        <w:rPr>
          <w:rStyle w:val="FootnoteReference"/>
          <w:rFonts w:cs="Times New Roman"/>
          <w:noProof/>
          <w:lang w:val="en-IE"/>
        </w:rPr>
        <w:footnoteReference w:id="86"/>
      </w:r>
      <w:r>
        <w:rPr>
          <w:rStyle w:val="Bodytext1"/>
          <w:noProof/>
        </w:rPr>
        <w:t xml:space="preserve">; si tratta di un primo passo verso la pubblicazione di tutti i dati relativi al 2023. </w:t>
      </w:r>
    </w:p>
    <w:p w14:paraId="69A815BA" w14:textId="1408A1FB" w:rsidR="00C00C56" w:rsidRPr="00EB1066" w:rsidRDefault="00C00C56" w:rsidP="002A00BB">
      <w:pPr>
        <w:pStyle w:val="Caption"/>
        <w:keepNext/>
        <w:rPr>
          <w:noProof/>
          <w:sz w:val="20"/>
        </w:rPr>
      </w:pPr>
      <w:bookmarkStart w:id="70" w:name="_Ref176959178"/>
      <w:r>
        <w:rPr>
          <w:noProof/>
          <w:sz w:val="20"/>
        </w:rPr>
        <w:t xml:space="preserve">Tabella </w:t>
      </w:r>
      <w:bookmarkEnd w:id="70"/>
      <w:r>
        <w:rPr>
          <w:noProof/>
          <w:sz w:val="20"/>
        </w:rPr>
        <w:t>7. Trasporto aereo nell</w:t>
      </w:r>
      <w:r w:rsidR="00F06D2E">
        <w:rPr>
          <w:noProof/>
          <w:sz w:val="20"/>
        </w:rPr>
        <w:t>'</w:t>
      </w:r>
      <w:r>
        <w:rPr>
          <w:noProof/>
          <w:sz w:val="20"/>
        </w:rPr>
        <w:t>EU ETS (2019-2024) – Emissioni verificate [milioni di tonnellate di CO</w:t>
      </w:r>
      <w:r>
        <w:rPr>
          <w:noProof/>
          <w:sz w:val="20"/>
          <w:vertAlign w:val="subscript"/>
        </w:rPr>
        <w:t>2</w:t>
      </w:r>
      <w:r>
        <w:rPr>
          <w:noProof/>
          <w:sz w:val="20"/>
        </w:rPr>
        <w:t>eq], assegnazione gratuita e quote vendute all</w:t>
      </w:r>
      <w:r w:rsidR="00F06D2E">
        <w:rPr>
          <w:noProof/>
          <w:sz w:val="20"/>
        </w:rPr>
        <w:t>'</w:t>
      </w:r>
      <w:r>
        <w:rPr>
          <w:noProof/>
          <w:sz w:val="20"/>
        </w:rPr>
        <w:t>asta [milioni di quote] Dati estratti dal registro dell</w:t>
      </w:r>
      <w:r w:rsidR="00F06D2E">
        <w:rPr>
          <w:noProof/>
          <w:sz w:val="20"/>
        </w:rPr>
        <w:t>'</w:t>
      </w:r>
      <w:r>
        <w:rPr>
          <w:noProof/>
          <w:sz w:val="20"/>
        </w:rPr>
        <w:t>Unione il 1</w:t>
      </w:r>
      <w:r>
        <w:rPr>
          <w:noProof/>
          <w:sz w:val="20"/>
          <w:vertAlign w:val="superscript"/>
        </w:rPr>
        <w:t>o</w:t>
      </w:r>
      <w:r w:rsidR="0091482D">
        <w:rPr>
          <w:noProof/>
          <w:sz w:val="20"/>
        </w:rPr>
        <w:t> </w:t>
      </w:r>
      <w:r>
        <w:rPr>
          <w:noProof/>
          <w:sz w:val="20"/>
        </w:rPr>
        <w:t>ottobre</w:t>
      </w:r>
      <w:r w:rsidR="0091482D">
        <w:rPr>
          <w:noProof/>
          <w:sz w:val="20"/>
        </w:rPr>
        <w:t> </w:t>
      </w:r>
      <w:r>
        <w:rPr>
          <w:noProof/>
          <w:sz w:val="20"/>
        </w:rPr>
        <w:t>2025</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2226"/>
        <w:gridCol w:w="1132"/>
        <w:gridCol w:w="1132"/>
        <w:gridCol w:w="1132"/>
        <w:gridCol w:w="1132"/>
        <w:gridCol w:w="1131"/>
        <w:gridCol w:w="1131"/>
      </w:tblGrid>
      <w:tr w:rsidR="007E501C" w:rsidRPr="00EB1066" w14:paraId="1B76AD8D" w14:textId="11D2B1C6" w:rsidTr="00A178FF">
        <w:trPr>
          <w:cantSplit/>
        </w:trPr>
        <w:tc>
          <w:tcPr>
            <w:tcW w:w="1234" w:type="pct"/>
            <w:vAlign w:val="center"/>
          </w:tcPr>
          <w:p w14:paraId="74548974" w14:textId="77777777" w:rsidR="007E501C" w:rsidRPr="00EB1066" w:rsidRDefault="007E501C" w:rsidP="002D6403">
            <w:pPr>
              <w:pStyle w:val="CMR-tables"/>
              <w:rPr>
                <w:rFonts w:cs="Times New Roman"/>
                <w:b/>
                <w:noProof/>
                <w:szCs w:val="20"/>
              </w:rPr>
            </w:pPr>
            <w:r>
              <w:rPr>
                <w:rStyle w:val="Other1"/>
                <w:b/>
                <w:noProof/>
              </w:rPr>
              <w:t>Anno</w:t>
            </w:r>
          </w:p>
        </w:tc>
        <w:tc>
          <w:tcPr>
            <w:tcW w:w="628" w:type="pct"/>
            <w:vAlign w:val="center"/>
          </w:tcPr>
          <w:p w14:paraId="6A2A0EB0" w14:textId="77777777" w:rsidR="007E501C" w:rsidRPr="00EB1066" w:rsidRDefault="007E501C" w:rsidP="002D6403">
            <w:pPr>
              <w:pStyle w:val="CMR-tables"/>
              <w:jc w:val="center"/>
              <w:rPr>
                <w:rFonts w:cs="Times New Roman"/>
                <w:noProof/>
                <w:szCs w:val="20"/>
              </w:rPr>
            </w:pPr>
            <w:r>
              <w:rPr>
                <w:rStyle w:val="Other1"/>
                <w:noProof/>
              </w:rPr>
              <w:t>2019</w:t>
            </w:r>
          </w:p>
        </w:tc>
        <w:tc>
          <w:tcPr>
            <w:tcW w:w="628" w:type="pct"/>
            <w:vAlign w:val="center"/>
          </w:tcPr>
          <w:p w14:paraId="6A827756" w14:textId="77777777" w:rsidR="007E501C" w:rsidRPr="00EB1066" w:rsidRDefault="007E501C" w:rsidP="002D6403">
            <w:pPr>
              <w:pStyle w:val="CMR-tables"/>
              <w:jc w:val="center"/>
              <w:rPr>
                <w:rFonts w:cs="Times New Roman"/>
                <w:noProof/>
                <w:szCs w:val="20"/>
              </w:rPr>
            </w:pPr>
            <w:r>
              <w:rPr>
                <w:rStyle w:val="Other1"/>
                <w:noProof/>
              </w:rPr>
              <w:t>2020</w:t>
            </w:r>
          </w:p>
        </w:tc>
        <w:tc>
          <w:tcPr>
            <w:tcW w:w="628" w:type="pct"/>
            <w:vAlign w:val="center"/>
          </w:tcPr>
          <w:p w14:paraId="2A2912AF" w14:textId="726A85AD" w:rsidR="007E501C" w:rsidRPr="00EB1066" w:rsidRDefault="007E501C" w:rsidP="002D6403">
            <w:pPr>
              <w:pStyle w:val="CMR-tables"/>
              <w:jc w:val="center"/>
              <w:rPr>
                <w:rFonts w:cs="Times New Roman"/>
                <w:noProof/>
                <w:szCs w:val="20"/>
              </w:rPr>
            </w:pPr>
            <w:r>
              <w:rPr>
                <w:rStyle w:val="Other1"/>
                <w:noProof/>
              </w:rPr>
              <w:t>2021</w:t>
            </w:r>
          </w:p>
        </w:tc>
        <w:tc>
          <w:tcPr>
            <w:tcW w:w="628" w:type="pct"/>
            <w:vAlign w:val="center"/>
          </w:tcPr>
          <w:p w14:paraId="04BE8165" w14:textId="77777777" w:rsidR="007E501C" w:rsidRPr="00EB1066" w:rsidRDefault="007E501C" w:rsidP="002D6403">
            <w:pPr>
              <w:pStyle w:val="CMR-tables"/>
              <w:jc w:val="center"/>
              <w:rPr>
                <w:rFonts w:cs="Times New Roman"/>
                <w:noProof/>
                <w:szCs w:val="20"/>
              </w:rPr>
            </w:pPr>
            <w:r>
              <w:rPr>
                <w:rStyle w:val="Other1"/>
                <w:noProof/>
              </w:rPr>
              <w:t>2022</w:t>
            </w:r>
          </w:p>
        </w:tc>
        <w:tc>
          <w:tcPr>
            <w:tcW w:w="627" w:type="pct"/>
            <w:vAlign w:val="center"/>
          </w:tcPr>
          <w:p w14:paraId="055F91B8" w14:textId="61CC0C18" w:rsidR="007E501C" w:rsidRPr="00EB1066" w:rsidRDefault="007E501C" w:rsidP="002D6403">
            <w:pPr>
              <w:pStyle w:val="CMR-tables"/>
              <w:jc w:val="center"/>
              <w:rPr>
                <w:rStyle w:val="Other1"/>
                <w:rFonts w:cs="Times New Roman"/>
                <w:noProof/>
                <w:szCs w:val="20"/>
              </w:rPr>
            </w:pPr>
            <w:r>
              <w:rPr>
                <w:noProof/>
              </w:rPr>
              <w:t>2023</w:t>
            </w:r>
          </w:p>
        </w:tc>
        <w:tc>
          <w:tcPr>
            <w:tcW w:w="627" w:type="pct"/>
          </w:tcPr>
          <w:p w14:paraId="7DE551CC" w14:textId="20E59625" w:rsidR="00BB032C" w:rsidRPr="00EB1066" w:rsidRDefault="00BB032C" w:rsidP="002D6403">
            <w:pPr>
              <w:pStyle w:val="CMR-tables"/>
              <w:jc w:val="center"/>
              <w:rPr>
                <w:rFonts w:cs="Times New Roman"/>
                <w:noProof/>
                <w:szCs w:val="20"/>
              </w:rPr>
            </w:pPr>
            <w:r>
              <w:rPr>
                <w:noProof/>
              </w:rPr>
              <w:t>2024</w:t>
            </w:r>
          </w:p>
        </w:tc>
      </w:tr>
      <w:tr w:rsidR="00295821" w:rsidRPr="00EB1066" w14:paraId="16402BDD" w14:textId="46BB4DCC" w:rsidTr="00A178FF">
        <w:trPr>
          <w:cantSplit/>
          <w:trHeight w:val="700"/>
        </w:trPr>
        <w:tc>
          <w:tcPr>
            <w:tcW w:w="1234" w:type="pct"/>
            <w:shd w:val="clear" w:color="auto" w:fill="D9E2F3" w:themeFill="accent1" w:themeFillTint="33"/>
            <w:vAlign w:val="center"/>
          </w:tcPr>
          <w:p w14:paraId="32ECB3FE" w14:textId="0522B7DB" w:rsidR="007E501C" w:rsidRPr="00EB1066" w:rsidRDefault="007E501C" w:rsidP="002D6403">
            <w:pPr>
              <w:pStyle w:val="CMR-tables"/>
              <w:rPr>
                <w:rFonts w:cs="Times New Roman"/>
                <w:b/>
                <w:noProof/>
                <w:szCs w:val="20"/>
              </w:rPr>
            </w:pPr>
            <w:r>
              <w:rPr>
                <w:rStyle w:val="Other1"/>
                <w:b/>
                <w:noProof/>
              </w:rPr>
              <w:t>Emissioni verificate – trasporto aereo</w:t>
            </w:r>
          </w:p>
        </w:tc>
        <w:tc>
          <w:tcPr>
            <w:tcW w:w="628" w:type="pct"/>
            <w:shd w:val="clear" w:color="auto" w:fill="D9E2F3" w:themeFill="accent1" w:themeFillTint="33"/>
            <w:vAlign w:val="center"/>
          </w:tcPr>
          <w:p w14:paraId="3DC1F2D6" w14:textId="77777777" w:rsidR="007E501C" w:rsidRPr="00EB1066" w:rsidRDefault="007E501C" w:rsidP="002D6403">
            <w:pPr>
              <w:pStyle w:val="CMR-tables"/>
              <w:jc w:val="center"/>
              <w:rPr>
                <w:rFonts w:cs="Times New Roman"/>
                <w:noProof/>
                <w:szCs w:val="20"/>
              </w:rPr>
            </w:pPr>
            <w:r>
              <w:rPr>
                <w:rStyle w:val="Other1"/>
                <w:noProof/>
              </w:rPr>
              <w:t>68,2</w:t>
            </w:r>
          </w:p>
        </w:tc>
        <w:tc>
          <w:tcPr>
            <w:tcW w:w="628" w:type="pct"/>
            <w:shd w:val="clear" w:color="auto" w:fill="D9E2F3" w:themeFill="accent1" w:themeFillTint="33"/>
            <w:vAlign w:val="center"/>
          </w:tcPr>
          <w:p w14:paraId="548DD43B" w14:textId="77777777" w:rsidR="007E501C" w:rsidRPr="00EB1066" w:rsidRDefault="007E501C" w:rsidP="002D6403">
            <w:pPr>
              <w:pStyle w:val="CMR-tables"/>
              <w:jc w:val="center"/>
              <w:rPr>
                <w:rFonts w:cs="Times New Roman"/>
                <w:noProof/>
                <w:szCs w:val="20"/>
              </w:rPr>
            </w:pPr>
            <w:r>
              <w:rPr>
                <w:rStyle w:val="Other1"/>
                <w:noProof/>
              </w:rPr>
              <w:t>25,2</w:t>
            </w:r>
          </w:p>
        </w:tc>
        <w:tc>
          <w:tcPr>
            <w:tcW w:w="628" w:type="pct"/>
            <w:shd w:val="clear" w:color="auto" w:fill="D9E2F3" w:themeFill="accent1" w:themeFillTint="33"/>
            <w:vAlign w:val="center"/>
          </w:tcPr>
          <w:p w14:paraId="6013C921" w14:textId="77777777" w:rsidR="007E501C" w:rsidRPr="00EB1066" w:rsidRDefault="007E501C" w:rsidP="002D6403">
            <w:pPr>
              <w:pStyle w:val="CMR-tables"/>
              <w:jc w:val="center"/>
              <w:rPr>
                <w:rFonts w:cs="Times New Roman"/>
                <w:noProof/>
                <w:szCs w:val="20"/>
              </w:rPr>
            </w:pPr>
            <w:r>
              <w:rPr>
                <w:rStyle w:val="Other1"/>
                <w:noProof/>
              </w:rPr>
              <w:t>27,9</w:t>
            </w:r>
          </w:p>
        </w:tc>
        <w:tc>
          <w:tcPr>
            <w:tcW w:w="628" w:type="pct"/>
            <w:shd w:val="clear" w:color="auto" w:fill="D9E2F3" w:themeFill="accent1" w:themeFillTint="33"/>
            <w:vAlign w:val="center"/>
          </w:tcPr>
          <w:p w14:paraId="7217CDD4" w14:textId="1F03BD35" w:rsidR="007E501C" w:rsidRPr="00EB1066" w:rsidRDefault="007E501C" w:rsidP="002D6403">
            <w:pPr>
              <w:pStyle w:val="CMR-tables"/>
              <w:jc w:val="center"/>
              <w:rPr>
                <w:rFonts w:cs="Times New Roman"/>
                <w:noProof/>
                <w:szCs w:val="20"/>
              </w:rPr>
            </w:pPr>
            <w:r>
              <w:rPr>
                <w:rStyle w:val="Other1"/>
                <w:noProof/>
              </w:rPr>
              <w:t>49,5</w:t>
            </w:r>
          </w:p>
        </w:tc>
        <w:tc>
          <w:tcPr>
            <w:tcW w:w="627" w:type="pct"/>
            <w:shd w:val="clear" w:color="auto" w:fill="D9E2F3" w:themeFill="accent1" w:themeFillTint="33"/>
            <w:vAlign w:val="center"/>
          </w:tcPr>
          <w:p w14:paraId="39FF66E5" w14:textId="028CF321" w:rsidR="007E501C" w:rsidRPr="00EB1066" w:rsidRDefault="00315885" w:rsidP="002D6403">
            <w:pPr>
              <w:pStyle w:val="CMR-tables"/>
              <w:jc w:val="center"/>
              <w:rPr>
                <w:rStyle w:val="Other1"/>
                <w:rFonts w:cs="Times New Roman"/>
                <w:noProof/>
                <w:szCs w:val="20"/>
              </w:rPr>
            </w:pPr>
            <w:r>
              <w:rPr>
                <w:rStyle w:val="Other1"/>
                <w:noProof/>
              </w:rPr>
              <w:t>54,3</w:t>
            </w:r>
          </w:p>
        </w:tc>
        <w:tc>
          <w:tcPr>
            <w:tcW w:w="627" w:type="pct"/>
            <w:shd w:val="clear" w:color="auto" w:fill="D9E2F3" w:themeFill="accent1" w:themeFillTint="33"/>
            <w:vAlign w:val="center"/>
          </w:tcPr>
          <w:p w14:paraId="7E05C718" w14:textId="7457E1AC" w:rsidR="00BB032C" w:rsidRPr="00EB1066" w:rsidRDefault="008653DA" w:rsidP="002D6403">
            <w:pPr>
              <w:pStyle w:val="CMR-tables"/>
              <w:jc w:val="center"/>
              <w:rPr>
                <w:rStyle w:val="Other1"/>
                <w:rFonts w:cs="Times New Roman"/>
                <w:noProof/>
                <w:szCs w:val="20"/>
              </w:rPr>
            </w:pPr>
            <w:r>
              <w:rPr>
                <w:rStyle w:val="Other1"/>
                <w:noProof/>
              </w:rPr>
              <w:t>62,6</w:t>
            </w:r>
          </w:p>
        </w:tc>
      </w:tr>
      <w:tr w:rsidR="007E501C" w:rsidRPr="00EB1066" w14:paraId="43AF3BC3" w14:textId="48288A5F" w:rsidTr="00A178FF">
        <w:trPr>
          <w:cantSplit/>
          <w:trHeight w:val="700"/>
        </w:trPr>
        <w:tc>
          <w:tcPr>
            <w:tcW w:w="1234" w:type="pct"/>
            <w:vAlign w:val="center"/>
          </w:tcPr>
          <w:p w14:paraId="36DF7BDA" w14:textId="501E18DF" w:rsidR="007E501C" w:rsidRPr="00EB1066" w:rsidRDefault="2762F557" w:rsidP="002D6403">
            <w:pPr>
              <w:pStyle w:val="CMR-tables"/>
              <w:rPr>
                <w:rFonts w:cs="Times New Roman"/>
                <w:b/>
                <w:noProof/>
                <w:szCs w:val="20"/>
              </w:rPr>
            </w:pPr>
            <w:r>
              <w:rPr>
                <w:rStyle w:val="Other1"/>
                <w:b/>
                <w:noProof/>
              </w:rPr>
              <w:t>Variazione su base annua</w:t>
            </w:r>
            <w:r w:rsidRPr="0091482D">
              <w:rPr>
                <w:rStyle w:val="Other1"/>
                <w:rFonts w:cs="Times New Roman"/>
                <w:bCs w:val="0"/>
                <w:noProof/>
                <w:szCs w:val="20"/>
                <w:vertAlign w:val="superscript"/>
                <w:lang w:val="en-IE"/>
              </w:rPr>
              <w:footnoteReference w:id="87"/>
            </w:r>
          </w:p>
        </w:tc>
        <w:tc>
          <w:tcPr>
            <w:tcW w:w="628" w:type="pct"/>
            <w:vAlign w:val="center"/>
          </w:tcPr>
          <w:p w14:paraId="369F275F" w14:textId="0C78C193" w:rsidR="007E501C" w:rsidRPr="00EB1066" w:rsidRDefault="00DD1E7A" w:rsidP="002D6403">
            <w:pPr>
              <w:pStyle w:val="CMR-tables"/>
              <w:jc w:val="center"/>
              <w:rPr>
                <w:rFonts w:cs="Times New Roman"/>
                <w:noProof/>
                <w:szCs w:val="20"/>
              </w:rPr>
            </w:pPr>
            <w:r>
              <w:rPr>
                <w:rStyle w:val="Other1"/>
                <w:noProof/>
              </w:rPr>
              <w:t>+1 %</w:t>
            </w:r>
          </w:p>
        </w:tc>
        <w:tc>
          <w:tcPr>
            <w:tcW w:w="628" w:type="pct"/>
            <w:vAlign w:val="center"/>
          </w:tcPr>
          <w:p w14:paraId="12B644CD" w14:textId="77777777" w:rsidR="007E501C" w:rsidRPr="00EB1066" w:rsidRDefault="007E501C" w:rsidP="002D6403">
            <w:pPr>
              <w:pStyle w:val="CMR-tables"/>
              <w:jc w:val="center"/>
              <w:rPr>
                <w:rFonts w:cs="Times New Roman"/>
                <w:noProof/>
                <w:szCs w:val="20"/>
              </w:rPr>
            </w:pPr>
            <w:r>
              <w:rPr>
                <w:rStyle w:val="Other1"/>
                <w:noProof/>
              </w:rPr>
              <w:t>-63 %</w:t>
            </w:r>
          </w:p>
        </w:tc>
        <w:tc>
          <w:tcPr>
            <w:tcW w:w="628" w:type="pct"/>
            <w:vAlign w:val="center"/>
          </w:tcPr>
          <w:p w14:paraId="757A256A" w14:textId="5CD06BF4" w:rsidR="007E501C" w:rsidRPr="00EB1066" w:rsidRDefault="00DD1E7A" w:rsidP="002D6403">
            <w:pPr>
              <w:pStyle w:val="CMR-tables"/>
              <w:jc w:val="center"/>
              <w:rPr>
                <w:rFonts w:cs="Times New Roman"/>
                <w:noProof/>
                <w:szCs w:val="20"/>
              </w:rPr>
            </w:pPr>
            <w:r>
              <w:rPr>
                <w:rStyle w:val="Other1"/>
                <w:noProof/>
              </w:rPr>
              <w:t>+30 %</w:t>
            </w:r>
          </w:p>
        </w:tc>
        <w:tc>
          <w:tcPr>
            <w:tcW w:w="628" w:type="pct"/>
            <w:vAlign w:val="center"/>
          </w:tcPr>
          <w:p w14:paraId="69FA5582" w14:textId="06815A0E" w:rsidR="007E501C" w:rsidRPr="00EB1066" w:rsidRDefault="00DD1E7A" w:rsidP="002D6403">
            <w:pPr>
              <w:pStyle w:val="CMR-tables"/>
              <w:jc w:val="center"/>
              <w:rPr>
                <w:rFonts w:cs="Times New Roman"/>
                <w:noProof/>
                <w:szCs w:val="20"/>
              </w:rPr>
            </w:pPr>
            <w:r>
              <w:rPr>
                <w:rStyle w:val="Other1"/>
                <w:noProof/>
              </w:rPr>
              <w:t>+77 %</w:t>
            </w:r>
          </w:p>
        </w:tc>
        <w:tc>
          <w:tcPr>
            <w:tcW w:w="627" w:type="pct"/>
            <w:vAlign w:val="center"/>
          </w:tcPr>
          <w:p w14:paraId="461F2748" w14:textId="6A797586" w:rsidR="007E501C" w:rsidRPr="00EB1066" w:rsidRDefault="00DD1E7A" w:rsidP="002D6403">
            <w:pPr>
              <w:pStyle w:val="CMR-tables"/>
              <w:jc w:val="center"/>
              <w:rPr>
                <w:rStyle w:val="Other1"/>
                <w:rFonts w:cs="Times New Roman"/>
                <w:noProof/>
                <w:szCs w:val="20"/>
              </w:rPr>
            </w:pPr>
            <w:r>
              <w:rPr>
                <w:rStyle w:val="Other1"/>
                <w:noProof/>
              </w:rPr>
              <w:t>+9,7 %</w:t>
            </w:r>
          </w:p>
        </w:tc>
        <w:tc>
          <w:tcPr>
            <w:tcW w:w="627" w:type="pct"/>
            <w:vAlign w:val="center"/>
          </w:tcPr>
          <w:p w14:paraId="67C1760C" w14:textId="70AAC5C4" w:rsidR="00BB032C" w:rsidRPr="00EB1066" w:rsidRDefault="36804EEB" w:rsidP="002D6403">
            <w:pPr>
              <w:pStyle w:val="CMR-tables"/>
              <w:jc w:val="center"/>
              <w:rPr>
                <w:rStyle w:val="Other1"/>
                <w:rFonts w:cs="Times New Roman"/>
                <w:noProof/>
                <w:szCs w:val="20"/>
              </w:rPr>
            </w:pPr>
            <w:r>
              <w:rPr>
                <w:rStyle w:val="Other1"/>
                <w:noProof/>
              </w:rPr>
              <w:t>+15,3 %</w:t>
            </w:r>
          </w:p>
        </w:tc>
      </w:tr>
      <w:tr w:rsidR="00107511" w:rsidRPr="00EB1066" w14:paraId="50DB2BA5" w14:textId="1C895502" w:rsidTr="00A178FF">
        <w:trPr>
          <w:cantSplit/>
          <w:trHeight w:val="1160"/>
        </w:trPr>
        <w:tc>
          <w:tcPr>
            <w:tcW w:w="1234" w:type="pct"/>
            <w:shd w:val="clear" w:color="auto" w:fill="D9E2F3" w:themeFill="accent1" w:themeFillTint="33"/>
            <w:vAlign w:val="center"/>
          </w:tcPr>
          <w:p w14:paraId="34947205" w14:textId="429BBC1A" w:rsidR="007E501C" w:rsidRPr="00EB1066" w:rsidRDefault="35CC395A" w:rsidP="002D6403">
            <w:pPr>
              <w:pStyle w:val="CMR-tables"/>
              <w:rPr>
                <w:rFonts w:cs="Times New Roman"/>
                <w:b/>
                <w:noProof/>
                <w:szCs w:val="20"/>
              </w:rPr>
            </w:pPr>
            <w:r>
              <w:rPr>
                <w:rStyle w:val="Other1"/>
                <w:b/>
                <w:noProof/>
              </w:rPr>
              <w:t>Assegnazione gratuita (UE-27 + Islanda, Liechtenstein e Norvegia + Regno Unito + Svizzera)</w:t>
            </w:r>
            <w:r w:rsidRPr="0091482D">
              <w:rPr>
                <w:rStyle w:val="Other1"/>
                <w:rFonts w:cs="Times New Roman"/>
                <w:bCs w:val="0"/>
                <w:noProof/>
                <w:szCs w:val="20"/>
                <w:vertAlign w:val="superscript"/>
                <w:lang w:val="en-IE"/>
              </w:rPr>
              <w:footnoteReference w:id="88"/>
            </w:r>
          </w:p>
        </w:tc>
        <w:tc>
          <w:tcPr>
            <w:tcW w:w="628" w:type="pct"/>
            <w:shd w:val="clear" w:color="auto" w:fill="D9E2F3" w:themeFill="accent1" w:themeFillTint="33"/>
            <w:vAlign w:val="center"/>
          </w:tcPr>
          <w:p w14:paraId="3DE6FCEA" w14:textId="77777777" w:rsidR="007E501C" w:rsidRPr="00EB1066" w:rsidRDefault="2762F557" w:rsidP="002D6403">
            <w:pPr>
              <w:pStyle w:val="CMR-tables"/>
              <w:jc w:val="center"/>
              <w:rPr>
                <w:rFonts w:cs="Times New Roman"/>
                <w:noProof/>
                <w:szCs w:val="20"/>
              </w:rPr>
            </w:pPr>
            <w:r>
              <w:rPr>
                <w:rStyle w:val="Other1"/>
                <w:noProof/>
              </w:rPr>
              <w:t>31,3</w:t>
            </w:r>
            <w:r>
              <w:rPr>
                <w:rStyle w:val="Other1"/>
                <w:rFonts w:cs="Times New Roman"/>
                <w:noProof/>
                <w:szCs w:val="20"/>
                <w:vertAlign w:val="superscript"/>
                <w:lang w:val="en-IE"/>
              </w:rPr>
              <w:footnoteReference w:id="89"/>
            </w:r>
          </w:p>
        </w:tc>
        <w:tc>
          <w:tcPr>
            <w:tcW w:w="628" w:type="pct"/>
            <w:shd w:val="clear" w:color="auto" w:fill="D9E2F3" w:themeFill="accent1" w:themeFillTint="33"/>
            <w:vAlign w:val="center"/>
          </w:tcPr>
          <w:p w14:paraId="61816157" w14:textId="77777777" w:rsidR="007E501C" w:rsidRPr="00EB1066" w:rsidRDefault="007E501C" w:rsidP="002D6403">
            <w:pPr>
              <w:pStyle w:val="CMR-tables"/>
              <w:jc w:val="center"/>
              <w:rPr>
                <w:rFonts w:cs="Times New Roman"/>
                <w:noProof/>
                <w:szCs w:val="20"/>
              </w:rPr>
            </w:pPr>
            <w:r>
              <w:rPr>
                <w:rStyle w:val="Other1"/>
                <w:noProof/>
              </w:rPr>
              <w:t>32,5</w:t>
            </w:r>
          </w:p>
        </w:tc>
        <w:tc>
          <w:tcPr>
            <w:tcW w:w="628" w:type="pct"/>
            <w:shd w:val="clear" w:color="auto" w:fill="D9E2F3" w:themeFill="accent1" w:themeFillTint="33"/>
            <w:vAlign w:val="center"/>
          </w:tcPr>
          <w:p w14:paraId="3B80399F" w14:textId="77777777" w:rsidR="007E501C" w:rsidRPr="00EB1066" w:rsidRDefault="007E501C" w:rsidP="002D6403">
            <w:pPr>
              <w:pStyle w:val="CMR-tables"/>
              <w:jc w:val="center"/>
              <w:rPr>
                <w:rFonts w:cs="Times New Roman"/>
                <w:noProof/>
                <w:szCs w:val="20"/>
              </w:rPr>
            </w:pPr>
            <w:r>
              <w:rPr>
                <w:rStyle w:val="Other1"/>
                <w:noProof/>
              </w:rPr>
              <w:t>24,0</w:t>
            </w:r>
          </w:p>
        </w:tc>
        <w:tc>
          <w:tcPr>
            <w:tcW w:w="628" w:type="pct"/>
            <w:shd w:val="clear" w:color="auto" w:fill="D9E2F3" w:themeFill="accent1" w:themeFillTint="33"/>
            <w:vAlign w:val="center"/>
          </w:tcPr>
          <w:p w14:paraId="412F5BA2" w14:textId="77777777" w:rsidR="007E501C" w:rsidRPr="00EB1066" w:rsidRDefault="007E501C" w:rsidP="002D6403">
            <w:pPr>
              <w:pStyle w:val="CMR-tables"/>
              <w:jc w:val="center"/>
              <w:rPr>
                <w:rFonts w:cs="Times New Roman"/>
                <w:noProof/>
                <w:szCs w:val="20"/>
              </w:rPr>
            </w:pPr>
            <w:r>
              <w:rPr>
                <w:rStyle w:val="Other1"/>
                <w:noProof/>
              </w:rPr>
              <w:t>23,1</w:t>
            </w:r>
          </w:p>
        </w:tc>
        <w:tc>
          <w:tcPr>
            <w:tcW w:w="627" w:type="pct"/>
            <w:shd w:val="clear" w:color="auto" w:fill="D9E2F3" w:themeFill="accent1" w:themeFillTint="33"/>
            <w:vAlign w:val="center"/>
          </w:tcPr>
          <w:p w14:paraId="51D481D3" w14:textId="56E7A621" w:rsidR="007E501C" w:rsidRPr="00EB1066" w:rsidRDefault="00DF080A" w:rsidP="002D6403">
            <w:pPr>
              <w:pStyle w:val="CMR-tables"/>
              <w:jc w:val="center"/>
              <w:rPr>
                <w:rStyle w:val="Other1"/>
                <w:rFonts w:cs="Times New Roman"/>
                <w:noProof/>
                <w:szCs w:val="20"/>
              </w:rPr>
            </w:pPr>
            <w:r>
              <w:rPr>
                <w:rStyle w:val="Other1"/>
                <w:noProof/>
              </w:rPr>
              <w:t>22,5</w:t>
            </w:r>
          </w:p>
        </w:tc>
        <w:tc>
          <w:tcPr>
            <w:tcW w:w="627" w:type="pct"/>
            <w:shd w:val="clear" w:color="auto" w:fill="D9E2F3" w:themeFill="accent1" w:themeFillTint="33"/>
            <w:vAlign w:val="center"/>
          </w:tcPr>
          <w:p w14:paraId="3E999487" w14:textId="6DC2F47F" w:rsidR="00BB032C" w:rsidRPr="00EB1066" w:rsidRDefault="7059CF8E" w:rsidP="002D6403">
            <w:pPr>
              <w:pStyle w:val="CMR-tables"/>
              <w:jc w:val="center"/>
              <w:rPr>
                <w:rStyle w:val="Other1"/>
                <w:rFonts w:cs="Times New Roman"/>
                <w:noProof/>
                <w:szCs w:val="20"/>
              </w:rPr>
            </w:pPr>
            <w:r>
              <w:rPr>
                <w:rStyle w:val="Other1"/>
                <w:noProof/>
              </w:rPr>
              <w:t>17,5</w:t>
            </w:r>
          </w:p>
        </w:tc>
      </w:tr>
      <w:tr w:rsidR="6EA2F39D" w:rsidRPr="00EB1066" w14:paraId="499F39A7" w14:textId="77777777" w:rsidTr="00EB1066">
        <w:trPr>
          <w:cantSplit/>
          <w:trHeight w:val="1160"/>
        </w:trPr>
        <w:tc>
          <w:tcPr>
            <w:tcW w:w="1234" w:type="pct"/>
            <w:vAlign w:val="center"/>
          </w:tcPr>
          <w:p w14:paraId="2E995FFA" w14:textId="572F87E6" w:rsidR="5F7D8720" w:rsidRPr="00EB1066" w:rsidRDefault="5F7D8720" w:rsidP="002D6403">
            <w:pPr>
              <w:pStyle w:val="CMR-tables"/>
              <w:rPr>
                <w:rStyle w:val="Other1"/>
                <w:rFonts w:cs="Times New Roman"/>
                <w:b/>
                <w:noProof/>
                <w:kern w:val="2"/>
                <w:szCs w:val="20"/>
                <w14:ligatures w14:val="standardContextual"/>
              </w:rPr>
            </w:pPr>
            <w:r>
              <w:rPr>
                <w:rStyle w:val="Other1"/>
                <w:b/>
                <w:noProof/>
              </w:rPr>
              <w:t>Quote assegnate per il sostegno al caricamento di carburanti sostenibili per l</w:t>
            </w:r>
            <w:r w:rsidR="00F06D2E">
              <w:rPr>
                <w:rStyle w:val="Other1"/>
                <w:b/>
                <w:noProof/>
              </w:rPr>
              <w:t>'</w:t>
            </w:r>
            <w:r>
              <w:rPr>
                <w:rStyle w:val="Other1"/>
                <w:b/>
                <w:noProof/>
              </w:rPr>
              <w:t>aviazione (FEETS)</w:t>
            </w:r>
          </w:p>
        </w:tc>
        <w:tc>
          <w:tcPr>
            <w:tcW w:w="628" w:type="pct"/>
            <w:vAlign w:val="center"/>
          </w:tcPr>
          <w:p w14:paraId="10F5EA00" w14:textId="34F49AEA" w:rsidR="6EA2F39D" w:rsidRPr="00EB1066" w:rsidRDefault="5F7D8720" w:rsidP="002D6403">
            <w:pPr>
              <w:pStyle w:val="CMR-tables"/>
              <w:jc w:val="center"/>
              <w:rPr>
                <w:rStyle w:val="Other1"/>
                <w:rFonts w:cs="Times New Roman"/>
                <w:noProof/>
                <w:kern w:val="2"/>
                <w:szCs w:val="20"/>
                <w14:ligatures w14:val="standardContextual"/>
              </w:rPr>
            </w:pPr>
            <w:r>
              <w:rPr>
                <w:rStyle w:val="Other1"/>
                <w:noProof/>
              </w:rPr>
              <w:t>/</w:t>
            </w:r>
          </w:p>
        </w:tc>
        <w:tc>
          <w:tcPr>
            <w:tcW w:w="628" w:type="pct"/>
            <w:vAlign w:val="center"/>
          </w:tcPr>
          <w:p w14:paraId="3EE20562" w14:textId="11EB6ED3" w:rsidR="6EA2F39D" w:rsidRPr="00EB1066" w:rsidRDefault="5F7D8720" w:rsidP="002D6403">
            <w:pPr>
              <w:pStyle w:val="CMR-tables"/>
              <w:jc w:val="center"/>
              <w:rPr>
                <w:rStyle w:val="Other1"/>
                <w:rFonts w:cs="Times New Roman"/>
                <w:noProof/>
                <w:kern w:val="2"/>
                <w:szCs w:val="20"/>
                <w14:ligatures w14:val="standardContextual"/>
              </w:rPr>
            </w:pPr>
            <w:r>
              <w:rPr>
                <w:rStyle w:val="Other1"/>
                <w:noProof/>
              </w:rPr>
              <w:t>/</w:t>
            </w:r>
          </w:p>
        </w:tc>
        <w:tc>
          <w:tcPr>
            <w:tcW w:w="628" w:type="pct"/>
            <w:vAlign w:val="center"/>
          </w:tcPr>
          <w:p w14:paraId="170238C3" w14:textId="2F912480" w:rsidR="6EA2F39D" w:rsidRPr="00EB1066" w:rsidRDefault="5F7D8720" w:rsidP="002D6403">
            <w:pPr>
              <w:pStyle w:val="CMR-tables"/>
              <w:jc w:val="center"/>
              <w:rPr>
                <w:rStyle w:val="Other1"/>
                <w:rFonts w:cs="Times New Roman"/>
                <w:noProof/>
                <w:kern w:val="2"/>
                <w:szCs w:val="20"/>
                <w14:ligatures w14:val="standardContextual"/>
              </w:rPr>
            </w:pPr>
            <w:r>
              <w:rPr>
                <w:rStyle w:val="Other1"/>
                <w:noProof/>
              </w:rPr>
              <w:t>/</w:t>
            </w:r>
          </w:p>
        </w:tc>
        <w:tc>
          <w:tcPr>
            <w:tcW w:w="628" w:type="pct"/>
            <w:vAlign w:val="center"/>
          </w:tcPr>
          <w:p w14:paraId="55071440" w14:textId="4DB68711" w:rsidR="6EA2F39D" w:rsidRPr="00EB1066" w:rsidRDefault="5F7D8720" w:rsidP="002D6403">
            <w:pPr>
              <w:pStyle w:val="CMR-tables"/>
              <w:jc w:val="center"/>
              <w:rPr>
                <w:rStyle w:val="Other1"/>
                <w:rFonts w:cs="Times New Roman"/>
                <w:noProof/>
                <w:kern w:val="2"/>
                <w:szCs w:val="20"/>
                <w14:ligatures w14:val="standardContextual"/>
              </w:rPr>
            </w:pPr>
            <w:r>
              <w:rPr>
                <w:rStyle w:val="Other1"/>
                <w:noProof/>
              </w:rPr>
              <w:t>/</w:t>
            </w:r>
          </w:p>
        </w:tc>
        <w:tc>
          <w:tcPr>
            <w:tcW w:w="627" w:type="pct"/>
            <w:vAlign w:val="center"/>
          </w:tcPr>
          <w:p w14:paraId="2D68E78A" w14:textId="0B5EAA28" w:rsidR="6EA2F39D" w:rsidRPr="00EB1066" w:rsidRDefault="5F7D8720" w:rsidP="002D6403">
            <w:pPr>
              <w:pStyle w:val="CMR-tables"/>
              <w:jc w:val="center"/>
              <w:rPr>
                <w:rStyle w:val="Other1"/>
                <w:rFonts w:cs="Times New Roman"/>
                <w:noProof/>
                <w:kern w:val="2"/>
                <w:szCs w:val="20"/>
                <w14:ligatures w14:val="standardContextual"/>
              </w:rPr>
            </w:pPr>
            <w:r>
              <w:rPr>
                <w:rStyle w:val="Other1"/>
                <w:noProof/>
              </w:rPr>
              <w:t>/</w:t>
            </w:r>
          </w:p>
        </w:tc>
        <w:tc>
          <w:tcPr>
            <w:tcW w:w="627" w:type="pct"/>
            <w:vAlign w:val="center"/>
          </w:tcPr>
          <w:p w14:paraId="68D09F23" w14:textId="46523BCB" w:rsidR="6EA2F39D" w:rsidRPr="00EB1066" w:rsidRDefault="5F7D8720" w:rsidP="002D6403">
            <w:pPr>
              <w:pStyle w:val="CMR-tables"/>
              <w:jc w:val="center"/>
              <w:rPr>
                <w:rStyle w:val="Other1"/>
                <w:rFonts w:cs="Times New Roman"/>
                <w:noProof/>
                <w:kern w:val="2"/>
                <w:szCs w:val="20"/>
                <w14:ligatures w14:val="standardContextual"/>
              </w:rPr>
            </w:pPr>
            <w:r>
              <w:rPr>
                <w:rStyle w:val="Other1"/>
                <w:noProof/>
              </w:rPr>
              <w:t>1,3</w:t>
            </w:r>
          </w:p>
        </w:tc>
      </w:tr>
      <w:tr w:rsidR="007E501C" w:rsidRPr="00EB1066" w14:paraId="31465E84" w14:textId="7A487060" w:rsidTr="00A178FF">
        <w:trPr>
          <w:cantSplit/>
          <w:trHeight w:val="1160"/>
        </w:trPr>
        <w:tc>
          <w:tcPr>
            <w:tcW w:w="1234" w:type="pct"/>
            <w:shd w:val="clear" w:color="auto" w:fill="D9E2F3" w:themeFill="accent1" w:themeFillTint="33"/>
            <w:vAlign w:val="center"/>
          </w:tcPr>
          <w:p w14:paraId="032631F6" w14:textId="77777777" w:rsidR="007E501C" w:rsidRPr="00EB1066" w:rsidRDefault="46EF4A87" w:rsidP="002D6403">
            <w:pPr>
              <w:pStyle w:val="CMR-tables"/>
              <w:rPr>
                <w:rFonts w:cs="Times New Roman"/>
                <w:b/>
                <w:noProof/>
                <w:szCs w:val="20"/>
              </w:rPr>
            </w:pPr>
            <w:r>
              <w:rPr>
                <w:rStyle w:val="Other1"/>
                <w:b/>
                <w:noProof/>
              </w:rPr>
              <w:t>Assegnazione gratuita dalla riserva speciale per i nuovi entranti e gli operatori in rapida crescita</w:t>
            </w:r>
          </w:p>
        </w:tc>
        <w:tc>
          <w:tcPr>
            <w:tcW w:w="628" w:type="pct"/>
            <w:shd w:val="clear" w:color="auto" w:fill="D9E2F3" w:themeFill="accent1" w:themeFillTint="33"/>
            <w:vAlign w:val="center"/>
          </w:tcPr>
          <w:p w14:paraId="6B5755C0" w14:textId="77777777" w:rsidR="007E501C" w:rsidRPr="00EB1066" w:rsidRDefault="007E501C" w:rsidP="002D6403">
            <w:pPr>
              <w:pStyle w:val="CMR-tables"/>
              <w:jc w:val="center"/>
              <w:rPr>
                <w:rFonts w:cs="Times New Roman"/>
                <w:noProof/>
                <w:szCs w:val="20"/>
              </w:rPr>
            </w:pPr>
            <w:r>
              <w:rPr>
                <w:rStyle w:val="Other1"/>
                <w:noProof/>
              </w:rPr>
              <w:t>1,0</w:t>
            </w:r>
          </w:p>
        </w:tc>
        <w:tc>
          <w:tcPr>
            <w:tcW w:w="628" w:type="pct"/>
            <w:shd w:val="clear" w:color="auto" w:fill="D9E2F3" w:themeFill="accent1" w:themeFillTint="33"/>
            <w:vAlign w:val="center"/>
          </w:tcPr>
          <w:p w14:paraId="1081871D" w14:textId="77777777" w:rsidR="007E501C" w:rsidRPr="00EB1066" w:rsidRDefault="007E501C" w:rsidP="002D6403">
            <w:pPr>
              <w:pStyle w:val="CMR-tables"/>
              <w:jc w:val="center"/>
              <w:rPr>
                <w:rFonts w:cs="Times New Roman"/>
                <w:noProof/>
                <w:szCs w:val="20"/>
              </w:rPr>
            </w:pPr>
            <w:r>
              <w:rPr>
                <w:rStyle w:val="Other1"/>
                <w:noProof/>
              </w:rPr>
              <w:t>0,8</w:t>
            </w:r>
          </w:p>
        </w:tc>
        <w:tc>
          <w:tcPr>
            <w:tcW w:w="628" w:type="pct"/>
            <w:shd w:val="clear" w:color="auto" w:fill="D9E2F3" w:themeFill="accent1" w:themeFillTint="33"/>
            <w:vAlign w:val="center"/>
          </w:tcPr>
          <w:p w14:paraId="54291E5A" w14:textId="77777777" w:rsidR="007E501C" w:rsidRPr="00EB1066" w:rsidRDefault="007E501C" w:rsidP="002D6403">
            <w:pPr>
              <w:pStyle w:val="CMR-tables"/>
              <w:jc w:val="center"/>
              <w:rPr>
                <w:rFonts w:cs="Times New Roman"/>
                <w:noProof/>
                <w:szCs w:val="20"/>
              </w:rPr>
            </w:pPr>
            <w:r>
              <w:rPr>
                <w:rStyle w:val="Other1"/>
                <w:noProof/>
              </w:rPr>
              <w:t>0,3</w:t>
            </w:r>
          </w:p>
        </w:tc>
        <w:tc>
          <w:tcPr>
            <w:tcW w:w="628" w:type="pct"/>
            <w:shd w:val="clear" w:color="auto" w:fill="D9E2F3" w:themeFill="accent1" w:themeFillTint="33"/>
            <w:vAlign w:val="center"/>
          </w:tcPr>
          <w:p w14:paraId="487E5316" w14:textId="77777777" w:rsidR="007E501C" w:rsidRPr="00EB1066" w:rsidRDefault="007E501C" w:rsidP="002D6403">
            <w:pPr>
              <w:pStyle w:val="CMR-tables"/>
              <w:jc w:val="center"/>
              <w:rPr>
                <w:rFonts w:cs="Times New Roman"/>
                <w:noProof/>
                <w:szCs w:val="20"/>
              </w:rPr>
            </w:pPr>
            <w:r>
              <w:rPr>
                <w:rStyle w:val="Other1"/>
                <w:noProof/>
              </w:rPr>
              <w:t>0,25</w:t>
            </w:r>
          </w:p>
        </w:tc>
        <w:tc>
          <w:tcPr>
            <w:tcW w:w="627" w:type="pct"/>
            <w:shd w:val="clear" w:color="auto" w:fill="D9E2F3" w:themeFill="accent1" w:themeFillTint="33"/>
            <w:vAlign w:val="center"/>
          </w:tcPr>
          <w:p w14:paraId="5776A82B" w14:textId="078702F0" w:rsidR="007E501C" w:rsidRPr="00EB1066" w:rsidRDefault="00F44906" w:rsidP="002D6403">
            <w:pPr>
              <w:pStyle w:val="CMR-tables"/>
              <w:jc w:val="center"/>
              <w:rPr>
                <w:rStyle w:val="Other1"/>
                <w:rFonts w:cs="Times New Roman"/>
                <w:noProof/>
                <w:szCs w:val="20"/>
              </w:rPr>
            </w:pPr>
            <w:r>
              <w:rPr>
                <w:rStyle w:val="Other1"/>
                <w:noProof/>
              </w:rPr>
              <w:t>0,23</w:t>
            </w:r>
          </w:p>
        </w:tc>
        <w:tc>
          <w:tcPr>
            <w:tcW w:w="627" w:type="pct"/>
            <w:shd w:val="clear" w:color="auto" w:fill="D9E2F3" w:themeFill="accent1" w:themeFillTint="33"/>
            <w:vAlign w:val="center"/>
          </w:tcPr>
          <w:p w14:paraId="16CDFBCC" w14:textId="7BD40996" w:rsidR="00BB032C" w:rsidRPr="00EB1066" w:rsidRDefault="6467FE81" w:rsidP="002D6403">
            <w:pPr>
              <w:pStyle w:val="CMR-tables"/>
              <w:jc w:val="center"/>
              <w:rPr>
                <w:rStyle w:val="Other1"/>
                <w:rFonts w:cs="Times New Roman"/>
                <w:noProof/>
                <w:szCs w:val="20"/>
              </w:rPr>
            </w:pPr>
            <w:r>
              <w:rPr>
                <w:rStyle w:val="Other1"/>
                <w:noProof/>
              </w:rPr>
              <w:t>/</w:t>
            </w:r>
          </w:p>
        </w:tc>
      </w:tr>
      <w:tr w:rsidR="00107511" w:rsidRPr="00EB1066" w14:paraId="3B340DB4" w14:textId="19732043" w:rsidTr="00A178FF">
        <w:trPr>
          <w:cantSplit/>
          <w:trHeight w:val="703"/>
        </w:trPr>
        <w:tc>
          <w:tcPr>
            <w:tcW w:w="1234" w:type="pct"/>
            <w:vAlign w:val="center"/>
          </w:tcPr>
          <w:p w14:paraId="73A4BA87" w14:textId="44D2C5ED" w:rsidR="007E501C" w:rsidRPr="00EB1066" w:rsidRDefault="007E501C" w:rsidP="002D6403">
            <w:pPr>
              <w:pStyle w:val="CMR-tables"/>
              <w:rPr>
                <w:rFonts w:cs="Times New Roman"/>
                <w:b/>
                <w:noProof/>
                <w:szCs w:val="20"/>
              </w:rPr>
            </w:pPr>
            <w:r>
              <w:rPr>
                <w:rStyle w:val="Other1"/>
                <w:b/>
                <w:noProof/>
              </w:rPr>
              <w:t>Volumi di quote di emissione messi all</w:t>
            </w:r>
            <w:r w:rsidR="00F06D2E">
              <w:rPr>
                <w:rStyle w:val="Other1"/>
                <w:b/>
                <w:noProof/>
              </w:rPr>
              <w:t>'</w:t>
            </w:r>
            <w:r>
              <w:rPr>
                <w:rStyle w:val="Other1"/>
                <w:b/>
                <w:noProof/>
              </w:rPr>
              <w:t xml:space="preserve">asta </w:t>
            </w:r>
          </w:p>
        </w:tc>
        <w:tc>
          <w:tcPr>
            <w:tcW w:w="628" w:type="pct"/>
            <w:vAlign w:val="center"/>
          </w:tcPr>
          <w:p w14:paraId="1194BF50" w14:textId="77777777" w:rsidR="007E501C" w:rsidRPr="00EB1066" w:rsidRDefault="007E501C" w:rsidP="002D6403">
            <w:pPr>
              <w:pStyle w:val="CMR-tables"/>
              <w:jc w:val="center"/>
              <w:rPr>
                <w:rFonts w:cs="Times New Roman"/>
                <w:noProof/>
                <w:szCs w:val="20"/>
              </w:rPr>
            </w:pPr>
            <w:r>
              <w:rPr>
                <w:rStyle w:val="Other1"/>
                <w:noProof/>
              </w:rPr>
              <w:t>5,5</w:t>
            </w:r>
          </w:p>
        </w:tc>
        <w:tc>
          <w:tcPr>
            <w:tcW w:w="628" w:type="pct"/>
            <w:vAlign w:val="center"/>
          </w:tcPr>
          <w:p w14:paraId="127C13B1" w14:textId="77777777" w:rsidR="007E501C" w:rsidRPr="00EB1066" w:rsidRDefault="007E501C" w:rsidP="002D6403">
            <w:pPr>
              <w:pStyle w:val="CMR-tables"/>
              <w:jc w:val="center"/>
              <w:rPr>
                <w:rFonts w:cs="Times New Roman"/>
                <w:noProof/>
                <w:szCs w:val="20"/>
              </w:rPr>
            </w:pPr>
            <w:r>
              <w:rPr>
                <w:rStyle w:val="Other1"/>
                <w:noProof/>
              </w:rPr>
              <w:t>9,2</w:t>
            </w:r>
          </w:p>
        </w:tc>
        <w:tc>
          <w:tcPr>
            <w:tcW w:w="628" w:type="pct"/>
            <w:vAlign w:val="center"/>
          </w:tcPr>
          <w:p w14:paraId="3D0C268C" w14:textId="77777777" w:rsidR="007E501C" w:rsidRPr="00EB1066" w:rsidRDefault="007E501C" w:rsidP="002D6403">
            <w:pPr>
              <w:pStyle w:val="CMR-tables"/>
              <w:jc w:val="center"/>
              <w:rPr>
                <w:rFonts w:cs="Times New Roman"/>
                <w:noProof/>
                <w:szCs w:val="20"/>
              </w:rPr>
            </w:pPr>
            <w:r>
              <w:rPr>
                <w:rStyle w:val="Other1"/>
                <w:noProof/>
              </w:rPr>
              <w:t>3,8</w:t>
            </w:r>
          </w:p>
        </w:tc>
        <w:tc>
          <w:tcPr>
            <w:tcW w:w="628" w:type="pct"/>
            <w:vAlign w:val="center"/>
          </w:tcPr>
          <w:p w14:paraId="162F9A02" w14:textId="77777777" w:rsidR="007E501C" w:rsidRPr="00EB1066" w:rsidRDefault="007E501C" w:rsidP="002D6403">
            <w:pPr>
              <w:pStyle w:val="CMR-tables"/>
              <w:jc w:val="center"/>
              <w:rPr>
                <w:rFonts w:cs="Times New Roman"/>
                <w:noProof/>
                <w:szCs w:val="20"/>
              </w:rPr>
            </w:pPr>
            <w:r>
              <w:rPr>
                <w:rStyle w:val="Other1"/>
                <w:noProof/>
              </w:rPr>
              <w:t>3,7</w:t>
            </w:r>
          </w:p>
        </w:tc>
        <w:tc>
          <w:tcPr>
            <w:tcW w:w="627" w:type="pct"/>
            <w:vAlign w:val="center"/>
          </w:tcPr>
          <w:p w14:paraId="0253F7EF" w14:textId="33A8D388" w:rsidR="007E501C" w:rsidRPr="00EB1066" w:rsidRDefault="0020596C" w:rsidP="002D6403">
            <w:pPr>
              <w:pStyle w:val="CMR-tables"/>
              <w:jc w:val="center"/>
              <w:rPr>
                <w:rStyle w:val="Other1"/>
                <w:rFonts w:cs="Times New Roman"/>
                <w:noProof/>
                <w:szCs w:val="20"/>
              </w:rPr>
            </w:pPr>
            <w:r>
              <w:rPr>
                <w:rStyle w:val="Other1"/>
                <w:noProof/>
              </w:rPr>
              <w:t>5,7</w:t>
            </w:r>
          </w:p>
        </w:tc>
        <w:tc>
          <w:tcPr>
            <w:tcW w:w="627" w:type="pct"/>
            <w:vAlign w:val="center"/>
          </w:tcPr>
          <w:p w14:paraId="3E61F7A8" w14:textId="7424B4B0" w:rsidR="00BB032C" w:rsidRPr="00EB1066" w:rsidRDefault="1E586E71" w:rsidP="002D6403">
            <w:pPr>
              <w:pStyle w:val="CMR-tables"/>
              <w:jc w:val="center"/>
              <w:rPr>
                <w:rStyle w:val="Other1"/>
                <w:rFonts w:cs="Times New Roman"/>
                <w:noProof/>
                <w:szCs w:val="20"/>
              </w:rPr>
            </w:pPr>
            <w:r>
              <w:rPr>
                <w:rStyle w:val="Other1"/>
                <w:noProof/>
              </w:rPr>
              <w:t>6,7</w:t>
            </w:r>
          </w:p>
        </w:tc>
      </w:tr>
    </w:tbl>
    <w:p w14:paraId="0F0942C9" w14:textId="5ABD6D88" w:rsidR="00254618" w:rsidRPr="00685D02" w:rsidRDefault="00187D4D" w:rsidP="00187D4D">
      <w:pPr>
        <w:pStyle w:val="CMR-text"/>
        <w:rPr>
          <w:rStyle w:val="Bodytext1"/>
          <w:rFonts w:cs="Times New Roman"/>
          <w:noProof/>
        </w:rPr>
      </w:pPr>
      <w:r>
        <w:rPr>
          <w:rStyle w:val="Bodytext1"/>
          <w:noProof/>
        </w:rPr>
        <w:t>La revisione del 2023 della direttiva ETS ha ampliato l</w:t>
      </w:r>
      <w:r w:rsidR="00F06D2E">
        <w:rPr>
          <w:rStyle w:val="Bodytext1"/>
          <w:noProof/>
        </w:rPr>
        <w:t>'</w:t>
      </w:r>
      <w:r>
        <w:rPr>
          <w:rStyle w:val="Bodytext1"/>
          <w:noProof/>
        </w:rPr>
        <w:t xml:space="preserve">applicazione del principio </w:t>
      </w:r>
      <w:r w:rsidR="00F06D2E">
        <w:rPr>
          <w:rStyle w:val="Bodytext1"/>
          <w:noProof/>
        </w:rPr>
        <w:t>"</w:t>
      </w:r>
      <w:r>
        <w:rPr>
          <w:rStyle w:val="Bodytext1"/>
          <w:noProof/>
        </w:rPr>
        <w:t>chi inquina paga</w:t>
      </w:r>
      <w:r w:rsidR="00F06D2E">
        <w:rPr>
          <w:rStyle w:val="Bodytext1"/>
          <w:noProof/>
        </w:rPr>
        <w:t>"</w:t>
      </w:r>
      <w:r>
        <w:rPr>
          <w:rStyle w:val="Bodytext1"/>
          <w:noProof/>
        </w:rPr>
        <w:t xml:space="preserve"> nel settore del trasporto aereo. Entro la fine del 2025 si porrà gradualmente fine all</w:t>
      </w:r>
      <w:r w:rsidR="00F06D2E">
        <w:rPr>
          <w:rStyle w:val="Bodytext1"/>
          <w:noProof/>
        </w:rPr>
        <w:t>'</w:t>
      </w:r>
      <w:r>
        <w:rPr>
          <w:rStyle w:val="Bodytext1"/>
          <w:noProof/>
        </w:rPr>
        <w:t xml:space="preserve">assegnazione gratuita di quote agli operatori aerei, che già nel 2025 è stata ridotta del 50 %. </w:t>
      </w:r>
    </w:p>
    <w:p w14:paraId="7B2BE992" w14:textId="646EE1EA" w:rsidR="00187D4D" w:rsidRPr="00685D02" w:rsidRDefault="04CBF91F" w:rsidP="00187D4D">
      <w:pPr>
        <w:pStyle w:val="CMR-text"/>
        <w:rPr>
          <w:rStyle w:val="Bodytext1"/>
          <w:rFonts w:cs="Times New Roman"/>
          <w:noProof/>
        </w:rPr>
      </w:pPr>
      <w:r>
        <w:rPr>
          <w:noProof/>
        </w:rPr>
        <w:t>La decarbonizzazione del trasporto aereo è urgentemente necessaria. Il prezzo del carbonio nell</w:t>
      </w:r>
      <w:r w:rsidR="00F06D2E">
        <w:rPr>
          <w:noProof/>
        </w:rPr>
        <w:t>'</w:t>
      </w:r>
      <w:r>
        <w:rPr>
          <w:noProof/>
        </w:rPr>
        <w:t>ambito dell</w:t>
      </w:r>
      <w:r w:rsidR="00F06D2E">
        <w:rPr>
          <w:noProof/>
        </w:rPr>
        <w:t>'</w:t>
      </w:r>
      <w:r>
        <w:rPr>
          <w:noProof/>
        </w:rPr>
        <w:t>ETS fornisce già un incentivo quantificabile in circa 200 EUR per tonnellata di carburante sostenibile per l</w:t>
      </w:r>
      <w:r w:rsidR="00F06D2E">
        <w:rPr>
          <w:noProof/>
        </w:rPr>
        <w:t>'</w:t>
      </w:r>
      <w:r>
        <w:rPr>
          <w:noProof/>
        </w:rPr>
        <w:t>aviazione utilizzato, rispetto al cherosene fossile. Nel 2025 la Commissione ha attuato un ulteriore meccanismo di sostegno nell</w:t>
      </w:r>
      <w:r w:rsidR="00F06D2E">
        <w:rPr>
          <w:noProof/>
        </w:rPr>
        <w:t>'</w:t>
      </w:r>
      <w:r>
        <w:rPr>
          <w:noProof/>
        </w:rPr>
        <w:t>ambito dell</w:t>
      </w:r>
      <w:r w:rsidR="00F06D2E">
        <w:rPr>
          <w:noProof/>
        </w:rPr>
        <w:t>'</w:t>
      </w:r>
      <w:r>
        <w:rPr>
          <w:noProof/>
        </w:rPr>
        <w:t>EU ETS per l</w:t>
      </w:r>
      <w:r w:rsidR="00F06D2E">
        <w:rPr>
          <w:noProof/>
        </w:rPr>
        <w:t>'</w:t>
      </w:r>
      <w:r>
        <w:rPr>
          <w:noProof/>
        </w:rPr>
        <w:t>uso di carburanti sostenibili per l</w:t>
      </w:r>
      <w:r w:rsidR="00F06D2E">
        <w:rPr>
          <w:noProof/>
        </w:rPr>
        <w:t>'</w:t>
      </w:r>
      <w:r>
        <w:rPr>
          <w:noProof/>
        </w:rPr>
        <w:t>aviazione. Per ogni tonnellata di carburante ammissibile utilizzata su una rotta che rientra nell</w:t>
      </w:r>
      <w:r w:rsidR="00F06D2E">
        <w:rPr>
          <w:noProof/>
        </w:rPr>
        <w:t>'</w:t>
      </w:r>
      <w:r>
        <w:rPr>
          <w:noProof/>
        </w:rPr>
        <w:t>ETS le compagnie aeree possono chiedere un sostegno di importo compreso tra circa 500 EUR e 7 000 EUR</w:t>
      </w:r>
      <w:r>
        <w:rPr>
          <w:rFonts w:cs="Times New Roman"/>
          <w:noProof/>
          <w:vertAlign w:val="superscript"/>
          <w:lang w:val="en-IE"/>
        </w:rPr>
        <w:footnoteReference w:id="90"/>
      </w:r>
      <w:r>
        <w:rPr>
          <w:noProof/>
        </w:rPr>
        <w:t xml:space="preserve"> per tonnellata di carburante. </w:t>
      </w:r>
      <w:r>
        <w:rPr>
          <w:rStyle w:val="Bodytext1"/>
          <w:noProof/>
        </w:rPr>
        <w:t>L</w:t>
      </w:r>
      <w:r w:rsidR="00F06D2E">
        <w:rPr>
          <w:rStyle w:val="Bodytext1"/>
          <w:noProof/>
        </w:rPr>
        <w:t>'</w:t>
      </w:r>
      <w:r>
        <w:rPr>
          <w:rStyle w:val="Bodytext1"/>
          <w:noProof/>
        </w:rPr>
        <w:t>incentivo è disponibile per i carburanti ammissibili caricati sulle rotte che rientrano nell</w:t>
      </w:r>
      <w:r w:rsidR="00F06D2E">
        <w:rPr>
          <w:rStyle w:val="Bodytext1"/>
          <w:noProof/>
        </w:rPr>
        <w:t>'</w:t>
      </w:r>
      <w:r>
        <w:rPr>
          <w:rStyle w:val="Bodytext1"/>
          <w:noProof/>
        </w:rPr>
        <w:t>ETS dal 1º gennaio 2024. Per il 2024 l</w:t>
      </w:r>
      <w:r w:rsidR="00F06D2E">
        <w:rPr>
          <w:rStyle w:val="Bodytext1"/>
          <w:noProof/>
        </w:rPr>
        <w:t>'</w:t>
      </w:r>
      <w:r>
        <w:rPr>
          <w:rStyle w:val="Bodytext1"/>
          <w:noProof/>
        </w:rPr>
        <w:t>incentivo derivante dall</w:t>
      </w:r>
      <w:r w:rsidR="00F06D2E">
        <w:rPr>
          <w:rStyle w:val="Bodytext1"/>
          <w:noProof/>
        </w:rPr>
        <w:t>'</w:t>
      </w:r>
      <w:r>
        <w:rPr>
          <w:rStyle w:val="Bodytext1"/>
          <w:noProof/>
        </w:rPr>
        <w:t>EU ETS è ammontato a circa 25 milioni di EUR (dato che gli operatori non sono tenuti a restituire quote) ed è stato integrato da un ulteriore sostegno ETS pari a circa 1,3 milioni di quote del valore di circa 100 milioni di EUR</w:t>
      </w:r>
      <w:r>
        <w:rPr>
          <w:rStyle w:val="FootnoteReference"/>
          <w:rFonts w:cs="Times New Roman"/>
          <w:noProof/>
          <w:lang w:val="en-IE"/>
        </w:rPr>
        <w:footnoteReference w:id="91"/>
      </w:r>
      <w:r>
        <w:rPr>
          <w:rStyle w:val="Bodytext1"/>
          <w:noProof/>
        </w:rPr>
        <w:t>.</w:t>
      </w:r>
    </w:p>
    <w:p w14:paraId="5EAC9108" w14:textId="3359A982" w:rsidR="00187D4D" w:rsidRPr="00685D02" w:rsidRDefault="5E0A25F4" w:rsidP="00187D4D">
      <w:pPr>
        <w:pStyle w:val="CMR-text"/>
        <w:rPr>
          <w:rStyle w:val="Bodytext1"/>
          <w:rFonts w:cs="Times New Roman"/>
          <w:noProof/>
        </w:rPr>
      </w:pPr>
      <w:r>
        <w:rPr>
          <w:rStyle w:val="Bodytext1"/>
          <w:noProof/>
        </w:rPr>
        <w:t>Preso atto che gli effetti del trasporto aereo non legati alle emissioni di CO</w:t>
      </w:r>
      <w:r>
        <w:rPr>
          <w:rStyle w:val="Bodytext1"/>
          <w:noProof/>
          <w:vertAlign w:val="subscript"/>
        </w:rPr>
        <w:t>2</w:t>
      </w:r>
      <w:r>
        <w:rPr>
          <w:rStyle w:val="Bodytext1"/>
          <w:noProof/>
        </w:rPr>
        <w:t xml:space="preserve"> non possono più essere ignorati</w:t>
      </w:r>
      <w:r>
        <w:rPr>
          <w:rStyle w:val="FootnoteReference"/>
          <w:rFonts w:cs="Times New Roman"/>
          <w:noProof/>
          <w:lang w:val="en-IE"/>
        </w:rPr>
        <w:footnoteReference w:id="92"/>
      </w:r>
      <w:r>
        <w:rPr>
          <w:rStyle w:val="Bodytext1"/>
          <w:noProof/>
        </w:rPr>
        <w:t xml:space="preserve">, </w:t>
      </w:r>
      <w:r>
        <w:rPr>
          <w:noProof/>
        </w:rPr>
        <w:t>l</w:t>
      </w:r>
      <w:r w:rsidR="00F06D2E">
        <w:rPr>
          <w:noProof/>
        </w:rPr>
        <w:t>'</w:t>
      </w:r>
      <w:r>
        <w:rPr>
          <w:noProof/>
        </w:rPr>
        <w:t>UE è la prima giurisdizione ad avere introdotto un quadro per il monitoraggio, la comunicazione e la verifica di tali effetti (cfr. capitolo</w:t>
      </w:r>
      <w:r>
        <w:rPr>
          <w:rFonts w:cs="Times New Roman"/>
          <w:noProof/>
        </w:rPr>
        <w:fldChar w:fldCharType="begin"/>
      </w:r>
      <w:r>
        <w:rPr>
          <w:rFonts w:cs="Times New Roman"/>
          <w:noProof/>
        </w:rPr>
        <w:instrText xml:space="preserve"> REF _Ref209099098 \r \h  \* MERGEFORMAT </w:instrText>
      </w:r>
      <w:r>
        <w:rPr>
          <w:rFonts w:cs="Times New Roman"/>
          <w:noProof/>
        </w:rPr>
      </w:r>
      <w:r>
        <w:rPr>
          <w:rFonts w:cs="Times New Roman"/>
          <w:noProof/>
        </w:rPr>
        <w:fldChar w:fldCharType="separate"/>
      </w:r>
      <w:r>
        <w:rPr>
          <w:rFonts w:cs="Times New Roman"/>
          <w:noProof/>
        </w:rPr>
        <w:t>11.1.2</w:t>
      </w:r>
      <w:r>
        <w:rPr>
          <w:rFonts w:cs="Times New Roman"/>
          <w:noProof/>
        </w:rPr>
        <w:fldChar w:fldCharType="end"/>
      </w:r>
      <w:r>
        <w:rPr>
          <w:noProof/>
        </w:rPr>
        <w:t xml:space="preserve">). </w:t>
      </w:r>
    </w:p>
    <w:p w14:paraId="5A292A24" w14:textId="0C4E36A7" w:rsidR="00613B80" w:rsidRPr="00EC4FC3" w:rsidRDefault="00F230A3" w:rsidP="002D6403">
      <w:pPr>
        <w:pStyle w:val="CMR-Heading"/>
        <w:keepNext/>
        <w:ind w:left="499" w:hanging="357"/>
        <w:rPr>
          <w:noProof/>
        </w:rPr>
      </w:pPr>
      <w:r>
        <w:rPr>
          <w:noProof/>
        </w:rPr>
        <w:t xml:space="preserve"> </w:t>
      </w:r>
      <w:bookmarkStart w:id="71" w:name="_Toc180513409"/>
      <w:bookmarkStart w:id="72" w:name="_Ref207358781"/>
      <w:bookmarkStart w:id="73" w:name="_Toc218937040"/>
      <w:r>
        <w:rPr>
          <w:noProof/>
        </w:rPr>
        <w:t>Trasporto marittimo</w:t>
      </w:r>
      <w:bookmarkEnd w:id="71"/>
      <w:bookmarkEnd w:id="72"/>
      <w:bookmarkEnd w:id="73"/>
    </w:p>
    <w:p w14:paraId="2FF01EB2" w14:textId="2B514A51" w:rsidR="00777C34" w:rsidRPr="00685D02" w:rsidRDefault="00997185" w:rsidP="00777C34">
      <w:pPr>
        <w:pStyle w:val="CMR-text"/>
        <w:rPr>
          <w:rFonts w:cs="Times New Roman"/>
          <w:iCs/>
          <w:noProof/>
        </w:rPr>
      </w:pPr>
      <w:r>
        <w:rPr>
          <w:noProof/>
        </w:rPr>
        <w:t>Il trasporto marittimo è uno dei principali settori responsabili delle emissioni di gas a effetto serra. Le</w:t>
      </w:r>
      <w:r w:rsidR="0091482D">
        <w:rPr>
          <w:noProof/>
        </w:rPr>
        <w:t> </w:t>
      </w:r>
      <w:r>
        <w:rPr>
          <w:noProof/>
        </w:rPr>
        <w:t>emissioni generate dalle attività di trasporto marittimo sono incluse nell</w:t>
      </w:r>
      <w:r w:rsidR="00F06D2E">
        <w:rPr>
          <w:noProof/>
        </w:rPr>
        <w:t>'</w:t>
      </w:r>
      <w:r>
        <w:rPr>
          <w:noProof/>
        </w:rPr>
        <w:t>UE ETS nel quadro della strategia globale dell</w:t>
      </w:r>
      <w:r w:rsidR="00F06D2E">
        <w:rPr>
          <w:noProof/>
        </w:rPr>
        <w:t>'</w:t>
      </w:r>
      <w:r>
        <w:rPr>
          <w:noProof/>
        </w:rPr>
        <w:t>UE per la decarbonizzazione di tale settore. A decorrere dal 1º gennaio 2024 l</w:t>
      </w:r>
      <w:r w:rsidR="00F06D2E">
        <w:rPr>
          <w:noProof/>
        </w:rPr>
        <w:t>'</w:t>
      </w:r>
      <w:r>
        <w:rPr>
          <w:noProof/>
        </w:rPr>
        <w:t>ambito di applicazione dell</w:t>
      </w:r>
      <w:r w:rsidR="00F06D2E">
        <w:rPr>
          <w:noProof/>
        </w:rPr>
        <w:t>'</w:t>
      </w:r>
      <w:r>
        <w:rPr>
          <w:noProof/>
        </w:rPr>
        <w:t>EU ETS comprende le emissioni generate dalle attività di trasporto marittimo in ragione del 50 % delle emissioni delle tratte che iniziano o terminano al di fuori del SEE e del 100 % di quelle prodotte nella tratta tra due porti del SEE e quando le navi si trovano all</w:t>
      </w:r>
      <w:r w:rsidR="00F06D2E">
        <w:rPr>
          <w:noProof/>
        </w:rPr>
        <w:t>'</w:t>
      </w:r>
      <w:r>
        <w:rPr>
          <w:noProof/>
        </w:rPr>
        <w:t xml:space="preserve">interno di un porto del SEE. </w:t>
      </w:r>
    </w:p>
    <w:p w14:paraId="78E9CCF8" w14:textId="7C2894C2" w:rsidR="000931AB" w:rsidRPr="00685D02" w:rsidRDefault="55503FC6" w:rsidP="00777C34">
      <w:pPr>
        <w:pStyle w:val="CMR-text"/>
        <w:rPr>
          <w:rFonts w:cs="Times New Roman"/>
          <w:noProof/>
        </w:rPr>
      </w:pPr>
      <w:r>
        <w:rPr>
          <w:noProof/>
        </w:rPr>
        <w:t>Tale estensione dell</w:t>
      </w:r>
      <w:r w:rsidR="00F06D2E">
        <w:rPr>
          <w:noProof/>
        </w:rPr>
        <w:t>'</w:t>
      </w:r>
      <w:r>
        <w:rPr>
          <w:noProof/>
        </w:rPr>
        <w:t>EU ETS si basa sulle disposizioni in vigore per altri settori contemplati dal sistema EU ETS e dal regolamento concernente il monitoraggio, la comunicazione e la verifica (MRV) delle emissioni del trasporto marittimo</w:t>
      </w:r>
      <w:r>
        <w:rPr>
          <w:rFonts w:cs="Times New Roman"/>
          <w:noProof/>
          <w:vertAlign w:val="superscript"/>
          <w:lang w:val="en-IE"/>
        </w:rPr>
        <w:footnoteReference w:id="93"/>
      </w:r>
      <w:r>
        <w:rPr>
          <w:noProof/>
        </w:rPr>
        <w:t>. Per il 2024 e il 2025 l</w:t>
      </w:r>
      <w:r w:rsidR="00F06D2E">
        <w:rPr>
          <w:noProof/>
        </w:rPr>
        <w:t>'</w:t>
      </w:r>
      <w:r>
        <w:rPr>
          <w:noProof/>
        </w:rPr>
        <w:t>EU ETS per il trasporto marittimo si applica soltanto alle emissioni di CO</w:t>
      </w:r>
      <w:r>
        <w:rPr>
          <w:noProof/>
          <w:vertAlign w:val="subscript"/>
        </w:rPr>
        <w:t>2</w:t>
      </w:r>
      <w:r>
        <w:rPr>
          <w:noProof/>
        </w:rPr>
        <w:t>, ma dal 2026 sarà esteso al CH</w:t>
      </w:r>
      <w:r>
        <w:rPr>
          <w:noProof/>
          <w:vertAlign w:val="subscript"/>
        </w:rPr>
        <w:t>4</w:t>
      </w:r>
      <w:r>
        <w:rPr>
          <w:noProof/>
        </w:rPr>
        <w:t xml:space="preserve"> e all</w:t>
      </w:r>
      <w:r w:rsidR="00F06D2E">
        <w:rPr>
          <w:noProof/>
        </w:rPr>
        <w:t>'</w:t>
      </w:r>
      <w:r>
        <w:rPr>
          <w:noProof/>
        </w:rPr>
        <w:t>N</w:t>
      </w:r>
      <w:r>
        <w:rPr>
          <w:noProof/>
          <w:vertAlign w:val="subscript"/>
        </w:rPr>
        <w:t>2</w:t>
      </w:r>
      <w:r>
        <w:rPr>
          <w:noProof/>
        </w:rPr>
        <w:t>O. Le società di navigazione hanno comunicato emissioni verificate pari a 89,8 milioni di tonnellate di CO₂ per il 2024</w:t>
      </w:r>
      <w:r>
        <w:rPr>
          <w:rStyle w:val="FootnoteReference"/>
          <w:rFonts w:cs="Times New Roman"/>
          <w:noProof/>
          <w:lang w:val="en-IE"/>
        </w:rPr>
        <w:footnoteReference w:id="94"/>
      </w:r>
      <w:r>
        <w:rPr>
          <w:noProof/>
        </w:rPr>
        <w:t>.</w:t>
      </w:r>
    </w:p>
    <w:p w14:paraId="58226CF3" w14:textId="355E09FC" w:rsidR="00CC36A6" w:rsidRPr="00685D02" w:rsidRDefault="002D692F" w:rsidP="00777C34">
      <w:pPr>
        <w:pStyle w:val="CMR-text"/>
        <w:rPr>
          <w:rFonts w:cs="Times New Roman"/>
          <w:iCs/>
          <w:noProof/>
        </w:rPr>
      </w:pPr>
      <w:r>
        <w:rPr>
          <w:noProof/>
        </w:rPr>
        <w:t>L</w:t>
      </w:r>
      <w:r w:rsidR="00F06D2E">
        <w:rPr>
          <w:noProof/>
        </w:rPr>
        <w:t>'</w:t>
      </w:r>
      <w:r>
        <w:rPr>
          <w:noProof/>
        </w:rPr>
        <w:t>obbligo per le società di navigazione di restituire quote è introdotto gradualmente in un arco di tempo che durerà fino al 2026. Nel corso di tale periodo le società di navigazione sono tenute a restituire quote nel 2025 per il 40 % delle emissioni comunicate per il 2024, e nel 2026 per il 70 % delle emissioni comunicate per il 2025. È stabilita un</w:t>
      </w:r>
      <w:r w:rsidR="00F06D2E">
        <w:rPr>
          <w:noProof/>
        </w:rPr>
        <w:t>'</w:t>
      </w:r>
      <w:r>
        <w:rPr>
          <w:noProof/>
        </w:rPr>
        <w:t>ulteriore riduzione per le navi di classe ghiaccio.</w:t>
      </w:r>
    </w:p>
    <w:p w14:paraId="1F6FA0AC" w14:textId="32CCF9EF" w:rsidR="00777C34" w:rsidRPr="00685D02" w:rsidRDefault="00777C34" w:rsidP="00777C34">
      <w:pPr>
        <w:pStyle w:val="CMR-text"/>
        <w:rPr>
          <w:rFonts w:cs="Times New Roman"/>
          <w:iCs/>
          <w:noProof/>
        </w:rPr>
      </w:pPr>
      <w:r>
        <w:rPr>
          <w:noProof/>
        </w:rPr>
        <w:t xml:space="preserve">Le società di navigazione erano tenute a comunicare le loro emissioni del 2024 entro il 31 marzo 2025 e a restituire il numero corrispondente di quote entro il 30 settembre 2025. </w:t>
      </w:r>
    </w:p>
    <w:p w14:paraId="688A704D" w14:textId="2BCC5690" w:rsidR="00A57CF3" w:rsidRPr="00685D02" w:rsidRDefault="00777C34" w:rsidP="006A01A7">
      <w:pPr>
        <w:pStyle w:val="CMR-text"/>
        <w:rPr>
          <w:rFonts w:cs="Times New Roman"/>
          <w:iCs/>
          <w:noProof/>
        </w:rPr>
      </w:pPr>
      <w:r>
        <w:rPr>
          <w:noProof/>
        </w:rPr>
        <w:t xml:space="preserve">Gli obblighi di restituzione, previa applicazione delle detrazioni e del coefficiente di introduzione graduale per il 2024, corrispondevano a 35,6 milioni di quote UE. Per colmare il divario tra le emissioni verificate e le quote restituite del trasporto marittimo, per il 2024 sono cancellate 54 243 768 quote. </w:t>
      </w:r>
    </w:p>
    <w:p w14:paraId="33A9C5F3" w14:textId="369FF16C" w:rsidR="00553F95" w:rsidRPr="00685D02" w:rsidRDefault="00777C34" w:rsidP="006A01A7">
      <w:pPr>
        <w:pStyle w:val="CMR-text"/>
        <w:rPr>
          <w:rFonts w:cs="Times New Roman"/>
          <w:iCs/>
          <w:noProof/>
        </w:rPr>
      </w:pPr>
      <w:r>
        <w:rPr>
          <w:noProof/>
        </w:rPr>
        <w:t xml:space="preserve">La direttiva ETS comprende una clausola </w:t>
      </w:r>
      <w:r w:rsidR="00F06D2E">
        <w:rPr>
          <w:noProof/>
        </w:rPr>
        <w:t>"</w:t>
      </w:r>
      <w:r>
        <w:rPr>
          <w:noProof/>
        </w:rPr>
        <w:t>Relazioni e riesame</w:t>
      </w:r>
      <w:r w:rsidR="00F06D2E">
        <w:rPr>
          <w:noProof/>
        </w:rPr>
        <w:t>"</w:t>
      </w:r>
      <w:r>
        <w:rPr>
          <w:noProof/>
        </w:rPr>
        <w:t xml:space="preserve"> volta a controllare l</w:t>
      </w:r>
      <w:r w:rsidR="00F06D2E">
        <w:rPr>
          <w:noProof/>
        </w:rPr>
        <w:t>'</w:t>
      </w:r>
      <w:r>
        <w:rPr>
          <w:noProof/>
        </w:rPr>
        <w:t>attuazione dell</w:t>
      </w:r>
      <w:r w:rsidR="00F06D2E">
        <w:rPr>
          <w:noProof/>
        </w:rPr>
        <w:t>'</w:t>
      </w:r>
      <w:r>
        <w:rPr>
          <w:noProof/>
        </w:rPr>
        <w:t>EU</w:t>
      </w:r>
      <w:r w:rsidR="0091482D">
        <w:rPr>
          <w:noProof/>
        </w:rPr>
        <w:t> </w:t>
      </w:r>
      <w:r>
        <w:rPr>
          <w:noProof/>
        </w:rPr>
        <w:t>ETS per il trasporto marittimo, in particolare al fine di individuare e affrontare eventuali comportamenti elusivi sin dalla fase iniziale. Inoltre nel 2026 la Commissione riesaminerà l</w:t>
      </w:r>
      <w:r w:rsidR="00F06D2E">
        <w:rPr>
          <w:noProof/>
        </w:rPr>
        <w:t>'</w:t>
      </w:r>
      <w:r>
        <w:rPr>
          <w:noProof/>
        </w:rPr>
        <w:t>EU ETS per il trasporto marittimo, anche valutando la possibilità di estenderlo alle navi di stazza lorda inferiore a 5 000 tonnellate ma superiore a 400 tonnellate ed esaminando gli sviluppi pertinenti in seno all</w:t>
      </w:r>
      <w:r w:rsidR="00F06D2E">
        <w:rPr>
          <w:noProof/>
        </w:rPr>
        <w:t>'</w:t>
      </w:r>
      <w:r>
        <w:rPr>
          <w:noProof/>
        </w:rPr>
        <w:t>Organizzazione marittima internazionale. Nell</w:t>
      </w:r>
      <w:r w:rsidR="00F06D2E">
        <w:rPr>
          <w:noProof/>
        </w:rPr>
        <w:t>'</w:t>
      </w:r>
      <w:r>
        <w:rPr>
          <w:noProof/>
        </w:rPr>
        <w:t>aprile 2025 l</w:t>
      </w:r>
      <w:r w:rsidR="00F06D2E">
        <w:rPr>
          <w:noProof/>
        </w:rPr>
        <w:t>'</w:t>
      </w:r>
      <w:r>
        <w:rPr>
          <w:noProof/>
        </w:rPr>
        <w:t>IMO ha approvato il quadro per l</w:t>
      </w:r>
      <w:r w:rsidR="00F06D2E">
        <w:rPr>
          <w:noProof/>
        </w:rPr>
        <w:t>'</w:t>
      </w:r>
      <w:r>
        <w:rPr>
          <w:noProof/>
        </w:rPr>
        <w:t>azzeramento delle emissioni nette, compresa una norma globale per la riduzione graduale dell</w:t>
      </w:r>
      <w:r w:rsidR="00F06D2E">
        <w:rPr>
          <w:noProof/>
        </w:rPr>
        <w:t>'</w:t>
      </w:r>
      <w:r>
        <w:rPr>
          <w:noProof/>
        </w:rPr>
        <w:t>intensità delle emissioni di gas a effetto serra dei combustibili per uso marittimo e un elemento di fissazione del prezzo per le emissioni di gas a effetto serra per il trasporto marittimo internazionale, che l</w:t>
      </w:r>
      <w:r w:rsidR="00F06D2E">
        <w:rPr>
          <w:noProof/>
        </w:rPr>
        <w:t>'</w:t>
      </w:r>
      <w:r>
        <w:rPr>
          <w:noProof/>
        </w:rPr>
        <w:t>UE ha accolto con favore. L</w:t>
      </w:r>
      <w:r w:rsidR="00F06D2E">
        <w:rPr>
          <w:noProof/>
        </w:rPr>
        <w:t>'</w:t>
      </w:r>
      <w:r>
        <w:rPr>
          <w:noProof/>
        </w:rPr>
        <w:t>accordo, che è in attesa di adozione, rappresenta un passo significativo verso l</w:t>
      </w:r>
      <w:r w:rsidR="00F06D2E">
        <w:rPr>
          <w:noProof/>
        </w:rPr>
        <w:t>'</w:t>
      </w:r>
      <w:r>
        <w:rPr>
          <w:noProof/>
        </w:rPr>
        <w:t>obiettivo di azzerare le emissioni nette del trasporto marittimo entro il 2050 o intorno a tale data, ossia in prossimità del 2050, come stabilito nella strategia dell</w:t>
      </w:r>
      <w:r w:rsidR="00F06D2E">
        <w:rPr>
          <w:noProof/>
        </w:rPr>
        <w:t>'</w:t>
      </w:r>
      <w:r>
        <w:rPr>
          <w:noProof/>
        </w:rPr>
        <w:t>IMO del 2023 sui gas a effetto serra. Le</w:t>
      </w:r>
      <w:r w:rsidR="0091482D">
        <w:rPr>
          <w:noProof/>
        </w:rPr>
        <w:t> </w:t>
      </w:r>
      <w:r>
        <w:rPr>
          <w:noProof/>
        </w:rPr>
        <w:t>discussioni sull</w:t>
      </w:r>
      <w:r w:rsidR="00F06D2E">
        <w:rPr>
          <w:noProof/>
        </w:rPr>
        <w:t>'</w:t>
      </w:r>
      <w:r>
        <w:rPr>
          <w:noProof/>
        </w:rPr>
        <w:t>adozione dell</w:t>
      </w:r>
      <w:r w:rsidR="00F06D2E">
        <w:rPr>
          <w:noProof/>
        </w:rPr>
        <w:t>'</w:t>
      </w:r>
      <w:r>
        <w:rPr>
          <w:noProof/>
        </w:rPr>
        <w:t>accordo sono state rinviate all</w:t>
      </w:r>
      <w:r w:rsidR="00F06D2E">
        <w:rPr>
          <w:noProof/>
        </w:rPr>
        <w:t>'</w:t>
      </w:r>
      <w:r>
        <w:rPr>
          <w:noProof/>
        </w:rPr>
        <w:t>ottobre 2026.</w:t>
      </w:r>
    </w:p>
    <w:p w14:paraId="7842803D" w14:textId="3200039D" w:rsidR="00613B80" w:rsidRPr="00EC4FC3" w:rsidRDefault="001164FE" w:rsidP="002D6403">
      <w:pPr>
        <w:pStyle w:val="CMR-Heading"/>
        <w:keepNext/>
        <w:ind w:left="499" w:hanging="357"/>
        <w:rPr>
          <w:noProof/>
        </w:rPr>
      </w:pPr>
      <w:r>
        <w:rPr>
          <w:noProof/>
        </w:rPr>
        <w:t xml:space="preserve"> </w:t>
      </w:r>
      <w:bookmarkStart w:id="74" w:name="MRR"/>
      <w:bookmarkStart w:id="75" w:name="_Toc180513410"/>
      <w:bookmarkStart w:id="76" w:name="_Toc218937041"/>
      <w:bookmarkEnd w:id="74"/>
      <w:r>
        <w:rPr>
          <w:noProof/>
        </w:rPr>
        <w:t>Quadro di attuazione dell</w:t>
      </w:r>
      <w:r w:rsidR="00F06D2E">
        <w:rPr>
          <w:noProof/>
        </w:rPr>
        <w:t>'</w:t>
      </w:r>
      <w:r>
        <w:rPr>
          <w:noProof/>
        </w:rPr>
        <w:t>EU ETS</w:t>
      </w:r>
      <w:bookmarkEnd w:id="75"/>
      <w:bookmarkEnd w:id="76"/>
      <w:r>
        <w:rPr>
          <w:noProof/>
        </w:rPr>
        <w:t xml:space="preserve"> </w:t>
      </w:r>
    </w:p>
    <w:p w14:paraId="0582F955" w14:textId="7E78A587" w:rsidR="002B2A04" w:rsidRPr="00685D02" w:rsidRDefault="6628522D" w:rsidP="00C9410E">
      <w:pPr>
        <w:pStyle w:val="CMR-text"/>
        <w:rPr>
          <w:rFonts w:cs="Times New Roman"/>
          <w:noProof/>
          <w:highlight w:val="lightGray"/>
        </w:rPr>
      </w:pPr>
      <w:r>
        <w:rPr>
          <w:noProof/>
        </w:rPr>
        <w:t>Il buon funzionamento e la credibilità ambientale dell</w:t>
      </w:r>
      <w:r w:rsidR="00F06D2E">
        <w:rPr>
          <w:noProof/>
        </w:rPr>
        <w:t>'</w:t>
      </w:r>
      <w:r>
        <w:rPr>
          <w:noProof/>
        </w:rPr>
        <w:t>EU ETS dipendono da un solido quadro di monitoraggio, comunicazione, verifica e accreditamento (MRVA). Le prescrizioni in materia sono armonizzate nel regolamento sul monitoraggio e la comunicazione e nel regolamento sull</w:t>
      </w:r>
      <w:r w:rsidR="00F06D2E">
        <w:rPr>
          <w:noProof/>
        </w:rPr>
        <w:t>'</w:t>
      </w:r>
      <w:r>
        <w:rPr>
          <w:noProof/>
        </w:rPr>
        <w:t>accreditamento e la verifica (regolamento (UE) 2018/2067)</w:t>
      </w:r>
      <w:bookmarkStart w:id="77" w:name="_Ref212025534"/>
      <w:r>
        <w:rPr>
          <w:rFonts w:cs="Times New Roman"/>
          <w:noProof/>
          <w:vertAlign w:val="superscript"/>
          <w:lang w:val="en-IE"/>
        </w:rPr>
        <w:footnoteReference w:id="95"/>
      </w:r>
      <w:bookmarkEnd w:id="77"/>
      <w:r>
        <w:rPr>
          <w:noProof/>
        </w:rPr>
        <w:t>. I paesi sono tenuti a riferire ogni anno in merito all</w:t>
      </w:r>
      <w:r w:rsidR="00F06D2E">
        <w:rPr>
          <w:noProof/>
        </w:rPr>
        <w:t>'</w:t>
      </w:r>
      <w:r>
        <w:rPr>
          <w:noProof/>
        </w:rPr>
        <w:t xml:space="preserve">attuazione di detti regolamenti e della direttiva ETS. </w:t>
      </w:r>
    </w:p>
    <w:p w14:paraId="4418CC24" w14:textId="493956FA" w:rsidR="00C9410E" w:rsidRDefault="002B2A04" w:rsidP="00C9410E">
      <w:pPr>
        <w:pStyle w:val="CMR-text"/>
        <w:rPr>
          <w:rFonts w:cs="Times New Roman"/>
          <w:noProof/>
        </w:rPr>
      </w:pPr>
      <w:r>
        <w:rPr>
          <w:noProof/>
        </w:rPr>
        <w:t>Il presente capitolo riassume i principali dati relativi all</w:t>
      </w:r>
      <w:r w:rsidR="00F06D2E">
        <w:rPr>
          <w:noProof/>
        </w:rPr>
        <w:t>'</w:t>
      </w:r>
      <w:r>
        <w:rPr>
          <w:noProof/>
        </w:rPr>
        <w:t>attuazione dell</w:t>
      </w:r>
      <w:r w:rsidR="00F06D2E">
        <w:rPr>
          <w:noProof/>
        </w:rPr>
        <w:t>'</w:t>
      </w:r>
      <w:r>
        <w:rPr>
          <w:noProof/>
        </w:rPr>
        <w:t>EU ETS che i paesi hanno comunicato a norma dell</w:t>
      </w:r>
      <w:r w:rsidR="00F06D2E">
        <w:rPr>
          <w:noProof/>
        </w:rPr>
        <w:t>'</w:t>
      </w:r>
      <w:r>
        <w:rPr>
          <w:noProof/>
        </w:rPr>
        <w:t xml:space="preserve">articolo 21 della direttiva ETS per il 2024. Gli aspetti relativi al quadro di attuazione per il settore marittimo sono descritti in dettaglio nel capitolo 11.6. </w:t>
      </w:r>
    </w:p>
    <w:p w14:paraId="333AF478" w14:textId="6F4BAC86" w:rsidR="00E35FAB" w:rsidRPr="00E35FAB" w:rsidRDefault="00E35FAB" w:rsidP="00C9410E">
      <w:pPr>
        <w:pStyle w:val="CMR-text"/>
        <w:rPr>
          <w:rFonts w:cs="Times New Roman"/>
          <w:noProof/>
        </w:rPr>
      </w:pPr>
      <w:r>
        <w:rPr>
          <w:noProof/>
        </w:rPr>
        <w:t>Al 27 ottobre 2025, data in cui è stata ultimata la presente relazione, Cipro non aveva ancora presentato la comunicazione per il 2024. In assenza dei dati più recenti, in questo capitolo sono utilizzati quelli comunicati da Cipro per il 2023 per rendere possibile il confronto da un anno all</w:t>
      </w:r>
      <w:r w:rsidR="00F06D2E">
        <w:rPr>
          <w:noProof/>
        </w:rPr>
        <w:t>'</w:t>
      </w:r>
      <w:r>
        <w:rPr>
          <w:noProof/>
        </w:rPr>
        <w:t>altro. Per tutti gli altri paesi sono utilizzati i dati del 2024.</w:t>
      </w:r>
    </w:p>
    <w:p w14:paraId="2A3EAA35" w14:textId="17730D94" w:rsidR="000E3032" w:rsidRPr="00EC4FC3" w:rsidRDefault="000E3032" w:rsidP="00EC4FC3">
      <w:pPr>
        <w:pStyle w:val="CMR-Subheading"/>
        <w:rPr>
          <w:noProof/>
        </w:rPr>
      </w:pPr>
      <w:bookmarkStart w:id="78" w:name="_Toc180513411"/>
      <w:bookmarkStart w:id="79" w:name="_Toc218937042"/>
      <w:r>
        <w:rPr>
          <w:noProof/>
        </w:rPr>
        <w:t>Monitoraggio e comunicazione delle emissioni</w:t>
      </w:r>
      <w:bookmarkEnd w:id="78"/>
      <w:bookmarkEnd w:id="79"/>
      <w:r>
        <w:rPr>
          <w:noProof/>
        </w:rPr>
        <w:t xml:space="preserve"> </w:t>
      </w:r>
    </w:p>
    <w:p w14:paraId="207EFD94" w14:textId="0C3FB011" w:rsidR="005033E7" w:rsidRPr="00685D02" w:rsidRDefault="151A787A" w:rsidP="00680B54">
      <w:pPr>
        <w:pStyle w:val="CMR-text"/>
        <w:rPr>
          <w:rFonts w:cs="Times New Roman"/>
          <w:noProof/>
        </w:rPr>
      </w:pPr>
      <w:r>
        <w:rPr>
          <w:noProof/>
        </w:rPr>
        <w:t>Il sistema di monitoraggio delle emissioni nell</w:t>
      </w:r>
      <w:r w:rsidR="00F06D2E">
        <w:rPr>
          <w:noProof/>
        </w:rPr>
        <w:t>'</w:t>
      </w:r>
      <w:r>
        <w:rPr>
          <w:noProof/>
        </w:rPr>
        <w:t>ambito dell</w:t>
      </w:r>
      <w:r w:rsidR="00F06D2E">
        <w:rPr>
          <w:noProof/>
        </w:rPr>
        <w:t>'</w:t>
      </w:r>
      <w:r>
        <w:rPr>
          <w:noProof/>
        </w:rPr>
        <w:t>EU ETS si basa su un approccio modulare, che offre ai gestori un elevato grado di flessibilità, garantendo così sia l</w:t>
      </w:r>
      <w:r w:rsidR="00F06D2E">
        <w:rPr>
          <w:noProof/>
        </w:rPr>
        <w:t>'</w:t>
      </w:r>
      <w:r>
        <w:rPr>
          <w:noProof/>
        </w:rPr>
        <w:t>efficienza sotto il profilo dei costi sia l</w:t>
      </w:r>
      <w:r w:rsidR="00F06D2E">
        <w:rPr>
          <w:noProof/>
        </w:rPr>
        <w:t>'</w:t>
      </w:r>
      <w:r>
        <w:rPr>
          <w:noProof/>
        </w:rPr>
        <w:t xml:space="preserve">attendibilità dei dati sulle emissioni. I gestori possono utilizzare diversi approcci di monitoraggio (basati su calcoli o su misurazioni, o eccezionalmente approcci alternativi), compresa una combinazione di metodi per le varie parti di un impianto. Agli operatori aerei è consentito utilizzare soltanto approcci basati su calcoli, che hanno come parametro fondamentale il consumo di carburante dei voli. </w:t>
      </w:r>
    </w:p>
    <w:p w14:paraId="456913C3" w14:textId="24FB16DA" w:rsidR="00680B54" w:rsidRPr="00685D02" w:rsidRDefault="4915D43B" w:rsidP="65EC3A73">
      <w:pPr>
        <w:pStyle w:val="CMR-text"/>
        <w:rPr>
          <w:rFonts w:cs="Times New Roman"/>
          <w:noProof/>
        </w:rPr>
      </w:pPr>
      <w:r>
        <w:rPr>
          <w:noProof/>
        </w:rPr>
        <w:t>Il regolamento sul monitoraggio e la comunicazione impone sia agli impianti che agli operatori aerei di dotarsi di un piano di monitoraggio approvato dall</w:t>
      </w:r>
      <w:r w:rsidR="00F06D2E">
        <w:rPr>
          <w:noProof/>
        </w:rPr>
        <w:t>'</w:t>
      </w:r>
      <w:r>
        <w:rPr>
          <w:noProof/>
        </w:rPr>
        <w:t>autorità nazionale competente, al fine di impedire che selezionino in maniera arbitraria le metodologie di monitoraggio e le variazioni temporali. Nel 2024 quattro paesi</w:t>
      </w:r>
      <w:r>
        <w:rPr>
          <w:rFonts w:cs="Times New Roman"/>
          <w:noProof/>
          <w:vertAlign w:val="superscript"/>
          <w:lang w:val="en-IE"/>
        </w:rPr>
        <w:footnoteReference w:id="96"/>
      </w:r>
      <w:r>
        <w:rPr>
          <w:noProof/>
        </w:rPr>
        <w:t xml:space="preserve"> (cinque nel 2023) hanno continuato a consentire agli impianti di utilizzare piani di monitoraggio semplificati nei casi a basso rischio</w:t>
      </w:r>
      <w:r>
        <w:rPr>
          <w:rFonts w:cs="Times New Roman"/>
          <w:noProof/>
          <w:vertAlign w:val="superscript"/>
          <w:lang w:val="en-IE"/>
        </w:rPr>
        <w:footnoteReference w:id="97"/>
      </w:r>
      <w:r>
        <w:rPr>
          <w:noProof/>
        </w:rPr>
        <w:t xml:space="preserve">. Per quanto riguarda il trasporto aereo, tale disposizione è utilizzata solo per gli emettitori di entità ridotta in Belgio. </w:t>
      </w:r>
    </w:p>
    <w:p w14:paraId="1CB2CACE" w14:textId="51E87F85" w:rsidR="00797ADF" w:rsidRPr="00685D02" w:rsidRDefault="00B92F09" w:rsidP="65EC3A73">
      <w:pPr>
        <w:pStyle w:val="CMR-text"/>
        <w:rPr>
          <w:rFonts w:cs="Times New Roman"/>
          <w:noProof/>
        </w:rPr>
      </w:pPr>
      <w:r>
        <w:rPr>
          <w:noProof/>
        </w:rPr>
        <w:t>Gli impianti hanno continuato a rispettare gli obblighi giuridici relativi al monitoraggio delle emissioni. Gran parte degli impianti ha utilizzato il metodo basato su calcoli</w:t>
      </w:r>
      <w:r>
        <w:rPr>
          <w:rFonts w:cs="Times New Roman"/>
          <w:noProof/>
          <w:vertAlign w:val="superscript"/>
          <w:lang w:val="en-IE"/>
        </w:rPr>
        <w:footnoteReference w:id="98"/>
      </w:r>
      <w:r>
        <w:rPr>
          <w:noProof/>
        </w:rPr>
        <w:t xml:space="preserve"> per calcolare le proprie emissioni. Solo 274 impianti (3,2 %) in 23 paesi hanno riferito di utilizzare sistemi di misurazione in continuo delle emissioni (CEMS). Di questi, 221 impianti hanno utilizzato i CEMS per misurare le emissioni di CO</w:t>
      </w:r>
      <w:r>
        <w:rPr>
          <w:noProof/>
          <w:vertAlign w:val="subscript"/>
        </w:rPr>
        <w:t>2</w:t>
      </w:r>
      <w:r>
        <w:rPr>
          <w:noProof/>
        </w:rPr>
        <w:t>, 40 per l</w:t>
      </w:r>
      <w:r w:rsidR="00F06D2E">
        <w:rPr>
          <w:noProof/>
        </w:rPr>
        <w:t>'</w:t>
      </w:r>
      <w:r>
        <w:rPr>
          <w:noProof/>
        </w:rPr>
        <w:t>N</w:t>
      </w:r>
      <w:r>
        <w:rPr>
          <w:noProof/>
          <w:vertAlign w:val="subscript"/>
        </w:rPr>
        <w:t>2</w:t>
      </w:r>
      <w:r>
        <w:rPr>
          <w:noProof/>
        </w:rPr>
        <w:t>O e 13 per entrambi i gas. I CEMS sono utilizzati più frequentemente in Francia. In</w:t>
      </w:r>
      <w:r w:rsidR="0091482D">
        <w:rPr>
          <w:noProof/>
        </w:rPr>
        <w:t> </w:t>
      </w:r>
      <w:r>
        <w:rPr>
          <w:noProof/>
        </w:rPr>
        <w:t>163 impianti le emissioni misurate contenevano anche CO</w:t>
      </w:r>
      <w:r>
        <w:rPr>
          <w:noProof/>
          <w:vertAlign w:val="subscript"/>
        </w:rPr>
        <w:t>2</w:t>
      </w:r>
      <w:r>
        <w:rPr>
          <w:noProof/>
        </w:rPr>
        <w:t xml:space="preserve"> biogenico. Degli impianti che ricorrono ai CEMS, 189 hanno utilizzato questo metodo per oltre il 95 % delle loro emissioni, mentre gli altri 85 hanno utilizzato una combinazione di CEMS e metodo basato su calcoli.</w:t>
      </w:r>
    </w:p>
    <w:p w14:paraId="121B021A" w14:textId="3BD6705F" w:rsidR="00797ADF" w:rsidRPr="00685D02" w:rsidRDefault="12564DF9" w:rsidP="65EC3A73">
      <w:pPr>
        <w:pStyle w:val="CMR-text"/>
        <w:rPr>
          <w:rFonts w:cs="Times New Roman"/>
          <w:noProof/>
        </w:rPr>
      </w:pPr>
      <w:r>
        <w:rPr>
          <w:noProof/>
        </w:rPr>
        <w:t>Solo 12 paesi hanno riferito di aver adottato l</w:t>
      </w:r>
      <w:r w:rsidR="00F06D2E">
        <w:rPr>
          <w:noProof/>
        </w:rPr>
        <w:t>'</w:t>
      </w:r>
      <w:r>
        <w:rPr>
          <w:noProof/>
        </w:rPr>
        <w:t>approccio alternativo. Tale approccio è stato impiegato per 31 impianti responsabili di circa 2,0 Mt di CO</w:t>
      </w:r>
      <w:r>
        <w:rPr>
          <w:noProof/>
          <w:vertAlign w:val="subscript"/>
        </w:rPr>
        <w:t>2</w:t>
      </w:r>
      <w:r>
        <w:rPr>
          <w:noProof/>
        </w:rPr>
        <w:t>eq (sei impianti in più rispetto al 2023, anche se il volume di emissioni è diminuito di 0,6 Mt di CO</w:t>
      </w:r>
      <w:r>
        <w:rPr>
          <w:noProof/>
          <w:vertAlign w:val="subscript"/>
        </w:rPr>
        <w:t>2</w:t>
      </w:r>
      <w:r>
        <w:rPr>
          <w:noProof/>
        </w:rPr>
        <w:t xml:space="preserve">eq). Un impianto nei Paesi Bassi è responsabile del 52 % di tutte le emissioni segnalate utilizzando il metodo alternativo a causa della sua impostazione complessa. </w:t>
      </w:r>
    </w:p>
    <w:p w14:paraId="312C5AF1" w14:textId="5451C73B" w:rsidR="00797ADF" w:rsidRPr="00685D02" w:rsidRDefault="49BBFFFE" w:rsidP="00797ADF">
      <w:pPr>
        <w:pStyle w:val="CMR-text"/>
        <w:rPr>
          <w:rFonts w:cs="Times New Roman"/>
          <w:noProof/>
        </w:rPr>
      </w:pPr>
      <w:r>
        <w:rPr>
          <w:noProof/>
        </w:rPr>
        <w:t>Nel 2024 la maggior parte degli impianti ha soddisfatto i requisiti di livello minimi</w:t>
      </w:r>
      <w:r>
        <w:rPr>
          <w:rFonts w:cs="Times New Roman"/>
          <w:noProof/>
          <w:vertAlign w:val="superscript"/>
          <w:lang w:val="en-IE"/>
        </w:rPr>
        <w:footnoteReference w:id="99"/>
      </w:r>
      <w:r>
        <w:rPr>
          <w:noProof/>
        </w:rPr>
        <w:t xml:space="preserve"> di cui al regolamento concernente il monitoraggio e la comunicazione. Solo 97 impianti di categoria C (98 del 2023) si sono discostati, in almeno un parametro, dall</w:t>
      </w:r>
      <w:r w:rsidR="00F06D2E">
        <w:rPr>
          <w:noProof/>
        </w:rPr>
        <w:t>'</w:t>
      </w:r>
      <w:r>
        <w:rPr>
          <w:noProof/>
        </w:rPr>
        <w:t>obbligo di applicare i livelli più elevati per i flussi di fonti di maggiore entità. Erano situati in 18 paesi diversi (17 nel 2023) e rappresentavano il 17,1 % degli impianti di categoria C. Scostamenti del genere sono ammessi solo quando il gestore dimostra che applicare il livello più alto non è tecnicamente realizzabile o comporta costi sproporzionatamente elevati. Non appena tali condizioni non sussistono più, il gestore deve apportare le opportune migliorie al sistema di monitoraggio.</w:t>
      </w:r>
    </w:p>
    <w:p w14:paraId="34A06E91" w14:textId="37701A54" w:rsidR="00363737" w:rsidRPr="00685D02" w:rsidRDefault="00363737" w:rsidP="00EC4FC3">
      <w:pPr>
        <w:pStyle w:val="CMR-SubHead2"/>
        <w:rPr>
          <w:noProof/>
        </w:rPr>
      </w:pPr>
      <w:bookmarkStart w:id="80" w:name="_Toc218937043"/>
      <w:r>
        <w:rPr>
          <w:noProof/>
        </w:rPr>
        <w:t>Monitoraggio e comunicazione delle emissioni derivanti dall</w:t>
      </w:r>
      <w:r w:rsidR="00F06D2E">
        <w:rPr>
          <w:noProof/>
        </w:rPr>
        <w:t>'</w:t>
      </w:r>
      <w:r>
        <w:rPr>
          <w:noProof/>
        </w:rPr>
        <w:t>incenerimento dei rifiuti urbani</w:t>
      </w:r>
      <w:bookmarkEnd w:id="80"/>
    </w:p>
    <w:p w14:paraId="3AE49F71" w14:textId="001BB088" w:rsidR="00546775" w:rsidRPr="00685D02" w:rsidRDefault="00F327B6" w:rsidP="00E7304F">
      <w:pPr>
        <w:pStyle w:val="CMR-text"/>
        <w:rPr>
          <w:rFonts w:cs="Times New Roman"/>
          <w:noProof/>
        </w:rPr>
      </w:pPr>
      <w:r>
        <w:rPr>
          <w:noProof/>
        </w:rPr>
        <w:t>Entro il 31 luglio 2026 la Commissione deve valutare la fattibilità di includere nell</w:t>
      </w:r>
      <w:r w:rsidR="00F06D2E">
        <w:rPr>
          <w:noProof/>
        </w:rPr>
        <w:t>'</w:t>
      </w:r>
      <w:r>
        <w:rPr>
          <w:noProof/>
        </w:rPr>
        <w:t>UE ETS le emissioni derivanti dall</w:t>
      </w:r>
      <w:r w:rsidR="00F06D2E">
        <w:rPr>
          <w:noProof/>
        </w:rPr>
        <w:t>'</w:t>
      </w:r>
      <w:r>
        <w:rPr>
          <w:noProof/>
        </w:rPr>
        <w:t>incenerimento dei rifiuti urbani (ed eventualmente da altri processi di gestione dei rifiuti). Tale valutazione fa parte di un più ampio riesame dell</w:t>
      </w:r>
      <w:r w:rsidR="00F06D2E">
        <w:rPr>
          <w:noProof/>
        </w:rPr>
        <w:t>'</w:t>
      </w:r>
      <w:r>
        <w:rPr>
          <w:noProof/>
        </w:rPr>
        <w:t>EU ETS; la relativa proposta è prevista per il 2026.</w:t>
      </w:r>
    </w:p>
    <w:p w14:paraId="1633056A" w14:textId="09E6101D" w:rsidR="00642392" w:rsidRPr="00685D02" w:rsidRDefault="002D0B4D" w:rsidP="00E7304F">
      <w:pPr>
        <w:pStyle w:val="CMR-text"/>
        <w:rPr>
          <w:rFonts w:cs="Times New Roman"/>
          <w:noProof/>
        </w:rPr>
      </w:pPr>
      <w:r>
        <w:rPr>
          <w:noProof/>
        </w:rPr>
        <w:t>Dal 1º gennaio 2024 gli impianti di incenerimento dei rifiuti urbani (al di sopra della soglia di potenza termica nominale di 20 MW) sono tenuti a monitorare e comunicare le loro emissioni nell</w:t>
      </w:r>
      <w:r w:rsidR="00F06D2E">
        <w:rPr>
          <w:noProof/>
        </w:rPr>
        <w:t>'</w:t>
      </w:r>
      <w:r>
        <w:rPr>
          <w:noProof/>
        </w:rPr>
        <w:t>ambito dell</w:t>
      </w:r>
      <w:r w:rsidR="00F06D2E">
        <w:rPr>
          <w:noProof/>
        </w:rPr>
        <w:t>'</w:t>
      </w:r>
      <w:r>
        <w:rPr>
          <w:noProof/>
        </w:rPr>
        <w:t>EU ETS. Al momento non sono tuttavia tenuti a restituire quote per le loro emissioni. 18 paesi (17</w:t>
      </w:r>
      <w:r w:rsidR="0091482D">
        <w:rPr>
          <w:noProof/>
        </w:rPr>
        <w:t> </w:t>
      </w:r>
      <w:r>
        <w:rPr>
          <w:noProof/>
        </w:rPr>
        <w:t>Stati membri e Norvegia) hanno comunicato le emissioni derivanti dalla combustione di combustibili in impianti di incenerimento dei rifiuti urbani per il 2024</w:t>
      </w:r>
      <w:r>
        <w:rPr>
          <w:rStyle w:val="FootnoteReference"/>
          <w:rFonts w:cs="Times New Roman"/>
          <w:noProof/>
          <w:lang w:val="en-IE"/>
        </w:rPr>
        <w:footnoteReference w:id="100"/>
      </w:r>
      <w:r>
        <w:rPr>
          <w:noProof/>
        </w:rPr>
        <w:t xml:space="preserve">. </w:t>
      </w:r>
    </w:p>
    <w:p w14:paraId="0FF4C79E" w14:textId="1D849072" w:rsidR="00363737" w:rsidRPr="00EC4FC3" w:rsidRDefault="1F8A8195" w:rsidP="00EC4FC3">
      <w:pPr>
        <w:pStyle w:val="CMR-SubHead2"/>
        <w:rPr>
          <w:noProof/>
        </w:rPr>
      </w:pPr>
      <w:r>
        <w:rPr>
          <w:noProof/>
        </w:rPr>
        <w:t xml:space="preserve"> </w:t>
      </w:r>
      <w:bookmarkStart w:id="81" w:name="_Ref209099098"/>
      <w:bookmarkStart w:id="82" w:name="_Toc218937044"/>
      <w:r>
        <w:rPr>
          <w:noProof/>
        </w:rPr>
        <w:t>Monitoraggio e comunicazione degli effetti del trasporto aereo non legati alle emissioni di CO</w:t>
      </w:r>
      <w:r>
        <w:rPr>
          <w:noProof/>
          <w:vertAlign w:val="subscript"/>
        </w:rPr>
        <w:t>2</w:t>
      </w:r>
      <w:bookmarkEnd w:id="81"/>
      <w:bookmarkEnd w:id="82"/>
    </w:p>
    <w:p w14:paraId="1E241B90" w14:textId="05FAE1F7" w:rsidR="00D53392" w:rsidRPr="00685D02" w:rsidRDefault="00363737" w:rsidP="006E00E4">
      <w:pPr>
        <w:pStyle w:val="CMR-text"/>
        <w:rPr>
          <w:rFonts w:cs="Times New Roman"/>
          <w:noProof/>
          <w:color w:val="000000"/>
          <w:shd w:val="clear" w:color="auto" w:fill="FFFFFF"/>
        </w:rPr>
      </w:pPr>
      <w:r>
        <w:rPr>
          <w:noProof/>
        </w:rPr>
        <w:t>Dal 1º gennaio 2025 gli operatori aerei devono monitorare e comunicare gli effetti del trasporto aereo non legati alle emissioni di CO</w:t>
      </w:r>
      <w:r>
        <w:rPr>
          <w:noProof/>
          <w:vertAlign w:val="subscript"/>
        </w:rPr>
        <w:t>2</w:t>
      </w:r>
      <w:r>
        <w:rPr>
          <w:noProof/>
        </w:rPr>
        <w:t>.</w:t>
      </w:r>
      <w:r>
        <w:rPr>
          <w:noProof/>
          <w:color w:val="000000" w:themeColor="text1"/>
        </w:rPr>
        <w:t xml:space="preserve"> L</w:t>
      </w:r>
      <w:r w:rsidR="00F06D2E">
        <w:rPr>
          <w:noProof/>
          <w:color w:val="000000" w:themeColor="text1"/>
        </w:rPr>
        <w:t>'</w:t>
      </w:r>
      <w:r>
        <w:rPr>
          <w:noProof/>
          <w:color w:val="000000" w:themeColor="text1"/>
        </w:rPr>
        <w:t>obbligo riguarda il solfato particolato e il particolato carbonioso, il vapore acqueo, gli ossidi di azoto e il diossido di zolfo, che gli aerei emettono durante il volo. Per</w:t>
      </w:r>
      <w:r w:rsidR="0091482D">
        <w:rPr>
          <w:noProof/>
          <w:color w:val="000000" w:themeColor="text1"/>
        </w:rPr>
        <w:t> </w:t>
      </w:r>
      <w:r>
        <w:rPr>
          <w:noProof/>
          <w:color w:val="000000" w:themeColor="text1"/>
        </w:rPr>
        <w:t>agevolare la fase iniziale, fino al 2026 l</w:t>
      </w:r>
      <w:r w:rsidR="00F06D2E">
        <w:rPr>
          <w:noProof/>
          <w:color w:val="000000" w:themeColor="text1"/>
        </w:rPr>
        <w:t>'</w:t>
      </w:r>
      <w:r>
        <w:rPr>
          <w:noProof/>
          <w:color w:val="000000" w:themeColor="text1"/>
        </w:rPr>
        <w:t>obbligo di monitoraggio e comunicazione degli effetti non legati alle emissioni di CO</w:t>
      </w:r>
      <w:r>
        <w:rPr>
          <w:noProof/>
          <w:color w:val="000000" w:themeColor="text1"/>
          <w:vertAlign w:val="subscript"/>
        </w:rPr>
        <w:t>2</w:t>
      </w:r>
      <w:r>
        <w:rPr>
          <w:noProof/>
          <w:color w:val="000000" w:themeColor="text1"/>
        </w:rPr>
        <w:t>. si applica esclusivamente ai voli all</w:t>
      </w:r>
      <w:r w:rsidR="00F06D2E">
        <w:rPr>
          <w:noProof/>
          <w:color w:val="000000" w:themeColor="text1"/>
        </w:rPr>
        <w:t>'</w:t>
      </w:r>
      <w:r>
        <w:rPr>
          <w:noProof/>
          <w:color w:val="000000" w:themeColor="text1"/>
        </w:rPr>
        <w:t>interno del SEE (comprese le regioni ultraperiferiche) e ai voli dal SEE verso la Svizzera e il Regno Unito. È incoraggiata la comunicazione volontaria su tutte le rotte. A partire dal 2027 l</w:t>
      </w:r>
      <w:r w:rsidR="00F06D2E">
        <w:rPr>
          <w:noProof/>
          <w:color w:val="000000" w:themeColor="text1"/>
        </w:rPr>
        <w:t>'</w:t>
      </w:r>
      <w:r>
        <w:rPr>
          <w:noProof/>
          <w:color w:val="000000" w:themeColor="text1"/>
        </w:rPr>
        <w:t>obbligo di comunicazione si applicherà automaticamente a tutti i voli.</w:t>
      </w:r>
    </w:p>
    <w:p w14:paraId="50274EE9" w14:textId="038043D6" w:rsidR="005A5451" w:rsidRPr="00685D02" w:rsidRDefault="00F55976" w:rsidP="5F4B9D88">
      <w:pPr>
        <w:pStyle w:val="CMR-text"/>
        <w:rPr>
          <w:rFonts w:cs="Times New Roman"/>
          <w:noProof/>
          <w:color w:val="000000" w:themeColor="text1"/>
        </w:rPr>
      </w:pPr>
      <w:r>
        <w:rPr>
          <w:noProof/>
          <w:color w:val="000000" w:themeColor="text1"/>
        </w:rPr>
        <w:t>Per monitorare gli effetti del trasporto aereo non legati alle emissioni di CO</w:t>
      </w:r>
      <w:r>
        <w:rPr>
          <w:noProof/>
          <w:color w:val="000000" w:themeColor="text1"/>
          <w:vertAlign w:val="subscript"/>
        </w:rPr>
        <w:t>2</w:t>
      </w:r>
      <w:r>
        <w:rPr>
          <w:noProof/>
          <w:color w:val="000000" w:themeColor="text1"/>
        </w:rPr>
        <w:t xml:space="preserve"> gli operatori aerei possono scegliere tra due metodi. Il metodo C è il metodo standard che tiene conto dei dati meteorologici e delle informazioni di volo, nonché delle caratteristiche dell</w:t>
      </w:r>
      <w:r w:rsidR="00F06D2E">
        <w:rPr>
          <w:noProof/>
          <w:color w:val="000000" w:themeColor="text1"/>
        </w:rPr>
        <w:t>'</w:t>
      </w:r>
      <w:r>
        <w:rPr>
          <w:noProof/>
          <w:color w:val="000000" w:themeColor="text1"/>
        </w:rPr>
        <w:t xml:space="preserve">aeromobile e del carburante, mentre il metodo D utilizza una metodologia di monitoraggio semplificata per calcolare le emissioni degli operatori aerei a basse emissioni, in quanto richiede principalmente informazioni di volo e sulla traiettoria. I dati meteorologici e i dati sulle caratteristiche del carburante possono essere omessi. </w:t>
      </w:r>
    </w:p>
    <w:p w14:paraId="1D857A29" w14:textId="69CE8C4B" w:rsidR="005A5451" w:rsidRPr="00685D02" w:rsidRDefault="005A5451" w:rsidP="006E00E4">
      <w:pPr>
        <w:pStyle w:val="CMR-text"/>
        <w:rPr>
          <w:rFonts w:cs="Times New Roman"/>
          <w:noProof/>
          <w:color w:val="000000" w:themeColor="text1"/>
        </w:rPr>
      </w:pPr>
      <w:r>
        <w:rPr>
          <w:noProof/>
          <w:color w:val="000000" w:themeColor="text1"/>
        </w:rPr>
        <w:t>Al fine di agevolare il processo di monitoraggio e comunicazione, la Commissione sta sviluppando lo strumento di monitoraggio NEATS. Le prime relazioni sono previste per il 2026.</w:t>
      </w:r>
    </w:p>
    <w:p w14:paraId="7E5E301D" w14:textId="1040854F" w:rsidR="00E74B45" w:rsidRPr="00685D02" w:rsidRDefault="00E74B45" w:rsidP="006E00E4">
      <w:pPr>
        <w:pStyle w:val="CMR-text"/>
        <w:rPr>
          <w:rFonts w:cs="Times New Roman"/>
          <w:noProof/>
          <w:color w:val="000000"/>
          <w:shd w:val="clear" w:color="auto" w:fill="FFFFFF"/>
        </w:rPr>
      </w:pPr>
      <w:r>
        <w:rPr>
          <w:noProof/>
        </w:rPr>
        <w:t>Entro il 31 dicembre 2027, sulla base dei risultati dell</w:t>
      </w:r>
      <w:r w:rsidR="00F06D2E">
        <w:rPr>
          <w:noProof/>
        </w:rPr>
        <w:t>'</w:t>
      </w:r>
      <w:r>
        <w:rPr>
          <w:noProof/>
        </w:rPr>
        <w:t>applicazione del quadro in materia di monitoraggio degli effetti del trasporto aereo non legati alle emissioni di CO</w:t>
      </w:r>
      <w:r>
        <w:rPr>
          <w:noProof/>
          <w:vertAlign w:val="subscript"/>
        </w:rPr>
        <w:t>2</w:t>
      </w:r>
      <w:r>
        <w:rPr>
          <w:noProof/>
        </w:rPr>
        <w:t>, la Commissione presenterà una relazione e, se opportuno, una proposta legislativa per attenuare gli effetti non legati alle emissioni di CO</w:t>
      </w:r>
      <w:r>
        <w:rPr>
          <w:noProof/>
          <w:vertAlign w:val="subscript"/>
        </w:rPr>
        <w:t>2</w:t>
      </w:r>
      <w:r>
        <w:rPr>
          <w:noProof/>
        </w:rPr>
        <w:t xml:space="preserve">. </w:t>
      </w:r>
    </w:p>
    <w:p w14:paraId="35D3471C" w14:textId="210DB619" w:rsidR="00DA1F61" w:rsidRPr="00EC4FC3" w:rsidRDefault="008E6FA0" w:rsidP="00EC4FC3">
      <w:pPr>
        <w:pStyle w:val="CMR-Subheading"/>
        <w:rPr>
          <w:noProof/>
        </w:rPr>
      </w:pPr>
      <w:bookmarkStart w:id="83" w:name="_Toc180513412"/>
      <w:bookmarkStart w:id="84" w:name="_Toc218937045"/>
      <w:r>
        <w:rPr>
          <w:noProof/>
        </w:rPr>
        <w:t>Verifica e accreditamento</w:t>
      </w:r>
      <w:bookmarkEnd w:id="83"/>
      <w:bookmarkEnd w:id="84"/>
    </w:p>
    <w:p w14:paraId="0DC6EEA8" w14:textId="27FB34B1" w:rsidR="00DA1F61" w:rsidRPr="00685D02" w:rsidRDefault="48181C28" w:rsidP="00A115B2">
      <w:pPr>
        <w:pStyle w:val="CMR-text"/>
        <w:rPr>
          <w:rFonts w:cs="Times New Roman"/>
          <w:noProof/>
        </w:rPr>
      </w:pPr>
      <w:r>
        <w:rPr>
          <w:noProof/>
        </w:rPr>
        <w:t>I verificatori delle comunicazioni delle emissioni nell</w:t>
      </w:r>
      <w:r w:rsidR="00F06D2E">
        <w:rPr>
          <w:noProof/>
        </w:rPr>
        <w:t>'</w:t>
      </w:r>
      <w:r>
        <w:rPr>
          <w:noProof/>
        </w:rPr>
        <w:t>ambito dell</w:t>
      </w:r>
      <w:r w:rsidR="00F06D2E">
        <w:rPr>
          <w:noProof/>
        </w:rPr>
        <w:t>'</w:t>
      </w:r>
      <w:r>
        <w:rPr>
          <w:noProof/>
        </w:rPr>
        <w:t>EU ETS devono essere accreditati da un organismo nazionale di accreditamento conformemente al regolamento sull</w:t>
      </w:r>
      <w:r w:rsidR="00F06D2E">
        <w:rPr>
          <w:noProof/>
        </w:rPr>
        <w:t>'</w:t>
      </w:r>
      <w:r>
        <w:rPr>
          <w:noProof/>
        </w:rPr>
        <w:t>accreditamento e la verifica</w:t>
      </w:r>
      <w:r>
        <w:rPr>
          <w:rFonts w:cs="Times New Roman"/>
          <w:noProof/>
          <w:vertAlign w:val="superscript"/>
        </w:rPr>
        <w:fldChar w:fldCharType="begin"/>
      </w:r>
      <w:r>
        <w:rPr>
          <w:rFonts w:cs="Times New Roman"/>
          <w:noProof/>
          <w:vertAlign w:val="superscript"/>
        </w:rPr>
        <w:instrText xml:space="preserve"> NOTEREF _Ref212025534 \h  \* MERGEFORMAT </w:instrText>
      </w:r>
      <w:r>
        <w:rPr>
          <w:rFonts w:cs="Times New Roman"/>
          <w:noProof/>
          <w:vertAlign w:val="superscript"/>
        </w:rPr>
      </w:r>
      <w:r>
        <w:rPr>
          <w:rFonts w:cs="Times New Roman"/>
          <w:noProof/>
          <w:vertAlign w:val="superscript"/>
        </w:rPr>
        <w:fldChar w:fldCharType="separate"/>
      </w:r>
      <w:r>
        <w:rPr>
          <w:rFonts w:cs="Times New Roman"/>
          <w:noProof/>
          <w:vertAlign w:val="superscript"/>
        </w:rPr>
        <w:t>94</w:t>
      </w:r>
      <w:r>
        <w:rPr>
          <w:rFonts w:cs="Times New Roman"/>
          <w:noProof/>
          <w:vertAlign w:val="superscript"/>
        </w:rPr>
        <w:fldChar w:fldCharType="end"/>
      </w:r>
      <w:r>
        <w:rPr>
          <w:noProof/>
        </w:rPr>
        <w:t xml:space="preserve"> e alle norme internazionali ISO 17029 e ISO 14065 (norme internazionali ISO utilizzate per l</w:t>
      </w:r>
      <w:r w:rsidR="00F06D2E">
        <w:rPr>
          <w:noProof/>
        </w:rPr>
        <w:t>'</w:t>
      </w:r>
      <w:r>
        <w:rPr>
          <w:noProof/>
        </w:rPr>
        <w:t>accreditamento dei verificatori). Grazie al riconoscimento reciproco i verificatori accreditati possono operare in tutti i paesi partecipanti all</w:t>
      </w:r>
      <w:r w:rsidR="00F06D2E">
        <w:rPr>
          <w:noProof/>
        </w:rPr>
        <w:t>'</w:t>
      </w:r>
      <w:r>
        <w:rPr>
          <w:noProof/>
        </w:rPr>
        <w:t>EU ETS, traendo il massimo vantaggio dal mercato unico. Ciò</w:t>
      </w:r>
      <w:r w:rsidR="0091482D">
        <w:rPr>
          <w:noProof/>
        </w:rPr>
        <w:t> </w:t>
      </w:r>
      <w:r>
        <w:rPr>
          <w:noProof/>
        </w:rPr>
        <w:t>garantisce anche una sufficiente disponibilità di servizi in tutta l</w:t>
      </w:r>
      <w:r w:rsidR="00F06D2E">
        <w:rPr>
          <w:noProof/>
        </w:rPr>
        <w:t>'</w:t>
      </w:r>
      <w:r>
        <w:rPr>
          <w:noProof/>
        </w:rPr>
        <w:t>UE. La sezione 4 del documento di lavoro dei servizi della Commissione che accompagna la presente relazione approfondisce gli aspetti dell</w:t>
      </w:r>
      <w:r w:rsidR="00F06D2E">
        <w:rPr>
          <w:noProof/>
        </w:rPr>
        <w:t>'</w:t>
      </w:r>
      <w:r>
        <w:rPr>
          <w:noProof/>
        </w:rPr>
        <w:t>accreditamento e della verifica nel 2024.</w:t>
      </w:r>
    </w:p>
    <w:p w14:paraId="23BE5F80" w14:textId="39992FD3" w:rsidR="00DA1F61" w:rsidRPr="00685D02" w:rsidRDefault="48181C28" w:rsidP="65EC3A73">
      <w:pPr>
        <w:pStyle w:val="CMR-text"/>
        <w:rPr>
          <w:rFonts w:cs="Times New Roman"/>
          <w:noProof/>
        </w:rPr>
      </w:pPr>
      <w:r>
        <w:rPr>
          <w:noProof/>
        </w:rPr>
        <w:t>Nel 2024 si contavano 94 verificatori accreditati per gli impianti e 17 per gli operatori aerei. Inoltre</w:t>
      </w:r>
      <w:r w:rsidR="0091482D">
        <w:rPr>
          <w:noProof/>
        </w:rPr>
        <w:t> </w:t>
      </w:r>
      <w:r>
        <w:rPr>
          <w:noProof/>
        </w:rPr>
        <w:t>26</w:t>
      </w:r>
      <w:r w:rsidR="0091482D">
        <w:rPr>
          <w:noProof/>
        </w:rPr>
        <w:t> </w:t>
      </w:r>
      <w:r>
        <w:rPr>
          <w:noProof/>
        </w:rPr>
        <w:t>paesi hanno riferito che in quell</w:t>
      </w:r>
      <w:r w:rsidR="00F06D2E">
        <w:rPr>
          <w:noProof/>
        </w:rPr>
        <w:t>'</w:t>
      </w:r>
      <w:r>
        <w:rPr>
          <w:noProof/>
        </w:rPr>
        <w:t>anno era attivo nel loro territorio almeno un verificatore straniero e sei paesi hanno comunicato di avere solo verificatori stranieri. Ciò dimostra che il riconoscimento reciproco dei verificatori tra i paesi continua a funzionare in modo efficace.</w:t>
      </w:r>
    </w:p>
    <w:p w14:paraId="59627B61" w14:textId="0D6A6C01" w:rsidR="00DA1F61" w:rsidRPr="00685D02" w:rsidRDefault="48181C28" w:rsidP="65EC3A73">
      <w:pPr>
        <w:pStyle w:val="CMR-text"/>
        <w:rPr>
          <w:rFonts w:cs="Times New Roman"/>
          <w:noProof/>
        </w:rPr>
      </w:pPr>
      <w:r>
        <w:rPr>
          <w:noProof/>
        </w:rPr>
        <w:t>Il tasso di conformità dei verificatori al regolamento sull</w:t>
      </w:r>
      <w:r w:rsidR="00F06D2E">
        <w:rPr>
          <w:noProof/>
        </w:rPr>
        <w:t>'</w:t>
      </w:r>
      <w:r>
        <w:rPr>
          <w:noProof/>
        </w:rPr>
        <w:t>accreditamento e la verifica è risultato elevato. Per il 2024 è stata comunicata solo una sospensione dell</w:t>
      </w:r>
      <w:r w:rsidR="00F06D2E">
        <w:rPr>
          <w:noProof/>
        </w:rPr>
        <w:t>'</w:t>
      </w:r>
      <w:r>
        <w:rPr>
          <w:noProof/>
        </w:rPr>
        <w:t>accreditamento (Romania), mentre non sono state comunicate revoche. In due casi (Danimarca e Francia) è stato ridotto l</w:t>
      </w:r>
      <w:r w:rsidR="00F06D2E">
        <w:rPr>
          <w:noProof/>
        </w:rPr>
        <w:t>'</w:t>
      </w:r>
      <w:r>
        <w:rPr>
          <w:noProof/>
        </w:rPr>
        <w:t>ambito di accreditamento dei verificatori. A titolo di raffronto, nel 2023 non erano state comunicate sospensioni o revoche, mentre erano stati comunicati due casi di riduzione dell</w:t>
      </w:r>
      <w:r w:rsidR="00F06D2E">
        <w:rPr>
          <w:noProof/>
        </w:rPr>
        <w:t>'</w:t>
      </w:r>
      <w:r>
        <w:rPr>
          <w:noProof/>
        </w:rPr>
        <w:t xml:space="preserve">ambito di accreditamento. </w:t>
      </w:r>
    </w:p>
    <w:p w14:paraId="10BDA97A" w14:textId="4CC34403" w:rsidR="00956A00" w:rsidRPr="00685D02" w:rsidRDefault="64EF1D1C" w:rsidP="00A05E1B">
      <w:pPr>
        <w:pStyle w:val="CMR-text"/>
        <w:rPr>
          <w:rFonts w:cs="Times New Roman"/>
          <w:noProof/>
          <w:shd w:val="clear" w:color="auto" w:fill="FFFFFF"/>
        </w:rPr>
      </w:pPr>
      <w:r>
        <w:rPr>
          <w:noProof/>
        </w:rPr>
        <w:t>L</w:t>
      </w:r>
      <w:r>
        <w:rPr>
          <w:noProof/>
          <w:shd w:val="clear" w:color="auto" w:fill="FFFFFF"/>
        </w:rPr>
        <w:t xml:space="preserve">a seconda </w:t>
      </w:r>
      <w:r>
        <w:rPr>
          <w:noProof/>
        </w:rPr>
        <w:t xml:space="preserve">revisione del </w:t>
      </w:r>
      <w:r>
        <w:rPr>
          <w:noProof/>
          <w:shd w:val="clear" w:color="auto" w:fill="FFFFFF"/>
        </w:rPr>
        <w:t>regolamento sull</w:t>
      </w:r>
      <w:r w:rsidR="00F06D2E">
        <w:rPr>
          <w:noProof/>
          <w:shd w:val="clear" w:color="auto" w:fill="FFFFFF"/>
        </w:rPr>
        <w:t>'</w:t>
      </w:r>
      <w:r>
        <w:rPr>
          <w:noProof/>
          <w:shd w:val="clear" w:color="auto" w:fill="FFFFFF"/>
        </w:rPr>
        <w:t xml:space="preserve">accreditamento e la verifica </w:t>
      </w:r>
      <w:r>
        <w:rPr>
          <w:noProof/>
        </w:rPr>
        <w:t>è stata adottata il 18</w:t>
      </w:r>
      <w:r w:rsidR="0091482D">
        <w:rPr>
          <w:noProof/>
        </w:rPr>
        <w:t> </w:t>
      </w:r>
      <w:r>
        <w:rPr>
          <w:noProof/>
        </w:rPr>
        <w:t>giugno</w:t>
      </w:r>
      <w:r w:rsidR="0091482D">
        <w:rPr>
          <w:noProof/>
        </w:rPr>
        <w:t> </w:t>
      </w:r>
      <w:r>
        <w:rPr>
          <w:noProof/>
        </w:rPr>
        <w:t>2025</w:t>
      </w:r>
      <w:r>
        <w:rPr>
          <w:rStyle w:val="FootnoteReference"/>
          <w:rFonts w:cs="Times New Roman"/>
          <w:noProof/>
          <w:lang w:val="en-IE"/>
        </w:rPr>
        <w:footnoteReference w:id="101"/>
      </w:r>
      <w:r>
        <w:rPr>
          <w:noProof/>
        </w:rPr>
        <w:t xml:space="preserve">, con </w:t>
      </w:r>
      <w:r>
        <w:rPr>
          <w:noProof/>
          <w:shd w:val="clear" w:color="auto" w:fill="FFFFFF"/>
        </w:rPr>
        <w:t>l</w:t>
      </w:r>
      <w:r w:rsidR="00F06D2E">
        <w:rPr>
          <w:noProof/>
          <w:shd w:val="clear" w:color="auto" w:fill="FFFFFF"/>
        </w:rPr>
        <w:t>'</w:t>
      </w:r>
      <w:r>
        <w:rPr>
          <w:noProof/>
          <w:shd w:val="clear" w:color="auto" w:fill="FFFFFF"/>
        </w:rPr>
        <w:t xml:space="preserve">obiettivo di: </w:t>
      </w:r>
    </w:p>
    <w:p w14:paraId="61FC4057" w14:textId="111C45F8" w:rsidR="00C53FAD" w:rsidRPr="00685D02" w:rsidRDefault="00D21A20" w:rsidP="002226DD">
      <w:pPr>
        <w:pStyle w:val="CMR-text"/>
        <w:numPr>
          <w:ilvl w:val="0"/>
          <w:numId w:val="28"/>
        </w:numPr>
        <w:rPr>
          <w:rFonts w:cs="Times New Roman"/>
          <w:noProof/>
          <w:shd w:val="clear" w:color="auto" w:fill="FFFFFF"/>
        </w:rPr>
      </w:pPr>
      <w:r>
        <w:rPr>
          <w:noProof/>
        </w:rPr>
        <w:t>allinearsi alle revisioni che sono state integrate nel regolamento sul monitoraggio e la comunicazione nel 2024:</w:t>
      </w:r>
    </w:p>
    <w:p w14:paraId="554EBC18" w14:textId="437C8867" w:rsidR="002608EC" w:rsidRPr="00685D02" w:rsidRDefault="00486238" w:rsidP="004F100B">
      <w:pPr>
        <w:pStyle w:val="CMR-text"/>
        <w:numPr>
          <w:ilvl w:val="1"/>
          <w:numId w:val="28"/>
        </w:numPr>
        <w:rPr>
          <w:rFonts w:cs="Times New Roman"/>
          <w:noProof/>
          <w:shd w:val="clear" w:color="auto" w:fill="FFFFFF"/>
        </w:rPr>
      </w:pPr>
      <w:r>
        <w:rPr>
          <w:noProof/>
        </w:rPr>
        <w:t>i</w:t>
      </w:r>
      <w:r>
        <w:rPr>
          <w:noProof/>
          <w:shd w:val="clear" w:color="auto" w:fill="FFFFFF"/>
        </w:rPr>
        <w:t xml:space="preserve">ncludere prescrizioni concernenti </w:t>
      </w:r>
      <w:r>
        <w:rPr>
          <w:noProof/>
        </w:rPr>
        <w:t>la verifica delle comunicazioni sugli effetti del trasporto aereo non legati alle emissioni di CO</w:t>
      </w:r>
      <w:r>
        <w:rPr>
          <w:noProof/>
          <w:vertAlign w:val="subscript"/>
        </w:rPr>
        <w:t>2</w:t>
      </w:r>
      <w:r>
        <w:rPr>
          <w:noProof/>
        </w:rPr>
        <w:t>, i controlli del verificatore riguardanti il trasporto di CO</w:t>
      </w:r>
      <w:r>
        <w:rPr>
          <w:noProof/>
          <w:vertAlign w:val="subscript"/>
        </w:rPr>
        <w:t>2</w:t>
      </w:r>
      <w:r>
        <w:rPr>
          <w:noProof/>
        </w:rPr>
        <w:t xml:space="preserve"> e la cattura e l</w:t>
      </w:r>
      <w:r w:rsidR="00F06D2E">
        <w:rPr>
          <w:noProof/>
        </w:rPr>
        <w:t>'</w:t>
      </w:r>
      <w:r>
        <w:rPr>
          <w:noProof/>
        </w:rPr>
        <w:t>utilizzo del carbonio (CCU), i controlli del verificatore relativi alla biomassa, ai combustibili rinnovabili di origine non biologica (RFNBO), ai carburanti derivanti da carbonio riciclato (RCF) e ai combustibili sintetici a basse emissioni di carbonio, nonché i controlli del verificatore relativi ai carburanti alternativi per l</w:t>
      </w:r>
      <w:r w:rsidR="00F06D2E">
        <w:rPr>
          <w:noProof/>
        </w:rPr>
        <w:t>'</w:t>
      </w:r>
      <w:r>
        <w:rPr>
          <w:noProof/>
        </w:rPr>
        <w:t>aviazione e ai carburanti ammissibili al sostegno nell</w:t>
      </w:r>
      <w:r w:rsidR="00F06D2E">
        <w:rPr>
          <w:noProof/>
        </w:rPr>
        <w:t>'</w:t>
      </w:r>
      <w:r>
        <w:rPr>
          <w:noProof/>
        </w:rPr>
        <w:t>ambito dell</w:t>
      </w:r>
      <w:r w:rsidR="00F06D2E">
        <w:rPr>
          <w:noProof/>
        </w:rPr>
        <w:t>'</w:t>
      </w:r>
      <w:r>
        <w:rPr>
          <w:noProof/>
        </w:rPr>
        <w:t xml:space="preserve">ETS; </w:t>
      </w:r>
    </w:p>
    <w:p w14:paraId="3C4D0DC5" w14:textId="0AFAB2D1" w:rsidR="008E27B9" w:rsidRPr="00685D02" w:rsidRDefault="00E76DB0" w:rsidP="004F100B">
      <w:pPr>
        <w:pStyle w:val="CMR-text"/>
        <w:numPr>
          <w:ilvl w:val="1"/>
          <w:numId w:val="28"/>
        </w:numPr>
        <w:rPr>
          <w:rFonts w:cs="Times New Roman"/>
          <w:noProof/>
        </w:rPr>
      </w:pPr>
      <w:r>
        <w:rPr>
          <w:noProof/>
        </w:rPr>
        <w:t>specificare il ruolo del verificatore nell</w:t>
      </w:r>
      <w:r w:rsidR="00F06D2E">
        <w:rPr>
          <w:noProof/>
        </w:rPr>
        <w:t>'</w:t>
      </w:r>
      <w:r>
        <w:rPr>
          <w:noProof/>
        </w:rPr>
        <w:t xml:space="preserve">ETS2 in relazione a specifici casi semplici di monitoraggio e semplificare ulteriormente la verifica in tali casi; </w:t>
      </w:r>
    </w:p>
    <w:p w14:paraId="7B4A767F" w14:textId="077C188C" w:rsidR="00CD7868" w:rsidRPr="00685D02" w:rsidRDefault="00CD7868" w:rsidP="004F100B">
      <w:pPr>
        <w:pStyle w:val="CMR-text"/>
        <w:numPr>
          <w:ilvl w:val="0"/>
          <w:numId w:val="28"/>
        </w:numPr>
        <w:rPr>
          <w:rFonts w:cs="Times New Roman"/>
          <w:noProof/>
        </w:rPr>
      </w:pPr>
      <w:r>
        <w:rPr>
          <w:noProof/>
        </w:rPr>
        <w:t>allinearsi al regolamento sull</w:t>
      </w:r>
      <w:r w:rsidR="00F06D2E">
        <w:rPr>
          <w:noProof/>
        </w:rPr>
        <w:t>'</w:t>
      </w:r>
      <w:r>
        <w:rPr>
          <w:noProof/>
        </w:rPr>
        <w:t>assegnazione gratuita per includere la verifica delle relazioni sulla neutralità climatica.</w:t>
      </w:r>
    </w:p>
    <w:p w14:paraId="783BDE11" w14:textId="5CEEDBCD" w:rsidR="00250740" w:rsidRPr="00EC4FC3" w:rsidRDefault="00250740" w:rsidP="00EC4FC3">
      <w:pPr>
        <w:pStyle w:val="CMR-Subheading"/>
        <w:rPr>
          <w:noProof/>
        </w:rPr>
      </w:pPr>
      <w:bookmarkStart w:id="85" w:name="_Toc180513413"/>
      <w:bookmarkStart w:id="86" w:name="_Toc218937046"/>
      <w:r>
        <w:rPr>
          <w:noProof/>
        </w:rPr>
        <w:t>Documenti d</w:t>
      </w:r>
      <w:r w:rsidR="00F06D2E">
        <w:rPr>
          <w:noProof/>
        </w:rPr>
        <w:t>'</w:t>
      </w:r>
      <w:r>
        <w:rPr>
          <w:noProof/>
        </w:rPr>
        <w:t>orientamento</w:t>
      </w:r>
      <w:bookmarkEnd w:id="85"/>
      <w:bookmarkEnd w:id="86"/>
    </w:p>
    <w:p w14:paraId="5C6AF3F3" w14:textId="16DE607E" w:rsidR="001D5B15" w:rsidRPr="00685D02" w:rsidRDefault="620E271A" w:rsidP="006A36DC">
      <w:pPr>
        <w:pStyle w:val="CMR-text"/>
        <w:rPr>
          <w:rFonts w:cs="Times New Roman"/>
          <w:noProof/>
        </w:rPr>
      </w:pPr>
      <w:r>
        <w:rPr>
          <w:noProof/>
        </w:rPr>
        <w:t>La Commissione ha elaborato documenti di orientamento</w:t>
      </w:r>
      <w:r>
        <w:rPr>
          <w:rStyle w:val="FootnoteReference"/>
          <w:rFonts w:cs="Times New Roman"/>
          <w:noProof/>
          <w:lang w:val="en-IE"/>
        </w:rPr>
        <w:footnoteReference w:id="102"/>
      </w:r>
      <w:r>
        <w:rPr>
          <w:noProof/>
        </w:rPr>
        <w:t xml:space="preserve"> sul monitoraggio, la comunicazione, la verifica e l</w:t>
      </w:r>
      <w:r w:rsidR="00F06D2E">
        <w:rPr>
          <w:noProof/>
        </w:rPr>
        <w:t>'</w:t>
      </w:r>
      <w:r>
        <w:rPr>
          <w:noProof/>
        </w:rPr>
        <w:t>accreditamento. L</w:t>
      </w:r>
      <w:r w:rsidR="00F06D2E">
        <w:rPr>
          <w:noProof/>
        </w:rPr>
        <w:t>'</w:t>
      </w:r>
      <w:r>
        <w:rPr>
          <w:noProof/>
        </w:rPr>
        <w:t>obiettivo è fornire istruzioni dettagliate e illustrare tecniche e migliori pratiche a beneficio di autorità competenti, operatori, verificatori e altri portatori di interessi in relazione all</w:t>
      </w:r>
      <w:r w:rsidR="00F06D2E">
        <w:rPr>
          <w:noProof/>
        </w:rPr>
        <w:t>'</w:t>
      </w:r>
      <w:r>
        <w:rPr>
          <w:noProof/>
        </w:rPr>
        <w:t>attuazione dell</w:t>
      </w:r>
      <w:r w:rsidR="00F06D2E">
        <w:rPr>
          <w:noProof/>
        </w:rPr>
        <w:t>'</w:t>
      </w:r>
      <w:r>
        <w:rPr>
          <w:noProof/>
        </w:rPr>
        <w:t>EU ETS. Gli orientamenti svolgono un ruolo fondamentale nel garantire l</w:t>
      </w:r>
      <w:r w:rsidR="00F06D2E">
        <w:rPr>
          <w:noProof/>
        </w:rPr>
        <w:t>'</w:t>
      </w:r>
      <w:r>
        <w:rPr>
          <w:noProof/>
        </w:rPr>
        <w:t>integrità, la trasparenza, l</w:t>
      </w:r>
      <w:r w:rsidR="00F06D2E">
        <w:rPr>
          <w:noProof/>
        </w:rPr>
        <w:t>'</w:t>
      </w:r>
      <w:r>
        <w:rPr>
          <w:noProof/>
        </w:rPr>
        <w:t>armonizzazione e l</w:t>
      </w:r>
      <w:r w:rsidR="00F06D2E">
        <w:rPr>
          <w:noProof/>
        </w:rPr>
        <w:t>'</w:t>
      </w:r>
      <w:r>
        <w:rPr>
          <w:noProof/>
        </w:rPr>
        <w:t>accuratezza dei dati sulle emissioni nell</w:t>
      </w:r>
      <w:r w:rsidR="00F06D2E">
        <w:rPr>
          <w:noProof/>
        </w:rPr>
        <w:t>'</w:t>
      </w:r>
      <w:r>
        <w:rPr>
          <w:noProof/>
        </w:rPr>
        <w:t>ambito dell</w:t>
      </w:r>
      <w:r w:rsidR="00F06D2E">
        <w:rPr>
          <w:noProof/>
        </w:rPr>
        <w:t>'</w:t>
      </w:r>
      <w:r>
        <w:rPr>
          <w:noProof/>
        </w:rPr>
        <w:t>EU ETS. Con</w:t>
      </w:r>
      <w:r w:rsidR="0091482D">
        <w:rPr>
          <w:noProof/>
        </w:rPr>
        <w:t> </w:t>
      </w:r>
      <w:r>
        <w:rPr>
          <w:noProof/>
        </w:rPr>
        <w:t>l</w:t>
      </w:r>
      <w:r w:rsidR="00F06D2E">
        <w:rPr>
          <w:noProof/>
        </w:rPr>
        <w:t>'</w:t>
      </w:r>
      <w:r>
        <w:rPr>
          <w:noProof/>
        </w:rPr>
        <w:t>evolversi delle metodologie e delle tecnologie, l</w:t>
      </w:r>
      <w:r w:rsidR="00F06D2E">
        <w:rPr>
          <w:noProof/>
        </w:rPr>
        <w:t>'</w:t>
      </w:r>
      <w:r>
        <w:rPr>
          <w:noProof/>
        </w:rPr>
        <w:t>applicazione delle migliori pratiche e di nuove tecniche contribuisce a ridurre gli errori e migliora l</w:t>
      </w:r>
      <w:r w:rsidR="00F06D2E">
        <w:rPr>
          <w:noProof/>
        </w:rPr>
        <w:t>'</w:t>
      </w:r>
      <w:r>
        <w:rPr>
          <w:noProof/>
        </w:rPr>
        <w:t>efficacia complessiva del sistema nel ridurre le emissioni di gas a effetto serra.</w:t>
      </w:r>
    </w:p>
    <w:p w14:paraId="61D51E38" w14:textId="2AD67DC2" w:rsidR="00BD5DC4" w:rsidRPr="00685D02" w:rsidRDefault="21B025AC" w:rsidP="006A36DC">
      <w:pPr>
        <w:pStyle w:val="CMR-text"/>
        <w:rPr>
          <w:rFonts w:cs="Times New Roman"/>
          <w:noProof/>
        </w:rPr>
      </w:pPr>
      <w:r>
        <w:rPr>
          <w:noProof/>
        </w:rPr>
        <w:t>Tali documenti saranno aggiornati alla luce delle revisioni del regolamento sul monitoraggio e la comunicazione e del regolamento sull</w:t>
      </w:r>
      <w:r w:rsidR="00F06D2E">
        <w:rPr>
          <w:noProof/>
        </w:rPr>
        <w:t>'</w:t>
      </w:r>
      <w:r>
        <w:rPr>
          <w:noProof/>
        </w:rPr>
        <w:t>accreditamento e la verifica. È stata data priorità al documento di orientamento generale per gli impianti (pubblicato all</w:t>
      </w:r>
      <w:r w:rsidR="00F06D2E">
        <w:rPr>
          <w:noProof/>
        </w:rPr>
        <w:t>'</w:t>
      </w:r>
      <w:r>
        <w:rPr>
          <w:noProof/>
        </w:rPr>
        <w:t xml:space="preserve">inizio del 2025), seguito dai documenti di orientamento per gli operatori aerei, dagli orientamenti relativi ai combustibili da biomassa e ad altri combustibili con fattore di emissione pari a zero, dagli orientamenti sulla verifica, ecc., che dovrebbero essere tutti pubblicati nella seconda metà del 2025. </w:t>
      </w:r>
    </w:p>
    <w:p w14:paraId="493C8438" w14:textId="6DC0E0D1" w:rsidR="00CF1586" w:rsidRPr="00685D02" w:rsidRDefault="075C9C17" w:rsidP="006A36DC">
      <w:pPr>
        <w:pStyle w:val="CMR-text"/>
        <w:rPr>
          <w:rFonts w:cs="Times New Roman"/>
          <w:noProof/>
        </w:rPr>
      </w:pPr>
      <w:r>
        <w:rPr>
          <w:noProof/>
        </w:rPr>
        <w:t>Allo stesso tempo tutti i modelli per le comunicazioni di cui al regolamento MRV sono stati aggiornati all</w:t>
      </w:r>
      <w:r w:rsidR="00F06D2E">
        <w:rPr>
          <w:noProof/>
        </w:rPr>
        <w:t>'</w:t>
      </w:r>
      <w:r>
        <w:rPr>
          <w:noProof/>
        </w:rPr>
        <w:t>inizio del 2025 per tenere conto delle nuove disposizioni dei due regolamenti. Infine è in corso l</w:t>
      </w:r>
      <w:r w:rsidR="00F06D2E">
        <w:rPr>
          <w:noProof/>
        </w:rPr>
        <w:t>'</w:t>
      </w:r>
      <w:r>
        <w:rPr>
          <w:noProof/>
        </w:rPr>
        <w:t>aggiornamento degli orientamenti in materia di monitoraggio e comunicazione nell</w:t>
      </w:r>
      <w:r w:rsidR="00F06D2E">
        <w:rPr>
          <w:noProof/>
        </w:rPr>
        <w:t>'</w:t>
      </w:r>
      <w:r>
        <w:rPr>
          <w:noProof/>
        </w:rPr>
        <w:t>ambito dell</w:t>
      </w:r>
      <w:r w:rsidR="00F06D2E">
        <w:rPr>
          <w:noProof/>
        </w:rPr>
        <w:t>'</w:t>
      </w:r>
      <w:r>
        <w:rPr>
          <w:noProof/>
        </w:rPr>
        <w:t>ETS2. Gli orientamenti per l</w:t>
      </w:r>
      <w:r w:rsidR="00F06D2E">
        <w:rPr>
          <w:noProof/>
        </w:rPr>
        <w:t>'</w:t>
      </w:r>
      <w:r>
        <w:rPr>
          <w:noProof/>
        </w:rPr>
        <w:t>accreditamento e la verifica nell</w:t>
      </w:r>
      <w:r w:rsidR="00F06D2E">
        <w:rPr>
          <w:noProof/>
        </w:rPr>
        <w:t>'</w:t>
      </w:r>
      <w:r>
        <w:rPr>
          <w:noProof/>
        </w:rPr>
        <w:t>ambito dell</w:t>
      </w:r>
      <w:r w:rsidR="00F06D2E">
        <w:rPr>
          <w:noProof/>
        </w:rPr>
        <w:t>'</w:t>
      </w:r>
      <w:r>
        <w:rPr>
          <w:noProof/>
        </w:rPr>
        <w:t>ETS2 sono stati pubblicati nel giugno 2025</w:t>
      </w:r>
      <w:r>
        <w:rPr>
          <w:rStyle w:val="FootnoteReference"/>
          <w:rFonts w:cs="Times New Roman"/>
          <w:noProof/>
          <w:lang w:val="en-IE"/>
        </w:rPr>
        <w:footnoteReference w:id="103"/>
      </w:r>
      <w:r>
        <w:rPr>
          <w:noProof/>
        </w:rPr>
        <w:t>. Tutti i documenti di orientamento secondari dovrebbero essere aggiornati nel corso del 2025.</w:t>
      </w:r>
    </w:p>
    <w:p w14:paraId="0F4B1BBE" w14:textId="5BCF0190" w:rsidR="00797ADF" w:rsidRPr="00EC4FC3" w:rsidRDefault="00DA1F61" w:rsidP="00EC4FC3">
      <w:pPr>
        <w:pStyle w:val="CMR-Subheading"/>
        <w:rPr>
          <w:noProof/>
        </w:rPr>
      </w:pPr>
      <w:bookmarkStart w:id="87" w:name="_Toc180513414"/>
      <w:bookmarkStart w:id="88" w:name="_Toc218937047"/>
      <w:r>
        <w:rPr>
          <w:noProof/>
        </w:rPr>
        <w:t>Autorità nazionali competenti</w:t>
      </w:r>
      <w:bookmarkEnd w:id="87"/>
      <w:bookmarkEnd w:id="88"/>
    </w:p>
    <w:p w14:paraId="5E38C188" w14:textId="794F48FB" w:rsidR="006922C5" w:rsidRPr="00685D02" w:rsidRDefault="0062721E" w:rsidP="00B47294">
      <w:pPr>
        <w:pStyle w:val="CMR-text"/>
        <w:rPr>
          <w:rFonts w:cs="Times New Roman"/>
          <w:noProof/>
        </w:rPr>
      </w:pPr>
      <w:r>
        <w:rPr>
          <w:noProof/>
        </w:rPr>
        <w:t>Il modo in cui le autorità nazionali competenti si organizzano ai fini dell</w:t>
      </w:r>
      <w:r w:rsidR="00F06D2E">
        <w:rPr>
          <w:noProof/>
        </w:rPr>
        <w:t>'</w:t>
      </w:r>
      <w:r>
        <w:rPr>
          <w:noProof/>
        </w:rPr>
        <w:t>attuazione dell</w:t>
      </w:r>
      <w:r w:rsidR="00F06D2E">
        <w:rPr>
          <w:noProof/>
        </w:rPr>
        <w:t>'</w:t>
      </w:r>
      <w:r>
        <w:rPr>
          <w:noProof/>
        </w:rPr>
        <w:t>EU ETS varia da un paese all</w:t>
      </w:r>
      <w:r w:rsidR="00F06D2E">
        <w:rPr>
          <w:noProof/>
        </w:rPr>
        <w:t>'</w:t>
      </w:r>
      <w:r>
        <w:rPr>
          <w:noProof/>
        </w:rPr>
        <w:t>altro: in alcuni paesi sono coinvolte diverse autorità locali, mentre in altri il processo è più centralizzato. I paesi scelgono l</w:t>
      </w:r>
      <w:r w:rsidR="00F06D2E">
        <w:rPr>
          <w:noProof/>
        </w:rPr>
        <w:t>'</w:t>
      </w:r>
      <w:r>
        <w:rPr>
          <w:noProof/>
        </w:rPr>
        <w:t>approccio in base all</w:t>
      </w:r>
      <w:r w:rsidR="00F06D2E">
        <w:rPr>
          <w:noProof/>
        </w:rPr>
        <w:t>'</w:t>
      </w:r>
      <w:r>
        <w:rPr>
          <w:noProof/>
        </w:rPr>
        <w:t>efficacia in termini di costi e di tempo. Una</w:t>
      </w:r>
      <w:r w:rsidR="0091482D">
        <w:rPr>
          <w:noProof/>
        </w:rPr>
        <w:t> </w:t>
      </w:r>
      <w:r>
        <w:rPr>
          <w:noProof/>
        </w:rPr>
        <w:t>panoramica del coordinamento tra le autorità competenti per l</w:t>
      </w:r>
      <w:r w:rsidR="00F06D2E">
        <w:rPr>
          <w:noProof/>
        </w:rPr>
        <w:t>'</w:t>
      </w:r>
      <w:r>
        <w:rPr>
          <w:noProof/>
        </w:rPr>
        <w:t>attuazione dell</w:t>
      </w:r>
      <w:r w:rsidR="00F06D2E">
        <w:rPr>
          <w:noProof/>
        </w:rPr>
        <w:t>'</w:t>
      </w:r>
      <w:r>
        <w:rPr>
          <w:noProof/>
        </w:rPr>
        <w:t>EU ETS è presentata nella sezione 4 del documento di lavoro dei servizi della Commissione che accompagna la presente relazione.</w:t>
      </w:r>
    </w:p>
    <w:p w14:paraId="42656C07" w14:textId="7BB92A18" w:rsidR="006922C5" w:rsidRPr="00685D02" w:rsidRDefault="2B086B56" w:rsidP="65EC3A73">
      <w:pPr>
        <w:pStyle w:val="CMR-text"/>
        <w:rPr>
          <w:rFonts w:cs="Times New Roman"/>
          <w:noProof/>
          <w:highlight w:val="yellow"/>
        </w:rPr>
      </w:pPr>
      <w:r>
        <w:rPr>
          <w:noProof/>
        </w:rPr>
        <w:t>Tutti i paesi hanno indicato almeno un</w:t>
      </w:r>
      <w:r w:rsidR="00F06D2E">
        <w:rPr>
          <w:noProof/>
        </w:rPr>
        <w:t>'</w:t>
      </w:r>
      <w:r>
        <w:rPr>
          <w:noProof/>
        </w:rPr>
        <w:t>autorità competente centrale coinvolta nell</w:t>
      </w:r>
      <w:r w:rsidR="00F06D2E">
        <w:rPr>
          <w:noProof/>
        </w:rPr>
        <w:t>'</w:t>
      </w:r>
      <w:r>
        <w:rPr>
          <w:noProof/>
        </w:rPr>
        <w:t>attuazione dell</w:t>
      </w:r>
      <w:r w:rsidR="00F06D2E">
        <w:rPr>
          <w:noProof/>
        </w:rPr>
        <w:t>'</w:t>
      </w:r>
      <w:r>
        <w:rPr>
          <w:noProof/>
        </w:rPr>
        <w:t>EU ETS nel 2024. In sei paesi un</w:t>
      </w:r>
      <w:r w:rsidR="00F06D2E">
        <w:rPr>
          <w:noProof/>
        </w:rPr>
        <w:t>'</w:t>
      </w:r>
      <w:r>
        <w:rPr>
          <w:noProof/>
        </w:rPr>
        <w:t>unica autorità competente centrale era responsabile per tutte le attività dell</w:t>
      </w:r>
      <w:r w:rsidR="00F06D2E">
        <w:rPr>
          <w:noProof/>
        </w:rPr>
        <w:t>'</w:t>
      </w:r>
      <w:r>
        <w:rPr>
          <w:noProof/>
        </w:rPr>
        <w:t>EU ETS</w:t>
      </w:r>
      <w:r>
        <w:rPr>
          <w:rStyle w:val="FootnoteReference"/>
          <w:rFonts w:cs="Times New Roman"/>
          <w:noProof/>
          <w:lang w:val="en-IE"/>
        </w:rPr>
        <w:footnoteReference w:id="104"/>
      </w:r>
      <w:r>
        <w:rPr>
          <w:noProof/>
        </w:rPr>
        <w:t>. Nei casi in cui le attività dell</w:t>
      </w:r>
      <w:r w:rsidR="00F06D2E">
        <w:rPr>
          <w:noProof/>
        </w:rPr>
        <w:t>'</w:t>
      </w:r>
      <w:r>
        <w:rPr>
          <w:noProof/>
        </w:rPr>
        <w:t>EU ETS erano gestite da più autorità competenti, i paesi hanno dichiarato di essersi serviti di una o più soluzioni e strumenti diversi per coordinarne l</w:t>
      </w:r>
      <w:r w:rsidR="00F06D2E">
        <w:rPr>
          <w:noProof/>
        </w:rPr>
        <w:t>'</w:t>
      </w:r>
      <w:r>
        <w:rPr>
          <w:noProof/>
        </w:rPr>
        <w:t>operato, tra cui: un</w:t>
      </w:r>
      <w:r w:rsidR="00F06D2E">
        <w:rPr>
          <w:noProof/>
        </w:rPr>
        <w:t>'</w:t>
      </w:r>
      <w:r>
        <w:rPr>
          <w:noProof/>
        </w:rPr>
        <w:t>autorità competente centrale responsabile delle attività di monitoraggio, comunicazione, accreditamento e verifica (11 paesi), che svolge un ruolo di coordinamento</w:t>
      </w:r>
      <w:r>
        <w:rPr>
          <w:rFonts w:cs="Times New Roman"/>
          <w:noProof/>
          <w:vertAlign w:val="superscript"/>
          <w:lang w:val="en-IE"/>
        </w:rPr>
        <w:footnoteReference w:id="105"/>
      </w:r>
      <w:r>
        <w:rPr>
          <w:noProof/>
        </w:rPr>
        <w:t xml:space="preserve"> (10 paesi), un</w:t>
      </w:r>
      <w:r w:rsidR="00F06D2E">
        <w:rPr>
          <w:noProof/>
        </w:rPr>
        <w:t>'</w:t>
      </w:r>
      <w:r>
        <w:rPr>
          <w:noProof/>
        </w:rPr>
        <w:t xml:space="preserve">autorità competente centrale che emana istruzioni e orientamenti vincolanti per le autorità locali (5 paesi), eroga formazione congiunta alle autorità competenti (8 paesi) e convoca periodicamente gruppi di lavoro o riunioni tra le autorità (14 paesi). </w:t>
      </w:r>
    </w:p>
    <w:p w14:paraId="47EE186B" w14:textId="7FE950A3" w:rsidR="006922C5" w:rsidRPr="00685D02" w:rsidRDefault="12991094" w:rsidP="65EC3A73">
      <w:pPr>
        <w:pStyle w:val="CMR-text"/>
        <w:rPr>
          <w:rFonts w:cs="Times New Roman"/>
          <w:noProof/>
        </w:rPr>
      </w:pPr>
      <w:r>
        <w:rPr>
          <w:noProof/>
        </w:rPr>
        <w:t>Nel 2024 i paesi che non hanno imposto contributi amministrativi ai gestori degli impianti per l</w:t>
      </w:r>
      <w:r w:rsidR="00F06D2E">
        <w:rPr>
          <w:noProof/>
        </w:rPr>
        <w:t>'</w:t>
      </w:r>
      <w:r>
        <w:rPr>
          <w:noProof/>
        </w:rPr>
        <w:t>autorizzazione e l</w:t>
      </w:r>
      <w:r w:rsidR="00F06D2E">
        <w:rPr>
          <w:noProof/>
        </w:rPr>
        <w:t>'</w:t>
      </w:r>
      <w:r>
        <w:rPr>
          <w:noProof/>
        </w:rPr>
        <w:t>approvazione dei piani di monitoraggio sono stati 16 (come nel 2023). In 18 paesi non hanno dovuto sostenere alcun costo neanche gli operatori aerei (17 nel 2023). Le tariffe variavano notevolmente a seconda del paese e del tipo di servizio: da circa 19 EUR a 9 300 EUR per l</w:t>
      </w:r>
      <w:r w:rsidR="00F06D2E">
        <w:rPr>
          <w:noProof/>
        </w:rPr>
        <w:t>'</w:t>
      </w:r>
      <w:r>
        <w:rPr>
          <w:noProof/>
        </w:rPr>
        <w:t>autorizzazione e l</w:t>
      </w:r>
      <w:r w:rsidR="00F06D2E">
        <w:rPr>
          <w:noProof/>
        </w:rPr>
        <w:t>'</w:t>
      </w:r>
      <w:r>
        <w:rPr>
          <w:noProof/>
        </w:rPr>
        <w:t>approvazione di un piano di monitoraggio per gli impianti e da circa 2 EUR a 4 700</w:t>
      </w:r>
      <w:r w:rsidR="0091482D">
        <w:rPr>
          <w:noProof/>
        </w:rPr>
        <w:t> </w:t>
      </w:r>
      <w:r>
        <w:rPr>
          <w:noProof/>
        </w:rPr>
        <w:t>EUR per gli operatori aerei. Oltre all</w:t>
      </w:r>
      <w:r w:rsidR="00F06D2E">
        <w:rPr>
          <w:noProof/>
        </w:rPr>
        <w:t>'</w:t>
      </w:r>
      <w:r>
        <w:rPr>
          <w:noProof/>
        </w:rPr>
        <w:t>approvazione iniziale, 13 paesi hanno comunicato di imporre contributi amministrativi di importi diversi anche per le modifiche significative delle autorizzazioni o dei piani di monitoraggio. Una panoramica degli oneri amministrativi nell</w:t>
      </w:r>
      <w:r w:rsidR="00F06D2E">
        <w:rPr>
          <w:noProof/>
        </w:rPr>
        <w:t>'</w:t>
      </w:r>
      <w:r>
        <w:rPr>
          <w:noProof/>
        </w:rPr>
        <w:t>EU ETS è presentata nella sezione 4 del documento di lavoro dei servizi della Commissione che accompagna la presente relazione.</w:t>
      </w:r>
    </w:p>
    <w:p w14:paraId="41148B72" w14:textId="2F8E4BAD" w:rsidR="000E3032" w:rsidRPr="00EC4FC3" w:rsidRDefault="000E3032" w:rsidP="00EC4FC3">
      <w:pPr>
        <w:pStyle w:val="CMR-Subheading"/>
        <w:rPr>
          <w:noProof/>
        </w:rPr>
      </w:pPr>
      <w:bookmarkStart w:id="89" w:name="_Toc180513415"/>
      <w:bookmarkStart w:id="90" w:name="_Toc218937048"/>
      <w:r>
        <w:rPr>
          <w:noProof/>
        </w:rPr>
        <w:t>Conformità all</w:t>
      </w:r>
      <w:r w:rsidR="00F06D2E">
        <w:rPr>
          <w:noProof/>
        </w:rPr>
        <w:t>'</w:t>
      </w:r>
      <w:r>
        <w:rPr>
          <w:noProof/>
        </w:rPr>
        <w:t>EU ETS</w:t>
      </w:r>
      <w:bookmarkEnd w:id="89"/>
      <w:bookmarkEnd w:id="90"/>
      <w:r>
        <w:rPr>
          <w:noProof/>
        </w:rPr>
        <w:t xml:space="preserve"> </w:t>
      </w:r>
    </w:p>
    <w:p w14:paraId="09465D17" w14:textId="0C7FAFE1" w:rsidR="00911AB3" w:rsidRPr="00685D02" w:rsidRDefault="2026E9FA" w:rsidP="0060292C">
      <w:pPr>
        <w:pStyle w:val="CMR-text"/>
        <w:rPr>
          <w:rFonts w:cs="Times New Roman"/>
          <w:noProof/>
        </w:rPr>
      </w:pPr>
      <w:r>
        <w:rPr>
          <w:noProof/>
        </w:rPr>
        <w:t>La conformità all</w:t>
      </w:r>
      <w:r w:rsidR="00F06D2E">
        <w:rPr>
          <w:noProof/>
        </w:rPr>
        <w:t>'</w:t>
      </w:r>
      <w:r>
        <w:rPr>
          <w:noProof/>
        </w:rPr>
        <w:t>EU ETS è verificata in cicli annuali. Per ogni anno di attività, gli impianti e gli operatori aerei devono presentare una comunicazione annua delle emissioni entro il 31 marzo dell</w:t>
      </w:r>
      <w:r w:rsidR="00F06D2E">
        <w:rPr>
          <w:noProof/>
        </w:rPr>
        <w:t>'</w:t>
      </w:r>
      <w:r>
        <w:rPr>
          <w:noProof/>
        </w:rPr>
        <w:t>anno successivo. Una volta che una comunicazione sottoposta a verifica è stata controllata dall</w:t>
      </w:r>
      <w:r w:rsidR="00F06D2E">
        <w:rPr>
          <w:noProof/>
        </w:rPr>
        <w:t>'</w:t>
      </w:r>
      <w:r>
        <w:rPr>
          <w:noProof/>
        </w:rPr>
        <w:t xml:space="preserve">autorità competente, il gestore deve restituire il numero di quote equivalente alle sue emissioni verificate entro il 30 settembre dello stesso anno. </w:t>
      </w:r>
    </w:p>
    <w:p w14:paraId="2EBB31A4" w14:textId="61C1DF09" w:rsidR="00493CD0" w:rsidRPr="00685D02" w:rsidRDefault="2026E9FA" w:rsidP="0060292C">
      <w:pPr>
        <w:pStyle w:val="CMR-text"/>
        <w:rPr>
          <w:rFonts w:cs="Times New Roman"/>
          <w:noProof/>
        </w:rPr>
      </w:pPr>
      <w:r>
        <w:rPr>
          <w:noProof/>
        </w:rPr>
        <w:t>Per ogni tonnellata di CO</w:t>
      </w:r>
      <w:r>
        <w:rPr>
          <w:noProof/>
          <w:vertAlign w:val="subscript"/>
        </w:rPr>
        <w:t>2</w:t>
      </w:r>
      <w:r>
        <w:rPr>
          <w:noProof/>
        </w:rPr>
        <w:t xml:space="preserve"> emessa per la quale non è stata restituita alcuna quota nei tempi stabiliti, la</w:t>
      </w:r>
      <w:r w:rsidR="0091482D">
        <w:rPr>
          <w:noProof/>
        </w:rPr>
        <w:t> </w:t>
      </w:r>
      <w:r>
        <w:rPr>
          <w:noProof/>
        </w:rPr>
        <w:t>direttiva ETS impone una sanzione di 100 EUR</w:t>
      </w:r>
      <w:r>
        <w:rPr>
          <w:rFonts w:cs="Times New Roman"/>
          <w:noProof/>
          <w:vertAlign w:val="superscript"/>
          <w:lang w:val="en-IE"/>
        </w:rPr>
        <w:footnoteReference w:id="106"/>
      </w:r>
      <w:r>
        <w:rPr>
          <w:noProof/>
        </w:rPr>
        <w:t>, che si aggiunge al costo della restituzione delle quote dovute. In caso di violazioni della normativa sull</w:t>
      </w:r>
      <w:r w:rsidR="00F06D2E">
        <w:rPr>
          <w:noProof/>
        </w:rPr>
        <w:t>'</w:t>
      </w:r>
      <w:r>
        <w:rPr>
          <w:noProof/>
        </w:rPr>
        <w:t xml:space="preserve">EU ETS possono essere comminate anche altre sanzioni. </w:t>
      </w:r>
    </w:p>
    <w:p w14:paraId="422EF2EF" w14:textId="1A09ABC3" w:rsidR="0060292C" w:rsidRPr="00685D02" w:rsidRDefault="3078641D" w:rsidP="0060292C">
      <w:pPr>
        <w:pStyle w:val="CMR-text"/>
        <w:rPr>
          <w:rFonts w:cs="Times New Roman"/>
          <w:noProof/>
          <w:highlight w:val="cyan"/>
        </w:rPr>
      </w:pPr>
      <w:r>
        <w:rPr>
          <w:noProof/>
        </w:rPr>
        <w:t>Nella sezione 4 del documento di lavoro dei servizi della Commissione che accompagna la presente relazione sono illustrate in dettaglio le misure di conformità e le sanzioni per le emissioni in eccesso nell</w:t>
      </w:r>
      <w:r w:rsidR="00F06D2E">
        <w:rPr>
          <w:noProof/>
        </w:rPr>
        <w:t>'</w:t>
      </w:r>
      <w:r>
        <w:rPr>
          <w:noProof/>
        </w:rPr>
        <w:t>ambito dell</w:t>
      </w:r>
      <w:r w:rsidR="00F06D2E">
        <w:rPr>
          <w:noProof/>
        </w:rPr>
        <w:t>'</w:t>
      </w:r>
      <w:r>
        <w:rPr>
          <w:noProof/>
        </w:rPr>
        <w:t xml:space="preserve">EU ETS. </w:t>
      </w:r>
    </w:p>
    <w:p w14:paraId="55C922C2" w14:textId="4E534598" w:rsidR="00AC75B8" w:rsidRPr="00685D02" w:rsidRDefault="3078641D" w:rsidP="65EC3A73">
      <w:pPr>
        <w:pStyle w:val="CMR-text"/>
        <w:rPr>
          <w:rFonts w:cs="Times New Roman"/>
          <w:noProof/>
        </w:rPr>
      </w:pPr>
      <w:r>
        <w:rPr>
          <w:noProof/>
        </w:rPr>
        <w:t>Nel ciclo di conformità del 2024, il livello di conformità all</w:t>
      </w:r>
      <w:r w:rsidR="00F06D2E">
        <w:rPr>
          <w:noProof/>
        </w:rPr>
        <w:t>'</w:t>
      </w:r>
      <w:r>
        <w:rPr>
          <w:noProof/>
        </w:rPr>
        <w:t>EU ETS è rimasto molto elevato. Come</w:t>
      </w:r>
      <w:r w:rsidR="0091482D">
        <w:rPr>
          <w:noProof/>
        </w:rPr>
        <w:t> </w:t>
      </w:r>
      <w:r>
        <w:rPr>
          <w:noProof/>
        </w:rPr>
        <w:t>avvenuto negli ultimi anni, gli operatori responsabili di oltre il 99 % delle emissioni derivanti dalla produzione di energia elettrica, dalla produzione industriale e dal trasporto aereo hanno rispettato i termini per l</w:t>
      </w:r>
      <w:r w:rsidR="00F06D2E">
        <w:rPr>
          <w:noProof/>
        </w:rPr>
        <w:t>'</w:t>
      </w:r>
      <w:r>
        <w:rPr>
          <w:noProof/>
        </w:rPr>
        <w:t xml:space="preserve">adempimento dei rispettivi obblighi giuridici. </w:t>
      </w:r>
    </w:p>
    <w:p w14:paraId="1E2A957D" w14:textId="35D11445" w:rsidR="0060292C" w:rsidRPr="00685D02" w:rsidRDefault="3078641D" w:rsidP="65EC3A73">
      <w:pPr>
        <w:pStyle w:val="CMR-text"/>
        <w:rPr>
          <w:rFonts w:cs="Times New Roman"/>
          <w:noProof/>
        </w:rPr>
      </w:pPr>
      <w:r>
        <w:rPr>
          <w:noProof/>
        </w:rPr>
        <w:t>È inoltre migliorata l</w:t>
      </w:r>
      <w:r w:rsidR="00F06D2E">
        <w:rPr>
          <w:noProof/>
        </w:rPr>
        <w:t>'</w:t>
      </w:r>
      <w:r>
        <w:rPr>
          <w:noProof/>
        </w:rPr>
        <w:t>efficienza del sistema di conformità, grazie a una più ampia diffusione della comunicazione elettronica. Nel 2024 17 paesi hanno utilizzato un sistema automatizzato per lo scambio elettronico di dati tra gestori o operatori aerei. Dieci paesi hanno utilizzato sistemi informatici automatizzati anche per gestire il flusso di lavoro per i piani della metodologia di monitoraggio, le</w:t>
      </w:r>
      <w:r w:rsidR="0091482D">
        <w:rPr>
          <w:noProof/>
        </w:rPr>
        <w:t> </w:t>
      </w:r>
      <w:r>
        <w:rPr>
          <w:noProof/>
        </w:rPr>
        <w:t>relazioni annuali sul livello di attività e altri scambi di informazioni sui dati relativi all</w:t>
      </w:r>
      <w:r w:rsidR="00F06D2E">
        <w:rPr>
          <w:noProof/>
        </w:rPr>
        <w:t>'</w:t>
      </w:r>
      <w:r>
        <w:rPr>
          <w:noProof/>
        </w:rPr>
        <w:t>assegnazione.</w:t>
      </w:r>
    </w:p>
    <w:p w14:paraId="6E387743" w14:textId="5729CEF7" w:rsidR="0060292C" w:rsidRPr="00685D02" w:rsidRDefault="2FE337A4" w:rsidP="65EC3A73">
      <w:pPr>
        <w:pStyle w:val="CMR-text"/>
        <w:rPr>
          <w:rFonts w:cs="Times New Roman"/>
          <w:noProof/>
        </w:rPr>
      </w:pPr>
      <w:r>
        <w:rPr>
          <w:noProof/>
        </w:rPr>
        <w:t>A causa di circostanze eccezionali, dodici paesi (nove nel 2023) hanno consentito ai verificatori di effettuare visite in loco virtuali</w:t>
      </w:r>
      <w:r>
        <w:rPr>
          <w:rFonts w:cs="Times New Roman"/>
          <w:noProof/>
          <w:vertAlign w:val="superscript"/>
          <w:lang w:val="en-IE"/>
        </w:rPr>
        <w:footnoteReference w:id="107"/>
      </w:r>
      <w:r>
        <w:rPr>
          <w:noProof/>
        </w:rPr>
        <w:t>. L</w:t>
      </w:r>
      <w:r w:rsidR="00F06D2E">
        <w:rPr>
          <w:noProof/>
        </w:rPr>
        <w:t>'</w:t>
      </w:r>
      <w:r>
        <w:rPr>
          <w:noProof/>
        </w:rPr>
        <w:t>autorità competente interessata ha approvato le visite virtuali per 27 impianti e 46 operatori aerei. Nel 2024 il regolamento sull</w:t>
      </w:r>
      <w:r w:rsidR="00F06D2E">
        <w:rPr>
          <w:noProof/>
        </w:rPr>
        <w:t>'</w:t>
      </w:r>
      <w:r>
        <w:rPr>
          <w:noProof/>
        </w:rPr>
        <w:t xml:space="preserve">accreditamento e la verifica è stato modificato per ampliare la possibilità di effettuare visite in loco virtuali per il settore del trasporto aereo. I verificatori sono ora autorizzati ad effettuare visite in loco virtuali anche al di fuori delle circostanze di forza maggiore, purché siano soddisfatte determinate condizioni. </w:t>
      </w:r>
    </w:p>
    <w:p w14:paraId="6EE15525" w14:textId="62473617" w:rsidR="0060292C" w:rsidRPr="00685D02" w:rsidRDefault="1FDA9A19" w:rsidP="65EC3A73">
      <w:pPr>
        <w:pStyle w:val="CMR-text"/>
        <w:rPr>
          <w:rFonts w:cs="Times New Roman"/>
          <w:noProof/>
        </w:rPr>
      </w:pPr>
      <w:r>
        <w:rPr>
          <w:noProof/>
        </w:rPr>
        <w:t>I controlli di conformità sulle comunicazioni annuali delle emissioni sono effettuati da tutti i paesi che gestiscono operatori aerei, il che non avviene nel caso degli impianti in Liechtenstein e degli operatori aerei in Liechtenstein e in Irlanda del Nord. Per vari tipi di controlli è comunicata la percentuale di relazioni sulle emissioni sottoposta a verifica (cfr. sezione 4 del documento di lavoro dei servizi della Commissione che accompagna la presente relazione). Nel 2024 l</w:t>
      </w:r>
      <w:r w:rsidR="00F06D2E">
        <w:rPr>
          <w:noProof/>
        </w:rPr>
        <w:t>'</w:t>
      </w:r>
      <w:r>
        <w:rPr>
          <w:noProof/>
        </w:rPr>
        <w:t>Italia non ha comunicato i tipi di controlli effettuati, tutte le altre autorità competenti interessate hanno verificato la completezza delle comunicazioni relative agli impianti e la maggior parte di esse, comprese quelle italiane, ha fatto lo stesso per le comunicazioni degli operatori aerei. Fanno eccezione le autorità competenti di Francia, Grecia, Lettonia e Norvegia, mentre la Lituania ha comunicato di avere controllato le emissioni sulla base di altre fonti.</w:t>
      </w:r>
    </w:p>
    <w:p w14:paraId="558C6526" w14:textId="46B65CF4" w:rsidR="0060292C" w:rsidRPr="00685D02" w:rsidRDefault="27AB0616">
      <w:pPr>
        <w:pStyle w:val="CMR-text"/>
        <w:rPr>
          <w:rFonts w:cs="Times New Roman"/>
          <w:noProof/>
        </w:rPr>
      </w:pPr>
      <w:r>
        <w:rPr>
          <w:noProof/>
        </w:rPr>
        <w:t>Le autorità competenti di 12 paesi hanno elaborato stime prudenziali per 62 impianti (circa lo 0,55 % di tutti gli impianti, con un livello stabile rispetto al 2023). Per alcuni impianti le emissioni sono state stimate per più anni; sono state elaborate in totale 87 stime, di cui 33 riguardavano il 2024, mentre il resto era costituito da stime prudenziali degli anni precedenti. Si è fatto ricorso a una stima prudenziale delle emissioni a norma dell</w:t>
      </w:r>
      <w:r w:rsidR="00F06D2E">
        <w:rPr>
          <w:noProof/>
        </w:rPr>
        <w:t>'</w:t>
      </w:r>
      <w:r>
        <w:rPr>
          <w:noProof/>
        </w:rPr>
        <w:t>articolo 70 del regolamento sul monitoraggio e la comunicazione quando le comunicazioni annuali delle emissioni non sono state presentate in tempo utile o quando è stato emesso un parere negativo sulla verifica a causa dell</w:t>
      </w:r>
      <w:r w:rsidR="00F06D2E">
        <w:rPr>
          <w:noProof/>
        </w:rPr>
        <w:t>'</w:t>
      </w:r>
      <w:r>
        <w:rPr>
          <w:noProof/>
        </w:rPr>
        <w:t xml:space="preserve">ambito limitato, di inesattezze rilevanti o di non conformità che non consentono una chiarezza sufficiente per asserire con ragionevole certezza che la comunicazione non è viziata da inesattezze rilevanti. La stima prudenziale sarà effettuata anche nei casi in cui la comunicazione delle emissioni risulta non conforme al regolamento sul monitoraggio e la comunicazione. </w:t>
      </w:r>
    </w:p>
    <w:p w14:paraId="061154A0" w14:textId="554B7977" w:rsidR="0060292C" w:rsidRPr="00685D02" w:rsidRDefault="5F1749CF" w:rsidP="65EC3A73">
      <w:pPr>
        <w:pStyle w:val="CMR-text"/>
        <w:rPr>
          <w:rFonts w:cs="Times New Roman"/>
          <w:noProof/>
        </w:rPr>
      </w:pPr>
      <w:r>
        <w:rPr>
          <w:noProof/>
        </w:rPr>
        <w:t>Tre paesi (come nel 2023) hanno comunicato stime prudenziali per il trasporto aereo in relazione a 17</w:t>
      </w:r>
      <w:r w:rsidR="0091482D">
        <w:rPr>
          <w:noProof/>
        </w:rPr>
        <w:t> </w:t>
      </w:r>
      <w:r>
        <w:rPr>
          <w:noProof/>
        </w:rPr>
        <w:t xml:space="preserve">operatori aerei (22 nel 2023). </w:t>
      </w:r>
    </w:p>
    <w:p w14:paraId="61E82E3A" w14:textId="7E41301E" w:rsidR="0060292C" w:rsidRPr="00685D02" w:rsidRDefault="48BCFA95" w:rsidP="65EC3A73">
      <w:pPr>
        <w:pStyle w:val="CMR-text"/>
        <w:rPr>
          <w:rFonts w:cs="Times New Roman"/>
          <w:noProof/>
        </w:rPr>
      </w:pPr>
      <w:r>
        <w:rPr>
          <w:noProof/>
        </w:rPr>
        <w:t xml:space="preserve">I controlli delle autorità competenti rimangono importanti per integrare il lavoro dei verificatori. </w:t>
      </w:r>
      <w:r w:rsidRPr="0091482D">
        <w:rPr>
          <w:noProof/>
        </w:rPr>
        <w:t>Oltre</w:t>
      </w:r>
      <w:r w:rsidR="0091482D">
        <w:rPr>
          <w:noProof/>
        </w:rPr>
        <w:t> </w:t>
      </w:r>
      <w:r w:rsidRPr="0091482D">
        <w:rPr>
          <w:noProof/>
        </w:rPr>
        <w:t>alla</w:t>
      </w:r>
      <w:r>
        <w:rPr>
          <w:noProof/>
        </w:rPr>
        <w:t xml:space="preserve"> verifica delle comunicazioni delle emissioni, 18 paesi hanno riferito di avere effettuato ispezioni in loco presso gli impianti (19 nel 2023). Cinque paesi</w:t>
      </w:r>
      <w:r>
        <w:rPr>
          <w:rFonts w:cs="Times New Roman"/>
          <w:noProof/>
          <w:vertAlign w:val="superscript"/>
          <w:lang w:val="en-IE"/>
        </w:rPr>
        <w:footnoteReference w:id="108"/>
      </w:r>
      <w:r>
        <w:rPr>
          <w:noProof/>
        </w:rPr>
        <w:t xml:space="preserve"> hanno comunicato ispezioni in loco per il trasporto aereo (tre nel 2023). </w:t>
      </w:r>
    </w:p>
    <w:p w14:paraId="4B759358" w14:textId="1F05660B" w:rsidR="007F7046" w:rsidRPr="00685D02" w:rsidRDefault="48BCFA95" w:rsidP="65EC3A73">
      <w:pPr>
        <w:pStyle w:val="CMR-text"/>
        <w:rPr>
          <w:rFonts w:cs="Times New Roman"/>
          <w:noProof/>
        </w:rPr>
      </w:pPr>
      <w:r>
        <w:rPr>
          <w:noProof/>
        </w:rPr>
        <w:t>Nel 2024 sono stati sanzionati 31 impianti in nove paesi per non avere restituito quote sufficienti a coprire le emissioni da loro comunicate (emissioni in eccesso). Per il trasporto aereo, sei paesi hanno comunicato sanzioni per le emissioni in eccesso per 11 operatori aerei. Per quanto riguarda gli obblighi in materia di emissioni per gli impianti, sono state segnalate in totale 47 violazioni in 12 paesi</w:t>
      </w:r>
      <w:r>
        <w:rPr>
          <w:rFonts w:cs="Times New Roman"/>
          <w:noProof/>
          <w:vertAlign w:val="superscript"/>
          <w:lang w:val="en-IE"/>
        </w:rPr>
        <w:footnoteReference w:id="109"/>
      </w:r>
      <w:r>
        <w:rPr>
          <w:noProof/>
        </w:rPr>
        <w:t>, che hanno comportato 36 sanzioni per un totale complessivo di 476,5 milioni di EUR, nonché avvertimenti formali o avvisi formali. Per quanto concerne gli impianti che hanno chiesto l</w:t>
      </w:r>
      <w:r w:rsidR="00F06D2E">
        <w:rPr>
          <w:noProof/>
        </w:rPr>
        <w:t>'</w:t>
      </w:r>
      <w:r>
        <w:rPr>
          <w:noProof/>
        </w:rPr>
        <w:t>assegnazione di quote di emissioni a titolo gratuito, sono state segnalate quattro infrazioni in tre paesi</w:t>
      </w:r>
      <w:r>
        <w:rPr>
          <w:rFonts w:cs="Times New Roman"/>
          <w:noProof/>
          <w:vertAlign w:val="superscript"/>
          <w:lang w:val="en-IE"/>
        </w:rPr>
        <w:footnoteReference w:id="110"/>
      </w:r>
      <w:r>
        <w:rPr>
          <w:noProof/>
        </w:rPr>
        <w:t xml:space="preserve">, due delle quali hanno comportato sanzioni per un totale di 0,07 milioni di EUR. </w:t>
      </w:r>
    </w:p>
    <w:p w14:paraId="23425870" w14:textId="73C3A8F0" w:rsidR="0060292C" w:rsidRPr="00685D02" w:rsidRDefault="1EDB94C0" w:rsidP="65EC3A73">
      <w:pPr>
        <w:pStyle w:val="CMR-text"/>
        <w:rPr>
          <w:rFonts w:cs="Times New Roman"/>
          <w:noProof/>
        </w:rPr>
      </w:pPr>
      <w:r>
        <w:rPr>
          <w:noProof/>
        </w:rPr>
        <w:t>Nel settore del trasporto aereo sono state segnalate 19 infrazioni in sei paesi</w:t>
      </w:r>
      <w:r>
        <w:rPr>
          <w:rFonts w:cs="Times New Roman"/>
          <w:noProof/>
          <w:vertAlign w:val="superscript"/>
          <w:lang w:val="en-IE"/>
        </w:rPr>
        <w:footnoteReference w:id="111"/>
      </w:r>
      <w:r>
        <w:rPr>
          <w:noProof/>
        </w:rPr>
        <w:t>, di cui 13 hanno comportato sanzioni pecuniarie, per un totale di 4,1 milioni di EUR. I motivi principali sono stati il mancato rispetto dei termini per la comunicazione delle emissioni e la mancata restituzione delle quote necessarie.</w:t>
      </w:r>
    </w:p>
    <w:p w14:paraId="330D86B0" w14:textId="7D261F0C" w:rsidR="009503C8" w:rsidRPr="00EC4FC3" w:rsidRDefault="00E71ACF" w:rsidP="00EC4FC3">
      <w:pPr>
        <w:pStyle w:val="CMR-Subheading"/>
        <w:rPr>
          <w:noProof/>
        </w:rPr>
      </w:pPr>
      <w:bookmarkStart w:id="91" w:name="_Toc218937049"/>
      <w:r>
        <w:rPr>
          <w:noProof/>
        </w:rPr>
        <w:t>Quadro di attuazione per il trasporto marittimo</w:t>
      </w:r>
      <w:bookmarkEnd w:id="91"/>
    </w:p>
    <w:p w14:paraId="6609B48C" w14:textId="19189EE3" w:rsidR="00662736" w:rsidRPr="00685D02" w:rsidRDefault="51CC7D28" w:rsidP="00717EB2">
      <w:pPr>
        <w:pStyle w:val="CMR-text"/>
        <w:rPr>
          <w:rFonts w:cs="Times New Roman"/>
          <w:b/>
          <w:bCs/>
          <w:noProof/>
        </w:rPr>
      </w:pPr>
      <w:r>
        <w:rPr>
          <w:noProof/>
        </w:rPr>
        <w:t>Il quadro di prescrizioni in materia di monitoraggio, comunicazione, verifica e accreditamento applicabile al trasporto marittimo ricalca quello stabilito per altri settori che rientrano nell</w:t>
      </w:r>
      <w:r w:rsidR="00F06D2E">
        <w:rPr>
          <w:noProof/>
        </w:rPr>
        <w:t>'</w:t>
      </w:r>
      <w:r>
        <w:rPr>
          <w:noProof/>
        </w:rPr>
        <w:t>ambito di applicazione dell</w:t>
      </w:r>
      <w:r w:rsidR="00F06D2E">
        <w:rPr>
          <w:noProof/>
        </w:rPr>
        <w:t>'</w:t>
      </w:r>
      <w:r>
        <w:rPr>
          <w:noProof/>
        </w:rPr>
        <w:t>EU ETS, con i necessari adeguamenti. Il regolamento MRV nel settore del trasporto marittimo è stato rivisto nel 2023 per consentire l</w:t>
      </w:r>
      <w:r w:rsidR="00F06D2E">
        <w:rPr>
          <w:noProof/>
        </w:rPr>
        <w:t>'</w:t>
      </w:r>
      <w:r>
        <w:rPr>
          <w:noProof/>
        </w:rPr>
        <w:t>estensione dell</w:t>
      </w:r>
      <w:r w:rsidR="00F06D2E">
        <w:rPr>
          <w:noProof/>
        </w:rPr>
        <w:t>'</w:t>
      </w:r>
      <w:r>
        <w:rPr>
          <w:noProof/>
        </w:rPr>
        <w:t>EU ETS a tale settore, in particolare al fine di estendere l</w:t>
      </w:r>
      <w:r w:rsidR="00F06D2E">
        <w:rPr>
          <w:noProof/>
        </w:rPr>
        <w:t>'</w:t>
      </w:r>
      <w:r>
        <w:rPr>
          <w:noProof/>
        </w:rPr>
        <w:t>ambito di applicazione del sistema MRV al CH</w:t>
      </w:r>
      <w:r>
        <w:rPr>
          <w:noProof/>
          <w:vertAlign w:val="subscript"/>
        </w:rPr>
        <w:t>4</w:t>
      </w:r>
      <w:r>
        <w:rPr>
          <w:noProof/>
        </w:rPr>
        <w:t xml:space="preserve"> e al N</w:t>
      </w:r>
      <w:r>
        <w:rPr>
          <w:noProof/>
          <w:vertAlign w:val="subscript"/>
        </w:rPr>
        <w:t>2</w:t>
      </w:r>
      <w:r>
        <w:rPr>
          <w:noProof/>
        </w:rPr>
        <w:t>O (a partire dal 2026) e di stabilire norme per determinare le emissioni delle navi che rientrano nell</w:t>
      </w:r>
      <w:r w:rsidR="00F06D2E">
        <w:rPr>
          <w:noProof/>
        </w:rPr>
        <w:t>'</w:t>
      </w:r>
      <w:r>
        <w:rPr>
          <w:noProof/>
        </w:rPr>
        <w:t>ambito di applicazione dell</w:t>
      </w:r>
      <w:r w:rsidR="00F06D2E">
        <w:rPr>
          <w:noProof/>
        </w:rPr>
        <w:t>'</w:t>
      </w:r>
      <w:r>
        <w:rPr>
          <w:noProof/>
        </w:rPr>
        <w:t>EU</w:t>
      </w:r>
      <w:r w:rsidR="0091482D">
        <w:rPr>
          <w:noProof/>
        </w:rPr>
        <w:t> </w:t>
      </w:r>
      <w:r>
        <w:rPr>
          <w:noProof/>
        </w:rPr>
        <w:t>ETS e aggregarle a livello di società di navigazione. I pertinenti atti delegati per l</w:t>
      </w:r>
      <w:r w:rsidR="00F06D2E">
        <w:rPr>
          <w:noProof/>
        </w:rPr>
        <w:t>'</w:t>
      </w:r>
      <w:r>
        <w:rPr>
          <w:noProof/>
        </w:rPr>
        <w:t>attuazione del sistema sono stati adottati nel 2023, dopodiché la Commissione ha elaborato una serie di documenti di orientamento per aiutare i portatori di interessi nell</w:t>
      </w:r>
      <w:r w:rsidR="00F06D2E">
        <w:rPr>
          <w:noProof/>
        </w:rPr>
        <w:t>'</w:t>
      </w:r>
      <w:r>
        <w:rPr>
          <w:noProof/>
        </w:rPr>
        <w:t>adempimento dei rispettivi obblighi giuridici</w:t>
      </w:r>
      <w:r>
        <w:rPr>
          <w:rStyle w:val="FootnoteReference"/>
          <w:rFonts w:cs="Times New Roman"/>
          <w:noProof/>
          <w:lang w:val="en-IE"/>
        </w:rPr>
        <w:footnoteReference w:id="112"/>
      </w:r>
      <w:r>
        <w:rPr>
          <w:noProof/>
        </w:rPr>
        <w:t>.</w:t>
      </w:r>
      <w:r>
        <w:rPr>
          <w:b/>
          <w:noProof/>
        </w:rPr>
        <w:t xml:space="preserve"> </w:t>
      </w:r>
    </w:p>
    <w:p w14:paraId="504CC7C4" w14:textId="3C9CCFEC" w:rsidR="00662736" w:rsidRPr="00EC4FC3" w:rsidRDefault="00662736" w:rsidP="00EC4FC3">
      <w:pPr>
        <w:pStyle w:val="CMR-SubHead2"/>
        <w:rPr>
          <w:noProof/>
        </w:rPr>
      </w:pPr>
      <w:bookmarkStart w:id="92" w:name="_Toc218937050"/>
      <w:r>
        <w:rPr>
          <w:noProof/>
        </w:rPr>
        <w:t>Monitoraggio e comunicazione delle emissioni</w:t>
      </w:r>
      <w:bookmarkEnd w:id="92"/>
      <w:r>
        <w:rPr>
          <w:noProof/>
        </w:rPr>
        <w:t xml:space="preserve"> </w:t>
      </w:r>
    </w:p>
    <w:p w14:paraId="090828AA" w14:textId="2F5B808F" w:rsidR="004B2A23" w:rsidRPr="00685D02" w:rsidRDefault="00BA7B86" w:rsidP="00717EB2">
      <w:pPr>
        <w:pStyle w:val="CMR-text"/>
        <w:rPr>
          <w:rFonts w:cs="Times New Roman"/>
          <w:noProof/>
        </w:rPr>
      </w:pPr>
      <w:r>
        <w:rPr>
          <w:noProof/>
        </w:rPr>
        <w:t>Dal 2018 le società di navigazione sono tenute a monitorare e comunicare le emissioni conformemente al regolamento MRV nel settore del trasporto marittimo, in base al quale le società devono fornire piani di monitoraggio, relazioni sulle emissioni e relazioni di verifica per ciascuna delle navi sotto la loro responsabilità. Dal 2024 devono inoltre fornire dati per società, con informazioni aggiuntive per l</w:t>
      </w:r>
      <w:r w:rsidR="00F06D2E">
        <w:rPr>
          <w:noProof/>
        </w:rPr>
        <w:t>'</w:t>
      </w:r>
      <w:r>
        <w:rPr>
          <w:noProof/>
        </w:rPr>
        <w:t>EU</w:t>
      </w:r>
      <w:r w:rsidR="0091482D">
        <w:rPr>
          <w:noProof/>
        </w:rPr>
        <w:t> </w:t>
      </w:r>
      <w:r>
        <w:rPr>
          <w:noProof/>
        </w:rPr>
        <w:t xml:space="preserve">ETS, fornendo una comunicazione aggregata per tutte le loro navi. </w:t>
      </w:r>
    </w:p>
    <w:p w14:paraId="5E3A49B9" w14:textId="1CF426AE" w:rsidR="00D005B0" w:rsidRPr="00685D02" w:rsidRDefault="00BA7B86" w:rsidP="00717EB2">
      <w:pPr>
        <w:pStyle w:val="CMR-text"/>
        <w:rPr>
          <w:rFonts w:cs="Times New Roman"/>
          <w:b/>
          <w:noProof/>
        </w:rPr>
      </w:pPr>
      <w:r>
        <w:rPr>
          <w:noProof/>
        </w:rPr>
        <w:t>A tal fine è necessario un unico processo di monitoraggio e comunicazione, sebbene i dati da comunicare nell</w:t>
      </w:r>
      <w:r w:rsidR="00F06D2E">
        <w:rPr>
          <w:noProof/>
        </w:rPr>
        <w:t>'</w:t>
      </w:r>
      <w:r>
        <w:rPr>
          <w:noProof/>
        </w:rPr>
        <w:t>ambito dell</w:t>
      </w:r>
      <w:r w:rsidR="00F06D2E">
        <w:rPr>
          <w:noProof/>
        </w:rPr>
        <w:t>'</w:t>
      </w:r>
      <w:r>
        <w:rPr>
          <w:noProof/>
        </w:rPr>
        <w:t>EU ETS possano discostarsi, in una certa misura, da quelli da comunicare a norma del regolamento MRV nel settore del trasporto marittimo, ad esempio per quanto riguarda l</w:t>
      </w:r>
      <w:r w:rsidR="00F06D2E">
        <w:rPr>
          <w:noProof/>
        </w:rPr>
        <w:t>'</w:t>
      </w:r>
      <w:r>
        <w:rPr>
          <w:noProof/>
        </w:rPr>
        <w:t>ambito di applicazione (gas a effetto serra, copertura delle tratte) e le diverse deroghe applicabili stabilite dalla direttiva EU ETS. Inoltre al fine di garantire l</w:t>
      </w:r>
      <w:r w:rsidR="00F06D2E">
        <w:rPr>
          <w:noProof/>
        </w:rPr>
        <w:t>'</w:t>
      </w:r>
      <w:r>
        <w:rPr>
          <w:noProof/>
        </w:rPr>
        <w:t>adempimento dei loro obblighi ai sensi della direttiva EU ETS le società le cui attività rientrano nell</w:t>
      </w:r>
      <w:r w:rsidR="00F06D2E">
        <w:rPr>
          <w:noProof/>
        </w:rPr>
        <w:t>'</w:t>
      </w:r>
      <w:r>
        <w:rPr>
          <w:noProof/>
        </w:rPr>
        <w:t>ambito di applicazione dell</w:t>
      </w:r>
      <w:r w:rsidR="00F06D2E">
        <w:rPr>
          <w:noProof/>
        </w:rPr>
        <w:t>'</w:t>
      </w:r>
      <w:r>
        <w:rPr>
          <w:noProof/>
        </w:rPr>
        <w:t>EU ETS devono soddisfare prescrizioni aggiuntive (ad esempio devono ottenere dall</w:t>
      </w:r>
      <w:r w:rsidR="00F06D2E">
        <w:rPr>
          <w:noProof/>
        </w:rPr>
        <w:t>'</w:t>
      </w:r>
      <w:r>
        <w:rPr>
          <w:noProof/>
        </w:rPr>
        <w:t>autorità di riferimento pertinente l</w:t>
      </w:r>
      <w:r w:rsidR="00F06D2E">
        <w:rPr>
          <w:noProof/>
        </w:rPr>
        <w:t>'</w:t>
      </w:r>
      <w:r>
        <w:rPr>
          <w:noProof/>
        </w:rPr>
        <w:t>approvazione del proprio piano di monitoraggio, aprire un conto di deposito di operatore marittimo nel registro dell</w:t>
      </w:r>
      <w:r w:rsidR="00F06D2E">
        <w:rPr>
          <w:noProof/>
        </w:rPr>
        <w:t>'</w:t>
      </w:r>
      <w:r>
        <w:rPr>
          <w:noProof/>
        </w:rPr>
        <w:t>Unione, ecc.) rispetto alle società le cui attività rientrano soltanto nell</w:t>
      </w:r>
      <w:r w:rsidR="00F06D2E">
        <w:rPr>
          <w:noProof/>
        </w:rPr>
        <w:t>'</w:t>
      </w:r>
      <w:r>
        <w:rPr>
          <w:noProof/>
        </w:rPr>
        <w:t>ambito di applicazione del regolamento MRV nel settore del trasporto marittimo.</w:t>
      </w:r>
      <w:r>
        <w:rPr>
          <w:b/>
          <w:noProof/>
        </w:rPr>
        <w:t xml:space="preserve"> </w:t>
      </w:r>
    </w:p>
    <w:p w14:paraId="74D0D381" w14:textId="653824A8" w:rsidR="007627AC" w:rsidRPr="00685D02" w:rsidRDefault="62879E6D">
      <w:pPr>
        <w:pStyle w:val="CMR-text"/>
        <w:rPr>
          <w:rFonts w:cs="Times New Roman"/>
          <w:b/>
          <w:bCs/>
          <w:noProof/>
        </w:rPr>
      </w:pPr>
      <w:r>
        <w:rPr>
          <w:noProof/>
        </w:rPr>
        <w:t>Nel 2024 3 313 società di navigazione hanno presentato una relazione sulle emissioni a livello di società, per un totale di 13 627 navi. Tali società hanno comunicato, nel quadro più ampio del regolamento MRV</w:t>
      </w:r>
      <w:r>
        <w:rPr>
          <w:rStyle w:val="FootnoteReference"/>
          <w:rFonts w:cs="Times New Roman"/>
          <w:noProof/>
          <w:lang w:val="en-IE"/>
        </w:rPr>
        <w:footnoteReference w:id="113"/>
      </w:r>
      <w:r>
        <w:rPr>
          <w:noProof/>
        </w:rPr>
        <w:t>, emissioni pari a 138,3 Mt di CO</w:t>
      </w:r>
      <w:r>
        <w:rPr>
          <w:noProof/>
          <w:vertAlign w:val="subscript"/>
        </w:rPr>
        <w:t>2</w:t>
      </w:r>
      <w:r>
        <w:rPr>
          <w:noProof/>
        </w:rPr>
        <w:t>, derivanti dall</w:t>
      </w:r>
      <w:r w:rsidR="00F06D2E">
        <w:rPr>
          <w:noProof/>
        </w:rPr>
        <w:t>'</w:t>
      </w:r>
      <w:r>
        <w:rPr>
          <w:noProof/>
        </w:rPr>
        <w:t>uso di 44,7 milioni di tonnellate di carburante, di cui i combustibili di origine fossile per uso marittimo</w:t>
      </w:r>
      <w:r>
        <w:rPr>
          <w:rStyle w:val="FootnoteReference"/>
          <w:rFonts w:cs="Times New Roman"/>
          <w:noProof/>
          <w:lang w:val="en-IE"/>
        </w:rPr>
        <w:footnoteReference w:id="114"/>
      </w:r>
      <w:r>
        <w:rPr>
          <w:noProof/>
        </w:rPr>
        <w:t xml:space="preserve"> rappresentavano il 99,4 % dei consumi comunicati</w:t>
      </w:r>
      <w:r>
        <w:rPr>
          <w:rStyle w:val="FootnoteReference"/>
          <w:rFonts w:cs="Times New Roman"/>
          <w:noProof/>
          <w:lang w:val="en-IE"/>
        </w:rPr>
        <w:footnoteReference w:id="115"/>
      </w:r>
      <w:r>
        <w:rPr>
          <w:noProof/>
        </w:rPr>
        <w:t>, mentre lo 0,6% ha beneficiato dell</w:t>
      </w:r>
      <w:r w:rsidR="00F06D2E">
        <w:rPr>
          <w:noProof/>
        </w:rPr>
        <w:t>'</w:t>
      </w:r>
      <w:r>
        <w:rPr>
          <w:noProof/>
        </w:rPr>
        <w:t>attribuzione di un fattore di emissione pari a zero.</w:t>
      </w:r>
    </w:p>
    <w:p w14:paraId="534AF5CD" w14:textId="4E519EC6" w:rsidR="005B5151" w:rsidRPr="00685D02" w:rsidRDefault="4DF18327" w:rsidP="65EC3A73">
      <w:pPr>
        <w:pStyle w:val="CMR-text"/>
        <w:rPr>
          <w:rFonts w:cs="Times New Roman"/>
          <w:b/>
          <w:bCs/>
          <w:noProof/>
        </w:rPr>
      </w:pPr>
      <w:r>
        <w:rPr>
          <w:noProof/>
        </w:rPr>
        <w:t>Le emissioni verificate comunicate a livello di società che rientrano nell</w:t>
      </w:r>
      <w:r w:rsidR="00F06D2E">
        <w:rPr>
          <w:noProof/>
        </w:rPr>
        <w:t>'</w:t>
      </w:r>
      <w:r>
        <w:rPr>
          <w:noProof/>
        </w:rPr>
        <w:t>ambito di applicazione dell</w:t>
      </w:r>
      <w:r w:rsidR="00F06D2E">
        <w:rPr>
          <w:noProof/>
        </w:rPr>
        <w:t>'</w:t>
      </w:r>
      <w:r>
        <w:rPr>
          <w:noProof/>
        </w:rPr>
        <w:t>MRV sono state ridotte, come registrato nel sistema THETIS-MRV, per determinare le emissioni che rientrano nell</w:t>
      </w:r>
      <w:r w:rsidR="00F06D2E">
        <w:rPr>
          <w:noProof/>
        </w:rPr>
        <w:t>'</w:t>
      </w:r>
      <w:r>
        <w:rPr>
          <w:noProof/>
        </w:rPr>
        <w:t>ambito di applicazione dell</w:t>
      </w:r>
      <w:r w:rsidR="00F06D2E">
        <w:rPr>
          <w:noProof/>
        </w:rPr>
        <w:t>'</w:t>
      </w:r>
      <w:r>
        <w:rPr>
          <w:noProof/>
        </w:rPr>
        <w:t>EU ETS dopo aver applicato le norme pertinenti: fattore di emissione pari a zero per i combustibili ammissibili (0,7 Mt), limitazione dell</w:t>
      </w:r>
      <w:r w:rsidR="00F06D2E">
        <w:rPr>
          <w:noProof/>
        </w:rPr>
        <w:t>'</w:t>
      </w:r>
      <w:r>
        <w:rPr>
          <w:noProof/>
        </w:rPr>
        <w:t>ambito di applicazione geografico dell</w:t>
      </w:r>
      <w:r w:rsidR="00F06D2E">
        <w:rPr>
          <w:noProof/>
        </w:rPr>
        <w:t>'</w:t>
      </w:r>
      <w:r>
        <w:rPr>
          <w:noProof/>
        </w:rPr>
        <w:t>ETS al 50 % delle tratte extra-SEE (48,6 Mt), cattura e stoccaggio del carbonio e cattura e utilizzo del carbonio (56 tonnellate) e deroghe per le piccole isole, per i contratti di servizio pubblico e gli obblighi di servizio pubblico e per le regioni ultraperiferiche (3,9 Mt)</w:t>
      </w:r>
      <w:r w:rsidRPr="0091482D">
        <w:rPr>
          <w:rStyle w:val="FootnoteReference"/>
          <w:rFonts w:cs="Times New Roman"/>
          <w:noProof/>
          <w:lang w:val="en-IE"/>
        </w:rPr>
        <w:footnoteReference w:id="116"/>
      </w:r>
      <w:r>
        <w:rPr>
          <w:noProof/>
        </w:rPr>
        <w:t>.</w:t>
      </w:r>
    </w:p>
    <w:p w14:paraId="798CB06D" w14:textId="3E9D72C1" w:rsidR="006D6C21" w:rsidRPr="00EC4FC3" w:rsidRDefault="006D6C21" w:rsidP="00EC4FC3">
      <w:pPr>
        <w:pStyle w:val="CMR-SubHead2"/>
        <w:rPr>
          <w:noProof/>
        </w:rPr>
      </w:pPr>
      <w:bookmarkStart w:id="93" w:name="_Toc218937051"/>
      <w:r>
        <w:rPr>
          <w:noProof/>
        </w:rPr>
        <w:t>Verifica e accreditamento</w:t>
      </w:r>
      <w:bookmarkEnd w:id="93"/>
      <w:r>
        <w:rPr>
          <w:noProof/>
        </w:rPr>
        <w:t xml:space="preserve"> </w:t>
      </w:r>
    </w:p>
    <w:p w14:paraId="00CC663E" w14:textId="7C762A07" w:rsidR="006D6C21" w:rsidRPr="00685D02" w:rsidRDefault="00097B30" w:rsidP="00671D98">
      <w:pPr>
        <w:pStyle w:val="CMR-text"/>
        <w:rPr>
          <w:rFonts w:cs="Times New Roman"/>
          <w:noProof/>
        </w:rPr>
      </w:pPr>
      <w:r>
        <w:rPr>
          <w:noProof/>
        </w:rPr>
        <w:t>Come per altri settori ETS, il verificatore attivo nell</w:t>
      </w:r>
      <w:r w:rsidR="00F06D2E">
        <w:rPr>
          <w:noProof/>
        </w:rPr>
        <w:t>'</w:t>
      </w:r>
      <w:r>
        <w:rPr>
          <w:noProof/>
        </w:rPr>
        <w:t>ambito dell</w:t>
      </w:r>
      <w:r w:rsidR="00F06D2E">
        <w:rPr>
          <w:noProof/>
        </w:rPr>
        <w:t>'</w:t>
      </w:r>
      <w:r>
        <w:rPr>
          <w:noProof/>
        </w:rPr>
        <w:t>ETS per il trasporto marittimo deve essere accreditato da un organismo nazionale di accreditamento conformemente al regolamento sull</w:t>
      </w:r>
      <w:r w:rsidR="00F06D2E">
        <w:rPr>
          <w:noProof/>
        </w:rPr>
        <w:t>'</w:t>
      </w:r>
      <w:r>
        <w:rPr>
          <w:noProof/>
        </w:rPr>
        <w:t>accreditamento e la verifica e alla norma internazionale ISO 14065. Il verificatore svolge le varie attività previste dal regolamento MRV per verificare l</w:t>
      </w:r>
      <w:r w:rsidR="00F06D2E">
        <w:rPr>
          <w:noProof/>
        </w:rPr>
        <w:t>'</w:t>
      </w:r>
      <w:r>
        <w:rPr>
          <w:noProof/>
        </w:rPr>
        <w:t xml:space="preserve">attuazione del piano di monitoraggio e i dati contenuti nelle relazioni della società di navigazione, sia a livello di nave sia a livello di società. </w:t>
      </w:r>
    </w:p>
    <w:p w14:paraId="6336B871" w14:textId="4DA18C11" w:rsidR="00171EBE" w:rsidRPr="00685D02" w:rsidRDefault="00171EBE" w:rsidP="00171EBE">
      <w:pPr>
        <w:pStyle w:val="CMR-text"/>
        <w:rPr>
          <w:rFonts w:cs="Times New Roman"/>
          <w:noProof/>
        </w:rPr>
      </w:pPr>
      <w:r>
        <w:rPr>
          <w:noProof/>
        </w:rPr>
        <w:t>Nel 2024 erano attivi 22 verificatori accreditati per le attività MRV nel settore del trasporto marittimo. Il tasso di conformità dei verificatori alla normativa in materia di accreditamento e verifica è risultato elevato. Per il 2024 non sono state comunicate sospensioni o revoche dell</w:t>
      </w:r>
      <w:r w:rsidR="00F06D2E">
        <w:rPr>
          <w:noProof/>
        </w:rPr>
        <w:t>'</w:t>
      </w:r>
      <w:r>
        <w:rPr>
          <w:noProof/>
        </w:rPr>
        <w:t xml:space="preserve">accreditamento. </w:t>
      </w:r>
    </w:p>
    <w:p w14:paraId="577EDD7D" w14:textId="1283C382" w:rsidR="0090557D" w:rsidRPr="00EC4FC3" w:rsidRDefault="0090557D" w:rsidP="00EC4FC3">
      <w:pPr>
        <w:pStyle w:val="CMR-SubHead2"/>
        <w:rPr>
          <w:noProof/>
        </w:rPr>
      </w:pPr>
      <w:bookmarkStart w:id="94" w:name="_Toc218937052"/>
      <w:r>
        <w:rPr>
          <w:noProof/>
        </w:rPr>
        <w:t>Autorità di riferimento</w:t>
      </w:r>
      <w:bookmarkEnd w:id="94"/>
      <w:r>
        <w:rPr>
          <w:noProof/>
        </w:rPr>
        <w:t xml:space="preserve"> </w:t>
      </w:r>
    </w:p>
    <w:p w14:paraId="0507A8A1" w14:textId="45A66E6A" w:rsidR="00C46EE5" w:rsidRPr="00685D02" w:rsidRDefault="16DF4BC3">
      <w:pPr>
        <w:pStyle w:val="CMR-text"/>
        <w:rPr>
          <w:rFonts w:cs="Times New Roman"/>
          <w:bCs/>
          <w:noProof/>
        </w:rPr>
      </w:pPr>
      <w:r>
        <w:rPr>
          <w:noProof/>
        </w:rPr>
        <w:t>Ai fini del funzionamento corretto ed efficace dell</w:t>
      </w:r>
      <w:r w:rsidR="00F06D2E">
        <w:rPr>
          <w:noProof/>
        </w:rPr>
        <w:t>'</w:t>
      </w:r>
      <w:r>
        <w:rPr>
          <w:noProof/>
        </w:rPr>
        <w:t>EU ETS, ciascuna società di navigazione è assegnata a un</w:t>
      </w:r>
      <w:r w:rsidR="00F06D2E">
        <w:rPr>
          <w:noProof/>
        </w:rPr>
        <w:t>'</w:t>
      </w:r>
      <w:r>
        <w:rPr>
          <w:noProof/>
        </w:rPr>
        <w:t>autorità di riferimento in uno Stato membro. Si tratta dello Stato membro al quale la società di navigazione trasmette il piano di monitoraggio per approvazione, la comunicazione annuale delle emissioni sottoposta a verifica e la relazione delle emissioni della società e che gestisce la società di navigazione per quanto riguarda il suo conto nel registro. Ciascuna società di navigazione è assegnata al rispettivo Stato membro di riferimento mediante applicazione delle norme stabilite nella direttiva EU</w:t>
      </w:r>
      <w:r w:rsidR="0091482D">
        <w:rPr>
          <w:noProof/>
        </w:rPr>
        <w:t> </w:t>
      </w:r>
      <w:r>
        <w:rPr>
          <w:noProof/>
        </w:rPr>
        <w:t>ETS</w:t>
      </w:r>
      <w:r>
        <w:rPr>
          <w:rStyle w:val="FootnoteReference"/>
          <w:rFonts w:cs="Times New Roman"/>
          <w:noProof/>
          <w:lang w:val="en-IE"/>
        </w:rPr>
        <w:footnoteReference w:id="117"/>
      </w:r>
      <w:r>
        <w:rPr>
          <w:noProof/>
        </w:rPr>
        <w:t>.</w:t>
      </w:r>
    </w:p>
    <w:p w14:paraId="050AF7F7" w14:textId="57FF712B" w:rsidR="00C6468B" w:rsidRPr="00EC4FC3" w:rsidRDefault="0090557D" w:rsidP="00EC4FC3">
      <w:pPr>
        <w:pStyle w:val="CMR-SubHead2"/>
        <w:rPr>
          <w:noProof/>
        </w:rPr>
      </w:pPr>
      <w:bookmarkStart w:id="95" w:name="_Toc218937053"/>
      <w:r>
        <w:rPr>
          <w:noProof/>
        </w:rPr>
        <w:t>Conformità all</w:t>
      </w:r>
      <w:r w:rsidR="00F06D2E">
        <w:rPr>
          <w:noProof/>
        </w:rPr>
        <w:t>'</w:t>
      </w:r>
      <w:r>
        <w:rPr>
          <w:noProof/>
        </w:rPr>
        <w:t>EU ETS per il trasporto marittimo</w:t>
      </w:r>
      <w:bookmarkEnd w:id="95"/>
    </w:p>
    <w:p w14:paraId="65DCFEF7" w14:textId="11185C37" w:rsidR="00F44587" w:rsidRDefault="0F0313D8" w:rsidP="007F7046">
      <w:pPr>
        <w:pStyle w:val="CMR-text"/>
        <w:rPr>
          <w:rFonts w:cs="Times New Roman"/>
          <w:noProof/>
        </w:rPr>
      </w:pPr>
      <w:r>
        <w:rPr>
          <w:noProof/>
        </w:rPr>
        <w:t>Il 2025 è stato il primo anno nel quale le quote per le emissioni derivanti dal trasporto marittimo sono state restituite nell</w:t>
      </w:r>
      <w:r w:rsidR="00F06D2E">
        <w:rPr>
          <w:noProof/>
        </w:rPr>
        <w:t>'</w:t>
      </w:r>
      <w:r>
        <w:rPr>
          <w:noProof/>
        </w:rPr>
        <w:t>ambito dell</w:t>
      </w:r>
      <w:r w:rsidR="00F06D2E">
        <w:rPr>
          <w:noProof/>
        </w:rPr>
        <w:t>'</w:t>
      </w:r>
      <w:r>
        <w:rPr>
          <w:noProof/>
        </w:rPr>
        <w:t>EU ETS, sulla base delle informazioni comunicate in relazione alle attività del 2024. Le società di navigazione hanno restituito quote per oltre il 99 % degli obblighi di restituzione</w:t>
      </w:r>
      <w:r>
        <w:rPr>
          <w:rFonts w:cs="Times New Roman"/>
          <w:noProof/>
          <w:vertAlign w:val="superscript"/>
          <w:lang w:val="en-IE"/>
        </w:rPr>
        <w:footnoteReference w:id="118"/>
      </w:r>
      <w:r>
        <w:rPr>
          <w:noProof/>
        </w:rPr>
        <w:t xml:space="preserve"> entro il termine previsto dalla normativa.</w:t>
      </w:r>
    </w:p>
    <w:p w14:paraId="182A3BB9" w14:textId="1BEAA7E4" w:rsidR="00C6468B" w:rsidRPr="00F44587" w:rsidRDefault="00C6468B" w:rsidP="00F44587">
      <w:pPr>
        <w:pStyle w:val="CMR-SubHead2"/>
        <w:rPr>
          <w:noProof/>
        </w:rPr>
      </w:pPr>
      <w:bookmarkStart w:id="96" w:name="_Toc218937054"/>
      <w:r>
        <w:rPr>
          <w:noProof/>
        </w:rPr>
        <w:t>Attuazione dell</w:t>
      </w:r>
      <w:r w:rsidR="00F06D2E">
        <w:rPr>
          <w:noProof/>
        </w:rPr>
        <w:t>'</w:t>
      </w:r>
      <w:r>
        <w:rPr>
          <w:noProof/>
        </w:rPr>
        <w:t>ETS2</w:t>
      </w:r>
      <w:bookmarkEnd w:id="96"/>
      <w:r>
        <w:rPr>
          <w:noProof/>
        </w:rPr>
        <w:t xml:space="preserve"> </w:t>
      </w:r>
    </w:p>
    <w:p w14:paraId="2687529C" w14:textId="2F27A451" w:rsidR="006D6C21" w:rsidRPr="00685D02" w:rsidRDefault="7B9A1957" w:rsidP="50C721A3">
      <w:pPr>
        <w:pStyle w:val="CMR-text"/>
        <w:rPr>
          <w:rFonts w:cs="Times New Roman"/>
          <w:noProof/>
        </w:rPr>
      </w:pPr>
      <w:r>
        <w:rPr>
          <w:noProof/>
        </w:rPr>
        <w:t>Il regolamento sul monitoraggio e la comunicazione e il regolamento sull</w:t>
      </w:r>
      <w:r w:rsidR="00F06D2E">
        <w:rPr>
          <w:noProof/>
        </w:rPr>
        <w:t>'</w:t>
      </w:r>
      <w:r>
        <w:rPr>
          <w:noProof/>
        </w:rPr>
        <w:t>accreditamento e la verifica comprendono anche gli obblighi di monitoraggio, comunicazione, verifica e accreditamento (MRVA) per l</w:t>
      </w:r>
      <w:r w:rsidR="00F06D2E">
        <w:rPr>
          <w:noProof/>
        </w:rPr>
        <w:t>'</w:t>
      </w:r>
      <w:r>
        <w:rPr>
          <w:noProof/>
        </w:rPr>
        <w:t>attuazione dell</w:t>
      </w:r>
      <w:r w:rsidR="00F06D2E">
        <w:rPr>
          <w:noProof/>
        </w:rPr>
        <w:t>'</w:t>
      </w:r>
      <w:r>
        <w:rPr>
          <w:noProof/>
        </w:rPr>
        <w:t>ETS2. Al fine di agevolare l</w:t>
      </w:r>
      <w:r w:rsidR="00F06D2E">
        <w:rPr>
          <w:noProof/>
        </w:rPr>
        <w:t>'</w:t>
      </w:r>
      <w:r>
        <w:rPr>
          <w:noProof/>
        </w:rPr>
        <w:t>attuazione del nuovo sistema, la Commissione ha preparato documenti di orientamento e modelli per le autorità nazionali competenti, i soggetti regolamentati e i verificatori</w:t>
      </w:r>
      <w:r>
        <w:rPr>
          <w:rStyle w:val="FootnoteReference"/>
          <w:rFonts w:cs="Times New Roman"/>
          <w:noProof/>
        </w:rPr>
        <w:footnoteReference w:id="119"/>
      </w:r>
      <w:r>
        <w:rPr>
          <w:noProof/>
        </w:rPr>
        <w:t>:</w:t>
      </w:r>
    </w:p>
    <w:p w14:paraId="2269D2FB" w14:textId="4A10075F" w:rsidR="00C6468B" w:rsidRPr="00CE747B" w:rsidRDefault="003158AE" w:rsidP="00CE747B">
      <w:pPr>
        <w:pStyle w:val="CMR-text"/>
        <w:numPr>
          <w:ilvl w:val="0"/>
          <w:numId w:val="60"/>
        </w:numPr>
        <w:spacing w:before="120" w:after="120"/>
        <w:ind w:left="714" w:hanging="357"/>
        <w:rPr>
          <w:noProof/>
          <w:szCs w:val="20"/>
        </w:rPr>
      </w:pPr>
      <w:r>
        <w:rPr>
          <w:noProof/>
        </w:rPr>
        <w:t>orientamenti generali concernenti il regolamento sul monitoraggio e la comunicazione per i soggetti regolamentati dall</w:t>
      </w:r>
      <w:r w:rsidR="00F06D2E">
        <w:rPr>
          <w:noProof/>
        </w:rPr>
        <w:t>'</w:t>
      </w:r>
      <w:r>
        <w:rPr>
          <w:noProof/>
        </w:rPr>
        <w:t>ETS2;</w:t>
      </w:r>
    </w:p>
    <w:p w14:paraId="50CF9CE8" w14:textId="7F92FF3A" w:rsidR="00C6468B" w:rsidRPr="00CE747B" w:rsidRDefault="003158AE" w:rsidP="00CE747B">
      <w:pPr>
        <w:pStyle w:val="CMR-text"/>
        <w:numPr>
          <w:ilvl w:val="0"/>
          <w:numId w:val="60"/>
        </w:numPr>
        <w:spacing w:before="120" w:after="120"/>
        <w:ind w:left="714" w:hanging="357"/>
        <w:rPr>
          <w:noProof/>
          <w:szCs w:val="20"/>
        </w:rPr>
      </w:pPr>
      <w:r>
        <w:rPr>
          <w:noProof/>
        </w:rPr>
        <w:t>modello di piano di monitoraggio per i soggetti regolamentati;</w:t>
      </w:r>
    </w:p>
    <w:p w14:paraId="47C35330" w14:textId="7E49650E" w:rsidR="00C6468B" w:rsidRPr="00CE747B" w:rsidRDefault="003158AE" w:rsidP="00CE747B">
      <w:pPr>
        <w:pStyle w:val="CMR-text"/>
        <w:numPr>
          <w:ilvl w:val="0"/>
          <w:numId w:val="60"/>
        </w:numPr>
        <w:spacing w:before="120" w:after="120"/>
        <w:ind w:left="714" w:hanging="357"/>
        <w:rPr>
          <w:noProof/>
          <w:szCs w:val="20"/>
        </w:rPr>
      </w:pPr>
      <w:r>
        <w:rPr>
          <w:noProof/>
        </w:rPr>
        <w:t>modello di comunicazione annuale delle emissioni per i soggetti regolamentati;</w:t>
      </w:r>
    </w:p>
    <w:p w14:paraId="2B5B2949" w14:textId="30D88A22" w:rsidR="00C6468B" w:rsidRPr="00CE747B" w:rsidRDefault="006D2913" w:rsidP="00CE747B">
      <w:pPr>
        <w:pStyle w:val="CMR-text"/>
        <w:numPr>
          <w:ilvl w:val="0"/>
          <w:numId w:val="60"/>
        </w:numPr>
        <w:spacing w:before="120" w:after="120"/>
        <w:ind w:left="714" w:hanging="357"/>
        <w:rPr>
          <w:noProof/>
          <w:szCs w:val="20"/>
        </w:rPr>
      </w:pPr>
      <w:r>
        <w:rPr>
          <w:noProof/>
        </w:rPr>
        <w:t>orientamenti in materia di accreditamento e verifica per l</w:t>
      </w:r>
      <w:r w:rsidR="00F06D2E">
        <w:rPr>
          <w:noProof/>
        </w:rPr>
        <w:t>'</w:t>
      </w:r>
      <w:r>
        <w:rPr>
          <w:noProof/>
        </w:rPr>
        <w:t>ETS2</w:t>
      </w:r>
    </w:p>
    <w:p w14:paraId="1725106F" w14:textId="44DC3678" w:rsidR="39243AE7" w:rsidRPr="00E718DF" w:rsidRDefault="00C6468B" w:rsidP="00CE747B">
      <w:pPr>
        <w:pStyle w:val="CMR-text"/>
        <w:numPr>
          <w:ilvl w:val="0"/>
          <w:numId w:val="60"/>
        </w:numPr>
        <w:spacing w:before="120" w:after="120"/>
        <w:ind w:left="714" w:hanging="357"/>
        <w:rPr>
          <w:noProof/>
          <w:szCs w:val="20"/>
        </w:rPr>
      </w:pPr>
      <w:r>
        <w:rPr>
          <w:noProof/>
        </w:rPr>
        <w:t>modello di relazione di verifica nel quadro dell</w:t>
      </w:r>
      <w:r w:rsidR="00F06D2E">
        <w:rPr>
          <w:noProof/>
        </w:rPr>
        <w:t>'</w:t>
      </w:r>
      <w:r>
        <w:rPr>
          <w:noProof/>
        </w:rPr>
        <w:t>ETS2.</w:t>
      </w:r>
    </w:p>
    <w:p w14:paraId="1327CC32" w14:textId="6D14194D" w:rsidR="000E3032" w:rsidRPr="00EC4FC3" w:rsidRDefault="00E75BFF" w:rsidP="00EC4FC3">
      <w:pPr>
        <w:pStyle w:val="CMR-Heading"/>
        <w:rPr>
          <w:noProof/>
        </w:rPr>
      </w:pPr>
      <w:bookmarkStart w:id="97" w:name="_Toc180513416"/>
      <w:r>
        <w:rPr>
          <w:noProof/>
        </w:rPr>
        <w:t xml:space="preserve"> </w:t>
      </w:r>
      <w:bookmarkStart w:id="98" w:name="_Toc218937055"/>
      <w:r>
        <w:rPr>
          <w:noProof/>
        </w:rPr>
        <w:t>L</w:t>
      </w:r>
      <w:r w:rsidR="00F06D2E">
        <w:rPr>
          <w:noProof/>
        </w:rPr>
        <w:t>'</w:t>
      </w:r>
      <w:r>
        <w:rPr>
          <w:noProof/>
        </w:rPr>
        <w:t>EU ETS nel contesto della governance dell</w:t>
      </w:r>
      <w:r w:rsidR="00F06D2E">
        <w:rPr>
          <w:noProof/>
        </w:rPr>
        <w:t>'</w:t>
      </w:r>
      <w:r>
        <w:rPr>
          <w:noProof/>
        </w:rPr>
        <w:t>UE in materia di energia e clima</w:t>
      </w:r>
      <w:bookmarkEnd w:id="97"/>
      <w:bookmarkEnd w:id="98"/>
      <w:r>
        <w:rPr>
          <w:noProof/>
        </w:rPr>
        <w:t xml:space="preserve"> </w:t>
      </w:r>
    </w:p>
    <w:p w14:paraId="621D74F7" w14:textId="32AC7C1F" w:rsidR="00983C03" w:rsidRPr="00685D02" w:rsidRDefault="409D608C" w:rsidP="00983C03">
      <w:pPr>
        <w:pStyle w:val="CMR-text"/>
        <w:rPr>
          <w:rFonts w:cs="Times New Roman"/>
          <w:noProof/>
        </w:rPr>
      </w:pPr>
      <w:r>
        <w:rPr>
          <w:noProof/>
        </w:rPr>
        <w:t>L</w:t>
      </w:r>
      <w:r w:rsidR="00F06D2E">
        <w:rPr>
          <w:noProof/>
        </w:rPr>
        <w:t>'</w:t>
      </w:r>
      <w:r>
        <w:rPr>
          <w:noProof/>
        </w:rPr>
        <w:t>EU ETS funziona nel contesto più ampio della governance dell</w:t>
      </w:r>
      <w:r w:rsidR="00F06D2E">
        <w:rPr>
          <w:noProof/>
        </w:rPr>
        <w:t>'</w:t>
      </w:r>
      <w:r>
        <w:rPr>
          <w:noProof/>
        </w:rPr>
        <w:t>UE in materia di energia e clima, che comprende la direttiva sull</w:t>
      </w:r>
      <w:r w:rsidR="00F06D2E">
        <w:rPr>
          <w:noProof/>
        </w:rPr>
        <w:t>'</w:t>
      </w:r>
      <w:r>
        <w:rPr>
          <w:noProof/>
        </w:rPr>
        <w:t>efficienza energetica (direttiva (UE) 2023/1791)</w:t>
      </w:r>
      <w:r>
        <w:rPr>
          <w:rFonts w:cs="Times New Roman"/>
          <w:noProof/>
          <w:vertAlign w:val="superscript"/>
          <w:lang w:val="en-IE"/>
        </w:rPr>
        <w:footnoteReference w:id="120"/>
      </w:r>
      <w:r>
        <w:rPr>
          <w:noProof/>
        </w:rPr>
        <w:t>, rifusa nell</w:t>
      </w:r>
      <w:r w:rsidR="00F06D2E">
        <w:rPr>
          <w:noProof/>
        </w:rPr>
        <w:t>'</w:t>
      </w:r>
      <w:r>
        <w:rPr>
          <w:noProof/>
        </w:rPr>
        <w:t xml:space="preserve">ambito del pacchetto di riforme </w:t>
      </w:r>
      <w:r w:rsidR="00F06D2E">
        <w:rPr>
          <w:noProof/>
        </w:rPr>
        <w:t>"</w:t>
      </w:r>
      <w:r>
        <w:rPr>
          <w:noProof/>
        </w:rPr>
        <w:t>Pronti per il 55 %</w:t>
      </w:r>
      <w:r w:rsidR="00F06D2E">
        <w:rPr>
          <w:noProof/>
        </w:rPr>
        <w:t>"</w:t>
      </w:r>
      <w:r>
        <w:rPr>
          <w:noProof/>
        </w:rPr>
        <w:t>. L</w:t>
      </w:r>
      <w:r w:rsidR="00F06D2E">
        <w:rPr>
          <w:noProof/>
        </w:rPr>
        <w:t>'</w:t>
      </w:r>
      <w:r>
        <w:rPr>
          <w:noProof/>
        </w:rPr>
        <w:t>obiettivo della direttiva è realizzare risparmi energetici stabilendo obiettivi e obblighi per gli Stati membri e per le imprese. Il segnale di prezzo del carbonio dell</w:t>
      </w:r>
      <w:r w:rsidR="00F06D2E">
        <w:rPr>
          <w:noProof/>
        </w:rPr>
        <w:t>'</w:t>
      </w:r>
      <w:r>
        <w:rPr>
          <w:noProof/>
        </w:rPr>
        <w:t>EU ETS è preso in considerazione nella scelta delle misure politiche e delle azioni attuate a tal fine. L</w:t>
      </w:r>
      <w:r w:rsidR="00F06D2E">
        <w:rPr>
          <w:noProof/>
        </w:rPr>
        <w:t>'</w:t>
      </w:r>
      <w:r>
        <w:rPr>
          <w:noProof/>
        </w:rPr>
        <w:t>articolo 35, paragrafo 1, della direttiva sull</w:t>
      </w:r>
      <w:r w:rsidR="00F06D2E">
        <w:rPr>
          <w:noProof/>
        </w:rPr>
        <w:t>'</w:t>
      </w:r>
      <w:r>
        <w:rPr>
          <w:noProof/>
        </w:rPr>
        <w:t>efficienza energetica prevede che la relazione annuale della Commissione sul funzionamento del mercato europeo del carbonio (la presente relazione) tenga conto dell</w:t>
      </w:r>
      <w:r w:rsidR="00F06D2E">
        <w:rPr>
          <w:noProof/>
        </w:rPr>
        <w:t>'</w:t>
      </w:r>
      <w:r>
        <w:rPr>
          <w:noProof/>
        </w:rPr>
        <w:t>attuazione di tale direttiva.</w:t>
      </w:r>
    </w:p>
    <w:p w14:paraId="1F1D0279" w14:textId="0D024AAE" w:rsidR="00983C03" w:rsidRDefault="00983C03" w:rsidP="00983C03">
      <w:pPr>
        <w:pStyle w:val="CMR-text"/>
        <w:rPr>
          <w:rFonts w:cs="Times New Roman"/>
          <w:noProof/>
        </w:rPr>
      </w:pPr>
      <w:r>
        <w:rPr>
          <w:noProof/>
        </w:rPr>
        <w:t>La direttiva riveduta sull</w:t>
      </w:r>
      <w:r w:rsidR="00F06D2E">
        <w:rPr>
          <w:noProof/>
        </w:rPr>
        <w:t>'</w:t>
      </w:r>
      <w:r>
        <w:rPr>
          <w:noProof/>
        </w:rPr>
        <w:t>efficienza energetica introduce nuove norme per ridurre entro il 2030 il consumo finale di energia a livello dell</w:t>
      </w:r>
      <w:r w:rsidR="00F06D2E">
        <w:rPr>
          <w:noProof/>
        </w:rPr>
        <w:t>'</w:t>
      </w:r>
      <w:r>
        <w:rPr>
          <w:noProof/>
        </w:rPr>
        <w:t>UE dell</w:t>
      </w:r>
      <w:r w:rsidR="00F06D2E">
        <w:rPr>
          <w:noProof/>
        </w:rPr>
        <w:t>'</w:t>
      </w:r>
      <w:r>
        <w:rPr>
          <w:noProof/>
        </w:rPr>
        <w:t>11,7 % rispetto alle proiezioni dello scenario di riferimento UE 2020. Tutti gli Stati membri devono contribuire al conseguimento di detto obiettivo. A</w:t>
      </w:r>
      <w:r w:rsidR="004A32CC">
        <w:rPr>
          <w:noProof/>
        </w:rPr>
        <w:t> </w:t>
      </w:r>
      <w:r>
        <w:rPr>
          <w:noProof/>
        </w:rPr>
        <w:t>tal fine, stabiliscono contributi e traiettorie nazionali indicativi nei rispettivi piani nazionali integrati aggiornati per l</w:t>
      </w:r>
      <w:r w:rsidR="00F06D2E">
        <w:rPr>
          <w:noProof/>
        </w:rPr>
        <w:t>'</w:t>
      </w:r>
      <w:r>
        <w:rPr>
          <w:noProof/>
        </w:rPr>
        <w:t xml:space="preserve">energia e il clima (PNEC) a norma del regolamento sulla governance. Gli Stati membri dovevano presentare le versioni definitive dei loro PNEC aggiornati entro il 30 giugno 2024. </w:t>
      </w:r>
    </w:p>
    <w:p w14:paraId="47E3967C" w14:textId="7A2C301B" w:rsidR="003A41AC" w:rsidRPr="00685D02" w:rsidRDefault="007915CC" w:rsidP="00983C03">
      <w:pPr>
        <w:pStyle w:val="CMR-text"/>
        <w:rPr>
          <w:rFonts w:cs="Times New Roman"/>
          <w:noProof/>
        </w:rPr>
      </w:pPr>
      <w:r>
        <w:rPr>
          <w:noProof/>
        </w:rPr>
        <w:t>Nel maggio 2025 la Commissione ha pubblicato la sua valutazione a livello dell</w:t>
      </w:r>
      <w:r w:rsidR="00F06D2E">
        <w:rPr>
          <w:noProof/>
        </w:rPr>
        <w:t>'</w:t>
      </w:r>
      <w:r>
        <w:rPr>
          <w:noProof/>
        </w:rPr>
        <w:t>UE dei PNEC, a seguito dei relativi aggiornamenti effettuati per tenere conto degli obiettivi per il 2030</w:t>
      </w:r>
      <w:r>
        <w:rPr>
          <w:rStyle w:val="FootnoteReference"/>
          <w:rFonts w:cs="Times New Roman"/>
          <w:noProof/>
        </w:rPr>
        <w:footnoteReference w:id="121"/>
      </w:r>
      <w:r>
        <w:rPr>
          <w:noProof/>
        </w:rPr>
        <w:t>.</w:t>
      </w:r>
      <w:r>
        <w:rPr>
          <w:b/>
          <w:noProof/>
        </w:rPr>
        <w:t xml:space="preserve"> </w:t>
      </w:r>
      <w:r>
        <w:rPr>
          <w:noProof/>
        </w:rPr>
        <w:t>La valutazione è stata accompagnata da un documento di lavoro dei servizi della Commissione che fornisce una valutazione individuale dei primi 23 piani presentati</w:t>
      </w:r>
      <w:r>
        <w:rPr>
          <w:rStyle w:val="FootnoteReference"/>
          <w:rFonts w:cs="Times New Roman"/>
          <w:noProof/>
        </w:rPr>
        <w:footnoteReference w:id="122"/>
      </w:r>
      <w:r>
        <w:rPr>
          <w:noProof/>
        </w:rPr>
        <w:t>. Successivamente la Commissione ha pubblicato la sua valutazione dei PNEC definitivi di Estonia e Slovacchia nell</w:t>
      </w:r>
      <w:r w:rsidR="00F06D2E">
        <w:rPr>
          <w:noProof/>
        </w:rPr>
        <w:t>'</w:t>
      </w:r>
      <w:r>
        <w:rPr>
          <w:noProof/>
        </w:rPr>
        <w:t>ottobre 2025</w:t>
      </w:r>
      <w:r>
        <w:rPr>
          <w:rStyle w:val="FootnoteReference"/>
          <w:rFonts w:cs="Times New Roman"/>
          <w:noProof/>
        </w:rPr>
        <w:footnoteReference w:id="123"/>
      </w:r>
      <w:r>
        <w:rPr>
          <w:noProof/>
        </w:rPr>
        <w:t>. Il Belgio ha presentato la versione definitiva del suo PNEC nell</w:t>
      </w:r>
      <w:r w:rsidR="00F06D2E">
        <w:rPr>
          <w:noProof/>
        </w:rPr>
        <w:t>'</w:t>
      </w:r>
      <w:r>
        <w:rPr>
          <w:noProof/>
        </w:rPr>
        <w:t>ottobre 2025. La Polonia è l</w:t>
      </w:r>
      <w:r w:rsidR="00F06D2E">
        <w:rPr>
          <w:noProof/>
        </w:rPr>
        <w:t>'</w:t>
      </w:r>
      <w:r>
        <w:rPr>
          <w:noProof/>
        </w:rPr>
        <w:t>unico Stato membro che non ha ancora presentato un PNEC definitivo. I risultati dell</w:t>
      </w:r>
      <w:r w:rsidR="00F06D2E">
        <w:rPr>
          <w:noProof/>
        </w:rPr>
        <w:t>'</w:t>
      </w:r>
      <w:r>
        <w:rPr>
          <w:noProof/>
        </w:rPr>
        <w:t>analisi dei PNEC aggiornati sono esaminati anche nella relazione 2025 sui progressi dell</w:t>
      </w:r>
      <w:r w:rsidR="00F06D2E">
        <w:rPr>
          <w:noProof/>
        </w:rPr>
        <w:t>'</w:t>
      </w:r>
      <w:r>
        <w:rPr>
          <w:noProof/>
        </w:rPr>
        <w:t>azione per il clima</w:t>
      </w:r>
      <w:r>
        <w:rPr>
          <w:rStyle w:val="FootnoteReference"/>
          <w:rFonts w:cs="Times New Roman"/>
          <w:noProof/>
          <w:lang w:val="en-IE"/>
        </w:rPr>
        <w:footnoteReference w:id="124"/>
      </w:r>
      <w:r>
        <w:rPr>
          <w:noProof/>
        </w:rPr>
        <w:t xml:space="preserve">. </w:t>
      </w:r>
    </w:p>
    <w:p w14:paraId="36F48E29" w14:textId="58B1B879" w:rsidR="00983C03" w:rsidRPr="00685D02" w:rsidRDefault="00983C03" w:rsidP="00983C03">
      <w:pPr>
        <w:pStyle w:val="CMR-text"/>
        <w:rPr>
          <w:rFonts w:cs="Times New Roman"/>
          <w:noProof/>
        </w:rPr>
      </w:pPr>
      <w:r>
        <w:rPr>
          <w:noProof/>
        </w:rPr>
        <w:t>Il segnale di prezzo del carbonio dato dall</w:t>
      </w:r>
      <w:r w:rsidR="00F06D2E">
        <w:rPr>
          <w:noProof/>
        </w:rPr>
        <w:t>'</w:t>
      </w:r>
      <w:r>
        <w:rPr>
          <w:noProof/>
        </w:rPr>
        <w:t>EU ETS influisce sulla valutazione degli investimenti e delle misure connessi all</w:t>
      </w:r>
      <w:r w:rsidR="00F06D2E">
        <w:rPr>
          <w:noProof/>
        </w:rPr>
        <w:t>'</w:t>
      </w:r>
      <w:r>
        <w:rPr>
          <w:noProof/>
        </w:rPr>
        <w:t>efficienza energetica nei settori interessati. Gli Stati membri utilizzano anche i proventi delle aste dell</w:t>
      </w:r>
      <w:r w:rsidR="00F06D2E">
        <w:rPr>
          <w:noProof/>
        </w:rPr>
        <w:t>'</w:t>
      </w:r>
      <w:r>
        <w:rPr>
          <w:noProof/>
        </w:rPr>
        <w:t>EU ETS per finanziare miglioramenti dell</w:t>
      </w:r>
      <w:r w:rsidR="00F06D2E">
        <w:rPr>
          <w:noProof/>
        </w:rPr>
        <w:t>'</w:t>
      </w:r>
      <w:r>
        <w:rPr>
          <w:noProof/>
        </w:rPr>
        <w:t>efficienza energetica (cfr. capitolo 8). Delle entrate dell</w:t>
      </w:r>
      <w:r w:rsidR="00F06D2E">
        <w:rPr>
          <w:noProof/>
        </w:rPr>
        <w:t>'</w:t>
      </w:r>
      <w:r>
        <w:rPr>
          <w:noProof/>
        </w:rPr>
        <w:t>ETS del 2024, 15 Stati membri hanno comunicato di aver speso 3,3 miliardi di EUR per finanziare 63 progetti relativi all</w:t>
      </w:r>
      <w:r w:rsidR="00F06D2E">
        <w:rPr>
          <w:noProof/>
        </w:rPr>
        <w:t>'</w:t>
      </w:r>
      <w:r>
        <w:rPr>
          <w:noProof/>
        </w:rPr>
        <w:t>efficienza energetica. Tra questi figuravano investimenti nell</w:t>
      </w:r>
      <w:r w:rsidR="00F06D2E">
        <w:rPr>
          <w:noProof/>
        </w:rPr>
        <w:t>'</w:t>
      </w:r>
      <w:r>
        <w:rPr>
          <w:noProof/>
        </w:rPr>
        <w:t>ammodernamento termico di edifici pubblici e privati, nella consulenza in materia di efficienza energetica, nell</w:t>
      </w:r>
      <w:r w:rsidR="00F06D2E">
        <w:rPr>
          <w:noProof/>
        </w:rPr>
        <w:t>'</w:t>
      </w:r>
      <w:r>
        <w:rPr>
          <w:noProof/>
        </w:rPr>
        <w:t>illuminazione pubblica efficiente, in sistemi efficienti di riscaldamento e raffreddamento, compreso il teleriscaldamento, nonché in ricerca e sviluppo, tutti con l</w:t>
      </w:r>
      <w:r w:rsidR="00F06D2E">
        <w:rPr>
          <w:noProof/>
        </w:rPr>
        <w:t>'</w:t>
      </w:r>
      <w:r>
        <w:rPr>
          <w:noProof/>
        </w:rPr>
        <w:t>obiettivo di ridurre il consumo di energia.</w:t>
      </w:r>
    </w:p>
    <w:p w14:paraId="66C3D3F2" w14:textId="5EC6A24A" w:rsidR="0071029D" w:rsidRPr="00EC4FC3" w:rsidRDefault="009055DF" w:rsidP="00EC4FC3">
      <w:pPr>
        <w:pStyle w:val="CMR-Heading"/>
        <w:rPr>
          <w:noProof/>
        </w:rPr>
      </w:pPr>
      <w:r>
        <w:rPr>
          <w:noProof/>
        </w:rPr>
        <w:t xml:space="preserve"> </w:t>
      </w:r>
      <w:bookmarkStart w:id="99" w:name="_Toc180513417"/>
      <w:bookmarkStart w:id="100" w:name="_Toc218937056"/>
      <w:r>
        <w:rPr>
          <w:noProof/>
        </w:rPr>
        <w:t>Collegamento tra l</w:t>
      </w:r>
      <w:r w:rsidR="00F06D2E">
        <w:rPr>
          <w:noProof/>
        </w:rPr>
        <w:t>'</w:t>
      </w:r>
      <w:r>
        <w:rPr>
          <w:noProof/>
        </w:rPr>
        <w:t>EU ETS e l</w:t>
      </w:r>
      <w:r w:rsidR="00F06D2E">
        <w:rPr>
          <w:noProof/>
        </w:rPr>
        <w:t>'</w:t>
      </w:r>
      <w:r>
        <w:rPr>
          <w:noProof/>
        </w:rPr>
        <w:t>ETS svizzero</w:t>
      </w:r>
      <w:bookmarkEnd w:id="99"/>
      <w:bookmarkEnd w:id="100"/>
    </w:p>
    <w:p w14:paraId="1FA6DAF0" w14:textId="549FFC75" w:rsidR="00C85430" w:rsidRPr="00685D02" w:rsidRDefault="38F0252D" w:rsidP="00C85430">
      <w:pPr>
        <w:pStyle w:val="CMR-text"/>
        <w:rPr>
          <w:rFonts w:cs="Times New Roman"/>
          <w:noProof/>
        </w:rPr>
      </w:pPr>
      <w:r>
        <w:rPr>
          <w:noProof/>
        </w:rPr>
        <w:t>Dal 2020 l</w:t>
      </w:r>
      <w:r w:rsidR="00F06D2E">
        <w:rPr>
          <w:noProof/>
        </w:rPr>
        <w:t>'</w:t>
      </w:r>
      <w:r>
        <w:rPr>
          <w:noProof/>
        </w:rPr>
        <w:t>EU ETS e l</w:t>
      </w:r>
      <w:r w:rsidR="00F06D2E">
        <w:rPr>
          <w:noProof/>
        </w:rPr>
        <w:t>'</w:t>
      </w:r>
      <w:r>
        <w:rPr>
          <w:noProof/>
        </w:rPr>
        <w:t>ETS svizzero sono collegati tramite un accordo internazionale tra l</w:t>
      </w:r>
      <w:r w:rsidR="00F06D2E">
        <w:rPr>
          <w:noProof/>
        </w:rPr>
        <w:t>'</w:t>
      </w:r>
      <w:r>
        <w:rPr>
          <w:noProof/>
        </w:rPr>
        <w:t>UE e la Confederazione svizzera. Ciò significa che le quote di emissioni rilasciate in un sistema possono essere restituite per le emissioni generate in qualsiasi dei due sistemi. Con l</w:t>
      </w:r>
      <w:r w:rsidR="00F06D2E">
        <w:rPr>
          <w:noProof/>
        </w:rPr>
        <w:t>'</w:t>
      </w:r>
      <w:r>
        <w:rPr>
          <w:noProof/>
        </w:rPr>
        <w:t>accesso a un mercato più ampio, gli operatori possono ottenere vantaggi in termini di efficienza dei costi e avere più opzioni per la riduzione delle emissioni. L</w:t>
      </w:r>
      <w:r w:rsidR="00F06D2E">
        <w:rPr>
          <w:noProof/>
        </w:rPr>
        <w:t>'</w:t>
      </w:r>
      <w:r>
        <w:rPr>
          <w:noProof/>
        </w:rPr>
        <w:t>accordo di collegamento</w:t>
      </w:r>
      <w:r>
        <w:rPr>
          <w:rFonts w:cs="Times New Roman"/>
          <w:noProof/>
          <w:vertAlign w:val="superscript"/>
          <w:lang w:val="en-IE"/>
        </w:rPr>
        <w:footnoteReference w:id="125"/>
      </w:r>
      <w:r>
        <w:rPr>
          <w:noProof/>
        </w:rPr>
        <w:t xml:space="preserve"> definisce le condizioni e i requisiti in base ai quali i due sistemi sono collegati e istituisce un meccanismo per garantire il rispetto delle condizioni di collegamento di cui all</w:t>
      </w:r>
      <w:r w:rsidR="00F06D2E">
        <w:rPr>
          <w:noProof/>
        </w:rPr>
        <w:t>'</w:t>
      </w:r>
      <w:r>
        <w:rPr>
          <w:noProof/>
        </w:rPr>
        <w:t xml:space="preserve">articolo 25 della direttiva ETS. </w:t>
      </w:r>
    </w:p>
    <w:p w14:paraId="02BA900F" w14:textId="19456D31" w:rsidR="00E57CBF" w:rsidRPr="00685D02" w:rsidRDefault="00692815" w:rsidP="004E370C">
      <w:pPr>
        <w:pStyle w:val="CMR-text"/>
        <w:rPr>
          <w:rFonts w:cs="Times New Roman"/>
          <w:noProof/>
        </w:rPr>
      </w:pPr>
      <w:r>
        <w:rPr>
          <w:noProof/>
        </w:rPr>
        <w:t>L</w:t>
      </w:r>
      <w:r w:rsidR="00F06D2E">
        <w:rPr>
          <w:noProof/>
        </w:rPr>
        <w:t>'</w:t>
      </w:r>
      <w:r>
        <w:rPr>
          <w:noProof/>
        </w:rPr>
        <w:t>inclusione del trasporto aereo nell</w:t>
      </w:r>
      <w:r w:rsidR="00F06D2E">
        <w:rPr>
          <w:noProof/>
        </w:rPr>
        <w:t>'</w:t>
      </w:r>
      <w:r>
        <w:rPr>
          <w:noProof/>
        </w:rPr>
        <w:t>accordo di collegamento era un requisito fondamentale per l</w:t>
      </w:r>
      <w:r w:rsidR="00F06D2E">
        <w:rPr>
          <w:noProof/>
        </w:rPr>
        <w:t>'</w:t>
      </w:r>
      <w:r>
        <w:rPr>
          <w:noProof/>
        </w:rPr>
        <w:t>UE. A</w:t>
      </w:r>
      <w:r w:rsidR="004A32CC">
        <w:rPr>
          <w:noProof/>
        </w:rPr>
        <w:t> </w:t>
      </w:r>
      <w:r>
        <w:rPr>
          <w:noProof/>
        </w:rPr>
        <w:t>norma dell</w:t>
      </w:r>
      <w:r w:rsidR="00F06D2E">
        <w:rPr>
          <w:noProof/>
        </w:rPr>
        <w:t>'</w:t>
      </w:r>
      <w:r>
        <w:rPr>
          <w:noProof/>
        </w:rPr>
        <w:t>articolo 6 dell</w:t>
      </w:r>
      <w:r w:rsidR="00F06D2E">
        <w:rPr>
          <w:noProof/>
        </w:rPr>
        <w:t>'</w:t>
      </w:r>
      <w:r>
        <w:rPr>
          <w:noProof/>
        </w:rPr>
        <w:t>accordo, la Svizzera applica alle norme in materia di copertura geografica, limiti e assegnazione lo stesso approccio dell</w:t>
      </w:r>
      <w:r w:rsidR="00F06D2E">
        <w:rPr>
          <w:noProof/>
        </w:rPr>
        <w:t>'</w:t>
      </w:r>
      <w:r>
        <w:rPr>
          <w:noProof/>
        </w:rPr>
        <w:t>EU ETS. In linea con l</w:t>
      </w:r>
      <w:r w:rsidR="00F06D2E">
        <w:rPr>
          <w:noProof/>
        </w:rPr>
        <w:t>'</w:t>
      </w:r>
      <w:r>
        <w:rPr>
          <w:noProof/>
        </w:rPr>
        <w:t>articolo 7 dell</w:t>
      </w:r>
      <w:r w:rsidR="00F06D2E">
        <w:rPr>
          <w:noProof/>
        </w:rPr>
        <w:t>'</w:t>
      </w:r>
      <w:r>
        <w:rPr>
          <w:noProof/>
        </w:rPr>
        <w:t xml:space="preserve">accordo, tale approccio prosegue in seguito alla revisione della direttiva ETS. </w:t>
      </w:r>
    </w:p>
    <w:p w14:paraId="08E0BC03" w14:textId="74D8FE01" w:rsidR="00692815" w:rsidRPr="00685D02" w:rsidRDefault="00692815" w:rsidP="004E370C">
      <w:pPr>
        <w:pStyle w:val="CMR-text"/>
        <w:rPr>
          <w:rFonts w:cs="Times New Roman"/>
          <w:noProof/>
        </w:rPr>
      </w:pPr>
      <w:r>
        <w:rPr>
          <w:noProof/>
        </w:rPr>
        <w:t>I voli interni svizzeri e i voli in partenza verso aeroporti del SEE rientrano nell</w:t>
      </w:r>
      <w:r w:rsidR="00F06D2E">
        <w:rPr>
          <w:noProof/>
        </w:rPr>
        <w:t>'</w:t>
      </w:r>
      <w:r>
        <w:rPr>
          <w:noProof/>
        </w:rPr>
        <w:t>ETS svizzero, mentre i voli in partenza dal SEE verso la Svizzera rientrano nell</w:t>
      </w:r>
      <w:r w:rsidR="00F06D2E">
        <w:rPr>
          <w:noProof/>
        </w:rPr>
        <w:t>'</w:t>
      </w:r>
      <w:r>
        <w:rPr>
          <w:noProof/>
        </w:rPr>
        <w:t>EU ETS. L</w:t>
      </w:r>
      <w:r w:rsidR="00F06D2E">
        <w:rPr>
          <w:noProof/>
        </w:rPr>
        <w:t>'</w:t>
      </w:r>
      <w:r>
        <w:rPr>
          <w:noProof/>
        </w:rPr>
        <w:t>accordo mantiene l</w:t>
      </w:r>
      <w:r w:rsidR="00F06D2E">
        <w:rPr>
          <w:noProof/>
        </w:rPr>
        <w:t>'</w:t>
      </w:r>
      <w:r>
        <w:rPr>
          <w:noProof/>
        </w:rPr>
        <w:t>integrità ambientale di entrambi i sistemi. Tanto l</w:t>
      </w:r>
      <w:r w:rsidR="00F06D2E">
        <w:rPr>
          <w:noProof/>
        </w:rPr>
        <w:t>'</w:t>
      </w:r>
      <w:r>
        <w:rPr>
          <w:noProof/>
        </w:rPr>
        <w:t>EU ETS quanto l</w:t>
      </w:r>
      <w:r w:rsidR="00F06D2E">
        <w:rPr>
          <w:noProof/>
        </w:rPr>
        <w:t>'</w:t>
      </w:r>
      <w:r>
        <w:rPr>
          <w:noProof/>
        </w:rPr>
        <w:t>ETS svizzero si applicano ai rispettivi voli in partenza verso il Regno Unito e ai voli da/verso le regioni ultraperiferiche dell</w:t>
      </w:r>
      <w:r w:rsidR="00F06D2E">
        <w:rPr>
          <w:noProof/>
        </w:rPr>
        <w:t>'</w:t>
      </w:r>
      <w:r>
        <w:rPr>
          <w:noProof/>
        </w:rPr>
        <w:t>UE.</w:t>
      </w:r>
    </w:p>
    <w:p w14:paraId="1C52AC22" w14:textId="4D56AD32" w:rsidR="004E370C" w:rsidRPr="00685D02" w:rsidRDefault="00C85430" w:rsidP="004E370C">
      <w:pPr>
        <w:pStyle w:val="CMR-text"/>
        <w:rPr>
          <w:rFonts w:cs="Times New Roman"/>
          <w:noProof/>
          <w:highlight w:val="lightGray"/>
        </w:rPr>
      </w:pPr>
      <w:r>
        <w:rPr>
          <w:noProof/>
        </w:rPr>
        <w:t>La sezione 5, tabelle 16 e 17, del documento di lavoro dei servizi che accompagna la presente relazione mostra i dati chiave per entrambi i sistemi nel 2024, ossia le quote messe all</w:t>
      </w:r>
      <w:r w:rsidR="00F06D2E">
        <w:rPr>
          <w:noProof/>
        </w:rPr>
        <w:t>'</w:t>
      </w:r>
      <w:r>
        <w:rPr>
          <w:noProof/>
        </w:rPr>
        <w:t>asta, l</w:t>
      </w:r>
      <w:r w:rsidR="00F06D2E">
        <w:rPr>
          <w:noProof/>
        </w:rPr>
        <w:t>'</w:t>
      </w:r>
      <w:r>
        <w:rPr>
          <w:noProof/>
        </w:rPr>
        <w:t>assegnazione gratuita e le emissioni verificate per gli impianti e per gli operatori aerei. Il confronto dimostra che la compatibilità dei due sistemi non dipende dalle loro dimensioni, ma da requisiti qualitativi, da condizioni di parità e da misure per preservare l</w:t>
      </w:r>
      <w:r w:rsidR="00F06D2E">
        <w:rPr>
          <w:noProof/>
        </w:rPr>
        <w:t>'</w:t>
      </w:r>
      <w:r>
        <w:rPr>
          <w:noProof/>
        </w:rPr>
        <w:t xml:space="preserve">integrità del mercato. </w:t>
      </w:r>
    </w:p>
    <w:p w14:paraId="6192AA99" w14:textId="2FF5D106" w:rsidR="004E370C" w:rsidRPr="00685D02" w:rsidRDefault="57B434C1" w:rsidP="34CB6D00">
      <w:pPr>
        <w:pStyle w:val="CMR-text"/>
        <w:rPr>
          <w:rFonts w:cs="Times New Roman"/>
          <w:noProof/>
        </w:rPr>
      </w:pPr>
      <w:r>
        <w:rPr>
          <w:noProof/>
        </w:rPr>
        <w:t>In linea con l</w:t>
      </w:r>
      <w:r w:rsidR="00F06D2E">
        <w:rPr>
          <w:noProof/>
        </w:rPr>
        <w:t>'</w:t>
      </w:r>
      <w:r>
        <w:rPr>
          <w:noProof/>
        </w:rPr>
        <w:t>accordo di collegamento, è stato creato un collegamento diretto tra i registri di entrambi i sistemi per consentire i trasferimenti delle quote di emissioni tra i due sistemi. Dal 2024 il numero di trasferimenti tra i due sistemi, vale a dire l</w:t>
      </w:r>
      <w:r w:rsidR="00F06D2E">
        <w:rPr>
          <w:noProof/>
        </w:rPr>
        <w:t>'</w:t>
      </w:r>
      <w:r>
        <w:rPr>
          <w:noProof/>
        </w:rPr>
        <w:t>esecuzione giornaliera delle operazioni, è aumentato notevolmente da 156 nel 2023 a quasi 800 nel 2024, consentendo ai partecipanti al mercato della Svizzera e dell</w:t>
      </w:r>
      <w:r w:rsidR="00F06D2E">
        <w:rPr>
          <w:noProof/>
        </w:rPr>
        <w:t>'</w:t>
      </w:r>
      <w:r>
        <w:rPr>
          <w:noProof/>
        </w:rPr>
        <w:t>UE di agire come se si trovassero in un mercato unico e migliorando così la liquidità nel mercato collegato. I trasferimenti tra sistemi (registri) sono effettuati quotidianamente, dal lunedì al venerdì, ad eccezione di date specifiche legate ai giorni festivi.</w:t>
      </w:r>
    </w:p>
    <w:p w14:paraId="28EC78E5" w14:textId="5978C947" w:rsidR="00F44BF8" w:rsidRPr="00685D02" w:rsidRDefault="00F44BF8" w:rsidP="004E370C">
      <w:pPr>
        <w:pStyle w:val="CMR-text"/>
        <w:rPr>
          <w:rFonts w:cs="Times New Roman"/>
          <w:noProof/>
        </w:rPr>
      </w:pPr>
      <w:r>
        <w:rPr>
          <w:noProof/>
        </w:rPr>
        <w:t>Le tabelle 8 e 9 illustrano gli effetti del collegamento tra l</w:t>
      </w:r>
      <w:r w:rsidR="00F06D2E">
        <w:rPr>
          <w:noProof/>
        </w:rPr>
        <w:t>'</w:t>
      </w:r>
      <w:r>
        <w:rPr>
          <w:noProof/>
        </w:rPr>
        <w:t>EU ETS e l</w:t>
      </w:r>
      <w:r w:rsidR="00F06D2E">
        <w:rPr>
          <w:noProof/>
        </w:rPr>
        <w:t>'</w:t>
      </w:r>
      <w:r>
        <w:rPr>
          <w:noProof/>
        </w:rPr>
        <w:t>ETS svizzero nel 2024 e mostrano in che misura le imprese nell</w:t>
      </w:r>
      <w:r w:rsidR="00F06D2E">
        <w:rPr>
          <w:noProof/>
        </w:rPr>
        <w:t>'</w:t>
      </w:r>
      <w:r>
        <w:rPr>
          <w:noProof/>
        </w:rPr>
        <w:t>ambito di un sistema hanno utilizzato le quote di emissioni rilasciate nell</w:t>
      </w:r>
      <w:r w:rsidR="00F06D2E">
        <w:rPr>
          <w:noProof/>
        </w:rPr>
        <w:t>'</w:t>
      </w:r>
      <w:r>
        <w:rPr>
          <w:noProof/>
        </w:rPr>
        <w:t xml:space="preserve">altro sistema ai fini della conformità. </w:t>
      </w:r>
    </w:p>
    <w:p w14:paraId="088DBDF8" w14:textId="2526807C" w:rsidR="006C05A9" w:rsidRPr="00685D02" w:rsidRDefault="1005F31A" w:rsidP="006C05A9">
      <w:pPr>
        <w:pStyle w:val="CMR-text"/>
        <w:rPr>
          <w:rFonts w:cs="Times New Roman"/>
          <w:noProof/>
        </w:rPr>
      </w:pPr>
      <w:r>
        <w:rPr>
          <w:noProof/>
        </w:rPr>
        <w:t>In totale, i soggetti regolamentati che rientrano nell</w:t>
      </w:r>
      <w:r w:rsidR="00F06D2E">
        <w:rPr>
          <w:noProof/>
        </w:rPr>
        <w:t>'</w:t>
      </w:r>
      <w:r>
        <w:rPr>
          <w:noProof/>
        </w:rPr>
        <w:t>EU ETS (sia impianti che operatori aerei) hanno utilizzato 1 578 101 quote di emissioni rilasciate nell</w:t>
      </w:r>
      <w:r w:rsidR="00F06D2E">
        <w:rPr>
          <w:noProof/>
        </w:rPr>
        <w:t>'</w:t>
      </w:r>
      <w:r>
        <w:rPr>
          <w:noProof/>
        </w:rPr>
        <w:t>ambito dell</w:t>
      </w:r>
      <w:r w:rsidR="00F06D2E">
        <w:rPr>
          <w:noProof/>
        </w:rPr>
        <w:t>'</w:t>
      </w:r>
      <w:r>
        <w:rPr>
          <w:noProof/>
        </w:rPr>
        <w:t>ETS svizzero a fini di conformità nel 2024. Si tratta di quasi 440 000 quote di emissioni in più rispetto al 2023 e di quasi 605 000 quote di emissioni in più rispetto al 2022, dati che sono indicativi di un maggiore ricorso alla flessibilità offerta dal legame tra l</w:t>
      </w:r>
      <w:r w:rsidR="00F06D2E">
        <w:rPr>
          <w:noProof/>
        </w:rPr>
        <w:t>'</w:t>
      </w:r>
      <w:r>
        <w:rPr>
          <w:noProof/>
        </w:rPr>
        <w:t>EU ETS e l</w:t>
      </w:r>
      <w:r w:rsidR="00F06D2E">
        <w:rPr>
          <w:noProof/>
        </w:rPr>
        <w:t>'</w:t>
      </w:r>
      <w:r>
        <w:rPr>
          <w:noProof/>
        </w:rPr>
        <w:t>ETS svizzero e di una consapevolezza e accettazione in costante aumento del collegamento.</w:t>
      </w:r>
    </w:p>
    <w:p w14:paraId="40BD7E7A" w14:textId="58EB7338" w:rsidR="006C05A9" w:rsidRPr="00685D02" w:rsidRDefault="28C1A5A5" w:rsidP="006C05A9">
      <w:pPr>
        <w:pStyle w:val="CMR-text"/>
        <w:rPr>
          <w:rFonts w:cs="Times New Roman"/>
          <w:noProof/>
        </w:rPr>
      </w:pPr>
      <w:r>
        <w:rPr>
          <w:noProof/>
        </w:rPr>
        <w:t>Gli impianti contemplati nell</w:t>
      </w:r>
      <w:r w:rsidR="00F06D2E">
        <w:rPr>
          <w:noProof/>
        </w:rPr>
        <w:t>'</w:t>
      </w:r>
      <w:r>
        <w:rPr>
          <w:noProof/>
        </w:rPr>
        <w:t>EU ETS hanno utilizzato un numero notevolmente maggiore di quote di emissioni del trasporto aereo rilasciate nell</w:t>
      </w:r>
      <w:r w:rsidR="00F06D2E">
        <w:rPr>
          <w:noProof/>
        </w:rPr>
        <w:t>'</w:t>
      </w:r>
      <w:r>
        <w:rPr>
          <w:noProof/>
        </w:rPr>
        <w:t>ambito dell</w:t>
      </w:r>
      <w:r w:rsidR="00F06D2E">
        <w:rPr>
          <w:noProof/>
        </w:rPr>
        <w:t>'</w:t>
      </w:r>
      <w:r>
        <w:rPr>
          <w:noProof/>
        </w:rPr>
        <w:t>ETS svizzero rispetto all</w:t>
      </w:r>
      <w:r w:rsidR="00F06D2E">
        <w:rPr>
          <w:noProof/>
        </w:rPr>
        <w:t>'</w:t>
      </w:r>
      <w:r>
        <w:rPr>
          <w:noProof/>
        </w:rPr>
        <w:t>anno precedente (circa</w:t>
      </w:r>
      <w:r w:rsidR="004A32CC">
        <w:rPr>
          <w:noProof/>
        </w:rPr>
        <w:t> </w:t>
      </w:r>
      <w:r>
        <w:rPr>
          <w:noProof/>
        </w:rPr>
        <w:t>355 000 nel 2024 rispetto a 100 000 nel 2023). Hanno inoltre utilizzato maggiormente le quote di emissioni generali dell</w:t>
      </w:r>
      <w:r w:rsidR="00F06D2E">
        <w:rPr>
          <w:noProof/>
        </w:rPr>
        <w:t>'</w:t>
      </w:r>
      <w:r>
        <w:rPr>
          <w:noProof/>
        </w:rPr>
        <w:t>ETS svizzero (circa 700 000 nel 2024 rispetto alle 425 000 del 2023).</w:t>
      </w:r>
    </w:p>
    <w:p w14:paraId="7D54A0FC" w14:textId="0DB4CBDE" w:rsidR="000C6517" w:rsidRPr="00685D02" w:rsidRDefault="1005F31A" w:rsidP="006C05A9">
      <w:pPr>
        <w:pStyle w:val="CMR-text"/>
        <w:rPr>
          <w:rFonts w:cs="Times New Roman"/>
          <w:noProof/>
        </w:rPr>
      </w:pPr>
      <w:r>
        <w:rPr>
          <w:noProof/>
        </w:rPr>
        <w:t>Il numero di quote di emissioni generali dell</w:t>
      </w:r>
      <w:r w:rsidR="00F06D2E">
        <w:rPr>
          <w:noProof/>
        </w:rPr>
        <w:t>'</w:t>
      </w:r>
      <w:r>
        <w:rPr>
          <w:noProof/>
        </w:rPr>
        <w:t>ETS svizzero utilizzate a fini di conformità dagli operatori aerei dell</w:t>
      </w:r>
      <w:r w:rsidR="00F06D2E">
        <w:rPr>
          <w:noProof/>
        </w:rPr>
        <w:t>'</w:t>
      </w:r>
      <w:r>
        <w:rPr>
          <w:noProof/>
        </w:rPr>
        <w:t>UE nel 2024 è rimasto stabile, attestandosi a circa 49 000 (rispetto alle 50 000 del 2023). Il</w:t>
      </w:r>
      <w:r w:rsidR="004A32CC">
        <w:rPr>
          <w:noProof/>
        </w:rPr>
        <w:t> </w:t>
      </w:r>
      <w:r>
        <w:rPr>
          <w:noProof/>
        </w:rPr>
        <w:t>numero di quote di emissioni del trasporto aereo dell</w:t>
      </w:r>
      <w:r w:rsidR="00F06D2E">
        <w:rPr>
          <w:noProof/>
        </w:rPr>
        <w:t>'</w:t>
      </w:r>
      <w:r>
        <w:rPr>
          <w:noProof/>
        </w:rPr>
        <w:t>ETS svizzero utilizzate a fini di conformità dagli operatori aerei che rientrano nell</w:t>
      </w:r>
      <w:r w:rsidR="00F06D2E">
        <w:rPr>
          <w:noProof/>
        </w:rPr>
        <w:t>'</w:t>
      </w:r>
      <w:r>
        <w:rPr>
          <w:noProof/>
        </w:rPr>
        <w:t xml:space="preserve">EU ETS è diminuito da circa 560 000 nel 2023 a circa 470 000 nel 2024. </w:t>
      </w:r>
    </w:p>
    <w:p w14:paraId="40A9EEAE" w14:textId="3B269348" w:rsidR="006C05A9" w:rsidRPr="00685D02" w:rsidRDefault="3B586611" w:rsidP="006C05A9">
      <w:pPr>
        <w:pStyle w:val="CMR-text"/>
        <w:rPr>
          <w:rFonts w:cs="Times New Roman"/>
          <w:noProof/>
        </w:rPr>
      </w:pPr>
      <w:r>
        <w:rPr>
          <w:noProof/>
        </w:rPr>
        <w:t>In termini relativi le quote di emissioni rilasciate nell</w:t>
      </w:r>
      <w:r w:rsidR="00F06D2E">
        <w:rPr>
          <w:noProof/>
        </w:rPr>
        <w:t>'</w:t>
      </w:r>
      <w:r>
        <w:rPr>
          <w:noProof/>
        </w:rPr>
        <w:t>ambito dell</w:t>
      </w:r>
      <w:r w:rsidR="00F06D2E">
        <w:rPr>
          <w:noProof/>
        </w:rPr>
        <w:t>'</w:t>
      </w:r>
      <w:r>
        <w:rPr>
          <w:noProof/>
        </w:rPr>
        <w:t>ETS svizzero rappresentavano circa lo 0,14 % del totale di quote restituite nell</w:t>
      </w:r>
      <w:r w:rsidR="00F06D2E">
        <w:rPr>
          <w:noProof/>
        </w:rPr>
        <w:t>'</w:t>
      </w:r>
      <w:r>
        <w:rPr>
          <w:noProof/>
        </w:rPr>
        <w:t>ambito dell</w:t>
      </w:r>
      <w:r w:rsidR="00F06D2E">
        <w:rPr>
          <w:noProof/>
        </w:rPr>
        <w:t>'</w:t>
      </w:r>
      <w:r>
        <w:rPr>
          <w:noProof/>
        </w:rPr>
        <w:t>EU ETS nel 2024. Si trattava però di una percentuale maggiore, pari al 31,5 %, di tutte le quote di emissioni dell</w:t>
      </w:r>
      <w:r w:rsidR="00F06D2E">
        <w:rPr>
          <w:noProof/>
        </w:rPr>
        <w:t>'</w:t>
      </w:r>
      <w:r>
        <w:rPr>
          <w:noProof/>
        </w:rPr>
        <w:t>ETS svizzero nello stesso anno.</w:t>
      </w:r>
    </w:p>
    <w:p w14:paraId="164896FA" w14:textId="6A4AFF3C" w:rsidR="002F65A3" w:rsidRDefault="006C05A9" w:rsidP="50E9F988">
      <w:pPr>
        <w:pStyle w:val="CMR-text"/>
        <w:rPr>
          <w:rFonts w:cs="Times New Roman"/>
          <w:noProof/>
        </w:rPr>
      </w:pPr>
      <w:r>
        <w:rPr>
          <w:noProof/>
        </w:rPr>
        <w:t>Nell</w:t>
      </w:r>
      <w:r w:rsidR="00F06D2E">
        <w:rPr>
          <w:noProof/>
        </w:rPr>
        <w:t>'</w:t>
      </w:r>
      <w:r>
        <w:rPr>
          <w:noProof/>
        </w:rPr>
        <w:t>ambito dell</w:t>
      </w:r>
      <w:r w:rsidR="00F06D2E">
        <w:rPr>
          <w:noProof/>
        </w:rPr>
        <w:t>'</w:t>
      </w:r>
      <w:r>
        <w:rPr>
          <w:noProof/>
        </w:rPr>
        <w:t>ETS svizzero, nel 2024 la percentuale di quote di emissioni dell</w:t>
      </w:r>
      <w:r w:rsidR="00F06D2E">
        <w:rPr>
          <w:noProof/>
        </w:rPr>
        <w:t>'</w:t>
      </w:r>
      <w:r>
        <w:rPr>
          <w:noProof/>
        </w:rPr>
        <w:t>UE ETS utilizzate dagli operatori aerei è stata notevolmente maggiore (79,6 %) rispetto al 2023 (51,08 %). Dall</w:t>
      </w:r>
      <w:r w:rsidR="00F06D2E">
        <w:rPr>
          <w:noProof/>
        </w:rPr>
        <w:t>'</w:t>
      </w:r>
      <w:r>
        <w:rPr>
          <w:noProof/>
        </w:rPr>
        <w:t>altro lato nel 2024 gli impianti hanno utilizzato a fini di conformità una percentuale inferiore di quote di emissioni dell</w:t>
      </w:r>
      <w:r w:rsidR="00F06D2E">
        <w:rPr>
          <w:noProof/>
        </w:rPr>
        <w:t>'</w:t>
      </w:r>
      <w:r>
        <w:rPr>
          <w:noProof/>
        </w:rPr>
        <w:t>EU ETS (5,19 %) rispetto al 2023 (11,6 %). In entrambi gli anni gli impianti soggetti all</w:t>
      </w:r>
      <w:r w:rsidR="00F06D2E">
        <w:rPr>
          <w:noProof/>
        </w:rPr>
        <w:t>'</w:t>
      </w:r>
      <w:r>
        <w:rPr>
          <w:noProof/>
        </w:rPr>
        <w:t>ETS svizzero non hanno utilizzato le quote di emissioni del trasporto aereo dell</w:t>
      </w:r>
      <w:r w:rsidR="00F06D2E">
        <w:rPr>
          <w:noProof/>
        </w:rPr>
        <w:t>'</w:t>
      </w:r>
      <w:r>
        <w:rPr>
          <w:noProof/>
        </w:rPr>
        <w:t>EU ETS ai fini della conformità. In termini relativi, le quote di emissioni dell</w:t>
      </w:r>
      <w:r w:rsidR="00F06D2E">
        <w:rPr>
          <w:noProof/>
        </w:rPr>
        <w:t>'</w:t>
      </w:r>
      <w:r>
        <w:rPr>
          <w:noProof/>
        </w:rPr>
        <w:t>EU ETS costituivano il 31,37 % di tutte le quote restituite nell</w:t>
      </w:r>
      <w:r w:rsidR="00F06D2E">
        <w:rPr>
          <w:noProof/>
        </w:rPr>
        <w:t>'</w:t>
      </w:r>
      <w:r>
        <w:rPr>
          <w:noProof/>
        </w:rPr>
        <w:t>ambito dell</w:t>
      </w:r>
      <w:r w:rsidR="00F06D2E">
        <w:rPr>
          <w:noProof/>
        </w:rPr>
        <w:t>'</w:t>
      </w:r>
      <w:r>
        <w:rPr>
          <w:noProof/>
        </w:rPr>
        <w:t>ETS svizzero.</w:t>
      </w:r>
      <w:bookmarkStart w:id="101" w:name="_Ref179899508"/>
      <w:bookmarkStart w:id="102" w:name="_Ref179899493"/>
      <w:r>
        <w:rPr>
          <w:noProof/>
        </w:rPr>
        <w:t xml:space="preserve"> </w:t>
      </w:r>
    </w:p>
    <w:p w14:paraId="1F3D5855" w14:textId="75CFA616" w:rsidR="001F1040" w:rsidRPr="00685D02" w:rsidRDefault="71666FD0" w:rsidP="50E9F988">
      <w:pPr>
        <w:pStyle w:val="CMR-text"/>
        <w:rPr>
          <w:rFonts w:cs="Times New Roman"/>
          <w:noProof/>
        </w:rPr>
      </w:pPr>
      <w:r>
        <w:rPr>
          <w:noProof/>
        </w:rPr>
        <w:t>La tabella 10 aggrega il volume di quote di emissioni (generali e del trasporto aereo) trasferite per conto dei partecipanti al mercato tra l</w:t>
      </w:r>
      <w:r w:rsidR="00F06D2E">
        <w:rPr>
          <w:noProof/>
        </w:rPr>
        <w:t>'</w:t>
      </w:r>
      <w:r>
        <w:rPr>
          <w:noProof/>
        </w:rPr>
        <w:t>EU ETS e l</w:t>
      </w:r>
      <w:r w:rsidR="00F06D2E">
        <w:rPr>
          <w:noProof/>
        </w:rPr>
        <w:t>'</w:t>
      </w:r>
      <w:r>
        <w:rPr>
          <w:noProof/>
        </w:rPr>
        <w:t>ETS svizzero dal 2020. Il saldo storico mostra un deflusso netto di 1 284 657 quote di emissioni dall</w:t>
      </w:r>
      <w:r w:rsidR="00F06D2E">
        <w:rPr>
          <w:noProof/>
        </w:rPr>
        <w:t>'</w:t>
      </w:r>
      <w:r>
        <w:rPr>
          <w:noProof/>
        </w:rPr>
        <w:t>EU ETS all</w:t>
      </w:r>
      <w:r w:rsidR="00F06D2E">
        <w:rPr>
          <w:noProof/>
        </w:rPr>
        <w:t>'</w:t>
      </w:r>
      <w:r>
        <w:rPr>
          <w:noProof/>
        </w:rPr>
        <w:t>ETS svizzero. È tuttavia opportuno osservare che le cifre possono comprendere ritrasferimenti di tali quote di emissioni.</w:t>
      </w:r>
    </w:p>
    <w:p w14:paraId="53A299E3" w14:textId="77777777" w:rsidR="00B2767E" w:rsidRPr="0038309D" w:rsidRDefault="00B2767E" w:rsidP="50E9F988">
      <w:pPr>
        <w:pStyle w:val="Caption"/>
        <w:keepNext/>
        <w:rPr>
          <w:noProof/>
          <w:szCs w:val="22"/>
          <w:highlight w:val="red"/>
        </w:rPr>
        <w:sectPr w:rsidR="00B2767E" w:rsidRPr="0038309D">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pPr>
    </w:p>
    <w:p w14:paraId="6EF6EB3F" w14:textId="5464067C" w:rsidR="00422712" w:rsidRPr="00EB1066" w:rsidRDefault="00422712" w:rsidP="00422712">
      <w:pPr>
        <w:pStyle w:val="Caption"/>
        <w:keepNext/>
        <w:rPr>
          <w:noProof/>
          <w:sz w:val="20"/>
        </w:rPr>
      </w:pPr>
      <w:r>
        <w:rPr>
          <w:noProof/>
          <w:sz w:val="20"/>
        </w:rPr>
        <w:t xml:space="preserve">Tabella </w:t>
      </w:r>
      <w:bookmarkEnd w:id="101"/>
      <w:r>
        <w:rPr>
          <w:noProof/>
          <w:sz w:val="20"/>
        </w:rPr>
        <w:t>8. Unità utilizzate a fini di conformità nel registro dell</w:t>
      </w:r>
      <w:r w:rsidR="00F06D2E">
        <w:rPr>
          <w:noProof/>
          <w:sz w:val="20"/>
        </w:rPr>
        <w:t>'</w:t>
      </w:r>
      <w:r>
        <w:rPr>
          <w:noProof/>
          <w:sz w:val="20"/>
        </w:rPr>
        <w:t>Unione nel 2024.</w:t>
      </w:r>
      <w:bookmarkEnd w:id="102"/>
      <w:r>
        <w:rPr>
          <w:noProof/>
          <w:sz w:val="20"/>
        </w:rPr>
        <w:t xml:space="preserve"> Dati estratti dal registro dell</w:t>
      </w:r>
      <w:r w:rsidR="00F06D2E">
        <w:rPr>
          <w:noProof/>
          <w:sz w:val="20"/>
        </w:rPr>
        <w:t>'</w:t>
      </w:r>
      <w:r>
        <w:rPr>
          <w:noProof/>
          <w:sz w:val="20"/>
        </w:rPr>
        <w:t>Unione il 1</w:t>
      </w:r>
      <w:r>
        <w:rPr>
          <w:noProof/>
          <w:sz w:val="20"/>
          <w:vertAlign w:val="superscript"/>
        </w:rPr>
        <w:t>o</w:t>
      </w:r>
      <w:r>
        <w:rPr>
          <w:noProof/>
          <w:sz w:val="20"/>
        </w:rPr>
        <w:t xml:space="preserve"> ottobre 2025</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119"/>
        <w:gridCol w:w="2561"/>
        <w:gridCol w:w="2550"/>
        <w:gridCol w:w="1989"/>
        <w:gridCol w:w="1448"/>
        <w:gridCol w:w="1584"/>
        <w:gridCol w:w="1088"/>
        <w:gridCol w:w="1598"/>
        <w:gridCol w:w="11"/>
      </w:tblGrid>
      <w:tr w:rsidR="002B72B3" w:rsidRPr="00EB1066" w14:paraId="7122759E" w14:textId="77777777" w:rsidTr="00325ED2">
        <w:trPr>
          <w:cantSplit/>
          <w:trHeight w:val="454"/>
        </w:trPr>
        <w:tc>
          <w:tcPr>
            <w:tcW w:w="401" w:type="pct"/>
            <w:vMerge w:val="restart"/>
            <w:textDirection w:val="btLr"/>
            <w:vAlign w:val="center"/>
          </w:tcPr>
          <w:p w14:paraId="202E2678" w14:textId="17ABCAD3" w:rsidR="0089087F" w:rsidRPr="00EB1066" w:rsidRDefault="00000905" w:rsidP="00BE5E78">
            <w:pPr>
              <w:pStyle w:val="CMR-tables"/>
              <w:keepNext/>
              <w:jc w:val="center"/>
              <w:rPr>
                <w:rFonts w:cs="Times New Roman"/>
                <w:b/>
                <w:noProof/>
                <w:szCs w:val="20"/>
              </w:rPr>
            </w:pPr>
            <w:r>
              <w:rPr>
                <w:b/>
                <w:noProof/>
              </w:rPr>
              <w:t>Impianti</w:t>
            </w:r>
          </w:p>
        </w:tc>
        <w:tc>
          <w:tcPr>
            <w:tcW w:w="918" w:type="pct"/>
            <w:vMerge w:val="restart"/>
            <w:vAlign w:val="center"/>
          </w:tcPr>
          <w:p w14:paraId="25869ABE" w14:textId="37E11FBD" w:rsidR="0089087F" w:rsidRPr="00EB1066" w:rsidRDefault="0089087F" w:rsidP="00F03925">
            <w:pPr>
              <w:pStyle w:val="CMR-tables"/>
              <w:keepNext/>
              <w:jc w:val="center"/>
              <w:rPr>
                <w:rFonts w:cs="Times New Roman"/>
                <w:b/>
                <w:noProof/>
                <w:szCs w:val="20"/>
              </w:rPr>
            </w:pPr>
            <w:r>
              <w:rPr>
                <w:b/>
                <w:noProof/>
              </w:rPr>
              <w:t>Assegnazione gratuita</w:t>
            </w:r>
            <w:r>
              <w:rPr>
                <w:noProof/>
              </w:rPr>
              <w:br/>
            </w:r>
            <w:r>
              <w:rPr>
                <w:b/>
                <w:noProof/>
              </w:rPr>
              <w:t xml:space="preserve"> e vendita all</w:t>
            </w:r>
            <w:r w:rsidR="00F06D2E">
              <w:rPr>
                <w:b/>
                <w:noProof/>
              </w:rPr>
              <w:t>'</w:t>
            </w:r>
            <w:r>
              <w:rPr>
                <w:b/>
                <w:noProof/>
              </w:rPr>
              <w:t>asta</w:t>
            </w:r>
          </w:p>
        </w:tc>
        <w:tc>
          <w:tcPr>
            <w:tcW w:w="914" w:type="pct"/>
            <w:vMerge w:val="restart"/>
            <w:vAlign w:val="center"/>
          </w:tcPr>
          <w:p w14:paraId="37EB3A00" w14:textId="77777777" w:rsidR="0089087F" w:rsidRPr="00EB1066" w:rsidRDefault="0089087F" w:rsidP="00F03925">
            <w:pPr>
              <w:pStyle w:val="CMR-tables"/>
              <w:keepNext/>
              <w:jc w:val="center"/>
              <w:rPr>
                <w:rFonts w:cs="Times New Roman"/>
                <w:b/>
                <w:noProof/>
                <w:szCs w:val="20"/>
              </w:rPr>
            </w:pPr>
            <w:r>
              <w:rPr>
                <w:b/>
                <w:noProof/>
              </w:rPr>
              <w:t>Emissioni verificate</w:t>
            </w:r>
          </w:p>
        </w:tc>
        <w:tc>
          <w:tcPr>
            <w:tcW w:w="713" w:type="pct"/>
            <w:vMerge w:val="restart"/>
            <w:vAlign w:val="center"/>
          </w:tcPr>
          <w:p w14:paraId="561CD6B5" w14:textId="77777777" w:rsidR="0089087F" w:rsidRPr="00EB1066" w:rsidRDefault="0089087F" w:rsidP="00F03925">
            <w:pPr>
              <w:pStyle w:val="CMR-tables"/>
              <w:keepNext/>
              <w:jc w:val="center"/>
              <w:rPr>
                <w:rFonts w:cs="Times New Roman"/>
                <w:b/>
                <w:noProof/>
                <w:szCs w:val="20"/>
              </w:rPr>
            </w:pPr>
            <w:r>
              <w:rPr>
                <w:b/>
                <w:noProof/>
              </w:rPr>
              <w:t>Unità restituite</w:t>
            </w:r>
          </w:p>
        </w:tc>
        <w:tc>
          <w:tcPr>
            <w:tcW w:w="1087" w:type="pct"/>
            <w:gridSpan w:val="2"/>
            <w:vAlign w:val="center"/>
          </w:tcPr>
          <w:p w14:paraId="2B65CD40" w14:textId="60913532" w:rsidR="0089087F" w:rsidRPr="00EB1066" w:rsidRDefault="0089087F" w:rsidP="00F03925">
            <w:pPr>
              <w:pStyle w:val="CMR-tables"/>
              <w:keepNext/>
              <w:jc w:val="center"/>
              <w:rPr>
                <w:rFonts w:cs="Times New Roman"/>
                <w:b/>
                <w:noProof/>
                <w:szCs w:val="20"/>
              </w:rPr>
            </w:pPr>
            <w:r>
              <w:rPr>
                <w:b/>
                <w:noProof/>
              </w:rPr>
              <w:t>Quote EU ETS</w:t>
            </w:r>
          </w:p>
        </w:tc>
        <w:tc>
          <w:tcPr>
            <w:tcW w:w="968" w:type="pct"/>
            <w:gridSpan w:val="3"/>
            <w:vAlign w:val="center"/>
          </w:tcPr>
          <w:p w14:paraId="7B7FCE83" w14:textId="77777777" w:rsidR="0089087F" w:rsidRPr="00EB1066" w:rsidRDefault="0089087F" w:rsidP="00F03925">
            <w:pPr>
              <w:pStyle w:val="CMR-tables"/>
              <w:keepNext/>
              <w:jc w:val="center"/>
              <w:rPr>
                <w:rFonts w:cs="Times New Roman"/>
                <w:b/>
                <w:noProof/>
                <w:szCs w:val="20"/>
              </w:rPr>
            </w:pPr>
            <w:r>
              <w:rPr>
                <w:b/>
                <w:noProof/>
              </w:rPr>
              <w:t>Quote ETS svizzero</w:t>
            </w:r>
          </w:p>
        </w:tc>
      </w:tr>
      <w:tr w:rsidR="00094B10" w:rsidRPr="00EB1066" w14:paraId="1754CFD3" w14:textId="77777777" w:rsidTr="00325ED2">
        <w:trPr>
          <w:cantSplit/>
          <w:trHeight w:val="454"/>
        </w:trPr>
        <w:tc>
          <w:tcPr>
            <w:tcW w:w="401" w:type="pct"/>
            <w:vMerge/>
            <w:vAlign w:val="center"/>
          </w:tcPr>
          <w:p w14:paraId="52071C51" w14:textId="77777777" w:rsidR="0089087F" w:rsidRPr="00EB1066" w:rsidRDefault="0089087F" w:rsidP="00BE5E78">
            <w:pPr>
              <w:pStyle w:val="CMR-tables"/>
              <w:keepNext/>
              <w:jc w:val="center"/>
              <w:rPr>
                <w:rFonts w:cs="Times New Roman"/>
                <w:b/>
                <w:noProof/>
                <w:szCs w:val="20"/>
                <w:lang w:val="en-IE"/>
              </w:rPr>
            </w:pPr>
          </w:p>
        </w:tc>
        <w:tc>
          <w:tcPr>
            <w:tcW w:w="918" w:type="pct"/>
            <w:vMerge/>
            <w:vAlign w:val="center"/>
          </w:tcPr>
          <w:p w14:paraId="75D63B3F" w14:textId="77777777" w:rsidR="0089087F" w:rsidRPr="00EB1066" w:rsidRDefault="0089087F" w:rsidP="00164DD9">
            <w:pPr>
              <w:pStyle w:val="CMR-tables"/>
              <w:keepNext/>
              <w:jc w:val="center"/>
              <w:rPr>
                <w:rFonts w:cs="Times New Roman"/>
                <w:noProof/>
                <w:szCs w:val="20"/>
                <w:lang w:val="en-IE"/>
              </w:rPr>
            </w:pPr>
          </w:p>
        </w:tc>
        <w:tc>
          <w:tcPr>
            <w:tcW w:w="914" w:type="pct"/>
            <w:vMerge/>
            <w:vAlign w:val="center"/>
          </w:tcPr>
          <w:p w14:paraId="36ABC856" w14:textId="77777777" w:rsidR="0089087F" w:rsidRPr="00EB1066" w:rsidRDefault="0089087F" w:rsidP="00164DD9">
            <w:pPr>
              <w:pStyle w:val="CMR-tables"/>
              <w:keepNext/>
              <w:jc w:val="center"/>
              <w:rPr>
                <w:rFonts w:cs="Times New Roman"/>
                <w:noProof/>
                <w:szCs w:val="20"/>
                <w:lang w:val="en-IE"/>
              </w:rPr>
            </w:pPr>
          </w:p>
        </w:tc>
        <w:tc>
          <w:tcPr>
            <w:tcW w:w="713" w:type="pct"/>
            <w:vMerge/>
            <w:vAlign w:val="center"/>
          </w:tcPr>
          <w:p w14:paraId="77316D2C" w14:textId="77777777" w:rsidR="0089087F" w:rsidRPr="00EB1066" w:rsidRDefault="0089087F" w:rsidP="00164DD9">
            <w:pPr>
              <w:pStyle w:val="CMR-tables"/>
              <w:keepNext/>
              <w:jc w:val="center"/>
              <w:rPr>
                <w:rFonts w:cs="Times New Roman"/>
                <w:noProof/>
                <w:szCs w:val="20"/>
                <w:lang w:val="en-IE"/>
              </w:rPr>
            </w:pPr>
          </w:p>
        </w:tc>
        <w:tc>
          <w:tcPr>
            <w:tcW w:w="519" w:type="pct"/>
            <w:vAlign w:val="center"/>
          </w:tcPr>
          <w:p w14:paraId="3E361A56" w14:textId="77777777" w:rsidR="0089087F" w:rsidRPr="00EB1066" w:rsidRDefault="0089087F" w:rsidP="00164DD9">
            <w:pPr>
              <w:pStyle w:val="CMR-tables"/>
              <w:keepNext/>
              <w:jc w:val="center"/>
              <w:rPr>
                <w:rFonts w:cs="Times New Roman"/>
                <w:i/>
                <w:noProof/>
                <w:szCs w:val="20"/>
              </w:rPr>
            </w:pPr>
            <w:r>
              <w:rPr>
                <w:i/>
                <w:noProof/>
              </w:rPr>
              <w:t>Generali</w:t>
            </w:r>
          </w:p>
        </w:tc>
        <w:tc>
          <w:tcPr>
            <w:tcW w:w="567" w:type="pct"/>
            <w:vAlign w:val="center"/>
          </w:tcPr>
          <w:p w14:paraId="3C9D17B4" w14:textId="77777777" w:rsidR="0089087F" w:rsidRPr="00EB1066" w:rsidRDefault="0089087F" w:rsidP="00164DD9">
            <w:pPr>
              <w:pStyle w:val="CMR-tables"/>
              <w:keepNext/>
              <w:jc w:val="center"/>
              <w:rPr>
                <w:rFonts w:cs="Times New Roman"/>
                <w:i/>
                <w:noProof/>
                <w:szCs w:val="20"/>
              </w:rPr>
            </w:pPr>
            <w:r>
              <w:rPr>
                <w:i/>
                <w:noProof/>
              </w:rPr>
              <w:t>Trasporto aereo</w:t>
            </w:r>
          </w:p>
        </w:tc>
        <w:tc>
          <w:tcPr>
            <w:tcW w:w="390" w:type="pct"/>
            <w:vAlign w:val="center"/>
          </w:tcPr>
          <w:p w14:paraId="71A332A6" w14:textId="77777777" w:rsidR="0089087F" w:rsidRPr="00EB1066" w:rsidRDefault="0089087F" w:rsidP="00164DD9">
            <w:pPr>
              <w:pStyle w:val="CMR-tables"/>
              <w:keepNext/>
              <w:jc w:val="center"/>
              <w:rPr>
                <w:rFonts w:cs="Times New Roman"/>
                <w:i/>
                <w:noProof/>
                <w:szCs w:val="20"/>
              </w:rPr>
            </w:pPr>
            <w:r>
              <w:rPr>
                <w:i/>
                <w:noProof/>
              </w:rPr>
              <w:t>Generali</w:t>
            </w:r>
          </w:p>
        </w:tc>
        <w:tc>
          <w:tcPr>
            <w:tcW w:w="578" w:type="pct"/>
            <w:gridSpan w:val="2"/>
            <w:vAlign w:val="center"/>
          </w:tcPr>
          <w:p w14:paraId="1CDAF77A" w14:textId="77777777" w:rsidR="0089087F" w:rsidRPr="00EB1066" w:rsidRDefault="0089087F" w:rsidP="00164DD9">
            <w:pPr>
              <w:pStyle w:val="CMR-tables"/>
              <w:keepNext/>
              <w:jc w:val="center"/>
              <w:rPr>
                <w:rFonts w:cs="Times New Roman"/>
                <w:i/>
                <w:noProof/>
                <w:szCs w:val="20"/>
              </w:rPr>
            </w:pPr>
            <w:r>
              <w:rPr>
                <w:i/>
                <w:noProof/>
              </w:rPr>
              <w:t>Trasporto aereo</w:t>
            </w:r>
          </w:p>
        </w:tc>
      </w:tr>
      <w:tr w:rsidR="00325ED2" w:rsidRPr="00EB1066" w14:paraId="10F5F1E9" w14:textId="77777777" w:rsidTr="00325ED2">
        <w:trPr>
          <w:trHeight w:val="454"/>
        </w:trPr>
        <w:tc>
          <w:tcPr>
            <w:tcW w:w="401" w:type="pct"/>
            <w:vMerge/>
            <w:vAlign w:val="center"/>
          </w:tcPr>
          <w:p w14:paraId="2BB59697" w14:textId="77777777" w:rsidR="0089087F" w:rsidRPr="00EB1066" w:rsidRDefault="0089087F" w:rsidP="001F1040">
            <w:pPr>
              <w:pStyle w:val="CMR-tables"/>
              <w:keepNext/>
              <w:jc w:val="center"/>
              <w:rPr>
                <w:rFonts w:cs="Times New Roman"/>
                <w:b/>
                <w:noProof/>
                <w:szCs w:val="20"/>
                <w:lang w:val="en-IE"/>
              </w:rPr>
            </w:pPr>
          </w:p>
        </w:tc>
        <w:tc>
          <w:tcPr>
            <w:tcW w:w="918" w:type="pct"/>
            <w:shd w:val="clear" w:color="auto" w:fill="D9E2F3" w:themeFill="accent1" w:themeFillTint="33"/>
            <w:vAlign w:val="center"/>
          </w:tcPr>
          <w:p w14:paraId="705ED686" w14:textId="7A7DBACB" w:rsidR="0089087F" w:rsidRPr="00EB1066" w:rsidRDefault="005028F6" w:rsidP="001F1040">
            <w:pPr>
              <w:pStyle w:val="CMR-tables"/>
              <w:keepNext/>
              <w:jc w:val="right"/>
              <w:rPr>
                <w:rFonts w:cs="Times New Roman"/>
                <w:noProof/>
                <w:szCs w:val="20"/>
              </w:rPr>
            </w:pPr>
            <w:r>
              <w:rPr>
                <w:noProof/>
              </w:rPr>
              <w:t>1 089 612 748</w:t>
            </w:r>
          </w:p>
        </w:tc>
        <w:tc>
          <w:tcPr>
            <w:tcW w:w="914" w:type="pct"/>
            <w:shd w:val="clear" w:color="auto" w:fill="D9E2F3" w:themeFill="accent1" w:themeFillTint="33"/>
            <w:vAlign w:val="center"/>
          </w:tcPr>
          <w:p w14:paraId="0158D150" w14:textId="4314E94D" w:rsidR="0089087F" w:rsidRPr="00EB1066" w:rsidRDefault="008233E7" w:rsidP="001F1040">
            <w:pPr>
              <w:pStyle w:val="CMR-tables"/>
              <w:keepNext/>
              <w:jc w:val="right"/>
              <w:rPr>
                <w:rFonts w:cs="Times New Roman"/>
                <w:noProof/>
                <w:szCs w:val="20"/>
              </w:rPr>
            </w:pPr>
            <w:r>
              <w:rPr>
                <w:noProof/>
                <w:color w:val="000000"/>
              </w:rPr>
              <w:t>1 033 244 671</w:t>
            </w:r>
          </w:p>
        </w:tc>
        <w:tc>
          <w:tcPr>
            <w:tcW w:w="713" w:type="pct"/>
            <w:shd w:val="clear" w:color="auto" w:fill="D9E2F3" w:themeFill="accent1" w:themeFillTint="33"/>
            <w:vAlign w:val="center"/>
          </w:tcPr>
          <w:p w14:paraId="47629CA4" w14:textId="03ABD064" w:rsidR="0089087F" w:rsidRPr="00EB1066" w:rsidRDefault="00DF4550" w:rsidP="001F1040">
            <w:pPr>
              <w:pStyle w:val="CMR-tables"/>
              <w:keepNext/>
              <w:jc w:val="right"/>
              <w:rPr>
                <w:rFonts w:cs="Times New Roman"/>
                <w:noProof/>
                <w:szCs w:val="20"/>
              </w:rPr>
            </w:pPr>
            <w:r>
              <w:rPr>
                <w:noProof/>
                <w:color w:val="000000"/>
              </w:rPr>
              <w:t>1 029 808 309</w:t>
            </w:r>
          </w:p>
        </w:tc>
        <w:tc>
          <w:tcPr>
            <w:tcW w:w="519" w:type="pct"/>
            <w:shd w:val="clear" w:color="auto" w:fill="D9E2F3" w:themeFill="accent1" w:themeFillTint="33"/>
            <w:vAlign w:val="center"/>
          </w:tcPr>
          <w:p w14:paraId="2D200A5C" w14:textId="7D786C32" w:rsidR="0089087F" w:rsidRPr="00EB1066" w:rsidRDefault="006117F2" w:rsidP="001F1040">
            <w:pPr>
              <w:pStyle w:val="CMR-tables"/>
              <w:keepNext/>
              <w:jc w:val="right"/>
              <w:rPr>
                <w:rFonts w:cs="Times New Roman"/>
                <w:noProof/>
                <w:szCs w:val="20"/>
              </w:rPr>
            </w:pPr>
            <w:r>
              <w:rPr>
                <w:noProof/>
                <w:color w:val="000000"/>
              </w:rPr>
              <w:t>1 025 571 370</w:t>
            </w:r>
          </w:p>
        </w:tc>
        <w:tc>
          <w:tcPr>
            <w:tcW w:w="567" w:type="pct"/>
            <w:shd w:val="clear" w:color="auto" w:fill="D9E2F3" w:themeFill="accent1" w:themeFillTint="33"/>
            <w:vAlign w:val="center"/>
          </w:tcPr>
          <w:p w14:paraId="413A3500" w14:textId="168C4235" w:rsidR="0089087F" w:rsidRPr="00EB1066" w:rsidRDefault="00761121" w:rsidP="001F1040">
            <w:pPr>
              <w:pStyle w:val="CMR-tables"/>
              <w:keepNext/>
              <w:jc w:val="right"/>
              <w:rPr>
                <w:rFonts w:cs="Times New Roman"/>
                <w:noProof/>
                <w:szCs w:val="20"/>
              </w:rPr>
            </w:pPr>
            <w:r>
              <w:rPr>
                <w:noProof/>
                <w:color w:val="000000"/>
              </w:rPr>
              <w:t>3 428 201</w:t>
            </w:r>
          </w:p>
        </w:tc>
        <w:tc>
          <w:tcPr>
            <w:tcW w:w="390" w:type="pct"/>
            <w:shd w:val="clear" w:color="auto" w:fill="D9E2F3" w:themeFill="accent1" w:themeFillTint="33"/>
            <w:vAlign w:val="center"/>
          </w:tcPr>
          <w:p w14:paraId="71102913" w14:textId="48F6D7EA" w:rsidR="0089087F" w:rsidRPr="00EB1066" w:rsidRDefault="00A4538C" w:rsidP="001F1040">
            <w:pPr>
              <w:pStyle w:val="CMR-tables"/>
              <w:keepNext/>
              <w:jc w:val="right"/>
              <w:rPr>
                <w:rFonts w:cs="Times New Roman"/>
                <w:noProof/>
                <w:szCs w:val="20"/>
              </w:rPr>
            </w:pPr>
            <w:r>
              <w:rPr>
                <w:noProof/>
                <w:color w:val="000000"/>
              </w:rPr>
              <w:t>701 150</w:t>
            </w:r>
          </w:p>
        </w:tc>
        <w:tc>
          <w:tcPr>
            <w:tcW w:w="578" w:type="pct"/>
            <w:gridSpan w:val="2"/>
            <w:shd w:val="clear" w:color="auto" w:fill="D9E2F3" w:themeFill="accent1" w:themeFillTint="33"/>
            <w:vAlign w:val="center"/>
          </w:tcPr>
          <w:p w14:paraId="1404A335" w14:textId="4A0AC157" w:rsidR="0089087F" w:rsidRPr="00EB1066" w:rsidRDefault="008C1111" w:rsidP="001F1040">
            <w:pPr>
              <w:pStyle w:val="CMR-tables"/>
              <w:keepNext/>
              <w:jc w:val="right"/>
              <w:rPr>
                <w:rFonts w:cs="Times New Roman"/>
                <w:noProof/>
                <w:szCs w:val="20"/>
              </w:rPr>
            </w:pPr>
            <w:r>
              <w:rPr>
                <w:noProof/>
              </w:rPr>
              <w:t>357 341</w:t>
            </w:r>
          </w:p>
        </w:tc>
      </w:tr>
      <w:tr w:rsidR="00FB0646" w:rsidRPr="00EB1066" w14:paraId="25D323BF" w14:textId="77777777" w:rsidTr="00325ED2">
        <w:trPr>
          <w:trHeight w:val="454"/>
        </w:trPr>
        <w:tc>
          <w:tcPr>
            <w:tcW w:w="401" w:type="pct"/>
            <w:vMerge/>
            <w:vAlign w:val="center"/>
          </w:tcPr>
          <w:p w14:paraId="464E4053" w14:textId="77777777" w:rsidR="00FB5954" w:rsidRPr="00EB1066" w:rsidRDefault="00FB5954" w:rsidP="001F1040">
            <w:pPr>
              <w:pStyle w:val="CMR-tables"/>
              <w:keepNext/>
              <w:jc w:val="center"/>
              <w:rPr>
                <w:rFonts w:cs="Times New Roman"/>
                <w:b/>
                <w:noProof/>
                <w:szCs w:val="20"/>
                <w:lang w:val="en-IE"/>
              </w:rPr>
            </w:pPr>
          </w:p>
        </w:tc>
        <w:tc>
          <w:tcPr>
            <w:tcW w:w="2545" w:type="pct"/>
            <w:gridSpan w:val="3"/>
            <w:vAlign w:val="center"/>
          </w:tcPr>
          <w:p w14:paraId="43069156" w14:textId="77777777" w:rsidR="00FB5954" w:rsidRPr="00EB1066" w:rsidRDefault="00FB5954" w:rsidP="00FB5954">
            <w:pPr>
              <w:pStyle w:val="CMR-tables"/>
              <w:keepNext/>
              <w:jc w:val="center"/>
              <w:rPr>
                <w:rFonts w:cs="Times New Roman"/>
                <w:i/>
                <w:noProof/>
                <w:szCs w:val="20"/>
              </w:rPr>
            </w:pPr>
            <w:r>
              <w:rPr>
                <w:i/>
                <w:noProof/>
              </w:rPr>
              <w:t>% del totale</w:t>
            </w:r>
          </w:p>
        </w:tc>
        <w:tc>
          <w:tcPr>
            <w:tcW w:w="519" w:type="pct"/>
            <w:vAlign w:val="center"/>
          </w:tcPr>
          <w:p w14:paraId="6E025A45" w14:textId="19A8126E" w:rsidR="00FB5954" w:rsidRPr="00EB1066" w:rsidRDefault="00FB5954" w:rsidP="001F1040">
            <w:pPr>
              <w:pStyle w:val="CMR-tables"/>
              <w:keepNext/>
              <w:jc w:val="right"/>
              <w:rPr>
                <w:rFonts w:cs="Times New Roman"/>
                <w:noProof/>
                <w:szCs w:val="20"/>
              </w:rPr>
            </w:pPr>
            <w:r>
              <w:rPr>
                <w:noProof/>
                <w:color w:val="000000"/>
              </w:rPr>
              <w:t>99,59</w:t>
            </w:r>
          </w:p>
        </w:tc>
        <w:tc>
          <w:tcPr>
            <w:tcW w:w="567" w:type="pct"/>
            <w:vAlign w:val="center"/>
          </w:tcPr>
          <w:p w14:paraId="6B4DF496" w14:textId="0BCC33A4" w:rsidR="00FB5954" w:rsidRPr="00EB1066" w:rsidRDefault="00FB5954" w:rsidP="001F1040">
            <w:pPr>
              <w:pStyle w:val="CMR-tables"/>
              <w:keepNext/>
              <w:jc w:val="right"/>
              <w:rPr>
                <w:rFonts w:cs="Times New Roman"/>
                <w:noProof/>
                <w:szCs w:val="20"/>
              </w:rPr>
            </w:pPr>
            <w:r>
              <w:rPr>
                <w:noProof/>
                <w:color w:val="000000"/>
              </w:rPr>
              <w:t>0,31</w:t>
            </w:r>
          </w:p>
        </w:tc>
        <w:tc>
          <w:tcPr>
            <w:tcW w:w="390" w:type="pct"/>
            <w:vAlign w:val="center"/>
          </w:tcPr>
          <w:p w14:paraId="28AD1182" w14:textId="33E5CB5C" w:rsidR="00FB5954" w:rsidRPr="00EB1066" w:rsidRDefault="00FB5954" w:rsidP="001F1040">
            <w:pPr>
              <w:pStyle w:val="CMR-tables"/>
              <w:keepNext/>
              <w:jc w:val="right"/>
              <w:rPr>
                <w:rFonts w:cs="Times New Roman"/>
                <w:noProof/>
                <w:szCs w:val="20"/>
              </w:rPr>
            </w:pPr>
            <w:r>
              <w:rPr>
                <w:noProof/>
                <w:color w:val="000000"/>
              </w:rPr>
              <w:t>0,07</w:t>
            </w:r>
          </w:p>
        </w:tc>
        <w:tc>
          <w:tcPr>
            <w:tcW w:w="578" w:type="pct"/>
            <w:gridSpan w:val="2"/>
            <w:vAlign w:val="center"/>
          </w:tcPr>
          <w:p w14:paraId="12857B2D" w14:textId="11B7456B" w:rsidR="00FB5954" w:rsidRPr="00EB1066" w:rsidRDefault="00FB5954" w:rsidP="001F1040">
            <w:pPr>
              <w:pStyle w:val="CMR-tables"/>
              <w:keepNext/>
              <w:jc w:val="right"/>
              <w:rPr>
                <w:rFonts w:cs="Times New Roman"/>
                <w:noProof/>
                <w:szCs w:val="20"/>
              </w:rPr>
            </w:pPr>
            <w:r>
              <w:rPr>
                <w:noProof/>
                <w:color w:val="000000"/>
              </w:rPr>
              <w:t>0,03</w:t>
            </w:r>
          </w:p>
        </w:tc>
      </w:tr>
      <w:tr w:rsidR="00094B10" w:rsidRPr="00EB1066" w14:paraId="1BD32780" w14:textId="77777777" w:rsidTr="00325ED2">
        <w:trPr>
          <w:gridAfter w:val="1"/>
          <w:wAfter w:w="5" w:type="pct"/>
          <w:cantSplit/>
          <w:trHeight w:val="454"/>
        </w:trPr>
        <w:tc>
          <w:tcPr>
            <w:tcW w:w="401" w:type="pct"/>
            <w:vMerge w:val="restart"/>
            <w:textDirection w:val="btLr"/>
            <w:vAlign w:val="center"/>
          </w:tcPr>
          <w:p w14:paraId="300F2B48" w14:textId="2CEE23E5" w:rsidR="0089087F" w:rsidRPr="00EB1066" w:rsidRDefault="0089087F" w:rsidP="00BE5E78">
            <w:pPr>
              <w:pStyle w:val="CMR-tables"/>
              <w:keepNext/>
              <w:jc w:val="center"/>
              <w:rPr>
                <w:rFonts w:cs="Times New Roman"/>
                <w:b/>
                <w:noProof/>
                <w:szCs w:val="20"/>
              </w:rPr>
            </w:pPr>
            <w:r>
              <w:rPr>
                <w:b/>
                <w:noProof/>
              </w:rPr>
              <w:t>Operatori aerei</w:t>
            </w:r>
          </w:p>
        </w:tc>
        <w:tc>
          <w:tcPr>
            <w:tcW w:w="918" w:type="pct"/>
            <w:vMerge w:val="restart"/>
            <w:vAlign w:val="center"/>
          </w:tcPr>
          <w:p w14:paraId="50FC3B47" w14:textId="6B146C45" w:rsidR="0089087F" w:rsidRPr="00EB1066" w:rsidRDefault="0089087F" w:rsidP="001F1040">
            <w:pPr>
              <w:pStyle w:val="CMR-tables"/>
              <w:keepNext/>
              <w:jc w:val="center"/>
              <w:rPr>
                <w:rFonts w:cs="Times New Roman"/>
                <w:b/>
                <w:noProof/>
                <w:szCs w:val="20"/>
              </w:rPr>
            </w:pPr>
            <w:bookmarkStart w:id="103" w:name="_Ref115772878"/>
            <w:r>
              <w:rPr>
                <w:b/>
                <w:noProof/>
              </w:rPr>
              <w:t>Assegnazione gratuita (anche nell</w:t>
            </w:r>
            <w:r w:rsidR="00F06D2E">
              <w:rPr>
                <w:b/>
                <w:noProof/>
              </w:rPr>
              <w:t>'</w:t>
            </w:r>
            <w:r>
              <w:rPr>
                <w:b/>
                <w:noProof/>
              </w:rPr>
              <w:t>ETS svizzero)</w:t>
            </w:r>
            <w:r>
              <w:rPr>
                <w:noProof/>
              </w:rPr>
              <w:br/>
            </w:r>
            <w:r>
              <w:rPr>
                <w:b/>
                <w:noProof/>
              </w:rPr>
              <w:t>e vendita all</w:t>
            </w:r>
            <w:r w:rsidR="00F06D2E">
              <w:rPr>
                <w:b/>
                <w:noProof/>
              </w:rPr>
              <w:t>'</w:t>
            </w:r>
            <w:r>
              <w:rPr>
                <w:b/>
                <w:noProof/>
              </w:rPr>
              <w:t>asta</w:t>
            </w:r>
          </w:p>
        </w:tc>
        <w:tc>
          <w:tcPr>
            <w:tcW w:w="914" w:type="pct"/>
            <w:vMerge w:val="restart"/>
            <w:vAlign w:val="center"/>
          </w:tcPr>
          <w:p w14:paraId="777AEFA0" w14:textId="76FB42F6" w:rsidR="0089087F" w:rsidRPr="00EB1066" w:rsidRDefault="0089087F" w:rsidP="001F1040">
            <w:pPr>
              <w:pStyle w:val="CMR-tables"/>
              <w:keepNext/>
              <w:jc w:val="center"/>
              <w:rPr>
                <w:rFonts w:cs="Times New Roman"/>
                <w:b/>
                <w:noProof/>
                <w:szCs w:val="20"/>
              </w:rPr>
            </w:pPr>
            <w:r>
              <w:rPr>
                <w:b/>
                <w:noProof/>
              </w:rPr>
              <w:t>Emissioni verificate (anche</w:t>
            </w:r>
            <w:r w:rsidR="00325ED2">
              <w:rPr>
                <w:b/>
                <w:noProof/>
              </w:rPr>
              <w:t> </w:t>
            </w:r>
            <w:r>
              <w:rPr>
                <w:b/>
                <w:noProof/>
              </w:rPr>
              <w:t>nell</w:t>
            </w:r>
            <w:r w:rsidR="00F06D2E">
              <w:rPr>
                <w:b/>
                <w:noProof/>
              </w:rPr>
              <w:t>'</w:t>
            </w:r>
            <w:r>
              <w:rPr>
                <w:b/>
                <w:noProof/>
              </w:rPr>
              <w:t>ambito</w:t>
            </w:r>
            <w:r>
              <w:rPr>
                <w:noProof/>
              </w:rPr>
              <w:br/>
            </w:r>
            <w:r>
              <w:rPr>
                <w:b/>
                <w:noProof/>
              </w:rPr>
              <w:t>dell</w:t>
            </w:r>
            <w:r w:rsidR="00F06D2E">
              <w:rPr>
                <w:b/>
                <w:noProof/>
              </w:rPr>
              <w:t>'</w:t>
            </w:r>
            <w:r>
              <w:rPr>
                <w:b/>
                <w:noProof/>
              </w:rPr>
              <w:t>ETS svizzero)</w:t>
            </w:r>
          </w:p>
        </w:tc>
        <w:tc>
          <w:tcPr>
            <w:tcW w:w="713" w:type="pct"/>
            <w:vMerge w:val="restart"/>
            <w:vAlign w:val="center"/>
          </w:tcPr>
          <w:p w14:paraId="4247CF5A" w14:textId="77777777" w:rsidR="0089087F" w:rsidRPr="00EB1066" w:rsidRDefault="0089087F" w:rsidP="001F1040">
            <w:pPr>
              <w:pStyle w:val="CMR-tables"/>
              <w:keepNext/>
              <w:jc w:val="center"/>
              <w:rPr>
                <w:rFonts w:cs="Times New Roman"/>
                <w:b/>
                <w:noProof/>
                <w:szCs w:val="20"/>
              </w:rPr>
            </w:pPr>
            <w:r>
              <w:rPr>
                <w:b/>
                <w:noProof/>
              </w:rPr>
              <w:t>Unità restituite</w:t>
            </w:r>
          </w:p>
        </w:tc>
        <w:tc>
          <w:tcPr>
            <w:tcW w:w="1087" w:type="pct"/>
            <w:gridSpan w:val="2"/>
            <w:vAlign w:val="center"/>
          </w:tcPr>
          <w:p w14:paraId="57EA7DD8" w14:textId="77777777" w:rsidR="0089087F" w:rsidRPr="00EB1066" w:rsidRDefault="0089087F" w:rsidP="001F1040">
            <w:pPr>
              <w:pStyle w:val="CMR-tables"/>
              <w:keepNext/>
              <w:jc w:val="center"/>
              <w:rPr>
                <w:rFonts w:cs="Times New Roman"/>
                <w:b/>
                <w:noProof/>
                <w:szCs w:val="20"/>
              </w:rPr>
            </w:pPr>
            <w:r>
              <w:rPr>
                <w:b/>
                <w:noProof/>
              </w:rPr>
              <w:t>Quote EU ETS</w:t>
            </w:r>
          </w:p>
        </w:tc>
        <w:tc>
          <w:tcPr>
            <w:tcW w:w="963" w:type="pct"/>
            <w:gridSpan w:val="2"/>
            <w:vAlign w:val="center"/>
          </w:tcPr>
          <w:p w14:paraId="59EAB29D" w14:textId="77777777" w:rsidR="0089087F" w:rsidRPr="00EB1066" w:rsidRDefault="0089087F" w:rsidP="001F1040">
            <w:pPr>
              <w:pStyle w:val="CMR-tables"/>
              <w:keepNext/>
              <w:jc w:val="center"/>
              <w:rPr>
                <w:rFonts w:cs="Times New Roman"/>
                <w:b/>
                <w:noProof/>
                <w:szCs w:val="20"/>
              </w:rPr>
            </w:pPr>
            <w:r>
              <w:rPr>
                <w:b/>
                <w:noProof/>
              </w:rPr>
              <w:t>Quote ETS svizzero</w:t>
            </w:r>
          </w:p>
        </w:tc>
      </w:tr>
      <w:tr w:rsidR="00094B10" w:rsidRPr="00EB1066" w14:paraId="143AC1A9" w14:textId="77777777" w:rsidTr="00325ED2">
        <w:trPr>
          <w:cantSplit/>
          <w:trHeight w:val="454"/>
        </w:trPr>
        <w:tc>
          <w:tcPr>
            <w:tcW w:w="401" w:type="pct"/>
            <w:vMerge/>
          </w:tcPr>
          <w:p w14:paraId="0E9F13A6" w14:textId="77777777" w:rsidR="0089087F" w:rsidRPr="00EB1066" w:rsidRDefault="0089087F" w:rsidP="00164DD9">
            <w:pPr>
              <w:pStyle w:val="CMR-tables"/>
              <w:keepNext/>
              <w:rPr>
                <w:rFonts w:cs="Times New Roman"/>
                <w:noProof/>
                <w:szCs w:val="20"/>
                <w:lang w:val="en-IE"/>
              </w:rPr>
            </w:pPr>
          </w:p>
        </w:tc>
        <w:tc>
          <w:tcPr>
            <w:tcW w:w="918" w:type="pct"/>
            <w:vMerge/>
          </w:tcPr>
          <w:p w14:paraId="07C178FC" w14:textId="77777777" w:rsidR="0089087F" w:rsidRPr="00EB1066" w:rsidRDefault="0089087F" w:rsidP="00164DD9">
            <w:pPr>
              <w:pStyle w:val="CMR-tables"/>
              <w:keepNext/>
              <w:rPr>
                <w:rFonts w:cs="Times New Roman"/>
                <w:noProof/>
                <w:szCs w:val="20"/>
                <w:lang w:val="en-IE"/>
              </w:rPr>
            </w:pPr>
          </w:p>
        </w:tc>
        <w:tc>
          <w:tcPr>
            <w:tcW w:w="914" w:type="pct"/>
            <w:vMerge/>
          </w:tcPr>
          <w:p w14:paraId="244B1F6F" w14:textId="77777777" w:rsidR="0089087F" w:rsidRPr="00EB1066" w:rsidRDefault="0089087F" w:rsidP="00164DD9">
            <w:pPr>
              <w:pStyle w:val="CMR-tables"/>
              <w:keepNext/>
              <w:rPr>
                <w:rFonts w:cs="Times New Roman"/>
                <w:noProof/>
                <w:szCs w:val="20"/>
                <w:lang w:val="en-IE"/>
              </w:rPr>
            </w:pPr>
          </w:p>
        </w:tc>
        <w:tc>
          <w:tcPr>
            <w:tcW w:w="713" w:type="pct"/>
            <w:vMerge/>
          </w:tcPr>
          <w:p w14:paraId="7101AE87" w14:textId="77777777" w:rsidR="0089087F" w:rsidRPr="00EB1066" w:rsidRDefault="0089087F" w:rsidP="00164DD9">
            <w:pPr>
              <w:pStyle w:val="CMR-tables"/>
              <w:keepNext/>
              <w:rPr>
                <w:rFonts w:cs="Times New Roman"/>
                <w:noProof/>
                <w:szCs w:val="20"/>
                <w:lang w:val="en-IE"/>
              </w:rPr>
            </w:pPr>
          </w:p>
        </w:tc>
        <w:tc>
          <w:tcPr>
            <w:tcW w:w="519" w:type="pct"/>
            <w:vAlign w:val="center"/>
          </w:tcPr>
          <w:p w14:paraId="68915CA3" w14:textId="77777777" w:rsidR="0089087F" w:rsidRPr="00EB1066" w:rsidRDefault="0089087F" w:rsidP="001F1040">
            <w:pPr>
              <w:pStyle w:val="CMR-tables"/>
              <w:keepNext/>
              <w:jc w:val="center"/>
              <w:rPr>
                <w:rFonts w:cs="Times New Roman"/>
                <w:i/>
                <w:noProof/>
                <w:szCs w:val="20"/>
              </w:rPr>
            </w:pPr>
            <w:r>
              <w:rPr>
                <w:i/>
                <w:noProof/>
              </w:rPr>
              <w:t>Generali</w:t>
            </w:r>
          </w:p>
        </w:tc>
        <w:tc>
          <w:tcPr>
            <w:tcW w:w="567" w:type="pct"/>
            <w:vAlign w:val="center"/>
          </w:tcPr>
          <w:p w14:paraId="2B9BD320" w14:textId="77777777" w:rsidR="0089087F" w:rsidRPr="00EB1066" w:rsidRDefault="0089087F" w:rsidP="001F1040">
            <w:pPr>
              <w:pStyle w:val="CMR-tables"/>
              <w:keepNext/>
              <w:jc w:val="center"/>
              <w:rPr>
                <w:rFonts w:cs="Times New Roman"/>
                <w:i/>
                <w:noProof/>
                <w:szCs w:val="20"/>
              </w:rPr>
            </w:pPr>
            <w:r>
              <w:rPr>
                <w:i/>
                <w:noProof/>
              </w:rPr>
              <w:t>Trasporto aereo</w:t>
            </w:r>
          </w:p>
        </w:tc>
        <w:tc>
          <w:tcPr>
            <w:tcW w:w="390" w:type="pct"/>
            <w:vAlign w:val="center"/>
          </w:tcPr>
          <w:p w14:paraId="13FF3A69" w14:textId="77777777" w:rsidR="0089087F" w:rsidRPr="00EB1066" w:rsidRDefault="0089087F" w:rsidP="001F1040">
            <w:pPr>
              <w:pStyle w:val="CMR-tables"/>
              <w:keepNext/>
              <w:jc w:val="center"/>
              <w:rPr>
                <w:rFonts w:cs="Times New Roman"/>
                <w:i/>
                <w:noProof/>
                <w:szCs w:val="20"/>
              </w:rPr>
            </w:pPr>
            <w:r>
              <w:rPr>
                <w:i/>
                <w:noProof/>
              </w:rPr>
              <w:t>Generali</w:t>
            </w:r>
          </w:p>
        </w:tc>
        <w:tc>
          <w:tcPr>
            <w:tcW w:w="578" w:type="pct"/>
            <w:gridSpan w:val="2"/>
            <w:vAlign w:val="center"/>
          </w:tcPr>
          <w:p w14:paraId="41708212" w14:textId="77777777" w:rsidR="0089087F" w:rsidRPr="00EB1066" w:rsidRDefault="0089087F" w:rsidP="001F1040">
            <w:pPr>
              <w:pStyle w:val="CMR-tables"/>
              <w:keepNext/>
              <w:jc w:val="center"/>
              <w:rPr>
                <w:rFonts w:cs="Times New Roman"/>
                <w:i/>
                <w:noProof/>
                <w:szCs w:val="20"/>
              </w:rPr>
            </w:pPr>
            <w:r>
              <w:rPr>
                <w:i/>
                <w:noProof/>
              </w:rPr>
              <w:t>Trasporto aereo</w:t>
            </w:r>
          </w:p>
        </w:tc>
      </w:tr>
      <w:tr w:rsidR="00325ED2" w:rsidRPr="00EB1066" w14:paraId="097157F6" w14:textId="77777777" w:rsidTr="00325ED2">
        <w:trPr>
          <w:trHeight w:val="454"/>
        </w:trPr>
        <w:tc>
          <w:tcPr>
            <w:tcW w:w="401" w:type="pct"/>
            <w:vMerge/>
          </w:tcPr>
          <w:p w14:paraId="2D24310F" w14:textId="77777777" w:rsidR="006F164D" w:rsidRPr="00EB1066" w:rsidRDefault="006F164D" w:rsidP="006F164D">
            <w:pPr>
              <w:pStyle w:val="CMR-tables"/>
              <w:keepNext/>
              <w:rPr>
                <w:rFonts w:cs="Times New Roman"/>
                <w:noProof/>
                <w:szCs w:val="20"/>
                <w:lang w:val="en-IE"/>
              </w:rPr>
            </w:pPr>
          </w:p>
        </w:tc>
        <w:tc>
          <w:tcPr>
            <w:tcW w:w="918" w:type="pct"/>
            <w:shd w:val="clear" w:color="auto" w:fill="D9E2F3" w:themeFill="accent1" w:themeFillTint="33"/>
            <w:vAlign w:val="center"/>
          </w:tcPr>
          <w:p w14:paraId="607ADCEC" w14:textId="70F03108" w:rsidR="006F164D" w:rsidRPr="00EB1066" w:rsidRDefault="12B8845F" w:rsidP="002232F4">
            <w:pPr>
              <w:pStyle w:val="CMR-tables"/>
              <w:keepNext/>
              <w:jc w:val="right"/>
              <w:rPr>
                <w:rFonts w:cs="Times New Roman"/>
                <w:noProof/>
                <w:szCs w:val="20"/>
              </w:rPr>
            </w:pPr>
            <w:r>
              <w:rPr>
                <w:noProof/>
                <w:color w:val="000000" w:themeColor="text1"/>
              </w:rPr>
              <w:t>24 270 111</w:t>
            </w:r>
          </w:p>
        </w:tc>
        <w:tc>
          <w:tcPr>
            <w:tcW w:w="914" w:type="pct"/>
            <w:shd w:val="clear" w:color="auto" w:fill="D9E2F3" w:themeFill="accent1" w:themeFillTint="33"/>
            <w:vAlign w:val="center"/>
          </w:tcPr>
          <w:p w14:paraId="647A26B8" w14:textId="0A1F45F6" w:rsidR="006F164D" w:rsidRPr="00EB1066" w:rsidRDefault="25FE72E9" w:rsidP="002232F4">
            <w:pPr>
              <w:pStyle w:val="CMR-tables"/>
              <w:keepNext/>
              <w:jc w:val="right"/>
              <w:rPr>
                <w:rFonts w:cs="Times New Roman"/>
                <w:noProof/>
                <w:szCs w:val="20"/>
              </w:rPr>
            </w:pPr>
            <w:r>
              <w:rPr>
                <w:noProof/>
                <w:color w:val="000000" w:themeColor="text1"/>
              </w:rPr>
              <w:t>62 247 419</w:t>
            </w:r>
          </w:p>
        </w:tc>
        <w:tc>
          <w:tcPr>
            <w:tcW w:w="713" w:type="pct"/>
            <w:shd w:val="clear" w:color="auto" w:fill="D9E2F3" w:themeFill="accent1" w:themeFillTint="33"/>
            <w:vAlign w:val="center"/>
          </w:tcPr>
          <w:p w14:paraId="3D2C4AA5" w14:textId="4DBAD30C" w:rsidR="006F164D" w:rsidRPr="00EB1066" w:rsidRDefault="536A9637" w:rsidP="001F1040">
            <w:pPr>
              <w:pStyle w:val="CMR-tables"/>
              <w:keepNext/>
              <w:jc w:val="right"/>
              <w:rPr>
                <w:rFonts w:cs="Times New Roman"/>
                <w:noProof/>
                <w:szCs w:val="20"/>
              </w:rPr>
            </w:pPr>
            <w:r>
              <w:rPr>
                <w:noProof/>
                <w:color w:val="000000" w:themeColor="text1"/>
              </w:rPr>
              <w:t>61 645 450</w:t>
            </w:r>
          </w:p>
        </w:tc>
        <w:tc>
          <w:tcPr>
            <w:tcW w:w="519" w:type="pct"/>
            <w:shd w:val="clear" w:color="auto" w:fill="D9E2F3" w:themeFill="accent1" w:themeFillTint="33"/>
            <w:vAlign w:val="center"/>
          </w:tcPr>
          <w:p w14:paraId="673861B3" w14:textId="2A2E0F36" w:rsidR="006F164D" w:rsidRPr="00EB1066" w:rsidRDefault="08894101" w:rsidP="001F1040">
            <w:pPr>
              <w:pStyle w:val="CMR-tables"/>
              <w:keepNext/>
              <w:jc w:val="right"/>
              <w:rPr>
                <w:rFonts w:cs="Times New Roman"/>
                <w:noProof/>
                <w:szCs w:val="20"/>
              </w:rPr>
            </w:pPr>
            <w:r>
              <w:rPr>
                <w:noProof/>
                <w:color w:val="000000" w:themeColor="text1"/>
              </w:rPr>
              <w:t>43 299 227</w:t>
            </w:r>
          </w:p>
        </w:tc>
        <w:tc>
          <w:tcPr>
            <w:tcW w:w="567" w:type="pct"/>
            <w:shd w:val="clear" w:color="auto" w:fill="D9E2F3" w:themeFill="accent1" w:themeFillTint="33"/>
            <w:vAlign w:val="center"/>
          </w:tcPr>
          <w:p w14:paraId="7908EDFC" w14:textId="7343F6CC" w:rsidR="006F164D" w:rsidRPr="00EB1066" w:rsidRDefault="7E4C1930" w:rsidP="001F1040">
            <w:pPr>
              <w:pStyle w:val="CMR-tables"/>
              <w:keepNext/>
              <w:jc w:val="right"/>
              <w:rPr>
                <w:rFonts w:cs="Times New Roman"/>
                <w:noProof/>
                <w:szCs w:val="20"/>
              </w:rPr>
            </w:pPr>
            <w:r>
              <w:rPr>
                <w:noProof/>
                <w:color w:val="000000" w:themeColor="text1"/>
              </w:rPr>
              <w:t>17 826 613</w:t>
            </w:r>
          </w:p>
        </w:tc>
        <w:tc>
          <w:tcPr>
            <w:tcW w:w="390" w:type="pct"/>
            <w:shd w:val="clear" w:color="auto" w:fill="D9E2F3" w:themeFill="accent1" w:themeFillTint="33"/>
            <w:vAlign w:val="center"/>
          </w:tcPr>
          <w:p w14:paraId="669ED435" w14:textId="544AAF96" w:rsidR="006F164D" w:rsidRPr="00EB1066" w:rsidRDefault="06613BDB" w:rsidP="001F1040">
            <w:pPr>
              <w:pStyle w:val="CMR-tables"/>
              <w:keepNext/>
              <w:jc w:val="right"/>
              <w:rPr>
                <w:rFonts w:cs="Times New Roman"/>
                <w:noProof/>
                <w:szCs w:val="20"/>
              </w:rPr>
            </w:pPr>
            <w:r>
              <w:rPr>
                <w:noProof/>
                <w:color w:val="000000" w:themeColor="text1"/>
              </w:rPr>
              <w:t>49 077</w:t>
            </w:r>
          </w:p>
        </w:tc>
        <w:tc>
          <w:tcPr>
            <w:tcW w:w="578" w:type="pct"/>
            <w:gridSpan w:val="2"/>
            <w:shd w:val="clear" w:color="auto" w:fill="D9E2F3" w:themeFill="accent1" w:themeFillTint="33"/>
            <w:vAlign w:val="center"/>
          </w:tcPr>
          <w:p w14:paraId="763FD23D" w14:textId="67E0A775" w:rsidR="006F164D" w:rsidRPr="00EB1066" w:rsidRDefault="20C00B5E" w:rsidP="001F1040">
            <w:pPr>
              <w:pStyle w:val="CMR-tables"/>
              <w:keepNext/>
              <w:jc w:val="right"/>
              <w:rPr>
                <w:rFonts w:cs="Times New Roman"/>
                <w:noProof/>
                <w:szCs w:val="20"/>
              </w:rPr>
            </w:pPr>
            <w:r>
              <w:rPr>
                <w:noProof/>
                <w:color w:val="000000" w:themeColor="text1"/>
              </w:rPr>
              <w:t>470 533</w:t>
            </w:r>
          </w:p>
        </w:tc>
      </w:tr>
      <w:tr w:rsidR="00FB0646" w:rsidRPr="00EB1066" w14:paraId="0980D5FA" w14:textId="77777777" w:rsidTr="00325ED2">
        <w:trPr>
          <w:trHeight w:val="454"/>
        </w:trPr>
        <w:tc>
          <w:tcPr>
            <w:tcW w:w="401" w:type="pct"/>
            <w:vMerge/>
          </w:tcPr>
          <w:p w14:paraId="5C483E20" w14:textId="77777777" w:rsidR="008B4FC3" w:rsidRPr="00EB1066" w:rsidRDefault="008B4FC3" w:rsidP="008B4FC3">
            <w:pPr>
              <w:pStyle w:val="CMR-tables"/>
              <w:keepNext/>
              <w:rPr>
                <w:rFonts w:cs="Times New Roman"/>
                <w:noProof/>
                <w:szCs w:val="20"/>
                <w:lang w:val="en-IE"/>
              </w:rPr>
            </w:pPr>
          </w:p>
        </w:tc>
        <w:tc>
          <w:tcPr>
            <w:tcW w:w="2545" w:type="pct"/>
            <w:gridSpan w:val="3"/>
            <w:vAlign w:val="center"/>
          </w:tcPr>
          <w:p w14:paraId="5A842F95" w14:textId="77777777" w:rsidR="008B4FC3" w:rsidRPr="00EB1066" w:rsidRDefault="008B4FC3" w:rsidP="001F1040">
            <w:pPr>
              <w:pStyle w:val="CMR-tables"/>
              <w:keepNext/>
              <w:jc w:val="center"/>
              <w:rPr>
                <w:rFonts w:cs="Times New Roman"/>
                <w:b/>
                <w:i/>
                <w:noProof/>
                <w:szCs w:val="20"/>
              </w:rPr>
            </w:pPr>
            <w:r>
              <w:rPr>
                <w:b/>
                <w:i/>
                <w:noProof/>
              </w:rPr>
              <w:t>% del totale</w:t>
            </w:r>
          </w:p>
        </w:tc>
        <w:tc>
          <w:tcPr>
            <w:tcW w:w="519" w:type="pct"/>
            <w:vAlign w:val="center"/>
          </w:tcPr>
          <w:p w14:paraId="1C225ECB" w14:textId="30850FF7" w:rsidR="008B4FC3" w:rsidRPr="00EB1066" w:rsidRDefault="5B2CFF49" w:rsidP="001F1040">
            <w:pPr>
              <w:pStyle w:val="CMR-tables"/>
              <w:keepNext/>
              <w:jc w:val="right"/>
              <w:rPr>
                <w:rFonts w:cs="Times New Roman"/>
                <w:noProof/>
                <w:szCs w:val="20"/>
              </w:rPr>
            </w:pPr>
            <w:r>
              <w:rPr>
                <w:noProof/>
                <w:color w:val="000000" w:themeColor="text1"/>
              </w:rPr>
              <w:t>70,24</w:t>
            </w:r>
          </w:p>
        </w:tc>
        <w:tc>
          <w:tcPr>
            <w:tcW w:w="567" w:type="pct"/>
            <w:vAlign w:val="center"/>
          </w:tcPr>
          <w:p w14:paraId="6D9B484B" w14:textId="6EB73820" w:rsidR="008B4FC3" w:rsidRPr="00EB1066" w:rsidRDefault="76B4BE33" w:rsidP="001F1040">
            <w:pPr>
              <w:pStyle w:val="CMR-tables"/>
              <w:keepNext/>
              <w:jc w:val="right"/>
              <w:rPr>
                <w:rFonts w:cs="Times New Roman"/>
                <w:noProof/>
                <w:szCs w:val="20"/>
              </w:rPr>
            </w:pPr>
            <w:r>
              <w:rPr>
                <w:noProof/>
                <w:color w:val="000000" w:themeColor="text1"/>
              </w:rPr>
              <w:t>28,92</w:t>
            </w:r>
          </w:p>
        </w:tc>
        <w:tc>
          <w:tcPr>
            <w:tcW w:w="390" w:type="pct"/>
            <w:vAlign w:val="center"/>
          </w:tcPr>
          <w:p w14:paraId="79314813" w14:textId="05F128DA" w:rsidR="008B4FC3" w:rsidRPr="00EB1066" w:rsidRDefault="4537CB61" w:rsidP="001F1040">
            <w:pPr>
              <w:pStyle w:val="CMR-tables"/>
              <w:keepNext/>
              <w:jc w:val="right"/>
              <w:rPr>
                <w:rFonts w:cs="Times New Roman"/>
                <w:noProof/>
                <w:szCs w:val="20"/>
              </w:rPr>
            </w:pPr>
            <w:r>
              <w:rPr>
                <w:noProof/>
                <w:color w:val="000000" w:themeColor="text1"/>
              </w:rPr>
              <w:t>0,08</w:t>
            </w:r>
          </w:p>
        </w:tc>
        <w:tc>
          <w:tcPr>
            <w:tcW w:w="578" w:type="pct"/>
            <w:gridSpan w:val="2"/>
            <w:vAlign w:val="center"/>
          </w:tcPr>
          <w:p w14:paraId="72A6F138" w14:textId="0FB8E52D" w:rsidR="008B4FC3" w:rsidRPr="00EB1066" w:rsidRDefault="7D3EA5D6" w:rsidP="001F1040">
            <w:pPr>
              <w:pStyle w:val="CMR-tables"/>
              <w:keepNext/>
              <w:jc w:val="right"/>
              <w:rPr>
                <w:rFonts w:cs="Times New Roman"/>
                <w:noProof/>
                <w:szCs w:val="20"/>
              </w:rPr>
            </w:pPr>
            <w:r>
              <w:rPr>
                <w:noProof/>
                <w:color w:val="000000" w:themeColor="text1"/>
              </w:rPr>
              <w:t>0,76</w:t>
            </w:r>
          </w:p>
        </w:tc>
      </w:tr>
    </w:tbl>
    <w:p w14:paraId="50D8A571" w14:textId="0379BA62" w:rsidR="00422712" w:rsidRPr="00EB1066" w:rsidRDefault="00422712" w:rsidP="00422712">
      <w:pPr>
        <w:pStyle w:val="Caption"/>
        <w:keepNext/>
        <w:rPr>
          <w:noProof/>
          <w:sz w:val="20"/>
        </w:rPr>
      </w:pPr>
      <w:bookmarkStart w:id="104" w:name="_Ref179899545"/>
      <w:bookmarkEnd w:id="103"/>
      <w:r>
        <w:rPr>
          <w:noProof/>
          <w:sz w:val="20"/>
        </w:rPr>
        <w:t xml:space="preserve">Tabella </w:t>
      </w:r>
      <w:bookmarkEnd w:id="104"/>
      <w:r>
        <w:rPr>
          <w:noProof/>
          <w:sz w:val="20"/>
        </w:rPr>
        <w:t xml:space="preserve">9. Unità utilizzate a fini di conformità nel registro svizzero nel 2024. Gli operatori aerei sono quelli gestiti dalla Svizzera </w:t>
      </w:r>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057"/>
        <w:gridCol w:w="2625"/>
        <w:gridCol w:w="2516"/>
        <w:gridCol w:w="2020"/>
        <w:gridCol w:w="1417"/>
        <w:gridCol w:w="1562"/>
        <w:gridCol w:w="1133"/>
        <w:gridCol w:w="1618"/>
      </w:tblGrid>
      <w:tr w:rsidR="006036F8" w:rsidRPr="00EB1066" w14:paraId="5AD843AC" w14:textId="77777777" w:rsidTr="00325ED2">
        <w:trPr>
          <w:cantSplit/>
          <w:trHeight w:val="454"/>
        </w:trPr>
        <w:tc>
          <w:tcPr>
            <w:tcW w:w="379" w:type="pct"/>
            <w:vMerge w:val="restart"/>
            <w:textDirection w:val="btLr"/>
            <w:vAlign w:val="center"/>
          </w:tcPr>
          <w:p w14:paraId="61B9642A" w14:textId="70D095DE" w:rsidR="0095203A" w:rsidRPr="00EB1066" w:rsidRDefault="00000905" w:rsidP="00F03925">
            <w:pPr>
              <w:pStyle w:val="CMR-tables"/>
              <w:keepNext/>
              <w:ind w:left="113" w:right="113"/>
              <w:jc w:val="center"/>
              <w:rPr>
                <w:rFonts w:cs="Times New Roman"/>
                <w:b/>
                <w:noProof/>
                <w:szCs w:val="20"/>
              </w:rPr>
            </w:pPr>
            <w:r>
              <w:rPr>
                <w:b/>
                <w:noProof/>
              </w:rPr>
              <w:t>Impianti</w:t>
            </w:r>
          </w:p>
        </w:tc>
        <w:tc>
          <w:tcPr>
            <w:tcW w:w="941" w:type="pct"/>
            <w:vMerge w:val="restart"/>
            <w:vAlign w:val="center"/>
          </w:tcPr>
          <w:p w14:paraId="20448730" w14:textId="46A81D78" w:rsidR="0095203A" w:rsidRPr="00EB1066" w:rsidRDefault="0095203A" w:rsidP="001F1040">
            <w:pPr>
              <w:pStyle w:val="CMR-tables"/>
              <w:keepNext/>
              <w:jc w:val="center"/>
              <w:rPr>
                <w:rFonts w:cs="Times New Roman"/>
                <w:b/>
                <w:noProof/>
                <w:szCs w:val="20"/>
              </w:rPr>
            </w:pPr>
            <w:r>
              <w:rPr>
                <w:b/>
                <w:noProof/>
              </w:rPr>
              <w:t>Assegnazione gratuita</w:t>
            </w:r>
            <w:r>
              <w:rPr>
                <w:noProof/>
              </w:rPr>
              <w:br/>
            </w:r>
            <w:r>
              <w:rPr>
                <w:b/>
                <w:noProof/>
              </w:rPr>
              <w:t xml:space="preserve"> e vendita all</w:t>
            </w:r>
            <w:r w:rsidR="00F06D2E">
              <w:rPr>
                <w:b/>
                <w:noProof/>
              </w:rPr>
              <w:t>'</w:t>
            </w:r>
            <w:r>
              <w:rPr>
                <w:b/>
                <w:noProof/>
              </w:rPr>
              <w:t>asta</w:t>
            </w:r>
          </w:p>
        </w:tc>
        <w:tc>
          <w:tcPr>
            <w:tcW w:w="902" w:type="pct"/>
            <w:vMerge w:val="restart"/>
            <w:vAlign w:val="center"/>
          </w:tcPr>
          <w:p w14:paraId="0002ED72" w14:textId="77777777" w:rsidR="0095203A" w:rsidRPr="00EB1066" w:rsidRDefault="0095203A" w:rsidP="001F1040">
            <w:pPr>
              <w:pStyle w:val="CMR-tables"/>
              <w:keepNext/>
              <w:jc w:val="center"/>
              <w:rPr>
                <w:rFonts w:cs="Times New Roman"/>
                <w:b/>
                <w:noProof/>
                <w:szCs w:val="20"/>
              </w:rPr>
            </w:pPr>
            <w:r>
              <w:rPr>
                <w:b/>
                <w:noProof/>
              </w:rPr>
              <w:t>Emissioni verificate</w:t>
            </w:r>
          </w:p>
        </w:tc>
        <w:tc>
          <w:tcPr>
            <w:tcW w:w="724" w:type="pct"/>
            <w:vMerge w:val="restart"/>
            <w:vAlign w:val="center"/>
          </w:tcPr>
          <w:p w14:paraId="0B5BD9F3" w14:textId="77777777" w:rsidR="0095203A" w:rsidRPr="00EB1066" w:rsidRDefault="0095203A" w:rsidP="001F1040">
            <w:pPr>
              <w:pStyle w:val="CMR-tables"/>
              <w:keepNext/>
              <w:jc w:val="center"/>
              <w:rPr>
                <w:rFonts w:cs="Times New Roman"/>
                <w:b/>
                <w:noProof/>
                <w:szCs w:val="20"/>
              </w:rPr>
            </w:pPr>
            <w:r>
              <w:rPr>
                <w:b/>
                <w:noProof/>
              </w:rPr>
              <w:t>Unità restituite</w:t>
            </w:r>
          </w:p>
        </w:tc>
        <w:tc>
          <w:tcPr>
            <w:tcW w:w="1068" w:type="pct"/>
            <w:gridSpan w:val="2"/>
            <w:vAlign w:val="center"/>
          </w:tcPr>
          <w:p w14:paraId="5DC50735" w14:textId="77777777" w:rsidR="0095203A" w:rsidRPr="00EB1066" w:rsidRDefault="0095203A" w:rsidP="001F1040">
            <w:pPr>
              <w:pStyle w:val="CMR-tables"/>
              <w:keepNext/>
              <w:jc w:val="center"/>
              <w:rPr>
                <w:rFonts w:cs="Times New Roman"/>
                <w:b/>
                <w:noProof/>
                <w:szCs w:val="20"/>
              </w:rPr>
            </w:pPr>
            <w:r>
              <w:rPr>
                <w:b/>
                <w:noProof/>
              </w:rPr>
              <w:t>Quote EU ETS</w:t>
            </w:r>
          </w:p>
        </w:tc>
        <w:tc>
          <w:tcPr>
            <w:tcW w:w="986" w:type="pct"/>
            <w:gridSpan w:val="2"/>
            <w:vAlign w:val="center"/>
          </w:tcPr>
          <w:p w14:paraId="6AB2724F" w14:textId="77777777" w:rsidR="0095203A" w:rsidRPr="00EB1066" w:rsidRDefault="0095203A" w:rsidP="001F1040">
            <w:pPr>
              <w:pStyle w:val="CMR-tables"/>
              <w:keepNext/>
              <w:jc w:val="center"/>
              <w:rPr>
                <w:rFonts w:cs="Times New Roman"/>
                <w:b/>
                <w:noProof/>
                <w:szCs w:val="20"/>
              </w:rPr>
            </w:pPr>
            <w:r>
              <w:rPr>
                <w:b/>
                <w:noProof/>
              </w:rPr>
              <w:t>Quote ETS svizzero</w:t>
            </w:r>
          </w:p>
        </w:tc>
      </w:tr>
      <w:tr w:rsidR="006036F8" w:rsidRPr="00EB1066" w14:paraId="65F66B15" w14:textId="77777777" w:rsidTr="00325ED2">
        <w:trPr>
          <w:trHeight w:val="454"/>
        </w:trPr>
        <w:tc>
          <w:tcPr>
            <w:tcW w:w="379" w:type="pct"/>
            <w:vMerge/>
            <w:textDirection w:val="btLr"/>
            <w:vAlign w:val="center"/>
          </w:tcPr>
          <w:p w14:paraId="35A90ACE" w14:textId="77777777" w:rsidR="0095203A" w:rsidRPr="00EB1066" w:rsidRDefault="0095203A" w:rsidP="00F03925">
            <w:pPr>
              <w:pStyle w:val="CMR-tables"/>
              <w:keepNext/>
              <w:ind w:left="113" w:right="113"/>
              <w:jc w:val="center"/>
              <w:rPr>
                <w:rFonts w:cs="Times New Roman"/>
                <w:b/>
                <w:noProof/>
                <w:szCs w:val="20"/>
                <w:lang w:val="en-IE"/>
              </w:rPr>
            </w:pPr>
          </w:p>
        </w:tc>
        <w:tc>
          <w:tcPr>
            <w:tcW w:w="941" w:type="pct"/>
            <w:vMerge/>
          </w:tcPr>
          <w:p w14:paraId="31105B33" w14:textId="77777777" w:rsidR="0095203A" w:rsidRPr="00EB1066" w:rsidRDefault="0095203A" w:rsidP="00F03925">
            <w:pPr>
              <w:pStyle w:val="CMR-tables"/>
              <w:keepNext/>
              <w:rPr>
                <w:rFonts w:cs="Times New Roman"/>
                <w:noProof/>
                <w:szCs w:val="20"/>
                <w:lang w:val="en-IE"/>
              </w:rPr>
            </w:pPr>
          </w:p>
        </w:tc>
        <w:tc>
          <w:tcPr>
            <w:tcW w:w="902" w:type="pct"/>
            <w:vMerge/>
          </w:tcPr>
          <w:p w14:paraId="5B878F9D" w14:textId="77777777" w:rsidR="0095203A" w:rsidRPr="00EB1066" w:rsidRDefault="0095203A" w:rsidP="00F03925">
            <w:pPr>
              <w:pStyle w:val="CMR-tables"/>
              <w:keepNext/>
              <w:rPr>
                <w:rFonts w:cs="Times New Roman"/>
                <w:noProof/>
                <w:szCs w:val="20"/>
                <w:lang w:val="en-IE"/>
              </w:rPr>
            </w:pPr>
          </w:p>
        </w:tc>
        <w:tc>
          <w:tcPr>
            <w:tcW w:w="724" w:type="pct"/>
            <w:vMerge/>
          </w:tcPr>
          <w:p w14:paraId="7A9D5CF0" w14:textId="77777777" w:rsidR="0095203A" w:rsidRPr="00EB1066" w:rsidRDefault="0095203A" w:rsidP="00F03925">
            <w:pPr>
              <w:pStyle w:val="CMR-tables"/>
              <w:keepNext/>
              <w:rPr>
                <w:rFonts w:cs="Times New Roman"/>
                <w:noProof/>
                <w:szCs w:val="20"/>
                <w:lang w:val="en-IE"/>
              </w:rPr>
            </w:pPr>
          </w:p>
        </w:tc>
        <w:tc>
          <w:tcPr>
            <w:tcW w:w="508" w:type="pct"/>
            <w:vAlign w:val="center"/>
          </w:tcPr>
          <w:p w14:paraId="02035A67" w14:textId="77777777" w:rsidR="0095203A" w:rsidRPr="00EB1066" w:rsidRDefault="0095203A" w:rsidP="001F1040">
            <w:pPr>
              <w:pStyle w:val="CMR-tables"/>
              <w:keepNext/>
              <w:jc w:val="center"/>
              <w:rPr>
                <w:rFonts w:cs="Times New Roman"/>
                <w:i/>
                <w:noProof/>
                <w:szCs w:val="20"/>
              </w:rPr>
            </w:pPr>
            <w:r>
              <w:rPr>
                <w:i/>
                <w:noProof/>
              </w:rPr>
              <w:t>Generali</w:t>
            </w:r>
          </w:p>
        </w:tc>
        <w:tc>
          <w:tcPr>
            <w:tcW w:w="560" w:type="pct"/>
            <w:vAlign w:val="center"/>
          </w:tcPr>
          <w:p w14:paraId="55AFD498" w14:textId="77777777" w:rsidR="0095203A" w:rsidRPr="00EB1066" w:rsidRDefault="0095203A" w:rsidP="001F1040">
            <w:pPr>
              <w:pStyle w:val="CMR-tables"/>
              <w:keepNext/>
              <w:jc w:val="center"/>
              <w:rPr>
                <w:rFonts w:cs="Times New Roman"/>
                <w:i/>
                <w:noProof/>
                <w:szCs w:val="20"/>
              </w:rPr>
            </w:pPr>
            <w:r>
              <w:rPr>
                <w:i/>
                <w:noProof/>
              </w:rPr>
              <w:t>Trasporto aereo</w:t>
            </w:r>
          </w:p>
        </w:tc>
        <w:tc>
          <w:tcPr>
            <w:tcW w:w="406" w:type="pct"/>
            <w:vAlign w:val="center"/>
          </w:tcPr>
          <w:p w14:paraId="557BA762" w14:textId="77777777" w:rsidR="0095203A" w:rsidRPr="00EB1066" w:rsidRDefault="0095203A" w:rsidP="001F1040">
            <w:pPr>
              <w:pStyle w:val="CMR-tables"/>
              <w:keepNext/>
              <w:jc w:val="center"/>
              <w:rPr>
                <w:rFonts w:cs="Times New Roman"/>
                <w:i/>
                <w:noProof/>
                <w:szCs w:val="20"/>
              </w:rPr>
            </w:pPr>
            <w:r>
              <w:rPr>
                <w:i/>
                <w:noProof/>
              </w:rPr>
              <w:t>Generali</w:t>
            </w:r>
          </w:p>
        </w:tc>
        <w:tc>
          <w:tcPr>
            <w:tcW w:w="580" w:type="pct"/>
            <w:vAlign w:val="center"/>
          </w:tcPr>
          <w:p w14:paraId="03D1351E" w14:textId="77777777" w:rsidR="0095203A" w:rsidRPr="00EB1066" w:rsidRDefault="0095203A" w:rsidP="001F1040">
            <w:pPr>
              <w:pStyle w:val="CMR-tables"/>
              <w:keepNext/>
              <w:jc w:val="center"/>
              <w:rPr>
                <w:rFonts w:cs="Times New Roman"/>
                <w:i/>
                <w:noProof/>
                <w:szCs w:val="20"/>
              </w:rPr>
            </w:pPr>
            <w:r>
              <w:rPr>
                <w:i/>
                <w:noProof/>
              </w:rPr>
              <w:t>Trasporto aereo</w:t>
            </w:r>
          </w:p>
        </w:tc>
      </w:tr>
      <w:tr w:rsidR="006036F8" w:rsidRPr="00EB1066" w14:paraId="599C904F" w14:textId="77777777" w:rsidTr="00325ED2">
        <w:trPr>
          <w:cantSplit/>
          <w:trHeight w:val="454"/>
        </w:trPr>
        <w:tc>
          <w:tcPr>
            <w:tcW w:w="379" w:type="pct"/>
            <w:vMerge/>
            <w:textDirection w:val="btLr"/>
            <w:vAlign w:val="center"/>
          </w:tcPr>
          <w:p w14:paraId="7E96DF9C" w14:textId="77777777" w:rsidR="00C6376E" w:rsidRPr="00EB1066" w:rsidRDefault="00C6376E" w:rsidP="00C6376E">
            <w:pPr>
              <w:pStyle w:val="CMR-tables"/>
              <w:keepNext/>
              <w:ind w:left="113" w:right="113"/>
              <w:jc w:val="center"/>
              <w:rPr>
                <w:rFonts w:cs="Times New Roman"/>
                <w:b/>
                <w:noProof/>
                <w:szCs w:val="20"/>
                <w:lang w:val="en-IE"/>
              </w:rPr>
            </w:pPr>
          </w:p>
        </w:tc>
        <w:tc>
          <w:tcPr>
            <w:tcW w:w="941" w:type="pct"/>
            <w:shd w:val="clear" w:color="auto" w:fill="D9E2F3" w:themeFill="accent1" w:themeFillTint="33"/>
            <w:vAlign w:val="center"/>
          </w:tcPr>
          <w:p w14:paraId="7D0D5BA1" w14:textId="3A0A4BF4" w:rsidR="00C6376E" w:rsidRPr="00EB1066" w:rsidRDefault="009C3DE6" w:rsidP="001F1040">
            <w:pPr>
              <w:pStyle w:val="CMR-tables"/>
              <w:keepNext/>
              <w:jc w:val="right"/>
              <w:rPr>
                <w:rFonts w:cs="Times New Roman"/>
                <w:noProof/>
                <w:szCs w:val="20"/>
              </w:rPr>
            </w:pPr>
            <w:r>
              <w:rPr>
                <w:noProof/>
                <w:color w:val="000000"/>
              </w:rPr>
              <w:t>3 891 680</w:t>
            </w:r>
          </w:p>
        </w:tc>
        <w:tc>
          <w:tcPr>
            <w:tcW w:w="902" w:type="pct"/>
            <w:shd w:val="clear" w:color="auto" w:fill="D9E2F3" w:themeFill="accent1" w:themeFillTint="33"/>
            <w:vAlign w:val="center"/>
          </w:tcPr>
          <w:p w14:paraId="0481285A" w14:textId="73FD5BDB" w:rsidR="00C6376E" w:rsidRPr="00EB1066" w:rsidRDefault="0019774B" w:rsidP="001F1040">
            <w:pPr>
              <w:pStyle w:val="CMR-tables"/>
              <w:keepNext/>
              <w:jc w:val="right"/>
              <w:rPr>
                <w:rFonts w:cs="Times New Roman"/>
                <w:noProof/>
                <w:szCs w:val="20"/>
              </w:rPr>
            </w:pPr>
            <w:r>
              <w:rPr>
                <w:noProof/>
                <w:color w:val="000000"/>
              </w:rPr>
              <w:t>3 694 355</w:t>
            </w:r>
          </w:p>
        </w:tc>
        <w:tc>
          <w:tcPr>
            <w:tcW w:w="724" w:type="pct"/>
            <w:shd w:val="clear" w:color="auto" w:fill="D9E2F3" w:themeFill="accent1" w:themeFillTint="33"/>
            <w:vAlign w:val="center"/>
          </w:tcPr>
          <w:p w14:paraId="69F5B7B8" w14:textId="7FD4FD99" w:rsidR="00C6376E" w:rsidRPr="00EB1066" w:rsidRDefault="00482D14" w:rsidP="001F1040">
            <w:pPr>
              <w:pStyle w:val="CMR-tables"/>
              <w:keepNext/>
              <w:jc w:val="right"/>
              <w:rPr>
                <w:rFonts w:cs="Times New Roman"/>
                <w:noProof/>
                <w:szCs w:val="20"/>
              </w:rPr>
            </w:pPr>
            <w:r>
              <w:rPr>
                <w:noProof/>
                <w:color w:val="000000"/>
              </w:rPr>
              <w:t>3 677 899</w:t>
            </w:r>
          </w:p>
        </w:tc>
        <w:tc>
          <w:tcPr>
            <w:tcW w:w="508" w:type="pct"/>
            <w:shd w:val="clear" w:color="auto" w:fill="D9E2F3" w:themeFill="accent1" w:themeFillTint="33"/>
            <w:vAlign w:val="center"/>
          </w:tcPr>
          <w:p w14:paraId="1296026F" w14:textId="0EB08381" w:rsidR="00C6376E" w:rsidRPr="00EB1066" w:rsidRDefault="006B05D8" w:rsidP="001F1040">
            <w:pPr>
              <w:pStyle w:val="CMR-tables"/>
              <w:keepNext/>
              <w:jc w:val="right"/>
              <w:rPr>
                <w:rFonts w:cs="Times New Roman"/>
                <w:noProof/>
                <w:szCs w:val="20"/>
              </w:rPr>
            </w:pPr>
            <w:r>
              <w:rPr>
                <w:noProof/>
                <w:color w:val="000000"/>
              </w:rPr>
              <w:t>191 006</w:t>
            </w:r>
          </w:p>
        </w:tc>
        <w:tc>
          <w:tcPr>
            <w:tcW w:w="560" w:type="pct"/>
            <w:shd w:val="clear" w:color="auto" w:fill="D9E2F3" w:themeFill="accent1" w:themeFillTint="33"/>
            <w:vAlign w:val="center"/>
          </w:tcPr>
          <w:p w14:paraId="1FE82814" w14:textId="5182CCE9" w:rsidR="00C6376E" w:rsidRPr="00EB1066" w:rsidRDefault="00C6376E" w:rsidP="001F1040">
            <w:pPr>
              <w:pStyle w:val="CMR-tables"/>
              <w:keepNext/>
              <w:jc w:val="right"/>
              <w:rPr>
                <w:rFonts w:cs="Times New Roman"/>
                <w:noProof/>
                <w:szCs w:val="20"/>
              </w:rPr>
            </w:pPr>
            <w:r>
              <w:rPr>
                <w:noProof/>
                <w:color w:val="000000"/>
              </w:rPr>
              <w:t>0</w:t>
            </w:r>
          </w:p>
        </w:tc>
        <w:tc>
          <w:tcPr>
            <w:tcW w:w="406" w:type="pct"/>
            <w:shd w:val="clear" w:color="auto" w:fill="D9E2F3" w:themeFill="accent1" w:themeFillTint="33"/>
            <w:vAlign w:val="center"/>
          </w:tcPr>
          <w:p w14:paraId="2856533F" w14:textId="43E5B7F9" w:rsidR="00C6376E" w:rsidRPr="00EB1066" w:rsidRDefault="003A5EB9" w:rsidP="001F1040">
            <w:pPr>
              <w:pStyle w:val="CMR-tables"/>
              <w:keepNext/>
              <w:jc w:val="right"/>
              <w:rPr>
                <w:rFonts w:cs="Times New Roman"/>
                <w:noProof/>
                <w:szCs w:val="20"/>
              </w:rPr>
            </w:pPr>
            <w:r>
              <w:rPr>
                <w:noProof/>
                <w:color w:val="000000"/>
              </w:rPr>
              <w:t>3 433 205</w:t>
            </w:r>
          </w:p>
        </w:tc>
        <w:tc>
          <w:tcPr>
            <w:tcW w:w="580" w:type="pct"/>
            <w:shd w:val="clear" w:color="auto" w:fill="D9E2F3" w:themeFill="accent1" w:themeFillTint="33"/>
            <w:vAlign w:val="center"/>
          </w:tcPr>
          <w:p w14:paraId="12C45269" w14:textId="02C36137" w:rsidR="00C6376E" w:rsidRPr="00EB1066" w:rsidRDefault="00C83EC4" w:rsidP="001F1040">
            <w:pPr>
              <w:pStyle w:val="CMR-tables"/>
              <w:keepNext/>
              <w:jc w:val="right"/>
              <w:rPr>
                <w:rFonts w:cs="Times New Roman"/>
                <w:noProof/>
                <w:szCs w:val="20"/>
              </w:rPr>
            </w:pPr>
            <w:r>
              <w:rPr>
                <w:noProof/>
                <w:color w:val="000000"/>
              </w:rPr>
              <w:t>53 688</w:t>
            </w:r>
          </w:p>
        </w:tc>
      </w:tr>
      <w:tr w:rsidR="00B42513" w:rsidRPr="00EB1066" w14:paraId="4386030F" w14:textId="77777777" w:rsidTr="00325ED2">
        <w:trPr>
          <w:cantSplit/>
          <w:trHeight w:val="454"/>
        </w:trPr>
        <w:tc>
          <w:tcPr>
            <w:tcW w:w="379" w:type="pct"/>
            <w:vMerge/>
            <w:textDirection w:val="btLr"/>
            <w:vAlign w:val="center"/>
          </w:tcPr>
          <w:p w14:paraId="06D5439F" w14:textId="77777777" w:rsidR="00B42513" w:rsidRPr="00EB1066" w:rsidRDefault="00B42513" w:rsidP="00B42513">
            <w:pPr>
              <w:pStyle w:val="CMR-tables"/>
              <w:keepNext/>
              <w:ind w:left="113" w:right="113"/>
              <w:jc w:val="center"/>
              <w:rPr>
                <w:rFonts w:cs="Times New Roman"/>
                <w:b/>
                <w:noProof/>
                <w:szCs w:val="20"/>
                <w:lang w:val="en-IE"/>
              </w:rPr>
            </w:pPr>
          </w:p>
        </w:tc>
        <w:tc>
          <w:tcPr>
            <w:tcW w:w="2567" w:type="pct"/>
            <w:gridSpan w:val="3"/>
            <w:vAlign w:val="center"/>
          </w:tcPr>
          <w:p w14:paraId="3E8FCF7A" w14:textId="77777777" w:rsidR="00B42513" w:rsidRPr="00EB1066" w:rsidRDefault="00B42513" w:rsidP="00B42513">
            <w:pPr>
              <w:pStyle w:val="CMR-tables"/>
              <w:keepNext/>
              <w:jc w:val="center"/>
              <w:rPr>
                <w:rFonts w:cs="Times New Roman"/>
                <w:i/>
                <w:noProof/>
                <w:szCs w:val="20"/>
              </w:rPr>
            </w:pPr>
            <w:r>
              <w:rPr>
                <w:i/>
                <w:noProof/>
              </w:rPr>
              <w:t>% del totale</w:t>
            </w:r>
          </w:p>
        </w:tc>
        <w:tc>
          <w:tcPr>
            <w:tcW w:w="508" w:type="pct"/>
            <w:vAlign w:val="center"/>
          </w:tcPr>
          <w:p w14:paraId="2E175550" w14:textId="1C751BCD" w:rsidR="00B42513" w:rsidRPr="00EB1066" w:rsidRDefault="005E06C6" w:rsidP="001F1040">
            <w:pPr>
              <w:pStyle w:val="CMR-tables"/>
              <w:keepNext/>
              <w:jc w:val="right"/>
              <w:rPr>
                <w:rFonts w:cs="Times New Roman"/>
                <w:noProof/>
                <w:szCs w:val="20"/>
              </w:rPr>
            </w:pPr>
            <w:r>
              <w:rPr>
                <w:noProof/>
                <w:color w:val="000000"/>
              </w:rPr>
              <w:t>5,19</w:t>
            </w:r>
          </w:p>
        </w:tc>
        <w:tc>
          <w:tcPr>
            <w:tcW w:w="560" w:type="pct"/>
            <w:vAlign w:val="center"/>
          </w:tcPr>
          <w:p w14:paraId="5030974F" w14:textId="319AE1FD" w:rsidR="00B42513" w:rsidRPr="00EB1066" w:rsidRDefault="00B42513" w:rsidP="001F1040">
            <w:pPr>
              <w:pStyle w:val="CMR-tables"/>
              <w:keepNext/>
              <w:jc w:val="right"/>
              <w:rPr>
                <w:rFonts w:cs="Times New Roman"/>
                <w:noProof/>
                <w:szCs w:val="20"/>
              </w:rPr>
            </w:pPr>
            <w:r>
              <w:rPr>
                <w:noProof/>
              </w:rPr>
              <w:t>-</w:t>
            </w:r>
          </w:p>
        </w:tc>
        <w:tc>
          <w:tcPr>
            <w:tcW w:w="406" w:type="pct"/>
            <w:vAlign w:val="center"/>
          </w:tcPr>
          <w:p w14:paraId="732982D8" w14:textId="53B85061" w:rsidR="00B42513" w:rsidRPr="00EB1066" w:rsidRDefault="00B82763" w:rsidP="001F1040">
            <w:pPr>
              <w:pStyle w:val="CMR-tables"/>
              <w:keepNext/>
              <w:jc w:val="right"/>
              <w:rPr>
                <w:rFonts w:cs="Times New Roman"/>
                <w:noProof/>
                <w:szCs w:val="20"/>
              </w:rPr>
            </w:pPr>
            <w:r>
              <w:rPr>
                <w:noProof/>
              </w:rPr>
              <w:t>93,35</w:t>
            </w:r>
          </w:p>
        </w:tc>
        <w:tc>
          <w:tcPr>
            <w:tcW w:w="580" w:type="pct"/>
            <w:vAlign w:val="center"/>
          </w:tcPr>
          <w:p w14:paraId="1A8D8DCF" w14:textId="60F07FF7" w:rsidR="00B42513" w:rsidRPr="00EB1066" w:rsidRDefault="00A8231D" w:rsidP="001F1040">
            <w:pPr>
              <w:pStyle w:val="CMR-tables"/>
              <w:keepNext/>
              <w:jc w:val="right"/>
              <w:rPr>
                <w:rFonts w:cs="Times New Roman"/>
                <w:noProof/>
                <w:szCs w:val="20"/>
              </w:rPr>
            </w:pPr>
            <w:r>
              <w:rPr>
                <w:noProof/>
              </w:rPr>
              <w:t>1,46</w:t>
            </w:r>
          </w:p>
        </w:tc>
      </w:tr>
      <w:tr w:rsidR="002B72B3" w:rsidRPr="00EB1066" w14:paraId="5213CF1A" w14:textId="77777777" w:rsidTr="00325ED2">
        <w:trPr>
          <w:cantSplit/>
          <w:trHeight w:val="454"/>
        </w:trPr>
        <w:tc>
          <w:tcPr>
            <w:tcW w:w="379" w:type="pct"/>
            <w:vMerge w:val="restart"/>
            <w:textDirection w:val="btLr"/>
            <w:vAlign w:val="center"/>
          </w:tcPr>
          <w:p w14:paraId="5E4EFD57" w14:textId="670CAC72" w:rsidR="0095203A" w:rsidRPr="00EB1066" w:rsidRDefault="0095203A" w:rsidP="007818FB">
            <w:pPr>
              <w:pStyle w:val="CMR-tables"/>
              <w:keepNext/>
              <w:ind w:left="113" w:right="113"/>
              <w:jc w:val="center"/>
              <w:rPr>
                <w:rFonts w:cs="Times New Roman"/>
                <w:b/>
                <w:noProof/>
                <w:szCs w:val="20"/>
              </w:rPr>
            </w:pPr>
            <w:r>
              <w:rPr>
                <w:b/>
                <w:noProof/>
              </w:rPr>
              <w:t>Operatori aerei</w:t>
            </w:r>
          </w:p>
        </w:tc>
        <w:tc>
          <w:tcPr>
            <w:tcW w:w="941" w:type="pct"/>
            <w:vMerge w:val="restart"/>
            <w:vAlign w:val="center"/>
          </w:tcPr>
          <w:p w14:paraId="1759CB06" w14:textId="1A57E4E5" w:rsidR="0095203A" w:rsidRPr="00EB1066" w:rsidRDefault="0095203A" w:rsidP="001F1040">
            <w:pPr>
              <w:pStyle w:val="CMR-tables"/>
              <w:keepNext/>
              <w:jc w:val="center"/>
              <w:rPr>
                <w:rFonts w:cs="Times New Roman"/>
                <w:b/>
                <w:noProof/>
                <w:szCs w:val="20"/>
              </w:rPr>
            </w:pPr>
            <w:bookmarkStart w:id="105" w:name="_Ref115774290"/>
            <w:r>
              <w:rPr>
                <w:b/>
                <w:noProof/>
              </w:rPr>
              <w:t>Assegnazione gratuita (anche nell</w:t>
            </w:r>
            <w:r w:rsidR="00F06D2E">
              <w:rPr>
                <w:b/>
                <w:noProof/>
              </w:rPr>
              <w:t>'</w:t>
            </w:r>
            <w:r>
              <w:rPr>
                <w:b/>
                <w:noProof/>
              </w:rPr>
              <w:t>EU ETS) e vendita all</w:t>
            </w:r>
            <w:r w:rsidR="00F06D2E">
              <w:rPr>
                <w:b/>
                <w:noProof/>
              </w:rPr>
              <w:t>'</w:t>
            </w:r>
            <w:r>
              <w:rPr>
                <w:b/>
                <w:noProof/>
              </w:rPr>
              <w:t>asta</w:t>
            </w:r>
          </w:p>
        </w:tc>
        <w:tc>
          <w:tcPr>
            <w:tcW w:w="902" w:type="pct"/>
            <w:vMerge w:val="restart"/>
            <w:vAlign w:val="center"/>
          </w:tcPr>
          <w:p w14:paraId="6ACE658A" w14:textId="0B4876CA" w:rsidR="0095203A" w:rsidRPr="00EB1066" w:rsidRDefault="0095203A" w:rsidP="001F1040">
            <w:pPr>
              <w:pStyle w:val="CMR-tables"/>
              <w:keepNext/>
              <w:jc w:val="center"/>
              <w:rPr>
                <w:rFonts w:cs="Times New Roman"/>
                <w:b/>
                <w:noProof/>
                <w:szCs w:val="20"/>
              </w:rPr>
            </w:pPr>
            <w:r>
              <w:rPr>
                <w:b/>
                <w:noProof/>
              </w:rPr>
              <w:t>Emissioni verificate (anche</w:t>
            </w:r>
            <w:r w:rsidR="00325ED2">
              <w:rPr>
                <w:b/>
                <w:noProof/>
              </w:rPr>
              <w:t> </w:t>
            </w:r>
            <w:r>
              <w:rPr>
                <w:b/>
                <w:noProof/>
              </w:rPr>
              <w:t>nell</w:t>
            </w:r>
            <w:r w:rsidR="00F06D2E">
              <w:rPr>
                <w:b/>
                <w:noProof/>
              </w:rPr>
              <w:t>'</w:t>
            </w:r>
            <w:r>
              <w:rPr>
                <w:b/>
                <w:noProof/>
              </w:rPr>
              <w:t>ambito</w:t>
            </w:r>
            <w:r>
              <w:rPr>
                <w:noProof/>
              </w:rPr>
              <w:br/>
            </w:r>
            <w:r>
              <w:rPr>
                <w:b/>
                <w:noProof/>
              </w:rPr>
              <w:t>dell</w:t>
            </w:r>
            <w:r w:rsidR="00F06D2E">
              <w:rPr>
                <w:b/>
                <w:noProof/>
              </w:rPr>
              <w:t>'</w:t>
            </w:r>
            <w:r>
              <w:rPr>
                <w:b/>
                <w:noProof/>
              </w:rPr>
              <w:t>EU ETS)</w:t>
            </w:r>
          </w:p>
        </w:tc>
        <w:tc>
          <w:tcPr>
            <w:tcW w:w="724" w:type="pct"/>
            <w:vMerge w:val="restart"/>
            <w:vAlign w:val="center"/>
          </w:tcPr>
          <w:p w14:paraId="0B1A6076" w14:textId="77777777" w:rsidR="0095203A" w:rsidRPr="00EB1066" w:rsidRDefault="0095203A" w:rsidP="001F1040">
            <w:pPr>
              <w:pStyle w:val="CMR-tables"/>
              <w:keepNext/>
              <w:jc w:val="center"/>
              <w:rPr>
                <w:rFonts w:cs="Times New Roman"/>
                <w:b/>
                <w:noProof/>
                <w:szCs w:val="20"/>
              </w:rPr>
            </w:pPr>
            <w:r>
              <w:rPr>
                <w:b/>
                <w:noProof/>
              </w:rPr>
              <w:t>Unità restituite</w:t>
            </w:r>
          </w:p>
        </w:tc>
        <w:tc>
          <w:tcPr>
            <w:tcW w:w="1068" w:type="pct"/>
            <w:gridSpan w:val="2"/>
            <w:vAlign w:val="center"/>
          </w:tcPr>
          <w:p w14:paraId="0DF35621" w14:textId="77777777" w:rsidR="0095203A" w:rsidRPr="00EB1066" w:rsidRDefault="0095203A" w:rsidP="001F1040">
            <w:pPr>
              <w:pStyle w:val="CMR-tables"/>
              <w:keepNext/>
              <w:jc w:val="center"/>
              <w:rPr>
                <w:rFonts w:cs="Times New Roman"/>
                <w:b/>
                <w:noProof/>
                <w:szCs w:val="20"/>
              </w:rPr>
            </w:pPr>
            <w:r>
              <w:rPr>
                <w:b/>
                <w:noProof/>
              </w:rPr>
              <w:t>Quote EU ETS</w:t>
            </w:r>
          </w:p>
        </w:tc>
        <w:tc>
          <w:tcPr>
            <w:tcW w:w="986" w:type="pct"/>
            <w:gridSpan w:val="2"/>
            <w:vAlign w:val="center"/>
          </w:tcPr>
          <w:p w14:paraId="4B3BD980" w14:textId="77777777" w:rsidR="0095203A" w:rsidRPr="00EB1066" w:rsidRDefault="0095203A" w:rsidP="001F1040">
            <w:pPr>
              <w:pStyle w:val="CMR-tables"/>
              <w:keepNext/>
              <w:jc w:val="center"/>
              <w:rPr>
                <w:rFonts w:cs="Times New Roman"/>
                <w:b/>
                <w:noProof/>
                <w:szCs w:val="20"/>
              </w:rPr>
            </w:pPr>
            <w:r>
              <w:rPr>
                <w:b/>
                <w:noProof/>
              </w:rPr>
              <w:t>Quote ETS svizzero</w:t>
            </w:r>
          </w:p>
        </w:tc>
      </w:tr>
      <w:tr w:rsidR="006036F8" w:rsidRPr="00EB1066" w14:paraId="1CA67337" w14:textId="77777777" w:rsidTr="00325ED2">
        <w:trPr>
          <w:trHeight w:val="454"/>
        </w:trPr>
        <w:tc>
          <w:tcPr>
            <w:tcW w:w="379" w:type="pct"/>
            <w:vMerge/>
          </w:tcPr>
          <w:p w14:paraId="5CFCFCD9" w14:textId="77777777" w:rsidR="0095203A" w:rsidRPr="00EB1066" w:rsidRDefault="0095203A" w:rsidP="00F03925">
            <w:pPr>
              <w:pStyle w:val="CMR-tables"/>
              <w:keepNext/>
              <w:rPr>
                <w:rFonts w:cs="Times New Roman"/>
                <w:noProof/>
                <w:szCs w:val="20"/>
                <w:lang w:val="en-IE"/>
              </w:rPr>
            </w:pPr>
          </w:p>
        </w:tc>
        <w:tc>
          <w:tcPr>
            <w:tcW w:w="941" w:type="pct"/>
            <w:vMerge/>
            <w:vAlign w:val="center"/>
          </w:tcPr>
          <w:p w14:paraId="707CF9F4" w14:textId="77777777" w:rsidR="0095203A" w:rsidRPr="00EB1066" w:rsidRDefault="0095203A" w:rsidP="00F03925">
            <w:pPr>
              <w:pStyle w:val="CMR-tables"/>
              <w:keepNext/>
              <w:rPr>
                <w:rFonts w:cs="Times New Roman"/>
                <w:noProof/>
                <w:szCs w:val="20"/>
                <w:lang w:val="en-IE"/>
              </w:rPr>
            </w:pPr>
          </w:p>
        </w:tc>
        <w:tc>
          <w:tcPr>
            <w:tcW w:w="902" w:type="pct"/>
            <w:vMerge/>
            <w:vAlign w:val="center"/>
          </w:tcPr>
          <w:p w14:paraId="058DFFC7" w14:textId="77777777" w:rsidR="0095203A" w:rsidRPr="00EB1066" w:rsidRDefault="0095203A" w:rsidP="00F03925">
            <w:pPr>
              <w:pStyle w:val="CMR-tables"/>
              <w:keepNext/>
              <w:rPr>
                <w:rFonts w:cs="Times New Roman"/>
                <w:noProof/>
                <w:szCs w:val="20"/>
                <w:lang w:val="en-IE"/>
              </w:rPr>
            </w:pPr>
          </w:p>
        </w:tc>
        <w:tc>
          <w:tcPr>
            <w:tcW w:w="724" w:type="pct"/>
            <w:vMerge/>
            <w:vAlign w:val="center"/>
          </w:tcPr>
          <w:p w14:paraId="339A2BC4" w14:textId="77777777" w:rsidR="0095203A" w:rsidRPr="00EB1066" w:rsidRDefault="0095203A" w:rsidP="00F03925">
            <w:pPr>
              <w:pStyle w:val="CMR-tables"/>
              <w:keepNext/>
              <w:rPr>
                <w:rFonts w:cs="Times New Roman"/>
                <w:noProof/>
                <w:szCs w:val="20"/>
                <w:lang w:val="en-IE"/>
              </w:rPr>
            </w:pPr>
          </w:p>
        </w:tc>
        <w:tc>
          <w:tcPr>
            <w:tcW w:w="508" w:type="pct"/>
            <w:vAlign w:val="center"/>
          </w:tcPr>
          <w:p w14:paraId="3C8DDA11" w14:textId="77777777" w:rsidR="0095203A" w:rsidRPr="00EB1066" w:rsidRDefault="0095203A" w:rsidP="001F1040">
            <w:pPr>
              <w:pStyle w:val="CMR-tables"/>
              <w:keepNext/>
              <w:jc w:val="center"/>
              <w:rPr>
                <w:rFonts w:cs="Times New Roman"/>
                <w:i/>
                <w:noProof/>
                <w:szCs w:val="20"/>
              </w:rPr>
            </w:pPr>
            <w:r>
              <w:rPr>
                <w:i/>
                <w:noProof/>
              </w:rPr>
              <w:t>Generali</w:t>
            </w:r>
          </w:p>
        </w:tc>
        <w:tc>
          <w:tcPr>
            <w:tcW w:w="560" w:type="pct"/>
            <w:vAlign w:val="center"/>
          </w:tcPr>
          <w:p w14:paraId="28F38C2E" w14:textId="77777777" w:rsidR="0095203A" w:rsidRPr="00EB1066" w:rsidRDefault="0095203A" w:rsidP="001F1040">
            <w:pPr>
              <w:pStyle w:val="CMR-tables"/>
              <w:keepNext/>
              <w:jc w:val="center"/>
              <w:rPr>
                <w:rFonts w:cs="Times New Roman"/>
                <w:i/>
                <w:noProof/>
                <w:szCs w:val="20"/>
              </w:rPr>
            </w:pPr>
            <w:r>
              <w:rPr>
                <w:i/>
                <w:noProof/>
              </w:rPr>
              <w:t>Trasporto aereo</w:t>
            </w:r>
          </w:p>
        </w:tc>
        <w:tc>
          <w:tcPr>
            <w:tcW w:w="406" w:type="pct"/>
            <w:vAlign w:val="center"/>
          </w:tcPr>
          <w:p w14:paraId="22557790" w14:textId="77777777" w:rsidR="0095203A" w:rsidRPr="00EB1066" w:rsidRDefault="0095203A" w:rsidP="001F1040">
            <w:pPr>
              <w:pStyle w:val="CMR-tables"/>
              <w:keepNext/>
              <w:jc w:val="center"/>
              <w:rPr>
                <w:rFonts w:cs="Times New Roman"/>
                <w:i/>
                <w:noProof/>
                <w:szCs w:val="20"/>
              </w:rPr>
            </w:pPr>
            <w:r>
              <w:rPr>
                <w:i/>
                <w:noProof/>
              </w:rPr>
              <w:t>Generali</w:t>
            </w:r>
          </w:p>
        </w:tc>
        <w:tc>
          <w:tcPr>
            <w:tcW w:w="580" w:type="pct"/>
            <w:vAlign w:val="center"/>
          </w:tcPr>
          <w:p w14:paraId="43D8814A" w14:textId="77777777" w:rsidR="0095203A" w:rsidRPr="00EB1066" w:rsidRDefault="0095203A" w:rsidP="001F1040">
            <w:pPr>
              <w:pStyle w:val="CMR-tables"/>
              <w:keepNext/>
              <w:jc w:val="center"/>
              <w:rPr>
                <w:rFonts w:cs="Times New Roman"/>
                <w:i/>
                <w:noProof/>
                <w:szCs w:val="20"/>
              </w:rPr>
            </w:pPr>
            <w:r>
              <w:rPr>
                <w:i/>
                <w:noProof/>
              </w:rPr>
              <w:t>Trasporto aereo</w:t>
            </w:r>
          </w:p>
        </w:tc>
      </w:tr>
      <w:tr w:rsidR="006036F8" w:rsidRPr="00EB1066" w14:paraId="601A0D0F" w14:textId="77777777" w:rsidTr="00325ED2">
        <w:trPr>
          <w:trHeight w:val="454"/>
        </w:trPr>
        <w:tc>
          <w:tcPr>
            <w:tcW w:w="379" w:type="pct"/>
            <w:vMerge/>
          </w:tcPr>
          <w:p w14:paraId="5C9819A9" w14:textId="77777777" w:rsidR="000B4852" w:rsidRPr="00EB1066" w:rsidRDefault="000B4852" w:rsidP="000B4852">
            <w:pPr>
              <w:pStyle w:val="CMR-tables"/>
              <w:keepNext/>
              <w:rPr>
                <w:rFonts w:cs="Times New Roman"/>
                <w:noProof/>
                <w:szCs w:val="20"/>
                <w:lang w:val="en-IE"/>
              </w:rPr>
            </w:pPr>
          </w:p>
        </w:tc>
        <w:tc>
          <w:tcPr>
            <w:tcW w:w="941" w:type="pct"/>
            <w:shd w:val="clear" w:color="auto" w:fill="D9E2F3" w:themeFill="accent1" w:themeFillTint="33"/>
            <w:vAlign w:val="center"/>
          </w:tcPr>
          <w:p w14:paraId="521D557D" w14:textId="20C6226E" w:rsidR="000B4852" w:rsidRPr="00EB1066" w:rsidRDefault="37614C91" w:rsidP="001F1040">
            <w:pPr>
              <w:pStyle w:val="CMR-tables"/>
              <w:keepNext/>
              <w:jc w:val="right"/>
              <w:rPr>
                <w:rFonts w:cs="Times New Roman"/>
                <w:noProof/>
                <w:szCs w:val="20"/>
              </w:rPr>
            </w:pPr>
            <w:r>
              <w:rPr>
                <w:noProof/>
                <w:color w:val="000000" w:themeColor="text1"/>
              </w:rPr>
              <w:t>1 118 087</w:t>
            </w:r>
          </w:p>
        </w:tc>
        <w:tc>
          <w:tcPr>
            <w:tcW w:w="902" w:type="pct"/>
            <w:shd w:val="clear" w:color="auto" w:fill="D9E2F3" w:themeFill="accent1" w:themeFillTint="33"/>
            <w:vAlign w:val="center"/>
          </w:tcPr>
          <w:p w14:paraId="4A65883B" w14:textId="52DE4718" w:rsidR="000B4852" w:rsidRPr="00EB1066" w:rsidRDefault="599B81EC" w:rsidP="0A98DA47">
            <w:pPr>
              <w:pStyle w:val="CMR-tables"/>
              <w:keepNext/>
              <w:jc w:val="right"/>
              <w:rPr>
                <w:rFonts w:eastAsia="Times New Roman" w:cs="Times New Roman"/>
                <w:noProof/>
                <w:szCs w:val="20"/>
              </w:rPr>
            </w:pPr>
            <w:r>
              <w:rPr>
                <w:noProof/>
                <w:color w:val="000000" w:themeColor="text1"/>
              </w:rPr>
              <w:t>1 990 349</w:t>
            </w:r>
          </w:p>
        </w:tc>
        <w:tc>
          <w:tcPr>
            <w:tcW w:w="724" w:type="pct"/>
            <w:shd w:val="clear" w:color="auto" w:fill="D9E2F3" w:themeFill="accent1" w:themeFillTint="33"/>
            <w:vAlign w:val="center"/>
          </w:tcPr>
          <w:p w14:paraId="342827E2" w14:textId="3EF1959B" w:rsidR="000B4852" w:rsidRPr="00EB1066" w:rsidRDefault="1B964664" w:rsidP="001F1040">
            <w:pPr>
              <w:pStyle w:val="CMR-tables"/>
              <w:keepNext/>
              <w:jc w:val="right"/>
              <w:rPr>
                <w:rFonts w:cs="Times New Roman"/>
                <w:noProof/>
                <w:szCs w:val="20"/>
              </w:rPr>
            </w:pPr>
            <w:r>
              <w:rPr>
                <w:noProof/>
                <w:color w:val="000000" w:themeColor="text1"/>
              </w:rPr>
              <w:t>1 990 349</w:t>
            </w:r>
          </w:p>
        </w:tc>
        <w:tc>
          <w:tcPr>
            <w:tcW w:w="508" w:type="pct"/>
            <w:shd w:val="clear" w:color="auto" w:fill="D9E2F3" w:themeFill="accent1" w:themeFillTint="33"/>
            <w:vAlign w:val="center"/>
          </w:tcPr>
          <w:p w14:paraId="038EEAE3" w14:textId="142084B3" w:rsidR="000B4852" w:rsidRPr="00EB1066" w:rsidRDefault="5CD5FC3E" w:rsidP="001F1040">
            <w:pPr>
              <w:pStyle w:val="CMR-tables"/>
              <w:keepNext/>
              <w:jc w:val="right"/>
              <w:rPr>
                <w:rFonts w:cs="Times New Roman"/>
                <w:noProof/>
                <w:szCs w:val="20"/>
              </w:rPr>
            </w:pPr>
            <w:r>
              <w:rPr>
                <w:noProof/>
                <w:color w:val="000000" w:themeColor="text1"/>
              </w:rPr>
              <w:t>1 301 096</w:t>
            </w:r>
          </w:p>
        </w:tc>
        <w:tc>
          <w:tcPr>
            <w:tcW w:w="560" w:type="pct"/>
            <w:shd w:val="clear" w:color="auto" w:fill="D9E2F3" w:themeFill="accent1" w:themeFillTint="33"/>
            <w:vAlign w:val="center"/>
          </w:tcPr>
          <w:p w14:paraId="1CD5BB84" w14:textId="1F7BA9FB" w:rsidR="000B4852" w:rsidRPr="00EB1066" w:rsidRDefault="236A9EF5" w:rsidP="001F1040">
            <w:pPr>
              <w:pStyle w:val="CMR-tables"/>
              <w:keepNext/>
              <w:jc w:val="right"/>
              <w:rPr>
                <w:rFonts w:cs="Times New Roman"/>
                <w:noProof/>
                <w:szCs w:val="20"/>
              </w:rPr>
            </w:pPr>
            <w:r>
              <w:rPr>
                <w:noProof/>
                <w:color w:val="000000" w:themeColor="text1"/>
              </w:rPr>
              <w:t>283 515</w:t>
            </w:r>
          </w:p>
        </w:tc>
        <w:tc>
          <w:tcPr>
            <w:tcW w:w="406" w:type="pct"/>
            <w:shd w:val="clear" w:color="auto" w:fill="D9E2F3" w:themeFill="accent1" w:themeFillTint="33"/>
            <w:vAlign w:val="center"/>
          </w:tcPr>
          <w:p w14:paraId="4E878182" w14:textId="1F848299" w:rsidR="000B4852" w:rsidRPr="00EB1066" w:rsidRDefault="18E751FF" w:rsidP="001F1040">
            <w:pPr>
              <w:pStyle w:val="CMR-tables"/>
              <w:keepNext/>
              <w:jc w:val="right"/>
              <w:rPr>
                <w:rFonts w:cs="Times New Roman"/>
                <w:noProof/>
                <w:szCs w:val="20"/>
              </w:rPr>
            </w:pPr>
            <w:r>
              <w:rPr>
                <w:noProof/>
                <w:color w:val="000000" w:themeColor="text1"/>
              </w:rPr>
              <w:t>3 372</w:t>
            </w:r>
          </w:p>
        </w:tc>
        <w:tc>
          <w:tcPr>
            <w:tcW w:w="580" w:type="pct"/>
            <w:shd w:val="clear" w:color="auto" w:fill="D9E2F3" w:themeFill="accent1" w:themeFillTint="33"/>
            <w:vAlign w:val="center"/>
          </w:tcPr>
          <w:p w14:paraId="3F8027CD" w14:textId="386AF4B2" w:rsidR="000B4852" w:rsidRPr="00EB1066" w:rsidRDefault="493CFEAE" w:rsidP="001F1040">
            <w:pPr>
              <w:pStyle w:val="CMR-tables"/>
              <w:keepNext/>
              <w:jc w:val="right"/>
              <w:rPr>
                <w:rFonts w:cs="Times New Roman"/>
                <w:noProof/>
                <w:szCs w:val="20"/>
              </w:rPr>
            </w:pPr>
            <w:r>
              <w:rPr>
                <w:noProof/>
                <w:color w:val="000000" w:themeColor="text1"/>
              </w:rPr>
              <w:t>402 366</w:t>
            </w:r>
          </w:p>
        </w:tc>
      </w:tr>
      <w:tr w:rsidR="00B72CCE" w:rsidRPr="00EB1066" w14:paraId="6FDADB53" w14:textId="77777777" w:rsidTr="00325ED2">
        <w:trPr>
          <w:trHeight w:val="454"/>
        </w:trPr>
        <w:tc>
          <w:tcPr>
            <w:tcW w:w="379" w:type="pct"/>
            <w:vMerge/>
          </w:tcPr>
          <w:p w14:paraId="0272BE34" w14:textId="77777777" w:rsidR="00B72CCE" w:rsidRPr="00EB1066" w:rsidRDefault="00B72CCE" w:rsidP="00B72CCE">
            <w:pPr>
              <w:pStyle w:val="CMR-tables"/>
              <w:keepNext/>
              <w:rPr>
                <w:rFonts w:cs="Times New Roman"/>
                <w:noProof/>
                <w:szCs w:val="20"/>
                <w:lang w:val="en-IE"/>
              </w:rPr>
            </w:pPr>
          </w:p>
        </w:tc>
        <w:tc>
          <w:tcPr>
            <w:tcW w:w="2567" w:type="pct"/>
            <w:gridSpan w:val="3"/>
            <w:vAlign w:val="center"/>
          </w:tcPr>
          <w:p w14:paraId="06F79228" w14:textId="77777777" w:rsidR="00B72CCE" w:rsidRPr="00EB1066" w:rsidRDefault="00B72CCE" w:rsidP="00B72CCE">
            <w:pPr>
              <w:pStyle w:val="CMR-tables"/>
              <w:keepNext/>
              <w:jc w:val="center"/>
              <w:rPr>
                <w:rFonts w:cs="Times New Roman"/>
                <w:b/>
                <w:i/>
                <w:noProof/>
                <w:szCs w:val="20"/>
              </w:rPr>
            </w:pPr>
            <w:r>
              <w:rPr>
                <w:b/>
                <w:i/>
                <w:noProof/>
              </w:rPr>
              <w:t>% del totale</w:t>
            </w:r>
          </w:p>
        </w:tc>
        <w:tc>
          <w:tcPr>
            <w:tcW w:w="508" w:type="pct"/>
            <w:vAlign w:val="center"/>
          </w:tcPr>
          <w:p w14:paraId="62AEC406" w14:textId="20E2B20D" w:rsidR="00B72CCE" w:rsidRPr="00EB1066" w:rsidRDefault="4518C0D4" w:rsidP="001F1040">
            <w:pPr>
              <w:pStyle w:val="CMR-tables"/>
              <w:keepNext/>
              <w:jc w:val="right"/>
              <w:rPr>
                <w:rFonts w:cs="Times New Roman"/>
                <w:noProof/>
                <w:szCs w:val="20"/>
              </w:rPr>
            </w:pPr>
            <w:r>
              <w:rPr>
                <w:noProof/>
                <w:color w:val="000000" w:themeColor="text1"/>
              </w:rPr>
              <w:t>65,3</w:t>
            </w:r>
          </w:p>
        </w:tc>
        <w:tc>
          <w:tcPr>
            <w:tcW w:w="560" w:type="pct"/>
            <w:vAlign w:val="center"/>
          </w:tcPr>
          <w:p w14:paraId="65A3138D" w14:textId="690C6785" w:rsidR="00B72CCE" w:rsidRPr="00EB1066" w:rsidRDefault="18CE3E28" w:rsidP="001F1040">
            <w:pPr>
              <w:pStyle w:val="CMR-tables"/>
              <w:keepNext/>
              <w:jc w:val="right"/>
              <w:rPr>
                <w:rFonts w:cs="Times New Roman"/>
                <w:noProof/>
                <w:szCs w:val="20"/>
              </w:rPr>
            </w:pPr>
            <w:r>
              <w:rPr>
                <w:noProof/>
                <w:color w:val="000000" w:themeColor="text1"/>
              </w:rPr>
              <w:t>14,24</w:t>
            </w:r>
          </w:p>
        </w:tc>
        <w:tc>
          <w:tcPr>
            <w:tcW w:w="406" w:type="pct"/>
            <w:vAlign w:val="center"/>
          </w:tcPr>
          <w:p w14:paraId="3C320308" w14:textId="1C5D73A4" w:rsidR="00B72CCE" w:rsidRPr="00EB1066" w:rsidRDefault="2689B561" w:rsidP="001F1040">
            <w:pPr>
              <w:pStyle w:val="CMR-tables"/>
              <w:keepNext/>
              <w:jc w:val="right"/>
              <w:rPr>
                <w:rFonts w:cs="Times New Roman"/>
                <w:noProof/>
                <w:szCs w:val="20"/>
              </w:rPr>
            </w:pPr>
            <w:r>
              <w:rPr>
                <w:noProof/>
                <w:color w:val="000000" w:themeColor="text1"/>
              </w:rPr>
              <w:t>0,17</w:t>
            </w:r>
          </w:p>
        </w:tc>
        <w:tc>
          <w:tcPr>
            <w:tcW w:w="580" w:type="pct"/>
            <w:vAlign w:val="center"/>
          </w:tcPr>
          <w:p w14:paraId="65AB1894" w14:textId="12278CB7" w:rsidR="00B72CCE" w:rsidRPr="00EB1066" w:rsidRDefault="228C4266" w:rsidP="001F1040">
            <w:pPr>
              <w:pStyle w:val="CMR-tables"/>
              <w:keepNext/>
              <w:jc w:val="right"/>
              <w:rPr>
                <w:rFonts w:cs="Times New Roman"/>
                <w:noProof/>
                <w:szCs w:val="20"/>
              </w:rPr>
            </w:pPr>
            <w:r>
              <w:rPr>
                <w:noProof/>
                <w:color w:val="000000" w:themeColor="text1"/>
              </w:rPr>
              <w:t>20,22</w:t>
            </w:r>
          </w:p>
        </w:tc>
      </w:tr>
      <w:bookmarkEnd w:id="105"/>
    </w:tbl>
    <w:p w14:paraId="30EB7862" w14:textId="77777777" w:rsidR="00EB3A56" w:rsidRPr="00685D02" w:rsidRDefault="00EB3A56" w:rsidP="00A63877">
      <w:pPr>
        <w:pStyle w:val="CMR-text"/>
        <w:rPr>
          <w:rFonts w:cs="Times New Roman"/>
          <w:noProof/>
          <w:highlight w:val="yellow"/>
          <w:lang w:val="en-IE"/>
        </w:rPr>
        <w:sectPr w:rsidR="00EB3A56" w:rsidRPr="00685D02" w:rsidSect="00B2767E">
          <w:headerReference w:type="even" r:id="rId45"/>
          <w:headerReference w:type="default" r:id="rId46"/>
          <w:footerReference w:type="even" r:id="rId47"/>
          <w:footerReference w:type="default" r:id="rId48"/>
          <w:headerReference w:type="first" r:id="rId49"/>
          <w:footerReference w:type="first" r:id="rId50"/>
          <w:pgSz w:w="16838" w:h="11906" w:orient="landscape"/>
          <w:pgMar w:top="1440" w:right="1440" w:bottom="1440" w:left="1440" w:header="709" w:footer="709" w:gutter="0"/>
          <w:cols w:space="708"/>
          <w:docGrid w:linePitch="360"/>
        </w:sectPr>
      </w:pPr>
    </w:p>
    <w:p w14:paraId="76CECA03" w14:textId="67C7BDEB" w:rsidR="001B6B22" w:rsidRPr="00EB1066" w:rsidRDefault="001B6B22" w:rsidP="00BB63DC">
      <w:pPr>
        <w:pStyle w:val="Caption"/>
        <w:keepNext/>
        <w:rPr>
          <w:noProof/>
          <w:sz w:val="20"/>
        </w:rPr>
      </w:pPr>
      <w:bookmarkStart w:id="106" w:name="_Ref176770365"/>
      <w:bookmarkStart w:id="107" w:name="_Ref176770359"/>
      <w:r>
        <w:rPr>
          <w:noProof/>
          <w:sz w:val="20"/>
        </w:rPr>
        <w:t xml:space="preserve">Tabella </w:t>
      </w:r>
      <w:bookmarkEnd w:id="106"/>
      <w:r>
        <w:rPr>
          <w:noProof/>
          <w:sz w:val="20"/>
        </w:rPr>
        <w:t>10. Trasferimenti di quote tra l</w:t>
      </w:r>
      <w:r w:rsidR="00F06D2E">
        <w:rPr>
          <w:noProof/>
          <w:sz w:val="20"/>
        </w:rPr>
        <w:t>'</w:t>
      </w:r>
      <w:r>
        <w:rPr>
          <w:noProof/>
          <w:sz w:val="20"/>
        </w:rPr>
        <w:t>EU ETS e l</w:t>
      </w:r>
      <w:r w:rsidR="00F06D2E">
        <w:rPr>
          <w:noProof/>
          <w:sz w:val="20"/>
        </w:rPr>
        <w:t>'</w:t>
      </w:r>
      <w:r>
        <w:rPr>
          <w:noProof/>
          <w:sz w:val="20"/>
        </w:rPr>
        <w:t>ETS svizzero (2020-2024)</w:t>
      </w:r>
      <w:bookmarkEnd w:id="107"/>
    </w:p>
    <w:tbl>
      <w:tblPr>
        <w:tblStyle w:val="TableGridLight"/>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2226"/>
        <w:gridCol w:w="1131"/>
        <w:gridCol w:w="1132"/>
        <w:gridCol w:w="1132"/>
        <w:gridCol w:w="1132"/>
        <w:gridCol w:w="1131"/>
        <w:gridCol w:w="1132"/>
      </w:tblGrid>
      <w:tr w:rsidR="00181A1C" w:rsidRPr="00EB1066" w14:paraId="7F42DEAF" w14:textId="77777777" w:rsidTr="00382783">
        <w:trPr>
          <w:cantSplit/>
          <w:trHeight w:val="720"/>
        </w:trPr>
        <w:tc>
          <w:tcPr>
            <w:tcW w:w="1234" w:type="pct"/>
            <w:vAlign w:val="center"/>
          </w:tcPr>
          <w:p w14:paraId="71018D53" w14:textId="47484442" w:rsidR="00181A1C" w:rsidRPr="00EB1066" w:rsidRDefault="00181A1C" w:rsidP="00353D57">
            <w:pPr>
              <w:pStyle w:val="CMR-tables"/>
              <w:tabs>
                <w:tab w:val="left" w:pos="2455"/>
              </w:tabs>
              <w:jc w:val="center"/>
              <w:rPr>
                <w:rFonts w:cs="Times New Roman"/>
                <w:noProof/>
                <w:szCs w:val="20"/>
              </w:rPr>
            </w:pPr>
            <w:r>
              <w:rPr>
                <w:b/>
                <w:noProof/>
              </w:rPr>
              <w:t>Anno</w:t>
            </w:r>
          </w:p>
        </w:tc>
        <w:tc>
          <w:tcPr>
            <w:tcW w:w="627" w:type="pct"/>
            <w:vAlign w:val="center"/>
          </w:tcPr>
          <w:p w14:paraId="6397957F" w14:textId="77777777" w:rsidR="00181A1C" w:rsidRPr="00EB1066" w:rsidRDefault="00181A1C" w:rsidP="00353D57">
            <w:pPr>
              <w:pStyle w:val="CMR-tables"/>
              <w:jc w:val="center"/>
              <w:rPr>
                <w:rFonts w:cs="Times New Roman"/>
                <w:noProof/>
                <w:szCs w:val="20"/>
              </w:rPr>
            </w:pPr>
            <w:r>
              <w:rPr>
                <w:noProof/>
              </w:rPr>
              <w:t>2020</w:t>
            </w:r>
          </w:p>
        </w:tc>
        <w:tc>
          <w:tcPr>
            <w:tcW w:w="628" w:type="pct"/>
            <w:vAlign w:val="center"/>
          </w:tcPr>
          <w:p w14:paraId="494F1C27" w14:textId="77777777" w:rsidR="00181A1C" w:rsidRPr="00EB1066" w:rsidRDefault="00181A1C" w:rsidP="00353D57">
            <w:pPr>
              <w:pStyle w:val="CMR-tables"/>
              <w:jc w:val="center"/>
              <w:rPr>
                <w:rFonts w:cs="Times New Roman"/>
                <w:noProof/>
                <w:szCs w:val="20"/>
              </w:rPr>
            </w:pPr>
            <w:r>
              <w:rPr>
                <w:noProof/>
              </w:rPr>
              <w:t>2021</w:t>
            </w:r>
          </w:p>
        </w:tc>
        <w:tc>
          <w:tcPr>
            <w:tcW w:w="628" w:type="pct"/>
            <w:vAlign w:val="center"/>
          </w:tcPr>
          <w:p w14:paraId="7AF7D709" w14:textId="77777777" w:rsidR="00181A1C" w:rsidRPr="00EB1066" w:rsidRDefault="00181A1C" w:rsidP="00353D57">
            <w:pPr>
              <w:pStyle w:val="CMR-tables"/>
              <w:jc w:val="center"/>
              <w:rPr>
                <w:rFonts w:cs="Times New Roman"/>
                <w:noProof/>
                <w:szCs w:val="20"/>
              </w:rPr>
            </w:pPr>
            <w:r>
              <w:rPr>
                <w:noProof/>
              </w:rPr>
              <w:t>2022</w:t>
            </w:r>
          </w:p>
        </w:tc>
        <w:tc>
          <w:tcPr>
            <w:tcW w:w="628" w:type="pct"/>
            <w:vAlign w:val="center"/>
          </w:tcPr>
          <w:p w14:paraId="0B0FE6C5" w14:textId="42869404" w:rsidR="00181A1C" w:rsidRPr="00EB1066" w:rsidRDefault="00181A1C" w:rsidP="00353D57">
            <w:pPr>
              <w:pStyle w:val="CMR-tables"/>
              <w:jc w:val="center"/>
              <w:rPr>
                <w:rFonts w:cs="Times New Roman"/>
                <w:noProof/>
                <w:szCs w:val="20"/>
              </w:rPr>
            </w:pPr>
            <w:r>
              <w:rPr>
                <w:noProof/>
              </w:rPr>
              <w:t>2023</w:t>
            </w:r>
          </w:p>
        </w:tc>
        <w:tc>
          <w:tcPr>
            <w:tcW w:w="627" w:type="pct"/>
            <w:vAlign w:val="center"/>
          </w:tcPr>
          <w:p w14:paraId="56C6D9C9" w14:textId="257C9615" w:rsidR="00181A1C" w:rsidRPr="00EB1066" w:rsidRDefault="00181A1C" w:rsidP="00181A1C">
            <w:pPr>
              <w:pStyle w:val="CMR-tables"/>
              <w:jc w:val="center"/>
              <w:rPr>
                <w:rFonts w:cs="Times New Roman"/>
                <w:noProof/>
                <w:szCs w:val="20"/>
              </w:rPr>
            </w:pPr>
            <w:r>
              <w:rPr>
                <w:noProof/>
              </w:rPr>
              <w:t>2024</w:t>
            </w:r>
          </w:p>
        </w:tc>
        <w:tc>
          <w:tcPr>
            <w:tcW w:w="628" w:type="pct"/>
            <w:vAlign w:val="center"/>
          </w:tcPr>
          <w:p w14:paraId="1101706E" w14:textId="6379E804" w:rsidR="00181A1C" w:rsidRPr="00EB1066" w:rsidRDefault="00181A1C" w:rsidP="00353D57">
            <w:pPr>
              <w:pStyle w:val="CMR-tables"/>
              <w:jc w:val="center"/>
              <w:rPr>
                <w:rFonts w:cs="Times New Roman"/>
                <w:b/>
                <w:noProof/>
                <w:szCs w:val="20"/>
              </w:rPr>
            </w:pPr>
            <w:r>
              <w:rPr>
                <w:b/>
                <w:noProof/>
              </w:rPr>
              <w:t>Totale</w:t>
            </w:r>
          </w:p>
        </w:tc>
      </w:tr>
      <w:tr w:rsidR="00181A1C" w:rsidRPr="00EB1066" w14:paraId="26C3505D" w14:textId="77777777" w:rsidTr="00382783">
        <w:trPr>
          <w:cantSplit/>
          <w:trHeight w:val="925"/>
        </w:trPr>
        <w:tc>
          <w:tcPr>
            <w:tcW w:w="1234" w:type="pct"/>
            <w:shd w:val="clear" w:color="auto" w:fill="D9E2F3" w:themeFill="accent1" w:themeFillTint="33"/>
            <w:vAlign w:val="center"/>
          </w:tcPr>
          <w:p w14:paraId="361B88E8" w14:textId="3ADE6F58" w:rsidR="00181A1C" w:rsidRPr="00EB1066" w:rsidRDefault="00181A1C" w:rsidP="00BB63DC">
            <w:pPr>
              <w:pStyle w:val="CMR-tables"/>
              <w:rPr>
                <w:rFonts w:cs="Times New Roman"/>
                <w:b/>
                <w:i/>
                <w:noProof/>
                <w:szCs w:val="20"/>
              </w:rPr>
            </w:pPr>
            <w:r>
              <w:rPr>
                <w:b/>
                <w:i/>
                <w:noProof/>
              </w:rPr>
              <w:t>Trasferimenti dall</w:t>
            </w:r>
            <w:r w:rsidR="00F06D2E">
              <w:rPr>
                <w:b/>
                <w:i/>
                <w:noProof/>
              </w:rPr>
              <w:t>'</w:t>
            </w:r>
            <w:r>
              <w:rPr>
                <w:b/>
                <w:i/>
                <w:noProof/>
              </w:rPr>
              <w:t>EU ETS all</w:t>
            </w:r>
            <w:r w:rsidR="00F06D2E">
              <w:rPr>
                <w:b/>
                <w:i/>
                <w:noProof/>
              </w:rPr>
              <w:t>'</w:t>
            </w:r>
            <w:r>
              <w:rPr>
                <w:b/>
                <w:i/>
                <w:noProof/>
              </w:rPr>
              <w:t>ETS svizzero</w:t>
            </w:r>
          </w:p>
        </w:tc>
        <w:tc>
          <w:tcPr>
            <w:tcW w:w="627" w:type="pct"/>
            <w:shd w:val="clear" w:color="auto" w:fill="D9E2F3" w:themeFill="accent1" w:themeFillTint="33"/>
            <w:vAlign w:val="center"/>
          </w:tcPr>
          <w:p w14:paraId="595FF6C2" w14:textId="0C53D99F" w:rsidR="00181A1C" w:rsidRPr="00EB1066" w:rsidRDefault="00181A1C" w:rsidP="00353D57">
            <w:pPr>
              <w:pStyle w:val="CMR-tables"/>
              <w:jc w:val="right"/>
              <w:rPr>
                <w:rFonts w:cs="Times New Roman"/>
                <w:noProof/>
                <w:szCs w:val="20"/>
              </w:rPr>
            </w:pPr>
            <w:r>
              <w:rPr>
                <w:noProof/>
              </w:rPr>
              <w:t>475 679</w:t>
            </w:r>
          </w:p>
        </w:tc>
        <w:tc>
          <w:tcPr>
            <w:tcW w:w="628" w:type="pct"/>
            <w:shd w:val="clear" w:color="auto" w:fill="D9E2F3" w:themeFill="accent1" w:themeFillTint="33"/>
            <w:vAlign w:val="center"/>
          </w:tcPr>
          <w:p w14:paraId="518A5F72" w14:textId="602199D0" w:rsidR="00181A1C" w:rsidRPr="00EB1066" w:rsidRDefault="00181A1C" w:rsidP="00353D57">
            <w:pPr>
              <w:pStyle w:val="CMR-tables"/>
              <w:jc w:val="right"/>
              <w:rPr>
                <w:rFonts w:cs="Times New Roman"/>
                <w:noProof/>
                <w:szCs w:val="20"/>
              </w:rPr>
            </w:pPr>
            <w:r>
              <w:rPr>
                <w:noProof/>
              </w:rPr>
              <w:t>1 051 360</w:t>
            </w:r>
          </w:p>
        </w:tc>
        <w:tc>
          <w:tcPr>
            <w:tcW w:w="628" w:type="pct"/>
            <w:shd w:val="clear" w:color="auto" w:fill="D9E2F3" w:themeFill="accent1" w:themeFillTint="33"/>
            <w:vAlign w:val="center"/>
          </w:tcPr>
          <w:p w14:paraId="447C72A1" w14:textId="74111D5C" w:rsidR="00181A1C" w:rsidRPr="00EB1066" w:rsidRDefault="00181A1C" w:rsidP="00353D57">
            <w:pPr>
              <w:pStyle w:val="CMR-tables"/>
              <w:jc w:val="right"/>
              <w:rPr>
                <w:rFonts w:cs="Times New Roman"/>
                <w:noProof/>
                <w:szCs w:val="20"/>
              </w:rPr>
            </w:pPr>
            <w:r>
              <w:rPr>
                <w:noProof/>
              </w:rPr>
              <w:t>1 714 499</w:t>
            </w:r>
          </w:p>
        </w:tc>
        <w:tc>
          <w:tcPr>
            <w:tcW w:w="628" w:type="pct"/>
            <w:shd w:val="clear" w:color="auto" w:fill="D9E2F3" w:themeFill="accent1" w:themeFillTint="33"/>
            <w:vAlign w:val="center"/>
          </w:tcPr>
          <w:p w14:paraId="134AAE3A" w14:textId="543859C0" w:rsidR="00181A1C" w:rsidRPr="00EB1066" w:rsidRDefault="00181A1C" w:rsidP="00353D57">
            <w:pPr>
              <w:pStyle w:val="CMR-tables"/>
              <w:jc w:val="right"/>
              <w:rPr>
                <w:rFonts w:cs="Times New Roman"/>
                <w:noProof/>
                <w:szCs w:val="20"/>
              </w:rPr>
            </w:pPr>
            <w:r>
              <w:rPr>
                <w:noProof/>
              </w:rPr>
              <w:t>2 603 612</w:t>
            </w:r>
          </w:p>
        </w:tc>
        <w:tc>
          <w:tcPr>
            <w:tcW w:w="627" w:type="pct"/>
            <w:shd w:val="clear" w:color="auto" w:fill="D9E2F3" w:themeFill="accent1" w:themeFillTint="33"/>
            <w:vAlign w:val="center"/>
          </w:tcPr>
          <w:p w14:paraId="0E84CB1D" w14:textId="75473045" w:rsidR="00181A1C" w:rsidRPr="00EB1066" w:rsidRDefault="00475DBD" w:rsidP="00181A1C">
            <w:pPr>
              <w:pStyle w:val="CMR-tables"/>
              <w:jc w:val="center"/>
              <w:rPr>
                <w:rFonts w:cs="Times New Roman"/>
                <w:noProof/>
                <w:szCs w:val="20"/>
              </w:rPr>
            </w:pPr>
            <w:r>
              <w:rPr>
                <w:noProof/>
              </w:rPr>
              <w:t>1 591 527</w:t>
            </w:r>
          </w:p>
        </w:tc>
        <w:tc>
          <w:tcPr>
            <w:tcW w:w="628" w:type="pct"/>
            <w:shd w:val="clear" w:color="auto" w:fill="D9E2F3" w:themeFill="accent1" w:themeFillTint="33"/>
            <w:vAlign w:val="center"/>
          </w:tcPr>
          <w:p w14:paraId="754658A3" w14:textId="4713CB51" w:rsidR="00181A1C" w:rsidRPr="00EB1066" w:rsidRDefault="000E608E" w:rsidP="00353D57">
            <w:pPr>
              <w:pStyle w:val="CMR-tables"/>
              <w:jc w:val="right"/>
              <w:rPr>
                <w:rFonts w:cs="Times New Roman"/>
                <w:b/>
                <w:noProof/>
                <w:szCs w:val="20"/>
              </w:rPr>
            </w:pPr>
            <w:r>
              <w:rPr>
                <w:b/>
                <w:noProof/>
              </w:rPr>
              <w:t>7 436 677</w:t>
            </w:r>
          </w:p>
        </w:tc>
      </w:tr>
      <w:tr w:rsidR="00181A1C" w:rsidRPr="00EB1066" w14:paraId="3EB83540" w14:textId="77777777" w:rsidTr="00382783">
        <w:trPr>
          <w:cantSplit/>
          <w:trHeight w:val="925"/>
        </w:trPr>
        <w:tc>
          <w:tcPr>
            <w:tcW w:w="1234" w:type="pct"/>
            <w:vAlign w:val="center"/>
          </w:tcPr>
          <w:p w14:paraId="3DAFB15A" w14:textId="006183F6" w:rsidR="00181A1C" w:rsidRPr="00EB1066" w:rsidRDefault="00181A1C" w:rsidP="00E56EDC">
            <w:pPr>
              <w:pStyle w:val="CMR-tables"/>
              <w:rPr>
                <w:rFonts w:cs="Times New Roman"/>
                <w:b/>
                <w:i/>
                <w:noProof/>
                <w:szCs w:val="20"/>
              </w:rPr>
            </w:pPr>
            <w:r>
              <w:rPr>
                <w:b/>
                <w:i/>
                <w:noProof/>
              </w:rPr>
              <w:t>Trasferimenti dall</w:t>
            </w:r>
            <w:r w:rsidR="00F06D2E">
              <w:rPr>
                <w:b/>
                <w:i/>
                <w:noProof/>
              </w:rPr>
              <w:t>'</w:t>
            </w:r>
            <w:r>
              <w:rPr>
                <w:b/>
                <w:i/>
                <w:noProof/>
              </w:rPr>
              <w:t>ETS svizzero all</w:t>
            </w:r>
            <w:r w:rsidR="00F06D2E">
              <w:rPr>
                <w:b/>
                <w:i/>
                <w:noProof/>
              </w:rPr>
              <w:t>'</w:t>
            </w:r>
            <w:r>
              <w:rPr>
                <w:b/>
                <w:i/>
                <w:noProof/>
              </w:rPr>
              <w:t>EU ETS</w:t>
            </w:r>
          </w:p>
        </w:tc>
        <w:tc>
          <w:tcPr>
            <w:tcW w:w="627" w:type="pct"/>
            <w:vAlign w:val="center"/>
          </w:tcPr>
          <w:p w14:paraId="1833997F" w14:textId="77777777" w:rsidR="00181A1C" w:rsidRPr="00EB1066" w:rsidRDefault="00181A1C" w:rsidP="00353D57">
            <w:pPr>
              <w:pStyle w:val="CMR-tables"/>
              <w:jc w:val="right"/>
              <w:rPr>
                <w:rFonts w:cs="Times New Roman"/>
                <w:noProof/>
                <w:szCs w:val="20"/>
              </w:rPr>
            </w:pPr>
            <w:r>
              <w:rPr>
                <w:noProof/>
              </w:rPr>
              <w:t>0</w:t>
            </w:r>
          </w:p>
        </w:tc>
        <w:tc>
          <w:tcPr>
            <w:tcW w:w="628" w:type="pct"/>
            <w:vAlign w:val="center"/>
          </w:tcPr>
          <w:p w14:paraId="0E9461C6" w14:textId="7EB4D824" w:rsidR="00181A1C" w:rsidRPr="00EB1066" w:rsidRDefault="00181A1C" w:rsidP="00353D57">
            <w:pPr>
              <w:pStyle w:val="CMR-tables"/>
              <w:jc w:val="right"/>
              <w:rPr>
                <w:rFonts w:cs="Times New Roman"/>
                <w:noProof/>
                <w:szCs w:val="20"/>
              </w:rPr>
            </w:pPr>
            <w:r>
              <w:rPr>
                <w:noProof/>
              </w:rPr>
              <w:t>1 523 770</w:t>
            </w:r>
          </w:p>
        </w:tc>
        <w:tc>
          <w:tcPr>
            <w:tcW w:w="628" w:type="pct"/>
            <w:vAlign w:val="center"/>
          </w:tcPr>
          <w:p w14:paraId="6D77AB17" w14:textId="7AD4D0FD" w:rsidR="00181A1C" w:rsidRPr="00EB1066" w:rsidRDefault="00181A1C" w:rsidP="00353D57">
            <w:pPr>
              <w:pStyle w:val="CMR-tables"/>
              <w:jc w:val="right"/>
              <w:rPr>
                <w:rFonts w:cs="Times New Roman"/>
                <w:noProof/>
                <w:szCs w:val="20"/>
              </w:rPr>
            </w:pPr>
            <w:r>
              <w:rPr>
                <w:noProof/>
              </w:rPr>
              <w:t>1 215 662</w:t>
            </w:r>
          </w:p>
        </w:tc>
        <w:tc>
          <w:tcPr>
            <w:tcW w:w="628" w:type="pct"/>
            <w:vAlign w:val="center"/>
          </w:tcPr>
          <w:p w14:paraId="2EE7E139" w14:textId="49F37C48" w:rsidR="00181A1C" w:rsidRPr="00EB1066" w:rsidRDefault="00181A1C" w:rsidP="00353D57">
            <w:pPr>
              <w:pStyle w:val="CMR-tables"/>
              <w:jc w:val="right"/>
              <w:rPr>
                <w:rFonts w:cs="Times New Roman"/>
                <w:noProof/>
                <w:szCs w:val="20"/>
              </w:rPr>
            </w:pPr>
            <w:r>
              <w:rPr>
                <w:noProof/>
              </w:rPr>
              <w:t>1 837 292</w:t>
            </w:r>
          </w:p>
        </w:tc>
        <w:tc>
          <w:tcPr>
            <w:tcW w:w="627" w:type="pct"/>
            <w:vAlign w:val="center"/>
          </w:tcPr>
          <w:p w14:paraId="236ACEB7" w14:textId="5D6BACD4" w:rsidR="00181A1C" w:rsidRPr="00EB1066" w:rsidRDefault="00F0793A" w:rsidP="00181A1C">
            <w:pPr>
              <w:pStyle w:val="CMR-tables"/>
              <w:jc w:val="center"/>
              <w:rPr>
                <w:rFonts w:cs="Times New Roman"/>
                <w:noProof/>
                <w:szCs w:val="20"/>
              </w:rPr>
            </w:pPr>
            <w:r>
              <w:rPr>
                <w:noProof/>
              </w:rPr>
              <w:t>1 575 296</w:t>
            </w:r>
          </w:p>
        </w:tc>
        <w:tc>
          <w:tcPr>
            <w:tcW w:w="628" w:type="pct"/>
            <w:vAlign w:val="center"/>
          </w:tcPr>
          <w:p w14:paraId="22EB7A1B" w14:textId="06D22905" w:rsidR="00181A1C" w:rsidRPr="00EB1066" w:rsidRDefault="00DB6699" w:rsidP="00353D57">
            <w:pPr>
              <w:pStyle w:val="CMR-tables"/>
              <w:jc w:val="right"/>
              <w:rPr>
                <w:rFonts w:cs="Times New Roman"/>
                <w:b/>
                <w:noProof/>
                <w:szCs w:val="20"/>
              </w:rPr>
            </w:pPr>
            <w:r>
              <w:rPr>
                <w:b/>
                <w:noProof/>
              </w:rPr>
              <w:t>6 152 020</w:t>
            </w:r>
          </w:p>
        </w:tc>
      </w:tr>
      <w:tr w:rsidR="008F3BB4" w:rsidRPr="00EB1066" w14:paraId="3787FB5B" w14:textId="77777777" w:rsidTr="008F3BB4">
        <w:trPr>
          <w:cantSplit/>
          <w:trHeight w:val="720"/>
        </w:trPr>
        <w:tc>
          <w:tcPr>
            <w:tcW w:w="1234" w:type="pct"/>
            <w:shd w:val="clear" w:color="auto" w:fill="D9E2F3" w:themeFill="accent1" w:themeFillTint="33"/>
            <w:vAlign w:val="center"/>
          </w:tcPr>
          <w:p w14:paraId="5518365B" w14:textId="5EE81CC3" w:rsidR="008F3BB4" w:rsidRPr="00EB1066" w:rsidRDefault="008F3BB4" w:rsidP="001B6B22">
            <w:pPr>
              <w:pStyle w:val="CMR-tables"/>
              <w:jc w:val="center"/>
              <w:rPr>
                <w:rFonts w:cs="Times New Roman"/>
                <w:noProof/>
                <w:szCs w:val="20"/>
              </w:rPr>
            </w:pPr>
            <w:r>
              <w:rPr>
                <w:b/>
                <w:noProof/>
              </w:rPr>
              <w:t>Saldo</w:t>
            </w:r>
          </w:p>
        </w:tc>
        <w:tc>
          <w:tcPr>
            <w:tcW w:w="3766" w:type="pct"/>
            <w:gridSpan w:val="6"/>
            <w:shd w:val="clear" w:color="auto" w:fill="D9E2F3" w:themeFill="accent1" w:themeFillTint="33"/>
            <w:vAlign w:val="center"/>
          </w:tcPr>
          <w:p w14:paraId="0F9A8FB6" w14:textId="477C5CCA" w:rsidR="008F3BB4" w:rsidRPr="00EB1066" w:rsidRDefault="008F3BB4" w:rsidP="008F3BB4">
            <w:pPr>
              <w:pStyle w:val="CMR-tables"/>
              <w:jc w:val="center"/>
              <w:rPr>
                <w:rFonts w:cs="Times New Roman"/>
                <w:b/>
                <w:noProof/>
                <w:szCs w:val="20"/>
              </w:rPr>
            </w:pPr>
            <w:r>
              <w:rPr>
                <w:b/>
                <w:noProof/>
              </w:rPr>
              <w:t>1 284 657</w:t>
            </w:r>
          </w:p>
        </w:tc>
      </w:tr>
    </w:tbl>
    <w:p w14:paraId="6CC4EA26" w14:textId="71EEBF66" w:rsidR="009538E7" w:rsidRPr="00EC4FC3" w:rsidRDefault="002B069D" w:rsidP="00EC4FC3">
      <w:pPr>
        <w:pStyle w:val="CMR-Heading"/>
        <w:rPr>
          <w:noProof/>
        </w:rPr>
      </w:pPr>
      <w:r>
        <w:rPr>
          <w:noProof/>
        </w:rPr>
        <w:t xml:space="preserve"> </w:t>
      </w:r>
      <w:bookmarkStart w:id="108" w:name="_Toc218937057"/>
      <w:r>
        <w:rPr>
          <w:noProof/>
        </w:rPr>
        <w:t>Sintesi</w:t>
      </w:r>
      <w:bookmarkEnd w:id="108"/>
      <w:r>
        <w:rPr>
          <w:noProof/>
        </w:rPr>
        <w:t xml:space="preserve"> </w:t>
      </w:r>
    </w:p>
    <w:p w14:paraId="6316762A" w14:textId="622EC869" w:rsidR="006464FB" w:rsidRPr="00685D02" w:rsidRDefault="008F58AB" w:rsidP="00DB0E27">
      <w:pPr>
        <w:pStyle w:val="CMR-text"/>
        <w:rPr>
          <w:rStyle w:val="CMR-textChar"/>
          <w:rFonts w:cs="Times New Roman"/>
          <w:noProof/>
        </w:rPr>
      </w:pPr>
      <w:r>
        <w:rPr>
          <w:rStyle w:val="CMR-textChar"/>
          <w:noProof/>
        </w:rPr>
        <w:t>La relazione fornisce una sintesi esaustiva del funzionamento dell</w:t>
      </w:r>
      <w:r w:rsidR="00F06D2E">
        <w:rPr>
          <w:rStyle w:val="CMR-textChar"/>
          <w:noProof/>
        </w:rPr>
        <w:t>'</w:t>
      </w:r>
      <w:r>
        <w:rPr>
          <w:rStyle w:val="CMR-textChar"/>
          <w:noProof/>
        </w:rPr>
        <w:t>EU ETS nel 2024 e nella prima metà del 2025. Evidenzia che il sistema ha continuato a funzionare bene, sorretto da un quadro globale attuato in modo efficace. Spiega inoltre eventuali modifiche apportate a tale quadro che sono già o diventeranno effettive, l</w:t>
      </w:r>
      <w:r w:rsidR="00F06D2E">
        <w:rPr>
          <w:rStyle w:val="CMR-textChar"/>
          <w:noProof/>
        </w:rPr>
        <w:t>'</w:t>
      </w:r>
      <w:r>
        <w:rPr>
          <w:rStyle w:val="CMR-textChar"/>
          <w:noProof/>
        </w:rPr>
        <w:t>adeguamento hanno preso o prenderanno presto effetto, principalmente l</w:t>
      </w:r>
      <w:r w:rsidR="00F06D2E">
        <w:rPr>
          <w:rStyle w:val="CMR-textChar"/>
          <w:noProof/>
        </w:rPr>
        <w:t>'</w:t>
      </w:r>
      <w:r>
        <w:rPr>
          <w:rStyle w:val="CMR-textChar"/>
          <w:noProof/>
        </w:rPr>
        <w:t>adeguamento del tetto massimo per il 2026.</w:t>
      </w:r>
    </w:p>
    <w:p w14:paraId="5B009E32" w14:textId="7346E69B" w:rsidR="004E379B" w:rsidRPr="00685D02" w:rsidRDefault="006464FB" w:rsidP="00DB0E27">
      <w:pPr>
        <w:pStyle w:val="CMR-text"/>
        <w:rPr>
          <w:rStyle w:val="CMR-textChar"/>
          <w:rFonts w:cs="Times New Roman"/>
          <w:noProof/>
        </w:rPr>
      </w:pPr>
      <w:r>
        <w:rPr>
          <w:rStyle w:val="CMR-textChar"/>
          <w:noProof/>
        </w:rPr>
        <w:t>È proseguita la diminuzione delle emissioni, determinata da</w:t>
      </w:r>
      <w:r>
        <w:rPr>
          <w:noProof/>
        </w:rPr>
        <w:t xml:space="preserve"> un aumento della quota di rinnovabili e di energia nucleare nel mix energetico e da una minore dipendenza dai combustibili fossili. Grazie a questo</w:t>
      </w:r>
      <w:r>
        <w:rPr>
          <w:rStyle w:val="CMR-textChar"/>
          <w:noProof/>
        </w:rPr>
        <w:t xml:space="preserve"> sviluppo, le emissioni ETS degli impianti sono inferiori di circa il 50 % rispetto ai livelli del 2005 e sono sulla buona strada per raggiungere l</w:t>
      </w:r>
      <w:r w:rsidR="00F06D2E">
        <w:rPr>
          <w:rStyle w:val="CMR-textChar"/>
          <w:noProof/>
        </w:rPr>
        <w:t>'</w:t>
      </w:r>
      <w:r>
        <w:rPr>
          <w:rStyle w:val="CMR-textChar"/>
          <w:noProof/>
        </w:rPr>
        <w:t>obiettivo dell</w:t>
      </w:r>
      <w:r w:rsidR="00F06D2E">
        <w:rPr>
          <w:rStyle w:val="CMR-textChar"/>
          <w:noProof/>
        </w:rPr>
        <w:t>'</w:t>
      </w:r>
      <w:r>
        <w:rPr>
          <w:rStyle w:val="CMR-textChar"/>
          <w:noProof/>
        </w:rPr>
        <w:t xml:space="preserve">ETS fissato per il 2030. </w:t>
      </w:r>
    </w:p>
    <w:p w14:paraId="2B65041F" w14:textId="091015F8" w:rsidR="008C7AC7" w:rsidRPr="00685D02" w:rsidRDefault="004D6FF7" w:rsidP="008C7AC7">
      <w:pPr>
        <w:pStyle w:val="CMR-text"/>
        <w:rPr>
          <w:rFonts w:cs="Times New Roman"/>
          <w:noProof/>
        </w:rPr>
      </w:pPr>
      <w:r>
        <w:rPr>
          <w:noProof/>
        </w:rPr>
        <w:t>Il segnale deciso e costante dato dal prezzo del carbonio nel 2024 ha favorito ulteriori riduzioni delle emissioni nell</w:t>
      </w:r>
      <w:r w:rsidR="00F06D2E">
        <w:rPr>
          <w:noProof/>
        </w:rPr>
        <w:t>'</w:t>
      </w:r>
      <w:r>
        <w:rPr>
          <w:noProof/>
        </w:rPr>
        <w:t>ambito dell</w:t>
      </w:r>
      <w:r w:rsidR="00F06D2E">
        <w:rPr>
          <w:noProof/>
        </w:rPr>
        <w:t>'</w:t>
      </w:r>
      <w:r>
        <w:rPr>
          <w:noProof/>
        </w:rPr>
        <w:t>EU ETS. Secondo la valutazione dell</w:t>
      </w:r>
      <w:r w:rsidR="00F06D2E">
        <w:rPr>
          <w:noProof/>
        </w:rPr>
        <w:t>'</w:t>
      </w:r>
      <w:r>
        <w:rPr>
          <w:noProof/>
        </w:rPr>
        <w:t>ESMA, il mercato del carbonio dell</w:t>
      </w:r>
      <w:r w:rsidR="00F06D2E">
        <w:rPr>
          <w:noProof/>
        </w:rPr>
        <w:t>'</w:t>
      </w:r>
      <w:r>
        <w:rPr>
          <w:noProof/>
        </w:rPr>
        <w:t xml:space="preserve">UE è rimasto stabile nel 2024 e ha continuato a funzionare in linea con i fondamentali del mercato. </w:t>
      </w:r>
    </w:p>
    <w:p w14:paraId="20D920C2" w14:textId="1D3F3D7A" w:rsidR="00610483" w:rsidRPr="00685D02" w:rsidRDefault="00610483" w:rsidP="007B1057">
      <w:pPr>
        <w:pStyle w:val="CMR-text"/>
        <w:rPr>
          <w:rFonts w:cs="Times New Roman"/>
          <w:noProof/>
        </w:rPr>
      </w:pPr>
      <w:r>
        <w:rPr>
          <w:rStyle w:val="CMR-textChar"/>
          <w:noProof/>
        </w:rPr>
        <w:t>Le entrate generate dall</w:t>
      </w:r>
      <w:r w:rsidR="00F06D2E">
        <w:rPr>
          <w:rStyle w:val="CMR-textChar"/>
          <w:noProof/>
        </w:rPr>
        <w:t>'</w:t>
      </w:r>
      <w:r>
        <w:rPr>
          <w:rStyle w:val="CMR-textChar"/>
          <w:noProof/>
        </w:rPr>
        <w:t>ETS hanno continuato a costituire una significativa fonte di finanziamento per l</w:t>
      </w:r>
      <w:r w:rsidR="00F06D2E">
        <w:rPr>
          <w:rStyle w:val="CMR-textChar"/>
          <w:noProof/>
        </w:rPr>
        <w:t>'</w:t>
      </w:r>
      <w:r>
        <w:rPr>
          <w:rStyle w:val="CMR-textChar"/>
          <w:noProof/>
        </w:rPr>
        <w:t xml:space="preserve">azione per il clima e la trasformazione energetica, con </w:t>
      </w:r>
      <w:r>
        <w:rPr>
          <w:noProof/>
        </w:rPr>
        <w:t>38,8 miliardi di EUR raccolti nel 2024, che sono stati distribuiti prevalentemente ai bilanci nazionali, al Fondo per l</w:t>
      </w:r>
      <w:r w:rsidR="00F06D2E">
        <w:rPr>
          <w:noProof/>
        </w:rPr>
        <w:t>'</w:t>
      </w:r>
      <w:r>
        <w:rPr>
          <w:noProof/>
        </w:rPr>
        <w:t>innovazione e al Fondo per la modernizzazione dell</w:t>
      </w:r>
      <w:r w:rsidR="00F06D2E">
        <w:rPr>
          <w:noProof/>
        </w:rPr>
        <w:t>'</w:t>
      </w:r>
      <w:r>
        <w:rPr>
          <w:noProof/>
        </w:rPr>
        <w:t>ET, nonché al dispositivo per la ripresa e la resilienza per il piano REPowerEU. Le entrate totali generate finora dall</w:t>
      </w:r>
      <w:r w:rsidR="00F06D2E">
        <w:rPr>
          <w:noProof/>
        </w:rPr>
        <w:t>'</w:t>
      </w:r>
      <w:r>
        <w:rPr>
          <w:noProof/>
        </w:rPr>
        <w:t xml:space="preserve">EU ETS superano i 230 miliardi di EUR. </w:t>
      </w:r>
    </w:p>
    <w:p w14:paraId="762DCCFC" w14:textId="70E3608F" w:rsidR="00AE0A4E" w:rsidRPr="00685D02" w:rsidRDefault="00FB0147" w:rsidP="007B1057">
      <w:pPr>
        <w:pStyle w:val="CMR-text"/>
        <w:rPr>
          <w:rFonts w:cs="Times New Roman"/>
          <w:noProof/>
        </w:rPr>
      </w:pPr>
      <w:r>
        <w:rPr>
          <w:rStyle w:val="CMR-textChar"/>
          <w:noProof/>
        </w:rPr>
        <w:t>Nel complesso la relazione documenta il funzionamento dell</w:t>
      </w:r>
      <w:r w:rsidR="00F06D2E">
        <w:rPr>
          <w:rStyle w:val="CMR-textChar"/>
          <w:noProof/>
        </w:rPr>
        <w:t>'</w:t>
      </w:r>
      <w:r>
        <w:rPr>
          <w:rStyle w:val="CMR-textChar"/>
          <w:noProof/>
        </w:rPr>
        <w:t>EU ETS come una delle principali strategie volte a incentivare gli investimenti nella transizione industriale pulita, nell</w:t>
      </w:r>
      <w:r w:rsidR="00F06D2E">
        <w:rPr>
          <w:rStyle w:val="CMR-textChar"/>
          <w:noProof/>
        </w:rPr>
        <w:t>'</w:t>
      </w:r>
      <w:r>
        <w:rPr>
          <w:rStyle w:val="CMR-textChar"/>
          <w:noProof/>
        </w:rPr>
        <w:t xml:space="preserve">innovazione e nella modernizzazione. </w:t>
      </w:r>
    </w:p>
    <w:p w14:paraId="5BC95B27" w14:textId="65FE1C60" w:rsidR="00DB0E27" w:rsidRPr="0038309D" w:rsidRDefault="00DB0E27" w:rsidP="000A7E90">
      <w:pPr>
        <w:pStyle w:val="CMR-text"/>
        <w:rPr>
          <w:rFonts w:cs="Times New Roman"/>
          <w:noProof/>
        </w:rPr>
      </w:pPr>
    </w:p>
    <w:sectPr w:rsidR="00DB0E27" w:rsidRPr="0038309D" w:rsidSect="00653662">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DA8A4" w14:textId="77777777" w:rsidR="003375A5" w:rsidRDefault="003375A5" w:rsidP="00187D4D">
      <w:pPr>
        <w:spacing w:after="0" w:line="240" w:lineRule="auto"/>
      </w:pPr>
      <w:r>
        <w:separator/>
      </w:r>
    </w:p>
  </w:endnote>
  <w:endnote w:type="continuationSeparator" w:id="0">
    <w:p w14:paraId="5C59017E" w14:textId="77777777" w:rsidR="003375A5" w:rsidRDefault="003375A5" w:rsidP="00187D4D">
      <w:pPr>
        <w:spacing w:after="0" w:line="240" w:lineRule="auto"/>
      </w:pPr>
      <w:r>
        <w:continuationSeparator/>
      </w:r>
    </w:p>
  </w:endnote>
  <w:endnote w:type="continuationNotice" w:id="1">
    <w:p w14:paraId="24C0D18B" w14:textId="77777777" w:rsidR="003375A5" w:rsidRDefault="00337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4B9C" w14:textId="684D2E5F" w:rsidR="009A1E37" w:rsidRPr="009A1E37" w:rsidRDefault="009A1E37" w:rsidP="009A1E37">
    <w:pPr>
      <w:pStyle w:val="FooterCoverPage"/>
      <w:rPr>
        <w:rFonts w:ascii="Arial" w:hAnsi="Arial" w:cs="Arial"/>
        <w:b/>
        <w:sz w:val="48"/>
      </w:rPr>
    </w:pPr>
    <w:r w:rsidRPr="009A1E37">
      <w:rPr>
        <w:rFonts w:ascii="Arial" w:hAnsi="Arial" w:cs="Arial"/>
        <w:b/>
        <w:sz w:val="48"/>
      </w:rPr>
      <w:t>IT</w:t>
    </w:r>
    <w:r w:rsidRPr="009A1E37">
      <w:rPr>
        <w:rFonts w:ascii="Arial" w:hAnsi="Arial" w:cs="Arial"/>
        <w:b/>
        <w:sz w:val="48"/>
      </w:rPr>
      <w:tab/>
    </w:r>
    <w:r w:rsidRPr="009A1E37">
      <w:rPr>
        <w:rFonts w:ascii="Arial" w:hAnsi="Arial" w:cs="Arial"/>
        <w:b/>
        <w:sz w:val="48"/>
      </w:rPr>
      <w:tab/>
    </w:r>
    <w:r w:rsidRPr="009A1E37">
      <w:tab/>
    </w:r>
    <w:r w:rsidRPr="009A1E37">
      <w:rPr>
        <w:rFonts w:ascii="Arial" w:hAnsi="Arial" w:cs="Arial"/>
        <w:b/>
        <w:sz w:val="48"/>
      </w:rPr>
      <w:t>IT</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B73BB" w14:textId="77777777" w:rsidR="00126559" w:rsidRDefault="0012655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343787"/>
      <w:docPartObj>
        <w:docPartGallery w:val="Page Numbers (Bottom of Page)"/>
        <w:docPartUnique/>
      </w:docPartObj>
    </w:sdtPr>
    <w:sdtEndPr>
      <w:rPr>
        <w:noProof/>
      </w:rPr>
    </w:sdtEndPr>
    <w:sdtContent>
      <w:p w14:paraId="7859BE15" w14:textId="6D89E770" w:rsidR="00C459FE" w:rsidRDefault="00C459FE" w:rsidP="00917BE8">
        <w:pPr>
          <w:pStyle w:val="CMR-footnote"/>
        </w:pPr>
        <w:r>
          <w:fldChar w:fldCharType="begin"/>
        </w:r>
        <w:r>
          <w:instrText xml:space="preserve"> PAGE   \* MERGEFORMAT </w:instrText>
        </w:r>
        <w:r>
          <w:fldChar w:fldCharType="separate"/>
        </w:r>
        <w:r w:rsidR="00F10F9E">
          <w:rPr>
            <w:noProof/>
          </w:rPr>
          <w:t>13</w:t>
        </w:r>
        <w:r>
          <w:fldChar w:fldCharType="end"/>
        </w:r>
      </w:p>
    </w:sdtContent>
  </w:sdt>
  <w:p w14:paraId="25DE1428" w14:textId="77777777" w:rsidR="00C459FE" w:rsidRDefault="00C459F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14CFA" w14:textId="77777777" w:rsidR="00126559" w:rsidRDefault="0012655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59B3D" w14:textId="77777777" w:rsidR="00890E07" w:rsidRDefault="00890E0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489614"/>
      <w:docPartObj>
        <w:docPartGallery w:val="Page Numbers (Bottom of Page)"/>
        <w:docPartUnique/>
      </w:docPartObj>
    </w:sdtPr>
    <w:sdtEndPr>
      <w:rPr>
        <w:noProof/>
      </w:rPr>
    </w:sdtEndPr>
    <w:sdtContent>
      <w:p w14:paraId="3E947225" w14:textId="77777777" w:rsidR="00C459FE" w:rsidRDefault="00C459FE" w:rsidP="00917BE8">
        <w:pPr>
          <w:pStyle w:val="CMR-footnote"/>
        </w:pPr>
        <w:r>
          <w:fldChar w:fldCharType="begin"/>
        </w:r>
        <w:r>
          <w:instrText xml:space="preserve"> PAGE   \* MERGEFORMAT </w:instrText>
        </w:r>
        <w:r>
          <w:fldChar w:fldCharType="separate"/>
        </w:r>
        <w:r>
          <w:t>2</w:t>
        </w:r>
        <w:r>
          <w:fldChar w:fldCharType="end"/>
        </w:r>
      </w:p>
    </w:sdtContent>
  </w:sdt>
  <w:p w14:paraId="5FEBCD55" w14:textId="77777777" w:rsidR="00C459FE" w:rsidRDefault="00C459F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65BC" w14:textId="77777777" w:rsidR="00890E07" w:rsidRDefault="00890E0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638D" w14:textId="77777777" w:rsidR="00890E07" w:rsidRDefault="00890E0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057874"/>
      <w:docPartObj>
        <w:docPartGallery w:val="Page Numbers (Bottom of Page)"/>
        <w:docPartUnique/>
      </w:docPartObj>
    </w:sdtPr>
    <w:sdtEndPr>
      <w:rPr>
        <w:noProof/>
      </w:rPr>
    </w:sdtEndPr>
    <w:sdtContent>
      <w:p w14:paraId="35DD928A" w14:textId="77777777" w:rsidR="00C459FE" w:rsidRDefault="00C459FE" w:rsidP="00917BE8">
        <w:pPr>
          <w:pStyle w:val="CMR-footnote"/>
        </w:pPr>
        <w:r>
          <w:fldChar w:fldCharType="begin"/>
        </w:r>
        <w:r>
          <w:instrText xml:space="preserve"> PAGE   \* MERGEFORMAT </w:instrText>
        </w:r>
        <w:r>
          <w:fldChar w:fldCharType="separate"/>
        </w:r>
        <w:r>
          <w:t>2</w:t>
        </w:r>
        <w:r>
          <w:fldChar w:fldCharType="end"/>
        </w:r>
      </w:p>
    </w:sdtContent>
  </w:sdt>
  <w:p w14:paraId="104B8D8E" w14:textId="77777777" w:rsidR="00C459FE" w:rsidRDefault="00C459F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A0E9" w14:textId="77777777" w:rsidR="00890E07" w:rsidRDefault="0089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1508B" w14:textId="3ED3CA9B" w:rsidR="009A1E37" w:rsidRPr="009A1E37" w:rsidRDefault="009A1E37" w:rsidP="009A1E37">
    <w:pPr>
      <w:pStyle w:val="FooterCoverPage"/>
      <w:rPr>
        <w:rFonts w:ascii="Arial" w:hAnsi="Arial" w:cs="Arial"/>
        <w:b/>
        <w:sz w:val="48"/>
      </w:rPr>
    </w:pPr>
    <w:r w:rsidRPr="009A1E37">
      <w:rPr>
        <w:rFonts w:ascii="Arial" w:hAnsi="Arial" w:cs="Arial"/>
        <w:b/>
        <w:sz w:val="48"/>
      </w:rPr>
      <w:t>IT</w:t>
    </w:r>
    <w:r w:rsidRPr="009A1E37">
      <w:rPr>
        <w:rFonts w:ascii="Arial" w:hAnsi="Arial" w:cs="Arial"/>
        <w:b/>
        <w:sz w:val="48"/>
      </w:rPr>
      <w:tab/>
    </w:r>
    <w:r w:rsidRPr="009A1E37">
      <w:rPr>
        <w:rFonts w:ascii="Arial" w:hAnsi="Arial" w:cs="Arial"/>
        <w:b/>
        <w:sz w:val="48"/>
      </w:rPr>
      <w:tab/>
    </w:r>
    <w:r w:rsidRPr="009A1E37">
      <w:tab/>
    </w:r>
    <w:r w:rsidRPr="009A1E37">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1956F" w14:textId="77777777" w:rsidR="009A1E37" w:rsidRPr="009A1E37" w:rsidRDefault="009A1E37" w:rsidP="009A1E3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E7B99" w14:textId="77777777" w:rsidR="007B07AD" w:rsidRDefault="007B07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983863"/>
      <w:docPartObj>
        <w:docPartGallery w:val="Page Numbers (Bottom of Page)"/>
        <w:docPartUnique/>
      </w:docPartObj>
    </w:sdtPr>
    <w:sdtEndPr>
      <w:rPr>
        <w:noProof/>
      </w:rPr>
    </w:sdtEndPr>
    <w:sdtContent>
      <w:p w14:paraId="63396212" w14:textId="2D909C29" w:rsidR="008E0063" w:rsidRDefault="008E0063" w:rsidP="00917BE8">
        <w:pPr>
          <w:pStyle w:val="CMR-footnote"/>
        </w:pPr>
        <w:r>
          <w:fldChar w:fldCharType="begin"/>
        </w:r>
        <w:r>
          <w:instrText xml:space="preserve"> PAGE   \* MERGEFORMAT </w:instrText>
        </w:r>
        <w:r>
          <w:fldChar w:fldCharType="separate"/>
        </w:r>
        <w:r w:rsidR="009A1E37">
          <w:rPr>
            <w:noProof/>
          </w:rPr>
          <w:t>1</w:t>
        </w:r>
        <w:r>
          <w:fldChar w:fldCharType="end"/>
        </w:r>
      </w:p>
    </w:sdtContent>
  </w:sdt>
  <w:p w14:paraId="2B742DF3" w14:textId="77777777" w:rsidR="008E0063" w:rsidRDefault="008E00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70DA3" w14:textId="77777777" w:rsidR="002B6CFB" w:rsidRDefault="002B6C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18A6" w14:textId="77777777" w:rsidR="00126559" w:rsidRDefault="0012655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718881"/>
      <w:docPartObj>
        <w:docPartGallery w:val="Page Numbers (Bottom of Page)"/>
        <w:docPartUnique/>
      </w:docPartObj>
    </w:sdtPr>
    <w:sdtEndPr>
      <w:rPr>
        <w:noProof/>
      </w:rPr>
    </w:sdtEndPr>
    <w:sdtContent>
      <w:p w14:paraId="4D8A8553" w14:textId="13A2A9CF" w:rsidR="00126559" w:rsidRDefault="00126559" w:rsidP="00917BE8">
        <w:pPr>
          <w:pStyle w:val="CMR-footnote"/>
        </w:pPr>
        <w:r>
          <w:fldChar w:fldCharType="begin"/>
        </w:r>
        <w:r>
          <w:instrText xml:space="preserve"> PAGE   \* MERGEFORMAT </w:instrText>
        </w:r>
        <w:r>
          <w:fldChar w:fldCharType="separate"/>
        </w:r>
        <w:r w:rsidR="00F10F9E">
          <w:rPr>
            <w:noProof/>
          </w:rPr>
          <w:t>10</w:t>
        </w:r>
        <w:r>
          <w:fldChar w:fldCharType="end"/>
        </w:r>
      </w:p>
    </w:sdtContent>
  </w:sdt>
  <w:p w14:paraId="56299D3D" w14:textId="77777777" w:rsidR="00126559" w:rsidRDefault="0012655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B4DDB" w14:textId="77777777" w:rsidR="00126559" w:rsidRDefault="00126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E35C1" w14:textId="77777777" w:rsidR="003375A5" w:rsidRDefault="003375A5" w:rsidP="00187D4D">
      <w:pPr>
        <w:spacing w:after="0" w:line="240" w:lineRule="auto"/>
      </w:pPr>
      <w:r>
        <w:separator/>
      </w:r>
    </w:p>
  </w:footnote>
  <w:footnote w:type="continuationSeparator" w:id="0">
    <w:p w14:paraId="7B4C0767" w14:textId="77777777" w:rsidR="003375A5" w:rsidRDefault="003375A5" w:rsidP="00187D4D">
      <w:pPr>
        <w:spacing w:after="0" w:line="240" w:lineRule="auto"/>
      </w:pPr>
      <w:r>
        <w:continuationSeparator/>
      </w:r>
    </w:p>
  </w:footnote>
  <w:footnote w:type="continuationNotice" w:id="1">
    <w:p w14:paraId="545F8810" w14:textId="77777777" w:rsidR="003375A5" w:rsidRDefault="003375A5">
      <w:pPr>
        <w:spacing w:after="0" w:line="240" w:lineRule="auto"/>
      </w:pPr>
    </w:p>
  </w:footnote>
  <w:footnote w:id="2">
    <w:p w14:paraId="1E4C2BC3" w14:textId="56A34381" w:rsidR="00317318" w:rsidRPr="0051224B" w:rsidRDefault="00317318" w:rsidP="00917BE8">
      <w:pPr>
        <w:pStyle w:val="CMR-footnote"/>
      </w:pPr>
      <w:r>
        <w:rPr>
          <w:rStyle w:val="FootnoteReference"/>
          <w:rFonts w:cs="Times New Roman"/>
        </w:rPr>
        <w:footnoteRef/>
      </w:r>
      <w:r>
        <w:t xml:space="preserve"> Emissioni ETS degli impianti nel settore energetico e in quello industriale nel 2024, escluso il Regno Unito, </w:t>
      </w:r>
      <w:bookmarkStart w:id="4" w:name="_Hlk148353475"/>
      <w:bookmarkStart w:id="5" w:name="_Hlk148353367"/>
      <w:r>
        <w:t>ed</w:t>
      </w:r>
      <w:r w:rsidR="00F06D2E">
        <w:t> </w:t>
      </w:r>
      <w:r>
        <w:t>esclusivamente nel settore energetico</w:t>
      </w:r>
      <w:bookmarkEnd w:id="4"/>
      <w:r>
        <w:t xml:space="preserve"> per l</w:t>
      </w:r>
      <w:r w:rsidR="00F06D2E">
        <w:t>'</w:t>
      </w:r>
      <w:r>
        <w:t>Irlanda del Nord</w:t>
      </w:r>
      <w:bookmarkEnd w:id="5"/>
      <w:r>
        <w:t xml:space="preserve">, rispetto al valore adeguato delle emissioni ETS nel 2005 per lo stesso ambito di applicazione. Sulla base del </w:t>
      </w:r>
      <w:hyperlink r:id="rId1" w:history="1">
        <w:r>
          <w:rPr>
            <w:rStyle w:val="Hyperlink"/>
          </w:rPr>
          <w:t>visualizzatore di dati ETS</w:t>
        </w:r>
      </w:hyperlink>
      <w:r>
        <w:t xml:space="preserve"> dell</w:t>
      </w:r>
      <w:r w:rsidR="00F06D2E">
        <w:t>'</w:t>
      </w:r>
      <w:r>
        <w:t>Agenzia europea dell</w:t>
      </w:r>
      <w:r w:rsidR="00F06D2E">
        <w:t>'</w:t>
      </w:r>
      <w:r>
        <w:t>ambiente, consultato il 31</w:t>
      </w:r>
      <w:r w:rsidR="0038309D">
        <w:t> </w:t>
      </w:r>
      <w:r>
        <w:t xml:space="preserve">agosto 2025. </w:t>
      </w:r>
    </w:p>
  </w:footnote>
  <w:footnote w:id="3">
    <w:p w14:paraId="5C24AA6B" w14:textId="28054536" w:rsidR="00C51F0B" w:rsidRPr="001F1040" w:rsidRDefault="00C51F0B" w:rsidP="00917BE8">
      <w:pPr>
        <w:pStyle w:val="CMR-footnote"/>
      </w:pPr>
      <w:r>
        <w:rPr>
          <w:rStyle w:val="FootnoteReference"/>
        </w:rPr>
        <w:footnoteRef/>
      </w:r>
      <w:r>
        <w:t xml:space="preserve"> Per ulteriori informazioni cfr. il </w:t>
      </w:r>
      <w:hyperlink r:id="rId2" w:history="1">
        <w:r>
          <w:rPr>
            <w:rStyle w:val="Hyperlink"/>
          </w:rPr>
          <w:t>dispositivo per la ripresa e la resilienza</w:t>
        </w:r>
      </w:hyperlink>
      <w:r>
        <w:t xml:space="preserve"> e </w:t>
      </w:r>
      <w:hyperlink r:id="rId3" w:anchor="how-repowereu-is-funded" w:history="1">
        <w:r>
          <w:rPr>
            <w:rStyle w:val="Hyperlink"/>
          </w:rPr>
          <w:t>REPowerEU - energia sicura, sostenibile e a prezzi accessibili per l</w:t>
        </w:r>
        <w:r w:rsidR="00F06D2E">
          <w:rPr>
            <w:rStyle w:val="Hyperlink"/>
          </w:rPr>
          <w:t>'</w:t>
        </w:r>
        <w:r>
          <w:rPr>
            <w:rStyle w:val="Hyperlink"/>
          </w:rPr>
          <w:t>Europa</w:t>
        </w:r>
      </w:hyperlink>
      <w:r>
        <w:t xml:space="preserve"> sul sito web della Commissione.</w:t>
      </w:r>
    </w:p>
  </w:footnote>
  <w:footnote w:id="4">
    <w:p w14:paraId="7F6C3F02" w14:textId="3792D8DD" w:rsidR="00447C9A" w:rsidRDefault="00447C9A" w:rsidP="00917BE8">
      <w:pPr>
        <w:pStyle w:val="CMR-footnote"/>
      </w:pPr>
      <w:r>
        <w:rPr>
          <w:rStyle w:val="FootnoteReference"/>
        </w:rPr>
        <w:footnoteRef/>
      </w:r>
      <w:r>
        <w:t xml:space="preserve"> </w:t>
      </w:r>
      <w:hyperlink r:id="rId4" w:history="1">
        <w:r>
          <w:rPr>
            <w:rStyle w:val="Hyperlink"/>
          </w:rPr>
          <w:t>Direttiva 2003/87/CE</w:t>
        </w:r>
      </w:hyperlink>
      <w:r>
        <w:t xml:space="preserve"> del 13 ottobre 2003 (GU L 275 del 25.10.2003, pag. 32).</w:t>
      </w:r>
    </w:p>
  </w:footnote>
  <w:footnote w:id="5">
    <w:p w14:paraId="1D4D5B59" w14:textId="5407E88D" w:rsidR="00F65AD8" w:rsidRDefault="00F65AD8" w:rsidP="00917BE8">
      <w:pPr>
        <w:pStyle w:val="CMR-footnote"/>
      </w:pPr>
      <w:r>
        <w:rPr>
          <w:rStyle w:val="FootnoteReference"/>
          <w:rFonts w:cs="Times New Roman"/>
        </w:rPr>
        <w:footnoteRef/>
      </w:r>
      <w:r>
        <w:t xml:space="preserve"> A norma del protocollo su Irlanda/Irlanda del Nord dell</w:t>
      </w:r>
      <w:r w:rsidR="00F06D2E">
        <w:t>'</w:t>
      </w:r>
      <w:r>
        <w:t>accordo di recesso UE-Regno Unito.</w:t>
      </w:r>
    </w:p>
  </w:footnote>
  <w:footnote w:id="6">
    <w:p w14:paraId="229EB085" w14:textId="6DCEC945" w:rsidR="00F00D70" w:rsidRPr="008A04B8" w:rsidRDefault="00F00D70" w:rsidP="00AE66E2">
      <w:pPr>
        <w:pStyle w:val="CMR-footnote"/>
      </w:pPr>
      <w:r>
        <w:rPr>
          <w:rStyle w:val="FootnoteReference"/>
        </w:rPr>
        <w:footnoteRef/>
      </w:r>
      <w:r>
        <w:t xml:space="preserve"> Italia, Norvegia, Paesi Bassi e Svezia. </w:t>
      </w:r>
    </w:p>
  </w:footnote>
  <w:footnote w:id="7">
    <w:p w14:paraId="0871BB92" w14:textId="00FC5170" w:rsidR="00D00679" w:rsidRPr="001B5200" w:rsidRDefault="00D00679" w:rsidP="00917BE8">
      <w:pPr>
        <w:pStyle w:val="CMR-footnote"/>
      </w:pPr>
      <w:r>
        <w:rPr>
          <w:rStyle w:val="FootnoteReference"/>
        </w:rPr>
        <w:footnoteRef/>
      </w:r>
      <w:r>
        <w:t xml:space="preserve"> </w:t>
      </w:r>
      <w:hyperlink r:id="rId5" w:history="1">
        <w:r>
          <w:rPr>
            <w:rStyle w:val="Hyperlink"/>
          </w:rPr>
          <w:t>Regolamento (UE) 2018/842</w:t>
        </w:r>
      </w:hyperlink>
      <w:r>
        <w:t xml:space="preserve"> del 30 maggio 2018 (GU L 156 del 19.6.2018).</w:t>
      </w:r>
    </w:p>
  </w:footnote>
  <w:footnote w:id="8">
    <w:p w14:paraId="7478BDC4" w14:textId="548C65BD" w:rsidR="002D78B9" w:rsidRPr="0038309D" w:rsidRDefault="002D78B9" w:rsidP="00CF247F">
      <w:pPr>
        <w:pStyle w:val="CMR-footnote"/>
        <w:rPr>
          <w:lang w:val="en-IE"/>
        </w:rPr>
      </w:pPr>
      <w:r>
        <w:rPr>
          <w:rStyle w:val="FootnoteReference"/>
        </w:rPr>
        <w:footnoteRef/>
      </w:r>
      <w:r w:rsidRPr="0038309D">
        <w:rPr>
          <w:lang w:val="en-IE"/>
        </w:rPr>
        <w:t xml:space="preserve"> </w:t>
      </w:r>
      <w:hyperlink r:id="rId6" w:history="1">
        <w:r w:rsidRPr="0038309D">
          <w:rPr>
            <w:rStyle w:val="Hyperlink"/>
            <w:i/>
            <w:lang w:val="en-IE"/>
          </w:rPr>
          <w:t>New study provides toolbox for early decarbonisation in ETS2 sectors</w:t>
        </w:r>
      </w:hyperlink>
      <w:r w:rsidRPr="0038309D">
        <w:rPr>
          <w:lang w:val="en-IE"/>
        </w:rPr>
        <w:t xml:space="preserve">, DG Azione per il clima, 9.9.2025. </w:t>
      </w:r>
    </w:p>
  </w:footnote>
  <w:footnote w:id="9">
    <w:p w14:paraId="503CEAA2" w14:textId="78AB91B4" w:rsidR="00AE66E2" w:rsidRPr="00AE66E2" w:rsidRDefault="00AE66E2" w:rsidP="00AE66E2">
      <w:pPr>
        <w:pStyle w:val="CMR-footnote"/>
      </w:pPr>
      <w:r>
        <w:rPr>
          <w:rStyle w:val="FootnoteReference"/>
        </w:rPr>
        <w:footnoteRef/>
      </w:r>
      <w:r>
        <w:t xml:space="preserve"> </w:t>
      </w:r>
      <w:hyperlink r:id="rId7" w:history="1">
        <w:r w:rsidRPr="0013231C">
          <w:rPr>
            <w:rStyle w:val="Hyperlink"/>
            <w:i/>
          </w:rPr>
          <w:t>Guidance on the implementation of the Social Climate Fun</w:t>
        </w:r>
        <w:r>
          <w:rPr>
            <w:rStyle w:val="Hyperlink"/>
            <w:i/>
          </w:rPr>
          <w:t>d</w:t>
        </w:r>
      </w:hyperlink>
      <w:r>
        <w:t>, DG Occupazione, affari sociali e inclusione, 9.10.2025.</w:t>
      </w:r>
    </w:p>
  </w:footnote>
  <w:footnote w:id="10">
    <w:p w14:paraId="190CB939" w14:textId="77777777" w:rsidR="006C6F89" w:rsidRDefault="006C6F89" w:rsidP="006C6F89">
      <w:pPr>
        <w:pStyle w:val="CMR-footnote"/>
      </w:pPr>
      <w:r>
        <w:rPr>
          <w:rStyle w:val="FootnoteReference"/>
        </w:rPr>
        <w:footnoteRef/>
      </w:r>
      <w:r>
        <w:t xml:space="preserve"> Nel 2024 e nel 2025 il fattore di riduzione lineare corrispondeva a 87 924 231 quote per la produzione di energia elettrica e di calore, la produzione industriale e il trasporto marittimo e a 1 330 226 quote per il trasporto aereo.</w:t>
      </w:r>
    </w:p>
  </w:footnote>
  <w:footnote w:id="11">
    <w:p w14:paraId="2B6335BD" w14:textId="348EA634" w:rsidR="00C65038" w:rsidRDefault="00C65038" w:rsidP="00C941D6">
      <w:pPr>
        <w:pStyle w:val="CMR-footnote"/>
      </w:pPr>
      <w:r>
        <w:rPr>
          <w:rStyle w:val="FootnoteReference"/>
        </w:rPr>
        <w:footnoteRef/>
      </w:r>
      <w:r>
        <w:t xml:space="preserve"> Per ulteriori dettagli, cfr. </w:t>
      </w:r>
      <w:hyperlink r:id="rId8" w:history="1">
        <w:r>
          <w:rPr>
            <w:rStyle w:val="Hyperlink"/>
          </w:rPr>
          <w:t>decisione (UE) 2023/1575 della Commissione</w:t>
        </w:r>
      </w:hyperlink>
      <w:r>
        <w:t xml:space="preserve"> del 27 luglio 2023 (GU L 192 del 31.7.2023, pag.</w:t>
      </w:r>
      <w:r w:rsidR="0008163A">
        <w:t> </w:t>
      </w:r>
      <w:r>
        <w:t xml:space="preserve">30). </w:t>
      </w:r>
    </w:p>
  </w:footnote>
  <w:footnote w:id="12">
    <w:p w14:paraId="33C5B087" w14:textId="50B5CF00" w:rsidR="003939EE" w:rsidRDefault="003939EE" w:rsidP="00C941D6">
      <w:pPr>
        <w:pStyle w:val="CMR-footnote"/>
      </w:pPr>
      <w:r>
        <w:rPr>
          <w:rStyle w:val="FootnoteReference"/>
        </w:rPr>
        <w:footnoteRef/>
      </w:r>
      <w:r>
        <w:t xml:space="preserve"> Per ulteriori dettagli, cfr. la </w:t>
      </w:r>
      <w:hyperlink r:id="rId9" w:history="1">
        <w:r>
          <w:rPr>
            <w:rStyle w:val="Hyperlink"/>
          </w:rPr>
          <w:t>decisione (UE) 2024/1797 della Commissione</w:t>
        </w:r>
      </w:hyperlink>
      <w:r>
        <w:t>, del 27 giugno 2024, che modifica la decisione (UE) 2023/2440 (GU L, 2024/1797, 28.6.2024). ELI: </w:t>
      </w:r>
      <w:hyperlink r:id="rId10" w:tgtFrame="_blank" w:tooltip="Il link dà accesso al documento tramite il relativo URI ELI." w:history="1">
        <w:r>
          <w:rPr>
            <w:rStyle w:val="Hyperlink"/>
          </w:rPr>
          <w:t>http://data.europa.eu/eli/dec/2024/1797/oj</w:t>
        </w:r>
      </w:hyperlink>
      <w:r>
        <w:t>.</w:t>
      </w:r>
    </w:p>
  </w:footnote>
  <w:footnote w:id="13">
    <w:p w14:paraId="050B885F" w14:textId="6C3653A7" w:rsidR="001569F0" w:rsidRPr="00854C42" w:rsidRDefault="001569F0" w:rsidP="00C941D6">
      <w:pPr>
        <w:pStyle w:val="CMR-footnote"/>
      </w:pPr>
      <w:r>
        <w:rPr>
          <w:rStyle w:val="FootnoteReference"/>
        </w:rPr>
        <w:footnoteRef/>
      </w:r>
      <w:r>
        <w:t xml:space="preserve"> Dati sulle emissioni comunicati a norma del regolamento (UE) 2015/757 per il periodo di riferimento 2024 al 1º ottobre</w:t>
      </w:r>
      <w:r w:rsidR="0008163A">
        <w:t> </w:t>
      </w:r>
      <w:r>
        <w:t>2025.</w:t>
      </w:r>
    </w:p>
  </w:footnote>
  <w:footnote w:id="14">
    <w:p w14:paraId="475A0153" w14:textId="57DC4910" w:rsidR="0081523A" w:rsidRDefault="0081523A" w:rsidP="0081523A">
      <w:pPr>
        <w:pStyle w:val="CMR-footnote"/>
      </w:pPr>
      <w:r>
        <w:rPr>
          <w:rStyle w:val="FootnoteReference"/>
        </w:rPr>
        <w:footnoteRef/>
      </w:r>
      <w:r>
        <w:t xml:space="preserve"> Nel 2026 il fattore di riduzione lineare corrispondeva a 87 913 405 quote per la produzione di energia elettrica e calore, la produzione industriale e il trasporto marittimo e a 1 330 226 quote per il trasporto aereo.</w:t>
      </w:r>
    </w:p>
  </w:footnote>
  <w:footnote w:id="15">
    <w:p w14:paraId="727B66D7" w14:textId="6D00ADA2" w:rsidR="00E109D2" w:rsidRPr="00A10A9E" w:rsidRDefault="00E109D2" w:rsidP="00E109D2">
      <w:pPr>
        <w:pStyle w:val="CMR-footnote"/>
      </w:pPr>
      <w:r>
        <w:rPr>
          <w:rStyle w:val="FootnoteReference"/>
        </w:rPr>
        <w:footnoteRef/>
      </w:r>
      <w:r>
        <w:t xml:space="preserve"> Nella pratica la percentuale esatta varia, in quanto il volume di quote di emissioni messe all</w:t>
      </w:r>
      <w:r w:rsidR="00F06D2E">
        <w:t>'</w:t>
      </w:r>
      <w:r>
        <w:t>asta è stato ridotto per contribuire alla riserva stabilizzatrice del mercato, mentre il volume di quote assegnate a titolo gratuito è rimasto invariato.</w:t>
      </w:r>
    </w:p>
  </w:footnote>
  <w:footnote w:id="16">
    <w:p w14:paraId="03253E4B" w14:textId="593C2954" w:rsidR="00E109D2" w:rsidRPr="001179E4" w:rsidRDefault="00E109D2" w:rsidP="00E109D2">
      <w:pPr>
        <w:pStyle w:val="CMR-footnote"/>
      </w:pPr>
      <w:r>
        <w:rPr>
          <w:rStyle w:val="FootnoteReference"/>
          <w:rFonts w:cs="Times New Roman"/>
        </w:rPr>
        <w:footnoteRef/>
      </w:r>
      <w:r>
        <w:t xml:space="preserve"> </w:t>
      </w:r>
      <w:hyperlink r:id="rId11" w:history="1">
        <w:r>
          <w:rPr>
            <w:rStyle w:val="Hyperlink"/>
          </w:rPr>
          <w:t>Regolamento delegato (UE) 2023/2830 della Commissione</w:t>
        </w:r>
      </w:hyperlink>
      <w:r>
        <w:t xml:space="preserve"> del 17 ottobre 2023 (GU L, 2023/2830, 20.12.2023). ELI: </w:t>
      </w:r>
      <w:hyperlink r:id="rId12" w:tgtFrame="_blank" w:tooltip="Il link dà accesso al documento tramite il relativo URI ELI." w:history="1">
        <w:r>
          <w:rPr>
            <w:rStyle w:val="Hyperlink"/>
          </w:rPr>
          <w:t>http://data.europa.eu/eli/reg_del/2023/2830/oj</w:t>
        </w:r>
      </w:hyperlink>
      <w:r>
        <w:t>.</w:t>
      </w:r>
    </w:p>
  </w:footnote>
  <w:footnote w:id="17">
    <w:p w14:paraId="46D38435" w14:textId="4DC3BB59" w:rsidR="00E109D2" w:rsidRPr="00507E1D" w:rsidRDefault="00E109D2" w:rsidP="00E109D2">
      <w:pPr>
        <w:pStyle w:val="CMR-footnote"/>
      </w:pPr>
      <w:r>
        <w:rPr>
          <w:rStyle w:val="FootnoteReference"/>
          <w:lang w:val="en-IE"/>
        </w:rPr>
        <w:footnoteRef/>
      </w:r>
      <w:r>
        <w:t xml:space="preserve"> </w:t>
      </w:r>
      <w:hyperlink r:id="rId13" w:history="1">
        <w:r>
          <w:rPr>
            <w:rStyle w:val="Hyperlink"/>
          </w:rPr>
          <w:t>Regolamento (UE) 2023/435</w:t>
        </w:r>
      </w:hyperlink>
      <w:r>
        <w:t xml:space="preserve"> del 27 febbraio 2023 (GU L 63 del 28.2.2023).</w:t>
      </w:r>
    </w:p>
  </w:footnote>
  <w:footnote w:id="18">
    <w:p w14:paraId="4B0CE473" w14:textId="6BE6A77B" w:rsidR="00E109D2" w:rsidRPr="00785C31" w:rsidRDefault="00E109D2" w:rsidP="00E109D2">
      <w:pPr>
        <w:pStyle w:val="CMR-footnote"/>
      </w:pPr>
      <w:r>
        <w:rPr>
          <w:rStyle w:val="FootnoteReference"/>
          <w:lang w:val="en-IE"/>
        </w:rPr>
        <w:footnoteRef/>
      </w:r>
      <w:r>
        <w:t xml:space="preserve"> </w:t>
      </w:r>
      <w:hyperlink r:id="rId14" w:history="1">
        <w:r>
          <w:rPr>
            <w:rStyle w:val="Hyperlink"/>
          </w:rPr>
          <w:t>Aste EU ETS</w:t>
        </w:r>
      </w:hyperlink>
      <w:r>
        <w:t xml:space="preserve">, EEX. </w:t>
      </w:r>
    </w:p>
  </w:footnote>
  <w:footnote w:id="19">
    <w:p w14:paraId="48A4F202" w14:textId="388BBFA5" w:rsidR="00E109D2" w:rsidRPr="00785C31" w:rsidRDefault="00E109D2" w:rsidP="00E109D2">
      <w:pPr>
        <w:pStyle w:val="CMR-footnote"/>
      </w:pPr>
      <w:r>
        <w:rPr>
          <w:rStyle w:val="FootnoteReference"/>
          <w:rFonts w:cs="Times New Roman"/>
          <w:lang w:val="en-IE"/>
        </w:rPr>
        <w:footnoteRef/>
      </w:r>
      <w:r>
        <w:t xml:space="preserve"> </w:t>
      </w:r>
      <w:hyperlink r:id="rId15" w:anchor="documentation" w:history="1">
        <w:r>
          <w:rPr>
            <w:rStyle w:val="Hyperlink"/>
          </w:rPr>
          <w:t>Relazioni sulle aste</w:t>
        </w:r>
      </w:hyperlink>
      <w:r>
        <w:t xml:space="preserve">, DG Azione per il clima. </w:t>
      </w:r>
    </w:p>
  </w:footnote>
  <w:footnote w:id="20">
    <w:p w14:paraId="19544CF4" w14:textId="2FF1567D" w:rsidR="00A96807" w:rsidRPr="00854C42" w:rsidRDefault="00A96807" w:rsidP="001214E7">
      <w:pPr>
        <w:pStyle w:val="CMR-footnote"/>
      </w:pPr>
      <w:r>
        <w:rPr>
          <w:rStyle w:val="FootnoteReference"/>
          <w:rFonts w:cs="Times New Roman"/>
          <w:szCs w:val="18"/>
          <w:lang w:val="en-IE"/>
        </w:rPr>
        <w:footnoteRef/>
      </w:r>
      <w:r>
        <w:t xml:space="preserve"> I nove Stati membri sono: Belgio, Danimarca, Irlanda, Lussemburgo, Malta, Paesi Bassi, Austria, Finlandia e Svezia. La</w:t>
      </w:r>
      <w:r w:rsidR="0008163A">
        <w:t> </w:t>
      </w:r>
      <w:r>
        <w:t>disposizione di flessibilità riguarda gli Stati membri i cui obiettivi nell</w:t>
      </w:r>
      <w:r w:rsidR="00F06D2E">
        <w:t>'</w:t>
      </w:r>
      <w:r>
        <w:t>ambito del regolamento sulla condivisione degli sforzi sono notevolmente al di sopra sia della media dell</w:t>
      </w:r>
      <w:r w:rsidR="00F06D2E">
        <w:t>'</w:t>
      </w:r>
      <w:r>
        <w:t>UE sia del loro potenziale di riduzione realizzabile in modo efficace sotto il profilo dei costi, nonché gli Stati membri che nel 2013 non hanno assegnato quote EU ETS a titolo gratuito agli impianti industriali.</w:t>
      </w:r>
    </w:p>
  </w:footnote>
  <w:footnote w:id="21">
    <w:p w14:paraId="5A2321D7" w14:textId="6220A5B0" w:rsidR="00564985" w:rsidRPr="003F3A6C" w:rsidRDefault="00564985" w:rsidP="001214E7">
      <w:pPr>
        <w:pStyle w:val="CMR-footnote"/>
      </w:pPr>
      <w:r>
        <w:rPr>
          <w:rStyle w:val="FootnoteReference"/>
          <w:rFonts w:cs="Times New Roman"/>
          <w:szCs w:val="18"/>
        </w:rPr>
        <w:footnoteRef/>
      </w:r>
      <w:r>
        <w:t xml:space="preserve"> I Paesi Bassi e la Svezia non si sono avvalsi della flessibilità.</w:t>
      </w:r>
    </w:p>
  </w:footnote>
  <w:footnote w:id="22">
    <w:p w14:paraId="3E483EDE" w14:textId="1F30FEE4" w:rsidR="000F66CB" w:rsidRPr="00E52022" w:rsidRDefault="000F66CB" w:rsidP="00F53E2D">
      <w:pPr>
        <w:pStyle w:val="CMR-footnote"/>
      </w:pPr>
      <w:r>
        <w:rPr>
          <w:rStyle w:val="FootnoteReference"/>
        </w:rPr>
        <w:footnoteRef/>
      </w:r>
      <w:r>
        <w:t xml:space="preserve"> </w:t>
      </w:r>
      <w:hyperlink r:id="rId16" w:history="1">
        <w:r>
          <w:rPr>
            <w:rStyle w:val="Hyperlink"/>
          </w:rPr>
          <w:t>Notifica da parte della Germania della cancellazione volontaria per gli impianti chiusi nel 2022</w:t>
        </w:r>
      </w:hyperlink>
      <w:r>
        <w:t>, DG Azione per il clima, 2.5.2024.</w:t>
      </w:r>
    </w:p>
  </w:footnote>
  <w:footnote w:id="23">
    <w:p w14:paraId="0880F23D" w14:textId="551B078E" w:rsidR="00135CD1" w:rsidRPr="001B67E1" w:rsidRDefault="00135CD1" w:rsidP="00F53E2D">
      <w:pPr>
        <w:pStyle w:val="CMR-footnote"/>
        <w:rPr>
          <w:rStyle w:val="CMR-footnoteChar"/>
        </w:rPr>
      </w:pPr>
      <w:r>
        <w:rPr>
          <w:rStyle w:val="FootnoteReference"/>
        </w:rPr>
        <w:footnoteRef/>
      </w:r>
      <w:r>
        <w:t xml:space="preserve"> </w:t>
      </w:r>
      <w:hyperlink r:id="rId17" w:history="1">
        <w:r>
          <w:rPr>
            <w:rStyle w:val="Hyperlink"/>
          </w:rPr>
          <w:t>Notifica da parte della Germania della cancellazione volontaria di quote di emissioni nell</w:t>
        </w:r>
        <w:r w:rsidR="00F06D2E">
          <w:rPr>
            <w:rStyle w:val="Hyperlink"/>
          </w:rPr>
          <w:t>'</w:t>
        </w:r>
        <w:r>
          <w:rPr>
            <w:rStyle w:val="Hyperlink"/>
          </w:rPr>
          <w:t>EU ETS per gli impianti chiusi nel 2023</w:t>
        </w:r>
      </w:hyperlink>
      <w:r>
        <w:rPr>
          <w:rStyle w:val="CMR-footnoteChar"/>
        </w:rPr>
        <w:t>, DG Azione per il clima, 5.5.2024.</w:t>
      </w:r>
    </w:p>
  </w:footnote>
  <w:footnote w:id="24">
    <w:p w14:paraId="034ED44F" w14:textId="7399AACC" w:rsidR="00F53E2D" w:rsidRPr="00F53E2D" w:rsidRDefault="00F53E2D" w:rsidP="00F53E2D">
      <w:pPr>
        <w:pStyle w:val="CMR-footnote"/>
      </w:pPr>
      <w:r>
        <w:rPr>
          <w:rStyle w:val="CMR-footnoteChar"/>
        </w:rPr>
        <w:footnoteRef/>
      </w:r>
      <w:r>
        <w:rPr>
          <w:rStyle w:val="CMR-footnoteChar"/>
        </w:rPr>
        <w:t xml:space="preserve"> Se il TNAC per il 2024 fosse superiore a 1 096 milioni, sarebbero cancellate 514 000 quote. Se il TNAC per il 2024 fosse compreso tra 833 milioni e 1 096 milioni, non si procederebbe alla cancellazione di quote</w:t>
      </w:r>
      <w:r>
        <w:t>.</w:t>
      </w:r>
    </w:p>
  </w:footnote>
  <w:footnote w:id="25">
    <w:p w14:paraId="386D41A0" w14:textId="08173467" w:rsidR="00DE42A8" w:rsidRPr="00462B46" w:rsidRDefault="00DE42A8" w:rsidP="00F53E2D">
      <w:pPr>
        <w:pStyle w:val="CMR-footnote"/>
        <w:rPr>
          <w:rStyle w:val="CMR-footnoteChar"/>
        </w:rPr>
      </w:pPr>
      <w:r>
        <w:rPr>
          <w:rStyle w:val="FootnoteReference"/>
        </w:rPr>
        <w:footnoteRef/>
      </w:r>
      <w:r>
        <w:t xml:space="preserve"> </w:t>
      </w:r>
      <w:r>
        <w:rPr>
          <w:rStyle w:val="CMR-footnoteChar"/>
        </w:rPr>
        <w:t>La rilocalizzazione delle emissioni di carbonio potrebbe verificarsi se attività regolamentate dall</w:t>
      </w:r>
      <w:r w:rsidR="00F06D2E">
        <w:rPr>
          <w:rStyle w:val="CMR-footnoteChar"/>
        </w:rPr>
        <w:t>'</w:t>
      </w:r>
      <w:r>
        <w:rPr>
          <w:rStyle w:val="CMR-footnoteChar"/>
        </w:rPr>
        <w:t>ETS fossero trasferite in paesi terzi con politiche climatiche meno ambiziose, determinando un aumento delle emissioni totali di gas a effetto serra.</w:t>
      </w:r>
    </w:p>
  </w:footnote>
  <w:footnote w:id="26">
    <w:p w14:paraId="2C18D473" w14:textId="429B6055" w:rsidR="00882D9C" w:rsidRPr="00462B46" w:rsidRDefault="00882D9C" w:rsidP="00917BE8">
      <w:pPr>
        <w:pStyle w:val="CMR-footnote"/>
      </w:pPr>
      <w:r>
        <w:rPr>
          <w:rStyle w:val="FootnoteReference"/>
        </w:rPr>
        <w:footnoteRef/>
      </w:r>
      <w:r>
        <w:t xml:space="preserve"> </w:t>
      </w:r>
      <w:hyperlink r:id="rId18" w:history="1">
        <w:r>
          <w:rPr>
            <w:rStyle w:val="Hyperlink"/>
          </w:rPr>
          <w:t>Regolamento di esecuzione (UE) 2021/447 della Commissione</w:t>
        </w:r>
      </w:hyperlink>
      <w:r>
        <w:rPr>
          <w:rStyle w:val="CMR-footnoteChar"/>
        </w:rPr>
        <w:t xml:space="preserve"> del 12 marzo 2021 (GU L 87 del 15.3.2021).</w:t>
      </w:r>
    </w:p>
  </w:footnote>
  <w:footnote w:id="27">
    <w:p w14:paraId="58F13F43" w14:textId="60237332" w:rsidR="2FB941BE" w:rsidRPr="00917BE8" w:rsidRDefault="2FB941BE" w:rsidP="00917BE8">
      <w:pPr>
        <w:pStyle w:val="CMR-footnote"/>
      </w:pPr>
      <w:r>
        <w:rPr>
          <w:vertAlign w:val="superscript"/>
        </w:rPr>
        <w:footnoteRef/>
      </w:r>
      <w:r>
        <w:rPr>
          <w:vertAlign w:val="superscript"/>
        </w:rPr>
        <w:t xml:space="preserve"> </w:t>
      </w:r>
      <w:hyperlink r:id="rId19" w:history="1">
        <w:r>
          <w:rPr>
            <w:rStyle w:val="Hyperlink"/>
          </w:rPr>
          <w:t>Regolamento di esecuzione (UE) 2019/1842 della Commissione</w:t>
        </w:r>
      </w:hyperlink>
      <w:r>
        <w:t xml:space="preserve"> del 31 ottobre 2019 (GU L 282 del 4.11.2019).</w:t>
      </w:r>
    </w:p>
  </w:footnote>
  <w:footnote w:id="28">
    <w:p w14:paraId="310C312F" w14:textId="45D1B373" w:rsidR="00F43884" w:rsidRPr="00DE5769" w:rsidRDefault="00F43884" w:rsidP="00917BE8">
      <w:pPr>
        <w:pStyle w:val="CMR-footnote"/>
      </w:pPr>
      <w:r>
        <w:rPr>
          <w:vertAlign w:val="superscript"/>
        </w:rPr>
        <w:footnoteRef/>
      </w:r>
      <w:r>
        <w:t xml:space="preserve"> L</w:t>
      </w:r>
      <w:r w:rsidR="00F06D2E">
        <w:t>'</w:t>
      </w:r>
      <w:r>
        <w:t>Autorità di vigilanza dell</w:t>
      </w:r>
      <w:r w:rsidR="00F06D2E">
        <w:t>'</w:t>
      </w:r>
      <w:r>
        <w:t>accordo europeo di libero scambio ha anche adottato decisioni per l</w:t>
      </w:r>
      <w:r w:rsidR="00F06D2E">
        <w:t>'</w:t>
      </w:r>
      <w:r>
        <w:t>Islanda, il Liechtenstein e la Norvegia.</w:t>
      </w:r>
    </w:p>
  </w:footnote>
  <w:footnote w:id="29">
    <w:p w14:paraId="4E449934" w14:textId="4D768171" w:rsidR="00DE3719" w:rsidRDefault="00DE3719" w:rsidP="00917BE8">
      <w:pPr>
        <w:pStyle w:val="CMR-footnote"/>
      </w:pPr>
      <w:r>
        <w:rPr>
          <w:vertAlign w:val="superscript"/>
        </w:rPr>
        <w:footnoteRef/>
      </w:r>
      <w:r>
        <w:rPr>
          <w:vertAlign w:val="superscript"/>
        </w:rPr>
        <w:t xml:space="preserve"> </w:t>
      </w:r>
      <w:r>
        <w:t>L</w:t>
      </w:r>
      <w:r w:rsidR="00F06D2E">
        <w:t>'</w:t>
      </w:r>
      <w:r>
        <w:t>Autorità di vigilanza dell</w:t>
      </w:r>
      <w:r w:rsidR="00F06D2E">
        <w:t>'</w:t>
      </w:r>
      <w:r>
        <w:t>accordo europeo di libero scambio ha anche adottato decisioni per l</w:t>
      </w:r>
      <w:r w:rsidR="00F06D2E">
        <w:t>'</w:t>
      </w:r>
      <w:r>
        <w:t>Islanda, il Liechtenstein e la Norvegia.</w:t>
      </w:r>
    </w:p>
  </w:footnote>
  <w:footnote w:id="30">
    <w:p w14:paraId="4E4136CC" w14:textId="7019E309" w:rsidR="002C446D" w:rsidRPr="000525CD" w:rsidDel="00B56C09" w:rsidRDefault="001B056F" w:rsidP="00917BE8">
      <w:pPr>
        <w:pStyle w:val="CMR-footnote"/>
      </w:pPr>
      <w:r>
        <w:rPr>
          <w:rStyle w:val="FootnoteReference"/>
        </w:rPr>
        <w:footnoteRef/>
      </w:r>
      <w:r>
        <w:t xml:space="preserve"> </w:t>
      </w:r>
      <w:hyperlink r:id="rId20" w:history="1">
        <w:r>
          <w:rPr>
            <w:rStyle w:val="Hyperlink"/>
          </w:rPr>
          <w:t>Regolamento (UE) 2023/956</w:t>
        </w:r>
      </w:hyperlink>
      <w:r>
        <w:t xml:space="preserve"> del 10 maggio 2023 (GU L 130 del 16.5.2023). </w:t>
      </w:r>
    </w:p>
  </w:footnote>
  <w:footnote w:id="31">
    <w:p w14:paraId="1351AEB6" w14:textId="0B704692" w:rsidR="00085A37" w:rsidRPr="0038309D" w:rsidRDefault="00085A37" w:rsidP="0087017E">
      <w:pPr>
        <w:pStyle w:val="CMR-footnote"/>
        <w:rPr>
          <w:lang w:val="en-IE"/>
        </w:rPr>
      </w:pPr>
      <w:r>
        <w:rPr>
          <w:rStyle w:val="FootnoteReference"/>
        </w:rPr>
        <w:footnoteRef/>
      </w:r>
      <w:r w:rsidRPr="0038309D">
        <w:rPr>
          <w:lang w:val="en-IE"/>
        </w:rPr>
        <w:t xml:space="preserve"> </w:t>
      </w:r>
      <w:hyperlink r:id="rId21" w:history="1">
        <w:r w:rsidRPr="0038309D">
          <w:rPr>
            <w:rStyle w:val="Hyperlink"/>
            <w:i/>
            <w:lang w:val="en-IE"/>
          </w:rPr>
          <w:t>Commission welcomes political agreement to simplify and strengthen the carbon border adjustment mechanism</w:t>
        </w:r>
      </w:hyperlink>
      <w:r w:rsidRPr="0038309D">
        <w:rPr>
          <w:lang w:val="en-IE"/>
        </w:rPr>
        <w:t xml:space="preserve">, DG Azione </w:t>
      </w:r>
      <w:r w:rsidRPr="0013231C">
        <w:rPr>
          <w:lang w:val="en-IE"/>
        </w:rPr>
        <w:t>per il clima,</w:t>
      </w:r>
      <w:r w:rsidRPr="0038309D">
        <w:rPr>
          <w:lang w:val="en-IE"/>
        </w:rPr>
        <w:t xml:space="preserve"> 18.6.2025.</w:t>
      </w:r>
    </w:p>
  </w:footnote>
  <w:footnote w:id="32">
    <w:p w14:paraId="61364EF1" w14:textId="51896ED5" w:rsidR="001D20A1" w:rsidRPr="00854C42" w:rsidRDefault="001D20A1" w:rsidP="001C1F62">
      <w:pPr>
        <w:pStyle w:val="CMR-footnote"/>
      </w:pPr>
      <w:r>
        <w:rPr>
          <w:rStyle w:val="FootnoteReference"/>
        </w:rPr>
        <w:footnoteRef/>
      </w:r>
      <w:r>
        <w:t xml:space="preserve"> Laddove i costi del carbonio legati ai materiali di base CBAM possono indurre i fabbricanti di merci a valle a trasferire la produzione all</w:t>
      </w:r>
      <w:r w:rsidR="00F06D2E">
        <w:t>'</w:t>
      </w:r>
      <w:r>
        <w:t>estero sottraendola all</w:t>
      </w:r>
      <w:r w:rsidR="00F06D2E">
        <w:t>'</w:t>
      </w:r>
      <w:r>
        <w:t>applicazione dell</w:t>
      </w:r>
      <w:r w:rsidR="00F06D2E">
        <w:t>'</w:t>
      </w:r>
      <w:r>
        <w:t xml:space="preserve">EU ETS. </w:t>
      </w:r>
    </w:p>
  </w:footnote>
  <w:footnote w:id="33">
    <w:p w14:paraId="459C219A" w14:textId="1A5D093D" w:rsidR="001D20A1" w:rsidRPr="00854C42" w:rsidRDefault="001D20A1" w:rsidP="001C1F62">
      <w:pPr>
        <w:pStyle w:val="CMR-footnote"/>
      </w:pPr>
      <w:r>
        <w:rPr>
          <w:rStyle w:val="FootnoteReference"/>
        </w:rPr>
        <w:footnoteRef/>
      </w:r>
      <w:r>
        <w:t xml:space="preserve"> A norma del regolamento CBAM, per pratiche di elusione si intendono pratiche per le quali non vi sia una sufficiente motivazione o giustificazione economica, se non quella di eludere efficacemente, in tutto o in parte, gli obblighi finanziari derivanti dal CBAM.</w:t>
      </w:r>
    </w:p>
  </w:footnote>
  <w:footnote w:id="34">
    <w:p w14:paraId="2FB71EB3" w14:textId="2D3E1ECF" w:rsidR="00687C48" w:rsidRPr="00687C48" w:rsidRDefault="00687C48" w:rsidP="00317AC4">
      <w:pPr>
        <w:pStyle w:val="CMR-footnote"/>
      </w:pPr>
      <w:r>
        <w:rPr>
          <w:rStyle w:val="FootnoteReference"/>
        </w:rPr>
        <w:footnoteRef/>
      </w:r>
      <w:r>
        <w:t xml:space="preserve"> Cfr. </w:t>
      </w:r>
      <w:hyperlink r:id="rId22" w:history="1">
        <w:r>
          <w:rPr>
            <w:rStyle w:val="Hyperlink"/>
          </w:rPr>
          <w:t>COM(2025) 378 final</w:t>
        </w:r>
      </w:hyperlink>
      <w:r>
        <w:t xml:space="preserve">, </w:t>
      </w:r>
      <w:r w:rsidR="00F06D2E">
        <w:t>"</w:t>
      </w:r>
      <w:r>
        <w:t>Conseguire gli obiettivi del patto per l</w:t>
      </w:r>
      <w:r w:rsidR="00F06D2E">
        <w:t>'</w:t>
      </w:r>
      <w:r>
        <w:t>industria pulita I</w:t>
      </w:r>
      <w:r w:rsidR="00F06D2E">
        <w:t>"</w:t>
      </w:r>
      <w:r>
        <w:t xml:space="preserve">, del 2.7.2025, pag. 5. </w:t>
      </w:r>
    </w:p>
  </w:footnote>
  <w:footnote w:id="35">
    <w:p w14:paraId="77F6049B" w14:textId="06A73D50" w:rsidR="00B14664" w:rsidRPr="00B04064" w:rsidRDefault="00B14664" w:rsidP="00917BE8">
      <w:pPr>
        <w:pStyle w:val="CMR-footnote"/>
      </w:pPr>
      <w:r>
        <w:rPr>
          <w:rStyle w:val="FootnoteReference"/>
        </w:rPr>
        <w:footnoteRef/>
      </w:r>
      <w:r w:rsidRPr="0038309D">
        <w:rPr>
          <w:lang w:val="en-IE"/>
        </w:rPr>
        <w:t xml:space="preserve"> </w:t>
      </w:r>
      <w:hyperlink r:id="rId23" w:history="1">
        <w:r w:rsidRPr="0038309D">
          <w:rPr>
            <w:rStyle w:val="Hyperlink"/>
            <w:i/>
            <w:lang w:val="en-IE"/>
          </w:rPr>
          <w:t>Market Stability Reserve under the EU Emissions Trading System to reduce auction volume by 276 million allowances between September 2025 and August 2026</w:t>
        </w:r>
      </w:hyperlink>
      <w:r w:rsidRPr="0038309D">
        <w:rPr>
          <w:lang w:val="en-IE"/>
        </w:rPr>
        <w:t xml:space="preserve">, articolo pubblicato dalla DG CLIMA, 28.5.2025. </w:t>
      </w:r>
      <w:r>
        <w:rPr>
          <w:i/>
        </w:rPr>
        <w:t>Gazzetta ufficiale dell</w:t>
      </w:r>
      <w:r w:rsidR="00F06D2E">
        <w:rPr>
          <w:i/>
        </w:rPr>
        <w:t>'</w:t>
      </w:r>
      <w:r>
        <w:rPr>
          <w:i/>
        </w:rPr>
        <w:t>Unione europea</w:t>
      </w:r>
      <w:r>
        <w:t xml:space="preserve">: comunicazione della Commissione, </w:t>
      </w:r>
      <w:r w:rsidR="00F06D2E">
        <w:t>"</w:t>
      </w:r>
      <w:r>
        <w:t>Pubblicazione del numero totale di quote in circolazione nel 2024 ai fini della riserva stabilizzatrice del mercato nell</w:t>
      </w:r>
      <w:r w:rsidR="00F06D2E">
        <w:t>'</w:t>
      </w:r>
      <w:r>
        <w:t>ambito del sistema per lo scambio di quote di emissioni dell</w:t>
      </w:r>
      <w:r w:rsidR="00F06D2E">
        <w:t>'</w:t>
      </w:r>
      <w:r>
        <w:t>UE</w:t>
      </w:r>
      <w:r w:rsidR="00F06D2E">
        <w:t>"</w:t>
      </w:r>
      <w:r>
        <w:t xml:space="preserve"> (</w:t>
      </w:r>
      <w:hyperlink r:id="rId24" w:history="1">
        <w:r>
          <w:rPr>
            <w:rStyle w:val="Hyperlink"/>
          </w:rPr>
          <w:t>GU C, C/2025/3180</w:t>
        </w:r>
      </w:hyperlink>
      <w:r>
        <w:t xml:space="preserve">, 4.6.2024). </w:t>
      </w:r>
    </w:p>
  </w:footnote>
  <w:footnote w:id="36">
    <w:p w14:paraId="5121BCE5" w14:textId="41D531A9" w:rsidR="00EC2FDE" w:rsidRPr="00657817" w:rsidRDefault="00EC2FDE" w:rsidP="00917BE8">
      <w:pPr>
        <w:pStyle w:val="CMR-footnote"/>
      </w:pPr>
      <w:r>
        <w:rPr>
          <w:rStyle w:val="FootnoteReference"/>
        </w:rPr>
        <w:footnoteRef/>
      </w:r>
      <w:r>
        <w:t xml:space="preserve"> </w:t>
      </w:r>
      <w:hyperlink r:id="rId25" w:history="1">
        <w:r>
          <w:rPr>
            <w:rStyle w:val="Hyperlink"/>
          </w:rPr>
          <w:t>Direttiva 2014/65/UE</w:t>
        </w:r>
      </w:hyperlink>
      <w:r>
        <w:t xml:space="preserve"> del 15 maggio 2014 (</w:t>
      </w:r>
      <w:hyperlink r:id="rId26" w:history="1">
        <w:r>
          <w:rPr>
            <w:rStyle w:val="Hyperlink"/>
          </w:rPr>
          <w:t>GU L 173</w:t>
        </w:r>
      </w:hyperlink>
      <w:r>
        <w:t xml:space="preserve"> del 12.6.2024). Si veda la </w:t>
      </w:r>
      <w:hyperlink r:id="rId27" w:history="1">
        <w:r>
          <w:rPr>
            <w:rStyle w:val="Hyperlink"/>
          </w:rPr>
          <w:t>versione consolidata</w:t>
        </w:r>
      </w:hyperlink>
      <w:r>
        <w:t xml:space="preserve">. </w:t>
      </w:r>
    </w:p>
  </w:footnote>
  <w:footnote w:id="37">
    <w:p w14:paraId="23199287" w14:textId="5F03C9AC" w:rsidR="00FB65F5" w:rsidRPr="00FC1EC8" w:rsidRDefault="00FB65F5" w:rsidP="00917BE8">
      <w:pPr>
        <w:pStyle w:val="CMR-footnote"/>
      </w:pPr>
      <w:r>
        <w:rPr>
          <w:rStyle w:val="FootnoteReference"/>
        </w:rPr>
        <w:footnoteRef/>
      </w:r>
      <w:r>
        <w:t xml:space="preserve"> Cfr. l</w:t>
      </w:r>
      <w:r w:rsidR="00F06D2E">
        <w:t>'</w:t>
      </w:r>
      <w:r>
        <w:t xml:space="preserve">elenco delle autorità nazionali competenti ai sensi del regolamento sugli abusi di mercato sul </w:t>
      </w:r>
      <w:hyperlink r:id="rId28" w:history="1">
        <w:r>
          <w:rPr>
            <w:rStyle w:val="Hyperlink"/>
          </w:rPr>
          <w:t>sito web dell</w:t>
        </w:r>
        <w:r w:rsidR="00F06D2E">
          <w:rPr>
            <w:rStyle w:val="Hyperlink"/>
          </w:rPr>
          <w:t>'</w:t>
        </w:r>
        <w:r>
          <w:rPr>
            <w:rStyle w:val="Hyperlink"/>
          </w:rPr>
          <w:t>ESMA</w:t>
        </w:r>
      </w:hyperlink>
      <w:r>
        <w:t>.</w:t>
      </w:r>
    </w:p>
  </w:footnote>
  <w:footnote w:id="38">
    <w:p w14:paraId="4E9D27D8" w14:textId="47F70BCA" w:rsidR="00DE7C5D" w:rsidRPr="000D43D2" w:rsidRDefault="00DE7C5D" w:rsidP="00917BE8">
      <w:pPr>
        <w:pStyle w:val="CMR-footnote"/>
        <w:rPr>
          <w:lang w:val="fr-FR"/>
        </w:rPr>
      </w:pPr>
      <w:r>
        <w:rPr>
          <w:rStyle w:val="FootnoteReference"/>
        </w:rPr>
        <w:footnoteRef/>
      </w:r>
      <w:r>
        <w:t xml:space="preserve"> Regolamento (UE) n. 596/2014 del Parlamento europeo e del Consiglio, del 16 aprile 2014, relativo agli abusi di mercato (</w:t>
      </w:r>
      <w:hyperlink r:id="rId29" w:history="1">
        <w:r>
          <w:rPr>
            <w:rStyle w:val="Hyperlink"/>
          </w:rPr>
          <w:t>GU L 173</w:t>
        </w:r>
      </w:hyperlink>
      <w:r>
        <w:t xml:space="preserve"> del 12.6.2014). </w:t>
      </w:r>
      <w:r w:rsidRPr="000D43D2">
        <w:rPr>
          <w:lang w:val="fr-FR"/>
        </w:rPr>
        <w:t xml:space="preserve">Si veda la </w:t>
      </w:r>
      <w:hyperlink r:id="rId30" w:history="1">
        <w:r w:rsidRPr="000D43D2">
          <w:rPr>
            <w:rStyle w:val="Hyperlink"/>
            <w:lang w:val="fr-FR"/>
          </w:rPr>
          <w:t>versione consolidata</w:t>
        </w:r>
      </w:hyperlink>
      <w:r w:rsidRPr="000D43D2">
        <w:rPr>
          <w:lang w:val="fr-FR"/>
        </w:rPr>
        <w:t xml:space="preserve">. </w:t>
      </w:r>
    </w:p>
  </w:footnote>
  <w:footnote w:id="39">
    <w:p w14:paraId="04A29390" w14:textId="7311696C" w:rsidR="00F1285D" w:rsidRPr="000D43D2" w:rsidRDefault="00F1285D" w:rsidP="00917BE8">
      <w:pPr>
        <w:pStyle w:val="CMR-footnote"/>
        <w:rPr>
          <w:lang w:val="fr-FR"/>
        </w:rPr>
      </w:pPr>
      <w:r>
        <w:rPr>
          <w:rStyle w:val="FootnoteReference"/>
        </w:rPr>
        <w:footnoteRef/>
      </w:r>
      <w:r w:rsidRPr="000D43D2">
        <w:rPr>
          <w:lang w:val="fr-FR"/>
        </w:rPr>
        <w:t xml:space="preserve"> </w:t>
      </w:r>
      <w:r w:rsidRPr="000D43D2">
        <w:rPr>
          <w:i/>
          <w:lang w:val="fr-FR"/>
        </w:rPr>
        <w:t>ESMA Market Report - EU</w:t>
      </w:r>
      <w:r w:rsidRPr="000D43D2">
        <w:rPr>
          <w:lang w:val="fr-FR"/>
        </w:rPr>
        <w:t xml:space="preserve"> </w:t>
      </w:r>
      <w:hyperlink r:id="rId31" w:history="1">
        <w:r w:rsidRPr="000D43D2">
          <w:rPr>
            <w:i/>
            <w:lang w:val="fr-FR"/>
          </w:rPr>
          <w:t>Carbon Markets 2024</w:t>
        </w:r>
      </w:hyperlink>
      <w:r w:rsidRPr="000D43D2">
        <w:rPr>
          <w:lang w:val="fr-FR"/>
        </w:rPr>
        <w:t xml:space="preserve"> (</w:t>
      </w:r>
      <w:hyperlink r:id="rId32" w:history="1">
        <w:r w:rsidRPr="000D43D2">
          <w:rPr>
            <w:rStyle w:val="Hyperlink"/>
            <w:lang w:val="fr-FR"/>
          </w:rPr>
          <w:t>ESMA50-43599798-10379</w:t>
        </w:r>
      </w:hyperlink>
      <w:r w:rsidRPr="000D43D2">
        <w:rPr>
          <w:lang w:val="fr-FR"/>
        </w:rPr>
        <w:t>, 7.10.2024).</w:t>
      </w:r>
    </w:p>
  </w:footnote>
  <w:footnote w:id="40">
    <w:p w14:paraId="1A03BBDF" w14:textId="4B3A6CF1" w:rsidR="00C61794" w:rsidRPr="000D43D2" w:rsidRDefault="00C61794">
      <w:pPr>
        <w:pStyle w:val="FootnoteText"/>
        <w:rPr>
          <w:lang w:val="fr-FR"/>
        </w:rPr>
      </w:pPr>
      <w:r>
        <w:rPr>
          <w:rStyle w:val="FootnoteReference"/>
        </w:rPr>
        <w:footnoteRef/>
      </w:r>
      <w:r w:rsidRPr="000D43D2">
        <w:rPr>
          <w:lang w:val="fr-FR"/>
        </w:rPr>
        <w:t xml:space="preserve"> </w:t>
      </w:r>
      <w:r w:rsidRPr="000D43D2">
        <w:rPr>
          <w:rFonts w:ascii="Times New Roman" w:hAnsi="Times New Roman"/>
          <w:i/>
          <w:sz w:val="18"/>
          <w:lang w:val="fr-FR"/>
        </w:rPr>
        <w:t>ESMA Market Report on EU</w:t>
      </w:r>
      <w:r w:rsidRPr="000D43D2">
        <w:rPr>
          <w:rFonts w:ascii="Times New Roman" w:hAnsi="Times New Roman"/>
          <w:sz w:val="18"/>
          <w:lang w:val="fr-FR"/>
        </w:rPr>
        <w:t xml:space="preserve"> </w:t>
      </w:r>
      <w:hyperlink r:id="rId33" w:history="1">
        <w:r w:rsidRPr="000D43D2">
          <w:rPr>
            <w:rFonts w:ascii="Times New Roman" w:hAnsi="Times New Roman"/>
            <w:i/>
            <w:sz w:val="18"/>
            <w:lang w:val="fr-FR"/>
          </w:rPr>
          <w:t>Carbon Markets - 202</w:t>
        </w:r>
      </w:hyperlink>
      <w:r w:rsidRPr="000D43D2">
        <w:rPr>
          <w:rFonts w:ascii="Times New Roman" w:hAnsi="Times New Roman"/>
          <w:i/>
          <w:sz w:val="18"/>
          <w:lang w:val="fr-FR"/>
        </w:rPr>
        <w:t>5</w:t>
      </w:r>
      <w:r w:rsidRPr="000D43D2">
        <w:rPr>
          <w:rFonts w:ascii="Times New Roman" w:hAnsi="Times New Roman"/>
          <w:sz w:val="18"/>
          <w:lang w:val="fr-FR"/>
        </w:rPr>
        <w:t xml:space="preserve"> (</w:t>
      </w:r>
      <w:hyperlink r:id="rId34" w:history="1">
        <w:r w:rsidRPr="000D43D2">
          <w:rPr>
            <w:rStyle w:val="Hyperlink"/>
            <w:rFonts w:ascii="Times New Roman" w:hAnsi="Times New Roman"/>
            <w:sz w:val="18"/>
            <w:lang w:val="fr-FR"/>
          </w:rPr>
          <w:t>ESMA50-481369926-30552</w:t>
        </w:r>
      </w:hyperlink>
      <w:r w:rsidRPr="000D43D2">
        <w:rPr>
          <w:rFonts w:ascii="Times New Roman" w:hAnsi="Times New Roman"/>
          <w:sz w:val="18"/>
          <w:lang w:val="fr-FR"/>
        </w:rPr>
        <w:t>, 22.10.2025).</w:t>
      </w:r>
    </w:p>
  </w:footnote>
  <w:footnote w:id="41">
    <w:p w14:paraId="3717E9EE" w14:textId="37AAC1BE" w:rsidR="000C4C3C" w:rsidRPr="00B06A9A" w:rsidRDefault="000C4C3C" w:rsidP="00917BE8">
      <w:pPr>
        <w:pStyle w:val="CMR-footnote"/>
      </w:pPr>
      <w:r>
        <w:rPr>
          <w:rStyle w:val="FootnoteReference"/>
        </w:rPr>
        <w:footnoteRef/>
      </w:r>
      <w:r>
        <w:t xml:space="preserve"> </w:t>
      </w:r>
      <w:hyperlink r:id="rId35" w:history="1">
        <w:r>
          <w:rPr>
            <w:rStyle w:val="Hyperlink"/>
          </w:rPr>
          <w:t>Regolamento delegato (UE) 2019/1122 della Commissione</w:t>
        </w:r>
      </w:hyperlink>
      <w:r>
        <w:t>, del 12 marzo 2019, che integra la direttiva 2003/87/CE (GU</w:t>
      </w:r>
      <w:r w:rsidR="0008163A">
        <w:t> </w:t>
      </w:r>
      <w:r>
        <w:t>L</w:t>
      </w:r>
      <w:r w:rsidR="0008163A">
        <w:t> </w:t>
      </w:r>
      <w:r>
        <w:t xml:space="preserve">177 del 2.7.2019). Si veda la </w:t>
      </w:r>
      <w:hyperlink r:id="rId36" w:history="1">
        <w:r>
          <w:rPr>
            <w:rStyle w:val="Hyperlink"/>
          </w:rPr>
          <w:t>versione consolidata</w:t>
        </w:r>
      </w:hyperlink>
      <w:r>
        <w:t>.</w:t>
      </w:r>
    </w:p>
  </w:footnote>
  <w:footnote w:id="42">
    <w:p w14:paraId="6EA1F648" w14:textId="6C9160FF" w:rsidR="00350F38" w:rsidRPr="0083153A" w:rsidRDefault="0067277D" w:rsidP="00917BE8">
      <w:pPr>
        <w:pStyle w:val="CMR-footnote"/>
      </w:pPr>
      <w:r>
        <w:rPr>
          <w:rStyle w:val="FootnoteReference"/>
        </w:rPr>
        <w:footnoteRef/>
      </w:r>
      <w:r>
        <w:t xml:space="preserve"> </w:t>
      </w:r>
      <w:hyperlink r:id="rId37" w:history="1">
        <w:r>
          <w:rPr>
            <w:rStyle w:val="Hyperlink"/>
          </w:rPr>
          <w:t>Direttiva (UE) 2024/790</w:t>
        </w:r>
      </w:hyperlink>
      <w:r>
        <w:t>, del 28 febbraio 2024, che modifica la direttiva 2014/65/UE (GU L, 2024/790, 8.3.2024, ELI:</w:t>
      </w:r>
      <w:r w:rsidR="0008163A">
        <w:t> </w:t>
      </w:r>
      <w:hyperlink r:id="rId38" w:history="1">
        <w:r w:rsidR="0008163A" w:rsidRPr="001417E9">
          <w:rPr>
            <w:rStyle w:val="Hyperlink"/>
          </w:rPr>
          <w:t>http://data.europa.eu/eli/dir/2024/790/oj</w:t>
        </w:r>
      </w:hyperlink>
      <w:r>
        <w:t xml:space="preserve">). Si veda la </w:t>
      </w:r>
      <w:hyperlink r:id="rId39" w:history="1">
        <w:r>
          <w:rPr>
            <w:rStyle w:val="Hyperlink"/>
          </w:rPr>
          <w:t>versione consolidata</w:t>
        </w:r>
      </w:hyperlink>
      <w:r>
        <w:t xml:space="preserve">. </w:t>
      </w:r>
    </w:p>
  </w:footnote>
  <w:footnote w:id="43">
    <w:p w14:paraId="48DAD65D" w14:textId="34FDA7B1" w:rsidR="00B362EB" w:rsidRPr="0083153A" w:rsidRDefault="00B362EB" w:rsidP="00917BE8">
      <w:pPr>
        <w:pStyle w:val="CMR-footnote"/>
      </w:pPr>
      <w:r>
        <w:rPr>
          <w:rStyle w:val="FootnoteReference"/>
        </w:rPr>
        <w:footnoteRef/>
      </w:r>
      <w:r>
        <w:t xml:space="preserve"> </w:t>
      </w:r>
      <w:hyperlink r:id="rId40" w:history="1">
        <w:r>
          <w:rPr>
            <w:rStyle w:val="Hyperlink"/>
          </w:rPr>
          <w:t>Regolamento (UE) 2024/791</w:t>
        </w:r>
      </w:hyperlink>
      <w:r>
        <w:t>, del 28 febbraio 2024, che modifica il regolamento (UE) n. 600/2014 (GU L, 2024/791, 8.3.2024, ELI: </w:t>
      </w:r>
      <w:hyperlink r:id="rId41" w:tgtFrame="_blank" w:tooltip="Il link dà accesso al documento tramite il relativo URI ELI." w:history="1">
        <w:r>
          <w:rPr>
            <w:rStyle w:val="Hyperlink"/>
          </w:rPr>
          <w:t>http://data.europa.eu/eli/reg/2024/791/oj</w:t>
        </w:r>
      </w:hyperlink>
      <w:r>
        <w:t xml:space="preserve">). Si veda la </w:t>
      </w:r>
      <w:hyperlink r:id="rId42" w:history="1">
        <w:r>
          <w:rPr>
            <w:rStyle w:val="Hyperlink"/>
          </w:rPr>
          <w:t>versione consolidata</w:t>
        </w:r>
      </w:hyperlink>
      <w:r>
        <w:t xml:space="preserve">. </w:t>
      </w:r>
    </w:p>
  </w:footnote>
  <w:footnote w:id="44">
    <w:p w14:paraId="04C1ADC5" w14:textId="125B9A84" w:rsidR="005D5E97" w:rsidRPr="00415A77" w:rsidRDefault="005D5E97" w:rsidP="00917BE8">
      <w:pPr>
        <w:pStyle w:val="CMR-footnote"/>
      </w:pPr>
      <w:r>
        <w:rPr>
          <w:rStyle w:val="FootnoteReference"/>
        </w:rPr>
        <w:footnoteRef/>
      </w:r>
      <w:r>
        <w:t xml:space="preserve"> L</w:t>
      </w:r>
      <w:r w:rsidR="00F06D2E">
        <w:t>'</w:t>
      </w:r>
      <w:r>
        <w:t xml:space="preserve">obbligo di pubblicare due relazioni riguarda solo le sedi di negoziazione che offrono sia </w:t>
      </w:r>
      <w:r>
        <w:rPr>
          <w:i/>
        </w:rPr>
        <w:t xml:space="preserve">future </w:t>
      </w:r>
      <w:r>
        <w:t xml:space="preserve">che opzioni; quelle che offrono solo </w:t>
      </w:r>
      <w:r>
        <w:rPr>
          <w:i/>
        </w:rPr>
        <w:t>future</w:t>
      </w:r>
      <w:r>
        <w:t xml:space="preserve"> continueranno a pubblicare una sola relazione.</w:t>
      </w:r>
    </w:p>
  </w:footnote>
  <w:footnote w:id="45">
    <w:p w14:paraId="15261B59" w14:textId="04A306A9" w:rsidR="00E24CBE" w:rsidRPr="0038309D" w:rsidRDefault="00E24CBE" w:rsidP="00991926">
      <w:pPr>
        <w:pStyle w:val="CMR-footnote"/>
        <w:rPr>
          <w:lang w:val="en-IE"/>
        </w:rPr>
      </w:pPr>
      <w:r>
        <w:rPr>
          <w:rStyle w:val="FootnoteReference"/>
        </w:rPr>
        <w:footnoteRef/>
      </w:r>
      <w:r>
        <w:t xml:space="preserve"> </w:t>
      </w:r>
      <w:hyperlink r:id="rId43" w:history="1">
        <w:r>
          <w:rPr>
            <w:rStyle w:val="Hyperlink"/>
          </w:rPr>
          <w:t>Regolamento (UE) n. 648/2012</w:t>
        </w:r>
      </w:hyperlink>
      <w:r>
        <w:t xml:space="preserve"> del 4 luglio 2012 (GU L 201 del 27.7.2012</w:t>
      </w:r>
      <w:r w:rsidRPr="0008163A">
        <w:t xml:space="preserve">). </w:t>
      </w:r>
      <w:r w:rsidRPr="0013231C">
        <w:rPr>
          <w:lang w:val="en-IE"/>
        </w:rPr>
        <w:t xml:space="preserve">Si veda la </w:t>
      </w:r>
      <w:hyperlink r:id="rId44" w:history="1">
        <w:r w:rsidRPr="0013231C">
          <w:rPr>
            <w:rStyle w:val="Hyperlink"/>
            <w:lang w:val="en-IE"/>
          </w:rPr>
          <w:t>versione consolidata</w:t>
        </w:r>
      </w:hyperlink>
      <w:r w:rsidRPr="0013231C">
        <w:rPr>
          <w:lang w:val="en-IE"/>
        </w:rPr>
        <w:t>.</w:t>
      </w:r>
      <w:r w:rsidRPr="0038309D">
        <w:rPr>
          <w:lang w:val="en-IE"/>
        </w:rPr>
        <w:t xml:space="preserve"> </w:t>
      </w:r>
    </w:p>
  </w:footnote>
  <w:footnote w:id="46">
    <w:p w14:paraId="451215E7" w14:textId="1697FD74" w:rsidR="00476CD9" w:rsidRPr="0038309D" w:rsidRDefault="00476CD9" w:rsidP="00476CD9">
      <w:pPr>
        <w:pStyle w:val="FootnoteText"/>
        <w:rPr>
          <w:rFonts w:ascii="Times New Roman" w:hAnsi="Times New Roman"/>
          <w:sz w:val="18"/>
          <w:lang w:val="en-IE"/>
        </w:rPr>
      </w:pPr>
      <w:r>
        <w:rPr>
          <w:rStyle w:val="FootnoteReference"/>
        </w:rPr>
        <w:footnoteRef/>
      </w:r>
      <w:r w:rsidRPr="0038309D">
        <w:rPr>
          <w:lang w:val="en-IE"/>
        </w:rPr>
        <w:t xml:space="preserve"> </w:t>
      </w:r>
      <w:hyperlink r:id="rId45" w:history="1">
        <w:r w:rsidRPr="0038309D">
          <w:rPr>
            <w:rFonts w:ascii="Times New Roman" w:hAnsi="Times New Roman"/>
            <w:i/>
            <w:sz w:val="18"/>
            <w:lang w:val="en-IE"/>
          </w:rPr>
          <w:t>Targeted Consultation Document - Review of the functioning of commodity derivatives markets and certain aspects relating to spot energy markets</w:t>
        </w:r>
      </w:hyperlink>
      <w:r w:rsidRPr="0038309D">
        <w:rPr>
          <w:lang w:val="en-IE"/>
        </w:rPr>
        <w:t>,</w:t>
      </w:r>
      <w:r w:rsidRPr="0038309D">
        <w:rPr>
          <w:rFonts w:ascii="Times New Roman" w:hAnsi="Times New Roman"/>
          <w:sz w:val="18"/>
          <w:lang w:val="en-IE"/>
        </w:rPr>
        <w:t xml:space="preserve"> 26.2.2025. </w:t>
      </w:r>
    </w:p>
  </w:footnote>
  <w:footnote w:id="47">
    <w:p w14:paraId="67BB8A1A" w14:textId="263B68FF" w:rsidR="00E85050" w:rsidRPr="007C3EE6" w:rsidRDefault="00E85050" w:rsidP="007C3EE6">
      <w:pPr>
        <w:pStyle w:val="CMR-footnote"/>
      </w:pPr>
      <w:r>
        <w:rPr>
          <w:rStyle w:val="FootnoteReference"/>
        </w:rPr>
        <w:footnoteRef/>
      </w:r>
      <w:r>
        <w:t xml:space="preserve"> </w:t>
      </w:r>
      <w:hyperlink r:id="rId46" w:history="1">
        <w:r>
          <w:rPr>
            <w:rStyle w:val="Hyperlink"/>
          </w:rPr>
          <w:t>Piano d</w:t>
        </w:r>
        <w:r w:rsidR="00F06D2E">
          <w:rPr>
            <w:rStyle w:val="Hyperlink"/>
          </w:rPr>
          <w:t>'</w:t>
        </w:r>
        <w:r>
          <w:rPr>
            <w:rStyle w:val="Hyperlink"/>
          </w:rPr>
          <w:t>azione per un</w:t>
        </w:r>
        <w:r w:rsidR="00F06D2E">
          <w:rPr>
            <w:rStyle w:val="Hyperlink"/>
          </w:rPr>
          <w:t>'</w:t>
        </w:r>
        <w:r>
          <w:rPr>
            <w:rStyle w:val="Hyperlink"/>
          </w:rPr>
          <w:t>energia a prezzi accessibili Sbloccare l</w:t>
        </w:r>
        <w:r w:rsidR="00F06D2E">
          <w:rPr>
            <w:rStyle w:val="Hyperlink"/>
          </w:rPr>
          <w:t>'</w:t>
        </w:r>
        <w:r>
          <w:rPr>
            <w:rStyle w:val="Hyperlink"/>
          </w:rPr>
          <w:t>autentico valore dell</w:t>
        </w:r>
        <w:r w:rsidR="00F06D2E">
          <w:rPr>
            <w:rStyle w:val="Hyperlink"/>
          </w:rPr>
          <w:t>'</w:t>
        </w:r>
        <w:r>
          <w:rPr>
            <w:rStyle w:val="Hyperlink"/>
          </w:rPr>
          <w:t>Unione dell</w:t>
        </w:r>
        <w:r w:rsidR="00F06D2E">
          <w:rPr>
            <w:rStyle w:val="Hyperlink"/>
          </w:rPr>
          <w:t>'</w:t>
        </w:r>
        <w:r>
          <w:rPr>
            <w:rStyle w:val="Hyperlink"/>
          </w:rPr>
          <w:t>energia per garantire energia pulita, efficiente e a prezzi accessibili a tutti gli europei</w:t>
        </w:r>
      </w:hyperlink>
      <w:r>
        <w:t>, pubblicato il 26 febbraio 2025.</w:t>
      </w:r>
    </w:p>
  </w:footnote>
  <w:footnote w:id="48">
    <w:p w14:paraId="2B2E8F85" w14:textId="053FD9A0" w:rsidR="00BA3479" w:rsidRPr="0057218E" w:rsidRDefault="00BA3479" w:rsidP="00BA3479">
      <w:pPr>
        <w:pStyle w:val="CMR-footnote"/>
      </w:pPr>
      <w:r>
        <w:rPr>
          <w:rStyle w:val="FootnoteReference"/>
          <w:lang w:val="en-IE"/>
        </w:rPr>
        <w:footnoteRef/>
      </w:r>
      <w:r>
        <w:t xml:space="preserve"> Emissioni ETS verificate nel 2024, registro dell</w:t>
      </w:r>
      <w:r w:rsidR="00F06D2E">
        <w:t>'</w:t>
      </w:r>
      <w:r>
        <w:t>Unione, dati estratti il 1º ottobre 2025.</w:t>
      </w:r>
    </w:p>
  </w:footnote>
  <w:footnote w:id="49">
    <w:p w14:paraId="7A11C07E" w14:textId="2CCA3716" w:rsidR="00EC5BCA" w:rsidRPr="0057218E" w:rsidRDefault="00EC5BCA" w:rsidP="00EC5BCA">
      <w:pPr>
        <w:pStyle w:val="CMR-footnote"/>
      </w:pPr>
      <w:r>
        <w:rPr>
          <w:rStyle w:val="FootnoteReference"/>
          <w:lang w:val="en-IE"/>
        </w:rPr>
        <w:footnoteRef/>
      </w:r>
      <w:r>
        <w:t xml:space="preserve"> Il 2 % di tale diminuzione non è dovuto alle tendenze del mercato ma è anche da attribuirsi a incongruenze nei dati, che incidono sulla ripartizione tra le emissioni industriali e quelle derivanti dalla produzione di energia elettrica.</w:t>
      </w:r>
    </w:p>
  </w:footnote>
  <w:footnote w:id="50">
    <w:p w14:paraId="52C4DA8C" w14:textId="53428451" w:rsidR="00B60243" w:rsidRPr="0038309D" w:rsidRDefault="00B60243" w:rsidP="00C268B8">
      <w:pPr>
        <w:pStyle w:val="CMR-footnote"/>
        <w:rPr>
          <w:lang w:val="en-IE"/>
        </w:rPr>
      </w:pPr>
      <w:r>
        <w:rPr>
          <w:rStyle w:val="FootnoteReference"/>
          <w:lang w:val="en-IE"/>
        </w:rPr>
        <w:footnoteRef/>
      </w:r>
      <w:r w:rsidRPr="0038309D">
        <w:rPr>
          <w:lang w:val="en-IE"/>
        </w:rPr>
        <w:t xml:space="preserve"> </w:t>
      </w:r>
      <w:hyperlink r:id="rId47" w:history="1">
        <w:r w:rsidRPr="0038309D">
          <w:rPr>
            <w:rStyle w:val="Hyperlink"/>
            <w:i/>
            <w:lang w:val="en-IE"/>
          </w:rPr>
          <w:t>Net electricity generation by type of fuel - monthly data</w:t>
        </w:r>
      </w:hyperlink>
      <w:r w:rsidRPr="0038309D">
        <w:rPr>
          <w:lang w:val="en-IE"/>
        </w:rPr>
        <w:t>, Eurostat.</w:t>
      </w:r>
    </w:p>
  </w:footnote>
  <w:footnote w:id="51">
    <w:p w14:paraId="4EBC1CA4" w14:textId="21327AAF" w:rsidR="005A5A04" w:rsidRPr="0038309D" w:rsidRDefault="005A5A04" w:rsidP="00F47056">
      <w:pPr>
        <w:pStyle w:val="CMR-footnote"/>
        <w:rPr>
          <w:lang w:val="en-IE"/>
        </w:rPr>
      </w:pPr>
      <w:r>
        <w:rPr>
          <w:rStyle w:val="FootnoteReference"/>
          <w:lang w:val="en-IE"/>
        </w:rPr>
        <w:footnoteRef/>
      </w:r>
      <w:r w:rsidRPr="0038309D">
        <w:rPr>
          <w:lang w:val="en-IE"/>
        </w:rPr>
        <w:t xml:space="preserve"> </w:t>
      </w:r>
      <w:hyperlink r:id="rId48" w:history="1">
        <w:r w:rsidRPr="0038309D">
          <w:rPr>
            <w:rStyle w:val="Hyperlink"/>
            <w:i/>
            <w:lang w:val="en-IE"/>
          </w:rPr>
          <w:t>Industrial production down by 1.1% in the euro area and by 0.8% in the EU</w:t>
        </w:r>
      </w:hyperlink>
      <w:r w:rsidRPr="0038309D">
        <w:rPr>
          <w:lang w:val="en-IE"/>
        </w:rPr>
        <w:t>, Eurostat, 13.2.2025.</w:t>
      </w:r>
    </w:p>
  </w:footnote>
  <w:footnote w:id="52">
    <w:p w14:paraId="4ECDDB37" w14:textId="4F7B59F3" w:rsidR="005F69A5" w:rsidRPr="00014399" w:rsidRDefault="005F69A5" w:rsidP="00917BE8">
      <w:pPr>
        <w:pStyle w:val="CMR-footnote"/>
      </w:pPr>
      <w:r>
        <w:rPr>
          <w:rStyle w:val="FootnoteReference"/>
        </w:rPr>
        <w:footnoteRef/>
      </w:r>
      <w:r>
        <w:t xml:space="preserve"> Questa analisi si basa sui dati relativi all</w:t>
      </w:r>
      <w:r w:rsidR="00F06D2E">
        <w:t>'</w:t>
      </w:r>
      <w:r>
        <w:t>attuazione dell</w:t>
      </w:r>
      <w:r w:rsidR="00F06D2E">
        <w:t>'</w:t>
      </w:r>
      <w:r>
        <w:t>EU ETS che i paesi comunicano ogni anno a norma dell</w:t>
      </w:r>
      <w:r w:rsidR="00F06D2E">
        <w:t>'</w:t>
      </w:r>
      <w:r>
        <w:t xml:space="preserve">articolo 21 della direttiva ETS (termine: 30 giugno). </w:t>
      </w:r>
    </w:p>
  </w:footnote>
  <w:footnote w:id="53">
    <w:p w14:paraId="2693315F" w14:textId="0A8E53E2" w:rsidR="00C75203" w:rsidRPr="00A77F56" w:rsidRDefault="00C75203" w:rsidP="00917BE8">
      <w:pPr>
        <w:pStyle w:val="CMR-footnote"/>
      </w:pPr>
      <w:r>
        <w:rPr>
          <w:rStyle w:val="FootnoteReference"/>
        </w:rPr>
        <w:footnoteRef/>
      </w:r>
      <w:r>
        <w:t xml:space="preserve"> Le emissioni da biomassa sostenibile con fattore di emissione pari a zero rappresentano un 22 % aggiuntivo rispetto alle emissioni degli impianti ETS nel 2024. </w:t>
      </w:r>
    </w:p>
  </w:footnote>
  <w:footnote w:id="54">
    <w:p w14:paraId="7D60956F" w14:textId="29A2FC55" w:rsidR="00AC7C5E" w:rsidRPr="00686AC8" w:rsidRDefault="00AC7C5E" w:rsidP="00917BE8">
      <w:pPr>
        <w:pStyle w:val="CMR-footnote"/>
      </w:pPr>
      <w:r>
        <w:rPr>
          <w:rStyle w:val="FootnoteReference"/>
        </w:rPr>
        <w:footnoteRef/>
      </w:r>
      <w:r>
        <w:t xml:space="preserve"> </w:t>
      </w:r>
      <w:hyperlink r:id="rId49" w:history="1">
        <w:r>
          <w:rPr>
            <w:rStyle w:val="Hyperlink"/>
          </w:rPr>
          <w:t>Regolamento (UE) 2018/1999</w:t>
        </w:r>
      </w:hyperlink>
      <w:r>
        <w:t xml:space="preserve"> dell</w:t>
      </w:r>
      <w:r w:rsidR="00F06D2E">
        <w:t>'</w:t>
      </w:r>
      <w:r>
        <w:t xml:space="preserve">11 dicembre 2018 (GU L 328 del 21.12.2018). </w:t>
      </w:r>
    </w:p>
  </w:footnote>
  <w:footnote w:id="55">
    <w:p w14:paraId="2D858616" w14:textId="48208580" w:rsidR="000F529A" w:rsidRPr="0038309D" w:rsidRDefault="000F529A" w:rsidP="000F529A">
      <w:pPr>
        <w:pStyle w:val="CMR-footnote"/>
        <w:rPr>
          <w:lang w:val="en-IE"/>
        </w:rPr>
      </w:pPr>
      <w:r>
        <w:rPr>
          <w:rStyle w:val="FootnoteReference"/>
        </w:rPr>
        <w:footnoteRef/>
      </w:r>
      <w:r w:rsidRPr="0038309D">
        <w:rPr>
          <w:lang w:val="en-IE"/>
        </w:rPr>
        <w:t xml:space="preserve"> </w:t>
      </w:r>
      <w:hyperlink r:id="rId50" w:history="1">
        <w:r w:rsidRPr="0038309D">
          <w:rPr>
            <w:rStyle w:val="Hyperlink"/>
            <w:lang w:val="en-IE"/>
          </w:rPr>
          <w:t>Use of ETS auctioning revenues – Reporting year 2025 – GovReg</w:t>
        </w:r>
      </w:hyperlink>
      <w:r w:rsidRPr="0038309D">
        <w:rPr>
          <w:lang w:val="en-IE"/>
        </w:rPr>
        <w:t xml:space="preserve">, Reportnet3, </w:t>
      </w:r>
      <w:r w:rsidRPr="0013231C">
        <w:rPr>
          <w:lang w:val="en-IE"/>
        </w:rPr>
        <w:t>Agenzia europea dell</w:t>
      </w:r>
      <w:r w:rsidR="00F06D2E" w:rsidRPr="0013231C">
        <w:rPr>
          <w:lang w:val="en-IE"/>
        </w:rPr>
        <w:t>'</w:t>
      </w:r>
      <w:r w:rsidRPr="0013231C">
        <w:rPr>
          <w:lang w:val="en-IE"/>
        </w:rPr>
        <w:t>ambiente.</w:t>
      </w:r>
    </w:p>
  </w:footnote>
  <w:footnote w:id="56">
    <w:p w14:paraId="67691B99" w14:textId="0BE41C67" w:rsidR="0055278A" w:rsidRPr="008D3427" w:rsidRDefault="0055278A" w:rsidP="00917BE8">
      <w:pPr>
        <w:pStyle w:val="CMR-footnote"/>
      </w:pPr>
      <w:r>
        <w:rPr>
          <w:rStyle w:val="FootnoteReference"/>
        </w:rPr>
        <w:footnoteRef/>
      </w:r>
      <w:r>
        <w:t xml:space="preserve"> Fino al 4 giugno 2023 gli Stati membri erano incoraggiati a utilizzare almeno il 50 % dei proventi riscossi per sostenere gli investimenti nella decarbonizzazione e nella trasformazione energetica. Per i proventi riscossi a partire dal 5 giugno 2023 vale l</w:t>
      </w:r>
      <w:r w:rsidR="00F06D2E">
        <w:t>'</w:t>
      </w:r>
      <w:r>
        <w:t>obbligo di utilizzare il 100 % (o l</w:t>
      </w:r>
      <w:r w:rsidR="00F06D2E">
        <w:t>'</w:t>
      </w:r>
      <w:r>
        <w:t xml:space="preserve">equivalente in valore finanziario) per sostenere la decarbonizzazione e la trasformazione energetica nei settori ETS. </w:t>
      </w:r>
    </w:p>
  </w:footnote>
  <w:footnote w:id="57">
    <w:p w14:paraId="20A89585" w14:textId="1704DD8E" w:rsidR="004342FC" w:rsidRPr="007C0CA9" w:rsidRDefault="004342FC" w:rsidP="00917BE8">
      <w:pPr>
        <w:pStyle w:val="CMR-footnote"/>
      </w:pPr>
      <w:r>
        <w:rPr>
          <w:rStyle w:val="FootnoteReference"/>
        </w:rPr>
        <w:footnoteRef/>
      </w:r>
      <w:r>
        <w:t xml:space="preserve"> Alcuni paesi che cofinanziano azioni con i proventi dell</w:t>
      </w:r>
      <w:r w:rsidR="00F06D2E">
        <w:t>'</w:t>
      </w:r>
      <w:r>
        <w:t>ETS comunicano l</w:t>
      </w:r>
      <w:r w:rsidR="00F06D2E">
        <w:t>'</w:t>
      </w:r>
      <w:r>
        <w:t>intero valore dell</w:t>
      </w:r>
      <w:r w:rsidR="00F06D2E">
        <w:t>'</w:t>
      </w:r>
      <w:r>
        <w:t>azione cofinanziata, pertanto la somma delle azioni è superiore all</w:t>
      </w:r>
      <w:r w:rsidR="00F06D2E">
        <w:t>'</w:t>
      </w:r>
      <w:r>
        <w:t>importo dei proventi. I valori di questo capitolo sono stati adeguati per tenerne conto: ad esempio, se la somma delle azioni era pari al doppio dei proventi generati, si è ipotizzato che metà di ciascuna azione e della compensazione per i costi indiretti del carbonio fosse finanziata con i proventi delle aste.</w:t>
      </w:r>
    </w:p>
  </w:footnote>
  <w:footnote w:id="58">
    <w:p w14:paraId="7E81AC08" w14:textId="0E564EFB" w:rsidR="004B0B27" w:rsidRPr="00686AC8" w:rsidRDefault="004B0B27" w:rsidP="00917BE8">
      <w:pPr>
        <w:pStyle w:val="CMR-footnote"/>
      </w:pPr>
      <w:r>
        <w:rPr>
          <w:rStyle w:val="FootnoteReference"/>
        </w:rPr>
        <w:footnoteRef/>
      </w:r>
      <w:r>
        <w:t xml:space="preserve"> Relazione 2025 sui progressi dell</w:t>
      </w:r>
      <w:r w:rsidR="00F06D2E">
        <w:t>'</w:t>
      </w:r>
      <w:r>
        <w:t>azione per il clima, di prossima pubblicazione, e documento di lavoro dei servizi che accompagna la relazione.</w:t>
      </w:r>
    </w:p>
  </w:footnote>
  <w:footnote w:id="59">
    <w:p w14:paraId="134C5793" w14:textId="1F029A71" w:rsidR="00B70E5F" w:rsidRPr="00B70E5F" w:rsidRDefault="00B70E5F">
      <w:pPr>
        <w:pStyle w:val="FootnoteText"/>
      </w:pPr>
      <w:r>
        <w:rPr>
          <w:rStyle w:val="FootnoteReference"/>
        </w:rPr>
        <w:footnoteRef/>
      </w:r>
      <w:r>
        <w:t xml:space="preserve"> </w:t>
      </w:r>
      <w:r>
        <w:rPr>
          <w:rStyle w:val="CMR-footnoteChar"/>
        </w:rPr>
        <w:t>Orientamenti relativi a determinati aiuti di Stato nell</w:t>
      </w:r>
      <w:r w:rsidR="00F06D2E">
        <w:rPr>
          <w:rStyle w:val="CMR-footnoteChar"/>
        </w:rPr>
        <w:t>'</w:t>
      </w:r>
      <w:r>
        <w:rPr>
          <w:rStyle w:val="CMR-footnoteChar"/>
        </w:rPr>
        <w:t xml:space="preserve">ambito del sistema per lo scambio di quote di emissione dei gas a effetto serra dopo il 2021 (GU C 317 del 25.9.2020, pag. 5). È in fase di preparazione un </w:t>
      </w:r>
      <w:hyperlink r:id="rId51" w:history="1">
        <w:r>
          <w:rPr>
            <w:rStyle w:val="Hyperlink"/>
            <w:rFonts w:ascii="Times New Roman" w:hAnsi="Times New Roman"/>
            <w:sz w:val="18"/>
          </w:rPr>
          <w:t>aggiornamento tecnico</w:t>
        </w:r>
      </w:hyperlink>
      <w:r>
        <w:rPr>
          <w:rStyle w:val="CMR-footnoteChar"/>
        </w:rPr>
        <w:t xml:space="preserve"> di tali orientamenti. </w:t>
      </w:r>
    </w:p>
  </w:footnote>
  <w:footnote w:id="60">
    <w:p w14:paraId="71CF7AE6" w14:textId="3F0E7FA7" w:rsidR="002F4398" w:rsidRPr="0087079B" w:rsidRDefault="002F4398" w:rsidP="003453AF">
      <w:pPr>
        <w:pStyle w:val="CMR-footnote"/>
      </w:pPr>
      <w:r>
        <w:rPr>
          <w:rStyle w:val="FootnoteReference"/>
        </w:rPr>
        <w:footnoteRef/>
      </w:r>
      <w:r>
        <w:t xml:space="preserve"> Secondo gli orientamenti in materia di aiuti di Stato, la compensazione degli Stati membri deve basarsi sulla media dei prezzi a un anno osservati in una determinata borsa di diritti di emissione di carbonio dell</w:t>
      </w:r>
      <w:r w:rsidR="00F06D2E">
        <w:t>'</w:t>
      </w:r>
      <w:r>
        <w:t>UE. Il prezzo utilizzato può variare leggermente da uno Stato membro all</w:t>
      </w:r>
      <w:r w:rsidR="00F06D2E">
        <w:t>'</w:t>
      </w:r>
      <w:r>
        <w:t>altro a seconda della borsa di diritti di emissione di carbonio dell</w:t>
      </w:r>
      <w:r w:rsidR="00F06D2E">
        <w:t>'</w:t>
      </w:r>
      <w:r>
        <w:t>UE utilizzata.</w:t>
      </w:r>
    </w:p>
  </w:footnote>
  <w:footnote w:id="61">
    <w:p w14:paraId="59F5941E" w14:textId="105389B2" w:rsidR="00E3484A" w:rsidRPr="00854C42" w:rsidRDefault="00E3484A" w:rsidP="003453AF">
      <w:pPr>
        <w:pStyle w:val="CMR-footnote"/>
      </w:pPr>
      <w:r>
        <w:rPr>
          <w:rStyle w:val="FootnoteReference"/>
        </w:rPr>
        <w:footnoteRef/>
      </w:r>
      <w:r>
        <w:t xml:space="preserve"> Il regolamento sulla condivisione degli sforzi consente al Lussemburgo di cancellare in media 0,4 milioni di quote UE all</w:t>
      </w:r>
      <w:r w:rsidR="00F06D2E">
        <w:t>'</w:t>
      </w:r>
      <w:r>
        <w:t>anno tra il 2021 e il 2030, per un importo pari a 33,5 milioni di EUR, se messe all</w:t>
      </w:r>
      <w:r w:rsidR="00F06D2E">
        <w:t>'</w:t>
      </w:r>
      <w:r>
        <w:t xml:space="preserve">asta al prezzo di mercato considerato in questo capitolo. </w:t>
      </w:r>
    </w:p>
  </w:footnote>
  <w:footnote w:id="62">
    <w:p w14:paraId="6FBA7AAC" w14:textId="4B924EF2" w:rsidR="007A720D" w:rsidRPr="00F06D2E" w:rsidRDefault="007A720D" w:rsidP="003453AF">
      <w:pPr>
        <w:pStyle w:val="CMR-footnote"/>
        <w:rPr>
          <w:lang w:val="de-DE"/>
        </w:rPr>
      </w:pPr>
      <w:r>
        <w:rPr>
          <w:rStyle w:val="FootnoteReference"/>
          <w:rFonts w:cs="Times New Roman"/>
        </w:rPr>
        <w:footnoteRef/>
      </w:r>
      <w:r w:rsidRPr="00F06D2E">
        <w:rPr>
          <w:lang w:val="de-DE"/>
        </w:rPr>
        <w:t xml:space="preserve"> </w:t>
      </w:r>
      <w:r w:rsidRPr="00F06D2E">
        <w:rPr>
          <w:i/>
          <w:iCs/>
          <w:lang w:val="de-DE"/>
        </w:rPr>
        <w:t>Beihilfen für indirekte CO2-Kosten des Emissionshandels (Strompreiskompensation) in Deutschland für das Jahr 2023</w:t>
      </w:r>
      <w:r w:rsidRPr="00F06D2E">
        <w:rPr>
          <w:lang w:val="de-DE"/>
        </w:rPr>
        <w:t xml:space="preserve"> (</w:t>
      </w:r>
      <w:hyperlink r:id="rId52" w:history="1">
        <w:r w:rsidRPr="00F06D2E">
          <w:rPr>
            <w:rStyle w:val="Hyperlink"/>
            <w:lang w:val="de-DE"/>
          </w:rPr>
          <w:t>link</w:t>
        </w:r>
      </w:hyperlink>
      <w:r w:rsidRPr="00F06D2E">
        <w:rPr>
          <w:lang w:val="de-DE"/>
        </w:rPr>
        <w:t>).</w:t>
      </w:r>
    </w:p>
  </w:footnote>
  <w:footnote w:id="63">
    <w:p w14:paraId="544DBF79" w14:textId="6591F93F" w:rsidR="00FD4030" w:rsidRPr="00F06D2E" w:rsidRDefault="00FD4030" w:rsidP="00917BE8">
      <w:pPr>
        <w:pStyle w:val="CMR-footnote"/>
        <w:rPr>
          <w:lang w:val="de-DE"/>
        </w:rPr>
      </w:pPr>
      <w:r>
        <w:rPr>
          <w:rStyle w:val="FootnoteReference"/>
        </w:rPr>
        <w:footnoteRef/>
      </w:r>
      <w:r w:rsidRPr="00F06D2E">
        <w:rPr>
          <w:lang w:val="de-DE"/>
        </w:rPr>
        <w:t xml:space="preserve"> </w:t>
      </w:r>
      <w:r w:rsidRPr="00F06D2E">
        <w:rPr>
          <w:shd w:val="clear" w:color="auto" w:fill="FFFFFF"/>
          <w:lang w:val="de-DE"/>
        </w:rPr>
        <w:t>Commissione europea: Direzione generale per l</w:t>
      </w:r>
      <w:r w:rsidR="00F06D2E">
        <w:rPr>
          <w:shd w:val="clear" w:color="auto" w:fill="FFFFFF"/>
          <w:lang w:val="de-DE"/>
        </w:rPr>
        <w:t>'</w:t>
      </w:r>
      <w:r w:rsidRPr="00F06D2E">
        <w:rPr>
          <w:shd w:val="clear" w:color="auto" w:fill="FFFFFF"/>
          <w:lang w:val="de-DE"/>
        </w:rPr>
        <w:t xml:space="preserve">Azione per il clima, </w:t>
      </w:r>
      <w:r w:rsidRPr="00F06D2E">
        <w:rPr>
          <w:i/>
          <w:shd w:val="clear" w:color="auto" w:fill="FFFFFF"/>
          <w:lang w:val="de-DE"/>
        </w:rPr>
        <w:t>Innovation Fund progress report 2023: report from the Commission to the European Parliament and the Council on the implementation of the Innovation Fund in 2023</w:t>
      </w:r>
      <w:r w:rsidRPr="00F06D2E">
        <w:rPr>
          <w:shd w:val="clear" w:color="auto" w:fill="FFFFFF"/>
          <w:lang w:val="de-DE"/>
        </w:rPr>
        <w:t>, Ufficio delle pubblicazioni dell</w:t>
      </w:r>
      <w:r w:rsidR="00F06D2E">
        <w:rPr>
          <w:shd w:val="clear" w:color="auto" w:fill="FFFFFF"/>
          <w:lang w:val="de-DE"/>
        </w:rPr>
        <w:t>'</w:t>
      </w:r>
      <w:r w:rsidRPr="00F06D2E">
        <w:rPr>
          <w:shd w:val="clear" w:color="auto" w:fill="FFFFFF"/>
          <w:lang w:val="de-DE"/>
        </w:rPr>
        <w:t>Unione europea, 2025 (</w:t>
      </w:r>
      <w:hyperlink r:id="rId53" w:history="1">
        <w:r w:rsidRPr="00F06D2E">
          <w:rPr>
            <w:rStyle w:val="Hyperlink"/>
            <w:shd w:val="clear" w:color="auto" w:fill="FFFFFF"/>
            <w:lang w:val="de-DE"/>
          </w:rPr>
          <w:t>link</w:t>
        </w:r>
      </w:hyperlink>
      <w:r w:rsidRPr="00F06D2E">
        <w:rPr>
          <w:shd w:val="clear" w:color="auto" w:fill="FFFFFF"/>
          <w:lang w:val="de-DE"/>
        </w:rPr>
        <w:t>)</w:t>
      </w:r>
      <w:r w:rsidRPr="00F06D2E">
        <w:rPr>
          <w:lang w:val="de-DE"/>
        </w:rPr>
        <w:t>.</w:t>
      </w:r>
    </w:p>
  </w:footnote>
  <w:footnote w:id="64">
    <w:p w14:paraId="71E2A34A" w14:textId="5A172102" w:rsidR="00A53F50" w:rsidRPr="00854C42" w:rsidRDefault="00A53F50" w:rsidP="00C94BD9">
      <w:pPr>
        <w:pStyle w:val="CMR-footnote"/>
      </w:pPr>
      <w:r>
        <w:rPr>
          <w:rStyle w:val="FootnoteReference"/>
        </w:rPr>
        <w:footnoteRef/>
      </w:r>
      <w:r>
        <w:t xml:space="preserve"> </w:t>
      </w:r>
      <w:hyperlink r:id="rId54" w:history="1">
        <w:r>
          <w:rPr>
            <w:rStyle w:val="Hyperlink"/>
          </w:rPr>
          <w:t>Quadro del portafoglio di progetti del Fondo per l</w:t>
        </w:r>
        <w:r w:rsidR="00F06D2E">
          <w:rPr>
            <w:rStyle w:val="Hyperlink"/>
          </w:rPr>
          <w:t>'</w:t>
        </w:r>
        <w:r>
          <w:rPr>
            <w:rStyle w:val="Hyperlink"/>
          </w:rPr>
          <w:t>innovazione</w:t>
        </w:r>
      </w:hyperlink>
      <w:r w:rsidR="0091482D">
        <w:t>.</w:t>
      </w:r>
    </w:p>
  </w:footnote>
  <w:footnote w:id="65">
    <w:p w14:paraId="50DEDEFC" w14:textId="71AD61F4" w:rsidR="00FD4030" w:rsidRPr="001E7394" w:rsidRDefault="00FD4030" w:rsidP="00917BE8">
      <w:pPr>
        <w:pStyle w:val="CMR-footnote"/>
      </w:pPr>
      <w:r>
        <w:rPr>
          <w:rStyle w:val="FootnoteReference"/>
        </w:rPr>
        <w:footnoteRef/>
      </w:r>
      <w:r>
        <w:t xml:space="preserve"> Considerando 20 della direttiva 2009/29/CE, ribadito nel considerando 14 della direttiva (UE) 2018/410. </w:t>
      </w:r>
    </w:p>
  </w:footnote>
  <w:footnote w:id="66">
    <w:p w14:paraId="3833B0EA" w14:textId="06FF0938" w:rsidR="004771E8" w:rsidRPr="0038309D" w:rsidRDefault="004771E8" w:rsidP="000B3CB8">
      <w:pPr>
        <w:pStyle w:val="CMR-footnote"/>
        <w:rPr>
          <w:lang w:val="en-IE"/>
        </w:rPr>
      </w:pPr>
      <w:r>
        <w:rPr>
          <w:rStyle w:val="FootnoteReference"/>
        </w:rPr>
        <w:footnoteRef/>
      </w:r>
      <w:r w:rsidRPr="0038309D">
        <w:rPr>
          <w:lang w:val="en-IE"/>
        </w:rPr>
        <w:t xml:space="preserve"> </w:t>
      </w:r>
      <w:hyperlink r:id="rId55" w:history="1">
        <w:r w:rsidRPr="0038309D">
          <w:rPr>
            <w:rStyle w:val="Hyperlink"/>
            <w:lang w:val="en-IE"/>
          </w:rPr>
          <w:t>Innovation Fund - Project Development Assistance</w:t>
        </w:r>
      </w:hyperlink>
      <w:r w:rsidRPr="0038309D">
        <w:rPr>
          <w:lang w:val="en-IE"/>
        </w:rPr>
        <w:t xml:space="preserve">, BEI. </w:t>
      </w:r>
    </w:p>
  </w:footnote>
  <w:footnote w:id="67">
    <w:p w14:paraId="04CD74F0" w14:textId="5F690F4B" w:rsidR="002F024C" w:rsidRPr="00854C42" w:rsidRDefault="002F024C" w:rsidP="000B3CB8">
      <w:pPr>
        <w:pStyle w:val="CMR-footnote"/>
      </w:pPr>
      <w:r>
        <w:rPr>
          <w:rStyle w:val="FootnoteReference"/>
        </w:rPr>
        <w:footnoteRef/>
      </w:r>
      <w:r w:rsidR="0091482D">
        <w:t> </w:t>
      </w:r>
      <w:hyperlink r:id="rId56" w:history="1">
        <w:r>
          <w:rPr>
            <w:rStyle w:val="Hyperlink"/>
          </w:rPr>
          <w:t>Regolamento (UE) 2024/795</w:t>
        </w:r>
      </w:hyperlink>
      <w:r>
        <w:t xml:space="preserve"> del 29 febbraio 2024 (GU L, 2024/795, 29.2.2024, ELI: </w:t>
      </w:r>
      <w:hyperlink r:id="rId57" w:tgtFrame="_blank" w:tooltip="Il link dà accesso al documento tramite il relativo URI ELI." w:history="1">
        <w:r>
          <w:rPr>
            <w:rStyle w:val="Hyperlink"/>
          </w:rPr>
          <w:t>http://data.europa.eu/eli/reg/2024/795/oj</w:t>
        </w:r>
      </w:hyperlink>
      <w:r>
        <w:t>.</w:t>
      </w:r>
    </w:p>
  </w:footnote>
  <w:footnote w:id="68">
    <w:p w14:paraId="7F9F7919" w14:textId="77777777" w:rsidR="00DC0230" w:rsidRPr="00273826" w:rsidRDefault="00DC0230" w:rsidP="00DC0230">
      <w:pPr>
        <w:pStyle w:val="CMR-footnote"/>
      </w:pPr>
      <w:r>
        <w:rPr>
          <w:rStyle w:val="FootnoteReference"/>
        </w:rPr>
        <w:footnoteRef/>
      </w:r>
      <w:r>
        <w:t xml:space="preserve"> I primi Stati membri beneficiari erano Bulgaria, Cechia, Croazia, Estonia, Lettonia, Lituania, Polonia, Romania, Slovacchia e Ungheria. </w:t>
      </w:r>
    </w:p>
  </w:footnote>
  <w:footnote w:id="69">
    <w:p w14:paraId="31C067E7" w14:textId="416D77A7" w:rsidR="0069737E" w:rsidRPr="00450FAB" w:rsidRDefault="0069737E" w:rsidP="00917BE8">
      <w:pPr>
        <w:pStyle w:val="CMR-footnote"/>
      </w:pPr>
      <w:r>
        <w:rPr>
          <w:rStyle w:val="FootnoteReference"/>
        </w:rPr>
        <w:footnoteRef/>
      </w:r>
      <w:r>
        <w:t xml:space="preserve"> Nell</w:t>
      </w:r>
      <w:r w:rsidR="00F06D2E">
        <w:t>'</w:t>
      </w:r>
      <w:r>
        <w:t>ambito della revisione del 2023 della direttiva ETS, ai 10 Stati membri iniziali si sono aggiunti Grecia, Portogallo e Slovenia.</w:t>
      </w:r>
    </w:p>
  </w:footnote>
  <w:footnote w:id="70">
    <w:p w14:paraId="00FD60A7" w14:textId="021C017C" w:rsidR="006F078C" w:rsidRPr="00E77C65" w:rsidRDefault="006F078C" w:rsidP="00917BE8">
      <w:pPr>
        <w:pStyle w:val="CMR-footnote"/>
      </w:pPr>
      <w:r>
        <w:rPr>
          <w:rStyle w:val="FootnoteReference"/>
        </w:rPr>
        <w:footnoteRef/>
      </w:r>
      <w:r>
        <w:t xml:space="preserve"> Allegato II ter della direttiva ETS – Distribuzione dei finanziamenti del Fondo per la modernizzazione. </w:t>
      </w:r>
    </w:p>
  </w:footnote>
  <w:footnote w:id="71">
    <w:p w14:paraId="1371914E" w14:textId="1057973F" w:rsidR="006F078C" w:rsidRPr="00D070B3" w:rsidRDefault="006F078C" w:rsidP="00917BE8">
      <w:pPr>
        <w:pStyle w:val="CMR-footnote"/>
      </w:pPr>
      <w:r>
        <w:rPr>
          <w:rStyle w:val="FootnoteReference"/>
        </w:rPr>
        <w:footnoteRef/>
      </w:r>
      <w:r>
        <w:t xml:space="preserve"> </w:t>
      </w:r>
      <w:hyperlink r:id="rId58" w:history="1">
        <w:r>
          <w:rPr>
            <w:rStyle w:val="Hyperlink"/>
          </w:rPr>
          <w:t>C(2024) 4190 final</w:t>
        </w:r>
      </w:hyperlink>
      <w:r>
        <w:t xml:space="preserve"> – Decisione della Commissione del 12.6.2024 sull</w:t>
      </w:r>
      <w:r w:rsidR="00F06D2E">
        <w:t>'</w:t>
      </w:r>
      <w:r>
        <w:t>esborso delle entrate del Fondo per la modernizzazione a norma della direttiva 2003/87/CE – Primo ciclo semestrale di esborso del 2024.</w:t>
      </w:r>
    </w:p>
  </w:footnote>
  <w:footnote w:id="72">
    <w:p w14:paraId="06E01E61" w14:textId="486F1FB5" w:rsidR="006F078C" w:rsidRPr="007E51E1" w:rsidRDefault="006F078C" w:rsidP="00917BE8">
      <w:pPr>
        <w:pStyle w:val="CMR-footnote"/>
      </w:pPr>
      <w:r>
        <w:rPr>
          <w:rStyle w:val="FootnoteReference"/>
        </w:rPr>
        <w:footnoteRef/>
      </w:r>
      <w:r>
        <w:t xml:space="preserve"> La quinta decisione di esborso a titolo del Fondo per la modernizzazione ha autorizzato pagamenti a Romania (1,1 miliardi</w:t>
      </w:r>
      <w:r w:rsidR="0091482D">
        <w:t> </w:t>
      </w:r>
      <w:r>
        <w:t>di</w:t>
      </w:r>
      <w:r w:rsidR="0091482D">
        <w:t> </w:t>
      </w:r>
      <w:r>
        <w:t>EUR), Cechia (835 milioni di EUR), Polonia (698 milioni di EUR), Ungheria (77 milioni di EUR), Bulgaria (65 milioni di EUR), Lituania (59 milioni di EUR), Croazia (52 milioni di EUR), Slovacchia (35 milioni di EUR), Lettonia (27 milioni di EUR) ed Estonia (24 milioni di EUR).</w:t>
      </w:r>
    </w:p>
  </w:footnote>
  <w:footnote w:id="73">
    <w:p w14:paraId="016F644E" w14:textId="46C7DE4D" w:rsidR="0097021E" w:rsidRPr="0041661C" w:rsidRDefault="0097021E" w:rsidP="00917BE8">
      <w:pPr>
        <w:pStyle w:val="CMR-footnote"/>
      </w:pPr>
      <w:r>
        <w:rPr>
          <w:rStyle w:val="FootnoteReference"/>
        </w:rPr>
        <w:footnoteRef/>
      </w:r>
      <w:r>
        <w:t xml:space="preserve"> 25 milioni di quote di emissioni sono stati accantonati per un eventuale utilizzo a norma dell</w:t>
      </w:r>
      <w:r w:rsidR="00F06D2E">
        <w:t>'</w:t>
      </w:r>
      <w:r>
        <w:t xml:space="preserve">articolo 10 bis, paragrafo 9, della direttiva ETS (comunicazione della Commissione </w:t>
      </w:r>
      <w:r w:rsidR="00F06D2E">
        <w:t>"</w:t>
      </w:r>
      <w:r>
        <w:t>Pubblicazione del totale delle quote in circolazione nel 2021 ai fini della riserva stabilizzatrice del mercato nell</w:t>
      </w:r>
      <w:r w:rsidR="00F06D2E">
        <w:t>'</w:t>
      </w:r>
      <w:r>
        <w:t>ambito del sistema di scambio delle quote di emissioni dell</w:t>
      </w:r>
      <w:r w:rsidR="00F06D2E">
        <w:t>'</w:t>
      </w:r>
      <w:r>
        <w:t>UE istituito dalla direttiva 2003/87/CE e del numero di quote non assegnate nel periodo 2013-2020</w:t>
      </w:r>
      <w:r w:rsidR="00F06D2E">
        <w:t>"</w:t>
      </w:r>
      <w:r>
        <w:t>, 2022/C 195/02, C/2022/2780) (</w:t>
      </w:r>
      <w:hyperlink r:id="rId59" w:history="1">
        <w:r>
          <w:rPr>
            <w:rStyle w:val="Hyperlink"/>
          </w:rPr>
          <w:t>GU C 195</w:t>
        </w:r>
      </w:hyperlink>
      <w:r>
        <w:t xml:space="preserve"> del 13.5.2022).</w:t>
      </w:r>
    </w:p>
  </w:footnote>
  <w:footnote w:id="74">
    <w:p w14:paraId="1695B285" w14:textId="36958A50" w:rsidR="2EE81C63" w:rsidRPr="0038309D" w:rsidRDefault="2EE81C63" w:rsidP="00B05891">
      <w:pPr>
        <w:pStyle w:val="CMR-footnote"/>
        <w:rPr>
          <w:lang w:val="en-IE"/>
        </w:rPr>
      </w:pPr>
      <w:r>
        <w:rPr>
          <w:rStyle w:val="FootnoteReference"/>
          <w:rFonts w:cs="Times New Roman"/>
        </w:rPr>
        <w:footnoteRef/>
      </w:r>
      <w:r w:rsidRPr="0038309D">
        <w:rPr>
          <w:rStyle w:val="FootnoteReference"/>
          <w:lang w:val="en-IE"/>
        </w:rPr>
        <w:t xml:space="preserve"> </w:t>
      </w:r>
      <w:hyperlink r:id="rId60" w:history="1">
        <w:r w:rsidRPr="0038309D">
          <w:rPr>
            <w:rStyle w:val="Hyperlink"/>
            <w:i/>
            <w:color w:val="auto"/>
            <w:u w:val="none"/>
            <w:lang w:val="en-IE"/>
          </w:rPr>
          <w:t>Executive Vice-President Šefčovič signs agreement between Greece, European Investment Bank and the Commission on a Decarbonisation Fund for Greek islands</w:t>
        </w:r>
        <w:r w:rsidRPr="0038309D">
          <w:rPr>
            <w:rStyle w:val="Hyperlink"/>
            <w:color w:val="auto"/>
            <w:u w:val="none"/>
            <w:lang w:val="en-IE"/>
          </w:rPr>
          <w:t xml:space="preserve"> - Commissione europea</w:t>
        </w:r>
      </w:hyperlink>
      <w:r w:rsidRPr="0038309D">
        <w:rPr>
          <w:lang w:val="en-IE"/>
        </w:rPr>
        <w:t xml:space="preserve">. </w:t>
      </w:r>
    </w:p>
  </w:footnote>
  <w:footnote w:id="75">
    <w:p w14:paraId="704629AD" w14:textId="28CE8A2A" w:rsidR="00187D4D" w:rsidRPr="002B6EB7" w:rsidRDefault="00187D4D" w:rsidP="00917BE8">
      <w:pPr>
        <w:pStyle w:val="CMR-footnote"/>
      </w:pPr>
      <w:r>
        <w:rPr>
          <w:rStyle w:val="FootnoteReference"/>
          <w:rFonts w:cs="Times New Roman"/>
        </w:rPr>
        <w:footnoteRef/>
      </w:r>
      <w:r>
        <w:rPr>
          <w:rStyle w:val="FootnoteReference"/>
        </w:rPr>
        <w:t xml:space="preserve"> </w:t>
      </w:r>
      <w:hyperlink r:id="rId61" w:history="1">
        <w:r>
          <w:rPr>
            <w:rStyle w:val="Hyperlink"/>
          </w:rPr>
          <w:t>Decisione n. 377/2013/UE</w:t>
        </w:r>
      </w:hyperlink>
      <w:r>
        <w:t xml:space="preserve">, del 24 aprile 2013, recante deroga temporanea alla direttiva 2003/87/CE </w:t>
      </w:r>
      <w:hyperlink r:id="rId62" w:history="1">
        <w:r>
          <w:t>(GU L 113,</w:t>
        </w:r>
      </w:hyperlink>
      <w:r>
        <w:t xml:space="preserve"> del</w:t>
      </w:r>
      <w:r w:rsidR="0091482D">
        <w:t> </w:t>
      </w:r>
      <w:r>
        <w:t>25.4.2013, pag. 1).</w:t>
      </w:r>
    </w:p>
  </w:footnote>
  <w:footnote w:id="76">
    <w:p w14:paraId="447BC223" w14:textId="41137DF7" w:rsidR="00E772AF" w:rsidRPr="00E772AF" w:rsidRDefault="00E772AF" w:rsidP="00917BE8">
      <w:pPr>
        <w:pStyle w:val="CMR-footnote"/>
      </w:pPr>
      <w:r>
        <w:rPr>
          <w:rStyle w:val="FootnoteReference"/>
        </w:rPr>
        <w:footnoteRef/>
      </w:r>
      <w:r>
        <w:t xml:space="preserve"> Considerando 30 della </w:t>
      </w:r>
      <w:hyperlink r:id="rId63" w:history="1">
        <w:r>
          <w:rPr>
            <w:rStyle w:val="Hyperlink"/>
          </w:rPr>
          <w:t>direttiva 958/2024/UE</w:t>
        </w:r>
      </w:hyperlink>
      <w:r>
        <w:t xml:space="preserve"> che rivede la direttiva ETS.</w:t>
      </w:r>
    </w:p>
  </w:footnote>
  <w:footnote w:id="77">
    <w:p w14:paraId="49B64EBA" w14:textId="56C3B444" w:rsidR="00187D4D" w:rsidRPr="0010031B" w:rsidRDefault="00187D4D" w:rsidP="00917BE8">
      <w:pPr>
        <w:pStyle w:val="CMR-footnote"/>
      </w:pPr>
      <w:r>
        <w:rPr>
          <w:rStyle w:val="FootnoteReference"/>
          <w:rFonts w:cs="Times New Roman"/>
        </w:rPr>
        <w:footnoteRef/>
      </w:r>
      <w:r>
        <w:t xml:space="preserve"> Fino al 2030 è prevista una deroga temporanea all</w:t>
      </w:r>
      <w:r w:rsidR="00F06D2E">
        <w:t>'</w:t>
      </w:r>
      <w:r>
        <w:t xml:space="preserve">EU ETS per le emissioni rilasciate dai voli tra un aerodromo situato in una regione ultraperiferica di uno Stato membro e un aerodromo situato nello </w:t>
      </w:r>
      <w:r>
        <w:rPr>
          <w:rStyle w:val="Hyperlink"/>
        </w:rPr>
        <w:t>stesso</w:t>
      </w:r>
      <w:r>
        <w:t xml:space="preserve"> Stato membro.</w:t>
      </w:r>
    </w:p>
  </w:footnote>
  <w:footnote w:id="78">
    <w:p w14:paraId="0E271AE1" w14:textId="47C7824D" w:rsidR="00D06F73" w:rsidRPr="0041661C" w:rsidRDefault="00D06F73" w:rsidP="00917BE8">
      <w:pPr>
        <w:pStyle w:val="CMR-footnote"/>
      </w:pPr>
      <w:r>
        <w:rPr>
          <w:rStyle w:val="FootnoteReference"/>
          <w:rFonts w:cs="Times New Roman"/>
        </w:rPr>
        <w:footnoteRef/>
      </w:r>
      <w:r>
        <w:t xml:space="preserve"> </w:t>
      </w:r>
      <w:hyperlink r:id="rId64" w:history="1">
        <w:r>
          <w:rPr>
            <w:rStyle w:val="Hyperlink"/>
          </w:rPr>
          <w:t>Ulteriore assegnazione a titolo gratuito nel caso di voli verso regioni ultraperiferiche</w:t>
        </w:r>
      </w:hyperlink>
      <w:r>
        <w:t xml:space="preserve"> nella pagina sul sistema di scambio di quote di emissioni per operatori di aeromobili, Ufficio federale dell</w:t>
      </w:r>
      <w:r w:rsidR="00F06D2E">
        <w:t>'</w:t>
      </w:r>
      <w:r>
        <w:t>ambiente, 31.8.2024.</w:t>
      </w:r>
    </w:p>
  </w:footnote>
  <w:footnote w:id="79">
    <w:p w14:paraId="62E53C40" w14:textId="393EA4DE" w:rsidR="00EA2D29" w:rsidRPr="00854C42" w:rsidRDefault="00EA2D29" w:rsidP="0001718C">
      <w:pPr>
        <w:pStyle w:val="CMR-footnote"/>
      </w:pPr>
      <w:r>
        <w:rPr>
          <w:rStyle w:val="FootnoteReference"/>
        </w:rPr>
        <w:footnoteRef/>
      </w:r>
      <w:r>
        <w:t xml:space="preserve"> Nel 2018 34 paesi detenevano la quota maggiore dell</w:t>
      </w:r>
      <w:r w:rsidR="00F06D2E">
        <w:t>'</w:t>
      </w:r>
      <w:r>
        <w:t xml:space="preserve">attività di trasporto aereo internazionale, misurata in </w:t>
      </w:r>
      <w:r w:rsidR="00F06D2E">
        <w:t>"</w:t>
      </w:r>
      <w:r>
        <w:t>tonnellate-chilometro</w:t>
      </w:r>
      <w:r w:rsidR="00F06D2E">
        <w:t>"</w:t>
      </w:r>
      <w:r>
        <w:t xml:space="preserve">, parametro che esprime la quantità di merci o passeggeri paganti trasportati da una compagnia aerea su una determinata distanza. Questi 34 Stati sono elencati nel documento </w:t>
      </w:r>
      <w:hyperlink r:id="rId65" w:history="1">
        <w:r>
          <w:rPr>
            <w:rStyle w:val="Hyperlink"/>
          </w:rPr>
          <w:t>International-RTK-rankings_2018_SIDS_LDC_LLDC.pdf</w:t>
        </w:r>
      </w:hyperlink>
      <w:r>
        <w:t>.</w:t>
      </w:r>
    </w:p>
  </w:footnote>
  <w:footnote w:id="80">
    <w:p w14:paraId="32877F82" w14:textId="23B295A2" w:rsidR="00537304" w:rsidRPr="00817A49" w:rsidRDefault="00537304" w:rsidP="0001718C">
      <w:pPr>
        <w:pStyle w:val="CMR-footnote"/>
      </w:pPr>
      <w:r>
        <w:rPr>
          <w:rStyle w:val="FootnoteReference"/>
        </w:rPr>
        <w:footnoteRef/>
      </w:r>
      <w:r>
        <w:t xml:space="preserve"> L</w:t>
      </w:r>
      <w:r w:rsidR="00F06D2E">
        <w:t>'</w:t>
      </w:r>
      <w:r>
        <w:t xml:space="preserve">approccio di CORSIA è </w:t>
      </w:r>
      <w:r w:rsidR="00F06D2E">
        <w:t>"</w:t>
      </w:r>
      <w:r>
        <w:t>basato sulle rotte</w:t>
      </w:r>
      <w:r w:rsidR="00F06D2E">
        <w:t>"</w:t>
      </w:r>
      <w:r>
        <w:t xml:space="preserve"> nel senso che, a prescindere dalla sua sede, la compagnia aerea dovrebbe sempre essere soggetta all</w:t>
      </w:r>
      <w:r w:rsidR="00F06D2E">
        <w:t>'</w:t>
      </w:r>
      <w:r>
        <w:t xml:space="preserve">obbligo di compensazione sulle rotte tra due Stati partecipanti. Il </w:t>
      </w:r>
      <w:r w:rsidR="00F06D2E">
        <w:t>"</w:t>
      </w:r>
      <w:r>
        <w:t>paese di origine</w:t>
      </w:r>
      <w:r w:rsidR="00F06D2E">
        <w:t>"</w:t>
      </w:r>
      <w:r>
        <w:t xml:space="preserve"> della compagnia aerea è l</w:t>
      </w:r>
      <w:r w:rsidR="00F06D2E">
        <w:t>'</w:t>
      </w:r>
      <w:r>
        <w:t>unico responsabile della conformità della compagnia al regime CORSIA. Ad esempio: la compagnia aerea A del paese A che è esentato dagli obblighi previsti dal regime CORSIA dovrebbe comunque partecipare alla compensazione quando opera su rotte tra i paesi partecipanti B e C. Il paese A ha la responsabilità di garantire la conformità della compagnia aerea A per quanto riguarda tali voli, affinché vi siano condizioni di parità.</w:t>
      </w:r>
    </w:p>
  </w:footnote>
  <w:footnote w:id="81">
    <w:p w14:paraId="133372F9" w14:textId="7EF8F5E4" w:rsidR="00537304" w:rsidRPr="00343627" w:rsidRDefault="00537304" w:rsidP="0001718C">
      <w:pPr>
        <w:pStyle w:val="CMR-footnote"/>
      </w:pPr>
      <w:r>
        <w:rPr>
          <w:rStyle w:val="FootnoteReference"/>
        </w:rPr>
        <w:footnoteRef/>
      </w:r>
      <w:r>
        <w:t xml:space="preserve"> Il segretariato dell</w:t>
      </w:r>
      <w:r w:rsidR="00F06D2E">
        <w:t>'</w:t>
      </w:r>
      <w:r>
        <w:t xml:space="preserve">ICAO pubblica tale documento su base annuale; per il 2024 il documento è stato pubblicato a ottobre con il titolo </w:t>
      </w:r>
      <w:r w:rsidR="00F06D2E">
        <w:t>"</w:t>
      </w:r>
      <w:r>
        <w:t>Total annual CO</w:t>
      </w:r>
      <w:r>
        <w:rPr>
          <w:vertAlign w:val="subscript"/>
        </w:rPr>
        <w:t>2</w:t>
      </w:r>
      <w:r>
        <w:t xml:space="preserve"> Emissions and Information for Aeroplane Operators</w:t>
      </w:r>
      <w:r w:rsidR="00F06D2E">
        <w:t>"</w:t>
      </w:r>
      <w:r>
        <w:t xml:space="preserve"> ed è consultabile nella parte III del seguente sito web: </w:t>
      </w:r>
      <w:hyperlink r:id="rId66" w:history="1">
        <w:r>
          <w:rPr>
            <w:rStyle w:val="Hyperlink"/>
          </w:rPr>
          <w:t>https://www.icao.int/environmental-protection/CORSIA/Pages/CCR.aspx</w:t>
        </w:r>
      </w:hyperlink>
      <w:r>
        <w:t xml:space="preserve">. </w:t>
      </w:r>
    </w:p>
  </w:footnote>
  <w:footnote w:id="82">
    <w:p w14:paraId="5A41783C" w14:textId="41558914" w:rsidR="00B7738B" w:rsidRPr="00DD0C39" w:rsidRDefault="00B7738B" w:rsidP="00917BE8">
      <w:pPr>
        <w:pStyle w:val="CMR-footnote"/>
      </w:pPr>
      <w:r>
        <w:rPr>
          <w:rStyle w:val="FootnoteReference"/>
        </w:rPr>
        <w:footnoteRef/>
      </w:r>
      <w:r>
        <w:t xml:space="preserve"> </w:t>
      </w:r>
      <w:hyperlink r:id="rId67" w:history="1">
        <w:r>
          <w:rPr>
            <w:rStyle w:val="Hyperlink"/>
          </w:rPr>
          <w:t>Direttiva (UE) 2023/958</w:t>
        </w:r>
      </w:hyperlink>
      <w:r>
        <w:t>, del 10 maggio 2023, recante modifica della direttiva 2003/87/CE (GU L 130 del 16.5.2023).</w:t>
      </w:r>
    </w:p>
  </w:footnote>
  <w:footnote w:id="83">
    <w:p w14:paraId="1CAE71A9" w14:textId="737E81AB" w:rsidR="00B7738B" w:rsidRPr="009D0D66" w:rsidRDefault="00B7738B" w:rsidP="00917BE8">
      <w:pPr>
        <w:pStyle w:val="CMR-footnote"/>
      </w:pPr>
      <w:r>
        <w:rPr>
          <w:rStyle w:val="FootnoteReference"/>
        </w:rPr>
        <w:footnoteRef/>
      </w:r>
      <w:r>
        <w:t xml:space="preserve"> </w:t>
      </w:r>
      <w:hyperlink r:id="rId68" w:history="1">
        <w:r>
          <w:rPr>
            <w:rStyle w:val="Hyperlink"/>
          </w:rPr>
          <w:t>Decisione (UE) 2023/136</w:t>
        </w:r>
      </w:hyperlink>
      <w:r>
        <w:t>, del 18 gennaio 2023, che modifica la direttiva 2003/87/CE (GU L 19 del 20.1.2023).</w:t>
      </w:r>
    </w:p>
  </w:footnote>
  <w:footnote w:id="84">
    <w:p w14:paraId="6B4B2E64" w14:textId="6B5A3A94" w:rsidR="00B7738B" w:rsidRPr="00165606" w:rsidRDefault="00B7738B" w:rsidP="00917BE8">
      <w:pPr>
        <w:pStyle w:val="CMR-footnote"/>
      </w:pPr>
      <w:r>
        <w:rPr>
          <w:rStyle w:val="FootnoteReference"/>
        </w:rPr>
        <w:footnoteRef/>
      </w:r>
      <w:r>
        <w:t xml:space="preserve"> </w:t>
      </w:r>
      <w:hyperlink r:id="rId69" w:history="1">
        <w:r>
          <w:rPr>
            <w:rStyle w:val="Hyperlink"/>
          </w:rPr>
          <w:t>Regolamento di esecuzione (UE) 2025/1500 della Commissione</w:t>
        </w:r>
      </w:hyperlink>
      <w:r>
        <w:t xml:space="preserve"> del 23 luglio 2025 (GU L, 2025/1500, 24.7.2025, ELI: </w:t>
      </w:r>
      <w:hyperlink r:id="rId70" w:tooltip="Il link dà accesso al documento tramite il relativo URI ELI." w:history="1">
        <w:r>
          <w:rPr>
            <w:rStyle w:val="Hyperlink"/>
          </w:rPr>
          <w:t>https://eur-lex.europa.eu/eli/reg_impl/2025/1500/oj</w:t>
        </w:r>
      </w:hyperlink>
      <w:r>
        <w:t>).</w:t>
      </w:r>
    </w:p>
  </w:footnote>
  <w:footnote w:id="85">
    <w:p w14:paraId="3E3FB5E7" w14:textId="3F695E8A" w:rsidR="00B7738B" w:rsidRPr="00165606" w:rsidRDefault="00B7738B" w:rsidP="00917BE8">
      <w:pPr>
        <w:pStyle w:val="CMR-footnote"/>
      </w:pPr>
      <w:r>
        <w:rPr>
          <w:rStyle w:val="FootnoteReference"/>
        </w:rPr>
        <w:footnoteRef/>
      </w:r>
      <w:r>
        <w:t xml:space="preserve"> </w:t>
      </w:r>
      <w:hyperlink r:id="rId71" w:history="1">
        <w:r>
          <w:rPr>
            <w:rStyle w:val="Hyperlink"/>
          </w:rPr>
          <w:t>Regolamento di esecuzione (UE) 2024/1879 della Commissione</w:t>
        </w:r>
      </w:hyperlink>
      <w:r>
        <w:t xml:space="preserve"> del 9 luglio 2024 (GU L, 2024/1879, 10.7.2024, ELI: </w:t>
      </w:r>
      <w:hyperlink r:id="rId72" w:tooltip="Il link dà accesso al documento tramite il relativo URI ELI." w:history="1">
        <w:r>
          <w:rPr>
            <w:rStyle w:val="Hyperlink"/>
          </w:rPr>
          <w:t>http://data.europa.eu/eli/reg_impl/2024/1879/oj</w:t>
        </w:r>
      </w:hyperlink>
      <w:r>
        <w:t>.</w:t>
      </w:r>
    </w:p>
  </w:footnote>
  <w:footnote w:id="86">
    <w:p w14:paraId="34F555C0" w14:textId="28513DB3" w:rsidR="00510DED" w:rsidRPr="00165606" w:rsidRDefault="00510DED" w:rsidP="00917BE8">
      <w:pPr>
        <w:pStyle w:val="CMR-footnote"/>
      </w:pPr>
      <w:r>
        <w:rPr>
          <w:rStyle w:val="FootnoteReference"/>
        </w:rPr>
        <w:footnoteRef/>
      </w:r>
      <w:r>
        <w:t xml:space="preserve"> </w:t>
      </w:r>
      <w:hyperlink r:id="rId73" w:history="1">
        <w:r>
          <w:rPr>
            <w:rStyle w:val="Hyperlink"/>
            <w:i/>
          </w:rPr>
          <w:t>Publication of 2023 emissions data from aerodrome pairs</w:t>
        </w:r>
        <w:r>
          <w:rPr>
            <w:rStyle w:val="Hyperlink"/>
          </w:rPr>
          <w:t xml:space="preserve"> - Commissione europea</w:t>
        </w:r>
      </w:hyperlink>
      <w:r>
        <w:t>, DG Azione per il clima, 19.6.2025.</w:t>
      </w:r>
    </w:p>
  </w:footnote>
  <w:footnote w:id="87">
    <w:p w14:paraId="304D4757" w14:textId="2C3006BC" w:rsidR="007E501C" w:rsidRPr="004D1C4F" w:rsidRDefault="007E501C" w:rsidP="00917BE8">
      <w:pPr>
        <w:pStyle w:val="CMR-footnote"/>
      </w:pPr>
      <w:r>
        <w:rPr>
          <w:vertAlign w:val="superscript"/>
        </w:rPr>
        <w:footnoteRef/>
      </w:r>
      <w:r>
        <w:rPr>
          <w:rStyle w:val="Footnote1"/>
          <w:sz w:val="18"/>
          <w:vertAlign w:val="superscript"/>
        </w:rPr>
        <w:t xml:space="preserve"> </w:t>
      </w:r>
      <w:r>
        <w:rPr>
          <w:rStyle w:val="Footnote1"/>
          <w:sz w:val="18"/>
        </w:rPr>
        <w:t>Tenendo conto dell</w:t>
      </w:r>
      <w:r w:rsidR="00F06D2E">
        <w:rPr>
          <w:rStyle w:val="Footnote1"/>
          <w:sz w:val="18"/>
        </w:rPr>
        <w:t>'</w:t>
      </w:r>
      <w:r>
        <w:rPr>
          <w:rStyle w:val="Footnote1"/>
          <w:sz w:val="18"/>
        </w:rPr>
        <w:t>ambito di applicazione aggiornato dell</w:t>
      </w:r>
      <w:r w:rsidR="00F06D2E">
        <w:rPr>
          <w:rStyle w:val="Footnote1"/>
          <w:sz w:val="18"/>
        </w:rPr>
        <w:t>'</w:t>
      </w:r>
      <w:r>
        <w:rPr>
          <w:rStyle w:val="Footnote1"/>
          <w:sz w:val="18"/>
        </w:rPr>
        <w:t>EU ETS per il trasporto aereo (senza i voli in arrivo dal Regno</w:t>
      </w:r>
      <w:r w:rsidR="0091482D">
        <w:rPr>
          <w:rStyle w:val="Footnote1"/>
          <w:sz w:val="18"/>
        </w:rPr>
        <w:t> </w:t>
      </w:r>
      <w:r>
        <w:rPr>
          <w:rStyle w:val="Footnote1"/>
          <w:sz w:val="18"/>
        </w:rPr>
        <w:t>Unito). I dati dagli operatori aerei gestiti dalla Svizzera sono inclusi solo nelle voci relative al periodo 2020-2023.</w:t>
      </w:r>
    </w:p>
  </w:footnote>
  <w:footnote w:id="88">
    <w:p w14:paraId="3D522878" w14:textId="7E7DEFE5" w:rsidR="007E501C" w:rsidRPr="004D1C4F" w:rsidRDefault="007E501C" w:rsidP="00917BE8">
      <w:pPr>
        <w:pStyle w:val="CMR-footnote"/>
      </w:pPr>
      <w:r>
        <w:rPr>
          <w:vertAlign w:val="superscript"/>
        </w:rPr>
        <w:footnoteRef/>
      </w:r>
      <w:r>
        <w:t xml:space="preserve"> </w:t>
      </w:r>
      <w:r>
        <w:rPr>
          <w:rStyle w:val="Footnote1"/>
          <w:sz w:val="18"/>
        </w:rPr>
        <w:t>Questi dati non tengono conto di tutte le interruzioni di attività degli operatori aerei e delle quote gratuite provenienti dalla riserva speciale per i nuovi entranti e gli operatori in rapida crescita, né delle restituzioni avvenute nel 2012 a causa della modifica dell</w:t>
      </w:r>
      <w:r w:rsidR="00F06D2E">
        <w:rPr>
          <w:rStyle w:val="Footnote1"/>
          <w:sz w:val="18"/>
        </w:rPr>
        <w:t>'</w:t>
      </w:r>
      <w:r>
        <w:rPr>
          <w:rStyle w:val="Footnote1"/>
          <w:sz w:val="18"/>
        </w:rPr>
        <w:t>ambito di applicazione. Fonti: EUTL, DG Azione per il clima.</w:t>
      </w:r>
    </w:p>
  </w:footnote>
  <w:footnote w:id="89">
    <w:p w14:paraId="13E74802" w14:textId="3084834B" w:rsidR="007E501C" w:rsidRPr="00D06F73" w:rsidRDefault="007E501C" w:rsidP="00917BE8">
      <w:pPr>
        <w:pStyle w:val="CMR-footnote"/>
      </w:pPr>
      <w:r>
        <w:rPr>
          <w:vertAlign w:val="superscript"/>
        </w:rPr>
        <w:footnoteRef/>
      </w:r>
      <w:r>
        <w:rPr>
          <w:rStyle w:val="Footnote1"/>
          <w:sz w:val="18"/>
        </w:rPr>
        <w:t xml:space="preserve"> Se si tiene conto di quanto trattenuto a causa delle interruzioni di attività di operatori aerei, l</w:t>
      </w:r>
      <w:r w:rsidR="00F06D2E">
        <w:rPr>
          <w:rStyle w:val="Footnote1"/>
          <w:sz w:val="18"/>
        </w:rPr>
        <w:t>'</w:t>
      </w:r>
      <w:r>
        <w:rPr>
          <w:rStyle w:val="Footnote1"/>
          <w:sz w:val="18"/>
        </w:rPr>
        <w:t>assegnazione effettiva per il 2019 sarebbe di 4 milioni inferiore rispetto alla cifra indicata (cfr. nota a piè di pagina 8 della comunicazione C/2020/8643, GU C 428 dell</w:t>
      </w:r>
      <w:r w:rsidR="00F06D2E">
        <w:rPr>
          <w:rStyle w:val="Footnote1"/>
          <w:sz w:val="18"/>
        </w:rPr>
        <w:t>'</w:t>
      </w:r>
      <w:r>
        <w:rPr>
          <w:rStyle w:val="Footnote1"/>
          <w:sz w:val="18"/>
        </w:rPr>
        <w:t>11.12.2020). L</w:t>
      </w:r>
      <w:r w:rsidR="00F06D2E">
        <w:rPr>
          <w:rStyle w:val="Footnote1"/>
          <w:sz w:val="18"/>
        </w:rPr>
        <w:t>'</w:t>
      </w:r>
      <w:r>
        <w:rPr>
          <w:rStyle w:val="Footnote1"/>
          <w:sz w:val="18"/>
        </w:rPr>
        <w:t>assegnazione per</w:t>
      </w:r>
      <w:r>
        <w:t xml:space="preserve"> </w:t>
      </w:r>
      <w:r>
        <w:rPr>
          <w:rStyle w:val="Footnote1"/>
          <w:sz w:val="18"/>
        </w:rPr>
        <w:t>il Regno Unito (4,31 milioni di quote del totale per il 2019) era stata sospesa nel 2019 per via delle misure di salvaguardia adottate dalla</w:t>
      </w:r>
      <w:r>
        <w:t xml:space="preserve"> </w:t>
      </w:r>
      <w:r>
        <w:rPr>
          <w:rStyle w:val="Footnote1"/>
          <w:sz w:val="18"/>
        </w:rPr>
        <w:t>Commissione per tutelare l</w:t>
      </w:r>
      <w:r w:rsidR="00F06D2E">
        <w:rPr>
          <w:rStyle w:val="Footnote1"/>
          <w:sz w:val="18"/>
        </w:rPr>
        <w:t>'</w:t>
      </w:r>
      <w:r>
        <w:rPr>
          <w:rStyle w:val="Footnote1"/>
          <w:sz w:val="18"/>
        </w:rPr>
        <w:t>integrità ambientale dell</w:t>
      </w:r>
      <w:r w:rsidR="00F06D2E">
        <w:rPr>
          <w:rStyle w:val="Footnote1"/>
          <w:sz w:val="18"/>
        </w:rPr>
        <w:t>'</w:t>
      </w:r>
      <w:r>
        <w:rPr>
          <w:rStyle w:val="Footnote1"/>
          <w:sz w:val="18"/>
        </w:rPr>
        <w:t>EU ETS nei casi in cui il diritto dell</w:t>
      </w:r>
      <w:r w:rsidR="00F06D2E">
        <w:rPr>
          <w:rStyle w:val="Footnote1"/>
          <w:sz w:val="18"/>
        </w:rPr>
        <w:t>'</w:t>
      </w:r>
      <w:r>
        <w:rPr>
          <w:rStyle w:val="Footnote1"/>
          <w:sz w:val="18"/>
        </w:rPr>
        <w:t>UE cessa di applicarsi a uno Stato membro che recede dall</w:t>
      </w:r>
      <w:r w:rsidR="00F06D2E">
        <w:rPr>
          <w:rStyle w:val="Footnote1"/>
          <w:sz w:val="18"/>
        </w:rPr>
        <w:t>'</w:t>
      </w:r>
      <w:r>
        <w:rPr>
          <w:rStyle w:val="Footnote1"/>
          <w:sz w:val="18"/>
        </w:rPr>
        <w:t>UE. ed è stata ripresa nel 2020.</w:t>
      </w:r>
    </w:p>
  </w:footnote>
  <w:footnote w:id="90">
    <w:p w14:paraId="734C21DB" w14:textId="656D704F" w:rsidR="00835DC2" w:rsidRDefault="00835DC2" w:rsidP="00E309CF">
      <w:pPr>
        <w:pStyle w:val="CMR-footnote"/>
      </w:pPr>
      <w:r>
        <w:rPr>
          <w:rStyle w:val="FootnoteReference"/>
        </w:rPr>
        <w:footnoteRef/>
      </w:r>
      <w:r>
        <w:t xml:space="preserve"> Tale sistema di sostegno copre interamente o in parte la differenza di prezzo rimanente tra il cherosene fossile e i carburanti ammissibili per l</w:t>
      </w:r>
      <w:r w:rsidR="00F06D2E">
        <w:t>'</w:t>
      </w:r>
      <w:r>
        <w:t>aviazione utilizzati dai singoli operatori di trasporto aereo commerciale sui voli interessati da un</w:t>
      </w:r>
      <w:r w:rsidR="00F06D2E">
        <w:t>'</w:t>
      </w:r>
      <w:r>
        <w:t>efficace fissazione del prezzo del carbonio attraverso l</w:t>
      </w:r>
      <w:r w:rsidR="00F06D2E">
        <w:t>'</w:t>
      </w:r>
      <w:r>
        <w:t xml:space="preserve">EU ETS, incoraggiando tali operatori aerei a optare per carburanti più puliti. </w:t>
      </w:r>
    </w:p>
    <w:p w14:paraId="4ABBB6EF" w14:textId="1BED2AB7" w:rsidR="00835DC2" w:rsidRDefault="009A1E37" w:rsidP="004A32CC">
      <w:pPr>
        <w:pStyle w:val="CMR-footnote"/>
      </w:pPr>
      <w:hyperlink r:id="rId74" w:history="1">
        <w:r w:rsidR="00835DC2">
          <w:rPr>
            <w:rStyle w:val="Hyperlink"/>
          </w:rPr>
          <w:t>Regolamento delegato (UE) 2025/723</w:t>
        </w:r>
      </w:hyperlink>
      <w:r w:rsidR="00835DC2">
        <w:t xml:space="preserve"> del 6 febbraio 2025 (GU L, 2025/723, 16.4.2025, ELI: </w:t>
      </w:r>
      <w:hyperlink r:id="rId75" w:tgtFrame="_blank" w:tooltip="Il link dà accesso al documento tramite il relativo URI ELI." w:history="1">
        <w:r w:rsidR="00835DC2">
          <w:rPr>
            <w:rStyle w:val="Hyperlink"/>
          </w:rPr>
          <w:t>http://data.europa.eu/eli/reg_del/2025/723/oj</w:t>
        </w:r>
      </w:hyperlink>
      <w:r w:rsidR="00835DC2">
        <w:t>.</w:t>
      </w:r>
    </w:p>
    <w:p w14:paraId="1E65C9B7" w14:textId="492DE64E" w:rsidR="00835DC2" w:rsidRPr="00D039FA" w:rsidRDefault="009A1E37" w:rsidP="004A32CC">
      <w:pPr>
        <w:pStyle w:val="CMR-footnote"/>
      </w:pPr>
      <w:hyperlink r:id="rId76" w:history="1">
        <w:r w:rsidR="00835DC2">
          <w:rPr>
            <w:rStyle w:val="Hyperlink"/>
          </w:rPr>
          <w:t>Comunicazione della Commissione</w:t>
        </w:r>
        <w:r w:rsidR="00835DC2">
          <w:rPr>
            <w:rStyle w:val="Hyperlink"/>
            <w:rFonts w:ascii="Roboto" w:hAnsi="Roboto"/>
            <w:sz w:val="21"/>
            <w:shd w:val="clear" w:color="auto" w:fill="FFFFFF"/>
          </w:rPr>
          <w:t xml:space="preserve"> </w:t>
        </w:r>
        <w:r w:rsidR="00835DC2">
          <w:rPr>
            <w:rStyle w:val="Hyperlink"/>
          </w:rPr>
          <w:t>C/2025/3186</w:t>
        </w:r>
      </w:hyperlink>
      <w:r w:rsidR="00835DC2">
        <w:t xml:space="preserve"> (GU C, C/2025/2934, 27.5.2025, ELI: </w:t>
      </w:r>
      <w:hyperlink r:id="rId77" w:tgtFrame="_blank" w:tooltip="Il link dà accesso al documento tramite il relativo URI ELI." w:history="1">
        <w:r w:rsidR="00835DC2">
          <w:rPr>
            <w:rStyle w:val="Hyperlink"/>
          </w:rPr>
          <w:t>http://data.europa.eu/eli/C/2025/2934/oj</w:t>
        </w:r>
      </w:hyperlink>
      <w:r w:rsidR="00835DC2">
        <w:t xml:space="preserve">). </w:t>
      </w:r>
    </w:p>
  </w:footnote>
  <w:footnote w:id="91">
    <w:p w14:paraId="6B464388" w14:textId="127794A7" w:rsidR="00874A36" w:rsidRPr="000F417B" w:rsidRDefault="00874A36" w:rsidP="000F417B">
      <w:pPr>
        <w:pStyle w:val="CMR-footnote"/>
      </w:pPr>
      <w:r>
        <w:rPr>
          <w:rStyle w:val="FootnoteReference"/>
          <w:rFonts w:cs="Times New Roman"/>
          <w:szCs w:val="18"/>
        </w:rPr>
        <w:footnoteRef/>
      </w:r>
      <w:r w:rsidR="004A32CC">
        <w:t> </w:t>
      </w:r>
      <w:hyperlink r:id="rId78" w:history="1">
        <w:r>
          <w:rPr>
            <w:rStyle w:val="Hyperlink"/>
          </w:rPr>
          <w:t>Decisione della Commissione</w:t>
        </w:r>
      </w:hyperlink>
      <w:r>
        <w:t xml:space="preserve"> del 12 settembre 2025 (GU C, C/2025/5004, 16.9.2025, ELI: </w:t>
      </w:r>
      <w:hyperlink r:id="rId79" w:tgtFrame="_blank" w:tooltip="Il link dà accesso al documento tramite il relativo URI ELI." w:history="1">
        <w:r>
          <w:rPr>
            <w:rStyle w:val="Hyperlink"/>
          </w:rPr>
          <w:t>http://data.europa.eu/eli/C/2025/5004/oj</w:t>
        </w:r>
      </w:hyperlink>
      <w:r>
        <w:t xml:space="preserve">). </w:t>
      </w:r>
    </w:p>
  </w:footnote>
  <w:footnote w:id="92">
    <w:p w14:paraId="749E8F4B" w14:textId="2E5A7145" w:rsidR="00187D4D" w:rsidRPr="00D06F73" w:rsidRDefault="00187D4D" w:rsidP="00917BE8">
      <w:pPr>
        <w:pStyle w:val="CMR-footnote"/>
      </w:pPr>
      <w:r>
        <w:rPr>
          <w:rStyle w:val="FootnoteReference"/>
          <w:rFonts w:cs="Times New Roman"/>
        </w:rPr>
        <w:footnoteRef/>
      </w:r>
      <w:r>
        <w:rPr>
          <w:rStyle w:val="Bodytext1"/>
        </w:rPr>
        <w:t xml:space="preserve"> L</w:t>
      </w:r>
      <w:r w:rsidR="00F06D2E">
        <w:rPr>
          <w:rStyle w:val="Bodytext1"/>
        </w:rPr>
        <w:t>'</w:t>
      </w:r>
      <w:r>
        <w:rPr>
          <w:rStyle w:val="Bodytext1"/>
        </w:rPr>
        <w:t>impatto complessivo del trasporto aereo globale sul clima è ben più elevato della sola componente del CO</w:t>
      </w:r>
      <w:r>
        <w:rPr>
          <w:rStyle w:val="Bodytext1"/>
          <w:vertAlign w:val="subscript"/>
        </w:rPr>
        <w:t>2</w:t>
      </w:r>
      <w:r>
        <w:rPr>
          <w:rStyle w:val="Bodytext1"/>
        </w:rPr>
        <w:t xml:space="preserve"> e secondo le stime è da due a quattro volte maggiore se si considerano gli effetti non legati alle emissioni di CO</w:t>
      </w:r>
      <w:r>
        <w:rPr>
          <w:rStyle w:val="Bodytext1"/>
          <w:vertAlign w:val="subscript"/>
        </w:rPr>
        <w:t>2</w:t>
      </w:r>
      <w:r>
        <w:rPr>
          <w:rStyle w:val="Bodytext1"/>
        </w:rPr>
        <w:t>. Affrontare queste emissioni è importante in quanto il Gruppo intergovernativo di esperti sul cambiamento climatico (IPCC), nella sua sesta relazione di valutazione sulla mitigazione dei cambiamenti climatici, ha indicato il trasporto aereo (e marittimo) internazionale come settori con obiettivi climatici insufficienti rispetto a quanto sarebbe necessario per contenere l</w:t>
      </w:r>
      <w:r w:rsidR="00F06D2E">
        <w:rPr>
          <w:rStyle w:val="Bodytext1"/>
        </w:rPr>
        <w:t>'</w:t>
      </w:r>
      <w:r>
        <w:rPr>
          <w:rStyle w:val="Bodytext1"/>
        </w:rPr>
        <w:t>aumento della temperatura globale in linea con l</w:t>
      </w:r>
      <w:r w:rsidR="00F06D2E">
        <w:rPr>
          <w:rStyle w:val="Bodytext1"/>
        </w:rPr>
        <w:t>'</w:t>
      </w:r>
      <w:r>
        <w:rPr>
          <w:rStyle w:val="Bodytext1"/>
        </w:rPr>
        <w:t>accordo di Parigi.</w:t>
      </w:r>
    </w:p>
  </w:footnote>
  <w:footnote w:id="93">
    <w:p w14:paraId="5062C338" w14:textId="1ED224B3" w:rsidR="00491119" w:rsidRPr="00D8427E" w:rsidRDefault="00491119" w:rsidP="00491119">
      <w:pPr>
        <w:pStyle w:val="CMR-footnote"/>
      </w:pPr>
      <w:r>
        <w:rPr>
          <w:rStyle w:val="FootnoteReference"/>
        </w:rPr>
        <w:footnoteRef/>
      </w:r>
      <w:r>
        <w:t xml:space="preserve"> </w:t>
      </w:r>
      <w:r>
        <w:rPr>
          <w:rStyle w:val="CMR-footnoteChar"/>
        </w:rPr>
        <w:t>Regolamento (UE) 2015/757 del Parlamento europeo e del Consiglio, del 29 aprile 2015, concernente il monitoraggio, la comunicazione e la verifica delle emissioni di gas a effetto serra generate dal trasporto marittimo e che modifica la direttiva 2009/16/CE (</w:t>
      </w:r>
      <w:hyperlink r:id="rId80" w:history="1">
        <w:r>
          <w:rPr>
            <w:rStyle w:val="Hyperlink"/>
          </w:rPr>
          <w:t>GU L 123</w:t>
        </w:r>
      </w:hyperlink>
      <w:r>
        <w:rPr>
          <w:rStyle w:val="CMR-footnoteChar"/>
        </w:rPr>
        <w:t xml:space="preserve"> del 19.5.2015).</w:t>
      </w:r>
    </w:p>
  </w:footnote>
  <w:footnote w:id="94">
    <w:p w14:paraId="48DD177C" w14:textId="59BC2687" w:rsidR="00A62408" w:rsidRPr="00B92F09" w:rsidRDefault="00A62408">
      <w:pPr>
        <w:pStyle w:val="FootnoteText"/>
      </w:pPr>
      <w:r>
        <w:rPr>
          <w:rStyle w:val="FootnoteReference"/>
        </w:rPr>
        <w:footnoteRef/>
      </w:r>
      <w:r>
        <w:t xml:space="preserve"> </w:t>
      </w:r>
      <w:r>
        <w:rPr>
          <w:rStyle w:val="CMR-footnoteChar"/>
        </w:rPr>
        <w:t>Emissioni verificate per il trasporto marittimo nel registro dell</w:t>
      </w:r>
      <w:r w:rsidR="00F06D2E">
        <w:rPr>
          <w:rStyle w:val="CMR-footnoteChar"/>
        </w:rPr>
        <w:t>'</w:t>
      </w:r>
      <w:r>
        <w:rPr>
          <w:rStyle w:val="CMR-footnoteChar"/>
        </w:rPr>
        <w:t>Unione al 15 ottobre 2025.</w:t>
      </w:r>
      <w:r>
        <w:t xml:space="preserve"> </w:t>
      </w:r>
    </w:p>
  </w:footnote>
  <w:footnote w:id="95">
    <w:p w14:paraId="215AAC90" w14:textId="0A6D9459" w:rsidR="00C9410E" w:rsidRDefault="00C9410E" w:rsidP="00917BE8">
      <w:pPr>
        <w:pStyle w:val="CMR-footnote"/>
      </w:pPr>
      <w:r>
        <w:rPr>
          <w:rStyle w:val="FootnoteReference"/>
        </w:rPr>
        <w:footnoteRef/>
      </w:r>
      <w:r>
        <w:t xml:space="preserve"> </w:t>
      </w:r>
      <w:hyperlink r:id="rId81" w:history="1">
        <w:r>
          <w:rPr>
            <w:rStyle w:val="Hyperlink"/>
          </w:rPr>
          <w:t>Regolamento di esecuzione (UE) 2018/2067 della Commissione</w:t>
        </w:r>
      </w:hyperlink>
      <w:r>
        <w:t>, del 19 dicembre 2018 (GU L 334 del 31.12.2018). Il</w:t>
      </w:r>
      <w:r w:rsidR="0091482D">
        <w:t> </w:t>
      </w:r>
      <w:r>
        <w:t xml:space="preserve">regolamento è stato modificato nel 2020 dal regolamento di esecuzione (UE) 2020/2084 della Commissione, nel 2024 dal regolamento di esecuzione (UE) 2024/1321 della Commissione e nel 2025 dal regolamento di esecuzione (UE) 2025/1192 della Commissione. Si veda il </w:t>
      </w:r>
      <w:hyperlink r:id="rId82" w:history="1">
        <w:r>
          <w:rPr>
            <w:rStyle w:val="Hyperlink"/>
          </w:rPr>
          <w:t>testo consolidato</w:t>
        </w:r>
      </w:hyperlink>
      <w:r>
        <w:t>.</w:t>
      </w:r>
    </w:p>
  </w:footnote>
  <w:footnote w:id="96">
    <w:p w14:paraId="6B27E885" w14:textId="1523D316" w:rsidR="00680B54" w:rsidRDefault="00680B54" w:rsidP="00917BE8">
      <w:pPr>
        <w:pStyle w:val="CMR-footnote"/>
      </w:pPr>
      <w:r>
        <w:rPr>
          <w:rStyle w:val="FootnoteReference"/>
        </w:rPr>
        <w:footnoteRef/>
      </w:r>
      <w:r>
        <w:t xml:space="preserve"> Danimarca, Finlandia, Lituania e Paesi Bassi. L</w:t>
      </w:r>
      <w:r w:rsidR="00F06D2E">
        <w:t>'</w:t>
      </w:r>
      <w:r>
        <w:t>Ungheria non riferisce più di ricorrere alla comunicazione semplificata.</w:t>
      </w:r>
    </w:p>
  </w:footnote>
  <w:footnote w:id="97">
    <w:p w14:paraId="7510177F" w14:textId="1A386E79" w:rsidR="00680B54" w:rsidRDefault="00680B54" w:rsidP="00917BE8">
      <w:pPr>
        <w:pStyle w:val="CMR-footnote"/>
      </w:pPr>
      <w:r>
        <w:rPr>
          <w:rStyle w:val="FootnoteReference"/>
          <w:rFonts w:cs="Times New Roman"/>
        </w:rPr>
        <w:footnoteRef/>
      </w:r>
      <w:r>
        <w:t xml:space="preserve"> Articolo 13 del regolamento concernente il monitoraggio e la comunicazione.</w:t>
      </w:r>
    </w:p>
  </w:footnote>
  <w:footnote w:id="98">
    <w:p w14:paraId="3C5C2679" w14:textId="77777777" w:rsidR="00797ADF" w:rsidRPr="0051224B" w:rsidRDefault="00797ADF" w:rsidP="00917BE8">
      <w:pPr>
        <w:pStyle w:val="CMR-footnote"/>
      </w:pPr>
      <w:r>
        <w:rPr>
          <w:rStyle w:val="FootnoteReference"/>
        </w:rPr>
        <w:footnoteRef/>
      </w:r>
      <w:r>
        <w:t xml:space="preserve"> Ciò è dovuto principalmente al fatto che il metodo basato su misurazioni richiede risorse e competenze notevoli, che molti dei gestori di dimensioni più ridotte non possiedono.</w:t>
      </w:r>
    </w:p>
  </w:footnote>
  <w:footnote w:id="99">
    <w:p w14:paraId="363CBFE8" w14:textId="5958C6AB" w:rsidR="00797ADF" w:rsidRPr="0051224B" w:rsidRDefault="00797ADF" w:rsidP="00917BE8">
      <w:pPr>
        <w:pStyle w:val="CMR-footnote"/>
      </w:pPr>
      <w:r>
        <w:rPr>
          <w:rStyle w:val="FootnoteReference"/>
        </w:rPr>
        <w:footnoteRef/>
      </w:r>
      <w:r>
        <w:t xml:space="preserve"> Il regolamento concernente il monitoraggio e la comunicazione impone a tutti i gestori di rispettare determinati livelli minimi. Gli impianti che emettono più di 50 000 tonnellate di CO</w:t>
      </w:r>
      <w:r>
        <w:rPr>
          <w:vertAlign w:val="subscript"/>
        </w:rPr>
        <w:t>2</w:t>
      </w:r>
      <w:r>
        <w:t xml:space="preserve"> sono tenuti a rispettare il livello più elevato per i flussi di fonti di maggiore entità (vale a dire dati più attendibili), mentre alle fonti di minore entità si applicano prescrizioni meno rigorose per motivi di efficienza di costo.</w:t>
      </w:r>
    </w:p>
  </w:footnote>
  <w:footnote w:id="100">
    <w:p w14:paraId="50D464A6" w14:textId="534DCACC" w:rsidR="00AD51ED" w:rsidRPr="00685D02" w:rsidRDefault="00AD51ED" w:rsidP="00685D02">
      <w:pPr>
        <w:pStyle w:val="CMR-footnote"/>
      </w:pPr>
      <w:r>
        <w:rPr>
          <w:rStyle w:val="FootnoteReference"/>
        </w:rPr>
        <w:footnoteRef/>
      </w:r>
      <w:r>
        <w:t xml:space="preserve"> Non tutti i paesi partecipanti all</w:t>
      </w:r>
      <w:r w:rsidR="00F06D2E">
        <w:t>'</w:t>
      </w:r>
      <w:r>
        <w:t>EU ETS dispongono di impianti o di capacità di incenerimento dei rifiuti urbani che rientrano nell</w:t>
      </w:r>
      <w:r w:rsidR="00F06D2E">
        <w:t>'</w:t>
      </w:r>
      <w:r>
        <w:t>ambito di applicazione dell</w:t>
      </w:r>
      <w:r w:rsidR="00F06D2E">
        <w:t>'</w:t>
      </w:r>
      <w:r>
        <w:t>obbligo di monitoraggio dell</w:t>
      </w:r>
      <w:r w:rsidR="00F06D2E">
        <w:t>'</w:t>
      </w:r>
      <w:r>
        <w:t xml:space="preserve">EU ETS. </w:t>
      </w:r>
    </w:p>
  </w:footnote>
  <w:footnote w:id="101">
    <w:p w14:paraId="43521A73" w14:textId="6AE13EFC" w:rsidR="005943E5" w:rsidRPr="000B3CB8" w:rsidRDefault="005943E5" w:rsidP="0091482D">
      <w:pPr>
        <w:pStyle w:val="FootnoteText"/>
        <w:jc w:val="both"/>
      </w:pPr>
      <w:r>
        <w:rPr>
          <w:rStyle w:val="FootnoteReference"/>
        </w:rPr>
        <w:footnoteRef/>
      </w:r>
      <w:r w:rsidR="0091482D">
        <w:t> </w:t>
      </w:r>
      <w:hyperlink r:id="rId83" w:history="1">
        <w:r>
          <w:rPr>
            <w:rStyle w:val="Hyperlink"/>
            <w:rFonts w:ascii="Times New Roman" w:hAnsi="Times New Roman"/>
            <w:sz w:val="18"/>
          </w:rPr>
          <w:t>Regolamento di esecuzione (UE) 2025/1192 della Commissione</w:t>
        </w:r>
      </w:hyperlink>
      <w:r>
        <w:rPr>
          <w:rStyle w:val="CMR-footnoteChar"/>
        </w:rPr>
        <w:t xml:space="preserve"> (GU L, 2025/1192, 19.6.2025</w:t>
      </w:r>
      <w:r>
        <w:rPr>
          <w:rFonts w:ascii="Roboto" w:hAnsi="Roboto"/>
          <w:i/>
          <w:color w:val="333333"/>
          <w:shd w:val="clear" w:color="auto" w:fill="FFFFFF"/>
        </w:rPr>
        <w:t xml:space="preserve"> </w:t>
      </w:r>
      <w:r>
        <w:rPr>
          <w:rFonts w:ascii="Times New Roman" w:hAnsi="Times New Roman"/>
          <w:sz w:val="18"/>
        </w:rPr>
        <w:t>ELI: </w:t>
      </w:r>
      <w:hyperlink r:id="rId84" w:tgtFrame="_blank" w:tooltip="Il link dà accesso al documento tramite il relativo URI ELI." w:history="1">
        <w:r>
          <w:rPr>
            <w:rStyle w:val="Hyperlink"/>
            <w:rFonts w:ascii="Times New Roman" w:hAnsi="Times New Roman"/>
            <w:sz w:val="18"/>
          </w:rPr>
          <w:t>http://data.europa.eu/eli/reg_impl/2025/1192/oj</w:t>
        </w:r>
      </w:hyperlink>
      <w:r>
        <w:rPr>
          <w:rStyle w:val="CMR-footnoteChar"/>
        </w:rPr>
        <w:t>).</w:t>
      </w:r>
    </w:p>
  </w:footnote>
  <w:footnote w:id="102">
    <w:p w14:paraId="6F30665F" w14:textId="796D652B" w:rsidR="003444DD" w:rsidRPr="000C3E9D" w:rsidRDefault="003444DD" w:rsidP="00917BE8">
      <w:pPr>
        <w:pStyle w:val="CMR-footnote"/>
      </w:pPr>
      <w:r>
        <w:rPr>
          <w:rStyle w:val="CMR-footnoteChar"/>
          <w:vertAlign w:val="superscript"/>
        </w:rPr>
        <w:footnoteRef/>
      </w:r>
      <w:r>
        <w:t xml:space="preserve"> </w:t>
      </w:r>
      <w:hyperlink r:id="rId85" w:anchor="documentation" w:history="1">
        <w:r>
          <w:rPr>
            <w:rStyle w:val="Hyperlink"/>
          </w:rPr>
          <w:t>Monitoraggio, comunicazione e verifica delle emissioni dell</w:t>
        </w:r>
        <w:r w:rsidR="00F06D2E">
          <w:rPr>
            <w:rStyle w:val="Hyperlink"/>
          </w:rPr>
          <w:t>'</w:t>
        </w:r>
        <w:r>
          <w:rPr>
            <w:rStyle w:val="Hyperlink"/>
          </w:rPr>
          <w:t>EU ETS</w:t>
        </w:r>
      </w:hyperlink>
      <w:r>
        <w:t>, DG Azione per il clima, 31.8.2024.</w:t>
      </w:r>
    </w:p>
  </w:footnote>
  <w:footnote w:id="103">
    <w:p w14:paraId="2425B4D8" w14:textId="410821F7" w:rsidR="00DC6A6B" w:rsidRPr="00F06D2E" w:rsidRDefault="00DC6A6B" w:rsidP="00DC6A6B">
      <w:pPr>
        <w:pStyle w:val="CMR-footnote"/>
      </w:pPr>
      <w:r>
        <w:rPr>
          <w:rStyle w:val="FootnoteReference"/>
        </w:rPr>
        <w:footnoteRef/>
      </w:r>
      <w:r w:rsidRPr="00F06D2E">
        <w:t xml:space="preserve"> </w:t>
      </w:r>
      <w:r w:rsidRPr="00F06D2E">
        <w:rPr>
          <w:i/>
        </w:rPr>
        <w:t xml:space="preserve">Guidance Document, The Accreditation and Verification Regulation - </w:t>
      </w:r>
      <w:hyperlink r:id="rId86" w:history="1">
        <w:r w:rsidRPr="00F06D2E">
          <w:rPr>
            <w:rStyle w:val="Hyperlink"/>
            <w:i/>
          </w:rPr>
          <w:t>ETS2 Verification Guidance</w:t>
        </w:r>
      </w:hyperlink>
      <w:r w:rsidRPr="00F06D2E">
        <w:t xml:space="preserve">, giugno 2025. </w:t>
      </w:r>
    </w:p>
  </w:footnote>
  <w:footnote w:id="104">
    <w:p w14:paraId="5AFCC636" w14:textId="744B9CDF" w:rsidR="006E7F6D" w:rsidRPr="006E7F6D" w:rsidRDefault="006E7F6D" w:rsidP="006E7F6D">
      <w:pPr>
        <w:pStyle w:val="CMR-footnote"/>
      </w:pPr>
      <w:r>
        <w:rPr>
          <w:rStyle w:val="FootnoteReference"/>
        </w:rPr>
        <w:footnoteRef/>
      </w:r>
      <w:r>
        <w:t xml:space="preserve"> Cechia, Danimarca, Irlanda, Islanda, Italia e Liechtenstein. </w:t>
      </w:r>
    </w:p>
  </w:footnote>
  <w:footnote w:id="105">
    <w:p w14:paraId="142B8C7A" w14:textId="48CB5229" w:rsidR="006922C5" w:rsidRPr="0051224B" w:rsidRDefault="006922C5" w:rsidP="00917BE8">
      <w:pPr>
        <w:pStyle w:val="CMR-footnote"/>
      </w:pPr>
      <w:r>
        <w:rPr>
          <w:rStyle w:val="FootnoteReference"/>
        </w:rPr>
        <w:footnoteRef/>
      </w:r>
      <w:r>
        <w:t xml:space="preserve"> Nei casi in cui le attività di monitoraggio, comunicazione e verifica sono affidate ad autorità regionali/locali, l</w:t>
      </w:r>
      <w:r w:rsidR="00F06D2E">
        <w:t>'</w:t>
      </w:r>
      <w:r>
        <w:t>autorità centrale competente esamina anche i documenti pertinenti (come i piani di monitoraggio) per controllare la qualità dei processi.</w:t>
      </w:r>
    </w:p>
  </w:footnote>
  <w:footnote w:id="106">
    <w:p w14:paraId="2BFA6A7C" w14:textId="31BD3F51" w:rsidR="0060292C" w:rsidRPr="0051224B" w:rsidRDefault="0060292C" w:rsidP="00917BE8">
      <w:pPr>
        <w:pStyle w:val="CMR-footnote"/>
      </w:pPr>
      <w:r>
        <w:rPr>
          <w:rStyle w:val="FootnoteReference"/>
        </w:rPr>
        <w:footnoteRef/>
      </w:r>
      <w:r>
        <w:t xml:space="preserve"> La sanzione è indicizzata in funzione dell</w:t>
      </w:r>
      <w:r w:rsidR="00F06D2E">
        <w:t>'</w:t>
      </w:r>
      <w:r>
        <w:t>inflazione.</w:t>
      </w:r>
    </w:p>
  </w:footnote>
  <w:footnote w:id="107">
    <w:p w14:paraId="40D3E7D2" w14:textId="366FADCB" w:rsidR="0060292C" w:rsidRPr="0051224B" w:rsidRDefault="0060292C" w:rsidP="00917BE8">
      <w:pPr>
        <w:pStyle w:val="CMR-footnote"/>
      </w:pPr>
      <w:r>
        <w:rPr>
          <w:rStyle w:val="FootnoteReference"/>
        </w:rPr>
        <w:footnoteRef/>
      </w:r>
      <w:r>
        <w:t xml:space="preserve"> L</w:t>
      </w:r>
      <w:r w:rsidR="00F06D2E">
        <w:t>'</w:t>
      </w:r>
      <w:r>
        <w:t>articolo 34 bis del regolamento sull</w:t>
      </w:r>
      <w:r w:rsidR="00F06D2E">
        <w:t>'</w:t>
      </w:r>
      <w:r>
        <w:t>accreditamento e la verifica consente al verificatore di effettuare visite in loco virtuali qualora circostanze straordinarie e imprevedibili gli impediscano di recarsi fisicamente sul posto, ma solo previa approvazione dell</w:t>
      </w:r>
      <w:r w:rsidR="00F06D2E">
        <w:t>'</w:t>
      </w:r>
      <w:r>
        <w:t>autorità competente e nel rispetto di determinate condizioni.</w:t>
      </w:r>
    </w:p>
  </w:footnote>
  <w:footnote w:id="108">
    <w:p w14:paraId="3E293956" w14:textId="77777777" w:rsidR="0060292C" w:rsidRPr="0051224B" w:rsidRDefault="0060292C" w:rsidP="00917BE8">
      <w:pPr>
        <w:pStyle w:val="CMR-footnote"/>
      </w:pPr>
      <w:r>
        <w:rPr>
          <w:rStyle w:val="FootnoteReference"/>
        </w:rPr>
        <w:footnoteRef/>
      </w:r>
      <w:r>
        <w:t xml:space="preserve"> Altri due paesi (Liechtenstein e Irlanda del Nord) non sono paesi di riferimento per alcun operatore aereo.</w:t>
      </w:r>
    </w:p>
  </w:footnote>
  <w:footnote w:id="109">
    <w:p w14:paraId="4E895F80" w14:textId="2508D2D5" w:rsidR="0060292C" w:rsidRPr="0051224B" w:rsidRDefault="0060292C" w:rsidP="00917BE8">
      <w:pPr>
        <w:pStyle w:val="CMR-footnote"/>
      </w:pPr>
      <w:r>
        <w:rPr>
          <w:rStyle w:val="FootnoteReference"/>
        </w:rPr>
        <w:footnoteRef/>
      </w:r>
      <w:r>
        <w:t xml:space="preserve"> I 12 paesi sono Croazia (5), Cechia (5), Finlandia (1), Francia (4), Italia (3), Lettonia (1), Lituania (2), Paesi Bassi (1), Polonia (18), Spagna (1), Svezia (1) e Ungheria (6).</w:t>
      </w:r>
    </w:p>
  </w:footnote>
  <w:footnote w:id="110">
    <w:p w14:paraId="682CED34" w14:textId="37313D0B" w:rsidR="65EC3A73" w:rsidRDefault="65EC3A73" w:rsidP="007F7046">
      <w:pPr>
        <w:pStyle w:val="CMR-footnote"/>
        <w:rPr>
          <w:rFonts w:ascii="Segoe UI" w:eastAsia="Segoe UI" w:hAnsi="Segoe UI" w:cs="Segoe UI"/>
          <w:sz w:val="24"/>
          <w:szCs w:val="24"/>
        </w:rPr>
      </w:pPr>
      <w:r>
        <w:rPr>
          <w:vertAlign w:val="superscript"/>
        </w:rPr>
        <w:footnoteRef/>
      </w:r>
      <w:r>
        <w:rPr>
          <w:vertAlign w:val="superscript"/>
        </w:rPr>
        <w:t xml:space="preserve"> </w:t>
      </w:r>
      <w:r>
        <w:t>I tre paesi sono Lettonia (1), Svezia (2) e Ungheria (1).</w:t>
      </w:r>
    </w:p>
  </w:footnote>
  <w:footnote w:id="111">
    <w:p w14:paraId="3A73A4AE" w14:textId="26BDB95E" w:rsidR="65EC3A73" w:rsidRDefault="65EC3A73" w:rsidP="007F7046">
      <w:pPr>
        <w:pStyle w:val="CMR-footnote"/>
        <w:rPr>
          <w:rFonts w:ascii="Segoe UI" w:eastAsia="Segoe UI" w:hAnsi="Segoe UI" w:cs="Segoe UI"/>
          <w:sz w:val="24"/>
          <w:szCs w:val="24"/>
        </w:rPr>
      </w:pPr>
      <w:r>
        <w:rPr>
          <w:vertAlign w:val="superscript"/>
        </w:rPr>
        <w:footnoteRef/>
      </w:r>
      <w:r>
        <w:rPr>
          <w:vertAlign w:val="superscript"/>
        </w:rPr>
        <w:t xml:space="preserve"> </w:t>
      </w:r>
      <w:r>
        <w:t>I sei paesi sono Danimarca (2), Croazia (2), Italia (6), Lettonia (2), Spagna (6) e Svezia (1).</w:t>
      </w:r>
    </w:p>
  </w:footnote>
  <w:footnote w:id="112">
    <w:p w14:paraId="6E4F07F1" w14:textId="254B42AA" w:rsidR="002741ED" w:rsidRPr="002741ED" w:rsidRDefault="002741ED" w:rsidP="00EC37FE">
      <w:pPr>
        <w:pStyle w:val="CMR-footnote"/>
      </w:pPr>
      <w:r>
        <w:rPr>
          <w:vertAlign w:val="superscript"/>
        </w:rPr>
        <w:footnoteRef/>
      </w:r>
      <w:r>
        <w:t xml:space="preserve"> Al momento della stesura del presente documento, sono stati ultimati, nel corso del 2024 e del 2025, tre documenti di orientamento principali, che sono attualmente disponibili al pubblico: gli orientamenti generali MRV/ETS per le società di navigazione (documento di orientamento n. 1), gli orientamenti generali sul processo di approvazione dei piani di monitoraggio da parte delle autorità di riferimento (documento di orientamento n. 2) e gli orientamenti generali per l</w:t>
      </w:r>
      <w:r w:rsidR="00F06D2E">
        <w:t>'</w:t>
      </w:r>
      <w:r>
        <w:t xml:space="preserve">accreditamento e la verifica (documento di orientamento n. 3). </w:t>
      </w:r>
    </w:p>
  </w:footnote>
  <w:footnote w:id="113">
    <w:p w14:paraId="2893B7D9" w14:textId="2F99EE74" w:rsidR="00E979CF" w:rsidRPr="00B00AAC" w:rsidRDefault="00B00AAC" w:rsidP="00854C42">
      <w:pPr>
        <w:pStyle w:val="CMR-footnote"/>
      </w:pPr>
      <w:r>
        <w:rPr>
          <w:vertAlign w:val="superscript"/>
        </w:rPr>
        <w:footnoteRef/>
      </w:r>
      <w:r>
        <w:rPr>
          <w:vertAlign w:val="superscript"/>
        </w:rPr>
        <w:t xml:space="preserve"> </w:t>
      </w:r>
      <w:r>
        <w:t>Tale dato comprende le emissioni delle navi sotto la responsabilità di società di navigazione le cui attività rientrano nell</w:t>
      </w:r>
      <w:r w:rsidR="00F06D2E">
        <w:t>'</w:t>
      </w:r>
      <w:r>
        <w:t>ambito di applicazione dell</w:t>
      </w:r>
      <w:r w:rsidR="00F06D2E">
        <w:t>'</w:t>
      </w:r>
      <w:r>
        <w:t>EU ETS, escluse le navi e le attività che rientrano solo nell</w:t>
      </w:r>
      <w:r w:rsidR="00F06D2E">
        <w:t>'</w:t>
      </w:r>
      <w:r>
        <w:t xml:space="preserve">ambito di applicazione del regolamento MRV (ad esempio a causa della stazza lorda o del tipo di nave) ed escluse le emissioni di metano e ossido di azoto. I dati di cui alla presente sezione sono stati estratti da THETIS-MRV come comunicati nelle relazioni a livello di società trasmesse dalle società di navigazione il 15 ottobre 2025. </w:t>
      </w:r>
    </w:p>
  </w:footnote>
  <w:footnote w:id="114">
    <w:p w14:paraId="46418883" w14:textId="089E7A91" w:rsidR="007E36D0" w:rsidRPr="007E36D0" w:rsidRDefault="007E36D0">
      <w:pPr>
        <w:pStyle w:val="FootnoteText"/>
      </w:pPr>
      <w:r>
        <w:rPr>
          <w:rStyle w:val="FootnoteReference"/>
        </w:rPr>
        <w:footnoteRef/>
      </w:r>
      <w:r>
        <w:t xml:space="preserve"> </w:t>
      </w:r>
      <w:r>
        <w:rPr>
          <w:rStyle w:val="CMR-footnoteChar"/>
        </w:rPr>
        <w:t xml:space="preserve">Combustibili che rientrano nella classe </w:t>
      </w:r>
      <w:r w:rsidR="00F06D2E">
        <w:rPr>
          <w:rStyle w:val="CMR-footnoteChar"/>
        </w:rPr>
        <w:t>"</w:t>
      </w:r>
      <w:r>
        <w:rPr>
          <w:rStyle w:val="CMR-footnoteChar"/>
        </w:rPr>
        <w:t>combustibili fossili</w:t>
      </w:r>
      <w:r w:rsidR="00F06D2E">
        <w:rPr>
          <w:rStyle w:val="CMR-footnoteChar"/>
        </w:rPr>
        <w:t>"</w:t>
      </w:r>
      <w:r>
        <w:rPr>
          <w:rStyle w:val="CMR-footnoteChar"/>
        </w:rPr>
        <w:t>, secondo la classificazione di cui all</w:t>
      </w:r>
      <w:r w:rsidR="00F06D2E">
        <w:rPr>
          <w:rStyle w:val="CMR-footnoteChar"/>
        </w:rPr>
        <w:t>'</w:t>
      </w:r>
      <w:r>
        <w:rPr>
          <w:rStyle w:val="CMR-footnoteChar"/>
        </w:rPr>
        <w:t>allegato I, parte A, del regolamento (UE) 2015/757.</w:t>
      </w:r>
      <w:r>
        <w:t xml:space="preserve"> </w:t>
      </w:r>
    </w:p>
  </w:footnote>
  <w:footnote w:id="115">
    <w:p w14:paraId="3427D247" w14:textId="15A8FD3B" w:rsidR="00E979CF" w:rsidRPr="00820150" w:rsidRDefault="00E979CF" w:rsidP="00820150">
      <w:pPr>
        <w:pStyle w:val="CMR-footnote"/>
        <w:rPr>
          <w:b/>
        </w:rPr>
      </w:pPr>
      <w:r>
        <w:rPr>
          <w:vertAlign w:val="superscript"/>
        </w:rPr>
        <w:footnoteRef/>
      </w:r>
      <w:r>
        <w:rPr>
          <w:vertAlign w:val="superscript"/>
        </w:rPr>
        <w:t xml:space="preserve"> </w:t>
      </w:r>
      <w:r>
        <w:t>Come avvenuto nei periodi di riferimento precedenti nel quadro del sistema MRV nel settore del trasporto marittimo prima dell</w:t>
      </w:r>
      <w:r w:rsidR="00F06D2E">
        <w:t>'</w:t>
      </w:r>
      <w:r>
        <w:t>estensione dell</w:t>
      </w:r>
      <w:r w:rsidR="00F06D2E">
        <w:t>'</w:t>
      </w:r>
      <w:r>
        <w:t>EU ETS a tale settore, le società di navigazione hanno utilizzato esclusivamente l</w:t>
      </w:r>
      <w:r w:rsidR="00F06D2E">
        <w:t>'</w:t>
      </w:r>
      <w:r>
        <w:t xml:space="preserve">approccio basato su calcoli per determinare le emissioni. </w:t>
      </w:r>
    </w:p>
  </w:footnote>
  <w:footnote w:id="116">
    <w:p w14:paraId="0F24F632" w14:textId="2C2A40FD" w:rsidR="00762044" w:rsidRPr="00854C42" w:rsidRDefault="00762044" w:rsidP="00854C42">
      <w:pPr>
        <w:pStyle w:val="CMR-footnote"/>
      </w:pPr>
      <w:r>
        <w:rPr>
          <w:vertAlign w:val="superscript"/>
        </w:rPr>
        <w:footnoteRef/>
      </w:r>
      <w:r>
        <w:rPr>
          <w:vertAlign w:val="superscript"/>
        </w:rPr>
        <w:t xml:space="preserve"> </w:t>
      </w:r>
      <w:r>
        <w:t>Ulteriori 0,5 Mt sono stati detratti a seguito dell</w:t>
      </w:r>
      <w:r w:rsidR="00F06D2E">
        <w:t>'</w:t>
      </w:r>
      <w:r>
        <w:t xml:space="preserve">applicazione volontaria della detrazione per le navi di classe ghiaccio. </w:t>
      </w:r>
    </w:p>
  </w:footnote>
  <w:footnote w:id="117">
    <w:p w14:paraId="7EB71A63" w14:textId="0D03765F" w:rsidR="000C7282" w:rsidRPr="0038309D" w:rsidRDefault="000C7282" w:rsidP="00F5668E">
      <w:pPr>
        <w:pStyle w:val="CMR-footnote"/>
        <w:rPr>
          <w:lang w:val="fr-FR"/>
        </w:rPr>
      </w:pPr>
      <w:r>
        <w:rPr>
          <w:rStyle w:val="FootnoteReference"/>
        </w:rPr>
        <w:footnoteRef/>
      </w:r>
      <w:r w:rsidRPr="0038309D">
        <w:rPr>
          <w:lang w:val="fr-FR"/>
        </w:rPr>
        <w:t xml:space="preserve"> </w:t>
      </w:r>
      <w:r w:rsidRPr="0013231C">
        <w:rPr>
          <w:rStyle w:val="CMR-footnoteChar"/>
          <w:lang w:val="fr-FR"/>
        </w:rPr>
        <w:t>Articolo 3 octies septies della direttiva EU ETS.</w:t>
      </w:r>
      <w:r w:rsidRPr="0013231C">
        <w:rPr>
          <w:lang w:val="fr-FR"/>
        </w:rPr>
        <w:t xml:space="preserve"> </w:t>
      </w:r>
    </w:p>
  </w:footnote>
  <w:footnote w:id="118">
    <w:p w14:paraId="77BB684A" w14:textId="24492ACE" w:rsidR="00EC12E1" w:rsidRDefault="00EC12E1" w:rsidP="00EC12E1">
      <w:pPr>
        <w:pStyle w:val="CMR-footnote"/>
      </w:pPr>
      <w:r>
        <w:rPr>
          <w:vertAlign w:val="superscript"/>
        </w:rPr>
        <w:footnoteRef/>
      </w:r>
      <w:r>
        <w:t xml:space="preserve"> Il quantitativo di quote da restituire comunicate è determinato sulla base dei dati trasmessi dalle società nel registro dell</w:t>
      </w:r>
      <w:r w:rsidR="00F06D2E">
        <w:t>'</w:t>
      </w:r>
      <w:r>
        <w:t>Unione al 1º ottobre 2025.</w:t>
      </w:r>
    </w:p>
  </w:footnote>
  <w:footnote w:id="119">
    <w:p w14:paraId="0A4D5F44" w14:textId="102C1777" w:rsidR="00495EF0" w:rsidRPr="0038309D" w:rsidRDefault="00C6468B" w:rsidP="00F5668E">
      <w:pPr>
        <w:pStyle w:val="CMR-footnote"/>
        <w:rPr>
          <w:lang w:val="en-IE"/>
        </w:rPr>
      </w:pPr>
      <w:r>
        <w:rPr>
          <w:rStyle w:val="FootnoteReference"/>
        </w:rPr>
        <w:footnoteRef/>
      </w:r>
      <w:r w:rsidRPr="0038309D">
        <w:rPr>
          <w:lang w:val="en-IE"/>
        </w:rPr>
        <w:t xml:space="preserve"> </w:t>
      </w:r>
      <w:hyperlink r:id="rId87" w:anchor="documentation" w:history="1">
        <w:r w:rsidRPr="0038309D">
          <w:rPr>
            <w:rStyle w:val="Hyperlink"/>
            <w:i/>
            <w:lang w:val="en-IE"/>
          </w:rPr>
          <w:t>ETS2:</w:t>
        </w:r>
      </w:hyperlink>
      <w:hyperlink r:id="rId88" w:anchor="documentation" w:history="1">
        <w:r w:rsidRPr="0038309D">
          <w:rPr>
            <w:rStyle w:val="Hyperlink"/>
            <w:lang w:val="en-IE"/>
          </w:rPr>
          <w:t xml:space="preserve"> </w:t>
        </w:r>
        <w:r w:rsidRPr="0038309D">
          <w:rPr>
            <w:rStyle w:val="Hyperlink"/>
            <w:i/>
            <w:lang w:val="en-IE"/>
          </w:rPr>
          <w:t>buildings, road transport and additional sectors</w:t>
        </w:r>
      </w:hyperlink>
      <w:r w:rsidRPr="0038309D">
        <w:rPr>
          <w:rStyle w:val="CMR-footnoteChar"/>
          <w:lang w:val="en-IE"/>
        </w:rPr>
        <w:t xml:space="preserve">, DG Azione per il clima. </w:t>
      </w:r>
    </w:p>
  </w:footnote>
  <w:footnote w:id="120">
    <w:p w14:paraId="2D6E6D53" w14:textId="3CCA65A1" w:rsidR="00983C03" w:rsidRDefault="00983C03" w:rsidP="00F5668E">
      <w:pPr>
        <w:pStyle w:val="CMR-footnote"/>
      </w:pPr>
      <w:r>
        <w:rPr>
          <w:rStyle w:val="FootnoteReference"/>
        </w:rPr>
        <w:footnoteRef/>
      </w:r>
      <w:r>
        <w:t xml:space="preserve"> </w:t>
      </w:r>
      <w:hyperlink r:id="rId89" w:history="1">
        <w:r>
          <w:rPr>
            <w:rStyle w:val="Hyperlink"/>
          </w:rPr>
          <w:t>Direttiva (UE) 2023/1791</w:t>
        </w:r>
      </w:hyperlink>
      <w:r>
        <w:t xml:space="preserve">, del 13 settembre 2023, che modifica il regolamento (UE) 2023/955 (rifusione) </w:t>
      </w:r>
      <w:hyperlink r:id="rId90" w:history="1">
        <w:r>
          <w:rPr>
            <w:rStyle w:val="Hyperlink"/>
          </w:rPr>
          <w:t>(GU L 231</w:t>
        </w:r>
      </w:hyperlink>
      <w:r>
        <w:t xml:space="preserve"> del 20.9.2023).</w:t>
      </w:r>
    </w:p>
  </w:footnote>
  <w:footnote w:id="121">
    <w:p w14:paraId="1C348AE9" w14:textId="75845F8A" w:rsidR="0048515B" w:rsidRPr="001F4341" w:rsidRDefault="0048515B" w:rsidP="001F4341">
      <w:pPr>
        <w:pStyle w:val="CMR-footnote"/>
      </w:pPr>
      <w:r>
        <w:rPr>
          <w:rStyle w:val="FootnoteReference"/>
        </w:rPr>
        <w:footnoteRef/>
      </w:r>
      <w:r>
        <w:t xml:space="preserve"> </w:t>
      </w:r>
      <w:hyperlink r:id="rId91" w:history="1">
        <w:r>
          <w:rPr>
            <w:rStyle w:val="Hyperlink"/>
          </w:rPr>
          <w:t>COM(2025) 274 final</w:t>
        </w:r>
      </w:hyperlink>
      <w:r>
        <w:t xml:space="preserve"> – Valutazione a livello di UE dei piani nazionali per l</w:t>
      </w:r>
      <w:r w:rsidR="00F06D2E">
        <w:t>'</w:t>
      </w:r>
      <w:r>
        <w:t>energia e il clima aggiornati definitivi Conseguire gli obiettivi dell</w:t>
      </w:r>
      <w:r w:rsidR="00F06D2E">
        <w:t>'</w:t>
      </w:r>
      <w:r>
        <w:t xml:space="preserve">Unione in materia di energia e clima per il 2030, del 27.5.2025. Cfr. il </w:t>
      </w:r>
      <w:hyperlink r:id="rId92" w:history="1">
        <w:r>
          <w:rPr>
            <w:rStyle w:val="Hyperlink"/>
          </w:rPr>
          <w:t>documento di lavoro dei servizi della Commissione</w:t>
        </w:r>
      </w:hyperlink>
      <w:r>
        <w:t xml:space="preserve"> che accompagna la comunicazione. </w:t>
      </w:r>
    </w:p>
  </w:footnote>
  <w:footnote w:id="122">
    <w:p w14:paraId="0EE382D7" w14:textId="285DFC6C" w:rsidR="004024EB" w:rsidRPr="004024EB" w:rsidRDefault="004024EB" w:rsidP="004024EB">
      <w:pPr>
        <w:pStyle w:val="CMR-footnote"/>
      </w:pPr>
      <w:r>
        <w:rPr>
          <w:rStyle w:val="FootnoteReference"/>
        </w:rPr>
        <w:footnoteRef/>
      </w:r>
      <w:r>
        <w:t xml:space="preserve"> Cfr. la nota a piè di pagina 121. </w:t>
      </w:r>
    </w:p>
  </w:footnote>
  <w:footnote w:id="123">
    <w:p w14:paraId="0BE665C6" w14:textId="00D67C95" w:rsidR="009E4E7E" w:rsidRPr="009E4E7E" w:rsidRDefault="009E4E7E" w:rsidP="008C5AA6">
      <w:pPr>
        <w:pStyle w:val="CMR-footnote"/>
      </w:pPr>
      <w:r>
        <w:rPr>
          <w:rStyle w:val="FootnoteReference"/>
        </w:rPr>
        <w:footnoteRef/>
      </w:r>
      <w:r>
        <w:t xml:space="preserve"> Valutazione da parte della Commissione dei PNEC aggiornati definitivi di </w:t>
      </w:r>
      <w:hyperlink r:id="rId93" w:history="1">
        <w:r>
          <w:rPr>
            <w:rStyle w:val="Hyperlink"/>
          </w:rPr>
          <w:t>Estonia</w:t>
        </w:r>
      </w:hyperlink>
      <w:r>
        <w:t xml:space="preserve"> e </w:t>
      </w:r>
      <w:hyperlink r:id="rId94" w:history="1">
        <w:r>
          <w:rPr>
            <w:rStyle w:val="Hyperlink"/>
          </w:rPr>
          <w:t>Slovacchia</w:t>
        </w:r>
      </w:hyperlink>
      <w:r>
        <w:t xml:space="preserve"> (SWD(2025) 282). </w:t>
      </w:r>
    </w:p>
  </w:footnote>
  <w:footnote w:id="124">
    <w:p w14:paraId="39D12CE9" w14:textId="7609EA60" w:rsidR="008C1C8A" w:rsidRPr="008C1C8A" w:rsidRDefault="008C1C8A">
      <w:pPr>
        <w:pStyle w:val="FootnoteText"/>
      </w:pPr>
      <w:r>
        <w:rPr>
          <w:rStyle w:val="FootnoteReference"/>
        </w:rPr>
        <w:footnoteRef/>
      </w:r>
      <w:r>
        <w:t xml:space="preserve"> </w:t>
      </w:r>
      <w:hyperlink r:id="rId95" w:history="1">
        <w:r>
          <w:rPr>
            <w:rStyle w:val="Hyperlink"/>
            <w:rFonts w:ascii="Times New Roman" w:hAnsi="Times New Roman"/>
            <w:sz w:val="18"/>
          </w:rPr>
          <w:t>https://climate.ec.europa.eu/eu-action/climate-strategies-targets/progress-climate-action/eu-climate-action-progress-report-2025_en</w:t>
        </w:r>
      </w:hyperlink>
      <w:r w:rsidR="004A32CC">
        <w:rPr>
          <w:rFonts w:ascii="Times New Roman" w:hAnsi="Times New Roman"/>
          <w:sz w:val="18"/>
        </w:rPr>
        <w:t>.</w:t>
      </w:r>
    </w:p>
  </w:footnote>
  <w:footnote w:id="125">
    <w:p w14:paraId="353DF671" w14:textId="52982BE4" w:rsidR="00C85430" w:rsidRPr="00D17201" w:rsidRDefault="00C85430" w:rsidP="00917BE8">
      <w:pPr>
        <w:pStyle w:val="CMR-footnote"/>
      </w:pPr>
      <w:r>
        <w:rPr>
          <w:rStyle w:val="FootnoteReference"/>
        </w:rPr>
        <w:footnoteRef/>
      </w:r>
      <w:r>
        <w:t xml:space="preserve"> </w:t>
      </w:r>
      <w:r>
        <w:rPr>
          <w:shd w:val="clear" w:color="auto" w:fill="FFFFFF"/>
        </w:rPr>
        <w:t>Accordo tra l</w:t>
      </w:r>
      <w:r w:rsidR="00F06D2E">
        <w:rPr>
          <w:shd w:val="clear" w:color="auto" w:fill="FFFFFF"/>
        </w:rPr>
        <w:t>'</w:t>
      </w:r>
      <w:r>
        <w:rPr>
          <w:shd w:val="clear" w:color="auto" w:fill="FFFFFF"/>
        </w:rPr>
        <w:t>Unione europea e la Confederazione svizzera concernente il collegamento dei rispettivi sistemi di scambio di quote di emissione di gas a effetto serra (</w:t>
      </w:r>
      <w:hyperlink r:id="rId96" w:history="1">
        <w:r>
          <w:rPr>
            <w:rStyle w:val="Hyperlink"/>
            <w:color w:val="337AB7"/>
            <w:sz w:val="19"/>
            <w:shd w:val="clear" w:color="auto" w:fill="FFFFFF"/>
          </w:rPr>
          <w:t>GU L 322</w:t>
        </w:r>
      </w:hyperlink>
      <w:r>
        <w:rPr>
          <w:shd w:val="clear" w:color="auto" w:fill="FFFFFF"/>
        </w:rPr>
        <w:t xml:space="preserve"> del 7.12.2017).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0059D" w14:textId="77777777" w:rsidR="009A1E37" w:rsidRPr="009A1E37" w:rsidRDefault="009A1E37" w:rsidP="009A1E37">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CC05" w14:textId="77777777" w:rsidR="00126559" w:rsidRDefault="0012655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4143" w14:textId="77777777" w:rsidR="00126559" w:rsidRDefault="0012655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0FAF" w14:textId="77777777" w:rsidR="00126559" w:rsidRDefault="001265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1AA27" w14:textId="77777777" w:rsidR="00890E07" w:rsidRDefault="00890E0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8B0C" w14:textId="77777777" w:rsidR="00890E07" w:rsidRDefault="00890E0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DED0" w14:textId="77777777" w:rsidR="00890E07" w:rsidRDefault="00890E0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2D2C4" w14:textId="77777777" w:rsidR="00890E07" w:rsidRDefault="00890E0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DC37B" w14:textId="77777777" w:rsidR="00890E07" w:rsidRDefault="00890E0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AF3C" w14:textId="77777777" w:rsidR="00890E07" w:rsidRDefault="0089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FCA6E" w14:textId="77777777" w:rsidR="009A1E37" w:rsidRPr="009A1E37" w:rsidRDefault="009A1E37" w:rsidP="009A1E3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5025D" w14:textId="77777777" w:rsidR="009A1E37" w:rsidRPr="009A1E37" w:rsidRDefault="009A1E37" w:rsidP="009A1E3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443C" w14:textId="77777777" w:rsidR="00464745" w:rsidRDefault="004647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CF6B" w14:textId="77777777" w:rsidR="000C3DBF" w:rsidRDefault="000C3D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5E03" w14:textId="77777777" w:rsidR="00535E6D" w:rsidRDefault="00535E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8AEA" w14:textId="77777777" w:rsidR="00126559" w:rsidRDefault="001265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C9BE" w14:textId="77777777" w:rsidR="00126559" w:rsidRDefault="001265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AA1B4" w14:textId="77777777" w:rsidR="00126559" w:rsidRDefault="00126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9F9"/>
    <w:multiLevelType w:val="hybridMultilevel"/>
    <w:tmpl w:val="C8BEBD42"/>
    <w:lvl w:ilvl="0" w:tplc="1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CA6EB0"/>
    <w:multiLevelType w:val="hybridMultilevel"/>
    <w:tmpl w:val="28B2BF22"/>
    <w:lvl w:ilvl="0" w:tplc="1B586B54">
      <w:start w:val="1"/>
      <w:numFmt w:val="bullet"/>
      <w:lvlText w:val=""/>
      <w:lvlJc w:val="left"/>
      <w:pPr>
        <w:ind w:left="1440" w:hanging="360"/>
      </w:pPr>
      <w:rPr>
        <w:rFonts w:ascii="Symbol" w:hAnsi="Symbol"/>
      </w:rPr>
    </w:lvl>
    <w:lvl w:ilvl="1" w:tplc="153CF760">
      <w:start w:val="1"/>
      <w:numFmt w:val="bullet"/>
      <w:lvlText w:val=""/>
      <w:lvlJc w:val="left"/>
      <w:pPr>
        <w:ind w:left="1440" w:hanging="360"/>
      </w:pPr>
      <w:rPr>
        <w:rFonts w:ascii="Symbol" w:hAnsi="Symbol"/>
      </w:rPr>
    </w:lvl>
    <w:lvl w:ilvl="2" w:tplc="9F46CB0A">
      <w:start w:val="1"/>
      <w:numFmt w:val="bullet"/>
      <w:lvlText w:val=""/>
      <w:lvlJc w:val="left"/>
      <w:pPr>
        <w:ind w:left="1440" w:hanging="360"/>
      </w:pPr>
      <w:rPr>
        <w:rFonts w:ascii="Symbol" w:hAnsi="Symbol"/>
      </w:rPr>
    </w:lvl>
    <w:lvl w:ilvl="3" w:tplc="D05E25E8">
      <w:start w:val="1"/>
      <w:numFmt w:val="bullet"/>
      <w:lvlText w:val=""/>
      <w:lvlJc w:val="left"/>
      <w:pPr>
        <w:ind w:left="1440" w:hanging="360"/>
      </w:pPr>
      <w:rPr>
        <w:rFonts w:ascii="Symbol" w:hAnsi="Symbol"/>
      </w:rPr>
    </w:lvl>
    <w:lvl w:ilvl="4" w:tplc="AF062E6C">
      <w:start w:val="1"/>
      <w:numFmt w:val="bullet"/>
      <w:lvlText w:val=""/>
      <w:lvlJc w:val="left"/>
      <w:pPr>
        <w:ind w:left="1440" w:hanging="360"/>
      </w:pPr>
      <w:rPr>
        <w:rFonts w:ascii="Symbol" w:hAnsi="Symbol"/>
      </w:rPr>
    </w:lvl>
    <w:lvl w:ilvl="5" w:tplc="65003C18">
      <w:start w:val="1"/>
      <w:numFmt w:val="bullet"/>
      <w:lvlText w:val=""/>
      <w:lvlJc w:val="left"/>
      <w:pPr>
        <w:ind w:left="1440" w:hanging="360"/>
      </w:pPr>
      <w:rPr>
        <w:rFonts w:ascii="Symbol" w:hAnsi="Symbol"/>
      </w:rPr>
    </w:lvl>
    <w:lvl w:ilvl="6" w:tplc="E116BFE6">
      <w:start w:val="1"/>
      <w:numFmt w:val="bullet"/>
      <w:lvlText w:val=""/>
      <w:lvlJc w:val="left"/>
      <w:pPr>
        <w:ind w:left="1440" w:hanging="360"/>
      </w:pPr>
      <w:rPr>
        <w:rFonts w:ascii="Symbol" w:hAnsi="Symbol"/>
      </w:rPr>
    </w:lvl>
    <w:lvl w:ilvl="7" w:tplc="82D6D324">
      <w:start w:val="1"/>
      <w:numFmt w:val="bullet"/>
      <w:lvlText w:val=""/>
      <w:lvlJc w:val="left"/>
      <w:pPr>
        <w:ind w:left="1440" w:hanging="360"/>
      </w:pPr>
      <w:rPr>
        <w:rFonts w:ascii="Symbol" w:hAnsi="Symbol"/>
      </w:rPr>
    </w:lvl>
    <w:lvl w:ilvl="8" w:tplc="AAB2FF3C">
      <w:start w:val="1"/>
      <w:numFmt w:val="bullet"/>
      <w:lvlText w:val=""/>
      <w:lvlJc w:val="left"/>
      <w:pPr>
        <w:ind w:left="1440" w:hanging="360"/>
      </w:pPr>
      <w:rPr>
        <w:rFonts w:ascii="Symbol" w:hAnsi="Symbol"/>
      </w:rPr>
    </w:lvl>
  </w:abstractNum>
  <w:abstractNum w:abstractNumId="2" w15:restartNumberingAfterBreak="0">
    <w:nsid w:val="0BBD7281"/>
    <w:multiLevelType w:val="hybridMultilevel"/>
    <w:tmpl w:val="2EB88E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74785C"/>
    <w:multiLevelType w:val="hybridMultilevel"/>
    <w:tmpl w:val="AB2A1AC8"/>
    <w:lvl w:ilvl="0" w:tplc="BC2EA328">
      <w:start w:val="16"/>
      <w:numFmt w:val="bullet"/>
      <w:lvlText w:val="-"/>
      <w:lvlJc w:val="left"/>
      <w:pPr>
        <w:ind w:left="644"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BD32C1"/>
    <w:multiLevelType w:val="hybridMultilevel"/>
    <w:tmpl w:val="A5B0C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3B1A87"/>
    <w:multiLevelType w:val="hybridMultilevel"/>
    <w:tmpl w:val="7B16A150"/>
    <w:lvl w:ilvl="0" w:tplc="31A4A7D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AA5363"/>
    <w:multiLevelType w:val="hybridMultilevel"/>
    <w:tmpl w:val="73F6FF88"/>
    <w:lvl w:ilvl="0" w:tplc="2D64AD0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A3B234"/>
    <w:multiLevelType w:val="hybridMultilevel"/>
    <w:tmpl w:val="196E05DE"/>
    <w:lvl w:ilvl="0" w:tplc="92AC529C">
      <w:start w:val="1"/>
      <w:numFmt w:val="bullet"/>
      <w:lvlText w:val="-"/>
      <w:lvlJc w:val="left"/>
      <w:pPr>
        <w:ind w:left="720" w:hanging="360"/>
      </w:pPr>
      <w:rPr>
        <w:rFonts w:ascii="Aptos" w:hAnsi="Aptos" w:hint="default"/>
      </w:rPr>
    </w:lvl>
    <w:lvl w:ilvl="1" w:tplc="BC3A7EBC">
      <w:start w:val="1"/>
      <w:numFmt w:val="bullet"/>
      <w:lvlText w:val="o"/>
      <w:lvlJc w:val="left"/>
      <w:pPr>
        <w:ind w:left="1440" w:hanging="360"/>
      </w:pPr>
      <w:rPr>
        <w:rFonts w:ascii="Courier New" w:hAnsi="Courier New" w:hint="default"/>
      </w:rPr>
    </w:lvl>
    <w:lvl w:ilvl="2" w:tplc="5B2C04E6">
      <w:start w:val="1"/>
      <w:numFmt w:val="bullet"/>
      <w:lvlText w:val=""/>
      <w:lvlJc w:val="left"/>
      <w:pPr>
        <w:ind w:left="2160" w:hanging="360"/>
      </w:pPr>
      <w:rPr>
        <w:rFonts w:ascii="Wingdings" w:hAnsi="Wingdings" w:hint="default"/>
      </w:rPr>
    </w:lvl>
    <w:lvl w:ilvl="3" w:tplc="45FE90C6">
      <w:start w:val="1"/>
      <w:numFmt w:val="bullet"/>
      <w:lvlText w:val=""/>
      <w:lvlJc w:val="left"/>
      <w:pPr>
        <w:ind w:left="2880" w:hanging="360"/>
      </w:pPr>
      <w:rPr>
        <w:rFonts w:ascii="Symbol" w:hAnsi="Symbol" w:hint="default"/>
      </w:rPr>
    </w:lvl>
    <w:lvl w:ilvl="4" w:tplc="A29A5682">
      <w:start w:val="1"/>
      <w:numFmt w:val="bullet"/>
      <w:lvlText w:val="o"/>
      <w:lvlJc w:val="left"/>
      <w:pPr>
        <w:ind w:left="3600" w:hanging="360"/>
      </w:pPr>
      <w:rPr>
        <w:rFonts w:ascii="Courier New" w:hAnsi="Courier New" w:hint="default"/>
      </w:rPr>
    </w:lvl>
    <w:lvl w:ilvl="5" w:tplc="27CE5DC0">
      <w:start w:val="1"/>
      <w:numFmt w:val="bullet"/>
      <w:lvlText w:val=""/>
      <w:lvlJc w:val="left"/>
      <w:pPr>
        <w:ind w:left="4320" w:hanging="360"/>
      </w:pPr>
      <w:rPr>
        <w:rFonts w:ascii="Wingdings" w:hAnsi="Wingdings" w:hint="default"/>
      </w:rPr>
    </w:lvl>
    <w:lvl w:ilvl="6" w:tplc="F2A65B46">
      <w:start w:val="1"/>
      <w:numFmt w:val="bullet"/>
      <w:lvlText w:val=""/>
      <w:lvlJc w:val="left"/>
      <w:pPr>
        <w:ind w:left="5040" w:hanging="360"/>
      </w:pPr>
      <w:rPr>
        <w:rFonts w:ascii="Symbol" w:hAnsi="Symbol" w:hint="default"/>
      </w:rPr>
    </w:lvl>
    <w:lvl w:ilvl="7" w:tplc="E1EA7F48">
      <w:start w:val="1"/>
      <w:numFmt w:val="bullet"/>
      <w:lvlText w:val="o"/>
      <w:lvlJc w:val="left"/>
      <w:pPr>
        <w:ind w:left="5760" w:hanging="360"/>
      </w:pPr>
      <w:rPr>
        <w:rFonts w:ascii="Courier New" w:hAnsi="Courier New" w:hint="default"/>
      </w:rPr>
    </w:lvl>
    <w:lvl w:ilvl="8" w:tplc="5E3CAFBC">
      <w:start w:val="1"/>
      <w:numFmt w:val="bullet"/>
      <w:lvlText w:val=""/>
      <w:lvlJc w:val="left"/>
      <w:pPr>
        <w:ind w:left="6480" w:hanging="360"/>
      </w:pPr>
      <w:rPr>
        <w:rFonts w:ascii="Wingdings" w:hAnsi="Wingdings" w:hint="default"/>
      </w:rPr>
    </w:lvl>
  </w:abstractNum>
  <w:abstractNum w:abstractNumId="8" w15:restartNumberingAfterBreak="0">
    <w:nsid w:val="14E13037"/>
    <w:multiLevelType w:val="hybridMultilevel"/>
    <w:tmpl w:val="DEBEBF52"/>
    <w:lvl w:ilvl="0" w:tplc="3F52A286">
      <w:start w:val="1"/>
      <w:numFmt w:val="bullet"/>
      <w:lvlText w:val=""/>
      <w:lvlJc w:val="left"/>
      <w:pPr>
        <w:ind w:left="1020" w:hanging="360"/>
      </w:pPr>
      <w:rPr>
        <w:rFonts w:ascii="Symbol" w:hAnsi="Symbol"/>
      </w:rPr>
    </w:lvl>
    <w:lvl w:ilvl="1" w:tplc="7F5C7FFC">
      <w:start w:val="1"/>
      <w:numFmt w:val="bullet"/>
      <w:lvlText w:val=""/>
      <w:lvlJc w:val="left"/>
      <w:pPr>
        <w:ind w:left="1020" w:hanging="360"/>
      </w:pPr>
      <w:rPr>
        <w:rFonts w:ascii="Symbol" w:hAnsi="Symbol"/>
      </w:rPr>
    </w:lvl>
    <w:lvl w:ilvl="2" w:tplc="81F633BA">
      <w:start w:val="1"/>
      <w:numFmt w:val="bullet"/>
      <w:lvlText w:val=""/>
      <w:lvlJc w:val="left"/>
      <w:pPr>
        <w:ind w:left="1020" w:hanging="360"/>
      </w:pPr>
      <w:rPr>
        <w:rFonts w:ascii="Symbol" w:hAnsi="Symbol"/>
      </w:rPr>
    </w:lvl>
    <w:lvl w:ilvl="3" w:tplc="F4506AA8">
      <w:start w:val="1"/>
      <w:numFmt w:val="bullet"/>
      <w:lvlText w:val=""/>
      <w:lvlJc w:val="left"/>
      <w:pPr>
        <w:ind w:left="1020" w:hanging="360"/>
      </w:pPr>
      <w:rPr>
        <w:rFonts w:ascii="Symbol" w:hAnsi="Symbol"/>
      </w:rPr>
    </w:lvl>
    <w:lvl w:ilvl="4" w:tplc="11961136">
      <w:start w:val="1"/>
      <w:numFmt w:val="bullet"/>
      <w:lvlText w:val=""/>
      <w:lvlJc w:val="left"/>
      <w:pPr>
        <w:ind w:left="1020" w:hanging="360"/>
      </w:pPr>
      <w:rPr>
        <w:rFonts w:ascii="Symbol" w:hAnsi="Symbol"/>
      </w:rPr>
    </w:lvl>
    <w:lvl w:ilvl="5" w:tplc="A4049604">
      <w:start w:val="1"/>
      <w:numFmt w:val="bullet"/>
      <w:lvlText w:val=""/>
      <w:lvlJc w:val="left"/>
      <w:pPr>
        <w:ind w:left="1020" w:hanging="360"/>
      </w:pPr>
      <w:rPr>
        <w:rFonts w:ascii="Symbol" w:hAnsi="Symbol"/>
      </w:rPr>
    </w:lvl>
    <w:lvl w:ilvl="6" w:tplc="7CD8D7D2">
      <w:start w:val="1"/>
      <w:numFmt w:val="bullet"/>
      <w:lvlText w:val=""/>
      <w:lvlJc w:val="left"/>
      <w:pPr>
        <w:ind w:left="1020" w:hanging="360"/>
      </w:pPr>
      <w:rPr>
        <w:rFonts w:ascii="Symbol" w:hAnsi="Symbol"/>
      </w:rPr>
    </w:lvl>
    <w:lvl w:ilvl="7" w:tplc="36585476">
      <w:start w:val="1"/>
      <w:numFmt w:val="bullet"/>
      <w:lvlText w:val=""/>
      <w:lvlJc w:val="left"/>
      <w:pPr>
        <w:ind w:left="1020" w:hanging="360"/>
      </w:pPr>
      <w:rPr>
        <w:rFonts w:ascii="Symbol" w:hAnsi="Symbol"/>
      </w:rPr>
    </w:lvl>
    <w:lvl w:ilvl="8" w:tplc="CE88E732">
      <w:start w:val="1"/>
      <w:numFmt w:val="bullet"/>
      <w:lvlText w:val=""/>
      <w:lvlJc w:val="left"/>
      <w:pPr>
        <w:ind w:left="1020" w:hanging="360"/>
      </w:pPr>
      <w:rPr>
        <w:rFonts w:ascii="Symbol" w:hAnsi="Symbol"/>
      </w:rPr>
    </w:lvl>
  </w:abstractNum>
  <w:abstractNum w:abstractNumId="9" w15:restartNumberingAfterBreak="0">
    <w:nsid w:val="158D6C86"/>
    <w:multiLevelType w:val="hybridMultilevel"/>
    <w:tmpl w:val="542217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5A05FB9"/>
    <w:multiLevelType w:val="hybridMultilevel"/>
    <w:tmpl w:val="221AC820"/>
    <w:lvl w:ilvl="0" w:tplc="BC2EA328">
      <w:start w:val="16"/>
      <w:numFmt w:val="bullet"/>
      <w:lvlText w:val="-"/>
      <w:lvlJc w:val="left"/>
      <w:pPr>
        <w:ind w:left="644"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8B7524E"/>
    <w:multiLevelType w:val="multilevel"/>
    <w:tmpl w:val="5C5C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C611CC"/>
    <w:multiLevelType w:val="hybridMultilevel"/>
    <w:tmpl w:val="FE9C41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E363A9C"/>
    <w:multiLevelType w:val="hybridMultilevel"/>
    <w:tmpl w:val="8206C04C"/>
    <w:lvl w:ilvl="0" w:tplc="1809000F">
      <w:start w:val="1"/>
      <w:numFmt w:val="decimal"/>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4" w15:restartNumberingAfterBreak="0">
    <w:nsid w:val="1F094CF3"/>
    <w:multiLevelType w:val="hybridMultilevel"/>
    <w:tmpl w:val="B7CC879C"/>
    <w:lvl w:ilvl="0" w:tplc="E4ECDBEC">
      <w:start w:val="1"/>
      <w:numFmt w:val="bullet"/>
      <w:lvlText w:val=""/>
      <w:lvlJc w:val="left"/>
      <w:pPr>
        <w:ind w:left="1020" w:hanging="360"/>
      </w:pPr>
      <w:rPr>
        <w:rFonts w:ascii="Symbol" w:hAnsi="Symbol"/>
      </w:rPr>
    </w:lvl>
    <w:lvl w:ilvl="1" w:tplc="7EA2A198">
      <w:start w:val="1"/>
      <w:numFmt w:val="bullet"/>
      <w:lvlText w:val=""/>
      <w:lvlJc w:val="left"/>
      <w:pPr>
        <w:ind w:left="1020" w:hanging="360"/>
      </w:pPr>
      <w:rPr>
        <w:rFonts w:ascii="Symbol" w:hAnsi="Symbol"/>
      </w:rPr>
    </w:lvl>
    <w:lvl w:ilvl="2" w:tplc="B6DC88E8">
      <w:start w:val="1"/>
      <w:numFmt w:val="bullet"/>
      <w:lvlText w:val=""/>
      <w:lvlJc w:val="left"/>
      <w:pPr>
        <w:ind w:left="1020" w:hanging="360"/>
      </w:pPr>
      <w:rPr>
        <w:rFonts w:ascii="Symbol" w:hAnsi="Symbol"/>
      </w:rPr>
    </w:lvl>
    <w:lvl w:ilvl="3" w:tplc="CC489318">
      <w:start w:val="1"/>
      <w:numFmt w:val="bullet"/>
      <w:lvlText w:val=""/>
      <w:lvlJc w:val="left"/>
      <w:pPr>
        <w:ind w:left="1020" w:hanging="360"/>
      </w:pPr>
      <w:rPr>
        <w:rFonts w:ascii="Symbol" w:hAnsi="Symbol"/>
      </w:rPr>
    </w:lvl>
    <w:lvl w:ilvl="4" w:tplc="6B5E7B4C">
      <w:start w:val="1"/>
      <w:numFmt w:val="bullet"/>
      <w:lvlText w:val=""/>
      <w:lvlJc w:val="left"/>
      <w:pPr>
        <w:ind w:left="1020" w:hanging="360"/>
      </w:pPr>
      <w:rPr>
        <w:rFonts w:ascii="Symbol" w:hAnsi="Symbol"/>
      </w:rPr>
    </w:lvl>
    <w:lvl w:ilvl="5" w:tplc="A5EE422A">
      <w:start w:val="1"/>
      <w:numFmt w:val="bullet"/>
      <w:lvlText w:val=""/>
      <w:lvlJc w:val="left"/>
      <w:pPr>
        <w:ind w:left="1020" w:hanging="360"/>
      </w:pPr>
      <w:rPr>
        <w:rFonts w:ascii="Symbol" w:hAnsi="Symbol"/>
      </w:rPr>
    </w:lvl>
    <w:lvl w:ilvl="6" w:tplc="AB961CE2">
      <w:start w:val="1"/>
      <w:numFmt w:val="bullet"/>
      <w:lvlText w:val=""/>
      <w:lvlJc w:val="left"/>
      <w:pPr>
        <w:ind w:left="1020" w:hanging="360"/>
      </w:pPr>
      <w:rPr>
        <w:rFonts w:ascii="Symbol" w:hAnsi="Symbol"/>
      </w:rPr>
    </w:lvl>
    <w:lvl w:ilvl="7" w:tplc="4E04749A">
      <w:start w:val="1"/>
      <w:numFmt w:val="bullet"/>
      <w:lvlText w:val=""/>
      <w:lvlJc w:val="left"/>
      <w:pPr>
        <w:ind w:left="1020" w:hanging="360"/>
      </w:pPr>
      <w:rPr>
        <w:rFonts w:ascii="Symbol" w:hAnsi="Symbol"/>
      </w:rPr>
    </w:lvl>
    <w:lvl w:ilvl="8" w:tplc="B314979A">
      <w:start w:val="1"/>
      <w:numFmt w:val="bullet"/>
      <w:lvlText w:val=""/>
      <w:lvlJc w:val="left"/>
      <w:pPr>
        <w:ind w:left="1020" w:hanging="360"/>
      </w:pPr>
      <w:rPr>
        <w:rFonts w:ascii="Symbol" w:hAnsi="Symbol"/>
      </w:rPr>
    </w:lvl>
  </w:abstractNum>
  <w:abstractNum w:abstractNumId="15" w15:restartNumberingAfterBreak="0">
    <w:nsid w:val="20342DF5"/>
    <w:multiLevelType w:val="multilevel"/>
    <w:tmpl w:val="97CE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685294"/>
    <w:multiLevelType w:val="multilevel"/>
    <w:tmpl w:val="C98232A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6528E9"/>
    <w:multiLevelType w:val="hybridMultilevel"/>
    <w:tmpl w:val="38FA603A"/>
    <w:lvl w:ilvl="0" w:tplc="1809000F">
      <w:start w:val="1"/>
      <w:numFmt w:val="decimal"/>
      <w:lvlText w:val="%1."/>
      <w:lvlJc w:val="left"/>
      <w:pPr>
        <w:ind w:left="1083" w:hanging="360"/>
      </w:pPr>
    </w:lvl>
    <w:lvl w:ilvl="1" w:tplc="18090019" w:tentative="1">
      <w:start w:val="1"/>
      <w:numFmt w:val="lowerLetter"/>
      <w:lvlText w:val="%2."/>
      <w:lvlJc w:val="left"/>
      <w:pPr>
        <w:ind w:left="1803" w:hanging="360"/>
      </w:pPr>
    </w:lvl>
    <w:lvl w:ilvl="2" w:tplc="1809001B" w:tentative="1">
      <w:start w:val="1"/>
      <w:numFmt w:val="lowerRoman"/>
      <w:lvlText w:val="%3."/>
      <w:lvlJc w:val="right"/>
      <w:pPr>
        <w:ind w:left="2523" w:hanging="180"/>
      </w:pPr>
    </w:lvl>
    <w:lvl w:ilvl="3" w:tplc="1809000F" w:tentative="1">
      <w:start w:val="1"/>
      <w:numFmt w:val="decimal"/>
      <w:lvlText w:val="%4."/>
      <w:lvlJc w:val="left"/>
      <w:pPr>
        <w:ind w:left="3243" w:hanging="360"/>
      </w:pPr>
    </w:lvl>
    <w:lvl w:ilvl="4" w:tplc="18090019" w:tentative="1">
      <w:start w:val="1"/>
      <w:numFmt w:val="lowerLetter"/>
      <w:lvlText w:val="%5."/>
      <w:lvlJc w:val="left"/>
      <w:pPr>
        <w:ind w:left="3963" w:hanging="360"/>
      </w:pPr>
    </w:lvl>
    <w:lvl w:ilvl="5" w:tplc="1809001B" w:tentative="1">
      <w:start w:val="1"/>
      <w:numFmt w:val="lowerRoman"/>
      <w:lvlText w:val="%6."/>
      <w:lvlJc w:val="right"/>
      <w:pPr>
        <w:ind w:left="4683" w:hanging="180"/>
      </w:pPr>
    </w:lvl>
    <w:lvl w:ilvl="6" w:tplc="1809000F" w:tentative="1">
      <w:start w:val="1"/>
      <w:numFmt w:val="decimal"/>
      <w:lvlText w:val="%7."/>
      <w:lvlJc w:val="left"/>
      <w:pPr>
        <w:ind w:left="5403" w:hanging="360"/>
      </w:pPr>
    </w:lvl>
    <w:lvl w:ilvl="7" w:tplc="18090019" w:tentative="1">
      <w:start w:val="1"/>
      <w:numFmt w:val="lowerLetter"/>
      <w:lvlText w:val="%8."/>
      <w:lvlJc w:val="left"/>
      <w:pPr>
        <w:ind w:left="6123" w:hanging="360"/>
      </w:pPr>
    </w:lvl>
    <w:lvl w:ilvl="8" w:tplc="1809001B" w:tentative="1">
      <w:start w:val="1"/>
      <w:numFmt w:val="lowerRoman"/>
      <w:lvlText w:val="%9."/>
      <w:lvlJc w:val="right"/>
      <w:pPr>
        <w:ind w:left="6843" w:hanging="180"/>
      </w:pPr>
    </w:lvl>
  </w:abstractNum>
  <w:abstractNum w:abstractNumId="18" w15:restartNumberingAfterBreak="0">
    <w:nsid w:val="2719114C"/>
    <w:multiLevelType w:val="hybridMultilevel"/>
    <w:tmpl w:val="A4025A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2304A8"/>
    <w:multiLevelType w:val="hybridMultilevel"/>
    <w:tmpl w:val="8C82B8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07F2CAF"/>
    <w:multiLevelType w:val="hybridMultilevel"/>
    <w:tmpl w:val="C6461B02"/>
    <w:lvl w:ilvl="0" w:tplc="95FA03E6">
      <w:start w:val="1"/>
      <w:numFmt w:val="bullet"/>
      <w:lvlText w:val=""/>
      <w:lvlJc w:val="left"/>
      <w:pPr>
        <w:ind w:left="1020" w:hanging="360"/>
      </w:pPr>
      <w:rPr>
        <w:rFonts w:ascii="Symbol" w:hAnsi="Symbol"/>
      </w:rPr>
    </w:lvl>
    <w:lvl w:ilvl="1" w:tplc="016006E0">
      <w:start w:val="1"/>
      <w:numFmt w:val="bullet"/>
      <w:lvlText w:val=""/>
      <w:lvlJc w:val="left"/>
      <w:pPr>
        <w:ind w:left="1020" w:hanging="360"/>
      </w:pPr>
      <w:rPr>
        <w:rFonts w:ascii="Symbol" w:hAnsi="Symbol"/>
      </w:rPr>
    </w:lvl>
    <w:lvl w:ilvl="2" w:tplc="32A08A1C">
      <w:start w:val="1"/>
      <w:numFmt w:val="bullet"/>
      <w:lvlText w:val=""/>
      <w:lvlJc w:val="left"/>
      <w:pPr>
        <w:ind w:left="1020" w:hanging="360"/>
      </w:pPr>
      <w:rPr>
        <w:rFonts w:ascii="Symbol" w:hAnsi="Symbol"/>
      </w:rPr>
    </w:lvl>
    <w:lvl w:ilvl="3" w:tplc="EF96EC48">
      <w:start w:val="1"/>
      <w:numFmt w:val="bullet"/>
      <w:lvlText w:val=""/>
      <w:lvlJc w:val="left"/>
      <w:pPr>
        <w:ind w:left="1020" w:hanging="360"/>
      </w:pPr>
      <w:rPr>
        <w:rFonts w:ascii="Symbol" w:hAnsi="Symbol"/>
      </w:rPr>
    </w:lvl>
    <w:lvl w:ilvl="4" w:tplc="18D87820">
      <w:start w:val="1"/>
      <w:numFmt w:val="bullet"/>
      <w:lvlText w:val=""/>
      <w:lvlJc w:val="left"/>
      <w:pPr>
        <w:ind w:left="1020" w:hanging="360"/>
      </w:pPr>
      <w:rPr>
        <w:rFonts w:ascii="Symbol" w:hAnsi="Symbol"/>
      </w:rPr>
    </w:lvl>
    <w:lvl w:ilvl="5" w:tplc="0246ADBE">
      <w:start w:val="1"/>
      <w:numFmt w:val="bullet"/>
      <w:lvlText w:val=""/>
      <w:lvlJc w:val="left"/>
      <w:pPr>
        <w:ind w:left="1020" w:hanging="360"/>
      </w:pPr>
      <w:rPr>
        <w:rFonts w:ascii="Symbol" w:hAnsi="Symbol"/>
      </w:rPr>
    </w:lvl>
    <w:lvl w:ilvl="6" w:tplc="FD08DA5C">
      <w:start w:val="1"/>
      <w:numFmt w:val="bullet"/>
      <w:lvlText w:val=""/>
      <w:lvlJc w:val="left"/>
      <w:pPr>
        <w:ind w:left="1020" w:hanging="360"/>
      </w:pPr>
      <w:rPr>
        <w:rFonts w:ascii="Symbol" w:hAnsi="Symbol"/>
      </w:rPr>
    </w:lvl>
    <w:lvl w:ilvl="7" w:tplc="8B62BE76">
      <w:start w:val="1"/>
      <w:numFmt w:val="bullet"/>
      <w:lvlText w:val=""/>
      <w:lvlJc w:val="left"/>
      <w:pPr>
        <w:ind w:left="1020" w:hanging="360"/>
      </w:pPr>
      <w:rPr>
        <w:rFonts w:ascii="Symbol" w:hAnsi="Symbol"/>
      </w:rPr>
    </w:lvl>
    <w:lvl w:ilvl="8" w:tplc="6D106C9E">
      <w:start w:val="1"/>
      <w:numFmt w:val="bullet"/>
      <w:lvlText w:val=""/>
      <w:lvlJc w:val="left"/>
      <w:pPr>
        <w:ind w:left="1020" w:hanging="360"/>
      </w:pPr>
      <w:rPr>
        <w:rFonts w:ascii="Symbol" w:hAnsi="Symbol"/>
      </w:rPr>
    </w:lvl>
  </w:abstractNum>
  <w:abstractNum w:abstractNumId="21" w15:restartNumberingAfterBreak="0">
    <w:nsid w:val="31AF43A9"/>
    <w:multiLevelType w:val="multilevel"/>
    <w:tmpl w:val="CFDE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4C4148"/>
    <w:multiLevelType w:val="hybridMultilevel"/>
    <w:tmpl w:val="6C0A31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307E3EF"/>
    <w:multiLevelType w:val="hybridMultilevel"/>
    <w:tmpl w:val="D1820AD4"/>
    <w:lvl w:ilvl="0" w:tplc="B9A6C5FE">
      <w:start w:val="1"/>
      <w:numFmt w:val="bullet"/>
      <w:lvlText w:val="-"/>
      <w:lvlJc w:val="left"/>
      <w:pPr>
        <w:ind w:left="720" w:hanging="360"/>
      </w:pPr>
      <w:rPr>
        <w:rFonts w:ascii="Aptos" w:hAnsi="Aptos" w:hint="default"/>
      </w:rPr>
    </w:lvl>
    <w:lvl w:ilvl="1" w:tplc="426A4198">
      <w:start w:val="1"/>
      <w:numFmt w:val="bullet"/>
      <w:lvlText w:val="o"/>
      <w:lvlJc w:val="left"/>
      <w:pPr>
        <w:ind w:left="1440" w:hanging="360"/>
      </w:pPr>
      <w:rPr>
        <w:rFonts w:ascii="Courier New" w:hAnsi="Courier New" w:hint="default"/>
      </w:rPr>
    </w:lvl>
    <w:lvl w:ilvl="2" w:tplc="B2CAA618">
      <w:start w:val="1"/>
      <w:numFmt w:val="bullet"/>
      <w:lvlText w:val=""/>
      <w:lvlJc w:val="left"/>
      <w:pPr>
        <w:ind w:left="2160" w:hanging="360"/>
      </w:pPr>
      <w:rPr>
        <w:rFonts w:ascii="Wingdings" w:hAnsi="Wingdings" w:hint="default"/>
      </w:rPr>
    </w:lvl>
    <w:lvl w:ilvl="3" w:tplc="7ED053AA">
      <w:start w:val="1"/>
      <w:numFmt w:val="bullet"/>
      <w:lvlText w:val=""/>
      <w:lvlJc w:val="left"/>
      <w:pPr>
        <w:ind w:left="2880" w:hanging="360"/>
      </w:pPr>
      <w:rPr>
        <w:rFonts w:ascii="Symbol" w:hAnsi="Symbol" w:hint="default"/>
      </w:rPr>
    </w:lvl>
    <w:lvl w:ilvl="4" w:tplc="0408E026">
      <w:start w:val="1"/>
      <w:numFmt w:val="bullet"/>
      <w:lvlText w:val="o"/>
      <w:lvlJc w:val="left"/>
      <w:pPr>
        <w:ind w:left="3600" w:hanging="360"/>
      </w:pPr>
      <w:rPr>
        <w:rFonts w:ascii="Courier New" w:hAnsi="Courier New" w:hint="default"/>
      </w:rPr>
    </w:lvl>
    <w:lvl w:ilvl="5" w:tplc="CB42170E">
      <w:start w:val="1"/>
      <w:numFmt w:val="bullet"/>
      <w:lvlText w:val=""/>
      <w:lvlJc w:val="left"/>
      <w:pPr>
        <w:ind w:left="4320" w:hanging="360"/>
      </w:pPr>
      <w:rPr>
        <w:rFonts w:ascii="Wingdings" w:hAnsi="Wingdings" w:hint="default"/>
      </w:rPr>
    </w:lvl>
    <w:lvl w:ilvl="6" w:tplc="E59AD784">
      <w:start w:val="1"/>
      <w:numFmt w:val="bullet"/>
      <w:lvlText w:val=""/>
      <w:lvlJc w:val="left"/>
      <w:pPr>
        <w:ind w:left="5040" w:hanging="360"/>
      </w:pPr>
      <w:rPr>
        <w:rFonts w:ascii="Symbol" w:hAnsi="Symbol" w:hint="default"/>
      </w:rPr>
    </w:lvl>
    <w:lvl w:ilvl="7" w:tplc="76225D74">
      <w:start w:val="1"/>
      <w:numFmt w:val="bullet"/>
      <w:lvlText w:val="o"/>
      <w:lvlJc w:val="left"/>
      <w:pPr>
        <w:ind w:left="5760" w:hanging="360"/>
      </w:pPr>
      <w:rPr>
        <w:rFonts w:ascii="Courier New" w:hAnsi="Courier New" w:hint="default"/>
      </w:rPr>
    </w:lvl>
    <w:lvl w:ilvl="8" w:tplc="87CC3728">
      <w:start w:val="1"/>
      <w:numFmt w:val="bullet"/>
      <w:lvlText w:val=""/>
      <w:lvlJc w:val="left"/>
      <w:pPr>
        <w:ind w:left="6480" w:hanging="360"/>
      </w:pPr>
      <w:rPr>
        <w:rFonts w:ascii="Wingdings" w:hAnsi="Wingdings" w:hint="default"/>
      </w:rPr>
    </w:lvl>
  </w:abstractNum>
  <w:abstractNum w:abstractNumId="24" w15:restartNumberingAfterBreak="0">
    <w:nsid w:val="36520CCC"/>
    <w:multiLevelType w:val="hybridMultilevel"/>
    <w:tmpl w:val="78BC41F2"/>
    <w:lvl w:ilvl="0" w:tplc="31A4A7D8">
      <w:start w:val="1"/>
      <w:numFmt w:val="bullet"/>
      <w:lvlText w:val="-"/>
      <w:lvlJc w:val="left"/>
      <w:pPr>
        <w:ind w:left="720" w:hanging="360"/>
      </w:pPr>
      <w:rPr>
        <w:rFonts w:ascii="Aptos" w:hAnsi="Aptos" w:hint="default"/>
      </w:rPr>
    </w:lvl>
    <w:lvl w:ilvl="1" w:tplc="8EF031D0">
      <w:start w:val="1"/>
      <w:numFmt w:val="bullet"/>
      <w:lvlText w:val="o"/>
      <w:lvlJc w:val="left"/>
      <w:pPr>
        <w:ind w:left="1440" w:hanging="360"/>
      </w:pPr>
      <w:rPr>
        <w:rFonts w:ascii="Courier New" w:hAnsi="Courier New" w:hint="default"/>
      </w:rPr>
    </w:lvl>
    <w:lvl w:ilvl="2" w:tplc="5444101A">
      <w:start w:val="1"/>
      <w:numFmt w:val="bullet"/>
      <w:lvlText w:val=""/>
      <w:lvlJc w:val="left"/>
      <w:pPr>
        <w:ind w:left="2160" w:hanging="360"/>
      </w:pPr>
      <w:rPr>
        <w:rFonts w:ascii="Wingdings" w:hAnsi="Wingdings" w:hint="default"/>
      </w:rPr>
    </w:lvl>
    <w:lvl w:ilvl="3" w:tplc="3CBC7BDE">
      <w:start w:val="1"/>
      <w:numFmt w:val="bullet"/>
      <w:lvlText w:val=""/>
      <w:lvlJc w:val="left"/>
      <w:pPr>
        <w:ind w:left="2880" w:hanging="360"/>
      </w:pPr>
      <w:rPr>
        <w:rFonts w:ascii="Symbol" w:hAnsi="Symbol" w:hint="default"/>
      </w:rPr>
    </w:lvl>
    <w:lvl w:ilvl="4" w:tplc="56009C36">
      <w:start w:val="1"/>
      <w:numFmt w:val="bullet"/>
      <w:lvlText w:val="o"/>
      <w:lvlJc w:val="left"/>
      <w:pPr>
        <w:ind w:left="3600" w:hanging="360"/>
      </w:pPr>
      <w:rPr>
        <w:rFonts w:ascii="Courier New" w:hAnsi="Courier New" w:hint="default"/>
      </w:rPr>
    </w:lvl>
    <w:lvl w:ilvl="5" w:tplc="2D5A4A6C">
      <w:start w:val="1"/>
      <w:numFmt w:val="bullet"/>
      <w:lvlText w:val=""/>
      <w:lvlJc w:val="left"/>
      <w:pPr>
        <w:ind w:left="4320" w:hanging="360"/>
      </w:pPr>
      <w:rPr>
        <w:rFonts w:ascii="Wingdings" w:hAnsi="Wingdings" w:hint="default"/>
      </w:rPr>
    </w:lvl>
    <w:lvl w:ilvl="6" w:tplc="889E93AC">
      <w:start w:val="1"/>
      <w:numFmt w:val="bullet"/>
      <w:lvlText w:val=""/>
      <w:lvlJc w:val="left"/>
      <w:pPr>
        <w:ind w:left="5040" w:hanging="360"/>
      </w:pPr>
      <w:rPr>
        <w:rFonts w:ascii="Symbol" w:hAnsi="Symbol" w:hint="default"/>
      </w:rPr>
    </w:lvl>
    <w:lvl w:ilvl="7" w:tplc="B5DAF9F0">
      <w:start w:val="1"/>
      <w:numFmt w:val="bullet"/>
      <w:lvlText w:val="o"/>
      <w:lvlJc w:val="left"/>
      <w:pPr>
        <w:ind w:left="5760" w:hanging="360"/>
      </w:pPr>
      <w:rPr>
        <w:rFonts w:ascii="Courier New" w:hAnsi="Courier New" w:hint="default"/>
      </w:rPr>
    </w:lvl>
    <w:lvl w:ilvl="8" w:tplc="FB521048">
      <w:start w:val="1"/>
      <w:numFmt w:val="bullet"/>
      <w:lvlText w:val=""/>
      <w:lvlJc w:val="left"/>
      <w:pPr>
        <w:ind w:left="6480" w:hanging="360"/>
      </w:pPr>
      <w:rPr>
        <w:rFonts w:ascii="Wingdings" w:hAnsi="Wingdings" w:hint="default"/>
      </w:rPr>
    </w:lvl>
  </w:abstractNum>
  <w:abstractNum w:abstractNumId="25" w15:restartNumberingAfterBreak="0">
    <w:nsid w:val="37E45A90"/>
    <w:multiLevelType w:val="hybridMultilevel"/>
    <w:tmpl w:val="8F38C6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9152369"/>
    <w:multiLevelType w:val="hybridMultilevel"/>
    <w:tmpl w:val="2850F2DE"/>
    <w:lvl w:ilvl="0" w:tplc="08090001">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246E5D"/>
    <w:multiLevelType w:val="hybridMultilevel"/>
    <w:tmpl w:val="825EED68"/>
    <w:lvl w:ilvl="0" w:tplc="72861EFC">
      <w:start w:val="1"/>
      <w:numFmt w:val="bullet"/>
      <w:lvlText w:val=""/>
      <w:lvlJc w:val="left"/>
      <w:pPr>
        <w:ind w:left="1020" w:hanging="360"/>
      </w:pPr>
      <w:rPr>
        <w:rFonts w:ascii="Symbol" w:hAnsi="Symbol"/>
      </w:rPr>
    </w:lvl>
    <w:lvl w:ilvl="1" w:tplc="0A2A6E3C">
      <w:start w:val="1"/>
      <w:numFmt w:val="bullet"/>
      <w:lvlText w:val=""/>
      <w:lvlJc w:val="left"/>
      <w:pPr>
        <w:ind w:left="1020" w:hanging="360"/>
      </w:pPr>
      <w:rPr>
        <w:rFonts w:ascii="Symbol" w:hAnsi="Symbol"/>
      </w:rPr>
    </w:lvl>
    <w:lvl w:ilvl="2" w:tplc="84F4FDE4">
      <w:start w:val="1"/>
      <w:numFmt w:val="bullet"/>
      <w:lvlText w:val=""/>
      <w:lvlJc w:val="left"/>
      <w:pPr>
        <w:ind w:left="1020" w:hanging="360"/>
      </w:pPr>
      <w:rPr>
        <w:rFonts w:ascii="Symbol" w:hAnsi="Symbol"/>
      </w:rPr>
    </w:lvl>
    <w:lvl w:ilvl="3" w:tplc="BD2497E6">
      <w:start w:val="1"/>
      <w:numFmt w:val="bullet"/>
      <w:lvlText w:val=""/>
      <w:lvlJc w:val="left"/>
      <w:pPr>
        <w:ind w:left="1020" w:hanging="360"/>
      </w:pPr>
      <w:rPr>
        <w:rFonts w:ascii="Symbol" w:hAnsi="Symbol"/>
      </w:rPr>
    </w:lvl>
    <w:lvl w:ilvl="4" w:tplc="DD34B8D8">
      <w:start w:val="1"/>
      <w:numFmt w:val="bullet"/>
      <w:lvlText w:val=""/>
      <w:lvlJc w:val="left"/>
      <w:pPr>
        <w:ind w:left="1020" w:hanging="360"/>
      </w:pPr>
      <w:rPr>
        <w:rFonts w:ascii="Symbol" w:hAnsi="Symbol"/>
      </w:rPr>
    </w:lvl>
    <w:lvl w:ilvl="5" w:tplc="E16442DE">
      <w:start w:val="1"/>
      <w:numFmt w:val="bullet"/>
      <w:lvlText w:val=""/>
      <w:lvlJc w:val="left"/>
      <w:pPr>
        <w:ind w:left="1020" w:hanging="360"/>
      </w:pPr>
      <w:rPr>
        <w:rFonts w:ascii="Symbol" w:hAnsi="Symbol"/>
      </w:rPr>
    </w:lvl>
    <w:lvl w:ilvl="6" w:tplc="A8C05EFE">
      <w:start w:val="1"/>
      <w:numFmt w:val="bullet"/>
      <w:lvlText w:val=""/>
      <w:lvlJc w:val="left"/>
      <w:pPr>
        <w:ind w:left="1020" w:hanging="360"/>
      </w:pPr>
      <w:rPr>
        <w:rFonts w:ascii="Symbol" w:hAnsi="Symbol"/>
      </w:rPr>
    </w:lvl>
    <w:lvl w:ilvl="7" w:tplc="ACA48568">
      <w:start w:val="1"/>
      <w:numFmt w:val="bullet"/>
      <w:lvlText w:val=""/>
      <w:lvlJc w:val="left"/>
      <w:pPr>
        <w:ind w:left="1020" w:hanging="360"/>
      </w:pPr>
      <w:rPr>
        <w:rFonts w:ascii="Symbol" w:hAnsi="Symbol"/>
      </w:rPr>
    </w:lvl>
    <w:lvl w:ilvl="8" w:tplc="87A67908">
      <w:start w:val="1"/>
      <w:numFmt w:val="bullet"/>
      <w:lvlText w:val=""/>
      <w:lvlJc w:val="left"/>
      <w:pPr>
        <w:ind w:left="1020" w:hanging="360"/>
      </w:pPr>
      <w:rPr>
        <w:rFonts w:ascii="Symbol" w:hAnsi="Symbol"/>
      </w:rPr>
    </w:lvl>
  </w:abstractNum>
  <w:abstractNum w:abstractNumId="28" w15:restartNumberingAfterBreak="0">
    <w:nsid w:val="46A271AE"/>
    <w:multiLevelType w:val="hybridMultilevel"/>
    <w:tmpl w:val="E0A81C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0464DD1"/>
    <w:multiLevelType w:val="hybridMultilevel"/>
    <w:tmpl w:val="424A5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2844FF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2F95A5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4212CD"/>
    <w:multiLevelType w:val="multilevel"/>
    <w:tmpl w:val="290629E0"/>
    <w:lvl w:ilvl="0">
      <w:start w:val="1"/>
      <w:numFmt w:val="decimal"/>
      <w:lvlText w:val="%1."/>
      <w:lvlJc w:val="left"/>
      <w:pPr>
        <w:ind w:left="360" w:hanging="360"/>
      </w:pPr>
      <w:rPr>
        <w:rFonts w:ascii="Times New Roman" w:hAnsi="Times New Roman"/>
        <w:b/>
        <w:bCs/>
        <w:sz w:val="28"/>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7B2357"/>
    <w:multiLevelType w:val="multilevel"/>
    <w:tmpl w:val="8586D5F6"/>
    <w:lvl w:ilvl="0">
      <w:start w:val="1"/>
      <w:numFmt w:val="decimal"/>
      <w:pStyle w:val="CMR-Heading"/>
      <w:lvlText w:val="%1."/>
      <w:lvlJc w:val="left"/>
      <w:pPr>
        <w:ind w:left="502" w:hanging="360"/>
      </w:pPr>
      <w:rPr>
        <w:rFonts w:hint="default"/>
        <w:b/>
        <w:bCs/>
      </w:rPr>
    </w:lvl>
    <w:lvl w:ilvl="1">
      <w:start w:val="1"/>
      <w:numFmt w:val="decimal"/>
      <w:pStyle w:val="CMR-Subheading"/>
      <w:lvlText w:val="%1.%2."/>
      <w:lvlJc w:val="left"/>
      <w:pPr>
        <w:ind w:left="999" w:hanging="432"/>
      </w:pPr>
      <w:rPr>
        <w:rFonts w:hint="default"/>
        <w:sz w:val="24"/>
        <w:szCs w:val="24"/>
      </w:rPr>
    </w:lvl>
    <w:lvl w:ilvl="2">
      <w:start w:val="1"/>
      <w:numFmt w:val="decimal"/>
      <w:pStyle w:val="CMR-SubHead2"/>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493CC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9F0FD5"/>
    <w:multiLevelType w:val="hybridMultilevel"/>
    <w:tmpl w:val="46EC2C9C"/>
    <w:lvl w:ilvl="0" w:tplc="18090001">
      <w:start w:val="1"/>
      <w:numFmt w:val="bullet"/>
      <w:lvlText w:val=""/>
      <w:lvlJc w:val="left"/>
      <w:pPr>
        <w:ind w:left="776" w:hanging="360"/>
      </w:pPr>
      <w:rPr>
        <w:rFonts w:ascii="Symbol" w:hAnsi="Symbol" w:hint="default"/>
      </w:rPr>
    </w:lvl>
    <w:lvl w:ilvl="1" w:tplc="18090003" w:tentative="1">
      <w:start w:val="1"/>
      <w:numFmt w:val="bullet"/>
      <w:lvlText w:val="o"/>
      <w:lvlJc w:val="left"/>
      <w:pPr>
        <w:ind w:left="1496" w:hanging="360"/>
      </w:pPr>
      <w:rPr>
        <w:rFonts w:ascii="Courier New" w:hAnsi="Courier New" w:cs="Courier New" w:hint="default"/>
      </w:rPr>
    </w:lvl>
    <w:lvl w:ilvl="2" w:tplc="18090005" w:tentative="1">
      <w:start w:val="1"/>
      <w:numFmt w:val="bullet"/>
      <w:lvlText w:val=""/>
      <w:lvlJc w:val="left"/>
      <w:pPr>
        <w:ind w:left="2216" w:hanging="360"/>
      </w:pPr>
      <w:rPr>
        <w:rFonts w:ascii="Wingdings" w:hAnsi="Wingdings" w:hint="default"/>
      </w:rPr>
    </w:lvl>
    <w:lvl w:ilvl="3" w:tplc="18090001" w:tentative="1">
      <w:start w:val="1"/>
      <w:numFmt w:val="bullet"/>
      <w:lvlText w:val=""/>
      <w:lvlJc w:val="left"/>
      <w:pPr>
        <w:ind w:left="2936" w:hanging="360"/>
      </w:pPr>
      <w:rPr>
        <w:rFonts w:ascii="Symbol" w:hAnsi="Symbol" w:hint="default"/>
      </w:rPr>
    </w:lvl>
    <w:lvl w:ilvl="4" w:tplc="18090003" w:tentative="1">
      <w:start w:val="1"/>
      <w:numFmt w:val="bullet"/>
      <w:lvlText w:val="o"/>
      <w:lvlJc w:val="left"/>
      <w:pPr>
        <w:ind w:left="3656" w:hanging="360"/>
      </w:pPr>
      <w:rPr>
        <w:rFonts w:ascii="Courier New" w:hAnsi="Courier New" w:cs="Courier New" w:hint="default"/>
      </w:rPr>
    </w:lvl>
    <w:lvl w:ilvl="5" w:tplc="18090005" w:tentative="1">
      <w:start w:val="1"/>
      <w:numFmt w:val="bullet"/>
      <w:lvlText w:val=""/>
      <w:lvlJc w:val="left"/>
      <w:pPr>
        <w:ind w:left="4376" w:hanging="360"/>
      </w:pPr>
      <w:rPr>
        <w:rFonts w:ascii="Wingdings" w:hAnsi="Wingdings" w:hint="default"/>
      </w:rPr>
    </w:lvl>
    <w:lvl w:ilvl="6" w:tplc="18090001" w:tentative="1">
      <w:start w:val="1"/>
      <w:numFmt w:val="bullet"/>
      <w:lvlText w:val=""/>
      <w:lvlJc w:val="left"/>
      <w:pPr>
        <w:ind w:left="5096" w:hanging="360"/>
      </w:pPr>
      <w:rPr>
        <w:rFonts w:ascii="Symbol" w:hAnsi="Symbol" w:hint="default"/>
      </w:rPr>
    </w:lvl>
    <w:lvl w:ilvl="7" w:tplc="18090003" w:tentative="1">
      <w:start w:val="1"/>
      <w:numFmt w:val="bullet"/>
      <w:lvlText w:val="o"/>
      <w:lvlJc w:val="left"/>
      <w:pPr>
        <w:ind w:left="5816" w:hanging="360"/>
      </w:pPr>
      <w:rPr>
        <w:rFonts w:ascii="Courier New" w:hAnsi="Courier New" w:cs="Courier New" w:hint="default"/>
      </w:rPr>
    </w:lvl>
    <w:lvl w:ilvl="8" w:tplc="18090005" w:tentative="1">
      <w:start w:val="1"/>
      <w:numFmt w:val="bullet"/>
      <w:lvlText w:val=""/>
      <w:lvlJc w:val="left"/>
      <w:pPr>
        <w:ind w:left="6536" w:hanging="360"/>
      </w:pPr>
      <w:rPr>
        <w:rFonts w:ascii="Wingdings" w:hAnsi="Wingdings" w:hint="default"/>
      </w:rPr>
    </w:lvl>
  </w:abstractNum>
  <w:abstractNum w:abstractNumId="36" w15:restartNumberingAfterBreak="0">
    <w:nsid w:val="6A5AC1D0"/>
    <w:multiLevelType w:val="hybridMultilevel"/>
    <w:tmpl w:val="4D8414B6"/>
    <w:lvl w:ilvl="0" w:tplc="E14E0296">
      <w:start w:val="1"/>
      <w:numFmt w:val="bullet"/>
      <w:lvlText w:val="-"/>
      <w:lvlJc w:val="left"/>
      <w:pPr>
        <w:ind w:left="720" w:hanging="360"/>
      </w:pPr>
      <w:rPr>
        <w:rFonts w:ascii="Aptos" w:hAnsi="Aptos" w:hint="default"/>
      </w:rPr>
    </w:lvl>
    <w:lvl w:ilvl="1" w:tplc="A4AE4970">
      <w:start w:val="1"/>
      <w:numFmt w:val="bullet"/>
      <w:lvlText w:val="o"/>
      <w:lvlJc w:val="left"/>
      <w:pPr>
        <w:ind w:left="1440" w:hanging="360"/>
      </w:pPr>
      <w:rPr>
        <w:rFonts w:ascii="Courier New" w:hAnsi="Courier New" w:hint="default"/>
      </w:rPr>
    </w:lvl>
    <w:lvl w:ilvl="2" w:tplc="C93CA7C4">
      <w:start w:val="1"/>
      <w:numFmt w:val="bullet"/>
      <w:lvlText w:val=""/>
      <w:lvlJc w:val="left"/>
      <w:pPr>
        <w:ind w:left="2160" w:hanging="360"/>
      </w:pPr>
      <w:rPr>
        <w:rFonts w:ascii="Wingdings" w:hAnsi="Wingdings" w:hint="default"/>
      </w:rPr>
    </w:lvl>
    <w:lvl w:ilvl="3" w:tplc="832805E4">
      <w:start w:val="1"/>
      <w:numFmt w:val="bullet"/>
      <w:lvlText w:val=""/>
      <w:lvlJc w:val="left"/>
      <w:pPr>
        <w:ind w:left="2880" w:hanging="360"/>
      </w:pPr>
      <w:rPr>
        <w:rFonts w:ascii="Symbol" w:hAnsi="Symbol" w:hint="default"/>
      </w:rPr>
    </w:lvl>
    <w:lvl w:ilvl="4" w:tplc="72025A16">
      <w:start w:val="1"/>
      <w:numFmt w:val="bullet"/>
      <w:lvlText w:val="o"/>
      <w:lvlJc w:val="left"/>
      <w:pPr>
        <w:ind w:left="3600" w:hanging="360"/>
      </w:pPr>
      <w:rPr>
        <w:rFonts w:ascii="Courier New" w:hAnsi="Courier New" w:hint="default"/>
      </w:rPr>
    </w:lvl>
    <w:lvl w:ilvl="5" w:tplc="8D92BB2E">
      <w:start w:val="1"/>
      <w:numFmt w:val="bullet"/>
      <w:lvlText w:val=""/>
      <w:lvlJc w:val="left"/>
      <w:pPr>
        <w:ind w:left="4320" w:hanging="360"/>
      </w:pPr>
      <w:rPr>
        <w:rFonts w:ascii="Wingdings" w:hAnsi="Wingdings" w:hint="default"/>
      </w:rPr>
    </w:lvl>
    <w:lvl w:ilvl="6" w:tplc="73B8DC2A">
      <w:start w:val="1"/>
      <w:numFmt w:val="bullet"/>
      <w:lvlText w:val=""/>
      <w:lvlJc w:val="left"/>
      <w:pPr>
        <w:ind w:left="5040" w:hanging="360"/>
      </w:pPr>
      <w:rPr>
        <w:rFonts w:ascii="Symbol" w:hAnsi="Symbol" w:hint="default"/>
      </w:rPr>
    </w:lvl>
    <w:lvl w:ilvl="7" w:tplc="BE58D412">
      <w:start w:val="1"/>
      <w:numFmt w:val="bullet"/>
      <w:lvlText w:val="o"/>
      <w:lvlJc w:val="left"/>
      <w:pPr>
        <w:ind w:left="5760" w:hanging="360"/>
      </w:pPr>
      <w:rPr>
        <w:rFonts w:ascii="Courier New" w:hAnsi="Courier New" w:hint="default"/>
      </w:rPr>
    </w:lvl>
    <w:lvl w:ilvl="8" w:tplc="417E151A">
      <w:start w:val="1"/>
      <w:numFmt w:val="bullet"/>
      <w:lvlText w:val=""/>
      <w:lvlJc w:val="left"/>
      <w:pPr>
        <w:ind w:left="6480" w:hanging="360"/>
      </w:pPr>
      <w:rPr>
        <w:rFonts w:ascii="Wingdings" w:hAnsi="Wingdings" w:hint="default"/>
      </w:rPr>
    </w:lvl>
  </w:abstractNum>
  <w:abstractNum w:abstractNumId="37" w15:restartNumberingAfterBreak="0">
    <w:nsid w:val="6ABC090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D9543C"/>
    <w:multiLevelType w:val="hybridMultilevel"/>
    <w:tmpl w:val="B756FA8E"/>
    <w:lvl w:ilvl="0" w:tplc="F9805A9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FFF6A63"/>
    <w:multiLevelType w:val="hybridMultilevel"/>
    <w:tmpl w:val="AD5C3926"/>
    <w:lvl w:ilvl="0" w:tplc="90802C94">
      <w:start w:val="1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84F4C01"/>
    <w:multiLevelType w:val="hybridMultilevel"/>
    <w:tmpl w:val="2BFCE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8CC0B5B"/>
    <w:multiLevelType w:val="multilevel"/>
    <w:tmpl w:val="A094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FD22C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BD6630"/>
    <w:multiLevelType w:val="hybridMultilevel"/>
    <w:tmpl w:val="19E6F590"/>
    <w:lvl w:ilvl="0" w:tplc="431A95D4">
      <w:start w:val="1"/>
      <w:numFmt w:val="bullet"/>
      <w:lvlText w:val=""/>
      <w:lvlJc w:val="left"/>
      <w:pPr>
        <w:ind w:left="1020" w:hanging="360"/>
      </w:pPr>
      <w:rPr>
        <w:rFonts w:ascii="Symbol" w:hAnsi="Symbol"/>
      </w:rPr>
    </w:lvl>
    <w:lvl w:ilvl="1" w:tplc="5B1CDEE8">
      <w:start w:val="1"/>
      <w:numFmt w:val="bullet"/>
      <w:lvlText w:val=""/>
      <w:lvlJc w:val="left"/>
      <w:pPr>
        <w:ind w:left="1020" w:hanging="360"/>
      </w:pPr>
      <w:rPr>
        <w:rFonts w:ascii="Symbol" w:hAnsi="Symbol"/>
      </w:rPr>
    </w:lvl>
    <w:lvl w:ilvl="2" w:tplc="E9BEAB2C">
      <w:start w:val="1"/>
      <w:numFmt w:val="bullet"/>
      <w:lvlText w:val=""/>
      <w:lvlJc w:val="left"/>
      <w:pPr>
        <w:ind w:left="1020" w:hanging="360"/>
      </w:pPr>
      <w:rPr>
        <w:rFonts w:ascii="Symbol" w:hAnsi="Symbol"/>
      </w:rPr>
    </w:lvl>
    <w:lvl w:ilvl="3" w:tplc="21947EF8">
      <w:start w:val="1"/>
      <w:numFmt w:val="bullet"/>
      <w:lvlText w:val=""/>
      <w:lvlJc w:val="left"/>
      <w:pPr>
        <w:ind w:left="1020" w:hanging="360"/>
      </w:pPr>
      <w:rPr>
        <w:rFonts w:ascii="Symbol" w:hAnsi="Symbol"/>
      </w:rPr>
    </w:lvl>
    <w:lvl w:ilvl="4" w:tplc="973423C6">
      <w:start w:val="1"/>
      <w:numFmt w:val="bullet"/>
      <w:lvlText w:val=""/>
      <w:lvlJc w:val="left"/>
      <w:pPr>
        <w:ind w:left="1020" w:hanging="360"/>
      </w:pPr>
      <w:rPr>
        <w:rFonts w:ascii="Symbol" w:hAnsi="Symbol"/>
      </w:rPr>
    </w:lvl>
    <w:lvl w:ilvl="5" w:tplc="D0B448D8">
      <w:start w:val="1"/>
      <w:numFmt w:val="bullet"/>
      <w:lvlText w:val=""/>
      <w:lvlJc w:val="left"/>
      <w:pPr>
        <w:ind w:left="1020" w:hanging="360"/>
      </w:pPr>
      <w:rPr>
        <w:rFonts w:ascii="Symbol" w:hAnsi="Symbol"/>
      </w:rPr>
    </w:lvl>
    <w:lvl w:ilvl="6" w:tplc="0F743D14">
      <w:start w:val="1"/>
      <w:numFmt w:val="bullet"/>
      <w:lvlText w:val=""/>
      <w:lvlJc w:val="left"/>
      <w:pPr>
        <w:ind w:left="1020" w:hanging="360"/>
      </w:pPr>
      <w:rPr>
        <w:rFonts w:ascii="Symbol" w:hAnsi="Symbol"/>
      </w:rPr>
    </w:lvl>
    <w:lvl w:ilvl="7" w:tplc="B728F216">
      <w:start w:val="1"/>
      <w:numFmt w:val="bullet"/>
      <w:lvlText w:val=""/>
      <w:lvlJc w:val="left"/>
      <w:pPr>
        <w:ind w:left="1020" w:hanging="360"/>
      </w:pPr>
      <w:rPr>
        <w:rFonts w:ascii="Symbol" w:hAnsi="Symbol"/>
      </w:rPr>
    </w:lvl>
    <w:lvl w:ilvl="8" w:tplc="ED0EDCD6">
      <w:start w:val="1"/>
      <w:numFmt w:val="bullet"/>
      <w:lvlText w:val=""/>
      <w:lvlJc w:val="left"/>
      <w:pPr>
        <w:ind w:left="1020" w:hanging="360"/>
      </w:pPr>
      <w:rPr>
        <w:rFonts w:ascii="Symbol" w:hAnsi="Symbol"/>
      </w:rPr>
    </w:lvl>
  </w:abstractNum>
  <w:abstractNum w:abstractNumId="44" w15:restartNumberingAfterBreak="0">
    <w:nsid w:val="7D9C0406"/>
    <w:multiLevelType w:val="hybridMultilevel"/>
    <w:tmpl w:val="BE368D3E"/>
    <w:lvl w:ilvl="0" w:tplc="EBAEFD54">
      <w:start w:val="1"/>
      <w:numFmt w:val="bullet"/>
      <w:lvlText w:val="-"/>
      <w:lvlJc w:val="left"/>
      <w:pPr>
        <w:ind w:left="720" w:hanging="360"/>
      </w:pPr>
      <w:rPr>
        <w:rFonts w:ascii="Aptos" w:hAnsi="Aptos" w:hint="default"/>
      </w:rPr>
    </w:lvl>
    <w:lvl w:ilvl="1" w:tplc="2890820E">
      <w:start w:val="1"/>
      <w:numFmt w:val="bullet"/>
      <w:lvlText w:val="o"/>
      <w:lvlJc w:val="left"/>
      <w:pPr>
        <w:ind w:left="1440" w:hanging="360"/>
      </w:pPr>
      <w:rPr>
        <w:rFonts w:ascii="Courier New" w:hAnsi="Courier New" w:hint="default"/>
      </w:rPr>
    </w:lvl>
    <w:lvl w:ilvl="2" w:tplc="D3C6EDF2">
      <w:start w:val="1"/>
      <w:numFmt w:val="bullet"/>
      <w:lvlText w:val=""/>
      <w:lvlJc w:val="left"/>
      <w:pPr>
        <w:ind w:left="2160" w:hanging="360"/>
      </w:pPr>
      <w:rPr>
        <w:rFonts w:ascii="Wingdings" w:hAnsi="Wingdings" w:hint="default"/>
      </w:rPr>
    </w:lvl>
    <w:lvl w:ilvl="3" w:tplc="FDAC6E4A">
      <w:start w:val="1"/>
      <w:numFmt w:val="bullet"/>
      <w:lvlText w:val=""/>
      <w:lvlJc w:val="left"/>
      <w:pPr>
        <w:ind w:left="2880" w:hanging="360"/>
      </w:pPr>
      <w:rPr>
        <w:rFonts w:ascii="Symbol" w:hAnsi="Symbol" w:hint="default"/>
      </w:rPr>
    </w:lvl>
    <w:lvl w:ilvl="4" w:tplc="9940BEE6">
      <w:start w:val="1"/>
      <w:numFmt w:val="bullet"/>
      <w:lvlText w:val="o"/>
      <w:lvlJc w:val="left"/>
      <w:pPr>
        <w:ind w:left="3600" w:hanging="360"/>
      </w:pPr>
      <w:rPr>
        <w:rFonts w:ascii="Courier New" w:hAnsi="Courier New" w:hint="default"/>
      </w:rPr>
    </w:lvl>
    <w:lvl w:ilvl="5" w:tplc="2DAEE3B2">
      <w:start w:val="1"/>
      <w:numFmt w:val="bullet"/>
      <w:lvlText w:val=""/>
      <w:lvlJc w:val="left"/>
      <w:pPr>
        <w:ind w:left="4320" w:hanging="360"/>
      </w:pPr>
      <w:rPr>
        <w:rFonts w:ascii="Wingdings" w:hAnsi="Wingdings" w:hint="default"/>
      </w:rPr>
    </w:lvl>
    <w:lvl w:ilvl="6" w:tplc="ABF08878">
      <w:start w:val="1"/>
      <w:numFmt w:val="bullet"/>
      <w:lvlText w:val=""/>
      <w:lvlJc w:val="left"/>
      <w:pPr>
        <w:ind w:left="5040" w:hanging="360"/>
      </w:pPr>
      <w:rPr>
        <w:rFonts w:ascii="Symbol" w:hAnsi="Symbol" w:hint="default"/>
      </w:rPr>
    </w:lvl>
    <w:lvl w:ilvl="7" w:tplc="F8DCC312">
      <w:start w:val="1"/>
      <w:numFmt w:val="bullet"/>
      <w:lvlText w:val="o"/>
      <w:lvlJc w:val="left"/>
      <w:pPr>
        <w:ind w:left="5760" w:hanging="360"/>
      </w:pPr>
      <w:rPr>
        <w:rFonts w:ascii="Courier New" w:hAnsi="Courier New" w:hint="default"/>
      </w:rPr>
    </w:lvl>
    <w:lvl w:ilvl="8" w:tplc="388831AE">
      <w:start w:val="1"/>
      <w:numFmt w:val="bullet"/>
      <w:lvlText w:val=""/>
      <w:lvlJc w:val="left"/>
      <w:pPr>
        <w:ind w:left="6480" w:hanging="360"/>
      </w:pPr>
      <w:rPr>
        <w:rFonts w:ascii="Wingdings" w:hAnsi="Wingdings" w:hint="default"/>
      </w:rPr>
    </w:lvl>
  </w:abstractNum>
  <w:abstractNum w:abstractNumId="45" w15:restartNumberingAfterBreak="0">
    <w:nsid w:val="7E68FE28"/>
    <w:multiLevelType w:val="hybridMultilevel"/>
    <w:tmpl w:val="E9061BA2"/>
    <w:lvl w:ilvl="0" w:tplc="68BA3086">
      <w:start w:val="1"/>
      <w:numFmt w:val="bullet"/>
      <w:lvlText w:val=""/>
      <w:lvlJc w:val="left"/>
      <w:pPr>
        <w:ind w:left="720" w:hanging="360"/>
      </w:pPr>
      <w:rPr>
        <w:rFonts w:ascii="Symbol" w:hAnsi="Symbol" w:hint="default"/>
      </w:rPr>
    </w:lvl>
    <w:lvl w:ilvl="1" w:tplc="ED464CC4">
      <w:start w:val="1"/>
      <w:numFmt w:val="bullet"/>
      <w:lvlText w:val="o"/>
      <w:lvlJc w:val="left"/>
      <w:pPr>
        <w:ind w:left="1440" w:hanging="360"/>
      </w:pPr>
      <w:rPr>
        <w:rFonts w:ascii="Courier New" w:hAnsi="Courier New" w:hint="default"/>
      </w:rPr>
    </w:lvl>
    <w:lvl w:ilvl="2" w:tplc="87403D74">
      <w:start w:val="1"/>
      <w:numFmt w:val="bullet"/>
      <w:lvlText w:val=""/>
      <w:lvlJc w:val="left"/>
      <w:pPr>
        <w:ind w:left="2160" w:hanging="360"/>
      </w:pPr>
      <w:rPr>
        <w:rFonts w:ascii="Wingdings" w:hAnsi="Wingdings" w:hint="default"/>
      </w:rPr>
    </w:lvl>
    <w:lvl w:ilvl="3" w:tplc="F42E0A80">
      <w:start w:val="1"/>
      <w:numFmt w:val="bullet"/>
      <w:lvlText w:val=""/>
      <w:lvlJc w:val="left"/>
      <w:pPr>
        <w:ind w:left="2880" w:hanging="360"/>
      </w:pPr>
      <w:rPr>
        <w:rFonts w:ascii="Symbol" w:hAnsi="Symbol" w:hint="default"/>
      </w:rPr>
    </w:lvl>
    <w:lvl w:ilvl="4" w:tplc="13B429B6">
      <w:start w:val="1"/>
      <w:numFmt w:val="bullet"/>
      <w:lvlText w:val="o"/>
      <w:lvlJc w:val="left"/>
      <w:pPr>
        <w:ind w:left="3600" w:hanging="360"/>
      </w:pPr>
      <w:rPr>
        <w:rFonts w:ascii="Courier New" w:hAnsi="Courier New" w:hint="default"/>
      </w:rPr>
    </w:lvl>
    <w:lvl w:ilvl="5" w:tplc="6F8474F0">
      <w:start w:val="1"/>
      <w:numFmt w:val="bullet"/>
      <w:lvlText w:val=""/>
      <w:lvlJc w:val="left"/>
      <w:pPr>
        <w:ind w:left="4320" w:hanging="360"/>
      </w:pPr>
      <w:rPr>
        <w:rFonts w:ascii="Wingdings" w:hAnsi="Wingdings" w:hint="default"/>
      </w:rPr>
    </w:lvl>
    <w:lvl w:ilvl="6" w:tplc="766EE8BA">
      <w:start w:val="1"/>
      <w:numFmt w:val="bullet"/>
      <w:lvlText w:val=""/>
      <w:lvlJc w:val="left"/>
      <w:pPr>
        <w:ind w:left="5040" w:hanging="360"/>
      </w:pPr>
      <w:rPr>
        <w:rFonts w:ascii="Symbol" w:hAnsi="Symbol" w:hint="default"/>
      </w:rPr>
    </w:lvl>
    <w:lvl w:ilvl="7" w:tplc="BC881F94">
      <w:start w:val="1"/>
      <w:numFmt w:val="bullet"/>
      <w:lvlText w:val="o"/>
      <w:lvlJc w:val="left"/>
      <w:pPr>
        <w:ind w:left="5760" w:hanging="360"/>
      </w:pPr>
      <w:rPr>
        <w:rFonts w:ascii="Courier New" w:hAnsi="Courier New" w:hint="default"/>
      </w:rPr>
    </w:lvl>
    <w:lvl w:ilvl="8" w:tplc="F1CA5528">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36"/>
  </w:num>
  <w:num w:numId="4">
    <w:abstractNumId w:val="7"/>
  </w:num>
  <w:num w:numId="5">
    <w:abstractNumId w:val="44"/>
  </w:num>
  <w:num w:numId="6">
    <w:abstractNumId w:val="33"/>
  </w:num>
  <w:num w:numId="7">
    <w:abstractNumId w:val="3"/>
  </w:num>
  <w:num w:numId="8">
    <w:abstractNumId w:val="39"/>
  </w:num>
  <w:num w:numId="9">
    <w:abstractNumId w:val="34"/>
  </w:num>
  <w:num w:numId="10">
    <w:abstractNumId w:val="16"/>
  </w:num>
  <w:num w:numId="11">
    <w:abstractNumId w:val="19"/>
  </w:num>
  <w:num w:numId="12">
    <w:abstractNumId w:val="9"/>
  </w:num>
  <w:num w:numId="13">
    <w:abstractNumId w:val="28"/>
  </w:num>
  <w:num w:numId="14">
    <w:abstractNumId w:val="6"/>
  </w:num>
  <w:num w:numId="15">
    <w:abstractNumId w:val="32"/>
  </w:num>
  <w:num w:numId="16">
    <w:abstractNumId w:val="38"/>
  </w:num>
  <w:num w:numId="17">
    <w:abstractNumId w:val="45"/>
  </w:num>
  <w:num w:numId="18">
    <w:abstractNumId w:val="31"/>
  </w:num>
  <w:num w:numId="19">
    <w:abstractNumId w:val="2"/>
  </w:num>
  <w:num w:numId="20">
    <w:abstractNumId w:val="10"/>
  </w:num>
  <w:num w:numId="21">
    <w:abstractNumId w:val="0"/>
  </w:num>
  <w:num w:numId="22">
    <w:abstractNumId w:val="13"/>
  </w:num>
  <w:num w:numId="23">
    <w:abstractNumId w:val="42"/>
  </w:num>
  <w:num w:numId="24">
    <w:abstractNumId w:val="37"/>
  </w:num>
  <w:num w:numId="25">
    <w:abstractNumId w:val="33"/>
  </w:num>
  <w:num w:numId="26">
    <w:abstractNumId w:val="33"/>
  </w:num>
  <w:num w:numId="27">
    <w:abstractNumId w:val="33"/>
  </w:num>
  <w:num w:numId="28">
    <w:abstractNumId w:val="25"/>
  </w:num>
  <w:num w:numId="29">
    <w:abstractNumId w:val="26"/>
  </w:num>
  <w:num w:numId="30">
    <w:abstractNumId w:val="41"/>
  </w:num>
  <w:num w:numId="31">
    <w:abstractNumId w:val="4"/>
  </w:num>
  <w:num w:numId="32">
    <w:abstractNumId w:val="27"/>
  </w:num>
  <w:num w:numId="33">
    <w:abstractNumId w:val="43"/>
  </w:num>
  <w:num w:numId="34">
    <w:abstractNumId w:val="20"/>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3"/>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2"/>
  </w:num>
  <w:num w:numId="41">
    <w:abstractNumId w:val="22"/>
  </w:num>
  <w:num w:numId="42">
    <w:abstractNumId w:val="18"/>
  </w:num>
  <w:num w:numId="43">
    <w:abstractNumId w:val="17"/>
  </w:num>
  <w:num w:numId="44">
    <w:abstractNumId w:val="33"/>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33"/>
  </w:num>
  <w:num w:numId="48">
    <w:abstractNumId w:val="33"/>
  </w:num>
  <w:num w:numId="49">
    <w:abstractNumId w:val="33"/>
  </w:num>
  <w:num w:numId="50">
    <w:abstractNumId w:val="35"/>
  </w:num>
  <w:num w:numId="51">
    <w:abstractNumId w:val="33"/>
  </w:num>
  <w:num w:numId="52">
    <w:abstractNumId w:val="21"/>
  </w:num>
  <w:num w:numId="53">
    <w:abstractNumId w:val="15"/>
  </w:num>
  <w:num w:numId="54">
    <w:abstractNumId w:val="11"/>
  </w:num>
  <w:num w:numId="55">
    <w:abstractNumId w:val="30"/>
  </w:num>
  <w:num w:numId="56">
    <w:abstractNumId w:val="8"/>
  </w:num>
  <w:num w:numId="57">
    <w:abstractNumId w:val="14"/>
  </w:num>
  <w:num w:numId="58">
    <w:abstractNumId w:val="29"/>
  </w:num>
  <w:num w:numId="59">
    <w:abstractNumId w:val="40"/>
  </w:num>
  <w:num w:numId="60">
    <w:abstractNumId w:val="5"/>
  </w:num>
  <w:num w:numId="6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074297E0-B0FC-4094-9B98-77832FC67535"/>
    <w:docVar w:name="LW_COVERPAGE_TYPE" w:val="1"/>
    <w:docVar w:name="LW_CROSSREFERENCE" w:val="{SWD(2025) 388 final}"/>
    <w:docVar w:name="LW_DocType" w:val="NORMAL"/>
    <w:docVar w:name="LW_EMISSION" w:val="3.12.2025"/>
    <w:docVar w:name="LW_EMISSION_ISODATE" w:val="2025-12-03"/>
    <w:docVar w:name="LW_EMISSION_LOCATION" w:val="BRX"/>
    <w:docVar w:name="LW_EMISSION_PREFIX" w:val="Bruxelles, "/>
    <w:docVar w:name="LW_EMISSION_SUFFIX" w:val=" "/>
    <w:docVar w:name="LW_ID_DOCTYPE_NONLW" w:val="CP-006"/>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5) 73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l funzionamento del mercato del carbonio europeo nel 2024"/>
    <w:docVar w:name="LW_TYPE.DOC.CP" w:val="RELAZIONE DELLA COMMISSIONE AL PARLAMENTO EUROPEO E AL CONSIGLIO"/>
    <w:docVar w:name="LwApiVersions" w:val="LW4CoDe 1.24.5.0; LW 9.2, Build 20251112"/>
  </w:docVars>
  <w:rsids>
    <w:rsidRoot w:val="004F5575"/>
    <w:rsid w:val="0000013C"/>
    <w:rsid w:val="00000258"/>
    <w:rsid w:val="000004BA"/>
    <w:rsid w:val="00000559"/>
    <w:rsid w:val="000005CF"/>
    <w:rsid w:val="000005F9"/>
    <w:rsid w:val="000006BA"/>
    <w:rsid w:val="00000787"/>
    <w:rsid w:val="000008C4"/>
    <w:rsid w:val="000008EB"/>
    <w:rsid w:val="000008FA"/>
    <w:rsid w:val="00000905"/>
    <w:rsid w:val="00000A79"/>
    <w:rsid w:val="00000AA6"/>
    <w:rsid w:val="00000B37"/>
    <w:rsid w:val="00000B59"/>
    <w:rsid w:val="00000CB8"/>
    <w:rsid w:val="00000E2C"/>
    <w:rsid w:val="00000ED1"/>
    <w:rsid w:val="00000EF0"/>
    <w:rsid w:val="00000F16"/>
    <w:rsid w:val="000011E5"/>
    <w:rsid w:val="0000135C"/>
    <w:rsid w:val="00001384"/>
    <w:rsid w:val="000013D3"/>
    <w:rsid w:val="000013F6"/>
    <w:rsid w:val="000014CB"/>
    <w:rsid w:val="00001655"/>
    <w:rsid w:val="000016AE"/>
    <w:rsid w:val="0000190D"/>
    <w:rsid w:val="0000191F"/>
    <w:rsid w:val="00001ACD"/>
    <w:rsid w:val="00001AE8"/>
    <w:rsid w:val="00001B1A"/>
    <w:rsid w:val="00001C25"/>
    <w:rsid w:val="00001D6C"/>
    <w:rsid w:val="00001E7A"/>
    <w:rsid w:val="00001E81"/>
    <w:rsid w:val="00001ECD"/>
    <w:rsid w:val="00001EE6"/>
    <w:rsid w:val="0000207B"/>
    <w:rsid w:val="000021E3"/>
    <w:rsid w:val="0000266F"/>
    <w:rsid w:val="00002720"/>
    <w:rsid w:val="000027DE"/>
    <w:rsid w:val="00002A6F"/>
    <w:rsid w:val="00002AD8"/>
    <w:rsid w:val="00002C1E"/>
    <w:rsid w:val="00002C4A"/>
    <w:rsid w:val="00002C88"/>
    <w:rsid w:val="00002CD2"/>
    <w:rsid w:val="00002F0A"/>
    <w:rsid w:val="00002FDA"/>
    <w:rsid w:val="00003079"/>
    <w:rsid w:val="00003122"/>
    <w:rsid w:val="00003169"/>
    <w:rsid w:val="000031CA"/>
    <w:rsid w:val="000032D0"/>
    <w:rsid w:val="0000334F"/>
    <w:rsid w:val="00003798"/>
    <w:rsid w:val="00003A73"/>
    <w:rsid w:val="00003D65"/>
    <w:rsid w:val="00003E05"/>
    <w:rsid w:val="00003E55"/>
    <w:rsid w:val="00003EB4"/>
    <w:rsid w:val="00003EC4"/>
    <w:rsid w:val="00004085"/>
    <w:rsid w:val="00004096"/>
    <w:rsid w:val="0000414E"/>
    <w:rsid w:val="000046AB"/>
    <w:rsid w:val="0000470D"/>
    <w:rsid w:val="00004783"/>
    <w:rsid w:val="000047ED"/>
    <w:rsid w:val="0000483B"/>
    <w:rsid w:val="00004843"/>
    <w:rsid w:val="0000487E"/>
    <w:rsid w:val="00004883"/>
    <w:rsid w:val="00004984"/>
    <w:rsid w:val="00004B30"/>
    <w:rsid w:val="00004BFC"/>
    <w:rsid w:val="00004D42"/>
    <w:rsid w:val="00004D47"/>
    <w:rsid w:val="000052F1"/>
    <w:rsid w:val="00005446"/>
    <w:rsid w:val="00005501"/>
    <w:rsid w:val="00005650"/>
    <w:rsid w:val="00005661"/>
    <w:rsid w:val="000056BD"/>
    <w:rsid w:val="000056EE"/>
    <w:rsid w:val="0000575A"/>
    <w:rsid w:val="0000580A"/>
    <w:rsid w:val="0000581D"/>
    <w:rsid w:val="00005A7D"/>
    <w:rsid w:val="00005B7D"/>
    <w:rsid w:val="00005B94"/>
    <w:rsid w:val="00005BA0"/>
    <w:rsid w:val="00005BF5"/>
    <w:rsid w:val="00005CAD"/>
    <w:rsid w:val="00005CCB"/>
    <w:rsid w:val="00005D34"/>
    <w:rsid w:val="00005EC1"/>
    <w:rsid w:val="00005F68"/>
    <w:rsid w:val="00005FB8"/>
    <w:rsid w:val="0000604B"/>
    <w:rsid w:val="0000609B"/>
    <w:rsid w:val="0000612E"/>
    <w:rsid w:val="00006141"/>
    <w:rsid w:val="00006166"/>
    <w:rsid w:val="000061E0"/>
    <w:rsid w:val="00006268"/>
    <w:rsid w:val="00006296"/>
    <w:rsid w:val="000063F7"/>
    <w:rsid w:val="00006416"/>
    <w:rsid w:val="0000643E"/>
    <w:rsid w:val="00006458"/>
    <w:rsid w:val="00006538"/>
    <w:rsid w:val="0000668F"/>
    <w:rsid w:val="000068BF"/>
    <w:rsid w:val="00006A14"/>
    <w:rsid w:val="00006B66"/>
    <w:rsid w:val="00006B9D"/>
    <w:rsid w:val="00006E3F"/>
    <w:rsid w:val="00006E71"/>
    <w:rsid w:val="00006E98"/>
    <w:rsid w:val="00006EDD"/>
    <w:rsid w:val="00006F12"/>
    <w:rsid w:val="00006F30"/>
    <w:rsid w:val="00006F69"/>
    <w:rsid w:val="00006FE6"/>
    <w:rsid w:val="0000733C"/>
    <w:rsid w:val="000073EB"/>
    <w:rsid w:val="000074F1"/>
    <w:rsid w:val="000075F8"/>
    <w:rsid w:val="0000768B"/>
    <w:rsid w:val="0000773B"/>
    <w:rsid w:val="000077D1"/>
    <w:rsid w:val="000077E2"/>
    <w:rsid w:val="0000780B"/>
    <w:rsid w:val="00007B79"/>
    <w:rsid w:val="00007C6E"/>
    <w:rsid w:val="00007C8E"/>
    <w:rsid w:val="00007E5D"/>
    <w:rsid w:val="00007E88"/>
    <w:rsid w:val="00007F2E"/>
    <w:rsid w:val="00007F46"/>
    <w:rsid w:val="00007F7B"/>
    <w:rsid w:val="0001000F"/>
    <w:rsid w:val="00010258"/>
    <w:rsid w:val="000103EC"/>
    <w:rsid w:val="00010402"/>
    <w:rsid w:val="00010462"/>
    <w:rsid w:val="0001053C"/>
    <w:rsid w:val="0001055F"/>
    <w:rsid w:val="000105BB"/>
    <w:rsid w:val="000109AE"/>
    <w:rsid w:val="000109CA"/>
    <w:rsid w:val="00010BBA"/>
    <w:rsid w:val="00010BDC"/>
    <w:rsid w:val="00010C1C"/>
    <w:rsid w:val="00010E0A"/>
    <w:rsid w:val="00010EAE"/>
    <w:rsid w:val="00010F71"/>
    <w:rsid w:val="0001103A"/>
    <w:rsid w:val="00011158"/>
    <w:rsid w:val="00011220"/>
    <w:rsid w:val="0001127B"/>
    <w:rsid w:val="00011336"/>
    <w:rsid w:val="000114E2"/>
    <w:rsid w:val="0001150C"/>
    <w:rsid w:val="00011557"/>
    <w:rsid w:val="000116D1"/>
    <w:rsid w:val="00011747"/>
    <w:rsid w:val="00011785"/>
    <w:rsid w:val="00011A07"/>
    <w:rsid w:val="00011B9C"/>
    <w:rsid w:val="00011D1F"/>
    <w:rsid w:val="00011DEF"/>
    <w:rsid w:val="00011E25"/>
    <w:rsid w:val="00011EC5"/>
    <w:rsid w:val="00011EFC"/>
    <w:rsid w:val="0001205E"/>
    <w:rsid w:val="00012109"/>
    <w:rsid w:val="000122E4"/>
    <w:rsid w:val="00012372"/>
    <w:rsid w:val="0001239F"/>
    <w:rsid w:val="000123DE"/>
    <w:rsid w:val="000124A9"/>
    <w:rsid w:val="0001251A"/>
    <w:rsid w:val="000125A8"/>
    <w:rsid w:val="0001269B"/>
    <w:rsid w:val="000128D0"/>
    <w:rsid w:val="000129BA"/>
    <w:rsid w:val="00012BA9"/>
    <w:rsid w:val="00012EDD"/>
    <w:rsid w:val="0001303A"/>
    <w:rsid w:val="00013164"/>
    <w:rsid w:val="0001325D"/>
    <w:rsid w:val="0001348B"/>
    <w:rsid w:val="00013563"/>
    <w:rsid w:val="000135E4"/>
    <w:rsid w:val="00013627"/>
    <w:rsid w:val="00013644"/>
    <w:rsid w:val="000136EF"/>
    <w:rsid w:val="00013796"/>
    <w:rsid w:val="00013868"/>
    <w:rsid w:val="0001386C"/>
    <w:rsid w:val="00013940"/>
    <w:rsid w:val="0001399B"/>
    <w:rsid w:val="00013A0A"/>
    <w:rsid w:val="00013A61"/>
    <w:rsid w:val="00013B3E"/>
    <w:rsid w:val="00013BC7"/>
    <w:rsid w:val="00013E89"/>
    <w:rsid w:val="00013EF1"/>
    <w:rsid w:val="00013EF9"/>
    <w:rsid w:val="00013F7F"/>
    <w:rsid w:val="00013FBE"/>
    <w:rsid w:val="00014165"/>
    <w:rsid w:val="00014174"/>
    <w:rsid w:val="0001418E"/>
    <w:rsid w:val="000141D3"/>
    <w:rsid w:val="00014399"/>
    <w:rsid w:val="00014417"/>
    <w:rsid w:val="0001443D"/>
    <w:rsid w:val="000144F1"/>
    <w:rsid w:val="0001466F"/>
    <w:rsid w:val="0001474A"/>
    <w:rsid w:val="0001474C"/>
    <w:rsid w:val="00014818"/>
    <w:rsid w:val="0001491B"/>
    <w:rsid w:val="0001492A"/>
    <w:rsid w:val="00014B3E"/>
    <w:rsid w:val="00014B72"/>
    <w:rsid w:val="00014C8E"/>
    <w:rsid w:val="00014DC7"/>
    <w:rsid w:val="00014DD7"/>
    <w:rsid w:val="00014F31"/>
    <w:rsid w:val="00015066"/>
    <w:rsid w:val="00015109"/>
    <w:rsid w:val="00015205"/>
    <w:rsid w:val="00015219"/>
    <w:rsid w:val="0001523A"/>
    <w:rsid w:val="000153AA"/>
    <w:rsid w:val="000154C8"/>
    <w:rsid w:val="00015583"/>
    <w:rsid w:val="00015621"/>
    <w:rsid w:val="00015657"/>
    <w:rsid w:val="00015889"/>
    <w:rsid w:val="000158B1"/>
    <w:rsid w:val="00015A4E"/>
    <w:rsid w:val="00015BBE"/>
    <w:rsid w:val="00015BD3"/>
    <w:rsid w:val="00015C92"/>
    <w:rsid w:val="00015EAB"/>
    <w:rsid w:val="00015EC4"/>
    <w:rsid w:val="00015EE6"/>
    <w:rsid w:val="000160D3"/>
    <w:rsid w:val="0001612D"/>
    <w:rsid w:val="00016257"/>
    <w:rsid w:val="000162C4"/>
    <w:rsid w:val="00016370"/>
    <w:rsid w:val="000163A7"/>
    <w:rsid w:val="00016639"/>
    <w:rsid w:val="00016681"/>
    <w:rsid w:val="000166FD"/>
    <w:rsid w:val="00016843"/>
    <w:rsid w:val="00016887"/>
    <w:rsid w:val="000168CD"/>
    <w:rsid w:val="0001691F"/>
    <w:rsid w:val="00016963"/>
    <w:rsid w:val="000169A1"/>
    <w:rsid w:val="00016A82"/>
    <w:rsid w:val="00016B06"/>
    <w:rsid w:val="00016BD6"/>
    <w:rsid w:val="00016CC5"/>
    <w:rsid w:val="00016D46"/>
    <w:rsid w:val="00016E78"/>
    <w:rsid w:val="00016F50"/>
    <w:rsid w:val="00016F59"/>
    <w:rsid w:val="0001707D"/>
    <w:rsid w:val="000170E4"/>
    <w:rsid w:val="0001711B"/>
    <w:rsid w:val="0001718C"/>
    <w:rsid w:val="000171CF"/>
    <w:rsid w:val="000171F5"/>
    <w:rsid w:val="00017234"/>
    <w:rsid w:val="000172A8"/>
    <w:rsid w:val="000172CC"/>
    <w:rsid w:val="000173A8"/>
    <w:rsid w:val="000173C5"/>
    <w:rsid w:val="00017612"/>
    <w:rsid w:val="00017682"/>
    <w:rsid w:val="00017AF6"/>
    <w:rsid w:val="00017BA2"/>
    <w:rsid w:val="00017BAE"/>
    <w:rsid w:val="00017C88"/>
    <w:rsid w:val="00017CA7"/>
    <w:rsid w:val="00017DC3"/>
    <w:rsid w:val="00017DDD"/>
    <w:rsid w:val="00017E16"/>
    <w:rsid w:val="00017E9F"/>
    <w:rsid w:val="00017FBF"/>
    <w:rsid w:val="00020077"/>
    <w:rsid w:val="00020225"/>
    <w:rsid w:val="000202A1"/>
    <w:rsid w:val="000202D9"/>
    <w:rsid w:val="0002034D"/>
    <w:rsid w:val="0002076E"/>
    <w:rsid w:val="00020996"/>
    <w:rsid w:val="000209BC"/>
    <w:rsid w:val="00020AF2"/>
    <w:rsid w:val="00020B39"/>
    <w:rsid w:val="00020BD0"/>
    <w:rsid w:val="00020D30"/>
    <w:rsid w:val="00020F1A"/>
    <w:rsid w:val="00020F5A"/>
    <w:rsid w:val="00020F91"/>
    <w:rsid w:val="00020FD7"/>
    <w:rsid w:val="000210AE"/>
    <w:rsid w:val="00021321"/>
    <w:rsid w:val="000213F2"/>
    <w:rsid w:val="00021417"/>
    <w:rsid w:val="0002145F"/>
    <w:rsid w:val="000214CC"/>
    <w:rsid w:val="000215D2"/>
    <w:rsid w:val="00021AF8"/>
    <w:rsid w:val="00021D1A"/>
    <w:rsid w:val="00021D86"/>
    <w:rsid w:val="00021D8F"/>
    <w:rsid w:val="00021D99"/>
    <w:rsid w:val="00021DC1"/>
    <w:rsid w:val="00022120"/>
    <w:rsid w:val="00022226"/>
    <w:rsid w:val="00022319"/>
    <w:rsid w:val="00022407"/>
    <w:rsid w:val="000224CE"/>
    <w:rsid w:val="00022530"/>
    <w:rsid w:val="00022563"/>
    <w:rsid w:val="00022657"/>
    <w:rsid w:val="000226D3"/>
    <w:rsid w:val="00022778"/>
    <w:rsid w:val="0002278C"/>
    <w:rsid w:val="00022964"/>
    <w:rsid w:val="00022E64"/>
    <w:rsid w:val="0002308D"/>
    <w:rsid w:val="000230E9"/>
    <w:rsid w:val="00023146"/>
    <w:rsid w:val="000231DA"/>
    <w:rsid w:val="000231FC"/>
    <w:rsid w:val="000233B7"/>
    <w:rsid w:val="000234EE"/>
    <w:rsid w:val="00023516"/>
    <w:rsid w:val="00023527"/>
    <w:rsid w:val="000235BB"/>
    <w:rsid w:val="000236AF"/>
    <w:rsid w:val="000236D6"/>
    <w:rsid w:val="00023976"/>
    <w:rsid w:val="00023A47"/>
    <w:rsid w:val="00023DE7"/>
    <w:rsid w:val="00023E46"/>
    <w:rsid w:val="00023E7A"/>
    <w:rsid w:val="00023F00"/>
    <w:rsid w:val="00024175"/>
    <w:rsid w:val="000241EB"/>
    <w:rsid w:val="00024222"/>
    <w:rsid w:val="00024309"/>
    <w:rsid w:val="00024311"/>
    <w:rsid w:val="0002446E"/>
    <w:rsid w:val="000244C1"/>
    <w:rsid w:val="000245FF"/>
    <w:rsid w:val="000246AD"/>
    <w:rsid w:val="000246E3"/>
    <w:rsid w:val="000248AD"/>
    <w:rsid w:val="000249A3"/>
    <w:rsid w:val="000249FD"/>
    <w:rsid w:val="00024ABB"/>
    <w:rsid w:val="00024C3B"/>
    <w:rsid w:val="00024CDD"/>
    <w:rsid w:val="00024CF5"/>
    <w:rsid w:val="00024D7F"/>
    <w:rsid w:val="00024E2C"/>
    <w:rsid w:val="00024F4D"/>
    <w:rsid w:val="0002520C"/>
    <w:rsid w:val="00025260"/>
    <w:rsid w:val="0002548D"/>
    <w:rsid w:val="000254B5"/>
    <w:rsid w:val="000254D8"/>
    <w:rsid w:val="00025549"/>
    <w:rsid w:val="00025630"/>
    <w:rsid w:val="000257A1"/>
    <w:rsid w:val="0002581B"/>
    <w:rsid w:val="00025A05"/>
    <w:rsid w:val="00025AE0"/>
    <w:rsid w:val="00025B20"/>
    <w:rsid w:val="00025F00"/>
    <w:rsid w:val="00026043"/>
    <w:rsid w:val="000260D0"/>
    <w:rsid w:val="00026106"/>
    <w:rsid w:val="00026298"/>
    <w:rsid w:val="000263ED"/>
    <w:rsid w:val="00026811"/>
    <w:rsid w:val="000268C9"/>
    <w:rsid w:val="0002696C"/>
    <w:rsid w:val="00026A55"/>
    <w:rsid w:val="00026A6C"/>
    <w:rsid w:val="00026B6D"/>
    <w:rsid w:val="00026F3E"/>
    <w:rsid w:val="0002703E"/>
    <w:rsid w:val="00027168"/>
    <w:rsid w:val="00027204"/>
    <w:rsid w:val="000273F4"/>
    <w:rsid w:val="000274BD"/>
    <w:rsid w:val="0002752C"/>
    <w:rsid w:val="00027626"/>
    <w:rsid w:val="0002770E"/>
    <w:rsid w:val="00027967"/>
    <w:rsid w:val="00027B26"/>
    <w:rsid w:val="00027DB3"/>
    <w:rsid w:val="00027DEE"/>
    <w:rsid w:val="00027E8B"/>
    <w:rsid w:val="00027E8C"/>
    <w:rsid w:val="00027EB2"/>
    <w:rsid w:val="00027FC4"/>
    <w:rsid w:val="00030007"/>
    <w:rsid w:val="000301EB"/>
    <w:rsid w:val="00030235"/>
    <w:rsid w:val="00030280"/>
    <w:rsid w:val="0003028A"/>
    <w:rsid w:val="0003043B"/>
    <w:rsid w:val="00030628"/>
    <w:rsid w:val="000306F6"/>
    <w:rsid w:val="00030743"/>
    <w:rsid w:val="00030803"/>
    <w:rsid w:val="0003089F"/>
    <w:rsid w:val="00030969"/>
    <w:rsid w:val="000309B8"/>
    <w:rsid w:val="00030A14"/>
    <w:rsid w:val="00030A3A"/>
    <w:rsid w:val="00030B90"/>
    <w:rsid w:val="00030B9A"/>
    <w:rsid w:val="00030C58"/>
    <w:rsid w:val="00030D31"/>
    <w:rsid w:val="00030D37"/>
    <w:rsid w:val="00030E06"/>
    <w:rsid w:val="00030E2E"/>
    <w:rsid w:val="00030E72"/>
    <w:rsid w:val="00030EF3"/>
    <w:rsid w:val="00030F04"/>
    <w:rsid w:val="00031077"/>
    <w:rsid w:val="000310CD"/>
    <w:rsid w:val="00031165"/>
    <w:rsid w:val="00031170"/>
    <w:rsid w:val="00031193"/>
    <w:rsid w:val="00031223"/>
    <w:rsid w:val="000312D3"/>
    <w:rsid w:val="000312D4"/>
    <w:rsid w:val="00031339"/>
    <w:rsid w:val="00031400"/>
    <w:rsid w:val="000314DD"/>
    <w:rsid w:val="000317AD"/>
    <w:rsid w:val="00031854"/>
    <w:rsid w:val="00031858"/>
    <w:rsid w:val="00031913"/>
    <w:rsid w:val="000319A3"/>
    <w:rsid w:val="00031AC7"/>
    <w:rsid w:val="00031C0D"/>
    <w:rsid w:val="00031D47"/>
    <w:rsid w:val="00031DD3"/>
    <w:rsid w:val="00031E90"/>
    <w:rsid w:val="00032099"/>
    <w:rsid w:val="00032164"/>
    <w:rsid w:val="000321AF"/>
    <w:rsid w:val="00032390"/>
    <w:rsid w:val="0003248D"/>
    <w:rsid w:val="0003256F"/>
    <w:rsid w:val="00032614"/>
    <w:rsid w:val="0003261D"/>
    <w:rsid w:val="000328DB"/>
    <w:rsid w:val="00032974"/>
    <w:rsid w:val="00032B47"/>
    <w:rsid w:val="00032BDA"/>
    <w:rsid w:val="00032CDE"/>
    <w:rsid w:val="00032D90"/>
    <w:rsid w:val="00032DDC"/>
    <w:rsid w:val="00032E0F"/>
    <w:rsid w:val="00032FCD"/>
    <w:rsid w:val="00032FF8"/>
    <w:rsid w:val="0003306C"/>
    <w:rsid w:val="000330D3"/>
    <w:rsid w:val="00033161"/>
    <w:rsid w:val="00033249"/>
    <w:rsid w:val="00033318"/>
    <w:rsid w:val="0003337C"/>
    <w:rsid w:val="000333D5"/>
    <w:rsid w:val="00033592"/>
    <w:rsid w:val="000335B0"/>
    <w:rsid w:val="000335B5"/>
    <w:rsid w:val="0003380D"/>
    <w:rsid w:val="0003382D"/>
    <w:rsid w:val="00033849"/>
    <w:rsid w:val="0003385A"/>
    <w:rsid w:val="00033992"/>
    <w:rsid w:val="0003399B"/>
    <w:rsid w:val="000339ED"/>
    <w:rsid w:val="00033C05"/>
    <w:rsid w:val="00033C5C"/>
    <w:rsid w:val="00033D18"/>
    <w:rsid w:val="00033DE1"/>
    <w:rsid w:val="00033E23"/>
    <w:rsid w:val="00033F31"/>
    <w:rsid w:val="000340FC"/>
    <w:rsid w:val="00034108"/>
    <w:rsid w:val="0003412C"/>
    <w:rsid w:val="00034151"/>
    <w:rsid w:val="00034174"/>
    <w:rsid w:val="00034245"/>
    <w:rsid w:val="000342BD"/>
    <w:rsid w:val="00034393"/>
    <w:rsid w:val="00034457"/>
    <w:rsid w:val="0003455B"/>
    <w:rsid w:val="000345C2"/>
    <w:rsid w:val="0003470F"/>
    <w:rsid w:val="00034758"/>
    <w:rsid w:val="000347C8"/>
    <w:rsid w:val="00034869"/>
    <w:rsid w:val="00034969"/>
    <w:rsid w:val="00034981"/>
    <w:rsid w:val="00034AD0"/>
    <w:rsid w:val="00034D7F"/>
    <w:rsid w:val="00034E8D"/>
    <w:rsid w:val="00034ECD"/>
    <w:rsid w:val="00034FE7"/>
    <w:rsid w:val="000350C3"/>
    <w:rsid w:val="0003520A"/>
    <w:rsid w:val="00035259"/>
    <w:rsid w:val="0003531C"/>
    <w:rsid w:val="000353C9"/>
    <w:rsid w:val="0003553B"/>
    <w:rsid w:val="000355F0"/>
    <w:rsid w:val="0003560B"/>
    <w:rsid w:val="00035698"/>
    <w:rsid w:val="000357BC"/>
    <w:rsid w:val="000358C2"/>
    <w:rsid w:val="00035A39"/>
    <w:rsid w:val="00035E07"/>
    <w:rsid w:val="00035E20"/>
    <w:rsid w:val="00035EE2"/>
    <w:rsid w:val="00035F26"/>
    <w:rsid w:val="00036048"/>
    <w:rsid w:val="00036076"/>
    <w:rsid w:val="000361C3"/>
    <w:rsid w:val="000363A3"/>
    <w:rsid w:val="000363C2"/>
    <w:rsid w:val="00036577"/>
    <w:rsid w:val="00036615"/>
    <w:rsid w:val="000366F8"/>
    <w:rsid w:val="000367C4"/>
    <w:rsid w:val="000369FB"/>
    <w:rsid w:val="00036C89"/>
    <w:rsid w:val="00036CD1"/>
    <w:rsid w:val="00036D5C"/>
    <w:rsid w:val="00036DF3"/>
    <w:rsid w:val="00036FD0"/>
    <w:rsid w:val="00037181"/>
    <w:rsid w:val="00037211"/>
    <w:rsid w:val="00037308"/>
    <w:rsid w:val="0003733E"/>
    <w:rsid w:val="000376DC"/>
    <w:rsid w:val="000377B4"/>
    <w:rsid w:val="000377BD"/>
    <w:rsid w:val="00037815"/>
    <w:rsid w:val="0003785D"/>
    <w:rsid w:val="000378E8"/>
    <w:rsid w:val="00037923"/>
    <w:rsid w:val="0003793B"/>
    <w:rsid w:val="00037959"/>
    <w:rsid w:val="00037BEC"/>
    <w:rsid w:val="00037C4C"/>
    <w:rsid w:val="00037C54"/>
    <w:rsid w:val="00037E65"/>
    <w:rsid w:val="00037E91"/>
    <w:rsid w:val="00037F65"/>
    <w:rsid w:val="0004000D"/>
    <w:rsid w:val="0004003E"/>
    <w:rsid w:val="00040071"/>
    <w:rsid w:val="00040300"/>
    <w:rsid w:val="00040517"/>
    <w:rsid w:val="00040537"/>
    <w:rsid w:val="000406D6"/>
    <w:rsid w:val="000406F1"/>
    <w:rsid w:val="00040808"/>
    <w:rsid w:val="0004082D"/>
    <w:rsid w:val="00040B7D"/>
    <w:rsid w:val="00040BA4"/>
    <w:rsid w:val="00040E07"/>
    <w:rsid w:val="00040E57"/>
    <w:rsid w:val="00040FDF"/>
    <w:rsid w:val="0004101D"/>
    <w:rsid w:val="000410BE"/>
    <w:rsid w:val="000412FB"/>
    <w:rsid w:val="00041408"/>
    <w:rsid w:val="00041458"/>
    <w:rsid w:val="000414EA"/>
    <w:rsid w:val="000415A7"/>
    <w:rsid w:val="000417CE"/>
    <w:rsid w:val="000418B3"/>
    <w:rsid w:val="00041A9E"/>
    <w:rsid w:val="00041B42"/>
    <w:rsid w:val="00041BA3"/>
    <w:rsid w:val="00041D46"/>
    <w:rsid w:val="00041D59"/>
    <w:rsid w:val="00041E14"/>
    <w:rsid w:val="00041E24"/>
    <w:rsid w:val="00041F0C"/>
    <w:rsid w:val="00041F8F"/>
    <w:rsid w:val="00041FFE"/>
    <w:rsid w:val="000420D6"/>
    <w:rsid w:val="0004232B"/>
    <w:rsid w:val="00042337"/>
    <w:rsid w:val="0004247F"/>
    <w:rsid w:val="0004256B"/>
    <w:rsid w:val="00042610"/>
    <w:rsid w:val="0004279B"/>
    <w:rsid w:val="00042896"/>
    <w:rsid w:val="00042B9D"/>
    <w:rsid w:val="00042C04"/>
    <w:rsid w:val="00042DD7"/>
    <w:rsid w:val="00042E08"/>
    <w:rsid w:val="0004302E"/>
    <w:rsid w:val="000430E0"/>
    <w:rsid w:val="000431CC"/>
    <w:rsid w:val="0004324D"/>
    <w:rsid w:val="00043317"/>
    <w:rsid w:val="0004334C"/>
    <w:rsid w:val="0004342D"/>
    <w:rsid w:val="00043660"/>
    <w:rsid w:val="0004372D"/>
    <w:rsid w:val="000437B7"/>
    <w:rsid w:val="00043851"/>
    <w:rsid w:val="000438A6"/>
    <w:rsid w:val="00043A15"/>
    <w:rsid w:val="00043B2B"/>
    <w:rsid w:val="00043C36"/>
    <w:rsid w:val="00043D63"/>
    <w:rsid w:val="00043F42"/>
    <w:rsid w:val="00044070"/>
    <w:rsid w:val="000440EF"/>
    <w:rsid w:val="0004424B"/>
    <w:rsid w:val="00044538"/>
    <w:rsid w:val="000445E2"/>
    <w:rsid w:val="0004490A"/>
    <w:rsid w:val="00044ACE"/>
    <w:rsid w:val="00044B49"/>
    <w:rsid w:val="00044C51"/>
    <w:rsid w:val="00044C5F"/>
    <w:rsid w:val="00044DF4"/>
    <w:rsid w:val="00044E96"/>
    <w:rsid w:val="00044F02"/>
    <w:rsid w:val="00044F28"/>
    <w:rsid w:val="00045045"/>
    <w:rsid w:val="00045135"/>
    <w:rsid w:val="0004518E"/>
    <w:rsid w:val="00045251"/>
    <w:rsid w:val="000452CC"/>
    <w:rsid w:val="0004539C"/>
    <w:rsid w:val="0004547A"/>
    <w:rsid w:val="000454C0"/>
    <w:rsid w:val="0004567B"/>
    <w:rsid w:val="000456A0"/>
    <w:rsid w:val="0004574D"/>
    <w:rsid w:val="00045801"/>
    <w:rsid w:val="000458E2"/>
    <w:rsid w:val="00045920"/>
    <w:rsid w:val="00045AB5"/>
    <w:rsid w:val="00045C31"/>
    <w:rsid w:val="00045EBC"/>
    <w:rsid w:val="000460CB"/>
    <w:rsid w:val="0004616A"/>
    <w:rsid w:val="0004621E"/>
    <w:rsid w:val="00046281"/>
    <w:rsid w:val="000462CB"/>
    <w:rsid w:val="000462DC"/>
    <w:rsid w:val="000462F7"/>
    <w:rsid w:val="0004639B"/>
    <w:rsid w:val="0004640E"/>
    <w:rsid w:val="0004648E"/>
    <w:rsid w:val="00046518"/>
    <w:rsid w:val="000465C1"/>
    <w:rsid w:val="00046618"/>
    <w:rsid w:val="00046777"/>
    <w:rsid w:val="00046A4F"/>
    <w:rsid w:val="00046B06"/>
    <w:rsid w:val="00046D75"/>
    <w:rsid w:val="00046D98"/>
    <w:rsid w:val="00046DEC"/>
    <w:rsid w:val="00047039"/>
    <w:rsid w:val="000470FB"/>
    <w:rsid w:val="00047204"/>
    <w:rsid w:val="00047265"/>
    <w:rsid w:val="000472FC"/>
    <w:rsid w:val="00047351"/>
    <w:rsid w:val="000475CE"/>
    <w:rsid w:val="00047623"/>
    <w:rsid w:val="00047829"/>
    <w:rsid w:val="00047937"/>
    <w:rsid w:val="000479D7"/>
    <w:rsid w:val="00047A15"/>
    <w:rsid w:val="00047B3E"/>
    <w:rsid w:val="00047C66"/>
    <w:rsid w:val="00047DFB"/>
    <w:rsid w:val="00047FD1"/>
    <w:rsid w:val="0005000D"/>
    <w:rsid w:val="00050039"/>
    <w:rsid w:val="000500FE"/>
    <w:rsid w:val="0005011B"/>
    <w:rsid w:val="0005033D"/>
    <w:rsid w:val="00050386"/>
    <w:rsid w:val="0005065F"/>
    <w:rsid w:val="000506C3"/>
    <w:rsid w:val="000506D7"/>
    <w:rsid w:val="000509E0"/>
    <w:rsid w:val="00050BB6"/>
    <w:rsid w:val="00050CD1"/>
    <w:rsid w:val="00050D05"/>
    <w:rsid w:val="00050DCB"/>
    <w:rsid w:val="00050E60"/>
    <w:rsid w:val="00050EDD"/>
    <w:rsid w:val="00050EE8"/>
    <w:rsid w:val="00050FF1"/>
    <w:rsid w:val="00051186"/>
    <w:rsid w:val="00051258"/>
    <w:rsid w:val="000512E7"/>
    <w:rsid w:val="0005136C"/>
    <w:rsid w:val="0005143F"/>
    <w:rsid w:val="00051485"/>
    <w:rsid w:val="000514FD"/>
    <w:rsid w:val="0005150D"/>
    <w:rsid w:val="0005155B"/>
    <w:rsid w:val="0005160D"/>
    <w:rsid w:val="000516D6"/>
    <w:rsid w:val="000517FD"/>
    <w:rsid w:val="00051872"/>
    <w:rsid w:val="000518A5"/>
    <w:rsid w:val="000518F8"/>
    <w:rsid w:val="00051B57"/>
    <w:rsid w:val="00051D62"/>
    <w:rsid w:val="00051DA5"/>
    <w:rsid w:val="00051F42"/>
    <w:rsid w:val="00051F54"/>
    <w:rsid w:val="00051F86"/>
    <w:rsid w:val="00052135"/>
    <w:rsid w:val="00052223"/>
    <w:rsid w:val="000524FB"/>
    <w:rsid w:val="000525CD"/>
    <w:rsid w:val="0005267C"/>
    <w:rsid w:val="000527AA"/>
    <w:rsid w:val="000527CF"/>
    <w:rsid w:val="000529B4"/>
    <w:rsid w:val="00052B60"/>
    <w:rsid w:val="00052BEF"/>
    <w:rsid w:val="00052C44"/>
    <w:rsid w:val="00052CB5"/>
    <w:rsid w:val="00052D5A"/>
    <w:rsid w:val="00052E56"/>
    <w:rsid w:val="00052E9D"/>
    <w:rsid w:val="00052EBD"/>
    <w:rsid w:val="00052ED2"/>
    <w:rsid w:val="00052EF2"/>
    <w:rsid w:val="00052F22"/>
    <w:rsid w:val="00052FD1"/>
    <w:rsid w:val="00053080"/>
    <w:rsid w:val="00053249"/>
    <w:rsid w:val="000532DA"/>
    <w:rsid w:val="000532E8"/>
    <w:rsid w:val="00053335"/>
    <w:rsid w:val="00053356"/>
    <w:rsid w:val="00053517"/>
    <w:rsid w:val="000535E4"/>
    <w:rsid w:val="000536DE"/>
    <w:rsid w:val="00053B18"/>
    <w:rsid w:val="00053BBB"/>
    <w:rsid w:val="00053D2B"/>
    <w:rsid w:val="00053D77"/>
    <w:rsid w:val="00053DF2"/>
    <w:rsid w:val="00053E28"/>
    <w:rsid w:val="00053F51"/>
    <w:rsid w:val="00053FD4"/>
    <w:rsid w:val="0005408E"/>
    <w:rsid w:val="00054367"/>
    <w:rsid w:val="00054534"/>
    <w:rsid w:val="0005455C"/>
    <w:rsid w:val="000545D3"/>
    <w:rsid w:val="00054617"/>
    <w:rsid w:val="0005466A"/>
    <w:rsid w:val="0005466D"/>
    <w:rsid w:val="0005474B"/>
    <w:rsid w:val="00054789"/>
    <w:rsid w:val="00054839"/>
    <w:rsid w:val="00054906"/>
    <w:rsid w:val="00054942"/>
    <w:rsid w:val="00054956"/>
    <w:rsid w:val="00054C3A"/>
    <w:rsid w:val="00054D70"/>
    <w:rsid w:val="00055081"/>
    <w:rsid w:val="000550FD"/>
    <w:rsid w:val="00055168"/>
    <w:rsid w:val="0005522D"/>
    <w:rsid w:val="00055309"/>
    <w:rsid w:val="00055337"/>
    <w:rsid w:val="000553A3"/>
    <w:rsid w:val="00055408"/>
    <w:rsid w:val="0005543B"/>
    <w:rsid w:val="000554EE"/>
    <w:rsid w:val="0005556D"/>
    <w:rsid w:val="000555FD"/>
    <w:rsid w:val="00055825"/>
    <w:rsid w:val="00055845"/>
    <w:rsid w:val="00055903"/>
    <w:rsid w:val="00055927"/>
    <w:rsid w:val="0005593E"/>
    <w:rsid w:val="00055A27"/>
    <w:rsid w:val="00055B6B"/>
    <w:rsid w:val="00055C93"/>
    <w:rsid w:val="00055CD4"/>
    <w:rsid w:val="00055DAC"/>
    <w:rsid w:val="00055F73"/>
    <w:rsid w:val="00056385"/>
    <w:rsid w:val="000563C8"/>
    <w:rsid w:val="000565F2"/>
    <w:rsid w:val="000566BF"/>
    <w:rsid w:val="000566E4"/>
    <w:rsid w:val="00056904"/>
    <w:rsid w:val="000569B2"/>
    <w:rsid w:val="00056A4D"/>
    <w:rsid w:val="00056BC0"/>
    <w:rsid w:val="00056BDD"/>
    <w:rsid w:val="00056C97"/>
    <w:rsid w:val="00056CFA"/>
    <w:rsid w:val="00056E92"/>
    <w:rsid w:val="00056ECB"/>
    <w:rsid w:val="00056FB8"/>
    <w:rsid w:val="000570F6"/>
    <w:rsid w:val="000570FF"/>
    <w:rsid w:val="00057163"/>
    <w:rsid w:val="000571D2"/>
    <w:rsid w:val="0005742B"/>
    <w:rsid w:val="00057529"/>
    <w:rsid w:val="00057722"/>
    <w:rsid w:val="00057796"/>
    <w:rsid w:val="00057853"/>
    <w:rsid w:val="000578C2"/>
    <w:rsid w:val="000579F1"/>
    <w:rsid w:val="00057A83"/>
    <w:rsid w:val="00057AAB"/>
    <w:rsid w:val="00057CA5"/>
    <w:rsid w:val="00057D0A"/>
    <w:rsid w:val="00057DC2"/>
    <w:rsid w:val="00057E03"/>
    <w:rsid w:val="00057E42"/>
    <w:rsid w:val="00057F1A"/>
    <w:rsid w:val="00057F38"/>
    <w:rsid w:val="00057FFD"/>
    <w:rsid w:val="0006012F"/>
    <w:rsid w:val="0006024E"/>
    <w:rsid w:val="000602B6"/>
    <w:rsid w:val="000602BB"/>
    <w:rsid w:val="00060301"/>
    <w:rsid w:val="0006034C"/>
    <w:rsid w:val="00060447"/>
    <w:rsid w:val="00060470"/>
    <w:rsid w:val="000607F0"/>
    <w:rsid w:val="0006088C"/>
    <w:rsid w:val="00060A3D"/>
    <w:rsid w:val="00060A3F"/>
    <w:rsid w:val="00060A5D"/>
    <w:rsid w:val="00060BDB"/>
    <w:rsid w:val="00060BEC"/>
    <w:rsid w:val="00060C53"/>
    <w:rsid w:val="00060C88"/>
    <w:rsid w:val="00060CC9"/>
    <w:rsid w:val="00060D68"/>
    <w:rsid w:val="00060DB4"/>
    <w:rsid w:val="00060F0B"/>
    <w:rsid w:val="00060F45"/>
    <w:rsid w:val="00061099"/>
    <w:rsid w:val="000610A7"/>
    <w:rsid w:val="000610E4"/>
    <w:rsid w:val="00061102"/>
    <w:rsid w:val="00061278"/>
    <w:rsid w:val="000612FA"/>
    <w:rsid w:val="00061312"/>
    <w:rsid w:val="00061381"/>
    <w:rsid w:val="000613CB"/>
    <w:rsid w:val="00061935"/>
    <w:rsid w:val="00061A16"/>
    <w:rsid w:val="00061B8B"/>
    <w:rsid w:val="00061C7A"/>
    <w:rsid w:val="00061C8E"/>
    <w:rsid w:val="00061CDC"/>
    <w:rsid w:val="00061CEF"/>
    <w:rsid w:val="00061D75"/>
    <w:rsid w:val="00061DF5"/>
    <w:rsid w:val="00061E74"/>
    <w:rsid w:val="00061F69"/>
    <w:rsid w:val="00061FD8"/>
    <w:rsid w:val="00061FDD"/>
    <w:rsid w:val="00062189"/>
    <w:rsid w:val="000622CE"/>
    <w:rsid w:val="0006239E"/>
    <w:rsid w:val="000623A8"/>
    <w:rsid w:val="0006243D"/>
    <w:rsid w:val="000624F4"/>
    <w:rsid w:val="00062572"/>
    <w:rsid w:val="000625B1"/>
    <w:rsid w:val="00062658"/>
    <w:rsid w:val="00062739"/>
    <w:rsid w:val="0006298C"/>
    <w:rsid w:val="000629B3"/>
    <w:rsid w:val="00062A5E"/>
    <w:rsid w:val="00062C2A"/>
    <w:rsid w:val="00062D6C"/>
    <w:rsid w:val="00062DB3"/>
    <w:rsid w:val="00062FFD"/>
    <w:rsid w:val="00063051"/>
    <w:rsid w:val="000630F8"/>
    <w:rsid w:val="000630FC"/>
    <w:rsid w:val="0006317B"/>
    <w:rsid w:val="000632D5"/>
    <w:rsid w:val="000632E3"/>
    <w:rsid w:val="00063338"/>
    <w:rsid w:val="000633D5"/>
    <w:rsid w:val="000636E1"/>
    <w:rsid w:val="000637D2"/>
    <w:rsid w:val="000637F0"/>
    <w:rsid w:val="0006383C"/>
    <w:rsid w:val="00063949"/>
    <w:rsid w:val="00063952"/>
    <w:rsid w:val="00063992"/>
    <w:rsid w:val="00063A53"/>
    <w:rsid w:val="00063B9D"/>
    <w:rsid w:val="00063BFA"/>
    <w:rsid w:val="00063C95"/>
    <w:rsid w:val="00063F97"/>
    <w:rsid w:val="00063FA7"/>
    <w:rsid w:val="000640DB"/>
    <w:rsid w:val="00064118"/>
    <w:rsid w:val="00064414"/>
    <w:rsid w:val="000645BE"/>
    <w:rsid w:val="000645F5"/>
    <w:rsid w:val="00064715"/>
    <w:rsid w:val="00064771"/>
    <w:rsid w:val="00064A3E"/>
    <w:rsid w:val="00064B52"/>
    <w:rsid w:val="00064E3A"/>
    <w:rsid w:val="00064EC0"/>
    <w:rsid w:val="00064FC0"/>
    <w:rsid w:val="0006502B"/>
    <w:rsid w:val="000650B7"/>
    <w:rsid w:val="0006514F"/>
    <w:rsid w:val="000651B8"/>
    <w:rsid w:val="000651CA"/>
    <w:rsid w:val="0006525B"/>
    <w:rsid w:val="00065373"/>
    <w:rsid w:val="00065518"/>
    <w:rsid w:val="0006555D"/>
    <w:rsid w:val="0006559A"/>
    <w:rsid w:val="0006575C"/>
    <w:rsid w:val="000658D9"/>
    <w:rsid w:val="0006592F"/>
    <w:rsid w:val="000659D8"/>
    <w:rsid w:val="000659F0"/>
    <w:rsid w:val="00065A17"/>
    <w:rsid w:val="00065B22"/>
    <w:rsid w:val="00065B29"/>
    <w:rsid w:val="00065B5D"/>
    <w:rsid w:val="00065CCA"/>
    <w:rsid w:val="00065FC6"/>
    <w:rsid w:val="00065FD7"/>
    <w:rsid w:val="00066058"/>
    <w:rsid w:val="000661E5"/>
    <w:rsid w:val="000662BA"/>
    <w:rsid w:val="0006639D"/>
    <w:rsid w:val="0006646E"/>
    <w:rsid w:val="00066493"/>
    <w:rsid w:val="00066505"/>
    <w:rsid w:val="00066549"/>
    <w:rsid w:val="00066626"/>
    <w:rsid w:val="0006662D"/>
    <w:rsid w:val="000666A0"/>
    <w:rsid w:val="00066748"/>
    <w:rsid w:val="00066791"/>
    <w:rsid w:val="000667E0"/>
    <w:rsid w:val="00066982"/>
    <w:rsid w:val="00066A1F"/>
    <w:rsid w:val="00066A89"/>
    <w:rsid w:val="00066BBC"/>
    <w:rsid w:val="00066BD8"/>
    <w:rsid w:val="00066C08"/>
    <w:rsid w:val="00066C1F"/>
    <w:rsid w:val="00067085"/>
    <w:rsid w:val="00067127"/>
    <w:rsid w:val="0006740A"/>
    <w:rsid w:val="0006750B"/>
    <w:rsid w:val="0006755B"/>
    <w:rsid w:val="00067561"/>
    <w:rsid w:val="000675DB"/>
    <w:rsid w:val="0006765F"/>
    <w:rsid w:val="0006768D"/>
    <w:rsid w:val="000677D3"/>
    <w:rsid w:val="000678C1"/>
    <w:rsid w:val="00067989"/>
    <w:rsid w:val="000679F8"/>
    <w:rsid w:val="00067C25"/>
    <w:rsid w:val="00067C5C"/>
    <w:rsid w:val="00067E99"/>
    <w:rsid w:val="00067ECC"/>
    <w:rsid w:val="00067FA5"/>
    <w:rsid w:val="000700AF"/>
    <w:rsid w:val="000700B5"/>
    <w:rsid w:val="00070107"/>
    <w:rsid w:val="000701D9"/>
    <w:rsid w:val="000701E8"/>
    <w:rsid w:val="0007027C"/>
    <w:rsid w:val="000702EB"/>
    <w:rsid w:val="0007030B"/>
    <w:rsid w:val="00070322"/>
    <w:rsid w:val="000703E1"/>
    <w:rsid w:val="000703F0"/>
    <w:rsid w:val="000704B8"/>
    <w:rsid w:val="000704C2"/>
    <w:rsid w:val="00070685"/>
    <w:rsid w:val="000707A0"/>
    <w:rsid w:val="0007086B"/>
    <w:rsid w:val="000708EE"/>
    <w:rsid w:val="000709A3"/>
    <w:rsid w:val="00070A15"/>
    <w:rsid w:val="00070D6D"/>
    <w:rsid w:val="00070DE4"/>
    <w:rsid w:val="00070E6F"/>
    <w:rsid w:val="00070ECA"/>
    <w:rsid w:val="00071118"/>
    <w:rsid w:val="000711B7"/>
    <w:rsid w:val="000712F8"/>
    <w:rsid w:val="0007148E"/>
    <w:rsid w:val="00071507"/>
    <w:rsid w:val="00071592"/>
    <w:rsid w:val="000715FD"/>
    <w:rsid w:val="0007162B"/>
    <w:rsid w:val="00071746"/>
    <w:rsid w:val="000717A1"/>
    <w:rsid w:val="0007181F"/>
    <w:rsid w:val="0007186D"/>
    <w:rsid w:val="00071B86"/>
    <w:rsid w:val="00071BD8"/>
    <w:rsid w:val="00071CB9"/>
    <w:rsid w:val="00071D27"/>
    <w:rsid w:val="00071D7E"/>
    <w:rsid w:val="00071E6B"/>
    <w:rsid w:val="00071EC5"/>
    <w:rsid w:val="00071F65"/>
    <w:rsid w:val="00071FE6"/>
    <w:rsid w:val="00072055"/>
    <w:rsid w:val="000720FD"/>
    <w:rsid w:val="0007215E"/>
    <w:rsid w:val="000721C5"/>
    <w:rsid w:val="00072432"/>
    <w:rsid w:val="00072568"/>
    <w:rsid w:val="000725FB"/>
    <w:rsid w:val="000729EA"/>
    <w:rsid w:val="000729EF"/>
    <w:rsid w:val="00072C73"/>
    <w:rsid w:val="00072CD6"/>
    <w:rsid w:val="00072D84"/>
    <w:rsid w:val="00072DD3"/>
    <w:rsid w:val="00072DE8"/>
    <w:rsid w:val="00073158"/>
    <w:rsid w:val="0007316D"/>
    <w:rsid w:val="0007319B"/>
    <w:rsid w:val="000732F4"/>
    <w:rsid w:val="00073328"/>
    <w:rsid w:val="00073331"/>
    <w:rsid w:val="000733AE"/>
    <w:rsid w:val="00073637"/>
    <w:rsid w:val="00073776"/>
    <w:rsid w:val="00073929"/>
    <w:rsid w:val="00073A41"/>
    <w:rsid w:val="00073B18"/>
    <w:rsid w:val="00073C22"/>
    <w:rsid w:val="00073CB8"/>
    <w:rsid w:val="00073CDA"/>
    <w:rsid w:val="00073CE8"/>
    <w:rsid w:val="00073EF9"/>
    <w:rsid w:val="00073F0A"/>
    <w:rsid w:val="00074045"/>
    <w:rsid w:val="00074084"/>
    <w:rsid w:val="00074195"/>
    <w:rsid w:val="000743CB"/>
    <w:rsid w:val="0007444C"/>
    <w:rsid w:val="000744E5"/>
    <w:rsid w:val="00074517"/>
    <w:rsid w:val="00074685"/>
    <w:rsid w:val="000746E9"/>
    <w:rsid w:val="0007470B"/>
    <w:rsid w:val="00074731"/>
    <w:rsid w:val="0007473B"/>
    <w:rsid w:val="00074937"/>
    <w:rsid w:val="000749B2"/>
    <w:rsid w:val="00074A0D"/>
    <w:rsid w:val="00074A24"/>
    <w:rsid w:val="00074B27"/>
    <w:rsid w:val="00074B41"/>
    <w:rsid w:val="00074C2E"/>
    <w:rsid w:val="00074C3F"/>
    <w:rsid w:val="00074D19"/>
    <w:rsid w:val="00074F00"/>
    <w:rsid w:val="00074F60"/>
    <w:rsid w:val="00075089"/>
    <w:rsid w:val="000750A1"/>
    <w:rsid w:val="0007519F"/>
    <w:rsid w:val="00075247"/>
    <w:rsid w:val="00075307"/>
    <w:rsid w:val="0007538E"/>
    <w:rsid w:val="000753F5"/>
    <w:rsid w:val="000757CA"/>
    <w:rsid w:val="0007588F"/>
    <w:rsid w:val="000758EC"/>
    <w:rsid w:val="000758F1"/>
    <w:rsid w:val="0007598F"/>
    <w:rsid w:val="000759AC"/>
    <w:rsid w:val="00075AA8"/>
    <w:rsid w:val="00075B1F"/>
    <w:rsid w:val="00075D3D"/>
    <w:rsid w:val="00075D65"/>
    <w:rsid w:val="00075E19"/>
    <w:rsid w:val="00075EC2"/>
    <w:rsid w:val="00075F69"/>
    <w:rsid w:val="0007604C"/>
    <w:rsid w:val="0007608F"/>
    <w:rsid w:val="000760D5"/>
    <w:rsid w:val="0007617A"/>
    <w:rsid w:val="0007617D"/>
    <w:rsid w:val="00076185"/>
    <w:rsid w:val="00076258"/>
    <w:rsid w:val="000762CB"/>
    <w:rsid w:val="00076362"/>
    <w:rsid w:val="0007642D"/>
    <w:rsid w:val="00076471"/>
    <w:rsid w:val="00076495"/>
    <w:rsid w:val="0007654A"/>
    <w:rsid w:val="000765D1"/>
    <w:rsid w:val="00076600"/>
    <w:rsid w:val="00076635"/>
    <w:rsid w:val="00076687"/>
    <w:rsid w:val="000766AC"/>
    <w:rsid w:val="000767AB"/>
    <w:rsid w:val="000767F3"/>
    <w:rsid w:val="0007694A"/>
    <w:rsid w:val="000769A4"/>
    <w:rsid w:val="00076B54"/>
    <w:rsid w:val="00076EF7"/>
    <w:rsid w:val="00076FB0"/>
    <w:rsid w:val="0007709E"/>
    <w:rsid w:val="000770E0"/>
    <w:rsid w:val="0007712B"/>
    <w:rsid w:val="000771FF"/>
    <w:rsid w:val="00077250"/>
    <w:rsid w:val="000773EA"/>
    <w:rsid w:val="00077539"/>
    <w:rsid w:val="000775C0"/>
    <w:rsid w:val="000775CB"/>
    <w:rsid w:val="0007773E"/>
    <w:rsid w:val="000777C7"/>
    <w:rsid w:val="00077823"/>
    <w:rsid w:val="0007785A"/>
    <w:rsid w:val="0007785B"/>
    <w:rsid w:val="00077A08"/>
    <w:rsid w:val="00077A84"/>
    <w:rsid w:val="00077B13"/>
    <w:rsid w:val="00077B32"/>
    <w:rsid w:val="00077C57"/>
    <w:rsid w:val="00077D12"/>
    <w:rsid w:val="00077D1A"/>
    <w:rsid w:val="00077DB3"/>
    <w:rsid w:val="00077EAC"/>
    <w:rsid w:val="00077EC3"/>
    <w:rsid w:val="00077F42"/>
    <w:rsid w:val="00080016"/>
    <w:rsid w:val="000801A7"/>
    <w:rsid w:val="0008028C"/>
    <w:rsid w:val="000803D7"/>
    <w:rsid w:val="0008051D"/>
    <w:rsid w:val="000807FB"/>
    <w:rsid w:val="0008088D"/>
    <w:rsid w:val="000809BC"/>
    <w:rsid w:val="00080A40"/>
    <w:rsid w:val="00080A56"/>
    <w:rsid w:val="00080AD4"/>
    <w:rsid w:val="00080D18"/>
    <w:rsid w:val="00080DA0"/>
    <w:rsid w:val="00080DBD"/>
    <w:rsid w:val="00080DD2"/>
    <w:rsid w:val="00080E49"/>
    <w:rsid w:val="00080EAC"/>
    <w:rsid w:val="00080EFC"/>
    <w:rsid w:val="00080F0B"/>
    <w:rsid w:val="00080F3F"/>
    <w:rsid w:val="00080FE9"/>
    <w:rsid w:val="000810EE"/>
    <w:rsid w:val="00081228"/>
    <w:rsid w:val="00081243"/>
    <w:rsid w:val="000812F7"/>
    <w:rsid w:val="00081326"/>
    <w:rsid w:val="00081396"/>
    <w:rsid w:val="000813DA"/>
    <w:rsid w:val="000813FF"/>
    <w:rsid w:val="00081568"/>
    <w:rsid w:val="000815B6"/>
    <w:rsid w:val="00081622"/>
    <w:rsid w:val="0008163A"/>
    <w:rsid w:val="00081777"/>
    <w:rsid w:val="000817FD"/>
    <w:rsid w:val="00081853"/>
    <w:rsid w:val="00081924"/>
    <w:rsid w:val="00081A28"/>
    <w:rsid w:val="00081C1F"/>
    <w:rsid w:val="00081CBF"/>
    <w:rsid w:val="00081D63"/>
    <w:rsid w:val="00081D7B"/>
    <w:rsid w:val="00081D88"/>
    <w:rsid w:val="00081DA4"/>
    <w:rsid w:val="00081DBA"/>
    <w:rsid w:val="00081E95"/>
    <w:rsid w:val="00081EE4"/>
    <w:rsid w:val="00081FA9"/>
    <w:rsid w:val="00081FF0"/>
    <w:rsid w:val="00082031"/>
    <w:rsid w:val="0008203F"/>
    <w:rsid w:val="000820BA"/>
    <w:rsid w:val="000820C1"/>
    <w:rsid w:val="000820ED"/>
    <w:rsid w:val="000826AA"/>
    <w:rsid w:val="000826E8"/>
    <w:rsid w:val="000826EE"/>
    <w:rsid w:val="0008270D"/>
    <w:rsid w:val="000828D7"/>
    <w:rsid w:val="00082ADA"/>
    <w:rsid w:val="00082C7C"/>
    <w:rsid w:val="00082CEA"/>
    <w:rsid w:val="00082D03"/>
    <w:rsid w:val="00082F1F"/>
    <w:rsid w:val="00082F74"/>
    <w:rsid w:val="00083256"/>
    <w:rsid w:val="000832B8"/>
    <w:rsid w:val="00083355"/>
    <w:rsid w:val="000833AF"/>
    <w:rsid w:val="0008360C"/>
    <w:rsid w:val="00083615"/>
    <w:rsid w:val="00083688"/>
    <w:rsid w:val="00083735"/>
    <w:rsid w:val="00083737"/>
    <w:rsid w:val="000837B3"/>
    <w:rsid w:val="00083827"/>
    <w:rsid w:val="000838B7"/>
    <w:rsid w:val="00083A4C"/>
    <w:rsid w:val="00083C4D"/>
    <w:rsid w:val="00083C4E"/>
    <w:rsid w:val="00083D1F"/>
    <w:rsid w:val="00083E14"/>
    <w:rsid w:val="00083E99"/>
    <w:rsid w:val="000842AA"/>
    <w:rsid w:val="00084319"/>
    <w:rsid w:val="00084400"/>
    <w:rsid w:val="00084418"/>
    <w:rsid w:val="00084452"/>
    <w:rsid w:val="000844B4"/>
    <w:rsid w:val="000845BD"/>
    <w:rsid w:val="000845EE"/>
    <w:rsid w:val="00084674"/>
    <w:rsid w:val="000846B8"/>
    <w:rsid w:val="00084780"/>
    <w:rsid w:val="00084CAE"/>
    <w:rsid w:val="00084D28"/>
    <w:rsid w:val="00084D9E"/>
    <w:rsid w:val="00084DDC"/>
    <w:rsid w:val="00084FE1"/>
    <w:rsid w:val="000850F0"/>
    <w:rsid w:val="0008516F"/>
    <w:rsid w:val="00085171"/>
    <w:rsid w:val="000855A5"/>
    <w:rsid w:val="0008572F"/>
    <w:rsid w:val="00085779"/>
    <w:rsid w:val="0008580E"/>
    <w:rsid w:val="00085886"/>
    <w:rsid w:val="000859D4"/>
    <w:rsid w:val="00085A2A"/>
    <w:rsid w:val="00085A37"/>
    <w:rsid w:val="00085AB7"/>
    <w:rsid w:val="00085BAC"/>
    <w:rsid w:val="00085BAE"/>
    <w:rsid w:val="00085C3D"/>
    <w:rsid w:val="00085E9B"/>
    <w:rsid w:val="00085F02"/>
    <w:rsid w:val="00085F77"/>
    <w:rsid w:val="00085FFC"/>
    <w:rsid w:val="00086028"/>
    <w:rsid w:val="00086062"/>
    <w:rsid w:val="0008609F"/>
    <w:rsid w:val="000860A9"/>
    <w:rsid w:val="000860BD"/>
    <w:rsid w:val="00086332"/>
    <w:rsid w:val="00086366"/>
    <w:rsid w:val="000865E5"/>
    <w:rsid w:val="00086638"/>
    <w:rsid w:val="000866E8"/>
    <w:rsid w:val="00086868"/>
    <w:rsid w:val="0008688F"/>
    <w:rsid w:val="00086973"/>
    <w:rsid w:val="00086B16"/>
    <w:rsid w:val="00086B81"/>
    <w:rsid w:val="00086CD4"/>
    <w:rsid w:val="00086F45"/>
    <w:rsid w:val="0008717E"/>
    <w:rsid w:val="00087337"/>
    <w:rsid w:val="0008758B"/>
    <w:rsid w:val="000875B6"/>
    <w:rsid w:val="00087630"/>
    <w:rsid w:val="0008795F"/>
    <w:rsid w:val="00087A44"/>
    <w:rsid w:val="00087CD6"/>
    <w:rsid w:val="00087D10"/>
    <w:rsid w:val="00087DAB"/>
    <w:rsid w:val="00087ECF"/>
    <w:rsid w:val="00090020"/>
    <w:rsid w:val="00090067"/>
    <w:rsid w:val="0009009E"/>
    <w:rsid w:val="000900FC"/>
    <w:rsid w:val="00090198"/>
    <w:rsid w:val="000902AC"/>
    <w:rsid w:val="00090392"/>
    <w:rsid w:val="00090563"/>
    <w:rsid w:val="00090589"/>
    <w:rsid w:val="000907C9"/>
    <w:rsid w:val="0009088E"/>
    <w:rsid w:val="00090944"/>
    <w:rsid w:val="00090A2A"/>
    <w:rsid w:val="00090BFC"/>
    <w:rsid w:val="00090E17"/>
    <w:rsid w:val="00090EB3"/>
    <w:rsid w:val="00090EDE"/>
    <w:rsid w:val="00090F06"/>
    <w:rsid w:val="00090F73"/>
    <w:rsid w:val="00090FDE"/>
    <w:rsid w:val="00091011"/>
    <w:rsid w:val="0009101E"/>
    <w:rsid w:val="00091150"/>
    <w:rsid w:val="0009115B"/>
    <w:rsid w:val="00091169"/>
    <w:rsid w:val="00091283"/>
    <w:rsid w:val="00091559"/>
    <w:rsid w:val="00091771"/>
    <w:rsid w:val="0009185E"/>
    <w:rsid w:val="00091AA3"/>
    <w:rsid w:val="00091BBB"/>
    <w:rsid w:val="00091BE9"/>
    <w:rsid w:val="00091BF3"/>
    <w:rsid w:val="00091BF5"/>
    <w:rsid w:val="00091D21"/>
    <w:rsid w:val="00091D4D"/>
    <w:rsid w:val="00091DB0"/>
    <w:rsid w:val="00091E51"/>
    <w:rsid w:val="00091F47"/>
    <w:rsid w:val="0009203C"/>
    <w:rsid w:val="000920A6"/>
    <w:rsid w:val="000921FA"/>
    <w:rsid w:val="00092330"/>
    <w:rsid w:val="000924F5"/>
    <w:rsid w:val="0009252F"/>
    <w:rsid w:val="0009271B"/>
    <w:rsid w:val="0009278B"/>
    <w:rsid w:val="000927A3"/>
    <w:rsid w:val="000927C7"/>
    <w:rsid w:val="00092928"/>
    <w:rsid w:val="00092AF2"/>
    <w:rsid w:val="00092B8B"/>
    <w:rsid w:val="00092C21"/>
    <w:rsid w:val="00092C8F"/>
    <w:rsid w:val="00092CFF"/>
    <w:rsid w:val="00092DB8"/>
    <w:rsid w:val="000930FD"/>
    <w:rsid w:val="0009312D"/>
    <w:rsid w:val="00093143"/>
    <w:rsid w:val="000931AB"/>
    <w:rsid w:val="00093292"/>
    <w:rsid w:val="0009337A"/>
    <w:rsid w:val="00093386"/>
    <w:rsid w:val="00093476"/>
    <w:rsid w:val="000934A1"/>
    <w:rsid w:val="000935FE"/>
    <w:rsid w:val="000936D1"/>
    <w:rsid w:val="00093755"/>
    <w:rsid w:val="00093794"/>
    <w:rsid w:val="000938AE"/>
    <w:rsid w:val="0009394C"/>
    <w:rsid w:val="00093A52"/>
    <w:rsid w:val="00093CDC"/>
    <w:rsid w:val="00093D2E"/>
    <w:rsid w:val="00093D48"/>
    <w:rsid w:val="00093F3D"/>
    <w:rsid w:val="00093F5B"/>
    <w:rsid w:val="00093F81"/>
    <w:rsid w:val="00094083"/>
    <w:rsid w:val="000940D0"/>
    <w:rsid w:val="000942CD"/>
    <w:rsid w:val="00094548"/>
    <w:rsid w:val="000946CC"/>
    <w:rsid w:val="000946F0"/>
    <w:rsid w:val="000949D0"/>
    <w:rsid w:val="00094A65"/>
    <w:rsid w:val="00094A88"/>
    <w:rsid w:val="00094ACA"/>
    <w:rsid w:val="00094B10"/>
    <w:rsid w:val="00094B3A"/>
    <w:rsid w:val="00094E31"/>
    <w:rsid w:val="00094E70"/>
    <w:rsid w:val="00094EAB"/>
    <w:rsid w:val="00094F00"/>
    <w:rsid w:val="00094F07"/>
    <w:rsid w:val="00094FB1"/>
    <w:rsid w:val="00094FC8"/>
    <w:rsid w:val="00095013"/>
    <w:rsid w:val="00095100"/>
    <w:rsid w:val="00095218"/>
    <w:rsid w:val="000952D3"/>
    <w:rsid w:val="00095393"/>
    <w:rsid w:val="00095467"/>
    <w:rsid w:val="0009548D"/>
    <w:rsid w:val="000955F1"/>
    <w:rsid w:val="00095780"/>
    <w:rsid w:val="000957D5"/>
    <w:rsid w:val="00095979"/>
    <w:rsid w:val="00095AFC"/>
    <w:rsid w:val="00095B60"/>
    <w:rsid w:val="00095C88"/>
    <w:rsid w:val="00095CED"/>
    <w:rsid w:val="00095D54"/>
    <w:rsid w:val="00095D87"/>
    <w:rsid w:val="00095D98"/>
    <w:rsid w:val="00095DC7"/>
    <w:rsid w:val="00095F21"/>
    <w:rsid w:val="00095F6D"/>
    <w:rsid w:val="00096035"/>
    <w:rsid w:val="00096252"/>
    <w:rsid w:val="000963C2"/>
    <w:rsid w:val="0009642B"/>
    <w:rsid w:val="000964F6"/>
    <w:rsid w:val="0009683E"/>
    <w:rsid w:val="00096914"/>
    <w:rsid w:val="0009697F"/>
    <w:rsid w:val="00096A3F"/>
    <w:rsid w:val="00096A57"/>
    <w:rsid w:val="00096B40"/>
    <w:rsid w:val="00096B89"/>
    <w:rsid w:val="00096BCD"/>
    <w:rsid w:val="00096C66"/>
    <w:rsid w:val="00096CAB"/>
    <w:rsid w:val="00096D24"/>
    <w:rsid w:val="00096D42"/>
    <w:rsid w:val="00096DBA"/>
    <w:rsid w:val="00096DD3"/>
    <w:rsid w:val="00096E59"/>
    <w:rsid w:val="00096EB9"/>
    <w:rsid w:val="00096FB5"/>
    <w:rsid w:val="00097005"/>
    <w:rsid w:val="0009706F"/>
    <w:rsid w:val="000971C9"/>
    <w:rsid w:val="00097281"/>
    <w:rsid w:val="0009743B"/>
    <w:rsid w:val="0009743E"/>
    <w:rsid w:val="00097454"/>
    <w:rsid w:val="000974A4"/>
    <w:rsid w:val="0009758D"/>
    <w:rsid w:val="0009782F"/>
    <w:rsid w:val="00097855"/>
    <w:rsid w:val="0009785E"/>
    <w:rsid w:val="00097B30"/>
    <w:rsid w:val="00097B64"/>
    <w:rsid w:val="00097B79"/>
    <w:rsid w:val="00097BE9"/>
    <w:rsid w:val="00097D49"/>
    <w:rsid w:val="000A01B2"/>
    <w:rsid w:val="000A01C5"/>
    <w:rsid w:val="000A0214"/>
    <w:rsid w:val="000A02AD"/>
    <w:rsid w:val="000A031E"/>
    <w:rsid w:val="000A04F0"/>
    <w:rsid w:val="000A05AB"/>
    <w:rsid w:val="000A070B"/>
    <w:rsid w:val="000A0719"/>
    <w:rsid w:val="000A09CF"/>
    <w:rsid w:val="000A0A45"/>
    <w:rsid w:val="000A0C88"/>
    <w:rsid w:val="000A0CEE"/>
    <w:rsid w:val="000A0D05"/>
    <w:rsid w:val="000A0D33"/>
    <w:rsid w:val="000A0DC7"/>
    <w:rsid w:val="000A0DF2"/>
    <w:rsid w:val="000A0FE6"/>
    <w:rsid w:val="000A1022"/>
    <w:rsid w:val="000A1132"/>
    <w:rsid w:val="000A1284"/>
    <w:rsid w:val="000A134E"/>
    <w:rsid w:val="000A13C8"/>
    <w:rsid w:val="000A14FF"/>
    <w:rsid w:val="000A15B3"/>
    <w:rsid w:val="000A170D"/>
    <w:rsid w:val="000A178E"/>
    <w:rsid w:val="000A19B0"/>
    <w:rsid w:val="000A1A88"/>
    <w:rsid w:val="000A1AE2"/>
    <w:rsid w:val="000A1B6F"/>
    <w:rsid w:val="000A1B70"/>
    <w:rsid w:val="000A1BC4"/>
    <w:rsid w:val="000A1C5B"/>
    <w:rsid w:val="000A1D91"/>
    <w:rsid w:val="000A1E4F"/>
    <w:rsid w:val="000A1EB3"/>
    <w:rsid w:val="000A226D"/>
    <w:rsid w:val="000A2415"/>
    <w:rsid w:val="000A24B4"/>
    <w:rsid w:val="000A252A"/>
    <w:rsid w:val="000A2588"/>
    <w:rsid w:val="000A26E0"/>
    <w:rsid w:val="000A26E9"/>
    <w:rsid w:val="000A26F0"/>
    <w:rsid w:val="000A270B"/>
    <w:rsid w:val="000A28CB"/>
    <w:rsid w:val="000A2A16"/>
    <w:rsid w:val="000A2A7C"/>
    <w:rsid w:val="000A2B57"/>
    <w:rsid w:val="000A2C07"/>
    <w:rsid w:val="000A2C77"/>
    <w:rsid w:val="000A2F00"/>
    <w:rsid w:val="000A2F5E"/>
    <w:rsid w:val="000A300E"/>
    <w:rsid w:val="000A3192"/>
    <w:rsid w:val="000A31F5"/>
    <w:rsid w:val="000A324D"/>
    <w:rsid w:val="000A3260"/>
    <w:rsid w:val="000A33C5"/>
    <w:rsid w:val="000A3444"/>
    <w:rsid w:val="000A3485"/>
    <w:rsid w:val="000A3600"/>
    <w:rsid w:val="000A36E0"/>
    <w:rsid w:val="000A36E7"/>
    <w:rsid w:val="000A37D2"/>
    <w:rsid w:val="000A3914"/>
    <w:rsid w:val="000A3946"/>
    <w:rsid w:val="000A39ED"/>
    <w:rsid w:val="000A3A1B"/>
    <w:rsid w:val="000A3B62"/>
    <w:rsid w:val="000A3C3A"/>
    <w:rsid w:val="000A3DDD"/>
    <w:rsid w:val="000A3E50"/>
    <w:rsid w:val="000A4029"/>
    <w:rsid w:val="000A4331"/>
    <w:rsid w:val="000A445A"/>
    <w:rsid w:val="000A44E3"/>
    <w:rsid w:val="000A4523"/>
    <w:rsid w:val="000A4561"/>
    <w:rsid w:val="000A4660"/>
    <w:rsid w:val="000A4772"/>
    <w:rsid w:val="000A4964"/>
    <w:rsid w:val="000A4A2A"/>
    <w:rsid w:val="000A4A79"/>
    <w:rsid w:val="000A4AEF"/>
    <w:rsid w:val="000A4B27"/>
    <w:rsid w:val="000A4B9A"/>
    <w:rsid w:val="000A4BD0"/>
    <w:rsid w:val="000A4C57"/>
    <w:rsid w:val="000A4D84"/>
    <w:rsid w:val="000A4EA1"/>
    <w:rsid w:val="000A51C1"/>
    <w:rsid w:val="000A527B"/>
    <w:rsid w:val="000A52A2"/>
    <w:rsid w:val="000A52CA"/>
    <w:rsid w:val="000A5353"/>
    <w:rsid w:val="000A566C"/>
    <w:rsid w:val="000A57FE"/>
    <w:rsid w:val="000A57FF"/>
    <w:rsid w:val="000A5868"/>
    <w:rsid w:val="000A5959"/>
    <w:rsid w:val="000A598F"/>
    <w:rsid w:val="000A5B29"/>
    <w:rsid w:val="000A5B52"/>
    <w:rsid w:val="000A5B70"/>
    <w:rsid w:val="000A5CCC"/>
    <w:rsid w:val="000A5CF2"/>
    <w:rsid w:val="000A5CFB"/>
    <w:rsid w:val="000A6040"/>
    <w:rsid w:val="000A6243"/>
    <w:rsid w:val="000A62EF"/>
    <w:rsid w:val="000A635C"/>
    <w:rsid w:val="000A64E4"/>
    <w:rsid w:val="000A65DB"/>
    <w:rsid w:val="000A65EB"/>
    <w:rsid w:val="000A6632"/>
    <w:rsid w:val="000A66C6"/>
    <w:rsid w:val="000A68A2"/>
    <w:rsid w:val="000A6A91"/>
    <w:rsid w:val="000A6ABD"/>
    <w:rsid w:val="000A6AF9"/>
    <w:rsid w:val="000A6B6D"/>
    <w:rsid w:val="000A6BE7"/>
    <w:rsid w:val="000A6C29"/>
    <w:rsid w:val="000A6C65"/>
    <w:rsid w:val="000A6C81"/>
    <w:rsid w:val="000A6D00"/>
    <w:rsid w:val="000A6E18"/>
    <w:rsid w:val="000A6E86"/>
    <w:rsid w:val="000A6F8B"/>
    <w:rsid w:val="000A6F91"/>
    <w:rsid w:val="000A706F"/>
    <w:rsid w:val="000A70B4"/>
    <w:rsid w:val="000A7170"/>
    <w:rsid w:val="000A7270"/>
    <w:rsid w:val="000A72A6"/>
    <w:rsid w:val="000A730E"/>
    <w:rsid w:val="000A731B"/>
    <w:rsid w:val="000A7467"/>
    <w:rsid w:val="000A7476"/>
    <w:rsid w:val="000A75A9"/>
    <w:rsid w:val="000A75D9"/>
    <w:rsid w:val="000A75F1"/>
    <w:rsid w:val="000A76B5"/>
    <w:rsid w:val="000A7794"/>
    <w:rsid w:val="000A77E8"/>
    <w:rsid w:val="000A7820"/>
    <w:rsid w:val="000A789F"/>
    <w:rsid w:val="000A78E1"/>
    <w:rsid w:val="000A797D"/>
    <w:rsid w:val="000A7992"/>
    <w:rsid w:val="000A7B3B"/>
    <w:rsid w:val="000A7BBF"/>
    <w:rsid w:val="000A7BDF"/>
    <w:rsid w:val="000A7C4E"/>
    <w:rsid w:val="000A7C6D"/>
    <w:rsid w:val="000A7D74"/>
    <w:rsid w:val="000A7E90"/>
    <w:rsid w:val="000B0224"/>
    <w:rsid w:val="000B033A"/>
    <w:rsid w:val="000B0467"/>
    <w:rsid w:val="000B0581"/>
    <w:rsid w:val="000B065E"/>
    <w:rsid w:val="000B0678"/>
    <w:rsid w:val="000B081E"/>
    <w:rsid w:val="000B082F"/>
    <w:rsid w:val="000B0D20"/>
    <w:rsid w:val="000B0ED7"/>
    <w:rsid w:val="000B0FCF"/>
    <w:rsid w:val="000B1021"/>
    <w:rsid w:val="000B109E"/>
    <w:rsid w:val="000B10D6"/>
    <w:rsid w:val="000B11EC"/>
    <w:rsid w:val="000B11F0"/>
    <w:rsid w:val="000B12D6"/>
    <w:rsid w:val="000B12E5"/>
    <w:rsid w:val="000B1305"/>
    <w:rsid w:val="000B13D9"/>
    <w:rsid w:val="000B13E8"/>
    <w:rsid w:val="000B1463"/>
    <w:rsid w:val="000B1540"/>
    <w:rsid w:val="000B16DB"/>
    <w:rsid w:val="000B16DF"/>
    <w:rsid w:val="000B190F"/>
    <w:rsid w:val="000B1931"/>
    <w:rsid w:val="000B1985"/>
    <w:rsid w:val="000B19B3"/>
    <w:rsid w:val="000B1AB3"/>
    <w:rsid w:val="000B1C57"/>
    <w:rsid w:val="000B1E1B"/>
    <w:rsid w:val="000B1FB0"/>
    <w:rsid w:val="000B1FFA"/>
    <w:rsid w:val="000B2069"/>
    <w:rsid w:val="000B20DA"/>
    <w:rsid w:val="000B20DE"/>
    <w:rsid w:val="000B21A8"/>
    <w:rsid w:val="000B247E"/>
    <w:rsid w:val="000B25E9"/>
    <w:rsid w:val="000B284A"/>
    <w:rsid w:val="000B2B62"/>
    <w:rsid w:val="000B2C77"/>
    <w:rsid w:val="000B2CDF"/>
    <w:rsid w:val="000B2CFD"/>
    <w:rsid w:val="000B2D8F"/>
    <w:rsid w:val="000B2E35"/>
    <w:rsid w:val="000B2E39"/>
    <w:rsid w:val="000B2EAB"/>
    <w:rsid w:val="000B2F87"/>
    <w:rsid w:val="000B3027"/>
    <w:rsid w:val="000B30AB"/>
    <w:rsid w:val="000B3139"/>
    <w:rsid w:val="000B3165"/>
    <w:rsid w:val="000B31C4"/>
    <w:rsid w:val="000B31FB"/>
    <w:rsid w:val="000B3378"/>
    <w:rsid w:val="000B3456"/>
    <w:rsid w:val="000B3458"/>
    <w:rsid w:val="000B358D"/>
    <w:rsid w:val="000B3636"/>
    <w:rsid w:val="000B364E"/>
    <w:rsid w:val="000B373D"/>
    <w:rsid w:val="000B3749"/>
    <w:rsid w:val="000B3793"/>
    <w:rsid w:val="000B37E3"/>
    <w:rsid w:val="000B38DA"/>
    <w:rsid w:val="000B3903"/>
    <w:rsid w:val="000B39EA"/>
    <w:rsid w:val="000B3A8C"/>
    <w:rsid w:val="000B3C96"/>
    <w:rsid w:val="000B3CB8"/>
    <w:rsid w:val="000B3DC5"/>
    <w:rsid w:val="000B3DD1"/>
    <w:rsid w:val="000B3E86"/>
    <w:rsid w:val="000B3F57"/>
    <w:rsid w:val="000B3F58"/>
    <w:rsid w:val="000B4047"/>
    <w:rsid w:val="000B4048"/>
    <w:rsid w:val="000B4060"/>
    <w:rsid w:val="000B408F"/>
    <w:rsid w:val="000B41F4"/>
    <w:rsid w:val="000B4400"/>
    <w:rsid w:val="000B44D5"/>
    <w:rsid w:val="000B451D"/>
    <w:rsid w:val="000B4673"/>
    <w:rsid w:val="000B46D3"/>
    <w:rsid w:val="000B4723"/>
    <w:rsid w:val="000B47A1"/>
    <w:rsid w:val="000B4852"/>
    <w:rsid w:val="000B487D"/>
    <w:rsid w:val="000B499E"/>
    <w:rsid w:val="000B4A93"/>
    <w:rsid w:val="000B4C36"/>
    <w:rsid w:val="000B4E89"/>
    <w:rsid w:val="000B4FBF"/>
    <w:rsid w:val="000B52AB"/>
    <w:rsid w:val="000B545A"/>
    <w:rsid w:val="000B5623"/>
    <w:rsid w:val="000B57EE"/>
    <w:rsid w:val="000B5892"/>
    <w:rsid w:val="000B5B0A"/>
    <w:rsid w:val="000B5B6B"/>
    <w:rsid w:val="000B5C30"/>
    <w:rsid w:val="000B5C79"/>
    <w:rsid w:val="000B5E8E"/>
    <w:rsid w:val="000B5EEC"/>
    <w:rsid w:val="000B5F42"/>
    <w:rsid w:val="000B5FB3"/>
    <w:rsid w:val="000B61CC"/>
    <w:rsid w:val="000B6257"/>
    <w:rsid w:val="000B6348"/>
    <w:rsid w:val="000B6424"/>
    <w:rsid w:val="000B66D6"/>
    <w:rsid w:val="000B672A"/>
    <w:rsid w:val="000B695F"/>
    <w:rsid w:val="000B6A6B"/>
    <w:rsid w:val="000B6B2F"/>
    <w:rsid w:val="000B6B90"/>
    <w:rsid w:val="000B6C10"/>
    <w:rsid w:val="000B6D35"/>
    <w:rsid w:val="000B6DAD"/>
    <w:rsid w:val="000B6EBA"/>
    <w:rsid w:val="000B6F4C"/>
    <w:rsid w:val="000B6FE9"/>
    <w:rsid w:val="000B70E5"/>
    <w:rsid w:val="000B7112"/>
    <w:rsid w:val="000B716B"/>
    <w:rsid w:val="000B7506"/>
    <w:rsid w:val="000B76BE"/>
    <w:rsid w:val="000B77A1"/>
    <w:rsid w:val="000B7A64"/>
    <w:rsid w:val="000B7B86"/>
    <w:rsid w:val="000B7C13"/>
    <w:rsid w:val="000B7E27"/>
    <w:rsid w:val="000B7E4D"/>
    <w:rsid w:val="000B7EC8"/>
    <w:rsid w:val="000B7F56"/>
    <w:rsid w:val="000C0035"/>
    <w:rsid w:val="000C00DE"/>
    <w:rsid w:val="000C01D8"/>
    <w:rsid w:val="000C031F"/>
    <w:rsid w:val="000C046C"/>
    <w:rsid w:val="000C063B"/>
    <w:rsid w:val="000C069E"/>
    <w:rsid w:val="000C06FE"/>
    <w:rsid w:val="000C097C"/>
    <w:rsid w:val="000C09C8"/>
    <w:rsid w:val="000C0A38"/>
    <w:rsid w:val="000C0B8C"/>
    <w:rsid w:val="000C0BF9"/>
    <w:rsid w:val="000C0C72"/>
    <w:rsid w:val="000C0D0E"/>
    <w:rsid w:val="000C0D6A"/>
    <w:rsid w:val="000C0D6F"/>
    <w:rsid w:val="000C0F72"/>
    <w:rsid w:val="000C0FD0"/>
    <w:rsid w:val="000C1032"/>
    <w:rsid w:val="000C12FA"/>
    <w:rsid w:val="000C1506"/>
    <w:rsid w:val="000C15E9"/>
    <w:rsid w:val="000C16B2"/>
    <w:rsid w:val="000C17EA"/>
    <w:rsid w:val="000C1808"/>
    <w:rsid w:val="000C189F"/>
    <w:rsid w:val="000C18B8"/>
    <w:rsid w:val="000C194E"/>
    <w:rsid w:val="000C19C7"/>
    <w:rsid w:val="000C1D6D"/>
    <w:rsid w:val="000C1E63"/>
    <w:rsid w:val="000C1F31"/>
    <w:rsid w:val="000C2468"/>
    <w:rsid w:val="000C2530"/>
    <w:rsid w:val="000C269C"/>
    <w:rsid w:val="000C2BE1"/>
    <w:rsid w:val="000C2C4D"/>
    <w:rsid w:val="000C2D0F"/>
    <w:rsid w:val="000C2DBB"/>
    <w:rsid w:val="000C2E24"/>
    <w:rsid w:val="000C2EB8"/>
    <w:rsid w:val="000C2F89"/>
    <w:rsid w:val="000C30A0"/>
    <w:rsid w:val="000C312A"/>
    <w:rsid w:val="000C3177"/>
    <w:rsid w:val="000C3347"/>
    <w:rsid w:val="000C33A9"/>
    <w:rsid w:val="000C36BD"/>
    <w:rsid w:val="000C36C3"/>
    <w:rsid w:val="000C372B"/>
    <w:rsid w:val="000C3760"/>
    <w:rsid w:val="000C392F"/>
    <w:rsid w:val="000C3982"/>
    <w:rsid w:val="000C3997"/>
    <w:rsid w:val="000C39BC"/>
    <w:rsid w:val="000C3BCF"/>
    <w:rsid w:val="000C3D75"/>
    <w:rsid w:val="000C3DBF"/>
    <w:rsid w:val="000C3E44"/>
    <w:rsid w:val="000C3E9D"/>
    <w:rsid w:val="000C3ED4"/>
    <w:rsid w:val="000C3F97"/>
    <w:rsid w:val="000C3FF2"/>
    <w:rsid w:val="000C40BE"/>
    <w:rsid w:val="000C41DF"/>
    <w:rsid w:val="000C4297"/>
    <w:rsid w:val="000C42AB"/>
    <w:rsid w:val="000C439C"/>
    <w:rsid w:val="000C45CF"/>
    <w:rsid w:val="000C46A5"/>
    <w:rsid w:val="000C49A8"/>
    <w:rsid w:val="000C49DC"/>
    <w:rsid w:val="000C4A6F"/>
    <w:rsid w:val="000C4A9D"/>
    <w:rsid w:val="000C4AAC"/>
    <w:rsid w:val="000C4B79"/>
    <w:rsid w:val="000C4BFB"/>
    <w:rsid w:val="000C4C0D"/>
    <w:rsid w:val="000C4C3C"/>
    <w:rsid w:val="000C4C5D"/>
    <w:rsid w:val="000C4E87"/>
    <w:rsid w:val="000C4F11"/>
    <w:rsid w:val="000C4F2A"/>
    <w:rsid w:val="000C4F92"/>
    <w:rsid w:val="000C4FBE"/>
    <w:rsid w:val="000C518A"/>
    <w:rsid w:val="000C522D"/>
    <w:rsid w:val="000C5285"/>
    <w:rsid w:val="000C52D8"/>
    <w:rsid w:val="000C5355"/>
    <w:rsid w:val="000C5379"/>
    <w:rsid w:val="000C550E"/>
    <w:rsid w:val="000C5533"/>
    <w:rsid w:val="000C5595"/>
    <w:rsid w:val="000C55D4"/>
    <w:rsid w:val="000C580C"/>
    <w:rsid w:val="000C588A"/>
    <w:rsid w:val="000C58BB"/>
    <w:rsid w:val="000C58C9"/>
    <w:rsid w:val="000C591B"/>
    <w:rsid w:val="000C5A6F"/>
    <w:rsid w:val="000C5BB6"/>
    <w:rsid w:val="000C5C53"/>
    <w:rsid w:val="000C5CA1"/>
    <w:rsid w:val="000C5D07"/>
    <w:rsid w:val="000C5D16"/>
    <w:rsid w:val="000C5D94"/>
    <w:rsid w:val="000C5DB4"/>
    <w:rsid w:val="000C5E44"/>
    <w:rsid w:val="000C5E5B"/>
    <w:rsid w:val="000C5E65"/>
    <w:rsid w:val="000C5ED6"/>
    <w:rsid w:val="000C5FC3"/>
    <w:rsid w:val="000C60E6"/>
    <w:rsid w:val="000C618D"/>
    <w:rsid w:val="000C64D8"/>
    <w:rsid w:val="000C6517"/>
    <w:rsid w:val="000C652F"/>
    <w:rsid w:val="000C6537"/>
    <w:rsid w:val="000C6673"/>
    <w:rsid w:val="000C676D"/>
    <w:rsid w:val="000C6774"/>
    <w:rsid w:val="000C68CF"/>
    <w:rsid w:val="000C68FC"/>
    <w:rsid w:val="000C690C"/>
    <w:rsid w:val="000C6974"/>
    <w:rsid w:val="000C69D1"/>
    <w:rsid w:val="000C6A4B"/>
    <w:rsid w:val="000C6A85"/>
    <w:rsid w:val="000C6B22"/>
    <w:rsid w:val="000C6CE0"/>
    <w:rsid w:val="000C6D10"/>
    <w:rsid w:val="000C6D14"/>
    <w:rsid w:val="000C6D65"/>
    <w:rsid w:val="000C6E73"/>
    <w:rsid w:val="000C6EA6"/>
    <w:rsid w:val="000C6FBE"/>
    <w:rsid w:val="000C7132"/>
    <w:rsid w:val="000C717B"/>
    <w:rsid w:val="000C7282"/>
    <w:rsid w:val="000C7363"/>
    <w:rsid w:val="000C746A"/>
    <w:rsid w:val="000C7478"/>
    <w:rsid w:val="000C76FC"/>
    <w:rsid w:val="000C7722"/>
    <w:rsid w:val="000C779F"/>
    <w:rsid w:val="000C78EB"/>
    <w:rsid w:val="000C7C9D"/>
    <w:rsid w:val="000C7D3D"/>
    <w:rsid w:val="000C7ECD"/>
    <w:rsid w:val="000C7FA1"/>
    <w:rsid w:val="000D00AE"/>
    <w:rsid w:val="000D0294"/>
    <w:rsid w:val="000D0373"/>
    <w:rsid w:val="000D03B3"/>
    <w:rsid w:val="000D040E"/>
    <w:rsid w:val="000D0413"/>
    <w:rsid w:val="000D0638"/>
    <w:rsid w:val="000D0697"/>
    <w:rsid w:val="000D0757"/>
    <w:rsid w:val="000D07B1"/>
    <w:rsid w:val="000D07B2"/>
    <w:rsid w:val="000D0834"/>
    <w:rsid w:val="000D09CD"/>
    <w:rsid w:val="000D0A15"/>
    <w:rsid w:val="000D0AD3"/>
    <w:rsid w:val="000D0C3E"/>
    <w:rsid w:val="000D0CE5"/>
    <w:rsid w:val="000D0D86"/>
    <w:rsid w:val="000D0DBA"/>
    <w:rsid w:val="000D0ED0"/>
    <w:rsid w:val="000D10E9"/>
    <w:rsid w:val="000D1226"/>
    <w:rsid w:val="000D1291"/>
    <w:rsid w:val="000D14D0"/>
    <w:rsid w:val="000D15C0"/>
    <w:rsid w:val="000D1657"/>
    <w:rsid w:val="000D1697"/>
    <w:rsid w:val="000D1765"/>
    <w:rsid w:val="000D197E"/>
    <w:rsid w:val="000D1AA3"/>
    <w:rsid w:val="000D1ACF"/>
    <w:rsid w:val="000D1C27"/>
    <w:rsid w:val="000D1E8B"/>
    <w:rsid w:val="000D1EC5"/>
    <w:rsid w:val="000D1FA6"/>
    <w:rsid w:val="000D213B"/>
    <w:rsid w:val="000D21EF"/>
    <w:rsid w:val="000D2345"/>
    <w:rsid w:val="000D2356"/>
    <w:rsid w:val="000D24C2"/>
    <w:rsid w:val="000D251D"/>
    <w:rsid w:val="000D2534"/>
    <w:rsid w:val="000D25D5"/>
    <w:rsid w:val="000D2650"/>
    <w:rsid w:val="000D26D0"/>
    <w:rsid w:val="000D2745"/>
    <w:rsid w:val="000D2A2E"/>
    <w:rsid w:val="000D2A49"/>
    <w:rsid w:val="000D2AB4"/>
    <w:rsid w:val="000D2AE1"/>
    <w:rsid w:val="000D2B39"/>
    <w:rsid w:val="000D2D31"/>
    <w:rsid w:val="000D2D4B"/>
    <w:rsid w:val="000D2DE6"/>
    <w:rsid w:val="000D2DF5"/>
    <w:rsid w:val="000D2F4D"/>
    <w:rsid w:val="000D312A"/>
    <w:rsid w:val="000D31A2"/>
    <w:rsid w:val="000D326F"/>
    <w:rsid w:val="000D3277"/>
    <w:rsid w:val="000D338F"/>
    <w:rsid w:val="000D3452"/>
    <w:rsid w:val="000D379D"/>
    <w:rsid w:val="000D382D"/>
    <w:rsid w:val="000D3830"/>
    <w:rsid w:val="000D3864"/>
    <w:rsid w:val="000D396F"/>
    <w:rsid w:val="000D3A96"/>
    <w:rsid w:val="000D3B9A"/>
    <w:rsid w:val="000D3EA8"/>
    <w:rsid w:val="000D3EBF"/>
    <w:rsid w:val="000D3ECE"/>
    <w:rsid w:val="000D3FD8"/>
    <w:rsid w:val="000D42C2"/>
    <w:rsid w:val="000D42E2"/>
    <w:rsid w:val="000D434F"/>
    <w:rsid w:val="000D43D2"/>
    <w:rsid w:val="000D4504"/>
    <w:rsid w:val="000D4662"/>
    <w:rsid w:val="000D47EF"/>
    <w:rsid w:val="000D47F5"/>
    <w:rsid w:val="000D4A5F"/>
    <w:rsid w:val="000D4AAC"/>
    <w:rsid w:val="000D4B3E"/>
    <w:rsid w:val="000D4BBD"/>
    <w:rsid w:val="000D4FEE"/>
    <w:rsid w:val="000D52AC"/>
    <w:rsid w:val="000D52C9"/>
    <w:rsid w:val="000D5307"/>
    <w:rsid w:val="000D546C"/>
    <w:rsid w:val="000D5576"/>
    <w:rsid w:val="000D559D"/>
    <w:rsid w:val="000D588B"/>
    <w:rsid w:val="000D59FA"/>
    <w:rsid w:val="000D5A58"/>
    <w:rsid w:val="000D5AF4"/>
    <w:rsid w:val="000D5B09"/>
    <w:rsid w:val="000D5B2F"/>
    <w:rsid w:val="000D5B38"/>
    <w:rsid w:val="000D5D48"/>
    <w:rsid w:val="000D5E08"/>
    <w:rsid w:val="000D5EA5"/>
    <w:rsid w:val="000D6029"/>
    <w:rsid w:val="000D6082"/>
    <w:rsid w:val="000D64B4"/>
    <w:rsid w:val="000D65E9"/>
    <w:rsid w:val="000D661A"/>
    <w:rsid w:val="000D671C"/>
    <w:rsid w:val="000D67C0"/>
    <w:rsid w:val="000D684C"/>
    <w:rsid w:val="000D6946"/>
    <w:rsid w:val="000D6B50"/>
    <w:rsid w:val="000D6C38"/>
    <w:rsid w:val="000D6C47"/>
    <w:rsid w:val="000D6C89"/>
    <w:rsid w:val="000D6CD2"/>
    <w:rsid w:val="000D6D57"/>
    <w:rsid w:val="000D6E68"/>
    <w:rsid w:val="000D6F0F"/>
    <w:rsid w:val="000D6F34"/>
    <w:rsid w:val="000D6FCB"/>
    <w:rsid w:val="000D7130"/>
    <w:rsid w:val="000D728D"/>
    <w:rsid w:val="000D72A5"/>
    <w:rsid w:val="000D7332"/>
    <w:rsid w:val="000D73CC"/>
    <w:rsid w:val="000D743D"/>
    <w:rsid w:val="000D74D3"/>
    <w:rsid w:val="000D74E6"/>
    <w:rsid w:val="000D7562"/>
    <w:rsid w:val="000D7580"/>
    <w:rsid w:val="000D758A"/>
    <w:rsid w:val="000D765F"/>
    <w:rsid w:val="000D774E"/>
    <w:rsid w:val="000D7802"/>
    <w:rsid w:val="000D78AF"/>
    <w:rsid w:val="000D7987"/>
    <w:rsid w:val="000D7BD7"/>
    <w:rsid w:val="000D7C87"/>
    <w:rsid w:val="000D7D18"/>
    <w:rsid w:val="000D7F64"/>
    <w:rsid w:val="000D7F7F"/>
    <w:rsid w:val="000D7FBD"/>
    <w:rsid w:val="000E00EE"/>
    <w:rsid w:val="000E01FC"/>
    <w:rsid w:val="000E0299"/>
    <w:rsid w:val="000E0480"/>
    <w:rsid w:val="000E04DB"/>
    <w:rsid w:val="000E0561"/>
    <w:rsid w:val="000E0597"/>
    <w:rsid w:val="000E05B5"/>
    <w:rsid w:val="000E0682"/>
    <w:rsid w:val="000E0822"/>
    <w:rsid w:val="000E0879"/>
    <w:rsid w:val="000E09AA"/>
    <w:rsid w:val="000E0BB7"/>
    <w:rsid w:val="000E0BE6"/>
    <w:rsid w:val="000E0C51"/>
    <w:rsid w:val="000E0E3D"/>
    <w:rsid w:val="000E0EF1"/>
    <w:rsid w:val="000E0FD7"/>
    <w:rsid w:val="000E1125"/>
    <w:rsid w:val="000E11A6"/>
    <w:rsid w:val="000E1306"/>
    <w:rsid w:val="000E1336"/>
    <w:rsid w:val="000E1378"/>
    <w:rsid w:val="000E1386"/>
    <w:rsid w:val="000E1394"/>
    <w:rsid w:val="000E13B2"/>
    <w:rsid w:val="000E1582"/>
    <w:rsid w:val="000E17B7"/>
    <w:rsid w:val="000E17ED"/>
    <w:rsid w:val="000E1880"/>
    <w:rsid w:val="000E192C"/>
    <w:rsid w:val="000E19C0"/>
    <w:rsid w:val="000E19C8"/>
    <w:rsid w:val="000E1A72"/>
    <w:rsid w:val="000E1BBC"/>
    <w:rsid w:val="000E1C02"/>
    <w:rsid w:val="000E1C3B"/>
    <w:rsid w:val="000E1D68"/>
    <w:rsid w:val="000E1D84"/>
    <w:rsid w:val="000E1D85"/>
    <w:rsid w:val="000E1DD3"/>
    <w:rsid w:val="000E1E5F"/>
    <w:rsid w:val="000E1E91"/>
    <w:rsid w:val="000E204A"/>
    <w:rsid w:val="000E2055"/>
    <w:rsid w:val="000E21A4"/>
    <w:rsid w:val="000E21D3"/>
    <w:rsid w:val="000E2288"/>
    <w:rsid w:val="000E2346"/>
    <w:rsid w:val="000E2468"/>
    <w:rsid w:val="000E25BC"/>
    <w:rsid w:val="000E25FD"/>
    <w:rsid w:val="000E2779"/>
    <w:rsid w:val="000E288C"/>
    <w:rsid w:val="000E2976"/>
    <w:rsid w:val="000E2AAA"/>
    <w:rsid w:val="000E2B3F"/>
    <w:rsid w:val="000E2C27"/>
    <w:rsid w:val="000E2C6A"/>
    <w:rsid w:val="000E2E60"/>
    <w:rsid w:val="000E2FB2"/>
    <w:rsid w:val="000E3032"/>
    <w:rsid w:val="000E30C5"/>
    <w:rsid w:val="000E3222"/>
    <w:rsid w:val="000E3302"/>
    <w:rsid w:val="000E3318"/>
    <w:rsid w:val="000E33AA"/>
    <w:rsid w:val="000E3448"/>
    <w:rsid w:val="000E3541"/>
    <w:rsid w:val="000E354D"/>
    <w:rsid w:val="000E3596"/>
    <w:rsid w:val="000E35B5"/>
    <w:rsid w:val="000E35C9"/>
    <w:rsid w:val="000E37CD"/>
    <w:rsid w:val="000E37EB"/>
    <w:rsid w:val="000E386E"/>
    <w:rsid w:val="000E3AF9"/>
    <w:rsid w:val="000E3B0D"/>
    <w:rsid w:val="000E3B12"/>
    <w:rsid w:val="000E3B66"/>
    <w:rsid w:val="000E3CA2"/>
    <w:rsid w:val="000E3F21"/>
    <w:rsid w:val="000E4092"/>
    <w:rsid w:val="000E4095"/>
    <w:rsid w:val="000E4211"/>
    <w:rsid w:val="000E4326"/>
    <w:rsid w:val="000E4679"/>
    <w:rsid w:val="000E46AB"/>
    <w:rsid w:val="000E48F2"/>
    <w:rsid w:val="000E4A62"/>
    <w:rsid w:val="000E4B2F"/>
    <w:rsid w:val="000E4B65"/>
    <w:rsid w:val="000E4B9D"/>
    <w:rsid w:val="000E4D60"/>
    <w:rsid w:val="000E4DBB"/>
    <w:rsid w:val="000E4EE1"/>
    <w:rsid w:val="000E4FF0"/>
    <w:rsid w:val="000E50C1"/>
    <w:rsid w:val="000E526C"/>
    <w:rsid w:val="000E535B"/>
    <w:rsid w:val="000E54CA"/>
    <w:rsid w:val="000E55A5"/>
    <w:rsid w:val="000E58C3"/>
    <w:rsid w:val="000E594E"/>
    <w:rsid w:val="000E59EB"/>
    <w:rsid w:val="000E5B41"/>
    <w:rsid w:val="000E5C54"/>
    <w:rsid w:val="000E5C75"/>
    <w:rsid w:val="000E5C86"/>
    <w:rsid w:val="000E5DF6"/>
    <w:rsid w:val="000E5EA3"/>
    <w:rsid w:val="000E5F01"/>
    <w:rsid w:val="000E5F7C"/>
    <w:rsid w:val="000E608E"/>
    <w:rsid w:val="000E622D"/>
    <w:rsid w:val="000E6326"/>
    <w:rsid w:val="000E638E"/>
    <w:rsid w:val="000E654A"/>
    <w:rsid w:val="000E658E"/>
    <w:rsid w:val="000E65BE"/>
    <w:rsid w:val="000E65FB"/>
    <w:rsid w:val="000E667E"/>
    <w:rsid w:val="000E69BB"/>
    <w:rsid w:val="000E69FF"/>
    <w:rsid w:val="000E6B4F"/>
    <w:rsid w:val="000E6BED"/>
    <w:rsid w:val="000E6C63"/>
    <w:rsid w:val="000E6CA9"/>
    <w:rsid w:val="000E6E91"/>
    <w:rsid w:val="000E6FF6"/>
    <w:rsid w:val="000E6FFF"/>
    <w:rsid w:val="000E70E2"/>
    <w:rsid w:val="000E7489"/>
    <w:rsid w:val="000E7503"/>
    <w:rsid w:val="000E7752"/>
    <w:rsid w:val="000E7793"/>
    <w:rsid w:val="000E77C6"/>
    <w:rsid w:val="000E7806"/>
    <w:rsid w:val="000E789E"/>
    <w:rsid w:val="000E7B41"/>
    <w:rsid w:val="000E7B4F"/>
    <w:rsid w:val="000E7BE0"/>
    <w:rsid w:val="000E7C08"/>
    <w:rsid w:val="000E7CF8"/>
    <w:rsid w:val="000E7D3C"/>
    <w:rsid w:val="000E7D59"/>
    <w:rsid w:val="000E7DB9"/>
    <w:rsid w:val="000E7E34"/>
    <w:rsid w:val="000E7EDF"/>
    <w:rsid w:val="000F0125"/>
    <w:rsid w:val="000F0216"/>
    <w:rsid w:val="000F022E"/>
    <w:rsid w:val="000F023D"/>
    <w:rsid w:val="000F0264"/>
    <w:rsid w:val="000F0409"/>
    <w:rsid w:val="000F04D6"/>
    <w:rsid w:val="000F05D4"/>
    <w:rsid w:val="000F0640"/>
    <w:rsid w:val="000F069E"/>
    <w:rsid w:val="000F0741"/>
    <w:rsid w:val="000F07F4"/>
    <w:rsid w:val="000F08CC"/>
    <w:rsid w:val="000F097D"/>
    <w:rsid w:val="000F0AAC"/>
    <w:rsid w:val="000F0ACE"/>
    <w:rsid w:val="000F0C4E"/>
    <w:rsid w:val="000F0C76"/>
    <w:rsid w:val="000F0FA0"/>
    <w:rsid w:val="000F1028"/>
    <w:rsid w:val="000F102D"/>
    <w:rsid w:val="000F1055"/>
    <w:rsid w:val="000F1301"/>
    <w:rsid w:val="000F130D"/>
    <w:rsid w:val="000F140B"/>
    <w:rsid w:val="000F1485"/>
    <w:rsid w:val="000F1617"/>
    <w:rsid w:val="000F1739"/>
    <w:rsid w:val="000F18F3"/>
    <w:rsid w:val="000F193E"/>
    <w:rsid w:val="000F1A64"/>
    <w:rsid w:val="000F1ADA"/>
    <w:rsid w:val="000F1B77"/>
    <w:rsid w:val="000F1BE0"/>
    <w:rsid w:val="000F1D08"/>
    <w:rsid w:val="000F1D66"/>
    <w:rsid w:val="000F1D74"/>
    <w:rsid w:val="000F1D92"/>
    <w:rsid w:val="000F1DE8"/>
    <w:rsid w:val="000F1EF7"/>
    <w:rsid w:val="000F1F16"/>
    <w:rsid w:val="000F1F54"/>
    <w:rsid w:val="000F1FB9"/>
    <w:rsid w:val="000F2094"/>
    <w:rsid w:val="000F22C7"/>
    <w:rsid w:val="000F23DB"/>
    <w:rsid w:val="000F2475"/>
    <w:rsid w:val="000F2487"/>
    <w:rsid w:val="000F2764"/>
    <w:rsid w:val="000F2866"/>
    <w:rsid w:val="000F28D9"/>
    <w:rsid w:val="000F298D"/>
    <w:rsid w:val="000F2B2A"/>
    <w:rsid w:val="000F2B87"/>
    <w:rsid w:val="000F2B99"/>
    <w:rsid w:val="000F2D66"/>
    <w:rsid w:val="000F320F"/>
    <w:rsid w:val="000F35F6"/>
    <w:rsid w:val="000F393C"/>
    <w:rsid w:val="000F39D6"/>
    <w:rsid w:val="000F3A8C"/>
    <w:rsid w:val="000F3AEC"/>
    <w:rsid w:val="000F3BAB"/>
    <w:rsid w:val="000F3CCE"/>
    <w:rsid w:val="000F3E27"/>
    <w:rsid w:val="000F3E4E"/>
    <w:rsid w:val="000F3F2B"/>
    <w:rsid w:val="000F3FF3"/>
    <w:rsid w:val="000F417B"/>
    <w:rsid w:val="000F42D9"/>
    <w:rsid w:val="000F438F"/>
    <w:rsid w:val="000F4404"/>
    <w:rsid w:val="000F47E0"/>
    <w:rsid w:val="000F4A5A"/>
    <w:rsid w:val="000F4B20"/>
    <w:rsid w:val="000F4B2F"/>
    <w:rsid w:val="000F4B49"/>
    <w:rsid w:val="000F4C3C"/>
    <w:rsid w:val="000F4CC2"/>
    <w:rsid w:val="000F4CD8"/>
    <w:rsid w:val="000F4E32"/>
    <w:rsid w:val="000F50EB"/>
    <w:rsid w:val="000F5133"/>
    <w:rsid w:val="000F513A"/>
    <w:rsid w:val="000F5188"/>
    <w:rsid w:val="000F5208"/>
    <w:rsid w:val="000F529A"/>
    <w:rsid w:val="000F529D"/>
    <w:rsid w:val="000F5360"/>
    <w:rsid w:val="000F54AD"/>
    <w:rsid w:val="000F560C"/>
    <w:rsid w:val="000F5629"/>
    <w:rsid w:val="000F5710"/>
    <w:rsid w:val="000F5784"/>
    <w:rsid w:val="000F57EC"/>
    <w:rsid w:val="000F5870"/>
    <w:rsid w:val="000F58FD"/>
    <w:rsid w:val="000F5A1D"/>
    <w:rsid w:val="000F5A2F"/>
    <w:rsid w:val="000F5A48"/>
    <w:rsid w:val="000F5AFC"/>
    <w:rsid w:val="000F5CEA"/>
    <w:rsid w:val="000F5E64"/>
    <w:rsid w:val="000F5EC2"/>
    <w:rsid w:val="000F5FBE"/>
    <w:rsid w:val="000F6114"/>
    <w:rsid w:val="000F6126"/>
    <w:rsid w:val="000F635E"/>
    <w:rsid w:val="000F6403"/>
    <w:rsid w:val="000F6449"/>
    <w:rsid w:val="000F6481"/>
    <w:rsid w:val="000F6592"/>
    <w:rsid w:val="000F6619"/>
    <w:rsid w:val="000F66CB"/>
    <w:rsid w:val="000F67A2"/>
    <w:rsid w:val="000F6A1B"/>
    <w:rsid w:val="000F6B87"/>
    <w:rsid w:val="000F6B98"/>
    <w:rsid w:val="000F6CD3"/>
    <w:rsid w:val="000F6F40"/>
    <w:rsid w:val="000F6FF9"/>
    <w:rsid w:val="000F71D6"/>
    <w:rsid w:val="000F7226"/>
    <w:rsid w:val="000F7299"/>
    <w:rsid w:val="000F72CF"/>
    <w:rsid w:val="000F7391"/>
    <w:rsid w:val="000F7392"/>
    <w:rsid w:val="000F73F9"/>
    <w:rsid w:val="000F7402"/>
    <w:rsid w:val="000F7642"/>
    <w:rsid w:val="000F77F3"/>
    <w:rsid w:val="000F78C8"/>
    <w:rsid w:val="000F7A01"/>
    <w:rsid w:val="000F7AD1"/>
    <w:rsid w:val="000F7AEA"/>
    <w:rsid w:val="000F7CD0"/>
    <w:rsid w:val="000F7D5A"/>
    <w:rsid w:val="000F7DEE"/>
    <w:rsid w:val="000F7DFB"/>
    <w:rsid w:val="000F7E93"/>
    <w:rsid w:val="000F7EE4"/>
    <w:rsid w:val="000F7F7F"/>
    <w:rsid w:val="0010003E"/>
    <w:rsid w:val="00100097"/>
    <w:rsid w:val="001000BB"/>
    <w:rsid w:val="001000C4"/>
    <w:rsid w:val="00100170"/>
    <w:rsid w:val="00100228"/>
    <w:rsid w:val="001002C9"/>
    <w:rsid w:val="0010031B"/>
    <w:rsid w:val="0010031F"/>
    <w:rsid w:val="00100324"/>
    <w:rsid w:val="001003B6"/>
    <w:rsid w:val="001005AF"/>
    <w:rsid w:val="001006F7"/>
    <w:rsid w:val="00100751"/>
    <w:rsid w:val="0010085D"/>
    <w:rsid w:val="001008A0"/>
    <w:rsid w:val="00100915"/>
    <w:rsid w:val="00100929"/>
    <w:rsid w:val="00100957"/>
    <w:rsid w:val="00100984"/>
    <w:rsid w:val="0010099F"/>
    <w:rsid w:val="00100A7C"/>
    <w:rsid w:val="00100B79"/>
    <w:rsid w:val="00100D98"/>
    <w:rsid w:val="00100DB2"/>
    <w:rsid w:val="00100DE4"/>
    <w:rsid w:val="00100E50"/>
    <w:rsid w:val="00100F0D"/>
    <w:rsid w:val="00101078"/>
    <w:rsid w:val="00101089"/>
    <w:rsid w:val="001010A1"/>
    <w:rsid w:val="001010B1"/>
    <w:rsid w:val="00101209"/>
    <w:rsid w:val="00101341"/>
    <w:rsid w:val="00101449"/>
    <w:rsid w:val="001014E0"/>
    <w:rsid w:val="00101798"/>
    <w:rsid w:val="001017AA"/>
    <w:rsid w:val="00101921"/>
    <w:rsid w:val="00101AC5"/>
    <w:rsid w:val="00101BB5"/>
    <w:rsid w:val="00101C45"/>
    <w:rsid w:val="00101C54"/>
    <w:rsid w:val="00101C67"/>
    <w:rsid w:val="00101D2B"/>
    <w:rsid w:val="00101EFA"/>
    <w:rsid w:val="00101F2B"/>
    <w:rsid w:val="0010204F"/>
    <w:rsid w:val="00102062"/>
    <w:rsid w:val="00102315"/>
    <w:rsid w:val="00102355"/>
    <w:rsid w:val="0010236F"/>
    <w:rsid w:val="0010258C"/>
    <w:rsid w:val="0010258F"/>
    <w:rsid w:val="001027C9"/>
    <w:rsid w:val="001027F4"/>
    <w:rsid w:val="00102815"/>
    <w:rsid w:val="00102A39"/>
    <w:rsid w:val="00102CAE"/>
    <w:rsid w:val="00102D24"/>
    <w:rsid w:val="00102D78"/>
    <w:rsid w:val="00102D9B"/>
    <w:rsid w:val="00102DEA"/>
    <w:rsid w:val="00102EC0"/>
    <w:rsid w:val="00102F0A"/>
    <w:rsid w:val="00102FDD"/>
    <w:rsid w:val="001031FC"/>
    <w:rsid w:val="0010329C"/>
    <w:rsid w:val="0010348A"/>
    <w:rsid w:val="0010361B"/>
    <w:rsid w:val="001037EF"/>
    <w:rsid w:val="0010386B"/>
    <w:rsid w:val="001038DE"/>
    <w:rsid w:val="00103903"/>
    <w:rsid w:val="00103B74"/>
    <w:rsid w:val="00103E53"/>
    <w:rsid w:val="00103F02"/>
    <w:rsid w:val="00103F96"/>
    <w:rsid w:val="00104126"/>
    <w:rsid w:val="00104133"/>
    <w:rsid w:val="001041F0"/>
    <w:rsid w:val="001042A7"/>
    <w:rsid w:val="001044AC"/>
    <w:rsid w:val="00104518"/>
    <w:rsid w:val="0010457A"/>
    <w:rsid w:val="00104693"/>
    <w:rsid w:val="0010469D"/>
    <w:rsid w:val="001046A9"/>
    <w:rsid w:val="00104707"/>
    <w:rsid w:val="00104752"/>
    <w:rsid w:val="001047FC"/>
    <w:rsid w:val="0010483F"/>
    <w:rsid w:val="0010488A"/>
    <w:rsid w:val="0010493F"/>
    <w:rsid w:val="00104984"/>
    <w:rsid w:val="00104A4D"/>
    <w:rsid w:val="00104C33"/>
    <w:rsid w:val="00104C37"/>
    <w:rsid w:val="00104C6F"/>
    <w:rsid w:val="00104D5B"/>
    <w:rsid w:val="00104D5E"/>
    <w:rsid w:val="00104F40"/>
    <w:rsid w:val="0010501C"/>
    <w:rsid w:val="00105046"/>
    <w:rsid w:val="00105067"/>
    <w:rsid w:val="001051C9"/>
    <w:rsid w:val="0010541C"/>
    <w:rsid w:val="001054D4"/>
    <w:rsid w:val="00105548"/>
    <w:rsid w:val="001055A9"/>
    <w:rsid w:val="001055D3"/>
    <w:rsid w:val="00105608"/>
    <w:rsid w:val="00105683"/>
    <w:rsid w:val="001056CE"/>
    <w:rsid w:val="00105716"/>
    <w:rsid w:val="0010588F"/>
    <w:rsid w:val="0010594D"/>
    <w:rsid w:val="0010599A"/>
    <w:rsid w:val="001059D7"/>
    <w:rsid w:val="001059ED"/>
    <w:rsid w:val="00105A0A"/>
    <w:rsid w:val="00105CF3"/>
    <w:rsid w:val="00105D59"/>
    <w:rsid w:val="00105DFD"/>
    <w:rsid w:val="00105FAC"/>
    <w:rsid w:val="001060CF"/>
    <w:rsid w:val="00106109"/>
    <w:rsid w:val="00106231"/>
    <w:rsid w:val="00106238"/>
    <w:rsid w:val="00106358"/>
    <w:rsid w:val="0010637E"/>
    <w:rsid w:val="00106479"/>
    <w:rsid w:val="001064D2"/>
    <w:rsid w:val="001065CA"/>
    <w:rsid w:val="001065CF"/>
    <w:rsid w:val="0010667B"/>
    <w:rsid w:val="001066B7"/>
    <w:rsid w:val="0010677C"/>
    <w:rsid w:val="00106965"/>
    <w:rsid w:val="00106D8A"/>
    <w:rsid w:val="00106EAE"/>
    <w:rsid w:val="00106F61"/>
    <w:rsid w:val="0010700B"/>
    <w:rsid w:val="0010707E"/>
    <w:rsid w:val="00107511"/>
    <w:rsid w:val="00107551"/>
    <w:rsid w:val="001075A8"/>
    <w:rsid w:val="001075C8"/>
    <w:rsid w:val="0010763F"/>
    <w:rsid w:val="001076B1"/>
    <w:rsid w:val="001076D6"/>
    <w:rsid w:val="00107863"/>
    <w:rsid w:val="00107945"/>
    <w:rsid w:val="00107988"/>
    <w:rsid w:val="00107A5C"/>
    <w:rsid w:val="00107A91"/>
    <w:rsid w:val="00107AAB"/>
    <w:rsid w:val="00107BA9"/>
    <w:rsid w:val="00107BF5"/>
    <w:rsid w:val="00107D46"/>
    <w:rsid w:val="00107E17"/>
    <w:rsid w:val="00107F05"/>
    <w:rsid w:val="00107FB8"/>
    <w:rsid w:val="0011001D"/>
    <w:rsid w:val="0011049B"/>
    <w:rsid w:val="001104FC"/>
    <w:rsid w:val="0011058A"/>
    <w:rsid w:val="0011087F"/>
    <w:rsid w:val="00110935"/>
    <w:rsid w:val="00110BCC"/>
    <w:rsid w:val="00110C81"/>
    <w:rsid w:val="00110CDA"/>
    <w:rsid w:val="00110D3C"/>
    <w:rsid w:val="00110DB9"/>
    <w:rsid w:val="00110E33"/>
    <w:rsid w:val="00110F98"/>
    <w:rsid w:val="00111014"/>
    <w:rsid w:val="00111055"/>
    <w:rsid w:val="001111F7"/>
    <w:rsid w:val="0011133A"/>
    <w:rsid w:val="00111397"/>
    <w:rsid w:val="001113BB"/>
    <w:rsid w:val="0011151E"/>
    <w:rsid w:val="0011166C"/>
    <w:rsid w:val="0011172B"/>
    <w:rsid w:val="00111865"/>
    <w:rsid w:val="0011198C"/>
    <w:rsid w:val="00111AF4"/>
    <w:rsid w:val="00111AF7"/>
    <w:rsid w:val="00111B15"/>
    <w:rsid w:val="00111B23"/>
    <w:rsid w:val="00111BA1"/>
    <w:rsid w:val="00111BF4"/>
    <w:rsid w:val="00111C2D"/>
    <w:rsid w:val="00111EA6"/>
    <w:rsid w:val="00111F10"/>
    <w:rsid w:val="00111F76"/>
    <w:rsid w:val="00112013"/>
    <w:rsid w:val="0011211E"/>
    <w:rsid w:val="0011220B"/>
    <w:rsid w:val="00112246"/>
    <w:rsid w:val="001122F0"/>
    <w:rsid w:val="00112386"/>
    <w:rsid w:val="00112463"/>
    <w:rsid w:val="00112472"/>
    <w:rsid w:val="0011281D"/>
    <w:rsid w:val="0011283D"/>
    <w:rsid w:val="00112901"/>
    <w:rsid w:val="0011298B"/>
    <w:rsid w:val="00112A7D"/>
    <w:rsid w:val="00112A98"/>
    <w:rsid w:val="00112C9C"/>
    <w:rsid w:val="00112E6C"/>
    <w:rsid w:val="00112F62"/>
    <w:rsid w:val="00112FED"/>
    <w:rsid w:val="001130F2"/>
    <w:rsid w:val="001132A7"/>
    <w:rsid w:val="00113303"/>
    <w:rsid w:val="0011343B"/>
    <w:rsid w:val="0011358B"/>
    <w:rsid w:val="0011375A"/>
    <w:rsid w:val="00113855"/>
    <w:rsid w:val="00113988"/>
    <w:rsid w:val="00113A21"/>
    <w:rsid w:val="00113B14"/>
    <w:rsid w:val="00113B6B"/>
    <w:rsid w:val="00113C6D"/>
    <w:rsid w:val="00113C90"/>
    <w:rsid w:val="00113DA2"/>
    <w:rsid w:val="00113E62"/>
    <w:rsid w:val="00113F01"/>
    <w:rsid w:val="00113F8F"/>
    <w:rsid w:val="00114068"/>
    <w:rsid w:val="001140BC"/>
    <w:rsid w:val="0011419F"/>
    <w:rsid w:val="0011429F"/>
    <w:rsid w:val="00114318"/>
    <w:rsid w:val="00114330"/>
    <w:rsid w:val="00114586"/>
    <w:rsid w:val="001145F5"/>
    <w:rsid w:val="00114623"/>
    <w:rsid w:val="00114624"/>
    <w:rsid w:val="001147AC"/>
    <w:rsid w:val="00114BF1"/>
    <w:rsid w:val="00114D19"/>
    <w:rsid w:val="00114D8E"/>
    <w:rsid w:val="0011507A"/>
    <w:rsid w:val="00115160"/>
    <w:rsid w:val="0011517A"/>
    <w:rsid w:val="0011518E"/>
    <w:rsid w:val="001151A2"/>
    <w:rsid w:val="00115253"/>
    <w:rsid w:val="00115298"/>
    <w:rsid w:val="001152F4"/>
    <w:rsid w:val="00115465"/>
    <w:rsid w:val="00115704"/>
    <w:rsid w:val="00115779"/>
    <w:rsid w:val="00115807"/>
    <w:rsid w:val="0011582E"/>
    <w:rsid w:val="001158D1"/>
    <w:rsid w:val="0011596C"/>
    <w:rsid w:val="00115A60"/>
    <w:rsid w:val="00115A91"/>
    <w:rsid w:val="00115B2B"/>
    <w:rsid w:val="00115BA3"/>
    <w:rsid w:val="00115BD0"/>
    <w:rsid w:val="00115D7B"/>
    <w:rsid w:val="00115EEB"/>
    <w:rsid w:val="00115EF1"/>
    <w:rsid w:val="00115F0D"/>
    <w:rsid w:val="00115FE7"/>
    <w:rsid w:val="001162C8"/>
    <w:rsid w:val="001163DB"/>
    <w:rsid w:val="001164FE"/>
    <w:rsid w:val="00116560"/>
    <w:rsid w:val="001165F0"/>
    <w:rsid w:val="001166CF"/>
    <w:rsid w:val="001167C9"/>
    <w:rsid w:val="00116A24"/>
    <w:rsid w:val="00116CFA"/>
    <w:rsid w:val="00116D6F"/>
    <w:rsid w:val="00116E0E"/>
    <w:rsid w:val="00116E92"/>
    <w:rsid w:val="00116EEA"/>
    <w:rsid w:val="00117009"/>
    <w:rsid w:val="00117014"/>
    <w:rsid w:val="0011706B"/>
    <w:rsid w:val="00117118"/>
    <w:rsid w:val="00117166"/>
    <w:rsid w:val="0011717A"/>
    <w:rsid w:val="00117305"/>
    <w:rsid w:val="0011734F"/>
    <w:rsid w:val="0011747E"/>
    <w:rsid w:val="001174A7"/>
    <w:rsid w:val="00117557"/>
    <w:rsid w:val="0011764A"/>
    <w:rsid w:val="00117728"/>
    <w:rsid w:val="00117932"/>
    <w:rsid w:val="00117A28"/>
    <w:rsid w:val="00117A78"/>
    <w:rsid w:val="00117AF2"/>
    <w:rsid w:val="00117B8B"/>
    <w:rsid w:val="00117EBF"/>
    <w:rsid w:val="0012006A"/>
    <w:rsid w:val="00120147"/>
    <w:rsid w:val="001203AE"/>
    <w:rsid w:val="001203ED"/>
    <w:rsid w:val="0012056C"/>
    <w:rsid w:val="001206EE"/>
    <w:rsid w:val="0012071B"/>
    <w:rsid w:val="0012082E"/>
    <w:rsid w:val="00120BE5"/>
    <w:rsid w:val="00120CCD"/>
    <w:rsid w:val="00120E8D"/>
    <w:rsid w:val="00120F3D"/>
    <w:rsid w:val="00120F76"/>
    <w:rsid w:val="00120FF4"/>
    <w:rsid w:val="00121110"/>
    <w:rsid w:val="0012114F"/>
    <w:rsid w:val="001211E6"/>
    <w:rsid w:val="00121208"/>
    <w:rsid w:val="0012120E"/>
    <w:rsid w:val="00121290"/>
    <w:rsid w:val="0012142E"/>
    <w:rsid w:val="001214E7"/>
    <w:rsid w:val="0012158A"/>
    <w:rsid w:val="001215A2"/>
    <w:rsid w:val="00121684"/>
    <w:rsid w:val="00121837"/>
    <w:rsid w:val="001218FA"/>
    <w:rsid w:val="001219F0"/>
    <w:rsid w:val="00121A3D"/>
    <w:rsid w:val="00121EEA"/>
    <w:rsid w:val="001220E6"/>
    <w:rsid w:val="001221F0"/>
    <w:rsid w:val="001221FC"/>
    <w:rsid w:val="00122216"/>
    <w:rsid w:val="00122244"/>
    <w:rsid w:val="0012236A"/>
    <w:rsid w:val="00122396"/>
    <w:rsid w:val="00122424"/>
    <w:rsid w:val="001225E9"/>
    <w:rsid w:val="001229AF"/>
    <w:rsid w:val="00122A94"/>
    <w:rsid w:val="00122D28"/>
    <w:rsid w:val="00122E22"/>
    <w:rsid w:val="00122FB9"/>
    <w:rsid w:val="00123080"/>
    <w:rsid w:val="00123125"/>
    <w:rsid w:val="00123204"/>
    <w:rsid w:val="0012372F"/>
    <w:rsid w:val="00123753"/>
    <w:rsid w:val="001237A7"/>
    <w:rsid w:val="001237B4"/>
    <w:rsid w:val="001237F3"/>
    <w:rsid w:val="0012390D"/>
    <w:rsid w:val="00123973"/>
    <w:rsid w:val="001239DD"/>
    <w:rsid w:val="001239ED"/>
    <w:rsid w:val="00123A3B"/>
    <w:rsid w:val="00123A7A"/>
    <w:rsid w:val="00123AA5"/>
    <w:rsid w:val="00123BAE"/>
    <w:rsid w:val="00123BF4"/>
    <w:rsid w:val="00123C03"/>
    <w:rsid w:val="00123C7A"/>
    <w:rsid w:val="00123D72"/>
    <w:rsid w:val="00123D73"/>
    <w:rsid w:val="00123FA1"/>
    <w:rsid w:val="00124066"/>
    <w:rsid w:val="00124165"/>
    <w:rsid w:val="0012428F"/>
    <w:rsid w:val="001242AE"/>
    <w:rsid w:val="0012436A"/>
    <w:rsid w:val="001243F8"/>
    <w:rsid w:val="0012457F"/>
    <w:rsid w:val="001247AE"/>
    <w:rsid w:val="00124861"/>
    <w:rsid w:val="00124A03"/>
    <w:rsid w:val="00124AC2"/>
    <w:rsid w:val="00124B39"/>
    <w:rsid w:val="00124C12"/>
    <w:rsid w:val="00124C1D"/>
    <w:rsid w:val="00124C44"/>
    <w:rsid w:val="00124C9A"/>
    <w:rsid w:val="00124CA2"/>
    <w:rsid w:val="00124DC7"/>
    <w:rsid w:val="00124E02"/>
    <w:rsid w:val="00124E49"/>
    <w:rsid w:val="00124E93"/>
    <w:rsid w:val="00124EC8"/>
    <w:rsid w:val="00125003"/>
    <w:rsid w:val="0012518F"/>
    <w:rsid w:val="0012533D"/>
    <w:rsid w:val="00125356"/>
    <w:rsid w:val="0012555E"/>
    <w:rsid w:val="001255E5"/>
    <w:rsid w:val="001256B4"/>
    <w:rsid w:val="0012570E"/>
    <w:rsid w:val="001258E4"/>
    <w:rsid w:val="0012599B"/>
    <w:rsid w:val="0012599D"/>
    <w:rsid w:val="00125A1E"/>
    <w:rsid w:val="00125A24"/>
    <w:rsid w:val="00125AB1"/>
    <w:rsid w:val="00125B00"/>
    <w:rsid w:val="00125B38"/>
    <w:rsid w:val="00125B95"/>
    <w:rsid w:val="00125BFD"/>
    <w:rsid w:val="00125C95"/>
    <w:rsid w:val="00125DC6"/>
    <w:rsid w:val="00125E06"/>
    <w:rsid w:val="00125FAF"/>
    <w:rsid w:val="001261BB"/>
    <w:rsid w:val="001261DB"/>
    <w:rsid w:val="001261DC"/>
    <w:rsid w:val="0012622C"/>
    <w:rsid w:val="00126307"/>
    <w:rsid w:val="00126559"/>
    <w:rsid w:val="00126935"/>
    <w:rsid w:val="00126D25"/>
    <w:rsid w:val="00126E48"/>
    <w:rsid w:val="00126ED1"/>
    <w:rsid w:val="00127021"/>
    <w:rsid w:val="001270AC"/>
    <w:rsid w:val="0012715A"/>
    <w:rsid w:val="001271F2"/>
    <w:rsid w:val="001273DD"/>
    <w:rsid w:val="001273DF"/>
    <w:rsid w:val="0012749B"/>
    <w:rsid w:val="001274C0"/>
    <w:rsid w:val="00127532"/>
    <w:rsid w:val="00127765"/>
    <w:rsid w:val="00127780"/>
    <w:rsid w:val="00127843"/>
    <w:rsid w:val="00127863"/>
    <w:rsid w:val="00127897"/>
    <w:rsid w:val="001278B4"/>
    <w:rsid w:val="001279D3"/>
    <w:rsid w:val="00127BCF"/>
    <w:rsid w:val="00127C0B"/>
    <w:rsid w:val="00127D55"/>
    <w:rsid w:val="00127E41"/>
    <w:rsid w:val="00127ED0"/>
    <w:rsid w:val="00127F5E"/>
    <w:rsid w:val="00127F79"/>
    <w:rsid w:val="00127FC2"/>
    <w:rsid w:val="0012C851"/>
    <w:rsid w:val="00130000"/>
    <w:rsid w:val="0013004D"/>
    <w:rsid w:val="00130064"/>
    <w:rsid w:val="001300A9"/>
    <w:rsid w:val="0013010C"/>
    <w:rsid w:val="00130136"/>
    <w:rsid w:val="001301CB"/>
    <w:rsid w:val="001302F9"/>
    <w:rsid w:val="00130378"/>
    <w:rsid w:val="001303C8"/>
    <w:rsid w:val="00130424"/>
    <w:rsid w:val="0013052E"/>
    <w:rsid w:val="0013058F"/>
    <w:rsid w:val="00130659"/>
    <w:rsid w:val="00130910"/>
    <w:rsid w:val="00130A36"/>
    <w:rsid w:val="00130AC0"/>
    <w:rsid w:val="00130BDC"/>
    <w:rsid w:val="00130BEA"/>
    <w:rsid w:val="00130C03"/>
    <w:rsid w:val="00130C1E"/>
    <w:rsid w:val="00130CA4"/>
    <w:rsid w:val="00130F9C"/>
    <w:rsid w:val="0013106F"/>
    <w:rsid w:val="00131070"/>
    <w:rsid w:val="001311D3"/>
    <w:rsid w:val="0013134B"/>
    <w:rsid w:val="00131588"/>
    <w:rsid w:val="001315C2"/>
    <w:rsid w:val="0013165A"/>
    <w:rsid w:val="0013165D"/>
    <w:rsid w:val="00131679"/>
    <w:rsid w:val="0013167A"/>
    <w:rsid w:val="001316EE"/>
    <w:rsid w:val="00131846"/>
    <w:rsid w:val="00131955"/>
    <w:rsid w:val="00131B81"/>
    <w:rsid w:val="00131B8C"/>
    <w:rsid w:val="00132167"/>
    <w:rsid w:val="001321A7"/>
    <w:rsid w:val="0013231C"/>
    <w:rsid w:val="00132372"/>
    <w:rsid w:val="00132381"/>
    <w:rsid w:val="0013240D"/>
    <w:rsid w:val="0013253B"/>
    <w:rsid w:val="00132629"/>
    <w:rsid w:val="00132655"/>
    <w:rsid w:val="0013269C"/>
    <w:rsid w:val="001326A0"/>
    <w:rsid w:val="001328AF"/>
    <w:rsid w:val="0013291B"/>
    <w:rsid w:val="00132AC1"/>
    <w:rsid w:val="00132ACD"/>
    <w:rsid w:val="00132AE9"/>
    <w:rsid w:val="00132B41"/>
    <w:rsid w:val="00132B7F"/>
    <w:rsid w:val="00132C18"/>
    <w:rsid w:val="00132CF1"/>
    <w:rsid w:val="00133030"/>
    <w:rsid w:val="001330AC"/>
    <w:rsid w:val="00133147"/>
    <w:rsid w:val="00133A4E"/>
    <w:rsid w:val="00133B6C"/>
    <w:rsid w:val="00133BF8"/>
    <w:rsid w:val="00133DD9"/>
    <w:rsid w:val="00133E93"/>
    <w:rsid w:val="00133FD8"/>
    <w:rsid w:val="00134050"/>
    <w:rsid w:val="001340A3"/>
    <w:rsid w:val="001340C7"/>
    <w:rsid w:val="00134122"/>
    <w:rsid w:val="00134188"/>
    <w:rsid w:val="001341E6"/>
    <w:rsid w:val="001342D9"/>
    <w:rsid w:val="001343E8"/>
    <w:rsid w:val="0013442B"/>
    <w:rsid w:val="00134496"/>
    <w:rsid w:val="001345C4"/>
    <w:rsid w:val="00134640"/>
    <w:rsid w:val="00134651"/>
    <w:rsid w:val="00134687"/>
    <w:rsid w:val="0013474E"/>
    <w:rsid w:val="00134803"/>
    <w:rsid w:val="00134836"/>
    <w:rsid w:val="0013486C"/>
    <w:rsid w:val="001348D0"/>
    <w:rsid w:val="00134964"/>
    <w:rsid w:val="00134A77"/>
    <w:rsid w:val="00134A9C"/>
    <w:rsid w:val="00134ADF"/>
    <w:rsid w:val="00134BAC"/>
    <w:rsid w:val="00134BC5"/>
    <w:rsid w:val="00134C65"/>
    <w:rsid w:val="00134D6E"/>
    <w:rsid w:val="00134D8D"/>
    <w:rsid w:val="00134DF6"/>
    <w:rsid w:val="00134E45"/>
    <w:rsid w:val="00134E5F"/>
    <w:rsid w:val="00134F56"/>
    <w:rsid w:val="00134F9B"/>
    <w:rsid w:val="00135098"/>
    <w:rsid w:val="001350EE"/>
    <w:rsid w:val="00135128"/>
    <w:rsid w:val="00135336"/>
    <w:rsid w:val="00135433"/>
    <w:rsid w:val="00135609"/>
    <w:rsid w:val="001356A5"/>
    <w:rsid w:val="001357FB"/>
    <w:rsid w:val="001359F7"/>
    <w:rsid w:val="00135A19"/>
    <w:rsid w:val="00135BC8"/>
    <w:rsid w:val="00135C6D"/>
    <w:rsid w:val="00135C77"/>
    <w:rsid w:val="00135C7C"/>
    <w:rsid w:val="00135CD1"/>
    <w:rsid w:val="00135E1D"/>
    <w:rsid w:val="00135E42"/>
    <w:rsid w:val="00135EA0"/>
    <w:rsid w:val="00135F6D"/>
    <w:rsid w:val="0013613C"/>
    <w:rsid w:val="001363D5"/>
    <w:rsid w:val="00136531"/>
    <w:rsid w:val="001365B6"/>
    <w:rsid w:val="00136682"/>
    <w:rsid w:val="00136690"/>
    <w:rsid w:val="00136723"/>
    <w:rsid w:val="0013676C"/>
    <w:rsid w:val="001367B2"/>
    <w:rsid w:val="001369AE"/>
    <w:rsid w:val="00136A19"/>
    <w:rsid w:val="00136A2A"/>
    <w:rsid w:val="00136D29"/>
    <w:rsid w:val="00136D6C"/>
    <w:rsid w:val="00136FDD"/>
    <w:rsid w:val="00136FF6"/>
    <w:rsid w:val="00137004"/>
    <w:rsid w:val="001370EB"/>
    <w:rsid w:val="0013711C"/>
    <w:rsid w:val="001371E0"/>
    <w:rsid w:val="001371E2"/>
    <w:rsid w:val="00137346"/>
    <w:rsid w:val="0013737B"/>
    <w:rsid w:val="00137387"/>
    <w:rsid w:val="001373C5"/>
    <w:rsid w:val="001374B3"/>
    <w:rsid w:val="0013751B"/>
    <w:rsid w:val="00137567"/>
    <w:rsid w:val="001376F4"/>
    <w:rsid w:val="00137702"/>
    <w:rsid w:val="0013770D"/>
    <w:rsid w:val="0013775A"/>
    <w:rsid w:val="00137A73"/>
    <w:rsid w:val="00137A7E"/>
    <w:rsid w:val="00137C55"/>
    <w:rsid w:val="00137C7B"/>
    <w:rsid w:val="00137DD4"/>
    <w:rsid w:val="00137E34"/>
    <w:rsid w:val="00137E60"/>
    <w:rsid w:val="00137F2D"/>
    <w:rsid w:val="0014004B"/>
    <w:rsid w:val="001400E8"/>
    <w:rsid w:val="00140210"/>
    <w:rsid w:val="0014035E"/>
    <w:rsid w:val="0014037C"/>
    <w:rsid w:val="001403F5"/>
    <w:rsid w:val="0014042A"/>
    <w:rsid w:val="0014042E"/>
    <w:rsid w:val="001404C7"/>
    <w:rsid w:val="0014050D"/>
    <w:rsid w:val="00140561"/>
    <w:rsid w:val="0014057C"/>
    <w:rsid w:val="00140699"/>
    <w:rsid w:val="00140776"/>
    <w:rsid w:val="00140809"/>
    <w:rsid w:val="001408FE"/>
    <w:rsid w:val="001409CA"/>
    <w:rsid w:val="00140A30"/>
    <w:rsid w:val="00140A52"/>
    <w:rsid w:val="00140B11"/>
    <w:rsid w:val="00140B38"/>
    <w:rsid w:val="00140B92"/>
    <w:rsid w:val="00140CA3"/>
    <w:rsid w:val="00140D68"/>
    <w:rsid w:val="00140DC6"/>
    <w:rsid w:val="00141014"/>
    <w:rsid w:val="00141029"/>
    <w:rsid w:val="0014108A"/>
    <w:rsid w:val="001410FC"/>
    <w:rsid w:val="0014110D"/>
    <w:rsid w:val="00141158"/>
    <w:rsid w:val="00141275"/>
    <w:rsid w:val="0014141C"/>
    <w:rsid w:val="001415B6"/>
    <w:rsid w:val="001415C8"/>
    <w:rsid w:val="00141639"/>
    <w:rsid w:val="001416B1"/>
    <w:rsid w:val="00141936"/>
    <w:rsid w:val="0014194E"/>
    <w:rsid w:val="00141A0F"/>
    <w:rsid w:val="00141A7B"/>
    <w:rsid w:val="00141B27"/>
    <w:rsid w:val="00141B3F"/>
    <w:rsid w:val="00141C20"/>
    <w:rsid w:val="00141D3D"/>
    <w:rsid w:val="00141D53"/>
    <w:rsid w:val="00141DAC"/>
    <w:rsid w:val="00141DDB"/>
    <w:rsid w:val="00141ECE"/>
    <w:rsid w:val="00142031"/>
    <w:rsid w:val="00142058"/>
    <w:rsid w:val="0014217F"/>
    <w:rsid w:val="001421CB"/>
    <w:rsid w:val="001421CD"/>
    <w:rsid w:val="00142318"/>
    <w:rsid w:val="001423BB"/>
    <w:rsid w:val="00142471"/>
    <w:rsid w:val="001424CF"/>
    <w:rsid w:val="001427AF"/>
    <w:rsid w:val="00142A6A"/>
    <w:rsid w:val="00142BA6"/>
    <w:rsid w:val="00142C60"/>
    <w:rsid w:val="00142C87"/>
    <w:rsid w:val="00142D1D"/>
    <w:rsid w:val="00142D95"/>
    <w:rsid w:val="00142E12"/>
    <w:rsid w:val="00142F55"/>
    <w:rsid w:val="001430FB"/>
    <w:rsid w:val="00143148"/>
    <w:rsid w:val="001431AB"/>
    <w:rsid w:val="001431BE"/>
    <w:rsid w:val="001431F0"/>
    <w:rsid w:val="00143255"/>
    <w:rsid w:val="001432EA"/>
    <w:rsid w:val="00143324"/>
    <w:rsid w:val="0014335B"/>
    <w:rsid w:val="001433EF"/>
    <w:rsid w:val="00143429"/>
    <w:rsid w:val="00143503"/>
    <w:rsid w:val="0014355D"/>
    <w:rsid w:val="0014357A"/>
    <w:rsid w:val="0014362E"/>
    <w:rsid w:val="00143763"/>
    <w:rsid w:val="00143771"/>
    <w:rsid w:val="00143800"/>
    <w:rsid w:val="00143875"/>
    <w:rsid w:val="001438BA"/>
    <w:rsid w:val="0014397B"/>
    <w:rsid w:val="00143B82"/>
    <w:rsid w:val="00143C54"/>
    <w:rsid w:val="00143C96"/>
    <w:rsid w:val="00143D6E"/>
    <w:rsid w:val="00143D77"/>
    <w:rsid w:val="00143D91"/>
    <w:rsid w:val="00143E89"/>
    <w:rsid w:val="00143EA5"/>
    <w:rsid w:val="00143EF5"/>
    <w:rsid w:val="00143F06"/>
    <w:rsid w:val="00144138"/>
    <w:rsid w:val="00144376"/>
    <w:rsid w:val="0014454D"/>
    <w:rsid w:val="0014475A"/>
    <w:rsid w:val="001449DA"/>
    <w:rsid w:val="00144A46"/>
    <w:rsid w:val="00144AE9"/>
    <w:rsid w:val="00144AEE"/>
    <w:rsid w:val="00144CA3"/>
    <w:rsid w:val="00144E03"/>
    <w:rsid w:val="00144EB6"/>
    <w:rsid w:val="00144F15"/>
    <w:rsid w:val="00145181"/>
    <w:rsid w:val="0014523F"/>
    <w:rsid w:val="00145246"/>
    <w:rsid w:val="0014525F"/>
    <w:rsid w:val="001452EC"/>
    <w:rsid w:val="001452FC"/>
    <w:rsid w:val="0014535A"/>
    <w:rsid w:val="0014539C"/>
    <w:rsid w:val="001454F8"/>
    <w:rsid w:val="00145575"/>
    <w:rsid w:val="0014560C"/>
    <w:rsid w:val="00145616"/>
    <w:rsid w:val="001459B2"/>
    <w:rsid w:val="00145A26"/>
    <w:rsid w:val="00145B2A"/>
    <w:rsid w:val="00145BA3"/>
    <w:rsid w:val="00145C2D"/>
    <w:rsid w:val="00145CBC"/>
    <w:rsid w:val="00145D51"/>
    <w:rsid w:val="00145DC0"/>
    <w:rsid w:val="00145E97"/>
    <w:rsid w:val="00145F05"/>
    <w:rsid w:val="00145FFB"/>
    <w:rsid w:val="0014601E"/>
    <w:rsid w:val="00146098"/>
    <w:rsid w:val="00146101"/>
    <w:rsid w:val="00146106"/>
    <w:rsid w:val="00146142"/>
    <w:rsid w:val="001461E1"/>
    <w:rsid w:val="001461E3"/>
    <w:rsid w:val="00146236"/>
    <w:rsid w:val="00146263"/>
    <w:rsid w:val="00146366"/>
    <w:rsid w:val="001463C8"/>
    <w:rsid w:val="00146433"/>
    <w:rsid w:val="001464E1"/>
    <w:rsid w:val="0014652D"/>
    <w:rsid w:val="0014653E"/>
    <w:rsid w:val="00146610"/>
    <w:rsid w:val="00146657"/>
    <w:rsid w:val="0014688E"/>
    <w:rsid w:val="00146A83"/>
    <w:rsid w:val="00146B69"/>
    <w:rsid w:val="001470B0"/>
    <w:rsid w:val="0014727C"/>
    <w:rsid w:val="00147705"/>
    <w:rsid w:val="00147AA0"/>
    <w:rsid w:val="00147E62"/>
    <w:rsid w:val="00147E9F"/>
    <w:rsid w:val="00147EE6"/>
    <w:rsid w:val="00147F23"/>
    <w:rsid w:val="0015017A"/>
    <w:rsid w:val="00150209"/>
    <w:rsid w:val="0015027D"/>
    <w:rsid w:val="0015031C"/>
    <w:rsid w:val="00150559"/>
    <w:rsid w:val="00150565"/>
    <w:rsid w:val="00150568"/>
    <w:rsid w:val="001505B9"/>
    <w:rsid w:val="00150668"/>
    <w:rsid w:val="00150819"/>
    <w:rsid w:val="001508FD"/>
    <w:rsid w:val="0015095D"/>
    <w:rsid w:val="00150BC7"/>
    <w:rsid w:val="00150C77"/>
    <w:rsid w:val="00150D39"/>
    <w:rsid w:val="00150E0D"/>
    <w:rsid w:val="00150F72"/>
    <w:rsid w:val="0015107F"/>
    <w:rsid w:val="0015115F"/>
    <w:rsid w:val="001511FC"/>
    <w:rsid w:val="00151265"/>
    <w:rsid w:val="001512E6"/>
    <w:rsid w:val="001512E9"/>
    <w:rsid w:val="0015159D"/>
    <w:rsid w:val="001516BB"/>
    <w:rsid w:val="001516CE"/>
    <w:rsid w:val="001518DC"/>
    <w:rsid w:val="00151A7E"/>
    <w:rsid w:val="00151CD3"/>
    <w:rsid w:val="00151E10"/>
    <w:rsid w:val="00151E63"/>
    <w:rsid w:val="00151EB3"/>
    <w:rsid w:val="00151EFC"/>
    <w:rsid w:val="00151F30"/>
    <w:rsid w:val="00151FB0"/>
    <w:rsid w:val="001520DC"/>
    <w:rsid w:val="001520E3"/>
    <w:rsid w:val="00152110"/>
    <w:rsid w:val="0015213D"/>
    <w:rsid w:val="00152392"/>
    <w:rsid w:val="001523A4"/>
    <w:rsid w:val="00152475"/>
    <w:rsid w:val="00152479"/>
    <w:rsid w:val="00152B7A"/>
    <w:rsid w:val="00152C7C"/>
    <w:rsid w:val="00152C98"/>
    <w:rsid w:val="00152C9B"/>
    <w:rsid w:val="00152D66"/>
    <w:rsid w:val="00152D7A"/>
    <w:rsid w:val="00152E37"/>
    <w:rsid w:val="00152E7F"/>
    <w:rsid w:val="00152EE1"/>
    <w:rsid w:val="00152F74"/>
    <w:rsid w:val="00152FCB"/>
    <w:rsid w:val="00153137"/>
    <w:rsid w:val="00153258"/>
    <w:rsid w:val="001532AF"/>
    <w:rsid w:val="00153335"/>
    <w:rsid w:val="001533DE"/>
    <w:rsid w:val="0015349F"/>
    <w:rsid w:val="001534DC"/>
    <w:rsid w:val="00153503"/>
    <w:rsid w:val="00153553"/>
    <w:rsid w:val="001536B2"/>
    <w:rsid w:val="001536E4"/>
    <w:rsid w:val="00153854"/>
    <w:rsid w:val="0015388E"/>
    <w:rsid w:val="00153A85"/>
    <w:rsid w:val="00153A89"/>
    <w:rsid w:val="00153B25"/>
    <w:rsid w:val="00153C1E"/>
    <w:rsid w:val="00153C96"/>
    <w:rsid w:val="00153CEA"/>
    <w:rsid w:val="00153D0C"/>
    <w:rsid w:val="00153D7C"/>
    <w:rsid w:val="00153D85"/>
    <w:rsid w:val="00153D8F"/>
    <w:rsid w:val="001540B2"/>
    <w:rsid w:val="001540DA"/>
    <w:rsid w:val="00154133"/>
    <w:rsid w:val="00154214"/>
    <w:rsid w:val="001542DE"/>
    <w:rsid w:val="00154360"/>
    <w:rsid w:val="0015455D"/>
    <w:rsid w:val="0015456A"/>
    <w:rsid w:val="001545E2"/>
    <w:rsid w:val="001546E4"/>
    <w:rsid w:val="0015496B"/>
    <w:rsid w:val="001549DA"/>
    <w:rsid w:val="00154A14"/>
    <w:rsid w:val="00154A66"/>
    <w:rsid w:val="00154BF4"/>
    <w:rsid w:val="00154BF5"/>
    <w:rsid w:val="00154CA8"/>
    <w:rsid w:val="00154D7D"/>
    <w:rsid w:val="00154F35"/>
    <w:rsid w:val="0015516A"/>
    <w:rsid w:val="001551E8"/>
    <w:rsid w:val="0015526E"/>
    <w:rsid w:val="001552F6"/>
    <w:rsid w:val="00155597"/>
    <w:rsid w:val="001555CF"/>
    <w:rsid w:val="001556B7"/>
    <w:rsid w:val="001556F8"/>
    <w:rsid w:val="00155732"/>
    <w:rsid w:val="0015579C"/>
    <w:rsid w:val="001557BF"/>
    <w:rsid w:val="00155862"/>
    <w:rsid w:val="00155915"/>
    <w:rsid w:val="00155AC1"/>
    <w:rsid w:val="00155BA3"/>
    <w:rsid w:val="00155D2B"/>
    <w:rsid w:val="00155DAF"/>
    <w:rsid w:val="00155E7C"/>
    <w:rsid w:val="00155E9C"/>
    <w:rsid w:val="00155EEB"/>
    <w:rsid w:val="00155EF2"/>
    <w:rsid w:val="00155FF3"/>
    <w:rsid w:val="00156182"/>
    <w:rsid w:val="001561A3"/>
    <w:rsid w:val="001562B9"/>
    <w:rsid w:val="0015657E"/>
    <w:rsid w:val="00156645"/>
    <w:rsid w:val="001566AA"/>
    <w:rsid w:val="001566C9"/>
    <w:rsid w:val="001566F2"/>
    <w:rsid w:val="00156738"/>
    <w:rsid w:val="001567D3"/>
    <w:rsid w:val="001568DE"/>
    <w:rsid w:val="001569E1"/>
    <w:rsid w:val="001569F0"/>
    <w:rsid w:val="00156ACB"/>
    <w:rsid w:val="00156DEE"/>
    <w:rsid w:val="00156EC5"/>
    <w:rsid w:val="00156FF2"/>
    <w:rsid w:val="00157031"/>
    <w:rsid w:val="001572B9"/>
    <w:rsid w:val="001572BA"/>
    <w:rsid w:val="00157316"/>
    <w:rsid w:val="0015742D"/>
    <w:rsid w:val="001574C0"/>
    <w:rsid w:val="0015756E"/>
    <w:rsid w:val="001575B7"/>
    <w:rsid w:val="001575DE"/>
    <w:rsid w:val="00157602"/>
    <w:rsid w:val="0015767C"/>
    <w:rsid w:val="001576F6"/>
    <w:rsid w:val="00157780"/>
    <w:rsid w:val="0015778C"/>
    <w:rsid w:val="0015784E"/>
    <w:rsid w:val="0015795B"/>
    <w:rsid w:val="00157A68"/>
    <w:rsid w:val="00157A87"/>
    <w:rsid w:val="00157BDD"/>
    <w:rsid w:val="00157C98"/>
    <w:rsid w:val="00157E42"/>
    <w:rsid w:val="00157E72"/>
    <w:rsid w:val="00157F88"/>
    <w:rsid w:val="0016010D"/>
    <w:rsid w:val="00160122"/>
    <w:rsid w:val="00160141"/>
    <w:rsid w:val="00160340"/>
    <w:rsid w:val="00160571"/>
    <w:rsid w:val="00160606"/>
    <w:rsid w:val="0016063B"/>
    <w:rsid w:val="00160742"/>
    <w:rsid w:val="00160779"/>
    <w:rsid w:val="0016090A"/>
    <w:rsid w:val="00160932"/>
    <w:rsid w:val="001609EE"/>
    <w:rsid w:val="00160B4D"/>
    <w:rsid w:val="00160C5C"/>
    <w:rsid w:val="00160D46"/>
    <w:rsid w:val="00160ECF"/>
    <w:rsid w:val="00160F15"/>
    <w:rsid w:val="00160F75"/>
    <w:rsid w:val="00161182"/>
    <w:rsid w:val="001612AB"/>
    <w:rsid w:val="0016130A"/>
    <w:rsid w:val="00161349"/>
    <w:rsid w:val="0016135B"/>
    <w:rsid w:val="0016135F"/>
    <w:rsid w:val="00161426"/>
    <w:rsid w:val="0016151B"/>
    <w:rsid w:val="00161609"/>
    <w:rsid w:val="0016160F"/>
    <w:rsid w:val="00161653"/>
    <w:rsid w:val="001616F9"/>
    <w:rsid w:val="00161766"/>
    <w:rsid w:val="0016181B"/>
    <w:rsid w:val="00161970"/>
    <w:rsid w:val="00161A70"/>
    <w:rsid w:val="00161A95"/>
    <w:rsid w:val="00161B89"/>
    <w:rsid w:val="00161F6A"/>
    <w:rsid w:val="00161F6B"/>
    <w:rsid w:val="00161F6D"/>
    <w:rsid w:val="00161FC8"/>
    <w:rsid w:val="00162105"/>
    <w:rsid w:val="0016219E"/>
    <w:rsid w:val="001621DA"/>
    <w:rsid w:val="001622BE"/>
    <w:rsid w:val="00162315"/>
    <w:rsid w:val="0016234E"/>
    <w:rsid w:val="001623E5"/>
    <w:rsid w:val="001623F0"/>
    <w:rsid w:val="001624D5"/>
    <w:rsid w:val="00162530"/>
    <w:rsid w:val="001625E3"/>
    <w:rsid w:val="001626A3"/>
    <w:rsid w:val="00162777"/>
    <w:rsid w:val="001627DA"/>
    <w:rsid w:val="00162903"/>
    <w:rsid w:val="00162A83"/>
    <w:rsid w:val="00162B6E"/>
    <w:rsid w:val="00162B72"/>
    <w:rsid w:val="00162D7F"/>
    <w:rsid w:val="00162D8F"/>
    <w:rsid w:val="00162E3E"/>
    <w:rsid w:val="00162F19"/>
    <w:rsid w:val="00162F50"/>
    <w:rsid w:val="00162F87"/>
    <w:rsid w:val="00163026"/>
    <w:rsid w:val="0016314E"/>
    <w:rsid w:val="001631D5"/>
    <w:rsid w:val="001631ED"/>
    <w:rsid w:val="001632AE"/>
    <w:rsid w:val="001632FE"/>
    <w:rsid w:val="00163301"/>
    <w:rsid w:val="00163351"/>
    <w:rsid w:val="001633AB"/>
    <w:rsid w:val="001635B0"/>
    <w:rsid w:val="00163695"/>
    <w:rsid w:val="0016383B"/>
    <w:rsid w:val="00163885"/>
    <w:rsid w:val="00163911"/>
    <w:rsid w:val="00163919"/>
    <w:rsid w:val="00163982"/>
    <w:rsid w:val="00163BF4"/>
    <w:rsid w:val="00163C2F"/>
    <w:rsid w:val="00163C67"/>
    <w:rsid w:val="00163C6C"/>
    <w:rsid w:val="00163D3D"/>
    <w:rsid w:val="00163EBE"/>
    <w:rsid w:val="00163EDE"/>
    <w:rsid w:val="00163F80"/>
    <w:rsid w:val="0016407A"/>
    <w:rsid w:val="0016417E"/>
    <w:rsid w:val="001641CC"/>
    <w:rsid w:val="001641E1"/>
    <w:rsid w:val="001642BC"/>
    <w:rsid w:val="001642FB"/>
    <w:rsid w:val="0016441C"/>
    <w:rsid w:val="00164626"/>
    <w:rsid w:val="00164659"/>
    <w:rsid w:val="00164713"/>
    <w:rsid w:val="00164986"/>
    <w:rsid w:val="00164AB8"/>
    <w:rsid w:val="00164BBC"/>
    <w:rsid w:val="00164D1B"/>
    <w:rsid w:val="00164DD9"/>
    <w:rsid w:val="00164E6B"/>
    <w:rsid w:val="00164FF7"/>
    <w:rsid w:val="00165148"/>
    <w:rsid w:val="001651B6"/>
    <w:rsid w:val="001652FC"/>
    <w:rsid w:val="00165603"/>
    <w:rsid w:val="00165606"/>
    <w:rsid w:val="00165A06"/>
    <w:rsid w:val="00165B69"/>
    <w:rsid w:val="00165BFA"/>
    <w:rsid w:val="00165C39"/>
    <w:rsid w:val="00165DFC"/>
    <w:rsid w:val="001660A7"/>
    <w:rsid w:val="001661B5"/>
    <w:rsid w:val="001662FA"/>
    <w:rsid w:val="00166458"/>
    <w:rsid w:val="00166531"/>
    <w:rsid w:val="00166697"/>
    <w:rsid w:val="001667DE"/>
    <w:rsid w:val="001669B6"/>
    <w:rsid w:val="00166A3D"/>
    <w:rsid w:val="00166B1E"/>
    <w:rsid w:val="00166B67"/>
    <w:rsid w:val="00166C28"/>
    <w:rsid w:val="00166E6F"/>
    <w:rsid w:val="00166FA5"/>
    <w:rsid w:val="00167026"/>
    <w:rsid w:val="00167078"/>
    <w:rsid w:val="0016742B"/>
    <w:rsid w:val="00167600"/>
    <w:rsid w:val="00167622"/>
    <w:rsid w:val="001678AC"/>
    <w:rsid w:val="00167A3C"/>
    <w:rsid w:val="00167A94"/>
    <w:rsid w:val="00167B0E"/>
    <w:rsid w:val="00167B66"/>
    <w:rsid w:val="00167CAD"/>
    <w:rsid w:val="00167CC3"/>
    <w:rsid w:val="00167CF4"/>
    <w:rsid w:val="00167DE4"/>
    <w:rsid w:val="00167E5E"/>
    <w:rsid w:val="00167ECF"/>
    <w:rsid w:val="00167F81"/>
    <w:rsid w:val="00167FCB"/>
    <w:rsid w:val="00167FD4"/>
    <w:rsid w:val="00170013"/>
    <w:rsid w:val="0017008C"/>
    <w:rsid w:val="001700BA"/>
    <w:rsid w:val="001701E5"/>
    <w:rsid w:val="00170252"/>
    <w:rsid w:val="001703FB"/>
    <w:rsid w:val="00170495"/>
    <w:rsid w:val="0017052D"/>
    <w:rsid w:val="001706C0"/>
    <w:rsid w:val="00170777"/>
    <w:rsid w:val="00170904"/>
    <w:rsid w:val="0017095D"/>
    <w:rsid w:val="0017096C"/>
    <w:rsid w:val="001709A4"/>
    <w:rsid w:val="001709C9"/>
    <w:rsid w:val="00170A32"/>
    <w:rsid w:val="00170A6C"/>
    <w:rsid w:val="00170B16"/>
    <w:rsid w:val="00170B75"/>
    <w:rsid w:val="00170D74"/>
    <w:rsid w:val="00170FC5"/>
    <w:rsid w:val="00171010"/>
    <w:rsid w:val="0017130D"/>
    <w:rsid w:val="00171325"/>
    <w:rsid w:val="001713A7"/>
    <w:rsid w:val="001715FB"/>
    <w:rsid w:val="0017169B"/>
    <w:rsid w:val="001716C8"/>
    <w:rsid w:val="0017188A"/>
    <w:rsid w:val="00171965"/>
    <w:rsid w:val="001719F2"/>
    <w:rsid w:val="00171A97"/>
    <w:rsid w:val="00171AA7"/>
    <w:rsid w:val="00171ADC"/>
    <w:rsid w:val="00171B07"/>
    <w:rsid w:val="00171C2A"/>
    <w:rsid w:val="00171C4C"/>
    <w:rsid w:val="00171D0D"/>
    <w:rsid w:val="00171D98"/>
    <w:rsid w:val="00171E2C"/>
    <w:rsid w:val="00171E60"/>
    <w:rsid w:val="00171EBE"/>
    <w:rsid w:val="00171EF3"/>
    <w:rsid w:val="0017204B"/>
    <w:rsid w:val="00172075"/>
    <w:rsid w:val="00172108"/>
    <w:rsid w:val="00172266"/>
    <w:rsid w:val="00172269"/>
    <w:rsid w:val="001722F1"/>
    <w:rsid w:val="001723EC"/>
    <w:rsid w:val="001726EE"/>
    <w:rsid w:val="00172792"/>
    <w:rsid w:val="0017282C"/>
    <w:rsid w:val="0017288C"/>
    <w:rsid w:val="001728E7"/>
    <w:rsid w:val="001729D3"/>
    <w:rsid w:val="001729F3"/>
    <w:rsid w:val="00172A99"/>
    <w:rsid w:val="00172AC5"/>
    <w:rsid w:val="00172B29"/>
    <w:rsid w:val="00172B8B"/>
    <w:rsid w:val="00172C04"/>
    <w:rsid w:val="00172D0D"/>
    <w:rsid w:val="00172E35"/>
    <w:rsid w:val="00172E71"/>
    <w:rsid w:val="00172ED5"/>
    <w:rsid w:val="00173060"/>
    <w:rsid w:val="0017307F"/>
    <w:rsid w:val="0017312E"/>
    <w:rsid w:val="001731F1"/>
    <w:rsid w:val="00173222"/>
    <w:rsid w:val="00173261"/>
    <w:rsid w:val="001732D5"/>
    <w:rsid w:val="0017334B"/>
    <w:rsid w:val="001734AF"/>
    <w:rsid w:val="001734ED"/>
    <w:rsid w:val="001735FE"/>
    <w:rsid w:val="00173883"/>
    <w:rsid w:val="0017394A"/>
    <w:rsid w:val="00173A1F"/>
    <w:rsid w:val="00173BA4"/>
    <w:rsid w:val="00173BAE"/>
    <w:rsid w:val="00173BF4"/>
    <w:rsid w:val="00173DF3"/>
    <w:rsid w:val="00173F84"/>
    <w:rsid w:val="00173F91"/>
    <w:rsid w:val="0017417A"/>
    <w:rsid w:val="00174187"/>
    <w:rsid w:val="0017437C"/>
    <w:rsid w:val="0017439B"/>
    <w:rsid w:val="0017448A"/>
    <w:rsid w:val="00174585"/>
    <w:rsid w:val="00174770"/>
    <w:rsid w:val="00174778"/>
    <w:rsid w:val="0017491D"/>
    <w:rsid w:val="00174970"/>
    <w:rsid w:val="001749CB"/>
    <w:rsid w:val="00174AB2"/>
    <w:rsid w:val="00174C7B"/>
    <w:rsid w:val="00174DC4"/>
    <w:rsid w:val="00174E23"/>
    <w:rsid w:val="00174FAD"/>
    <w:rsid w:val="00174FBD"/>
    <w:rsid w:val="0017509E"/>
    <w:rsid w:val="0017522B"/>
    <w:rsid w:val="001752AD"/>
    <w:rsid w:val="0017535D"/>
    <w:rsid w:val="00175555"/>
    <w:rsid w:val="0017584D"/>
    <w:rsid w:val="001758B7"/>
    <w:rsid w:val="001759CA"/>
    <w:rsid w:val="00175AF3"/>
    <w:rsid w:val="00175C01"/>
    <w:rsid w:val="00175C02"/>
    <w:rsid w:val="00175DA9"/>
    <w:rsid w:val="00175E45"/>
    <w:rsid w:val="00175F23"/>
    <w:rsid w:val="00176151"/>
    <w:rsid w:val="00176217"/>
    <w:rsid w:val="00176230"/>
    <w:rsid w:val="0017624A"/>
    <w:rsid w:val="00176418"/>
    <w:rsid w:val="00176630"/>
    <w:rsid w:val="0017678F"/>
    <w:rsid w:val="00176CB4"/>
    <w:rsid w:val="00176F16"/>
    <w:rsid w:val="00176FA5"/>
    <w:rsid w:val="00176FB3"/>
    <w:rsid w:val="001770EE"/>
    <w:rsid w:val="001770FD"/>
    <w:rsid w:val="00177574"/>
    <w:rsid w:val="001776B8"/>
    <w:rsid w:val="0017770C"/>
    <w:rsid w:val="00177886"/>
    <w:rsid w:val="001778D9"/>
    <w:rsid w:val="00177A5A"/>
    <w:rsid w:val="00177B41"/>
    <w:rsid w:val="00177B8E"/>
    <w:rsid w:val="00177BCE"/>
    <w:rsid w:val="00177BDA"/>
    <w:rsid w:val="00177C87"/>
    <w:rsid w:val="00177CB9"/>
    <w:rsid w:val="00177CBC"/>
    <w:rsid w:val="00177E07"/>
    <w:rsid w:val="00177EA9"/>
    <w:rsid w:val="00177F10"/>
    <w:rsid w:val="0017BEAD"/>
    <w:rsid w:val="00180020"/>
    <w:rsid w:val="00180038"/>
    <w:rsid w:val="001800E9"/>
    <w:rsid w:val="0018021D"/>
    <w:rsid w:val="0018027B"/>
    <w:rsid w:val="001802DE"/>
    <w:rsid w:val="00180438"/>
    <w:rsid w:val="00180507"/>
    <w:rsid w:val="0018059B"/>
    <w:rsid w:val="00180602"/>
    <w:rsid w:val="0018062C"/>
    <w:rsid w:val="0018069F"/>
    <w:rsid w:val="001806D4"/>
    <w:rsid w:val="00180796"/>
    <w:rsid w:val="001808CC"/>
    <w:rsid w:val="0018096B"/>
    <w:rsid w:val="00180A0E"/>
    <w:rsid w:val="00180A5F"/>
    <w:rsid w:val="00180ABB"/>
    <w:rsid w:val="00180B21"/>
    <w:rsid w:val="00180CAD"/>
    <w:rsid w:val="00180D1D"/>
    <w:rsid w:val="00180F1C"/>
    <w:rsid w:val="00180F2F"/>
    <w:rsid w:val="00180F5E"/>
    <w:rsid w:val="0018101E"/>
    <w:rsid w:val="001811C2"/>
    <w:rsid w:val="00181320"/>
    <w:rsid w:val="0018149D"/>
    <w:rsid w:val="001816E6"/>
    <w:rsid w:val="00181A1C"/>
    <w:rsid w:val="00181C10"/>
    <w:rsid w:val="00181C65"/>
    <w:rsid w:val="00181D2F"/>
    <w:rsid w:val="00181F66"/>
    <w:rsid w:val="00181FFA"/>
    <w:rsid w:val="00182053"/>
    <w:rsid w:val="00182095"/>
    <w:rsid w:val="001821AC"/>
    <w:rsid w:val="00182203"/>
    <w:rsid w:val="0018227D"/>
    <w:rsid w:val="0018231D"/>
    <w:rsid w:val="00182330"/>
    <w:rsid w:val="00182671"/>
    <w:rsid w:val="001826D5"/>
    <w:rsid w:val="001828B7"/>
    <w:rsid w:val="001829F3"/>
    <w:rsid w:val="00182A33"/>
    <w:rsid w:val="00182B4D"/>
    <w:rsid w:val="00182DBF"/>
    <w:rsid w:val="00183179"/>
    <w:rsid w:val="00183261"/>
    <w:rsid w:val="001832F3"/>
    <w:rsid w:val="00183375"/>
    <w:rsid w:val="001833FA"/>
    <w:rsid w:val="00183430"/>
    <w:rsid w:val="0018349E"/>
    <w:rsid w:val="001835DC"/>
    <w:rsid w:val="0018362F"/>
    <w:rsid w:val="001836AD"/>
    <w:rsid w:val="00183804"/>
    <w:rsid w:val="0018386D"/>
    <w:rsid w:val="00183894"/>
    <w:rsid w:val="00183B92"/>
    <w:rsid w:val="00183C0C"/>
    <w:rsid w:val="00183CE9"/>
    <w:rsid w:val="00183D95"/>
    <w:rsid w:val="00183EE6"/>
    <w:rsid w:val="00183FD6"/>
    <w:rsid w:val="0018400B"/>
    <w:rsid w:val="00184032"/>
    <w:rsid w:val="00184047"/>
    <w:rsid w:val="00184144"/>
    <w:rsid w:val="001841B9"/>
    <w:rsid w:val="001841C4"/>
    <w:rsid w:val="001841CE"/>
    <w:rsid w:val="0018434A"/>
    <w:rsid w:val="00184356"/>
    <w:rsid w:val="00184420"/>
    <w:rsid w:val="00184511"/>
    <w:rsid w:val="00184553"/>
    <w:rsid w:val="00184575"/>
    <w:rsid w:val="00184599"/>
    <w:rsid w:val="001846D8"/>
    <w:rsid w:val="00184817"/>
    <w:rsid w:val="0018482E"/>
    <w:rsid w:val="00184899"/>
    <w:rsid w:val="0018489A"/>
    <w:rsid w:val="00184935"/>
    <w:rsid w:val="001849C7"/>
    <w:rsid w:val="00184A86"/>
    <w:rsid w:val="00184AE2"/>
    <w:rsid w:val="00184B23"/>
    <w:rsid w:val="00184B51"/>
    <w:rsid w:val="00184C72"/>
    <w:rsid w:val="00184D36"/>
    <w:rsid w:val="00184E77"/>
    <w:rsid w:val="00184E88"/>
    <w:rsid w:val="00184EB5"/>
    <w:rsid w:val="00184F99"/>
    <w:rsid w:val="00184FB0"/>
    <w:rsid w:val="00184FD5"/>
    <w:rsid w:val="0018501C"/>
    <w:rsid w:val="00185153"/>
    <w:rsid w:val="001851CB"/>
    <w:rsid w:val="001852D6"/>
    <w:rsid w:val="001852FC"/>
    <w:rsid w:val="00185302"/>
    <w:rsid w:val="0018533E"/>
    <w:rsid w:val="00185394"/>
    <w:rsid w:val="001853C8"/>
    <w:rsid w:val="001853F3"/>
    <w:rsid w:val="001854A3"/>
    <w:rsid w:val="001855D0"/>
    <w:rsid w:val="001856AF"/>
    <w:rsid w:val="001856B7"/>
    <w:rsid w:val="00185736"/>
    <w:rsid w:val="00185822"/>
    <w:rsid w:val="00185922"/>
    <w:rsid w:val="001859DA"/>
    <w:rsid w:val="00185A04"/>
    <w:rsid w:val="00185A1B"/>
    <w:rsid w:val="00185A47"/>
    <w:rsid w:val="00185A71"/>
    <w:rsid w:val="00185B6A"/>
    <w:rsid w:val="00185DB9"/>
    <w:rsid w:val="00185EF0"/>
    <w:rsid w:val="001862ED"/>
    <w:rsid w:val="00186389"/>
    <w:rsid w:val="00186481"/>
    <w:rsid w:val="00186693"/>
    <w:rsid w:val="0018669A"/>
    <w:rsid w:val="0018683E"/>
    <w:rsid w:val="0018692A"/>
    <w:rsid w:val="00186A94"/>
    <w:rsid w:val="00186BC8"/>
    <w:rsid w:val="00186C20"/>
    <w:rsid w:val="00186C83"/>
    <w:rsid w:val="00186CFB"/>
    <w:rsid w:val="00186D35"/>
    <w:rsid w:val="00186D63"/>
    <w:rsid w:val="00186D6F"/>
    <w:rsid w:val="00186D8A"/>
    <w:rsid w:val="00186DD6"/>
    <w:rsid w:val="00186E9C"/>
    <w:rsid w:val="00186F00"/>
    <w:rsid w:val="001870A0"/>
    <w:rsid w:val="001870BA"/>
    <w:rsid w:val="00187548"/>
    <w:rsid w:val="001877EF"/>
    <w:rsid w:val="001878EE"/>
    <w:rsid w:val="00187A89"/>
    <w:rsid w:val="00187B1F"/>
    <w:rsid w:val="00187BC0"/>
    <w:rsid w:val="00187C27"/>
    <w:rsid w:val="00187C8D"/>
    <w:rsid w:val="00187CB0"/>
    <w:rsid w:val="00187D4D"/>
    <w:rsid w:val="001900DB"/>
    <w:rsid w:val="00190264"/>
    <w:rsid w:val="001902E9"/>
    <w:rsid w:val="0019030A"/>
    <w:rsid w:val="00190311"/>
    <w:rsid w:val="0019040A"/>
    <w:rsid w:val="001904CC"/>
    <w:rsid w:val="0019056C"/>
    <w:rsid w:val="0019059E"/>
    <w:rsid w:val="0019063D"/>
    <w:rsid w:val="0019068D"/>
    <w:rsid w:val="00190708"/>
    <w:rsid w:val="00190811"/>
    <w:rsid w:val="001909E3"/>
    <w:rsid w:val="00190BBB"/>
    <w:rsid w:val="00190C3C"/>
    <w:rsid w:val="00190C44"/>
    <w:rsid w:val="00190C8D"/>
    <w:rsid w:val="00190D7B"/>
    <w:rsid w:val="00190EE1"/>
    <w:rsid w:val="00190FD5"/>
    <w:rsid w:val="00191171"/>
    <w:rsid w:val="001911F0"/>
    <w:rsid w:val="00191227"/>
    <w:rsid w:val="00191249"/>
    <w:rsid w:val="001912F1"/>
    <w:rsid w:val="001912FE"/>
    <w:rsid w:val="00191347"/>
    <w:rsid w:val="00191358"/>
    <w:rsid w:val="001913C2"/>
    <w:rsid w:val="001913C6"/>
    <w:rsid w:val="0019140B"/>
    <w:rsid w:val="00191488"/>
    <w:rsid w:val="00191677"/>
    <w:rsid w:val="001916D7"/>
    <w:rsid w:val="00191951"/>
    <w:rsid w:val="00191A1B"/>
    <w:rsid w:val="00191B54"/>
    <w:rsid w:val="00191CD8"/>
    <w:rsid w:val="00191F8E"/>
    <w:rsid w:val="00192091"/>
    <w:rsid w:val="0019216E"/>
    <w:rsid w:val="00192381"/>
    <w:rsid w:val="001923E5"/>
    <w:rsid w:val="001924E2"/>
    <w:rsid w:val="0019257A"/>
    <w:rsid w:val="001925F2"/>
    <w:rsid w:val="001925FB"/>
    <w:rsid w:val="00192745"/>
    <w:rsid w:val="00192782"/>
    <w:rsid w:val="00192889"/>
    <w:rsid w:val="00192943"/>
    <w:rsid w:val="00192A6C"/>
    <w:rsid w:val="00192C21"/>
    <w:rsid w:val="00192F74"/>
    <w:rsid w:val="00192F89"/>
    <w:rsid w:val="0019311C"/>
    <w:rsid w:val="00193122"/>
    <w:rsid w:val="00193136"/>
    <w:rsid w:val="0019340C"/>
    <w:rsid w:val="0019343C"/>
    <w:rsid w:val="00193450"/>
    <w:rsid w:val="00193477"/>
    <w:rsid w:val="001934C0"/>
    <w:rsid w:val="00193543"/>
    <w:rsid w:val="00193594"/>
    <w:rsid w:val="001936C0"/>
    <w:rsid w:val="00193731"/>
    <w:rsid w:val="00193784"/>
    <w:rsid w:val="0019384A"/>
    <w:rsid w:val="00193949"/>
    <w:rsid w:val="00193A9F"/>
    <w:rsid w:val="00193BC1"/>
    <w:rsid w:val="00193C28"/>
    <w:rsid w:val="00193D9A"/>
    <w:rsid w:val="00193FEA"/>
    <w:rsid w:val="00194343"/>
    <w:rsid w:val="00194555"/>
    <w:rsid w:val="0019456D"/>
    <w:rsid w:val="0019475F"/>
    <w:rsid w:val="001947FF"/>
    <w:rsid w:val="0019496D"/>
    <w:rsid w:val="00194B01"/>
    <w:rsid w:val="00194CB5"/>
    <w:rsid w:val="00194EFA"/>
    <w:rsid w:val="0019511C"/>
    <w:rsid w:val="00195298"/>
    <w:rsid w:val="001952B0"/>
    <w:rsid w:val="00195433"/>
    <w:rsid w:val="001956C1"/>
    <w:rsid w:val="001956D7"/>
    <w:rsid w:val="00195726"/>
    <w:rsid w:val="001957A2"/>
    <w:rsid w:val="0019583C"/>
    <w:rsid w:val="0019592D"/>
    <w:rsid w:val="00195ABB"/>
    <w:rsid w:val="00195BB2"/>
    <w:rsid w:val="00195BC1"/>
    <w:rsid w:val="00195C3B"/>
    <w:rsid w:val="00195C84"/>
    <w:rsid w:val="00195E32"/>
    <w:rsid w:val="00195E80"/>
    <w:rsid w:val="00195E8F"/>
    <w:rsid w:val="00195F04"/>
    <w:rsid w:val="00195F2A"/>
    <w:rsid w:val="001962F6"/>
    <w:rsid w:val="001964BD"/>
    <w:rsid w:val="001964CD"/>
    <w:rsid w:val="0019653F"/>
    <w:rsid w:val="00196854"/>
    <w:rsid w:val="001969D6"/>
    <w:rsid w:val="00196A86"/>
    <w:rsid w:val="00196CA8"/>
    <w:rsid w:val="00196DBA"/>
    <w:rsid w:val="00196E31"/>
    <w:rsid w:val="00196F44"/>
    <w:rsid w:val="001970F7"/>
    <w:rsid w:val="00197256"/>
    <w:rsid w:val="001972D1"/>
    <w:rsid w:val="0019732F"/>
    <w:rsid w:val="0019738F"/>
    <w:rsid w:val="00197405"/>
    <w:rsid w:val="001974C2"/>
    <w:rsid w:val="0019774B"/>
    <w:rsid w:val="0019778D"/>
    <w:rsid w:val="00197A49"/>
    <w:rsid w:val="00197B66"/>
    <w:rsid w:val="00197CBE"/>
    <w:rsid w:val="00197DB1"/>
    <w:rsid w:val="00197E8B"/>
    <w:rsid w:val="00197EC2"/>
    <w:rsid w:val="001A0273"/>
    <w:rsid w:val="001A0575"/>
    <w:rsid w:val="001A05D5"/>
    <w:rsid w:val="001A0863"/>
    <w:rsid w:val="001A08D3"/>
    <w:rsid w:val="001A09BD"/>
    <w:rsid w:val="001A09FE"/>
    <w:rsid w:val="001A0AD9"/>
    <w:rsid w:val="001A0BA4"/>
    <w:rsid w:val="001A0CC1"/>
    <w:rsid w:val="001A0D87"/>
    <w:rsid w:val="001A0DF2"/>
    <w:rsid w:val="001A0FEB"/>
    <w:rsid w:val="001A116D"/>
    <w:rsid w:val="001A1184"/>
    <w:rsid w:val="001A120F"/>
    <w:rsid w:val="001A125D"/>
    <w:rsid w:val="001A12DF"/>
    <w:rsid w:val="001A12F3"/>
    <w:rsid w:val="001A15FE"/>
    <w:rsid w:val="001A174B"/>
    <w:rsid w:val="001A18B2"/>
    <w:rsid w:val="001A19DF"/>
    <w:rsid w:val="001A19EA"/>
    <w:rsid w:val="001A1B65"/>
    <w:rsid w:val="001A1B81"/>
    <w:rsid w:val="001A1C81"/>
    <w:rsid w:val="001A1CEC"/>
    <w:rsid w:val="001A1D51"/>
    <w:rsid w:val="001A1E0B"/>
    <w:rsid w:val="001A1E73"/>
    <w:rsid w:val="001A20E4"/>
    <w:rsid w:val="001A2111"/>
    <w:rsid w:val="001A2254"/>
    <w:rsid w:val="001A24F0"/>
    <w:rsid w:val="001A26DF"/>
    <w:rsid w:val="001A2741"/>
    <w:rsid w:val="001A275F"/>
    <w:rsid w:val="001A2A5C"/>
    <w:rsid w:val="001A2AA6"/>
    <w:rsid w:val="001A2AEE"/>
    <w:rsid w:val="001A2BA2"/>
    <w:rsid w:val="001A2C3E"/>
    <w:rsid w:val="001A2D1F"/>
    <w:rsid w:val="001A2D2A"/>
    <w:rsid w:val="001A3163"/>
    <w:rsid w:val="001A3378"/>
    <w:rsid w:val="001A33FE"/>
    <w:rsid w:val="001A3410"/>
    <w:rsid w:val="001A342D"/>
    <w:rsid w:val="001A347F"/>
    <w:rsid w:val="001A3523"/>
    <w:rsid w:val="001A3579"/>
    <w:rsid w:val="001A3615"/>
    <w:rsid w:val="001A365C"/>
    <w:rsid w:val="001A38F4"/>
    <w:rsid w:val="001A39A2"/>
    <w:rsid w:val="001A39B7"/>
    <w:rsid w:val="001A39E7"/>
    <w:rsid w:val="001A3A22"/>
    <w:rsid w:val="001A3A62"/>
    <w:rsid w:val="001A3A7A"/>
    <w:rsid w:val="001A3B11"/>
    <w:rsid w:val="001A3C88"/>
    <w:rsid w:val="001A3D90"/>
    <w:rsid w:val="001A3E96"/>
    <w:rsid w:val="001A40A7"/>
    <w:rsid w:val="001A4209"/>
    <w:rsid w:val="001A429F"/>
    <w:rsid w:val="001A4594"/>
    <w:rsid w:val="001A46C7"/>
    <w:rsid w:val="001A4834"/>
    <w:rsid w:val="001A4847"/>
    <w:rsid w:val="001A4918"/>
    <w:rsid w:val="001A49FA"/>
    <w:rsid w:val="001A4AF6"/>
    <w:rsid w:val="001A4BB2"/>
    <w:rsid w:val="001A4C18"/>
    <w:rsid w:val="001A4C52"/>
    <w:rsid w:val="001A4CA8"/>
    <w:rsid w:val="001A4D47"/>
    <w:rsid w:val="001A4D53"/>
    <w:rsid w:val="001A4DA2"/>
    <w:rsid w:val="001A4DE6"/>
    <w:rsid w:val="001A4E92"/>
    <w:rsid w:val="001A4EB1"/>
    <w:rsid w:val="001A5158"/>
    <w:rsid w:val="001A5396"/>
    <w:rsid w:val="001A53D2"/>
    <w:rsid w:val="001A53F3"/>
    <w:rsid w:val="001A545D"/>
    <w:rsid w:val="001A54DC"/>
    <w:rsid w:val="001A55BD"/>
    <w:rsid w:val="001A55E4"/>
    <w:rsid w:val="001A566E"/>
    <w:rsid w:val="001A56DF"/>
    <w:rsid w:val="001A5976"/>
    <w:rsid w:val="001A5ACA"/>
    <w:rsid w:val="001A5B5B"/>
    <w:rsid w:val="001A5B69"/>
    <w:rsid w:val="001A5C11"/>
    <w:rsid w:val="001A5E03"/>
    <w:rsid w:val="001A5E3E"/>
    <w:rsid w:val="001A5EB5"/>
    <w:rsid w:val="001A6154"/>
    <w:rsid w:val="001A623E"/>
    <w:rsid w:val="001A6250"/>
    <w:rsid w:val="001A62BA"/>
    <w:rsid w:val="001A63FB"/>
    <w:rsid w:val="001A657F"/>
    <w:rsid w:val="001A66DA"/>
    <w:rsid w:val="001A6A7F"/>
    <w:rsid w:val="001A6CE3"/>
    <w:rsid w:val="001A6D06"/>
    <w:rsid w:val="001A6D61"/>
    <w:rsid w:val="001A6DD3"/>
    <w:rsid w:val="001A6E60"/>
    <w:rsid w:val="001A704E"/>
    <w:rsid w:val="001A707F"/>
    <w:rsid w:val="001A716F"/>
    <w:rsid w:val="001A72C5"/>
    <w:rsid w:val="001A7365"/>
    <w:rsid w:val="001A737E"/>
    <w:rsid w:val="001A771C"/>
    <w:rsid w:val="001A77D1"/>
    <w:rsid w:val="001A77EB"/>
    <w:rsid w:val="001A77F1"/>
    <w:rsid w:val="001A7843"/>
    <w:rsid w:val="001A7866"/>
    <w:rsid w:val="001A7A22"/>
    <w:rsid w:val="001A7AEB"/>
    <w:rsid w:val="001A7AEF"/>
    <w:rsid w:val="001A7BC2"/>
    <w:rsid w:val="001A7D2C"/>
    <w:rsid w:val="001A7F6B"/>
    <w:rsid w:val="001B00F6"/>
    <w:rsid w:val="001B02F3"/>
    <w:rsid w:val="001B0426"/>
    <w:rsid w:val="001B049F"/>
    <w:rsid w:val="001B04AD"/>
    <w:rsid w:val="001B04DC"/>
    <w:rsid w:val="001B0502"/>
    <w:rsid w:val="001B0556"/>
    <w:rsid w:val="001B056F"/>
    <w:rsid w:val="001B07AE"/>
    <w:rsid w:val="001B08EE"/>
    <w:rsid w:val="001B0976"/>
    <w:rsid w:val="001B0A20"/>
    <w:rsid w:val="001B0A70"/>
    <w:rsid w:val="001B0C74"/>
    <w:rsid w:val="001B0C96"/>
    <w:rsid w:val="001B0E4D"/>
    <w:rsid w:val="001B0F4C"/>
    <w:rsid w:val="001B1003"/>
    <w:rsid w:val="001B10ED"/>
    <w:rsid w:val="001B10F4"/>
    <w:rsid w:val="001B11A2"/>
    <w:rsid w:val="001B123D"/>
    <w:rsid w:val="001B1278"/>
    <w:rsid w:val="001B1368"/>
    <w:rsid w:val="001B14D1"/>
    <w:rsid w:val="001B1538"/>
    <w:rsid w:val="001B15ED"/>
    <w:rsid w:val="001B1881"/>
    <w:rsid w:val="001B1957"/>
    <w:rsid w:val="001B1AA8"/>
    <w:rsid w:val="001B1C72"/>
    <w:rsid w:val="001B1CCE"/>
    <w:rsid w:val="001B1F20"/>
    <w:rsid w:val="001B1F46"/>
    <w:rsid w:val="001B1FC1"/>
    <w:rsid w:val="001B2008"/>
    <w:rsid w:val="001B2043"/>
    <w:rsid w:val="001B23B9"/>
    <w:rsid w:val="001B248D"/>
    <w:rsid w:val="001B2688"/>
    <w:rsid w:val="001B26A8"/>
    <w:rsid w:val="001B2738"/>
    <w:rsid w:val="001B27FB"/>
    <w:rsid w:val="001B29FD"/>
    <w:rsid w:val="001B2A46"/>
    <w:rsid w:val="001B2B62"/>
    <w:rsid w:val="001B2BF6"/>
    <w:rsid w:val="001B2CF5"/>
    <w:rsid w:val="001B2E7E"/>
    <w:rsid w:val="001B2E8D"/>
    <w:rsid w:val="001B2F2C"/>
    <w:rsid w:val="001B301E"/>
    <w:rsid w:val="001B30B7"/>
    <w:rsid w:val="001B3178"/>
    <w:rsid w:val="001B3197"/>
    <w:rsid w:val="001B319B"/>
    <w:rsid w:val="001B32E5"/>
    <w:rsid w:val="001B3321"/>
    <w:rsid w:val="001B3348"/>
    <w:rsid w:val="001B34B3"/>
    <w:rsid w:val="001B3560"/>
    <w:rsid w:val="001B35BF"/>
    <w:rsid w:val="001B35C7"/>
    <w:rsid w:val="001B37F7"/>
    <w:rsid w:val="001B384E"/>
    <w:rsid w:val="001B38AF"/>
    <w:rsid w:val="001B390E"/>
    <w:rsid w:val="001B3CD4"/>
    <w:rsid w:val="001B3D0F"/>
    <w:rsid w:val="001B3D36"/>
    <w:rsid w:val="001B3DCB"/>
    <w:rsid w:val="001B3E64"/>
    <w:rsid w:val="001B3EC0"/>
    <w:rsid w:val="001B424A"/>
    <w:rsid w:val="001B447C"/>
    <w:rsid w:val="001B4488"/>
    <w:rsid w:val="001B4584"/>
    <w:rsid w:val="001B464D"/>
    <w:rsid w:val="001B4759"/>
    <w:rsid w:val="001B47D2"/>
    <w:rsid w:val="001B49CD"/>
    <w:rsid w:val="001B49D7"/>
    <w:rsid w:val="001B4A84"/>
    <w:rsid w:val="001B4A8C"/>
    <w:rsid w:val="001B4A8D"/>
    <w:rsid w:val="001B4D45"/>
    <w:rsid w:val="001B4EDF"/>
    <w:rsid w:val="001B5007"/>
    <w:rsid w:val="001B512E"/>
    <w:rsid w:val="001B5200"/>
    <w:rsid w:val="001B52A6"/>
    <w:rsid w:val="001B52D1"/>
    <w:rsid w:val="001B5399"/>
    <w:rsid w:val="001B5444"/>
    <w:rsid w:val="001B54D3"/>
    <w:rsid w:val="001B55CD"/>
    <w:rsid w:val="001B56ED"/>
    <w:rsid w:val="001B575D"/>
    <w:rsid w:val="001B57FA"/>
    <w:rsid w:val="001B59C3"/>
    <w:rsid w:val="001B5A2F"/>
    <w:rsid w:val="001B5B20"/>
    <w:rsid w:val="001B5B8B"/>
    <w:rsid w:val="001B5C4C"/>
    <w:rsid w:val="001B5D01"/>
    <w:rsid w:val="001B5DA8"/>
    <w:rsid w:val="001B5DDE"/>
    <w:rsid w:val="001B5F2B"/>
    <w:rsid w:val="001B5F80"/>
    <w:rsid w:val="001B5FEB"/>
    <w:rsid w:val="001B60BA"/>
    <w:rsid w:val="001B617C"/>
    <w:rsid w:val="001B6180"/>
    <w:rsid w:val="001B61D4"/>
    <w:rsid w:val="001B6252"/>
    <w:rsid w:val="001B62C7"/>
    <w:rsid w:val="001B63B1"/>
    <w:rsid w:val="001B64FF"/>
    <w:rsid w:val="001B6515"/>
    <w:rsid w:val="001B65FB"/>
    <w:rsid w:val="001B67E1"/>
    <w:rsid w:val="001B6910"/>
    <w:rsid w:val="001B6A55"/>
    <w:rsid w:val="001B6B22"/>
    <w:rsid w:val="001B7142"/>
    <w:rsid w:val="001B717D"/>
    <w:rsid w:val="001B71D6"/>
    <w:rsid w:val="001B728D"/>
    <w:rsid w:val="001B730D"/>
    <w:rsid w:val="001B73C8"/>
    <w:rsid w:val="001B7405"/>
    <w:rsid w:val="001B74D0"/>
    <w:rsid w:val="001B7581"/>
    <w:rsid w:val="001B7714"/>
    <w:rsid w:val="001B793D"/>
    <w:rsid w:val="001B7BFD"/>
    <w:rsid w:val="001B7C32"/>
    <w:rsid w:val="001B7D13"/>
    <w:rsid w:val="001B7DA0"/>
    <w:rsid w:val="001B7DC0"/>
    <w:rsid w:val="001B7EA2"/>
    <w:rsid w:val="001B7ED3"/>
    <w:rsid w:val="001B7F0E"/>
    <w:rsid w:val="001B7FA3"/>
    <w:rsid w:val="001C010E"/>
    <w:rsid w:val="001C020E"/>
    <w:rsid w:val="001C0245"/>
    <w:rsid w:val="001C02D9"/>
    <w:rsid w:val="001C03C4"/>
    <w:rsid w:val="001C049E"/>
    <w:rsid w:val="001C06A9"/>
    <w:rsid w:val="001C0820"/>
    <w:rsid w:val="001C0871"/>
    <w:rsid w:val="001C0AE3"/>
    <w:rsid w:val="001C0BA3"/>
    <w:rsid w:val="001C0D0A"/>
    <w:rsid w:val="001C0D2C"/>
    <w:rsid w:val="001C0DC0"/>
    <w:rsid w:val="001C0DD0"/>
    <w:rsid w:val="001C0E57"/>
    <w:rsid w:val="001C0F51"/>
    <w:rsid w:val="001C116F"/>
    <w:rsid w:val="001C1170"/>
    <w:rsid w:val="001C1524"/>
    <w:rsid w:val="001C1565"/>
    <w:rsid w:val="001C1574"/>
    <w:rsid w:val="001C15C3"/>
    <w:rsid w:val="001C1762"/>
    <w:rsid w:val="001C17E0"/>
    <w:rsid w:val="001C1809"/>
    <w:rsid w:val="001C1925"/>
    <w:rsid w:val="001C1A66"/>
    <w:rsid w:val="001C1AB9"/>
    <w:rsid w:val="001C1BD3"/>
    <w:rsid w:val="001C1DF2"/>
    <w:rsid w:val="001C1F62"/>
    <w:rsid w:val="001C1F88"/>
    <w:rsid w:val="001C1FF3"/>
    <w:rsid w:val="001C2147"/>
    <w:rsid w:val="001C21D8"/>
    <w:rsid w:val="001C2271"/>
    <w:rsid w:val="001C22B5"/>
    <w:rsid w:val="001C236C"/>
    <w:rsid w:val="001C23BF"/>
    <w:rsid w:val="001C23F1"/>
    <w:rsid w:val="001C2417"/>
    <w:rsid w:val="001C2503"/>
    <w:rsid w:val="001C25F7"/>
    <w:rsid w:val="001C26C1"/>
    <w:rsid w:val="001C2920"/>
    <w:rsid w:val="001C2ADB"/>
    <w:rsid w:val="001C2E71"/>
    <w:rsid w:val="001C2F40"/>
    <w:rsid w:val="001C2F80"/>
    <w:rsid w:val="001C2FFA"/>
    <w:rsid w:val="001C30BB"/>
    <w:rsid w:val="001C31AF"/>
    <w:rsid w:val="001C32C1"/>
    <w:rsid w:val="001C32EA"/>
    <w:rsid w:val="001C32FD"/>
    <w:rsid w:val="001C3396"/>
    <w:rsid w:val="001C33B0"/>
    <w:rsid w:val="001C340A"/>
    <w:rsid w:val="001C3556"/>
    <w:rsid w:val="001C3657"/>
    <w:rsid w:val="001C36B0"/>
    <w:rsid w:val="001C36F8"/>
    <w:rsid w:val="001C3852"/>
    <w:rsid w:val="001C3901"/>
    <w:rsid w:val="001C39DA"/>
    <w:rsid w:val="001C3AA7"/>
    <w:rsid w:val="001C3C74"/>
    <w:rsid w:val="001C3E6E"/>
    <w:rsid w:val="001C3EDE"/>
    <w:rsid w:val="001C3FD9"/>
    <w:rsid w:val="001C4179"/>
    <w:rsid w:val="001C42A1"/>
    <w:rsid w:val="001C42AE"/>
    <w:rsid w:val="001C4314"/>
    <w:rsid w:val="001C4356"/>
    <w:rsid w:val="001C4379"/>
    <w:rsid w:val="001C4587"/>
    <w:rsid w:val="001C4589"/>
    <w:rsid w:val="001C4679"/>
    <w:rsid w:val="001C46EC"/>
    <w:rsid w:val="001C48A8"/>
    <w:rsid w:val="001C48C9"/>
    <w:rsid w:val="001C49A1"/>
    <w:rsid w:val="001C49A8"/>
    <w:rsid w:val="001C4A2B"/>
    <w:rsid w:val="001C4A93"/>
    <w:rsid w:val="001C4AA2"/>
    <w:rsid w:val="001C4B60"/>
    <w:rsid w:val="001C4B9C"/>
    <w:rsid w:val="001C4F0A"/>
    <w:rsid w:val="001C4FD4"/>
    <w:rsid w:val="001C507C"/>
    <w:rsid w:val="001C51C8"/>
    <w:rsid w:val="001C5202"/>
    <w:rsid w:val="001C5312"/>
    <w:rsid w:val="001C5314"/>
    <w:rsid w:val="001C54C1"/>
    <w:rsid w:val="001C54DF"/>
    <w:rsid w:val="001C576E"/>
    <w:rsid w:val="001C57C6"/>
    <w:rsid w:val="001C5800"/>
    <w:rsid w:val="001C5843"/>
    <w:rsid w:val="001C5952"/>
    <w:rsid w:val="001C5A69"/>
    <w:rsid w:val="001C5AE9"/>
    <w:rsid w:val="001C5B29"/>
    <w:rsid w:val="001C5BB8"/>
    <w:rsid w:val="001C5BE7"/>
    <w:rsid w:val="001C5C55"/>
    <w:rsid w:val="001C5CE7"/>
    <w:rsid w:val="001C5D27"/>
    <w:rsid w:val="001C5D6C"/>
    <w:rsid w:val="001C5EDC"/>
    <w:rsid w:val="001C5FB6"/>
    <w:rsid w:val="001C5FB8"/>
    <w:rsid w:val="001C6129"/>
    <w:rsid w:val="001C616E"/>
    <w:rsid w:val="001C62B2"/>
    <w:rsid w:val="001C6368"/>
    <w:rsid w:val="001C65C1"/>
    <w:rsid w:val="001C66C6"/>
    <w:rsid w:val="001C66E9"/>
    <w:rsid w:val="001C671A"/>
    <w:rsid w:val="001C6734"/>
    <w:rsid w:val="001C678F"/>
    <w:rsid w:val="001C686C"/>
    <w:rsid w:val="001C68C5"/>
    <w:rsid w:val="001C6A77"/>
    <w:rsid w:val="001C6B28"/>
    <w:rsid w:val="001C6BD0"/>
    <w:rsid w:val="001C6CAE"/>
    <w:rsid w:val="001C6E10"/>
    <w:rsid w:val="001C6F78"/>
    <w:rsid w:val="001C7082"/>
    <w:rsid w:val="001C711D"/>
    <w:rsid w:val="001C7169"/>
    <w:rsid w:val="001C71F4"/>
    <w:rsid w:val="001C749C"/>
    <w:rsid w:val="001C7538"/>
    <w:rsid w:val="001C7852"/>
    <w:rsid w:val="001C79DF"/>
    <w:rsid w:val="001C7C0E"/>
    <w:rsid w:val="001C7C22"/>
    <w:rsid w:val="001C7E73"/>
    <w:rsid w:val="001D0104"/>
    <w:rsid w:val="001D01B6"/>
    <w:rsid w:val="001D0296"/>
    <w:rsid w:val="001D0367"/>
    <w:rsid w:val="001D038F"/>
    <w:rsid w:val="001D039B"/>
    <w:rsid w:val="001D0415"/>
    <w:rsid w:val="001D08F2"/>
    <w:rsid w:val="001D090B"/>
    <w:rsid w:val="001D09FB"/>
    <w:rsid w:val="001D0ACF"/>
    <w:rsid w:val="001D0B6A"/>
    <w:rsid w:val="001D0BE6"/>
    <w:rsid w:val="001D0BF2"/>
    <w:rsid w:val="001D0C2F"/>
    <w:rsid w:val="001D0CBF"/>
    <w:rsid w:val="001D0DC0"/>
    <w:rsid w:val="001D0E3C"/>
    <w:rsid w:val="001D107C"/>
    <w:rsid w:val="001D1512"/>
    <w:rsid w:val="001D1571"/>
    <w:rsid w:val="001D15E2"/>
    <w:rsid w:val="001D1844"/>
    <w:rsid w:val="001D1858"/>
    <w:rsid w:val="001D18A1"/>
    <w:rsid w:val="001D19A8"/>
    <w:rsid w:val="001D1CFC"/>
    <w:rsid w:val="001D1D58"/>
    <w:rsid w:val="001D2081"/>
    <w:rsid w:val="001D20A1"/>
    <w:rsid w:val="001D21FC"/>
    <w:rsid w:val="001D22A7"/>
    <w:rsid w:val="001D233E"/>
    <w:rsid w:val="001D2398"/>
    <w:rsid w:val="001D245B"/>
    <w:rsid w:val="001D24AB"/>
    <w:rsid w:val="001D24EE"/>
    <w:rsid w:val="001D2858"/>
    <w:rsid w:val="001D293E"/>
    <w:rsid w:val="001D29FE"/>
    <w:rsid w:val="001D2BE8"/>
    <w:rsid w:val="001D2C9C"/>
    <w:rsid w:val="001D2D41"/>
    <w:rsid w:val="001D2EC3"/>
    <w:rsid w:val="001D2EC5"/>
    <w:rsid w:val="001D2EE9"/>
    <w:rsid w:val="001D2F74"/>
    <w:rsid w:val="001D2FD6"/>
    <w:rsid w:val="001D304B"/>
    <w:rsid w:val="001D309F"/>
    <w:rsid w:val="001D30EA"/>
    <w:rsid w:val="001D33D9"/>
    <w:rsid w:val="001D3416"/>
    <w:rsid w:val="001D379E"/>
    <w:rsid w:val="001D3892"/>
    <w:rsid w:val="001D3AB0"/>
    <w:rsid w:val="001D3D34"/>
    <w:rsid w:val="001D3D3D"/>
    <w:rsid w:val="001D3DA8"/>
    <w:rsid w:val="001D3DFF"/>
    <w:rsid w:val="001D3E46"/>
    <w:rsid w:val="001D3F16"/>
    <w:rsid w:val="001D403C"/>
    <w:rsid w:val="001D4063"/>
    <w:rsid w:val="001D410A"/>
    <w:rsid w:val="001D41BE"/>
    <w:rsid w:val="001D4300"/>
    <w:rsid w:val="001D43B1"/>
    <w:rsid w:val="001D444C"/>
    <w:rsid w:val="001D44D5"/>
    <w:rsid w:val="001D4599"/>
    <w:rsid w:val="001D45CA"/>
    <w:rsid w:val="001D45E4"/>
    <w:rsid w:val="001D4606"/>
    <w:rsid w:val="001D467D"/>
    <w:rsid w:val="001D4775"/>
    <w:rsid w:val="001D47E2"/>
    <w:rsid w:val="001D47F9"/>
    <w:rsid w:val="001D4905"/>
    <w:rsid w:val="001D4952"/>
    <w:rsid w:val="001D49C0"/>
    <w:rsid w:val="001D49C1"/>
    <w:rsid w:val="001D49CE"/>
    <w:rsid w:val="001D4A2B"/>
    <w:rsid w:val="001D4B0A"/>
    <w:rsid w:val="001D4DB3"/>
    <w:rsid w:val="001D4F00"/>
    <w:rsid w:val="001D4FD9"/>
    <w:rsid w:val="001D51C2"/>
    <w:rsid w:val="001D51D7"/>
    <w:rsid w:val="001D53BE"/>
    <w:rsid w:val="001D55C9"/>
    <w:rsid w:val="001D5760"/>
    <w:rsid w:val="001D58F5"/>
    <w:rsid w:val="001D5962"/>
    <w:rsid w:val="001D5B15"/>
    <w:rsid w:val="001D5B5F"/>
    <w:rsid w:val="001D5B68"/>
    <w:rsid w:val="001D5C2A"/>
    <w:rsid w:val="001D5C6A"/>
    <w:rsid w:val="001D5C9B"/>
    <w:rsid w:val="001D5CE8"/>
    <w:rsid w:val="001D5DD6"/>
    <w:rsid w:val="001D5E2C"/>
    <w:rsid w:val="001D5E8E"/>
    <w:rsid w:val="001D5ECE"/>
    <w:rsid w:val="001D5F0D"/>
    <w:rsid w:val="001D5F34"/>
    <w:rsid w:val="001D61D4"/>
    <w:rsid w:val="001D620A"/>
    <w:rsid w:val="001D62C2"/>
    <w:rsid w:val="001D65AD"/>
    <w:rsid w:val="001D66A1"/>
    <w:rsid w:val="001D66F0"/>
    <w:rsid w:val="001D677A"/>
    <w:rsid w:val="001D687C"/>
    <w:rsid w:val="001D6971"/>
    <w:rsid w:val="001D69CF"/>
    <w:rsid w:val="001D6A21"/>
    <w:rsid w:val="001D6A30"/>
    <w:rsid w:val="001D6B2F"/>
    <w:rsid w:val="001D6B5B"/>
    <w:rsid w:val="001D6C6F"/>
    <w:rsid w:val="001D6D1E"/>
    <w:rsid w:val="001D6E45"/>
    <w:rsid w:val="001D6F71"/>
    <w:rsid w:val="001D7222"/>
    <w:rsid w:val="001D729E"/>
    <w:rsid w:val="001D73FB"/>
    <w:rsid w:val="001D7427"/>
    <w:rsid w:val="001D744D"/>
    <w:rsid w:val="001D7456"/>
    <w:rsid w:val="001D7538"/>
    <w:rsid w:val="001D753B"/>
    <w:rsid w:val="001D764C"/>
    <w:rsid w:val="001D7688"/>
    <w:rsid w:val="001D7AEF"/>
    <w:rsid w:val="001D7B3B"/>
    <w:rsid w:val="001D7B67"/>
    <w:rsid w:val="001D7B6B"/>
    <w:rsid w:val="001D7B97"/>
    <w:rsid w:val="001D7BEE"/>
    <w:rsid w:val="001D7D5C"/>
    <w:rsid w:val="001D7EEC"/>
    <w:rsid w:val="001D7F46"/>
    <w:rsid w:val="001D7F4A"/>
    <w:rsid w:val="001D7F58"/>
    <w:rsid w:val="001E0019"/>
    <w:rsid w:val="001E011A"/>
    <w:rsid w:val="001E02B1"/>
    <w:rsid w:val="001E02D3"/>
    <w:rsid w:val="001E033A"/>
    <w:rsid w:val="001E039B"/>
    <w:rsid w:val="001E0578"/>
    <w:rsid w:val="001E062F"/>
    <w:rsid w:val="001E0641"/>
    <w:rsid w:val="001E0658"/>
    <w:rsid w:val="001E06B1"/>
    <w:rsid w:val="001E08F8"/>
    <w:rsid w:val="001E092A"/>
    <w:rsid w:val="001E09B2"/>
    <w:rsid w:val="001E0A3C"/>
    <w:rsid w:val="001E0AC3"/>
    <w:rsid w:val="001E0BC6"/>
    <w:rsid w:val="001E0C79"/>
    <w:rsid w:val="001E0C95"/>
    <w:rsid w:val="001E0D06"/>
    <w:rsid w:val="001E0D5A"/>
    <w:rsid w:val="001E0D5F"/>
    <w:rsid w:val="001E0E6F"/>
    <w:rsid w:val="001E10A5"/>
    <w:rsid w:val="001E10F2"/>
    <w:rsid w:val="001E1205"/>
    <w:rsid w:val="001E1361"/>
    <w:rsid w:val="001E1484"/>
    <w:rsid w:val="001E153A"/>
    <w:rsid w:val="001E18C3"/>
    <w:rsid w:val="001E1A93"/>
    <w:rsid w:val="001E1BA4"/>
    <w:rsid w:val="001E1C3C"/>
    <w:rsid w:val="001E1F14"/>
    <w:rsid w:val="001E1F16"/>
    <w:rsid w:val="001E1F5D"/>
    <w:rsid w:val="001E2316"/>
    <w:rsid w:val="001E237A"/>
    <w:rsid w:val="001E2498"/>
    <w:rsid w:val="001E24CA"/>
    <w:rsid w:val="001E24E3"/>
    <w:rsid w:val="001E25E0"/>
    <w:rsid w:val="001E264E"/>
    <w:rsid w:val="001E2695"/>
    <w:rsid w:val="001E2732"/>
    <w:rsid w:val="001E27DC"/>
    <w:rsid w:val="001E29C3"/>
    <w:rsid w:val="001E29F8"/>
    <w:rsid w:val="001E2A84"/>
    <w:rsid w:val="001E2B3C"/>
    <w:rsid w:val="001E2CA2"/>
    <w:rsid w:val="001E2DC2"/>
    <w:rsid w:val="001E2F20"/>
    <w:rsid w:val="001E3108"/>
    <w:rsid w:val="001E3121"/>
    <w:rsid w:val="001E31BA"/>
    <w:rsid w:val="001E328B"/>
    <w:rsid w:val="001E33CE"/>
    <w:rsid w:val="001E3685"/>
    <w:rsid w:val="001E37BB"/>
    <w:rsid w:val="001E3817"/>
    <w:rsid w:val="001E386B"/>
    <w:rsid w:val="001E39D6"/>
    <w:rsid w:val="001E3A9B"/>
    <w:rsid w:val="001E3AEA"/>
    <w:rsid w:val="001E3B52"/>
    <w:rsid w:val="001E3BF2"/>
    <w:rsid w:val="001E3C14"/>
    <w:rsid w:val="001E3C37"/>
    <w:rsid w:val="001E4088"/>
    <w:rsid w:val="001E440D"/>
    <w:rsid w:val="001E470E"/>
    <w:rsid w:val="001E4851"/>
    <w:rsid w:val="001E4A50"/>
    <w:rsid w:val="001E4AC6"/>
    <w:rsid w:val="001E4C9B"/>
    <w:rsid w:val="001E4D1E"/>
    <w:rsid w:val="001E516A"/>
    <w:rsid w:val="001E51CC"/>
    <w:rsid w:val="001E5274"/>
    <w:rsid w:val="001E545D"/>
    <w:rsid w:val="001E5522"/>
    <w:rsid w:val="001E55E1"/>
    <w:rsid w:val="001E567F"/>
    <w:rsid w:val="001E57D5"/>
    <w:rsid w:val="001E5866"/>
    <w:rsid w:val="001E5993"/>
    <w:rsid w:val="001E59C9"/>
    <w:rsid w:val="001E5D43"/>
    <w:rsid w:val="001E5D9D"/>
    <w:rsid w:val="001E5DD3"/>
    <w:rsid w:val="001E5F06"/>
    <w:rsid w:val="001E5FAD"/>
    <w:rsid w:val="001E602E"/>
    <w:rsid w:val="001E605A"/>
    <w:rsid w:val="001E6175"/>
    <w:rsid w:val="001E6193"/>
    <w:rsid w:val="001E6305"/>
    <w:rsid w:val="001E6315"/>
    <w:rsid w:val="001E64CB"/>
    <w:rsid w:val="001E655F"/>
    <w:rsid w:val="001E663C"/>
    <w:rsid w:val="001E6681"/>
    <w:rsid w:val="001E68AE"/>
    <w:rsid w:val="001E69C4"/>
    <w:rsid w:val="001E6A6C"/>
    <w:rsid w:val="001E6DEA"/>
    <w:rsid w:val="001E6F37"/>
    <w:rsid w:val="001E72A5"/>
    <w:rsid w:val="001E72FA"/>
    <w:rsid w:val="001E7331"/>
    <w:rsid w:val="001E734A"/>
    <w:rsid w:val="001E749F"/>
    <w:rsid w:val="001E7505"/>
    <w:rsid w:val="001E7785"/>
    <w:rsid w:val="001E77F9"/>
    <w:rsid w:val="001E7895"/>
    <w:rsid w:val="001E799C"/>
    <w:rsid w:val="001E7B4E"/>
    <w:rsid w:val="001E7B5B"/>
    <w:rsid w:val="001E7B82"/>
    <w:rsid w:val="001E7B83"/>
    <w:rsid w:val="001E7C14"/>
    <w:rsid w:val="001E7D09"/>
    <w:rsid w:val="001E7DE3"/>
    <w:rsid w:val="001E7E9E"/>
    <w:rsid w:val="001E7EF3"/>
    <w:rsid w:val="001E7F07"/>
    <w:rsid w:val="001E7F25"/>
    <w:rsid w:val="001E7FD6"/>
    <w:rsid w:val="001F01D6"/>
    <w:rsid w:val="001F0259"/>
    <w:rsid w:val="001F032C"/>
    <w:rsid w:val="001F0350"/>
    <w:rsid w:val="001F039C"/>
    <w:rsid w:val="001F0592"/>
    <w:rsid w:val="001F059E"/>
    <w:rsid w:val="001F0608"/>
    <w:rsid w:val="001F06C6"/>
    <w:rsid w:val="001F06C8"/>
    <w:rsid w:val="001F0761"/>
    <w:rsid w:val="001F0B22"/>
    <w:rsid w:val="001F0B9F"/>
    <w:rsid w:val="001F0C69"/>
    <w:rsid w:val="001F0D82"/>
    <w:rsid w:val="001F0DE4"/>
    <w:rsid w:val="001F0F89"/>
    <w:rsid w:val="001F1040"/>
    <w:rsid w:val="001F10EC"/>
    <w:rsid w:val="001F119A"/>
    <w:rsid w:val="001F1250"/>
    <w:rsid w:val="001F127E"/>
    <w:rsid w:val="001F14A4"/>
    <w:rsid w:val="001F15FE"/>
    <w:rsid w:val="001F15FF"/>
    <w:rsid w:val="001F18DC"/>
    <w:rsid w:val="001F1BAB"/>
    <w:rsid w:val="001F1D56"/>
    <w:rsid w:val="001F1E50"/>
    <w:rsid w:val="001F1E51"/>
    <w:rsid w:val="001F1EE2"/>
    <w:rsid w:val="001F1F85"/>
    <w:rsid w:val="001F216D"/>
    <w:rsid w:val="001F233A"/>
    <w:rsid w:val="001F2370"/>
    <w:rsid w:val="001F23E8"/>
    <w:rsid w:val="001F24C7"/>
    <w:rsid w:val="001F26C1"/>
    <w:rsid w:val="001F28EB"/>
    <w:rsid w:val="001F2927"/>
    <w:rsid w:val="001F2B0B"/>
    <w:rsid w:val="001F2BA6"/>
    <w:rsid w:val="001F2C0E"/>
    <w:rsid w:val="001F2E3D"/>
    <w:rsid w:val="001F2E59"/>
    <w:rsid w:val="001F2F34"/>
    <w:rsid w:val="001F2F6F"/>
    <w:rsid w:val="001F3042"/>
    <w:rsid w:val="001F3050"/>
    <w:rsid w:val="001F313B"/>
    <w:rsid w:val="001F324B"/>
    <w:rsid w:val="001F32CF"/>
    <w:rsid w:val="001F3381"/>
    <w:rsid w:val="001F353C"/>
    <w:rsid w:val="001F357A"/>
    <w:rsid w:val="001F36C1"/>
    <w:rsid w:val="001F37A3"/>
    <w:rsid w:val="001F37BB"/>
    <w:rsid w:val="001F3BBE"/>
    <w:rsid w:val="001F3C1F"/>
    <w:rsid w:val="001F3D88"/>
    <w:rsid w:val="001F3F3D"/>
    <w:rsid w:val="001F3F6A"/>
    <w:rsid w:val="001F3FCB"/>
    <w:rsid w:val="001F3FDD"/>
    <w:rsid w:val="001F4088"/>
    <w:rsid w:val="001F4146"/>
    <w:rsid w:val="001F4149"/>
    <w:rsid w:val="001F422E"/>
    <w:rsid w:val="001F4341"/>
    <w:rsid w:val="001F4430"/>
    <w:rsid w:val="001F44A6"/>
    <w:rsid w:val="001F4526"/>
    <w:rsid w:val="001F4544"/>
    <w:rsid w:val="001F45C4"/>
    <w:rsid w:val="001F4656"/>
    <w:rsid w:val="001F46B3"/>
    <w:rsid w:val="001F46BB"/>
    <w:rsid w:val="001F47D5"/>
    <w:rsid w:val="001F4877"/>
    <w:rsid w:val="001F4883"/>
    <w:rsid w:val="001F48FE"/>
    <w:rsid w:val="001F4946"/>
    <w:rsid w:val="001F4A76"/>
    <w:rsid w:val="001F4B36"/>
    <w:rsid w:val="001F4C24"/>
    <w:rsid w:val="001F4C8F"/>
    <w:rsid w:val="001F4F08"/>
    <w:rsid w:val="001F4F69"/>
    <w:rsid w:val="001F507C"/>
    <w:rsid w:val="001F5201"/>
    <w:rsid w:val="001F5334"/>
    <w:rsid w:val="001F539D"/>
    <w:rsid w:val="001F5403"/>
    <w:rsid w:val="001F5462"/>
    <w:rsid w:val="001F5481"/>
    <w:rsid w:val="001F5515"/>
    <w:rsid w:val="001F5662"/>
    <w:rsid w:val="001F56EB"/>
    <w:rsid w:val="001F5758"/>
    <w:rsid w:val="001F5771"/>
    <w:rsid w:val="001F5842"/>
    <w:rsid w:val="001F58F7"/>
    <w:rsid w:val="001F5A18"/>
    <w:rsid w:val="001F5AA9"/>
    <w:rsid w:val="001F5AAA"/>
    <w:rsid w:val="001F5ABC"/>
    <w:rsid w:val="001F5B20"/>
    <w:rsid w:val="001F5B6B"/>
    <w:rsid w:val="001F5BB0"/>
    <w:rsid w:val="001F5EF2"/>
    <w:rsid w:val="001F5F0C"/>
    <w:rsid w:val="001F6024"/>
    <w:rsid w:val="001F60CF"/>
    <w:rsid w:val="001F6160"/>
    <w:rsid w:val="001F662B"/>
    <w:rsid w:val="001F688D"/>
    <w:rsid w:val="001F6B04"/>
    <w:rsid w:val="001F6C77"/>
    <w:rsid w:val="001F6D7D"/>
    <w:rsid w:val="001F6E91"/>
    <w:rsid w:val="001F7038"/>
    <w:rsid w:val="001F71C8"/>
    <w:rsid w:val="001F7221"/>
    <w:rsid w:val="001F730D"/>
    <w:rsid w:val="001F7326"/>
    <w:rsid w:val="001F73A1"/>
    <w:rsid w:val="001F7478"/>
    <w:rsid w:val="001F74C5"/>
    <w:rsid w:val="001F77A0"/>
    <w:rsid w:val="001F7938"/>
    <w:rsid w:val="001F7940"/>
    <w:rsid w:val="001F79A2"/>
    <w:rsid w:val="001F7B10"/>
    <w:rsid w:val="001F7B6C"/>
    <w:rsid w:val="001F7CEB"/>
    <w:rsid w:val="001F7CEE"/>
    <w:rsid w:val="001F7E14"/>
    <w:rsid w:val="001FE7B2"/>
    <w:rsid w:val="002000B0"/>
    <w:rsid w:val="002000DD"/>
    <w:rsid w:val="00200116"/>
    <w:rsid w:val="0020013C"/>
    <w:rsid w:val="00200246"/>
    <w:rsid w:val="0020035A"/>
    <w:rsid w:val="002003FC"/>
    <w:rsid w:val="00200481"/>
    <w:rsid w:val="0020054E"/>
    <w:rsid w:val="0020060B"/>
    <w:rsid w:val="00200732"/>
    <w:rsid w:val="00200756"/>
    <w:rsid w:val="002008F3"/>
    <w:rsid w:val="00200957"/>
    <w:rsid w:val="002009EF"/>
    <w:rsid w:val="00200B24"/>
    <w:rsid w:val="00200B39"/>
    <w:rsid w:val="00200BB9"/>
    <w:rsid w:val="00200C0F"/>
    <w:rsid w:val="00200C91"/>
    <w:rsid w:val="00200D1C"/>
    <w:rsid w:val="00200D87"/>
    <w:rsid w:val="00200EFF"/>
    <w:rsid w:val="00200F41"/>
    <w:rsid w:val="00200FC9"/>
    <w:rsid w:val="002010DE"/>
    <w:rsid w:val="0020112F"/>
    <w:rsid w:val="002011B8"/>
    <w:rsid w:val="0020127D"/>
    <w:rsid w:val="00201358"/>
    <w:rsid w:val="002014FE"/>
    <w:rsid w:val="0020152E"/>
    <w:rsid w:val="002016AA"/>
    <w:rsid w:val="002016C0"/>
    <w:rsid w:val="0020172F"/>
    <w:rsid w:val="002017A6"/>
    <w:rsid w:val="002017A7"/>
    <w:rsid w:val="002018F9"/>
    <w:rsid w:val="002019A9"/>
    <w:rsid w:val="002019B9"/>
    <w:rsid w:val="002019D7"/>
    <w:rsid w:val="00201A81"/>
    <w:rsid w:val="00201A89"/>
    <w:rsid w:val="00201AB7"/>
    <w:rsid w:val="00201C3B"/>
    <w:rsid w:val="00201CC2"/>
    <w:rsid w:val="00201D99"/>
    <w:rsid w:val="00201E1B"/>
    <w:rsid w:val="00202367"/>
    <w:rsid w:val="0020236C"/>
    <w:rsid w:val="002023DE"/>
    <w:rsid w:val="00202640"/>
    <w:rsid w:val="0020273F"/>
    <w:rsid w:val="0020299E"/>
    <w:rsid w:val="00202B42"/>
    <w:rsid w:val="00202C02"/>
    <w:rsid w:val="00202C08"/>
    <w:rsid w:val="00202C64"/>
    <w:rsid w:val="00202CE1"/>
    <w:rsid w:val="00202D0E"/>
    <w:rsid w:val="00202D12"/>
    <w:rsid w:val="00202EF4"/>
    <w:rsid w:val="00202F12"/>
    <w:rsid w:val="00202F31"/>
    <w:rsid w:val="00202F3F"/>
    <w:rsid w:val="002031A9"/>
    <w:rsid w:val="00203241"/>
    <w:rsid w:val="00203292"/>
    <w:rsid w:val="00203327"/>
    <w:rsid w:val="002033A6"/>
    <w:rsid w:val="00203572"/>
    <w:rsid w:val="0020364E"/>
    <w:rsid w:val="002037D7"/>
    <w:rsid w:val="0020381F"/>
    <w:rsid w:val="002039F7"/>
    <w:rsid w:val="00203A08"/>
    <w:rsid w:val="00203A16"/>
    <w:rsid w:val="00203C9F"/>
    <w:rsid w:val="00203CAC"/>
    <w:rsid w:val="00203D8D"/>
    <w:rsid w:val="00204147"/>
    <w:rsid w:val="0020424A"/>
    <w:rsid w:val="00204378"/>
    <w:rsid w:val="002043A5"/>
    <w:rsid w:val="002043AE"/>
    <w:rsid w:val="002045A4"/>
    <w:rsid w:val="0020465B"/>
    <w:rsid w:val="002048EA"/>
    <w:rsid w:val="00204AB5"/>
    <w:rsid w:val="00204B1A"/>
    <w:rsid w:val="00204B3D"/>
    <w:rsid w:val="00204CD8"/>
    <w:rsid w:val="00204F71"/>
    <w:rsid w:val="00204F72"/>
    <w:rsid w:val="00205123"/>
    <w:rsid w:val="0020515D"/>
    <w:rsid w:val="00205186"/>
    <w:rsid w:val="002052B6"/>
    <w:rsid w:val="00205366"/>
    <w:rsid w:val="002053E9"/>
    <w:rsid w:val="0020545B"/>
    <w:rsid w:val="00205549"/>
    <w:rsid w:val="002055C1"/>
    <w:rsid w:val="002056F7"/>
    <w:rsid w:val="00205713"/>
    <w:rsid w:val="0020577B"/>
    <w:rsid w:val="0020589C"/>
    <w:rsid w:val="00205917"/>
    <w:rsid w:val="0020596B"/>
    <w:rsid w:val="0020596C"/>
    <w:rsid w:val="00205C2D"/>
    <w:rsid w:val="00205CF5"/>
    <w:rsid w:val="00205D76"/>
    <w:rsid w:val="00205DB8"/>
    <w:rsid w:val="00205ED6"/>
    <w:rsid w:val="00205FD6"/>
    <w:rsid w:val="002060EE"/>
    <w:rsid w:val="002061BE"/>
    <w:rsid w:val="002061ED"/>
    <w:rsid w:val="00206235"/>
    <w:rsid w:val="0020628E"/>
    <w:rsid w:val="00206316"/>
    <w:rsid w:val="00206319"/>
    <w:rsid w:val="0020638C"/>
    <w:rsid w:val="002063AA"/>
    <w:rsid w:val="0020640E"/>
    <w:rsid w:val="00206544"/>
    <w:rsid w:val="00206766"/>
    <w:rsid w:val="0020677B"/>
    <w:rsid w:val="00206905"/>
    <w:rsid w:val="00206961"/>
    <w:rsid w:val="00206A01"/>
    <w:rsid w:val="00206AC0"/>
    <w:rsid w:val="00206C53"/>
    <w:rsid w:val="00206C5F"/>
    <w:rsid w:val="00206C9B"/>
    <w:rsid w:val="00206D85"/>
    <w:rsid w:val="00206DCC"/>
    <w:rsid w:val="00206EBC"/>
    <w:rsid w:val="00206ED2"/>
    <w:rsid w:val="00206F16"/>
    <w:rsid w:val="00206FB2"/>
    <w:rsid w:val="0020711E"/>
    <w:rsid w:val="0020712F"/>
    <w:rsid w:val="0020722B"/>
    <w:rsid w:val="002072D6"/>
    <w:rsid w:val="00207337"/>
    <w:rsid w:val="00207369"/>
    <w:rsid w:val="00207377"/>
    <w:rsid w:val="002073FC"/>
    <w:rsid w:val="00207402"/>
    <w:rsid w:val="00207453"/>
    <w:rsid w:val="002075C4"/>
    <w:rsid w:val="002075CB"/>
    <w:rsid w:val="00207680"/>
    <w:rsid w:val="002076E9"/>
    <w:rsid w:val="00207734"/>
    <w:rsid w:val="0020775E"/>
    <w:rsid w:val="00207792"/>
    <w:rsid w:val="002077AD"/>
    <w:rsid w:val="0020788E"/>
    <w:rsid w:val="0020793B"/>
    <w:rsid w:val="0020795E"/>
    <w:rsid w:val="00207A3F"/>
    <w:rsid w:val="00207AB6"/>
    <w:rsid w:val="00207B1A"/>
    <w:rsid w:val="0021033C"/>
    <w:rsid w:val="002103A0"/>
    <w:rsid w:val="002103C6"/>
    <w:rsid w:val="0021048F"/>
    <w:rsid w:val="00210492"/>
    <w:rsid w:val="002105E8"/>
    <w:rsid w:val="002105F3"/>
    <w:rsid w:val="00210630"/>
    <w:rsid w:val="00210637"/>
    <w:rsid w:val="0021072A"/>
    <w:rsid w:val="00210748"/>
    <w:rsid w:val="0021076A"/>
    <w:rsid w:val="00210817"/>
    <w:rsid w:val="002109BB"/>
    <w:rsid w:val="002109FF"/>
    <w:rsid w:val="00210A27"/>
    <w:rsid w:val="00210B01"/>
    <w:rsid w:val="00210B0F"/>
    <w:rsid w:val="00210B8B"/>
    <w:rsid w:val="00210BC5"/>
    <w:rsid w:val="00210BE6"/>
    <w:rsid w:val="00210BEA"/>
    <w:rsid w:val="00210BF6"/>
    <w:rsid w:val="00210CF3"/>
    <w:rsid w:val="00210D3D"/>
    <w:rsid w:val="00210D70"/>
    <w:rsid w:val="00210E72"/>
    <w:rsid w:val="00210E85"/>
    <w:rsid w:val="00210EAB"/>
    <w:rsid w:val="00210F90"/>
    <w:rsid w:val="00210FD0"/>
    <w:rsid w:val="0021108B"/>
    <w:rsid w:val="00211111"/>
    <w:rsid w:val="0021114E"/>
    <w:rsid w:val="0021117A"/>
    <w:rsid w:val="002111D3"/>
    <w:rsid w:val="0021120D"/>
    <w:rsid w:val="00211224"/>
    <w:rsid w:val="002113A6"/>
    <w:rsid w:val="002115C8"/>
    <w:rsid w:val="0021169B"/>
    <w:rsid w:val="0021176A"/>
    <w:rsid w:val="0021185F"/>
    <w:rsid w:val="00211894"/>
    <w:rsid w:val="00211971"/>
    <w:rsid w:val="00211AAC"/>
    <w:rsid w:val="00211B8B"/>
    <w:rsid w:val="00211C17"/>
    <w:rsid w:val="00211D37"/>
    <w:rsid w:val="00211DF6"/>
    <w:rsid w:val="00211EE3"/>
    <w:rsid w:val="002121C5"/>
    <w:rsid w:val="002122CB"/>
    <w:rsid w:val="002124F5"/>
    <w:rsid w:val="002125B3"/>
    <w:rsid w:val="00212750"/>
    <w:rsid w:val="002127DC"/>
    <w:rsid w:val="002129DB"/>
    <w:rsid w:val="00212AAE"/>
    <w:rsid w:val="00212E41"/>
    <w:rsid w:val="00212EF5"/>
    <w:rsid w:val="0021317F"/>
    <w:rsid w:val="002131CA"/>
    <w:rsid w:val="00213231"/>
    <w:rsid w:val="00213368"/>
    <w:rsid w:val="002133D0"/>
    <w:rsid w:val="002133ED"/>
    <w:rsid w:val="00213401"/>
    <w:rsid w:val="0021344B"/>
    <w:rsid w:val="002135D3"/>
    <w:rsid w:val="002135D7"/>
    <w:rsid w:val="00213659"/>
    <w:rsid w:val="00213706"/>
    <w:rsid w:val="0021389E"/>
    <w:rsid w:val="00213909"/>
    <w:rsid w:val="00213C52"/>
    <w:rsid w:val="00213CAD"/>
    <w:rsid w:val="00213CCF"/>
    <w:rsid w:val="00213D6A"/>
    <w:rsid w:val="00213E11"/>
    <w:rsid w:val="00213EE8"/>
    <w:rsid w:val="00213EFC"/>
    <w:rsid w:val="00213F7D"/>
    <w:rsid w:val="00213F8C"/>
    <w:rsid w:val="00213FF2"/>
    <w:rsid w:val="00214093"/>
    <w:rsid w:val="00214129"/>
    <w:rsid w:val="002141E6"/>
    <w:rsid w:val="002141EC"/>
    <w:rsid w:val="00214232"/>
    <w:rsid w:val="002143FB"/>
    <w:rsid w:val="0021441B"/>
    <w:rsid w:val="00214458"/>
    <w:rsid w:val="00214472"/>
    <w:rsid w:val="00214503"/>
    <w:rsid w:val="002145AD"/>
    <w:rsid w:val="00214662"/>
    <w:rsid w:val="002147FD"/>
    <w:rsid w:val="0021485E"/>
    <w:rsid w:val="0021493E"/>
    <w:rsid w:val="00214A33"/>
    <w:rsid w:val="00214EE0"/>
    <w:rsid w:val="00214F46"/>
    <w:rsid w:val="00214FF4"/>
    <w:rsid w:val="0021512F"/>
    <w:rsid w:val="00215205"/>
    <w:rsid w:val="00215208"/>
    <w:rsid w:val="0021526F"/>
    <w:rsid w:val="00215326"/>
    <w:rsid w:val="002155B4"/>
    <w:rsid w:val="002155E0"/>
    <w:rsid w:val="0021560C"/>
    <w:rsid w:val="002156C6"/>
    <w:rsid w:val="002156EE"/>
    <w:rsid w:val="0021570F"/>
    <w:rsid w:val="002157AB"/>
    <w:rsid w:val="00215816"/>
    <w:rsid w:val="002159CC"/>
    <w:rsid w:val="002159E2"/>
    <w:rsid w:val="00215A38"/>
    <w:rsid w:val="00215AD4"/>
    <w:rsid w:val="00215CB3"/>
    <w:rsid w:val="00215D97"/>
    <w:rsid w:val="00215E20"/>
    <w:rsid w:val="00215FB7"/>
    <w:rsid w:val="00215FE0"/>
    <w:rsid w:val="00216066"/>
    <w:rsid w:val="00216135"/>
    <w:rsid w:val="002161DE"/>
    <w:rsid w:val="002162FC"/>
    <w:rsid w:val="0021632B"/>
    <w:rsid w:val="00216436"/>
    <w:rsid w:val="0021646A"/>
    <w:rsid w:val="002167A0"/>
    <w:rsid w:val="00216873"/>
    <w:rsid w:val="0021688A"/>
    <w:rsid w:val="002168EA"/>
    <w:rsid w:val="00216B27"/>
    <w:rsid w:val="00216B54"/>
    <w:rsid w:val="00216B94"/>
    <w:rsid w:val="00216BFA"/>
    <w:rsid w:val="00216D41"/>
    <w:rsid w:val="00216DA1"/>
    <w:rsid w:val="00216EE5"/>
    <w:rsid w:val="00216F35"/>
    <w:rsid w:val="00217065"/>
    <w:rsid w:val="00217090"/>
    <w:rsid w:val="00217155"/>
    <w:rsid w:val="00217268"/>
    <w:rsid w:val="00217349"/>
    <w:rsid w:val="00217418"/>
    <w:rsid w:val="00217436"/>
    <w:rsid w:val="00217445"/>
    <w:rsid w:val="002174CE"/>
    <w:rsid w:val="002175F1"/>
    <w:rsid w:val="00217688"/>
    <w:rsid w:val="00217714"/>
    <w:rsid w:val="0021779F"/>
    <w:rsid w:val="00217819"/>
    <w:rsid w:val="0021786F"/>
    <w:rsid w:val="002178F4"/>
    <w:rsid w:val="00217A3A"/>
    <w:rsid w:val="00217B0F"/>
    <w:rsid w:val="00217C05"/>
    <w:rsid w:val="00217E10"/>
    <w:rsid w:val="00217EF0"/>
    <w:rsid w:val="00217F7B"/>
    <w:rsid w:val="00220104"/>
    <w:rsid w:val="00220157"/>
    <w:rsid w:val="00220231"/>
    <w:rsid w:val="002203C5"/>
    <w:rsid w:val="002205B1"/>
    <w:rsid w:val="002205C5"/>
    <w:rsid w:val="00220972"/>
    <w:rsid w:val="002209BE"/>
    <w:rsid w:val="00220A61"/>
    <w:rsid w:val="00220BA4"/>
    <w:rsid w:val="00220D5A"/>
    <w:rsid w:val="00220D9C"/>
    <w:rsid w:val="00220E81"/>
    <w:rsid w:val="00220FA2"/>
    <w:rsid w:val="0022118B"/>
    <w:rsid w:val="0022135B"/>
    <w:rsid w:val="0022137A"/>
    <w:rsid w:val="002213A3"/>
    <w:rsid w:val="0022140D"/>
    <w:rsid w:val="0022151B"/>
    <w:rsid w:val="00221589"/>
    <w:rsid w:val="002217E2"/>
    <w:rsid w:val="0022185A"/>
    <w:rsid w:val="00221863"/>
    <w:rsid w:val="002218D2"/>
    <w:rsid w:val="00221BD5"/>
    <w:rsid w:val="00221D95"/>
    <w:rsid w:val="00221E78"/>
    <w:rsid w:val="00221E7A"/>
    <w:rsid w:val="00221FF2"/>
    <w:rsid w:val="00222087"/>
    <w:rsid w:val="002221C6"/>
    <w:rsid w:val="00222215"/>
    <w:rsid w:val="002222D8"/>
    <w:rsid w:val="00222338"/>
    <w:rsid w:val="00222350"/>
    <w:rsid w:val="0022238F"/>
    <w:rsid w:val="0022248A"/>
    <w:rsid w:val="002226BB"/>
    <w:rsid w:val="002226DD"/>
    <w:rsid w:val="00222735"/>
    <w:rsid w:val="00222863"/>
    <w:rsid w:val="00222915"/>
    <w:rsid w:val="00222A5D"/>
    <w:rsid w:val="00222B9B"/>
    <w:rsid w:val="00222BAD"/>
    <w:rsid w:val="00222BC0"/>
    <w:rsid w:val="00222E94"/>
    <w:rsid w:val="00222F2E"/>
    <w:rsid w:val="00222F9F"/>
    <w:rsid w:val="00223102"/>
    <w:rsid w:val="002232F4"/>
    <w:rsid w:val="002232F7"/>
    <w:rsid w:val="002232F9"/>
    <w:rsid w:val="002232FE"/>
    <w:rsid w:val="002233D8"/>
    <w:rsid w:val="002233F4"/>
    <w:rsid w:val="0022342E"/>
    <w:rsid w:val="002236F5"/>
    <w:rsid w:val="0022374E"/>
    <w:rsid w:val="00223786"/>
    <w:rsid w:val="00223787"/>
    <w:rsid w:val="002237C2"/>
    <w:rsid w:val="002237C9"/>
    <w:rsid w:val="00223805"/>
    <w:rsid w:val="002238EC"/>
    <w:rsid w:val="00223DB5"/>
    <w:rsid w:val="00223FC4"/>
    <w:rsid w:val="00224011"/>
    <w:rsid w:val="00224042"/>
    <w:rsid w:val="00224077"/>
    <w:rsid w:val="002241AA"/>
    <w:rsid w:val="002241D6"/>
    <w:rsid w:val="00224364"/>
    <w:rsid w:val="00224428"/>
    <w:rsid w:val="002245C5"/>
    <w:rsid w:val="0022474B"/>
    <w:rsid w:val="002249A9"/>
    <w:rsid w:val="002249B4"/>
    <w:rsid w:val="00224A0D"/>
    <w:rsid w:val="00224A4A"/>
    <w:rsid w:val="00224A62"/>
    <w:rsid w:val="00224C03"/>
    <w:rsid w:val="00224CDD"/>
    <w:rsid w:val="00224D60"/>
    <w:rsid w:val="00224D82"/>
    <w:rsid w:val="00224E1F"/>
    <w:rsid w:val="00224F2B"/>
    <w:rsid w:val="00225112"/>
    <w:rsid w:val="00225186"/>
    <w:rsid w:val="0022520F"/>
    <w:rsid w:val="0022530B"/>
    <w:rsid w:val="00225485"/>
    <w:rsid w:val="002254A1"/>
    <w:rsid w:val="0022554D"/>
    <w:rsid w:val="002256B0"/>
    <w:rsid w:val="00225892"/>
    <w:rsid w:val="00225899"/>
    <w:rsid w:val="0022599A"/>
    <w:rsid w:val="00225AD0"/>
    <w:rsid w:val="00225B45"/>
    <w:rsid w:val="00225BC1"/>
    <w:rsid w:val="00225D3D"/>
    <w:rsid w:val="00225DB0"/>
    <w:rsid w:val="00225DD8"/>
    <w:rsid w:val="00225EC8"/>
    <w:rsid w:val="00226069"/>
    <w:rsid w:val="00226098"/>
    <w:rsid w:val="00226105"/>
    <w:rsid w:val="002261B1"/>
    <w:rsid w:val="00226342"/>
    <w:rsid w:val="002265D1"/>
    <w:rsid w:val="0022661A"/>
    <w:rsid w:val="00226622"/>
    <w:rsid w:val="0022664C"/>
    <w:rsid w:val="0022669A"/>
    <w:rsid w:val="002266C0"/>
    <w:rsid w:val="002267B9"/>
    <w:rsid w:val="0022685C"/>
    <w:rsid w:val="0022687E"/>
    <w:rsid w:val="00226A6B"/>
    <w:rsid w:val="00226BDD"/>
    <w:rsid w:val="00226E4D"/>
    <w:rsid w:val="00226E9B"/>
    <w:rsid w:val="00226EEC"/>
    <w:rsid w:val="00226FC4"/>
    <w:rsid w:val="00227090"/>
    <w:rsid w:val="00227159"/>
    <w:rsid w:val="002271AF"/>
    <w:rsid w:val="002271F0"/>
    <w:rsid w:val="002271F4"/>
    <w:rsid w:val="00227206"/>
    <w:rsid w:val="00227279"/>
    <w:rsid w:val="002272E5"/>
    <w:rsid w:val="0022739D"/>
    <w:rsid w:val="002273DB"/>
    <w:rsid w:val="00227424"/>
    <w:rsid w:val="0022748C"/>
    <w:rsid w:val="002274F5"/>
    <w:rsid w:val="00227571"/>
    <w:rsid w:val="00227A8E"/>
    <w:rsid w:val="00227AC9"/>
    <w:rsid w:val="00227AEF"/>
    <w:rsid w:val="00227B24"/>
    <w:rsid w:val="00227BDE"/>
    <w:rsid w:val="00227E62"/>
    <w:rsid w:val="00227F0C"/>
    <w:rsid w:val="00227FE7"/>
    <w:rsid w:val="00230251"/>
    <w:rsid w:val="002305C1"/>
    <w:rsid w:val="002305D4"/>
    <w:rsid w:val="0023062D"/>
    <w:rsid w:val="00230704"/>
    <w:rsid w:val="0023071E"/>
    <w:rsid w:val="00230743"/>
    <w:rsid w:val="0023080E"/>
    <w:rsid w:val="00230897"/>
    <w:rsid w:val="002309A4"/>
    <w:rsid w:val="002309CF"/>
    <w:rsid w:val="00230C17"/>
    <w:rsid w:val="00230CD0"/>
    <w:rsid w:val="00230DA5"/>
    <w:rsid w:val="00230DC1"/>
    <w:rsid w:val="00230EF3"/>
    <w:rsid w:val="00230F4D"/>
    <w:rsid w:val="00231187"/>
    <w:rsid w:val="00231244"/>
    <w:rsid w:val="00231256"/>
    <w:rsid w:val="00231334"/>
    <w:rsid w:val="002314AD"/>
    <w:rsid w:val="002315DA"/>
    <w:rsid w:val="0023165A"/>
    <w:rsid w:val="00231749"/>
    <w:rsid w:val="002317E0"/>
    <w:rsid w:val="00231A2D"/>
    <w:rsid w:val="00231AB4"/>
    <w:rsid w:val="00231AB6"/>
    <w:rsid w:val="00231AD4"/>
    <w:rsid w:val="00231D9D"/>
    <w:rsid w:val="00231E22"/>
    <w:rsid w:val="00231E2B"/>
    <w:rsid w:val="00231F78"/>
    <w:rsid w:val="00231FC5"/>
    <w:rsid w:val="002320C0"/>
    <w:rsid w:val="002320D5"/>
    <w:rsid w:val="00232187"/>
    <w:rsid w:val="00232263"/>
    <w:rsid w:val="00232280"/>
    <w:rsid w:val="0023229D"/>
    <w:rsid w:val="002322BC"/>
    <w:rsid w:val="002322BE"/>
    <w:rsid w:val="00232382"/>
    <w:rsid w:val="00232550"/>
    <w:rsid w:val="002325DF"/>
    <w:rsid w:val="0023269F"/>
    <w:rsid w:val="00232711"/>
    <w:rsid w:val="0023286F"/>
    <w:rsid w:val="002328A8"/>
    <w:rsid w:val="002329A8"/>
    <w:rsid w:val="00232B98"/>
    <w:rsid w:val="00232C27"/>
    <w:rsid w:val="00232C93"/>
    <w:rsid w:val="00232D0B"/>
    <w:rsid w:val="00232D8E"/>
    <w:rsid w:val="00233013"/>
    <w:rsid w:val="00233056"/>
    <w:rsid w:val="00233222"/>
    <w:rsid w:val="0023336E"/>
    <w:rsid w:val="002333E9"/>
    <w:rsid w:val="00233474"/>
    <w:rsid w:val="00233559"/>
    <w:rsid w:val="0023368F"/>
    <w:rsid w:val="002336B0"/>
    <w:rsid w:val="00233796"/>
    <w:rsid w:val="002337D3"/>
    <w:rsid w:val="00233821"/>
    <w:rsid w:val="00233880"/>
    <w:rsid w:val="00233896"/>
    <w:rsid w:val="002339BF"/>
    <w:rsid w:val="002339F3"/>
    <w:rsid w:val="00233A52"/>
    <w:rsid w:val="00233B02"/>
    <w:rsid w:val="00233BB0"/>
    <w:rsid w:val="00233C28"/>
    <w:rsid w:val="00233C97"/>
    <w:rsid w:val="00233CFD"/>
    <w:rsid w:val="00233EA0"/>
    <w:rsid w:val="00233F7A"/>
    <w:rsid w:val="00233FAC"/>
    <w:rsid w:val="0023407B"/>
    <w:rsid w:val="00234145"/>
    <w:rsid w:val="00234196"/>
    <w:rsid w:val="002344C7"/>
    <w:rsid w:val="00234549"/>
    <w:rsid w:val="00234611"/>
    <w:rsid w:val="002346D3"/>
    <w:rsid w:val="00234814"/>
    <w:rsid w:val="00234986"/>
    <w:rsid w:val="002349AA"/>
    <w:rsid w:val="002349C6"/>
    <w:rsid w:val="002349E3"/>
    <w:rsid w:val="00234B1C"/>
    <w:rsid w:val="00234B41"/>
    <w:rsid w:val="00234D3F"/>
    <w:rsid w:val="00234D55"/>
    <w:rsid w:val="00234DF3"/>
    <w:rsid w:val="00235385"/>
    <w:rsid w:val="002353B9"/>
    <w:rsid w:val="00235445"/>
    <w:rsid w:val="0023549B"/>
    <w:rsid w:val="00235696"/>
    <w:rsid w:val="002358EC"/>
    <w:rsid w:val="00235916"/>
    <w:rsid w:val="00235A9F"/>
    <w:rsid w:val="00235AA6"/>
    <w:rsid w:val="00235B80"/>
    <w:rsid w:val="00235BA1"/>
    <w:rsid w:val="00235BD7"/>
    <w:rsid w:val="00235C61"/>
    <w:rsid w:val="00235F08"/>
    <w:rsid w:val="00235F50"/>
    <w:rsid w:val="00235F5A"/>
    <w:rsid w:val="00235FE0"/>
    <w:rsid w:val="00235FE4"/>
    <w:rsid w:val="00236112"/>
    <w:rsid w:val="00236138"/>
    <w:rsid w:val="0023615C"/>
    <w:rsid w:val="002361C3"/>
    <w:rsid w:val="002363B0"/>
    <w:rsid w:val="00236524"/>
    <w:rsid w:val="002366C3"/>
    <w:rsid w:val="00236743"/>
    <w:rsid w:val="00236756"/>
    <w:rsid w:val="002367A7"/>
    <w:rsid w:val="00236967"/>
    <w:rsid w:val="00236ADE"/>
    <w:rsid w:val="00236C72"/>
    <w:rsid w:val="00236D62"/>
    <w:rsid w:val="00236E8A"/>
    <w:rsid w:val="00236F8D"/>
    <w:rsid w:val="00236FD6"/>
    <w:rsid w:val="00237058"/>
    <w:rsid w:val="00237092"/>
    <w:rsid w:val="002370C6"/>
    <w:rsid w:val="00237276"/>
    <w:rsid w:val="00237344"/>
    <w:rsid w:val="002373A4"/>
    <w:rsid w:val="00237682"/>
    <w:rsid w:val="002376A3"/>
    <w:rsid w:val="002376CD"/>
    <w:rsid w:val="00237783"/>
    <w:rsid w:val="002377AB"/>
    <w:rsid w:val="002377E5"/>
    <w:rsid w:val="002377E9"/>
    <w:rsid w:val="00237830"/>
    <w:rsid w:val="00237837"/>
    <w:rsid w:val="002378CC"/>
    <w:rsid w:val="00237A3D"/>
    <w:rsid w:val="00237B8C"/>
    <w:rsid w:val="00237C88"/>
    <w:rsid w:val="00237E24"/>
    <w:rsid w:val="00237F90"/>
    <w:rsid w:val="00240267"/>
    <w:rsid w:val="00240275"/>
    <w:rsid w:val="0024031D"/>
    <w:rsid w:val="00240348"/>
    <w:rsid w:val="002403CC"/>
    <w:rsid w:val="0024057B"/>
    <w:rsid w:val="002405CE"/>
    <w:rsid w:val="002406B2"/>
    <w:rsid w:val="002406D6"/>
    <w:rsid w:val="00240834"/>
    <w:rsid w:val="0024088E"/>
    <w:rsid w:val="002408B7"/>
    <w:rsid w:val="002408F5"/>
    <w:rsid w:val="00240CBD"/>
    <w:rsid w:val="00240D19"/>
    <w:rsid w:val="00240D50"/>
    <w:rsid w:val="00240EC7"/>
    <w:rsid w:val="00240F23"/>
    <w:rsid w:val="00240F2E"/>
    <w:rsid w:val="00240F5F"/>
    <w:rsid w:val="00240F8F"/>
    <w:rsid w:val="00241071"/>
    <w:rsid w:val="0024112A"/>
    <w:rsid w:val="00241226"/>
    <w:rsid w:val="0024124E"/>
    <w:rsid w:val="002412A6"/>
    <w:rsid w:val="002412C0"/>
    <w:rsid w:val="00241474"/>
    <w:rsid w:val="002414EE"/>
    <w:rsid w:val="002415E8"/>
    <w:rsid w:val="00241614"/>
    <w:rsid w:val="00241645"/>
    <w:rsid w:val="00241728"/>
    <w:rsid w:val="00241761"/>
    <w:rsid w:val="002418CF"/>
    <w:rsid w:val="0024193A"/>
    <w:rsid w:val="00241953"/>
    <w:rsid w:val="0024196E"/>
    <w:rsid w:val="00241983"/>
    <w:rsid w:val="00241AED"/>
    <w:rsid w:val="00241B63"/>
    <w:rsid w:val="00241B79"/>
    <w:rsid w:val="00241C20"/>
    <w:rsid w:val="00241E0A"/>
    <w:rsid w:val="002421A0"/>
    <w:rsid w:val="00242238"/>
    <w:rsid w:val="0024224B"/>
    <w:rsid w:val="00242495"/>
    <w:rsid w:val="0024249C"/>
    <w:rsid w:val="002424E1"/>
    <w:rsid w:val="002424FF"/>
    <w:rsid w:val="00242573"/>
    <w:rsid w:val="002425F5"/>
    <w:rsid w:val="00242633"/>
    <w:rsid w:val="0024282E"/>
    <w:rsid w:val="00242896"/>
    <w:rsid w:val="0024296D"/>
    <w:rsid w:val="00242986"/>
    <w:rsid w:val="00242A33"/>
    <w:rsid w:val="00242B13"/>
    <w:rsid w:val="00242B2F"/>
    <w:rsid w:val="00242CC3"/>
    <w:rsid w:val="00242CC6"/>
    <w:rsid w:val="00242CFA"/>
    <w:rsid w:val="00242D38"/>
    <w:rsid w:val="00242DD1"/>
    <w:rsid w:val="00242DD5"/>
    <w:rsid w:val="00242E49"/>
    <w:rsid w:val="00242F56"/>
    <w:rsid w:val="002431D8"/>
    <w:rsid w:val="0024323B"/>
    <w:rsid w:val="00243243"/>
    <w:rsid w:val="00243304"/>
    <w:rsid w:val="0024345C"/>
    <w:rsid w:val="0024350C"/>
    <w:rsid w:val="00243566"/>
    <w:rsid w:val="002435DA"/>
    <w:rsid w:val="002435F5"/>
    <w:rsid w:val="00243727"/>
    <w:rsid w:val="002437C3"/>
    <w:rsid w:val="00243845"/>
    <w:rsid w:val="002438DD"/>
    <w:rsid w:val="00243B73"/>
    <w:rsid w:val="00243BE5"/>
    <w:rsid w:val="00243E7E"/>
    <w:rsid w:val="00243F2A"/>
    <w:rsid w:val="00244000"/>
    <w:rsid w:val="00244061"/>
    <w:rsid w:val="0024408C"/>
    <w:rsid w:val="002441C9"/>
    <w:rsid w:val="00244445"/>
    <w:rsid w:val="002444A2"/>
    <w:rsid w:val="00244502"/>
    <w:rsid w:val="00244606"/>
    <w:rsid w:val="0024464E"/>
    <w:rsid w:val="00244812"/>
    <w:rsid w:val="00244878"/>
    <w:rsid w:val="00244D20"/>
    <w:rsid w:val="00244D46"/>
    <w:rsid w:val="00245054"/>
    <w:rsid w:val="002452CD"/>
    <w:rsid w:val="0024548B"/>
    <w:rsid w:val="0024565E"/>
    <w:rsid w:val="0024582F"/>
    <w:rsid w:val="00245BC8"/>
    <w:rsid w:val="00245C38"/>
    <w:rsid w:val="00245D4F"/>
    <w:rsid w:val="00245D54"/>
    <w:rsid w:val="00245EAA"/>
    <w:rsid w:val="00246228"/>
    <w:rsid w:val="002463E9"/>
    <w:rsid w:val="0024645E"/>
    <w:rsid w:val="00246517"/>
    <w:rsid w:val="0024658C"/>
    <w:rsid w:val="002465B0"/>
    <w:rsid w:val="002465C2"/>
    <w:rsid w:val="002465CF"/>
    <w:rsid w:val="002466C7"/>
    <w:rsid w:val="0024682B"/>
    <w:rsid w:val="00246839"/>
    <w:rsid w:val="00246A3C"/>
    <w:rsid w:val="00246A87"/>
    <w:rsid w:val="00246A99"/>
    <w:rsid w:val="00246C51"/>
    <w:rsid w:val="00246D8B"/>
    <w:rsid w:val="0024700D"/>
    <w:rsid w:val="0024716F"/>
    <w:rsid w:val="00247326"/>
    <w:rsid w:val="00247550"/>
    <w:rsid w:val="002475C9"/>
    <w:rsid w:val="002476CA"/>
    <w:rsid w:val="00247783"/>
    <w:rsid w:val="00247844"/>
    <w:rsid w:val="002478BD"/>
    <w:rsid w:val="00247976"/>
    <w:rsid w:val="002479C4"/>
    <w:rsid w:val="00247C28"/>
    <w:rsid w:val="00247C72"/>
    <w:rsid w:val="00247D1E"/>
    <w:rsid w:val="00247E75"/>
    <w:rsid w:val="00247EA6"/>
    <w:rsid w:val="00247F86"/>
    <w:rsid w:val="0024EFE4"/>
    <w:rsid w:val="00250108"/>
    <w:rsid w:val="002501F1"/>
    <w:rsid w:val="00250386"/>
    <w:rsid w:val="002503E4"/>
    <w:rsid w:val="0025046A"/>
    <w:rsid w:val="0025048B"/>
    <w:rsid w:val="0025049D"/>
    <w:rsid w:val="002504E6"/>
    <w:rsid w:val="0025050D"/>
    <w:rsid w:val="002505AD"/>
    <w:rsid w:val="00250690"/>
    <w:rsid w:val="00250724"/>
    <w:rsid w:val="00250740"/>
    <w:rsid w:val="00250750"/>
    <w:rsid w:val="002507A7"/>
    <w:rsid w:val="00250858"/>
    <w:rsid w:val="00250876"/>
    <w:rsid w:val="00250908"/>
    <w:rsid w:val="00250951"/>
    <w:rsid w:val="00250965"/>
    <w:rsid w:val="002509F9"/>
    <w:rsid w:val="00250B55"/>
    <w:rsid w:val="00250B92"/>
    <w:rsid w:val="00250E1E"/>
    <w:rsid w:val="00250F54"/>
    <w:rsid w:val="0025105D"/>
    <w:rsid w:val="002510CB"/>
    <w:rsid w:val="00251117"/>
    <w:rsid w:val="00251165"/>
    <w:rsid w:val="00251219"/>
    <w:rsid w:val="0025128C"/>
    <w:rsid w:val="0025132C"/>
    <w:rsid w:val="00251609"/>
    <w:rsid w:val="002516D5"/>
    <w:rsid w:val="002518F0"/>
    <w:rsid w:val="00251939"/>
    <w:rsid w:val="00251C11"/>
    <w:rsid w:val="00251C4C"/>
    <w:rsid w:val="00251D8F"/>
    <w:rsid w:val="00251F6A"/>
    <w:rsid w:val="00252097"/>
    <w:rsid w:val="00252098"/>
    <w:rsid w:val="0025217D"/>
    <w:rsid w:val="0025225D"/>
    <w:rsid w:val="0025238A"/>
    <w:rsid w:val="002523B2"/>
    <w:rsid w:val="002524A7"/>
    <w:rsid w:val="002524C6"/>
    <w:rsid w:val="00252576"/>
    <w:rsid w:val="002525FB"/>
    <w:rsid w:val="00252676"/>
    <w:rsid w:val="0025268A"/>
    <w:rsid w:val="002526A1"/>
    <w:rsid w:val="00252718"/>
    <w:rsid w:val="0025271A"/>
    <w:rsid w:val="0025274E"/>
    <w:rsid w:val="00252995"/>
    <w:rsid w:val="00252A55"/>
    <w:rsid w:val="00252A58"/>
    <w:rsid w:val="00252D05"/>
    <w:rsid w:val="00252F8D"/>
    <w:rsid w:val="00252FD8"/>
    <w:rsid w:val="00252FF5"/>
    <w:rsid w:val="00253550"/>
    <w:rsid w:val="0025359F"/>
    <w:rsid w:val="002535AD"/>
    <w:rsid w:val="002535F8"/>
    <w:rsid w:val="002535F9"/>
    <w:rsid w:val="002537DA"/>
    <w:rsid w:val="002538C8"/>
    <w:rsid w:val="0025390D"/>
    <w:rsid w:val="00253948"/>
    <w:rsid w:val="00253DD6"/>
    <w:rsid w:val="00253F45"/>
    <w:rsid w:val="00253F6C"/>
    <w:rsid w:val="00254144"/>
    <w:rsid w:val="00254227"/>
    <w:rsid w:val="00254238"/>
    <w:rsid w:val="002542DB"/>
    <w:rsid w:val="002543C3"/>
    <w:rsid w:val="002544B4"/>
    <w:rsid w:val="00254618"/>
    <w:rsid w:val="0025461E"/>
    <w:rsid w:val="002546C2"/>
    <w:rsid w:val="00254840"/>
    <w:rsid w:val="002548A1"/>
    <w:rsid w:val="00254949"/>
    <w:rsid w:val="00254A44"/>
    <w:rsid w:val="00254A54"/>
    <w:rsid w:val="00254A55"/>
    <w:rsid w:val="00254C45"/>
    <w:rsid w:val="00254C6C"/>
    <w:rsid w:val="00254D65"/>
    <w:rsid w:val="00254E06"/>
    <w:rsid w:val="002552B5"/>
    <w:rsid w:val="0025558F"/>
    <w:rsid w:val="002555B6"/>
    <w:rsid w:val="0025573E"/>
    <w:rsid w:val="002558EA"/>
    <w:rsid w:val="002559F5"/>
    <w:rsid w:val="00255AB9"/>
    <w:rsid w:val="00255CA1"/>
    <w:rsid w:val="00255CDF"/>
    <w:rsid w:val="00255CFA"/>
    <w:rsid w:val="00255EF4"/>
    <w:rsid w:val="00255F2D"/>
    <w:rsid w:val="00255F81"/>
    <w:rsid w:val="002566A0"/>
    <w:rsid w:val="00256772"/>
    <w:rsid w:val="00256787"/>
    <w:rsid w:val="00256868"/>
    <w:rsid w:val="002568C4"/>
    <w:rsid w:val="00256A3C"/>
    <w:rsid w:val="00256A3D"/>
    <w:rsid w:val="00256BCE"/>
    <w:rsid w:val="00256C1A"/>
    <w:rsid w:val="00256EF0"/>
    <w:rsid w:val="00256F30"/>
    <w:rsid w:val="0025716C"/>
    <w:rsid w:val="00257252"/>
    <w:rsid w:val="00257458"/>
    <w:rsid w:val="00257499"/>
    <w:rsid w:val="0025759B"/>
    <w:rsid w:val="002576FE"/>
    <w:rsid w:val="002577AA"/>
    <w:rsid w:val="00257838"/>
    <w:rsid w:val="00257923"/>
    <w:rsid w:val="00257AED"/>
    <w:rsid w:val="00257B22"/>
    <w:rsid w:val="00257B96"/>
    <w:rsid w:val="00257BBC"/>
    <w:rsid w:val="00257D2C"/>
    <w:rsid w:val="0026023A"/>
    <w:rsid w:val="00260420"/>
    <w:rsid w:val="002604DC"/>
    <w:rsid w:val="002605EF"/>
    <w:rsid w:val="002606BE"/>
    <w:rsid w:val="0026072C"/>
    <w:rsid w:val="0026078D"/>
    <w:rsid w:val="00260855"/>
    <w:rsid w:val="002608EC"/>
    <w:rsid w:val="00260903"/>
    <w:rsid w:val="00260B43"/>
    <w:rsid w:val="00260B52"/>
    <w:rsid w:val="00260C32"/>
    <w:rsid w:val="00260C66"/>
    <w:rsid w:val="00260C79"/>
    <w:rsid w:val="00260D70"/>
    <w:rsid w:val="00260E36"/>
    <w:rsid w:val="00260FF3"/>
    <w:rsid w:val="002610A4"/>
    <w:rsid w:val="0026113C"/>
    <w:rsid w:val="00261440"/>
    <w:rsid w:val="00261505"/>
    <w:rsid w:val="002615F3"/>
    <w:rsid w:val="002616A2"/>
    <w:rsid w:val="0026170C"/>
    <w:rsid w:val="0026171B"/>
    <w:rsid w:val="00261832"/>
    <w:rsid w:val="0026186D"/>
    <w:rsid w:val="00261AA8"/>
    <w:rsid w:val="00261AF4"/>
    <w:rsid w:val="00261AF5"/>
    <w:rsid w:val="00261B98"/>
    <w:rsid w:val="00261D36"/>
    <w:rsid w:val="00261D58"/>
    <w:rsid w:val="00261DE7"/>
    <w:rsid w:val="00261DF1"/>
    <w:rsid w:val="002620BA"/>
    <w:rsid w:val="002620CF"/>
    <w:rsid w:val="002620FA"/>
    <w:rsid w:val="002622F4"/>
    <w:rsid w:val="00262307"/>
    <w:rsid w:val="002623DA"/>
    <w:rsid w:val="002625B4"/>
    <w:rsid w:val="002625EF"/>
    <w:rsid w:val="00262766"/>
    <w:rsid w:val="00262984"/>
    <w:rsid w:val="002629AD"/>
    <w:rsid w:val="002629FE"/>
    <w:rsid w:val="00262B2D"/>
    <w:rsid w:val="00262C88"/>
    <w:rsid w:val="00262DCB"/>
    <w:rsid w:val="00262FB1"/>
    <w:rsid w:val="002630D1"/>
    <w:rsid w:val="002631FE"/>
    <w:rsid w:val="002632C9"/>
    <w:rsid w:val="00263450"/>
    <w:rsid w:val="002634AA"/>
    <w:rsid w:val="00263590"/>
    <w:rsid w:val="002635B3"/>
    <w:rsid w:val="002636AF"/>
    <w:rsid w:val="0026373D"/>
    <w:rsid w:val="002637FF"/>
    <w:rsid w:val="0026382E"/>
    <w:rsid w:val="0026385F"/>
    <w:rsid w:val="00263985"/>
    <w:rsid w:val="00263DB3"/>
    <w:rsid w:val="00263DD2"/>
    <w:rsid w:val="00263DF9"/>
    <w:rsid w:val="00263F43"/>
    <w:rsid w:val="00263F78"/>
    <w:rsid w:val="00263F7C"/>
    <w:rsid w:val="00263F80"/>
    <w:rsid w:val="00263FCA"/>
    <w:rsid w:val="002641DF"/>
    <w:rsid w:val="0026423C"/>
    <w:rsid w:val="002642D4"/>
    <w:rsid w:val="0026432E"/>
    <w:rsid w:val="00264426"/>
    <w:rsid w:val="002644AC"/>
    <w:rsid w:val="002644DA"/>
    <w:rsid w:val="00264536"/>
    <w:rsid w:val="0026455F"/>
    <w:rsid w:val="00264639"/>
    <w:rsid w:val="00264641"/>
    <w:rsid w:val="002647F0"/>
    <w:rsid w:val="00264869"/>
    <w:rsid w:val="00264897"/>
    <w:rsid w:val="00264A0A"/>
    <w:rsid w:val="00264A6D"/>
    <w:rsid w:val="00264C1D"/>
    <w:rsid w:val="00264CA8"/>
    <w:rsid w:val="00264CAC"/>
    <w:rsid w:val="00264CD3"/>
    <w:rsid w:val="00264CEF"/>
    <w:rsid w:val="00264CF7"/>
    <w:rsid w:val="00264D6E"/>
    <w:rsid w:val="00264FC1"/>
    <w:rsid w:val="002650AA"/>
    <w:rsid w:val="00265129"/>
    <w:rsid w:val="00265330"/>
    <w:rsid w:val="002653A8"/>
    <w:rsid w:val="00265436"/>
    <w:rsid w:val="0026549A"/>
    <w:rsid w:val="00265576"/>
    <w:rsid w:val="0026561A"/>
    <w:rsid w:val="0026563B"/>
    <w:rsid w:val="00265643"/>
    <w:rsid w:val="002658E9"/>
    <w:rsid w:val="0026593C"/>
    <w:rsid w:val="0026594F"/>
    <w:rsid w:val="00265AD0"/>
    <w:rsid w:val="00265BBA"/>
    <w:rsid w:val="00265C73"/>
    <w:rsid w:val="00265E0B"/>
    <w:rsid w:val="00265EDC"/>
    <w:rsid w:val="00265EE0"/>
    <w:rsid w:val="00265EFC"/>
    <w:rsid w:val="00265F0D"/>
    <w:rsid w:val="00265FC6"/>
    <w:rsid w:val="0026600B"/>
    <w:rsid w:val="0026601B"/>
    <w:rsid w:val="002662B2"/>
    <w:rsid w:val="00266476"/>
    <w:rsid w:val="0026647C"/>
    <w:rsid w:val="00266989"/>
    <w:rsid w:val="00266A00"/>
    <w:rsid w:val="00266B73"/>
    <w:rsid w:val="00266C22"/>
    <w:rsid w:val="00266C42"/>
    <w:rsid w:val="00266F80"/>
    <w:rsid w:val="00266FC4"/>
    <w:rsid w:val="00266FD5"/>
    <w:rsid w:val="00267009"/>
    <w:rsid w:val="00267093"/>
    <w:rsid w:val="002672DF"/>
    <w:rsid w:val="002674E2"/>
    <w:rsid w:val="0026777C"/>
    <w:rsid w:val="002677C6"/>
    <w:rsid w:val="00267896"/>
    <w:rsid w:val="00267946"/>
    <w:rsid w:val="00267A39"/>
    <w:rsid w:val="00267A59"/>
    <w:rsid w:val="00267AF6"/>
    <w:rsid w:val="00267AFB"/>
    <w:rsid w:val="00267B56"/>
    <w:rsid w:val="00267C5C"/>
    <w:rsid w:val="00267C6D"/>
    <w:rsid w:val="00267CD4"/>
    <w:rsid w:val="00267D59"/>
    <w:rsid w:val="00267DB4"/>
    <w:rsid w:val="00267FE3"/>
    <w:rsid w:val="0027003F"/>
    <w:rsid w:val="0027018D"/>
    <w:rsid w:val="00270266"/>
    <w:rsid w:val="0027037A"/>
    <w:rsid w:val="00270767"/>
    <w:rsid w:val="002708F5"/>
    <w:rsid w:val="00270915"/>
    <w:rsid w:val="00270984"/>
    <w:rsid w:val="00270AFE"/>
    <w:rsid w:val="00270B0A"/>
    <w:rsid w:val="00270B6C"/>
    <w:rsid w:val="00270C7B"/>
    <w:rsid w:val="00270D11"/>
    <w:rsid w:val="00270D69"/>
    <w:rsid w:val="00270E5D"/>
    <w:rsid w:val="00270EBA"/>
    <w:rsid w:val="00270F4E"/>
    <w:rsid w:val="00270F79"/>
    <w:rsid w:val="0027118C"/>
    <w:rsid w:val="002711BA"/>
    <w:rsid w:val="002713A7"/>
    <w:rsid w:val="002713CC"/>
    <w:rsid w:val="002714AD"/>
    <w:rsid w:val="0027159B"/>
    <w:rsid w:val="002717D8"/>
    <w:rsid w:val="0027187A"/>
    <w:rsid w:val="00271D6B"/>
    <w:rsid w:val="00271DA9"/>
    <w:rsid w:val="00271DAD"/>
    <w:rsid w:val="00271DC1"/>
    <w:rsid w:val="00271E81"/>
    <w:rsid w:val="00271FDF"/>
    <w:rsid w:val="0027212C"/>
    <w:rsid w:val="00272157"/>
    <w:rsid w:val="002722D9"/>
    <w:rsid w:val="002723A5"/>
    <w:rsid w:val="002723B9"/>
    <w:rsid w:val="00272493"/>
    <w:rsid w:val="002726E2"/>
    <w:rsid w:val="00272776"/>
    <w:rsid w:val="002727DF"/>
    <w:rsid w:val="002728F5"/>
    <w:rsid w:val="00272963"/>
    <w:rsid w:val="00272CA7"/>
    <w:rsid w:val="00272DF8"/>
    <w:rsid w:val="00272E27"/>
    <w:rsid w:val="00273063"/>
    <w:rsid w:val="0027313F"/>
    <w:rsid w:val="00273202"/>
    <w:rsid w:val="002732C2"/>
    <w:rsid w:val="002733A3"/>
    <w:rsid w:val="002734E1"/>
    <w:rsid w:val="002734E5"/>
    <w:rsid w:val="0027360E"/>
    <w:rsid w:val="00273645"/>
    <w:rsid w:val="00273742"/>
    <w:rsid w:val="00273773"/>
    <w:rsid w:val="002738E9"/>
    <w:rsid w:val="002739B0"/>
    <w:rsid w:val="00273CDA"/>
    <w:rsid w:val="00273DEE"/>
    <w:rsid w:val="00273E16"/>
    <w:rsid w:val="00273E95"/>
    <w:rsid w:val="00273F27"/>
    <w:rsid w:val="00274064"/>
    <w:rsid w:val="002740EF"/>
    <w:rsid w:val="002741D4"/>
    <w:rsid w:val="002741ED"/>
    <w:rsid w:val="00274216"/>
    <w:rsid w:val="00274251"/>
    <w:rsid w:val="002743AD"/>
    <w:rsid w:val="00274495"/>
    <w:rsid w:val="0027449C"/>
    <w:rsid w:val="0027453F"/>
    <w:rsid w:val="00274574"/>
    <w:rsid w:val="002745C8"/>
    <w:rsid w:val="00274695"/>
    <w:rsid w:val="002746DD"/>
    <w:rsid w:val="00274778"/>
    <w:rsid w:val="002747A2"/>
    <w:rsid w:val="0027489F"/>
    <w:rsid w:val="002748A1"/>
    <w:rsid w:val="002748CA"/>
    <w:rsid w:val="00274B16"/>
    <w:rsid w:val="00274B7A"/>
    <w:rsid w:val="00274B7D"/>
    <w:rsid w:val="00274C7D"/>
    <w:rsid w:val="00274D7B"/>
    <w:rsid w:val="00274E68"/>
    <w:rsid w:val="00274FA1"/>
    <w:rsid w:val="00274FAB"/>
    <w:rsid w:val="002751AA"/>
    <w:rsid w:val="0027529F"/>
    <w:rsid w:val="00275341"/>
    <w:rsid w:val="00275410"/>
    <w:rsid w:val="002754F8"/>
    <w:rsid w:val="0027554B"/>
    <w:rsid w:val="002756B4"/>
    <w:rsid w:val="00275838"/>
    <w:rsid w:val="00275A5D"/>
    <w:rsid w:val="00275B86"/>
    <w:rsid w:val="00275C13"/>
    <w:rsid w:val="00275CFE"/>
    <w:rsid w:val="00275FA0"/>
    <w:rsid w:val="00275FF8"/>
    <w:rsid w:val="0027610E"/>
    <w:rsid w:val="0027621B"/>
    <w:rsid w:val="00276282"/>
    <w:rsid w:val="002762A2"/>
    <w:rsid w:val="00276321"/>
    <w:rsid w:val="00276386"/>
    <w:rsid w:val="0027640E"/>
    <w:rsid w:val="00276413"/>
    <w:rsid w:val="00276443"/>
    <w:rsid w:val="002767D7"/>
    <w:rsid w:val="00276866"/>
    <w:rsid w:val="00276AD2"/>
    <w:rsid w:val="00276DDA"/>
    <w:rsid w:val="00276DFC"/>
    <w:rsid w:val="00276E2F"/>
    <w:rsid w:val="00276ED7"/>
    <w:rsid w:val="00276F16"/>
    <w:rsid w:val="00276FA6"/>
    <w:rsid w:val="00276FB8"/>
    <w:rsid w:val="00277050"/>
    <w:rsid w:val="00277069"/>
    <w:rsid w:val="00277158"/>
    <w:rsid w:val="00277204"/>
    <w:rsid w:val="00277220"/>
    <w:rsid w:val="00277292"/>
    <w:rsid w:val="002772C2"/>
    <w:rsid w:val="002772FF"/>
    <w:rsid w:val="00277372"/>
    <w:rsid w:val="00277452"/>
    <w:rsid w:val="00277507"/>
    <w:rsid w:val="002775E1"/>
    <w:rsid w:val="002778DA"/>
    <w:rsid w:val="00277914"/>
    <w:rsid w:val="00277991"/>
    <w:rsid w:val="00277C62"/>
    <w:rsid w:val="00277DDF"/>
    <w:rsid w:val="00277F98"/>
    <w:rsid w:val="00280089"/>
    <w:rsid w:val="002802AC"/>
    <w:rsid w:val="002802EA"/>
    <w:rsid w:val="002804E1"/>
    <w:rsid w:val="0028053D"/>
    <w:rsid w:val="002805D8"/>
    <w:rsid w:val="00280705"/>
    <w:rsid w:val="0028089A"/>
    <w:rsid w:val="00280971"/>
    <w:rsid w:val="00280975"/>
    <w:rsid w:val="00280976"/>
    <w:rsid w:val="00280A2C"/>
    <w:rsid w:val="00280B61"/>
    <w:rsid w:val="00280BE7"/>
    <w:rsid w:val="00280BF4"/>
    <w:rsid w:val="00280CF9"/>
    <w:rsid w:val="00280ED1"/>
    <w:rsid w:val="00280F09"/>
    <w:rsid w:val="00280F24"/>
    <w:rsid w:val="00280F3B"/>
    <w:rsid w:val="00280FE0"/>
    <w:rsid w:val="00281186"/>
    <w:rsid w:val="00281238"/>
    <w:rsid w:val="002813D9"/>
    <w:rsid w:val="002813FF"/>
    <w:rsid w:val="00281452"/>
    <w:rsid w:val="002815B5"/>
    <w:rsid w:val="002816D2"/>
    <w:rsid w:val="00281708"/>
    <w:rsid w:val="00281799"/>
    <w:rsid w:val="002819EB"/>
    <w:rsid w:val="00281A47"/>
    <w:rsid w:val="00281A5D"/>
    <w:rsid w:val="00281A62"/>
    <w:rsid w:val="00281D8D"/>
    <w:rsid w:val="00281D97"/>
    <w:rsid w:val="00281E27"/>
    <w:rsid w:val="00281E31"/>
    <w:rsid w:val="00281E68"/>
    <w:rsid w:val="00281F2B"/>
    <w:rsid w:val="00281F3D"/>
    <w:rsid w:val="00281F5D"/>
    <w:rsid w:val="00281FCF"/>
    <w:rsid w:val="0028213D"/>
    <w:rsid w:val="002821CD"/>
    <w:rsid w:val="00282266"/>
    <w:rsid w:val="0028249D"/>
    <w:rsid w:val="002824E6"/>
    <w:rsid w:val="0028270C"/>
    <w:rsid w:val="00282840"/>
    <w:rsid w:val="00282922"/>
    <w:rsid w:val="002829D3"/>
    <w:rsid w:val="00282B1D"/>
    <w:rsid w:val="00283080"/>
    <w:rsid w:val="0028312C"/>
    <w:rsid w:val="00283189"/>
    <w:rsid w:val="0028326B"/>
    <w:rsid w:val="00283305"/>
    <w:rsid w:val="002833DD"/>
    <w:rsid w:val="00283CAC"/>
    <w:rsid w:val="00283D18"/>
    <w:rsid w:val="00283E48"/>
    <w:rsid w:val="00283F33"/>
    <w:rsid w:val="00283F6C"/>
    <w:rsid w:val="0028400C"/>
    <w:rsid w:val="0028405C"/>
    <w:rsid w:val="00284075"/>
    <w:rsid w:val="002840DC"/>
    <w:rsid w:val="00284231"/>
    <w:rsid w:val="002843F4"/>
    <w:rsid w:val="0028445F"/>
    <w:rsid w:val="002844EE"/>
    <w:rsid w:val="00284553"/>
    <w:rsid w:val="0028471A"/>
    <w:rsid w:val="002847AE"/>
    <w:rsid w:val="0028482B"/>
    <w:rsid w:val="00284873"/>
    <w:rsid w:val="002848D4"/>
    <w:rsid w:val="00284B14"/>
    <w:rsid w:val="00284C73"/>
    <w:rsid w:val="002852B5"/>
    <w:rsid w:val="002852EB"/>
    <w:rsid w:val="00285307"/>
    <w:rsid w:val="00285379"/>
    <w:rsid w:val="002854E4"/>
    <w:rsid w:val="00285664"/>
    <w:rsid w:val="00285777"/>
    <w:rsid w:val="0028577B"/>
    <w:rsid w:val="002857DE"/>
    <w:rsid w:val="00285820"/>
    <w:rsid w:val="002858E7"/>
    <w:rsid w:val="0028593E"/>
    <w:rsid w:val="00285B78"/>
    <w:rsid w:val="00285BAD"/>
    <w:rsid w:val="00285C00"/>
    <w:rsid w:val="00285CF4"/>
    <w:rsid w:val="00285DAE"/>
    <w:rsid w:val="00285EC7"/>
    <w:rsid w:val="00285EF3"/>
    <w:rsid w:val="00285FE2"/>
    <w:rsid w:val="00286013"/>
    <w:rsid w:val="002860E9"/>
    <w:rsid w:val="0028614F"/>
    <w:rsid w:val="002861BD"/>
    <w:rsid w:val="00286319"/>
    <w:rsid w:val="00286322"/>
    <w:rsid w:val="00286416"/>
    <w:rsid w:val="0028654A"/>
    <w:rsid w:val="00286753"/>
    <w:rsid w:val="00286754"/>
    <w:rsid w:val="0028676C"/>
    <w:rsid w:val="0028677C"/>
    <w:rsid w:val="002867C0"/>
    <w:rsid w:val="0028696D"/>
    <w:rsid w:val="00286995"/>
    <w:rsid w:val="00286BCA"/>
    <w:rsid w:val="00286C6A"/>
    <w:rsid w:val="00286CE3"/>
    <w:rsid w:val="00286D1A"/>
    <w:rsid w:val="00286E26"/>
    <w:rsid w:val="00286F33"/>
    <w:rsid w:val="00286FDC"/>
    <w:rsid w:val="00287049"/>
    <w:rsid w:val="0028709E"/>
    <w:rsid w:val="002873B5"/>
    <w:rsid w:val="00287467"/>
    <w:rsid w:val="0028750E"/>
    <w:rsid w:val="002875BF"/>
    <w:rsid w:val="002876A2"/>
    <w:rsid w:val="00287941"/>
    <w:rsid w:val="00287DA0"/>
    <w:rsid w:val="00287DA4"/>
    <w:rsid w:val="00287DD2"/>
    <w:rsid w:val="00287E4F"/>
    <w:rsid w:val="00287EBF"/>
    <w:rsid w:val="00290031"/>
    <w:rsid w:val="00290122"/>
    <w:rsid w:val="00290190"/>
    <w:rsid w:val="002902F8"/>
    <w:rsid w:val="00290356"/>
    <w:rsid w:val="002903DE"/>
    <w:rsid w:val="0029047E"/>
    <w:rsid w:val="00290485"/>
    <w:rsid w:val="00290641"/>
    <w:rsid w:val="0029071A"/>
    <w:rsid w:val="00290D4D"/>
    <w:rsid w:val="002911CF"/>
    <w:rsid w:val="002912E9"/>
    <w:rsid w:val="00291324"/>
    <w:rsid w:val="00291331"/>
    <w:rsid w:val="00291354"/>
    <w:rsid w:val="00291355"/>
    <w:rsid w:val="00291483"/>
    <w:rsid w:val="00291527"/>
    <w:rsid w:val="002915C1"/>
    <w:rsid w:val="002915D7"/>
    <w:rsid w:val="002915F5"/>
    <w:rsid w:val="00291829"/>
    <w:rsid w:val="002918CC"/>
    <w:rsid w:val="00291975"/>
    <w:rsid w:val="002919CA"/>
    <w:rsid w:val="00291A59"/>
    <w:rsid w:val="00291AEF"/>
    <w:rsid w:val="00291AF2"/>
    <w:rsid w:val="00291B1C"/>
    <w:rsid w:val="00291C15"/>
    <w:rsid w:val="00291CAF"/>
    <w:rsid w:val="00291EB8"/>
    <w:rsid w:val="00291EEA"/>
    <w:rsid w:val="00291F04"/>
    <w:rsid w:val="00292486"/>
    <w:rsid w:val="00292950"/>
    <w:rsid w:val="00292992"/>
    <w:rsid w:val="002929D9"/>
    <w:rsid w:val="00292AC6"/>
    <w:rsid w:val="00292C40"/>
    <w:rsid w:val="00292CD9"/>
    <w:rsid w:val="00292CF0"/>
    <w:rsid w:val="00292E56"/>
    <w:rsid w:val="00292EE2"/>
    <w:rsid w:val="00292FCE"/>
    <w:rsid w:val="00292FE8"/>
    <w:rsid w:val="0029306D"/>
    <w:rsid w:val="002930A2"/>
    <w:rsid w:val="00293106"/>
    <w:rsid w:val="00293202"/>
    <w:rsid w:val="00293260"/>
    <w:rsid w:val="00293320"/>
    <w:rsid w:val="002934EB"/>
    <w:rsid w:val="00293650"/>
    <w:rsid w:val="00293702"/>
    <w:rsid w:val="002937F8"/>
    <w:rsid w:val="0029385E"/>
    <w:rsid w:val="00293890"/>
    <w:rsid w:val="002938A5"/>
    <w:rsid w:val="00293A27"/>
    <w:rsid w:val="00293B71"/>
    <w:rsid w:val="00293C52"/>
    <w:rsid w:val="00293CED"/>
    <w:rsid w:val="00293E1F"/>
    <w:rsid w:val="00293F0C"/>
    <w:rsid w:val="00293FF8"/>
    <w:rsid w:val="002940ED"/>
    <w:rsid w:val="002943B1"/>
    <w:rsid w:val="0029456B"/>
    <w:rsid w:val="0029487F"/>
    <w:rsid w:val="0029495C"/>
    <w:rsid w:val="00294A35"/>
    <w:rsid w:val="00294B59"/>
    <w:rsid w:val="00294C11"/>
    <w:rsid w:val="00294CD2"/>
    <w:rsid w:val="00294DF7"/>
    <w:rsid w:val="00294F70"/>
    <w:rsid w:val="00295041"/>
    <w:rsid w:val="00295063"/>
    <w:rsid w:val="0029524C"/>
    <w:rsid w:val="002952BC"/>
    <w:rsid w:val="002952D8"/>
    <w:rsid w:val="00295676"/>
    <w:rsid w:val="00295821"/>
    <w:rsid w:val="002958FA"/>
    <w:rsid w:val="00295A93"/>
    <w:rsid w:val="00295ABA"/>
    <w:rsid w:val="00295B3D"/>
    <w:rsid w:val="00295B47"/>
    <w:rsid w:val="00295B5B"/>
    <w:rsid w:val="00295C2C"/>
    <w:rsid w:val="00295C6A"/>
    <w:rsid w:val="00295D07"/>
    <w:rsid w:val="00295D33"/>
    <w:rsid w:val="00295E1E"/>
    <w:rsid w:val="00296014"/>
    <w:rsid w:val="00296117"/>
    <w:rsid w:val="00296179"/>
    <w:rsid w:val="002961BF"/>
    <w:rsid w:val="00296201"/>
    <w:rsid w:val="00296259"/>
    <w:rsid w:val="00296292"/>
    <w:rsid w:val="002962C1"/>
    <w:rsid w:val="002963CD"/>
    <w:rsid w:val="002965FA"/>
    <w:rsid w:val="00296700"/>
    <w:rsid w:val="00296709"/>
    <w:rsid w:val="00296784"/>
    <w:rsid w:val="00296852"/>
    <w:rsid w:val="002968D3"/>
    <w:rsid w:val="002968FF"/>
    <w:rsid w:val="0029694A"/>
    <w:rsid w:val="002969D0"/>
    <w:rsid w:val="00296A09"/>
    <w:rsid w:val="00296D48"/>
    <w:rsid w:val="00296E11"/>
    <w:rsid w:val="002970DE"/>
    <w:rsid w:val="00297125"/>
    <w:rsid w:val="00297268"/>
    <w:rsid w:val="002973CD"/>
    <w:rsid w:val="002973D6"/>
    <w:rsid w:val="0029757E"/>
    <w:rsid w:val="0029781B"/>
    <w:rsid w:val="002978BC"/>
    <w:rsid w:val="00297E02"/>
    <w:rsid w:val="00297F27"/>
    <w:rsid w:val="002A0067"/>
    <w:rsid w:val="002A00BB"/>
    <w:rsid w:val="002A0284"/>
    <w:rsid w:val="002A0308"/>
    <w:rsid w:val="002A0519"/>
    <w:rsid w:val="002A06F0"/>
    <w:rsid w:val="002A0714"/>
    <w:rsid w:val="002A097A"/>
    <w:rsid w:val="002A0D1F"/>
    <w:rsid w:val="002A0D26"/>
    <w:rsid w:val="002A0DF1"/>
    <w:rsid w:val="002A0EC1"/>
    <w:rsid w:val="002A0EFA"/>
    <w:rsid w:val="002A112C"/>
    <w:rsid w:val="002A121E"/>
    <w:rsid w:val="002A12B4"/>
    <w:rsid w:val="002A137A"/>
    <w:rsid w:val="002A13B1"/>
    <w:rsid w:val="002A13C1"/>
    <w:rsid w:val="002A13EC"/>
    <w:rsid w:val="002A1487"/>
    <w:rsid w:val="002A14B8"/>
    <w:rsid w:val="002A18D0"/>
    <w:rsid w:val="002A19B2"/>
    <w:rsid w:val="002A1A99"/>
    <w:rsid w:val="002A1BC6"/>
    <w:rsid w:val="002A1BFF"/>
    <w:rsid w:val="002A1DF3"/>
    <w:rsid w:val="002A1E77"/>
    <w:rsid w:val="002A1FB4"/>
    <w:rsid w:val="002A2015"/>
    <w:rsid w:val="002A20D9"/>
    <w:rsid w:val="002A2311"/>
    <w:rsid w:val="002A2563"/>
    <w:rsid w:val="002A25C3"/>
    <w:rsid w:val="002A2739"/>
    <w:rsid w:val="002A2823"/>
    <w:rsid w:val="002A285B"/>
    <w:rsid w:val="002A2872"/>
    <w:rsid w:val="002A298A"/>
    <w:rsid w:val="002A2AE7"/>
    <w:rsid w:val="002A2BEA"/>
    <w:rsid w:val="002A2E75"/>
    <w:rsid w:val="002A2E9C"/>
    <w:rsid w:val="002A2FF9"/>
    <w:rsid w:val="002A310F"/>
    <w:rsid w:val="002A31F7"/>
    <w:rsid w:val="002A3281"/>
    <w:rsid w:val="002A32C3"/>
    <w:rsid w:val="002A35CA"/>
    <w:rsid w:val="002A3601"/>
    <w:rsid w:val="002A36D4"/>
    <w:rsid w:val="002A373A"/>
    <w:rsid w:val="002A3752"/>
    <w:rsid w:val="002A37F9"/>
    <w:rsid w:val="002A3913"/>
    <w:rsid w:val="002A391D"/>
    <w:rsid w:val="002A397E"/>
    <w:rsid w:val="002A39D9"/>
    <w:rsid w:val="002A3A0B"/>
    <w:rsid w:val="002A3A2D"/>
    <w:rsid w:val="002A3AE0"/>
    <w:rsid w:val="002A3B69"/>
    <w:rsid w:val="002A3CAA"/>
    <w:rsid w:val="002A3D50"/>
    <w:rsid w:val="002A3D84"/>
    <w:rsid w:val="002A410B"/>
    <w:rsid w:val="002A421A"/>
    <w:rsid w:val="002A4511"/>
    <w:rsid w:val="002A461F"/>
    <w:rsid w:val="002A4646"/>
    <w:rsid w:val="002A475B"/>
    <w:rsid w:val="002A4781"/>
    <w:rsid w:val="002A47C2"/>
    <w:rsid w:val="002A47D0"/>
    <w:rsid w:val="002A4914"/>
    <w:rsid w:val="002A4AB5"/>
    <w:rsid w:val="002A4B53"/>
    <w:rsid w:val="002A4BC6"/>
    <w:rsid w:val="002A4D1E"/>
    <w:rsid w:val="002A4DC6"/>
    <w:rsid w:val="002A4DDD"/>
    <w:rsid w:val="002A4E0D"/>
    <w:rsid w:val="002A4E58"/>
    <w:rsid w:val="002A4E9C"/>
    <w:rsid w:val="002A4E9F"/>
    <w:rsid w:val="002A4F23"/>
    <w:rsid w:val="002A509C"/>
    <w:rsid w:val="002A50D8"/>
    <w:rsid w:val="002A50F2"/>
    <w:rsid w:val="002A5176"/>
    <w:rsid w:val="002A51B0"/>
    <w:rsid w:val="002A51C4"/>
    <w:rsid w:val="002A51F7"/>
    <w:rsid w:val="002A5229"/>
    <w:rsid w:val="002A52AA"/>
    <w:rsid w:val="002A5403"/>
    <w:rsid w:val="002A5426"/>
    <w:rsid w:val="002A5455"/>
    <w:rsid w:val="002A54A6"/>
    <w:rsid w:val="002A55A2"/>
    <w:rsid w:val="002A5A01"/>
    <w:rsid w:val="002A5C04"/>
    <w:rsid w:val="002A5C1B"/>
    <w:rsid w:val="002A5CAC"/>
    <w:rsid w:val="002A5D78"/>
    <w:rsid w:val="002A60AA"/>
    <w:rsid w:val="002A61AA"/>
    <w:rsid w:val="002A627A"/>
    <w:rsid w:val="002A6333"/>
    <w:rsid w:val="002A6447"/>
    <w:rsid w:val="002A64C5"/>
    <w:rsid w:val="002A6623"/>
    <w:rsid w:val="002A6687"/>
    <w:rsid w:val="002A66C6"/>
    <w:rsid w:val="002A675A"/>
    <w:rsid w:val="002A69FD"/>
    <w:rsid w:val="002A6A01"/>
    <w:rsid w:val="002A6AD4"/>
    <w:rsid w:val="002A6B31"/>
    <w:rsid w:val="002A6BA3"/>
    <w:rsid w:val="002A6C6D"/>
    <w:rsid w:val="002A6D53"/>
    <w:rsid w:val="002A6DF1"/>
    <w:rsid w:val="002A6DF3"/>
    <w:rsid w:val="002A6EB8"/>
    <w:rsid w:val="002A6EE2"/>
    <w:rsid w:val="002A6F1D"/>
    <w:rsid w:val="002A6FCA"/>
    <w:rsid w:val="002A7125"/>
    <w:rsid w:val="002A738D"/>
    <w:rsid w:val="002A74DB"/>
    <w:rsid w:val="002A750E"/>
    <w:rsid w:val="002A754C"/>
    <w:rsid w:val="002A757C"/>
    <w:rsid w:val="002A76A7"/>
    <w:rsid w:val="002A771A"/>
    <w:rsid w:val="002A77C7"/>
    <w:rsid w:val="002A78AB"/>
    <w:rsid w:val="002A7939"/>
    <w:rsid w:val="002A794C"/>
    <w:rsid w:val="002A79A1"/>
    <w:rsid w:val="002A7A79"/>
    <w:rsid w:val="002A7CCE"/>
    <w:rsid w:val="002A7D1E"/>
    <w:rsid w:val="002A7D1F"/>
    <w:rsid w:val="002A7F76"/>
    <w:rsid w:val="002A7F7F"/>
    <w:rsid w:val="002A7F98"/>
    <w:rsid w:val="002B0030"/>
    <w:rsid w:val="002B00F5"/>
    <w:rsid w:val="002B018D"/>
    <w:rsid w:val="002B018F"/>
    <w:rsid w:val="002B01AC"/>
    <w:rsid w:val="002B02BF"/>
    <w:rsid w:val="002B0377"/>
    <w:rsid w:val="002B069D"/>
    <w:rsid w:val="002B079E"/>
    <w:rsid w:val="002B07B2"/>
    <w:rsid w:val="002B08D0"/>
    <w:rsid w:val="002B092D"/>
    <w:rsid w:val="002B0995"/>
    <w:rsid w:val="002B0A15"/>
    <w:rsid w:val="002B0A16"/>
    <w:rsid w:val="002B0ADA"/>
    <w:rsid w:val="002B0B6F"/>
    <w:rsid w:val="002B0C15"/>
    <w:rsid w:val="002B0C1F"/>
    <w:rsid w:val="002B0EF0"/>
    <w:rsid w:val="002B0F17"/>
    <w:rsid w:val="002B10E7"/>
    <w:rsid w:val="002B10EB"/>
    <w:rsid w:val="002B1207"/>
    <w:rsid w:val="002B120A"/>
    <w:rsid w:val="002B1466"/>
    <w:rsid w:val="002B1683"/>
    <w:rsid w:val="002B16AE"/>
    <w:rsid w:val="002B1859"/>
    <w:rsid w:val="002B190D"/>
    <w:rsid w:val="002B19C5"/>
    <w:rsid w:val="002B1A68"/>
    <w:rsid w:val="002B1B45"/>
    <w:rsid w:val="002B1C93"/>
    <w:rsid w:val="002B1D44"/>
    <w:rsid w:val="002B1E5C"/>
    <w:rsid w:val="002B1FEE"/>
    <w:rsid w:val="002B2032"/>
    <w:rsid w:val="002B2338"/>
    <w:rsid w:val="002B24B6"/>
    <w:rsid w:val="002B24EC"/>
    <w:rsid w:val="002B2672"/>
    <w:rsid w:val="002B272F"/>
    <w:rsid w:val="002B27CA"/>
    <w:rsid w:val="002B2807"/>
    <w:rsid w:val="002B28EE"/>
    <w:rsid w:val="002B2A04"/>
    <w:rsid w:val="002B2AAF"/>
    <w:rsid w:val="002B2D50"/>
    <w:rsid w:val="002B2D6C"/>
    <w:rsid w:val="002B2EB6"/>
    <w:rsid w:val="002B2F43"/>
    <w:rsid w:val="002B2F5F"/>
    <w:rsid w:val="002B2F82"/>
    <w:rsid w:val="002B2F8C"/>
    <w:rsid w:val="002B2F9F"/>
    <w:rsid w:val="002B316F"/>
    <w:rsid w:val="002B31DA"/>
    <w:rsid w:val="002B3283"/>
    <w:rsid w:val="002B3492"/>
    <w:rsid w:val="002B34D7"/>
    <w:rsid w:val="002B3507"/>
    <w:rsid w:val="002B352A"/>
    <w:rsid w:val="002B35A5"/>
    <w:rsid w:val="002B363B"/>
    <w:rsid w:val="002B3722"/>
    <w:rsid w:val="002B375A"/>
    <w:rsid w:val="002B396A"/>
    <w:rsid w:val="002B39C3"/>
    <w:rsid w:val="002B3B7A"/>
    <w:rsid w:val="002B3C7E"/>
    <w:rsid w:val="002B3E4C"/>
    <w:rsid w:val="002B3E91"/>
    <w:rsid w:val="002B3E9E"/>
    <w:rsid w:val="002B402A"/>
    <w:rsid w:val="002B4093"/>
    <w:rsid w:val="002B40F7"/>
    <w:rsid w:val="002B41DD"/>
    <w:rsid w:val="002B4243"/>
    <w:rsid w:val="002B431D"/>
    <w:rsid w:val="002B4339"/>
    <w:rsid w:val="002B443B"/>
    <w:rsid w:val="002B44BA"/>
    <w:rsid w:val="002B45AD"/>
    <w:rsid w:val="002B4627"/>
    <w:rsid w:val="002B492A"/>
    <w:rsid w:val="002B4A69"/>
    <w:rsid w:val="002B4A7C"/>
    <w:rsid w:val="002B4CBD"/>
    <w:rsid w:val="002B4CC5"/>
    <w:rsid w:val="002B4D1B"/>
    <w:rsid w:val="002B4DB5"/>
    <w:rsid w:val="002B4DF6"/>
    <w:rsid w:val="002B4E28"/>
    <w:rsid w:val="002B4E76"/>
    <w:rsid w:val="002B4F91"/>
    <w:rsid w:val="002B529F"/>
    <w:rsid w:val="002B53C0"/>
    <w:rsid w:val="002B542C"/>
    <w:rsid w:val="002B55CC"/>
    <w:rsid w:val="002B55DD"/>
    <w:rsid w:val="002B56CC"/>
    <w:rsid w:val="002B57C2"/>
    <w:rsid w:val="002B580F"/>
    <w:rsid w:val="002B5935"/>
    <w:rsid w:val="002B5939"/>
    <w:rsid w:val="002B5A75"/>
    <w:rsid w:val="002B5B84"/>
    <w:rsid w:val="002B5BCF"/>
    <w:rsid w:val="002B5CBA"/>
    <w:rsid w:val="002B5F46"/>
    <w:rsid w:val="002B5FA1"/>
    <w:rsid w:val="002B5FA8"/>
    <w:rsid w:val="002B6058"/>
    <w:rsid w:val="002B619A"/>
    <w:rsid w:val="002B63BF"/>
    <w:rsid w:val="002B661C"/>
    <w:rsid w:val="002B667E"/>
    <w:rsid w:val="002B6698"/>
    <w:rsid w:val="002B6700"/>
    <w:rsid w:val="002B6876"/>
    <w:rsid w:val="002B68CE"/>
    <w:rsid w:val="002B6902"/>
    <w:rsid w:val="002B6A1F"/>
    <w:rsid w:val="002B6A5C"/>
    <w:rsid w:val="002B6AC6"/>
    <w:rsid w:val="002B6AD3"/>
    <w:rsid w:val="002B6AF6"/>
    <w:rsid w:val="002B6B47"/>
    <w:rsid w:val="002B6B5E"/>
    <w:rsid w:val="002B6BF6"/>
    <w:rsid w:val="002B6CDD"/>
    <w:rsid w:val="002B6CFB"/>
    <w:rsid w:val="002B6E09"/>
    <w:rsid w:val="002B6E21"/>
    <w:rsid w:val="002B6EB7"/>
    <w:rsid w:val="002B7048"/>
    <w:rsid w:val="002B7167"/>
    <w:rsid w:val="002B7289"/>
    <w:rsid w:val="002B72B3"/>
    <w:rsid w:val="002B731D"/>
    <w:rsid w:val="002B7353"/>
    <w:rsid w:val="002B7433"/>
    <w:rsid w:val="002B74A0"/>
    <w:rsid w:val="002B753C"/>
    <w:rsid w:val="002B76B2"/>
    <w:rsid w:val="002B76CC"/>
    <w:rsid w:val="002B776A"/>
    <w:rsid w:val="002B7855"/>
    <w:rsid w:val="002B7867"/>
    <w:rsid w:val="002B7895"/>
    <w:rsid w:val="002B795D"/>
    <w:rsid w:val="002B7972"/>
    <w:rsid w:val="002B7999"/>
    <w:rsid w:val="002B79DD"/>
    <w:rsid w:val="002B7B5A"/>
    <w:rsid w:val="002B7BBF"/>
    <w:rsid w:val="002B7F44"/>
    <w:rsid w:val="002B7FD3"/>
    <w:rsid w:val="002B7FDE"/>
    <w:rsid w:val="002C011F"/>
    <w:rsid w:val="002C0223"/>
    <w:rsid w:val="002C02D1"/>
    <w:rsid w:val="002C0361"/>
    <w:rsid w:val="002C0384"/>
    <w:rsid w:val="002C03CF"/>
    <w:rsid w:val="002C0487"/>
    <w:rsid w:val="002C0491"/>
    <w:rsid w:val="002C04B2"/>
    <w:rsid w:val="002C058F"/>
    <w:rsid w:val="002C0700"/>
    <w:rsid w:val="002C0762"/>
    <w:rsid w:val="002C0B2D"/>
    <w:rsid w:val="002C0B30"/>
    <w:rsid w:val="002C0BC3"/>
    <w:rsid w:val="002C0DB8"/>
    <w:rsid w:val="002C0DEE"/>
    <w:rsid w:val="002C0F42"/>
    <w:rsid w:val="002C1041"/>
    <w:rsid w:val="002C109D"/>
    <w:rsid w:val="002C1148"/>
    <w:rsid w:val="002C12D8"/>
    <w:rsid w:val="002C131E"/>
    <w:rsid w:val="002C1411"/>
    <w:rsid w:val="002C1430"/>
    <w:rsid w:val="002C1449"/>
    <w:rsid w:val="002C14A4"/>
    <w:rsid w:val="002C15D8"/>
    <w:rsid w:val="002C1704"/>
    <w:rsid w:val="002C170A"/>
    <w:rsid w:val="002C17A6"/>
    <w:rsid w:val="002C17D0"/>
    <w:rsid w:val="002C1837"/>
    <w:rsid w:val="002C19B8"/>
    <w:rsid w:val="002C1A20"/>
    <w:rsid w:val="002C1A90"/>
    <w:rsid w:val="002C1CFC"/>
    <w:rsid w:val="002C1DAE"/>
    <w:rsid w:val="002C1E32"/>
    <w:rsid w:val="002C1E4A"/>
    <w:rsid w:val="002C1F25"/>
    <w:rsid w:val="002C1F63"/>
    <w:rsid w:val="002C2255"/>
    <w:rsid w:val="002C235E"/>
    <w:rsid w:val="002C2483"/>
    <w:rsid w:val="002C2485"/>
    <w:rsid w:val="002C269B"/>
    <w:rsid w:val="002C2786"/>
    <w:rsid w:val="002C284D"/>
    <w:rsid w:val="002C287F"/>
    <w:rsid w:val="002C2954"/>
    <w:rsid w:val="002C2A65"/>
    <w:rsid w:val="002C2A70"/>
    <w:rsid w:val="002C2AE2"/>
    <w:rsid w:val="002C2B31"/>
    <w:rsid w:val="002C2B70"/>
    <w:rsid w:val="002C2C59"/>
    <w:rsid w:val="002C2CC1"/>
    <w:rsid w:val="002C2F1F"/>
    <w:rsid w:val="002C2F61"/>
    <w:rsid w:val="002C2FAC"/>
    <w:rsid w:val="002C30EB"/>
    <w:rsid w:val="002C3156"/>
    <w:rsid w:val="002C31A2"/>
    <w:rsid w:val="002C3237"/>
    <w:rsid w:val="002C3249"/>
    <w:rsid w:val="002C331F"/>
    <w:rsid w:val="002C336F"/>
    <w:rsid w:val="002C33F6"/>
    <w:rsid w:val="002C34B0"/>
    <w:rsid w:val="002C34FC"/>
    <w:rsid w:val="002C352B"/>
    <w:rsid w:val="002C36DC"/>
    <w:rsid w:val="002C387A"/>
    <w:rsid w:val="002C3930"/>
    <w:rsid w:val="002C39AA"/>
    <w:rsid w:val="002C3A6A"/>
    <w:rsid w:val="002C3AA2"/>
    <w:rsid w:val="002C3ABB"/>
    <w:rsid w:val="002C3B01"/>
    <w:rsid w:val="002C3B8C"/>
    <w:rsid w:val="002C3C02"/>
    <w:rsid w:val="002C3C53"/>
    <w:rsid w:val="002C3D1A"/>
    <w:rsid w:val="002C3D7B"/>
    <w:rsid w:val="002C3D9B"/>
    <w:rsid w:val="002C3DE2"/>
    <w:rsid w:val="002C3E57"/>
    <w:rsid w:val="002C4015"/>
    <w:rsid w:val="002C40BF"/>
    <w:rsid w:val="002C417B"/>
    <w:rsid w:val="002C41B0"/>
    <w:rsid w:val="002C42A1"/>
    <w:rsid w:val="002C42B0"/>
    <w:rsid w:val="002C436F"/>
    <w:rsid w:val="002C4386"/>
    <w:rsid w:val="002C4458"/>
    <w:rsid w:val="002C446D"/>
    <w:rsid w:val="002C4474"/>
    <w:rsid w:val="002C44ED"/>
    <w:rsid w:val="002C44EE"/>
    <w:rsid w:val="002C4744"/>
    <w:rsid w:val="002C4951"/>
    <w:rsid w:val="002C4A33"/>
    <w:rsid w:val="002C4A6C"/>
    <w:rsid w:val="002C4CA3"/>
    <w:rsid w:val="002C4CC4"/>
    <w:rsid w:val="002C4D2E"/>
    <w:rsid w:val="002C4DC5"/>
    <w:rsid w:val="002C4E42"/>
    <w:rsid w:val="002C4E86"/>
    <w:rsid w:val="002C4FAC"/>
    <w:rsid w:val="002C5048"/>
    <w:rsid w:val="002C5053"/>
    <w:rsid w:val="002C5057"/>
    <w:rsid w:val="002C50C4"/>
    <w:rsid w:val="002C5111"/>
    <w:rsid w:val="002C5167"/>
    <w:rsid w:val="002C5170"/>
    <w:rsid w:val="002C51E0"/>
    <w:rsid w:val="002C547C"/>
    <w:rsid w:val="002C5483"/>
    <w:rsid w:val="002C5489"/>
    <w:rsid w:val="002C5497"/>
    <w:rsid w:val="002C54BB"/>
    <w:rsid w:val="002C5537"/>
    <w:rsid w:val="002C5544"/>
    <w:rsid w:val="002C55CB"/>
    <w:rsid w:val="002C563C"/>
    <w:rsid w:val="002C56AA"/>
    <w:rsid w:val="002C582E"/>
    <w:rsid w:val="002C5911"/>
    <w:rsid w:val="002C5932"/>
    <w:rsid w:val="002C5939"/>
    <w:rsid w:val="002C5BA3"/>
    <w:rsid w:val="002C5C24"/>
    <w:rsid w:val="002C5C30"/>
    <w:rsid w:val="002C5DE8"/>
    <w:rsid w:val="002C5E2F"/>
    <w:rsid w:val="002C5F84"/>
    <w:rsid w:val="002C5FD2"/>
    <w:rsid w:val="002C5FD8"/>
    <w:rsid w:val="002C6089"/>
    <w:rsid w:val="002C60A7"/>
    <w:rsid w:val="002C60E9"/>
    <w:rsid w:val="002C6156"/>
    <w:rsid w:val="002C643F"/>
    <w:rsid w:val="002C65AF"/>
    <w:rsid w:val="002C6696"/>
    <w:rsid w:val="002C66B0"/>
    <w:rsid w:val="002C682F"/>
    <w:rsid w:val="002C68F0"/>
    <w:rsid w:val="002C6959"/>
    <w:rsid w:val="002C69BA"/>
    <w:rsid w:val="002C69CC"/>
    <w:rsid w:val="002C6AAF"/>
    <w:rsid w:val="002C6AEE"/>
    <w:rsid w:val="002C6B56"/>
    <w:rsid w:val="002C6B8B"/>
    <w:rsid w:val="002C6C2D"/>
    <w:rsid w:val="002C6DE8"/>
    <w:rsid w:val="002C6FFA"/>
    <w:rsid w:val="002C7058"/>
    <w:rsid w:val="002C70A9"/>
    <w:rsid w:val="002C7315"/>
    <w:rsid w:val="002C739E"/>
    <w:rsid w:val="002C73BF"/>
    <w:rsid w:val="002C7664"/>
    <w:rsid w:val="002C76E8"/>
    <w:rsid w:val="002C7727"/>
    <w:rsid w:val="002C7883"/>
    <w:rsid w:val="002C78CF"/>
    <w:rsid w:val="002C78FE"/>
    <w:rsid w:val="002C7945"/>
    <w:rsid w:val="002C797D"/>
    <w:rsid w:val="002C7AF9"/>
    <w:rsid w:val="002C7AFD"/>
    <w:rsid w:val="002C7CD8"/>
    <w:rsid w:val="002C7D5E"/>
    <w:rsid w:val="002C7E26"/>
    <w:rsid w:val="002C7E9E"/>
    <w:rsid w:val="002C7EA7"/>
    <w:rsid w:val="002C7F0D"/>
    <w:rsid w:val="002C7F37"/>
    <w:rsid w:val="002D035A"/>
    <w:rsid w:val="002D04A4"/>
    <w:rsid w:val="002D05D7"/>
    <w:rsid w:val="002D080B"/>
    <w:rsid w:val="002D098F"/>
    <w:rsid w:val="002D0B4D"/>
    <w:rsid w:val="002D0E42"/>
    <w:rsid w:val="002D1265"/>
    <w:rsid w:val="002D12FD"/>
    <w:rsid w:val="002D1330"/>
    <w:rsid w:val="002D1379"/>
    <w:rsid w:val="002D13F2"/>
    <w:rsid w:val="002D1514"/>
    <w:rsid w:val="002D1687"/>
    <w:rsid w:val="002D169D"/>
    <w:rsid w:val="002D1715"/>
    <w:rsid w:val="002D17AC"/>
    <w:rsid w:val="002D17B8"/>
    <w:rsid w:val="002D17EA"/>
    <w:rsid w:val="002D18DB"/>
    <w:rsid w:val="002D195A"/>
    <w:rsid w:val="002D19B1"/>
    <w:rsid w:val="002D1B0A"/>
    <w:rsid w:val="002D1BB3"/>
    <w:rsid w:val="002D1C1A"/>
    <w:rsid w:val="002D1C5B"/>
    <w:rsid w:val="002D1E4F"/>
    <w:rsid w:val="002D1F47"/>
    <w:rsid w:val="002D1F4F"/>
    <w:rsid w:val="002D1FDB"/>
    <w:rsid w:val="002D2030"/>
    <w:rsid w:val="002D21F0"/>
    <w:rsid w:val="002D2216"/>
    <w:rsid w:val="002D22A3"/>
    <w:rsid w:val="002D23B1"/>
    <w:rsid w:val="002D2500"/>
    <w:rsid w:val="002D252F"/>
    <w:rsid w:val="002D25BD"/>
    <w:rsid w:val="002D2622"/>
    <w:rsid w:val="002D26A3"/>
    <w:rsid w:val="002D2853"/>
    <w:rsid w:val="002D287B"/>
    <w:rsid w:val="002D28E2"/>
    <w:rsid w:val="002D2909"/>
    <w:rsid w:val="002D2910"/>
    <w:rsid w:val="002D2991"/>
    <w:rsid w:val="002D29CD"/>
    <w:rsid w:val="002D2AEC"/>
    <w:rsid w:val="002D2AFF"/>
    <w:rsid w:val="002D2E64"/>
    <w:rsid w:val="002D2FA6"/>
    <w:rsid w:val="002D3060"/>
    <w:rsid w:val="002D315F"/>
    <w:rsid w:val="002D32A6"/>
    <w:rsid w:val="002D32C2"/>
    <w:rsid w:val="002D3309"/>
    <w:rsid w:val="002D3322"/>
    <w:rsid w:val="002D33ED"/>
    <w:rsid w:val="002D3440"/>
    <w:rsid w:val="002D3467"/>
    <w:rsid w:val="002D35B2"/>
    <w:rsid w:val="002D3656"/>
    <w:rsid w:val="002D3674"/>
    <w:rsid w:val="002D36D2"/>
    <w:rsid w:val="002D37A5"/>
    <w:rsid w:val="002D3861"/>
    <w:rsid w:val="002D39BE"/>
    <w:rsid w:val="002D39D4"/>
    <w:rsid w:val="002D3A26"/>
    <w:rsid w:val="002D3ACF"/>
    <w:rsid w:val="002D3B7F"/>
    <w:rsid w:val="002D3C21"/>
    <w:rsid w:val="002D3D16"/>
    <w:rsid w:val="002D3D53"/>
    <w:rsid w:val="002D3DB8"/>
    <w:rsid w:val="002D4047"/>
    <w:rsid w:val="002D405F"/>
    <w:rsid w:val="002D4075"/>
    <w:rsid w:val="002D42A5"/>
    <w:rsid w:val="002D4369"/>
    <w:rsid w:val="002D4420"/>
    <w:rsid w:val="002D44A8"/>
    <w:rsid w:val="002D457B"/>
    <w:rsid w:val="002D4592"/>
    <w:rsid w:val="002D45A0"/>
    <w:rsid w:val="002D4749"/>
    <w:rsid w:val="002D487E"/>
    <w:rsid w:val="002D492C"/>
    <w:rsid w:val="002D4B06"/>
    <w:rsid w:val="002D4BF4"/>
    <w:rsid w:val="002D4DBD"/>
    <w:rsid w:val="002D50E0"/>
    <w:rsid w:val="002D5146"/>
    <w:rsid w:val="002D518E"/>
    <w:rsid w:val="002D51B7"/>
    <w:rsid w:val="002D5232"/>
    <w:rsid w:val="002D529D"/>
    <w:rsid w:val="002D5390"/>
    <w:rsid w:val="002D53EB"/>
    <w:rsid w:val="002D54EF"/>
    <w:rsid w:val="002D559B"/>
    <w:rsid w:val="002D564B"/>
    <w:rsid w:val="002D5686"/>
    <w:rsid w:val="002D5700"/>
    <w:rsid w:val="002D573A"/>
    <w:rsid w:val="002D586C"/>
    <w:rsid w:val="002D58D6"/>
    <w:rsid w:val="002D5A9D"/>
    <w:rsid w:val="002D5B14"/>
    <w:rsid w:val="002D5B59"/>
    <w:rsid w:val="002D5B5D"/>
    <w:rsid w:val="002D5C62"/>
    <w:rsid w:val="002D5CF7"/>
    <w:rsid w:val="002D5ED9"/>
    <w:rsid w:val="002D5F85"/>
    <w:rsid w:val="002D602F"/>
    <w:rsid w:val="002D6212"/>
    <w:rsid w:val="002D62C3"/>
    <w:rsid w:val="002D63FC"/>
    <w:rsid w:val="002D6403"/>
    <w:rsid w:val="002D649F"/>
    <w:rsid w:val="002D6570"/>
    <w:rsid w:val="002D65C8"/>
    <w:rsid w:val="002D6606"/>
    <w:rsid w:val="002D66FC"/>
    <w:rsid w:val="002D670A"/>
    <w:rsid w:val="002D6724"/>
    <w:rsid w:val="002D67D8"/>
    <w:rsid w:val="002D6812"/>
    <w:rsid w:val="002D690E"/>
    <w:rsid w:val="002D691D"/>
    <w:rsid w:val="002D692F"/>
    <w:rsid w:val="002D6F58"/>
    <w:rsid w:val="002D7240"/>
    <w:rsid w:val="002D7337"/>
    <w:rsid w:val="002D74B5"/>
    <w:rsid w:val="002D75AE"/>
    <w:rsid w:val="002D7777"/>
    <w:rsid w:val="002D7817"/>
    <w:rsid w:val="002D786A"/>
    <w:rsid w:val="002D78B9"/>
    <w:rsid w:val="002D7999"/>
    <w:rsid w:val="002D7B03"/>
    <w:rsid w:val="002D7B1B"/>
    <w:rsid w:val="002D7B5E"/>
    <w:rsid w:val="002D7CE7"/>
    <w:rsid w:val="002D7D65"/>
    <w:rsid w:val="002D7F67"/>
    <w:rsid w:val="002D7FC8"/>
    <w:rsid w:val="002E00B6"/>
    <w:rsid w:val="002E024A"/>
    <w:rsid w:val="002E026A"/>
    <w:rsid w:val="002E02E2"/>
    <w:rsid w:val="002E04D6"/>
    <w:rsid w:val="002E0674"/>
    <w:rsid w:val="002E06E7"/>
    <w:rsid w:val="002E06EE"/>
    <w:rsid w:val="002E08B2"/>
    <w:rsid w:val="002E09E5"/>
    <w:rsid w:val="002E0A74"/>
    <w:rsid w:val="002E0ADC"/>
    <w:rsid w:val="002E0C91"/>
    <w:rsid w:val="002E0E53"/>
    <w:rsid w:val="002E1019"/>
    <w:rsid w:val="002E1166"/>
    <w:rsid w:val="002E1184"/>
    <w:rsid w:val="002E11E6"/>
    <w:rsid w:val="002E1330"/>
    <w:rsid w:val="002E137F"/>
    <w:rsid w:val="002E13E4"/>
    <w:rsid w:val="002E14FF"/>
    <w:rsid w:val="002E16E6"/>
    <w:rsid w:val="002E175F"/>
    <w:rsid w:val="002E17DB"/>
    <w:rsid w:val="002E19A4"/>
    <w:rsid w:val="002E1B5D"/>
    <w:rsid w:val="002E1B95"/>
    <w:rsid w:val="002E1C30"/>
    <w:rsid w:val="002E1CA6"/>
    <w:rsid w:val="002E1D42"/>
    <w:rsid w:val="002E206C"/>
    <w:rsid w:val="002E20BF"/>
    <w:rsid w:val="002E211C"/>
    <w:rsid w:val="002E2135"/>
    <w:rsid w:val="002E22F5"/>
    <w:rsid w:val="002E23C6"/>
    <w:rsid w:val="002E2794"/>
    <w:rsid w:val="002E28E2"/>
    <w:rsid w:val="002E293F"/>
    <w:rsid w:val="002E2949"/>
    <w:rsid w:val="002E2966"/>
    <w:rsid w:val="002E2A37"/>
    <w:rsid w:val="002E2A6A"/>
    <w:rsid w:val="002E2BAD"/>
    <w:rsid w:val="002E2BB1"/>
    <w:rsid w:val="002E2BD7"/>
    <w:rsid w:val="002E2CDC"/>
    <w:rsid w:val="002E2DEA"/>
    <w:rsid w:val="002E3016"/>
    <w:rsid w:val="002E30E6"/>
    <w:rsid w:val="002E3153"/>
    <w:rsid w:val="002E31AB"/>
    <w:rsid w:val="002E31E2"/>
    <w:rsid w:val="002E3358"/>
    <w:rsid w:val="002E3387"/>
    <w:rsid w:val="002E3436"/>
    <w:rsid w:val="002E3515"/>
    <w:rsid w:val="002E35DD"/>
    <w:rsid w:val="002E364C"/>
    <w:rsid w:val="002E37F1"/>
    <w:rsid w:val="002E38A3"/>
    <w:rsid w:val="002E39DF"/>
    <w:rsid w:val="002E3BEE"/>
    <w:rsid w:val="002E3D0E"/>
    <w:rsid w:val="002E3D64"/>
    <w:rsid w:val="002E3E1E"/>
    <w:rsid w:val="002E3E68"/>
    <w:rsid w:val="002E3ED1"/>
    <w:rsid w:val="002E3F6D"/>
    <w:rsid w:val="002E4048"/>
    <w:rsid w:val="002E4099"/>
    <w:rsid w:val="002E41BD"/>
    <w:rsid w:val="002E43BF"/>
    <w:rsid w:val="002E43C9"/>
    <w:rsid w:val="002E43D0"/>
    <w:rsid w:val="002E4497"/>
    <w:rsid w:val="002E45AC"/>
    <w:rsid w:val="002E4674"/>
    <w:rsid w:val="002E4721"/>
    <w:rsid w:val="002E472E"/>
    <w:rsid w:val="002E47CE"/>
    <w:rsid w:val="002E488D"/>
    <w:rsid w:val="002E48B4"/>
    <w:rsid w:val="002E490A"/>
    <w:rsid w:val="002E4AF7"/>
    <w:rsid w:val="002E4B31"/>
    <w:rsid w:val="002E4BB6"/>
    <w:rsid w:val="002E4CC4"/>
    <w:rsid w:val="002E4CE4"/>
    <w:rsid w:val="002E4CE6"/>
    <w:rsid w:val="002E4DBC"/>
    <w:rsid w:val="002E4DE7"/>
    <w:rsid w:val="002E5055"/>
    <w:rsid w:val="002E52CC"/>
    <w:rsid w:val="002E53BA"/>
    <w:rsid w:val="002E53E2"/>
    <w:rsid w:val="002E54E3"/>
    <w:rsid w:val="002E54E5"/>
    <w:rsid w:val="002E5591"/>
    <w:rsid w:val="002E56E0"/>
    <w:rsid w:val="002E5724"/>
    <w:rsid w:val="002E57F5"/>
    <w:rsid w:val="002E59E6"/>
    <w:rsid w:val="002E5A59"/>
    <w:rsid w:val="002E5B80"/>
    <w:rsid w:val="002E5B93"/>
    <w:rsid w:val="002E5C32"/>
    <w:rsid w:val="002E5EB7"/>
    <w:rsid w:val="002E5F82"/>
    <w:rsid w:val="002E5F84"/>
    <w:rsid w:val="002E605F"/>
    <w:rsid w:val="002E6061"/>
    <w:rsid w:val="002E6102"/>
    <w:rsid w:val="002E6220"/>
    <w:rsid w:val="002E645F"/>
    <w:rsid w:val="002E6527"/>
    <w:rsid w:val="002E65C0"/>
    <w:rsid w:val="002E65C2"/>
    <w:rsid w:val="002E65E0"/>
    <w:rsid w:val="002E66B3"/>
    <w:rsid w:val="002E67A8"/>
    <w:rsid w:val="002E6893"/>
    <w:rsid w:val="002E698C"/>
    <w:rsid w:val="002E69F1"/>
    <w:rsid w:val="002E6AA8"/>
    <w:rsid w:val="002E6ACF"/>
    <w:rsid w:val="002E6B03"/>
    <w:rsid w:val="002E6BEC"/>
    <w:rsid w:val="002E6C73"/>
    <w:rsid w:val="002E6E93"/>
    <w:rsid w:val="002E71C1"/>
    <w:rsid w:val="002E7320"/>
    <w:rsid w:val="002E732D"/>
    <w:rsid w:val="002E73EA"/>
    <w:rsid w:val="002E748A"/>
    <w:rsid w:val="002E751A"/>
    <w:rsid w:val="002E755C"/>
    <w:rsid w:val="002E76B5"/>
    <w:rsid w:val="002E78BD"/>
    <w:rsid w:val="002E7B36"/>
    <w:rsid w:val="002E7B78"/>
    <w:rsid w:val="002E7C77"/>
    <w:rsid w:val="002E7C96"/>
    <w:rsid w:val="002E7D1E"/>
    <w:rsid w:val="002E7D7B"/>
    <w:rsid w:val="002E7D84"/>
    <w:rsid w:val="002E7E57"/>
    <w:rsid w:val="002F024C"/>
    <w:rsid w:val="002F03C1"/>
    <w:rsid w:val="002F04A4"/>
    <w:rsid w:val="002F04A5"/>
    <w:rsid w:val="002F05C6"/>
    <w:rsid w:val="002F07DA"/>
    <w:rsid w:val="002F08C1"/>
    <w:rsid w:val="002F0A02"/>
    <w:rsid w:val="002F0A5A"/>
    <w:rsid w:val="002F0A8C"/>
    <w:rsid w:val="002F0C21"/>
    <w:rsid w:val="002F0C65"/>
    <w:rsid w:val="002F0F0B"/>
    <w:rsid w:val="002F100B"/>
    <w:rsid w:val="002F103E"/>
    <w:rsid w:val="002F1052"/>
    <w:rsid w:val="002F1213"/>
    <w:rsid w:val="002F1257"/>
    <w:rsid w:val="002F1340"/>
    <w:rsid w:val="002F156E"/>
    <w:rsid w:val="002F15B4"/>
    <w:rsid w:val="002F1765"/>
    <w:rsid w:val="002F1770"/>
    <w:rsid w:val="002F186E"/>
    <w:rsid w:val="002F1981"/>
    <w:rsid w:val="002F1A46"/>
    <w:rsid w:val="002F1B33"/>
    <w:rsid w:val="002F1B8E"/>
    <w:rsid w:val="002F1BB2"/>
    <w:rsid w:val="002F1BCB"/>
    <w:rsid w:val="002F1C65"/>
    <w:rsid w:val="002F1C70"/>
    <w:rsid w:val="002F1CCD"/>
    <w:rsid w:val="002F1CD5"/>
    <w:rsid w:val="002F1DF5"/>
    <w:rsid w:val="002F1E56"/>
    <w:rsid w:val="002F1EC1"/>
    <w:rsid w:val="002F2157"/>
    <w:rsid w:val="002F2183"/>
    <w:rsid w:val="002F2216"/>
    <w:rsid w:val="002F2266"/>
    <w:rsid w:val="002F229B"/>
    <w:rsid w:val="002F2353"/>
    <w:rsid w:val="002F2438"/>
    <w:rsid w:val="002F2444"/>
    <w:rsid w:val="002F253C"/>
    <w:rsid w:val="002F25F6"/>
    <w:rsid w:val="002F26AB"/>
    <w:rsid w:val="002F2717"/>
    <w:rsid w:val="002F277F"/>
    <w:rsid w:val="002F27F8"/>
    <w:rsid w:val="002F299D"/>
    <w:rsid w:val="002F2A4C"/>
    <w:rsid w:val="002F2C8A"/>
    <w:rsid w:val="002F2FB8"/>
    <w:rsid w:val="002F301E"/>
    <w:rsid w:val="002F30B8"/>
    <w:rsid w:val="002F310C"/>
    <w:rsid w:val="002F3173"/>
    <w:rsid w:val="002F329B"/>
    <w:rsid w:val="002F3303"/>
    <w:rsid w:val="002F333D"/>
    <w:rsid w:val="002F3413"/>
    <w:rsid w:val="002F3659"/>
    <w:rsid w:val="002F3678"/>
    <w:rsid w:val="002F36AE"/>
    <w:rsid w:val="002F37C3"/>
    <w:rsid w:val="002F37C7"/>
    <w:rsid w:val="002F38AF"/>
    <w:rsid w:val="002F38E7"/>
    <w:rsid w:val="002F3ADA"/>
    <w:rsid w:val="002F3D1E"/>
    <w:rsid w:val="002F3D2F"/>
    <w:rsid w:val="002F3D37"/>
    <w:rsid w:val="002F3DC6"/>
    <w:rsid w:val="002F3DF3"/>
    <w:rsid w:val="002F3E24"/>
    <w:rsid w:val="002F3F90"/>
    <w:rsid w:val="002F4064"/>
    <w:rsid w:val="002F4110"/>
    <w:rsid w:val="002F41A2"/>
    <w:rsid w:val="002F424A"/>
    <w:rsid w:val="002F42F4"/>
    <w:rsid w:val="002F4398"/>
    <w:rsid w:val="002F443D"/>
    <w:rsid w:val="002F44FB"/>
    <w:rsid w:val="002F492E"/>
    <w:rsid w:val="002F4A01"/>
    <w:rsid w:val="002F4A39"/>
    <w:rsid w:val="002F4A52"/>
    <w:rsid w:val="002F4C44"/>
    <w:rsid w:val="002F4CAC"/>
    <w:rsid w:val="002F4D2A"/>
    <w:rsid w:val="002F4DC4"/>
    <w:rsid w:val="002F4E20"/>
    <w:rsid w:val="002F4E82"/>
    <w:rsid w:val="002F4FA6"/>
    <w:rsid w:val="002F516B"/>
    <w:rsid w:val="002F520E"/>
    <w:rsid w:val="002F52D0"/>
    <w:rsid w:val="002F549F"/>
    <w:rsid w:val="002F54F2"/>
    <w:rsid w:val="002F5514"/>
    <w:rsid w:val="002F5669"/>
    <w:rsid w:val="002F57FA"/>
    <w:rsid w:val="002F58AF"/>
    <w:rsid w:val="002F595A"/>
    <w:rsid w:val="002F595B"/>
    <w:rsid w:val="002F5A2E"/>
    <w:rsid w:val="002F5ABB"/>
    <w:rsid w:val="002F5B0F"/>
    <w:rsid w:val="002F5CC8"/>
    <w:rsid w:val="002F5D6E"/>
    <w:rsid w:val="002F5D7D"/>
    <w:rsid w:val="002F5DD9"/>
    <w:rsid w:val="002F5E2F"/>
    <w:rsid w:val="002F6092"/>
    <w:rsid w:val="002F6146"/>
    <w:rsid w:val="002F6186"/>
    <w:rsid w:val="002F61E2"/>
    <w:rsid w:val="002F61E3"/>
    <w:rsid w:val="002F6231"/>
    <w:rsid w:val="002F623A"/>
    <w:rsid w:val="002F62CF"/>
    <w:rsid w:val="002F643F"/>
    <w:rsid w:val="002F644C"/>
    <w:rsid w:val="002F64F4"/>
    <w:rsid w:val="002F6512"/>
    <w:rsid w:val="002F65A3"/>
    <w:rsid w:val="002F6657"/>
    <w:rsid w:val="002F6659"/>
    <w:rsid w:val="002F6743"/>
    <w:rsid w:val="002F6758"/>
    <w:rsid w:val="002F67CC"/>
    <w:rsid w:val="002F680C"/>
    <w:rsid w:val="002F6822"/>
    <w:rsid w:val="002F688C"/>
    <w:rsid w:val="002F692E"/>
    <w:rsid w:val="002F6A66"/>
    <w:rsid w:val="002F6C75"/>
    <w:rsid w:val="002F6D26"/>
    <w:rsid w:val="002F6D37"/>
    <w:rsid w:val="002F6D50"/>
    <w:rsid w:val="002F6FA3"/>
    <w:rsid w:val="002F725A"/>
    <w:rsid w:val="002F7281"/>
    <w:rsid w:val="002F7345"/>
    <w:rsid w:val="002F739E"/>
    <w:rsid w:val="002F73E3"/>
    <w:rsid w:val="002F740F"/>
    <w:rsid w:val="002F7441"/>
    <w:rsid w:val="002F749E"/>
    <w:rsid w:val="002F74CF"/>
    <w:rsid w:val="002F773F"/>
    <w:rsid w:val="002F7776"/>
    <w:rsid w:val="002F7793"/>
    <w:rsid w:val="002F77AA"/>
    <w:rsid w:val="002F789B"/>
    <w:rsid w:val="002F7901"/>
    <w:rsid w:val="002F7928"/>
    <w:rsid w:val="002F7AD2"/>
    <w:rsid w:val="002F7B62"/>
    <w:rsid w:val="002F7B93"/>
    <w:rsid w:val="002F7D8A"/>
    <w:rsid w:val="002F7DF4"/>
    <w:rsid w:val="002F7E22"/>
    <w:rsid w:val="002F7EDF"/>
    <w:rsid w:val="00300048"/>
    <w:rsid w:val="00300173"/>
    <w:rsid w:val="00300220"/>
    <w:rsid w:val="00300299"/>
    <w:rsid w:val="00300441"/>
    <w:rsid w:val="003004B1"/>
    <w:rsid w:val="003004BF"/>
    <w:rsid w:val="0030051F"/>
    <w:rsid w:val="0030053A"/>
    <w:rsid w:val="00300604"/>
    <w:rsid w:val="003006FB"/>
    <w:rsid w:val="00300738"/>
    <w:rsid w:val="00300784"/>
    <w:rsid w:val="00300890"/>
    <w:rsid w:val="003009D9"/>
    <w:rsid w:val="003009DC"/>
    <w:rsid w:val="00300A1C"/>
    <w:rsid w:val="00300A3F"/>
    <w:rsid w:val="00300AB8"/>
    <w:rsid w:val="00300AC9"/>
    <w:rsid w:val="00300BE5"/>
    <w:rsid w:val="00300D5E"/>
    <w:rsid w:val="00300DB7"/>
    <w:rsid w:val="00300E37"/>
    <w:rsid w:val="00300FFB"/>
    <w:rsid w:val="003010FC"/>
    <w:rsid w:val="0030117C"/>
    <w:rsid w:val="00301200"/>
    <w:rsid w:val="0030140E"/>
    <w:rsid w:val="00301455"/>
    <w:rsid w:val="00301572"/>
    <w:rsid w:val="0030169D"/>
    <w:rsid w:val="003016B7"/>
    <w:rsid w:val="003017CD"/>
    <w:rsid w:val="0030197E"/>
    <w:rsid w:val="00301A62"/>
    <w:rsid w:val="00301B8D"/>
    <w:rsid w:val="00301C0A"/>
    <w:rsid w:val="00301C12"/>
    <w:rsid w:val="00301C38"/>
    <w:rsid w:val="00301C4F"/>
    <w:rsid w:val="00301CF9"/>
    <w:rsid w:val="00301D8E"/>
    <w:rsid w:val="00301F87"/>
    <w:rsid w:val="00302079"/>
    <w:rsid w:val="00302133"/>
    <w:rsid w:val="00302234"/>
    <w:rsid w:val="003023F4"/>
    <w:rsid w:val="003024BC"/>
    <w:rsid w:val="003025C6"/>
    <w:rsid w:val="0030287C"/>
    <w:rsid w:val="00302C2D"/>
    <w:rsid w:val="00302CB4"/>
    <w:rsid w:val="00302CC1"/>
    <w:rsid w:val="00302DD6"/>
    <w:rsid w:val="00302DDF"/>
    <w:rsid w:val="00302E00"/>
    <w:rsid w:val="00302EA1"/>
    <w:rsid w:val="00302F58"/>
    <w:rsid w:val="0030303F"/>
    <w:rsid w:val="0030306B"/>
    <w:rsid w:val="003032B1"/>
    <w:rsid w:val="00303359"/>
    <w:rsid w:val="003033AA"/>
    <w:rsid w:val="00303440"/>
    <w:rsid w:val="00303468"/>
    <w:rsid w:val="00303471"/>
    <w:rsid w:val="00303487"/>
    <w:rsid w:val="0030355F"/>
    <w:rsid w:val="00303695"/>
    <w:rsid w:val="003036D8"/>
    <w:rsid w:val="003036F5"/>
    <w:rsid w:val="0030386B"/>
    <w:rsid w:val="00303886"/>
    <w:rsid w:val="0030389C"/>
    <w:rsid w:val="0030389E"/>
    <w:rsid w:val="003038EA"/>
    <w:rsid w:val="003038F6"/>
    <w:rsid w:val="00303903"/>
    <w:rsid w:val="003039C0"/>
    <w:rsid w:val="00303A13"/>
    <w:rsid w:val="00303A7B"/>
    <w:rsid w:val="00303B28"/>
    <w:rsid w:val="00303C4F"/>
    <w:rsid w:val="00303C7C"/>
    <w:rsid w:val="00303CBC"/>
    <w:rsid w:val="00303D39"/>
    <w:rsid w:val="00303E07"/>
    <w:rsid w:val="00304111"/>
    <w:rsid w:val="00304134"/>
    <w:rsid w:val="00304177"/>
    <w:rsid w:val="0030423C"/>
    <w:rsid w:val="00304481"/>
    <w:rsid w:val="003044B3"/>
    <w:rsid w:val="00304511"/>
    <w:rsid w:val="00304591"/>
    <w:rsid w:val="003047E4"/>
    <w:rsid w:val="00304904"/>
    <w:rsid w:val="00304908"/>
    <w:rsid w:val="003049E7"/>
    <w:rsid w:val="00304AFC"/>
    <w:rsid w:val="00304BCA"/>
    <w:rsid w:val="00304BF0"/>
    <w:rsid w:val="00304CA5"/>
    <w:rsid w:val="00304F7D"/>
    <w:rsid w:val="003051A3"/>
    <w:rsid w:val="003051FA"/>
    <w:rsid w:val="00305266"/>
    <w:rsid w:val="00305320"/>
    <w:rsid w:val="0030538D"/>
    <w:rsid w:val="0030545A"/>
    <w:rsid w:val="0030545B"/>
    <w:rsid w:val="0030552F"/>
    <w:rsid w:val="00305539"/>
    <w:rsid w:val="00305584"/>
    <w:rsid w:val="0030559B"/>
    <w:rsid w:val="003055DB"/>
    <w:rsid w:val="00305711"/>
    <w:rsid w:val="00305AFA"/>
    <w:rsid w:val="00305CED"/>
    <w:rsid w:val="003060C7"/>
    <w:rsid w:val="00306144"/>
    <w:rsid w:val="003063FE"/>
    <w:rsid w:val="00306454"/>
    <w:rsid w:val="00306538"/>
    <w:rsid w:val="0030657B"/>
    <w:rsid w:val="00306599"/>
    <w:rsid w:val="0030659E"/>
    <w:rsid w:val="003065C1"/>
    <w:rsid w:val="00306686"/>
    <w:rsid w:val="0030668C"/>
    <w:rsid w:val="003066B0"/>
    <w:rsid w:val="0030677C"/>
    <w:rsid w:val="00306797"/>
    <w:rsid w:val="003067C0"/>
    <w:rsid w:val="003067E4"/>
    <w:rsid w:val="0030681D"/>
    <w:rsid w:val="00306A50"/>
    <w:rsid w:val="00306B16"/>
    <w:rsid w:val="00306B66"/>
    <w:rsid w:val="00306C14"/>
    <w:rsid w:val="00306CDA"/>
    <w:rsid w:val="00306D4E"/>
    <w:rsid w:val="00306D4F"/>
    <w:rsid w:val="00306DCE"/>
    <w:rsid w:val="00306E20"/>
    <w:rsid w:val="00306F1E"/>
    <w:rsid w:val="00306F8B"/>
    <w:rsid w:val="00307148"/>
    <w:rsid w:val="0030724B"/>
    <w:rsid w:val="003072F3"/>
    <w:rsid w:val="00307335"/>
    <w:rsid w:val="0030738B"/>
    <w:rsid w:val="0030762C"/>
    <w:rsid w:val="00307681"/>
    <w:rsid w:val="003078C4"/>
    <w:rsid w:val="00307BA4"/>
    <w:rsid w:val="00307C95"/>
    <w:rsid w:val="00307CA2"/>
    <w:rsid w:val="00307CCA"/>
    <w:rsid w:val="00307E6A"/>
    <w:rsid w:val="00307E9E"/>
    <w:rsid w:val="00307F0B"/>
    <w:rsid w:val="00310036"/>
    <w:rsid w:val="00310047"/>
    <w:rsid w:val="00310087"/>
    <w:rsid w:val="003100CA"/>
    <w:rsid w:val="0031013D"/>
    <w:rsid w:val="0031048D"/>
    <w:rsid w:val="0031054D"/>
    <w:rsid w:val="003106C3"/>
    <w:rsid w:val="00310BBB"/>
    <w:rsid w:val="00310BEC"/>
    <w:rsid w:val="00310CCE"/>
    <w:rsid w:val="00310D8D"/>
    <w:rsid w:val="00310E85"/>
    <w:rsid w:val="00311032"/>
    <w:rsid w:val="00311059"/>
    <w:rsid w:val="00311142"/>
    <w:rsid w:val="0031121D"/>
    <w:rsid w:val="003114BD"/>
    <w:rsid w:val="00311600"/>
    <w:rsid w:val="003118C4"/>
    <w:rsid w:val="00311984"/>
    <w:rsid w:val="003119CC"/>
    <w:rsid w:val="003119DC"/>
    <w:rsid w:val="003119E4"/>
    <w:rsid w:val="00311B04"/>
    <w:rsid w:val="00311F12"/>
    <w:rsid w:val="00312059"/>
    <w:rsid w:val="00312156"/>
    <w:rsid w:val="003121B4"/>
    <w:rsid w:val="003123C9"/>
    <w:rsid w:val="0031249E"/>
    <w:rsid w:val="00312662"/>
    <w:rsid w:val="003127E5"/>
    <w:rsid w:val="00312981"/>
    <w:rsid w:val="00312A26"/>
    <w:rsid w:val="00312A83"/>
    <w:rsid w:val="00312AEC"/>
    <w:rsid w:val="00312B1F"/>
    <w:rsid w:val="00312BC2"/>
    <w:rsid w:val="00312D33"/>
    <w:rsid w:val="00312DB3"/>
    <w:rsid w:val="00313192"/>
    <w:rsid w:val="00313297"/>
    <w:rsid w:val="003132C0"/>
    <w:rsid w:val="00313387"/>
    <w:rsid w:val="0031389B"/>
    <w:rsid w:val="00313984"/>
    <w:rsid w:val="00313B58"/>
    <w:rsid w:val="00313BE5"/>
    <w:rsid w:val="00313C4A"/>
    <w:rsid w:val="00313D30"/>
    <w:rsid w:val="00313FCD"/>
    <w:rsid w:val="00314019"/>
    <w:rsid w:val="003140EA"/>
    <w:rsid w:val="00314171"/>
    <w:rsid w:val="003141DB"/>
    <w:rsid w:val="003141F9"/>
    <w:rsid w:val="0031425F"/>
    <w:rsid w:val="00314309"/>
    <w:rsid w:val="003144BF"/>
    <w:rsid w:val="00314533"/>
    <w:rsid w:val="00314538"/>
    <w:rsid w:val="0031455B"/>
    <w:rsid w:val="00314598"/>
    <w:rsid w:val="0031462B"/>
    <w:rsid w:val="00314657"/>
    <w:rsid w:val="003146B2"/>
    <w:rsid w:val="003146BD"/>
    <w:rsid w:val="00314778"/>
    <w:rsid w:val="0031480C"/>
    <w:rsid w:val="0031482C"/>
    <w:rsid w:val="003149B9"/>
    <w:rsid w:val="003149E2"/>
    <w:rsid w:val="00314B2C"/>
    <w:rsid w:val="00314B3F"/>
    <w:rsid w:val="00314B43"/>
    <w:rsid w:val="00314B7C"/>
    <w:rsid w:val="00314BED"/>
    <w:rsid w:val="00314CA4"/>
    <w:rsid w:val="00314D04"/>
    <w:rsid w:val="00314D46"/>
    <w:rsid w:val="00314E20"/>
    <w:rsid w:val="00314E22"/>
    <w:rsid w:val="00314F1C"/>
    <w:rsid w:val="0031506A"/>
    <w:rsid w:val="00315226"/>
    <w:rsid w:val="003152A7"/>
    <w:rsid w:val="003152E0"/>
    <w:rsid w:val="0031540B"/>
    <w:rsid w:val="00315538"/>
    <w:rsid w:val="0031555D"/>
    <w:rsid w:val="00315780"/>
    <w:rsid w:val="00315885"/>
    <w:rsid w:val="003158AE"/>
    <w:rsid w:val="00315907"/>
    <w:rsid w:val="0031594B"/>
    <w:rsid w:val="003159A9"/>
    <w:rsid w:val="00315A21"/>
    <w:rsid w:val="00315A5E"/>
    <w:rsid w:val="00315ABD"/>
    <w:rsid w:val="00315B0A"/>
    <w:rsid w:val="00315B1A"/>
    <w:rsid w:val="00315BE0"/>
    <w:rsid w:val="00315C28"/>
    <w:rsid w:val="00315C30"/>
    <w:rsid w:val="00315C57"/>
    <w:rsid w:val="00315CAB"/>
    <w:rsid w:val="00315D27"/>
    <w:rsid w:val="00315E28"/>
    <w:rsid w:val="00316223"/>
    <w:rsid w:val="00316295"/>
    <w:rsid w:val="0031646E"/>
    <w:rsid w:val="0031649B"/>
    <w:rsid w:val="00316605"/>
    <w:rsid w:val="0031667C"/>
    <w:rsid w:val="0031698C"/>
    <w:rsid w:val="00316991"/>
    <w:rsid w:val="003169BF"/>
    <w:rsid w:val="003169E8"/>
    <w:rsid w:val="00316A2B"/>
    <w:rsid w:val="00316A6B"/>
    <w:rsid w:val="00316B69"/>
    <w:rsid w:val="00316F4C"/>
    <w:rsid w:val="00316FC1"/>
    <w:rsid w:val="00316FE0"/>
    <w:rsid w:val="003171A9"/>
    <w:rsid w:val="00317318"/>
    <w:rsid w:val="003173E5"/>
    <w:rsid w:val="00317488"/>
    <w:rsid w:val="00317505"/>
    <w:rsid w:val="003175C6"/>
    <w:rsid w:val="00317639"/>
    <w:rsid w:val="00317680"/>
    <w:rsid w:val="00317794"/>
    <w:rsid w:val="0031785E"/>
    <w:rsid w:val="003178B2"/>
    <w:rsid w:val="003178C2"/>
    <w:rsid w:val="00317966"/>
    <w:rsid w:val="003179CA"/>
    <w:rsid w:val="00317AAE"/>
    <w:rsid w:val="00317AC4"/>
    <w:rsid w:val="00317C27"/>
    <w:rsid w:val="00317C7B"/>
    <w:rsid w:val="00317DAD"/>
    <w:rsid w:val="00317DC3"/>
    <w:rsid w:val="00317E44"/>
    <w:rsid w:val="00317E63"/>
    <w:rsid w:val="00317F64"/>
    <w:rsid w:val="00317F91"/>
    <w:rsid w:val="00317FAE"/>
    <w:rsid w:val="00320092"/>
    <w:rsid w:val="00320276"/>
    <w:rsid w:val="00320352"/>
    <w:rsid w:val="003203A7"/>
    <w:rsid w:val="0032040F"/>
    <w:rsid w:val="00320556"/>
    <w:rsid w:val="0032076A"/>
    <w:rsid w:val="003208E0"/>
    <w:rsid w:val="003208EC"/>
    <w:rsid w:val="00320AD4"/>
    <w:rsid w:val="00320BFC"/>
    <w:rsid w:val="00320C29"/>
    <w:rsid w:val="00320D72"/>
    <w:rsid w:val="00320DEA"/>
    <w:rsid w:val="00320DEB"/>
    <w:rsid w:val="00320E00"/>
    <w:rsid w:val="00320E38"/>
    <w:rsid w:val="00320E3E"/>
    <w:rsid w:val="00320E65"/>
    <w:rsid w:val="00320EA9"/>
    <w:rsid w:val="00320FC8"/>
    <w:rsid w:val="0032128A"/>
    <w:rsid w:val="003212FD"/>
    <w:rsid w:val="0032136B"/>
    <w:rsid w:val="0032138A"/>
    <w:rsid w:val="0032147B"/>
    <w:rsid w:val="00321522"/>
    <w:rsid w:val="0032160D"/>
    <w:rsid w:val="00321745"/>
    <w:rsid w:val="0032175F"/>
    <w:rsid w:val="00321772"/>
    <w:rsid w:val="0032183E"/>
    <w:rsid w:val="00321841"/>
    <w:rsid w:val="003218FE"/>
    <w:rsid w:val="003219C7"/>
    <w:rsid w:val="00321A6D"/>
    <w:rsid w:val="00321BEB"/>
    <w:rsid w:val="00321DBC"/>
    <w:rsid w:val="00321E05"/>
    <w:rsid w:val="00321E33"/>
    <w:rsid w:val="00321FE4"/>
    <w:rsid w:val="0032204B"/>
    <w:rsid w:val="003220A8"/>
    <w:rsid w:val="00322206"/>
    <w:rsid w:val="00322258"/>
    <w:rsid w:val="003222C9"/>
    <w:rsid w:val="003222E4"/>
    <w:rsid w:val="003222FA"/>
    <w:rsid w:val="00322493"/>
    <w:rsid w:val="003224E8"/>
    <w:rsid w:val="00322520"/>
    <w:rsid w:val="00322561"/>
    <w:rsid w:val="003226D0"/>
    <w:rsid w:val="003226D8"/>
    <w:rsid w:val="00322773"/>
    <w:rsid w:val="00322781"/>
    <w:rsid w:val="00322A24"/>
    <w:rsid w:val="00322AAF"/>
    <w:rsid w:val="00322EC5"/>
    <w:rsid w:val="00322F1E"/>
    <w:rsid w:val="00322F57"/>
    <w:rsid w:val="00322F84"/>
    <w:rsid w:val="003230F6"/>
    <w:rsid w:val="00323196"/>
    <w:rsid w:val="003232C2"/>
    <w:rsid w:val="00323418"/>
    <w:rsid w:val="0032341E"/>
    <w:rsid w:val="003234CD"/>
    <w:rsid w:val="0032351E"/>
    <w:rsid w:val="00323572"/>
    <w:rsid w:val="003235D7"/>
    <w:rsid w:val="003235E8"/>
    <w:rsid w:val="00323679"/>
    <w:rsid w:val="003236B6"/>
    <w:rsid w:val="003236FA"/>
    <w:rsid w:val="00323705"/>
    <w:rsid w:val="003237DE"/>
    <w:rsid w:val="0032385A"/>
    <w:rsid w:val="00323872"/>
    <w:rsid w:val="003239F5"/>
    <w:rsid w:val="00323BCC"/>
    <w:rsid w:val="00323C8E"/>
    <w:rsid w:val="00323D59"/>
    <w:rsid w:val="00323D6A"/>
    <w:rsid w:val="00323D83"/>
    <w:rsid w:val="00323E06"/>
    <w:rsid w:val="00323F8D"/>
    <w:rsid w:val="00323FE9"/>
    <w:rsid w:val="00324051"/>
    <w:rsid w:val="003240BD"/>
    <w:rsid w:val="003241ED"/>
    <w:rsid w:val="00324206"/>
    <w:rsid w:val="003242A0"/>
    <w:rsid w:val="00324489"/>
    <w:rsid w:val="0032462E"/>
    <w:rsid w:val="003246D2"/>
    <w:rsid w:val="003246ED"/>
    <w:rsid w:val="00324810"/>
    <w:rsid w:val="003248E9"/>
    <w:rsid w:val="00324A8C"/>
    <w:rsid w:val="00324A91"/>
    <w:rsid w:val="00324AA6"/>
    <w:rsid w:val="00324C6A"/>
    <w:rsid w:val="00324C7C"/>
    <w:rsid w:val="00324C84"/>
    <w:rsid w:val="00324D8B"/>
    <w:rsid w:val="00324FDE"/>
    <w:rsid w:val="00325005"/>
    <w:rsid w:val="0032517A"/>
    <w:rsid w:val="00325638"/>
    <w:rsid w:val="0032565B"/>
    <w:rsid w:val="00325698"/>
    <w:rsid w:val="003256FD"/>
    <w:rsid w:val="00325742"/>
    <w:rsid w:val="00325755"/>
    <w:rsid w:val="0032578F"/>
    <w:rsid w:val="00325A51"/>
    <w:rsid w:val="00325AB1"/>
    <w:rsid w:val="00325AE0"/>
    <w:rsid w:val="00325B26"/>
    <w:rsid w:val="00325B73"/>
    <w:rsid w:val="00325C68"/>
    <w:rsid w:val="00325C79"/>
    <w:rsid w:val="00325CF2"/>
    <w:rsid w:val="00325ED2"/>
    <w:rsid w:val="00325F40"/>
    <w:rsid w:val="00326162"/>
    <w:rsid w:val="00326329"/>
    <w:rsid w:val="003263C0"/>
    <w:rsid w:val="00326432"/>
    <w:rsid w:val="0032645B"/>
    <w:rsid w:val="00326686"/>
    <w:rsid w:val="003266BF"/>
    <w:rsid w:val="00326956"/>
    <w:rsid w:val="00326996"/>
    <w:rsid w:val="00326B37"/>
    <w:rsid w:val="00326B5E"/>
    <w:rsid w:val="00326B80"/>
    <w:rsid w:val="00326BDE"/>
    <w:rsid w:val="00326C73"/>
    <w:rsid w:val="00326D32"/>
    <w:rsid w:val="00326E80"/>
    <w:rsid w:val="00326F18"/>
    <w:rsid w:val="00327132"/>
    <w:rsid w:val="0032719C"/>
    <w:rsid w:val="003271ED"/>
    <w:rsid w:val="003273AD"/>
    <w:rsid w:val="00327618"/>
    <w:rsid w:val="0032765F"/>
    <w:rsid w:val="00327661"/>
    <w:rsid w:val="0032766D"/>
    <w:rsid w:val="003276EC"/>
    <w:rsid w:val="003277D0"/>
    <w:rsid w:val="0032791A"/>
    <w:rsid w:val="00327955"/>
    <w:rsid w:val="00327977"/>
    <w:rsid w:val="00327D4A"/>
    <w:rsid w:val="00327D87"/>
    <w:rsid w:val="00327DA2"/>
    <w:rsid w:val="00327DA9"/>
    <w:rsid w:val="00327F9B"/>
    <w:rsid w:val="00327FA2"/>
    <w:rsid w:val="0033001C"/>
    <w:rsid w:val="00330038"/>
    <w:rsid w:val="003300A1"/>
    <w:rsid w:val="003301AE"/>
    <w:rsid w:val="0033029C"/>
    <w:rsid w:val="003302B7"/>
    <w:rsid w:val="00330381"/>
    <w:rsid w:val="003303F3"/>
    <w:rsid w:val="003306F1"/>
    <w:rsid w:val="00330751"/>
    <w:rsid w:val="00330778"/>
    <w:rsid w:val="003309B4"/>
    <w:rsid w:val="00330C1B"/>
    <w:rsid w:val="00330C75"/>
    <w:rsid w:val="00330CDC"/>
    <w:rsid w:val="00330DD9"/>
    <w:rsid w:val="00330ED3"/>
    <w:rsid w:val="00330FB3"/>
    <w:rsid w:val="00331181"/>
    <w:rsid w:val="003311D8"/>
    <w:rsid w:val="00331217"/>
    <w:rsid w:val="00331243"/>
    <w:rsid w:val="003313FE"/>
    <w:rsid w:val="00331420"/>
    <w:rsid w:val="003314BA"/>
    <w:rsid w:val="00331507"/>
    <w:rsid w:val="00331663"/>
    <w:rsid w:val="00331862"/>
    <w:rsid w:val="00331894"/>
    <w:rsid w:val="0033199E"/>
    <w:rsid w:val="003319CA"/>
    <w:rsid w:val="00331A8D"/>
    <w:rsid w:val="00331AF7"/>
    <w:rsid w:val="00331AF9"/>
    <w:rsid w:val="00331B43"/>
    <w:rsid w:val="00331C24"/>
    <w:rsid w:val="00331C3B"/>
    <w:rsid w:val="00331CCB"/>
    <w:rsid w:val="00331D29"/>
    <w:rsid w:val="00331F7E"/>
    <w:rsid w:val="003320B8"/>
    <w:rsid w:val="003320F9"/>
    <w:rsid w:val="003321F9"/>
    <w:rsid w:val="0033220B"/>
    <w:rsid w:val="003322D9"/>
    <w:rsid w:val="00332440"/>
    <w:rsid w:val="0033248E"/>
    <w:rsid w:val="00332868"/>
    <w:rsid w:val="00332958"/>
    <w:rsid w:val="00332A15"/>
    <w:rsid w:val="00332B59"/>
    <w:rsid w:val="00332C84"/>
    <w:rsid w:val="00332EEF"/>
    <w:rsid w:val="00332FDD"/>
    <w:rsid w:val="003330BA"/>
    <w:rsid w:val="00333210"/>
    <w:rsid w:val="003335C1"/>
    <w:rsid w:val="003335E6"/>
    <w:rsid w:val="003335FF"/>
    <w:rsid w:val="00333612"/>
    <w:rsid w:val="003337AD"/>
    <w:rsid w:val="00333817"/>
    <w:rsid w:val="003338AA"/>
    <w:rsid w:val="00333976"/>
    <w:rsid w:val="00333A2E"/>
    <w:rsid w:val="00333AE6"/>
    <w:rsid w:val="00333B0F"/>
    <w:rsid w:val="00333D0D"/>
    <w:rsid w:val="00333D9F"/>
    <w:rsid w:val="00333DD6"/>
    <w:rsid w:val="00333F92"/>
    <w:rsid w:val="00334225"/>
    <w:rsid w:val="0033430A"/>
    <w:rsid w:val="0033444B"/>
    <w:rsid w:val="003344B0"/>
    <w:rsid w:val="003344DB"/>
    <w:rsid w:val="00334546"/>
    <w:rsid w:val="00334783"/>
    <w:rsid w:val="003347A5"/>
    <w:rsid w:val="0033480C"/>
    <w:rsid w:val="003348DC"/>
    <w:rsid w:val="00334A33"/>
    <w:rsid w:val="00334AA3"/>
    <w:rsid w:val="00334E60"/>
    <w:rsid w:val="00334EE2"/>
    <w:rsid w:val="00334F8E"/>
    <w:rsid w:val="00334F9A"/>
    <w:rsid w:val="00334F9D"/>
    <w:rsid w:val="00335002"/>
    <w:rsid w:val="0033530B"/>
    <w:rsid w:val="003354FE"/>
    <w:rsid w:val="0033559A"/>
    <w:rsid w:val="0033559F"/>
    <w:rsid w:val="003356E7"/>
    <w:rsid w:val="00335774"/>
    <w:rsid w:val="003357A9"/>
    <w:rsid w:val="00335876"/>
    <w:rsid w:val="00335889"/>
    <w:rsid w:val="0033599E"/>
    <w:rsid w:val="00335C51"/>
    <w:rsid w:val="00335C87"/>
    <w:rsid w:val="00335CFF"/>
    <w:rsid w:val="00335E2A"/>
    <w:rsid w:val="00335F81"/>
    <w:rsid w:val="0033603F"/>
    <w:rsid w:val="0033609D"/>
    <w:rsid w:val="003360B1"/>
    <w:rsid w:val="003364F5"/>
    <w:rsid w:val="003365AC"/>
    <w:rsid w:val="00336605"/>
    <w:rsid w:val="00336684"/>
    <w:rsid w:val="00336760"/>
    <w:rsid w:val="003368F2"/>
    <w:rsid w:val="003369A1"/>
    <w:rsid w:val="00336A81"/>
    <w:rsid w:val="00336B01"/>
    <w:rsid w:val="00336B83"/>
    <w:rsid w:val="00336C0F"/>
    <w:rsid w:val="00336C7B"/>
    <w:rsid w:val="00336CD1"/>
    <w:rsid w:val="00336D0E"/>
    <w:rsid w:val="00336D0F"/>
    <w:rsid w:val="00336D8F"/>
    <w:rsid w:val="00336DF0"/>
    <w:rsid w:val="00336E14"/>
    <w:rsid w:val="00336EB9"/>
    <w:rsid w:val="00336F36"/>
    <w:rsid w:val="00336FC3"/>
    <w:rsid w:val="00337133"/>
    <w:rsid w:val="0033721F"/>
    <w:rsid w:val="003372BC"/>
    <w:rsid w:val="003372E9"/>
    <w:rsid w:val="0033736B"/>
    <w:rsid w:val="00337371"/>
    <w:rsid w:val="00337587"/>
    <w:rsid w:val="003375A5"/>
    <w:rsid w:val="00337608"/>
    <w:rsid w:val="00337868"/>
    <w:rsid w:val="003378FC"/>
    <w:rsid w:val="0033793A"/>
    <w:rsid w:val="0033794D"/>
    <w:rsid w:val="00337A43"/>
    <w:rsid w:val="00337A84"/>
    <w:rsid w:val="00337AA1"/>
    <w:rsid w:val="00337C55"/>
    <w:rsid w:val="00337CA3"/>
    <w:rsid w:val="00337D21"/>
    <w:rsid w:val="00337E16"/>
    <w:rsid w:val="00337E31"/>
    <w:rsid w:val="00337ECE"/>
    <w:rsid w:val="00337EFF"/>
    <w:rsid w:val="00337FE2"/>
    <w:rsid w:val="003400F8"/>
    <w:rsid w:val="0034011E"/>
    <w:rsid w:val="003401BA"/>
    <w:rsid w:val="003401FA"/>
    <w:rsid w:val="003402F0"/>
    <w:rsid w:val="003404DC"/>
    <w:rsid w:val="0034050E"/>
    <w:rsid w:val="00340677"/>
    <w:rsid w:val="00340935"/>
    <w:rsid w:val="003409D9"/>
    <w:rsid w:val="00340A5E"/>
    <w:rsid w:val="00340BC8"/>
    <w:rsid w:val="00340CC4"/>
    <w:rsid w:val="00340D8C"/>
    <w:rsid w:val="00340E52"/>
    <w:rsid w:val="00340EF2"/>
    <w:rsid w:val="00340F8D"/>
    <w:rsid w:val="00341040"/>
    <w:rsid w:val="00341119"/>
    <w:rsid w:val="00341212"/>
    <w:rsid w:val="0034138B"/>
    <w:rsid w:val="003413BC"/>
    <w:rsid w:val="00341463"/>
    <w:rsid w:val="003414A4"/>
    <w:rsid w:val="003415A6"/>
    <w:rsid w:val="003418C7"/>
    <w:rsid w:val="003418F5"/>
    <w:rsid w:val="00341943"/>
    <w:rsid w:val="00341A7B"/>
    <w:rsid w:val="00341C4E"/>
    <w:rsid w:val="00341CD4"/>
    <w:rsid w:val="00341CF9"/>
    <w:rsid w:val="00341E50"/>
    <w:rsid w:val="00341E83"/>
    <w:rsid w:val="00341EF6"/>
    <w:rsid w:val="00341F3A"/>
    <w:rsid w:val="00341FFC"/>
    <w:rsid w:val="0034205F"/>
    <w:rsid w:val="00342074"/>
    <w:rsid w:val="003420DA"/>
    <w:rsid w:val="00342210"/>
    <w:rsid w:val="00342279"/>
    <w:rsid w:val="00342328"/>
    <w:rsid w:val="0034235B"/>
    <w:rsid w:val="0034270F"/>
    <w:rsid w:val="0034274B"/>
    <w:rsid w:val="0034275B"/>
    <w:rsid w:val="003427EE"/>
    <w:rsid w:val="0034281D"/>
    <w:rsid w:val="0034285D"/>
    <w:rsid w:val="00342891"/>
    <w:rsid w:val="00342928"/>
    <w:rsid w:val="00342AE1"/>
    <w:rsid w:val="00342B1D"/>
    <w:rsid w:val="00342B76"/>
    <w:rsid w:val="00342CDE"/>
    <w:rsid w:val="00342D24"/>
    <w:rsid w:val="00342E92"/>
    <w:rsid w:val="00342EE9"/>
    <w:rsid w:val="00342EEB"/>
    <w:rsid w:val="00342FDD"/>
    <w:rsid w:val="00343048"/>
    <w:rsid w:val="003430B4"/>
    <w:rsid w:val="003430C6"/>
    <w:rsid w:val="0034318D"/>
    <w:rsid w:val="003431C8"/>
    <w:rsid w:val="0034337E"/>
    <w:rsid w:val="0034340F"/>
    <w:rsid w:val="003435C8"/>
    <w:rsid w:val="0034367D"/>
    <w:rsid w:val="003436F3"/>
    <w:rsid w:val="00343863"/>
    <w:rsid w:val="00343886"/>
    <w:rsid w:val="00343A9A"/>
    <w:rsid w:val="00343BB9"/>
    <w:rsid w:val="00343C68"/>
    <w:rsid w:val="00343CFC"/>
    <w:rsid w:val="00343EFB"/>
    <w:rsid w:val="00343F34"/>
    <w:rsid w:val="00344050"/>
    <w:rsid w:val="003440B4"/>
    <w:rsid w:val="0034418F"/>
    <w:rsid w:val="00344277"/>
    <w:rsid w:val="003444DD"/>
    <w:rsid w:val="0034460D"/>
    <w:rsid w:val="003447F2"/>
    <w:rsid w:val="0034486F"/>
    <w:rsid w:val="0034492D"/>
    <w:rsid w:val="00344944"/>
    <w:rsid w:val="00344A3E"/>
    <w:rsid w:val="00344AEF"/>
    <w:rsid w:val="00344C45"/>
    <w:rsid w:val="00344C7C"/>
    <w:rsid w:val="00344C96"/>
    <w:rsid w:val="00344CA9"/>
    <w:rsid w:val="00344CC7"/>
    <w:rsid w:val="00344CF0"/>
    <w:rsid w:val="00344D4D"/>
    <w:rsid w:val="00344DA0"/>
    <w:rsid w:val="00344EEF"/>
    <w:rsid w:val="00344F6B"/>
    <w:rsid w:val="00344FDF"/>
    <w:rsid w:val="003450A9"/>
    <w:rsid w:val="003450BA"/>
    <w:rsid w:val="003450E8"/>
    <w:rsid w:val="00345129"/>
    <w:rsid w:val="0034523B"/>
    <w:rsid w:val="00345287"/>
    <w:rsid w:val="003452EE"/>
    <w:rsid w:val="003453AF"/>
    <w:rsid w:val="0034573E"/>
    <w:rsid w:val="0034584C"/>
    <w:rsid w:val="003459EC"/>
    <w:rsid w:val="00345B0B"/>
    <w:rsid w:val="00345B64"/>
    <w:rsid w:val="00345BE4"/>
    <w:rsid w:val="00345C42"/>
    <w:rsid w:val="00345D05"/>
    <w:rsid w:val="00345EB8"/>
    <w:rsid w:val="00345F2C"/>
    <w:rsid w:val="00345F97"/>
    <w:rsid w:val="00346150"/>
    <w:rsid w:val="0034615A"/>
    <w:rsid w:val="00346296"/>
    <w:rsid w:val="0034647C"/>
    <w:rsid w:val="0034651A"/>
    <w:rsid w:val="003465D1"/>
    <w:rsid w:val="003465FD"/>
    <w:rsid w:val="00346860"/>
    <w:rsid w:val="00346918"/>
    <w:rsid w:val="00346B81"/>
    <w:rsid w:val="00346BD5"/>
    <w:rsid w:val="00346DA7"/>
    <w:rsid w:val="00346DDD"/>
    <w:rsid w:val="00346DFA"/>
    <w:rsid w:val="00346E13"/>
    <w:rsid w:val="00346E89"/>
    <w:rsid w:val="00347028"/>
    <w:rsid w:val="0034706E"/>
    <w:rsid w:val="003474D7"/>
    <w:rsid w:val="003474F9"/>
    <w:rsid w:val="003476A2"/>
    <w:rsid w:val="003476C0"/>
    <w:rsid w:val="003478E9"/>
    <w:rsid w:val="003479C8"/>
    <w:rsid w:val="003479D5"/>
    <w:rsid w:val="00347B2F"/>
    <w:rsid w:val="00347DFC"/>
    <w:rsid w:val="00347F4D"/>
    <w:rsid w:val="00347F8A"/>
    <w:rsid w:val="0035004F"/>
    <w:rsid w:val="0035016B"/>
    <w:rsid w:val="0035024C"/>
    <w:rsid w:val="003504E0"/>
    <w:rsid w:val="003506C2"/>
    <w:rsid w:val="003507DF"/>
    <w:rsid w:val="00350924"/>
    <w:rsid w:val="00350C93"/>
    <w:rsid w:val="00350D8D"/>
    <w:rsid w:val="00350DA3"/>
    <w:rsid w:val="00350DC0"/>
    <w:rsid w:val="00350F38"/>
    <w:rsid w:val="00350FDD"/>
    <w:rsid w:val="00351034"/>
    <w:rsid w:val="00351259"/>
    <w:rsid w:val="0035127D"/>
    <w:rsid w:val="003512B4"/>
    <w:rsid w:val="00351360"/>
    <w:rsid w:val="003513CD"/>
    <w:rsid w:val="0035157C"/>
    <w:rsid w:val="00351641"/>
    <w:rsid w:val="003516F8"/>
    <w:rsid w:val="003517F6"/>
    <w:rsid w:val="003518E0"/>
    <w:rsid w:val="0035193A"/>
    <w:rsid w:val="00351954"/>
    <w:rsid w:val="00351A11"/>
    <w:rsid w:val="00351ABC"/>
    <w:rsid w:val="00351CE0"/>
    <w:rsid w:val="00351D7F"/>
    <w:rsid w:val="00351D93"/>
    <w:rsid w:val="00351ED7"/>
    <w:rsid w:val="00351F20"/>
    <w:rsid w:val="00351FCA"/>
    <w:rsid w:val="003521CF"/>
    <w:rsid w:val="00352379"/>
    <w:rsid w:val="00352382"/>
    <w:rsid w:val="003523F2"/>
    <w:rsid w:val="0035274F"/>
    <w:rsid w:val="0035275E"/>
    <w:rsid w:val="00352781"/>
    <w:rsid w:val="003528AA"/>
    <w:rsid w:val="00352903"/>
    <w:rsid w:val="00352A63"/>
    <w:rsid w:val="00352C5D"/>
    <w:rsid w:val="00352CB2"/>
    <w:rsid w:val="00352E62"/>
    <w:rsid w:val="0035314B"/>
    <w:rsid w:val="00353405"/>
    <w:rsid w:val="00353713"/>
    <w:rsid w:val="00353739"/>
    <w:rsid w:val="00353775"/>
    <w:rsid w:val="00353880"/>
    <w:rsid w:val="0035388D"/>
    <w:rsid w:val="0035391E"/>
    <w:rsid w:val="00353935"/>
    <w:rsid w:val="00353986"/>
    <w:rsid w:val="00353AF8"/>
    <w:rsid w:val="00353B4E"/>
    <w:rsid w:val="00353C06"/>
    <w:rsid w:val="00353CA2"/>
    <w:rsid w:val="00353D57"/>
    <w:rsid w:val="00353E0C"/>
    <w:rsid w:val="00353EC8"/>
    <w:rsid w:val="00354107"/>
    <w:rsid w:val="0035415A"/>
    <w:rsid w:val="00354189"/>
    <w:rsid w:val="00354237"/>
    <w:rsid w:val="003542ED"/>
    <w:rsid w:val="0035446D"/>
    <w:rsid w:val="00354519"/>
    <w:rsid w:val="0035460D"/>
    <w:rsid w:val="003549AB"/>
    <w:rsid w:val="00354A25"/>
    <w:rsid w:val="00354A34"/>
    <w:rsid w:val="00354A54"/>
    <w:rsid w:val="00354C97"/>
    <w:rsid w:val="00354DCA"/>
    <w:rsid w:val="00354E2F"/>
    <w:rsid w:val="00354E8C"/>
    <w:rsid w:val="00354EAB"/>
    <w:rsid w:val="003550FB"/>
    <w:rsid w:val="00355110"/>
    <w:rsid w:val="003552B6"/>
    <w:rsid w:val="00355360"/>
    <w:rsid w:val="00355367"/>
    <w:rsid w:val="00355418"/>
    <w:rsid w:val="0035552A"/>
    <w:rsid w:val="0035565C"/>
    <w:rsid w:val="0035570D"/>
    <w:rsid w:val="00355879"/>
    <w:rsid w:val="003558B0"/>
    <w:rsid w:val="00355965"/>
    <w:rsid w:val="003559AA"/>
    <w:rsid w:val="003559BF"/>
    <w:rsid w:val="00355A8A"/>
    <w:rsid w:val="00355AA9"/>
    <w:rsid w:val="00355AE1"/>
    <w:rsid w:val="00355B46"/>
    <w:rsid w:val="00355B68"/>
    <w:rsid w:val="00355B78"/>
    <w:rsid w:val="00355BD8"/>
    <w:rsid w:val="00355D30"/>
    <w:rsid w:val="00355D66"/>
    <w:rsid w:val="00355DB4"/>
    <w:rsid w:val="00355E41"/>
    <w:rsid w:val="00355E64"/>
    <w:rsid w:val="00355EDD"/>
    <w:rsid w:val="003560D4"/>
    <w:rsid w:val="003561DC"/>
    <w:rsid w:val="00356473"/>
    <w:rsid w:val="00356484"/>
    <w:rsid w:val="003564AE"/>
    <w:rsid w:val="003564F1"/>
    <w:rsid w:val="00356577"/>
    <w:rsid w:val="00356633"/>
    <w:rsid w:val="003566E2"/>
    <w:rsid w:val="00356759"/>
    <w:rsid w:val="00356879"/>
    <w:rsid w:val="003568CA"/>
    <w:rsid w:val="00356934"/>
    <w:rsid w:val="00356B8A"/>
    <w:rsid w:val="00356C60"/>
    <w:rsid w:val="00356E09"/>
    <w:rsid w:val="00356EF5"/>
    <w:rsid w:val="00356F3C"/>
    <w:rsid w:val="00356F5A"/>
    <w:rsid w:val="00356F65"/>
    <w:rsid w:val="00356F9D"/>
    <w:rsid w:val="00357085"/>
    <w:rsid w:val="003570BB"/>
    <w:rsid w:val="00357267"/>
    <w:rsid w:val="00357305"/>
    <w:rsid w:val="00357336"/>
    <w:rsid w:val="00357378"/>
    <w:rsid w:val="003573B5"/>
    <w:rsid w:val="00357492"/>
    <w:rsid w:val="0035749C"/>
    <w:rsid w:val="00357547"/>
    <w:rsid w:val="0035759E"/>
    <w:rsid w:val="003575A7"/>
    <w:rsid w:val="003577DD"/>
    <w:rsid w:val="003579C2"/>
    <w:rsid w:val="00357B2F"/>
    <w:rsid w:val="00357BD6"/>
    <w:rsid w:val="00357CDE"/>
    <w:rsid w:val="00357CE7"/>
    <w:rsid w:val="00357DA3"/>
    <w:rsid w:val="00357DC8"/>
    <w:rsid w:val="00357EDC"/>
    <w:rsid w:val="00357F0C"/>
    <w:rsid w:val="00360005"/>
    <w:rsid w:val="00360016"/>
    <w:rsid w:val="0036016B"/>
    <w:rsid w:val="00360251"/>
    <w:rsid w:val="0036031F"/>
    <w:rsid w:val="00360340"/>
    <w:rsid w:val="003605B3"/>
    <w:rsid w:val="00360667"/>
    <w:rsid w:val="003607BA"/>
    <w:rsid w:val="003607C5"/>
    <w:rsid w:val="00360845"/>
    <w:rsid w:val="003608F3"/>
    <w:rsid w:val="00360912"/>
    <w:rsid w:val="00360AFA"/>
    <w:rsid w:val="00360B61"/>
    <w:rsid w:val="00360D37"/>
    <w:rsid w:val="00360D83"/>
    <w:rsid w:val="00360E24"/>
    <w:rsid w:val="00360F3E"/>
    <w:rsid w:val="00360F8C"/>
    <w:rsid w:val="00360F99"/>
    <w:rsid w:val="00360FB8"/>
    <w:rsid w:val="00360FDE"/>
    <w:rsid w:val="003610E8"/>
    <w:rsid w:val="003610FB"/>
    <w:rsid w:val="00361151"/>
    <w:rsid w:val="0036147F"/>
    <w:rsid w:val="00361488"/>
    <w:rsid w:val="003614D6"/>
    <w:rsid w:val="00361635"/>
    <w:rsid w:val="0036178B"/>
    <w:rsid w:val="00361832"/>
    <w:rsid w:val="003618C9"/>
    <w:rsid w:val="003618E4"/>
    <w:rsid w:val="00361956"/>
    <w:rsid w:val="003619A3"/>
    <w:rsid w:val="00361A67"/>
    <w:rsid w:val="00361B42"/>
    <w:rsid w:val="00361B80"/>
    <w:rsid w:val="00361C2D"/>
    <w:rsid w:val="00361C31"/>
    <w:rsid w:val="00361CA7"/>
    <w:rsid w:val="00361F5B"/>
    <w:rsid w:val="00361F89"/>
    <w:rsid w:val="00362075"/>
    <w:rsid w:val="00362078"/>
    <w:rsid w:val="00362146"/>
    <w:rsid w:val="003621AE"/>
    <w:rsid w:val="003621C8"/>
    <w:rsid w:val="0036227E"/>
    <w:rsid w:val="003622DD"/>
    <w:rsid w:val="0036247E"/>
    <w:rsid w:val="0036251C"/>
    <w:rsid w:val="00362576"/>
    <w:rsid w:val="0036262E"/>
    <w:rsid w:val="00362718"/>
    <w:rsid w:val="00362834"/>
    <w:rsid w:val="00362875"/>
    <w:rsid w:val="0036296B"/>
    <w:rsid w:val="00362ACE"/>
    <w:rsid w:val="00362B39"/>
    <w:rsid w:val="00362C2E"/>
    <w:rsid w:val="00362D27"/>
    <w:rsid w:val="00362DAB"/>
    <w:rsid w:val="00362DDB"/>
    <w:rsid w:val="003630E7"/>
    <w:rsid w:val="0036311D"/>
    <w:rsid w:val="00363233"/>
    <w:rsid w:val="00363239"/>
    <w:rsid w:val="00363505"/>
    <w:rsid w:val="0036351D"/>
    <w:rsid w:val="00363609"/>
    <w:rsid w:val="00363639"/>
    <w:rsid w:val="00363737"/>
    <w:rsid w:val="0036377E"/>
    <w:rsid w:val="00363835"/>
    <w:rsid w:val="00363846"/>
    <w:rsid w:val="003639CA"/>
    <w:rsid w:val="003639E8"/>
    <w:rsid w:val="00363ACE"/>
    <w:rsid w:val="00363B45"/>
    <w:rsid w:val="00363C2C"/>
    <w:rsid w:val="00363D7C"/>
    <w:rsid w:val="00363E80"/>
    <w:rsid w:val="00363EDD"/>
    <w:rsid w:val="00363F3B"/>
    <w:rsid w:val="00363F93"/>
    <w:rsid w:val="0036418D"/>
    <w:rsid w:val="003642B0"/>
    <w:rsid w:val="0036439A"/>
    <w:rsid w:val="00364417"/>
    <w:rsid w:val="0036448F"/>
    <w:rsid w:val="00364530"/>
    <w:rsid w:val="00364867"/>
    <w:rsid w:val="00364869"/>
    <w:rsid w:val="003648FC"/>
    <w:rsid w:val="00364C34"/>
    <w:rsid w:val="00364CB7"/>
    <w:rsid w:val="00364D1F"/>
    <w:rsid w:val="00364E28"/>
    <w:rsid w:val="00364F36"/>
    <w:rsid w:val="00365004"/>
    <w:rsid w:val="0036510C"/>
    <w:rsid w:val="003651A5"/>
    <w:rsid w:val="0036523D"/>
    <w:rsid w:val="00365346"/>
    <w:rsid w:val="003653C0"/>
    <w:rsid w:val="0036540E"/>
    <w:rsid w:val="00365461"/>
    <w:rsid w:val="003655B5"/>
    <w:rsid w:val="00365661"/>
    <w:rsid w:val="003656E5"/>
    <w:rsid w:val="00365723"/>
    <w:rsid w:val="00365833"/>
    <w:rsid w:val="003658CB"/>
    <w:rsid w:val="00365995"/>
    <w:rsid w:val="003659EB"/>
    <w:rsid w:val="00365A65"/>
    <w:rsid w:val="00365B77"/>
    <w:rsid w:val="00365BCC"/>
    <w:rsid w:val="00365C62"/>
    <w:rsid w:val="00365C92"/>
    <w:rsid w:val="00365D94"/>
    <w:rsid w:val="00365DEA"/>
    <w:rsid w:val="00365DFA"/>
    <w:rsid w:val="00365ED6"/>
    <w:rsid w:val="00365EEB"/>
    <w:rsid w:val="003660A8"/>
    <w:rsid w:val="003660C5"/>
    <w:rsid w:val="003662FA"/>
    <w:rsid w:val="00366640"/>
    <w:rsid w:val="003667CA"/>
    <w:rsid w:val="003668B2"/>
    <w:rsid w:val="0036697D"/>
    <w:rsid w:val="00366A41"/>
    <w:rsid w:val="00366A5F"/>
    <w:rsid w:val="00366B0E"/>
    <w:rsid w:val="00366B91"/>
    <w:rsid w:val="00366C52"/>
    <w:rsid w:val="00366D50"/>
    <w:rsid w:val="00366E91"/>
    <w:rsid w:val="00366F94"/>
    <w:rsid w:val="0036708C"/>
    <w:rsid w:val="003670FF"/>
    <w:rsid w:val="00367206"/>
    <w:rsid w:val="00367213"/>
    <w:rsid w:val="00367316"/>
    <w:rsid w:val="0036734E"/>
    <w:rsid w:val="00367426"/>
    <w:rsid w:val="003674E5"/>
    <w:rsid w:val="003674ED"/>
    <w:rsid w:val="003674EF"/>
    <w:rsid w:val="003675DF"/>
    <w:rsid w:val="00367897"/>
    <w:rsid w:val="00367A51"/>
    <w:rsid w:val="00367ACF"/>
    <w:rsid w:val="00367B3D"/>
    <w:rsid w:val="00367B5D"/>
    <w:rsid w:val="00367C6E"/>
    <w:rsid w:val="00367D9A"/>
    <w:rsid w:val="00367F8E"/>
    <w:rsid w:val="00367FFE"/>
    <w:rsid w:val="0037001B"/>
    <w:rsid w:val="0037004F"/>
    <w:rsid w:val="00370145"/>
    <w:rsid w:val="003702CA"/>
    <w:rsid w:val="0037042B"/>
    <w:rsid w:val="0037056A"/>
    <w:rsid w:val="00370673"/>
    <w:rsid w:val="003706B9"/>
    <w:rsid w:val="003707D7"/>
    <w:rsid w:val="003707DD"/>
    <w:rsid w:val="00370887"/>
    <w:rsid w:val="00370962"/>
    <w:rsid w:val="00370AF5"/>
    <w:rsid w:val="00370B4C"/>
    <w:rsid w:val="00370CCC"/>
    <w:rsid w:val="00370D65"/>
    <w:rsid w:val="00370F1F"/>
    <w:rsid w:val="003712C7"/>
    <w:rsid w:val="0037150B"/>
    <w:rsid w:val="0037156A"/>
    <w:rsid w:val="003715B0"/>
    <w:rsid w:val="003715C2"/>
    <w:rsid w:val="003715E8"/>
    <w:rsid w:val="00371620"/>
    <w:rsid w:val="00371801"/>
    <w:rsid w:val="003718A6"/>
    <w:rsid w:val="003718C5"/>
    <w:rsid w:val="0037195E"/>
    <w:rsid w:val="00371A2D"/>
    <w:rsid w:val="00371ACE"/>
    <w:rsid w:val="00371C6C"/>
    <w:rsid w:val="00371C80"/>
    <w:rsid w:val="00371CAF"/>
    <w:rsid w:val="00371D32"/>
    <w:rsid w:val="00371D51"/>
    <w:rsid w:val="00371D8A"/>
    <w:rsid w:val="00371DB8"/>
    <w:rsid w:val="0037211C"/>
    <w:rsid w:val="00372152"/>
    <w:rsid w:val="0037217A"/>
    <w:rsid w:val="003721DE"/>
    <w:rsid w:val="00372258"/>
    <w:rsid w:val="0037243C"/>
    <w:rsid w:val="00372449"/>
    <w:rsid w:val="00372763"/>
    <w:rsid w:val="0037284A"/>
    <w:rsid w:val="00372942"/>
    <w:rsid w:val="00372955"/>
    <w:rsid w:val="00372A98"/>
    <w:rsid w:val="00372BF5"/>
    <w:rsid w:val="00372C0F"/>
    <w:rsid w:val="00372C84"/>
    <w:rsid w:val="00372D46"/>
    <w:rsid w:val="00372D86"/>
    <w:rsid w:val="00372DBD"/>
    <w:rsid w:val="00372DD7"/>
    <w:rsid w:val="0037301D"/>
    <w:rsid w:val="003730A2"/>
    <w:rsid w:val="003730BF"/>
    <w:rsid w:val="003732E7"/>
    <w:rsid w:val="00373308"/>
    <w:rsid w:val="00373335"/>
    <w:rsid w:val="003734B0"/>
    <w:rsid w:val="0037360C"/>
    <w:rsid w:val="003736AE"/>
    <w:rsid w:val="003736B7"/>
    <w:rsid w:val="003736EB"/>
    <w:rsid w:val="00373766"/>
    <w:rsid w:val="003737C8"/>
    <w:rsid w:val="003737FE"/>
    <w:rsid w:val="00373828"/>
    <w:rsid w:val="0037386C"/>
    <w:rsid w:val="003738FC"/>
    <w:rsid w:val="00373976"/>
    <w:rsid w:val="003739EB"/>
    <w:rsid w:val="00373B64"/>
    <w:rsid w:val="00373C0E"/>
    <w:rsid w:val="00373D37"/>
    <w:rsid w:val="00373E07"/>
    <w:rsid w:val="00374164"/>
    <w:rsid w:val="003742A7"/>
    <w:rsid w:val="003742EC"/>
    <w:rsid w:val="003743CF"/>
    <w:rsid w:val="00374405"/>
    <w:rsid w:val="00374675"/>
    <w:rsid w:val="0037499C"/>
    <w:rsid w:val="00374A66"/>
    <w:rsid w:val="00374A7C"/>
    <w:rsid w:val="00374B06"/>
    <w:rsid w:val="00374B91"/>
    <w:rsid w:val="00374C09"/>
    <w:rsid w:val="00374C2F"/>
    <w:rsid w:val="00374C94"/>
    <w:rsid w:val="00374CFA"/>
    <w:rsid w:val="00374F9A"/>
    <w:rsid w:val="00375076"/>
    <w:rsid w:val="00375148"/>
    <w:rsid w:val="003751BB"/>
    <w:rsid w:val="003751F7"/>
    <w:rsid w:val="0037522A"/>
    <w:rsid w:val="00375305"/>
    <w:rsid w:val="003753B8"/>
    <w:rsid w:val="00375429"/>
    <w:rsid w:val="0037546F"/>
    <w:rsid w:val="003754EE"/>
    <w:rsid w:val="00375564"/>
    <w:rsid w:val="003756B8"/>
    <w:rsid w:val="0037571A"/>
    <w:rsid w:val="00375834"/>
    <w:rsid w:val="00375943"/>
    <w:rsid w:val="00375B4F"/>
    <w:rsid w:val="00375BB7"/>
    <w:rsid w:val="00375D31"/>
    <w:rsid w:val="00375D92"/>
    <w:rsid w:val="00375DD6"/>
    <w:rsid w:val="003761DB"/>
    <w:rsid w:val="00376211"/>
    <w:rsid w:val="003762D3"/>
    <w:rsid w:val="00376310"/>
    <w:rsid w:val="003764AA"/>
    <w:rsid w:val="003765B1"/>
    <w:rsid w:val="00376697"/>
    <w:rsid w:val="003767AB"/>
    <w:rsid w:val="003768D6"/>
    <w:rsid w:val="00376926"/>
    <w:rsid w:val="003769A0"/>
    <w:rsid w:val="003769B1"/>
    <w:rsid w:val="00376A24"/>
    <w:rsid w:val="00376B2B"/>
    <w:rsid w:val="00376B83"/>
    <w:rsid w:val="00376B9D"/>
    <w:rsid w:val="00376BA8"/>
    <w:rsid w:val="00376E75"/>
    <w:rsid w:val="00376F05"/>
    <w:rsid w:val="003770C3"/>
    <w:rsid w:val="00377151"/>
    <w:rsid w:val="00377304"/>
    <w:rsid w:val="00377480"/>
    <w:rsid w:val="0037761B"/>
    <w:rsid w:val="00377667"/>
    <w:rsid w:val="0037766E"/>
    <w:rsid w:val="00377683"/>
    <w:rsid w:val="003776A7"/>
    <w:rsid w:val="003776CA"/>
    <w:rsid w:val="003777A7"/>
    <w:rsid w:val="003779B0"/>
    <w:rsid w:val="00377AD0"/>
    <w:rsid w:val="00377B16"/>
    <w:rsid w:val="00377CA6"/>
    <w:rsid w:val="00377E10"/>
    <w:rsid w:val="00377E54"/>
    <w:rsid w:val="00377E90"/>
    <w:rsid w:val="00377F4A"/>
    <w:rsid w:val="00377FD6"/>
    <w:rsid w:val="0038015A"/>
    <w:rsid w:val="00380236"/>
    <w:rsid w:val="00380249"/>
    <w:rsid w:val="00380338"/>
    <w:rsid w:val="0038038F"/>
    <w:rsid w:val="003805E9"/>
    <w:rsid w:val="003805F5"/>
    <w:rsid w:val="00380674"/>
    <w:rsid w:val="003806B7"/>
    <w:rsid w:val="00380784"/>
    <w:rsid w:val="00380823"/>
    <w:rsid w:val="003809AB"/>
    <w:rsid w:val="003809AD"/>
    <w:rsid w:val="00380BA8"/>
    <w:rsid w:val="00380C53"/>
    <w:rsid w:val="00380E03"/>
    <w:rsid w:val="00380F3A"/>
    <w:rsid w:val="003810FD"/>
    <w:rsid w:val="003811FB"/>
    <w:rsid w:val="00381357"/>
    <w:rsid w:val="003813E9"/>
    <w:rsid w:val="003816C2"/>
    <w:rsid w:val="0038189E"/>
    <w:rsid w:val="00381AD3"/>
    <w:rsid w:val="00381B94"/>
    <w:rsid w:val="00381D7C"/>
    <w:rsid w:val="00381DE1"/>
    <w:rsid w:val="00381E57"/>
    <w:rsid w:val="00381E75"/>
    <w:rsid w:val="00381F58"/>
    <w:rsid w:val="00381FE8"/>
    <w:rsid w:val="0038221F"/>
    <w:rsid w:val="003822CE"/>
    <w:rsid w:val="00382477"/>
    <w:rsid w:val="00382738"/>
    <w:rsid w:val="00382783"/>
    <w:rsid w:val="00382CDC"/>
    <w:rsid w:val="00382CED"/>
    <w:rsid w:val="0038309D"/>
    <w:rsid w:val="003830AA"/>
    <w:rsid w:val="003831D3"/>
    <w:rsid w:val="0038330F"/>
    <w:rsid w:val="003833F9"/>
    <w:rsid w:val="00383412"/>
    <w:rsid w:val="00383422"/>
    <w:rsid w:val="003834BF"/>
    <w:rsid w:val="003836C5"/>
    <w:rsid w:val="0038372D"/>
    <w:rsid w:val="00383779"/>
    <w:rsid w:val="00383880"/>
    <w:rsid w:val="00383A5C"/>
    <w:rsid w:val="00383A64"/>
    <w:rsid w:val="00383BDC"/>
    <w:rsid w:val="00383C6F"/>
    <w:rsid w:val="00383C7D"/>
    <w:rsid w:val="00383D0D"/>
    <w:rsid w:val="00383D69"/>
    <w:rsid w:val="00383E40"/>
    <w:rsid w:val="00383E9B"/>
    <w:rsid w:val="00383ED8"/>
    <w:rsid w:val="00383F48"/>
    <w:rsid w:val="00384014"/>
    <w:rsid w:val="0038413C"/>
    <w:rsid w:val="0038415A"/>
    <w:rsid w:val="003841F0"/>
    <w:rsid w:val="00384277"/>
    <w:rsid w:val="003842EA"/>
    <w:rsid w:val="00384309"/>
    <w:rsid w:val="00384404"/>
    <w:rsid w:val="00384484"/>
    <w:rsid w:val="0038455E"/>
    <w:rsid w:val="0038469C"/>
    <w:rsid w:val="00384B75"/>
    <w:rsid w:val="00384BA4"/>
    <w:rsid w:val="00384C41"/>
    <w:rsid w:val="00384C58"/>
    <w:rsid w:val="00384CED"/>
    <w:rsid w:val="0038503E"/>
    <w:rsid w:val="003851E3"/>
    <w:rsid w:val="0038546C"/>
    <w:rsid w:val="00385748"/>
    <w:rsid w:val="003859FD"/>
    <w:rsid w:val="00385B36"/>
    <w:rsid w:val="00385B70"/>
    <w:rsid w:val="00385C66"/>
    <w:rsid w:val="00385CCD"/>
    <w:rsid w:val="00385E09"/>
    <w:rsid w:val="00385E61"/>
    <w:rsid w:val="00385F65"/>
    <w:rsid w:val="00385FA9"/>
    <w:rsid w:val="003860DB"/>
    <w:rsid w:val="003862CE"/>
    <w:rsid w:val="00386331"/>
    <w:rsid w:val="003863A4"/>
    <w:rsid w:val="00386426"/>
    <w:rsid w:val="00386463"/>
    <w:rsid w:val="003865B2"/>
    <w:rsid w:val="003865F0"/>
    <w:rsid w:val="00386707"/>
    <w:rsid w:val="00386797"/>
    <w:rsid w:val="0038681E"/>
    <w:rsid w:val="00386871"/>
    <w:rsid w:val="003868F8"/>
    <w:rsid w:val="0038692C"/>
    <w:rsid w:val="00386B3D"/>
    <w:rsid w:val="00386C0D"/>
    <w:rsid w:val="00386D52"/>
    <w:rsid w:val="00386EFE"/>
    <w:rsid w:val="00386F3B"/>
    <w:rsid w:val="0038707A"/>
    <w:rsid w:val="003870CD"/>
    <w:rsid w:val="00387290"/>
    <w:rsid w:val="003872FA"/>
    <w:rsid w:val="0038731A"/>
    <w:rsid w:val="003873C4"/>
    <w:rsid w:val="00387586"/>
    <w:rsid w:val="00387621"/>
    <w:rsid w:val="00387787"/>
    <w:rsid w:val="003877D6"/>
    <w:rsid w:val="003878E5"/>
    <w:rsid w:val="00387994"/>
    <w:rsid w:val="003879D5"/>
    <w:rsid w:val="00387A81"/>
    <w:rsid w:val="00387B14"/>
    <w:rsid w:val="00387B90"/>
    <w:rsid w:val="00387C54"/>
    <w:rsid w:val="00387C74"/>
    <w:rsid w:val="00387CD2"/>
    <w:rsid w:val="00387D6D"/>
    <w:rsid w:val="00387E77"/>
    <w:rsid w:val="00387F1B"/>
    <w:rsid w:val="00387F61"/>
    <w:rsid w:val="00387FA7"/>
    <w:rsid w:val="00387FF3"/>
    <w:rsid w:val="003900B6"/>
    <w:rsid w:val="00390382"/>
    <w:rsid w:val="003903CE"/>
    <w:rsid w:val="0039046C"/>
    <w:rsid w:val="003906E9"/>
    <w:rsid w:val="003907A9"/>
    <w:rsid w:val="0039082E"/>
    <w:rsid w:val="00390977"/>
    <w:rsid w:val="003909E9"/>
    <w:rsid w:val="00390A39"/>
    <w:rsid w:val="00390AF2"/>
    <w:rsid w:val="00390C10"/>
    <w:rsid w:val="00390E34"/>
    <w:rsid w:val="00390E9E"/>
    <w:rsid w:val="00390FB6"/>
    <w:rsid w:val="00390FD6"/>
    <w:rsid w:val="0039124F"/>
    <w:rsid w:val="003914F8"/>
    <w:rsid w:val="0039158D"/>
    <w:rsid w:val="0039177D"/>
    <w:rsid w:val="003917B3"/>
    <w:rsid w:val="00391933"/>
    <w:rsid w:val="00391A6F"/>
    <w:rsid w:val="00391AAE"/>
    <w:rsid w:val="00391AE1"/>
    <w:rsid w:val="00391F24"/>
    <w:rsid w:val="00391FD3"/>
    <w:rsid w:val="00392137"/>
    <w:rsid w:val="003921C4"/>
    <w:rsid w:val="003923E5"/>
    <w:rsid w:val="00392572"/>
    <w:rsid w:val="00392608"/>
    <w:rsid w:val="00392746"/>
    <w:rsid w:val="00392774"/>
    <w:rsid w:val="00392783"/>
    <w:rsid w:val="003927F9"/>
    <w:rsid w:val="00392893"/>
    <w:rsid w:val="003929A7"/>
    <w:rsid w:val="00392AA7"/>
    <w:rsid w:val="00392E34"/>
    <w:rsid w:val="00392E4D"/>
    <w:rsid w:val="00392F0E"/>
    <w:rsid w:val="00392F37"/>
    <w:rsid w:val="00392F5C"/>
    <w:rsid w:val="00392F96"/>
    <w:rsid w:val="00393240"/>
    <w:rsid w:val="003932AF"/>
    <w:rsid w:val="003932F9"/>
    <w:rsid w:val="0039333A"/>
    <w:rsid w:val="00393421"/>
    <w:rsid w:val="0039352E"/>
    <w:rsid w:val="0039358F"/>
    <w:rsid w:val="003935C0"/>
    <w:rsid w:val="0039368A"/>
    <w:rsid w:val="003936C6"/>
    <w:rsid w:val="0039377F"/>
    <w:rsid w:val="003937FF"/>
    <w:rsid w:val="003939AF"/>
    <w:rsid w:val="003939EE"/>
    <w:rsid w:val="00393B8E"/>
    <w:rsid w:val="00393BD5"/>
    <w:rsid w:val="00393C15"/>
    <w:rsid w:val="00393D02"/>
    <w:rsid w:val="00393EDB"/>
    <w:rsid w:val="00393FA0"/>
    <w:rsid w:val="0039412D"/>
    <w:rsid w:val="003941DA"/>
    <w:rsid w:val="003942A2"/>
    <w:rsid w:val="00394366"/>
    <w:rsid w:val="003945B2"/>
    <w:rsid w:val="00394613"/>
    <w:rsid w:val="003947BE"/>
    <w:rsid w:val="003947E1"/>
    <w:rsid w:val="003947E3"/>
    <w:rsid w:val="0039496A"/>
    <w:rsid w:val="00394AB8"/>
    <w:rsid w:val="00394B23"/>
    <w:rsid w:val="00394BC3"/>
    <w:rsid w:val="00394BFB"/>
    <w:rsid w:val="00394DB1"/>
    <w:rsid w:val="00394DD7"/>
    <w:rsid w:val="00394E94"/>
    <w:rsid w:val="00394E9B"/>
    <w:rsid w:val="00394F3D"/>
    <w:rsid w:val="0039510B"/>
    <w:rsid w:val="00395169"/>
    <w:rsid w:val="003952B9"/>
    <w:rsid w:val="0039540A"/>
    <w:rsid w:val="003955AF"/>
    <w:rsid w:val="00395645"/>
    <w:rsid w:val="0039566D"/>
    <w:rsid w:val="003956E0"/>
    <w:rsid w:val="00395790"/>
    <w:rsid w:val="003957C4"/>
    <w:rsid w:val="003958B5"/>
    <w:rsid w:val="00395991"/>
    <w:rsid w:val="003959B8"/>
    <w:rsid w:val="003959C3"/>
    <w:rsid w:val="00395A19"/>
    <w:rsid w:val="00395B1C"/>
    <w:rsid w:val="00395B37"/>
    <w:rsid w:val="00395BB5"/>
    <w:rsid w:val="00395D6E"/>
    <w:rsid w:val="00395FE3"/>
    <w:rsid w:val="003960F9"/>
    <w:rsid w:val="0039614D"/>
    <w:rsid w:val="00396165"/>
    <w:rsid w:val="003961C5"/>
    <w:rsid w:val="00396252"/>
    <w:rsid w:val="0039625F"/>
    <w:rsid w:val="0039631E"/>
    <w:rsid w:val="003963A1"/>
    <w:rsid w:val="00396500"/>
    <w:rsid w:val="003968AD"/>
    <w:rsid w:val="00396ADA"/>
    <w:rsid w:val="00396C22"/>
    <w:rsid w:val="00396D3C"/>
    <w:rsid w:val="00396F10"/>
    <w:rsid w:val="00396F2D"/>
    <w:rsid w:val="0039704C"/>
    <w:rsid w:val="003970AA"/>
    <w:rsid w:val="0039712A"/>
    <w:rsid w:val="00397315"/>
    <w:rsid w:val="0039734E"/>
    <w:rsid w:val="00397411"/>
    <w:rsid w:val="003974D5"/>
    <w:rsid w:val="003975A2"/>
    <w:rsid w:val="0039763E"/>
    <w:rsid w:val="00397663"/>
    <w:rsid w:val="003976B0"/>
    <w:rsid w:val="003978B5"/>
    <w:rsid w:val="0039795F"/>
    <w:rsid w:val="00397C52"/>
    <w:rsid w:val="00397C67"/>
    <w:rsid w:val="00397CC8"/>
    <w:rsid w:val="00397D0E"/>
    <w:rsid w:val="00397E4D"/>
    <w:rsid w:val="00397F24"/>
    <w:rsid w:val="0039A9A1"/>
    <w:rsid w:val="003A01DC"/>
    <w:rsid w:val="003A02CF"/>
    <w:rsid w:val="003A0353"/>
    <w:rsid w:val="003A035F"/>
    <w:rsid w:val="003A036A"/>
    <w:rsid w:val="003A03BE"/>
    <w:rsid w:val="003A04B1"/>
    <w:rsid w:val="003A04DF"/>
    <w:rsid w:val="003A0545"/>
    <w:rsid w:val="003A06A4"/>
    <w:rsid w:val="003A0B4F"/>
    <w:rsid w:val="003A0E6D"/>
    <w:rsid w:val="003A0F1B"/>
    <w:rsid w:val="003A1037"/>
    <w:rsid w:val="003A1058"/>
    <w:rsid w:val="003A10C0"/>
    <w:rsid w:val="003A12DD"/>
    <w:rsid w:val="003A1331"/>
    <w:rsid w:val="003A1333"/>
    <w:rsid w:val="003A1397"/>
    <w:rsid w:val="003A1529"/>
    <w:rsid w:val="003A15A6"/>
    <w:rsid w:val="003A16EC"/>
    <w:rsid w:val="003A174D"/>
    <w:rsid w:val="003A1889"/>
    <w:rsid w:val="003A19C0"/>
    <w:rsid w:val="003A19C8"/>
    <w:rsid w:val="003A1A57"/>
    <w:rsid w:val="003A1A83"/>
    <w:rsid w:val="003A1B51"/>
    <w:rsid w:val="003A1BA9"/>
    <w:rsid w:val="003A1D84"/>
    <w:rsid w:val="003A1DC0"/>
    <w:rsid w:val="003A1E86"/>
    <w:rsid w:val="003A1F17"/>
    <w:rsid w:val="003A2197"/>
    <w:rsid w:val="003A2221"/>
    <w:rsid w:val="003A22A9"/>
    <w:rsid w:val="003A22CE"/>
    <w:rsid w:val="003A2455"/>
    <w:rsid w:val="003A2459"/>
    <w:rsid w:val="003A24CA"/>
    <w:rsid w:val="003A24EB"/>
    <w:rsid w:val="003A2552"/>
    <w:rsid w:val="003A25CC"/>
    <w:rsid w:val="003A25E0"/>
    <w:rsid w:val="003A2739"/>
    <w:rsid w:val="003A2796"/>
    <w:rsid w:val="003A2908"/>
    <w:rsid w:val="003A2969"/>
    <w:rsid w:val="003A29F9"/>
    <w:rsid w:val="003A2ADB"/>
    <w:rsid w:val="003A2AF6"/>
    <w:rsid w:val="003A2D49"/>
    <w:rsid w:val="003A2DAF"/>
    <w:rsid w:val="003A2E0D"/>
    <w:rsid w:val="003A2E89"/>
    <w:rsid w:val="003A2E8E"/>
    <w:rsid w:val="003A302F"/>
    <w:rsid w:val="003A30E7"/>
    <w:rsid w:val="003A311A"/>
    <w:rsid w:val="003A31E6"/>
    <w:rsid w:val="003A32AF"/>
    <w:rsid w:val="003A3439"/>
    <w:rsid w:val="003A347A"/>
    <w:rsid w:val="003A353D"/>
    <w:rsid w:val="003A3557"/>
    <w:rsid w:val="003A355C"/>
    <w:rsid w:val="003A3612"/>
    <w:rsid w:val="003A3663"/>
    <w:rsid w:val="003A369B"/>
    <w:rsid w:val="003A36ED"/>
    <w:rsid w:val="003A3794"/>
    <w:rsid w:val="003A3919"/>
    <w:rsid w:val="003A3968"/>
    <w:rsid w:val="003A39E7"/>
    <w:rsid w:val="003A3A34"/>
    <w:rsid w:val="003A3B37"/>
    <w:rsid w:val="003A3CA4"/>
    <w:rsid w:val="003A3F74"/>
    <w:rsid w:val="003A3F9C"/>
    <w:rsid w:val="003A404D"/>
    <w:rsid w:val="003A41AC"/>
    <w:rsid w:val="003A4215"/>
    <w:rsid w:val="003A4226"/>
    <w:rsid w:val="003A42C2"/>
    <w:rsid w:val="003A43FD"/>
    <w:rsid w:val="003A4504"/>
    <w:rsid w:val="003A45BE"/>
    <w:rsid w:val="003A45F7"/>
    <w:rsid w:val="003A46B6"/>
    <w:rsid w:val="003A46D8"/>
    <w:rsid w:val="003A477C"/>
    <w:rsid w:val="003A47C2"/>
    <w:rsid w:val="003A4A18"/>
    <w:rsid w:val="003A4ADD"/>
    <w:rsid w:val="003A4B03"/>
    <w:rsid w:val="003A4BE8"/>
    <w:rsid w:val="003A4C5F"/>
    <w:rsid w:val="003A4D17"/>
    <w:rsid w:val="003A4EB7"/>
    <w:rsid w:val="003A4ED0"/>
    <w:rsid w:val="003A4F84"/>
    <w:rsid w:val="003A5260"/>
    <w:rsid w:val="003A527C"/>
    <w:rsid w:val="003A530A"/>
    <w:rsid w:val="003A538E"/>
    <w:rsid w:val="003A53BF"/>
    <w:rsid w:val="003A543C"/>
    <w:rsid w:val="003A5508"/>
    <w:rsid w:val="003A55BF"/>
    <w:rsid w:val="003A56D6"/>
    <w:rsid w:val="003A56DB"/>
    <w:rsid w:val="003A581F"/>
    <w:rsid w:val="003A59B9"/>
    <w:rsid w:val="003A59F6"/>
    <w:rsid w:val="003A5A40"/>
    <w:rsid w:val="003A5BE7"/>
    <w:rsid w:val="003A5C73"/>
    <w:rsid w:val="003A5DB9"/>
    <w:rsid w:val="003A5E9A"/>
    <w:rsid w:val="003A5EB9"/>
    <w:rsid w:val="003A5F0D"/>
    <w:rsid w:val="003A5F1E"/>
    <w:rsid w:val="003A5F2A"/>
    <w:rsid w:val="003A5FC2"/>
    <w:rsid w:val="003A6063"/>
    <w:rsid w:val="003A60B0"/>
    <w:rsid w:val="003A6117"/>
    <w:rsid w:val="003A61A6"/>
    <w:rsid w:val="003A61F2"/>
    <w:rsid w:val="003A62DF"/>
    <w:rsid w:val="003A64C2"/>
    <w:rsid w:val="003A694B"/>
    <w:rsid w:val="003A69EA"/>
    <w:rsid w:val="003A6AB2"/>
    <w:rsid w:val="003A6C7F"/>
    <w:rsid w:val="003A6CCD"/>
    <w:rsid w:val="003A6F2F"/>
    <w:rsid w:val="003A6FC0"/>
    <w:rsid w:val="003A7031"/>
    <w:rsid w:val="003A706F"/>
    <w:rsid w:val="003A7152"/>
    <w:rsid w:val="003A7159"/>
    <w:rsid w:val="003A72C7"/>
    <w:rsid w:val="003A7393"/>
    <w:rsid w:val="003A73E4"/>
    <w:rsid w:val="003A742E"/>
    <w:rsid w:val="003A7581"/>
    <w:rsid w:val="003A75B5"/>
    <w:rsid w:val="003A772F"/>
    <w:rsid w:val="003A77DF"/>
    <w:rsid w:val="003A78E6"/>
    <w:rsid w:val="003A79BD"/>
    <w:rsid w:val="003A7C6C"/>
    <w:rsid w:val="003A7C6E"/>
    <w:rsid w:val="003A7ECA"/>
    <w:rsid w:val="003A7F1F"/>
    <w:rsid w:val="003A7F74"/>
    <w:rsid w:val="003B0015"/>
    <w:rsid w:val="003B00C8"/>
    <w:rsid w:val="003B02C2"/>
    <w:rsid w:val="003B02DD"/>
    <w:rsid w:val="003B0333"/>
    <w:rsid w:val="003B0365"/>
    <w:rsid w:val="003B0421"/>
    <w:rsid w:val="003B047C"/>
    <w:rsid w:val="003B04DB"/>
    <w:rsid w:val="003B0595"/>
    <w:rsid w:val="003B081A"/>
    <w:rsid w:val="003B0831"/>
    <w:rsid w:val="003B0935"/>
    <w:rsid w:val="003B094C"/>
    <w:rsid w:val="003B09BC"/>
    <w:rsid w:val="003B0A35"/>
    <w:rsid w:val="003B0A7F"/>
    <w:rsid w:val="003B0BF3"/>
    <w:rsid w:val="003B0C23"/>
    <w:rsid w:val="003B0C53"/>
    <w:rsid w:val="003B0C6E"/>
    <w:rsid w:val="003B0C77"/>
    <w:rsid w:val="003B0D58"/>
    <w:rsid w:val="003B0E0E"/>
    <w:rsid w:val="003B0E8B"/>
    <w:rsid w:val="003B0EB8"/>
    <w:rsid w:val="003B0ED7"/>
    <w:rsid w:val="003B0EEB"/>
    <w:rsid w:val="003B0F1B"/>
    <w:rsid w:val="003B0F33"/>
    <w:rsid w:val="003B0F69"/>
    <w:rsid w:val="003B10E9"/>
    <w:rsid w:val="003B128A"/>
    <w:rsid w:val="003B1304"/>
    <w:rsid w:val="003B131F"/>
    <w:rsid w:val="003B1330"/>
    <w:rsid w:val="003B13A2"/>
    <w:rsid w:val="003B144F"/>
    <w:rsid w:val="003B1504"/>
    <w:rsid w:val="003B1507"/>
    <w:rsid w:val="003B17AA"/>
    <w:rsid w:val="003B186D"/>
    <w:rsid w:val="003B1A6F"/>
    <w:rsid w:val="003B1BA3"/>
    <w:rsid w:val="003B1D73"/>
    <w:rsid w:val="003B1D7C"/>
    <w:rsid w:val="003B1E74"/>
    <w:rsid w:val="003B2013"/>
    <w:rsid w:val="003B2203"/>
    <w:rsid w:val="003B228A"/>
    <w:rsid w:val="003B2390"/>
    <w:rsid w:val="003B2412"/>
    <w:rsid w:val="003B244F"/>
    <w:rsid w:val="003B24F8"/>
    <w:rsid w:val="003B25FD"/>
    <w:rsid w:val="003B2614"/>
    <w:rsid w:val="003B2642"/>
    <w:rsid w:val="003B278D"/>
    <w:rsid w:val="003B27D7"/>
    <w:rsid w:val="003B2859"/>
    <w:rsid w:val="003B2958"/>
    <w:rsid w:val="003B2A72"/>
    <w:rsid w:val="003B2A7B"/>
    <w:rsid w:val="003B2B7D"/>
    <w:rsid w:val="003B2D80"/>
    <w:rsid w:val="003B2DAE"/>
    <w:rsid w:val="003B2DD7"/>
    <w:rsid w:val="003B2E16"/>
    <w:rsid w:val="003B2EAF"/>
    <w:rsid w:val="003B2F6C"/>
    <w:rsid w:val="003B3220"/>
    <w:rsid w:val="003B32A6"/>
    <w:rsid w:val="003B32CC"/>
    <w:rsid w:val="003B3401"/>
    <w:rsid w:val="003B36DB"/>
    <w:rsid w:val="003B36EB"/>
    <w:rsid w:val="003B3763"/>
    <w:rsid w:val="003B3A09"/>
    <w:rsid w:val="003B3A26"/>
    <w:rsid w:val="003B3C6E"/>
    <w:rsid w:val="003B3D29"/>
    <w:rsid w:val="003B3DC6"/>
    <w:rsid w:val="003B3DFE"/>
    <w:rsid w:val="003B3F0D"/>
    <w:rsid w:val="003B3FBF"/>
    <w:rsid w:val="003B405D"/>
    <w:rsid w:val="003B40AB"/>
    <w:rsid w:val="003B4253"/>
    <w:rsid w:val="003B42A0"/>
    <w:rsid w:val="003B42EF"/>
    <w:rsid w:val="003B430F"/>
    <w:rsid w:val="003B43A3"/>
    <w:rsid w:val="003B4624"/>
    <w:rsid w:val="003B46B7"/>
    <w:rsid w:val="003B4719"/>
    <w:rsid w:val="003B474F"/>
    <w:rsid w:val="003B4754"/>
    <w:rsid w:val="003B4837"/>
    <w:rsid w:val="003B48A0"/>
    <w:rsid w:val="003B4B71"/>
    <w:rsid w:val="003B4BF1"/>
    <w:rsid w:val="003B4D81"/>
    <w:rsid w:val="003B4DBA"/>
    <w:rsid w:val="003B4E84"/>
    <w:rsid w:val="003B4F3A"/>
    <w:rsid w:val="003B51C5"/>
    <w:rsid w:val="003B546A"/>
    <w:rsid w:val="003B5577"/>
    <w:rsid w:val="003B5608"/>
    <w:rsid w:val="003B569F"/>
    <w:rsid w:val="003B5737"/>
    <w:rsid w:val="003B5752"/>
    <w:rsid w:val="003B5753"/>
    <w:rsid w:val="003B57D1"/>
    <w:rsid w:val="003B57D9"/>
    <w:rsid w:val="003B5A04"/>
    <w:rsid w:val="003B5A6D"/>
    <w:rsid w:val="003B5C5E"/>
    <w:rsid w:val="003B5C99"/>
    <w:rsid w:val="003B5DA9"/>
    <w:rsid w:val="003B5F55"/>
    <w:rsid w:val="003B5FAA"/>
    <w:rsid w:val="003B6106"/>
    <w:rsid w:val="003B62D6"/>
    <w:rsid w:val="003B63C0"/>
    <w:rsid w:val="003B66F4"/>
    <w:rsid w:val="003B6886"/>
    <w:rsid w:val="003B68E4"/>
    <w:rsid w:val="003B699B"/>
    <w:rsid w:val="003B6D5B"/>
    <w:rsid w:val="003B6DEB"/>
    <w:rsid w:val="003B6E0E"/>
    <w:rsid w:val="003B6E3C"/>
    <w:rsid w:val="003B6F0B"/>
    <w:rsid w:val="003B6F80"/>
    <w:rsid w:val="003B6F93"/>
    <w:rsid w:val="003B6FC1"/>
    <w:rsid w:val="003B7015"/>
    <w:rsid w:val="003B7036"/>
    <w:rsid w:val="003B7172"/>
    <w:rsid w:val="003B7283"/>
    <w:rsid w:val="003B72A5"/>
    <w:rsid w:val="003B72D0"/>
    <w:rsid w:val="003B741D"/>
    <w:rsid w:val="003B749F"/>
    <w:rsid w:val="003B74D1"/>
    <w:rsid w:val="003B7631"/>
    <w:rsid w:val="003B76D2"/>
    <w:rsid w:val="003B7722"/>
    <w:rsid w:val="003B789A"/>
    <w:rsid w:val="003B7AA1"/>
    <w:rsid w:val="003B7BB6"/>
    <w:rsid w:val="003B7C97"/>
    <w:rsid w:val="003B7DD3"/>
    <w:rsid w:val="003B7E09"/>
    <w:rsid w:val="003B7E24"/>
    <w:rsid w:val="003B7E55"/>
    <w:rsid w:val="003B7FB6"/>
    <w:rsid w:val="003C0057"/>
    <w:rsid w:val="003C014A"/>
    <w:rsid w:val="003C029E"/>
    <w:rsid w:val="003C0442"/>
    <w:rsid w:val="003C04F6"/>
    <w:rsid w:val="003C0542"/>
    <w:rsid w:val="003C0663"/>
    <w:rsid w:val="003C06A8"/>
    <w:rsid w:val="003C0796"/>
    <w:rsid w:val="003C0A1E"/>
    <w:rsid w:val="003C0B1C"/>
    <w:rsid w:val="003C0B22"/>
    <w:rsid w:val="003C0B2D"/>
    <w:rsid w:val="003C0B37"/>
    <w:rsid w:val="003C0B84"/>
    <w:rsid w:val="003C0BB0"/>
    <w:rsid w:val="003C0CC7"/>
    <w:rsid w:val="003C0CF3"/>
    <w:rsid w:val="003C0F2F"/>
    <w:rsid w:val="003C0F83"/>
    <w:rsid w:val="003C10A0"/>
    <w:rsid w:val="003C12BD"/>
    <w:rsid w:val="003C15C6"/>
    <w:rsid w:val="003C1854"/>
    <w:rsid w:val="003C19FE"/>
    <w:rsid w:val="003C1A5C"/>
    <w:rsid w:val="003C1A6C"/>
    <w:rsid w:val="003C1AA2"/>
    <w:rsid w:val="003C1AEB"/>
    <w:rsid w:val="003C1C88"/>
    <w:rsid w:val="003C1CA8"/>
    <w:rsid w:val="003C1D63"/>
    <w:rsid w:val="003C1DA9"/>
    <w:rsid w:val="003C1DF2"/>
    <w:rsid w:val="003C1FA9"/>
    <w:rsid w:val="003C2030"/>
    <w:rsid w:val="003C2043"/>
    <w:rsid w:val="003C2090"/>
    <w:rsid w:val="003C2152"/>
    <w:rsid w:val="003C2350"/>
    <w:rsid w:val="003C23E1"/>
    <w:rsid w:val="003C24E2"/>
    <w:rsid w:val="003C27EE"/>
    <w:rsid w:val="003C2962"/>
    <w:rsid w:val="003C29F4"/>
    <w:rsid w:val="003C2A55"/>
    <w:rsid w:val="003C2A7E"/>
    <w:rsid w:val="003C2AC0"/>
    <w:rsid w:val="003C2D04"/>
    <w:rsid w:val="003C2E5F"/>
    <w:rsid w:val="003C2F46"/>
    <w:rsid w:val="003C2F6C"/>
    <w:rsid w:val="003C306A"/>
    <w:rsid w:val="003C31CD"/>
    <w:rsid w:val="003C3229"/>
    <w:rsid w:val="003C32FD"/>
    <w:rsid w:val="003C37F4"/>
    <w:rsid w:val="003C381E"/>
    <w:rsid w:val="003C38E2"/>
    <w:rsid w:val="003C39B4"/>
    <w:rsid w:val="003C3B01"/>
    <w:rsid w:val="003C3B35"/>
    <w:rsid w:val="003C3C88"/>
    <w:rsid w:val="003C3D13"/>
    <w:rsid w:val="003C3D37"/>
    <w:rsid w:val="003C3DEA"/>
    <w:rsid w:val="003C3E36"/>
    <w:rsid w:val="003C3E44"/>
    <w:rsid w:val="003C3EA6"/>
    <w:rsid w:val="003C3F0D"/>
    <w:rsid w:val="003C400A"/>
    <w:rsid w:val="003C40EF"/>
    <w:rsid w:val="003C4185"/>
    <w:rsid w:val="003C41D9"/>
    <w:rsid w:val="003C42AE"/>
    <w:rsid w:val="003C4311"/>
    <w:rsid w:val="003C43D0"/>
    <w:rsid w:val="003C43E5"/>
    <w:rsid w:val="003C44CE"/>
    <w:rsid w:val="003C4535"/>
    <w:rsid w:val="003C4632"/>
    <w:rsid w:val="003C4649"/>
    <w:rsid w:val="003C4970"/>
    <w:rsid w:val="003C4CB4"/>
    <w:rsid w:val="003C4E2B"/>
    <w:rsid w:val="003C4EA5"/>
    <w:rsid w:val="003C4F5C"/>
    <w:rsid w:val="003C4F7A"/>
    <w:rsid w:val="003C5108"/>
    <w:rsid w:val="003C51A8"/>
    <w:rsid w:val="003C521D"/>
    <w:rsid w:val="003C538C"/>
    <w:rsid w:val="003C589E"/>
    <w:rsid w:val="003C58D6"/>
    <w:rsid w:val="003C58E5"/>
    <w:rsid w:val="003C5A1E"/>
    <w:rsid w:val="003C5A23"/>
    <w:rsid w:val="003C5B3A"/>
    <w:rsid w:val="003C5E05"/>
    <w:rsid w:val="003C5E28"/>
    <w:rsid w:val="003C5EA7"/>
    <w:rsid w:val="003C5F0D"/>
    <w:rsid w:val="003C5F2E"/>
    <w:rsid w:val="003C5F5C"/>
    <w:rsid w:val="003C5F74"/>
    <w:rsid w:val="003C6029"/>
    <w:rsid w:val="003C6091"/>
    <w:rsid w:val="003C6123"/>
    <w:rsid w:val="003C61B5"/>
    <w:rsid w:val="003C61F7"/>
    <w:rsid w:val="003C628C"/>
    <w:rsid w:val="003C645A"/>
    <w:rsid w:val="003C66C1"/>
    <w:rsid w:val="003C66D7"/>
    <w:rsid w:val="003C6775"/>
    <w:rsid w:val="003C6978"/>
    <w:rsid w:val="003C69D3"/>
    <w:rsid w:val="003C6C13"/>
    <w:rsid w:val="003C6C17"/>
    <w:rsid w:val="003C6C27"/>
    <w:rsid w:val="003C6ED8"/>
    <w:rsid w:val="003C6EEE"/>
    <w:rsid w:val="003C7034"/>
    <w:rsid w:val="003C7091"/>
    <w:rsid w:val="003C7110"/>
    <w:rsid w:val="003C7111"/>
    <w:rsid w:val="003C7187"/>
    <w:rsid w:val="003C718F"/>
    <w:rsid w:val="003C7227"/>
    <w:rsid w:val="003C724E"/>
    <w:rsid w:val="003C72D9"/>
    <w:rsid w:val="003C75CF"/>
    <w:rsid w:val="003C77EA"/>
    <w:rsid w:val="003C79C8"/>
    <w:rsid w:val="003C7A8E"/>
    <w:rsid w:val="003C7B43"/>
    <w:rsid w:val="003C7D75"/>
    <w:rsid w:val="003C7E20"/>
    <w:rsid w:val="003C7EFA"/>
    <w:rsid w:val="003C7F60"/>
    <w:rsid w:val="003D0029"/>
    <w:rsid w:val="003D005D"/>
    <w:rsid w:val="003D0074"/>
    <w:rsid w:val="003D00D2"/>
    <w:rsid w:val="003D01F9"/>
    <w:rsid w:val="003D02A1"/>
    <w:rsid w:val="003D031D"/>
    <w:rsid w:val="003D042F"/>
    <w:rsid w:val="003D0471"/>
    <w:rsid w:val="003D0683"/>
    <w:rsid w:val="003D06C2"/>
    <w:rsid w:val="003D091E"/>
    <w:rsid w:val="003D0960"/>
    <w:rsid w:val="003D0A54"/>
    <w:rsid w:val="003D0D04"/>
    <w:rsid w:val="003D0D33"/>
    <w:rsid w:val="003D0DFE"/>
    <w:rsid w:val="003D112A"/>
    <w:rsid w:val="003D117D"/>
    <w:rsid w:val="003D1192"/>
    <w:rsid w:val="003D1241"/>
    <w:rsid w:val="003D1285"/>
    <w:rsid w:val="003D12C6"/>
    <w:rsid w:val="003D1302"/>
    <w:rsid w:val="003D1424"/>
    <w:rsid w:val="003D142D"/>
    <w:rsid w:val="003D1470"/>
    <w:rsid w:val="003D14D1"/>
    <w:rsid w:val="003D14D2"/>
    <w:rsid w:val="003D150C"/>
    <w:rsid w:val="003D151B"/>
    <w:rsid w:val="003D16A4"/>
    <w:rsid w:val="003D16BE"/>
    <w:rsid w:val="003D16E9"/>
    <w:rsid w:val="003D172A"/>
    <w:rsid w:val="003D1754"/>
    <w:rsid w:val="003D1771"/>
    <w:rsid w:val="003D1786"/>
    <w:rsid w:val="003D1BAD"/>
    <w:rsid w:val="003D1C68"/>
    <w:rsid w:val="003D1DF6"/>
    <w:rsid w:val="003D1E06"/>
    <w:rsid w:val="003D1E37"/>
    <w:rsid w:val="003D1F21"/>
    <w:rsid w:val="003D1FD0"/>
    <w:rsid w:val="003D1FDA"/>
    <w:rsid w:val="003D202A"/>
    <w:rsid w:val="003D207B"/>
    <w:rsid w:val="003D20E5"/>
    <w:rsid w:val="003D2106"/>
    <w:rsid w:val="003D21B9"/>
    <w:rsid w:val="003D2204"/>
    <w:rsid w:val="003D22AA"/>
    <w:rsid w:val="003D2339"/>
    <w:rsid w:val="003D244B"/>
    <w:rsid w:val="003D250F"/>
    <w:rsid w:val="003D25E2"/>
    <w:rsid w:val="003D27D7"/>
    <w:rsid w:val="003D2817"/>
    <w:rsid w:val="003D28B3"/>
    <w:rsid w:val="003D2981"/>
    <w:rsid w:val="003D29C1"/>
    <w:rsid w:val="003D2B68"/>
    <w:rsid w:val="003D2D57"/>
    <w:rsid w:val="003D2F41"/>
    <w:rsid w:val="003D2F5F"/>
    <w:rsid w:val="003D2F76"/>
    <w:rsid w:val="003D2F92"/>
    <w:rsid w:val="003D31E3"/>
    <w:rsid w:val="003D329D"/>
    <w:rsid w:val="003D32A1"/>
    <w:rsid w:val="003D3312"/>
    <w:rsid w:val="003D331A"/>
    <w:rsid w:val="003D33C7"/>
    <w:rsid w:val="003D33D6"/>
    <w:rsid w:val="003D34D0"/>
    <w:rsid w:val="003D3574"/>
    <w:rsid w:val="003D35A8"/>
    <w:rsid w:val="003D35C4"/>
    <w:rsid w:val="003D377C"/>
    <w:rsid w:val="003D3817"/>
    <w:rsid w:val="003D3A07"/>
    <w:rsid w:val="003D3B8A"/>
    <w:rsid w:val="003D3BC6"/>
    <w:rsid w:val="003D3C52"/>
    <w:rsid w:val="003D3C5C"/>
    <w:rsid w:val="003D3C8F"/>
    <w:rsid w:val="003D3D64"/>
    <w:rsid w:val="003D4005"/>
    <w:rsid w:val="003D417A"/>
    <w:rsid w:val="003D41B0"/>
    <w:rsid w:val="003D41E4"/>
    <w:rsid w:val="003D43A3"/>
    <w:rsid w:val="003D44E4"/>
    <w:rsid w:val="003D45AD"/>
    <w:rsid w:val="003D45C9"/>
    <w:rsid w:val="003D462D"/>
    <w:rsid w:val="003D4694"/>
    <w:rsid w:val="003D46AA"/>
    <w:rsid w:val="003D46AB"/>
    <w:rsid w:val="003D46DA"/>
    <w:rsid w:val="003D474D"/>
    <w:rsid w:val="003D4902"/>
    <w:rsid w:val="003D4989"/>
    <w:rsid w:val="003D49C3"/>
    <w:rsid w:val="003D49E4"/>
    <w:rsid w:val="003D4D24"/>
    <w:rsid w:val="003D4D9C"/>
    <w:rsid w:val="003D4DE5"/>
    <w:rsid w:val="003D4E02"/>
    <w:rsid w:val="003D4EC3"/>
    <w:rsid w:val="003D4FFA"/>
    <w:rsid w:val="003D50D1"/>
    <w:rsid w:val="003D5168"/>
    <w:rsid w:val="003D5214"/>
    <w:rsid w:val="003D5313"/>
    <w:rsid w:val="003D542E"/>
    <w:rsid w:val="003D5438"/>
    <w:rsid w:val="003D5534"/>
    <w:rsid w:val="003D553D"/>
    <w:rsid w:val="003D5562"/>
    <w:rsid w:val="003D55F2"/>
    <w:rsid w:val="003D566F"/>
    <w:rsid w:val="003D56BD"/>
    <w:rsid w:val="003D5A84"/>
    <w:rsid w:val="003D5AF9"/>
    <w:rsid w:val="003D5BA6"/>
    <w:rsid w:val="003D5C3E"/>
    <w:rsid w:val="003D5C97"/>
    <w:rsid w:val="003D5D78"/>
    <w:rsid w:val="003D5E99"/>
    <w:rsid w:val="003D5F0D"/>
    <w:rsid w:val="003D61DF"/>
    <w:rsid w:val="003D6365"/>
    <w:rsid w:val="003D6553"/>
    <w:rsid w:val="003D6576"/>
    <w:rsid w:val="003D65C4"/>
    <w:rsid w:val="003D6643"/>
    <w:rsid w:val="003D697E"/>
    <w:rsid w:val="003D6B18"/>
    <w:rsid w:val="003D6C8C"/>
    <w:rsid w:val="003D6D2E"/>
    <w:rsid w:val="003D6F2D"/>
    <w:rsid w:val="003D7063"/>
    <w:rsid w:val="003D715D"/>
    <w:rsid w:val="003D7203"/>
    <w:rsid w:val="003D725E"/>
    <w:rsid w:val="003D728E"/>
    <w:rsid w:val="003D7353"/>
    <w:rsid w:val="003D73A0"/>
    <w:rsid w:val="003D7442"/>
    <w:rsid w:val="003D75A1"/>
    <w:rsid w:val="003D7746"/>
    <w:rsid w:val="003D7776"/>
    <w:rsid w:val="003D77B2"/>
    <w:rsid w:val="003D78DA"/>
    <w:rsid w:val="003D7B02"/>
    <w:rsid w:val="003D7CA5"/>
    <w:rsid w:val="003D7F8A"/>
    <w:rsid w:val="003E0029"/>
    <w:rsid w:val="003E00F2"/>
    <w:rsid w:val="003E0150"/>
    <w:rsid w:val="003E030B"/>
    <w:rsid w:val="003E04BA"/>
    <w:rsid w:val="003E04DE"/>
    <w:rsid w:val="003E05EA"/>
    <w:rsid w:val="003E05F1"/>
    <w:rsid w:val="003E0607"/>
    <w:rsid w:val="003E0665"/>
    <w:rsid w:val="003E06FC"/>
    <w:rsid w:val="003E094A"/>
    <w:rsid w:val="003E0986"/>
    <w:rsid w:val="003E0A76"/>
    <w:rsid w:val="003E0D2F"/>
    <w:rsid w:val="003E0DF1"/>
    <w:rsid w:val="003E0F43"/>
    <w:rsid w:val="003E0F85"/>
    <w:rsid w:val="003E1003"/>
    <w:rsid w:val="003E1012"/>
    <w:rsid w:val="003E101E"/>
    <w:rsid w:val="003E116E"/>
    <w:rsid w:val="003E124F"/>
    <w:rsid w:val="003E12F0"/>
    <w:rsid w:val="003E13C8"/>
    <w:rsid w:val="003E14AA"/>
    <w:rsid w:val="003E14AB"/>
    <w:rsid w:val="003E14DE"/>
    <w:rsid w:val="003E14E4"/>
    <w:rsid w:val="003E14E7"/>
    <w:rsid w:val="003E152E"/>
    <w:rsid w:val="003E17CE"/>
    <w:rsid w:val="003E1965"/>
    <w:rsid w:val="003E1DB2"/>
    <w:rsid w:val="003E20A9"/>
    <w:rsid w:val="003E20D0"/>
    <w:rsid w:val="003E213C"/>
    <w:rsid w:val="003E215F"/>
    <w:rsid w:val="003E2202"/>
    <w:rsid w:val="003E242D"/>
    <w:rsid w:val="003E2493"/>
    <w:rsid w:val="003E24C8"/>
    <w:rsid w:val="003E25D5"/>
    <w:rsid w:val="003E2619"/>
    <w:rsid w:val="003E2A49"/>
    <w:rsid w:val="003E2AA0"/>
    <w:rsid w:val="003E2AD1"/>
    <w:rsid w:val="003E2BE1"/>
    <w:rsid w:val="003E2C3C"/>
    <w:rsid w:val="003E2DA2"/>
    <w:rsid w:val="003E2F89"/>
    <w:rsid w:val="003E303C"/>
    <w:rsid w:val="003E3049"/>
    <w:rsid w:val="003E307B"/>
    <w:rsid w:val="003E316F"/>
    <w:rsid w:val="003E31A0"/>
    <w:rsid w:val="003E324D"/>
    <w:rsid w:val="003E328E"/>
    <w:rsid w:val="003E32E5"/>
    <w:rsid w:val="003E32E7"/>
    <w:rsid w:val="003E32F0"/>
    <w:rsid w:val="003E346B"/>
    <w:rsid w:val="003E34EE"/>
    <w:rsid w:val="003E36E1"/>
    <w:rsid w:val="003E3732"/>
    <w:rsid w:val="003E3752"/>
    <w:rsid w:val="003E37E0"/>
    <w:rsid w:val="003E3970"/>
    <w:rsid w:val="003E399A"/>
    <w:rsid w:val="003E3A6E"/>
    <w:rsid w:val="003E3BFB"/>
    <w:rsid w:val="003E3DBF"/>
    <w:rsid w:val="003E3FEA"/>
    <w:rsid w:val="003E40A6"/>
    <w:rsid w:val="003E4240"/>
    <w:rsid w:val="003E42AF"/>
    <w:rsid w:val="003E433D"/>
    <w:rsid w:val="003E440B"/>
    <w:rsid w:val="003E469E"/>
    <w:rsid w:val="003E49AC"/>
    <w:rsid w:val="003E49EC"/>
    <w:rsid w:val="003E4A39"/>
    <w:rsid w:val="003E4AC1"/>
    <w:rsid w:val="003E4B83"/>
    <w:rsid w:val="003E4D4D"/>
    <w:rsid w:val="003E4D91"/>
    <w:rsid w:val="003E4E42"/>
    <w:rsid w:val="003E4FFD"/>
    <w:rsid w:val="003E5033"/>
    <w:rsid w:val="003E5070"/>
    <w:rsid w:val="003E50B8"/>
    <w:rsid w:val="003E50C6"/>
    <w:rsid w:val="003E5235"/>
    <w:rsid w:val="003E54D1"/>
    <w:rsid w:val="003E5802"/>
    <w:rsid w:val="003E59A0"/>
    <w:rsid w:val="003E59CF"/>
    <w:rsid w:val="003E5A7E"/>
    <w:rsid w:val="003E5B6A"/>
    <w:rsid w:val="003E5CB3"/>
    <w:rsid w:val="003E5D9F"/>
    <w:rsid w:val="003E5F8B"/>
    <w:rsid w:val="003E60D8"/>
    <w:rsid w:val="003E6201"/>
    <w:rsid w:val="003E6329"/>
    <w:rsid w:val="003E63A6"/>
    <w:rsid w:val="003E6470"/>
    <w:rsid w:val="003E64B7"/>
    <w:rsid w:val="003E663E"/>
    <w:rsid w:val="003E677A"/>
    <w:rsid w:val="003E6A75"/>
    <w:rsid w:val="003E6B54"/>
    <w:rsid w:val="003E6D45"/>
    <w:rsid w:val="003E6FD5"/>
    <w:rsid w:val="003E7054"/>
    <w:rsid w:val="003E7281"/>
    <w:rsid w:val="003E73C9"/>
    <w:rsid w:val="003E73E6"/>
    <w:rsid w:val="003E743B"/>
    <w:rsid w:val="003E7455"/>
    <w:rsid w:val="003E758B"/>
    <w:rsid w:val="003E7789"/>
    <w:rsid w:val="003E78E2"/>
    <w:rsid w:val="003E78F9"/>
    <w:rsid w:val="003E7989"/>
    <w:rsid w:val="003E7B41"/>
    <w:rsid w:val="003E7C18"/>
    <w:rsid w:val="003E7FC9"/>
    <w:rsid w:val="003EA5F3"/>
    <w:rsid w:val="003F021C"/>
    <w:rsid w:val="003F0272"/>
    <w:rsid w:val="003F04EB"/>
    <w:rsid w:val="003F0561"/>
    <w:rsid w:val="003F06B5"/>
    <w:rsid w:val="003F07BD"/>
    <w:rsid w:val="003F07DE"/>
    <w:rsid w:val="003F08B1"/>
    <w:rsid w:val="003F0A74"/>
    <w:rsid w:val="003F0A8B"/>
    <w:rsid w:val="003F0E0A"/>
    <w:rsid w:val="003F0E43"/>
    <w:rsid w:val="003F1031"/>
    <w:rsid w:val="003F1036"/>
    <w:rsid w:val="003F1129"/>
    <w:rsid w:val="003F1160"/>
    <w:rsid w:val="003F1286"/>
    <w:rsid w:val="003F1325"/>
    <w:rsid w:val="003F13B7"/>
    <w:rsid w:val="003F14B3"/>
    <w:rsid w:val="003F1501"/>
    <w:rsid w:val="003F16A0"/>
    <w:rsid w:val="003F16CA"/>
    <w:rsid w:val="003F16F0"/>
    <w:rsid w:val="003F17DE"/>
    <w:rsid w:val="003F1819"/>
    <w:rsid w:val="003F1967"/>
    <w:rsid w:val="003F1ADE"/>
    <w:rsid w:val="003F1C1C"/>
    <w:rsid w:val="003F1CBC"/>
    <w:rsid w:val="003F1D50"/>
    <w:rsid w:val="003F1DE8"/>
    <w:rsid w:val="003F1EDF"/>
    <w:rsid w:val="003F1F5B"/>
    <w:rsid w:val="003F1FF7"/>
    <w:rsid w:val="003F206C"/>
    <w:rsid w:val="003F2098"/>
    <w:rsid w:val="003F20BC"/>
    <w:rsid w:val="003F2149"/>
    <w:rsid w:val="003F217D"/>
    <w:rsid w:val="003F22B2"/>
    <w:rsid w:val="003F272E"/>
    <w:rsid w:val="003F276F"/>
    <w:rsid w:val="003F2966"/>
    <w:rsid w:val="003F29C3"/>
    <w:rsid w:val="003F2B21"/>
    <w:rsid w:val="003F2BF2"/>
    <w:rsid w:val="003F2CDB"/>
    <w:rsid w:val="003F2CF6"/>
    <w:rsid w:val="003F2DEE"/>
    <w:rsid w:val="003F2FC9"/>
    <w:rsid w:val="003F30AF"/>
    <w:rsid w:val="003F3197"/>
    <w:rsid w:val="003F328D"/>
    <w:rsid w:val="003F33C6"/>
    <w:rsid w:val="003F3611"/>
    <w:rsid w:val="003F370B"/>
    <w:rsid w:val="003F3805"/>
    <w:rsid w:val="003F3878"/>
    <w:rsid w:val="003F3A0D"/>
    <w:rsid w:val="003F3B20"/>
    <w:rsid w:val="003F3C8E"/>
    <w:rsid w:val="003F3CB1"/>
    <w:rsid w:val="003F3D24"/>
    <w:rsid w:val="003F3D2C"/>
    <w:rsid w:val="003F3D45"/>
    <w:rsid w:val="003F3EFC"/>
    <w:rsid w:val="003F3FDB"/>
    <w:rsid w:val="003F428E"/>
    <w:rsid w:val="003F4293"/>
    <w:rsid w:val="003F432F"/>
    <w:rsid w:val="003F4467"/>
    <w:rsid w:val="003F450C"/>
    <w:rsid w:val="003F4552"/>
    <w:rsid w:val="003F463E"/>
    <w:rsid w:val="003F4659"/>
    <w:rsid w:val="003F46F9"/>
    <w:rsid w:val="003F4702"/>
    <w:rsid w:val="003F47B5"/>
    <w:rsid w:val="003F48B1"/>
    <w:rsid w:val="003F48C4"/>
    <w:rsid w:val="003F49BC"/>
    <w:rsid w:val="003F49C5"/>
    <w:rsid w:val="003F4B62"/>
    <w:rsid w:val="003F4C61"/>
    <w:rsid w:val="003F4D22"/>
    <w:rsid w:val="003F4D2B"/>
    <w:rsid w:val="003F4D34"/>
    <w:rsid w:val="003F4E5E"/>
    <w:rsid w:val="003F4F73"/>
    <w:rsid w:val="003F507D"/>
    <w:rsid w:val="003F5158"/>
    <w:rsid w:val="003F518D"/>
    <w:rsid w:val="003F5221"/>
    <w:rsid w:val="003F5285"/>
    <w:rsid w:val="003F53D2"/>
    <w:rsid w:val="003F53D8"/>
    <w:rsid w:val="003F5490"/>
    <w:rsid w:val="003F5572"/>
    <w:rsid w:val="003F5658"/>
    <w:rsid w:val="003F57CA"/>
    <w:rsid w:val="003F57F3"/>
    <w:rsid w:val="003F5B9C"/>
    <w:rsid w:val="003F5BB1"/>
    <w:rsid w:val="003F5C5B"/>
    <w:rsid w:val="003F5C64"/>
    <w:rsid w:val="003F5D9B"/>
    <w:rsid w:val="003F5E03"/>
    <w:rsid w:val="003F5ECF"/>
    <w:rsid w:val="003F5EE1"/>
    <w:rsid w:val="003F5FB7"/>
    <w:rsid w:val="003F600B"/>
    <w:rsid w:val="003F6147"/>
    <w:rsid w:val="003F61B1"/>
    <w:rsid w:val="003F62CC"/>
    <w:rsid w:val="003F62D3"/>
    <w:rsid w:val="003F6315"/>
    <w:rsid w:val="003F6375"/>
    <w:rsid w:val="003F644F"/>
    <w:rsid w:val="003F64AA"/>
    <w:rsid w:val="003F6601"/>
    <w:rsid w:val="003F66EE"/>
    <w:rsid w:val="003F6747"/>
    <w:rsid w:val="003F67A1"/>
    <w:rsid w:val="003F687D"/>
    <w:rsid w:val="003F69AC"/>
    <w:rsid w:val="003F6A70"/>
    <w:rsid w:val="003F6A7E"/>
    <w:rsid w:val="003F6B38"/>
    <w:rsid w:val="003F6C28"/>
    <w:rsid w:val="003F6C66"/>
    <w:rsid w:val="003F6CB4"/>
    <w:rsid w:val="003F6CF6"/>
    <w:rsid w:val="003F6D85"/>
    <w:rsid w:val="003F6EB2"/>
    <w:rsid w:val="003F6EC0"/>
    <w:rsid w:val="003F7063"/>
    <w:rsid w:val="003F71ED"/>
    <w:rsid w:val="003F731F"/>
    <w:rsid w:val="003F7445"/>
    <w:rsid w:val="003F74D5"/>
    <w:rsid w:val="003F74EA"/>
    <w:rsid w:val="003F75AA"/>
    <w:rsid w:val="003F76A5"/>
    <w:rsid w:val="003F7994"/>
    <w:rsid w:val="003F7A2F"/>
    <w:rsid w:val="003F7A90"/>
    <w:rsid w:val="003F7B47"/>
    <w:rsid w:val="003F7B5E"/>
    <w:rsid w:val="003F7C4E"/>
    <w:rsid w:val="003F7CF4"/>
    <w:rsid w:val="003F7DA1"/>
    <w:rsid w:val="003F7F6E"/>
    <w:rsid w:val="00400079"/>
    <w:rsid w:val="0040008F"/>
    <w:rsid w:val="004000E5"/>
    <w:rsid w:val="0040018F"/>
    <w:rsid w:val="004001B7"/>
    <w:rsid w:val="004002A5"/>
    <w:rsid w:val="004006E5"/>
    <w:rsid w:val="004006F5"/>
    <w:rsid w:val="00400883"/>
    <w:rsid w:val="00400A0B"/>
    <w:rsid w:val="00400A0D"/>
    <w:rsid w:val="00400B89"/>
    <w:rsid w:val="00400C43"/>
    <w:rsid w:val="00400CA1"/>
    <w:rsid w:val="00400DEF"/>
    <w:rsid w:val="00400EB1"/>
    <w:rsid w:val="00400EC0"/>
    <w:rsid w:val="00401043"/>
    <w:rsid w:val="00401182"/>
    <w:rsid w:val="004011CF"/>
    <w:rsid w:val="00401308"/>
    <w:rsid w:val="0040139A"/>
    <w:rsid w:val="0040147E"/>
    <w:rsid w:val="004014A1"/>
    <w:rsid w:val="00401572"/>
    <w:rsid w:val="004015BA"/>
    <w:rsid w:val="004016D7"/>
    <w:rsid w:val="0040181D"/>
    <w:rsid w:val="00401949"/>
    <w:rsid w:val="00401C51"/>
    <w:rsid w:val="00401CE8"/>
    <w:rsid w:val="00401D97"/>
    <w:rsid w:val="00401DAE"/>
    <w:rsid w:val="00401F16"/>
    <w:rsid w:val="00402018"/>
    <w:rsid w:val="00402045"/>
    <w:rsid w:val="004020B3"/>
    <w:rsid w:val="004020F4"/>
    <w:rsid w:val="0040215C"/>
    <w:rsid w:val="004021A7"/>
    <w:rsid w:val="0040226A"/>
    <w:rsid w:val="004022AB"/>
    <w:rsid w:val="00402336"/>
    <w:rsid w:val="004023FC"/>
    <w:rsid w:val="004024EB"/>
    <w:rsid w:val="004025ED"/>
    <w:rsid w:val="00402840"/>
    <w:rsid w:val="00402866"/>
    <w:rsid w:val="0040291D"/>
    <w:rsid w:val="00402A84"/>
    <w:rsid w:val="00402AA4"/>
    <w:rsid w:val="00402B98"/>
    <w:rsid w:val="00402C86"/>
    <w:rsid w:val="00402D98"/>
    <w:rsid w:val="00402E1E"/>
    <w:rsid w:val="00402E46"/>
    <w:rsid w:val="00402EEE"/>
    <w:rsid w:val="00402F96"/>
    <w:rsid w:val="00403291"/>
    <w:rsid w:val="004033CF"/>
    <w:rsid w:val="0040363D"/>
    <w:rsid w:val="0040369F"/>
    <w:rsid w:val="004037A4"/>
    <w:rsid w:val="004037C2"/>
    <w:rsid w:val="00403926"/>
    <w:rsid w:val="00403A21"/>
    <w:rsid w:val="00403B09"/>
    <w:rsid w:val="00403BB8"/>
    <w:rsid w:val="00403C1D"/>
    <w:rsid w:val="00403D66"/>
    <w:rsid w:val="00403DD7"/>
    <w:rsid w:val="00403EDF"/>
    <w:rsid w:val="00403FD9"/>
    <w:rsid w:val="004041F7"/>
    <w:rsid w:val="004042BA"/>
    <w:rsid w:val="004042CC"/>
    <w:rsid w:val="0040431D"/>
    <w:rsid w:val="00404334"/>
    <w:rsid w:val="004044AE"/>
    <w:rsid w:val="004044FD"/>
    <w:rsid w:val="00404532"/>
    <w:rsid w:val="004045A7"/>
    <w:rsid w:val="004045E7"/>
    <w:rsid w:val="004045E8"/>
    <w:rsid w:val="0040473D"/>
    <w:rsid w:val="0040489B"/>
    <w:rsid w:val="00404991"/>
    <w:rsid w:val="004049E7"/>
    <w:rsid w:val="00404A29"/>
    <w:rsid w:val="00404B20"/>
    <w:rsid w:val="00405066"/>
    <w:rsid w:val="004050D5"/>
    <w:rsid w:val="004050E1"/>
    <w:rsid w:val="00405203"/>
    <w:rsid w:val="00405233"/>
    <w:rsid w:val="004052DD"/>
    <w:rsid w:val="004053F5"/>
    <w:rsid w:val="0040543B"/>
    <w:rsid w:val="00405471"/>
    <w:rsid w:val="00405477"/>
    <w:rsid w:val="00405524"/>
    <w:rsid w:val="00405537"/>
    <w:rsid w:val="00405670"/>
    <w:rsid w:val="004056D6"/>
    <w:rsid w:val="004057FB"/>
    <w:rsid w:val="0040584B"/>
    <w:rsid w:val="00405905"/>
    <w:rsid w:val="00405A78"/>
    <w:rsid w:val="00405BDA"/>
    <w:rsid w:val="00405C1F"/>
    <w:rsid w:val="00405C84"/>
    <w:rsid w:val="00405D48"/>
    <w:rsid w:val="00405E17"/>
    <w:rsid w:val="00405F7B"/>
    <w:rsid w:val="00406004"/>
    <w:rsid w:val="00406137"/>
    <w:rsid w:val="004061EE"/>
    <w:rsid w:val="00406397"/>
    <w:rsid w:val="004065D5"/>
    <w:rsid w:val="004065DB"/>
    <w:rsid w:val="0040663A"/>
    <w:rsid w:val="00406678"/>
    <w:rsid w:val="00406726"/>
    <w:rsid w:val="004068CC"/>
    <w:rsid w:val="00406AC5"/>
    <w:rsid w:val="00406B0D"/>
    <w:rsid w:val="00406BDB"/>
    <w:rsid w:val="00406C6C"/>
    <w:rsid w:val="00406D09"/>
    <w:rsid w:val="00406E6B"/>
    <w:rsid w:val="00406F13"/>
    <w:rsid w:val="00406FB7"/>
    <w:rsid w:val="00406FBA"/>
    <w:rsid w:val="00406FF3"/>
    <w:rsid w:val="0040709E"/>
    <w:rsid w:val="004071FE"/>
    <w:rsid w:val="00407315"/>
    <w:rsid w:val="00407457"/>
    <w:rsid w:val="00407716"/>
    <w:rsid w:val="00407851"/>
    <w:rsid w:val="00407B9A"/>
    <w:rsid w:val="00407BC1"/>
    <w:rsid w:val="00407C67"/>
    <w:rsid w:val="00407C8D"/>
    <w:rsid w:val="00407E4F"/>
    <w:rsid w:val="00407EC8"/>
    <w:rsid w:val="00407F34"/>
    <w:rsid w:val="00407F35"/>
    <w:rsid w:val="00407F6E"/>
    <w:rsid w:val="00410049"/>
    <w:rsid w:val="004100B0"/>
    <w:rsid w:val="00410183"/>
    <w:rsid w:val="0041058C"/>
    <w:rsid w:val="004105A6"/>
    <w:rsid w:val="004105AA"/>
    <w:rsid w:val="004105C6"/>
    <w:rsid w:val="00410756"/>
    <w:rsid w:val="004109B9"/>
    <w:rsid w:val="00410C0A"/>
    <w:rsid w:val="00410C86"/>
    <w:rsid w:val="00410DEB"/>
    <w:rsid w:val="00410E77"/>
    <w:rsid w:val="00410FD9"/>
    <w:rsid w:val="0041112D"/>
    <w:rsid w:val="00411137"/>
    <w:rsid w:val="00411220"/>
    <w:rsid w:val="0041123D"/>
    <w:rsid w:val="00411266"/>
    <w:rsid w:val="00411334"/>
    <w:rsid w:val="00411547"/>
    <w:rsid w:val="00411645"/>
    <w:rsid w:val="00411804"/>
    <w:rsid w:val="00411827"/>
    <w:rsid w:val="004118A5"/>
    <w:rsid w:val="0041190A"/>
    <w:rsid w:val="00411967"/>
    <w:rsid w:val="0041196D"/>
    <w:rsid w:val="004119E1"/>
    <w:rsid w:val="00411A3F"/>
    <w:rsid w:val="00411ABE"/>
    <w:rsid w:val="00411AEE"/>
    <w:rsid w:val="00411B48"/>
    <w:rsid w:val="00411BF0"/>
    <w:rsid w:val="00411C24"/>
    <w:rsid w:val="00411C5E"/>
    <w:rsid w:val="00411C94"/>
    <w:rsid w:val="00411CAE"/>
    <w:rsid w:val="00411ED4"/>
    <w:rsid w:val="0041237B"/>
    <w:rsid w:val="004123CE"/>
    <w:rsid w:val="00412461"/>
    <w:rsid w:val="0041250E"/>
    <w:rsid w:val="0041257F"/>
    <w:rsid w:val="004126A7"/>
    <w:rsid w:val="004126B9"/>
    <w:rsid w:val="00412AED"/>
    <w:rsid w:val="00412B1A"/>
    <w:rsid w:val="00412B48"/>
    <w:rsid w:val="00412B74"/>
    <w:rsid w:val="00412B77"/>
    <w:rsid w:val="00412BF1"/>
    <w:rsid w:val="00413172"/>
    <w:rsid w:val="0041325B"/>
    <w:rsid w:val="00413293"/>
    <w:rsid w:val="00413436"/>
    <w:rsid w:val="004134A5"/>
    <w:rsid w:val="00413517"/>
    <w:rsid w:val="00413541"/>
    <w:rsid w:val="004137A8"/>
    <w:rsid w:val="0041380D"/>
    <w:rsid w:val="00413810"/>
    <w:rsid w:val="0041381F"/>
    <w:rsid w:val="0041388E"/>
    <w:rsid w:val="004139BA"/>
    <w:rsid w:val="00413A70"/>
    <w:rsid w:val="00413AB5"/>
    <w:rsid w:val="00413B07"/>
    <w:rsid w:val="00413CC2"/>
    <w:rsid w:val="00413D87"/>
    <w:rsid w:val="00413EBB"/>
    <w:rsid w:val="00413F5A"/>
    <w:rsid w:val="00414040"/>
    <w:rsid w:val="00414053"/>
    <w:rsid w:val="004140E0"/>
    <w:rsid w:val="00414105"/>
    <w:rsid w:val="0041410D"/>
    <w:rsid w:val="00414129"/>
    <w:rsid w:val="00414137"/>
    <w:rsid w:val="00414198"/>
    <w:rsid w:val="00414199"/>
    <w:rsid w:val="0041439A"/>
    <w:rsid w:val="004143AD"/>
    <w:rsid w:val="004143B5"/>
    <w:rsid w:val="0041450D"/>
    <w:rsid w:val="0041457C"/>
    <w:rsid w:val="00414711"/>
    <w:rsid w:val="00414823"/>
    <w:rsid w:val="00414A0A"/>
    <w:rsid w:val="00414A59"/>
    <w:rsid w:val="00414AB8"/>
    <w:rsid w:val="00414B1B"/>
    <w:rsid w:val="00414BA8"/>
    <w:rsid w:val="00414D44"/>
    <w:rsid w:val="00414D99"/>
    <w:rsid w:val="00414E68"/>
    <w:rsid w:val="00414EE4"/>
    <w:rsid w:val="00414F0F"/>
    <w:rsid w:val="00414F1D"/>
    <w:rsid w:val="00414F30"/>
    <w:rsid w:val="00414F36"/>
    <w:rsid w:val="00414FED"/>
    <w:rsid w:val="00415235"/>
    <w:rsid w:val="004152FA"/>
    <w:rsid w:val="004155BD"/>
    <w:rsid w:val="00415643"/>
    <w:rsid w:val="0041566E"/>
    <w:rsid w:val="00415692"/>
    <w:rsid w:val="004156D7"/>
    <w:rsid w:val="004156FD"/>
    <w:rsid w:val="00415808"/>
    <w:rsid w:val="004158FC"/>
    <w:rsid w:val="00415A77"/>
    <w:rsid w:val="00415BAA"/>
    <w:rsid w:val="00415BC1"/>
    <w:rsid w:val="00415C74"/>
    <w:rsid w:val="00415ED8"/>
    <w:rsid w:val="00415F44"/>
    <w:rsid w:val="0041608C"/>
    <w:rsid w:val="004160E5"/>
    <w:rsid w:val="00416125"/>
    <w:rsid w:val="00416136"/>
    <w:rsid w:val="00416313"/>
    <w:rsid w:val="004163B5"/>
    <w:rsid w:val="00416445"/>
    <w:rsid w:val="0041661C"/>
    <w:rsid w:val="0041663D"/>
    <w:rsid w:val="004166E7"/>
    <w:rsid w:val="00416713"/>
    <w:rsid w:val="00416A4A"/>
    <w:rsid w:val="00416C87"/>
    <w:rsid w:val="00416D4F"/>
    <w:rsid w:val="00416EA0"/>
    <w:rsid w:val="00416F33"/>
    <w:rsid w:val="0041707A"/>
    <w:rsid w:val="004170BF"/>
    <w:rsid w:val="0041716E"/>
    <w:rsid w:val="004171A3"/>
    <w:rsid w:val="004171DF"/>
    <w:rsid w:val="0041726F"/>
    <w:rsid w:val="00417417"/>
    <w:rsid w:val="00417545"/>
    <w:rsid w:val="0041775E"/>
    <w:rsid w:val="0041794F"/>
    <w:rsid w:val="004179D7"/>
    <w:rsid w:val="00417B20"/>
    <w:rsid w:val="00417B24"/>
    <w:rsid w:val="00417BE5"/>
    <w:rsid w:val="00417C1C"/>
    <w:rsid w:val="00417D15"/>
    <w:rsid w:val="00417DF3"/>
    <w:rsid w:val="00417F36"/>
    <w:rsid w:val="00420008"/>
    <w:rsid w:val="004201B6"/>
    <w:rsid w:val="00420303"/>
    <w:rsid w:val="00420358"/>
    <w:rsid w:val="004205CD"/>
    <w:rsid w:val="004205D4"/>
    <w:rsid w:val="00420619"/>
    <w:rsid w:val="00420749"/>
    <w:rsid w:val="00420883"/>
    <w:rsid w:val="0042099D"/>
    <w:rsid w:val="004209C6"/>
    <w:rsid w:val="004209F4"/>
    <w:rsid w:val="00420A2B"/>
    <w:rsid w:val="00420C47"/>
    <w:rsid w:val="00420CD1"/>
    <w:rsid w:val="00420D61"/>
    <w:rsid w:val="00420EA8"/>
    <w:rsid w:val="00420EFA"/>
    <w:rsid w:val="00420F6D"/>
    <w:rsid w:val="0042108E"/>
    <w:rsid w:val="004210CB"/>
    <w:rsid w:val="00421216"/>
    <w:rsid w:val="004212F5"/>
    <w:rsid w:val="0042131D"/>
    <w:rsid w:val="00421477"/>
    <w:rsid w:val="00421534"/>
    <w:rsid w:val="00421612"/>
    <w:rsid w:val="0042162C"/>
    <w:rsid w:val="004216EF"/>
    <w:rsid w:val="00421727"/>
    <w:rsid w:val="004217C5"/>
    <w:rsid w:val="0042181D"/>
    <w:rsid w:val="00421899"/>
    <w:rsid w:val="00421B53"/>
    <w:rsid w:val="00421C83"/>
    <w:rsid w:val="00421CA0"/>
    <w:rsid w:val="00421D90"/>
    <w:rsid w:val="00421DE1"/>
    <w:rsid w:val="00422305"/>
    <w:rsid w:val="00422365"/>
    <w:rsid w:val="004224C3"/>
    <w:rsid w:val="00422631"/>
    <w:rsid w:val="00422712"/>
    <w:rsid w:val="0042272D"/>
    <w:rsid w:val="00422739"/>
    <w:rsid w:val="0042294B"/>
    <w:rsid w:val="00422B51"/>
    <w:rsid w:val="00422B7E"/>
    <w:rsid w:val="00422B92"/>
    <w:rsid w:val="00422BA6"/>
    <w:rsid w:val="00422CB4"/>
    <w:rsid w:val="00422CDF"/>
    <w:rsid w:val="00422E32"/>
    <w:rsid w:val="0042305F"/>
    <w:rsid w:val="004230EC"/>
    <w:rsid w:val="00423230"/>
    <w:rsid w:val="004232B1"/>
    <w:rsid w:val="004233D9"/>
    <w:rsid w:val="00423403"/>
    <w:rsid w:val="0042340D"/>
    <w:rsid w:val="004234E3"/>
    <w:rsid w:val="004235D1"/>
    <w:rsid w:val="00423603"/>
    <w:rsid w:val="00423637"/>
    <w:rsid w:val="004237C2"/>
    <w:rsid w:val="00423873"/>
    <w:rsid w:val="00423890"/>
    <w:rsid w:val="00423917"/>
    <w:rsid w:val="0042398A"/>
    <w:rsid w:val="00423AF6"/>
    <w:rsid w:val="00423B09"/>
    <w:rsid w:val="00423B51"/>
    <w:rsid w:val="00423C8A"/>
    <w:rsid w:val="00424016"/>
    <w:rsid w:val="00424068"/>
    <w:rsid w:val="004240A1"/>
    <w:rsid w:val="0042426B"/>
    <w:rsid w:val="004242F3"/>
    <w:rsid w:val="004243AE"/>
    <w:rsid w:val="004244CC"/>
    <w:rsid w:val="004244CE"/>
    <w:rsid w:val="004245C2"/>
    <w:rsid w:val="004245DA"/>
    <w:rsid w:val="00424885"/>
    <w:rsid w:val="0042496D"/>
    <w:rsid w:val="0042497D"/>
    <w:rsid w:val="00424AB5"/>
    <w:rsid w:val="00424AF0"/>
    <w:rsid w:val="00424C7D"/>
    <w:rsid w:val="00424CCA"/>
    <w:rsid w:val="00424D21"/>
    <w:rsid w:val="00424D8D"/>
    <w:rsid w:val="00424DE3"/>
    <w:rsid w:val="00424F75"/>
    <w:rsid w:val="00425009"/>
    <w:rsid w:val="004250AE"/>
    <w:rsid w:val="0042519F"/>
    <w:rsid w:val="0042521C"/>
    <w:rsid w:val="004252BA"/>
    <w:rsid w:val="004252C4"/>
    <w:rsid w:val="004252F4"/>
    <w:rsid w:val="004255F4"/>
    <w:rsid w:val="00425655"/>
    <w:rsid w:val="0042565A"/>
    <w:rsid w:val="004258CD"/>
    <w:rsid w:val="00425955"/>
    <w:rsid w:val="0042599F"/>
    <w:rsid w:val="00425A94"/>
    <w:rsid w:val="00425A95"/>
    <w:rsid w:val="00425B31"/>
    <w:rsid w:val="00425B72"/>
    <w:rsid w:val="00425D63"/>
    <w:rsid w:val="00425D80"/>
    <w:rsid w:val="00425DAB"/>
    <w:rsid w:val="00425F23"/>
    <w:rsid w:val="00425F7F"/>
    <w:rsid w:val="00425FE7"/>
    <w:rsid w:val="004260C5"/>
    <w:rsid w:val="004260DD"/>
    <w:rsid w:val="0042639A"/>
    <w:rsid w:val="00426425"/>
    <w:rsid w:val="004264B0"/>
    <w:rsid w:val="00426592"/>
    <w:rsid w:val="00426633"/>
    <w:rsid w:val="00426720"/>
    <w:rsid w:val="004267A5"/>
    <w:rsid w:val="004267F4"/>
    <w:rsid w:val="00426922"/>
    <w:rsid w:val="004269E4"/>
    <w:rsid w:val="00426D29"/>
    <w:rsid w:val="00426E05"/>
    <w:rsid w:val="00426E72"/>
    <w:rsid w:val="00426F19"/>
    <w:rsid w:val="00426FF6"/>
    <w:rsid w:val="00426FFA"/>
    <w:rsid w:val="00427022"/>
    <w:rsid w:val="004270F9"/>
    <w:rsid w:val="00427107"/>
    <w:rsid w:val="004271B7"/>
    <w:rsid w:val="00427253"/>
    <w:rsid w:val="00427270"/>
    <w:rsid w:val="00427299"/>
    <w:rsid w:val="0042734B"/>
    <w:rsid w:val="0042748D"/>
    <w:rsid w:val="004274D9"/>
    <w:rsid w:val="00427515"/>
    <w:rsid w:val="00427591"/>
    <w:rsid w:val="004277C4"/>
    <w:rsid w:val="00427819"/>
    <w:rsid w:val="0042786D"/>
    <w:rsid w:val="004278DD"/>
    <w:rsid w:val="0042792C"/>
    <w:rsid w:val="00427950"/>
    <w:rsid w:val="004279AF"/>
    <w:rsid w:val="00427B00"/>
    <w:rsid w:val="00427B06"/>
    <w:rsid w:val="00427CBF"/>
    <w:rsid w:val="00427DED"/>
    <w:rsid w:val="004301CB"/>
    <w:rsid w:val="004301DF"/>
    <w:rsid w:val="004304E0"/>
    <w:rsid w:val="00430704"/>
    <w:rsid w:val="004307DB"/>
    <w:rsid w:val="0043085C"/>
    <w:rsid w:val="0043091C"/>
    <w:rsid w:val="00430A7D"/>
    <w:rsid w:val="00430AA8"/>
    <w:rsid w:val="00430AFF"/>
    <w:rsid w:val="00430B2B"/>
    <w:rsid w:val="00430C54"/>
    <w:rsid w:val="00430D94"/>
    <w:rsid w:val="00430DA4"/>
    <w:rsid w:val="00430DB5"/>
    <w:rsid w:val="00430E96"/>
    <w:rsid w:val="00430F69"/>
    <w:rsid w:val="00431039"/>
    <w:rsid w:val="0043106A"/>
    <w:rsid w:val="004310C6"/>
    <w:rsid w:val="00431226"/>
    <w:rsid w:val="004312A1"/>
    <w:rsid w:val="00431324"/>
    <w:rsid w:val="00431371"/>
    <w:rsid w:val="004313AC"/>
    <w:rsid w:val="00431410"/>
    <w:rsid w:val="004315B4"/>
    <w:rsid w:val="00431739"/>
    <w:rsid w:val="00431773"/>
    <w:rsid w:val="004317AA"/>
    <w:rsid w:val="004317CC"/>
    <w:rsid w:val="004317F6"/>
    <w:rsid w:val="00431945"/>
    <w:rsid w:val="00431A7F"/>
    <w:rsid w:val="00431A82"/>
    <w:rsid w:val="00431AE8"/>
    <w:rsid w:val="00431D24"/>
    <w:rsid w:val="00431EE0"/>
    <w:rsid w:val="00431FD0"/>
    <w:rsid w:val="00432105"/>
    <w:rsid w:val="00432168"/>
    <w:rsid w:val="00432199"/>
    <w:rsid w:val="00432229"/>
    <w:rsid w:val="004322AB"/>
    <w:rsid w:val="004323A1"/>
    <w:rsid w:val="0043240C"/>
    <w:rsid w:val="0043241B"/>
    <w:rsid w:val="00432443"/>
    <w:rsid w:val="004325FE"/>
    <w:rsid w:val="004326D9"/>
    <w:rsid w:val="00432878"/>
    <w:rsid w:val="00432A86"/>
    <w:rsid w:val="00432C14"/>
    <w:rsid w:val="00432D69"/>
    <w:rsid w:val="00432DA5"/>
    <w:rsid w:val="00432DED"/>
    <w:rsid w:val="00432F17"/>
    <w:rsid w:val="00432FB6"/>
    <w:rsid w:val="004333BE"/>
    <w:rsid w:val="004335B6"/>
    <w:rsid w:val="00433724"/>
    <w:rsid w:val="0043378F"/>
    <w:rsid w:val="00433806"/>
    <w:rsid w:val="00433894"/>
    <w:rsid w:val="004338E4"/>
    <w:rsid w:val="00433924"/>
    <w:rsid w:val="00433B80"/>
    <w:rsid w:val="00433B8C"/>
    <w:rsid w:val="00433BA4"/>
    <w:rsid w:val="00433C46"/>
    <w:rsid w:val="00433CA2"/>
    <w:rsid w:val="00433E96"/>
    <w:rsid w:val="00433EF4"/>
    <w:rsid w:val="00433F25"/>
    <w:rsid w:val="00434024"/>
    <w:rsid w:val="0043402E"/>
    <w:rsid w:val="004340E6"/>
    <w:rsid w:val="0043410C"/>
    <w:rsid w:val="004342FC"/>
    <w:rsid w:val="004345CD"/>
    <w:rsid w:val="00434606"/>
    <w:rsid w:val="00434680"/>
    <w:rsid w:val="00434A02"/>
    <w:rsid w:val="00434B32"/>
    <w:rsid w:val="00434BBA"/>
    <w:rsid w:val="00434BF3"/>
    <w:rsid w:val="00434C09"/>
    <w:rsid w:val="00434C28"/>
    <w:rsid w:val="00434EE4"/>
    <w:rsid w:val="00434FCD"/>
    <w:rsid w:val="00434FD2"/>
    <w:rsid w:val="00435018"/>
    <w:rsid w:val="0043504F"/>
    <w:rsid w:val="0043505C"/>
    <w:rsid w:val="00435080"/>
    <w:rsid w:val="004350FB"/>
    <w:rsid w:val="004351DC"/>
    <w:rsid w:val="0043529C"/>
    <w:rsid w:val="004352A3"/>
    <w:rsid w:val="004353D2"/>
    <w:rsid w:val="004354DC"/>
    <w:rsid w:val="004355D6"/>
    <w:rsid w:val="0043565C"/>
    <w:rsid w:val="00435740"/>
    <w:rsid w:val="004357EB"/>
    <w:rsid w:val="004359DF"/>
    <w:rsid w:val="00435A99"/>
    <w:rsid w:val="00435B79"/>
    <w:rsid w:val="00435C6A"/>
    <w:rsid w:val="00435CD1"/>
    <w:rsid w:val="00435CD4"/>
    <w:rsid w:val="00435EE0"/>
    <w:rsid w:val="00435EFD"/>
    <w:rsid w:val="0043614B"/>
    <w:rsid w:val="004362BE"/>
    <w:rsid w:val="00436366"/>
    <w:rsid w:val="00436380"/>
    <w:rsid w:val="00436575"/>
    <w:rsid w:val="004365D9"/>
    <w:rsid w:val="004368FE"/>
    <w:rsid w:val="00436972"/>
    <w:rsid w:val="00436A3C"/>
    <w:rsid w:val="00436AD0"/>
    <w:rsid w:val="00436BC6"/>
    <w:rsid w:val="00436C60"/>
    <w:rsid w:val="00436D16"/>
    <w:rsid w:val="00436D46"/>
    <w:rsid w:val="00436D91"/>
    <w:rsid w:val="00436DF4"/>
    <w:rsid w:val="00436E7D"/>
    <w:rsid w:val="00436F14"/>
    <w:rsid w:val="00436F54"/>
    <w:rsid w:val="00436F98"/>
    <w:rsid w:val="00436FFD"/>
    <w:rsid w:val="004373D4"/>
    <w:rsid w:val="00437750"/>
    <w:rsid w:val="004377ED"/>
    <w:rsid w:val="00437875"/>
    <w:rsid w:val="004379A5"/>
    <w:rsid w:val="00437A01"/>
    <w:rsid w:val="00437A37"/>
    <w:rsid w:val="00437AC8"/>
    <w:rsid w:val="00437B04"/>
    <w:rsid w:val="00437B5D"/>
    <w:rsid w:val="00437B7C"/>
    <w:rsid w:val="00437BBD"/>
    <w:rsid w:val="00437C33"/>
    <w:rsid w:val="00437C5A"/>
    <w:rsid w:val="00437CEE"/>
    <w:rsid w:val="00437D31"/>
    <w:rsid w:val="00437D3C"/>
    <w:rsid w:val="00437DF7"/>
    <w:rsid w:val="00437F60"/>
    <w:rsid w:val="00440068"/>
    <w:rsid w:val="00440087"/>
    <w:rsid w:val="004400B8"/>
    <w:rsid w:val="00440155"/>
    <w:rsid w:val="00440212"/>
    <w:rsid w:val="00440219"/>
    <w:rsid w:val="004402E8"/>
    <w:rsid w:val="0044036D"/>
    <w:rsid w:val="004403C2"/>
    <w:rsid w:val="00440401"/>
    <w:rsid w:val="0044057F"/>
    <w:rsid w:val="004405DA"/>
    <w:rsid w:val="0044062F"/>
    <w:rsid w:val="0044065F"/>
    <w:rsid w:val="00440667"/>
    <w:rsid w:val="00440682"/>
    <w:rsid w:val="004407EA"/>
    <w:rsid w:val="00440811"/>
    <w:rsid w:val="004408FA"/>
    <w:rsid w:val="00440925"/>
    <w:rsid w:val="00440B75"/>
    <w:rsid w:val="00440BEB"/>
    <w:rsid w:val="00440C87"/>
    <w:rsid w:val="00440DA1"/>
    <w:rsid w:val="00440F03"/>
    <w:rsid w:val="00441404"/>
    <w:rsid w:val="00441627"/>
    <w:rsid w:val="0044169F"/>
    <w:rsid w:val="004416CF"/>
    <w:rsid w:val="00441742"/>
    <w:rsid w:val="00441759"/>
    <w:rsid w:val="0044180B"/>
    <w:rsid w:val="00441821"/>
    <w:rsid w:val="0044188C"/>
    <w:rsid w:val="00441A43"/>
    <w:rsid w:val="00441A94"/>
    <w:rsid w:val="00441BD5"/>
    <w:rsid w:val="00441BFD"/>
    <w:rsid w:val="00441CEB"/>
    <w:rsid w:val="00441F12"/>
    <w:rsid w:val="00441F87"/>
    <w:rsid w:val="00442079"/>
    <w:rsid w:val="004421FD"/>
    <w:rsid w:val="00442220"/>
    <w:rsid w:val="004424D4"/>
    <w:rsid w:val="00442552"/>
    <w:rsid w:val="00442608"/>
    <w:rsid w:val="0044262A"/>
    <w:rsid w:val="004427FB"/>
    <w:rsid w:val="00442976"/>
    <w:rsid w:val="00442990"/>
    <w:rsid w:val="00442A0C"/>
    <w:rsid w:val="00442AE1"/>
    <w:rsid w:val="00442B3C"/>
    <w:rsid w:val="00442C33"/>
    <w:rsid w:val="00442D01"/>
    <w:rsid w:val="00442E0C"/>
    <w:rsid w:val="00442E64"/>
    <w:rsid w:val="004430A3"/>
    <w:rsid w:val="004433D2"/>
    <w:rsid w:val="004433D8"/>
    <w:rsid w:val="0044341F"/>
    <w:rsid w:val="004434BC"/>
    <w:rsid w:val="00443528"/>
    <w:rsid w:val="0044354E"/>
    <w:rsid w:val="00443710"/>
    <w:rsid w:val="00443835"/>
    <w:rsid w:val="00443A94"/>
    <w:rsid w:val="00443BB6"/>
    <w:rsid w:val="00443C43"/>
    <w:rsid w:val="00443C47"/>
    <w:rsid w:val="00443E94"/>
    <w:rsid w:val="00443FD3"/>
    <w:rsid w:val="00444052"/>
    <w:rsid w:val="004440AB"/>
    <w:rsid w:val="004440E5"/>
    <w:rsid w:val="00444341"/>
    <w:rsid w:val="0044443F"/>
    <w:rsid w:val="00444493"/>
    <w:rsid w:val="004444DB"/>
    <w:rsid w:val="00444779"/>
    <w:rsid w:val="004447A6"/>
    <w:rsid w:val="004448DA"/>
    <w:rsid w:val="00444AA8"/>
    <w:rsid w:val="00444B27"/>
    <w:rsid w:val="00444C38"/>
    <w:rsid w:val="00444E02"/>
    <w:rsid w:val="00444E99"/>
    <w:rsid w:val="00444FB2"/>
    <w:rsid w:val="00445062"/>
    <w:rsid w:val="00445123"/>
    <w:rsid w:val="004451B5"/>
    <w:rsid w:val="004452B2"/>
    <w:rsid w:val="004452BC"/>
    <w:rsid w:val="00445314"/>
    <w:rsid w:val="004453DE"/>
    <w:rsid w:val="0044541D"/>
    <w:rsid w:val="00445513"/>
    <w:rsid w:val="00445594"/>
    <w:rsid w:val="0044569E"/>
    <w:rsid w:val="004456B2"/>
    <w:rsid w:val="004456B6"/>
    <w:rsid w:val="0044570F"/>
    <w:rsid w:val="00445830"/>
    <w:rsid w:val="00445835"/>
    <w:rsid w:val="00445A3F"/>
    <w:rsid w:val="00445A9D"/>
    <w:rsid w:val="00445B9B"/>
    <w:rsid w:val="00445E6E"/>
    <w:rsid w:val="00445F9C"/>
    <w:rsid w:val="00446000"/>
    <w:rsid w:val="004462A1"/>
    <w:rsid w:val="00446442"/>
    <w:rsid w:val="0044649C"/>
    <w:rsid w:val="004464EA"/>
    <w:rsid w:val="0044659A"/>
    <w:rsid w:val="004465A8"/>
    <w:rsid w:val="0044675C"/>
    <w:rsid w:val="00446823"/>
    <w:rsid w:val="00446917"/>
    <w:rsid w:val="00446A2A"/>
    <w:rsid w:val="00446B6C"/>
    <w:rsid w:val="00446CBD"/>
    <w:rsid w:val="00446DB7"/>
    <w:rsid w:val="00446E77"/>
    <w:rsid w:val="00446F6F"/>
    <w:rsid w:val="00446FCA"/>
    <w:rsid w:val="00447060"/>
    <w:rsid w:val="004470B7"/>
    <w:rsid w:val="00447320"/>
    <w:rsid w:val="0044741B"/>
    <w:rsid w:val="004479BB"/>
    <w:rsid w:val="00447BC8"/>
    <w:rsid w:val="00447C9A"/>
    <w:rsid w:val="00447DCE"/>
    <w:rsid w:val="00447EEE"/>
    <w:rsid w:val="00447F4B"/>
    <w:rsid w:val="004500FE"/>
    <w:rsid w:val="00450166"/>
    <w:rsid w:val="004503B9"/>
    <w:rsid w:val="004503D9"/>
    <w:rsid w:val="0045048B"/>
    <w:rsid w:val="00450544"/>
    <w:rsid w:val="0045054D"/>
    <w:rsid w:val="004505E3"/>
    <w:rsid w:val="00450823"/>
    <w:rsid w:val="00450857"/>
    <w:rsid w:val="004509A5"/>
    <w:rsid w:val="004509BC"/>
    <w:rsid w:val="00450B56"/>
    <w:rsid w:val="00450BF8"/>
    <w:rsid w:val="00450C98"/>
    <w:rsid w:val="00450D8F"/>
    <w:rsid w:val="00450E3A"/>
    <w:rsid w:val="00450ED3"/>
    <w:rsid w:val="00450F4C"/>
    <w:rsid w:val="00450FAB"/>
    <w:rsid w:val="00450FB8"/>
    <w:rsid w:val="00451000"/>
    <w:rsid w:val="00451031"/>
    <w:rsid w:val="004510B4"/>
    <w:rsid w:val="004511AB"/>
    <w:rsid w:val="004511CB"/>
    <w:rsid w:val="004511DB"/>
    <w:rsid w:val="004512EC"/>
    <w:rsid w:val="0045135D"/>
    <w:rsid w:val="00451383"/>
    <w:rsid w:val="004513AD"/>
    <w:rsid w:val="004513F2"/>
    <w:rsid w:val="00451592"/>
    <w:rsid w:val="004515B1"/>
    <w:rsid w:val="004516D4"/>
    <w:rsid w:val="004516EC"/>
    <w:rsid w:val="00451723"/>
    <w:rsid w:val="00451773"/>
    <w:rsid w:val="0045182E"/>
    <w:rsid w:val="00451893"/>
    <w:rsid w:val="00451957"/>
    <w:rsid w:val="00451A86"/>
    <w:rsid w:val="00451BBD"/>
    <w:rsid w:val="00451C87"/>
    <w:rsid w:val="00451CB0"/>
    <w:rsid w:val="00451E1C"/>
    <w:rsid w:val="00451E4F"/>
    <w:rsid w:val="00451F21"/>
    <w:rsid w:val="00451F44"/>
    <w:rsid w:val="00451FF7"/>
    <w:rsid w:val="004521D0"/>
    <w:rsid w:val="0045240A"/>
    <w:rsid w:val="0045241D"/>
    <w:rsid w:val="004526D2"/>
    <w:rsid w:val="004527F7"/>
    <w:rsid w:val="004528EB"/>
    <w:rsid w:val="004528F4"/>
    <w:rsid w:val="00452A19"/>
    <w:rsid w:val="00452AED"/>
    <w:rsid w:val="00452B42"/>
    <w:rsid w:val="00452B47"/>
    <w:rsid w:val="00452B71"/>
    <w:rsid w:val="00452C14"/>
    <w:rsid w:val="00452F87"/>
    <w:rsid w:val="00453037"/>
    <w:rsid w:val="0045306B"/>
    <w:rsid w:val="00453090"/>
    <w:rsid w:val="00453233"/>
    <w:rsid w:val="00453236"/>
    <w:rsid w:val="004532A9"/>
    <w:rsid w:val="00453350"/>
    <w:rsid w:val="0045336E"/>
    <w:rsid w:val="0045337B"/>
    <w:rsid w:val="00453503"/>
    <w:rsid w:val="004535A1"/>
    <w:rsid w:val="0045368E"/>
    <w:rsid w:val="004537E1"/>
    <w:rsid w:val="004537E9"/>
    <w:rsid w:val="0045381B"/>
    <w:rsid w:val="0045383E"/>
    <w:rsid w:val="00453935"/>
    <w:rsid w:val="00453A2F"/>
    <w:rsid w:val="00453A68"/>
    <w:rsid w:val="00453AAF"/>
    <w:rsid w:val="00453AE7"/>
    <w:rsid w:val="00453B6C"/>
    <w:rsid w:val="00453BB5"/>
    <w:rsid w:val="00453DA4"/>
    <w:rsid w:val="00453EBD"/>
    <w:rsid w:val="00453F28"/>
    <w:rsid w:val="004541F2"/>
    <w:rsid w:val="0045422A"/>
    <w:rsid w:val="004543DA"/>
    <w:rsid w:val="004547A5"/>
    <w:rsid w:val="004547AB"/>
    <w:rsid w:val="0045487F"/>
    <w:rsid w:val="004549C2"/>
    <w:rsid w:val="00454B74"/>
    <w:rsid w:val="00454C4F"/>
    <w:rsid w:val="004550E1"/>
    <w:rsid w:val="004551B4"/>
    <w:rsid w:val="004551B8"/>
    <w:rsid w:val="004551DD"/>
    <w:rsid w:val="004552A4"/>
    <w:rsid w:val="004553B6"/>
    <w:rsid w:val="00455487"/>
    <w:rsid w:val="0045574D"/>
    <w:rsid w:val="00455851"/>
    <w:rsid w:val="00455875"/>
    <w:rsid w:val="004558D0"/>
    <w:rsid w:val="00455937"/>
    <w:rsid w:val="004559F8"/>
    <w:rsid w:val="00455AF6"/>
    <w:rsid w:val="00455D75"/>
    <w:rsid w:val="00456084"/>
    <w:rsid w:val="00456133"/>
    <w:rsid w:val="0045614B"/>
    <w:rsid w:val="00456195"/>
    <w:rsid w:val="004561A3"/>
    <w:rsid w:val="00456302"/>
    <w:rsid w:val="00456399"/>
    <w:rsid w:val="004563F3"/>
    <w:rsid w:val="004564BD"/>
    <w:rsid w:val="0045656B"/>
    <w:rsid w:val="004565F6"/>
    <w:rsid w:val="00456627"/>
    <w:rsid w:val="00456788"/>
    <w:rsid w:val="0045679A"/>
    <w:rsid w:val="004567F3"/>
    <w:rsid w:val="00456896"/>
    <w:rsid w:val="00456933"/>
    <w:rsid w:val="004569C2"/>
    <w:rsid w:val="00456BEB"/>
    <w:rsid w:val="00456D4D"/>
    <w:rsid w:val="00456D79"/>
    <w:rsid w:val="00456F18"/>
    <w:rsid w:val="00456F8E"/>
    <w:rsid w:val="00457011"/>
    <w:rsid w:val="00457088"/>
    <w:rsid w:val="004572E6"/>
    <w:rsid w:val="00457562"/>
    <w:rsid w:val="004575FB"/>
    <w:rsid w:val="0045772E"/>
    <w:rsid w:val="004578E9"/>
    <w:rsid w:val="00457949"/>
    <w:rsid w:val="00457A6F"/>
    <w:rsid w:val="00457ABB"/>
    <w:rsid w:val="00457AFE"/>
    <w:rsid w:val="00457B38"/>
    <w:rsid w:val="00457CF7"/>
    <w:rsid w:val="00460137"/>
    <w:rsid w:val="004601C2"/>
    <w:rsid w:val="004601E9"/>
    <w:rsid w:val="004601FD"/>
    <w:rsid w:val="00460221"/>
    <w:rsid w:val="0046032C"/>
    <w:rsid w:val="0046043F"/>
    <w:rsid w:val="004604DF"/>
    <w:rsid w:val="0046065B"/>
    <w:rsid w:val="00460713"/>
    <w:rsid w:val="0046075C"/>
    <w:rsid w:val="004608AA"/>
    <w:rsid w:val="0046097E"/>
    <w:rsid w:val="004609AA"/>
    <w:rsid w:val="004609F7"/>
    <w:rsid w:val="00460C4C"/>
    <w:rsid w:val="00460DA1"/>
    <w:rsid w:val="00460E4A"/>
    <w:rsid w:val="00460F02"/>
    <w:rsid w:val="004611FF"/>
    <w:rsid w:val="0046130C"/>
    <w:rsid w:val="004613D0"/>
    <w:rsid w:val="004613F6"/>
    <w:rsid w:val="00461570"/>
    <w:rsid w:val="004615CB"/>
    <w:rsid w:val="004616A8"/>
    <w:rsid w:val="00461725"/>
    <w:rsid w:val="0046174E"/>
    <w:rsid w:val="00461798"/>
    <w:rsid w:val="00461A62"/>
    <w:rsid w:val="00461C3C"/>
    <w:rsid w:val="00461C79"/>
    <w:rsid w:val="00461C7F"/>
    <w:rsid w:val="00461E03"/>
    <w:rsid w:val="00461EB2"/>
    <w:rsid w:val="00461F5E"/>
    <w:rsid w:val="00462149"/>
    <w:rsid w:val="004621F9"/>
    <w:rsid w:val="004623B4"/>
    <w:rsid w:val="0046245D"/>
    <w:rsid w:val="0046249D"/>
    <w:rsid w:val="00462826"/>
    <w:rsid w:val="0046288B"/>
    <w:rsid w:val="0046292D"/>
    <w:rsid w:val="00462962"/>
    <w:rsid w:val="00462A33"/>
    <w:rsid w:val="00462B46"/>
    <w:rsid w:val="00462BCB"/>
    <w:rsid w:val="00462C83"/>
    <w:rsid w:val="00462C97"/>
    <w:rsid w:val="00462C9F"/>
    <w:rsid w:val="00462D11"/>
    <w:rsid w:val="00462D3B"/>
    <w:rsid w:val="00462E0F"/>
    <w:rsid w:val="00462EAF"/>
    <w:rsid w:val="004630C5"/>
    <w:rsid w:val="004631EC"/>
    <w:rsid w:val="00463304"/>
    <w:rsid w:val="004633A2"/>
    <w:rsid w:val="004633B8"/>
    <w:rsid w:val="0046357D"/>
    <w:rsid w:val="0046357E"/>
    <w:rsid w:val="0046366C"/>
    <w:rsid w:val="00463687"/>
    <w:rsid w:val="0046373D"/>
    <w:rsid w:val="004637E3"/>
    <w:rsid w:val="0046386D"/>
    <w:rsid w:val="0046398B"/>
    <w:rsid w:val="00463B99"/>
    <w:rsid w:val="00463E1D"/>
    <w:rsid w:val="00463E24"/>
    <w:rsid w:val="00463EE2"/>
    <w:rsid w:val="00463F71"/>
    <w:rsid w:val="00463F7F"/>
    <w:rsid w:val="00463FD3"/>
    <w:rsid w:val="00464024"/>
    <w:rsid w:val="0046429F"/>
    <w:rsid w:val="004642C2"/>
    <w:rsid w:val="00464461"/>
    <w:rsid w:val="004644BF"/>
    <w:rsid w:val="0046452C"/>
    <w:rsid w:val="004645BA"/>
    <w:rsid w:val="004645BC"/>
    <w:rsid w:val="004646E5"/>
    <w:rsid w:val="00464745"/>
    <w:rsid w:val="00464992"/>
    <w:rsid w:val="00464A24"/>
    <w:rsid w:val="00464A54"/>
    <w:rsid w:val="00464A82"/>
    <w:rsid w:val="00464A95"/>
    <w:rsid w:val="00464CBF"/>
    <w:rsid w:val="00464E06"/>
    <w:rsid w:val="00464E23"/>
    <w:rsid w:val="00464F2E"/>
    <w:rsid w:val="004651E4"/>
    <w:rsid w:val="004653BB"/>
    <w:rsid w:val="004653D2"/>
    <w:rsid w:val="00465415"/>
    <w:rsid w:val="00465454"/>
    <w:rsid w:val="004654DA"/>
    <w:rsid w:val="004655B2"/>
    <w:rsid w:val="004656D2"/>
    <w:rsid w:val="00465735"/>
    <w:rsid w:val="0046576B"/>
    <w:rsid w:val="00465799"/>
    <w:rsid w:val="00465816"/>
    <w:rsid w:val="004658CB"/>
    <w:rsid w:val="004658F6"/>
    <w:rsid w:val="0046591D"/>
    <w:rsid w:val="00465A98"/>
    <w:rsid w:val="00465AB9"/>
    <w:rsid w:val="00465BE7"/>
    <w:rsid w:val="00465C06"/>
    <w:rsid w:val="00465D1F"/>
    <w:rsid w:val="00465D2C"/>
    <w:rsid w:val="00465E82"/>
    <w:rsid w:val="004660CF"/>
    <w:rsid w:val="00466215"/>
    <w:rsid w:val="0046624E"/>
    <w:rsid w:val="00466465"/>
    <w:rsid w:val="00466544"/>
    <w:rsid w:val="00466678"/>
    <w:rsid w:val="004666BF"/>
    <w:rsid w:val="00466755"/>
    <w:rsid w:val="00466775"/>
    <w:rsid w:val="004667C3"/>
    <w:rsid w:val="004668AC"/>
    <w:rsid w:val="004668D2"/>
    <w:rsid w:val="00466963"/>
    <w:rsid w:val="0046696A"/>
    <w:rsid w:val="00466A05"/>
    <w:rsid w:val="00466A55"/>
    <w:rsid w:val="00466A5F"/>
    <w:rsid w:val="00466B06"/>
    <w:rsid w:val="00466B28"/>
    <w:rsid w:val="00466C44"/>
    <w:rsid w:val="00466EE2"/>
    <w:rsid w:val="00467287"/>
    <w:rsid w:val="004674DC"/>
    <w:rsid w:val="00467735"/>
    <w:rsid w:val="00467789"/>
    <w:rsid w:val="0046780E"/>
    <w:rsid w:val="00467848"/>
    <w:rsid w:val="0046787C"/>
    <w:rsid w:val="004679F0"/>
    <w:rsid w:val="00467A3A"/>
    <w:rsid w:val="00467A91"/>
    <w:rsid w:val="00467BB0"/>
    <w:rsid w:val="00467CDD"/>
    <w:rsid w:val="00467D2B"/>
    <w:rsid w:val="00467E06"/>
    <w:rsid w:val="00467E18"/>
    <w:rsid w:val="00467E7C"/>
    <w:rsid w:val="00467F0C"/>
    <w:rsid w:val="0047005D"/>
    <w:rsid w:val="004702DC"/>
    <w:rsid w:val="004702EA"/>
    <w:rsid w:val="004706E2"/>
    <w:rsid w:val="0047079F"/>
    <w:rsid w:val="0047086D"/>
    <w:rsid w:val="00470896"/>
    <w:rsid w:val="004708AB"/>
    <w:rsid w:val="0047092A"/>
    <w:rsid w:val="00470BA7"/>
    <w:rsid w:val="00470C37"/>
    <w:rsid w:val="00470CB0"/>
    <w:rsid w:val="00470D09"/>
    <w:rsid w:val="00470D76"/>
    <w:rsid w:val="00470DC4"/>
    <w:rsid w:val="00470E7B"/>
    <w:rsid w:val="00470FF8"/>
    <w:rsid w:val="00471024"/>
    <w:rsid w:val="004711E5"/>
    <w:rsid w:val="00471460"/>
    <w:rsid w:val="0047150A"/>
    <w:rsid w:val="00471549"/>
    <w:rsid w:val="004715A5"/>
    <w:rsid w:val="00471691"/>
    <w:rsid w:val="004716C1"/>
    <w:rsid w:val="004718D0"/>
    <w:rsid w:val="00471A0E"/>
    <w:rsid w:val="00471B77"/>
    <w:rsid w:val="00471BCC"/>
    <w:rsid w:val="00471D68"/>
    <w:rsid w:val="00471D6F"/>
    <w:rsid w:val="00471D8F"/>
    <w:rsid w:val="00471D9A"/>
    <w:rsid w:val="00471DD4"/>
    <w:rsid w:val="00471DDC"/>
    <w:rsid w:val="00471E5B"/>
    <w:rsid w:val="00471FB1"/>
    <w:rsid w:val="0047202F"/>
    <w:rsid w:val="00472140"/>
    <w:rsid w:val="00472182"/>
    <w:rsid w:val="004722B6"/>
    <w:rsid w:val="004722B7"/>
    <w:rsid w:val="0047230C"/>
    <w:rsid w:val="00472353"/>
    <w:rsid w:val="004723FC"/>
    <w:rsid w:val="00472658"/>
    <w:rsid w:val="004726F7"/>
    <w:rsid w:val="00472743"/>
    <w:rsid w:val="004727CB"/>
    <w:rsid w:val="004727CE"/>
    <w:rsid w:val="00472921"/>
    <w:rsid w:val="00472AAB"/>
    <w:rsid w:val="00472ED2"/>
    <w:rsid w:val="00472F30"/>
    <w:rsid w:val="00472F55"/>
    <w:rsid w:val="00473237"/>
    <w:rsid w:val="00473347"/>
    <w:rsid w:val="0047361B"/>
    <w:rsid w:val="004736A2"/>
    <w:rsid w:val="00473820"/>
    <w:rsid w:val="00473921"/>
    <w:rsid w:val="00473958"/>
    <w:rsid w:val="00473B9A"/>
    <w:rsid w:val="00473CB6"/>
    <w:rsid w:val="00473CF3"/>
    <w:rsid w:val="00473D73"/>
    <w:rsid w:val="00473E59"/>
    <w:rsid w:val="00473F5C"/>
    <w:rsid w:val="0047409A"/>
    <w:rsid w:val="004740CF"/>
    <w:rsid w:val="00474151"/>
    <w:rsid w:val="00474168"/>
    <w:rsid w:val="00474182"/>
    <w:rsid w:val="00474185"/>
    <w:rsid w:val="004743B6"/>
    <w:rsid w:val="00474488"/>
    <w:rsid w:val="004745AC"/>
    <w:rsid w:val="004746BE"/>
    <w:rsid w:val="0047479B"/>
    <w:rsid w:val="0047483E"/>
    <w:rsid w:val="00474AC8"/>
    <w:rsid w:val="00474BF7"/>
    <w:rsid w:val="00474CD2"/>
    <w:rsid w:val="00474CE8"/>
    <w:rsid w:val="00474D2E"/>
    <w:rsid w:val="00474D71"/>
    <w:rsid w:val="00474D7F"/>
    <w:rsid w:val="00474F82"/>
    <w:rsid w:val="00475448"/>
    <w:rsid w:val="00475472"/>
    <w:rsid w:val="00475493"/>
    <w:rsid w:val="004754B7"/>
    <w:rsid w:val="00475536"/>
    <w:rsid w:val="004755C9"/>
    <w:rsid w:val="004755D6"/>
    <w:rsid w:val="00475618"/>
    <w:rsid w:val="00475653"/>
    <w:rsid w:val="00475705"/>
    <w:rsid w:val="0047584B"/>
    <w:rsid w:val="004759AF"/>
    <w:rsid w:val="00475AFD"/>
    <w:rsid w:val="00475AFF"/>
    <w:rsid w:val="00475D58"/>
    <w:rsid w:val="00475DBD"/>
    <w:rsid w:val="00475F40"/>
    <w:rsid w:val="00475F71"/>
    <w:rsid w:val="00475FD8"/>
    <w:rsid w:val="00476041"/>
    <w:rsid w:val="0047622B"/>
    <w:rsid w:val="004766F0"/>
    <w:rsid w:val="00476862"/>
    <w:rsid w:val="00476872"/>
    <w:rsid w:val="00476A33"/>
    <w:rsid w:val="00476A40"/>
    <w:rsid w:val="00476AFA"/>
    <w:rsid w:val="00476B14"/>
    <w:rsid w:val="00476B19"/>
    <w:rsid w:val="00476B99"/>
    <w:rsid w:val="00476C63"/>
    <w:rsid w:val="00476CD9"/>
    <w:rsid w:val="00476DB7"/>
    <w:rsid w:val="00476F2E"/>
    <w:rsid w:val="00476F7A"/>
    <w:rsid w:val="004770FE"/>
    <w:rsid w:val="00477130"/>
    <w:rsid w:val="004771E8"/>
    <w:rsid w:val="00477330"/>
    <w:rsid w:val="0047734F"/>
    <w:rsid w:val="00477508"/>
    <w:rsid w:val="0047770A"/>
    <w:rsid w:val="0047778E"/>
    <w:rsid w:val="00477883"/>
    <w:rsid w:val="00477995"/>
    <w:rsid w:val="004779FB"/>
    <w:rsid w:val="00477AAA"/>
    <w:rsid w:val="00477D0E"/>
    <w:rsid w:val="00477E34"/>
    <w:rsid w:val="00477E8A"/>
    <w:rsid w:val="00480093"/>
    <w:rsid w:val="004802F2"/>
    <w:rsid w:val="00480373"/>
    <w:rsid w:val="0048040D"/>
    <w:rsid w:val="00480478"/>
    <w:rsid w:val="004804FF"/>
    <w:rsid w:val="004807A1"/>
    <w:rsid w:val="004808D9"/>
    <w:rsid w:val="004808F5"/>
    <w:rsid w:val="00480A9E"/>
    <w:rsid w:val="00480B18"/>
    <w:rsid w:val="00480BF3"/>
    <w:rsid w:val="00480C5B"/>
    <w:rsid w:val="00480D08"/>
    <w:rsid w:val="00480D98"/>
    <w:rsid w:val="004811F1"/>
    <w:rsid w:val="00481200"/>
    <w:rsid w:val="0048121C"/>
    <w:rsid w:val="004814D8"/>
    <w:rsid w:val="00481528"/>
    <w:rsid w:val="0048153B"/>
    <w:rsid w:val="004815CE"/>
    <w:rsid w:val="00481643"/>
    <w:rsid w:val="00481648"/>
    <w:rsid w:val="00481669"/>
    <w:rsid w:val="00481801"/>
    <w:rsid w:val="00481876"/>
    <w:rsid w:val="00481904"/>
    <w:rsid w:val="00481BC2"/>
    <w:rsid w:val="00481BE5"/>
    <w:rsid w:val="00481CAE"/>
    <w:rsid w:val="00481D94"/>
    <w:rsid w:val="00481F58"/>
    <w:rsid w:val="00481FF9"/>
    <w:rsid w:val="00482021"/>
    <w:rsid w:val="00482148"/>
    <w:rsid w:val="00482169"/>
    <w:rsid w:val="0048230A"/>
    <w:rsid w:val="00482317"/>
    <w:rsid w:val="00482355"/>
    <w:rsid w:val="004825AE"/>
    <w:rsid w:val="00482692"/>
    <w:rsid w:val="00482753"/>
    <w:rsid w:val="0048276D"/>
    <w:rsid w:val="0048278B"/>
    <w:rsid w:val="004828E0"/>
    <w:rsid w:val="00482978"/>
    <w:rsid w:val="00482AFF"/>
    <w:rsid w:val="00482B8F"/>
    <w:rsid w:val="00482C40"/>
    <w:rsid w:val="00482D14"/>
    <w:rsid w:val="00482E6B"/>
    <w:rsid w:val="00482ED6"/>
    <w:rsid w:val="00483036"/>
    <w:rsid w:val="00483050"/>
    <w:rsid w:val="004830E7"/>
    <w:rsid w:val="0048318F"/>
    <w:rsid w:val="004831C1"/>
    <w:rsid w:val="00483278"/>
    <w:rsid w:val="00483322"/>
    <w:rsid w:val="00483443"/>
    <w:rsid w:val="00483502"/>
    <w:rsid w:val="004835C9"/>
    <w:rsid w:val="004836ED"/>
    <w:rsid w:val="004836F3"/>
    <w:rsid w:val="004837DC"/>
    <w:rsid w:val="0048383C"/>
    <w:rsid w:val="00483852"/>
    <w:rsid w:val="00483870"/>
    <w:rsid w:val="00483896"/>
    <w:rsid w:val="00483BB8"/>
    <w:rsid w:val="00483C5A"/>
    <w:rsid w:val="00483CFF"/>
    <w:rsid w:val="00483DC4"/>
    <w:rsid w:val="00483DFE"/>
    <w:rsid w:val="00483E2D"/>
    <w:rsid w:val="00483F3E"/>
    <w:rsid w:val="00483FEA"/>
    <w:rsid w:val="004841F5"/>
    <w:rsid w:val="00484297"/>
    <w:rsid w:val="00484350"/>
    <w:rsid w:val="00484476"/>
    <w:rsid w:val="004846B9"/>
    <w:rsid w:val="00484797"/>
    <w:rsid w:val="004847BE"/>
    <w:rsid w:val="0048487A"/>
    <w:rsid w:val="00484991"/>
    <w:rsid w:val="004849A9"/>
    <w:rsid w:val="00484A4C"/>
    <w:rsid w:val="00484B6D"/>
    <w:rsid w:val="00484C25"/>
    <w:rsid w:val="00484C71"/>
    <w:rsid w:val="00484D28"/>
    <w:rsid w:val="00484D3F"/>
    <w:rsid w:val="00485019"/>
    <w:rsid w:val="0048508F"/>
    <w:rsid w:val="0048515B"/>
    <w:rsid w:val="00485191"/>
    <w:rsid w:val="004851D1"/>
    <w:rsid w:val="004853B1"/>
    <w:rsid w:val="004853C4"/>
    <w:rsid w:val="00485773"/>
    <w:rsid w:val="004857FF"/>
    <w:rsid w:val="004858DC"/>
    <w:rsid w:val="0048599F"/>
    <w:rsid w:val="00485BA7"/>
    <w:rsid w:val="00485CF8"/>
    <w:rsid w:val="00485D68"/>
    <w:rsid w:val="00485D81"/>
    <w:rsid w:val="00485DB9"/>
    <w:rsid w:val="00485DC6"/>
    <w:rsid w:val="00485E08"/>
    <w:rsid w:val="00485E4D"/>
    <w:rsid w:val="0048602F"/>
    <w:rsid w:val="0048605B"/>
    <w:rsid w:val="004860E7"/>
    <w:rsid w:val="00486238"/>
    <w:rsid w:val="0048633C"/>
    <w:rsid w:val="00486351"/>
    <w:rsid w:val="004863F5"/>
    <w:rsid w:val="00486437"/>
    <w:rsid w:val="00486569"/>
    <w:rsid w:val="004866CC"/>
    <w:rsid w:val="004867EA"/>
    <w:rsid w:val="00486856"/>
    <w:rsid w:val="00486887"/>
    <w:rsid w:val="00486B92"/>
    <w:rsid w:val="00486D70"/>
    <w:rsid w:val="00486EE2"/>
    <w:rsid w:val="00486FDB"/>
    <w:rsid w:val="00487208"/>
    <w:rsid w:val="0048728E"/>
    <w:rsid w:val="0048737E"/>
    <w:rsid w:val="00487410"/>
    <w:rsid w:val="004874BD"/>
    <w:rsid w:val="0048759A"/>
    <w:rsid w:val="004875E8"/>
    <w:rsid w:val="004877AA"/>
    <w:rsid w:val="0048786B"/>
    <w:rsid w:val="004878D3"/>
    <w:rsid w:val="00487BAA"/>
    <w:rsid w:val="00487C69"/>
    <w:rsid w:val="00487EFD"/>
    <w:rsid w:val="00487FEC"/>
    <w:rsid w:val="0048FE0B"/>
    <w:rsid w:val="00490069"/>
    <w:rsid w:val="0049010A"/>
    <w:rsid w:val="0049017C"/>
    <w:rsid w:val="004901B8"/>
    <w:rsid w:val="004901D0"/>
    <w:rsid w:val="00490334"/>
    <w:rsid w:val="004904B5"/>
    <w:rsid w:val="004904CE"/>
    <w:rsid w:val="00490518"/>
    <w:rsid w:val="004905F0"/>
    <w:rsid w:val="00490778"/>
    <w:rsid w:val="004909F4"/>
    <w:rsid w:val="00490C32"/>
    <w:rsid w:val="00490F12"/>
    <w:rsid w:val="00490F78"/>
    <w:rsid w:val="00490FCE"/>
    <w:rsid w:val="00491010"/>
    <w:rsid w:val="00491070"/>
    <w:rsid w:val="00491111"/>
    <w:rsid w:val="00491119"/>
    <w:rsid w:val="004911A8"/>
    <w:rsid w:val="0049138C"/>
    <w:rsid w:val="00491391"/>
    <w:rsid w:val="0049141E"/>
    <w:rsid w:val="00491487"/>
    <w:rsid w:val="004914C2"/>
    <w:rsid w:val="0049157E"/>
    <w:rsid w:val="00491615"/>
    <w:rsid w:val="004916BC"/>
    <w:rsid w:val="00491791"/>
    <w:rsid w:val="004917AF"/>
    <w:rsid w:val="00491954"/>
    <w:rsid w:val="004919A1"/>
    <w:rsid w:val="004919D0"/>
    <w:rsid w:val="00491ABD"/>
    <w:rsid w:val="00491B5B"/>
    <w:rsid w:val="00491BBC"/>
    <w:rsid w:val="00491D57"/>
    <w:rsid w:val="00491DC0"/>
    <w:rsid w:val="00491DE4"/>
    <w:rsid w:val="00491E30"/>
    <w:rsid w:val="004920D2"/>
    <w:rsid w:val="0049216A"/>
    <w:rsid w:val="00492176"/>
    <w:rsid w:val="0049218E"/>
    <w:rsid w:val="004924FA"/>
    <w:rsid w:val="004927A9"/>
    <w:rsid w:val="00492ABB"/>
    <w:rsid w:val="00492BC5"/>
    <w:rsid w:val="00492CB7"/>
    <w:rsid w:val="00492CE7"/>
    <w:rsid w:val="00492D17"/>
    <w:rsid w:val="00492DD9"/>
    <w:rsid w:val="00492E36"/>
    <w:rsid w:val="00492F57"/>
    <w:rsid w:val="00493139"/>
    <w:rsid w:val="00493192"/>
    <w:rsid w:val="004931DB"/>
    <w:rsid w:val="004933B1"/>
    <w:rsid w:val="004933B8"/>
    <w:rsid w:val="00493457"/>
    <w:rsid w:val="00493816"/>
    <w:rsid w:val="00493AA2"/>
    <w:rsid w:val="00493ACF"/>
    <w:rsid w:val="00493CD0"/>
    <w:rsid w:val="00493E44"/>
    <w:rsid w:val="00493EF1"/>
    <w:rsid w:val="00493F67"/>
    <w:rsid w:val="00493F6D"/>
    <w:rsid w:val="00494035"/>
    <w:rsid w:val="00494068"/>
    <w:rsid w:val="004940F1"/>
    <w:rsid w:val="00494132"/>
    <w:rsid w:val="0049458A"/>
    <w:rsid w:val="00494678"/>
    <w:rsid w:val="0049467F"/>
    <w:rsid w:val="004946C5"/>
    <w:rsid w:val="0049487D"/>
    <w:rsid w:val="004948C4"/>
    <w:rsid w:val="004948DA"/>
    <w:rsid w:val="0049491F"/>
    <w:rsid w:val="00494A0B"/>
    <w:rsid w:val="00494AD7"/>
    <w:rsid w:val="00494BB1"/>
    <w:rsid w:val="00494D43"/>
    <w:rsid w:val="00494E6A"/>
    <w:rsid w:val="00494EEA"/>
    <w:rsid w:val="00495072"/>
    <w:rsid w:val="00495096"/>
    <w:rsid w:val="00495103"/>
    <w:rsid w:val="0049523B"/>
    <w:rsid w:val="00495306"/>
    <w:rsid w:val="0049560C"/>
    <w:rsid w:val="00495619"/>
    <w:rsid w:val="004956A2"/>
    <w:rsid w:val="00495718"/>
    <w:rsid w:val="00495752"/>
    <w:rsid w:val="0049597C"/>
    <w:rsid w:val="004959A6"/>
    <w:rsid w:val="00495A22"/>
    <w:rsid w:val="00495AEE"/>
    <w:rsid w:val="00495B09"/>
    <w:rsid w:val="00495BF0"/>
    <w:rsid w:val="00495C16"/>
    <w:rsid w:val="00495C77"/>
    <w:rsid w:val="00495E45"/>
    <w:rsid w:val="00495EF0"/>
    <w:rsid w:val="0049600D"/>
    <w:rsid w:val="0049611F"/>
    <w:rsid w:val="0049625A"/>
    <w:rsid w:val="0049627D"/>
    <w:rsid w:val="00496309"/>
    <w:rsid w:val="0049637C"/>
    <w:rsid w:val="004965B6"/>
    <w:rsid w:val="0049661C"/>
    <w:rsid w:val="0049676C"/>
    <w:rsid w:val="0049684E"/>
    <w:rsid w:val="00496955"/>
    <w:rsid w:val="00496A47"/>
    <w:rsid w:val="00496A94"/>
    <w:rsid w:val="00496B24"/>
    <w:rsid w:val="00496C1D"/>
    <w:rsid w:val="00496DE8"/>
    <w:rsid w:val="00496EF8"/>
    <w:rsid w:val="00497004"/>
    <w:rsid w:val="004970CF"/>
    <w:rsid w:val="00497163"/>
    <w:rsid w:val="004971A5"/>
    <w:rsid w:val="0049723F"/>
    <w:rsid w:val="00497260"/>
    <w:rsid w:val="004972A6"/>
    <w:rsid w:val="004972F7"/>
    <w:rsid w:val="004973A9"/>
    <w:rsid w:val="004973C9"/>
    <w:rsid w:val="004973F7"/>
    <w:rsid w:val="00497458"/>
    <w:rsid w:val="004974BC"/>
    <w:rsid w:val="0049762F"/>
    <w:rsid w:val="004976BA"/>
    <w:rsid w:val="004977E8"/>
    <w:rsid w:val="00497A21"/>
    <w:rsid w:val="00497ACA"/>
    <w:rsid w:val="00497BD7"/>
    <w:rsid w:val="00497C49"/>
    <w:rsid w:val="00497C54"/>
    <w:rsid w:val="00497C59"/>
    <w:rsid w:val="00497C67"/>
    <w:rsid w:val="00497D52"/>
    <w:rsid w:val="00497D55"/>
    <w:rsid w:val="00497D5C"/>
    <w:rsid w:val="00497E73"/>
    <w:rsid w:val="00497F58"/>
    <w:rsid w:val="004A00B6"/>
    <w:rsid w:val="004A02B3"/>
    <w:rsid w:val="004A02FC"/>
    <w:rsid w:val="004A0308"/>
    <w:rsid w:val="004A04FA"/>
    <w:rsid w:val="004A0655"/>
    <w:rsid w:val="004A074F"/>
    <w:rsid w:val="004A0752"/>
    <w:rsid w:val="004A08E0"/>
    <w:rsid w:val="004A09A6"/>
    <w:rsid w:val="004A0A95"/>
    <w:rsid w:val="004A0B3F"/>
    <w:rsid w:val="004A0B56"/>
    <w:rsid w:val="004A0CFE"/>
    <w:rsid w:val="004A0D8D"/>
    <w:rsid w:val="004A1014"/>
    <w:rsid w:val="004A1064"/>
    <w:rsid w:val="004A10D4"/>
    <w:rsid w:val="004A11C4"/>
    <w:rsid w:val="004A1317"/>
    <w:rsid w:val="004A1362"/>
    <w:rsid w:val="004A14A8"/>
    <w:rsid w:val="004A1541"/>
    <w:rsid w:val="004A15B2"/>
    <w:rsid w:val="004A18EE"/>
    <w:rsid w:val="004A1A35"/>
    <w:rsid w:val="004A1A9F"/>
    <w:rsid w:val="004A1CEE"/>
    <w:rsid w:val="004A22EE"/>
    <w:rsid w:val="004A2386"/>
    <w:rsid w:val="004A23D4"/>
    <w:rsid w:val="004A24E3"/>
    <w:rsid w:val="004A25A0"/>
    <w:rsid w:val="004A26C1"/>
    <w:rsid w:val="004A2756"/>
    <w:rsid w:val="004A2758"/>
    <w:rsid w:val="004A2836"/>
    <w:rsid w:val="004A284A"/>
    <w:rsid w:val="004A2925"/>
    <w:rsid w:val="004A2B79"/>
    <w:rsid w:val="004A2F10"/>
    <w:rsid w:val="004A2F74"/>
    <w:rsid w:val="004A3029"/>
    <w:rsid w:val="004A3203"/>
    <w:rsid w:val="004A32CC"/>
    <w:rsid w:val="004A33A6"/>
    <w:rsid w:val="004A34D3"/>
    <w:rsid w:val="004A35E8"/>
    <w:rsid w:val="004A35F0"/>
    <w:rsid w:val="004A393F"/>
    <w:rsid w:val="004A3953"/>
    <w:rsid w:val="004A3AF9"/>
    <w:rsid w:val="004A3BE5"/>
    <w:rsid w:val="004A3CB3"/>
    <w:rsid w:val="004A3D44"/>
    <w:rsid w:val="004A3F8B"/>
    <w:rsid w:val="004A3FB1"/>
    <w:rsid w:val="004A3FB4"/>
    <w:rsid w:val="004A42AB"/>
    <w:rsid w:val="004A4490"/>
    <w:rsid w:val="004A4594"/>
    <w:rsid w:val="004A46F3"/>
    <w:rsid w:val="004A472A"/>
    <w:rsid w:val="004A47C0"/>
    <w:rsid w:val="004A4807"/>
    <w:rsid w:val="004A4848"/>
    <w:rsid w:val="004A4863"/>
    <w:rsid w:val="004A4B7D"/>
    <w:rsid w:val="004A4C54"/>
    <w:rsid w:val="004A4DF5"/>
    <w:rsid w:val="004A4E22"/>
    <w:rsid w:val="004A4E89"/>
    <w:rsid w:val="004A50AF"/>
    <w:rsid w:val="004A51E9"/>
    <w:rsid w:val="004A542C"/>
    <w:rsid w:val="004A54ED"/>
    <w:rsid w:val="004A569E"/>
    <w:rsid w:val="004A5718"/>
    <w:rsid w:val="004A5840"/>
    <w:rsid w:val="004A585B"/>
    <w:rsid w:val="004A59F8"/>
    <w:rsid w:val="004A5BB8"/>
    <w:rsid w:val="004A5BE6"/>
    <w:rsid w:val="004A5DA8"/>
    <w:rsid w:val="004A5F37"/>
    <w:rsid w:val="004A5F47"/>
    <w:rsid w:val="004A5F5C"/>
    <w:rsid w:val="004A5FEB"/>
    <w:rsid w:val="004A6126"/>
    <w:rsid w:val="004A615B"/>
    <w:rsid w:val="004A6206"/>
    <w:rsid w:val="004A6320"/>
    <w:rsid w:val="004A635F"/>
    <w:rsid w:val="004A66F4"/>
    <w:rsid w:val="004A6794"/>
    <w:rsid w:val="004A6825"/>
    <w:rsid w:val="004A688C"/>
    <w:rsid w:val="004A6933"/>
    <w:rsid w:val="004A697C"/>
    <w:rsid w:val="004A6B80"/>
    <w:rsid w:val="004A6B8B"/>
    <w:rsid w:val="004A6B8F"/>
    <w:rsid w:val="004A6C6B"/>
    <w:rsid w:val="004A6CD6"/>
    <w:rsid w:val="004A6CF8"/>
    <w:rsid w:val="004A6D58"/>
    <w:rsid w:val="004A6D67"/>
    <w:rsid w:val="004A6D7D"/>
    <w:rsid w:val="004A6DF8"/>
    <w:rsid w:val="004A6E8D"/>
    <w:rsid w:val="004A6EDC"/>
    <w:rsid w:val="004A7041"/>
    <w:rsid w:val="004A720D"/>
    <w:rsid w:val="004A72DB"/>
    <w:rsid w:val="004A7342"/>
    <w:rsid w:val="004A73A2"/>
    <w:rsid w:val="004A7444"/>
    <w:rsid w:val="004A74A5"/>
    <w:rsid w:val="004A7896"/>
    <w:rsid w:val="004A7920"/>
    <w:rsid w:val="004A7AED"/>
    <w:rsid w:val="004A7B5E"/>
    <w:rsid w:val="004A7BE4"/>
    <w:rsid w:val="004A7CF7"/>
    <w:rsid w:val="004A7D16"/>
    <w:rsid w:val="004A7D5F"/>
    <w:rsid w:val="004A7DF2"/>
    <w:rsid w:val="004A7E13"/>
    <w:rsid w:val="004A7E7C"/>
    <w:rsid w:val="004A7E8F"/>
    <w:rsid w:val="004A7EB6"/>
    <w:rsid w:val="004B0238"/>
    <w:rsid w:val="004B029F"/>
    <w:rsid w:val="004B02F6"/>
    <w:rsid w:val="004B03DD"/>
    <w:rsid w:val="004B080C"/>
    <w:rsid w:val="004B0872"/>
    <w:rsid w:val="004B08C9"/>
    <w:rsid w:val="004B0989"/>
    <w:rsid w:val="004B099F"/>
    <w:rsid w:val="004B0AAA"/>
    <w:rsid w:val="004B0AE2"/>
    <w:rsid w:val="004B0B27"/>
    <w:rsid w:val="004B0BF1"/>
    <w:rsid w:val="004B0EE0"/>
    <w:rsid w:val="004B0F81"/>
    <w:rsid w:val="004B1091"/>
    <w:rsid w:val="004B10D2"/>
    <w:rsid w:val="004B111F"/>
    <w:rsid w:val="004B11DD"/>
    <w:rsid w:val="004B1215"/>
    <w:rsid w:val="004B127B"/>
    <w:rsid w:val="004B12DD"/>
    <w:rsid w:val="004B1352"/>
    <w:rsid w:val="004B16EE"/>
    <w:rsid w:val="004B17E3"/>
    <w:rsid w:val="004B1887"/>
    <w:rsid w:val="004B1931"/>
    <w:rsid w:val="004B19F6"/>
    <w:rsid w:val="004B1A98"/>
    <w:rsid w:val="004B1AB0"/>
    <w:rsid w:val="004B1B76"/>
    <w:rsid w:val="004B1FDB"/>
    <w:rsid w:val="004B2138"/>
    <w:rsid w:val="004B21CA"/>
    <w:rsid w:val="004B21FB"/>
    <w:rsid w:val="004B2216"/>
    <w:rsid w:val="004B22F9"/>
    <w:rsid w:val="004B233E"/>
    <w:rsid w:val="004B234F"/>
    <w:rsid w:val="004B23FE"/>
    <w:rsid w:val="004B24C8"/>
    <w:rsid w:val="004B2602"/>
    <w:rsid w:val="004B264E"/>
    <w:rsid w:val="004B28EC"/>
    <w:rsid w:val="004B29F9"/>
    <w:rsid w:val="004B2A23"/>
    <w:rsid w:val="004B2A88"/>
    <w:rsid w:val="004B2BE2"/>
    <w:rsid w:val="004B2C02"/>
    <w:rsid w:val="004B2C18"/>
    <w:rsid w:val="004B2DBB"/>
    <w:rsid w:val="004B2DC0"/>
    <w:rsid w:val="004B2DFD"/>
    <w:rsid w:val="004B2F27"/>
    <w:rsid w:val="004B2FCF"/>
    <w:rsid w:val="004B3240"/>
    <w:rsid w:val="004B351B"/>
    <w:rsid w:val="004B3542"/>
    <w:rsid w:val="004B3680"/>
    <w:rsid w:val="004B369E"/>
    <w:rsid w:val="004B38E2"/>
    <w:rsid w:val="004B3D48"/>
    <w:rsid w:val="004B3DAA"/>
    <w:rsid w:val="004B4027"/>
    <w:rsid w:val="004B405C"/>
    <w:rsid w:val="004B4080"/>
    <w:rsid w:val="004B40CD"/>
    <w:rsid w:val="004B40D1"/>
    <w:rsid w:val="004B4138"/>
    <w:rsid w:val="004B41C2"/>
    <w:rsid w:val="004B4225"/>
    <w:rsid w:val="004B446B"/>
    <w:rsid w:val="004B44AA"/>
    <w:rsid w:val="004B454A"/>
    <w:rsid w:val="004B455C"/>
    <w:rsid w:val="004B45E8"/>
    <w:rsid w:val="004B45FA"/>
    <w:rsid w:val="004B46A7"/>
    <w:rsid w:val="004B4734"/>
    <w:rsid w:val="004B482C"/>
    <w:rsid w:val="004B487B"/>
    <w:rsid w:val="004B4924"/>
    <w:rsid w:val="004B497E"/>
    <w:rsid w:val="004B49AE"/>
    <w:rsid w:val="004B4B33"/>
    <w:rsid w:val="004B4B79"/>
    <w:rsid w:val="004B4BE3"/>
    <w:rsid w:val="004B4D1D"/>
    <w:rsid w:val="004B4F57"/>
    <w:rsid w:val="004B4F83"/>
    <w:rsid w:val="004B4FE9"/>
    <w:rsid w:val="004B5048"/>
    <w:rsid w:val="004B5142"/>
    <w:rsid w:val="004B5193"/>
    <w:rsid w:val="004B51FD"/>
    <w:rsid w:val="004B528E"/>
    <w:rsid w:val="004B529C"/>
    <w:rsid w:val="004B532E"/>
    <w:rsid w:val="004B55E9"/>
    <w:rsid w:val="004B5858"/>
    <w:rsid w:val="004B585F"/>
    <w:rsid w:val="004B592D"/>
    <w:rsid w:val="004B59E2"/>
    <w:rsid w:val="004B5A55"/>
    <w:rsid w:val="004B5A5E"/>
    <w:rsid w:val="004B5CCF"/>
    <w:rsid w:val="004B5E2C"/>
    <w:rsid w:val="004B5E5D"/>
    <w:rsid w:val="004B5EA0"/>
    <w:rsid w:val="004B5EF4"/>
    <w:rsid w:val="004B62EA"/>
    <w:rsid w:val="004B63DF"/>
    <w:rsid w:val="004B63F6"/>
    <w:rsid w:val="004B6580"/>
    <w:rsid w:val="004B65A6"/>
    <w:rsid w:val="004B66EB"/>
    <w:rsid w:val="004B6748"/>
    <w:rsid w:val="004B6912"/>
    <w:rsid w:val="004B69E0"/>
    <w:rsid w:val="004B6AB8"/>
    <w:rsid w:val="004B6AF6"/>
    <w:rsid w:val="004B6B52"/>
    <w:rsid w:val="004B6B5B"/>
    <w:rsid w:val="004B6B7D"/>
    <w:rsid w:val="004B6CA1"/>
    <w:rsid w:val="004B6D3B"/>
    <w:rsid w:val="004B6E2D"/>
    <w:rsid w:val="004B6ED5"/>
    <w:rsid w:val="004B73AC"/>
    <w:rsid w:val="004B7421"/>
    <w:rsid w:val="004B74F4"/>
    <w:rsid w:val="004B751E"/>
    <w:rsid w:val="004B7814"/>
    <w:rsid w:val="004B782E"/>
    <w:rsid w:val="004B7915"/>
    <w:rsid w:val="004B7960"/>
    <w:rsid w:val="004B7A48"/>
    <w:rsid w:val="004B7A8F"/>
    <w:rsid w:val="004B7B42"/>
    <w:rsid w:val="004B7C08"/>
    <w:rsid w:val="004B7C24"/>
    <w:rsid w:val="004B7CED"/>
    <w:rsid w:val="004B7D94"/>
    <w:rsid w:val="004B7DB9"/>
    <w:rsid w:val="004B7E0F"/>
    <w:rsid w:val="004B7E7B"/>
    <w:rsid w:val="004C00DB"/>
    <w:rsid w:val="004C00E8"/>
    <w:rsid w:val="004C0203"/>
    <w:rsid w:val="004C02AB"/>
    <w:rsid w:val="004C02F2"/>
    <w:rsid w:val="004C031F"/>
    <w:rsid w:val="004C04E0"/>
    <w:rsid w:val="004C05F5"/>
    <w:rsid w:val="004C06D3"/>
    <w:rsid w:val="004C0804"/>
    <w:rsid w:val="004C0953"/>
    <w:rsid w:val="004C0A8C"/>
    <w:rsid w:val="004C0B80"/>
    <w:rsid w:val="004C0BCC"/>
    <w:rsid w:val="004C0C5C"/>
    <w:rsid w:val="004C0CD5"/>
    <w:rsid w:val="004C0EFF"/>
    <w:rsid w:val="004C0FC1"/>
    <w:rsid w:val="004C0FD0"/>
    <w:rsid w:val="004C122C"/>
    <w:rsid w:val="004C153E"/>
    <w:rsid w:val="004C1554"/>
    <w:rsid w:val="004C16A3"/>
    <w:rsid w:val="004C16E4"/>
    <w:rsid w:val="004C16F0"/>
    <w:rsid w:val="004C1735"/>
    <w:rsid w:val="004C193A"/>
    <w:rsid w:val="004C199C"/>
    <w:rsid w:val="004C1BC8"/>
    <w:rsid w:val="004C1BD0"/>
    <w:rsid w:val="004C1CBB"/>
    <w:rsid w:val="004C1D21"/>
    <w:rsid w:val="004C1FDE"/>
    <w:rsid w:val="004C212C"/>
    <w:rsid w:val="004C214C"/>
    <w:rsid w:val="004C219D"/>
    <w:rsid w:val="004C219F"/>
    <w:rsid w:val="004C257D"/>
    <w:rsid w:val="004C2657"/>
    <w:rsid w:val="004C2889"/>
    <w:rsid w:val="004C28A0"/>
    <w:rsid w:val="004C28BC"/>
    <w:rsid w:val="004C28CC"/>
    <w:rsid w:val="004C2A4C"/>
    <w:rsid w:val="004C2B3C"/>
    <w:rsid w:val="004C2D01"/>
    <w:rsid w:val="004C2D6C"/>
    <w:rsid w:val="004C2DD5"/>
    <w:rsid w:val="004C2FBE"/>
    <w:rsid w:val="004C2FCB"/>
    <w:rsid w:val="004C301A"/>
    <w:rsid w:val="004C30BF"/>
    <w:rsid w:val="004C335A"/>
    <w:rsid w:val="004C344A"/>
    <w:rsid w:val="004C35B4"/>
    <w:rsid w:val="004C37EF"/>
    <w:rsid w:val="004C38AE"/>
    <w:rsid w:val="004C38B6"/>
    <w:rsid w:val="004C394F"/>
    <w:rsid w:val="004C3AF2"/>
    <w:rsid w:val="004C3DD6"/>
    <w:rsid w:val="004C3E71"/>
    <w:rsid w:val="004C3F64"/>
    <w:rsid w:val="004C40A7"/>
    <w:rsid w:val="004C4267"/>
    <w:rsid w:val="004C4770"/>
    <w:rsid w:val="004C47D9"/>
    <w:rsid w:val="004C47E1"/>
    <w:rsid w:val="004C48A9"/>
    <w:rsid w:val="004C4946"/>
    <w:rsid w:val="004C4972"/>
    <w:rsid w:val="004C4A78"/>
    <w:rsid w:val="004C51D6"/>
    <w:rsid w:val="004C51DE"/>
    <w:rsid w:val="004C5339"/>
    <w:rsid w:val="004C53CA"/>
    <w:rsid w:val="004C5592"/>
    <w:rsid w:val="004C5727"/>
    <w:rsid w:val="004C57F3"/>
    <w:rsid w:val="004C5849"/>
    <w:rsid w:val="004C590E"/>
    <w:rsid w:val="004C5978"/>
    <w:rsid w:val="004C598B"/>
    <w:rsid w:val="004C5ABA"/>
    <w:rsid w:val="004C5AE9"/>
    <w:rsid w:val="004C5B58"/>
    <w:rsid w:val="004C5B6D"/>
    <w:rsid w:val="004C5B75"/>
    <w:rsid w:val="004C5F54"/>
    <w:rsid w:val="004C604A"/>
    <w:rsid w:val="004C6083"/>
    <w:rsid w:val="004C6085"/>
    <w:rsid w:val="004C6160"/>
    <w:rsid w:val="004C6583"/>
    <w:rsid w:val="004C66B5"/>
    <w:rsid w:val="004C66D8"/>
    <w:rsid w:val="004C6A42"/>
    <w:rsid w:val="004C6A75"/>
    <w:rsid w:val="004C6A84"/>
    <w:rsid w:val="004C6A8B"/>
    <w:rsid w:val="004C6AAB"/>
    <w:rsid w:val="004C6B05"/>
    <w:rsid w:val="004C6B34"/>
    <w:rsid w:val="004C6C11"/>
    <w:rsid w:val="004C6C7A"/>
    <w:rsid w:val="004C6D36"/>
    <w:rsid w:val="004C6D47"/>
    <w:rsid w:val="004C6DC7"/>
    <w:rsid w:val="004C6DD1"/>
    <w:rsid w:val="004C6E91"/>
    <w:rsid w:val="004C6ED2"/>
    <w:rsid w:val="004C6EF6"/>
    <w:rsid w:val="004C6F10"/>
    <w:rsid w:val="004C7010"/>
    <w:rsid w:val="004C7140"/>
    <w:rsid w:val="004C7219"/>
    <w:rsid w:val="004C730F"/>
    <w:rsid w:val="004C738A"/>
    <w:rsid w:val="004C739C"/>
    <w:rsid w:val="004C748F"/>
    <w:rsid w:val="004C7683"/>
    <w:rsid w:val="004C76F0"/>
    <w:rsid w:val="004C7892"/>
    <w:rsid w:val="004C7911"/>
    <w:rsid w:val="004C793F"/>
    <w:rsid w:val="004C7BA2"/>
    <w:rsid w:val="004C7BB7"/>
    <w:rsid w:val="004C7BBB"/>
    <w:rsid w:val="004C7BEE"/>
    <w:rsid w:val="004C7E5B"/>
    <w:rsid w:val="004C7EDC"/>
    <w:rsid w:val="004C7F78"/>
    <w:rsid w:val="004D01EE"/>
    <w:rsid w:val="004D02BC"/>
    <w:rsid w:val="004D0372"/>
    <w:rsid w:val="004D0400"/>
    <w:rsid w:val="004D041C"/>
    <w:rsid w:val="004D062C"/>
    <w:rsid w:val="004D07A3"/>
    <w:rsid w:val="004D0880"/>
    <w:rsid w:val="004D0DDA"/>
    <w:rsid w:val="004D0F83"/>
    <w:rsid w:val="004D1016"/>
    <w:rsid w:val="004D115A"/>
    <w:rsid w:val="004D11EB"/>
    <w:rsid w:val="004D1257"/>
    <w:rsid w:val="004D13A8"/>
    <w:rsid w:val="004D1425"/>
    <w:rsid w:val="004D156B"/>
    <w:rsid w:val="004D1636"/>
    <w:rsid w:val="004D169D"/>
    <w:rsid w:val="004D1817"/>
    <w:rsid w:val="004D18C3"/>
    <w:rsid w:val="004D195F"/>
    <w:rsid w:val="004D1AA0"/>
    <w:rsid w:val="004D1C4F"/>
    <w:rsid w:val="004D1E3F"/>
    <w:rsid w:val="004D1E98"/>
    <w:rsid w:val="004D1F2A"/>
    <w:rsid w:val="004D1FB4"/>
    <w:rsid w:val="004D2047"/>
    <w:rsid w:val="004D21AE"/>
    <w:rsid w:val="004D21BF"/>
    <w:rsid w:val="004D21D9"/>
    <w:rsid w:val="004D2212"/>
    <w:rsid w:val="004D226E"/>
    <w:rsid w:val="004D241C"/>
    <w:rsid w:val="004D24F1"/>
    <w:rsid w:val="004D2626"/>
    <w:rsid w:val="004D265C"/>
    <w:rsid w:val="004D2952"/>
    <w:rsid w:val="004D29E5"/>
    <w:rsid w:val="004D2A34"/>
    <w:rsid w:val="004D2C44"/>
    <w:rsid w:val="004D2E4C"/>
    <w:rsid w:val="004D2E6D"/>
    <w:rsid w:val="004D2F11"/>
    <w:rsid w:val="004D2F3E"/>
    <w:rsid w:val="004D3027"/>
    <w:rsid w:val="004D3077"/>
    <w:rsid w:val="004D316A"/>
    <w:rsid w:val="004D3175"/>
    <w:rsid w:val="004D31EC"/>
    <w:rsid w:val="004D3374"/>
    <w:rsid w:val="004D3409"/>
    <w:rsid w:val="004D3602"/>
    <w:rsid w:val="004D367A"/>
    <w:rsid w:val="004D36DF"/>
    <w:rsid w:val="004D3731"/>
    <w:rsid w:val="004D38C2"/>
    <w:rsid w:val="004D3917"/>
    <w:rsid w:val="004D3927"/>
    <w:rsid w:val="004D3A88"/>
    <w:rsid w:val="004D3AEA"/>
    <w:rsid w:val="004D3B06"/>
    <w:rsid w:val="004D3D41"/>
    <w:rsid w:val="004D3D95"/>
    <w:rsid w:val="004D3E16"/>
    <w:rsid w:val="004D3E97"/>
    <w:rsid w:val="004D3EBD"/>
    <w:rsid w:val="004D402F"/>
    <w:rsid w:val="004D40C0"/>
    <w:rsid w:val="004D40DB"/>
    <w:rsid w:val="004D40EA"/>
    <w:rsid w:val="004D4126"/>
    <w:rsid w:val="004D427B"/>
    <w:rsid w:val="004D4472"/>
    <w:rsid w:val="004D44BC"/>
    <w:rsid w:val="004D45C3"/>
    <w:rsid w:val="004D45C4"/>
    <w:rsid w:val="004D45D1"/>
    <w:rsid w:val="004D46B4"/>
    <w:rsid w:val="004D488E"/>
    <w:rsid w:val="004D489D"/>
    <w:rsid w:val="004D48F0"/>
    <w:rsid w:val="004D497D"/>
    <w:rsid w:val="004D4AF4"/>
    <w:rsid w:val="004D4B28"/>
    <w:rsid w:val="004D4B72"/>
    <w:rsid w:val="004D4B83"/>
    <w:rsid w:val="004D4BA6"/>
    <w:rsid w:val="004D4CA9"/>
    <w:rsid w:val="004D4D4A"/>
    <w:rsid w:val="004D5112"/>
    <w:rsid w:val="004D51F8"/>
    <w:rsid w:val="004D5243"/>
    <w:rsid w:val="004D5404"/>
    <w:rsid w:val="004D55E4"/>
    <w:rsid w:val="004D58E8"/>
    <w:rsid w:val="004D5961"/>
    <w:rsid w:val="004D5E0B"/>
    <w:rsid w:val="004D5E9F"/>
    <w:rsid w:val="004D5EDA"/>
    <w:rsid w:val="004D6062"/>
    <w:rsid w:val="004D6122"/>
    <w:rsid w:val="004D6152"/>
    <w:rsid w:val="004D6505"/>
    <w:rsid w:val="004D65F2"/>
    <w:rsid w:val="004D6661"/>
    <w:rsid w:val="004D6777"/>
    <w:rsid w:val="004D6818"/>
    <w:rsid w:val="004D68EF"/>
    <w:rsid w:val="004D6DE0"/>
    <w:rsid w:val="004D6F59"/>
    <w:rsid w:val="004D6FF7"/>
    <w:rsid w:val="004D7085"/>
    <w:rsid w:val="004D70D1"/>
    <w:rsid w:val="004D711C"/>
    <w:rsid w:val="004D712A"/>
    <w:rsid w:val="004D712D"/>
    <w:rsid w:val="004D7149"/>
    <w:rsid w:val="004D717B"/>
    <w:rsid w:val="004D738C"/>
    <w:rsid w:val="004D73EB"/>
    <w:rsid w:val="004D73F5"/>
    <w:rsid w:val="004D74CD"/>
    <w:rsid w:val="004D75C2"/>
    <w:rsid w:val="004D76F2"/>
    <w:rsid w:val="004D77E1"/>
    <w:rsid w:val="004D77EE"/>
    <w:rsid w:val="004D7BCD"/>
    <w:rsid w:val="004D7BED"/>
    <w:rsid w:val="004D7E23"/>
    <w:rsid w:val="004D7F5D"/>
    <w:rsid w:val="004D7F6B"/>
    <w:rsid w:val="004D7FA7"/>
    <w:rsid w:val="004D7FD3"/>
    <w:rsid w:val="004E014E"/>
    <w:rsid w:val="004E047C"/>
    <w:rsid w:val="004E0515"/>
    <w:rsid w:val="004E0577"/>
    <w:rsid w:val="004E05AE"/>
    <w:rsid w:val="004E0778"/>
    <w:rsid w:val="004E07B0"/>
    <w:rsid w:val="004E07E2"/>
    <w:rsid w:val="004E09BF"/>
    <w:rsid w:val="004E0B2D"/>
    <w:rsid w:val="004E0C2F"/>
    <w:rsid w:val="004E0C46"/>
    <w:rsid w:val="004E0CC8"/>
    <w:rsid w:val="004E0DAB"/>
    <w:rsid w:val="004E0E09"/>
    <w:rsid w:val="004E0E7F"/>
    <w:rsid w:val="004E0EC3"/>
    <w:rsid w:val="004E0F5E"/>
    <w:rsid w:val="004E10E2"/>
    <w:rsid w:val="004E13A8"/>
    <w:rsid w:val="004E13F6"/>
    <w:rsid w:val="004E146A"/>
    <w:rsid w:val="004E14CF"/>
    <w:rsid w:val="004E171B"/>
    <w:rsid w:val="004E174C"/>
    <w:rsid w:val="004E1991"/>
    <w:rsid w:val="004E1AB5"/>
    <w:rsid w:val="004E1AF4"/>
    <w:rsid w:val="004E1B62"/>
    <w:rsid w:val="004E1B8F"/>
    <w:rsid w:val="004E1CD9"/>
    <w:rsid w:val="004E1D23"/>
    <w:rsid w:val="004E1DA3"/>
    <w:rsid w:val="004E1EDB"/>
    <w:rsid w:val="004E2069"/>
    <w:rsid w:val="004E2094"/>
    <w:rsid w:val="004E20AA"/>
    <w:rsid w:val="004E20B9"/>
    <w:rsid w:val="004E20CB"/>
    <w:rsid w:val="004E20FD"/>
    <w:rsid w:val="004E2187"/>
    <w:rsid w:val="004E22B9"/>
    <w:rsid w:val="004E23B6"/>
    <w:rsid w:val="004E2403"/>
    <w:rsid w:val="004E26AC"/>
    <w:rsid w:val="004E26C9"/>
    <w:rsid w:val="004E26FF"/>
    <w:rsid w:val="004E28DF"/>
    <w:rsid w:val="004E2940"/>
    <w:rsid w:val="004E2A21"/>
    <w:rsid w:val="004E2A33"/>
    <w:rsid w:val="004E2A95"/>
    <w:rsid w:val="004E2C4B"/>
    <w:rsid w:val="004E2C58"/>
    <w:rsid w:val="004E2DA4"/>
    <w:rsid w:val="004E2DD8"/>
    <w:rsid w:val="004E2E39"/>
    <w:rsid w:val="004E3043"/>
    <w:rsid w:val="004E31DB"/>
    <w:rsid w:val="004E3235"/>
    <w:rsid w:val="004E3325"/>
    <w:rsid w:val="004E3330"/>
    <w:rsid w:val="004E3391"/>
    <w:rsid w:val="004E3430"/>
    <w:rsid w:val="004E364E"/>
    <w:rsid w:val="004E36F5"/>
    <w:rsid w:val="004E3703"/>
    <w:rsid w:val="004E370C"/>
    <w:rsid w:val="004E378B"/>
    <w:rsid w:val="004E379B"/>
    <w:rsid w:val="004E37B3"/>
    <w:rsid w:val="004E3859"/>
    <w:rsid w:val="004E38BC"/>
    <w:rsid w:val="004E38C6"/>
    <w:rsid w:val="004E38F8"/>
    <w:rsid w:val="004E3A4D"/>
    <w:rsid w:val="004E3A67"/>
    <w:rsid w:val="004E3B11"/>
    <w:rsid w:val="004E3B75"/>
    <w:rsid w:val="004E3BAC"/>
    <w:rsid w:val="004E3BDC"/>
    <w:rsid w:val="004E3D41"/>
    <w:rsid w:val="004E3D73"/>
    <w:rsid w:val="004E3DC4"/>
    <w:rsid w:val="004E3DEA"/>
    <w:rsid w:val="004E3EF1"/>
    <w:rsid w:val="004E3FCE"/>
    <w:rsid w:val="004E416A"/>
    <w:rsid w:val="004E4252"/>
    <w:rsid w:val="004E4265"/>
    <w:rsid w:val="004E448A"/>
    <w:rsid w:val="004E465C"/>
    <w:rsid w:val="004E46CD"/>
    <w:rsid w:val="004E4715"/>
    <w:rsid w:val="004E485C"/>
    <w:rsid w:val="004E49AF"/>
    <w:rsid w:val="004E49FD"/>
    <w:rsid w:val="004E4A78"/>
    <w:rsid w:val="004E4AF2"/>
    <w:rsid w:val="004E4EA8"/>
    <w:rsid w:val="004E4F94"/>
    <w:rsid w:val="004E5072"/>
    <w:rsid w:val="004E50BF"/>
    <w:rsid w:val="004E50CA"/>
    <w:rsid w:val="004E53CB"/>
    <w:rsid w:val="004E53FA"/>
    <w:rsid w:val="004E54B1"/>
    <w:rsid w:val="004E556A"/>
    <w:rsid w:val="004E55D7"/>
    <w:rsid w:val="004E569A"/>
    <w:rsid w:val="004E5724"/>
    <w:rsid w:val="004E5894"/>
    <w:rsid w:val="004E590C"/>
    <w:rsid w:val="004E5943"/>
    <w:rsid w:val="004E5968"/>
    <w:rsid w:val="004E5C48"/>
    <w:rsid w:val="004E5C5F"/>
    <w:rsid w:val="004E5E44"/>
    <w:rsid w:val="004E61D5"/>
    <w:rsid w:val="004E6329"/>
    <w:rsid w:val="004E6492"/>
    <w:rsid w:val="004E6539"/>
    <w:rsid w:val="004E661B"/>
    <w:rsid w:val="004E6647"/>
    <w:rsid w:val="004E679D"/>
    <w:rsid w:val="004E67AC"/>
    <w:rsid w:val="004E6828"/>
    <w:rsid w:val="004E6E87"/>
    <w:rsid w:val="004E6F60"/>
    <w:rsid w:val="004E6FE0"/>
    <w:rsid w:val="004E71C6"/>
    <w:rsid w:val="004E76FD"/>
    <w:rsid w:val="004E77FB"/>
    <w:rsid w:val="004E782D"/>
    <w:rsid w:val="004E786A"/>
    <w:rsid w:val="004E787F"/>
    <w:rsid w:val="004E78B1"/>
    <w:rsid w:val="004E7943"/>
    <w:rsid w:val="004E7E10"/>
    <w:rsid w:val="004F002D"/>
    <w:rsid w:val="004F00CA"/>
    <w:rsid w:val="004F0240"/>
    <w:rsid w:val="004F0246"/>
    <w:rsid w:val="004F0421"/>
    <w:rsid w:val="004F073D"/>
    <w:rsid w:val="004F0770"/>
    <w:rsid w:val="004F08B3"/>
    <w:rsid w:val="004F098F"/>
    <w:rsid w:val="004F0B5E"/>
    <w:rsid w:val="004F0B60"/>
    <w:rsid w:val="004F0CE1"/>
    <w:rsid w:val="004F0D3C"/>
    <w:rsid w:val="004F0D54"/>
    <w:rsid w:val="004F0D6E"/>
    <w:rsid w:val="004F0DDB"/>
    <w:rsid w:val="004F0E1D"/>
    <w:rsid w:val="004F0E38"/>
    <w:rsid w:val="004F100B"/>
    <w:rsid w:val="004F1078"/>
    <w:rsid w:val="004F10C2"/>
    <w:rsid w:val="004F1254"/>
    <w:rsid w:val="004F1273"/>
    <w:rsid w:val="004F13C0"/>
    <w:rsid w:val="004F142F"/>
    <w:rsid w:val="004F143F"/>
    <w:rsid w:val="004F1502"/>
    <w:rsid w:val="004F1764"/>
    <w:rsid w:val="004F1825"/>
    <w:rsid w:val="004F1888"/>
    <w:rsid w:val="004F18AD"/>
    <w:rsid w:val="004F18FB"/>
    <w:rsid w:val="004F1925"/>
    <w:rsid w:val="004F1BB4"/>
    <w:rsid w:val="004F1CFE"/>
    <w:rsid w:val="004F1DB7"/>
    <w:rsid w:val="004F2144"/>
    <w:rsid w:val="004F2268"/>
    <w:rsid w:val="004F22CD"/>
    <w:rsid w:val="004F2360"/>
    <w:rsid w:val="004F23B3"/>
    <w:rsid w:val="004F23D1"/>
    <w:rsid w:val="004F258F"/>
    <w:rsid w:val="004F25B3"/>
    <w:rsid w:val="004F267B"/>
    <w:rsid w:val="004F290D"/>
    <w:rsid w:val="004F2C58"/>
    <w:rsid w:val="004F2F01"/>
    <w:rsid w:val="004F2FA2"/>
    <w:rsid w:val="004F3015"/>
    <w:rsid w:val="004F3133"/>
    <w:rsid w:val="004F322A"/>
    <w:rsid w:val="004F3320"/>
    <w:rsid w:val="004F3366"/>
    <w:rsid w:val="004F33A0"/>
    <w:rsid w:val="004F3678"/>
    <w:rsid w:val="004F369B"/>
    <w:rsid w:val="004F36B9"/>
    <w:rsid w:val="004F37C9"/>
    <w:rsid w:val="004F38A0"/>
    <w:rsid w:val="004F3943"/>
    <w:rsid w:val="004F3AEC"/>
    <w:rsid w:val="004F3BC6"/>
    <w:rsid w:val="004F3BD5"/>
    <w:rsid w:val="004F3BE2"/>
    <w:rsid w:val="004F3C5C"/>
    <w:rsid w:val="004F3C85"/>
    <w:rsid w:val="004F3D12"/>
    <w:rsid w:val="004F3F1D"/>
    <w:rsid w:val="004F3F2B"/>
    <w:rsid w:val="004F3FCF"/>
    <w:rsid w:val="004F405A"/>
    <w:rsid w:val="004F40BA"/>
    <w:rsid w:val="004F41C4"/>
    <w:rsid w:val="004F42C4"/>
    <w:rsid w:val="004F42FC"/>
    <w:rsid w:val="004F4508"/>
    <w:rsid w:val="004F4756"/>
    <w:rsid w:val="004F47B5"/>
    <w:rsid w:val="004F4A47"/>
    <w:rsid w:val="004F4BBD"/>
    <w:rsid w:val="004F4C70"/>
    <w:rsid w:val="004F4F45"/>
    <w:rsid w:val="004F5069"/>
    <w:rsid w:val="004F507D"/>
    <w:rsid w:val="004F50FD"/>
    <w:rsid w:val="004F5283"/>
    <w:rsid w:val="004F52E3"/>
    <w:rsid w:val="004F552B"/>
    <w:rsid w:val="004F5575"/>
    <w:rsid w:val="004F576D"/>
    <w:rsid w:val="004F59C2"/>
    <w:rsid w:val="004F5A9C"/>
    <w:rsid w:val="004F5B73"/>
    <w:rsid w:val="004F5BA2"/>
    <w:rsid w:val="004F5BE1"/>
    <w:rsid w:val="004F5F27"/>
    <w:rsid w:val="004F60DC"/>
    <w:rsid w:val="004F6238"/>
    <w:rsid w:val="004F6322"/>
    <w:rsid w:val="004F63F5"/>
    <w:rsid w:val="004F647A"/>
    <w:rsid w:val="004F65F6"/>
    <w:rsid w:val="004F6885"/>
    <w:rsid w:val="004F68C9"/>
    <w:rsid w:val="004F68F6"/>
    <w:rsid w:val="004F694E"/>
    <w:rsid w:val="004F695F"/>
    <w:rsid w:val="004F6976"/>
    <w:rsid w:val="004F6997"/>
    <w:rsid w:val="004F6A1B"/>
    <w:rsid w:val="004F6AE8"/>
    <w:rsid w:val="004F6B37"/>
    <w:rsid w:val="004F6B89"/>
    <w:rsid w:val="004F6BBA"/>
    <w:rsid w:val="004F6BC5"/>
    <w:rsid w:val="004F6C10"/>
    <w:rsid w:val="004F6DB5"/>
    <w:rsid w:val="004F6E42"/>
    <w:rsid w:val="004F6F47"/>
    <w:rsid w:val="004F6F84"/>
    <w:rsid w:val="004F70DC"/>
    <w:rsid w:val="004F715F"/>
    <w:rsid w:val="004F717F"/>
    <w:rsid w:val="004F72C3"/>
    <w:rsid w:val="004F736B"/>
    <w:rsid w:val="004F73AB"/>
    <w:rsid w:val="004F73DF"/>
    <w:rsid w:val="004F73E5"/>
    <w:rsid w:val="004F750D"/>
    <w:rsid w:val="004F7625"/>
    <w:rsid w:val="004F781A"/>
    <w:rsid w:val="004F7875"/>
    <w:rsid w:val="004F78F8"/>
    <w:rsid w:val="004F78FA"/>
    <w:rsid w:val="004F7909"/>
    <w:rsid w:val="004F7D20"/>
    <w:rsid w:val="004F7D2E"/>
    <w:rsid w:val="004F7D3A"/>
    <w:rsid w:val="004F7D97"/>
    <w:rsid w:val="004F7F53"/>
    <w:rsid w:val="00500003"/>
    <w:rsid w:val="005000D2"/>
    <w:rsid w:val="00500413"/>
    <w:rsid w:val="00500657"/>
    <w:rsid w:val="0050094C"/>
    <w:rsid w:val="00500A38"/>
    <w:rsid w:val="00500AD4"/>
    <w:rsid w:val="00500AE5"/>
    <w:rsid w:val="00500B00"/>
    <w:rsid w:val="00500B3C"/>
    <w:rsid w:val="00500B67"/>
    <w:rsid w:val="00500BD5"/>
    <w:rsid w:val="00500D73"/>
    <w:rsid w:val="00500DE2"/>
    <w:rsid w:val="00500DE4"/>
    <w:rsid w:val="00500DE8"/>
    <w:rsid w:val="00500EB9"/>
    <w:rsid w:val="00501032"/>
    <w:rsid w:val="00501057"/>
    <w:rsid w:val="0050105B"/>
    <w:rsid w:val="00501205"/>
    <w:rsid w:val="00501246"/>
    <w:rsid w:val="0050125D"/>
    <w:rsid w:val="00501380"/>
    <w:rsid w:val="005014C1"/>
    <w:rsid w:val="005015F0"/>
    <w:rsid w:val="0050164A"/>
    <w:rsid w:val="005018B2"/>
    <w:rsid w:val="00501918"/>
    <w:rsid w:val="00501A51"/>
    <w:rsid w:val="00501D4B"/>
    <w:rsid w:val="00501D61"/>
    <w:rsid w:val="00501E38"/>
    <w:rsid w:val="00501E6E"/>
    <w:rsid w:val="00501E74"/>
    <w:rsid w:val="00501E8E"/>
    <w:rsid w:val="00501FD7"/>
    <w:rsid w:val="00502077"/>
    <w:rsid w:val="005021A6"/>
    <w:rsid w:val="005022C9"/>
    <w:rsid w:val="005023A6"/>
    <w:rsid w:val="00502452"/>
    <w:rsid w:val="0050247B"/>
    <w:rsid w:val="0050255D"/>
    <w:rsid w:val="00502614"/>
    <w:rsid w:val="0050264D"/>
    <w:rsid w:val="00502753"/>
    <w:rsid w:val="005028F6"/>
    <w:rsid w:val="0050290B"/>
    <w:rsid w:val="00502947"/>
    <w:rsid w:val="00502993"/>
    <w:rsid w:val="00502A75"/>
    <w:rsid w:val="00502B48"/>
    <w:rsid w:val="00502BEA"/>
    <w:rsid w:val="00502C1C"/>
    <w:rsid w:val="00502C84"/>
    <w:rsid w:val="00502CF3"/>
    <w:rsid w:val="00502E10"/>
    <w:rsid w:val="00502F09"/>
    <w:rsid w:val="0050301A"/>
    <w:rsid w:val="00503267"/>
    <w:rsid w:val="0050328E"/>
    <w:rsid w:val="005033BA"/>
    <w:rsid w:val="005033E7"/>
    <w:rsid w:val="005033EE"/>
    <w:rsid w:val="00503450"/>
    <w:rsid w:val="0050351E"/>
    <w:rsid w:val="00503587"/>
    <w:rsid w:val="005035C1"/>
    <w:rsid w:val="0050365D"/>
    <w:rsid w:val="005037AA"/>
    <w:rsid w:val="005037B5"/>
    <w:rsid w:val="00503AFB"/>
    <w:rsid w:val="00503B54"/>
    <w:rsid w:val="00503BE1"/>
    <w:rsid w:val="00503CB7"/>
    <w:rsid w:val="00503D15"/>
    <w:rsid w:val="00503D47"/>
    <w:rsid w:val="00503D56"/>
    <w:rsid w:val="0050400E"/>
    <w:rsid w:val="00504039"/>
    <w:rsid w:val="00504101"/>
    <w:rsid w:val="00504338"/>
    <w:rsid w:val="0050434B"/>
    <w:rsid w:val="005043A8"/>
    <w:rsid w:val="00504524"/>
    <w:rsid w:val="005048DE"/>
    <w:rsid w:val="00504B13"/>
    <w:rsid w:val="00504B3A"/>
    <w:rsid w:val="00504B9F"/>
    <w:rsid w:val="00504D67"/>
    <w:rsid w:val="005050FF"/>
    <w:rsid w:val="0050515D"/>
    <w:rsid w:val="005051FB"/>
    <w:rsid w:val="00505214"/>
    <w:rsid w:val="005054EE"/>
    <w:rsid w:val="005055DF"/>
    <w:rsid w:val="00505636"/>
    <w:rsid w:val="00505681"/>
    <w:rsid w:val="00505729"/>
    <w:rsid w:val="00505850"/>
    <w:rsid w:val="005058E0"/>
    <w:rsid w:val="005059A5"/>
    <w:rsid w:val="00505B13"/>
    <w:rsid w:val="00505B4C"/>
    <w:rsid w:val="00505C1E"/>
    <w:rsid w:val="00505DE6"/>
    <w:rsid w:val="00505E0D"/>
    <w:rsid w:val="00505EC0"/>
    <w:rsid w:val="00505F2D"/>
    <w:rsid w:val="00505F9B"/>
    <w:rsid w:val="005060AB"/>
    <w:rsid w:val="005060E2"/>
    <w:rsid w:val="0050616C"/>
    <w:rsid w:val="005061F3"/>
    <w:rsid w:val="005062A2"/>
    <w:rsid w:val="005063CB"/>
    <w:rsid w:val="005065A6"/>
    <w:rsid w:val="00506632"/>
    <w:rsid w:val="0050675E"/>
    <w:rsid w:val="00506858"/>
    <w:rsid w:val="00506859"/>
    <w:rsid w:val="00506B59"/>
    <w:rsid w:val="00506B94"/>
    <w:rsid w:val="00506BBD"/>
    <w:rsid w:val="00506C73"/>
    <w:rsid w:val="00506CEB"/>
    <w:rsid w:val="00506D4E"/>
    <w:rsid w:val="00506E07"/>
    <w:rsid w:val="00506E2A"/>
    <w:rsid w:val="00506E36"/>
    <w:rsid w:val="00506E7F"/>
    <w:rsid w:val="00506F1E"/>
    <w:rsid w:val="00506F4D"/>
    <w:rsid w:val="005070CB"/>
    <w:rsid w:val="005073F5"/>
    <w:rsid w:val="00507444"/>
    <w:rsid w:val="005074FB"/>
    <w:rsid w:val="0050752F"/>
    <w:rsid w:val="0050762A"/>
    <w:rsid w:val="005076FF"/>
    <w:rsid w:val="00507802"/>
    <w:rsid w:val="00507807"/>
    <w:rsid w:val="0050788C"/>
    <w:rsid w:val="005079CB"/>
    <w:rsid w:val="00507A8B"/>
    <w:rsid w:val="00507BE0"/>
    <w:rsid w:val="00507BEC"/>
    <w:rsid w:val="00507D57"/>
    <w:rsid w:val="00507D84"/>
    <w:rsid w:val="00507E13"/>
    <w:rsid w:val="00507E1D"/>
    <w:rsid w:val="00507F14"/>
    <w:rsid w:val="00507F23"/>
    <w:rsid w:val="00510015"/>
    <w:rsid w:val="00510075"/>
    <w:rsid w:val="005100E8"/>
    <w:rsid w:val="0051012D"/>
    <w:rsid w:val="00510160"/>
    <w:rsid w:val="005101FF"/>
    <w:rsid w:val="005102F4"/>
    <w:rsid w:val="005103B0"/>
    <w:rsid w:val="00510422"/>
    <w:rsid w:val="005104CC"/>
    <w:rsid w:val="00510592"/>
    <w:rsid w:val="00510594"/>
    <w:rsid w:val="00510646"/>
    <w:rsid w:val="005107A1"/>
    <w:rsid w:val="005107B1"/>
    <w:rsid w:val="00510981"/>
    <w:rsid w:val="005109EA"/>
    <w:rsid w:val="00510A75"/>
    <w:rsid w:val="00510B73"/>
    <w:rsid w:val="00510C07"/>
    <w:rsid w:val="00510C77"/>
    <w:rsid w:val="00510CBE"/>
    <w:rsid w:val="00510DED"/>
    <w:rsid w:val="00510FA6"/>
    <w:rsid w:val="00511067"/>
    <w:rsid w:val="005111D7"/>
    <w:rsid w:val="00511216"/>
    <w:rsid w:val="005112CE"/>
    <w:rsid w:val="0051141E"/>
    <w:rsid w:val="005116E3"/>
    <w:rsid w:val="0051188F"/>
    <w:rsid w:val="005118F9"/>
    <w:rsid w:val="005119E7"/>
    <w:rsid w:val="005119FB"/>
    <w:rsid w:val="00511A03"/>
    <w:rsid w:val="00511CA6"/>
    <w:rsid w:val="00511CCB"/>
    <w:rsid w:val="00511DA7"/>
    <w:rsid w:val="00511DFE"/>
    <w:rsid w:val="00511ED8"/>
    <w:rsid w:val="00511F52"/>
    <w:rsid w:val="00511F9A"/>
    <w:rsid w:val="00511FB5"/>
    <w:rsid w:val="00512125"/>
    <w:rsid w:val="0051213B"/>
    <w:rsid w:val="00512212"/>
    <w:rsid w:val="0051227E"/>
    <w:rsid w:val="005124C1"/>
    <w:rsid w:val="00512646"/>
    <w:rsid w:val="005126A8"/>
    <w:rsid w:val="00512731"/>
    <w:rsid w:val="0051284B"/>
    <w:rsid w:val="00512873"/>
    <w:rsid w:val="00512878"/>
    <w:rsid w:val="00512991"/>
    <w:rsid w:val="00512AD8"/>
    <w:rsid w:val="00512B4E"/>
    <w:rsid w:val="00512B7D"/>
    <w:rsid w:val="00512C3A"/>
    <w:rsid w:val="00512D28"/>
    <w:rsid w:val="00512D30"/>
    <w:rsid w:val="00512DFD"/>
    <w:rsid w:val="00512F4B"/>
    <w:rsid w:val="00513226"/>
    <w:rsid w:val="00513380"/>
    <w:rsid w:val="005134D3"/>
    <w:rsid w:val="00513540"/>
    <w:rsid w:val="00513542"/>
    <w:rsid w:val="00513575"/>
    <w:rsid w:val="00513810"/>
    <w:rsid w:val="0051391A"/>
    <w:rsid w:val="0051396D"/>
    <w:rsid w:val="00513A52"/>
    <w:rsid w:val="00513EFE"/>
    <w:rsid w:val="00513F2C"/>
    <w:rsid w:val="00514281"/>
    <w:rsid w:val="00514350"/>
    <w:rsid w:val="00514413"/>
    <w:rsid w:val="0051446E"/>
    <w:rsid w:val="005144E0"/>
    <w:rsid w:val="0051465D"/>
    <w:rsid w:val="0051469E"/>
    <w:rsid w:val="005147BC"/>
    <w:rsid w:val="0051480A"/>
    <w:rsid w:val="0051484C"/>
    <w:rsid w:val="00514A74"/>
    <w:rsid w:val="00514AA9"/>
    <w:rsid w:val="00514AE5"/>
    <w:rsid w:val="00514AEE"/>
    <w:rsid w:val="00514BCC"/>
    <w:rsid w:val="00514D52"/>
    <w:rsid w:val="00514DD5"/>
    <w:rsid w:val="00514DED"/>
    <w:rsid w:val="00514E24"/>
    <w:rsid w:val="00514E7A"/>
    <w:rsid w:val="00514F2C"/>
    <w:rsid w:val="00514F89"/>
    <w:rsid w:val="0051504E"/>
    <w:rsid w:val="005150AF"/>
    <w:rsid w:val="005150E2"/>
    <w:rsid w:val="005151A7"/>
    <w:rsid w:val="005151DD"/>
    <w:rsid w:val="00515398"/>
    <w:rsid w:val="0051549D"/>
    <w:rsid w:val="00515684"/>
    <w:rsid w:val="005156E1"/>
    <w:rsid w:val="005158B4"/>
    <w:rsid w:val="005158FD"/>
    <w:rsid w:val="0051590D"/>
    <w:rsid w:val="00515A63"/>
    <w:rsid w:val="00515B11"/>
    <w:rsid w:val="00515B6C"/>
    <w:rsid w:val="00515C19"/>
    <w:rsid w:val="00515C31"/>
    <w:rsid w:val="00516095"/>
    <w:rsid w:val="005160FA"/>
    <w:rsid w:val="00516133"/>
    <w:rsid w:val="005163D2"/>
    <w:rsid w:val="005164A5"/>
    <w:rsid w:val="0051651F"/>
    <w:rsid w:val="0051660A"/>
    <w:rsid w:val="00516666"/>
    <w:rsid w:val="00516813"/>
    <w:rsid w:val="0051688B"/>
    <w:rsid w:val="0051688E"/>
    <w:rsid w:val="00516895"/>
    <w:rsid w:val="00516906"/>
    <w:rsid w:val="00516BED"/>
    <w:rsid w:val="00516C37"/>
    <w:rsid w:val="00516C73"/>
    <w:rsid w:val="00516DAA"/>
    <w:rsid w:val="00516DBB"/>
    <w:rsid w:val="00516E41"/>
    <w:rsid w:val="00516F2A"/>
    <w:rsid w:val="00516F5C"/>
    <w:rsid w:val="00516F6A"/>
    <w:rsid w:val="00516FE1"/>
    <w:rsid w:val="00517206"/>
    <w:rsid w:val="00517279"/>
    <w:rsid w:val="0051728B"/>
    <w:rsid w:val="00517429"/>
    <w:rsid w:val="0051756E"/>
    <w:rsid w:val="00517706"/>
    <w:rsid w:val="00517715"/>
    <w:rsid w:val="00517743"/>
    <w:rsid w:val="0051775A"/>
    <w:rsid w:val="005177D8"/>
    <w:rsid w:val="00517887"/>
    <w:rsid w:val="005178D1"/>
    <w:rsid w:val="00517A29"/>
    <w:rsid w:val="00517AF8"/>
    <w:rsid w:val="00517CE7"/>
    <w:rsid w:val="00520267"/>
    <w:rsid w:val="0052029F"/>
    <w:rsid w:val="0052036B"/>
    <w:rsid w:val="005203DE"/>
    <w:rsid w:val="005203FD"/>
    <w:rsid w:val="005205BC"/>
    <w:rsid w:val="005206BB"/>
    <w:rsid w:val="00520774"/>
    <w:rsid w:val="005207F4"/>
    <w:rsid w:val="005208FC"/>
    <w:rsid w:val="00520BDF"/>
    <w:rsid w:val="00520C3E"/>
    <w:rsid w:val="00520C49"/>
    <w:rsid w:val="00520E78"/>
    <w:rsid w:val="00520EE5"/>
    <w:rsid w:val="00520F96"/>
    <w:rsid w:val="00520F99"/>
    <w:rsid w:val="005210F6"/>
    <w:rsid w:val="00521149"/>
    <w:rsid w:val="005211B1"/>
    <w:rsid w:val="005211C1"/>
    <w:rsid w:val="005211FD"/>
    <w:rsid w:val="005212B6"/>
    <w:rsid w:val="005213B1"/>
    <w:rsid w:val="005213BA"/>
    <w:rsid w:val="005213CD"/>
    <w:rsid w:val="005213F6"/>
    <w:rsid w:val="00521468"/>
    <w:rsid w:val="00521566"/>
    <w:rsid w:val="00521628"/>
    <w:rsid w:val="00521769"/>
    <w:rsid w:val="005217A2"/>
    <w:rsid w:val="0052183E"/>
    <w:rsid w:val="00521A46"/>
    <w:rsid w:val="00521AEC"/>
    <w:rsid w:val="00521B23"/>
    <w:rsid w:val="00521C44"/>
    <w:rsid w:val="00521CA4"/>
    <w:rsid w:val="00521D90"/>
    <w:rsid w:val="00521E2C"/>
    <w:rsid w:val="00521E4A"/>
    <w:rsid w:val="00521E65"/>
    <w:rsid w:val="00521EA1"/>
    <w:rsid w:val="00521F0D"/>
    <w:rsid w:val="00521F22"/>
    <w:rsid w:val="00521F92"/>
    <w:rsid w:val="00521FDE"/>
    <w:rsid w:val="005220E7"/>
    <w:rsid w:val="005220F9"/>
    <w:rsid w:val="00522360"/>
    <w:rsid w:val="00522446"/>
    <w:rsid w:val="00522478"/>
    <w:rsid w:val="005224C1"/>
    <w:rsid w:val="0052258B"/>
    <w:rsid w:val="005227AB"/>
    <w:rsid w:val="0052295C"/>
    <w:rsid w:val="005229E5"/>
    <w:rsid w:val="00522A4E"/>
    <w:rsid w:val="00522AC3"/>
    <w:rsid w:val="00522B42"/>
    <w:rsid w:val="00522B7C"/>
    <w:rsid w:val="00522C13"/>
    <w:rsid w:val="00522C5B"/>
    <w:rsid w:val="00522D93"/>
    <w:rsid w:val="00522F2B"/>
    <w:rsid w:val="00523055"/>
    <w:rsid w:val="0052324D"/>
    <w:rsid w:val="005232BF"/>
    <w:rsid w:val="0052356A"/>
    <w:rsid w:val="005235B2"/>
    <w:rsid w:val="0052364B"/>
    <w:rsid w:val="005236BA"/>
    <w:rsid w:val="00523AEE"/>
    <w:rsid w:val="00523B8D"/>
    <w:rsid w:val="00524309"/>
    <w:rsid w:val="0052430E"/>
    <w:rsid w:val="00524459"/>
    <w:rsid w:val="00524487"/>
    <w:rsid w:val="00524553"/>
    <w:rsid w:val="0052459B"/>
    <w:rsid w:val="0052465B"/>
    <w:rsid w:val="00524782"/>
    <w:rsid w:val="00524787"/>
    <w:rsid w:val="005249E4"/>
    <w:rsid w:val="00524B02"/>
    <w:rsid w:val="00524C5E"/>
    <w:rsid w:val="00524D74"/>
    <w:rsid w:val="00524DA1"/>
    <w:rsid w:val="00524E1A"/>
    <w:rsid w:val="00525173"/>
    <w:rsid w:val="005251A6"/>
    <w:rsid w:val="005251CF"/>
    <w:rsid w:val="0052530C"/>
    <w:rsid w:val="0052547D"/>
    <w:rsid w:val="0052548A"/>
    <w:rsid w:val="005254F3"/>
    <w:rsid w:val="00525546"/>
    <w:rsid w:val="00525839"/>
    <w:rsid w:val="00525875"/>
    <w:rsid w:val="00525A5E"/>
    <w:rsid w:val="00525AAB"/>
    <w:rsid w:val="00525BA4"/>
    <w:rsid w:val="00525C5C"/>
    <w:rsid w:val="00525F28"/>
    <w:rsid w:val="00526094"/>
    <w:rsid w:val="00526215"/>
    <w:rsid w:val="005262D4"/>
    <w:rsid w:val="005264F5"/>
    <w:rsid w:val="00526879"/>
    <w:rsid w:val="0052693B"/>
    <w:rsid w:val="005269DD"/>
    <w:rsid w:val="00526AA2"/>
    <w:rsid w:val="00526B95"/>
    <w:rsid w:val="00526C33"/>
    <w:rsid w:val="00526DF4"/>
    <w:rsid w:val="00526E91"/>
    <w:rsid w:val="00526F48"/>
    <w:rsid w:val="005270A4"/>
    <w:rsid w:val="00527105"/>
    <w:rsid w:val="0052731C"/>
    <w:rsid w:val="005273C8"/>
    <w:rsid w:val="00527522"/>
    <w:rsid w:val="0052758F"/>
    <w:rsid w:val="005275D2"/>
    <w:rsid w:val="0052768F"/>
    <w:rsid w:val="00527755"/>
    <w:rsid w:val="00527850"/>
    <w:rsid w:val="005278A1"/>
    <w:rsid w:val="005278B3"/>
    <w:rsid w:val="005278F9"/>
    <w:rsid w:val="00527BDD"/>
    <w:rsid w:val="00527F02"/>
    <w:rsid w:val="0053001C"/>
    <w:rsid w:val="00530251"/>
    <w:rsid w:val="005303F8"/>
    <w:rsid w:val="00530591"/>
    <w:rsid w:val="005305E9"/>
    <w:rsid w:val="0053081A"/>
    <w:rsid w:val="00530820"/>
    <w:rsid w:val="005309DF"/>
    <w:rsid w:val="00530A28"/>
    <w:rsid w:val="00530A7C"/>
    <w:rsid w:val="00530C00"/>
    <w:rsid w:val="00530C6B"/>
    <w:rsid w:val="00530D8F"/>
    <w:rsid w:val="00530DE8"/>
    <w:rsid w:val="00530FB2"/>
    <w:rsid w:val="00531048"/>
    <w:rsid w:val="00531087"/>
    <w:rsid w:val="005312D4"/>
    <w:rsid w:val="005312DE"/>
    <w:rsid w:val="005312DF"/>
    <w:rsid w:val="0053130B"/>
    <w:rsid w:val="00531396"/>
    <w:rsid w:val="005314B8"/>
    <w:rsid w:val="005315EC"/>
    <w:rsid w:val="0053163D"/>
    <w:rsid w:val="00531707"/>
    <w:rsid w:val="0053170F"/>
    <w:rsid w:val="00531870"/>
    <w:rsid w:val="005318A2"/>
    <w:rsid w:val="00531A73"/>
    <w:rsid w:val="00531B6E"/>
    <w:rsid w:val="00531BA7"/>
    <w:rsid w:val="00531BE2"/>
    <w:rsid w:val="00531C5D"/>
    <w:rsid w:val="00531CE5"/>
    <w:rsid w:val="00531CF8"/>
    <w:rsid w:val="00531DAA"/>
    <w:rsid w:val="00531E2E"/>
    <w:rsid w:val="0053217E"/>
    <w:rsid w:val="0053222E"/>
    <w:rsid w:val="005322C8"/>
    <w:rsid w:val="00532304"/>
    <w:rsid w:val="00532361"/>
    <w:rsid w:val="005323F1"/>
    <w:rsid w:val="00532423"/>
    <w:rsid w:val="0053244C"/>
    <w:rsid w:val="00532630"/>
    <w:rsid w:val="00532771"/>
    <w:rsid w:val="005327BB"/>
    <w:rsid w:val="00532870"/>
    <w:rsid w:val="005328E2"/>
    <w:rsid w:val="00532A06"/>
    <w:rsid w:val="00532A1B"/>
    <w:rsid w:val="00532B8F"/>
    <w:rsid w:val="00532BA1"/>
    <w:rsid w:val="00532BB2"/>
    <w:rsid w:val="00532BF4"/>
    <w:rsid w:val="00532C9B"/>
    <w:rsid w:val="00532DD1"/>
    <w:rsid w:val="00532EB8"/>
    <w:rsid w:val="00532FB9"/>
    <w:rsid w:val="00532FBF"/>
    <w:rsid w:val="00532FD5"/>
    <w:rsid w:val="0053304F"/>
    <w:rsid w:val="00533127"/>
    <w:rsid w:val="00533174"/>
    <w:rsid w:val="00533189"/>
    <w:rsid w:val="0053340A"/>
    <w:rsid w:val="00533420"/>
    <w:rsid w:val="0053348C"/>
    <w:rsid w:val="0053363A"/>
    <w:rsid w:val="00533644"/>
    <w:rsid w:val="005337C6"/>
    <w:rsid w:val="0053387C"/>
    <w:rsid w:val="005338B3"/>
    <w:rsid w:val="00533965"/>
    <w:rsid w:val="00533A2C"/>
    <w:rsid w:val="00533ABB"/>
    <w:rsid w:val="00533AEE"/>
    <w:rsid w:val="00533AFB"/>
    <w:rsid w:val="00533B8C"/>
    <w:rsid w:val="00533F54"/>
    <w:rsid w:val="00533F84"/>
    <w:rsid w:val="005340DB"/>
    <w:rsid w:val="0053428C"/>
    <w:rsid w:val="005343DB"/>
    <w:rsid w:val="0053445F"/>
    <w:rsid w:val="005345F4"/>
    <w:rsid w:val="0053472D"/>
    <w:rsid w:val="005348F8"/>
    <w:rsid w:val="00534966"/>
    <w:rsid w:val="00534980"/>
    <w:rsid w:val="00534A4D"/>
    <w:rsid w:val="00534BE8"/>
    <w:rsid w:val="00534C1B"/>
    <w:rsid w:val="00534FCC"/>
    <w:rsid w:val="00535055"/>
    <w:rsid w:val="005350C2"/>
    <w:rsid w:val="00535212"/>
    <w:rsid w:val="0053521D"/>
    <w:rsid w:val="005352B4"/>
    <w:rsid w:val="005352F6"/>
    <w:rsid w:val="005353DB"/>
    <w:rsid w:val="00535421"/>
    <w:rsid w:val="00535445"/>
    <w:rsid w:val="00535648"/>
    <w:rsid w:val="00535687"/>
    <w:rsid w:val="00535696"/>
    <w:rsid w:val="00535772"/>
    <w:rsid w:val="005357B7"/>
    <w:rsid w:val="00535B95"/>
    <w:rsid w:val="00535C53"/>
    <w:rsid w:val="00535C71"/>
    <w:rsid w:val="00535D21"/>
    <w:rsid w:val="00535D83"/>
    <w:rsid w:val="00535DDF"/>
    <w:rsid w:val="00535E6D"/>
    <w:rsid w:val="00536349"/>
    <w:rsid w:val="00536466"/>
    <w:rsid w:val="00536504"/>
    <w:rsid w:val="005365A2"/>
    <w:rsid w:val="005366E5"/>
    <w:rsid w:val="00536830"/>
    <w:rsid w:val="0053687B"/>
    <w:rsid w:val="005368CB"/>
    <w:rsid w:val="00536AE1"/>
    <w:rsid w:val="00536B1E"/>
    <w:rsid w:val="00536BD4"/>
    <w:rsid w:val="00536CE4"/>
    <w:rsid w:val="00536D1D"/>
    <w:rsid w:val="00536D29"/>
    <w:rsid w:val="00536DDA"/>
    <w:rsid w:val="00536EA1"/>
    <w:rsid w:val="00536F46"/>
    <w:rsid w:val="00537016"/>
    <w:rsid w:val="00537130"/>
    <w:rsid w:val="0053717D"/>
    <w:rsid w:val="005371E3"/>
    <w:rsid w:val="00537290"/>
    <w:rsid w:val="005372EF"/>
    <w:rsid w:val="00537304"/>
    <w:rsid w:val="00537350"/>
    <w:rsid w:val="005376B9"/>
    <w:rsid w:val="005376F6"/>
    <w:rsid w:val="005377D5"/>
    <w:rsid w:val="0053783E"/>
    <w:rsid w:val="00537939"/>
    <w:rsid w:val="005379B4"/>
    <w:rsid w:val="00537B70"/>
    <w:rsid w:val="00537BA1"/>
    <w:rsid w:val="00537BFA"/>
    <w:rsid w:val="00537D4B"/>
    <w:rsid w:val="00537EB1"/>
    <w:rsid w:val="00537ED4"/>
    <w:rsid w:val="00537FA8"/>
    <w:rsid w:val="00540122"/>
    <w:rsid w:val="0054012C"/>
    <w:rsid w:val="0054018D"/>
    <w:rsid w:val="00540195"/>
    <w:rsid w:val="005401ED"/>
    <w:rsid w:val="005402E5"/>
    <w:rsid w:val="00540321"/>
    <w:rsid w:val="00540424"/>
    <w:rsid w:val="0054065A"/>
    <w:rsid w:val="00540706"/>
    <w:rsid w:val="0054077E"/>
    <w:rsid w:val="00540786"/>
    <w:rsid w:val="005408EA"/>
    <w:rsid w:val="00540954"/>
    <w:rsid w:val="00540A1C"/>
    <w:rsid w:val="00540BAF"/>
    <w:rsid w:val="00540BDF"/>
    <w:rsid w:val="00540D70"/>
    <w:rsid w:val="00540EAB"/>
    <w:rsid w:val="00540FC1"/>
    <w:rsid w:val="0054100D"/>
    <w:rsid w:val="00541077"/>
    <w:rsid w:val="0054110A"/>
    <w:rsid w:val="0054114B"/>
    <w:rsid w:val="005411B5"/>
    <w:rsid w:val="005411D5"/>
    <w:rsid w:val="0054132A"/>
    <w:rsid w:val="00541541"/>
    <w:rsid w:val="0054155C"/>
    <w:rsid w:val="00541592"/>
    <w:rsid w:val="005416E0"/>
    <w:rsid w:val="0054176B"/>
    <w:rsid w:val="005417B8"/>
    <w:rsid w:val="005417DD"/>
    <w:rsid w:val="00541A0B"/>
    <w:rsid w:val="00541A4F"/>
    <w:rsid w:val="00541BD0"/>
    <w:rsid w:val="00541BF7"/>
    <w:rsid w:val="00541C6F"/>
    <w:rsid w:val="00541E83"/>
    <w:rsid w:val="00541EA3"/>
    <w:rsid w:val="00541FC7"/>
    <w:rsid w:val="00542119"/>
    <w:rsid w:val="0054217F"/>
    <w:rsid w:val="0054220F"/>
    <w:rsid w:val="0054228F"/>
    <w:rsid w:val="00542359"/>
    <w:rsid w:val="0054241D"/>
    <w:rsid w:val="0054256A"/>
    <w:rsid w:val="005425CB"/>
    <w:rsid w:val="00542859"/>
    <w:rsid w:val="00542884"/>
    <w:rsid w:val="005428FA"/>
    <w:rsid w:val="005429E4"/>
    <w:rsid w:val="00542AD3"/>
    <w:rsid w:val="00542CDC"/>
    <w:rsid w:val="00542CF7"/>
    <w:rsid w:val="00542DCB"/>
    <w:rsid w:val="00542DCC"/>
    <w:rsid w:val="00542F31"/>
    <w:rsid w:val="00542F5C"/>
    <w:rsid w:val="00543126"/>
    <w:rsid w:val="00543145"/>
    <w:rsid w:val="005431D5"/>
    <w:rsid w:val="005433E0"/>
    <w:rsid w:val="0054354D"/>
    <w:rsid w:val="00543555"/>
    <w:rsid w:val="005436A9"/>
    <w:rsid w:val="00543708"/>
    <w:rsid w:val="005437AD"/>
    <w:rsid w:val="0054390B"/>
    <w:rsid w:val="00543AD4"/>
    <w:rsid w:val="00543B59"/>
    <w:rsid w:val="00543CED"/>
    <w:rsid w:val="00543CFF"/>
    <w:rsid w:val="00543DA4"/>
    <w:rsid w:val="00543E01"/>
    <w:rsid w:val="00543F62"/>
    <w:rsid w:val="00543F97"/>
    <w:rsid w:val="00543FFD"/>
    <w:rsid w:val="00544011"/>
    <w:rsid w:val="005441E2"/>
    <w:rsid w:val="005442DE"/>
    <w:rsid w:val="00544323"/>
    <w:rsid w:val="00544342"/>
    <w:rsid w:val="00544344"/>
    <w:rsid w:val="005443AB"/>
    <w:rsid w:val="005443E4"/>
    <w:rsid w:val="00544520"/>
    <w:rsid w:val="00544659"/>
    <w:rsid w:val="005448E3"/>
    <w:rsid w:val="00544925"/>
    <w:rsid w:val="005449CA"/>
    <w:rsid w:val="00544B96"/>
    <w:rsid w:val="00544DEC"/>
    <w:rsid w:val="00544F47"/>
    <w:rsid w:val="00544FCE"/>
    <w:rsid w:val="00544FD0"/>
    <w:rsid w:val="00544FD4"/>
    <w:rsid w:val="00545013"/>
    <w:rsid w:val="00545196"/>
    <w:rsid w:val="00545266"/>
    <w:rsid w:val="005453EE"/>
    <w:rsid w:val="005455C6"/>
    <w:rsid w:val="005456AE"/>
    <w:rsid w:val="00545831"/>
    <w:rsid w:val="00545ACF"/>
    <w:rsid w:val="00545BB2"/>
    <w:rsid w:val="00545BEB"/>
    <w:rsid w:val="00545D42"/>
    <w:rsid w:val="00545D72"/>
    <w:rsid w:val="00545E25"/>
    <w:rsid w:val="00545F53"/>
    <w:rsid w:val="0054602C"/>
    <w:rsid w:val="00546137"/>
    <w:rsid w:val="0054616A"/>
    <w:rsid w:val="0054632F"/>
    <w:rsid w:val="00546360"/>
    <w:rsid w:val="0054638B"/>
    <w:rsid w:val="00546413"/>
    <w:rsid w:val="00546484"/>
    <w:rsid w:val="0054652E"/>
    <w:rsid w:val="00546550"/>
    <w:rsid w:val="005465F8"/>
    <w:rsid w:val="00546633"/>
    <w:rsid w:val="00546775"/>
    <w:rsid w:val="0054693F"/>
    <w:rsid w:val="005469C3"/>
    <w:rsid w:val="005469EB"/>
    <w:rsid w:val="00546A53"/>
    <w:rsid w:val="00546BED"/>
    <w:rsid w:val="00546C64"/>
    <w:rsid w:val="00546D67"/>
    <w:rsid w:val="00546DD5"/>
    <w:rsid w:val="00546E0A"/>
    <w:rsid w:val="00546EBA"/>
    <w:rsid w:val="00546F7D"/>
    <w:rsid w:val="00547117"/>
    <w:rsid w:val="00547141"/>
    <w:rsid w:val="00547198"/>
    <w:rsid w:val="00547274"/>
    <w:rsid w:val="005472F9"/>
    <w:rsid w:val="0054735F"/>
    <w:rsid w:val="00547396"/>
    <w:rsid w:val="0054739C"/>
    <w:rsid w:val="0054740B"/>
    <w:rsid w:val="0054740C"/>
    <w:rsid w:val="00547419"/>
    <w:rsid w:val="0054774D"/>
    <w:rsid w:val="005477D2"/>
    <w:rsid w:val="0054795B"/>
    <w:rsid w:val="005479C7"/>
    <w:rsid w:val="00547A47"/>
    <w:rsid w:val="00547BCE"/>
    <w:rsid w:val="00547C76"/>
    <w:rsid w:val="00547C97"/>
    <w:rsid w:val="00547DE4"/>
    <w:rsid w:val="00547DEF"/>
    <w:rsid w:val="00547EE1"/>
    <w:rsid w:val="00547F6D"/>
    <w:rsid w:val="00547FD7"/>
    <w:rsid w:val="00550136"/>
    <w:rsid w:val="0055013F"/>
    <w:rsid w:val="00550159"/>
    <w:rsid w:val="00550180"/>
    <w:rsid w:val="005501E6"/>
    <w:rsid w:val="00550221"/>
    <w:rsid w:val="0055027C"/>
    <w:rsid w:val="005502B1"/>
    <w:rsid w:val="0055035F"/>
    <w:rsid w:val="00550444"/>
    <w:rsid w:val="005504AC"/>
    <w:rsid w:val="005504FD"/>
    <w:rsid w:val="0055050C"/>
    <w:rsid w:val="005506A7"/>
    <w:rsid w:val="00550751"/>
    <w:rsid w:val="005509FE"/>
    <w:rsid w:val="00550A12"/>
    <w:rsid w:val="00550AE8"/>
    <w:rsid w:val="00550B0B"/>
    <w:rsid w:val="00550B86"/>
    <w:rsid w:val="00550B9B"/>
    <w:rsid w:val="00550E1F"/>
    <w:rsid w:val="00550E72"/>
    <w:rsid w:val="00550F73"/>
    <w:rsid w:val="00551075"/>
    <w:rsid w:val="005510A8"/>
    <w:rsid w:val="0055110D"/>
    <w:rsid w:val="00551232"/>
    <w:rsid w:val="00551300"/>
    <w:rsid w:val="00551360"/>
    <w:rsid w:val="005514ED"/>
    <w:rsid w:val="0055154F"/>
    <w:rsid w:val="00551601"/>
    <w:rsid w:val="00551670"/>
    <w:rsid w:val="005516D8"/>
    <w:rsid w:val="00551716"/>
    <w:rsid w:val="00551751"/>
    <w:rsid w:val="005517FE"/>
    <w:rsid w:val="005518BD"/>
    <w:rsid w:val="0055194A"/>
    <w:rsid w:val="00551A6C"/>
    <w:rsid w:val="00551AF3"/>
    <w:rsid w:val="00551AFE"/>
    <w:rsid w:val="00551B38"/>
    <w:rsid w:val="00551BA3"/>
    <w:rsid w:val="00551C8D"/>
    <w:rsid w:val="00552045"/>
    <w:rsid w:val="0055204D"/>
    <w:rsid w:val="005521BB"/>
    <w:rsid w:val="00552201"/>
    <w:rsid w:val="0055233E"/>
    <w:rsid w:val="00552380"/>
    <w:rsid w:val="00552421"/>
    <w:rsid w:val="005526A8"/>
    <w:rsid w:val="00552725"/>
    <w:rsid w:val="0055278A"/>
    <w:rsid w:val="00552829"/>
    <w:rsid w:val="005528C3"/>
    <w:rsid w:val="005528DB"/>
    <w:rsid w:val="00552AED"/>
    <w:rsid w:val="00552BA0"/>
    <w:rsid w:val="00552C6F"/>
    <w:rsid w:val="00552C84"/>
    <w:rsid w:val="00552CA7"/>
    <w:rsid w:val="00552CA8"/>
    <w:rsid w:val="00552D1B"/>
    <w:rsid w:val="00552D33"/>
    <w:rsid w:val="00552DEF"/>
    <w:rsid w:val="00552EC9"/>
    <w:rsid w:val="0055319F"/>
    <w:rsid w:val="00553246"/>
    <w:rsid w:val="00553415"/>
    <w:rsid w:val="00553445"/>
    <w:rsid w:val="00553482"/>
    <w:rsid w:val="005535F9"/>
    <w:rsid w:val="0055371B"/>
    <w:rsid w:val="00553741"/>
    <w:rsid w:val="005537CF"/>
    <w:rsid w:val="00553A6B"/>
    <w:rsid w:val="00553AF8"/>
    <w:rsid w:val="00553B0C"/>
    <w:rsid w:val="00553D0D"/>
    <w:rsid w:val="00553F7A"/>
    <w:rsid w:val="00553F95"/>
    <w:rsid w:val="005540E1"/>
    <w:rsid w:val="0055421D"/>
    <w:rsid w:val="005542E6"/>
    <w:rsid w:val="00554308"/>
    <w:rsid w:val="0055433C"/>
    <w:rsid w:val="0055438C"/>
    <w:rsid w:val="00554402"/>
    <w:rsid w:val="005544CF"/>
    <w:rsid w:val="005548C4"/>
    <w:rsid w:val="005549D8"/>
    <w:rsid w:val="00554A43"/>
    <w:rsid w:val="00554AB1"/>
    <w:rsid w:val="00554CB1"/>
    <w:rsid w:val="00554E19"/>
    <w:rsid w:val="00554E1C"/>
    <w:rsid w:val="00554E71"/>
    <w:rsid w:val="00554EC0"/>
    <w:rsid w:val="00554EC4"/>
    <w:rsid w:val="00554EC5"/>
    <w:rsid w:val="005550CF"/>
    <w:rsid w:val="005550F1"/>
    <w:rsid w:val="005552A6"/>
    <w:rsid w:val="005552FE"/>
    <w:rsid w:val="00555348"/>
    <w:rsid w:val="0055534E"/>
    <w:rsid w:val="0055543F"/>
    <w:rsid w:val="005554D2"/>
    <w:rsid w:val="005557A6"/>
    <w:rsid w:val="00555809"/>
    <w:rsid w:val="00555846"/>
    <w:rsid w:val="0055598C"/>
    <w:rsid w:val="005559ED"/>
    <w:rsid w:val="00555B1A"/>
    <w:rsid w:val="00555DDB"/>
    <w:rsid w:val="00555DFE"/>
    <w:rsid w:val="00555EE9"/>
    <w:rsid w:val="00555F33"/>
    <w:rsid w:val="0055602D"/>
    <w:rsid w:val="0055608D"/>
    <w:rsid w:val="005560CA"/>
    <w:rsid w:val="00556116"/>
    <w:rsid w:val="00556310"/>
    <w:rsid w:val="00556312"/>
    <w:rsid w:val="0055633B"/>
    <w:rsid w:val="005563FA"/>
    <w:rsid w:val="0055641C"/>
    <w:rsid w:val="00556519"/>
    <w:rsid w:val="005565C6"/>
    <w:rsid w:val="005565ED"/>
    <w:rsid w:val="0055663F"/>
    <w:rsid w:val="00556709"/>
    <w:rsid w:val="0055676D"/>
    <w:rsid w:val="00556862"/>
    <w:rsid w:val="005569F8"/>
    <w:rsid w:val="00556A09"/>
    <w:rsid w:val="00556C29"/>
    <w:rsid w:val="00556C94"/>
    <w:rsid w:val="00556D13"/>
    <w:rsid w:val="00556E1D"/>
    <w:rsid w:val="00556EC8"/>
    <w:rsid w:val="00556ED8"/>
    <w:rsid w:val="005570EE"/>
    <w:rsid w:val="0055721C"/>
    <w:rsid w:val="005572FB"/>
    <w:rsid w:val="0055740A"/>
    <w:rsid w:val="0055753A"/>
    <w:rsid w:val="00557751"/>
    <w:rsid w:val="00557769"/>
    <w:rsid w:val="0055782B"/>
    <w:rsid w:val="00557A3F"/>
    <w:rsid w:val="00557A92"/>
    <w:rsid w:val="00557AEA"/>
    <w:rsid w:val="00557B1B"/>
    <w:rsid w:val="00557C2D"/>
    <w:rsid w:val="00557E3B"/>
    <w:rsid w:val="00557E72"/>
    <w:rsid w:val="00557EAA"/>
    <w:rsid w:val="0056004C"/>
    <w:rsid w:val="005601E8"/>
    <w:rsid w:val="00560249"/>
    <w:rsid w:val="005602A5"/>
    <w:rsid w:val="00560310"/>
    <w:rsid w:val="0056031A"/>
    <w:rsid w:val="005605AD"/>
    <w:rsid w:val="00560623"/>
    <w:rsid w:val="00560736"/>
    <w:rsid w:val="005609A5"/>
    <w:rsid w:val="005609AE"/>
    <w:rsid w:val="005609BF"/>
    <w:rsid w:val="005609F6"/>
    <w:rsid w:val="00560A0B"/>
    <w:rsid w:val="00560BE3"/>
    <w:rsid w:val="00560CF7"/>
    <w:rsid w:val="00560D92"/>
    <w:rsid w:val="00560E4E"/>
    <w:rsid w:val="00560FDC"/>
    <w:rsid w:val="005610BB"/>
    <w:rsid w:val="00561299"/>
    <w:rsid w:val="0056133B"/>
    <w:rsid w:val="0056145F"/>
    <w:rsid w:val="00561469"/>
    <w:rsid w:val="0056152A"/>
    <w:rsid w:val="00561715"/>
    <w:rsid w:val="00561772"/>
    <w:rsid w:val="00561831"/>
    <w:rsid w:val="00561851"/>
    <w:rsid w:val="005619A5"/>
    <w:rsid w:val="00561AE3"/>
    <w:rsid w:val="00561BFB"/>
    <w:rsid w:val="00561CC4"/>
    <w:rsid w:val="00561CC9"/>
    <w:rsid w:val="00561DCF"/>
    <w:rsid w:val="00561E0B"/>
    <w:rsid w:val="00561F42"/>
    <w:rsid w:val="00561F60"/>
    <w:rsid w:val="00561F78"/>
    <w:rsid w:val="0056210F"/>
    <w:rsid w:val="00562161"/>
    <w:rsid w:val="005621D7"/>
    <w:rsid w:val="00562257"/>
    <w:rsid w:val="005623B7"/>
    <w:rsid w:val="005624BB"/>
    <w:rsid w:val="005624C2"/>
    <w:rsid w:val="0056255A"/>
    <w:rsid w:val="00562566"/>
    <w:rsid w:val="00562595"/>
    <w:rsid w:val="00562765"/>
    <w:rsid w:val="00562786"/>
    <w:rsid w:val="00562919"/>
    <w:rsid w:val="0056297B"/>
    <w:rsid w:val="00562A01"/>
    <w:rsid w:val="00562A97"/>
    <w:rsid w:val="00562AA5"/>
    <w:rsid w:val="00562C11"/>
    <w:rsid w:val="00562CD5"/>
    <w:rsid w:val="00563047"/>
    <w:rsid w:val="0056317F"/>
    <w:rsid w:val="0056322F"/>
    <w:rsid w:val="00563306"/>
    <w:rsid w:val="00563340"/>
    <w:rsid w:val="00563398"/>
    <w:rsid w:val="0056351A"/>
    <w:rsid w:val="00563585"/>
    <w:rsid w:val="005637E4"/>
    <w:rsid w:val="00563967"/>
    <w:rsid w:val="005639D0"/>
    <w:rsid w:val="00563AE5"/>
    <w:rsid w:val="00563BD1"/>
    <w:rsid w:val="00563D5B"/>
    <w:rsid w:val="00563E06"/>
    <w:rsid w:val="00563E66"/>
    <w:rsid w:val="00563F77"/>
    <w:rsid w:val="005641F4"/>
    <w:rsid w:val="005641FC"/>
    <w:rsid w:val="005643FE"/>
    <w:rsid w:val="005644CA"/>
    <w:rsid w:val="0056479B"/>
    <w:rsid w:val="005647BB"/>
    <w:rsid w:val="005647BE"/>
    <w:rsid w:val="005648C7"/>
    <w:rsid w:val="005648FF"/>
    <w:rsid w:val="00564927"/>
    <w:rsid w:val="00564946"/>
    <w:rsid w:val="0056496F"/>
    <w:rsid w:val="00564985"/>
    <w:rsid w:val="005649F6"/>
    <w:rsid w:val="00564B66"/>
    <w:rsid w:val="00564D81"/>
    <w:rsid w:val="00564D93"/>
    <w:rsid w:val="00564DAD"/>
    <w:rsid w:val="00564F80"/>
    <w:rsid w:val="00564FE5"/>
    <w:rsid w:val="00565113"/>
    <w:rsid w:val="0056528F"/>
    <w:rsid w:val="0056531B"/>
    <w:rsid w:val="00565374"/>
    <w:rsid w:val="005654DE"/>
    <w:rsid w:val="005654E7"/>
    <w:rsid w:val="005656D5"/>
    <w:rsid w:val="00565725"/>
    <w:rsid w:val="00565739"/>
    <w:rsid w:val="00565746"/>
    <w:rsid w:val="00565B05"/>
    <w:rsid w:val="00565C71"/>
    <w:rsid w:val="00565CB6"/>
    <w:rsid w:val="00565EA8"/>
    <w:rsid w:val="00565F42"/>
    <w:rsid w:val="00565FEA"/>
    <w:rsid w:val="00566005"/>
    <w:rsid w:val="005660D3"/>
    <w:rsid w:val="0056613C"/>
    <w:rsid w:val="005661C7"/>
    <w:rsid w:val="005662B1"/>
    <w:rsid w:val="005664A4"/>
    <w:rsid w:val="00566541"/>
    <w:rsid w:val="005665CE"/>
    <w:rsid w:val="00566629"/>
    <w:rsid w:val="00566740"/>
    <w:rsid w:val="00566787"/>
    <w:rsid w:val="005667E0"/>
    <w:rsid w:val="005667E6"/>
    <w:rsid w:val="0056680E"/>
    <w:rsid w:val="005668D2"/>
    <w:rsid w:val="00566921"/>
    <w:rsid w:val="00566993"/>
    <w:rsid w:val="005669AD"/>
    <w:rsid w:val="00566ADF"/>
    <w:rsid w:val="00566B47"/>
    <w:rsid w:val="00566BA1"/>
    <w:rsid w:val="00566DFB"/>
    <w:rsid w:val="00567060"/>
    <w:rsid w:val="0056717F"/>
    <w:rsid w:val="0056738C"/>
    <w:rsid w:val="00567396"/>
    <w:rsid w:val="005673CB"/>
    <w:rsid w:val="0056750B"/>
    <w:rsid w:val="005677DD"/>
    <w:rsid w:val="00567962"/>
    <w:rsid w:val="00567AC4"/>
    <w:rsid w:val="00567B69"/>
    <w:rsid w:val="00567C29"/>
    <w:rsid w:val="00567DFA"/>
    <w:rsid w:val="00570055"/>
    <w:rsid w:val="00570186"/>
    <w:rsid w:val="00570194"/>
    <w:rsid w:val="005701DB"/>
    <w:rsid w:val="00570266"/>
    <w:rsid w:val="005703AD"/>
    <w:rsid w:val="005703B1"/>
    <w:rsid w:val="005703FA"/>
    <w:rsid w:val="005704D1"/>
    <w:rsid w:val="005705B5"/>
    <w:rsid w:val="0057069E"/>
    <w:rsid w:val="005706F6"/>
    <w:rsid w:val="00570710"/>
    <w:rsid w:val="0057071E"/>
    <w:rsid w:val="005707B1"/>
    <w:rsid w:val="0057082B"/>
    <w:rsid w:val="005708A7"/>
    <w:rsid w:val="005708CE"/>
    <w:rsid w:val="00570C03"/>
    <w:rsid w:val="00570C92"/>
    <w:rsid w:val="00570DEC"/>
    <w:rsid w:val="00570E57"/>
    <w:rsid w:val="00570EA7"/>
    <w:rsid w:val="005710EA"/>
    <w:rsid w:val="005712A2"/>
    <w:rsid w:val="00571396"/>
    <w:rsid w:val="00571463"/>
    <w:rsid w:val="005714D8"/>
    <w:rsid w:val="00571658"/>
    <w:rsid w:val="0057193F"/>
    <w:rsid w:val="00571A81"/>
    <w:rsid w:val="00571B16"/>
    <w:rsid w:val="00571B4F"/>
    <w:rsid w:val="00571B9C"/>
    <w:rsid w:val="00571BE3"/>
    <w:rsid w:val="00571C7C"/>
    <w:rsid w:val="00571D69"/>
    <w:rsid w:val="00571D96"/>
    <w:rsid w:val="00571E64"/>
    <w:rsid w:val="0057211B"/>
    <w:rsid w:val="0057218E"/>
    <w:rsid w:val="005721E2"/>
    <w:rsid w:val="005722BE"/>
    <w:rsid w:val="0057232D"/>
    <w:rsid w:val="00572336"/>
    <w:rsid w:val="0057233D"/>
    <w:rsid w:val="00572367"/>
    <w:rsid w:val="00572470"/>
    <w:rsid w:val="00572626"/>
    <w:rsid w:val="0057263E"/>
    <w:rsid w:val="00572645"/>
    <w:rsid w:val="00572671"/>
    <w:rsid w:val="00572983"/>
    <w:rsid w:val="00572A1A"/>
    <w:rsid w:val="00572ACE"/>
    <w:rsid w:val="00572C7F"/>
    <w:rsid w:val="00572D2B"/>
    <w:rsid w:val="00572E23"/>
    <w:rsid w:val="00572EC2"/>
    <w:rsid w:val="00572ECC"/>
    <w:rsid w:val="00572F45"/>
    <w:rsid w:val="00573213"/>
    <w:rsid w:val="0057325D"/>
    <w:rsid w:val="005732D6"/>
    <w:rsid w:val="005732E9"/>
    <w:rsid w:val="005733B8"/>
    <w:rsid w:val="00573543"/>
    <w:rsid w:val="00573549"/>
    <w:rsid w:val="005735D5"/>
    <w:rsid w:val="0057362E"/>
    <w:rsid w:val="00573930"/>
    <w:rsid w:val="0057398C"/>
    <w:rsid w:val="00573A64"/>
    <w:rsid w:val="00573AA9"/>
    <w:rsid w:val="00573B1C"/>
    <w:rsid w:val="00573B32"/>
    <w:rsid w:val="00573B8A"/>
    <w:rsid w:val="00573D6F"/>
    <w:rsid w:val="00573F06"/>
    <w:rsid w:val="00573FFE"/>
    <w:rsid w:val="00574171"/>
    <w:rsid w:val="005741E9"/>
    <w:rsid w:val="0057420E"/>
    <w:rsid w:val="00574255"/>
    <w:rsid w:val="00574256"/>
    <w:rsid w:val="005742E5"/>
    <w:rsid w:val="00574430"/>
    <w:rsid w:val="0057468A"/>
    <w:rsid w:val="005747A2"/>
    <w:rsid w:val="005747B8"/>
    <w:rsid w:val="0057488B"/>
    <w:rsid w:val="005748D0"/>
    <w:rsid w:val="005749C5"/>
    <w:rsid w:val="00574B79"/>
    <w:rsid w:val="00574E23"/>
    <w:rsid w:val="00574E5F"/>
    <w:rsid w:val="00574F1E"/>
    <w:rsid w:val="00574FC1"/>
    <w:rsid w:val="005751DE"/>
    <w:rsid w:val="00575233"/>
    <w:rsid w:val="00575329"/>
    <w:rsid w:val="00575354"/>
    <w:rsid w:val="00575453"/>
    <w:rsid w:val="005755AA"/>
    <w:rsid w:val="00575643"/>
    <w:rsid w:val="0057573A"/>
    <w:rsid w:val="0057588A"/>
    <w:rsid w:val="005758A2"/>
    <w:rsid w:val="00575993"/>
    <w:rsid w:val="00575D03"/>
    <w:rsid w:val="00575E61"/>
    <w:rsid w:val="00575F43"/>
    <w:rsid w:val="00576196"/>
    <w:rsid w:val="0057627D"/>
    <w:rsid w:val="005762E2"/>
    <w:rsid w:val="005765CA"/>
    <w:rsid w:val="00576627"/>
    <w:rsid w:val="00576671"/>
    <w:rsid w:val="00576778"/>
    <w:rsid w:val="00576B66"/>
    <w:rsid w:val="00576C55"/>
    <w:rsid w:val="00576C98"/>
    <w:rsid w:val="00576CE6"/>
    <w:rsid w:val="00576E0D"/>
    <w:rsid w:val="00576E49"/>
    <w:rsid w:val="00576EB2"/>
    <w:rsid w:val="00576F78"/>
    <w:rsid w:val="00576F99"/>
    <w:rsid w:val="005770EC"/>
    <w:rsid w:val="00577158"/>
    <w:rsid w:val="005774ED"/>
    <w:rsid w:val="00577520"/>
    <w:rsid w:val="00577535"/>
    <w:rsid w:val="005775E4"/>
    <w:rsid w:val="00577648"/>
    <w:rsid w:val="00577695"/>
    <w:rsid w:val="005776FC"/>
    <w:rsid w:val="00577828"/>
    <w:rsid w:val="00577855"/>
    <w:rsid w:val="00577975"/>
    <w:rsid w:val="0057798B"/>
    <w:rsid w:val="00577B38"/>
    <w:rsid w:val="00577B94"/>
    <w:rsid w:val="00577BCC"/>
    <w:rsid w:val="00577CE8"/>
    <w:rsid w:val="00577D34"/>
    <w:rsid w:val="00577F3E"/>
    <w:rsid w:val="00577F79"/>
    <w:rsid w:val="00580072"/>
    <w:rsid w:val="00580126"/>
    <w:rsid w:val="0058017E"/>
    <w:rsid w:val="0058029F"/>
    <w:rsid w:val="005802F6"/>
    <w:rsid w:val="00580460"/>
    <w:rsid w:val="005804ED"/>
    <w:rsid w:val="005805F2"/>
    <w:rsid w:val="005806F2"/>
    <w:rsid w:val="0058077D"/>
    <w:rsid w:val="00580811"/>
    <w:rsid w:val="005808A0"/>
    <w:rsid w:val="005809B5"/>
    <w:rsid w:val="00580A91"/>
    <w:rsid w:val="00580AF3"/>
    <w:rsid w:val="00580D5D"/>
    <w:rsid w:val="00580EC9"/>
    <w:rsid w:val="00580F1A"/>
    <w:rsid w:val="00580F2A"/>
    <w:rsid w:val="00580F4E"/>
    <w:rsid w:val="00580F7C"/>
    <w:rsid w:val="0058102B"/>
    <w:rsid w:val="005810F1"/>
    <w:rsid w:val="00581222"/>
    <w:rsid w:val="0058122A"/>
    <w:rsid w:val="005814D7"/>
    <w:rsid w:val="00581631"/>
    <w:rsid w:val="0058172B"/>
    <w:rsid w:val="0058188E"/>
    <w:rsid w:val="0058188F"/>
    <w:rsid w:val="00581924"/>
    <w:rsid w:val="005819BB"/>
    <w:rsid w:val="00581CC4"/>
    <w:rsid w:val="00581D2A"/>
    <w:rsid w:val="00581D8C"/>
    <w:rsid w:val="00581DB2"/>
    <w:rsid w:val="00581DD0"/>
    <w:rsid w:val="00581E3E"/>
    <w:rsid w:val="00581E49"/>
    <w:rsid w:val="00581EE2"/>
    <w:rsid w:val="00582097"/>
    <w:rsid w:val="00582247"/>
    <w:rsid w:val="005822A0"/>
    <w:rsid w:val="00582374"/>
    <w:rsid w:val="00582559"/>
    <w:rsid w:val="0058257B"/>
    <w:rsid w:val="0058258F"/>
    <w:rsid w:val="0058259E"/>
    <w:rsid w:val="0058267A"/>
    <w:rsid w:val="005826B0"/>
    <w:rsid w:val="005826D6"/>
    <w:rsid w:val="00582726"/>
    <w:rsid w:val="00582771"/>
    <w:rsid w:val="00582830"/>
    <w:rsid w:val="00582B65"/>
    <w:rsid w:val="00582C14"/>
    <w:rsid w:val="00582D8F"/>
    <w:rsid w:val="00583265"/>
    <w:rsid w:val="005833F7"/>
    <w:rsid w:val="00583402"/>
    <w:rsid w:val="00583478"/>
    <w:rsid w:val="00583BF6"/>
    <w:rsid w:val="00583CBB"/>
    <w:rsid w:val="00583E1B"/>
    <w:rsid w:val="005840CB"/>
    <w:rsid w:val="00584169"/>
    <w:rsid w:val="005841CF"/>
    <w:rsid w:val="0058425A"/>
    <w:rsid w:val="00584260"/>
    <w:rsid w:val="005843B8"/>
    <w:rsid w:val="005843E2"/>
    <w:rsid w:val="00584465"/>
    <w:rsid w:val="00584518"/>
    <w:rsid w:val="00584569"/>
    <w:rsid w:val="00584617"/>
    <w:rsid w:val="00584694"/>
    <w:rsid w:val="00584786"/>
    <w:rsid w:val="00584932"/>
    <w:rsid w:val="005849EC"/>
    <w:rsid w:val="005849F7"/>
    <w:rsid w:val="00584A3A"/>
    <w:rsid w:val="00584A3D"/>
    <w:rsid w:val="00584A40"/>
    <w:rsid w:val="00584D92"/>
    <w:rsid w:val="00584F00"/>
    <w:rsid w:val="00584FC2"/>
    <w:rsid w:val="00585426"/>
    <w:rsid w:val="00585589"/>
    <w:rsid w:val="00585618"/>
    <w:rsid w:val="0058566D"/>
    <w:rsid w:val="00585697"/>
    <w:rsid w:val="005856C4"/>
    <w:rsid w:val="005856E9"/>
    <w:rsid w:val="005857B7"/>
    <w:rsid w:val="0058585C"/>
    <w:rsid w:val="00585949"/>
    <w:rsid w:val="00585A6D"/>
    <w:rsid w:val="00585B12"/>
    <w:rsid w:val="00585B76"/>
    <w:rsid w:val="00585C91"/>
    <w:rsid w:val="00585DB7"/>
    <w:rsid w:val="00585DE9"/>
    <w:rsid w:val="00585F11"/>
    <w:rsid w:val="00585F35"/>
    <w:rsid w:val="005860E6"/>
    <w:rsid w:val="00586140"/>
    <w:rsid w:val="0058614E"/>
    <w:rsid w:val="00586195"/>
    <w:rsid w:val="005861F3"/>
    <w:rsid w:val="00586207"/>
    <w:rsid w:val="005863A5"/>
    <w:rsid w:val="005863D4"/>
    <w:rsid w:val="0058669F"/>
    <w:rsid w:val="00586781"/>
    <w:rsid w:val="005867AC"/>
    <w:rsid w:val="005867E4"/>
    <w:rsid w:val="0058688E"/>
    <w:rsid w:val="0058699C"/>
    <w:rsid w:val="00586A1B"/>
    <w:rsid w:val="00586A26"/>
    <w:rsid w:val="00586A67"/>
    <w:rsid w:val="00586AAA"/>
    <w:rsid w:val="00586B91"/>
    <w:rsid w:val="00586CD2"/>
    <w:rsid w:val="00586D41"/>
    <w:rsid w:val="00586E8F"/>
    <w:rsid w:val="00586EB7"/>
    <w:rsid w:val="00586F89"/>
    <w:rsid w:val="00587070"/>
    <w:rsid w:val="00587290"/>
    <w:rsid w:val="005872F1"/>
    <w:rsid w:val="0058736A"/>
    <w:rsid w:val="00587372"/>
    <w:rsid w:val="0058737E"/>
    <w:rsid w:val="005873C5"/>
    <w:rsid w:val="00587415"/>
    <w:rsid w:val="005875D1"/>
    <w:rsid w:val="005875EC"/>
    <w:rsid w:val="005875ED"/>
    <w:rsid w:val="005876FB"/>
    <w:rsid w:val="005877B7"/>
    <w:rsid w:val="00587854"/>
    <w:rsid w:val="005879A3"/>
    <w:rsid w:val="00587A7E"/>
    <w:rsid w:val="00587A96"/>
    <w:rsid w:val="00587AE8"/>
    <w:rsid w:val="00587B32"/>
    <w:rsid w:val="00587BD3"/>
    <w:rsid w:val="00587D3D"/>
    <w:rsid w:val="00587D40"/>
    <w:rsid w:val="00587E95"/>
    <w:rsid w:val="00587F10"/>
    <w:rsid w:val="0059010D"/>
    <w:rsid w:val="00590176"/>
    <w:rsid w:val="00590285"/>
    <w:rsid w:val="005902C1"/>
    <w:rsid w:val="005902CA"/>
    <w:rsid w:val="00590401"/>
    <w:rsid w:val="00590454"/>
    <w:rsid w:val="0059047E"/>
    <w:rsid w:val="00590494"/>
    <w:rsid w:val="0059072F"/>
    <w:rsid w:val="0059077F"/>
    <w:rsid w:val="00590788"/>
    <w:rsid w:val="005907F4"/>
    <w:rsid w:val="00590920"/>
    <w:rsid w:val="0059092E"/>
    <w:rsid w:val="00590948"/>
    <w:rsid w:val="005909A4"/>
    <w:rsid w:val="00590A0F"/>
    <w:rsid w:val="00590ACA"/>
    <w:rsid w:val="00590AD3"/>
    <w:rsid w:val="00590B1C"/>
    <w:rsid w:val="00590F01"/>
    <w:rsid w:val="0059101B"/>
    <w:rsid w:val="00591034"/>
    <w:rsid w:val="0059111B"/>
    <w:rsid w:val="00591218"/>
    <w:rsid w:val="00591225"/>
    <w:rsid w:val="00591387"/>
    <w:rsid w:val="00591394"/>
    <w:rsid w:val="00591404"/>
    <w:rsid w:val="00591468"/>
    <w:rsid w:val="005915DA"/>
    <w:rsid w:val="00591629"/>
    <w:rsid w:val="005916BD"/>
    <w:rsid w:val="005916C5"/>
    <w:rsid w:val="0059190C"/>
    <w:rsid w:val="00591939"/>
    <w:rsid w:val="00591C46"/>
    <w:rsid w:val="00591CE3"/>
    <w:rsid w:val="00591F61"/>
    <w:rsid w:val="0059207A"/>
    <w:rsid w:val="005920EC"/>
    <w:rsid w:val="00592142"/>
    <w:rsid w:val="005921FC"/>
    <w:rsid w:val="005922ED"/>
    <w:rsid w:val="00592302"/>
    <w:rsid w:val="00592372"/>
    <w:rsid w:val="005923B1"/>
    <w:rsid w:val="005923F1"/>
    <w:rsid w:val="00592401"/>
    <w:rsid w:val="005924BB"/>
    <w:rsid w:val="0059264B"/>
    <w:rsid w:val="0059269E"/>
    <w:rsid w:val="00592716"/>
    <w:rsid w:val="00592897"/>
    <w:rsid w:val="00592942"/>
    <w:rsid w:val="00592979"/>
    <w:rsid w:val="005929BA"/>
    <w:rsid w:val="00592AC2"/>
    <w:rsid w:val="00592B0E"/>
    <w:rsid w:val="00592B1B"/>
    <w:rsid w:val="00592D0B"/>
    <w:rsid w:val="00592D20"/>
    <w:rsid w:val="00592D79"/>
    <w:rsid w:val="00592D88"/>
    <w:rsid w:val="00592E80"/>
    <w:rsid w:val="00592FB2"/>
    <w:rsid w:val="00592FB7"/>
    <w:rsid w:val="0059317C"/>
    <w:rsid w:val="005931A6"/>
    <w:rsid w:val="005931B3"/>
    <w:rsid w:val="00593274"/>
    <w:rsid w:val="005933C4"/>
    <w:rsid w:val="00593752"/>
    <w:rsid w:val="0059375E"/>
    <w:rsid w:val="005937F5"/>
    <w:rsid w:val="00593A0C"/>
    <w:rsid w:val="00593A65"/>
    <w:rsid w:val="00593A71"/>
    <w:rsid w:val="00593C85"/>
    <w:rsid w:val="00593D38"/>
    <w:rsid w:val="00593DED"/>
    <w:rsid w:val="00593E88"/>
    <w:rsid w:val="00593ECF"/>
    <w:rsid w:val="00594089"/>
    <w:rsid w:val="0059412A"/>
    <w:rsid w:val="00594148"/>
    <w:rsid w:val="005941B1"/>
    <w:rsid w:val="005942BC"/>
    <w:rsid w:val="005942E4"/>
    <w:rsid w:val="00594300"/>
    <w:rsid w:val="00594362"/>
    <w:rsid w:val="005943E5"/>
    <w:rsid w:val="0059444B"/>
    <w:rsid w:val="0059461E"/>
    <w:rsid w:val="00594773"/>
    <w:rsid w:val="005948E0"/>
    <w:rsid w:val="00594B51"/>
    <w:rsid w:val="00594B8D"/>
    <w:rsid w:val="00594D8A"/>
    <w:rsid w:val="00594FEA"/>
    <w:rsid w:val="0059500B"/>
    <w:rsid w:val="00595120"/>
    <w:rsid w:val="005952AC"/>
    <w:rsid w:val="005952FC"/>
    <w:rsid w:val="00595351"/>
    <w:rsid w:val="005953C5"/>
    <w:rsid w:val="0059546D"/>
    <w:rsid w:val="005954C2"/>
    <w:rsid w:val="005954F8"/>
    <w:rsid w:val="00595711"/>
    <w:rsid w:val="00595715"/>
    <w:rsid w:val="0059577A"/>
    <w:rsid w:val="005957C8"/>
    <w:rsid w:val="005958B5"/>
    <w:rsid w:val="00595FBE"/>
    <w:rsid w:val="00595FE7"/>
    <w:rsid w:val="00595FEA"/>
    <w:rsid w:val="00596063"/>
    <w:rsid w:val="00596097"/>
    <w:rsid w:val="00596138"/>
    <w:rsid w:val="00596371"/>
    <w:rsid w:val="005963D1"/>
    <w:rsid w:val="0059649E"/>
    <w:rsid w:val="005965C7"/>
    <w:rsid w:val="0059664D"/>
    <w:rsid w:val="005966E6"/>
    <w:rsid w:val="00596745"/>
    <w:rsid w:val="00596AB5"/>
    <w:rsid w:val="00596ADC"/>
    <w:rsid w:val="00596DA6"/>
    <w:rsid w:val="00596DB7"/>
    <w:rsid w:val="00596E49"/>
    <w:rsid w:val="00596FC9"/>
    <w:rsid w:val="005970AD"/>
    <w:rsid w:val="005971D4"/>
    <w:rsid w:val="005972DC"/>
    <w:rsid w:val="0059743E"/>
    <w:rsid w:val="00597495"/>
    <w:rsid w:val="00597582"/>
    <w:rsid w:val="0059759E"/>
    <w:rsid w:val="0059766D"/>
    <w:rsid w:val="005976E1"/>
    <w:rsid w:val="0059778F"/>
    <w:rsid w:val="00597857"/>
    <w:rsid w:val="00597A0A"/>
    <w:rsid w:val="00597ABC"/>
    <w:rsid w:val="00597BDE"/>
    <w:rsid w:val="00597D06"/>
    <w:rsid w:val="00597E34"/>
    <w:rsid w:val="00597F09"/>
    <w:rsid w:val="00597F0A"/>
    <w:rsid w:val="00597F68"/>
    <w:rsid w:val="00597F71"/>
    <w:rsid w:val="00597FC1"/>
    <w:rsid w:val="00597FF8"/>
    <w:rsid w:val="005A00D3"/>
    <w:rsid w:val="005A01D1"/>
    <w:rsid w:val="005A0424"/>
    <w:rsid w:val="005A043C"/>
    <w:rsid w:val="005A045D"/>
    <w:rsid w:val="005A046F"/>
    <w:rsid w:val="005A04B4"/>
    <w:rsid w:val="005A050E"/>
    <w:rsid w:val="005A057E"/>
    <w:rsid w:val="005A063A"/>
    <w:rsid w:val="005A0811"/>
    <w:rsid w:val="005A082D"/>
    <w:rsid w:val="005A0A06"/>
    <w:rsid w:val="005A0A7B"/>
    <w:rsid w:val="005A0A90"/>
    <w:rsid w:val="005A0C1E"/>
    <w:rsid w:val="005A0CA8"/>
    <w:rsid w:val="005A0DF0"/>
    <w:rsid w:val="005A0EEA"/>
    <w:rsid w:val="005A1050"/>
    <w:rsid w:val="005A10DC"/>
    <w:rsid w:val="005A11C1"/>
    <w:rsid w:val="005A11F0"/>
    <w:rsid w:val="005A1297"/>
    <w:rsid w:val="005A1353"/>
    <w:rsid w:val="005A1380"/>
    <w:rsid w:val="005A13C9"/>
    <w:rsid w:val="005A15BA"/>
    <w:rsid w:val="005A16ED"/>
    <w:rsid w:val="005A1840"/>
    <w:rsid w:val="005A18E4"/>
    <w:rsid w:val="005A1935"/>
    <w:rsid w:val="005A193A"/>
    <w:rsid w:val="005A1971"/>
    <w:rsid w:val="005A1981"/>
    <w:rsid w:val="005A1A2A"/>
    <w:rsid w:val="005A1AFC"/>
    <w:rsid w:val="005A1B10"/>
    <w:rsid w:val="005A1C74"/>
    <w:rsid w:val="005A1C80"/>
    <w:rsid w:val="005A1D69"/>
    <w:rsid w:val="005A1DEA"/>
    <w:rsid w:val="005A1F3E"/>
    <w:rsid w:val="005A1FF2"/>
    <w:rsid w:val="005A2017"/>
    <w:rsid w:val="005A2297"/>
    <w:rsid w:val="005A23C8"/>
    <w:rsid w:val="005A2419"/>
    <w:rsid w:val="005A24FA"/>
    <w:rsid w:val="005A2543"/>
    <w:rsid w:val="005A2575"/>
    <w:rsid w:val="005A278A"/>
    <w:rsid w:val="005A27DA"/>
    <w:rsid w:val="005A283C"/>
    <w:rsid w:val="005A28D1"/>
    <w:rsid w:val="005A2910"/>
    <w:rsid w:val="005A2A13"/>
    <w:rsid w:val="005A2A8C"/>
    <w:rsid w:val="005A2AC0"/>
    <w:rsid w:val="005A2B26"/>
    <w:rsid w:val="005A2D7D"/>
    <w:rsid w:val="005A2E8D"/>
    <w:rsid w:val="005A2EA1"/>
    <w:rsid w:val="005A2F09"/>
    <w:rsid w:val="005A3092"/>
    <w:rsid w:val="005A3099"/>
    <w:rsid w:val="005A30DE"/>
    <w:rsid w:val="005A31ED"/>
    <w:rsid w:val="005A321E"/>
    <w:rsid w:val="005A3250"/>
    <w:rsid w:val="005A349E"/>
    <w:rsid w:val="005A34A1"/>
    <w:rsid w:val="005A351B"/>
    <w:rsid w:val="005A35F7"/>
    <w:rsid w:val="005A36A4"/>
    <w:rsid w:val="005A36E2"/>
    <w:rsid w:val="005A3805"/>
    <w:rsid w:val="005A380A"/>
    <w:rsid w:val="005A38DA"/>
    <w:rsid w:val="005A39F2"/>
    <w:rsid w:val="005A3C0C"/>
    <w:rsid w:val="005A3C5C"/>
    <w:rsid w:val="005A3D7F"/>
    <w:rsid w:val="005A3DA0"/>
    <w:rsid w:val="005A3E28"/>
    <w:rsid w:val="005A3F90"/>
    <w:rsid w:val="005A401B"/>
    <w:rsid w:val="005A407B"/>
    <w:rsid w:val="005A4291"/>
    <w:rsid w:val="005A42CB"/>
    <w:rsid w:val="005A4420"/>
    <w:rsid w:val="005A45DF"/>
    <w:rsid w:val="005A4761"/>
    <w:rsid w:val="005A47A8"/>
    <w:rsid w:val="005A49AA"/>
    <w:rsid w:val="005A4AC7"/>
    <w:rsid w:val="005A4C2A"/>
    <w:rsid w:val="005A4CE8"/>
    <w:rsid w:val="005A4EB0"/>
    <w:rsid w:val="005A4F14"/>
    <w:rsid w:val="005A4F5F"/>
    <w:rsid w:val="005A4F6C"/>
    <w:rsid w:val="005A4FB8"/>
    <w:rsid w:val="005A5091"/>
    <w:rsid w:val="005A517D"/>
    <w:rsid w:val="005A5356"/>
    <w:rsid w:val="005A5451"/>
    <w:rsid w:val="005A54E0"/>
    <w:rsid w:val="005A55A9"/>
    <w:rsid w:val="005A5622"/>
    <w:rsid w:val="005A564C"/>
    <w:rsid w:val="005A56E1"/>
    <w:rsid w:val="005A5743"/>
    <w:rsid w:val="005A583A"/>
    <w:rsid w:val="005A58B1"/>
    <w:rsid w:val="005A58E3"/>
    <w:rsid w:val="005A5A04"/>
    <w:rsid w:val="005A5FBC"/>
    <w:rsid w:val="005A61DB"/>
    <w:rsid w:val="005A61F1"/>
    <w:rsid w:val="005A6283"/>
    <w:rsid w:val="005A6322"/>
    <w:rsid w:val="005A636C"/>
    <w:rsid w:val="005A638B"/>
    <w:rsid w:val="005A63B8"/>
    <w:rsid w:val="005A660F"/>
    <w:rsid w:val="005A6645"/>
    <w:rsid w:val="005A671E"/>
    <w:rsid w:val="005A6733"/>
    <w:rsid w:val="005A69C4"/>
    <w:rsid w:val="005A6A8B"/>
    <w:rsid w:val="005A6B1A"/>
    <w:rsid w:val="005A6D20"/>
    <w:rsid w:val="005A6DA2"/>
    <w:rsid w:val="005A6E9B"/>
    <w:rsid w:val="005A72AC"/>
    <w:rsid w:val="005A744F"/>
    <w:rsid w:val="005A7556"/>
    <w:rsid w:val="005A76A4"/>
    <w:rsid w:val="005A76F6"/>
    <w:rsid w:val="005A771D"/>
    <w:rsid w:val="005A783F"/>
    <w:rsid w:val="005A78D2"/>
    <w:rsid w:val="005A7B33"/>
    <w:rsid w:val="005A7B60"/>
    <w:rsid w:val="005A7C0A"/>
    <w:rsid w:val="005A7D1D"/>
    <w:rsid w:val="005B00FB"/>
    <w:rsid w:val="005B0127"/>
    <w:rsid w:val="005B04CC"/>
    <w:rsid w:val="005B05F0"/>
    <w:rsid w:val="005B0631"/>
    <w:rsid w:val="005B0654"/>
    <w:rsid w:val="005B0681"/>
    <w:rsid w:val="005B0897"/>
    <w:rsid w:val="005B0AFF"/>
    <w:rsid w:val="005B0D0B"/>
    <w:rsid w:val="005B0DA4"/>
    <w:rsid w:val="005B0E77"/>
    <w:rsid w:val="005B0F45"/>
    <w:rsid w:val="005B103C"/>
    <w:rsid w:val="005B1065"/>
    <w:rsid w:val="005B106F"/>
    <w:rsid w:val="005B11AC"/>
    <w:rsid w:val="005B1264"/>
    <w:rsid w:val="005B13EA"/>
    <w:rsid w:val="005B14C9"/>
    <w:rsid w:val="005B150E"/>
    <w:rsid w:val="005B1611"/>
    <w:rsid w:val="005B175B"/>
    <w:rsid w:val="005B1786"/>
    <w:rsid w:val="005B18AF"/>
    <w:rsid w:val="005B1910"/>
    <w:rsid w:val="005B1929"/>
    <w:rsid w:val="005B1A25"/>
    <w:rsid w:val="005B1B9D"/>
    <w:rsid w:val="005B1BF5"/>
    <w:rsid w:val="005B1C92"/>
    <w:rsid w:val="005B1CBE"/>
    <w:rsid w:val="005B1E87"/>
    <w:rsid w:val="005B1F73"/>
    <w:rsid w:val="005B2113"/>
    <w:rsid w:val="005B2795"/>
    <w:rsid w:val="005B297B"/>
    <w:rsid w:val="005B29F6"/>
    <w:rsid w:val="005B2B7C"/>
    <w:rsid w:val="005B2CCD"/>
    <w:rsid w:val="005B2D0D"/>
    <w:rsid w:val="005B2E19"/>
    <w:rsid w:val="005B2FA3"/>
    <w:rsid w:val="005B300A"/>
    <w:rsid w:val="005B30D0"/>
    <w:rsid w:val="005B30F9"/>
    <w:rsid w:val="005B31E0"/>
    <w:rsid w:val="005B3389"/>
    <w:rsid w:val="005B34A6"/>
    <w:rsid w:val="005B351C"/>
    <w:rsid w:val="005B3581"/>
    <w:rsid w:val="005B3623"/>
    <w:rsid w:val="005B36DA"/>
    <w:rsid w:val="005B38A4"/>
    <w:rsid w:val="005B396C"/>
    <w:rsid w:val="005B3C0D"/>
    <w:rsid w:val="005B3D89"/>
    <w:rsid w:val="005B3E10"/>
    <w:rsid w:val="005B3F02"/>
    <w:rsid w:val="005B4117"/>
    <w:rsid w:val="005B41D4"/>
    <w:rsid w:val="005B42C8"/>
    <w:rsid w:val="005B44E0"/>
    <w:rsid w:val="005B455C"/>
    <w:rsid w:val="005B45CA"/>
    <w:rsid w:val="005B4698"/>
    <w:rsid w:val="005B46B3"/>
    <w:rsid w:val="005B46C6"/>
    <w:rsid w:val="005B475D"/>
    <w:rsid w:val="005B4801"/>
    <w:rsid w:val="005B4984"/>
    <w:rsid w:val="005B49CC"/>
    <w:rsid w:val="005B4A22"/>
    <w:rsid w:val="005B4A50"/>
    <w:rsid w:val="005B4A92"/>
    <w:rsid w:val="005B4AFC"/>
    <w:rsid w:val="005B4C0A"/>
    <w:rsid w:val="005B4C43"/>
    <w:rsid w:val="005B4C56"/>
    <w:rsid w:val="005B4CD2"/>
    <w:rsid w:val="005B4DB6"/>
    <w:rsid w:val="005B4DB8"/>
    <w:rsid w:val="005B4EAE"/>
    <w:rsid w:val="005B5059"/>
    <w:rsid w:val="005B5151"/>
    <w:rsid w:val="005B5367"/>
    <w:rsid w:val="005B5396"/>
    <w:rsid w:val="005B5468"/>
    <w:rsid w:val="005B55F6"/>
    <w:rsid w:val="005B5606"/>
    <w:rsid w:val="005B56C9"/>
    <w:rsid w:val="005B56D9"/>
    <w:rsid w:val="005B56DB"/>
    <w:rsid w:val="005B5824"/>
    <w:rsid w:val="005B5915"/>
    <w:rsid w:val="005B5917"/>
    <w:rsid w:val="005B59EA"/>
    <w:rsid w:val="005B5A02"/>
    <w:rsid w:val="005B5CFD"/>
    <w:rsid w:val="005B5F8D"/>
    <w:rsid w:val="005B604F"/>
    <w:rsid w:val="005B611C"/>
    <w:rsid w:val="005B6354"/>
    <w:rsid w:val="005B66D7"/>
    <w:rsid w:val="005B66EE"/>
    <w:rsid w:val="005B6AD2"/>
    <w:rsid w:val="005B6B36"/>
    <w:rsid w:val="005B6C55"/>
    <w:rsid w:val="005B6D02"/>
    <w:rsid w:val="005B6D47"/>
    <w:rsid w:val="005B6E15"/>
    <w:rsid w:val="005B7079"/>
    <w:rsid w:val="005B7267"/>
    <w:rsid w:val="005B7308"/>
    <w:rsid w:val="005B73AC"/>
    <w:rsid w:val="005B7668"/>
    <w:rsid w:val="005B789E"/>
    <w:rsid w:val="005B79E3"/>
    <w:rsid w:val="005B7A4F"/>
    <w:rsid w:val="005B7B80"/>
    <w:rsid w:val="005B7C18"/>
    <w:rsid w:val="005C0033"/>
    <w:rsid w:val="005C0034"/>
    <w:rsid w:val="005C0042"/>
    <w:rsid w:val="005C01EC"/>
    <w:rsid w:val="005C02D9"/>
    <w:rsid w:val="005C02FD"/>
    <w:rsid w:val="005C03AB"/>
    <w:rsid w:val="005C046F"/>
    <w:rsid w:val="005C04AE"/>
    <w:rsid w:val="005C0568"/>
    <w:rsid w:val="005C0706"/>
    <w:rsid w:val="005C08B8"/>
    <w:rsid w:val="005C090A"/>
    <w:rsid w:val="005C0A2E"/>
    <w:rsid w:val="005C0A7A"/>
    <w:rsid w:val="005C0D0F"/>
    <w:rsid w:val="005C0D6B"/>
    <w:rsid w:val="005C0FE9"/>
    <w:rsid w:val="005C1029"/>
    <w:rsid w:val="005C10B0"/>
    <w:rsid w:val="005C1324"/>
    <w:rsid w:val="005C13ED"/>
    <w:rsid w:val="005C140A"/>
    <w:rsid w:val="005C14BB"/>
    <w:rsid w:val="005C174F"/>
    <w:rsid w:val="005C1795"/>
    <w:rsid w:val="005C192E"/>
    <w:rsid w:val="005C199A"/>
    <w:rsid w:val="005C1B08"/>
    <w:rsid w:val="005C1B86"/>
    <w:rsid w:val="005C1E34"/>
    <w:rsid w:val="005C1F5A"/>
    <w:rsid w:val="005C1F95"/>
    <w:rsid w:val="005C1FC7"/>
    <w:rsid w:val="005C20F1"/>
    <w:rsid w:val="005C2166"/>
    <w:rsid w:val="005C217D"/>
    <w:rsid w:val="005C22C4"/>
    <w:rsid w:val="005C24F6"/>
    <w:rsid w:val="005C2515"/>
    <w:rsid w:val="005C2824"/>
    <w:rsid w:val="005C2888"/>
    <w:rsid w:val="005C28B3"/>
    <w:rsid w:val="005C2A75"/>
    <w:rsid w:val="005C2F5C"/>
    <w:rsid w:val="005C30B4"/>
    <w:rsid w:val="005C3434"/>
    <w:rsid w:val="005C34F2"/>
    <w:rsid w:val="005C35A9"/>
    <w:rsid w:val="005C36D4"/>
    <w:rsid w:val="005C386E"/>
    <w:rsid w:val="005C397A"/>
    <w:rsid w:val="005C39BD"/>
    <w:rsid w:val="005C3AE7"/>
    <w:rsid w:val="005C3AE9"/>
    <w:rsid w:val="005C3AFB"/>
    <w:rsid w:val="005C3F20"/>
    <w:rsid w:val="005C3F22"/>
    <w:rsid w:val="005C3F70"/>
    <w:rsid w:val="005C404C"/>
    <w:rsid w:val="005C4077"/>
    <w:rsid w:val="005C409A"/>
    <w:rsid w:val="005C4120"/>
    <w:rsid w:val="005C4130"/>
    <w:rsid w:val="005C413A"/>
    <w:rsid w:val="005C4153"/>
    <w:rsid w:val="005C4196"/>
    <w:rsid w:val="005C4211"/>
    <w:rsid w:val="005C427B"/>
    <w:rsid w:val="005C45F7"/>
    <w:rsid w:val="005C467C"/>
    <w:rsid w:val="005C47E0"/>
    <w:rsid w:val="005C4837"/>
    <w:rsid w:val="005C4851"/>
    <w:rsid w:val="005C485A"/>
    <w:rsid w:val="005C488E"/>
    <w:rsid w:val="005C48E6"/>
    <w:rsid w:val="005C48F5"/>
    <w:rsid w:val="005C48F6"/>
    <w:rsid w:val="005C48FF"/>
    <w:rsid w:val="005C4B9B"/>
    <w:rsid w:val="005C4BFB"/>
    <w:rsid w:val="005C4C63"/>
    <w:rsid w:val="005C4D6B"/>
    <w:rsid w:val="005C4DC7"/>
    <w:rsid w:val="005C4E59"/>
    <w:rsid w:val="005C4EA4"/>
    <w:rsid w:val="005C51AB"/>
    <w:rsid w:val="005C51B8"/>
    <w:rsid w:val="005C5219"/>
    <w:rsid w:val="005C528A"/>
    <w:rsid w:val="005C53A8"/>
    <w:rsid w:val="005C54F6"/>
    <w:rsid w:val="005C55E5"/>
    <w:rsid w:val="005C571D"/>
    <w:rsid w:val="005C57B7"/>
    <w:rsid w:val="005C57B9"/>
    <w:rsid w:val="005C5819"/>
    <w:rsid w:val="005C5877"/>
    <w:rsid w:val="005C5978"/>
    <w:rsid w:val="005C59DB"/>
    <w:rsid w:val="005C5A0B"/>
    <w:rsid w:val="005C5BB0"/>
    <w:rsid w:val="005C5BB9"/>
    <w:rsid w:val="005C5C32"/>
    <w:rsid w:val="005C5D2A"/>
    <w:rsid w:val="005C5EFE"/>
    <w:rsid w:val="005C6305"/>
    <w:rsid w:val="005C6392"/>
    <w:rsid w:val="005C63E5"/>
    <w:rsid w:val="005C641F"/>
    <w:rsid w:val="005C649E"/>
    <w:rsid w:val="005C6508"/>
    <w:rsid w:val="005C65EA"/>
    <w:rsid w:val="005C663F"/>
    <w:rsid w:val="005C682F"/>
    <w:rsid w:val="005C688F"/>
    <w:rsid w:val="005C6A26"/>
    <w:rsid w:val="005C6D68"/>
    <w:rsid w:val="005C6D8A"/>
    <w:rsid w:val="005C6DF8"/>
    <w:rsid w:val="005C6FA4"/>
    <w:rsid w:val="005C70A2"/>
    <w:rsid w:val="005C7132"/>
    <w:rsid w:val="005C71BF"/>
    <w:rsid w:val="005C7245"/>
    <w:rsid w:val="005C7407"/>
    <w:rsid w:val="005C757A"/>
    <w:rsid w:val="005C757D"/>
    <w:rsid w:val="005C762E"/>
    <w:rsid w:val="005C7683"/>
    <w:rsid w:val="005C7723"/>
    <w:rsid w:val="005C7735"/>
    <w:rsid w:val="005C7753"/>
    <w:rsid w:val="005C77BF"/>
    <w:rsid w:val="005C785C"/>
    <w:rsid w:val="005C7986"/>
    <w:rsid w:val="005C7A88"/>
    <w:rsid w:val="005C7BAB"/>
    <w:rsid w:val="005C7C4A"/>
    <w:rsid w:val="005C7D26"/>
    <w:rsid w:val="005C7E7F"/>
    <w:rsid w:val="005C7F69"/>
    <w:rsid w:val="005C7F93"/>
    <w:rsid w:val="005C7FBC"/>
    <w:rsid w:val="005C7FC6"/>
    <w:rsid w:val="005D02D8"/>
    <w:rsid w:val="005D044E"/>
    <w:rsid w:val="005D0545"/>
    <w:rsid w:val="005D0831"/>
    <w:rsid w:val="005D0897"/>
    <w:rsid w:val="005D0CFB"/>
    <w:rsid w:val="005D0D9E"/>
    <w:rsid w:val="005D0DC8"/>
    <w:rsid w:val="005D114F"/>
    <w:rsid w:val="005D117F"/>
    <w:rsid w:val="005D13B6"/>
    <w:rsid w:val="005D1440"/>
    <w:rsid w:val="005D14A5"/>
    <w:rsid w:val="005D1838"/>
    <w:rsid w:val="005D1865"/>
    <w:rsid w:val="005D186D"/>
    <w:rsid w:val="005D189C"/>
    <w:rsid w:val="005D19E2"/>
    <w:rsid w:val="005D19E6"/>
    <w:rsid w:val="005D1B51"/>
    <w:rsid w:val="005D1B63"/>
    <w:rsid w:val="005D1C55"/>
    <w:rsid w:val="005D1CD3"/>
    <w:rsid w:val="005D1EA2"/>
    <w:rsid w:val="005D201B"/>
    <w:rsid w:val="005D2157"/>
    <w:rsid w:val="005D2210"/>
    <w:rsid w:val="005D228D"/>
    <w:rsid w:val="005D236C"/>
    <w:rsid w:val="005D2383"/>
    <w:rsid w:val="005D2414"/>
    <w:rsid w:val="005D24DA"/>
    <w:rsid w:val="005D2898"/>
    <w:rsid w:val="005D295A"/>
    <w:rsid w:val="005D299E"/>
    <w:rsid w:val="005D2A7A"/>
    <w:rsid w:val="005D2B5B"/>
    <w:rsid w:val="005D2C79"/>
    <w:rsid w:val="005D2CAB"/>
    <w:rsid w:val="005D2D3A"/>
    <w:rsid w:val="005D2D66"/>
    <w:rsid w:val="005D2DDF"/>
    <w:rsid w:val="005D2E0F"/>
    <w:rsid w:val="005D2E55"/>
    <w:rsid w:val="005D2FF2"/>
    <w:rsid w:val="005D3038"/>
    <w:rsid w:val="005D30AB"/>
    <w:rsid w:val="005D30FE"/>
    <w:rsid w:val="005D311F"/>
    <w:rsid w:val="005D31E9"/>
    <w:rsid w:val="005D323B"/>
    <w:rsid w:val="005D32F6"/>
    <w:rsid w:val="005D334F"/>
    <w:rsid w:val="005D340C"/>
    <w:rsid w:val="005D349F"/>
    <w:rsid w:val="005D36AF"/>
    <w:rsid w:val="005D36E1"/>
    <w:rsid w:val="005D3700"/>
    <w:rsid w:val="005D371B"/>
    <w:rsid w:val="005D38B7"/>
    <w:rsid w:val="005D3BC7"/>
    <w:rsid w:val="005D3C51"/>
    <w:rsid w:val="005D3CA0"/>
    <w:rsid w:val="005D3CE9"/>
    <w:rsid w:val="005D3EE9"/>
    <w:rsid w:val="005D407E"/>
    <w:rsid w:val="005D4120"/>
    <w:rsid w:val="005D412B"/>
    <w:rsid w:val="005D4296"/>
    <w:rsid w:val="005D434C"/>
    <w:rsid w:val="005D4486"/>
    <w:rsid w:val="005D46ED"/>
    <w:rsid w:val="005D471E"/>
    <w:rsid w:val="005D47AB"/>
    <w:rsid w:val="005D48B4"/>
    <w:rsid w:val="005D4967"/>
    <w:rsid w:val="005D4ACC"/>
    <w:rsid w:val="005D4BC2"/>
    <w:rsid w:val="005D4D9B"/>
    <w:rsid w:val="005D4DC8"/>
    <w:rsid w:val="005D4E76"/>
    <w:rsid w:val="005D50B1"/>
    <w:rsid w:val="005D50C4"/>
    <w:rsid w:val="005D5172"/>
    <w:rsid w:val="005D5191"/>
    <w:rsid w:val="005D51F6"/>
    <w:rsid w:val="005D5216"/>
    <w:rsid w:val="005D5280"/>
    <w:rsid w:val="005D5327"/>
    <w:rsid w:val="005D5366"/>
    <w:rsid w:val="005D53E1"/>
    <w:rsid w:val="005D53EA"/>
    <w:rsid w:val="005D5440"/>
    <w:rsid w:val="005D54B4"/>
    <w:rsid w:val="005D54F2"/>
    <w:rsid w:val="005D560F"/>
    <w:rsid w:val="005D5662"/>
    <w:rsid w:val="005D5698"/>
    <w:rsid w:val="005D5836"/>
    <w:rsid w:val="005D596F"/>
    <w:rsid w:val="005D59A5"/>
    <w:rsid w:val="005D59ED"/>
    <w:rsid w:val="005D5ADA"/>
    <w:rsid w:val="005D5B73"/>
    <w:rsid w:val="005D5BCF"/>
    <w:rsid w:val="005D5E55"/>
    <w:rsid w:val="005D5E97"/>
    <w:rsid w:val="005D5EF4"/>
    <w:rsid w:val="005D5FBC"/>
    <w:rsid w:val="005D6251"/>
    <w:rsid w:val="005D62B3"/>
    <w:rsid w:val="005D634B"/>
    <w:rsid w:val="005D65CE"/>
    <w:rsid w:val="005D6837"/>
    <w:rsid w:val="005D6A65"/>
    <w:rsid w:val="005D6B25"/>
    <w:rsid w:val="005D6B4F"/>
    <w:rsid w:val="005D6B74"/>
    <w:rsid w:val="005D6B7A"/>
    <w:rsid w:val="005D6BA3"/>
    <w:rsid w:val="005D6C47"/>
    <w:rsid w:val="005D6CB0"/>
    <w:rsid w:val="005D6D97"/>
    <w:rsid w:val="005D6DE2"/>
    <w:rsid w:val="005D6F3B"/>
    <w:rsid w:val="005D6F8A"/>
    <w:rsid w:val="005D7185"/>
    <w:rsid w:val="005D739B"/>
    <w:rsid w:val="005D73C7"/>
    <w:rsid w:val="005D771A"/>
    <w:rsid w:val="005D7734"/>
    <w:rsid w:val="005D7760"/>
    <w:rsid w:val="005D776C"/>
    <w:rsid w:val="005D77FD"/>
    <w:rsid w:val="005D78A9"/>
    <w:rsid w:val="005D78E4"/>
    <w:rsid w:val="005D7983"/>
    <w:rsid w:val="005D79A9"/>
    <w:rsid w:val="005D79D6"/>
    <w:rsid w:val="005D7A5C"/>
    <w:rsid w:val="005D7A81"/>
    <w:rsid w:val="005D7A82"/>
    <w:rsid w:val="005D7AA8"/>
    <w:rsid w:val="005D7AB3"/>
    <w:rsid w:val="005D7D41"/>
    <w:rsid w:val="005E004B"/>
    <w:rsid w:val="005E005C"/>
    <w:rsid w:val="005E05CB"/>
    <w:rsid w:val="005E05F8"/>
    <w:rsid w:val="005E06C6"/>
    <w:rsid w:val="005E0792"/>
    <w:rsid w:val="005E0822"/>
    <w:rsid w:val="005E08DE"/>
    <w:rsid w:val="005E09A4"/>
    <w:rsid w:val="005E0AEA"/>
    <w:rsid w:val="005E0C9E"/>
    <w:rsid w:val="005E0CF0"/>
    <w:rsid w:val="005E0F0B"/>
    <w:rsid w:val="005E0F84"/>
    <w:rsid w:val="005E0FA4"/>
    <w:rsid w:val="005E0FFD"/>
    <w:rsid w:val="005E1034"/>
    <w:rsid w:val="005E10BE"/>
    <w:rsid w:val="005E10CB"/>
    <w:rsid w:val="005E10E9"/>
    <w:rsid w:val="005E1181"/>
    <w:rsid w:val="005E12A6"/>
    <w:rsid w:val="005E12D1"/>
    <w:rsid w:val="005E1343"/>
    <w:rsid w:val="005E14C1"/>
    <w:rsid w:val="005E16E8"/>
    <w:rsid w:val="005E1866"/>
    <w:rsid w:val="005E18C0"/>
    <w:rsid w:val="005E18FF"/>
    <w:rsid w:val="005E1936"/>
    <w:rsid w:val="005E1B47"/>
    <w:rsid w:val="005E1BAB"/>
    <w:rsid w:val="005E1D03"/>
    <w:rsid w:val="005E1D51"/>
    <w:rsid w:val="005E1FD3"/>
    <w:rsid w:val="005E202D"/>
    <w:rsid w:val="005E2184"/>
    <w:rsid w:val="005E22B9"/>
    <w:rsid w:val="005E2380"/>
    <w:rsid w:val="005E2423"/>
    <w:rsid w:val="005E2767"/>
    <w:rsid w:val="005E2785"/>
    <w:rsid w:val="005E2792"/>
    <w:rsid w:val="005E2868"/>
    <w:rsid w:val="005E2948"/>
    <w:rsid w:val="005E29AF"/>
    <w:rsid w:val="005E2A0D"/>
    <w:rsid w:val="005E2A38"/>
    <w:rsid w:val="005E2C31"/>
    <w:rsid w:val="005E2E96"/>
    <w:rsid w:val="005E2F54"/>
    <w:rsid w:val="005E2FC4"/>
    <w:rsid w:val="005E2FEC"/>
    <w:rsid w:val="005E3114"/>
    <w:rsid w:val="005E3118"/>
    <w:rsid w:val="005E3326"/>
    <w:rsid w:val="005E332A"/>
    <w:rsid w:val="005E337B"/>
    <w:rsid w:val="005E3402"/>
    <w:rsid w:val="005E345C"/>
    <w:rsid w:val="005E3663"/>
    <w:rsid w:val="005E372B"/>
    <w:rsid w:val="005E3782"/>
    <w:rsid w:val="005E3A69"/>
    <w:rsid w:val="005E3B98"/>
    <w:rsid w:val="005E3BE9"/>
    <w:rsid w:val="005E3BEB"/>
    <w:rsid w:val="005E3C7E"/>
    <w:rsid w:val="005E3D68"/>
    <w:rsid w:val="005E3EF5"/>
    <w:rsid w:val="005E3F64"/>
    <w:rsid w:val="005E4082"/>
    <w:rsid w:val="005E40FE"/>
    <w:rsid w:val="005E417F"/>
    <w:rsid w:val="005E42FD"/>
    <w:rsid w:val="005E4354"/>
    <w:rsid w:val="005E43F3"/>
    <w:rsid w:val="005E4594"/>
    <w:rsid w:val="005E45C4"/>
    <w:rsid w:val="005E45C6"/>
    <w:rsid w:val="005E46AE"/>
    <w:rsid w:val="005E46D7"/>
    <w:rsid w:val="005E478A"/>
    <w:rsid w:val="005E4923"/>
    <w:rsid w:val="005E49DF"/>
    <w:rsid w:val="005E4AAD"/>
    <w:rsid w:val="005E4C19"/>
    <w:rsid w:val="005E4C72"/>
    <w:rsid w:val="005E4CEE"/>
    <w:rsid w:val="005E4DCE"/>
    <w:rsid w:val="005E4E76"/>
    <w:rsid w:val="005E4F62"/>
    <w:rsid w:val="005E50C4"/>
    <w:rsid w:val="005E521F"/>
    <w:rsid w:val="005E5698"/>
    <w:rsid w:val="005E56C6"/>
    <w:rsid w:val="005E57C0"/>
    <w:rsid w:val="005E582E"/>
    <w:rsid w:val="005E5839"/>
    <w:rsid w:val="005E5942"/>
    <w:rsid w:val="005E59DE"/>
    <w:rsid w:val="005E5AC3"/>
    <w:rsid w:val="005E5B73"/>
    <w:rsid w:val="005E5BF1"/>
    <w:rsid w:val="005E5DE6"/>
    <w:rsid w:val="005E5F73"/>
    <w:rsid w:val="005E60E0"/>
    <w:rsid w:val="005E6248"/>
    <w:rsid w:val="005E62BC"/>
    <w:rsid w:val="005E6359"/>
    <w:rsid w:val="005E6462"/>
    <w:rsid w:val="005E648A"/>
    <w:rsid w:val="005E64CF"/>
    <w:rsid w:val="005E6528"/>
    <w:rsid w:val="005E65C2"/>
    <w:rsid w:val="005E6799"/>
    <w:rsid w:val="005E67FE"/>
    <w:rsid w:val="005E6885"/>
    <w:rsid w:val="005E688B"/>
    <w:rsid w:val="005E68AC"/>
    <w:rsid w:val="005E68B7"/>
    <w:rsid w:val="005E695F"/>
    <w:rsid w:val="005E6B59"/>
    <w:rsid w:val="005E6CA8"/>
    <w:rsid w:val="005E6FC4"/>
    <w:rsid w:val="005E715A"/>
    <w:rsid w:val="005E71FF"/>
    <w:rsid w:val="005E72E5"/>
    <w:rsid w:val="005E7359"/>
    <w:rsid w:val="005E7433"/>
    <w:rsid w:val="005E757C"/>
    <w:rsid w:val="005E7583"/>
    <w:rsid w:val="005E7780"/>
    <w:rsid w:val="005E77EE"/>
    <w:rsid w:val="005E794A"/>
    <w:rsid w:val="005E79A5"/>
    <w:rsid w:val="005E7A9F"/>
    <w:rsid w:val="005E7AE8"/>
    <w:rsid w:val="005E7BA1"/>
    <w:rsid w:val="005E7CD0"/>
    <w:rsid w:val="005E7CD7"/>
    <w:rsid w:val="005E7DFB"/>
    <w:rsid w:val="005E7E0B"/>
    <w:rsid w:val="005E7E22"/>
    <w:rsid w:val="005E7EE8"/>
    <w:rsid w:val="005F002F"/>
    <w:rsid w:val="005F024A"/>
    <w:rsid w:val="005F0252"/>
    <w:rsid w:val="005F034D"/>
    <w:rsid w:val="005F058B"/>
    <w:rsid w:val="005F077B"/>
    <w:rsid w:val="005F0929"/>
    <w:rsid w:val="005F092E"/>
    <w:rsid w:val="005F0C6A"/>
    <w:rsid w:val="005F0E5A"/>
    <w:rsid w:val="005F0E67"/>
    <w:rsid w:val="005F10F7"/>
    <w:rsid w:val="005F12EF"/>
    <w:rsid w:val="005F1808"/>
    <w:rsid w:val="005F18D4"/>
    <w:rsid w:val="005F192C"/>
    <w:rsid w:val="005F19D3"/>
    <w:rsid w:val="005F1B87"/>
    <w:rsid w:val="005F1DD6"/>
    <w:rsid w:val="005F1DEC"/>
    <w:rsid w:val="005F1E2E"/>
    <w:rsid w:val="005F1E30"/>
    <w:rsid w:val="005F1E5E"/>
    <w:rsid w:val="005F1F67"/>
    <w:rsid w:val="005F21EF"/>
    <w:rsid w:val="005F22C9"/>
    <w:rsid w:val="005F22E7"/>
    <w:rsid w:val="005F235C"/>
    <w:rsid w:val="005F2375"/>
    <w:rsid w:val="005F23E2"/>
    <w:rsid w:val="005F243B"/>
    <w:rsid w:val="005F245B"/>
    <w:rsid w:val="005F25F9"/>
    <w:rsid w:val="005F27DA"/>
    <w:rsid w:val="005F2806"/>
    <w:rsid w:val="005F29A1"/>
    <w:rsid w:val="005F2A21"/>
    <w:rsid w:val="005F2A30"/>
    <w:rsid w:val="005F2A62"/>
    <w:rsid w:val="005F2AED"/>
    <w:rsid w:val="005F2B2E"/>
    <w:rsid w:val="005F2B30"/>
    <w:rsid w:val="005F2B5E"/>
    <w:rsid w:val="005F2D2F"/>
    <w:rsid w:val="005F2D7F"/>
    <w:rsid w:val="005F2E57"/>
    <w:rsid w:val="005F2F47"/>
    <w:rsid w:val="005F3010"/>
    <w:rsid w:val="005F31CF"/>
    <w:rsid w:val="005F3235"/>
    <w:rsid w:val="005F3353"/>
    <w:rsid w:val="005F336A"/>
    <w:rsid w:val="005F3436"/>
    <w:rsid w:val="005F3499"/>
    <w:rsid w:val="005F34A8"/>
    <w:rsid w:val="005F34CC"/>
    <w:rsid w:val="005F358E"/>
    <w:rsid w:val="005F37A4"/>
    <w:rsid w:val="005F38E0"/>
    <w:rsid w:val="005F38E7"/>
    <w:rsid w:val="005F3AA7"/>
    <w:rsid w:val="005F3B1B"/>
    <w:rsid w:val="005F3B7B"/>
    <w:rsid w:val="005F3BC7"/>
    <w:rsid w:val="005F3C59"/>
    <w:rsid w:val="005F3CDA"/>
    <w:rsid w:val="005F3CF4"/>
    <w:rsid w:val="005F3D16"/>
    <w:rsid w:val="005F3D42"/>
    <w:rsid w:val="005F3D80"/>
    <w:rsid w:val="005F3E75"/>
    <w:rsid w:val="005F3EDF"/>
    <w:rsid w:val="005F40AB"/>
    <w:rsid w:val="005F40FB"/>
    <w:rsid w:val="005F4132"/>
    <w:rsid w:val="005F416C"/>
    <w:rsid w:val="005F439A"/>
    <w:rsid w:val="005F441F"/>
    <w:rsid w:val="005F4439"/>
    <w:rsid w:val="005F444A"/>
    <w:rsid w:val="005F4738"/>
    <w:rsid w:val="005F47E7"/>
    <w:rsid w:val="005F493F"/>
    <w:rsid w:val="005F4965"/>
    <w:rsid w:val="005F4AD9"/>
    <w:rsid w:val="005F4BAA"/>
    <w:rsid w:val="005F4CD4"/>
    <w:rsid w:val="005F4D28"/>
    <w:rsid w:val="005F4FD3"/>
    <w:rsid w:val="005F5222"/>
    <w:rsid w:val="005F5248"/>
    <w:rsid w:val="005F5286"/>
    <w:rsid w:val="005F53F7"/>
    <w:rsid w:val="005F5434"/>
    <w:rsid w:val="005F5510"/>
    <w:rsid w:val="005F56CD"/>
    <w:rsid w:val="005F57B5"/>
    <w:rsid w:val="005F584C"/>
    <w:rsid w:val="005F590E"/>
    <w:rsid w:val="005F5965"/>
    <w:rsid w:val="005F5A92"/>
    <w:rsid w:val="005F5B4B"/>
    <w:rsid w:val="005F5B86"/>
    <w:rsid w:val="005F5C3F"/>
    <w:rsid w:val="005F5CC9"/>
    <w:rsid w:val="005F5D89"/>
    <w:rsid w:val="005F5E29"/>
    <w:rsid w:val="005F5E49"/>
    <w:rsid w:val="005F5F09"/>
    <w:rsid w:val="005F5FE7"/>
    <w:rsid w:val="005F6028"/>
    <w:rsid w:val="005F604A"/>
    <w:rsid w:val="005F617C"/>
    <w:rsid w:val="005F6335"/>
    <w:rsid w:val="005F63D9"/>
    <w:rsid w:val="005F63FF"/>
    <w:rsid w:val="005F6524"/>
    <w:rsid w:val="005F66F2"/>
    <w:rsid w:val="005F6771"/>
    <w:rsid w:val="005F677C"/>
    <w:rsid w:val="005F6787"/>
    <w:rsid w:val="005F68CD"/>
    <w:rsid w:val="005F69A5"/>
    <w:rsid w:val="005F6AE9"/>
    <w:rsid w:val="005F6F11"/>
    <w:rsid w:val="005F6FD6"/>
    <w:rsid w:val="005F712C"/>
    <w:rsid w:val="005F723F"/>
    <w:rsid w:val="005F731A"/>
    <w:rsid w:val="005F7378"/>
    <w:rsid w:val="005F7406"/>
    <w:rsid w:val="005F745A"/>
    <w:rsid w:val="005F74AF"/>
    <w:rsid w:val="005F7501"/>
    <w:rsid w:val="005F7556"/>
    <w:rsid w:val="005F7590"/>
    <w:rsid w:val="005F75F2"/>
    <w:rsid w:val="005F78AA"/>
    <w:rsid w:val="005F78C6"/>
    <w:rsid w:val="005F7A8F"/>
    <w:rsid w:val="005F7B5E"/>
    <w:rsid w:val="005F7B8C"/>
    <w:rsid w:val="005F7BC9"/>
    <w:rsid w:val="005F7C31"/>
    <w:rsid w:val="005F7DCF"/>
    <w:rsid w:val="005F7E31"/>
    <w:rsid w:val="005F7EC7"/>
    <w:rsid w:val="005F7F8A"/>
    <w:rsid w:val="005FB692"/>
    <w:rsid w:val="0060008E"/>
    <w:rsid w:val="006000EF"/>
    <w:rsid w:val="006001B0"/>
    <w:rsid w:val="006001B3"/>
    <w:rsid w:val="006001D6"/>
    <w:rsid w:val="0060029E"/>
    <w:rsid w:val="0060037E"/>
    <w:rsid w:val="0060042A"/>
    <w:rsid w:val="00600485"/>
    <w:rsid w:val="006004B9"/>
    <w:rsid w:val="00600589"/>
    <w:rsid w:val="006006A3"/>
    <w:rsid w:val="00600776"/>
    <w:rsid w:val="006009CF"/>
    <w:rsid w:val="00600A3A"/>
    <w:rsid w:val="00600A63"/>
    <w:rsid w:val="00600A69"/>
    <w:rsid w:val="00600AE3"/>
    <w:rsid w:val="00600B35"/>
    <w:rsid w:val="00600B7E"/>
    <w:rsid w:val="00600BBF"/>
    <w:rsid w:val="00600C00"/>
    <w:rsid w:val="00600C5E"/>
    <w:rsid w:val="00600CA3"/>
    <w:rsid w:val="00600D13"/>
    <w:rsid w:val="00600D62"/>
    <w:rsid w:val="00600E7A"/>
    <w:rsid w:val="00600ECF"/>
    <w:rsid w:val="00600F70"/>
    <w:rsid w:val="00600FF6"/>
    <w:rsid w:val="00601153"/>
    <w:rsid w:val="0060126C"/>
    <w:rsid w:val="00601288"/>
    <w:rsid w:val="00601355"/>
    <w:rsid w:val="0060135D"/>
    <w:rsid w:val="00601376"/>
    <w:rsid w:val="006013CA"/>
    <w:rsid w:val="006013D1"/>
    <w:rsid w:val="0060154B"/>
    <w:rsid w:val="006015DA"/>
    <w:rsid w:val="006015EC"/>
    <w:rsid w:val="00601772"/>
    <w:rsid w:val="006018B6"/>
    <w:rsid w:val="00601965"/>
    <w:rsid w:val="00601AA6"/>
    <w:rsid w:val="00601B0A"/>
    <w:rsid w:val="00601B85"/>
    <w:rsid w:val="00601D5A"/>
    <w:rsid w:val="00601D88"/>
    <w:rsid w:val="00601DC7"/>
    <w:rsid w:val="00601DC8"/>
    <w:rsid w:val="00602099"/>
    <w:rsid w:val="006023C4"/>
    <w:rsid w:val="0060292C"/>
    <w:rsid w:val="006029A2"/>
    <w:rsid w:val="00602A0E"/>
    <w:rsid w:val="00602A5A"/>
    <w:rsid w:val="00602B02"/>
    <w:rsid w:val="00602BA2"/>
    <w:rsid w:val="00602C32"/>
    <w:rsid w:val="00602EB9"/>
    <w:rsid w:val="00602ED4"/>
    <w:rsid w:val="00602FCB"/>
    <w:rsid w:val="00603044"/>
    <w:rsid w:val="006030EA"/>
    <w:rsid w:val="0060311E"/>
    <w:rsid w:val="0060319A"/>
    <w:rsid w:val="006031ED"/>
    <w:rsid w:val="00603207"/>
    <w:rsid w:val="006034F7"/>
    <w:rsid w:val="006036BD"/>
    <w:rsid w:val="006036F8"/>
    <w:rsid w:val="006037D4"/>
    <w:rsid w:val="006037DD"/>
    <w:rsid w:val="006037F9"/>
    <w:rsid w:val="006038E8"/>
    <w:rsid w:val="00603AEB"/>
    <w:rsid w:val="00603B24"/>
    <w:rsid w:val="00603B47"/>
    <w:rsid w:val="006040AF"/>
    <w:rsid w:val="006040D2"/>
    <w:rsid w:val="00604168"/>
    <w:rsid w:val="00604182"/>
    <w:rsid w:val="00604202"/>
    <w:rsid w:val="0060423E"/>
    <w:rsid w:val="006044F9"/>
    <w:rsid w:val="00604532"/>
    <w:rsid w:val="006046F0"/>
    <w:rsid w:val="00604715"/>
    <w:rsid w:val="006047C8"/>
    <w:rsid w:val="006047FA"/>
    <w:rsid w:val="006048B9"/>
    <w:rsid w:val="006048D4"/>
    <w:rsid w:val="00604999"/>
    <w:rsid w:val="00604A53"/>
    <w:rsid w:val="00604B86"/>
    <w:rsid w:val="00604B89"/>
    <w:rsid w:val="00604C2C"/>
    <w:rsid w:val="00604C74"/>
    <w:rsid w:val="00604CC8"/>
    <w:rsid w:val="00604DBA"/>
    <w:rsid w:val="00605280"/>
    <w:rsid w:val="006052D3"/>
    <w:rsid w:val="006053D4"/>
    <w:rsid w:val="0060543B"/>
    <w:rsid w:val="00605456"/>
    <w:rsid w:val="006054FD"/>
    <w:rsid w:val="00605681"/>
    <w:rsid w:val="00605696"/>
    <w:rsid w:val="0060579E"/>
    <w:rsid w:val="006057D3"/>
    <w:rsid w:val="00605856"/>
    <w:rsid w:val="00605875"/>
    <w:rsid w:val="006058D0"/>
    <w:rsid w:val="006058E1"/>
    <w:rsid w:val="00605A72"/>
    <w:rsid w:val="00606050"/>
    <w:rsid w:val="0060607F"/>
    <w:rsid w:val="00606173"/>
    <w:rsid w:val="00606177"/>
    <w:rsid w:val="006061B8"/>
    <w:rsid w:val="006062C1"/>
    <w:rsid w:val="0060644E"/>
    <w:rsid w:val="00606457"/>
    <w:rsid w:val="006064AF"/>
    <w:rsid w:val="006064D6"/>
    <w:rsid w:val="00606537"/>
    <w:rsid w:val="0060669A"/>
    <w:rsid w:val="006066B6"/>
    <w:rsid w:val="00606892"/>
    <w:rsid w:val="00606B23"/>
    <w:rsid w:val="00606BCD"/>
    <w:rsid w:val="00606C21"/>
    <w:rsid w:val="00606C52"/>
    <w:rsid w:val="00606CB3"/>
    <w:rsid w:val="00606CE8"/>
    <w:rsid w:val="00606CF9"/>
    <w:rsid w:val="00606E28"/>
    <w:rsid w:val="00606EC7"/>
    <w:rsid w:val="0060703D"/>
    <w:rsid w:val="006070D4"/>
    <w:rsid w:val="00607142"/>
    <w:rsid w:val="0060721D"/>
    <w:rsid w:val="0060721F"/>
    <w:rsid w:val="006073A7"/>
    <w:rsid w:val="00607505"/>
    <w:rsid w:val="0060780E"/>
    <w:rsid w:val="0060785C"/>
    <w:rsid w:val="0060786E"/>
    <w:rsid w:val="0060790C"/>
    <w:rsid w:val="00607B36"/>
    <w:rsid w:val="00607BAA"/>
    <w:rsid w:val="00607C03"/>
    <w:rsid w:val="00607D88"/>
    <w:rsid w:val="00607DC3"/>
    <w:rsid w:val="00607E00"/>
    <w:rsid w:val="00607E3D"/>
    <w:rsid w:val="00607EFC"/>
    <w:rsid w:val="00607F3E"/>
    <w:rsid w:val="00610148"/>
    <w:rsid w:val="0061033D"/>
    <w:rsid w:val="006103EA"/>
    <w:rsid w:val="00610483"/>
    <w:rsid w:val="00610556"/>
    <w:rsid w:val="006105E7"/>
    <w:rsid w:val="0061065C"/>
    <w:rsid w:val="00610704"/>
    <w:rsid w:val="0061084F"/>
    <w:rsid w:val="006108DD"/>
    <w:rsid w:val="00610A43"/>
    <w:rsid w:val="00610C39"/>
    <w:rsid w:val="00610D43"/>
    <w:rsid w:val="00610D47"/>
    <w:rsid w:val="00610F89"/>
    <w:rsid w:val="006111C2"/>
    <w:rsid w:val="00611222"/>
    <w:rsid w:val="006113BA"/>
    <w:rsid w:val="006115B5"/>
    <w:rsid w:val="006115FC"/>
    <w:rsid w:val="00611784"/>
    <w:rsid w:val="006117F2"/>
    <w:rsid w:val="00611852"/>
    <w:rsid w:val="00611874"/>
    <w:rsid w:val="006119AC"/>
    <w:rsid w:val="006119B8"/>
    <w:rsid w:val="00611BB0"/>
    <w:rsid w:val="00611BBE"/>
    <w:rsid w:val="00611CA5"/>
    <w:rsid w:val="00611E0F"/>
    <w:rsid w:val="00611EAA"/>
    <w:rsid w:val="00611EBA"/>
    <w:rsid w:val="00611EE3"/>
    <w:rsid w:val="00611F75"/>
    <w:rsid w:val="00611FD9"/>
    <w:rsid w:val="0061217F"/>
    <w:rsid w:val="0061219B"/>
    <w:rsid w:val="006121F4"/>
    <w:rsid w:val="00612206"/>
    <w:rsid w:val="0061220A"/>
    <w:rsid w:val="006124D8"/>
    <w:rsid w:val="00612738"/>
    <w:rsid w:val="006128E4"/>
    <w:rsid w:val="0061290D"/>
    <w:rsid w:val="006129BD"/>
    <w:rsid w:val="006129FC"/>
    <w:rsid w:val="00612BCA"/>
    <w:rsid w:val="00612C28"/>
    <w:rsid w:val="00612EDD"/>
    <w:rsid w:val="00612F31"/>
    <w:rsid w:val="00612F76"/>
    <w:rsid w:val="00612F9D"/>
    <w:rsid w:val="006131A7"/>
    <w:rsid w:val="006133D2"/>
    <w:rsid w:val="006136B0"/>
    <w:rsid w:val="00613785"/>
    <w:rsid w:val="0061384A"/>
    <w:rsid w:val="006138B8"/>
    <w:rsid w:val="00613965"/>
    <w:rsid w:val="006139B4"/>
    <w:rsid w:val="00613B80"/>
    <w:rsid w:val="00613B8F"/>
    <w:rsid w:val="00613D09"/>
    <w:rsid w:val="00613D51"/>
    <w:rsid w:val="00613ED8"/>
    <w:rsid w:val="00614029"/>
    <w:rsid w:val="006141CA"/>
    <w:rsid w:val="006142B0"/>
    <w:rsid w:val="006143A2"/>
    <w:rsid w:val="006143A7"/>
    <w:rsid w:val="006143CB"/>
    <w:rsid w:val="00614588"/>
    <w:rsid w:val="00614699"/>
    <w:rsid w:val="0061473D"/>
    <w:rsid w:val="006147C0"/>
    <w:rsid w:val="006147F6"/>
    <w:rsid w:val="006148B7"/>
    <w:rsid w:val="00614CBA"/>
    <w:rsid w:val="00614E3B"/>
    <w:rsid w:val="00614EAF"/>
    <w:rsid w:val="00615000"/>
    <w:rsid w:val="00615227"/>
    <w:rsid w:val="00615241"/>
    <w:rsid w:val="00615292"/>
    <w:rsid w:val="006152CD"/>
    <w:rsid w:val="006153E3"/>
    <w:rsid w:val="00615459"/>
    <w:rsid w:val="006155C5"/>
    <w:rsid w:val="00615718"/>
    <w:rsid w:val="00615799"/>
    <w:rsid w:val="006158E3"/>
    <w:rsid w:val="006158E9"/>
    <w:rsid w:val="0061595B"/>
    <w:rsid w:val="00615AB6"/>
    <w:rsid w:val="00615B44"/>
    <w:rsid w:val="00615BD6"/>
    <w:rsid w:val="00615BE0"/>
    <w:rsid w:val="00615C16"/>
    <w:rsid w:val="00615CDF"/>
    <w:rsid w:val="0061614F"/>
    <w:rsid w:val="00616197"/>
    <w:rsid w:val="006161AF"/>
    <w:rsid w:val="00616292"/>
    <w:rsid w:val="006162B4"/>
    <w:rsid w:val="006163BC"/>
    <w:rsid w:val="006163C5"/>
    <w:rsid w:val="006164D2"/>
    <w:rsid w:val="0061663C"/>
    <w:rsid w:val="00616642"/>
    <w:rsid w:val="00616717"/>
    <w:rsid w:val="00616768"/>
    <w:rsid w:val="006169CE"/>
    <w:rsid w:val="006169DA"/>
    <w:rsid w:val="006169DC"/>
    <w:rsid w:val="00616B10"/>
    <w:rsid w:val="00616C5B"/>
    <w:rsid w:val="00616C5E"/>
    <w:rsid w:val="00616C94"/>
    <w:rsid w:val="00616CBD"/>
    <w:rsid w:val="00616CE3"/>
    <w:rsid w:val="00616CF4"/>
    <w:rsid w:val="00616D69"/>
    <w:rsid w:val="00616E2F"/>
    <w:rsid w:val="00616EA5"/>
    <w:rsid w:val="0061719B"/>
    <w:rsid w:val="006172CE"/>
    <w:rsid w:val="0061740C"/>
    <w:rsid w:val="00617434"/>
    <w:rsid w:val="006175C0"/>
    <w:rsid w:val="00617606"/>
    <w:rsid w:val="0061774C"/>
    <w:rsid w:val="006177B2"/>
    <w:rsid w:val="006177FB"/>
    <w:rsid w:val="00617884"/>
    <w:rsid w:val="00617933"/>
    <w:rsid w:val="006179DE"/>
    <w:rsid w:val="006179E8"/>
    <w:rsid w:val="00617B1F"/>
    <w:rsid w:val="00617CA2"/>
    <w:rsid w:val="00617CFC"/>
    <w:rsid w:val="00617D04"/>
    <w:rsid w:val="00617F2E"/>
    <w:rsid w:val="00617F99"/>
    <w:rsid w:val="00620009"/>
    <w:rsid w:val="0062003E"/>
    <w:rsid w:val="0062006D"/>
    <w:rsid w:val="0062008D"/>
    <w:rsid w:val="006200CE"/>
    <w:rsid w:val="006200F6"/>
    <w:rsid w:val="0062011C"/>
    <w:rsid w:val="0062012E"/>
    <w:rsid w:val="00620168"/>
    <w:rsid w:val="0062050B"/>
    <w:rsid w:val="0062053E"/>
    <w:rsid w:val="006206C6"/>
    <w:rsid w:val="006206F9"/>
    <w:rsid w:val="006206FB"/>
    <w:rsid w:val="00620919"/>
    <w:rsid w:val="00620B68"/>
    <w:rsid w:val="00620B9E"/>
    <w:rsid w:val="00620C39"/>
    <w:rsid w:val="00620D6A"/>
    <w:rsid w:val="00620F77"/>
    <w:rsid w:val="00621020"/>
    <w:rsid w:val="0062107F"/>
    <w:rsid w:val="006210A4"/>
    <w:rsid w:val="00621135"/>
    <w:rsid w:val="0062118D"/>
    <w:rsid w:val="006211EC"/>
    <w:rsid w:val="00621310"/>
    <w:rsid w:val="0062140A"/>
    <w:rsid w:val="00621621"/>
    <w:rsid w:val="0062164B"/>
    <w:rsid w:val="0062173B"/>
    <w:rsid w:val="00621768"/>
    <w:rsid w:val="00621928"/>
    <w:rsid w:val="00621A40"/>
    <w:rsid w:val="00621AFC"/>
    <w:rsid w:val="00621CEE"/>
    <w:rsid w:val="00621FF4"/>
    <w:rsid w:val="00622004"/>
    <w:rsid w:val="006220DC"/>
    <w:rsid w:val="006221B2"/>
    <w:rsid w:val="006221CA"/>
    <w:rsid w:val="006221DC"/>
    <w:rsid w:val="006222DB"/>
    <w:rsid w:val="0062235E"/>
    <w:rsid w:val="0062251E"/>
    <w:rsid w:val="0062277F"/>
    <w:rsid w:val="00622911"/>
    <w:rsid w:val="006229C6"/>
    <w:rsid w:val="006229F1"/>
    <w:rsid w:val="00622A9E"/>
    <w:rsid w:val="00622D5C"/>
    <w:rsid w:val="00622D73"/>
    <w:rsid w:val="00622D76"/>
    <w:rsid w:val="00622E17"/>
    <w:rsid w:val="00622E92"/>
    <w:rsid w:val="00622F90"/>
    <w:rsid w:val="00623082"/>
    <w:rsid w:val="006230FB"/>
    <w:rsid w:val="0062317F"/>
    <w:rsid w:val="0062319D"/>
    <w:rsid w:val="0062325A"/>
    <w:rsid w:val="006233C9"/>
    <w:rsid w:val="00623724"/>
    <w:rsid w:val="0062380C"/>
    <w:rsid w:val="006239E8"/>
    <w:rsid w:val="00623B3B"/>
    <w:rsid w:val="00623B92"/>
    <w:rsid w:val="00623BCA"/>
    <w:rsid w:val="00623C56"/>
    <w:rsid w:val="00623D72"/>
    <w:rsid w:val="00623DEB"/>
    <w:rsid w:val="00623DF6"/>
    <w:rsid w:val="00623FB3"/>
    <w:rsid w:val="00624050"/>
    <w:rsid w:val="00624266"/>
    <w:rsid w:val="006244F9"/>
    <w:rsid w:val="00624544"/>
    <w:rsid w:val="0062455D"/>
    <w:rsid w:val="006245E5"/>
    <w:rsid w:val="0062462A"/>
    <w:rsid w:val="0062469D"/>
    <w:rsid w:val="00624865"/>
    <w:rsid w:val="00624B31"/>
    <w:rsid w:val="00624BC0"/>
    <w:rsid w:val="00624CB0"/>
    <w:rsid w:val="00624D5E"/>
    <w:rsid w:val="00624D95"/>
    <w:rsid w:val="00624E4E"/>
    <w:rsid w:val="00624EDF"/>
    <w:rsid w:val="00625046"/>
    <w:rsid w:val="0062506C"/>
    <w:rsid w:val="006252E6"/>
    <w:rsid w:val="006252FD"/>
    <w:rsid w:val="00625326"/>
    <w:rsid w:val="0062541B"/>
    <w:rsid w:val="0062543C"/>
    <w:rsid w:val="0062545D"/>
    <w:rsid w:val="0062548D"/>
    <w:rsid w:val="0062550D"/>
    <w:rsid w:val="00625574"/>
    <w:rsid w:val="0062584F"/>
    <w:rsid w:val="00625913"/>
    <w:rsid w:val="00625927"/>
    <w:rsid w:val="00625A8F"/>
    <w:rsid w:val="00625ABA"/>
    <w:rsid w:val="00625B3D"/>
    <w:rsid w:val="00625C24"/>
    <w:rsid w:val="00625C34"/>
    <w:rsid w:val="00625C79"/>
    <w:rsid w:val="00625CBD"/>
    <w:rsid w:val="00625CF2"/>
    <w:rsid w:val="00625E17"/>
    <w:rsid w:val="00625F0A"/>
    <w:rsid w:val="00625F6D"/>
    <w:rsid w:val="00625F86"/>
    <w:rsid w:val="006260D3"/>
    <w:rsid w:val="00626144"/>
    <w:rsid w:val="006261B7"/>
    <w:rsid w:val="00626290"/>
    <w:rsid w:val="00626544"/>
    <w:rsid w:val="006268C9"/>
    <w:rsid w:val="006268CC"/>
    <w:rsid w:val="0062691A"/>
    <w:rsid w:val="00626AF8"/>
    <w:rsid w:val="00626B5A"/>
    <w:rsid w:val="00626B69"/>
    <w:rsid w:val="00626BD2"/>
    <w:rsid w:val="00626C13"/>
    <w:rsid w:val="00626C1C"/>
    <w:rsid w:val="00626CBF"/>
    <w:rsid w:val="00626F36"/>
    <w:rsid w:val="00626F69"/>
    <w:rsid w:val="00627010"/>
    <w:rsid w:val="00627044"/>
    <w:rsid w:val="00627114"/>
    <w:rsid w:val="0062721E"/>
    <w:rsid w:val="0062729D"/>
    <w:rsid w:val="006272A8"/>
    <w:rsid w:val="0062730C"/>
    <w:rsid w:val="0062733A"/>
    <w:rsid w:val="0062736B"/>
    <w:rsid w:val="00627408"/>
    <w:rsid w:val="006275F6"/>
    <w:rsid w:val="006277A2"/>
    <w:rsid w:val="006277AD"/>
    <w:rsid w:val="00627926"/>
    <w:rsid w:val="0062792B"/>
    <w:rsid w:val="0062796F"/>
    <w:rsid w:val="006279A2"/>
    <w:rsid w:val="00627B1E"/>
    <w:rsid w:val="00627B9D"/>
    <w:rsid w:val="00627C31"/>
    <w:rsid w:val="00627D70"/>
    <w:rsid w:val="00627EC4"/>
    <w:rsid w:val="00627F1A"/>
    <w:rsid w:val="00627FBA"/>
    <w:rsid w:val="00630071"/>
    <w:rsid w:val="0063013B"/>
    <w:rsid w:val="0063046A"/>
    <w:rsid w:val="006305CF"/>
    <w:rsid w:val="00630664"/>
    <w:rsid w:val="0063075E"/>
    <w:rsid w:val="00630946"/>
    <w:rsid w:val="00630A03"/>
    <w:rsid w:val="00630B1C"/>
    <w:rsid w:val="00630CF7"/>
    <w:rsid w:val="00630E27"/>
    <w:rsid w:val="00630FA5"/>
    <w:rsid w:val="00631071"/>
    <w:rsid w:val="006311BF"/>
    <w:rsid w:val="00631291"/>
    <w:rsid w:val="006312BD"/>
    <w:rsid w:val="00631459"/>
    <w:rsid w:val="00631473"/>
    <w:rsid w:val="00631578"/>
    <w:rsid w:val="00631683"/>
    <w:rsid w:val="006316E5"/>
    <w:rsid w:val="006316F5"/>
    <w:rsid w:val="0063198C"/>
    <w:rsid w:val="006319CF"/>
    <w:rsid w:val="00631CF2"/>
    <w:rsid w:val="00631D32"/>
    <w:rsid w:val="00631F2D"/>
    <w:rsid w:val="006321E1"/>
    <w:rsid w:val="006322C1"/>
    <w:rsid w:val="006324AB"/>
    <w:rsid w:val="0063259E"/>
    <w:rsid w:val="00632617"/>
    <w:rsid w:val="00632689"/>
    <w:rsid w:val="0063273C"/>
    <w:rsid w:val="006327B8"/>
    <w:rsid w:val="00632800"/>
    <w:rsid w:val="0063287F"/>
    <w:rsid w:val="006328B4"/>
    <w:rsid w:val="00632935"/>
    <w:rsid w:val="00632A1F"/>
    <w:rsid w:val="00632A67"/>
    <w:rsid w:val="00632BE2"/>
    <w:rsid w:val="00632D49"/>
    <w:rsid w:val="00632DBB"/>
    <w:rsid w:val="00632EC7"/>
    <w:rsid w:val="00632F4E"/>
    <w:rsid w:val="00632F57"/>
    <w:rsid w:val="00632FA3"/>
    <w:rsid w:val="0063305E"/>
    <w:rsid w:val="006330D1"/>
    <w:rsid w:val="006331A5"/>
    <w:rsid w:val="006331C8"/>
    <w:rsid w:val="0063323E"/>
    <w:rsid w:val="00633248"/>
    <w:rsid w:val="006333ED"/>
    <w:rsid w:val="00633571"/>
    <w:rsid w:val="00633780"/>
    <w:rsid w:val="0063386E"/>
    <w:rsid w:val="00633876"/>
    <w:rsid w:val="006338D8"/>
    <w:rsid w:val="006339B5"/>
    <w:rsid w:val="00633AB0"/>
    <w:rsid w:val="00633B03"/>
    <w:rsid w:val="00633C50"/>
    <w:rsid w:val="00633C91"/>
    <w:rsid w:val="00633DFB"/>
    <w:rsid w:val="00633E50"/>
    <w:rsid w:val="00633E83"/>
    <w:rsid w:val="00633F95"/>
    <w:rsid w:val="00633FA6"/>
    <w:rsid w:val="00634071"/>
    <w:rsid w:val="006340F0"/>
    <w:rsid w:val="00634153"/>
    <w:rsid w:val="00634159"/>
    <w:rsid w:val="006342CF"/>
    <w:rsid w:val="0063439D"/>
    <w:rsid w:val="00634409"/>
    <w:rsid w:val="00634411"/>
    <w:rsid w:val="00634744"/>
    <w:rsid w:val="00634757"/>
    <w:rsid w:val="00634910"/>
    <w:rsid w:val="00634926"/>
    <w:rsid w:val="00634A11"/>
    <w:rsid w:val="00634A19"/>
    <w:rsid w:val="00634B35"/>
    <w:rsid w:val="00634C50"/>
    <w:rsid w:val="00634CE2"/>
    <w:rsid w:val="00634ED0"/>
    <w:rsid w:val="00634F3D"/>
    <w:rsid w:val="00635023"/>
    <w:rsid w:val="0063503A"/>
    <w:rsid w:val="006350E5"/>
    <w:rsid w:val="006350F1"/>
    <w:rsid w:val="006351E5"/>
    <w:rsid w:val="006351ED"/>
    <w:rsid w:val="00635242"/>
    <w:rsid w:val="006352D3"/>
    <w:rsid w:val="006353F6"/>
    <w:rsid w:val="006353F8"/>
    <w:rsid w:val="006356D3"/>
    <w:rsid w:val="0063578F"/>
    <w:rsid w:val="006357D6"/>
    <w:rsid w:val="00635808"/>
    <w:rsid w:val="00635823"/>
    <w:rsid w:val="006359AF"/>
    <w:rsid w:val="006359E8"/>
    <w:rsid w:val="006359F8"/>
    <w:rsid w:val="00635A15"/>
    <w:rsid w:val="00635A52"/>
    <w:rsid w:val="00635A9E"/>
    <w:rsid w:val="00635AD0"/>
    <w:rsid w:val="00635CAB"/>
    <w:rsid w:val="00635E49"/>
    <w:rsid w:val="00635F32"/>
    <w:rsid w:val="00635FE3"/>
    <w:rsid w:val="00636022"/>
    <w:rsid w:val="006360D2"/>
    <w:rsid w:val="0063625C"/>
    <w:rsid w:val="00636266"/>
    <w:rsid w:val="00636278"/>
    <w:rsid w:val="006362B2"/>
    <w:rsid w:val="006362D1"/>
    <w:rsid w:val="00636362"/>
    <w:rsid w:val="006363A8"/>
    <w:rsid w:val="00636401"/>
    <w:rsid w:val="00636450"/>
    <w:rsid w:val="00636452"/>
    <w:rsid w:val="00636463"/>
    <w:rsid w:val="006365DA"/>
    <w:rsid w:val="00636623"/>
    <w:rsid w:val="0063666C"/>
    <w:rsid w:val="00636781"/>
    <w:rsid w:val="0063679B"/>
    <w:rsid w:val="006367B6"/>
    <w:rsid w:val="006367BE"/>
    <w:rsid w:val="0063680C"/>
    <w:rsid w:val="006368C3"/>
    <w:rsid w:val="006368D6"/>
    <w:rsid w:val="006368DF"/>
    <w:rsid w:val="0063691F"/>
    <w:rsid w:val="00636AFE"/>
    <w:rsid w:val="00636CD8"/>
    <w:rsid w:val="00636DB5"/>
    <w:rsid w:val="00636E58"/>
    <w:rsid w:val="00636EE4"/>
    <w:rsid w:val="00636FC4"/>
    <w:rsid w:val="006370CA"/>
    <w:rsid w:val="006372CA"/>
    <w:rsid w:val="006372FB"/>
    <w:rsid w:val="006372FC"/>
    <w:rsid w:val="0063733E"/>
    <w:rsid w:val="006373B1"/>
    <w:rsid w:val="006373F7"/>
    <w:rsid w:val="006375A3"/>
    <w:rsid w:val="0063788F"/>
    <w:rsid w:val="006378E7"/>
    <w:rsid w:val="00637948"/>
    <w:rsid w:val="0063799E"/>
    <w:rsid w:val="00637C01"/>
    <w:rsid w:val="00637C33"/>
    <w:rsid w:val="00637D79"/>
    <w:rsid w:val="00637D8E"/>
    <w:rsid w:val="00637DA1"/>
    <w:rsid w:val="00637DED"/>
    <w:rsid w:val="00637DFA"/>
    <w:rsid w:val="00637E27"/>
    <w:rsid w:val="00637E8A"/>
    <w:rsid w:val="00640034"/>
    <w:rsid w:val="00640065"/>
    <w:rsid w:val="006401BF"/>
    <w:rsid w:val="0064034C"/>
    <w:rsid w:val="0064034E"/>
    <w:rsid w:val="00640377"/>
    <w:rsid w:val="006403D0"/>
    <w:rsid w:val="0064047C"/>
    <w:rsid w:val="006406A8"/>
    <w:rsid w:val="0064089E"/>
    <w:rsid w:val="00640960"/>
    <w:rsid w:val="0064098F"/>
    <w:rsid w:val="006409E1"/>
    <w:rsid w:val="00640A70"/>
    <w:rsid w:val="00640BC4"/>
    <w:rsid w:val="00640BC9"/>
    <w:rsid w:val="00640C4C"/>
    <w:rsid w:val="00640C68"/>
    <w:rsid w:val="00640D5C"/>
    <w:rsid w:val="00640D71"/>
    <w:rsid w:val="00640EF7"/>
    <w:rsid w:val="00640F4E"/>
    <w:rsid w:val="006410FA"/>
    <w:rsid w:val="00641182"/>
    <w:rsid w:val="0064129A"/>
    <w:rsid w:val="006413C1"/>
    <w:rsid w:val="006414F1"/>
    <w:rsid w:val="006416B8"/>
    <w:rsid w:val="006416C2"/>
    <w:rsid w:val="0064172D"/>
    <w:rsid w:val="006417FE"/>
    <w:rsid w:val="00641941"/>
    <w:rsid w:val="0064199E"/>
    <w:rsid w:val="00641A74"/>
    <w:rsid w:val="00641C1C"/>
    <w:rsid w:val="00641D85"/>
    <w:rsid w:val="00641D93"/>
    <w:rsid w:val="00641E41"/>
    <w:rsid w:val="00641E74"/>
    <w:rsid w:val="00641F4A"/>
    <w:rsid w:val="00641FA4"/>
    <w:rsid w:val="00642033"/>
    <w:rsid w:val="00642046"/>
    <w:rsid w:val="00642158"/>
    <w:rsid w:val="00642187"/>
    <w:rsid w:val="00642198"/>
    <w:rsid w:val="0064224E"/>
    <w:rsid w:val="0064226D"/>
    <w:rsid w:val="00642392"/>
    <w:rsid w:val="006423F5"/>
    <w:rsid w:val="00642497"/>
    <w:rsid w:val="006424CA"/>
    <w:rsid w:val="00642B6E"/>
    <w:rsid w:val="00642CDD"/>
    <w:rsid w:val="00642DB9"/>
    <w:rsid w:val="00642E53"/>
    <w:rsid w:val="00642E68"/>
    <w:rsid w:val="00642E9F"/>
    <w:rsid w:val="00642F08"/>
    <w:rsid w:val="0064317B"/>
    <w:rsid w:val="006431D4"/>
    <w:rsid w:val="00643260"/>
    <w:rsid w:val="00643362"/>
    <w:rsid w:val="006433A0"/>
    <w:rsid w:val="00643440"/>
    <w:rsid w:val="00643528"/>
    <w:rsid w:val="006436CE"/>
    <w:rsid w:val="00643784"/>
    <w:rsid w:val="006437FD"/>
    <w:rsid w:val="00643901"/>
    <w:rsid w:val="006439FC"/>
    <w:rsid w:val="00643AB7"/>
    <w:rsid w:val="00643ABF"/>
    <w:rsid w:val="00643AC3"/>
    <w:rsid w:val="00643AC7"/>
    <w:rsid w:val="00643AD0"/>
    <w:rsid w:val="00643B05"/>
    <w:rsid w:val="00643BF2"/>
    <w:rsid w:val="00643E7B"/>
    <w:rsid w:val="00643E9B"/>
    <w:rsid w:val="00643F2A"/>
    <w:rsid w:val="00643F58"/>
    <w:rsid w:val="0064406C"/>
    <w:rsid w:val="006441BD"/>
    <w:rsid w:val="00644289"/>
    <w:rsid w:val="00644308"/>
    <w:rsid w:val="0064436F"/>
    <w:rsid w:val="0064438B"/>
    <w:rsid w:val="006443A7"/>
    <w:rsid w:val="006443BA"/>
    <w:rsid w:val="00644517"/>
    <w:rsid w:val="00644663"/>
    <w:rsid w:val="0064477A"/>
    <w:rsid w:val="00644805"/>
    <w:rsid w:val="00644A2C"/>
    <w:rsid w:val="00644ABF"/>
    <w:rsid w:val="00644B38"/>
    <w:rsid w:val="00644BAF"/>
    <w:rsid w:val="00644BCB"/>
    <w:rsid w:val="00644BFD"/>
    <w:rsid w:val="00644C41"/>
    <w:rsid w:val="00644CE9"/>
    <w:rsid w:val="00644D4A"/>
    <w:rsid w:val="00644E4E"/>
    <w:rsid w:val="00644E58"/>
    <w:rsid w:val="00645041"/>
    <w:rsid w:val="00645147"/>
    <w:rsid w:val="0064519C"/>
    <w:rsid w:val="00645337"/>
    <w:rsid w:val="0064539F"/>
    <w:rsid w:val="0064543F"/>
    <w:rsid w:val="0064552C"/>
    <w:rsid w:val="00645636"/>
    <w:rsid w:val="00645668"/>
    <w:rsid w:val="006456CA"/>
    <w:rsid w:val="00645747"/>
    <w:rsid w:val="006457CA"/>
    <w:rsid w:val="00645922"/>
    <w:rsid w:val="006459C7"/>
    <w:rsid w:val="00645A21"/>
    <w:rsid w:val="00645AA9"/>
    <w:rsid w:val="00645ACD"/>
    <w:rsid w:val="00645CA0"/>
    <w:rsid w:val="00645D1D"/>
    <w:rsid w:val="00645D23"/>
    <w:rsid w:val="00645E6A"/>
    <w:rsid w:val="0064609A"/>
    <w:rsid w:val="006460A3"/>
    <w:rsid w:val="006460C6"/>
    <w:rsid w:val="006461C5"/>
    <w:rsid w:val="006461E5"/>
    <w:rsid w:val="006461E9"/>
    <w:rsid w:val="00646348"/>
    <w:rsid w:val="006464FB"/>
    <w:rsid w:val="00646585"/>
    <w:rsid w:val="00646593"/>
    <w:rsid w:val="00646759"/>
    <w:rsid w:val="00646839"/>
    <w:rsid w:val="00646842"/>
    <w:rsid w:val="006468DF"/>
    <w:rsid w:val="00646BC6"/>
    <w:rsid w:val="00646CB2"/>
    <w:rsid w:val="00646CCF"/>
    <w:rsid w:val="00646F4F"/>
    <w:rsid w:val="006470A1"/>
    <w:rsid w:val="00647247"/>
    <w:rsid w:val="006472BD"/>
    <w:rsid w:val="006473FB"/>
    <w:rsid w:val="0064740F"/>
    <w:rsid w:val="006474CF"/>
    <w:rsid w:val="0064754D"/>
    <w:rsid w:val="00647885"/>
    <w:rsid w:val="00647932"/>
    <w:rsid w:val="0064793E"/>
    <w:rsid w:val="00647ACE"/>
    <w:rsid w:val="00647AEA"/>
    <w:rsid w:val="00647B01"/>
    <w:rsid w:val="00647BBC"/>
    <w:rsid w:val="00647C70"/>
    <w:rsid w:val="00647C73"/>
    <w:rsid w:val="00647D21"/>
    <w:rsid w:val="00647D60"/>
    <w:rsid w:val="00647EDA"/>
    <w:rsid w:val="00647EEC"/>
    <w:rsid w:val="00647F13"/>
    <w:rsid w:val="00647FF5"/>
    <w:rsid w:val="006501BC"/>
    <w:rsid w:val="006502CE"/>
    <w:rsid w:val="00650301"/>
    <w:rsid w:val="00650354"/>
    <w:rsid w:val="00650422"/>
    <w:rsid w:val="0065042C"/>
    <w:rsid w:val="00650444"/>
    <w:rsid w:val="006504D2"/>
    <w:rsid w:val="00650647"/>
    <w:rsid w:val="006506C7"/>
    <w:rsid w:val="006506D0"/>
    <w:rsid w:val="00650774"/>
    <w:rsid w:val="00650A6E"/>
    <w:rsid w:val="00650ADF"/>
    <w:rsid w:val="00650B7E"/>
    <w:rsid w:val="00650CFC"/>
    <w:rsid w:val="00650DF4"/>
    <w:rsid w:val="00651042"/>
    <w:rsid w:val="00651063"/>
    <w:rsid w:val="00651129"/>
    <w:rsid w:val="006512DD"/>
    <w:rsid w:val="0065136A"/>
    <w:rsid w:val="006514A6"/>
    <w:rsid w:val="00651502"/>
    <w:rsid w:val="006516F6"/>
    <w:rsid w:val="006516F7"/>
    <w:rsid w:val="0065181B"/>
    <w:rsid w:val="0065194D"/>
    <w:rsid w:val="00651B51"/>
    <w:rsid w:val="00651D1B"/>
    <w:rsid w:val="00651DCE"/>
    <w:rsid w:val="00651E4E"/>
    <w:rsid w:val="00652020"/>
    <w:rsid w:val="00652214"/>
    <w:rsid w:val="00652234"/>
    <w:rsid w:val="0065274A"/>
    <w:rsid w:val="0065279D"/>
    <w:rsid w:val="006527CA"/>
    <w:rsid w:val="00652905"/>
    <w:rsid w:val="00652C0C"/>
    <w:rsid w:val="00652CC7"/>
    <w:rsid w:val="00652DC4"/>
    <w:rsid w:val="00652ED3"/>
    <w:rsid w:val="00652FD0"/>
    <w:rsid w:val="00653161"/>
    <w:rsid w:val="00653191"/>
    <w:rsid w:val="006532C7"/>
    <w:rsid w:val="006533CE"/>
    <w:rsid w:val="00653497"/>
    <w:rsid w:val="0065349D"/>
    <w:rsid w:val="00653553"/>
    <w:rsid w:val="0065356C"/>
    <w:rsid w:val="00653623"/>
    <w:rsid w:val="00653662"/>
    <w:rsid w:val="00653838"/>
    <w:rsid w:val="0065383E"/>
    <w:rsid w:val="00653876"/>
    <w:rsid w:val="00653887"/>
    <w:rsid w:val="006538A2"/>
    <w:rsid w:val="00653914"/>
    <w:rsid w:val="00653AE0"/>
    <w:rsid w:val="00653B55"/>
    <w:rsid w:val="00653D96"/>
    <w:rsid w:val="00653DEA"/>
    <w:rsid w:val="00653DF6"/>
    <w:rsid w:val="00653DFD"/>
    <w:rsid w:val="00653E24"/>
    <w:rsid w:val="00653E6B"/>
    <w:rsid w:val="00654102"/>
    <w:rsid w:val="006541C6"/>
    <w:rsid w:val="0065423F"/>
    <w:rsid w:val="00654363"/>
    <w:rsid w:val="006543B0"/>
    <w:rsid w:val="0065440D"/>
    <w:rsid w:val="006544EA"/>
    <w:rsid w:val="006546B5"/>
    <w:rsid w:val="0065470F"/>
    <w:rsid w:val="0065476E"/>
    <w:rsid w:val="00654A91"/>
    <w:rsid w:val="00654AB8"/>
    <w:rsid w:val="00654B0C"/>
    <w:rsid w:val="00654BE0"/>
    <w:rsid w:val="00654C7B"/>
    <w:rsid w:val="00654E94"/>
    <w:rsid w:val="00655010"/>
    <w:rsid w:val="006550C7"/>
    <w:rsid w:val="006552E0"/>
    <w:rsid w:val="00655373"/>
    <w:rsid w:val="00655388"/>
    <w:rsid w:val="006554BC"/>
    <w:rsid w:val="00655535"/>
    <w:rsid w:val="006555BD"/>
    <w:rsid w:val="0065595F"/>
    <w:rsid w:val="00655A4F"/>
    <w:rsid w:val="00655F29"/>
    <w:rsid w:val="00655FCA"/>
    <w:rsid w:val="00656005"/>
    <w:rsid w:val="0065605A"/>
    <w:rsid w:val="00656280"/>
    <w:rsid w:val="006563EA"/>
    <w:rsid w:val="00656412"/>
    <w:rsid w:val="0065645A"/>
    <w:rsid w:val="006564FC"/>
    <w:rsid w:val="00656512"/>
    <w:rsid w:val="00656517"/>
    <w:rsid w:val="0065653B"/>
    <w:rsid w:val="006565F0"/>
    <w:rsid w:val="00656698"/>
    <w:rsid w:val="00656795"/>
    <w:rsid w:val="006567B4"/>
    <w:rsid w:val="0065686C"/>
    <w:rsid w:val="006568BF"/>
    <w:rsid w:val="0065691D"/>
    <w:rsid w:val="00656932"/>
    <w:rsid w:val="00656944"/>
    <w:rsid w:val="006569C0"/>
    <w:rsid w:val="006569C1"/>
    <w:rsid w:val="00656A1E"/>
    <w:rsid w:val="00656B87"/>
    <w:rsid w:val="00656B98"/>
    <w:rsid w:val="00656C0E"/>
    <w:rsid w:val="00656C2E"/>
    <w:rsid w:val="00656C30"/>
    <w:rsid w:val="00656D71"/>
    <w:rsid w:val="00656EA7"/>
    <w:rsid w:val="00656F0C"/>
    <w:rsid w:val="00656F63"/>
    <w:rsid w:val="00656F8B"/>
    <w:rsid w:val="00657092"/>
    <w:rsid w:val="0065712F"/>
    <w:rsid w:val="00657169"/>
    <w:rsid w:val="006571A8"/>
    <w:rsid w:val="006572DA"/>
    <w:rsid w:val="00657417"/>
    <w:rsid w:val="006575D4"/>
    <w:rsid w:val="0065762D"/>
    <w:rsid w:val="00657685"/>
    <w:rsid w:val="00657717"/>
    <w:rsid w:val="00657724"/>
    <w:rsid w:val="006577CE"/>
    <w:rsid w:val="00657817"/>
    <w:rsid w:val="006579AC"/>
    <w:rsid w:val="006579E4"/>
    <w:rsid w:val="00657A79"/>
    <w:rsid w:val="00657BFC"/>
    <w:rsid w:val="00657C70"/>
    <w:rsid w:val="00657E73"/>
    <w:rsid w:val="00657EE5"/>
    <w:rsid w:val="00660155"/>
    <w:rsid w:val="006601C2"/>
    <w:rsid w:val="0066031F"/>
    <w:rsid w:val="00660478"/>
    <w:rsid w:val="0066065C"/>
    <w:rsid w:val="00660783"/>
    <w:rsid w:val="00660809"/>
    <w:rsid w:val="00660840"/>
    <w:rsid w:val="00660943"/>
    <w:rsid w:val="00660A56"/>
    <w:rsid w:val="00660BA7"/>
    <w:rsid w:val="00660C01"/>
    <w:rsid w:val="00660E66"/>
    <w:rsid w:val="00660F57"/>
    <w:rsid w:val="00661260"/>
    <w:rsid w:val="006612F2"/>
    <w:rsid w:val="00661323"/>
    <w:rsid w:val="00661330"/>
    <w:rsid w:val="0066141A"/>
    <w:rsid w:val="006615B6"/>
    <w:rsid w:val="006615D2"/>
    <w:rsid w:val="006615F4"/>
    <w:rsid w:val="006615F8"/>
    <w:rsid w:val="00661683"/>
    <w:rsid w:val="0066176A"/>
    <w:rsid w:val="006618D2"/>
    <w:rsid w:val="0066195B"/>
    <w:rsid w:val="00661961"/>
    <w:rsid w:val="00661A72"/>
    <w:rsid w:val="00661BAA"/>
    <w:rsid w:val="00661EA1"/>
    <w:rsid w:val="00662002"/>
    <w:rsid w:val="00662031"/>
    <w:rsid w:val="0066226D"/>
    <w:rsid w:val="0066240E"/>
    <w:rsid w:val="006624DA"/>
    <w:rsid w:val="006625FC"/>
    <w:rsid w:val="00662736"/>
    <w:rsid w:val="00662783"/>
    <w:rsid w:val="0066279E"/>
    <w:rsid w:val="00662872"/>
    <w:rsid w:val="00662B25"/>
    <w:rsid w:val="00662D6E"/>
    <w:rsid w:val="00662EDC"/>
    <w:rsid w:val="00662F07"/>
    <w:rsid w:val="00663098"/>
    <w:rsid w:val="006630FE"/>
    <w:rsid w:val="0066310A"/>
    <w:rsid w:val="00663200"/>
    <w:rsid w:val="006632A4"/>
    <w:rsid w:val="00663483"/>
    <w:rsid w:val="006634DF"/>
    <w:rsid w:val="006635C3"/>
    <w:rsid w:val="00663C6D"/>
    <w:rsid w:val="00663EA1"/>
    <w:rsid w:val="00663F07"/>
    <w:rsid w:val="00663F3F"/>
    <w:rsid w:val="006640BF"/>
    <w:rsid w:val="006641D2"/>
    <w:rsid w:val="00664495"/>
    <w:rsid w:val="00664726"/>
    <w:rsid w:val="00664837"/>
    <w:rsid w:val="006648AD"/>
    <w:rsid w:val="00664A1F"/>
    <w:rsid w:val="00664AF0"/>
    <w:rsid w:val="00664BE7"/>
    <w:rsid w:val="00664BE9"/>
    <w:rsid w:val="00664C80"/>
    <w:rsid w:val="00664CC4"/>
    <w:rsid w:val="00664CD6"/>
    <w:rsid w:val="00664EBC"/>
    <w:rsid w:val="0066504D"/>
    <w:rsid w:val="006651CC"/>
    <w:rsid w:val="00665486"/>
    <w:rsid w:val="0066563C"/>
    <w:rsid w:val="00665696"/>
    <w:rsid w:val="006656E3"/>
    <w:rsid w:val="0066572F"/>
    <w:rsid w:val="0066576F"/>
    <w:rsid w:val="00665793"/>
    <w:rsid w:val="006657A1"/>
    <w:rsid w:val="006657AD"/>
    <w:rsid w:val="006659C1"/>
    <w:rsid w:val="00665AB1"/>
    <w:rsid w:val="00665AFA"/>
    <w:rsid w:val="00666144"/>
    <w:rsid w:val="0066619D"/>
    <w:rsid w:val="0066658E"/>
    <w:rsid w:val="00666B5C"/>
    <w:rsid w:val="00666E32"/>
    <w:rsid w:val="00666EF7"/>
    <w:rsid w:val="0066706B"/>
    <w:rsid w:val="00667347"/>
    <w:rsid w:val="00667453"/>
    <w:rsid w:val="0066748D"/>
    <w:rsid w:val="00667522"/>
    <w:rsid w:val="00667535"/>
    <w:rsid w:val="006675B4"/>
    <w:rsid w:val="006675B6"/>
    <w:rsid w:val="006676D3"/>
    <w:rsid w:val="0066772C"/>
    <w:rsid w:val="0066772D"/>
    <w:rsid w:val="00667745"/>
    <w:rsid w:val="00667A48"/>
    <w:rsid w:val="00667AE2"/>
    <w:rsid w:val="00667AF3"/>
    <w:rsid w:val="00667BC3"/>
    <w:rsid w:val="00667BDD"/>
    <w:rsid w:val="00667FDC"/>
    <w:rsid w:val="0067036E"/>
    <w:rsid w:val="00670407"/>
    <w:rsid w:val="00670425"/>
    <w:rsid w:val="0067053E"/>
    <w:rsid w:val="0067061E"/>
    <w:rsid w:val="006706CC"/>
    <w:rsid w:val="006707FA"/>
    <w:rsid w:val="00670883"/>
    <w:rsid w:val="00670898"/>
    <w:rsid w:val="00670A97"/>
    <w:rsid w:val="00670D8C"/>
    <w:rsid w:val="00670E97"/>
    <w:rsid w:val="006710CB"/>
    <w:rsid w:val="0067126D"/>
    <w:rsid w:val="0067144C"/>
    <w:rsid w:val="0067151B"/>
    <w:rsid w:val="0067164C"/>
    <w:rsid w:val="006718E5"/>
    <w:rsid w:val="0067192A"/>
    <w:rsid w:val="00671A09"/>
    <w:rsid w:val="00671A39"/>
    <w:rsid w:val="00671A75"/>
    <w:rsid w:val="00671AA4"/>
    <w:rsid w:val="00671B6A"/>
    <w:rsid w:val="00671CAD"/>
    <w:rsid w:val="00671D95"/>
    <w:rsid w:val="00671D98"/>
    <w:rsid w:val="00671E12"/>
    <w:rsid w:val="00672062"/>
    <w:rsid w:val="0067216E"/>
    <w:rsid w:val="00672184"/>
    <w:rsid w:val="006722CB"/>
    <w:rsid w:val="006723B6"/>
    <w:rsid w:val="00672433"/>
    <w:rsid w:val="006725DC"/>
    <w:rsid w:val="006725FE"/>
    <w:rsid w:val="006726AB"/>
    <w:rsid w:val="0067277D"/>
    <w:rsid w:val="006727DA"/>
    <w:rsid w:val="00672804"/>
    <w:rsid w:val="006728C6"/>
    <w:rsid w:val="00672ACD"/>
    <w:rsid w:val="00672E35"/>
    <w:rsid w:val="00672ED6"/>
    <w:rsid w:val="00673047"/>
    <w:rsid w:val="00673071"/>
    <w:rsid w:val="0067309A"/>
    <w:rsid w:val="00673135"/>
    <w:rsid w:val="006731CF"/>
    <w:rsid w:val="006731E0"/>
    <w:rsid w:val="00673208"/>
    <w:rsid w:val="0067322D"/>
    <w:rsid w:val="00673264"/>
    <w:rsid w:val="00673289"/>
    <w:rsid w:val="006733D5"/>
    <w:rsid w:val="0067351A"/>
    <w:rsid w:val="0067384D"/>
    <w:rsid w:val="006739F6"/>
    <w:rsid w:val="00673A45"/>
    <w:rsid w:val="00673AAF"/>
    <w:rsid w:val="00673AF3"/>
    <w:rsid w:val="00673B1E"/>
    <w:rsid w:val="00673B43"/>
    <w:rsid w:val="00673B5F"/>
    <w:rsid w:val="00673B9A"/>
    <w:rsid w:val="00673C6F"/>
    <w:rsid w:val="00673CD2"/>
    <w:rsid w:val="00673DF5"/>
    <w:rsid w:val="00673E8B"/>
    <w:rsid w:val="00674057"/>
    <w:rsid w:val="006741AF"/>
    <w:rsid w:val="00674527"/>
    <w:rsid w:val="006745D3"/>
    <w:rsid w:val="006745F6"/>
    <w:rsid w:val="00674620"/>
    <w:rsid w:val="00674677"/>
    <w:rsid w:val="00674717"/>
    <w:rsid w:val="006747F9"/>
    <w:rsid w:val="0067486B"/>
    <w:rsid w:val="00674970"/>
    <w:rsid w:val="00674A5C"/>
    <w:rsid w:val="00674EB2"/>
    <w:rsid w:val="0067501E"/>
    <w:rsid w:val="0067511C"/>
    <w:rsid w:val="00675139"/>
    <w:rsid w:val="006752C2"/>
    <w:rsid w:val="006752D8"/>
    <w:rsid w:val="006752E8"/>
    <w:rsid w:val="0067530B"/>
    <w:rsid w:val="00675427"/>
    <w:rsid w:val="0067547C"/>
    <w:rsid w:val="00675631"/>
    <w:rsid w:val="0067566A"/>
    <w:rsid w:val="00675708"/>
    <w:rsid w:val="0067591B"/>
    <w:rsid w:val="006759BA"/>
    <w:rsid w:val="006759CA"/>
    <w:rsid w:val="00675A7E"/>
    <w:rsid w:val="00675B25"/>
    <w:rsid w:val="00675BF1"/>
    <w:rsid w:val="00675CD9"/>
    <w:rsid w:val="00675D3A"/>
    <w:rsid w:val="00675E15"/>
    <w:rsid w:val="00675FAD"/>
    <w:rsid w:val="0067626C"/>
    <w:rsid w:val="006763EE"/>
    <w:rsid w:val="00676547"/>
    <w:rsid w:val="006765ED"/>
    <w:rsid w:val="006765FB"/>
    <w:rsid w:val="006766AD"/>
    <w:rsid w:val="006766E9"/>
    <w:rsid w:val="006768A6"/>
    <w:rsid w:val="00676925"/>
    <w:rsid w:val="00676B82"/>
    <w:rsid w:val="00676C09"/>
    <w:rsid w:val="00676D27"/>
    <w:rsid w:val="00676ED8"/>
    <w:rsid w:val="00676F19"/>
    <w:rsid w:val="00676F21"/>
    <w:rsid w:val="00677025"/>
    <w:rsid w:val="006772AD"/>
    <w:rsid w:val="0067731A"/>
    <w:rsid w:val="00677358"/>
    <w:rsid w:val="006774E4"/>
    <w:rsid w:val="00677530"/>
    <w:rsid w:val="00677573"/>
    <w:rsid w:val="006776F4"/>
    <w:rsid w:val="0067772C"/>
    <w:rsid w:val="006778F3"/>
    <w:rsid w:val="00677981"/>
    <w:rsid w:val="00677ADB"/>
    <w:rsid w:val="00677B0C"/>
    <w:rsid w:val="00677F39"/>
    <w:rsid w:val="00677FA2"/>
    <w:rsid w:val="006800AA"/>
    <w:rsid w:val="00680174"/>
    <w:rsid w:val="00680233"/>
    <w:rsid w:val="00680399"/>
    <w:rsid w:val="006804E9"/>
    <w:rsid w:val="00680893"/>
    <w:rsid w:val="00680895"/>
    <w:rsid w:val="00680948"/>
    <w:rsid w:val="00680B13"/>
    <w:rsid w:val="00680B54"/>
    <w:rsid w:val="00680E5F"/>
    <w:rsid w:val="00680E64"/>
    <w:rsid w:val="00680E73"/>
    <w:rsid w:val="0068120E"/>
    <w:rsid w:val="006812D5"/>
    <w:rsid w:val="0068136C"/>
    <w:rsid w:val="0068138D"/>
    <w:rsid w:val="0068143D"/>
    <w:rsid w:val="00681503"/>
    <w:rsid w:val="00681568"/>
    <w:rsid w:val="00681604"/>
    <w:rsid w:val="00681701"/>
    <w:rsid w:val="00681727"/>
    <w:rsid w:val="006817AE"/>
    <w:rsid w:val="006818D0"/>
    <w:rsid w:val="006818FD"/>
    <w:rsid w:val="0068191F"/>
    <w:rsid w:val="00681AAE"/>
    <w:rsid w:val="00681B04"/>
    <w:rsid w:val="00681E33"/>
    <w:rsid w:val="00681E76"/>
    <w:rsid w:val="00681E9B"/>
    <w:rsid w:val="00682043"/>
    <w:rsid w:val="0068207E"/>
    <w:rsid w:val="006820F3"/>
    <w:rsid w:val="00682125"/>
    <w:rsid w:val="006822CA"/>
    <w:rsid w:val="00682313"/>
    <w:rsid w:val="00682358"/>
    <w:rsid w:val="006825DE"/>
    <w:rsid w:val="00682719"/>
    <w:rsid w:val="0068281B"/>
    <w:rsid w:val="00682A5C"/>
    <w:rsid w:val="00683072"/>
    <w:rsid w:val="00683083"/>
    <w:rsid w:val="0068309A"/>
    <w:rsid w:val="0068318B"/>
    <w:rsid w:val="0068325A"/>
    <w:rsid w:val="00683283"/>
    <w:rsid w:val="006832FF"/>
    <w:rsid w:val="006833A7"/>
    <w:rsid w:val="00683533"/>
    <w:rsid w:val="006835D3"/>
    <w:rsid w:val="006836A7"/>
    <w:rsid w:val="006837D1"/>
    <w:rsid w:val="00683861"/>
    <w:rsid w:val="00683878"/>
    <w:rsid w:val="006838F9"/>
    <w:rsid w:val="0068398A"/>
    <w:rsid w:val="00683CDD"/>
    <w:rsid w:val="00683D31"/>
    <w:rsid w:val="00683D69"/>
    <w:rsid w:val="00683F16"/>
    <w:rsid w:val="00683FD6"/>
    <w:rsid w:val="0068400F"/>
    <w:rsid w:val="0068422B"/>
    <w:rsid w:val="006844B4"/>
    <w:rsid w:val="006844E8"/>
    <w:rsid w:val="00684507"/>
    <w:rsid w:val="0068463B"/>
    <w:rsid w:val="006846F0"/>
    <w:rsid w:val="0068478E"/>
    <w:rsid w:val="0068482A"/>
    <w:rsid w:val="006848F4"/>
    <w:rsid w:val="006849B4"/>
    <w:rsid w:val="00684AC5"/>
    <w:rsid w:val="00684ADD"/>
    <w:rsid w:val="00684BE3"/>
    <w:rsid w:val="00684CBA"/>
    <w:rsid w:val="00684D4E"/>
    <w:rsid w:val="00684F1B"/>
    <w:rsid w:val="00684FAE"/>
    <w:rsid w:val="00685036"/>
    <w:rsid w:val="00685065"/>
    <w:rsid w:val="00685120"/>
    <w:rsid w:val="00685138"/>
    <w:rsid w:val="0068528E"/>
    <w:rsid w:val="00685338"/>
    <w:rsid w:val="00685363"/>
    <w:rsid w:val="006853DA"/>
    <w:rsid w:val="0068543A"/>
    <w:rsid w:val="00685618"/>
    <w:rsid w:val="00685630"/>
    <w:rsid w:val="0068566E"/>
    <w:rsid w:val="00685761"/>
    <w:rsid w:val="0068585C"/>
    <w:rsid w:val="006858BC"/>
    <w:rsid w:val="00685987"/>
    <w:rsid w:val="006859A4"/>
    <w:rsid w:val="00685A28"/>
    <w:rsid w:val="00685BD1"/>
    <w:rsid w:val="00685D02"/>
    <w:rsid w:val="00685D7F"/>
    <w:rsid w:val="00685D93"/>
    <w:rsid w:val="00685D9C"/>
    <w:rsid w:val="00685FDC"/>
    <w:rsid w:val="00686198"/>
    <w:rsid w:val="0068622E"/>
    <w:rsid w:val="006862F2"/>
    <w:rsid w:val="0068639D"/>
    <w:rsid w:val="00686572"/>
    <w:rsid w:val="006867AF"/>
    <w:rsid w:val="00686816"/>
    <w:rsid w:val="00686A24"/>
    <w:rsid w:val="00686A3C"/>
    <w:rsid w:val="00686AC8"/>
    <w:rsid w:val="00686BF6"/>
    <w:rsid w:val="00686CB3"/>
    <w:rsid w:val="00686DE5"/>
    <w:rsid w:val="00686F2E"/>
    <w:rsid w:val="00687075"/>
    <w:rsid w:val="006870F7"/>
    <w:rsid w:val="0068717F"/>
    <w:rsid w:val="006871A5"/>
    <w:rsid w:val="00687277"/>
    <w:rsid w:val="00687374"/>
    <w:rsid w:val="0068749A"/>
    <w:rsid w:val="00687516"/>
    <w:rsid w:val="0068752C"/>
    <w:rsid w:val="00687886"/>
    <w:rsid w:val="00687952"/>
    <w:rsid w:val="00687988"/>
    <w:rsid w:val="00687A53"/>
    <w:rsid w:val="00687B13"/>
    <w:rsid w:val="00687B74"/>
    <w:rsid w:val="00687BA2"/>
    <w:rsid w:val="00687C48"/>
    <w:rsid w:val="00687F3D"/>
    <w:rsid w:val="00687F81"/>
    <w:rsid w:val="006903D5"/>
    <w:rsid w:val="00690953"/>
    <w:rsid w:val="00690962"/>
    <w:rsid w:val="00690AFD"/>
    <w:rsid w:val="00690C47"/>
    <w:rsid w:val="00690D53"/>
    <w:rsid w:val="00690D63"/>
    <w:rsid w:val="00690DC7"/>
    <w:rsid w:val="00690E39"/>
    <w:rsid w:val="006910A7"/>
    <w:rsid w:val="0069110E"/>
    <w:rsid w:val="0069118F"/>
    <w:rsid w:val="006911EF"/>
    <w:rsid w:val="006911F0"/>
    <w:rsid w:val="006911FD"/>
    <w:rsid w:val="0069139D"/>
    <w:rsid w:val="0069147B"/>
    <w:rsid w:val="00691487"/>
    <w:rsid w:val="006917AF"/>
    <w:rsid w:val="00691A36"/>
    <w:rsid w:val="00691A9E"/>
    <w:rsid w:val="00691AAC"/>
    <w:rsid w:val="00691AF6"/>
    <w:rsid w:val="00691C6D"/>
    <w:rsid w:val="00691D7C"/>
    <w:rsid w:val="0069220C"/>
    <w:rsid w:val="006922C5"/>
    <w:rsid w:val="0069251A"/>
    <w:rsid w:val="0069253F"/>
    <w:rsid w:val="0069256A"/>
    <w:rsid w:val="006925B2"/>
    <w:rsid w:val="006926A8"/>
    <w:rsid w:val="00692815"/>
    <w:rsid w:val="006928AF"/>
    <w:rsid w:val="006928D4"/>
    <w:rsid w:val="00692931"/>
    <w:rsid w:val="00692B82"/>
    <w:rsid w:val="00692C7B"/>
    <w:rsid w:val="00692CE2"/>
    <w:rsid w:val="00692E1B"/>
    <w:rsid w:val="006931D8"/>
    <w:rsid w:val="0069333A"/>
    <w:rsid w:val="00693481"/>
    <w:rsid w:val="0069359B"/>
    <w:rsid w:val="0069369B"/>
    <w:rsid w:val="00693795"/>
    <w:rsid w:val="00693836"/>
    <w:rsid w:val="00693843"/>
    <w:rsid w:val="00693A3C"/>
    <w:rsid w:val="00693A8C"/>
    <w:rsid w:val="00693AD8"/>
    <w:rsid w:val="00693AF6"/>
    <w:rsid w:val="00693C57"/>
    <w:rsid w:val="00693D66"/>
    <w:rsid w:val="00693E59"/>
    <w:rsid w:val="00693EEF"/>
    <w:rsid w:val="00693F17"/>
    <w:rsid w:val="006940CD"/>
    <w:rsid w:val="0069410E"/>
    <w:rsid w:val="0069424A"/>
    <w:rsid w:val="00694310"/>
    <w:rsid w:val="00694487"/>
    <w:rsid w:val="006944F9"/>
    <w:rsid w:val="006946E2"/>
    <w:rsid w:val="006946F0"/>
    <w:rsid w:val="0069480C"/>
    <w:rsid w:val="00694885"/>
    <w:rsid w:val="00694934"/>
    <w:rsid w:val="00694A58"/>
    <w:rsid w:val="00694E67"/>
    <w:rsid w:val="00694F60"/>
    <w:rsid w:val="006951E3"/>
    <w:rsid w:val="00695255"/>
    <w:rsid w:val="00695284"/>
    <w:rsid w:val="006952F0"/>
    <w:rsid w:val="006952F4"/>
    <w:rsid w:val="00695403"/>
    <w:rsid w:val="00695471"/>
    <w:rsid w:val="00695496"/>
    <w:rsid w:val="006957FA"/>
    <w:rsid w:val="006957FF"/>
    <w:rsid w:val="00695873"/>
    <w:rsid w:val="006958DB"/>
    <w:rsid w:val="00695AF5"/>
    <w:rsid w:val="00695BB3"/>
    <w:rsid w:val="00695C05"/>
    <w:rsid w:val="00696012"/>
    <w:rsid w:val="00696022"/>
    <w:rsid w:val="00696087"/>
    <w:rsid w:val="00696093"/>
    <w:rsid w:val="006960A1"/>
    <w:rsid w:val="00696258"/>
    <w:rsid w:val="006962C0"/>
    <w:rsid w:val="00696417"/>
    <w:rsid w:val="0069645F"/>
    <w:rsid w:val="00696606"/>
    <w:rsid w:val="006966B9"/>
    <w:rsid w:val="006966D3"/>
    <w:rsid w:val="006966E8"/>
    <w:rsid w:val="0069693C"/>
    <w:rsid w:val="00696AB1"/>
    <w:rsid w:val="00696C9D"/>
    <w:rsid w:val="00696D13"/>
    <w:rsid w:val="00696D6F"/>
    <w:rsid w:val="00696FE2"/>
    <w:rsid w:val="006970A6"/>
    <w:rsid w:val="00697190"/>
    <w:rsid w:val="006972A4"/>
    <w:rsid w:val="006972CF"/>
    <w:rsid w:val="00697379"/>
    <w:rsid w:val="0069737E"/>
    <w:rsid w:val="00697397"/>
    <w:rsid w:val="006973B5"/>
    <w:rsid w:val="0069750F"/>
    <w:rsid w:val="006975AF"/>
    <w:rsid w:val="0069783C"/>
    <w:rsid w:val="0069795F"/>
    <w:rsid w:val="00697A7C"/>
    <w:rsid w:val="00697FE2"/>
    <w:rsid w:val="006A01A7"/>
    <w:rsid w:val="006A01F1"/>
    <w:rsid w:val="006A01FC"/>
    <w:rsid w:val="006A040E"/>
    <w:rsid w:val="006A047C"/>
    <w:rsid w:val="006A0586"/>
    <w:rsid w:val="006A05C0"/>
    <w:rsid w:val="006A05E1"/>
    <w:rsid w:val="006A05EA"/>
    <w:rsid w:val="006A0667"/>
    <w:rsid w:val="006A0884"/>
    <w:rsid w:val="006A09CA"/>
    <w:rsid w:val="006A0A33"/>
    <w:rsid w:val="006A0C77"/>
    <w:rsid w:val="006A0D35"/>
    <w:rsid w:val="006A0DBC"/>
    <w:rsid w:val="006A0E4C"/>
    <w:rsid w:val="006A0E90"/>
    <w:rsid w:val="006A0F07"/>
    <w:rsid w:val="006A0F6E"/>
    <w:rsid w:val="006A0FC2"/>
    <w:rsid w:val="006A15F2"/>
    <w:rsid w:val="006A162C"/>
    <w:rsid w:val="006A178D"/>
    <w:rsid w:val="006A19E2"/>
    <w:rsid w:val="006A1A17"/>
    <w:rsid w:val="006A1A81"/>
    <w:rsid w:val="006A1C96"/>
    <w:rsid w:val="006A1EAA"/>
    <w:rsid w:val="006A1F25"/>
    <w:rsid w:val="006A2008"/>
    <w:rsid w:val="006A23BC"/>
    <w:rsid w:val="006A26B5"/>
    <w:rsid w:val="006A2746"/>
    <w:rsid w:val="006A278C"/>
    <w:rsid w:val="006A2AB9"/>
    <w:rsid w:val="006A2ABE"/>
    <w:rsid w:val="006A2BCF"/>
    <w:rsid w:val="006A2C23"/>
    <w:rsid w:val="006A2C80"/>
    <w:rsid w:val="006A2C8D"/>
    <w:rsid w:val="006A2C99"/>
    <w:rsid w:val="006A2D18"/>
    <w:rsid w:val="006A2F11"/>
    <w:rsid w:val="006A307F"/>
    <w:rsid w:val="006A3098"/>
    <w:rsid w:val="006A31CC"/>
    <w:rsid w:val="006A328A"/>
    <w:rsid w:val="006A333E"/>
    <w:rsid w:val="006A335B"/>
    <w:rsid w:val="006A34B7"/>
    <w:rsid w:val="006A36DC"/>
    <w:rsid w:val="006A370A"/>
    <w:rsid w:val="006A374A"/>
    <w:rsid w:val="006A38D5"/>
    <w:rsid w:val="006A3A23"/>
    <w:rsid w:val="006A3A74"/>
    <w:rsid w:val="006A3AE4"/>
    <w:rsid w:val="006A3E4F"/>
    <w:rsid w:val="006A4139"/>
    <w:rsid w:val="006A4150"/>
    <w:rsid w:val="006A4314"/>
    <w:rsid w:val="006A4377"/>
    <w:rsid w:val="006A4398"/>
    <w:rsid w:val="006A4409"/>
    <w:rsid w:val="006A445A"/>
    <w:rsid w:val="006A446A"/>
    <w:rsid w:val="006A4536"/>
    <w:rsid w:val="006A4582"/>
    <w:rsid w:val="006A4610"/>
    <w:rsid w:val="006A463B"/>
    <w:rsid w:val="006A4669"/>
    <w:rsid w:val="006A4677"/>
    <w:rsid w:val="006A478F"/>
    <w:rsid w:val="006A47AC"/>
    <w:rsid w:val="006A47C9"/>
    <w:rsid w:val="006A47F5"/>
    <w:rsid w:val="006A49EA"/>
    <w:rsid w:val="006A4B20"/>
    <w:rsid w:val="006A4C00"/>
    <w:rsid w:val="006A4D6E"/>
    <w:rsid w:val="006A4D8C"/>
    <w:rsid w:val="006A4D90"/>
    <w:rsid w:val="006A4DB9"/>
    <w:rsid w:val="006A4DF9"/>
    <w:rsid w:val="006A4ED1"/>
    <w:rsid w:val="006A4FA0"/>
    <w:rsid w:val="006A5010"/>
    <w:rsid w:val="006A5134"/>
    <w:rsid w:val="006A5231"/>
    <w:rsid w:val="006A523A"/>
    <w:rsid w:val="006A5594"/>
    <w:rsid w:val="006A559F"/>
    <w:rsid w:val="006A5713"/>
    <w:rsid w:val="006A5856"/>
    <w:rsid w:val="006A5946"/>
    <w:rsid w:val="006A59A5"/>
    <w:rsid w:val="006A5A01"/>
    <w:rsid w:val="006A5B5B"/>
    <w:rsid w:val="006A5C45"/>
    <w:rsid w:val="006A5C6E"/>
    <w:rsid w:val="006A5DB0"/>
    <w:rsid w:val="006A5FCC"/>
    <w:rsid w:val="006A602F"/>
    <w:rsid w:val="006A6031"/>
    <w:rsid w:val="006A60E3"/>
    <w:rsid w:val="006A6108"/>
    <w:rsid w:val="006A61DC"/>
    <w:rsid w:val="006A6220"/>
    <w:rsid w:val="006A6257"/>
    <w:rsid w:val="006A62A8"/>
    <w:rsid w:val="006A62C2"/>
    <w:rsid w:val="006A6363"/>
    <w:rsid w:val="006A6487"/>
    <w:rsid w:val="006A648E"/>
    <w:rsid w:val="006A64C7"/>
    <w:rsid w:val="006A64F9"/>
    <w:rsid w:val="006A6505"/>
    <w:rsid w:val="006A650A"/>
    <w:rsid w:val="006A6643"/>
    <w:rsid w:val="006A6662"/>
    <w:rsid w:val="006A66BC"/>
    <w:rsid w:val="006A67E7"/>
    <w:rsid w:val="006A6881"/>
    <w:rsid w:val="006A6C64"/>
    <w:rsid w:val="006A6D03"/>
    <w:rsid w:val="006A6D61"/>
    <w:rsid w:val="006A6E9B"/>
    <w:rsid w:val="006A6EAD"/>
    <w:rsid w:val="006A70DE"/>
    <w:rsid w:val="006A7166"/>
    <w:rsid w:val="006A72BE"/>
    <w:rsid w:val="006A73C1"/>
    <w:rsid w:val="006A7403"/>
    <w:rsid w:val="006A74EA"/>
    <w:rsid w:val="006A758E"/>
    <w:rsid w:val="006A771A"/>
    <w:rsid w:val="006A77ED"/>
    <w:rsid w:val="006A789A"/>
    <w:rsid w:val="006A78A0"/>
    <w:rsid w:val="006A79B2"/>
    <w:rsid w:val="006A79E3"/>
    <w:rsid w:val="006A7CD0"/>
    <w:rsid w:val="006A7EC6"/>
    <w:rsid w:val="006B00D2"/>
    <w:rsid w:val="006B013F"/>
    <w:rsid w:val="006B020F"/>
    <w:rsid w:val="006B022D"/>
    <w:rsid w:val="006B04BC"/>
    <w:rsid w:val="006B05D8"/>
    <w:rsid w:val="006B0677"/>
    <w:rsid w:val="006B068B"/>
    <w:rsid w:val="006B0814"/>
    <w:rsid w:val="006B08A1"/>
    <w:rsid w:val="006B0B2B"/>
    <w:rsid w:val="006B0BF1"/>
    <w:rsid w:val="006B0D2A"/>
    <w:rsid w:val="006B0D9B"/>
    <w:rsid w:val="006B0E3F"/>
    <w:rsid w:val="006B0E43"/>
    <w:rsid w:val="006B0E68"/>
    <w:rsid w:val="006B0F71"/>
    <w:rsid w:val="006B0FDD"/>
    <w:rsid w:val="006B0FFB"/>
    <w:rsid w:val="006B1195"/>
    <w:rsid w:val="006B1399"/>
    <w:rsid w:val="006B14F0"/>
    <w:rsid w:val="006B14F6"/>
    <w:rsid w:val="006B1522"/>
    <w:rsid w:val="006B1536"/>
    <w:rsid w:val="006B1910"/>
    <w:rsid w:val="006B19DF"/>
    <w:rsid w:val="006B19FA"/>
    <w:rsid w:val="006B1A04"/>
    <w:rsid w:val="006B1A45"/>
    <w:rsid w:val="006B1A48"/>
    <w:rsid w:val="006B1A5C"/>
    <w:rsid w:val="006B1B7E"/>
    <w:rsid w:val="006B1C7E"/>
    <w:rsid w:val="006B1CF1"/>
    <w:rsid w:val="006B1E5A"/>
    <w:rsid w:val="006B1EBE"/>
    <w:rsid w:val="006B2192"/>
    <w:rsid w:val="006B21C0"/>
    <w:rsid w:val="006B22AF"/>
    <w:rsid w:val="006B23B4"/>
    <w:rsid w:val="006B23C1"/>
    <w:rsid w:val="006B243D"/>
    <w:rsid w:val="006B2479"/>
    <w:rsid w:val="006B257A"/>
    <w:rsid w:val="006B25A2"/>
    <w:rsid w:val="006B2678"/>
    <w:rsid w:val="006B28B6"/>
    <w:rsid w:val="006B2A2D"/>
    <w:rsid w:val="006B2A8B"/>
    <w:rsid w:val="006B2C90"/>
    <w:rsid w:val="006B2D7E"/>
    <w:rsid w:val="006B3074"/>
    <w:rsid w:val="006B3429"/>
    <w:rsid w:val="006B3449"/>
    <w:rsid w:val="006B348F"/>
    <w:rsid w:val="006B3551"/>
    <w:rsid w:val="006B3621"/>
    <w:rsid w:val="006B36B7"/>
    <w:rsid w:val="006B3731"/>
    <w:rsid w:val="006B3855"/>
    <w:rsid w:val="006B389F"/>
    <w:rsid w:val="006B390D"/>
    <w:rsid w:val="006B39DB"/>
    <w:rsid w:val="006B3AA3"/>
    <w:rsid w:val="006B3B65"/>
    <w:rsid w:val="006B3BAB"/>
    <w:rsid w:val="006B3C5A"/>
    <w:rsid w:val="006B3C67"/>
    <w:rsid w:val="006B3DF1"/>
    <w:rsid w:val="006B3E87"/>
    <w:rsid w:val="006B4034"/>
    <w:rsid w:val="006B4157"/>
    <w:rsid w:val="006B4377"/>
    <w:rsid w:val="006B46D6"/>
    <w:rsid w:val="006B47D6"/>
    <w:rsid w:val="006B4862"/>
    <w:rsid w:val="006B4A30"/>
    <w:rsid w:val="006B4A57"/>
    <w:rsid w:val="006B4A74"/>
    <w:rsid w:val="006B4A9A"/>
    <w:rsid w:val="006B4AED"/>
    <w:rsid w:val="006B4B5A"/>
    <w:rsid w:val="006B4D36"/>
    <w:rsid w:val="006B503C"/>
    <w:rsid w:val="006B5094"/>
    <w:rsid w:val="006B50AD"/>
    <w:rsid w:val="006B510F"/>
    <w:rsid w:val="006B51CD"/>
    <w:rsid w:val="006B5530"/>
    <w:rsid w:val="006B5882"/>
    <w:rsid w:val="006B591B"/>
    <w:rsid w:val="006B5A32"/>
    <w:rsid w:val="006B5A98"/>
    <w:rsid w:val="006B5BF5"/>
    <w:rsid w:val="006B5C7C"/>
    <w:rsid w:val="006B5CE8"/>
    <w:rsid w:val="006B5CF5"/>
    <w:rsid w:val="006B5DED"/>
    <w:rsid w:val="006B5FF1"/>
    <w:rsid w:val="006B64C1"/>
    <w:rsid w:val="006B652C"/>
    <w:rsid w:val="006B674A"/>
    <w:rsid w:val="006B6861"/>
    <w:rsid w:val="006B6AF0"/>
    <w:rsid w:val="006B6B35"/>
    <w:rsid w:val="006B6BA9"/>
    <w:rsid w:val="006B6C15"/>
    <w:rsid w:val="006B6D3A"/>
    <w:rsid w:val="006B6D58"/>
    <w:rsid w:val="006B6E36"/>
    <w:rsid w:val="006B7079"/>
    <w:rsid w:val="006B7130"/>
    <w:rsid w:val="006B74E9"/>
    <w:rsid w:val="006B75E0"/>
    <w:rsid w:val="006B774B"/>
    <w:rsid w:val="006B7770"/>
    <w:rsid w:val="006B77FC"/>
    <w:rsid w:val="006B7937"/>
    <w:rsid w:val="006B799C"/>
    <w:rsid w:val="006B7A35"/>
    <w:rsid w:val="006B7CC5"/>
    <w:rsid w:val="006B7CEF"/>
    <w:rsid w:val="006B7E3D"/>
    <w:rsid w:val="006BE8E0"/>
    <w:rsid w:val="006C0025"/>
    <w:rsid w:val="006C0138"/>
    <w:rsid w:val="006C01F8"/>
    <w:rsid w:val="006C0283"/>
    <w:rsid w:val="006C03A8"/>
    <w:rsid w:val="006C044D"/>
    <w:rsid w:val="006C0494"/>
    <w:rsid w:val="006C04B4"/>
    <w:rsid w:val="006C0531"/>
    <w:rsid w:val="006C054B"/>
    <w:rsid w:val="006C056E"/>
    <w:rsid w:val="006C05A9"/>
    <w:rsid w:val="006C0652"/>
    <w:rsid w:val="006C0666"/>
    <w:rsid w:val="006C06E2"/>
    <w:rsid w:val="006C0745"/>
    <w:rsid w:val="006C08B9"/>
    <w:rsid w:val="006C097C"/>
    <w:rsid w:val="006C0A46"/>
    <w:rsid w:val="006C0B6A"/>
    <w:rsid w:val="006C0C0A"/>
    <w:rsid w:val="006C0CFF"/>
    <w:rsid w:val="006C0DC3"/>
    <w:rsid w:val="006C0ED8"/>
    <w:rsid w:val="006C0F81"/>
    <w:rsid w:val="006C1040"/>
    <w:rsid w:val="006C111F"/>
    <w:rsid w:val="006C129F"/>
    <w:rsid w:val="006C13FB"/>
    <w:rsid w:val="006C1517"/>
    <w:rsid w:val="006C1614"/>
    <w:rsid w:val="006C1627"/>
    <w:rsid w:val="006C1770"/>
    <w:rsid w:val="006C1801"/>
    <w:rsid w:val="006C1969"/>
    <w:rsid w:val="006C19DD"/>
    <w:rsid w:val="006C1AC3"/>
    <w:rsid w:val="006C1D8C"/>
    <w:rsid w:val="006C1DD3"/>
    <w:rsid w:val="006C1E0F"/>
    <w:rsid w:val="006C1E8B"/>
    <w:rsid w:val="006C1E93"/>
    <w:rsid w:val="006C1EC4"/>
    <w:rsid w:val="006C1EE5"/>
    <w:rsid w:val="006C1EF0"/>
    <w:rsid w:val="006C2087"/>
    <w:rsid w:val="006C21EF"/>
    <w:rsid w:val="006C22BE"/>
    <w:rsid w:val="006C23EC"/>
    <w:rsid w:val="006C2471"/>
    <w:rsid w:val="006C2518"/>
    <w:rsid w:val="006C2539"/>
    <w:rsid w:val="006C26BE"/>
    <w:rsid w:val="006C292D"/>
    <w:rsid w:val="006C2A57"/>
    <w:rsid w:val="006C2CB0"/>
    <w:rsid w:val="006C2DE8"/>
    <w:rsid w:val="006C3262"/>
    <w:rsid w:val="006C327B"/>
    <w:rsid w:val="006C3282"/>
    <w:rsid w:val="006C32AC"/>
    <w:rsid w:val="006C3358"/>
    <w:rsid w:val="006C3382"/>
    <w:rsid w:val="006C346C"/>
    <w:rsid w:val="006C35E0"/>
    <w:rsid w:val="006C35F1"/>
    <w:rsid w:val="006C36C8"/>
    <w:rsid w:val="006C36DA"/>
    <w:rsid w:val="006C3812"/>
    <w:rsid w:val="006C3885"/>
    <w:rsid w:val="006C3962"/>
    <w:rsid w:val="006C39E8"/>
    <w:rsid w:val="006C3C32"/>
    <w:rsid w:val="006C3C3B"/>
    <w:rsid w:val="006C3D25"/>
    <w:rsid w:val="006C3E16"/>
    <w:rsid w:val="006C3EC2"/>
    <w:rsid w:val="006C3FF3"/>
    <w:rsid w:val="006C407B"/>
    <w:rsid w:val="006C41C4"/>
    <w:rsid w:val="006C42BC"/>
    <w:rsid w:val="006C4341"/>
    <w:rsid w:val="006C4407"/>
    <w:rsid w:val="006C456D"/>
    <w:rsid w:val="006C4747"/>
    <w:rsid w:val="006C4801"/>
    <w:rsid w:val="006C4810"/>
    <w:rsid w:val="006C48BA"/>
    <w:rsid w:val="006C497E"/>
    <w:rsid w:val="006C498D"/>
    <w:rsid w:val="006C4A28"/>
    <w:rsid w:val="006C4B3B"/>
    <w:rsid w:val="006C4C94"/>
    <w:rsid w:val="006C4D73"/>
    <w:rsid w:val="006C4E7C"/>
    <w:rsid w:val="006C4F0C"/>
    <w:rsid w:val="006C5184"/>
    <w:rsid w:val="006C51AE"/>
    <w:rsid w:val="006C51FC"/>
    <w:rsid w:val="006C5233"/>
    <w:rsid w:val="006C5374"/>
    <w:rsid w:val="006C5586"/>
    <w:rsid w:val="006C565D"/>
    <w:rsid w:val="006C573B"/>
    <w:rsid w:val="006C57E0"/>
    <w:rsid w:val="006C5802"/>
    <w:rsid w:val="006C58FC"/>
    <w:rsid w:val="006C5934"/>
    <w:rsid w:val="006C59F8"/>
    <w:rsid w:val="006C5AE5"/>
    <w:rsid w:val="006C5BE2"/>
    <w:rsid w:val="006C5C7A"/>
    <w:rsid w:val="006C5C80"/>
    <w:rsid w:val="006C5D98"/>
    <w:rsid w:val="006C5E00"/>
    <w:rsid w:val="006C5EFD"/>
    <w:rsid w:val="006C65B2"/>
    <w:rsid w:val="006C66F1"/>
    <w:rsid w:val="006C6701"/>
    <w:rsid w:val="006C686C"/>
    <w:rsid w:val="006C6889"/>
    <w:rsid w:val="006C689C"/>
    <w:rsid w:val="006C6928"/>
    <w:rsid w:val="006C699E"/>
    <w:rsid w:val="006C6B8B"/>
    <w:rsid w:val="006C6DC2"/>
    <w:rsid w:val="006C6E14"/>
    <w:rsid w:val="006C6F46"/>
    <w:rsid w:val="006C6F89"/>
    <w:rsid w:val="006C7122"/>
    <w:rsid w:val="006C7146"/>
    <w:rsid w:val="006C72E6"/>
    <w:rsid w:val="006C730D"/>
    <w:rsid w:val="006C735C"/>
    <w:rsid w:val="006C73E7"/>
    <w:rsid w:val="006C7435"/>
    <w:rsid w:val="006C7516"/>
    <w:rsid w:val="006C75DB"/>
    <w:rsid w:val="006C75F3"/>
    <w:rsid w:val="006C76B4"/>
    <w:rsid w:val="006C7735"/>
    <w:rsid w:val="006C774C"/>
    <w:rsid w:val="006C783D"/>
    <w:rsid w:val="006C784F"/>
    <w:rsid w:val="006C7936"/>
    <w:rsid w:val="006C7941"/>
    <w:rsid w:val="006C79CA"/>
    <w:rsid w:val="006C7AC0"/>
    <w:rsid w:val="006C7BC8"/>
    <w:rsid w:val="006C7C39"/>
    <w:rsid w:val="006C7CE1"/>
    <w:rsid w:val="006C7E27"/>
    <w:rsid w:val="006C7E38"/>
    <w:rsid w:val="006C7E6A"/>
    <w:rsid w:val="006C7F16"/>
    <w:rsid w:val="006C7F98"/>
    <w:rsid w:val="006D014E"/>
    <w:rsid w:val="006D0230"/>
    <w:rsid w:val="006D0435"/>
    <w:rsid w:val="006D04C6"/>
    <w:rsid w:val="006D0521"/>
    <w:rsid w:val="006D0596"/>
    <w:rsid w:val="006D09F2"/>
    <w:rsid w:val="006D0A95"/>
    <w:rsid w:val="006D0BDE"/>
    <w:rsid w:val="006D0C73"/>
    <w:rsid w:val="006D0D7C"/>
    <w:rsid w:val="006D0F60"/>
    <w:rsid w:val="006D1088"/>
    <w:rsid w:val="006D10DB"/>
    <w:rsid w:val="006D1280"/>
    <w:rsid w:val="006D1309"/>
    <w:rsid w:val="006D1336"/>
    <w:rsid w:val="006D1499"/>
    <w:rsid w:val="006D14BE"/>
    <w:rsid w:val="006D14DD"/>
    <w:rsid w:val="006D1511"/>
    <w:rsid w:val="006D1724"/>
    <w:rsid w:val="006D174D"/>
    <w:rsid w:val="006D1913"/>
    <w:rsid w:val="006D1947"/>
    <w:rsid w:val="006D19C9"/>
    <w:rsid w:val="006D1AEA"/>
    <w:rsid w:val="006D1D50"/>
    <w:rsid w:val="006D1EBB"/>
    <w:rsid w:val="006D1F57"/>
    <w:rsid w:val="006D2011"/>
    <w:rsid w:val="006D2016"/>
    <w:rsid w:val="006D2083"/>
    <w:rsid w:val="006D21A7"/>
    <w:rsid w:val="006D21D4"/>
    <w:rsid w:val="006D21F0"/>
    <w:rsid w:val="006D2298"/>
    <w:rsid w:val="006D23C7"/>
    <w:rsid w:val="006D251D"/>
    <w:rsid w:val="006D25BC"/>
    <w:rsid w:val="006D263C"/>
    <w:rsid w:val="006D26D3"/>
    <w:rsid w:val="006D2797"/>
    <w:rsid w:val="006D283C"/>
    <w:rsid w:val="006D283D"/>
    <w:rsid w:val="006D284F"/>
    <w:rsid w:val="006D2905"/>
    <w:rsid w:val="006D290B"/>
    <w:rsid w:val="006D2913"/>
    <w:rsid w:val="006D29DB"/>
    <w:rsid w:val="006D29E6"/>
    <w:rsid w:val="006D2A61"/>
    <w:rsid w:val="006D2D15"/>
    <w:rsid w:val="006D2F07"/>
    <w:rsid w:val="006D3026"/>
    <w:rsid w:val="006D3130"/>
    <w:rsid w:val="006D331F"/>
    <w:rsid w:val="006D3332"/>
    <w:rsid w:val="006D33D9"/>
    <w:rsid w:val="006D346F"/>
    <w:rsid w:val="006D348D"/>
    <w:rsid w:val="006D3533"/>
    <w:rsid w:val="006D37E5"/>
    <w:rsid w:val="006D3B69"/>
    <w:rsid w:val="006D3C01"/>
    <w:rsid w:val="006D3C08"/>
    <w:rsid w:val="006D3C40"/>
    <w:rsid w:val="006D3C4E"/>
    <w:rsid w:val="006D3CDC"/>
    <w:rsid w:val="006D3D37"/>
    <w:rsid w:val="006D3DB1"/>
    <w:rsid w:val="006D3E5D"/>
    <w:rsid w:val="006D3E73"/>
    <w:rsid w:val="006D3EE9"/>
    <w:rsid w:val="006D3F5F"/>
    <w:rsid w:val="006D3FB5"/>
    <w:rsid w:val="006D4011"/>
    <w:rsid w:val="006D40E1"/>
    <w:rsid w:val="006D416F"/>
    <w:rsid w:val="006D427A"/>
    <w:rsid w:val="006D42EF"/>
    <w:rsid w:val="006D4654"/>
    <w:rsid w:val="006D4694"/>
    <w:rsid w:val="006D46A9"/>
    <w:rsid w:val="006D4876"/>
    <w:rsid w:val="006D4B67"/>
    <w:rsid w:val="006D4BE2"/>
    <w:rsid w:val="006D4CCA"/>
    <w:rsid w:val="006D4D91"/>
    <w:rsid w:val="006D4D95"/>
    <w:rsid w:val="006D4DDB"/>
    <w:rsid w:val="006D5013"/>
    <w:rsid w:val="006D508F"/>
    <w:rsid w:val="006D50C6"/>
    <w:rsid w:val="006D5120"/>
    <w:rsid w:val="006D5247"/>
    <w:rsid w:val="006D52F8"/>
    <w:rsid w:val="006D5310"/>
    <w:rsid w:val="006D533C"/>
    <w:rsid w:val="006D5484"/>
    <w:rsid w:val="006D54B1"/>
    <w:rsid w:val="006D553E"/>
    <w:rsid w:val="006D55CE"/>
    <w:rsid w:val="006D56B9"/>
    <w:rsid w:val="006D5819"/>
    <w:rsid w:val="006D58BA"/>
    <w:rsid w:val="006D5959"/>
    <w:rsid w:val="006D5A18"/>
    <w:rsid w:val="006D5AAF"/>
    <w:rsid w:val="006D5AD7"/>
    <w:rsid w:val="006D5B14"/>
    <w:rsid w:val="006D5C32"/>
    <w:rsid w:val="006D5D1C"/>
    <w:rsid w:val="006D5EB6"/>
    <w:rsid w:val="006D6264"/>
    <w:rsid w:val="006D626B"/>
    <w:rsid w:val="006D647D"/>
    <w:rsid w:val="006D6582"/>
    <w:rsid w:val="006D66CA"/>
    <w:rsid w:val="006D6AAA"/>
    <w:rsid w:val="006D6B73"/>
    <w:rsid w:val="006D6BEE"/>
    <w:rsid w:val="006D6C21"/>
    <w:rsid w:val="006D6D02"/>
    <w:rsid w:val="006D6D1C"/>
    <w:rsid w:val="006D6D99"/>
    <w:rsid w:val="006D6E8E"/>
    <w:rsid w:val="006D6EF7"/>
    <w:rsid w:val="006D6F9E"/>
    <w:rsid w:val="006D6FC6"/>
    <w:rsid w:val="006D7415"/>
    <w:rsid w:val="006D74F0"/>
    <w:rsid w:val="006D75E2"/>
    <w:rsid w:val="006D770F"/>
    <w:rsid w:val="006D789B"/>
    <w:rsid w:val="006D7A83"/>
    <w:rsid w:val="006D7AC8"/>
    <w:rsid w:val="006D7B36"/>
    <w:rsid w:val="006D7E6C"/>
    <w:rsid w:val="006D7F54"/>
    <w:rsid w:val="006D7FCE"/>
    <w:rsid w:val="006D9E69"/>
    <w:rsid w:val="006DDB90"/>
    <w:rsid w:val="006E0011"/>
    <w:rsid w:val="006E00E4"/>
    <w:rsid w:val="006E0171"/>
    <w:rsid w:val="006E02AA"/>
    <w:rsid w:val="006E031F"/>
    <w:rsid w:val="006E03FF"/>
    <w:rsid w:val="006E047B"/>
    <w:rsid w:val="006E04AF"/>
    <w:rsid w:val="006E04E7"/>
    <w:rsid w:val="006E0577"/>
    <w:rsid w:val="006E05C6"/>
    <w:rsid w:val="006E0735"/>
    <w:rsid w:val="006E0B90"/>
    <w:rsid w:val="006E0D46"/>
    <w:rsid w:val="006E0E31"/>
    <w:rsid w:val="006E0E36"/>
    <w:rsid w:val="006E1010"/>
    <w:rsid w:val="006E1017"/>
    <w:rsid w:val="006E1034"/>
    <w:rsid w:val="006E107C"/>
    <w:rsid w:val="006E1119"/>
    <w:rsid w:val="006E1170"/>
    <w:rsid w:val="006E11CF"/>
    <w:rsid w:val="006E12BC"/>
    <w:rsid w:val="006E13EA"/>
    <w:rsid w:val="006E14C4"/>
    <w:rsid w:val="006E14CD"/>
    <w:rsid w:val="006E160E"/>
    <w:rsid w:val="006E1716"/>
    <w:rsid w:val="006E175E"/>
    <w:rsid w:val="006E181E"/>
    <w:rsid w:val="006E1932"/>
    <w:rsid w:val="006E1988"/>
    <w:rsid w:val="006E19DE"/>
    <w:rsid w:val="006E1A63"/>
    <w:rsid w:val="006E1B55"/>
    <w:rsid w:val="006E1BC9"/>
    <w:rsid w:val="006E1C5B"/>
    <w:rsid w:val="006E1C5D"/>
    <w:rsid w:val="006E1CA4"/>
    <w:rsid w:val="006E1D19"/>
    <w:rsid w:val="006E1E23"/>
    <w:rsid w:val="006E1E40"/>
    <w:rsid w:val="006E1E76"/>
    <w:rsid w:val="006E1F81"/>
    <w:rsid w:val="006E1FFE"/>
    <w:rsid w:val="006E2270"/>
    <w:rsid w:val="006E23C6"/>
    <w:rsid w:val="006E2432"/>
    <w:rsid w:val="006E2445"/>
    <w:rsid w:val="006E2501"/>
    <w:rsid w:val="006E25F6"/>
    <w:rsid w:val="006E26A4"/>
    <w:rsid w:val="006E28B8"/>
    <w:rsid w:val="006E2904"/>
    <w:rsid w:val="006E297C"/>
    <w:rsid w:val="006E2A4D"/>
    <w:rsid w:val="006E2A66"/>
    <w:rsid w:val="006E2B59"/>
    <w:rsid w:val="006E2CB1"/>
    <w:rsid w:val="006E2E20"/>
    <w:rsid w:val="006E2EAB"/>
    <w:rsid w:val="006E310A"/>
    <w:rsid w:val="006E315D"/>
    <w:rsid w:val="006E3330"/>
    <w:rsid w:val="006E3467"/>
    <w:rsid w:val="006E35BF"/>
    <w:rsid w:val="006E37FB"/>
    <w:rsid w:val="006E38F3"/>
    <w:rsid w:val="006E3B52"/>
    <w:rsid w:val="006E3CC5"/>
    <w:rsid w:val="006E3D29"/>
    <w:rsid w:val="006E3DDC"/>
    <w:rsid w:val="006E3E3E"/>
    <w:rsid w:val="006E3F4C"/>
    <w:rsid w:val="006E416F"/>
    <w:rsid w:val="006E4196"/>
    <w:rsid w:val="006E441E"/>
    <w:rsid w:val="006E45FE"/>
    <w:rsid w:val="006E46DA"/>
    <w:rsid w:val="006E470A"/>
    <w:rsid w:val="006E4734"/>
    <w:rsid w:val="006E48D1"/>
    <w:rsid w:val="006E4A29"/>
    <w:rsid w:val="006E4C8C"/>
    <w:rsid w:val="006E4D1E"/>
    <w:rsid w:val="006E4F2F"/>
    <w:rsid w:val="006E4FD9"/>
    <w:rsid w:val="006E5088"/>
    <w:rsid w:val="006E50BA"/>
    <w:rsid w:val="006E5341"/>
    <w:rsid w:val="006E539F"/>
    <w:rsid w:val="006E53B4"/>
    <w:rsid w:val="006E53D7"/>
    <w:rsid w:val="006E567A"/>
    <w:rsid w:val="006E57D5"/>
    <w:rsid w:val="006E5809"/>
    <w:rsid w:val="006E58B6"/>
    <w:rsid w:val="006E59BC"/>
    <w:rsid w:val="006E5A2C"/>
    <w:rsid w:val="006E5C3D"/>
    <w:rsid w:val="006E5C76"/>
    <w:rsid w:val="006E5E8B"/>
    <w:rsid w:val="006E5EF0"/>
    <w:rsid w:val="006E5F43"/>
    <w:rsid w:val="006E5F4D"/>
    <w:rsid w:val="006E62A6"/>
    <w:rsid w:val="006E6306"/>
    <w:rsid w:val="006E6353"/>
    <w:rsid w:val="006E638C"/>
    <w:rsid w:val="006E638E"/>
    <w:rsid w:val="006E63FD"/>
    <w:rsid w:val="006E65C6"/>
    <w:rsid w:val="006E6637"/>
    <w:rsid w:val="006E6644"/>
    <w:rsid w:val="006E66BB"/>
    <w:rsid w:val="006E67BF"/>
    <w:rsid w:val="006E6928"/>
    <w:rsid w:val="006E6AF8"/>
    <w:rsid w:val="006E6C4C"/>
    <w:rsid w:val="006E6C9F"/>
    <w:rsid w:val="006E6E47"/>
    <w:rsid w:val="006E6E7A"/>
    <w:rsid w:val="006E6E97"/>
    <w:rsid w:val="006E6F73"/>
    <w:rsid w:val="006E705F"/>
    <w:rsid w:val="006E7095"/>
    <w:rsid w:val="006E7145"/>
    <w:rsid w:val="006E7209"/>
    <w:rsid w:val="006E727B"/>
    <w:rsid w:val="006E72AC"/>
    <w:rsid w:val="006E72B9"/>
    <w:rsid w:val="006E73E8"/>
    <w:rsid w:val="006E73EA"/>
    <w:rsid w:val="006E7547"/>
    <w:rsid w:val="006E7586"/>
    <w:rsid w:val="006E75D3"/>
    <w:rsid w:val="006E75EE"/>
    <w:rsid w:val="006E7771"/>
    <w:rsid w:val="006E7780"/>
    <w:rsid w:val="006E7782"/>
    <w:rsid w:val="006E77B1"/>
    <w:rsid w:val="006E791B"/>
    <w:rsid w:val="006E79BC"/>
    <w:rsid w:val="006E7A93"/>
    <w:rsid w:val="006E7BA3"/>
    <w:rsid w:val="006E7D3D"/>
    <w:rsid w:val="006E7D7E"/>
    <w:rsid w:val="006E7F6D"/>
    <w:rsid w:val="006E7F73"/>
    <w:rsid w:val="006F033F"/>
    <w:rsid w:val="006F0478"/>
    <w:rsid w:val="006F0631"/>
    <w:rsid w:val="006F078C"/>
    <w:rsid w:val="006F07DB"/>
    <w:rsid w:val="006F0A78"/>
    <w:rsid w:val="006F0B6F"/>
    <w:rsid w:val="006F0B8C"/>
    <w:rsid w:val="006F0D0D"/>
    <w:rsid w:val="006F0D2E"/>
    <w:rsid w:val="006F0ED3"/>
    <w:rsid w:val="006F0F72"/>
    <w:rsid w:val="006F0F85"/>
    <w:rsid w:val="006F10E2"/>
    <w:rsid w:val="006F10FF"/>
    <w:rsid w:val="006F13AA"/>
    <w:rsid w:val="006F13E3"/>
    <w:rsid w:val="006F157D"/>
    <w:rsid w:val="006F164D"/>
    <w:rsid w:val="006F16CD"/>
    <w:rsid w:val="006F17D3"/>
    <w:rsid w:val="006F181E"/>
    <w:rsid w:val="006F18D7"/>
    <w:rsid w:val="006F1BE9"/>
    <w:rsid w:val="006F1CDB"/>
    <w:rsid w:val="006F2208"/>
    <w:rsid w:val="006F2323"/>
    <w:rsid w:val="006F2437"/>
    <w:rsid w:val="006F25BC"/>
    <w:rsid w:val="006F2787"/>
    <w:rsid w:val="006F2BCF"/>
    <w:rsid w:val="006F2C5A"/>
    <w:rsid w:val="006F2C8B"/>
    <w:rsid w:val="006F2CCD"/>
    <w:rsid w:val="006F2DD4"/>
    <w:rsid w:val="006F2E45"/>
    <w:rsid w:val="006F2F89"/>
    <w:rsid w:val="006F306E"/>
    <w:rsid w:val="006F30B1"/>
    <w:rsid w:val="006F30DE"/>
    <w:rsid w:val="006F31DB"/>
    <w:rsid w:val="006F3269"/>
    <w:rsid w:val="006F33EA"/>
    <w:rsid w:val="006F341F"/>
    <w:rsid w:val="006F34E6"/>
    <w:rsid w:val="006F35F2"/>
    <w:rsid w:val="006F3670"/>
    <w:rsid w:val="006F36C8"/>
    <w:rsid w:val="006F37D8"/>
    <w:rsid w:val="006F3807"/>
    <w:rsid w:val="006F38AA"/>
    <w:rsid w:val="006F38B1"/>
    <w:rsid w:val="006F39BB"/>
    <w:rsid w:val="006F3BD0"/>
    <w:rsid w:val="006F3F0C"/>
    <w:rsid w:val="006F40E6"/>
    <w:rsid w:val="006F418B"/>
    <w:rsid w:val="006F42ED"/>
    <w:rsid w:val="006F4572"/>
    <w:rsid w:val="006F458E"/>
    <w:rsid w:val="006F48BF"/>
    <w:rsid w:val="006F4A69"/>
    <w:rsid w:val="006F4B83"/>
    <w:rsid w:val="006F4B84"/>
    <w:rsid w:val="006F4D9D"/>
    <w:rsid w:val="006F4EE1"/>
    <w:rsid w:val="006F4F06"/>
    <w:rsid w:val="006F4F49"/>
    <w:rsid w:val="006F4F61"/>
    <w:rsid w:val="006F4FAC"/>
    <w:rsid w:val="006F5185"/>
    <w:rsid w:val="006F51C2"/>
    <w:rsid w:val="006F5257"/>
    <w:rsid w:val="006F5297"/>
    <w:rsid w:val="006F5394"/>
    <w:rsid w:val="006F54AE"/>
    <w:rsid w:val="006F5580"/>
    <w:rsid w:val="006F55CD"/>
    <w:rsid w:val="006F5688"/>
    <w:rsid w:val="006F58F4"/>
    <w:rsid w:val="006F5B15"/>
    <w:rsid w:val="006F5B20"/>
    <w:rsid w:val="006F5BC2"/>
    <w:rsid w:val="006F5C3E"/>
    <w:rsid w:val="006F5D39"/>
    <w:rsid w:val="006F5FCF"/>
    <w:rsid w:val="006F6071"/>
    <w:rsid w:val="006F60A4"/>
    <w:rsid w:val="006F6140"/>
    <w:rsid w:val="006F619C"/>
    <w:rsid w:val="006F6350"/>
    <w:rsid w:val="006F63F7"/>
    <w:rsid w:val="006F6469"/>
    <w:rsid w:val="006F6499"/>
    <w:rsid w:val="006F66A0"/>
    <w:rsid w:val="006F674B"/>
    <w:rsid w:val="006F675E"/>
    <w:rsid w:val="006F6826"/>
    <w:rsid w:val="006F69E9"/>
    <w:rsid w:val="006F6B0D"/>
    <w:rsid w:val="006F6B54"/>
    <w:rsid w:val="006F6C6C"/>
    <w:rsid w:val="006F6CC3"/>
    <w:rsid w:val="006F6D31"/>
    <w:rsid w:val="006F6E09"/>
    <w:rsid w:val="006F6F8F"/>
    <w:rsid w:val="006F7031"/>
    <w:rsid w:val="006F7100"/>
    <w:rsid w:val="006F7148"/>
    <w:rsid w:val="006F7228"/>
    <w:rsid w:val="006F72BC"/>
    <w:rsid w:val="006F735E"/>
    <w:rsid w:val="006F73A1"/>
    <w:rsid w:val="006F74FA"/>
    <w:rsid w:val="006F7532"/>
    <w:rsid w:val="006F757F"/>
    <w:rsid w:val="006F7652"/>
    <w:rsid w:val="006F765D"/>
    <w:rsid w:val="006F77B8"/>
    <w:rsid w:val="006F77EE"/>
    <w:rsid w:val="006F7E87"/>
    <w:rsid w:val="006F7EA6"/>
    <w:rsid w:val="006F7EB0"/>
    <w:rsid w:val="006F7EE1"/>
    <w:rsid w:val="007002DE"/>
    <w:rsid w:val="00700328"/>
    <w:rsid w:val="007003CD"/>
    <w:rsid w:val="0070047B"/>
    <w:rsid w:val="00700787"/>
    <w:rsid w:val="0070079D"/>
    <w:rsid w:val="007007FB"/>
    <w:rsid w:val="00700809"/>
    <w:rsid w:val="00700909"/>
    <w:rsid w:val="00700BDD"/>
    <w:rsid w:val="00700DD5"/>
    <w:rsid w:val="00700FC0"/>
    <w:rsid w:val="0070101F"/>
    <w:rsid w:val="00701048"/>
    <w:rsid w:val="0070107B"/>
    <w:rsid w:val="00701175"/>
    <w:rsid w:val="007011B8"/>
    <w:rsid w:val="0070145A"/>
    <w:rsid w:val="007014DF"/>
    <w:rsid w:val="0070154D"/>
    <w:rsid w:val="0070160A"/>
    <w:rsid w:val="0070161C"/>
    <w:rsid w:val="007016B8"/>
    <w:rsid w:val="007016B9"/>
    <w:rsid w:val="007016C2"/>
    <w:rsid w:val="007016D0"/>
    <w:rsid w:val="0070177B"/>
    <w:rsid w:val="00701870"/>
    <w:rsid w:val="007018D6"/>
    <w:rsid w:val="00701A16"/>
    <w:rsid w:val="00701A70"/>
    <w:rsid w:val="00701B18"/>
    <w:rsid w:val="00701C09"/>
    <w:rsid w:val="00701CA4"/>
    <w:rsid w:val="00701F4F"/>
    <w:rsid w:val="00701FD8"/>
    <w:rsid w:val="00702036"/>
    <w:rsid w:val="007020BF"/>
    <w:rsid w:val="0070226D"/>
    <w:rsid w:val="007022C8"/>
    <w:rsid w:val="00702467"/>
    <w:rsid w:val="00702628"/>
    <w:rsid w:val="00702783"/>
    <w:rsid w:val="007027BA"/>
    <w:rsid w:val="00702810"/>
    <w:rsid w:val="00702CA7"/>
    <w:rsid w:val="00702E0B"/>
    <w:rsid w:val="00702EDE"/>
    <w:rsid w:val="007030DB"/>
    <w:rsid w:val="0070314F"/>
    <w:rsid w:val="0070319C"/>
    <w:rsid w:val="007031D3"/>
    <w:rsid w:val="00703397"/>
    <w:rsid w:val="007033D9"/>
    <w:rsid w:val="00703540"/>
    <w:rsid w:val="007036C5"/>
    <w:rsid w:val="00703787"/>
    <w:rsid w:val="00703B25"/>
    <w:rsid w:val="00703B30"/>
    <w:rsid w:val="00703BA6"/>
    <w:rsid w:val="00703C83"/>
    <w:rsid w:val="00703FD9"/>
    <w:rsid w:val="007041FF"/>
    <w:rsid w:val="0070420D"/>
    <w:rsid w:val="00704245"/>
    <w:rsid w:val="007043FF"/>
    <w:rsid w:val="00704415"/>
    <w:rsid w:val="0070449A"/>
    <w:rsid w:val="0070458F"/>
    <w:rsid w:val="007045E6"/>
    <w:rsid w:val="00704621"/>
    <w:rsid w:val="007046B2"/>
    <w:rsid w:val="0070478D"/>
    <w:rsid w:val="007047B8"/>
    <w:rsid w:val="00704804"/>
    <w:rsid w:val="007048BC"/>
    <w:rsid w:val="007049FF"/>
    <w:rsid w:val="00704A85"/>
    <w:rsid w:val="00704ED6"/>
    <w:rsid w:val="00704F77"/>
    <w:rsid w:val="00704F87"/>
    <w:rsid w:val="00704F96"/>
    <w:rsid w:val="00705095"/>
    <w:rsid w:val="007050ED"/>
    <w:rsid w:val="00705201"/>
    <w:rsid w:val="00705295"/>
    <w:rsid w:val="007052D7"/>
    <w:rsid w:val="0070534D"/>
    <w:rsid w:val="00705372"/>
    <w:rsid w:val="0070557A"/>
    <w:rsid w:val="0070577A"/>
    <w:rsid w:val="007057ED"/>
    <w:rsid w:val="00705ABC"/>
    <w:rsid w:val="00705C51"/>
    <w:rsid w:val="00705C53"/>
    <w:rsid w:val="00705EAF"/>
    <w:rsid w:val="00705EB7"/>
    <w:rsid w:val="00706027"/>
    <w:rsid w:val="00706045"/>
    <w:rsid w:val="007060DF"/>
    <w:rsid w:val="00706138"/>
    <w:rsid w:val="007061B6"/>
    <w:rsid w:val="0070629E"/>
    <w:rsid w:val="0070648A"/>
    <w:rsid w:val="007066A7"/>
    <w:rsid w:val="0070688B"/>
    <w:rsid w:val="0070693C"/>
    <w:rsid w:val="00706A70"/>
    <w:rsid w:val="00706AA7"/>
    <w:rsid w:val="00706B72"/>
    <w:rsid w:val="00706BE4"/>
    <w:rsid w:val="00706CDD"/>
    <w:rsid w:val="00706F01"/>
    <w:rsid w:val="00706F11"/>
    <w:rsid w:val="00706F25"/>
    <w:rsid w:val="007071AA"/>
    <w:rsid w:val="00707208"/>
    <w:rsid w:val="00707221"/>
    <w:rsid w:val="00707524"/>
    <w:rsid w:val="0070757A"/>
    <w:rsid w:val="0070760C"/>
    <w:rsid w:val="0070761A"/>
    <w:rsid w:val="00707655"/>
    <w:rsid w:val="007077AE"/>
    <w:rsid w:val="00707873"/>
    <w:rsid w:val="007078AB"/>
    <w:rsid w:val="007078C1"/>
    <w:rsid w:val="007079A1"/>
    <w:rsid w:val="00707A8F"/>
    <w:rsid w:val="00707B5A"/>
    <w:rsid w:val="00707B9B"/>
    <w:rsid w:val="00707BEC"/>
    <w:rsid w:val="00707C5A"/>
    <w:rsid w:val="00707F9D"/>
    <w:rsid w:val="00710131"/>
    <w:rsid w:val="00710158"/>
    <w:rsid w:val="0071029D"/>
    <w:rsid w:val="00710472"/>
    <w:rsid w:val="00710595"/>
    <w:rsid w:val="007105FB"/>
    <w:rsid w:val="00710650"/>
    <w:rsid w:val="00710665"/>
    <w:rsid w:val="00710A3E"/>
    <w:rsid w:val="00710B1D"/>
    <w:rsid w:val="00710C6B"/>
    <w:rsid w:val="00710F02"/>
    <w:rsid w:val="007110E3"/>
    <w:rsid w:val="00711452"/>
    <w:rsid w:val="0071170A"/>
    <w:rsid w:val="00711786"/>
    <w:rsid w:val="00711B75"/>
    <w:rsid w:val="00711C39"/>
    <w:rsid w:val="00711D91"/>
    <w:rsid w:val="00711DEC"/>
    <w:rsid w:val="00711EE1"/>
    <w:rsid w:val="0071206E"/>
    <w:rsid w:val="00712415"/>
    <w:rsid w:val="007124D1"/>
    <w:rsid w:val="007124EE"/>
    <w:rsid w:val="007124F6"/>
    <w:rsid w:val="0071255B"/>
    <w:rsid w:val="0071255F"/>
    <w:rsid w:val="0071277F"/>
    <w:rsid w:val="007127CF"/>
    <w:rsid w:val="007127EB"/>
    <w:rsid w:val="00712868"/>
    <w:rsid w:val="007128E8"/>
    <w:rsid w:val="0071297B"/>
    <w:rsid w:val="00712986"/>
    <w:rsid w:val="007129C8"/>
    <w:rsid w:val="00712ABF"/>
    <w:rsid w:val="00712CD9"/>
    <w:rsid w:val="00712E0F"/>
    <w:rsid w:val="00712E8E"/>
    <w:rsid w:val="00712F8D"/>
    <w:rsid w:val="00713012"/>
    <w:rsid w:val="007130F9"/>
    <w:rsid w:val="007130FB"/>
    <w:rsid w:val="0071312F"/>
    <w:rsid w:val="00713282"/>
    <w:rsid w:val="00713292"/>
    <w:rsid w:val="00713339"/>
    <w:rsid w:val="00713371"/>
    <w:rsid w:val="0071350B"/>
    <w:rsid w:val="007135FF"/>
    <w:rsid w:val="00713661"/>
    <w:rsid w:val="00713691"/>
    <w:rsid w:val="007137EC"/>
    <w:rsid w:val="0071383A"/>
    <w:rsid w:val="00713881"/>
    <w:rsid w:val="00713963"/>
    <w:rsid w:val="00713A1E"/>
    <w:rsid w:val="00713A7C"/>
    <w:rsid w:val="00713B24"/>
    <w:rsid w:val="00713BC3"/>
    <w:rsid w:val="00713C06"/>
    <w:rsid w:val="00713CA6"/>
    <w:rsid w:val="007140BB"/>
    <w:rsid w:val="007140EA"/>
    <w:rsid w:val="00714130"/>
    <w:rsid w:val="00714194"/>
    <w:rsid w:val="007142B5"/>
    <w:rsid w:val="0071433D"/>
    <w:rsid w:val="00714352"/>
    <w:rsid w:val="0071454E"/>
    <w:rsid w:val="00714635"/>
    <w:rsid w:val="00714666"/>
    <w:rsid w:val="007147A2"/>
    <w:rsid w:val="0071487E"/>
    <w:rsid w:val="0071494C"/>
    <w:rsid w:val="00714959"/>
    <w:rsid w:val="0071496B"/>
    <w:rsid w:val="0071496E"/>
    <w:rsid w:val="00714AA4"/>
    <w:rsid w:val="00714ACD"/>
    <w:rsid w:val="00714B7D"/>
    <w:rsid w:val="00714D43"/>
    <w:rsid w:val="00714E24"/>
    <w:rsid w:val="00714E4C"/>
    <w:rsid w:val="00714E55"/>
    <w:rsid w:val="00714F3F"/>
    <w:rsid w:val="007150FB"/>
    <w:rsid w:val="00715163"/>
    <w:rsid w:val="0071540B"/>
    <w:rsid w:val="00715462"/>
    <w:rsid w:val="007154C6"/>
    <w:rsid w:val="00715542"/>
    <w:rsid w:val="0071555B"/>
    <w:rsid w:val="00715580"/>
    <w:rsid w:val="0071564E"/>
    <w:rsid w:val="0071581F"/>
    <w:rsid w:val="00715876"/>
    <w:rsid w:val="00715936"/>
    <w:rsid w:val="00715963"/>
    <w:rsid w:val="00715ABC"/>
    <w:rsid w:val="00715ADC"/>
    <w:rsid w:val="00715B8B"/>
    <w:rsid w:val="00715B8D"/>
    <w:rsid w:val="00715BB2"/>
    <w:rsid w:val="00715BC4"/>
    <w:rsid w:val="00715E8A"/>
    <w:rsid w:val="00715F93"/>
    <w:rsid w:val="00715FA3"/>
    <w:rsid w:val="00716078"/>
    <w:rsid w:val="00716100"/>
    <w:rsid w:val="00716164"/>
    <w:rsid w:val="0071616F"/>
    <w:rsid w:val="0071618B"/>
    <w:rsid w:val="007161A2"/>
    <w:rsid w:val="0071633C"/>
    <w:rsid w:val="007165BC"/>
    <w:rsid w:val="00716610"/>
    <w:rsid w:val="0071685D"/>
    <w:rsid w:val="00716985"/>
    <w:rsid w:val="007169F0"/>
    <w:rsid w:val="00716A05"/>
    <w:rsid w:val="00716A3E"/>
    <w:rsid w:val="00716A4A"/>
    <w:rsid w:val="00716AC5"/>
    <w:rsid w:val="00716B38"/>
    <w:rsid w:val="00716B68"/>
    <w:rsid w:val="00716C4A"/>
    <w:rsid w:val="00716C5C"/>
    <w:rsid w:val="00716C82"/>
    <w:rsid w:val="00716D1E"/>
    <w:rsid w:val="00716D77"/>
    <w:rsid w:val="00716ED2"/>
    <w:rsid w:val="00716F89"/>
    <w:rsid w:val="007170F2"/>
    <w:rsid w:val="00717188"/>
    <w:rsid w:val="007172FA"/>
    <w:rsid w:val="00717550"/>
    <w:rsid w:val="007175FE"/>
    <w:rsid w:val="007177BE"/>
    <w:rsid w:val="0071792B"/>
    <w:rsid w:val="007179B2"/>
    <w:rsid w:val="00717A27"/>
    <w:rsid w:val="00717AAF"/>
    <w:rsid w:val="00717CDC"/>
    <w:rsid w:val="00717CF9"/>
    <w:rsid w:val="00717D0A"/>
    <w:rsid w:val="00717DC6"/>
    <w:rsid w:val="00717E2C"/>
    <w:rsid w:val="00717EB2"/>
    <w:rsid w:val="00717F02"/>
    <w:rsid w:val="00717FDA"/>
    <w:rsid w:val="0072025D"/>
    <w:rsid w:val="007202A7"/>
    <w:rsid w:val="007203AE"/>
    <w:rsid w:val="007203ED"/>
    <w:rsid w:val="007204EE"/>
    <w:rsid w:val="00720681"/>
    <w:rsid w:val="00720720"/>
    <w:rsid w:val="00720B8F"/>
    <w:rsid w:val="00720CD3"/>
    <w:rsid w:val="00720CE3"/>
    <w:rsid w:val="00720D25"/>
    <w:rsid w:val="00720E47"/>
    <w:rsid w:val="00720E6F"/>
    <w:rsid w:val="0072104B"/>
    <w:rsid w:val="007210A1"/>
    <w:rsid w:val="00721126"/>
    <w:rsid w:val="0072128C"/>
    <w:rsid w:val="00721299"/>
    <w:rsid w:val="007212AB"/>
    <w:rsid w:val="007213FC"/>
    <w:rsid w:val="0072186C"/>
    <w:rsid w:val="0072195A"/>
    <w:rsid w:val="007219E4"/>
    <w:rsid w:val="00721B1C"/>
    <w:rsid w:val="00721C24"/>
    <w:rsid w:val="00721C78"/>
    <w:rsid w:val="00721CA2"/>
    <w:rsid w:val="00721D02"/>
    <w:rsid w:val="00721D30"/>
    <w:rsid w:val="00721D37"/>
    <w:rsid w:val="00721D9F"/>
    <w:rsid w:val="00721E95"/>
    <w:rsid w:val="00721F89"/>
    <w:rsid w:val="00722100"/>
    <w:rsid w:val="0072217A"/>
    <w:rsid w:val="00722443"/>
    <w:rsid w:val="00722475"/>
    <w:rsid w:val="007224E8"/>
    <w:rsid w:val="00722690"/>
    <w:rsid w:val="007226D6"/>
    <w:rsid w:val="00722721"/>
    <w:rsid w:val="007229DF"/>
    <w:rsid w:val="00722A72"/>
    <w:rsid w:val="00722ADC"/>
    <w:rsid w:val="00722AF9"/>
    <w:rsid w:val="00722B3A"/>
    <w:rsid w:val="00722BC8"/>
    <w:rsid w:val="00722C31"/>
    <w:rsid w:val="00722C36"/>
    <w:rsid w:val="00722DBB"/>
    <w:rsid w:val="00722E48"/>
    <w:rsid w:val="00722F6E"/>
    <w:rsid w:val="0072308B"/>
    <w:rsid w:val="007230CE"/>
    <w:rsid w:val="00723115"/>
    <w:rsid w:val="00723208"/>
    <w:rsid w:val="00723232"/>
    <w:rsid w:val="00723253"/>
    <w:rsid w:val="0072327C"/>
    <w:rsid w:val="00723330"/>
    <w:rsid w:val="0072337D"/>
    <w:rsid w:val="007233F0"/>
    <w:rsid w:val="007234AF"/>
    <w:rsid w:val="007234B7"/>
    <w:rsid w:val="00723708"/>
    <w:rsid w:val="00723751"/>
    <w:rsid w:val="0072376A"/>
    <w:rsid w:val="0072384C"/>
    <w:rsid w:val="007238B3"/>
    <w:rsid w:val="00723BA7"/>
    <w:rsid w:val="00723C56"/>
    <w:rsid w:val="00723D54"/>
    <w:rsid w:val="00723D71"/>
    <w:rsid w:val="00723EA6"/>
    <w:rsid w:val="00724091"/>
    <w:rsid w:val="0072429D"/>
    <w:rsid w:val="00724386"/>
    <w:rsid w:val="007244F2"/>
    <w:rsid w:val="007245B9"/>
    <w:rsid w:val="00724647"/>
    <w:rsid w:val="00724757"/>
    <w:rsid w:val="007247AC"/>
    <w:rsid w:val="007247FE"/>
    <w:rsid w:val="00724814"/>
    <w:rsid w:val="00724889"/>
    <w:rsid w:val="0072498F"/>
    <w:rsid w:val="00724A4D"/>
    <w:rsid w:val="00724AEC"/>
    <w:rsid w:val="00724BD9"/>
    <w:rsid w:val="00724BEE"/>
    <w:rsid w:val="00724C27"/>
    <w:rsid w:val="00724CFC"/>
    <w:rsid w:val="00724E77"/>
    <w:rsid w:val="00724ECB"/>
    <w:rsid w:val="00724F16"/>
    <w:rsid w:val="00724F72"/>
    <w:rsid w:val="007250F4"/>
    <w:rsid w:val="00725103"/>
    <w:rsid w:val="00725146"/>
    <w:rsid w:val="007253AD"/>
    <w:rsid w:val="007253F7"/>
    <w:rsid w:val="007254C8"/>
    <w:rsid w:val="007254F2"/>
    <w:rsid w:val="00725583"/>
    <w:rsid w:val="007255E8"/>
    <w:rsid w:val="00725659"/>
    <w:rsid w:val="00725896"/>
    <w:rsid w:val="007258F2"/>
    <w:rsid w:val="0072594F"/>
    <w:rsid w:val="0072595A"/>
    <w:rsid w:val="007259A1"/>
    <w:rsid w:val="007259D8"/>
    <w:rsid w:val="00725AC1"/>
    <w:rsid w:val="00725C51"/>
    <w:rsid w:val="00725F86"/>
    <w:rsid w:val="0072604E"/>
    <w:rsid w:val="00726181"/>
    <w:rsid w:val="0072619A"/>
    <w:rsid w:val="00726238"/>
    <w:rsid w:val="007262CC"/>
    <w:rsid w:val="0072638D"/>
    <w:rsid w:val="00726502"/>
    <w:rsid w:val="0072657E"/>
    <w:rsid w:val="0072659A"/>
    <w:rsid w:val="007265A2"/>
    <w:rsid w:val="00726618"/>
    <w:rsid w:val="00726634"/>
    <w:rsid w:val="007267AD"/>
    <w:rsid w:val="007267C1"/>
    <w:rsid w:val="00726834"/>
    <w:rsid w:val="007268FB"/>
    <w:rsid w:val="007269F0"/>
    <w:rsid w:val="00726C37"/>
    <w:rsid w:val="00726C98"/>
    <w:rsid w:val="00726D67"/>
    <w:rsid w:val="00726D99"/>
    <w:rsid w:val="00726EDD"/>
    <w:rsid w:val="00727049"/>
    <w:rsid w:val="00727092"/>
    <w:rsid w:val="007270B1"/>
    <w:rsid w:val="00727157"/>
    <w:rsid w:val="0072717B"/>
    <w:rsid w:val="007271AD"/>
    <w:rsid w:val="00727264"/>
    <w:rsid w:val="00727434"/>
    <w:rsid w:val="0072753E"/>
    <w:rsid w:val="007275EC"/>
    <w:rsid w:val="00727666"/>
    <w:rsid w:val="00727797"/>
    <w:rsid w:val="00727A67"/>
    <w:rsid w:val="00727AD7"/>
    <w:rsid w:val="00727B62"/>
    <w:rsid w:val="00727BAE"/>
    <w:rsid w:val="00727CE7"/>
    <w:rsid w:val="00727D00"/>
    <w:rsid w:val="00727EC7"/>
    <w:rsid w:val="00727F80"/>
    <w:rsid w:val="00730023"/>
    <w:rsid w:val="00730174"/>
    <w:rsid w:val="007301D0"/>
    <w:rsid w:val="007302F6"/>
    <w:rsid w:val="00730306"/>
    <w:rsid w:val="007303F5"/>
    <w:rsid w:val="00730968"/>
    <w:rsid w:val="007309A3"/>
    <w:rsid w:val="00730AF2"/>
    <w:rsid w:val="00730BCA"/>
    <w:rsid w:val="00730C1E"/>
    <w:rsid w:val="00730CE5"/>
    <w:rsid w:val="00730CF6"/>
    <w:rsid w:val="00730DF3"/>
    <w:rsid w:val="00730E88"/>
    <w:rsid w:val="0073108D"/>
    <w:rsid w:val="007311B3"/>
    <w:rsid w:val="00731439"/>
    <w:rsid w:val="0073149A"/>
    <w:rsid w:val="00731813"/>
    <w:rsid w:val="007318FA"/>
    <w:rsid w:val="00731BC2"/>
    <w:rsid w:val="00731D33"/>
    <w:rsid w:val="00731D59"/>
    <w:rsid w:val="00731EE8"/>
    <w:rsid w:val="00731F6C"/>
    <w:rsid w:val="00731F88"/>
    <w:rsid w:val="00732078"/>
    <w:rsid w:val="00732092"/>
    <w:rsid w:val="00732183"/>
    <w:rsid w:val="007321B5"/>
    <w:rsid w:val="0073236B"/>
    <w:rsid w:val="007323C8"/>
    <w:rsid w:val="00732607"/>
    <w:rsid w:val="0073264B"/>
    <w:rsid w:val="00732673"/>
    <w:rsid w:val="007327AA"/>
    <w:rsid w:val="007328D2"/>
    <w:rsid w:val="00732B13"/>
    <w:rsid w:val="00732C5C"/>
    <w:rsid w:val="00732D1D"/>
    <w:rsid w:val="00732DE4"/>
    <w:rsid w:val="00732E07"/>
    <w:rsid w:val="00732E13"/>
    <w:rsid w:val="00732EAC"/>
    <w:rsid w:val="00732EDF"/>
    <w:rsid w:val="00732F9F"/>
    <w:rsid w:val="00732FFC"/>
    <w:rsid w:val="00733035"/>
    <w:rsid w:val="00733092"/>
    <w:rsid w:val="007330CE"/>
    <w:rsid w:val="0073314C"/>
    <w:rsid w:val="0073328D"/>
    <w:rsid w:val="00733733"/>
    <w:rsid w:val="00733865"/>
    <w:rsid w:val="007338B0"/>
    <w:rsid w:val="00733A08"/>
    <w:rsid w:val="00733BD4"/>
    <w:rsid w:val="00733C99"/>
    <w:rsid w:val="00733CEF"/>
    <w:rsid w:val="00733CF3"/>
    <w:rsid w:val="00733E62"/>
    <w:rsid w:val="00733ECA"/>
    <w:rsid w:val="00734065"/>
    <w:rsid w:val="007340BE"/>
    <w:rsid w:val="00734204"/>
    <w:rsid w:val="00734332"/>
    <w:rsid w:val="00734367"/>
    <w:rsid w:val="007343F6"/>
    <w:rsid w:val="007344CA"/>
    <w:rsid w:val="0073479A"/>
    <w:rsid w:val="00734A1C"/>
    <w:rsid w:val="00734AE1"/>
    <w:rsid w:val="00734CEA"/>
    <w:rsid w:val="00734D33"/>
    <w:rsid w:val="00734EBE"/>
    <w:rsid w:val="00734F1E"/>
    <w:rsid w:val="00734F42"/>
    <w:rsid w:val="00734FC1"/>
    <w:rsid w:val="00735046"/>
    <w:rsid w:val="00735066"/>
    <w:rsid w:val="0073515B"/>
    <w:rsid w:val="00735490"/>
    <w:rsid w:val="00735491"/>
    <w:rsid w:val="007354CC"/>
    <w:rsid w:val="007355DB"/>
    <w:rsid w:val="0073577E"/>
    <w:rsid w:val="00735795"/>
    <w:rsid w:val="007357A9"/>
    <w:rsid w:val="00735882"/>
    <w:rsid w:val="007358DB"/>
    <w:rsid w:val="00735901"/>
    <w:rsid w:val="0073593F"/>
    <w:rsid w:val="007359D9"/>
    <w:rsid w:val="00735A63"/>
    <w:rsid w:val="00735B5B"/>
    <w:rsid w:val="00735C5E"/>
    <w:rsid w:val="00735E21"/>
    <w:rsid w:val="0073613E"/>
    <w:rsid w:val="0073623B"/>
    <w:rsid w:val="00736244"/>
    <w:rsid w:val="0073629C"/>
    <w:rsid w:val="007362A5"/>
    <w:rsid w:val="00736305"/>
    <w:rsid w:val="007364A1"/>
    <w:rsid w:val="00736556"/>
    <w:rsid w:val="00736849"/>
    <w:rsid w:val="00736A32"/>
    <w:rsid w:val="00736A80"/>
    <w:rsid w:val="00736B78"/>
    <w:rsid w:val="00736C06"/>
    <w:rsid w:val="00736EB1"/>
    <w:rsid w:val="00736ED1"/>
    <w:rsid w:val="00736FC4"/>
    <w:rsid w:val="00737186"/>
    <w:rsid w:val="0073734D"/>
    <w:rsid w:val="0073736B"/>
    <w:rsid w:val="007374C7"/>
    <w:rsid w:val="007376B7"/>
    <w:rsid w:val="00737709"/>
    <w:rsid w:val="00737730"/>
    <w:rsid w:val="00737739"/>
    <w:rsid w:val="0073785C"/>
    <w:rsid w:val="00737884"/>
    <w:rsid w:val="00737A4C"/>
    <w:rsid w:val="00737BC5"/>
    <w:rsid w:val="00737D42"/>
    <w:rsid w:val="00737DA6"/>
    <w:rsid w:val="00737F12"/>
    <w:rsid w:val="00740056"/>
    <w:rsid w:val="00740121"/>
    <w:rsid w:val="00740301"/>
    <w:rsid w:val="00740321"/>
    <w:rsid w:val="00740326"/>
    <w:rsid w:val="0074043F"/>
    <w:rsid w:val="00740454"/>
    <w:rsid w:val="0074047E"/>
    <w:rsid w:val="00740513"/>
    <w:rsid w:val="0074051F"/>
    <w:rsid w:val="00740530"/>
    <w:rsid w:val="00740627"/>
    <w:rsid w:val="00740716"/>
    <w:rsid w:val="007408C5"/>
    <w:rsid w:val="00740A55"/>
    <w:rsid w:val="00740C1A"/>
    <w:rsid w:val="00740C6C"/>
    <w:rsid w:val="00740CBA"/>
    <w:rsid w:val="00740D25"/>
    <w:rsid w:val="00740D66"/>
    <w:rsid w:val="00740D94"/>
    <w:rsid w:val="00740FD6"/>
    <w:rsid w:val="007410EA"/>
    <w:rsid w:val="0074112B"/>
    <w:rsid w:val="007411B1"/>
    <w:rsid w:val="007411FE"/>
    <w:rsid w:val="00741257"/>
    <w:rsid w:val="00741285"/>
    <w:rsid w:val="007413C7"/>
    <w:rsid w:val="007413EB"/>
    <w:rsid w:val="00741400"/>
    <w:rsid w:val="007414F3"/>
    <w:rsid w:val="00741576"/>
    <w:rsid w:val="007416BE"/>
    <w:rsid w:val="0074177E"/>
    <w:rsid w:val="007417DD"/>
    <w:rsid w:val="007418B2"/>
    <w:rsid w:val="007419E1"/>
    <w:rsid w:val="00741B69"/>
    <w:rsid w:val="00741DC6"/>
    <w:rsid w:val="00741EFF"/>
    <w:rsid w:val="00741F85"/>
    <w:rsid w:val="00741FA2"/>
    <w:rsid w:val="00742106"/>
    <w:rsid w:val="007421DF"/>
    <w:rsid w:val="007422F8"/>
    <w:rsid w:val="0074245C"/>
    <w:rsid w:val="00742557"/>
    <w:rsid w:val="007427A8"/>
    <w:rsid w:val="007427D3"/>
    <w:rsid w:val="0074285D"/>
    <w:rsid w:val="00742879"/>
    <w:rsid w:val="00742888"/>
    <w:rsid w:val="007428AD"/>
    <w:rsid w:val="007429B2"/>
    <w:rsid w:val="00742AC5"/>
    <w:rsid w:val="00742B9B"/>
    <w:rsid w:val="00742C07"/>
    <w:rsid w:val="00742C1E"/>
    <w:rsid w:val="00742D98"/>
    <w:rsid w:val="00742DDD"/>
    <w:rsid w:val="00742DEC"/>
    <w:rsid w:val="00742F08"/>
    <w:rsid w:val="0074302E"/>
    <w:rsid w:val="007430F9"/>
    <w:rsid w:val="007431AF"/>
    <w:rsid w:val="007431F5"/>
    <w:rsid w:val="0074333A"/>
    <w:rsid w:val="007434B7"/>
    <w:rsid w:val="00743504"/>
    <w:rsid w:val="00743659"/>
    <w:rsid w:val="00743749"/>
    <w:rsid w:val="007437C6"/>
    <w:rsid w:val="00743870"/>
    <w:rsid w:val="007439C1"/>
    <w:rsid w:val="00743AAE"/>
    <w:rsid w:val="00743AC5"/>
    <w:rsid w:val="00743BB2"/>
    <w:rsid w:val="00743F36"/>
    <w:rsid w:val="00743F58"/>
    <w:rsid w:val="00743FB4"/>
    <w:rsid w:val="00744118"/>
    <w:rsid w:val="007441D3"/>
    <w:rsid w:val="00744300"/>
    <w:rsid w:val="0074442F"/>
    <w:rsid w:val="0074444A"/>
    <w:rsid w:val="0074454D"/>
    <w:rsid w:val="00744584"/>
    <w:rsid w:val="007448BE"/>
    <w:rsid w:val="007449B4"/>
    <w:rsid w:val="007449FF"/>
    <w:rsid w:val="00744A42"/>
    <w:rsid w:val="00744AD0"/>
    <w:rsid w:val="00744C10"/>
    <w:rsid w:val="00744C11"/>
    <w:rsid w:val="00744DE4"/>
    <w:rsid w:val="00744EE2"/>
    <w:rsid w:val="00744F0C"/>
    <w:rsid w:val="00744F13"/>
    <w:rsid w:val="007450A2"/>
    <w:rsid w:val="00745463"/>
    <w:rsid w:val="00745588"/>
    <w:rsid w:val="0074571A"/>
    <w:rsid w:val="0074573C"/>
    <w:rsid w:val="00745795"/>
    <w:rsid w:val="00745862"/>
    <w:rsid w:val="00745899"/>
    <w:rsid w:val="00745B62"/>
    <w:rsid w:val="00745BD9"/>
    <w:rsid w:val="00745EAC"/>
    <w:rsid w:val="007460DA"/>
    <w:rsid w:val="00746139"/>
    <w:rsid w:val="00746215"/>
    <w:rsid w:val="007462CC"/>
    <w:rsid w:val="00746331"/>
    <w:rsid w:val="0074637C"/>
    <w:rsid w:val="00746405"/>
    <w:rsid w:val="007464DE"/>
    <w:rsid w:val="00746565"/>
    <w:rsid w:val="0074666A"/>
    <w:rsid w:val="0074673A"/>
    <w:rsid w:val="00746878"/>
    <w:rsid w:val="007468F2"/>
    <w:rsid w:val="00746913"/>
    <w:rsid w:val="00746A12"/>
    <w:rsid w:val="00746A79"/>
    <w:rsid w:val="00746AC5"/>
    <w:rsid w:val="00746D53"/>
    <w:rsid w:val="00747012"/>
    <w:rsid w:val="007471A1"/>
    <w:rsid w:val="007471B7"/>
    <w:rsid w:val="007471E5"/>
    <w:rsid w:val="0074734F"/>
    <w:rsid w:val="00747461"/>
    <w:rsid w:val="00747529"/>
    <w:rsid w:val="007477A4"/>
    <w:rsid w:val="0074796E"/>
    <w:rsid w:val="00747A06"/>
    <w:rsid w:val="00747A4E"/>
    <w:rsid w:val="00747B70"/>
    <w:rsid w:val="00747C60"/>
    <w:rsid w:val="00747CAC"/>
    <w:rsid w:val="00747DEB"/>
    <w:rsid w:val="00747F78"/>
    <w:rsid w:val="0074B757"/>
    <w:rsid w:val="007501F2"/>
    <w:rsid w:val="0075036C"/>
    <w:rsid w:val="007503E3"/>
    <w:rsid w:val="00750423"/>
    <w:rsid w:val="00750438"/>
    <w:rsid w:val="007504A5"/>
    <w:rsid w:val="0075066F"/>
    <w:rsid w:val="00750A25"/>
    <w:rsid w:val="00750BE8"/>
    <w:rsid w:val="00750C18"/>
    <w:rsid w:val="00750F75"/>
    <w:rsid w:val="00750FDF"/>
    <w:rsid w:val="00751072"/>
    <w:rsid w:val="00751169"/>
    <w:rsid w:val="00751201"/>
    <w:rsid w:val="0075131F"/>
    <w:rsid w:val="00751543"/>
    <w:rsid w:val="00751682"/>
    <w:rsid w:val="007516AE"/>
    <w:rsid w:val="007516D1"/>
    <w:rsid w:val="007518D2"/>
    <w:rsid w:val="007518D8"/>
    <w:rsid w:val="00751911"/>
    <w:rsid w:val="00751949"/>
    <w:rsid w:val="007519B3"/>
    <w:rsid w:val="007519E5"/>
    <w:rsid w:val="00751A1C"/>
    <w:rsid w:val="00751AF8"/>
    <w:rsid w:val="00751CCD"/>
    <w:rsid w:val="00751E60"/>
    <w:rsid w:val="00751E8F"/>
    <w:rsid w:val="00751FEB"/>
    <w:rsid w:val="00751FF9"/>
    <w:rsid w:val="0075208B"/>
    <w:rsid w:val="007520AB"/>
    <w:rsid w:val="007522D2"/>
    <w:rsid w:val="0075231F"/>
    <w:rsid w:val="00752354"/>
    <w:rsid w:val="00752375"/>
    <w:rsid w:val="007525A9"/>
    <w:rsid w:val="0075260E"/>
    <w:rsid w:val="007526BB"/>
    <w:rsid w:val="00752922"/>
    <w:rsid w:val="0075295D"/>
    <w:rsid w:val="00752A7E"/>
    <w:rsid w:val="00752E35"/>
    <w:rsid w:val="00752E3C"/>
    <w:rsid w:val="00752EB4"/>
    <w:rsid w:val="00753169"/>
    <w:rsid w:val="00753270"/>
    <w:rsid w:val="00753273"/>
    <w:rsid w:val="00753473"/>
    <w:rsid w:val="007536D4"/>
    <w:rsid w:val="00753ACE"/>
    <w:rsid w:val="00753CC9"/>
    <w:rsid w:val="00753D4F"/>
    <w:rsid w:val="00753D6F"/>
    <w:rsid w:val="00753D95"/>
    <w:rsid w:val="00753E64"/>
    <w:rsid w:val="00753F13"/>
    <w:rsid w:val="00753FA9"/>
    <w:rsid w:val="00753FF1"/>
    <w:rsid w:val="007541FD"/>
    <w:rsid w:val="0075435F"/>
    <w:rsid w:val="0075449B"/>
    <w:rsid w:val="0075454F"/>
    <w:rsid w:val="00754586"/>
    <w:rsid w:val="00754682"/>
    <w:rsid w:val="007546B6"/>
    <w:rsid w:val="00754700"/>
    <w:rsid w:val="00754711"/>
    <w:rsid w:val="007548BB"/>
    <w:rsid w:val="007548C2"/>
    <w:rsid w:val="0075497C"/>
    <w:rsid w:val="00754993"/>
    <w:rsid w:val="007549C1"/>
    <w:rsid w:val="007549F8"/>
    <w:rsid w:val="00754A88"/>
    <w:rsid w:val="00754AE1"/>
    <w:rsid w:val="00754B22"/>
    <w:rsid w:val="00754BBE"/>
    <w:rsid w:val="00754C65"/>
    <w:rsid w:val="00754D77"/>
    <w:rsid w:val="00754DFF"/>
    <w:rsid w:val="00754EA5"/>
    <w:rsid w:val="00755054"/>
    <w:rsid w:val="0075509A"/>
    <w:rsid w:val="007551CD"/>
    <w:rsid w:val="007552B3"/>
    <w:rsid w:val="0075538B"/>
    <w:rsid w:val="00755450"/>
    <w:rsid w:val="00755461"/>
    <w:rsid w:val="00755512"/>
    <w:rsid w:val="0075551F"/>
    <w:rsid w:val="00755528"/>
    <w:rsid w:val="0075553A"/>
    <w:rsid w:val="00755561"/>
    <w:rsid w:val="00755721"/>
    <w:rsid w:val="00755841"/>
    <w:rsid w:val="007558F2"/>
    <w:rsid w:val="007560A8"/>
    <w:rsid w:val="007560D2"/>
    <w:rsid w:val="0075610F"/>
    <w:rsid w:val="0075611D"/>
    <w:rsid w:val="00756122"/>
    <w:rsid w:val="007562A7"/>
    <w:rsid w:val="007563D2"/>
    <w:rsid w:val="007564D7"/>
    <w:rsid w:val="0075652F"/>
    <w:rsid w:val="00756789"/>
    <w:rsid w:val="00756876"/>
    <w:rsid w:val="00756930"/>
    <w:rsid w:val="0075694B"/>
    <w:rsid w:val="00756AC1"/>
    <w:rsid w:val="00756B3D"/>
    <w:rsid w:val="00756C54"/>
    <w:rsid w:val="00756CAC"/>
    <w:rsid w:val="00756E59"/>
    <w:rsid w:val="00756EA2"/>
    <w:rsid w:val="00756EC0"/>
    <w:rsid w:val="00756FF5"/>
    <w:rsid w:val="0075715B"/>
    <w:rsid w:val="0075722C"/>
    <w:rsid w:val="00757245"/>
    <w:rsid w:val="00757292"/>
    <w:rsid w:val="007572D8"/>
    <w:rsid w:val="00757338"/>
    <w:rsid w:val="00757339"/>
    <w:rsid w:val="007574AB"/>
    <w:rsid w:val="0075756F"/>
    <w:rsid w:val="007575FA"/>
    <w:rsid w:val="00757735"/>
    <w:rsid w:val="00757808"/>
    <w:rsid w:val="00757B06"/>
    <w:rsid w:val="00757BC5"/>
    <w:rsid w:val="00757C6A"/>
    <w:rsid w:val="00757CA4"/>
    <w:rsid w:val="00757E31"/>
    <w:rsid w:val="00757ECC"/>
    <w:rsid w:val="00757FBB"/>
    <w:rsid w:val="00757FE8"/>
    <w:rsid w:val="00760019"/>
    <w:rsid w:val="007600FC"/>
    <w:rsid w:val="007602AB"/>
    <w:rsid w:val="007602F0"/>
    <w:rsid w:val="007603CA"/>
    <w:rsid w:val="007604D5"/>
    <w:rsid w:val="007605A1"/>
    <w:rsid w:val="00760677"/>
    <w:rsid w:val="007606A9"/>
    <w:rsid w:val="007608D8"/>
    <w:rsid w:val="00760938"/>
    <w:rsid w:val="0076098F"/>
    <w:rsid w:val="007609B1"/>
    <w:rsid w:val="00760AB6"/>
    <w:rsid w:val="00760ACC"/>
    <w:rsid w:val="00760B00"/>
    <w:rsid w:val="00760C41"/>
    <w:rsid w:val="00760C42"/>
    <w:rsid w:val="00760D44"/>
    <w:rsid w:val="00760F2F"/>
    <w:rsid w:val="00760F5B"/>
    <w:rsid w:val="0076106E"/>
    <w:rsid w:val="00761121"/>
    <w:rsid w:val="0076113D"/>
    <w:rsid w:val="00761241"/>
    <w:rsid w:val="00761369"/>
    <w:rsid w:val="007613F7"/>
    <w:rsid w:val="007617C0"/>
    <w:rsid w:val="0076186F"/>
    <w:rsid w:val="007619DE"/>
    <w:rsid w:val="00761A6A"/>
    <w:rsid w:val="00761A70"/>
    <w:rsid w:val="00761A91"/>
    <w:rsid w:val="00761B4F"/>
    <w:rsid w:val="00761CA4"/>
    <w:rsid w:val="00761CDE"/>
    <w:rsid w:val="00761D5D"/>
    <w:rsid w:val="00761DB0"/>
    <w:rsid w:val="00761F97"/>
    <w:rsid w:val="00761FC7"/>
    <w:rsid w:val="00761FDE"/>
    <w:rsid w:val="00762020"/>
    <w:rsid w:val="00762044"/>
    <w:rsid w:val="00762083"/>
    <w:rsid w:val="0076210B"/>
    <w:rsid w:val="0076214B"/>
    <w:rsid w:val="0076215C"/>
    <w:rsid w:val="00762164"/>
    <w:rsid w:val="0076233B"/>
    <w:rsid w:val="00762383"/>
    <w:rsid w:val="007623B8"/>
    <w:rsid w:val="00762435"/>
    <w:rsid w:val="00762494"/>
    <w:rsid w:val="007624A7"/>
    <w:rsid w:val="0076266E"/>
    <w:rsid w:val="007627AC"/>
    <w:rsid w:val="0076296E"/>
    <w:rsid w:val="007629C7"/>
    <w:rsid w:val="00762B58"/>
    <w:rsid w:val="00762BCB"/>
    <w:rsid w:val="00762D77"/>
    <w:rsid w:val="00762E00"/>
    <w:rsid w:val="00762E94"/>
    <w:rsid w:val="00762EBE"/>
    <w:rsid w:val="00762F73"/>
    <w:rsid w:val="00763054"/>
    <w:rsid w:val="0076334F"/>
    <w:rsid w:val="007634B9"/>
    <w:rsid w:val="0076360B"/>
    <w:rsid w:val="00763679"/>
    <w:rsid w:val="007636E0"/>
    <w:rsid w:val="00763C27"/>
    <w:rsid w:val="00763C8D"/>
    <w:rsid w:val="00763CDD"/>
    <w:rsid w:val="00763CEC"/>
    <w:rsid w:val="00763D06"/>
    <w:rsid w:val="00763D5B"/>
    <w:rsid w:val="00763F04"/>
    <w:rsid w:val="00763FE2"/>
    <w:rsid w:val="007640A2"/>
    <w:rsid w:val="007640E6"/>
    <w:rsid w:val="00764347"/>
    <w:rsid w:val="0076446C"/>
    <w:rsid w:val="007646FD"/>
    <w:rsid w:val="0076471A"/>
    <w:rsid w:val="0076475C"/>
    <w:rsid w:val="00764A3D"/>
    <w:rsid w:val="00764AE6"/>
    <w:rsid w:val="00764B53"/>
    <w:rsid w:val="00764BB8"/>
    <w:rsid w:val="00764BC3"/>
    <w:rsid w:val="00764C33"/>
    <w:rsid w:val="00764D66"/>
    <w:rsid w:val="00764D87"/>
    <w:rsid w:val="00764E5C"/>
    <w:rsid w:val="00764E84"/>
    <w:rsid w:val="00764F8B"/>
    <w:rsid w:val="00765013"/>
    <w:rsid w:val="00765016"/>
    <w:rsid w:val="0076510C"/>
    <w:rsid w:val="0076546D"/>
    <w:rsid w:val="00765490"/>
    <w:rsid w:val="0076555A"/>
    <w:rsid w:val="007656B0"/>
    <w:rsid w:val="007656C5"/>
    <w:rsid w:val="007658E7"/>
    <w:rsid w:val="007658F6"/>
    <w:rsid w:val="00765A82"/>
    <w:rsid w:val="00765AFC"/>
    <w:rsid w:val="00765B24"/>
    <w:rsid w:val="00765B7E"/>
    <w:rsid w:val="00765BBB"/>
    <w:rsid w:val="00765C94"/>
    <w:rsid w:val="00765CAE"/>
    <w:rsid w:val="00765CFA"/>
    <w:rsid w:val="00765F94"/>
    <w:rsid w:val="00766050"/>
    <w:rsid w:val="0076605C"/>
    <w:rsid w:val="007660FD"/>
    <w:rsid w:val="0076619F"/>
    <w:rsid w:val="007662B5"/>
    <w:rsid w:val="0076650D"/>
    <w:rsid w:val="007665FB"/>
    <w:rsid w:val="0076677E"/>
    <w:rsid w:val="007667C3"/>
    <w:rsid w:val="00766938"/>
    <w:rsid w:val="0076696E"/>
    <w:rsid w:val="0076699F"/>
    <w:rsid w:val="007669AC"/>
    <w:rsid w:val="007669C0"/>
    <w:rsid w:val="00766A58"/>
    <w:rsid w:val="00766A6B"/>
    <w:rsid w:val="00766B9F"/>
    <w:rsid w:val="00766C30"/>
    <w:rsid w:val="00766CA2"/>
    <w:rsid w:val="00766D1A"/>
    <w:rsid w:val="00766D85"/>
    <w:rsid w:val="00766DAB"/>
    <w:rsid w:val="00766E70"/>
    <w:rsid w:val="0076701E"/>
    <w:rsid w:val="00767052"/>
    <w:rsid w:val="0076706D"/>
    <w:rsid w:val="0076708D"/>
    <w:rsid w:val="0076716C"/>
    <w:rsid w:val="007672A7"/>
    <w:rsid w:val="00767775"/>
    <w:rsid w:val="007678AE"/>
    <w:rsid w:val="0076792E"/>
    <w:rsid w:val="0076793B"/>
    <w:rsid w:val="00767B36"/>
    <w:rsid w:val="00767BAC"/>
    <w:rsid w:val="00767BF7"/>
    <w:rsid w:val="00767C62"/>
    <w:rsid w:val="00767EC7"/>
    <w:rsid w:val="007700BC"/>
    <w:rsid w:val="007702DD"/>
    <w:rsid w:val="00770461"/>
    <w:rsid w:val="007704D0"/>
    <w:rsid w:val="00770596"/>
    <w:rsid w:val="0077061B"/>
    <w:rsid w:val="007706E4"/>
    <w:rsid w:val="007707E6"/>
    <w:rsid w:val="00770B14"/>
    <w:rsid w:val="00770B38"/>
    <w:rsid w:val="00770B74"/>
    <w:rsid w:val="00770BDE"/>
    <w:rsid w:val="00770C78"/>
    <w:rsid w:val="00770CD4"/>
    <w:rsid w:val="00770D82"/>
    <w:rsid w:val="00770EAD"/>
    <w:rsid w:val="00770F1A"/>
    <w:rsid w:val="00770F9E"/>
    <w:rsid w:val="007710BB"/>
    <w:rsid w:val="007711F6"/>
    <w:rsid w:val="007711FF"/>
    <w:rsid w:val="007712AB"/>
    <w:rsid w:val="0077170D"/>
    <w:rsid w:val="00771720"/>
    <w:rsid w:val="007717BF"/>
    <w:rsid w:val="007719B0"/>
    <w:rsid w:val="00771A8F"/>
    <w:rsid w:val="00771AC3"/>
    <w:rsid w:val="00771AF8"/>
    <w:rsid w:val="00771CA4"/>
    <w:rsid w:val="00771CE0"/>
    <w:rsid w:val="00771D4F"/>
    <w:rsid w:val="00771E0D"/>
    <w:rsid w:val="00771FCD"/>
    <w:rsid w:val="0077238D"/>
    <w:rsid w:val="00772393"/>
    <w:rsid w:val="007724AB"/>
    <w:rsid w:val="00772613"/>
    <w:rsid w:val="0077274C"/>
    <w:rsid w:val="007727FD"/>
    <w:rsid w:val="00772875"/>
    <w:rsid w:val="0077290F"/>
    <w:rsid w:val="0077294E"/>
    <w:rsid w:val="00772A19"/>
    <w:rsid w:val="00772B47"/>
    <w:rsid w:val="00772BAC"/>
    <w:rsid w:val="00772BEE"/>
    <w:rsid w:val="00772D89"/>
    <w:rsid w:val="00772EEB"/>
    <w:rsid w:val="00773060"/>
    <w:rsid w:val="007730E1"/>
    <w:rsid w:val="007732CD"/>
    <w:rsid w:val="007732FC"/>
    <w:rsid w:val="00773315"/>
    <w:rsid w:val="007733A9"/>
    <w:rsid w:val="007734CD"/>
    <w:rsid w:val="0077368A"/>
    <w:rsid w:val="007736BC"/>
    <w:rsid w:val="007737DB"/>
    <w:rsid w:val="00773AB5"/>
    <w:rsid w:val="00773BFC"/>
    <w:rsid w:val="00773C3F"/>
    <w:rsid w:val="00773E7B"/>
    <w:rsid w:val="00773EC0"/>
    <w:rsid w:val="00773F42"/>
    <w:rsid w:val="00773F5E"/>
    <w:rsid w:val="00773F61"/>
    <w:rsid w:val="007740AE"/>
    <w:rsid w:val="0077429D"/>
    <w:rsid w:val="007742EB"/>
    <w:rsid w:val="00774423"/>
    <w:rsid w:val="007744CB"/>
    <w:rsid w:val="00774503"/>
    <w:rsid w:val="0077450F"/>
    <w:rsid w:val="00774604"/>
    <w:rsid w:val="0077460A"/>
    <w:rsid w:val="00774648"/>
    <w:rsid w:val="00774662"/>
    <w:rsid w:val="00774755"/>
    <w:rsid w:val="007747A9"/>
    <w:rsid w:val="007749BA"/>
    <w:rsid w:val="00774C6C"/>
    <w:rsid w:val="00774C6F"/>
    <w:rsid w:val="00774CA9"/>
    <w:rsid w:val="00774D39"/>
    <w:rsid w:val="00774DE1"/>
    <w:rsid w:val="00774FF3"/>
    <w:rsid w:val="007750F3"/>
    <w:rsid w:val="007751B1"/>
    <w:rsid w:val="007753C4"/>
    <w:rsid w:val="00775480"/>
    <w:rsid w:val="007755B7"/>
    <w:rsid w:val="007755CE"/>
    <w:rsid w:val="007755D1"/>
    <w:rsid w:val="00775639"/>
    <w:rsid w:val="00775697"/>
    <w:rsid w:val="007757C4"/>
    <w:rsid w:val="007758C0"/>
    <w:rsid w:val="00775921"/>
    <w:rsid w:val="00775996"/>
    <w:rsid w:val="007759B4"/>
    <w:rsid w:val="00775A54"/>
    <w:rsid w:val="00775A8F"/>
    <w:rsid w:val="007762DA"/>
    <w:rsid w:val="007763C3"/>
    <w:rsid w:val="00776537"/>
    <w:rsid w:val="00776625"/>
    <w:rsid w:val="007766C0"/>
    <w:rsid w:val="007767A6"/>
    <w:rsid w:val="00776819"/>
    <w:rsid w:val="00776958"/>
    <w:rsid w:val="00776A53"/>
    <w:rsid w:val="00776B95"/>
    <w:rsid w:val="00776C1C"/>
    <w:rsid w:val="00776D87"/>
    <w:rsid w:val="00777035"/>
    <w:rsid w:val="0077707B"/>
    <w:rsid w:val="007773AE"/>
    <w:rsid w:val="007773C9"/>
    <w:rsid w:val="0077744F"/>
    <w:rsid w:val="0077769E"/>
    <w:rsid w:val="007776A8"/>
    <w:rsid w:val="007776C5"/>
    <w:rsid w:val="007776F6"/>
    <w:rsid w:val="00777B13"/>
    <w:rsid w:val="00777C34"/>
    <w:rsid w:val="00777C4F"/>
    <w:rsid w:val="00777C57"/>
    <w:rsid w:val="00777C98"/>
    <w:rsid w:val="00777D10"/>
    <w:rsid w:val="00777D57"/>
    <w:rsid w:val="00777E64"/>
    <w:rsid w:val="00777FC0"/>
    <w:rsid w:val="00780228"/>
    <w:rsid w:val="007803DE"/>
    <w:rsid w:val="007804E8"/>
    <w:rsid w:val="007805F3"/>
    <w:rsid w:val="0078062C"/>
    <w:rsid w:val="0078062E"/>
    <w:rsid w:val="007806A3"/>
    <w:rsid w:val="00780710"/>
    <w:rsid w:val="007807BC"/>
    <w:rsid w:val="007807E8"/>
    <w:rsid w:val="00780818"/>
    <w:rsid w:val="007809EC"/>
    <w:rsid w:val="00780D5C"/>
    <w:rsid w:val="00780D73"/>
    <w:rsid w:val="00780D82"/>
    <w:rsid w:val="00780DC8"/>
    <w:rsid w:val="00780E69"/>
    <w:rsid w:val="00781040"/>
    <w:rsid w:val="00781135"/>
    <w:rsid w:val="00781137"/>
    <w:rsid w:val="00781280"/>
    <w:rsid w:val="00781315"/>
    <w:rsid w:val="0078135B"/>
    <w:rsid w:val="007813A2"/>
    <w:rsid w:val="007813C6"/>
    <w:rsid w:val="007814A1"/>
    <w:rsid w:val="007814B2"/>
    <w:rsid w:val="007815CD"/>
    <w:rsid w:val="0078166C"/>
    <w:rsid w:val="00781803"/>
    <w:rsid w:val="0078185E"/>
    <w:rsid w:val="00781891"/>
    <w:rsid w:val="007818FB"/>
    <w:rsid w:val="00781939"/>
    <w:rsid w:val="0078197E"/>
    <w:rsid w:val="007819F4"/>
    <w:rsid w:val="00781B7F"/>
    <w:rsid w:val="00781BE6"/>
    <w:rsid w:val="00781CB7"/>
    <w:rsid w:val="00781DB1"/>
    <w:rsid w:val="00781F1C"/>
    <w:rsid w:val="0078201F"/>
    <w:rsid w:val="007820F1"/>
    <w:rsid w:val="00782180"/>
    <w:rsid w:val="007821CE"/>
    <w:rsid w:val="007821D9"/>
    <w:rsid w:val="00782213"/>
    <w:rsid w:val="00782261"/>
    <w:rsid w:val="007822B8"/>
    <w:rsid w:val="0078236C"/>
    <w:rsid w:val="0078238C"/>
    <w:rsid w:val="0078240B"/>
    <w:rsid w:val="007825EF"/>
    <w:rsid w:val="00782638"/>
    <w:rsid w:val="007826A8"/>
    <w:rsid w:val="0078277C"/>
    <w:rsid w:val="00782817"/>
    <w:rsid w:val="00782853"/>
    <w:rsid w:val="007828B9"/>
    <w:rsid w:val="00782964"/>
    <w:rsid w:val="00782ADE"/>
    <w:rsid w:val="00782BB4"/>
    <w:rsid w:val="00782C98"/>
    <w:rsid w:val="00782E6C"/>
    <w:rsid w:val="00782F16"/>
    <w:rsid w:val="00782FED"/>
    <w:rsid w:val="007830DB"/>
    <w:rsid w:val="00783193"/>
    <w:rsid w:val="007834D0"/>
    <w:rsid w:val="0078384C"/>
    <w:rsid w:val="0078384F"/>
    <w:rsid w:val="00783863"/>
    <w:rsid w:val="007839AB"/>
    <w:rsid w:val="00783A1E"/>
    <w:rsid w:val="00783A20"/>
    <w:rsid w:val="00783B2A"/>
    <w:rsid w:val="00783C9C"/>
    <w:rsid w:val="00783EB0"/>
    <w:rsid w:val="00783F2D"/>
    <w:rsid w:val="00783F9C"/>
    <w:rsid w:val="00783FB5"/>
    <w:rsid w:val="00783FBF"/>
    <w:rsid w:val="00784080"/>
    <w:rsid w:val="007840B3"/>
    <w:rsid w:val="00784170"/>
    <w:rsid w:val="00784189"/>
    <w:rsid w:val="007843C0"/>
    <w:rsid w:val="007844CA"/>
    <w:rsid w:val="007845B0"/>
    <w:rsid w:val="00784658"/>
    <w:rsid w:val="00784726"/>
    <w:rsid w:val="00784788"/>
    <w:rsid w:val="007847A0"/>
    <w:rsid w:val="007848EF"/>
    <w:rsid w:val="00784F6C"/>
    <w:rsid w:val="00785024"/>
    <w:rsid w:val="0078504E"/>
    <w:rsid w:val="00785071"/>
    <w:rsid w:val="00785207"/>
    <w:rsid w:val="00785251"/>
    <w:rsid w:val="00785335"/>
    <w:rsid w:val="007853FF"/>
    <w:rsid w:val="00785412"/>
    <w:rsid w:val="00785477"/>
    <w:rsid w:val="007854F5"/>
    <w:rsid w:val="00785526"/>
    <w:rsid w:val="00785536"/>
    <w:rsid w:val="0078565E"/>
    <w:rsid w:val="0078577F"/>
    <w:rsid w:val="00785C31"/>
    <w:rsid w:val="00785CAE"/>
    <w:rsid w:val="00785CD2"/>
    <w:rsid w:val="00785D72"/>
    <w:rsid w:val="00785DE4"/>
    <w:rsid w:val="00785E73"/>
    <w:rsid w:val="00786048"/>
    <w:rsid w:val="007862DF"/>
    <w:rsid w:val="0078639A"/>
    <w:rsid w:val="007863C7"/>
    <w:rsid w:val="007864BC"/>
    <w:rsid w:val="0078674B"/>
    <w:rsid w:val="007867C0"/>
    <w:rsid w:val="00786806"/>
    <w:rsid w:val="007868D0"/>
    <w:rsid w:val="00786973"/>
    <w:rsid w:val="00786A1C"/>
    <w:rsid w:val="00786B9D"/>
    <w:rsid w:val="00786C03"/>
    <w:rsid w:val="00786C34"/>
    <w:rsid w:val="00786D5F"/>
    <w:rsid w:val="00786D94"/>
    <w:rsid w:val="00786DAA"/>
    <w:rsid w:val="007870CF"/>
    <w:rsid w:val="00787163"/>
    <w:rsid w:val="0078720B"/>
    <w:rsid w:val="00787356"/>
    <w:rsid w:val="007873B3"/>
    <w:rsid w:val="007874CB"/>
    <w:rsid w:val="00787642"/>
    <w:rsid w:val="00787692"/>
    <w:rsid w:val="007877BD"/>
    <w:rsid w:val="00787800"/>
    <w:rsid w:val="0078789C"/>
    <w:rsid w:val="00787916"/>
    <w:rsid w:val="007879D6"/>
    <w:rsid w:val="00787AD0"/>
    <w:rsid w:val="00787C0C"/>
    <w:rsid w:val="00787C15"/>
    <w:rsid w:val="00787CEE"/>
    <w:rsid w:val="00787D24"/>
    <w:rsid w:val="00787D75"/>
    <w:rsid w:val="00787E11"/>
    <w:rsid w:val="00787E95"/>
    <w:rsid w:val="00790069"/>
    <w:rsid w:val="0079033C"/>
    <w:rsid w:val="00790369"/>
    <w:rsid w:val="00790446"/>
    <w:rsid w:val="00790487"/>
    <w:rsid w:val="00790491"/>
    <w:rsid w:val="007904E6"/>
    <w:rsid w:val="00790740"/>
    <w:rsid w:val="00790832"/>
    <w:rsid w:val="007908D8"/>
    <w:rsid w:val="00790909"/>
    <w:rsid w:val="00790991"/>
    <w:rsid w:val="00790BE4"/>
    <w:rsid w:val="00790CDD"/>
    <w:rsid w:val="00790D8A"/>
    <w:rsid w:val="00790E47"/>
    <w:rsid w:val="00790EC0"/>
    <w:rsid w:val="00790F91"/>
    <w:rsid w:val="007910C7"/>
    <w:rsid w:val="0079125F"/>
    <w:rsid w:val="00791307"/>
    <w:rsid w:val="00791417"/>
    <w:rsid w:val="00791535"/>
    <w:rsid w:val="0079156E"/>
    <w:rsid w:val="007915CC"/>
    <w:rsid w:val="00791640"/>
    <w:rsid w:val="00791946"/>
    <w:rsid w:val="007919EF"/>
    <w:rsid w:val="00791B06"/>
    <w:rsid w:val="00791CF1"/>
    <w:rsid w:val="00791E17"/>
    <w:rsid w:val="007920C1"/>
    <w:rsid w:val="00792178"/>
    <w:rsid w:val="00792439"/>
    <w:rsid w:val="0079244A"/>
    <w:rsid w:val="007924F5"/>
    <w:rsid w:val="00792619"/>
    <w:rsid w:val="0079285B"/>
    <w:rsid w:val="007928B6"/>
    <w:rsid w:val="0079291C"/>
    <w:rsid w:val="00792A4E"/>
    <w:rsid w:val="00792B60"/>
    <w:rsid w:val="00792BD6"/>
    <w:rsid w:val="00792D02"/>
    <w:rsid w:val="00792ED4"/>
    <w:rsid w:val="00792F39"/>
    <w:rsid w:val="00792F9E"/>
    <w:rsid w:val="00793134"/>
    <w:rsid w:val="00793143"/>
    <w:rsid w:val="007931A0"/>
    <w:rsid w:val="007931A8"/>
    <w:rsid w:val="007932E0"/>
    <w:rsid w:val="007932EE"/>
    <w:rsid w:val="00793388"/>
    <w:rsid w:val="007933BF"/>
    <w:rsid w:val="007933C0"/>
    <w:rsid w:val="007933FA"/>
    <w:rsid w:val="0079342F"/>
    <w:rsid w:val="007934DA"/>
    <w:rsid w:val="0079352A"/>
    <w:rsid w:val="007935BA"/>
    <w:rsid w:val="0079367A"/>
    <w:rsid w:val="00793686"/>
    <w:rsid w:val="00793709"/>
    <w:rsid w:val="0079390E"/>
    <w:rsid w:val="00793A78"/>
    <w:rsid w:val="00793AB9"/>
    <w:rsid w:val="00793CE4"/>
    <w:rsid w:val="007940C6"/>
    <w:rsid w:val="0079415F"/>
    <w:rsid w:val="007941DF"/>
    <w:rsid w:val="00794285"/>
    <w:rsid w:val="007942D8"/>
    <w:rsid w:val="00794327"/>
    <w:rsid w:val="00794380"/>
    <w:rsid w:val="007944A5"/>
    <w:rsid w:val="00794690"/>
    <w:rsid w:val="0079471C"/>
    <w:rsid w:val="00794915"/>
    <w:rsid w:val="00794925"/>
    <w:rsid w:val="00794A04"/>
    <w:rsid w:val="00794A61"/>
    <w:rsid w:val="00794AF7"/>
    <w:rsid w:val="00794B18"/>
    <w:rsid w:val="00794B54"/>
    <w:rsid w:val="00794C42"/>
    <w:rsid w:val="00794CB1"/>
    <w:rsid w:val="00794CCE"/>
    <w:rsid w:val="00794D08"/>
    <w:rsid w:val="00794D23"/>
    <w:rsid w:val="00794D4A"/>
    <w:rsid w:val="00794F0A"/>
    <w:rsid w:val="00795039"/>
    <w:rsid w:val="00795496"/>
    <w:rsid w:val="00795569"/>
    <w:rsid w:val="00795668"/>
    <w:rsid w:val="00795798"/>
    <w:rsid w:val="00795956"/>
    <w:rsid w:val="007959C1"/>
    <w:rsid w:val="007959D4"/>
    <w:rsid w:val="007959D6"/>
    <w:rsid w:val="00795B0A"/>
    <w:rsid w:val="00795C35"/>
    <w:rsid w:val="00795C74"/>
    <w:rsid w:val="00795E17"/>
    <w:rsid w:val="00796221"/>
    <w:rsid w:val="00796242"/>
    <w:rsid w:val="00796253"/>
    <w:rsid w:val="00796297"/>
    <w:rsid w:val="007962D4"/>
    <w:rsid w:val="00796390"/>
    <w:rsid w:val="00796488"/>
    <w:rsid w:val="007964AE"/>
    <w:rsid w:val="0079674B"/>
    <w:rsid w:val="007967D1"/>
    <w:rsid w:val="007968E0"/>
    <w:rsid w:val="007969F9"/>
    <w:rsid w:val="00796AF6"/>
    <w:rsid w:val="00796E07"/>
    <w:rsid w:val="00796E9B"/>
    <w:rsid w:val="00796FC5"/>
    <w:rsid w:val="00796FF2"/>
    <w:rsid w:val="00797162"/>
    <w:rsid w:val="007971DA"/>
    <w:rsid w:val="00797379"/>
    <w:rsid w:val="007973AD"/>
    <w:rsid w:val="007973D4"/>
    <w:rsid w:val="0079754B"/>
    <w:rsid w:val="00797598"/>
    <w:rsid w:val="00797620"/>
    <w:rsid w:val="00797645"/>
    <w:rsid w:val="007976BD"/>
    <w:rsid w:val="007977FC"/>
    <w:rsid w:val="00797ACC"/>
    <w:rsid w:val="00797ADF"/>
    <w:rsid w:val="00797B11"/>
    <w:rsid w:val="00797B3C"/>
    <w:rsid w:val="00797B72"/>
    <w:rsid w:val="00797D00"/>
    <w:rsid w:val="00797E0A"/>
    <w:rsid w:val="007A019F"/>
    <w:rsid w:val="007A0236"/>
    <w:rsid w:val="007A0252"/>
    <w:rsid w:val="007A025F"/>
    <w:rsid w:val="007A03BB"/>
    <w:rsid w:val="007A0459"/>
    <w:rsid w:val="007A0496"/>
    <w:rsid w:val="007A04F5"/>
    <w:rsid w:val="007A0529"/>
    <w:rsid w:val="007A0593"/>
    <w:rsid w:val="007A0614"/>
    <w:rsid w:val="007A06D2"/>
    <w:rsid w:val="007A0B00"/>
    <w:rsid w:val="007A0C11"/>
    <w:rsid w:val="007A0CBB"/>
    <w:rsid w:val="007A0EF6"/>
    <w:rsid w:val="007A1220"/>
    <w:rsid w:val="007A1302"/>
    <w:rsid w:val="007A153C"/>
    <w:rsid w:val="007A181D"/>
    <w:rsid w:val="007A1ABC"/>
    <w:rsid w:val="007A1BE8"/>
    <w:rsid w:val="007A1DCF"/>
    <w:rsid w:val="007A1F8C"/>
    <w:rsid w:val="007A2092"/>
    <w:rsid w:val="007A210B"/>
    <w:rsid w:val="007A214C"/>
    <w:rsid w:val="007A2215"/>
    <w:rsid w:val="007A232D"/>
    <w:rsid w:val="007A239A"/>
    <w:rsid w:val="007A23AF"/>
    <w:rsid w:val="007A244D"/>
    <w:rsid w:val="007A2486"/>
    <w:rsid w:val="007A24AB"/>
    <w:rsid w:val="007A2582"/>
    <w:rsid w:val="007A26CC"/>
    <w:rsid w:val="007A2754"/>
    <w:rsid w:val="007A27ED"/>
    <w:rsid w:val="007A2858"/>
    <w:rsid w:val="007A2880"/>
    <w:rsid w:val="007A2C02"/>
    <w:rsid w:val="007A2D1C"/>
    <w:rsid w:val="007A2DAB"/>
    <w:rsid w:val="007A2E90"/>
    <w:rsid w:val="007A313B"/>
    <w:rsid w:val="007A3148"/>
    <w:rsid w:val="007A3318"/>
    <w:rsid w:val="007A342E"/>
    <w:rsid w:val="007A343E"/>
    <w:rsid w:val="007A3458"/>
    <w:rsid w:val="007A3509"/>
    <w:rsid w:val="007A3AB2"/>
    <w:rsid w:val="007A3DC0"/>
    <w:rsid w:val="007A3EAA"/>
    <w:rsid w:val="007A3F2A"/>
    <w:rsid w:val="007A412F"/>
    <w:rsid w:val="007A423F"/>
    <w:rsid w:val="007A428F"/>
    <w:rsid w:val="007A43AD"/>
    <w:rsid w:val="007A44BA"/>
    <w:rsid w:val="007A45BD"/>
    <w:rsid w:val="007A460A"/>
    <w:rsid w:val="007A470E"/>
    <w:rsid w:val="007A4761"/>
    <w:rsid w:val="007A47A9"/>
    <w:rsid w:val="007A486B"/>
    <w:rsid w:val="007A48B2"/>
    <w:rsid w:val="007A4951"/>
    <w:rsid w:val="007A49A4"/>
    <w:rsid w:val="007A4B0E"/>
    <w:rsid w:val="007A4B22"/>
    <w:rsid w:val="007A4B4E"/>
    <w:rsid w:val="007A4B70"/>
    <w:rsid w:val="007A4B98"/>
    <w:rsid w:val="007A4C23"/>
    <w:rsid w:val="007A4D8B"/>
    <w:rsid w:val="007A4E9C"/>
    <w:rsid w:val="007A4EF6"/>
    <w:rsid w:val="007A5008"/>
    <w:rsid w:val="007A50EF"/>
    <w:rsid w:val="007A52CA"/>
    <w:rsid w:val="007A5467"/>
    <w:rsid w:val="007A54CF"/>
    <w:rsid w:val="007A54D7"/>
    <w:rsid w:val="007A5598"/>
    <w:rsid w:val="007A566C"/>
    <w:rsid w:val="007A57B6"/>
    <w:rsid w:val="007A587A"/>
    <w:rsid w:val="007A5909"/>
    <w:rsid w:val="007A59B0"/>
    <w:rsid w:val="007A5ACE"/>
    <w:rsid w:val="007A5AD2"/>
    <w:rsid w:val="007A5BA1"/>
    <w:rsid w:val="007A5C3B"/>
    <w:rsid w:val="007A5CA6"/>
    <w:rsid w:val="007A5D4C"/>
    <w:rsid w:val="007A5D8D"/>
    <w:rsid w:val="007A5DEB"/>
    <w:rsid w:val="007A5F78"/>
    <w:rsid w:val="007A5FC8"/>
    <w:rsid w:val="007A6050"/>
    <w:rsid w:val="007A621D"/>
    <w:rsid w:val="007A6313"/>
    <w:rsid w:val="007A63E0"/>
    <w:rsid w:val="007A645C"/>
    <w:rsid w:val="007A6737"/>
    <w:rsid w:val="007A67E9"/>
    <w:rsid w:val="007A6830"/>
    <w:rsid w:val="007A6873"/>
    <w:rsid w:val="007A68BB"/>
    <w:rsid w:val="007A6B20"/>
    <w:rsid w:val="007A6B95"/>
    <w:rsid w:val="007A6BEF"/>
    <w:rsid w:val="007A6C82"/>
    <w:rsid w:val="007A6CAE"/>
    <w:rsid w:val="007A6E35"/>
    <w:rsid w:val="007A6E73"/>
    <w:rsid w:val="007A6F2E"/>
    <w:rsid w:val="007A6F39"/>
    <w:rsid w:val="007A703B"/>
    <w:rsid w:val="007A714D"/>
    <w:rsid w:val="007A7190"/>
    <w:rsid w:val="007A71DD"/>
    <w:rsid w:val="007A720D"/>
    <w:rsid w:val="007A722C"/>
    <w:rsid w:val="007A730E"/>
    <w:rsid w:val="007A77CE"/>
    <w:rsid w:val="007A7839"/>
    <w:rsid w:val="007A7991"/>
    <w:rsid w:val="007A79B0"/>
    <w:rsid w:val="007A7A2C"/>
    <w:rsid w:val="007A7B3A"/>
    <w:rsid w:val="007A7B69"/>
    <w:rsid w:val="007A7D0A"/>
    <w:rsid w:val="007A7D41"/>
    <w:rsid w:val="007A7EF8"/>
    <w:rsid w:val="007B0010"/>
    <w:rsid w:val="007B032E"/>
    <w:rsid w:val="007B0394"/>
    <w:rsid w:val="007B05B7"/>
    <w:rsid w:val="007B0658"/>
    <w:rsid w:val="007B078A"/>
    <w:rsid w:val="007B07AD"/>
    <w:rsid w:val="007B07D2"/>
    <w:rsid w:val="007B08AD"/>
    <w:rsid w:val="007B0926"/>
    <w:rsid w:val="007B099F"/>
    <w:rsid w:val="007B09E2"/>
    <w:rsid w:val="007B0BA0"/>
    <w:rsid w:val="007B0BDE"/>
    <w:rsid w:val="007B0CA6"/>
    <w:rsid w:val="007B0D84"/>
    <w:rsid w:val="007B0EC1"/>
    <w:rsid w:val="007B1057"/>
    <w:rsid w:val="007B106A"/>
    <w:rsid w:val="007B11C4"/>
    <w:rsid w:val="007B1229"/>
    <w:rsid w:val="007B1258"/>
    <w:rsid w:val="007B12BD"/>
    <w:rsid w:val="007B1311"/>
    <w:rsid w:val="007B134E"/>
    <w:rsid w:val="007B135A"/>
    <w:rsid w:val="007B13F4"/>
    <w:rsid w:val="007B1431"/>
    <w:rsid w:val="007B1509"/>
    <w:rsid w:val="007B1538"/>
    <w:rsid w:val="007B1549"/>
    <w:rsid w:val="007B159B"/>
    <w:rsid w:val="007B15DA"/>
    <w:rsid w:val="007B15F3"/>
    <w:rsid w:val="007B15FE"/>
    <w:rsid w:val="007B19FA"/>
    <w:rsid w:val="007B1B04"/>
    <w:rsid w:val="007B1B79"/>
    <w:rsid w:val="007B1CB4"/>
    <w:rsid w:val="007B1EB2"/>
    <w:rsid w:val="007B1ECE"/>
    <w:rsid w:val="007B1F45"/>
    <w:rsid w:val="007B20C2"/>
    <w:rsid w:val="007B20F4"/>
    <w:rsid w:val="007B2207"/>
    <w:rsid w:val="007B223C"/>
    <w:rsid w:val="007B22EA"/>
    <w:rsid w:val="007B24EE"/>
    <w:rsid w:val="007B2520"/>
    <w:rsid w:val="007B254D"/>
    <w:rsid w:val="007B266C"/>
    <w:rsid w:val="007B26BD"/>
    <w:rsid w:val="007B2752"/>
    <w:rsid w:val="007B2765"/>
    <w:rsid w:val="007B2771"/>
    <w:rsid w:val="007B27D3"/>
    <w:rsid w:val="007B287D"/>
    <w:rsid w:val="007B2917"/>
    <w:rsid w:val="007B2972"/>
    <w:rsid w:val="007B2AAC"/>
    <w:rsid w:val="007B2B59"/>
    <w:rsid w:val="007B2C34"/>
    <w:rsid w:val="007B2DCF"/>
    <w:rsid w:val="007B2DDC"/>
    <w:rsid w:val="007B2F9C"/>
    <w:rsid w:val="007B3292"/>
    <w:rsid w:val="007B32AB"/>
    <w:rsid w:val="007B32DB"/>
    <w:rsid w:val="007B36A8"/>
    <w:rsid w:val="007B36B8"/>
    <w:rsid w:val="007B36ED"/>
    <w:rsid w:val="007B3768"/>
    <w:rsid w:val="007B37A4"/>
    <w:rsid w:val="007B37AB"/>
    <w:rsid w:val="007B37D0"/>
    <w:rsid w:val="007B39ED"/>
    <w:rsid w:val="007B3AC7"/>
    <w:rsid w:val="007B3AD1"/>
    <w:rsid w:val="007B3C75"/>
    <w:rsid w:val="007B3CF2"/>
    <w:rsid w:val="007B3D19"/>
    <w:rsid w:val="007B3F07"/>
    <w:rsid w:val="007B407E"/>
    <w:rsid w:val="007B41D0"/>
    <w:rsid w:val="007B424A"/>
    <w:rsid w:val="007B42CC"/>
    <w:rsid w:val="007B4468"/>
    <w:rsid w:val="007B4620"/>
    <w:rsid w:val="007B46E3"/>
    <w:rsid w:val="007B47EC"/>
    <w:rsid w:val="007B48B3"/>
    <w:rsid w:val="007B4940"/>
    <w:rsid w:val="007B4B24"/>
    <w:rsid w:val="007B4BE0"/>
    <w:rsid w:val="007B4C78"/>
    <w:rsid w:val="007B4E39"/>
    <w:rsid w:val="007B4E51"/>
    <w:rsid w:val="007B5027"/>
    <w:rsid w:val="007B51EC"/>
    <w:rsid w:val="007B51EF"/>
    <w:rsid w:val="007B5306"/>
    <w:rsid w:val="007B56D0"/>
    <w:rsid w:val="007B5706"/>
    <w:rsid w:val="007B57F1"/>
    <w:rsid w:val="007B589C"/>
    <w:rsid w:val="007B5A7C"/>
    <w:rsid w:val="007B5A98"/>
    <w:rsid w:val="007B5B4A"/>
    <w:rsid w:val="007B5CEE"/>
    <w:rsid w:val="007B5E54"/>
    <w:rsid w:val="007B5FBD"/>
    <w:rsid w:val="007B6075"/>
    <w:rsid w:val="007B6138"/>
    <w:rsid w:val="007B6149"/>
    <w:rsid w:val="007B6193"/>
    <w:rsid w:val="007B61A2"/>
    <w:rsid w:val="007B61AF"/>
    <w:rsid w:val="007B6320"/>
    <w:rsid w:val="007B6375"/>
    <w:rsid w:val="007B64B9"/>
    <w:rsid w:val="007B64CE"/>
    <w:rsid w:val="007B65DA"/>
    <w:rsid w:val="007B65E1"/>
    <w:rsid w:val="007B6851"/>
    <w:rsid w:val="007B6A10"/>
    <w:rsid w:val="007B6AC2"/>
    <w:rsid w:val="007B6B44"/>
    <w:rsid w:val="007B6B81"/>
    <w:rsid w:val="007B6C31"/>
    <w:rsid w:val="007B6D5D"/>
    <w:rsid w:val="007B6DFF"/>
    <w:rsid w:val="007B6E30"/>
    <w:rsid w:val="007B70F3"/>
    <w:rsid w:val="007B718E"/>
    <w:rsid w:val="007B71D3"/>
    <w:rsid w:val="007B7332"/>
    <w:rsid w:val="007B73CC"/>
    <w:rsid w:val="007B745F"/>
    <w:rsid w:val="007B746C"/>
    <w:rsid w:val="007B772C"/>
    <w:rsid w:val="007B7736"/>
    <w:rsid w:val="007B7764"/>
    <w:rsid w:val="007B78D3"/>
    <w:rsid w:val="007B7902"/>
    <w:rsid w:val="007B79B8"/>
    <w:rsid w:val="007B7A7D"/>
    <w:rsid w:val="007B7B22"/>
    <w:rsid w:val="007B7D13"/>
    <w:rsid w:val="007B7E00"/>
    <w:rsid w:val="007B7F37"/>
    <w:rsid w:val="007B7F9A"/>
    <w:rsid w:val="007C02D8"/>
    <w:rsid w:val="007C0361"/>
    <w:rsid w:val="007C040A"/>
    <w:rsid w:val="007C0431"/>
    <w:rsid w:val="007C043C"/>
    <w:rsid w:val="007C0508"/>
    <w:rsid w:val="007C0526"/>
    <w:rsid w:val="007C074E"/>
    <w:rsid w:val="007C0794"/>
    <w:rsid w:val="007C084E"/>
    <w:rsid w:val="007C094A"/>
    <w:rsid w:val="007C0982"/>
    <w:rsid w:val="007C0A31"/>
    <w:rsid w:val="007C0A75"/>
    <w:rsid w:val="007C0B23"/>
    <w:rsid w:val="007C0CA9"/>
    <w:rsid w:val="007C0CC9"/>
    <w:rsid w:val="007C0EDC"/>
    <w:rsid w:val="007C0F43"/>
    <w:rsid w:val="007C0F9E"/>
    <w:rsid w:val="007C1095"/>
    <w:rsid w:val="007C10A8"/>
    <w:rsid w:val="007C10D5"/>
    <w:rsid w:val="007C13AA"/>
    <w:rsid w:val="007C13B5"/>
    <w:rsid w:val="007C13D1"/>
    <w:rsid w:val="007C15CA"/>
    <w:rsid w:val="007C1632"/>
    <w:rsid w:val="007C17EB"/>
    <w:rsid w:val="007C190A"/>
    <w:rsid w:val="007C19A5"/>
    <w:rsid w:val="007C1AB5"/>
    <w:rsid w:val="007C1C32"/>
    <w:rsid w:val="007C1CDA"/>
    <w:rsid w:val="007C1DF6"/>
    <w:rsid w:val="007C20EA"/>
    <w:rsid w:val="007C21E8"/>
    <w:rsid w:val="007C220E"/>
    <w:rsid w:val="007C235F"/>
    <w:rsid w:val="007C23FD"/>
    <w:rsid w:val="007C2467"/>
    <w:rsid w:val="007C24BD"/>
    <w:rsid w:val="007C25DC"/>
    <w:rsid w:val="007C265B"/>
    <w:rsid w:val="007C28FE"/>
    <w:rsid w:val="007C2A2D"/>
    <w:rsid w:val="007C2CE7"/>
    <w:rsid w:val="007C2D0C"/>
    <w:rsid w:val="007C2D7D"/>
    <w:rsid w:val="007C2FC0"/>
    <w:rsid w:val="007C314D"/>
    <w:rsid w:val="007C3157"/>
    <w:rsid w:val="007C3206"/>
    <w:rsid w:val="007C33AA"/>
    <w:rsid w:val="007C3446"/>
    <w:rsid w:val="007C357B"/>
    <w:rsid w:val="007C36AA"/>
    <w:rsid w:val="007C3715"/>
    <w:rsid w:val="007C37AA"/>
    <w:rsid w:val="007C38A6"/>
    <w:rsid w:val="007C38E4"/>
    <w:rsid w:val="007C395C"/>
    <w:rsid w:val="007C396A"/>
    <w:rsid w:val="007C39F9"/>
    <w:rsid w:val="007C3B0F"/>
    <w:rsid w:val="007C3BF3"/>
    <w:rsid w:val="007C3CE1"/>
    <w:rsid w:val="007C3D31"/>
    <w:rsid w:val="007C3DD1"/>
    <w:rsid w:val="007C3E84"/>
    <w:rsid w:val="007C3EE6"/>
    <w:rsid w:val="007C3F81"/>
    <w:rsid w:val="007C4001"/>
    <w:rsid w:val="007C4075"/>
    <w:rsid w:val="007C40EE"/>
    <w:rsid w:val="007C41B7"/>
    <w:rsid w:val="007C4332"/>
    <w:rsid w:val="007C4342"/>
    <w:rsid w:val="007C4442"/>
    <w:rsid w:val="007C44A9"/>
    <w:rsid w:val="007C4536"/>
    <w:rsid w:val="007C457F"/>
    <w:rsid w:val="007C4586"/>
    <w:rsid w:val="007C45FD"/>
    <w:rsid w:val="007C46E6"/>
    <w:rsid w:val="007C4712"/>
    <w:rsid w:val="007C49AF"/>
    <w:rsid w:val="007C49B3"/>
    <w:rsid w:val="007C49B8"/>
    <w:rsid w:val="007C4A19"/>
    <w:rsid w:val="007C4C75"/>
    <w:rsid w:val="007C51D7"/>
    <w:rsid w:val="007C53E4"/>
    <w:rsid w:val="007C54A0"/>
    <w:rsid w:val="007C558B"/>
    <w:rsid w:val="007C55E2"/>
    <w:rsid w:val="007C56DC"/>
    <w:rsid w:val="007C5739"/>
    <w:rsid w:val="007C57CF"/>
    <w:rsid w:val="007C5887"/>
    <w:rsid w:val="007C5963"/>
    <w:rsid w:val="007C5A58"/>
    <w:rsid w:val="007C5A6B"/>
    <w:rsid w:val="007C5B71"/>
    <w:rsid w:val="007C5BAF"/>
    <w:rsid w:val="007C5BB6"/>
    <w:rsid w:val="007C5BBC"/>
    <w:rsid w:val="007C5C7E"/>
    <w:rsid w:val="007C5CC0"/>
    <w:rsid w:val="007C5CDB"/>
    <w:rsid w:val="007C5D4F"/>
    <w:rsid w:val="007C5E15"/>
    <w:rsid w:val="007C5E4E"/>
    <w:rsid w:val="007C5E69"/>
    <w:rsid w:val="007C5ECF"/>
    <w:rsid w:val="007C6023"/>
    <w:rsid w:val="007C61B1"/>
    <w:rsid w:val="007C6212"/>
    <w:rsid w:val="007C6316"/>
    <w:rsid w:val="007C6341"/>
    <w:rsid w:val="007C6401"/>
    <w:rsid w:val="007C64D9"/>
    <w:rsid w:val="007C6508"/>
    <w:rsid w:val="007C66FB"/>
    <w:rsid w:val="007C66FD"/>
    <w:rsid w:val="007C6852"/>
    <w:rsid w:val="007C6974"/>
    <w:rsid w:val="007C6A19"/>
    <w:rsid w:val="007C6B6D"/>
    <w:rsid w:val="007C6C25"/>
    <w:rsid w:val="007C6C69"/>
    <w:rsid w:val="007C6D52"/>
    <w:rsid w:val="007C70EC"/>
    <w:rsid w:val="007C7167"/>
    <w:rsid w:val="007C7219"/>
    <w:rsid w:val="007C72B7"/>
    <w:rsid w:val="007C7431"/>
    <w:rsid w:val="007C75E4"/>
    <w:rsid w:val="007C7662"/>
    <w:rsid w:val="007C76A3"/>
    <w:rsid w:val="007C771F"/>
    <w:rsid w:val="007C7756"/>
    <w:rsid w:val="007C7922"/>
    <w:rsid w:val="007C7957"/>
    <w:rsid w:val="007C7960"/>
    <w:rsid w:val="007C7B2E"/>
    <w:rsid w:val="007C7C52"/>
    <w:rsid w:val="007C7D36"/>
    <w:rsid w:val="007C7D5E"/>
    <w:rsid w:val="007C7DF7"/>
    <w:rsid w:val="007C7EE6"/>
    <w:rsid w:val="007C7F47"/>
    <w:rsid w:val="007D009E"/>
    <w:rsid w:val="007D0118"/>
    <w:rsid w:val="007D01F1"/>
    <w:rsid w:val="007D02E8"/>
    <w:rsid w:val="007D05E1"/>
    <w:rsid w:val="007D0961"/>
    <w:rsid w:val="007D0AF0"/>
    <w:rsid w:val="007D0B7C"/>
    <w:rsid w:val="007D0BC8"/>
    <w:rsid w:val="007D0BE0"/>
    <w:rsid w:val="007D0C62"/>
    <w:rsid w:val="007D0D76"/>
    <w:rsid w:val="007D0F07"/>
    <w:rsid w:val="007D1255"/>
    <w:rsid w:val="007D1395"/>
    <w:rsid w:val="007D146D"/>
    <w:rsid w:val="007D1553"/>
    <w:rsid w:val="007D162A"/>
    <w:rsid w:val="007D1795"/>
    <w:rsid w:val="007D185E"/>
    <w:rsid w:val="007D18AF"/>
    <w:rsid w:val="007D190C"/>
    <w:rsid w:val="007D1A0A"/>
    <w:rsid w:val="007D1C02"/>
    <w:rsid w:val="007D1D26"/>
    <w:rsid w:val="007D1E64"/>
    <w:rsid w:val="007D1EEC"/>
    <w:rsid w:val="007D204E"/>
    <w:rsid w:val="007D20C3"/>
    <w:rsid w:val="007D2213"/>
    <w:rsid w:val="007D22DF"/>
    <w:rsid w:val="007D2311"/>
    <w:rsid w:val="007D24FF"/>
    <w:rsid w:val="007D26D6"/>
    <w:rsid w:val="007D2883"/>
    <w:rsid w:val="007D299D"/>
    <w:rsid w:val="007D29D9"/>
    <w:rsid w:val="007D2A96"/>
    <w:rsid w:val="007D2B85"/>
    <w:rsid w:val="007D2DB2"/>
    <w:rsid w:val="007D2E8D"/>
    <w:rsid w:val="007D2F57"/>
    <w:rsid w:val="007D2F74"/>
    <w:rsid w:val="007D302E"/>
    <w:rsid w:val="007D3060"/>
    <w:rsid w:val="007D323B"/>
    <w:rsid w:val="007D32DD"/>
    <w:rsid w:val="007D32E8"/>
    <w:rsid w:val="007D341D"/>
    <w:rsid w:val="007D3491"/>
    <w:rsid w:val="007D34D3"/>
    <w:rsid w:val="007D36E1"/>
    <w:rsid w:val="007D372E"/>
    <w:rsid w:val="007D3800"/>
    <w:rsid w:val="007D3832"/>
    <w:rsid w:val="007D3918"/>
    <w:rsid w:val="007D3998"/>
    <w:rsid w:val="007D39AE"/>
    <w:rsid w:val="007D3AD4"/>
    <w:rsid w:val="007D3AE0"/>
    <w:rsid w:val="007D3AE8"/>
    <w:rsid w:val="007D3AEB"/>
    <w:rsid w:val="007D3C9F"/>
    <w:rsid w:val="007D3CE6"/>
    <w:rsid w:val="007D3DBB"/>
    <w:rsid w:val="007D3DD9"/>
    <w:rsid w:val="007D3F58"/>
    <w:rsid w:val="007D3F61"/>
    <w:rsid w:val="007D4194"/>
    <w:rsid w:val="007D41D9"/>
    <w:rsid w:val="007D4308"/>
    <w:rsid w:val="007D4380"/>
    <w:rsid w:val="007D450B"/>
    <w:rsid w:val="007D456A"/>
    <w:rsid w:val="007D457F"/>
    <w:rsid w:val="007D459E"/>
    <w:rsid w:val="007D45A4"/>
    <w:rsid w:val="007D4659"/>
    <w:rsid w:val="007D4715"/>
    <w:rsid w:val="007D4727"/>
    <w:rsid w:val="007D4BC0"/>
    <w:rsid w:val="007D4BEA"/>
    <w:rsid w:val="007D4CBF"/>
    <w:rsid w:val="007D4D0C"/>
    <w:rsid w:val="007D4E82"/>
    <w:rsid w:val="007D4E88"/>
    <w:rsid w:val="007D508B"/>
    <w:rsid w:val="007D5095"/>
    <w:rsid w:val="007D536F"/>
    <w:rsid w:val="007D53D9"/>
    <w:rsid w:val="007D5466"/>
    <w:rsid w:val="007D558E"/>
    <w:rsid w:val="007D55BA"/>
    <w:rsid w:val="007D5689"/>
    <w:rsid w:val="007D585D"/>
    <w:rsid w:val="007D58D2"/>
    <w:rsid w:val="007D5955"/>
    <w:rsid w:val="007D5B69"/>
    <w:rsid w:val="007D5B93"/>
    <w:rsid w:val="007D5BDE"/>
    <w:rsid w:val="007D5BF5"/>
    <w:rsid w:val="007D5C89"/>
    <w:rsid w:val="007D5D6F"/>
    <w:rsid w:val="007D5D7E"/>
    <w:rsid w:val="007D5DDE"/>
    <w:rsid w:val="007D5F57"/>
    <w:rsid w:val="007D5F6C"/>
    <w:rsid w:val="007D5F84"/>
    <w:rsid w:val="007D6075"/>
    <w:rsid w:val="007D60BB"/>
    <w:rsid w:val="007D627B"/>
    <w:rsid w:val="007D62CC"/>
    <w:rsid w:val="007D62F7"/>
    <w:rsid w:val="007D631E"/>
    <w:rsid w:val="007D64CB"/>
    <w:rsid w:val="007D665D"/>
    <w:rsid w:val="007D689D"/>
    <w:rsid w:val="007D6C01"/>
    <w:rsid w:val="007D6C11"/>
    <w:rsid w:val="007D6DCB"/>
    <w:rsid w:val="007D6E12"/>
    <w:rsid w:val="007D6F5F"/>
    <w:rsid w:val="007D6FB2"/>
    <w:rsid w:val="007D7014"/>
    <w:rsid w:val="007D710B"/>
    <w:rsid w:val="007D72F4"/>
    <w:rsid w:val="007D7370"/>
    <w:rsid w:val="007D745F"/>
    <w:rsid w:val="007D7496"/>
    <w:rsid w:val="007D74ED"/>
    <w:rsid w:val="007D7638"/>
    <w:rsid w:val="007D777A"/>
    <w:rsid w:val="007D790A"/>
    <w:rsid w:val="007D7978"/>
    <w:rsid w:val="007D79B2"/>
    <w:rsid w:val="007D79C7"/>
    <w:rsid w:val="007D7C20"/>
    <w:rsid w:val="007D7D24"/>
    <w:rsid w:val="007D7E54"/>
    <w:rsid w:val="007D7EE4"/>
    <w:rsid w:val="007D8FD3"/>
    <w:rsid w:val="007E0056"/>
    <w:rsid w:val="007E018A"/>
    <w:rsid w:val="007E021F"/>
    <w:rsid w:val="007E0241"/>
    <w:rsid w:val="007E0242"/>
    <w:rsid w:val="007E025A"/>
    <w:rsid w:val="007E029B"/>
    <w:rsid w:val="007E0370"/>
    <w:rsid w:val="007E0414"/>
    <w:rsid w:val="007E0451"/>
    <w:rsid w:val="007E04A0"/>
    <w:rsid w:val="007E0506"/>
    <w:rsid w:val="007E07B0"/>
    <w:rsid w:val="007E07CC"/>
    <w:rsid w:val="007E081B"/>
    <w:rsid w:val="007E0A2C"/>
    <w:rsid w:val="007E0A59"/>
    <w:rsid w:val="007E0D43"/>
    <w:rsid w:val="007E0DA6"/>
    <w:rsid w:val="007E0E0E"/>
    <w:rsid w:val="007E0EB1"/>
    <w:rsid w:val="007E0F66"/>
    <w:rsid w:val="007E0FD7"/>
    <w:rsid w:val="007E1117"/>
    <w:rsid w:val="007E111E"/>
    <w:rsid w:val="007E12FF"/>
    <w:rsid w:val="007E1323"/>
    <w:rsid w:val="007E137F"/>
    <w:rsid w:val="007E160C"/>
    <w:rsid w:val="007E16BC"/>
    <w:rsid w:val="007E176D"/>
    <w:rsid w:val="007E179F"/>
    <w:rsid w:val="007E18BC"/>
    <w:rsid w:val="007E18D6"/>
    <w:rsid w:val="007E1944"/>
    <w:rsid w:val="007E1AFE"/>
    <w:rsid w:val="007E1B21"/>
    <w:rsid w:val="007E1B2D"/>
    <w:rsid w:val="007E1B34"/>
    <w:rsid w:val="007E1B67"/>
    <w:rsid w:val="007E1D9D"/>
    <w:rsid w:val="007E1F0E"/>
    <w:rsid w:val="007E1F17"/>
    <w:rsid w:val="007E1F39"/>
    <w:rsid w:val="007E2156"/>
    <w:rsid w:val="007E21BE"/>
    <w:rsid w:val="007E21DB"/>
    <w:rsid w:val="007E2428"/>
    <w:rsid w:val="007E244C"/>
    <w:rsid w:val="007E25D8"/>
    <w:rsid w:val="007E27A4"/>
    <w:rsid w:val="007E2B83"/>
    <w:rsid w:val="007E2C01"/>
    <w:rsid w:val="007E2EDA"/>
    <w:rsid w:val="007E2FDB"/>
    <w:rsid w:val="007E3023"/>
    <w:rsid w:val="007E312D"/>
    <w:rsid w:val="007E319A"/>
    <w:rsid w:val="007E327C"/>
    <w:rsid w:val="007E32F1"/>
    <w:rsid w:val="007E34CD"/>
    <w:rsid w:val="007E34EC"/>
    <w:rsid w:val="007E356A"/>
    <w:rsid w:val="007E35F5"/>
    <w:rsid w:val="007E3659"/>
    <w:rsid w:val="007E36D0"/>
    <w:rsid w:val="007E3762"/>
    <w:rsid w:val="007E3773"/>
    <w:rsid w:val="007E3785"/>
    <w:rsid w:val="007E37C0"/>
    <w:rsid w:val="007E3812"/>
    <w:rsid w:val="007E3904"/>
    <w:rsid w:val="007E3990"/>
    <w:rsid w:val="007E39E3"/>
    <w:rsid w:val="007E3A3F"/>
    <w:rsid w:val="007E3AB9"/>
    <w:rsid w:val="007E3C35"/>
    <w:rsid w:val="007E4128"/>
    <w:rsid w:val="007E4395"/>
    <w:rsid w:val="007E449E"/>
    <w:rsid w:val="007E44FC"/>
    <w:rsid w:val="007E45E4"/>
    <w:rsid w:val="007E46B0"/>
    <w:rsid w:val="007E4789"/>
    <w:rsid w:val="007E47D8"/>
    <w:rsid w:val="007E484A"/>
    <w:rsid w:val="007E4893"/>
    <w:rsid w:val="007E4895"/>
    <w:rsid w:val="007E49BA"/>
    <w:rsid w:val="007E4A8D"/>
    <w:rsid w:val="007E4B6F"/>
    <w:rsid w:val="007E4C4E"/>
    <w:rsid w:val="007E4C84"/>
    <w:rsid w:val="007E4E59"/>
    <w:rsid w:val="007E4E80"/>
    <w:rsid w:val="007E4FF8"/>
    <w:rsid w:val="007E501C"/>
    <w:rsid w:val="007E50AA"/>
    <w:rsid w:val="007E52DF"/>
    <w:rsid w:val="007E530E"/>
    <w:rsid w:val="007E5419"/>
    <w:rsid w:val="007E5442"/>
    <w:rsid w:val="007E5514"/>
    <w:rsid w:val="007E5603"/>
    <w:rsid w:val="007E56EA"/>
    <w:rsid w:val="007E5899"/>
    <w:rsid w:val="007E58E3"/>
    <w:rsid w:val="007E5A66"/>
    <w:rsid w:val="007E5A90"/>
    <w:rsid w:val="007E5AB2"/>
    <w:rsid w:val="007E5B33"/>
    <w:rsid w:val="007E5D5B"/>
    <w:rsid w:val="007E5FBB"/>
    <w:rsid w:val="007E5FFD"/>
    <w:rsid w:val="007E600D"/>
    <w:rsid w:val="007E610F"/>
    <w:rsid w:val="007E6266"/>
    <w:rsid w:val="007E626C"/>
    <w:rsid w:val="007E629C"/>
    <w:rsid w:val="007E62F0"/>
    <w:rsid w:val="007E6336"/>
    <w:rsid w:val="007E6420"/>
    <w:rsid w:val="007E648D"/>
    <w:rsid w:val="007E65FD"/>
    <w:rsid w:val="007E69BD"/>
    <w:rsid w:val="007E69D1"/>
    <w:rsid w:val="007E6A53"/>
    <w:rsid w:val="007E6BE0"/>
    <w:rsid w:val="007E6C09"/>
    <w:rsid w:val="007E6C42"/>
    <w:rsid w:val="007E6F73"/>
    <w:rsid w:val="007E6FBB"/>
    <w:rsid w:val="007E6FE1"/>
    <w:rsid w:val="007E70D7"/>
    <w:rsid w:val="007E7177"/>
    <w:rsid w:val="007E7295"/>
    <w:rsid w:val="007E7448"/>
    <w:rsid w:val="007E75FA"/>
    <w:rsid w:val="007E761D"/>
    <w:rsid w:val="007E7726"/>
    <w:rsid w:val="007E77D3"/>
    <w:rsid w:val="007E7919"/>
    <w:rsid w:val="007E7958"/>
    <w:rsid w:val="007E7991"/>
    <w:rsid w:val="007E7C17"/>
    <w:rsid w:val="007E7C61"/>
    <w:rsid w:val="007E7CA2"/>
    <w:rsid w:val="007E7CD8"/>
    <w:rsid w:val="007E7CFE"/>
    <w:rsid w:val="007E7D34"/>
    <w:rsid w:val="007E7D4D"/>
    <w:rsid w:val="007E7D5F"/>
    <w:rsid w:val="007E7D9F"/>
    <w:rsid w:val="007E7F6F"/>
    <w:rsid w:val="007F0042"/>
    <w:rsid w:val="007F0052"/>
    <w:rsid w:val="007F0093"/>
    <w:rsid w:val="007F009D"/>
    <w:rsid w:val="007F0205"/>
    <w:rsid w:val="007F02A2"/>
    <w:rsid w:val="007F06BA"/>
    <w:rsid w:val="007F08C6"/>
    <w:rsid w:val="007F08DB"/>
    <w:rsid w:val="007F0931"/>
    <w:rsid w:val="007F0957"/>
    <w:rsid w:val="007F097E"/>
    <w:rsid w:val="007F0A9E"/>
    <w:rsid w:val="007F0B60"/>
    <w:rsid w:val="007F0B76"/>
    <w:rsid w:val="007F0C08"/>
    <w:rsid w:val="007F0CC1"/>
    <w:rsid w:val="007F0CD8"/>
    <w:rsid w:val="007F0E31"/>
    <w:rsid w:val="007F0F28"/>
    <w:rsid w:val="007F0FB5"/>
    <w:rsid w:val="007F10D5"/>
    <w:rsid w:val="007F11B5"/>
    <w:rsid w:val="007F128C"/>
    <w:rsid w:val="007F12EA"/>
    <w:rsid w:val="007F147B"/>
    <w:rsid w:val="007F14CA"/>
    <w:rsid w:val="007F1586"/>
    <w:rsid w:val="007F1680"/>
    <w:rsid w:val="007F17C0"/>
    <w:rsid w:val="007F17F1"/>
    <w:rsid w:val="007F18B7"/>
    <w:rsid w:val="007F19A0"/>
    <w:rsid w:val="007F19B1"/>
    <w:rsid w:val="007F19E6"/>
    <w:rsid w:val="007F1B0B"/>
    <w:rsid w:val="007F1CE9"/>
    <w:rsid w:val="007F1D7E"/>
    <w:rsid w:val="007F1DBC"/>
    <w:rsid w:val="007F1DED"/>
    <w:rsid w:val="007F1DFF"/>
    <w:rsid w:val="007F1EB1"/>
    <w:rsid w:val="007F202A"/>
    <w:rsid w:val="007F211E"/>
    <w:rsid w:val="007F22CE"/>
    <w:rsid w:val="007F237D"/>
    <w:rsid w:val="007F2434"/>
    <w:rsid w:val="007F2609"/>
    <w:rsid w:val="007F2803"/>
    <w:rsid w:val="007F287D"/>
    <w:rsid w:val="007F28F4"/>
    <w:rsid w:val="007F2964"/>
    <w:rsid w:val="007F29C5"/>
    <w:rsid w:val="007F29F1"/>
    <w:rsid w:val="007F2A58"/>
    <w:rsid w:val="007F2C1A"/>
    <w:rsid w:val="007F2CBD"/>
    <w:rsid w:val="007F2DA8"/>
    <w:rsid w:val="007F2E02"/>
    <w:rsid w:val="007F2F5A"/>
    <w:rsid w:val="007F301B"/>
    <w:rsid w:val="007F3026"/>
    <w:rsid w:val="007F31C9"/>
    <w:rsid w:val="007F3229"/>
    <w:rsid w:val="007F3298"/>
    <w:rsid w:val="007F32DB"/>
    <w:rsid w:val="007F3488"/>
    <w:rsid w:val="007F34C7"/>
    <w:rsid w:val="007F35B2"/>
    <w:rsid w:val="007F363C"/>
    <w:rsid w:val="007F36A0"/>
    <w:rsid w:val="007F3726"/>
    <w:rsid w:val="007F378E"/>
    <w:rsid w:val="007F3879"/>
    <w:rsid w:val="007F3919"/>
    <w:rsid w:val="007F3B13"/>
    <w:rsid w:val="007F3C2E"/>
    <w:rsid w:val="007F3C37"/>
    <w:rsid w:val="007F3CE4"/>
    <w:rsid w:val="007F3D6D"/>
    <w:rsid w:val="007F3E4A"/>
    <w:rsid w:val="007F3FC8"/>
    <w:rsid w:val="007F3FF9"/>
    <w:rsid w:val="007F413D"/>
    <w:rsid w:val="007F44FF"/>
    <w:rsid w:val="007F451D"/>
    <w:rsid w:val="007F4721"/>
    <w:rsid w:val="007F4A7B"/>
    <w:rsid w:val="007F4B21"/>
    <w:rsid w:val="007F4C2E"/>
    <w:rsid w:val="007F4C47"/>
    <w:rsid w:val="007F4D0C"/>
    <w:rsid w:val="007F4DAB"/>
    <w:rsid w:val="007F4DF9"/>
    <w:rsid w:val="007F4E35"/>
    <w:rsid w:val="007F4EE0"/>
    <w:rsid w:val="007F4F70"/>
    <w:rsid w:val="007F4F8D"/>
    <w:rsid w:val="007F5047"/>
    <w:rsid w:val="007F5052"/>
    <w:rsid w:val="007F5114"/>
    <w:rsid w:val="007F5144"/>
    <w:rsid w:val="007F51B9"/>
    <w:rsid w:val="007F52A5"/>
    <w:rsid w:val="007F52C6"/>
    <w:rsid w:val="007F5405"/>
    <w:rsid w:val="007F5493"/>
    <w:rsid w:val="007F54C6"/>
    <w:rsid w:val="007F5515"/>
    <w:rsid w:val="007F55AD"/>
    <w:rsid w:val="007F5832"/>
    <w:rsid w:val="007F5917"/>
    <w:rsid w:val="007F5A4F"/>
    <w:rsid w:val="007F5A5C"/>
    <w:rsid w:val="007F5B44"/>
    <w:rsid w:val="007F5B8C"/>
    <w:rsid w:val="007F5BA0"/>
    <w:rsid w:val="007F5E56"/>
    <w:rsid w:val="007F5E73"/>
    <w:rsid w:val="007F5E96"/>
    <w:rsid w:val="007F61ED"/>
    <w:rsid w:val="007F6222"/>
    <w:rsid w:val="007F6323"/>
    <w:rsid w:val="007F64E0"/>
    <w:rsid w:val="007F6566"/>
    <w:rsid w:val="007F6743"/>
    <w:rsid w:val="007F6769"/>
    <w:rsid w:val="007F6790"/>
    <w:rsid w:val="007F67FB"/>
    <w:rsid w:val="007F6934"/>
    <w:rsid w:val="007F6B0D"/>
    <w:rsid w:val="007F6C57"/>
    <w:rsid w:val="007F6D61"/>
    <w:rsid w:val="007F6F15"/>
    <w:rsid w:val="007F7046"/>
    <w:rsid w:val="007F7197"/>
    <w:rsid w:val="007F71F4"/>
    <w:rsid w:val="007F72E4"/>
    <w:rsid w:val="007F7345"/>
    <w:rsid w:val="007F744E"/>
    <w:rsid w:val="007F755A"/>
    <w:rsid w:val="007F7885"/>
    <w:rsid w:val="007F78D2"/>
    <w:rsid w:val="007F78F3"/>
    <w:rsid w:val="007F7908"/>
    <w:rsid w:val="007F7916"/>
    <w:rsid w:val="007F7956"/>
    <w:rsid w:val="007F799B"/>
    <w:rsid w:val="007F7A97"/>
    <w:rsid w:val="007F7AD4"/>
    <w:rsid w:val="007F7B53"/>
    <w:rsid w:val="007F7CAA"/>
    <w:rsid w:val="007F7E33"/>
    <w:rsid w:val="007F7EC5"/>
    <w:rsid w:val="007F7ED6"/>
    <w:rsid w:val="007F7FCC"/>
    <w:rsid w:val="00800016"/>
    <w:rsid w:val="00800131"/>
    <w:rsid w:val="00800254"/>
    <w:rsid w:val="008003C9"/>
    <w:rsid w:val="00800428"/>
    <w:rsid w:val="00800489"/>
    <w:rsid w:val="00800597"/>
    <w:rsid w:val="008005B2"/>
    <w:rsid w:val="00800A46"/>
    <w:rsid w:val="00800A7E"/>
    <w:rsid w:val="00800B08"/>
    <w:rsid w:val="00800B93"/>
    <w:rsid w:val="00800B9E"/>
    <w:rsid w:val="00800E05"/>
    <w:rsid w:val="00800E2D"/>
    <w:rsid w:val="00800E71"/>
    <w:rsid w:val="008010A2"/>
    <w:rsid w:val="008010E6"/>
    <w:rsid w:val="00801169"/>
    <w:rsid w:val="0080117D"/>
    <w:rsid w:val="008012C6"/>
    <w:rsid w:val="0080132A"/>
    <w:rsid w:val="00801336"/>
    <w:rsid w:val="0080144F"/>
    <w:rsid w:val="008018D8"/>
    <w:rsid w:val="00801904"/>
    <w:rsid w:val="00801951"/>
    <w:rsid w:val="008019E0"/>
    <w:rsid w:val="00801C67"/>
    <w:rsid w:val="00801E37"/>
    <w:rsid w:val="0080202D"/>
    <w:rsid w:val="00802170"/>
    <w:rsid w:val="00802231"/>
    <w:rsid w:val="00802299"/>
    <w:rsid w:val="0080238E"/>
    <w:rsid w:val="00802445"/>
    <w:rsid w:val="00802546"/>
    <w:rsid w:val="008026CE"/>
    <w:rsid w:val="008027C0"/>
    <w:rsid w:val="008028E4"/>
    <w:rsid w:val="00802B4C"/>
    <w:rsid w:val="00802BE6"/>
    <w:rsid w:val="00802C98"/>
    <w:rsid w:val="00802CCF"/>
    <w:rsid w:val="00802CE1"/>
    <w:rsid w:val="00802D26"/>
    <w:rsid w:val="00802DEE"/>
    <w:rsid w:val="00802E22"/>
    <w:rsid w:val="0080307C"/>
    <w:rsid w:val="00803139"/>
    <w:rsid w:val="00803285"/>
    <w:rsid w:val="008033EF"/>
    <w:rsid w:val="00803412"/>
    <w:rsid w:val="0080342F"/>
    <w:rsid w:val="0080347C"/>
    <w:rsid w:val="0080356E"/>
    <w:rsid w:val="0080385A"/>
    <w:rsid w:val="008039A5"/>
    <w:rsid w:val="008039DD"/>
    <w:rsid w:val="00803AC4"/>
    <w:rsid w:val="00803CA5"/>
    <w:rsid w:val="008040D8"/>
    <w:rsid w:val="008040E2"/>
    <w:rsid w:val="0080413F"/>
    <w:rsid w:val="00804260"/>
    <w:rsid w:val="0080429A"/>
    <w:rsid w:val="008042DA"/>
    <w:rsid w:val="008044BB"/>
    <w:rsid w:val="00804531"/>
    <w:rsid w:val="0080459C"/>
    <w:rsid w:val="0080470D"/>
    <w:rsid w:val="00804815"/>
    <w:rsid w:val="0080488C"/>
    <w:rsid w:val="00804931"/>
    <w:rsid w:val="00804C0C"/>
    <w:rsid w:val="00804F54"/>
    <w:rsid w:val="00804FA3"/>
    <w:rsid w:val="00805003"/>
    <w:rsid w:val="008050E4"/>
    <w:rsid w:val="008050EB"/>
    <w:rsid w:val="00805348"/>
    <w:rsid w:val="00805411"/>
    <w:rsid w:val="0080563C"/>
    <w:rsid w:val="008056DD"/>
    <w:rsid w:val="008057D9"/>
    <w:rsid w:val="0080588F"/>
    <w:rsid w:val="008058A0"/>
    <w:rsid w:val="00805926"/>
    <w:rsid w:val="00805C64"/>
    <w:rsid w:val="00805D12"/>
    <w:rsid w:val="00805D31"/>
    <w:rsid w:val="00805D53"/>
    <w:rsid w:val="00805E7A"/>
    <w:rsid w:val="00805F3B"/>
    <w:rsid w:val="00805FEF"/>
    <w:rsid w:val="008060C9"/>
    <w:rsid w:val="0080618D"/>
    <w:rsid w:val="0080626C"/>
    <w:rsid w:val="008062D6"/>
    <w:rsid w:val="0080639A"/>
    <w:rsid w:val="0080660D"/>
    <w:rsid w:val="008066A4"/>
    <w:rsid w:val="008066DB"/>
    <w:rsid w:val="008066E5"/>
    <w:rsid w:val="00806740"/>
    <w:rsid w:val="00806900"/>
    <w:rsid w:val="00806AF7"/>
    <w:rsid w:val="00806B12"/>
    <w:rsid w:val="00806B44"/>
    <w:rsid w:val="00806B79"/>
    <w:rsid w:val="00806DE5"/>
    <w:rsid w:val="00806E72"/>
    <w:rsid w:val="008070E3"/>
    <w:rsid w:val="00807102"/>
    <w:rsid w:val="00807154"/>
    <w:rsid w:val="008071F4"/>
    <w:rsid w:val="008072DE"/>
    <w:rsid w:val="00807371"/>
    <w:rsid w:val="00807443"/>
    <w:rsid w:val="0080746F"/>
    <w:rsid w:val="00807477"/>
    <w:rsid w:val="008075D9"/>
    <w:rsid w:val="00807667"/>
    <w:rsid w:val="00807678"/>
    <w:rsid w:val="008077E5"/>
    <w:rsid w:val="00807859"/>
    <w:rsid w:val="00807948"/>
    <w:rsid w:val="00807A96"/>
    <w:rsid w:val="00807D6F"/>
    <w:rsid w:val="00807E82"/>
    <w:rsid w:val="00807FB8"/>
    <w:rsid w:val="00807FF8"/>
    <w:rsid w:val="00810039"/>
    <w:rsid w:val="00810069"/>
    <w:rsid w:val="008100D4"/>
    <w:rsid w:val="00810284"/>
    <w:rsid w:val="008103D5"/>
    <w:rsid w:val="008103EA"/>
    <w:rsid w:val="008104F3"/>
    <w:rsid w:val="0081068F"/>
    <w:rsid w:val="0081092A"/>
    <w:rsid w:val="00810A58"/>
    <w:rsid w:val="00810B0F"/>
    <w:rsid w:val="00810B46"/>
    <w:rsid w:val="00810C1C"/>
    <w:rsid w:val="00810C7A"/>
    <w:rsid w:val="00810CBF"/>
    <w:rsid w:val="00810DF1"/>
    <w:rsid w:val="00810EA8"/>
    <w:rsid w:val="00810EFC"/>
    <w:rsid w:val="00810F9C"/>
    <w:rsid w:val="00810FE6"/>
    <w:rsid w:val="0081107B"/>
    <w:rsid w:val="00811328"/>
    <w:rsid w:val="008113F3"/>
    <w:rsid w:val="0081152F"/>
    <w:rsid w:val="0081169E"/>
    <w:rsid w:val="0081175C"/>
    <w:rsid w:val="0081182D"/>
    <w:rsid w:val="0081185F"/>
    <w:rsid w:val="00811861"/>
    <w:rsid w:val="0081186A"/>
    <w:rsid w:val="008118CE"/>
    <w:rsid w:val="0081198F"/>
    <w:rsid w:val="008119EA"/>
    <w:rsid w:val="00811A6B"/>
    <w:rsid w:val="00811AC8"/>
    <w:rsid w:val="00811AC9"/>
    <w:rsid w:val="00811B10"/>
    <w:rsid w:val="00811B24"/>
    <w:rsid w:val="00811B4A"/>
    <w:rsid w:val="00811BD0"/>
    <w:rsid w:val="00811D81"/>
    <w:rsid w:val="00811DEB"/>
    <w:rsid w:val="00811F53"/>
    <w:rsid w:val="00811FB4"/>
    <w:rsid w:val="008120E1"/>
    <w:rsid w:val="00812236"/>
    <w:rsid w:val="0081234E"/>
    <w:rsid w:val="00812375"/>
    <w:rsid w:val="008124E9"/>
    <w:rsid w:val="008126A3"/>
    <w:rsid w:val="008128F4"/>
    <w:rsid w:val="0081295E"/>
    <w:rsid w:val="008129EF"/>
    <w:rsid w:val="00812B9D"/>
    <w:rsid w:val="00812B9E"/>
    <w:rsid w:val="00812BDD"/>
    <w:rsid w:val="00812D31"/>
    <w:rsid w:val="00812D5D"/>
    <w:rsid w:val="00812E56"/>
    <w:rsid w:val="00812EA0"/>
    <w:rsid w:val="008130AC"/>
    <w:rsid w:val="008130D3"/>
    <w:rsid w:val="00813195"/>
    <w:rsid w:val="008131BC"/>
    <w:rsid w:val="008132BA"/>
    <w:rsid w:val="00813386"/>
    <w:rsid w:val="008133B1"/>
    <w:rsid w:val="00813409"/>
    <w:rsid w:val="0081356F"/>
    <w:rsid w:val="00813739"/>
    <w:rsid w:val="008138B9"/>
    <w:rsid w:val="0081390C"/>
    <w:rsid w:val="0081393A"/>
    <w:rsid w:val="00813952"/>
    <w:rsid w:val="008139CC"/>
    <w:rsid w:val="00813A19"/>
    <w:rsid w:val="00813ACF"/>
    <w:rsid w:val="00813B5C"/>
    <w:rsid w:val="00813BB0"/>
    <w:rsid w:val="00813C51"/>
    <w:rsid w:val="00813DC4"/>
    <w:rsid w:val="00813DDC"/>
    <w:rsid w:val="00814040"/>
    <w:rsid w:val="00814049"/>
    <w:rsid w:val="00814097"/>
    <w:rsid w:val="008140C7"/>
    <w:rsid w:val="008142F7"/>
    <w:rsid w:val="00814437"/>
    <w:rsid w:val="008144AF"/>
    <w:rsid w:val="00814514"/>
    <w:rsid w:val="0081455D"/>
    <w:rsid w:val="008145B6"/>
    <w:rsid w:val="008145DC"/>
    <w:rsid w:val="00814645"/>
    <w:rsid w:val="0081467C"/>
    <w:rsid w:val="008146F8"/>
    <w:rsid w:val="008147A6"/>
    <w:rsid w:val="0081499C"/>
    <w:rsid w:val="00814A30"/>
    <w:rsid w:val="00814C76"/>
    <w:rsid w:val="00814C85"/>
    <w:rsid w:val="00814CB8"/>
    <w:rsid w:val="00814D79"/>
    <w:rsid w:val="00814E6A"/>
    <w:rsid w:val="00814EFF"/>
    <w:rsid w:val="00814F99"/>
    <w:rsid w:val="00814FF0"/>
    <w:rsid w:val="00815061"/>
    <w:rsid w:val="00815066"/>
    <w:rsid w:val="0081510C"/>
    <w:rsid w:val="008151DF"/>
    <w:rsid w:val="008151F5"/>
    <w:rsid w:val="0081523A"/>
    <w:rsid w:val="008152BB"/>
    <w:rsid w:val="00815315"/>
    <w:rsid w:val="00815335"/>
    <w:rsid w:val="0081541E"/>
    <w:rsid w:val="0081555C"/>
    <w:rsid w:val="00815717"/>
    <w:rsid w:val="008158FE"/>
    <w:rsid w:val="008159A1"/>
    <w:rsid w:val="00815A97"/>
    <w:rsid w:val="00815C4B"/>
    <w:rsid w:val="00815C5E"/>
    <w:rsid w:val="00815D27"/>
    <w:rsid w:val="00815E16"/>
    <w:rsid w:val="00815E7C"/>
    <w:rsid w:val="008160C9"/>
    <w:rsid w:val="008160EB"/>
    <w:rsid w:val="0081635D"/>
    <w:rsid w:val="00816536"/>
    <w:rsid w:val="0081658A"/>
    <w:rsid w:val="008165EC"/>
    <w:rsid w:val="008166AC"/>
    <w:rsid w:val="00816871"/>
    <w:rsid w:val="008168C6"/>
    <w:rsid w:val="00816B75"/>
    <w:rsid w:val="00816BB6"/>
    <w:rsid w:val="00816C1B"/>
    <w:rsid w:val="00816C87"/>
    <w:rsid w:val="00816D22"/>
    <w:rsid w:val="00816D50"/>
    <w:rsid w:val="00816D5D"/>
    <w:rsid w:val="00816E5B"/>
    <w:rsid w:val="00816E8A"/>
    <w:rsid w:val="00816E8B"/>
    <w:rsid w:val="00817113"/>
    <w:rsid w:val="0081712C"/>
    <w:rsid w:val="0081715E"/>
    <w:rsid w:val="008171EB"/>
    <w:rsid w:val="00817451"/>
    <w:rsid w:val="008175C3"/>
    <w:rsid w:val="0081769B"/>
    <w:rsid w:val="008176A5"/>
    <w:rsid w:val="0081777D"/>
    <w:rsid w:val="00817831"/>
    <w:rsid w:val="00817A1C"/>
    <w:rsid w:val="00817D7A"/>
    <w:rsid w:val="00817F8E"/>
    <w:rsid w:val="00820150"/>
    <w:rsid w:val="00820177"/>
    <w:rsid w:val="0082021D"/>
    <w:rsid w:val="00820397"/>
    <w:rsid w:val="008203F4"/>
    <w:rsid w:val="00820518"/>
    <w:rsid w:val="0082058D"/>
    <w:rsid w:val="008205E6"/>
    <w:rsid w:val="008205F1"/>
    <w:rsid w:val="008206AC"/>
    <w:rsid w:val="00820824"/>
    <w:rsid w:val="00820932"/>
    <w:rsid w:val="00820EFA"/>
    <w:rsid w:val="00820F3A"/>
    <w:rsid w:val="00821047"/>
    <w:rsid w:val="0082126E"/>
    <w:rsid w:val="008212A4"/>
    <w:rsid w:val="00821386"/>
    <w:rsid w:val="008214D1"/>
    <w:rsid w:val="0082164E"/>
    <w:rsid w:val="008217F3"/>
    <w:rsid w:val="008218DF"/>
    <w:rsid w:val="008219C0"/>
    <w:rsid w:val="00821A22"/>
    <w:rsid w:val="00821B00"/>
    <w:rsid w:val="00821CD6"/>
    <w:rsid w:val="00821EDC"/>
    <w:rsid w:val="00822099"/>
    <w:rsid w:val="0082218D"/>
    <w:rsid w:val="008221A0"/>
    <w:rsid w:val="0082221A"/>
    <w:rsid w:val="00822228"/>
    <w:rsid w:val="00822248"/>
    <w:rsid w:val="00822420"/>
    <w:rsid w:val="008224CE"/>
    <w:rsid w:val="0082256B"/>
    <w:rsid w:val="0082260B"/>
    <w:rsid w:val="00822694"/>
    <w:rsid w:val="008227A1"/>
    <w:rsid w:val="00822821"/>
    <w:rsid w:val="00822842"/>
    <w:rsid w:val="00822953"/>
    <w:rsid w:val="00822AB4"/>
    <w:rsid w:val="00822ACC"/>
    <w:rsid w:val="00822B2C"/>
    <w:rsid w:val="00822C7F"/>
    <w:rsid w:val="00822CBC"/>
    <w:rsid w:val="00822D63"/>
    <w:rsid w:val="00822DC4"/>
    <w:rsid w:val="00822E03"/>
    <w:rsid w:val="00822E0E"/>
    <w:rsid w:val="00822E94"/>
    <w:rsid w:val="00822EDD"/>
    <w:rsid w:val="00823043"/>
    <w:rsid w:val="0082304C"/>
    <w:rsid w:val="0082309B"/>
    <w:rsid w:val="008230C3"/>
    <w:rsid w:val="00823145"/>
    <w:rsid w:val="0082319E"/>
    <w:rsid w:val="008231AA"/>
    <w:rsid w:val="008231E4"/>
    <w:rsid w:val="00823218"/>
    <w:rsid w:val="0082325A"/>
    <w:rsid w:val="00823272"/>
    <w:rsid w:val="0082330B"/>
    <w:rsid w:val="00823365"/>
    <w:rsid w:val="008233DD"/>
    <w:rsid w:val="008233E7"/>
    <w:rsid w:val="0082343C"/>
    <w:rsid w:val="00823457"/>
    <w:rsid w:val="0082345A"/>
    <w:rsid w:val="008235CA"/>
    <w:rsid w:val="00823844"/>
    <w:rsid w:val="00823A44"/>
    <w:rsid w:val="00823B0D"/>
    <w:rsid w:val="00823C5D"/>
    <w:rsid w:val="00823F29"/>
    <w:rsid w:val="00823F54"/>
    <w:rsid w:val="0082411C"/>
    <w:rsid w:val="0082442B"/>
    <w:rsid w:val="00824769"/>
    <w:rsid w:val="00824833"/>
    <w:rsid w:val="00824946"/>
    <w:rsid w:val="00824A5A"/>
    <w:rsid w:val="00824D4E"/>
    <w:rsid w:val="00824DC3"/>
    <w:rsid w:val="00824E46"/>
    <w:rsid w:val="00824EE3"/>
    <w:rsid w:val="0082519D"/>
    <w:rsid w:val="00825248"/>
    <w:rsid w:val="0082524E"/>
    <w:rsid w:val="00825269"/>
    <w:rsid w:val="008252F1"/>
    <w:rsid w:val="00825521"/>
    <w:rsid w:val="00825581"/>
    <w:rsid w:val="00825622"/>
    <w:rsid w:val="00825627"/>
    <w:rsid w:val="0082582C"/>
    <w:rsid w:val="0082588D"/>
    <w:rsid w:val="008258AB"/>
    <w:rsid w:val="008258E5"/>
    <w:rsid w:val="008258F7"/>
    <w:rsid w:val="00825A63"/>
    <w:rsid w:val="00825C58"/>
    <w:rsid w:val="00825CC2"/>
    <w:rsid w:val="00825D79"/>
    <w:rsid w:val="00825DB6"/>
    <w:rsid w:val="00825EB6"/>
    <w:rsid w:val="00825EC9"/>
    <w:rsid w:val="00825F49"/>
    <w:rsid w:val="00825F63"/>
    <w:rsid w:val="00825FA5"/>
    <w:rsid w:val="00826206"/>
    <w:rsid w:val="00826268"/>
    <w:rsid w:val="008263A6"/>
    <w:rsid w:val="00826467"/>
    <w:rsid w:val="00826618"/>
    <w:rsid w:val="008266E9"/>
    <w:rsid w:val="008267D1"/>
    <w:rsid w:val="00826800"/>
    <w:rsid w:val="008268E8"/>
    <w:rsid w:val="00826900"/>
    <w:rsid w:val="00826937"/>
    <w:rsid w:val="00826A52"/>
    <w:rsid w:val="00826ACD"/>
    <w:rsid w:val="00826B54"/>
    <w:rsid w:val="00826D96"/>
    <w:rsid w:val="00826F5B"/>
    <w:rsid w:val="00826F60"/>
    <w:rsid w:val="00826F65"/>
    <w:rsid w:val="0082704F"/>
    <w:rsid w:val="00827076"/>
    <w:rsid w:val="00827079"/>
    <w:rsid w:val="008270C6"/>
    <w:rsid w:val="00827106"/>
    <w:rsid w:val="00827230"/>
    <w:rsid w:val="008273A2"/>
    <w:rsid w:val="008273C4"/>
    <w:rsid w:val="00827419"/>
    <w:rsid w:val="0082745D"/>
    <w:rsid w:val="00827961"/>
    <w:rsid w:val="008279EA"/>
    <w:rsid w:val="00827AC1"/>
    <w:rsid w:val="00827B15"/>
    <w:rsid w:val="00827B29"/>
    <w:rsid w:val="00827B6A"/>
    <w:rsid w:val="00827C97"/>
    <w:rsid w:val="00827DCC"/>
    <w:rsid w:val="00827E2D"/>
    <w:rsid w:val="00827E8A"/>
    <w:rsid w:val="00830015"/>
    <w:rsid w:val="00830161"/>
    <w:rsid w:val="008301A1"/>
    <w:rsid w:val="008301AD"/>
    <w:rsid w:val="008301B4"/>
    <w:rsid w:val="0083030C"/>
    <w:rsid w:val="00830319"/>
    <w:rsid w:val="0083034B"/>
    <w:rsid w:val="008303B3"/>
    <w:rsid w:val="008303E6"/>
    <w:rsid w:val="008303F8"/>
    <w:rsid w:val="0083047B"/>
    <w:rsid w:val="00830505"/>
    <w:rsid w:val="008305AE"/>
    <w:rsid w:val="00830605"/>
    <w:rsid w:val="00830619"/>
    <w:rsid w:val="00830638"/>
    <w:rsid w:val="008308F2"/>
    <w:rsid w:val="0083090F"/>
    <w:rsid w:val="00830AD6"/>
    <w:rsid w:val="00830B70"/>
    <w:rsid w:val="00830D75"/>
    <w:rsid w:val="00830E4A"/>
    <w:rsid w:val="00830E84"/>
    <w:rsid w:val="00830EDA"/>
    <w:rsid w:val="00831139"/>
    <w:rsid w:val="0083122F"/>
    <w:rsid w:val="00831310"/>
    <w:rsid w:val="0083153A"/>
    <w:rsid w:val="00831558"/>
    <w:rsid w:val="008315BD"/>
    <w:rsid w:val="0083160A"/>
    <w:rsid w:val="00831680"/>
    <w:rsid w:val="008316A9"/>
    <w:rsid w:val="008316E8"/>
    <w:rsid w:val="0083174F"/>
    <w:rsid w:val="00831873"/>
    <w:rsid w:val="008318D4"/>
    <w:rsid w:val="00831914"/>
    <w:rsid w:val="00831957"/>
    <w:rsid w:val="00831958"/>
    <w:rsid w:val="00831968"/>
    <w:rsid w:val="0083196C"/>
    <w:rsid w:val="008319A3"/>
    <w:rsid w:val="008319B6"/>
    <w:rsid w:val="00831B96"/>
    <w:rsid w:val="00831BB2"/>
    <w:rsid w:val="00831C58"/>
    <w:rsid w:val="00831E22"/>
    <w:rsid w:val="00832028"/>
    <w:rsid w:val="0083216E"/>
    <w:rsid w:val="008321F8"/>
    <w:rsid w:val="00832485"/>
    <w:rsid w:val="008324BA"/>
    <w:rsid w:val="0083258D"/>
    <w:rsid w:val="0083264A"/>
    <w:rsid w:val="00832815"/>
    <w:rsid w:val="008328CF"/>
    <w:rsid w:val="00832A0A"/>
    <w:rsid w:val="00832A3B"/>
    <w:rsid w:val="00832AD0"/>
    <w:rsid w:val="00832B50"/>
    <w:rsid w:val="00832BFE"/>
    <w:rsid w:val="00832C07"/>
    <w:rsid w:val="00832C40"/>
    <w:rsid w:val="00832E63"/>
    <w:rsid w:val="00832EDD"/>
    <w:rsid w:val="00833081"/>
    <w:rsid w:val="008330E2"/>
    <w:rsid w:val="0083320E"/>
    <w:rsid w:val="00833384"/>
    <w:rsid w:val="00833551"/>
    <w:rsid w:val="008336BD"/>
    <w:rsid w:val="00833738"/>
    <w:rsid w:val="00833823"/>
    <w:rsid w:val="00833901"/>
    <w:rsid w:val="008339B3"/>
    <w:rsid w:val="008339CD"/>
    <w:rsid w:val="008339D9"/>
    <w:rsid w:val="00833B28"/>
    <w:rsid w:val="00833B61"/>
    <w:rsid w:val="00833D45"/>
    <w:rsid w:val="00833D51"/>
    <w:rsid w:val="00833E3C"/>
    <w:rsid w:val="00833EC6"/>
    <w:rsid w:val="00833FAD"/>
    <w:rsid w:val="00834069"/>
    <w:rsid w:val="0083407F"/>
    <w:rsid w:val="008340F2"/>
    <w:rsid w:val="00834153"/>
    <w:rsid w:val="00834274"/>
    <w:rsid w:val="008344A3"/>
    <w:rsid w:val="008344E6"/>
    <w:rsid w:val="0083458C"/>
    <w:rsid w:val="00834617"/>
    <w:rsid w:val="008348A1"/>
    <w:rsid w:val="008349D1"/>
    <w:rsid w:val="00834A70"/>
    <w:rsid w:val="00834BD5"/>
    <w:rsid w:val="00834BF0"/>
    <w:rsid w:val="00834C12"/>
    <w:rsid w:val="00834C3B"/>
    <w:rsid w:val="00834E03"/>
    <w:rsid w:val="00835084"/>
    <w:rsid w:val="00835166"/>
    <w:rsid w:val="008352FC"/>
    <w:rsid w:val="008353F0"/>
    <w:rsid w:val="00835576"/>
    <w:rsid w:val="008355F5"/>
    <w:rsid w:val="008355FD"/>
    <w:rsid w:val="00835792"/>
    <w:rsid w:val="0083586D"/>
    <w:rsid w:val="00835931"/>
    <w:rsid w:val="00835A12"/>
    <w:rsid w:val="00835A4D"/>
    <w:rsid w:val="00835B73"/>
    <w:rsid w:val="00835BB1"/>
    <w:rsid w:val="00835C6F"/>
    <w:rsid w:val="00835DC2"/>
    <w:rsid w:val="00835F2F"/>
    <w:rsid w:val="00836313"/>
    <w:rsid w:val="0083639C"/>
    <w:rsid w:val="008363E9"/>
    <w:rsid w:val="00836555"/>
    <w:rsid w:val="00836563"/>
    <w:rsid w:val="00836650"/>
    <w:rsid w:val="008366B0"/>
    <w:rsid w:val="0083677D"/>
    <w:rsid w:val="008368F7"/>
    <w:rsid w:val="00836A03"/>
    <w:rsid w:val="00836AE4"/>
    <w:rsid w:val="00836BC4"/>
    <w:rsid w:val="00836DA6"/>
    <w:rsid w:val="00836DFB"/>
    <w:rsid w:val="00836E48"/>
    <w:rsid w:val="00836EA1"/>
    <w:rsid w:val="00836EFA"/>
    <w:rsid w:val="008372BB"/>
    <w:rsid w:val="0083737F"/>
    <w:rsid w:val="00837519"/>
    <w:rsid w:val="0083772E"/>
    <w:rsid w:val="0083772F"/>
    <w:rsid w:val="00837744"/>
    <w:rsid w:val="00837A2E"/>
    <w:rsid w:val="00837ACC"/>
    <w:rsid w:val="00837D3B"/>
    <w:rsid w:val="00837D47"/>
    <w:rsid w:val="00837F16"/>
    <w:rsid w:val="00840190"/>
    <w:rsid w:val="008401E6"/>
    <w:rsid w:val="0084030B"/>
    <w:rsid w:val="00840451"/>
    <w:rsid w:val="0084048B"/>
    <w:rsid w:val="00840498"/>
    <w:rsid w:val="008404BC"/>
    <w:rsid w:val="0084066E"/>
    <w:rsid w:val="0084069A"/>
    <w:rsid w:val="008408D0"/>
    <w:rsid w:val="00840A66"/>
    <w:rsid w:val="00840B92"/>
    <w:rsid w:val="00840CF1"/>
    <w:rsid w:val="00840E98"/>
    <w:rsid w:val="00840EB5"/>
    <w:rsid w:val="00840FBC"/>
    <w:rsid w:val="008411F4"/>
    <w:rsid w:val="00841263"/>
    <w:rsid w:val="0084126F"/>
    <w:rsid w:val="00841283"/>
    <w:rsid w:val="0084137F"/>
    <w:rsid w:val="008413E0"/>
    <w:rsid w:val="0084142E"/>
    <w:rsid w:val="008414E0"/>
    <w:rsid w:val="00841727"/>
    <w:rsid w:val="0084173B"/>
    <w:rsid w:val="00841894"/>
    <w:rsid w:val="00841A0D"/>
    <w:rsid w:val="00841CC4"/>
    <w:rsid w:val="00841D03"/>
    <w:rsid w:val="00841D7F"/>
    <w:rsid w:val="00841F9E"/>
    <w:rsid w:val="00841FBC"/>
    <w:rsid w:val="00842292"/>
    <w:rsid w:val="008422AD"/>
    <w:rsid w:val="00842334"/>
    <w:rsid w:val="00842425"/>
    <w:rsid w:val="00842448"/>
    <w:rsid w:val="00842627"/>
    <w:rsid w:val="00842668"/>
    <w:rsid w:val="0084292A"/>
    <w:rsid w:val="00842973"/>
    <w:rsid w:val="00842B49"/>
    <w:rsid w:val="00842BF5"/>
    <w:rsid w:val="00842C0F"/>
    <w:rsid w:val="00842CBC"/>
    <w:rsid w:val="00842E2F"/>
    <w:rsid w:val="00842E3B"/>
    <w:rsid w:val="00842F9A"/>
    <w:rsid w:val="00843325"/>
    <w:rsid w:val="0084338A"/>
    <w:rsid w:val="0084349B"/>
    <w:rsid w:val="0084353C"/>
    <w:rsid w:val="008436FA"/>
    <w:rsid w:val="0084387D"/>
    <w:rsid w:val="0084389A"/>
    <w:rsid w:val="008438FD"/>
    <w:rsid w:val="0084395C"/>
    <w:rsid w:val="00843A4F"/>
    <w:rsid w:val="00843CC1"/>
    <w:rsid w:val="00843D20"/>
    <w:rsid w:val="00843D72"/>
    <w:rsid w:val="00843E35"/>
    <w:rsid w:val="00843FEE"/>
    <w:rsid w:val="008441B8"/>
    <w:rsid w:val="00844200"/>
    <w:rsid w:val="00844486"/>
    <w:rsid w:val="00844489"/>
    <w:rsid w:val="00844502"/>
    <w:rsid w:val="00844548"/>
    <w:rsid w:val="008445CE"/>
    <w:rsid w:val="008446BD"/>
    <w:rsid w:val="008447A3"/>
    <w:rsid w:val="008447E8"/>
    <w:rsid w:val="0084485D"/>
    <w:rsid w:val="00844887"/>
    <w:rsid w:val="00844C05"/>
    <w:rsid w:val="00844CF3"/>
    <w:rsid w:val="00844F51"/>
    <w:rsid w:val="00844FB2"/>
    <w:rsid w:val="00844FD1"/>
    <w:rsid w:val="00844FD5"/>
    <w:rsid w:val="00844FE8"/>
    <w:rsid w:val="0084507C"/>
    <w:rsid w:val="008450BA"/>
    <w:rsid w:val="00845126"/>
    <w:rsid w:val="008451C7"/>
    <w:rsid w:val="008451D7"/>
    <w:rsid w:val="008452B4"/>
    <w:rsid w:val="00845471"/>
    <w:rsid w:val="008456EF"/>
    <w:rsid w:val="008457B7"/>
    <w:rsid w:val="00845806"/>
    <w:rsid w:val="0084581E"/>
    <w:rsid w:val="00845CAA"/>
    <w:rsid w:val="00845DB0"/>
    <w:rsid w:val="00845E28"/>
    <w:rsid w:val="00845E70"/>
    <w:rsid w:val="00846027"/>
    <w:rsid w:val="00846108"/>
    <w:rsid w:val="00846142"/>
    <w:rsid w:val="008461AF"/>
    <w:rsid w:val="008461CF"/>
    <w:rsid w:val="00846201"/>
    <w:rsid w:val="00846228"/>
    <w:rsid w:val="00846234"/>
    <w:rsid w:val="008462F9"/>
    <w:rsid w:val="008463C6"/>
    <w:rsid w:val="008464BD"/>
    <w:rsid w:val="00846567"/>
    <w:rsid w:val="0084662C"/>
    <w:rsid w:val="00846763"/>
    <w:rsid w:val="00846837"/>
    <w:rsid w:val="008469B2"/>
    <w:rsid w:val="00846A1D"/>
    <w:rsid w:val="00846C14"/>
    <w:rsid w:val="00846C72"/>
    <w:rsid w:val="00846CD4"/>
    <w:rsid w:val="00846E5A"/>
    <w:rsid w:val="00846E73"/>
    <w:rsid w:val="00846EAE"/>
    <w:rsid w:val="00847029"/>
    <w:rsid w:val="0084705E"/>
    <w:rsid w:val="008470B3"/>
    <w:rsid w:val="00847344"/>
    <w:rsid w:val="008473D3"/>
    <w:rsid w:val="008474A1"/>
    <w:rsid w:val="008478E9"/>
    <w:rsid w:val="00847A13"/>
    <w:rsid w:val="00847A6D"/>
    <w:rsid w:val="00847AC3"/>
    <w:rsid w:val="00847B05"/>
    <w:rsid w:val="00847B47"/>
    <w:rsid w:val="00847D18"/>
    <w:rsid w:val="00847D9F"/>
    <w:rsid w:val="00847DED"/>
    <w:rsid w:val="00847FBB"/>
    <w:rsid w:val="0085004C"/>
    <w:rsid w:val="0085010A"/>
    <w:rsid w:val="00850229"/>
    <w:rsid w:val="0085025B"/>
    <w:rsid w:val="008502F8"/>
    <w:rsid w:val="0085036A"/>
    <w:rsid w:val="008504A3"/>
    <w:rsid w:val="008504E0"/>
    <w:rsid w:val="0085058D"/>
    <w:rsid w:val="0085079A"/>
    <w:rsid w:val="008507BD"/>
    <w:rsid w:val="00850806"/>
    <w:rsid w:val="008509A0"/>
    <w:rsid w:val="00850A41"/>
    <w:rsid w:val="00850AB0"/>
    <w:rsid w:val="00850B8F"/>
    <w:rsid w:val="00850DFD"/>
    <w:rsid w:val="00850E2E"/>
    <w:rsid w:val="00850F68"/>
    <w:rsid w:val="008510DE"/>
    <w:rsid w:val="00851155"/>
    <w:rsid w:val="0085116A"/>
    <w:rsid w:val="0085135D"/>
    <w:rsid w:val="00851408"/>
    <w:rsid w:val="0085142A"/>
    <w:rsid w:val="00851430"/>
    <w:rsid w:val="00851481"/>
    <w:rsid w:val="00851817"/>
    <w:rsid w:val="00851965"/>
    <w:rsid w:val="00851970"/>
    <w:rsid w:val="00851AF8"/>
    <w:rsid w:val="00851B14"/>
    <w:rsid w:val="00851C1A"/>
    <w:rsid w:val="00851D56"/>
    <w:rsid w:val="0085202C"/>
    <w:rsid w:val="00852126"/>
    <w:rsid w:val="00852364"/>
    <w:rsid w:val="0085245C"/>
    <w:rsid w:val="00852554"/>
    <w:rsid w:val="008525DC"/>
    <w:rsid w:val="00852622"/>
    <w:rsid w:val="00852649"/>
    <w:rsid w:val="00852799"/>
    <w:rsid w:val="008527FD"/>
    <w:rsid w:val="00852800"/>
    <w:rsid w:val="00852910"/>
    <w:rsid w:val="0085298B"/>
    <w:rsid w:val="00852A21"/>
    <w:rsid w:val="00852A55"/>
    <w:rsid w:val="00852B83"/>
    <w:rsid w:val="00852C87"/>
    <w:rsid w:val="00852CA7"/>
    <w:rsid w:val="00852CC6"/>
    <w:rsid w:val="00852D30"/>
    <w:rsid w:val="00852D42"/>
    <w:rsid w:val="00852D60"/>
    <w:rsid w:val="00852EB4"/>
    <w:rsid w:val="00852EE7"/>
    <w:rsid w:val="00852F96"/>
    <w:rsid w:val="0085315C"/>
    <w:rsid w:val="008533B9"/>
    <w:rsid w:val="00853444"/>
    <w:rsid w:val="0085348D"/>
    <w:rsid w:val="008534C5"/>
    <w:rsid w:val="008534D1"/>
    <w:rsid w:val="00853521"/>
    <w:rsid w:val="0085366B"/>
    <w:rsid w:val="00853833"/>
    <w:rsid w:val="008538B5"/>
    <w:rsid w:val="008538F8"/>
    <w:rsid w:val="008539D1"/>
    <w:rsid w:val="00853A37"/>
    <w:rsid w:val="00853E58"/>
    <w:rsid w:val="0085413A"/>
    <w:rsid w:val="00854179"/>
    <w:rsid w:val="008541EA"/>
    <w:rsid w:val="008542EE"/>
    <w:rsid w:val="0085430D"/>
    <w:rsid w:val="00854652"/>
    <w:rsid w:val="0085465D"/>
    <w:rsid w:val="008546FE"/>
    <w:rsid w:val="00854717"/>
    <w:rsid w:val="008547B2"/>
    <w:rsid w:val="00854803"/>
    <w:rsid w:val="008548EA"/>
    <w:rsid w:val="0085493A"/>
    <w:rsid w:val="00854A99"/>
    <w:rsid w:val="00854B0C"/>
    <w:rsid w:val="00854B58"/>
    <w:rsid w:val="00854B60"/>
    <w:rsid w:val="00854C42"/>
    <w:rsid w:val="00854CBF"/>
    <w:rsid w:val="00854CD7"/>
    <w:rsid w:val="00854D31"/>
    <w:rsid w:val="00854EEC"/>
    <w:rsid w:val="00854FBA"/>
    <w:rsid w:val="00854FED"/>
    <w:rsid w:val="0085501B"/>
    <w:rsid w:val="00855117"/>
    <w:rsid w:val="00855147"/>
    <w:rsid w:val="008551F5"/>
    <w:rsid w:val="00855318"/>
    <w:rsid w:val="00855322"/>
    <w:rsid w:val="0085540B"/>
    <w:rsid w:val="00855475"/>
    <w:rsid w:val="008557D9"/>
    <w:rsid w:val="008558B5"/>
    <w:rsid w:val="008558FA"/>
    <w:rsid w:val="0085594D"/>
    <w:rsid w:val="00855BFB"/>
    <w:rsid w:val="00855C7D"/>
    <w:rsid w:val="00855CA9"/>
    <w:rsid w:val="00855D1A"/>
    <w:rsid w:val="00855E05"/>
    <w:rsid w:val="00855E1B"/>
    <w:rsid w:val="00855F90"/>
    <w:rsid w:val="00856105"/>
    <w:rsid w:val="0085612F"/>
    <w:rsid w:val="00856177"/>
    <w:rsid w:val="0085618B"/>
    <w:rsid w:val="008561AD"/>
    <w:rsid w:val="008562AF"/>
    <w:rsid w:val="008562D0"/>
    <w:rsid w:val="008562E5"/>
    <w:rsid w:val="00856416"/>
    <w:rsid w:val="00856462"/>
    <w:rsid w:val="008564D7"/>
    <w:rsid w:val="008564F5"/>
    <w:rsid w:val="00856658"/>
    <w:rsid w:val="00856767"/>
    <w:rsid w:val="00856771"/>
    <w:rsid w:val="0085686F"/>
    <w:rsid w:val="00856884"/>
    <w:rsid w:val="00856950"/>
    <w:rsid w:val="00856980"/>
    <w:rsid w:val="008569F5"/>
    <w:rsid w:val="00856A26"/>
    <w:rsid w:val="00856A3F"/>
    <w:rsid w:val="00856A6B"/>
    <w:rsid w:val="00856BC7"/>
    <w:rsid w:val="00856CAD"/>
    <w:rsid w:val="00856CCD"/>
    <w:rsid w:val="00856D8B"/>
    <w:rsid w:val="00856D9D"/>
    <w:rsid w:val="00856E5A"/>
    <w:rsid w:val="00856EBF"/>
    <w:rsid w:val="00856EF4"/>
    <w:rsid w:val="00856EFF"/>
    <w:rsid w:val="00856F78"/>
    <w:rsid w:val="0085710B"/>
    <w:rsid w:val="0085723F"/>
    <w:rsid w:val="0085727D"/>
    <w:rsid w:val="008572E8"/>
    <w:rsid w:val="00857607"/>
    <w:rsid w:val="008576A1"/>
    <w:rsid w:val="008576F8"/>
    <w:rsid w:val="00857720"/>
    <w:rsid w:val="00857733"/>
    <w:rsid w:val="008579C3"/>
    <w:rsid w:val="00857A3B"/>
    <w:rsid w:val="00857AE8"/>
    <w:rsid w:val="00857B81"/>
    <w:rsid w:val="00857BBB"/>
    <w:rsid w:val="00857BE7"/>
    <w:rsid w:val="00857BE8"/>
    <w:rsid w:val="00857C32"/>
    <w:rsid w:val="00857EAC"/>
    <w:rsid w:val="00857FD9"/>
    <w:rsid w:val="00857FF2"/>
    <w:rsid w:val="008600A0"/>
    <w:rsid w:val="00860147"/>
    <w:rsid w:val="0086014E"/>
    <w:rsid w:val="00860322"/>
    <w:rsid w:val="00860336"/>
    <w:rsid w:val="0086039E"/>
    <w:rsid w:val="008603D5"/>
    <w:rsid w:val="00860433"/>
    <w:rsid w:val="00860604"/>
    <w:rsid w:val="00860759"/>
    <w:rsid w:val="00860762"/>
    <w:rsid w:val="008607A8"/>
    <w:rsid w:val="00860950"/>
    <w:rsid w:val="00860B52"/>
    <w:rsid w:val="00860B7E"/>
    <w:rsid w:val="00860E4A"/>
    <w:rsid w:val="00860EE7"/>
    <w:rsid w:val="00860F3F"/>
    <w:rsid w:val="00860FBD"/>
    <w:rsid w:val="00861005"/>
    <w:rsid w:val="008610F8"/>
    <w:rsid w:val="008611B6"/>
    <w:rsid w:val="008611D6"/>
    <w:rsid w:val="0086126E"/>
    <w:rsid w:val="00861575"/>
    <w:rsid w:val="008615D5"/>
    <w:rsid w:val="00861736"/>
    <w:rsid w:val="008617D5"/>
    <w:rsid w:val="00861996"/>
    <w:rsid w:val="00861A1A"/>
    <w:rsid w:val="00861CFD"/>
    <w:rsid w:val="00861D31"/>
    <w:rsid w:val="00861E3D"/>
    <w:rsid w:val="00861E50"/>
    <w:rsid w:val="00861E65"/>
    <w:rsid w:val="00861EFB"/>
    <w:rsid w:val="00862043"/>
    <w:rsid w:val="008620AE"/>
    <w:rsid w:val="0086222B"/>
    <w:rsid w:val="0086234D"/>
    <w:rsid w:val="008623C2"/>
    <w:rsid w:val="00862478"/>
    <w:rsid w:val="0086273F"/>
    <w:rsid w:val="00862759"/>
    <w:rsid w:val="00862870"/>
    <w:rsid w:val="0086287B"/>
    <w:rsid w:val="008628D5"/>
    <w:rsid w:val="008629F0"/>
    <w:rsid w:val="00862A8E"/>
    <w:rsid w:val="00862D8C"/>
    <w:rsid w:val="00862DF2"/>
    <w:rsid w:val="00862EA7"/>
    <w:rsid w:val="00862EE7"/>
    <w:rsid w:val="00862F8F"/>
    <w:rsid w:val="008630B9"/>
    <w:rsid w:val="008630E8"/>
    <w:rsid w:val="008630F2"/>
    <w:rsid w:val="008630FF"/>
    <w:rsid w:val="00863120"/>
    <w:rsid w:val="00863142"/>
    <w:rsid w:val="008632FD"/>
    <w:rsid w:val="00863375"/>
    <w:rsid w:val="008633D2"/>
    <w:rsid w:val="00863458"/>
    <w:rsid w:val="00863555"/>
    <w:rsid w:val="00863673"/>
    <w:rsid w:val="00863945"/>
    <w:rsid w:val="0086396D"/>
    <w:rsid w:val="00863B42"/>
    <w:rsid w:val="00863FC5"/>
    <w:rsid w:val="00863FF1"/>
    <w:rsid w:val="0086417D"/>
    <w:rsid w:val="00864303"/>
    <w:rsid w:val="00864397"/>
    <w:rsid w:val="00864435"/>
    <w:rsid w:val="00864525"/>
    <w:rsid w:val="00864535"/>
    <w:rsid w:val="00864581"/>
    <w:rsid w:val="00864701"/>
    <w:rsid w:val="0086484B"/>
    <w:rsid w:val="008648E5"/>
    <w:rsid w:val="00864900"/>
    <w:rsid w:val="00864A89"/>
    <w:rsid w:val="00864A9D"/>
    <w:rsid w:val="00864AD7"/>
    <w:rsid w:val="00864B41"/>
    <w:rsid w:val="00864BF5"/>
    <w:rsid w:val="00864C06"/>
    <w:rsid w:val="00864C8A"/>
    <w:rsid w:val="00864D93"/>
    <w:rsid w:val="00864F5A"/>
    <w:rsid w:val="00864FED"/>
    <w:rsid w:val="008650B5"/>
    <w:rsid w:val="00865154"/>
    <w:rsid w:val="008651A2"/>
    <w:rsid w:val="00865283"/>
    <w:rsid w:val="008652F0"/>
    <w:rsid w:val="008653DA"/>
    <w:rsid w:val="008655C5"/>
    <w:rsid w:val="00865634"/>
    <w:rsid w:val="00865695"/>
    <w:rsid w:val="008656BA"/>
    <w:rsid w:val="00865769"/>
    <w:rsid w:val="008659FC"/>
    <w:rsid w:val="00865EF8"/>
    <w:rsid w:val="00866013"/>
    <w:rsid w:val="008660C7"/>
    <w:rsid w:val="00866127"/>
    <w:rsid w:val="008662AB"/>
    <w:rsid w:val="0086631B"/>
    <w:rsid w:val="0086638A"/>
    <w:rsid w:val="008664B0"/>
    <w:rsid w:val="008664F1"/>
    <w:rsid w:val="0086685A"/>
    <w:rsid w:val="008668B1"/>
    <w:rsid w:val="00866947"/>
    <w:rsid w:val="00866AC1"/>
    <w:rsid w:val="00866AE5"/>
    <w:rsid w:val="00866BC4"/>
    <w:rsid w:val="00866C74"/>
    <w:rsid w:val="00866C8C"/>
    <w:rsid w:val="00866C90"/>
    <w:rsid w:val="00866C94"/>
    <w:rsid w:val="00866E2D"/>
    <w:rsid w:val="00866ED4"/>
    <w:rsid w:val="00866F56"/>
    <w:rsid w:val="00866FDB"/>
    <w:rsid w:val="00867042"/>
    <w:rsid w:val="00867199"/>
    <w:rsid w:val="0086727B"/>
    <w:rsid w:val="00867416"/>
    <w:rsid w:val="008674E7"/>
    <w:rsid w:val="0086756E"/>
    <w:rsid w:val="008676B7"/>
    <w:rsid w:val="008676DE"/>
    <w:rsid w:val="008676FB"/>
    <w:rsid w:val="008677B0"/>
    <w:rsid w:val="008679E7"/>
    <w:rsid w:val="00867A8D"/>
    <w:rsid w:val="00867B87"/>
    <w:rsid w:val="00867B97"/>
    <w:rsid w:val="00867CC6"/>
    <w:rsid w:val="00867F38"/>
    <w:rsid w:val="00870016"/>
    <w:rsid w:val="0087017E"/>
    <w:rsid w:val="008701FE"/>
    <w:rsid w:val="0087035A"/>
    <w:rsid w:val="0087039A"/>
    <w:rsid w:val="008703F2"/>
    <w:rsid w:val="008705CE"/>
    <w:rsid w:val="00870716"/>
    <w:rsid w:val="00870894"/>
    <w:rsid w:val="008708A5"/>
    <w:rsid w:val="00870906"/>
    <w:rsid w:val="0087099C"/>
    <w:rsid w:val="00870A1D"/>
    <w:rsid w:val="00870A39"/>
    <w:rsid w:val="00870AE1"/>
    <w:rsid w:val="00870B90"/>
    <w:rsid w:val="00870BC3"/>
    <w:rsid w:val="00870C23"/>
    <w:rsid w:val="00870D05"/>
    <w:rsid w:val="00870D66"/>
    <w:rsid w:val="00870D8C"/>
    <w:rsid w:val="00870ECB"/>
    <w:rsid w:val="00870EDC"/>
    <w:rsid w:val="00870EF1"/>
    <w:rsid w:val="00870F3A"/>
    <w:rsid w:val="00871125"/>
    <w:rsid w:val="00871155"/>
    <w:rsid w:val="0087119E"/>
    <w:rsid w:val="00871226"/>
    <w:rsid w:val="008713B2"/>
    <w:rsid w:val="008713E0"/>
    <w:rsid w:val="0087144E"/>
    <w:rsid w:val="00871488"/>
    <w:rsid w:val="00871812"/>
    <w:rsid w:val="00871842"/>
    <w:rsid w:val="0087190A"/>
    <w:rsid w:val="00871B28"/>
    <w:rsid w:val="00871B5B"/>
    <w:rsid w:val="00871CBC"/>
    <w:rsid w:val="00871D06"/>
    <w:rsid w:val="00871E1E"/>
    <w:rsid w:val="00871F18"/>
    <w:rsid w:val="00871FCC"/>
    <w:rsid w:val="0087235D"/>
    <w:rsid w:val="008723A3"/>
    <w:rsid w:val="008723C5"/>
    <w:rsid w:val="0087262C"/>
    <w:rsid w:val="00872714"/>
    <w:rsid w:val="00872799"/>
    <w:rsid w:val="008728E9"/>
    <w:rsid w:val="008729E2"/>
    <w:rsid w:val="008729F1"/>
    <w:rsid w:val="00872B70"/>
    <w:rsid w:val="00872BC3"/>
    <w:rsid w:val="00872CD3"/>
    <w:rsid w:val="00872CEA"/>
    <w:rsid w:val="00872EE4"/>
    <w:rsid w:val="0087301A"/>
    <w:rsid w:val="008730FA"/>
    <w:rsid w:val="0087320F"/>
    <w:rsid w:val="00873343"/>
    <w:rsid w:val="008733D2"/>
    <w:rsid w:val="00873452"/>
    <w:rsid w:val="00873532"/>
    <w:rsid w:val="00873584"/>
    <w:rsid w:val="008735D7"/>
    <w:rsid w:val="00873653"/>
    <w:rsid w:val="00873914"/>
    <w:rsid w:val="00873A33"/>
    <w:rsid w:val="00873CA1"/>
    <w:rsid w:val="00873CDE"/>
    <w:rsid w:val="00873D22"/>
    <w:rsid w:val="00873D2F"/>
    <w:rsid w:val="008740F6"/>
    <w:rsid w:val="00874179"/>
    <w:rsid w:val="00874324"/>
    <w:rsid w:val="0087432C"/>
    <w:rsid w:val="008743AB"/>
    <w:rsid w:val="008744A3"/>
    <w:rsid w:val="008745FE"/>
    <w:rsid w:val="00874603"/>
    <w:rsid w:val="0087475E"/>
    <w:rsid w:val="008747D8"/>
    <w:rsid w:val="0087489B"/>
    <w:rsid w:val="00874A36"/>
    <w:rsid w:val="00874B7F"/>
    <w:rsid w:val="00874BFA"/>
    <w:rsid w:val="00874CEB"/>
    <w:rsid w:val="00874F17"/>
    <w:rsid w:val="008751C1"/>
    <w:rsid w:val="00875390"/>
    <w:rsid w:val="0087547C"/>
    <w:rsid w:val="008756C0"/>
    <w:rsid w:val="008756FE"/>
    <w:rsid w:val="0087573C"/>
    <w:rsid w:val="008757B4"/>
    <w:rsid w:val="008758A4"/>
    <w:rsid w:val="00875932"/>
    <w:rsid w:val="00875B2D"/>
    <w:rsid w:val="00875C46"/>
    <w:rsid w:val="00875C47"/>
    <w:rsid w:val="00875D8E"/>
    <w:rsid w:val="00875E6B"/>
    <w:rsid w:val="00875F61"/>
    <w:rsid w:val="00875FDB"/>
    <w:rsid w:val="0087608B"/>
    <w:rsid w:val="008760AE"/>
    <w:rsid w:val="0087628E"/>
    <w:rsid w:val="00876314"/>
    <w:rsid w:val="008763DA"/>
    <w:rsid w:val="00876425"/>
    <w:rsid w:val="00876483"/>
    <w:rsid w:val="008764BA"/>
    <w:rsid w:val="0087660A"/>
    <w:rsid w:val="0087668C"/>
    <w:rsid w:val="008766FB"/>
    <w:rsid w:val="008767FB"/>
    <w:rsid w:val="00876848"/>
    <w:rsid w:val="008768CA"/>
    <w:rsid w:val="00876CDA"/>
    <w:rsid w:val="00876E44"/>
    <w:rsid w:val="00876E52"/>
    <w:rsid w:val="00876E5E"/>
    <w:rsid w:val="00876F6E"/>
    <w:rsid w:val="0087700F"/>
    <w:rsid w:val="008774C6"/>
    <w:rsid w:val="0087763D"/>
    <w:rsid w:val="008777BD"/>
    <w:rsid w:val="008779E8"/>
    <w:rsid w:val="00877A35"/>
    <w:rsid w:val="00877AE3"/>
    <w:rsid w:val="00877B10"/>
    <w:rsid w:val="00877C0C"/>
    <w:rsid w:val="00877CDE"/>
    <w:rsid w:val="00877D48"/>
    <w:rsid w:val="00877D51"/>
    <w:rsid w:val="00877E33"/>
    <w:rsid w:val="00877ECB"/>
    <w:rsid w:val="00877F9F"/>
    <w:rsid w:val="00877FD4"/>
    <w:rsid w:val="00880535"/>
    <w:rsid w:val="008805A7"/>
    <w:rsid w:val="0088073C"/>
    <w:rsid w:val="00880771"/>
    <w:rsid w:val="00880821"/>
    <w:rsid w:val="0088093F"/>
    <w:rsid w:val="00880A41"/>
    <w:rsid w:val="00880B3F"/>
    <w:rsid w:val="00880D61"/>
    <w:rsid w:val="00880D66"/>
    <w:rsid w:val="00880E4E"/>
    <w:rsid w:val="00880E6A"/>
    <w:rsid w:val="00880EC2"/>
    <w:rsid w:val="00880EDB"/>
    <w:rsid w:val="00880F60"/>
    <w:rsid w:val="008814B2"/>
    <w:rsid w:val="0088159E"/>
    <w:rsid w:val="008815F1"/>
    <w:rsid w:val="0088162B"/>
    <w:rsid w:val="008816D6"/>
    <w:rsid w:val="00881787"/>
    <w:rsid w:val="008818E2"/>
    <w:rsid w:val="00881964"/>
    <w:rsid w:val="0088197A"/>
    <w:rsid w:val="00881B23"/>
    <w:rsid w:val="00881B4A"/>
    <w:rsid w:val="00881C0B"/>
    <w:rsid w:val="00881C8E"/>
    <w:rsid w:val="00881D04"/>
    <w:rsid w:val="00881E5E"/>
    <w:rsid w:val="00881EF9"/>
    <w:rsid w:val="00881F18"/>
    <w:rsid w:val="00882143"/>
    <w:rsid w:val="008822D0"/>
    <w:rsid w:val="00882345"/>
    <w:rsid w:val="0088256A"/>
    <w:rsid w:val="008826B7"/>
    <w:rsid w:val="008828BE"/>
    <w:rsid w:val="008829A7"/>
    <w:rsid w:val="008829CB"/>
    <w:rsid w:val="008829D8"/>
    <w:rsid w:val="00882BF4"/>
    <w:rsid w:val="00882D15"/>
    <w:rsid w:val="00882D9C"/>
    <w:rsid w:val="00882E7D"/>
    <w:rsid w:val="00882E81"/>
    <w:rsid w:val="00882ED6"/>
    <w:rsid w:val="00882FDF"/>
    <w:rsid w:val="00883162"/>
    <w:rsid w:val="008831AE"/>
    <w:rsid w:val="008831AF"/>
    <w:rsid w:val="008831B4"/>
    <w:rsid w:val="008831EB"/>
    <w:rsid w:val="0088327F"/>
    <w:rsid w:val="00883291"/>
    <w:rsid w:val="008832F5"/>
    <w:rsid w:val="00883360"/>
    <w:rsid w:val="00883409"/>
    <w:rsid w:val="0088358F"/>
    <w:rsid w:val="00883595"/>
    <w:rsid w:val="0088371A"/>
    <w:rsid w:val="00883770"/>
    <w:rsid w:val="00883847"/>
    <w:rsid w:val="0088397D"/>
    <w:rsid w:val="008839DE"/>
    <w:rsid w:val="00883B93"/>
    <w:rsid w:val="00883C7F"/>
    <w:rsid w:val="00883CA3"/>
    <w:rsid w:val="00883D56"/>
    <w:rsid w:val="00883DAC"/>
    <w:rsid w:val="00883E2B"/>
    <w:rsid w:val="00883E5F"/>
    <w:rsid w:val="00883F5C"/>
    <w:rsid w:val="00883FFD"/>
    <w:rsid w:val="00884091"/>
    <w:rsid w:val="00884277"/>
    <w:rsid w:val="00884392"/>
    <w:rsid w:val="00884555"/>
    <w:rsid w:val="0088463B"/>
    <w:rsid w:val="00884647"/>
    <w:rsid w:val="008846C1"/>
    <w:rsid w:val="008847CE"/>
    <w:rsid w:val="008848FA"/>
    <w:rsid w:val="00884A4D"/>
    <w:rsid w:val="00884B1D"/>
    <w:rsid w:val="00884B97"/>
    <w:rsid w:val="00884D81"/>
    <w:rsid w:val="00884E3C"/>
    <w:rsid w:val="00884E90"/>
    <w:rsid w:val="00884EBE"/>
    <w:rsid w:val="00884F01"/>
    <w:rsid w:val="0088501B"/>
    <w:rsid w:val="00885062"/>
    <w:rsid w:val="00885112"/>
    <w:rsid w:val="00885239"/>
    <w:rsid w:val="00885265"/>
    <w:rsid w:val="008852D5"/>
    <w:rsid w:val="00885616"/>
    <w:rsid w:val="0088563F"/>
    <w:rsid w:val="0088576B"/>
    <w:rsid w:val="00885799"/>
    <w:rsid w:val="008858F9"/>
    <w:rsid w:val="00885A76"/>
    <w:rsid w:val="00885DB2"/>
    <w:rsid w:val="00885E5F"/>
    <w:rsid w:val="00885EAB"/>
    <w:rsid w:val="00885FB2"/>
    <w:rsid w:val="0088608F"/>
    <w:rsid w:val="0088614D"/>
    <w:rsid w:val="008861C8"/>
    <w:rsid w:val="008861D4"/>
    <w:rsid w:val="008862AB"/>
    <w:rsid w:val="0088631F"/>
    <w:rsid w:val="008864CC"/>
    <w:rsid w:val="00886627"/>
    <w:rsid w:val="008866E6"/>
    <w:rsid w:val="0088675F"/>
    <w:rsid w:val="00886761"/>
    <w:rsid w:val="00886771"/>
    <w:rsid w:val="0088677C"/>
    <w:rsid w:val="00886798"/>
    <w:rsid w:val="00886872"/>
    <w:rsid w:val="008868A4"/>
    <w:rsid w:val="008868E1"/>
    <w:rsid w:val="008868FA"/>
    <w:rsid w:val="0088699C"/>
    <w:rsid w:val="00886A01"/>
    <w:rsid w:val="00886A0F"/>
    <w:rsid w:val="00886B3B"/>
    <w:rsid w:val="00886B95"/>
    <w:rsid w:val="00886D79"/>
    <w:rsid w:val="00886E3E"/>
    <w:rsid w:val="00886E7C"/>
    <w:rsid w:val="00886EFF"/>
    <w:rsid w:val="0088712F"/>
    <w:rsid w:val="00887438"/>
    <w:rsid w:val="00887472"/>
    <w:rsid w:val="008874B9"/>
    <w:rsid w:val="00887536"/>
    <w:rsid w:val="008875E1"/>
    <w:rsid w:val="008876A6"/>
    <w:rsid w:val="0088770D"/>
    <w:rsid w:val="00887A1C"/>
    <w:rsid w:val="00887A30"/>
    <w:rsid w:val="00887A80"/>
    <w:rsid w:val="00887B02"/>
    <w:rsid w:val="00887BCB"/>
    <w:rsid w:val="00887C36"/>
    <w:rsid w:val="00887C79"/>
    <w:rsid w:val="00887DB8"/>
    <w:rsid w:val="0088F878"/>
    <w:rsid w:val="00890005"/>
    <w:rsid w:val="00890011"/>
    <w:rsid w:val="0089007D"/>
    <w:rsid w:val="00890117"/>
    <w:rsid w:val="008901A8"/>
    <w:rsid w:val="008902AA"/>
    <w:rsid w:val="008903EB"/>
    <w:rsid w:val="0089066F"/>
    <w:rsid w:val="008906F7"/>
    <w:rsid w:val="0089072F"/>
    <w:rsid w:val="0089087F"/>
    <w:rsid w:val="00890A4F"/>
    <w:rsid w:val="00890A69"/>
    <w:rsid w:val="00890A6D"/>
    <w:rsid w:val="00890BCA"/>
    <w:rsid w:val="00890CC0"/>
    <w:rsid w:val="00890E07"/>
    <w:rsid w:val="00890EF7"/>
    <w:rsid w:val="00890EFF"/>
    <w:rsid w:val="00890F31"/>
    <w:rsid w:val="0089103E"/>
    <w:rsid w:val="008910D4"/>
    <w:rsid w:val="00891157"/>
    <w:rsid w:val="008912BE"/>
    <w:rsid w:val="008913BB"/>
    <w:rsid w:val="008915A1"/>
    <w:rsid w:val="008915AF"/>
    <w:rsid w:val="00891619"/>
    <w:rsid w:val="0089179C"/>
    <w:rsid w:val="00891B6F"/>
    <w:rsid w:val="00891BDB"/>
    <w:rsid w:val="00891E21"/>
    <w:rsid w:val="00891E4A"/>
    <w:rsid w:val="00891F03"/>
    <w:rsid w:val="00891F2F"/>
    <w:rsid w:val="008920C3"/>
    <w:rsid w:val="00892271"/>
    <w:rsid w:val="00892290"/>
    <w:rsid w:val="00892374"/>
    <w:rsid w:val="008924D2"/>
    <w:rsid w:val="00892604"/>
    <w:rsid w:val="0089267F"/>
    <w:rsid w:val="00892A0B"/>
    <w:rsid w:val="00892C78"/>
    <w:rsid w:val="00892CA4"/>
    <w:rsid w:val="00892D2B"/>
    <w:rsid w:val="00892D42"/>
    <w:rsid w:val="00892D4D"/>
    <w:rsid w:val="00892F58"/>
    <w:rsid w:val="00892F7F"/>
    <w:rsid w:val="00892FA6"/>
    <w:rsid w:val="00893093"/>
    <w:rsid w:val="0089317F"/>
    <w:rsid w:val="008931AD"/>
    <w:rsid w:val="008931C4"/>
    <w:rsid w:val="00893237"/>
    <w:rsid w:val="00893320"/>
    <w:rsid w:val="008933BC"/>
    <w:rsid w:val="008936D8"/>
    <w:rsid w:val="008938A2"/>
    <w:rsid w:val="00893917"/>
    <w:rsid w:val="00893B2A"/>
    <w:rsid w:val="00893C02"/>
    <w:rsid w:val="00893CEB"/>
    <w:rsid w:val="00893D30"/>
    <w:rsid w:val="00894717"/>
    <w:rsid w:val="008947E4"/>
    <w:rsid w:val="00894919"/>
    <w:rsid w:val="00894933"/>
    <w:rsid w:val="008949B8"/>
    <w:rsid w:val="008949F3"/>
    <w:rsid w:val="00894AFA"/>
    <w:rsid w:val="00894B09"/>
    <w:rsid w:val="00894E6A"/>
    <w:rsid w:val="00894EE1"/>
    <w:rsid w:val="00894EE7"/>
    <w:rsid w:val="0089513C"/>
    <w:rsid w:val="00895156"/>
    <w:rsid w:val="008951EF"/>
    <w:rsid w:val="00895256"/>
    <w:rsid w:val="00895266"/>
    <w:rsid w:val="00895299"/>
    <w:rsid w:val="0089533C"/>
    <w:rsid w:val="0089541C"/>
    <w:rsid w:val="00895447"/>
    <w:rsid w:val="0089547B"/>
    <w:rsid w:val="0089563E"/>
    <w:rsid w:val="008957C5"/>
    <w:rsid w:val="00895840"/>
    <w:rsid w:val="00895A4A"/>
    <w:rsid w:val="00895A88"/>
    <w:rsid w:val="00895AF8"/>
    <w:rsid w:val="00895C01"/>
    <w:rsid w:val="00895C42"/>
    <w:rsid w:val="00895D1B"/>
    <w:rsid w:val="00895E4F"/>
    <w:rsid w:val="00895E93"/>
    <w:rsid w:val="008960B7"/>
    <w:rsid w:val="0089614B"/>
    <w:rsid w:val="008961C6"/>
    <w:rsid w:val="0089625F"/>
    <w:rsid w:val="008962AB"/>
    <w:rsid w:val="008964D4"/>
    <w:rsid w:val="00896829"/>
    <w:rsid w:val="00896884"/>
    <w:rsid w:val="00896979"/>
    <w:rsid w:val="00896A20"/>
    <w:rsid w:val="00896AD3"/>
    <w:rsid w:val="00896C4C"/>
    <w:rsid w:val="00896C9B"/>
    <w:rsid w:val="00896CF6"/>
    <w:rsid w:val="00896E37"/>
    <w:rsid w:val="00896EC4"/>
    <w:rsid w:val="00896ED2"/>
    <w:rsid w:val="0089708B"/>
    <w:rsid w:val="00897196"/>
    <w:rsid w:val="00897344"/>
    <w:rsid w:val="0089740B"/>
    <w:rsid w:val="008975DC"/>
    <w:rsid w:val="0089761E"/>
    <w:rsid w:val="0089789C"/>
    <w:rsid w:val="0089789D"/>
    <w:rsid w:val="00897A33"/>
    <w:rsid w:val="00897AA2"/>
    <w:rsid w:val="00897AAC"/>
    <w:rsid w:val="00897AB9"/>
    <w:rsid w:val="00897B8A"/>
    <w:rsid w:val="00897BB4"/>
    <w:rsid w:val="00897C7D"/>
    <w:rsid w:val="00897CE0"/>
    <w:rsid w:val="00897D4A"/>
    <w:rsid w:val="00897DF3"/>
    <w:rsid w:val="00897E0C"/>
    <w:rsid w:val="00897E7D"/>
    <w:rsid w:val="008A0040"/>
    <w:rsid w:val="008A0229"/>
    <w:rsid w:val="008A02D2"/>
    <w:rsid w:val="008A0302"/>
    <w:rsid w:val="008A04B8"/>
    <w:rsid w:val="008A054A"/>
    <w:rsid w:val="008A058E"/>
    <w:rsid w:val="008A05A6"/>
    <w:rsid w:val="008A0602"/>
    <w:rsid w:val="008A0632"/>
    <w:rsid w:val="008A0649"/>
    <w:rsid w:val="008A066E"/>
    <w:rsid w:val="008A06A0"/>
    <w:rsid w:val="008A075C"/>
    <w:rsid w:val="008A0882"/>
    <w:rsid w:val="008A09D8"/>
    <w:rsid w:val="008A0AEE"/>
    <w:rsid w:val="008A0B6C"/>
    <w:rsid w:val="008A0BAD"/>
    <w:rsid w:val="008A0CBF"/>
    <w:rsid w:val="008A0CEC"/>
    <w:rsid w:val="008A0E0C"/>
    <w:rsid w:val="008A0E12"/>
    <w:rsid w:val="008A1439"/>
    <w:rsid w:val="008A147C"/>
    <w:rsid w:val="008A1546"/>
    <w:rsid w:val="008A161F"/>
    <w:rsid w:val="008A16BC"/>
    <w:rsid w:val="008A16F1"/>
    <w:rsid w:val="008A180D"/>
    <w:rsid w:val="008A181A"/>
    <w:rsid w:val="008A19D6"/>
    <w:rsid w:val="008A1A63"/>
    <w:rsid w:val="008A1B51"/>
    <w:rsid w:val="008A1BB0"/>
    <w:rsid w:val="008A1BEA"/>
    <w:rsid w:val="008A1D7B"/>
    <w:rsid w:val="008A1EE2"/>
    <w:rsid w:val="008A2311"/>
    <w:rsid w:val="008A2387"/>
    <w:rsid w:val="008A23E6"/>
    <w:rsid w:val="008A24F5"/>
    <w:rsid w:val="008A284C"/>
    <w:rsid w:val="008A2B0D"/>
    <w:rsid w:val="008A2B35"/>
    <w:rsid w:val="008A2B56"/>
    <w:rsid w:val="008A2BAA"/>
    <w:rsid w:val="008A2CA4"/>
    <w:rsid w:val="008A2E39"/>
    <w:rsid w:val="008A2E50"/>
    <w:rsid w:val="008A2E6A"/>
    <w:rsid w:val="008A2FF9"/>
    <w:rsid w:val="008A300A"/>
    <w:rsid w:val="008A3230"/>
    <w:rsid w:val="008A3242"/>
    <w:rsid w:val="008A3249"/>
    <w:rsid w:val="008A32A4"/>
    <w:rsid w:val="008A3347"/>
    <w:rsid w:val="008A33D6"/>
    <w:rsid w:val="008A33F3"/>
    <w:rsid w:val="008A3483"/>
    <w:rsid w:val="008A34EF"/>
    <w:rsid w:val="008A35FF"/>
    <w:rsid w:val="008A36D6"/>
    <w:rsid w:val="008A3756"/>
    <w:rsid w:val="008A37CB"/>
    <w:rsid w:val="008A3996"/>
    <w:rsid w:val="008A3A54"/>
    <w:rsid w:val="008A3A8F"/>
    <w:rsid w:val="008A3A94"/>
    <w:rsid w:val="008A3CC5"/>
    <w:rsid w:val="008A3CC7"/>
    <w:rsid w:val="008A3CD4"/>
    <w:rsid w:val="008A3F07"/>
    <w:rsid w:val="008A3F0B"/>
    <w:rsid w:val="008A3FFC"/>
    <w:rsid w:val="008A4007"/>
    <w:rsid w:val="008A4262"/>
    <w:rsid w:val="008A4280"/>
    <w:rsid w:val="008A42E1"/>
    <w:rsid w:val="008A436B"/>
    <w:rsid w:val="008A43FC"/>
    <w:rsid w:val="008A448B"/>
    <w:rsid w:val="008A48DC"/>
    <w:rsid w:val="008A4B87"/>
    <w:rsid w:val="008A4CC1"/>
    <w:rsid w:val="008A4D9C"/>
    <w:rsid w:val="008A4E20"/>
    <w:rsid w:val="008A4EAE"/>
    <w:rsid w:val="008A5036"/>
    <w:rsid w:val="008A50C5"/>
    <w:rsid w:val="008A5170"/>
    <w:rsid w:val="008A5185"/>
    <w:rsid w:val="008A53DC"/>
    <w:rsid w:val="008A54AC"/>
    <w:rsid w:val="008A553A"/>
    <w:rsid w:val="008A564B"/>
    <w:rsid w:val="008A56AD"/>
    <w:rsid w:val="008A573C"/>
    <w:rsid w:val="008A57C2"/>
    <w:rsid w:val="008A5955"/>
    <w:rsid w:val="008A5B39"/>
    <w:rsid w:val="008A5BC9"/>
    <w:rsid w:val="008A5C7B"/>
    <w:rsid w:val="008A5DBA"/>
    <w:rsid w:val="008A5E28"/>
    <w:rsid w:val="008A5F14"/>
    <w:rsid w:val="008A6090"/>
    <w:rsid w:val="008A6192"/>
    <w:rsid w:val="008A64AA"/>
    <w:rsid w:val="008A6582"/>
    <w:rsid w:val="008A6650"/>
    <w:rsid w:val="008A6664"/>
    <w:rsid w:val="008A668F"/>
    <w:rsid w:val="008A6908"/>
    <w:rsid w:val="008A6A6B"/>
    <w:rsid w:val="008A6A88"/>
    <w:rsid w:val="008A6B3A"/>
    <w:rsid w:val="008A6B3B"/>
    <w:rsid w:val="008A6C3B"/>
    <w:rsid w:val="008A6C8D"/>
    <w:rsid w:val="008A70A1"/>
    <w:rsid w:val="008A70B4"/>
    <w:rsid w:val="008A716C"/>
    <w:rsid w:val="008A725A"/>
    <w:rsid w:val="008A736B"/>
    <w:rsid w:val="008A73A1"/>
    <w:rsid w:val="008A73D7"/>
    <w:rsid w:val="008A744B"/>
    <w:rsid w:val="008A75F0"/>
    <w:rsid w:val="008A7696"/>
    <w:rsid w:val="008A779E"/>
    <w:rsid w:val="008A77D8"/>
    <w:rsid w:val="008A7BA5"/>
    <w:rsid w:val="008A7CE6"/>
    <w:rsid w:val="008A7D01"/>
    <w:rsid w:val="008A7D51"/>
    <w:rsid w:val="008A7E03"/>
    <w:rsid w:val="008B0181"/>
    <w:rsid w:val="008B02FF"/>
    <w:rsid w:val="008B0319"/>
    <w:rsid w:val="008B0381"/>
    <w:rsid w:val="008B050D"/>
    <w:rsid w:val="008B0527"/>
    <w:rsid w:val="008B056F"/>
    <w:rsid w:val="008B05C2"/>
    <w:rsid w:val="008B064A"/>
    <w:rsid w:val="008B080D"/>
    <w:rsid w:val="008B0950"/>
    <w:rsid w:val="008B0990"/>
    <w:rsid w:val="008B09DE"/>
    <w:rsid w:val="008B0BAD"/>
    <w:rsid w:val="008B0CEE"/>
    <w:rsid w:val="008B0D30"/>
    <w:rsid w:val="008B0D95"/>
    <w:rsid w:val="008B0DA3"/>
    <w:rsid w:val="008B0E8E"/>
    <w:rsid w:val="008B0F7C"/>
    <w:rsid w:val="008B0FB1"/>
    <w:rsid w:val="008B1048"/>
    <w:rsid w:val="008B11C2"/>
    <w:rsid w:val="008B135D"/>
    <w:rsid w:val="008B1549"/>
    <w:rsid w:val="008B1554"/>
    <w:rsid w:val="008B16A5"/>
    <w:rsid w:val="008B17BB"/>
    <w:rsid w:val="008B18CF"/>
    <w:rsid w:val="008B1ABA"/>
    <w:rsid w:val="008B1C0F"/>
    <w:rsid w:val="008B1CBD"/>
    <w:rsid w:val="008B1F20"/>
    <w:rsid w:val="008B1F88"/>
    <w:rsid w:val="008B20EC"/>
    <w:rsid w:val="008B2117"/>
    <w:rsid w:val="008B214D"/>
    <w:rsid w:val="008B216C"/>
    <w:rsid w:val="008B24D9"/>
    <w:rsid w:val="008B24E9"/>
    <w:rsid w:val="008B256A"/>
    <w:rsid w:val="008B2807"/>
    <w:rsid w:val="008B292A"/>
    <w:rsid w:val="008B2AA6"/>
    <w:rsid w:val="008B2AB4"/>
    <w:rsid w:val="008B2C4E"/>
    <w:rsid w:val="008B2EFB"/>
    <w:rsid w:val="008B2F15"/>
    <w:rsid w:val="008B3026"/>
    <w:rsid w:val="008B30CD"/>
    <w:rsid w:val="008B31B9"/>
    <w:rsid w:val="008B32B8"/>
    <w:rsid w:val="008B32F8"/>
    <w:rsid w:val="008B337A"/>
    <w:rsid w:val="008B3380"/>
    <w:rsid w:val="008B3451"/>
    <w:rsid w:val="008B372D"/>
    <w:rsid w:val="008B38C5"/>
    <w:rsid w:val="008B3A06"/>
    <w:rsid w:val="008B3A1E"/>
    <w:rsid w:val="008B3C62"/>
    <w:rsid w:val="008B3D0E"/>
    <w:rsid w:val="008B3D5F"/>
    <w:rsid w:val="008B3F16"/>
    <w:rsid w:val="008B3F4C"/>
    <w:rsid w:val="008B3F72"/>
    <w:rsid w:val="008B400E"/>
    <w:rsid w:val="008B40E7"/>
    <w:rsid w:val="008B40EF"/>
    <w:rsid w:val="008B417E"/>
    <w:rsid w:val="008B4202"/>
    <w:rsid w:val="008B427B"/>
    <w:rsid w:val="008B43C8"/>
    <w:rsid w:val="008B43CC"/>
    <w:rsid w:val="008B4490"/>
    <w:rsid w:val="008B44CD"/>
    <w:rsid w:val="008B44ED"/>
    <w:rsid w:val="008B456E"/>
    <w:rsid w:val="008B46E3"/>
    <w:rsid w:val="008B477F"/>
    <w:rsid w:val="008B4804"/>
    <w:rsid w:val="008B4872"/>
    <w:rsid w:val="008B49BA"/>
    <w:rsid w:val="008B49C7"/>
    <w:rsid w:val="008B4A22"/>
    <w:rsid w:val="008B4A39"/>
    <w:rsid w:val="008B4B36"/>
    <w:rsid w:val="008B4CAE"/>
    <w:rsid w:val="008B4D76"/>
    <w:rsid w:val="008B4D7D"/>
    <w:rsid w:val="008B4D85"/>
    <w:rsid w:val="008B4EC1"/>
    <w:rsid w:val="008B4ED1"/>
    <w:rsid w:val="008B4F75"/>
    <w:rsid w:val="008B4F86"/>
    <w:rsid w:val="008B4F92"/>
    <w:rsid w:val="008B4FC3"/>
    <w:rsid w:val="008B50EF"/>
    <w:rsid w:val="008B5140"/>
    <w:rsid w:val="008B522C"/>
    <w:rsid w:val="008B523A"/>
    <w:rsid w:val="008B533F"/>
    <w:rsid w:val="008B5357"/>
    <w:rsid w:val="008B538D"/>
    <w:rsid w:val="008B53C1"/>
    <w:rsid w:val="008B5408"/>
    <w:rsid w:val="008B550D"/>
    <w:rsid w:val="008B576E"/>
    <w:rsid w:val="008B576F"/>
    <w:rsid w:val="008B5939"/>
    <w:rsid w:val="008B5A25"/>
    <w:rsid w:val="008B5B28"/>
    <w:rsid w:val="008B5B4D"/>
    <w:rsid w:val="008B5BEF"/>
    <w:rsid w:val="008B5D95"/>
    <w:rsid w:val="008B5DE9"/>
    <w:rsid w:val="008B5FF4"/>
    <w:rsid w:val="008B6155"/>
    <w:rsid w:val="008B624C"/>
    <w:rsid w:val="008B6313"/>
    <w:rsid w:val="008B64D5"/>
    <w:rsid w:val="008B657A"/>
    <w:rsid w:val="008B6660"/>
    <w:rsid w:val="008B6777"/>
    <w:rsid w:val="008B6787"/>
    <w:rsid w:val="008B67E8"/>
    <w:rsid w:val="008B6814"/>
    <w:rsid w:val="008B68A9"/>
    <w:rsid w:val="008B68F4"/>
    <w:rsid w:val="008B6905"/>
    <w:rsid w:val="008B697B"/>
    <w:rsid w:val="008B6B30"/>
    <w:rsid w:val="008B6C4E"/>
    <w:rsid w:val="008B6C8F"/>
    <w:rsid w:val="008B6CCB"/>
    <w:rsid w:val="008B6DA7"/>
    <w:rsid w:val="008B6E79"/>
    <w:rsid w:val="008B6EFD"/>
    <w:rsid w:val="008B6F03"/>
    <w:rsid w:val="008B6F22"/>
    <w:rsid w:val="008B6F7F"/>
    <w:rsid w:val="008B70B4"/>
    <w:rsid w:val="008B70BB"/>
    <w:rsid w:val="008B7304"/>
    <w:rsid w:val="008B7372"/>
    <w:rsid w:val="008B741A"/>
    <w:rsid w:val="008B74C4"/>
    <w:rsid w:val="008B74DC"/>
    <w:rsid w:val="008B794D"/>
    <w:rsid w:val="008B7A1D"/>
    <w:rsid w:val="008B7A43"/>
    <w:rsid w:val="008B7E43"/>
    <w:rsid w:val="008B7F1F"/>
    <w:rsid w:val="008B7F3E"/>
    <w:rsid w:val="008C020B"/>
    <w:rsid w:val="008C0224"/>
    <w:rsid w:val="008C0380"/>
    <w:rsid w:val="008C0484"/>
    <w:rsid w:val="008C0594"/>
    <w:rsid w:val="008C05AD"/>
    <w:rsid w:val="008C06C8"/>
    <w:rsid w:val="008C088A"/>
    <w:rsid w:val="008C08B5"/>
    <w:rsid w:val="008C08BE"/>
    <w:rsid w:val="008C0948"/>
    <w:rsid w:val="008C0A28"/>
    <w:rsid w:val="008C0A9F"/>
    <w:rsid w:val="008C0CF3"/>
    <w:rsid w:val="008C0DDF"/>
    <w:rsid w:val="008C0E7D"/>
    <w:rsid w:val="008C0EB9"/>
    <w:rsid w:val="008C0FB7"/>
    <w:rsid w:val="008C1111"/>
    <w:rsid w:val="008C1258"/>
    <w:rsid w:val="008C12B6"/>
    <w:rsid w:val="008C12D9"/>
    <w:rsid w:val="008C142E"/>
    <w:rsid w:val="008C144B"/>
    <w:rsid w:val="008C159A"/>
    <w:rsid w:val="008C1A4F"/>
    <w:rsid w:val="008C1B10"/>
    <w:rsid w:val="008C1BDB"/>
    <w:rsid w:val="008C1C8A"/>
    <w:rsid w:val="008C1DBB"/>
    <w:rsid w:val="008C1DF4"/>
    <w:rsid w:val="008C1E00"/>
    <w:rsid w:val="008C1EC6"/>
    <w:rsid w:val="008C207E"/>
    <w:rsid w:val="008C210F"/>
    <w:rsid w:val="008C21AD"/>
    <w:rsid w:val="008C22C1"/>
    <w:rsid w:val="008C230A"/>
    <w:rsid w:val="008C2353"/>
    <w:rsid w:val="008C23AA"/>
    <w:rsid w:val="008C2421"/>
    <w:rsid w:val="008C24CB"/>
    <w:rsid w:val="008C2561"/>
    <w:rsid w:val="008C277D"/>
    <w:rsid w:val="008C2848"/>
    <w:rsid w:val="008C2BE7"/>
    <w:rsid w:val="008C2C2A"/>
    <w:rsid w:val="008C2C62"/>
    <w:rsid w:val="008C2E21"/>
    <w:rsid w:val="008C2E6F"/>
    <w:rsid w:val="008C2F00"/>
    <w:rsid w:val="008C2F45"/>
    <w:rsid w:val="008C2FAB"/>
    <w:rsid w:val="008C2FBB"/>
    <w:rsid w:val="008C2FEE"/>
    <w:rsid w:val="008C3043"/>
    <w:rsid w:val="008C31D2"/>
    <w:rsid w:val="008C3263"/>
    <w:rsid w:val="008C336F"/>
    <w:rsid w:val="008C34CF"/>
    <w:rsid w:val="008C362D"/>
    <w:rsid w:val="008C3654"/>
    <w:rsid w:val="008C3711"/>
    <w:rsid w:val="008C3850"/>
    <w:rsid w:val="008C38D7"/>
    <w:rsid w:val="008C3B85"/>
    <w:rsid w:val="008C3B99"/>
    <w:rsid w:val="008C3BCF"/>
    <w:rsid w:val="008C3CCE"/>
    <w:rsid w:val="008C3E3C"/>
    <w:rsid w:val="008C3E5A"/>
    <w:rsid w:val="008C4041"/>
    <w:rsid w:val="008C4055"/>
    <w:rsid w:val="008C407A"/>
    <w:rsid w:val="008C40EA"/>
    <w:rsid w:val="008C41DC"/>
    <w:rsid w:val="008C4428"/>
    <w:rsid w:val="008C4529"/>
    <w:rsid w:val="008C4A39"/>
    <w:rsid w:val="008C4A7B"/>
    <w:rsid w:val="008C4AD6"/>
    <w:rsid w:val="008C4BF3"/>
    <w:rsid w:val="008C4C35"/>
    <w:rsid w:val="008C4C55"/>
    <w:rsid w:val="008C4D35"/>
    <w:rsid w:val="008C4D8F"/>
    <w:rsid w:val="008C4DF6"/>
    <w:rsid w:val="008C4F09"/>
    <w:rsid w:val="008C4F45"/>
    <w:rsid w:val="008C4FCA"/>
    <w:rsid w:val="008C504F"/>
    <w:rsid w:val="008C50AD"/>
    <w:rsid w:val="008C517C"/>
    <w:rsid w:val="008C51D1"/>
    <w:rsid w:val="008C51E9"/>
    <w:rsid w:val="008C5231"/>
    <w:rsid w:val="008C5252"/>
    <w:rsid w:val="008C53CC"/>
    <w:rsid w:val="008C53DB"/>
    <w:rsid w:val="008C5600"/>
    <w:rsid w:val="008C572A"/>
    <w:rsid w:val="008C5742"/>
    <w:rsid w:val="008C5AA0"/>
    <w:rsid w:val="008C5AA6"/>
    <w:rsid w:val="008C5AE9"/>
    <w:rsid w:val="008C5F7D"/>
    <w:rsid w:val="008C5FEE"/>
    <w:rsid w:val="008C60EE"/>
    <w:rsid w:val="008C62D0"/>
    <w:rsid w:val="008C6429"/>
    <w:rsid w:val="008C67AD"/>
    <w:rsid w:val="008C67DC"/>
    <w:rsid w:val="008C688A"/>
    <w:rsid w:val="008C689D"/>
    <w:rsid w:val="008C6A00"/>
    <w:rsid w:val="008C6A6D"/>
    <w:rsid w:val="008C6AFE"/>
    <w:rsid w:val="008C6B0E"/>
    <w:rsid w:val="008C6B47"/>
    <w:rsid w:val="008C6E7D"/>
    <w:rsid w:val="008C6F35"/>
    <w:rsid w:val="008C6F60"/>
    <w:rsid w:val="008C6FC1"/>
    <w:rsid w:val="008C70D8"/>
    <w:rsid w:val="008C70E7"/>
    <w:rsid w:val="008C711C"/>
    <w:rsid w:val="008C71E1"/>
    <w:rsid w:val="008C7216"/>
    <w:rsid w:val="008C7301"/>
    <w:rsid w:val="008C73E6"/>
    <w:rsid w:val="008C75ED"/>
    <w:rsid w:val="008C7696"/>
    <w:rsid w:val="008C76CB"/>
    <w:rsid w:val="008C770E"/>
    <w:rsid w:val="008C7A64"/>
    <w:rsid w:val="008C7AC7"/>
    <w:rsid w:val="008C7ACF"/>
    <w:rsid w:val="008C7D3B"/>
    <w:rsid w:val="008C7DBA"/>
    <w:rsid w:val="008C7DC3"/>
    <w:rsid w:val="008C7E4E"/>
    <w:rsid w:val="008C7E74"/>
    <w:rsid w:val="008C7F94"/>
    <w:rsid w:val="008D0079"/>
    <w:rsid w:val="008D00C8"/>
    <w:rsid w:val="008D00E0"/>
    <w:rsid w:val="008D00F0"/>
    <w:rsid w:val="008D0120"/>
    <w:rsid w:val="008D02F5"/>
    <w:rsid w:val="008D0336"/>
    <w:rsid w:val="008D0375"/>
    <w:rsid w:val="008D03D0"/>
    <w:rsid w:val="008D046D"/>
    <w:rsid w:val="008D04ED"/>
    <w:rsid w:val="008D05DA"/>
    <w:rsid w:val="008D0662"/>
    <w:rsid w:val="008D0688"/>
    <w:rsid w:val="008D06BE"/>
    <w:rsid w:val="008D08CB"/>
    <w:rsid w:val="008D0971"/>
    <w:rsid w:val="008D0A90"/>
    <w:rsid w:val="008D0D58"/>
    <w:rsid w:val="008D0F8C"/>
    <w:rsid w:val="008D0FDC"/>
    <w:rsid w:val="008D1006"/>
    <w:rsid w:val="008D1014"/>
    <w:rsid w:val="008D139C"/>
    <w:rsid w:val="008D159F"/>
    <w:rsid w:val="008D1794"/>
    <w:rsid w:val="008D1A62"/>
    <w:rsid w:val="008D1BB9"/>
    <w:rsid w:val="008D1C28"/>
    <w:rsid w:val="008D1C67"/>
    <w:rsid w:val="008D1D1D"/>
    <w:rsid w:val="008D1DF3"/>
    <w:rsid w:val="008D1DFE"/>
    <w:rsid w:val="008D1FB9"/>
    <w:rsid w:val="008D2164"/>
    <w:rsid w:val="008D22D1"/>
    <w:rsid w:val="008D23CD"/>
    <w:rsid w:val="008D250A"/>
    <w:rsid w:val="008D26DA"/>
    <w:rsid w:val="008D26EF"/>
    <w:rsid w:val="008D26F7"/>
    <w:rsid w:val="008D274B"/>
    <w:rsid w:val="008D2916"/>
    <w:rsid w:val="008D2A78"/>
    <w:rsid w:val="008D2C5E"/>
    <w:rsid w:val="008D2D78"/>
    <w:rsid w:val="008D2DA7"/>
    <w:rsid w:val="008D2DD5"/>
    <w:rsid w:val="008D2DDF"/>
    <w:rsid w:val="008D2E22"/>
    <w:rsid w:val="008D2EF5"/>
    <w:rsid w:val="008D2F64"/>
    <w:rsid w:val="008D2FC7"/>
    <w:rsid w:val="008D2FF1"/>
    <w:rsid w:val="008D3043"/>
    <w:rsid w:val="008D307B"/>
    <w:rsid w:val="008D30FC"/>
    <w:rsid w:val="008D312E"/>
    <w:rsid w:val="008D3137"/>
    <w:rsid w:val="008D336A"/>
    <w:rsid w:val="008D3427"/>
    <w:rsid w:val="008D34E3"/>
    <w:rsid w:val="008D3539"/>
    <w:rsid w:val="008D3553"/>
    <w:rsid w:val="008D3D02"/>
    <w:rsid w:val="008D3D61"/>
    <w:rsid w:val="008D3E42"/>
    <w:rsid w:val="008D3E62"/>
    <w:rsid w:val="008D3EB4"/>
    <w:rsid w:val="008D4222"/>
    <w:rsid w:val="008D427F"/>
    <w:rsid w:val="008D428C"/>
    <w:rsid w:val="008D4385"/>
    <w:rsid w:val="008D4506"/>
    <w:rsid w:val="008D4553"/>
    <w:rsid w:val="008D4677"/>
    <w:rsid w:val="008D477E"/>
    <w:rsid w:val="008D478E"/>
    <w:rsid w:val="008D4805"/>
    <w:rsid w:val="008D484D"/>
    <w:rsid w:val="008D49B4"/>
    <w:rsid w:val="008D4AC0"/>
    <w:rsid w:val="008D4ACE"/>
    <w:rsid w:val="008D4AD3"/>
    <w:rsid w:val="008D4B2F"/>
    <w:rsid w:val="008D4B43"/>
    <w:rsid w:val="008D4C6F"/>
    <w:rsid w:val="008D4CDB"/>
    <w:rsid w:val="008D4CEB"/>
    <w:rsid w:val="008D4DD0"/>
    <w:rsid w:val="008D4DE0"/>
    <w:rsid w:val="008D4EFA"/>
    <w:rsid w:val="008D5007"/>
    <w:rsid w:val="008D5016"/>
    <w:rsid w:val="008D527F"/>
    <w:rsid w:val="008D5331"/>
    <w:rsid w:val="008D536D"/>
    <w:rsid w:val="008D545F"/>
    <w:rsid w:val="008D5487"/>
    <w:rsid w:val="008D570A"/>
    <w:rsid w:val="008D5719"/>
    <w:rsid w:val="008D5730"/>
    <w:rsid w:val="008D5738"/>
    <w:rsid w:val="008D57C3"/>
    <w:rsid w:val="008D582D"/>
    <w:rsid w:val="008D5905"/>
    <w:rsid w:val="008D5914"/>
    <w:rsid w:val="008D5964"/>
    <w:rsid w:val="008D5BDD"/>
    <w:rsid w:val="008D5C23"/>
    <w:rsid w:val="008D5C5A"/>
    <w:rsid w:val="008D5E55"/>
    <w:rsid w:val="008D5ED2"/>
    <w:rsid w:val="008D5F4D"/>
    <w:rsid w:val="008D5F6D"/>
    <w:rsid w:val="008D6059"/>
    <w:rsid w:val="008D6161"/>
    <w:rsid w:val="008D61E7"/>
    <w:rsid w:val="008D62E0"/>
    <w:rsid w:val="008D6310"/>
    <w:rsid w:val="008D666C"/>
    <w:rsid w:val="008D6763"/>
    <w:rsid w:val="008D6866"/>
    <w:rsid w:val="008D68D2"/>
    <w:rsid w:val="008D6A2D"/>
    <w:rsid w:val="008D6A62"/>
    <w:rsid w:val="008D6BF9"/>
    <w:rsid w:val="008D6C93"/>
    <w:rsid w:val="008D6CFE"/>
    <w:rsid w:val="008D6D50"/>
    <w:rsid w:val="008D6D8E"/>
    <w:rsid w:val="008D6DCE"/>
    <w:rsid w:val="008D7112"/>
    <w:rsid w:val="008D71D1"/>
    <w:rsid w:val="008D71D5"/>
    <w:rsid w:val="008D71E0"/>
    <w:rsid w:val="008D728F"/>
    <w:rsid w:val="008D72DF"/>
    <w:rsid w:val="008D77C1"/>
    <w:rsid w:val="008D7856"/>
    <w:rsid w:val="008D7966"/>
    <w:rsid w:val="008D7DC1"/>
    <w:rsid w:val="008E0063"/>
    <w:rsid w:val="008E03CF"/>
    <w:rsid w:val="008E0432"/>
    <w:rsid w:val="008E071C"/>
    <w:rsid w:val="008E0720"/>
    <w:rsid w:val="008E0745"/>
    <w:rsid w:val="008E085E"/>
    <w:rsid w:val="008E0891"/>
    <w:rsid w:val="008E092A"/>
    <w:rsid w:val="008E0A99"/>
    <w:rsid w:val="008E0B7B"/>
    <w:rsid w:val="008E0B91"/>
    <w:rsid w:val="008E0BDB"/>
    <w:rsid w:val="008E0C36"/>
    <w:rsid w:val="008E0D7E"/>
    <w:rsid w:val="008E0D8C"/>
    <w:rsid w:val="008E0D91"/>
    <w:rsid w:val="008E0DE1"/>
    <w:rsid w:val="008E0DFF"/>
    <w:rsid w:val="008E0EB2"/>
    <w:rsid w:val="008E0FA3"/>
    <w:rsid w:val="008E1027"/>
    <w:rsid w:val="008E1041"/>
    <w:rsid w:val="008E108E"/>
    <w:rsid w:val="008E1186"/>
    <w:rsid w:val="008E12F9"/>
    <w:rsid w:val="008E1374"/>
    <w:rsid w:val="008E1996"/>
    <w:rsid w:val="008E1A30"/>
    <w:rsid w:val="008E1ACE"/>
    <w:rsid w:val="008E1BCA"/>
    <w:rsid w:val="008E1C3E"/>
    <w:rsid w:val="008E1EAF"/>
    <w:rsid w:val="008E1F24"/>
    <w:rsid w:val="008E21A0"/>
    <w:rsid w:val="008E220E"/>
    <w:rsid w:val="008E2244"/>
    <w:rsid w:val="008E22C0"/>
    <w:rsid w:val="008E2304"/>
    <w:rsid w:val="008E23E8"/>
    <w:rsid w:val="008E2422"/>
    <w:rsid w:val="008E2441"/>
    <w:rsid w:val="008E2460"/>
    <w:rsid w:val="008E24C4"/>
    <w:rsid w:val="008E24D6"/>
    <w:rsid w:val="008E26C1"/>
    <w:rsid w:val="008E2748"/>
    <w:rsid w:val="008E27B9"/>
    <w:rsid w:val="008E285B"/>
    <w:rsid w:val="008E288C"/>
    <w:rsid w:val="008E2990"/>
    <w:rsid w:val="008E2A1C"/>
    <w:rsid w:val="008E2A2B"/>
    <w:rsid w:val="008E2C75"/>
    <w:rsid w:val="008E2D13"/>
    <w:rsid w:val="008E2E18"/>
    <w:rsid w:val="008E2E22"/>
    <w:rsid w:val="008E2F22"/>
    <w:rsid w:val="008E30A5"/>
    <w:rsid w:val="008E3182"/>
    <w:rsid w:val="008E31D0"/>
    <w:rsid w:val="008E3441"/>
    <w:rsid w:val="008E34B0"/>
    <w:rsid w:val="008E34F7"/>
    <w:rsid w:val="008E354D"/>
    <w:rsid w:val="008E3569"/>
    <w:rsid w:val="008E35FE"/>
    <w:rsid w:val="008E3657"/>
    <w:rsid w:val="008E3686"/>
    <w:rsid w:val="008E3758"/>
    <w:rsid w:val="008E3832"/>
    <w:rsid w:val="008E38CF"/>
    <w:rsid w:val="008E3960"/>
    <w:rsid w:val="008E398B"/>
    <w:rsid w:val="008E3B66"/>
    <w:rsid w:val="008E3B6B"/>
    <w:rsid w:val="008E3B87"/>
    <w:rsid w:val="008E3BC6"/>
    <w:rsid w:val="008E3CA3"/>
    <w:rsid w:val="008E3DAF"/>
    <w:rsid w:val="008E3F8C"/>
    <w:rsid w:val="008E40E2"/>
    <w:rsid w:val="008E40F7"/>
    <w:rsid w:val="008E4140"/>
    <w:rsid w:val="008E414A"/>
    <w:rsid w:val="008E41A9"/>
    <w:rsid w:val="008E4236"/>
    <w:rsid w:val="008E4269"/>
    <w:rsid w:val="008E4305"/>
    <w:rsid w:val="008E4457"/>
    <w:rsid w:val="008E44A2"/>
    <w:rsid w:val="008E44D6"/>
    <w:rsid w:val="008E44E6"/>
    <w:rsid w:val="008E45CB"/>
    <w:rsid w:val="008E461A"/>
    <w:rsid w:val="008E4671"/>
    <w:rsid w:val="008E4676"/>
    <w:rsid w:val="008E4684"/>
    <w:rsid w:val="008E479B"/>
    <w:rsid w:val="008E47D9"/>
    <w:rsid w:val="008E49DE"/>
    <w:rsid w:val="008E4C2F"/>
    <w:rsid w:val="008E4C94"/>
    <w:rsid w:val="008E4CC1"/>
    <w:rsid w:val="008E4CE5"/>
    <w:rsid w:val="008E4D18"/>
    <w:rsid w:val="008E4E5F"/>
    <w:rsid w:val="008E4E95"/>
    <w:rsid w:val="008E50D5"/>
    <w:rsid w:val="008E50DF"/>
    <w:rsid w:val="008E527B"/>
    <w:rsid w:val="008E5296"/>
    <w:rsid w:val="008E5377"/>
    <w:rsid w:val="008E53B4"/>
    <w:rsid w:val="008E5483"/>
    <w:rsid w:val="008E5628"/>
    <w:rsid w:val="008E5658"/>
    <w:rsid w:val="008E5849"/>
    <w:rsid w:val="008E58A6"/>
    <w:rsid w:val="008E59A1"/>
    <w:rsid w:val="008E5B9B"/>
    <w:rsid w:val="008E5CA0"/>
    <w:rsid w:val="008E5CD1"/>
    <w:rsid w:val="008E5EF6"/>
    <w:rsid w:val="008E6090"/>
    <w:rsid w:val="008E613D"/>
    <w:rsid w:val="008E6272"/>
    <w:rsid w:val="008E640B"/>
    <w:rsid w:val="008E646A"/>
    <w:rsid w:val="008E6552"/>
    <w:rsid w:val="008E6576"/>
    <w:rsid w:val="008E686B"/>
    <w:rsid w:val="008E6A3E"/>
    <w:rsid w:val="008E6BC1"/>
    <w:rsid w:val="008E6C9A"/>
    <w:rsid w:val="008E6E2A"/>
    <w:rsid w:val="008E6FA0"/>
    <w:rsid w:val="008E6FD1"/>
    <w:rsid w:val="008E6FEA"/>
    <w:rsid w:val="008E7030"/>
    <w:rsid w:val="008E70D4"/>
    <w:rsid w:val="008E73DC"/>
    <w:rsid w:val="008E7403"/>
    <w:rsid w:val="008E74E6"/>
    <w:rsid w:val="008E7586"/>
    <w:rsid w:val="008E75EC"/>
    <w:rsid w:val="008E7650"/>
    <w:rsid w:val="008E7766"/>
    <w:rsid w:val="008E7768"/>
    <w:rsid w:val="008E789E"/>
    <w:rsid w:val="008E791C"/>
    <w:rsid w:val="008E79DD"/>
    <w:rsid w:val="008E7ADE"/>
    <w:rsid w:val="008E7B43"/>
    <w:rsid w:val="008E7BC0"/>
    <w:rsid w:val="008E7D07"/>
    <w:rsid w:val="008E7D27"/>
    <w:rsid w:val="008F001E"/>
    <w:rsid w:val="008F0030"/>
    <w:rsid w:val="008F0041"/>
    <w:rsid w:val="008F0087"/>
    <w:rsid w:val="008F0091"/>
    <w:rsid w:val="008F00D9"/>
    <w:rsid w:val="008F011E"/>
    <w:rsid w:val="008F029A"/>
    <w:rsid w:val="008F02CD"/>
    <w:rsid w:val="008F02DC"/>
    <w:rsid w:val="008F046E"/>
    <w:rsid w:val="008F05A1"/>
    <w:rsid w:val="008F0613"/>
    <w:rsid w:val="008F0651"/>
    <w:rsid w:val="008F06D6"/>
    <w:rsid w:val="008F0762"/>
    <w:rsid w:val="008F0944"/>
    <w:rsid w:val="008F09AD"/>
    <w:rsid w:val="008F0BFA"/>
    <w:rsid w:val="008F0C1B"/>
    <w:rsid w:val="008F0F20"/>
    <w:rsid w:val="008F0FFA"/>
    <w:rsid w:val="008F1268"/>
    <w:rsid w:val="008F1323"/>
    <w:rsid w:val="008F133A"/>
    <w:rsid w:val="008F134F"/>
    <w:rsid w:val="008F140F"/>
    <w:rsid w:val="008F15DC"/>
    <w:rsid w:val="008F16B1"/>
    <w:rsid w:val="008F1785"/>
    <w:rsid w:val="008F17BF"/>
    <w:rsid w:val="008F1A8B"/>
    <w:rsid w:val="008F1C96"/>
    <w:rsid w:val="008F1CD8"/>
    <w:rsid w:val="008F1D50"/>
    <w:rsid w:val="008F1D5B"/>
    <w:rsid w:val="008F1F7A"/>
    <w:rsid w:val="008F1FA6"/>
    <w:rsid w:val="008F2231"/>
    <w:rsid w:val="008F22DE"/>
    <w:rsid w:val="008F2497"/>
    <w:rsid w:val="008F249F"/>
    <w:rsid w:val="008F24CD"/>
    <w:rsid w:val="008F262D"/>
    <w:rsid w:val="008F26C8"/>
    <w:rsid w:val="008F2701"/>
    <w:rsid w:val="008F2725"/>
    <w:rsid w:val="008F2795"/>
    <w:rsid w:val="008F27AC"/>
    <w:rsid w:val="008F294D"/>
    <w:rsid w:val="008F294F"/>
    <w:rsid w:val="008F2B05"/>
    <w:rsid w:val="008F2B1E"/>
    <w:rsid w:val="008F2C94"/>
    <w:rsid w:val="008F2F04"/>
    <w:rsid w:val="008F3032"/>
    <w:rsid w:val="008F30FE"/>
    <w:rsid w:val="008F3210"/>
    <w:rsid w:val="008F33D4"/>
    <w:rsid w:val="008F344A"/>
    <w:rsid w:val="008F3A40"/>
    <w:rsid w:val="008F3B05"/>
    <w:rsid w:val="008F3B4A"/>
    <w:rsid w:val="008F3B98"/>
    <w:rsid w:val="008F3BB1"/>
    <w:rsid w:val="008F3BB4"/>
    <w:rsid w:val="008F3BF7"/>
    <w:rsid w:val="008F3C4E"/>
    <w:rsid w:val="008F3C6E"/>
    <w:rsid w:val="008F3D42"/>
    <w:rsid w:val="008F3D9B"/>
    <w:rsid w:val="008F3DA6"/>
    <w:rsid w:val="008F3E0D"/>
    <w:rsid w:val="008F3F2B"/>
    <w:rsid w:val="008F3F80"/>
    <w:rsid w:val="008F4027"/>
    <w:rsid w:val="008F404E"/>
    <w:rsid w:val="008F406F"/>
    <w:rsid w:val="008F40A7"/>
    <w:rsid w:val="008F4317"/>
    <w:rsid w:val="008F43FE"/>
    <w:rsid w:val="008F445B"/>
    <w:rsid w:val="008F452D"/>
    <w:rsid w:val="008F4544"/>
    <w:rsid w:val="008F4694"/>
    <w:rsid w:val="008F46A5"/>
    <w:rsid w:val="008F4700"/>
    <w:rsid w:val="008F475C"/>
    <w:rsid w:val="008F47A2"/>
    <w:rsid w:val="008F4918"/>
    <w:rsid w:val="008F4967"/>
    <w:rsid w:val="008F4A19"/>
    <w:rsid w:val="008F4BF0"/>
    <w:rsid w:val="008F4C86"/>
    <w:rsid w:val="008F4DD8"/>
    <w:rsid w:val="008F4DFA"/>
    <w:rsid w:val="008F4E08"/>
    <w:rsid w:val="008F4E3E"/>
    <w:rsid w:val="008F4EE4"/>
    <w:rsid w:val="008F4FC8"/>
    <w:rsid w:val="008F5050"/>
    <w:rsid w:val="008F515C"/>
    <w:rsid w:val="008F517C"/>
    <w:rsid w:val="008F51D7"/>
    <w:rsid w:val="008F5268"/>
    <w:rsid w:val="008F531A"/>
    <w:rsid w:val="008F531D"/>
    <w:rsid w:val="008F5351"/>
    <w:rsid w:val="008F536D"/>
    <w:rsid w:val="008F5393"/>
    <w:rsid w:val="008F53CF"/>
    <w:rsid w:val="008F547B"/>
    <w:rsid w:val="008F54DC"/>
    <w:rsid w:val="008F5517"/>
    <w:rsid w:val="008F551C"/>
    <w:rsid w:val="008F5530"/>
    <w:rsid w:val="008F5552"/>
    <w:rsid w:val="008F5657"/>
    <w:rsid w:val="008F568E"/>
    <w:rsid w:val="008F5693"/>
    <w:rsid w:val="008F569B"/>
    <w:rsid w:val="008F573F"/>
    <w:rsid w:val="008F5794"/>
    <w:rsid w:val="008F58AB"/>
    <w:rsid w:val="008F5C51"/>
    <w:rsid w:val="008F5D89"/>
    <w:rsid w:val="008F5EFE"/>
    <w:rsid w:val="008F5FBE"/>
    <w:rsid w:val="008F6031"/>
    <w:rsid w:val="008F6084"/>
    <w:rsid w:val="008F62ED"/>
    <w:rsid w:val="008F6321"/>
    <w:rsid w:val="008F63DD"/>
    <w:rsid w:val="008F640D"/>
    <w:rsid w:val="008F6457"/>
    <w:rsid w:val="008F645E"/>
    <w:rsid w:val="008F64E9"/>
    <w:rsid w:val="008F652D"/>
    <w:rsid w:val="008F65D3"/>
    <w:rsid w:val="008F66DA"/>
    <w:rsid w:val="008F6702"/>
    <w:rsid w:val="008F67F8"/>
    <w:rsid w:val="008F6841"/>
    <w:rsid w:val="008F69A8"/>
    <w:rsid w:val="008F69C7"/>
    <w:rsid w:val="008F6A2A"/>
    <w:rsid w:val="008F6ADA"/>
    <w:rsid w:val="008F6B22"/>
    <w:rsid w:val="008F6C1C"/>
    <w:rsid w:val="008F6C8D"/>
    <w:rsid w:val="008F6D49"/>
    <w:rsid w:val="008F70DD"/>
    <w:rsid w:val="008F70ED"/>
    <w:rsid w:val="008F710A"/>
    <w:rsid w:val="008F724C"/>
    <w:rsid w:val="008F7259"/>
    <w:rsid w:val="008F73BC"/>
    <w:rsid w:val="008F740B"/>
    <w:rsid w:val="008F7429"/>
    <w:rsid w:val="008F7436"/>
    <w:rsid w:val="008F7538"/>
    <w:rsid w:val="008F769C"/>
    <w:rsid w:val="008F778A"/>
    <w:rsid w:val="008F7807"/>
    <w:rsid w:val="008F785D"/>
    <w:rsid w:val="008F7928"/>
    <w:rsid w:val="008F7F18"/>
    <w:rsid w:val="008F7FAE"/>
    <w:rsid w:val="0090002E"/>
    <w:rsid w:val="009000CD"/>
    <w:rsid w:val="00900122"/>
    <w:rsid w:val="00900158"/>
    <w:rsid w:val="00900257"/>
    <w:rsid w:val="009002B0"/>
    <w:rsid w:val="00900583"/>
    <w:rsid w:val="00900720"/>
    <w:rsid w:val="00900799"/>
    <w:rsid w:val="00900836"/>
    <w:rsid w:val="00900A17"/>
    <w:rsid w:val="00900B39"/>
    <w:rsid w:val="00900B87"/>
    <w:rsid w:val="00900CCC"/>
    <w:rsid w:val="00900D84"/>
    <w:rsid w:val="00900E82"/>
    <w:rsid w:val="00900FC5"/>
    <w:rsid w:val="009010A3"/>
    <w:rsid w:val="009012EF"/>
    <w:rsid w:val="0090130B"/>
    <w:rsid w:val="009013C3"/>
    <w:rsid w:val="009015FA"/>
    <w:rsid w:val="00901680"/>
    <w:rsid w:val="0090171F"/>
    <w:rsid w:val="0090176C"/>
    <w:rsid w:val="009017FA"/>
    <w:rsid w:val="0090192A"/>
    <w:rsid w:val="00901969"/>
    <w:rsid w:val="009019DC"/>
    <w:rsid w:val="00901A3B"/>
    <w:rsid w:val="00901AE0"/>
    <w:rsid w:val="00901B86"/>
    <w:rsid w:val="00901BD1"/>
    <w:rsid w:val="00901C1B"/>
    <w:rsid w:val="00901E11"/>
    <w:rsid w:val="00901EA9"/>
    <w:rsid w:val="00902214"/>
    <w:rsid w:val="00902261"/>
    <w:rsid w:val="009023B5"/>
    <w:rsid w:val="00902617"/>
    <w:rsid w:val="00902660"/>
    <w:rsid w:val="009026F4"/>
    <w:rsid w:val="009028A9"/>
    <w:rsid w:val="00902B58"/>
    <w:rsid w:val="00902C14"/>
    <w:rsid w:val="00902F2D"/>
    <w:rsid w:val="009030B5"/>
    <w:rsid w:val="00903197"/>
    <w:rsid w:val="0090346D"/>
    <w:rsid w:val="009034F5"/>
    <w:rsid w:val="009035AD"/>
    <w:rsid w:val="009036A1"/>
    <w:rsid w:val="00903844"/>
    <w:rsid w:val="009038DD"/>
    <w:rsid w:val="00903A3F"/>
    <w:rsid w:val="00903BB9"/>
    <w:rsid w:val="00903CA2"/>
    <w:rsid w:val="00903CE9"/>
    <w:rsid w:val="00903E57"/>
    <w:rsid w:val="00903FB4"/>
    <w:rsid w:val="009040FC"/>
    <w:rsid w:val="009041C8"/>
    <w:rsid w:val="00904280"/>
    <w:rsid w:val="009042F1"/>
    <w:rsid w:val="009043AA"/>
    <w:rsid w:val="009043B2"/>
    <w:rsid w:val="009045A3"/>
    <w:rsid w:val="00904658"/>
    <w:rsid w:val="009046B8"/>
    <w:rsid w:val="0090483B"/>
    <w:rsid w:val="009048F0"/>
    <w:rsid w:val="009049AF"/>
    <w:rsid w:val="00904A17"/>
    <w:rsid w:val="00904AAF"/>
    <w:rsid w:val="00904B92"/>
    <w:rsid w:val="00904C2B"/>
    <w:rsid w:val="00905016"/>
    <w:rsid w:val="00905020"/>
    <w:rsid w:val="00905179"/>
    <w:rsid w:val="009051BD"/>
    <w:rsid w:val="00905266"/>
    <w:rsid w:val="00905291"/>
    <w:rsid w:val="0090557D"/>
    <w:rsid w:val="00905596"/>
    <w:rsid w:val="009055DF"/>
    <w:rsid w:val="00905624"/>
    <w:rsid w:val="0090574A"/>
    <w:rsid w:val="00905904"/>
    <w:rsid w:val="00905C73"/>
    <w:rsid w:val="00905DB5"/>
    <w:rsid w:val="00905DC5"/>
    <w:rsid w:val="00905E44"/>
    <w:rsid w:val="00905EC6"/>
    <w:rsid w:val="00905F6D"/>
    <w:rsid w:val="00905FF8"/>
    <w:rsid w:val="00906075"/>
    <w:rsid w:val="009060DB"/>
    <w:rsid w:val="0090610D"/>
    <w:rsid w:val="009061E7"/>
    <w:rsid w:val="0090629D"/>
    <w:rsid w:val="009063DC"/>
    <w:rsid w:val="009064E9"/>
    <w:rsid w:val="0090668B"/>
    <w:rsid w:val="009066BF"/>
    <w:rsid w:val="00906774"/>
    <w:rsid w:val="009067C3"/>
    <w:rsid w:val="00906915"/>
    <w:rsid w:val="009069E8"/>
    <w:rsid w:val="00906A7F"/>
    <w:rsid w:val="00906B4E"/>
    <w:rsid w:val="00906C1B"/>
    <w:rsid w:val="00906C83"/>
    <w:rsid w:val="00906C87"/>
    <w:rsid w:val="00906D37"/>
    <w:rsid w:val="00906E86"/>
    <w:rsid w:val="00906EBD"/>
    <w:rsid w:val="00907313"/>
    <w:rsid w:val="00907451"/>
    <w:rsid w:val="0090756C"/>
    <w:rsid w:val="00907645"/>
    <w:rsid w:val="0090784D"/>
    <w:rsid w:val="009078F8"/>
    <w:rsid w:val="009078FF"/>
    <w:rsid w:val="00907A28"/>
    <w:rsid w:val="00907BB7"/>
    <w:rsid w:val="00907C5D"/>
    <w:rsid w:val="00907CD6"/>
    <w:rsid w:val="00907CEC"/>
    <w:rsid w:val="00907E3A"/>
    <w:rsid w:val="00907E56"/>
    <w:rsid w:val="00907FFE"/>
    <w:rsid w:val="009101B3"/>
    <w:rsid w:val="0091034A"/>
    <w:rsid w:val="0091037A"/>
    <w:rsid w:val="0091042D"/>
    <w:rsid w:val="00910634"/>
    <w:rsid w:val="00910675"/>
    <w:rsid w:val="009106DA"/>
    <w:rsid w:val="009106EC"/>
    <w:rsid w:val="0091073D"/>
    <w:rsid w:val="00910852"/>
    <w:rsid w:val="0091094E"/>
    <w:rsid w:val="009109C5"/>
    <w:rsid w:val="009109F3"/>
    <w:rsid w:val="00910A01"/>
    <w:rsid w:val="00910B96"/>
    <w:rsid w:val="00910E82"/>
    <w:rsid w:val="00911072"/>
    <w:rsid w:val="009110BA"/>
    <w:rsid w:val="009111C9"/>
    <w:rsid w:val="009111ED"/>
    <w:rsid w:val="00911307"/>
    <w:rsid w:val="00911372"/>
    <w:rsid w:val="009116A6"/>
    <w:rsid w:val="009116F6"/>
    <w:rsid w:val="009117F8"/>
    <w:rsid w:val="00911947"/>
    <w:rsid w:val="00911A24"/>
    <w:rsid w:val="00911AB3"/>
    <w:rsid w:val="00911AFB"/>
    <w:rsid w:val="00911BF9"/>
    <w:rsid w:val="00911DFE"/>
    <w:rsid w:val="00911FD3"/>
    <w:rsid w:val="00911FF2"/>
    <w:rsid w:val="00912075"/>
    <w:rsid w:val="009121E7"/>
    <w:rsid w:val="00912244"/>
    <w:rsid w:val="0091239A"/>
    <w:rsid w:val="00912426"/>
    <w:rsid w:val="00912548"/>
    <w:rsid w:val="0091271C"/>
    <w:rsid w:val="0091286A"/>
    <w:rsid w:val="00912A00"/>
    <w:rsid w:val="00912B15"/>
    <w:rsid w:val="00912B3A"/>
    <w:rsid w:val="00912BEA"/>
    <w:rsid w:val="00912C0C"/>
    <w:rsid w:val="00912C5A"/>
    <w:rsid w:val="00912E62"/>
    <w:rsid w:val="00912FC8"/>
    <w:rsid w:val="00912FCD"/>
    <w:rsid w:val="00913112"/>
    <w:rsid w:val="0091314A"/>
    <w:rsid w:val="00913171"/>
    <w:rsid w:val="00913221"/>
    <w:rsid w:val="00913235"/>
    <w:rsid w:val="0091324F"/>
    <w:rsid w:val="00913271"/>
    <w:rsid w:val="009132B2"/>
    <w:rsid w:val="009132D4"/>
    <w:rsid w:val="0091334D"/>
    <w:rsid w:val="00913606"/>
    <w:rsid w:val="009136C9"/>
    <w:rsid w:val="009137CF"/>
    <w:rsid w:val="0091394F"/>
    <w:rsid w:val="00913956"/>
    <w:rsid w:val="00913989"/>
    <w:rsid w:val="00913A50"/>
    <w:rsid w:val="00913ABF"/>
    <w:rsid w:val="00913AC1"/>
    <w:rsid w:val="00913CDB"/>
    <w:rsid w:val="00913E9F"/>
    <w:rsid w:val="00913EB7"/>
    <w:rsid w:val="009141C6"/>
    <w:rsid w:val="00914328"/>
    <w:rsid w:val="0091436A"/>
    <w:rsid w:val="0091482D"/>
    <w:rsid w:val="0091494A"/>
    <w:rsid w:val="00914AB5"/>
    <w:rsid w:val="00914B42"/>
    <w:rsid w:val="00914DCC"/>
    <w:rsid w:val="00914F97"/>
    <w:rsid w:val="00915017"/>
    <w:rsid w:val="0091504C"/>
    <w:rsid w:val="009150C7"/>
    <w:rsid w:val="009150D2"/>
    <w:rsid w:val="0091515A"/>
    <w:rsid w:val="0091523B"/>
    <w:rsid w:val="009152D3"/>
    <w:rsid w:val="009154E6"/>
    <w:rsid w:val="00915502"/>
    <w:rsid w:val="00915564"/>
    <w:rsid w:val="0091563B"/>
    <w:rsid w:val="0091569F"/>
    <w:rsid w:val="0091574C"/>
    <w:rsid w:val="00915784"/>
    <w:rsid w:val="00915819"/>
    <w:rsid w:val="009158F1"/>
    <w:rsid w:val="009159DA"/>
    <w:rsid w:val="00915A64"/>
    <w:rsid w:val="00915AFA"/>
    <w:rsid w:val="00915B01"/>
    <w:rsid w:val="00915C4B"/>
    <w:rsid w:val="00915CA2"/>
    <w:rsid w:val="00915D3F"/>
    <w:rsid w:val="00915D7B"/>
    <w:rsid w:val="00915DC0"/>
    <w:rsid w:val="00915DF9"/>
    <w:rsid w:val="00915E18"/>
    <w:rsid w:val="00915E96"/>
    <w:rsid w:val="00915EB1"/>
    <w:rsid w:val="00915FF7"/>
    <w:rsid w:val="00915FFB"/>
    <w:rsid w:val="00916021"/>
    <w:rsid w:val="00916219"/>
    <w:rsid w:val="00916378"/>
    <w:rsid w:val="00916522"/>
    <w:rsid w:val="00916600"/>
    <w:rsid w:val="00916643"/>
    <w:rsid w:val="009167A3"/>
    <w:rsid w:val="00916800"/>
    <w:rsid w:val="0091680D"/>
    <w:rsid w:val="009168C3"/>
    <w:rsid w:val="00916A2A"/>
    <w:rsid w:val="00916A4E"/>
    <w:rsid w:val="00916BB6"/>
    <w:rsid w:val="00916BE3"/>
    <w:rsid w:val="00916BEC"/>
    <w:rsid w:val="00916D2A"/>
    <w:rsid w:val="00916D3F"/>
    <w:rsid w:val="00916DB0"/>
    <w:rsid w:val="00916E05"/>
    <w:rsid w:val="00916E4F"/>
    <w:rsid w:val="00917045"/>
    <w:rsid w:val="009170F6"/>
    <w:rsid w:val="00917302"/>
    <w:rsid w:val="009173B6"/>
    <w:rsid w:val="00917461"/>
    <w:rsid w:val="0091768B"/>
    <w:rsid w:val="009178B1"/>
    <w:rsid w:val="009178EE"/>
    <w:rsid w:val="00917957"/>
    <w:rsid w:val="00917A3F"/>
    <w:rsid w:val="00917A72"/>
    <w:rsid w:val="00917A8B"/>
    <w:rsid w:val="00917BE8"/>
    <w:rsid w:val="00917C09"/>
    <w:rsid w:val="00917CBA"/>
    <w:rsid w:val="00917E54"/>
    <w:rsid w:val="00917F02"/>
    <w:rsid w:val="00917F13"/>
    <w:rsid w:val="00917F2C"/>
    <w:rsid w:val="00917FE2"/>
    <w:rsid w:val="00920030"/>
    <w:rsid w:val="00920487"/>
    <w:rsid w:val="009204B7"/>
    <w:rsid w:val="00920844"/>
    <w:rsid w:val="00920ACF"/>
    <w:rsid w:val="00920B9D"/>
    <w:rsid w:val="00920D71"/>
    <w:rsid w:val="00920DC5"/>
    <w:rsid w:val="00920FBF"/>
    <w:rsid w:val="00920FF1"/>
    <w:rsid w:val="00921151"/>
    <w:rsid w:val="009211DB"/>
    <w:rsid w:val="0092123C"/>
    <w:rsid w:val="00921265"/>
    <w:rsid w:val="0092128B"/>
    <w:rsid w:val="009212DB"/>
    <w:rsid w:val="0092130F"/>
    <w:rsid w:val="009213CA"/>
    <w:rsid w:val="00921463"/>
    <w:rsid w:val="0092149A"/>
    <w:rsid w:val="009217CF"/>
    <w:rsid w:val="009217FE"/>
    <w:rsid w:val="00921A2F"/>
    <w:rsid w:val="00921AF1"/>
    <w:rsid w:val="00921B39"/>
    <w:rsid w:val="00921C0F"/>
    <w:rsid w:val="00921C3C"/>
    <w:rsid w:val="00921CEF"/>
    <w:rsid w:val="00921DEE"/>
    <w:rsid w:val="00921E4E"/>
    <w:rsid w:val="00921E96"/>
    <w:rsid w:val="00921F63"/>
    <w:rsid w:val="00921FC8"/>
    <w:rsid w:val="009220A0"/>
    <w:rsid w:val="00922181"/>
    <w:rsid w:val="0092221D"/>
    <w:rsid w:val="0092224C"/>
    <w:rsid w:val="00922308"/>
    <w:rsid w:val="0092242A"/>
    <w:rsid w:val="00922476"/>
    <w:rsid w:val="0092247F"/>
    <w:rsid w:val="00922524"/>
    <w:rsid w:val="009226F8"/>
    <w:rsid w:val="0092279F"/>
    <w:rsid w:val="009227A9"/>
    <w:rsid w:val="00922827"/>
    <w:rsid w:val="009228A0"/>
    <w:rsid w:val="00922990"/>
    <w:rsid w:val="00922A17"/>
    <w:rsid w:val="00922A36"/>
    <w:rsid w:val="00922BB2"/>
    <w:rsid w:val="00922DC7"/>
    <w:rsid w:val="00922E0A"/>
    <w:rsid w:val="00922F43"/>
    <w:rsid w:val="009230D3"/>
    <w:rsid w:val="00923179"/>
    <w:rsid w:val="009231FA"/>
    <w:rsid w:val="00923280"/>
    <w:rsid w:val="009232A3"/>
    <w:rsid w:val="009232F0"/>
    <w:rsid w:val="0092354D"/>
    <w:rsid w:val="009235E6"/>
    <w:rsid w:val="009235EF"/>
    <w:rsid w:val="0092382F"/>
    <w:rsid w:val="0092387C"/>
    <w:rsid w:val="009238A8"/>
    <w:rsid w:val="009238FF"/>
    <w:rsid w:val="00923936"/>
    <w:rsid w:val="00923946"/>
    <w:rsid w:val="00923B27"/>
    <w:rsid w:val="00923C60"/>
    <w:rsid w:val="00923DDF"/>
    <w:rsid w:val="00923E64"/>
    <w:rsid w:val="00923EBA"/>
    <w:rsid w:val="00923EF1"/>
    <w:rsid w:val="00923F8A"/>
    <w:rsid w:val="00924105"/>
    <w:rsid w:val="00924129"/>
    <w:rsid w:val="00924301"/>
    <w:rsid w:val="0092433C"/>
    <w:rsid w:val="009245B8"/>
    <w:rsid w:val="009245D5"/>
    <w:rsid w:val="009246CE"/>
    <w:rsid w:val="00924ACB"/>
    <w:rsid w:val="00924B01"/>
    <w:rsid w:val="00924BDC"/>
    <w:rsid w:val="00924C22"/>
    <w:rsid w:val="00924C7A"/>
    <w:rsid w:val="00924CE1"/>
    <w:rsid w:val="00924DD1"/>
    <w:rsid w:val="00924E6B"/>
    <w:rsid w:val="00925187"/>
    <w:rsid w:val="009252F8"/>
    <w:rsid w:val="009253CF"/>
    <w:rsid w:val="0092579A"/>
    <w:rsid w:val="00925853"/>
    <w:rsid w:val="00925973"/>
    <w:rsid w:val="009259EA"/>
    <w:rsid w:val="00925A45"/>
    <w:rsid w:val="00925ABB"/>
    <w:rsid w:val="00925ADA"/>
    <w:rsid w:val="00925B43"/>
    <w:rsid w:val="00925B75"/>
    <w:rsid w:val="00925BC6"/>
    <w:rsid w:val="00925C91"/>
    <w:rsid w:val="00925CF9"/>
    <w:rsid w:val="00925D47"/>
    <w:rsid w:val="00925DCD"/>
    <w:rsid w:val="00925E0A"/>
    <w:rsid w:val="00926031"/>
    <w:rsid w:val="0092612D"/>
    <w:rsid w:val="00926170"/>
    <w:rsid w:val="00926288"/>
    <w:rsid w:val="009262AD"/>
    <w:rsid w:val="00926336"/>
    <w:rsid w:val="009266EA"/>
    <w:rsid w:val="00926828"/>
    <w:rsid w:val="009268E7"/>
    <w:rsid w:val="009268F3"/>
    <w:rsid w:val="009269F7"/>
    <w:rsid w:val="00926A02"/>
    <w:rsid w:val="00926BA1"/>
    <w:rsid w:val="00926D12"/>
    <w:rsid w:val="00926D7C"/>
    <w:rsid w:val="00926D9B"/>
    <w:rsid w:val="00926E8A"/>
    <w:rsid w:val="00926E96"/>
    <w:rsid w:val="00926EA1"/>
    <w:rsid w:val="00926F60"/>
    <w:rsid w:val="00927025"/>
    <w:rsid w:val="0092735C"/>
    <w:rsid w:val="00927360"/>
    <w:rsid w:val="009273DD"/>
    <w:rsid w:val="00927436"/>
    <w:rsid w:val="00927490"/>
    <w:rsid w:val="00927585"/>
    <w:rsid w:val="0092768A"/>
    <w:rsid w:val="009276E7"/>
    <w:rsid w:val="00927720"/>
    <w:rsid w:val="0092778F"/>
    <w:rsid w:val="0092780B"/>
    <w:rsid w:val="00927A46"/>
    <w:rsid w:val="00927B01"/>
    <w:rsid w:val="00927B86"/>
    <w:rsid w:val="00927BA2"/>
    <w:rsid w:val="00927BE6"/>
    <w:rsid w:val="00927C53"/>
    <w:rsid w:val="00927C7D"/>
    <w:rsid w:val="00927DEA"/>
    <w:rsid w:val="00927E3D"/>
    <w:rsid w:val="00927F43"/>
    <w:rsid w:val="00927F45"/>
    <w:rsid w:val="00927F46"/>
    <w:rsid w:val="009300BB"/>
    <w:rsid w:val="00930190"/>
    <w:rsid w:val="0093022C"/>
    <w:rsid w:val="00930263"/>
    <w:rsid w:val="009302C8"/>
    <w:rsid w:val="00930518"/>
    <w:rsid w:val="00930565"/>
    <w:rsid w:val="009305C2"/>
    <w:rsid w:val="00930710"/>
    <w:rsid w:val="00930798"/>
    <w:rsid w:val="00930B79"/>
    <w:rsid w:val="00930B87"/>
    <w:rsid w:val="00930BF9"/>
    <w:rsid w:val="00930C01"/>
    <w:rsid w:val="00930C1C"/>
    <w:rsid w:val="00930C75"/>
    <w:rsid w:val="00930CEC"/>
    <w:rsid w:val="00930E91"/>
    <w:rsid w:val="00930EB5"/>
    <w:rsid w:val="00930F06"/>
    <w:rsid w:val="00930F24"/>
    <w:rsid w:val="00930F3D"/>
    <w:rsid w:val="009311AA"/>
    <w:rsid w:val="00931257"/>
    <w:rsid w:val="0093147F"/>
    <w:rsid w:val="009314F6"/>
    <w:rsid w:val="0093154A"/>
    <w:rsid w:val="0093160F"/>
    <w:rsid w:val="00931659"/>
    <w:rsid w:val="009316D8"/>
    <w:rsid w:val="0093170C"/>
    <w:rsid w:val="009317F1"/>
    <w:rsid w:val="00931876"/>
    <w:rsid w:val="00931896"/>
    <w:rsid w:val="009318B0"/>
    <w:rsid w:val="009318E1"/>
    <w:rsid w:val="009319EC"/>
    <w:rsid w:val="00931A0C"/>
    <w:rsid w:val="00931A2F"/>
    <w:rsid w:val="00931A5A"/>
    <w:rsid w:val="00931B33"/>
    <w:rsid w:val="00931CD0"/>
    <w:rsid w:val="00931D60"/>
    <w:rsid w:val="00931D92"/>
    <w:rsid w:val="00931E77"/>
    <w:rsid w:val="00931FBD"/>
    <w:rsid w:val="00931FC2"/>
    <w:rsid w:val="00931FEA"/>
    <w:rsid w:val="00932016"/>
    <w:rsid w:val="009320B0"/>
    <w:rsid w:val="009321BF"/>
    <w:rsid w:val="009321FC"/>
    <w:rsid w:val="0093232D"/>
    <w:rsid w:val="0093242F"/>
    <w:rsid w:val="00932465"/>
    <w:rsid w:val="009324D0"/>
    <w:rsid w:val="00932522"/>
    <w:rsid w:val="0093254F"/>
    <w:rsid w:val="009325C7"/>
    <w:rsid w:val="0093267A"/>
    <w:rsid w:val="0093282A"/>
    <w:rsid w:val="0093296D"/>
    <w:rsid w:val="00932B2B"/>
    <w:rsid w:val="00932B94"/>
    <w:rsid w:val="00932DDD"/>
    <w:rsid w:val="00932EC6"/>
    <w:rsid w:val="0093316A"/>
    <w:rsid w:val="0093330A"/>
    <w:rsid w:val="00933312"/>
    <w:rsid w:val="00933367"/>
    <w:rsid w:val="0093340F"/>
    <w:rsid w:val="0093343F"/>
    <w:rsid w:val="00933446"/>
    <w:rsid w:val="00933452"/>
    <w:rsid w:val="00933521"/>
    <w:rsid w:val="009335E7"/>
    <w:rsid w:val="0093362E"/>
    <w:rsid w:val="00933676"/>
    <w:rsid w:val="009337A7"/>
    <w:rsid w:val="00933817"/>
    <w:rsid w:val="00933A35"/>
    <w:rsid w:val="00933B50"/>
    <w:rsid w:val="00933B6C"/>
    <w:rsid w:val="00933B83"/>
    <w:rsid w:val="00933DC6"/>
    <w:rsid w:val="00933E47"/>
    <w:rsid w:val="00933EEB"/>
    <w:rsid w:val="0093401B"/>
    <w:rsid w:val="009340D3"/>
    <w:rsid w:val="00934148"/>
    <w:rsid w:val="009341BB"/>
    <w:rsid w:val="009342CE"/>
    <w:rsid w:val="0093436E"/>
    <w:rsid w:val="0093442E"/>
    <w:rsid w:val="0093451B"/>
    <w:rsid w:val="00934644"/>
    <w:rsid w:val="00934914"/>
    <w:rsid w:val="009349A2"/>
    <w:rsid w:val="009349E8"/>
    <w:rsid w:val="0093501D"/>
    <w:rsid w:val="009352B5"/>
    <w:rsid w:val="00935460"/>
    <w:rsid w:val="009354CB"/>
    <w:rsid w:val="0093558E"/>
    <w:rsid w:val="009355D8"/>
    <w:rsid w:val="0093566E"/>
    <w:rsid w:val="009357B0"/>
    <w:rsid w:val="009358B5"/>
    <w:rsid w:val="00935CB2"/>
    <w:rsid w:val="00935D83"/>
    <w:rsid w:val="00935DD1"/>
    <w:rsid w:val="00936072"/>
    <w:rsid w:val="0093611C"/>
    <w:rsid w:val="0093623C"/>
    <w:rsid w:val="00936292"/>
    <w:rsid w:val="00936611"/>
    <w:rsid w:val="00936659"/>
    <w:rsid w:val="009366EA"/>
    <w:rsid w:val="00936754"/>
    <w:rsid w:val="0093676A"/>
    <w:rsid w:val="009369B5"/>
    <w:rsid w:val="00936A49"/>
    <w:rsid w:val="00936B6B"/>
    <w:rsid w:val="00936B86"/>
    <w:rsid w:val="00936BA2"/>
    <w:rsid w:val="00936DF7"/>
    <w:rsid w:val="00936E41"/>
    <w:rsid w:val="00936FE1"/>
    <w:rsid w:val="009370E1"/>
    <w:rsid w:val="00937167"/>
    <w:rsid w:val="00937289"/>
    <w:rsid w:val="009372BA"/>
    <w:rsid w:val="00937385"/>
    <w:rsid w:val="009375D8"/>
    <w:rsid w:val="00937691"/>
    <w:rsid w:val="00937796"/>
    <w:rsid w:val="009377A9"/>
    <w:rsid w:val="009377C8"/>
    <w:rsid w:val="00937821"/>
    <w:rsid w:val="00937833"/>
    <w:rsid w:val="00937922"/>
    <w:rsid w:val="00937B80"/>
    <w:rsid w:val="00937CB8"/>
    <w:rsid w:val="00937E02"/>
    <w:rsid w:val="0094007E"/>
    <w:rsid w:val="009400ED"/>
    <w:rsid w:val="0094038C"/>
    <w:rsid w:val="00940397"/>
    <w:rsid w:val="009403C9"/>
    <w:rsid w:val="009403F8"/>
    <w:rsid w:val="0094057D"/>
    <w:rsid w:val="009407DA"/>
    <w:rsid w:val="00940A46"/>
    <w:rsid w:val="00940B6D"/>
    <w:rsid w:val="00940CC9"/>
    <w:rsid w:val="00940CDF"/>
    <w:rsid w:val="00940E88"/>
    <w:rsid w:val="00940EA9"/>
    <w:rsid w:val="00940F72"/>
    <w:rsid w:val="00940FF5"/>
    <w:rsid w:val="009410AB"/>
    <w:rsid w:val="009410F7"/>
    <w:rsid w:val="00941145"/>
    <w:rsid w:val="009412E1"/>
    <w:rsid w:val="0094138D"/>
    <w:rsid w:val="00941479"/>
    <w:rsid w:val="00941488"/>
    <w:rsid w:val="009415E5"/>
    <w:rsid w:val="00941659"/>
    <w:rsid w:val="009418B4"/>
    <w:rsid w:val="0094196D"/>
    <w:rsid w:val="00941A73"/>
    <w:rsid w:val="00941AE8"/>
    <w:rsid w:val="00941BC9"/>
    <w:rsid w:val="00941D36"/>
    <w:rsid w:val="00941D93"/>
    <w:rsid w:val="0094201C"/>
    <w:rsid w:val="00942055"/>
    <w:rsid w:val="0094220C"/>
    <w:rsid w:val="00942216"/>
    <w:rsid w:val="0094221F"/>
    <w:rsid w:val="0094231D"/>
    <w:rsid w:val="009423CE"/>
    <w:rsid w:val="009423D3"/>
    <w:rsid w:val="0094252C"/>
    <w:rsid w:val="00942633"/>
    <w:rsid w:val="009426AB"/>
    <w:rsid w:val="009426BC"/>
    <w:rsid w:val="0094277C"/>
    <w:rsid w:val="0094277F"/>
    <w:rsid w:val="009427C7"/>
    <w:rsid w:val="00942816"/>
    <w:rsid w:val="009428CB"/>
    <w:rsid w:val="00942947"/>
    <w:rsid w:val="00942977"/>
    <w:rsid w:val="00942994"/>
    <w:rsid w:val="00942CE0"/>
    <w:rsid w:val="00942EC3"/>
    <w:rsid w:val="0094301A"/>
    <w:rsid w:val="009430F1"/>
    <w:rsid w:val="0094310E"/>
    <w:rsid w:val="0094320D"/>
    <w:rsid w:val="0094325F"/>
    <w:rsid w:val="00943372"/>
    <w:rsid w:val="009434BB"/>
    <w:rsid w:val="009434C2"/>
    <w:rsid w:val="0094357C"/>
    <w:rsid w:val="00943671"/>
    <w:rsid w:val="00943739"/>
    <w:rsid w:val="00943948"/>
    <w:rsid w:val="00943A3A"/>
    <w:rsid w:val="00943A5B"/>
    <w:rsid w:val="00943AB7"/>
    <w:rsid w:val="00943BA3"/>
    <w:rsid w:val="00943C90"/>
    <w:rsid w:val="00943ECC"/>
    <w:rsid w:val="00944445"/>
    <w:rsid w:val="00944486"/>
    <w:rsid w:val="00944521"/>
    <w:rsid w:val="00944569"/>
    <w:rsid w:val="009446B6"/>
    <w:rsid w:val="00944928"/>
    <w:rsid w:val="00944940"/>
    <w:rsid w:val="00944B6B"/>
    <w:rsid w:val="00944C8A"/>
    <w:rsid w:val="00944D03"/>
    <w:rsid w:val="00944D20"/>
    <w:rsid w:val="00944D3F"/>
    <w:rsid w:val="00944DDB"/>
    <w:rsid w:val="00944E10"/>
    <w:rsid w:val="00944E53"/>
    <w:rsid w:val="00945005"/>
    <w:rsid w:val="0094505D"/>
    <w:rsid w:val="009450AD"/>
    <w:rsid w:val="00945108"/>
    <w:rsid w:val="00945283"/>
    <w:rsid w:val="0094529B"/>
    <w:rsid w:val="009452CA"/>
    <w:rsid w:val="00945329"/>
    <w:rsid w:val="00945654"/>
    <w:rsid w:val="0094580C"/>
    <w:rsid w:val="00945917"/>
    <w:rsid w:val="0094593A"/>
    <w:rsid w:val="00945A3B"/>
    <w:rsid w:val="00945AA5"/>
    <w:rsid w:val="00945ADC"/>
    <w:rsid w:val="00945C2D"/>
    <w:rsid w:val="00945CA9"/>
    <w:rsid w:val="00945D38"/>
    <w:rsid w:val="00945D98"/>
    <w:rsid w:val="00945F8C"/>
    <w:rsid w:val="00946048"/>
    <w:rsid w:val="00946069"/>
    <w:rsid w:val="00946177"/>
    <w:rsid w:val="00946178"/>
    <w:rsid w:val="00946230"/>
    <w:rsid w:val="0094627D"/>
    <w:rsid w:val="00946465"/>
    <w:rsid w:val="0094647C"/>
    <w:rsid w:val="0094653F"/>
    <w:rsid w:val="009465D6"/>
    <w:rsid w:val="00946628"/>
    <w:rsid w:val="00946687"/>
    <w:rsid w:val="0094669D"/>
    <w:rsid w:val="009466C4"/>
    <w:rsid w:val="009466F9"/>
    <w:rsid w:val="00946776"/>
    <w:rsid w:val="009467C1"/>
    <w:rsid w:val="0094689C"/>
    <w:rsid w:val="00946A75"/>
    <w:rsid w:val="00946AA9"/>
    <w:rsid w:val="00946AD3"/>
    <w:rsid w:val="00946AF4"/>
    <w:rsid w:val="00946B06"/>
    <w:rsid w:val="00946D23"/>
    <w:rsid w:val="00946D69"/>
    <w:rsid w:val="00946D6F"/>
    <w:rsid w:val="00946DB9"/>
    <w:rsid w:val="0094716C"/>
    <w:rsid w:val="009471C5"/>
    <w:rsid w:val="0094723A"/>
    <w:rsid w:val="00947367"/>
    <w:rsid w:val="009473A8"/>
    <w:rsid w:val="00947476"/>
    <w:rsid w:val="009475A4"/>
    <w:rsid w:val="009475B3"/>
    <w:rsid w:val="0094762B"/>
    <w:rsid w:val="009476A3"/>
    <w:rsid w:val="0094785E"/>
    <w:rsid w:val="00947883"/>
    <w:rsid w:val="009478FC"/>
    <w:rsid w:val="00947933"/>
    <w:rsid w:val="00947975"/>
    <w:rsid w:val="00947993"/>
    <w:rsid w:val="009479D9"/>
    <w:rsid w:val="00947A13"/>
    <w:rsid w:val="00947CA0"/>
    <w:rsid w:val="00947CFE"/>
    <w:rsid w:val="00947D38"/>
    <w:rsid w:val="0095006A"/>
    <w:rsid w:val="00950101"/>
    <w:rsid w:val="009502FE"/>
    <w:rsid w:val="00950339"/>
    <w:rsid w:val="009503C8"/>
    <w:rsid w:val="009503D1"/>
    <w:rsid w:val="00950414"/>
    <w:rsid w:val="0095041B"/>
    <w:rsid w:val="00950439"/>
    <w:rsid w:val="0095057B"/>
    <w:rsid w:val="009505A2"/>
    <w:rsid w:val="009505D4"/>
    <w:rsid w:val="00950726"/>
    <w:rsid w:val="009507CF"/>
    <w:rsid w:val="009507D2"/>
    <w:rsid w:val="0095089C"/>
    <w:rsid w:val="00950978"/>
    <w:rsid w:val="00950A5F"/>
    <w:rsid w:val="00950AC3"/>
    <w:rsid w:val="00950BAF"/>
    <w:rsid w:val="00950BEB"/>
    <w:rsid w:val="00950C99"/>
    <w:rsid w:val="00950D7D"/>
    <w:rsid w:val="00950DC8"/>
    <w:rsid w:val="00950E2A"/>
    <w:rsid w:val="00950F55"/>
    <w:rsid w:val="00951148"/>
    <w:rsid w:val="009512A2"/>
    <w:rsid w:val="009512BA"/>
    <w:rsid w:val="00951312"/>
    <w:rsid w:val="009513FF"/>
    <w:rsid w:val="0095143D"/>
    <w:rsid w:val="0095180D"/>
    <w:rsid w:val="0095191B"/>
    <w:rsid w:val="00951968"/>
    <w:rsid w:val="00951A03"/>
    <w:rsid w:val="00951A23"/>
    <w:rsid w:val="00951B6A"/>
    <w:rsid w:val="00951BC4"/>
    <w:rsid w:val="00951BE7"/>
    <w:rsid w:val="00951C60"/>
    <w:rsid w:val="00951D9C"/>
    <w:rsid w:val="00951DD8"/>
    <w:rsid w:val="00951DE5"/>
    <w:rsid w:val="00951EDF"/>
    <w:rsid w:val="00951F16"/>
    <w:rsid w:val="0095203A"/>
    <w:rsid w:val="009520C3"/>
    <w:rsid w:val="009520D6"/>
    <w:rsid w:val="0095213F"/>
    <w:rsid w:val="00952204"/>
    <w:rsid w:val="009522FF"/>
    <w:rsid w:val="0095234E"/>
    <w:rsid w:val="0095235C"/>
    <w:rsid w:val="00952537"/>
    <w:rsid w:val="00952595"/>
    <w:rsid w:val="00952622"/>
    <w:rsid w:val="0095271F"/>
    <w:rsid w:val="009527F0"/>
    <w:rsid w:val="009528F8"/>
    <w:rsid w:val="00952958"/>
    <w:rsid w:val="00952A58"/>
    <w:rsid w:val="00952C1E"/>
    <w:rsid w:val="00952C51"/>
    <w:rsid w:val="00952D05"/>
    <w:rsid w:val="00952D35"/>
    <w:rsid w:val="00952E7E"/>
    <w:rsid w:val="00952EEF"/>
    <w:rsid w:val="00952F6A"/>
    <w:rsid w:val="0095312D"/>
    <w:rsid w:val="009531E5"/>
    <w:rsid w:val="0095330E"/>
    <w:rsid w:val="00953444"/>
    <w:rsid w:val="009537F4"/>
    <w:rsid w:val="00953865"/>
    <w:rsid w:val="009538E7"/>
    <w:rsid w:val="00953971"/>
    <w:rsid w:val="00953A17"/>
    <w:rsid w:val="00953A38"/>
    <w:rsid w:val="00953B05"/>
    <w:rsid w:val="00953F23"/>
    <w:rsid w:val="00953FF8"/>
    <w:rsid w:val="0095408B"/>
    <w:rsid w:val="009543D0"/>
    <w:rsid w:val="00954438"/>
    <w:rsid w:val="00954644"/>
    <w:rsid w:val="0095475A"/>
    <w:rsid w:val="00954988"/>
    <w:rsid w:val="00954A1B"/>
    <w:rsid w:val="00954A5E"/>
    <w:rsid w:val="00954B52"/>
    <w:rsid w:val="00954B74"/>
    <w:rsid w:val="00954C07"/>
    <w:rsid w:val="00954E45"/>
    <w:rsid w:val="00954FC3"/>
    <w:rsid w:val="00955041"/>
    <w:rsid w:val="009550B4"/>
    <w:rsid w:val="00955131"/>
    <w:rsid w:val="00955369"/>
    <w:rsid w:val="0095536E"/>
    <w:rsid w:val="0095549B"/>
    <w:rsid w:val="0095557E"/>
    <w:rsid w:val="00955756"/>
    <w:rsid w:val="00955859"/>
    <w:rsid w:val="00955886"/>
    <w:rsid w:val="0095596D"/>
    <w:rsid w:val="00955B0C"/>
    <w:rsid w:val="00955B79"/>
    <w:rsid w:val="00955B8B"/>
    <w:rsid w:val="00955C6E"/>
    <w:rsid w:val="00955D0F"/>
    <w:rsid w:val="00955D14"/>
    <w:rsid w:val="00955D21"/>
    <w:rsid w:val="00955EC7"/>
    <w:rsid w:val="00955ECD"/>
    <w:rsid w:val="00955F06"/>
    <w:rsid w:val="00955F43"/>
    <w:rsid w:val="00955FF0"/>
    <w:rsid w:val="00955FF1"/>
    <w:rsid w:val="00956069"/>
    <w:rsid w:val="00956078"/>
    <w:rsid w:val="0095617B"/>
    <w:rsid w:val="0095623C"/>
    <w:rsid w:val="0095633D"/>
    <w:rsid w:val="00956431"/>
    <w:rsid w:val="00956465"/>
    <w:rsid w:val="00956496"/>
    <w:rsid w:val="009564EB"/>
    <w:rsid w:val="009565E2"/>
    <w:rsid w:val="0095664B"/>
    <w:rsid w:val="0095678D"/>
    <w:rsid w:val="009567DF"/>
    <w:rsid w:val="00956A00"/>
    <w:rsid w:val="00956ACB"/>
    <w:rsid w:val="00956C98"/>
    <w:rsid w:val="00956D49"/>
    <w:rsid w:val="00956DB4"/>
    <w:rsid w:val="00956E3F"/>
    <w:rsid w:val="00956E8F"/>
    <w:rsid w:val="00956F99"/>
    <w:rsid w:val="0095728A"/>
    <w:rsid w:val="009572E4"/>
    <w:rsid w:val="00957306"/>
    <w:rsid w:val="00957360"/>
    <w:rsid w:val="009573E2"/>
    <w:rsid w:val="009574BA"/>
    <w:rsid w:val="0095752E"/>
    <w:rsid w:val="00957746"/>
    <w:rsid w:val="0095782E"/>
    <w:rsid w:val="00957857"/>
    <w:rsid w:val="00957983"/>
    <w:rsid w:val="00957A60"/>
    <w:rsid w:val="00957CAB"/>
    <w:rsid w:val="00957CEE"/>
    <w:rsid w:val="00957D1A"/>
    <w:rsid w:val="00957D3A"/>
    <w:rsid w:val="00957D6F"/>
    <w:rsid w:val="00957D70"/>
    <w:rsid w:val="00957EEF"/>
    <w:rsid w:val="00957F45"/>
    <w:rsid w:val="00960013"/>
    <w:rsid w:val="0096007E"/>
    <w:rsid w:val="0096011C"/>
    <w:rsid w:val="00960183"/>
    <w:rsid w:val="009602C5"/>
    <w:rsid w:val="00960357"/>
    <w:rsid w:val="009603D7"/>
    <w:rsid w:val="00960557"/>
    <w:rsid w:val="00960587"/>
    <w:rsid w:val="009606A4"/>
    <w:rsid w:val="0096088E"/>
    <w:rsid w:val="00960920"/>
    <w:rsid w:val="009609AA"/>
    <w:rsid w:val="009609C6"/>
    <w:rsid w:val="00960B84"/>
    <w:rsid w:val="00960B89"/>
    <w:rsid w:val="00960BEA"/>
    <w:rsid w:val="00960CB2"/>
    <w:rsid w:val="00960D59"/>
    <w:rsid w:val="00960E64"/>
    <w:rsid w:val="00960FF3"/>
    <w:rsid w:val="009610D1"/>
    <w:rsid w:val="009610E0"/>
    <w:rsid w:val="0096119A"/>
    <w:rsid w:val="00961230"/>
    <w:rsid w:val="009612C9"/>
    <w:rsid w:val="00961483"/>
    <w:rsid w:val="00961535"/>
    <w:rsid w:val="00961592"/>
    <w:rsid w:val="009615D3"/>
    <w:rsid w:val="00961643"/>
    <w:rsid w:val="00961650"/>
    <w:rsid w:val="009616B6"/>
    <w:rsid w:val="0096175C"/>
    <w:rsid w:val="009617B4"/>
    <w:rsid w:val="0096181E"/>
    <w:rsid w:val="00961840"/>
    <w:rsid w:val="009618A3"/>
    <w:rsid w:val="009618C1"/>
    <w:rsid w:val="00961904"/>
    <w:rsid w:val="00961960"/>
    <w:rsid w:val="00961A23"/>
    <w:rsid w:val="00961A5A"/>
    <w:rsid w:val="00961A60"/>
    <w:rsid w:val="00961AAC"/>
    <w:rsid w:val="00961BED"/>
    <w:rsid w:val="00961C1A"/>
    <w:rsid w:val="00961C59"/>
    <w:rsid w:val="00961E26"/>
    <w:rsid w:val="00961EC2"/>
    <w:rsid w:val="00961F09"/>
    <w:rsid w:val="00961F97"/>
    <w:rsid w:val="00962025"/>
    <w:rsid w:val="009620CB"/>
    <w:rsid w:val="00962167"/>
    <w:rsid w:val="009621F2"/>
    <w:rsid w:val="0096223C"/>
    <w:rsid w:val="0096231B"/>
    <w:rsid w:val="0096234E"/>
    <w:rsid w:val="009623DA"/>
    <w:rsid w:val="009623F6"/>
    <w:rsid w:val="0096250D"/>
    <w:rsid w:val="0096283F"/>
    <w:rsid w:val="00962860"/>
    <w:rsid w:val="0096298F"/>
    <w:rsid w:val="00962B99"/>
    <w:rsid w:val="00962BAC"/>
    <w:rsid w:val="00962BD0"/>
    <w:rsid w:val="00962CF1"/>
    <w:rsid w:val="00962DF7"/>
    <w:rsid w:val="00962FEB"/>
    <w:rsid w:val="00962FF1"/>
    <w:rsid w:val="00963055"/>
    <w:rsid w:val="009630F3"/>
    <w:rsid w:val="00963121"/>
    <w:rsid w:val="00963130"/>
    <w:rsid w:val="00963201"/>
    <w:rsid w:val="00963399"/>
    <w:rsid w:val="0096339C"/>
    <w:rsid w:val="009633CF"/>
    <w:rsid w:val="0096344B"/>
    <w:rsid w:val="00963535"/>
    <w:rsid w:val="009635DC"/>
    <w:rsid w:val="00963631"/>
    <w:rsid w:val="0096372F"/>
    <w:rsid w:val="00963798"/>
    <w:rsid w:val="009637CB"/>
    <w:rsid w:val="009637CE"/>
    <w:rsid w:val="0096387F"/>
    <w:rsid w:val="009638FB"/>
    <w:rsid w:val="009638FC"/>
    <w:rsid w:val="009639C1"/>
    <w:rsid w:val="00963BD8"/>
    <w:rsid w:val="00963C12"/>
    <w:rsid w:val="00963CCA"/>
    <w:rsid w:val="00963DFE"/>
    <w:rsid w:val="00963ED1"/>
    <w:rsid w:val="00963EF4"/>
    <w:rsid w:val="00963F9D"/>
    <w:rsid w:val="00963FCF"/>
    <w:rsid w:val="00963FE7"/>
    <w:rsid w:val="009641BE"/>
    <w:rsid w:val="009642EA"/>
    <w:rsid w:val="009643C0"/>
    <w:rsid w:val="009644AD"/>
    <w:rsid w:val="00964688"/>
    <w:rsid w:val="009646CB"/>
    <w:rsid w:val="009646D4"/>
    <w:rsid w:val="0096477A"/>
    <w:rsid w:val="00964B16"/>
    <w:rsid w:val="00964B28"/>
    <w:rsid w:val="00964C4B"/>
    <w:rsid w:val="00964C50"/>
    <w:rsid w:val="00964D10"/>
    <w:rsid w:val="00964E56"/>
    <w:rsid w:val="00965084"/>
    <w:rsid w:val="00965193"/>
    <w:rsid w:val="0096523C"/>
    <w:rsid w:val="009652CB"/>
    <w:rsid w:val="0096539D"/>
    <w:rsid w:val="0096554D"/>
    <w:rsid w:val="0096563D"/>
    <w:rsid w:val="00965791"/>
    <w:rsid w:val="00965A7A"/>
    <w:rsid w:val="00965AB1"/>
    <w:rsid w:val="00965C6E"/>
    <w:rsid w:val="00965CE9"/>
    <w:rsid w:val="00965D20"/>
    <w:rsid w:val="00965DB7"/>
    <w:rsid w:val="00965EC8"/>
    <w:rsid w:val="00965F52"/>
    <w:rsid w:val="00965F8F"/>
    <w:rsid w:val="0096605B"/>
    <w:rsid w:val="0096652B"/>
    <w:rsid w:val="00966678"/>
    <w:rsid w:val="0096673D"/>
    <w:rsid w:val="0096676F"/>
    <w:rsid w:val="0096682E"/>
    <w:rsid w:val="009668C2"/>
    <w:rsid w:val="00966A4C"/>
    <w:rsid w:val="00966B7E"/>
    <w:rsid w:val="00966C0A"/>
    <w:rsid w:val="00966D14"/>
    <w:rsid w:val="00966D2E"/>
    <w:rsid w:val="00966DAD"/>
    <w:rsid w:val="00966E1C"/>
    <w:rsid w:val="00966E92"/>
    <w:rsid w:val="00966F84"/>
    <w:rsid w:val="009670B1"/>
    <w:rsid w:val="009670BF"/>
    <w:rsid w:val="009670D4"/>
    <w:rsid w:val="0096717B"/>
    <w:rsid w:val="0096739C"/>
    <w:rsid w:val="009676DD"/>
    <w:rsid w:val="009676EA"/>
    <w:rsid w:val="009677D9"/>
    <w:rsid w:val="00967844"/>
    <w:rsid w:val="009678D9"/>
    <w:rsid w:val="00967AD4"/>
    <w:rsid w:val="00967B0E"/>
    <w:rsid w:val="00967DDD"/>
    <w:rsid w:val="00967F2A"/>
    <w:rsid w:val="00967F57"/>
    <w:rsid w:val="009700C1"/>
    <w:rsid w:val="0097012F"/>
    <w:rsid w:val="0097021E"/>
    <w:rsid w:val="00970228"/>
    <w:rsid w:val="00970298"/>
    <w:rsid w:val="009702A9"/>
    <w:rsid w:val="009702C7"/>
    <w:rsid w:val="00970312"/>
    <w:rsid w:val="00970527"/>
    <w:rsid w:val="00970558"/>
    <w:rsid w:val="009705B1"/>
    <w:rsid w:val="009705C8"/>
    <w:rsid w:val="009708CF"/>
    <w:rsid w:val="0097095F"/>
    <w:rsid w:val="00970A18"/>
    <w:rsid w:val="00970BBA"/>
    <w:rsid w:val="00970BED"/>
    <w:rsid w:val="00970C6B"/>
    <w:rsid w:val="00971007"/>
    <w:rsid w:val="009711D1"/>
    <w:rsid w:val="0097120E"/>
    <w:rsid w:val="009712D9"/>
    <w:rsid w:val="0097130F"/>
    <w:rsid w:val="0097134D"/>
    <w:rsid w:val="00971378"/>
    <w:rsid w:val="00971488"/>
    <w:rsid w:val="009714E3"/>
    <w:rsid w:val="0097162D"/>
    <w:rsid w:val="00971703"/>
    <w:rsid w:val="00971712"/>
    <w:rsid w:val="009717CC"/>
    <w:rsid w:val="009717DF"/>
    <w:rsid w:val="009717F4"/>
    <w:rsid w:val="0097183E"/>
    <w:rsid w:val="009719CD"/>
    <w:rsid w:val="00971B94"/>
    <w:rsid w:val="00971BBD"/>
    <w:rsid w:val="00971CE4"/>
    <w:rsid w:val="00971D32"/>
    <w:rsid w:val="00971DC9"/>
    <w:rsid w:val="00971E9D"/>
    <w:rsid w:val="00971EB2"/>
    <w:rsid w:val="00971EE2"/>
    <w:rsid w:val="00971F49"/>
    <w:rsid w:val="00971FE8"/>
    <w:rsid w:val="00971FEB"/>
    <w:rsid w:val="00971FFB"/>
    <w:rsid w:val="00972035"/>
    <w:rsid w:val="00972135"/>
    <w:rsid w:val="0097222A"/>
    <w:rsid w:val="00972263"/>
    <w:rsid w:val="009722B3"/>
    <w:rsid w:val="0097243F"/>
    <w:rsid w:val="0097244D"/>
    <w:rsid w:val="009724FC"/>
    <w:rsid w:val="00972523"/>
    <w:rsid w:val="00972568"/>
    <w:rsid w:val="00972591"/>
    <w:rsid w:val="00972607"/>
    <w:rsid w:val="009726E8"/>
    <w:rsid w:val="009727E2"/>
    <w:rsid w:val="009727E3"/>
    <w:rsid w:val="00972A9E"/>
    <w:rsid w:val="00972B75"/>
    <w:rsid w:val="00972B7B"/>
    <w:rsid w:val="00972B91"/>
    <w:rsid w:val="00972BAF"/>
    <w:rsid w:val="00972C52"/>
    <w:rsid w:val="00972C89"/>
    <w:rsid w:val="00972D70"/>
    <w:rsid w:val="00972D8B"/>
    <w:rsid w:val="00972DCB"/>
    <w:rsid w:val="00972E56"/>
    <w:rsid w:val="00972E71"/>
    <w:rsid w:val="00972E89"/>
    <w:rsid w:val="00972ED1"/>
    <w:rsid w:val="00972F1A"/>
    <w:rsid w:val="00972F76"/>
    <w:rsid w:val="009730C2"/>
    <w:rsid w:val="0097323E"/>
    <w:rsid w:val="0097325D"/>
    <w:rsid w:val="00973338"/>
    <w:rsid w:val="0097339D"/>
    <w:rsid w:val="009734C8"/>
    <w:rsid w:val="00973637"/>
    <w:rsid w:val="00973698"/>
    <w:rsid w:val="0097373D"/>
    <w:rsid w:val="00973757"/>
    <w:rsid w:val="00973CBF"/>
    <w:rsid w:val="00973E3F"/>
    <w:rsid w:val="00973E9C"/>
    <w:rsid w:val="00973EB0"/>
    <w:rsid w:val="00974012"/>
    <w:rsid w:val="00974183"/>
    <w:rsid w:val="009741E3"/>
    <w:rsid w:val="0097421E"/>
    <w:rsid w:val="00974522"/>
    <w:rsid w:val="009745A3"/>
    <w:rsid w:val="0097463D"/>
    <w:rsid w:val="009747A5"/>
    <w:rsid w:val="009748F5"/>
    <w:rsid w:val="00974B12"/>
    <w:rsid w:val="00974B52"/>
    <w:rsid w:val="00974BAE"/>
    <w:rsid w:val="00974C5F"/>
    <w:rsid w:val="00974DEC"/>
    <w:rsid w:val="00974E76"/>
    <w:rsid w:val="00974E84"/>
    <w:rsid w:val="00974EF9"/>
    <w:rsid w:val="00975104"/>
    <w:rsid w:val="009751A8"/>
    <w:rsid w:val="00975329"/>
    <w:rsid w:val="009753E3"/>
    <w:rsid w:val="00975461"/>
    <w:rsid w:val="009755BB"/>
    <w:rsid w:val="009758AF"/>
    <w:rsid w:val="009758DE"/>
    <w:rsid w:val="0097591B"/>
    <w:rsid w:val="00975D30"/>
    <w:rsid w:val="00975E5E"/>
    <w:rsid w:val="00975ED5"/>
    <w:rsid w:val="009761D5"/>
    <w:rsid w:val="00976242"/>
    <w:rsid w:val="00976260"/>
    <w:rsid w:val="00976310"/>
    <w:rsid w:val="009763CE"/>
    <w:rsid w:val="0097654E"/>
    <w:rsid w:val="0097664F"/>
    <w:rsid w:val="00976722"/>
    <w:rsid w:val="00976745"/>
    <w:rsid w:val="009767CB"/>
    <w:rsid w:val="009768ED"/>
    <w:rsid w:val="00976930"/>
    <w:rsid w:val="00976990"/>
    <w:rsid w:val="00976A58"/>
    <w:rsid w:val="00976C64"/>
    <w:rsid w:val="00976CB5"/>
    <w:rsid w:val="00976D2E"/>
    <w:rsid w:val="00976D6D"/>
    <w:rsid w:val="00976DCF"/>
    <w:rsid w:val="00976E14"/>
    <w:rsid w:val="00976E1D"/>
    <w:rsid w:val="00976E1F"/>
    <w:rsid w:val="00976F26"/>
    <w:rsid w:val="00976F4C"/>
    <w:rsid w:val="00976F9B"/>
    <w:rsid w:val="009770A9"/>
    <w:rsid w:val="009770BC"/>
    <w:rsid w:val="00977122"/>
    <w:rsid w:val="00977252"/>
    <w:rsid w:val="009773F3"/>
    <w:rsid w:val="009775D4"/>
    <w:rsid w:val="00977931"/>
    <w:rsid w:val="009779B4"/>
    <w:rsid w:val="009779BB"/>
    <w:rsid w:val="009779EC"/>
    <w:rsid w:val="00977A17"/>
    <w:rsid w:val="00977B26"/>
    <w:rsid w:val="00977B5C"/>
    <w:rsid w:val="00977C0D"/>
    <w:rsid w:val="00977CAA"/>
    <w:rsid w:val="00977CAB"/>
    <w:rsid w:val="00980036"/>
    <w:rsid w:val="00980147"/>
    <w:rsid w:val="009801CA"/>
    <w:rsid w:val="00980275"/>
    <w:rsid w:val="0098030E"/>
    <w:rsid w:val="009804A8"/>
    <w:rsid w:val="009805B3"/>
    <w:rsid w:val="00980647"/>
    <w:rsid w:val="0098073B"/>
    <w:rsid w:val="009807BC"/>
    <w:rsid w:val="00980805"/>
    <w:rsid w:val="0098080B"/>
    <w:rsid w:val="00980819"/>
    <w:rsid w:val="00980859"/>
    <w:rsid w:val="009809B8"/>
    <w:rsid w:val="00980A31"/>
    <w:rsid w:val="00980C3D"/>
    <w:rsid w:val="00980CA3"/>
    <w:rsid w:val="00980CE9"/>
    <w:rsid w:val="00980D2B"/>
    <w:rsid w:val="00980D81"/>
    <w:rsid w:val="00980EB2"/>
    <w:rsid w:val="00981003"/>
    <w:rsid w:val="00981066"/>
    <w:rsid w:val="009810A6"/>
    <w:rsid w:val="009811B4"/>
    <w:rsid w:val="009815ED"/>
    <w:rsid w:val="00981611"/>
    <w:rsid w:val="0098166B"/>
    <w:rsid w:val="00981678"/>
    <w:rsid w:val="00981765"/>
    <w:rsid w:val="009817D0"/>
    <w:rsid w:val="009817D6"/>
    <w:rsid w:val="00981812"/>
    <w:rsid w:val="009818C1"/>
    <w:rsid w:val="0098193B"/>
    <w:rsid w:val="00981A40"/>
    <w:rsid w:val="00981A47"/>
    <w:rsid w:val="00981C29"/>
    <w:rsid w:val="00981E2D"/>
    <w:rsid w:val="00981E31"/>
    <w:rsid w:val="00981FB6"/>
    <w:rsid w:val="009820FF"/>
    <w:rsid w:val="009821A9"/>
    <w:rsid w:val="009821BA"/>
    <w:rsid w:val="00982249"/>
    <w:rsid w:val="00982411"/>
    <w:rsid w:val="0098247B"/>
    <w:rsid w:val="0098257D"/>
    <w:rsid w:val="009825F6"/>
    <w:rsid w:val="0098261A"/>
    <w:rsid w:val="0098268D"/>
    <w:rsid w:val="0098271C"/>
    <w:rsid w:val="00982757"/>
    <w:rsid w:val="00982809"/>
    <w:rsid w:val="00982A08"/>
    <w:rsid w:val="00982A83"/>
    <w:rsid w:val="00982BCD"/>
    <w:rsid w:val="00982BF3"/>
    <w:rsid w:val="00982ED2"/>
    <w:rsid w:val="00982F5B"/>
    <w:rsid w:val="0098301C"/>
    <w:rsid w:val="00983108"/>
    <w:rsid w:val="0098310F"/>
    <w:rsid w:val="0098323C"/>
    <w:rsid w:val="00983398"/>
    <w:rsid w:val="009833F4"/>
    <w:rsid w:val="00983495"/>
    <w:rsid w:val="0098364C"/>
    <w:rsid w:val="0098366A"/>
    <w:rsid w:val="00983761"/>
    <w:rsid w:val="0098379E"/>
    <w:rsid w:val="009837B2"/>
    <w:rsid w:val="009837EE"/>
    <w:rsid w:val="0098390D"/>
    <w:rsid w:val="00983977"/>
    <w:rsid w:val="009839A7"/>
    <w:rsid w:val="009839EB"/>
    <w:rsid w:val="00983B74"/>
    <w:rsid w:val="00983BBF"/>
    <w:rsid w:val="00983C03"/>
    <w:rsid w:val="00983C7A"/>
    <w:rsid w:val="00983D3E"/>
    <w:rsid w:val="00983DBA"/>
    <w:rsid w:val="00983EEA"/>
    <w:rsid w:val="00984107"/>
    <w:rsid w:val="00984247"/>
    <w:rsid w:val="009842E1"/>
    <w:rsid w:val="00984323"/>
    <w:rsid w:val="00984354"/>
    <w:rsid w:val="0098445E"/>
    <w:rsid w:val="009844E2"/>
    <w:rsid w:val="00984506"/>
    <w:rsid w:val="009847A8"/>
    <w:rsid w:val="00984820"/>
    <w:rsid w:val="0098497A"/>
    <w:rsid w:val="00984980"/>
    <w:rsid w:val="009849E5"/>
    <w:rsid w:val="00984BBD"/>
    <w:rsid w:val="00984CE7"/>
    <w:rsid w:val="00984DC8"/>
    <w:rsid w:val="00984DFE"/>
    <w:rsid w:val="009850A3"/>
    <w:rsid w:val="009850D9"/>
    <w:rsid w:val="0098520E"/>
    <w:rsid w:val="00985450"/>
    <w:rsid w:val="0098546B"/>
    <w:rsid w:val="00985580"/>
    <w:rsid w:val="0098572B"/>
    <w:rsid w:val="009858D2"/>
    <w:rsid w:val="00985A1D"/>
    <w:rsid w:val="00985ACA"/>
    <w:rsid w:val="00985AED"/>
    <w:rsid w:val="00985B07"/>
    <w:rsid w:val="00985B0D"/>
    <w:rsid w:val="00985B27"/>
    <w:rsid w:val="00985BB7"/>
    <w:rsid w:val="00985C75"/>
    <w:rsid w:val="00985D29"/>
    <w:rsid w:val="00985FB4"/>
    <w:rsid w:val="00986125"/>
    <w:rsid w:val="0098619D"/>
    <w:rsid w:val="0098620A"/>
    <w:rsid w:val="0098623F"/>
    <w:rsid w:val="009862A0"/>
    <w:rsid w:val="00986523"/>
    <w:rsid w:val="009865B9"/>
    <w:rsid w:val="00986812"/>
    <w:rsid w:val="00986887"/>
    <w:rsid w:val="009868AF"/>
    <w:rsid w:val="00986A9F"/>
    <w:rsid w:val="00986BDC"/>
    <w:rsid w:val="00986ED0"/>
    <w:rsid w:val="00986EF3"/>
    <w:rsid w:val="009870DF"/>
    <w:rsid w:val="00987179"/>
    <w:rsid w:val="0098730B"/>
    <w:rsid w:val="009873A3"/>
    <w:rsid w:val="00987411"/>
    <w:rsid w:val="00987537"/>
    <w:rsid w:val="00987667"/>
    <w:rsid w:val="00987893"/>
    <w:rsid w:val="00987946"/>
    <w:rsid w:val="00987A3E"/>
    <w:rsid w:val="00987AAF"/>
    <w:rsid w:val="00987AE4"/>
    <w:rsid w:val="00987AF8"/>
    <w:rsid w:val="00987CD6"/>
    <w:rsid w:val="00987E26"/>
    <w:rsid w:val="00987EA7"/>
    <w:rsid w:val="009900D0"/>
    <w:rsid w:val="009900E7"/>
    <w:rsid w:val="0099014C"/>
    <w:rsid w:val="00990193"/>
    <w:rsid w:val="00990203"/>
    <w:rsid w:val="00990254"/>
    <w:rsid w:val="00990288"/>
    <w:rsid w:val="009902D2"/>
    <w:rsid w:val="00990373"/>
    <w:rsid w:val="00990430"/>
    <w:rsid w:val="009904A0"/>
    <w:rsid w:val="009904B5"/>
    <w:rsid w:val="009905A5"/>
    <w:rsid w:val="00990630"/>
    <w:rsid w:val="00990833"/>
    <w:rsid w:val="00990AAA"/>
    <w:rsid w:val="00990B32"/>
    <w:rsid w:val="00990BA2"/>
    <w:rsid w:val="00990C8C"/>
    <w:rsid w:val="00990E63"/>
    <w:rsid w:val="00990F53"/>
    <w:rsid w:val="00991024"/>
    <w:rsid w:val="0099106B"/>
    <w:rsid w:val="009910C9"/>
    <w:rsid w:val="009910E8"/>
    <w:rsid w:val="009911F3"/>
    <w:rsid w:val="009911F7"/>
    <w:rsid w:val="0099120A"/>
    <w:rsid w:val="0099141C"/>
    <w:rsid w:val="009917E0"/>
    <w:rsid w:val="00991828"/>
    <w:rsid w:val="00991926"/>
    <w:rsid w:val="0099196C"/>
    <w:rsid w:val="00991A52"/>
    <w:rsid w:val="00991A9F"/>
    <w:rsid w:val="00991C92"/>
    <w:rsid w:val="00991D34"/>
    <w:rsid w:val="00991D89"/>
    <w:rsid w:val="00991DF1"/>
    <w:rsid w:val="00991DFB"/>
    <w:rsid w:val="00991E8A"/>
    <w:rsid w:val="00991EDD"/>
    <w:rsid w:val="00991F62"/>
    <w:rsid w:val="00991FAA"/>
    <w:rsid w:val="0099230A"/>
    <w:rsid w:val="00992542"/>
    <w:rsid w:val="00992596"/>
    <w:rsid w:val="00992749"/>
    <w:rsid w:val="009927EB"/>
    <w:rsid w:val="00992A0F"/>
    <w:rsid w:val="00992A16"/>
    <w:rsid w:val="00992A52"/>
    <w:rsid w:val="00992CA8"/>
    <w:rsid w:val="00992D1E"/>
    <w:rsid w:val="00992E3A"/>
    <w:rsid w:val="00992E44"/>
    <w:rsid w:val="00992E9D"/>
    <w:rsid w:val="00992EED"/>
    <w:rsid w:val="009930E2"/>
    <w:rsid w:val="00993144"/>
    <w:rsid w:val="0099324D"/>
    <w:rsid w:val="00993266"/>
    <w:rsid w:val="00993333"/>
    <w:rsid w:val="00993376"/>
    <w:rsid w:val="0099346B"/>
    <w:rsid w:val="0099355E"/>
    <w:rsid w:val="009935DF"/>
    <w:rsid w:val="009936EE"/>
    <w:rsid w:val="009937D0"/>
    <w:rsid w:val="009938C2"/>
    <w:rsid w:val="0099394A"/>
    <w:rsid w:val="0099399A"/>
    <w:rsid w:val="00993A25"/>
    <w:rsid w:val="00993AD3"/>
    <w:rsid w:val="00993C13"/>
    <w:rsid w:val="00993C6A"/>
    <w:rsid w:val="00993DC9"/>
    <w:rsid w:val="00993E02"/>
    <w:rsid w:val="00993E45"/>
    <w:rsid w:val="00993E8F"/>
    <w:rsid w:val="00993EB2"/>
    <w:rsid w:val="00993EF6"/>
    <w:rsid w:val="00993F4C"/>
    <w:rsid w:val="00993F92"/>
    <w:rsid w:val="00994203"/>
    <w:rsid w:val="0099428A"/>
    <w:rsid w:val="0099428D"/>
    <w:rsid w:val="009944CC"/>
    <w:rsid w:val="00994687"/>
    <w:rsid w:val="009947C3"/>
    <w:rsid w:val="00994B60"/>
    <w:rsid w:val="00994D81"/>
    <w:rsid w:val="00995081"/>
    <w:rsid w:val="009950D9"/>
    <w:rsid w:val="009950F9"/>
    <w:rsid w:val="009951F1"/>
    <w:rsid w:val="009952DE"/>
    <w:rsid w:val="0099533D"/>
    <w:rsid w:val="009954A3"/>
    <w:rsid w:val="0099557B"/>
    <w:rsid w:val="009956E9"/>
    <w:rsid w:val="009957E2"/>
    <w:rsid w:val="00995949"/>
    <w:rsid w:val="00995987"/>
    <w:rsid w:val="00995B2F"/>
    <w:rsid w:val="00995CC3"/>
    <w:rsid w:val="00995D0F"/>
    <w:rsid w:val="00995EB7"/>
    <w:rsid w:val="00996286"/>
    <w:rsid w:val="0099634E"/>
    <w:rsid w:val="00996363"/>
    <w:rsid w:val="0099651D"/>
    <w:rsid w:val="0099656F"/>
    <w:rsid w:val="009965E4"/>
    <w:rsid w:val="00996606"/>
    <w:rsid w:val="009966C5"/>
    <w:rsid w:val="009966C7"/>
    <w:rsid w:val="00996727"/>
    <w:rsid w:val="0099675E"/>
    <w:rsid w:val="0099679F"/>
    <w:rsid w:val="009967FE"/>
    <w:rsid w:val="00996897"/>
    <w:rsid w:val="00996964"/>
    <w:rsid w:val="00996986"/>
    <w:rsid w:val="00996988"/>
    <w:rsid w:val="00996C30"/>
    <w:rsid w:val="00996C32"/>
    <w:rsid w:val="00996C90"/>
    <w:rsid w:val="00997025"/>
    <w:rsid w:val="00997185"/>
    <w:rsid w:val="00997230"/>
    <w:rsid w:val="0099735B"/>
    <w:rsid w:val="0099737E"/>
    <w:rsid w:val="0099740D"/>
    <w:rsid w:val="009974D5"/>
    <w:rsid w:val="00997819"/>
    <w:rsid w:val="0099788F"/>
    <w:rsid w:val="009979AF"/>
    <w:rsid w:val="009979CA"/>
    <w:rsid w:val="00997CC1"/>
    <w:rsid w:val="00997E17"/>
    <w:rsid w:val="009A00CA"/>
    <w:rsid w:val="009A0333"/>
    <w:rsid w:val="009A0562"/>
    <w:rsid w:val="009A0649"/>
    <w:rsid w:val="009A070B"/>
    <w:rsid w:val="009A073B"/>
    <w:rsid w:val="009A0834"/>
    <w:rsid w:val="009A08D0"/>
    <w:rsid w:val="009A08FC"/>
    <w:rsid w:val="009A0B60"/>
    <w:rsid w:val="009A0B7F"/>
    <w:rsid w:val="009A0BED"/>
    <w:rsid w:val="009A0C3E"/>
    <w:rsid w:val="009A0C98"/>
    <w:rsid w:val="009A0D39"/>
    <w:rsid w:val="009A0D41"/>
    <w:rsid w:val="009A0EC3"/>
    <w:rsid w:val="009A1009"/>
    <w:rsid w:val="009A1074"/>
    <w:rsid w:val="009A10BC"/>
    <w:rsid w:val="009A1153"/>
    <w:rsid w:val="009A11B6"/>
    <w:rsid w:val="009A11C0"/>
    <w:rsid w:val="009A12AF"/>
    <w:rsid w:val="009A1301"/>
    <w:rsid w:val="009A13F7"/>
    <w:rsid w:val="009A1585"/>
    <w:rsid w:val="009A15D1"/>
    <w:rsid w:val="009A167E"/>
    <w:rsid w:val="009A172A"/>
    <w:rsid w:val="009A17D3"/>
    <w:rsid w:val="009A17DE"/>
    <w:rsid w:val="009A18C5"/>
    <w:rsid w:val="009A19D2"/>
    <w:rsid w:val="009A1A92"/>
    <w:rsid w:val="009A1B44"/>
    <w:rsid w:val="009A1B52"/>
    <w:rsid w:val="009A1C93"/>
    <w:rsid w:val="009A1E34"/>
    <w:rsid w:val="009A1E37"/>
    <w:rsid w:val="009A1E8B"/>
    <w:rsid w:val="009A1EA3"/>
    <w:rsid w:val="009A20E5"/>
    <w:rsid w:val="009A2195"/>
    <w:rsid w:val="009A2358"/>
    <w:rsid w:val="009A2418"/>
    <w:rsid w:val="009A24B0"/>
    <w:rsid w:val="009A24EF"/>
    <w:rsid w:val="009A2648"/>
    <w:rsid w:val="009A2649"/>
    <w:rsid w:val="009A2828"/>
    <w:rsid w:val="009A285D"/>
    <w:rsid w:val="009A28BB"/>
    <w:rsid w:val="009A29D8"/>
    <w:rsid w:val="009A2BAD"/>
    <w:rsid w:val="009A2BE6"/>
    <w:rsid w:val="009A2C37"/>
    <w:rsid w:val="009A2C60"/>
    <w:rsid w:val="009A2D53"/>
    <w:rsid w:val="009A2DDC"/>
    <w:rsid w:val="009A2DE0"/>
    <w:rsid w:val="009A2EA6"/>
    <w:rsid w:val="009A2EF3"/>
    <w:rsid w:val="009A2FA4"/>
    <w:rsid w:val="009A3148"/>
    <w:rsid w:val="009A31A4"/>
    <w:rsid w:val="009A334F"/>
    <w:rsid w:val="009A33DA"/>
    <w:rsid w:val="009A356C"/>
    <w:rsid w:val="009A37AD"/>
    <w:rsid w:val="009A38E6"/>
    <w:rsid w:val="009A39B7"/>
    <w:rsid w:val="009A39DB"/>
    <w:rsid w:val="009A3A3A"/>
    <w:rsid w:val="009A3CF4"/>
    <w:rsid w:val="009A3D42"/>
    <w:rsid w:val="009A3F24"/>
    <w:rsid w:val="009A3FA0"/>
    <w:rsid w:val="009A3FD4"/>
    <w:rsid w:val="009A4041"/>
    <w:rsid w:val="009A40DE"/>
    <w:rsid w:val="009A411B"/>
    <w:rsid w:val="009A41BA"/>
    <w:rsid w:val="009A42BD"/>
    <w:rsid w:val="009A42CC"/>
    <w:rsid w:val="009A436E"/>
    <w:rsid w:val="009A4380"/>
    <w:rsid w:val="009A43B2"/>
    <w:rsid w:val="009A43E5"/>
    <w:rsid w:val="009A4442"/>
    <w:rsid w:val="009A446D"/>
    <w:rsid w:val="009A45DE"/>
    <w:rsid w:val="009A45F1"/>
    <w:rsid w:val="009A4831"/>
    <w:rsid w:val="009A48BF"/>
    <w:rsid w:val="009A4946"/>
    <w:rsid w:val="009A4C68"/>
    <w:rsid w:val="009A4D5B"/>
    <w:rsid w:val="009A4D5F"/>
    <w:rsid w:val="009A4DA7"/>
    <w:rsid w:val="009A4DF9"/>
    <w:rsid w:val="009A4E09"/>
    <w:rsid w:val="009A4F3A"/>
    <w:rsid w:val="009A4FB7"/>
    <w:rsid w:val="009A5094"/>
    <w:rsid w:val="009A5136"/>
    <w:rsid w:val="009A5199"/>
    <w:rsid w:val="009A51D5"/>
    <w:rsid w:val="009A52CF"/>
    <w:rsid w:val="009A52F0"/>
    <w:rsid w:val="009A53EC"/>
    <w:rsid w:val="009A53FC"/>
    <w:rsid w:val="009A54D8"/>
    <w:rsid w:val="009A59DB"/>
    <w:rsid w:val="009A59E6"/>
    <w:rsid w:val="009A5A9C"/>
    <w:rsid w:val="009A5AEA"/>
    <w:rsid w:val="009A5BEE"/>
    <w:rsid w:val="009A5C02"/>
    <w:rsid w:val="009A5CC9"/>
    <w:rsid w:val="009A5DBA"/>
    <w:rsid w:val="009A5E6C"/>
    <w:rsid w:val="009A5EA8"/>
    <w:rsid w:val="009A5F8B"/>
    <w:rsid w:val="009A607C"/>
    <w:rsid w:val="009A6136"/>
    <w:rsid w:val="009A6198"/>
    <w:rsid w:val="009A61A0"/>
    <w:rsid w:val="009A6266"/>
    <w:rsid w:val="009A6556"/>
    <w:rsid w:val="009A676D"/>
    <w:rsid w:val="009A682D"/>
    <w:rsid w:val="009A686E"/>
    <w:rsid w:val="009A6994"/>
    <w:rsid w:val="009A6C8B"/>
    <w:rsid w:val="009A6E17"/>
    <w:rsid w:val="009A6EEA"/>
    <w:rsid w:val="009A6FA8"/>
    <w:rsid w:val="009A702E"/>
    <w:rsid w:val="009A7085"/>
    <w:rsid w:val="009A70FA"/>
    <w:rsid w:val="009A7125"/>
    <w:rsid w:val="009A7327"/>
    <w:rsid w:val="009A73A7"/>
    <w:rsid w:val="009A73D7"/>
    <w:rsid w:val="009A7411"/>
    <w:rsid w:val="009A7478"/>
    <w:rsid w:val="009A7858"/>
    <w:rsid w:val="009A7911"/>
    <w:rsid w:val="009A796E"/>
    <w:rsid w:val="009A797A"/>
    <w:rsid w:val="009A7A70"/>
    <w:rsid w:val="009A7B2D"/>
    <w:rsid w:val="009A7C08"/>
    <w:rsid w:val="009A7C91"/>
    <w:rsid w:val="009A7DBF"/>
    <w:rsid w:val="009A7E7F"/>
    <w:rsid w:val="009A7EA7"/>
    <w:rsid w:val="009A7ED3"/>
    <w:rsid w:val="009B006B"/>
    <w:rsid w:val="009B0294"/>
    <w:rsid w:val="009B0298"/>
    <w:rsid w:val="009B0306"/>
    <w:rsid w:val="009B040D"/>
    <w:rsid w:val="009B04EA"/>
    <w:rsid w:val="009B0766"/>
    <w:rsid w:val="009B090C"/>
    <w:rsid w:val="009B0910"/>
    <w:rsid w:val="009B0B1A"/>
    <w:rsid w:val="009B0B48"/>
    <w:rsid w:val="009B0B4A"/>
    <w:rsid w:val="009B0BAA"/>
    <w:rsid w:val="009B0BC1"/>
    <w:rsid w:val="009B0C69"/>
    <w:rsid w:val="009B0CCA"/>
    <w:rsid w:val="009B0E00"/>
    <w:rsid w:val="009B1091"/>
    <w:rsid w:val="009B10EE"/>
    <w:rsid w:val="009B10F8"/>
    <w:rsid w:val="009B13AF"/>
    <w:rsid w:val="009B1555"/>
    <w:rsid w:val="009B163B"/>
    <w:rsid w:val="009B183F"/>
    <w:rsid w:val="009B197F"/>
    <w:rsid w:val="009B1A7D"/>
    <w:rsid w:val="009B1A84"/>
    <w:rsid w:val="009B1B50"/>
    <w:rsid w:val="009B1BF8"/>
    <w:rsid w:val="009B1C30"/>
    <w:rsid w:val="009B1D33"/>
    <w:rsid w:val="009B1D5D"/>
    <w:rsid w:val="009B1D9F"/>
    <w:rsid w:val="009B1EC2"/>
    <w:rsid w:val="009B1ECB"/>
    <w:rsid w:val="009B1F6D"/>
    <w:rsid w:val="009B1FAF"/>
    <w:rsid w:val="009B2033"/>
    <w:rsid w:val="009B21AF"/>
    <w:rsid w:val="009B21D2"/>
    <w:rsid w:val="009B21DF"/>
    <w:rsid w:val="009B2227"/>
    <w:rsid w:val="009B227C"/>
    <w:rsid w:val="009B229B"/>
    <w:rsid w:val="009B22DE"/>
    <w:rsid w:val="009B25EB"/>
    <w:rsid w:val="009B2618"/>
    <w:rsid w:val="009B2710"/>
    <w:rsid w:val="009B27DC"/>
    <w:rsid w:val="009B2848"/>
    <w:rsid w:val="009B29E5"/>
    <w:rsid w:val="009B2AC5"/>
    <w:rsid w:val="009B2B6D"/>
    <w:rsid w:val="009B2C05"/>
    <w:rsid w:val="009B2C17"/>
    <w:rsid w:val="009B2C3C"/>
    <w:rsid w:val="009B2CBD"/>
    <w:rsid w:val="009B2E73"/>
    <w:rsid w:val="009B3081"/>
    <w:rsid w:val="009B3084"/>
    <w:rsid w:val="009B3389"/>
    <w:rsid w:val="009B3582"/>
    <w:rsid w:val="009B35DB"/>
    <w:rsid w:val="009B36B2"/>
    <w:rsid w:val="009B36E1"/>
    <w:rsid w:val="009B3885"/>
    <w:rsid w:val="009B39C9"/>
    <w:rsid w:val="009B3A64"/>
    <w:rsid w:val="009B3A6B"/>
    <w:rsid w:val="009B3AB3"/>
    <w:rsid w:val="009B3B2E"/>
    <w:rsid w:val="009B3BB7"/>
    <w:rsid w:val="009B3C14"/>
    <w:rsid w:val="009B3C84"/>
    <w:rsid w:val="009B3CD6"/>
    <w:rsid w:val="009B3D2C"/>
    <w:rsid w:val="009B40AC"/>
    <w:rsid w:val="009B41EE"/>
    <w:rsid w:val="009B43B4"/>
    <w:rsid w:val="009B4407"/>
    <w:rsid w:val="009B465B"/>
    <w:rsid w:val="009B46BA"/>
    <w:rsid w:val="009B46BE"/>
    <w:rsid w:val="009B4713"/>
    <w:rsid w:val="009B4731"/>
    <w:rsid w:val="009B4754"/>
    <w:rsid w:val="009B47A2"/>
    <w:rsid w:val="009B49D3"/>
    <w:rsid w:val="009B4A39"/>
    <w:rsid w:val="009B4A81"/>
    <w:rsid w:val="009B4B0B"/>
    <w:rsid w:val="009B4C24"/>
    <w:rsid w:val="009B4C48"/>
    <w:rsid w:val="009B4C52"/>
    <w:rsid w:val="009B4DB3"/>
    <w:rsid w:val="009B4E7C"/>
    <w:rsid w:val="009B4F79"/>
    <w:rsid w:val="009B4F7A"/>
    <w:rsid w:val="009B514E"/>
    <w:rsid w:val="009B51B6"/>
    <w:rsid w:val="009B51BC"/>
    <w:rsid w:val="009B51C8"/>
    <w:rsid w:val="009B53EB"/>
    <w:rsid w:val="009B54AE"/>
    <w:rsid w:val="009B558F"/>
    <w:rsid w:val="009B55F6"/>
    <w:rsid w:val="009B5713"/>
    <w:rsid w:val="009B571C"/>
    <w:rsid w:val="009B5762"/>
    <w:rsid w:val="009B586E"/>
    <w:rsid w:val="009B588E"/>
    <w:rsid w:val="009B597D"/>
    <w:rsid w:val="009B5A09"/>
    <w:rsid w:val="009B5A4E"/>
    <w:rsid w:val="009B5A83"/>
    <w:rsid w:val="009B5CCE"/>
    <w:rsid w:val="009B5E09"/>
    <w:rsid w:val="009B5ECF"/>
    <w:rsid w:val="009B5FA7"/>
    <w:rsid w:val="009B619C"/>
    <w:rsid w:val="009B61A0"/>
    <w:rsid w:val="009B63D6"/>
    <w:rsid w:val="009B646B"/>
    <w:rsid w:val="009B6539"/>
    <w:rsid w:val="009B658A"/>
    <w:rsid w:val="009B65F0"/>
    <w:rsid w:val="009B6614"/>
    <w:rsid w:val="009B66DC"/>
    <w:rsid w:val="009B673F"/>
    <w:rsid w:val="009B67D3"/>
    <w:rsid w:val="009B6916"/>
    <w:rsid w:val="009B69C6"/>
    <w:rsid w:val="009B6A9D"/>
    <w:rsid w:val="009B6AAF"/>
    <w:rsid w:val="009B6B61"/>
    <w:rsid w:val="009B6C54"/>
    <w:rsid w:val="009B6D49"/>
    <w:rsid w:val="009B6D62"/>
    <w:rsid w:val="009B6DDB"/>
    <w:rsid w:val="009B6FDA"/>
    <w:rsid w:val="009B7020"/>
    <w:rsid w:val="009B70D8"/>
    <w:rsid w:val="009B715E"/>
    <w:rsid w:val="009B72B4"/>
    <w:rsid w:val="009B7352"/>
    <w:rsid w:val="009B73EB"/>
    <w:rsid w:val="009B7434"/>
    <w:rsid w:val="009B74B7"/>
    <w:rsid w:val="009B75A0"/>
    <w:rsid w:val="009B75A3"/>
    <w:rsid w:val="009B7628"/>
    <w:rsid w:val="009B768B"/>
    <w:rsid w:val="009B782C"/>
    <w:rsid w:val="009B798D"/>
    <w:rsid w:val="009B79FF"/>
    <w:rsid w:val="009B7A43"/>
    <w:rsid w:val="009B7AD3"/>
    <w:rsid w:val="009B7B94"/>
    <w:rsid w:val="009B7C4C"/>
    <w:rsid w:val="009B7C59"/>
    <w:rsid w:val="009B7C88"/>
    <w:rsid w:val="009B7CCF"/>
    <w:rsid w:val="009B7FF9"/>
    <w:rsid w:val="009C0046"/>
    <w:rsid w:val="009C004E"/>
    <w:rsid w:val="009C00DA"/>
    <w:rsid w:val="009C01E5"/>
    <w:rsid w:val="009C026D"/>
    <w:rsid w:val="009C0439"/>
    <w:rsid w:val="009C06C2"/>
    <w:rsid w:val="009C07C8"/>
    <w:rsid w:val="009C0822"/>
    <w:rsid w:val="009C0A19"/>
    <w:rsid w:val="009C0B20"/>
    <w:rsid w:val="009C0C42"/>
    <w:rsid w:val="009C0F01"/>
    <w:rsid w:val="009C0F9F"/>
    <w:rsid w:val="009C10A9"/>
    <w:rsid w:val="009C11E2"/>
    <w:rsid w:val="009C13C3"/>
    <w:rsid w:val="009C1469"/>
    <w:rsid w:val="009C1513"/>
    <w:rsid w:val="009C15E9"/>
    <w:rsid w:val="009C1610"/>
    <w:rsid w:val="009C1622"/>
    <w:rsid w:val="009C18F2"/>
    <w:rsid w:val="009C19E2"/>
    <w:rsid w:val="009C1A43"/>
    <w:rsid w:val="009C1B93"/>
    <w:rsid w:val="009C1C6B"/>
    <w:rsid w:val="009C1C9E"/>
    <w:rsid w:val="009C1F52"/>
    <w:rsid w:val="009C1F64"/>
    <w:rsid w:val="009C2069"/>
    <w:rsid w:val="009C208F"/>
    <w:rsid w:val="009C20B9"/>
    <w:rsid w:val="009C212D"/>
    <w:rsid w:val="009C21ED"/>
    <w:rsid w:val="009C23A7"/>
    <w:rsid w:val="009C23BD"/>
    <w:rsid w:val="009C24AC"/>
    <w:rsid w:val="009C24E4"/>
    <w:rsid w:val="009C2507"/>
    <w:rsid w:val="009C264C"/>
    <w:rsid w:val="009C26E4"/>
    <w:rsid w:val="009C2722"/>
    <w:rsid w:val="009C27D7"/>
    <w:rsid w:val="009C28F0"/>
    <w:rsid w:val="009C294A"/>
    <w:rsid w:val="009C2A8E"/>
    <w:rsid w:val="009C2AA1"/>
    <w:rsid w:val="009C2AFF"/>
    <w:rsid w:val="009C2BC6"/>
    <w:rsid w:val="009C2C4F"/>
    <w:rsid w:val="009C2D33"/>
    <w:rsid w:val="009C2E24"/>
    <w:rsid w:val="009C2FD8"/>
    <w:rsid w:val="009C33EC"/>
    <w:rsid w:val="009C3439"/>
    <w:rsid w:val="009C34BA"/>
    <w:rsid w:val="009C36AC"/>
    <w:rsid w:val="009C37A3"/>
    <w:rsid w:val="009C3AC2"/>
    <w:rsid w:val="009C3B14"/>
    <w:rsid w:val="009C3BE5"/>
    <w:rsid w:val="009C3C35"/>
    <w:rsid w:val="009C3C43"/>
    <w:rsid w:val="009C3C52"/>
    <w:rsid w:val="009C3D89"/>
    <w:rsid w:val="009C3DB3"/>
    <w:rsid w:val="009C3DE6"/>
    <w:rsid w:val="009C4047"/>
    <w:rsid w:val="009C408A"/>
    <w:rsid w:val="009C408B"/>
    <w:rsid w:val="009C417B"/>
    <w:rsid w:val="009C4291"/>
    <w:rsid w:val="009C4597"/>
    <w:rsid w:val="009C45C1"/>
    <w:rsid w:val="009C46A3"/>
    <w:rsid w:val="009C46B5"/>
    <w:rsid w:val="009C482F"/>
    <w:rsid w:val="009C4857"/>
    <w:rsid w:val="009C4AA7"/>
    <w:rsid w:val="009C4B04"/>
    <w:rsid w:val="009C4B47"/>
    <w:rsid w:val="009C4C4D"/>
    <w:rsid w:val="009C4D72"/>
    <w:rsid w:val="009C4DF9"/>
    <w:rsid w:val="009C4E0C"/>
    <w:rsid w:val="009C4EB2"/>
    <w:rsid w:val="009C4F20"/>
    <w:rsid w:val="009C5017"/>
    <w:rsid w:val="009C50F1"/>
    <w:rsid w:val="009C526B"/>
    <w:rsid w:val="009C52C1"/>
    <w:rsid w:val="009C5353"/>
    <w:rsid w:val="009C5446"/>
    <w:rsid w:val="009C54F5"/>
    <w:rsid w:val="009C5708"/>
    <w:rsid w:val="009C58D7"/>
    <w:rsid w:val="009C5937"/>
    <w:rsid w:val="009C5942"/>
    <w:rsid w:val="009C5A7D"/>
    <w:rsid w:val="009C5AD2"/>
    <w:rsid w:val="009C5BA1"/>
    <w:rsid w:val="009C5BEB"/>
    <w:rsid w:val="009C5C1D"/>
    <w:rsid w:val="009C5CD5"/>
    <w:rsid w:val="009C5D7F"/>
    <w:rsid w:val="009C5E57"/>
    <w:rsid w:val="009C6175"/>
    <w:rsid w:val="009C6279"/>
    <w:rsid w:val="009C62B0"/>
    <w:rsid w:val="009C6442"/>
    <w:rsid w:val="009C6464"/>
    <w:rsid w:val="009C6492"/>
    <w:rsid w:val="009C649A"/>
    <w:rsid w:val="009C6633"/>
    <w:rsid w:val="009C6648"/>
    <w:rsid w:val="009C6706"/>
    <w:rsid w:val="009C6713"/>
    <w:rsid w:val="009C67F2"/>
    <w:rsid w:val="009C698E"/>
    <w:rsid w:val="009C69A4"/>
    <w:rsid w:val="009C6A09"/>
    <w:rsid w:val="009C6ABE"/>
    <w:rsid w:val="009C6B70"/>
    <w:rsid w:val="009C6D5E"/>
    <w:rsid w:val="009C6D62"/>
    <w:rsid w:val="009C6DD6"/>
    <w:rsid w:val="009C6E57"/>
    <w:rsid w:val="009C6EC7"/>
    <w:rsid w:val="009C6F3C"/>
    <w:rsid w:val="009C6FCA"/>
    <w:rsid w:val="009C7001"/>
    <w:rsid w:val="009C700B"/>
    <w:rsid w:val="009C7043"/>
    <w:rsid w:val="009C70EA"/>
    <w:rsid w:val="009C710B"/>
    <w:rsid w:val="009C71BE"/>
    <w:rsid w:val="009C71EE"/>
    <w:rsid w:val="009C72B0"/>
    <w:rsid w:val="009C74D5"/>
    <w:rsid w:val="009C7532"/>
    <w:rsid w:val="009C7673"/>
    <w:rsid w:val="009C7776"/>
    <w:rsid w:val="009C7809"/>
    <w:rsid w:val="009C7844"/>
    <w:rsid w:val="009C79FE"/>
    <w:rsid w:val="009C7A9F"/>
    <w:rsid w:val="009C7B4E"/>
    <w:rsid w:val="009C7F67"/>
    <w:rsid w:val="009D00AF"/>
    <w:rsid w:val="009D020D"/>
    <w:rsid w:val="009D038A"/>
    <w:rsid w:val="009D04D3"/>
    <w:rsid w:val="009D0541"/>
    <w:rsid w:val="009D056B"/>
    <w:rsid w:val="009D065F"/>
    <w:rsid w:val="009D07CF"/>
    <w:rsid w:val="009D0847"/>
    <w:rsid w:val="009D08DF"/>
    <w:rsid w:val="009D096A"/>
    <w:rsid w:val="009D0D60"/>
    <w:rsid w:val="009D0D66"/>
    <w:rsid w:val="009D0E11"/>
    <w:rsid w:val="009D0EAB"/>
    <w:rsid w:val="009D0EC0"/>
    <w:rsid w:val="009D14BC"/>
    <w:rsid w:val="009D1636"/>
    <w:rsid w:val="009D1745"/>
    <w:rsid w:val="009D180C"/>
    <w:rsid w:val="009D1C33"/>
    <w:rsid w:val="009D1D98"/>
    <w:rsid w:val="009D1E4F"/>
    <w:rsid w:val="009D1F7C"/>
    <w:rsid w:val="009D2238"/>
    <w:rsid w:val="009D2309"/>
    <w:rsid w:val="009D2340"/>
    <w:rsid w:val="009D250D"/>
    <w:rsid w:val="009D2545"/>
    <w:rsid w:val="009D25C1"/>
    <w:rsid w:val="009D267C"/>
    <w:rsid w:val="009D2691"/>
    <w:rsid w:val="009D298B"/>
    <w:rsid w:val="009D29DD"/>
    <w:rsid w:val="009D2A1A"/>
    <w:rsid w:val="009D2A29"/>
    <w:rsid w:val="009D2AD6"/>
    <w:rsid w:val="009D2BAF"/>
    <w:rsid w:val="009D2F3C"/>
    <w:rsid w:val="009D3028"/>
    <w:rsid w:val="009D3047"/>
    <w:rsid w:val="009D30F8"/>
    <w:rsid w:val="009D3141"/>
    <w:rsid w:val="009D31D5"/>
    <w:rsid w:val="009D32B5"/>
    <w:rsid w:val="009D32EA"/>
    <w:rsid w:val="009D3360"/>
    <w:rsid w:val="009D33D7"/>
    <w:rsid w:val="009D34E9"/>
    <w:rsid w:val="009D36FA"/>
    <w:rsid w:val="009D3938"/>
    <w:rsid w:val="009D3AE6"/>
    <w:rsid w:val="009D3B35"/>
    <w:rsid w:val="009D3D52"/>
    <w:rsid w:val="009D3FBD"/>
    <w:rsid w:val="009D421C"/>
    <w:rsid w:val="009D424D"/>
    <w:rsid w:val="009D4287"/>
    <w:rsid w:val="009D438F"/>
    <w:rsid w:val="009D43BE"/>
    <w:rsid w:val="009D444E"/>
    <w:rsid w:val="009D465E"/>
    <w:rsid w:val="009D4A6C"/>
    <w:rsid w:val="009D4AA1"/>
    <w:rsid w:val="009D4AC7"/>
    <w:rsid w:val="009D4CE4"/>
    <w:rsid w:val="009D4D02"/>
    <w:rsid w:val="009D4E46"/>
    <w:rsid w:val="009D4F36"/>
    <w:rsid w:val="009D5041"/>
    <w:rsid w:val="009D5129"/>
    <w:rsid w:val="009D5204"/>
    <w:rsid w:val="009D52AA"/>
    <w:rsid w:val="009D5342"/>
    <w:rsid w:val="009D5364"/>
    <w:rsid w:val="009D548E"/>
    <w:rsid w:val="009D5556"/>
    <w:rsid w:val="009D55E6"/>
    <w:rsid w:val="009D5B5B"/>
    <w:rsid w:val="009D5B92"/>
    <w:rsid w:val="009D5C6B"/>
    <w:rsid w:val="009D5CB6"/>
    <w:rsid w:val="009D5CB9"/>
    <w:rsid w:val="009D5D0D"/>
    <w:rsid w:val="009D5E32"/>
    <w:rsid w:val="009D5F01"/>
    <w:rsid w:val="009D5F80"/>
    <w:rsid w:val="009D5F87"/>
    <w:rsid w:val="009D61C0"/>
    <w:rsid w:val="009D62B2"/>
    <w:rsid w:val="009D6307"/>
    <w:rsid w:val="009D634C"/>
    <w:rsid w:val="009D634D"/>
    <w:rsid w:val="009D6352"/>
    <w:rsid w:val="009D67AF"/>
    <w:rsid w:val="009D68C4"/>
    <w:rsid w:val="009D693E"/>
    <w:rsid w:val="009D6A5A"/>
    <w:rsid w:val="009D6C2E"/>
    <w:rsid w:val="009D6D08"/>
    <w:rsid w:val="009D6D0F"/>
    <w:rsid w:val="009D6D23"/>
    <w:rsid w:val="009D6DC0"/>
    <w:rsid w:val="009D6E49"/>
    <w:rsid w:val="009D6E83"/>
    <w:rsid w:val="009D6F38"/>
    <w:rsid w:val="009D6F40"/>
    <w:rsid w:val="009D6FBC"/>
    <w:rsid w:val="009D7212"/>
    <w:rsid w:val="009D7214"/>
    <w:rsid w:val="009D72A0"/>
    <w:rsid w:val="009D7335"/>
    <w:rsid w:val="009D737E"/>
    <w:rsid w:val="009D73C9"/>
    <w:rsid w:val="009D73EA"/>
    <w:rsid w:val="009D73F9"/>
    <w:rsid w:val="009D75B3"/>
    <w:rsid w:val="009D77C2"/>
    <w:rsid w:val="009D787A"/>
    <w:rsid w:val="009D78E2"/>
    <w:rsid w:val="009D79DA"/>
    <w:rsid w:val="009D7AF6"/>
    <w:rsid w:val="009D7B41"/>
    <w:rsid w:val="009D7B50"/>
    <w:rsid w:val="009D7CE4"/>
    <w:rsid w:val="009D7EC6"/>
    <w:rsid w:val="009E0029"/>
    <w:rsid w:val="009E007B"/>
    <w:rsid w:val="009E00F5"/>
    <w:rsid w:val="009E0109"/>
    <w:rsid w:val="009E01D4"/>
    <w:rsid w:val="009E01E1"/>
    <w:rsid w:val="009E042C"/>
    <w:rsid w:val="009E04C0"/>
    <w:rsid w:val="009E08E3"/>
    <w:rsid w:val="009E0A4E"/>
    <w:rsid w:val="009E0AEA"/>
    <w:rsid w:val="009E0BEC"/>
    <w:rsid w:val="009E0BEE"/>
    <w:rsid w:val="009E0C10"/>
    <w:rsid w:val="009E0C36"/>
    <w:rsid w:val="009E0D20"/>
    <w:rsid w:val="009E0E39"/>
    <w:rsid w:val="009E0E67"/>
    <w:rsid w:val="009E1139"/>
    <w:rsid w:val="009E1265"/>
    <w:rsid w:val="009E12B5"/>
    <w:rsid w:val="009E1394"/>
    <w:rsid w:val="009E1465"/>
    <w:rsid w:val="009E1490"/>
    <w:rsid w:val="009E152B"/>
    <w:rsid w:val="009E1538"/>
    <w:rsid w:val="009E161A"/>
    <w:rsid w:val="009E16AF"/>
    <w:rsid w:val="009E1749"/>
    <w:rsid w:val="009E19D1"/>
    <w:rsid w:val="009E1ACF"/>
    <w:rsid w:val="009E1AD0"/>
    <w:rsid w:val="009E1ADB"/>
    <w:rsid w:val="009E1AE9"/>
    <w:rsid w:val="009E1CE9"/>
    <w:rsid w:val="009E1D07"/>
    <w:rsid w:val="009E20F7"/>
    <w:rsid w:val="009E2121"/>
    <w:rsid w:val="009E2267"/>
    <w:rsid w:val="009E2434"/>
    <w:rsid w:val="009E24A2"/>
    <w:rsid w:val="009E27D0"/>
    <w:rsid w:val="009E29B6"/>
    <w:rsid w:val="009E2A45"/>
    <w:rsid w:val="009E2AE6"/>
    <w:rsid w:val="009E2B39"/>
    <w:rsid w:val="009E2DAD"/>
    <w:rsid w:val="009E2E15"/>
    <w:rsid w:val="009E2F32"/>
    <w:rsid w:val="009E302C"/>
    <w:rsid w:val="009E31BB"/>
    <w:rsid w:val="009E32EA"/>
    <w:rsid w:val="009E3334"/>
    <w:rsid w:val="009E34B5"/>
    <w:rsid w:val="009E357C"/>
    <w:rsid w:val="009E35C6"/>
    <w:rsid w:val="009E3645"/>
    <w:rsid w:val="009E3719"/>
    <w:rsid w:val="009E37B7"/>
    <w:rsid w:val="009E393F"/>
    <w:rsid w:val="009E3954"/>
    <w:rsid w:val="009E39C2"/>
    <w:rsid w:val="009E39E3"/>
    <w:rsid w:val="009E3A68"/>
    <w:rsid w:val="009E3B6B"/>
    <w:rsid w:val="009E3B6D"/>
    <w:rsid w:val="009E3B75"/>
    <w:rsid w:val="009E3E35"/>
    <w:rsid w:val="009E3ED2"/>
    <w:rsid w:val="009E3FE2"/>
    <w:rsid w:val="009E3FFF"/>
    <w:rsid w:val="009E411B"/>
    <w:rsid w:val="009E414E"/>
    <w:rsid w:val="009E423F"/>
    <w:rsid w:val="009E456B"/>
    <w:rsid w:val="009E463F"/>
    <w:rsid w:val="009E4701"/>
    <w:rsid w:val="009E48AE"/>
    <w:rsid w:val="009E493A"/>
    <w:rsid w:val="009E4A13"/>
    <w:rsid w:val="009E4A1C"/>
    <w:rsid w:val="009E4B86"/>
    <w:rsid w:val="009E4BCD"/>
    <w:rsid w:val="009E4BFA"/>
    <w:rsid w:val="009E4CDE"/>
    <w:rsid w:val="009E4DAD"/>
    <w:rsid w:val="009E4DCC"/>
    <w:rsid w:val="009E4E24"/>
    <w:rsid w:val="009E4E7E"/>
    <w:rsid w:val="009E4EE2"/>
    <w:rsid w:val="009E508F"/>
    <w:rsid w:val="009E51E9"/>
    <w:rsid w:val="009E5284"/>
    <w:rsid w:val="009E5486"/>
    <w:rsid w:val="009E54E6"/>
    <w:rsid w:val="009E55BF"/>
    <w:rsid w:val="009E5695"/>
    <w:rsid w:val="009E569E"/>
    <w:rsid w:val="009E56BD"/>
    <w:rsid w:val="009E5863"/>
    <w:rsid w:val="009E5926"/>
    <w:rsid w:val="009E5A03"/>
    <w:rsid w:val="009E5A41"/>
    <w:rsid w:val="009E5BA0"/>
    <w:rsid w:val="009E5BB2"/>
    <w:rsid w:val="009E5CF9"/>
    <w:rsid w:val="009E6072"/>
    <w:rsid w:val="009E6081"/>
    <w:rsid w:val="009E6184"/>
    <w:rsid w:val="009E61B9"/>
    <w:rsid w:val="009E6254"/>
    <w:rsid w:val="009E6380"/>
    <w:rsid w:val="009E6501"/>
    <w:rsid w:val="009E676E"/>
    <w:rsid w:val="009E67BA"/>
    <w:rsid w:val="009E695C"/>
    <w:rsid w:val="009E6985"/>
    <w:rsid w:val="009E6A21"/>
    <w:rsid w:val="009E6A31"/>
    <w:rsid w:val="009E6A5C"/>
    <w:rsid w:val="009E6C13"/>
    <w:rsid w:val="009E6C81"/>
    <w:rsid w:val="009E6CA2"/>
    <w:rsid w:val="009E6E0A"/>
    <w:rsid w:val="009E6F20"/>
    <w:rsid w:val="009E70D8"/>
    <w:rsid w:val="009E710C"/>
    <w:rsid w:val="009E716B"/>
    <w:rsid w:val="009E71C4"/>
    <w:rsid w:val="009E756E"/>
    <w:rsid w:val="009E760F"/>
    <w:rsid w:val="009E7683"/>
    <w:rsid w:val="009E7730"/>
    <w:rsid w:val="009E7779"/>
    <w:rsid w:val="009E779D"/>
    <w:rsid w:val="009E7A07"/>
    <w:rsid w:val="009E7A70"/>
    <w:rsid w:val="009E7BFD"/>
    <w:rsid w:val="009E7CBE"/>
    <w:rsid w:val="009E7D4E"/>
    <w:rsid w:val="009E7E3A"/>
    <w:rsid w:val="009E7E8E"/>
    <w:rsid w:val="009E7F21"/>
    <w:rsid w:val="009E7F96"/>
    <w:rsid w:val="009E7FB5"/>
    <w:rsid w:val="009E7FF3"/>
    <w:rsid w:val="009F0029"/>
    <w:rsid w:val="009F005C"/>
    <w:rsid w:val="009F00F2"/>
    <w:rsid w:val="009F0195"/>
    <w:rsid w:val="009F040E"/>
    <w:rsid w:val="009F04B2"/>
    <w:rsid w:val="009F053F"/>
    <w:rsid w:val="009F070A"/>
    <w:rsid w:val="009F0763"/>
    <w:rsid w:val="009F0872"/>
    <w:rsid w:val="009F0897"/>
    <w:rsid w:val="009F089F"/>
    <w:rsid w:val="009F0A7D"/>
    <w:rsid w:val="009F0B2D"/>
    <w:rsid w:val="009F0B70"/>
    <w:rsid w:val="009F0D89"/>
    <w:rsid w:val="009F0DF5"/>
    <w:rsid w:val="009F0E07"/>
    <w:rsid w:val="009F1105"/>
    <w:rsid w:val="009F1112"/>
    <w:rsid w:val="009F11A9"/>
    <w:rsid w:val="009F11C8"/>
    <w:rsid w:val="009F125F"/>
    <w:rsid w:val="009F128B"/>
    <w:rsid w:val="009F13BB"/>
    <w:rsid w:val="009F142F"/>
    <w:rsid w:val="009F1571"/>
    <w:rsid w:val="009F15EE"/>
    <w:rsid w:val="009F177B"/>
    <w:rsid w:val="009F17A7"/>
    <w:rsid w:val="009F1948"/>
    <w:rsid w:val="009F197D"/>
    <w:rsid w:val="009F1A6F"/>
    <w:rsid w:val="009F1CA4"/>
    <w:rsid w:val="009F1D67"/>
    <w:rsid w:val="009F1D91"/>
    <w:rsid w:val="009F1FA8"/>
    <w:rsid w:val="009F2029"/>
    <w:rsid w:val="009F214D"/>
    <w:rsid w:val="009F24B0"/>
    <w:rsid w:val="009F286D"/>
    <w:rsid w:val="009F29CC"/>
    <w:rsid w:val="009F2A30"/>
    <w:rsid w:val="009F2A7F"/>
    <w:rsid w:val="009F2CF5"/>
    <w:rsid w:val="009F2EF8"/>
    <w:rsid w:val="009F314E"/>
    <w:rsid w:val="009F3189"/>
    <w:rsid w:val="009F3212"/>
    <w:rsid w:val="009F3501"/>
    <w:rsid w:val="009F3563"/>
    <w:rsid w:val="009F36CF"/>
    <w:rsid w:val="009F3847"/>
    <w:rsid w:val="009F3851"/>
    <w:rsid w:val="009F38C2"/>
    <w:rsid w:val="009F39A3"/>
    <w:rsid w:val="009F3A55"/>
    <w:rsid w:val="009F3A5A"/>
    <w:rsid w:val="009F3A9C"/>
    <w:rsid w:val="009F3AEF"/>
    <w:rsid w:val="009F3B92"/>
    <w:rsid w:val="009F3C5D"/>
    <w:rsid w:val="009F3C5E"/>
    <w:rsid w:val="009F3D0C"/>
    <w:rsid w:val="009F3E14"/>
    <w:rsid w:val="009F3E20"/>
    <w:rsid w:val="009F3EA0"/>
    <w:rsid w:val="009F3F05"/>
    <w:rsid w:val="009F3F62"/>
    <w:rsid w:val="009F40D5"/>
    <w:rsid w:val="009F4160"/>
    <w:rsid w:val="009F4198"/>
    <w:rsid w:val="009F42AD"/>
    <w:rsid w:val="009F42B1"/>
    <w:rsid w:val="009F42F3"/>
    <w:rsid w:val="009F43A8"/>
    <w:rsid w:val="009F43F1"/>
    <w:rsid w:val="009F45F4"/>
    <w:rsid w:val="009F47C7"/>
    <w:rsid w:val="009F48A3"/>
    <w:rsid w:val="009F48EA"/>
    <w:rsid w:val="009F48F1"/>
    <w:rsid w:val="009F4923"/>
    <w:rsid w:val="009F495B"/>
    <w:rsid w:val="009F4BC9"/>
    <w:rsid w:val="009F4C24"/>
    <w:rsid w:val="009F4DD6"/>
    <w:rsid w:val="009F50D6"/>
    <w:rsid w:val="009F50DB"/>
    <w:rsid w:val="009F51B5"/>
    <w:rsid w:val="009F5226"/>
    <w:rsid w:val="009F52FA"/>
    <w:rsid w:val="009F5341"/>
    <w:rsid w:val="009F56BB"/>
    <w:rsid w:val="009F5711"/>
    <w:rsid w:val="009F5837"/>
    <w:rsid w:val="009F5878"/>
    <w:rsid w:val="009F5A19"/>
    <w:rsid w:val="009F5A74"/>
    <w:rsid w:val="009F5A92"/>
    <w:rsid w:val="009F5ADA"/>
    <w:rsid w:val="009F5B22"/>
    <w:rsid w:val="009F5B7F"/>
    <w:rsid w:val="009F5BAB"/>
    <w:rsid w:val="009F5DBE"/>
    <w:rsid w:val="009F64FD"/>
    <w:rsid w:val="009F6517"/>
    <w:rsid w:val="009F6660"/>
    <w:rsid w:val="009F6699"/>
    <w:rsid w:val="009F669E"/>
    <w:rsid w:val="009F673F"/>
    <w:rsid w:val="009F67EA"/>
    <w:rsid w:val="009F67F7"/>
    <w:rsid w:val="009F6843"/>
    <w:rsid w:val="009F6852"/>
    <w:rsid w:val="009F685F"/>
    <w:rsid w:val="009F694F"/>
    <w:rsid w:val="009F6A71"/>
    <w:rsid w:val="009F6ACB"/>
    <w:rsid w:val="009F6C47"/>
    <w:rsid w:val="009F6DC8"/>
    <w:rsid w:val="009F6E40"/>
    <w:rsid w:val="009F6FA0"/>
    <w:rsid w:val="009F7089"/>
    <w:rsid w:val="009F7137"/>
    <w:rsid w:val="009F7202"/>
    <w:rsid w:val="009F7253"/>
    <w:rsid w:val="009F72A2"/>
    <w:rsid w:val="009F738D"/>
    <w:rsid w:val="009F73CF"/>
    <w:rsid w:val="009F750D"/>
    <w:rsid w:val="009F756F"/>
    <w:rsid w:val="009F7572"/>
    <w:rsid w:val="009F7589"/>
    <w:rsid w:val="009F75F1"/>
    <w:rsid w:val="009F7604"/>
    <w:rsid w:val="009F76E9"/>
    <w:rsid w:val="009F788F"/>
    <w:rsid w:val="009F78C9"/>
    <w:rsid w:val="009F7ADE"/>
    <w:rsid w:val="009F7B13"/>
    <w:rsid w:val="009F7B35"/>
    <w:rsid w:val="009F7B81"/>
    <w:rsid w:val="009F7BE8"/>
    <w:rsid w:val="009F7DBD"/>
    <w:rsid w:val="009F7DD3"/>
    <w:rsid w:val="009F7E07"/>
    <w:rsid w:val="009F7E32"/>
    <w:rsid w:val="009F7EBD"/>
    <w:rsid w:val="009F7F68"/>
    <w:rsid w:val="009F7FD8"/>
    <w:rsid w:val="00A00161"/>
    <w:rsid w:val="00A002BF"/>
    <w:rsid w:val="00A0079F"/>
    <w:rsid w:val="00A007CA"/>
    <w:rsid w:val="00A0082B"/>
    <w:rsid w:val="00A00923"/>
    <w:rsid w:val="00A00B74"/>
    <w:rsid w:val="00A00BF2"/>
    <w:rsid w:val="00A00C69"/>
    <w:rsid w:val="00A00D54"/>
    <w:rsid w:val="00A00DA6"/>
    <w:rsid w:val="00A010BC"/>
    <w:rsid w:val="00A010EF"/>
    <w:rsid w:val="00A011A1"/>
    <w:rsid w:val="00A011D1"/>
    <w:rsid w:val="00A012B4"/>
    <w:rsid w:val="00A014EC"/>
    <w:rsid w:val="00A017E6"/>
    <w:rsid w:val="00A017FF"/>
    <w:rsid w:val="00A0181A"/>
    <w:rsid w:val="00A018E8"/>
    <w:rsid w:val="00A01AFD"/>
    <w:rsid w:val="00A01B6C"/>
    <w:rsid w:val="00A01C6D"/>
    <w:rsid w:val="00A01C74"/>
    <w:rsid w:val="00A01D84"/>
    <w:rsid w:val="00A01E46"/>
    <w:rsid w:val="00A01F3B"/>
    <w:rsid w:val="00A0204F"/>
    <w:rsid w:val="00A02078"/>
    <w:rsid w:val="00A02087"/>
    <w:rsid w:val="00A020B5"/>
    <w:rsid w:val="00A0213C"/>
    <w:rsid w:val="00A021CF"/>
    <w:rsid w:val="00A02297"/>
    <w:rsid w:val="00A022B6"/>
    <w:rsid w:val="00A024C9"/>
    <w:rsid w:val="00A025FC"/>
    <w:rsid w:val="00A026AF"/>
    <w:rsid w:val="00A026F5"/>
    <w:rsid w:val="00A0271F"/>
    <w:rsid w:val="00A028CA"/>
    <w:rsid w:val="00A02905"/>
    <w:rsid w:val="00A02A75"/>
    <w:rsid w:val="00A02A9B"/>
    <w:rsid w:val="00A02B11"/>
    <w:rsid w:val="00A02B42"/>
    <w:rsid w:val="00A02B5E"/>
    <w:rsid w:val="00A02C2B"/>
    <w:rsid w:val="00A02CA1"/>
    <w:rsid w:val="00A02CC2"/>
    <w:rsid w:val="00A02DBC"/>
    <w:rsid w:val="00A02EAE"/>
    <w:rsid w:val="00A02EB6"/>
    <w:rsid w:val="00A02F00"/>
    <w:rsid w:val="00A02F51"/>
    <w:rsid w:val="00A02F6F"/>
    <w:rsid w:val="00A03146"/>
    <w:rsid w:val="00A031DB"/>
    <w:rsid w:val="00A031DD"/>
    <w:rsid w:val="00A03207"/>
    <w:rsid w:val="00A03233"/>
    <w:rsid w:val="00A032EA"/>
    <w:rsid w:val="00A033AD"/>
    <w:rsid w:val="00A03476"/>
    <w:rsid w:val="00A03531"/>
    <w:rsid w:val="00A0353C"/>
    <w:rsid w:val="00A03558"/>
    <w:rsid w:val="00A03568"/>
    <w:rsid w:val="00A0356C"/>
    <w:rsid w:val="00A03612"/>
    <w:rsid w:val="00A03703"/>
    <w:rsid w:val="00A0373E"/>
    <w:rsid w:val="00A0378E"/>
    <w:rsid w:val="00A0384F"/>
    <w:rsid w:val="00A03883"/>
    <w:rsid w:val="00A03A09"/>
    <w:rsid w:val="00A03A70"/>
    <w:rsid w:val="00A03AE1"/>
    <w:rsid w:val="00A03B23"/>
    <w:rsid w:val="00A03B6A"/>
    <w:rsid w:val="00A03CCF"/>
    <w:rsid w:val="00A03D26"/>
    <w:rsid w:val="00A03E7B"/>
    <w:rsid w:val="00A03F9B"/>
    <w:rsid w:val="00A04166"/>
    <w:rsid w:val="00A042DF"/>
    <w:rsid w:val="00A04349"/>
    <w:rsid w:val="00A04393"/>
    <w:rsid w:val="00A04556"/>
    <w:rsid w:val="00A0458E"/>
    <w:rsid w:val="00A045F2"/>
    <w:rsid w:val="00A0464A"/>
    <w:rsid w:val="00A04665"/>
    <w:rsid w:val="00A0469B"/>
    <w:rsid w:val="00A04766"/>
    <w:rsid w:val="00A047A8"/>
    <w:rsid w:val="00A04980"/>
    <w:rsid w:val="00A04B48"/>
    <w:rsid w:val="00A04B96"/>
    <w:rsid w:val="00A04FCC"/>
    <w:rsid w:val="00A05030"/>
    <w:rsid w:val="00A0528C"/>
    <w:rsid w:val="00A052B9"/>
    <w:rsid w:val="00A0533E"/>
    <w:rsid w:val="00A053A4"/>
    <w:rsid w:val="00A05585"/>
    <w:rsid w:val="00A055DD"/>
    <w:rsid w:val="00A0560F"/>
    <w:rsid w:val="00A057E9"/>
    <w:rsid w:val="00A05AFC"/>
    <w:rsid w:val="00A05B26"/>
    <w:rsid w:val="00A05C8C"/>
    <w:rsid w:val="00A05E17"/>
    <w:rsid w:val="00A05E1B"/>
    <w:rsid w:val="00A05E46"/>
    <w:rsid w:val="00A05E7D"/>
    <w:rsid w:val="00A05FEF"/>
    <w:rsid w:val="00A060DD"/>
    <w:rsid w:val="00A06140"/>
    <w:rsid w:val="00A0622C"/>
    <w:rsid w:val="00A062AB"/>
    <w:rsid w:val="00A062F5"/>
    <w:rsid w:val="00A06392"/>
    <w:rsid w:val="00A06490"/>
    <w:rsid w:val="00A0652D"/>
    <w:rsid w:val="00A065F9"/>
    <w:rsid w:val="00A06600"/>
    <w:rsid w:val="00A06633"/>
    <w:rsid w:val="00A067B3"/>
    <w:rsid w:val="00A06921"/>
    <w:rsid w:val="00A0695A"/>
    <w:rsid w:val="00A069E9"/>
    <w:rsid w:val="00A069F7"/>
    <w:rsid w:val="00A06A3A"/>
    <w:rsid w:val="00A06A65"/>
    <w:rsid w:val="00A06DA1"/>
    <w:rsid w:val="00A06E6A"/>
    <w:rsid w:val="00A07089"/>
    <w:rsid w:val="00A07142"/>
    <w:rsid w:val="00A07184"/>
    <w:rsid w:val="00A07281"/>
    <w:rsid w:val="00A07407"/>
    <w:rsid w:val="00A075D3"/>
    <w:rsid w:val="00A077CF"/>
    <w:rsid w:val="00A077D8"/>
    <w:rsid w:val="00A077EB"/>
    <w:rsid w:val="00A0788E"/>
    <w:rsid w:val="00A0789D"/>
    <w:rsid w:val="00A078A9"/>
    <w:rsid w:val="00A07937"/>
    <w:rsid w:val="00A079F0"/>
    <w:rsid w:val="00A07B4B"/>
    <w:rsid w:val="00A07C3A"/>
    <w:rsid w:val="00A07DD8"/>
    <w:rsid w:val="00A07E66"/>
    <w:rsid w:val="00A1000B"/>
    <w:rsid w:val="00A1005F"/>
    <w:rsid w:val="00A10141"/>
    <w:rsid w:val="00A103B1"/>
    <w:rsid w:val="00A103F1"/>
    <w:rsid w:val="00A1050B"/>
    <w:rsid w:val="00A106B5"/>
    <w:rsid w:val="00A106DC"/>
    <w:rsid w:val="00A107B1"/>
    <w:rsid w:val="00A10809"/>
    <w:rsid w:val="00A10880"/>
    <w:rsid w:val="00A1088E"/>
    <w:rsid w:val="00A1098F"/>
    <w:rsid w:val="00A109D4"/>
    <w:rsid w:val="00A10B2D"/>
    <w:rsid w:val="00A10B68"/>
    <w:rsid w:val="00A10CD7"/>
    <w:rsid w:val="00A10D6E"/>
    <w:rsid w:val="00A11143"/>
    <w:rsid w:val="00A11161"/>
    <w:rsid w:val="00A111C5"/>
    <w:rsid w:val="00A111EF"/>
    <w:rsid w:val="00A111F7"/>
    <w:rsid w:val="00A1122C"/>
    <w:rsid w:val="00A114EB"/>
    <w:rsid w:val="00A115B2"/>
    <w:rsid w:val="00A115D8"/>
    <w:rsid w:val="00A1180B"/>
    <w:rsid w:val="00A11A96"/>
    <w:rsid w:val="00A11B68"/>
    <w:rsid w:val="00A11BC2"/>
    <w:rsid w:val="00A11C56"/>
    <w:rsid w:val="00A11D08"/>
    <w:rsid w:val="00A11D72"/>
    <w:rsid w:val="00A11DAF"/>
    <w:rsid w:val="00A11E6A"/>
    <w:rsid w:val="00A11EBB"/>
    <w:rsid w:val="00A11EFF"/>
    <w:rsid w:val="00A11FB3"/>
    <w:rsid w:val="00A11FD6"/>
    <w:rsid w:val="00A121D3"/>
    <w:rsid w:val="00A122CD"/>
    <w:rsid w:val="00A122FC"/>
    <w:rsid w:val="00A1238D"/>
    <w:rsid w:val="00A123ED"/>
    <w:rsid w:val="00A124ED"/>
    <w:rsid w:val="00A12521"/>
    <w:rsid w:val="00A12585"/>
    <w:rsid w:val="00A12590"/>
    <w:rsid w:val="00A126F1"/>
    <w:rsid w:val="00A127B1"/>
    <w:rsid w:val="00A12A17"/>
    <w:rsid w:val="00A12AE4"/>
    <w:rsid w:val="00A12D7B"/>
    <w:rsid w:val="00A12E12"/>
    <w:rsid w:val="00A12EE3"/>
    <w:rsid w:val="00A12F4B"/>
    <w:rsid w:val="00A12F53"/>
    <w:rsid w:val="00A13076"/>
    <w:rsid w:val="00A1316D"/>
    <w:rsid w:val="00A131E8"/>
    <w:rsid w:val="00A13347"/>
    <w:rsid w:val="00A13402"/>
    <w:rsid w:val="00A13554"/>
    <w:rsid w:val="00A13641"/>
    <w:rsid w:val="00A136EC"/>
    <w:rsid w:val="00A138BA"/>
    <w:rsid w:val="00A13A32"/>
    <w:rsid w:val="00A13A7D"/>
    <w:rsid w:val="00A13C95"/>
    <w:rsid w:val="00A13CD1"/>
    <w:rsid w:val="00A13D1E"/>
    <w:rsid w:val="00A13E1E"/>
    <w:rsid w:val="00A13FCB"/>
    <w:rsid w:val="00A140E7"/>
    <w:rsid w:val="00A141BA"/>
    <w:rsid w:val="00A1422B"/>
    <w:rsid w:val="00A1423E"/>
    <w:rsid w:val="00A14289"/>
    <w:rsid w:val="00A142E8"/>
    <w:rsid w:val="00A14337"/>
    <w:rsid w:val="00A143A6"/>
    <w:rsid w:val="00A1442E"/>
    <w:rsid w:val="00A14468"/>
    <w:rsid w:val="00A144B7"/>
    <w:rsid w:val="00A145A0"/>
    <w:rsid w:val="00A146F6"/>
    <w:rsid w:val="00A14717"/>
    <w:rsid w:val="00A1480B"/>
    <w:rsid w:val="00A14A1B"/>
    <w:rsid w:val="00A14A46"/>
    <w:rsid w:val="00A14A7E"/>
    <w:rsid w:val="00A14AB0"/>
    <w:rsid w:val="00A14C8B"/>
    <w:rsid w:val="00A14CD1"/>
    <w:rsid w:val="00A14CF4"/>
    <w:rsid w:val="00A14D5C"/>
    <w:rsid w:val="00A14D83"/>
    <w:rsid w:val="00A14E00"/>
    <w:rsid w:val="00A151A6"/>
    <w:rsid w:val="00A15367"/>
    <w:rsid w:val="00A153A8"/>
    <w:rsid w:val="00A1562B"/>
    <w:rsid w:val="00A156CB"/>
    <w:rsid w:val="00A158F3"/>
    <w:rsid w:val="00A15905"/>
    <w:rsid w:val="00A15967"/>
    <w:rsid w:val="00A159A4"/>
    <w:rsid w:val="00A159C8"/>
    <w:rsid w:val="00A159F2"/>
    <w:rsid w:val="00A15A73"/>
    <w:rsid w:val="00A15C22"/>
    <w:rsid w:val="00A15DF4"/>
    <w:rsid w:val="00A15E94"/>
    <w:rsid w:val="00A15F20"/>
    <w:rsid w:val="00A15F34"/>
    <w:rsid w:val="00A15FDB"/>
    <w:rsid w:val="00A16097"/>
    <w:rsid w:val="00A16128"/>
    <w:rsid w:val="00A161C9"/>
    <w:rsid w:val="00A161D8"/>
    <w:rsid w:val="00A16279"/>
    <w:rsid w:val="00A162F3"/>
    <w:rsid w:val="00A16320"/>
    <w:rsid w:val="00A1636D"/>
    <w:rsid w:val="00A16565"/>
    <w:rsid w:val="00A16584"/>
    <w:rsid w:val="00A16595"/>
    <w:rsid w:val="00A16724"/>
    <w:rsid w:val="00A16754"/>
    <w:rsid w:val="00A167E5"/>
    <w:rsid w:val="00A16862"/>
    <w:rsid w:val="00A168CA"/>
    <w:rsid w:val="00A16961"/>
    <w:rsid w:val="00A169B2"/>
    <w:rsid w:val="00A16BEE"/>
    <w:rsid w:val="00A16C0D"/>
    <w:rsid w:val="00A16C1A"/>
    <w:rsid w:val="00A16E11"/>
    <w:rsid w:val="00A16E6C"/>
    <w:rsid w:val="00A16F0B"/>
    <w:rsid w:val="00A16FC4"/>
    <w:rsid w:val="00A17029"/>
    <w:rsid w:val="00A1709C"/>
    <w:rsid w:val="00A171C8"/>
    <w:rsid w:val="00A1730A"/>
    <w:rsid w:val="00A174A2"/>
    <w:rsid w:val="00A17564"/>
    <w:rsid w:val="00A1758C"/>
    <w:rsid w:val="00A175D6"/>
    <w:rsid w:val="00A176B8"/>
    <w:rsid w:val="00A1771E"/>
    <w:rsid w:val="00A17791"/>
    <w:rsid w:val="00A178FF"/>
    <w:rsid w:val="00A17A2E"/>
    <w:rsid w:val="00A17B99"/>
    <w:rsid w:val="00A17C70"/>
    <w:rsid w:val="00A17CFE"/>
    <w:rsid w:val="00A17D62"/>
    <w:rsid w:val="00A17D75"/>
    <w:rsid w:val="00A17DDB"/>
    <w:rsid w:val="00A17FEA"/>
    <w:rsid w:val="00A17FFA"/>
    <w:rsid w:val="00A20020"/>
    <w:rsid w:val="00A20036"/>
    <w:rsid w:val="00A2005C"/>
    <w:rsid w:val="00A20173"/>
    <w:rsid w:val="00A20263"/>
    <w:rsid w:val="00A20389"/>
    <w:rsid w:val="00A20488"/>
    <w:rsid w:val="00A205B5"/>
    <w:rsid w:val="00A205E8"/>
    <w:rsid w:val="00A20674"/>
    <w:rsid w:val="00A2071B"/>
    <w:rsid w:val="00A20914"/>
    <w:rsid w:val="00A209C4"/>
    <w:rsid w:val="00A209FE"/>
    <w:rsid w:val="00A20ACD"/>
    <w:rsid w:val="00A20C86"/>
    <w:rsid w:val="00A20D3F"/>
    <w:rsid w:val="00A20DD8"/>
    <w:rsid w:val="00A20E43"/>
    <w:rsid w:val="00A20E73"/>
    <w:rsid w:val="00A21065"/>
    <w:rsid w:val="00A21095"/>
    <w:rsid w:val="00A210BD"/>
    <w:rsid w:val="00A2110D"/>
    <w:rsid w:val="00A21186"/>
    <w:rsid w:val="00A21197"/>
    <w:rsid w:val="00A21490"/>
    <w:rsid w:val="00A214AB"/>
    <w:rsid w:val="00A214E6"/>
    <w:rsid w:val="00A21505"/>
    <w:rsid w:val="00A215C6"/>
    <w:rsid w:val="00A215FA"/>
    <w:rsid w:val="00A2168B"/>
    <w:rsid w:val="00A216F0"/>
    <w:rsid w:val="00A21771"/>
    <w:rsid w:val="00A2184B"/>
    <w:rsid w:val="00A218B5"/>
    <w:rsid w:val="00A2194E"/>
    <w:rsid w:val="00A219B2"/>
    <w:rsid w:val="00A21A3B"/>
    <w:rsid w:val="00A21C63"/>
    <w:rsid w:val="00A21CA9"/>
    <w:rsid w:val="00A21E2F"/>
    <w:rsid w:val="00A21E51"/>
    <w:rsid w:val="00A21EFC"/>
    <w:rsid w:val="00A21FF9"/>
    <w:rsid w:val="00A220C1"/>
    <w:rsid w:val="00A221D0"/>
    <w:rsid w:val="00A22210"/>
    <w:rsid w:val="00A22219"/>
    <w:rsid w:val="00A222C0"/>
    <w:rsid w:val="00A222C5"/>
    <w:rsid w:val="00A224EE"/>
    <w:rsid w:val="00A22625"/>
    <w:rsid w:val="00A226F4"/>
    <w:rsid w:val="00A22772"/>
    <w:rsid w:val="00A22795"/>
    <w:rsid w:val="00A227C3"/>
    <w:rsid w:val="00A22982"/>
    <w:rsid w:val="00A2298E"/>
    <w:rsid w:val="00A22C42"/>
    <w:rsid w:val="00A22CF1"/>
    <w:rsid w:val="00A22EBD"/>
    <w:rsid w:val="00A22EF5"/>
    <w:rsid w:val="00A22F40"/>
    <w:rsid w:val="00A23064"/>
    <w:rsid w:val="00A23198"/>
    <w:rsid w:val="00A2324D"/>
    <w:rsid w:val="00A232D9"/>
    <w:rsid w:val="00A23413"/>
    <w:rsid w:val="00A234F7"/>
    <w:rsid w:val="00A2356D"/>
    <w:rsid w:val="00A235AF"/>
    <w:rsid w:val="00A23878"/>
    <w:rsid w:val="00A23B6F"/>
    <w:rsid w:val="00A23BE3"/>
    <w:rsid w:val="00A23F14"/>
    <w:rsid w:val="00A23F3C"/>
    <w:rsid w:val="00A23FA9"/>
    <w:rsid w:val="00A2402E"/>
    <w:rsid w:val="00A24048"/>
    <w:rsid w:val="00A240FD"/>
    <w:rsid w:val="00A241C2"/>
    <w:rsid w:val="00A24245"/>
    <w:rsid w:val="00A242DE"/>
    <w:rsid w:val="00A24322"/>
    <w:rsid w:val="00A24429"/>
    <w:rsid w:val="00A24531"/>
    <w:rsid w:val="00A2453F"/>
    <w:rsid w:val="00A24554"/>
    <w:rsid w:val="00A245C9"/>
    <w:rsid w:val="00A247E9"/>
    <w:rsid w:val="00A2482D"/>
    <w:rsid w:val="00A24855"/>
    <w:rsid w:val="00A2491E"/>
    <w:rsid w:val="00A24942"/>
    <w:rsid w:val="00A2499C"/>
    <w:rsid w:val="00A249B2"/>
    <w:rsid w:val="00A24B5F"/>
    <w:rsid w:val="00A24E06"/>
    <w:rsid w:val="00A24E09"/>
    <w:rsid w:val="00A24E45"/>
    <w:rsid w:val="00A24F58"/>
    <w:rsid w:val="00A25044"/>
    <w:rsid w:val="00A25108"/>
    <w:rsid w:val="00A25182"/>
    <w:rsid w:val="00A251CA"/>
    <w:rsid w:val="00A25291"/>
    <w:rsid w:val="00A25325"/>
    <w:rsid w:val="00A2559C"/>
    <w:rsid w:val="00A25627"/>
    <w:rsid w:val="00A2564E"/>
    <w:rsid w:val="00A25A01"/>
    <w:rsid w:val="00A25A96"/>
    <w:rsid w:val="00A25B49"/>
    <w:rsid w:val="00A25B65"/>
    <w:rsid w:val="00A25E91"/>
    <w:rsid w:val="00A25FB2"/>
    <w:rsid w:val="00A25FC2"/>
    <w:rsid w:val="00A26135"/>
    <w:rsid w:val="00A26257"/>
    <w:rsid w:val="00A262B0"/>
    <w:rsid w:val="00A262BF"/>
    <w:rsid w:val="00A262D0"/>
    <w:rsid w:val="00A262F4"/>
    <w:rsid w:val="00A26393"/>
    <w:rsid w:val="00A263B8"/>
    <w:rsid w:val="00A26411"/>
    <w:rsid w:val="00A264A3"/>
    <w:rsid w:val="00A2666F"/>
    <w:rsid w:val="00A266CF"/>
    <w:rsid w:val="00A2678E"/>
    <w:rsid w:val="00A267CE"/>
    <w:rsid w:val="00A26892"/>
    <w:rsid w:val="00A268AF"/>
    <w:rsid w:val="00A269ED"/>
    <w:rsid w:val="00A26A13"/>
    <w:rsid w:val="00A26B4F"/>
    <w:rsid w:val="00A26BE2"/>
    <w:rsid w:val="00A26E12"/>
    <w:rsid w:val="00A26E85"/>
    <w:rsid w:val="00A27047"/>
    <w:rsid w:val="00A27097"/>
    <w:rsid w:val="00A270EA"/>
    <w:rsid w:val="00A2712F"/>
    <w:rsid w:val="00A271B5"/>
    <w:rsid w:val="00A27260"/>
    <w:rsid w:val="00A27276"/>
    <w:rsid w:val="00A2734A"/>
    <w:rsid w:val="00A2745F"/>
    <w:rsid w:val="00A27513"/>
    <w:rsid w:val="00A275B8"/>
    <w:rsid w:val="00A275FD"/>
    <w:rsid w:val="00A2762A"/>
    <w:rsid w:val="00A2767D"/>
    <w:rsid w:val="00A2776E"/>
    <w:rsid w:val="00A27A50"/>
    <w:rsid w:val="00A27A81"/>
    <w:rsid w:val="00A27BA3"/>
    <w:rsid w:val="00A27BDC"/>
    <w:rsid w:val="00A27D0C"/>
    <w:rsid w:val="00A27F26"/>
    <w:rsid w:val="00A27FCB"/>
    <w:rsid w:val="00A30146"/>
    <w:rsid w:val="00A303A0"/>
    <w:rsid w:val="00A30493"/>
    <w:rsid w:val="00A305EE"/>
    <w:rsid w:val="00A30913"/>
    <w:rsid w:val="00A30B7E"/>
    <w:rsid w:val="00A30D72"/>
    <w:rsid w:val="00A30E2B"/>
    <w:rsid w:val="00A30EE7"/>
    <w:rsid w:val="00A31097"/>
    <w:rsid w:val="00A31168"/>
    <w:rsid w:val="00A31269"/>
    <w:rsid w:val="00A312B8"/>
    <w:rsid w:val="00A313A5"/>
    <w:rsid w:val="00A314E9"/>
    <w:rsid w:val="00A3156C"/>
    <w:rsid w:val="00A31573"/>
    <w:rsid w:val="00A316BB"/>
    <w:rsid w:val="00A317D6"/>
    <w:rsid w:val="00A317EB"/>
    <w:rsid w:val="00A31800"/>
    <w:rsid w:val="00A318F2"/>
    <w:rsid w:val="00A3192E"/>
    <w:rsid w:val="00A31AD3"/>
    <w:rsid w:val="00A31B76"/>
    <w:rsid w:val="00A31B82"/>
    <w:rsid w:val="00A31D0C"/>
    <w:rsid w:val="00A31E29"/>
    <w:rsid w:val="00A31E56"/>
    <w:rsid w:val="00A31E61"/>
    <w:rsid w:val="00A31EAE"/>
    <w:rsid w:val="00A31ECD"/>
    <w:rsid w:val="00A3207B"/>
    <w:rsid w:val="00A32198"/>
    <w:rsid w:val="00A321CE"/>
    <w:rsid w:val="00A32358"/>
    <w:rsid w:val="00A32580"/>
    <w:rsid w:val="00A325A1"/>
    <w:rsid w:val="00A3263C"/>
    <w:rsid w:val="00A3263F"/>
    <w:rsid w:val="00A32715"/>
    <w:rsid w:val="00A32860"/>
    <w:rsid w:val="00A328FC"/>
    <w:rsid w:val="00A32913"/>
    <w:rsid w:val="00A32B6A"/>
    <w:rsid w:val="00A32BA4"/>
    <w:rsid w:val="00A32BC7"/>
    <w:rsid w:val="00A32F15"/>
    <w:rsid w:val="00A32F7B"/>
    <w:rsid w:val="00A33022"/>
    <w:rsid w:val="00A33077"/>
    <w:rsid w:val="00A33192"/>
    <w:rsid w:val="00A3321D"/>
    <w:rsid w:val="00A3336A"/>
    <w:rsid w:val="00A334ED"/>
    <w:rsid w:val="00A33546"/>
    <w:rsid w:val="00A335F8"/>
    <w:rsid w:val="00A33662"/>
    <w:rsid w:val="00A33672"/>
    <w:rsid w:val="00A337EC"/>
    <w:rsid w:val="00A33840"/>
    <w:rsid w:val="00A3390B"/>
    <w:rsid w:val="00A33A5A"/>
    <w:rsid w:val="00A33A97"/>
    <w:rsid w:val="00A33B3A"/>
    <w:rsid w:val="00A33BF9"/>
    <w:rsid w:val="00A33C00"/>
    <w:rsid w:val="00A33D63"/>
    <w:rsid w:val="00A33F40"/>
    <w:rsid w:val="00A33FB4"/>
    <w:rsid w:val="00A33FC7"/>
    <w:rsid w:val="00A340D7"/>
    <w:rsid w:val="00A3415E"/>
    <w:rsid w:val="00A343DE"/>
    <w:rsid w:val="00A344A0"/>
    <w:rsid w:val="00A344CE"/>
    <w:rsid w:val="00A345B7"/>
    <w:rsid w:val="00A345E3"/>
    <w:rsid w:val="00A34864"/>
    <w:rsid w:val="00A3487E"/>
    <w:rsid w:val="00A348BE"/>
    <w:rsid w:val="00A34A32"/>
    <w:rsid w:val="00A34A5B"/>
    <w:rsid w:val="00A34D26"/>
    <w:rsid w:val="00A34D46"/>
    <w:rsid w:val="00A34E07"/>
    <w:rsid w:val="00A34E7B"/>
    <w:rsid w:val="00A34EC7"/>
    <w:rsid w:val="00A34FA3"/>
    <w:rsid w:val="00A3521E"/>
    <w:rsid w:val="00A353C9"/>
    <w:rsid w:val="00A35728"/>
    <w:rsid w:val="00A35731"/>
    <w:rsid w:val="00A357A4"/>
    <w:rsid w:val="00A35899"/>
    <w:rsid w:val="00A35954"/>
    <w:rsid w:val="00A35968"/>
    <w:rsid w:val="00A35AC4"/>
    <w:rsid w:val="00A35B1B"/>
    <w:rsid w:val="00A35C71"/>
    <w:rsid w:val="00A35C8A"/>
    <w:rsid w:val="00A35CC6"/>
    <w:rsid w:val="00A35E43"/>
    <w:rsid w:val="00A35EB9"/>
    <w:rsid w:val="00A35F01"/>
    <w:rsid w:val="00A35F0C"/>
    <w:rsid w:val="00A35FC1"/>
    <w:rsid w:val="00A36008"/>
    <w:rsid w:val="00A363B5"/>
    <w:rsid w:val="00A364F1"/>
    <w:rsid w:val="00A36600"/>
    <w:rsid w:val="00A36625"/>
    <w:rsid w:val="00A3674C"/>
    <w:rsid w:val="00A36755"/>
    <w:rsid w:val="00A367F8"/>
    <w:rsid w:val="00A369DD"/>
    <w:rsid w:val="00A36ABA"/>
    <w:rsid w:val="00A36AC7"/>
    <w:rsid w:val="00A36B06"/>
    <w:rsid w:val="00A36B0E"/>
    <w:rsid w:val="00A36BFE"/>
    <w:rsid w:val="00A36E10"/>
    <w:rsid w:val="00A36E2C"/>
    <w:rsid w:val="00A3702C"/>
    <w:rsid w:val="00A372D5"/>
    <w:rsid w:val="00A374B9"/>
    <w:rsid w:val="00A37512"/>
    <w:rsid w:val="00A375A0"/>
    <w:rsid w:val="00A37612"/>
    <w:rsid w:val="00A37640"/>
    <w:rsid w:val="00A376A0"/>
    <w:rsid w:val="00A37733"/>
    <w:rsid w:val="00A37949"/>
    <w:rsid w:val="00A37AA0"/>
    <w:rsid w:val="00A37AB5"/>
    <w:rsid w:val="00A37B34"/>
    <w:rsid w:val="00A37B62"/>
    <w:rsid w:val="00A37B74"/>
    <w:rsid w:val="00A37B98"/>
    <w:rsid w:val="00A37C87"/>
    <w:rsid w:val="00A37E11"/>
    <w:rsid w:val="00A4006C"/>
    <w:rsid w:val="00A4018D"/>
    <w:rsid w:val="00A4025B"/>
    <w:rsid w:val="00A405EB"/>
    <w:rsid w:val="00A405FA"/>
    <w:rsid w:val="00A4067E"/>
    <w:rsid w:val="00A406A0"/>
    <w:rsid w:val="00A4080B"/>
    <w:rsid w:val="00A40840"/>
    <w:rsid w:val="00A408DD"/>
    <w:rsid w:val="00A40916"/>
    <w:rsid w:val="00A4095E"/>
    <w:rsid w:val="00A409BE"/>
    <w:rsid w:val="00A40B05"/>
    <w:rsid w:val="00A40CAA"/>
    <w:rsid w:val="00A40D7C"/>
    <w:rsid w:val="00A40DE4"/>
    <w:rsid w:val="00A40E00"/>
    <w:rsid w:val="00A40F1A"/>
    <w:rsid w:val="00A41300"/>
    <w:rsid w:val="00A413C4"/>
    <w:rsid w:val="00A415DD"/>
    <w:rsid w:val="00A4169A"/>
    <w:rsid w:val="00A417F5"/>
    <w:rsid w:val="00A41854"/>
    <w:rsid w:val="00A41A54"/>
    <w:rsid w:val="00A41AF8"/>
    <w:rsid w:val="00A41B3B"/>
    <w:rsid w:val="00A41BBC"/>
    <w:rsid w:val="00A41CEF"/>
    <w:rsid w:val="00A41E68"/>
    <w:rsid w:val="00A41F72"/>
    <w:rsid w:val="00A42050"/>
    <w:rsid w:val="00A42209"/>
    <w:rsid w:val="00A42449"/>
    <w:rsid w:val="00A42598"/>
    <w:rsid w:val="00A425C5"/>
    <w:rsid w:val="00A425D9"/>
    <w:rsid w:val="00A42655"/>
    <w:rsid w:val="00A4272D"/>
    <w:rsid w:val="00A428A4"/>
    <w:rsid w:val="00A42901"/>
    <w:rsid w:val="00A42964"/>
    <w:rsid w:val="00A429A0"/>
    <w:rsid w:val="00A42B4A"/>
    <w:rsid w:val="00A42BCE"/>
    <w:rsid w:val="00A42BE6"/>
    <w:rsid w:val="00A42CA8"/>
    <w:rsid w:val="00A42DCC"/>
    <w:rsid w:val="00A42EA3"/>
    <w:rsid w:val="00A42F38"/>
    <w:rsid w:val="00A4305C"/>
    <w:rsid w:val="00A4305D"/>
    <w:rsid w:val="00A43234"/>
    <w:rsid w:val="00A4323D"/>
    <w:rsid w:val="00A432AE"/>
    <w:rsid w:val="00A432E0"/>
    <w:rsid w:val="00A432E8"/>
    <w:rsid w:val="00A43455"/>
    <w:rsid w:val="00A4353D"/>
    <w:rsid w:val="00A435CB"/>
    <w:rsid w:val="00A43616"/>
    <w:rsid w:val="00A4361B"/>
    <w:rsid w:val="00A436D2"/>
    <w:rsid w:val="00A436DD"/>
    <w:rsid w:val="00A43780"/>
    <w:rsid w:val="00A43827"/>
    <w:rsid w:val="00A43A1C"/>
    <w:rsid w:val="00A43BD2"/>
    <w:rsid w:val="00A43C7A"/>
    <w:rsid w:val="00A43CCD"/>
    <w:rsid w:val="00A43CEA"/>
    <w:rsid w:val="00A43DE9"/>
    <w:rsid w:val="00A43DF4"/>
    <w:rsid w:val="00A43E06"/>
    <w:rsid w:val="00A43E29"/>
    <w:rsid w:val="00A43E7D"/>
    <w:rsid w:val="00A4400B"/>
    <w:rsid w:val="00A44018"/>
    <w:rsid w:val="00A44044"/>
    <w:rsid w:val="00A44071"/>
    <w:rsid w:val="00A44281"/>
    <w:rsid w:val="00A44390"/>
    <w:rsid w:val="00A443F2"/>
    <w:rsid w:val="00A44568"/>
    <w:rsid w:val="00A44656"/>
    <w:rsid w:val="00A447B8"/>
    <w:rsid w:val="00A448EF"/>
    <w:rsid w:val="00A44946"/>
    <w:rsid w:val="00A44A68"/>
    <w:rsid w:val="00A44AA9"/>
    <w:rsid w:val="00A44AC9"/>
    <w:rsid w:val="00A44B03"/>
    <w:rsid w:val="00A44C41"/>
    <w:rsid w:val="00A44D4B"/>
    <w:rsid w:val="00A45039"/>
    <w:rsid w:val="00A45096"/>
    <w:rsid w:val="00A45097"/>
    <w:rsid w:val="00A451E2"/>
    <w:rsid w:val="00A451EC"/>
    <w:rsid w:val="00A452D0"/>
    <w:rsid w:val="00A4538C"/>
    <w:rsid w:val="00A4544A"/>
    <w:rsid w:val="00A4547C"/>
    <w:rsid w:val="00A454E0"/>
    <w:rsid w:val="00A45789"/>
    <w:rsid w:val="00A458E3"/>
    <w:rsid w:val="00A458FF"/>
    <w:rsid w:val="00A45A3D"/>
    <w:rsid w:val="00A45A4E"/>
    <w:rsid w:val="00A45A9B"/>
    <w:rsid w:val="00A45C56"/>
    <w:rsid w:val="00A45E51"/>
    <w:rsid w:val="00A45E52"/>
    <w:rsid w:val="00A45FA2"/>
    <w:rsid w:val="00A45FA5"/>
    <w:rsid w:val="00A4603B"/>
    <w:rsid w:val="00A4616A"/>
    <w:rsid w:val="00A46243"/>
    <w:rsid w:val="00A462A7"/>
    <w:rsid w:val="00A46438"/>
    <w:rsid w:val="00A464E8"/>
    <w:rsid w:val="00A46596"/>
    <w:rsid w:val="00A46626"/>
    <w:rsid w:val="00A466E2"/>
    <w:rsid w:val="00A467A9"/>
    <w:rsid w:val="00A4682F"/>
    <w:rsid w:val="00A4687D"/>
    <w:rsid w:val="00A46B11"/>
    <w:rsid w:val="00A46BAD"/>
    <w:rsid w:val="00A46DE4"/>
    <w:rsid w:val="00A47013"/>
    <w:rsid w:val="00A470CB"/>
    <w:rsid w:val="00A4761F"/>
    <w:rsid w:val="00A47653"/>
    <w:rsid w:val="00A47691"/>
    <w:rsid w:val="00A476D6"/>
    <w:rsid w:val="00A477F9"/>
    <w:rsid w:val="00A4786D"/>
    <w:rsid w:val="00A478AB"/>
    <w:rsid w:val="00A47B49"/>
    <w:rsid w:val="00A47CF7"/>
    <w:rsid w:val="00A47DE7"/>
    <w:rsid w:val="00A47E90"/>
    <w:rsid w:val="00A47EE8"/>
    <w:rsid w:val="00A47F1D"/>
    <w:rsid w:val="00A50147"/>
    <w:rsid w:val="00A5028B"/>
    <w:rsid w:val="00A50365"/>
    <w:rsid w:val="00A50490"/>
    <w:rsid w:val="00A505CF"/>
    <w:rsid w:val="00A508DA"/>
    <w:rsid w:val="00A50909"/>
    <w:rsid w:val="00A5095F"/>
    <w:rsid w:val="00A5098A"/>
    <w:rsid w:val="00A50B6E"/>
    <w:rsid w:val="00A50BFF"/>
    <w:rsid w:val="00A50C02"/>
    <w:rsid w:val="00A50F0E"/>
    <w:rsid w:val="00A50F22"/>
    <w:rsid w:val="00A5108A"/>
    <w:rsid w:val="00A512B6"/>
    <w:rsid w:val="00A512CC"/>
    <w:rsid w:val="00A512FE"/>
    <w:rsid w:val="00A51328"/>
    <w:rsid w:val="00A5135B"/>
    <w:rsid w:val="00A5148C"/>
    <w:rsid w:val="00A51549"/>
    <w:rsid w:val="00A51558"/>
    <w:rsid w:val="00A51615"/>
    <w:rsid w:val="00A5164B"/>
    <w:rsid w:val="00A5166D"/>
    <w:rsid w:val="00A51792"/>
    <w:rsid w:val="00A517FE"/>
    <w:rsid w:val="00A5194C"/>
    <w:rsid w:val="00A51961"/>
    <w:rsid w:val="00A51971"/>
    <w:rsid w:val="00A51BBE"/>
    <w:rsid w:val="00A51BEC"/>
    <w:rsid w:val="00A51C6E"/>
    <w:rsid w:val="00A51CDE"/>
    <w:rsid w:val="00A51DC7"/>
    <w:rsid w:val="00A51E2F"/>
    <w:rsid w:val="00A51F0E"/>
    <w:rsid w:val="00A51F15"/>
    <w:rsid w:val="00A51FF5"/>
    <w:rsid w:val="00A520BB"/>
    <w:rsid w:val="00A520CD"/>
    <w:rsid w:val="00A522E5"/>
    <w:rsid w:val="00A523DE"/>
    <w:rsid w:val="00A52423"/>
    <w:rsid w:val="00A524B7"/>
    <w:rsid w:val="00A524CE"/>
    <w:rsid w:val="00A5270D"/>
    <w:rsid w:val="00A52778"/>
    <w:rsid w:val="00A5282D"/>
    <w:rsid w:val="00A528D6"/>
    <w:rsid w:val="00A52A34"/>
    <w:rsid w:val="00A52AD8"/>
    <w:rsid w:val="00A52B09"/>
    <w:rsid w:val="00A52C9B"/>
    <w:rsid w:val="00A52D72"/>
    <w:rsid w:val="00A52DFB"/>
    <w:rsid w:val="00A52E30"/>
    <w:rsid w:val="00A52EC1"/>
    <w:rsid w:val="00A52F8E"/>
    <w:rsid w:val="00A52F8F"/>
    <w:rsid w:val="00A53159"/>
    <w:rsid w:val="00A531AD"/>
    <w:rsid w:val="00A53225"/>
    <w:rsid w:val="00A533A3"/>
    <w:rsid w:val="00A533E1"/>
    <w:rsid w:val="00A5343B"/>
    <w:rsid w:val="00A53494"/>
    <w:rsid w:val="00A5358D"/>
    <w:rsid w:val="00A53627"/>
    <w:rsid w:val="00A53642"/>
    <w:rsid w:val="00A53776"/>
    <w:rsid w:val="00A5379E"/>
    <w:rsid w:val="00A537BB"/>
    <w:rsid w:val="00A5387C"/>
    <w:rsid w:val="00A538EA"/>
    <w:rsid w:val="00A53A11"/>
    <w:rsid w:val="00A53B9F"/>
    <w:rsid w:val="00A53C05"/>
    <w:rsid w:val="00A53D30"/>
    <w:rsid w:val="00A53DAD"/>
    <w:rsid w:val="00A53EDF"/>
    <w:rsid w:val="00A53F50"/>
    <w:rsid w:val="00A5435A"/>
    <w:rsid w:val="00A54372"/>
    <w:rsid w:val="00A5438D"/>
    <w:rsid w:val="00A54540"/>
    <w:rsid w:val="00A54572"/>
    <w:rsid w:val="00A5457D"/>
    <w:rsid w:val="00A545F9"/>
    <w:rsid w:val="00A5461E"/>
    <w:rsid w:val="00A54976"/>
    <w:rsid w:val="00A5498B"/>
    <w:rsid w:val="00A549B4"/>
    <w:rsid w:val="00A54A4A"/>
    <w:rsid w:val="00A54ABF"/>
    <w:rsid w:val="00A54CFA"/>
    <w:rsid w:val="00A54D49"/>
    <w:rsid w:val="00A54E23"/>
    <w:rsid w:val="00A54EBC"/>
    <w:rsid w:val="00A54ECD"/>
    <w:rsid w:val="00A54F45"/>
    <w:rsid w:val="00A54FCB"/>
    <w:rsid w:val="00A5537C"/>
    <w:rsid w:val="00A55543"/>
    <w:rsid w:val="00A55584"/>
    <w:rsid w:val="00A5562F"/>
    <w:rsid w:val="00A55630"/>
    <w:rsid w:val="00A557BC"/>
    <w:rsid w:val="00A55BD4"/>
    <w:rsid w:val="00A55C14"/>
    <w:rsid w:val="00A55D2A"/>
    <w:rsid w:val="00A55D92"/>
    <w:rsid w:val="00A55DF0"/>
    <w:rsid w:val="00A55EA2"/>
    <w:rsid w:val="00A55EE1"/>
    <w:rsid w:val="00A56047"/>
    <w:rsid w:val="00A5605F"/>
    <w:rsid w:val="00A560C9"/>
    <w:rsid w:val="00A561C5"/>
    <w:rsid w:val="00A564B6"/>
    <w:rsid w:val="00A5657C"/>
    <w:rsid w:val="00A565CC"/>
    <w:rsid w:val="00A56610"/>
    <w:rsid w:val="00A5669A"/>
    <w:rsid w:val="00A566A5"/>
    <w:rsid w:val="00A566FE"/>
    <w:rsid w:val="00A567ED"/>
    <w:rsid w:val="00A5696E"/>
    <w:rsid w:val="00A569C3"/>
    <w:rsid w:val="00A56C44"/>
    <w:rsid w:val="00A56D69"/>
    <w:rsid w:val="00A56DA7"/>
    <w:rsid w:val="00A56E26"/>
    <w:rsid w:val="00A56E7A"/>
    <w:rsid w:val="00A56EDA"/>
    <w:rsid w:val="00A56EEA"/>
    <w:rsid w:val="00A56FA6"/>
    <w:rsid w:val="00A57171"/>
    <w:rsid w:val="00A5726C"/>
    <w:rsid w:val="00A57283"/>
    <w:rsid w:val="00A57392"/>
    <w:rsid w:val="00A57409"/>
    <w:rsid w:val="00A574A7"/>
    <w:rsid w:val="00A5762A"/>
    <w:rsid w:val="00A57661"/>
    <w:rsid w:val="00A57698"/>
    <w:rsid w:val="00A576E7"/>
    <w:rsid w:val="00A5781A"/>
    <w:rsid w:val="00A57868"/>
    <w:rsid w:val="00A57967"/>
    <w:rsid w:val="00A579A7"/>
    <w:rsid w:val="00A579DE"/>
    <w:rsid w:val="00A57A8D"/>
    <w:rsid w:val="00A57B45"/>
    <w:rsid w:val="00A57BDA"/>
    <w:rsid w:val="00A57BDD"/>
    <w:rsid w:val="00A57C5E"/>
    <w:rsid w:val="00A57C95"/>
    <w:rsid w:val="00A57CB1"/>
    <w:rsid w:val="00A57CF3"/>
    <w:rsid w:val="00A57D86"/>
    <w:rsid w:val="00A592BC"/>
    <w:rsid w:val="00A6019D"/>
    <w:rsid w:val="00A60294"/>
    <w:rsid w:val="00A602FA"/>
    <w:rsid w:val="00A603A9"/>
    <w:rsid w:val="00A6040C"/>
    <w:rsid w:val="00A60533"/>
    <w:rsid w:val="00A60621"/>
    <w:rsid w:val="00A606B0"/>
    <w:rsid w:val="00A6084B"/>
    <w:rsid w:val="00A6097D"/>
    <w:rsid w:val="00A609D4"/>
    <w:rsid w:val="00A60A43"/>
    <w:rsid w:val="00A60A7D"/>
    <w:rsid w:val="00A60AD4"/>
    <w:rsid w:val="00A60B14"/>
    <w:rsid w:val="00A60C45"/>
    <w:rsid w:val="00A60E06"/>
    <w:rsid w:val="00A60F17"/>
    <w:rsid w:val="00A61124"/>
    <w:rsid w:val="00A61160"/>
    <w:rsid w:val="00A61285"/>
    <w:rsid w:val="00A61327"/>
    <w:rsid w:val="00A6136F"/>
    <w:rsid w:val="00A6145E"/>
    <w:rsid w:val="00A6165E"/>
    <w:rsid w:val="00A616A3"/>
    <w:rsid w:val="00A617BB"/>
    <w:rsid w:val="00A617F2"/>
    <w:rsid w:val="00A617F7"/>
    <w:rsid w:val="00A618FB"/>
    <w:rsid w:val="00A61919"/>
    <w:rsid w:val="00A6195A"/>
    <w:rsid w:val="00A6197B"/>
    <w:rsid w:val="00A61A59"/>
    <w:rsid w:val="00A61AFA"/>
    <w:rsid w:val="00A61B1B"/>
    <w:rsid w:val="00A61B7E"/>
    <w:rsid w:val="00A61BBA"/>
    <w:rsid w:val="00A61EC5"/>
    <w:rsid w:val="00A61FD7"/>
    <w:rsid w:val="00A621E1"/>
    <w:rsid w:val="00A6222F"/>
    <w:rsid w:val="00A6224B"/>
    <w:rsid w:val="00A62276"/>
    <w:rsid w:val="00A622EA"/>
    <w:rsid w:val="00A6230B"/>
    <w:rsid w:val="00A6233D"/>
    <w:rsid w:val="00A623AE"/>
    <w:rsid w:val="00A623D1"/>
    <w:rsid w:val="00A62408"/>
    <w:rsid w:val="00A6245D"/>
    <w:rsid w:val="00A626D5"/>
    <w:rsid w:val="00A6272F"/>
    <w:rsid w:val="00A62751"/>
    <w:rsid w:val="00A62878"/>
    <w:rsid w:val="00A628DD"/>
    <w:rsid w:val="00A62929"/>
    <w:rsid w:val="00A629CB"/>
    <w:rsid w:val="00A62AC5"/>
    <w:rsid w:val="00A62B72"/>
    <w:rsid w:val="00A62D85"/>
    <w:rsid w:val="00A62E8F"/>
    <w:rsid w:val="00A62EE4"/>
    <w:rsid w:val="00A62EF7"/>
    <w:rsid w:val="00A63131"/>
    <w:rsid w:val="00A63132"/>
    <w:rsid w:val="00A632A0"/>
    <w:rsid w:val="00A6334B"/>
    <w:rsid w:val="00A6352F"/>
    <w:rsid w:val="00A637A7"/>
    <w:rsid w:val="00A63877"/>
    <w:rsid w:val="00A638AD"/>
    <w:rsid w:val="00A63B73"/>
    <w:rsid w:val="00A63CC8"/>
    <w:rsid w:val="00A63D0F"/>
    <w:rsid w:val="00A63DE3"/>
    <w:rsid w:val="00A63F42"/>
    <w:rsid w:val="00A64254"/>
    <w:rsid w:val="00A642CD"/>
    <w:rsid w:val="00A642E9"/>
    <w:rsid w:val="00A64529"/>
    <w:rsid w:val="00A6457B"/>
    <w:rsid w:val="00A645F0"/>
    <w:rsid w:val="00A64605"/>
    <w:rsid w:val="00A6462B"/>
    <w:rsid w:val="00A64658"/>
    <w:rsid w:val="00A64766"/>
    <w:rsid w:val="00A6478B"/>
    <w:rsid w:val="00A64A5B"/>
    <w:rsid w:val="00A64B91"/>
    <w:rsid w:val="00A64BF7"/>
    <w:rsid w:val="00A64CCA"/>
    <w:rsid w:val="00A64D83"/>
    <w:rsid w:val="00A64F2A"/>
    <w:rsid w:val="00A65059"/>
    <w:rsid w:val="00A651DE"/>
    <w:rsid w:val="00A651F3"/>
    <w:rsid w:val="00A65250"/>
    <w:rsid w:val="00A65292"/>
    <w:rsid w:val="00A65334"/>
    <w:rsid w:val="00A65347"/>
    <w:rsid w:val="00A653DB"/>
    <w:rsid w:val="00A65498"/>
    <w:rsid w:val="00A65632"/>
    <w:rsid w:val="00A6587E"/>
    <w:rsid w:val="00A65886"/>
    <w:rsid w:val="00A65AFA"/>
    <w:rsid w:val="00A65B13"/>
    <w:rsid w:val="00A65B9B"/>
    <w:rsid w:val="00A660C1"/>
    <w:rsid w:val="00A660FE"/>
    <w:rsid w:val="00A66246"/>
    <w:rsid w:val="00A66286"/>
    <w:rsid w:val="00A663D0"/>
    <w:rsid w:val="00A664C5"/>
    <w:rsid w:val="00A66528"/>
    <w:rsid w:val="00A665B1"/>
    <w:rsid w:val="00A665D3"/>
    <w:rsid w:val="00A66774"/>
    <w:rsid w:val="00A667BF"/>
    <w:rsid w:val="00A6683F"/>
    <w:rsid w:val="00A6694F"/>
    <w:rsid w:val="00A6695F"/>
    <w:rsid w:val="00A66A09"/>
    <w:rsid w:val="00A66AA7"/>
    <w:rsid w:val="00A66B3C"/>
    <w:rsid w:val="00A66BE8"/>
    <w:rsid w:val="00A66DE8"/>
    <w:rsid w:val="00A66DEB"/>
    <w:rsid w:val="00A66E0D"/>
    <w:rsid w:val="00A670C7"/>
    <w:rsid w:val="00A670DC"/>
    <w:rsid w:val="00A67310"/>
    <w:rsid w:val="00A67460"/>
    <w:rsid w:val="00A6747D"/>
    <w:rsid w:val="00A67702"/>
    <w:rsid w:val="00A67742"/>
    <w:rsid w:val="00A677BA"/>
    <w:rsid w:val="00A6790C"/>
    <w:rsid w:val="00A679ED"/>
    <w:rsid w:val="00A67D65"/>
    <w:rsid w:val="00A67FAC"/>
    <w:rsid w:val="00A67FF5"/>
    <w:rsid w:val="00A700B0"/>
    <w:rsid w:val="00A7010B"/>
    <w:rsid w:val="00A70128"/>
    <w:rsid w:val="00A7018A"/>
    <w:rsid w:val="00A70271"/>
    <w:rsid w:val="00A702BC"/>
    <w:rsid w:val="00A702F9"/>
    <w:rsid w:val="00A70350"/>
    <w:rsid w:val="00A70393"/>
    <w:rsid w:val="00A703F8"/>
    <w:rsid w:val="00A705DC"/>
    <w:rsid w:val="00A706E3"/>
    <w:rsid w:val="00A706E7"/>
    <w:rsid w:val="00A706EE"/>
    <w:rsid w:val="00A707F9"/>
    <w:rsid w:val="00A70816"/>
    <w:rsid w:val="00A70827"/>
    <w:rsid w:val="00A70B31"/>
    <w:rsid w:val="00A70C6B"/>
    <w:rsid w:val="00A70CF0"/>
    <w:rsid w:val="00A70D7A"/>
    <w:rsid w:val="00A70DE1"/>
    <w:rsid w:val="00A7106E"/>
    <w:rsid w:val="00A7117D"/>
    <w:rsid w:val="00A71355"/>
    <w:rsid w:val="00A71432"/>
    <w:rsid w:val="00A71518"/>
    <w:rsid w:val="00A7159A"/>
    <w:rsid w:val="00A716E2"/>
    <w:rsid w:val="00A7188A"/>
    <w:rsid w:val="00A7197E"/>
    <w:rsid w:val="00A719BC"/>
    <w:rsid w:val="00A71A9B"/>
    <w:rsid w:val="00A71B4D"/>
    <w:rsid w:val="00A71C3C"/>
    <w:rsid w:val="00A71CA5"/>
    <w:rsid w:val="00A71F39"/>
    <w:rsid w:val="00A71F8E"/>
    <w:rsid w:val="00A71FCC"/>
    <w:rsid w:val="00A72120"/>
    <w:rsid w:val="00A721CD"/>
    <w:rsid w:val="00A72262"/>
    <w:rsid w:val="00A7239B"/>
    <w:rsid w:val="00A72403"/>
    <w:rsid w:val="00A7280F"/>
    <w:rsid w:val="00A72840"/>
    <w:rsid w:val="00A728D1"/>
    <w:rsid w:val="00A728D6"/>
    <w:rsid w:val="00A728E6"/>
    <w:rsid w:val="00A72AC7"/>
    <w:rsid w:val="00A72C38"/>
    <w:rsid w:val="00A72C52"/>
    <w:rsid w:val="00A72CC2"/>
    <w:rsid w:val="00A72DCB"/>
    <w:rsid w:val="00A730CF"/>
    <w:rsid w:val="00A73103"/>
    <w:rsid w:val="00A73126"/>
    <w:rsid w:val="00A73130"/>
    <w:rsid w:val="00A73144"/>
    <w:rsid w:val="00A732B5"/>
    <w:rsid w:val="00A7336D"/>
    <w:rsid w:val="00A734C1"/>
    <w:rsid w:val="00A7358B"/>
    <w:rsid w:val="00A735AF"/>
    <w:rsid w:val="00A73743"/>
    <w:rsid w:val="00A737E6"/>
    <w:rsid w:val="00A73948"/>
    <w:rsid w:val="00A739AC"/>
    <w:rsid w:val="00A73BB4"/>
    <w:rsid w:val="00A73C92"/>
    <w:rsid w:val="00A73E4A"/>
    <w:rsid w:val="00A73EC5"/>
    <w:rsid w:val="00A73F91"/>
    <w:rsid w:val="00A74073"/>
    <w:rsid w:val="00A74096"/>
    <w:rsid w:val="00A74128"/>
    <w:rsid w:val="00A74154"/>
    <w:rsid w:val="00A743B3"/>
    <w:rsid w:val="00A743F2"/>
    <w:rsid w:val="00A74488"/>
    <w:rsid w:val="00A7457F"/>
    <w:rsid w:val="00A745A1"/>
    <w:rsid w:val="00A74626"/>
    <w:rsid w:val="00A746E4"/>
    <w:rsid w:val="00A749D3"/>
    <w:rsid w:val="00A74ACD"/>
    <w:rsid w:val="00A74B66"/>
    <w:rsid w:val="00A74B83"/>
    <w:rsid w:val="00A74C6A"/>
    <w:rsid w:val="00A74CD7"/>
    <w:rsid w:val="00A74D3D"/>
    <w:rsid w:val="00A74D57"/>
    <w:rsid w:val="00A74D63"/>
    <w:rsid w:val="00A74DF6"/>
    <w:rsid w:val="00A74EB8"/>
    <w:rsid w:val="00A74F36"/>
    <w:rsid w:val="00A7504E"/>
    <w:rsid w:val="00A75253"/>
    <w:rsid w:val="00A75381"/>
    <w:rsid w:val="00A75432"/>
    <w:rsid w:val="00A75456"/>
    <w:rsid w:val="00A754E7"/>
    <w:rsid w:val="00A7560D"/>
    <w:rsid w:val="00A75612"/>
    <w:rsid w:val="00A7577D"/>
    <w:rsid w:val="00A7583B"/>
    <w:rsid w:val="00A75847"/>
    <w:rsid w:val="00A75BA3"/>
    <w:rsid w:val="00A75CBF"/>
    <w:rsid w:val="00A75E8E"/>
    <w:rsid w:val="00A76051"/>
    <w:rsid w:val="00A7606B"/>
    <w:rsid w:val="00A76175"/>
    <w:rsid w:val="00A7635C"/>
    <w:rsid w:val="00A763C1"/>
    <w:rsid w:val="00A7655E"/>
    <w:rsid w:val="00A766C4"/>
    <w:rsid w:val="00A76805"/>
    <w:rsid w:val="00A76926"/>
    <w:rsid w:val="00A769A3"/>
    <w:rsid w:val="00A769BA"/>
    <w:rsid w:val="00A76B54"/>
    <w:rsid w:val="00A76E5A"/>
    <w:rsid w:val="00A76EFD"/>
    <w:rsid w:val="00A76FC6"/>
    <w:rsid w:val="00A77067"/>
    <w:rsid w:val="00A77494"/>
    <w:rsid w:val="00A77510"/>
    <w:rsid w:val="00A77524"/>
    <w:rsid w:val="00A7757C"/>
    <w:rsid w:val="00A7767A"/>
    <w:rsid w:val="00A776C9"/>
    <w:rsid w:val="00A776CF"/>
    <w:rsid w:val="00A77746"/>
    <w:rsid w:val="00A77848"/>
    <w:rsid w:val="00A7785C"/>
    <w:rsid w:val="00A77A5F"/>
    <w:rsid w:val="00A77A72"/>
    <w:rsid w:val="00A77ACA"/>
    <w:rsid w:val="00A77CBB"/>
    <w:rsid w:val="00A77E80"/>
    <w:rsid w:val="00A77F56"/>
    <w:rsid w:val="00A77FC6"/>
    <w:rsid w:val="00A77FDB"/>
    <w:rsid w:val="00A8022B"/>
    <w:rsid w:val="00A80230"/>
    <w:rsid w:val="00A804FA"/>
    <w:rsid w:val="00A8059D"/>
    <w:rsid w:val="00A80632"/>
    <w:rsid w:val="00A8067E"/>
    <w:rsid w:val="00A80682"/>
    <w:rsid w:val="00A806BF"/>
    <w:rsid w:val="00A807A0"/>
    <w:rsid w:val="00A809C1"/>
    <w:rsid w:val="00A80A4A"/>
    <w:rsid w:val="00A80A53"/>
    <w:rsid w:val="00A80AEE"/>
    <w:rsid w:val="00A80AFB"/>
    <w:rsid w:val="00A80B28"/>
    <w:rsid w:val="00A80D02"/>
    <w:rsid w:val="00A80D89"/>
    <w:rsid w:val="00A80DBA"/>
    <w:rsid w:val="00A80FDE"/>
    <w:rsid w:val="00A80FFC"/>
    <w:rsid w:val="00A8103F"/>
    <w:rsid w:val="00A81049"/>
    <w:rsid w:val="00A81072"/>
    <w:rsid w:val="00A81107"/>
    <w:rsid w:val="00A81149"/>
    <w:rsid w:val="00A81350"/>
    <w:rsid w:val="00A81489"/>
    <w:rsid w:val="00A815FD"/>
    <w:rsid w:val="00A81676"/>
    <w:rsid w:val="00A816E5"/>
    <w:rsid w:val="00A817CC"/>
    <w:rsid w:val="00A81863"/>
    <w:rsid w:val="00A81973"/>
    <w:rsid w:val="00A81988"/>
    <w:rsid w:val="00A81B22"/>
    <w:rsid w:val="00A81BA1"/>
    <w:rsid w:val="00A81CA0"/>
    <w:rsid w:val="00A81CB7"/>
    <w:rsid w:val="00A81CF3"/>
    <w:rsid w:val="00A81DAB"/>
    <w:rsid w:val="00A81EE5"/>
    <w:rsid w:val="00A81F02"/>
    <w:rsid w:val="00A81FD8"/>
    <w:rsid w:val="00A82027"/>
    <w:rsid w:val="00A82062"/>
    <w:rsid w:val="00A8213A"/>
    <w:rsid w:val="00A82144"/>
    <w:rsid w:val="00A82163"/>
    <w:rsid w:val="00A821E8"/>
    <w:rsid w:val="00A822E6"/>
    <w:rsid w:val="00A8231D"/>
    <w:rsid w:val="00A824BC"/>
    <w:rsid w:val="00A825AA"/>
    <w:rsid w:val="00A826C0"/>
    <w:rsid w:val="00A826EC"/>
    <w:rsid w:val="00A82879"/>
    <w:rsid w:val="00A829D7"/>
    <w:rsid w:val="00A82AA1"/>
    <w:rsid w:val="00A82AFF"/>
    <w:rsid w:val="00A82B04"/>
    <w:rsid w:val="00A82B29"/>
    <w:rsid w:val="00A82BFF"/>
    <w:rsid w:val="00A82C3F"/>
    <w:rsid w:val="00A82D3C"/>
    <w:rsid w:val="00A82D9F"/>
    <w:rsid w:val="00A82E87"/>
    <w:rsid w:val="00A82EF7"/>
    <w:rsid w:val="00A82F48"/>
    <w:rsid w:val="00A830A9"/>
    <w:rsid w:val="00A8321B"/>
    <w:rsid w:val="00A83319"/>
    <w:rsid w:val="00A833B8"/>
    <w:rsid w:val="00A83463"/>
    <w:rsid w:val="00A83567"/>
    <w:rsid w:val="00A835B5"/>
    <w:rsid w:val="00A83617"/>
    <w:rsid w:val="00A83868"/>
    <w:rsid w:val="00A8388B"/>
    <w:rsid w:val="00A838EE"/>
    <w:rsid w:val="00A83A06"/>
    <w:rsid w:val="00A83C7D"/>
    <w:rsid w:val="00A83CB5"/>
    <w:rsid w:val="00A83DD2"/>
    <w:rsid w:val="00A83F20"/>
    <w:rsid w:val="00A840C5"/>
    <w:rsid w:val="00A841BE"/>
    <w:rsid w:val="00A84240"/>
    <w:rsid w:val="00A842D5"/>
    <w:rsid w:val="00A842E0"/>
    <w:rsid w:val="00A84368"/>
    <w:rsid w:val="00A84419"/>
    <w:rsid w:val="00A844D8"/>
    <w:rsid w:val="00A847DE"/>
    <w:rsid w:val="00A847F9"/>
    <w:rsid w:val="00A8482F"/>
    <w:rsid w:val="00A84971"/>
    <w:rsid w:val="00A8497A"/>
    <w:rsid w:val="00A84A76"/>
    <w:rsid w:val="00A84BBC"/>
    <w:rsid w:val="00A84BE7"/>
    <w:rsid w:val="00A84D1E"/>
    <w:rsid w:val="00A84D2A"/>
    <w:rsid w:val="00A84D55"/>
    <w:rsid w:val="00A84DCB"/>
    <w:rsid w:val="00A84E44"/>
    <w:rsid w:val="00A84E5D"/>
    <w:rsid w:val="00A84F16"/>
    <w:rsid w:val="00A84F1D"/>
    <w:rsid w:val="00A850F0"/>
    <w:rsid w:val="00A85112"/>
    <w:rsid w:val="00A85114"/>
    <w:rsid w:val="00A85209"/>
    <w:rsid w:val="00A85505"/>
    <w:rsid w:val="00A85569"/>
    <w:rsid w:val="00A855EA"/>
    <w:rsid w:val="00A855F0"/>
    <w:rsid w:val="00A85634"/>
    <w:rsid w:val="00A856D6"/>
    <w:rsid w:val="00A85754"/>
    <w:rsid w:val="00A85820"/>
    <w:rsid w:val="00A8584E"/>
    <w:rsid w:val="00A858DF"/>
    <w:rsid w:val="00A858F4"/>
    <w:rsid w:val="00A8590F"/>
    <w:rsid w:val="00A8592C"/>
    <w:rsid w:val="00A85A2D"/>
    <w:rsid w:val="00A85A37"/>
    <w:rsid w:val="00A85A58"/>
    <w:rsid w:val="00A85B30"/>
    <w:rsid w:val="00A85B88"/>
    <w:rsid w:val="00A85BA9"/>
    <w:rsid w:val="00A85D39"/>
    <w:rsid w:val="00A85E04"/>
    <w:rsid w:val="00A85EB9"/>
    <w:rsid w:val="00A85F01"/>
    <w:rsid w:val="00A86088"/>
    <w:rsid w:val="00A8626B"/>
    <w:rsid w:val="00A86365"/>
    <w:rsid w:val="00A863BA"/>
    <w:rsid w:val="00A863FA"/>
    <w:rsid w:val="00A8642F"/>
    <w:rsid w:val="00A86438"/>
    <w:rsid w:val="00A8645C"/>
    <w:rsid w:val="00A865FA"/>
    <w:rsid w:val="00A8665D"/>
    <w:rsid w:val="00A866E3"/>
    <w:rsid w:val="00A86727"/>
    <w:rsid w:val="00A86873"/>
    <w:rsid w:val="00A86A92"/>
    <w:rsid w:val="00A86B21"/>
    <w:rsid w:val="00A86E2A"/>
    <w:rsid w:val="00A87238"/>
    <w:rsid w:val="00A87276"/>
    <w:rsid w:val="00A87293"/>
    <w:rsid w:val="00A87430"/>
    <w:rsid w:val="00A87532"/>
    <w:rsid w:val="00A87591"/>
    <w:rsid w:val="00A875F1"/>
    <w:rsid w:val="00A875FB"/>
    <w:rsid w:val="00A87689"/>
    <w:rsid w:val="00A878AC"/>
    <w:rsid w:val="00A87C69"/>
    <w:rsid w:val="00A87CDF"/>
    <w:rsid w:val="00A87CEC"/>
    <w:rsid w:val="00A9008D"/>
    <w:rsid w:val="00A900A0"/>
    <w:rsid w:val="00A90498"/>
    <w:rsid w:val="00A905DD"/>
    <w:rsid w:val="00A907A9"/>
    <w:rsid w:val="00A90815"/>
    <w:rsid w:val="00A90A36"/>
    <w:rsid w:val="00A90C5D"/>
    <w:rsid w:val="00A90D46"/>
    <w:rsid w:val="00A90D71"/>
    <w:rsid w:val="00A90F23"/>
    <w:rsid w:val="00A91128"/>
    <w:rsid w:val="00A91206"/>
    <w:rsid w:val="00A91443"/>
    <w:rsid w:val="00A915B8"/>
    <w:rsid w:val="00A915BF"/>
    <w:rsid w:val="00A9161B"/>
    <w:rsid w:val="00A916D9"/>
    <w:rsid w:val="00A917F1"/>
    <w:rsid w:val="00A9184B"/>
    <w:rsid w:val="00A91889"/>
    <w:rsid w:val="00A91936"/>
    <w:rsid w:val="00A919A7"/>
    <w:rsid w:val="00A91B1D"/>
    <w:rsid w:val="00A91B9A"/>
    <w:rsid w:val="00A91E01"/>
    <w:rsid w:val="00A91F36"/>
    <w:rsid w:val="00A92094"/>
    <w:rsid w:val="00A9210C"/>
    <w:rsid w:val="00A92245"/>
    <w:rsid w:val="00A9229E"/>
    <w:rsid w:val="00A9238B"/>
    <w:rsid w:val="00A923F6"/>
    <w:rsid w:val="00A92556"/>
    <w:rsid w:val="00A92682"/>
    <w:rsid w:val="00A9269C"/>
    <w:rsid w:val="00A9276A"/>
    <w:rsid w:val="00A927ED"/>
    <w:rsid w:val="00A92848"/>
    <w:rsid w:val="00A9294B"/>
    <w:rsid w:val="00A92C13"/>
    <w:rsid w:val="00A92C34"/>
    <w:rsid w:val="00A92F15"/>
    <w:rsid w:val="00A92FC2"/>
    <w:rsid w:val="00A9305B"/>
    <w:rsid w:val="00A93064"/>
    <w:rsid w:val="00A93115"/>
    <w:rsid w:val="00A93428"/>
    <w:rsid w:val="00A93504"/>
    <w:rsid w:val="00A93572"/>
    <w:rsid w:val="00A936CE"/>
    <w:rsid w:val="00A9376E"/>
    <w:rsid w:val="00A937E4"/>
    <w:rsid w:val="00A937EC"/>
    <w:rsid w:val="00A938C7"/>
    <w:rsid w:val="00A939FD"/>
    <w:rsid w:val="00A93A11"/>
    <w:rsid w:val="00A93AA3"/>
    <w:rsid w:val="00A93BEF"/>
    <w:rsid w:val="00A93E23"/>
    <w:rsid w:val="00A93F2A"/>
    <w:rsid w:val="00A93F76"/>
    <w:rsid w:val="00A94381"/>
    <w:rsid w:val="00A946A3"/>
    <w:rsid w:val="00A9479E"/>
    <w:rsid w:val="00A94835"/>
    <w:rsid w:val="00A9489B"/>
    <w:rsid w:val="00A948C0"/>
    <w:rsid w:val="00A94BDA"/>
    <w:rsid w:val="00A94C07"/>
    <w:rsid w:val="00A94D5D"/>
    <w:rsid w:val="00A94F1F"/>
    <w:rsid w:val="00A94F6D"/>
    <w:rsid w:val="00A94FF1"/>
    <w:rsid w:val="00A9512E"/>
    <w:rsid w:val="00A951A1"/>
    <w:rsid w:val="00A95370"/>
    <w:rsid w:val="00A953A1"/>
    <w:rsid w:val="00A954DB"/>
    <w:rsid w:val="00A95525"/>
    <w:rsid w:val="00A955B2"/>
    <w:rsid w:val="00A955D6"/>
    <w:rsid w:val="00A956B3"/>
    <w:rsid w:val="00A9578E"/>
    <w:rsid w:val="00A957E8"/>
    <w:rsid w:val="00A95821"/>
    <w:rsid w:val="00A9590C"/>
    <w:rsid w:val="00A95928"/>
    <w:rsid w:val="00A959B5"/>
    <w:rsid w:val="00A95AEA"/>
    <w:rsid w:val="00A95B2D"/>
    <w:rsid w:val="00A95C17"/>
    <w:rsid w:val="00A95C3B"/>
    <w:rsid w:val="00A95DD8"/>
    <w:rsid w:val="00A95FA9"/>
    <w:rsid w:val="00A95FB6"/>
    <w:rsid w:val="00A96003"/>
    <w:rsid w:val="00A96034"/>
    <w:rsid w:val="00A9614E"/>
    <w:rsid w:val="00A961F0"/>
    <w:rsid w:val="00A9650B"/>
    <w:rsid w:val="00A965E6"/>
    <w:rsid w:val="00A966DB"/>
    <w:rsid w:val="00A9672B"/>
    <w:rsid w:val="00A96807"/>
    <w:rsid w:val="00A968A5"/>
    <w:rsid w:val="00A9692F"/>
    <w:rsid w:val="00A96AD7"/>
    <w:rsid w:val="00A96C19"/>
    <w:rsid w:val="00A96C99"/>
    <w:rsid w:val="00A96CC5"/>
    <w:rsid w:val="00A96EFC"/>
    <w:rsid w:val="00A96F45"/>
    <w:rsid w:val="00A96F7C"/>
    <w:rsid w:val="00A96FC8"/>
    <w:rsid w:val="00A970B0"/>
    <w:rsid w:val="00A9714C"/>
    <w:rsid w:val="00A97155"/>
    <w:rsid w:val="00A9719C"/>
    <w:rsid w:val="00A971E4"/>
    <w:rsid w:val="00A972C2"/>
    <w:rsid w:val="00A973B4"/>
    <w:rsid w:val="00A97497"/>
    <w:rsid w:val="00A975B2"/>
    <w:rsid w:val="00A97632"/>
    <w:rsid w:val="00A9765A"/>
    <w:rsid w:val="00A97739"/>
    <w:rsid w:val="00A9794C"/>
    <w:rsid w:val="00A979C5"/>
    <w:rsid w:val="00A97A67"/>
    <w:rsid w:val="00A97B6F"/>
    <w:rsid w:val="00A97CC9"/>
    <w:rsid w:val="00AA0169"/>
    <w:rsid w:val="00AA0184"/>
    <w:rsid w:val="00AA046B"/>
    <w:rsid w:val="00AA0631"/>
    <w:rsid w:val="00AA0836"/>
    <w:rsid w:val="00AA093C"/>
    <w:rsid w:val="00AA0AA9"/>
    <w:rsid w:val="00AA0AF0"/>
    <w:rsid w:val="00AA0B20"/>
    <w:rsid w:val="00AA0B4F"/>
    <w:rsid w:val="00AA0BCF"/>
    <w:rsid w:val="00AA1039"/>
    <w:rsid w:val="00AA116D"/>
    <w:rsid w:val="00AA12DC"/>
    <w:rsid w:val="00AA130B"/>
    <w:rsid w:val="00AA14B8"/>
    <w:rsid w:val="00AA152B"/>
    <w:rsid w:val="00AA1847"/>
    <w:rsid w:val="00AA184A"/>
    <w:rsid w:val="00AA18A5"/>
    <w:rsid w:val="00AA18B1"/>
    <w:rsid w:val="00AA18EF"/>
    <w:rsid w:val="00AA19E5"/>
    <w:rsid w:val="00AA1A66"/>
    <w:rsid w:val="00AA1A6B"/>
    <w:rsid w:val="00AA1C33"/>
    <w:rsid w:val="00AA1D4F"/>
    <w:rsid w:val="00AA1DC1"/>
    <w:rsid w:val="00AA2020"/>
    <w:rsid w:val="00AA2113"/>
    <w:rsid w:val="00AA22EF"/>
    <w:rsid w:val="00AA23AA"/>
    <w:rsid w:val="00AA2599"/>
    <w:rsid w:val="00AA261C"/>
    <w:rsid w:val="00AA26CF"/>
    <w:rsid w:val="00AA2781"/>
    <w:rsid w:val="00AA2923"/>
    <w:rsid w:val="00AA2A28"/>
    <w:rsid w:val="00AA2B5B"/>
    <w:rsid w:val="00AA2CC1"/>
    <w:rsid w:val="00AA2D64"/>
    <w:rsid w:val="00AA2DA7"/>
    <w:rsid w:val="00AA2F27"/>
    <w:rsid w:val="00AA2F7F"/>
    <w:rsid w:val="00AA3130"/>
    <w:rsid w:val="00AA3367"/>
    <w:rsid w:val="00AA34AF"/>
    <w:rsid w:val="00AA3603"/>
    <w:rsid w:val="00AA36C4"/>
    <w:rsid w:val="00AA3759"/>
    <w:rsid w:val="00AA3821"/>
    <w:rsid w:val="00AA382F"/>
    <w:rsid w:val="00AA39E0"/>
    <w:rsid w:val="00AA3A17"/>
    <w:rsid w:val="00AA3AD3"/>
    <w:rsid w:val="00AA3C77"/>
    <w:rsid w:val="00AA3C88"/>
    <w:rsid w:val="00AA3D5E"/>
    <w:rsid w:val="00AA3E7A"/>
    <w:rsid w:val="00AA3E88"/>
    <w:rsid w:val="00AA3FFA"/>
    <w:rsid w:val="00AA41CA"/>
    <w:rsid w:val="00AA423A"/>
    <w:rsid w:val="00AA426B"/>
    <w:rsid w:val="00AA42F3"/>
    <w:rsid w:val="00AA43A6"/>
    <w:rsid w:val="00AA4589"/>
    <w:rsid w:val="00AA45FB"/>
    <w:rsid w:val="00AA4739"/>
    <w:rsid w:val="00AA485E"/>
    <w:rsid w:val="00AA4C1F"/>
    <w:rsid w:val="00AA5070"/>
    <w:rsid w:val="00AA51D4"/>
    <w:rsid w:val="00AA52A7"/>
    <w:rsid w:val="00AA5394"/>
    <w:rsid w:val="00AA5400"/>
    <w:rsid w:val="00AA5457"/>
    <w:rsid w:val="00AA597C"/>
    <w:rsid w:val="00AA5AE4"/>
    <w:rsid w:val="00AA5BA5"/>
    <w:rsid w:val="00AA5BB3"/>
    <w:rsid w:val="00AA5DD8"/>
    <w:rsid w:val="00AA5E29"/>
    <w:rsid w:val="00AA60EA"/>
    <w:rsid w:val="00AA632F"/>
    <w:rsid w:val="00AA64E9"/>
    <w:rsid w:val="00AA6576"/>
    <w:rsid w:val="00AA65D5"/>
    <w:rsid w:val="00AA65EE"/>
    <w:rsid w:val="00AA664C"/>
    <w:rsid w:val="00AA6716"/>
    <w:rsid w:val="00AA6779"/>
    <w:rsid w:val="00AA6851"/>
    <w:rsid w:val="00AA687F"/>
    <w:rsid w:val="00AA6A5D"/>
    <w:rsid w:val="00AA6AA0"/>
    <w:rsid w:val="00AA6C73"/>
    <w:rsid w:val="00AA6D52"/>
    <w:rsid w:val="00AA6D5E"/>
    <w:rsid w:val="00AA6D92"/>
    <w:rsid w:val="00AA6E04"/>
    <w:rsid w:val="00AA6E88"/>
    <w:rsid w:val="00AA6EFA"/>
    <w:rsid w:val="00AA6F85"/>
    <w:rsid w:val="00AA701B"/>
    <w:rsid w:val="00AA7192"/>
    <w:rsid w:val="00AA7302"/>
    <w:rsid w:val="00AA7349"/>
    <w:rsid w:val="00AA73CC"/>
    <w:rsid w:val="00AA740F"/>
    <w:rsid w:val="00AA7435"/>
    <w:rsid w:val="00AA756C"/>
    <w:rsid w:val="00AA756D"/>
    <w:rsid w:val="00AA7813"/>
    <w:rsid w:val="00AA7B9A"/>
    <w:rsid w:val="00AA7C9D"/>
    <w:rsid w:val="00AA7E10"/>
    <w:rsid w:val="00AA7EB8"/>
    <w:rsid w:val="00AA7F9A"/>
    <w:rsid w:val="00AA7FF6"/>
    <w:rsid w:val="00AB008C"/>
    <w:rsid w:val="00AB00AA"/>
    <w:rsid w:val="00AB030B"/>
    <w:rsid w:val="00AB0354"/>
    <w:rsid w:val="00AB039D"/>
    <w:rsid w:val="00AB0416"/>
    <w:rsid w:val="00AB041E"/>
    <w:rsid w:val="00AB0740"/>
    <w:rsid w:val="00AB0782"/>
    <w:rsid w:val="00AB086F"/>
    <w:rsid w:val="00AB09D1"/>
    <w:rsid w:val="00AB09D9"/>
    <w:rsid w:val="00AB0C85"/>
    <w:rsid w:val="00AB0DAC"/>
    <w:rsid w:val="00AB0DAE"/>
    <w:rsid w:val="00AB0F50"/>
    <w:rsid w:val="00AB0F5B"/>
    <w:rsid w:val="00AB0FE0"/>
    <w:rsid w:val="00AB1006"/>
    <w:rsid w:val="00AB1171"/>
    <w:rsid w:val="00AB1391"/>
    <w:rsid w:val="00AB14FE"/>
    <w:rsid w:val="00AB1512"/>
    <w:rsid w:val="00AB164F"/>
    <w:rsid w:val="00AB1664"/>
    <w:rsid w:val="00AB1679"/>
    <w:rsid w:val="00AB16BF"/>
    <w:rsid w:val="00AB187D"/>
    <w:rsid w:val="00AB19A1"/>
    <w:rsid w:val="00AB1A20"/>
    <w:rsid w:val="00AB1AB0"/>
    <w:rsid w:val="00AB1AE8"/>
    <w:rsid w:val="00AB1B49"/>
    <w:rsid w:val="00AB1C0F"/>
    <w:rsid w:val="00AB1CC1"/>
    <w:rsid w:val="00AB1CCD"/>
    <w:rsid w:val="00AB1D2C"/>
    <w:rsid w:val="00AB1D9C"/>
    <w:rsid w:val="00AB1E24"/>
    <w:rsid w:val="00AB1FA9"/>
    <w:rsid w:val="00AB1FCC"/>
    <w:rsid w:val="00AB1FCE"/>
    <w:rsid w:val="00AB2528"/>
    <w:rsid w:val="00AB2562"/>
    <w:rsid w:val="00AB266B"/>
    <w:rsid w:val="00AB2846"/>
    <w:rsid w:val="00AB285C"/>
    <w:rsid w:val="00AB28F4"/>
    <w:rsid w:val="00AB2A3A"/>
    <w:rsid w:val="00AB2AEA"/>
    <w:rsid w:val="00AB2D59"/>
    <w:rsid w:val="00AB2DFC"/>
    <w:rsid w:val="00AB2E67"/>
    <w:rsid w:val="00AB2EE9"/>
    <w:rsid w:val="00AB2F40"/>
    <w:rsid w:val="00AB2FEB"/>
    <w:rsid w:val="00AB3072"/>
    <w:rsid w:val="00AB3372"/>
    <w:rsid w:val="00AB3528"/>
    <w:rsid w:val="00AB357F"/>
    <w:rsid w:val="00AB36ED"/>
    <w:rsid w:val="00AB384B"/>
    <w:rsid w:val="00AB3948"/>
    <w:rsid w:val="00AB3B41"/>
    <w:rsid w:val="00AB3C35"/>
    <w:rsid w:val="00AB3E00"/>
    <w:rsid w:val="00AB3EED"/>
    <w:rsid w:val="00AB40D7"/>
    <w:rsid w:val="00AB40FE"/>
    <w:rsid w:val="00AB459F"/>
    <w:rsid w:val="00AB45F7"/>
    <w:rsid w:val="00AB462A"/>
    <w:rsid w:val="00AB4771"/>
    <w:rsid w:val="00AB47AB"/>
    <w:rsid w:val="00AB4920"/>
    <w:rsid w:val="00AB4972"/>
    <w:rsid w:val="00AB4984"/>
    <w:rsid w:val="00AB4AD8"/>
    <w:rsid w:val="00AB4B86"/>
    <w:rsid w:val="00AB4C83"/>
    <w:rsid w:val="00AB4D3E"/>
    <w:rsid w:val="00AB4D82"/>
    <w:rsid w:val="00AB4DAB"/>
    <w:rsid w:val="00AB4E99"/>
    <w:rsid w:val="00AB4EC8"/>
    <w:rsid w:val="00AB4F86"/>
    <w:rsid w:val="00AB5150"/>
    <w:rsid w:val="00AB52CE"/>
    <w:rsid w:val="00AB53B6"/>
    <w:rsid w:val="00AB53DD"/>
    <w:rsid w:val="00AB5446"/>
    <w:rsid w:val="00AB55FC"/>
    <w:rsid w:val="00AB565F"/>
    <w:rsid w:val="00AB5674"/>
    <w:rsid w:val="00AB5680"/>
    <w:rsid w:val="00AB569B"/>
    <w:rsid w:val="00AB579D"/>
    <w:rsid w:val="00AB57DB"/>
    <w:rsid w:val="00AB57E0"/>
    <w:rsid w:val="00AB589D"/>
    <w:rsid w:val="00AB58AB"/>
    <w:rsid w:val="00AB5ABC"/>
    <w:rsid w:val="00AB5D34"/>
    <w:rsid w:val="00AB6138"/>
    <w:rsid w:val="00AB61AE"/>
    <w:rsid w:val="00AB61C8"/>
    <w:rsid w:val="00AB6364"/>
    <w:rsid w:val="00AB63DE"/>
    <w:rsid w:val="00AB6400"/>
    <w:rsid w:val="00AB668B"/>
    <w:rsid w:val="00AB681F"/>
    <w:rsid w:val="00AB682A"/>
    <w:rsid w:val="00AB6876"/>
    <w:rsid w:val="00AB69D4"/>
    <w:rsid w:val="00AB6A28"/>
    <w:rsid w:val="00AB6AFD"/>
    <w:rsid w:val="00AB6C18"/>
    <w:rsid w:val="00AB6C5B"/>
    <w:rsid w:val="00AB6C99"/>
    <w:rsid w:val="00AB6CD1"/>
    <w:rsid w:val="00AB6D85"/>
    <w:rsid w:val="00AB6FCB"/>
    <w:rsid w:val="00AB7019"/>
    <w:rsid w:val="00AB710A"/>
    <w:rsid w:val="00AB7160"/>
    <w:rsid w:val="00AB7376"/>
    <w:rsid w:val="00AB739F"/>
    <w:rsid w:val="00AB7438"/>
    <w:rsid w:val="00AB7475"/>
    <w:rsid w:val="00AB7482"/>
    <w:rsid w:val="00AB750D"/>
    <w:rsid w:val="00AB7629"/>
    <w:rsid w:val="00AB772E"/>
    <w:rsid w:val="00AB7792"/>
    <w:rsid w:val="00AB77FE"/>
    <w:rsid w:val="00AB7841"/>
    <w:rsid w:val="00AB785D"/>
    <w:rsid w:val="00AB7A0D"/>
    <w:rsid w:val="00AB7ABD"/>
    <w:rsid w:val="00AB7D26"/>
    <w:rsid w:val="00AB7D41"/>
    <w:rsid w:val="00AB7D51"/>
    <w:rsid w:val="00AB7D59"/>
    <w:rsid w:val="00AC0000"/>
    <w:rsid w:val="00AC00B1"/>
    <w:rsid w:val="00AC00DC"/>
    <w:rsid w:val="00AC01AB"/>
    <w:rsid w:val="00AC038D"/>
    <w:rsid w:val="00AC0437"/>
    <w:rsid w:val="00AC05CB"/>
    <w:rsid w:val="00AC05FF"/>
    <w:rsid w:val="00AC064A"/>
    <w:rsid w:val="00AC0679"/>
    <w:rsid w:val="00AC078E"/>
    <w:rsid w:val="00AC07E0"/>
    <w:rsid w:val="00AC0A52"/>
    <w:rsid w:val="00AC0B8E"/>
    <w:rsid w:val="00AC0BEA"/>
    <w:rsid w:val="00AC0C4F"/>
    <w:rsid w:val="00AC0C63"/>
    <w:rsid w:val="00AC0D39"/>
    <w:rsid w:val="00AC0DA8"/>
    <w:rsid w:val="00AC0E65"/>
    <w:rsid w:val="00AC0E80"/>
    <w:rsid w:val="00AC0EE0"/>
    <w:rsid w:val="00AC0F1D"/>
    <w:rsid w:val="00AC0FE9"/>
    <w:rsid w:val="00AC107A"/>
    <w:rsid w:val="00AC10E6"/>
    <w:rsid w:val="00AC1171"/>
    <w:rsid w:val="00AC1360"/>
    <w:rsid w:val="00AC14E9"/>
    <w:rsid w:val="00AC1507"/>
    <w:rsid w:val="00AC1595"/>
    <w:rsid w:val="00AC17A6"/>
    <w:rsid w:val="00AC1928"/>
    <w:rsid w:val="00AC1965"/>
    <w:rsid w:val="00AC1A0D"/>
    <w:rsid w:val="00AC1A5B"/>
    <w:rsid w:val="00AC1AFA"/>
    <w:rsid w:val="00AC1E76"/>
    <w:rsid w:val="00AC1F24"/>
    <w:rsid w:val="00AC1FB1"/>
    <w:rsid w:val="00AC1FE0"/>
    <w:rsid w:val="00AC2000"/>
    <w:rsid w:val="00AC2226"/>
    <w:rsid w:val="00AC2260"/>
    <w:rsid w:val="00AC22E8"/>
    <w:rsid w:val="00AC2492"/>
    <w:rsid w:val="00AC24BD"/>
    <w:rsid w:val="00AC24C9"/>
    <w:rsid w:val="00AC253A"/>
    <w:rsid w:val="00AC27DB"/>
    <w:rsid w:val="00AC2A35"/>
    <w:rsid w:val="00AC2BE6"/>
    <w:rsid w:val="00AC2C3E"/>
    <w:rsid w:val="00AC2D4D"/>
    <w:rsid w:val="00AC2E0D"/>
    <w:rsid w:val="00AC2E80"/>
    <w:rsid w:val="00AC2E8A"/>
    <w:rsid w:val="00AC2EBF"/>
    <w:rsid w:val="00AC32F3"/>
    <w:rsid w:val="00AC3427"/>
    <w:rsid w:val="00AC3433"/>
    <w:rsid w:val="00AC352B"/>
    <w:rsid w:val="00AC3562"/>
    <w:rsid w:val="00AC35F3"/>
    <w:rsid w:val="00AC3632"/>
    <w:rsid w:val="00AC36A3"/>
    <w:rsid w:val="00AC373F"/>
    <w:rsid w:val="00AC37E5"/>
    <w:rsid w:val="00AC3925"/>
    <w:rsid w:val="00AC3AD5"/>
    <w:rsid w:val="00AC3BAB"/>
    <w:rsid w:val="00AC3BDE"/>
    <w:rsid w:val="00AC3C0F"/>
    <w:rsid w:val="00AC3D3F"/>
    <w:rsid w:val="00AC3E25"/>
    <w:rsid w:val="00AC3E9C"/>
    <w:rsid w:val="00AC3EB2"/>
    <w:rsid w:val="00AC3FD5"/>
    <w:rsid w:val="00AC40F2"/>
    <w:rsid w:val="00AC419C"/>
    <w:rsid w:val="00AC42FE"/>
    <w:rsid w:val="00AC4341"/>
    <w:rsid w:val="00AC4821"/>
    <w:rsid w:val="00AC4914"/>
    <w:rsid w:val="00AC4953"/>
    <w:rsid w:val="00AC4BDF"/>
    <w:rsid w:val="00AC4C18"/>
    <w:rsid w:val="00AC4C55"/>
    <w:rsid w:val="00AC4C64"/>
    <w:rsid w:val="00AC4DE4"/>
    <w:rsid w:val="00AC4DF8"/>
    <w:rsid w:val="00AC4E72"/>
    <w:rsid w:val="00AC4EC5"/>
    <w:rsid w:val="00AC50C3"/>
    <w:rsid w:val="00AC5119"/>
    <w:rsid w:val="00AC5180"/>
    <w:rsid w:val="00AC5329"/>
    <w:rsid w:val="00AC538D"/>
    <w:rsid w:val="00AC53F0"/>
    <w:rsid w:val="00AC540E"/>
    <w:rsid w:val="00AC5549"/>
    <w:rsid w:val="00AC5670"/>
    <w:rsid w:val="00AC57DF"/>
    <w:rsid w:val="00AC5999"/>
    <w:rsid w:val="00AC5A41"/>
    <w:rsid w:val="00AC5B30"/>
    <w:rsid w:val="00AC5C28"/>
    <w:rsid w:val="00AC5CBC"/>
    <w:rsid w:val="00AC5D85"/>
    <w:rsid w:val="00AC605C"/>
    <w:rsid w:val="00AC60B1"/>
    <w:rsid w:val="00AC623F"/>
    <w:rsid w:val="00AC63C3"/>
    <w:rsid w:val="00AC643C"/>
    <w:rsid w:val="00AC6471"/>
    <w:rsid w:val="00AC64A9"/>
    <w:rsid w:val="00AC6765"/>
    <w:rsid w:val="00AC67DE"/>
    <w:rsid w:val="00AC6B36"/>
    <w:rsid w:val="00AC6B43"/>
    <w:rsid w:val="00AC6B6E"/>
    <w:rsid w:val="00AC6D67"/>
    <w:rsid w:val="00AC6DDB"/>
    <w:rsid w:val="00AC6E74"/>
    <w:rsid w:val="00AC70A5"/>
    <w:rsid w:val="00AC70FA"/>
    <w:rsid w:val="00AC7205"/>
    <w:rsid w:val="00AC728B"/>
    <w:rsid w:val="00AC7380"/>
    <w:rsid w:val="00AC738B"/>
    <w:rsid w:val="00AC75B8"/>
    <w:rsid w:val="00AC7688"/>
    <w:rsid w:val="00AC7699"/>
    <w:rsid w:val="00AC7705"/>
    <w:rsid w:val="00AC7730"/>
    <w:rsid w:val="00AC7A3A"/>
    <w:rsid w:val="00AC7B58"/>
    <w:rsid w:val="00AC7B5A"/>
    <w:rsid w:val="00AC7B65"/>
    <w:rsid w:val="00AC7BCF"/>
    <w:rsid w:val="00AC7C5E"/>
    <w:rsid w:val="00AC7D55"/>
    <w:rsid w:val="00AD0141"/>
    <w:rsid w:val="00AD0160"/>
    <w:rsid w:val="00AD01AD"/>
    <w:rsid w:val="00AD01C8"/>
    <w:rsid w:val="00AD01F1"/>
    <w:rsid w:val="00AD0200"/>
    <w:rsid w:val="00AD028F"/>
    <w:rsid w:val="00AD02D3"/>
    <w:rsid w:val="00AD0314"/>
    <w:rsid w:val="00AD032B"/>
    <w:rsid w:val="00AD03E5"/>
    <w:rsid w:val="00AD049C"/>
    <w:rsid w:val="00AD063C"/>
    <w:rsid w:val="00AD06CC"/>
    <w:rsid w:val="00AD0813"/>
    <w:rsid w:val="00AD0AB1"/>
    <w:rsid w:val="00AD0ABD"/>
    <w:rsid w:val="00AD0B47"/>
    <w:rsid w:val="00AD0BA0"/>
    <w:rsid w:val="00AD0D32"/>
    <w:rsid w:val="00AD0D6D"/>
    <w:rsid w:val="00AD1013"/>
    <w:rsid w:val="00AD112C"/>
    <w:rsid w:val="00AD1163"/>
    <w:rsid w:val="00AD1174"/>
    <w:rsid w:val="00AD12B1"/>
    <w:rsid w:val="00AD12D9"/>
    <w:rsid w:val="00AD1342"/>
    <w:rsid w:val="00AD13BB"/>
    <w:rsid w:val="00AD1489"/>
    <w:rsid w:val="00AD149F"/>
    <w:rsid w:val="00AD14F5"/>
    <w:rsid w:val="00AD1550"/>
    <w:rsid w:val="00AD1837"/>
    <w:rsid w:val="00AD195B"/>
    <w:rsid w:val="00AD1A1C"/>
    <w:rsid w:val="00AD1AA7"/>
    <w:rsid w:val="00AD1AC5"/>
    <w:rsid w:val="00AD1C6C"/>
    <w:rsid w:val="00AD1D0E"/>
    <w:rsid w:val="00AD1D10"/>
    <w:rsid w:val="00AD1D81"/>
    <w:rsid w:val="00AD1D89"/>
    <w:rsid w:val="00AD1E8C"/>
    <w:rsid w:val="00AD1EAF"/>
    <w:rsid w:val="00AD203E"/>
    <w:rsid w:val="00AD2258"/>
    <w:rsid w:val="00AD22BC"/>
    <w:rsid w:val="00AD2322"/>
    <w:rsid w:val="00AD2472"/>
    <w:rsid w:val="00AD24CD"/>
    <w:rsid w:val="00AD250D"/>
    <w:rsid w:val="00AD25C4"/>
    <w:rsid w:val="00AD2625"/>
    <w:rsid w:val="00AD26C7"/>
    <w:rsid w:val="00AD273B"/>
    <w:rsid w:val="00AD28F7"/>
    <w:rsid w:val="00AD2966"/>
    <w:rsid w:val="00AD2A3A"/>
    <w:rsid w:val="00AD2AE4"/>
    <w:rsid w:val="00AD2B1A"/>
    <w:rsid w:val="00AD2C5F"/>
    <w:rsid w:val="00AD2D7E"/>
    <w:rsid w:val="00AD2E01"/>
    <w:rsid w:val="00AD2EA6"/>
    <w:rsid w:val="00AD2F9B"/>
    <w:rsid w:val="00AD2FE4"/>
    <w:rsid w:val="00AD30F0"/>
    <w:rsid w:val="00AD32AB"/>
    <w:rsid w:val="00AD3550"/>
    <w:rsid w:val="00AD38A3"/>
    <w:rsid w:val="00AD393D"/>
    <w:rsid w:val="00AD3A09"/>
    <w:rsid w:val="00AD3A53"/>
    <w:rsid w:val="00AD3C40"/>
    <w:rsid w:val="00AD3C60"/>
    <w:rsid w:val="00AD3CDD"/>
    <w:rsid w:val="00AD3DC3"/>
    <w:rsid w:val="00AD3DC7"/>
    <w:rsid w:val="00AD3FB2"/>
    <w:rsid w:val="00AD3FB4"/>
    <w:rsid w:val="00AD3FCC"/>
    <w:rsid w:val="00AD4030"/>
    <w:rsid w:val="00AD41E8"/>
    <w:rsid w:val="00AD4229"/>
    <w:rsid w:val="00AD42B2"/>
    <w:rsid w:val="00AD42DB"/>
    <w:rsid w:val="00AD4329"/>
    <w:rsid w:val="00AD4350"/>
    <w:rsid w:val="00AD4499"/>
    <w:rsid w:val="00AD45BA"/>
    <w:rsid w:val="00AD45C9"/>
    <w:rsid w:val="00AD469A"/>
    <w:rsid w:val="00AD4718"/>
    <w:rsid w:val="00AD47AD"/>
    <w:rsid w:val="00AD48EC"/>
    <w:rsid w:val="00AD4AFE"/>
    <w:rsid w:val="00AD4B69"/>
    <w:rsid w:val="00AD4BC3"/>
    <w:rsid w:val="00AD4C89"/>
    <w:rsid w:val="00AD4D2F"/>
    <w:rsid w:val="00AD501B"/>
    <w:rsid w:val="00AD5027"/>
    <w:rsid w:val="00AD518E"/>
    <w:rsid w:val="00AD51EB"/>
    <w:rsid w:val="00AD51ED"/>
    <w:rsid w:val="00AD52D7"/>
    <w:rsid w:val="00AD52F1"/>
    <w:rsid w:val="00AD532D"/>
    <w:rsid w:val="00AD53FA"/>
    <w:rsid w:val="00AD540E"/>
    <w:rsid w:val="00AD55A7"/>
    <w:rsid w:val="00AD593C"/>
    <w:rsid w:val="00AD59A4"/>
    <w:rsid w:val="00AD5A74"/>
    <w:rsid w:val="00AD5B23"/>
    <w:rsid w:val="00AD5B30"/>
    <w:rsid w:val="00AD5CA7"/>
    <w:rsid w:val="00AD5D1D"/>
    <w:rsid w:val="00AD5E9A"/>
    <w:rsid w:val="00AD5F8C"/>
    <w:rsid w:val="00AD608C"/>
    <w:rsid w:val="00AD6271"/>
    <w:rsid w:val="00AD6342"/>
    <w:rsid w:val="00AD63AC"/>
    <w:rsid w:val="00AD6442"/>
    <w:rsid w:val="00AD662B"/>
    <w:rsid w:val="00AD669C"/>
    <w:rsid w:val="00AD67D7"/>
    <w:rsid w:val="00AD691C"/>
    <w:rsid w:val="00AD69E9"/>
    <w:rsid w:val="00AD6A9F"/>
    <w:rsid w:val="00AD6AD2"/>
    <w:rsid w:val="00AD6B37"/>
    <w:rsid w:val="00AD6BC0"/>
    <w:rsid w:val="00AD6DC0"/>
    <w:rsid w:val="00AD6DDF"/>
    <w:rsid w:val="00AD6F60"/>
    <w:rsid w:val="00AD71A7"/>
    <w:rsid w:val="00AD7215"/>
    <w:rsid w:val="00AD7395"/>
    <w:rsid w:val="00AD739E"/>
    <w:rsid w:val="00AD742E"/>
    <w:rsid w:val="00AD7466"/>
    <w:rsid w:val="00AD74D2"/>
    <w:rsid w:val="00AD761B"/>
    <w:rsid w:val="00AD773B"/>
    <w:rsid w:val="00AD776E"/>
    <w:rsid w:val="00AD7831"/>
    <w:rsid w:val="00AD78B6"/>
    <w:rsid w:val="00AD7968"/>
    <w:rsid w:val="00AD7A41"/>
    <w:rsid w:val="00AD7A7E"/>
    <w:rsid w:val="00AD7AC4"/>
    <w:rsid w:val="00AD7B13"/>
    <w:rsid w:val="00AD7B73"/>
    <w:rsid w:val="00AD7CDA"/>
    <w:rsid w:val="00AD7E81"/>
    <w:rsid w:val="00AE0051"/>
    <w:rsid w:val="00AE01CE"/>
    <w:rsid w:val="00AE0295"/>
    <w:rsid w:val="00AE02F1"/>
    <w:rsid w:val="00AE031A"/>
    <w:rsid w:val="00AE03B7"/>
    <w:rsid w:val="00AE03DB"/>
    <w:rsid w:val="00AE03DF"/>
    <w:rsid w:val="00AE0487"/>
    <w:rsid w:val="00AE04F6"/>
    <w:rsid w:val="00AE06DF"/>
    <w:rsid w:val="00AE0781"/>
    <w:rsid w:val="00AE0797"/>
    <w:rsid w:val="00AE0846"/>
    <w:rsid w:val="00AE08FE"/>
    <w:rsid w:val="00AE099A"/>
    <w:rsid w:val="00AE0A4E"/>
    <w:rsid w:val="00AE0B25"/>
    <w:rsid w:val="00AE0C5A"/>
    <w:rsid w:val="00AE0C61"/>
    <w:rsid w:val="00AE0CA8"/>
    <w:rsid w:val="00AE0D87"/>
    <w:rsid w:val="00AE0D98"/>
    <w:rsid w:val="00AE0DBE"/>
    <w:rsid w:val="00AE0E4F"/>
    <w:rsid w:val="00AE0E87"/>
    <w:rsid w:val="00AE0F02"/>
    <w:rsid w:val="00AE10F5"/>
    <w:rsid w:val="00AE1175"/>
    <w:rsid w:val="00AE11D7"/>
    <w:rsid w:val="00AE1265"/>
    <w:rsid w:val="00AE12A1"/>
    <w:rsid w:val="00AE12C8"/>
    <w:rsid w:val="00AE139B"/>
    <w:rsid w:val="00AE1959"/>
    <w:rsid w:val="00AE1B02"/>
    <w:rsid w:val="00AE1BEF"/>
    <w:rsid w:val="00AE1C83"/>
    <w:rsid w:val="00AE1CC2"/>
    <w:rsid w:val="00AE1CEA"/>
    <w:rsid w:val="00AE1D3B"/>
    <w:rsid w:val="00AE1DD3"/>
    <w:rsid w:val="00AE1E14"/>
    <w:rsid w:val="00AE1E15"/>
    <w:rsid w:val="00AE1EA3"/>
    <w:rsid w:val="00AE1EA7"/>
    <w:rsid w:val="00AE1F2F"/>
    <w:rsid w:val="00AE202D"/>
    <w:rsid w:val="00AE2101"/>
    <w:rsid w:val="00AE21EC"/>
    <w:rsid w:val="00AE2210"/>
    <w:rsid w:val="00AE231E"/>
    <w:rsid w:val="00AE23CC"/>
    <w:rsid w:val="00AE27D3"/>
    <w:rsid w:val="00AE2951"/>
    <w:rsid w:val="00AE29EB"/>
    <w:rsid w:val="00AE2BED"/>
    <w:rsid w:val="00AE2DD3"/>
    <w:rsid w:val="00AE2E76"/>
    <w:rsid w:val="00AE3062"/>
    <w:rsid w:val="00AE317A"/>
    <w:rsid w:val="00AE32A4"/>
    <w:rsid w:val="00AE346D"/>
    <w:rsid w:val="00AE34D1"/>
    <w:rsid w:val="00AE3650"/>
    <w:rsid w:val="00AE3863"/>
    <w:rsid w:val="00AE3985"/>
    <w:rsid w:val="00AE39F6"/>
    <w:rsid w:val="00AE3B30"/>
    <w:rsid w:val="00AE3C2F"/>
    <w:rsid w:val="00AE3D79"/>
    <w:rsid w:val="00AE3E87"/>
    <w:rsid w:val="00AE3FC3"/>
    <w:rsid w:val="00AE424C"/>
    <w:rsid w:val="00AE42C4"/>
    <w:rsid w:val="00AE4341"/>
    <w:rsid w:val="00AE4457"/>
    <w:rsid w:val="00AE4480"/>
    <w:rsid w:val="00AE45F9"/>
    <w:rsid w:val="00AE4630"/>
    <w:rsid w:val="00AE4641"/>
    <w:rsid w:val="00AE4660"/>
    <w:rsid w:val="00AE46DD"/>
    <w:rsid w:val="00AE471E"/>
    <w:rsid w:val="00AE474D"/>
    <w:rsid w:val="00AE4801"/>
    <w:rsid w:val="00AE48E3"/>
    <w:rsid w:val="00AE49E4"/>
    <w:rsid w:val="00AE4A9D"/>
    <w:rsid w:val="00AE4B65"/>
    <w:rsid w:val="00AE4CAC"/>
    <w:rsid w:val="00AE4CBF"/>
    <w:rsid w:val="00AE4D40"/>
    <w:rsid w:val="00AE4DA6"/>
    <w:rsid w:val="00AE4E1D"/>
    <w:rsid w:val="00AE4F14"/>
    <w:rsid w:val="00AE507E"/>
    <w:rsid w:val="00AE509E"/>
    <w:rsid w:val="00AE520F"/>
    <w:rsid w:val="00AE5236"/>
    <w:rsid w:val="00AE5395"/>
    <w:rsid w:val="00AE53F6"/>
    <w:rsid w:val="00AE54ED"/>
    <w:rsid w:val="00AE55BC"/>
    <w:rsid w:val="00AE58CA"/>
    <w:rsid w:val="00AE59A9"/>
    <w:rsid w:val="00AE5BB3"/>
    <w:rsid w:val="00AE5C5A"/>
    <w:rsid w:val="00AE5E01"/>
    <w:rsid w:val="00AE5E05"/>
    <w:rsid w:val="00AE5E3D"/>
    <w:rsid w:val="00AE5EA5"/>
    <w:rsid w:val="00AE5F20"/>
    <w:rsid w:val="00AE5F39"/>
    <w:rsid w:val="00AE61DD"/>
    <w:rsid w:val="00AE624D"/>
    <w:rsid w:val="00AE6250"/>
    <w:rsid w:val="00AE6294"/>
    <w:rsid w:val="00AE6385"/>
    <w:rsid w:val="00AE6406"/>
    <w:rsid w:val="00AE64B4"/>
    <w:rsid w:val="00AE65E9"/>
    <w:rsid w:val="00AE65F1"/>
    <w:rsid w:val="00AE66E2"/>
    <w:rsid w:val="00AE6707"/>
    <w:rsid w:val="00AE670A"/>
    <w:rsid w:val="00AE69FD"/>
    <w:rsid w:val="00AE6AC1"/>
    <w:rsid w:val="00AE6BF5"/>
    <w:rsid w:val="00AE6C2A"/>
    <w:rsid w:val="00AE6CC6"/>
    <w:rsid w:val="00AE6CD2"/>
    <w:rsid w:val="00AE6D30"/>
    <w:rsid w:val="00AE6D3F"/>
    <w:rsid w:val="00AE6F55"/>
    <w:rsid w:val="00AE70B6"/>
    <w:rsid w:val="00AE7229"/>
    <w:rsid w:val="00AE7321"/>
    <w:rsid w:val="00AE740D"/>
    <w:rsid w:val="00AE7493"/>
    <w:rsid w:val="00AE74B5"/>
    <w:rsid w:val="00AE76A3"/>
    <w:rsid w:val="00AE775B"/>
    <w:rsid w:val="00AE7776"/>
    <w:rsid w:val="00AE7859"/>
    <w:rsid w:val="00AE7A02"/>
    <w:rsid w:val="00AE7A5C"/>
    <w:rsid w:val="00AE7AF6"/>
    <w:rsid w:val="00AE7AFF"/>
    <w:rsid w:val="00AE7B2C"/>
    <w:rsid w:val="00AE7C83"/>
    <w:rsid w:val="00AE7E38"/>
    <w:rsid w:val="00AE7FA2"/>
    <w:rsid w:val="00AF04FF"/>
    <w:rsid w:val="00AF06D9"/>
    <w:rsid w:val="00AF085F"/>
    <w:rsid w:val="00AF0945"/>
    <w:rsid w:val="00AF0954"/>
    <w:rsid w:val="00AF09FA"/>
    <w:rsid w:val="00AF0A4D"/>
    <w:rsid w:val="00AF0A8F"/>
    <w:rsid w:val="00AF0B02"/>
    <w:rsid w:val="00AF0B3A"/>
    <w:rsid w:val="00AF0B81"/>
    <w:rsid w:val="00AF0C4D"/>
    <w:rsid w:val="00AF0CAF"/>
    <w:rsid w:val="00AF1024"/>
    <w:rsid w:val="00AF10FD"/>
    <w:rsid w:val="00AF1402"/>
    <w:rsid w:val="00AF142E"/>
    <w:rsid w:val="00AF1520"/>
    <w:rsid w:val="00AF1529"/>
    <w:rsid w:val="00AF16A7"/>
    <w:rsid w:val="00AF16DD"/>
    <w:rsid w:val="00AF18EF"/>
    <w:rsid w:val="00AF1993"/>
    <w:rsid w:val="00AF1B8E"/>
    <w:rsid w:val="00AF1CFB"/>
    <w:rsid w:val="00AF1CFE"/>
    <w:rsid w:val="00AF1D58"/>
    <w:rsid w:val="00AF1E6B"/>
    <w:rsid w:val="00AF1EFE"/>
    <w:rsid w:val="00AF1F2E"/>
    <w:rsid w:val="00AF1FC7"/>
    <w:rsid w:val="00AF1FE8"/>
    <w:rsid w:val="00AF218B"/>
    <w:rsid w:val="00AF21CA"/>
    <w:rsid w:val="00AF22CE"/>
    <w:rsid w:val="00AF24B4"/>
    <w:rsid w:val="00AF257D"/>
    <w:rsid w:val="00AF26E3"/>
    <w:rsid w:val="00AF270D"/>
    <w:rsid w:val="00AF278B"/>
    <w:rsid w:val="00AF2952"/>
    <w:rsid w:val="00AF29BD"/>
    <w:rsid w:val="00AF2B75"/>
    <w:rsid w:val="00AF2B9A"/>
    <w:rsid w:val="00AF2BDA"/>
    <w:rsid w:val="00AF2D9E"/>
    <w:rsid w:val="00AF2E59"/>
    <w:rsid w:val="00AF2F75"/>
    <w:rsid w:val="00AF2F8D"/>
    <w:rsid w:val="00AF2FDA"/>
    <w:rsid w:val="00AF309A"/>
    <w:rsid w:val="00AF30F2"/>
    <w:rsid w:val="00AF313A"/>
    <w:rsid w:val="00AF3228"/>
    <w:rsid w:val="00AF348F"/>
    <w:rsid w:val="00AF3596"/>
    <w:rsid w:val="00AF36AF"/>
    <w:rsid w:val="00AF3815"/>
    <w:rsid w:val="00AF386F"/>
    <w:rsid w:val="00AF3A94"/>
    <w:rsid w:val="00AF3C36"/>
    <w:rsid w:val="00AF3CAE"/>
    <w:rsid w:val="00AF3E90"/>
    <w:rsid w:val="00AF3EA6"/>
    <w:rsid w:val="00AF40F9"/>
    <w:rsid w:val="00AF4144"/>
    <w:rsid w:val="00AF4214"/>
    <w:rsid w:val="00AF42DF"/>
    <w:rsid w:val="00AF42FB"/>
    <w:rsid w:val="00AF433B"/>
    <w:rsid w:val="00AF43C5"/>
    <w:rsid w:val="00AF4474"/>
    <w:rsid w:val="00AF44BD"/>
    <w:rsid w:val="00AF4770"/>
    <w:rsid w:val="00AF4772"/>
    <w:rsid w:val="00AF4965"/>
    <w:rsid w:val="00AF496F"/>
    <w:rsid w:val="00AF4987"/>
    <w:rsid w:val="00AF4B9F"/>
    <w:rsid w:val="00AF4BA3"/>
    <w:rsid w:val="00AF4D6C"/>
    <w:rsid w:val="00AF4DE3"/>
    <w:rsid w:val="00AF4E63"/>
    <w:rsid w:val="00AF4EA0"/>
    <w:rsid w:val="00AF5296"/>
    <w:rsid w:val="00AF52F1"/>
    <w:rsid w:val="00AF52F8"/>
    <w:rsid w:val="00AF5375"/>
    <w:rsid w:val="00AF53A0"/>
    <w:rsid w:val="00AF54DE"/>
    <w:rsid w:val="00AF553C"/>
    <w:rsid w:val="00AF557C"/>
    <w:rsid w:val="00AF57D7"/>
    <w:rsid w:val="00AF5909"/>
    <w:rsid w:val="00AF5913"/>
    <w:rsid w:val="00AF5B49"/>
    <w:rsid w:val="00AF5C4C"/>
    <w:rsid w:val="00AF5C96"/>
    <w:rsid w:val="00AF5E32"/>
    <w:rsid w:val="00AF5E49"/>
    <w:rsid w:val="00AF5EC7"/>
    <w:rsid w:val="00AF5FF8"/>
    <w:rsid w:val="00AF6025"/>
    <w:rsid w:val="00AF602B"/>
    <w:rsid w:val="00AF6071"/>
    <w:rsid w:val="00AF6140"/>
    <w:rsid w:val="00AF6167"/>
    <w:rsid w:val="00AF6199"/>
    <w:rsid w:val="00AF6377"/>
    <w:rsid w:val="00AF6487"/>
    <w:rsid w:val="00AF6558"/>
    <w:rsid w:val="00AF655E"/>
    <w:rsid w:val="00AF66EF"/>
    <w:rsid w:val="00AF683E"/>
    <w:rsid w:val="00AF693C"/>
    <w:rsid w:val="00AF69C5"/>
    <w:rsid w:val="00AF6A9E"/>
    <w:rsid w:val="00AF6DE4"/>
    <w:rsid w:val="00AF6E07"/>
    <w:rsid w:val="00AF6F25"/>
    <w:rsid w:val="00AF6FC5"/>
    <w:rsid w:val="00AF7122"/>
    <w:rsid w:val="00AF71E2"/>
    <w:rsid w:val="00AF7204"/>
    <w:rsid w:val="00AF7247"/>
    <w:rsid w:val="00AF72C1"/>
    <w:rsid w:val="00AF7309"/>
    <w:rsid w:val="00AF73AE"/>
    <w:rsid w:val="00AF7571"/>
    <w:rsid w:val="00AF757F"/>
    <w:rsid w:val="00AF7616"/>
    <w:rsid w:val="00AF7689"/>
    <w:rsid w:val="00AF768A"/>
    <w:rsid w:val="00AF774C"/>
    <w:rsid w:val="00AF78B7"/>
    <w:rsid w:val="00AF79FF"/>
    <w:rsid w:val="00AF7ACE"/>
    <w:rsid w:val="00AF7B9D"/>
    <w:rsid w:val="00AF7BE8"/>
    <w:rsid w:val="00AF7D1A"/>
    <w:rsid w:val="00AF7DF3"/>
    <w:rsid w:val="00AF7E61"/>
    <w:rsid w:val="00AF7FE1"/>
    <w:rsid w:val="00B0011E"/>
    <w:rsid w:val="00B0024E"/>
    <w:rsid w:val="00B00282"/>
    <w:rsid w:val="00B00477"/>
    <w:rsid w:val="00B004BC"/>
    <w:rsid w:val="00B00587"/>
    <w:rsid w:val="00B005B9"/>
    <w:rsid w:val="00B0069C"/>
    <w:rsid w:val="00B0077D"/>
    <w:rsid w:val="00B008F0"/>
    <w:rsid w:val="00B00948"/>
    <w:rsid w:val="00B00957"/>
    <w:rsid w:val="00B00A4E"/>
    <w:rsid w:val="00B00AAC"/>
    <w:rsid w:val="00B00AEA"/>
    <w:rsid w:val="00B00C51"/>
    <w:rsid w:val="00B00D56"/>
    <w:rsid w:val="00B00E95"/>
    <w:rsid w:val="00B00F49"/>
    <w:rsid w:val="00B00F7F"/>
    <w:rsid w:val="00B0107B"/>
    <w:rsid w:val="00B011D3"/>
    <w:rsid w:val="00B01232"/>
    <w:rsid w:val="00B01292"/>
    <w:rsid w:val="00B013BD"/>
    <w:rsid w:val="00B013EF"/>
    <w:rsid w:val="00B01431"/>
    <w:rsid w:val="00B0159B"/>
    <w:rsid w:val="00B01787"/>
    <w:rsid w:val="00B01836"/>
    <w:rsid w:val="00B018AC"/>
    <w:rsid w:val="00B01923"/>
    <w:rsid w:val="00B0197F"/>
    <w:rsid w:val="00B019F6"/>
    <w:rsid w:val="00B01AFE"/>
    <w:rsid w:val="00B01D4D"/>
    <w:rsid w:val="00B02027"/>
    <w:rsid w:val="00B02079"/>
    <w:rsid w:val="00B02287"/>
    <w:rsid w:val="00B02374"/>
    <w:rsid w:val="00B0247C"/>
    <w:rsid w:val="00B0252D"/>
    <w:rsid w:val="00B025D8"/>
    <w:rsid w:val="00B0274B"/>
    <w:rsid w:val="00B027B2"/>
    <w:rsid w:val="00B028AD"/>
    <w:rsid w:val="00B0290D"/>
    <w:rsid w:val="00B0291F"/>
    <w:rsid w:val="00B02948"/>
    <w:rsid w:val="00B02BE9"/>
    <w:rsid w:val="00B02C86"/>
    <w:rsid w:val="00B02D3A"/>
    <w:rsid w:val="00B02E2F"/>
    <w:rsid w:val="00B02E33"/>
    <w:rsid w:val="00B02F79"/>
    <w:rsid w:val="00B03011"/>
    <w:rsid w:val="00B0310E"/>
    <w:rsid w:val="00B03133"/>
    <w:rsid w:val="00B0320F"/>
    <w:rsid w:val="00B03224"/>
    <w:rsid w:val="00B03299"/>
    <w:rsid w:val="00B03328"/>
    <w:rsid w:val="00B033D6"/>
    <w:rsid w:val="00B0343F"/>
    <w:rsid w:val="00B036A6"/>
    <w:rsid w:val="00B036EA"/>
    <w:rsid w:val="00B03827"/>
    <w:rsid w:val="00B038BF"/>
    <w:rsid w:val="00B03A2A"/>
    <w:rsid w:val="00B03A50"/>
    <w:rsid w:val="00B03B6C"/>
    <w:rsid w:val="00B03ECA"/>
    <w:rsid w:val="00B03FA0"/>
    <w:rsid w:val="00B04039"/>
    <w:rsid w:val="00B04064"/>
    <w:rsid w:val="00B04130"/>
    <w:rsid w:val="00B0418E"/>
    <w:rsid w:val="00B041E6"/>
    <w:rsid w:val="00B04273"/>
    <w:rsid w:val="00B044D9"/>
    <w:rsid w:val="00B0459B"/>
    <w:rsid w:val="00B0471F"/>
    <w:rsid w:val="00B04746"/>
    <w:rsid w:val="00B047CD"/>
    <w:rsid w:val="00B048E9"/>
    <w:rsid w:val="00B04924"/>
    <w:rsid w:val="00B0494E"/>
    <w:rsid w:val="00B04A25"/>
    <w:rsid w:val="00B04B46"/>
    <w:rsid w:val="00B04C6F"/>
    <w:rsid w:val="00B04D17"/>
    <w:rsid w:val="00B04DF4"/>
    <w:rsid w:val="00B04E31"/>
    <w:rsid w:val="00B04E41"/>
    <w:rsid w:val="00B04EB3"/>
    <w:rsid w:val="00B0525D"/>
    <w:rsid w:val="00B053B8"/>
    <w:rsid w:val="00B053EB"/>
    <w:rsid w:val="00B054CB"/>
    <w:rsid w:val="00B0552A"/>
    <w:rsid w:val="00B0565A"/>
    <w:rsid w:val="00B056D5"/>
    <w:rsid w:val="00B05764"/>
    <w:rsid w:val="00B05777"/>
    <w:rsid w:val="00B05878"/>
    <w:rsid w:val="00B05885"/>
    <w:rsid w:val="00B05891"/>
    <w:rsid w:val="00B059A3"/>
    <w:rsid w:val="00B059F3"/>
    <w:rsid w:val="00B05A64"/>
    <w:rsid w:val="00B05B86"/>
    <w:rsid w:val="00B05BAB"/>
    <w:rsid w:val="00B05D12"/>
    <w:rsid w:val="00B05D55"/>
    <w:rsid w:val="00B05DC7"/>
    <w:rsid w:val="00B05DC8"/>
    <w:rsid w:val="00B05EA4"/>
    <w:rsid w:val="00B05F1F"/>
    <w:rsid w:val="00B05F42"/>
    <w:rsid w:val="00B05F57"/>
    <w:rsid w:val="00B060E2"/>
    <w:rsid w:val="00B06103"/>
    <w:rsid w:val="00B06364"/>
    <w:rsid w:val="00B063C9"/>
    <w:rsid w:val="00B06475"/>
    <w:rsid w:val="00B06664"/>
    <w:rsid w:val="00B06728"/>
    <w:rsid w:val="00B06737"/>
    <w:rsid w:val="00B06945"/>
    <w:rsid w:val="00B069C4"/>
    <w:rsid w:val="00B06A9A"/>
    <w:rsid w:val="00B06AB8"/>
    <w:rsid w:val="00B06B39"/>
    <w:rsid w:val="00B06B85"/>
    <w:rsid w:val="00B06CB5"/>
    <w:rsid w:val="00B06CE7"/>
    <w:rsid w:val="00B06DAB"/>
    <w:rsid w:val="00B06F1A"/>
    <w:rsid w:val="00B06F77"/>
    <w:rsid w:val="00B0737D"/>
    <w:rsid w:val="00B07409"/>
    <w:rsid w:val="00B074FF"/>
    <w:rsid w:val="00B0750F"/>
    <w:rsid w:val="00B07554"/>
    <w:rsid w:val="00B075E1"/>
    <w:rsid w:val="00B0761F"/>
    <w:rsid w:val="00B07706"/>
    <w:rsid w:val="00B0787F"/>
    <w:rsid w:val="00B07B2B"/>
    <w:rsid w:val="00B07BB4"/>
    <w:rsid w:val="00B07C23"/>
    <w:rsid w:val="00B07E0E"/>
    <w:rsid w:val="00B07EB6"/>
    <w:rsid w:val="00B07EBE"/>
    <w:rsid w:val="00B07F7B"/>
    <w:rsid w:val="00B0FCBF"/>
    <w:rsid w:val="00B100DE"/>
    <w:rsid w:val="00B100E6"/>
    <w:rsid w:val="00B10327"/>
    <w:rsid w:val="00B103D4"/>
    <w:rsid w:val="00B103E8"/>
    <w:rsid w:val="00B10547"/>
    <w:rsid w:val="00B105D3"/>
    <w:rsid w:val="00B10655"/>
    <w:rsid w:val="00B106B9"/>
    <w:rsid w:val="00B10A4C"/>
    <w:rsid w:val="00B10DA7"/>
    <w:rsid w:val="00B10DBE"/>
    <w:rsid w:val="00B10E49"/>
    <w:rsid w:val="00B10F0A"/>
    <w:rsid w:val="00B10FFC"/>
    <w:rsid w:val="00B1105B"/>
    <w:rsid w:val="00B110A7"/>
    <w:rsid w:val="00B11148"/>
    <w:rsid w:val="00B111D0"/>
    <w:rsid w:val="00B11217"/>
    <w:rsid w:val="00B1130F"/>
    <w:rsid w:val="00B1147C"/>
    <w:rsid w:val="00B11534"/>
    <w:rsid w:val="00B115BE"/>
    <w:rsid w:val="00B115F0"/>
    <w:rsid w:val="00B1188F"/>
    <w:rsid w:val="00B11CD7"/>
    <w:rsid w:val="00B11DD2"/>
    <w:rsid w:val="00B11E4C"/>
    <w:rsid w:val="00B11FD0"/>
    <w:rsid w:val="00B1203E"/>
    <w:rsid w:val="00B121A6"/>
    <w:rsid w:val="00B1230B"/>
    <w:rsid w:val="00B12329"/>
    <w:rsid w:val="00B125B3"/>
    <w:rsid w:val="00B125EB"/>
    <w:rsid w:val="00B12693"/>
    <w:rsid w:val="00B1278D"/>
    <w:rsid w:val="00B127AC"/>
    <w:rsid w:val="00B1288D"/>
    <w:rsid w:val="00B12902"/>
    <w:rsid w:val="00B129C4"/>
    <w:rsid w:val="00B12A1A"/>
    <w:rsid w:val="00B12AF6"/>
    <w:rsid w:val="00B12D16"/>
    <w:rsid w:val="00B12D23"/>
    <w:rsid w:val="00B12D70"/>
    <w:rsid w:val="00B12DF5"/>
    <w:rsid w:val="00B12EFE"/>
    <w:rsid w:val="00B12F05"/>
    <w:rsid w:val="00B12FD0"/>
    <w:rsid w:val="00B12FD4"/>
    <w:rsid w:val="00B12FE0"/>
    <w:rsid w:val="00B13020"/>
    <w:rsid w:val="00B13085"/>
    <w:rsid w:val="00B13314"/>
    <w:rsid w:val="00B13357"/>
    <w:rsid w:val="00B13386"/>
    <w:rsid w:val="00B1339E"/>
    <w:rsid w:val="00B133C1"/>
    <w:rsid w:val="00B13441"/>
    <w:rsid w:val="00B134C7"/>
    <w:rsid w:val="00B136F3"/>
    <w:rsid w:val="00B13921"/>
    <w:rsid w:val="00B13A4F"/>
    <w:rsid w:val="00B13B29"/>
    <w:rsid w:val="00B13F57"/>
    <w:rsid w:val="00B14014"/>
    <w:rsid w:val="00B140A1"/>
    <w:rsid w:val="00B14147"/>
    <w:rsid w:val="00B143A7"/>
    <w:rsid w:val="00B14400"/>
    <w:rsid w:val="00B1446D"/>
    <w:rsid w:val="00B14481"/>
    <w:rsid w:val="00B14664"/>
    <w:rsid w:val="00B14787"/>
    <w:rsid w:val="00B14798"/>
    <w:rsid w:val="00B147B8"/>
    <w:rsid w:val="00B148D2"/>
    <w:rsid w:val="00B1492A"/>
    <w:rsid w:val="00B1497C"/>
    <w:rsid w:val="00B14AB6"/>
    <w:rsid w:val="00B14B1F"/>
    <w:rsid w:val="00B14B2D"/>
    <w:rsid w:val="00B14CEE"/>
    <w:rsid w:val="00B14D11"/>
    <w:rsid w:val="00B14D5A"/>
    <w:rsid w:val="00B14DDE"/>
    <w:rsid w:val="00B14EB6"/>
    <w:rsid w:val="00B14F20"/>
    <w:rsid w:val="00B1510C"/>
    <w:rsid w:val="00B15145"/>
    <w:rsid w:val="00B15177"/>
    <w:rsid w:val="00B1517E"/>
    <w:rsid w:val="00B15227"/>
    <w:rsid w:val="00B15352"/>
    <w:rsid w:val="00B15444"/>
    <w:rsid w:val="00B15467"/>
    <w:rsid w:val="00B1553D"/>
    <w:rsid w:val="00B1562E"/>
    <w:rsid w:val="00B159E4"/>
    <w:rsid w:val="00B15BD8"/>
    <w:rsid w:val="00B15C25"/>
    <w:rsid w:val="00B15D1F"/>
    <w:rsid w:val="00B15EDA"/>
    <w:rsid w:val="00B15EE5"/>
    <w:rsid w:val="00B1605A"/>
    <w:rsid w:val="00B16079"/>
    <w:rsid w:val="00B161B5"/>
    <w:rsid w:val="00B16399"/>
    <w:rsid w:val="00B165FF"/>
    <w:rsid w:val="00B16709"/>
    <w:rsid w:val="00B1689B"/>
    <w:rsid w:val="00B16A45"/>
    <w:rsid w:val="00B16A86"/>
    <w:rsid w:val="00B16AC3"/>
    <w:rsid w:val="00B16C83"/>
    <w:rsid w:val="00B16D85"/>
    <w:rsid w:val="00B16E3D"/>
    <w:rsid w:val="00B16EBB"/>
    <w:rsid w:val="00B16F90"/>
    <w:rsid w:val="00B16F9A"/>
    <w:rsid w:val="00B17087"/>
    <w:rsid w:val="00B17353"/>
    <w:rsid w:val="00B173C5"/>
    <w:rsid w:val="00B173EC"/>
    <w:rsid w:val="00B17512"/>
    <w:rsid w:val="00B17529"/>
    <w:rsid w:val="00B17674"/>
    <w:rsid w:val="00B17760"/>
    <w:rsid w:val="00B177F5"/>
    <w:rsid w:val="00B17834"/>
    <w:rsid w:val="00B17867"/>
    <w:rsid w:val="00B178CD"/>
    <w:rsid w:val="00B178F5"/>
    <w:rsid w:val="00B17967"/>
    <w:rsid w:val="00B179A1"/>
    <w:rsid w:val="00B17DF5"/>
    <w:rsid w:val="00B17E53"/>
    <w:rsid w:val="00B20101"/>
    <w:rsid w:val="00B2011F"/>
    <w:rsid w:val="00B201CE"/>
    <w:rsid w:val="00B20400"/>
    <w:rsid w:val="00B205F9"/>
    <w:rsid w:val="00B20692"/>
    <w:rsid w:val="00B207B0"/>
    <w:rsid w:val="00B2091F"/>
    <w:rsid w:val="00B20955"/>
    <w:rsid w:val="00B209DE"/>
    <w:rsid w:val="00B20A15"/>
    <w:rsid w:val="00B20A59"/>
    <w:rsid w:val="00B20AB7"/>
    <w:rsid w:val="00B20C54"/>
    <w:rsid w:val="00B20CD4"/>
    <w:rsid w:val="00B20ECD"/>
    <w:rsid w:val="00B20EEA"/>
    <w:rsid w:val="00B20FED"/>
    <w:rsid w:val="00B21040"/>
    <w:rsid w:val="00B21055"/>
    <w:rsid w:val="00B211E2"/>
    <w:rsid w:val="00B2120D"/>
    <w:rsid w:val="00B21271"/>
    <w:rsid w:val="00B212CF"/>
    <w:rsid w:val="00B2150B"/>
    <w:rsid w:val="00B21511"/>
    <w:rsid w:val="00B2163B"/>
    <w:rsid w:val="00B21747"/>
    <w:rsid w:val="00B21956"/>
    <w:rsid w:val="00B21A01"/>
    <w:rsid w:val="00B21A47"/>
    <w:rsid w:val="00B21A91"/>
    <w:rsid w:val="00B21B11"/>
    <w:rsid w:val="00B21B9D"/>
    <w:rsid w:val="00B21C03"/>
    <w:rsid w:val="00B21D2C"/>
    <w:rsid w:val="00B21DE7"/>
    <w:rsid w:val="00B21F12"/>
    <w:rsid w:val="00B220F1"/>
    <w:rsid w:val="00B2214A"/>
    <w:rsid w:val="00B2215F"/>
    <w:rsid w:val="00B22173"/>
    <w:rsid w:val="00B2224F"/>
    <w:rsid w:val="00B223A5"/>
    <w:rsid w:val="00B223B3"/>
    <w:rsid w:val="00B22430"/>
    <w:rsid w:val="00B22462"/>
    <w:rsid w:val="00B2249F"/>
    <w:rsid w:val="00B227DD"/>
    <w:rsid w:val="00B22A2A"/>
    <w:rsid w:val="00B22A6B"/>
    <w:rsid w:val="00B22AED"/>
    <w:rsid w:val="00B22B4B"/>
    <w:rsid w:val="00B22E1B"/>
    <w:rsid w:val="00B22EB9"/>
    <w:rsid w:val="00B22F28"/>
    <w:rsid w:val="00B22F85"/>
    <w:rsid w:val="00B22FAC"/>
    <w:rsid w:val="00B22FFA"/>
    <w:rsid w:val="00B231AD"/>
    <w:rsid w:val="00B2322C"/>
    <w:rsid w:val="00B2323C"/>
    <w:rsid w:val="00B2330D"/>
    <w:rsid w:val="00B233BF"/>
    <w:rsid w:val="00B23403"/>
    <w:rsid w:val="00B23432"/>
    <w:rsid w:val="00B234E0"/>
    <w:rsid w:val="00B235D2"/>
    <w:rsid w:val="00B236A4"/>
    <w:rsid w:val="00B237B2"/>
    <w:rsid w:val="00B23989"/>
    <w:rsid w:val="00B23AD5"/>
    <w:rsid w:val="00B23AF2"/>
    <w:rsid w:val="00B23B41"/>
    <w:rsid w:val="00B23D97"/>
    <w:rsid w:val="00B24028"/>
    <w:rsid w:val="00B24059"/>
    <w:rsid w:val="00B24077"/>
    <w:rsid w:val="00B24236"/>
    <w:rsid w:val="00B2427D"/>
    <w:rsid w:val="00B243C4"/>
    <w:rsid w:val="00B243F1"/>
    <w:rsid w:val="00B243F5"/>
    <w:rsid w:val="00B24448"/>
    <w:rsid w:val="00B24498"/>
    <w:rsid w:val="00B244AB"/>
    <w:rsid w:val="00B244EC"/>
    <w:rsid w:val="00B247FB"/>
    <w:rsid w:val="00B24808"/>
    <w:rsid w:val="00B2485F"/>
    <w:rsid w:val="00B2494C"/>
    <w:rsid w:val="00B24972"/>
    <w:rsid w:val="00B24A74"/>
    <w:rsid w:val="00B24B3C"/>
    <w:rsid w:val="00B24B61"/>
    <w:rsid w:val="00B24C69"/>
    <w:rsid w:val="00B24DFF"/>
    <w:rsid w:val="00B24F21"/>
    <w:rsid w:val="00B24F2F"/>
    <w:rsid w:val="00B24F6C"/>
    <w:rsid w:val="00B2517C"/>
    <w:rsid w:val="00B2532D"/>
    <w:rsid w:val="00B254CC"/>
    <w:rsid w:val="00B256BE"/>
    <w:rsid w:val="00B257CF"/>
    <w:rsid w:val="00B25817"/>
    <w:rsid w:val="00B25A0A"/>
    <w:rsid w:val="00B25A61"/>
    <w:rsid w:val="00B25B7C"/>
    <w:rsid w:val="00B25C33"/>
    <w:rsid w:val="00B25CAD"/>
    <w:rsid w:val="00B25CD6"/>
    <w:rsid w:val="00B25D42"/>
    <w:rsid w:val="00B26056"/>
    <w:rsid w:val="00B26089"/>
    <w:rsid w:val="00B261E7"/>
    <w:rsid w:val="00B2623C"/>
    <w:rsid w:val="00B26375"/>
    <w:rsid w:val="00B26454"/>
    <w:rsid w:val="00B265BF"/>
    <w:rsid w:val="00B26712"/>
    <w:rsid w:val="00B267A0"/>
    <w:rsid w:val="00B267A5"/>
    <w:rsid w:val="00B26BE8"/>
    <w:rsid w:val="00B26C21"/>
    <w:rsid w:val="00B26D58"/>
    <w:rsid w:val="00B26E9A"/>
    <w:rsid w:val="00B26EA2"/>
    <w:rsid w:val="00B26ED9"/>
    <w:rsid w:val="00B26F04"/>
    <w:rsid w:val="00B26FA3"/>
    <w:rsid w:val="00B27060"/>
    <w:rsid w:val="00B272A6"/>
    <w:rsid w:val="00B27459"/>
    <w:rsid w:val="00B2747B"/>
    <w:rsid w:val="00B274BD"/>
    <w:rsid w:val="00B274CD"/>
    <w:rsid w:val="00B275A9"/>
    <w:rsid w:val="00B275BD"/>
    <w:rsid w:val="00B275DF"/>
    <w:rsid w:val="00B2767E"/>
    <w:rsid w:val="00B277A3"/>
    <w:rsid w:val="00B277E3"/>
    <w:rsid w:val="00B279AF"/>
    <w:rsid w:val="00B279B0"/>
    <w:rsid w:val="00B27A58"/>
    <w:rsid w:val="00B27AEF"/>
    <w:rsid w:val="00B27BA8"/>
    <w:rsid w:val="00B27D3A"/>
    <w:rsid w:val="00B27F09"/>
    <w:rsid w:val="00B2F949"/>
    <w:rsid w:val="00B30095"/>
    <w:rsid w:val="00B3044F"/>
    <w:rsid w:val="00B3047C"/>
    <w:rsid w:val="00B3079C"/>
    <w:rsid w:val="00B307B7"/>
    <w:rsid w:val="00B307D7"/>
    <w:rsid w:val="00B3084F"/>
    <w:rsid w:val="00B30963"/>
    <w:rsid w:val="00B309A2"/>
    <w:rsid w:val="00B30A78"/>
    <w:rsid w:val="00B30C2E"/>
    <w:rsid w:val="00B30D5C"/>
    <w:rsid w:val="00B30DE8"/>
    <w:rsid w:val="00B30E78"/>
    <w:rsid w:val="00B3107C"/>
    <w:rsid w:val="00B3109C"/>
    <w:rsid w:val="00B310B1"/>
    <w:rsid w:val="00B31178"/>
    <w:rsid w:val="00B312E8"/>
    <w:rsid w:val="00B313C7"/>
    <w:rsid w:val="00B313F9"/>
    <w:rsid w:val="00B3143B"/>
    <w:rsid w:val="00B314EC"/>
    <w:rsid w:val="00B31528"/>
    <w:rsid w:val="00B3167E"/>
    <w:rsid w:val="00B31691"/>
    <w:rsid w:val="00B31754"/>
    <w:rsid w:val="00B3180A"/>
    <w:rsid w:val="00B318D1"/>
    <w:rsid w:val="00B318E5"/>
    <w:rsid w:val="00B318EA"/>
    <w:rsid w:val="00B319C5"/>
    <w:rsid w:val="00B319E2"/>
    <w:rsid w:val="00B31AD4"/>
    <w:rsid w:val="00B31BBB"/>
    <w:rsid w:val="00B31CF8"/>
    <w:rsid w:val="00B31E56"/>
    <w:rsid w:val="00B31ED4"/>
    <w:rsid w:val="00B31F1B"/>
    <w:rsid w:val="00B31F66"/>
    <w:rsid w:val="00B31F95"/>
    <w:rsid w:val="00B31FF3"/>
    <w:rsid w:val="00B32022"/>
    <w:rsid w:val="00B3211D"/>
    <w:rsid w:val="00B3215E"/>
    <w:rsid w:val="00B324AD"/>
    <w:rsid w:val="00B325A7"/>
    <w:rsid w:val="00B32649"/>
    <w:rsid w:val="00B326E1"/>
    <w:rsid w:val="00B3275D"/>
    <w:rsid w:val="00B327EB"/>
    <w:rsid w:val="00B328CF"/>
    <w:rsid w:val="00B32A2A"/>
    <w:rsid w:val="00B32AA5"/>
    <w:rsid w:val="00B32B4B"/>
    <w:rsid w:val="00B32BB0"/>
    <w:rsid w:val="00B32C3D"/>
    <w:rsid w:val="00B32E2A"/>
    <w:rsid w:val="00B32E6C"/>
    <w:rsid w:val="00B330AC"/>
    <w:rsid w:val="00B330E5"/>
    <w:rsid w:val="00B331C9"/>
    <w:rsid w:val="00B33256"/>
    <w:rsid w:val="00B33285"/>
    <w:rsid w:val="00B332D6"/>
    <w:rsid w:val="00B332D8"/>
    <w:rsid w:val="00B3347F"/>
    <w:rsid w:val="00B334B5"/>
    <w:rsid w:val="00B335A9"/>
    <w:rsid w:val="00B335D1"/>
    <w:rsid w:val="00B3363E"/>
    <w:rsid w:val="00B336EC"/>
    <w:rsid w:val="00B33767"/>
    <w:rsid w:val="00B338E3"/>
    <w:rsid w:val="00B33A0C"/>
    <w:rsid w:val="00B33A89"/>
    <w:rsid w:val="00B33AB0"/>
    <w:rsid w:val="00B33B49"/>
    <w:rsid w:val="00B33C4C"/>
    <w:rsid w:val="00B33C4E"/>
    <w:rsid w:val="00B33C93"/>
    <w:rsid w:val="00B33CB3"/>
    <w:rsid w:val="00B33E28"/>
    <w:rsid w:val="00B33E7A"/>
    <w:rsid w:val="00B33EBF"/>
    <w:rsid w:val="00B33EEE"/>
    <w:rsid w:val="00B33F5B"/>
    <w:rsid w:val="00B33FF0"/>
    <w:rsid w:val="00B34051"/>
    <w:rsid w:val="00B340A0"/>
    <w:rsid w:val="00B341A6"/>
    <w:rsid w:val="00B341C8"/>
    <w:rsid w:val="00B34281"/>
    <w:rsid w:val="00B344C9"/>
    <w:rsid w:val="00B345CA"/>
    <w:rsid w:val="00B34726"/>
    <w:rsid w:val="00B3479D"/>
    <w:rsid w:val="00B34836"/>
    <w:rsid w:val="00B34882"/>
    <w:rsid w:val="00B34912"/>
    <w:rsid w:val="00B34A89"/>
    <w:rsid w:val="00B34ADA"/>
    <w:rsid w:val="00B34B00"/>
    <w:rsid w:val="00B34C45"/>
    <w:rsid w:val="00B34F01"/>
    <w:rsid w:val="00B35017"/>
    <w:rsid w:val="00B35020"/>
    <w:rsid w:val="00B351F4"/>
    <w:rsid w:val="00B3535F"/>
    <w:rsid w:val="00B353D5"/>
    <w:rsid w:val="00B353DC"/>
    <w:rsid w:val="00B354A8"/>
    <w:rsid w:val="00B35532"/>
    <w:rsid w:val="00B355A2"/>
    <w:rsid w:val="00B355F1"/>
    <w:rsid w:val="00B356F2"/>
    <w:rsid w:val="00B35873"/>
    <w:rsid w:val="00B358A9"/>
    <w:rsid w:val="00B358C3"/>
    <w:rsid w:val="00B35A27"/>
    <w:rsid w:val="00B35A58"/>
    <w:rsid w:val="00B35B3B"/>
    <w:rsid w:val="00B35BD0"/>
    <w:rsid w:val="00B35C88"/>
    <w:rsid w:val="00B35E75"/>
    <w:rsid w:val="00B360EE"/>
    <w:rsid w:val="00B36138"/>
    <w:rsid w:val="00B36150"/>
    <w:rsid w:val="00B361A5"/>
    <w:rsid w:val="00B361C0"/>
    <w:rsid w:val="00B362EB"/>
    <w:rsid w:val="00B3637C"/>
    <w:rsid w:val="00B3646A"/>
    <w:rsid w:val="00B364C0"/>
    <w:rsid w:val="00B364C1"/>
    <w:rsid w:val="00B364D3"/>
    <w:rsid w:val="00B3653C"/>
    <w:rsid w:val="00B3657D"/>
    <w:rsid w:val="00B3662C"/>
    <w:rsid w:val="00B3663E"/>
    <w:rsid w:val="00B366B0"/>
    <w:rsid w:val="00B36703"/>
    <w:rsid w:val="00B3677A"/>
    <w:rsid w:val="00B367EB"/>
    <w:rsid w:val="00B3691C"/>
    <w:rsid w:val="00B36960"/>
    <w:rsid w:val="00B36A71"/>
    <w:rsid w:val="00B36B70"/>
    <w:rsid w:val="00B36E0F"/>
    <w:rsid w:val="00B36FCC"/>
    <w:rsid w:val="00B3710E"/>
    <w:rsid w:val="00B37162"/>
    <w:rsid w:val="00B3737E"/>
    <w:rsid w:val="00B37429"/>
    <w:rsid w:val="00B3743E"/>
    <w:rsid w:val="00B37769"/>
    <w:rsid w:val="00B3782F"/>
    <w:rsid w:val="00B378A8"/>
    <w:rsid w:val="00B378F9"/>
    <w:rsid w:val="00B37904"/>
    <w:rsid w:val="00B37957"/>
    <w:rsid w:val="00B379DB"/>
    <w:rsid w:val="00B37A22"/>
    <w:rsid w:val="00B37AD9"/>
    <w:rsid w:val="00B37AF4"/>
    <w:rsid w:val="00B37B2F"/>
    <w:rsid w:val="00B37B6B"/>
    <w:rsid w:val="00B37C11"/>
    <w:rsid w:val="00B37CA9"/>
    <w:rsid w:val="00B37CFC"/>
    <w:rsid w:val="00B37F65"/>
    <w:rsid w:val="00B40362"/>
    <w:rsid w:val="00B4064C"/>
    <w:rsid w:val="00B407BA"/>
    <w:rsid w:val="00B4095C"/>
    <w:rsid w:val="00B40966"/>
    <w:rsid w:val="00B40A04"/>
    <w:rsid w:val="00B40C0C"/>
    <w:rsid w:val="00B40C1C"/>
    <w:rsid w:val="00B40CEC"/>
    <w:rsid w:val="00B40D66"/>
    <w:rsid w:val="00B40ED8"/>
    <w:rsid w:val="00B40F9C"/>
    <w:rsid w:val="00B40FCA"/>
    <w:rsid w:val="00B41286"/>
    <w:rsid w:val="00B414FA"/>
    <w:rsid w:val="00B4175E"/>
    <w:rsid w:val="00B417F8"/>
    <w:rsid w:val="00B41B89"/>
    <w:rsid w:val="00B41BEB"/>
    <w:rsid w:val="00B41C71"/>
    <w:rsid w:val="00B41CAA"/>
    <w:rsid w:val="00B41D26"/>
    <w:rsid w:val="00B41E0D"/>
    <w:rsid w:val="00B41E83"/>
    <w:rsid w:val="00B41EE4"/>
    <w:rsid w:val="00B41EFA"/>
    <w:rsid w:val="00B41FA4"/>
    <w:rsid w:val="00B4204A"/>
    <w:rsid w:val="00B421BC"/>
    <w:rsid w:val="00B421F7"/>
    <w:rsid w:val="00B42254"/>
    <w:rsid w:val="00B423E2"/>
    <w:rsid w:val="00B42513"/>
    <w:rsid w:val="00B42520"/>
    <w:rsid w:val="00B425A3"/>
    <w:rsid w:val="00B42AAC"/>
    <w:rsid w:val="00B42B99"/>
    <w:rsid w:val="00B42BC9"/>
    <w:rsid w:val="00B42DD2"/>
    <w:rsid w:val="00B42E87"/>
    <w:rsid w:val="00B42F98"/>
    <w:rsid w:val="00B4315F"/>
    <w:rsid w:val="00B4322E"/>
    <w:rsid w:val="00B4330F"/>
    <w:rsid w:val="00B4334A"/>
    <w:rsid w:val="00B43351"/>
    <w:rsid w:val="00B4345B"/>
    <w:rsid w:val="00B434AE"/>
    <w:rsid w:val="00B43558"/>
    <w:rsid w:val="00B4373B"/>
    <w:rsid w:val="00B43748"/>
    <w:rsid w:val="00B43799"/>
    <w:rsid w:val="00B43955"/>
    <w:rsid w:val="00B43971"/>
    <w:rsid w:val="00B43981"/>
    <w:rsid w:val="00B43A1A"/>
    <w:rsid w:val="00B43A6D"/>
    <w:rsid w:val="00B43AD2"/>
    <w:rsid w:val="00B43B58"/>
    <w:rsid w:val="00B43B6A"/>
    <w:rsid w:val="00B43B80"/>
    <w:rsid w:val="00B43D3A"/>
    <w:rsid w:val="00B43D76"/>
    <w:rsid w:val="00B43ED7"/>
    <w:rsid w:val="00B43F54"/>
    <w:rsid w:val="00B440B7"/>
    <w:rsid w:val="00B440CE"/>
    <w:rsid w:val="00B4427C"/>
    <w:rsid w:val="00B44381"/>
    <w:rsid w:val="00B44689"/>
    <w:rsid w:val="00B44756"/>
    <w:rsid w:val="00B4478F"/>
    <w:rsid w:val="00B447D3"/>
    <w:rsid w:val="00B447DF"/>
    <w:rsid w:val="00B4486D"/>
    <w:rsid w:val="00B44890"/>
    <w:rsid w:val="00B44A27"/>
    <w:rsid w:val="00B44AD9"/>
    <w:rsid w:val="00B44B9A"/>
    <w:rsid w:val="00B44DE1"/>
    <w:rsid w:val="00B44F68"/>
    <w:rsid w:val="00B450EC"/>
    <w:rsid w:val="00B45121"/>
    <w:rsid w:val="00B4512B"/>
    <w:rsid w:val="00B453C8"/>
    <w:rsid w:val="00B4555A"/>
    <w:rsid w:val="00B455AD"/>
    <w:rsid w:val="00B455D3"/>
    <w:rsid w:val="00B455E6"/>
    <w:rsid w:val="00B457E8"/>
    <w:rsid w:val="00B4586B"/>
    <w:rsid w:val="00B458F6"/>
    <w:rsid w:val="00B4592C"/>
    <w:rsid w:val="00B45993"/>
    <w:rsid w:val="00B45B79"/>
    <w:rsid w:val="00B45C47"/>
    <w:rsid w:val="00B45DAE"/>
    <w:rsid w:val="00B45E44"/>
    <w:rsid w:val="00B45EA8"/>
    <w:rsid w:val="00B45F69"/>
    <w:rsid w:val="00B46084"/>
    <w:rsid w:val="00B4609A"/>
    <w:rsid w:val="00B4611B"/>
    <w:rsid w:val="00B461BE"/>
    <w:rsid w:val="00B461ED"/>
    <w:rsid w:val="00B46289"/>
    <w:rsid w:val="00B462C6"/>
    <w:rsid w:val="00B4633C"/>
    <w:rsid w:val="00B4652B"/>
    <w:rsid w:val="00B4659F"/>
    <w:rsid w:val="00B465BA"/>
    <w:rsid w:val="00B465E5"/>
    <w:rsid w:val="00B4660D"/>
    <w:rsid w:val="00B4670E"/>
    <w:rsid w:val="00B468D4"/>
    <w:rsid w:val="00B46A92"/>
    <w:rsid w:val="00B46AFF"/>
    <w:rsid w:val="00B46DAE"/>
    <w:rsid w:val="00B46F0E"/>
    <w:rsid w:val="00B47121"/>
    <w:rsid w:val="00B47161"/>
    <w:rsid w:val="00B4721C"/>
    <w:rsid w:val="00B47294"/>
    <w:rsid w:val="00B472D1"/>
    <w:rsid w:val="00B47320"/>
    <w:rsid w:val="00B4740B"/>
    <w:rsid w:val="00B47437"/>
    <w:rsid w:val="00B474CE"/>
    <w:rsid w:val="00B474E4"/>
    <w:rsid w:val="00B47533"/>
    <w:rsid w:val="00B47597"/>
    <w:rsid w:val="00B47735"/>
    <w:rsid w:val="00B47775"/>
    <w:rsid w:val="00B47798"/>
    <w:rsid w:val="00B47862"/>
    <w:rsid w:val="00B479F2"/>
    <w:rsid w:val="00B47A87"/>
    <w:rsid w:val="00B47A8A"/>
    <w:rsid w:val="00B47B92"/>
    <w:rsid w:val="00B47BC6"/>
    <w:rsid w:val="00B47C6D"/>
    <w:rsid w:val="00B47E46"/>
    <w:rsid w:val="00B47EA9"/>
    <w:rsid w:val="00B47EC7"/>
    <w:rsid w:val="00B47EF1"/>
    <w:rsid w:val="00B47F8B"/>
    <w:rsid w:val="00B5000F"/>
    <w:rsid w:val="00B50195"/>
    <w:rsid w:val="00B5020C"/>
    <w:rsid w:val="00B502F9"/>
    <w:rsid w:val="00B50331"/>
    <w:rsid w:val="00B504A6"/>
    <w:rsid w:val="00B504F6"/>
    <w:rsid w:val="00B5057F"/>
    <w:rsid w:val="00B50593"/>
    <w:rsid w:val="00B50634"/>
    <w:rsid w:val="00B50679"/>
    <w:rsid w:val="00B506BB"/>
    <w:rsid w:val="00B5081D"/>
    <w:rsid w:val="00B50828"/>
    <w:rsid w:val="00B50B57"/>
    <w:rsid w:val="00B50BB1"/>
    <w:rsid w:val="00B50CEE"/>
    <w:rsid w:val="00B50DA4"/>
    <w:rsid w:val="00B50DF1"/>
    <w:rsid w:val="00B50E82"/>
    <w:rsid w:val="00B51072"/>
    <w:rsid w:val="00B5109E"/>
    <w:rsid w:val="00B510AA"/>
    <w:rsid w:val="00B51128"/>
    <w:rsid w:val="00B51203"/>
    <w:rsid w:val="00B5129C"/>
    <w:rsid w:val="00B5141E"/>
    <w:rsid w:val="00B5144E"/>
    <w:rsid w:val="00B5164D"/>
    <w:rsid w:val="00B51804"/>
    <w:rsid w:val="00B519CF"/>
    <w:rsid w:val="00B51ABE"/>
    <w:rsid w:val="00B51B46"/>
    <w:rsid w:val="00B51C5B"/>
    <w:rsid w:val="00B51F11"/>
    <w:rsid w:val="00B51F96"/>
    <w:rsid w:val="00B520A7"/>
    <w:rsid w:val="00B520B7"/>
    <w:rsid w:val="00B5212F"/>
    <w:rsid w:val="00B521A0"/>
    <w:rsid w:val="00B5238A"/>
    <w:rsid w:val="00B52643"/>
    <w:rsid w:val="00B5264F"/>
    <w:rsid w:val="00B5286C"/>
    <w:rsid w:val="00B52883"/>
    <w:rsid w:val="00B52AFB"/>
    <w:rsid w:val="00B52C06"/>
    <w:rsid w:val="00B52D94"/>
    <w:rsid w:val="00B52DF4"/>
    <w:rsid w:val="00B52E2F"/>
    <w:rsid w:val="00B52EB7"/>
    <w:rsid w:val="00B52F1F"/>
    <w:rsid w:val="00B52FFC"/>
    <w:rsid w:val="00B53028"/>
    <w:rsid w:val="00B53063"/>
    <w:rsid w:val="00B530FF"/>
    <w:rsid w:val="00B53135"/>
    <w:rsid w:val="00B53173"/>
    <w:rsid w:val="00B5317E"/>
    <w:rsid w:val="00B53199"/>
    <w:rsid w:val="00B53374"/>
    <w:rsid w:val="00B5337B"/>
    <w:rsid w:val="00B5337C"/>
    <w:rsid w:val="00B53492"/>
    <w:rsid w:val="00B53624"/>
    <w:rsid w:val="00B5387A"/>
    <w:rsid w:val="00B5389D"/>
    <w:rsid w:val="00B53CB0"/>
    <w:rsid w:val="00B53D00"/>
    <w:rsid w:val="00B53D0E"/>
    <w:rsid w:val="00B53F00"/>
    <w:rsid w:val="00B54112"/>
    <w:rsid w:val="00B543BC"/>
    <w:rsid w:val="00B54436"/>
    <w:rsid w:val="00B547BE"/>
    <w:rsid w:val="00B54B7D"/>
    <w:rsid w:val="00B54C9D"/>
    <w:rsid w:val="00B54E7A"/>
    <w:rsid w:val="00B54FA5"/>
    <w:rsid w:val="00B550A7"/>
    <w:rsid w:val="00B55187"/>
    <w:rsid w:val="00B5523D"/>
    <w:rsid w:val="00B55251"/>
    <w:rsid w:val="00B552E2"/>
    <w:rsid w:val="00B55391"/>
    <w:rsid w:val="00B5540B"/>
    <w:rsid w:val="00B5551D"/>
    <w:rsid w:val="00B5552C"/>
    <w:rsid w:val="00B555B3"/>
    <w:rsid w:val="00B5567B"/>
    <w:rsid w:val="00B55689"/>
    <w:rsid w:val="00B556AA"/>
    <w:rsid w:val="00B557FC"/>
    <w:rsid w:val="00B55838"/>
    <w:rsid w:val="00B55BCD"/>
    <w:rsid w:val="00B55D0F"/>
    <w:rsid w:val="00B55DCD"/>
    <w:rsid w:val="00B55E15"/>
    <w:rsid w:val="00B56098"/>
    <w:rsid w:val="00B5642E"/>
    <w:rsid w:val="00B5645E"/>
    <w:rsid w:val="00B56518"/>
    <w:rsid w:val="00B56642"/>
    <w:rsid w:val="00B5665D"/>
    <w:rsid w:val="00B5671D"/>
    <w:rsid w:val="00B56728"/>
    <w:rsid w:val="00B56916"/>
    <w:rsid w:val="00B5698A"/>
    <w:rsid w:val="00B56B58"/>
    <w:rsid w:val="00B56C09"/>
    <w:rsid w:val="00B56C1D"/>
    <w:rsid w:val="00B56CC5"/>
    <w:rsid w:val="00B56CFE"/>
    <w:rsid w:val="00B56DCF"/>
    <w:rsid w:val="00B56EBC"/>
    <w:rsid w:val="00B57154"/>
    <w:rsid w:val="00B57431"/>
    <w:rsid w:val="00B57447"/>
    <w:rsid w:val="00B574FD"/>
    <w:rsid w:val="00B57512"/>
    <w:rsid w:val="00B576DB"/>
    <w:rsid w:val="00B5772E"/>
    <w:rsid w:val="00B577ED"/>
    <w:rsid w:val="00B5780E"/>
    <w:rsid w:val="00B5781F"/>
    <w:rsid w:val="00B578B0"/>
    <w:rsid w:val="00B578DB"/>
    <w:rsid w:val="00B5798D"/>
    <w:rsid w:val="00B57A7F"/>
    <w:rsid w:val="00B57C8B"/>
    <w:rsid w:val="00B57D5B"/>
    <w:rsid w:val="00B57F64"/>
    <w:rsid w:val="00B601A1"/>
    <w:rsid w:val="00B601F7"/>
    <w:rsid w:val="00B60237"/>
    <w:rsid w:val="00B60243"/>
    <w:rsid w:val="00B60269"/>
    <w:rsid w:val="00B6026E"/>
    <w:rsid w:val="00B6033F"/>
    <w:rsid w:val="00B603D1"/>
    <w:rsid w:val="00B6041B"/>
    <w:rsid w:val="00B60456"/>
    <w:rsid w:val="00B60610"/>
    <w:rsid w:val="00B60659"/>
    <w:rsid w:val="00B606CA"/>
    <w:rsid w:val="00B60701"/>
    <w:rsid w:val="00B60798"/>
    <w:rsid w:val="00B608D2"/>
    <w:rsid w:val="00B609DA"/>
    <w:rsid w:val="00B60AFE"/>
    <w:rsid w:val="00B60E7D"/>
    <w:rsid w:val="00B60EEB"/>
    <w:rsid w:val="00B6115A"/>
    <w:rsid w:val="00B611D7"/>
    <w:rsid w:val="00B611EE"/>
    <w:rsid w:val="00B611F2"/>
    <w:rsid w:val="00B613CA"/>
    <w:rsid w:val="00B6140C"/>
    <w:rsid w:val="00B6144F"/>
    <w:rsid w:val="00B6159C"/>
    <w:rsid w:val="00B616E4"/>
    <w:rsid w:val="00B616EF"/>
    <w:rsid w:val="00B617DE"/>
    <w:rsid w:val="00B61805"/>
    <w:rsid w:val="00B6180C"/>
    <w:rsid w:val="00B618C5"/>
    <w:rsid w:val="00B61A15"/>
    <w:rsid w:val="00B61CDD"/>
    <w:rsid w:val="00B61D76"/>
    <w:rsid w:val="00B61ED8"/>
    <w:rsid w:val="00B61F1E"/>
    <w:rsid w:val="00B6203A"/>
    <w:rsid w:val="00B6210F"/>
    <w:rsid w:val="00B62137"/>
    <w:rsid w:val="00B622DB"/>
    <w:rsid w:val="00B623D4"/>
    <w:rsid w:val="00B624C4"/>
    <w:rsid w:val="00B62697"/>
    <w:rsid w:val="00B628A7"/>
    <w:rsid w:val="00B62A1E"/>
    <w:rsid w:val="00B62A50"/>
    <w:rsid w:val="00B62BD3"/>
    <w:rsid w:val="00B62BF6"/>
    <w:rsid w:val="00B62C3D"/>
    <w:rsid w:val="00B62D2E"/>
    <w:rsid w:val="00B62D84"/>
    <w:rsid w:val="00B62DFF"/>
    <w:rsid w:val="00B630FB"/>
    <w:rsid w:val="00B6320C"/>
    <w:rsid w:val="00B63460"/>
    <w:rsid w:val="00B63478"/>
    <w:rsid w:val="00B634F2"/>
    <w:rsid w:val="00B63505"/>
    <w:rsid w:val="00B63589"/>
    <w:rsid w:val="00B6358B"/>
    <w:rsid w:val="00B6378B"/>
    <w:rsid w:val="00B637FC"/>
    <w:rsid w:val="00B63A04"/>
    <w:rsid w:val="00B63A07"/>
    <w:rsid w:val="00B63B23"/>
    <w:rsid w:val="00B63BD0"/>
    <w:rsid w:val="00B63C14"/>
    <w:rsid w:val="00B63C87"/>
    <w:rsid w:val="00B63D12"/>
    <w:rsid w:val="00B63E06"/>
    <w:rsid w:val="00B640EC"/>
    <w:rsid w:val="00B6432B"/>
    <w:rsid w:val="00B643BB"/>
    <w:rsid w:val="00B64647"/>
    <w:rsid w:val="00B646B7"/>
    <w:rsid w:val="00B646BC"/>
    <w:rsid w:val="00B646DC"/>
    <w:rsid w:val="00B64705"/>
    <w:rsid w:val="00B6473E"/>
    <w:rsid w:val="00B64827"/>
    <w:rsid w:val="00B6489F"/>
    <w:rsid w:val="00B648E0"/>
    <w:rsid w:val="00B64A17"/>
    <w:rsid w:val="00B64B06"/>
    <w:rsid w:val="00B64B87"/>
    <w:rsid w:val="00B64CE4"/>
    <w:rsid w:val="00B64DFD"/>
    <w:rsid w:val="00B64EC7"/>
    <w:rsid w:val="00B64F54"/>
    <w:rsid w:val="00B64FB9"/>
    <w:rsid w:val="00B6509E"/>
    <w:rsid w:val="00B651CF"/>
    <w:rsid w:val="00B652DD"/>
    <w:rsid w:val="00B6538B"/>
    <w:rsid w:val="00B654BF"/>
    <w:rsid w:val="00B65627"/>
    <w:rsid w:val="00B6562A"/>
    <w:rsid w:val="00B65657"/>
    <w:rsid w:val="00B656F2"/>
    <w:rsid w:val="00B65726"/>
    <w:rsid w:val="00B6586A"/>
    <w:rsid w:val="00B659C6"/>
    <w:rsid w:val="00B659ED"/>
    <w:rsid w:val="00B65BBC"/>
    <w:rsid w:val="00B65C51"/>
    <w:rsid w:val="00B65C6A"/>
    <w:rsid w:val="00B65CA8"/>
    <w:rsid w:val="00B65D60"/>
    <w:rsid w:val="00B65D71"/>
    <w:rsid w:val="00B65DE8"/>
    <w:rsid w:val="00B65EA4"/>
    <w:rsid w:val="00B65F41"/>
    <w:rsid w:val="00B6602E"/>
    <w:rsid w:val="00B6622F"/>
    <w:rsid w:val="00B662AF"/>
    <w:rsid w:val="00B662C4"/>
    <w:rsid w:val="00B66305"/>
    <w:rsid w:val="00B66366"/>
    <w:rsid w:val="00B66402"/>
    <w:rsid w:val="00B66559"/>
    <w:rsid w:val="00B66A4C"/>
    <w:rsid w:val="00B66C0B"/>
    <w:rsid w:val="00B66C84"/>
    <w:rsid w:val="00B66DB1"/>
    <w:rsid w:val="00B66F20"/>
    <w:rsid w:val="00B6700D"/>
    <w:rsid w:val="00B670B9"/>
    <w:rsid w:val="00B67143"/>
    <w:rsid w:val="00B675EC"/>
    <w:rsid w:val="00B67612"/>
    <w:rsid w:val="00B6762E"/>
    <w:rsid w:val="00B67847"/>
    <w:rsid w:val="00B678CE"/>
    <w:rsid w:val="00B678EE"/>
    <w:rsid w:val="00B67982"/>
    <w:rsid w:val="00B67BF1"/>
    <w:rsid w:val="00B67E26"/>
    <w:rsid w:val="00B67FAB"/>
    <w:rsid w:val="00B67FEF"/>
    <w:rsid w:val="00B70177"/>
    <w:rsid w:val="00B70223"/>
    <w:rsid w:val="00B702B6"/>
    <w:rsid w:val="00B702C9"/>
    <w:rsid w:val="00B7038A"/>
    <w:rsid w:val="00B70416"/>
    <w:rsid w:val="00B7051C"/>
    <w:rsid w:val="00B705AB"/>
    <w:rsid w:val="00B705FE"/>
    <w:rsid w:val="00B70609"/>
    <w:rsid w:val="00B70645"/>
    <w:rsid w:val="00B707B9"/>
    <w:rsid w:val="00B707EB"/>
    <w:rsid w:val="00B70AA5"/>
    <w:rsid w:val="00B70B4C"/>
    <w:rsid w:val="00B70E5F"/>
    <w:rsid w:val="00B70F7A"/>
    <w:rsid w:val="00B71057"/>
    <w:rsid w:val="00B710BF"/>
    <w:rsid w:val="00B710D2"/>
    <w:rsid w:val="00B7115D"/>
    <w:rsid w:val="00B711E5"/>
    <w:rsid w:val="00B712A2"/>
    <w:rsid w:val="00B712D4"/>
    <w:rsid w:val="00B71438"/>
    <w:rsid w:val="00B71679"/>
    <w:rsid w:val="00B716B3"/>
    <w:rsid w:val="00B716EF"/>
    <w:rsid w:val="00B71726"/>
    <w:rsid w:val="00B71821"/>
    <w:rsid w:val="00B71915"/>
    <w:rsid w:val="00B71B38"/>
    <w:rsid w:val="00B71CFE"/>
    <w:rsid w:val="00B71EA5"/>
    <w:rsid w:val="00B72097"/>
    <w:rsid w:val="00B720BE"/>
    <w:rsid w:val="00B72143"/>
    <w:rsid w:val="00B72272"/>
    <w:rsid w:val="00B722DA"/>
    <w:rsid w:val="00B72317"/>
    <w:rsid w:val="00B72332"/>
    <w:rsid w:val="00B72508"/>
    <w:rsid w:val="00B72599"/>
    <w:rsid w:val="00B725F2"/>
    <w:rsid w:val="00B7261C"/>
    <w:rsid w:val="00B7268B"/>
    <w:rsid w:val="00B72710"/>
    <w:rsid w:val="00B72759"/>
    <w:rsid w:val="00B72962"/>
    <w:rsid w:val="00B729AE"/>
    <w:rsid w:val="00B72CCE"/>
    <w:rsid w:val="00B72DBB"/>
    <w:rsid w:val="00B72E17"/>
    <w:rsid w:val="00B73013"/>
    <w:rsid w:val="00B7309A"/>
    <w:rsid w:val="00B730B9"/>
    <w:rsid w:val="00B7316B"/>
    <w:rsid w:val="00B731D8"/>
    <w:rsid w:val="00B733A5"/>
    <w:rsid w:val="00B733B3"/>
    <w:rsid w:val="00B733EB"/>
    <w:rsid w:val="00B73639"/>
    <w:rsid w:val="00B7370A"/>
    <w:rsid w:val="00B737F9"/>
    <w:rsid w:val="00B738F8"/>
    <w:rsid w:val="00B7390D"/>
    <w:rsid w:val="00B73954"/>
    <w:rsid w:val="00B739D2"/>
    <w:rsid w:val="00B73BB0"/>
    <w:rsid w:val="00B73C06"/>
    <w:rsid w:val="00B73D0D"/>
    <w:rsid w:val="00B73DB5"/>
    <w:rsid w:val="00B73DCD"/>
    <w:rsid w:val="00B73E73"/>
    <w:rsid w:val="00B73F64"/>
    <w:rsid w:val="00B74128"/>
    <w:rsid w:val="00B7413C"/>
    <w:rsid w:val="00B74472"/>
    <w:rsid w:val="00B745B9"/>
    <w:rsid w:val="00B747B6"/>
    <w:rsid w:val="00B7486E"/>
    <w:rsid w:val="00B74879"/>
    <w:rsid w:val="00B74BEF"/>
    <w:rsid w:val="00B74CD9"/>
    <w:rsid w:val="00B74D1A"/>
    <w:rsid w:val="00B74E3D"/>
    <w:rsid w:val="00B74EA9"/>
    <w:rsid w:val="00B74FEC"/>
    <w:rsid w:val="00B7501C"/>
    <w:rsid w:val="00B75099"/>
    <w:rsid w:val="00B75187"/>
    <w:rsid w:val="00B751D3"/>
    <w:rsid w:val="00B7526D"/>
    <w:rsid w:val="00B753D7"/>
    <w:rsid w:val="00B75420"/>
    <w:rsid w:val="00B754F4"/>
    <w:rsid w:val="00B75564"/>
    <w:rsid w:val="00B75668"/>
    <w:rsid w:val="00B75781"/>
    <w:rsid w:val="00B7579E"/>
    <w:rsid w:val="00B75833"/>
    <w:rsid w:val="00B7588E"/>
    <w:rsid w:val="00B75902"/>
    <w:rsid w:val="00B7598B"/>
    <w:rsid w:val="00B75AAC"/>
    <w:rsid w:val="00B75B2C"/>
    <w:rsid w:val="00B75BE9"/>
    <w:rsid w:val="00B75C6F"/>
    <w:rsid w:val="00B75CE8"/>
    <w:rsid w:val="00B75D08"/>
    <w:rsid w:val="00B75D9A"/>
    <w:rsid w:val="00B75DDE"/>
    <w:rsid w:val="00B75E1C"/>
    <w:rsid w:val="00B75F38"/>
    <w:rsid w:val="00B75FCC"/>
    <w:rsid w:val="00B76108"/>
    <w:rsid w:val="00B7615E"/>
    <w:rsid w:val="00B76271"/>
    <w:rsid w:val="00B7638F"/>
    <w:rsid w:val="00B768C1"/>
    <w:rsid w:val="00B7691C"/>
    <w:rsid w:val="00B76A05"/>
    <w:rsid w:val="00B76EF2"/>
    <w:rsid w:val="00B76F45"/>
    <w:rsid w:val="00B76FD1"/>
    <w:rsid w:val="00B77010"/>
    <w:rsid w:val="00B77027"/>
    <w:rsid w:val="00B770B7"/>
    <w:rsid w:val="00B770C3"/>
    <w:rsid w:val="00B7711C"/>
    <w:rsid w:val="00B77168"/>
    <w:rsid w:val="00B77241"/>
    <w:rsid w:val="00B7738B"/>
    <w:rsid w:val="00B774EF"/>
    <w:rsid w:val="00B7750C"/>
    <w:rsid w:val="00B7763B"/>
    <w:rsid w:val="00B77835"/>
    <w:rsid w:val="00B77C16"/>
    <w:rsid w:val="00B77C43"/>
    <w:rsid w:val="00B77CA0"/>
    <w:rsid w:val="00B77D2D"/>
    <w:rsid w:val="00B77D48"/>
    <w:rsid w:val="00B77D7A"/>
    <w:rsid w:val="00B77E3C"/>
    <w:rsid w:val="00B77FEC"/>
    <w:rsid w:val="00B80092"/>
    <w:rsid w:val="00B800E2"/>
    <w:rsid w:val="00B8012F"/>
    <w:rsid w:val="00B801DA"/>
    <w:rsid w:val="00B8020B"/>
    <w:rsid w:val="00B80259"/>
    <w:rsid w:val="00B80341"/>
    <w:rsid w:val="00B80492"/>
    <w:rsid w:val="00B8065A"/>
    <w:rsid w:val="00B808AF"/>
    <w:rsid w:val="00B80918"/>
    <w:rsid w:val="00B809C6"/>
    <w:rsid w:val="00B80CD2"/>
    <w:rsid w:val="00B80CF2"/>
    <w:rsid w:val="00B80DA3"/>
    <w:rsid w:val="00B80DD3"/>
    <w:rsid w:val="00B80DE8"/>
    <w:rsid w:val="00B81024"/>
    <w:rsid w:val="00B81134"/>
    <w:rsid w:val="00B81142"/>
    <w:rsid w:val="00B8126B"/>
    <w:rsid w:val="00B81299"/>
    <w:rsid w:val="00B8136B"/>
    <w:rsid w:val="00B81396"/>
    <w:rsid w:val="00B813EC"/>
    <w:rsid w:val="00B814F4"/>
    <w:rsid w:val="00B81549"/>
    <w:rsid w:val="00B817B1"/>
    <w:rsid w:val="00B81835"/>
    <w:rsid w:val="00B8189E"/>
    <w:rsid w:val="00B819B5"/>
    <w:rsid w:val="00B81A09"/>
    <w:rsid w:val="00B81AF3"/>
    <w:rsid w:val="00B81B23"/>
    <w:rsid w:val="00B81B55"/>
    <w:rsid w:val="00B81B71"/>
    <w:rsid w:val="00B81B7B"/>
    <w:rsid w:val="00B81BAE"/>
    <w:rsid w:val="00B81CD0"/>
    <w:rsid w:val="00B81CEC"/>
    <w:rsid w:val="00B81D00"/>
    <w:rsid w:val="00B81D0F"/>
    <w:rsid w:val="00B81D42"/>
    <w:rsid w:val="00B81D7C"/>
    <w:rsid w:val="00B81DF2"/>
    <w:rsid w:val="00B81E7A"/>
    <w:rsid w:val="00B81F32"/>
    <w:rsid w:val="00B81F99"/>
    <w:rsid w:val="00B81FCF"/>
    <w:rsid w:val="00B82072"/>
    <w:rsid w:val="00B8208D"/>
    <w:rsid w:val="00B82103"/>
    <w:rsid w:val="00B82242"/>
    <w:rsid w:val="00B822D6"/>
    <w:rsid w:val="00B8234F"/>
    <w:rsid w:val="00B8235B"/>
    <w:rsid w:val="00B82439"/>
    <w:rsid w:val="00B82580"/>
    <w:rsid w:val="00B825CF"/>
    <w:rsid w:val="00B826A3"/>
    <w:rsid w:val="00B8270F"/>
    <w:rsid w:val="00B82763"/>
    <w:rsid w:val="00B827A4"/>
    <w:rsid w:val="00B827EF"/>
    <w:rsid w:val="00B8283A"/>
    <w:rsid w:val="00B8289C"/>
    <w:rsid w:val="00B828A5"/>
    <w:rsid w:val="00B828F7"/>
    <w:rsid w:val="00B82904"/>
    <w:rsid w:val="00B82932"/>
    <w:rsid w:val="00B82A86"/>
    <w:rsid w:val="00B82BFD"/>
    <w:rsid w:val="00B82CC5"/>
    <w:rsid w:val="00B82CE7"/>
    <w:rsid w:val="00B82DA8"/>
    <w:rsid w:val="00B82DD3"/>
    <w:rsid w:val="00B82F01"/>
    <w:rsid w:val="00B8301A"/>
    <w:rsid w:val="00B8306D"/>
    <w:rsid w:val="00B83112"/>
    <w:rsid w:val="00B832EE"/>
    <w:rsid w:val="00B8332B"/>
    <w:rsid w:val="00B8347F"/>
    <w:rsid w:val="00B83603"/>
    <w:rsid w:val="00B83605"/>
    <w:rsid w:val="00B8365A"/>
    <w:rsid w:val="00B83677"/>
    <w:rsid w:val="00B83753"/>
    <w:rsid w:val="00B83952"/>
    <w:rsid w:val="00B83C14"/>
    <w:rsid w:val="00B83C60"/>
    <w:rsid w:val="00B83C76"/>
    <w:rsid w:val="00B83C7F"/>
    <w:rsid w:val="00B83C85"/>
    <w:rsid w:val="00B83D2E"/>
    <w:rsid w:val="00B83DC5"/>
    <w:rsid w:val="00B83E22"/>
    <w:rsid w:val="00B83E61"/>
    <w:rsid w:val="00B83EAB"/>
    <w:rsid w:val="00B8401D"/>
    <w:rsid w:val="00B840D9"/>
    <w:rsid w:val="00B840F5"/>
    <w:rsid w:val="00B84236"/>
    <w:rsid w:val="00B8428B"/>
    <w:rsid w:val="00B843DA"/>
    <w:rsid w:val="00B8446C"/>
    <w:rsid w:val="00B844C8"/>
    <w:rsid w:val="00B84ACA"/>
    <w:rsid w:val="00B84AD8"/>
    <w:rsid w:val="00B84B2A"/>
    <w:rsid w:val="00B84B45"/>
    <w:rsid w:val="00B84C55"/>
    <w:rsid w:val="00B84C5A"/>
    <w:rsid w:val="00B84CAE"/>
    <w:rsid w:val="00B851B4"/>
    <w:rsid w:val="00B85349"/>
    <w:rsid w:val="00B855CE"/>
    <w:rsid w:val="00B85607"/>
    <w:rsid w:val="00B856E0"/>
    <w:rsid w:val="00B85754"/>
    <w:rsid w:val="00B85875"/>
    <w:rsid w:val="00B85890"/>
    <w:rsid w:val="00B858B9"/>
    <w:rsid w:val="00B858CC"/>
    <w:rsid w:val="00B85A87"/>
    <w:rsid w:val="00B85C65"/>
    <w:rsid w:val="00B85C75"/>
    <w:rsid w:val="00B85E90"/>
    <w:rsid w:val="00B85EDA"/>
    <w:rsid w:val="00B85FE9"/>
    <w:rsid w:val="00B86024"/>
    <w:rsid w:val="00B86029"/>
    <w:rsid w:val="00B86196"/>
    <w:rsid w:val="00B8629A"/>
    <w:rsid w:val="00B86300"/>
    <w:rsid w:val="00B864A2"/>
    <w:rsid w:val="00B86569"/>
    <w:rsid w:val="00B86627"/>
    <w:rsid w:val="00B866A5"/>
    <w:rsid w:val="00B8675F"/>
    <w:rsid w:val="00B867EC"/>
    <w:rsid w:val="00B86832"/>
    <w:rsid w:val="00B86A83"/>
    <w:rsid w:val="00B86B44"/>
    <w:rsid w:val="00B86C6C"/>
    <w:rsid w:val="00B86CDF"/>
    <w:rsid w:val="00B86E23"/>
    <w:rsid w:val="00B87038"/>
    <w:rsid w:val="00B870F8"/>
    <w:rsid w:val="00B8714E"/>
    <w:rsid w:val="00B8723E"/>
    <w:rsid w:val="00B87568"/>
    <w:rsid w:val="00B87664"/>
    <w:rsid w:val="00B876E3"/>
    <w:rsid w:val="00B87743"/>
    <w:rsid w:val="00B8785B"/>
    <w:rsid w:val="00B87888"/>
    <w:rsid w:val="00B879C3"/>
    <w:rsid w:val="00B87C59"/>
    <w:rsid w:val="00B87C6B"/>
    <w:rsid w:val="00B87D4C"/>
    <w:rsid w:val="00B87F86"/>
    <w:rsid w:val="00B87F8B"/>
    <w:rsid w:val="00B901AB"/>
    <w:rsid w:val="00B90356"/>
    <w:rsid w:val="00B903AC"/>
    <w:rsid w:val="00B904CA"/>
    <w:rsid w:val="00B9055A"/>
    <w:rsid w:val="00B9060C"/>
    <w:rsid w:val="00B9061C"/>
    <w:rsid w:val="00B90868"/>
    <w:rsid w:val="00B90939"/>
    <w:rsid w:val="00B90975"/>
    <w:rsid w:val="00B90B70"/>
    <w:rsid w:val="00B90BC7"/>
    <w:rsid w:val="00B90CC7"/>
    <w:rsid w:val="00B90D46"/>
    <w:rsid w:val="00B90ED9"/>
    <w:rsid w:val="00B90FB2"/>
    <w:rsid w:val="00B91072"/>
    <w:rsid w:val="00B9109C"/>
    <w:rsid w:val="00B910BC"/>
    <w:rsid w:val="00B91245"/>
    <w:rsid w:val="00B913A0"/>
    <w:rsid w:val="00B913E1"/>
    <w:rsid w:val="00B91454"/>
    <w:rsid w:val="00B914D9"/>
    <w:rsid w:val="00B91518"/>
    <w:rsid w:val="00B917D4"/>
    <w:rsid w:val="00B91B54"/>
    <w:rsid w:val="00B91BAF"/>
    <w:rsid w:val="00B91BFA"/>
    <w:rsid w:val="00B91E0C"/>
    <w:rsid w:val="00B91E80"/>
    <w:rsid w:val="00B91F77"/>
    <w:rsid w:val="00B91FFE"/>
    <w:rsid w:val="00B9215B"/>
    <w:rsid w:val="00B9221A"/>
    <w:rsid w:val="00B92293"/>
    <w:rsid w:val="00B92491"/>
    <w:rsid w:val="00B9255D"/>
    <w:rsid w:val="00B9258B"/>
    <w:rsid w:val="00B925C7"/>
    <w:rsid w:val="00B925DA"/>
    <w:rsid w:val="00B926D7"/>
    <w:rsid w:val="00B926EE"/>
    <w:rsid w:val="00B9270C"/>
    <w:rsid w:val="00B92779"/>
    <w:rsid w:val="00B927C2"/>
    <w:rsid w:val="00B928AE"/>
    <w:rsid w:val="00B92A34"/>
    <w:rsid w:val="00B92B79"/>
    <w:rsid w:val="00B92BEE"/>
    <w:rsid w:val="00B92C13"/>
    <w:rsid w:val="00B92D51"/>
    <w:rsid w:val="00B92E5C"/>
    <w:rsid w:val="00B92ECA"/>
    <w:rsid w:val="00B92F09"/>
    <w:rsid w:val="00B92F9F"/>
    <w:rsid w:val="00B9313C"/>
    <w:rsid w:val="00B931D5"/>
    <w:rsid w:val="00B9322E"/>
    <w:rsid w:val="00B93280"/>
    <w:rsid w:val="00B93357"/>
    <w:rsid w:val="00B9341E"/>
    <w:rsid w:val="00B934E2"/>
    <w:rsid w:val="00B936DD"/>
    <w:rsid w:val="00B9371C"/>
    <w:rsid w:val="00B93783"/>
    <w:rsid w:val="00B93896"/>
    <w:rsid w:val="00B93BA3"/>
    <w:rsid w:val="00B93C89"/>
    <w:rsid w:val="00B93CDF"/>
    <w:rsid w:val="00B93D54"/>
    <w:rsid w:val="00B93DEA"/>
    <w:rsid w:val="00B93E04"/>
    <w:rsid w:val="00B93E94"/>
    <w:rsid w:val="00B93EB2"/>
    <w:rsid w:val="00B93ED5"/>
    <w:rsid w:val="00B93FA2"/>
    <w:rsid w:val="00B93FE8"/>
    <w:rsid w:val="00B9400C"/>
    <w:rsid w:val="00B940C0"/>
    <w:rsid w:val="00B94259"/>
    <w:rsid w:val="00B9434B"/>
    <w:rsid w:val="00B94585"/>
    <w:rsid w:val="00B945F4"/>
    <w:rsid w:val="00B94606"/>
    <w:rsid w:val="00B94687"/>
    <w:rsid w:val="00B94717"/>
    <w:rsid w:val="00B94721"/>
    <w:rsid w:val="00B94975"/>
    <w:rsid w:val="00B949A7"/>
    <w:rsid w:val="00B94B6D"/>
    <w:rsid w:val="00B94C28"/>
    <w:rsid w:val="00B94C3B"/>
    <w:rsid w:val="00B94D4B"/>
    <w:rsid w:val="00B94D6D"/>
    <w:rsid w:val="00B94F12"/>
    <w:rsid w:val="00B94F25"/>
    <w:rsid w:val="00B94F86"/>
    <w:rsid w:val="00B94FB4"/>
    <w:rsid w:val="00B9502A"/>
    <w:rsid w:val="00B95051"/>
    <w:rsid w:val="00B951A2"/>
    <w:rsid w:val="00B951BA"/>
    <w:rsid w:val="00B9524E"/>
    <w:rsid w:val="00B95399"/>
    <w:rsid w:val="00B95512"/>
    <w:rsid w:val="00B955BD"/>
    <w:rsid w:val="00B958C6"/>
    <w:rsid w:val="00B95A15"/>
    <w:rsid w:val="00B95A97"/>
    <w:rsid w:val="00B95B40"/>
    <w:rsid w:val="00B95C0D"/>
    <w:rsid w:val="00B95D1B"/>
    <w:rsid w:val="00B95ED5"/>
    <w:rsid w:val="00B95FEB"/>
    <w:rsid w:val="00B9602F"/>
    <w:rsid w:val="00B9607F"/>
    <w:rsid w:val="00B960F4"/>
    <w:rsid w:val="00B961B0"/>
    <w:rsid w:val="00B961E8"/>
    <w:rsid w:val="00B96211"/>
    <w:rsid w:val="00B96219"/>
    <w:rsid w:val="00B962A3"/>
    <w:rsid w:val="00B9644E"/>
    <w:rsid w:val="00B964CB"/>
    <w:rsid w:val="00B964F5"/>
    <w:rsid w:val="00B96514"/>
    <w:rsid w:val="00B9675E"/>
    <w:rsid w:val="00B96923"/>
    <w:rsid w:val="00B96935"/>
    <w:rsid w:val="00B969EB"/>
    <w:rsid w:val="00B96A42"/>
    <w:rsid w:val="00B96A6E"/>
    <w:rsid w:val="00B96A82"/>
    <w:rsid w:val="00B96B37"/>
    <w:rsid w:val="00B96BAD"/>
    <w:rsid w:val="00B96BD8"/>
    <w:rsid w:val="00B96CC8"/>
    <w:rsid w:val="00B96D1C"/>
    <w:rsid w:val="00B96F25"/>
    <w:rsid w:val="00B970BE"/>
    <w:rsid w:val="00B970E3"/>
    <w:rsid w:val="00B9756B"/>
    <w:rsid w:val="00B97578"/>
    <w:rsid w:val="00B97750"/>
    <w:rsid w:val="00B9776B"/>
    <w:rsid w:val="00B977BE"/>
    <w:rsid w:val="00B977E4"/>
    <w:rsid w:val="00B97814"/>
    <w:rsid w:val="00B97837"/>
    <w:rsid w:val="00B97937"/>
    <w:rsid w:val="00B97963"/>
    <w:rsid w:val="00B979DA"/>
    <w:rsid w:val="00B97B24"/>
    <w:rsid w:val="00B97B7D"/>
    <w:rsid w:val="00B97E7A"/>
    <w:rsid w:val="00B97EF6"/>
    <w:rsid w:val="00BA01CB"/>
    <w:rsid w:val="00BA02C2"/>
    <w:rsid w:val="00BA03B5"/>
    <w:rsid w:val="00BA03C2"/>
    <w:rsid w:val="00BA04D1"/>
    <w:rsid w:val="00BA04F9"/>
    <w:rsid w:val="00BA0585"/>
    <w:rsid w:val="00BA05C4"/>
    <w:rsid w:val="00BA0698"/>
    <w:rsid w:val="00BA072A"/>
    <w:rsid w:val="00BA0772"/>
    <w:rsid w:val="00BA09D6"/>
    <w:rsid w:val="00BA0A3E"/>
    <w:rsid w:val="00BA0A4C"/>
    <w:rsid w:val="00BA0B3B"/>
    <w:rsid w:val="00BA0BD5"/>
    <w:rsid w:val="00BA0C2C"/>
    <w:rsid w:val="00BA0D62"/>
    <w:rsid w:val="00BA0DDA"/>
    <w:rsid w:val="00BA0E83"/>
    <w:rsid w:val="00BA0EF0"/>
    <w:rsid w:val="00BA0F44"/>
    <w:rsid w:val="00BA133B"/>
    <w:rsid w:val="00BA1494"/>
    <w:rsid w:val="00BA14A3"/>
    <w:rsid w:val="00BA14DF"/>
    <w:rsid w:val="00BA15E4"/>
    <w:rsid w:val="00BA1758"/>
    <w:rsid w:val="00BA1805"/>
    <w:rsid w:val="00BA1836"/>
    <w:rsid w:val="00BA1A0A"/>
    <w:rsid w:val="00BA1C4A"/>
    <w:rsid w:val="00BA1E1E"/>
    <w:rsid w:val="00BA1FFC"/>
    <w:rsid w:val="00BA20FF"/>
    <w:rsid w:val="00BA2218"/>
    <w:rsid w:val="00BA22F5"/>
    <w:rsid w:val="00BA23A0"/>
    <w:rsid w:val="00BA23D6"/>
    <w:rsid w:val="00BA2526"/>
    <w:rsid w:val="00BA257A"/>
    <w:rsid w:val="00BA25E2"/>
    <w:rsid w:val="00BA2656"/>
    <w:rsid w:val="00BA26F3"/>
    <w:rsid w:val="00BA2710"/>
    <w:rsid w:val="00BA296D"/>
    <w:rsid w:val="00BA29D0"/>
    <w:rsid w:val="00BA2B3D"/>
    <w:rsid w:val="00BA2BE8"/>
    <w:rsid w:val="00BA2D34"/>
    <w:rsid w:val="00BA2D54"/>
    <w:rsid w:val="00BA2D9E"/>
    <w:rsid w:val="00BA2DC3"/>
    <w:rsid w:val="00BA2DE2"/>
    <w:rsid w:val="00BA2F03"/>
    <w:rsid w:val="00BA2F46"/>
    <w:rsid w:val="00BA2FAB"/>
    <w:rsid w:val="00BA2FC4"/>
    <w:rsid w:val="00BA302C"/>
    <w:rsid w:val="00BA3085"/>
    <w:rsid w:val="00BA336A"/>
    <w:rsid w:val="00BA33D7"/>
    <w:rsid w:val="00BA3479"/>
    <w:rsid w:val="00BA34F1"/>
    <w:rsid w:val="00BA3511"/>
    <w:rsid w:val="00BA3692"/>
    <w:rsid w:val="00BA3859"/>
    <w:rsid w:val="00BA38BA"/>
    <w:rsid w:val="00BA392F"/>
    <w:rsid w:val="00BA39C4"/>
    <w:rsid w:val="00BA3A45"/>
    <w:rsid w:val="00BA3A5D"/>
    <w:rsid w:val="00BA3A5F"/>
    <w:rsid w:val="00BA3A68"/>
    <w:rsid w:val="00BA3BBE"/>
    <w:rsid w:val="00BA3CD8"/>
    <w:rsid w:val="00BA3D6B"/>
    <w:rsid w:val="00BA3E02"/>
    <w:rsid w:val="00BA3FAB"/>
    <w:rsid w:val="00BA4135"/>
    <w:rsid w:val="00BA4184"/>
    <w:rsid w:val="00BA42EA"/>
    <w:rsid w:val="00BA4357"/>
    <w:rsid w:val="00BA437C"/>
    <w:rsid w:val="00BA43CA"/>
    <w:rsid w:val="00BA446B"/>
    <w:rsid w:val="00BA4920"/>
    <w:rsid w:val="00BA4924"/>
    <w:rsid w:val="00BA49BD"/>
    <w:rsid w:val="00BA4A20"/>
    <w:rsid w:val="00BA4A3A"/>
    <w:rsid w:val="00BA4B2D"/>
    <w:rsid w:val="00BA4B38"/>
    <w:rsid w:val="00BA4C3B"/>
    <w:rsid w:val="00BA4C91"/>
    <w:rsid w:val="00BA4CD5"/>
    <w:rsid w:val="00BA4EB0"/>
    <w:rsid w:val="00BA4F44"/>
    <w:rsid w:val="00BA4F8F"/>
    <w:rsid w:val="00BA5101"/>
    <w:rsid w:val="00BA5400"/>
    <w:rsid w:val="00BA55E7"/>
    <w:rsid w:val="00BA5669"/>
    <w:rsid w:val="00BA578C"/>
    <w:rsid w:val="00BA5899"/>
    <w:rsid w:val="00BA597A"/>
    <w:rsid w:val="00BA5A47"/>
    <w:rsid w:val="00BA5AA5"/>
    <w:rsid w:val="00BA5B02"/>
    <w:rsid w:val="00BA5C0A"/>
    <w:rsid w:val="00BA5C55"/>
    <w:rsid w:val="00BA5D13"/>
    <w:rsid w:val="00BA5D86"/>
    <w:rsid w:val="00BA5D9B"/>
    <w:rsid w:val="00BA5F75"/>
    <w:rsid w:val="00BA6210"/>
    <w:rsid w:val="00BA6230"/>
    <w:rsid w:val="00BA63F5"/>
    <w:rsid w:val="00BA646C"/>
    <w:rsid w:val="00BA64CC"/>
    <w:rsid w:val="00BA64FD"/>
    <w:rsid w:val="00BA6549"/>
    <w:rsid w:val="00BA66C4"/>
    <w:rsid w:val="00BA66E0"/>
    <w:rsid w:val="00BA6700"/>
    <w:rsid w:val="00BA680D"/>
    <w:rsid w:val="00BA6849"/>
    <w:rsid w:val="00BA685B"/>
    <w:rsid w:val="00BA6946"/>
    <w:rsid w:val="00BA6AA8"/>
    <w:rsid w:val="00BA6AFF"/>
    <w:rsid w:val="00BA6BFD"/>
    <w:rsid w:val="00BA6C87"/>
    <w:rsid w:val="00BA6CB0"/>
    <w:rsid w:val="00BA6CB6"/>
    <w:rsid w:val="00BA6CC0"/>
    <w:rsid w:val="00BA6DA9"/>
    <w:rsid w:val="00BA6DAB"/>
    <w:rsid w:val="00BA6F4D"/>
    <w:rsid w:val="00BA6FE2"/>
    <w:rsid w:val="00BA7010"/>
    <w:rsid w:val="00BA7044"/>
    <w:rsid w:val="00BA7084"/>
    <w:rsid w:val="00BA70A1"/>
    <w:rsid w:val="00BA7113"/>
    <w:rsid w:val="00BA7165"/>
    <w:rsid w:val="00BA7200"/>
    <w:rsid w:val="00BA74B2"/>
    <w:rsid w:val="00BA74E4"/>
    <w:rsid w:val="00BA7540"/>
    <w:rsid w:val="00BA76B7"/>
    <w:rsid w:val="00BA79CC"/>
    <w:rsid w:val="00BA7A47"/>
    <w:rsid w:val="00BA7ADA"/>
    <w:rsid w:val="00BA7B21"/>
    <w:rsid w:val="00BA7B86"/>
    <w:rsid w:val="00BA7CED"/>
    <w:rsid w:val="00BA7E61"/>
    <w:rsid w:val="00BB02BC"/>
    <w:rsid w:val="00BB032C"/>
    <w:rsid w:val="00BB047A"/>
    <w:rsid w:val="00BB0812"/>
    <w:rsid w:val="00BB0952"/>
    <w:rsid w:val="00BB0ABB"/>
    <w:rsid w:val="00BB0AC5"/>
    <w:rsid w:val="00BB0AF1"/>
    <w:rsid w:val="00BB0B8C"/>
    <w:rsid w:val="00BB0C3C"/>
    <w:rsid w:val="00BB0D4B"/>
    <w:rsid w:val="00BB0F1A"/>
    <w:rsid w:val="00BB0FDE"/>
    <w:rsid w:val="00BB0FF5"/>
    <w:rsid w:val="00BB1079"/>
    <w:rsid w:val="00BB10A8"/>
    <w:rsid w:val="00BB10AE"/>
    <w:rsid w:val="00BB1180"/>
    <w:rsid w:val="00BB1232"/>
    <w:rsid w:val="00BB133D"/>
    <w:rsid w:val="00BB13C2"/>
    <w:rsid w:val="00BB148C"/>
    <w:rsid w:val="00BB14D2"/>
    <w:rsid w:val="00BB1547"/>
    <w:rsid w:val="00BB1650"/>
    <w:rsid w:val="00BB182F"/>
    <w:rsid w:val="00BB1937"/>
    <w:rsid w:val="00BB193B"/>
    <w:rsid w:val="00BB1B1D"/>
    <w:rsid w:val="00BB1B41"/>
    <w:rsid w:val="00BB1BA3"/>
    <w:rsid w:val="00BB1BBA"/>
    <w:rsid w:val="00BB1BF2"/>
    <w:rsid w:val="00BB1C80"/>
    <w:rsid w:val="00BB2395"/>
    <w:rsid w:val="00BB2680"/>
    <w:rsid w:val="00BB271F"/>
    <w:rsid w:val="00BB27FB"/>
    <w:rsid w:val="00BB2857"/>
    <w:rsid w:val="00BB2BCA"/>
    <w:rsid w:val="00BB2CA0"/>
    <w:rsid w:val="00BB2F39"/>
    <w:rsid w:val="00BB2F6B"/>
    <w:rsid w:val="00BB2FE2"/>
    <w:rsid w:val="00BB3083"/>
    <w:rsid w:val="00BB30C8"/>
    <w:rsid w:val="00BB3190"/>
    <w:rsid w:val="00BB32F9"/>
    <w:rsid w:val="00BB36CA"/>
    <w:rsid w:val="00BB3756"/>
    <w:rsid w:val="00BB37B2"/>
    <w:rsid w:val="00BB37BB"/>
    <w:rsid w:val="00BB3E08"/>
    <w:rsid w:val="00BB4093"/>
    <w:rsid w:val="00BB4142"/>
    <w:rsid w:val="00BB4213"/>
    <w:rsid w:val="00BB42B5"/>
    <w:rsid w:val="00BB42C4"/>
    <w:rsid w:val="00BB42FC"/>
    <w:rsid w:val="00BB4308"/>
    <w:rsid w:val="00BB430D"/>
    <w:rsid w:val="00BB4410"/>
    <w:rsid w:val="00BB4442"/>
    <w:rsid w:val="00BB445B"/>
    <w:rsid w:val="00BB464A"/>
    <w:rsid w:val="00BB46FA"/>
    <w:rsid w:val="00BB4892"/>
    <w:rsid w:val="00BB490F"/>
    <w:rsid w:val="00BB492A"/>
    <w:rsid w:val="00BB49F5"/>
    <w:rsid w:val="00BB4E1E"/>
    <w:rsid w:val="00BB4EAE"/>
    <w:rsid w:val="00BB4F4A"/>
    <w:rsid w:val="00BB4F90"/>
    <w:rsid w:val="00BB4FEC"/>
    <w:rsid w:val="00BB5158"/>
    <w:rsid w:val="00BB5240"/>
    <w:rsid w:val="00BB52D7"/>
    <w:rsid w:val="00BB5378"/>
    <w:rsid w:val="00BB546B"/>
    <w:rsid w:val="00BB57F0"/>
    <w:rsid w:val="00BB58BC"/>
    <w:rsid w:val="00BB597A"/>
    <w:rsid w:val="00BB5981"/>
    <w:rsid w:val="00BB59F3"/>
    <w:rsid w:val="00BB5A07"/>
    <w:rsid w:val="00BB5B2E"/>
    <w:rsid w:val="00BB5B56"/>
    <w:rsid w:val="00BB5C0A"/>
    <w:rsid w:val="00BB5C6A"/>
    <w:rsid w:val="00BB5D53"/>
    <w:rsid w:val="00BB5DEA"/>
    <w:rsid w:val="00BB5E63"/>
    <w:rsid w:val="00BB604F"/>
    <w:rsid w:val="00BB61CC"/>
    <w:rsid w:val="00BB61FD"/>
    <w:rsid w:val="00BB6398"/>
    <w:rsid w:val="00BB639C"/>
    <w:rsid w:val="00BB63B5"/>
    <w:rsid w:val="00BB63DC"/>
    <w:rsid w:val="00BB63E4"/>
    <w:rsid w:val="00BB65ED"/>
    <w:rsid w:val="00BB67B5"/>
    <w:rsid w:val="00BB67D1"/>
    <w:rsid w:val="00BB67F1"/>
    <w:rsid w:val="00BB68B1"/>
    <w:rsid w:val="00BB68F1"/>
    <w:rsid w:val="00BB694D"/>
    <w:rsid w:val="00BB69BB"/>
    <w:rsid w:val="00BB69C6"/>
    <w:rsid w:val="00BB6A03"/>
    <w:rsid w:val="00BB6AB5"/>
    <w:rsid w:val="00BB6B14"/>
    <w:rsid w:val="00BB6B8E"/>
    <w:rsid w:val="00BB6BCA"/>
    <w:rsid w:val="00BB6BE2"/>
    <w:rsid w:val="00BB6C2F"/>
    <w:rsid w:val="00BB6D0D"/>
    <w:rsid w:val="00BB6E6E"/>
    <w:rsid w:val="00BB6F12"/>
    <w:rsid w:val="00BB712F"/>
    <w:rsid w:val="00BB725B"/>
    <w:rsid w:val="00BB7275"/>
    <w:rsid w:val="00BB7580"/>
    <w:rsid w:val="00BB75E9"/>
    <w:rsid w:val="00BB7624"/>
    <w:rsid w:val="00BB7669"/>
    <w:rsid w:val="00BB774F"/>
    <w:rsid w:val="00BB7841"/>
    <w:rsid w:val="00BB7888"/>
    <w:rsid w:val="00BB78DD"/>
    <w:rsid w:val="00BB78E0"/>
    <w:rsid w:val="00BB7910"/>
    <w:rsid w:val="00BB796E"/>
    <w:rsid w:val="00BB79BE"/>
    <w:rsid w:val="00BB7A60"/>
    <w:rsid w:val="00BB7B2A"/>
    <w:rsid w:val="00BB7BC4"/>
    <w:rsid w:val="00BB7C22"/>
    <w:rsid w:val="00BB7DDF"/>
    <w:rsid w:val="00BB7E4F"/>
    <w:rsid w:val="00BB7F5D"/>
    <w:rsid w:val="00BC011E"/>
    <w:rsid w:val="00BC026D"/>
    <w:rsid w:val="00BC055F"/>
    <w:rsid w:val="00BC064E"/>
    <w:rsid w:val="00BC06E9"/>
    <w:rsid w:val="00BC083E"/>
    <w:rsid w:val="00BC08CD"/>
    <w:rsid w:val="00BC08E1"/>
    <w:rsid w:val="00BC0AE7"/>
    <w:rsid w:val="00BC0AF3"/>
    <w:rsid w:val="00BC0C47"/>
    <w:rsid w:val="00BC0D76"/>
    <w:rsid w:val="00BC0E39"/>
    <w:rsid w:val="00BC0E5B"/>
    <w:rsid w:val="00BC0F11"/>
    <w:rsid w:val="00BC10B2"/>
    <w:rsid w:val="00BC1157"/>
    <w:rsid w:val="00BC123E"/>
    <w:rsid w:val="00BC13A4"/>
    <w:rsid w:val="00BC13D3"/>
    <w:rsid w:val="00BC1443"/>
    <w:rsid w:val="00BC15E3"/>
    <w:rsid w:val="00BC18CF"/>
    <w:rsid w:val="00BC19ED"/>
    <w:rsid w:val="00BC1A58"/>
    <w:rsid w:val="00BC1AB2"/>
    <w:rsid w:val="00BC1B26"/>
    <w:rsid w:val="00BC1ED5"/>
    <w:rsid w:val="00BC21BC"/>
    <w:rsid w:val="00BC21BF"/>
    <w:rsid w:val="00BC21E4"/>
    <w:rsid w:val="00BC220B"/>
    <w:rsid w:val="00BC2373"/>
    <w:rsid w:val="00BC23E7"/>
    <w:rsid w:val="00BC23FB"/>
    <w:rsid w:val="00BC2472"/>
    <w:rsid w:val="00BC25A7"/>
    <w:rsid w:val="00BC27F4"/>
    <w:rsid w:val="00BC2938"/>
    <w:rsid w:val="00BC2A76"/>
    <w:rsid w:val="00BC2AE4"/>
    <w:rsid w:val="00BC2AE5"/>
    <w:rsid w:val="00BC2B28"/>
    <w:rsid w:val="00BC2BEB"/>
    <w:rsid w:val="00BC2D49"/>
    <w:rsid w:val="00BC2DE9"/>
    <w:rsid w:val="00BC2E15"/>
    <w:rsid w:val="00BC2E7C"/>
    <w:rsid w:val="00BC36EF"/>
    <w:rsid w:val="00BC36F4"/>
    <w:rsid w:val="00BC3718"/>
    <w:rsid w:val="00BC37C7"/>
    <w:rsid w:val="00BC38DE"/>
    <w:rsid w:val="00BC399D"/>
    <w:rsid w:val="00BC3AF8"/>
    <w:rsid w:val="00BC3BCA"/>
    <w:rsid w:val="00BC3C2E"/>
    <w:rsid w:val="00BC3DEC"/>
    <w:rsid w:val="00BC3EB8"/>
    <w:rsid w:val="00BC3EF1"/>
    <w:rsid w:val="00BC409D"/>
    <w:rsid w:val="00BC40B5"/>
    <w:rsid w:val="00BC4199"/>
    <w:rsid w:val="00BC419E"/>
    <w:rsid w:val="00BC41E8"/>
    <w:rsid w:val="00BC4413"/>
    <w:rsid w:val="00BC4449"/>
    <w:rsid w:val="00BC45C1"/>
    <w:rsid w:val="00BC46AD"/>
    <w:rsid w:val="00BC481B"/>
    <w:rsid w:val="00BC4A54"/>
    <w:rsid w:val="00BC4A7E"/>
    <w:rsid w:val="00BC4A94"/>
    <w:rsid w:val="00BC4BCB"/>
    <w:rsid w:val="00BC4C1C"/>
    <w:rsid w:val="00BC4C8B"/>
    <w:rsid w:val="00BC4C9A"/>
    <w:rsid w:val="00BC4E87"/>
    <w:rsid w:val="00BC50E2"/>
    <w:rsid w:val="00BC51C2"/>
    <w:rsid w:val="00BC51CD"/>
    <w:rsid w:val="00BC535B"/>
    <w:rsid w:val="00BC5392"/>
    <w:rsid w:val="00BC5402"/>
    <w:rsid w:val="00BC5533"/>
    <w:rsid w:val="00BC55AF"/>
    <w:rsid w:val="00BC55C9"/>
    <w:rsid w:val="00BC5649"/>
    <w:rsid w:val="00BC5660"/>
    <w:rsid w:val="00BC5664"/>
    <w:rsid w:val="00BC56C3"/>
    <w:rsid w:val="00BC56EE"/>
    <w:rsid w:val="00BC5720"/>
    <w:rsid w:val="00BC572B"/>
    <w:rsid w:val="00BC5747"/>
    <w:rsid w:val="00BC5835"/>
    <w:rsid w:val="00BC585F"/>
    <w:rsid w:val="00BC58C9"/>
    <w:rsid w:val="00BC58D0"/>
    <w:rsid w:val="00BC5926"/>
    <w:rsid w:val="00BC592F"/>
    <w:rsid w:val="00BC59AB"/>
    <w:rsid w:val="00BC59F8"/>
    <w:rsid w:val="00BC5AE2"/>
    <w:rsid w:val="00BC5C8E"/>
    <w:rsid w:val="00BC5C9A"/>
    <w:rsid w:val="00BC5CBE"/>
    <w:rsid w:val="00BC5CCD"/>
    <w:rsid w:val="00BC5CDD"/>
    <w:rsid w:val="00BC5D4A"/>
    <w:rsid w:val="00BC5F68"/>
    <w:rsid w:val="00BC613F"/>
    <w:rsid w:val="00BC619B"/>
    <w:rsid w:val="00BC619E"/>
    <w:rsid w:val="00BC61AF"/>
    <w:rsid w:val="00BC62B4"/>
    <w:rsid w:val="00BC62EE"/>
    <w:rsid w:val="00BC63F4"/>
    <w:rsid w:val="00BC6631"/>
    <w:rsid w:val="00BC6776"/>
    <w:rsid w:val="00BC681C"/>
    <w:rsid w:val="00BC68B6"/>
    <w:rsid w:val="00BC6A6F"/>
    <w:rsid w:val="00BC6ACD"/>
    <w:rsid w:val="00BC6B8F"/>
    <w:rsid w:val="00BC6BD9"/>
    <w:rsid w:val="00BC6C6F"/>
    <w:rsid w:val="00BC6C79"/>
    <w:rsid w:val="00BC6D32"/>
    <w:rsid w:val="00BC6E0A"/>
    <w:rsid w:val="00BC6E2C"/>
    <w:rsid w:val="00BC7112"/>
    <w:rsid w:val="00BC7502"/>
    <w:rsid w:val="00BC760D"/>
    <w:rsid w:val="00BC776C"/>
    <w:rsid w:val="00BC7808"/>
    <w:rsid w:val="00BC78DB"/>
    <w:rsid w:val="00BC792A"/>
    <w:rsid w:val="00BC7944"/>
    <w:rsid w:val="00BC796A"/>
    <w:rsid w:val="00BC79A6"/>
    <w:rsid w:val="00BC7D6D"/>
    <w:rsid w:val="00BC7DA5"/>
    <w:rsid w:val="00BC7E4E"/>
    <w:rsid w:val="00BC7FA8"/>
    <w:rsid w:val="00BD005F"/>
    <w:rsid w:val="00BD038F"/>
    <w:rsid w:val="00BD0596"/>
    <w:rsid w:val="00BD0751"/>
    <w:rsid w:val="00BD08AB"/>
    <w:rsid w:val="00BD08F7"/>
    <w:rsid w:val="00BD0945"/>
    <w:rsid w:val="00BD09FE"/>
    <w:rsid w:val="00BD0C9E"/>
    <w:rsid w:val="00BD0D2D"/>
    <w:rsid w:val="00BD0DDB"/>
    <w:rsid w:val="00BD0DF0"/>
    <w:rsid w:val="00BD0E5B"/>
    <w:rsid w:val="00BD0EE6"/>
    <w:rsid w:val="00BD0F03"/>
    <w:rsid w:val="00BD0FAB"/>
    <w:rsid w:val="00BD0FDC"/>
    <w:rsid w:val="00BD10C6"/>
    <w:rsid w:val="00BD10F4"/>
    <w:rsid w:val="00BD116B"/>
    <w:rsid w:val="00BD126D"/>
    <w:rsid w:val="00BD12FE"/>
    <w:rsid w:val="00BD1500"/>
    <w:rsid w:val="00BD1651"/>
    <w:rsid w:val="00BD179B"/>
    <w:rsid w:val="00BD17B0"/>
    <w:rsid w:val="00BD1821"/>
    <w:rsid w:val="00BD1852"/>
    <w:rsid w:val="00BD1888"/>
    <w:rsid w:val="00BD188A"/>
    <w:rsid w:val="00BD195B"/>
    <w:rsid w:val="00BD1ACC"/>
    <w:rsid w:val="00BD1DC8"/>
    <w:rsid w:val="00BD1E1E"/>
    <w:rsid w:val="00BD20A3"/>
    <w:rsid w:val="00BD229A"/>
    <w:rsid w:val="00BD2401"/>
    <w:rsid w:val="00BD248B"/>
    <w:rsid w:val="00BD253D"/>
    <w:rsid w:val="00BD254B"/>
    <w:rsid w:val="00BD2555"/>
    <w:rsid w:val="00BD29FB"/>
    <w:rsid w:val="00BD2A3A"/>
    <w:rsid w:val="00BD2AE4"/>
    <w:rsid w:val="00BD2B4C"/>
    <w:rsid w:val="00BD2BF7"/>
    <w:rsid w:val="00BD2C28"/>
    <w:rsid w:val="00BD2C69"/>
    <w:rsid w:val="00BD2C8E"/>
    <w:rsid w:val="00BD2CEF"/>
    <w:rsid w:val="00BD2E06"/>
    <w:rsid w:val="00BD2E68"/>
    <w:rsid w:val="00BD2FB6"/>
    <w:rsid w:val="00BD306A"/>
    <w:rsid w:val="00BD316B"/>
    <w:rsid w:val="00BD316D"/>
    <w:rsid w:val="00BD320F"/>
    <w:rsid w:val="00BD35C9"/>
    <w:rsid w:val="00BD3666"/>
    <w:rsid w:val="00BD36AC"/>
    <w:rsid w:val="00BD37B7"/>
    <w:rsid w:val="00BD3943"/>
    <w:rsid w:val="00BD3972"/>
    <w:rsid w:val="00BD3976"/>
    <w:rsid w:val="00BD3A7C"/>
    <w:rsid w:val="00BD3B89"/>
    <w:rsid w:val="00BD3BA8"/>
    <w:rsid w:val="00BD3DA3"/>
    <w:rsid w:val="00BD3F09"/>
    <w:rsid w:val="00BD3FA0"/>
    <w:rsid w:val="00BD40BC"/>
    <w:rsid w:val="00BD42C4"/>
    <w:rsid w:val="00BD42F7"/>
    <w:rsid w:val="00BD4322"/>
    <w:rsid w:val="00BD446F"/>
    <w:rsid w:val="00BD4476"/>
    <w:rsid w:val="00BD44E9"/>
    <w:rsid w:val="00BD45BA"/>
    <w:rsid w:val="00BD46C9"/>
    <w:rsid w:val="00BD4727"/>
    <w:rsid w:val="00BD4735"/>
    <w:rsid w:val="00BD4987"/>
    <w:rsid w:val="00BD4999"/>
    <w:rsid w:val="00BD49E9"/>
    <w:rsid w:val="00BD4A6A"/>
    <w:rsid w:val="00BD4B60"/>
    <w:rsid w:val="00BD4B69"/>
    <w:rsid w:val="00BD4C7F"/>
    <w:rsid w:val="00BD4D78"/>
    <w:rsid w:val="00BD4DE8"/>
    <w:rsid w:val="00BD4E19"/>
    <w:rsid w:val="00BD4E21"/>
    <w:rsid w:val="00BD4EBB"/>
    <w:rsid w:val="00BD50E2"/>
    <w:rsid w:val="00BD5183"/>
    <w:rsid w:val="00BD5352"/>
    <w:rsid w:val="00BD5354"/>
    <w:rsid w:val="00BD5379"/>
    <w:rsid w:val="00BD5388"/>
    <w:rsid w:val="00BD545F"/>
    <w:rsid w:val="00BD54EA"/>
    <w:rsid w:val="00BD551B"/>
    <w:rsid w:val="00BD554C"/>
    <w:rsid w:val="00BD55AB"/>
    <w:rsid w:val="00BD56BB"/>
    <w:rsid w:val="00BD580D"/>
    <w:rsid w:val="00BD59A9"/>
    <w:rsid w:val="00BD59C7"/>
    <w:rsid w:val="00BD5A22"/>
    <w:rsid w:val="00BD5A93"/>
    <w:rsid w:val="00BD5B9E"/>
    <w:rsid w:val="00BD5BEA"/>
    <w:rsid w:val="00BD5C5B"/>
    <w:rsid w:val="00BD5D4D"/>
    <w:rsid w:val="00BD5DC4"/>
    <w:rsid w:val="00BD5E7C"/>
    <w:rsid w:val="00BD5F39"/>
    <w:rsid w:val="00BD5F77"/>
    <w:rsid w:val="00BD5F8F"/>
    <w:rsid w:val="00BD61B5"/>
    <w:rsid w:val="00BD621F"/>
    <w:rsid w:val="00BD6224"/>
    <w:rsid w:val="00BD6266"/>
    <w:rsid w:val="00BD634A"/>
    <w:rsid w:val="00BD63E1"/>
    <w:rsid w:val="00BD64C5"/>
    <w:rsid w:val="00BD657E"/>
    <w:rsid w:val="00BD66EF"/>
    <w:rsid w:val="00BD6720"/>
    <w:rsid w:val="00BD67A2"/>
    <w:rsid w:val="00BD682A"/>
    <w:rsid w:val="00BD689F"/>
    <w:rsid w:val="00BD68D9"/>
    <w:rsid w:val="00BD6915"/>
    <w:rsid w:val="00BD6944"/>
    <w:rsid w:val="00BD69A9"/>
    <w:rsid w:val="00BD6AA9"/>
    <w:rsid w:val="00BD6D60"/>
    <w:rsid w:val="00BD6D77"/>
    <w:rsid w:val="00BD6D84"/>
    <w:rsid w:val="00BD6EE7"/>
    <w:rsid w:val="00BD6F91"/>
    <w:rsid w:val="00BD7003"/>
    <w:rsid w:val="00BD7068"/>
    <w:rsid w:val="00BD72EB"/>
    <w:rsid w:val="00BD7365"/>
    <w:rsid w:val="00BD763D"/>
    <w:rsid w:val="00BD7670"/>
    <w:rsid w:val="00BD7801"/>
    <w:rsid w:val="00BD783D"/>
    <w:rsid w:val="00BD7897"/>
    <w:rsid w:val="00BD78E5"/>
    <w:rsid w:val="00BD7921"/>
    <w:rsid w:val="00BD7B27"/>
    <w:rsid w:val="00BD7B2C"/>
    <w:rsid w:val="00BD7B9C"/>
    <w:rsid w:val="00BD7BC4"/>
    <w:rsid w:val="00BD7BE9"/>
    <w:rsid w:val="00BD7C62"/>
    <w:rsid w:val="00BD7C73"/>
    <w:rsid w:val="00BD7E19"/>
    <w:rsid w:val="00BD7E28"/>
    <w:rsid w:val="00BD7E8F"/>
    <w:rsid w:val="00BD7F3C"/>
    <w:rsid w:val="00BE010D"/>
    <w:rsid w:val="00BE013F"/>
    <w:rsid w:val="00BE01C0"/>
    <w:rsid w:val="00BE021F"/>
    <w:rsid w:val="00BE04DF"/>
    <w:rsid w:val="00BE0543"/>
    <w:rsid w:val="00BE0554"/>
    <w:rsid w:val="00BE0620"/>
    <w:rsid w:val="00BE064C"/>
    <w:rsid w:val="00BE06D6"/>
    <w:rsid w:val="00BE0A51"/>
    <w:rsid w:val="00BE0B07"/>
    <w:rsid w:val="00BE0B13"/>
    <w:rsid w:val="00BE0BC7"/>
    <w:rsid w:val="00BE0C0E"/>
    <w:rsid w:val="00BE0C86"/>
    <w:rsid w:val="00BE0CEE"/>
    <w:rsid w:val="00BE0D40"/>
    <w:rsid w:val="00BE0E1B"/>
    <w:rsid w:val="00BE0E74"/>
    <w:rsid w:val="00BE0EC6"/>
    <w:rsid w:val="00BE0EF4"/>
    <w:rsid w:val="00BE0F95"/>
    <w:rsid w:val="00BE1010"/>
    <w:rsid w:val="00BE12EF"/>
    <w:rsid w:val="00BE1319"/>
    <w:rsid w:val="00BE1425"/>
    <w:rsid w:val="00BE149A"/>
    <w:rsid w:val="00BE150C"/>
    <w:rsid w:val="00BE1535"/>
    <w:rsid w:val="00BE1661"/>
    <w:rsid w:val="00BE177D"/>
    <w:rsid w:val="00BE18E9"/>
    <w:rsid w:val="00BE18F0"/>
    <w:rsid w:val="00BE195F"/>
    <w:rsid w:val="00BE1A15"/>
    <w:rsid w:val="00BE1A77"/>
    <w:rsid w:val="00BE1B83"/>
    <w:rsid w:val="00BE1C2F"/>
    <w:rsid w:val="00BE1D04"/>
    <w:rsid w:val="00BE1D2C"/>
    <w:rsid w:val="00BE1EA7"/>
    <w:rsid w:val="00BE1EDE"/>
    <w:rsid w:val="00BE21FD"/>
    <w:rsid w:val="00BE2312"/>
    <w:rsid w:val="00BE23BA"/>
    <w:rsid w:val="00BE240C"/>
    <w:rsid w:val="00BE251D"/>
    <w:rsid w:val="00BE2570"/>
    <w:rsid w:val="00BE2782"/>
    <w:rsid w:val="00BE2794"/>
    <w:rsid w:val="00BE28DD"/>
    <w:rsid w:val="00BE28FD"/>
    <w:rsid w:val="00BE290C"/>
    <w:rsid w:val="00BE2918"/>
    <w:rsid w:val="00BE2933"/>
    <w:rsid w:val="00BE2A39"/>
    <w:rsid w:val="00BE2A75"/>
    <w:rsid w:val="00BE2A92"/>
    <w:rsid w:val="00BE2AC6"/>
    <w:rsid w:val="00BE2B91"/>
    <w:rsid w:val="00BE2C4B"/>
    <w:rsid w:val="00BE2CD2"/>
    <w:rsid w:val="00BE2D6F"/>
    <w:rsid w:val="00BE2D8C"/>
    <w:rsid w:val="00BE2FAF"/>
    <w:rsid w:val="00BE3000"/>
    <w:rsid w:val="00BE318C"/>
    <w:rsid w:val="00BE3214"/>
    <w:rsid w:val="00BE328C"/>
    <w:rsid w:val="00BE3399"/>
    <w:rsid w:val="00BE33A8"/>
    <w:rsid w:val="00BE3442"/>
    <w:rsid w:val="00BE35ED"/>
    <w:rsid w:val="00BE35F9"/>
    <w:rsid w:val="00BE366B"/>
    <w:rsid w:val="00BE377C"/>
    <w:rsid w:val="00BE38D0"/>
    <w:rsid w:val="00BE396E"/>
    <w:rsid w:val="00BE3AB5"/>
    <w:rsid w:val="00BE3BA3"/>
    <w:rsid w:val="00BE3BDA"/>
    <w:rsid w:val="00BE3CB7"/>
    <w:rsid w:val="00BE3CE9"/>
    <w:rsid w:val="00BE3E19"/>
    <w:rsid w:val="00BE40E8"/>
    <w:rsid w:val="00BE4119"/>
    <w:rsid w:val="00BE41BF"/>
    <w:rsid w:val="00BE42E3"/>
    <w:rsid w:val="00BE4322"/>
    <w:rsid w:val="00BE469C"/>
    <w:rsid w:val="00BE4731"/>
    <w:rsid w:val="00BE4762"/>
    <w:rsid w:val="00BE4778"/>
    <w:rsid w:val="00BE484A"/>
    <w:rsid w:val="00BE4A08"/>
    <w:rsid w:val="00BE4B6D"/>
    <w:rsid w:val="00BE4B82"/>
    <w:rsid w:val="00BE4C1C"/>
    <w:rsid w:val="00BE4C97"/>
    <w:rsid w:val="00BE4D63"/>
    <w:rsid w:val="00BE4E56"/>
    <w:rsid w:val="00BE4E89"/>
    <w:rsid w:val="00BE4F00"/>
    <w:rsid w:val="00BE4FB4"/>
    <w:rsid w:val="00BE50EE"/>
    <w:rsid w:val="00BE540E"/>
    <w:rsid w:val="00BE54C8"/>
    <w:rsid w:val="00BE54E5"/>
    <w:rsid w:val="00BE552F"/>
    <w:rsid w:val="00BE5704"/>
    <w:rsid w:val="00BE5754"/>
    <w:rsid w:val="00BE5758"/>
    <w:rsid w:val="00BE57A3"/>
    <w:rsid w:val="00BE5896"/>
    <w:rsid w:val="00BE58A9"/>
    <w:rsid w:val="00BE58B3"/>
    <w:rsid w:val="00BE58B8"/>
    <w:rsid w:val="00BE5B8E"/>
    <w:rsid w:val="00BE5BF5"/>
    <w:rsid w:val="00BE5E78"/>
    <w:rsid w:val="00BE5EFB"/>
    <w:rsid w:val="00BE5FC5"/>
    <w:rsid w:val="00BE6073"/>
    <w:rsid w:val="00BE6252"/>
    <w:rsid w:val="00BE62BB"/>
    <w:rsid w:val="00BE63CD"/>
    <w:rsid w:val="00BE640D"/>
    <w:rsid w:val="00BE6412"/>
    <w:rsid w:val="00BE6440"/>
    <w:rsid w:val="00BE6492"/>
    <w:rsid w:val="00BE64FA"/>
    <w:rsid w:val="00BE6684"/>
    <w:rsid w:val="00BE67CD"/>
    <w:rsid w:val="00BE6805"/>
    <w:rsid w:val="00BE6809"/>
    <w:rsid w:val="00BE6959"/>
    <w:rsid w:val="00BE6A1F"/>
    <w:rsid w:val="00BE6A43"/>
    <w:rsid w:val="00BE6AEE"/>
    <w:rsid w:val="00BE6BC7"/>
    <w:rsid w:val="00BE6CEC"/>
    <w:rsid w:val="00BE7014"/>
    <w:rsid w:val="00BE7084"/>
    <w:rsid w:val="00BE70A5"/>
    <w:rsid w:val="00BE70F2"/>
    <w:rsid w:val="00BE7147"/>
    <w:rsid w:val="00BE7244"/>
    <w:rsid w:val="00BE724F"/>
    <w:rsid w:val="00BE725A"/>
    <w:rsid w:val="00BE72E1"/>
    <w:rsid w:val="00BE736B"/>
    <w:rsid w:val="00BE73A2"/>
    <w:rsid w:val="00BE7542"/>
    <w:rsid w:val="00BE77FC"/>
    <w:rsid w:val="00BE78F6"/>
    <w:rsid w:val="00BE7992"/>
    <w:rsid w:val="00BE79BA"/>
    <w:rsid w:val="00BE7A1E"/>
    <w:rsid w:val="00BE7B34"/>
    <w:rsid w:val="00BE7C5F"/>
    <w:rsid w:val="00BE7DD3"/>
    <w:rsid w:val="00BE7E31"/>
    <w:rsid w:val="00BE7F4D"/>
    <w:rsid w:val="00BF009A"/>
    <w:rsid w:val="00BF00FE"/>
    <w:rsid w:val="00BF01B3"/>
    <w:rsid w:val="00BF02EC"/>
    <w:rsid w:val="00BF04C2"/>
    <w:rsid w:val="00BF0714"/>
    <w:rsid w:val="00BF08A9"/>
    <w:rsid w:val="00BF0980"/>
    <w:rsid w:val="00BF09EB"/>
    <w:rsid w:val="00BF09F5"/>
    <w:rsid w:val="00BF0AAD"/>
    <w:rsid w:val="00BF0C49"/>
    <w:rsid w:val="00BF0C83"/>
    <w:rsid w:val="00BF0D59"/>
    <w:rsid w:val="00BF0FA6"/>
    <w:rsid w:val="00BF115A"/>
    <w:rsid w:val="00BF11CB"/>
    <w:rsid w:val="00BF1328"/>
    <w:rsid w:val="00BF13C7"/>
    <w:rsid w:val="00BF1404"/>
    <w:rsid w:val="00BF1414"/>
    <w:rsid w:val="00BF141A"/>
    <w:rsid w:val="00BF1421"/>
    <w:rsid w:val="00BF1530"/>
    <w:rsid w:val="00BF1587"/>
    <w:rsid w:val="00BF15B3"/>
    <w:rsid w:val="00BF15FA"/>
    <w:rsid w:val="00BF16A8"/>
    <w:rsid w:val="00BF1959"/>
    <w:rsid w:val="00BF19D7"/>
    <w:rsid w:val="00BF1AE3"/>
    <w:rsid w:val="00BF1B03"/>
    <w:rsid w:val="00BF1B1F"/>
    <w:rsid w:val="00BF1B2F"/>
    <w:rsid w:val="00BF1CA6"/>
    <w:rsid w:val="00BF1E1C"/>
    <w:rsid w:val="00BF1EB4"/>
    <w:rsid w:val="00BF1F3F"/>
    <w:rsid w:val="00BF1FC3"/>
    <w:rsid w:val="00BF1FE1"/>
    <w:rsid w:val="00BF2166"/>
    <w:rsid w:val="00BF2337"/>
    <w:rsid w:val="00BF2540"/>
    <w:rsid w:val="00BF25B0"/>
    <w:rsid w:val="00BF2606"/>
    <w:rsid w:val="00BF2830"/>
    <w:rsid w:val="00BF2901"/>
    <w:rsid w:val="00BF29F9"/>
    <w:rsid w:val="00BF2AD4"/>
    <w:rsid w:val="00BF2BEB"/>
    <w:rsid w:val="00BF2C2F"/>
    <w:rsid w:val="00BF2C33"/>
    <w:rsid w:val="00BF2D51"/>
    <w:rsid w:val="00BF2D9C"/>
    <w:rsid w:val="00BF2E10"/>
    <w:rsid w:val="00BF31F2"/>
    <w:rsid w:val="00BF3487"/>
    <w:rsid w:val="00BF3651"/>
    <w:rsid w:val="00BF3825"/>
    <w:rsid w:val="00BF389D"/>
    <w:rsid w:val="00BF3A42"/>
    <w:rsid w:val="00BF3B7A"/>
    <w:rsid w:val="00BF3C58"/>
    <w:rsid w:val="00BF3DAB"/>
    <w:rsid w:val="00BF3DEA"/>
    <w:rsid w:val="00BF3E09"/>
    <w:rsid w:val="00BF3E56"/>
    <w:rsid w:val="00BF3FDD"/>
    <w:rsid w:val="00BF4164"/>
    <w:rsid w:val="00BF41C9"/>
    <w:rsid w:val="00BF429C"/>
    <w:rsid w:val="00BF43EA"/>
    <w:rsid w:val="00BF469B"/>
    <w:rsid w:val="00BF476E"/>
    <w:rsid w:val="00BF4844"/>
    <w:rsid w:val="00BF48CC"/>
    <w:rsid w:val="00BF49A3"/>
    <w:rsid w:val="00BF4A59"/>
    <w:rsid w:val="00BF4BC7"/>
    <w:rsid w:val="00BF4C84"/>
    <w:rsid w:val="00BF4D06"/>
    <w:rsid w:val="00BF4D35"/>
    <w:rsid w:val="00BF4E14"/>
    <w:rsid w:val="00BF4E48"/>
    <w:rsid w:val="00BF5084"/>
    <w:rsid w:val="00BF50D9"/>
    <w:rsid w:val="00BF5206"/>
    <w:rsid w:val="00BF5408"/>
    <w:rsid w:val="00BF5460"/>
    <w:rsid w:val="00BF549F"/>
    <w:rsid w:val="00BF581F"/>
    <w:rsid w:val="00BF5899"/>
    <w:rsid w:val="00BF5A32"/>
    <w:rsid w:val="00BF5A49"/>
    <w:rsid w:val="00BF5A83"/>
    <w:rsid w:val="00BF5BCC"/>
    <w:rsid w:val="00BF5C55"/>
    <w:rsid w:val="00BF5CAB"/>
    <w:rsid w:val="00BF5CED"/>
    <w:rsid w:val="00BF5DFD"/>
    <w:rsid w:val="00BF5E29"/>
    <w:rsid w:val="00BF5F5E"/>
    <w:rsid w:val="00BF5F8C"/>
    <w:rsid w:val="00BF607A"/>
    <w:rsid w:val="00BF6109"/>
    <w:rsid w:val="00BF6120"/>
    <w:rsid w:val="00BF6184"/>
    <w:rsid w:val="00BF628E"/>
    <w:rsid w:val="00BF62A5"/>
    <w:rsid w:val="00BF63C5"/>
    <w:rsid w:val="00BF63C8"/>
    <w:rsid w:val="00BF6408"/>
    <w:rsid w:val="00BF65B2"/>
    <w:rsid w:val="00BF688D"/>
    <w:rsid w:val="00BF6C1D"/>
    <w:rsid w:val="00BF6D22"/>
    <w:rsid w:val="00BF6DA9"/>
    <w:rsid w:val="00BF6E1A"/>
    <w:rsid w:val="00BF6FC1"/>
    <w:rsid w:val="00BF7303"/>
    <w:rsid w:val="00BF7481"/>
    <w:rsid w:val="00BF7AA3"/>
    <w:rsid w:val="00BF7AB5"/>
    <w:rsid w:val="00BF7B81"/>
    <w:rsid w:val="00BF7C1F"/>
    <w:rsid w:val="00BF7C20"/>
    <w:rsid w:val="00BF7D8E"/>
    <w:rsid w:val="00BF7DB3"/>
    <w:rsid w:val="00BF7E4F"/>
    <w:rsid w:val="00BF7E56"/>
    <w:rsid w:val="00BF7EE7"/>
    <w:rsid w:val="00C00107"/>
    <w:rsid w:val="00C001DF"/>
    <w:rsid w:val="00C001F1"/>
    <w:rsid w:val="00C00261"/>
    <w:rsid w:val="00C00535"/>
    <w:rsid w:val="00C00714"/>
    <w:rsid w:val="00C008D8"/>
    <w:rsid w:val="00C00B7E"/>
    <w:rsid w:val="00C00BCA"/>
    <w:rsid w:val="00C00C56"/>
    <w:rsid w:val="00C00E5E"/>
    <w:rsid w:val="00C00F62"/>
    <w:rsid w:val="00C00FAA"/>
    <w:rsid w:val="00C011ED"/>
    <w:rsid w:val="00C0134B"/>
    <w:rsid w:val="00C01359"/>
    <w:rsid w:val="00C0137F"/>
    <w:rsid w:val="00C01452"/>
    <w:rsid w:val="00C01489"/>
    <w:rsid w:val="00C0150D"/>
    <w:rsid w:val="00C0175E"/>
    <w:rsid w:val="00C01767"/>
    <w:rsid w:val="00C0180C"/>
    <w:rsid w:val="00C018E4"/>
    <w:rsid w:val="00C01B60"/>
    <w:rsid w:val="00C01DDD"/>
    <w:rsid w:val="00C01F42"/>
    <w:rsid w:val="00C01F4E"/>
    <w:rsid w:val="00C01FE0"/>
    <w:rsid w:val="00C01FF0"/>
    <w:rsid w:val="00C0201F"/>
    <w:rsid w:val="00C0207B"/>
    <w:rsid w:val="00C020A5"/>
    <w:rsid w:val="00C0216B"/>
    <w:rsid w:val="00C021BE"/>
    <w:rsid w:val="00C021BF"/>
    <w:rsid w:val="00C02382"/>
    <w:rsid w:val="00C023BE"/>
    <w:rsid w:val="00C02404"/>
    <w:rsid w:val="00C02417"/>
    <w:rsid w:val="00C0247E"/>
    <w:rsid w:val="00C02562"/>
    <w:rsid w:val="00C025E7"/>
    <w:rsid w:val="00C0262D"/>
    <w:rsid w:val="00C02632"/>
    <w:rsid w:val="00C02658"/>
    <w:rsid w:val="00C02712"/>
    <w:rsid w:val="00C02748"/>
    <w:rsid w:val="00C0278D"/>
    <w:rsid w:val="00C02792"/>
    <w:rsid w:val="00C027AC"/>
    <w:rsid w:val="00C02893"/>
    <w:rsid w:val="00C02982"/>
    <w:rsid w:val="00C02A29"/>
    <w:rsid w:val="00C02AC6"/>
    <w:rsid w:val="00C02B06"/>
    <w:rsid w:val="00C02B08"/>
    <w:rsid w:val="00C02B50"/>
    <w:rsid w:val="00C02B93"/>
    <w:rsid w:val="00C02D4D"/>
    <w:rsid w:val="00C02D71"/>
    <w:rsid w:val="00C02F29"/>
    <w:rsid w:val="00C02F34"/>
    <w:rsid w:val="00C02FEA"/>
    <w:rsid w:val="00C031FC"/>
    <w:rsid w:val="00C0334C"/>
    <w:rsid w:val="00C03492"/>
    <w:rsid w:val="00C03587"/>
    <w:rsid w:val="00C036F4"/>
    <w:rsid w:val="00C037AE"/>
    <w:rsid w:val="00C038AE"/>
    <w:rsid w:val="00C03915"/>
    <w:rsid w:val="00C0394A"/>
    <w:rsid w:val="00C03AAD"/>
    <w:rsid w:val="00C03B2A"/>
    <w:rsid w:val="00C03CCF"/>
    <w:rsid w:val="00C03D91"/>
    <w:rsid w:val="00C03F21"/>
    <w:rsid w:val="00C03FA6"/>
    <w:rsid w:val="00C0400C"/>
    <w:rsid w:val="00C0404C"/>
    <w:rsid w:val="00C04056"/>
    <w:rsid w:val="00C0408B"/>
    <w:rsid w:val="00C04098"/>
    <w:rsid w:val="00C040E7"/>
    <w:rsid w:val="00C04115"/>
    <w:rsid w:val="00C04192"/>
    <w:rsid w:val="00C04264"/>
    <w:rsid w:val="00C0427E"/>
    <w:rsid w:val="00C04375"/>
    <w:rsid w:val="00C043ED"/>
    <w:rsid w:val="00C043F7"/>
    <w:rsid w:val="00C0443D"/>
    <w:rsid w:val="00C044A8"/>
    <w:rsid w:val="00C04531"/>
    <w:rsid w:val="00C04640"/>
    <w:rsid w:val="00C0479E"/>
    <w:rsid w:val="00C04838"/>
    <w:rsid w:val="00C048B5"/>
    <w:rsid w:val="00C04923"/>
    <w:rsid w:val="00C049E2"/>
    <w:rsid w:val="00C04A6F"/>
    <w:rsid w:val="00C04BEB"/>
    <w:rsid w:val="00C050B1"/>
    <w:rsid w:val="00C05134"/>
    <w:rsid w:val="00C051ED"/>
    <w:rsid w:val="00C0529E"/>
    <w:rsid w:val="00C052C4"/>
    <w:rsid w:val="00C0552B"/>
    <w:rsid w:val="00C055F2"/>
    <w:rsid w:val="00C056B3"/>
    <w:rsid w:val="00C05735"/>
    <w:rsid w:val="00C05890"/>
    <w:rsid w:val="00C059DD"/>
    <w:rsid w:val="00C05AC2"/>
    <w:rsid w:val="00C05B23"/>
    <w:rsid w:val="00C05C4D"/>
    <w:rsid w:val="00C05CF8"/>
    <w:rsid w:val="00C05E79"/>
    <w:rsid w:val="00C05F10"/>
    <w:rsid w:val="00C05F38"/>
    <w:rsid w:val="00C060FA"/>
    <w:rsid w:val="00C0628F"/>
    <w:rsid w:val="00C062A8"/>
    <w:rsid w:val="00C064FE"/>
    <w:rsid w:val="00C065F7"/>
    <w:rsid w:val="00C06753"/>
    <w:rsid w:val="00C0679C"/>
    <w:rsid w:val="00C068A6"/>
    <w:rsid w:val="00C068D7"/>
    <w:rsid w:val="00C0696E"/>
    <w:rsid w:val="00C06A41"/>
    <w:rsid w:val="00C06A6F"/>
    <w:rsid w:val="00C06B54"/>
    <w:rsid w:val="00C06CAB"/>
    <w:rsid w:val="00C06D1C"/>
    <w:rsid w:val="00C06E69"/>
    <w:rsid w:val="00C06EDE"/>
    <w:rsid w:val="00C06EF6"/>
    <w:rsid w:val="00C06F1F"/>
    <w:rsid w:val="00C0707B"/>
    <w:rsid w:val="00C0715E"/>
    <w:rsid w:val="00C07198"/>
    <w:rsid w:val="00C0731A"/>
    <w:rsid w:val="00C0737A"/>
    <w:rsid w:val="00C0739D"/>
    <w:rsid w:val="00C07622"/>
    <w:rsid w:val="00C077C9"/>
    <w:rsid w:val="00C078E5"/>
    <w:rsid w:val="00C0797C"/>
    <w:rsid w:val="00C07AA6"/>
    <w:rsid w:val="00C07AD3"/>
    <w:rsid w:val="00C07C14"/>
    <w:rsid w:val="00C07E5C"/>
    <w:rsid w:val="00C07E6C"/>
    <w:rsid w:val="00C07F33"/>
    <w:rsid w:val="00C07F60"/>
    <w:rsid w:val="00C07FB7"/>
    <w:rsid w:val="00C0C867"/>
    <w:rsid w:val="00C10049"/>
    <w:rsid w:val="00C100C4"/>
    <w:rsid w:val="00C1015A"/>
    <w:rsid w:val="00C1018A"/>
    <w:rsid w:val="00C1021F"/>
    <w:rsid w:val="00C10295"/>
    <w:rsid w:val="00C10363"/>
    <w:rsid w:val="00C103BD"/>
    <w:rsid w:val="00C10428"/>
    <w:rsid w:val="00C10465"/>
    <w:rsid w:val="00C1052F"/>
    <w:rsid w:val="00C1056C"/>
    <w:rsid w:val="00C105AC"/>
    <w:rsid w:val="00C1066A"/>
    <w:rsid w:val="00C1067B"/>
    <w:rsid w:val="00C10682"/>
    <w:rsid w:val="00C1076E"/>
    <w:rsid w:val="00C108D7"/>
    <w:rsid w:val="00C1090F"/>
    <w:rsid w:val="00C10985"/>
    <w:rsid w:val="00C10B5D"/>
    <w:rsid w:val="00C10B60"/>
    <w:rsid w:val="00C10C07"/>
    <w:rsid w:val="00C10CC3"/>
    <w:rsid w:val="00C10D16"/>
    <w:rsid w:val="00C10EFD"/>
    <w:rsid w:val="00C11031"/>
    <w:rsid w:val="00C11357"/>
    <w:rsid w:val="00C11432"/>
    <w:rsid w:val="00C114AA"/>
    <w:rsid w:val="00C1161A"/>
    <w:rsid w:val="00C116D7"/>
    <w:rsid w:val="00C118AB"/>
    <w:rsid w:val="00C1191F"/>
    <w:rsid w:val="00C119D5"/>
    <w:rsid w:val="00C11A33"/>
    <w:rsid w:val="00C11ACF"/>
    <w:rsid w:val="00C11B3F"/>
    <w:rsid w:val="00C11D7C"/>
    <w:rsid w:val="00C11DA8"/>
    <w:rsid w:val="00C11DAE"/>
    <w:rsid w:val="00C11E2A"/>
    <w:rsid w:val="00C11FEF"/>
    <w:rsid w:val="00C12064"/>
    <w:rsid w:val="00C1228B"/>
    <w:rsid w:val="00C12297"/>
    <w:rsid w:val="00C12301"/>
    <w:rsid w:val="00C123B8"/>
    <w:rsid w:val="00C123E3"/>
    <w:rsid w:val="00C124A4"/>
    <w:rsid w:val="00C12597"/>
    <w:rsid w:val="00C125C9"/>
    <w:rsid w:val="00C126BB"/>
    <w:rsid w:val="00C127E9"/>
    <w:rsid w:val="00C127FA"/>
    <w:rsid w:val="00C12986"/>
    <w:rsid w:val="00C129CA"/>
    <w:rsid w:val="00C12B01"/>
    <w:rsid w:val="00C12B1A"/>
    <w:rsid w:val="00C12C99"/>
    <w:rsid w:val="00C12E1B"/>
    <w:rsid w:val="00C12E44"/>
    <w:rsid w:val="00C12EE9"/>
    <w:rsid w:val="00C12F3C"/>
    <w:rsid w:val="00C13153"/>
    <w:rsid w:val="00C13214"/>
    <w:rsid w:val="00C13347"/>
    <w:rsid w:val="00C1337B"/>
    <w:rsid w:val="00C134B6"/>
    <w:rsid w:val="00C134CD"/>
    <w:rsid w:val="00C134FE"/>
    <w:rsid w:val="00C13577"/>
    <w:rsid w:val="00C1359E"/>
    <w:rsid w:val="00C135E8"/>
    <w:rsid w:val="00C136A5"/>
    <w:rsid w:val="00C136DC"/>
    <w:rsid w:val="00C1371F"/>
    <w:rsid w:val="00C137C2"/>
    <w:rsid w:val="00C138B3"/>
    <w:rsid w:val="00C138F9"/>
    <w:rsid w:val="00C13ABA"/>
    <w:rsid w:val="00C13BD3"/>
    <w:rsid w:val="00C13D12"/>
    <w:rsid w:val="00C13E6B"/>
    <w:rsid w:val="00C13F6B"/>
    <w:rsid w:val="00C1403D"/>
    <w:rsid w:val="00C1404A"/>
    <w:rsid w:val="00C14306"/>
    <w:rsid w:val="00C14492"/>
    <w:rsid w:val="00C14503"/>
    <w:rsid w:val="00C14578"/>
    <w:rsid w:val="00C145A9"/>
    <w:rsid w:val="00C14629"/>
    <w:rsid w:val="00C1466D"/>
    <w:rsid w:val="00C146FA"/>
    <w:rsid w:val="00C147CF"/>
    <w:rsid w:val="00C147DA"/>
    <w:rsid w:val="00C14813"/>
    <w:rsid w:val="00C149ED"/>
    <w:rsid w:val="00C14A2D"/>
    <w:rsid w:val="00C14ADA"/>
    <w:rsid w:val="00C14BFC"/>
    <w:rsid w:val="00C14C68"/>
    <w:rsid w:val="00C14CE6"/>
    <w:rsid w:val="00C15006"/>
    <w:rsid w:val="00C15168"/>
    <w:rsid w:val="00C151CF"/>
    <w:rsid w:val="00C15224"/>
    <w:rsid w:val="00C15425"/>
    <w:rsid w:val="00C15563"/>
    <w:rsid w:val="00C15719"/>
    <w:rsid w:val="00C15729"/>
    <w:rsid w:val="00C15839"/>
    <w:rsid w:val="00C15924"/>
    <w:rsid w:val="00C159B2"/>
    <w:rsid w:val="00C15A76"/>
    <w:rsid w:val="00C15A8B"/>
    <w:rsid w:val="00C15B4A"/>
    <w:rsid w:val="00C15C28"/>
    <w:rsid w:val="00C15C99"/>
    <w:rsid w:val="00C15D43"/>
    <w:rsid w:val="00C15EA3"/>
    <w:rsid w:val="00C15F31"/>
    <w:rsid w:val="00C15F6E"/>
    <w:rsid w:val="00C15FB3"/>
    <w:rsid w:val="00C15FF3"/>
    <w:rsid w:val="00C15FF4"/>
    <w:rsid w:val="00C160E1"/>
    <w:rsid w:val="00C16193"/>
    <w:rsid w:val="00C1622C"/>
    <w:rsid w:val="00C16358"/>
    <w:rsid w:val="00C16382"/>
    <w:rsid w:val="00C16390"/>
    <w:rsid w:val="00C16417"/>
    <w:rsid w:val="00C1645C"/>
    <w:rsid w:val="00C16477"/>
    <w:rsid w:val="00C166CE"/>
    <w:rsid w:val="00C166F0"/>
    <w:rsid w:val="00C16712"/>
    <w:rsid w:val="00C16767"/>
    <w:rsid w:val="00C16A5A"/>
    <w:rsid w:val="00C16AB8"/>
    <w:rsid w:val="00C16C41"/>
    <w:rsid w:val="00C16CFC"/>
    <w:rsid w:val="00C16D65"/>
    <w:rsid w:val="00C17016"/>
    <w:rsid w:val="00C17138"/>
    <w:rsid w:val="00C172B9"/>
    <w:rsid w:val="00C172C6"/>
    <w:rsid w:val="00C172E6"/>
    <w:rsid w:val="00C17428"/>
    <w:rsid w:val="00C17447"/>
    <w:rsid w:val="00C17552"/>
    <w:rsid w:val="00C175C0"/>
    <w:rsid w:val="00C175E8"/>
    <w:rsid w:val="00C175E9"/>
    <w:rsid w:val="00C1764D"/>
    <w:rsid w:val="00C17731"/>
    <w:rsid w:val="00C17778"/>
    <w:rsid w:val="00C178CC"/>
    <w:rsid w:val="00C179E8"/>
    <w:rsid w:val="00C17A77"/>
    <w:rsid w:val="00C17C96"/>
    <w:rsid w:val="00C17D34"/>
    <w:rsid w:val="00C17D44"/>
    <w:rsid w:val="00C17D7F"/>
    <w:rsid w:val="00C17DC4"/>
    <w:rsid w:val="00C17DF7"/>
    <w:rsid w:val="00C17F80"/>
    <w:rsid w:val="00C17FFA"/>
    <w:rsid w:val="00C20087"/>
    <w:rsid w:val="00C2009A"/>
    <w:rsid w:val="00C20121"/>
    <w:rsid w:val="00C2035B"/>
    <w:rsid w:val="00C20437"/>
    <w:rsid w:val="00C2044C"/>
    <w:rsid w:val="00C20477"/>
    <w:rsid w:val="00C20496"/>
    <w:rsid w:val="00C2053A"/>
    <w:rsid w:val="00C20597"/>
    <w:rsid w:val="00C205F1"/>
    <w:rsid w:val="00C2066F"/>
    <w:rsid w:val="00C2069C"/>
    <w:rsid w:val="00C20799"/>
    <w:rsid w:val="00C2079E"/>
    <w:rsid w:val="00C207D9"/>
    <w:rsid w:val="00C208D5"/>
    <w:rsid w:val="00C20918"/>
    <w:rsid w:val="00C2091D"/>
    <w:rsid w:val="00C20B29"/>
    <w:rsid w:val="00C20DF7"/>
    <w:rsid w:val="00C20EF8"/>
    <w:rsid w:val="00C20F76"/>
    <w:rsid w:val="00C20FF4"/>
    <w:rsid w:val="00C2148F"/>
    <w:rsid w:val="00C21546"/>
    <w:rsid w:val="00C2159B"/>
    <w:rsid w:val="00C215F3"/>
    <w:rsid w:val="00C21719"/>
    <w:rsid w:val="00C21773"/>
    <w:rsid w:val="00C217BA"/>
    <w:rsid w:val="00C219FA"/>
    <w:rsid w:val="00C21A17"/>
    <w:rsid w:val="00C21AD4"/>
    <w:rsid w:val="00C21BBB"/>
    <w:rsid w:val="00C21BFB"/>
    <w:rsid w:val="00C21E8A"/>
    <w:rsid w:val="00C2227A"/>
    <w:rsid w:val="00C22372"/>
    <w:rsid w:val="00C223D2"/>
    <w:rsid w:val="00C2243C"/>
    <w:rsid w:val="00C224E3"/>
    <w:rsid w:val="00C2255F"/>
    <w:rsid w:val="00C225A4"/>
    <w:rsid w:val="00C2261D"/>
    <w:rsid w:val="00C22714"/>
    <w:rsid w:val="00C22801"/>
    <w:rsid w:val="00C22815"/>
    <w:rsid w:val="00C22826"/>
    <w:rsid w:val="00C228BD"/>
    <w:rsid w:val="00C22B18"/>
    <w:rsid w:val="00C22F6E"/>
    <w:rsid w:val="00C22FA0"/>
    <w:rsid w:val="00C23100"/>
    <w:rsid w:val="00C23133"/>
    <w:rsid w:val="00C23138"/>
    <w:rsid w:val="00C23153"/>
    <w:rsid w:val="00C232B5"/>
    <w:rsid w:val="00C23307"/>
    <w:rsid w:val="00C23352"/>
    <w:rsid w:val="00C23408"/>
    <w:rsid w:val="00C23638"/>
    <w:rsid w:val="00C2365A"/>
    <w:rsid w:val="00C236C8"/>
    <w:rsid w:val="00C2382E"/>
    <w:rsid w:val="00C238F4"/>
    <w:rsid w:val="00C23A0A"/>
    <w:rsid w:val="00C23A17"/>
    <w:rsid w:val="00C23B97"/>
    <w:rsid w:val="00C23C68"/>
    <w:rsid w:val="00C23C8C"/>
    <w:rsid w:val="00C23CD5"/>
    <w:rsid w:val="00C23D16"/>
    <w:rsid w:val="00C23E3B"/>
    <w:rsid w:val="00C23ECA"/>
    <w:rsid w:val="00C23F1D"/>
    <w:rsid w:val="00C23F59"/>
    <w:rsid w:val="00C23F9C"/>
    <w:rsid w:val="00C23FBE"/>
    <w:rsid w:val="00C24022"/>
    <w:rsid w:val="00C24062"/>
    <w:rsid w:val="00C240F2"/>
    <w:rsid w:val="00C2433D"/>
    <w:rsid w:val="00C24344"/>
    <w:rsid w:val="00C243D7"/>
    <w:rsid w:val="00C24522"/>
    <w:rsid w:val="00C24533"/>
    <w:rsid w:val="00C245A9"/>
    <w:rsid w:val="00C245CE"/>
    <w:rsid w:val="00C24731"/>
    <w:rsid w:val="00C248A7"/>
    <w:rsid w:val="00C24996"/>
    <w:rsid w:val="00C24DC4"/>
    <w:rsid w:val="00C24E19"/>
    <w:rsid w:val="00C24E2A"/>
    <w:rsid w:val="00C24FBC"/>
    <w:rsid w:val="00C25077"/>
    <w:rsid w:val="00C25089"/>
    <w:rsid w:val="00C250C0"/>
    <w:rsid w:val="00C2523F"/>
    <w:rsid w:val="00C252B2"/>
    <w:rsid w:val="00C255F1"/>
    <w:rsid w:val="00C25700"/>
    <w:rsid w:val="00C25701"/>
    <w:rsid w:val="00C25723"/>
    <w:rsid w:val="00C258E7"/>
    <w:rsid w:val="00C259B5"/>
    <w:rsid w:val="00C25A53"/>
    <w:rsid w:val="00C25AB0"/>
    <w:rsid w:val="00C25ACF"/>
    <w:rsid w:val="00C25BAE"/>
    <w:rsid w:val="00C25D66"/>
    <w:rsid w:val="00C25DAB"/>
    <w:rsid w:val="00C25DD1"/>
    <w:rsid w:val="00C25FEB"/>
    <w:rsid w:val="00C2600B"/>
    <w:rsid w:val="00C26088"/>
    <w:rsid w:val="00C260A6"/>
    <w:rsid w:val="00C26471"/>
    <w:rsid w:val="00C26675"/>
    <w:rsid w:val="00C26724"/>
    <w:rsid w:val="00C26762"/>
    <w:rsid w:val="00C268B8"/>
    <w:rsid w:val="00C26960"/>
    <w:rsid w:val="00C26C3A"/>
    <w:rsid w:val="00C26DF7"/>
    <w:rsid w:val="00C26F75"/>
    <w:rsid w:val="00C27053"/>
    <w:rsid w:val="00C272A2"/>
    <w:rsid w:val="00C272D2"/>
    <w:rsid w:val="00C27356"/>
    <w:rsid w:val="00C2757D"/>
    <w:rsid w:val="00C275A3"/>
    <w:rsid w:val="00C275FD"/>
    <w:rsid w:val="00C27769"/>
    <w:rsid w:val="00C279EB"/>
    <w:rsid w:val="00C27B35"/>
    <w:rsid w:val="00C27C02"/>
    <w:rsid w:val="00C27C99"/>
    <w:rsid w:val="00C27DA8"/>
    <w:rsid w:val="00C27E04"/>
    <w:rsid w:val="00C27EE6"/>
    <w:rsid w:val="00C27F92"/>
    <w:rsid w:val="00C300EA"/>
    <w:rsid w:val="00C3013C"/>
    <w:rsid w:val="00C302EA"/>
    <w:rsid w:val="00C30373"/>
    <w:rsid w:val="00C304BE"/>
    <w:rsid w:val="00C30706"/>
    <w:rsid w:val="00C30872"/>
    <w:rsid w:val="00C3096B"/>
    <w:rsid w:val="00C30A72"/>
    <w:rsid w:val="00C30B1F"/>
    <w:rsid w:val="00C30D8C"/>
    <w:rsid w:val="00C30DE6"/>
    <w:rsid w:val="00C30EC6"/>
    <w:rsid w:val="00C30EC8"/>
    <w:rsid w:val="00C30F13"/>
    <w:rsid w:val="00C30F72"/>
    <w:rsid w:val="00C3105D"/>
    <w:rsid w:val="00C310C7"/>
    <w:rsid w:val="00C312A0"/>
    <w:rsid w:val="00C3130A"/>
    <w:rsid w:val="00C31341"/>
    <w:rsid w:val="00C31839"/>
    <w:rsid w:val="00C31923"/>
    <w:rsid w:val="00C31941"/>
    <w:rsid w:val="00C31A0E"/>
    <w:rsid w:val="00C31A7F"/>
    <w:rsid w:val="00C31BD1"/>
    <w:rsid w:val="00C31C0D"/>
    <w:rsid w:val="00C31CF1"/>
    <w:rsid w:val="00C31D13"/>
    <w:rsid w:val="00C31E79"/>
    <w:rsid w:val="00C32157"/>
    <w:rsid w:val="00C32256"/>
    <w:rsid w:val="00C32367"/>
    <w:rsid w:val="00C3265B"/>
    <w:rsid w:val="00C32728"/>
    <w:rsid w:val="00C3281F"/>
    <w:rsid w:val="00C329C9"/>
    <w:rsid w:val="00C32AE9"/>
    <w:rsid w:val="00C32AFF"/>
    <w:rsid w:val="00C32B11"/>
    <w:rsid w:val="00C32B9A"/>
    <w:rsid w:val="00C32C0F"/>
    <w:rsid w:val="00C32C80"/>
    <w:rsid w:val="00C32FBC"/>
    <w:rsid w:val="00C32FC7"/>
    <w:rsid w:val="00C32FFA"/>
    <w:rsid w:val="00C3315D"/>
    <w:rsid w:val="00C33177"/>
    <w:rsid w:val="00C3345D"/>
    <w:rsid w:val="00C334F4"/>
    <w:rsid w:val="00C334FD"/>
    <w:rsid w:val="00C3355A"/>
    <w:rsid w:val="00C33564"/>
    <w:rsid w:val="00C3358E"/>
    <w:rsid w:val="00C335A6"/>
    <w:rsid w:val="00C335AC"/>
    <w:rsid w:val="00C33614"/>
    <w:rsid w:val="00C3363A"/>
    <w:rsid w:val="00C33658"/>
    <w:rsid w:val="00C3365E"/>
    <w:rsid w:val="00C33681"/>
    <w:rsid w:val="00C336A6"/>
    <w:rsid w:val="00C337AB"/>
    <w:rsid w:val="00C337DA"/>
    <w:rsid w:val="00C33888"/>
    <w:rsid w:val="00C33A2F"/>
    <w:rsid w:val="00C33A96"/>
    <w:rsid w:val="00C33AF7"/>
    <w:rsid w:val="00C33BA9"/>
    <w:rsid w:val="00C33BC7"/>
    <w:rsid w:val="00C33D01"/>
    <w:rsid w:val="00C33D98"/>
    <w:rsid w:val="00C33F2F"/>
    <w:rsid w:val="00C3403C"/>
    <w:rsid w:val="00C340D8"/>
    <w:rsid w:val="00C3416F"/>
    <w:rsid w:val="00C3420D"/>
    <w:rsid w:val="00C34223"/>
    <w:rsid w:val="00C34238"/>
    <w:rsid w:val="00C343C0"/>
    <w:rsid w:val="00C34448"/>
    <w:rsid w:val="00C34493"/>
    <w:rsid w:val="00C3454E"/>
    <w:rsid w:val="00C345D0"/>
    <w:rsid w:val="00C34648"/>
    <w:rsid w:val="00C346A8"/>
    <w:rsid w:val="00C347BD"/>
    <w:rsid w:val="00C34869"/>
    <w:rsid w:val="00C3498E"/>
    <w:rsid w:val="00C34C3E"/>
    <w:rsid w:val="00C34D82"/>
    <w:rsid w:val="00C34D8F"/>
    <w:rsid w:val="00C34E83"/>
    <w:rsid w:val="00C34F72"/>
    <w:rsid w:val="00C34F86"/>
    <w:rsid w:val="00C34F94"/>
    <w:rsid w:val="00C34FF5"/>
    <w:rsid w:val="00C350A6"/>
    <w:rsid w:val="00C350BB"/>
    <w:rsid w:val="00C35248"/>
    <w:rsid w:val="00C353B5"/>
    <w:rsid w:val="00C35558"/>
    <w:rsid w:val="00C356F3"/>
    <w:rsid w:val="00C35727"/>
    <w:rsid w:val="00C35734"/>
    <w:rsid w:val="00C35793"/>
    <w:rsid w:val="00C35A09"/>
    <w:rsid w:val="00C35CED"/>
    <w:rsid w:val="00C35DAE"/>
    <w:rsid w:val="00C35E44"/>
    <w:rsid w:val="00C35EC9"/>
    <w:rsid w:val="00C35F30"/>
    <w:rsid w:val="00C36028"/>
    <w:rsid w:val="00C360FF"/>
    <w:rsid w:val="00C3616F"/>
    <w:rsid w:val="00C36284"/>
    <w:rsid w:val="00C36436"/>
    <w:rsid w:val="00C36579"/>
    <w:rsid w:val="00C365EA"/>
    <w:rsid w:val="00C36634"/>
    <w:rsid w:val="00C366D6"/>
    <w:rsid w:val="00C3670B"/>
    <w:rsid w:val="00C3694A"/>
    <w:rsid w:val="00C36965"/>
    <w:rsid w:val="00C36A11"/>
    <w:rsid w:val="00C36A98"/>
    <w:rsid w:val="00C36AE5"/>
    <w:rsid w:val="00C36B23"/>
    <w:rsid w:val="00C36B3A"/>
    <w:rsid w:val="00C36B6E"/>
    <w:rsid w:val="00C36E81"/>
    <w:rsid w:val="00C36E93"/>
    <w:rsid w:val="00C36EA0"/>
    <w:rsid w:val="00C3702A"/>
    <w:rsid w:val="00C3717E"/>
    <w:rsid w:val="00C371C1"/>
    <w:rsid w:val="00C371D0"/>
    <w:rsid w:val="00C371EC"/>
    <w:rsid w:val="00C37275"/>
    <w:rsid w:val="00C3737E"/>
    <w:rsid w:val="00C37427"/>
    <w:rsid w:val="00C37505"/>
    <w:rsid w:val="00C3765B"/>
    <w:rsid w:val="00C37729"/>
    <w:rsid w:val="00C37778"/>
    <w:rsid w:val="00C377E6"/>
    <w:rsid w:val="00C377F6"/>
    <w:rsid w:val="00C37861"/>
    <w:rsid w:val="00C37864"/>
    <w:rsid w:val="00C378B2"/>
    <w:rsid w:val="00C37919"/>
    <w:rsid w:val="00C37924"/>
    <w:rsid w:val="00C3799A"/>
    <w:rsid w:val="00C37E8A"/>
    <w:rsid w:val="00C37EB3"/>
    <w:rsid w:val="00C37F44"/>
    <w:rsid w:val="00C40054"/>
    <w:rsid w:val="00C400DC"/>
    <w:rsid w:val="00C400E9"/>
    <w:rsid w:val="00C40333"/>
    <w:rsid w:val="00C4043D"/>
    <w:rsid w:val="00C404F2"/>
    <w:rsid w:val="00C4058D"/>
    <w:rsid w:val="00C40656"/>
    <w:rsid w:val="00C408A5"/>
    <w:rsid w:val="00C40927"/>
    <w:rsid w:val="00C409A7"/>
    <w:rsid w:val="00C40AAA"/>
    <w:rsid w:val="00C40B1F"/>
    <w:rsid w:val="00C40B6E"/>
    <w:rsid w:val="00C40EE3"/>
    <w:rsid w:val="00C410C0"/>
    <w:rsid w:val="00C41200"/>
    <w:rsid w:val="00C413DD"/>
    <w:rsid w:val="00C413F0"/>
    <w:rsid w:val="00C41634"/>
    <w:rsid w:val="00C41700"/>
    <w:rsid w:val="00C41717"/>
    <w:rsid w:val="00C417B8"/>
    <w:rsid w:val="00C417C1"/>
    <w:rsid w:val="00C419D0"/>
    <w:rsid w:val="00C41A9F"/>
    <w:rsid w:val="00C41D45"/>
    <w:rsid w:val="00C41D93"/>
    <w:rsid w:val="00C41DEE"/>
    <w:rsid w:val="00C41E96"/>
    <w:rsid w:val="00C42206"/>
    <w:rsid w:val="00C4226A"/>
    <w:rsid w:val="00C42394"/>
    <w:rsid w:val="00C423E8"/>
    <w:rsid w:val="00C423F9"/>
    <w:rsid w:val="00C42585"/>
    <w:rsid w:val="00C4285D"/>
    <w:rsid w:val="00C429F6"/>
    <w:rsid w:val="00C42A7F"/>
    <w:rsid w:val="00C42B3E"/>
    <w:rsid w:val="00C42B6F"/>
    <w:rsid w:val="00C42C88"/>
    <w:rsid w:val="00C42DA3"/>
    <w:rsid w:val="00C4307C"/>
    <w:rsid w:val="00C430E2"/>
    <w:rsid w:val="00C43285"/>
    <w:rsid w:val="00C432D2"/>
    <w:rsid w:val="00C433FA"/>
    <w:rsid w:val="00C4344B"/>
    <w:rsid w:val="00C434A3"/>
    <w:rsid w:val="00C4362C"/>
    <w:rsid w:val="00C43709"/>
    <w:rsid w:val="00C43A6D"/>
    <w:rsid w:val="00C43AF4"/>
    <w:rsid w:val="00C43B34"/>
    <w:rsid w:val="00C43C8A"/>
    <w:rsid w:val="00C43D48"/>
    <w:rsid w:val="00C43DE4"/>
    <w:rsid w:val="00C43DE8"/>
    <w:rsid w:val="00C43DFF"/>
    <w:rsid w:val="00C43E3B"/>
    <w:rsid w:val="00C440D8"/>
    <w:rsid w:val="00C4414F"/>
    <w:rsid w:val="00C44160"/>
    <w:rsid w:val="00C44299"/>
    <w:rsid w:val="00C4430B"/>
    <w:rsid w:val="00C4436E"/>
    <w:rsid w:val="00C44394"/>
    <w:rsid w:val="00C443B5"/>
    <w:rsid w:val="00C44505"/>
    <w:rsid w:val="00C44506"/>
    <w:rsid w:val="00C44527"/>
    <w:rsid w:val="00C445D3"/>
    <w:rsid w:val="00C4467E"/>
    <w:rsid w:val="00C447C4"/>
    <w:rsid w:val="00C44903"/>
    <w:rsid w:val="00C44A81"/>
    <w:rsid w:val="00C44B6E"/>
    <w:rsid w:val="00C44E43"/>
    <w:rsid w:val="00C44E58"/>
    <w:rsid w:val="00C44F56"/>
    <w:rsid w:val="00C44F61"/>
    <w:rsid w:val="00C44FCB"/>
    <w:rsid w:val="00C44FCC"/>
    <w:rsid w:val="00C45020"/>
    <w:rsid w:val="00C450C8"/>
    <w:rsid w:val="00C45198"/>
    <w:rsid w:val="00C4527F"/>
    <w:rsid w:val="00C452E1"/>
    <w:rsid w:val="00C452E3"/>
    <w:rsid w:val="00C452E4"/>
    <w:rsid w:val="00C453B1"/>
    <w:rsid w:val="00C454C1"/>
    <w:rsid w:val="00C454F6"/>
    <w:rsid w:val="00C45573"/>
    <w:rsid w:val="00C45619"/>
    <w:rsid w:val="00C45725"/>
    <w:rsid w:val="00C45868"/>
    <w:rsid w:val="00C459DA"/>
    <w:rsid w:val="00C459FE"/>
    <w:rsid w:val="00C45AAE"/>
    <w:rsid w:val="00C45C13"/>
    <w:rsid w:val="00C45CC8"/>
    <w:rsid w:val="00C45D45"/>
    <w:rsid w:val="00C45D65"/>
    <w:rsid w:val="00C45F28"/>
    <w:rsid w:val="00C45F6C"/>
    <w:rsid w:val="00C45FBF"/>
    <w:rsid w:val="00C45FFD"/>
    <w:rsid w:val="00C461A7"/>
    <w:rsid w:val="00C4636C"/>
    <w:rsid w:val="00C46375"/>
    <w:rsid w:val="00C46377"/>
    <w:rsid w:val="00C463D0"/>
    <w:rsid w:val="00C46442"/>
    <w:rsid w:val="00C464EF"/>
    <w:rsid w:val="00C466D1"/>
    <w:rsid w:val="00C466EF"/>
    <w:rsid w:val="00C4679B"/>
    <w:rsid w:val="00C4682D"/>
    <w:rsid w:val="00C4695A"/>
    <w:rsid w:val="00C469DD"/>
    <w:rsid w:val="00C46A5E"/>
    <w:rsid w:val="00C46BAE"/>
    <w:rsid w:val="00C46CF2"/>
    <w:rsid w:val="00C46D2C"/>
    <w:rsid w:val="00C46D90"/>
    <w:rsid w:val="00C46D91"/>
    <w:rsid w:val="00C46DBA"/>
    <w:rsid w:val="00C46E71"/>
    <w:rsid w:val="00C46EE5"/>
    <w:rsid w:val="00C46F37"/>
    <w:rsid w:val="00C46F62"/>
    <w:rsid w:val="00C47005"/>
    <w:rsid w:val="00C4703F"/>
    <w:rsid w:val="00C471AE"/>
    <w:rsid w:val="00C472DE"/>
    <w:rsid w:val="00C47318"/>
    <w:rsid w:val="00C4749C"/>
    <w:rsid w:val="00C47621"/>
    <w:rsid w:val="00C4762B"/>
    <w:rsid w:val="00C47699"/>
    <w:rsid w:val="00C476C3"/>
    <w:rsid w:val="00C4773B"/>
    <w:rsid w:val="00C47771"/>
    <w:rsid w:val="00C477C8"/>
    <w:rsid w:val="00C47823"/>
    <w:rsid w:val="00C4782C"/>
    <w:rsid w:val="00C47896"/>
    <w:rsid w:val="00C4789B"/>
    <w:rsid w:val="00C4798D"/>
    <w:rsid w:val="00C47A3A"/>
    <w:rsid w:val="00C47A5E"/>
    <w:rsid w:val="00C47B16"/>
    <w:rsid w:val="00C47BB4"/>
    <w:rsid w:val="00C47C03"/>
    <w:rsid w:val="00C47C94"/>
    <w:rsid w:val="00C47CB7"/>
    <w:rsid w:val="00C47D01"/>
    <w:rsid w:val="00C47E1F"/>
    <w:rsid w:val="00C47F18"/>
    <w:rsid w:val="00C47F85"/>
    <w:rsid w:val="00C47FBD"/>
    <w:rsid w:val="00C47FD2"/>
    <w:rsid w:val="00C5000A"/>
    <w:rsid w:val="00C50053"/>
    <w:rsid w:val="00C50057"/>
    <w:rsid w:val="00C501D4"/>
    <w:rsid w:val="00C5020C"/>
    <w:rsid w:val="00C502F5"/>
    <w:rsid w:val="00C504C5"/>
    <w:rsid w:val="00C5051B"/>
    <w:rsid w:val="00C50590"/>
    <w:rsid w:val="00C505B9"/>
    <w:rsid w:val="00C506A8"/>
    <w:rsid w:val="00C50714"/>
    <w:rsid w:val="00C50791"/>
    <w:rsid w:val="00C507B3"/>
    <w:rsid w:val="00C50B0F"/>
    <w:rsid w:val="00C50B34"/>
    <w:rsid w:val="00C50B6A"/>
    <w:rsid w:val="00C50CAB"/>
    <w:rsid w:val="00C50E1C"/>
    <w:rsid w:val="00C50E4D"/>
    <w:rsid w:val="00C50F00"/>
    <w:rsid w:val="00C51065"/>
    <w:rsid w:val="00C5130C"/>
    <w:rsid w:val="00C5142F"/>
    <w:rsid w:val="00C5143E"/>
    <w:rsid w:val="00C5156A"/>
    <w:rsid w:val="00C515B5"/>
    <w:rsid w:val="00C51634"/>
    <w:rsid w:val="00C516B1"/>
    <w:rsid w:val="00C516CC"/>
    <w:rsid w:val="00C5172A"/>
    <w:rsid w:val="00C5178B"/>
    <w:rsid w:val="00C5192D"/>
    <w:rsid w:val="00C519F4"/>
    <w:rsid w:val="00C51BD2"/>
    <w:rsid w:val="00C51E3B"/>
    <w:rsid w:val="00C51E3D"/>
    <w:rsid w:val="00C51E90"/>
    <w:rsid w:val="00C51F0B"/>
    <w:rsid w:val="00C51FB4"/>
    <w:rsid w:val="00C5201F"/>
    <w:rsid w:val="00C52113"/>
    <w:rsid w:val="00C52135"/>
    <w:rsid w:val="00C5213B"/>
    <w:rsid w:val="00C52209"/>
    <w:rsid w:val="00C5231E"/>
    <w:rsid w:val="00C523A1"/>
    <w:rsid w:val="00C523DC"/>
    <w:rsid w:val="00C52490"/>
    <w:rsid w:val="00C52587"/>
    <w:rsid w:val="00C529D7"/>
    <w:rsid w:val="00C52C8D"/>
    <w:rsid w:val="00C53098"/>
    <w:rsid w:val="00C532E7"/>
    <w:rsid w:val="00C532F2"/>
    <w:rsid w:val="00C533A2"/>
    <w:rsid w:val="00C53446"/>
    <w:rsid w:val="00C5351F"/>
    <w:rsid w:val="00C53523"/>
    <w:rsid w:val="00C5367B"/>
    <w:rsid w:val="00C536AD"/>
    <w:rsid w:val="00C53811"/>
    <w:rsid w:val="00C5385C"/>
    <w:rsid w:val="00C53A42"/>
    <w:rsid w:val="00C53B3F"/>
    <w:rsid w:val="00C53B53"/>
    <w:rsid w:val="00C53CC6"/>
    <w:rsid w:val="00C53D2A"/>
    <w:rsid w:val="00C53D34"/>
    <w:rsid w:val="00C53E06"/>
    <w:rsid w:val="00C53F6D"/>
    <w:rsid w:val="00C53FAD"/>
    <w:rsid w:val="00C53FB1"/>
    <w:rsid w:val="00C53FED"/>
    <w:rsid w:val="00C54043"/>
    <w:rsid w:val="00C541B4"/>
    <w:rsid w:val="00C541D8"/>
    <w:rsid w:val="00C54370"/>
    <w:rsid w:val="00C543A7"/>
    <w:rsid w:val="00C54478"/>
    <w:rsid w:val="00C544FE"/>
    <w:rsid w:val="00C54559"/>
    <w:rsid w:val="00C545EF"/>
    <w:rsid w:val="00C5460E"/>
    <w:rsid w:val="00C547DC"/>
    <w:rsid w:val="00C547F3"/>
    <w:rsid w:val="00C54803"/>
    <w:rsid w:val="00C549D0"/>
    <w:rsid w:val="00C54B0E"/>
    <w:rsid w:val="00C54B4E"/>
    <w:rsid w:val="00C551B0"/>
    <w:rsid w:val="00C551C3"/>
    <w:rsid w:val="00C55205"/>
    <w:rsid w:val="00C552D2"/>
    <w:rsid w:val="00C55364"/>
    <w:rsid w:val="00C5537F"/>
    <w:rsid w:val="00C553D5"/>
    <w:rsid w:val="00C554A2"/>
    <w:rsid w:val="00C55552"/>
    <w:rsid w:val="00C55628"/>
    <w:rsid w:val="00C55701"/>
    <w:rsid w:val="00C55703"/>
    <w:rsid w:val="00C557EC"/>
    <w:rsid w:val="00C55B52"/>
    <w:rsid w:val="00C55C68"/>
    <w:rsid w:val="00C55FDF"/>
    <w:rsid w:val="00C560CA"/>
    <w:rsid w:val="00C561AF"/>
    <w:rsid w:val="00C56339"/>
    <w:rsid w:val="00C5637E"/>
    <w:rsid w:val="00C563C6"/>
    <w:rsid w:val="00C564C1"/>
    <w:rsid w:val="00C56623"/>
    <w:rsid w:val="00C56698"/>
    <w:rsid w:val="00C566B8"/>
    <w:rsid w:val="00C5671F"/>
    <w:rsid w:val="00C56861"/>
    <w:rsid w:val="00C568B2"/>
    <w:rsid w:val="00C568B8"/>
    <w:rsid w:val="00C568FA"/>
    <w:rsid w:val="00C56CB4"/>
    <w:rsid w:val="00C56D4C"/>
    <w:rsid w:val="00C56E53"/>
    <w:rsid w:val="00C56EAC"/>
    <w:rsid w:val="00C56FC5"/>
    <w:rsid w:val="00C56FFC"/>
    <w:rsid w:val="00C5701B"/>
    <w:rsid w:val="00C570A4"/>
    <w:rsid w:val="00C57238"/>
    <w:rsid w:val="00C57245"/>
    <w:rsid w:val="00C572AC"/>
    <w:rsid w:val="00C57367"/>
    <w:rsid w:val="00C5753F"/>
    <w:rsid w:val="00C575E1"/>
    <w:rsid w:val="00C576D6"/>
    <w:rsid w:val="00C5771E"/>
    <w:rsid w:val="00C57736"/>
    <w:rsid w:val="00C577C6"/>
    <w:rsid w:val="00C57823"/>
    <w:rsid w:val="00C578AB"/>
    <w:rsid w:val="00C57920"/>
    <w:rsid w:val="00C57A52"/>
    <w:rsid w:val="00C57A61"/>
    <w:rsid w:val="00C57D23"/>
    <w:rsid w:val="00C57E44"/>
    <w:rsid w:val="00C57EDC"/>
    <w:rsid w:val="00C57EFF"/>
    <w:rsid w:val="00C57F70"/>
    <w:rsid w:val="00C600A7"/>
    <w:rsid w:val="00C600AD"/>
    <w:rsid w:val="00C60245"/>
    <w:rsid w:val="00C60252"/>
    <w:rsid w:val="00C602FE"/>
    <w:rsid w:val="00C60303"/>
    <w:rsid w:val="00C603BE"/>
    <w:rsid w:val="00C603CB"/>
    <w:rsid w:val="00C60539"/>
    <w:rsid w:val="00C605EF"/>
    <w:rsid w:val="00C606E6"/>
    <w:rsid w:val="00C60718"/>
    <w:rsid w:val="00C60756"/>
    <w:rsid w:val="00C607D4"/>
    <w:rsid w:val="00C608B8"/>
    <w:rsid w:val="00C60AB5"/>
    <w:rsid w:val="00C60E5F"/>
    <w:rsid w:val="00C60EBE"/>
    <w:rsid w:val="00C60F5D"/>
    <w:rsid w:val="00C60FE4"/>
    <w:rsid w:val="00C61149"/>
    <w:rsid w:val="00C6119A"/>
    <w:rsid w:val="00C611FE"/>
    <w:rsid w:val="00C61401"/>
    <w:rsid w:val="00C614A5"/>
    <w:rsid w:val="00C6155D"/>
    <w:rsid w:val="00C6160B"/>
    <w:rsid w:val="00C616CB"/>
    <w:rsid w:val="00C616EA"/>
    <w:rsid w:val="00C61733"/>
    <w:rsid w:val="00C61794"/>
    <w:rsid w:val="00C617DC"/>
    <w:rsid w:val="00C61980"/>
    <w:rsid w:val="00C61BB2"/>
    <w:rsid w:val="00C61BE3"/>
    <w:rsid w:val="00C61C3D"/>
    <w:rsid w:val="00C61CD3"/>
    <w:rsid w:val="00C61D6A"/>
    <w:rsid w:val="00C61F04"/>
    <w:rsid w:val="00C61F64"/>
    <w:rsid w:val="00C6208F"/>
    <w:rsid w:val="00C620CB"/>
    <w:rsid w:val="00C62227"/>
    <w:rsid w:val="00C62266"/>
    <w:rsid w:val="00C62375"/>
    <w:rsid w:val="00C623CE"/>
    <w:rsid w:val="00C6247D"/>
    <w:rsid w:val="00C62606"/>
    <w:rsid w:val="00C6276E"/>
    <w:rsid w:val="00C6277B"/>
    <w:rsid w:val="00C628F0"/>
    <w:rsid w:val="00C6296C"/>
    <w:rsid w:val="00C6299D"/>
    <w:rsid w:val="00C62BD6"/>
    <w:rsid w:val="00C62C3B"/>
    <w:rsid w:val="00C62C8C"/>
    <w:rsid w:val="00C62D54"/>
    <w:rsid w:val="00C630D1"/>
    <w:rsid w:val="00C631E4"/>
    <w:rsid w:val="00C6324B"/>
    <w:rsid w:val="00C63322"/>
    <w:rsid w:val="00C6335D"/>
    <w:rsid w:val="00C63524"/>
    <w:rsid w:val="00C6355D"/>
    <w:rsid w:val="00C63584"/>
    <w:rsid w:val="00C6376E"/>
    <w:rsid w:val="00C638A4"/>
    <w:rsid w:val="00C63A38"/>
    <w:rsid w:val="00C63B3C"/>
    <w:rsid w:val="00C63B84"/>
    <w:rsid w:val="00C63BCD"/>
    <w:rsid w:val="00C63E32"/>
    <w:rsid w:val="00C63E62"/>
    <w:rsid w:val="00C63E90"/>
    <w:rsid w:val="00C63EBA"/>
    <w:rsid w:val="00C6413F"/>
    <w:rsid w:val="00C64181"/>
    <w:rsid w:val="00C641FF"/>
    <w:rsid w:val="00C64219"/>
    <w:rsid w:val="00C64571"/>
    <w:rsid w:val="00C645E8"/>
    <w:rsid w:val="00C64685"/>
    <w:rsid w:val="00C6468B"/>
    <w:rsid w:val="00C646AE"/>
    <w:rsid w:val="00C646B7"/>
    <w:rsid w:val="00C64918"/>
    <w:rsid w:val="00C6493B"/>
    <w:rsid w:val="00C6493E"/>
    <w:rsid w:val="00C64BD6"/>
    <w:rsid w:val="00C64BE3"/>
    <w:rsid w:val="00C64C83"/>
    <w:rsid w:val="00C64F93"/>
    <w:rsid w:val="00C65038"/>
    <w:rsid w:val="00C6508C"/>
    <w:rsid w:val="00C651E7"/>
    <w:rsid w:val="00C65334"/>
    <w:rsid w:val="00C65506"/>
    <w:rsid w:val="00C65706"/>
    <w:rsid w:val="00C6572C"/>
    <w:rsid w:val="00C65736"/>
    <w:rsid w:val="00C657C4"/>
    <w:rsid w:val="00C6582E"/>
    <w:rsid w:val="00C658A3"/>
    <w:rsid w:val="00C65A91"/>
    <w:rsid w:val="00C65A98"/>
    <w:rsid w:val="00C65C01"/>
    <w:rsid w:val="00C65C7F"/>
    <w:rsid w:val="00C65DB2"/>
    <w:rsid w:val="00C65DE3"/>
    <w:rsid w:val="00C65E4A"/>
    <w:rsid w:val="00C65F50"/>
    <w:rsid w:val="00C66022"/>
    <w:rsid w:val="00C66049"/>
    <w:rsid w:val="00C66067"/>
    <w:rsid w:val="00C66098"/>
    <w:rsid w:val="00C660AE"/>
    <w:rsid w:val="00C661DF"/>
    <w:rsid w:val="00C6646F"/>
    <w:rsid w:val="00C6659F"/>
    <w:rsid w:val="00C66657"/>
    <w:rsid w:val="00C6669A"/>
    <w:rsid w:val="00C66744"/>
    <w:rsid w:val="00C667BA"/>
    <w:rsid w:val="00C668A8"/>
    <w:rsid w:val="00C66E64"/>
    <w:rsid w:val="00C66E81"/>
    <w:rsid w:val="00C6707B"/>
    <w:rsid w:val="00C671CA"/>
    <w:rsid w:val="00C673E9"/>
    <w:rsid w:val="00C673EB"/>
    <w:rsid w:val="00C6744E"/>
    <w:rsid w:val="00C67531"/>
    <w:rsid w:val="00C675E5"/>
    <w:rsid w:val="00C6767A"/>
    <w:rsid w:val="00C67764"/>
    <w:rsid w:val="00C67872"/>
    <w:rsid w:val="00C6793F"/>
    <w:rsid w:val="00C679AA"/>
    <w:rsid w:val="00C67AE7"/>
    <w:rsid w:val="00C67AF3"/>
    <w:rsid w:val="00C67B84"/>
    <w:rsid w:val="00C67C4C"/>
    <w:rsid w:val="00C67C7B"/>
    <w:rsid w:val="00C67CC9"/>
    <w:rsid w:val="00C67D03"/>
    <w:rsid w:val="00C67ECD"/>
    <w:rsid w:val="00C7012F"/>
    <w:rsid w:val="00C701D9"/>
    <w:rsid w:val="00C7021E"/>
    <w:rsid w:val="00C702B5"/>
    <w:rsid w:val="00C702FE"/>
    <w:rsid w:val="00C7033F"/>
    <w:rsid w:val="00C704ED"/>
    <w:rsid w:val="00C7068B"/>
    <w:rsid w:val="00C706BB"/>
    <w:rsid w:val="00C7085E"/>
    <w:rsid w:val="00C709CA"/>
    <w:rsid w:val="00C70AEF"/>
    <w:rsid w:val="00C70BBD"/>
    <w:rsid w:val="00C70EFD"/>
    <w:rsid w:val="00C70FFF"/>
    <w:rsid w:val="00C7108A"/>
    <w:rsid w:val="00C71092"/>
    <w:rsid w:val="00C7119B"/>
    <w:rsid w:val="00C712F5"/>
    <w:rsid w:val="00C7143C"/>
    <w:rsid w:val="00C71512"/>
    <w:rsid w:val="00C71568"/>
    <w:rsid w:val="00C7160D"/>
    <w:rsid w:val="00C71620"/>
    <w:rsid w:val="00C7164C"/>
    <w:rsid w:val="00C7168F"/>
    <w:rsid w:val="00C717A1"/>
    <w:rsid w:val="00C717B6"/>
    <w:rsid w:val="00C717E8"/>
    <w:rsid w:val="00C7197A"/>
    <w:rsid w:val="00C71A0C"/>
    <w:rsid w:val="00C71A76"/>
    <w:rsid w:val="00C71C14"/>
    <w:rsid w:val="00C71CDF"/>
    <w:rsid w:val="00C71D21"/>
    <w:rsid w:val="00C71D76"/>
    <w:rsid w:val="00C71FC8"/>
    <w:rsid w:val="00C72129"/>
    <w:rsid w:val="00C722BF"/>
    <w:rsid w:val="00C723D7"/>
    <w:rsid w:val="00C72426"/>
    <w:rsid w:val="00C72486"/>
    <w:rsid w:val="00C727F1"/>
    <w:rsid w:val="00C7283D"/>
    <w:rsid w:val="00C729C0"/>
    <w:rsid w:val="00C72A10"/>
    <w:rsid w:val="00C72B23"/>
    <w:rsid w:val="00C72C47"/>
    <w:rsid w:val="00C72D35"/>
    <w:rsid w:val="00C72D82"/>
    <w:rsid w:val="00C72F46"/>
    <w:rsid w:val="00C72F61"/>
    <w:rsid w:val="00C72F6A"/>
    <w:rsid w:val="00C72FDB"/>
    <w:rsid w:val="00C7304C"/>
    <w:rsid w:val="00C730A2"/>
    <w:rsid w:val="00C73273"/>
    <w:rsid w:val="00C732E6"/>
    <w:rsid w:val="00C7330A"/>
    <w:rsid w:val="00C73540"/>
    <w:rsid w:val="00C735D4"/>
    <w:rsid w:val="00C736A7"/>
    <w:rsid w:val="00C73734"/>
    <w:rsid w:val="00C7388A"/>
    <w:rsid w:val="00C73907"/>
    <w:rsid w:val="00C73A35"/>
    <w:rsid w:val="00C73A84"/>
    <w:rsid w:val="00C73BF1"/>
    <w:rsid w:val="00C73CB1"/>
    <w:rsid w:val="00C73CF0"/>
    <w:rsid w:val="00C73D01"/>
    <w:rsid w:val="00C73D42"/>
    <w:rsid w:val="00C73E5A"/>
    <w:rsid w:val="00C73ECF"/>
    <w:rsid w:val="00C73EFE"/>
    <w:rsid w:val="00C73F29"/>
    <w:rsid w:val="00C73F3A"/>
    <w:rsid w:val="00C73F9D"/>
    <w:rsid w:val="00C74375"/>
    <w:rsid w:val="00C74437"/>
    <w:rsid w:val="00C74464"/>
    <w:rsid w:val="00C74489"/>
    <w:rsid w:val="00C744F6"/>
    <w:rsid w:val="00C7452B"/>
    <w:rsid w:val="00C74577"/>
    <w:rsid w:val="00C74693"/>
    <w:rsid w:val="00C74717"/>
    <w:rsid w:val="00C74773"/>
    <w:rsid w:val="00C74974"/>
    <w:rsid w:val="00C74A94"/>
    <w:rsid w:val="00C74B3C"/>
    <w:rsid w:val="00C74C2F"/>
    <w:rsid w:val="00C74D05"/>
    <w:rsid w:val="00C74E44"/>
    <w:rsid w:val="00C74E91"/>
    <w:rsid w:val="00C74F32"/>
    <w:rsid w:val="00C74F62"/>
    <w:rsid w:val="00C74F6A"/>
    <w:rsid w:val="00C75203"/>
    <w:rsid w:val="00C752BD"/>
    <w:rsid w:val="00C75666"/>
    <w:rsid w:val="00C756F0"/>
    <w:rsid w:val="00C7582F"/>
    <w:rsid w:val="00C7588C"/>
    <w:rsid w:val="00C758CD"/>
    <w:rsid w:val="00C758D2"/>
    <w:rsid w:val="00C758D6"/>
    <w:rsid w:val="00C758F8"/>
    <w:rsid w:val="00C75987"/>
    <w:rsid w:val="00C75ACF"/>
    <w:rsid w:val="00C75BCA"/>
    <w:rsid w:val="00C75BFA"/>
    <w:rsid w:val="00C75C71"/>
    <w:rsid w:val="00C75D91"/>
    <w:rsid w:val="00C75DA1"/>
    <w:rsid w:val="00C75DD8"/>
    <w:rsid w:val="00C75E52"/>
    <w:rsid w:val="00C75E55"/>
    <w:rsid w:val="00C75E6A"/>
    <w:rsid w:val="00C75ED0"/>
    <w:rsid w:val="00C75F86"/>
    <w:rsid w:val="00C760BE"/>
    <w:rsid w:val="00C760D4"/>
    <w:rsid w:val="00C761BC"/>
    <w:rsid w:val="00C7623B"/>
    <w:rsid w:val="00C76268"/>
    <w:rsid w:val="00C76316"/>
    <w:rsid w:val="00C76407"/>
    <w:rsid w:val="00C765A3"/>
    <w:rsid w:val="00C765CD"/>
    <w:rsid w:val="00C76671"/>
    <w:rsid w:val="00C766D6"/>
    <w:rsid w:val="00C76772"/>
    <w:rsid w:val="00C76789"/>
    <w:rsid w:val="00C767F6"/>
    <w:rsid w:val="00C76868"/>
    <w:rsid w:val="00C768B8"/>
    <w:rsid w:val="00C76AF0"/>
    <w:rsid w:val="00C76B4B"/>
    <w:rsid w:val="00C76CF8"/>
    <w:rsid w:val="00C76D1E"/>
    <w:rsid w:val="00C771B9"/>
    <w:rsid w:val="00C77236"/>
    <w:rsid w:val="00C7738A"/>
    <w:rsid w:val="00C773FC"/>
    <w:rsid w:val="00C77438"/>
    <w:rsid w:val="00C77477"/>
    <w:rsid w:val="00C77617"/>
    <w:rsid w:val="00C7761B"/>
    <w:rsid w:val="00C7765C"/>
    <w:rsid w:val="00C776C6"/>
    <w:rsid w:val="00C77AEF"/>
    <w:rsid w:val="00C77AFC"/>
    <w:rsid w:val="00C77CA1"/>
    <w:rsid w:val="00C77CD8"/>
    <w:rsid w:val="00C77CF3"/>
    <w:rsid w:val="00C77D6E"/>
    <w:rsid w:val="00C77E55"/>
    <w:rsid w:val="00C77E56"/>
    <w:rsid w:val="00C77F76"/>
    <w:rsid w:val="00C77FE9"/>
    <w:rsid w:val="00C801CF"/>
    <w:rsid w:val="00C80245"/>
    <w:rsid w:val="00C8026E"/>
    <w:rsid w:val="00C80398"/>
    <w:rsid w:val="00C80491"/>
    <w:rsid w:val="00C805BC"/>
    <w:rsid w:val="00C8067C"/>
    <w:rsid w:val="00C80864"/>
    <w:rsid w:val="00C80B19"/>
    <w:rsid w:val="00C80BBF"/>
    <w:rsid w:val="00C80BCB"/>
    <w:rsid w:val="00C80C08"/>
    <w:rsid w:val="00C80CF3"/>
    <w:rsid w:val="00C80D50"/>
    <w:rsid w:val="00C80DA7"/>
    <w:rsid w:val="00C80E86"/>
    <w:rsid w:val="00C80F6D"/>
    <w:rsid w:val="00C80F90"/>
    <w:rsid w:val="00C80FDA"/>
    <w:rsid w:val="00C81010"/>
    <w:rsid w:val="00C8116B"/>
    <w:rsid w:val="00C81191"/>
    <w:rsid w:val="00C81242"/>
    <w:rsid w:val="00C8125E"/>
    <w:rsid w:val="00C8127A"/>
    <w:rsid w:val="00C8158A"/>
    <w:rsid w:val="00C815B0"/>
    <w:rsid w:val="00C817F0"/>
    <w:rsid w:val="00C8188F"/>
    <w:rsid w:val="00C818D3"/>
    <w:rsid w:val="00C81BC4"/>
    <w:rsid w:val="00C81BD0"/>
    <w:rsid w:val="00C81D84"/>
    <w:rsid w:val="00C81EE7"/>
    <w:rsid w:val="00C81EF4"/>
    <w:rsid w:val="00C82038"/>
    <w:rsid w:val="00C82055"/>
    <w:rsid w:val="00C82167"/>
    <w:rsid w:val="00C821C8"/>
    <w:rsid w:val="00C8227C"/>
    <w:rsid w:val="00C822E3"/>
    <w:rsid w:val="00C823A6"/>
    <w:rsid w:val="00C824AF"/>
    <w:rsid w:val="00C82525"/>
    <w:rsid w:val="00C8253D"/>
    <w:rsid w:val="00C8253F"/>
    <w:rsid w:val="00C825EB"/>
    <w:rsid w:val="00C82761"/>
    <w:rsid w:val="00C827C1"/>
    <w:rsid w:val="00C828B0"/>
    <w:rsid w:val="00C828EE"/>
    <w:rsid w:val="00C82928"/>
    <w:rsid w:val="00C82988"/>
    <w:rsid w:val="00C82B71"/>
    <w:rsid w:val="00C82B9E"/>
    <w:rsid w:val="00C82C13"/>
    <w:rsid w:val="00C82DA2"/>
    <w:rsid w:val="00C82DB8"/>
    <w:rsid w:val="00C82E09"/>
    <w:rsid w:val="00C82E63"/>
    <w:rsid w:val="00C82F26"/>
    <w:rsid w:val="00C83010"/>
    <w:rsid w:val="00C8309A"/>
    <w:rsid w:val="00C83113"/>
    <w:rsid w:val="00C831D4"/>
    <w:rsid w:val="00C83291"/>
    <w:rsid w:val="00C83294"/>
    <w:rsid w:val="00C832D5"/>
    <w:rsid w:val="00C83323"/>
    <w:rsid w:val="00C8332A"/>
    <w:rsid w:val="00C83385"/>
    <w:rsid w:val="00C833F4"/>
    <w:rsid w:val="00C83401"/>
    <w:rsid w:val="00C834E2"/>
    <w:rsid w:val="00C835CC"/>
    <w:rsid w:val="00C83623"/>
    <w:rsid w:val="00C836C3"/>
    <w:rsid w:val="00C83754"/>
    <w:rsid w:val="00C838ED"/>
    <w:rsid w:val="00C8394B"/>
    <w:rsid w:val="00C839C0"/>
    <w:rsid w:val="00C83AA5"/>
    <w:rsid w:val="00C83C16"/>
    <w:rsid w:val="00C83C20"/>
    <w:rsid w:val="00C83D6D"/>
    <w:rsid w:val="00C83DD0"/>
    <w:rsid w:val="00C83EC4"/>
    <w:rsid w:val="00C83EF3"/>
    <w:rsid w:val="00C83EFF"/>
    <w:rsid w:val="00C841F8"/>
    <w:rsid w:val="00C8439B"/>
    <w:rsid w:val="00C84508"/>
    <w:rsid w:val="00C8458B"/>
    <w:rsid w:val="00C846F6"/>
    <w:rsid w:val="00C84750"/>
    <w:rsid w:val="00C848F7"/>
    <w:rsid w:val="00C848FB"/>
    <w:rsid w:val="00C84940"/>
    <w:rsid w:val="00C8499B"/>
    <w:rsid w:val="00C84B42"/>
    <w:rsid w:val="00C84B4B"/>
    <w:rsid w:val="00C84B94"/>
    <w:rsid w:val="00C84C13"/>
    <w:rsid w:val="00C84C32"/>
    <w:rsid w:val="00C84C95"/>
    <w:rsid w:val="00C84D51"/>
    <w:rsid w:val="00C84DCD"/>
    <w:rsid w:val="00C84EC3"/>
    <w:rsid w:val="00C84F8B"/>
    <w:rsid w:val="00C85007"/>
    <w:rsid w:val="00C85151"/>
    <w:rsid w:val="00C851A3"/>
    <w:rsid w:val="00C8532B"/>
    <w:rsid w:val="00C85385"/>
    <w:rsid w:val="00C853B2"/>
    <w:rsid w:val="00C85430"/>
    <w:rsid w:val="00C8546D"/>
    <w:rsid w:val="00C854F6"/>
    <w:rsid w:val="00C8562E"/>
    <w:rsid w:val="00C85649"/>
    <w:rsid w:val="00C85744"/>
    <w:rsid w:val="00C857A0"/>
    <w:rsid w:val="00C857A2"/>
    <w:rsid w:val="00C8585B"/>
    <w:rsid w:val="00C859D8"/>
    <w:rsid w:val="00C85ACF"/>
    <w:rsid w:val="00C85ADC"/>
    <w:rsid w:val="00C85B1B"/>
    <w:rsid w:val="00C85BFE"/>
    <w:rsid w:val="00C85CDF"/>
    <w:rsid w:val="00C85DC4"/>
    <w:rsid w:val="00C85DCF"/>
    <w:rsid w:val="00C85E7A"/>
    <w:rsid w:val="00C85F05"/>
    <w:rsid w:val="00C85F68"/>
    <w:rsid w:val="00C85FE7"/>
    <w:rsid w:val="00C85FF6"/>
    <w:rsid w:val="00C86040"/>
    <w:rsid w:val="00C861A6"/>
    <w:rsid w:val="00C86289"/>
    <w:rsid w:val="00C862A2"/>
    <w:rsid w:val="00C862B0"/>
    <w:rsid w:val="00C863AA"/>
    <w:rsid w:val="00C864A0"/>
    <w:rsid w:val="00C8657E"/>
    <w:rsid w:val="00C865B0"/>
    <w:rsid w:val="00C8666C"/>
    <w:rsid w:val="00C86679"/>
    <w:rsid w:val="00C866CB"/>
    <w:rsid w:val="00C866F6"/>
    <w:rsid w:val="00C868CB"/>
    <w:rsid w:val="00C86AA6"/>
    <w:rsid w:val="00C86D7C"/>
    <w:rsid w:val="00C86DA5"/>
    <w:rsid w:val="00C86DC6"/>
    <w:rsid w:val="00C86E1B"/>
    <w:rsid w:val="00C86E6C"/>
    <w:rsid w:val="00C86F17"/>
    <w:rsid w:val="00C86FF5"/>
    <w:rsid w:val="00C870DE"/>
    <w:rsid w:val="00C870F4"/>
    <w:rsid w:val="00C87340"/>
    <w:rsid w:val="00C873CC"/>
    <w:rsid w:val="00C87407"/>
    <w:rsid w:val="00C87499"/>
    <w:rsid w:val="00C8767E"/>
    <w:rsid w:val="00C876B7"/>
    <w:rsid w:val="00C8770F"/>
    <w:rsid w:val="00C87923"/>
    <w:rsid w:val="00C8798D"/>
    <w:rsid w:val="00C879AB"/>
    <w:rsid w:val="00C879F4"/>
    <w:rsid w:val="00C87C3B"/>
    <w:rsid w:val="00C87D32"/>
    <w:rsid w:val="00C9002C"/>
    <w:rsid w:val="00C90088"/>
    <w:rsid w:val="00C900EB"/>
    <w:rsid w:val="00C9011A"/>
    <w:rsid w:val="00C9015A"/>
    <w:rsid w:val="00C9052B"/>
    <w:rsid w:val="00C90632"/>
    <w:rsid w:val="00C9063B"/>
    <w:rsid w:val="00C906B6"/>
    <w:rsid w:val="00C906E2"/>
    <w:rsid w:val="00C90723"/>
    <w:rsid w:val="00C90AB3"/>
    <w:rsid w:val="00C90BB0"/>
    <w:rsid w:val="00C90BBB"/>
    <w:rsid w:val="00C90C0A"/>
    <w:rsid w:val="00C90CDE"/>
    <w:rsid w:val="00C90D14"/>
    <w:rsid w:val="00C90D6F"/>
    <w:rsid w:val="00C90DCF"/>
    <w:rsid w:val="00C90E39"/>
    <w:rsid w:val="00C90EF8"/>
    <w:rsid w:val="00C911E6"/>
    <w:rsid w:val="00C91280"/>
    <w:rsid w:val="00C912E3"/>
    <w:rsid w:val="00C91346"/>
    <w:rsid w:val="00C9145C"/>
    <w:rsid w:val="00C914A5"/>
    <w:rsid w:val="00C91515"/>
    <w:rsid w:val="00C915AE"/>
    <w:rsid w:val="00C916C8"/>
    <w:rsid w:val="00C918F4"/>
    <w:rsid w:val="00C91ABF"/>
    <w:rsid w:val="00C91BE2"/>
    <w:rsid w:val="00C91DB0"/>
    <w:rsid w:val="00C91EEB"/>
    <w:rsid w:val="00C9211B"/>
    <w:rsid w:val="00C925BC"/>
    <w:rsid w:val="00C92637"/>
    <w:rsid w:val="00C929A5"/>
    <w:rsid w:val="00C92B01"/>
    <w:rsid w:val="00C92C15"/>
    <w:rsid w:val="00C92D21"/>
    <w:rsid w:val="00C92D9E"/>
    <w:rsid w:val="00C92E46"/>
    <w:rsid w:val="00C92E5C"/>
    <w:rsid w:val="00C92E6F"/>
    <w:rsid w:val="00C92EBB"/>
    <w:rsid w:val="00C93029"/>
    <w:rsid w:val="00C931C7"/>
    <w:rsid w:val="00C9338E"/>
    <w:rsid w:val="00C933AC"/>
    <w:rsid w:val="00C9345A"/>
    <w:rsid w:val="00C934A3"/>
    <w:rsid w:val="00C93777"/>
    <w:rsid w:val="00C938A0"/>
    <w:rsid w:val="00C938CC"/>
    <w:rsid w:val="00C938E5"/>
    <w:rsid w:val="00C9399B"/>
    <w:rsid w:val="00C939E1"/>
    <w:rsid w:val="00C939F6"/>
    <w:rsid w:val="00C93A63"/>
    <w:rsid w:val="00C93BCE"/>
    <w:rsid w:val="00C93C4F"/>
    <w:rsid w:val="00C93E87"/>
    <w:rsid w:val="00C93ED1"/>
    <w:rsid w:val="00C93EE0"/>
    <w:rsid w:val="00C93F88"/>
    <w:rsid w:val="00C93FD5"/>
    <w:rsid w:val="00C940B7"/>
    <w:rsid w:val="00C940D4"/>
    <w:rsid w:val="00C9410E"/>
    <w:rsid w:val="00C941AB"/>
    <w:rsid w:val="00C941D6"/>
    <w:rsid w:val="00C942A2"/>
    <w:rsid w:val="00C94310"/>
    <w:rsid w:val="00C944D9"/>
    <w:rsid w:val="00C9458C"/>
    <w:rsid w:val="00C9472D"/>
    <w:rsid w:val="00C947EC"/>
    <w:rsid w:val="00C94A0E"/>
    <w:rsid w:val="00C94A46"/>
    <w:rsid w:val="00C94A98"/>
    <w:rsid w:val="00C94AD1"/>
    <w:rsid w:val="00C94BD9"/>
    <w:rsid w:val="00C94CD8"/>
    <w:rsid w:val="00C94CEE"/>
    <w:rsid w:val="00C94D21"/>
    <w:rsid w:val="00C94D73"/>
    <w:rsid w:val="00C94DEA"/>
    <w:rsid w:val="00C94EFA"/>
    <w:rsid w:val="00C9523A"/>
    <w:rsid w:val="00C953D1"/>
    <w:rsid w:val="00C953E3"/>
    <w:rsid w:val="00C954CB"/>
    <w:rsid w:val="00C9556D"/>
    <w:rsid w:val="00C95690"/>
    <w:rsid w:val="00C95705"/>
    <w:rsid w:val="00C9585F"/>
    <w:rsid w:val="00C958FE"/>
    <w:rsid w:val="00C95935"/>
    <w:rsid w:val="00C959E0"/>
    <w:rsid w:val="00C95D84"/>
    <w:rsid w:val="00C95E23"/>
    <w:rsid w:val="00C95E60"/>
    <w:rsid w:val="00C95E8B"/>
    <w:rsid w:val="00C95F00"/>
    <w:rsid w:val="00C960E1"/>
    <w:rsid w:val="00C962F6"/>
    <w:rsid w:val="00C9638E"/>
    <w:rsid w:val="00C963ED"/>
    <w:rsid w:val="00C96489"/>
    <w:rsid w:val="00C96534"/>
    <w:rsid w:val="00C96538"/>
    <w:rsid w:val="00C96665"/>
    <w:rsid w:val="00C967D4"/>
    <w:rsid w:val="00C968E9"/>
    <w:rsid w:val="00C96974"/>
    <w:rsid w:val="00C969E8"/>
    <w:rsid w:val="00C969F8"/>
    <w:rsid w:val="00C969FC"/>
    <w:rsid w:val="00C96A7C"/>
    <w:rsid w:val="00C96B17"/>
    <w:rsid w:val="00C96C5F"/>
    <w:rsid w:val="00C96CB2"/>
    <w:rsid w:val="00C96D3B"/>
    <w:rsid w:val="00C96DBE"/>
    <w:rsid w:val="00C96DFF"/>
    <w:rsid w:val="00C96EC7"/>
    <w:rsid w:val="00C96F26"/>
    <w:rsid w:val="00C96FCC"/>
    <w:rsid w:val="00C9712F"/>
    <w:rsid w:val="00C9717D"/>
    <w:rsid w:val="00C971B5"/>
    <w:rsid w:val="00C971C3"/>
    <w:rsid w:val="00C971D5"/>
    <w:rsid w:val="00C971EE"/>
    <w:rsid w:val="00C9722D"/>
    <w:rsid w:val="00C972BC"/>
    <w:rsid w:val="00C9732A"/>
    <w:rsid w:val="00C9755D"/>
    <w:rsid w:val="00C97621"/>
    <w:rsid w:val="00C97751"/>
    <w:rsid w:val="00C9775B"/>
    <w:rsid w:val="00C97832"/>
    <w:rsid w:val="00C978B8"/>
    <w:rsid w:val="00C978E4"/>
    <w:rsid w:val="00C979B6"/>
    <w:rsid w:val="00C97B16"/>
    <w:rsid w:val="00C97C1D"/>
    <w:rsid w:val="00C97CD8"/>
    <w:rsid w:val="00C97D4D"/>
    <w:rsid w:val="00C97EFC"/>
    <w:rsid w:val="00C97F50"/>
    <w:rsid w:val="00CA0072"/>
    <w:rsid w:val="00CA02A8"/>
    <w:rsid w:val="00CA0418"/>
    <w:rsid w:val="00CA04DB"/>
    <w:rsid w:val="00CA07B3"/>
    <w:rsid w:val="00CA07BF"/>
    <w:rsid w:val="00CA080D"/>
    <w:rsid w:val="00CA08FD"/>
    <w:rsid w:val="00CA0993"/>
    <w:rsid w:val="00CA0A51"/>
    <w:rsid w:val="00CA0B88"/>
    <w:rsid w:val="00CA0BE7"/>
    <w:rsid w:val="00CA0F69"/>
    <w:rsid w:val="00CA0FD3"/>
    <w:rsid w:val="00CA104D"/>
    <w:rsid w:val="00CA11FD"/>
    <w:rsid w:val="00CA13F7"/>
    <w:rsid w:val="00CA142A"/>
    <w:rsid w:val="00CA14B7"/>
    <w:rsid w:val="00CA16E1"/>
    <w:rsid w:val="00CA177D"/>
    <w:rsid w:val="00CA1813"/>
    <w:rsid w:val="00CA1A2C"/>
    <w:rsid w:val="00CA1AB2"/>
    <w:rsid w:val="00CA1C49"/>
    <w:rsid w:val="00CA1C8F"/>
    <w:rsid w:val="00CA1CBF"/>
    <w:rsid w:val="00CA1CF2"/>
    <w:rsid w:val="00CA1E20"/>
    <w:rsid w:val="00CA1E30"/>
    <w:rsid w:val="00CA1F37"/>
    <w:rsid w:val="00CA1F7D"/>
    <w:rsid w:val="00CA20B9"/>
    <w:rsid w:val="00CA21F4"/>
    <w:rsid w:val="00CA22F3"/>
    <w:rsid w:val="00CA232E"/>
    <w:rsid w:val="00CA234F"/>
    <w:rsid w:val="00CA23DB"/>
    <w:rsid w:val="00CA259F"/>
    <w:rsid w:val="00CA2731"/>
    <w:rsid w:val="00CA27D7"/>
    <w:rsid w:val="00CA2904"/>
    <w:rsid w:val="00CA29D0"/>
    <w:rsid w:val="00CA2A4A"/>
    <w:rsid w:val="00CA2D86"/>
    <w:rsid w:val="00CA2DD5"/>
    <w:rsid w:val="00CA2E4A"/>
    <w:rsid w:val="00CA304B"/>
    <w:rsid w:val="00CA31B0"/>
    <w:rsid w:val="00CA32CB"/>
    <w:rsid w:val="00CA32DF"/>
    <w:rsid w:val="00CA3338"/>
    <w:rsid w:val="00CA33BE"/>
    <w:rsid w:val="00CA3437"/>
    <w:rsid w:val="00CA3576"/>
    <w:rsid w:val="00CA3891"/>
    <w:rsid w:val="00CA38E7"/>
    <w:rsid w:val="00CA3967"/>
    <w:rsid w:val="00CA3AE0"/>
    <w:rsid w:val="00CA3BD2"/>
    <w:rsid w:val="00CA3E8F"/>
    <w:rsid w:val="00CA407F"/>
    <w:rsid w:val="00CA41A9"/>
    <w:rsid w:val="00CA4276"/>
    <w:rsid w:val="00CA429F"/>
    <w:rsid w:val="00CA42C7"/>
    <w:rsid w:val="00CA4369"/>
    <w:rsid w:val="00CA43FC"/>
    <w:rsid w:val="00CA44D1"/>
    <w:rsid w:val="00CA4564"/>
    <w:rsid w:val="00CA4586"/>
    <w:rsid w:val="00CA4688"/>
    <w:rsid w:val="00CA46B2"/>
    <w:rsid w:val="00CA4702"/>
    <w:rsid w:val="00CA4B45"/>
    <w:rsid w:val="00CA4B90"/>
    <w:rsid w:val="00CA4BA5"/>
    <w:rsid w:val="00CA4BDA"/>
    <w:rsid w:val="00CA4C8D"/>
    <w:rsid w:val="00CA4DB7"/>
    <w:rsid w:val="00CA4F4E"/>
    <w:rsid w:val="00CA50A7"/>
    <w:rsid w:val="00CA50C5"/>
    <w:rsid w:val="00CA5190"/>
    <w:rsid w:val="00CA5231"/>
    <w:rsid w:val="00CA5236"/>
    <w:rsid w:val="00CA5250"/>
    <w:rsid w:val="00CA53AC"/>
    <w:rsid w:val="00CA540D"/>
    <w:rsid w:val="00CA548D"/>
    <w:rsid w:val="00CA56D1"/>
    <w:rsid w:val="00CA5785"/>
    <w:rsid w:val="00CA57A6"/>
    <w:rsid w:val="00CA57B4"/>
    <w:rsid w:val="00CA5807"/>
    <w:rsid w:val="00CA59FC"/>
    <w:rsid w:val="00CA5A53"/>
    <w:rsid w:val="00CA5A84"/>
    <w:rsid w:val="00CA5B87"/>
    <w:rsid w:val="00CA5BEB"/>
    <w:rsid w:val="00CA5CFE"/>
    <w:rsid w:val="00CA5D99"/>
    <w:rsid w:val="00CA5F0D"/>
    <w:rsid w:val="00CA5F9F"/>
    <w:rsid w:val="00CA65F9"/>
    <w:rsid w:val="00CA6641"/>
    <w:rsid w:val="00CA67E9"/>
    <w:rsid w:val="00CA681E"/>
    <w:rsid w:val="00CA6A15"/>
    <w:rsid w:val="00CA6D7E"/>
    <w:rsid w:val="00CA6D89"/>
    <w:rsid w:val="00CA6DB7"/>
    <w:rsid w:val="00CA6EA9"/>
    <w:rsid w:val="00CA6FD9"/>
    <w:rsid w:val="00CA6FF0"/>
    <w:rsid w:val="00CA701C"/>
    <w:rsid w:val="00CA70BB"/>
    <w:rsid w:val="00CA72C0"/>
    <w:rsid w:val="00CA7408"/>
    <w:rsid w:val="00CA7587"/>
    <w:rsid w:val="00CA7689"/>
    <w:rsid w:val="00CA7700"/>
    <w:rsid w:val="00CA77DC"/>
    <w:rsid w:val="00CA7AC1"/>
    <w:rsid w:val="00CA7CC9"/>
    <w:rsid w:val="00CA7D96"/>
    <w:rsid w:val="00CA7E61"/>
    <w:rsid w:val="00CA7EAC"/>
    <w:rsid w:val="00CB0002"/>
    <w:rsid w:val="00CB00A6"/>
    <w:rsid w:val="00CB01E2"/>
    <w:rsid w:val="00CB0277"/>
    <w:rsid w:val="00CB0387"/>
    <w:rsid w:val="00CB0398"/>
    <w:rsid w:val="00CB03DA"/>
    <w:rsid w:val="00CB070E"/>
    <w:rsid w:val="00CB0738"/>
    <w:rsid w:val="00CB0799"/>
    <w:rsid w:val="00CB08BB"/>
    <w:rsid w:val="00CB0902"/>
    <w:rsid w:val="00CB0A76"/>
    <w:rsid w:val="00CB0BFC"/>
    <w:rsid w:val="00CB0CBD"/>
    <w:rsid w:val="00CB0D80"/>
    <w:rsid w:val="00CB0EF7"/>
    <w:rsid w:val="00CB0F4F"/>
    <w:rsid w:val="00CB0F75"/>
    <w:rsid w:val="00CB0FBA"/>
    <w:rsid w:val="00CB10D0"/>
    <w:rsid w:val="00CB1140"/>
    <w:rsid w:val="00CB1343"/>
    <w:rsid w:val="00CB1386"/>
    <w:rsid w:val="00CB13FE"/>
    <w:rsid w:val="00CB14A3"/>
    <w:rsid w:val="00CB1528"/>
    <w:rsid w:val="00CB161F"/>
    <w:rsid w:val="00CB1729"/>
    <w:rsid w:val="00CB178C"/>
    <w:rsid w:val="00CB17C9"/>
    <w:rsid w:val="00CB18B0"/>
    <w:rsid w:val="00CB18F4"/>
    <w:rsid w:val="00CB1964"/>
    <w:rsid w:val="00CB1975"/>
    <w:rsid w:val="00CB1B01"/>
    <w:rsid w:val="00CB1D9A"/>
    <w:rsid w:val="00CB1E6C"/>
    <w:rsid w:val="00CB1E8A"/>
    <w:rsid w:val="00CB20F2"/>
    <w:rsid w:val="00CB23B2"/>
    <w:rsid w:val="00CB247A"/>
    <w:rsid w:val="00CB24F1"/>
    <w:rsid w:val="00CB2528"/>
    <w:rsid w:val="00CB26AB"/>
    <w:rsid w:val="00CB28E3"/>
    <w:rsid w:val="00CB2925"/>
    <w:rsid w:val="00CB292E"/>
    <w:rsid w:val="00CB297F"/>
    <w:rsid w:val="00CB2A24"/>
    <w:rsid w:val="00CB2BC7"/>
    <w:rsid w:val="00CB2BDB"/>
    <w:rsid w:val="00CB2D30"/>
    <w:rsid w:val="00CB2E2C"/>
    <w:rsid w:val="00CB2E47"/>
    <w:rsid w:val="00CB2E7C"/>
    <w:rsid w:val="00CB2FE7"/>
    <w:rsid w:val="00CB31DC"/>
    <w:rsid w:val="00CB32FB"/>
    <w:rsid w:val="00CB33AD"/>
    <w:rsid w:val="00CB343F"/>
    <w:rsid w:val="00CB3491"/>
    <w:rsid w:val="00CB3498"/>
    <w:rsid w:val="00CB3579"/>
    <w:rsid w:val="00CB3612"/>
    <w:rsid w:val="00CB36CC"/>
    <w:rsid w:val="00CB399D"/>
    <w:rsid w:val="00CB39E0"/>
    <w:rsid w:val="00CB3AA7"/>
    <w:rsid w:val="00CB3BC9"/>
    <w:rsid w:val="00CB3DF0"/>
    <w:rsid w:val="00CB3E24"/>
    <w:rsid w:val="00CB3EAF"/>
    <w:rsid w:val="00CB4102"/>
    <w:rsid w:val="00CB410C"/>
    <w:rsid w:val="00CB410D"/>
    <w:rsid w:val="00CB4125"/>
    <w:rsid w:val="00CB4202"/>
    <w:rsid w:val="00CB4413"/>
    <w:rsid w:val="00CB4432"/>
    <w:rsid w:val="00CB4469"/>
    <w:rsid w:val="00CB46A4"/>
    <w:rsid w:val="00CB47EB"/>
    <w:rsid w:val="00CB48AB"/>
    <w:rsid w:val="00CB4BC4"/>
    <w:rsid w:val="00CB4C47"/>
    <w:rsid w:val="00CB4C98"/>
    <w:rsid w:val="00CB4D2A"/>
    <w:rsid w:val="00CB50B8"/>
    <w:rsid w:val="00CB5296"/>
    <w:rsid w:val="00CB53E6"/>
    <w:rsid w:val="00CB54A5"/>
    <w:rsid w:val="00CB54B8"/>
    <w:rsid w:val="00CB555F"/>
    <w:rsid w:val="00CB5629"/>
    <w:rsid w:val="00CB571A"/>
    <w:rsid w:val="00CB577C"/>
    <w:rsid w:val="00CB59CE"/>
    <w:rsid w:val="00CB5A23"/>
    <w:rsid w:val="00CB5A5A"/>
    <w:rsid w:val="00CB5A69"/>
    <w:rsid w:val="00CB5B06"/>
    <w:rsid w:val="00CB5BB7"/>
    <w:rsid w:val="00CB5BF5"/>
    <w:rsid w:val="00CB5D9F"/>
    <w:rsid w:val="00CB5E79"/>
    <w:rsid w:val="00CB5E8F"/>
    <w:rsid w:val="00CB5E9E"/>
    <w:rsid w:val="00CB5F25"/>
    <w:rsid w:val="00CB6039"/>
    <w:rsid w:val="00CB60CD"/>
    <w:rsid w:val="00CB610F"/>
    <w:rsid w:val="00CB62C5"/>
    <w:rsid w:val="00CB62E0"/>
    <w:rsid w:val="00CB62F8"/>
    <w:rsid w:val="00CB6305"/>
    <w:rsid w:val="00CB639B"/>
    <w:rsid w:val="00CB63B0"/>
    <w:rsid w:val="00CB64C3"/>
    <w:rsid w:val="00CB6550"/>
    <w:rsid w:val="00CB6581"/>
    <w:rsid w:val="00CB6672"/>
    <w:rsid w:val="00CB67B0"/>
    <w:rsid w:val="00CB67F3"/>
    <w:rsid w:val="00CB6AFB"/>
    <w:rsid w:val="00CB6C3C"/>
    <w:rsid w:val="00CB6CC0"/>
    <w:rsid w:val="00CB6E0A"/>
    <w:rsid w:val="00CB6EA8"/>
    <w:rsid w:val="00CB7227"/>
    <w:rsid w:val="00CB7462"/>
    <w:rsid w:val="00CB7487"/>
    <w:rsid w:val="00CB7592"/>
    <w:rsid w:val="00CB75F2"/>
    <w:rsid w:val="00CB764A"/>
    <w:rsid w:val="00CB7669"/>
    <w:rsid w:val="00CB7850"/>
    <w:rsid w:val="00CB78BA"/>
    <w:rsid w:val="00CB7D93"/>
    <w:rsid w:val="00CB7E01"/>
    <w:rsid w:val="00CB7EF0"/>
    <w:rsid w:val="00CB7FCF"/>
    <w:rsid w:val="00CC0088"/>
    <w:rsid w:val="00CC00E0"/>
    <w:rsid w:val="00CC015A"/>
    <w:rsid w:val="00CC0275"/>
    <w:rsid w:val="00CC02B4"/>
    <w:rsid w:val="00CC0310"/>
    <w:rsid w:val="00CC0453"/>
    <w:rsid w:val="00CC04A1"/>
    <w:rsid w:val="00CC06BA"/>
    <w:rsid w:val="00CC0712"/>
    <w:rsid w:val="00CC0751"/>
    <w:rsid w:val="00CC0927"/>
    <w:rsid w:val="00CC09A2"/>
    <w:rsid w:val="00CC09B3"/>
    <w:rsid w:val="00CC0A60"/>
    <w:rsid w:val="00CC0CD2"/>
    <w:rsid w:val="00CC0E95"/>
    <w:rsid w:val="00CC1092"/>
    <w:rsid w:val="00CC10FC"/>
    <w:rsid w:val="00CC12EA"/>
    <w:rsid w:val="00CC1322"/>
    <w:rsid w:val="00CC13CA"/>
    <w:rsid w:val="00CC140A"/>
    <w:rsid w:val="00CC1495"/>
    <w:rsid w:val="00CC1596"/>
    <w:rsid w:val="00CC15C1"/>
    <w:rsid w:val="00CC15DB"/>
    <w:rsid w:val="00CC162D"/>
    <w:rsid w:val="00CC16A0"/>
    <w:rsid w:val="00CC1795"/>
    <w:rsid w:val="00CC18C3"/>
    <w:rsid w:val="00CC1904"/>
    <w:rsid w:val="00CC1909"/>
    <w:rsid w:val="00CC1994"/>
    <w:rsid w:val="00CC1A76"/>
    <w:rsid w:val="00CC1AAA"/>
    <w:rsid w:val="00CC1AE1"/>
    <w:rsid w:val="00CC1BD7"/>
    <w:rsid w:val="00CC1E30"/>
    <w:rsid w:val="00CC1EA5"/>
    <w:rsid w:val="00CC1F95"/>
    <w:rsid w:val="00CC2075"/>
    <w:rsid w:val="00CC2143"/>
    <w:rsid w:val="00CC216F"/>
    <w:rsid w:val="00CC2264"/>
    <w:rsid w:val="00CC22F9"/>
    <w:rsid w:val="00CC24A4"/>
    <w:rsid w:val="00CC24D8"/>
    <w:rsid w:val="00CC2573"/>
    <w:rsid w:val="00CC2697"/>
    <w:rsid w:val="00CC279D"/>
    <w:rsid w:val="00CC27BC"/>
    <w:rsid w:val="00CC294B"/>
    <w:rsid w:val="00CC2998"/>
    <w:rsid w:val="00CC2A2A"/>
    <w:rsid w:val="00CC2A37"/>
    <w:rsid w:val="00CC2ACB"/>
    <w:rsid w:val="00CC2B07"/>
    <w:rsid w:val="00CC2B4C"/>
    <w:rsid w:val="00CC2C8C"/>
    <w:rsid w:val="00CC2D0B"/>
    <w:rsid w:val="00CC2D6D"/>
    <w:rsid w:val="00CC2E96"/>
    <w:rsid w:val="00CC2ED9"/>
    <w:rsid w:val="00CC2F88"/>
    <w:rsid w:val="00CC2FD8"/>
    <w:rsid w:val="00CC30BF"/>
    <w:rsid w:val="00CC314F"/>
    <w:rsid w:val="00CC3173"/>
    <w:rsid w:val="00CC3268"/>
    <w:rsid w:val="00CC34D3"/>
    <w:rsid w:val="00CC3587"/>
    <w:rsid w:val="00CC35B7"/>
    <w:rsid w:val="00CC3611"/>
    <w:rsid w:val="00CC3633"/>
    <w:rsid w:val="00CC36A6"/>
    <w:rsid w:val="00CC3741"/>
    <w:rsid w:val="00CC3869"/>
    <w:rsid w:val="00CC38EE"/>
    <w:rsid w:val="00CC3999"/>
    <w:rsid w:val="00CC3A91"/>
    <w:rsid w:val="00CC3AF4"/>
    <w:rsid w:val="00CC3B1E"/>
    <w:rsid w:val="00CC3BE0"/>
    <w:rsid w:val="00CC3BFC"/>
    <w:rsid w:val="00CC3EC0"/>
    <w:rsid w:val="00CC3F14"/>
    <w:rsid w:val="00CC3F33"/>
    <w:rsid w:val="00CC3F8C"/>
    <w:rsid w:val="00CC42B4"/>
    <w:rsid w:val="00CC42F4"/>
    <w:rsid w:val="00CC43BD"/>
    <w:rsid w:val="00CC448B"/>
    <w:rsid w:val="00CC44CC"/>
    <w:rsid w:val="00CC4517"/>
    <w:rsid w:val="00CC463B"/>
    <w:rsid w:val="00CC4677"/>
    <w:rsid w:val="00CC46ED"/>
    <w:rsid w:val="00CC4785"/>
    <w:rsid w:val="00CC47A8"/>
    <w:rsid w:val="00CC488C"/>
    <w:rsid w:val="00CC489E"/>
    <w:rsid w:val="00CC4AD9"/>
    <w:rsid w:val="00CC4C35"/>
    <w:rsid w:val="00CC4C6C"/>
    <w:rsid w:val="00CC4CF4"/>
    <w:rsid w:val="00CC4DA7"/>
    <w:rsid w:val="00CC4F39"/>
    <w:rsid w:val="00CC5000"/>
    <w:rsid w:val="00CC504D"/>
    <w:rsid w:val="00CC5431"/>
    <w:rsid w:val="00CC56D5"/>
    <w:rsid w:val="00CC5713"/>
    <w:rsid w:val="00CC587A"/>
    <w:rsid w:val="00CC5942"/>
    <w:rsid w:val="00CC5974"/>
    <w:rsid w:val="00CC5BF6"/>
    <w:rsid w:val="00CC5CCE"/>
    <w:rsid w:val="00CC5CD6"/>
    <w:rsid w:val="00CC5E06"/>
    <w:rsid w:val="00CC5E9F"/>
    <w:rsid w:val="00CC5F70"/>
    <w:rsid w:val="00CC610F"/>
    <w:rsid w:val="00CC619F"/>
    <w:rsid w:val="00CC61AD"/>
    <w:rsid w:val="00CC61B9"/>
    <w:rsid w:val="00CC61E5"/>
    <w:rsid w:val="00CC6236"/>
    <w:rsid w:val="00CC63A8"/>
    <w:rsid w:val="00CC63AC"/>
    <w:rsid w:val="00CC642E"/>
    <w:rsid w:val="00CC64E7"/>
    <w:rsid w:val="00CC66A8"/>
    <w:rsid w:val="00CC6718"/>
    <w:rsid w:val="00CC681E"/>
    <w:rsid w:val="00CC6909"/>
    <w:rsid w:val="00CC6923"/>
    <w:rsid w:val="00CC699F"/>
    <w:rsid w:val="00CC6AAF"/>
    <w:rsid w:val="00CC6C2E"/>
    <w:rsid w:val="00CC6CC6"/>
    <w:rsid w:val="00CC6CFE"/>
    <w:rsid w:val="00CC6D22"/>
    <w:rsid w:val="00CC6F93"/>
    <w:rsid w:val="00CC70B0"/>
    <w:rsid w:val="00CC715A"/>
    <w:rsid w:val="00CC7189"/>
    <w:rsid w:val="00CC7206"/>
    <w:rsid w:val="00CC727B"/>
    <w:rsid w:val="00CC72FA"/>
    <w:rsid w:val="00CC7340"/>
    <w:rsid w:val="00CC7359"/>
    <w:rsid w:val="00CC7363"/>
    <w:rsid w:val="00CC7375"/>
    <w:rsid w:val="00CC7496"/>
    <w:rsid w:val="00CC74C3"/>
    <w:rsid w:val="00CC7635"/>
    <w:rsid w:val="00CC76C4"/>
    <w:rsid w:val="00CC7732"/>
    <w:rsid w:val="00CC7817"/>
    <w:rsid w:val="00CC7866"/>
    <w:rsid w:val="00CC793D"/>
    <w:rsid w:val="00CC7941"/>
    <w:rsid w:val="00CC7AF0"/>
    <w:rsid w:val="00CC7B07"/>
    <w:rsid w:val="00CC7B7B"/>
    <w:rsid w:val="00CC7C3D"/>
    <w:rsid w:val="00CC7C9D"/>
    <w:rsid w:val="00CC7E60"/>
    <w:rsid w:val="00CC7EAB"/>
    <w:rsid w:val="00CC7F39"/>
    <w:rsid w:val="00CC7F6E"/>
    <w:rsid w:val="00CC7FBC"/>
    <w:rsid w:val="00CC7FC5"/>
    <w:rsid w:val="00CC7FFB"/>
    <w:rsid w:val="00CD013C"/>
    <w:rsid w:val="00CD01BE"/>
    <w:rsid w:val="00CD01F3"/>
    <w:rsid w:val="00CD02CA"/>
    <w:rsid w:val="00CD0338"/>
    <w:rsid w:val="00CD03E0"/>
    <w:rsid w:val="00CD0617"/>
    <w:rsid w:val="00CD0692"/>
    <w:rsid w:val="00CD0698"/>
    <w:rsid w:val="00CD06AE"/>
    <w:rsid w:val="00CD086B"/>
    <w:rsid w:val="00CD0ABA"/>
    <w:rsid w:val="00CD0D5D"/>
    <w:rsid w:val="00CD0EA9"/>
    <w:rsid w:val="00CD0F1A"/>
    <w:rsid w:val="00CD1044"/>
    <w:rsid w:val="00CD1090"/>
    <w:rsid w:val="00CD1327"/>
    <w:rsid w:val="00CD13B1"/>
    <w:rsid w:val="00CD13E7"/>
    <w:rsid w:val="00CD15C7"/>
    <w:rsid w:val="00CD160E"/>
    <w:rsid w:val="00CD16A2"/>
    <w:rsid w:val="00CD16D3"/>
    <w:rsid w:val="00CD16F5"/>
    <w:rsid w:val="00CD170C"/>
    <w:rsid w:val="00CD1715"/>
    <w:rsid w:val="00CD19BE"/>
    <w:rsid w:val="00CD1ABA"/>
    <w:rsid w:val="00CD1B24"/>
    <w:rsid w:val="00CD1B8E"/>
    <w:rsid w:val="00CD1BCC"/>
    <w:rsid w:val="00CD1BE2"/>
    <w:rsid w:val="00CD1D65"/>
    <w:rsid w:val="00CD1E14"/>
    <w:rsid w:val="00CD1E56"/>
    <w:rsid w:val="00CD1EA0"/>
    <w:rsid w:val="00CD1F94"/>
    <w:rsid w:val="00CD20DF"/>
    <w:rsid w:val="00CD222C"/>
    <w:rsid w:val="00CD239F"/>
    <w:rsid w:val="00CD23AC"/>
    <w:rsid w:val="00CD2467"/>
    <w:rsid w:val="00CD248D"/>
    <w:rsid w:val="00CD2498"/>
    <w:rsid w:val="00CD24C0"/>
    <w:rsid w:val="00CD24FA"/>
    <w:rsid w:val="00CD2590"/>
    <w:rsid w:val="00CD27A4"/>
    <w:rsid w:val="00CD27CD"/>
    <w:rsid w:val="00CD27D7"/>
    <w:rsid w:val="00CD27E4"/>
    <w:rsid w:val="00CD282F"/>
    <w:rsid w:val="00CD28AE"/>
    <w:rsid w:val="00CD2947"/>
    <w:rsid w:val="00CD29A6"/>
    <w:rsid w:val="00CD2A1B"/>
    <w:rsid w:val="00CD2A51"/>
    <w:rsid w:val="00CD2AEF"/>
    <w:rsid w:val="00CD2B46"/>
    <w:rsid w:val="00CD2B5C"/>
    <w:rsid w:val="00CD2C05"/>
    <w:rsid w:val="00CD2D91"/>
    <w:rsid w:val="00CD2DB9"/>
    <w:rsid w:val="00CD2E18"/>
    <w:rsid w:val="00CD2EB2"/>
    <w:rsid w:val="00CD2F26"/>
    <w:rsid w:val="00CD2F95"/>
    <w:rsid w:val="00CD2FC2"/>
    <w:rsid w:val="00CD300D"/>
    <w:rsid w:val="00CD30A2"/>
    <w:rsid w:val="00CD30E0"/>
    <w:rsid w:val="00CD314D"/>
    <w:rsid w:val="00CD33FB"/>
    <w:rsid w:val="00CD34F4"/>
    <w:rsid w:val="00CD3522"/>
    <w:rsid w:val="00CD361C"/>
    <w:rsid w:val="00CD373E"/>
    <w:rsid w:val="00CD3750"/>
    <w:rsid w:val="00CD3903"/>
    <w:rsid w:val="00CD396B"/>
    <w:rsid w:val="00CD3A1F"/>
    <w:rsid w:val="00CD3A25"/>
    <w:rsid w:val="00CD3AB0"/>
    <w:rsid w:val="00CD3BD7"/>
    <w:rsid w:val="00CD3D3F"/>
    <w:rsid w:val="00CD3D6E"/>
    <w:rsid w:val="00CD3D89"/>
    <w:rsid w:val="00CD4010"/>
    <w:rsid w:val="00CD409E"/>
    <w:rsid w:val="00CD41E9"/>
    <w:rsid w:val="00CD421E"/>
    <w:rsid w:val="00CD4284"/>
    <w:rsid w:val="00CD42AE"/>
    <w:rsid w:val="00CD432E"/>
    <w:rsid w:val="00CD4371"/>
    <w:rsid w:val="00CD43CB"/>
    <w:rsid w:val="00CD43E9"/>
    <w:rsid w:val="00CD43FD"/>
    <w:rsid w:val="00CD456F"/>
    <w:rsid w:val="00CD4587"/>
    <w:rsid w:val="00CD45C3"/>
    <w:rsid w:val="00CD4802"/>
    <w:rsid w:val="00CD48D2"/>
    <w:rsid w:val="00CD48EA"/>
    <w:rsid w:val="00CD48ED"/>
    <w:rsid w:val="00CD4915"/>
    <w:rsid w:val="00CD4E47"/>
    <w:rsid w:val="00CD4E87"/>
    <w:rsid w:val="00CD4EFA"/>
    <w:rsid w:val="00CD4F84"/>
    <w:rsid w:val="00CD517A"/>
    <w:rsid w:val="00CD51D1"/>
    <w:rsid w:val="00CD530D"/>
    <w:rsid w:val="00CD5535"/>
    <w:rsid w:val="00CD55C2"/>
    <w:rsid w:val="00CD564B"/>
    <w:rsid w:val="00CD56C2"/>
    <w:rsid w:val="00CD56EA"/>
    <w:rsid w:val="00CD5B6D"/>
    <w:rsid w:val="00CD5D13"/>
    <w:rsid w:val="00CD5D4A"/>
    <w:rsid w:val="00CD5E27"/>
    <w:rsid w:val="00CD5E86"/>
    <w:rsid w:val="00CD5FDD"/>
    <w:rsid w:val="00CD6080"/>
    <w:rsid w:val="00CD6112"/>
    <w:rsid w:val="00CD617E"/>
    <w:rsid w:val="00CD6189"/>
    <w:rsid w:val="00CD638C"/>
    <w:rsid w:val="00CD65EE"/>
    <w:rsid w:val="00CD6720"/>
    <w:rsid w:val="00CD687D"/>
    <w:rsid w:val="00CD68D0"/>
    <w:rsid w:val="00CD68DE"/>
    <w:rsid w:val="00CD6A71"/>
    <w:rsid w:val="00CD6A9F"/>
    <w:rsid w:val="00CD6B90"/>
    <w:rsid w:val="00CD6E22"/>
    <w:rsid w:val="00CD6EB1"/>
    <w:rsid w:val="00CD6EF5"/>
    <w:rsid w:val="00CD6FB7"/>
    <w:rsid w:val="00CD6FF6"/>
    <w:rsid w:val="00CD713F"/>
    <w:rsid w:val="00CD716A"/>
    <w:rsid w:val="00CD7286"/>
    <w:rsid w:val="00CD74BD"/>
    <w:rsid w:val="00CD7538"/>
    <w:rsid w:val="00CD7593"/>
    <w:rsid w:val="00CD7868"/>
    <w:rsid w:val="00CD788B"/>
    <w:rsid w:val="00CD7AD2"/>
    <w:rsid w:val="00CD7C1E"/>
    <w:rsid w:val="00CD7D11"/>
    <w:rsid w:val="00CD7E12"/>
    <w:rsid w:val="00CD7E7A"/>
    <w:rsid w:val="00CD7ECF"/>
    <w:rsid w:val="00CD7F20"/>
    <w:rsid w:val="00CDEFFF"/>
    <w:rsid w:val="00CE0148"/>
    <w:rsid w:val="00CE015E"/>
    <w:rsid w:val="00CE01DF"/>
    <w:rsid w:val="00CE025C"/>
    <w:rsid w:val="00CE037A"/>
    <w:rsid w:val="00CE0416"/>
    <w:rsid w:val="00CE049C"/>
    <w:rsid w:val="00CE05E0"/>
    <w:rsid w:val="00CE060C"/>
    <w:rsid w:val="00CE06FB"/>
    <w:rsid w:val="00CE07E9"/>
    <w:rsid w:val="00CE07EA"/>
    <w:rsid w:val="00CE0909"/>
    <w:rsid w:val="00CE0920"/>
    <w:rsid w:val="00CE0AF4"/>
    <w:rsid w:val="00CE0B26"/>
    <w:rsid w:val="00CE0C5E"/>
    <w:rsid w:val="00CE0D66"/>
    <w:rsid w:val="00CE0DF3"/>
    <w:rsid w:val="00CE0F1E"/>
    <w:rsid w:val="00CE0FF4"/>
    <w:rsid w:val="00CE100D"/>
    <w:rsid w:val="00CE119B"/>
    <w:rsid w:val="00CE12A1"/>
    <w:rsid w:val="00CE1405"/>
    <w:rsid w:val="00CE147C"/>
    <w:rsid w:val="00CE150D"/>
    <w:rsid w:val="00CE15B9"/>
    <w:rsid w:val="00CE161F"/>
    <w:rsid w:val="00CE16BB"/>
    <w:rsid w:val="00CE18EC"/>
    <w:rsid w:val="00CE1968"/>
    <w:rsid w:val="00CE199E"/>
    <w:rsid w:val="00CE19D6"/>
    <w:rsid w:val="00CE19E1"/>
    <w:rsid w:val="00CE1BD4"/>
    <w:rsid w:val="00CE1D10"/>
    <w:rsid w:val="00CE1F72"/>
    <w:rsid w:val="00CE1FAC"/>
    <w:rsid w:val="00CE20B7"/>
    <w:rsid w:val="00CE218B"/>
    <w:rsid w:val="00CE2227"/>
    <w:rsid w:val="00CE2399"/>
    <w:rsid w:val="00CE24AF"/>
    <w:rsid w:val="00CE26AF"/>
    <w:rsid w:val="00CE272F"/>
    <w:rsid w:val="00CE27E4"/>
    <w:rsid w:val="00CE285C"/>
    <w:rsid w:val="00CE2901"/>
    <w:rsid w:val="00CE2966"/>
    <w:rsid w:val="00CE2BDE"/>
    <w:rsid w:val="00CE2D41"/>
    <w:rsid w:val="00CE2D53"/>
    <w:rsid w:val="00CE2E26"/>
    <w:rsid w:val="00CE2E36"/>
    <w:rsid w:val="00CE2EB8"/>
    <w:rsid w:val="00CE2F65"/>
    <w:rsid w:val="00CE302B"/>
    <w:rsid w:val="00CE30A8"/>
    <w:rsid w:val="00CE319E"/>
    <w:rsid w:val="00CE32C0"/>
    <w:rsid w:val="00CE3343"/>
    <w:rsid w:val="00CE33DE"/>
    <w:rsid w:val="00CE3407"/>
    <w:rsid w:val="00CE3714"/>
    <w:rsid w:val="00CE3746"/>
    <w:rsid w:val="00CE38F8"/>
    <w:rsid w:val="00CE395C"/>
    <w:rsid w:val="00CE3AF1"/>
    <w:rsid w:val="00CE3BE6"/>
    <w:rsid w:val="00CE3C25"/>
    <w:rsid w:val="00CE3C85"/>
    <w:rsid w:val="00CE3D51"/>
    <w:rsid w:val="00CE3EA9"/>
    <w:rsid w:val="00CE3FBA"/>
    <w:rsid w:val="00CE4007"/>
    <w:rsid w:val="00CE4029"/>
    <w:rsid w:val="00CE40AC"/>
    <w:rsid w:val="00CE414C"/>
    <w:rsid w:val="00CE4274"/>
    <w:rsid w:val="00CE4328"/>
    <w:rsid w:val="00CE45A7"/>
    <w:rsid w:val="00CE4655"/>
    <w:rsid w:val="00CE4717"/>
    <w:rsid w:val="00CE47BC"/>
    <w:rsid w:val="00CE48E5"/>
    <w:rsid w:val="00CE4A88"/>
    <w:rsid w:val="00CE4C48"/>
    <w:rsid w:val="00CE4C61"/>
    <w:rsid w:val="00CE4CF9"/>
    <w:rsid w:val="00CE4E39"/>
    <w:rsid w:val="00CE4EB4"/>
    <w:rsid w:val="00CE5083"/>
    <w:rsid w:val="00CE537B"/>
    <w:rsid w:val="00CE53E9"/>
    <w:rsid w:val="00CE5407"/>
    <w:rsid w:val="00CE560B"/>
    <w:rsid w:val="00CE5795"/>
    <w:rsid w:val="00CE57BF"/>
    <w:rsid w:val="00CE58E0"/>
    <w:rsid w:val="00CE5A10"/>
    <w:rsid w:val="00CE5A86"/>
    <w:rsid w:val="00CE5AD2"/>
    <w:rsid w:val="00CE5AE4"/>
    <w:rsid w:val="00CE5C2A"/>
    <w:rsid w:val="00CE5C8A"/>
    <w:rsid w:val="00CE5D90"/>
    <w:rsid w:val="00CE5ED2"/>
    <w:rsid w:val="00CE5F41"/>
    <w:rsid w:val="00CE61C6"/>
    <w:rsid w:val="00CE622E"/>
    <w:rsid w:val="00CE6251"/>
    <w:rsid w:val="00CE6274"/>
    <w:rsid w:val="00CE62C4"/>
    <w:rsid w:val="00CE6325"/>
    <w:rsid w:val="00CE6426"/>
    <w:rsid w:val="00CE64B1"/>
    <w:rsid w:val="00CE6588"/>
    <w:rsid w:val="00CE6732"/>
    <w:rsid w:val="00CE67F0"/>
    <w:rsid w:val="00CE6848"/>
    <w:rsid w:val="00CE689F"/>
    <w:rsid w:val="00CE68F0"/>
    <w:rsid w:val="00CE6920"/>
    <w:rsid w:val="00CE6928"/>
    <w:rsid w:val="00CE692A"/>
    <w:rsid w:val="00CE6A2A"/>
    <w:rsid w:val="00CE6A9F"/>
    <w:rsid w:val="00CE6AB4"/>
    <w:rsid w:val="00CE6B22"/>
    <w:rsid w:val="00CE6BB7"/>
    <w:rsid w:val="00CE6C66"/>
    <w:rsid w:val="00CE6CC5"/>
    <w:rsid w:val="00CE6CDE"/>
    <w:rsid w:val="00CE6D4E"/>
    <w:rsid w:val="00CE6F48"/>
    <w:rsid w:val="00CE7034"/>
    <w:rsid w:val="00CE70B9"/>
    <w:rsid w:val="00CE712E"/>
    <w:rsid w:val="00CE71A9"/>
    <w:rsid w:val="00CE71D3"/>
    <w:rsid w:val="00CE72E9"/>
    <w:rsid w:val="00CE747B"/>
    <w:rsid w:val="00CE7639"/>
    <w:rsid w:val="00CE7653"/>
    <w:rsid w:val="00CE76E3"/>
    <w:rsid w:val="00CE776B"/>
    <w:rsid w:val="00CE7802"/>
    <w:rsid w:val="00CE7B2E"/>
    <w:rsid w:val="00CE7B41"/>
    <w:rsid w:val="00CE7B4B"/>
    <w:rsid w:val="00CE7D03"/>
    <w:rsid w:val="00CF016B"/>
    <w:rsid w:val="00CF02D6"/>
    <w:rsid w:val="00CF033A"/>
    <w:rsid w:val="00CF0340"/>
    <w:rsid w:val="00CF044D"/>
    <w:rsid w:val="00CF04E3"/>
    <w:rsid w:val="00CF0505"/>
    <w:rsid w:val="00CF0509"/>
    <w:rsid w:val="00CF0534"/>
    <w:rsid w:val="00CF0624"/>
    <w:rsid w:val="00CF065B"/>
    <w:rsid w:val="00CF0700"/>
    <w:rsid w:val="00CF09D3"/>
    <w:rsid w:val="00CF0C05"/>
    <w:rsid w:val="00CF0C23"/>
    <w:rsid w:val="00CF0C93"/>
    <w:rsid w:val="00CF0CBF"/>
    <w:rsid w:val="00CF0D2D"/>
    <w:rsid w:val="00CF0E7F"/>
    <w:rsid w:val="00CF106E"/>
    <w:rsid w:val="00CF108E"/>
    <w:rsid w:val="00CF11AB"/>
    <w:rsid w:val="00CF146F"/>
    <w:rsid w:val="00CF14F6"/>
    <w:rsid w:val="00CF1586"/>
    <w:rsid w:val="00CF1621"/>
    <w:rsid w:val="00CF162A"/>
    <w:rsid w:val="00CF1677"/>
    <w:rsid w:val="00CF16E5"/>
    <w:rsid w:val="00CF17A9"/>
    <w:rsid w:val="00CF1810"/>
    <w:rsid w:val="00CF1B2C"/>
    <w:rsid w:val="00CF1B47"/>
    <w:rsid w:val="00CF1BD5"/>
    <w:rsid w:val="00CF1BE4"/>
    <w:rsid w:val="00CF1BED"/>
    <w:rsid w:val="00CF1C15"/>
    <w:rsid w:val="00CF1D10"/>
    <w:rsid w:val="00CF1D56"/>
    <w:rsid w:val="00CF1E40"/>
    <w:rsid w:val="00CF1E52"/>
    <w:rsid w:val="00CF1FC7"/>
    <w:rsid w:val="00CF208D"/>
    <w:rsid w:val="00CF21A3"/>
    <w:rsid w:val="00CF21B6"/>
    <w:rsid w:val="00CF234F"/>
    <w:rsid w:val="00CF247F"/>
    <w:rsid w:val="00CF276C"/>
    <w:rsid w:val="00CF2882"/>
    <w:rsid w:val="00CF2950"/>
    <w:rsid w:val="00CF29E9"/>
    <w:rsid w:val="00CF2A79"/>
    <w:rsid w:val="00CF2C0C"/>
    <w:rsid w:val="00CF2D19"/>
    <w:rsid w:val="00CF2D59"/>
    <w:rsid w:val="00CF2D6D"/>
    <w:rsid w:val="00CF2D81"/>
    <w:rsid w:val="00CF2E11"/>
    <w:rsid w:val="00CF2F30"/>
    <w:rsid w:val="00CF2F86"/>
    <w:rsid w:val="00CF305F"/>
    <w:rsid w:val="00CF31BE"/>
    <w:rsid w:val="00CF3293"/>
    <w:rsid w:val="00CF32F3"/>
    <w:rsid w:val="00CF3331"/>
    <w:rsid w:val="00CF341F"/>
    <w:rsid w:val="00CF349F"/>
    <w:rsid w:val="00CF34F1"/>
    <w:rsid w:val="00CF354F"/>
    <w:rsid w:val="00CF355E"/>
    <w:rsid w:val="00CF36EF"/>
    <w:rsid w:val="00CF3971"/>
    <w:rsid w:val="00CF3A40"/>
    <w:rsid w:val="00CF3B5A"/>
    <w:rsid w:val="00CF3CEF"/>
    <w:rsid w:val="00CF3E2B"/>
    <w:rsid w:val="00CF3E90"/>
    <w:rsid w:val="00CF3ECB"/>
    <w:rsid w:val="00CF3FCB"/>
    <w:rsid w:val="00CF3FD3"/>
    <w:rsid w:val="00CF4008"/>
    <w:rsid w:val="00CF40CC"/>
    <w:rsid w:val="00CF41DD"/>
    <w:rsid w:val="00CF428F"/>
    <w:rsid w:val="00CF443A"/>
    <w:rsid w:val="00CF444E"/>
    <w:rsid w:val="00CF4489"/>
    <w:rsid w:val="00CF4511"/>
    <w:rsid w:val="00CF4526"/>
    <w:rsid w:val="00CF471E"/>
    <w:rsid w:val="00CF48A5"/>
    <w:rsid w:val="00CF4A05"/>
    <w:rsid w:val="00CF4B5D"/>
    <w:rsid w:val="00CF4B79"/>
    <w:rsid w:val="00CF4DC4"/>
    <w:rsid w:val="00CF4EF3"/>
    <w:rsid w:val="00CF5126"/>
    <w:rsid w:val="00CF512F"/>
    <w:rsid w:val="00CF531D"/>
    <w:rsid w:val="00CF5547"/>
    <w:rsid w:val="00CF5601"/>
    <w:rsid w:val="00CF5675"/>
    <w:rsid w:val="00CF5724"/>
    <w:rsid w:val="00CF572F"/>
    <w:rsid w:val="00CF575D"/>
    <w:rsid w:val="00CF587C"/>
    <w:rsid w:val="00CF5940"/>
    <w:rsid w:val="00CF596F"/>
    <w:rsid w:val="00CF5C4F"/>
    <w:rsid w:val="00CF5D9A"/>
    <w:rsid w:val="00CF5E5E"/>
    <w:rsid w:val="00CF5E87"/>
    <w:rsid w:val="00CF5EA8"/>
    <w:rsid w:val="00CF63E5"/>
    <w:rsid w:val="00CF6503"/>
    <w:rsid w:val="00CF66EA"/>
    <w:rsid w:val="00CF674F"/>
    <w:rsid w:val="00CF67CD"/>
    <w:rsid w:val="00CF68BE"/>
    <w:rsid w:val="00CF69AA"/>
    <w:rsid w:val="00CF6C41"/>
    <w:rsid w:val="00CF6D1F"/>
    <w:rsid w:val="00CF6D43"/>
    <w:rsid w:val="00CF6D4F"/>
    <w:rsid w:val="00CF6DE0"/>
    <w:rsid w:val="00CF7006"/>
    <w:rsid w:val="00CF7356"/>
    <w:rsid w:val="00CF75DB"/>
    <w:rsid w:val="00CF763D"/>
    <w:rsid w:val="00CF7644"/>
    <w:rsid w:val="00CF7697"/>
    <w:rsid w:val="00CF76A7"/>
    <w:rsid w:val="00CF76DE"/>
    <w:rsid w:val="00CF793A"/>
    <w:rsid w:val="00CF7992"/>
    <w:rsid w:val="00CF79B9"/>
    <w:rsid w:val="00CF7A0D"/>
    <w:rsid w:val="00CF7A37"/>
    <w:rsid w:val="00CF7AF9"/>
    <w:rsid w:val="00CF7B78"/>
    <w:rsid w:val="00CF7BC3"/>
    <w:rsid w:val="00CF7CC2"/>
    <w:rsid w:val="00CF7D0B"/>
    <w:rsid w:val="00CF7E46"/>
    <w:rsid w:val="00CF7E5E"/>
    <w:rsid w:val="00CF7EF5"/>
    <w:rsid w:val="00CF7F07"/>
    <w:rsid w:val="00CF7F89"/>
    <w:rsid w:val="00CF7FD0"/>
    <w:rsid w:val="00CFCD6D"/>
    <w:rsid w:val="00D00192"/>
    <w:rsid w:val="00D005B0"/>
    <w:rsid w:val="00D00679"/>
    <w:rsid w:val="00D00681"/>
    <w:rsid w:val="00D006E9"/>
    <w:rsid w:val="00D006FB"/>
    <w:rsid w:val="00D00732"/>
    <w:rsid w:val="00D00798"/>
    <w:rsid w:val="00D007FC"/>
    <w:rsid w:val="00D0088C"/>
    <w:rsid w:val="00D00907"/>
    <w:rsid w:val="00D00939"/>
    <w:rsid w:val="00D0097C"/>
    <w:rsid w:val="00D009CA"/>
    <w:rsid w:val="00D009F9"/>
    <w:rsid w:val="00D00BA2"/>
    <w:rsid w:val="00D00CA4"/>
    <w:rsid w:val="00D00CCD"/>
    <w:rsid w:val="00D00CE0"/>
    <w:rsid w:val="00D00DC2"/>
    <w:rsid w:val="00D00DCD"/>
    <w:rsid w:val="00D00F63"/>
    <w:rsid w:val="00D00FDE"/>
    <w:rsid w:val="00D01085"/>
    <w:rsid w:val="00D0139A"/>
    <w:rsid w:val="00D01560"/>
    <w:rsid w:val="00D01696"/>
    <w:rsid w:val="00D016E9"/>
    <w:rsid w:val="00D01702"/>
    <w:rsid w:val="00D017FA"/>
    <w:rsid w:val="00D0192F"/>
    <w:rsid w:val="00D01A1F"/>
    <w:rsid w:val="00D01AED"/>
    <w:rsid w:val="00D01BCE"/>
    <w:rsid w:val="00D01BE9"/>
    <w:rsid w:val="00D01D21"/>
    <w:rsid w:val="00D01D27"/>
    <w:rsid w:val="00D01E67"/>
    <w:rsid w:val="00D01F17"/>
    <w:rsid w:val="00D01F91"/>
    <w:rsid w:val="00D01FB9"/>
    <w:rsid w:val="00D021D9"/>
    <w:rsid w:val="00D021DF"/>
    <w:rsid w:val="00D02225"/>
    <w:rsid w:val="00D02263"/>
    <w:rsid w:val="00D023F7"/>
    <w:rsid w:val="00D024ED"/>
    <w:rsid w:val="00D02571"/>
    <w:rsid w:val="00D0279D"/>
    <w:rsid w:val="00D02823"/>
    <w:rsid w:val="00D02838"/>
    <w:rsid w:val="00D0294E"/>
    <w:rsid w:val="00D029D0"/>
    <w:rsid w:val="00D029DF"/>
    <w:rsid w:val="00D029F9"/>
    <w:rsid w:val="00D02A06"/>
    <w:rsid w:val="00D02A11"/>
    <w:rsid w:val="00D02A2A"/>
    <w:rsid w:val="00D0300B"/>
    <w:rsid w:val="00D0328B"/>
    <w:rsid w:val="00D03358"/>
    <w:rsid w:val="00D036A1"/>
    <w:rsid w:val="00D03701"/>
    <w:rsid w:val="00D03706"/>
    <w:rsid w:val="00D03795"/>
    <w:rsid w:val="00D03810"/>
    <w:rsid w:val="00D03886"/>
    <w:rsid w:val="00D03A8E"/>
    <w:rsid w:val="00D03AD5"/>
    <w:rsid w:val="00D03B20"/>
    <w:rsid w:val="00D03B97"/>
    <w:rsid w:val="00D03BB2"/>
    <w:rsid w:val="00D03BC1"/>
    <w:rsid w:val="00D03BF6"/>
    <w:rsid w:val="00D03C34"/>
    <w:rsid w:val="00D03C95"/>
    <w:rsid w:val="00D03D41"/>
    <w:rsid w:val="00D03E38"/>
    <w:rsid w:val="00D03EE3"/>
    <w:rsid w:val="00D04052"/>
    <w:rsid w:val="00D0409A"/>
    <w:rsid w:val="00D040A9"/>
    <w:rsid w:val="00D04370"/>
    <w:rsid w:val="00D0442D"/>
    <w:rsid w:val="00D045B1"/>
    <w:rsid w:val="00D046D6"/>
    <w:rsid w:val="00D046EF"/>
    <w:rsid w:val="00D047E0"/>
    <w:rsid w:val="00D0491D"/>
    <w:rsid w:val="00D04921"/>
    <w:rsid w:val="00D04C47"/>
    <w:rsid w:val="00D04D90"/>
    <w:rsid w:val="00D04DCC"/>
    <w:rsid w:val="00D04EAF"/>
    <w:rsid w:val="00D04EF7"/>
    <w:rsid w:val="00D04F42"/>
    <w:rsid w:val="00D04FE0"/>
    <w:rsid w:val="00D04FF0"/>
    <w:rsid w:val="00D050BC"/>
    <w:rsid w:val="00D051A3"/>
    <w:rsid w:val="00D05218"/>
    <w:rsid w:val="00D05344"/>
    <w:rsid w:val="00D05365"/>
    <w:rsid w:val="00D05390"/>
    <w:rsid w:val="00D05394"/>
    <w:rsid w:val="00D053B9"/>
    <w:rsid w:val="00D0541F"/>
    <w:rsid w:val="00D054C0"/>
    <w:rsid w:val="00D055EA"/>
    <w:rsid w:val="00D05691"/>
    <w:rsid w:val="00D0572F"/>
    <w:rsid w:val="00D057A3"/>
    <w:rsid w:val="00D057EA"/>
    <w:rsid w:val="00D05818"/>
    <w:rsid w:val="00D0590A"/>
    <w:rsid w:val="00D05A8E"/>
    <w:rsid w:val="00D05B36"/>
    <w:rsid w:val="00D05B4E"/>
    <w:rsid w:val="00D05B51"/>
    <w:rsid w:val="00D05BBA"/>
    <w:rsid w:val="00D05D94"/>
    <w:rsid w:val="00D05E13"/>
    <w:rsid w:val="00D05F33"/>
    <w:rsid w:val="00D05FAE"/>
    <w:rsid w:val="00D061D7"/>
    <w:rsid w:val="00D06253"/>
    <w:rsid w:val="00D062A3"/>
    <w:rsid w:val="00D062C2"/>
    <w:rsid w:val="00D06507"/>
    <w:rsid w:val="00D067D3"/>
    <w:rsid w:val="00D06862"/>
    <w:rsid w:val="00D068EE"/>
    <w:rsid w:val="00D0691F"/>
    <w:rsid w:val="00D069E1"/>
    <w:rsid w:val="00D06A23"/>
    <w:rsid w:val="00D06AAA"/>
    <w:rsid w:val="00D06AE8"/>
    <w:rsid w:val="00D06C2B"/>
    <w:rsid w:val="00D06F73"/>
    <w:rsid w:val="00D06F9B"/>
    <w:rsid w:val="00D07032"/>
    <w:rsid w:val="00D07057"/>
    <w:rsid w:val="00D070C6"/>
    <w:rsid w:val="00D0711F"/>
    <w:rsid w:val="00D07120"/>
    <w:rsid w:val="00D071A3"/>
    <w:rsid w:val="00D07304"/>
    <w:rsid w:val="00D07501"/>
    <w:rsid w:val="00D0771E"/>
    <w:rsid w:val="00D077D4"/>
    <w:rsid w:val="00D0790A"/>
    <w:rsid w:val="00D0795F"/>
    <w:rsid w:val="00D079F0"/>
    <w:rsid w:val="00D079FA"/>
    <w:rsid w:val="00D07AB9"/>
    <w:rsid w:val="00D07B6F"/>
    <w:rsid w:val="00D07BA7"/>
    <w:rsid w:val="00D07BE6"/>
    <w:rsid w:val="00D07C6A"/>
    <w:rsid w:val="00D07CEB"/>
    <w:rsid w:val="00D07D2C"/>
    <w:rsid w:val="00D07DD9"/>
    <w:rsid w:val="00D07EE9"/>
    <w:rsid w:val="00D07FCE"/>
    <w:rsid w:val="00D10022"/>
    <w:rsid w:val="00D100A7"/>
    <w:rsid w:val="00D100C5"/>
    <w:rsid w:val="00D1012D"/>
    <w:rsid w:val="00D1014E"/>
    <w:rsid w:val="00D1017D"/>
    <w:rsid w:val="00D1020B"/>
    <w:rsid w:val="00D1022B"/>
    <w:rsid w:val="00D10301"/>
    <w:rsid w:val="00D106DE"/>
    <w:rsid w:val="00D10774"/>
    <w:rsid w:val="00D10824"/>
    <w:rsid w:val="00D10833"/>
    <w:rsid w:val="00D10925"/>
    <w:rsid w:val="00D10948"/>
    <w:rsid w:val="00D10A88"/>
    <w:rsid w:val="00D10B36"/>
    <w:rsid w:val="00D10B6F"/>
    <w:rsid w:val="00D10BE6"/>
    <w:rsid w:val="00D10CDD"/>
    <w:rsid w:val="00D10DF0"/>
    <w:rsid w:val="00D10EB9"/>
    <w:rsid w:val="00D10EE4"/>
    <w:rsid w:val="00D10FAA"/>
    <w:rsid w:val="00D10FB9"/>
    <w:rsid w:val="00D11083"/>
    <w:rsid w:val="00D110E1"/>
    <w:rsid w:val="00D110F7"/>
    <w:rsid w:val="00D1112F"/>
    <w:rsid w:val="00D11134"/>
    <w:rsid w:val="00D11137"/>
    <w:rsid w:val="00D1150C"/>
    <w:rsid w:val="00D11510"/>
    <w:rsid w:val="00D1159E"/>
    <w:rsid w:val="00D11679"/>
    <w:rsid w:val="00D1174C"/>
    <w:rsid w:val="00D11825"/>
    <w:rsid w:val="00D11921"/>
    <w:rsid w:val="00D119E3"/>
    <w:rsid w:val="00D11DA4"/>
    <w:rsid w:val="00D11E1D"/>
    <w:rsid w:val="00D12435"/>
    <w:rsid w:val="00D12589"/>
    <w:rsid w:val="00D126F1"/>
    <w:rsid w:val="00D12720"/>
    <w:rsid w:val="00D12785"/>
    <w:rsid w:val="00D127DF"/>
    <w:rsid w:val="00D128B2"/>
    <w:rsid w:val="00D12960"/>
    <w:rsid w:val="00D12B33"/>
    <w:rsid w:val="00D12B38"/>
    <w:rsid w:val="00D12BAA"/>
    <w:rsid w:val="00D12BCA"/>
    <w:rsid w:val="00D12BD2"/>
    <w:rsid w:val="00D12C05"/>
    <w:rsid w:val="00D12C2F"/>
    <w:rsid w:val="00D12F26"/>
    <w:rsid w:val="00D131F6"/>
    <w:rsid w:val="00D1326E"/>
    <w:rsid w:val="00D13476"/>
    <w:rsid w:val="00D134D4"/>
    <w:rsid w:val="00D13515"/>
    <w:rsid w:val="00D1355D"/>
    <w:rsid w:val="00D1367F"/>
    <w:rsid w:val="00D13682"/>
    <w:rsid w:val="00D136CA"/>
    <w:rsid w:val="00D137DB"/>
    <w:rsid w:val="00D1383D"/>
    <w:rsid w:val="00D1387F"/>
    <w:rsid w:val="00D1389C"/>
    <w:rsid w:val="00D13906"/>
    <w:rsid w:val="00D139C8"/>
    <w:rsid w:val="00D13A60"/>
    <w:rsid w:val="00D13B23"/>
    <w:rsid w:val="00D13BD5"/>
    <w:rsid w:val="00D13BEC"/>
    <w:rsid w:val="00D13BF5"/>
    <w:rsid w:val="00D13CA7"/>
    <w:rsid w:val="00D13FA5"/>
    <w:rsid w:val="00D1417C"/>
    <w:rsid w:val="00D14239"/>
    <w:rsid w:val="00D1435F"/>
    <w:rsid w:val="00D14391"/>
    <w:rsid w:val="00D143DE"/>
    <w:rsid w:val="00D143E1"/>
    <w:rsid w:val="00D144D4"/>
    <w:rsid w:val="00D147E0"/>
    <w:rsid w:val="00D14BF1"/>
    <w:rsid w:val="00D14C0F"/>
    <w:rsid w:val="00D14D08"/>
    <w:rsid w:val="00D14E82"/>
    <w:rsid w:val="00D14EBA"/>
    <w:rsid w:val="00D14F81"/>
    <w:rsid w:val="00D15190"/>
    <w:rsid w:val="00D1519D"/>
    <w:rsid w:val="00D1522C"/>
    <w:rsid w:val="00D1551E"/>
    <w:rsid w:val="00D15550"/>
    <w:rsid w:val="00D15699"/>
    <w:rsid w:val="00D1574E"/>
    <w:rsid w:val="00D157D6"/>
    <w:rsid w:val="00D1585C"/>
    <w:rsid w:val="00D15AD1"/>
    <w:rsid w:val="00D15B87"/>
    <w:rsid w:val="00D15D31"/>
    <w:rsid w:val="00D15DA7"/>
    <w:rsid w:val="00D15E74"/>
    <w:rsid w:val="00D160A9"/>
    <w:rsid w:val="00D1614F"/>
    <w:rsid w:val="00D16218"/>
    <w:rsid w:val="00D162C7"/>
    <w:rsid w:val="00D16406"/>
    <w:rsid w:val="00D166A2"/>
    <w:rsid w:val="00D16840"/>
    <w:rsid w:val="00D1697D"/>
    <w:rsid w:val="00D16A10"/>
    <w:rsid w:val="00D16B1F"/>
    <w:rsid w:val="00D16C15"/>
    <w:rsid w:val="00D16CB6"/>
    <w:rsid w:val="00D16CBE"/>
    <w:rsid w:val="00D16DE4"/>
    <w:rsid w:val="00D16EDF"/>
    <w:rsid w:val="00D1700A"/>
    <w:rsid w:val="00D17077"/>
    <w:rsid w:val="00D1708D"/>
    <w:rsid w:val="00D170F8"/>
    <w:rsid w:val="00D1714B"/>
    <w:rsid w:val="00D171AD"/>
    <w:rsid w:val="00D173C5"/>
    <w:rsid w:val="00D1741C"/>
    <w:rsid w:val="00D17587"/>
    <w:rsid w:val="00D1765B"/>
    <w:rsid w:val="00D17750"/>
    <w:rsid w:val="00D17764"/>
    <w:rsid w:val="00D1777F"/>
    <w:rsid w:val="00D17927"/>
    <w:rsid w:val="00D17A2F"/>
    <w:rsid w:val="00D17CC2"/>
    <w:rsid w:val="00D17CE8"/>
    <w:rsid w:val="00D17CEE"/>
    <w:rsid w:val="00D17F6B"/>
    <w:rsid w:val="00D200C1"/>
    <w:rsid w:val="00D20155"/>
    <w:rsid w:val="00D202FF"/>
    <w:rsid w:val="00D203C0"/>
    <w:rsid w:val="00D20401"/>
    <w:rsid w:val="00D205B6"/>
    <w:rsid w:val="00D2069E"/>
    <w:rsid w:val="00D20791"/>
    <w:rsid w:val="00D207E1"/>
    <w:rsid w:val="00D208CE"/>
    <w:rsid w:val="00D20A2E"/>
    <w:rsid w:val="00D20A48"/>
    <w:rsid w:val="00D20BD3"/>
    <w:rsid w:val="00D20BE0"/>
    <w:rsid w:val="00D20CCB"/>
    <w:rsid w:val="00D20CED"/>
    <w:rsid w:val="00D20EC5"/>
    <w:rsid w:val="00D20EC7"/>
    <w:rsid w:val="00D20F76"/>
    <w:rsid w:val="00D21097"/>
    <w:rsid w:val="00D212F3"/>
    <w:rsid w:val="00D2139F"/>
    <w:rsid w:val="00D215E8"/>
    <w:rsid w:val="00D21705"/>
    <w:rsid w:val="00D21846"/>
    <w:rsid w:val="00D21917"/>
    <w:rsid w:val="00D2197C"/>
    <w:rsid w:val="00D219B7"/>
    <w:rsid w:val="00D219D7"/>
    <w:rsid w:val="00D219E2"/>
    <w:rsid w:val="00D21A20"/>
    <w:rsid w:val="00D21B04"/>
    <w:rsid w:val="00D21B8C"/>
    <w:rsid w:val="00D21BB0"/>
    <w:rsid w:val="00D21C1C"/>
    <w:rsid w:val="00D21F73"/>
    <w:rsid w:val="00D22015"/>
    <w:rsid w:val="00D220F5"/>
    <w:rsid w:val="00D22122"/>
    <w:rsid w:val="00D2218A"/>
    <w:rsid w:val="00D222BA"/>
    <w:rsid w:val="00D22340"/>
    <w:rsid w:val="00D22488"/>
    <w:rsid w:val="00D22766"/>
    <w:rsid w:val="00D22772"/>
    <w:rsid w:val="00D227DB"/>
    <w:rsid w:val="00D22AE0"/>
    <w:rsid w:val="00D22B58"/>
    <w:rsid w:val="00D22BF2"/>
    <w:rsid w:val="00D22E54"/>
    <w:rsid w:val="00D22EF0"/>
    <w:rsid w:val="00D22F5C"/>
    <w:rsid w:val="00D22F66"/>
    <w:rsid w:val="00D2318E"/>
    <w:rsid w:val="00D231F8"/>
    <w:rsid w:val="00D23344"/>
    <w:rsid w:val="00D2334A"/>
    <w:rsid w:val="00D233B0"/>
    <w:rsid w:val="00D233EC"/>
    <w:rsid w:val="00D234BF"/>
    <w:rsid w:val="00D235DA"/>
    <w:rsid w:val="00D236B7"/>
    <w:rsid w:val="00D2372B"/>
    <w:rsid w:val="00D23762"/>
    <w:rsid w:val="00D237B0"/>
    <w:rsid w:val="00D23954"/>
    <w:rsid w:val="00D23AD9"/>
    <w:rsid w:val="00D23B4A"/>
    <w:rsid w:val="00D23B9D"/>
    <w:rsid w:val="00D23FEA"/>
    <w:rsid w:val="00D24095"/>
    <w:rsid w:val="00D240CF"/>
    <w:rsid w:val="00D241C9"/>
    <w:rsid w:val="00D2422B"/>
    <w:rsid w:val="00D24245"/>
    <w:rsid w:val="00D2425E"/>
    <w:rsid w:val="00D24316"/>
    <w:rsid w:val="00D2437C"/>
    <w:rsid w:val="00D243D4"/>
    <w:rsid w:val="00D243EB"/>
    <w:rsid w:val="00D245B8"/>
    <w:rsid w:val="00D245D4"/>
    <w:rsid w:val="00D246BB"/>
    <w:rsid w:val="00D2474D"/>
    <w:rsid w:val="00D247F3"/>
    <w:rsid w:val="00D248EE"/>
    <w:rsid w:val="00D24977"/>
    <w:rsid w:val="00D249AF"/>
    <w:rsid w:val="00D24AD0"/>
    <w:rsid w:val="00D24C30"/>
    <w:rsid w:val="00D24D7A"/>
    <w:rsid w:val="00D24FAF"/>
    <w:rsid w:val="00D250D1"/>
    <w:rsid w:val="00D250F9"/>
    <w:rsid w:val="00D2512F"/>
    <w:rsid w:val="00D2529B"/>
    <w:rsid w:val="00D252D4"/>
    <w:rsid w:val="00D25366"/>
    <w:rsid w:val="00D253A5"/>
    <w:rsid w:val="00D25415"/>
    <w:rsid w:val="00D2546B"/>
    <w:rsid w:val="00D255F5"/>
    <w:rsid w:val="00D25628"/>
    <w:rsid w:val="00D256F1"/>
    <w:rsid w:val="00D25777"/>
    <w:rsid w:val="00D257AA"/>
    <w:rsid w:val="00D258E9"/>
    <w:rsid w:val="00D25B56"/>
    <w:rsid w:val="00D25D69"/>
    <w:rsid w:val="00D25E8C"/>
    <w:rsid w:val="00D26167"/>
    <w:rsid w:val="00D261B3"/>
    <w:rsid w:val="00D261B4"/>
    <w:rsid w:val="00D264F7"/>
    <w:rsid w:val="00D265CB"/>
    <w:rsid w:val="00D26619"/>
    <w:rsid w:val="00D266E4"/>
    <w:rsid w:val="00D2671C"/>
    <w:rsid w:val="00D26817"/>
    <w:rsid w:val="00D26881"/>
    <w:rsid w:val="00D26888"/>
    <w:rsid w:val="00D26935"/>
    <w:rsid w:val="00D269FB"/>
    <w:rsid w:val="00D26ACA"/>
    <w:rsid w:val="00D26C0B"/>
    <w:rsid w:val="00D26DAB"/>
    <w:rsid w:val="00D26DE9"/>
    <w:rsid w:val="00D26E7D"/>
    <w:rsid w:val="00D26E83"/>
    <w:rsid w:val="00D26EF6"/>
    <w:rsid w:val="00D26F57"/>
    <w:rsid w:val="00D26FD4"/>
    <w:rsid w:val="00D26FF6"/>
    <w:rsid w:val="00D270AC"/>
    <w:rsid w:val="00D27211"/>
    <w:rsid w:val="00D272EC"/>
    <w:rsid w:val="00D2738E"/>
    <w:rsid w:val="00D27464"/>
    <w:rsid w:val="00D274D8"/>
    <w:rsid w:val="00D2754E"/>
    <w:rsid w:val="00D2785A"/>
    <w:rsid w:val="00D27868"/>
    <w:rsid w:val="00D278C3"/>
    <w:rsid w:val="00D2796D"/>
    <w:rsid w:val="00D279A4"/>
    <w:rsid w:val="00D27A24"/>
    <w:rsid w:val="00D27A7A"/>
    <w:rsid w:val="00D27ADB"/>
    <w:rsid w:val="00D27B73"/>
    <w:rsid w:val="00D27C19"/>
    <w:rsid w:val="00D27D33"/>
    <w:rsid w:val="00D27D85"/>
    <w:rsid w:val="00D27E4F"/>
    <w:rsid w:val="00D27ED0"/>
    <w:rsid w:val="00D27F08"/>
    <w:rsid w:val="00D27FE8"/>
    <w:rsid w:val="00D30157"/>
    <w:rsid w:val="00D301AB"/>
    <w:rsid w:val="00D301D6"/>
    <w:rsid w:val="00D302F0"/>
    <w:rsid w:val="00D30348"/>
    <w:rsid w:val="00D30355"/>
    <w:rsid w:val="00D3040F"/>
    <w:rsid w:val="00D3041C"/>
    <w:rsid w:val="00D304AF"/>
    <w:rsid w:val="00D305A9"/>
    <w:rsid w:val="00D306F7"/>
    <w:rsid w:val="00D30747"/>
    <w:rsid w:val="00D307BE"/>
    <w:rsid w:val="00D30898"/>
    <w:rsid w:val="00D309C8"/>
    <w:rsid w:val="00D309E7"/>
    <w:rsid w:val="00D30B73"/>
    <w:rsid w:val="00D30C34"/>
    <w:rsid w:val="00D30D6A"/>
    <w:rsid w:val="00D30DC4"/>
    <w:rsid w:val="00D30DD8"/>
    <w:rsid w:val="00D30DE7"/>
    <w:rsid w:val="00D30E34"/>
    <w:rsid w:val="00D30EB1"/>
    <w:rsid w:val="00D30F71"/>
    <w:rsid w:val="00D310DA"/>
    <w:rsid w:val="00D31288"/>
    <w:rsid w:val="00D3130F"/>
    <w:rsid w:val="00D315E4"/>
    <w:rsid w:val="00D315F1"/>
    <w:rsid w:val="00D31644"/>
    <w:rsid w:val="00D31712"/>
    <w:rsid w:val="00D31859"/>
    <w:rsid w:val="00D318C4"/>
    <w:rsid w:val="00D318EB"/>
    <w:rsid w:val="00D319AC"/>
    <w:rsid w:val="00D319B3"/>
    <w:rsid w:val="00D31AC1"/>
    <w:rsid w:val="00D31BE3"/>
    <w:rsid w:val="00D31BE5"/>
    <w:rsid w:val="00D31D31"/>
    <w:rsid w:val="00D31D4E"/>
    <w:rsid w:val="00D31DA6"/>
    <w:rsid w:val="00D31F80"/>
    <w:rsid w:val="00D31FFD"/>
    <w:rsid w:val="00D32008"/>
    <w:rsid w:val="00D32154"/>
    <w:rsid w:val="00D32194"/>
    <w:rsid w:val="00D32229"/>
    <w:rsid w:val="00D32256"/>
    <w:rsid w:val="00D322BE"/>
    <w:rsid w:val="00D32591"/>
    <w:rsid w:val="00D325CA"/>
    <w:rsid w:val="00D32769"/>
    <w:rsid w:val="00D32917"/>
    <w:rsid w:val="00D3291E"/>
    <w:rsid w:val="00D3298C"/>
    <w:rsid w:val="00D32A71"/>
    <w:rsid w:val="00D32AB3"/>
    <w:rsid w:val="00D32BC7"/>
    <w:rsid w:val="00D32E4A"/>
    <w:rsid w:val="00D330FE"/>
    <w:rsid w:val="00D3319B"/>
    <w:rsid w:val="00D331C8"/>
    <w:rsid w:val="00D331D7"/>
    <w:rsid w:val="00D332CA"/>
    <w:rsid w:val="00D332EA"/>
    <w:rsid w:val="00D333A2"/>
    <w:rsid w:val="00D3344C"/>
    <w:rsid w:val="00D3344F"/>
    <w:rsid w:val="00D336E3"/>
    <w:rsid w:val="00D33742"/>
    <w:rsid w:val="00D337D1"/>
    <w:rsid w:val="00D3380F"/>
    <w:rsid w:val="00D33857"/>
    <w:rsid w:val="00D3388D"/>
    <w:rsid w:val="00D338A6"/>
    <w:rsid w:val="00D33A58"/>
    <w:rsid w:val="00D33ADD"/>
    <w:rsid w:val="00D33B8B"/>
    <w:rsid w:val="00D33C54"/>
    <w:rsid w:val="00D33CF0"/>
    <w:rsid w:val="00D3409B"/>
    <w:rsid w:val="00D340B4"/>
    <w:rsid w:val="00D34113"/>
    <w:rsid w:val="00D3416B"/>
    <w:rsid w:val="00D34179"/>
    <w:rsid w:val="00D341CA"/>
    <w:rsid w:val="00D341F6"/>
    <w:rsid w:val="00D3428B"/>
    <w:rsid w:val="00D3447A"/>
    <w:rsid w:val="00D34505"/>
    <w:rsid w:val="00D3459C"/>
    <w:rsid w:val="00D34670"/>
    <w:rsid w:val="00D3482A"/>
    <w:rsid w:val="00D348F4"/>
    <w:rsid w:val="00D34BC9"/>
    <w:rsid w:val="00D34D6D"/>
    <w:rsid w:val="00D34E66"/>
    <w:rsid w:val="00D34F7A"/>
    <w:rsid w:val="00D34FFF"/>
    <w:rsid w:val="00D3505E"/>
    <w:rsid w:val="00D3517F"/>
    <w:rsid w:val="00D351F6"/>
    <w:rsid w:val="00D35263"/>
    <w:rsid w:val="00D352CB"/>
    <w:rsid w:val="00D3534D"/>
    <w:rsid w:val="00D35474"/>
    <w:rsid w:val="00D3561A"/>
    <w:rsid w:val="00D35623"/>
    <w:rsid w:val="00D35641"/>
    <w:rsid w:val="00D35698"/>
    <w:rsid w:val="00D35819"/>
    <w:rsid w:val="00D358FE"/>
    <w:rsid w:val="00D35936"/>
    <w:rsid w:val="00D35C77"/>
    <w:rsid w:val="00D35CDB"/>
    <w:rsid w:val="00D35D0B"/>
    <w:rsid w:val="00D35D92"/>
    <w:rsid w:val="00D35FA7"/>
    <w:rsid w:val="00D36002"/>
    <w:rsid w:val="00D36045"/>
    <w:rsid w:val="00D36196"/>
    <w:rsid w:val="00D362C8"/>
    <w:rsid w:val="00D363AB"/>
    <w:rsid w:val="00D36418"/>
    <w:rsid w:val="00D3652D"/>
    <w:rsid w:val="00D3655D"/>
    <w:rsid w:val="00D36593"/>
    <w:rsid w:val="00D365E0"/>
    <w:rsid w:val="00D3670A"/>
    <w:rsid w:val="00D36750"/>
    <w:rsid w:val="00D367F2"/>
    <w:rsid w:val="00D368B6"/>
    <w:rsid w:val="00D36910"/>
    <w:rsid w:val="00D36986"/>
    <w:rsid w:val="00D36AB1"/>
    <w:rsid w:val="00D36B36"/>
    <w:rsid w:val="00D36CFF"/>
    <w:rsid w:val="00D36ED0"/>
    <w:rsid w:val="00D36EE4"/>
    <w:rsid w:val="00D37272"/>
    <w:rsid w:val="00D3735C"/>
    <w:rsid w:val="00D37843"/>
    <w:rsid w:val="00D378B0"/>
    <w:rsid w:val="00D37964"/>
    <w:rsid w:val="00D37CEC"/>
    <w:rsid w:val="00D37D05"/>
    <w:rsid w:val="00D37DCC"/>
    <w:rsid w:val="00D37E2D"/>
    <w:rsid w:val="00D37EAE"/>
    <w:rsid w:val="00D37FA9"/>
    <w:rsid w:val="00D37FD9"/>
    <w:rsid w:val="00D3F97B"/>
    <w:rsid w:val="00D4005C"/>
    <w:rsid w:val="00D40069"/>
    <w:rsid w:val="00D40075"/>
    <w:rsid w:val="00D4018B"/>
    <w:rsid w:val="00D40270"/>
    <w:rsid w:val="00D4034F"/>
    <w:rsid w:val="00D40635"/>
    <w:rsid w:val="00D4066F"/>
    <w:rsid w:val="00D40790"/>
    <w:rsid w:val="00D40932"/>
    <w:rsid w:val="00D40A6E"/>
    <w:rsid w:val="00D40BC5"/>
    <w:rsid w:val="00D40BD7"/>
    <w:rsid w:val="00D40C1F"/>
    <w:rsid w:val="00D40CFD"/>
    <w:rsid w:val="00D40D20"/>
    <w:rsid w:val="00D40E10"/>
    <w:rsid w:val="00D40EBA"/>
    <w:rsid w:val="00D40EC3"/>
    <w:rsid w:val="00D40F21"/>
    <w:rsid w:val="00D41006"/>
    <w:rsid w:val="00D410D4"/>
    <w:rsid w:val="00D411E3"/>
    <w:rsid w:val="00D4128E"/>
    <w:rsid w:val="00D412C6"/>
    <w:rsid w:val="00D4132F"/>
    <w:rsid w:val="00D41689"/>
    <w:rsid w:val="00D4175D"/>
    <w:rsid w:val="00D418C4"/>
    <w:rsid w:val="00D41A36"/>
    <w:rsid w:val="00D41BC7"/>
    <w:rsid w:val="00D41C8C"/>
    <w:rsid w:val="00D4207A"/>
    <w:rsid w:val="00D420FB"/>
    <w:rsid w:val="00D421B6"/>
    <w:rsid w:val="00D4228F"/>
    <w:rsid w:val="00D42528"/>
    <w:rsid w:val="00D425E5"/>
    <w:rsid w:val="00D42688"/>
    <w:rsid w:val="00D427BE"/>
    <w:rsid w:val="00D42874"/>
    <w:rsid w:val="00D42882"/>
    <w:rsid w:val="00D428B3"/>
    <w:rsid w:val="00D42952"/>
    <w:rsid w:val="00D42980"/>
    <w:rsid w:val="00D42BE8"/>
    <w:rsid w:val="00D42D82"/>
    <w:rsid w:val="00D42D93"/>
    <w:rsid w:val="00D42E54"/>
    <w:rsid w:val="00D42FD0"/>
    <w:rsid w:val="00D42FDB"/>
    <w:rsid w:val="00D43188"/>
    <w:rsid w:val="00D4327B"/>
    <w:rsid w:val="00D432B8"/>
    <w:rsid w:val="00D4337B"/>
    <w:rsid w:val="00D43415"/>
    <w:rsid w:val="00D43572"/>
    <w:rsid w:val="00D43605"/>
    <w:rsid w:val="00D43B81"/>
    <w:rsid w:val="00D43CE4"/>
    <w:rsid w:val="00D43DEC"/>
    <w:rsid w:val="00D43E27"/>
    <w:rsid w:val="00D43E4C"/>
    <w:rsid w:val="00D43E52"/>
    <w:rsid w:val="00D43E89"/>
    <w:rsid w:val="00D43F96"/>
    <w:rsid w:val="00D43FE1"/>
    <w:rsid w:val="00D440E9"/>
    <w:rsid w:val="00D44110"/>
    <w:rsid w:val="00D441B3"/>
    <w:rsid w:val="00D44299"/>
    <w:rsid w:val="00D4431E"/>
    <w:rsid w:val="00D443A9"/>
    <w:rsid w:val="00D44537"/>
    <w:rsid w:val="00D44553"/>
    <w:rsid w:val="00D44640"/>
    <w:rsid w:val="00D446C4"/>
    <w:rsid w:val="00D44731"/>
    <w:rsid w:val="00D44797"/>
    <w:rsid w:val="00D44912"/>
    <w:rsid w:val="00D44A6D"/>
    <w:rsid w:val="00D44CB7"/>
    <w:rsid w:val="00D44D50"/>
    <w:rsid w:val="00D451D5"/>
    <w:rsid w:val="00D4521D"/>
    <w:rsid w:val="00D45276"/>
    <w:rsid w:val="00D4534B"/>
    <w:rsid w:val="00D45441"/>
    <w:rsid w:val="00D455F4"/>
    <w:rsid w:val="00D45795"/>
    <w:rsid w:val="00D457B6"/>
    <w:rsid w:val="00D4599C"/>
    <w:rsid w:val="00D459E8"/>
    <w:rsid w:val="00D45B06"/>
    <w:rsid w:val="00D45C0A"/>
    <w:rsid w:val="00D45CB7"/>
    <w:rsid w:val="00D46071"/>
    <w:rsid w:val="00D4613E"/>
    <w:rsid w:val="00D461DD"/>
    <w:rsid w:val="00D462F6"/>
    <w:rsid w:val="00D4643D"/>
    <w:rsid w:val="00D46452"/>
    <w:rsid w:val="00D464C9"/>
    <w:rsid w:val="00D464EE"/>
    <w:rsid w:val="00D46550"/>
    <w:rsid w:val="00D465F0"/>
    <w:rsid w:val="00D4667B"/>
    <w:rsid w:val="00D466BB"/>
    <w:rsid w:val="00D467AE"/>
    <w:rsid w:val="00D4698D"/>
    <w:rsid w:val="00D46A73"/>
    <w:rsid w:val="00D46A80"/>
    <w:rsid w:val="00D46B13"/>
    <w:rsid w:val="00D46C67"/>
    <w:rsid w:val="00D46C73"/>
    <w:rsid w:val="00D46C7F"/>
    <w:rsid w:val="00D46D71"/>
    <w:rsid w:val="00D46D78"/>
    <w:rsid w:val="00D46DFD"/>
    <w:rsid w:val="00D46ED5"/>
    <w:rsid w:val="00D46EF7"/>
    <w:rsid w:val="00D46FE0"/>
    <w:rsid w:val="00D47061"/>
    <w:rsid w:val="00D47172"/>
    <w:rsid w:val="00D47197"/>
    <w:rsid w:val="00D47691"/>
    <w:rsid w:val="00D476FB"/>
    <w:rsid w:val="00D477F7"/>
    <w:rsid w:val="00D479F9"/>
    <w:rsid w:val="00D47B54"/>
    <w:rsid w:val="00D47B58"/>
    <w:rsid w:val="00D47BBF"/>
    <w:rsid w:val="00D47C15"/>
    <w:rsid w:val="00D47C3B"/>
    <w:rsid w:val="00D47C66"/>
    <w:rsid w:val="00D47D6E"/>
    <w:rsid w:val="00D47D7A"/>
    <w:rsid w:val="00D47DF3"/>
    <w:rsid w:val="00D47ECD"/>
    <w:rsid w:val="00D4E6C1"/>
    <w:rsid w:val="00D5010B"/>
    <w:rsid w:val="00D5013B"/>
    <w:rsid w:val="00D50316"/>
    <w:rsid w:val="00D50462"/>
    <w:rsid w:val="00D50643"/>
    <w:rsid w:val="00D5065A"/>
    <w:rsid w:val="00D5076C"/>
    <w:rsid w:val="00D507B5"/>
    <w:rsid w:val="00D50806"/>
    <w:rsid w:val="00D5081A"/>
    <w:rsid w:val="00D508F5"/>
    <w:rsid w:val="00D50926"/>
    <w:rsid w:val="00D509D4"/>
    <w:rsid w:val="00D50BAB"/>
    <w:rsid w:val="00D50BB9"/>
    <w:rsid w:val="00D50BD4"/>
    <w:rsid w:val="00D50C61"/>
    <w:rsid w:val="00D50C8B"/>
    <w:rsid w:val="00D50C96"/>
    <w:rsid w:val="00D50D48"/>
    <w:rsid w:val="00D50D58"/>
    <w:rsid w:val="00D50DD3"/>
    <w:rsid w:val="00D50E59"/>
    <w:rsid w:val="00D50EB6"/>
    <w:rsid w:val="00D50FAA"/>
    <w:rsid w:val="00D5120A"/>
    <w:rsid w:val="00D51214"/>
    <w:rsid w:val="00D5145A"/>
    <w:rsid w:val="00D515D5"/>
    <w:rsid w:val="00D51869"/>
    <w:rsid w:val="00D5190B"/>
    <w:rsid w:val="00D51A45"/>
    <w:rsid w:val="00D51ADD"/>
    <w:rsid w:val="00D51BEC"/>
    <w:rsid w:val="00D51C18"/>
    <w:rsid w:val="00D51C1B"/>
    <w:rsid w:val="00D51C4C"/>
    <w:rsid w:val="00D51C57"/>
    <w:rsid w:val="00D51C63"/>
    <w:rsid w:val="00D51CD3"/>
    <w:rsid w:val="00D51D16"/>
    <w:rsid w:val="00D51E6F"/>
    <w:rsid w:val="00D51FB3"/>
    <w:rsid w:val="00D52089"/>
    <w:rsid w:val="00D5233B"/>
    <w:rsid w:val="00D5235A"/>
    <w:rsid w:val="00D52453"/>
    <w:rsid w:val="00D5249B"/>
    <w:rsid w:val="00D52771"/>
    <w:rsid w:val="00D5277B"/>
    <w:rsid w:val="00D527C6"/>
    <w:rsid w:val="00D52923"/>
    <w:rsid w:val="00D52984"/>
    <w:rsid w:val="00D529B3"/>
    <w:rsid w:val="00D529C5"/>
    <w:rsid w:val="00D52A5D"/>
    <w:rsid w:val="00D52AA4"/>
    <w:rsid w:val="00D52AC7"/>
    <w:rsid w:val="00D52B64"/>
    <w:rsid w:val="00D52BDE"/>
    <w:rsid w:val="00D52D7B"/>
    <w:rsid w:val="00D52DFE"/>
    <w:rsid w:val="00D52EB0"/>
    <w:rsid w:val="00D52EC1"/>
    <w:rsid w:val="00D52F16"/>
    <w:rsid w:val="00D5302D"/>
    <w:rsid w:val="00D5308C"/>
    <w:rsid w:val="00D53253"/>
    <w:rsid w:val="00D53392"/>
    <w:rsid w:val="00D5343B"/>
    <w:rsid w:val="00D5352C"/>
    <w:rsid w:val="00D53687"/>
    <w:rsid w:val="00D5368D"/>
    <w:rsid w:val="00D5372D"/>
    <w:rsid w:val="00D539B6"/>
    <w:rsid w:val="00D539BF"/>
    <w:rsid w:val="00D53B38"/>
    <w:rsid w:val="00D53B4C"/>
    <w:rsid w:val="00D53D1B"/>
    <w:rsid w:val="00D53D63"/>
    <w:rsid w:val="00D540C9"/>
    <w:rsid w:val="00D5410D"/>
    <w:rsid w:val="00D54123"/>
    <w:rsid w:val="00D541B2"/>
    <w:rsid w:val="00D5424E"/>
    <w:rsid w:val="00D54368"/>
    <w:rsid w:val="00D544B5"/>
    <w:rsid w:val="00D544C1"/>
    <w:rsid w:val="00D54832"/>
    <w:rsid w:val="00D54912"/>
    <w:rsid w:val="00D54970"/>
    <w:rsid w:val="00D5498E"/>
    <w:rsid w:val="00D549E5"/>
    <w:rsid w:val="00D54A96"/>
    <w:rsid w:val="00D54B84"/>
    <w:rsid w:val="00D54BD1"/>
    <w:rsid w:val="00D54CDB"/>
    <w:rsid w:val="00D54CF1"/>
    <w:rsid w:val="00D54D68"/>
    <w:rsid w:val="00D54F18"/>
    <w:rsid w:val="00D55044"/>
    <w:rsid w:val="00D55049"/>
    <w:rsid w:val="00D5516E"/>
    <w:rsid w:val="00D55276"/>
    <w:rsid w:val="00D55327"/>
    <w:rsid w:val="00D554AE"/>
    <w:rsid w:val="00D55534"/>
    <w:rsid w:val="00D55541"/>
    <w:rsid w:val="00D556FC"/>
    <w:rsid w:val="00D55701"/>
    <w:rsid w:val="00D55901"/>
    <w:rsid w:val="00D559DB"/>
    <w:rsid w:val="00D55AD4"/>
    <w:rsid w:val="00D55AEC"/>
    <w:rsid w:val="00D55B60"/>
    <w:rsid w:val="00D55C02"/>
    <w:rsid w:val="00D55C51"/>
    <w:rsid w:val="00D55C64"/>
    <w:rsid w:val="00D55D41"/>
    <w:rsid w:val="00D55DE7"/>
    <w:rsid w:val="00D55FDA"/>
    <w:rsid w:val="00D56163"/>
    <w:rsid w:val="00D56188"/>
    <w:rsid w:val="00D562FD"/>
    <w:rsid w:val="00D56331"/>
    <w:rsid w:val="00D56693"/>
    <w:rsid w:val="00D5669E"/>
    <w:rsid w:val="00D56720"/>
    <w:rsid w:val="00D5675F"/>
    <w:rsid w:val="00D5685E"/>
    <w:rsid w:val="00D56893"/>
    <w:rsid w:val="00D568E0"/>
    <w:rsid w:val="00D56986"/>
    <w:rsid w:val="00D56A26"/>
    <w:rsid w:val="00D56A75"/>
    <w:rsid w:val="00D56AFC"/>
    <w:rsid w:val="00D56D1D"/>
    <w:rsid w:val="00D56EF0"/>
    <w:rsid w:val="00D56F44"/>
    <w:rsid w:val="00D56F4B"/>
    <w:rsid w:val="00D56F58"/>
    <w:rsid w:val="00D56F69"/>
    <w:rsid w:val="00D56F90"/>
    <w:rsid w:val="00D5702F"/>
    <w:rsid w:val="00D57074"/>
    <w:rsid w:val="00D570EF"/>
    <w:rsid w:val="00D571C4"/>
    <w:rsid w:val="00D573B1"/>
    <w:rsid w:val="00D573C7"/>
    <w:rsid w:val="00D5744C"/>
    <w:rsid w:val="00D57618"/>
    <w:rsid w:val="00D577F2"/>
    <w:rsid w:val="00D57859"/>
    <w:rsid w:val="00D57EC3"/>
    <w:rsid w:val="00D57F5C"/>
    <w:rsid w:val="00D57F9E"/>
    <w:rsid w:val="00D57FFC"/>
    <w:rsid w:val="00D60159"/>
    <w:rsid w:val="00D602D2"/>
    <w:rsid w:val="00D603DB"/>
    <w:rsid w:val="00D604EC"/>
    <w:rsid w:val="00D6053E"/>
    <w:rsid w:val="00D60548"/>
    <w:rsid w:val="00D6057B"/>
    <w:rsid w:val="00D6062A"/>
    <w:rsid w:val="00D60672"/>
    <w:rsid w:val="00D6089F"/>
    <w:rsid w:val="00D60966"/>
    <w:rsid w:val="00D60A75"/>
    <w:rsid w:val="00D60A82"/>
    <w:rsid w:val="00D60B3A"/>
    <w:rsid w:val="00D60D36"/>
    <w:rsid w:val="00D60EEB"/>
    <w:rsid w:val="00D60F3B"/>
    <w:rsid w:val="00D61045"/>
    <w:rsid w:val="00D610CE"/>
    <w:rsid w:val="00D610EC"/>
    <w:rsid w:val="00D6116C"/>
    <w:rsid w:val="00D61183"/>
    <w:rsid w:val="00D611A7"/>
    <w:rsid w:val="00D611B3"/>
    <w:rsid w:val="00D61298"/>
    <w:rsid w:val="00D615A2"/>
    <w:rsid w:val="00D619CD"/>
    <w:rsid w:val="00D61EBB"/>
    <w:rsid w:val="00D61F1E"/>
    <w:rsid w:val="00D61F2A"/>
    <w:rsid w:val="00D62040"/>
    <w:rsid w:val="00D620A3"/>
    <w:rsid w:val="00D62152"/>
    <w:rsid w:val="00D6222F"/>
    <w:rsid w:val="00D62277"/>
    <w:rsid w:val="00D62497"/>
    <w:rsid w:val="00D625CE"/>
    <w:rsid w:val="00D627C1"/>
    <w:rsid w:val="00D62817"/>
    <w:rsid w:val="00D62857"/>
    <w:rsid w:val="00D628E7"/>
    <w:rsid w:val="00D629CA"/>
    <w:rsid w:val="00D62B83"/>
    <w:rsid w:val="00D62C85"/>
    <w:rsid w:val="00D62CC3"/>
    <w:rsid w:val="00D62D1E"/>
    <w:rsid w:val="00D62DD9"/>
    <w:rsid w:val="00D62E79"/>
    <w:rsid w:val="00D62F9E"/>
    <w:rsid w:val="00D63002"/>
    <w:rsid w:val="00D631BE"/>
    <w:rsid w:val="00D633DE"/>
    <w:rsid w:val="00D6344F"/>
    <w:rsid w:val="00D63475"/>
    <w:rsid w:val="00D634A9"/>
    <w:rsid w:val="00D63750"/>
    <w:rsid w:val="00D63784"/>
    <w:rsid w:val="00D6382A"/>
    <w:rsid w:val="00D638B7"/>
    <w:rsid w:val="00D638E3"/>
    <w:rsid w:val="00D6390F"/>
    <w:rsid w:val="00D63925"/>
    <w:rsid w:val="00D63996"/>
    <w:rsid w:val="00D639CB"/>
    <w:rsid w:val="00D63A57"/>
    <w:rsid w:val="00D63C91"/>
    <w:rsid w:val="00D63D21"/>
    <w:rsid w:val="00D63D24"/>
    <w:rsid w:val="00D63D74"/>
    <w:rsid w:val="00D63DB0"/>
    <w:rsid w:val="00D63E0A"/>
    <w:rsid w:val="00D63E5D"/>
    <w:rsid w:val="00D63EC1"/>
    <w:rsid w:val="00D63F78"/>
    <w:rsid w:val="00D63FD3"/>
    <w:rsid w:val="00D64309"/>
    <w:rsid w:val="00D6432C"/>
    <w:rsid w:val="00D6448E"/>
    <w:rsid w:val="00D6453F"/>
    <w:rsid w:val="00D6465B"/>
    <w:rsid w:val="00D6465E"/>
    <w:rsid w:val="00D64690"/>
    <w:rsid w:val="00D646EF"/>
    <w:rsid w:val="00D6479A"/>
    <w:rsid w:val="00D647D2"/>
    <w:rsid w:val="00D6482C"/>
    <w:rsid w:val="00D648A2"/>
    <w:rsid w:val="00D64909"/>
    <w:rsid w:val="00D64BDF"/>
    <w:rsid w:val="00D64C0D"/>
    <w:rsid w:val="00D64D55"/>
    <w:rsid w:val="00D64D66"/>
    <w:rsid w:val="00D64DA4"/>
    <w:rsid w:val="00D65378"/>
    <w:rsid w:val="00D65390"/>
    <w:rsid w:val="00D65465"/>
    <w:rsid w:val="00D6575F"/>
    <w:rsid w:val="00D65893"/>
    <w:rsid w:val="00D659BF"/>
    <w:rsid w:val="00D65A2B"/>
    <w:rsid w:val="00D65B16"/>
    <w:rsid w:val="00D65C3F"/>
    <w:rsid w:val="00D65DE8"/>
    <w:rsid w:val="00D65F14"/>
    <w:rsid w:val="00D65FF8"/>
    <w:rsid w:val="00D66072"/>
    <w:rsid w:val="00D66376"/>
    <w:rsid w:val="00D663CF"/>
    <w:rsid w:val="00D663E6"/>
    <w:rsid w:val="00D6646B"/>
    <w:rsid w:val="00D664B8"/>
    <w:rsid w:val="00D66514"/>
    <w:rsid w:val="00D6664E"/>
    <w:rsid w:val="00D6666C"/>
    <w:rsid w:val="00D666A2"/>
    <w:rsid w:val="00D66758"/>
    <w:rsid w:val="00D66899"/>
    <w:rsid w:val="00D6690A"/>
    <w:rsid w:val="00D66937"/>
    <w:rsid w:val="00D669B0"/>
    <w:rsid w:val="00D66A3E"/>
    <w:rsid w:val="00D66A8A"/>
    <w:rsid w:val="00D66B02"/>
    <w:rsid w:val="00D66B6D"/>
    <w:rsid w:val="00D66B6E"/>
    <w:rsid w:val="00D66B7F"/>
    <w:rsid w:val="00D66C1B"/>
    <w:rsid w:val="00D66C71"/>
    <w:rsid w:val="00D66CA5"/>
    <w:rsid w:val="00D66D3C"/>
    <w:rsid w:val="00D66D71"/>
    <w:rsid w:val="00D66DAF"/>
    <w:rsid w:val="00D66E22"/>
    <w:rsid w:val="00D66E5F"/>
    <w:rsid w:val="00D66FAC"/>
    <w:rsid w:val="00D67038"/>
    <w:rsid w:val="00D670B2"/>
    <w:rsid w:val="00D67143"/>
    <w:rsid w:val="00D671B9"/>
    <w:rsid w:val="00D6747C"/>
    <w:rsid w:val="00D6760A"/>
    <w:rsid w:val="00D67624"/>
    <w:rsid w:val="00D6774B"/>
    <w:rsid w:val="00D6779D"/>
    <w:rsid w:val="00D67A39"/>
    <w:rsid w:val="00D67DE5"/>
    <w:rsid w:val="00D67EA2"/>
    <w:rsid w:val="00D67F67"/>
    <w:rsid w:val="00D67F99"/>
    <w:rsid w:val="00D67FB2"/>
    <w:rsid w:val="00D70130"/>
    <w:rsid w:val="00D701F7"/>
    <w:rsid w:val="00D7028A"/>
    <w:rsid w:val="00D70415"/>
    <w:rsid w:val="00D70422"/>
    <w:rsid w:val="00D7049C"/>
    <w:rsid w:val="00D704C6"/>
    <w:rsid w:val="00D7057B"/>
    <w:rsid w:val="00D70600"/>
    <w:rsid w:val="00D7060C"/>
    <w:rsid w:val="00D70697"/>
    <w:rsid w:val="00D707AD"/>
    <w:rsid w:val="00D707E2"/>
    <w:rsid w:val="00D70859"/>
    <w:rsid w:val="00D709F9"/>
    <w:rsid w:val="00D70C42"/>
    <w:rsid w:val="00D70E2B"/>
    <w:rsid w:val="00D70EDC"/>
    <w:rsid w:val="00D70EF5"/>
    <w:rsid w:val="00D710A6"/>
    <w:rsid w:val="00D711EF"/>
    <w:rsid w:val="00D712F8"/>
    <w:rsid w:val="00D71375"/>
    <w:rsid w:val="00D71553"/>
    <w:rsid w:val="00D71567"/>
    <w:rsid w:val="00D715F7"/>
    <w:rsid w:val="00D7170C"/>
    <w:rsid w:val="00D71827"/>
    <w:rsid w:val="00D71A8E"/>
    <w:rsid w:val="00D71B53"/>
    <w:rsid w:val="00D71B5F"/>
    <w:rsid w:val="00D71BC3"/>
    <w:rsid w:val="00D71BE9"/>
    <w:rsid w:val="00D71BEE"/>
    <w:rsid w:val="00D71C0D"/>
    <w:rsid w:val="00D71E0B"/>
    <w:rsid w:val="00D71E6F"/>
    <w:rsid w:val="00D71EC9"/>
    <w:rsid w:val="00D71EE5"/>
    <w:rsid w:val="00D721EF"/>
    <w:rsid w:val="00D72406"/>
    <w:rsid w:val="00D72513"/>
    <w:rsid w:val="00D7257B"/>
    <w:rsid w:val="00D725A4"/>
    <w:rsid w:val="00D725E2"/>
    <w:rsid w:val="00D7263E"/>
    <w:rsid w:val="00D728AD"/>
    <w:rsid w:val="00D729C2"/>
    <w:rsid w:val="00D72A1D"/>
    <w:rsid w:val="00D72B99"/>
    <w:rsid w:val="00D72E1A"/>
    <w:rsid w:val="00D7303B"/>
    <w:rsid w:val="00D730D9"/>
    <w:rsid w:val="00D73154"/>
    <w:rsid w:val="00D73179"/>
    <w:rsid w:val="00D73255"/>
    <w:rsid w:val="00D732BC"/>
    <w:rsid w:val="00D733B2"/>
    <w:rsid w:val="00D73487"/>
    <w:rsid w:val="00D73638"/>
    <w:rsid w:val="00D73657"/>
    <w:rsid w:val="00D73714"/>
    <w:rsid w:val="00D73795"/>
    <w:rsid w:val="00D73815"/>
    <w:rsid w:val="00D73984"/>
    <w:rsid w:val="00D73A95"/>
    <w:rsid w:val="00D73AF1"/>
    <w:rsid w:val="00D73B68"/>
    <w:rsid w:val="00D73DB3"/>
    <w:rsid w:val="00D73E07"/>
    <w:rsid w:val="00D7410A"/>
    <w:rsid w:val="00D74178"/>
    <w:rsid w:val="00D7419E"/>
    <w:rsid w:val="00D74281"/>
    <w:rsid w:val="00D74470"/>
    <w:rsid w:val="00D74578"/>
    <w:rsid w:val="00D747BC"/>
    <w:rsid w:val="00D7485E"/>
    <w:rsid w:val="00D74891"/>
    <w:rsid w:val="00D74E91"/>
    <w:rsid w:val="00D74F27"/>
    <w:rsid w:val="00D7538F"/>
    <w:rsid w:val="00D7566C"/>
    <w:rsid w:val="00D757F4"/>
    <w:rsid w:val="00D75820"/>
    <w:rsid w:val="00D75958"/>
    <w:rsid w:val="00D75979"/>
    <w:rsid w:val="00D75BAD"/>
    <w:rsid w:val="00D75E32"/>
    <w:rsid w:val="00D7607E"/>
    <w:rsid w:val="00D760AD"/>
    <w:rsid w:val="00D76358"/>
    <w:rsid w:val="00D76375"/>
    <w:rsid w:val="00D763CF"/>
    <w:rsid w:val="00D76508"/>
    <w:rsid w:val="00D7661E"/>
    <w:rsid w:val="00D766C7"/>
    <w:rsid w:val="00D766F8"/>
    <w:rsid w:val="00D76886"/>
    <w:rsid w:val="00D76ED7"/>
    <w:rsid w:val="00D7707E"/>
    <w:rsid w:val="00D77119"/>
    <w:rsid w:val="00D773C1"/>
    <w:rsid w:val="00D773C2"/>
    <w:rsid w:val="00D775B0"/>
    <w:rsid w:val="00D77650"/>
    <w:rsid w:val="00D77662"/>
    <w:rsid w:val="00D776D3"/>
    <w:rsid w:val="00D77857"/>
    <w:rsid w:val="00D7788A"/>
    <w:rsid w:val="00D77A81"/>
    <w:rsid w:val="00D77BA2"/>
    <w:rsid w:val="00D77CC2"/>
    <w:rsid w:val="00D77D10"/>
    <w:rsid w:val="00D77D15"/>
    <w:rsid w:val="00D80023"/>
    <w:rsid w:val="00D800BB"/>
    <w:rsid w:val="00D80147"/>
    <w:rsid w:val="00D8036D"/>
    <w:rsid w:val="00D80505"/>
    <w:rsid w:val="00D80558"/>
    <w:rsid w:val="00D80675"/>
    <w:rsid w:val="00D80B3B"/>
    <w:rsid w:val="00D80B9C"/>
    <w:rsid w:val="00D80D73"/>
    <w:rsid w:val="00D80DA9"/>
    <w:rsid w:val="00D80DF4"/>
    <w:rsid w:val="00D80E17"/>
    <w:rsid w:val="00D80FA1"/>
    <w:rsid w:val="00D8101B"/>
    <w:rsid w:val="00D810E8"/>
    <w:rsid w:val="00D8116F"/>
    <w:rsid w:val="00D8123E"/>
    <w:rsid w:val="00D814CA"/>
    <w:rsid w:val="00D818EC"/>
    <w:rsid w:val="00D819B3"/>
    <w:rsid w:val="00D819C9"/>
    <w:rsid w:val="00D81B53"/>
    <w:rsid w:val="00D81C77"/>
    <w:rsid w:val="00D81CE7"/>
    <w:rsid w:val="00D81D26"/>
    <w:rsid w:val="00D81DA6"/>
    <w:rsid w:val="00D81E5E"/>
    <w:rsid w:val="00D81F0F"/>
    <w:rsid w:val="00D82168"/>
    <w:rsid w:val="00D82195"/>
    <w:rsid w:val="00D82342"/>
    <w:rsid w:val="00D823A9"/>
    <w:rsid w:val="00D823E8"/>
    <w:rsid w:val="00D82587"/>
    <w:rsid w:val="00D8259D"/>
    <w:rsid w:val="00D8262F"/>
    <w:rsid w:val="00D82973"/>
    <w:rsid w:val="00D82BC4"/>
    <w:rsid w:val="00D82C73"/>
    <w:rsid w:val="00D82CD2"/>
    <w:rsid w:val="00D82F69"/>
    <w:rsid w:val="00D82F9D"/>
    <w:rsid w:val="00D83006"/>
    <w:rsid w:val="00D8315C"/>
    <w:rsid w:val="00D8329B"/>
    <w:rsid w:val="00D832FE"/>
    <w:rsid w:val="00D833F5"/>
    <w:rsid w:val="00D8344E"/>
    <w:rsid w:val="00D834AB"/>
    <w:rsid w:val="00D8362F"/>
    <w:rsid w:val="00D8367E"/>
    <w:rsid w:val="00D83886"/>
    <w:rsid w:val="00D83985"/>
    <w:rsid w:val="00D839E7"/>
    <w:rsid w:val="00D83BA7"/>
    <w:rsid w:val="00D83C66"/>
    <w:rsid w:val="00D83C6F"/>
    <w:rsid w:val="00D83CD3"/>
    <w:rsid w:val="00D83DC5"/>
    <w:rsid w:val="00D8412A"/>
    <w:rsid w:val="00D84182"/>
    <w:rsid w:val="00D841B8"/>
    <w:rsid w:val="00D8427E"/>
    <w:rsid w:val="00D84340"/>
    <w:rsid w:val="00D8436B"/>
    <w:rsid w:val="00D8449A"/>
    <w:rsid w:val="00D8452F"/>
    <w:rsid w:val="00D84530"/>
    <w:rsid w:val="00D84547"/>
    <w:rsid w:val="00D845F4"/>
    <w:rsid w:val="00D849B0"/>
    <w:rsid w:val="00D849EF"/>
    <w:rsid w:val="00D84A5C"/>
    <w:rsid w:val="00D84B41"/>
    <w:rsid w:val="00D84D03"/>
    <w:rsid w:val="00D851BC"/>
    <w:rsid w:val="00D85200"/>
    <w:rsid w:val="00D8532B"/>
    <w:rsid w:val="00D8551E"/>
    <w:rsid w:val="00D8583F"/>
    <w:rsid w:val="00D8594F"/>
    <w:rsid w:val="00D85A88"/>
    <w:rsid w:val="00D85AE0"/>
    <w:rsid w:val="00D85CB5"/>
    <w:rsid w:val="00D85D8A"/>
    <w:rsid w:val="00D85F45"/>
    <w:rsid w:val="00D8617C"/>
    <w:rsid w:val="00D861D6"/>
    <w:rsid w:val="00D8627F"/>
    <w:rsid w:val="00D8628C"/>
    <w:rsid w:val="00D8635A"/>
    <w:rsid w:val="00D8636C"/>
    <w:rsid w:val="00D8636D"/>
    <w:rsid w:val="00D86461"/>
    <w:rsid w:val="00D8659A"/>
    <w:rsid w:val="00D865BD"/>
    <w:rsid w:val="00D866A8"/>
    <w:rsid w:val="00D866EC"/>
    <w:rsid w:val="00D86811"/>
    <w:rsid w:val="00D86846"/>
    <w:rsid w:val="00D86A35"/>
    <w:rsid w:val="00D86A3F"/>
    <w:rsid w:val="00D86BA2"/>
    <w:rsid w:val="00D86C12"/>
    <w:rsid w:val="00D86C1F"/>
    <w:rsid w:val="00D86E5B"/>
    <w:rsid w:val="00D86EBF"/>
    <w:rsid w:val="00D86EFE"/>
    <w:rsid w:val="00D86F19"/>
    <w:rsid w:val="00D86F52"/>
    <w:rsid w:val="00D86FE2"/>
    <w:rsid w:val="00D87196"/>
    <w:rsid w:val="00D8729C"/>
    <w:rsid w:val="00D872E7"/>
    <w:rsid w:val="00D87324"/>
    <w:rsid w:val="00D87462"/>
    <w:rsid w:val="00D874A0"/>
    <w:rsid w:val="00D874BD"/>
    <w:rsid w:val="00D875A1"/>
    <w:rsid w:val="00D875EC"/>
    <w:rsid w:val="00D87623"/>
    <w:rsid w:val="00D8781E"/>
    <w:rsid w:val="00D87A50"/>
    <w:rsid w:val="00D87A5C"/>
    <w:rsid w:val="00D87B55"/>
    <w:rsid w:val="00D87C0F"/>
    <w:rsid w:val="00D87C56"/>
    <w:rsid w:val="00D87E14"/>
    <w:rsid w:val="00D87E52"/>
    <w:rsid w:val="00D87EBF"/>
    <w:rsid w:val="00D87F86"/>
    <w:rsid w:val="00D87FB2"/>
    <w:rsid w:val="00D90083"/>
    <w:rsid w:val="00D900F6"/>
    <w:rsid w:val="00D90141"/>
    <w:rsid w:val="00D90171"/>
    <w:rsid w:val="00D901C2"/>
    <w:rsid w:val="00D903FA"/>
    <w:rsid w:val="00D90526"/>
    <w:rsid w:val="00D905BC"/>
    <w:rsid w:val="00D905DC"/>
    <w:rsid w:val="00D90958"/>
    <w:rsid w:val="00D90B5C"/>
    <w:rsid w:val="00D90BA3"/>
    <w:rsid w:val="00D90CC4"/>
    <w:rsid w:val="00D90DEF"/>
    <w:rsid w:val="00D90E2C"/>
    <w:rsid w:val="00D90F88"/>
    <w:rsid w:val="00D91035"/>
    <w:rsid w:val="00D91091"/>
    <w:rsid w:val="00D91152"/>
    <w:rsid w:val="00D91207"/>
    <w:rsid w:val="00D9127D"/>
    <w:rsid w:val="00D912D8"/>
    <w:rsid w:val="00D913BD"/>
    <w:rsid w:val="00D913F7"/>
    <w:rsid w:val="00D91402"/>
    <w:rsid w:val="00D914AB"/>
    <w:rsid w:val="00D914EE"/>
    <w:rsid w:val="00D9155B"/>
    <w:rsid w:val="00D915D9"/>
    <w:rsid w:val="00D915DA"/>
    <w:rsid w:val="00D916BE"/>
    <w:rsid w:val="00D91A18"/>
    <w:rsid w:val="00D91AE7"/>
    <w:rsid w:val="00D91B14"/>
    <w:rsid w:val="00D91D47"/>
    <w:rsid w:val="00D91D5E"/>
    <w:rsid w:val="00D91D9B"/>
    <w:rsid w:val="00D91DE2"/>
    <w:rsid w:val="00D91E0D"/>
    <w:rsid w:val="00D91E41"/>
    <w:rsid w:val="00D91EF6"/>
    <w:rsid w:val="00D92000"/>
    <w:rsid w:val="00D92024"/>
    <w:rsid w:val="00D9205F"/>
    <w:rsid w:val="00D9209D"/>
    <w:rsid w:val="00D921A5"/>
    <w:rsid w:val="00D921EB"/>
    <w:rsid w:val="00D9223A"/>
    <w:rsid w:val="00D9232B"/>
    <w:rsid w:val="00D92353"/>
    <w:rsid w:val="00D9250D"/>
    <w:rsid w:val="00D926A2"/>
    <w:rsid w:val="00D92850"/>
    <w:rsid w:val="00D9286B"/>
    <w:rsid w:val="00D92A14"/>
    <w:rsid w:val="00D92A98"/>
    <w:rsid w:val="00D92AD1"/>
    <w:rsid w:val="00D92B13"/>
    <w:rsid w:val="00D92D02"/>
    <w:rsid w:val="00D92D32"/>
    <w:rsid w:val="00D92E2D"/>
    <w:rsid w:val="00D92F92"/>
    <w:rsid w:val="00D92FD9"/>
    <w:rsid w:val="00D930CA"/>
    <w:rsid w:val="00D93250"/>
    <w:rsid w:val="00D9329D"/>
    <w:rsid w:val="00D93388"/>
    <w:rsid w:val="00D9345F"/>
    <w:rsid w:val="00D935ED"/>
    <w:rsid w:val="00D93676"/>
    <w:rsid w:val="00D93868"/>
    <w:rsid w:val="00D939FC"/>
    <w:rsid w:val="00D93D67"/>
    <w:rsid w:val="00D93DA9"/>
    <w:rsid w:val="00D93F1B"/>
    <w:rsid w:val="00D93F7D"/>
    <w:rsid w:val="00D944B2"/>
    <w:rsid w:val="00D94565"/>
    <w:rsid w:val="00D945DA"/>
    <w:rsid w:val="00D947C2"/>
    <w:rsid w:val="00D947F8"/>
    <w:rsid w:val="00D9484A"/>
    <w:rsid w:val="00D948B9"/>
    <w:rsid w:val="00D94AD0"/>
    <w:rsid w:val="00D94D31"/>
    <w:rsid w:val="00D94D4D"/>
    <w:rsid w:val="00D94D79"/>
    <w:rsid w:val="00D94DD6"/>
    <w:rsid w:val="00D94F6E"/>
    <w:rsid w:val="00D9522B"/>
    <w:rsid w:val="00D952E6"/>
    <w:rsid w:val="00D952EC"/>
    <w:rsid w:val="00D952FD"/>
    <w:rsid w:val="00D9559E"/>
    <w:rsid w:val="00D955F1"/>
    <w:rsid w:val="00D95676"/>
    <w:rsid w:val="00D95793"/>
    <w:rsid w:val="00D957CA"/>
    <w:rsid w:val="00D957D4"/>
    <w:rsid w:val="00D95A70"/>
    <w:rsid w:val="00D95E0A"/>
    <w:rsid w:val="00D95E29"/>
    <w:rsid w:val="00D95E4A"/>
    <w:rsid w:val="00D9603A"/>
    <w:rsid w:val="00D961A8"/>
    <w:rsid w:val="00D96200"/>
    <w:rsid w:val="00D963A1"/>
    <w:rsid w:val="00D964BF"/>
    <w:rsid w:val="00D965AF"/>
    <w:rsid w:val="00D9667A"/>
    <w:rsid w:val="00D966A2"/>
    <w:rsid w:val="00D967E0"/>
    <w:rsid w:val="00D96833"/>
    <w:rsid w:val="00D96841"/>
    <w:rsid w:val="00D9688C"/>
    <w:rsid w:val="00D96954"/>
    <w:rsid w:val="00D96960"/>
    <w:rsid w:val="00D969AD"/>
    <w:rsid w:val="00D96BA2"/>
    <w:rsid w:val="00D96C4E"/>
    <w:rsid w:val="00D96CA7"/>
    <w:rsid w:val="00D96EE2"/>
    <w:rsid w:val="00D96F41"/>
    <w:rsid w:val="00D97098"/>
    <w:rsid w:val="00D970B9"/>
    <w:rsid w:val="00D970BB"/>
    <w:rsid w:val="00D97149"/>
    <w:rsid w:val="00D972F4"/>
    <w:rsid w:val="00D9744C"/>
    <w:rsid w:val="00D9755C"/>
    <w:rsid w:val="00D97651"/>
    <w:rsid w:val="00D9773F"/>
    <w:rsid w:val="00D9775E"/>
    <w:rsid w:val="00D97A32"/>
    <w:rsid w:val="00D97A77"/>
    <w:rsid w:val="00D97A89"/>
    <w:rsid w:val="00D97B38"/>
    <w:rsid w:val="00D97B6F"/>
    <w:rsid w:val="00D97C60"/>
    <w:rsid w:val="00D97C63"/>
    <w:rsid w:val="00D97D91"/>
    <w:rsid w:val="00D97E01"/>
    <w:rsid w:val="00D97F26"/>
    <w:rsid w:val="00DA01C5"/>
    <w:rsid w:val="00DA01F1"/>
    <w:rsid w:val="00DA03C9"/>
    <w:rsid w:val="00DA09C4"/>
    <w:rsid w:val="00DA09E4"/>
    <w:rsid w:val="00DA0BD2"/>
    <w:rsid w:val="00DA0CA5"/>
    <w:rsid w:val="00DA0D06"/>
    <w:rsid w:val="00DA0D5D"/>
    <w:rsid w:val="00DA0F90"/>
    <w:rsid w:val="00DA10C2"/>
    <w:rsid w:val="00DA1147"/>
    <w:rsid w:val="00DA1222"/>
    <w:rsid w:val="00DA1231"/>
    <w:rsid w:val="00DA1392"/>
    <w:rsid w:val="00DA1478"/>
    <w:rsid w:val="00DA14F2"/>
    <w:rsid w:val="00DA1890"/>
    <w:rsid w:val="00DA1960"/>
    <w:rsid w:val="00DA19D7"/>
    <w:rsid w:val="00DA1A88"/>
    <w:rsid w:val="00DA1B43"/>
    <w:rsid w:val="00DA1CD2"/>
    <w:rsid w:val="00DA1D20"/>
    <w:rsid w:val="00DA1D7A"/>
    <w:rsid w:val="00DA1E4D"/>
    <w:rsid w:val="00DA1F1B"/>
    <w:rsid w:val="00DA1F61"/>
    <w:rsid w:val="00DA2207"/>
    <w:rsid w:val="00DA2232"/>
    <w:rsid w:val="00DA2298"/>
    <w:rsid w:val="00DA23B3"/>
    <w:rsid w:val="00DA23B6"/>
    <w:rsid w:val="00DA23DD"/>
    <w:rsid w:val="00DA24A9"/>
    <w:rsid w:val="00DA26B3"/>
    <w:rsid w:val="00DA270E"/>
    <w:rsid w:val="00DA284D"/>
    <w:rsid w:val="00DA2864"/>
    <w:rsid w:val="00DA2913"/>
    <w:rsid w:val="00DA2ACE"/>
    <w:rsid w:val="00DA2C43"/>
    <w:rsid w:val="00DA2CF5"/>
    <w:rsid w:val="00DA2D56"/>
    <w:rsid w:val="00DA2FC2"/>
    <w:rsid w:val="00DA2FD7"/>
    <w:rsid w:val="00DA3291"/>
    <w:rsid w:val="00DA32B5"/>
    <w:rsid w:val="00DA32BD"/>
    <w:rsid w:val="00DA351D"/>
    <w:rsid w:val="00DA35D5"/>
    <w:rsid w:val="00DA381E"/>
    <w:rsid w:val="00DA381F"/>
    <w:rsid w:val="00DA38AC"/>
    <w:rsid w:val="00DA38F8"/>
    <w:rsid w:val="00DA39DF"/>
    <w:rsid w:val="00DA3A03"/>
    <w:rsid w:val="00DA3AFF"/>
    <w:rsid w:val="00DA3B12"/>
    <w:rsid w:val="00DA3B98"/>
    <w:rsid w:val="00DA3BF6"/>
    <w:rsid w:val="00DA3C29"/>
    <w:rsid w:val="00DA3D33"/>
    <w:rsid w:val="00DA3D9E"/>
    <w:rsid w:val="00DA3DA5"/>
    <w:rsid w:val="00DA3FBA"/>
    <w:rsid w:val="00DA3FEC"/>
    <w:rsid w:val="00DA4144"/>
    <w:rsid w:val="00DA42ED"/>
    <w:rsid w:val="00DA45CF"/>
    <w:rsid w:val="00DA4869"/>
    <w:rsid w:val="00DA48D0"/>
    <w:rsid w:val="00DA4B48"/>
    <w:rsid w:val="00DA4BF4"/>
    <w:rsid w:val="00DA4DDE"/>
    <w:rsid w:val="00DA4E05"/>
    <w:rsid w:val="00DA4FB9"/>
    <w:rsid w:val="00DA5185"/>
    <w:rsid w:val="00DA523A"/>
    <w:rsid w:val="00DA5268"/>
    <w:rsid w:val="00DA529B"/>
    <w:rsid w:val="00DA52A5"/>
    <w:rsid w:val="00DA534B"/>
    <w:rsid w:val="00DA5441"/>
    <w:rsid w:val="00DA54E6"/>
    <w:rsid w:val="00DA55E5"/>
    <w:rsid w:val="00DA5766"/>
    <w:rsid w:val="00DA584F"/>
    <w:rsid w:val="00DA5B2B"/>
    <w:rsid w:val="00DA5C0B"/>
    <w:rsid w:val="00DA5C85"/>
    <w:rsid w:val="00DA5D84"/>
    <w:rsid w:val="00DA5EC8"/>
    <w:rsid w:val="00DA5F7A"/>
    <w:rsid w:val="00DA5FC2"/>
    <w:rsid w:val="00DA6090"/>
    <w:rsid w:val="00DA611E"/>
    <w:rsid w:val="00DA61D1"/>
    <w:rsid w:val="00DA62C6"/>
    <w:rsid w:val="00DA62FA"/>
    <w:rsid w:val="00DA636C"/>
    <w:rsid w:val="00DA641E"/>
    <w:rsid w:val="00DA64E8"/>
    <w:rsid w:val="00DA6792"/>
    <w:rsid w:val="00DA67A2"/>
    <w:rsid w:val="00DA6928"/>
    <w:rsid w:val="00DA6947"/>
    <w:rsid w:val="00DA6ADB"/>
    <w:rsid w:val="00DA6BAD"/>
    <w:rsid w:val="00DA6C09"/>
    <w:rsid w:val="00DA6C22"/>
    <w:rsid w:val="00DA6C75"/>
    <w:rsid w:val="00DA6D60"/>
    <w:rsid w:val="00DA6E46"/>
    <w:rsid w:val="00DA6F1A"/>
    <w:rsid w:val="00DA6FBA"/>
    <w:rsid w:val="00DA700B"/>
    <w:rsid w:val="00DA71D5"/>
    <w:rsid w:val="00DA71F5"/>
    <w:rsid w:val="00DA7420"/>
    <w:rsid w:val="00DA744B"/>
    <w:rsid w:val="00DA7474"/>
    <w:rsid w:val="00DA7476"/>
    <w:rsid w:val="00DA7481"/>
    <w:rsid w:val="00DA7620"/>
    <w:rsid w:val="00DA7777"/>
    <w:rsid w:val="00DA78D4"/>
    <w:rsid w:val="00DA796C"/>
    <w:rsid w:val="00DA7980"/>
    <w:rsid w:val="00DA7A69"/>
    <w:rsid w:val="00DA7C14"/>
    <w:rsid w:val="00DA7D50"/>
    <w:rsid w:val="00DA7DC6"/>
    <w:rsid w:val="00DA7E7C"/>
    <w:rsid w:val="00DA7EE5"/>
    <w:rsid w:val="00DA7F46"/>
    <w:rsid w:val="00DA7F81"/>
    <w:rsid w:val="00DA7FB6"/>
    <w:rsid w:val="00DA7FC9"/>
    <w:rsid w:val="00DB011D"/>
    <w:rsid w:val="00DB018A"/>
    <w:rsid w:val="00DB04B3"/>
    <w:rsid w:val="00DB04D0"/>
    <w:rsid w:val="00DB0535"/>
    <w:rsid w:val="00DB05D3"/>
    <w:rsid w:val="00DB05F8"/>
    <w:rsid w:val="00DB079C"/>
    <w:rsid w:val="00DB0915"/>
    <w:rsid w:val="00DB0997"/>
    <w:rsid w:val="00DB0B04"/>
    <w:rsid w:val="00DB0B4C"/>
    <w:rsid w:val="00DB0BEE"/>
    <w:rsid w:val="00DB0C9C"/>
    <w:rsid w:val="00DB0DFB"/>
    <w:rsid w:val="00DB0E06"/>
    <w:rsid w:val="00DB0E27"/>
    <w:rsid w:val="00DB0E61"/>
    <w:rsid w:val="00DB0E63"/>
    <w:rsid w:val="00DB0F89"/>
    <w:rsid w:val="00DB0FC6"/>
    <w:rsid w:val="00DB0FEB"/>
    <w:rsid w:val="00DB101C"/>
    <w:rsid w:val="00DB1194"/>
    <w:rsid w:val="00DB11ED"/>
    <w:rsid w:val="00DB12B2"/>
    <w:rsid w:val="00DB12CC"/>
    <w:rsid w:val="00DB13A4"/>
    <w:rsid w:val="00DB13CD"/>
    <w:rsid w:val="00DB13D8"/>
    <w:rsid w:val="00DB1475"/>
    <w:rsid w:val="00DB1598"/>
    <w:rsid w:val="00DB15D7"/>
    <w:rsid w:val="00DB1828"/>
    <w:rsid w:val="00DB190B"/>
    <w:rsid w:val="00DB1999"/>
    <w:rsid w:val="00DB19F9"/>
    <w:rsid w:val="00DB1AC6"/>
    <w:rsid w:val="00DB1C56"/>
    <w:rsid w:val="00DB1E40"/>
    <w:rsid w:val="00DB1FBF"/>
    <w:rsid w:val="00DB2024"/>
    <w:rsid w:val="00DB2172"/>
    <w:rsid w:val="00DB2282"/>
    <w:rsid w:val="00DB25A5"/>
    <w:rsid w:val="00DB2612"/>
    <w:rsid w:val="00DB262F"/>
    <w:rsid w:val="00DB268C"/>
    <w:rsid w:val="00DB27A6"/>
    <w:rsid w:val="00DB280C"/>
    <w:rsid w:val="00DB2849"/>
    <w:rsid w:val="00DB29E0"/>
    <w:rsid w:val="00DB2A7E"/>
    <w:rsid w:val="00DB2AC6"/>
    <w:rsid w:val="00DB2D17"/>
    <w:rsid w:val="00DB2D6F"/>
    <w:rsid w:val="00DB2F89"/>
    <w:rsid w:val="00DB304E"/>
    <w:rsid w:val="00DB30D1"/>
    <w:rsid w:val="00DB315E"/>
    <w:rsid w:val="00DB3189"/>
    <w:rsid w:val="00DB323E"/>
    <w:rsid w:val="00DB326C"/>
    <w:rsid w:val="00DB34FF"/>
    <w:rsid w:val="00DB3521"/>
    <w:rsid w:val="00DB3590"/>
    <w:rsid w:val="00DB372B"/>
    <w:rsid w:val="00DB37CC"/>
    <w:rsid w:val="00DB3829"/>
    <w:rsid w:val="00DB38C2"/>
    <w:rsid w:val="00DB38CB"/>
    <w:rsid w:val="00DB394E"/>
    <w:rsid w:val="00DB39D7"/>
    <w:rsid w:val="00DB39DE"/>
    <w:rsid w:val="00DB3DDE"/>
    <w:rsid w:val="00DB3EA3"/>
    <w:rsid w:val="00DB3F2B"/>
    <w:rsid w:val="00DB3F42"/>
    <w:rsid w:val="00DB3FC5"/>
    <w:rsid w:val="00DB400A"/>
    <w:rsid w:val="00DB4054"/>
    <w:rsid w:val="00DB410C"/>
    <w:rsid w:val="00DB41D6"/>
    <w:rsid w:val="00DB41F0"/>
    <w:rsid w:val="00DB4345"/>
    <w:rsid w:val="00DB434A"/>
    <w:rsid w:val="00DB444B"/>
    <w:rsid w:val="00DB446A"/>
    <w:rsid w:val="00DB44DA"/>
    <w:rsid w:val="00DB4642"/>
    <w:rsid w:val="00DB484C"/>
    <w:rsid w:val="00DB4854"/>
    <w:rsid w:val="00DB49D5"/>
    <w:rsid w:val="00DB4B13"/>
    <w:rsid w:val="00DB4BBA"/>
    <w:rsid w:val="00DB4BD9"/>
    <w:rsid w:val="00DB4D0D"/>
    <w:rsid w:val="00DB4E4E"/>
    <w:rsid w:val="00DB4E64"/>
    <w:rsid w:val="00DB5102"/>
    <w:rsid w:val="00DB5281"/>
    <w:rsid w:val="00DB52FA"/>
    <w:rsid w:val="00DB5380"/>
    <w:rsid w:val="00DB53CB"/>
    <w:rsid w:val="00DB545E"/>
    <w:rsid w:val="00DB5554"/>
    <w:rsid w:val="00DB57C1"/>
    <w:rsid w:val="00DB586C"/>
    <w:rsid w:val="00DB59D0"/>
    <w:rsid w:val="00DB5ABD"/>
    <w:rsid w:val="00DB5AD6"/>
    <w:rsid w:val="00DB5B93"/>
    <w:rsid w:val="00DB5C98"/>
    <w:rsid w:val="00DB5D3D"/>
    <w:rsid w:val="00DB5E45"/>
    <w:rsid w:val="00DB5F5A"/>
    <w:rsid w:val="00DB5F8C"/>
    <w:rsid w:val="00DB5FB2"/>
    <w:rsid w:val="00DB5FDB"/>
    <w:rsid w:val="00DB6067"/>
    <w:rsid w:val="00DB61DD"/>
    <w:rsid w:val="00DB64BA"/>
    <w:rsid w:val="00DB64E6"/>
    <w:rsid w:val="00DB6566"/>
    <w:rsid w:val="00DB65B8"/>
    <w:rsid w:val="00DB664C"/>
    <w:rsid w:val="00DB6699"/>
    <w:rsid w:val="00DB66BE"/>
    <w:rsid w:val="00DB6702"/>
    <w:rsid w:val="00DB6752"/>
    <w:rsid w:val="00DB678A"/>
    <w:rsid w:val="00DB68AF"/>
    <w:rsid w:val="00DB6AFF"/>
    <w:rsid w:val="00DB6B53"/>
    <w:rsid w:val="00DB6B8C"/>
    <w:rsid w:val="00DB6B9C"/>
    <w:rsid w:val="00DB6BB8"/>
    <w:rsid w:val="00DB6D9D"/>
    <w:rsid w:val="00DB6DED"/>
    <w:rsid w:val="00DB6E97"/>
    <w:rsid w:val="00DB6EDA"/>
    <w:rsid w:val="00DB6F05"/>
    <w:rsid w:val="00DB70DB"/>
    <w:rsid w:val="00DB73A7"/>
    <w:rsid w:val="00DB7545"/>
    <w:rsid w:val="00DB7632"/>
    <w:rsid w:val="00DB7892"/>
    <w:rsid w:val="00DB79A4"/>
    <w:rsid w:val="00DB7CCA"/>
    <w:rsid w:val="00DB7D05"/>
    <w:rsid w:val="00DB7D76"/>
    <w:rsid w:val="00DC0230"/>
    <w:rsid w:val="00DC03E5"/>
    <w:rsid w:val="00DC044A"/>
    <w:rsid w:val="00DC0470"/>
    <w:rsid w:val="00DC0579"/>
    <w:rsid w:val="00DC0673"/>
    <w:rsid w:val="00DC0687"/>
    <w:rsid w:val="00DC069F"/>
    <w:rsid w:val="00DC07DA"/>
    <w:rsid w:val="00DC07F8"/>
    <w:rsid w:val="00DC0A47"/>
    <w:rsid w:val="00DC0C1C"/>
    <w:rsid w:val="00DC0C53"/>
    <w:rsid w:val="00DC0CF0"/>
    <w:rsid w:val="00DC0D08"/>
    <w:rsid w:val="00DC0D26"/>
    <w:rsid w:val="00DC0DBF"/>
    <w:rsid w:val="00DC0EAE"/>
    <w:rsid w:val="00DC0ECE"/>
    <w:rsid w:val="00DC0F7E"/>
    <w:rsid w:val="00DC103B"/>
    <w:rsid w:val="00DC1073"/>
    <w:rsid w:val="00DC11B6"/>
    <w:rsid w:val="00DC1253"/>
    <w:rsid w:val="00DC1300"/>
    <w:rsid w:val="00DC154F"/>
    <w:rsid w:val="00DC1591"/>
    <w:rsid w:val="00DC1609"/>
    <w:rsid w:val="00DC1781"/>
    <w:rsid w:val="00DC185D"/>
    <w:rsid w:val="00DC1860"/>
    <w:rsid w:val="00DC18F2"/>
    <w:rsid w:val="00DC19D1"/>
    <w:rsid w:val="00DC1A1B"/>
    <w:rsid w:val="00DC1A43"/>
    <w:rsid w:val="00DC1A65"/>
    <w:rsid w:val="00DC1B96"/>
    <w:rsid w:val="00DC1D26"/>
    <w:rsid w:val="00DC206C"/>
    <w:rsid w:val="00DC207D"/>
    <w:rsid w:val="00DC2128"/>
    <w:rsid w:val="00DC24A0"/>
    <w:rsid w:val="00DC2517"/>
    <w:rsid w:val="00DC2960"/>
    <w:rsid w:val="00DC2A55"/>
    <w:rsid w:val="00DC2AE1"/>
    <w:rsid w:val="00DC2AF8"/>
    <w:rsid w:val="00DC2C18"/>
    <w:rsid w:val="00DC2DE8"/>
    <w:rsid w:val="00DC2EB9"/>
    <w:rsid w:val="00DC2F87"/>
    <w:rsid w:val="00DC2FC2"/>
    <w:rsid w:val="00DC3062"/>
    <w:rsid w:val="00DC3135"/>
    <w:rsid w:val="00DC3144"/>
    <w:rsid w:val="00DC32FB"/>
    <w:rsid w:val="00DC331E"/>
    <w:rsid w:val="00DC3360"/>
    <w:rsid w:val="00DC33A9"/>
    <w:rsid w:val="00DC33F5"/>
    <w:rsid w:val="00DC3AD4"/>
    <w:rsid w:val="00DC3BD9"/>
    <w:rsid w:val="00DC3C1D"/>
    <w:rsid w:val="00DC3C5F"/>
    <w:rsid w:val="00DC3C6A"/>
    <w:rsid w:val="00DC3CE5"/>
    <w:rsid w:val="00DC3D1C"/>
    <w:rsid w:val="00DC3F6B"/>
    <w:rsid w:val="00DC4060"/>
    <w:rsid w:val="00DC4089"/>
    <w:rsid w:val="00DC40B1"/>
    <w:rsid w:val="00DC4110"/>
    <w:rsid w:val="00DC416E"/>
    <w:rsid w:val="00DC4259"/>
    <w:rsid w:val="00DC4370"/>
    <w:rsid w:val="00DC43BE"/>
    <w:rsid w:val="00DC44B2"/>
    <w:rsid w:val="00DC44CD"/>
    <w:rsid w:val="00DC4512"/>
    <w:rsid w:val="00DC45B4"/>
    <w:rsid w:val="00DC4603"/>
    <w:rsid w:val="00DC4655"/>
    <w:rsid w:val="00DC467B"/>
    <w:rsid w:val="00DC478D"/>
    <w:rsid w:val="00DC48EA"/>
    <w:rsid w:val="00DC4931"/>
    <w:rsid w:val="00DC49C9"/>
    <w:rsid w:val="00DC49DF"/>
    <w:rsid w:val="00DC4B7E"/>
    <w:rsid w:val="00DC4BA5"/>
    <w:rsid w:val="00DC4C39"/>
    <w:rsid w:val="00DC4CFC"/>
    <w:rsid w:val="00DC4D72"/>
    <w:rsid w:val="00DC4E79"/>
    <w:rsid w:val="00DC4EFE"/>
    <w:rsid w:val="00DC4F10"/>
    <w:rsid w:val="00DC4F64"/>
    <w:rsid w:val="00DC4FA5"/>
    <w:rsid w:val="00DC506A"/>
    <w:rsid w:val="00DC5089"/>
    <w:rsid w:val="00DC50BA"/>
    <w:rsid w:val="00DC50C9"/>
    <w:rsid w:val="00DC5159"/>
    <w:rsid w:val="00DC516B"/>
    <w:rsid w:val="00DC5346"/>
    <w:rsid w:val="00DC53ED"/>
    <w:rsid w:val="00DC5467"/>
    <w:rsid w:val="00DC5701"/>
    <w:rsid w:val="00DC5ACE"/>
    <w:rsid w:val="00DC5B04"/>
    <w:rsid w:val="00DC5B61"/>
    <w:rsid w:val="00DC5CB5"/>
    <w:rsid w:val="00DC5CE4"/>
    <w:rsid w:val="00DC5DAC"/>
    <w:rsid w:val="00DC5E81"/>
    <w:rsid w:val="00DC607D"/>
    <w:rsid w:val="00DC60E5"/>
    <w:rsid w:val="00DC61BC"/>
    <w:rsid w:val="00DC61E5"/>
    <w:rsid w:val="00DC62D8"/>
    <w:rsid w:val="00DC6357"/>
    <w:rsid w:val="00DC65AF"/>
    <w:rsid w:val="00DC65C3"/>
    <w:rsid w:val="00DC6695"/>
    <w:rsid w:val="00DC67B6"/>
    <w:rsid w:val="00DC68E7"/>
    <w:rsid w:val="00DC6931"/>
    <w:rsid w:val="00DC6A6B"/>
    <w:rsid w:val="00DC6B28"/>
    <w:rsid w:val="00DC6B95"/>
    <w:rsid w:val="00DC6C04"/>
    <w:rsid w:val="00DC6CDB"/>
    <w:rsid w:val="00DC6DAE"/>
    <w:rsid w:val="00DC6F0A"/>
    <w:rsid w:val="00DC6F69"/>
    <w:rsid w:val="00DC6FEF"/>
    <w:rsid w:val="00DC7040"/>
    <w:rsid w:val="00DC7110"/>
    <w:rsid w:val="00DC7162"/>
    <w:rsid w:val="00DC746E"/>
    <w:rsid w:val="00DC7652"/>
    <w:rsid w:val="00DC773A"/>
    <w:rsid w:val="00DC77D4"/>
    <w:rsid w:val="00DC77E2"/>
    <w:rsid w:val="00DC77F7"/>
    <w:rsid w:val="00DC796F"/>
    <w:rsid w:val="00DC7A80"/>
    <w:rsid w:val="00DC7D10"/>
    <w:rsid w:val="00DC7DD0"/>
    <w:rsid w:val="00DC7DF2"/>
    <w:rsid w:val="00DC7E39"/>
    <w:rsid w:val="00DC7E4B"/>
    <w:rsid w:val="00DC7F29"/>
    <w:rsid w:val="00DC7FFE"/>
    <w:rsid w:val="00DD0051"/>
    <w:rsid w:val="00DD0062"/>
    <w:rsid w:val="00DD00F1"/>
    <w:rsid w:val="00DD01A2"/>
    <w:rsid w:val="00DD01EC"/>
    <w:rsid w:val="00DD03CF"/>
    <w:rsid w:val="00DD0487"/>
    <w:rsid w:val="00DD04E8"/>
    <w:rsid w:val="00DD0504"/>
    <w:rsid w:val="00DD0546"/>
    <w:rsid w:val="00DD0559"/>
    <w:rsid w:val="00DD068C"/>
    <w:rsid w:val="00DD0995"/>
    <w:rsid w:val="00DD09D2"/>
    <w:rsid w:val="00DD0B36"/>
    <w:rsid w:val="00DD0C39"/>
    <w:rsid w:val="00DD0C59"/>
    <w:rsid w:val="00DD0CA5"/>
    <w:rsid w:val="00DD0D62"/>
    <w:rsid w:val="00DD0E75"/>
    <w:rsid w:val="00DD1073"/>
    <w:rsid w:val="00DD1098"/>
    <w:rsid w:val="00DD10B9"/>
    <w:rsid w:val="00DD116A"/>
    <w:rsid w:val="00DD12B5"/>
    <w:rsid w:val="00DD13E1"/>
    <w:rsid w:val="00DD13F9"/>
    <w:rsid w:val="00DD15DD"/>
    <w:rsid w:val="00DD19A0"/>
    <w:rsid w:val="00DD19C1"/>
    <w:rsid w:val="00DD1A4B"/>
    <w:rsid w:val="00DD1B2F"/>
    <w:rsid w:val="00DD1C13"/>
    <w:rsid w:val="00DD1E7A"/>
    <w:rsid w:val="00DD1FA2"/>
    <w:rsid w:val="00DD204C"/>
    <w:rsid w:val="00DD2059"/>
    <w:rsid w:val="00DD211A"/>
    <w:rsid w:val="00DD2288"/>
    <w:rsid w:val="00DD2340"/>
    <w:rsid w:val="00DD23EF"/>
    <w:rsid w:val="00DD24F1"/>
    <w:rsid w:val="00DD26B3"/>
    <w:rsid w:val="00DD27B9"/>
    <w:rsid w:val="00DD2A0E"/>
    <w:rsid w:val="00DD2A5C"/>
    <w:rsid w:val="00DD2B70"/>
    <w:rsid w:val="00DD2CB0"/>
    <w:rsid w:val="00DD2D02"/>
    <w:rsid w:val="00DD2D26"/>
    <w:rsid w:val="00DD2E16"/>
    <w:rsid w:val="00DD2F24"/>
    <w:rsid w:val="00DD2F90"/>
    <w:rsid w:val="00DD3075"/>
    <w:rsid w:val="00DD3233"/>
    <w:rsid w:val="00DD3393"/>
    <w:rsid w:val="00DD33B6"/>
    <w:rsid w:val="00DD3512"/>
    <w:rsid w:val="00DD3598"/>
    <w:rsid w:val="00DD359D"/>
    <w:rsid w:val="00DD36DA"/>
    <w:rsid w:val="00DD370F"/>
    <w:rsid w:val="00DD37CD"/>
    <w:rsid w:val="00DD3B07"/>
    <w:rsid w:val="00DD3B0F"/>
    <w:rsid w:val="00DD3B21"/>
    <w:rsid w:val="00DD3BF6"/>
    <w:rsid w:val="00DD3D47"/>
    <w:rsid w:val="00DD3D79"/>
    <w:rsid w:val="00DD3DA9"/>
    <w:rsid w:val="00DD3F09"/>
    <w:rsid w:val="00DD426A"/>
    <w:rsid w:val="00DD43A2"/>
    <w:rsid w:val="00DD444F"/>
    <w:rsid w:val="00DD44F9"/>
    <w:rsid w:val="00DD4661"/>
    <w:rsid w:val="00DD46C0"/>
    <w:rsid w:val="00DD47B9"/>
    <w:rsid w:val="00DD47FE"/>
    <w:rsid w:val="00DD484B"/>
    <w:rsid w:val="00DD4854"/>
    <w:rsid w:val="00DD492A"/>
    <w:rsid w:val="00DD4934"/>
    <w:rsid w:val="00DD4B27"/>
    <w:rsid w:val="00DD4BA9"/>
    <w:rsid w:val="00DD4BD5"/>
    <w:rsid w:val="00DD4C0C"/>
    <w:rsid w:val="00DD4EC1"/>
    <w:rsid w:val="00DD5157"/>
    <w:rsid w:val="00DD52EC"/>
    <w:rsid w:val="00DD53FC"/>
    <w:rsid w:val="00DD5478"/>
    <w:rsid w:val="00DD54BC"/>
    <w:rsid w:val="00DD54C3"/>
    <w:rsid w:val="00DD55D8"/>
    <w:rsid w:val="00DD585D"/>
    <w:rsid w:val="00DD5902"/>
    <w:rsid w:val="00DD5B2C"/>
    <w:rsid w:val="00DD5B54"/>
    <w:rsid w:val="00DD5C9D"/>
    <w:rsid w:val="00DD5EB0"/>
    <w:rsid w:val="00DD5F2D"/>
    <w:rsid w:val="00DD60D7"/>
    <w:rsid w:val="00DD643C"/>
    <w:rsid w:val="00DD64AC"/>
    <w:rsid w:val="00DD6646"/>
    <w:rsid w:val="00DD6779"/>
    <w:rsid w:val="00DD67E6"/>
    <w:rsid w:val="00DD681D"/>
    <w:rsid w:val="00DD6831"/>
    <w:rsid w:val="00DD6842"/>
    <w:rsid w:val="00DD6883"/>
    <w:rsid w:val="00DD6918"/>
    <w:rsid w:val="00DD6A94"/>
    <w:rsid w:val="00DD6AF2"/>
    <w:rsid w:val="00DD6F6D"/>
    <w:rsid w:val="00DD6FB8"/>
    <w:rsid w:val="00DD703C"/>
    <w:rsid w:val="00DD71A8"/>
    <w:rsid w:val="00DD71E1"/>
    <w:rsid w:val="00DD725D"/>
    <w:rsid w:val="00DD7293"/>
    <w:rsid w:val="00DD7360"/>
    <w:rsid w:val="00DD73E1"/>
    <w:rsid w:val="00DD73F4"/>
    <w:rsid w:val="00DD73F5"/>
    <w:rsid w:val="00DD764F"/>
    <w:rsid w:val="00DD787D"/>
    <w:rsid w:val="00DD792C"/>
    <w:rsid w:val="00DD792F"/>
    <w:rsid w:val="00DD799D"/>
    <w:rsid w:val="00DD7AE0"/>
    <w:rsid w:val="00DD7B11"/>
    <w:rsid w:val="00DD7B55"/>
    <w:rsid w:val="00DD7DEB"/>
    <w:rsid w:val="00DD7E4C"/>
    <w:rsid w:val="00DE02A5"/>
    <w:rsid w:val="00DE0352"/>
    <w:rsid w:val="00DE03CB"/>
    <w:rsid w:val="00DE03CC"/>
    <w:rsid w:val="00DE06A1"/>
    <w:rsid w:val="00DE06E9"/>
    <w:rsid w:val="00DE0888"/>
    <w:rsid w:val="00DE0A30"/>
    <w:rsid w:val="00DE0AB1"/>
    <w:rsid w:val="00DE0B6B"/>
    <w:rsid w:val="00DE0BDE"/>
    <w:rsid w:val="00DE0BFA"/>
    <w:rsid w:val="00DE0E4D"/>
    <w:rsid w:val="00DE0F7F"/>
    <w:rsid w:val="00DE0F9F"/>
    <w:rsid w:val="00DE0FC4"/>
    <w:rsid w:val="00DE105D"/>
    <w:rsid w:val="00DE106F"/>
    <w:rsid w:val="00DE1107"/>
    <w:rsid w:val="00DE1133"/>
    <w:rsid w:val="00DE1142"/>
    <w:rsid w:val="00DE1148"/>
    <w:rsid w:val="00DE11E3"/>
    <w:rsid w:val="00DE1333"/>
    <w:rsid w:val="00DE1362"/>
    <w:rsid w:val="00DE143C"/>
    <w:rsid w:val="00DE16D6"/>
    <w:rsid w:val="00DE1934"/>
    <w:rsid w:val="00DE1978"/>
    <w:rsid w:val="00DE1A60"/>
    <w:rsid w:val="00DE1B51"/>
    <w:rsid w:val="00DE207B"/>
    <w:rsid w:val="00DE2161"/>
    <w:rsid w:val="00DE2162"/>
    <w:rsid w:val="00DE2376"/>
    <w:rsid w:val="00DE2694"/>
    <w:rsid w:val="00DE271A"/>
    <w:rsid w:val="00DE2948"/>
    <w:rsid w:val="00DE2A45"/>
    <w:rsid w:val="00DE2C0A"/>
    <w:rsid w:val="00DE2C1B"/>
    <w:rsid w:val="00DE2C63"/>
    <w:rsid w:val="00DE2D6D"/>
    <w:rsid w:val="00DE2E22"/>
    <w:rsid w:val="00DE2F66"/>
    <w:rsid w:val="00DE2FA5"/>
    <w:rsid w:val="00DE2FAE"/>
    <w:rsid w:val="00DE30B9"/>
    <w:rsid w:val="00DE315E"/>
    <w:rsid w:val="00DE31A3"/>
    <w:rsid w:val="00DE327D"/>
    <w:rsid w:val="00DE356E"/>
    <w:rsid w:val="00DE3682"/>
    <w:rsid w:val="00DE3719"/>
    <w:rsid w:val="00DE37F3"/>
    <w:rsid w:val="00DE3CB9"/>
    <w:rsid w:val="00DE3EBF"/>
    <w:rsid w:val="00DE3EF7"/>
    <w:rsid w:val="00DE3FED"/>
    <w:rsid w:val="00DE409E"/>
    <w:rsid w:val="00DE413A"/>
    <w:rsid w:val="00DE429D"/>
    <w:rsid w:val="00DE42A8"/>
    <w:rsid w:val="00DE4391"/>
    <w:rsid w:val="00DE43E2"/>
    <w:rsid w:val="00DE44BB"/>
    <w:rsid w:val="00DE452F"/>
    <w:rsid w:val="00DE458D"/>
    <w:rsid w:val="00DE45C7"/>
    <w:rsid w:val="00DE45EC"/>
    <w:rsid w:val="00DE4624"/>
    <w:rsid w:val="00DE4687"/>
    <w:rsid w:val="00DE48A3"/>
    <w:rsid w:val="00DE49F5"/>
    <w:rsid w:val="00DE4C3F"/>
    <w:rsid w:val="00DE4D63"/>
    <w:rsid w:val="00DE4DA4"/>
    <w:rsid w:val="00DE4DF6"/>
    <w:rsid w:val="00DE4F4E"/>
    <w:rsid w:val="00DE4F59"/>
    <w:rsid w:val="00DE4F83"/>
    <w:rsid w:val="00DE507C"/>
    <w:rsid w:val="00DE509D"/>
    <w:rsid w:val="00DE51DF"/>
    <w:rsid w:val="00DE527F"/>
    <w:rsid w:val="00DE52D3"/>
    <w:rsid w:val="00DE53FB"/>
    <w:rsid w:val="00DE547C"/>
    <w:rsid w:val="00DE5521"/>
    <w:rsid w:val="00DE55CC"/>
    <w:rsid w:val="00DE567D"/>
    <w:rsid w:val="00DE56A4"/>
    <w:rsid w:val="00DE5769"/>
    <w:rsid w:val="00DE57CE"/>
    <w:rsid w:val="00DE58C0"/>
    <w:rsid w:val="00DE5ABB"/>
    <w:rsid w:val="00DE5AD6"/>
    <w:rsid w:val="00DE5AD9"/>
    <w:rsid w:val="00DE5AF7"/>
    <w:rsid w:val="00DE5AFE"/>
    <w:rsid w:val="00DE5DE1"/>
    <w:rsid w:val="00DE5DF1"/>
    <w:rsid w:val="00DE602D"/>
    <w:rsid w:val="00DE635C"/>
    <w:rsid w:val="00DE6571"/>
    <w:rsid w:val="00DE65E5"/>
    <w:rsid w:val="00DE666B"/>
    <w:rsid w:val="00DE675C"/>
    <w:rsid w:val="00DE6A10"/>
    <w:rsid w:val="00DE6AAD"/>
    <w:rsid w:val="00DE6B21"/>
    <w:rsid w:val="00DE6B6D"/>
    <w:rsid w:val="00DE6C11"/>
    <w:rsid w:val="00DE6C3C"/>
    <w:rsid w:val="00DE6C5C"/>
    <w:rsid w:val="00DE6CE1"/>
    <w:rsid w:val="00DE6D5D"/>
    <w:rsid w:val="00DE6E47"/>
    <w:rsid w:val="00DE6FB1"/>
    <w:rsid w:val="00DE6FD7"/>
    <w:rsid w:val="00DE7053"/>
    <w:rsid w:val="00DE717C"/>
    <w:rsid w:val="00DE737F"/>
    <w:rsid w:val="00DE7389"/>
    <w:rsid w:val="00DE747E"/>
    <w:rsid w:val="00DE7519"/>
    <w:rsid w:val="00DE7582"/>
    <w:rsid w:val="00DE769F"/>
    <w:rsid w:val="00DE76A1"/>
    <w:rsid w:val="00DE78CF"/>
    <w:rsid w:val="00DE7A6C"/>
    <w:rsid w:val="00DE7B0B"/>
    <w:rsid w:val="00DE7B70"/>
    <w:rsid w:val="00DE7C43"/>
    <w:rsid w:val="00DE7C5D"/>
    <w:rsid w:val="00DE7CE0"/>
    <w:rsid w:val="00DE7DCF"/>
    <w:rsid w:val="00DE7E19"/>
    <w:rsid w:val="00DE7E1D"/>
    <w:rsid w:val="00DF028F"/>
    <w:rsid w:val="00DF046E"/>
    <w:rsid w:val="00DF04E0"/>
    <w:rsid w:val="00DF04EA"/>
    <w:rsid w:val="00DF04F2"/>
    <w:rsid w:val="00DF066B"/>
    <w:rsid w:val="00DF07D8"/>
    <w:rsid w:val="00DF080A"/>
    <w:rsid w:val="00DF092B"/>
    <w:rsid w:val="00DF0B6A"/>
    <w:rsid w:val="00DF0B8B"/>
    <w:rsid w:val="00DF0B99"/>
    <w:rsid w:val="00DF0C64"/>
    <w:rsid w:val="00DF0D21"/>
    <w:rsid w:val="00DF0F19"/>
    <w:rsid w:val="00DF12C0"/>
    <w:rsid w:val="00DF12DB"/>
    <w:rsid w:val="00DF1338"/>
    <w:rsid w:val="00DF13E1"/>
    <w:rsid w:val="00DF1476"/>
    <w:rsid w:val="00DF1577"/>
    <w:rsid w:val="00DF158E"/>
    <w:rsid w:val="00DF15E0"/>
    <w:rsid w:val="00DF161F"/>
    <w:rsid w:val="00DF1641"/>
    <w:rsid w:val="00DF1721"/>
    <w:rsid w:val="00DF1794"/>
    <w:rsid w:val="00DF19B4"/>
    <w:rsid w:val="00DF19BB"/>
    <w:rsid w:val="00DF1E96"/>
    <w:rsid w:val="00DF1ED2"/>
    <w:rsid w:val="00DF206F"/>
    <w:rsid w:val="00DF2192"/>
    <w:rsid w:val="00DF2282"/>
    <w:rsid w:val="00DF2375"/>
    <w:rsid w:val="00DF23BE"/>
    <w:rsid w:val="00DF263F"/>
    <w:rsid w:val="00DF2669"/>
    <w:rsid w:val="00DF266E"/>
    <w:rsid w:val="00DF272D"/>
    <w:rsid w:val="00DF28E1"/>
    <w:rsid w:val="00DF2AD2"/>
    <w:rsid w:val="00DF2B51"/>
    <w:rsid w:val="00DF2C05"/>
    <w:rsid w:val="00DF2C20"/>
    <w:rsid w:val="00DF2D07"/>
    <w:rsid w:val="00DF2D1D"/>
    <w:rsid w:val="00DF2D27"/>
    <w:rsid w:val="00DF2E4B"/>
    <w:rsid w:val="00DF2FE6"/>
    <w:rsid w:val="00DF301E"/>
    <w:rsid w:val="00DF30E1"/>
    <w:rsid w:val="00DF3154"/>
    <w:rsid w:val="00DF31BF"/>
    <w:rsid w:val="00DF31C0"/>
    <w:rsid w:val="00DF31E2"/>
    <w:rsid w:val="00DF3373"/>
    <w:rsid w:val="00DF3438"/>
    <w:rsid w:val="00DF3527"/>
    <w:rsid w:val="00DF35D6"/>
    <w:rsid w:val="00DF3721"/>
    <w:rsid w:val="00DF3748"/>
    <w:rsid w:val="00DF3A26"/>
    <w:rsid w:val="00DF3C55"/>
    <w:rsid w:val="00DF3D45"/>
    <w:rsid w:val="00DF3DF4"/>
    <w:rsid w:val="00DF3E01"/>
    <w:rsid w:val="00DF4316"/>
    <w:rsid w:val="00DF4550"/>
    <w:rsid w:val="00DF4557"/>
    <w:rsid w:val="00DF45C9"/>
    <w:rsid w:val="00DF46CE"/>
    <w:rsid w:val="00DF4720"/>
    <w:rsid w:val="00DF4903"/>
    <w:rsid w:val="00DF4910"/>
    <w:rsid w:val="00DF498E"/>
    <w:rsid w:val="00DF4A89"/>
    <w:rsid w:val="00DF4B3C"/>
    <w:rsid w:val="00DF4B51"/>
    <w:rsid w:val="00DF4B83"/>
    <w:rsid w:val="00DF4C3D"/>
    <w:rsid w:val="00DF4C56"/>
    <w:rsid w:val="00DF4CA0"/>
    <w:rsid w:val="00DF4D0C"/>
    <w:rsid w:val="00DF4ECA"/>
    <w:rsid w:val="00DF5000"/>
    <w:rsid w:val="00DF5036"/>
    <w:rsid w:val="00DF50C0"/>
    <w:rsid w:val="00DF5143"/>
    <w:rsid w:val="00DF520C"/>
    <w:rsid w:val="00DF5261"/>
    <w:rsid w:val="00DF52D5"/>
    <w:rsid w:val="00DF53AA"/>
    <w:rsid w:val="00DF5475"/>
    <w:rsid w:val="00DF56DD"/>
    <w:rsid w:val="00DF56EB"/>
    <w:rsid w:val="00DF5841"/>
    <w:rsid w:val="00DF586E"/>
    <w:rsid w:val="00DF588B"/>
    <w:rsid w:val="00DF5ADE"/>
    <w:rsid w:val="00DF5AE6"/>
    <w:rsid w:val="00DF5CAB"/>
    <w:rsid w:val="00DF5D73"/>
    <w:rsid w:val="00DF6106"/>
    <w:rsid w:val="00DF6165"/>
    <w:rsid w:val="00DF6188"/>
    <w:rsid w:val="00DF6228"/>
    <w:rsid w:val="00DF62AC"/>
    <w:rsid w:val="00DF6317"/>
    <w:rsid w:val="00DF63B7"/>
    <w:rsid w:val="00DF6426"/>
    <w:rsid w:val="00DF6670"/>
    <w:rsid w:val="00DF676F"/>
    <w:rsid w:val="00DF67DA"/>
    <w:rsid w:val="00DF67EE"/>
    <w:rsid w:val="00DF68A7"/>
    <w:rsid w:val="00DF6948"/>
    <w:rsid w:val="00DF6A10"/>
    <w:rsid w:val="00DF6A78"/>
    <w:rsid w:val="00DF6AEF"/>
    <w:rsid w:val="00DF6B38"/>
    <w:rsid w:val="00DF6B48"/>
    <w:rsid w:val="00DF6C72"/>
    <w:rsid w:val="00DF6D02"/>
    <w:rsid w:val="00DF6D41"/>
    <w:rsid w:val="00DF6D65"/>
    <w:rsid w:val="00DF6D78"/>
    <w:rsid w:val="00DF6D7C"/>
    <w:rsid w:val="00DF6E18"/>
    <w:rsid w:val="00DF6E41"/>
    <w:rsid w:val="00DF7127"/>
    <w:rsid w:val="00DF7179"/>
    <w:rsid w:val="00DF72E4"/>
    <w:rsid w:val="00DF7328"/>
    <w:rsid w:val="00DF73ED"/>
    <w:rsid w:val="00DF75AF"/>
    <w:rsid w:val="00DF75D9"/>
    <w:rsid w:val="00DF7671"/>
    <w:rsid w:val="00DF7695"/>
    <w:rsid w:val="00DF7821"/>
    <w:rsid w:val="00DF7850"/>
    <w:rsid w:val="00DF787E"/>
    <w:rsid w:val="00DF78F0"/>
    <w:rsid w:val="00DF7930"/>
    <w:rsid w:val="00DF7A5F"/>
    <w:rsid w:val="00DF7AA4"/>
    <w:rsid w:val="00DF7C16"/>
    <w:rsid w:val="00DF7C25"/>
    <w:rsid w:val="00DF7C28"/>
    <w:rsid w:val="00DF7C40"/>
    <w:rsid w:val="00DF7E51"/>
    <w:rsid w:val="00DF7ECE"/>
    <w:rsid w:val="00DF7F81"/>
    <w:rsid w:val="00E0004E"/>
    <w:rsid w:val="00E0014D"/>
    <w:rsid w:val="00E001F7"/>
    <w:rsid w:val="00E00398"/>
    <w:rsid w:val="00E0050C"/>
    <w:rsid w:val="00E005E1"/>
    <w:rsid w:val="00E0072C"/>
    <w:rsid w:val="00E00749"/>
    <w:rsid w:val="00E00906"/>
    <w:rsid w:val="00E0097B"/>
    <w:rsid w:val="00E009B7"/>
    <w:rsid w:val="00E00A73"/>
    <w:rsid w:val="00E00B01"/>
    <w:rsid w:val="00E00B38"/>
    <w:rsid w:val="00E00B4E"/>
    <w:rsid w:val="00E00DC1"/>
    <w:rsid w:val="00E00DE4"/>
    <w:rsid w:val="00E00E8B"/>
    <w:rsid w:val="00E00EDF"/>
    <w:rsid w:val="00E010DE"/>
    <w:rsid w:val="00E010E5"/>
    <w:rsid w:val="00E011F0"/>
    <w:rsid w:val="00E012F6"/>
    <w:rsid w:val="00E0139D"/>
    <w:rsid w:val="00E0139E"/>
    <w:rsid w:val="00E01450"/>
    <w:rsid w:val="00E014B0"/>
    <w:rsid w:val="00E014D8"/>
    <w:rsid w:val="00E014DE"/>
    <w:rsid w:val="00E01576"/>
    <w:rsid w:val="00E0159F"/>
    <w:rsid w:val="00E01686"/>
    <w:rsid w:val="00E016CA"/>
    <w:rsid w:val="00E0199D"/>
    <w:rsid w:val="00E019D0"/>
    <w:rsid w:val="00E019E9"/>
    <w:rsid w:val="00E01B1D"/>
    <w:rsid w:val="00E01D6A"/>
    <w:rsid w:val="00E01FAE"/>
    <w:rsid w:val="00E02261"/>
    <w:rsid w:val="00E023FC"/>
    <w:rsid w:val="00E02442"/>
    <w:rsid w:val="00E024BD"/>
    <w:rsid w:val="00E025EC"/>
    <w:rsid w:val="00E026A8"/>
    <w:rsid w:val="00E02723"/>
    <w:rsid w:val="00E02771"/>
    <w:rsid w:val="00E02886"/>
    <w:rsid w:val="00E02889"/>
    <w:rsid w:val="00E028AF"/>
    <w:rsid w:val="00E0294D"/>
    <w:rsid w:val="00E02AAA"/>
    <w:rsid w:val="00E02B89"/>
    <w:rsid w:val="00E02C55"/>
    <w:rsid w:val="00E02C65"/>
    <w:rsid w:val="00E02D34"/>
    <w:rsid w:val="00E02D64"/>
    <w:rsid w:val="00E02F35"/>
    <w:rsid w:val="00E02F7D"/>
    <w:rsid w:val="00E03091"/>
    <w:rsid w:val="00E030D8"/>
    <w:rsid w:val="00E03193"/>
    <w:rsid w:val="00E03470"/>
    <w:rsid w:val="00E03476"/>
    <w:rsid w:val="00E0350D"/>
    <w:rsid w:val="00E035E3"/>
    <w:rsid w:val="00E0361F"/>
    <w:rsid w:val="00E03738"/>
    <w:rsid w:val="00E03774"/>
    <w:rsid w:val="00E037A7"/>
    <w:rsid w:val="00E0389F"/>
    <w:rsid w:val="00E039BB"/>
    <w:rsid w:val="00E03AA2"/>
    <w:rsid w:val="00E03B66"/>
    <w:rsid w:val="00E03C49"/>
    <w:rsid w:val="00E03C5D"/>
    <w:rsid w:val="00E03C60"/>
    <w:rsid w:val="00E03D17"/>
    <w:rsid w:val="00E03FEF"/>
    <w:rsid w:val="00E040DE"/>
    <w:rsid w:val="00E0416E"/>
    <w:rsid w:val="00E041AC"/>
    <w:rsid w:val="00E042AD"/>
    <w:rsid w:val="00E043ED"/>
    <w:rsid w:val="00E04499"/>
    <w:rsid w:val="00E044D3"/>
    <w:rsid w:val="00E0450B"/>
    <w:rsid w:val="00E045D1"/>
    <w:rsid w:val="00E046CC"/>
    <w:rsid w:val="00E04744"/>
    <w:rsid w:val="00E04780"/>
    <w:rsid w:val="00E048ED"/>
    <w:rsid w:val="00E04A11"/>
    <w:rsid w:val="00E04AB5"/>
    <w:rsid w:val="00E04BE3"/>
    <w:rsid w:val="00E04F63"/>
    <w:rsid w:val="00E04F67"/>
    <w:rsid w:val="00E0503C"/>
    <w:rsid w:val="00E05050"/>
    <w:rsid w:val="00E0510B"/>
    <w:rsid w:val="00E052F2"/>
    <w:rsid w:val="00E0531D"/>
    <w:rsid w:val="00E05326"/>
    <w:rsid w:val="00E05465"/>
    <w:rsid w:val="00E054F9"/>
    <w:rsid w:val="00E05654"/>
    <w:rsid w:val="00E05708"/>
    <w:rsid w:val="00E0570D"/>
    <w:rsid w:val="00E05718"/>
    <w:rsid w:val="00E0576C"/>
    <w:rsid w:val="00E05865"/>
    <w:rsid w:val="00E0591B"/>
    <w:rsid w:val="00E05B60"/>
    <w:rsid w:val="00E05D70"/>
    <w:rsid w:val="00E05DF8"/>
    <w:rsid w:val="00E060B8"/>
    <w:rsid w:val="00E062E6"/>
    <w:rsid w:val="00E063F9"/>
    <w:rsid w:val="00E063FB"/>
    <w:rsid w:val="00E0675E"/>
    <w:rsid w:val="00E068E7"/>
    <w:rsid w:val="00E0690B"/>
    <w:rsid w:val="00E06A27"/>
    <w:rsid w:val="00E06C51"/>
    <w:rsid w:val="00E06C80"/>
    <w:rsid w:val="00E06CEC"/>
    <w:rsid w:val="00E07024"/>
    <w:rsid w:val="00E07092"/>
    <w:rsid w:val="00E0711B"/>
    <w:rsid w:val="00E072A4"/>
    <w:rsid w:val="00E073E6"/>
    <w:rsid w:val="00E07439"/>
    <w:rsid w:val="00E0766A"/>
    <w:rsid w:val="00E076A7"/>
    <w:rsid w:val="00E077C7"/>
    <w:rsid w:val="00E077EF"/>
    <w:rsid w:val="00E078AB"/>
    <w:rsid w:val="00E07B3A"/>
    <w:rsid w:val="00E07B47"/>
    <w:rsid w:val="00E07B54"/>
    <w:rsid w:val="00E07BE4"/>
    <w:rsid w:val="00E07C11"/>
    <w:rsid w:val="00E07E94"/>
    <w:rsid w:val="00E07EBF"/>
    <w:rsid w:val="00E07ED4"/>
    <w:rsid w:val="00E07F65"/>
    <w:rsid w:val="00E07F81"/>
    <w:rsid w:val="00E07FCF"/>
    <w:rsid w:val="00E0C10E"/>
    <w:rsid w:val="00E100A4"/>
    <w:rsid w:val="00E100C8"/>
    <w:rsid w:val="00E1011B"/>
    <w:rsid w:val="00E10143"/>
    <w:rsid w:val="00E101FF"/>
    <w:rsid w:val="00E1023F"/>
    <w:rsid w:val="00E10241"/>
    <w:rsid w:val="00E10308"/>
    <w:rsid w:val="00E104B0"/>
    <w:rsid w:val="00E10612"/>
    <w:rsid w:val="00E10637"/>
    <w:rsid w:val="00E106F4"/>
    <w:rsid w:val="00E106FD"/>
    <w:rsid w:val="00E10786"/>
    <w:rsid w:val="00E107A4"/>
    <w:rsid w:val="00E107CA"/>
    <w:rsid w:val="00E109D2"/>
    <w:rsid w:val="00E11020"/>
    <w:rsid w:val="00E11025"/>
    <w:rsid w:val="00E110D0"/>
    <w:rsid w:val="00E11133"/>
    <w:rsid w:val="00E1130E"/>
    <w:rsid w:val="00E1132F"/>
    <w:rsid w:val="00E11403"/>
    <w:rsid w:val="00E11501"/>
    <w:rsid w:val="00E1153B"/>
    <w:rsid w:val="00E1158E"/>
    <w:rsid w:val="00E11784"/>
    <w:rsid w:val="00E11859"/>
    <w:rsid w:val="00E1187A"/>
    <w:rsid w:val="00E1187E"/>
    <w:rsid w:val="00E11A6B"/>
    <w:rsid w:val="00E11B14"/>
    <w:rsid w:val="00E11BDF"/>
    <w:rsid w:val="00E11C52"/>
    <w:rsid w:val="00E11D59"/>
    <w:rsid w:val="00E11DFC"/>
    <w:rsid w:val="00E11E79"/>
    <w:rsid w:val="00E11F0D"/>
    <w:rsid w:val="00E1200A"/>
    <w:rsid w:val="00E12191"/>
    <w:rsid w:val="00E123D1"/>
    <w:rsid w:val="00E124C1"/>
    <w:rsid w:val="00E125C0"/>
    <w:rsid w:val="00E125CA"/>
    <w:rsid w:val="00E125DF"/>
    <w:rsid w:val="00E126B6"/>
    <w:rsid w:val="00E126C5"/>
    <w:rsid w:val="00E1277E"/>
    <w:rsid w:val="00E127C3"/>
    <w:rsid w:val="00E12808"/>
    <w:rsid w:val="00E128B1"/>
    <w:rsid w:val="00E12AA2"/>
    <w:rsid w:val="00E12AB0"/>
    <w:rsid w:val="00E12B45"/>
    <w:rsid w:val="00E12BFE"/>
    <w:rsid w:val="00E12C36"/>
    <w:rsid w:val="00E12D47"/>
    <w:rsid w:val="00E12DD4"/>
    <w:rsid w:val="00E13042"/>
    <w:rsid w:val="00E1305D"/>
    <w:rsid w:val="00E130A2"/>
    <w:rsid w:val="00E13104"/>
    <w:rsid w:val="00E1315C"/>
    <w:rsid w:val="00E131B5"/>
    <w:rsid w:val="00E13250"/>
    <w:rsid w:val="00E13441"/>
    <w:rsid w:val="00E13485"/>
    <w:rsid w:val="00E1352B"/>
    <w:rsid w:val="00E1363D"/>
    <w:rsid w:val="00E13665"/>
    <w:rsid w:val="00E1373C"/>
    <w:rsid w:val="00E138B0"/>
    <w:rsid w:val="00E139C3"/>
    <w:rsid w:val="00E139CE"/>
    <w:rsid w:val="00E13B11"/>
    <w:rsid w:val="00E13CB4"/>
    <w:rsid w:val="00E13CF9"/>
    <w:rsid w:val="00E13E00"/>
    <w:rsid w:val="00E13F60"/>
    <w:rsid w:val="00E13F9E"/>
    <w:rsid w:val="00E14149"/>
    <w:rsid w:val="00E14171"/>
    <w:rsid w:val="00E14193"/>
    <w:rsid w:val="00E14209"/>
    <w:rsid w:val="00E14254"/>
    <w:rsid w:val="00E14280"/>
    <w:rsid w:val="00E14338"/>
    <w:rsid w:val="00E1453F"/>
    <w:rsid w:val="00E1476B"/>
    <w:rsid w:val="00E14794"/>
    <w:rsid w:val="00E147BF"/>
    <w:rsid w:val="00E14D84"/>
    <w:rsid w:val="00E14D9C"/>
    <w:rsid w:val="00E14DA3"/>
    <w:rsid w:val="00E14EAE"/>
    <w:rsid w:val="00E151E6"/>
    <w:rsid w:val="00E15242"/>
    <w:rsid w:val="00E153D2"/>
    <w:rsid w:val="00E1553F"/>
    <w:rsid w:val="00E15673"/>
    <w:rsid w:val="00E15706"/>
    <w:rsid w:val="00E158E4"/>
    <w:rsid w:val="00E159A1"/>
    <w:rsid w:val="00E159C8"/>
    <w:rsid w:val="00E15A45"/>
    <w:rsid w:val="00E15B16"/>
    <w:rsid w:val="00E15BF0"/>
    <w:rsid w:val="00E15CEC"/>
    <w:rsid w:val="00E15D96"/>
    <w:rsid w:val="00E15DE8"/>
    <w:rsid w:val="00E15F9B"/>
    <w:rsid w:val="00E1605C"/>
    <w:rsid w:val="00E16241"/>
    <w:rsid w:val="00E1624F"/>
    <w:rsid w:val="00E16251"/>
    <w:rsid w:val="00E162CA"/>
    <w:rsid w:val="00E162DB"/>
    <w:rsid w:val="00E1646E"/>
    <w:rsid w:val="00E16493"/>
    <w:rsid w:val="00E164D9"/>
    <w:rsid w:val="00E1657C"/>
    <w:rsid w:val="00E1669E"/>
    <w:rsid w:val="00E16704"/>
    <w:rsid w:val="00E16732"/>
    <w:rsid w:val="00E16759"/>
    <w:rsid w:val="00E16832"/>
    <w:rsid w:val="00E16859"/>
    <w:rsid w:val="00E16976"/>
    <w:rsid w:val="00E169FB"/>
    <w:rsid w:val="00E16DAB"/>
    <w:rsid w:val="00E16E0F"/>
    <w:rsid w:val="00E16F1B"/>
    <w:rsid w:val="00E16F95"/>
    <w:rsid w:val="00E17062"/>
    <w:rsid w:val="00E170A8"/>
    <w:rsid w:val="00E1716A"/>
    <w:rsid w:val="00E171FB"/>
    <w:rsid w:val="00E172DB"/>
    <w:rsid w:val="00E173C5"/>
    <w:rsid w:val="00E173D3"/>
    <w:rsid w:val="00E174BF"/>
    <w:rsid w:val="00E1773D"/>
    <w:rsid w:val="00E17823"/>
    <w:rsid w:val="00E1796F"/>
    <w:rsid w:val="00E17C8A"/>
    <w:rsid w:val="00E17D4E"/>
    <w:rsid w:val="00E17D84"/>
    <w:rsid w:val="00E2012F"/>
    <w:rsid w:val="00E2014F"/>
    <w:rsid w:val="00E20161"/>
    <w:rsid w:val="00E20217"/>
    <w:rsid w:val="00E202D7"/>
    <w:rsid w:val="00E204E3"/>
    <w:rsid w:val="00E20795"/>
    <w:rsid w:val="00E2084F"/>
    <w:rsid w:val="00E2093E"/>
    <w:rsid w:val="00E209AA"/>
    <w:rsid w:val="00E20C73"/>
    <w:rsid w:val="00E20D7E"/>
    <w:rsid w:val="00E20D94"/>
    <w:rsid w:val="00E20E2F"/>
    <w:rsid w:val="00E20E4E"/>
    <w:rsid w:val="00E20EE8"/>
    <w:rsid w:val="00E20F77"/>
    <w:rsid w:val="00E21035"/>
    <w:rsid w:val="00E21083"/>
    <w:rsid w:val="00E210B2"/>
    <w:rsid w:val="00E21131"/>
    <w:rsid w:val="00E212E6"/>
    <w:rsid w:val="00E21555"/>
    <w:rsid w:val="00E21598"/>
    <w:rsid w:val="00E215EC"/>
    <w:rsid w:val="00E216C9"/>
    <w:rsid w:val="00E218D7"/>
    <w:rsid w:val="00E21915"/>
    <w:rsid w:val="00E2192B"/>
    <w:rsid w:val="00E21E50"/>
    <w:rsid w:val="00E21EDC"/>
    <w:rsid w:val="00E220B6"/>
    <w:rsid w:val="00E22104"/>
    <w:rsid w:val="00E22347"/>
    <w:rsid w:val="00E223CD"/>
    <w:rsid w:val="00E2246F"/>
    <w:rsid w:val="00E2253B"/>
    <w:rsid w:val="00E225E5"/>
    <w:rsid w:val="00E226B3"/>
    <w:rsid w:val="00E22788"/>
    <w:rsid w:val="00E2278F"/>
    <w:rsid w:val="00E227D6"/>
    <w:rsid w:val="00E227DA"/>
    <w:rsid w:val="00E2287E"/>
    <w:rsid w:val="00E228D1"/>
    <w:rsid w:val="00E22BDF"/>
    <w:rsid w:val="00E2312E"/>
    <w:rsid w:val="00E231BC"/>
    <w:rsid w:val="00E233A3"/>
    <w:rsid w:val="00E234C6"/>
    <w:rsid w:val="00E235B8"/>
    <w:rsid w:val="00E2366E"/>
    <w:rsid w:val="00E236AF"/>
    <w:rsid w:val="00E23746"/>
    <w:rsid w:val="00E237CE"/>
    <w:rsid w:val="00E23849"/>
    <w:rsid w:val="00E2394D"/>
    <w:rsid w:val="00E23C01"/>
    <w:rsid w:val="00E23C27"/>
    <w:rsid w:val="00E23C84"/>
    <w:rsid w:val="00E23E56"/>
    <w:rsid w:val="00E23E5D"/>
    <w:rsid w:val="00E23EA9"/>
    <w:rsid w:val="00E23F38"/>
    <w:rsid w:val="00E23FAD"/>
    <w:rsid w:val="00E240CD"/>
    <w:rsid w:val="00E2416E"/>
    <w:rsid w:val="00E241DA"/>
    <w:rsid w:val="00E24257"/>
    <w:rsid w:val="00E24356"/>
    <w:rsid w:val="00E2441B"/>
    <w:rsid w:val="00E24819"/>
    <w:rsid w:val="00E24949"/>
    <w:rsid w:val="00E24AB8"/>
    <w:rsid w:val="00E24B2D"/>
    <w:rsid w:val="00E24C2A"/>
    <w:rsid w:val="00E24CBE"/>
    <w:rsid w:val="00E24CF8"/>
    <w:rsid w:val="00E24D82"/>
    <w:rsid w:val="00E24F1C"/>
    <w:rsid w:val="00E24FA8"/>
    <w:rsid w:val="00E2500D"/>
    <w:rsid w:val="00E25016"/>
    <w:rsid w:val="00E2501B"/>
    <w:rsid w:val="00E25061"/>
    <w:rsid w:val="00E2516D"/>
    <w:rsid w:val="00E251E5"/>
    <w:rsid w:val="00E253E7"/>
    <w:rsid w:val="00E255B9"/>
    <w:rsid w:val="00E2569A"/>
    <w:rsid w:val="00E2570D"/>
    <w:rsid w:val="00E2595B"/>
    <w:rsid w:val="00E259E9"/>
    <w:rsid w:val="00E25A0D"/>
    <w:rsid w:val="00E25A86"/>
    <w:rsid w:val="00E25B10"/>
    <w:rsid w:val="00E25EB6"/>
    <w:rsid w:val="00E25EF9"/>
    <w:rsid w:val="00E25F76"/>
    <w:rsid w:val="00E26036"/>
    <w:rsid w:val="00E26061"/>
    <w:rsid w:val="00E26483"/>
    <w:rsid w:val="00E26511"/>
    <w:rsid w:val="00E2658F"/>
    <w:rsid w:val="00E26743"/>
    <w:rsid w:val="00E2675A"/>
    <w:rsid w:val="00E2679E"/>
    <w:rsid w:val="00E268A1"/>
    <w:rsid w:val="00E26AE8"/>
    <w:rsid w:val="00E26CA9"/>
    <w:rsid w:val="00E26EBF"/>
    <w:rsid w:val="00E26F60"/>
    <w:rsid w:val="00E26F93"/>
    <w:rsid w:val="00E26FD2"/>
    <w:rsid w:val="00E27068"/>
    <w:rsid w:val="00E27083"/>
    <w:rsid w:val="00E271AB"/>
    <w:rsid w:val="00E27246"/>
    <w:rsid w:val="00E273E4"/>
    <w:rsid w:val="00E27471"/>
    <w:rsid w:val="00E27593"/>
    <w:rsid w:val="00E27622"/>
    <w:rsid w:val="00E2762A"/>
    <w:rsid w:val="00E2789B"/>
    <w:rsid w:val="00E278A4"/>
    <w:rsid w:val="00E27A22"/>
    <w:rsid w:val="00E27ABE"/>
    <w:rsid w:val="00E27AC6"/>
    <w:rsid w:val="00E27B02"/>
    <w:rsid w:val="00E27B13"/>
    <w:rsid w:val="00E27B96"/>
    <w:rsid w:val="00E27C1B"/>
    <w:rsid w:val="00E27EEC"/>
    <w:rsid w:val="00E301E0"/>
    <w:rsid w:val="00E3049A"/>
    <w:rsid w:val="00E304E2"/>
    <w:rsid w:val="00E307FA"/>
    <w:rsid w:val="00E30802"/>
    <w:rsid w:val="00E30828"/>
    <w:rsid w:val="00E3083C"/>
    <w:rsid w:val="00E308D0"/>
    <w:rsid w:val="00E3093D"/>
    <w:rsid w:val="00E309CF"/>
    <w:rsid w:val="00E309F3"/>
    <w:rsid w:val="00E30A46"/>
    <w:rsid w:val="00E30A97"/>
    <w:rsid w:val="00E30B10"/>
    <w:rsid w:val="00E30B7A"/>
    <w:rsid w:val="00E30CE4"/>
    <w:rsid w:val="00E30F45"/>
    <w:rsid w:val="00E310B1"/>
    <w:rsid w:val="00E3113C"/>
    <w:rsid w:val="00E31148"/>
    <w:rsid w:val="00E3125A"/>
    <w:rsid w:val="00E31269"/>
    <w:rsid w:val="00E3129C"/>
    <w:rsid w:val="00E312C2"/>
    <w:rsid w:val="00E312F1"/>
    <w:rsid w:val="00E313B8"/>
    <w:rsid w:val="00E313DF"/>
    <w:rsid w:val="00E31426"/>
    <w:rsid w:val="00E31441"/>
    <w:rsid w:val="00E31444"/>
    <w:rsid w:val="00E3154A"/>
    <w:rsid w:val="00E315D6"/>
    <w:rsid w:val="00E316C1"/>
    <w:rsid w:val="00E316CD"/>
    <w:rsid w:val="00E3181A"/>
    <w:rsid w:val="00E31847"/>
    <w:rsid w:val="00E3185F"/>
    <w:rsid w:val="00E31874"/>
    <w:rsid w:val="00E31B01"/>
    <w:rsid w:val="00E31B44"/>
    <w:rsid w:val="00E31B55"/>
    <w:rsid w:val="00E31DA8"/>
    <w:rsid w:val="00E31E07"/>
    <w:rsid w:val="00E31F8A"/>
    <w:rsid w:val="00E31FE1"/>
    <w:rsid w:val="00E3201F"/>
    <w:rsid w:val="00E320D4"/>
    <w:rsid w:val="00E32138"/>
    <w:rsid w:val="00E3213B"/>
    <w:rsid w:val="00E32370"/>
    <w:rsid w:val="00E3245C"/>
    <w:rsid w:val="00E326EE"/>
    <w:rsid w:val="00E326F9"/>
    <w:rsid w:val="00E328D1"/>
    <w:rsid w:val="00E32ABE"/>
    <w:rsid w:val="00E32BEB"/>
    <w:rsid w:val="00E32C56"/>
    <w:rsid w:val="00E32C8B"/>
    <w:rsid w:val="00E32C96"/>
    <w:rsid w:val="00E32CFB"/>
    <w:rsid w:val="00E32D22"/>
    <w:rsid w:val="00E32F57"/>
    <w:rsid w:val="00E32F62"/>
    <w:rsid w:val="00E333DA"/>
    <w:rsid w:val="00E33509"/>
    <w:rsid w:val="00E33545"/>
    <w:rsid w:val="00E33567"/>
    <w:rsid w:val="00E336EB"/>
    <w:rsid w:val="00E3371E"/>
    <w:rsid w:val="00E33860"/>
    <w:rsid w:val="00E33898"/>
    <w:rsid w:val="00E33953"/>
    <w:rsid w:val="00E33A65"/>
    <w:rsid w:val="00E33A9C"/>
    <w:rsid w:val="00E33AAB"/>
    <w:rsid w:val="00E33B2B"/>
    <w:rsid w:val="00E33BB9"/>
    <w:rsid w:val="00E33FB7"/>
    <w:rsid w:val="00E34221"/>
    <w:rsid w:val="00E34230"/>
    <w:rsid w:val="00E342C7"/>
    <w:rsid w:val="00E34335"/>
    <w:rsid w:val="00E34413"/>
    <w:rsid w:val="00E3442C"/>
    <w:rsid w:val="00E344FD"/>
    <w:rsid w:val="00E345C5"/>
    <w:rsid w:val="00E346DE"/>
    <w:rsid w:val="00E34723"/>
    <w:rsid w:val="00E34793"/>
    <w:rsid w:val="00E347DB"/>
    <w:rsid w:val="00E3484A"/>
    <w:rsid w:val="00E34890"/>
    <w:rsid w:val="00E34ABE"/>
    <w:rsid w:val="00E34AC2"/>
    <w:rsid w:val="00E34BAD"/>
    <w:rsid w:val="00E34DA9"/>
    <w:rsid w:val="00E34DF9"/>
    <w:rsid w:val="00E34E5A"/>
    <w:rsid w:val="00E35060"/>
    <w:rsid w:val="00E35169"/>
    <w:rsid w:val="00E35174"/>
    <w:rsid w:val="00E35237"/>
    <w:rsid w:val="00E3537E"/>
    <w:rsid w:val="00E3542D"/>
    <w:rsid w:val="00E35708"/>
    <w:rsid w:val="00E3571F"/>
    <w:rsid w:val="00E35743"/>
    <w:rsid w:val="00E35790"/>
    <w:rsid w:val="00E35B77"/>
    <w:rsid w:val="00E35D59"/>
    <w:rsid w:val="00E35E80"/>
    <w:rsid w:val="00E35EC1"/>
    <w:rsid w:val="00E35F24"/>
    <w:rsid w:val="00E35F4C"/>
    <w:rsid w:val="00E35F6C"/>
    <w:rsid w:val="00E35FAB"/>
    <w:rsid w:val="00E3624C"/>
    <w:rsid w:val="00E362C0"/>
    <w:rsid w:val="00E36309"/>
    <w:rsid w:val="00E3633C"/>
    <w:rsid w:val="00E36343"/>
    <w:rsid w:val="00E36451"/>
    <w:rsid w:val="00E3677C"/>
    <w:rsid w:val="00E367BA"/>
    <w:rsid w:val="00E3680C"/>
    <w:rsid w:val="00E369D6"/>
    <w:rsid w:val="00E369EF"/>
    <w:rsid w:val="00E36D0A"/>
    <w:rsid w:val="00E36F0D"/>
    <w:rsid w:val="00E370AD"/>
    <w:rsid w:val="00E3716D"/>
    <w:rsid w:val="00E373CF"/>
    <w:rsid w:val="00E3749B"/>
    <w:rsid w:val="00E3749F"/>
    <w:rsid w:val="00E37626"/>
    <w:rsid w:val="00E3781F"/>
    <w:rsid w:val="00E37933"/>
    <w:rsid w:val="00E379EF"/>
    <w:rsid w:val="00E37CB9"/>
    <w:rsid w:val="00E37D2E"/>
    <w:rsid w:val="00E37EAD"/>
    <w:rsid w:val="00E4008C"/>
    <w:rsid w:val="00E400DA"/>
    <w:rsid w:val="00E4012F"/>
    <w:rsid w:val="00E4026B"/>
    <w:rsid w:val="00E4032D"/>
    <w:rsid w:val="00E4051B"/>
    <w:rsid w:val="00E40552"/>
    <w:rsid w:val="00E405B2"/>
    <w:rsid w:val="00E4068E"/>
    <w:rsid w:val="00E4076E"/>
    <w:rsid w:val="00E40906"/>
    <w:rsid w:val="00E40973"/>
    <w:rsid w:val="00E40A0B"/>
    <w:rsid w:val="00E40A35"/>
    <w:rsid w:val="00E40A63"/>
    <w:rsid w:val="00E40A83"/>
    <w:rsid w:val="00E40C25"/>
    <w:rsid w:val="00E40C45"/>
    <w:rsid w:val="00E40E0E"/>
    <w:rsid w:val="00E4102C"/>
    <w:rsid w:val="00E411E9"/>
    <w:rsid w:val="00E41202"/>
    <w:rsid w:val="00E41250"/>
    <w:rsid w:val="00E4128C"/>
    <w:rsid w:val="00E41552"/>
    <w:rsid w:val="00E41959"/>
    <w:rsid w:val="00E419A3"/>
    <w:rsid w:val="00E41AB3"/>
    <w:rsid w:val="00E41B1A"/>
    <w:rsid w:val="00E41B8F"/>
    <w:rsid w:val="00E41DC9"/>
    <w:rsid w:val="00E41E1D"/>
    <w:rsid w:val="00E41ED1"/>
    <w:rsid w:val="00E41ED5"/>
    <w:rsid w:val="00E41F3A"/>
    <w:rsid w:val="00E41F4C"/>
    <w:rsid w:val="00E42235"/>
    <w:rsid w:val="00E4232F"/>
    <w:rsid w:val="00E42345"/>
    <w:rsid w:val="00E423FF"/>
    <w:rsid w:val="00E42414"/>
    <w:rsid w:val="00E4258B"/>
    <w:rsid w:val="00E42637"/>
    <w:rsid w:val="00E42755"/>
    <w:rsid w:val="00E42A23"/>
    <w:rsid w:val="00E42A81"/>
    <w:rsid w:val="00E432FD"/>
    <w:rsid w:val="00E43362"/>
    <w:rsid w:val="00E433D1"/>
    <w:rsid w:val="00E43418"/>
    <w:rsid w:val="00E4357D"/>
    <w:rsid w:val="00E435FF"/>
    <w:rsid w:val="00E4361D"/>
    <w:rsid w:val="00E43709"/>
    <w:rsid w:val="00E43A33"/>
    <w:rsid w:val="00E43B0D"/>
    <w:rsid w:val="00E43B7D"/>
    <w:rsid w:val="00E43C53"/>
    <w:rsid w:val="00E43D42"/>
    <w:rsid w:val="00E43DBE"/>
    <w:rsid w:val="00E43DCB"/>
    <w:rsid w:val="00E43FC3"/>
    <w:rsid w:val="00E44074"/>
    <w:rsid w:val="00E4416A"/>
    <w:rsid w:val="00E441BC"/>
    <w:rsid w:val="00E4425B"/>
    <w:rsid w:val="00E44287"/>
    <w:rsid w:val="00E44360"/>
    <w:rsid w:val="00E443EB"/>
    <w:rsid w:val="00E444DE"/>
    <w:rsid w:val="00E445A8"/>
    <w:rsid w:val="00E44650"/>
    <w:rsid w:val="00E446C3"/>
    <w:rsid w:val="00E44915"/>
    <w:rsid w:val="00E44A67"/>
    <w:rsid w:val="00E44A91"/>
    <w:rsid w:val="00E44B14"/>
    <w:rsid w:val="00E44B55"/>
    <w:rsid w:val="00E44C7D"/>
    <w:rsid w:val="00E44E2F"/>
    <w:rsid w:val="00E44E52"/>
    <w:rsid w:val="00E44EC2"/>
    <w:rsid w:val="00E44EC4"/>
    <w:rsid w:val="00E44ECE"/>
    <w:rsid w:val="00E450B5"/>
    <w:rsid w:val="00E450CE"/>
    <w:rsid w:val="00E45174"/>
    <w:rsid w:val="00E451D9"/>
    <w:rsid w:val="00E452CE"/>
    <w:rsid w:val="00E452D9"/>
    <w:rsid w:val="00E45302"/>
    <w:rsid w:val="00E4546A"/>
    <w:rsid w:val="00E4557E"/>
    <w:rsid w:val="00E455BC"/>
    <w:rsid w:val="00E456AF"/>
    <w:rsid w:val="00E456C2"/>
    <w:rsid w:val="00E45768"/>
    <w:rsid w:val="00E4577D"/>
    <w:rsid w:val="00E45836"/>
    <w:rsid w:val="00E45863"/>
    <w:rsid w:val="00E45B25"/>
    <w:rsid w:val="00E45B76"/>
    <w:rsid w:val="00E45B8E"/>
    <w:rsid w:val="00E45C17"/>
    <w:rsid w:val="00E45DCC"/>
    <w:rsid w:val="00E45E63"/>
    <w:rsid w:val="00E45FDB"/>
    <w:rsid w:val="00E46012"/>
    <w:rsid w:val="00E4624C"/>
    <w:rsid w:val="00E4635D"/>
    <w:rsid w:val="00E463AD"/>
    <w:rsid w:val="00E464D7"/>
    <w:rsid w:val="00E46531"/>
    <w:rsid w:val="00E46639"/>
    <w:rsid w:val="00E4668F"/>
    <w:rsid w:val="00E466A5"/>
    <w:rsid w:val="00E466D0"/>
    <w:rsid w:val="00E46709"/>
    <w:rsid w:val="00E46931"/>
    <w:rsid w:val="00E469D3"/>
    <w:rsid w:val="00E46A5B"/>
    <w:rsid w:val="00E46AB2"/>
    <w:rsid w:val="00E47102"/>
    <w:rsid w:val="00E47147"/>
    <w:rsid w:val="00E471D3"/>
    <w:rsid w:val="00E4723E"/>
    <w:rsid w:val="00E4725F"/>
    <w:rsid w:val="00E4728F"/>
    <w:rsid w:val="00E47519"/>
    <w:rsid w:val="00E4795A"/>
    <w:rsid w:val="00E4795B"/>
    <w:rsid w:val="00E47A6C"/>
    <w:rsid w:val="00E47B24"/>
    <w:rsid w:val="00E47B6B"/>
    <w:rsid w:val="00E47FB9"/>
    <w:rsid w:val="00E500C8"/>
    <w:rsid w:val="00E50127"/>
    <w:rsid w:val="00E5012A"/>
    <w:rsid w:val="00E5024D"/>
    <w:rsid w:val="00E5037C"/>
    <w:rsid w:val="00E503A4"/>
    <w:rsid w:val="00E504D9"/>
    <w:rsid w:val="00E50514"/>
    <w:rsid w:val="00E505B2"/>
    <w:rsid w:val="00E5066A"/>
    <w:rsid w:val="00E506B6"/>
    <w:rsid w:val="00E50733"/>
    <w:rsid w:val="00E509C4"/>
    <w:rsid w:val="00E50DE2"/>
    <w:rsid w:val="00E50ED2"/>
    <w:rsid w:val="00E50ED6"/>
    <w:rsid w:val="00E50F8A"/>
    <w:rsid w:val="00E510FE"/>
    <w:rsid w:val="00E5116A"/>
    <w:rsid w:val="00E51215"/>
    <w:rsid w:val="00E51274"/>
    <w:rsid w:val="00E51561"/>
    <w:rsid w:val="00E5158C"/>
    <w:rsid w:val="00E5169B"/>
    <w:rsid w:val="00E516BA"/>
    <w:rsid w:val="00E51700"/>
    <w:rsid w:val="00E51B59"/>
    <w:rsid w:val="00E51BC2"/>
    <w:rsid w:val="00E51C91"/>
    <w:rsid w:val="00E52022"/>
    <w:rsid w:val="00E52137"/>
    <w:rsid w:val="00E52178"/>
    <w:rsid w:val="00E521B9"/>
    <w:rsid w:val="00E522FE"/>
    <w:rsid w:val="00E5244C"/>
    <w:rsid w:val="00E5258C"/>
    <w:rsid w:val="00E525D1"/>
    <w:rsid w:val="00E525E4"/>
    <w:rsid w:val="00E525E7"/>
    <w:rsid w:val="00E5260D"/>
    <w:rsid w:val="00E5278E"/>
    <w:rsid w:val="00E527AA"/>
    <w:rsid w:val="00E52A20"/>
    <w:rsid w:val="00E52A78"/>
    <w:rsid w:val="00E52B0F"/>
    <w:rsid w:val="00E52C24"/>
    <w:rsid w:val="00E52F57"/>
    <w:rsid w:val="00E52F84"/>
    <w:rsid w:val="00E52F95"/>
    <w:rsid w:val="00E530EC"/>
    <w:rsid w:val="00E5312C"/>
    <w:rsid w:val="00E5319E"/>
    <w:rsid w:val="00E533FB"/>
    <w:rsid w:val="00E534A0"/>
    <w:rsid w:val="00E534C9"/>
    <w:rsid w:val="00E53576"/>
    <w:rsid w:val="00E53623"/>
    <w:rsid w:val="00E5389F"/>
    <w:rsid w:val="00E538E3"/>
    <w:rsid w:val="00E53B2D"/>
    <w:rsid w:val="00E53BA1"/>
    <w:rsid w:val="00E53BC1"/>
    <w:rsid w:val="00E53BF2"/>
    <w:rsid w:val="00E53DC7"/>
    <w:rsid w:val="00E53DDA"/>
    <w:rsid w:val="00E53ECA"/>
    <w:rsid w:val="00E53EF8"/>
    <w:rsid w:val="00E53FDA"/>
    <w:rsid w:val="00E5407E"/>
    <w:rsid w:val="00E540A8"/>
    <w:rsid w:val="00E54180"/>
    <w:rsid w:val="00E54230"/>
    <w:rsid w:val="00E54403"/>
    <w:rsid w:val="00E544F0"/>
    <w:rsid w:val="00E545ED"/>
    <w:rsid w:val="00E54715"/>
    <w:rsid w:val="00E5475B"/>
    <w:rsid w:val="00E547AF"/>
    <w:rsid w:val="00E547C6"/>
    <w:rsid w:val="00E547D6"/>
    <w:rsid w:val="00E54851"/>
    <w:rsid w:val="00E5489C"/>
    <w:rsid w:val="00E54AFB"/>
    <w:rsid w:val="00E54B68"/>
    <w:rsid w:val="00E54D2B"/>
    <w:rsid w:val="00E54DE9"/>
    <w:rsid w:val="00E54E3E"/>
    <w:rsid w:val="00E550F8"/>
    <w:rsid w:val="00E55120"/>
    <w:rsid w:val="00E551BE"/>
    <w:rsid w:val="00E55273"/>
    <w:rsid w:val="00E55313"/>
    <w:rsid w:val="00E55339"/>
    <w:rsid w:val="00E55347"/>
    <w:rsid w:val="00E554D0"/>
    <w:rsid w:val="00E55573"/>
    <w:rsid w:val="00E556AE"/>
    <w:rsid w:val="00E55839"/>
    <w:rsid w:val="00E558EB"/>
    <w:rsid w:val="00E5599E"/>
    <w:rsid w:val="00E55A65"/>
    <w:rsid w:val="00E55B37"/>
    <w:rsid w:val="00E55B60"/>
    <w:rsid w:val="00E55BAB"/>
    <w:rsid w:val="00E55C05"/>
    <w:rsid w:val="00E55C24"/>
    <w:rsid w:val="00E55CA7"/>
    <w:rsid w:val="00E55D0C"/>
    <w:rsid w:val="00E55E17"/>
    <w:rsid w:val="00E55FDC"/>
    <w:rsid w:val="00E56006"/>
    <w:rsid w:val="00E56304"/>
    <w:rsid w:val="00E56330"/>
    <w:rsid w:val="00E563DF"/>
    <w:rsid w:val="00E564A9"/>
    <w:rsid w:val="00E564B0"/>
    <w:rsid w:val="00E564D8"/>
    <w:rsid w:val="00E5653C"/>
    <w:rsid w:val="00E567ED"/>
    <w:rsid w:val="00E5682B"/>
    <w:rsid w:val="00E56968"/>
    <w:rsid w:val="00E569A0"/>
    <w:rsid w:val="00E56AD7"/>
    <w:rsid w:val="00E56C3F"/>
    <w:rsid w:val="00E56EDC"/>
    <w:rsid w:val="00E56F40"/>
    <w:rsid w:val="00E56F9F"/>
    <w:rsid w:val="00E56FE2"/>
    <w:rsid w:val="00E57011"/>
    <w:rsid w:val="00E570E3"/>
    <w:rsid w:val="00E571E3"/>
    <w:rsid w:val="00E57214"/>
    <w:rsid w:val="00E572A8"/>
    <w:rsid w:val="00E572E4"/>
    <w:rsid w:val="00E574C0"/>
    <w:rsid w:val="00E57552"/>
    <w:rsid w:val="00E57587"/>
    <w:rsid w:val="00E575FD"/>
    <w:rsid w:val="00E576B1"/>
    <w:rsid w:val="00E57720"/>
    <w:rsid w:val="00E5775E"/>
    <w:rsid w:val="00E5780B"/>
    <w:rsid w:val="00E57813"/>
    <w:rsid w:val="00E57926"/>
    <w:rsid w:val="00E579BA"/>
    <w:rsid w:val="00E57ABE"/>
    <w:rsid w:val="00E57B34"/>
    <w:rsid w:val="00E57B45"/>
    <w:rsid w:val="00E57B5C"/>
    <w:rsid w:val="00E57CBF"/>
    <w:rsid w:val="00E57CFE"/>
    <w:rsid w:val="00E57D98"/>
    <w:rsid w:val="00E57E1C"/>
    <w:rsid w:val="00E57E73"/>
    <w:rsid w:val="00E57FA3"/>
    <w:rsid w:val="00E57FE6"/>
    <w:rsid w:val="00E60016"/>
    <w:rsid w:val="00E60082"/>
    <w:rsid w:val="00E601C2"/>
    <w:rsid w:val="00E601FF"/>
    <w:rsid w:val="00E60231"/>
    <w:rsid w:val="00E602B9"/>
    <w:rsid w:val="00E60478"/>
    <w:rsid w:val="00E604E9"/>
    <w:rsid w:val="00E60527"/>
    <w:rsid w:val="00E60529"/>
    <w:rsid w:val="00E605BE"/>
    <w:rsid w:val="00E60669"/>
    <w:rsid w:val="00E606B4"/>
    <w:rsid w:val="00E60736"/>
    <w:rsid w:val="00E607D4"/>
    <w:rsid w:val="00E608BB"/>
    <w:rsid w:val="00E608D6"/>
    <w:rsid w:val="00E60955"/>
    <w:rsid w:val="00E60A7D"/>
    <w:rsid w:val="00E60B36"/>
    <w:rsid w:val="00E61095"/>
    <w:rsid w:val="00E610F3"/>
    <w:rsid w:val="00E61429"/>
    <w:rsid w:val="00E61469"/>
    <w:rsid w:val="00E614F7"/>
    <w:rsid w:val="00E6168E"/>
    <w:rsid w:val="00E61851"/>
    <w:rsid w:val="00E6197B"/>
    <w:rsid w:val="00E61993"/>
    <w:rsid w:val="00E61B17"/>
    <w:rsid w:val="00E61CEB"/>
    <w:rsid w:val="00E61D2D"/>
    <w:rsid w:val="00E61D51"/>
    <w:rsid w:val="00E61DF8"/>
    <w:rsid w:val="00E61E13"/>
    <w:rsid w:val="00E61FC4"/>
    <w:rsid w:val="00E622C7"/>
    <w:rsid w:val="00E622E0"/>
    <w:rsid w:val="00E62355"/>
    <w:rsid w:val="00E62708"/>
    <w:rsid w:val="00E6278B"/>
    <w:rsid w:val="00E628F5"/>
    <w:rsid w:val="00E62942"/>
    <w:rsid w:val="00E629C5"/>
    <w:rsid w:val="00E629D4"/>
    <w:rsid w:val="00E629DE"/>
    <w:rsid w:val="00E62CE2"/>
    <w:rsid w:val="00E62D4F"/>
    <w:rsid w:val="00E62F0F"/>
    <w:rsid w:val="00E62F42"/>
    <w:rsid w:val="00E62FCE"/>
    <w:rsid w:val="00E630C1"/>
    <w:rsid w:val="00E63218"/>
    <w:rsid w:val="00E6323D"/>
    <w:rsid w:val="00E632FA"/>
    <w:rsid w:val="00E634A8"/>
    <w:rsid w:val="00E63808"/>
    <w:rsid w:val="00E6380C"/>
    <w:rsid w:val="00E63812"/>
    <w:rsid w:val="00E638E3"/>
    <w:rsid w:val="00E639E2"/>
    <w:rsid w:val="00E63B47"/>
    <w:rsid w:val="00E63C2B"/>
    <w:rsid w:val="00E63DC0"/>
    <w:rsid w:val="00E63E6E"/>
    <w:rsid w:val="00E63E8F"/>
    <w:rsid w:val="00E63E99"/>
    <w:rsid w:val="00E63EA9"/>
    <w:rsid w:val="00E63F26"/>
    <w:rsid w:val="00E63FED"/>
    <w:rsid w:val="00E63FF3"/>
    <w:rsid w:val="00E640DB"/>
    <w:rsid w:val="00E6424F"/>
    <w:rsid w:val="00E64257"/>
    <w:rsid w:val="00E64301"/>
    <w:rsid w:val="00E643B8"/>
    <w:rsid w:val="00E64407"/>
    <w:rsid w:val="00E64612"/>
    <w:rsid w:val="00E64668"/>
    <w:rsid w:val="00E648D9"/>
    <w:rsid w:val="00E649E3"/>
    <w:rsid w:val="00E64A4B"/>
    <w:rsid w:val="00E64B87"/>
    <w:rsid w:val="00E64BA7"/>
    <w:rsid w:val="00E64F0D"/>
    <w:rsid w:val="00E65069"/>
    <w:rsid w:val="00E650C9"/>
    <w:rsid w:val="00E650DD"/>
    <w:rsid w:val="00E6530A"/>
    <w:rsid w:val="00E6554F"/>
    <w:rsid w:val="00E65624"/>
    <w:rsid w:val="00E657B4"/>
    <w:rsid w:val="00E6591E"/>
    <w:rsid w:val="00E65933"/>
    <w:rsid w:val="00E659DE"/>
    <w:rsid w:val="00E65B68"/>
    <w:rsid w:val="00E65B98"/>
    <w:rsid w:val="00E65CA0"/>
    <w:rsid w:val="00E65CD2"/>
    <w:rsid w:val="00E65CE8"/>
    <w:rsid w:val="00E65D62"/>
    <w:rsid w:val="00E65D6B"/>
    <w:rsid w:val="00E65DF7"/>
    <w:rsid w:val="00E65F43"/>
    <w:rsid w:val="00E65F6A"/>
    <w:rsid w:val="00E65FB6"/>
    <w:rsid w:val="00E65FED"/>
    <w:rsid w:val="00E65FEE"/>
    <w:rsid w:val="00E6601E"/>
    <w:rsid w:val="00E660FB"/>
    <w:rsid w:val="00E66280"/>
    <w:rsid w:val="00E662C8"/>
    <w:rsid w:val="00E6640A"/>
    <w:rsid w:val="00E6641A"/>
    <w:rsid w:val="00E66569"/>
    <w:rsid w:val="00E665E9"/>
    <w:rsid w:val="00E66726"/>
    <w:rsid w:val="00E6686D"/>
    <w:rsid w:val="00E66990"/>
    <w:rsid w:val="00E66B0E"/>
    <w:rsid w:val="00E66B8D"/>
    <w:rsid w:val="00E66BDD"/>
    <w:rsid w:val="00E66D60"/>
    <w:rsid w:val="00E66D88"/>
    <w:rsid w:val="00E66DDD"/>
    <w:rsid w:val="00E66DF8"/>
    <w:rsid w:val="00E66E5F"/>
    <w:rsid w:val="00E66F2A"/>
    <w:rsid w:val="00E66FE1"/>
    <w:rsid w:val="00E6705C"/>
    <w:rsid w:val="00E67064"/>
    <w:rsid w:val="00E67088"/>
    <w:rsid w:val="00E670D4"/>
    <w:rsid w:val="00E6717C"/>
    <w:rsid w:val="00E6720C"/>
    <w:rsid w:val="00E673D5"/>
    <w:rsid w:val="00E6740B"/>
    <w:rsid w:val="00E6743D"/>
    <w:rsid w:val="00E674D9"/>
    <w:rsid w:val="00E674E7"/>
    <w:rsid w:val="00E6750F"/>
    <w:rsid w:val="00E675DA"/>
    <w:rsid w:val="00E67765"/>
    <w:rsid w:val="00E677D2"/>
    <w:rsid w:val="00E677F0"/>
    <w:rsid w:val="00E6780A"/>
    <w:rsid w:val="00E6781D"/>
    <w:rsid w:val="00E67845"/>
    <w:rsid w:val="00E67A33"/>
    <w:rsid w:val="00E67AB8"/>
    <w:rsid w:val="00E67AF4"/>
    <w:rsid w:val="00E67B19"/>
    <w:rsid w:val="00E67BF2"/>
    <w:rsid w:val="00E67BFA"/>
    <w:rsid w:val="00E67C87"/>
    <w:rsid w:val="00E67D1F"/>
    <w:rsid w:val="00E67D44"/>
    <w:rsid w:val="00E67D9D"/>
    <w:rsid w:val="00E67EA0"/>
    <w:rsid w:val="00E67F16"/>
    <w:rsid w:val="00E6BD59"/>
    <w:rsid w:val="00E7013A"/>
    <w:rsid w:val="00E7015D"/>
    <w:rsid w:val="00E70377"/>
    <w:rsid w:val="00E7037E"/>
    <w:rsid w:val="00E703D6"/>
    <w:rsid w:val="00E7050D"/>
    <w:rsid w:val="00E70586"/>
    <w:rsid w:val="00E70737"/>
    <w:rsid w:val="00E708AE"/>
    <w:rsid w:val="00E70997"/>
    <w:rsid w:val="00E70A87"/>
    <w:rsid w:val="00E70AD6"/>
    <w:rsid w:val="00E70D43"/>
    <w:rsid w:val="00E70E34"/>
    <w:rsid w:val="00E70EE1"/>
    <w:rsid w:val="00E70F08"/>
    <w:rsid w:val="00E70F6E"/>
    <w:rsid w:val="00E70FF1"/>
    <w:rsid w:val="00E710DC"/>
    <w:rsid w:val="00E711AE"/>
    <w:rsid w:val="00E711BF"/>
    <w:rsid w:val="00E71246"/>
    <w:rsid w:val="00E71265"/>
    <w:rsid w:val="00E712F4"/>
    <w:rsid w:val="00E71375"/>
    <w:rsid w:val="00E713A9"/>
    <w:rsid w:val="00E7157D"/>
    <w:rsid w:val="00E71820"/>
    <w:rsid w:val="00E718DF"/>
    <w:rsid w:val="00E719AE"/>
    <w:rsid w:val="00E719CD"/>
    <w:rsid w:val="00E71A61"/>
    <w:rsid w:val="00E71ACF"/>
    <w:rsid w:val="00E71BF4"/>
    <w:rsid w:val="00E71C39"/>
    <w:rsid w:val="00E71C98"/>
    <w:rsid w:val="00E71D82"/>
    <w:rsid w:val="00E71E07"/>
    <w:rsid w:val="00E71E13"/>
    <w:rsid w:val="00E71F46"/>
    <w:rsid w:val="00E71FDE"/>
    <w:rsid w:val="00E720CE"/>
    <w:rsid w:val="00E720D5"/>
    <w:rsid w:val="00E721C9"/>
    <w:rsid w:val="00E721E3"/>
    <w:rsid w:val="00E721FB"/>
    <w:rsid w:val="00E7240C"/>
    <w:rsid w:val="00E72441"/>
    <w:rsid w:val="00E72466"/>
    <w:rsid w:val="00E725F8"/>
    <w:rsid w:val="00E72715"/>
    <w:rsid w:val="00E7272E"/>
    <w:rsid w:val="00E72738"/>
    <w:rsid w:val="00E7287E"/>
    <w:rsid w:val="00E728C9"/>
    <w:rsid w:val="00E7298F"/>
    <w:rsid w:val="00E729BF"/>
    <w:rsid w:val="00E72AAA"/>
    <w:rsid w:val="00E72AE5"/>
    <w:rsid w:val="00E72B48"/>
    <w:rsid w:val="00E72B83"/>
    <w:rsid w:val="00E72BCC"/>
    <w:rsid w:val="00E72C91"/>
    <w:rsid w:val="00E72CDE"/>
    <w:rsid w:val="00E72ECA"/>
    <w:rsid w:val="00E7304F"/>
    <w:rsid w:val="00E73248"/>
    <w:rsid w:val="00E73259"/>
    <w:rsid w:val="00E73304"/>
    <w:rsid w:val="00E7350C"/>
    <w:rsid w:val="00E73555"/>
    <w:rsid w:val="00E73665"/>
    <w:rsid w:val="00E73716"/>
    <w:rsid w:val="00E73752"/>
    <w:rsid w:val="00E7380C"/>
    <w:rsid w:val="00E73832"/>
    <w:rsid w:val="00E73834"/>
    <w:rsid w:val="00E7383A"/>
    <w:rsid w:val="00E7385D"/>
    <w:rsid w:val="00E738FF"/>
    <w:rsid w:val="00E73AFC"/>
    <w:rsid w:val="00E73AFF"/>
    <w:rsid w:val="00E73B62"/>
    <w:rsid w:val="00E73C10"/>
    <w:rsid w:val="00E73C23"/>
    <w:rsid w:val="00E73C3C"/>
    <w:rsid w:val="00E73D1A"/>
    <w:rsid w:val="00E73E1D"/>
    <w:rsid w:val="00E73F75"/>
    <w:rsid w:val="00E73FB0"/>
    <w:rsid w:val="00E7402A"/>
    <w:rsid w:val="00E74118"/>
    <w:rsid w:val="00E74122"/>
    <w:rsid w:val="00E743AA"/>
    <w:rsid w:val="00E745C7"/>
    <w:rsid w:val="00E745D6"/>
    <w:rsid w:val="00E745F3"/>
    <w:rsid w:val="00E74627"/>
    <w:rsid w:val="00E7465D"/>
    <w:rsid w:val="00E746E7"/>
    <w:rsid w:val="00E749A6"/>
    <w:rsid w:val="00E749CB"/>
    <w:rsid w:val="00E74AA6"/>
    <w:rsid w:val="00E74AE7"/>
    <w:rsid w:val="00E74B45"/>
    <w:rsid w:val="00E74CC8"/>
    <w:rsid w:val="00E74D0F"/>
    <w:rsid w:val="00E74FDF"/>
    <w:rsid w:val="00E74FE1"/>
    <w:rsid w:val="00E753ED"/>
    <w:rsid w:val="00E755C1"/>
    <w:rsid w:val="00E75787"/>
    <w:rsid w:val="00E75857"/>
    <w:rsid w:val="00E75871"/>
    <w:rsid w:val="00E758AE"/>
    <w:rsid w:val="00E75AA8"/>
    <w:rsid w:val="00E75BFF"/>
    <w:rsid w:val="00E75C2A"/>
    <w:rsid w:val="00E75DF8"/>
    <w:rsid w:val="00E75EB3"/>
    <w:rsid w:val="00E75EF4"/>
    <w:rsid w:val="00E7609B"/>
    <w:rsid w:val="00E761FF"/>
    <w:rsid w:val="00E76222"/>
    <w:rsid w:val="00E762F4"/>
    <w:rsid w:val="00E76694"/>
    <w:rsid w:val="00E767B1"/>
    <w:rsid w:val="00E768B1"/>
    <w:rsid w:val="00E768F7"/>
    <w:rsid w:val="00E76A01"/>
    <w:rsid w:val="00E76B30"/>
    <w:rsid w:val="00E76B9E"/>
    <w:rsid w:val="00E76C3C"/>
    <w:rsid w:val="00E76D4B"/>
    <w:rsid w:val="00E76DB0"/>
    <w:rsid w:val="00E76EC4"/>
    <w:rsid w:val="00E76EF5"/>
    <w:rsid w:val="00E7704F"/>
    <w:rsid w:val="00E770B2"/>
    <w:rsid w:val="00E77129"/>
    <w:rsid w:val="00E771D2"/>
    <w:rsid w:val="00E772AF"/>
    <w:rsid w:val="00E772EA"/>
    <w:rsid w:val="00E7774C"/>
    <w:rsid w:val="00E778B9"/>
    <w:rsid w:val="00E7790D"/>
    <w:rsid w:val="00E77C18"/>
    <w:rsid w:val="00E77D0D"/>
    <w:rsid w:val="00E77DA9"/>
    <w:rsid w:val="00E77DDF"/>
    <w:rsid w:val="00E77F40"/>
    <w:rsid w:val="00E77FCB"/>
    <w:rsid w:val="00E80089"/>
    <w:rsid w:val="00E801E9"/>
    <w:rsid w:val="00E80285"/>
    <w:rsid w:val="00E802E3"/>
    <w:rsid w:val="00E80342"/>
    <w:rsid w:val="00E804A7"/>
    <w:rsid w:val="00E804EB"/>
    <w:rsid w:val="00E806D3"/>
    <w:rsid w:val="00E80883"/>
    <w:rsid w:val="00E80A4D"/>
    <w:rsid w:val="00E80B40"/>
    <w:rsid w:val="00E80B64"/>
    <w:rsid w:val="00E80BD7"/>
    <w:rsid w:val="00E80CAB"/>
    <w:rsid w:val="00E80CDF"/>
    <w:rsid w:val="00E80D98"/>
    <w:rsid w:val="00E80FA2"/>
    <w:rsid w:val="00E80FF5"/>
    <w:rsid w:val="00E810B7"/>
    <w:rsid w:val="00E81165"/>
    <w:rsid w:val="00E812B9"/>
    <w:rsid w:val="00E81329"/>
    <w:rsid w:val="00E813C6"/>
    <w:rsid w:val="00E814A1"/>
    <w:rsid w:val="00E81510"/>
    <w:rsid w:val="00E81533"/>
    <w:rsid w:val="00E8156F"/>
    <w:rsid w:val="00E815B7"/>
    <w:rsid w:val="00E816E6"/>
    <w:rsid w:val="00E8180A"/>
    <w:rsid w:val="00E818BA"/>
    <w:rsid w:val="00E818F9"/>
    <w:rsid w:val="00E81A3E"/>
    <w:rsid w:val="00E81B75"/>
    <w:rsid w:val="00E81CF7"/>
    <w:rsid w:val="00E81F12"/>
    <w:rsid w:val="00E81F14"/>
    <w:rsid w:val="00E81F1F"/>
    <w:rsid w:val="00E81F4B"/>
    <w:rsid w:val="00E81F60"/>
    <w:rsid w:val="00E81F80"/>
    <w:rsid w:val="00E81FE6"/>
    <w:rsid w:val="00E82021"/>
    <w:rsid w:val="00E8203F"/>
    <w:rsid w:val="00E8206F"/>
    <w:rsid w:val="00E82254"/>
    <w:rsid w:val="00E8244A"/>
    <w:rsid w:val="00E824AC"/>
    <w:rsid w:val="00E82667"/>
    <w:rsid w:val="00E826A9"/>
    <w:rsid w:val="00E826EE"/>
    <w:rsid w:val="00E829CF"/>
    <w:rsid w:val="00E82A32"/>
    <w:rsid w:val="00E82A86"/>
    <w:rsid w:val="00E82AF1"/>
    <w:rsid w:val="00E82C5A"/>
    <w:rsid w:val="00E82C5E"/>
    <w:rsid w:val="00E82D22"/>
    <w:rsid w:val="00E82D71"/>
    <w:rsid w:val="00E82E4E"/>
    <w:rsid w:val="00E82EBC"/>
    <w:rsid w:val="00E82F4A"/>
    <w:rsid w:val="00E83104"/>
    <w:rsid w:val="00E831FE"/>
    <w:rsid w:val="00E8322E"/>
    <w:rsid w:val="00E8327E"/>
    <w:rsid w:val="00E8331F"/>
    <w:rsid w:val="00E83550"/>
    <w:rsid w:val="00E83676"/>
    <w:rsid w:val="00E836C5"/>
    <w:rsid w:val="00E83743"/>
    <w:rsid w:val="00E838BB"/>
    <w:rsid w:val="00E83921"/>
    <w:rsid w:val="00E8394C"/>
    <w:rsid w:val="00E83BB4"/>
    <w:rsid w:val="00E83C3F"/>
    <w:rsid w:val="00E841DE"/>
    <w:rsid w:val="00E842F5"/>
    <w:rsid w:val="00E8440C"/>
    <w:rsid w:val="00E844C9"/>
    <w:rsid w:val="00E844E4"/>
    <w:rsid w:val="00E84536"/>
    <w:rsid w:val="00E845AF"/>
    <w:rsid w:val="00E84619"/>
    <w:rsid w:val="00E848D3"/>
    <w:rsid w:val="00E8495C"/>
    <w:rsid w:val="00E849A6"/>
    <w:rsid w:val="00E84BE4"/>
    <w:rsid w:val="00E84C87"/>
    <w:rsid w:val="00E84CD0"/>
    <w:rsid w:val="00E84E0D"/>
    <w:rsid w:val="00E85050"/>
    <w:rsid w:val="00E85096"/>
    <w:rsid w:val="00E850C4"/>
    <w:rsid w:val="00E850E8"/>
    <w:rsid w:val="00E857D3"/>
    <w:rsid w:val="00E8589D"/>
    <w:rsid w:val="00E858DA"/>
    <w:rsid w:val="00E858F3"/>
    <w:rsid w:val="00E85937"/>
    <w:rsid w:val="00E85974"/>
    <w:rsid w:val="00E85A21"/>
    <w:rsid w:val="00E85AAB"/>
    <w:rsid w:val="00E85C38"/>
    <w:rsid w:val="00E85FA4"/>
    <w:rsid w:val="00E85FE4"/>
    <w:rsid w:val="00E86133"/>
    <w:rsid w:val="00E8620F"/>
    <w:rsid w:val="00E86264"/>
    <w:rsid w:val="00E8630E"/>
    <w:rsid w:val="00E86568"/>
    <w:rsid w:val="00E8662F"/>
    <w:rsid w:val="00E866A9"/>
    <w:rsid w:val="00E867CD"/>
    <w:rsid w:val="00E86944"/>
    <w:rsid w:val="00E86CA7"/>
    <w:rsid w:val="00E86D5F"/>
    <w:rsid w:val="00E86DD1"/>
    <w:rsid w:val="00E86FD6"/>
    <w:rsid w:val="00E8712E"/>
    <w:rsid w:val="00E87200"/>
    <w:rsid w:val="00E87336"/>
    <w:rsid w:val="00E873A0"/>
    <w:rsid w:val="00E874D6"/>
    <w:rsid w:val="00E87591"/>
    <w:rsid w:val="00E87598"/>
    <w:rsid w:val="00E8773F"/>
    <w:rsid w:val="00E877B3"/>
    <w:rsid w:val="00E878B9"/>
    <w:rsid w:val="00E87BA4"/>
    <w:rsid w:val="00E87CBA"/>
    <w:rsid w:val="00E87D4F"/>
    <w:rsid w:val="00E87DCD"/>
    <w:rsid w:val="00E87ECC"/>
    <w:rsid w:val="00E90085"/>
    <w:rsid w:val="00E900A0"/>
    <w:rsid w:val="00E900B4"/>
    <w:rsid w:val="00E90150"/>
    <w:rsid w:val="00E9021A"/>
    <w:rsid w:val="00E902F8"/>
    <w:rsid w:val="00E902FB"/>
    <w:rsid w:val="00E90302"/>
    <w:rsid w:val="00E90531"/>
    <w:rsid w:val="00E905A1"/>
    <w:rsid w:val="00E90609"/>
    <w:rsid w:val="00E90665"/>
    <w:rsid w:val="00E9066A"/>
    <w:rsid w:val="00E908A9"/>
    <w:rsid w:val="00E908F7"/>
    <w:rsid w:val="00E908FA"/>
    <w:rsid w:val="00E909AC"/>
    <w:rsid w:val="00E90C9C"/>
    <w:rsid w:val="00E90D1F"/>
    <w:rsid w:val="00E90D97"/>
    <w:rsid w:val="00E90F1A"/>
    <w:rsid w:val="00E90F7D"/>
    <w:rsid w:val="00E9105E"/>
    <w:rsid w:val="00E9108B"/>
    <w:rsid w:val="00E91093"/>
    <w:rsid w:val="00E91148"/>
    <w:rsid w:val="00E91184"/>
    <w:rsid w:val="00E911B6"/>
    <w:rsid w:val="00E9123D"/>
    <w:rsid w:val="00E91350"/>
    <w:rsid w:val="00E91366"/>
    <w:rsid w:val="00E91428"/>
    <w:rsid w:val="00E915E2"/>
    <w:rsid w:val="00E916C0"/>
    <w:rsid w:val="00E91746"/>
    <w:rsid w:val="00E9181A"/>
    <w:rsid w:val="00E91842"/>
    <w:rsid w:val="00E9187E"/>
    <w:rsid w:val="00E91A16"/>
    <w:rsid w:val="00E91B7F"/>
    <w:rsid w:val="00E91BA5"/>
    <w:rsid w:val="00E91BCF"/>
    <w:rsid w:val="00E91C04"/>
    <w:rsid w:val="00E91C14"/>
    <w:rsid w:val="00E91D49"/>
    <w:rsid w:val="00E91DBE"/>
    <w:rsid w:val="00E91F81"/>
    <w:rsid w:val="00E91FBA"/>
    <w:rsid w:val="00E92065"/>
    <w:rsid w:val="00E9226F"/>
    <w:rsid w:val="00E9238A"/>
    <w:rsid w:val="00E924D2"/>
    <w:rsid w:val="00E9251F"/>
    <w:rsid w:val="00E92573"/>
    <w:rsid w:val="00E9260F"/>
    <w:rsid w:val="00E9288B"/>
    <w:rsid w:val="00E92932"/>
    <w:rsid w:val="00E92A27"/>
    <w:rsid w:val="00E92A70"/>
    <w:rsid w:val="00E92C0B"/>
    <w:rsid w:val="00E92C95"/>
    <w:rsid w:val="00E92E30"/>
    <w:rsid w:val="00E92E98"/>
    <w:rsid w:val="00E92F1B"/>
    <w:rsid w:val="00E92F24"/>
    <w:rsid w:val="00E92F97"/>
    <w:rsid w:val="00E9308F"/>
    <w:rsid w:val="00E930EB"/>
    <w:rsid w:val="00E93173"/>
    <w:rsid w:val="00E932DB"/>
    <w:rsid w:val="00E93526"/>
    <w:rsid w:val="00E93721"/>
    <w:rsid w:val="00E938B9"/>
    <w:rsid w:val="00E938BB"/>
    <w:rsid w:val="00E9393B"/>
    <w:rsid w:val="00E93977"/>
    <w:rsid w:val="00E939EF"/>
    <w:rsid w:val="00E939F0"/>
    <w:rsid w:val="00E93A3D"/>
    <w:rsid w:val="00E93B48"/>
    <w:rsid w:val="00E93BDF"/>
    <w:rsid w:val="00E93C78"/>
    <w:rsid w:val="00E93CC5"/>
    <w:rsid w:val="00E93DE4"/>
    <w:rsid w:val="00E93EA1"/>
    <w:rsid w:val="00E93F8B"/>
    <w:rsid w:val="00E93FE9"/>
    <w:rsid w:val="00E94082"/>
    <w:rsid w:val="00E940A8"/>
    <w:rsid w:val="00E9413D"/>
    <w:rsid w:val="00E9432D"/>
    <w:rsid w:val="00E945E6"/>
    <w:rsid w:val="00E9464A"/>
    <w:rsid w:val="00E94727"/>
    <w:rsid w:val="00E949B6"/>
    <w:rsid w:val="00E94A36"/>
    <w:rsid w:val="00E94C0D"/>
    <w:rsid w:val="00E94CDB"/>
    <w:rsid w:val="00E94E5A"/>
    <w:rsid w:val="00E94E69"/>
    <w:rsid w:val="00E94EB2"/>
    <w:rsid w:val="00E950DD"/>
    <w:rsid w:val="00E95217"/>
    <w:rsid w:val="00E9547A"/>
    <w:rsid w:val="00E954A1"/>
    <w:rsid w:val="00E9567A"/>
    <w:rsid w:val="00E9568B"/>
    <w:rsid w:val="00E957C8"/>
    <w:rsid w:val="00E95A27"/>
    <w:rsid w:val="00E95AD7"/>
    <w:rsid w:val="00E95C66"/>
    <w:rsid w:val="00E95D3D"/>
    <w:rsid w:val="00E95D4D"/>
    <w:rsid w:val="00E95E04"/>
    <w:rsid w:val="00E95E98"/>
    <w:rsid w:val="00E95EC6"/>
    <w:rsid w:val="00E95EF3"/>
    <w:rsid w:val="00E9613A"/>
    <w:rsid w:val="00E9614D"/>
    <w:rsid w:val="00E9639B"/>
    <w:rsid w:val="00E963F8"/>
    <w:rsid w:val="00E9660C"/>
    <w:rsid w:val="00E96732"/>
    <w:rsid w:val="00E967DD"/>
    <w:rsid w:val="00E9697A"/>
    <w:rsid w:val="00E96A25"/>
    <w:rsid w:val="00E96A9C"/>
    <w:rsid w:val="00E96CFE"/>
    <w:rsid w:val="00E96DFB"/>
    <w:rsid w:val="00E96E13"/>
    <w:rsid w:val="00E96ED9"/>
    <w:rsid w:val="00E9709E"/>
    <w:rsid w:val="00E970F3"/>
    <w:rsid w:val="00E97162"/>
    <w:rsid w:val="00E97185"/>
    <w:rsid w:val="00E972E9"/>
    <w:rsid w:val="00E97368"/>
    <w:rsid w:val="00E9740A"/>
    <w:rsid w:val="00E97446"/>
    <w:rsid w:val="00E974D5"/>
    <w:rsid w:val="00E9757A"/>
    <w:rsid w:val="00E97695"/>
    <w:rsid w:val="00E977B6"/>
    <w:rsid w:val="00E9783A"/>
    <w:rsid w:val="00E979CF"/>
    <w:rsid w:val="00E97A95"/>
    <w:rsid w:val="00E97B3B"/>
    <w:rsid w:val="00E97C41"/>
    <w:rsid w:val="00E97CB2"/>
    <w:rsid w:val="00E97CB7"/>
    <w:rsid w:val="00E97E59"/>
    <w:rsid w:val="00E97FC5"/>
    <w:rsid w:val="00EA0038"/>
    <w:rsid w:val="00EA00C7"/>
    <w:rsid w:val="00EA00E8"/>
    <w:rsid w:val="00EA00F0"/>
    <w:rsid w:val="00EA013A"/>
    <w:rsid w:val="00EA01F8"/>
    <w:rsid w:val="00EA0211"/>
    <w:rsid w:val="00EA0262"/>
    <w:rsid w:val="00EA02C2"/>
    <w:rsid w:val="00EA03CD"/>
    <w:rsid w:val="00EA03F6"/>
    <w:rsid w:val="00EA0554"/>
    <w:rsid w:val="00EA056A"/>
    <w:rsid w:val="00EA05CF"/>
    <w:rsid w:val="00EA0716"/>
    <w:rsid w:val="00EA07D5"/>
    <w:rsid w:val="00EA087D"/>
    <w:rsid w:val="00EA0A99"/>
    <w:rsid w:val="00EA0B46"/>
    <w:rsid w:val="00EA0BB6"/>
    <w:rsid w:val="00EA0C8A"/>
    <w:rsid w:val="00EA0D22"/>
    <w:rsid w:val="00EA0D52"/>
    <w:rsid w:val="00EA0D54"/>
    <w:rsid w:val="00EA0DFC"/>
    <w:rsid w:val="00EA0FC3"/>
    <w:rsid w:val="00EA0FD3"/>
    <w:rsid w:val="00EA109A"/>
    <w:rsid w:val="00EA1183"/>
    <w:rsid w:val="00EA1230"/>
    <w:rsid w:val="00EA12B8"/>
    <w:rsid w:val="00EA1412"/>
    <w:rsid w:val="00EA1519"/>
    <w:rsid w:val="00EA1622"/>
    <w:rsid w:val="00EA178D"/>
    <w:rsid w:val="00EA1832"/>
    <w:rsid w:val="00EA185B"/>
    <w:rsid w:val="00EA1871"/>
    <w:rsid w:val="00EA1A1F"/>
    <w:rsid w:val="00EA1A6E"/>
    <w:rsid w:val="00EA1A90"/>
    <w:rsid w:val="00EA1BC4"/>
    <w:rsid w:val="00EA1C45"/>
    <w:rsid w:val="00EA1EFE"/>
    <w:rsid w:val="00EA211C"/>
    <w:rsid w:val="00EA22F3"/>
    <w:rsid w:val="00EA23D2"/>
    <w:rsid w:val="00EA24C2"/>
    <w:rsid w:val="00EA2593"/>
    <w:rsid w:val="00EA2604"/>
    <w:rsid w:val="00EA293B"/>
    <w:rsid w:val="00EA2A3C"/>
    <w:rsid w:val="00EA2A7D"/>
    <w:rsid w:val="00EA2A92"/>
    <w:rsid w:val="00EA2B21"/>
    <w:rsid w:val="00EA2D29"/>
    <w:rsid w:val="00EA2E47"/>
    <w:rsid w:val="00EA2EA8"/>
    <w:rsid w:val="00EA2F91"/>
    <w:rsid w:val="00EA3007"/>
    <w:rsid w:val="00EA30D3"/>
    <w:rsid w:val="00EA3125"/>
    <w:rsid w:val="00EA316F"/>
    <w:rsid w:val="00EA321E"/>
    <w:rsid w:val="00EA33B8"/>
    <w:rsid w:val="00EA35F9"/>
    <w:rsid w:val="00EA38F8"/>
    <w:rsid w:val="00EA3A01"/>
    <w:rsid w:val="00EA3B43"/>
    <w:rsid w:val="00EA3BF6"/>
    <w:rsid w:val="00EA3CA0"/>
    <w:rsid w:val="00EA3CED"/>
    <w:rsid w:val="00EA3D20"/>
    <w:rsid w:val="00EA3D23"/>
    <w:rsid w:val="00EA3D4B"/>
    <w:rsid w:val="00EA3DBD"/>
    <w:rsid w:val="00EA3F1C"/>
    <w:rsid w:val="00EA3F38"/>
    <w:rsid w:val="00EA3F9D"/>
    <w:rsid w:val="00EA4077"/>
    <w:rsid w:val="00EA41A9"/>
    <w:rsid w:val="00EA42C2"/>
    <w:rsid w:val="00EA430F"/>
    <w:rsid w:val="00EA4436"/>
    <w:rsid w:val="00EA44BB"/>
    <w:rsid w:val="00EA46DB"/>
    <w:rsid w:val="00EA4703"/>
    <w:rsid w:val="00EA486C"/>
    <w:rsid w:val="00EA48AC"/>
    <w:rsid w:val="00EA4A03"/>
    <w:rsid w:val="00EA4A43"/>
    <w:rsid w:val="00EA4A55"/>
    <w:rsid w:val="00EA4A83"/>
    <w:rsid w:val="00EA4A9F"/>
    <w:rsid w:val="00EA4B10"/>
    <w:rsid w:val="00EA4B35"/>
    <w:rsid w:val="00EA4C0E"/>
    <w:rsid w:val="00EA4FA6"/>
    <w:rsid w:val="00EA50C5"/>
    <w:rsid w:val="00EA510B"/>
    <w:rsid w:val="00EA52B0"/>
    <w:rsid w:val="00EA52B4"/>
    <w:rsid w:val="00EA53B9"/>
    <w:rsid w:val="00EA5483"/>
    <w:rsid w:val="00EA550F"/>
    <w:rsid w:val="00EA55AE"/>
    <w:rsid w:val="00EA5608"/>
    <w:rsid w:val="00EA5777"/>
    <w:rsid w:val="00EA58CF"/>
    <w:rsid w:val="00EA592C"/>
    <w:rsid w:val="00EA5A12"/>
    <w:rsid w:val="00EA5A5F"/>
    <w:rsid w:val="00EA5B3D"/>
    <w:rsid w:val="00EA5C53"/>
    <w:rsid w:val="00EA5C9B"/>
    <w:rsid w:val="00EA5D1C"/>
    <w:rsid w:val="00EA5D9D"/>
    <w:rsid w:val="00EA6087"/>
    <w:rsid w:val="00EA6118"/>
    <w:rsid w:val="00EA617E"/>
    <w:rsid w:val="00EA6249"/>
    <w:rsid w:val="00EA6260"/>
    <w:rsid w:val="00EA6263"/>
    <w:rsid w:val="00EA64CA"/>
    <w:rsid w:val="00EA652C"/>
    <w:rsid w:val="00EA65D6"/>
    <w:rsid w:val="00EA662A"/>
    <w:rsid w:val="00EA6682"/>
    <w:rsid w:val="00EA67F1"/>
    <w:rsid w:val="00EA68C0"/>
    <w:rsid w:val="00EA6961"/>
    <w:rsid w:val="00EA6B11"/>
    <w:rsid w:val="00EA6D18"/>
    <w:rsid w:val="00EA6E2E"/>
    <w:rsid w:val="00EA6E35"/>
    <w:rsid w:val="00EA6E9F"/>
    <w:rsid w:val="00EA6ECF"/>
    <w:rsid w:val="00EA70BB"/>
    <w:rsid w:val="00EA70D9"/>
    <w:rsid w:val="00EA7194"/>
    <w:rsid w:val="00EA71B8"/>
    <w:rsid w:val="00EA71D3"/>
    <w:rsid w:val="00EA742F"/>
    <w:rsid w:val="00EA757B"/>
    <w:rsid w:val="00EA7720"/>
    <w:rsid w:val="00EA7869"/>
    <w:rsid w:val="00EA78CA"/>
    <w:rsid w:val="00EA79E9"/>
    <w:rsid w:val="00EA7A2A"/>
    <w:rsid w:val="00EA7B21"/>
    <w:rsid w:val="00EA7B25"/>
    <w:rsid w:val="00EA7B61"/>
    <w:rsid w:val="00EA7BB6"/>
    <w:rsid w:val="00EA7BC0"/>
    <w:rsid w:val="00EA7C23"/>
    <w:rsid w:val="00EA7DB6"/>
    <w:rsid w:val="00EA7DFD"/>
    <w:rsid w:val="00EA7EE0"/>
    <w:rsid w:val="00EA7F46"/>
    <w:rsid w:val="00EA7FB2"/>
    <w:rsid w:val="00EB0180"/>
    <w:rsid w:val="00EB035D"/>
    <w:rsid w:val="00EB038E"/>
    <w:rsid w:val="00EB03CE"/>
    <w:rsid w:val="00EB0482"/>
    <w:rsid w:val="00EB04C5"/>
    <w:rsid w:val="00EB067D"/>
    <w:rsid w:val="00EB0763"/>
    <w:rsid w:val="00EB0765"/>
    <w:rsid w:val="00EB0873"/>
    <w:rsid w:val="00EB0B93"/>
    <w:rsid w:val="00EB0BA2"/>
    <w:rsid w:val="00EB0DA6"/>
    <w:rsid w:val="00EB0E50"/>
    <w:rsid w:val="00EB0F18"/>
    <w:rsid w:val="00EB100C"/>
    <w:rsid w:val="00EB1066"/>
    <w:rsid w:val="00EB118A"/>
    <w:rsid w:val="00EB14DC"/>
    <w:rsid w:val="00EB1702"/>
    <w:rsid w:val="00EB17CD"/>
    <w:rsid w:val="00EB1836"/>
    <w:rsid w:val="00EB18B3"/>
    <w:rsid w:val="00EB1918"/>
    <w:rsid w:val="00EB1920"/>
    <w:rsid w:val="00EB192E"/>
    <w:rsid w:val="00EB194F"/>
    <w:rsid w:val="00EB1950"/>
    <w:rsid w:val="00EB197B"/>
    <w:rsid w:val="00EB1AA8"/>
    <w:rsid w:val="00EB1AC5"/>
    <w:rsid w:val="00EB1AD9"/>
    <w:rsid w:val="00EB1B56"/>
    <w:rsid w:val="00EB1BA7"/>
    <w:rsid w:val="00EB1C69"/>
    <w:rsid w:val="00EB1CD3"/>
    <w:rsid w:val="00EB1D85"/>
    <w:rsid w:val="00EB1DE6"/>
    <w:rsid w:val="00EB1E3A"/>
    <w:rsid w:val="00EB1ECF"/>
    <w:rsid w:val="00EB1FFB"/>
    <w:rsid w:val="00EB2078"/>
    <w:rsid w:val="00EB2162"/>
    <w:rsid w:val="00EB21F7"/>
    <w:rsid w:val="00EB2319"/>
    <w:rsid w:val="00EB2326"/>
    <w:rsid w:val="00EB24BB"/>
    <w:rsid w:val="00EB24C3"/>
    <w:rsid w:val="00EB24C8"/>
    <w:rsid w:val="00EB2767"/>
    <w:rsid w:val="00EB2784"/>
    <w:rsid w:val="00EB27A8"/>
    <w:rsid w:val="00EB2991"/>
    <w:rsid w:val="00EB2A0C"/>
    <w:rsid w:val="00EB2CF3"/>
    <w:rsid w:val="00EB2D05"/>
    <w:rsid w:val="00EB2D97"/>
    <w:rsid w:val="00EB2DD8"/>
    <w:rsid w:val="00EB2E61"/>
    <w:rsid w:val="00EB302F"/>
    <w:rsid w:val="00EB304E"/>
    <w:rsid w:val="00EB30D4"/>
    <w:rsid w:val="00EB311A"/>
    <w:rsid w:val="00EB3204"/>
    <w:rsid w:val="00EB3276"/>
    <w:rsid w:val="00EB3462"/>
    <w:rsid w:val="00EB3467"/>
    <w:rsid w:val="00EB360D"/>
    <w:rsid w:val="00EB376D"/>
    <w:rsid w:val="00EB3861"/>
    <w:rsid w:val="00EB3A56"/>
    <w:rsid w:val="00EB3B3C"/>
    <w:rsid w:val="00EB3B63"/>
    <w:rsid w:val="00EB3BA6"/>
    <w:rsid w:val="00EB3D45"/>
    <w:rsid w:val="00EB3DA2"/>
    <w:rsid w:val="00EB3DDD"/>
    <w:rsid w:val="00EB3E82"/>
    <w:rsid w:val="00EB407A"/>
    <w:rsid w:val="00EB42C1"/>
    <w:rsid w:val="00EB42E1"/>
    <w:rsid w:val="00EB433D"/>
    <w:rsid w:val="00EB4396"/>
    <w:rsid w:val="00EB45BE"/>
    <w:rsid w:val="00EB488F"/>
    <w:rsid w:val="00EB4943"/>
    <w:rsid w:val="00EB4A38"/>
    <w:rsid w:val="00EB4A64"/>
    <w:rsid w:val="00EB4A7B"/>
    <w:rsid w:val="00EB4ACE"/>
    <w:rsid w:val="00EB4CBD"/>
    <w:rsid w:val="00EB4E02"/>
    <w:rsid w:val="00EB4E68"/>
    <w:rsid w:val="00EB5080"/>
    <w:rsid w:val="00EB51AE"/>
    <w:rsid w:val="00EB5262"/>
    <w:rsid w:val="00EB52E8"/>
    <w:rsid w:val="00EB52EA"/>
    <w:rsid w:val="00EB537B"/>
    <w:rsid w:val="00EB53D6"/>
    <w:rsid w:val="00EB53EF"/>
    <w:rsid w:val="00EB555F"/>
    <w:rsid w:val="00EB5691"/>
    <w:rsid w:val="00EB57FB"/>
    <w:rsid w:val="00EB589E"/>
    <w:rsid w:val="00EB58D1"/>
    <w:rsid w:val="00EB5A01"/>
    <w:rsid w:val="00EB5ABA"/>
    <w:rsid w:val="00EB5B79"/>
    <w:rsid w:val="00EB5C6B"/>
    <w:rsid w:val="00EB5D12"/>
    <w:rsid w:val="00EB5E0A"/>
    <w:rsid w:val="00EB5E2A"/>
    <w:rsid w:val="00EB5E66"/>
    <w:rsid w:val="00EB604D"/>
    <w:rsid w:val="00EB60DD"/>
    <w:rsid w:val="00EB610F"/>
    <w:rsid w:val="00EB6165"/>
    <w:rsid w:val="00EB61B8"/>
    <w:rsid w:val="00EB61DB"/>
    <w:rsid w:val="00EB63A9"/>
    <w:rsid w:val="00EB65B4"/>
    <w:rsid w:val="00EB6640"/>
    <w:rsid w:val="00EB6685"/>
    <w:rsid w:val="00EB66BA"/>
    <w:rsid w:val="00EB66D8"/>
    <w:rsid w:val="00EB66E9"/>
    <w:rsid w:val="00EB66F8"/>
    <w:rsid w:val="00EB6733"/>
    <w:rsid w:val="00EB6736"/>
    <w:rsid w:val="00EB679B"/>
    <w:rsid w:val="00EB6863"/>
    <w:rsid w:val="00EB68CC"/>
    <w:rsid w:val="00EB6930"/>
    <w:rsid w:val="00EB6BBD"/>
    <w:rsid w:val="00EB6BE8"/>
    <w:rsid w:val="00EB6D27"/>
    <w:rsid w:val="00EB6E43"/>
    <w:rsid w:val="00EB6EFA"/>
    <w:rsid w:val="00EB6F02"/>
    <w:rsid w:val="00EB6F2C"/>
    <w:rsid w:val="00EB6F95"/>
    <w:rsid w:val="00EB6FC4"/>
    <w:rsid w:val="00EB717B"/>
    <w:rsid w:val="00EB71F5"/>
    <w:rsid w:val="00EB7266"/>
    <w:rsid w:val="00EB726E"/>
    <w:rsid w:val="00EB7804"/>
    <w:rsid w:val="00EB7A09"/>
    <w:rsid w:val="00EB7B4D"/>
    <w:rsid w:val="00EB7C3D"/>
    <w:rsid w:val="00EB7C45"/>
    <w:rsid w:val="00EB7D07"/>
    <w:rsid w:val="00EB7D63"/>
    <w:rsid w:val="00EB7DAB"/>
    <w:rsid w:val="00EB7EF2"/>
    <w:rsid w:val="00EC00E7"/>
    <w:rsid w:val="00EC04A3"/>
    <w:rsid w:val="00EC04B4"/>
    <w:rsid w:val="00EC0561"/>
    <w:rsid w:val="00EC05B4"/>
    <w:rsid w:val="00EC05BC"/>
    <w:rsid w:val="00EC0698"/>
    <w:rsid w:val="00EC0837"/>
    <w:rsid w:val="00EC086A"/>
    <w:rsid w:val="00EC0A71"/>
    <w:rsid w:val="00EC0A9D"/>
    <w:rsid w:val="00EC0D3B"/>
    <w:rsid w:val="00EC0D81"/>
    <w:rsid w:val="00EC0E51"/>
    <w:rsid w:val="00EC0F8E"/>
    <w:rsid w:val="00EC122F"/>
    <w:rsid w:val="00EC1241"/>
    <w:rsid w:val="00EC12A1"/>
    <w:rsid w:val="00EC12E1"/>
    <w:rsid w:val="00EC14E2"/>
    <w:rsid w:val="00EC1519"/>
    <w:rsid w:val="00EC1754"/>
    <w:rsid w:val="00EC19C3"/>
    <w:rsid w:val="00EC1A87"/>
    <w:rsid w:val="00EC1AA6"/>
    <w:rsid w:val="00EC1AF1"/>
    <w:rsid w:val="00EC1B54"/>
    <w:rsid w:val="00EC1C2C"/>
    <w:rsid w:val="00EC1C41"/>
    <w:rsid w:val="00EC1EA4"/>
    <w:rsid w:val="00EC20FA"/>
    <w:rsid w:val="00EC22FE"/>
    <w:rsid w:val="00EC239F"/>
    <w:rsid w:val="00EC23B3"/>
    <w:rsid w:val="00EC2459"/>
    <w:rsid w:val="00EC290C"/>
    <w:rsid w:val="00EC2A31"/>
    <w:rsid w:val="00EC2C37"/>
    <w:rsid w:val="00EC2CD1"/>
    <w:rsid w:val="00EC2D64"/>
    <w:rsid w:val="00EC2EE0"/>
    <w:rsid w:val="00EC2FDE"/>
    <w:rsid w:val="00EC3113"/>
    <w:rsid w:val="00EC3186"/>
    <w:rsid w:val="00EC325F"/>
    <w:rsid w:val="00EC3307"/>
    <w:rsid w:val="00EC33A8"/>
    <w:rsid w:val="00EC3518"/>
    <w:rsid w:val="00EC36E8"/>
    <w:rsid w:val="00EC3778"/>
    <w:rsid w:val="00EC37DF"/>
    <w:rsid w:val="00EC37FE"/>
    <w:rsid w:val="00EC382B"/>
    <w:rsid w:val="00EC3941"/>
    <w:rsid w:val="00EC3CA4"/>
    <w:rsid w:val="00EC3CAA"/>
    <w:rsid w:val="00EC418E"/>
    <w:rsid w:val="00EC421D"/>
    <w:rsid w:val="00EC458E"/>
    <w:rsid w:val="00EC4615"/>
    <w:rsid w:val="00EC4632"/>
    <w:rsid w:val="00EC46FC"/>
    <w:rsid w:val="00EC474F"/>
    <w:rsid w:val="00EC4762"/>
    <w:rsid w:val="00EC47C9"/>
    <w:rsid w:val="00EC4994"/>
    <w:rsid w:val="00EC49FB"/>
    <w:rsid w:val="00EC4A8B"/>
    <w:rsid w:val="00EC4B07"/>
    <w:rsid w:val="00EC4C28"/>
    <w:rsid w:val="00EC4D43"/>
    <w:rsid w:val="00EC4EEA"/>
    <w:rsid w:val="00EC4F4F"/>
    <w:rsid w:val="00EC4FC3"/>
    <w:rsid w:val="00EC4FF8"/>
    <w:rsid w:val="00EC50BE"/>
    <w:rsid w:val="00EC5268"/>
    <w:rsid w:val="00EC52E1"/>
    <w:rsid w:val="00EC52E6"/>
    <w:rsid w:val="00EC52FB"/>
    <w:rsid w:val="00EC5373"/>
    <w:rsid w:val="00EC53B2"/>
    <w:rsid w:val="00EC541F"/>
    <w:rsid w:val="00EC549B"/>
    <w:rsid w:val="00EC54D4"/>
    <w:rsid w:val="00EC55CD"/>
    <w:rsid w:val="00EC5656"/>
    <w:rsid w:val="00EC569A"/>
    <w:rsid w:val="00EC5728"/>
    <w:rsid w:val="00EC57F8"/>
    <w:rsid w:val="00EC58BF"/>
    <w:rsid w:val="00EC5958"/>
    <w:rsid w:val="00EC5976"/>
    <w:rsid w:val="00EC5A05"/>
    <w:rsid w:val="00EC5A5C"/>
    <w:rsid w:val="00EC5ADB"/>
    <w:rsid w:val="00EC5B46"/>
    <w:rsid w:val="00EC5BCA"/>
    <w:rsid w:val="00EC5BE1"/>
    <w:rsid w:val="00EC5C51"/>
    <w:rsid w:val="00EC5CFF"/>
    <w:rsid w:val="00EC5D86"/>
    <w:rsid w:val="00EC5DA7"/>
    <w:rsid w:val="00EC5E19"/>
    <w:rsid w:val="00EC5F90"/>
    <w:rsid w:val="00EC6022"/>
    <w:rsid w:val="00EC6036"/>
    <w:rsid w:val="00EC6094"/>
    <w:rsid w:val="00EC61E2"/>
    <w:rsid w:val="00EC6231"/>
    <w:rsid w:val="00EC63B2"/>
    <w:rsid w:val="00EC6418"/>
    <w:rsid w:val="00EC6428"/>
    <w:rsid w:val="00EC6435"/>
    <w:rsid w:val="00EC6489"/>
    <w:rsid w:val="00EC649C"/>
    <w:rsid w:val="00EC6768"/>
    <w:rsid w:val="00EC677B"/>
    <w:rsid w:val="00EC69F6"/>
    <w:rsid w:val="00EC6BD1"/>
    <w:rsid w:val="00EC6CD3"/>
    <w:rsid w:val="00EC6D1F"/>
    <w:rsid w:val="00EC6E1E"/>
    <w:rsid w:val="00EC6F51"/>
    <w:rsid w:val="00EC7178"/>
    <w:rsid w:val="00EC7181"/>
    <w:rsid w:val="00EC71F3"/>
    <w:rsid w:val="00EC73E2"/>
    <w:rsid w:val="00EC74D4"/>
    <w:rsid w:val="00EC74F2"/>
    <w:rsid w:val="00EC7676"/>
    <w:rsid w:val="00EC7712"/>
    <w:rsid w:val="00EC7722"/>
    <w:rsid w:val="00EC776F"/>
    <w:rsid w:val="00EC779D"/>
    <w:rsid w:val="00EC789D"/>
    <w:rsid w:val="00EC7AB4"/>
    <w:rsid w:val="00EC7B6C"/>
    <w:rsid w:val="00EC7D04"/>
    <w:rsid w:val="00EC7D0B"/>
    <w:rsid w:val="00EC7D7B"/>
    <w:rsid w:val="00EC7E17"/>
    <w:rsid w:val="00ED0247"/>
    <w:rsid w:val="00ED0491"/>
    <w:rsid w:val="00ED049B"/>
    <w:rsid w:val="00ED05BC"/>
    <w:rsid w:val="00ED062B"/>
    <w:rsid w:val="00ED0636"/>
    <w:rsid w:val="00ED0684"/>
    <w:rsid w:val="00ED0760"/>
    <w:rsid w:val="00ED076A"/>
    <w:rsid w:val="00ED087F"/>
    <w:rsid w:val="00ED08A0"/>
    <w:rsid w:val="00ED0928"/>
    <w:rsid w:val="00ED0AD1"/>
    <w:rsid w:val="00ED0ADC"/>
    <w:rsid w:val="00ED0AED"/>
    <w:rsid w:val="00ED0C63"/>
    <w:rsid w:val="00ED0CA9"/>
    <w:rsid w:val="00ED0CAF"/>
    <w:rsid w:val="00ED0E2E"/>
    <w:rsid w:val="00ED0E4F"/>
    <w:rsid w:val="00ED1060"/>
    <w:rsid w:val="00ED1118"/>
    <w:rsid w:val="00ED11E3"/>
    <w:rsid w:val="00ED128F"/>
    <w:rsid w:val="00ED134D"/>
    <w:rsid w:val="00ED1350"/>
    <w:rsid w:val="00ED13E8"/>
    <w:rsid w:val="00ED1559"/>
    <w:rsid w:val="00ED1571"/>
    <w:rsid w:val="00ED15D6"/>
    <w:rsid w:val="00ED15DE"/>
    <w:rsid w:val="00ED16C2"/>
    <w:rsid w:val="00ED1814"/>
    <w:rsid w:val="00ED1A3E"/>
    <w:rsid w:val="00ED1D8F"/>
    <w:rsid w:val="00ED1EC1"/>
    <w:rsid w:val="00ED1F01"/>
    <w:rsid w:val="00ED210E"/>
    <w:rsid w:val="00ED213E"/>
    <w:rsid w:val="00ED2207"/>
    <w:rsid w:val="00ED23CC"/>
    <w:rsid w:val="00ED23EB"/>
    <w:rsid w:val="00ED2438"/>
    <w:rsid w:val="00ED24D5"/>
    <w:rsid w:val="00ED2570"/>
    <w:rsid w:val="00ED2601"/>
    <w:rsid w:val="00ED287C"/>
    <w:rsid w:val="00ED2994"/>
    <w:rsid w:val="00ED2BFF"/>
    <w:rsid w:val="00ED2CD0"/>
    <w:rsid w:val="00ED2F40"/>
    <w:rsid w:val="00ED3079"/>
    <w:rsid w:val="00ED3081"/>
    <w:rsid w:val="00ED30DE"/>
    <w:rsid w:val="00ED3108"/>
    <w:rsid w:val="00ED3255"/>
    <w:rsid w:val="00ED3299"/>
    <w:rsid w:val="00ED3414"/>
    <w:rsid w:val="00ED343C"/>
    <w:rsid w:val="00ED345F"/>
    <w:rsid w:val="00ED35E8"/>
    <w:rsid w:val="00ED37B4"/>
    <w:rsid w:val="00ED37CF"/>
    <w:rsid w:val="00ED38F0"/>
    <w:rsid w:val="00ED3914"/>
    <w:rsid w:val="00ED3A7C"/>
    <w:rsid w:val="00ED3A97"/>
    <w:rsid w:val="00ED3B3D"/>
    <w:rsid w:val="00ED3B4E"/>
    <w:rsid w:val="00ED3BCA"/>
    <w:rsid w:val="00ED3C9C"/>
    <w:rsid w:val="00ED3D50"/>
    <w:rsid w:val="00ED3DC0"/>
    <w:rsid w:val="00ED3E98"/>
    <w:rsid w:val="00ED3F75"/>
    <w:rsid w:val="00ED405A"/>
    <w:rsid w:val="00ED42D5"/>
    <w:rsid w:val="00ED42F6"/>
    <w:rsid w:val="00ED4502"/>
    <w:rsid w:val="00ED4512"/>
    <w:rsid w:val="00ED459C"/>
    <w:rsid w:val="00ED45D9"/>
    <w:rsid w:val="00ED461D"/>
    <w:rsid w:val="00ED46D5"/>
    <w:rsid w:val="00ED470E"/>
    <w:rsid w:val="00ED4BE7"/>
    <w:rsid w:val="00ED4C95"/>
    <w:rsid w:val="00ED4CEA"/>
    <w:rsid w:val="00ED4D81"/>
    <w:rsid w:val="00ED4DD8"/>
    <w:rsid w:val="00ED4E00"/>
    <w:rsid w:val="00ED4E28"/>
    <w:rsid w:val="00ED5098"/>
    <w:rsid w:val="00ED5206"/>
    <w:rsid w:val="00ED5297"/>
    <w:rsid w:val="00ED52F6"/>
    <w:rsid w:val="00ED53CE"/>
    <w:rsid w:val="00ED5405"/>
    <w:rsid w:val="00ED559E"/>
    <w:rsid w:val="00ED56EA"/>
    <w:rsid w:val="00ED594B"/>
    <w:rsid w:val="00ED5950"/>
    <w:rsid w:val="00ED5951"/>
    <w:rsid w:val="00ED59CC"/>
    <w:rsid w:val="00ED5B78"/>
    <w:rsid w:val="00ED5C47"/>
    <w:rsid w:val="00ED5D00"/>
    <w:rsid w:val="00ED5D5B"/>
    <w:rsid w:val="00ED6108"/>
    <w:rsid w:val="00ED6216"/>
    <w:rsid w:val="00ED629B"/>
    <w:rsid w:val="00ED641C"/>
    <w:rsid w:val="00ED64BC"/>
    <w:rsid w:val="00ED64E6"/>
    <w:rsid w:val="00ED65EC"/>
    <w:rsid w:val="00ED66A9"/>
    <w:rsid w:val="00ED6707"/>
    <w:rsid w:val="00ED683C"/>
    <w:rsid w:val="00ED6847"/>
    <w:rsid w:val="00ED69F9"/>
    <w:rsid w:val="00ED6BE7"/>
    <w:rsid w:val="00ED6F2C"/>
    <w:rsid w:val="00ED6FCF"/>
    <w:rsid w:val="00ED7101"/>
    <w:rsid w:val="00ED7227"/>
    <w:rsid w:val="00ED7275"/>
    <w:rsid w:val="00ED7283"/>
    <w:rsid w:val="00ED72C8"/>
    <w:rsid w:val="00ED738F"/>
    <w:rsid w:val="00ED74DA"/>
    <w:rsid w:val="00ED75B6"/>
    <w:rsid w:val="00ED76FA"/>
    <w:rsid w:val="00ED7708"/>
    <w:rsid w:val="00ED7779"/>
    <w:rsid w:val="00ED7797"/>
    <w:rsid w:val="00ED7A23"/>
    <w:rsid w:val="00ED7A65"/>
    <w:rsid w:val="00ED7B6D"/>
    <w:rsid w:val="00ED7BB9"/>
    <w:rsid w:val="00ED7DD1"/>
    <w:rsid w:val="00ED7E50"/>
    <w:rsid w:val="00ED7ED5"/>
    <w:rsid w:val="00ED7FB5"/>
    <w:rsid w:val="00EE007C"/>
    <w:rsid w:val="00EE009B"/>
    <w:rsid w:val="00EE016D"/>
    <w:rsid w:val="00EE0228"/>
    <w:rsid w:val="00EE034D"/>
    <w:rsid w:val="00EE03E9"/>
    <w:rsid w:val="00EE0435"/>
    <w:rsid w:val="00EE0438"/>
    <w:rsid w:val="00EE044F"/>
    <w:rsid w:val="00EE0494"/>
    <w:rsid w:val="00EE050F"/>
    <w:rsid w:val="00EE0571"/>
    <w:rsid w:val="00EE0597"/>
    <w:rsid w:val="00EE05AC"/>
    <w:rsid w:val="00EE072C"/>
    <w:rsid w:val="00EE081E"/>
    <w:rsid w:val="00EE091F"/>
    <w:rsid w:val="00EE0957"/>
    <w:rsid w:val="00EE09C5"/>
    <w:rsid w:val="00EE0A15"/>
    <w:rsid w:val="00EE0B0D"/>
    <w:rsid w:val="00EE0B41"/>
    <w:rsid w:val="00EE0B4E"/>
    <w:rsid w:val="00EE0C0E"/>
    <w:rsid w:val="00EE0CE8"/>
    <w:rsid w:val="00EE0D86"/>
    <w:rsid w:val="00EE0EAF"/>
    <w:rsid w:val="00EE0F15"/>
    <w:rsid w:val="00EE10B6"/>
    <w:rsid w:val="00EE110F"/>
    <w:rsid w:val="00EE113C"/>
    <w:rsid w:val="00EE132E"/>
    <w:rsid w:val="00EE1346"/>
    <w:rsid w:val="00EE14B4"/>
    <w:rsid w:val="00EE1527"/>
    <w:rsid w:val="00EE16FC"/>
    <w:rsid w:val="00EE1738"/>
    <w:rsid w:val="00EE1777"/>
    <w:rsid w:val="00EE19B5"/>
    <w:rsid w:val="00EE1A55"/>
    <w:rsid w:val="00EE1A71"/>
    <w:rsid w:val="00EE1B8A"/>
    <w:rsid w:val="00EE1CAA"/>
    <w:rsid w:val="00EE1CCF"/>
    <w:rsid w:val="00EE1D9F"/>
    <w:rsid w:val="00EE1F4E"/>
    <w:rsid w:val="00EE2007"/>
    <w:rsid w:val="00EE202F"/>
    <w:rsid w:val="00EE20BA"/>
    <w:rsid w:val="00EE20DC"/>
    <w:rsid w:val="00EE2108"/>
    <w:rsid w:val="00EE22C4"/>
    <w:rsid w:val="00EE233F"/>
    <w:rsid w:val="00EE2357"/>
    <w:rsid w:val="00EE24DE"/>
    <w:rsid w:val="00EE25FE"/>
    <w:rsid w:val="00EE26F8"/>
    <w:rsid w:val="00EE2808"/>
    <w:rsid w:val="00EE2AC7"/>
    <w:rsid w:val="00EE2AE4"/>
    <w:rsid w:val="00EE2C58"/>
    <w:rsid w:val="00EE2D31"/>
    <w:rsid w:val="00EE2D45"/>
    <w:rsid w:val="00EE2D99"/>
    <w:rsid w:val="00EE2ECA"/>
    <w:rsid w:val="00EE3001"/>
    <w:rsid w:val="00EE30F2"/>
    <w:rsid w:val="00EE3124"/>
    <w:rsid w:val="00EE332F"/>
    <w:rsid w:val="00EE339B"/>
    <w:rsid w:val="00EE33D6"/>
    <w:rsid w:val="00EE33F9"/>
    <w:rsid w:val="00EE358C"/>
    <w:rsid w:val="00EE35B4"/>
    <w:rsid w:val="00EE3698"/>
    <w:rsid w:val="00EE375A"/>
    <w:rsid w:val="00EE3766"/>
    <w:rsid w:val="00EE3939"/>
    <w:rsid w:val="00EE3963"/>
    <w:rsid w:val="00EE3DBC"/>
    <w:rsid w:val="00EE3FC3"/>
    <w:rsid w:val="00EE4030"/>
    <w:rsid w:val="00EE4090"/>
    <w:rsid w:val="00EE41B9"/>
    <w:rsid w:val="00EE41D5"/>
    <w:rsid w:val="00EE42F5"/>
    <w:rsid w:val="00EE42F9"/>
    <w:rsid w:val="00EE4351"/>
    <w:rsid w:val="00EE45B5"/>
    <w:rsid w:val="00EE4712"/>
    <w:rsid w:val="00EE471F"/>
    <w:rsid w:val="00EE4738"/>
    <w:rsid w:val="00EE47E7"/>
    <w:rsid w:val="00EE48FF"/>
    <w:rsid w:val="00EE4929"/>
    <w:rsid w:val="00EE494D"/>
    <w:rsid w:val="00EE4A47"/>
    <w:rsid w:val="00EE4CBA"/>
    <w:rsid w:val="00EE4D10"/>
    <w:rsid w:val="00EE4D3A"/>
    <w:rsid w:val="00EE4F1D"/>
    <w:rsid w:val="00EE5111"/>
    <w:rsid w:val="00EE52D9"/>
    <w:rsid w:val="00EE555C"/>
    <w:rsid w:val="00EE5594"/>
    <w:rsid w:val="00EE55DF"/>
    <w:rsid w:val="00EE5797"/>
    <w:rsid w:val="00EE5B1D"/>
    <w:rsid w:val="00EE5C05"/>
    <w:rsid w:val="00EE5C2B"/>
    <w:rsid w:val="00EE5CAD"/>
    <w:rsid w:val="00EE5CF6"/>
    <w:rsid w:val="00EE5D37"/>
    <w:rsid w:val="00EE5D59"/>
    <w:rsid w:val="00EE60AE"/>
    <w:rsid w:val="00EE63A3"/>
    <w:rsid w:val="00EE658A"/>
    <w:rsid w:val="00EE65C8"/>
    <w:rsid w:val="00EE670F"/>
    <w:rsid w:val="00EE6721"/>
    <w:rsid w:val="00EE672A"/>
    <w:rsid w:val="00EE675F"/>
    <w:rsid w:val="00EE67FB"/>
    <w:rsid w:val="00EE681C"/>
    <w:rsid w:val="00EE697C"/>
    <w:rsid w:val="00EE6B2D"/>
    <w:rsid w:val="00EE6C26"/>
    <w:rsid w:val="00EE6C48"/>
    <w:rsid w:val="00EE6CCB"/>
    <w:rsid w:val="00EE6F56"/>
    <w:rsid w:val="00EE6F9B"/>
    <w:rsid w:val="00EE7046"/>
    <w:rsid w:val="00EE7075"/>
    <w:rsid w:val="00EE70FF"/>
    <w:rsid w:val="00EE71D6"/>
    <w:rsid w:val="00EE730B"/>
    <w:rsid w:val="00EE7599"/>
    <w:rsid w:val="00EE7760"/>
    <w:rsid w:val="00EE785B"/>
    <w:rsid w:val="00EE78EE"/>
    <w:rsid w:val="00EE794E"/>
    <w:rsid w:val="00EE795C"/>
    <w:rsid w:val="00EE7974"/>
    <w:rsid w:val="00EE79D9"/>
    <w:rsid w:val="00EE79F8"/>
    <w:rsid w:val="00EE7A4D"/>
    <w:rsid w:val="00EE7AEB"/>
    <w:rsid w:val="00EE7B34"/>
    <w:rsid w:val="00EE7C01"/>
    <w:rsid w:val="00EE7D5C"/>
    <w:rsid w:val="00EE7D7F"/>
    <w:rsid w:val="00EE7DF1"/>
    <w:rsid w:val="00EF0199"/>
    <w:rsid w:val="00EF01AD"/>
    <w:rsid w:val="00EF0284"/>
    <w:rsid w:val="00EF0435"/>
    <w:rsid w:val="00EF0442"/>
    <w:rsid w:val="00EF0513"/>
    <w:rsid w:val="00EF0653"/>
    <w:rsid w:val="00EF089D"/>
    <w:rsid w:val="00EF0935"/>
    <w:rsid w:val="00EF093F"/>
    <w:rsid w:val="00EF0943"/>
    <w:rsid w:val="00EF0A3E"/>
    <w:rsid w:val="00EF0A58"/>
    <w:rsid w:val="00EF0B16"/>
    <w:rsid w:val="00EF0C1B"/>
    <w:rsid w:val="00EF0D80"/>
    <w:rsid w:val="00EF0DF3"/>
    <w:rsid w:val="00EF0E07"/>
    <w:rsid w:val="00EF0E09"/>
    <w:rsid w:val="00EF0E8C"/>
    <w:rsid w:val="00EF0EBF"/>
    <w:rsid w:val="00EF0EFC"/>
    <w:rsid w:val="00EF0F5B"/>
    <w:rsid w:val="00EF1023"/>
    <w:rsid w:val="00EF11CF"/>
    <w:rsid w:val="00EF122D"/>
    <w:rsid w:val="00EF12CE"/>
    <w:rsid w:val="00EF133B"/>
    <w:rsid w:val="00EF1428"/>
    <w:rsid w:val="00EF151F"/>
    <w:rsid w:val="00EF1522"/>
    <w:rsid w:val="00EF178D"/>
    <w:rsid w:val="00EF17DA"/>
    <w:rsid w:val="00EF187A"/>
    <w:rsid w:val="00EF1995"/>
    <w:rsid w:val="00EF1A28"/>
    <w:rsid w:val="00EF1BEC"/>
    <w:rsid w:val="00EF1D11"/>
    <w:rsid w:val="00EF1D2A"/>
    <w:rsid w:val="00EF1DD1"/>
    <w:rsid w:val="00EF1E3D"/>
    <w:rsid w:val="00EF1E84"/>
    <w:rsid w:val="00EF1F71"/>
    <w:rsid w:val="00EF202F"/>
    <w:rsid w:val="00EF2047"/>
    <w:rsid w:val="00EF2110"/>
    <w:rsid w:val="00EF2122"/>
    <w:rsid w:val="00EF238F"/>
    <w:rsid w:val="00EF23B3"/>
    <w:rsid w:val="00EF2557"/>
    <w:rsid w:val="00EF2559"/>
    <w:rsid w:val="00EF2621"/>
    <w:rsid w:val="00EF276D"/>
    <w:rsid w:val="00EF280E"/>
    <w:rsid w:val="00EF2A91"/>
    <w:rsid w:val="00EF2A9F"/>
    <w:rsid w:val="00EF2AD3"/>
    <w:rsid w:val="00EF2BDB"/>
    <w:rsid w:val="00EF2C31"/>
    <w:rsid w:val="00EF2D67"/>
    <w:rsid w:val="00EF2D70"/>
    <w:rsid w:val="00EF2D80"/>
    <w:rsid w:val="00EF2F01"/>
    <w:rsid w:val="00EF2F96"/>
    <w:rsid w:val="00EF3100"/>
    <w:rsid w:val="00EF313D"/>
    <w:rsid w:val="00EF31E8"/>
    <w:rsid w:val="00EF3233"/>
    <w:rsid w:val="00EF3457"/>
    <w:rsid w:val="00EF3620"/>
    <w:rsid w:val="00EF3839"/>
    <w:rsid w:val="00EF38EB"/>
    <w:rsid w:val="00EF390F"/>
    <w:rsid w:val="00EF39CA"/>
    <w:rsid w:val="00EF3A44"/>
    <w:rsid w:val="00EF3B73"/>
    <w:rsid w:val="00EF3F27"/>
    <w:rsid w:val="00EF3F4E"/>
    <w:rsid w:val="00EF3FC4"/>
    <w:rsid w:val="00EF4024"/>
    <w:rsid w:val="00EF4196"/>
    <w:rsid w:val="00EF4242"/>
    <w:rsid w:val="00EF42B0"/>
    <w:rsid w:val="00EF4307"/>
    <w:rsid w:val="00EF4451"/>
    <w:rsid w:val="00EF4471"/>
    <w:rsid w:val="00EF45CB"/>
    <w:rsid w:val="00EF45EF"/>
    <w:rsid w:val="00EF471D"/>
    <w:rsid w:val="00EF4961"/>
    <w:rsid w:val="00EF4BC6"/>
    <w:rsid w:val="00EF4CED"/>
    <w:rsid w:val="00EF4D6C"/>
    <w:rsid w:val="00EF4DD1"/>
    <w:rsid w:val="00EF4DD7"/>
    <w:rsid w:val="00EF4F31"/>
    <w:rsid w:val="00EF4F64"/>
    <w:rsid w:val="00EF5098"/>
    <w:rsid w:val="00EF5234"/>
    <w:rsid w:val="00EF5236"/>
    <w:rsid w:val="00EF52D3"/>
    <w:rsid w:val="00EF5600"/>
    <w:rsid w:val="00EF5646"/>
    <w:rsid w:val="00EF5713"/>
    <w:rsid w:val="00EF5774"/>
    <w:rsid w:val="00EF58DA"/>
    <w:rsid w:val="00EF5A78"/>
    <w:rsid w:val="00EF5B4C"/>
    <w:rsid w:val="00EF5C1D"/>
    <w:rsid w:val="00EF5CF6"/>
    <w:rsid w:val="00EF5D19"/>
    <w:rsid w:val="00EF5D1B"/>
    <w:rsid w:val="00EF5D73"/>
    <w:rsid w:val="00EF5DA4"/>
    <w:rsid w:val="00EF5F18"/>
    <w:rsid w:val="00EF5FD4"/>
    <w:rsid w:val="00EF6067"/>
    <w:rsid w:val="00EF61CA"/>
    <w:rsid w:val="00EF61D5"/>
    <w:rsid w:val="00EF62FE"/>
    <w:rsid w:val="00EF6303"/>
    <w:rsid w:val="00EF6337"/>
    <w:rsid w:val="00EF6576"/>
    <w:rsid w:val="00EF6580"/>
    <w:rsid w:val="00EF65B1"/>
    <w:rsid w:val="00EF6666"/>
    <w:rsid w:val="00EF6821"/>
    <w:rsid w:val="00EF69A5"/>
    <w:rsid w:val="00EF69C6"/>
    <w:rsid w:val="00EF6A7F"/>
    <w:rsid w:val="00EF6A86"/>
    <w:rsid w:val="00EF6ADF"/>
    <w:rsid w:val="00EF6C2B"/>
    <w:rsid w:val="00EF6C77"/>
    <w:rsid w:val="00EF6EA2"/>
    <w:rsid w:val="00EF6F3A"/>
    <w:rsid w:val="00EF6F3C"/>
    <w:rsid w:val="00EF71FF"/>
    <w:rsid w:val="00EF72CD"/>
    <w:rsid w:val="00EF7420"/>
    <w:rsid w:val="00EF7554"/>
    <w:rsid w:val="00EF7630"/>
    <w:rsid w:val="00EF7770"/>
    <w:rsid w:val="00EF78A8"/>
    <w:rsid w:val="00EF792B"/>
    <w:rsid w:val="00EF7A22"/>
    <w:rsid w:val="00EF7A47"/>
    <w:rsid w:val="00EF7A53"/>
    <w:rsid w:val="00EF7C9C"/>
    <w:rsid w:val="00EF7D2C"/>
    <w:rsid w:val="00EF7D83"/>
    <w:rsid w:val="00EF7DB4"/>
    <w:rsid w:val="00EF7F50"/>
    <w:rsid w:val="00EF7FC5"/>
    <w:rsid w:val="00F00035"/>
    <w:rsid w:val="00F001AE"/>
    <w:rsid w:val="00F00203"/>
    <w:rsid w:val="00F003D5"/>
    <w:rsid w:val="00F00508"/>
    <w:rsid w:val="00F005F0"/>
    <w:rsid w:val="00F00798"/>
    <w:rsid w:val="00F00920"/>
    <w:rsid w:val="00F0095C"/>
    <w:rsid w:val="00F00A23"/>
    <w:rsid w:val="00F00A81"/>
    <w:rsid w:val="00F00BE2"/>
    <w:rsid w:val="00F00D2F"/>
    <w:rsid w:val="00F00D70"/>
    <w:rsid w:val="00F00DD7"/>
    <w:rsid w:val="00F00E2C"/>
    <w:rsid w:val="00F00EC7"/>
    <w:rsid w:val="00F00F93"/>
    <w:rsid w:val="00F00FBA"/>
    <w:rsid w:val="00F011CC"/>
    <w:rsid w:val="00F011F4"/>
    <w:rsid w:val="00F01245"/>
    <w:rsid w:val="00F0126E"/>
    <w:rsid w:val="00F013F8"/>
    <w:rsid w:val="00F014C5"/>
    <w:rsid w:val="00F017BA"/>
    <w:rsid w:val="00F01863"/>
    <w:rsid w:val="00F01896"/>
    <w:rsid w:val="00F01978"/>
    <w:rsid w:val="00F01A75"/>
    <w:rsid w:val="00F01D07"/>
    <w:rsid w:val="00F01DBF"/>
    <w:rsid w:val="00F01DD8"/>
    <w:rsid w:val="00F01E19"/>
    <w:rsid w:val="00F01EE1"/>
    <w:rsid w:val="00F02020"/>
    <w:rsid w:val="00F02045"/>
    <w:rsid w:val="00F020AD"/>
    <w:rsid w:val="00F02193"/>
    <w:rsid w:val="00F02195"/>
    <w:rsid w:val="00F021F0"/>
    <w:rsid w:val="00F021F1"/>
    <w:rsid w:val="00F02247"/>
    <w:rsid w:val="00F02261"/>
    <w:rsid w:val="00F023DC"/>
    <w:rsid w:val="00F0253A"/>
    <w:rsid w:val="00F02584"/>
    <w:rsid w:val="00F02661"/>
    <w:rsid w:val="00F02752"/>
    <w:rsid w:val="00F02889"/>
    <w:rsid w:val="00F028A2"/>
    <w:rsid w:val="00F02901"/>
    <w:rsid w:val="00F02AF6"/>
    <w:rsid w:val="00F02D20"/>
    <w:rsid w:val="00F02DEA"/>
    <w:rsid w:val="00F02F11"/>
    <w:rsid w:val="00F02F5A"/>
    <w:rsid w:val="00F02F86"/>
    <w:rsid w:val="00F03041"/>
    <w:rsid w:val="00F03043"/>
    <w:rsid w:val="00F0316C"/>
    <w:rsid w:val="00F03224"/>
    <w:rsid w:val="00F032E0"/>
    <w:rsid w:val="00F035B6"/>
    <w:rsid w:val="00F0366E"/>
    <w:rsid w:val="00F0382F"/>
    <w:rsid w:val="00F03925"/>
    <w:rsid w:val="00F039E9"/>
    <w:rsid w:val="00F03B38"/>
    <w:rsid w:val="00F03C5A"/>
    <w:rsid w:val="00F03CB2"/>
    <w:rsid w:val="00F03DEC"/>
    <w:rsid w:val="00F03FA0"/>
    <w:rsid w:val="00F04228"/>
    <w:rsid w:val="00F0425C"/>
    <w:rsid w:val="00F0425F"/>
    <w:rsid w:val="00F04270"/>
    <w:rsid w:val="00F04377"/>
    <w:rsid w:val="00F043FE"/>
    <w:rsid w:val="00F04520"/>
    <w:rsid w:val="00F04559"/>
    <w:rsid w:val="00F04681"/>
    <w:rsid w:val="00F048D8"/>
    <w:rsid w:val="00F04B86"/>
    <w:rsid w:val="00F04E4F"/>
    <w:rsid w:val="00F04FBB"/>
    <w:rsid w:val="00F04FE9"/>
    <w:rsid w:val="00F04FF5"/>
    <w:rsid w:val="00F0506E"/>
    <w:rsid w:val="00F050DA"/>
    <w:rsid w:val="00F05116"/>
    <w:rsid w:val="00F054ED"/>
    <w:rsid w:val="00F0556D"/>
    <w:rsid w:val="00F05580"/>
    <w:rsid w:val="00F0559F"/>
    <w:rsid w:val="00F055C3"/>
    <w:rsid w:val="00F05655"/>
    <w:rsid w:val="00F056F3"/>
    <w:rsid w:val="00F058A0"/>
    <w:rsid w:val="00F058E3"/>
    <w:rsid w:val="00F058E4"/>
    <w:rsid w:val="00F058ED"/>
    <w:rsid w:val="00F0599C"/>
    <w:rsid w:val="00F059B6"/>
    <w:rsid w:val="00F05A3B"/>
    <w:rsid w:val="00F05A7C"/>
    <w:rsid w:val="00F05BD9"/>
    <w:rsid w:val="00F05D1C"/>
    <w:rsid w:val="00F05D41"/>
    <w:rsid w:val="00F05EA5"/>
    <w:rsid w:val="00F05ECE"/>
    <w:rsid w:val="00F05F06"/>
    <w:rsid w:val="00F05F6D"/>
    <w:rsid w:val="00F05FF3"/>
    <w:rsid w:val="00F060BC"/>
    <w:rsid w:val="00F06343"/>
    <w:rsid w:val="00F06388"/>
    <w:rsid w:val="00F0639C"/>
    <w:rsid w:val="00F06482"/>
    <w:rsid w:val="00F06490"/>
    <w:rsid w:val="00F064B8"/>
    <w:rsid w:val="00F06572"/>
    <w:rsid w:val="00F065CD"/>
    <w:rsid w:val="00F065DB"/>
    <w:rsid w:val="00F0663C"/>
    <w:rsid w:val="00F0691F"/>
    <w:rsid w:val="00F069D2"/>
    <w:rsid w:val="00F069DC"/>
    <w:rsid w:val="00F06C01"/>
    <w:rsid w:val="00F06C0E"/>
    <w:rsid w:val="00F06D2E"/>
    <w:rsid w:val="00F06F79"/>
    <w:rsid w:val="00F07165"/>
    <w:rsid w:val="00F072FA"/>
    <w:rsid w:val="00F07332"/>
    <w:rsid w:val="00F07333"/>
    <w:rsid w:val="00F0746C"/>
    <w:rsid w:val="00F07530"/>
    <w:rsid w:val="00F07649"/>
    <w:rsid w:val="00F07682"/>
    <w:rsid w:val="00F0777F"/>
    <w:rsid w:val="00F077FE"/>
    <w:rsid w:val="00F07883"/>
    <w:rsid w:val="00F0793A"/>
    <w:rsid w:val="00F079C7"/>
    <w:rsid w:val="00F07CC0"/>
    <w:rsid w:val="00F07F48"/>
    <w:rsid w:val="00F10018"/>
    <w:rsid w:val="00F1011A"/>
    <w:rsid w:val="00F104D4"/>
    <w:rsid w:val="00F10591"/>
    <w:rsid w:val="00F107EB"/>
    <w:rsid w:val="00F109BA"/>
    <w:rsid w:val="00F10BD4"/>
    <w:rsid w:val="00F10C9A"/>
    <w:rsid w:val="00F10CFB"/>
    <w:rsid w:val="00F10CFC"/>
    <w:rsid w:val="00F10D08"/>
    <w:rsid w:val="00F10DFE"/>
    <w:rsid w:val="00F10E48"/>
    <w:rsid w:val="00F10E95"/>
    <w:rsid w:val="00F10E97"/>
    <w:rsid w:val="00F10F6F"/>
    <w:rsid w:val="00F10F84"/>
    <w:rsid w:val="00F10F9E"/>
    <w:rsid w:val="00F10FAD"/>
    <w:rsid w:val="00F110BB"/>
    <w:rsid w:val="00F11201"/>
    <w:rsid w:val="00F113FD"/>
    <w:rsid w:val="00F1151E"/>
    <w:rsid w:val="00F115BB"/>
    <w:rsid w:val="00F116A7"/>
    <w:rsid w:val="00F116B0"/>
    <w:rsid w:val="00F1179A"/>
    <w:rsid w:val="00F11901"/>
    <w:rsid w:val="00F11994"/>
    <w:rsid w:val="00F119EA"/>
    <w:rsid w:val="00F11AB6"/>
    <w:rsid w:val="00F11BB1"/>
    <w:rsid w:val="00F11BEB"/>
    <w:rsid w:val="00F11BF4"/>
    <w:rsid w:val="00F11C7A"/>
    <w:rsid w:val="00F11D8C"/>
    <w:rsid w:val="00F11DA5"/>
    <w:rsid w:val="00F11F3A"/>
    <w:rsid w:val="00F11FA6"/>
    <w:rsid w:val="00F11FBB"/>
    <w:rsid w:val="00F123D0"/>
    <w:rsid w:val="00F123FE"/>
    <w:rsid w:val="00F124E3"/>
    <w:rsid w:val="00F12705"/>
    <w:rsid w:val="00F127A8"/>
    <w:rsid w:val="00F1285D"/>
    <w:rsid w:val="00F128B5"/>
    <w:rsid w:val="00F1291D"/>
    <w:rsid w:val="00F12948"/>
    <w:rsid w:val="00F12A22"/>
    <w:rsid w:val="00F12BF0"/>
    <w:rsid w:val="00F12C7B"/>
    <w:rsid w:val="00F12C9F"/>
    <w:rsid w:val="00F12D69"/>
    <w:rsid w:val="00F12D6A"/>
    <w:rsid w:val="00F12E7C"/>
    <w:rsid w:val="00F12EB5"/>
    <w:rsid w:val="00F12F51"/>
    <w:rsid w:val="00F130B9"/>
    <w:rsid w:val="00F13146"/>
    <w:rsid w:val="00F1316C"/>
    <w:rsid w:val="00F13260"/>
    <w:rsid w:val="00F13280"/>
    <w:rsid w:val="00F132E1"/>
    <w:rsid w:val="00F13319"/>
    <w:rsid w:val="00F13343"/>
    <w:rsid w:val="00F13354"/>
    <w:rsid w:val="00F135C0"/>
    <w:rsid w:val="00F1363C"/>
    <w:rsid w:val="00F13831"/>
    <w:rsid w:val="00F1397F"/>
    <w:rsid w:val="00F13980"/>
    <w:rsid w:val="00F13A33"/>
    <w:rsid w:val="00F13AF9"/>
    <w:rsid w:val="00F13B1B"/>
    <w:rsid w:val="00F13B8C"/>
    <w:rsid w:val="00F13B97"/>
    <w:rsid w:val="00F13BEC"/>
    <w:rsid w:val="00F13C4F"/>
    <w:rsid w:val="00F13CBB"/>
    <w:rsid w:val="00F13DE7"/>
    <w:rsid w:val="00F13F38"/>
    <w:rsid w:val="00F13F9D"/>
    <w:rsid w:val="00F14085"/>
    <w:rsid w:val="00F140E5"/>
    <w:rsid w:val="00F14235"/>
    <w:rsid w:val="00F144D3"/>
    <w:rsid w:val="00F14538"/>
    <w:rsid w:val="00F1458D"/>
    <w:rsid w:val="00F145E2"/>
    <w:rsid w:val="00F146F5"/>
    <w:rsid w:val="00F14752"/>
    <w:rsid w:val="00F14AD9"/>
    <w:rsid w:val="00F14B68"/>
    <w:rsid w:val="00F14BBA"/>
    <w:rsid w:val="00F14D18"/>
    <w:rsid w:val="00F14DCA"/>
    <w:rsid w:val="00F14E52"/>
    <w:rsid w:val="00F14F93"/>
    <w:rsid w:val="00F14FE4"/>
    <w:rsid w:val="00F1504B"/>
    <w:rsid w:val="00F1508C"/>
    <w:rsid w:val="00F15177"/>
    <w:rsid w:val="00F151CE"/>
    <w:rsid w:val="00F15204"/>
    <w:rsid w:val="00F15306"/>
    <w:rsid w:val="00F1549D"/>
    <w:rsid w:val="00F154B9"/>
    <w:rsid w:val="00F15508"/>
    <w:rsid w:val="00F155B2"/>
    <w:rsid w:val="00F155D6"/>
    <w:rsid w:val="00F15795"/>
    <w:rsid w:val="00F159D0"/>
    <w:rsid w:val="00F15A6B"/>
    <w:rsid w:val="00F15A7C"/>
    <w:rsid w:val="00F15B5C"/>
    <w:rsid w:val="00F15C5D"/>
    <w:rsid w:val="00F15C92"/>
    <w:rsid w:val="00F16209"/>
    <w:rsid w:val="00F162A4"/>
    <w:rsid w:val="00F16315"/>
    <w:rsid w:val="00F1640D"/>
    <w:rsid w:val="00F16442"/>
    <w:rsid w:val="00F165EF"/>
    <w:rsid w:val="00F16A4E"/>
    <w:rsid w:val="00F16B9E"/>
    <w:rsid w:val="00F16DCB"/>
    <w:rsid w:val="00F16DE8"/>
    <w:rsid w:val="00F16EDE"/>
    <w:rsid w:val="00F16F56"/>
    <w:rsid w:val="00F16FD5"/>
    <w:rsid w:val="00F1703F"/>
    <w:rsid w:val="00F1710C"/>
    <w:rsid w:val="00F1738C"/>
    <w:rsid w:val="00F173F5"/>
    <w:rsid w:val="00F17459"/>
    <w:rsid w:val="00F17825"/>
    <w:rsid w:val="00F17893"/>
    <w:rsid w:val="00F17B29"/>
    <w:rsid w:val="00F17C66"/>
    <w:rsid w:val="00F17C80"/>
    <w:rsid w:val="00F17DB9"/>
    <w:rsid w:val="00F17E91"/>
    <w:rsid w:val="00F17F3B"/>
    <w:rsid w:val="00F17F99"/>
    <w:rsid w:val="00F200C8"/>
    <w:rsid w:val="00F2018B"/>
    <w:rsid w:val="00F2019A"/>
    <w:rsid w:val="00F201B5"/>
    <w:rsid w:val="00F20218"/>
    <w:rsid w:val="00F20293"/>
    <w:rsid w:val="00F202A9"/>
    <w:rsid w:val="00F2031A"/>
    <w:rsid w:val="00F20431"/>
    <w:rsid w:val="00F20577"/>
    <w:rsid w:val="00F2060B"/>
    <w:rsid w:val="00F2071E"/>
    <w:rsid w:val="00F20893"/>
    <w:rsid w:val="00F20957"/>
    <w:rsid w:val="00F20B2B"/>
    <w:rsid w:val="00F20C88"/>
    <w:rsid w:val="00F20D9A"/>
    <w:rsid w:val="00F20E4B"/>
    <w:rsid w:val="00F210D9"/>
    <w:rsid w:val="00F211E3"/>
    <w:rsid w:val="00F21303"/>
    <w:rsid w:val="00F214AC"/>
    <w:rsid w:val="00F21627"/>
    <w:rsid w:val="00F216B9"/>
    <w:rsid w:val="00F216F7"/>
    <w:rsid w:val="00F217AF"/>
    <w:rsid w:val="00F2192D"/>
    <w:rsid w:val="00F219A4"/>
    <w:rsid w:val="00F21A5C"/>
    <w:rsid w:val="00F21AB2"/>
    <w:rsid w:val="00F21AD0"/>
    <w:rsid w:val="00F21DF4"/>
    <w:rsid w:val="00F21E61"/>
    <w:rsid w:val="00F21F0C"/>
    <w:rsid w:val="00F21F31"/>
    <w:rsid w:val="00F21F6D"/>
    <w:rsid w:val="00F21F8D"/>
    <w:rsid w:val="00F2201D"/>
    <w:rsid w:val="00F220B7"/>
    <w:rsid w:val="00F22192"/>
    <w:rsid w:val="00F22200"/>
    <w:rsid w:val="00F22332"/>
    <w:rsid w:val="00F22346"/>
    <w:rsid w:val="00F224DD"/>
    <w:rsid w:val="00F22573"/>
    <w:rsid w:val="00F2268B"/>
    <w:rsid w:val="00F2275A"/>
    <w:rsid w:val="00F22881"/>
    <w:rsid w:val="00F229B3"/>
    <w:rsid w:val="00F22A66"/>
    <w:rsid w:val="00F22ADE"/>
    <w:rsid w:val="00F22B4A"/>
    <w:rsid w:val="00F22B6D"/>
    <w:rsid w:val="00F22C85"/>
    <w:rsid w:val="00F22D9B"/>
    <w:rsid w:val="00F22E4F"/>
    <w:rsid w:val="00F22FB2"/>
    <w:rsid w:val="00F230A3"/>
    <w:rsid w:val="00F2311E"/>
    <w:rsid w:val="00F23157"/>
    <w:rsid w:val="00F23357"/>
    <w:rsid w:val="00F233A4"/>
    <w:rsid w:val="00F2360D"/>
    <w:rsid w:val="00F2373D"/>
    <w:rsid w:val="00F237D1"/>
    <w:rsid w:val="00F237F2"/>
    <w:rsid w:val="00F23838"/>
    <w:rsid w:val="00F238F4"/>
    <w:rsid w:val="00F23996"/>
    <w:rsid w:val="00F239A9"/>
    <w:rsid w:val="00F239EF"/>
    <w:rsid w:val="00F23ABF"/>
    <w:rsid w:val="00F23B7B"/>
    <w:rsid w:val="00F23BAC"/>
    <w:rsid w:val="00F23C67"/>
    <w:rsid w:val="00F23C8B"/>
    <w:rsid w:val="00F23D23"/>
    <w:rsid w:val="00F23D46"/>
    <w:rsid w:val="00F23D9B"/>
    <w:rsid w:val="00F23E55"/>
    <w:rsid w:val="00F2401F"/>
    <w:rsid w:val="00F2412A"/>
    <w:rsid w:val="00F24640"/>
    <w:rsid w:val="00F249D8"/>
    <w:rsid w:val="00F24A5F"/>
    <w:rsid w:val="00F24B73"/>
    <w:rsid w:val="00F24B87"/>
    <w:rsid w:val="00F24D4C"/>
    <w:rsid w:val="00F24E07"/>
    <w:rsid w:val="00F24EA2"/>
    <w:rsid w:val="00F24F9C"/>
    <w:rsid w:val="00F250BD"/>
    <w:rsid w:val="00F25124"/>
    <w:rsid w:val="00F251B9"/>
    <w:rsid w:val="00F251EB"/>
    <w:rsid w:val="00F252EA"/>
    <w:rsid w:val="00F25372"/>
    <w:rsid w:val="00F25406"/>
    <w:rsid w:val="00F25427"/>
    <w:rsid w:val="00F254C1"/>
    <w:rsid w:val="00F254ED"/>
    <w:rsid w:val="00F256EB"/>
    <w:rsid w:val="00F2574D"/>
    <w:rsid w:val="00F25750"/>
    <w:rsid w:val="00F2576D"/>
    <w:rsid w:val="00F258DF"/>
    <w:rsid w:val="00F258E9"/>
    <w:rsid w:val="00F258F6"/>
    <w:rsid w:val="00F25A2C"/>
    <w:rsid w:val="00F25AC2"/>
    <w:rsid w:val="00F25AE6"/>
    <w:rsid w:val="00F25B1D"/>
    <w:rsid w:val="00F25B71"/>
    <w:rsid w:val="00F25D3A"/>
    <w:rsid w:val="00F25E43"/>
    <w:rsid w:val="00F25E82"/>
    <w:rsid w:val="00F25EFF"/>
    <w:rsid w:val="00F25FF7"/>
    <w:rsid w:val="00F2604B"/>
    <w:rsid w:val="00F260F8"/>
    <w:rsid w:val="00F2629A"/>
    <w:rsid w:val="00F26614"/>
    <w:rsid w:val="00F26629"/>
    <w:rsid w:val="00F26642"/>
    <w:rsid w:val="00F26787"/>
    <w:rsid w:val="00F26847"/>
    <w:rsid w:val="00F2696F"/>
    <w:rsid w:val="00F269F9"/>
    <w:rsid w:val="00F26A2A"/>
    <w:rsid w:val="00F26A9A"/>
    <w:rsid w:val="00F26C34"/>
    <w:rsid w:val="00F26CBB"/>
    <w:rsid w:val="00F26D8C"/>
    <w:rsid w:val="00F26DAE"/>
    <w:rsid w:val="00F26FE8"/>
    <w:rsid w:val="00F2701D"/>
    <w:rsid w:val="00F2718E"/>
    <w:rsid w:val="00F273DD"/>
    <w:rsid w:val="00F2742B"/>
    <w:rsid w:val="00F275C0"/>
    <w:rsid w:val="00F276F6"/>
    <w:rsid w:val="00F27723"/>
    <w:rsid w:val="00F2784F"/>
    <w:rsid w:val="00F278AC"/>
    <w:rsid w:val="00F2798E"/>
    <w:rsid w:val="00F27AA3"/>
    <w:rsid w:val="00F27B8F"/>
    <w:rsid w:val="00F27BDD"/>
    <w:rsid w:val="00F27BEE"/>
    <w:rsid w:val="00F27BFF"/>
    <w:rsid w:val="00F27D7B"/>
    <w:rsid w:val="00F27E1D"/>
    <w:rsid w:val="00F27E7A"/>
    <w:rsid w:val="00F27F33"/>
    <w:rsid w:val="00F3015B"/>
    <w:rsid w:val="00F303B7"/>
    <w:rsid w:val="00F304D5"/>
    <w:rsid w:val="00F304FF"/>
    <w:rsid w:val="00F3057F"/>
    <w:rsid w:val="00F305F6"/>
    <w:rsid w:val="00F306EA"/>
    <w:rsid w:val="00F308C0"/>
    <w:rsid w:val="00F3094F"/>
    <w:rsid w:val="00F309FB"/>
    <w:rsid w:val="00F30A09"/>
    <w:rsid w:val="00F30A72"/>
    <w:rsid w:val="00F30AED"/>
    <w:rsid w:val="00F30C32"/>
    <w:rsid w:val="00F30C6C"/>
    <w:rsid w:val="00F30CA7"/>
    <w:rsid w:val="00F30CF5"/>
    <w:rsid w:val="00F30DEC"/>
    <w:rsid w:val="00F30F3D"/>
    <w:rsid w:val="00F30F7B"/>
    <w:rsid w:val="00F31136"/>
    <w:rsid w:val="00F312C0"/>
    <w:rsid w:val="00F313AC"/>
    <w:rsid w:val="00F3155A"/>
    <w:rsid w:val="00F31595"/>
    <w:rsid w:val="00F31675"/>
    <w:rsid w:val="00F318A9"/>
    <w:rsid w:val="00F318CD"/>
    <w:rsid w:val="00F31943"/>
    <w:rsid w:val="00F319F3"/>
    <w:rsid w:val="00F31A01"/>
    <w:rsid w:val="00F31D5A"/>
    <w:rsid w:val="00F31EE6"/>
    <w:rsid w:val="00F31F04"/>
    <w:rsid w:val="00F31F8C"/>
    <w:rsid w:val="00F320DD"/>
    <w:rsid w:val="00F3219F"/>
    <w:rsid w:val="00F321DB"/>
    <w:rsid w:val="00F32203"/>
    <w:rsid w:val="00F32283"/>
    <w:rsid w:val="00F322C9"/>
    <w:rsid w:val="00F323EF"/>
    <w:rsid w:val="00F32667"/>
    <w:rsid w:val="00F326A1"/>
    <w:rsid w:val="00F32770"/>
    <w:rsid w:val="00F327B6"/>
    <w:rsid w:val="00F328FC"/>
    <w:rsid w:val="00F32970"/>
    <w:rsid w:val="00F32985"/>
    <w:rsid w:val="00F329C0"/>
    <w:rsid w:val="00F32A35"/>
    <w:rsid w:val="00F32A8F"/>
    <w:rsid w:val="00F32AC1"/>
    <w:rsid w:val="00F32BC0"/>
    <w:rsid w:val="00F32C53"/>
    <w:rsid w:val="00F32C7A"/>
    <w:rsid w:val="00F32D6F"/>
    <w:rsid w:val="00F32D99"/>
    <w:rsid w:val="00F32E1F"/>
    <w:rsid w:val="00F32F3B"/>
    <w:rsid w:val="00F3304A"/>
    <w:rsid w:val="00F33081"/>
    <w:rsid w:val="00F33121"/>
    <w:rsid w:val="00F3313A"/>
    <w:rsid w:val="00F3357B"/>
    <w:rsid w:val="00F33926"/>
    <w:rsid w:val="00F3392A"/>
    <w:rsid w:val="00F33956"/>
    <w:rsid w:val="00F33996"/>
    <w:rsid w:val="00F33A31"/>
    <w:rsid w:val="00F33A9B"/>
    <w:rsid w:val="00F33B70"/>
    <w:rsid w:val="00F33BD0"/>
    <w:rsid w:val="00F33C5B"/>
    <w:rsid w:val="00F33C77"/>
    <w:rsid w:val="00F33C82"/>
    <w:rsid w:val="00F33CCF"/>
    <w:rsid w:val="00F33D34"/>
    <w:rsid w:val="00F33DA3"/>
    <w:rsid w:val="00F34064"/>
    <w:rsid w:val="00F3408D"/>
    <w:rsid w:val="00F3408E"/>
    <w:rsid w:val="00F34157"/>
    <w:rsid w:val="00F34189"/>
    <w:rsid w:val="00F341C9"/>
    <w:rsid w:val="00F3425B"/>
    <w:rsid w:val="00F342F2"/>
    <w:rsid w:val="00F343A8"/>
    <w:rsid w:val="00F343D0"/>
    <w:rsid w:val="00F34426"/>
    <w:rsid w:val="00F3447B"/>
    <w:rsid w:val="00F345C8"/>
    <w:rsid w:val="00F3461F"/>
    <w:rsid w:val="00F3469C"/>
    <w:rsid w:val="00F3478F"/>
    <w:rsid w:val="00F3485F"/>
    <w:rsid w:val="00F34894"/>
    <w:rsid w:val="00F349ED"/>
    <w:rsid w:val="00F34A08"/>
    <w:rsid w:val="00F34AB4"/>
    <w:rsid w:val="00F34AF2"/>
    <w:rsid w:val="00F34CE5"/>
    <w:rsid w:val="00F34CEB"/>
    <w:rsid w:val="00F34DCF"/>
    <w:rsid w:val="00F34DFB"/>
    <w:rsid w:val="00F34E85"/>
    <w:rsid w:val="00F34F30"/>
    <w:rsid w:val="00F34F9E"/>
    <w:rsid w:val="00F350F2"/>
    <w:rsid w:val="00F3525D"/>
    <w:rsid w:val="00F35289"/>
    <w:rsid w:val="00F354AE"/>
    <w:rsid w:val="00F35663"/>
    <w:rsid w:val="00F356BC"/>
    <w:rsid w:val="00F3573D"/>
    <w:rsid w:val="00F35930"/>
    <w:rsid w:val="00F359C3"/>
    <w:rsid w:val="00F35A6C"/>
    <w:rsid w:val="00F35A95"/>
    <w:rsid w:val="00F35AE6"/>
    <w:rsid w:val="00F35BCB"/>
    <w:rsid w:val="00F35C02"/>
    <w:rsid w:val="00F35CE6"/>
    <w:rsid w:val="00F35EE5"/>
    <w:rsid w:val="00F362D5"/>
    <w:rsid w:val="00F362DC"/>
    <w:rsid w:val="00F3632E"/>
    <w:rsid w:val="00F36380"/>
    <w:rsid w:val="00F36452"/>
    <w:rsid w:val="00F364F6"/>
    <w:rsid w:val="00F36561"/>
    <w:rsid w:val="00F365BD"/>
    <w:rsid w:val="00F365EA"/>
    <w:rsid w:val="00F366A5"/>
    <w:rsid w:val="00F36775"/>
    <w:rsid w:val="00F36A97"/>
    <w:rsid w:val="00F36BD7"/>
    <w:rsid w:val="00F36C51"/>
    <w:rsid w:val="00F36FCD"/>
    <w:rsid w:val="00F37024"/>
    <w:rsid w:val="00F37075"/>
    <w:rsid w:val="00F370E9"/>
    <w:rsid w:val="00F371A1"/>
    <w:rsid w:val="00F37249"/>
    <w:rsid w:val="00F37343"/>
    <w:rsid w:val="00F37493"/>
    <w:rsid w:val="00F375E5"/>
    <w:rsid w:val="00F37656"/>
    <w:rsid w:val="00F37749"/>
    <w:rsid w:val="00F37825"/>
    <w:rsid w:val="00F378B8"/>
    <w:rsid w:val="00F378DD"/>
    <w:rsid w:val="00F379C7"/>
    <w:rsid w:val="00F37B2B"/>
    <w:rsid w:val="00F37BEA"/>
    <w:rsid w:val="00F37E14"/>
    <w:rsid w:val="00F37E1F"/>
    <w:rsid w:val="00F37EE9"/>
    <w:rsid w:val="00F37F3C"/>
    <w:rsid w:val="00F37FD0"/>
    <w:rsid w:val="00F40019"/>
    <w:rsid w:val="00F4005C"/>
    <w:rsid w:val="00F40295"/>
    <w:rsid w:val="00F402C0"/>
    <w:rsid w:val="00F4037D"/>
    <w:rsid w:val="00F4068E"/>
    <w:rsid w:val="00F40767"/>
    <w:rsid w:val="00F40827"/>
    <w:rsid w:val="00F409CC"/>
    <w:rsid w:val="00F40B0D"/>
    <w:rsid w:val="00F40B6B"/>
    <w:rsid w:val="00F40BBB"/>
    <w:rsid w:val="00F40C39"/>
    <w:rsid w:val="00F40CCF"/>
    <w:rsid w:val="00F40E73"/>
    <w:rsid w:val="00F40E86"/>
    <w:rsid w:val="00F40EA0"/>
    <w:rsid w:val="00F40F1A"/>
    <w:rsid w:val="00F40F92"/>
    <w:rsid w:val="00F40FB5"/>
    <w:rsid w:val="00F4109C"/>
    <w:rsid w:val="00F41216"/>
    <w:rsid w:val="00F41222"/>
    <w:rsid w:val="00F4142C"/>
    <w:rsid w:val="00F4144E"/>
    <w:rsid w:val="00F41561"/>
    <w:rsid w:val="00F41565"/>
    <w:rsid w:val="00F415B8"/>
    <w:rsid w:val="00F415D5"/>
    <w:rsid w:val="00F41877"/>
    <w:rsid w:val="00F41923"/>
    <w:rsid w:val="00F4196F"/>
    <w:rsid w:val="00F41AF4"/>
    <w:rsid w:val="00F41AFB"/>
    <w:rsid w:val="00F41B7E"/>
    <w:rsid w:val="00F41CF7"/>
    <w:rsid w:val="00F41D05"/>
    <w:rsid w:val="00F41EE3"/>
    <w:rsid w:val="00F41EFF"/>
    <w:rsid w:val="00F42038"/>
    <w:rsid w:val="00F420AF"/>
    <w:rsid w:val="00F420F5"/>
    <w:rsid w:val="00F4213E"/>
    <w:rsid w:val="00F42197"/>
    <w:rsid w:val="00F42279"/>
    <w:rsid w:val="00F42305"/>
    <w:rsid w:val="00F4241A"/>
    <w:rsid w:val="00F42493"/>
    <w:rsid w:val="00F42621"/>
    <w:rsid w:val="00F42646"/>
    <w:rsid w:val="00F42824"/>
    <w:rsid w:val="00F42860"/>
    <w:rsid w:val="00F428F3"/>
    <w:rsid w:val="00F42A09"/>
    <w:rsid w:val="00F42BE9"/>
    <w:rsid w:val="00F42D3A"/>
    <w:rsid w:val="00F42DD8"/>
    <w:rsid w:val="00F42E76"/>
    <w:rsid w:val="00F42FF8"/>
    <w:rsid w:val="00F43055"/>
    <w:rsid w:val="00F43071"/>
    <w:rsid w:val="00F43077"/>
    <w:rsid w:val="00F4316E"/>
    <w:rsid w:val="00F43221"/>
    <w:rsid w:val="00F43251"/>
    <w:rsid w:val="00F432EB"/>
    <w:rsid w:val="00F436BD"/>
    <w:rsid w:val="00F43884"/>
    <w:rsid w:val="00F4389F"/>
    <w:rsid w:val="00F438C3"/>
    <w:rsid w:val="00F438EC"/>
    <w:rsid w:val="00F4394E"/>
    <w:rsid w:val="00F4395D"/>
    <w:rsid w:val="00F43982"/>
    <w:rsid w:val="00F439DB"/>
    <w:rsid w:val="00F43A13"/>
    <w:rsid w:val="00F43A5B"/>
    <w:rsid w:val="00F43A9F"/>
    <w:rsid w:val="00F43B16"/>
    <w:rsid w:val="00F43CA5"/>
    <w:rsid w:val="00F43E5F"/>
    <w:rsid w:val="00F43ED2"/>
    <w:rsid w:val="00F43F1E"/>
    <w:rsid w:val="00F43F65"/>
    <w:rsid w:val="00F43FE5"/>
    <w:rsid w:val="00F43FE7"/>
    <w:rsid w:val="00F44034"/>
    <w:rsid w:val="00F44118"/>
    <w:rsid w:val="00F441C5"/>
    <w:rsid w:val="00F441EF"/>
    <w:rsid w:val="00F442D7"/>
    <w:rsid w:val="00F4433A"/>
    <w:rsid w:val="00F44488"/>
    <w:rsid w:val="00F4450D"/>
    <w:rsid w:val="00F44587"/>
    <w:rsid w:val="00F4467B"/>
    <w:rsid w:val="00F44687"/>
    <w:rsid w:val="00F44906"/>
    <w:rsid w:val="00F4499E"/>
    <w:rsid w:val="00F449CF"/>
    <w:rsid w:val="00F44A10"/>
    <w:rsid w:val="00F44A1C"/>
    <w:rsid w:val="00F44B6E"/>
    <w:rsid w:val="00F44BF8"/>
    <w:rsid w:val="00F44CBD"/>
    <w:rsid w:val="00F44E4F"/>
    <w:rsid w:val="00F44F33"/>
    <w:rsid w:val="00F4511D"/>
    <w:rsid w:val="00F45258"/>
    <w:rsid w:val="00F452C2"/>
    <w:rsid w:val="00F4539E"/>
    <w:rsid w:val="00F453EF"/>
    <w:rsid w:val="00F454AF"/>
    <w:rsid w:val="00F454F7"/>
    <w:rsid w:val="00F4581B"/>
    <w:rsid w:val="00F459AF"/>
    <w:rsid w:val="00F45A2D"/>
    <w:rsid w:val="00F45AA4"/>
    <w:rsid w:val="00F45B67"/>
    <w:rsid w:val="00F45C0F"/>
    <w:rsid w:val="00F45D48"/>
    <w:rsid w:val="00F45D82"/>
    <w:rsid w:val="00F45D9E"/>
    <w:rsid w:val="00F45DBC"/>
    <w:rsid w:val="00F45EE1"/>
    <w:rsid w:val="00F45F73"/>
    <w:rsid w:val="00F45FFD"/>
    <w:rsid w:val="00F46001"/>
    <w:rsid w:val="00F46108"/>
    <w:rsid w:val="00F4614C"/>
    <w:rsid w:val="00F4621E"/>
    <w:rsid w:val="00F46268"/>
    <w:rsid w:val="00F46478"/>
    <w:rsid w:val="00F46492"/>
    <w:rsid w:val="00F465DE"/>
    <w:rsid w:val="00F46683"/>
    <w:rsid w:val="00F46727"/>
    <w:rsid w:val="00F46797"/>
    <w:rsid w:val="00F46CB7"/>
    <w:rsid w:val="00F46DD2"/>
    <w:rsid w:val="00F46E61"/>
    <w:rsid w:val="00F46E8B"/>
    <w:rsid w:val="00F46FAA"/>
    <w:rsid w:val="00F47056"/>
    <w:rsid w:val="00F476D3"/>
    <w:rsid w:val="00F47721"/>
    <w:rsid w:val="00F47868"/>
    <w:rsid w:val="00F47AB1"/>
    <w:rsid w:val="00F47CE5"/>
    <w:rsid w:val="00F47E3E"/>
    <w:rsid w:val="00F47FA0"/>
    <w:rsid w:val="00F47FB2"/>
    <w:rsid w:val="00F47FBF"/>
    <w:rsid w:val="00F47FC2"/>
    <w:rsid w:val="00F5007F"/>
    <w:rsid w:val="00F50103"/>
    <w:rsid w:val="00F50186"/>
    <w:rsid w:val="00F50399"/>
    <w:rsid w:val="00F50406"/>
    <w:rsid w:val="00F5052E"/>
    <w:rsid w:val="00F50673"/>
    <w:rsid w:val="00F50727"/>
    <w:rsid w:val="00F507BE"/>
    <w:rsid w:val="00F507D0"/>
    <w:rsid w:val="00F50964"/>
    <w:rsid w:val="00F509B7"/>
    <w:rsid w:val="00F509CA"/>
    <w:rsid w:val="00F50C75"/>
    <w:rsid w:val="00F50C86"/>
    <w:rsid w:val="00F50CE4"/>
    <w:rsid w:val="00F50D8B"/>
    <w:rsid w:val="00F50F2E"/>
    <w:rsid w:val="00F50F38"/>
    <w:rsid w:val="00F51020"/>
    <w:rsid w:val="00F510C3"/>
    <w:rsid w:val="00F511B8"/>
    <w:rsid w:val="00F511EB"/>
    <w:rsid w:val="00F5135F"/>
    <w:rsid w:val="00F513CC"/>
    <w:rsid w:val="00F51435"/>
    <w:rsid w:val="00F514D7"/>
    <w:rsid w:val="00F515D0"/>
    <w:rsid w:val="00F51AA2"/>
    <w:rsid w:val="00F51B74"/>
    <w:rsid w:val="00F51BD6"/>
    <w:rsid w:val="00F51BF7"/>
    <w:rsid w:val="00F51C65"/>
    <w:rsid w:val="00F5202C"/>
    <w:rsid w:val="00F522BC"/>
    <w:rsid w:val="00F52400"/>
    <w:rsid w:val="00F52536"/>
    <w:rsid w:val="00F52593"/>
    <w:rsid w:val="00F52625"/>
    <w:rsid w:val="00F5270B"/>
    <w:rsid w:val="00F52770"/>
    <w:rsid w:val="00F528F5"/>
    <w:rsid w:val="00F52934"/>
    <w:rsid w:val="00F52991"/>
    <w:rsid w:val="00F52C7B"/>
    <w:rsid w:val="00F52C8E"/>
    <w:rsid w:val="00F52E3E"/>
    <w:rsid w:val="00F52E96"/>
    <w:rsid w:val="00F52EC0"/>
    <w:rsid w:val="00F53017"/>
    <w:rsid w:val="00F53023"/>
    <w:rsid w:val="00F53065"/>
    <w:rsid w:val="00F530D9"/>
    <w:rsid w:val="00F53165"/>
    <w:rsid w:val="00F53209"/>
    <w:rsid w:val="00F5340A"/>
    <w:rsid w:val="00F534C2"/>
    <w:rsid w:val="00F534F9"/>
    <w:rsid w:val="00F53545"/>
    <w:rsid w:val="00F5359A"/>
    <w:rsid w:val="00F535AF"/>
    <w:rsid w:val="00F53652"/>
    <w:rsid w:val="00F53804"/>
    <w:rsid w:val="00F53863"/>
    <w:rsid w:val="00F53912"/>
    <w:rsid w:val="00F53C31"/>
    <w:rsid w:val="00F53DF9"/>
    <w:rsid w:val="00F53E2D"/>
    <w:rsid w:val="00F53FCD"/>
    <w:rsid w:val="00F54126"/>
    <w:rsid w:val="00F54132"/>
    <w:rsid w:val="00F5431E"/>
    <w:rsid w:val="00F54384"/>
    <w:rsid w:val="00F5449A"/>
    <w:rsid w:val="00F547E7"/>
    <w:rsid w:val="00F5484C"/>
    <w:rsid w:val="00F54861"/>
    <w:rsid w:val="00F54936"/>
    <w:rsid w:val="00F54989"/>
    <w:rsid w:val="00F54A29"/>
    <w:rsid w:val="00F54AA0"/>
    <w:rsid w:val="00F54AAD"/>
    <w:rsid w:val="00F54B46"/>
    <w:rsid w:val="00F54BD7"/>
    <w:rsid w:val="00F54C91"/>
    <w:rsid w:val="00F55038"/>
    <w:rsid w:val="00F550A8"/>
    <w:rsid w:val="00F5543C"/>
    <w:rsid w:val="00F5564D"/>
    <w:rsid w:val="00F556DD"/>
    <w:rsid w:val="00F5579F"/>
    <w:rsid w:val="00F557D7"/>
    <w:rsid w:val="00F55886"/>
    <w:rsid w:val="00F55901"/>
    <w:rsid w:val="00F55955"/>
    <w:rsid w:val="00F55976"/>
    <w:rsid w:val="00F55AB9"/>
    <w:rsid w:val="00F55BF1"/>
    <w:rsid w:val="00F55D03"/>
    <w:rsid w:val="00F55D13"/>
    <w:rsid w:val="00F55D30"/>
    <w:rsid w:val="00F55D8D"/>
    <w:rsid w:val="00F55D91"/>
    <w:rsid w:val="00F55ED4"/>
    <w:rsid w:val="00F5605C"/>
    <w:rsid w:val="00F561C1"/>
    <w:rsid w:val="00F56244"/>
    <w:rsid w:val="00F562F8"/>
    <w:rsid w:val="00F56480"/>
    <w:rsid w:val="00F5668E"/>
    <w:rsid w:val="00F5673A"/>
    <w:rsid w:val="00F567B4"/>
    <w:rsid w:val="00F567F7"/>
    <w:rsid w:val="00F56845"/>
    <w:rsid w:val="00F5696C"/>
    <w:rsid w:val="00F569AC"/>
    <w:rsid w:val="00F569BD"/>
    <w:rsid w:val="00F56A75"/>
    <w:rsid w:val="00F56B7C"/>
    <w:rsid w:val="00F56C63"/>
    <w:rsid w:val="00F56DF8"/>
    <w:rsid w:val="00F56E3A"/>
    <w:rsid w:val="00F57028"/>
    <w:rsid w:val="00F57177"/>
    <w:rsid w:val="00F57189"/>
    <w:rsid w:val="00F5719A"/>
    <w:rsid w:val="00F571A9"/>
    <w:rsid w:val="00F5723E"/>
    <w:rsid w:val="00F572A9"/>
    <w:rsid w:val="00F572AC"/>
    <w:rsid w:val="00F57395"/>
    <w:rsid w:val="00F57496"/>
    <w:rsid w:val="00F57498"/>
    <w:rsid w:val="00F575ED"/>
    <w:rsid w:val="00F575F6"/>
    <w:rsid w:val="00F57835"/>
    <w:rsid w:val="00F578AC"/>
    <w:rsid w:val="00F579BC"/>
    <w:rsid w:val="00F57AEB"/>
    <w:rsid w:val="00F57B1C"/>
    <w:rsid w:val="00F57B32"/>
    <w:rsid w:val="00F57B87"/>
    <w:rsid w:val="00F57CA6"/>
    <w:rsid w:val="00F57CC2"/>
    <w:rsid w:val="00F60131"/>
    <w:rsid w:val="00F60175"/>
    <w:rsid w:val="00F6023C"/>
    <w:rsid w:val="00F603C4"/>
    <w:rsid w:val="00F60477"/>
    <w:rsid w:val="00F60668"/>
    <w:rsid w:val="00F60701"/>
    <w:rsid w:val="00F6083F"/>
    <w:rsid w:val="00F60A6A"/>
    <w:rsid w:val="00F60B10"/>
    <w:rsid w:val="00F60C16"/>
    <w:rsid w:val="00F60CC9"/>
    <w:rsid w:val="00F60D34"/>
    <w:rsid w:val="00F60E31"/>
    <w:rsid w:val="00F60E38"/>
    <w:rsid w:val="00F61035"/>
    <w:rsid w:val="00F610F5"/>
    <w:rsid w:val="00F61142"/>
    <w:rsid w:val="00F61233"/>
    <w:rsid w:val="00F61318"/>
    <w:rsid w:val="00F61367"/>
    <w:rsid w:val="00F613FA"/>
    <w:rsid w:val="00F61472"/>
    <w:rsid w:val="00F6150F"/>
    <w:rsid w:val="00F61604"/>
    <w:rsid w:val="00F61739"/>
    <w:rsid w:val="00F6198A"/>
    <w:rsid w:val="00F619E6"/>
    <w:rsid w:val="00F61A5B"/>
    <w:rsid w:val="00F61B17"/>
    <w:rsid w:val="00F61B63"/>
    <w:rsid w:val="00F61C3A"/>
    <w:rsid w:val="00F61D2D"/>
    <w:rsid w:val="00F61D8C"/>
    <w:rsid w:val="00F61DBB"/>
    <w:rsid w:val="00F6204C"/>
    <w:rsid w:val="00F62166"/>
    <w:rsid w:val="00F621C5"/>
    <w:rsid w:val="00F623AF"/>
    <w:rsid w:val="00F62434"/>
    <w:rsid w:val="00F62456"/>
    <w:rsid w:val="00F62522"/>
    <w:rsid w:val="00F626AA"/>
    <w:rsid w:val="00F626E5"/>
    <w:rsid w:val="00F626E8"/>
    <w:rsid w:val="00F62713"/>
    <w:rsid w:val="00F6279F"/>
    <w:rsid w:val="00F62935"/>
    <w:rsid w:val="00F62B30"/>
    <w:rsid w:val="00F62B90"/>
    <w:rsid w:val="00F62C23"/>
    <w:rsid w:val="00F62D0C"/>
    <w:rsid w:val="00F62D94"/>
    <w:rsid w:val="00F62E3A"/>
    <w:rsid w:val="00F62E69"/>
    <w:rsid w:val="00F62EC0"/>
    <w:rsid w:val="00F62F0E"/>
    <w:rsid w:val="00F62FA7"/>
    <w:rsid w:val="00F6302B"/>
    <w:rsid w:val="00F63037"/>
    <w:rsid w:val="00F6313D"/>
    <w:rsid w:val="00F631AB"/>
    <w:rsid w:val="00F633BF"/>
    <w:rsid w:val="00F633D0"/>
    <w:rsid w:val="00F63434"/>
    <w:rsid w:val="00F6344E"/>
    <w:rsid w:val="00F63473"/>
    <w:rsid w:val="00F634E4"/>
    <w:rsid w:val="00F63532"/>
    <w:rsid w:val="00F636D3"/>
    <w:rsid w:val="00F6378E"/>
    <w:rsid w:val="00F6389B"/>
    <w:rsid w:val="00F639E1"/>
    <w:rsid w:val="00F63B93"/>
    <w:rsid w:val="00F63C06"/>
    <w:rsid w:val="00F63C68"/>
    <w:rsid w:val="00F63CAF"/>
    <w:rsid w:val="00F63CB2"/>
    <w:rsid w:val="00F63D92"/>
    <w:rsid w:val="00F63DC0"/>
    <w:rsid w:val="00F63DC6"/>
    <w:rsid w:val="00F63E34"/>
    <w:rsid w:val="00F63E67"/>
    <w:rsid w:val="00F63F0B"/>
    <w:rsid w:val="00F6401A"/>
    <w:rsid w:val="00F6403D"/>
    <w:rsid w:val="00F64092"/>
    <w:rsid w:val="00F641F5"/>
    <w:rsid w:val="00F6423C"/>
    <w:rsid w:val="00F64432"/>
    <w:rsid w:val="00F6446D"/>
    <w:rsid w:val="00F64539"/>
    <w:rsid w:val="00F645DB"/>
    <w:rsid w:val="00F6476C"/>
    <w:rsid w:val="00F647F3"/>
    <w:rsid w:val="00F6486A"/>
    <w:rsid w:val="00F64892"/>
    <w:rsid w:val="00F64946"/>
    <w:rsid w:val="00F6497B"/>
    <w:rsid w:val="00F64B80"/>
    <w:rsid w:val="00F64BE5"/>
    <w:rsid w:val="00F64BFB"/>
    <w:rsid w:val="00F64C2B"/>
    <w:rsid w:val="00F64E86"/>
    <w:rsid w:val="00F64F30"/>
    <w:rsid w:val="00F64F4B"/>
    <w:rsid w:val="00F64FC8"/>
    <w:rsid w:val="00F651DC"/>
    <w:rsid w:val="00F652CD"/>
    <w:rsid w:val="00F653AC"/>
    <w:rsid w:val="00F6554B"/>
    <w:rsid w:val="00F65596"/>
    <w:rsid w:val="00F655E0"/>
    <w:rsid w:val="00F65649"/>
    <w:rsid w:val="00F6565E"/>
    <w:rsid w:val="00F656AD"/>
    <w:rsid w:val="00F6576A"/>
    <w:rsid w:val="00F6584B"/>
    <w:rsid w:val="00F65861"/>
    <w:rsid w:val="00F65878"/>
    <w:rsid w:val="00F658AF"/>
    <w:rsid w:val="00F658E2"/>
    <w:rsid w:val="00F65956"/>
    <w:rsid w:val="00F6595E"/>
    <w:rsid w:val="00F65AD8"/>
    <w:rsid w:val="00F65CE0"/>
    <w:rsid w:val="00F65E68"/>
    <w:rsid w:val="00F65FE9"/>
    <w:rsid w:val="00F6613A"/>
    <w:rsid w:val="00F661DA"/>
    <w:rsid w:val="00F6631B"/>
    <w:rsid w:val="00F66339"/>
    <w:rsid w:val="00F66397"/>
    <w:rsid w:val="00F664AF"/>
    <w:rsid w:val="00F66533"/>
    <w:rsid w:val="00F66641"/>
    <w:rsid w:val="00F6670D"/>
    <w:rsid w:val="00F66955"/>
    <w:rsid w:val="00F669B4"/>
    <w:rsid w:val="00F669C3"/>
    <w:rsid w:val="00F66BD9"/>
    <w:rsid w:val="00F66CF5"/>
    <w:rsid w:val="00F66F27"/>
    <w:rsid w:val="00F6705C"/>
    <w:rsid w:val="00F67072"/>
    <w:rsid w:val="00F672EE"/>
    <w:rsid w:val="00F67318"/>
    <w:rsid w:val="00F67332"/>
    <w:rsid w:val="00F67342"/>
    <w:rsid w:val="00F674F1"/>
    <w:rsid w:val="00F674FC"/>
    <w:rsid w:val="00F6786A"/>
    <w:rsid w:val="00F6787D"/>
    <w:rsid w:val="00F678CC"/>
    <w:rsid w:val="00F67999"/>
    <w:rsid w:val="00F679AA"/>
    <w:rsid w:val="00F679AB"/>
    <w:rsid w:val="00F67A5B"/>
    <w:rsid w:val="00F67AF3"/>
    <w:rsid w:val="00F67AFF"/>
    <w:rsid w:val="00F67B65"/>
    <w:rsid w:val="00F67BEA"/>
    <w:rsid w:val="00F67E6A"/>
    <w:rsid w:val="00F67F4E"/>
    <w:rsid w:val="00F7019E"/>
    <w:rsid w:val="00F702F5"/>
    <w:rsid w:val="00F70484"/>
    <w:rsid w:val="00F70510"/>
    <w:rsid w:val="00F705AA"/>
    <w:rsid w:val="00F7061F"/>
    <w:rsid w:val="00F70632"/>
    <w:rsid w:val="00F706B4"/>
    <w:rsid w:val="00F70704"/>
    <w:rsid w:val="00F70723"/>
    <w:rsid w:val="00F70843"/>
    <w:rsid w:val="00F70A14"/>
    <w:rsid w:val="00F70B13"/>
    <w:rsid w:val="00F70BC5"/>
    <w:rsid w:val="00F70CEC"/>
    <w:rsid w:val="00F70DBA"/>
    <w:rsid w:val="00F70DFD"/>
    <w:rsid w:val="00F70E0F"/>
    <w:rsid w:val="00F70EF1"/>
    <w:rsid w:val="00F71130"/>
    <w:rsid w:val="00F7116F"/>
    <w:rsid w:val="00F711D7"/>
    <w:rsid w:val="00F713C4"/>
    <w:rsid w:val="00F716C0"/>
    <w:rsid w:val="00F7176E"/>
    <w:rsid w:val="00F71A21"/>
    <w:rsid w:val="00F71A56"/>
    <w:rsid w:val="00F71BEE"/>
    <w:rsid w:val="00F71C3A"/>
    <w:rsid w:val="00F71E40"/>
    <w:rsid w:val="00F71FF9"/>
    <w:rsid w:val="00F7208C"/>
    <w:rsid w:val="00F72297"/>
    <w:rsid w:val="00F7229A"/>
    <w:rsid w:val="00F722BF"/>
    <w:rsid w:val="00F72560"/>
    <w:rsid w:val="00F725DB"/>
    <w:rsid w:val="00F7275F"/>
    <w:rsid w:val="00F72954"/>
    <w:rsid w:val="00F7296C"/>
    <w:rsid w:val="00F7296D"/>
    <w:rsid w:val="00F72A1A"/>
    <w:rsid w:val="00F72EE0"/>
    <w:rsid w:val="00F72FFC"/>
    <w:rsid w:val="00F73212"/>
    <w:rsid w:val="00F7323C"/>
    <w:rsid w:val="00F732E1"/>
    <w:rsid w:val="00F73420"/>
    <w:rsid w:val="00F735B9"/>
    <w:rsid w:val="00F735ED"/>
    <w:rsid w:val="00F73698"/>
    <w:rsid w:val="00F736A7"/>
    <w:rsid w:val="00F73959"/>
    <w:rsid w:val="00F739EE"/>
    <w:rsid w:val="00F73AFA"/>
    <w:rsid w:val="00F73D75"/>
    <w:rsid w:val="00F73E69"/>
    <w:rsid w:val="00F73FF8"/>
    <w:rsid w:val="00F740D4"/>
    <w:rsid w:val="00F74151"/>
    <w:rsid w:val="00F74168"/>
    <w:rsid w:val="00F74282"/>
    <w:rsid w:val="00F74449"/>
    <w:rsid w:val="00F74516"/>
    <w:rsid w:val="00F745A9"/>
    <w:rsid w:val="00F745F4"/>
    <w:rsid w:val="00F74605"/>
    <w:rsid w:val="00F74691"/>
    <w:rsid w:val="00F7477A"/>
    <w:rsid w:val="00F74886"/>
    <w:rsid w:val="00F748F6"/>
    <w:rsid w:val="00F74B6C"/>
    <w:rsid w:val="00F74BB2"/>
    <w:rsid w:val="00F74C20"/>
    <w:rsid w:val="00F74DB7"/>
    <w:rsid w:val="00F74DD7"/>
    <w:rsid w:val="00F74E81"/>
    <w:rsid w:val="00F74E88"/>
    <w:rsid w:val="00F74F93"/>
    <w:rsid w:val="00F75139"/>
    <w:rsid w:val="00F75231"/>
    <w:rsid w:val="00F75435"/>
    <w:rsid w:val="00F754A5"/>
    <w:rsid w:val="00F7556F"/>
    <w:rsid w:val="00F75665"/>
    <w:rsid w:val="00F757D3"/>
    <w:rsid w:val="00F757E6"/>
    <w:rsid w:val="00F75815"/>
    <w:rsid w:val="00F759D5"/>
    <w:rsid w:val="00F759D6"/>
    <w:rsid w:val="00F75BAA"/>
    <w:rsid w:val="00F75CE7"/>
    <w:rsid w:val="00F75F27"/>
    <w:rsid w:val="00F75F31"/>
    <w:rsid w:val="00F75FC9"/>
    <w:rsid w:val="00F760DB"/>
    <w:rsid w:val="00F7614F"/>
    <w:rsid w:val="00F762BB"/>
    <w:rsid w:val="00F76383"/>
    <w:rsid w:val="00F763F7"/>
    <w:rsid w:val="00F765FC"/>
    <w:rsid w:val="00F7665F"/>
    <w:rsid w:val="00F766A6"/>
    <w:rsid w:val="00F767A6"/>
    <w:rsid w:val="00F767B7"/>
    <w:rsid w:val="00F7691A"/>
    <w:rsid w:val="00F76A67"/>
    <w:rsid w:val="00F76BAF"/>
    <w:rsid w:val="00F76C21"/>
    <w:rsid w:val="00F76C39"/>
    <w:rsid w:val="00F76D02"/>
    <w:rsid w:val="00F76DB1"/>
    <w:rsid w:val="00F76E24"/>
    <w:rsid w:val="00F76ED8"/>
    <w:rsid w:val="00F7730B"/>
    <w:rsid w:val="00F77370"/>
    <w:rsid w:val="00F774CE"/>
    <w:rsid w:val="00F77545"/>
    <w:rsid w:val="00F775CB"/>
    <w:rsid w:val="00F77677"/>
    <w:rsid w:val="00F7773C"/>
    <w:rsid w:val="00F7785B"/>
    <w:rsid w:val="00F778F9"/>
    <w:rsid w:val="00F77984"/>
    <w:rsid w:val="00F77B81"/>
    <w:rsid w:val="00F77B8B"/>
    <w:rsid w:val="00F77CC4"/>
    <w:rsid w:val="00F77DDA"/>
    <w:rsid w:val="00F77E3B"/>
    <w:rsid w:val="00F77E41"/>
    <w:rsid w:val="00F77E60"/>
    <w:rsid w:val="00F801D2"/>
    <w:rsid w:val="00F801DE"/>
    <w:rsid w:val="00F801EA"/>
    <w:rsid w:val="00F80236"/>
    <w:rsid w:val="00F8025E"/>
    <w:rsid w:val="00F80393"/>
    <w:rsid w:val="00F803B2"/>
    <w:rsid w:val="00F804A9"/>
    <w:rsid w:val="00F80529"/>
    <w:rsid w:val="00F8058F"/>
    <w:rsid w:val="00F8060B"/>
    <w:rsid w:val="00F80647"/>
    <w:rsid w:val="00F806E0"/>
    <w:rsid w:val="00F80726"/>
    <w:rsid w:val="00F80740"/>
    <w:rsid w:val="00F807F5"/>
    <w:rsid w:val="00F808E8"/>
    <w:rsid w:val="00F8092E"/>
    <w:rsid w:val="00F809E9"/>
    <w:rsid w:val="00F80A0A"/>
    <w:rsid w:val="00F80A76"/>
    <w:rsid w:val="00F80AB8"/>
    <w:rsid w:val="00F80B5A"/>
    <w:rsid w:val="00F80C05"/>
    <w:rsid w:val="00F80C08"/>
    <w:rsid w:val="00F80CC3"/>
    <w:rsid w:val="00F80F10"/>
    <w:rsid w:val="00F80F46"/>
    <w:rsid w:val="00F81032"/>
    <w:rsid w:val="00F810E5"/>
    <w:rsid w:val="00F812B5"/>
    <w:rsid w:val="00F812CF"/>
    <w:rsid w:val="00F81324"/>
    <w:rsid w:val="00F813AA"/>
    <w:rsid w:val="00F816D7"/>
    <w:rsid w:val="00F817DC"/>
    <w:rsid w:val="00F81976"/>
    <w:rsid w:val="00F819C9"/>
    <w:rsid w:val="00F81A16"/>
    <w:rsid w:val="00F81A89"/>
    <w:rsid w:val="00F81AD0"/>
    <w:rsid w:val="00F81B63"/>
    <w:rsid w:val="00F81BBD"/>
    <w:rsid w:val="00F81D91"/>
    <w:rsid w:val="00F81DBC"/>
    <w:rsid w:val="00F81E62"/>
    <w:rsid w:val="00F81FDD"/>
    <w:rsid w:val="00F81FF5"/>
    <w:rsid w:val="00F8206E"/>
    <w:rsid w:val="00F82275"/>
    <w:rsid w:val="00F823CF"/>
    <w:rsid w:val="00F8250A"/>
    <w:rsid w:val="00F82559"/>
    <w:rsid w:val="00F82776"/>
    <w:rsid w:val="00F828D8"/>
    <w:rsid w:val="00F828F0"/>
    <w:rsid w:val="00F829EC"/>
    <w:rsid w:val="00F82A53"/>
    <w:rsid w:val="00F82A71"/>
    <w:rsid w:val="00F82B79"/>
    <w:rsid w:val="00F82C25"/>
    <w:rsid w:val="00F82C3F"/>
    <w:rsid w:val="00F82CE9"/>
    <w:rsid w:val="00F831BD"/>
    <w:rsid w:val="00F833A5"/>
    <w:rsid w:val="00F833B8"/>
    <w:rsid w:val="00F83480"/>
    <w:rsid w:val="00F83500"/>
    <w:rsid w:val="00F83523"/>
    <w:rsid w:val="00F83534"/>
    <w:rsid w:val="00F83555"/>
    <w:rsid w:val="00F83776"/>
    <w:rsid w:val="00F8387D"/>
    <w:rsid w:val="00F838F4"/>
    <w:rsid w:val="00F83A68"/>
    <w:rsid w:val="00F83AC9"/>
    <w:rsid w:val="00F83C07"/>
    <w:rsid w:val="00F83CB3"/>
    <w:rsid w:val="00F83CD2"/>
    <w:rsid w:val="00F83D44"/>
    <w:rsid w:val="00F83E05"/>
    <w:rsid w:val="00F83EAC"/>
    <w:rsid w:val="00F83F39"/>
    <w:rsid w:val="00F84091"/>
    <w:rsid w:val="00F84154"/>
    <w:rsid w:val="00F84182"/>
    <w:rsid w:val="00F8433E"/>
    <w:rsid w:val="00F84354"/>
    <w:rsid w:val="00F845FC"/>
    <w:rsid w:val="00F84605"/>
    <w:rsid w:val="00F8460D"/>
    <w:rsid w:val="00F84747"/>
    <w:rsid w:val="00F84866"/>
    <w:rsid w:val="00F848D0"/>
    <w:rsid w:val="00F84BB4"/>
    <w:rsid w:val="00F84CD2"/>
    <w:rsid w:val="00F84D7D"/>
    <w:rsid w:val="00F84D8B"/>
    <w:rsid w:val="00F84DBC"/>
    <w:rsid w:val="00F84DF1"/>
    <w:rsid w:val="00F84E26"/>
    <w:rsid w:val="00F84F84"/>
    <w:rsid w:val="00F84FE7"/>
    <w:rsid w:val="00F85052"/>
    <w:rsid w:val="00F85186"/>
    <w:rsid w:val="00F8518F"/>
    <w:rsid w:val="00F85387"/>
    <w:rsid w:val="00F85389"/>
    <w:rsid w:val="00F8548A"/>
    <w:rsid w:val="00F85562"/>
    <w:rsid w:val="00F856E2"/>
    <w:rsid w:val="00F857D0"/>
    <w:rsid w:val="00F8598C"/>
    <w:rsid w:val="00F85A19"/>
    <w:rsid w:val="00F85A3C"/>
    <w:rsid w:val="00F85A53"/>
    <w:rsid w:val="00F85CB8"/>
    <w:rsid w:val="00F85CDA"/>
    <w:rsid w:val="00F85DB2"/>
    <w:rsid w:val="00F85E4B"/>
    <w:rsid w:val="00F85E4F"/>
    <w:rsid w:val="00F85E5C"/>
    <w:rsid w:val="00F85EB8"/>
    <w:rsid w:val="00F85F24"/>
    <w:rsid w:val="00F8607D"/>
    <w:rsid w:val="00F8618E"/>
    <w:rsid w:val="00F862A6"/>
    <w:rsid w:val="00F862C3"/>
    <w:rsid w:val="00F863E0"/>
    <w:rsid w:val="00F867AF"/>
    <w:rsid w:val="00F867EB"/>
    <w:rsid w:val="00F869B7"/>
    <w:rsid w:val="00F86E3A"/>
    <w:rsid w:val="00F86F28"/>
    <w:rsid w:val="00F86F4E"/>
    <w:rsid w:val="00F86F77"/>
    <w:rsid w:val="00F87058"/>
    <w:rsid w:val="00F8732D"/>
    <w:rsid w:val="00F8740C"/>
    <w:rsid w:val="00F87793"/>
    <w:rsid w:val="00F877EB"/>
    <w:rsid w:val="00F87892"/>
    <w:rsid w:val="00F87928"/>
    <w:rsid w:val="00F87AB4"/>
    <w:rsid w:val="00F87AD6"/>
    <w:rsid w:val="00F87C36"/>
    <w:rsid w:val="00F87C43"/>
    <w:rsid w:val="00F87C6A"/>
    <w:rsid w:val="00F87C90"/>
    <w:rsid w:val="00F87DAA"/>
    <w:rsid w:val="00F87E33"/>
    <w:rsid w:val="00F87ECB"/>
    <w:rsid w:val="00F90000"/>
    <w:rsid w:val="00F9000D"/>
    <w:rsid w:val="00F9006E"/>
    <w:rsid w:val="00F900A0"/>
    <w:rsid w:val="00F900AE"/>
    <w:rsid w:val="00F9020F"/>
    <w:rsid w:val="00F9052E"/>
    <w:rsid w:val="00F90630"/>
    <w:rsid w:val="00F90687"/>
    <w:rsid w:val="00F906DA"/>
    <w:rsid w:val="00F9091D"/>
    <w:rsid w:val="00F90936"/>
    <w:rsid w:val="00F909A4"/>
    <w:rsid w:val="00F90A74"/>
    <w:rsid w:val="00F90BCC"/>
    <w:rsid w:val="00F90C30"/>
    <w:rsid w:val="00F90C52"/>
    <w:rsid w:val="00F90CA6"/>
    <w:rsid w:val="00F90E19"/>
    <w:rsid w:val="00F90FB9"/>
    <w:rsid w:val="00F910A2"/>
    <w:rsid w:val="00F9110B"/>
    <w:rsid w:val="00F912D2"/>
    <w:rsid w:val="00F9132C"/>
    <w:rsid w:val="00F91376"/>
    <w:rsid w:val="00F913BC"/>
    <w:rsid w:val="00F914CF"/>
    <w:rsid w:val="00F915E3"/>
    <w:rsid w:val="00F9175C"/>
    <w:rsid w:val="00F91795"/>
    <w:rsid w:val="00F91833"/>
    <w:rsid w:val="00F918A4"/>
    <w:rsid w:val="00F918B0"/>
    <w:rsid w:val="00F918E1"/>
    <w:rsid w:val="00F918EB"/>
    <w:rsid w:val="00F91B1F"/>
    <w:rsid w:val="00F91B40"/>
    <w:rsid w:val="00F91B4F"/>
    <w:rsid w:val="00F91BE1"/>
    <w:rsid w:val="00F91BE8"/>
    <w:rsid w:val="00F91D1B"/>
    <w:rsid w:val="00F91E50"/>
    <w:rsid w:val="00F91EF2"/>
    <w:rsid w:val="00F92096"/>
    <w:rsid w:val="00F920C4"/>
    <w:rsid w:val="00F92198"/>
    <w:rsid w:val="00F922C3"/>
    <w:rsid w:val="00F9236B"/>
    <w:rsid w:val="00F923E8"/>
    <w:rsid w:val="00F9251E"/>
    <w:rsid w:val="00F925A9"/>
    <w:rsid w:val="00F925CD"/>
    <w:rsid w:val="00F92614"/>
    <w:rsid w:val="00F9262B"/>
    <w:rsid w:val="00F92687"/>
    <w:rsid w:val="00F926B8"/>
    <w:rsid w:val="00F926D9"/>
    <w:rsid w:val="00F92840"/>
    <w:rsid w:val="00F92A64"/>
    <w:rsid w:val="00F92A7F"/>
    <w:rsid w:val="00F92AE5"/>
    <w:rsid w:val="00F92B8A"/>
    <w:rsid w:val="00F92BCD"/>
    <w:rsid w:val="00F92BF5"/>
    <w:rsid w:val="00F92BFD"/>
    <w:rsid w:val="00F92C3A"/>
    <w:rsid w:val="00F92C94"/>
    <w:rsid w:val="00F92D78"/>
    <w:rsid w:val="00F92E01"/>
    <w:rsid w:val="00F92E06"/>
    <w:rsid w:val="00F92E77"/>
    <w:rsid w:val="00F92E7B"/>
    <w:rsid w:val="00F92FC0"/>
    <w:rsid w:val="00F93091"/>
    <w:rsid w:val="00F9317F"/>
    <w:rsid w:val="00F9334B"/>
    <w:rsid w:val="00F9334F"/>
    <w:rsid w:val="00F933EF"/>
    <w:rsid w:val="00F934F4"/>
    <w:rsid w:val="00F935B2"/>
    <w:rsid w:val="00F9361C"/>
    <w:rsid w:val="00F9367F"/>
    <w:rsid w:val="00F93718"/>
    <w:rsid w:val="00F9379F"/>
    <w:rsid w:val="00F93856"/>
    <w:rsid w:val="00F93980"/>
    <w:rsid w:val="00F939F8"/>
    <w:rsid w:val="00F93AFF"/>
    <w:rsid w:val="00F93B5E"/>
    <w:rsid w:val="00F93B8D"/>
    <w:rsid w:val="00F93D5D"/>
    <w:rsid w:val="00F93D8E"/>
    <w:rsid w:val="00F93DD7"/>
    <w:rsid w:val="00F93EAE"/>
    <w:rsid w:val="00F93FD4"/>
    <w:rsid w:val="00F94092"/>
    <w:rsid w:val="00F9410D"/>
    <w:rsid w:val="00F94185"/>
    <w:rsid w:val="00F94202"/>
    <w:rsid w:val="00F942BE"/>
    <w:rsid w:val="00F9433E"/>
    <w:rsid w:val="00F943E1"/>
    <w:rsid w:val="00F9442D"/>
    <w:rsid w:val="00F944D9"/>
    <w:rsid w:val="00F94566"/>
    <w:rsid w:val="00F9465E"/>
    <w:rsid w:val="00F946B7"/>
    <w:rsid w:val="00F947E3"/>
    <w:rsid w:val="00F94821"/>
    <w:rsid w:val="00F949D0"/>
    <w:rsid w:val="00F94A83"/>
    <w:rsid w:val="00F94BA0"/>
    <w:rsid w:val="00F94D12"/>
    <w:rsid w:val="00F94D26"/>
    <w:rsid w:val="00F94ED1"/>
    <w:rsid w:val="00F94EF5"/>
    <w:rsid w:val="00F950F8"/>
    <w:rsid w:val="00F95111"/>
    <w:rsid w:val="00F9517A"/>
    <w:rsid w:val="00F9519A"/>
    <w:rsid w:val="00F951C8"/>
    <w:rsid w:val="00F95280"/>
    <w:rsid w:val="00F9555B"/>
    <w:rsid w:val="00F955EF"/>
    <w:rsid w:val="00F95681"/>
    <w:rsid w:val="00F95861"/>
    <w:rsid w:val="00F95A11"/>
    <w:rsid w:val="00F95A13"/>
    <w:rsid w:val="00F95A82"/>
    <w:rsid w:val="00F95C23"/>
    <w:rsid w:val="00F95C60"/>
    <w:rsid w:val="00F95E55"/>
    <w:rsid w:val="00F95F2F"/>
    <w:rsid w:val="00F960D0"/>
    <w:rsid w:val="00F9615B"/>
    <w:rsid w:val="00F96219"/>
    <w:rsid w:val="00F96237"/>
    <w:rsid w:val="00F96251"/>
    <w:rsid w:val="00F9638C"/>
    <w:rsid w:val="00F96455"/>
    <w:rsid w:val="00F9661C"/>
    <w:rsid w:val="00F96635"/>
    <w:rsid w:val="00F966AA"/>
    <w:rsid w:val="00F96734"/>
    <w:rsid w:val="00F967F7"/>
    <w:rsid w:val="00F9682E"/>
    <w:rsid w:val="00F96912"/>
    <w:rsid w:val="00F96ABC"/>
    <w:rsid w:val="00F96BCF"/>
    <w:rsid w:val="00F96E34"/>
    <w:rsid w:val="00F96FA8"/>
    <w:rsid w:val="00F97161"/>
    <w:rsid w:val="00F972F3"/>
    <w:rsid w:val="00F97326"/>
    <w:rsid w:val="00F97338"/>
    <w:rsid w:val="00F97509"/>
    <w:rsid w:val="00F977F4"/>
    <w:rsid w:val="00F97821"/>
    <w:rsid w:val="00F979B7"/>
    <w:rsid w:val="00F97ACA"/>
    <w:rsid w:val="00F97B0C"/>
    <w:rsid w:val="00F97C15"/>
    <w:rsid w:val="00F97CFE"/>
    <w:rsid w:val="00F97EA4"/>
    <w:rsid w:val="00F97F67"/>
    <w:rsid w:val="00F97FF1"/>
    <w:rsid w:val="00FA0144"/>
    <w:rsid w:val="00FA01B5"/>
    <w:rsid w:val="00FA0503"/>
    <w:rsid w:val="00FA05F8"/>
    <w:rsid w:val="00FA067A"/>
    <w:rsid w:val="00FA0778"/>
    <w:rsid w:val="00FA07EC"/>
    <w:rsid w:val="00FA08E6"/>
    <w:rsid w:val="00FA08FB"/>
    <w:rsid w:val="00FA09BD"/>
    <w:rsid w:val="00FA0D84"/>
    <w:rsid w:val="00FA0DBB"/>
    <w:rsid w:val="00FA0E2B"/>
    <w:rsid w:val="00FA0E41"/>
    <w:rsid w:val="00FA0E74"/>
    <w:rsid w:val="00FA11D5"/>
    <w:rsid w:val="00FA138C"/>
    <w:rsid w:val="00FA13B3"/>
    <w:rsid w:val="00FA14BE"/>
    <w:rsid w:val="00FA14CC"/>
    <w:rsid w:val="00FA15B4"/>
    <w:rsid w:val="00FA1725"/>
    <w:rsid w:val="00FA17DA"/>
    <w:rsid w:val="00FA181C"/>
    <w:rsid w:val="00FA18AB"/>
    <w:rsid w:val="00FA19D6"/>
    <w:rsid w:val="00FA1AE0"/>
    <w:rsid w:val="00FA1C18"/>
    <w:rsid w:val="00FA1EAA"/>
    <w:rsid w:val="00FA1F4A"/>
    <w:rsid w:val="00FA1F6E"/>
    <w:rsid w:val="00FA1F98"/>
    <w:rsid w:val="00FA218A"/>
    <w:rsid w:val="00FA21B0"/>
    <w:rsid w:val="00FA22F4"/>
    <w:rsid w:val="00FA24D9"/>
    <w:rsid w:val="00FA24EF"/>
    <w:rsid w:val="00FA2532"/>
    <w:rsid w:val="00FA2784"/>
    <w:rsid w:val="00FA278C"/>
    <w:rsid w:val="00FA28C7"/>
    <w:rsid w:val="00FA28C8"/>
    <w:rsid w:val="00FA2AAA"/>
    <w:rsid w:val="00FA2BB6"/>
    <w:rsid w:val="00FA2BEA"/>
    <w:rsid w:val="00FA2C7D"/>
    <w:rsid w:val="00FA2CBA"/>
    <w:rsid w:val="00FA2CE7"/>
    <w:rsid w:val="00FA2F55"/>
    <w:rsid w:val="00FA3023"/>
    <w:rsid w:val="00FA30B8"/>
    <w:rsid w:val="00FA314E"/>
    <w:rsid w:val="00FA353F"/>
    <w:rsid w:val="00FA3598"/>
    <w:rsid w:val="00FA35F2"/>
    <w:rsid w:val="00FA39A1"/>
    <w:rsid w:val="00FA3B8D"/>
    <w:rsid w:val="00FA3BD9"/>
    <w:rsid w:val="00FA3C2B"/>
    <w:rsid w:val="00FA3C3A"/>
    <w:rsid w:val="00FA3C84"/>
    <w:rsid w:val="00FA3D86"/>
    <w:rsid w:val="00FA3EBD"/>
    <w:rsid w:val="00FA3F45"/>
    <w:rsid w:val="00FA3FAE"/>
    <w:rsid w:val="00FA4017"/>
    <w:rsid w:val="00FA4080"/>
    <w:rsid w:val="00FA410A"/>
    <w:rsid w:val="00FA41D4"/>
    <w:rsid w:val="00FA4390"/>
    <w:rsid w:val="00FA4499"/>
    <w:rsid w:val="00FA450D"/>
    <w:rsid w:val="00FA46AF"/>
    <w:rsid w:val="00FA46CC"/>
    <w:rsid w:val="00FA472F"/>
    <w:rsid w:val="00FA49B2"/>
    <w:rsid w:val="00FA49BD"/>
    <w:rsid w:val="00FA4B94"/>
    <w:rsid w:val="00FA4BE8"/>
    <w:rsid w:val="00FA4C6D"/>
    <w:rsid w:val="00FA4CB3"/>
    <w:rsid w:val="00FA4D15"/>
    <w:rsid w:val="00FA4DAF"/>
    <w:rsid w:val="00FA5108"/>
    <w:rsid w:val="00FA517F"/>
    <w:rsid w:val="00FA522F"/>
    <w:rsid w:val="00FA52FF"/>
    <w:rsid w:val="00FA5331"/>
    <w:rsid w:val="00FA53A0"/>
    <w:rsid w:val="00FA561B"/>
    <w:rsid w:val="00FA574E"/>
    <w:rsid w:val="00FA5AB2"/>
    <w:rsid w:val="00FA5B1A"/>
    <w:rsid w:val="00FA5B53"/>
    <w:rsid w:val="00FA5B97"/>
    <w:rsid w:val="00FA5C33"/>
    <w:rsid w:val="00FA5CB5"/>
    <w:rsid w:val="00FA5D28"/>
    <w:rsid w:val="00FA5DAD"/>
    <w:rsid w:val="00FA5E31"/>
    <w:rsid w:val="00FA5EA3"/>
    <w:rsid w:val="00FA5EBA"/>
    <w:rsid w:val="00FA5F36"/>
    <w:rsid w:val="00FA5F3E"/>
    <w:rsid w:val="00FA6059"/>
    <w:rsid w:val="00FA61DD"/>
    <w:rsid w:val="00FA623A"/>
    <w:rsid w:val="00FA62C2"/>
    <w:rsid w:val="00FA6452"/>
    <w:rsid w:val="00FA6525"/>
    <w:rsid w:val="00FA657D"/>
    <w:rsid w:val="00FA6581"/>
    <w:rsid w:val="00FA65F6"/>
    <w:rsid w:val="00FA6923"/>
    <w:rsid w:val="00FA6945"/>
    <w:rsid w:val="00FA694C"/>
    <w:rsid w:val="00FA6A64"/>
    <w:rsid w:val="00FA6AD2"/>
    <w:rsid w:val="00FA6CA3"/>
    <w:rsid w:val="00FA6D0D"/>
    <w:rsid w:val="00FA6D8F"/>
    <w:rsid w:val="00FA6EDB"/>
    <w:rsid w:val="00FA708A"/>
    <w:rsid w:val="00FA70C8"/>
    <w:rsid w:val="00FA723F"/>
    <w:rsid w:val="00FA727D"/>
    <w:rsid w:val="00FA7310"/>
    <w:rsid w:val="00FA7464"/>
    <w:rsid w:val="00FA7472"/>
    <w:rsid w:val="00FA7584"/>
    <w:rsid w:val="00FA76C8"/>
    <w:rsid w:val="00FA76EC"/>
    <w:rsid w:val="00FA7714"/>
    <w:rsid w:val="00FA77EB"/>
    <w:rsid w:val="00FA7834"/>
    <w:rsid w:val="00FA7A4B"/>
    <w:rsid w:val="00FA7A76"/>
    <w:rsid w:val="00FA7B93"/>
    <w:rsid w:val="00FA7CC1"/>
    <w:rsid w:val="00FA7CCC"/>
    <w:rsid w:val="00FA7D6D"/>
    <w:rsid w:val="00FA7EE2"/>
    <w:rsid w:val="00FB0036"/>
    <w:rsid w:val="00FB0147"/>
    <w:rsid w:val="00FB0187"/>
    <w:rsid w:val="00FB034D"/>
    <w:rsid w:val="00FB0455"/>
    <w:rsid w:val="00FB04CA"/>
    <w:rsid w:val="00FB0505"/>
    <w:rsid w:val="00FB0531"/>
    <w:rsid w:val="00FB0580"/>
    <w:rsid w:val="00FB05AA"/>
    <w:rsid w:val="00FB061C"/>
    <w:rsid w:val="00FB0639"/>
    <w:rsid w:val="00FB0646"/>
    <w:rsid w:val="00FB071B"/>
    <w:rsid w:val="00FB072D"/>
    <w:rsid w:val="00FB07A2"/>
    <w:rsid w:val="00FB07AA"/>
    <w:rsid w:val="00FB07FF"/>
    <w:rsid w:val="00FB098F"/>
    <w:rsid w:val="00FB0A81"/>
    <w:rsid w:val="00FB0B49"/>
    <w:rsid w:val="00FB0C03"/>
    <w:rsid w:val="00FB0C38"/>
    <w:rsid w:val="00FB0C3D"/>
    <w:rsid w:val="00FB0D2E"/>
    <w:rsid w:val="00FB0F08"/>
    <w:rsid w:val="00FB10D6"/>
    <w:rsid w:val="00FB1128"/>
    <w:rsid w:val="00FB128B"/>
    <w:rsid w:val="00FB1326"/>
    <w:rsid w:val="00FB13E4"/>
    <w:rsid w:val="00FB145D"/>
    <w:rsid w:val="00FB14A0"/>
    <w:rsid w:val="00FB1530"/>
    <w:rsid w:val="00FB169F"/>
    <w:rsid w:val="00FB1811"/>
    <w:rsid w:val="00FB1845"/>
    <w:rsid w:val="00FB18A2"/>
    <w:rsid w:val="00FB18D2"/>
    <w:rsid w:val="00FB19A8"/>
    <w:rsid w:val="00FB19C6"/>
    <w:rsid w:val="00FB1BED"/>
    <w:rsid w:val="00FB1C78"/>
    <w:rsid w:val="00FB1E16"/>
    <w:rsid w:val="00FB1E81"/>
    <w:rsid w:val="00FB2089"/>
    <w:rsid w:val="00FB21E8"/>
    <w:rsid w:val="00FB2791"/>
    <w:rsid w:val="00FB2852"/>
    <w:rsid w:val="00FB29DC"/>
    <w:rsid w:val="00FB2A1A"/>
    <w:rsid w:val="00FB2AB2"/>
    <w:rsid w:val="00FB2C6E"/>
    <w:rsid w:val="00FB2D8B"/>
    <w:rsid w:val="00FB2E57"/>
    <w:rsid w:val="00FB2E5C"/>
    <w:rsid w:val="00FB2E90"/>
    <w:rsid w:val="00FB2FDE"/>
    <w:rsid w:val="00FB30B4"/>
    <w:rsid w:val="00FB30FC"/>
    <w:rsid w:val="00FB31E2"/>
    <w:rsid w:val="00FB33FD"/>
    <w:rsid w:val="00FB340E"/>
    <w:rsid w:val="00FB3476"/>
    <w:rsid w:val="00FB34CB"/>
    <w:rsid w:val="00FB3616"/>
    <w:rsid w:val="00FB362E"/>
    <w:rsid w:val="00FB36CD"/>
    <w:rsid w:val="00FB3716"/>
    <w:rsid w:val="00FB3872"/>
    <w:rsid w:val="00FB38E0"/>
    <w:rsid w:val="00FB398B"/>
    <w:rsid w:val="00FB39BA"/>
    <w:rsid w:val="00FB3B40"/>
    <w:rsid w:val="00FB3CF2"/>
    <w:rsid w:val="00FB3D0A"/>
    <w:rsid w:val="00FB3DEE"/>
    <w:rsid w:val="00FB3E7D"/>
    <w:rsid w:val="00FB4070"/>
    <w:rsid w:val="00FB40AF"/>
    <w:rsid w:val="00FB432F"/>
    <w:rsid w:val="00FB43AA"/>
    <w:rsid w:val="00FB43F0"/>
    <w:rsid w:val="00FB44AF"/>
    <w:rsid w:val="00FB4598"/>
    <w:rsid w:val="00FB461A"/>
    <w:rsid w:val="00FB46B8"/>
    <w:rsid w:val="00FB46C8"/>
    <w:rsid w:val="00FB47E8"/>
    <w:rsid w:val="00FB48AB"/>
    <w:rsid w:val="00FB4949"/>
    <w:rsid w:val="00FB4AEA"/>
    <w:rsid w:val="00FB4B86"/>
    <w:rsid w:val="00FB4C41"/>
    <w:rsid w:val="00FB4F31"/>
    <w:rsid w:val="00FB4FB0"/>
    <w:rsid w:val="00FB5031"/>
    <w:rsid w:val="00FB512B"/>
    <w:rsid w:val="00FB51C4"/>
    <w:rsid w:val="00FB51E6"/>
    <w:rsid w:val="00FB521A"/>
    <w:rsid w:val="00FB5289"/>
    <w:rsid w:val="00FB5332"/>
    <w:rsid w:val="00FB53BC"/>
    <w:rsid w:val="00FB5412"/>
    <w:rsid w:val="00FB5624"/>
    <w:rsid w:val="00FB56C5"/>
    <w:rsid w:val="00FB5867"/>
    <w:rsid w:val="00FB5954"/>
    <w:rsid w:val="00FB5A38"/>
    <w:rsid w:val="00FB5B27"/>
    <w:rsid w:val="00FB5B5F"/>
    <w:rsid w:val="00FB5CEB"/>
    <w:rsid w:val="00FB5D07"/>
    <w:rsid w:val="00FB5DCC"/>
    <w:rsid w:val="00FB5E6E"/>
    <w:rsid w:val="00FB5F0B"/>
    <w:rsid w:val="00FB5F16"/>
    <w:rsid w:val="00FB5F74"/>
    <w:rsid w:val="00FB5FEE"/>
    <w:rsid w:val="00FB6085"/>
    <w:rsid w:val="00FB6160"/>
    <w:rsid w:val="00FB61F6"/>
    <w:rsid w:val="00FB63B3"/>
    <w:rsid w:val="00FB6536"/>
    <w:rsid w:val="00FB6589"/>
    <w:rsid w:val="00FB658A"/>
    <w:rsid w:val="00FB65F5"/>
    <w:rsid w:val="00FB66E2"/>
    <w:rsid w:val="00FB67D4"/>
    <w:rsid w:val="00FB67F0"/>
    <w:rsid w:val="00FB6807"/>
    <w:rsid w:val="00FB6A04"/>
    <w:rsid w:val="00FB6CEA"/>
    <w:rsid w:val="00FB6D1A"/>
    <w:rsid w:val="00FB6D67"/>
    <w:rsid w:val="00FB712C"/>
    <w:rsid w:val="00FB72C0"/>
    <w:rsid w:val="00FB73A3"/>
    <w:rsid w:val="00FB7581"/>
    <w:rsid w:val="00FB7826"/>
    <w:rsid w:val="00FB7A2B"/>
    <w:rsid w:val="00FB7AD7"/>
    <w:rsid w:val="00FB7B45"/>
    <w:rsid w:val="00FB7CCE"/>
    <w:rsid w:val="00FB7D30"/>
    <w:rsid w:val="00FB7DC3"/>
    <w:rsid w:val="00FB7EC0"/>
    <w:rsid w:val="00FB7F5B"/>
    <w:rsid w:val="00FB7FAD"/>
    <w:rsid w:val="00FC00CD"/>
    <w:rsid w:val="00FC00D5"/>
    <w:rsid w:val="00FC01BB"/>
    <w:rsid w:val="00FC0258"/>
    <w:rsid w:val="00FC028F"/>
    <w:rsid w:val="00FC0336"/>
    <w:rsid w:val="00FC04D4"/>
    <w:rsid w:val="00FC06DA"/>
    <w:rsid w:val="00FC074B"/>
    <w:rsid w:val="00FC079E"/>
    <w:rsid w:val="00FC096D"/>
    <w:rsid w:val="00FC09EA"/>
    <w:rsid w:val="00FC0A38"/>
    <w:rsid w:val="00FC0BA3"/>
    <w:rsid w:val="00FC0CC8"/>
    <w:rsid w:val="00FC0F78"/>
    <w:rsid w:val="00FC0FA5"/>
    <w:rsid w:val="00FC1006"/>
    <w:rsid w:val="00FC101C"/>
    <w:rsid w:val="00FC110C"/>
    <w:rsid w:val="00FC1166"/>
    <w:rsid w:val="00FC11FC"/>
    <w:rsid w:val="00FC1447"/>
    <w:rsid w:val="00FC1633"/>
    <w:rsid w:val="00FC168D"/>
    <w:rsid w:val="00FC16D3"/>
    <w:rsid w:val="00FC17F3"/>
    <w:rsid w:val="00FC1811"/>
    <w:rsid w:val="00FC1937"/>
    <w:rsid w:val="00FC19AD"/>
    <w:rsid w:val="00FC1A43"/>
    <w:rsid w:val="00FC1AA8"/>
    <w:rsid w:val="00FC1B0C"/>
    <w:rsid w:val="00FC1BF9"/>
    <w:rsid w:val="00FC1DB0"/>
    <w:rsid w:val="00FC1E22"/>
    <w:rsid w:val="00FC1EC8"/>
    <w:rsid w:val="00FC1F86"/>
    <w:rsid w:val="00FC1F87"/>
    <w:rsid w:val="00FC2004"/>
    <w:rsid w:val="00FC2021"/>
    <w:rsid w:val="00FC20D2"/>
    <w:rsid w:val="00FC20FF"/>
    <w:rsid w:val="00FC2144"/>
    <w:rsid w:val="00FC2305"/>
    <w:rsid w:val="00FC23D8"/>
    <w:rsid w:val="00FC23EC"/>
    <w:rsid w:val="00FC280B"/>
    <w:rsid w:val="00FC2924"/>
    <w:rsid w:val="00FC2A91"/>
    <w:rsid w:val="00FC2AC4"/>
    <w:rsid w:val="00FC2B51"/>
    <w:rsid w:val="00FC2DD1"/>
    <w:rsid w:val="00FC2EBF"/>
    <w:rsid w:val="00FC2EF1"/>
    <w:rsid w:val="00FC2EF8"/>
    <w:rsid w:val="00FC30C0"/>
    <w:rsid w:val="00FC327F"/>
    <w:rsid w:val="00FC32E6"/>
    <w:rsid w:val="00FC33BF"/>
    <w:rsid w:val="00FC3598"/>
    <w:rsid w:val="00FC372B"/>
    <w:rsid w:val="00FC38ED"/>
    <w:rsid w:val="00FC3941"/>
    <w:rsid w:val="00FC3ACD"/>
    <w:rsid w:val="00FC3C2E"/>
    <w:rsid w:val="00FC3C72"/>
    <w:rsid w:val="00FC3CC8"/>
    <w:rsid w:val="00FC3E05"/>
    <w:rsid w:val="00FC3EB0"/>
    <w:rsid w:val="00FC3EB3"/>
    <w:rsid w:val="00FC3EC2"/>
    <w:rsid w:val="00FC3ECD"/>
    <w:rsid w:val="00FC3F47"/>
    <w:rsid w:val="00FC402A"/>
    <w:rsid w:val="00FC40B5"/>
    <w:rsid w:val="00FC41CD"/>
    <w:rsid w:val="00FC425E"/>
    <w:rsid w:val="00FC447B"/>
    <w:rsid w:val="00FC45DF"/>
    <w:rsid w:val="00FC4618"/>
    <w:rsid w:val="00FC461A"/>
    <w:rsid w:val="00FC461D"/>
    <w:rsid w:val="00FC48CA"/>
    <w:rsid w:val="00FC4A47"/>
    <w:rsid w:val="00FC4B38"/>
    <w:rsid w:val="00FC4B6D"/>
    <w:rsid w:val="00FC4C68"/>
    <w:rsid w:val="00FC4D56"/>
    <w:rsid w:val="00FC4DBE"/>
    <w:rsid w:val="00FC4E7A"/>
    <w:rsid w:val="00FC502E"/>
    <w:rsid w:val="00FC5056"/>
    <w:rsid w:val="00FC51C3"/>
    <w:rsid w:val="00FC51F9"/>
    <w:rsid w:val="00FC5266"/>
    <w:rsid w:val="00FC527A"/>
    <w:rsid w:val="00FC531D"/>
    <w:rsid w:val="00FC5365"/>
    <w:rsid w:val="00FC540A"/>
    <w:rsid w:val="00FC5547"/>
    <w:rsid w:val="00FC5627"/>
    <w:rsid w:val="00FC5642"/>
    <w:rsid w:val="00FC565C"/>
    <w:rsid w:val="00FC5717"/>
    <w:rsid w:val="00FC5A1E"/>
    <w:rsid w:val="00FC5B5F"/>
    <w:rsid w:val="00FC5BCB"/>
    <w:rsid w:val="00FC5C52"/>
    <w:rsid w:val="00FC5C70"/>
    <w:rsid w:val="00FC5CE9"/>
    <w:rsid w:val="00FC5D57"/>
    <w:rsid w:val="00FC5F24"/>
    <w:rsid w:val="00FC5FB6"/>
    <w:rsid w:val="00FC6043"/>
    <w:rsid w:val="00FC6071"/>
    <w:rsid w:val="00FC6088"/>
    <w:rsid w:val="00FC60D9"/>
    <w:rsid w:val="00FC612A"/>
    <w:rsid w:val="00FC6139"/>
    <w:rsid w:val="00FC61D6"/>
    <w:rsid w:val="00FC6224"/>
    <w:rsid w:val="00FC624C"/>
    <w:rsid w:val="00FC62CB"/>
    <w:rsid w:val="00FC6483"/>
    <w:rsid w:val="00FC6516"/>
    <w:rsid w:val="00FC6522"/>
    <w:rsid w:val="00FC65DE"/>
    <w:rsid w:val="00FC6687"/>
    <w:rsid w:val="00FC6747"/>
    <w:rsid w:val="00FC6B3E"/>
    <w:rsid w:val="00FC6C70"/>
    <w:rsid w:val="00FC6ECA"/>
    <w:rsid w:val="00FC6F53"/>
    <w:rsid w:val="00FC6F94"/>
    <w:rsid w:val="00FC6FEC"/>
    <w:rsid w:val="00FC7183"/>
    <w:rsid w:val="00FC71BB"/>
    <w:rsid w:val="00FC72DA"/>
    <w:rsid w:val="00FC732B"/>
    <w:rsid w:val="00FC7374"/>
    <w:rsid w:val="00FC7384"/>
    <w:rsid w:val="00FC7423"/>
    <w:rsid w:val="00FC744A"/>
    <w:rsid w:val="00FC751C"/>
    <w:rsid w:val="00FC7634"/>
    <w:rsid w:val="00FC764F"/>
    <w:rsid w:val="00FC79A6"/>
    <w:rsid w:val="00FC79F3"/>
    <w:rsid w:val="00FC7AD9"/>
    <w:rsid w:val="00FC7AE3"/>
    <w:rsid w:val="00FC7C92"/>
    <w:rsid w:val="00FC7DBA"/>
    <w:rsid w:val="00FC7EC5"/>
    <w:rsid w:val="00FD0240"/>
    <w:rsid w:val="00FD027E"/>
    <w:rsid w:val="00FD0425"/>
    <w:rsid w:val="00FD05EF"/>
    <w:rsid w:val="00FD076C"/>
    <w:rsid w:val="00FD07B2"/>
    <w:rsid w:val="00FD07D0"/>
    <w:rsid w:val="00FD07F4"/>
    <w:rsid w:val="00FD0875"/>
    <w:rsid w:val="00FD0C24"/>
    <w:rsid w:val="00FD0C8F"/>
    <w:rsid w:val="00FD0C99"/>
    <w:rsid w:val="00FD0CA0"/>
    <w:rsid w:val="00FD0D09"/>
    <w:rsid w:val="00FD0E1A"/>
    <w:rsid w:val="00FD0E2A"/>
    <w:rsid w:val="00FD104E"/>
    <w:rsid w:val="00FD10EA"/>
    <w:rsid w:val="00FD10FD"/>
    <w:rsid w:val="00FD133D"/>
    <w:rsid w:val="00FD1526"/>
    <w:rsid w:val="00FD1593"/>
    <w:rsid w:val="00FD15F2"/>
    <w:rsid w:val="00FD16D9"/>
    <w:rsid w:val="00FD17B4"/>
    <w:rsid w:val="00FD19B4"/>
    <w:rsid w:val="00FD1B00"/>
    <w:rsid w:val="00FD1B48"/>
    <w:rsid w:val="00FD1CB9"/>
    <w:rsid w:val="00FD1D91"/>
    <w:rsid w:val="00FD1DFD"/>
    <w:rsid w:val="00FD1E0A"/>
    <w:rsid w:val="00FD1E0B"/>
    <w:rsid w:val="00FD1F89"/>
    <w:rsid w:val="00FD203E"/>
    <w:rsid w:val="00FD2054"/>
    <w:rsid w:val="00FD21D3"/>
    <w:rsid w:val="00FD2283"/>
    <w:rsid w:val="00FD23A8"/>
    <w:rsid w:val="00FD2626"/>
    <w:rsid w:val="00FD271A"/>
    <w:rsid w:val="00FD2723"/>
    <w:rsid w:val="00FD2727"/>
    <w:rsid w:val="00FD27F5"/>
    <w:rsid w:val="00FD287A"/>
    <w:rsid w:val="00FD2919"/>
    <w:rsid w:val="00FD2946"/>
    <w:rsid w:val="00FD2A86"/>
    <w:rsid w:val="00FD2BDC"/>
    <w:rsid w:val="00FD2D64"/>
    <w:rsid w:val="00FD2DC9"/>
    <w:rsid w:val="00FD2E42"/>
    <w:rsid w:val="00FD2EBF"/>
    <w:rsid w:val="00FD2F98"/>
    <w:rsid w:val="00FD2FB0"/>
    <w:rsid w:val="00FD2FEC"/>
    <w:rsid w:val="00FD307E"/>
    <w:rsid w:val="00FD309C"/>
    <w:rsid w:val="00FD30AD"/>
    <w:rsid w:val="00FD319F"/>
    <w:rsid w:val="00FD320B"/>
    <w:rsid w:val="00FD320D"/>
    <w:rsid w:val="00FD3356"/>
    <w:rsid w:val="00FD347A"/>
    <w:rsid w:val="00FD3483"/>
    <w:rsid w:val="00FD34EA"/>
    <w:rsid w:val="00FD360C"/>
    <w:rsid w:val="00FD3637"/>
    <w:rsid w:val="00FD3779"/>
    <w:rsid w:val="00FD37AA"/>
    <w:rsid w:val="00FD385D"/>
    <w:rsid w:val="00FD38C7"/>
    <w:rsid w:val="00FD38E1"/>
    <w:rsid w:val="00FD3AA4"/>
    <w:rsid w:val="00FD3C08"/>
    <w:rsid w:val="00FD3CC8"/>
    <w:rsid w:val="00FD3CD5"/>
    <w:rsid w:val="00FD3D75"/>
    <w:rsid w:val="00FD3E8D"/>
    <w:rsid w:val="00FD4030"/>
    <w:rsid w:val="00FD40F3"/>
    <w:rsid w:val="00FD41D3"/>
    <w:rsid w:val="00FD4386"/>
    <w:rsid w:val="00FD4423"/>
    <w:rsid w:val="00FD446F"/>
    <w:rsid w:val="00FD44BE"/>
    <w:rsid w:val="00FD4522"/>
    <w:rsid w:val="00FD453B"/>
    <w:rsid w:val="00FD461C"/>
    <w:rsid w:val="00FD4781"/>
    <w:rsid w:val="00FD485A"/>
    <w:rsid w:val="00FD4876"/>
    <w:rsid w:val="00FD4A3B"/>
    <w:rsid w:val="00FD4BE9"/>
    <w:rsid w:val="00FD4C3A"/>
    <w:rsid w:val="00FD4CD5"/>
    <w:rsid w:val="00FD4DAD"/>
    <w:rsid w:val="00FD4EBD"/>
    <w:rsid w:val="00FD4F94"/>
    <w:rsid w:val="00FD4FB6"/>
    <w:rsid w:val="00FD4FEE"/>
    <w:rsid w:val="00FD511A"/>
    <w:rsid w:val="00FD51F7"/>
    <w:rsid w:val="00FD5230"/>
    <w:rsid w:val="00FD5498"/>
    <w:rsid w:val="00FD581E"/>
    <w:rsid w:val="00FD5847"/>
    <w:rsid w:val="00FD58AC"/>
    <w:rsid w:val="00FD5A41"/>
    <w:rsid w:val="00FD5AB4"/>
    <w:rsid w:val="00FD5AD1"/>
    <w:rsid w:val="00FD5CEF"/>
    <w:rsid w:val="00FD5D40"/>
    <w:rsid w:val="00FD5E18"/>
    <w:rsid w:val="00FD5EA0"/>
    <w:rsid w:val="00FD5F60"/>
    <w:rsid w:val="00FD61B4"/>
    <w:rsid w:val="00FD6284"/>
    <w:rsid w:val="00FD637F"/>
    <w:rsid w:val="00FD6462"/>
    <w:rsid w:val="00FD6479"/>
    <w:rsid w:val="00FD6480"/>
    <w:rsid w:val="00FD655F"/>
    <w:rsid w:val="00FD65DA"/>
    <w:rsid w:val="00FD6745"/>
    <w:rsid w:val="00FD675F"/>
    <w:rsid w:val="00FD68AB"/>
    <w:rsid w:val="00FD68CB"/>
    <w:rsid w:val="00FD68D1"/>
    <w:rsid w:val="00FD6AA0"/>
    <w:rsid w:val="00FD6B6F"/>
    <w:rsid w:val="00FD6C0C"/>
    <w:rsid w:val="00FD6D30"/>
    <w:rsid w:val="00FD6DB1"/>
    <w:rsid w:val="00FD6DD2"/>
    <w:rsid w:val="00FD6F17"/>
    <w:rsid w:val="00FD70B0"/>
    <w:rsid w:val="00FD7229"/>
    <w:rsid w:val="00FD723C"/>
    <w:rsid w:val="00FD73D4"/>
    <w:rsid w:val="00FD7412"/>
    <w:rsid w:val="00FD75B6"/>
    <w:rsid w:val="00FD75E1"/>
    <w:rsid w:val="00FD7628"/>
    <w:rsid w:val="00FD7784"/>
    <w:rsid w:val="00FD7817"/>
    <w:rsid w:val="00FD78BD"/>
    <w:rsid w:val="00FD78D7"/>
    <w:rsid w:val="00FD7AB8"/>
    <w:rsid w:val="00FD7B17"/>
    <w:rsid w:val="00FD7C24"/>
    <w:rsid w:val="00FD7C38"/>
    <w:rsid w:val="00FD7E41"/>
    <w:rsid w:val="00FE0031"/>
    <w:rsid w:val="00FE01DA"/>
    <w:rsid w:val="00FE02B8"/>
    <w:rsid w:val="00FE03B1"/>
    <w:rsid w:val="00FE0415"/>
    <w:rsid w:val="00FE0488"/>
    <w:rsid w:val="00FE0984"/>
    <w:rsid w:val="00FE09D4"/>
    <w:rsid w:val="00FE0A8F"/>
    <w:rsid w:val="00FE0AD1"/>
    <w:rsid w:val="00FE0B43"/>
    <w:rsid w:val="00FE0C36"/>
    <w:rsid w:val="00FE0C87"/>
    <w:rsid w:val="00FE0D1E"/>
    <w:rsid w:val="00FE0D55"/>
    <w:rsid w:val="00FE10B4"/>
    <w:rsid w:val="00FE10FB"/>
    <w:rsid w:val="00FE12AF"/>
    <w:rsid w:val="00FE1343"/>
    <w:rsid w:val="00FE1458"/>
    <w:rsid w:val="00FE15C8"/>
    <w:rsid w:val="00FE1620"/>
    <w:rsid w:val="00FE1684"/>
    <w:rsid w:val="00FE1698"/>
    <w:rsid w:val="00FE16E7"/>
    <w:rsid w:val="00FE170C"/>
    <w:rsid w:val="00FE174B"/>
    <w:rsid w:val="00FE1796"/>
    <w:rsid w:val="00FE19AC"/>
    <w:rsid w:val="00FE19BC"/>
    <w:rsid w:val="00FE1ABF"/>
    <w:rsid w:val="00FE1AE9"/>
    <w:rsid w:val="00FE1B0D"/>
    <w:rsid w:val="00FE1BCC"/>
    <w:rsid w:val="00FE1F69"/>
    <w:rsid w:val="00FE1F70"/>
    <w:rsid w:val="00FE2003"/>
    <w:rsid w:val="00FE214C"/>
    <w:rsid w:val="00FE229D"/>
    <w:rsid w:val="00FE2363"/>
    <w:rsid w:val="00FE2381"/>
    <w:rsid w:val="00FE2453"/>
    <w:rsid w:val="00FE25A4"/>
    <w:rsid w:val="00FE2725"/>
    <w:rsid w:val="00FE2732"/>
    <w:rsid w:val="00FE2781"/>
    <w:rsid w:val="00FE2799"/>
    <w:rsid w:val="00FE2894"/>
    <w:rsid w:val="00FE295B"/>
    <w:rsid w:val="00FE29FB"/>
    <w:rsid w:val="00FE2A70"/>
    <w:rsid w:val="00FE2B62"/>
    <w:rsid w:val="00FE2D87"/>
    <w:rsid w:val="00FE2F01"/>
    <w:rsid w:val="00FE2F46"/>
    <w:rsid w:val="00FE2F78"/>
    <w:rsid w:val="00FE301D"/>
    <w:rsid w:val="00FE30A6"/>
    <w:rsid w:val="00FE30FC"/>
    <w:rsid w:val="00FE30FF"/>
    <w:rsid w:val="00FE324B"/>
    <w:rsid w:val="00FE327B"/>
    <w:rsid w:val="00FE32B7"/>
    <w:rsid w:val="00FE3351"/>
    <w:rsid w:val="00FE34AB"/>
    <w:rsid w:val="00FE3609"/>
    <w:rsid w:val="00FE3749"/>
    <w:rsid w:val="00FE376D"/>
    <w:rsid w:val="00FE3920"/>
    <w:rsid w:val="00FE39AC"/>
    <w:rsid w:val="00FE3A94"/>
    <w:rsid w:val="00FE3B08"/>
    <w:rsid w:val="00FE3B1E"/>
    <w:rsid w:val="00FE3BEF"/>
    <w:rsid w:val="00FE3E95"/>
    <w:rsid w:val="00FE3F97"/>
    <w:rsid w:val="00FE40A6"/>
    <w:rsid w:val="00FE40B8"/>
    <w:rsid w:val="00FE4132"/>
    <w:rsid w:val="00FE4290"/>
    <w:rsid w:val="00FE44DE"/>
    <w:rsid w:val="00FE461C"/>
    <w:rsid w:val="00FE4657"/>
    <w:rsid w:val="00FE466D"/>
    <w:rsid w:val="00FE4729"/>
    <w:rsid w:val="00FE480A"/>
    <w:rsid w:val="00FE4810"/>
    <w:rsid w:val="00FE48A5"/>
    <w:rsid w:val="00FE48C9"/>
    <w:rsid w:val="00FE48F1"/>
    <w:rsid w:val="00FE4A1D"/>
    <w:rsid w:val="00FE4C1C"/>
    <w:rsid w:val="00FE4D56"/>
    <w:rsid w:val="00FE4DDC"/>
    <w:rsid w:val="00FE4F0F"/>
    <w:rsid w:val="00FE4F91"/>
    <w:rsid w:val="00FE4FFB"/>
    <w:rsid w:val="00FE50DF"/>
    <w:rsid w:val="00FE5158"/>
    <w:rsid w:val="00FE5182"/>
    <w:rsid w:val="00FE5225"/>
    <w:rsid w:val="00FE52CF"/>
    <w:rsid w:val="00FE52DE"/>
    <w:rsid w:val="00FE5313"/>
    <w:rsid w:val="00FE566C"/>
    <w:rsid w:val="00FE57C0"/>
    <w:rsid w:val="00FE5C09"/>
    <w:rsid w:val="00FE5C24"/>
    <w:rsid w:val="00FE5C65"/>
    <w:rsid w:val="00FE5C96"/>
    <w:rsid w:val="00FE5E1A"/>
    <w:rsid w:val="00FE5F61"/>
    <w:rsid w:val="00FE5F86"/>
    <w:rsid w:val="00FE5FAB"/>
    <w:rsid w:val="00FE60E2"/>
    <w:rsid w:val="00FE6310"/>
    <w:rsid w:val="00FE632C"/>
    <w:rsid w:val="00FE66B6"/>
    <w:rsid w:val="00FE685A"/>
    <w:rsid w:val="00FE68A6"/>
    <w:rsid w:val="00FE68C2"/>
    <w:rsid w:val="00FE6AA3"/>
    <w:rsid w:val="00FE6AD1"/>
    <w:rsid w:val="00FE6BF3"/>
    <w:rsid w:val="00FE6C8F"/>
    <w:rsid w:val="00FE6E0A"/>
    <w:rsid w:val="00FE6E43"/>
    <w:rsid w:val="00FE718C"/>
    <w:rsid w:val="00FE7288"/>
    <w:rsid w:val="00FE73CF"/>
    <w:rsid w:val="00FE73DD"/>
    <w:rsid w:val="00FE746F"/>
    <w:rsid w:val="00FE74D8"/>
    <w:rsid w:val="00FE779D"/>
    <w:rsid w:val="00FE7812"/>
    <w:rsid w:val="00FE785C"/>
    <w:rsid w:val="00FE785D"/>
    <w:rsid w:val="00FE78FC"/>
    <w:rsid w:val="00FE791A"/>
    <w:rsid w:val="00FE79BC"/>
    <w:rsid w:val="00FE7A12"/>
    <w:rsid w:val="00FE7C00"/>
    <w:rsid w:val="00FE7D45"/>
    <w:rsid w:val="00FE7D6B"/>
    <w:rsid w:val="00FEC15C"/>
    <w:rsid w:val="00FF0135"/>
    <w:rsid w:val="00FF02D3"/>
    <w:rsid w:val="00FF060A"/>
    <w:rsid w:val="00FF07E9"/>
    <w:rsid w:val="00FF07F6"/>
    <w:rsid w:val="00FF0923"/>
    <w:rsid w:val="00FF0A04"/>
    <w:rsid w:val="00FF0B60"/>
    <w:rsid w:val="00FF0B6E"/>
    <w:rsid w:val="00FF0B74"/>
    <w:rsid w:val="00FF0BB8"/>
    <w:rsid w:val="00FF0BD7"/>
    <w:rsid w:val="00FF0C4C"/>
    <w:rsid w:val="00FF0CE5"/>
    <w:rsid w:val="00FF0D0E"/>
    <w:rsid w:val="00FF0D26"/>
    <w:rsid w:val="00FF0D3D"/>
    <w:rsid w:val="00FF0F77"/>
    <w:rsid w:val="00FF101D"/>
    <w:rsid w:val="00FF102D"/>
    <w:rsid w:val="00FF1136"/>
    <w:rsid w:val="00FF1268"/>
    <w:rsid w:val="00FF12ED"/>
    <w:rsid w:val="00FF1354"/>
    <w:rsid w:val="00FF1368"/>
    <w:rsid w:val="00FF1432"/>
    <w:rsid w:val="00FF146A"/>
    <w:rsid w:val="00FF155C"/>
    <w:rsid w:val="00FF15C6"/>
    <w:rsid w:val="00FF1626"/>
    <w:rsid w:val="00FF1696"/>
    <w:rsid w:val="00FF1732"/>
    <w:rsid w:val="00FF19DC"/>
    <w:rsid w:val="00FF1A15"/>
    <w:rsid w:val="00FF1A4E"/>
    <w:rsid w:val="00FF1A82"/>
    <w:rsid w:val="00FF1AE1"/>
    <w:rsid w:val="00FF1B42"/>
    <w:rsid w:val="00FF1B70"/>
    <w:rsid w:val="00FF1B71"/>
    <w:rsid w:val="00FF1D1A"/>
    <w:rsid w:val="00FF1E2B"/>
    <w:rsid w:val="00FF1E72"/>
    <w:rsid w:val="00FF1F18"/>
    <w:rsid w:val="00FF20CC"/>
    <w:rsid w:val="00FF20EE"/>
    <w:rsid w:val="00FF22B1"/>
    <w:rsid w:val="00FF239C"/>
    <w:rsid w:val="00FF2443"/>
    <w:rsid w:val="00FF2471"/>
    <w:rsid w:val="00FF250E"/>
    <w:rsid w:val="00FF256D"/>
    <w:rsid w:val="00FF261D"/>
    <w:rsid w:val="00FF2899"/>
    <w:rsid w:val="00FF2930"/>
    <w:rsid w:val="00FF2A44"/>
    <w:rsid w:val="00FF2A8F"/>
    <w:rsid w:val="00FF2BA5"/>
    <w:rsid w:val="00FF2C8A"/>
    <w:rsid w:val="00FF2DF2"/>
    <w:rsid w:val="00FF2E85"/>
    <w:rsid w:val="00FF2F3E"/>
    <w:rsid w:val="00FF2FA3"/>
    <w:rsid w:val="00FF30EB"/>
    <w:rsid w:val="00FF30F1"/>
    <w:rsid w:val="00FF31F4"/>
    <w:rsid w:val="00FF3232"/>
    <w:rsid w:val="00FF3279"/>
    <w:rsid w:val="00FF32D7"/>
    <w:rsid w:val="00FF336D"/>
    <w:rsid w:val="00FF3382"/>
    <w:rsid w:val="00FF34A7"/>
    <w:rsid w:val="00FF34EE"/>
    <w:rsid w:val="00FF35AC"/>
    <w:rsid w:val="00FF361F"/>
    <w:rsid w:val="00FF3632"/>
    <w:rsid w:val="00FF36A4"/>
    <w:rsid w:val="00FF3BEC"/>
    <w:rsid w:val="00FF3CB1"/>
    <w:rsid w:val="00FF3DEC"/>
    <w:rsid w:val="00FF3FF8"/>
    <w:rsid w:val="00FF4069"/>
    <w:rsid w:val="00FF4093"/>
    <w:rsid w:val="00FF4120"/>
    <w:rsid w:val="00FF4196"/>
    <w:rsid w:val="00FF422D"/>
    <w:rsid w:val="00FF42D4"/>
    <w:rsid w:val="00FF436E"/>
    <w:rsid w:val="00FF43F3"/>
    <w:rsid w:val="00FF466F"/>
    <w:rsid w:val="00FF46F2"/>
    <w:rsid w:val="00FF4754"/>
    <w:rsid w:val="00FF475D"/>
    <w:rsid w:val="00FF47A8"/>
    <w:rsid w:val="00FF47CA"/>
    <w:rsid w:val="00FF47DF"/>
    <w:rsid w:val="00FF4932"/>
    <w:rsid w:val="00FF4998"/>
    <w:rsid w:val="00FF4B18"/>
    <w:rsid w:val="00FF4C28"/>
    <w:rsid w:val="00FF4C39"/>
    <w:rsid w:val="00FF4CCD"/>
    <w:rsid w:val="00FF4CFF"/>
    <w:rsid w:val="00FF4D1B"/>
    <w:rsid w:val="00FF4D24"/>
    <w:rsid w:val="00FF4DA6"/>
    <w:rsid w:val="00FF4EA4"/>
    <w:rsid w:val="00FF4F12"/>
    <w:rsid w:val="00FF501B"/>
    <w:rsid w:val="00FF506E"/>
    <w:rsid w:val="00FF5206"/>
    <w:rsid w:val="00FF5379"/>
    <w:rsid w:val="00FF5505"/>
    <w:rsid w:val="00FF5526"/>
    <w:rsid w:val="00FF56BC"/>
    <w:rsid w:val="00FF580A"/>
    <w:rsid w:val="00FF5820"/>
    <w:rsid w:val="00FF58E4"/>
    <w:rsid w:val="00FF599A"/>
    <w:rsid w:val="00FF5A57"/>
    <w:rsid w:val="00FF5AAE"/>
    <w:rsid w:val="00FF5BD1"/>
    <w:rsid w:val="00FF5C7E"/>
    <w:rsid w:val="00FF5D9E"/>
    <w:rsid w:val="00FF5DC2"/>
    <w:rsid w:val="00FF5F69"/>
    <w:rsid w:val="00FF5F8D"/>
    <w:rsid w:val="00FF60E6"/>
    <w:rsid w:val="00FF613D"/>
    <w:rsid w:val="00FF61A2"/>
    <w:rsid w:val="00FF6527"/>
    <w:rsid w:val="00FF664E"/>
    <w:rsid w:val="00FF68BE"/>
    <w:rsid w:val="00FF69C3"/>
    <w:rsid w:val="00FF6A39"/>
    <w:rsid w:val="00FF6B21"/>
    <w:rsid w:val="00FF6CAC"/>
    <w:rsid w:val="00FF6D6C"/>
    <w:rsid w:val="00FF6DF8"/>
    <w:rsid w:val="00FF6F04"/>
    <w:rsid w:val="00FF6FDB"/>
    <w:rsid w:val="00FF7049"/>
    <w:rsid w:val="00FF7139"/>
    <w:rsid w:val="00FF71B5"/>
    <w:rsid w:val="00FF72DB"/>
    <w:rsid w:val="00FF73A1"/>
    <w:rsid w:val="00FF73D9"/>
    <w:rsid w:val="00FF7422"/>
    <w:rsid w:val="00FF74FE"/>
    <w:rsid w:val="00FF7558"/>
    <w:rsid w:val="00FF7680"/>
    <w:rsid w:val="00FF76B7"/>
    <w:rsid w:val="00FF7768"/>
    <w:rsid w:val="00FF77A4"/>
    <w:rsid w:val="00FF77F1"/>
    <w:rsid w:val="00FF7887"/>
    <w:rsid w:val="00FF7940"/>
    <w:rsid w:val="00FF7989"/>
    <w:rsid w:val="00FF79D8"/>
    <w:rsid w:val="00FF7A83"/>
    <w:rsid w:val="00FF7B18"/>
    <w:rsid w:val="00FF7DB8"/>
    <w:rsid w:val="00FF7E61"/>
    <w:rsid w:val="00FF7E72"/>
    <w:rsid w:val="00FF7F98"/>
    <w:rsid w:val="00FF7FAD"/>
    <w:rsid w:val="00FF7FEA"/>
    <w:rsid w:val="01048F5D"/>
    <w:rsid w:val="010DC5C9"/>
    <w:rsid w:val="0116A699"/>
    <w:rsid w:val="011DE558"/>
    <w:rsid w:val="0125A2BA"/>
    <w:rsid w:val="0126029C"/>
    <w:rsid w:val="0130897A"/>
    <w:rsid w:val="0131E590"/>
    <w:rsid w:val="013A3818"/>
    <w:rsid w:val="0145CA5E"/>
    <w:rsid w:val="0148EE9D"/>
    <w:rsid w:val="01597739"/>
    <w:rsid w:val="0168357D"/>
    <w:rsid w:val="016E0065"/>
    <w:rsid w:val="01705FC2"/>
    <w:rsid w:val="01715B6C"/>
    <w:rsid w:val="0171D825"/>
    <w:rsid w:val="017780FF"/>
    <w:rsid w:val="01835E39"/>
    <w:rsid w:val="018C4066"/>
    <w:rsid w:val="018E6B3B"/>
    <w:rsid w:val="0199B5B5"/>
    <w:rsid w:val="019BA4F3"/>
    <w:rsid w:val="019E1B44"/>
    <w:rsid w:val="01B484E7"/>
    <w:rsid w:val="01B95BE3"/>
    <w:rsid w:val="01BF222B"/>
    <w:rsid w:val="01C86DF9"/>
    <w:rsid w:val="01CABC3A"/>
    <w:rsid w:val="01CCCA5C"/>
    <w:rsid w:val="01D315DD"/>
    <w:rsid w:val="01D4D211"/>
    <w:rsid w:val="01D7D13A"/>
    <w:rsid w:val="01D8E99E"/>
    <w:rsid w:val="01D9053F"/>
    <w:rsid w:val="01DB8D7F"/>
    <w:rsid w:val="01E4C65F"/>
    <w:rsid w:val="01E56BD9"/>
    <w:rsid w:val="01EB8AA4"/>
    <w:rsid w:val="01EBDFF1"/>
    <w:rsid w:val="01F0A97D"/>
    <w:rsid w:val="01F9979F"/>
    <w:rsid w:val="021D87A9"/>
    <w:rsid w:val="0227436A"/>
    <w:rsid w:val="022ECB53"/>
    <w:rsid w:val="022F2CDE"/>
    <w:rsid w:val="022FEBFB"/>
    <w:rsid w:val="02374315"/>
    <w:rsid w:val="023EE16A"/>
    <w:rsid w:val="02455BF5"/>
    <w:rsid w:val="0247A6DF"/>
    <w:rsid w:val="024CF539"/>
    <w:rsid w:val="024E79B1"/>
    <w:rsid w:val="026AB0B9"/>
    <w:rsid w:val="02841DA4"/>
    <w:rsid w:val="0286834C"/>
    <w:rsid w:val="0292717A"/>
    <w:rsid w:val="029CA4BD"/>
    <w:rsid w:val="02A44359"/>
    <w:rsid w:val="02A5FADC"/>
    <w:rsid w:val="02A9AD86"/>
    <w:rsid w:val="02AADB8F"/>
    <w:rsid w:val="02ACB3D7"/>
    <w:rsid w:val="02B258AF"/>
    <w:rsid w:val="02B5EF60"/>
    <w:rsid w:val="02C3C856"/>
    <w:rsid w:val="02C8B23B"/>
    <w:rsid w:val="02CCB823"/>
    <w:rsid w:val="02DB18EA"/>
    <w:rsid w:val="02DC6977"/>
    <w:rsid w:val="02DD11DA"/>
    <w:rsid w:val="02E01945"/>
    <w:rsid w:val="02E81CDA"/>
    <w:rsid w:val="02E85526"/>
    <w:rsid w:val="02E95A2E"/>
    <w:rsid w:val="02F6614E"/>
    <w:rsid w:val="02FB7BB1"/>
    <w:rsid w:val="02FDAC33"/>
    <w:rsid w:val="03001E36"/>
    <w:rsid w:val="03015B19"/>
    <w:rsid w:val="03142532"/>
    <w:rsid w:val="031645FF"/>
    <w:rsid w:val="0316EBBB"/>
    <w:rsid w:val="031737DE"/>
    <w:rsid w:val="0337E0C4"/>
    <w:rsid w:val="0339BEA8"/>
    <w:rsid w:val="034007E9"/>
    <w:rsid w:val="0342E603"/>
    <w:rsid w:val="0343434B"/>
    <w:rsid w:val="034903AC"/>
    <w:rsid w:val="034905DD"/>
    <w:rsid w:val="034BCF49"/>
    <w:rsid w:val="0355DBCE"/>
    <w:rsid w:val="03629331"/>
    <w:rsid w:val="036A0036"/>
    <w:rsid w:val="036E564F"/>
    <w:rsid w:val="03839420"/>
    <w:rsid w:val="0383AA62"/>
    <w:rsid w:val="0383E9D8"/>
    <w:rsid w:val="0384B970"/>
    <w:rsid w:val="0386D1CE"/>
    <w:rsid w:val="038F7292"/>
    <w:rsid w:val="03909454"/>
    <w:rsid w:val="03967FFA"/>
    <w:rsid w:val="039DDEDA"/>
    <w:rsid w:val="03A5E2BA"/>
    <w:rsid w:val="03A63408"/>
    <w:rsid w:val="03AE6FE9"/>
    <w:rsid w:val="03B8B503"/>
    <w:rsid w:val="03B8EBA8"/>
    <w:rsid w:val="03BB006F"/>
    <w:rsid w:val="03C149AD"/>
    <w:rsid w:val="03CB97E2"/>
    <w:rsid w:val="03D98D6D"/>
    <w:rsid w:val="03E84AB1"/>
    <w:rsid w:val="03ED62FD"/>
    <w:rsid w:val="03F44D22"/>
    <w:rsid w:val="03F84D30"/>
    <w:rsid w:val="03F96296"/>
    <w:rsid w:val="03FD1057"/>
    <w:rsid w:val="03FDA7CD"/>
    <w:rsid w:val="0407FC64"/>
    <w:rsid w:val="042BE1A8"/>
    <w:rsid w:val="042DE32F"/>
    <w:rsid w:val="043B57CA"/>
    <w:rsid w:val="043F4543"/>
    <w:rsid w:val="04474423"/>
    <w:rsid w:val="045CF165"/>
    <w:rsid w:val="045FD37D"/>
    <w:rsid w:val="0461952D"/>
    <w:rsid w:val="0466D142"/>
    <w:rsid w:val="0481DBDA"/>
    <w:rsid w:val="04869F54"/>
    <w:rsid w:val="0487D8B5"/>
    <w:rsid w:val="04895ED0"/>
    <w:rsid w:val="048B9175"/>
    <w:rsid w:val="048EA23E"/>
    <w:rsid w:val="0490AE52"/>
    <w:rsid w:val="049574DD"/>
    <w:rsid w:val="049B2173"/>
    <w:rsid w:val="049C6101"/>
    <w:rsid w:val="049FFC13"/>
    <w:rsid w:val="04A0AB2A"/>
    <w:rsid w:val="04A0DE5F"/>
    <w:rsid w:val="04A10880"/>
    <w:rsid w:val="04AABF7A"/>
    <w:rsid w:val="04AF3E73"/>
    <w:rsid w:val="04CBF91F"/>
    <w:rsid w:val="04D05794"/>
    <w:rsid w:val="04D2365F"/>
    <w:rsid w:val="04D3CEC9"/>
    <w:rsid w:val="04E313DD"/>
    <w:rsid w:val="04EB1559"/>
    <w:rsid w:val="04EF0D1C"/>
    <w:rsid w:val="04F9F504"/>
    <w:rsid w:val="04FDA347"/>
    <w:rsid w:val="05111024"/>
    <w:rsid w:val="0514A328"/>
    <w:rsid w:val="0518B49E"/>
    <w:rsid w:val="05232FB2"/>
    <w:rsid w:val="05270642"/>
    <w:rsid w:val="052D80B1"/>
    <w:rsid w:val="0530793B"/>
    <w:rsid w:val="05323460"/>
    <w:rsid w:val="0535141F"/>
    <w:rsid w:val="054DD687"/>
    <w:rsid w:val="0552F366"/>
    <w:rsid w:val="055660B5"/>
    <w:rsid w:val="0564D834"/>
    <w:rsid w:val="056579BB"/>
    <w:rsid w:val="056BE857"/>
    <w:rsid w:val="056DA7F2"/>
    <w:rsid w:val="057D4A58"/>
    <w:rsid w:val="0588CD22"/>
    <w:rsid w:val="05897DB6"/>
    <w:rsid w:val="058A4360"/>
    <w:rsid w:val="0592A215"/>
    <w:rsid w:val="0593ECD4"/>
    <w:rsid w:val="05954173"/>
    <w:rsid w:val="0599572B"/>
    <w:rsid w:val="059D1809"/>
    <w:rsid w:val="059F913B"/>
    <w:rsid w:val="05A12327"/>
    <w:rsid w:val="05AC5F26"/>
    <w:rsid w:val="05B04C74"/>
    <w:rsid w:val="05B42BE7"/>
    <w:rsid w:val="05B65496"/>
    <w:rsid w:val="05B82CB8"/>
    <w:rsid w:val="05B92D16"/>
    <w:rsid w:val="05BAE59F"/>
    <w:rsid w:val="05BD06D6"/>
    <w:rsid w:val="05C4171C"/>
    <w:rsid w:val="05C95F4F"/>
    <w:rsid w:val="05CA5981"/>
    <w:rsid w:val="05CF2183"/>
    <w:rsid w:val="05D23600"/>
    <w:rsid w:val="05D6FA5B"/>
    <w:rsid w:val="05E52E9A"/>
    <w:rsid w:val="05E57E24"/>
    <w:rsid w:val="05EC6701"/>
    <w:rsid w:val="05F18510"/>
    <w:rsid w:val="05F3AA9A"/>
    <w:rsid w:val="05FB6896"/>
    <w:rsid w:val="060087D9"/>
    <w:rsid w:val="0602D87C"/>
    <w:rsid w:val="06064095"/>
    <w:rsid w:val="0608D97A"/>
    <w:rsid w:val="060F4CB7"/>
    <w:rsid w:val="06133826"/>
    <w:rsid w:val="061627AE"/>
    <w:rsid w:val="0620F433"/>
    <w:rsid w:val="062263EC"/>
    <w:rsid w:val="062877DC"/>
    <w:rsid w:val="062AEE8F"/>
    <w:rsid w:val="0639E08E"/>
    <w:rsid w:val="063A2AF0"/>
    <w:rsid w:val="063A6A2F"/>
    <w:rsid w:val="0646D0B0"/>
    <w:rsid w:val="064A8067"/>
    <w:rsid w:val="064C0075"/>
    <w:rsid w:val="064ED1BC"/>
    <w:rsid w:val="064FEFAC"/>
    <w:rsid w:val="06580228"/>
    <w:rsid w:val="065E7A23"/>
    <w:rsid w:val="065F1D4E"/>
    <w:rsid w:val="06613BDB"/>
    <w:rsid w:val="06679019"/>
    <w:rsid w:val="066A7AB5"/>
    <w:rsid w:val="06705115"/>
    <w:rsid w:val="0673914E"/>
    <w:rsid w:val="06779EB7"/>
    <w:rsid w:val="067A5067"/>
    <w:rsid w:val="067AC6A1"/>
    <w:rsid w:val="0684156B"/>
    <w:rsid w:val="06940C57"/>
    <w:rsid w:val="06953BE6"/>
    <w:rsid w:val="0698FDFE"/>
    <w:rsid w:val="06A50023"/>
    <w:rsid w:val="06A624A3"/>
    <w:rsid w:val="06A875FB"/>
    <w:rsid w:val="06A8C2A4"/>
    <w:rsid w:val="06ADF0BE"/>
    <w:rsid w:val="06B5F848"/>
    <w:rsid w:val="06B738F5"/>
    <w:rsid w:val="06BB46DF"/>
    <w:rsid w:val="06BFD401"/>
    <w:rsid w:val="06C51CAF"/>
    <w:rsid w:val="06C82034"/>
    <w:rsid w:val="06C82C4C"/>
    <w:rsid w:val="06D2E4AD"/>
    <w:rsid w:val="06D9D788"/>
    <w:rsid w:val="06DA10F6"/>
    <w:rsid w:val="06E0D6E6"/>
    <w:rsid w:val="06F4E47B"/>
    <w:rsid w:val="06F8D5AA"/>
    <w:rsid w:val="07049494"/>
    <w:rsid w:val="0706B9CA"/>
    <w:rsid w:val="070B72BC"/>
    <w:rsid w:val="070D5A55"/>
    <w:rsid w:val="070ED322"/>
    <w:rsid w:val="071FB3C4"/>
    <w:rsid w:val="0725016B"/>
    <w:rsid w:val="072CFC41"/>
    <w:rsid w:val="073090C0"/>
    <w:rsid w:val="0731FA18"/>
    <w:rsid w:val="073872B2"/>
    <w:rsid w:val="073DFBDF"/>
    <w:rsid w:val="07445333"/>
    <w:rsid w:val="0746DED3"/>
    <w:rsid w:val="07473A06"/>
    <w:rsid w:val="074D9D4A"/>
    <w:rsid w:val="07550760"/>
    <w:rsid w:val="0757E633"/>
    <w:rsid w:val="075B5E62"/>
    <w:rsid w:val="075C9C17"/>
    <w:rsid w:val="075CD805"/>
    <w:rsid w:val="076A244A"/>
    <w:rsid w:val="076EA4C1"/>
    <w:rsid w:val="0776CD97"/>
    <w:rsid w:val="077871DD"/>
    <w:rsid w:val="0780575C"/>
    <w:rsid w:val="07814965"/>
    <w:rsid w:val="0789B65D"/>
    <w:rsid w:val="078E05CA"/>
    <w:rsid w:val="0794F13D"/>
    <w:rsid w:val="079791E1"/>
    <w:rsid w:val="07AE93A8"/>
    <w:rsid w:val="07B123D6"/>
    <w:rsid w:val="07B3EB65"/>
    <w:rsid w:val="07B5C8BE"/>
    <w:rsid w:val="07B70639"/>
    <w:rsid w:val="07BC2E6E"/>
    <w:rsid w:val="07BE776F"/>
    <w:rsid w:val="07BF35E4"/>
    <w:rsid w:val="07BF7FD2"/>
    <w:rsid w:val="07D246B5"/>
    <w:rsid w:val="07D74EB0"/>
    <w:rsid w:val="07E08D8C"/>
    <w:rsid w:val="07E6DE20"/>
    <w:rsid w:val="07E97E9D"/>
    <w:rsid w:val="07F3CB43"/>
    <w:rsid w:val="07FB0AA4"/>
    <w:rsid w:val="08003693"/>
    <w:rsid w:val="08092D88"/>
    <w:rsid w:val="080B0D15"/>
    <w:rsid w:val="080CFA73"/>
    <w:rsid w:val="080ED5C0"/>
    <w:rsid w:val="08106472"/>
    <w:rsid w:val="08112DD1"/>
    <w:rsid w:val="0815DB6F"/>
    <w:rsid w:val="0815E82D"/>
    <w:rsid w:val="08172A65"/>
    <w:rsid w:val="081F99B5"/>
    <w:rsid w:val="08293866"/>
    <w:rsid w:val="0836B365"/>
    <w:rsid w:val="083F6D5A"/>
    <w:rsid w:val="08496DD1"/>
    <w:rsid w:val="084ADF02"/>
    <w:rsid w:val="084BCDBB"/>
    <w:rsid w:val="0850ED23"/>
    <w:rsid w:val="08569381"/>
    <w:rsid w:val="0857C3A8"/>
    <w:rsid w:val="08582648"/>
    <w:rsid w:val="086558B1"/>
    <w:rsid w:val="08762B32"/>
    <w:rsid w:val="0877CF9D"/>
    <w:rsid w:val="08847FEA"/>
    <w:rsid w:val="08894101"/>
    <w:rsid w:val="088E40B8"/>
    <w:rsid w:val="089F82DF"/>
    <w:rsid w:val="08AAF6E8"/>
    <w:rsid w:val="08ABB830"/>
    <w:rsid w:val="08AEB7C1"/>
    <w:rsid w:val="08AF5C00"/>
    <w:rsid w:val="08B6F2EB"/>
    <w:rsid w:val="08BB2FF9"/>
    <w:rsid w:val="08BC77B9"/>
    <w:rsid w:val="08C59BA9"/>
    <w:rsid w:val="08D7133E"/>
    <w:rsid w:val="08EF6CC7"/>
    <w:rsid w:val="08F74E9B"/>
    <w:rsid w:val="08F7E876"/>
    <w:rsid w:val="08FD37C1"/>
    <w:rsid w:val="09018C16"/>
    <w:rsid w:val="0902A368"/>
    <w:rsid w:val="090A0939"/>
    <w:rsid w:val="090B4F5E"/>
    <w:rsid w:val="090F0078"/>
    <w:rsid w:val="091E62AD"/>
    <w:rsid w:val="0925C5A1"/>
    <w:rsid w:val="09287D37"/>
    <w:rsid w:val="092F82E8"/>
    <w:rsid w:val="0930117F"/>
    <w:rsid w:val="094197D2"/>
    <w:rsid w:val="0941ECD9"/>
    <w:rsid w:val="0944717F"/>
    <w:rsid w:val="095136F5"/>
    <w:rsid w:val="09586CA9"/>
    <w:rsid w:val="095EAEFC"/>
    <w:rsid w:val="0962FCB4"/>
    <w:rsid w:val="0977B93C"/>
    <w:rsid w:val="097991B6"/>
    <w:rsid w:val="097D755E"/>
    <w:rsid w:val="0984070D"/>
    <w:rsid w:val="098693C0"/>
    <w:rsid w:val="09889182"/>
    <w:rsid w:val="098E5BD5"/>
    <w:rsid w:val="098F3F21"/>
    <w:rsid w:val="099BEFA0"/>
    <w:rsid w:val="099DDCF7"/>
    <w:rsid w:val="09A95EDA"/>
    <w:rsid w:val="09B6CB6F"/>
    <w:rsid w:val="09C2AFBF"/>
    <w:rsid w:val="09C32FBA"/>
    <w:rsid w:val="09CD168C"/>
    <w:rsid w:val="09D027D4"/>
    <w:rsid w:val="09E0CE3D"/>
    <w:rsid w:val="09E82889"/>
    <w:rsid w:val="09EBD8D2"/>
    <w:rsid w:val="09F35B15"/>
    <w:rsid w:val="09F7A3E6"/>
    <w:rsid w:val="09FA272D"/>
    <w:rsid w:val="09FC3B58"/>
    <w:rsid w:val="09FEC88C"/>
    <w:rsid w:val="09FFB149"/>
    <w:rsid w:val="0A10F401"/>
    <w:rsid w:val="0A1964F1"/>
    <w:rsid w:val="0A2695E4"/>
    <w:rsid w:val="0A338275"/>
    <w:rsid w:val="0A3EF87D"/>
    <w:rsid w:val="0A3F0581"/>
    <w:rsid w:val="0A4D461B"/>
    <w:rsid w:val="0A4F9786"/>
    <w:rsid w:val="0A57092F"/>
    <w:rsid w:val="0A646F69"/>
    <w:rsid w:val="0A6FAF72"/>
    <w:rsid w:val="0A758B25"/>
    <w:rsid w:val="0A7BCE49"/>
    <w:rsid w:val="0A7D54B8"/>
    <w:rsid w:val="0A826D70"/>
    <w:rsid w:val="0A8E0BDC"/>
    <w:rsid w:val="0A9376BC"/>
    <w:rsid w:val="0A965794"/>
    <w:rsid w:val="0A98DA47"/>
    <w:rsid w:val="0A9CE5F7"/>
    <w:rsid w:val="0A9DF61A"/>
    <w:rsid w:val="0A9F7033"/>
    <w:rsid w:val="0AA0A340"/>
    <w:rsid w:val="0AA53ED6"/>
    <w:rsid w:val="0AA67E83"/>
    <w:rsid w:val="0AB3DBD5"/>
    <w:rsid w:val="0AB57776"/>
    <w:rsid w:val="0AB7005A"/>
    <w:rsid w:val="0AB9C067"/>
    <w:rsid w:val="0ABAAB78"/>
    <w:rsid w:val="0ABF8A5F"/>
    <w:rsid w:val="0AD4C3A5"/>
    <w:rsid w:val="0AD61003"/>
    <w:rsid w:val="0AD7B093"/>
    <w:rsid w:val="0ADA79E2"/>
    <w:rsid w:val="0AE43509"/>
    <w:rsid w:val="0AEA1F14"/>
    <w:rsid w:val="0AEA3FC1"/>
    <w:rsid w:val="0AF03A36"/>
    <w:rsid w:val="0AF27E5C"/>
    <w:rsid w:val="0AF82E1B"/>
    <w:rsid w:val="0AFF8AC1"/>
    <w:rsid w:val="0B101F2A"/>
    <w:rsid w:val="0B19F08C"/>
    <w:rsid w:val="0B1B3D53"/>
    <w:rsid w:val="0B1BF388"/>
    <w:rsid w:val="0B26E371"/>
    <w:rsid w:val="0B29A619"/>
    <w:rsid w:val="0B2CF784"/>
    <w:rsid w:val="0B2E84E7"/>
    <w:rsid w:val="0B366EB3"/>
    <w:rsid w:val="0B4072A1"/>
    <w:rsid w:val="0B47678D"/>
    <w:rsid w:val="0B5A06EE"/>
    <w:rsid w:val="0B6811D6"/>
    <w:rsid w:val="0B79AA25"/>
    <w:rsid w:val="0B7AC182"/>
    <w:rsid w:val="0B7ADB22"/>
    <w:rsid w:val="0B7FC04B"/>
    <w:rsid w:val="0B831711"/>
    <w:rsid w:val="0B85DC36"/>
    <w:rsid w:val="0B869BB9"/>
    <w:rsid w:val="0B869FE2"/>
    <w:rsid w:val="0B8B4F31"/>
    <w:rsid w:val="0B8B610A"/>
    <w:rsid w:val="0B8DBA0E"/>
    <w:rsid w:val="0B94174D"/>
    <w:rsid w:val="0B952CD3"/>
    <w:rsid w:val="0B9B7E2E"/>
    <w:rsid w:val="0B9D075C"/>
    <w:rsid w:val="0BA3971C"/>
    <w:rsid w:val="0BA62CFF"/>
    <w:rsid w:val="0BA671A3"/>
    <w:rsid w:val="0BA96895"/>
    <w:rsid w:val="0BAD1B1D"/>
    <w:rsid w:val="0BADEE21"/>
    <w:rsid w:val="0BAEFB85"/>
    <w:rsid w:val="0BB2D111"/>
    <w:rsid w:val="0BB672BC"/>
    <w:rsid w:val="0BB73992"/>
    <w:rsid w:val="0BBC81B4"/>
    <w:rsid w:val="0BC389D6"/>
    <w:rsid w:val="0BCCFF3F"/>
    <w:rsid w:val="0BD5169A"/>
    <w:rsid w:val="0BD8F285"/>
    <w:rsid w:val="0BDD55DC"/>
    <w:rsid w:val="0BDE1415"/>
    <w:rsid w:val="0BDF06DB"/>
    <w:rsid w:val="0BDFDCEC"/>
    <w:rsid w:val="0BE30191"/>
    <w:rsid w:val="0BE8E9BF"/>
    <w:rsid w:val="0BF5B0AE"/>
    <w:rsid w:val="0BF77BA0"/>
    <w:rsid w:val="0BFAE451"/>
    <w:rsid w:val="0BFEC592"/>
    <w:rsid w:val="0C001E3A"/>
    <w:rsid w:val="0C021698"/>
    <w:rsid w:val="0C059DBF"/>
    <w:rsid w:val="0C076EE0"/>
    <w:rsid w:val="0C0B8860"/>
    <w:rsid w:val="0C1BE600"/>
    <w:rsid w:val="0C21DBE5"/>
    <w:rsid w:val="0C281DED"/>
    <w:rsid w:val="0C2A65E2"/>
    <w:rsid w:val="0C2B468C"/>
    <w:rsid w:val="0C2E6E4C"/>
    <w:rsid w:val="0C31FE5C"/>
    <w:rsid w:val="0C32002D"/>
    <w:rsid w:val="0C3CD897"/>
    <w:rsid w:val="0C3DA09F"/>
    <w:rsid w:val="0C4665C8"/>
    <w:rsid w:val="0C51831C"/>
    <w:rsid w:val="0C52A950"/>
    <w:rsid w:val="0C55D472"/>
    <w:rsid w:val="0C560D54"/>
    <w:rsid w:val="0C5A2974"/>
    <w:rsid w:val="0C5A8FC3"/>
    <w:rsid w:val="0C624982"/>
    <w:rsid w:val="0C69E6CA"/>
    <w:rsid w:val="0C7B483E"/>
    <w:rsid w:val="0C857A21"/>
    <w:rsid w:val="0C86CE8F"/>
    <w:rsid w:val="0C88DF94"/>
    <w:rsid w:val="0C8C6D63"/>
    <w:rsid w:val="0C8DDDF2"/>
    <w:rsid w:val="0C8F2BD6"/>
    <w:rsid w:val="0C980F28"/>
    <w:rsid w:val="0C9B1F44"/>
    <w:rsid w:val="0C9EFF85"/>
    <w:rsid w:val="0C9F3800"/>
    <w:rsid w:val="0CB06F0F"/>
    <w:rsid w:val="0CB082BE"/>
    <w:rsid w:val="0CB7F2F4"/>
    <w:rsid w:val="0CBB6105"/>
    <w:rsid w:val="0CC58D7B"/>
    <w:rsid w:val="0CC96AFE"/>
    <w:rsid w:val="0CCB75A2"/>
    <w:rsid w:val="0CE13909"/>
    <w:rsid w:val="0CE5CD35"/>
    <w:rsid w:val="0CF21EC0"/>
    <w:rsid w:val="0CF2A82B"/>
    <w:rsid w:val="0CF61955"/>
    <w:rsid w:val="0D0B9F04"/>
    <w:rsid w:val="0D11FE36"/>
    <w:rsid w:val="0D19829A"/>
    <w:rsid w:val="0D344220"/>
    <w:rsid w:val="0D49A078"/>
    <w:rsid w:val="0D4DFB41"/>
    <w:rsid w:val="0D4E021A"/>
    <w:rsid w:val="0D52C624"/>
    <w:rsid w:val="0D53C5CC"/>
    <w:rsid w:val="0D55CF72"/>
    <w:rsid w:val="0D596A3B"/>
    <w:rsid w:val="0D5B508E"/>
    <w:rsid w:val="0D6010BA"/>
    <w:rsid w:val="0D605CB5"/>
    <w:rsid w:val="0D640BEC"/>
    <w:rsid w:val="0D6C89A3"/>
    <w:rsid w:val="0D84AAD7"/>
    <w:rsid w:val="0D8DE191"/>
    <w:rsid w:val="0D9497D8"/>
    <w:rsid w:val="0D9674AB"/>
    <w:rsid w:val="0DA00222"/>
    <w:rsid w:val="0DA1C295"/>
    <w:rsid w:val="0DB2DA31"/>
    <w:rsid w:val="0DB4FADB"/>
    <w:rsid w:val="0DB9A76D"/>
    <w:rsid w:val="0DCA09E1"/>
    <w:rsid w:val="0DCAEEEF"/>
    <w:rsid w:val="0DE306AF"/>
    <w:rsid w:val="0DE9E252"/>
    <w:rsid w:val="0DEA8CC2"/>
    <w:rsid w:val="0DED9EEF"/>
    <w:rsid w:val="0DF95B76"/>
    <w:rsid w:val="0E06E4F0"/>
    <w:rsid w:val="0E088EBC"/>
    <w:rsid w:val="0E0AD685"/>
    <w:rsid w:val="0E1D5243"/>
    <w:rsid w:val="0E1EEAC0"/>
    <w:rsid w:val="0E225A72"/>
    <w:rsid w:val="0E2B52B6"/>
    <w:rsid w:val="0E3520B6"/>
    <w:rsid w:val="0E3762A0"/>
    <w:rsid w:val="0E417883"/>
    <w:rsid w:val="0E475B07"/>
    <w:rsid w:val="0E4FDA17"/>
    <w:rsid w:val="0E59253B"/>
    <w:rsid w:val="0E60A368"/>
    <w:rsid w:val="0E6E2F4F"/>
    <w:rsid w:val="0E713B11"/>
    <w:rsid w:val="0E71547B"/>
    <w:rsid w:val="0E79A3FD"/>
    <w:rsid w:val="0E7C15E8"/>
    <w:rsid w:val="0E7F4088"/>
    <w:rsid w:val="0E888776"/>
    <w:rsid w:val="0E8DFF84"/>
    <w:rsid w:val="0E9F756E"/>
    <w:rsid w:val="0E9FF1F7"/>
    <w:rsid w:val="0EA54841"/>
    <w:rsid w:val="0EA9933B"/>
    <w:rsid w:val="0EBE57AF"/>
    <w:rsid w:val="0ECAFB27"/>
    <w:rsid w:val="0ED2BE2A"/>
    <w:rsid w:val="0ED910D9"/>
    <w:rsid w:val="0EDF251B"/>
    <w:rsid w:val="0EDFAEB5"/>
    <w:rsid w:val="0EE9AD71"/>
    <w:rsid w:val="0EF58DA0"/>
    <w:rsid w:val="0EF5BAC6"/>
    <w:rsid w:val="0EFA73B1"/>
    <w:rsid w:val="0F02D99D"/>
    <w:rsid w:val="0F0313D8"/>
    <w:rsid w:val="0F047E1F"/>
    <w:rsid w:val="0F054DA2"/>
    <w:rsid w:val="0F10BED0"/>
    <w:rsid w:val="0F22DD9F"/>
    <w:rsid w:val="0F28F80F"/>
    <w:rsid w:val="0F2C8E99"/>
    <w:rsid w:val="0F2EFB30"/>
    <w:rsid w:val="0F30682C"/>
    <w:rsid w:val="0F30EC4A"/>
    <w:rsid w:val="0F394B22"/>
    <w:rsid w:val="0F3CFB24"/>
    <w:rsid w:val="0F40DF51"/>
    <w:rsid w:val="0F43A02C"/>
    <w:rsid w:val="0F526902"/>
    <w:rsid w:val="0F5F5892"/>
    <w:rsid w:val="0F6349CF"/>
    <w:rsid w:val="0F652325"/>
    <w:rsid w:val="0F66C71D"/>
    <w:rsid w:val="0F6E3824"/>
    <w:rsid w:val="0F751242"/>
    <w:rsid w:val="0F7E1C8B"/>
    <w:rsid w:val="0F81979C"/>
    <w:rsid w:val="0F866043"/>
    <w:rsid w:val="0F90E251"/>
    <w:rsid w:val="0F9AC8CF"/>
    <w:rsid w:val="0F9B2143"/>
    <w:rsid w:val="0F9B4A47"/>
    <w:rsid w:val="0F9B64BD"/>
    <w:rsid w:val="0FA02E6E"/>
    <w:rsid w:val="0FA755A9"/>
    <w:rsid w:val="0FA9C71B"/>
    <w:rsid w:val="0FAFB02F"/>
    <w:rsid w:val="0FB34899"/>
    <w:rsid w:val="0FC543A8"/>
    <w:rsid w:val="0FC6EF2B"/>
    <w:rsid w:val="0FC851EA"/>
    <w:rsid w:val="0FD34DD4"/>
    <w:rsid w:val="0FD4E286"/>
    <w:rsid w:val="0FD70835"/>
    <w:rsid w:val="0FD95E87"/>
    <w:rsid w:val="0FDB1E8E"/>
    <w:rsid w:val="0FDB871B"/>
    <w:rsid w:val="0FDBBBD5"/>
    <w:rsid w:val="0FDEF748"/>
    <w:rsid w:val="0FDFCEC7"/>
    <w:rsid w:val="0FE2AC66"/>
    <w:rsid w:val="0FEA5B98"/>
    <w:rsid w:val="0FEDC934"/>
    <w:rsid w:val="0FF58DD0"/>
    <w:rsid w:val="0FFA17C2"/>
    <w:rsid w:val="0FFE3A4C"/>
    <w:rsid w:val="1005F31A"/>
    <w:rsid w:val="1009B1C3"/>
    <w:rsid w:val="100E63B7"/>
    <w:rsid w:val="100E66DD"/>
    <w:rsid w:val="101557C3"/>
    <w:rsid w:val="101DBF64"/>
    <w:rsid w:val="102AFDBF"/>
    <w:rsid w:val="102B4CBC"/>
    <w:rsid w:val="10304574"/>
    <w:rsid w:val="1039A986"/>
    <w:rsid w:val="104776E6"/>
    <w:rsid w:val="1052C028"/>
    <w:rsid w:val="1054FFD1"/>
    <w:rsid w:val="10567566"/>
    <w:rsid w:val="10584488"/>
    <w:rsid w:val="10647D1D"/>
    <w:rsid w:val="10652EBE"/>
    <w:rsid w:val="10711A9C"/>
    <w:rsid w:val="1075B194"/>
    <w:rsid w:val="1077DA1F"/>
    <w:rsid w:val="1077E309"/>
    <w:rsid w:val="1078A6ED"/>
    <w:rsid w:val="107BC719"/>
    <w:rsid w:val="107C5210"/>
    <w:rsid w:val="107F6A09"/>
    <w:rsid w:val="10855CD9"/>
    <w:rsid w:val="108CAD6C"/>
    <w:rsid w:val="108CF493"/>
    <w:rsid w:val="108EF2AA"/>
    <w:rsid w:val="1095B6F5"/>
    <w:rsid w:val="109959A6"/>
    <w:rsid w:val="1099C30A"/>
    <w:rsid w:val="10A16487"/>
    <w:rsid w:val="10A2971B"/>
    <w:rsid w:val="10AD086A"/>
    <w:rsid w:val="10B8CB28"/>
    <w:rsid w:val="10BEA238"/>
    <w:rsid w:val="10C2B830"/>
    <w:rsid w:val="10C520EA"/>
    <w:rsid w:val="10CA8AA6"/>
    <w:rsid w:val="10D50B9F"/>
    <w:rsid w:val="10D9B15D"/>
    <w:rsid w:val="10DE06BD"/>
    <w:rsid w:val="10E2E085"/>
    <w:rsid w:val="10ED6750"/>
    <w:rsid w:val="10EEF2AA"/>
    <w:rsid w:val="10F2EC71"/>
    <w:rsid w:val="11048B63"/>
    <w:rsid w:val="1107400D"/>
    <w:rsid w:val="1112A893"/>
    <w:rsid w:val="11188A12"/>
    <w:rsid w:val="112035F6"/>
    <w:rsid w:val="1129962F"/>
    <w:rsid w:val="11383A67"/>
    <w:rsid w:val="113DEF8A"/>
    <w:rsid w:val="114A728D"/>
    <w:rsid w:val="114B3868"/>
    <w:rsid w:val="114F125D"/>
    <w:rsid w:val="11542BD8"/>
    <w:rsid w:val="116F5754"/>
    <w:rsid w:val="1176A6C7"/>
    <w:rsid w:val="117975C5"/>
    <w:rsid w:val="117F32D6"/>
    <w:rsid w:val="11869CBC"/>
    <w:rsid w:val="1190208F"/>
    <w:rsid w:val="1190456B"/>
    <w:rsid w:val="1195AE60"/>
    <w:rsid w:val="1196FC92"/>
    <w:rsid w:val="11A0B446"/>
    <w:rsid w:val="11A1DB3C"/>
    <w:rsid w:val="11A43037"/>
    <w:rsid w:val="11A4419B"/>
    <w:rsid w:val="11AAF150"/>
    <w:rsid w:val="11AB3608"/>
    <w:rsid w:val="11AEAA5C"/>
    <w:rsid w:val="11B4CF25"/>
    <w:rsid w:val="11BF1E80"/>
    <w:rsid w:val="11C006FC"/>
    <w:rsid w:val="11C94F55"/>
    <w:rsid w:val="11CE548B"/>
    <w:rsid w:val="11CFA936"/>
    <w:rsid w:val="11D00DEA"/>
    <w:rsid w:val="11D31216"/>
    <w:rsid w:val="11D3A834"/>
    <w:rsid w:val="11DB9D40"/>
    <w:rsid w:val="11DECA9A"/>
    <w:rsid w:val="11E4762D"/>
    <w:rsid w:val="11F29C02"/>
    <w:rsid w:val="11FCAD09"/>
    <w:rsid w:val="1201DD63"/>
    <w:rsid w:val="1202A367"/>
    <w:rsid w:val="12098C17"/>
    <w:rsid w:val="121105AE"/>
    <w:rsid w:val="1229C342"/>
    <w:rsid w:val="122DAE68"/>
    <w:rsid w:val="122DB8D0"/>
    <w:rsid w:val="1230A294"/>
    <w:rsid w:val="1234A3A3"/>
    <w:rsid w:val="123B8E07"/>
    <w:rsid w:val="123F54A3"/>
    <w:rsid w:val="124E3A8A"/>
    <w:rsid w:val="1253C91C"/>
    <w:rsid w:val="125414FC"/>
    <w:rsid w:val="12564DF9"/>
    <w:rsid w:val="125E3AE6"/>
    <w:rsid w:val="125E8B6E"/>
    <w:rsid w:val="126A9FCA"/>
    <w:rsid w:val="126EED6F"/>
    <w:rsid w:val="1278C455"/>
    <w:rsid w:val="1282EF56"/>
    <w:rsid w:val="129095F5"/>
    <w:rsid w:val="12991094"/>
    <w:rsid w:val="129B9A06"/>
    <w:rsid w:val="12AC190C"/>
    <w:rsid w:val="12B19F49"/>
    <w:rsid w:val="12B8845F"/>
    <w:rsid w:val="12BBCE93"/>
    <w:rsid w:val="12BF4216"/>
    <w:rsid w:val="12C3D7EF"/>
    <w:rsid w:val="12C67854"/>
    <w:rsid w:val="12D07BB0"/>
    <w:rsid w:val="12D6232E"/>
    <w:rsid w:val="12E56B2B"/>
    <w:rsid w:val="12E86B0E"/>
    <w:rsid w:val="12EDED34"/>
    <w:rsid w:val="12F22225"/>
    <w:rsid w:val="12F295ED"/>
    <w:rsid w:val="12F8C1A5"/>
    <w:rsid w:val="13041CCD"/>
    <w:rsid w:val="1309993B"/>
    <w:rsid w:val="131C01E5"/>
    <w:rsid w:val="131CAF7A"/>
    <w:rsid w:val="132570D7"/>
    <w:rsid w:val="13266255"/>
    <w:rsid w:val="1329716C"/>
    <w:rsid w:val="1333D7F1"/>
    <w:rsid w:val="1336DBD8"/>
    <w:rsid w:val="1343D855"/>
    <w:rsid w:val="1347AA14"/>
    <w:rsid w:val="134BE57E"/>
    <w:rsid w:val="134E6AD4"/>
    <w:rsid w:val="1357B920"/>
    <w:rsid w:val="136086E9"/>
    <w:rsid w:val="136CCC21"/>
    <w:rsid w:val="1374E0CA"/>
    <w:rsid w:val="137C0D32"/>
    <w:rsid w:val="137E2ECE"/>
    <w:rsid w:val="137F55FF"/>
    <w:rsid w:val="138BC22A"/>
    <w:rsid w:val="138FFD47"/>
    <w:rsid w:val="13A0E2C2"/>
    <w:rsid w:val="13A36E9F"/>
    <w:rsid w:val="13A63D03"/>
    <w:rsid w:val="13A86003"/>
    <w:rsid w:val="13ABE8C6"/>
    <w:rsid w:val="13AF787D"/>
    <w:rsid w:val="13B0FBD4"/>
    <w:rsid w:val="13B24C91"/>
    <w:rsid w:val="13B37C5D"/>
    <w:rsid w:val="13B486FE"/>
    <w:rsid w:val="13BC7433"/>
    <w:rsid w:val="13BD09CB"/>
    <w:rsid w:val="13C01A81"/>
    <w:rsid w:val="13C7A6B0"/>
    <w:rsid w:val="13C7EE33"/>
    <w:rsid w:val="13C9320F"/>
    <w:rsid w:val="13C9348A"/>
    <w:rsid w:val="13CEF085"/>
    <w:rsid w:val="13CEFD57"/>
    <w:rsid w:val="13E62596"/>
    <w:rsid w:val="13EAA87C"/>
    <w:rsid w:val="13EB747B"/>
    <w:rsid w:val="13EC04B4"/>
    <w:rsid w:val="13EE9FCD"/>
    <w:rsid w:val="13F39260"/>
    <w:rsid w:val="140F211E"/>
    <w:rsid w:val="1425EA12"/>
    <w:rsid w:val="1435510E"/>
    <w:rsid w:val="14400C0A"/>
    <w:rsid w:val="144AB69B"/>
    <w:rsid w:val="145030CF"/>
    <w:rsid w:val="145C7FED"/>
    <w:rsid w:val="145FCC4F"/>
    <w:rsid w:val="1466AA68"/>
    <w:rsid w:val="146BF636"/>
    <w:rsid w:val="14748DB5"/>
    <w:rsid w:val="14768478"/>
    <w:rsid w:val="1477F6E7"/>
    <w:rsid w:val="147F7038"/>
    <w:rsid w:val="148E10DC"/>
    <w:rsid w:val="14906041"/>
    <w:rsid w:val="14981A2C"/>
    <w:rsid w:val="14981E30"/>
    <w:rsid w:val="1499EA5A"/>
    <w:rsid w:val="14A177FA"/>
    <w:rsid w:val="14A3E988"/>
    <w:rsid w:val="14A52C8F"/>
    <w:rsid w:val="14A6973F"/>
    <w:rsid w:val="14A85C40"/>
    <w:rsid w:val="14A86DC1"/>
    <w:rsid w:val="14A90E76"/>
    <w:rsid w:val="14AAE267"/>
    <w:rsid w:val="14AF2D3B"/>
    <w:rsid w:val="14BE45BD"/>
    <w:rsid w:val="14C27D95"/>
    <w:rsid w:val="14C34000"/>
    <w:rsid w:val="14C7D190"/>
    <w:rsid w:val="14CC03E1"/>
    <w:rsid w:val="14E42977"/>
    <w:rsid w:val="14E4D5B3"/>
    <w:rsid w:val="14E8BFD2"/>
    <w:rsid w:val="14ED2FA5"/>
    <w:rsid w:val="14F035C6"/>
    <w:rsid w:val="14F83004"/>
    <w:rsid w:val="14F98EC6"/>
    <w:rsid w:val="1504AB69"/>
    <w:rsid w:val="150997A1"/>
    <w:rsid w:val="15158DAD"/>
    <w:rsid w:val="15161E3A"/>
    <w:rsid w:val="1517A5B1"/>
    <w:rsid w:val="151A787A"/>
    <w:rsid w:val="15274F22"/>
    <w:rsid w:val="15341868"/>
    <w:rsid w:val="153D2501"/>
    <w:rsid w:val="15528B30"/>
    <w:rsid w:val="1555B30C"/>
    <w:rsid w:val="155B371C"/>
    <w:rsid w:val="155D90F9"/>
    <w:rsid w:val="156C5506"/>
    <w:rsid w:val="156DBDF4"/>
    <w:rsid w:val="157B1BB0"/>
    <w:rsid w:val="1587CDA0"/>
    <w:rsid w:val="1589AE0A"/>
    <w:rsid w:val="158DBA60"/>
    <w:rsid w:val="1598BF05"/>
    <w:rsid w:val="159A867D"/>
    <w:rsid w:val="15A00EE2"/>
    <w:rsid w:val="15A226BA"/>
    <w:rsid w:val="15B0C37C"/>
    <w:rsid w:val="15B51CE2"/>
    <w:rsid w:val="15C15B6F"/>
    <w:rsid w:val="15C3D908"/>
    <w:rsid w:val="15C704FB"/>
    <w:rsid w:val="15CA0426"/>
    <w:rsid w:val="15CDB268"/>
    <w:rsid w:val="15CF110C"/>
    <w:rsid w:val="15D271B1"/>
    <w:rsid w:val="15D6872B"/>
    <w:rsid w:val="15E8E11F"/>
    <w:rsid w:val="15F3C51A"/>
    <w:rsid w:val="15F84FA2"/>
    <w:rsid w:val="15FFAFED"/>
    <w:rsid w:val="16163043"/>
    <w:rsid w:val="161E3C08"/>
    <w:rsid w:val="1629F476"/>
    <w:rsid w:val="162CADFA"/>
    <w:rsid w:val="162F9949"/>
    <w:rsid w:val="16387DA9"/>
    <w:rsid w:val="1644E44C"/>
    <w:rsid w:val="164CC518"/>
    <w:rsid w:val="1651BC1F"/>
    <w:rsid w:val="1652F47F"/>
    <w:rsid w:val="1655B8EF"/>
    <w:rsid w:val="16561D61"/>
    <w:rsid w:val="165638E2"/>
    <w:rsid w:val="165C1A4E"/>
    <w:rsid w:val="165F2EAF"/>
    <w:rsid w:val="16634933"/>
    <w:rsid w:val="16659273"/>
    <w:rsid w:val="1667445E"/>
    <w:rsid w:val="166C3DAF"/>
    <w:rsid w:val="166DB328"/>
    <w:rsid w:val="1673AC12"/>
    <w:rsid w:val="16756B45"/>
    <w:rsid w:val="1675EC9D"/>
    <w:rsid w:val="167A3CFD"/>
    <w:rsid w:val="167E59F0"/>
    <w:rsid w:val="1682F61B"/>
    <w:rsid w:val="168A85C6"/>
    <w:rsid w:val="168F6E65"/>
    <w:rsid w:val="16948405"/>
    <w:rsid w:val="169A11B1"/>
    <w:rsid w:val="169C580C"/>
    <w:rsid w:val="169DF8E0"/>
    <w:rsid w:val="16A1526C"/>
    <w:rsid w:val="16A3DEDF"/>
    <w:rsid w:val="16A66ECE"/>
    <w:rsid w:val="16B08A3A"/>
    <w:rsid w:val="16C7D705"/>
    <w:rsid w:val="16CE2BD2"/>
    <w:rsid w:val="16CFA7E6"/>
    <w:rsid w:val="16D571D8"/>
    <w:rsid w:val="16DA608E"/>
    <w:rsid w:val="16DF4BC3"/>
    <w:rsid w:val="16E27FF1"/>
    <w:rsid w:val="16F34442"/>
    <w:rsid w:val="16F8C560"/>
    <w:rsid w:val="16FD49E4"/>
    <w:rsid w:val="16FE0D6C"/>
    <w:rsid w:val="16FE28B0"/>
    <w:rsid w:val="16FE5E46"/>
    <w:rsid w:val="16FF69D3"/>
    <w:rsid w:val="17003A94"/>
    <w:rsid w:val="17003DB2"/>
    <w:rsid w:val="1705F927"/>
    <w:rsid w:val="170A7C98"/>
    <w:rsid w:val="1719658E"/>
    <w:rsid w:val="171E0F7F"/>
    <w:rsid w:val="17277D71"/>
    <w:rsid w:val="172E6AFC"/>
    <w:rsid w:val="172ED825"/>
    <w:rsid w:val="172F05F2"/>
    <w:rsid w:val="17344852"/>
    <w:rsid w:val="1734E95E"/>
    <w:rsid w:val="1740A8D3"/>
    <w:rsid w:val="17412E44"/>
    <w:rsid w:val="1753E8DC"/>
    <w:rsid w:val="175A2328"/>
    <w:rsid w:val="1766D582"/>
    <w:rsid w:val="17731158"/>
    <w:rsid w:val="177C3DD5"/>
    <w:rsid w:val="177F6FDC"/>
    <w:rsid w:val="177FA7B8"/>
    <w:rsid w:val="17825D1B"/>
    <w:rsid w:val="17841F23"/>
    <w:rsid w:val="178617ED"/>
    <w:rsid w:val="1789CB7C"/>
    <w:rsid w:val="178E7720"/>
    <w:rsid w:val="178EC32B"/>
    <w:rsid w:val="17934795"/>
    <w:rsid w:val="1797CB8C"/>
    <w:rsid w:val="179FD73D"/>
    <w:rsid w:val="17A4992A"/>
    <w:rsid w:val="17B34523"/>
    <w:rsid w:val="17B45B51"/>
    <w:rsid w:val="17B8F7E1"/>
    <w:rsid w:val="17BD45CA"/>
    <w:rsid w:val="17BFE2DB"/>
    <w:rsid w:val="17CC9B49"/>
    <w:rsid w:val="17CD2A1F"/>
    <w:rsid w:val="17CF49DB"/>
    <w:rsid w:val="17DBC0E9"/>
    <w:rsid w:val="17EDAE9C"/>
    <w:rsid w:val="17EDDF25"/>
    <w:rsid w:val="17F2270C"/>
    <w:rsid w:val="180260B7"/>
    <w:rsid w:val="18047167"/>
    <w:rsid w:val="180A1B52"/>
    <w:rsid w:val="180C368E"/>
    <w:rsid w:val="1813928D"/>
    <w:rsid w:val="1816DA14"/>
    <w:rsid w:val="181E8D2D"/>
    <w:rsid w:val="181F22E4"/>
    <w:rsid w:val="181F5721"/>
    <w:rsid w:val="1825F416"/>
    <w:rsid w:val="1836BFFF"/>
    <w:rsid w:val="183F33EC"/>
    <w:rsid w:val="1842C5BD"/>
    <w:rsid w:val="18439B97"/>
    <w:rsid w:val="184B50FB"/>
    <w:rsid w:val="18515E93"/>
    <w:rsid w:val="1854E61D"/>
    <w:rsid w:val="185DF2E7"/>
    <w:rsid w:val="186B2D18"/>
    <w:rsid w:val="186FD4F6"/>
    <w:rsid w:val="187337CA"/>
    <w:rsid w:val="187D6169"/>
    <w:rsid w:val="18804B71"/>
    <w:rsid w:val="1886E660"/>
    <w:rsid w:val="188A6E3D"/>
    <w:rsid w:val="1899E149"/>
    <w:rsid w:val="189CEB10"/>
    <w:rsid w:val="189F6683"/>
    <w:rsid w:val="189F9568"/>
    <w:rsid w:val="18A7F2A0"/>
    <w:rsid w:val="18A94C7C"/>
    <w:rsid w:val="18AB7F6B"/>
    <w:rsid w:val="18B457FE"/>
    <w:rsid w:val="18C415BF"/>
    <w:rsid w:val="18C44960"/>
    <w:rsid w:val="18C646A4"/>
    <w:rsid w:val="18C9246C"/>
    <w:rsid w:val="18CE3E28"/>
    <w:rsid w:val="18D2E168"/>
    <w:rsid w:val="18D3B725"/>
    <w:rsid w:val="18DAE663"/>
    <w:rsid w:val="18DE1A68"/>
    <w:rsid w:val="18E0F114"/>
    <w:rsid w:val="18E5B29B"/>
    <w:rsid w:val="18E5E00C"/>
    <w:rsid w:val="18E67AE9"/>
    <w:rsid w:val="18E751FF"/>
    <w:rsid w:val="18E93BA8"/>
    <w:rsid w:val="18EA0E06"/>
    <w:rsid w:val="18EF2603"/>
    <w:rsid w:val="18EF891A"/>
    <w:rsid w:val="18F19BD2"/>
    <w:rsid w:val="1908E649"/>
    <w:rsid w:val="19179F79"/>
    <w:rsid w:val="193ECA8F"/>
    <w:rsid w:val="193FB6A4"/>
    <w:rsid w:val="19460973"/>
    <w:rsid w:val="1949B09E"/>
    <w:rsid w:val="194FD099"/>
    <w:rsid w:val="195446B1"/>
    <w:rsid w:val="19562445"/>
    <w:rsid w:val="1956D5DA"/>
    <w:rsid w:val="1959F222"/>
    <w:rsid w:val="195CD060"/>
    <w:rsid w:val="19634959"/>
    <w:rsid w:val="1968CF42"/>
    <w:rsid w:val="19694887"/>
    <w:rsid w:val="196B7866"/>
    <w:rsid w:val="197837D3"/>
    <w:rsid w:val="198435BE"/>
    <w:rsid w:val="19937551"/>
    <w:rsid w:val="1996E659"/>
    <w:rsid w:val="1996FBF1"/>
    <w:rsid w:val="199ADDE5"/>
    <w:rsid w:val="199E34CF"/>
    <w:rsid w:val="199E6CF5"/>
    <w:rsid w:val="19A17DCD"/>
    <w:rsid w:val="19A65483"/>
    <w:rsid w:val="19A7F909"/>
    <w:rsid w:val="19B4BC45"/>
    <w:rsid w:val="19B6C1FA"/>
    <w:rsid w:val="19BAC6F9"/>
    <w:rsid w:val="19BBBD1A"/>
    <w:rsid w:val="19C19B84"/>
    <w:rsid w:val="19C38785"/>
    <w:rsid w:val="19C425E2"/>
    <w:rsid w:val="19CE6C04"/>
    <w:rsid w:val="19CF41A9"/>
    <w:rsid w:val="19D0D21F"/>
    <w:rsid w:val="19D18AD4"/>
    <w:rsid w:val="19D9BBDB"/>
    <w:rsid w:val="19DD4B01"/>
    <w:rsid w:val="19E20B6C"/>
    <w:rsid w:val="19E63D09"/>
    <w:rsid w:val="19E79BD3"/>
    <w:rsid w:val="19E84EF7"/>
    <w:rsid w:val="19E8AF1D"/>
    <w:rsid w:val="19ED9674"/>
    <w:rsid w:val="19F91B1E"/>
    <w:rsid w:val="19FE3ED2"/>
    <w:rsid w:val="19FE4B39"/>
    <w:rsid w:val="1A011B9D"/>
    <w:rsid w:val="1A063D5A"/>
    <w:rsid w:val="1A093ED7"/>
    <w:rsid w:val="1A0F2B8A"/>
    <w:rsid w:val="1A10D817"/>
    <w:rsid w:val="1A13F348"/>
    <w:rsid w:val="1A1A4B83"/>
    <w:rsid w:val="1A23FC6A"/>
    <w:rsid w:val="1A256FAA"/>
    <w:rsid w:val="1A2CF73B"/>
    <w:rsid w:val="1A30FB63"/>
    <w:rsid w:val="1A368030"/>
    <w:rsid w:val="1A43753E"/>
    <w:rsid w:val="1A480E88"/>
    <w:rsid w:val="1A4C12F3"/>
    <w:rsid w:val="1A4D2A84"/>
    <w:rsid w:val="1A5CA9E8"/>
    <w:rsid w:val="1A685F16"/>
    <w:rsid w:val="1A6AAAAC"/>
    <w:rsid w:val="1A6AFA8B"/>
    <w:rsid w:val="1A73CF93"/>
    <w:rsid w:val="1A741D3E"/>
    <w:rsid w:val="1A766DA3"/>
    <w:rsid w:val="1A77E4DB"/>
    <w:rsid w:val="1A87E7C1"/>
    <w:rsid w:val="1A8DFA6A"/>
    <w:rsid w:val="1A9584AB"/>
    <w:rsid w:val="1A961C56"/>
    <w:rsid w:val="1A979781"/>
    <w:rsid w:val="1A995ED6"/>
    <w:rsid w:val="1A9BD115"/>
    <w:rsid w:val="1AA900F5"/>
    <w:rsid w:val="1AAA4417"/>
    <w:rsid w:val="1AB11A17"/>
    <w:rsid w:val="1AB4166B"/>
    <w:rsid w:val="1AC00C1F"/>
    <w:rsid w:val="1AC131CB"/>
    <w:rsid w:val="1AC9F324"/>
    <w:rsid w:val="1ACA177E"/>
    <w:rsid w:val="1ACF932B"/>
    <w:rsid w:val="1AE07AFC"/>
    <w:rsid w:val="1AE5A4E6"/>
    <w:rsid w:val="1AE83C0F"/>
    <w:rsid w:val="1AF4D5DB"/>
    <w:rsid w:val="1AF7515B"/>
    <w:rsid w:val="1AFA5A68"/>
    <w:rsid w:val="1B052126"/>
    <w:rsid w:val="1B060CE0"/>
    <w:rsid w:val="1B095F5B"/>
    <w:rsid w:val="1B0D7406"/>
    <w:rsid w:val="1B1095F1"/>
    <w:rsid w:val="1B185197"/>
    <w:rsid w:val="1B1A8ACE"/>
    <w:rsid w:val="1B2FF804"/>
    <w:rsid w:val="1B3393E4"/>
    <w:rsid w:val="1B3780B2"/>
    <w:rsid w:val="1B391C16"/>
    <w:rsid w:val="1B3B0EF4"/>
    <w:rsid w:val="1B3DBE96"/>
    <w:rsid w:val="1B500809"/>
    <w:rsid w:val="1B503CE0"/>
    <w:rsid w:val="1B5A77B4"/>
    <w:rsid w:val="1B5C5D22"/>
    <w:rsid w:val="1B6A93DF"/>
    <w:rsid w:val="1B6C441A"/>
    <w:rsid w:val="1B757338"/>
    <w:rsid w:val="1B78BE24"/>
    <w:rsid w:val="1B7BABC8"/>
    <w:rsid w:val="1B7E6056"/>
    <w:rsid w:val="1B838B0F"/>
    <w:rsid w:val="1B842457"/>
    <w:rsid w:val="1B85B5CC"/>
    <w:rsid w:val="1B88388B"/>
    <w:rsid w:val="1B8CF8B9"/>
    <w:rsid w:val="1B8D6960"/>
    <w:rsid w:val="1B95184D"/>
    <w:rsid w:val="1B964664"/>
    <w:rsid w:val="1B9E6E3D"/>
    <w:rsid w:val="1BA1FBED"/>
    <w:rsid w:val="1BA40C80"/>
    <w:rsid w:val="1BA8A998"/>
    <w:rsid w:val="1BAD2891"/>
    <w:rsid w:val="1BB39E22"/>
    <w:rsid w:val="1BB62DFE"/>
    <w:rsid w:val="1BBF49B4"/>
    <w:rsid w:val="1BC91C94"/>
    <w:rsid w:val="1BCFFE52"/>
    <w:rsid w:val="1BD6CB73"/>
    <w:rsid w:val="1BD6DEE2"/>
    <w:rsid w:val="1BDB9BDA"/>
    <w:rsid w:val="1BDDEACA"/>
    <w:rsid w:val="1BDEB8B1"/>
    <w:rsid w:val="1BE19874"/>
    <w:rsid w:val="1BE1EF87"/>
    <w:rsid w:val="1BE5E141"/>
    <w:rsid w:val="1BEAF0FF"/>
    <w:rsid w:val="1C059D11"/>
    <w:rsid w:val="1C0D58F3"/>
    <w:rsid w:val="1C0FF8AF"/>
    <w:rsid w:val="1C18DBFD"/>
    <w:rsid w:val="1C1D40AC"/>
    <w:rsid w:val="1C1DA9B8"/>
    <w:rsid w:val="1C1E3A67"/>
    <w:rsid w:val="1C232381"/>
    <w:rsid w:val="1C2923AE"/>
    <w:rsid w:val="1C295F1B"/>
    <w:rsid w:val="1C2AE1CD"/>
    <w:rsid w:val="1C2BF364"/>
    <w:rsid w:val="1C369401"/>
    <w:rsid w:val="1C47B3FF"/>
    <w:rsid w:val="1C49DE57"/>
    <w:rsid w:val="1C4AAF36"/>
    <w:rsid w:val="1C4CAF17"/>
    <w:rsid w:val="1C567D24"/>
    <w:rsid w:val="1C569569"/>
    <w:rsid w:val="1C58D46B"/>
    <w:rsid w:val="1C59F556"/>
    <w:rsid w:val="1C5A099B"/>
    <w:rsid w:val="1C60FC43"/>
    <w:rsid w:val="1C610604"/>
    <w:rsid w:val="1C6E6152"/>
    <w:rsid w:val="1C6EFFBB"/>
    <w:rsid w:val="1C6FED9F"/>
    <w:rsid w:val="1C7487ED"/>
    <w:rsid w:val="1C7D3B51"/>
    <w:rsid w:val="1C824DAB"/>
    <w:rsid w:val="1C865834"/>
    <w:rsid w:val="1C9C1DDC"/>
    <w:rsid w:val="1CA0F38B"/>
    <w:rsid w:val="1CAE6CFE"/>
    <w:rsid w:val="1CB61705"/>
    <w:rsid w:val="1CB7E983"/>
    <w:rsid w:val="1CBBAFE5"/>
    <w:rsid w:val="1CBEBA49"/>
    <w:rsid w:val="1CC0895E"/>
    <w:rsid w:val="1CD4046F"/>
    <w:rsid w:val="1CD4C977"/>
    <w:rsid w:val="1CDED4BB"/>
    <w:rsid w:val="1CF7136F"/>
    <w:rsid w:val="1CF92780"/>
    <w:rsid w:val="1CFB58C8"/>
    <w:rsid w:val="1CFE3774"/>
    <w:rsid w:val="1D086358"/>
    <w:rsid w:val="1D0AE2CA"/>
    <w:rsid w:val="1D0B59D5"/>
    <w:rsid w:val="1D0CF1D4"/>
    <w:rsid w:val="1D0EC24E"/>
    <w:rsid w:val="1D1165AE"/>
    <w:rsid w:val="1D178FCA"/>
    <w:rsid w:val="1D1DC9F3"/>
    <w:rsid w:val="1D21BE58"/>
    <w:rsid w:val="1D27891C"/>
    <w:rsid w:val="1D2878B1"/>
    <w:rsid w:val="1D2FEF71"/>
    <w:rsid w:val="1D300E7F"/>
    <w:rsid w:val="1D302650"/>
    <w:rsid w:val="1D38A040"/>
    <w:rsid w:val="1D4809B8"/>
    <w:rsid w:val="1D4C080E"/>
    <w:rsid w:val="1D5575CD"/>
    <w:rsid w:val="1D5C0E5D"/>
    <w:rsid w:val="1D5D0741"/>
    <w:rsid w:val="1D607FC4"/>
    <w:rsid w:val="1D64B137"/>
    <w:rsid w:val="1D6B7B58"/>
    <w:rsid w:val="1D73FA68"/>
    <w:rsid w:val="1D7E787A"/>
    <w:rsid w:val="1D8696CF"/>
    <w:rsid w:val="1D87FEDE"/>
    <w:rsid w:val="1D9017B3"/>
    <w:rsid w:val="1D971A88"/>
    <w:rsid w:val="1D9B80C1"/>
    <w:rsid w:val="1D9E8722"/>
    <w:rsid w:val="1DA90E3B"/>
    <w:rsid w:val="1DA9F3EE"/>
    <w:rsid w:val="1DAE9FBA"/>
    <w:rsid w:val="1DB38BE1"/>
    <w:rsid w:val="1DB7501D"/>
    <w:rsid w:val="1DBDAA0A"/>
    <w:rsid w:val="1DD5603E"/>
    <w:rsid w:val="1DDCBBE9"/>
    <w:rsid w:val="1DE01A78"/>
    <w:rsid w:val="1DE181E8"/>
    <w:rsid w:val="1DED5134"/>
    <w:rsid w:val="1E060C26"/>
    <w:rsid w:val="1E126AC0"/>
    <w:rsid w:val="1E1AB828"/>
    <w:rsid w:val="1E20AFC2"/>
    <w:rsid w:val="1E2268D2"/>
    <w:rsid w:val="1E30D2BE"/>
    <w:rsid w:val="1E3EFA4C"/>
    <w:rsid w:val="1E44FE78"/>
    <w:rsid w:val="1E46AA11"/>
    <w:rsid w:val="1E491B6F"/>
    <w:rsid w:val="1E4D353C"/>
    <w:rsid w:val="1E4DF3DE"/>
    <w:rsid w:val="1E53AF2E"/>
    <w:rsid w:val="1E575824"/>
    <w:rsid w:val="1E5785FA"/>
    <w:rsid w:val="1E586E71"/>
    <w:rsid w:val="1E5B111D"/>
    <w:rsid w:val="1E5C005F"/>
    <w:rsid w:val="1E6CE9F4"/>
    <w:rsid w:val="1E7E8523"/>
    <w:rsid w:val="1E84A2A0"/>
    <w:rsid w:val="1E860E8A"/>
    <w:rsid w:val="1E8CA875"/>
    <w:rsid w:val="1E94E409"/>
    <w:rsid w:val="1EA4FA70"/>
    <w:rsid w:val="1EB4F662"/>
    <w:rsid w:val="1EB67904"/>
    <w:rsid w:val="1EB9A9A6"/>
    <w:rsid w:val="1EBDAFA9"/>
    <w:rsid w:val="1EBE0950"/>
    <w:rsid w:val="1EC2B6AA"/>
    <w:rsid w:val="1EC2F15D"/>
    <w:rsid w:val="1EC702E0"/>
    <w:rsid w:val="1ED38AD0"/>
    <w:rsid w:val="1ED634DB"/>
    <w:rsid w:val="1EDAF8B4"/>
    <w:rsid w:val="1EDB94C0"/>
    <w:rsid w:val="1EE30787"/>
    <w:rsid w:val="1EE6CF86"/>
    <w:rsid w:val="1EE8D244"/>
    <w:rsid w:val="1EFC20CC"/>
    <w:rsid w:val="1F01C764"/>
    <w:rsid w:val="1F06EAE1"/>
    <w:rsid w:val="1F081A8E"/>
    <w:rsid w:val="1F111370"/>
    <w:rsid w:val="1F20B84C"/>
    <w:rsid w:val="1F242171"/>
    <w:rsid w:val="1F30B7D1"/>
    <w:rsid w:val="1F321C78"/>
    <w:rsid w:val="1F3E8A29"/>
    <w:rsid w:val="1F48C241"/>
    <w:rsid w:val="1F49C7CC"/>
    <w:rsid w:val="1F4FFE4A"/>
    <w:rsid w:val="1F582E88"/>
    <w:rsid w:val="1F6FEE2B"/>
    <w:rsid w:val="1F738A4C"/>
    <w:rsid w:val="1F878644"/>
    <w:rsid w:val="1F8A6767"/>
    <w:rsid w:val="1F8A8195"/>
    <w:rsid w:val="1F8F22BF"/>
    <w:rsid w:val="1F90C746"/>
    <w:rsid w:val="1F90CB11"/>
    <w:rsid w:val="1F91BC0E"/>
    <w:rsid w:val="1F977008"/>
    <w:rsid w:val="1FA41C14"/>
    <w:rsid w:val="1FA46422"/>
    <w:rsid w:val="1FA69472"/>
    <w:rsid w:val="1FA81ECF"/>
    <w:rsid w:val="1FB71169"/>
    <w:rsid w:val="1FC1F6F3"/>
    <w:rsid w:val="1FC7903D"/>
    <w:rsid w:val="1FD90103"/>
    <w:rsid w:val="1FDA9A19"/>
    <w:rsid w:val="1FE08AA8"/>
    <w:rsid w:val="1FE86474"/>
    <w:rsid w:val="1FF183AC"/>
    <w:rsid w:val="1FF639A8"/>
    <w:rsid w:val="1FF63EFC"/>
    <w:rsid w:val="1FF6B83A"/>
    <w:rsid w:val="1FFE3D20"/>
    <w:rsid w:val="1FFEB004"/>
    <w:rsid w:val="2009829E"/>
    <w:rsid w:val="200B7C99"/>
    <w:rsid w:val="200C8993"/>
    <w:rsid w:val="20112423"/>
    <w:rsid w:val="2026E9FA"/>
    <w:rsid w:val="202A63B9"/>
    <w:rsid w:val="20308FA0"/>
    <w:rsid w:val="203409B0"/>
    <w:rsid w:val="203817EA"/>
    <w:rsid w:val="204DEF26"/>
    <w:rsid w:val="204F7E70"/>
    <w:rsid w:val="20530D75"/>
    <w:rsid w:val="2058B8A7"/>
    <w:rsid w:val="205BFA80"/>
    <w:rsid w:val="206191B9"/>
    <w:rsid w:val="20668433"/>
    <w:rsid w:val="2082A974"/>
    <w:rsid w:val="2089AF72"/>
    <w:rsid w:val="208C2EA6"/>
    <w:rsid w:val="208D5C0D"/>
    <w:rsid w:val="2094C0AB"/>
    <w:rsid w:val="2098A602"/>
    <w:rsid w:val="2099593C"/>
    <w:rsid w:val="209C0DA0"/>
    <w:rsid w:val="20A09B98"/>
    <w:rsid w:val="20B68D8C"/>
    <w:rsid w:val="20BE72EC"/>
    <w:rsid w:val="20C00B5E"/>
    <w:rsid w:val="20C7BB09"/>
    <w:rsid w:val="20CD2D47"/>
    <w:rsid w:val="20CD504E"/>
    <w:rsid w:val="20D5BF4D"/>
    <w:rsid w:val="20E57EB9"/>
    <w:rsid w:val="20EF324D"/>
    <w:rsid w:val="20F209D0"/>
    <w:rsid w:val="20F6ADDB"/>
    <w:rsid w:val="20FE0962"/>
    <w:rsid w:val="20FF1B03"/>
    <w:rsid w:val="21008370"/>
    <w:rsid w:val="21020B1F"/>
    <w:rsid w:val="210F01D5"/>
    <w:rsid w:val="21133A84"/>
    <w:rsid w:val="2113D3B7"/>
    <w:rsid w:val="211A375B"/>
    <w:rsid w:val="211FC2FB"/>
    <w:rsid w:val="2122AAA8"/>
    <w:rsid w:val="2124A01A"/>
    <w:rsid w:val="212B63C1"/>
    <w:rsid w:val="2131EDD5"/>
    <w:rsid w:val="2159B815"/>
    <w:rsid w:val="215E3F38"/>
    <w:rsid w:val="215FAFF4"/>
    <w:rsid w:val="2160E42D"/>
    <w:rsid w:val="2163720D"/>
    <w:rsid w:val="216F8736"/>
    <w:rsid w:val="217444E9"/>
    <w:rsid w:val="2174FCE3"/>
    <w:rsid w:val="21779EF1"/>
    <w:rsid w:val="21804F86"/>
    <w:rsid w:val="2181BE3C"/>
    <w:rsid w:val="219001CE"/>
    <w:rsid w:val="21A4EF49"/>
    <w:rsid w:val="21AD8490"/>
    <w:rsid w:val="21B025AC"/>
    <w:rsid w:val="21B96A87"/>
    <w:rsid w:val="21BE09CC"/>
    <w:rsid w:val="21C0C032"/>
    <w:rsid w:val="21CA8980"/>
    <w:rsid w:val="21CB1BA4"/>
    <w:rsid w:val="21D0AECB"/>
    <w:rsid w:val="21D4C6A5"/>
    <w:rsid w:val="21DE1069"/>
    <w:rsid w:val="21E0BD37"/>
    <w:rsid w:val="21E38FE1"/>
    <w:rsid w:val="21F235E4"/>
    <w:rsid w:val="21F61A06"/>
    <w:rsid w:val="2219DDB9"/>
    <w:rsid w:val="221EC853"/>
    <w:rsid w:val="2220F9AE"/>
    <w:rsid w:val="2225781F"/>
    <w:rsid w:val="2225DA7F"/>
    <w:rsid w:val="22272CBE"/>
    <w:rsid w:val="222AA146"/>
    <w:rsid w:val="222E8619"/>
    <w:rsid w:val="2232E1BB"/>
    <w:rsid w:val="2233C802"/>
    <w:rsid w:val="223FF099"/>
    <w:rsid w:val="224593DB"/>
    <w:rsid w:val="224E7D9D"/>
    <w:rsid w:val="2253B262"/>
    <w:rsid w:val="2254CEB9"/>
    <w:rsid w:val="2260CDFF"/>
    <w:rsid w:val="2264F85C"/>
    <w:rsid w:val="226F0887"/>
    <w:rsid w:val="22727D83"/>
    <w:rsid w:val="227CB320"/>
    <w:rsid w:val="227CD03A"/>
    <w:rsid w:val="228C4266"/>
    <w:rsid w:val="22915033"/>
    <w:rsid w:val="2291A9D9"/>
    <w:rsid w:val="229CB8CF"/>
    <w:rsid w:val="229D1D01"/>
    <w:rsid w:val="229DD419"/>
    <w:rsid w:val="229E2316"/>
    <w:rsid w:val="22A6871D"/>
    <w:rsid w:val="22A84E5A"/>
    <w:rsid w:val="22A9398C"/>
    <w:rsid w:val="22AAE712"/>
    <w:rsid w:val="22B0996B"/>
    <w:rsid w:val="22B81CF4"/>
    <w:rsid w:val="22BAB44B"/>
    <w:rsid w:val="22BC3682"/>
    <w:rsid w:val="22D1544A"/>
    <w:rsid w:val="22D6763E"/>
    <w:rsid w:val="22D959B4"/>
    <w:rsid w:val="22D9C209"/>
    <w:rsid w:val="22E8FA46"/>
    <w:rsid w:val="22F28D81"/>
    <w:rsid w:val="22F8D6C5"/>
    <w:rsid w:val="22FBF8D0"/>
    <w:rsid w:val="23013D42"/>
    <w:rsid w:val="23015610"/>
    <w:rsid w:val="2301B4EA"/>
    <w:rsid w:val="2313BE45"/>
    <w:rsid w:val="2314799E"/>
    <w:rsid w:val="231BD66B"/>
    <w:rsid w:val="231BDCD3"/>
    <w:rsid w:val="231E4E08"/>
    <w:rsid w:val="23201231"/>
    <w:rsid w:val="23246C2E"/>
    <w:rsid w:val="232FD684"/>
    <w:rsid w:val="2337DB8D"/>
    <w:rsid w:val="23389B02"/>
    <w:rsid w:val="23425900"/>
    <w:rsid w:val="234FC9FC"/>
    <w:rsid w:val="23544D09"/>
    <w:rsid w:val="235617D5"/>
    <w:rsid w:val="2359F487"/>
    <w:rsid w:val="2359FB9C"/>
    <w:rsid w:val="235AC014"/>
    <w:rsid w:val="236312DB"/>
    <w:rsid w:val="23648B60"/>
    <w:rsid w:val="236A9EF5"/>
    <w:rsid w:val="237028CB"/>
    <w:rsid w:val="2373E446"/>
    <w:rsid w:val="2380211C"/>
    <w:rsid w:val="239A71FB"/>
    <w:rsid w:val="239FBB4E"/>
    <w:rsid w:val="23A269F1"/>
    <w:rsid w:val="23A2799F"/>
    <w:rsid w:val="23A69349"/>
    <w:rsid w:val="23AAC48B"/>
    <w:rsid w:val="23B06F44"/>
    <w:rsid w:val="23B702A4"/>
    <w:rsid w:val="23C30C54"/>
    <w:rsid w:val="23C30DEB"/>
    <w:rsid w:val="23C5340A"/>
    <w:rsid w:val="23C73C02"/>
    <w:rsid w:val="23D2838E"/>
    <w:rsid w:val="23ED7903"/>
    <w:rsid w:val="23F010C4"/>
    <w:rsid w:val="23F2359D"/>
    <w:rsid w:val="23F80F17"/>
    <w:rsid w:val="23F8A359"/>
    <w:rsid w:val="23F8DE9D"/>
    <w:rsid w:val="240379A1"/>
    <w:rsid w:val="24153934"/>
    <w:rsid w:val="241BEA5B"/>
    <w:rsid w:val="24206EC5"/>
    <w:rsid w:val="24216302"/>
    <w:rsid w:val="24249651"/>
    <w:rsid w:val="2424D0EB"/>
    <w:rsid w:val="242778A0"/>
    <w:rsid w:val="242D70A7"/>
    <w:rsid w:val="24352F26"/>
    <w:rsid w:val="243DE1E4"/>
    <w:rsid w:val="243E997D"/>
    <w:rsid w:val="243F547E"/>
    <w:rsid w:val="2440F7F4"/>
    <w:rsid w:val="24471BAE"/>
    <w:rsid w:val="2454470E"/>
    <w:rsid w:val="2455A1B0"/>
    <w:rsid w:val="2455A9D4"/>
    <w:rsid w:val="24581F34"/>
    <w:rsid w:val="24597267"/>
    <w:rsid w:val="245FE28B"/>
    <w:rsid w:val="24687584"/>
    <w:rsid w:val="246BE2B2"/>
    <w:rsid w:val="2481751A"/>
    <w:rsid w:val="2482BA35"/>
    <w:rsid w:val="248B9AC5"/>
    <w:rsid w:val="248EE708"/>
    <w:rsid w:val="24994475"/>
    <w:rsid w:val="249ADC69"/>
    <w:rsid w:val="249D6F35"/>
    <w:rsid w:val="24A11E52"/>
    <w:rsid w:val="24ADC130"/>
    <w:rsid w:val="24AF5FD1"/>
    <w:rsid w:val="24B0D829"/>
    <w:rsid w:val="24C1B752"/>
    <w:rsid w:val="24C1FF98"/>
    <w:rsid w:val="24C2E2B7"/>
    <w:rsid w:val="24C6B177"/>
    <w:rsid w:val="24CBC52D"/>
    <w:rsid w:val="24E66F50"/>
    <w:rsid w:val="24ED8C9E"/>
    <w:rsid w:val="24F199FE"/>
    <w:rsid w:val="24F774FF"/>
    <w:rsid w:val="24FBC032"/>
    <w:rsid w:val="24FD3A95"/>
    <w:rsid w:val="24FD50D5"/>
    <w:rsid w:val="25041754"/>
    <w:rsid w:val="250542C7"/>
    <w:rsid w:val="25060E76"/>
    <w:rsid w:val="2511575A"/>
    <w:rsid w:val="25199327"/>
    <w:rsid w:val="25298745"/>
    <w:rsid w:val="252B80D2"/>
    <w:rsid w:val="2538DCE9"/>
    <w:rsid w:val="25497F16"/>
    <w:rsid w:val="254CD079"/>
    <w:rsid w:val="25578D3E"/>
    <w:rsid w:val="25590CE9"/>
    <w:rsid w:val="2563D95F"/>
    <w:rsid w:val="256D645C"/>
    <w:rsid w:val="257122FF"/>
    <w:rsid w:val="2573840A"/>
    <w:rsid w:val="25784AEF"/>
    <w:rsid w:val="257DE7DD"/>
    <w:rsid w:val="2582D80E"/>
    <w:rsid w:val="25841E6A"/>
    <w:rsid w:val="2585FA10"/>
    <w:rsid w:val="2589EC67"/>
    <w:rsid w:val="258A1E87"/>
    <w:rsid w:val="258FE7BC"/>
    <w:rsid w:val="2595B433"/>
    <w:rsid w:val="259832B3"/>
    <w:rsid w:val="25A13CC6"/>
    <w:rsid w:val="25A52E19"/>
    <w:rsid w:val="25AA1AE4"/>
    <w:rsid w:val="25ABCDC5"/>
    <w:rsid w:val="25ADB0EB"/>
    <w:rsid w:val="25B97D56"/>
    <w:rsid w:val="25BBAAB2"/>
    <w:rsid w:val="25C3853E"/>
    <w:rsid w:val="25E2AA2C"/>
    <w:rsid w:val="25E395B1"/>
    <w:rsid w:val="25E66D1A"/>
    <w:rsid w:val="25EB131C"/>
    <w:rsid w:val="25EDBAF5"/>
    <w:rsid w:val="25EF302B"/>
    <w:rsid w:val="25F40AA2"/>
    <w:rsid w:val="25FE72E9"/>
    <w:rsid w:val="25FF2177"/>
    <w:rsid w:val="26053AA9"/>
    <w:rsid w:val="2606EE0E"/>
    <w:rsid w:val="260765F4"/>
    <w:rsid w:val="260CD518"/>
    <w:rsid w:val="261B360C"/>
    <w:rsid w:val="261B8A44"/>
    <w:rsid w:val="261E192F"/>
    <w:rsid w:val="261F1286"/>
    <w:rsid w:val="2622ECE3"/>
    <w:rsid w:val="2626BC4F"/>
    <w:rsid w:val="262D72F4"/>
    <w:rsid w:val="26318992"/>
    <w:rsid w:val="2631E9E6"/>
    <w:rsid w:val="2636FAE2"/>
    <w:rsid w:val="263CF76A"/>
    <w:rsid w:val="2641BF6A"/>
    <w:rsid w:val="2644351D"/>
    <w:rsid w:val="265B5855"/>
    <w:rsid w:val="2666457E"/>
    <w:rsid w:val="266D90E0"/>
    <w:rsid w:val="266F4238"/>
    <w:rsid w:val="2678FA04"/>
    <w:rsid w:val="267A5491"/>
    <w:rsid w:val="26835D09"/>
    <w:rsid w:val="2683921F"/>
    <w:rsid w:val="2684C81C"/>
    <w:rsid w:val="26852DAB"/>
    <w:rsid w:val="2686E6EA"/>
    <w:rsid w:val="2687D4D2"/>
    <w:rsid w:val="2689B561"/>
    <w:rsid w:val="268B7C5C"/>
    <w:rsid w:val="2696F512"/>
    <w:rsid w:val="269DA4C7"/>
    <w:rsid w:val="26A300A7"/>
    <w:rsid w:val="26A52DF2"/>
    <w:rsid w:val="26A7F68E"/>
    <w:rsid w:val="26AF9BC8"/>
    <w:rsid w:val="26B1066D"/>
    <w:rsid w:val="26B16799"/>
    <w:rsid w:val="26B5019C"/>
    <w:rsid w:val="26B9D291"/>
    <w:rsid w:val="26BF75E6"/>
    <w:rsid w:val="26C03CA5"/>
    <w:rsid w:val="26C60CFA"/>
    <w:rsid w:val="26CC9F88"/>
    <w:rsid w:val="26D0DD5A"/>
    <w:rsid w:val="26E00915"/>
    <w:rsid w:val="26E4B741"/>
    <w:rsid w:val="26E8D874"/>
    <w:rsid w:val="26EFDF66"/>
    <w:rsid w:val="26F0E16A"/>
    <w:rsid w:val="26F0E6E2"/>
    <w:rsid w:val="26F29478"/>
    <w:rsid w:val="26F85D3D"/>
    <w:rsid w:val="26F9E76B"/>
    <w:rsid w:val="27077A4E"/>
    <w:rsid w:val="270C1C7E"/>
    <w:rsid w:val="271547C5"/>
    <w:rsid w:val="271A4F30"/>
    <w:rsid w:val="271B150E"/>
    <w:rsid w:val="271B94E5"/>
    <w:rsid w:val="271DA3F3"/>
    <w:rsid w:val="2720CE17"/>
    <w:rsid w:val="272CA83A"/>
    <w:rsid w:val="272E2255"/>
    <w:rsid w:val="272FCDC4"/>
    <w:rsid w:val="27379B79"/>
    <w:rsid w:val="273A16A3"/>
    <w:rsid w:val="2741A4E8"/>
    <w:rsid w:val="274B7B81"/>
    <w:rsid w:val="274D0A61"/>
    <w:rsid w:val="274E6B03"/>
    <w:rsid w:val="2754B44C"/>
    <w:rsid w:val="27583A11"/>
    <w:rsid w:val="275FBF91"/>
    <w:rsid w:val="2762F557"/>
    <w:rsid w:val="276C0D73"/>
    <w:rsid w:val="276CE7E0"/>
    <w:rsid w:val="2773D8EA"/>
    <w:rsid w:val="2775A9A6"/>
    <w:rsid w:val="27844458"/>
    <w:rsid w:val="27867CDE"/>
    <w:rsid w:val="27892909"/>
    <w:rsid w:val="279A1557"/>
    <w:rsid w:val="27A7CC13"/>
    <w:rsid w:val="27A8E07F"/>
    <w:rsid w:val="27AB0616"/>
    <w:rsid w:val="27B16A29"/>
    <w:rsid w:val="27B43ECF"/>
    <w:rsid w:val="27BA3574"/>
    <w:rsid w:val="27BAEC69"/>
    <w:rsid w:val="27C334D0"/>
    <w:rsid w:val="27C5AE0B"/>
    <w:rsid w:val="27D571B3"/>
    <w:rsid w:val="27DC72DB"/>
    <w:rsid w:val="27E40A8A"/>
    <w:rsid w:val="27F1DD09"/>
    <w:rsid w:val="27F7651B"/>
    <w:rsid w:val="27FBA789"/>
    <w:rsid w:val="27FC754D"/>
    <w:rsid w:val="2807BA90"/>
    <w:rsid w:val="280B016C"/>
    <w:rsid w:val="280BCAA1"/>
    <w:rsid w:val="280DFB65"/>
    <w:rsid w:val="28135982"/>
    <w:rsid w:val="2813F89D"/>
    <w:rsid w:val="2818FC32"/>
    <w:rsid w:val="282089F5"/>
    <w:rsid w:val="28261B30"/>
    <w:rsid w:val="2828DC11"/>
    <w:rsid w:val="282C7982"/>
    <w:rsid w:val="282D903A"/>
    <w:rsid w:val="283A2DEF"/>
    <w:rsid w:val="283FA91D"/>
    <w:rsid w:val="2842876A"/>
    <w:rsid w:val="28449A99"/>
    <w:rsid w:val="284988D5"/>
    <w:rsid w:val="285064CE"/>
    <w:rsid w:val="28553209"/>
    <w:rsid w:val="2856DA35"/>
    <w:rsid w:val="286252EF"/>
    <w:rsid w:val="28696D26"/>
    <w:rsid w:val="2871A2B7"/>
    <w:rsid w:val="287882A4"/>
    <w:rsid w:val="2878EE3B"/>
    <w:rsid w:val="28808283"/>
    <w:rsid w:val="2887EC8D"/>
    <w:rsid w:val="288ADE15"/>
    <w:rsid w:val="2891F22E"/>
    <w:rsid w:val="289457BF"/>
    <w:rsid w:val="28A346DB"/>
    <w:rsid w:val="28A37E37"/>
    <w:rsid w:val="28B5FB17"/>
    <w:rsid w:val="28C1A5A5"/>
    <w:rsid w:val="28C60885"/>
    <w:rsid w:val="28CC01E5"/>
    <w:rsid w:val="28DBB048"/>
    <w:rsid w:val="28E8313E"/>
    <w:rsid w:val="28E8D435"/>
    <w:rsid w:val="28E970B8"/>
    <w:rsid w:val="28F2D306"/>
    <w:rsid w:val="28F946B8"/>
    <w:rsid w:val="28FCF4D0"/>
    <w:rsid w:val="2905F157"/>
    <w:rsid w:val="290759CA"/>
    <w:rsid w:val="2909F8C6"/>
    <w:rsid w:val="290BE973"/>
    <w:rsid w:val="291865DB"/>
    <w:rsid w:val="291FEDF4"/>
    <w:rsid w:val="29234791"/>
    <w:rsid w:val="292C7B0F"/>
    <w:rsid w:val="292E4E00"/>
    <w:rsid w:val="29373DA3"/>
    <w:rsid w:val="2939708E"/>
    <w:rsid w:val="293DAAF5"/>
    <w:rsid w:val="2943031E"/>
    <w:rsid w:val="2949A705"/>
    <w:rsid w:val="294C951D"/>
    <w:rsid w:val="294D6033"/>
    <w:rsid w:val="2962471A"/>
    <w:rsid w:val="296BD769"/>
    <w:rsid w:val="297BEA11"/>
    <w:rsid w:val="2981A932"/>
    <w:rsid w:val="2992D9CB"/>
    <w:rsid w:val="29A9C280"/>
    <w:rsid w:val="29ACF79A"/>
    <w:rsid w:val="29B09B0B"/>
    <w:rsid w:val="29B6A710"/>
    <w:rsid w:val="29BB7355"/>
    <w:rsid w:val="29C10370"/>
    <w:rsid w:val="29C437C4"/>
    <w:rsid w:val="29CAEA28"/>
    <w:rsid w:val="29CFAE9E"/>
    <w:rsid w:val="29D7EDF5"/>
    <w:rsid w:val="29DF4516"/>
    <w:rsid w:val="29E3BDA5"/>
    <w:rsid w:val="29EA6F9D"/>
    <w:rsid w:val="29ECA181"/>
    <w:rsid w:val="29EEFA07"/>
    <w:rsid w:val="29EF7875"/>
    <w:rsid w:val="29F6193B"/>
    <w:rsid w:val="29F6336A"/>
    <w:rsid w:val="29F7A35E"/>
    <w:rsid w:val="29F9BD65"/>
    <w:rsid w:val="29FB8794"/>
    <w:rsid w:val="29FC5515"/>
    <w:rsid w:val="29FC5B32"/>
    <w:rsid w:val="2A014965"/>
    <w:rsid w:val="2A01C85F"/>
    <w:rsid w:val="2A1A518E"/>
    <w:rsid w:val="2A2BB207"/>
    <w:rsid w:val="2A2C306A"/>
    <w:rsid w:val="2A2CD004"/>
    <w:rsid w:val="2A312C6E"/>
    <w:rsid w:val="2A34C234"/>
    <w:rsid w:val="2A38031F"/>
    <w:rsid w:val="2A41328C"/>
    <w:rsid w:val="2A4361D8"/>
    <w:rsid w:val="2A4AC303"/>
    <w:rsid w:val="2A4AD2B2"/>
    <w:rsid w:val="2A60B47D"/>
    <w:rsid w:val="2A61ECEB"/>
    <w:rsid w:val="2A65EA45"/>
    <w:rsid w:val="2A6816D3"/>
    <w:rsid w:val="2A775837"/>
    <w:rsid w:val="2A7BA011"/>
    <w:rsid w:val="2A91A968"/>
    <w:rsid w:val="2A91BDEB"/>
    <w:rsid w:val="2A99E75C"/>
    <w:rsid w:val="2AA6905C"/>
    <w:rsid w:val="2AAC75BA"/>
    <w:rsid w:val="2AAD4C12"/>
    <w:rsid w:val="2AC4E0C5"/>
    <w:rsid w:val="2AC51CDC"/>
    <w:rsid w:val="2AC9DBE7"/>
    <w:rsid w:val="2AD72AF3"/>
    <w:rsid w:val="2AF0EBF4"/>
    <w:rsid w:val="2AF55A9E"/>
    <w:rsid w:val="2AF766D1"/>
    <w:rsid w:val="2AFA93A8"/>
    <w:rsid w:val="2AFEDE79"/>
    <w:rsid w:val="2B002569"/>
    <w:rsid w:val="2B003FA1"/>
    <w:rsid w:val="2B083DA8"/>
    <w:rsid w:val="2B086B56"/>
    <w:rsid w:val="2B090153"/>
    <w:rsid w:val="2B0B56DA"/>
    <w:rsid w:val="2B10CF34"/>
    <w:rsid w:val="2B1152E2"/>
    <w:rsid w:val="2B18BDA2"/>
    <w:rsid w:val="2B22E953"/>
    <w:rsid w:val="2B260517"/>
    <w:rsid w:val="2B2BF8A1"/>
    <w:rsid w:val="2B39CB23"/>
    <w:rsid w:val="2B50282F"/>
    <w:rsid w:val="2B543908"/>
    <w:rsid w:val="2B55DBA6"/>
    <w:rsid w:val="2B63979B"/>
    <w:rsid w:val="2B657B96"/>
    <w:rsid w:val="2B7F95B6"/>
    <w:rsid w:val="2B987B5A"/>
    <w:rsid w:val="2B9C80DF"/>
    <w:rsid w:val="2B9DDB4F"/>
    <w:rsid w:val="2BA3E030"/>
    <w:rsid w:val="2BAB2629"/>
    <w:rsid w:val="2BB11699"/>
    <w:rsid w:val="2BB588B2"/>
    <w:rsid w:val="2BB7F8DF"/>
    <w:rsid w:val="2BC80917"/>
    <w:rsid w:val="2BD842C4"/>
    <w:rsid w:val="2BD9D9BD"/>
    <w:rsid w:val="2BE2EB42"/>
    <w:rsid w:val="2BE65B99"/>
    <w:rsid w:val="2BEE0012"/>
    <w:rsid w:val="2BF696FD"/>
    <w:rsid w:val="2BF69AF7"/>
    <w:rsid w:val="2BF80F24"/>
    <w:rsid w:val="2C0AA567"/>
    <w:rsid w:val="2C1BDCCC"/>
    <w:rsid w:val="2C1EFCFB"/>
    <w:rsid w:val="2C3B0428"/>
    <w:rsid w:val="2C3F3953"/>
    <w:rsid w:val="2C4CE46C"/>
    <w:rsid w:val="2C4CEDCB"/>
    <w:rsid w:val="2C561377"/>
    <w:rsid w:val="2C5959F9"/>
    <w:rsid w:val="2C5D2218"/>
    <w:rsid w:val="2C5F9B6F"/>
    <w:rsid w:val="2C62B682"/>
    <w:rsid w:val="2C632959"/>
    <w:rsid w:val="2C63AF42"/>
    <w:rsid w:val="2C66F985"/>
    <w:rsid w:val="2C6DAB60"/>
    <w:rsid w:val="2C743E75"/>
    <w:rsid w:val="2C75B741"/>
    <w:rsid w:val="2C770EAF"/>
    <w:rsid w:val="2C801F00"/>
    <w:rsid w:val="2C8C7410"/>
    <w:rsid w:val="2C8CF0AC"/>
    <w:rsid w:val="2C909BEA"/>
    <w:rsid w:val="2C936FB0"/>
    <w:rsid w:val="2C93771F"/>
    <w:rsid w:val="2C99399A"/>
    <w:rsid w:val="2C9E05C1"/>
    <w:rsid w:val="2CA0AD2B"/>
    <w:rsid w:val="2CA38C8E"/>
    <w:rsid w:val="2CA39BD6"/>
    <w:rsid w:val="2CA3ED21"/>
    <w:rsid w:val="2CA65866"/>
    <w:rsid w:val="2CA73576"/>
    <w:rsid w:val="2CAA46C1"/>
    <w:rsid w:val="2CAE8B1F"/>
    <w:rsid w:val="2CC04C8E"/>
    <w:rsid w:val="2CC81AF5"/>
    <w:rsid w:val="2CCAFB19"/>
    <w:rsid w:val="2CDAF0BF"/>
    <w:rsid w:val="2CDF75E4"/>
    <w:rsid w:val="2CE79082"/>
    <w:rsid w:val="2CEAAB07"/>
    <w:rsid w:val="2CEB4A6C"/>
    <w:rsid w:val="2CEC821D"/>
    <w:rsid w:val="2CF2ACD1"/>
    <w:rsid w:val="2D0B817D"/>
    <w:rsid w:val="2D12E83E"/>
    <w:rsid w:val="2D133B46"/>
    <w:rsid w:val="2D1A1C41"/>
    <w:rsid w:val="2D1F6944"/>
    <w:rsid w:val="2D201C66"/>
    <w:rsid w:val="2D221330"/>
    <w:rsid w:val="2D2CCAE8"/>
    <w:rsid w:val="2D2D58FD"/>
    <w:rsid w:val="2D336085"/>
    <w:rsid w:val="2D33B604"/>
    <w:rsid w:val="2D3ED638"/>
    <w:rsid w:val="2D4163D0"/>
    <w:rsid w:val="2D4FFE66"/>
    <w:rsid w:val="2D551641"/>
    <w:rsid w:val="2D55719B"/>
    <w:rsid w:val="2D58A612"/>
    <w:rsid w:val="2D593A76"/>
    <w:rsid w:val="2D594E1B"/>
    <w:rsid w:val="2D5D0315"/>
    <w:rsid w:val="2D5F9546"/>
    <w:rsid w:val="2D635A40"/>
    <w:rsid w:val="2D686036"/>
    <w:rsid w:val="2D6ACD7A"/>
    <w:rsid w:val="2D6C4252"/>
    <w:rsid w:val="2D6CAD3C"/>
    <w:rsid w:val="2D6E74B6"/>
    <w:rsid w:val="2D786BFC"/>
    <w:rsid w:val="2D7A24D8"/>
    <w:rsid w:val="2D82E91A"/>
    <w:rsid w:val="2D8436EF"/>
    <w:rsid w:val="2D860F38"/>
    <w:rsid w:val="2D868F8F"/>
    <w:rsid w:val="2D926D37"/>
    <w:rsid w:val="2D93C63B"/>
    <w:rsid w:val="2D9AD875"/>
    <w:rsid w:val="2D9CA090"/>
    <w:rsid w:val="2DA0F8DD"/>
    <w:rsid w:val="2DA4FDE6"/>
    <w:rsid w:val="2DA9B7E7"/>
    <w:rsid w:val="2DB36172"/>
    <w:rsid w:val="2DC1D0FA"/>
    <w:rsid w:val="2DC4508A"/>
    <w:rsid w:val="2DD00AA9"/>
    <w:rsid w:val="2DD0EADF"/>
    <w:rsid w:val="2DD3F8C9"/>
    <w:rsid w:val="2DDB5AC9"/>
    <w:rsid w:val="2DE08EA3"/>
    <w:rsid w:val="2DE0CA1A"/>
    <w:rsid w:val="2DEAF42B"/>
    <w:rsid w:val="2DF3564E"/>
    <w:rsid w:val="2DF78539"/>
    <w:rsid w:val="2E039D90"/>
    <w:rsid w:val="2E055CF9"/>
    <w:rsid w:val="2E09427A"/>
    <w:rsid w:val="2E0A09E4"/>
    <w:rsid w:val="2E0A8352"/>
    <w:rsid w:val="2E178FF7"/>
    <w:rsid w:val="2E18FCB6"/>
    <w:rsid w:val="2E1D650E"/>
    <w:rsid w:val="2E28A758"/>
    <w:rsid w:val="2E32C5AE"/>
    <w:rsid w:val="2E36ED6F"/>
    <w:rsid w:val="2E3B7754"/>
    <w:rsid w:val="2E4634D0"/>
    <w:rsid w:val="2E4C3235"/>
    <w:rsid w:val="2E512687"/>
    <w:rsid w:val="2E5470E0"/>
    <w:rsid w:val="2E5B74EA"/>
    <w:rsid w:val="2E5D7626"/>
    <w:rsid w:val="2E5FD013"/>
    <w:rsid w:val="2E60CBE1"/>
    <w:rsid w:val="2E66014C"/>
    <w:rsid w:val="2E674007"/>
    <w:rsid w:val="2E687CFB"/>
    <w:rsid w:val="2E725024"/>
    <w:rsid w:val="2E77995B"/>
    <w:rsid w:val="2E81E8A7"/>
    <w:rsid w:val="2E87B6C5"/>
    <w:rsid w:val="2E8EEE9E"/>
    <w:rsid w:val="2E919E7A"/>
    <w:rsid w:val="2E99B169"/>
    <w:rsid w:val="2E9E7174"/>
    <w:rsid w:val="2EA5D96F"/>
    <w:rsid w:val="2EABB432"/>
    <w:rsid w:val="2EB11E95"/>
    <w:rsid w:val="2EB64CB8"/>
    <w:rsid w:val="2EBB89B9"/>
    <w:rsid w:val="2EC5F087"/>
    <w:rsid w:val="2EDF0F4E"/>
    <w:rsid w:val="2EE13EF7"/>
    <w:rsid w:val="2EE81C63"/>
    <w:rsid w:val="2EF56393"/>
    <w:rsid w:val="2F0B7A72"/>
    <w:rsid w:val="2F0BEDB1"/>
    <w:rsid w:val="2F0D2703"/>
    <w:rsid w:val="2F0DA7E0"/>
    <w:rsid w:val="2F1EBEC7"/>
    <w:rsid w:val="2F2014BA"/>
    <w:rsid w:val="2F26A6A2"/>
    <w:rsid w:val="2F2AFCFE"/>
    <w:rsid w:val="2F351790"/>
    <w:rsid w:val="2F3734BD"/>
    <w:rsid w:val="2F3E41B4"/>
    <w:rsid w:val="2F4257CE"/>
    <w:rsid w:val="2F462C41"/>
    <w:rsid w:val="2F496357"/>
    <w:rsid w:val="2F4C8BB6"/>
    <w:rsid w:val="2F4CC538"/>
    <w:rsid w:val="2F55E6F3"/>
    <w:rsid w:val="2F5A7870"/>
    <w:rsid w:val="2F61E1AB"/>
    <w:rsid w:val="2F6411D7"/>
    <w:rsid w:val="2F65AC33"/>
    <w:rsid w:val="2F6B198D"/>
    <w:rsid w:val="2F700BAB"/>
    <w:rsid w:val="2F74797A"/>
    <w:rsid w:val="2F768509"/>
    <w:rsid w:val="2F7C42A4"/>
    <w:rsid w:val="2F7F907C"/>
    <w:rsid w:val="2F80DBA6"/>
    <w:rsid w:val="2F8D5AAD"/>
    <w:rsid w:val="2F8D6ABB"/>
    <w:rsid w:val="2F90B559"/>
    <w:rsid w:val="2F962118"/>
    <w:rsid w:val="2F970DB7"/>
    <w:rsid w:val="2F9A4689"/>
    <w:rsid w:val="2F9FEE4E"/>
    <w:rsid w:val="2FB5446E"/>
    <w:rsid w:val="2FB941BE"/>
    <w:rsid w:val="2FBD0052"/>
    <w:rsid w:val="2FBD29F7"/>
    <w:rsid w:val="2FBD6420"/>
    <w:rsid w:val="2FBDE679"/>
    <w:rsid w:val="2FC38DEB"/>
    <w:rsid w:val="2FC70BAD"/>
    <w:rsid w:val="2FCDE2DF"/>
    <w:rsid w:val="2FE337A4"/>
    <w:rsid w:val="2FE97B6D"/>
    <w:rsid w:val="2FEE9407"/>
    <w:rsid w:val="2FF6AC1B"/>
    <w:rsid w:val="2FF72F18"/>
    <w:rsid w:val="2FFB759E"/>
    <w:rsid w:val="2FFC4183"/>
    <w:rsid w:val="300438F0"/>
    <w:rsid w:val="30105579"/>
    <w:rsid w:val="3014CF72"/>
    <w:rsid w:val="301B6417"/>
    <w:rsid w:val="301B7EEF"/>
    <w:rsid w:val="301C9B56"/>
    <w:rsid w:val="301D5333"/>
    <w:rsid w:val="301EBAE2"/>
    <w:rsid w:val="3020F378"/>
    <w:rsid w:val="3022088E"/>
    <w:rsid w:val="3023D02C"/>
    <w:rsid w:val="3025831E"/>
    <w:rsid w:val="30265D95"/>
    <w:rsid w:val="3029F27C"/>
    <w:rsid w:val="302B75CE"/>
    <w:rsid w:val="3032FA80"/>
    <w:rsid w:val="30467B41"/>
    <w:rsid w:val="3049D111"/>
    <w:rsid w:val="304C842D"/>
    <w:rsid w:val="304FD000"/>
    <w:rsid w:val="3053BB9A"/>
    <w:rsid w:val="305E9989"/>
    <w:rsid w:val="3064B7D4"/>
    <w:rsid w:val="3067F8C6"/>
    <w:rsid w:val="30695557"/>
    <w:rsid w:val="306A057A"/>
    <w:rsid w:val="3073B246"/>
    <w:rsid w:val="3078641D"/>
    <w:rsid w:val="3082E537"/>
    <w:rsid w:val="308F9FCA"/>
    <w:rsid w:val="309BC8E4"/>
    <w:rsid w:val="30A45A5F"/>
    <w:rsid w:val="30A7946C"/>
    <w:rsid w:val="30A7C6C7"/>
    <w:rsid w:val="30ABB672"/>
    <w:rsid w:val="30B7FAE6"/>
    <w:rsid w:val="30C2A621"/>
    <w:rsid w:val="30C30044"/>
    <w:rsid w:val="30C4E8AA"/>
    <w:rsid w:val="30C65C08"/>
    <w:rsid w:val="30D0C82F"/>
    <w:rsid w:val="30D2A23A"/>
    <w:rsid w:val="30D94472"/>
    <w:rsid w:val="30D9E312"/>
    <w:rsid w:val="30DAC69B"/>
    <w:rsid w:val="30E522F6"/>
    <w:rsid w:val="30EFB785"/>
    <w:rsid w:val="30F36D45"/>
    <w:rsid w:val="30F9D994"/>
    <w:rsid w:val="31011D67"/>
    <w:rsid w:val="31025C3D"/>
    <w:rsid w:val="3105EF66"/>
    <w:rsid w:val="3107D195"/>
    <w:rsid w:val="310A1E94"/>
    <w:rsid w:val="310B2668"/>
    <w:rsid w:val="31152FF4"/>
    <w:rsid w:val="3116E526"/>
    <w:rsid w:val="311A5A1D"/>
    <w:rsid w:val="311CA70C"/>
    <w:rsid w:val="3120E75F"/>
    <w:rsid w:val="31227772"/>
    <w:rsid w:val="312A918A"/>
    <w:rsid w:val="3134DFA6"/>
    <w:rsid w:val="3135514E"/>
    <w:rsid w:val="31355FF0"/>
    <w:rsid w:val="3135787B"/>
    <w:rsid w:val="31382CAA"/>
    <w:rsid w:val="313B921D"/>
    <w:rsid w:val="31595903"/>
    <w:rsid w:val="315AF3C0"/>
    <w:rsid w:val="315AF4E5"/>
    <w:rsid w:val="31623B4B"/>
    <w:rsid w:val="3165D0C3"/>
    <w:rsid w:val="31690C0B"/>
    <w:rsid w:val="31691DF2"/>
    <w:rsid w:val="31698374"/>
    <w:rsid w:val="317060A7"/>
    <w:rsid w:val="317F2F5D"/>
    <w:rsid w:val="317F592E"/>
    <w:rsid w:val="318075E9"/>
    <w:rsid w:val="318B4DF8"/>
    <w:rsid w:val="318B5104"/>
    <w:rsid w:val="318C699A"/>
    <w:rsid w:val="318ED1C1"/>
    <w:rsid w:val="3195EB4D"/>
    <w:rsid w:val="319B6C75"/>
    <w:rsid w:val="319BB3CB"/>
    <w:rsid w:val="319E85F2"/>
    <w:rsid w:val="31A025C3"/>
    <w:rsid w:val="31A220EE"/>
    <w:rsid w:val="31ABD125"/>
    <w:rsid w:val="31B15F30"/>
    <w:rsid w:val="31C1E0E1"/>
    <w:rsid w:val="31C69B56"/>
    <w:rsid w:val="31C7C41B"/>
    <w:rsid w:val="31CBACB5"/>
    <w:rsid w:val="31D7CF57"/>
    <w:rsid w:val="31DAFC74"/>
    <w:rsid w:val="31E0C01B"/>
    <w:rsid w:val="31E64698"/>
    <w:rsid w:val="31ECAE56"/>
    <w:rsid w:val="31F1F2EE"/>
    <w:rsid w:val="31F56358"/>
    <w:rsid w:val="32039D76"/>
    <w:rsid w:val="320D81BE"/>
    <w:rsid w:val="320E814E"/>
    <w:rsid w:val="321C929E"/>
    <w:rsid w:val="321DE9CB"/>
    <w:rsid w:val="3224516C"/>
    <w:rsid w:val="322C2520"/>
    <w:rsid w:val="322E2401"/>
    <w:rsid w:val="322F2439"/>
    <w:rsid w:val="323851EC"/>
    <w:rsid w:val="3252AA4A"/>
    <w:rsid w:val="325DB989"/>
    <w:rsid w:val="32648FBE"/>
    <w:rsid w:val="326BBF61"/>
    <w:rsid w:val="327A480B"/>
    <w:rsid w:val="328C0A57"/>
    <w:rsid w:val="328CBE23"/>
    <w:rsid w:val="3293C6BF"/>
    <w:rsid w:val="329766AA"/>
    <w:rsid w:val="32979538"/>
    <w:rsid w:val="32981B6E"/>
    <w:rsid w:val="32A52E4C"/>
    <w:rsid w:val="32AD2F03"/>
    <w:rsid w:val="32B1FB99"/>
    <w:rsid w:val="32B3EB17"/>
    <w:rsid w:val="32B61208"/>
    <w:rsid w:val="32BEA78F"/>
    <w:rsid w:val="32BEED78"/>
    <w:rsid w:val="32D4711F"/>
    <w:rsid w:val="32D8EDDC"/>
    <w:rsid w:val="32DC8327"/>
    <w:rsid w:val="32EC56C9"/>
    <w:rsid w:val="32F2F56E"/>
    <w:rsid w:val="32F75D12"/>
    <w:rsid w:val="33028146"/>
    <w:rsid w:val="3302D98A"/>
    <w:rsid w:val="330B992A"/>
    <w:rsid w:val="330C6110"/>
    <w:rsid w:val="33144D70"/>
    <w:rsid w:val="3319E0C8"/>
    <w:rsid w:val="332DF3D5"/>
    <w:rsid w:val="3334E404"/>
    <w:rsid w:val="333B9852"/>
    <w:rsid w:val="334159F6"/>
    <w:rsid w:val="3343973C"/>
    <w:rsid w:val="3355AE0D"/>
    <w:rsid w:val="335AC1EB"/>
    <w:rsid w:val="33617E1E"/>
    <w:rsid w:val="336567C7"/>
    <w:rsid w:val="337958C8"/>
    <w:rsid w:val="337A05A9"/>
    <w:rsid w:val="33803FDF"/>
    <w:rsid w:val="3383E493"/>
    <w:rsid w:val="33876A9B"/>
    <w:rsid w:val="33885CF7"/>
    <w:rsid w:val="338966E0"/>
    <w:rsid w:val="33917E16"/>
    <w:rsid w:val="33A11D49"/>
    <w:rsid w:val="33B2646C"/>
    <w:rsid w:val="33B6AA4B"/>
    <w:rsid w:val="33BA4A6B"/>
    <w:rsid w:val="33C51AED"/>
    <w:rsid w:val="33CA286A"/>
    <w:rsid w:val="33D1A986"/>
    <w:rsid w:val="33D50F53"/>
    <w:rsid w:val="33E91F67"/>
    <w:rsid w:val="33E98D8E"/>
    <w:rsid w:val="33EB2012"/>
    <w:rsid w:val="33EE7B62"/>
    <w:rsid w:val="33F25C60"/>
    <w:rsid w:val="33F59015"/>
    <w:rsid w:val="33F696DB"/>
    <w:rsid w:val="33F6F504"/>
    <w:rsid w:val="33F74E82"/>
    <w:rsid w:val="33FAA76B"/>
    <w:rsid w:val="3405A986"/>
    <w:rsid w:val="340F0C72"/>
    <w:rsid w:val="3410250F"/>
    <w:rsid w:val="34148924"/>
    <w:rsid w:val="3419C53F"/>
    <w:rsid w:val="34279084"/>
    <w:rsid w:val="3435BA24"/>
    <w:rsid w:val="343F84FB"/>
    <w:rsid w:val="3450B1E4"/>
    <w:rsid w:val="34517FB5"/>
    <w:rsid w:val="34567526"/>
    <w:rsid w:val="34581A17"/>
    <w:rsid w:val="34593CF7"/>
    <w:rsid w:val="345B09BD"/>
    <w:rsid w:val="345D7235"/>
    <w:rsid w:val="34655116"/>
    <w:rsid w:val="34676267"/>
    <w:rsid w:val="346870EC"/>
    <w:rsid w:val="34771DDE"/>
    <w:rsid w:val="3492ACCC"/>
    <w:rsid w:val="34A01D2E"/>
    <w:rsid w:val="34A69CDC"/>
    <w:rsid w:val="34ABF9F2"/>
    <w:rsid w:val="34B17ADF"/>
    <w:rsid w:val="34B7236B"/>
    <w:rsid w:val="34BB67E8"/>
    <w:rsid w:val="34BF8F4A"/>
    <w:rsid w:val="34BF9ACB"/>
    <w:rsid w:val="34C7F8CB"/>
    <w:rsid w:val="34CB6D00"/>
    <w:rsid w:val="34CCBE8C"/>
    <w:rsid w:val="34CE184E"/>
    <w:rsid w:val="34CE8017"/>
    <w:rsid w:val="34D039D5"/>
    <w:rsid w:val="34D6B7B9"/>
    <w:rsid w:val="34D7F258"/>
    <w:rsid w:val="34DCAD2F"/>
    <w:rsid w:val="34E938E0"/>
    <w:rsid w:val="34ED8389"/>
    <w:rsid w:val="34FA1037"/>
    <w:rsid w:val="34FB1A89"/>
    <w:rsid w:val="3501982D"/>
    <w:rsid w:val="3516F139"/>
    <w:rsid w:val="3519C1AD"/>
    <w:rsid w:val="35384558"/>
    <w:rsid w:val="3543DE51"/>
    <w:rsid w:val="3549DE9F"/>
    <w:rsid w:val="354B0E85"/>
    <w:rsid w:val="355B33AB"/>
    <w:rsid w:val="355DB716"/>
    <w:rsid w:val="355F8182"/>
    <w:rsid w:val="3565B057"/>
    <w:rsid w:val="35678384"/>
    <w:rsid w:val="3572A07A"/>
    <w:rsid w:val="35762C1E"/>
    <w:rsid w:val="357D4168"/>
    <w:rsid w:val="358F8E41"/>
    <w:rsid w:val="358FB170"/>
    <w:rsid w:val="359CB1FA"/>
    <w:rsid w:val="35A479C4"/>
    <w:rsid w:val="35A6E44D"/>
    <w:rsid w:val="35AF78C8"/>
    <w:rsid w:val="35BC2500"/>
    <w:rsid w:val="35BE3D83"/>
    <w:rsid w:val="35CC395A"/>
    <w:rsid w:val="35CE177B"/>
    <w:rsid w:val="35DB8642"/>
    <w:rsid w:val="35E39D50"/>
    <w:rsid w:val="35E670B4"/>
    <w:rsid w:val="35E74119"/>
    <w:rsid w:val="35E9427F"/>
    <w:rsid w:val="35EB5578"/>
    <w:rsid w:val="35EFA000"/>
    <w:rsid w:val="35F85016"/>
    <w:rsid w:val="3602B402"/>
    <w:rsid w:val="3604CBEA"/>
    <w:rsid w:val="360700D2"/>
    <w:rsid w:val="360AAFF7"/>
    <w:rsid w:val="360AFC67"/>
    <w:rsid w:val="360CC918"/>
    <w:rsid w:val="3619AA1C"/>
    <w:rsid w:val="361B9B65"/>
    <w:rsid w:val="3620358F"/>
    <w:rsid w:val="36208D50"/>
    <w:rsid w:val="362483C2"/>
    <w:rsid w:val="362E182C"/>
    <w:rsid w:val="363115B0"/>
    <w:rsid w:val="363286E9"/>
    <w:rsid w:val="3644CAB6"/>
    <w:rsid w:val="364D083F"/>
    <w:rsid w:val="3651DC90"/>
    <w:rsid w:val="36545BB1"/>
    <w:rsid w:val="36631083"/>
    <w:rsid w:val="3665DDF9"/>
    <w:rsid w:val="366845D7"/>
    <w:rsid w:val="366E3893"/>
    <w:rsid w:val="367825D1"/>
    <w:rsid w:val="36798C99"/>
    <w:rsid w:val="367D2E80"/>
    <w:rsid w:val="36804EEB"/>
    <w:rsid w:val="368213E0"/>
    <w:rsid w:val="36899FA5"/>
    <w:rsid w:val="368C0279"/>
    <w:rsid w:val="369353F9"/>
    <w:rsid w:val="369778C5"/>
    <w:rsid w:val="369FDD74"/>
    <w:rsid w:val="36A34822"/>
    <w:rsid w:val="36A7CEE4"/>
    <w:rsid w:val="36AB122E"/>
    <w:rsid w:val="36B56E71"/>
    <w:rsid w:val="36B7B853"/>
    <w:rsid w:val="36C39418"/>
    <w:rsid w:val="36C40B32"/>
    <w:rsid w:val="36C4541B"/>
    <w:rsid w:val="36C60E20"/>
    <w:rsid w:val="36C77402"/>
    <w:rsid w:val="36CF0AA8"/>
    <w:rsid w:val="36D59FA3"/>
    <w:rsid w:val="36D951C5"/>
    <w:rsid w:val="36DED7C0"/>
    <w:rsid w:val="36EC0B6B"/>
    <w:rsid w:val="36EC8B8D"/>
    <w:rsid w:val="36F36F17"/>
    <w:rsid w:val="36F53E67"/>
    <w:rsid w:val="3703C885"/>
    <w:rsid w:val="370DB17B"/>
    <w:rsid w:val="370E96FB"/>
    <w:rsid w:val="3715D0F8"/>
    <w:rsid w:val="371621B8"/>
    <w:rsid w:val="3716274A"/>
    <w:rsid w:val="3717D177"/>
    <w:rsid w:val="371841C1"/>
    <w:rsid w:val="371903F0"/>
    <w:rsid w:val="372420AF"/>
    <w:rsid w:val="372446DA"/>
    <w:rsid w:val="3735EDA7"/>
    <w:rsid w:val="3737F755"/>
    <w:rsid w:val="37384F62"/>
    <w:rsid w:val="373E82CD"/>
    <w:rsid w:val="3743D2EA"/>
    <w:rsid w:val="37588C11"/>
    <w:rsid w:val="375ABDD3"/>
    <w:rsid w:val="375DB3F1"/>
    <w:rsid w:val="375F70C7"/>
    <w:rsid w:val="37614C91"/>
    <w:rsid w:val="376A2F95"/>
    <w:rsid w:val="376DE382"/>
    <w:rsid w:val="376FDFC7"/>
    <w:rsid w:val="37728CEB"/>
    <w:rsid w:val="37803170"/>
    <w:rsid w:val="3781263C"/>
    <w:rsid w:val="378201C4"/>
    <w:rsid w:val="378E3283"/>
    <w:rsid w:val="378F2A3F"/>
    <w:rsid w:val="379704BA"/>
    <w:rsid w:val="379737D3"/>
    <w:rsid w:val="379EE20B"/>
    <w:rsid w:val="37A329AB"/>
    <w:rsid w:val="37A4A316"/>
    <w:rsid w:val="37AE656B"/>
    <w:rsid w:val="37AE79BE"/>
    <w:rsid w:val="37B64C89"/>
    <w:rsid w:val="37B716AA"/>
    <w:rsid w:val="37C3F9A7"/>
    <w:rsid w:val="37D54BA5"/>
    <w:rsid w:val="37D84672"/>
    <w:rsid w:val="37DA7DD2"/>
    <w:rsid w:val="37DB9D8C"/>
    <w:rsid w:val="37DDA1A9"/>
    <w:rsid w:val="37E14D86"/>
    <w:rsid w:val="37EF99B4"/>
    <w:rsid w:val="37F47B71"/>
    <w:rsid w:val="37F6D73B"/>
    <w:rsid w:val="380CA237"/>
    <w:rsid w:val="3810B69D"/>
    <w:rsid w:val="3811D9D6"/>
    <w:rsid w:val="3818C3E6"/>
    <w:rsid w:val="3819C43F"/>
    <w:rsid w:val="3819DE4C"/>
    <w:rsid w:val="381B7D21"/>
    <w:rsid w:val="382366A5"/>
    <w:rsid w:val="382624E7"/>
    <w:rsid w:val="382D1DD1"/>
    <w:rsid w:val="3835AAD5"/>
    <w:rsid w:val="38386D6C"/>
    <w:rsid w:val="383DEDED"/>
    <w:rsid w:val="3844E790"/>
    <w:rsid w:val="384C2EFD"/>
    <w:rsid w:val="38509FCF"/>
    <w:rsid w:val="38641E56"/>
    <w:rsid w:val="386A1A55"/>
    <w:rsid w:val="386D3DEA"/>
    <w:rsid w:val="387B3142"/>
    <w:rsid w:val="387B95E2"/>
    <w:rsid w:val="387E8288"/>
    <w:rsid w:val="38861B4C"/>
    <w:rsid w:val="38885A88"/>
    <w:rsid w:val="3890DA9F"/>
    <w:rsid w:val="38966F50"/>
    <w:rsid w:val="38967370"/>
    <w:rsid w:val="389EDFD7"/>
    <w:rsid w:val="38AE757A"/>
    <w:rsid w:val="38AEA1C7"/>
    <w:rsid w:val="38AEA656"/>
    <w:rsid w:val="38AFADC5"/>
    <w:rsid w:val="38BA061F"/>
    <w:rsid w:val="38BA4526"/>
    <w:rsid w:val="38BA8C09"/>
    <w:rsid w:val="38BB724B"/>
    <w:rsid w:val="38BD8609"/>
    <w:rsid w:val="38C25BDA"/>
    <w:rsid w:val="38CB1B1F"/>
    <w:rsid w:val="38CD4A93"/>
    <w:rsid w:val="38D4A2CD"/>
    <w:rsid w:val="38DE0689"/>
    <w:rsid w:val="38E0136D"/>
    <w:rsid w:val="38E6ABB9"/>
    <w:rsid w:val="38E90BD4"/>
    <w:rsid w:val="38ED0FDC"/>
    <w:rsid w:val="38EEF0CB"/>
    <w:rsid w:val="38EF1D6E"/>
    <w:rsid w:val="38F0252D"/>
    <w:rsid w:val="38F2D25E"/>
    <w:rsid w:val="38F780D3"/>
    <w:rsid w:val="3900A3D9"/>
    <w:rsid w:val="3906843E"/>
    <w:rsid w:val="39086FDE"/>
    <w:rsid w:val="390E0CF0"/>
    <w:rsid w:val="3913408C"/>
    <w:rsid w:val="3919BA19"/>
    <w:rsid w:val="3920668E"/>
    <w:rsid w:val="39243AE7"/>
    <w:rsid w:val="3924C546"/>
    <w:rsid w:val="392CC9C5"/>
    <w:rsid w:val="39351987"/>
    <w:rsid w:val="39352E37"/>
    <w:rsid w:val="394AD6D5"/>
    <w:rsid w:val="394F767F"/>
    <w:rsid w:val="39538BE8"/>
    <w:rsid w:val="395D7E79"/>
    <w:rsid w:val="395DAFCE"/>
    <w:rsid w:val="39606C86"/>
    <w:rsid w:val="3966B79F"/>
    <w:rsid w:val="396CC46F"/>
    <w:rsid w:val="396D25F2"/>
    <w:rsid w:val="3978AF20"/>
    <w:rsid w:val="3978B404"/>
    <w:rsid w:val="397BC052"/>
    <w:rsid w:val="397C4364"/>
    <w:rsid w:val="397D50AC"/>
    <w:rsid w:val="397D72F2"/>
    <w:rsid w:val="397DC51F"/>
    <w:rsid w:val="39871797"/>
    <w:rsid w:val="398E6D93"/>
    <w:rsid w:val="399245C6"/>
    <w:rsid w:val="3997DC98"/>
    <w:rsid w:val="399AC902"/>
    <w:rsid w:val="39A4233E"/>
    <w:rsid w:val="39A56F41"/>
    <w:rsid w:val="39B6215E"/>
    <w:rsid w:val="39BA28A8"/>
    <w:rsid w:val="39D3DBD9"/>
    <w:rsid w:val="39DAF19D"/>
    <w:rsid w:val="39DBCCA7"/>
    <w:rsid w:val="39E06C78"/>
    <w:rsid w:val="39E49DC8"/>
    <w:rsid w:val="39E65A3D"/>
    <w:rsid w:val="39F41A5C"/>
    <w:rsid w:val="39F48AE6"/>
    <w:rsid w:val="39F6C563"/>
    <w:rsid w:val="39FEF587"/>
    <w:rsid w:val="3A032B5B"/>
    <w:rsid w:val="3A08A572"/>
    <w:rsid w:val="3A099C8A"/>
    <w:rsid w:val="3A108991"/>
    <w:rsid w:val="3A2B0DF5"/>
    <w:rsid w:val="3A2CE173"/>
    <w:rsid w:val="3A376D26"/>
    <w:rsid w:val="3A3EB591"/>
    <w:rsid w:val="3A3F9373"/>
    <w:rsid w:val="3A4283C2"/>
    <w:rsid w:val="3A47548E"/>
    <w:rsid w:val="3A4CCA94"/>
    <w:rsid w:val="3A566014"/>
    <w:rsid w:val="3A56C44E"/>
    <w:rsid w:val="3A5B6A44"/>
    <w:rsid w:val="3A5C6D21"/>
    <w:rsid w:val="3A725C58"/>
    <w:rsid w:val="3A7C2FD2"/>
    <w:rsid w:val="3A819BB2"/>
    <w:rsid w:val="3A844BE8"/>
    <w:rsid w:val="3A85689C"/>
    <w:rsid w:val="3A9E5662"/>
    <w:rsid w:val="3AA26F17"/>
    <w:rsid w:val="3AADEC80"/>
    <w:rsid w:val="3AB4BF6D"/>
    <w:rsid w:val="3AB6BBBF"/>
    <w:rsid w:val="3ABBCE97"/>
    <w:rsid w:val="3ABD070B"/>
    <w:rsid w:val="3ABEDD26"/>
    <w:rsid w:val="3AC49AF5"/>
    <w:rsid w:val="3AC73BE9"/>
    <w:rsid w:val="3AC9B8AD"/>
    <w:rsid w:val="3AD18D32"/>
    <w:rsid w:val="3AD1E259"/>
    <w:rsid w:val="3AD620E0"/>
    <w:rsid w:val="3AD8F3B9"/>
    <w:rsid w:val="3AE32A7F"/>
    <w:rsid w:val="3AEBE670"/>
    <w:rsid w:val="3AF36F2B"/>
    <w:rsid w:val="3AFA29DE"/>
    <w:rsid w:val="3AFA42F7"/>
    <w:rsid w:val="3AFAEE13"/>
    <w:rsid w:val="3AFD0F75"/>
    <w:rsid w:val="3AFD3BB9"/>
    <w:rsid w:val="3B016C89"/>
    <w:rsid w:val="3B093DB6"/>
    <w:rsid w:val="3B0A6E46"/>
    <w:rsid w:val="3B0FC116"/>
    <w:rsid w:val="3B1292F1"/>
    <w:rsid w:val="3B14D24C"/>
    <w:rsid w:val="3B155241"/>
    <w:rsid w:val="3B1AC261"/>
    <w:rsid w:val="3B1BF579"/>
    <w:rsid w:val="3B20351B"/>
    <w:rsid w:val="3B269047"/>
    <w:rsid w:val="3B2D2888"/>
    <w:rsid w:val="3B33FDAE"/>
    <w:rsid w:val="3B3E46F3"/>
    <w:rsid w:val="3B413E93"/>
    <w:rsid w:val="3B55650E"/>
    <w:rsid w:val="3B57936D"/>
    <w:rsid w:val="3B586611"/>
    <w:rsid w:val="3B5A080C"/>
    <w:rsid w:val="3B5A8203"/>
    <w:rsid w:val="3B60AF3E"/>
    <w:rsid w:val="3B768ABD"/>
    <w:rsid w:val="3B844F4C"/>
    <w:rsid w:val="3B879D55"/>
    <w:rsid w:val="3B8D3642"/>
    <w:rsid w:val="3B8FA520"/>
    <w:rsid w:val="3B900522"/>
    <w:rsid w:val="3B9C005E"/>
    <w:rsid w:val="3BAD5B94"/>
    <w:rsid w:val="3BB68019"/>
    <w:rsid w:val="3BB6973B"/>
    <w:rsid w:val="3BBA6F7B"/>
    <w:rsid w:val="3BBD4530"/>
    <w:rsid w:val="3BC4943D"/>
    <w:rsid w:val="3BC5A3F2"/>
    <w:rsid w:val="3BD033F1"/>
    <w:rsid w:val="3BD39347"/>
    <w:rsid w:val="3BDE5C5F"/>
    <w:rsid w:val="3BDF36FA"/>
    <w:rsid w:val="3BE2A872"/>
    <w:rsid w:val="3BE6A1F3"/>
    <w:rsid w:val="3BE89032"/>
    <w:rsid w:val="3BE91D36"/>
    <w:rsid w:val="3BF01963"/>
    <w:rsid w:val="3BF3AE6E"/>
    <w:rsid w:val="3BF96138"/>
    <w:rsid w:val="3BFDDFBF"/>
    <w:rsid w:val="3C027B2B"/>
    <w:rsid w:val="3C0F95E3"/>
    <w:rsid w:val="3C10A5BB"/>
    <w:rsid w:val="3C1318B0"/>
    <w:rsid w:val="3C161942"/>
    <w:rsid w:val="3C1E7202"/>
    <w:rsid w:val="3C1FD9A8"/>
    <w:rsid w:val="3C2D03C7"/>
    <w:rsid w:val="3C2EFAED"/>
    <w:rsid w:val="3C300327"/>
    <w:rsid w:val="3C315D81"/>
    <w:rsid w:val="3C378DC4"/>
    <w:rsid w:val="3C3BFE1C"/>
    <w:rsid w:val="3C3D0526"/>
    <w:rsid w:val="3C4497AA"/>
    <w:rsid w:val="3C4867F7"/>
    <w:rsid w:val="3C4C79DF"/>
    <w:rsid w:val="3C5751C5"/>
    <w:rsid w:val="3C5DE487"/>
    <w:rsid w:val="3C64995B"/>
    <w:rsid w:val="3C6C9B90"/>
    <w:rsid w:val="3C72606E"/>
    <w:rsid w:val="3C73ECBA"/>
    <w:rsid w:val="3C7B1F12"/>
    <w:rsid w:val="3C7E0B8E"/>
    <w:rsid w:val="3C8232AB"/>
    <w:rsid w:val="3C85D6A1"/>
    <w:rsid w:val="3C89BAD1"/>
    <w:rsid w:val="3C956DC7"/>
    <w:rsid w:val="3C9ABE86"/>
    <w:rsid w:val="3CA86114"/>
    <w:rsid w:val="3CA89DAF"/>
    <w:rsid w:val="3CAAE070"/>
    <w:rsid w:val="3CADFDD1"/>
    <w:rsid w:val="3CBC0571"/>
    <w:rsid w:val="3CC21AFF"/>
    <w:rsid w:val="3CC678B6"/>
    <w:rsid w:val="3CC9F81C"/>
    <w:rsid w:val="3CD2CC9D"/>
    <w:rsid w:val="3CE9F4F8"/>
    <w:rsid w:val="3CF3C2C2"/>
    <w:rsid w:val="3CF3F899"/>
    <w:rsid w:val="3D0726A9"/>
    <w:rsid w:val="3D15922F"/>
    <w:rsid w:val="3D15C523"/>
    <w:rsid w:val="3D177769"/>
    <w:rsid w:val="3D241305"/>
    <w:rsid w:val="3D266BFA"/>
    <w:rsid w:val="3D302E0B"/>
    <w:rsid w:val="3D35825E"/>
    <w:rsid w:val="3D3AFBEF"/>
    <w:rsid w:val="3D430328"/>
    <w:rsid w:val="3D4319E2"/>
    <w:rsid w:val="3D4AD0AF"/>
    <w:rsid w:val="3D542CEA"/>
    <w:rsid w:val="3D60A99B"/>
    <w:rsid w:val="3D66E4A5"/>
    <w:rsid w:val="3D6D83FB"/>
    <w:rsid w:val="3D7454BB"/>
    <w:rsid w:val="3D75F04F"/>
    <w:rsid w:val="3D7AED94"/>
    <w:rsid w:val="3D88533C"/>
    <w:rsid w:val="3D890044"/>
    <w:rsid w:val="3D8DBE68"/>
    <w:rsid w:val="3D8FE161"/>
    <w:rsid w:val="3D9CAF41"/>
    <w:rsid w:val="3DA2127A"/>
    <w:rsid w:val="3DA2CB5F"/>
    <w:rsid w:val="3DAB03DF"/>
    <w:rsid w:val="3DAC8EDC"/>
    <w:rsid w:val="3DAC9CE9"/>
    <w:rsid w:val="3DB0154C"/>
    <w:rsid w:val="3DB3EF1E"/>
    <w:rsid w:val="3DC4A81A"/>
    <w:rsid w:val="3DCBBD34"/>
    <w:rsid w:val="3DD3E2F0"/>
    <w:rsid w:val="3DD97708"/>
    <w:rsid w:val="3DE14E22"/>
    <w:rsid w:val="3DE794B6"/>
    <w:rsid w:val="3DF7ED94"/>
    <w:rsid w:val="3E01AE1E"/>
    <w:rsid w:val="3E0382F5"/>
    <w:rsid w:val="3E043328"/>
    <w:rsid w:val="3E1ADF33"/>
    <w:rsid w:val="3E1AEADD"/>
    <w:rsid w:val="3E1EEFDA"/>
    <w:rsid w:val="3E22CAC4"/>
    <w:rsid w:val="3E28528E"/>
    <w:rsid w:val="3E38BBEA"/>
    <w:rsid w:val="3E3B6E1B"/>
    <w:rsid w:val="3E4088DE"/>
    <w:rsid w:val="3E4D41B3"/>
    <w:rsid w:val="3E5158DD"/>
    <w:rsid w:val="3E56616E"/>
    <w:rsid w:val="3E59D29E"/>
    <w:rsid w:val="3E5FEFC0"/>
    <w:rsid w:val="3E6397C9"/>
    <w:rsid w:val="3E6D2780"/>
    <w:rsid w:val="3E755C64"/>
    <w:rsid w:val="3E7D3E74"/>
    <w:rsid w:val="3E81FDAA"/>
    <w:rsid w:val="3E84E717"/>
    <w:rsid w:val="3E906E9D"/>
    <w:rsid w:val="3E92819A"/>
    <w:rsid w:val="3E931F6E"/>
    <w:rsid w:val="3E9B2048"/>
    <w:rsid w:val="3E9E91C6"/>
    <w:rsid w:val="3EA41A4D"/>
    <w:rsid w:val="3EA5B25E"/>
    <w:rsid w:val="3EA9E078"/>
    <w:rsid w:val="3EAD3F82"/>
    <w:rsid w:val="3EB0D68C"/>
    <w:rsid w:val="3EB6C89D"/>
    <w:rsid w:val="3EB90144"/>
    <w:rsid w:val="3EC7BF79"/>
    <w:rsid w:val="3ED74EAB"/>
    <w:rsid w:val="3EDC58A0"/>
    <w:rsid w:val="3EE302C1"/>
    <w:rsid w:val="3EE32BB8"/>
    <w:rsid w:val="3EFC399E"/>
    <w:rsid w:val="3EFC7E57"/>
    <w:rsid w:val="3F0A0337"/>
    <w:rsid w:val="3F0C032E"/>
    <w:rsid w:val="3F0F2CEB"/>
    <w:rsid w:val="3F0FC643"/>
    <w:rsid w:val="3F118E4E"/>
    <w:rsid w:val="3F1294DE"/>
    <w:rsid w:val="3F21F0C7"/>
    <w:rsid w:val="3F2398DB"/>
    <w:rsid w:val="3F28D8BF"/>
    <w:rsid w:val="3F33E1A4"/>
    <w:rsid w:val="3F44319C"/>
    <w:rsid w:val="3F44E8EC"/>
    <w:rsid w:val="3F474914"/>
    <w:rsid w:val="3F4A9207"/>
    <w:rsid w:val="3F533C9E"/>
    <w:rsid w:val="3F599D0F"/>
    <w:rsid w:val="3F6060A4"/>
    <w:rsid w:val="3F6342B7"/>
    <w:rsid w:val="3F669DDB"/>
    <w:rsid w:val="3F81B9EA"/>
    <w:rsid w:val="3F8BD8ED"/>
    <w:rsid w:val="3F9130B3"/>
    <w:rsid w:val="3F9807D7"/>
    <w:rsid w:val="3F9D0DEC"/>
    <w:rsid w:val="3FB47416"/>
    <w:rsid w:val="3FB7AB01"/>
    <w:rsid w:val="3FB8BB82"/>
    <w:rsid w:val="3FB8DF5E"/>
    <w:rsid w:val="3FB925AA"/>
    <w:rsid w:val="3FD3EB1D"/>
    <w:rsid w:val="3FD61DCA"/>
    <w:rsid w:val="3FDAE651"/>
    <w:rsid w:val="3FDD6D45"/>
    <w:rsid w:val="3FE8F590"/>
    <w:rsid w:val="3FFA31F0"/>
    <w:rsid w:val="3FFDD49D"/>
    <w:rsid w:val="400707B9"/>
    <w:rsid w:val="40103C58"/>
    <w:rsid w:val="40189C9C"/>
    <w:rsid w:val="401BB7B2"/>
    <w:rsid w:val="40224C75"/>
    <w:rsid w:val="40238F60"/>
    <w:rsid w:val="40275F65"/>
    <w:rsid w:val="4029D9E4"/>
    <w:rsid w:val="402A1AAA"/>
    <w:rsid w:val="402EDFA2"/>
    <w:rsid w:val="402F4887"/>
    <w:rsid w:val="4032144E"/>
    <w:rsid w:val="4032ED45"/>
    <w:rsid w:val="4033FFC0"/>
    <w:rsid w:val="4041644D"/>
    <w:rsid w:val="40466227"/>
    <w:rsid w:val="4046A470"/>
    <w:rsid w:val="40489167"/>
    <w:rsid w:val="404A4731"/>
    <w:rsid w:val="4052CB7A"/>
    <w:rsid w:val="40578603"/>
    <w:rsid w:val="40579D61"/>
    <w:rsid w:val="405EE9A3"/>
    <w:rsid w:val="4061A3F5"/>
    <w:rsid w:val="40640D3D"/>
    <w:rsid w:val="4064C308"/>
    <w:rsid w:val="4065633B"/>
    <w:rsid w:val="407C0B7F"/>
    <w:rsid w:val="4083F484"/>
    <w:rsid w:val="40910E9D"/>
    <w:rsid w:val="4093CAF1"/>
    <w:rsid w:val="4094FC35"/>
    <w:rsid w:val="40956238"/>
    <w:rsid w:val="4096F137"/>
    <w:rsid w:val="409D608C"/>
    <w:rsid w:val="40A7B24A"/>
    <w:rsid w:val="40AA2D2C"/>
    <w:rsid w:val="40BAB59F"/>
    <w:rsid w:val="40BAE4ED"/>
    <w:rsid w:val="40BC3AA6"/>
    <w:rsid w:val="40BCF298"/>
    <w:rsid w:val="40BE33EF"/>
    <w:rsid w:val="40BE610D"/>
    <w:rsid w:val="40BF9111"/>
    <w:rsid w:val="40C1C174"/>
    <w:rsid w:val="40D2F99B"/>
    <w:rsid w:val="40D77A38"/>
    <w:rsid w:val="40E8E1C6"/>
    <w:rsid w:val="40ED9F22"/>
    <w:rsid w:val="40EDE690"/>
    <w:rsid w:val="40EF74EE"/>
    <w:rsid w:val="40F26D1C"/>
    <w:rsid w:val="40F7BB40"/>
    <w:rsid w:val="40FEF6D7"/>
    <w:rsid w:val="41086DB7"/>
    <w:rsid w:val="411E3012"/>
    <w:rsid w:val="412C0420"/>
    <w:rsid w:val="41359B27"/>
    <w:rsid w:val="413EEF45"/>
    <w:rsid w:val="41505FF2"/>
    <w:rsid w:val="41532B0E"/>
    <w:rsid w:val="4154FDC7"/>
    <w:rsid w:val="415619D8"/>
    <w:rsid w:val="41582E24"/>
    <w:rsid w:val="416323EC"/>
    <w:rsid w:val="4172B925"/>
    <w:rsid w:val="41731F17"/>
    <w:rsid w:val="41795373"/>
    <w:rsid w:val="417CF56B"/>
    <w:rsid w:val="418DABB8"/>
    <w:rsid w:val="41963624"/>
    <w:rsid w:val="4197517A"/>
    <w:rsid w:val="41A121FC"/>
    <w:rsid w:val="41AC692F"/>
    <w:rsid w:val="41AED4BD"/>
    <w:rsid w:val="41B548C5"/>
    <w:rsid w:val="41B7D192"/>
    <w:rsid w:val="41C33DEA"/>
    <w:rsid w:val="41C44E71"/>
    <w:rsid w:val="41C6CE64"/>
    <w:rsid w:val="41CAAA7F"/>
    <w:rsid w:val="41CE7648"/>
    <w:rsid w:val="41CFE90D"/>
    <w:rsid w:val="41D86B49"/>
    <w:rsid w:val="41E1EAF1"/>
    <w:rsid w:val="41F20F7A"/>
    <w:rsid w:val="41F2BDF3"/>
    <w:rsid w:val="41F4C417"/>
    <w:rsid w:val="41F58190"/>
    <w:rsid w:val="41F7A054"/>
    <w:rsid w:val="41FB7334"/>
    <w:rsid w:val="421378AA"/>
    <w:rsid w:val="421766E8"/>
    <w:rsid w:val="422428E5"/>
    <w:rsid w:val="4247C154"/>
    <w:rsid w:val="42494CA4"/>
    <w:rsid w:val="424F4313"/>
    <w:rsid w:val="4256045E"/>
    <w:rsid w:val="4262766F"/>
    <w:rsid w:val="42724651"/>
    <w:rsid w:val="4285244B"/>
    <w:rsid w:val="4288F58C"/>
    <w:rsid w:val="428C6EF8"/>
    <w:rsid w:val="428E7CF3"/>
    <w:rsid w:val="4292AC4C"/>
    <w:rsid w:val="429533F4"/>
    <w:rsid w:val="4297890C"/>
    <w:rsid w:val="429AF3EB"/>
    <w:rsid w:val="42A01EB3"/>
    <w:rsid w:val="42A421A1"/>
    <w:rsid w:val="42AE115E"/>
    <w:rsid w:val="42AF49C9"/>
    <w:rsid w:val="42B32351"/>
    <w:rsid w:val="42C15CEB"/>
    <w:rsid w:val="42C2C365"/>
    <w:rsid w:val="42C66E79"/>
    <w:rsid w:val="42C94C7D"/>
    <w:rsid w:val="42CF1B86"/>
    <w:rsid w:val="42DC2D7F"/>
    <w:rsid w:val="42E1007B"/>
    <w:rsid w:val="42E1C883"/>
    <w:rsid w:val="42EB6FC7"/>
    <w:rsid w:val="42EC7D7C"/>
    <w:rsid w:val="42F7E2E4"/>
    <w:rsid w:val="43090EBA"/>
    <w:rsid w:val="430D4BAA"/>
    <w:rsid w:val="431576C7"/>
    <w:rsid w:val="43191408"/>
    <w:rsid w:val="431BCD1A"/>
    <w:rsid w:val="432A692E"/>
    <w:rsid w:val="432F46AE"/>
    <w:rsid w:val="433017AC"/>
    <w:rsid w:val="433323F3"/>
    <w:rsid w:val="4334E89D"/>
    <w:rsid w:val="433CB679"/>
    <w:rsid w:val="43465F70"/>
    <w:rsid w:val="4357F34C"/>
    <w:rsid w:val="4367285B"/>
    <w:rsid w:val="436A3C0E"/>
    <w:rsid w:val="436C8763"/>
    <w:rsid w:val="436FD7B9"/>
    <w:rsid w:val="4376CD6D"/>
    <w:rsid w:val="4378E0E1"/>
    <w:rsid w:val="43797BDC"/>
    <w:rsid w:val="437A22CA"/>
    <w:rsid w:val="4382DE00"/>
    <w:rsid w:val="4388CFD3"/>
    <w:rsid w:val="43896E71"/>
    <w:rsid w:val="438C7452"/>
    <w:rsid w:val="438D9322"/>
    <w:rsid w:val="438F2C65"/>
    <w:rsid w:val="438F9911"/>
    <w:rsid w:val="43908300"/>
    <w:rsid w:val="4398398F"/>
    <w:rsid w:val="43A5DA81"/>
    <w:rsid w:val="43A7FA9F"/>
    <w:rsid w:val="43A8DCDF"/>
    <w:rsid w:val="43AC95A9"/>
    <w:rsid w:val="43B4E9B2"/>
    <w:rsid w:val="43BBAEEB"/>
    <w:rsid w:val="43BD9E2B"/>
    <w:rsid w:val="43BDBF36"/>
    <w:rsid w:val="43C2F8A1"/>
    <w:rsid w:val="43D084A7"/>
    <w:rsid w:val="43D2E211"/>
    <w:rsid w:val="43DA742C"/>
    <w:rsid w:val="43DC8079"/>
    <w:rsid w:val="43E5AB90"/>
    <w:rsid w:val="43ED5763"/>
    <w:rsid w:val="43F07C00"/>
    <w:rsid w:val="440121C6"/>
    <w:rsid w:val="4401EA68"/>
    <w:rsid w:val="440EB369"/>
    <w:rsid w:val="441C58E6"/>
    <w:rsid w:val="441CB9F5"/>
    <w:rsid w:val="442D6E05"/>
    <w:rsid w:val="44343F07"/>
    <w:rsid w:val="4437B450"/>
    <w:rsid w:val="443A0E6C"/>
    <w:rsid w:val="443B1054"/>
    <w:rsid w:val="443DD6D2"/>
    <w:rsid w:val="44540995"/>
    <w:rsid w:val="44611307"/>
    <w:rsid w:val="4472F451"/>
    <w:rsid w:val="44771A99"/>
    <w:rsid w:val="448F22C1"/>
    <w:rsid w:val="4498C811"/>
    <w:rsid w:val="449BD14F"/>
    <w:rsid w:val="449CFB90"/>
    <w:rsid w:val="449E97FE"/>
    <w:rsid w:val="44A3125B"/>
    <w:rsid w:val="44A3ABF3"/>
    <w:rsid w:val="44A5ACA8"/>
    <w:rsid w:val="44A76C96"/>
    <w:rsid w:val="44B1F1AD"/>
    <w:rsid w:val="44B90BA6"/>
    <w:rsid w:val="44BBFD73"/>
    <w:rsid w:val="44BD7589"/>
    <w:rsid w:val="44C5C198"/>
    <w:rsid w:val="44C6E447"/>
    <w:rsid w:val="44CACDED"/>
    <w:rsid w:val="44D0D2A4"/>
    <w:rsid w:val="44D22EFE"/>
    <w:rsid w:val="44D56D1B"/>
    <w:rsid w:val="44DBF212"/>
    <w:rsid w:val="44DFE71B"/>
    <w:rsid w:val="44E1E03D"/>
    <w:rsid w:val="44F5ECDB"/>
    <w:rsid w:val="44FB7F35"/>
    <w:rsid w:val="44FFCF28"/>
    <w:rsid w:val="450298E7"/>
    <w:rsid w:val="4504DE29"/>
    <w:rsid w:val="450BEC89"/>
    <w:rsid w:val="45114163"/>
    <w:rsid w:val="45155D58"/>
    <w:rsid w:val="4518C0D4"/>
    <w:rsid w:val="451C29C6"/>
    <w:rsid w:val="451D755A"/>
    <w:rsid w:val="451E5B52"/>
    <w:rsid w:val="451EC76B"/>
    <w:rsid w:val="45214690"/>
    <w:rsid w:val="4529CBBD"/>
    <w:rsid w:val="452BA6F9"/>
    <w:rsid w:val="452FD399"/>
    <w:rsid w:val="453101AC"/>
    <w:rsid w:val="45338810"/>
    <w:rsid w:val="4537CB61"/>
    <w:rsid w:val="4548B247"/>
    <w:rsid w:val="45490B18"/>
    <w:rsid w:val="454CB697"/>
    <w:rsid w:val="45501F65"/>
    <w:rsid w:val="45508C9B"/>
    <w:rsid w:val="45542C02"/>
    <w:rsid w:val="45590444"/>
    <w:rsid w:val="455DA4D0"/>
    <w:rsid w:val="456A6100"/>
    <w:rsid w:val="456F0298"/>
    <w:rsid w:val="45721FD7"/>
    <w:rsid w:val="457D6932"/>
    <w:rsid w:val="4582F657"/>
    <w:rsid w:val="4586A113"/>
    <w:rsid w:val="458812F8"/>
    <w:rsid w:val="45897C45"/>
    <w:rsid w:val="458AF679"/>
    <w:rsid w:val="45911E6F"/>
    <w:rsid w:val="45987C7A"/>
    <w:rsid w:val="45A3302D"/>
    <w:rsid w:val="45A6BFE0"/>
    <w:rsid w:val="45A9321C"/>
    <w:rsid w:val="45ABB915"/>
    <w:rsid w:val="45B12E92"/>
    <w:rsid w:val="45B2406A"/>
    <w:rsid w:val="45B84625"/>
    <w:rsid w:val="45C1F82A"/>
    <w:rsid w:val="45C51FB5"/>
    <w:rsid w:val="45C94E0B"/>
    <w:rsid w:val="45CB59C3"/>
    <w:rsid w:val="45D08830"/>
    <w:rsid w:val="45DE15A6"/>
    <w:rsid w:val="45E96850"/>
    <w:rsid w:val="45EEFF23"/>
    <w:rsid w:val="45F1AB47"/>
    <w:rsid w:val="45F413AA"/>
    <w:rsid w:val="45F70D21"/>
    <w:rsid w:val="45FCAC5A"/>
    <w:rsid w:val="45FDC147"/>
    <w:rsid w:val="46013720"/>
    <w:rsid w:val="460A7FBA"/>
    <w:rsid w:val="460C0823"/>
    <w:rsid w:val="460C503D"/>
    <w:rsid w:val="460CDC64"/>
    <w:rsid w:val="460D6C67"/>
    <w:rsid w:val="460E17AB"/>
    <w:rsid w:val="4611B69B"/>
    <w:rsid w:val="46139CD5"/>
    <w:rsid w:val="4618197C"/>
    <w:rsid w:val="461B3CEA"/>
    <w:rsid w:val="461CF1CF"/>
    <w:rsid w:val="4621B778"/>
    <w:rsid w:val="462304EF"/>
    <w:rsid w:val="4626F2A6"/>
    <w:rsid w:val="4628DEFC"/>
    <w:rsid w:val="462C1543"/>
    <w:rsid w:val="462EDDD0"/>
    <w:rsid w:val="462F7B25"/>
    <w:rsid w:val="46307499"/>
    <w:rsid w:val="4633976F"/>
    <w:rsid w:val="4633FB4D"/>
    <w:rsid w:val="46347E6B"/>
    <w:rsid w:val="46361164"/>
    <w:rsid w:val="463D71A8"/>
    <w:rsid w:val="463EF545"/>
    <w:rsid w:val="46424506"/>
    <w:rsid w:val="464E8170"/>
    <w:rsid w:val="464FCBFD"/>
    <w:rsid w:val="464FF5B1"/>
    <w:rsid w:val="4657437A"/>
    <w:rsid w:val="4663315E"/>
    <w:rsid w:val="466F6C38"/>
    <w:rsid w:val="4671CE24"/>
    <w:rsid w:val="467C53B7"/>
    <w:rsid w:val="46817536"/>
    <w:rsid w:val="46824AAB"/>
    <w:rsid w:val="4683A364"/>
    <w:rsid w:val="468A682E"/>
    <w:rsid w:val="469D7113"/>
    <w:rsid w:val="46A087BB"/>
    <w:rsid w:val="46A1DB1E"/>
    <w:rsid w:val="46AD3FA3"/>
    <w:rsid w:val="46B419E3"/>
    <w:rsid w:val="46B49B68"/>
    <w:rsid w:val="46B55DD3"/>
    <w:rsid w:val="46B9965F"/>
    <w:rsid w:val="46BD1937"/>
    <w:rsid w:val="46C074A5"/>
    <w:rsid w:val="46CE2089"/>
    <w:rsid w:val="46D8208E"/>
    <w:rsid w:val="46D84BA4"/>
    <w:rsid w:val="46D9BA62"/>
    <w:rsid w:val="46DA3914"/>
    <w:rsid w:val="46DB1832"/>
    <w:rsid w:val="46DCEC8C"/>
    <w:rsid w:val="46DE89E3"/>
    <w:rsid w:val="46EABDB6"/>
    <w:rsid w:val="46EE4BE1"/>
    <w:rsid w:val="46EF4A87"/>
    <w:rsid w:val="46F5672C"/>
    <w:rsid w:val="46FD981E"/>
    <w:rsid w:val="46FFEEE2"/>
    <w:rsid w:val="4708894B"/>
    <w:rsid w:val="470C2A6E"/>
    <w:rsid w:val="470EB31C"/>
    <w:rsid w:val="4714BCD5"/>
    <w:rsid w:val="471DD80B"/>
    <w:rsid w:val="47279089"/>
    <w:rsid w:val="47368E46"/>
    <w:rsid w:val="473B6E91"/>
    <w:rsid w:val="47450888"/>
    <w:rsid w:val="474732AC"/>
    <w:rsid w:val="474930F6"/>
    <w:rsid w:val="474F16CA"/>
    <w:rsid w:val="475190D9"/>
    <w:rsid w:val="47576C6A"/>
    <w:rsid w:val="475E71A5"/>
    <w:rsid w:val="4761C7B1"/>
    <w:rsid w:val="4762C923"/>
    <w:rsid w:val="4768166A"/>
    <w:rsid w:val="476E03F8"/>
    <w:rsid w:val="47707730"/>
    <w:rsid w:val="4771775E"/>
    <w:rsid w:val="47722801"/>
    <w:rsid w:val="4772E626"/>
    <w:rsid w:val="47781B33"/>
    <w:rsid w:val="4783E7E8"/>
    <w:rsid w:val="478874CC"/>
    <w:rsid w:val="478F0607"/>
    <w:rsid w:val="478F1F24"/>
    <w:rsid w:val="4793E6A9"/>
    <w:rsid w:val="4798C8F2"/>
    <w:rsid w:val="4798CE03"/>
    <w:rsid w:val="479DB4DA"/>
    <w:rsid w:val="479FAE0F"/>
    <w:rsid w:val="47A89C04"/>
    <w:rsid w:val="47AAD511"/>
    <w:rsid w:val="47ABA1BD"/>
    <w:rsid w:val="47B6A1E9"/>
    <w:rsid w:val="47B75BBD"/>
    <w:rsid w:val="47B78D67"/>
    <w:rsid w:val="47BA2C30"/>
    <w:rsid w:val="47BCD302"/>
    <w:rsid w:val="47BF9D44"/>
    <w:rsid w:val="47BFC81F"/>
    <w:rsid w:val="47C384AF"/>
    <w:rsid w:val="47C7803D"/>
    <w:rsid w:val="47CDF6BB"/>
    <w:rsid w:val="47D24E3F"/>
    <w:rsid w:val="47D635DE"/>
    <w:rsid w:val="47DA19F7"/>
    <w:rsid w:val="47E04B8D"/>
    <w:rsid w:val="47EBC95F"/>
    <w:rsid w:val="47EE1A96"/>
    <w:rsid w:val="47FA0E33"/>
    <w:rsid w:val="480A42F7"/>
    <w:rsid w:val="480F5904"/>
    <w:rsid w:val="481663ED"/>
    <w:rsid w:val="4817DF79"/>
    <w:rsid w:val="48181C28"/>
    <w:rsid w:val="482E19C6"/>
    <w:rsid w:val="482E56CE"/>
    <w:rsid w:val="482FC929"/>
    <w:rsid w:val="4830FEED"/>
    <w:rsid w:val="4831409E"/>
    <w:rsid w:val="48395657"/>
    <w:rsid w:val="48399C7A"/>
    <w:rsid w:val="4846DD20"/>
    <w:rsid w:val="4851CCDD"/>
    <w:rsid w:val="485C0B1C"/>
    <w:rsid w:val="48689DB5"/>
    <w:rsid w:val="48714C7A"/>
    <w:rsid w:val="488A8086"/>
    <w:rsid w:val="488C1453"/>
    <w:rsid w:val="488FEDE5"/>
    <w:rsid w:val="48929F37"/>
    <w:rsid w:val="489479A8"/>
    <w:rsid w:val="489D0EB1"/>
    <w:rsid w:val="489D2BC6"/>
    <w:rsid w:val="48A76A1A"/>
    <w:rsid w:val="48B36F61"/>
    <w:rsid w:val="48B38AB4"/>
    <w:rsid w:val="48BCFA95"/>
    <w:rsid w:val="48BDD526"/>
    <w:rsid w:val="48D0F04F"/>
    <w:rsid w:val="48D17525"/>
    <w:rsid w:val="48DD4720"/>
    <w:rsid w:val="48E154D5"/>
    <w:rsid w:val="48ED3CF4"/>
    <w:rsid w:val="48F77928"/>
    <w:rsid w:val="4904D75C"/>
    <w:rsid w:val="490EA45C"/>
    <w:rsid w:val="4915D43B"/>
    <w:rsid w:val="491E74BE"/>
    <w:rsid w:val="491ED667"/>
    <w:rsid w:val="49207FB7"/>
    <w:rsid w:val="4920C971"/>
    <w:rsid w:val="49212D49"/>
    <w:rsid w:val="4926BB0A"/>
    <w:rsid w:val="4929031F"/>
    <w:rsid w:val="492917C2"/>
    <w:rsid w:val="492E955D"/>
    <w:rsid w:val="4931CB81"/>
    <w:rsid w:val="49343DEB"/>
    <w:rsid w:val="4934B9B4"/>
    <w:rsid w:val="493BFF99"/>
    <w:rsid w:val="493CFEAE"/>
    <w:rsid w:val="493D5423"/>
    <w:rsid w:val="493DA688"/>
    <w:rsid w:val="49441D6E"/>
    <w:rsid w:val="494AECD4"/>
    <w:rsid w:val="4955F70F"/>
    <w:rsid w:val="49567308"/>
    <w:rsid w:val="495941F7"/>
    <w:rsid w:val="49627CC2"/>
    <w:rsid w:val="4965EA93"/>
    <w:rsid w:val="4969E32E"/>
    <w:rsid w:val="496B316C"/>
    <w:rsid w:val="4977B44F"/>
    <w:rsid w:val="497B414B"/>
    <w:rsid w:val="4980688B"/>
    <w:rsid w:val="4983E719"/>
    <w:rsid w:val="499BB112"/>
    <w:rsid w:val="499CDDEC"/>
    <w:rsid w:val="49A4A8E0"/>
    <w:rsid w:val="49AB1AE0"/>
    <w:rsid w:val="49AFF993"/>
    <w:rsid w:val="49AFFF7E"/>
    <w:rsid w:val="49B0346E"/>
    <w:rsid w:val="49B5B397"/>
    <w:rsid w:val="49BBFFFE"/>
    <w:rsid w:val="49BC1E0B"/>
    <w:rsid w:val="49BD63E1"/>
    <w:rsid w:val="49C57303"/>
    <w:rsid w:val="49CE0634"/>
    <w:rsid w:val="49D85346"/>
    <w:rsid w:val="49DFC842"/>
    <w:rsid w:val="49E77786"/>
    <w:rsid w:val="49E7AA75"/>
    <w:rsid w:val="49F01E96"/>
    <w:rsid w:val="49F2A1C2"/>
    <w:rsid w:val="49FC2D75"/>
    <w:rsid w:val="4A0129FA"/>
    <w:rsid w:val="4A016340"/>
    <w:rsid w:val="4A03D2F8"/>
    <w:rsid w:val="4A1523B3"/>
    <w:rsid w:val="4A178B8F"/>
    <w:rsid w:val="4A1A7DB5"/>
    <w:rsid w:val="4A201C07"/>
    <w:rsid w:val="4A2514CB"/>
    <w:rsid w:val="4A281F77"/>
    <w:rsid w:val="4A2AE7B3"/>
    <w:rsid w:val="4A326E90"/>
    <w:rsid w:val="4A33837A"/>
    <w:rsid w:val="4A34478A"/>
    <w:rsid w:val="4A372F67"/>
    <w:rsid w:val="4A409E02"/>
    <w:rsid w:val="4A4DE6F6"/>
    <w:rsid w:val="4A50687B"/>
    <w:rsid w:val="4A51351D"/>
    <w:rsid w:val="4A577C89"/>
    <w:rsid w:val="4A57D8B7"/>
    <w:rsid w:val="4A59D63C"/>
    <w:rsid w:val="4A5CF6F9"/>
    <w:rsid w:val="4A5E9B07"/>
    <w:rsid w:val="4A5EF783"/>
    <w:rsid w:val="4A7398CF"/>
    <w:rsid w:val="4A7B46D2"/>
    <w:rsid w:val="4A7D5DBE"/>
    <w:rsid w:val="4A7DAB84"/>
    <w:rsid w:val="4A7FA015"/>
    <w:rsid w:val="4A852C34"/>
    <w:rsid w:val="4A86363E"/>
    <w:rsid w:val="4A95D22A"/>
    <w:rsid w:val="4A982BE5"/>
    <w:rsid w:val="4A9D561F"/>
    <w:rsid w:val="4A9FC2EB"/>
    <w:rsid w:val="4AB5B2FF"/>
    <w:rsid w:val="4ACD1597"/>
    <w:rsid w:val="4ACDE71C"/>
    <w:rsid w:val="4AD829EC"/>
    <w:rsid w:val="4AD8908B"/>
    <w:rsid w:val="4AD9EA8A"/>
    <w:rsid w:val="4AE74E93"/>
    <w:rsid w:val="4AED7CAE"/>
    <w:rsid w:val="4AF7A9D7"/>
    <w:rsid w:val="4B0177EF"/>
    <w:rsid w:val="4B059742"/>
    <w:rsid w:val="4B07DDE1"/>
    <w:rsid w:val="4B0C3842"/>
    <w:rsid w:val="4B16152E"/>
    <w:rsid w:val="4B1770CF"/>
    <w:rsid w:val="4B1906B5"/>
    <w:rsid w:val="4B202B7C"/>
    <w:rsid w:val="4B27B039"/>
    <w:rsid w:val="4B29D129"/>
    <w:rsid w:val="4B2D7410"/>
    <w:rsid w:val="4B2E60BA"/>
    <w:rsid w:val="4B361747"/>
    <w:rsid w:val="4B393F08"/>
    <w:rsid w:val="4B39F578"/>
    <w:rsid w:val="4B50ED17"/>
    <w:rsid w:val="4B522AA5"/>
    <w:rsid w:val="4B575DF9"/>
    <w:rsid w:val="4B64C27C"/>
    <w:rsid w:val="4B67725E"/>
    <w:rsid w:val="4B6D31B6"/>
    <w:rsid w:val="4B6EA1F4"/>
    <w:rsid w:val="4B7757BA"/>
    <w:rsid w:val="4B841A37"/>
    <w:rsid w:val="4B85A5F3"/>
    <w:rsid w:val="4B8AA447"/>
    <w:rsid w:val="4B8DF64D"/>
    <w:rsid w:val="4B8FE6BE"/>
    <w:rsid w:val="4B928CD5"/>
    <w:rsid w:val="4B961EDB"/>
    <w:rsid w:val="4B96FB03"/>
    <w:rsid w:val="4B989E18"/>
    <w:rsid w:val="4B98F729"/>
    <w:rsid w:val="4B9BAFFE"/>
    <w:rsid w:val="4BA2FE7C"/>
    <w:rsid w:val="4BB50C71"/>
    <w:rsid w:val="4BBBF928"/>
    <w:rsid w:val="4BBE0158"/>
    <w:rsid w:val="4BC7E1F6"/>
    <w:rsid w:val="4BC9FBA1"/>
    <w:rsid w:val="4BCE6D3C"/>
    <w:rsid w:val="4BD25EB7"/>
    <w:rsid w:val="4BD29B98"/>
    <w:rsid w:val="4BD74BFA"/>
    <w:rsid w:val="4BD96304"/>
    <w:rsid w:val="4BD97474"/>
    <w:rsid w:val="4BE2D1CB"/>
    <w:rsid w:val="4BE60C65"/>
    <w:rsid w:val="4BE69983"/>
    <w:rsid w:val="4BF66D4F"/>
    <w:rsid w:val="4C065EB5"/>
    <w:rsid w:val="4C10D55E"/>
    <w:rsid w:val="4C23FC77"/>
    <w:rsid w:val="4C285DF6"/>
    <w:rsid w:val="4C345058"/>
    <w:rsid w:val="4C35043F"/>
    <w:rsid w:val="4C419C65"/>
    <w:rsid w:val="4C4EB2CE"/>
    <w:rsid w:val="4C533DB7"/>
    <w:rsid w:val="4C5876B7"/>
    <w:rsid w:val="4C58A097"/>
    <w:rsid w:val="4C5BD48A"/>
    <w:rsid w:val="4C652264"/>
    <w:rsid w:val="4C66A7C3"/>
    <w:rsid w:val="4C6B2FB3"/>
    <w:rsid w:val="4C6DF264"/>
    <w:rsid w:val="4C736B31"/>
    <w:rsid w:val="4C74CEBE"/>
    <w:rsid w:val="4C7649FD"/>
    <w:rsid w:val="4C8030A6"/>
    <w:rsid w:val="4C80F100"/>
    <w:rsid w:val="4C83ACB9"/>
    <w:rsid w:val="4C84830F"/>
    <w:rsid w:val="4C8721E0"/>
    <w:rsid w:val="4C8B4154"/>
    <w:rsid w:val="4C8DEF08"/>
    <w:rsid w:val="4C92B44B"/>
    <w:rsid w:val="4C9857E1"/>
    <w:rsid w:val="4C9E41BD"/>
    <w:rsid w:val="4C9F0BEE"/>
    <w:rsid w:val="4CAAE6F4"/>
    <w:rsid w:val="4CAC6265"/>
    <w:rsid w:val="4CAEEABE"/>
    <w:rsid w:val="4CC263A7"/>
    <w:rsid w:val="4CC799A1"/>
    <w:rsid w:val="4CC8D1F9"/>
    <w:rsid w:val="4CCB8F95"/>
    <w:rsid w:val="4CD3F3E7"/>
    <w:rsid w:val="4CD983B1"/>
    <w:rsid w:val="4CDE6420"/>
    <w:rsid w:val="4CE0B8B7"/>
    <w:rsid w:val="4CE5DF20"/>
    <w:rsid w:val="4CEF059D"/>
    <w:rsid w:val="4CEF4927"/>
    <w:rsid w:val="4CF31B74"/>
    <w:rsid w:val="4CF5768E"/>
    <w:rsid w:val="4CF8F3B4"/>
    <w:rsid w:val="4D010485"/>
    <w:rsid w:val="4D01D16A"/>
    <w:rsid w:val="4D04E626"/>
    <w:rsid w:val="4D059BA8"/>
    <w:rsid w:val="4D0921EF"/>
    <w:rsid w:val="4D0E74DA"/>
    <w:rsid w:val="4D0FB3C9"/>
    <w:rsid w:val="4D169350"/>
    <w:rsid w:val="4D1BB7C3"/>
    <w:rsid w:val="4D2AFA4D"/>
    <w:rsid w:val="4D34ACC6"/>
    <w:rsid w:val="4D38BCCB"/>
    <w:rsid w:val="4D393694"/>
    <w:rsid w:val="4D3C6055"/>
    <w:rsid w:val="4D3E200E"/>
    <w:rsid w:val="4D423369"/>
    <w:rsid w:val="4D4DFA13"/>
    <w:rsid w:val="4D4E89A0"/>
    <w:rsid w:val="4D5FB2BB"/>
    <w:rsid w:val="4D671833"/>
    <w:rsid w:val="4D6B0FE9"/>
    <w:rsid w:val="4D6E698D"/>
    <w:rsid w:val="4D71193A"/>
    <w:rsid w:val="4D77D40E"/>
    <w:rsid w:val="4D7AAB35"/>
    <w:rsid w:val="4D7C8394"/>
    <w:rsid w:val="4D7CE57D"/>
    <w:rsid w:val="4D7FCFCB"/>
    <w:rsid w:val="4D809FBC"/>
    <w:rsid w:val="4D8295E1"/>
    <w:rsid w:val="4D8B89A9"/>
    <w:rsid w:val="4D8DA5BA"/>
    <w:rsid w:val="4D90DC24"/>
    <w:rsid w:val="4D95479E"/>
    <w:rsid w:val="4D9D4615"/>
    <w:rsid w:val="4DA3585D"/>
    <w:rsid w:val="4DA796A6"/>
    <w:rsid w:val="4DAF8CC4"/>
    <w:rsid w:val="4DB008B4"/>
    <w:rsid w:val="4DB27729"/>
    <w:rsid w:val="4DB9729D"/>
    <w:rsid w:val="4DBAFAAA"/>
    <w:rsid w:val="4DBC3C66"/>
    <w:rsid w:val="4DBE57AC"/>
    <w:rsid w:val="4DC79EC7"/>
    <w:rsid w:val="4DC9910C"/>
    <w:rsid w:val="4DD28F14"/>
    <w:rsid w:val="4DDED574"/>
    <w:rsid w:val="4DE17E68"/>
    <w:rsid w:val="4DEA88C7"/>
    <w:rsid w:val="4DEB2C09"/>
    <w:rsid w:val="4DF18327"/>
    <w:rsid w:val="4DF30142"/>
    <w:rsid w:val="4DFF3AFA"/>
    <w:rsid w:val="4E14E24C"/>
    <w:rsid w:val="4E18601F"/>
    <w:rsid w:val="4E1D46DB"/>
    <w:rsid w:val="4E1E84AA"/>
    <w:rsid w:val="4E231CB5"/>
    <w:rsid w:val="4E25FFB0"/>
    <w:rsid w:val="4E329A6E"/>
    <w:rsid w:val="4E3BF385"/>
    <w:rsid w:val="4E40A52E"/>
    <w:rsid w:val="4E4B34D5"/>
    <w:rsid w:val="4E4D86A3"/>
    <w:rsid w:val="4E50228A"/>
    <w:rsid w:val="4E50C037"/>
    <w:rsid w:val="4E579326"/>
    <w:rsid w:val="4E733999"/>
    <w:rsid w:val="4E7EE231"/>
    <w:rsid w:val="4E876994"/>
    <w:rsid w:val="4E954A24"/>
    <w:rsid w:val="4E9DDD65"/>
    <w:rsid w:val="4E9DFA3B"/>
    <w:rsid w:val="4E9F6104"/>
    <w:rsid w:val="4EA14CA7"/>
    <w:rsid w:val="4EA14F5C"/>
    <w:rsid w:val="4EA34B39"/>
    <w:rsid w:val="4EA7F6DD"/>
    <w:rsid w:val="4EC40EA7"/>
    <w:rsid w:val="4EC63B46"/>
    <w:rsid w:val="4EC75E13"/>
    <w:rsid w:val="4ECF86F1"/>
    <w:rsid w:val="4EDAAA93"/>
    <w:rsid w:val="4EDC2524"/>
    <w:rsid w:val="4EE5BC65"/>
    <w:rsid w:val="4EF43114"/>
    <w:rsid w:val="4EF602DE"/>
    <w:rsid w:val="4EFAFA91"/>
    <w:rsid w:val="4F06414C"/>
    <w:rsid w:val="4F0BB9D7"/>
    <w:rsid w:val="4F0EDB95"/>
    <w:rsid w:val="4F12F732"/>
    <w:rsid w:val="4F13C1F4"/>
    <w:rsid w:val="4F1440FD"/>
    <w:rsid w:val="4F178A1E"/>
    <w:rsid w:val="4F1AA426"/>
    <w:rsid w:val="4F1F6D99"/>
    <w:rsid w:val="4F23CB6F"/>
    <w:rsid w:val="4F28C72C"/>
    <w:rsid w:val="4F310BA3"/>
    <w:rsid w:val="4F3ED11E"/>
    <w:rsid w:val="4F4374BF"/>
    <w:rsid w:val="4F451CBC"/>
    <w:rsid w:val="4F581DD4"/>
    <w:rsid w:val="4F5C7253"/>
    <w:rsid w:val="4F5E26C8"/>
    <w:rsid w:val="4F5FD811"/>
    <w:rsid w:val="4F61E722"/>
    <w:rsid w:val="4F6DDB5B"/>
    <w:rsid w:val="4F6FC7AE"/>
    <w:rsid w:val="4F709F9A"/>
    <w:rsid w:val="4F71372D"/>
    <w:rsid w:val="4F7A320D"/>
    <w:rsid w:val="4F7D0038"/>
    <w:rsid w:val="4F7E9577"/>
    <w:rsid w:val="4F826181"/>
    <w:rsid w:val="4F829E5C"/>
    <w:rsid w:val="4F8ABAE9"/>
    <w:rsid w:val="4F8DBF08"/>
    <w:rsid w:val="4F91A2E3"/>
    <w:rsid w:val="4F947360"/>
    <w:rsid w:val="4F9875D5"/>
    <w:rsid w:val="4F996ECD"/>
    <w:rsid w:val="4F9B5EBC"/>
    <w:rsid w:val="4F9F21FD"/>
    <w:rsid w:val="4FA3883F"/>
    <w:rsid w:val="4FAA0369"/>
    <w:rsid w:val="4FABAB53"/>
    <w:rsid w:val="4FAD7DB1"/>
    <w:rsid w:val="4FB30452"/>
    <w:rsid w:val="4FBAC93F"/>
    <w:rsid w:val="4FBB6249"/>
    <w:rsid w:val="4FBFE907"/>
    <w:rsid w:val="4FC0E236"/>
    <w:rsid w:val="4FCCB7CD"/>
    <w:rsid w:val="4FD63223"/>
    <w:rsid w:val="4FDB8945"/>
    <w:rsid w:val="4FDB9F4F"/>
    <w:rsid w:val="4FDBA972"/>
    <w:rsid w:val="4FE7EB53"/>
    <w:rsid w:val="4FEF084D"/>
    <w:rsid w:val="4FEFD854"/>
    <w:rsid w:val="4FF6A30F"/>
    <w:rsid w:val="4FF7EB89"/>
    <w:rsid w:val="4FF982BA"/>
    <w:rsid w:val="4FF9A632"/>
    <w:rsid w:val="4FFE3014"/>
    <w:rsid w:val="4FFE465D"/>
    <w:rsid w:val="4FFF2806"/>
    <w:rsid w:val="50014ED9"/>
    <w:rsid w:val="500B19AD"/>
    <w:rsid w:val="500D9F2E"/>
    <w:rsid w:val="50124B7B"/>
    <w:rsid w:val="50177AF7"/>
    <w:rsid w:val="5021F434"/>
    <w:rsid w:val="502CC307"/>
    <w:rsid w:val="502F29E1"/>
    <w:rsid w:val="5032D682"/>
    <w:rsid w:val="5038F5BE"/>
    <w:rsid w:val="503D1BFE"/>
    <w:rsid w:val="503E0786"/>
    <w:rsid w:val="50499733"/>
    <w:rsid w:val="504B4E8F"/>
    <w:rsid w:val="5052CE38"/>
    <w:rsid w:val="505437A3"/>
    <w:rsid w:val="505932AD"/>
    <w:rsid w:val="505B677B"/>
    <w:rsid w:val="505D0E63"/>
    <w:rsid w:val="50627C88"/>
    <w:rsid w:val="50648201"/>
    <w:rsid w:val="50729DC9"/>
    <w:rsid w:val="507DB9C9"/>
    <w:rsid w:val="507EDC4E"/>
    <w:rsid w:val="508137E0"/>
    <w:rsid w:val="508283D7"/>
    <w:rsid w:val="5083908D"/>
    <w:rsid w:val="50891E7A"/>
    <w:rsid w:val="508F82FC"/>
    <w:rsid w:val="50B302E2"/>
    <w:rsid w:val="50B64F05"/>
    <w:rsid w:val="50B8AD2E"/>
    <w:rsid w:val="50BB05DE"/>
    <w:rsid w:val="50BFF1AB"/>
    <w:rsid w:val="50C37FF4"/>
    <w:rsid w:val="50C55EA0"/>
    <w:rsid w:val="50C56E07"/>
    <w:rsid w:val="50C721A3"/>
    <w:rsid w:val="50DD3EDE"/>
    <w:rsid w:val="50E15E38"/>
    <w:rsid w:val="50E38EBC"/>
    <w:rsid w:val="50E4D43B"/>
    <w:rsid w:val="50E9F988"/>
    <w:rsid w:val="50F8AED1"/>
    <w:rsid w:val="50F9672F"/>
    <w:rsid w:val="50FEA48C"/>
    <w:rsid w:val="50FEC257"/>
    <w:rsid w:val="5101D003"/>
    <w:rsid w:val="5106C38B"/>
    <w:rsid w:val="510AA308"/>
    <w:rsid w:val="5120878D"/>
    <w:rsid w:val="5131A9D3"/>
    <w:rsid w:val="51394F1F"/>
    <w:rsid w:val="513D4980"/>
    <w:rsid w:val="5148BFAC"/>
    <w:rsid w:val="514E4838"/>
    <w:rsid w:val="514EE95A"/>
    <w:rsid w:val="5150406D"/>
    <w:rsid w:val="51572AEC"/>
    <w:rsid w:val="5157DAD8"/>
    <w:rsid w:val="51584AE8"/>
    <w:rsid w:val="515DFFC3"/>
    <w:rsid w:val="51669D44"/>
    <w:rsid w:val="5169B43F"/>
    <w:rsid w:val="516C93CA"/>
    <w:rsid w:val="516CA5C1"/>
    <w:rsid w:val="51761106"/>
    <w:rsid w:val="518798C2"/>
    <w:rsid w:val="5188CD21"/>
    <w:rsid w:val="51893CD9"/>
    <w:rsid w:val="519986A5"/>
    <w:rsid w:val="519DEED6"/>
    <w:rsid w:val="51A1339B"/>
    <w:rsid w:val="51A301E1"/>
    <w:rsid w:val="51A9757E"/>
    <w:rsid w:val="51ADD1D7"/>
    <w:rsid w:val="51B3BDF3"/>
    <w:rsid w:val="51B647F3"/>
    <w:rsid w:val="51B7583E"/>
    <w:rsid w:val="51BA2A3C"/>
    <w:rsid w:val="51C41662"/>
    <w:rsid w:val="51C4C56F"/>
    <w:rsid w:val="51CB8C89"/>
    <w:rsid w:val="51CC7D28"/>
    <w:rsid w:val="51CE9C66"/>
    <w:rsid w:val="51D015C2"/>
    <w:rsid w:val="51D14E05"/>
    <w:rsid w:val="51D22038"/>
    <w:rsid w:val="51D37C40"/>
    <w:rsid w:val="51D81E23"/>
    <w:rsid w:val="51E3B1DB"/>
    <w:rsid w:val="5207AA91"/>
    <w:rsid w:val="5210A923"/>
    <w:rsid w:val="52259AE4"/>
    <w:rsid w:val="5225B66C"/>
    <w:rsid w:val="5231740D"/>
    <w:rsid w:val="523B0713"/>
    <w:rsid w:val="52423CCE"/>
    <w:rsid w:val="5246C5CE"/>
    <w:rsid w:val="524C5EDB"/>
    <w:rsid w:val="52530E2F"/>
    <w:rsid w:val="525434C7"/>
    <w:rsid w:val="525C709D"/>
    <w:rsid w:val="526052FE"/>
    <w:rsid w:val="526680F0"/>
    <w:rsid w:val="526BEEAD"/>
    <w:rsid w:val="526C033C"/>
    <w:rsid w:val="526DCD25"/>
    <w:rsid w:val="52717744"/>
    <w:rsid w:val="5272A84D"/>
    <w:rsid w:val="527467DA"/>
    <w:rsid w:val="5275BB28"/>
    <w:rsid w:val="5278EC4F"/>
    <w:rsid w:val="5286C4FB"/>
    <w:rsid w:val="528AA86F"/>
    <w:rsid w:val="528ABCEF"/>
    <w:rsid w:val="528C3164"/>
    <w:rsid w:val="52939BFA"/>
    <w:rsid w:val="52A1CA76"/>
    <w:rsid w:val="52B08D98"/>
    <w:rsid w:val="52B0D82E"/>
    <w:rsid w:val="52B4EF17"/>
    <w:rsid w:val="52B54AB3"/>
    <w:rsid w:val="52B93D64"/>
    <w:rsid w:val="52BDB5D3"/>
    <w:rsid w:val="52BF8630"/>
    <w:rsid w:val="52C97B1A"/>
    <w:rsid w:val="52CD2810"/>
    <w:rsid w:val="52DF23E0"/>
    <w:rsid w:val="52E247C7"/>
    <w:rsid w:val="52E5060F"/>
    <w:rsid w:val="52F06C18"/>
    <w:rsid w:val="52F0D748"/>
    <w:rsid w:val="52FC2278"/>
    <w:rsid w:val="52FE43AA"/>
    <w:rsid w:val="52FECD9A"/>
    <w:rsid w:val="5307B955"/>
    <w:rsid w:val="5308BF4D"/>
    <w:rsid w:val="53094E85"/>
    <w:rsid w:val="531FF209"/>
    <w:rsid w:val="5322D15C"/>
    <w:rsid w:val="532D07CD"/>
    <w:rsid w:val="532FC476"/>
    <w:rsid w:val="533065CB"/>
    <w:rsid w:val="53389D24"/>
    <w:rsid w:val="534F014F"/>
    <w:rsid w:val="534F382A"/>
    <w:rsid w:val="5355634F"/>
    <w:rsid w:val="5357227F"/>
    <w:rsid w:val="5357CF7F"/>
    <w:rsid w:val="535C5CA4"/>
    <w:rsid w:val="536A9637"/>
    <w:rsid w:val="53710F7F"/>
    <w:rsid w:val="537174E7"/>
    <w:rsid w:val="537CE211"/>
    <w:rsid w:val="53873555"/>
    <w:rsid w:val="538F0FE8"/>
    <w:rsid w:val="53909182"/>
    <w:rsid w:val="53945FDB"/>
    <w:rsid w:val="5397BDE8"/>
    <w:rsid w:val="53A871FE"/>
    <w:rsid w:val="53AB6648"/>
    <w:rsid w:val="53AF97C5"/>
    <w:rsid w:val="53BEAA79"/>
    <w:rsid w:val="53C259A5"/>
    <w:rsid w:val="53C94CAB"/>
    <w:rsid w:val="53CDE5D2"/>
    <w:rsid w:val="53CE295B"/>
    <w:rsid w:val="53CE64E3"/>
    <w:rsid w:val="53CF1395"/>
    <w:rsid w:val="53D0C361"/>
    <w:rsid w:val="53D3CC0F"/>
    <w:rsid w:val="53D61F9E"/>
    <w:rsid w:val="53DA9598"/>
    <w:rsid w:val="53DB4598"/>
    <w:rsid w:val="53DDAB68"/>
    <w:rsid w:val="53E038F5"/>
    <w:rsid w:val="53E4B347"/>
    <w:rsid w:val="53F4CF96"/>
    <w:rsid w:val="53FC60B5"/>
    <w:rsid w:val="540309FE"/>
    <w:rsid w:val="5407FBFD"/>
    <w:rsid w:val="5409303D"/>
    <w:rsid w:val="540E1BF1"/>
    <w:rsid w:val="541C17C0"/>
    <w:rsid w:val="5421173D"/>
    <w:rsid w:val="54252566"/>
    <w:rsid w:val="54296A25"/>
    <w:rsid w:val="542D8052"/>
    <w:rsid w:val="54312AC8"/>
    <w:rsid w:val="543EC2E2"/>
    <w:rsid w:val="544662A3"/>
    <w:rsid w:val="544792EE"/>
    <w:rsid w:val="5448CD1B"/>
    <w:rsid w:val="544966AF"/>
    <w:rsid w:val="545C2801"/>
    <w:rsid w:val="545E81A4"/>
    <w:rsid w:val="546C9CC0"/>
    <w:rsid w:val="54700B5B"/>
    <w:rsid w:val="547B3EBB"/>
    <w:rsid w:val="547C67C3"/>
    <w:rsid w:val="5490839D"/>
    <w:rsid w:val="54926E72"/>
    <w:rsid w:val="54945E03"/>
    <w:rsid w:val="54964819"/>
    <w:rsid w:val="549BDE9F"/>
    <w:rsid w:val="549FDE22"/>
    <w:rsid w:val="54A1E65A"/>
    <w:rsid w:val="54A4EAD2"/>
    <w:rsid w:val="54A91E6F"/>
    <w:rsid w:val="54B1F9B5"/>
    <w:rsid w:val="54B29886"/>
    <w:rsid w:val="54B487A1"/>
    <w:rsid w:val="54B65329"/>
    <w:rsid w:val="54BA44A9"/>
    <w:rsid w:val="54BC2254"/>
    <w:rsid w:val="54BCDAA2"/>
    <w:rsid w:val="54BD6FC4"/>
    <w:rsid w:val="54D3345F"/>
    <w:rsid w:val="54D33D25"/>
    <w:rsid w:val="54D7A3D5"/>
    <w:rsid w:val="54E0CD6B"/>
    <w:rsid w:val="54EC8EB5"/>
    <w:rsid w:val="54F2E767"/>
    <w:rsid w:val="54F4FC9A"/>
    <w:rsid w:val="54F9532D"/>
    <w:rsid w:val="54FD7723"/>
    <w:rsid w:val="54FDAB1E"/>
    <w:rsid w:val="54FE1599"/>
    <w:rsid w:val="550111FB"/>
    <w:rsid w:val="5501787D"/>
    <w:rsid w:val="5505C5AD"/>
    <w:rsid w:val="5506F055"/>
    <w:rsid w:val="5506F988"/>
    <w:rsid w:val="550C88BA"/>
    <w:rsid w:val="550CB25C"/>
    <w:rsid w:val="550E2C72"/>
    <w:rsid w:val="55188DB0"/>
    <w:rsid w:val="551974C3"/>
    <w:rsid w:val="5519D326"/>
    <w:rsid w:val="551A3644"/>
    <w:rsid w:val="55250AD1"/>
    <w:rsid w:val="55290BA2"/>
    <w:rsid w:val="552D7FF6"/>
    <w:rsid w:val="553DB36E"/>
    <w:rsid w:val="5548058F"/>
    <w:rsid w:val="554BD470"/>
    <w:rsid w:val="554EA0A9"/>
    <w:rsid w:val="55503FC6"/>
    <w:rsid w:val="555365DA"/>
    <w:rsid w:val="55546524"/>
    <w:rsid w:val="5558D392"/>
    <w:rsid w:val="556F71A0"/>
    <w:rsid w:val="5575A87A"/>
    <w:rsid w:val="5578D5A9"/>
    <w:rsid w:val="55844B48"/>
    <w:rsid w:val="558E262A"/>
    <w:rsid w:val="5594718E"/>
    <w:rsid w:val="5599A93B"/>
    <w:rsid w:val="559BA55D"/>
    <w:rsid w:val="559C9265"/>
    <w:rsid w:val="55A1C644"/>
    <w:rsid w:val="55A67D4E"/>
    <w:rsid w:val="55A83D6B"/>
    <w:rsid w:val="55BB2D4B"/>
    <w:rsid w:val="55BB8D75"/>
    <w:rsid w:val="55BD8A74"/>
    <w:rsid w:val="55BF8149"/>
    <w:rsid w:val="55C07573"/>
    <w:rsid w:val="55C8FAFD"/>
    <w:rsid w:val="55CD4C7E"/>
    <w:rsid w:val="55DB9FAA"/>
    <w:rsid w:val="55E29E35"/>
    <w:rsid w:val="55E3FF01"/>
    <w:rsid w:val="55E9464A"/>
    <w:rsid w:val="55E98BC8"/>
    <w:rsid w:val="55F029BA"/>
    <w:rsid w:val="55F37178"/>
    <w:rsid w:val="55F6F9F3"/>
    <w:rsid w:val="55FEA681"/>
    <w:rsid w:val="56000EA5"/>
    <w:rsid w:val="5604C522"/>
    <w:rsid w:val="560C3C60"/>
    <w:rsid w:val="56110CF9"/>
    <w:rsid w:val="5611E423"/>
    <w:rsid w:val="5614046C"/>
    <w:rsid w:val="56246304"/>
    <w:rsid w:val="56304976"/>
    <w:rsid w:val="56361122"/>
    <w:rsid w:val="5638F1FA"/>
    <w:rsid w:val="563BE4CC"/>
    <w:rsid w:val="56447981"/>
    <w:rsid w:val="564B0B53"/>
    <w:rsid w:val="5654F761"/>
    <w:rsid w:val="565DFF36"/>
    <w:rsid w:val="5660508E"/>
    <w:rsid w:val="566257BE"/>
    <w:rsid w:val="566910D2"/>
    <w:rsid w:val="566BB666"/>
    <w:rsid w:val="566C7140"/>
    <w:rsid w:val="566C814E"/>
    <w:rsid w:val="56721890"/>
    <w:rsid w:val="567743EF"/>
    <w:rsid w:val="56785BAF"/>
    <w:rsid w:val="567DEECC"/>
    <w:rsid w:val="567EF295"/>
    <w:rsid w:val="56890E49"/>
    <w:rsid w:val="5689CDD5"/>
    <w:rsid w:val="568B794F"/>
    <w:rsid w:val="5694512A"/>
    <w:rsid w:val="5699AF74"/>
    <w:rsid w:val="56A2BF44"/>
    <w:rsid w:val="56A907C2"/>
    <w:rsid w:val="56AE254E"/>
    <w:rsid w:val="56B3EC39"/>
    <w:rsid w:val="56B5A9B5"/>
    <w:rsid w:val="56BB6716"/>
    <w:rsid w:val="56CB081B"/>
    <w:rsid w:val="56CD05AE"/>
    <w:rsid w:val="56CF44E6"/>
    <w:rsid w:val="56DCB88E"/>
    <w:rsid w:val="56E0D013"/>
    <w:rsid w:val="56EAA678"/>
    <w:rsid w:val="56EB9A7F"/>
    <w:rsid w:val="56ED6DCD"/>
    <w:rsid w:val="56F17A48"/>
    <w:rsid w:val="56F191CD"/>
    <w:rsid w:val="56F3E8F4"/>
    <w:rsid w:val="57075B96"/>
    <w:rsid w:val="57088673"/>
    <w:rsid w:val="570CF98E"/>
    <w:rsid w:val="570D1959"/>
    <w:rsid w:val="57122109"/>
    <w:rsid w:val="5717F41F"/>
    <w:rsid w:val="571ECBAA"/>
    <w:rsid w:val="572355F5"/>
    <w:rsid w:val="572A2C1B"/>
    <w:rsid w:val="572AD73C"/>
    <w:rsid w:val="573BE50D"/>
    <w:rsid w:val="5740C370"/>
    <w:rsid w:val="5741EEB1"/>
    <w:rsid w:val="57582099"/>
    <w:rsid w:val="575C803C"/>
    <w:rsid w:val="5762E697"/>
    <w:rsid w:val="5764754D"/>
    <w:rsid w:val="576D65B3"/>
    <w:rsid w:val="577D5FE9"/>
    <w:rsid w:val="578539C1"/>
    <w:rsid w:val="578A5FC6"/>
    <w:rsid w:val="578F5666"/>
    <w:rsid w:val="579B8C2D"/>
    <w:rsid w:val="57AC1DCF"/>
    <w:rsid w:val="57B22E55"/>
    <w:rsid w:val="57B42D49"/>
    <w:rsid w:val="57B434C1"/>
    <w:rsid w:val="57B80D62"/>
    <w:rsid w:val="57BECC80"/>
    <w:rsid w:val="57C13ADA"/>
    <w:rsid w:val="57C41661"/>
    <w:rsid w:val="57C6B96F"/>
    <w:rsid w:val="57C77549"/>
    <w:rsid w:val="57CCFE0D"/>
    <w:rsid w:val="57D3DF39"/>
    <w:rsid w:val="57DC71D6"/>
    <w:rsid w:val="57DD2156"/>
    <w:rsid w:val="57E1D088"/>
    <w:rsid w:val="57E5DEF7"/>
    <w:rsid w:val="57E67AA6"/>
    <w:rsid w:val="57E6C7E0"/>
    <w:rsid w:val="57E8E979"/>
    <w:rsid w:val="57EAB3E4"/>
    <w:rsid w:val="57EEFA57"/>
    <w:rsid w:val="57F9EF35"/>
    <w:rsid w:val="57FFC943"/>
    <w:rsid w:val="58007A79"/>
    <w:rsid w:val="5800CBE8"/>
    <w:rsid w:val="580A9275"/>
    <w:rsid w:val="5818422D"/>
    <w:rsid w:val="5818BA21"/>
    <w:rsid w:val="581E256F"/>
    <w:rsid w:val="581EAC4A"/>
    <w:rsid w:val="581FEBF3"/>
    <w:rsid w:val="5820A5E8"/>
    <w:rsid w:val="5821A7D0"/>
    <w:rsid w:val="5821C97F"/>
    <w:rsid w:val="58233711"/>
    <w:rsid w:val="5823EEBE"/>
    <w:rsid w:val="5826FD41"/>
    <w:rsid w:val="582C2F9D"/>
    <w:rsid w:val="58303F4D"/>
    <w:rsid w:val="583C15E2"/>
    <w:rsid w:val="583D3DCD"/>
    <w:rsid w:val="584509E3"/>
    <w:rsid w:val="58452D1A"/>
    <w:rsid w:val="5850CA96"/>
    <w:rsid w:val="5854F3BD"/>
    <w:rsid w:val="5861DBAB"/>
    <w:rsid w:val="5867EAD4"/>
    <w:rsid w:val="5877E2E5"/>
    <w:rsid w:val="587CFA33"/>
    <w:rsid w:val="5880B6E4"/>
    <w:rsid w:val="5887CCA7"/>
    <w:rsid w:val="588F94FF"/>
    <w:rsid w:val="5895ED86"/>
    <w:rsid w:val="5895FF5A"/>
    <w:rsid w:val="589F47ED"/>
    <w:rsid w:val="58A0EEAC"/>
    <w:rsid w:val="58A4094A"/>
    <w:rsid w:val="58A753BC"/>
    <w:rsid w:val="58ABF007"/>
    <w:rsid w:val="58AEF2B1"/>
    <w:rsid w:val="58AF333C"/>
    <w:rsid w:val="58BFA0C6"/>
    <w:rsid w:val="58CD3C18"/>
    <w:rsid w:val="58CEDE77"/>
    <w:rsid w:val="58CFDA61"/>
    <w:rsid w:val="58D2CC68"/>
    <w:rsid w:val="58D99D5C"/>
    <w:rsid w:val="58DF2ED8"/>
    <w:rsid w:val="58E763CA"/>
    <w:rsid w:val="58FB88B1"/>
    <w:rsid w:val="58FE8731"/>
    <w:rsid w:val="58FEDEF4"/>
    <w:rsid w:val="59056AF6"/>
    <w:rsid w:val="590674BF"/>
    <w:rsid w:val="590F7469"/>
    <w:rsid w:val="591613B8"/>
    <w:rsid w:val="591B2375"/>
    <w:rsid w:val="591D3CE5"/>
    <w:rsid w:val="59225964"/>
    <w:rsid w:val="592CBB5D"/>
    <w:rsid w:val="593F4A09"/>
    <w:rsid w:val="59432FA6"/>
    <w:rsid w:val="59433658"/>
    <w:rsid w:val="594B9E46"/>
    <w:rsid w:val="594F43FB"/>
    <w:rsid w:val="59558F87"/>
    <w:rsid w:val="595952C8"/>
    <w:rsid w:val="5959D9F7"/>
    <w:rsid w:val="595AA8AF"/>
    <w:rsid w:val="595BD820"/>
    <w:rsid w:val="595CB895"/>
    <w:rsid w:val="595E28C4"/>
    <w:rsid w:val="59662268"/>
    <w:rsid w:val="596B14E4"/>
    <w:rsid w:val="59724245"/>
    <w:rsid w:val="59732EFE"/>
    <w:rsid w:val="5973E98F"/>
    <w:rsid w:val="59771BC3"/>
    <w:rsid w:val="597D6936"/>
    <w:rsid w:val="598130C5"/>
    <w:rsid w:val="598D0167"/>
    <w:rsid w:val="598F38E2"/>
    <w:rsid w:val="599B81EC"/>
    <w:rsid w:val="59A48525"/>
    <w:rsid w:val="59AD2EC1"/>
    <w:rsid w:val="59B7BAF9"/>
    <w:rsid w:val="59BB6AA9"/>
    <w:rsid w:val="59C59369"/>
    <w:rsid w:val="59CB5765"/>
    <w:rsid w:val="59CDB6BF"/>
    <w:rsid w:val="59CF627A"/>
    <w:rsid w:val="59D11505"/>
    <w:rsid w:val="59D41AB8"/>
    <w:rsid w:val="59DAB140"/>
    <w:rsid w:val="59DF9777"/>
    <w:rsid w:val="59E106F8"/>
    <w:rsid w:val="59F444E7"/>
    <w:rsid w:val="59F51F90"/>
    <w:rsid w:val="5A00A022"/>
    <w:rsid w:val="5A1293B1"/>
    <w:rsid w:val="5A14650C"/>
    <w:rsid w:val="5A15FB77"/>
    <w:rsid w:val="5A160F03"/>
    <w:rsid w:val="5A17C844"/>
    <w:rsid w:val="5A2C0CDF"/>
    <w:rsid w:val="5A2F2DE1"/>
    <w:rsid w:val="5A3EB272"/>
    <w:rsid w:val="5A41ADF7"/>
    <w:rsid w:val="5A4FAC08"/>
    <w:rsid w:val="5A54E73A"/>
    <w:rsid w:val="5A584625"/>
    <w:rsid w:val="5A5CFF5C"/>
    <w:rsid w:val="5A6065F2"/>
    <w:rsid w:val="5A60731A"/>
    <w:rsid w:val="5A6B307A"/>
    <w:rsid w:val="5A6C6764"/>
    <w:rsid w:val="5A6EC406"/>
    <w:rsid w:val="5A7ACFAC"/>
    <w:rsid w:val="5A861306"/>
    <w:rsid w:val="5A9063EF"/>
    <w:rsid w:val="5A9A5EC1"/>
    <w:rsid w:val="5AA91D9B"/>
    <w:rsid w:val="5AB61C54"/>
    <w:rsid w:val="5AB66D60"/>
    <w:rsid w:val="5ABF6A6C"/>
    <w:rsid w:val="5ABFBCCA"/>
    <w:rsid w:val="5AC2AD37"/>
    <w:rsid w:val="5AD44F23"/>
    <w:rsid w:val="5AD83995"/>
    <w:rsid w:val="5AE028FE"/>
    <w:rsid w:val="5AE16D34"/>
    <w:rsid w:val="5AE37ABC"/>
    <w:rsid w:val="5AFC1DA4"/>
    <w:rsid w:val="5AFF0DB1"/>
    <w:rsid w:val="5B0329D4"/>
    <w:rsid w:val="5B040017"/>
    <w:rsid w:val="5B04C05E"/>
    <w:rsid w:val="5B07C1CC"/>
    <w:rsid w:val="5B0A574C"/>
    <w:rsid w:val="5B0B8D65"/>
    <w:rsid w:val="5B0E530B"/>
    <w:rsid w:val="5B121358"/>
    <w:rsid w:val="5B179993"/>
    <w:rsid w:val="5B19A73D"/>
    <w:rsid w:val="5B1AFF8B"/>
    <w:rsid w:val="5B1BF0A1"/>
    <w:rsid w:val="5B1E2EBE"/>
    <w:rsid w:val="5B2458A2"/>
    <w:rsid w:val="5B2AC62A"/>
    <w:rsid w:val="5B2CFF49"/>
    <w:rsid w:val="5B361FB0"/>
    <w:rsid w:val="5B36A792"/>
    <w:rsid w:val="5B411A3D"/>
    <w:rsid w:val="5B519588"/>
    <w:rsid w:val="5B55089D"/>
    <w:rsid w:val="5B584D36"/>
    <w:rsid w:val="5B5FEC9C"/>
    <w:rsid w:val="5B6FB3F1"/>
    <w:rsid w:val="5B706CD9"/>
    <w:rsid w:val="5B72391F"/>
    <w:rsid w:val="5B739475"/>
    <w:rsid w:val="5B7AF6A1"/>
    <w:rsid w:val="5B879007"/>
    <w:rsid w:val="5B8805BE"/>
    <w:rsid w:val="5B8BDB27"/>
    <w:rsid w:val="5B8FE3FC"/>
    <w:rsid w:val="5B91F83F"/>
    <w:rsid w:val="5B9211BA"/>
    <w:rsid w:val="5B946108"/>
    <w:rsid w:val="5B9F79EA"/>
    <w:rsid w:val="5BA6768C"/>
    <w:rsid w:val="5BA95316"/>
    <w:rsid w:val="5BAC8643"/>
    <w:rsid w:val="5BADCC35"/>
    <w:rsid w:val="5BAFB8E2"/>
    <w:rsid w:val="5BB8AA4B"/>
    <w:rsid w:val="5BCDCAB4"/>
    <w:rsid w:val="5BCDE622"/>
    <w:rsid w:val="5BCE4483"/>
    <w:rsid w:val="5BD574E4"/>
    <w:rsid w:val="5BEA414D"/>
    <w:rsid w:val="5BEB8AAA"/>
    <w:rsid w:val="5BED2A05"/>
    <w:rsid w:val="5BFD5584"/>
    <w:rsid w:val="5C05F5D7"/>
    <w:rsid w:val="5C08DE2D"/>
    <w:rsid w:val="5C08F139"/>
    <w:rsid w:val="5C18EFBF"/>
    <w:rsid w:val="5C1B1F3A"/>
    <w:rsid w:val="5C26F344"/>
    <w:rsid w:val="5C2D8FD3"/>
    <w:rsid w:val="5C2D9102"/>
    <w:rsid w:val="5C2DB841"/>
    <w:rsid w:val="5C331739"/>
    <w:rsid w:val="5C38EE04"/>
    <w:rsid w:val="5C39C1DE"/>
    <w:rsid w:val="5C3FC6AF"/>
    <w:rsid w:val="5C4EAB6E"/>
    <w:rsid w:val="5C4F7768"/>
    <w:rsid w:val="5C51A638"/>
    <w:rsid w:val="5C53D90F"/>
    <w:rsid w:val="5C60CAC2"/>
    <w:rsid w:val="5C65B97F"/>
    <w:rsid w:val="5C7223C3"/>
    <w:rsid w:val="5C7985B2"/>
    <w:rsid w:val="5C7A8E99"/>
    <w:rsid w:val="5C8AA498"/>
    <w:rsid w:val="5C9B2193"/>
    <w:rsid w:val="5CA0E6CD"/>
    <w:rsid w:val="5CA3F36E"/>
    <w:rsid w:val="5CA7FA60"/>
    <w:rsid w:val="5CAC16F5"/>
    <w:rsid w:val="5CB636B2"/>
    <w:rsid w:val="5CB78590"/>
    <w:rsid w:val="5CC2F2BF"/>
    <w:rsid w:val="5CC3E241"/>
    <w:rsid w:val="5CC5D5C0"/>
    <w:rsid w:val="5CC62F55"/>
    <w:rsid w:val="5CD5FC3E"/>
    <w:rsid w:val="5CD90597"/>
    <w:rsid w:val="5CDB158C"/>
    <w:rsid w:val="5CE47432"/>
    <w:rsid w:val="5CE5F1F9"/>
    <w:rsid w:val="5CE9B0CB"/>
    <w:rsid w:val="5CEDD3BF"/>
    <w:rsid w:val="5CF24702"/>
    <w:rsid w:val="5CFC50B7"/>
    <w:rsid w:val="5CFF4E79"/>
    <w:rsid w:val="5D0F5CFC"/>
    <w:rsid w:val="5D11254C"/>
    <w:rsid w:val="5D142FED"/>
    <w:rsid w:val="5D1D82B2"/>
    <w:rsid w:val="5D247941"/>
    <w:rsid w:val="5D2EF620"/>
    <w:rsid w:val="5D304023"/>
    <w:rsid w:val="5D315F54"/>
    <w:rsid w:val="5D38A615"/>
    <w:rsid w:val="5D43A90F"/>
    <w:rsid w:val="5D43BD24"/>
    <w:rsid w:val="5D465ABE"/>
    <w:rsid w:val="5D4B26B0"/>
    <w:rsid w:val="5D51EA81"/>
    <w:rsid w:val="5D586CB8"/>
    <w:rsid w:val="5D5B916B"/>
    <w:rsid w:val="5D5E0C7C"/>
    <w:rsid w:val="5D6959F5"/>
    <w:rsid w:val="5D6A5BA1"/>
    <w:rsid w:val="5D6E6B3F"/>
    <w:rsid w:val="5D74C223"/>
    <w:rsid w:val="5D86D311"/>
    <w:rsid w:val="5D87D61F"/>
    <w:rsid w:val="5D8A484E"/>
    <w:rsid w:val="5D9EC22D"/>
    <w:rsid w:val="5DA0C838"/>
    <w:rsid w:val="5DA8145C"/>
    <w:rsid w:val="5DA8C276"/>
    <w:rsid w:val="5DB293BB"/>
    <w:rsid w:val="5DB4D3F2"/>
    <w:rsid w:val="5DB77BD5"/>
    <w:rsid w:val="5DBAF087"/>
    <w:rsid w:val="5DC2424E"/>
    <w:rsid w:val="5DC34F9D"/>
    <w:rsid w:val="5DD0371C"/>
    <w:rsid w:val="5DD2CE1D"/>
    <w:rsid w:val="5DD33B57"/>
    <w:rsid w:val="5DD72A06"/>
    <w:rsid w:val="5DE0979C"/>
    <w:rsid w:val="5DE2E303"/>
    <w:rsid w:val="5DE494C6"/>
    <w:rsid w:val="5DE84078"/>
    <w:rsid w:val="5DE95E4B"/>
    <w:rsid w:val="5DEC5E61"/>
    <w:rsid w:val="5DEC9BB7"/>
    <w:rsid w:val="5DEE7B83"/>
    <w:rsid w:val="5DEFC1A6"/>
    <w:rsid w:val="5DF9C49C"/>
    <w:rsid w:val="5DFA77ED"/>
    <w:rsid w:val="5DFC4A47"/>
    <w:rsid w:val="5E02A7D1"/>
    <w:rsid w:val="5E05C2FC"/>
    <w:rsid w:val="5E080994"/>
    <w:rsid w:val="5E0A25F4"/>
    <w:rsid w:val="5E0E80AD"/>
    <w:rsid w:val="5E10DAE7"/>
    <w:rsid w:val="5E259878"/>
    <w:rsid w:val="5E2A325D"/>
    <w:rsid w:val="5E2B4BB5"/>
    <w:rsid w:val="5E2C1DE2"/>
    <w:rsid w:val="5E2EFD98"/>
    <w:rsid w:val="5E342E98"/>
    <w:rsid w:val="5E3E5C23"/>
    <w:rsid w:val="5E3F443D"/>
    <w:rsid w:val="5E439D04"/>
    <w:rsid w:val="5E519259"/>
    <w:rsid w:val="5E527752"/>
    <w:rsid w:val="5E570E0A"/>
    <w:rsid w:val="5E5CA868"/>
    <w:rsid w:val="5E65030C"/>
    <w:rsid w:val="5E6BB49E"/>
    <w:rsid w:val="5E725629"/>
    <w:rsid w:val="5E77FBAC"/>
    <w:rsid w:val="5E79DF61"/>
    <w:rsid w:val="5E7BDF0C"/>
    <w:rsid w:val="5E86395A"/>
    <w:rsid w:val="5E953551"/>
    <w:rsid w:val="5E970B4D"/>
    <w:rsid w:val="5E988ADD"/>
    <w:rsid w:val="5E9AFDE7"/>
    <w:rsid w:val="5EA95D3D"/>
    <w:rsid w:val="5EB0007F"/>
    <w:rsid w:val="5EB05713"/>
    <w:rsid w:val="5EB4F4B3"/>
    <w:rsid w:val="5EC7300E"/>
    <w:rsid w:val="5EC86498"/>
    <w:rsid w:val="5ECE305F"/>
    <w:rsid w:val="5ED7EF91"/>
    <w:rsid w:val="5EDA773D"/>
    <w:rsid w:val="5EDAB08B"/>
    <w:rsid w:val="5EE367C3"/>
    <w:rsid w:val="5EE9ACCA"/>
    <w:rsid w:val="5EEA09C0"/>
    <w:rsid w:val="5EEEDF67"/>
    <w:rsid w:val="5EFE6CE4"/>
    <w:rsid w:val="5F01D179"/>
    <w:rsid w:val="5F05DEC5"/>
    <w:rsid w:val="5F0F5085"/>
    <w:rsid w:val="5F101579"/>
    <w:rsid w:val="5F120C9D"/>
    <w:rsid w:val="5F174664"/>
    <w:rsid w:val="5F1749CF"/>
    <w:rsid w:val="5F1EB628"/>
    <w:rsid w:val="5F288101"/>
    <w:rsid w:val="5F2CE332"/>
    <w:rsid w:val="5F35BDD4"/>
    <w:rsid w:val="5F4B9D88"/>
    <w:rsid w:val="5F5BECAF"/>
    <w:rsid w:val="5F5CD3E3"/>
    <w:rsid w:val="5F615B03"/>
    <w:rsid w:val="5F6C7925"/>
    <w:rsid w:val="5F7D8720"/>
    <w:rsid w:val="5F8B3E41"/>
    <w:rsid w:val="5F954F74"/>
    <w:rsid w:val="5FA3E2C1"/>
    <w:rsid w:val="5FA55BD9"/>
    <w:rsid w:val="5FA67C44"/>
    <w:rsid w:val="5FA73A1B"/>
    <w:rsid w:val="5FAC972A"/>
    <w:rsid w:val="5FADE35A"/>
    <w:rsid w:val="5FB091A0"/>
    <w:rsid w:val="5FB0C058"/>
    <w:rsid w:val="5FB555E6"/>
    <w:rsid w:val="5FB8489F"/>
    <w:rsid w:val="5FBA5A60"/>
    <w:rsid w:val="5FBF7AA9"/>
    <w:rsid w:val="5FC30C0E"/>
    <w:rsid w:val="5FD10830"/>
    <w:rsid w:val="5FD12813"/>
    <w:rsid w:val="5FD215C4"/>
    <w:rsid w:val="5FD61BAC"/>
    <w:rsid w:val="5FDA4FAE"/>
    <w:rsid w:val="5FE149DA"/>
    <w:rsid w:val="5FE31CF9"/>
    <w:rsid w:val="5FE7C9D8"/>
    <w:rsid w:val="5FE96E27"/>
    <w:rsid w:val="5FED2C17"/>
    <w:rsid w:val="5FEF7411"/>
    <w:rsid w:val="60057670"/>
    <w:rsid w:val="60090994"/>
    <w:rsid w:val="60101D40"/>
    <w:rsid w:val="601021BB"/>
    <w:rsid w:val="601053B5"/>
    <w:rsid w:val="6012AC6B"/>
    <w:rsid w:val="601345ED"/>
    <w:rsid w:val="6019CEFF"/>
    <w:rsid w:val="6024D113"/>
    <w:rsid w:val="60305F1A"/>
    <w:rsid w:val="60340BC8"/>
    <w:rsid w:val="6037BDD6"/>
    <w:rsid w:val="6038C202"/>
    <w:rsid w:val="6039FADE"/>
    <w:rsid w:val="603ABDA5"/>
    <w:rsid w:val="60590E8F"/>
    <w:rsid w:val="6077F2A7"/>
    <w:rsid w:val="6081E8D3"/>
    <w:rsid w:val="608AC177"/>
    <w:rsid w:val="6096FBEB"/>
    <w:rsid w:val="6097F780"/>
    <w:rsid w:val="60A22707"/>
    <w:rsid w:val="60B06DE0"/>
    <w:rsid w:val="60B12CB5"/>
    <w:rsid w:val="60BE115E"/>
    <w:rsid w:val="60BEF6E7"/>
    <w:rsid w:val="60C73D19"/>
    <w:rsid w:val="60D0A46B"/>
    <w:rsid w:val="60DD0D89"/>
    <w:rsid w:val="60DDFD35"/>
    <w:rsid w:val="60E23480"/>
    <w:rsid w:val="60EE55D9"/>
    <w:rsid w:val="60EEEDD7"/>
    <w:rsid w:val="60F0DE65"/>
    <w:rsid w:val="60F28D7C"/>
    <w:rsid w:val="60F3BA05"/>
    <w:rsid w:val="60FD1879"/>
    <w:rsid w:val="61052C20"/>
    <w:rsid w:val="61066B09"/>
    <w:rsid w:val="610A4A79"/>
    <w:rsid w:val="6118728C"/>
    <w:rsid w:val="611B4905"/>
    <w:rsid w:val="611CBACE"/>
    <w:rsid w:val="611E985B"/>
    <w:rsid w:val="6121C75E"/>
    <w:rsid w:val="612C9491"/>
    <w:rsid w:val="613135B9"/>
    <w:rsid w:val="613560C3"/>
    <w:rsid w:val="613ADD61"/>
    <w:rsid w:val="613B9B33"/>
    <w:rsid w:val="613E828C"/>
    <w:rsid w:val="6146621D"/>
    <w:rsid w:val="614FB860"/>
    <w:rsid w:val="615DF719"/>
    <w:rsid w:val="61612D92"/>
    <w:rsid w:val="61632681"/>
    <w:rsid w:val="61663467"/>
    <w:rsid w:val="61676B1F"/>
    <w:rsid w:val="6171F337"/>
    <w:rsid w:val="61886FFF"/>
    <w:rsid w:val="61919383"/>
    <w:rsid w:val="6194761C"/>
    <w:rsid w:val="61AAF39E"/>
    <w:rsid w:val="61B31FFB"/>
    <w:rsid w:val="61B5FA6B"/>
    <w:rsid w:val="61B72EAD"/>
    <w:rsid w:val="61B9AF3F"/>
    <w:rsid w:val="61BCF51C"/>
    <w:rsid w:val="61C27A80"/>
    <w:rsid w:val="61C5B794"/>
    <w:rsid w:val="61CA1837"/>
    <w:rsid w:val="61CAC871"/>
    <w:rsid w:val="61D03190"/>
    <w:rsid w:val="61DAD3CF"/>
    <w:rsid w:val="61E1F28A"/>
    <w:rsid w:val="61E603F1"/>
    <w:rsid w:val="61E60E0E"/>
    <w:rsid w:val="61E71B1E"/>
    <w:rsid w:val="61EA79E6"/>
    <w:rsid w:val="61EFB768"/>
    <w:rsid w:val="620040D4"/>
    <w:rsid w:val="62080A7E"/>
    <w:rsid w:val="620E271A"/>
    <w:rsid w:val="621B313C"/>
    <w:rsid w:val="621F292A"/>
    <w:rsid w:val="6225D4A1"/>
    <w:rsid w:val="6227FDD4"/>
    <w:rsid w:val="622ACE32"/>
    <w:rsid w:val="622B73F1"/>
    <w:rsid w:val="622D3504"/>
    <w:rsid w:val="6231AAB0"/>
    <w:rsid w:val="623F7CED"/>
    <w:rsid w:val="624300D4"/>
    <w:rsid w:val="624F4087"/>
    <w:rsid w:val="625236B1"/>
    <w:rsid w:val="62577D43"/>
    <w:rsid w:val="625A90B6"/>
    <w:rsid w:val="6260468B"/>
    <w:rsid w:val="62640EA0"/>
    <w:rsid w:val="627082A6"/>
    <w:rsid w:val="6277C807"/>
    <w:rsid w:val="62879E6D"/>
    <w:rsid w:val="6293AF90"/>
    <w:rsid w:val="62984FB2"/>
    <w:rsid w:val="62987D77"/>
    <w:rsid w:val="629C194F"/>
    <w:rsid w:val="62A2B3D5"/>
    <w:rsid w:val="62A3AA08"/>
    <w:rsid w:val="62A74510"/>
    <w:rsid w:val="62A746D2"/>
    <w:rsid w:val="62ACA663"/>
    <w:rsid w:val="62B34D3D"/>
    <w:rsid w:val="62B4EFB4"/>
    <w:rsid w:val="62BC1A21"/>
    <w:rsid w:val="62C1AD25"/>
    <w:rsid w:val="62C1DD2E"/>
    <w:rsid w:val="62C3C623"/>
    <w:rsid w:val="62CBA599"/>
    <w:rsid w:val="62D0B714"/>
    <w:rsid w:val="62D4D0FE"/>
    <w:rsid w:val="62D57697"/>
    <w:rsid w:val="62E37C87"/>
    <w:rsid w:val="62E3F355"/>
    <w:rsid w:val="62E90E5A"/>
    <w:rsid w:val="62EA1166"/>
    <w:rsid w:val="62F330F0"/>
    <w:rsid w:val="62F3B49C"/>
    <w:rsid w:val="62F62D95"/>
    <w:rsid w:val="63059211"/>
    <w:rsid w:val="63085C7E"/>
    <w:rsid w:val="6319871E"/>
    <w:rsid w:val="631CB2A5"/>
    <w:rsid w:val="631F2D13"/>
    <w:rsid w:val="6322BCBF"/>
    <w:rsid w:val="63248229"/>
    <w:rsid w:val="6333A269"/>
    <w:rsid w:val="633C19B5"/>
    <w:rsid w:val="633F7A1B"/>
    <w:rsid w:val="63413A5F"/>
    <w:rsid w:val="634A318E"/>
    <w:rsid w:val="634EC3F5"/>
    <w:rsid w:val="6358B414"/>
    <w:rsid w:val="635B025F"/>
    <w:rsid w:val="63655D08"/>
    <w:rsid w:val="636B3250"/>
    <w:rsid w:val="6370BFFC"/>
    <w:rsid w:val="6375F27B"/>
    <w:rsid w:val="6379CFF8"/>
    <w:rsid w:val="63871D68"/>
    <w:rsid w:val="638DBDAC"/>
    <w:rsid w:val="63938C21"/>
    <w:rsid w:val="639ED022"/>
    <w:rsid w:val="63A739CB"/>
    <w:rsid w:val="63A74711"/>
    <w:rsid w:val="63A901E6"/>
    <w:rsid w:val="63B3AA2F"/>
    <w:rsid w:val="63BB7D4D"/>
    <w:rsid w:val="63C5D11C"/>
    <w:rsid w:val="63D26624"/>
    <w:rsid w:val="63E9812E"/>
    <w:rsid w:val="63F8F21A"/>
    <w:rsid w:val="63FD2564"/>
    <w:rsid w:val="63FE6669"/>
    <w:rsid w:val="6429B0C9"/>
    <w:rsid w:val="642DB011"/>
    <w:rsid w:val="64386E1D"/>
    <w:rsid w:val="643AD6DC"/>
    <w:rsid w:val="643D9589"/>
    <w:rsid w:val="643DBCC9"/>
    <w:rsid w:val="645B19B5"/>
    <w:rsid w:val="645C7C70"/>
    <w:rsid w:val="64625082"/>
    <w:rsid w:val="6467FE81"/>
    <w:rsid w:val="646F87DE"/>
    <w:rsid w:val="6470DD30"/>
    <w:rsid w:val="647A5968"/>
    <w:rsid w:val="6481273F"/>
    <w:rsid w:val="64853F2C"/>
    <w:rsid w:val="6489D681"/>
    <w:rsid w:val="648C0B6E"/>
    <w:rsid w:val="649C137E"/>
    <w:rsid w:val="649EB9D2"/>
    <w:rsid w:val="64A4CD75"/>
    <w:rsid w:val="64AFAEA6"/>
    <w:rsid w:val="64B25745"/>
    <w:rsid w:val="64B33503"/>
    <w:rsid w:val="64B6BCD0"/>
    <w:rsid w:val="64BA079F"/>
    <w:rsid w:val="64C64301"/>
    <w:rsid w:val="64C9A558"/>
    <w:rsid w:val="64C9CC32"/>
    <w:rsid w:val="64D5FA1C"/>
    <w:rsid w:val="64D8F3A8"/>
    <w:rsid w:val="64DA014A"/>
    <w:rsid w:val="64DC314A"/>
    <w:rsid w:val="64DC82EB"/>
    <w:rsid w:val="64DD8BED"/>
    <w:rsid w:val="64DEB87F"/>
    <w:rsid w:val="64EAB023"/>
    <w:rsid w:val="64EDAB17"/>
    <w:rsid w:val="64EF1D1C"/>
    <w:rsid w:val="64EF8112"/>
    <w:rsid w:val="64F72E20"/>
    <w:rsid w:val="64FAB7A8"/>
    <w:rsid w:val="64FADC05"/>
    <w:rsid w:val="64FB30C3"/>
    <w:rsid w:val="64FB3A56"/>
    <w:rsid w:val="650259E0"/>
    <w:rsid w:val="6507587E"/>
    <w:rsid w:val="650D9E8A"/>
    <w:rsid w:val="651C6C6D"/>
    <w:rsid w:val="6522290A"/>
    <w:rsid w:val="6522A20C"/>
    <w:rsid w:val="6524DA9A"/>
    <w:rsid w:val="653283F5"/>
    <w:rsid w:val="6534CECE"/>
    <w:rsid w:val="65382256"/>
    <w:rsid w:val="653F13F8"/>
    <w:rsid w:val="654C0DB2"/>
    <w:rsid w:val="6565E3E0"/>
    <w:rsid w:val="6568E243"/>
    <w:rsid w:val="6575FB73"/>
    <w:rsid w:val="6577066A"/>
    <w:rsid w:val="657AE90F"/>
    <w:rsid w:val="657D3C24"/>
    <w:rsid w:val="6580D38E"/>
    <w:rsid w:val="65818A33"/>
    <w:rsid w:val="6583447C"/>
    <w:rsid w:val="65879497"/>
    <w:rsid w:val="658F679F"/>
    <w:rsid w:val="6594B0D5"/>
    <w:rsid w:val="659894AD"/>
    <w:rsid w:val="65A16A94"/>
    <w:rsid w:val="65A5AF7E"/>
    <w:rsid w:val="65AC3927"/>
    <w:rsid w:val="65AEB4E3"/>
    <w:rsid w:val="65B19624"/>
    <w:rsid w:val="65B37FD8"/>
    <w:rsid w:val="65B7C9B8"/>
    <w:rsid w:val="65B88DBE"/>
    <w:rsid w:val="65BCBDFE"/>
    <w:rsid w:val="65C33FC9"/>
    <w:rsid w:val="65CDFED2"/>
    <w:rsid w:val="65D7D30C"/>
    <w:rsid w:val="65E7F3C5"/>
    <w:rsid w:val="65E9A56F"/>
    <w:rsid w:val="65EC3A73"/>
    <w:rsid w:val="65F8D237"/>
    <w:rsid w:val="66062F82"/>
    <w:rsid w:val="66141D84"/>
    <w:rsid w:val="661E8E32"/>
    <w:rsid w:val="6621F6EF"/>
    <w:rsid w:val="662793BF"/>
    <w:rsid w:val="6628522D"/>
    <w:rsid w:val="662EC641"/>
    <w:rsid w:val="663651A9"/>
    <w:rsid w:val="66366867"/>
    <w:rsid w:val="66458E58"/>
    <w:rsid w:val="6650F7B1"/>
    <w:rsid w:val="665187DB"/>
    <w:rsid w:val="66529FF3"/>
    <w:rsid w:val="665588EB"/>
    <w:rsid w:val="665B9920"/>
    <w:rsid w:val="666290A7"/>
    <w:rsid w:val="66646A1B"/>
    <w:rsid w:val="666C5ADE"/>
    <w:rsid w:val="667BA597"/>
    <w:rsid w:val="667C7DA8"/>
    <w:rsid w:val="66823AE9"/>
    <w:rsid w:val="668785C8"/>
    <w:rsid w:val="668D0926"/>
    <w:rsid w:val="669608D3"/>
    <w:rsid w:val="66A2ACC2"/>
    <w:rsid w:val="66B03712"/>
    <w:rsid w:val="66B70EB9"/>
    <w:rsid w:val="66BA8255"/>
    <w:rsid w:val="66C60C8A"/>
    <w:rsid w:val="66CAFABD"/>
    <w:rsid w:val="66CBD427"/>
    <w:rsid w:val="66D3C7CE"/>
    <w:rsid w:val="66D814EB"/>
    <w:rsid w:val="66DBF1C4"/>
    <w:rsid w:val="66E7BD8C"/>
    <w:rsid w:val="66E9B12B"/>
    <w:rsid w:val="66EA5F8A"/>
    <w:rsid w:val="66EB6EF6"/>
    <w:rsid w:val="66F88CB7"/>
    <w:rsid w:val="67183C2C"/>
    <w:rsid w:val="671A6383"/>
    <w:rsid w:val="671B3673"/>
    <w:rsid w:val="6720AB77"/>
    <w:rsid w:val="67218175"/>
    <w:rsid w:val="67269207"/>
    <w:rsid w:val="6729F7AA"/>
    <w:rsid w:val="67380F15"/>
    <w:rsid w:val="674585E0"/>
    <w:rsid w:val="674E599C"/>
    <w:rsid w:val="67527CC5"/>
    <w:rsid w:val="67528338"/>
    <w:rsid w:val="67652EC7"/>
    <w:rsid w:val="67696D88"/>
    <w:rsid w:val="6769FF6D"/>
    <w:rsid w:val="676B23D2"/>
    <w:rsid w:val="67720DA9"/>
    <w:rsid w:val="6773E80A"/>
    <w:rsid w:val="67747637"/>
    <w:rsid w:val="6777A0B6"/>
    <w:rsid w:val="67812945"/>
    <w:rsid w:val="67859D6F"/>
    <w:rsid w:val="678FB2C1"/>
    <w:rsid w:val="67944D2E"/>
    <w:rsid w:val="679E5A16"/>
    <w:rsid w:val="67A54F46"/>
    <w:rsid w:val="67AFE6F0"/>
    <w:rsid w:val="67B40FCB"/>
    <w:rsid w:val="67B6ED03"/>
    <w:rsid w:val="67B99F01"/>
    <w:rsid w:val="67C0E873"/>
    <w:rsid w:val="67C38661"/>
    <w:rsid w:val="67C74EB9"/>
    <w:rsid w:val="67CBBB22"/>
    <w:rsid w:val="67D28F41"/>
    <w:rsid w:val="67E029B9"/>
    <w:rsid w:val="67E02FC8"/>
    <w:rsid w:val="67E9B530"/>
    <w:rsid w:val="67EF959C"/>
    <w:rsid w:val="67F6B7E3"/>
    <w:rsid w:val="67F6E937"/>
    <w:rsid w:val="67FAE025"/>
    <w:rsid w:val="67FCA5C1"/>
    <w:rsid w:val="67FF10D9"/>
    <w:rsid w:val="6800A480"/>
    <w:rsid w:val="680CFB6E"/>
    <w:rsid w:val="680E2BB7"/>
    <w:rsid w:val="68238BEA"/>
    <w:rsid w:val="682496D2"/>
    <w:rsid w:val="682D736C"/>
    <w:rsid w:val="68394D8E"/>
    <w:rsid w:val="68415B78"/>
    <w:rsid w:val="68494846"/>
    <w:rsid w:val="684AFC65"/>
    <w:rsid w:val="6852FF87"/>
    <w:rsid w:val="685CFAA5"/>
    <w:rsid w:val="686CE0F1"/>
    <w:rsid w:val="686E53DE"/>
    <w:rsid w:val="686F51CC"/>
    <w:rsid w:val="68793EC7"/>
    <w:rsid w:val="68795E6B"/>
    <w:rsid w:val="687B2D0B"/>
    <w:rsid w:val="6884AA36"/>
    <w:rsid w:val="688FF726"/>
    <w:rsid w:val="68909634"/>
    <w:rsid w:val="68A1433D"/>
    <w:rsid w:val="68B0B0AE"/>
    <w:rsid w:val="68BA7A7B"/>
    <w:rsid w:val="68CB98EC"/>
    <w:rsid w:val="68D2EE19"/>
    <w:rsid w:val="68D62E90"/>
    <w:rsid w:val="68E35345"/>
    <w:rsid w:val="68F26214"/>
    <w:rsid w:val="6909BEAC"/>
    <w:rsid w:val="691D9287"/>
    <w:rsid w:val="69228766"/>
    <w:rsid w:val="693203DE"/>
    <w:rsid w:val="6938F298"/>
    <w:rsid w:val="693F045C"/>
    <w:rsid w:val="694E6643"/>
    <w:rsid w:val="695116C8"/>
    <w:rsid w:val="69528B84"/>
    <w:rsid w:val="69537AB0"/>
    <w:rsid w:val="695511DB"/>
    <w:rsid w:val="695D502B"/>
    <w:rsid w:val="695D548C"/>
    <w:rsid w:val="69626528"/>
    <w:rsid w:val="6962ADCC"/>
    <w:rsid w:val="6968E995"/>
    <w:rsid w:val="696A92D0"/>
    <w:rsid w:val="6972EFAA"/>
    <w:rsid w:val="6978A845"/>
    <w:rsid w:val="6979DF21"/>
    <w:rsid w:val="697E9991"/>
    <w:rsid w:val="6986AA39"/>
    <w:rsid w:val="69887CAF"/>
    <w:rsid w:val="698C7357"/>
    <w:rsid w:val="698CB3A5"/>
    <w:rsid w:val="699AFABB"/>
    <w:rsid w:val="699E7B1B"/>
    <w:rsid w:val="69AEF16F"/>
    <w:rsid w:val="69AF2EB4"/>
    <w:rsid w:val="69AF981F"/>
    <w:rsid w:val="69AF9CA1"/>
    <w:rsid w:val="69B30302"/>
    <w:rsid w:val="69B90DC9"/>
    <w:rsid w:val="69B94C6F"/>
    <w:rsid w:val="69B9A1F2"/>
    <w:rsid w:val="69CD69AE"/>
    <w:rsid w:val="69CF687B"/>
    <w:rsid w:val="69D4A1EF"/>
    <w:rsid w:val="69E43D31"/>
    <w:rsid w:val="69E6941E"/>
    <w:rsid w:val="69E6EB2F"/>
    <w:rsid w:val="69E78703"/>
    <w:rsid w:val="69E8409C"/>
    <w:rsid w:val="69EAB8DA"/>
    <w:rsid w:val="69EAC551"/>
    <w:rsid w:val="69F03414"/>
    <w:rsid w:val="69FF35C4"/>
    <w:rsid w:val="6A0DE4D3"/>
    <w:rsid w:val="6A0FAD80"/>
    <w:rsid w:val="6A103168"/>
    <w:rsid w:val="6A14D2A4"/>
    <w:rsid w:val="6A1B0622"/>
    <w:rsid w:val="6A1B6B5F"/>
    <w:rsid w:val="6A28C4AC"/>
    <w:rsid w:val="6A2F3A80"/>
    <w:rsid w:val="6A30B5F8"/>
    <w:rsid w:val="6A323959"/>
    <w:rsid w:val="6A3581AB"/>
    <w:rsid w:val="6A45D500"/>
    <w:rsid w:val="6A4E10A3"/>
    <w:rsid w:val="6A546C65"/>
    <w:rsid w:val="6A57683C"/>
    <w:rsid w:val="6A5786B3"/>
    <w:rsid w:val="6A586A6B"/>
    <w:rsid w:val="6A5E9C5D"/>
    <w:rsid w:val="6A62423F"/>
    <w:rsid w:val="6A6F8A40"/>
    <w:rsid w:val="6A73A5FB"/>
    <w:rsid w:val="6A73A721"/>
    <w:rsid w:val="6A7461ED"/>
    <w:rsid w:val="6A74B473"/>
    <w:rsid w:val="6A7879E9"/>
    <w:rsid w:val="6A7E5708"/>
    <w:rsid w:val="6A812C41"/>
    <w:rsid w:val="6A8203CE"/>
    <w:rsid w:val="6A8807F0"/>
    <w:rsid w:val="6A8F47BE"/>
    <w:rsid w:val="6A9B8EC9"/>
    <w:rsid w:val="6A9D1D4F"/>
    <w:rsid w:val="6AA9CC88"/>
    <w:rsid w:val="6AA9D45D"/>
    <w:rsid w:val="6AAB5064"/>
    <w:rsid w:val="6AB289BE"/>
    <w:rsid w:val="6AB31EA2"/>
    <w:rsid w:val="6AB58EBA"/>
    <w:rsid w:val="6AB7E4DF"/>
    <w:rsid w:val="6AC47C10"/>
    <w:rsid w:val="6AC6D4ED"/>
    <w:rsid w:val="6AD0CA88"/>
    <w:rsid w:val="6AD41D9C"/>
    <w:rsid w:val="6AE29962"/>
    <w:rsid w:val="6AE408E1"/>
    <w:rsid w:val="6AEA34B0"/>
    <w:rsid w:val="6AEF0498"/>
    <w:rsid w:val="6AF467A8"/>
    <w:rsid w:val="6AF8C666"/>
    <w:rsid w:val="6AFAF5BC"/>
    <w:rsid w:val="6AFE602A"/>
    <w:rsid w:val="6B002563"/>
    <w:rsid w:val="6B04D5D0"/>
    <w:rsid w:val="6B06DDBC"/>
    <w:rsid w:val="6B107F81"/>
    <w:rsid w:val="6B18F488"/>
    <w:rsid w:val="6B199804"/>
    <w:rsid w:val="6B1D7A48"/>
    <w:rsid w:val="6B2DABD0"/>
    <w:rsid w:val="6B2FB0C1"/>
    <w:rsid w:val="6B30B955"/>
    <w:rsid w:val="6B392E81"/>
    <w:rsid w:val="6B3AFEBE"/>
    <w:rsid w:val="6B3D6CBC"/>
    <w:rsid w:val="6B3DDC3B"/>
    <w:rsid w:val="6B4018E9"/>
    <w:rsid w:val="6B41C35B"/>
    <w:rsid w:val="6B49927B"/>
    <w:rsid w:val="6B4B1540"/>
    <w:rsid w:val="6B4BB0F7"/>
    <w:rsid w:val="6B536878"/>
    <w:rsid w:val="6B551A2D"/>
    <w:rsid w:val="6B61AC12"/>
    <w:rsid w:val="6B66799F"/>
    <w:rsid w:val="6B6C36E5"/>
    <w:rsid w:val="6B6C4F2F"/>
    <w:rsid w:val="6B72B096"/>
    <w:rsid w:val="6B79C776"/>
    <w:rsid w:val="6B7C1C1B"/>
    <w:rsid w:val="6B829B87"/>
    <w:rsid w:val="6B8E3C01"/>
    <w:rsid w:val="6B8EBB91"/>
    <w:rsid w:val="6B90F99B"/>
    <w:rsid w:val="6B94FA50"/>
    <w:rsid w:val="6B971584"/>
    <w:rsid w:val="6BA0293B"/>
    <w:rsid w:val="6BA23047"/>
    <w:rsid w:val="6BA23938"/>
    <w:rsid w:val="6BA4CC0E"/>
    <w:rsid w:val="6BA9A3E1"/>
    <w:rsid w:val="6BAD555A"/>
    <w:rsid w:val="6BADE9DD"/>
    <w:rsid w:val="6BBA3500"/>
    <w:rsid w:val="6BBFC221"/>
    <w:rsid w:val="6BD0BE17"/>
    <w:rsid w:val="6BE40A80"/>
    <w:rsid w:val="6BE53663"/>
    <w:rsid w:val="6BEB02F9"/>
    <w:rsid w:val="6BEB17AA"/>
    <w:rsid w:val="6BF14BFF"/>
    <w:rsid w:val="6BF54EFE"/>
    <w:rsid w:val="6C06C2E5"/>
    <w:rsid w:val="6C1A7A75"/>
    <w:rsid w:val="6C1F6583"/>
    <w:rsid w:val="6C299F74"/>
    <w:rsid w:val="6C307F96"/>
    <w:rsid w:val="6C34D584"/>
    <w:rsid w:val="6C476181"/>
    <w:rsid w:val="6C4D2015"/>
    <w:rsid w:val="6C59FD54"/>
    <w:rsid w:val="6C5B1C2F"/>
    <w:rsid w:val="6C66EAD7"/>
    <w:rsid w:val="6C6D5673"/>
    <w:rsid w:val="6C6E35D4"/>
    <w:rsid w:val="6C7D8CFB"/>
    <w:rsid w:val="6C813C60"/>
    <w:rsid w:val="6C8B1E86"/>
    <w:rsid w:val="6C8D392F"/>
    <w:rsid w:val="6C904184"/>
    <w:rsid w:val="6C913349"/>
    <w:rsid w:val="6CA9B788"/>
    <w:rsid w:val="6CAE5F48"/>
    <w:rsid w:val="6CBB7B18"/>
    <w:rsid w:val="6CBF8E7C"/>
    <w:rsid w:val="6CC5BD25"/>
    <w:rsid w:val="6CCFBE80"/>
    <w:rsid w:val="6CD78A3E"/>
    <w:rsid w:val="6CD9AEAD"/>
    <w:rsid w:val="6CE94723"/>
    <w:rsid w:val="6CE9C9AB"/>
    <w:rsid w:val="6CEB39B4"/>
    <w:rsid w:val="6CEBF890"/>
    <w:rsid w:val="6CF23188"/>
    <w:rsid w:val="6CFA2CB7"/>
    <w:rsid w:val="6CFECC4F"/>
    <w:rsid w:val="6D012E18"/>
    <w:rsid w:val="6D117768"/>
    <w:rsid w:val="6D159108"/>
    <w:rsid w:val="6D15B9B2"/>
    <w:rsid w:val="6D17BB7D"/>
    <w:rsid w:val="6D17BBD9"/>
    <w:rsid w:val="6D1A4F00"/>
    <w:rsid w:val="6D1E48DD"/>
    <w:rsid w:val="6D1F9C7E"/>
    <w:rsid w:val="6D211C52"/>
    <w:rsid w:val="6D274A34"/>
    <w:rsid w:val="6D27AF62"/>
    <w:rsid w:val="6D2CC846"/>
    <w:rsid w:val="6D31C66B"/>
    <w:rsid w:val="6D356C16"/>
    <w:rsid w:val="6D3AB58E"/>
    <w:rsid w:val="6D3FB853"/>
    <w:rsid w:val="6D4EA03C"/>
    <w:rsid w:val="6D5945AF"/>
    <w:rsid w:val="6D5B9B84"/>
    <w:rsid w:val="6D5CEE59"/>
    <w:rsid w:val="6D5E1FD7"/>
    <w:rsid w:val="6D5FC968"/>
    <w:rsid w:val="6D66EA77"/>
    <w:rsid w:val="6D6D2AFD"/>
    <w:rsid w:val="6D6ED2E1"/>
    <w:rsid w:val="6D745F94"/>
    <w:rsid w:val="6D79C78D"/>
    <w:rsid w:val="6D7C2576"/>
    <w:rsid w:val="6D82579B"/>
    <w:rsid w:val="6D849D5F"/>
    <w:rsid w:val="6D87B309"/>
    <w:rsid w:val="6D8930CF"/>
    <w:rsid w:val="6D95914C"/>
    <w:rsid w:val="6DA309A0"/>
    <w:rsid w:val="6DA41BC8"/>
    <w:rsid w:val="6DAA420A"/>
    <w:rsid w:val="6DAFDC68"/>
    <w:rsid w:val="6DB94722"/>
    <w:rsid w:val="6DBC786A"/>
    <w:rsid w:val="6DC00D9E"/>
    <w:rsid w:val="6DC44945"/>
    <w:rsid w:val="6DC6C998"/>
    <w:rsid w:val="6DC88DB8"/>
    <w:rsid w:val="6DCE36E0"/>
    <w:rsid w:val="6DCE60D0"/>
    <w:rsid w:val="6DD1D79B"/>
    <w:rsid w:val="6DD46BD9"/>
    <w:rsid w:val="6DE7B7C9"/>
    <w:rsid w:val="6DEEF229"/>
    <w:rsid w:val="6DF71148"/>
    <w:rsid w:val="6DFF376D"/>
    <w:rsid w:val="6E044357"/>
    <w:rsid w:val="6E0A3997"/>
    <w:rsid w:val="6E0B0796"/>
    <w:rsid w:val="6E0D5B2B"/>
    <w:rsid w:val="6E1CE720"/>
    <w:rsid w:val="6E1D9F27"/>
    <w:rsid w:val="6E1E1199"/>
    <w:rsid w:val="6E42F47C"/>
    <w:rsid w:val="6E5209AD"/>
    <w:rsid w:val="6E574396"/>
    <w:rsid w:val="6E6382F8"/>
    <w:rsid w:val="6E74ECC8"/>
    <w:rsid w:val="6E78CCB8"/>
    <w:rsid w:val="6E8AF64E"/>
    <w:rsid w:val="6E8D04E6"/>
    <w:rsid w:val="6E90E58C"/>
    <w:rsid w:val="6E95613B"/>
    <w:rsid w:val="6E9C57D2"/>
    <w:rsid w:val="6EA21FCC"/>
    <w:rsid w:val="6EA2F39D"/>
    <w:rsid w:val="6EB308A5"/>
    <w:rsid w:val="6EB32465"/>
    <w:rsid w:val="6EB39788"/>
    <w:rsid w:val="6EB93CCD"/>
    <w:rsid w:val="6EC00187"/>
    <w:rsid w:val="6ECE4DA8"/>
    <w:rsid w:val="6ECE6F4E"/>
    <w:rsid w:val="6ED395C5"/>
    <w:rsid w:val="6ED8C0B2"/>
    <w:rsid w:val="6EEB43A0"/>
    <w:rsid w:val="6EEE5022"/>
    <w:rsid w:val="6EEE6188"/>
    <w:rsid w:val="6EF00ED0"/>
    <w:rsid w:val="6EF9110F"/>
    <w:rsid w:val="6EFC0A42"/>
    <w:rsid w:val="6EFC1F7F"/>
    <w:rsid w:val="6EFC6089"/>
    <w:rsid w:val="6F02B03E"/>
    <w:rsid w:val="6F0D36A3"/>
    <w:rsid w:val="6F12A3DB"/>
    <w:rsid w:val="6F15B831"/>
    <w:rsid w:val="6F1C0A07"/>
    <w:rsid w:val="6F1FDD51"/>
    <w:rsid w:val="6F2032BF"/>
    <w:rsid w:val="6F229A1F"/>
    <w:rsid w:val="6F2622E3"/>
    <w:rsid w:val="6F2AE518"/>
    <w:rsid w:val="6F2D1379"/>
    <w:rsid w:val="6F321DED"/>
    <w:rsid w:val="6F3CD013"/>
    <w:rsid w:val="6F443C6E"/>
    <w:rsid w:val="6F50F779"/>
    <w:rsid w:val="6F72F042"/>
    <w:rsid w:val="6F73F138"/>
    <w:rsid w:val="6F7C83DC"/>
    <w:rsid w:val="6F805BDC"/>
    <w:rsid w:val="6F8CB9DB"/>
    <w:rsid w:val="6F902991"/>
    <w:rsid w:val="6F920625"/>
    <w:rsid w:val="6FA38B12"/>
    <w:rsid w:val="6FC159C0"/>
    <w:rsid w:val="6FD0ADE1"/>
    <w:rsid w:val="6FD48A95"/>
    <w:rsid w:val="6FDB8928"/>
    <w:rsid w:val="6FE03619"/>
    <w:rsid w:val="6FE3D928"/>
    <w:rsid w:val="6FE5F900"/>
    <w:rsid w:val="6FECF4A4"/>
    <w:rsid w:val="6FED1061"/>
    <w:rsid w:val="6FEF2888"/>
    <w:rsid w:val="6FF5CC3D"/>
    <w:rsid w:val="6FF70302"/>
    <w:rsid w:val="6FFEE110"/>
    <w:rsid w:val="70135FFB"/>
    <w:rsid w:val="701AB95B"/>
    <w:rsid w:val="701F7CC8"/>
    <w:rsid w:val="70256524"/>
    <w:rsid w:val="7027FA5A"/>
    <w:rsid w:val="703132A7"/>
    <w:rsid w:val="703DAE60"/>
    <w:rsid w:val="704D4203"/>
    <w:rsid w:val="704F7DC4"/>
    <w:rsid w:val="70545A17"/>
    <w:rsid w:val="7059CF8E"/>
    <w:rsid w:val="705AD05B"/>
    <w:rsid w:val="705CF63F"/>
    <w:rsid w:val="706107BB"/>
    <w:rsid w:val="7066C567"/>
    <w:rsid w:val="706B15D8"/>
    <w:rsid w:val="706C2A71"/>
    <w:rsid w:val="706D9795"/>
    <w:rsid w:val="706DAC15"/>
    <w:rsid w:val="706FAF6A"/>
    <w:rsid w:val="70716A78"/>
    <w:rsid w:val="7073C891"/>
    <w:rsid w:val="70826D39"/>
    <w:rsid w:val="70853A89"/>
    <w:rsid w:val="70890355"/>
    <w:rsid w:val="708C74D7"/>
    <w:rsid w:val="708EAB6F"/>
    <w:rsid w:val="70955138"/>
    <w:rsid w:val="70A4FC0E"/>
    <w:rsid w:val="70C097FA"/>
    <w:rsid w:val="70D27B53"/>
    <w:rsid w:val="70D50E86"/>
    <w:rsid w:val="70D72E05"/>
    <w:rsid w:val="70DA081E"/>
    <w:rsid w:val="70DCA608"/>
    <w:rsid w:val="70DF09F5"/>
    <w:rsid w:val="70E4EA93"/>
    <w:rsid w:val="70ECB784"/>
    <w:rsid w:val="70EEEFFC"/>
    <w:rsid w:val="70F14805"/>
    <w:rsid w:val="71031BAA"/>
    <w:rsid w:val="7107A3CA"/>
    <w:rsid w:val="711191B7"/>
    <w:rsid w:val="7113B4DB"/>
    <w:rsid w:val="711AFB67"/>
    <w:rsid w:val="712294BB"/>
    <w:rsid w:val="71241FCC"/>
    <w:rsid w:val="7125F527"/>
    <w:rsid w:val="712A73B3"/>
    <w:rsid w:val="713D83B2"/>
    <w:rsid w:val="71429876"/>
    <w:rsid w:val="714640D6"/>
    <w:rsid w:val="714CC63B"/>
    <w:rsid w:val="7151463A"/>
    <w:rsid w:val="715B2F17"/>
    <w:rsid w:val="71666FD0"/>
    <w:rsid w:val="717C8D15"/>
    <w:rsid w:val="717CED7B"/>
    <w:rsid w:val="717DE4CA"/>
    <w:rsid w:val="717E853C"/>
    <w:rsid w:val="717F6EA8"/>
    <w:rsid w:val="7187239F"/>
    <w:rsid w:val="71892EEA"/>
    <w:rsid w:val="718E5270"/>
    <w:rsid w:val="719124F6"/>
    <w:rsid w:val="71946200"/>
    <w:rsid w:val="7197F81E"/>
    <w:rsid w:val="71A169A5"/>
    <w:rsid w:val="71A86952"/>
    <w:rsid w:val="71B11BD3"/>
    <w:rsid w:val="71BA0076"/>
    <w:rsid w:val="71BA0CB6"/>
    <w:rsid w:val="71BFB6D5"/>
    <w:rsid w:val="71CEAC16"/>
    <w:rsid w:val="71D1645F"/>
    <w:rsid w:val="71D44BD8"/>
    <w:rsid w:val="71D502F3"/>
    <w:rsid w:val="71D600D6"/>
    <w:rsid w:val="71DAA29C"/>
    <w:rsid w:val="71E29496"/>
    <w:rsid w:val="71F51560"/>
    <w:rsid w:val="71F833AE"/>
    <w:rsid w:val="7203D83D"/>
    <w:rsid w:val="720B2CFA"/>
    <w:rsid w:val="720D880C"/>
    <w:rsid w:val="72108A06"/>
    <w:rsid w:val="7211DE0C"/>
    <w:rsid w:val="7211E34E"/>
    <w:rsid w:val="7214B142"/>
    <w:rsid w:val="7219EE7E"/>
    <w:rsid w:val="721F4017"/>
    <w:rsid w:val="722A18CB"/>
    <w:rsid w:val="722AA48E"/>
    <w:rsid w:val="722FEB7F"/>
    <w:rsid w:val="72320884"/>
    <w:rsid w:val="7233B6D7"/>
    <w:rsid w:val="723A1663"/>
    <w:rsid w:val="7245C9F3"/>
    <w:rsid w:val="725112A6"/>
    <w:rsid w:val="725A0CB2"/>
    <w:rsid w:val="725B2648"/>
    <w:rsid w:val="725B2DA1"/>
    <w:rsid w:val="725C0E57"/>
    <w:rsid w:val="727780F4"/>
    <w:rsid w:val="727A14EC"/>
    <w:rsid w:val="728450C3"/>
    <w:rsid w:val="7292B5C5"/>
    <w:rsid w:val="729A400A"/>
    <w:rsid w:val="729D29D7"/>
    <w:rsid w:val="729FBE90"/>
    <w:rsid w:val="72AA2B34"/>
    <w:rsid w:val="72B8DE1F"/>
    <w:rsid w:val="72BC9807"/>
    <w:rsid w:val="72BDD434"/>
    <w:rsid w:val="72C99D51"/>
    <w:rsid w:val="72CD1094"/>
    <w:rsid w:val="72E16706"/>
    <w:rsid w:val="72E60E69"/>
    <w:rsid w:val="72E966AC"/>
    <w:rsid w:val="72EEFE35"/>
    <w:rsid w:val="72F2068F"/>
    <w:rsid w:val="72F5C492"/>
    <w:rsid w:val="72F62FFF"/>
    <w:rsid w:val="72FEAF95"/>
    <w:rsid w:val="73023C27"/>
    <w:rsid w:val="7304D034"/>
    <w:rsid w:val="730966DD"/>
    <w:rsid w:val="730C0D0C"/>
    <w:rsid w:val="73135269"/>
    <w:rsid w:val="731918E1"/>
    <w:rsid w:val="73193344"/>
    <w:rsid w:val="732B49DD"/>
    <w:rsid w:val="732EA186"/>
    <w:rsid w:val="733223C5"/>
    <w:rsid w:val="7333B929"/>
    <w:rsid w:val="7339147B"/>
    <w:rsid w:val="733C1EAD"/>
    <w:rsid w:val="735A8D38"/>
    <w:rsid w:val="73637052"/>
    <w:rsid w:val="73794D39"/>
    <w:rsid w:val="737BD60B"/>
    <w:rsid w:val="737C7FA4"/>
    <w:rsid w:val="73807E89"/>
    <w:rsid w:val="738A9CE0"/>
    <w:rsid w:val="73930FE6"/>
    <w:rsid w:val="73969250"/>
    <w:rsid w:val="7398B754"/>
    <w:rsid w:val="739A0600"/>
    <w:rsid w:val="73A1513A"/>
    <w:rsid w:val="73A2901F"/>
    <w:rsid w:val="73AAD64F"/>
    <w:rsid w:val="73B025B2"/>
    <w:rsid w:val="73B18427"/>
    <w:rsid w:val="73B28A7F"/>
    <w:rsid w:val="73B33EC1"/>
    <w:rsid w:val="73B6C117"/>
    <w:rsid w:val="73B90174"/>
    <w:rsid w:val="73BF674C"/>
    <w:rsid w:val="73C6BF68"/>
    <w:rsid w:val="73CBD70B"/>
    <w:rsid w:val="73CC0AE8"/>
    <w:rsid w:val="73CD11CB"/>
    <w:rsid w:val="73D44DFC"/>
    <w:rsid w:val="73DFBC06"/>
    <w:rsid w:val="73E1A399"/>
    <w:rsid w:val="740819A1"/>
    <w:rsid w:val="7412E442"/>
    <w:rsid w:val="741E9616"/>
    <w:rsid w:val="742E344A"/>
    <w:rsid w:val="742FE6DD"/>
    <w:rsid w:val="74364D53"/>
    <w:rsid w:val="743C5A67"/>
    <w:rsid w:val="743CD0EB"/>
    <w:rsid w:val="743FC840"/>
    <w:rsid w:val="744366EB"/>
    <w:rsid w:val="74513E20"/>
    <w:rsid w:val="745B4140"/>
    <w:rsid w:val="7460D2B4"/>
    <w:rsid w:val="746C3B3E"/>
    <w:rsid w:val="747778EC"/>
    <w:rsid w:val="7479FD11"/>
    <w:rsid w:val="7486EBBC"/>
    <w:rsid w:val="7488AD6B"/>
    <w:rsid w:val="74913D25"/>
    <w:rsid w:val="749D0290"/>
    <w:rsid w:val="749D949E"/>
    <w:rsid w:val="74A69333"/>
    <w:rsid w:val="74AC210B"/>
    <w:rsid w:val="74ADF77B"/>
    <w:rsid w:val="74AE65BF"/>
    <w:rsid w:val="74AF24FC"/>
    <w:rsid w:val="74AFDDCC"/>
    <w:rsid w:val="74B789D6"/>
    <w:rsid w:val="74C371CE"/>
    <w:rsid w:val="74C515DC"/>
    <w:rsid w:val="74C5483C"/>
    <w:rsid w:val="74C6C37D"/>
    <w:rsid w:val="74C907B9"/>
    <w:rsid w:val="74CD3F9C"/>
    <w:rsid w:val="74D7A932"/>
    <w:rsid w:val="74E454F3"/>
    <w:rsid w:val="74F06099"/>
    <w:rsid w:val="74FCBDF5"/>
    <w:rsid w:val="75060BE1"/>
    <w:rsid w:val="750D3C43"/>
    <w:rsid w:val="7511071B"/>
    <w:rsid w:val="75118E46"/>
    <w:rsid w:val="7514F283"/>
    <w:rsid w:val="75154D60"/>
    <w:rsid w:val="75237611"/>
    <w:rsid w:val="75237BF1"/>
    <w:rsid w:val="7523EFFF"/>
    <w:rsid w:val="75272B3A"/>
    <w:rsid w:val="75288E21"/>
    <w:rsid w:val="753B1202"/>
    <w:rsid w:val="753C0B84"/>
    <w:rsid w:val="753E78E5"/>
    <w:rsid w:val="7547F161"/>
    <w:rsid w:val="75499992"/>
    <w:rsid w:val="75500259"/>
    <w:rsid w:val="7550E9E1"/>
    <w:rsid w:val="755CDB8F"/>
    <w:rsid w:val="755F62DE"/>
    <w:rsid w:val="7560A819"/>
    <w:rsid w:val="756B65DD"/>
    <w:rsid w:val="756E19AA"/>
    <w:rsid w:val="757610EB"/>
    <w:rsid w:val="7577C652"/>
    <w:rsid w:val="7578924B"/>
    <w:rsid w:val="757E463C"/>
    <w:rsid w:val="757EB031"/>
    <w:rsid w:val="7589A0A7"/>
    <w:rsid w:val="758AAA48"/>
    <w:rsid w:val="7596A3C8"/>
    <w:rsid w:val="75AB57C8"/>
    <w:rsid w:val="75C644A0"/>
    <w:rsid w:val="75C661FE"/>
    <w:rsid w:val="75C76D0C"/>
    <w:rsid w:val="75D02AAE"/>
    <w:rsid w:val="75D4BF44"/>
    <w:rsid w:val="75D69723"/>
    <w:rsid w:val="75DD3820"/>
    <w:rsid w:val="75E00042"/>
    <w:rsid w:val="75E177AF"/>
    <w:rsid w:val="75E3ED10"/>
    <w:rsid w:val="75E7290C"/>
    <w:rsid w:val="75FA3462"/>
    <w:rsid w:val="76111866"/>
    <w:rsid w:val="76169909"/>
    <w:rsid w:val="761AA6E1"/>
    <w:rsid w:val="7623F7B0"/>
    <w:rsid w:val="76400FB5"/>
    <w:rsid w:val="76475827"/>
    <w:rsid w:val="764EBF58"/>
    <w:rsid w:val="76565C34"/>
    <w:rsid w:val="76624571"/>
    <w:rsid w:val="7663ADB9"/>
    <w:rsid w:val="7663F4AD"/>
    <w:rsid w:val="766D3D59"/>
    <w:rsid w:val="766D4573"/>
    <w:rsid w:val="766DBA53"/>
    <w:rsid w:val="76713D2A"/>
    <w:rsid w:val="76748E63"/>
    <w:rsid w:val="76803FC6"/>
    <w:rsid w:val="768ACF35"/>
    <w:rsid w:val="7692355D"/>
    <w:rsid w:val="76947081"/>
    <w:rsid w:val="76A8BD06"/>
    <w:rsid w:val="76B0E306"/>
    <w:rsid w:val="76B4BE33"/>
    <w:rsid w:val="76B873A4"/>
    <w:rsid w:val="76B88ED9"/>
    <w:rsid w:val="76BF52EC"/>
    <w:rsid w:val="76C4F783"/>
    <w:rsid w:val="76C8CE21"/>
    <w:rsid w:val="76CEB6D7"/>
    <w:rsid w:val="76CF7AB0"/>
    <w:rsid w:val="76D03037"/>
    <w:rsid w:val="76D6FB45"/>
    <w:rsid w:val="76EA1151"/>
    <w:rsid w:val="76F0EF9F"/>
    <w:rsid w:val="76F5FF47"/>
    <w:rsid w:val="7710401B"/>
    <w:rsid w:val="7713C6C8"/>
    <w:rsid w:val="772DE7CC"/>
    <w:rsid w:val="7731A2F7"/>
    <w:rsid w:val="7733585D"/>
    <w:rsid w:val="7735B46E"/>
    <w:rsid w:val="7736EE72"/>
    <w:rsid w:val="774097EC"/>
    <w:rsid w:val="774A4324"/>
    <w:rsid w:val="774B55E6"/>
    <w:rsid w:val="77525F34"/>
    <w:rsid w:val="7754EDF8"/>
    <w:rsid w:val="7757D2B1"/>
    <w:rsid w:val="776344BB"/>
    <w:rsid w:val="7765D6F3"/>
    <w:rsid w:val="77684C3F"/>
    <w:rsid w:val="776FBB9C"/>
    <w:rsid w:val="777D058A"/>
    <w:rsid w:val="7781B8F7"/>
    <w:rsid w:val="7791EAA9"/>
    <w:rsid w:val="7793F421"/>
    <w:rsid w:val="77B12A7F"/>
    <w:rsid w:val="77C31AF8"/>
    <w:rsid w:val="77CA9254"/>
    <w:rsid w:val="77CA9CAF"/>
    <w:rsid w:val="77D100C0"/>
    <w:rsid w:val="77E6015E"/>
    <w:rsid w:val="77F92C9B"/>
    <w:rsid w:val="77FCA3F1"/>
    <w:rsid w:val="78006DD2"/>
    <w:rsid w:val="7804D052"/>
    <w:rsid w:val="7806EFA4"/>
    <w:rsid w:val="7810089D"/>
    <w:rsid w:val="7812A235"/>
    <w:rsid w:val="78158994"/>
    <w:rsid w:val="781837CA"/>
    <w:rsid w:val="781F14D8"/>
    <w:rsid w:val="78214DDC"/>
    <w:rsid w:val="78217A00"/>
    <w:rsid w:val="782279B6"/>
    <w:rsid w:val="78292E80"/>
    <w:rsid w:val="782C0841"/>
    <w:rsid w:val="7834DA5F"/>
    <w:rsid w:val="7836C906"/>
    <w:rsid w:val="78386D9B"/>
    <w:rsid w:val="7846519F"/>
    <w:rsid w:val="784824D6"/>
    <w:rsid w:val="7849628D"/>
    <w:rsid w:val="784B3157"/>
    <w:rsid w:val="784CFA89"/>
    <w:rsid w:val="784EF001"/>
    <w:rsid w:val="78513A88"/>
    <w:rsid w:val="78549F83"/>
    <w:rsid w:val="785B594E"/>
    <w:rsid w:val="78635779"/>
    <w:rsid w:val="78643B92"/>
    <w:rsid w:val="786BD79F"/>
    <w:rsid w:val="786F03AD"/>
    <w:rsid w:val="787BDBED"/>
    <w:rsid w:val="78931E15"/>
    <w:rsid w:val="789400C9"/>
    <w:rsid w:val="789721AF"/>
    <w:rsid w:val="78993C19"/>
    <w:rsid w:val="789A8AE9"/>
    <w:rsid w:val="789D75FA"/>
    <w:rsid w:val="789FEDCD"/>
    <w:rsid w:val="78A03A7C"/>
    <w:rsid w:val="78A210EB"/>
    <w:rsid w:val="78A2A5D6"/>
    <w:rsid w:val="78ABBB27"/>
    <w:rsid w:val="78B0EA94"/>
    <w:rsid w:val="78B39160"/>
    <w:rsid w:val="78B77EE6"/>
    <w:rsid w:val="78B83C6F"/>
    <w:rsid w:val="78BA8D3F"/>
    <w:rsid w:val="78BC09A3"/>
    <w:rsid w:val="78BC1776"/>
    <w:rsid w:val="78C35C69"/>
    <w:rsid w:val="78C4357B"/>
    <w:rsid w:val="78C76A71"/>
    <w:rsid w:val="78CCC45A"/>
    <w:rsid w:val="78CE4E42"/>
    <w:rsid w:val="78DB0A14"/>
    <w:rsid w:val="78DC0604"/>
    <w:rsid w:val="78E3D296"/>
    <w:rsid w:val="78EF808C"/>
    <w:rsid w:val="78FE14DA"/>
    <w:rsid w:val="790B8C4C"/>
    <w:rsid w:val="790E3A6B"/>
    <w:rsid w:val="790FC38E"/>
    <w:rsid w:val="79198DAC"/>
    <w:rsid w:val="791CF928"/>
    <w:rsid w:val="791E8956"/>
    <w:rsid w:val="79202589"/>
    <w:rsid w:val="79263744"/>
    <w:rsid w:val="792F9855"/>
    <w:rsid w:val="793292D9"/>
    <w:rsid w:val="7934E887"/>
    <w:rsid w:val="793E730C"/>
    <w:rsid w:val="793E8434"/>
    <w:rsid w:val="7942353C"/>
    <w:rsid w:val="79471229"/>
    <w:rsid w:val="794BA707"/>
    <w:rsid w:val="794F2438"/>
    <w:rsid w:val="79548684"/>
    <w:rsid w:val="795DEE01"/>
    <w:rsid w:val="795E2F34"/>
    <w:rsid w:val="7965AB95"/>
    <w:rsid w:val="79736004"/>
    <w:rsid w:val="7978C944"/>
    <w:rsid w:val="797A9FAB"/>
    <w:rsid w:val="79836326"/>
    <w:rsid w:val="798AC86B"/>
    <w:rsid w:val="798C78C2"/>
    <w:rsid w:val="798F2682"/>
    <w:rsid w:val="799189EC"/>
    <w:rsid w:val="799C52CA"/>
    <w:rsid w:val="79A13B77"/>
    <w:rsid w:val="79A18A8B"/>
    <w:rsid w:val="79A3018F"/>
    <w:rsid w:val="79A39B04"/>
    <w:rsid w:val="79AA19CD"/>
    <w:rsid w:val="79B36DBE"/>
    <w:rsid w:val="79B73573"/>
    <w:rsid w:val="79BDF048"/>
    <w:rsid w:val="79BDF1B4"/>
    <w:rsid w:val="79BFEBE1"/>
    <w:rsid w:val="79C67CB7"/>
    <w:rsid w:val="79CA711F"/>
    <w:rsid w:val="79DB67B8"/>
    <w:rsid w:val="79DC77CA"/>
    <w:rsid w:val="79E06500"/>
    <w:rsid w:val="79E774AD"/>
    <w:rsid w:val="79E93109"/>
    <w:rsid w:val="79EF1A23"/>
    <w:rsid w:val="79F1BCEA"/>
    <w:rsid w:val="7A038B32"/>
    <w:rsid w:val="7A0395E8"/>
    <w:rsid w:val="7A058381"/>
    <w:rsid w:val="7A0BD5C4"/>
    <w:rsid w:val="7A16F8F9"/>
    <w:rsid w:val="7A26EB28"/>
    <w:rsid w:val="7A29FE0C"/>
    <w:rsid w:val="7A2BB6FB"/>
    <w:rsid w:val="7A2C374B"/>
    <w:rsid w:val="7A32F3D3"/>
    <w:rsid w:val="7A3DA1D7"/>
    <w:rsid w:val="7A42C194"/>
    <w:rsid w:val="7A44CBBB"/>
    <w:rsid w:val="7A4B7B31"/>
    <w:rsid w:val="7A4C99B0"/>
    <w:rsid w:val="7A537FDB"/>
    <w:rsid w:val="7A5568AD"/>
    <w:rsid w:val="7A5E23E3"/>
    <w:rsid w:val="7A5E33CB"/>
    <w:rsid w:val="7A6010A2"/>
    <w:rsid w:val="7A68A29F"/>
    <w:rsid w:val="7A6A8784"/>
    <w:rsid w:val="7A713296"/>
    <w:rsid w:val="7A75A740"/>
    <w:rsid w:val="7A8660F8"/>
    <w:rsid w:val="7A889070"/>
    <w:rsid w:val="7A89FFE0"/>
    <w:rsid w:val="7A931903"/>
    <w:rsid w:val="7A9D49FF"/>
    <w:rsid w:val="7AA08029"/>
    <w:rsid w:val="7AA41F30"/>
    <w:rsid w:val="7AA421E3"/>
    <w:rsid w:val="7AA4BDF4"/>
    <w:rsid w:val="7AA977EC"/>
    <w:rsid w:val="7AAAC190"/>
    <w:rsid w:val="7AAB0385"/>
    <w:rsid w:val="7AAFE889"/>
    <w:rsid w:val="7AB12B81"/>
    <w:rsid w:val="7AB2156C"/>
    <w:rsid w:val="7ABA46DC"/>
    <w:rsid w:val="7ABDDF7D"/>
    <w:rsid w:val="7AC45961"/>
    <w:rsid w:val="7ACC2F84"/>
    <w:rsid w:val="7ACE92A5"/>
    <w:rsid w:val="7AD296FE"/>
    <w:rsid w:val="7AD5D9F9"/>
    <w:rsid w:val="7ADA2553"/>
    <w:rsid w:val="7ADD2866"/>
    <w:rsid w:val="7ADE0338"/>
    <w:rsid w:val="7AEFCDA2"/>
    <w:rsid w:val="7AEFE52F"/>
    <w:rsid w:val="7B107DC4"/>
    <w:rsid w:val="7B1203CC"/>
    <w:rsid w:val="7B13C280"/>
    <w:rsid w:val="7B1E1810"/>
    <w:rsid w:val="7B241097"/>
    <w:rsid w:val="7B2D4C25"/>
    <w:rsid w:val="7B2DED81"/>
    <w:rsid w:val="7B32DDDF"/>
    <w:rsid w:val="7B3525FB"/>
    <w:rsid w:val="7B44E330"/>
    <w:rsid w:val="7B47783A"/>
    <w:rsid w:val="7B481760"/>
    <w:rsid w:val="7B4B6BEA"/>
    <w:rsid w:val="7B4C2F27"/>
    <w:rsid w:val="7B51630D"/>
    <w:rsid w:val="7B5952EA"/>
    <w:rsid w:val="7B5BCFD9"/>
    <w:rsid w:val="7B5D04F6"/>
    <w:rsid w:val="7B5D56BB"/>
    <w:rsid w:val="7B5FD863"/>
    <w:rsid w:val="7B5FFB9F"/>
    <w:rsid w:val="7B660073"/>
    <w:rsid w:val="7B6AACC0"/>
    <w:rsid w:val="7B71ADF3"/>
    <w:rsid w:val="7B75D905"/>
    <w:rsid w:val="7B77BBD3"/>
    <w:rsid w:val="7B7810A6"/>
    <w:rsid w:val="7B7A10AB"/>
    <w:rsid w:val="7B891610"/>
    <w:rsid w:val="7B8CF09F"/>
    <w:rsid w:val="7B924FD0"/>
    <w:rsid w:val="7B95EF76"/>
    <w:rsid w:val="7B99DBCF"/>
    <w:rsid w:val="7B9A1957"/>
    <w:rsid w:val="7B9E9CAD"/>
    <w:rsid w:val="7B9F835C"/>
    <w:rsid w:val="7BAC330C"/>
    <w:rsid w:val="7BC3B103"/>
    <w:rsid w:val="7BC83023"/>
    <w:rsid w:val="7BD6AEDC"/>
    <w:rsid w:val="7BDB1B3D"/>
    <w:rsid w:val="7BDB8D36"/>
    <w:rsid w:val="7BDEEDEA"/>
    <w:rsid w:val="7BEE8201"/>
    <w:rsid w:val="7BF16D02"/>
    <w:rsid w:val="7BFC550A"/>
    <w:rsid w:val="7C02332D"/>
    <w:rsid w:val="7C03A115"/>
    <w:rsid w:val="7C0FA1C9"/>
    <w:rsid w:val="7C1040C4"/>
    <w:rsid w:val="7C10EF1C"/>
    <w:rsid w:val="7C138BEB"/>
    <w:rsid w:val="7C16406B"/>
    <w:rsid w:val="7C166B9F"/>
    <w:rsid w:val="7C16DCCC"/>
    <w:rsid w:val="7C1BCA5A"/>
    <w:rsid w:val="7C1DA440"/>
    <w:rsid w:val="7C220553"/>
    <w:rsid w:val="7C2BF84D"/>
    <w:rsid w:val="7C41C25C"/>
    <w:rsid w:val="7C43058C"/>
    <w:rsid w:val="7C4989D5"/>
    <w:rsid w:val="7C4E0A86"/>
    <w:rsid w:val="7C5A1999"/>
    <w:rsid w:val="7C5C97DE"/>
    <w:rsid w:val="7C66DA5C"/>
    <w:rsid w:val="7C6B29F0"/>
    <w:rsid w:val="7C72295E"/>
    <w:rsid w:val="7C7559C5"/>
    <w:rsid w:val="7C77B837"/>
    <w:rsid w:val="7C79B0A4"/>
    <w:rsid w:val="7C7DA03A"/>
    <w:rsid w:val="7C82475D"/>
    <w:rsid w:val="7C83374D"/>
    <w:rsid w:val="7C88F71D"/>
    <w:rsid w:val="7C8E7331"/>
    <w:rsid w:val="7C91BC53"/>
    <w:rsid w:val="7C91ECDE"/>
    <w:rsid w:val="7C9B5E4E"/>
    <w:rsid w:val="7C9DB3E2"/>
    <w:rsid w:val="7CA39D25"/>
    <w:rsid w:val="7CA4CF27"/>
    <w:rsid w:val="7CAB6878"/>
    <w:rsid w:val="7CAD3FF3"/>
    <w:rsid w:val="7CB2954E"/>
    <w:rsid w:val="7CB5B8BE"/>
    <w:rsid w:val="7CBABA73"/>
    <w:rsid w:val="7CBF7EA3"/>
    <w:rsid w:val="7CC40EE2"/>
    <w:rsid w:val="7CCC985C"/>
    <w:rsid w:val="7CD7E980"/>
    <w:rsid w:val="7CE410DB"/>
    <w:rsid w:val="7CE7A97A"/>
    <w:rsid w:val="7CE9EDA1"/>
    <w:rsid w:val="7CF2FEBA"/>
    <w:rsid w:val="7CF3BFFA"/>
    <w:rsid w:val="7D02BB52"/>
    <w:rsid w:val="7D1025EF"/>
    <w:rsid w:val="7D14F283"/>
    <w:rsid w:val="7D16B1FF"/>
    <w:rsid w:val="7D1A9825"/>
    <w:rsid w:val="7D1E4E94"/>
    <w:rsid w:val="7D1E55FF"/>
    <w:rsid w:val="7D2567B0"/>
    <w:rsid w:val="7D2A7ECC"/>
    <w:rsid w:val="7D2E8B3A"/>
    <w:rsid w:val="7D30661C"/>
    <w:rsid w:val="7D30FC26"/>
    <w:rsid w:val="7D3D3F41"/>
    <w:rsid w:val="7D3EA5D6"/>
    <w:rsid w:val="7D4B7503"/>
    <w:rsid w:val="7D5063B7"/>
    <w:rsid w:val="7D5CFB45"/>
    <w:rsid w:val="7D613FB0"/>
    <w:rsid w:val="7D63C619"/>
    <w:rsid w:val="7D647C6A"/>
    <w:rsid w:val="7D873B45"/>
    <w:rsid w:val="7D8D7724"/>
    <w:rsid w:val="7D902F16"/>
    <w:rsid w:val="7D987AB0"/>
    <w:rsid w:val="7D9EBB89"/>
    <w:rsid w:val="7D9F0183"/>
    <w:rsid w:val="7DA9AA38"/>
    <w:rsid w:val="7DB0C7B8"/>
    <w:rsid w:val="7DBC3880"/>
    <w:rsid w:val="7DC0CF3E"/>
    <w:rsid w:val="7DC2BF0D"/>
    <w:rsid w:val="7DC57AD9"/>
    <w:rsid w:val="7DC79EA3"/>
    <w:rsid w:val="7DCBA08D"/>
    <w:rsid w:val="7DE14EB2"/>
    <w:rsid w:val="7DE3523B"/>
    <w:rsid w:val="7DE5E182"/>
    <w:rsid w:val="7DF8F344"/>
    <w:rsid w:val="7E12921C"/>
    <w:rsid w:val="7E1334A2"/>
    <w:rsid w:val="7E1BB677"/>
    <w:rsid w:val="7E37BA8F"/>
    <w:rsid w:val="7E4C1930"/>
    <w:rsid w:val="7E524D70"/>
    <w:rsid w:val="7E5A3120"/>
    <w:rsid w:val="7E61CF55"/>
    <w:rsid w:val="7E645F48"/>
    <w:rsid w:val="7E661052"/>
    <w:rsid w:val="7E6AD1F1"/>
    <w:rsid w:val="7E711E54"/>
    <w:rsid w:val="7E734E21"/>
    <w:rsid w:val="7E82EB05"/>
    <w:rsid w:val="7E845E83"/>
    <w:rsid w:val="7EA3C4DB"/>
    <w:rsid w:val="7EAF0DC0"/>
    <w:rsid w:val="7EB34144"/>
    <w:rsid w:val="7EB93740"/>
    <w:rsid w:val="7EBD8013"/>
    <w:rsid w:val="7EC620E8"/>
    <w:rsid w:val="7ED5F4B7"/>
    <w:rsid w:val="7EDA9DB7"/>
    <w:rsid w:val="7EDE8816"/>
    <w:rsid w:val="7EE3D0CF"/>
    <w:rsid w:val="7EE66D6D"/>
    <w:rsid w:val="7EE75C25"/>
    <w:rsid w:val="7EEE0E41"/>
    <w:rsid w:val="7EEF1020"/>
    <w:rsid w:val="7EF4C5A0"/>
    <w:rsid w:val="7EF4FC1B"/>
    <w:rsid w:val="7EF5AC9E"/>
    <w:rsid w:val="7EF5AE2C"/>
    <w:rsid w:val="7EF700EC"/>
    <w:rsid w:val="7EFACC14"/>
    <w:rsid w:val="7EFB2F25"/>
    <w:rsid w:val="7EFF5710"/>
    <w:rsid w:val="7F18E536"/>
    <w:rsid w:val="7F19DDBA"/>
    <w:rsid w:val="7F1BCA57"/>
    <w:rsid w:val="7F23B918"/>
    <w:rsid w:val="7F34ACC5"/>
    <w:rsid w:val="7F3C0D65"/>
    <w:rsid w:val="7F42129F"/>
    <w:rsid w:val="7F4234ED"/>
    <w:rsid w:val="7F5176A7"/>
    <w:rsid w:val="7F5B59F2"/>
    <w:rsid w:val="7F60FD93"/>
    <w:rsid w:val="7F6FC4E3"/>
    <w:rsid w:val="7F86081C"/>
    <w:rsid w:val="7F87DECC"/>
    <w:rsid w:val="7F8C81CC"/>
    <w:rsid w:val="7F8E4014"/>
    <w:rsid w:val="7F90D328"/>
    <w:rsid w:val="7F958411"/>
    <w:rsid w:val="7F9BF39E"/>
    <w:rsid w:val="7FADF6B5"/>
    <w:rsid w:val="7FB9A220"/>
    <w:rsid w:val="7FB9C863"/>
    <w:rsid w:val="7FC3EF57"/>
    <w:rsid w:val="7FC6A7ED"/>
    <w:rsid w:val="7FD03251"/>
    <w:rsid w:val="7FD04433"/>
    <w:rsid w:val="7FDC72E3"/>
    <w:rsid w:val="7FE28B45"/>
    <w:rsid w:val="7FE38776"/>
    <w:rsid w:val="7FE68E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F1D374"/>
  <w15:chartTrackingRefBased/>
  <w15:docId w15:val="{711E4593-05D4-4F57-895B-1DD63B68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6B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575"/>
    <w:rPr>
      <w:color w:val="0000FF"/>
      <w:u w:val="single"/>
    </w:rPr>
  </w:style>
  <w:style w:type="character" w:styleId="FollowedHyperlink">
    <w:name w:val="FollowedHyperlink"/>
    <w:basedOn w:val="DefaultParagraphFont"/>
    <w:uiPriority w:val="99"/>
    <w:semiHidden/>
    <w:unhideWhenUsed/>
    <w:rsid w:val="00FA5CB5"/>
    <w:rPr>
      <w:color w:val="954F72" w:themeColor="followedHyperlink"/>
      <w:u w:val="single"/>
    </w:rPr>
  </w:style>
  <w:style w:type="paragraph" w:styleId="ListParagraph">
    <w:name w:val="List Paragraph"/>
    <w:basedOn w:val="Normal"/>
    <w:link w:val="ListParagraphChar"/>
    <w:qFormat/>
    <w:rsid w:val="00613B80"/>
    <w:pPr>
      <w:ind w:left="720"/>
      <w:contextualSpacing/>
    </w:pPr>
  </w:style>
  <w:style w:type="character" w:customStyle="1" w:styleId="UnresolvedMention">
    <w:name w:val="Unresolved Mention"/>
    <w:basedOn w:val="DefaultParagraphFont"/>
    <w:uiPriority w:val="99"/>
    <w:semiHidden/>
    <w:unhideWhenUsed/>
    <w:rsid w:val="008949B8"/>
    <w:rPr>
      <w:color w:val="605E5C"/>
      <w:shd w:val="clear" w:color="auto" w:fill="E1DFDD"/>
    </w:rPr>
  </w:style>
  <w:style w:type="character" w:styleId="CommentReference">
    <w:name w:val="annotation reference"/>
    <w:basedOn w:val="DefaultParagraphFont"/>
    <w:uiPriority w:val="99"/>
    <w:semiHidden/>
    <w:unhideWhenUsed/>
    <w:rsid w:val="00FB2A1A"/>
    <w:rPr>
      <w:sz w:val="16"/>
      <w:szCs w:val="16"/>
    </w:rPr>
  </w:style>
  <w:style w:type="paragraph" w:styleId="CommentText">
    <w:name w:val="annotation text"/>
    <w:basedOn w:val="Normal"/>
    <w:link w:val="CommentTextChar"/>
    <w:uiPriority w:val="99"/>
    <w:unhideWhenUsed/>
    <w:rsid w:val="00FB2A1A"/>
    <w:pPr>
      <w:spacing w:line="240" w:lineRule="auto"/>
    </w:pPr>
    <w:rPr>
      <w:sz w:val="20"/>
      <w:szCs w:val="20"/>
    </w:rPr>
  </w:style>
  <w:style w:type="character" w:customStyle="1" w:styleId="CommentTextChar">
    <w:name w:val="Comment Text Char"/>
    <w:basedOn w:val="DefaultParagraphFont"/>
    <w:link w:val="CommentText"/>
    <w:uiPriority w:val="99"/>
    <w:rsid w:val="00FB2A1A"/>
    <w:rPr>
      <w:sz w:val="20"/>
      <w:szCs w:val="20"/>
    </w:rPr>
  </w:style>
  <w:style w:type="paragraph" w:styleId="CommentSubject">
    <w:name w:val="annotation subject"/>
    <w:basedOn w:val="CommentText"/>
    <w:next w:val="CommentText"/>
    <w:link w:val="CommentSubjectChar"/>
    <w:uiPriority w:val="99"/>
    <w:semiHidden/>
    <w:unhideWhenUsed/>
    <w:rsid w:val="00FB2A1A"/>
    <w:rPr>
      <w:b/>
      <w:bCs/>
    </w:rPr>
  </w:style>
  <w:style w:type="character" w:customStyle="1" w:styleId="CommentSubjectChar">
    <w:name w:val="Comment Subject Char"/>
    <w:basedOn w:val="CommentTextChar"/>
    <w:link w:val="CommentSubject"/>
    <w:uiPriority w:val="99"/>
    <w:semiHidden/>
    <w:rsid w:val="00FB2A1A"/>
    <w:rPr>
      <w:b/>
      <w:bCs/>
      <w:sz w:val="20"/>
      <w:szCs w:val="20"/>
    </w:rPr>
  </w:style>
  <w:style w:type="paragraph" w:customStyle="1" w:styleId="CMR-text">
    <w:name w:val="CMR - text"/>
    <w:basedOn w:val="Normal"/>
    <w:link w:val="CMR-textChar"/>
    <w:qFormat/>
    <w:rsid w:val="00CE747B"/>
    <w:pPr>
      <w:spacing w:before="240" w:after="240" w:line="276" w:lineRule="auto"/>
      <w:jc w:val="both"/>
    </w:pPr>
    <w:rPr>
      <w:rFonts w:ascii="Times New Roman" w:hAnsi="Times New Roman"/>
      <w:kern w:val="0"/>
      <w14:ligatures w14:val="none"/>
    </w:rPr>
  </w:style>
  <w:style w:type="character" w:customStyle="1" w:styleId="CMR-textChar">
    <w:name w:val="CMR - text Char"/>
    <w:basedOn w:val="DefaultParagraphFont"/>
    <w:link w:val="CMR-text"/>
    <w:rsid w:val="00CE747B"/>
    <w:rPr>
      <w:rFonts w:ascii="Times New Roman" w:hAnsi="Times New Roman"/>
      <w:kern w:val="0"/>
      <w14:ligatures w14:val="none"/>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4_G, BVI fnr"/>
    <w:basedOn w:val="DefaultParagraphFont"/>
    <w:link w:val="FootnotesymbolCarZchn"/>
    <w:unhideWhenUsed/>
    <w:qFormat/>
    <w:rsid w:val="00187D4D"/>
    <w:rPr>
      <w:vertAlign w:val="superscript"/>
    </w:rPr>
  </w:style>
  <w:style w:type="character" w:customStyle="1" w:styleId="FootnoteTextChar">
    <w:name w:val="Footnote Text Char"/>
    <w:aliases w:val="Footnote main Char,Fußnotentextf Char,RSK-FT Char,RSK-FT1 Char,RSK-FT2 Char,5_G Char,Footnote text Char,Testo nota a piè di pagina_Rientro Char,stile 1 Char,Footnote1 Char,Footnote2 Char,Footnote3 Char,Footnote4 Char,Footnote5 Char"/>
    <w:basedOn w:val="DefaultParagraphFont"/>
    <w:link w:val="FootnoteText"/>
    <w:uiPriority w:val="99"/>
    <w:rsid w:val="00187D4D"/>
    <w:rPr>
      <w:sz w:val="20"/>
      <w:szCs w:val="20"/>
    </w:rPr>
  </w:style>
  <w:style w:type="paragraph" w:styleId="FootnoteText">
    <w:name w:val="footnote text"/>
    <w:aliases w:val="Footnote main,Fußnotentextf,RSK-FT,RSK-FT1,RSK-FT2,5_G,Footnote text,Testo nota a piè di pagina_Rientro,stile 1,Footnote1,Footnote2,Footnote3,Footnote4,Footnote5,Footnote6,Footnote7,Footnote8,Footnote9,Footnote10,Footnote11,Footnote21,Char"/>
    <w:basedOn w:val="Normal"/>
    <w:link w:val="FootnoteTextChar"/>
    <w:uiPriority w:val="99"/>
    <w:unhideWhenUsed/>
    <w:qFormat/>
    <w:rsid w:val="00187D4D"/>
    <w:pPr>
      <w:spacing w:after="0" w:line="240" w:lineRule="auto"/>
    </w:pPr>
    <w:rPr>
      <w:sz w:val="20"/>
      <w:szCs w:val="20"/>
    </w:rPr>
  </w:style>
  <w:style w:type="character" w:customStyle="1" w:styleId="FootnoteTextChar1">
    <w:name w:val="Footnote Text Char1"/>
    <w:basedOn w:val="DefaultParagraphFont"/>
    <w:uiPriority w:val="99"/>
    <w:semiHidden/>
    <w:rsid w:val="00187D4D"/>
    <w:rPr>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187D4D"/>
    <w:pPr>
      <w:spacing w:line="240" w:lineRule="exact"/>
      <w:jc w:val="both"/>
    </w:pPr>
    <w:rPr>
      <w:vertAlign w:val="superscript"/>
    </w:rPr>
  </w:style>
  <w:style w:type="paragraph" w:customStyle="1" w:styleId="CMR-footnote">
    <w:name w:val="CMR - footnote"/>
    <w:basedOn w:val="FootnoteText"/>
    <w:link w:val="CMR-footnoteChar"/>
    <w:qFormat/>
    <w:rsid w:val="00917BE8"/>
    <w:pPr>
      <w:keepLines/>
      <w:spacing w:before="120" w:after="120"/>
      <w:jc w:val="both"/>
    </w:pPr>
    <w:rPr>
      <w:rFonts w:ascii="Times New Roman" w:hAnsi="Times New Roman"/>
      <w:sz w:val="18"/>
    </w:rPr>
  </w:style>
  <w:style w:type="character" w:customStyle="1" w:styleId="CMR-footnoteChar">
    <w:name w:val="CMR - footnote Char"/>
    <w:basedOn w:val="FootnoteTextChar"/>
    <w:link w:val="CMR-footnote"/>
    <w:rsid w:val="00917BE8"/>
    <w:rPr>
      <w:rFonts w:ascii="Times New Roman" w:hAnsi="Times New Roman"/>
      <w:sz w:val="18"/>
      <w:szCs w:val="20"/>
    </w:rPr>
  </w:style>
  <w:style w:type="paragraph" w:styleId="Caption">
    <w:name w:val="caption"/>
    <w:basedOn w:val="Normal"/>
    <w:next w:val="Normal"/>
    <w:uiPriority w:val="35"/>
    <w:unhideWhenUsed/>
    <w:qFormat/>
    <w:rsid w:val="00187D4D"/>
    <w:pPr>
      <w:spacing w:before="120" w:after="120" w:line="256" w:lineRule="auto"/>
      <w:jc w:val="both"/>
    </w:pPr>
    <w:rPr>
      <w:rFonts w:ascii="Times New Roman" w:eastAsia="Calibri" w:hAnsi="Times New Roman" w:cs="Times New Roman"/>
      <w:bCs/>
      <w:i/>
      <w:kern w:val="0"/>
      <w:szCs w:val="20"/>
      <w14:ligatures w14:val="none"/>
    </w:rPr>
  </w:style>
  <w:style w:type="character" w:customStyle="1" w:styleId="Footnote1">
    <w:name w:val="Footnote|1_"/>
    <w:basedOn w:val="DefaultParagraphFont"/>
    <w:link w:val="Footnote10"/>
    <w:rsid w:val="00187D4D"/>
    <w:rPr>
      <w:sz w:val="20"/>
      <w:szCs w:val="20"/>
    </w:rPr>
  </w:style>
  <w:style w:type="character" w:customStyle="1" w:styleId="Bodytext1">
    <w:name w:val="Body text|1_"/>
    <w:basedOn w:val="DefaultParagraphFont"/>
    <w:link w:val="Bodytext10"/>
    <w:rsid w:val="00187D4D"/>
  </w:style>
  <w:style w:type="paragraph" w:customStyle="1" w:styleId="Footnote10">
    <w:name w:val="Footnote|1"/>
    <w:basedOn w:val="Normal"/>
    <w:link w:val="Footnote1"/>
    <w:rsid w:val="00187D4D"/>
    <w:pPr>
      <w:widowControl w:val="0"/>
      <w:spacing w:after="0" w:line="240" w:lineRule="auto"/>
    </w:pPr>
    <w:rPr>
      <w:sz w:val="20"/>
      <w:szCs w:val="20"/>
    </w:rPr>
  </w:style>
  <w:style w:type="paragraph" w:customStyle="1" w:styleId="Bodytext10">
    <w:name w:val="Body text|1"/>
    <w:basedOn w:val="Normal"/>
    <w:link w:val="Bodytext1"/>
    <w:rsid w:val="00187D4D"/>
    <w:pPr>
      <w:widowControl w:val="0"/>
      <w:spacing w:after="240"/>
    </w:pPr>
  </w:style>
  <w:style w:type="character" w:customStyle="1" w:styleId="Other1">
    <w:name w:val="Other|1_"/>
    <w:basedOn w:val="DefaultParagraphFont"/>
    <w:link w:val="Other10"/>
    <w:rsid w:val="00187D4D"/>
  </w:style>
  <w:style w:type="paragraph" w:customStyle="1" w:styleId="Other10">
    <w:name w:val="Other|1"/>
    <w:basedOn w:val="Normal"/>
    <w:link w:val="Other1"/>
    <w:rsid w:val="00187D4D"/>
    <w:pPr>
      <w:widowControl w:val="0"/>
      <w:spacing w:after="240"/>
    </w:pPr>
  </w:style>
  <w:style w:type="paragraph" w:customStyle="1" w:styleId="CMR-tables">
    <w:name w:val="CMR - tables"/>
    <w:basedOn w:val="CMR-text"/>
    <w:link w:val="CMR-tablesChar"/>
    <w:qFormat/>
    <w:rsid w:val="00491DC0"/>
    <w:pPr>
      <w:spacing w:before="120" w:after="120" w:line="240" w:lineRule="auto"/>
      <w:jc w:val="left"/>
    </w:pPr>
    <w:rPr>
      <w:bCs/>
      <w:sz w:val="20"/>
    </w:rPr>
  </w:style>
  <w:style w:type="character" w:customStyle="1" w:styleId="CMR-tablesChar">
    <w:name w:val="CMR - tables Char"/>
    <w:basedOn w:val="CMR-textChar"/>
    <w:link w:val="CMR-tables"/>
    <w:rsid w:val="00491DC0"/>
    <w:rPr>
      <w:rFonts w:ascii="Times New Roman" w:hAnsi="Times New Roman"/>
      <w:bCs/>
      <w:kern w:val="0"/>
      <w:sz w:val="20"/>
      <w14:ligatures w14:val="none"/>
    </w:rPr>
  </w:style>
  <w:style w:type="table" w:styleId="TableGridLight">
    <w:name w:val="Grid Table Light"/>
    <w:basedOn w:val="TableNormal"/>
    <w:uiPriority w:val="40"/>
    <w:rsid w:val="00187D4D"/>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46D90"/>
    <w:pPr>
      <w:spacing w:after="0" w:line="240" w:lineRule="auto"/>
    </w:pPr>
  </w:style>
  <w:style w:type="paragraph" w:styleId="Header">
    <w:name w:val="header"/>
    <w:basedOn w:val="Normal"/>
    <w:link w:val="HeaderChar"/>
    <w:uiPriority w:val="99"/>
    <w:unhideWhenUsed/>
    <w:rsid w:val="00F42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0AF"/>
  </w:style>
  <w:style w:type="paragraph" w:styleId="Footer">
    <w:name w:val="footer"/>
    <w:basedOn w:val="Normal"/>
    <w:link w:val="FooterChar"/>
    <w:uiPriority w:val="99"/>
    <w:unhideWhenUsed/>
    <w:rsid w:val="00F42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0AF"/>
  </w:style>
  <w:style w:type="table" w:styleId="TableGrid">
    <w:name w:val="Table Grid"/>
    <w:basedOn w:val="TableNormal"/>
    <w:uiPriority w:val="59"/>
    <w:rsid w:val="00FB4123"/>
    <w:pPr>
      <w:numPr>
        <w:numId w:val="6"/>
      </w:numPr>
      <w:spacing w:after="0" w:line="240" w:lineRule="auto"/>
      <w:ind w:left="36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R-Heading">
    <w:name w:val="CMR - Heading"/>
    <w:basedOn w:val="CMR-text"/>
    <w:link w:val="CMR-HeadingChar"/>
    <w:qFormat/>
    <w:rsid w:val="00EC4FC3"/>
    <w:pPr>
      <w:numPr>
        <w:numId w:val="51"/>
      </w:numPr>
      <w:outlineLvl w:val="0"/>
    </w:pPr>
    <w:rPr>
      <w:b/>
      <w:bCs/>
      <w:sz w:val="24"/>
      <w:szCs w:val="28"/>
    </w:rPr>
  </w:style>
  <w:style w:type="character" w:customStyle="1" w:styleId="ListParagraphChar">
    <w:name w:val="List Paragraph Char"/>
    <w:basedOn w:val="DefaultParagraphFont"/>
    <w:link w:val="ListParagraph"/>
    <w:uiPriority w:val="34"/>
    <w:rsid w:val="00BB445B"/>
  </w:style>
  <w:style w:type="character" w:customStyle="1" w:styleId="CMR-HeadingChar">
    <w:name w:val="CMR - Heading Char"/>
    <w:basedOn w:val="ListParagraphChar"/>
    <w:link w:val="CMR-Heading"/>
    <w:rsid w:val="00EC4FC3"/>
    <w:rPr>
      <w:rFonts w:ascii="Times New Roman" w:hAnsi="Times New Roman"/>
      <w:b/>
      <w:bCs/>
      <w:kern w:val="0"/>
      <w:sz w:val="24"/>
      <w:szCs w:val="28"/>
      <w14:ligatures w14:val="none"/>
    </w:rPr>
  </w:style>
  <w:style w:type="paragraph" w:customStyle="1" w:styleId="paragraph">
    <w:name w:val="paragraph"/>
    <w:basedOn w:val="Normal"/>
    <w:rsid w:val="00FA2C7D"/>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FA2C7D"/>
  </w:style>
  <w:style w:type="character" w:customStyle="1" w:styleId="eop">
    <w:name w:val="eop"/>
    <w:basedOn w:val="DefaultParagraphFont"/>
    <w:rsid w:val="00FA2C7D"/>
  </w:style>
  <w:style w:type="character" w:customStyle="1" w:styleId="scxw137601718">
    <w:name w:val="scxw137601718"/>
    <w:basedOn w:val="DefaultParagraphFont"/>
    <w:rsid w:val="00FA2C7D"/>
  </w:style>
  <w:style w:type="character" w:customStyle="1" w:styleId="superscript">
    <w:name w:val="superscript"/>
    <w:basedOn w:val="DefaultParagraphFont"/>
    <w:rsid w:val="00FA2C7D"/>
  </w:style>
  <w:style w:type="paragraph" w:customStyle="1" w:styleId="CMR2023-footnote">
    <w:name w:val="CMR 2023 - footnote"/>
    <w:basedOn w:val="FootnoteText"/>
    <w:link w:val="CMR2023-footnoteChar"/>
    <w:rsid w:val="00491954"/>
    <w:pPr>
      <w:keepLines/>
      <w:spacing w:after="120"/>
    </w:pPr>
    <w:rPr>
      <w:rFonts w:ascii="Times New Roman" w:hAnsi="Times New Roman"/>
      <w:kern w:val="0"/>
      <w14:ligatures w14:val="none"/>
    </w:rPr>
  </w:style>
  <w:style w:type="paragraph" w:customStyle="1" w:styleId="Bodytext-tables">
    <w:name w:val="Body text - tables"/>
    <w:basedOn w:val="BodyText"/>
    <w:link w:val="Bodytext-tablesChar"/>
    <w:qFormat/>
    <w:rsid w:val="006F078C"/>
    <w:pPr>
      <w:widowControl w:val="0"/>
      <w:autoSpaceDE w:val="0"/>
      <w:autoSpaceDN w:val="0"/>
      <w:spacing w:before="60" w:after="60"/>
      <w:jc w:val="both"/>
    </w:pPr>
    <w:rPr>
      <w:rFonts w:ascii="Times New Roman" w:eastAsia="Times New Roman" w:hAnsi="Times New Roman" w:cs="Times New Roman"/>
      <w:kern w:val="0"/>
      <w:sz w:val="24"/>
      <w:szCs w:val="24"/>
      <w14:ligatures w14:val="none"/>
    </w:rPr>
  </w:style>
  <w:style w:type="character" w:customStyle="1" w:styleId="Bodytext-tablesChar">
    <w:name w:val="Body text - tables Char"/>
    <w:basedOn w:val="BodyTextChar"/>
    <w:link w:val="Bodytext-tables"/>
    <w:rsid w:val="006F078C"/>
    <w:rPr>
      <w:rFonts w:ascii="Times New Roman" w:eastAsia="Times New Roman" w:hAnsi="Times New Roman" w:cs="Times New Roman"/>
      <w:kern w:val="0"/>
      <w:sz w:val="24"/>
      <w:szCs w:val="24"/>
      <w:lang w:val="it-IT"/>
      <w14:ligatures w14:val="none"/>
    </w:rPr>
  </w:style>
  <w:style w:type="paragraph" w:styleId="BodyText">
    <w:name w:val="Body Text"/>
    <w:basedOn w:val="Normal"/>
    <w:link w:val="BodyTextChar"/>
    <w:uiPriority w:val="99"/>
    <w:semiHidden/>
    <w:unhideWhenUsed/>
    <w:rsid w:val="006F078C"/>
    <w:pPr>
      <w:spacing w:after="120"/>
    </w:pPr>
  </w:style>
  <w:style w:type="character" w:customStyle="1" w:styleId="BodyTextChar">
    <w:name w:val="Body Text Char"/>
    <w:basedOn w:val="DefaultParagraphFont"/>
    <w:link w:val="BodyText"/>
    <w:uiPriority w:val="99"/>
    <w:semiHidden/>
    <w:rsid w:val="006F078C"/>
  </w:style>
  <w:style w:type="character" w:customStyle="1" w:styleId="Mention">
    <w:name w:val="Mention"/>
    <w:basedOn w:val="DefaultParagraphFont"/>
    <w:uiPriority w:val="99"/>
    <w:unhideWhenUsed/>
    <w:rsid w:val="00363C2C"/>
    <w:rPr>
      <w:color w:val="2B579A"/>
      <w:shd w:val="clear" w:color="auto" w:fill="E1DFDD"/>
    </w:rPr>
  </w:style>
  <w:style w:type="paragraph" w:customStyle="1" w:styleId="CMR-Subheading">
    <w:name w:val="CMR - Subheading"/>
    <w:basedOn w:val="CMR-Heading"/>
    <w:link w:val="CMR-SubheadingChar"/>
    <w:qFormat/>
    <w:rsid w:val="00A131E8"/>
    <w:pPr>
      <w:numPr>
        <w:ilvl w:val="1"/>
      </w:numPr>
      <w:outlineLvl w:val="1"/>
    </w:pPr>
    <w:rPr>
      <w:bCs w:val="0"/>
    </w:rPr>
  </w:style>
  <w:style w:type="character" w:customStyle="1" w:styleId="CMR-SubheadingChar">
    <w:name w:val="CMR - Subheading Char"/>
    <w:basedOn w:val="CMR-HeadingChar"/>
    <w:link w:val="CMR-Subheading"/>
    <w:rsid w:val="002C03CF"/>
    <w:rPr>
      <w:rFonts w:ascii="Times New Roman" w:hAnsi="Times New Roman"/>
      <w:b/>
      <w:bCs w:val="0"/>
      <w:kern w:val="0"/>
      <w:sz w:val="24"/>
      <w:szCs w:val="28"/>
      <w14:ligatures w14:val="none"/>
    </w:rPr>
  </w:style>
  <w:style w:type="character" w:customStyle="1" w:styleId="CMR2023-footnoteChar">
    <w:name w:val="CMR 2023 - footnote Char"/>
    <w:basedOn w:val="FootnoteTextChar"/>
    <w:link w:val="CMR2023-footnote"/>
    <w:rsid w:val="00491954"/>
    <w:rPr>
      <w:rFonts w:ascii="Times New Roman" w:hAnsi="Times New Roman"/>
      <w:kern w:val="0"/>
      <w:sz w:val="20"/>
      <w:szCs w:val="20"/>
      <w14:ligatures w14:val="none"/>
    </w:rPr>
  </w:style>
  <w:style w:type="paragraph" w:styleId="NormalWeb">
    <w:name w:val="Normal (Web)"/>
    <w:basedOn w:val="Normal"/>
    <w:uiPriority w:val="99"/>
    <w:semiHidden/>
    <w:unhideWhenUsed/>
    <w:rsid w:val="00ED25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83C03"/>
    <w:rPr>
      <w:i/>
      <w:iCs/>
    </w:rPr>
  </w:style>
  <w:style w:type="character" w:customStyle="1" w:styleId="Marker">
    <w:name w:val="Marker"/>
    <w:basedOn w:val="DefaultParagraphFont"/>
    <w:rsid w:val="0062235E"/>
    <w:rPr>
      <w:color w:val="0000FF"/>
      <w:shd w:val="clear" w:color="auto" w:fill="auto"/>
    </w:rPr>
  </w:style>
  <w:style w:type="paragraph" w:customStyle="1" w:styleId="Pagedecouverture">
    <w:name w:val="Page de couverture"/>
    <w:basedOn w:val="Normal"/>
    <w:next w:val="Normal"/>
    <w:link w:val="PagedecouvertureChar"/>
    <w:rsid w:val="00126559"/>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12655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126559"/>
    <w:rPr>
      <w:rFonts w:ascii="Times New Roman" w:hAnsi="Times New Roman" w:cs="Times New Roman"/>
      <w:kern w:val="0"/>
      <w:sz w:val="24"/>
      <w14:ligatures w14:val="none"/>
    </w:rPr>
  </w:style>
  <w:style w:type="character" w:customStyle="1" w:styleId="FooterCoverPageChar">
    <w:name w:val="Footer Cover Page Char"/>
    <w:basedOn w:val="PagedecouvertureChar"/>
    <w:link w:val="FooterCoverPage"/>
    <w:rsid w:val="00126559"/>
    <w:rPr>
      <w:rFonts w:ascii="Times New Roman" w:hAnsi="Times New Roman" w:cs="Times New Roman"/>
      <w:kern w:val="0"/>
      <w:sz w:val="24"/>
      <w14:ligatures w14:val="none"/>
    </w:rPr>
  </w:style>
  <w:style w:type="paragraph" w:customStyle="1" w:styleId="FooterSensitivity">
    <w:name w:val="Footer Sensitivity"/>
    <w:basedOn w:val="Normal"/>
    <w:link w:val="FooterSensitivityChar"/>
    <w:rsid w:val="0012655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126559"/>
    <w:rPr>
      <w:rFonts w:ascii="Times New Roman" w:hAnsi="Times New Roman" w:cs="Times New Roman"/>
      <w:b/>
      <w:kern w:val="0"/>
      <w:sz w:val="32"/>
      <w14:ligatures w14:val="none"/>
    </w:rPr>
  </w:style>
  <w:style w:type="paragraph" w:customStyle="1" w:styleId="HeaderCoverPage">
    <w:name w:val="Header Cover Page"/>
    <w:basedOn w:val="Normal"/>
    <w:link w:val="HeaderCoverPageChar"/>
    <w:rsid w:val="0012655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126559"/>
    <w:rPr>
      <w:rFonts w:ascii="Times New Roman" w:hAnsi="Times New Roman" w:cs="Times New Roman"/>
      <w:kern w:val="0"/>
      <w:sz w:val="24"/>
      <w14:ligatures w14:val="none"/>
    </w:rPr>
  </w:style>
  <w:style w:type="paragraph" w:customStyle="1" w:styleId="HeaderSensitivity">
    <w:name w:val="Header Sensitivity"/>
    <w:basedOn w:val="Normal"/>
    <w:link w:val="HeaderSensitivityChar"/>
    <w:rsid w:val="0012655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126559"/>
    <w:rPr>
      <w:rFonts w:ascii="Times New Roman" w:hAnsi="Times New Roman" w:cs="Times New Roman"/>
      <w:b/>
      <w:kern w:val="0"/>
      <w:sz w:val="32"/>
      <w14:ligatures w14:val="none"/>
    </w:rPr>
  </w:style>
  <w:style w:type="paragraph" w:customStyle="1" w:styleId="HeaderSensitivityRight">
    <w:name w:val="Header Sensitivity Right"/>
    <w:basedOn w:val="Normal"/>
    <w:link w:val="HeaderSensitivityRightChar"/>
    <w:rsid w:val="0012655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126559"/>
    <w:rPr>
      <w:rFonts w:ascii="Times New Roman" w:hAnsi="Times New Roman" w:cs="Times New Roman"/>
      <w:kern w:val="0"/>
      <w:sz w:val="28"/>
      <w14:ligatures w14:val="none"/>
    </w:rPr>
  </w:style>
  <w:style w:type="character" w:customStyle="1" w:styleId="Heading1Char">
    <w:name w:val="Heading 1 Char"/>
    <w:basedOn w:val="DefaultParagraphFont"/>
    <w:link w:val="Heading1"/>
    <w:uiPriority w:val="9"/>
    <w:rsid w:val="00406BD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06BDB"/>
    <w:pPr>
      <w:outlineLvl w:val="9"/>
    </w:pPr>
    <w:rPr>
      <w:kern w:val="0"/>
      <w14:ligatures w14:val="none"/>
    </w:rPr>
  </w:style>
  <w:style w:type="paragraph" w:styleId="TOC1">
    <w:name w:val="toc 1"/>
    <w:basedOn w:val="Normal"/>
    <w:next w:val="Normal"/>
    <w:autoRedefine/>
    <w:uiPriority w:val="39"/>
    <w:unhideWhenUsed/>
    <w:rsid w:val="00406BDB"/>
    <w:pPr>
      <w:spacing w:after="100"/>
    </w:pPr>
  </w:style>
  <w:style w:type="paragraph" w:styleId="TOC2">
    <w:name w:val="toc 2"/>
    <w:basedOn w:val="Normal"/>
    <w:next w:val="Normal"/>
    <w:autoRedefine/>
    <w:uiPriority w:val="39"/>
    <w:unhideWhenUsed/>
    <w:rsid w:val="00B27AEF"/>
    <w:pPr>
      <w:spacing w:after="100"/>
      <w:ind w:left="220"/>
    </w:pPr>
    <w:rPr>
      <w:rFonts w:eastAsiaTheme="minorEastAsia" w:cs="Times New Roman"/>
      <w:kern w:val="0"/>
      <w14:ligatures w14:val="none"/>
    </w:rPr>
  </w:style>
  <w:style w:type="paragraph" w:styleId="TOC3">
    <w:name w:val="toc 3"/>
    <w:basedOn w:val="Normal"/>
    <w:next w:val="Normal"/>
    <w:autoRedefine/>
    <w:uiPriority w:val="39"/>
    <w:unhideWhenUsed/>
    <w:rsid w:val="00B27AEF"/>
    <w:pPr>
      <w:spacing w:after="100"/>
      <w:ind w:left="440"/>
    </w:pPr>
    <w:rPr>
      <w:rFonts w:eastAsiaTheme="minorEastAsia" w:cs="Times New Roman"/>
      <w:kern w:val="0"/>
      <w14:ligatures w14:val="none"/>
    </w:rPr>
  </w:style>
  <w:style w:type="table" w:styleId="PlainTable5">
    <w:name w:val="Plain Table 5"/>
    <w:basedOn w:val="TableNormal"/>
    <w:uiPriority w:val="45"/>
    <w:rsid w:val="00C347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itle">
    <w:name w:val="Title"/>
    <w:basedOn w:val="Normal"/>
    <w:next w:val="Normal"/>
    <w:link w:val="TitleChar"/>
    <w:uiPriority w:val="10"/>
    <w:qFormat/>
    <w:rsid w:val="00E10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9D2"/>
    <w:rPr>
      <w:rFonts w:asciiTheme="majorHAnsi" w:eastAsiaTheme="majorEastAsia" w:hAnsiTheme="majorHAnsi" w:cstheme="majorBidi"/>
      <w:spacing w:val="-10"/>
      <w:kern w:val="28"/>
      <w:sz w:val="56"/>
      <w:szCs w:val="56"/>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2A2563"/>
    <w:pPr>
      <w:spacing w:before="120" w:line="240" w:lineRule="exact"/>
    </w:pPr>
    <w:rPr>
      <w:vertAlign w:val="superscript"/>
    </w:rPr>
  </w:style>
  <w:style w:type="character" w:customStyle="1" w:styleId="cf01">
    <w:name w:val="cf01"/>
    <w:basedOn w:val="DefaultParagraphFont"/>
    <w:rsid w:val="003B405D"/>
    <w:rPr>
      <w:rFonts w:ascii="Segoe UI" w:hAnsi="Segoe UI" w:cs="Segoe UI" w:hint="default"/>
      <w:sz w:val="18"/>
      <w:szCs w:val="18"/>
    </w:rPr>
  </w:style>
  <w:style w:type="paragraph" w:customStyle="1" w:styleId="CMR-SubHead2">
    <w:name w:val="CMR - SubHead2"/>
    <w:basedOn w:val="CMR-Subheading"/>
    <w:link w:val="CMR-SubHead2Char"/>
    <w:qFormat/>
    <w:rsid w:val="00650354"/>
    <w:pPr>
      <w:numPr>
        <w:ilvl w:val="2"/>
      </w:numPr>
      <w:outlineLvl w:val="2"/>
    </w:pPr>
  </w:style>
  <w:style w:type="character" w:customStyle="1" w:styleId="CMR-SubHead2Char">
    <w:name w:val="CMR - SubHead2 Char"/>
    <w:basedOn w:val="CMR-SubheadingChar"/>
    <w:link w:val="CMR-SubHead2"/>
    <w:rsid w:val="0051590D"/>
    <w:rPr>
      <w:rFonts w:ascii="Times New Roman" w:hAnsi="Times New Roman"/>
      <w:b/>
      <w:bCs w:val="0"/>
      <w:kern w:val="0"/>
      <w:sz w:val="24"/>
      <w:szCs w:val="28"/>
      <w:lang w:val="it-IT"/>
      <w14:ligatures w14:val="none"/>
    </w:rPr>
  </w:style>
  <w:style w:type="paragraph" w:styleId="EndnoteText">
    <w:name w:val="endnote text"/>
    <w:basedOn w:val="Normal"/>
    <w:link w:val="EndnoteTextChar"/>
    <w:uiPriority w:val="99"/>
    <w:semiHidden/>
    <w:unhideWhenUsed/>
    <w:rsid w:val="00E318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1847"/>
    <w:rPr>
      <w:sz w:val="20"/>
      <w:szCs w:val="20"/>
    </w:rPr>
  </w:style>
  <w:style w:type="character" w:styleId="EndnoteReference">
    <w:name w:val="endnote reference"/>
    <w:basedOn w:val="DefaultParagraphFont"/>
    <w:uiPriority w:val="99"/>
    <w:semiHidden/>
    <w:unhideWhenUsed/>
    <w:rsid w:val="00E31847"/>
    <w:rPr>
      <w:vertAlign w:val="superscript"/>
    </w:rPr>
  </w:style>
  <w:style w:type="paragraph" w:customStyle="1" w:styleId="Languesfaisantfoi">
    <w:name w:val="Langues faisant foi"/>
    <w:basedOn w:val="Normal"/>
    <w:next w:val="Normal"/>
    <w:rsid w:val="00231AB4"/>
    <w:pPr>
      <w:spacing w:before="360" w:after="240" w:line="240" w:lineRule="auto"/>
      <w:jc w:val="center"/>
    </w:pPr>
    <w:rPr>
      <w:rFonts w:ascii="Times New Roman" w:hAnsi="Times New Roman" w:cs="Times New Roman"/>
      <w:kern w:val="0"/>
      <w:sz w:val="24"/>
      <w14:ligatures w14:val="none"/>
    </w:rPr>
  </w:style>
  <w:style w:type="paragraph" w:customStyle="1" w:styleId="LanguesfaisantfoiPagedecouverture">
    <w:name w:val="Langues faisant foi (Page de couverture)"/>
    <w:basedOn w:val="Normal"/>
    <w:next w:val="Normal"/>
    <w:rsid w:val="00231AB4"/>
    <w:pPr>
      <w:spacing w:before="360" w:after="240" w:line="240" w:lineRule="auto"/>
      <w:jc w:val="center"/>
    </w:pPr>
    <w:rPr>
      <w:rFonts w:ascii="Times New Roman" w:hAnsi="Times New Roman" w:cs="Times New Roman"/>
      <w:kern w:val="0"/>
      <w:sz w:val="24"/>
      <w14:ligatures w14:val="none"/>
    </w:rPr>
  </w:style>
  <w:style w:type="paragraph" w:customStyle="1" w:styleId="IntrtEEE">
    <w:name w:val="Intérêt EEE"/>
    <w:basedOn w:val="Languesfaisantfoi"/>
    <w:next w:val="Normal"/>
    <w:rsid w:val="00231AB4"/>
    <w:pPr>
      <w:spacing w:after="0"/>
    </w:pPr>
  </w:style>
  <w:style w:type="paragraph" w:customStyle="1" w:styleId="IntrtEEEPagedecouverture">
    <w:name w:val="Intérêt EEE (Page de couverture)"/>
    <w:basedOn w:val="IntrtEEE"/>
    <w:next w:val="Normal"/>
    <w:rsid w:val="00231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1829">
      <w:bodyDiv w:val="1"/>
      <w:marLeft w:val="0"/>
      <w:marRight w:val="0"/>
      <w:marTop w:val="0"/>
      <w:marBottom w:val="0"/>
      <w:divBdr>
        <w:top w:val="none" w:sz="0" w:space="0" w:color="auto"/>
        <w:left w:val="none" w:sz="0" w:space="0" w:color="auto"/>
        <w:bottom w:val="none" w:sz="0" w:space="0" w:color="auto"/>
        <w:right w:val="none" w:sz="0" w:space="0" w:color="auto"/>
      </w:divBdr>
      <w:divsChild>
        <w:div w:id="736783134">
          <w:marLeft w:val="0"/>
          <w:marRight w:val="0"/>
          <w:marTop w:val="0"/>
          <w:marBottom w:val="0"/>
          <w:divBdr>
            <w:top w:val="none" w:sz="0" w:space="0" w:color="auto"/>
            <w:left w:val="none" w:sz="0" w:space="0" w:color="auto"/>
            <w:bottom w:val="none" w:sz="0" w:space="0" w:color="auto"/>
            <w:right w:val="none" w:sz="0" w:space="0" w:color="auto"/>
          </w:divBdr>
        </w:div>
        <w:div w:id="1669404031">
          <w:marLeft w:val="0"/>
          <w:marRight w:val="0"/>
          <w:marTop w:val="0"/>
          <w:marBottom w:val="0"/>
          <w:divBdr>
            <w:top w:val="none" w:sz="0" w:space="0" w:color="auto"/>
            <w:left w:val="none" w:sz="0" w:space="0" w:color="auto"/>
            <w:bottom w:val="none" w:sz="0" w:space="0" w:color="auto"/>
            <w:right w:val="none" w:sz="0" w:space="0" w:color="auto"/>
          </w:divBdr>
        </w:div>
      </w:divsChild>
    </w:div>
    <w:div w:id="115415389">
      <w:bodyDiv w:val="1"/>
      <w:marLeft w:val="0"/>
      <w:marRight w:val="0"/>
      <w:marTop w:val="0"/>
      <w:marBottom w:val="0"/>
      <w:divBdr>
        <w:top w:val="none" w:sz="0" w:space="0" w:color="auto"/>
        <w:left w:val="none" w:sz="0" w:space="0" w:color="auto"/>
        <w:bottom w:val="none" w:sz="0" w:space="0" w:color="auto"/>
        <w:right w:val="none" w:sz="0" w:space="0" w:color="auto"/>
      </w:divBdr>
    </w:div>
    <w:div w:id="274676492">
      <w:bodyDiv w:val="1"/>
      <w:marLeft w:val="0"/>
      <w:marRight w:val="0"/>
      <w:marTop w:val="0"/>
      <w:marBottom w:val="0"/>
      <w:divBdr>
        <w:top w:val="none" w:sz="0" w:space="0" w:color="auto"/>
        <w:left w:val="none" w:sz="0" w:space="0" w:color="auto"/>
        <w:bottom w:val="none" w:sz="0" w:space="0" w:color="auto"/>
        <w:right w:val="none" w:sz="0" w:space="0" w:color="auto"/>
      </w:divBdr>
      <w:divsChild>
        <w:div w:id="417797469">
          <w:marLeft w:val="0"/>
          <w:marRight w:val="0"/>
          <w:marTop w:val="0"/>
          <w:marBottom w:val="0"/>
          <w:divBdr>
            <w:top w:val="none" w:sz="0" w:space="0" w:color="auto"/>
            <w:left w:val="none" w:sz="0" w:space="0" w:color="auto"/>
            <w:bottom w:val="none" w:sz="0" w:space="0" w:color="auto"/>
            <w:right w:val="none" w:sz="0" w:space="0" w:color="auto"/>
          </w:divBdr>
        </w:div>
        <w:div w:id="515776413">
          <w:marLeft w:val="0"/>
          <w:marRight w:val="0"/>
          <w:marTop w:val="0"/>
          <w:marBottom w:val="0"/>
          <w:divBdr>
            <w:top w:val="none" w:sz="0" w:space="0" w:color="auto"/>
            <w:left w:val="none" w:sz="0" w:space="0" w:color="auto"/>
            <w:bottom w:val="none" w:sz="0" w:space="0" w:color="auto"/>
            <w:right w:val="none" w:sz="0" w:space="0" w:color="auto"/>
          </w:divBdr>
        </w:div>
        <w:div w:id="1103458579">
          <w:marLeft w:val="0"/>
          <w:marRight w:val="0"/>
          <w:marTop w:val="0"/>
          <w:marBottom w:val="0"/>
          <w:divBdr>
            <w:top w:val="none" w:sz="0" w:space="0" w:color="auto"/>
            <w:left w:val="none" w:sz="0" w:space="0" w:color="auto"/>
            <w:bottom w:val="none" w:sz="0" w:space="0" w:color="auto"/>
            <w:right w:val="none" w:sz="0" w:space="0" w:color="auto"/>
          </w:divBdr>
        </w:div>
        <w:div w:id="1323509186">
          <w:marLeft w:val="0"/>
          <w:marRight w:val="0"/>
          <w:marTop w:val="0"/>
          <w:marBottom w:val="0"/>
          <w:divBdr>
            <w:top w:val="none" w:sz="0" w:space="0" w:color="auto"/>
            <w:left w:val="none" w:sz="0" w:space="0" w:color="auto"/>
            <w:bottom w:val="none" w:sz="0" w:space="0" w:color="auto"/>
            <w:right w:val="none" w:sz="0" w:space="0" w:color="auto"/>
          </w:divBdr>
        </w:div>
        <w:div w:id="1348560958">
          <w:marLeft w:val="0"/>
          <w:marRight w:val="0"/>
          <w:marTop w:val="0"/>
          <w:marBottom w:val="0"/>
          <w:divBdr>
            <w:top w:val="none" w:sz="0" w:space="0" w:color="auto"/>
            <w:left w:val="none" w:sz="0" w:space="0" w:color="auto"/>
            <w:bottom w:val="none" w:sz="0" w:space="0" w:color="auto"/>
            <w:right w:val="none" w:sz="0" w:space="0" w:color="auto"/>
          </w:divBdr>
        </w:div>
      </w:divsChild>
    </w:div>
    <w:div w:id="283193345">
      <w:bodyDiv w:val="1"/>
      <w:marLeft w:val="0"/>
      <w:marRight w:val="0"/>
      <w:marTop w:val="0"/>
      <w:marBottom w:val="0"/>
      <w:divBdr>
        <w:top w:val="none" w:sz="0" w:space="0" w:color="auto"/>
        <w:left w:val="none" w:sz="0" w:space="0" w:color="auto"/>
        <w:bottom w:val="none" w:sz="0" w:space="0" w:color="auto"/>
        <w:right w:val="none" w:sz="0" w:space="0" w:color="auto"/>
      </w:divBdr>
    </w:div>
    <w:div w:id="371003773">
      <w:bodyDiv w:val="1"/>
      <w:marLeft w:val="0"/>
      <w:marRight w:val="0"/>
      <w:marTop w:val="0"/>
      <w:marBottom w:val="0"/>
      <w:divBdr>
        <w:top w:val="none" w:sz="0" w:space="0" w:color="auto"/>
        <w:left w:val="none" w:sz="0" w:space="0" w:color="auto"/>
        <w:bottom w:val="none" w:sz="0" w:space="0" w:color="auto"/>
        <w:right w:val="none" w:sz="0" w:space="0" w:color="auto"/>
      </w:divBdr>
    </w:div>
    <w:div w:id="398360013">
      <w:bodyDiv w:val="1"/>
      <w:marLeft w:val="0"/>
      <w:marRight w:val="0"/>
      <w:marTop w:val="0"/>
      <w:marBottom w:val="0"/>
      <w:divBdr>
        <w:top w:val="none" w:sz="0" w:space="0" w:color="auto"/>
        <w:left w:val="none" w:sz="0" w:space="0" w:color="auto"/>
        <w:bottom w:val="none" w:sz="0" w:space="0" w:color="auto"/>
        <w:right w:val="none" w:sz="0" w:space="0" w:color="auto"/>
      </w:divBdr>
    </w:div>
    <w:div w:id="399055945">
      <w:bodyDiv w:val="1"/>
      <w:marLeft w:val="0"/>
      <w:marRight w:val="0"/>
      <w:marTop w:val="0"/>
      <w:marBottom w:val="0"/>
      <w:divBdr>
        <w:top w:val="none" w:sz="0" w:space="0" w:color="auto"/>
        <w:left w:val="none" w:sz="0" w:space="0" w:color="auto"/>
        <w:bottom w:val="none" w:sz="0" w:space="0" w:color="auto"/>
        <w:right w:val="none" w:sz="0" w:space="0" w:color="auto"/>
      </w:divBdr>
    </w:div>
    <w:div w:id="510484525">
      <w:bodyDiv w:val="1"/>
      <w:marLeft w:val="0"/>
      <w:marRight w:val="0"/>
      <w:marTop w:val="0"/>
      <w:marBottom w:val="0"/>
      <w:divBdr>
        <w:top w:val="none" w:sz="0" w:space="0" w:color="auto"/>
        <w:left w:val="none" w:sz="0" w:space="0" w:color="auto"/>
        <w:bottom w:val="none" w:sz="0" w:space="0" w:color="auto"/>
        <w:right w:val="none" w:sz="0" w:space="0" w:color="auto"/>
      </w:divBdr>
      <w:divsChild>
        <w:div w:id="98377421">
          <w:marLeft w:val="0"/>
          <w:marRight w:val="0"/>
          <w:marTop w:val="0"/>
          <w:marBottom w:val="0"/>
          <w:divBdr>
            <w:top w:val="none" w:sz="0" w:space="0" w:color="auto"/>
            <w:left w:val="none" w:sz="0" w:space="0" w:color="auto"/>
            <w:bottom w:val="none" w:sz="0" w:space="0" w:color="auto"/>
            <w:right w:val="none" w:sz="0" w:space="0" w:color="auto"/>
          </w:divBdr>
        </w:div>
        <w:div w:id="499008999">
          <w:marLeft w:val="0"/>
          <w:marRight w:val="0"/>
          <w:marTop w:val="0"/>
          <w:marBottom w:val="0"/>
          <w:divBdr>
            <w:top w:val="none" w:sz="0" w:space="0" w:color="auto"/>
            <w:left w:val="none" w:sz="0" w:space="0" w:color="auto"/>
            <w:bottom w:val="none" w:sz="0" w:space="0" w:color="auto"/>
            <w:right w:val="none" w:sz="0" w:space="0" w:color="auto"/>
          </w:divBdr>
        </w:div>
        <w:div w:id="705183939">
          <w:marLeft w:val="0"/>
          <w:marRight w:val="0"/>
          <w:marTop w:val="0"/>
          <w:marBottom w:val="0"/>
          <w:divBdr>
            <w:top w:val="none" w:sz="0" w:space="0" w:color="auto"/>
            <w:left w:val="none" w:sz="0" w:space="0" w:color="auto"/>
            <w:bottom w:val="none" w:sz="0" w:space="0" w:color="auto"/>
            <w:right w:val="none" w:sz="0" w:space="0" w:color="auto"/>
          </w:divBdr>
        </w:div>
        <w:div w:id="798574968">
          <w:marLeft w:val="0"/>
          <w:marRight w:val="0"/>
          <w:marTop w:val="0"/>
          <w:marBottom w:val="0"/>
          <w:divBdr>
            <w:top w:val="none" w:sz="0" w:space="0" w:color="auto"/>
            <w:left w:val="none" w:sz="0" w:space="0" w:color="auto"/>
            <w:bottom w:val="none" w:sz="0" w:space="0" w:color="auto"/>
            <w:right w:val="none" w:sz="0" w:space="0" w:color="auto"/>
          </w:divBdr>
        </w:div>
        <w:div w:id="1508978879">
          <w:marLeft w:val="0"/>
          <w:marRight w:val="0"/>
          <w:marTop w:val="0"/>
          <w:marBottom w:val="0"/>
          <w:divBdr>
            <w:top w:val="none" w:sz="0" w:space="0" w:color="auto"/>
            <w:left w:val="none" w:sz="0" w:space="0" w:color="auto"/>
            <w:bottom w:val="none" w:sz="0" w:space="0" w:color="auto"/>
            <w:right w:val="none" w:sz="0" w:space="0" w:color="auto"/>
          </w:divBdr>
        </w:div>
      </w:divsChild>
    </w:div>
    <w:div w:id="530263460">
      <w:bodyDiv w:val="1"/>
      <w:marLeft w:val="0"/>
      <w:marRight w:val="0"/>
      <w:marTop w:val="0"/>
      <w:marBottom w:val="0"/>
      <w:divBdr>
        <w:top w:val="none" w:sz="0" w:space="0" w:color="auto"/>
        <w:left w:val="none" w:sz="0" w:space="0" w:color="auto"/>
        <w:bottom w:val="none" w:sz="0" w:space="0" w:color="auto"/>
        <w:right w:val="none" w:sz="0" w:space="0" w:color="auto"/>
      </w:divBdr>
    </w:div>
    <w:div w:id="554854085">
      <w:bodyDiv w:val="1"/>
      <w:marLeft w:val="0"/>
      <w:marRight w:val="0"/>
      <w:marTop w:val="0"/>
      <w:marBottom w:val="0"/>
      <w:divBdr>
        <w:top w:val="none" w:sz="0" w:space="0" w:color="auto"/>
        <w:left w:val="none" w:sz="0" w:space="0" w:color="auto"/>
        <w:bottom w:val="none" w:sz="0" w:space="0" w:color="auto"/>
        <w:right w:val="none" w:sz="0" w:space="0" w:color="auto"/>
      </w:divBdr>
    </w:div>
    <w:div w:id="581257060">
      <w:bodyDiv w:val="1"/>
      <w:marLeft w:val="0"/>
      <w:marRight w:val="0"/>
      <w:marTop w:val="0"/>
      <w:marBottom w:val="0"/>
      <w:divBdr>
        <w:top w:val="none" w:sz="0" w:space="0" w:color="auto"/>
        <w:left w:val="none" w:sz="0" w:space="0" w:color="auto"/>
        <w:bottom w:val="none" w:sz="0" w:space="0" w:color="auto"/>
        <w:right w:val="none" w:sz="0" w:space="0" w:color="auto"/>
      </w:divBdr>
    </w:div>
    <w:div w:id="605771508">
      <w:bodyDiv w:val="1"/>
      <w:marLeft w:val="0"/>
      <w:marRight w:val="0"/>
      <w:marTop w:val="0"/>
      <w:marBottom w:val="0"/>
      <w:divBdr>
        <w:top w:val="none" w:sz="0" w:space="0" w:color="auto"/>
        <w:left w:val="none" w:sz="0" w:space="0" w:color="auto"/>
        <w:bottom w:val="none" w:sz="0" w:space="0" w:color="auto"/>
        <w:right w:val="none" w:sz="0" w:space="0" w:color="auto"/>
      </w:divBdr>
    </w:div>
    <w:div w:id="645401886">
      <w:bodyDiv w:val="1"/>
      <w:marLeft w:val="0"/>
      <w:marRight w:val="0"/>
      <w:marTop w:val="0"/>
      <w:marBottom w:val="0"/>
      <w:divBdr>
        <w:top w:val="none" w:sz="0" w:space="0" w:color="auto"/>
        <w:left w:val="none" w:sz="0" w:space="0" w:color="auto"/>
        <w:bottom w:val="none" w:sz="0" w:space="0" w:color="auto"/>
        <w:right w:val="none" w:sz="0" w:space="0" w:color="auto"/>
      </w:divBdr>
    </w:div>
    <w:div w:id="653797067">
      <w:bodyDiv w:val="1"/>
      <w:marLeft w:val="0"/>
      <w:marRight w:val="0"/>
      <w:marTop w:val="0"/>
      <w:marBottom w:val="0"/>
      <w:divBdr>
        <w:top w:val="none" w:sz="0" w:space="0" w:color="auto"/>
        <w:left w:val="none" w:sz="0" w:space="0" w:color="auto"/>
        <w:bottom w:val="none" w:sz="0" w:space="0" w:color="auto"/>
        <w:right w:val="none" w:sz="0" w:space="0" w:color="auto"/>
      </w:divBdr>
    </w:div>
    <w:div w:id="727919996">
      <w:bodyDiv w:val="1"/>
      <w:marLeft w:val="0"/>
      <w:marRight w:val="0"/>
      <w:marTop w:val="0"/>
      <w:marBottom w:val="0"/>
      <w:divBdr>
        <w:top w:val="none" w:sz="0" w:space="0" w:color="auto"/>
        <w:left w:val="none" w:sz="0" w:space="0" w:color="auto"/>
        <w:bottom w:val="none" w:sz="0" w:space="0" w:color="auto"/>
        <w:right w:val="none" w:sz="0" w:space="0" w:color="auto"/>
      </w:divBdr>
    </w:div>
    <w:div w:id="748842238">
      <w:bodyDiv w:val="1"/>
      <w:marLeft w:val="0"/>
      <w:marRight w:val="0"/>
      <w:marTop w:val="0"/>
      <w:marBottom w:val="0"/>
      <w:divBdr>
        <w:top w:val="none" w:sz="0" w:space="0" w:color="auto"/>
        <w:left w:val="none" w:sz="0" w:space="0" w:color="auto"/>
        <w:bottom w:val="none" w:sz="0" w:space="0" w:color="auto"/>
        <w:right w:val="none" w:sz="0" w:space="0" w:color="auto"/>
      </w:divBdr>
      <w:divsChild>
        <w:div w:id="78017491">
          <w:marLeft w:val="0"/>
          <w:marRight w:val="0"/>
          <w:marTop w:val="0"/>
          <w:marBottom w:val="0"/>
          <w:divBdr>
            <w:top w:val="none" w:sz="0" w:space="0" w:color="auto"/>
            <w:left w:val="none" w:sz="0" w:space="0" w:color="auto"/>
            <w:bottom w:val="none" w:sz="0" w:space="0" w:color="auto"/>
            <w:right w:val="none" w:sz="0" w:space="0" w:color="auto"/>
          </w:divBdr>
        </w:div>
        <w:div w:id="163402252">
          <w:marLeft w:val="0"/>
          <w:marRight w:val="0"/>
          <w:marTop w:val="0"/>
          <w:marBottom w:val="0"/>
          <w:divBdr>
            <w:top w:val="none" w:sz="0" w:space="0" w:color="auto"/>
            <w:left w:val="none" w:sz="0" w:space="0" w:color="auto"/>
            <w:bottom w:val="none" w:sz="0" w:space="0" w:color="auto"/>
            <w:right w:val="none" w:sz="0" w:space="0" w:color="auto"/>
          </w:divBdr>
        </w:div>
        <w:div w:id="543559319">
          <w:marLeft w:val="0"/>
          <w:marRight w:val="0"/>
          <w:marTop w:val="0"/>
          <w:marBottom w:val="0"/>
          <w:divBdr>
            <w:top w:val="none" w:sz="0" w:space="0" w:color="auto"/>
            <w:left w:val="none" w:sz="0" w:space="0" w:color="auto"/>
            <w:bottom w:val="none" w:sz="0" w:space="0" w:color="auto"/>
            <w:right w:val="none" w:sz="0" w:space="0" w:color="auto"/>
          </w:divBdr>
        </w:div>
        <w:div w:id="837113167">
          <w:marLeft w:val="0"/>
          <w:marRight w:val="0"/>
          <w:marTop w:val="0"/>
          <w:marBottom w:val="0"/>
          <w:divBdr>
            <w:top w:val="none" w:sz="0" w:space="0" w:color="auto"/>
            <w:left w:val="none" w:sz="0" w:space="0" w:color="auto"/>
            <w:bottom w:val="none" w:sz="0" w:space="0" w:color="auto"/>
            <w:right w:val="none" w:sz="0" w:space="0" w:color="auto"/>
          </w:divBdr>
        </w:div>
        <w:div w:id="1231767023">
          <w:marLeft w:val="0"/>
          <w:marRight w:val="0"/>
          <w:marTop w:val="0"/>
          <w:marBottom w:val="0"/>
          <w:divBdr>
            <w:top w:val="none" w:sz="0" w:space="0" w:color="auto"/>
            <w:left w:val="none" w:sz="0" w:space="0" w:color="auto"/>
            <w:bottom w:val="none" w:sz="0" w:space="0" w:color="auto"/>
            <w:right w:val="none" w:sz="0" w:space="0" w:color="auto"/>
          </w:divBdr>
        </w:div>
        <w:div w:id="1815097325">
          <w:marLeft w:val="0"/>
          <w:marRight w:val="0"/>
          <w:marTop w:val="0"/>
          <w:marBottom w:val="0"/>
          <w:divBdr>
            <w:top w:val="none" w:sz="0" w:space="0" w:color="auto"/>
            <w:left w:val="none" w:sz="0" w:space="0" w:color="auto"/>
            <w:bottom w:val="none" w:sz="0" w:space="0" w:color="auto"/>
            <w:right w:val="none" w:sz="0" w:space="0" w:color="auto"/>
          </w:divBdr>
        </w:div>
        <w:div w:id="2018726127">
          <w:marLeft w:val="0"/>
          <w:marRight w:val="0"/>
          <w:marTop w:val="0"/>
          <w:marBottom w:val="0"/>
          <w:divBdr>
            <w:top w:val="none" w:sz="0" w:space="0" w:color="auto"/>
            <w:left w:val="none" w:sz="0" w:space="0" w:color="auto"/>
            <w:bottom w:val="none" w:sz="0" w:space="0" w:color="auto"/>
            <w:right w:val="none" w:sz="0" w:space="0" w:color="auto"/>
          </w:divBdr>
          <w:divsChild>
            <w:div w:id="1886671077">
              <w:marLeft w:val="-75"/>
              <w:marRight w:val="0"/>
              <w:marTop w:val="30"/>
              <w:marBottom w:val="30"/>
              <w:divBdr>
                <w:top w:val="none" w:sz="0" w:space="0" w:color="auto"/>
                <w:left w:val="none" w:sz="0" w:space="0" w:color="auto"/>
                <w:bottom w:val="none" w:sz="0" w:space="0" w:color="auto"/>
                <w:right w:val="none" w:sz="0" w:space="0" w:color="auto"/>
              </w:divBdr>
              <w:divsChild>
                <w:div w:id="41638978">
                  <w:marLeft w:val="0"/>
                  <w:marRight w:val="0"/>
                  <w:marTop w:val="0"/>
                  <w:marBottom w:val="0"/>
                  <w:divBdr>
                    <w:top w:val="none" w:sz="0" w:space="0" w:color="auto"/>
                    <w:left w:val="none" w:sz="0" w:space="0" w:color="auto"/>
                    <w:bottom w:val="none" w:sz="0" w:space="0" w:color="auto"/>
                    <w:right w:val="none" w:sz="0" w:space="0" w:color="auto"/>
                  </w:divBdr>
                  <w:divsChild>
                    <w:div w:id="58942845">
                      <w:marLeft w:val="0"/>
                      <w:marRight w:val="0"/>
                      <w:marTop w:val="0"/>
                      <w:marBottom w:val="0"/>
                      <w:divBdr>
                        <w:top w:val="none" w:sz="0" w:space="0" w:color="auto"/>
                        <w:left w:val="none" w:sz="0" w:space="0" w:color="auto"/>
                        <w:bottom w:val="none" w:sz="0" w:space="0" w:color="auto"/>
                        <w:right w:val="none" w:sz="0" w:space="0" w:color="auto"/>
                      </w:divBdr>
                    </w:div>
                  </w:divsChild>
                </w:div>
                <w:div w:id="42826865">
                  <w:marLeft w:val="0"/>
                  <w:marRight w:val="0"/>
                  <w:marTop w:val="0"/>
                  <w:marBottom w:val="0"/>
                  <w:divBdr>
                    <w:top w:val="none" w:sz="0" w:space="0" w:color="auto"/>
                    <w:left w:val="none" w:sz="0" w:space="0" w:color="auto"/>
                    <w:bottom w:val="none" w:sz="0" w:space="0" w:color="auto"/>
                    <w:right w:val="none" w:sz="0" w:space="0" w:color="auto"/>
                  </w:divBdr>
                  <w:divsChild>
                    <w:div w:id="531920360">
                      <w:marLeft w:val="0"/>
                      <w:marRight w:val="0"/>
                      <w:marTop w:val="0"/>
                      <w:marBottom w:val="0"/>
                      <w:divBdr>
                        <w:top w:val="none" w:sz="0" w:space="0" w:color="auto"/>
                        <w:left w:val="none" w:sz="0" w:space="0" w:color="auto"/>
                        <w:bottom w:val="none" w:sz="0" w:space="0" w:color="auto"/>
                        <w:right w:val="none" w:sz="0" w:space="0" w:color="auto"/>
                      </w:divBdr>
                    </w:div>
                  </w:divsChild>
                </w:div>
                <w:div w:id="79721314">
                  <w:marLeft w:val="0"/>
                  <w:marRight w:val="0"/>
                  <w:marTop w:val="0"/>
                  <w:marBottom w:val="0"/>
                  <w:divBdr>
                    <w:top w:val="none" w:sz="0" w:space="0" w:color="auto"/>
                    <w:left w:val="none" w:sz="0" w:space="0" w:color="auto"/>
                    <w:bottom w:val="none" w:sz="0" w:space="0" w:color="auto"/>
                    <w:right w:val="none" w:sz="0" w:space="0" w:color="auto"/>
                  </w:divBdr>
                  <w:divsChild>
                    <w:div w:id="1864397105">
                      <w:marLeft w:val="0"/>
                      <w:marRight w:val="0"/>
                      <w:marTop w:val="0"/>
                      <w:marBottom w:val="0"/>
                      <w:divBdr>
                        <w:top w:val="none" w:sz="0" w:space="0" w:color="auto"/>
                        <w:left w:val="none" w:sz="0" w:space="0" w:color="auto"/>
                        <w:bottom w:val="none" w:sz="0" w:space="0" w:color="auto"/>
                        <w:right w:val="none" w:sz="0" w:space="0" w:color="auto"/>
                      </w:divBdr>
                    </w:div>
                  </w:divsChild>
                </w:div>
                <w:div w:id="84697061">
                  <w:marLeft w:val="0"/>
                  <w:marRight w:val="0"/>
                  <w:marTop w:val="0"/>
                  <w:marBottom w:val="0"/>
                  <w:divBdr>
                    <w:top w:val="none" w:sz="0" w:space="0" w:color="auto"/>
                    <w:left w:val="none" w:sz="0" w:space="0" w:color="auto"/>
                    <w:bottom w:val="none" w:sz="0" w:space="0" w:color="auto"/>
                    <w:right w:val="none" w:sz="0" w:space="0" w:color="auto"/>
                  </w:divBdr>
                  <w:divsChild>
                    <w:div w:id="614949274">
                      <w:marLeft w:val="0"/>
                      <w:marRight w:val="0"/>
                      <w:marTop w:val="0"/>
                      <w:marBottom w:val="0"/>
                      <w:divBdr>
                        <w:top w:val="none" w:sz="0" w:space="0" w:color="auto"/>
                        <w:left w:val="none" w:sz="0" w:space="0" w:color="auto"/>
                        <w:bottom w:val="none" w:sz="0" w:space="0" w:color="auto"/>
                        <w:right w:val="none" w:sz="0" w:space="0" w:color="auto"/>
                      </w:divBdr>
                    </w:div>
                  </w:divsChild>
                </w:div>
                <w:div w:id="111560257">
                  <w:marLeft w:val="0"/>
                  <w:marRight w:val="0"/>
                  <w:marTop w:val="0"/>
                  <w:marBottom w:val="0"/>
                  <w:divBdr>
                    <w:top w:val="none" w:sz="0" w:space="0" w:color="auto"/>
                    <w:left w:val="none" w:sz="0" w:space="0" w:color="auto"/>
                    <w:bottom w:val="none" w:sz="0" w:space="0" w:color="auto"/>
                    <w:right w:val="none" w:sz="0" w:space="0" w:color="auto"/>
                  </w:divBdr>
                  <w:divsChild>
                    <w:div w:id="514803670">
                      <w:marLeft w:val="0"/>
                      <w:marRight w:val="0"/>
                      <w:marTop w:val="0"/>
                      <w:marBottom w:val="0"/>
                      <w:divBdr>
                        <w:top w:val="none" w:sz="0" w:space="0" w:color="auto"/>
                        <w:left w:val="none" w:sz="0" w:space="0" w:color="auto"/>
                        <w:bottom w:val="none" w:sz="0" w:space="0" w:color="auto"/>
                        <w:right w:val="none" w:sz="0" w:space="0" w:color="auto"/>
                      </w:divBdr>
                    </w:div>
                  </w:divsChild>
                </w:div>
                <w:div w:id="118306166">
                  <w:marLeft w:val="0"/>
                  <w:marRight w:val="0"/>
                  <w:marTop w:val="0"/>
                  <w:marBottom w:val="0"/>
                  <w:divBdr>
                    <w:top w:val="none" w:sz="0" w:space="0" w:color="auto"/>
                    <w:left w:val="none" w:sz="0" w:space="0" w:color="auto"/>
                    <w:bottom w:val="none" w:sz="0" w:space="0" w:color="auto"/>
                    <w:right w:val="none" w:sz="0" w:space="0" w:color="auto"/>
                  </w:divBdr>
                  <w:divsChild>
                    <w:div w:id="1454715771">
                      <w:marLeft w:val="0"/>
                      <w:marRight w:val="0"/>
                      <w:marTop w:val="0"/>
                      <w:marBottom w:val="0"/>
                      <w:divBdr>
                        <w:top w:val="none" w:sz="0" w:space="0" w:color="auto"/>
                        <w:left w:val="none" w:sz="0" w:space="0" w:color="auto"/>
                        <w:bottom w:val="none" w:sz="0" w:space="0" w:color="auto"/>
                        <w:right w:val="none" w:sz="0" w:space="0" w:color="auto"/>
                      </w:divBdr>
                    </w:div>
                  </w:divsChild>
                </w:div>
                <w:div w:id="122044330">
                  <w:marLeft w:val="0"/>
                  <w:marRight w:val="0"/>
                  <w:marTop w:val="0"/>
                  <w:marBottom w:val="0"/>
                  <w:divBdr>
                    <w:top w:val="none" w:sz="0" w:space="0" w:color="auto"/>
                    <w:left w:val="none" w:sz="0" w:space="0" w:color="auto"/>
                    <w:bottom w:val="none" w:sz="0" w:space="0" w:color="auto"/>
                    <w:right w:val="none" w:sz="0" w:space="0" w:color="auto"/>
                  </w:divBdr>
                  <w:divsChild>
                    <w:div w:id="1358002031">
                      <w:marLeft w:val="0"/>
                      <w:marRight w:val="0"/>
                      <w:marTop w:val="0"/>
                      <w:marBottom w:val="0"/>
                      <w:divBdr>
                        <w:top w:val="none" w:sz="0" w:space="0" w:color="auto"/>
                        <w:left w:val="none" w:sz="0" w:space="0" w:color="auto"/>
                        <w:bottom w:val="none" w:sz="0" w:space="0" w:color="auto"/>
                        <w:right w:val="none" w:sz="0" w:space="0" w:color="auto"/>
                      </w:divBdr>
                    </w:div>
                  </w:divsChild>
                </w:div>
                <w:div w:id="146825791">
                  <w:marLeft w:val="0"/>
                  <w:marRight w:val="0"/>
                  <w:marTop w:val="0"/>
                  <w:marBottom w:val="0"/>
                  <w:divBdr>
                    <w:top w:val="none" w:sz="0" w:space="0" w:color="auto"/>
                    <w:left w:val="none" w:sz="0" w:space="0" w:color="auto"/>
                    <w:bottom w:val="none" w:sz="0" w:space="0" w:color="auto"/>
                    <w:right w:val="none" w:sz="0" w:space="0" w:color="auto"/>
                  </w:divBdr>
                  <w:divsChild>
                    <w:div w:id="318651330">
                      <w:marLeft w:val="0"/>
                      <w:marRight w:val="0"/>
                      <w:marTop w:val="0"/>
                      <w:marBottom w:val="0"/>
                      <w:divBdr>
                        <w:top w:val="none" w:sz="0" w:space="0" w:color="auto"/>
                        <w:left w:val="none" w:sz="0" w:space="0" w:color="auto"/>
                        <w:bottom w:val="none" w:sz="0" w:space="0" w:color="auto"/>
                        <w:right w:val="none" w:sz="0" w:space="0" w:color="auto"/>
                      </w:divBdr>
                    </w:div>
                  </w:divsChild>
                </w:div>
                <w:div w:id="178474927">
                  <w:marLeft w:val="0"/>
                  <w:marRight w:val="0"/>
                  <w:marTop w:val="0"/>
                  <w:marBottom w:val="0"/>
                  <w:divBdr>
                    <w:top w:val="none" w:sz="0" w:space="0" w:color="auto"/>
                    <w:left w:val="none" w:sz="0" w:space="0" w:color="auto"/>
                    <w:bottom w:val="none" w:sz="0" w:space="0" w:color="auto"/>
                    <w:right w:val="none" w:sz="0" w:space="0" w:color="auto"/>
                  </w:divBdr>
                  <w:divsChild>
                    <w:div w:id="1619483144">
                      <w:marLeft w:val="0"/>
                      <w:marRight w:val="0"/>
                      <w:marTop w:val="0"/>
                      <w:marBottom w:val="0"/>
                      <w:divBdr>
                        <w:top w:val="none" w:sz="0" w:space="0" w:color="auto"/>
                        <w:left w:val="none" w:sz="0" w:space="0" w:color="auto"/>
                        <w:bottom w:val="none" w:sz="0" w:space="0" w:color="auto"/>
                        <w:right w:val="none" w:sz="0" w:space="0" w:color="auto"/>
                      </w:divBdr>
                    </w:div>
                  </w:divsChild>
                </w:div>
                <w:div w:id="227959234">
                  <w:marLeft w:val="0"/>
                  <w:marRight w:val="0"/>
                  <w:marTop w:val="0"/>
                  <w:marBottom w:val="0"/>
                  <w:divBdr>
                    <w:top w:val="none" w:sz="0" w:space="0" w:color="auto"/>
                    <w:left w:val="none" w:sz="0" w:space="0" w:color="auto"/>
                    <w:bottom w:val="none" w:sz="0" w:space="0" w:color="auto"/>
                    <w:right w:val="none" w:sz="0" w:space="0" w:color="auto"/>
                  </w:divBdr>
                  <w:divsChild>
                    <w:div w:id="298147743">
                      <w:marLeft w:val="0"/>
                      <w:marRight w:val="0"/>
                      <w:marTop w:val="0"/>
                      <w:marBottom w:val="0"/>
                      <w:divBdr>
                        <w:top w:val="none" w:sz="0" w:space="0" w:color="auto"/>
                        <w:left w:val="none" w:sz="0" w:space="0" w:color="auto"/>
                        <w:bottom w:val="none" w:sz="0" w:space="0" w:color="auto"/>
                        <w:right w:val="none" w:sz="0" w:space="0" w:color="auto"/>
                      </w:divBdr>
                    </w:div>
                  </w:divsChild>
                </w:div>
                <w:div w:id="243272233">
                  <w:marLeft w:val="0"/>
                  <w:marRight w:val="0"/>
                  <w:marTop w:val="0"/>
                  <w:marBottom w:val="0"/>
                  <w:divBdr>
                    <w:top w:val="none" w:sz="0" w:space="0" w:color="auto"/>
                    <w:left w:val="none" w:sz="0" w:space="0" w:color="auto"/>
                    <w:bottom w:val="none" w:sz="0" w:space="0" w:color="auto"/>
                    <w:right w:val="none" w:sz="0" w:space="0" w:color="auto"/>
                  </w:divBdr>
                  <w:divsChild>
                    <w:div w:id="1481573693">
                      <w:marLeft w:val="0"/>
                      <w:marRight w:val="0"/>
                      <w:marTop w:val="0"/>
                      <w:marBottom w:val="0"/>
                      <w:divBdr>
                        <w:top w:val="none" w:sz="0" w:space="0" w:color="auto"/>
                        <w:left w:val="none" w:sz="0" w:space="0" w:color="auto"/>
                        <w:bottom w:val="none" w:sz="0" w:space="0" w:color="auto"/>
                        <w:right w:val="none" w:sz="0" w:space="0" w:color="auto"/>
                      </w:divBdr>
                    </w:div>
                  </w:divsChild>
                </w:div>
                <w:div w:id="249126795">
                  <w:marLeft w:val="0"/>
                  <w:marRight w:val="0"/>
                  <w:marTop w:val="0"/>
                  <w:marBottom w:val="0"/>
                  <w:divBdr>
                    <w:top w:val="none" w:sz="0" w:space="0" w:color="auto"/>
                    <w:left w:val="none" w:sz="0" w:space="0" w:color="auto"/>
                    <w:bottom w:val="none" w:sz="0" w:space="0" w:color="auto"/>
                    <w:right w:val="none" w:sz="0" w:space="0" w:color="auto"/>
                  </w:divBdr>
                  <w:divsChild>
                    <w:div w:id="753819598">
                      <w:marLeft w:val="0"/>
                      <w:marRight w:val="0"/>
                      <w:marTop w:val="0"/>
                      <w:marBottom w:val="0"/>
                      <w:divBdr>
                        <w:top w:val="none" w:sz="0" w:space="0" w:color="auto"/>
                        <w:left w:val="none" w:sz="0" w:space="0" w:color="auto"/>
                        <w:bottom w:val="none" w:sz="0" w:space="0" w:color="auto"/>
                        <w:right w:val="none" w:sz="0" w:space="0" w:color="auto"/>
                      </w:divBdr>
                    </w:div>
                  </w:divsChild>
                </w:div>
                <w:div w:id="272249885">
                  <w:marLeft w:val="0"/>
                  <w:marRight w:val="0"/>
                  <w:marTop w:val="0"/>
                  <w:marBottom w:val="0"/>
                  <w:divBdr>
                    <w:top w:val="none" w:sz="0" w:space="0" w:color="auto"/>
                    <w:left w:val="none" w:sz="0" w:space="0" w:color="auto"/>
                    <w:bottom w:val="none" w:sz="0" w:space="0" w:color="auto"/>
                    <w:right w:val="none" w:sz="0" w:space="0" w:color="auto"/>
                  </w:divBdr>
                  <w:divsChild>
                    <w:div w:id="465199551">
                      <w:marLeft w:val="0"/>
                      <w:marRight w:val="0"/>
                      <w:marTop w:val="0"/>
                      <w:marBottom w:val="0"/>
                      <w:divBdr>
                        <w:top w:val="none" w:sz="0" w:space="0" w:color="auto"/>
                        <w:left w:val="none" w:sz="0" w:space="0" w:color="auto"/>
                        <w:bottom w:val="none" w:sz="0" w:space="0" w:color="auto"/>
                        <w:right w:val="none" w:sz="0" w:space="0" w:color="auto"/>
                      </w:divBdr>
                    </w:div>
                  </w:divsChild>
                </w:div>
                <w:div w:id="280113322">
                  <w:marLeft w:val="0"/>
                  <w:marRight w:val="0"/>
                  <w:marTop w:val="0"/>
                  <w:marBottom w:val="0"/>
                  <w:divBdr>
                    <w:top w:val="none" w:sz="0" w:space="0" w:color="auto"/>
                    <w:left w:val="none" w:sz="0" w:space="0" w:color="auto"/>
                    <w:bottom w:val="none" w:sz="0" w:space="0" w:color="auto"/>
                    <w:right w:val="none" w:sz="0" w:space="0" w:color="auto"/>
                  </w:divBdr>
                  <w:divsChild>
                    <w:div w:id="1682513135">
                      <w:marLeft w:val="0"/>
                      <w:marRight w:val="0"/>
                      <w:marTop w:val="0"/>
                      <w:marBottom w:val="0"/>
                      <w:divBdr>
                        <w:top w:val="none" w:sz="0" w:space="0" w:color="auto"/>
                        <w:left w:val="none" w:sz="0" w:space="0" w:color="auto"/>
                        <w:bottom w:val="none" w:sz="0" w:space="0" w:color="auto"/>
                        <w:right w:val="none" w:sz="0" w:space="0" w:color="auto"/>
                      </w:divBdr>
                    </w:div>
                  </w:divsChild>
                </w:div>
                <w:div w:id="382146540">
                  <w:marLeft w:val="0"/>
                  <w:marRight w:val="0"/>
                  <w:marTop w:val="0"/>
                  <w:marBottom w:val="0"/>
                  <w:divBdr>
                    <w:top w:val="none" w:sz="0" w:space="0" w:color="auto"/>
                    <w:left w:val="none" w:sz="0" w:space="0" w:color="auto"/>
                    <w:bottom w:val="none" w:sz="0" w:space="0" w:color="auto"/>
                    <w:right w:val="none" w:sz="0" w:space="0" w:color="auto"/>
                  </w:divBdr>
                  <w:divsChild>
                    <w:div w:id="1558010753">
                      <w:marLeft w:val="0"/>
                      <w:marRight w:val="0"/>
                      <w:marTop w:val="0"/>
                      <w:marBottom w:val="0"/>
                      <w:divBdr>
                        <w:top w:val="none" w:sz="0" w:space="0" w:color="auto"/>
                        <w:left w:val="none" w:sz="0" w:space="0" w:color="auto"/>
                        <w:bottom w:val="none" w:sz="0" w:space="0" w:color="auto"/>
                        <w:right w:val="none" w:sz="0" w:space="0" w:color="auto"/>
                      </w:divBdr>
                    </w:div>
                  </w:divsChild>
                </w:div>
                <w:div w:id="411124519">
                  <w:marLeft w:val="0"/>
                  <w:marRight w:val="0"/>
                  <w:marTop w:val="0"/>
                  <w:marBottom w:val="0"/>
                  <w:divBdr>
                    <w:top w:val="none" w:sz="0" w:space="0" w:color="auto"/>
                    <w:left w:val="none" w:sz="0" w:space="0" w:color="auto"/>
                    <w:bottom w:val="none" w:sz="0" w:space="0" w:color="auto"/>
                    <w:right w:val="none" w:sz="0" w:space="0" w:color="auto"/>
                  </w:divBdr>
                  <w:divsChild>
                    <w:div w:id="939070419">
                      <w:marLeft w:val="0"/>
                      <w:marRight w:val="0"/>
                      <w:marTop w:val="0"/>
                      <w:marBottom w:val="0"/>
                      <w:divBdr>
                        <w:top w:val="none" w:sz="0" w:space="0" w:color="auto"/>
                        <w:left w:val="none" w:sz="0" w:space="0" w:color="auto"/>
                        <w:bottom w:val="none" w:sz="0" w:space="0" w:color="auto"/>
                        <w:right w:val="none" w:sz="0" w:space="0" w:color="auto"/>
                      </w:divBdr>
                    </w:div>
                  </w:divsChild>
                </w:div>
                <w:div w:id="430974616">
                  <w:marLeft w:val="0"/>
                  <w:marRight w:val="0"/>
                  <w:marTop w:val="0"/>
                  <w:marBottom w:val="0"/>
                  <w:divBdr>
                    <w:top w:val="none" w:sz="0" w:space="0" w:color="auto"/>
                    <w:left w:val="none" w:sz="0" w:space="0" w:color="auto"/>
                    <w:bottom w:val="none" w:sz="0" w:space="0" w:color="auto"/>
                    <w:right w:val="none" w:sz="0" w:space="0" w:color="auto"/>
                  </w:divBdr>
                  <w:divsChild>
                    <w:div w:id="353655348">
                      <w:marLeft w:val="0"/>
                      <w:marRight w:val="0"/>
                      <w:marTop w:val="0"/>
                      <w:marBottom w:val="0"/>
                      <w:divBdr>
                        <w:top w:val="none" w:sz="0" w:space="0" w:color="auto"/>
                        <w:left w:val="none" w:sz="0" w:space="0" w:color="auto"/>
                        <w:bottom w:val="none" w:sz="0" w:space="0" w:color="auto"/>
                        <w:right w:val="none" w:sz="0" w:space="0" w:color="auto"/>
                      </w:divBdr>
                    </w:div>
                  </w:divsChild>
                </w:div>
                <w:div w:id="470365357">
                  <w:marLeft w:val="0"/>
                  <w:marRight w:val="0"/>
                  <w:marTop w:val="0"/>
                  <w:marBottom w:val="0"/>
                  <w:divBdr>
                    <w:top w:val="none" w:sz="0" w:space="0" w:color="auto"/>
                    <w:left w:val="none" w:sz="0" w:space="0" w:color="auto"/>
                    <w:bottom w:val="none" w:sz="0" w:space="0" w:color="auto"/>
                    <w:right w:val="none" w:sz="0" w:space="0" w:color="auto"/>
                  </w:divBdr>
                  <w:divsChild>
                    <w:div w:id="1988313984">
                      <w:marLeft w:val="0"/>
                      <w:marRight w:val="0"/>
                      <w:marTop w:val="0"/>
                      <w:marBottom w:val="0"/>
                      <w:divBdr>
                        <w:top w:val="none" w:sz="0" w:space="0" w:color="auto"/>
                        <w:left w:val="none" w:sz="0" w:space="0" w:color="auto"/>
                        <w:bottom w:val="none" w:sz="0" w:space="0" w:color="auto"/>
                        <w:right w:val="none" w:sz="0" w:space="0" w:color="auto"/>
                      </w:divBdr>
                    </w:div>
                  </w:divsChild>
                </w:div>
                <w:div w:id="470903078">
                  <w:marLeft w:val="0"/>
                  <w:marRight w:val="0"/>
                  <w:marTop w:val="0"/>
                  <w:marBottom w:val="0"/>
                  <w:divBdr>
                    <w:top w:val="none" w:sz="0" w:space="0" w:color="auto"/>
                    <w:left w:val="none" w:sz="0" w:space="0" w:color="auto"/>
                    <w:bottom w:val="none" w:sz="0" w:space="0" w:color="auto"/>
                    <w:right w:val="none" w:sz="0" w:space="0" w:color="auto"/>
                  </w:divBdr>
                  <w:divsChild>
                    <w:div w:id="256603038">
                      <w:marLeft w:val="0"/>
                      <w:marRight w:val="0"/>
                      <w:marTop w:val="0"/>
                      <w:marBottom w:val="0"/>
                      <w:divBdr>
                        <w:top w:val="none" w:sz="0" w:space="0" w:color="auto"/>
                        <w:left w:val="none" w:sz="0" w:space="0" w:color="auto"/>
                        <w:bottom w:val="none" w:sz="0" w:space="0" w:color="auto"/>
                        <w:right w:val="none" w:sz="0" w:space="0" w:color="auto"/>
                      </w:divBdr>
                    </w:div>
                  </w:divsChild>
                </w:div>
                <w:div w:id="571936533">
                  <w:marLeft w:val="0"/>
                  <w:marRight w:val="0"/>
                  <w:marTop w:val="0"/>
                  <w:marBottom w:val="0"/>
                  <w:divBdr>
                    <w:top w:val="none" w:sz="0" w:space="0" w:color="auto"/>
                    <w:left w:val="none" w:sz="0" w:space="0" w:color="auto"/>
                    <w:bottom w:val="none" w:sz="0" w:space="0" w:color="auto"/>
                    <w:right w:val="none" w:sz="0" w:space="0" w:color="auto"/>
                  </w:divBdr>
                  <w:divsChild>
                    <w:div w:id="536309635">
                      <w:marLeft w:val="0"/>
                      <w:marRight w:val="0"/>
                      <w:marTop w:val="0"/>
                      <w:marBottom w:val="0"/>
                      <w:divBdr>
                        <w:top w:val="none" w:sz="0" w:space="0" w:color="auto"/>
                        <w:left w:val="none" w:sz="0" w:space="0" w:color="auto"/>
                        <w:bottom w:val="none" w:sz="0" w:space="0" w:color="auto"/>
                        <w:right w:val="none" w:sz="0" w:space="0" w:color="auto"/>
                      </w:divBdr>
                    </w:div>
                  </w:divsChild>
                </w:div>
                <w:div w:id="590161181">
                  <w:marLeft w:val="0"/>
                  <w:marRight w:val="0"/>
                  <w:marTop w:val="0"/>
                  <w:marBottom w:val="0"/>
                  <w:divBdr>
                    <w:top w:val="none" w:sz="0" w:space="0" w:color="auto"/>
                    <w:left w:val="none" w:sz="0" w:space="0" w:color="auto"/>
                    <w:bottom w:val="none" w:sz="0" w:space="0" w:color="auto"/>
                    <w:right w:val="none" w:sz="0" w:space="0" w:color="auto"/>
                  </w:divBdr>
                  <w:divsChild>
                    <w:div w:id="2081948326">
                      <w:marLeft w:val="0"/>
                      <w:marRight w:val="0"/>
                      <w:marTop w:val="0"/>
                      <w:marBottom w:val="0"/>
                      <w:divBdr>
                        <w:top w:val="none" w:sz="0" w:space="0" w:color="auto"/>
                        <w:left w:val="none" w:sz="0" w:space="0" w:color="auto"/>
                        <w:bottom w:val="none" w:sz="0" w:space="0" w:color="auto"/>
                        <w:right w:val="none" w:sz="0" w:space="0" w:color="auto"/>
                      </w:divBdr>
                    </w:div>
                  </w:divsChild>
                </w:div>
                <w:div w:id="617833525">
                  <w:marLeft w:val="0"/>
                  <w:marRight w:val="0"/>
                  <w:marTop w:val="0"/>
                  <w:marBottom w:val="0"/>
                  <w:divBdr>
                    <w:top w:val="none" w:sz="0" w:space="0" w:color="auto"/>
                    <w:left w:val="none" w:sz="0" w:space="0" w:color="auto"/>
                    <w:bottom w:val="none" w:sz="0" w:space="0" w:color="auto"/>
                    <w:right w:val="none" w:sz="0" w:space="0" w:color="auto"/>
                  </w:divBdr>
                  <w:divsChild>
                    <w:div w:id="589850852">
                      <w:marLeft w:val="0"/>
                      <w:marRight w:val="0"/>
                      <w:marTop w:val="0"/>
                      <w:marBottom w:val="0"/>
                      <w:divBdr>
                        <w:top w:val="none" w:sz="0" w:space="0" w:color="auto"/>
                        <w:left w:val="none" w:sz="0" w:space="0" w:color="auto"/>
                        <w:bottom w:val="none" w:sz="0" w:space="0" w:color="auto"/>
                        <w:right w:val="none" w:sz="0" w:space="0" w:color="auto"/>
                      </w:divBdr>
                    </w:div>
                  </w:divsChild>
                </w:div>
                <w:div w:id="632835360">
                  <w:marLeft w:val="0"/>
                  <w:marRight w:val="0"/>
                  <w:marTop w:val="0"/>
                  <w:marBottom w:val="0"/>
                  <w:divBdr>
                    <w:top w:val="none" w:sz="0" w:space="0" w:color="auto"/>
                    <w:left w:val="none" w:sz="0" w:space="0" w:color="auto"/>
                    <w:bottom w:val="none" w:sz="0" w:space="0" w:color="auto"/>
                    <w:right w:val="none" w:sz="0" w:space="0" w:color="auto"/>
                  </w:divBdr>
                  <w:divsChild>
                    <w:div w:id="659818594">
                      <w:marLeft w:val="0"/>
                      <w:marRight w:val="0"/>
                      <w:marTop w:val="0"/>
                      <w:marBottom w:val="0"/>
                      <w:divBdr>
                        <w:top w:val="none" w:sz="0" w:space="0" w:color="auto"/>
                        <w:left w:val="none" w:sz="0" w:space="0" w:color="auto"/>
                        <w:bottom w:val="none" w:sz="0" w:space="0" w:color="auto"/>
                        <w:right w:val="none" w:sz="0" w:space="0" w:color="auto"/>
                      </w:divBdr>
                    </w:div>
                  </w:divsChild>
                </w:div>
                <w:div w:id="640310653">
                  <w:marLeft w:val="0"/>
                  <w:marRight w:val="0"/>
                  <w:marTop w:val="0"/>
                  <w:marBottom w:val="0"/>
                  <w:divBdr>
                    <w:top w:val="none" w:sz="0" w:space="0" w:color="auto"/>
                    <w:left w:val="none" w:sz="0" w:space="0" w:color="auto"/>
                    <w:bottom w:val="none" w:sz="0" w:space="0" w:color="auto"/>
                    <w:right w:val="none" w:sz="0" w:space="0" w:color="auto"/>
                  </w:divBdr>
                  <w:divsChild>
                    <w:div w:id="261257829">
                      <w:marLeft w:val="0"/>
                      <w:marRight w:val="0"/>
                      <w:marTop w:val="0"/>
                      <w:marBottom w:val="0"/>
                      <w:divBdr>
                        <w:top w:val="none" w:sz="0" w:space="0" w:color="auto"/>
                        <w:left w:val="none" w:sz="0" w:space="0" w:color="auto"/>
                        <w:bottom w:val="none" w:sz="0" w:space="0" w:color="auto"/>
                        <w:right w:val="none" w:sz="0" w:space="0" w:color="auto"/>
                      </w:divBdr>
                    </w:div>
                  </w:divsChild>
                </w:div>
                <w:div w:id="641079438">
                  <w:marLeft w:val="0"/>
                  <w:marRight w:val="0"/>
                  <w:marTop w:val="0"/>
                  <w:marBottom w:val="0"/>
                  <w:divBdr>
                    <w:top w:val="none" w:sz="0" w:space="0" w:color="auto"/>
                    <w:left w:val="none" w:sz="0" w:space="0" w:color="auto"/>
                    <w:bottom w:val="none" w:sz="0" w:space="0" w:color="auto"/>
                    <w:right w:val="none" w:sz="0" w:space="0" w:color="auto"/>
                  </w:divBdr>
                  <w:divsChild>
                    <w:div w:id="1124538938">
                      <w:marLeft w:val="0"/>
                      <w:marRight w:val="0"/>
                      <w:marTop w:val="0"/>
                      <w:marBottom w:val="0"/>
                      <w:divBdr>
                        <w:top w:val="none" w:sz="0" w:space="0" w:color="auto"/>
                        <w:left w:val="none" w:sz="0" w:space="0" w:color="auto"/>
                        <w:bottom w:val="none" w:sz="0" w:space="0" w:color="auto"/>
                        <w:right w:val="none" w:sz="0" w:space="0" w:color="auto"/>
                      </w:divBdr>
                    </w:div>
                  </w:divsChild>
                </w:div>
                <w:div w:id="661616587">
                  <w:marLeft w:val="0"/>
                  <w:marRight w:val="0"/>
                  <w:marTop w:val="0"/>
                  <w:marBottom w:val="0"/>
                  <w:divBdr>
                    <w:top w:val="none" w:sz="0" w:space="0" w:color="auto"/>
                    <w:left w:val="none" w:sz="0" w:space="0" w:color="auto"/>
                    <w:bottom w:val="none" w:sz="0" w:space="0" w:color="auto"/>
                    <w:right w:val="none" w:sz="0" w:space="0" w:color="auto"/>
                  </w:divBdr>
                  <w:divsChild>
                    <w:div w:id="1705640174">
                      <w:marLeft w:val="0"/>
                      <w:marRight w:val="0"/>
                      <w:marTop w:val="0"/>
                      <w:marBottom w:val="0"/>
                      <w:divBdr>
                        <w:top w:val="none" w:sz="0" w:space="0" w:color="auto"/>
                        <w:left w:val="none" w:sz="0" w:space="0" w:color="auto"/>
                        <w:bottom w:val="none" w:sz="0" w:space="0" w:color="auto"/>
                        <w:right w:val="none" w:sz="0" w:space="0" w:color="auto"/>
                      </w:divBdr>
                    </w:div>
                  </w:divsChild>
                </w:div>
                <w:div w:id="680666378">
                  <w:marLeft w:val="0"/>
                  <w:marRight w:val="0"/>
                  <w:marTop w:val="0"/>
                  <w:marBottom w:val="0"/>
                  <w:divBdr>
                    <w:top w:val="none" w:sz="0" w:space="0" w:color="auto"/>
                    <w:left w:val="none" w:sz="0" w:space="0" w:color="auto"/>
                    <w:bottom w:val="none" w:sz="0" w:space="0" w:color="auto"/>
                    <w:right w:val="none" w:sz="0" w:space="0" w:color="auto"/>
                  </w:divBdr>
                  <w:divsChild>
                    <w:div w:id="1641307037">
                      <w:marLeft w:val="0"/>
                      <w:marRight w:val="0"/>
                      <w:marTop w:val="0"/>
                      <w:marBottom w:val="0"/>
                      <w:divBdr>
                        <w:top w:val="none" w:sz="0" w:space="0" w:color="auto"/>
                        <w:left w:val="none" w:sz="0" w:space="0" w:color="auto"/>
                        <w:bottom w:val="none" w:sz="0" w:space="0" w:color="auto"/>
                        <w:right w:val="none" w:sz="0" w:space="0" w:color="auto"/>
                      </w:divBdr>
                    </w:div>
                  </w:divsChild>
                </w:div>
                <w:div w:id="695155239">
                  <w:marLeft w:val="0"/>
                  <w:marRight w:val="0"/>
                  <w:marTop w:val="0"/>
                  <w:marBottom w:val="0"/>
                  <w:divBdr>
                    <w:top w:val="none" w:sz="0" w:space="0" w:color="auto"/>
                    <w:left w:val="none" w:sz="0" w:space="0" w:color="auto"/>
                    <w:bottom w:val="none" w:sz="0" w:space="0" w:color="auto"/>
                    <w:right w:val="none" w:sz="0" w:space="0" w:color="auto"/>
                  </w:divBdr>
                  <w:divsChild>
                    <w:div w:id="929704170">
                      <w:marLeft w:val="0"/>
                      <w:marRight w:val="0"/>
                      <w:marTop w:val="0"/>
                      <w:marBottom w:val="0"/>
                      <w:divBdr>
                        <w:top w:val="none" w:sz="0" w:space="0" w:color="auto"/>
                        <w:left w:val="none" w:sz="0" w:space="0" w:color="auto"/>
                        <w:bottom w:val="none" w:sz="0" w:space="0" w:color="auto"/>
                        <w:right w:val="none" w:sz="0" w:space="0" w:color="auto"/>
                      </w:divBdr>
                    </w:div>
                  </w:divsChild>
                </w:div>
                <w:div w:id="708804592">
                  <w:marLeft w:val="0"/>
                  <w:marRight w:val="0"/>
                  <w:marTop w:val="0"/>
                  <w:marBottom w:val="0"/>
                  <w:divBdr>
                    <w:top w:val="none" w:sz="0" w:space="0" w:color="auto"/>
                    <w:left w:val="none" w:sz="0" w:space="0" w:color="auto"/>
                    <w:bottom w:val="none" w:sz="0" w:space="0" w:color="auto"/>
                    <w:right w:val="none" w:sz="0" w:space="0" w:color="auto"/>
                  </w:divBdr>
                  <w:divsChild>
                    <w:div w:id="1617718140">
                      <w:marLeft w:val="0"/>
                      <w:marRight w:val="0"/>
                      <w:marTop w:val="0"/>
                      <w:marBottom w:val="0"/>
                      <w:divBdr>
                        <w:top w:val="none" w:sz="0" w:space="0" w:color="auto"/>
                        <w:left w:val="none" w:sz="0" w:space="0" w:color="auto"/>
                        <w:bottom w:val="none" w:sz="0" w:space="0" w:color="auto"/>
                        <w:right w:val="none" w:sz="0" w:space="0" w:color="auto"/>
                      </w:divBdr>
                    </w:div>
                  </w:divsChild>
                </w:div>
                <w:div w:id="831674871">
                  <w:marLeft w:val="0"/>
                  <w:marRight w:val="0"/>
                  <w:marTop w:val="0"/>
                  <w:marBottom w:val="0"/>
                  <w:divBdr>
                    <w:top w:val="none" w:sz="0" w:space="0" w:color="auto"/>
                    <w:left w:val="none" w:sz="0" w:space="0" w:color="auto"/>
                    <w:bottom w:val="none" w:sz="0" w:space="0" w:color="auto"/>
                    <w:right w:val="none" w:sz="0" w:space="0" w:color="auto"/>
                  </w:divBdr>
                  <w:divsChild>
                    <w:div w:id="748692287">
                      <w:marLeft w:val="0"/>
                      <w:marRight w:val="0"/>
                      <w:marTop w:val="0"/>
                      <w:marBottom w:val="0"/>
                      <w:divBdr>
                        <w:top w:val="none" w:sz="0" w:space="0" w:color="auto"/>
                        <w:left w:val="none" w:sz="0" w:space="0" w:color="auto"/>
                        <w:bottom w:val="none" w:sz="0" w:space="0" w:color="auto"/>
                        <w:right w:val="none" w:sz="0" w:space="0" w:color="auto"/>
                      </w:divBdr>
                    </w:div>
                  </w:divsChild>
                </w:div>
                <w:div w:id="891311523">
                  <w:marLeft w:val="0"/>
                  <w:marRight w:val="0"/>
                  <w:marTop w:val="0"/>
                  <w:marBottom w:val="0"/>
                  <w:divBdr>
                    <w:top w:val="none" w:sz="0" w:space="0" w:color="auto"/>
                    <w:left w:val="none" w:sz="0" w:space="0" w:color="auto"/>
                    <w:bottom w:val="none" w:sz="0" w:space="0" w:color="auto"/>
                    <w:right w:val="none" w:sz="0" w:space="0" w:color="auto"/>
                  </w:divBdr>
                  <w:divsChild>
                    <w:div w:id="675232617">
                      <w:marLeft w:val="0"/>
                      <w:marRight w:val="0"/>
                      <w:marTop w:val="0"/>
                      <w:marBottom w:val="0"/>
                      <w:divBdr>
                        <w:top w:val="none" w:sz="0" w:space="0" w:color="auto"/>
                        <w:left w:val="none" w:sz="0" w:space="0" w:color="auto"/>
                        <w:bottom w:val="none" w:sz="0" w:space="0" w:color="auto"/>
                        <w:right w:val="none" w:sz="0" w:space="0" w:color="auto"/>
                      </w:divBdr>
                    </w:div>
                  </w:divsChild>
                </w:div>
                <w:div w:id="940643880">
                  <w:marLeft w:val="0"/>
                  <w:marRight w:val="0"/>
                  <w:marTop w:val="0"/>
                  <w:marBottom w:val="0"/>
                  <w:divBdr>
                    <w:top w:val="none" w:sz="0" w:space="0" w:color="auto"/>
                    <w:left w:val="none" w:sz="0" w:space="0" w:color="auto"/>
                    <w:bottom w:val="none" w:sz="0" w:space="0" w:color="auto"/>
                    <w:right w:val="none" w:sz="0" w:space="0" w:color="auto"/>
                  </w:divBdr>
                  <w:divsChild>
                    <w:div w:id="494608968">
                      <w:marLeft w:val="0"/>
                      <w:marRight w:val="0"/>
                      <w:marTop w:val="0"/>
                      <w:marBottom w:val="0"/>
                      <w:divBdr>
                        <w:top w:val="none" w:sz="0" w:space="0" w:color="auto"/>
                        <w:left w:val="none" w:sz="0" w:space="0" w:color="auto"/>
                        <w:bottom w:val="none" w:sz="0" w:space="0" w:color="auto"/>
                        <w:right w:val="none" w:sz="0" w:space="0" w:color="auto"/>
                      </w:divBdr>
                    </w:div>
                  </w:divsChild>
                </w:div>
                <w:div w:id="946888593">
                  <w:marLeft w:val="0"/>
                  <w:marRight w:val="0"/>
                  <w:marTop w:val="0"/>
                  <w:marBottom w:val="0"/>
                  <w:divBdr>
                    <w:top w:val="none" w:sz="0" w:space="0" w:color="auto"/>
                    <w:left w:val="none" w:sz="0" w:space="0" w:color="auto"/>
                    <w:bottom w:val="none" w:sz="0" w:space="0" w:color="auto"/>
                    <w:right w:val="none" w:sz="0" w:space="0" w:color="auto"/>
                  </w:divBdr>
                  <w:divsChild>
                    <w:div w:id="745415360">
                      <w:marLeft w:val="0"/>
                      <w:marRight w:val="0"/>
                      <w:marTop w:val="0"/>
                      <w:marBottom w:val="0"/>
                      <w:divBdr>
                        <w:top w:val="none" w:sz="0" w:space="0" w:color="auto"/>
                        <w:left w:val="none" w:sz="0" w:space="0" w:color="auto"/>
                        <w:bottom w:val="none" w:sz="0" w:space="0" w:color="auto"/>
                        <w:right w:val="none" w:sz="0" w:space="0" w:color="auto"/>
                      </w:divBdr>
                    </w:div>
                  </w:divsChild>
                </w:div>
                <w:div w:id="973484588">
                  <w:marLeft w:val="0"/>
                  <w:marRight w:val="0"/>
                  <w:marTop w:val="0"/>
                  <w:marBottom w:val="0"/>
                  <w:divBdr>
                    <w:top w:val="none" w:sz="0" w:space="0" w:color="auto"/>
                    <w:left w:val="none" w:sz="0" w:space="0" w:color="auto"/>
                    <w:bottom w:val="none" w:sz="0" w:space="0" w:color="auto"/>
                    <w:right w:val="none" w:sz="0" w:space="0" w:color="auto"/>
                  </w:divBdr>
                  <w:divsChild>
                    <w:div w:id="960649921">
                      <w:marLeft w:val="0"/>
                      <w:marRight w:val="0"/>
                      <w:marTop w:val="0"/>
                      <w:marBottom w:val="0"/>
                      <w:divBdr>
                        <w:top w:val="none" w:sz="0" w:space="0" w:color="auto"/>
                        <w:left w:val="none" w:sz="0" w:space="0" w:color="auto"/>
                        <w:bottom w:val="none" w:sz="0" w:space="0" w:color="auto"/>
                        <w:right w:val="none" w:sz="0" w:space="0" w:color="auto"/>
                      </w:divBdr>
                    </w:div>
                  </w:divsChild>
                </w:div>
                <w:div w:id="975373240">
                  <w:marLeft w:val="0"/>
                  <w:marRight w:val="0"/>
                  <w:marTop w:val="0"/>
                  <w:marBottom w:val="0"/>
                  <w:divBdr>
                    <w:top w:val="none" w:sz="0" w:space="0" w:color="auto"/>
                    <w:left w:val="none" w:sz="0" w:space="0" w:color="auto"/>
                    <w:bottom w:val="none" w:sz="0" w:space="0" w:color="auto"/>
                    <w:right w:val="none" w:sz="0" w:space="0" w:color="auto"/>
                  </w:divBdr>
                  <w:divsChild>
                    <w:div w:id="1978102433">
                      <w:marLeft w:val="0"/>
                      <w:marRight w:val="0"/>
                      <w:marTop w:val="0"/>
                      <w:marBottom w:val="0"/>
                      <w:divBdr>
                        <w:top w:val="none" w:sz="0" w:space="0" w:color="auto"/>
                        <w:left w:val="none" w:sz="0" w:space="0" w:color="auto"/>
                        <w:bottom w:val="none" w:sz="0" w:space="0" w:color="auto"/>
                        <w:right w:val="none" w:sz="0" w:space="0" w:color="auto"/>
                      </w:divBdr>
                    </w:div>
                  </w:divsChild>
                </w:div>
                <w:div w:id="979385020">
                  <w:marLeft w:val="0"/>
                  <w:marRight w:val="0"/>
                  <w:marTop w:val="0"/>
                  <w:marBottom w:val="0"/>
                  <w:divBdr>
                    <w:top w:val="none" w:sz="0" w:space="0" w:color="auto"/>
                    <w:left w:val="none" w:sz="0" w:space="0" w:color="auto"/>
                    <w:bottom w:val="none" w:sz="0" w:space="0" w:color="auto"/>
                    <w:right w:val="none" w:sz="0" w:space="0" w:color="auto"/>
                  </w:divBdr>
                  <w:divsChild>
                    <w:div w:id="730469766">
                      <w:marLeft w:val="0"/>
                      <w:marRight w:val="0"/>
                      <w:marTop w:val="0"/>
                      <w:marBottom w:val="0"/>
                      <w:divBdr>
                        <w:top w:val="none" w:sz="0" w:space="0" w:color="auto"/>
                        <w:left w:val="none" w:sz="0" w:space="0" w:color="auto"/>
                        <w:bottom w:val="none" w:sz="0" w:space="0" w:color="auto"/>
                        <w:right w:val="none" w:sz="0" w:space="0" w:color="auto"/>
                      </w:divBdr>
                    </w:div>
                  </w:divsChild>
                </w:div>
                <w:div w:id="1067417522">
                  <w:marLeft w:val="0"/>
                  <w:marRight w:val="0"/>
                  <w:marTop w:val="0"/>
                  <w:marBottom w:val="0"/>
                  <w:divBdr>
                    <w:top w:val="none" w:sz="0" w:space="0" w:color="auto"/>
                    <w:left w:val="none" w:sz="0" w:space="0" w:color="auto"/>
                    <w:bottom w:val="none" w:sz="0" w:space="0" w:color="auto"/>
                    <w:right w:val="none" w:sz="0" w:space="0" w:color="auto"/>
                  </w:divBdr>
                  <w:divsChild>
                    <w:div w:id="2136672422">
                      <w:marLeft w:val="0"/>
                      <w:marRight w:val="0"/>
                      <w:marTop w:val="0"/>
                      <w:marBottom w:val="0"/>
                      <w:divBdr>
                        <w:top w:val="none" w:sz="0" w:space="0" w:color="auto"/>
                        <w:left w:val="none" w:sz="0" w:space="0" w:color="auto"/>
                        <w:bottom w:val="none" w:sz="0" w:space="0" w:color="auto"/>
                        <w:right w:val="none" w:sz="0" w:space="0" w:color="auto"/>
                      </w:divBdr>
                    </w:div>
                  </w:divsChild>
                </w:div>
                <w:div w:id="1136726271">
                  <w:marLeft w:val="0"/>
                  <w:marRight w:val="0"/>
                  <w:marTop w:val="0"/>
                  <w:marBottom w:val="0"/>
                  <w:divBdr>
                    <w:top w:val="none" w:sz="0" w:space="0" w:color="auto"/>
                    <w:left w:val="none" w:sz="0" w:space="0" w:color="auto"/>
                    <w:bottom w:val="none" w:sz="0" w:space="0" w:color="auto"/>
                    <w:right w:val="none" w:sz="0" w:space="0" w:color="auto"/>
                  </w:divBdr>
                  <w:divsChild>
                    <w:div w:id="1173838439">
                      <w:marLeft w:val="0"/>
                      <w:marRight w:val="0"/>
                      <w:marTop w:val="0"/>
                      <w:marBottom w:val="0"/>
                      <w:divBdr>
                        <w:top w:val="none" w:sz="0" w:space="0" w:color="auto"/>
                        <w:left w:val="none" w:sz="0" w:space="0" w:color="auto"/>
                        <w:bottom w:val="none" w:sz="0" w:space="0" w:color="auto"/>
                        <w:right w:val="none" w:sz="0" w:space="0" w:color="auto"/>
                      </w:divBdr>
                    </w:div>
                  </w:divsChild>
                </w:div>
                <w:div w:id="1170171879">
                  <w:marLeft w:val="0"/>
                  <w:marRight w:val="0"/>
                  <w:marTop w:val="0"/>
                  <w:marBottom w:val="0"/>
                  <w:divBdr>
                    <w:top w:val="none" w:sz="0" w:space="0" w:color="auto"/>
                    <w:left w:val="none" w:sz="0" w:space="0" w:color="auto"/>
                    <w:bottom w:val="none" w:sz="0" w:space="0" w:color="auto"/>
                    <w:right w:val="none" w:sz="0" w:space="0" w:color="auto"/>
                  </w:divBdr>
                  <w:divsChild>
                    <w:div w:id="2071462667">
                      <w:marLeft w:val="0"/>
                      <w:marRight w:val="0"/>
                      <w:marTop w:val="0"/>
                      <w:marBottom w:val="0"/>
                      <w:divBdr>
                        <w:top w:val="none" w:sz="0" w:space="0" w:color="auto"/>
                        <w:left w:val="none" w:sz="0" w:space="0" w:color="auto"/>
                        <w:bottom w:val="none" w:sz="0" w:space="0" w:color="auto"/>
                        <w:right w:val="none" w:sz="0" w:space="0" w:color="auto"/>
                      </w:divBdr>
                    </w:div>
                  </w:divsChild>
                </w:div>
                <w:div w:id="1188368983">
                  <w:marLeft w:val="0"/>
                  <w:marRight w:val="0"/>
                  <w:marTop w:val="0"/>
                  <w:marBottom w:val="0"/>
                  <w:divBdr>
                    <w:top w:val="none" w:sz="0" w:space="0" w:color="auto"/>
                    <w:left w:val="none" w:sz="0" w:space="0" w:color="auto"/>
                    <w:bottom w:val="none" w:sz="0" w:space="0" w:color="auto"/>
                    <w:right w:val="none" w:sz="0" w:space="0" w:color="auto"/>
                  </w:divBdr>
                  <w:divsChild>
                    <w:div w:id="50540783">
                      <w:marLeft w:val="0"/>
                      <w:marRight w:val="0"/>
                      <w:marTop w:val="0"/>
                      <w:marBottom w:val="0"/>
                      <w:divBdr>
                        <w:top w:val="none" w:sz="0" w:space="0" w:color="auto"/>
                        <w:left w:val="none" w:sz="0" w:space="0" w:color="auto"/>
                        <w:bottom w:val="none" w:sz="0" w:space="0" w:color="auto"/>
                        <w:right w:val="none" w:sz="0" w:space="0" w:color="auto"/>
                      </w:divBdr>
                    </w:div>
                  </w:divsChild>
                </w:div>
                <w:div w:id="1190339256">
                  <w:marLeft w:val="0"/>
                  <w:marRight w:val="0"/>
                  <w:marTop w:val="0"/>
                  <w:marBottom w:val="0"/>
                  <w:divBdr>
                    <w:top w:val="none" w:sz="0" w:space="0" w:color="auto"/>
                    <w:left w:val="none" w:sz="0" w:space="0" w:color="auto"/>
                    <w:bottom w:val="none" w:sz="0" w:space="0" w:color="auto"/>
                    <w:right w:val="none" w:sz="0" w:space="0" w:color="auto"/>
                  </w:divBdr>
                  <w:divsChild>
                    <w:div w:id="1267930048">
                      <w:marLeft w:val="0"/>
                      <w:marRight w:val="0"/>
                      <w:marTop w:val="0"/>
                      <w:marBottom w:val="0"/>
                      <w:divBdr>
                        <w:top w:val="none" w:sz="0" w:space="0" w:color="auto"/>
                        <w:left w:val="none" w:sz="0" w:space="0" w:color="auto"/>
                        <w:bottom w:val="none" w:sz="0" w:space="0" w:color="auto"/>
                        <w:right w:val="none" w:sz="0" w:space="0" w:color="auto"/>
                      </w:divBdr>
                    </w:div>
                  </w:divsChild>
                </w:div>
                <w:div w:id="1216432040">
                  <w:marLeft w:val="0"/>
                  <w:marRight w:val="0"/>
                  <w:marTop w:val="0"/>
                  <w:marBottom w:val="0"/>
                  <w:divBdr>
                    <w:top w:val="none" w:sz="0" w:space="0" w:color="auto"/>
                    <w:left w:val="none" w:sz="0" w:space="0" w:color="auto"/>
                    <w:bottom w:val="none" w:sz="0" w:space="0" w:color="auto"/>
                    <w:right w:val="none" w:sz="0" w:space="0" w:color="auto"/>
                  </w:divBdr>
                  <w:divsChild>
                    <w:div w:id="1113789483">
                      <w:marLeft w:val="0"/>
                      <w:marRight w:val="0"/>
                      <w:marTop w:val="0"/>
                      <w:marBottom w:val="0"/>
                      <w:divBdr>
                        <w:top w:val="none" w:sz="0" w:space="0" w:color="auto"/>
                        <w:left w:val="none" w:sz="0" w:space="0" w:color="auto"/>
                        <w:bottom w:val="none" w:sz="0" w:space="0" w:color="auto"/>
                        <w:right w:val="none" w:sz="0" w:space="0" w:color="auto"/>
                      </w:divBdr>
                    </w:div>
                  </w:divsChild>
                </w:div>
                <w:div w:id="1236741658">
                  <w:marLeft w:val="0"/>
                  <w:marRight w:val="0"/>
                  <w:marTop w:val="0"/>
                  <w:marBottom w:val="0"/>
                  <w:divBdr>
                    <w:top w:val="none" w:sz="0" w:space="0" w:color="auto"/>
                    <w:left w:val="none" w:sz="0" w:space="0" w:color="auto"/>
                    <w:bottom w:val="none" w:sz="0" w:space="0" w:color="auto"/>
                    <w:right w:val="none" w:sz="0" w:space="0" w:color="auto"/>
                  </w:divBdr>
                  <w:divsChild>
                    <w:div w:id="992679696">
                      <w:marLeft w:val="0"/>
                      <w:marRight w:val="0"/>
                      <w:marTop w:val="0"/>
                      <w:marBottom w:val="0"/>
                      <w:divBdr>
                        <w:top w:val="none" w:sz="0" w:space="0" w:color="auto"/>
                        <w:left w:val="none" w:sz="0" w:space="0" w:color="auto"/>
                        <w:bottom w:val="none" w:sz="0" w:space="0" w:color="auto"/>
                        <w:right w:val="none" w:sz="0" w:space="0" w:color="auto"/>
                      </w:divBdr>
                    </w:div>
                  </w:divsChild>
                </w:div>
                <w:div w:id="1242131730">
                  <w:marLeft w:val="0"/>
                  <w:marRight w:val="0"/>
                  <w:marTop w:val="0"/>
                  <w:marBottom w:val="0"/>
                  <w:divBdr>
                    <w:top w:val="none" w:sz="0" w:space="0" w:color="auto"/>
                    <w:left w:val="none" w:sz="0" w:space="0" w:color="auto"/>
                    <w:bottom w:val="none" w:sz="0" w:space="0" w:color="auto"/>
                    <w:right w:val="none" w:sz="0" w:space="0" w:color="auto"/>
                  </w:divBdr>
                  <w:divsChild>
                    <w:div w:id="1784030769">
                      <w:marLeft w:val="0"/>
                      <w:marRight w:val="0"/>
                      <w:marTop w:val="0"/>
                      <w:marBottom w:val="0"/>
                      <w:divBdr>
                        <w:top w:val="none" w:sz="0" w:space="0" w:color="auto"/>
                        <w:left w:val="none" w:sz="0" w:space="0" w:color="auto"/>
                        <w:bottom w:val="none" w:sz="0" w:space="0" w:color="auto"/>
                        <w:right w:val="none" w:sz="0" w:space="0" w:color="auto"/>
                      </w:divBdr>
                    </w:div>
                  </w:divsChild>
                </w:div>
                <w:div w:id="1246182569">
                  <w:marLeft w:val="0"/>
                  <w:marRight w:val="0"/>
                  <w:marTop w:val="0"/>
                  <w:marBottom w:val="0"/>
                  <w:divBdr>
                    <w:top w:val="none" w:sz="0" w:space="0" w:color="auto"/>
                    <w:left w:val="none" w:sz="0" w:space="0" w:color="auto"/>
                    <w:bottom w:val="none" w:sz="0" w:space="0" w:color="auto"/>
                    <w:right w:val="none" w:sz="0" w:space="0" w:color="auto"/>
                  </w:divBdr>
                  <w:divsChild>
                    <w:div w:id="2040859707">
                      <w:marLeft w:val="0"/>
                      <w:marRight w:val="0"/>
                      <w:marTop w:val="0"/>
                      <w:marBottom w:val="0"/>
                      <w:divBdr>
                        <w:top w:val="none" w:sz="0" w:space="0" w:color="auto"/>
                        <w:left w:val="none" w:sz="0" w:space="0" w:color="auto"/>
                        <w:bottom w:val="none" w:sz="0" w:space="0" w:color="auto"/>
                        <w:right w:val="none" w:sz="0" w:space="0" w:color="auto"/>
                      </w:divBdr>
                    </w:div>
                  </w:divsChild>
                </w:div>
                <w:div w:id="1277057014">
                  <w:marLeft w:val="0"/>
                  <w:marRight w:val="0"/>
                  <w:marTop w:val="0"/>
                  <w:marBottom w:val="0"/>
                  <w:divBdr>
                    <w:top w:val="none" w:sz="0" w:space="0" w:color="auto"/>
                    <w:left w:val="none" w:sz="0" w:space="0" w:color="auto"/>
                    <w:bottom w:val="none" w:sz="0" w:space="0" w:color="auto"/>
                    <w:right w:val="none" w:sz="0" w:space="0" w:color="auto"/>
                  </w:divBdr>
                  <w:divsChild>
                    <w:div w:id="1789546096">
                      <w:marLeft w:val="0"/>
                      <w:marRight w:val="0"/>
                      <w:marTop w:val="0"/>
                      <w:marBottom w:val="0"/>
                      <w:divBdr>
                        <w:top w:val="none" w:sz="0" w:space="0" w:color="auto"/>
                        <w:left w:val="none" w:sz="0" w:space="0" w:color="auto"/>
                        <w:bottom w:val="none" w:sz="0" w:space="0" w:color="auto"/>
                        <w:right w:val="none" w:sz="0" w:space="0" w:color="auto"/>
                      </w:divBdr>
                    </w:div>
                  </w:divsChild>
                </w:div>
                <w:div w:id="1281693121">
                  <w:marLeft w:val="0"/>
                  <w:marRight w:val="0"/>
                  <w:marTop w:val="0"/>
                  <w:marBottom w:val="0"/>
                  <w:divBdr>
                    <w:top w:val="none" w:sz="0" w:space="0" w:color="auto"/>
                    <w:left w:val="none" w:sz="0" w:space="0" w:color="auto"/>
                    <w:bottom w:val="none" w:sz="0" w:space="0" w:color="auto"/>
                    <w:right w:val="none" w:sz="0" w:space="0" w:color="auto"/>
                  </w:divBdr>
                  <w:divsChild>
                    <w:div w:id="1165707564">
                      <w:marLeft w:val="0"/>
                      <w:marRight w:val="0"/>
                      <w:marTop w:val="0"/>
                      <w:marBottom w:val="0"/>
                      <w:divBdr>
                        <w:top w:val="none" w:sz="0" w:space="0" w:color="auto"/>
                        <w:left w:val="none" w:sz="0" w:space="0" w:color="auto"/>
                        <w:bottom w:val="none" w:sz="0" w:space="0" w:color="auto"/>
                        <w:right w:val="none" w:sz="0" w:space="0" w:color="auto"/>
                      </w:divBdr>
                    </w:div>
                  </w:divsChild>
                </w:div>
                <w:div w:id="1293176814">
                  <w:marLeft w:val="0"/>
                  <w:marRight w:val="0"/>
                  <w:marTop w:val="0"/>
                  <w:marBottom w:val="0"/>
                  <w:divBdr>
                    <w:top w:val="none" w:sz="0" w:space="0" w:color="auto"/>
                    <w:left w:val="none" w:sz="0" w:space="0" w:color="auto"/>
                    <w:bottom w:val="none" w:sz="0" w:space="0" w:color="auto"/>
                    <w:right w:val="none" w:sz="0" w:space="0" w:color="auto"/>
                  </w:divBdr>
                  <w:divsChild>
                    <w:div w:id="363872666">
                      <w:marLeft w:val="0"/>
                      <w:marRight w:val="0"/>
                      <w:marTop w:val="0"/>
                      <w:marBottom w:val="0"/>
                      <w:divBdr>
                        <w:top w:val="none" w:sz="0" w:space="0" w:color="auto"/>
                        <w:left w:val="none" w:sz="0" w:space="0" w:color="auto"/>
                        <w:bottom w:val="none" w:sz="0" w:space="0" w:color="auto"/>
                        <w:right w:val="none" w:sz="0" w:space="0" w:color="auto"/>
                      </w:divBdr>
                    </w:div>
                  </w:divsChild>
                </w:div>
                <w:div w:id="1300768260">
                  <w:marLeft w:val="0"/>
                  <w:marRight w:val="0"/>
                  <w:marTop w:val="0"/>
                  <w:marBottom w:val="0"/>
                  <w:divBdr>
                    <w:top w:val="none" w:sz="0" w:space="0" w:color="auto"/>
                    <w:left w:val="none" w:sz="0" w:space="0" w:color="auto"/>
                    <w:bottom w:val="none" w:sz="0" w:space="0" w:color="auto"/>
                    <w:right w:val="none" w:sz="0" w:space="0" w:color="auto"/>
                  </w:divBdr>
                  <w:divsChild>
                    <w:div w:id="1774544698">
                      <w:marLeft w:val="0"/>
                      <w:marRight w:val="0"/>
                      <w:marTop w:val="0"/>
                      <w:marBottom w:val="0"/>
                      <w:divBdr>
                        <w:top w:val="none" w:sz="0" w:space="0" w:color="auto"/>
                        <w:left w:val="none" w:sz="0" w:space="0" w:color="auto"/>
                        <w:bottom w:val="none" w:sz="0" w:space="0" w:color="auto"/>
                        <w:right w:val="none" w:sz="0" w:space="0" w:color="auto"/>
                      </w:divBdr>
                    </w:div>
                  </w:divsChild>
                </w:div>
                <w:div w:id="1311641330">
                  <w:marLeft w:val="0"/>
                  <w:marRight w:val="0"/>
                  <w:marTop w:val="0"/>
                  <w:marBottom w:val="0"/>
                  <w:divBdr>
                    <w:top w:val="none" w:sz="0" w:space="0" w:color="auto"/>
                    <w:left w:val="none" w:sz="0" w:space="0" w:color="auto"/>
                    <w:bottom w:val="none" w:sz="0" w:space="0" w:color="auto"/>
                    <w:right w:val="none" w:sz="0" w:space="0" w:color="auto"/>
                  </w:divBdr>
                  <w:divsChild>
                    <w:div w:id="1342007776">
                      <w:marLeft w:val="0"/>
                      <w:marRight w:val="0"/>
                      <w:marTop w:val="0"/>
                      <w:marBottom w:val="0"/>
                      <w:divBdr>
                        <w:top w:val="none" w:sz="0" w:space="0" w:color="auto"/>
                        <w:left w:val="none" w:sz="0" w:space="0" w:color="auto"/>
                        <w:bottom w:val="none" w:sz="0" w:space="0" w:color="auto"/>
                        <w:right w:val="none" w:sz="0" w:space="0" w:color="auto"/>
                      </w:divBdr>
                    </w:div>
                  </w:divsChild>
                </w:div>
                <w:div w:id="1316836679">
                  <w:marLeft w:val="0"/>
                  <w:marRight w:val="0"/>
                  <w:marTop w:val="0"/>
                  <w:marBottom w:val="0"/>
                  <w:divBdr>
                    <w:top w:val="none" w:sz="0" w:space="0" w:color="auto"/>
                    <w:left w:val="none" w:sz="0" w:space="0" w:color="auto"/>
                    <w:bottom w:val="none" w:sz="0" w:space="0" w:color="auto"/>
                    <w:right w:val="none" w:sz="0" w:space="0" w:color="auto"/>
                  </w:divBdr>
                  <w:divsChild>
                    <w:div w:id="1479108807">
                      <w:marLeft w:val="0"/>
                      <w:marRight w:val="0"/>
                      <w:marTop w:val="0"/>
                      <w:marBottom w:val="0"/>
                      <w:divBdr>
                        <w:top w:val="none" w:sz="0" w:space="0" w:color="auto"/>
                        <w:left w:val="none" w:sz="0" w:space="0" w:color="auto"/>
                        <w:bottom w:val="none" w:sz="0" w:space="0" w:color="auto"/>
                        <w:right w:val="none" w:sz="0" w:space="0" w:color="auto"/>
                      </w:divBdr>
                    </w:div>
                  </w:divsChild>
                </w:div>
                <w:div w:id="1321351546">
                  <w:marLeft w:val="0"/>
                  <w:marRight w:val="0"/>
                  <w:marTop w:val="0"/>
                  <w:marBottom w:val="0"/>
                  <w:divBdr>
                    <w:top w:val="none" w:sz="0" w:space="0" w:color="auto"/>
                    <w:left w:val="none" w:sz="0" w:space="0" w:color="auto"/>
                    <w:bottom w:val="none" w:sz="0" w:space="0" w:color="auto"/>
                    <w:right w:val="none" w:sz="0" w:space="0" w:color="auto"/>
                  </w:divBdr>
                  <w:divsChild>
                    <w:div w:id="440610918">
                      <w:marLeft w:val="0"/>
                      <w:marRight w:val="0"/>
                      <w:marTop w:val="0"/>
                      <w:marBottom w:val="0"/>
                      <w:divBdr>
                        <w:top w:val="none" w:sz="0" w:space="0" w:color="auto"/>
                        <w:left w:val="none" w:sz="0" w:space="0" w:color="auto"/>
                        <w:bottom w:val="none" w:sz="0" w:space="0" w:color="auto"/>
                        <w:right w:val="none" w:sz="0" w:space="0" w:color="auto"/>
                      </w:divBdr>
                    </w:div>
                  </w:divsChild>
                </w:div>
                <w:div w:id="1333989478">
                  <w:marLeft w:val="0"/>
                  <w:marRight w:val="0"/>
                  <w:marTop w:val="0"/>
                  <w:marBottom w:val="0"/>
                  <w:divBdr>
                    <w:top w:val="none" w:sz="0" w:space="0" w:color="auto"/>
                    <w:left w:val="none" w:sz="0" w:space="0" w:color="auto"/>
                    <w:bottom w:val="none" w:sz="0" w:space="0" w:color="auto"/>
                    <w:right w:val="none" w:sz="0" w:space="0" w:color="auto"/>
                  </w:divBdr>
                  <w:divsChild>
                    <w:div w:id="1554854274">
                      <w:marLeft w:val="0"/>
                      <w:marRight w:val="0"/>
                      <w:marTop w:val="0"/>
                      <w:marBottom w:val="0"/>
                      <w:divBdr>
                        <w:top w:val="none" w:sz="0" w:space="0" w:color="auto"/>
                        <w:left w:val="none" w:sz="0" w:space="0" w:color="auto"/>
                        <w:bottom w:val="none" w:sz="0" w:space="0" w:color="auto"/>
                        <w:right w:val="none" w:sz="0" w:space="0" w:color="auto"/>
                      </w:divBdr>
                    </w:div>
                  </w:divsChild>
                </w:div>
                <w:div w:id="1351371210">
                  <w:marLeft w:val="0"/>
                  <w:marRight w:val="0"/>
                  <w:marTop w:val="0"/>
                  <w:marBottom w:val="0"/>
                  <w:divBdr>
                    <w:top w:val="none" w:sz="0" w:space="0" w:color="auto"/>
                    <w:left w:val="none" w:sz="0" w:space="0" w:color="auto"/>
                    <w:bottom w:val="none" w:sz="0" w:space="0" w:color="auto"/>
                    <w:right w:val="none" w:sz="0" w:space="0" w:color="auto"/>
                  </w:divBdr>
                  <w:divsChild>
                    <w:div w:id="906572322">
                      <w:marLeft w:val="0"/>
                      <w:marRight w:val="0"/>
                      <w:marTop w:val="0"/>
                      <w:marBottom w:val="0"/>
                      <w:divBdr>
                        <w:top w:val="none" w:sz="0" w:space="0" w:color="auto"/>
                        <w:left w:val="none" w:sz="0" w:space="0" w:color="auto"/>
                        <w:bottom w:val="none" w:sz="0" w:space="0" w:color="auto"/>
                        <w:right w:val="none" w:sz="0" w:space="0" w:color="auto"/>
                      </w:divBdr>
                    </w:div>
                  </w:divsChild>
                </w:div>
                <w:div w:id="1380477105">
                  <w:marLeft w:val="0"/>
                  <w:marRight w:val="0"/>
                  <w:marTop w:val="0"/>
                  <w:marBottom w:val="0"/>
                  <w:divBdr>
                    <w:top w:val="none" w:sz="0" w:space="0" w:color="auto"/>
                    <w:left w:val="none" w:sz="0" w:space="0" w:color="auto"/>
                    <w:bottom w:val="none" w:sz="0" w:space="0" w:color="auto"/>
                    <w:right w:val="none" w:sz="0" w:space="0" w:color="auto"/>
                  </w:divBdr>
                  <w:divsChild>
                    <w:div w:id="541020571">
                      <w:marLeft w:val="0"/>
                      <w:marRight w:val="0"/>
                      <w:marTop w:val="0"/>
                      <w:marBottom w:val="0"/>
                      <w:divBdr>
                        <w:top w:val="none" w:sz="0" w:space="0" w:color="auto"/>
                        <w:left w:val="none" w:sz="0" w:space="0" w:color="auto"/>
                        <w:bottom w:val="none" w:sz="0" w:space="0" w:color="auto"/>
                        <w:right w:val="none" w:sz="0" w:space="0" w:color="auto"/>
                      </w:divBdr>
                    </w:div>
                  </w:divsChild>
                </w:div>
                <w:div w:id="1447264087">
                  <w:marLeft w:val="0"/>
                  <w:marRight w:val="0"/>
                  <w:marTop w:val="0"/>
                  <w:marBottom w:val="0"/>
                  <w:divBdr>
                    <w:top w:val="none" w:sz="0" w:space="0" w:color="auto"/>
                    <w:left w:val="none" w:sz="0" w:space="0" w:color="auto"/>
                    <w:bottom w:val="none" w:sz="0" w:space="0" w:color="auto"/>
                    <w:right w:val="none" w:sz="0" w:space="0" w:color="auto"/>
                  </w:divBdr>
                  <w:divsChild>
                    <w:div w:id="2078244478">
                      <w:marLeft w:val="0"/>
                      <w:marRight w:val="0"/>
                      <w:marTop w:val="0"/>
                      <w:marBottom w:val="0"/>
                      <w:divBdr>
                        <w:top w:val="none" w:sz="0" w:space="0" w:color="auto"/>
                        <w:left w:val="none" w:sz="0" w:space="0" w:color="auto"/>
                        <w:bottom w:val="none" w:sz="0" w:space="0" w:color="auto"/>
                        <w:right w:val="none" w:sz="0" w:space="0" w:color="auto"/>
                      </w:divBdr>
                    </w:div>
                  </w:divsChild>
                </w:div>
                <w:div w:id="1454398919">
                  <w:marLeft w:val="0"/>
                  <w:marRight w:val="0"/>
                  <w:marTop w:val="0"/>
                  <w:marBottom w:val="0"/>
                  <w:divBdr>
                    <w:top w:val="none" w:sz="0" w:space="0" w:color="auto"/>
                    <w:left w:val="none" w:sz="0" w:space="0" w:color="auto"/>
                    <w:bottom w:val="none" w:sz="0" w:space="0" w:color="auto"/>
                    <w:right w:val="none" w:sz="0" w:space="0" w:color="auto"/>
                  </w:divBdr>
                  <w:divsChild>
                    <w:div w:id="1857117159">
                      <w:marLeft w:val="0"/>
                      <w:marRight w:val="0"/>
                      <w:marTop w:val="0"/>
                      <w:marBottom w:val="0"/>
                      <w:divBdr>
                        <w:top w:val="none" w:sz="0" w:space="0" w:color="auto"/>
                        <w:left w:val="none" w:sz="0" w:space="0" w:color="auto"/>
                        <w:bottom w:val="none" w:sz="0" w:space="0" w:color="auto"/>
                        <w:right w:val="none" w:sz="0" w:space="0" w:color="auto"/>
                      </w:divBdr>
                    </w:div>
                  </w:divsChild>
                </w:div>
                <w:div w:id="1500344570">
                  <w:marLeft w:val="0"/>
                  <w:marRight w:val="0"/>
                  <w:marTop w:val="0"/>
                  <w:marBottom w:val="0"/>
                  <w:divBdr>
                    <w:top w:val="none" w:sz="0" w:space="0" w:color="auto"/>
                    <w:left w:val="none" w:sz="0" w:space="0" w:color="auto"/>
                    <w:bottom w:val="none" w:sz="0" w:space="0" w:color="auto"/>
                    <w:right w:val="none" w:sz="0" w:space="0" w:color="auto"/>
                  </w:divBdr>
                  <w:divsChild>
                    <w:div w:id="683357654">
                      <w:marLeft w:val="0"/>
                      <w:marRight w:val="0"/>
                      <w:marTop w:val="0"/>
                      <w:marBottom w:val="0"/>
                      <w:divBdr>
                        <w:top w:val="none" w:sz="0" w:space="0" w:color="auto"/>
                        <w:left w:val="none" w:sz="0" w:space="0" w:color="auto"/>
                        <w:bottom w:val="none" w:sz="0" w:space="0" w:color="auto"/>
                        <w:right w:val="none" w:sz="0" w:space="0" w:color="auto"/>
                      </w:divBdr>
                    </w:div>
                  </w:divsChild>
                </w:div>
                <w:div w:id="1511991803">
                  <w:marLeft w:val="0"/>
                  <w:marRight w:val="0"/>
                  <w:marTop w:val="0"/>
                  <w:marBottom w:val="0"/>
                  <w:divBdr>
                    <w:top w:val="none" w:sz="0" w:space="0" w:color="auto"/>
                    <w:left w:val="none" w:sz="0" w:space="0" w:color="auto"/>
                    <w:bottom w:val="none" w:sz="0" w:space="0" w:color="auto"/>
                    <w:right w:val="none" w:sz="0" w:space="0" w:color="auto"/>
                  </w:divBdr>
                  <w:divsChild>
                    <w:div w:id="804276788">
                      <w:marLeft w:val="0"/>
                      <w:marRight w:val="0"/>
                      <w:marTop w:val="0"/>
                      <w:marBottom w:val="0"/>
                      <w:divBdr>
                        <w:top w:val="none" w:sz="0" w:space="0" w:color="auto"/>
                        <w:left w:val="none" w:sz="0" w:space="0" w:color="auto"/>
                        <w:bottom w:val="none" w:sz="0" w:space="0" w:color="auto"/>
                        <w:right w:val="none" w:sz="0" w:space="0" w:color="auto"/>
                      </w:divBdr>
                    </w:div>
                  </w:divsChild>
                </w:div>
                <w:div w:id="1529025294">
                  <w:marLeft w:val="0"/>
                  <w:marRight w:val="0"/>
                  <w:marTop w:val="0"/>
                  <w:marBottom w:val="0"/>
                  <w:divBdr>
                    <w:top w:val="none" w:sz="0" w:space="0" w:color="auto"/>
                    <w:left w:val="none" w:sz="0" w:space="0" w:color="auto"/>
                    <w:bottom w:val="none" w:sz="0" w:space="0" w:color="auto"/>
                    <w:right w:val="none" w:sz="0" w:space="0" w:color="auto"/>
                  </w:divBdr>
                  <w:divsChild>
                    <w:div w:id="2005353726">
                      <w:marLeft w:val="0"/>
                      <w:marRight w:val="0"/>
                      <w:marTop w:val="0"/>
                      <w:marBottom w:val="0"/>
                      <w:divBdr>
                        <w:top w:val="none" w:sz="0" w:space="0" w:color="auto"/>
                        <w:left w:val="none" w:sz="0" w:space="0" w:color="auto"/>
                        <w:bottom w:val="none" w:sz="0" w:space="0" w:color="auto"/>
                        <w:right w:val="none" w:sz="0" w:space="0" w:color="auto"/>
                      </w:divBdr>
                    </w:div>
                  </w:divsChild>
                </w:div>
                <w:div w:id="1537541983">
                  <w:marLeft w:val="0"/>
                  <w:marRight w:val="0"/>
                  <w:marTop w:val="0"/>
                  <w:marBottom w:val="0"/>
                  <w:divBdr>
                    <w:top w:val="none" w:sz="0" w:space="0" w:color="auto"/>
                    <w:left w:val="none" w:sz="0" w:space="0" w:color="auto"/>
                    <w:bottom w:val="none" w:sz="0" w:space="0" w:color="auto"/>
                    <w:right w:val="none" w:sz="0" w:space="0" w:color="auto"/>
                  </w:divBdr>
                  <w:divsChild>
                    <w:div w:id="1421758438">
                      <w:marLeft w:val="0"/>
                      <w:marRight w:val="0"/>
                      <w:marTop w:val="0"/>
                      <w:marBottom w:val="0"/>
                      <w:divBdr>
                        <w:top w:val="none" w:sz="0" w:space="0" w:color="auto"/>
                        <w:left w:val="none" w:sz="0" w:space="0" w:color="auto"/>
                        <w:bottom w:val="none" w:sz="0" w:space="0" w:color="auto"/>
                        <w:right w:val="none" w:sz="0" w:space="0" w:color="auto"/>
                      </w:divBdr>
                    </w:div>
                  </w:divsChild>
                </w:div>
                <w:div w:id="1558391972">
                  <w:marLeft w:val="0"/>
                  <w:marRight w:val="0"/>
                  <w:marTop w:val="0"/>
                  <w:marBottom w:val="0"/>
                  <w:divBdr>
                    <w:top w:val="none" w:sz="0" w:space="0" w:color="auto"/>
                    <w:left w:val="none" w:sz="0" w:space="0" w:color="auto"/>
                    <w:bottom w:val="none" w:sz="0" w:space="0" w:color="auto"/>
                    <w:right w:val="none" w:sz="0" w:space="0" w:color="auto"/>
                  </w:divBdr>
                  <w:divsChild>
                    <w:div w:id="224724668">
                      <w:marLeft w:val="0"/>
                      <w:marRight w:val="0"/>
                      <w:marTop w:val="0"/>
                      <w:marBottom w:val="0"/>
                      <w:divBdr>
                        <w:top w:val="none" w:sz="0" w:space="0" w:color="auto"/>
                        <w:left w:val="none" w:sz="0" w:space="0" w:color="auto"/>
                        <w:bottom w:val="none" w:sz="0" w:space="0" w:color="auto"/>
                        <w:right w:val="none" w:sz="0" w:space="0" w:color="auto"/>
                      </w:divBdr>
                    </w:div>
                  </w:divsChild>
                </w:div>
                <w:div w:id="1564874454">
                  <w:marLeft w:val="0"/>
                  <w:marRight w:val="0"/>
                  <w:marTop w:val="0"/>
                  <w:marBottom w:val="0"/>
                  <w:divBdr>
                    <w:top w:val="none" w:sz="0" w:space="0" w:color="auto"/>
                    <w:left w:val="none" w:sz="0" w:space="0" w:color="auto"/>
                    <w:bottom w:val="none" w:sz="0" w:space="0" w:color="auto"/>
                    <w:right w:val="none" w:sz="0" w:space="0" w:color="auto"/>
                  </w:divBdr>
                  <w:divsChild>
                    <w:div w:id="134225904">
                      <w:marLeft w:val="0"/>
                      <w:marRight w:val="0"/>
                      <w:marTop w:val="0"/>
                      <w:marBottom w:val="0"/>
                      <w:divBdr>
                        <w:top w:val="none" w:sz="0" w:space="0" w:color="auto"/>
                        <w:left w:val="none" w:sz="0" w:space="0" w:color="auto"/>
                        <w:bottom w:val="none" w:sz="0" w:space="0" w:color="auto"/>
                        <w:right w:val="none" w:sz="0" w:space="0" w:color="auto"/>
                      </w:divBdr>
                    </w:div>
                  </w:divsChild>
                </w:div>
                <w:div w:id="1595822000">
                  <w:marLeft w:val="0"/>
                  <w:marRight w:val="0"/>
                  <w:marTop w:val="0"/>
                  <w:marBottom w:val="0"/>
                  <w:divBdr>
                    <w:top w:val="none" w:sz="0" w:space="0" w:color="auto"/>
                    <w:left w:val="none" w:sz="0" w:space="0" w:color="auto"/>
                    <w:bottom w:val="none" w:sz="0" w:space="0" w:color="auto"/>
                    <w:right w:val="none" w:sz="0" w:space="0" w:color="auto"/>
                  </w:divBdr>
                  <w:divsChild>
                    <w:div w:id="147938680">
                      <w:marLeft w:val="0"/>
                      <w:marRight w:val="0"/>
                      <w:marTop w:val="0"/>
                      <w:marBottom w:val="0"/>
                      <w:divBdr>
                        <w:top w:val="none" w:sz="0" w:space="0" w:color="auto"/>
                        <w:left w:val="none" w:sz="0" w:space="0" w:color="auto"/>
                        <w:bottom w:val="none" w:sz="0" w:space="0" w:color="auto"/>
                        <w:right w:val="none" w:sz="0" w:space="0" w:color="auto"/>
                      </w:divBdr>
                    </w:div>
                  </w:divsChild>
                </w:div>
                <w:div w:id="1599828885">
                  <w:marLeft w:val="0"/>
                  <w:marRight w:val="0"/>
                  <w:marTop w:val="0"/>
                  <w:marBottom w:val="0"/>
                  <w:divBdr>
                    <w:top w:val="none" w:sz="0" w:space="0" w:color="auto"/>
                    <w:left w:val="none" w:sz="0" w:space="0" w:color="auto"/>
                    <w:bottom w:val="none" w:sz="0" w:space="0" w:color="auto"/>
                    <w:right w:val="none" w:sz="0" w:space="0" w:color="auto"/>
                  </w:divBdr>
                  <w:divsChild>
                    <w:div w:id="824980359">
                      <w:marLeft w:val="0"/>
                      <w:marRight w:val="0"/>
                      <w:marTop w:val="0"/>
                      <w:marBottom w:val="0"/>
                      <w:divBdr>
                        <w:top w:val="none" w:sz="0" w:space="0" w:color="auto"/>
                        <w:left w:val="none" w:sz="0" w:space="0" w:color="auto"/>
                        <w:bottom w:val="none" w:sz="0" w:space="0" w:color="auto"/>
                        <w:right w:val="none" w:sz="0" w:space="0" w:color="auto"/>
                      </w:divBdr>
                    </w:div>
                  </w:divsChild>
                </w:div>
                <w:div w:id="1613827596">
                  <w:marLeft w:val="0"/>
                  <w:marRight w:val="0"/>
                  <w:marTop w:val="0"/>
                  <w:marBottom w:val="0"/>
                  <w:divBdr>
                    <w:top w:val="none" w:sz="0" w:space="0" w:color="auto"/>
                    <w:left w:val="none" w:sz="0" w:space="0" w:color="auto"/>
                    <w:bottom w:val="none" w:sz="0" w:space="0" w:color="auto"/>
                    <w:right w:val="none" w:sz="0" w:space="0" w:color="auto"/>
                  </w:divBdr>
                  <w:divsChild>
                    <w:div w:id="218713042">
                      <w:marLeft w:val="0"/>
                      <w:marRight w:val="0"/>
                      <w:marTop w:val="0"/>
                      <w:marBottom w:val="0"/>
                      <w:divBdr>
                        <w:top w:val="none" w:sz="0" w:space="0" w:color="auto"/>
                        <w:left w:val="none" w:sz="0" w:space="0" w:color="auto"/>
                        <w:bottom w:val="none" w:sz="0" w:space="0" w:color="auto"/>
                        <w:right w:val="none" w:sz="0" w:space="0" w:color="auto"/>
                      </w:divBdr>
                    </w:div>
                  </w:divsChild>
                </w:div>
                <w:div w:id="1626157284">
                  <w:marLeft w:val="0"/>
                  <w:marRight w:val="0"/>
                  <w:marTop w:val="0"/>
                  <w:marBottom w:val="0"/>
                  <w:divBdr>
                    <w:top w:val="none" w:sz="0" w:space="0" w:color="auto"/>
                    <w:left w:val="none" w:sz="0" w:space="0" w:color="auto"/>
                    <w:bottom w:val="none" w:sz="0" w:space="0" w:color="auto"/>
                    <w:right w:val="none" w:sz="0" w:space="0" w:color="auto"/>
                  </w:divBdr>
                  <w:divsChild>
                    <w:div w:id="1487281407">
                      <w:marLeft w:val="0"/>
                      <w:marRight w:val="0"/>
                      <w:marTop w:val="0"/>
                      <w:marBottom w:val="0"/>
                      <w:divBdr>
                        <w:top w:val="none" w:sz="0" w:space="0" w:color="auto"/>
                        <w:left w:val="none" w:sz="0" w:space="0" w:color="auto"/>
                        <w:bottom w:val="none" w:sz="0" w:space="0" w:color="auto"/>
                        <w:right w:val="none" w:sz="0" w:space="0" w:color="auto"/>
                      </w:divBdr>
                    </w:div>
                  </w:divsChild>
                </w:div>
                <w:div w:id="1656497179">
                  <w:marLeft w:val="0"/>
                  <w:marRight w:val="0"/>
                  <w:marTop w:val="0"/>
                  <w:marBottom w:val="0"/>
                  <w:divBdr>
                    <w:top w:val="none" w:sz="0" w:space="0" w:color="auto"/>
                    <w:left w:val="none" w:sz="0" w:space="0" w:color="auto"/>
                    <w:bottom w:val="none" w:sz="0" w:space="0" w:color="auto"/>
                    <w:right w:val="none" w:sz="0" w:space="0" w:color="auto"/>
                  </w:divBdr>
                  <w:divsChild>
                    <w:div w:id="1375429635">
                      <w:marLeft w:val="0"/>
                      <w:marRight w:val="0"/>
                      <w:marTop w:val="0"/>
                      <w:marBottom w:val="0"/>
                      <w:divBdr>
                        <w:top w:val="none" w:sz="0" w:space="0" w:color="auto"/>
                        <w:left w:val="none" w:sz="0" w:space="0" w:color="auto"/>
                        <w:bottom w:val="none" w:sz="0" w:space="0" w:color="auto"/>
                        <w:right w:val="none" w:sz="0" w:space="0" w:color="auto"/>
                      </w:divBdr>
                    </w:div>
                  </w:divsChild>
                </w:div>
                <w:div w:id="1686593290">
                  <w:marLeft w:val="0"/>
                  <w:marRight w:val="0"/>
                  <w:marTop w:val="0"/>
                  <w:marBottom w:val="0"/>
                  <w:divBdr>
                    <w:top w:val="none" w:sz="0" w:space="0" w:color="auto"/>
                    <w:left w:val="none" w:sz="0" w:space="0" w:color="auto"/>
                    <w:bottom w:val="none" w:sz="0" w:space="0" w:color="auto"/>
                    <w:right w:val="none" w:sz="0" w:space="0" w:color="auto"/>
                  </w:divBdr>
                  <w:divsChild>
                    <w:div w:id="471410513">
                      <w:marLeft w:val="0"/>
                      <w:marRight w:val="0"/>
                      <w:marTop w:val="0"/>
                      <w:marBottom w:val="0"/>
                      <w:divBdr>
                        <w:top w:val="none" w:sz="0" w:space="0" w:color="auto"/>
                        <w:left w:val="none" w:sz="0" w:space="0" w:color="auto"/>
                        <w:bottom w:val="none" w:sz="0" w:space="0" w:color="auto"/>
                        <w:right w:val="none" w:sz="0" w:space="0" w:color="auto"/>
                      </w:divBdr>
                    </w:div>
                  </w:divsChild>
                </w:div>
                <w:div w:id="1688829514">
                  <w:marLeft w:val="0"/>
                  <w:marRight w:val="0"/>
                  <w:marTop w:val="0"/>
                  <w:marBottom w:val="0"/>
                  <w:divBdr>
                    <w:top w:val="none" w:sz="0" w:space="0" w:color="auto"/>
                    <w:left w:val="none" w:sz="0" w:space="0" w:color="auto"/>
                    <w:bottom w:val="none" w:sz="0" w:space="0" w:color="auto"/>
                    <w:right w:val="none" w:sz="0" w:space="0" w:color="auto"/>
                  </w:divBdr>
                  <w:divsChild>
                    <w:div w:id="1880849416">
                      <w:marLeft w:val="0"/>
                      <w:marRight w:val="0"/>
                      <w:marTop w:val="0"/>
                      <w:marBottom w:val="0"/>
                      <w:divBdr>
                        <w:top w:val="none" w:sz="0" w:space="0" w:color="auto"/>
                        <w:left w:val="none" w:sz="0" w:space="0" w:color="auto"/>
                        <w:bottom w:val="none" w:sz="0" w:space="0" w:color="auto"/>
                        <w:right w:val="none" w:sz="0" w:space="0" w:color="auto"/>
                      </w:divBdr>
                    </w:div>
                  </w:divsChild>
                </w:div>
                <w:div w:id="1692025663">
                  <w:marLeft w:val="0"/>
                  <w:marRight w:val="0"/>
                  <w:marTop w:val="0"/>
                  <w:marBottom w:val="0"/>
                  <w:divBdr>
                    <w:top w:val="none" w:sz="0" w:space="0" w:color="auto"/>
                    <w:left w:val="none" w:sz="0" w:space="0" w:color="auto"/>
                    <w:bottom w:val="none" w:sz="0" w:space="0" w:color="auto"/>
                    <w:right w:val="none" w:sz="0" w:space="0" w:color="auto"/>
                  </w:divBdr>
                  <w:divsChild>
                    <w:div w:id="770515913">
                      <w:marLeft w:val="0"/>
                      <w:marRight w:val="0"/>
                      <w:marTop w:val="0"/>
                      <w:marBottom w:val="0"/>
                      <w:divBdr>
                        <w:top w:val="none" w:sz="0" w:space="0" w:color="auto"/>
                        <w:left w:val="none" w:sz="0" w:space="0" w:color="auto"/>
                        <w:bottom w:val="none" w:sz="0" w:space="0" w:color="auto"/>
                        <w:right w:val="none" w:sz="0" w:space="0" w:color="auto"/>
                      </w:divBdr>
                    </w:div>
                  </w:divsChild>
                </w:div>
                <w:div w:id="1723022958">
                  <w:marLeft w:val="0"/>
                  <w:marRight w:val="0"/>
                  <w:marTop w:val="0"/>
                  <w:marBottom w:val="0"/>
                  <w:divBdr>
                    <w:top w:val="none" w:sz="0" w:space="0" w:color="auto"/>
                    <w:left w:val="none" w:sz="0" w:space="0" w:color="auto"/>
                    <w:bottom w:val="none" w:sz="0" w:space="0" w:color="auto"/>
                    <w:right w:val="none" w:sz="0" w:space="0" w:color="auto"/>
                  </w:divBdr>
                  <w:divsChild>
                    <w:div w:id="906112356">
                      <w:marLeft w:val="0"/>
                      <w:marRight w:val="0"/>
                      <w:marTop w:val="0"/>
                      <w:marBottom w:val="0"/>
                      <w:divBdr>
                        <w:top w:val="none" w:sz="0" w:space="0" w:color="auto"/>
                        <w:left w:val="none" w:sz="0" w:space="0" w:color="auto"/>
                        <w:bottom w:val="none" w:sz="0" w:space="0" w:color="auto"/>
                        <w:right w:val="none" w:sz="0" w:space="0" w:color="auto"/>
                      </w:divBdr>
                    </w:div>
                  </w:divsChild>
                </w:div>
                <w:div w:id="1747997061">
                  <w:marLeft w:val="0"/>
                  <w:marRight w:val="0"/>
                  <w:marTop w:val="0"/>
                  <w:marBottom w:val="0"/>
                  <w:divBdr>
                    <w:top w:val="none" w:sz="0" w:space="0" w:color="auto"/>
                    <w:left w:val="none" w:sz="0" w:space="0" w:color="auto"/>
                    <w:bottom w:val="none" w:sz="0" w:space="0" w:color="auto"/>
                    <w:right w:val="none" w:sz="0" w:space="0" w:color="auto"/>
                  </w:divBdr>
                  <w:divsChild>
                    <w:div w:id="1781679775">
                      <w:marLeft w:val="0"/>
                      <w:marRight w:val="0"/>
                      <w:marTop w:val="0"/>
                      <w:marBottom w:val="0"/>
                      <w:divBdr>
                        <w:top w:val="none" w:sz="0" w:space="0" w:color="auto"/>
                        <w:left w:val="none" w:sz="0" w:space="0" w:color="auto"/>
                        <w:bottom w:val="none" w:sz="0" w:space="0" w:color="auto"/>
                        <w:right w:val="none" w:sz="0" w:space="0" w:color="auto"/>
                      </w:divBdr>
                    </w:div>
                  </w:divsChild>
                </w:div>
                <w:div w:id="1759787058">
                  <w:marLeft w:val="0"/>
                  <w:marRight w:val="0"/>
                  <w:marTop w:val="0"/>
                  <w:marBottom w:val="0"/>
                  <w:divBdr>
                    <w:top w:val="none" w:sz="0" w:space="0" w:color="auto"/>
                    <w:left w:val="none" w:sz="0" w:space="0" w:color="auto"/>
                    <w:bottom w:val="none" w:sz="0" w:space="0" w:color="auto"/>
                    <w:right w:val="none" w:sz="0" w:space="0" w:color="auto"/>
                  </w:divBdr>
                  <w:divsChild>
                    <w:div w:id="1002586159">
                      <w:marLeft w:val="0"/>
                      <w:marRight w:val="0"/>
                      <w:marTop w:val="0"/>
                      <w:marBottom w:val="0"/>
                      <w:divBdr>
                        <w:top w:val="none" w:sz="0" w:space="0" w:color="auto"/>
                        <w:left w:val="none" w:sz="0" w:space="0" w:color="auto"/>
                        <w:bottom w:val="none" w:sz="0" w:space="0" w:color="auto"/>
                        <w:right w:val="none" w:sz="0" w:space="0" w:color="auto"/>
                      </w:divBdr>
                    </w:div>
                  </w:divsChild>
                </w:div>
                <w:div w:id="1864395776">
                  <w:marLeft w:val="0"/>
                  <w:marRight w:val="0"/>
                  <w:marTop w:val="0"/>
                  <w:marBottom w:val="0"/>
                  <w:divBdr>
                    <w:top w:val="none" w:sz="0" w:space="0" w:color="auto"/>
                    <w:left w:val="none" w:sz="0" w:space="0" w:color="auto"/>
                    <w:bottom w:val="none" w:sz="0" w:space="0" w:color="auto"/>
                    <w:right w:val="none" w:sz="0" w:space="0" w:color="auto"/>
                  </w:divBdr>
                  <w:divsChild>
                    <w:div w:id="1656369929">
                      <w:marLeft w:val="0"/>
                      <w:marRight w:val="0"/>
                      <w:marTop w:val="0"/>
                      <w:marBottom w:val="0"/>
                      <w:divBdr>
                        <w:top w:val="none" w:sz="0" w:space="0" w:color="auto"/>
                        <w:left w:val="none" w:sz="0" w:space="0" w:color="auto"/>
                        <w:bottom w:val="none" w:sz="0" w:space="0" w:color="auto"/>
                        <w:right w:val="none" w:sz="0" w:space="0" w:color="auto"/>
                      </w:divBdr>
                    </w:div>
                  </w:divsChild>
                </w:div>
                <w:div w:id="1932933667">
                  <w:marLeft w:val="0"/>
                  <w:marRight w:val="0"/>
                  <w:marTop w:val="0"/>
                  <w:marBottom w:val="0"/>
                  <w:divBdr>
                    <w:top w:val="none" w:sz="0" w:space="0" w:color="auto"/>
                    <w:left w:val="none" w:sz="0" w:space="0" w:color="auto"/>
                    <w:bottom w:val="none" w:sz="0" w:space="0" w:color="auto"/>
                    <w:right w:val="none" w:sz="0" w:space="0" w:color="auto"/>
                  </w:divBdr>
                  <w:divsChild>
                    <w:div w:id="903025752">
                      <w:marLeft w:val="0"/>
                      <w:marRight w:val="0"/>
                      <w:marTop w:val="0"/>
                      <w:marBottom w:val="0"/>
                      <w:divBdr>
                        <w:top w:val="none" w:sz="0" w:space="0" w:color="auto"/>
                        <w:left w:val="none" w:sz="0" w:space="0" w:color="auto"/>
                        <w:bottom w:val="none" w:sz="0" w:space="0" w:color="auto"/>
                        <w:right w:val="none" w:sz="0" w:space="0" w:color="auto"/>
                      </w:divBdr>
                    </w:div>
                  </w:divsChild>
                </w:div>
                <w:div w:id="1943145096">
                  <w:marLeft w:val="0"/>
                  <w:marRight w:val="0"/>
                  <w:marTop w:val="0"/>
                  <w:marBottom w:val="0"/>
                  <w:divBdr>
                    <w:top w:val="none" w:sz="0" w:space="0" w:color="auto"/>
                    <w:left w:val="none" w:sz="0" w:space="0" w:color="auto"/>
                    <w:bottom w:val="none" w:sz="0" w:space="0" w:color="auto"/>
                    <w:right w:val="none" w:sz="0" w:space="0" w:color="auto"/>
                  </w:divBdr>
                  <w:divsChild>
                    <w:div w:id="1061905888">
                      <w:marLeft w:val="0"/>
                      <w:marRight w:val="0"/>
                      <w:marTop w:val="0"/>
                      <w:marBottom w:val="0"/>
                      <w:divBdr>
                        <w:top w:val="none" w:sz="0" w:space="0" w:color="auto"/>
                        <w:left w:val="none" w:sz="0" w:space="0" w:color="auto"/>
                        <w:bottom w:val="none" w:sz="0" w:space="0" w:color="auto"/>
                        <w:right w:val="none" w:sz="0" w:space="0" w:color="auto"/>
                      </w:divBdr>
                    </w:div>
                  </w:divsChild>
                </w:div>
                <w:div w:id="2002198294">
                  <w:marLeft w:val="0"/>
                  <w:marRight w:val="0"/>
                  <w:marTop w:val="0"/>
                  <w:marBottom w:val="0"/>
                  <w:divBdr>
                    <w:top w:val="none" w:sz="0" w:space="0" w:color="auto"/>
                    <w:left w:val="none" w:sz="0" w:space="0" w:color="auto"/>
                    <w:bottom w:val="none" w:sz="0" w:space="0" w:color="auto"/>
                    <w:right w:val="none" w:sz="0" w:space="0" w:color="auto"/>
                  </w:divBdr>
                  <w:divsChild>
                    <w:div w:id="1530796090">
                      <w:marLeft w:val="0"/>
                      <w:marRight w:val="0"/>
                      <w:marTop w:val="0"/>
                      <w:marBottom w:val="0"/>
                      <w:divBdr>
                        <w:top w:val="none" w:sz="0" w:space="0" w:color="auto"/>
                        <w:left w:val="none" w:sz="0" w:space="0" w:color="auto"/>
                        <w:bottom w:val="none" w:sz="0" w:space="0" w:color="auto"/>
                        <w:right w:val="none" w:sz="0" w:space="0" w:color="auto"/>
                      </w:divBdr>
                    </w:div>
                  </w:divsChild>
                </w:div>
                <w:div w:id="2035425284">
                  <w:marLeft w:val="0"/>
                  <w:marRight w:val="0"/>
                  <w:marTop w:val="0"/>
                  <w:marBottom w:val="0"/>
                  <w:divBdr>
                    <w:top w:val="none" w:sz="0" w:space="0" w:color="auto"/>
                    <w:left w:val="none" w:sz="0" w:space="0" w:color="auto"/>
                    <w:bottom w:val="none" w:sz="0" w:space="0" w:color="auto"/>
                    <w:right w:val="none" w:sz="0" w:space="0" w:color="auto"/>
                  </w:divBdr>
                  <w:divsChild>
                    <w:div w:id="1894385948">
                      <w:marLeft w:val="0"/>
                      <w:marRight w:val="0"/>
                      <w:marTop w:val="0"/>
                      <w:marBottom w:val="0"/>
                      <w:divBdr>
                        <w:top w:val="none" w:sz="0" w:space="0" w:color="auto"/>
                        <w:left w:val="none" w:sz="0" w:space="0" w:color="auto"/>
                        <w:bottom w:val="none" w:sz="0" w:space="0" w:color="auto"/>
                        <w:right w:val="none" w:sz="0" w:space="0" w:color="auto"/>
                      </w:divBdr>
                    </w:div>
                  </w:divsChild>
                </w:div>
                <w:div w:id="2108381003">
                  <w:marLeft w:val="0"/>
                  <w:marRight w:val="0"/>
                  <w:marTop w:val="0"/>
                  <w:marBottom w:val="0"/>
                  <w:divBdr>
                    <w:top w:val="none" w:sz="0" w:space="0" w:color="auto"/>
                    <w:left w:val="none" w:sz="0" w:space="0" w:color="auto"/>
                    <w:bottom w:val="none" w:sz="0" w:space="0" w:color="auto"/>
                    <w:right w:val="none" w:sz="0" w:space="0" w:color="auto"/>
                  </w:divBdr>
                  <w:divsChild>
                    <w:div w:id="1993832032">
                      <w:marLeft w:val="0"/>
                      <w:marRight w:val="0"/>
                      <w:marTop w:val="0"/>
                      <w:marBottom w:val="0"/>
                      <w:divBdr>
                        <w:top w:val="none" w:sz="0" w:space="0" w:color="auto"/>
                        <w:left w:val="none" w:sz="0" w:space="0" w:color="auto"/>
                        <w:bottom w:val="none" w:sz="0" w:space="0" w:color="auto"/>
                        <w:right w:val="none" w:sz="0" w:space="0" w:color="auto"/>
                      </w:divBdr>
                    </w:div>
                  </w:divsChild>
                </w:div>
                <w:div w:id="2123064182">
                  <w:marLeft w:val="0"/>
                  <w:marRight w:val="0"/>
                  <w:marTop w:val="0"/>
                  <w:marBottom w:val="0"/>
                  <w:divBdr>
                    <w:top w:val="none" w:sz="0" w:space="0" w:color="auto"/>
                    <w:left w:val="none" w:sz="0" w:space="0" w:color="auto"/>
                    <w:bottom w:val="none" w:sz="0" w:space="0" w:color="auto"/>
                    <w:right w:val="none" w:sz="0" w:space="0" w:color="auto"/>
                  </w:divBdr>
                  <w:divsChild>
                    <w:div w:id="87778364">
                      <w:marLeft w:val="0"/>
                      <w:marRight w:val="0"/>
                      <w:marTop w:val="0"/>
                      <w:marBottom w:val="0"/>
                      <w:divBdr>
                        <w:top w:val="none" w:sz="0" w:space="0" w:color="auto"/>
                        <w:left w:val="none" w:sz="0" w:space="0" w:color="auto"/>
                        <w:bottom w:val="none" w:sz="0" w:space="0" w:color="auto"/>
                        <w:right w:val="none" w:sz="0" w:space="0" w:color="auto"/>
                      </w:divBdr>
                    </w:div>
                  </w:divsChild>
                </w:div>
                <w:div w:id="2126656399">
                  <w:marLeft w:val="0"/>
                  <w:marRight w:val="0"/>
                  <w:marTop w:val="0"/>
                  <w:marBottom w:val="0"/>
                  <w:divBdr>
                    <w:top w:val="none" w:sz="0" w:space="0" w:color="auto"/>
                    <w:left w:val="none" w:sz="0" w:space="0" w:color="auto"/>
                    <w:bottom w:val="none" w:sz="0" w:space="0" w:color="auto"/>
                    <w:right w:val="none" w:sz="0" w:space="0" w:color="auto"/>
                  </w:divBdr>
                  <w:divsChild>
                    <w:div w:id="928537086">
                      <w:marLeft w:val="0"/>
                      <w:marRight w:val="0"/>
                      <w:marTop w:val="0"/>
                      <w:marBottom w:val="0"/>
                      <w:divBdr>
                        <w:top w:val="none" w:sz="0" w:space="0" w:color="auto"/>
                        <w:left w:val="none" w:sz="0" w:space="0" w:color="auto"/>
                        <w:bottom w:val="none" w:sz="0" w:space="0" w:color="auto"/>
                        <w:right w:val="none" w:sz="0" w:space="0" w:color="auto"/>
                      </w:divBdr>
                    </w:div>
                  </w:divsChild>
                </w:div>
                <w:div w:id="2138527164">
                  <w:marLeft w:val="0"/>
                  <w:marRight w:val="0"/>
                  <w:marTop w:val="0"/>
                  <w:marBottom w:val="0"/>
                  <w:divBdr>
                    <w:top w:val="none" w:sz="0" w:space="0" w:color="auto"/>
                    <w:left w:val="none" w:sz="0" w:space="0" w:color="auto"/>
                    <w:bottom w:val="none" w:sz="0" w:space="0" w:color="auto"/>
                    <w:right w:val="none" w:sz="0" w:space="0" w:color="auto"/>
                  </w:divBdr>
                  <w:divsChild>
                    <w:div w:id="19597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40196">
      <w:bodyDiv w:val="1"/>
      <w:marLeft w:val="0"/>
      <w:marRight w:val="0"/>
      <w:marTop w:val="0"/>
      <w:marBottom w:val="0"/>
      <w:divBdr>
        <w:top w:val="none" w:sz="0" w:space="0" w:color="auto"/>
        <w:left w:val="none" w:sz="0" w:space="0" w:color="auto"/>
        <w:bottom w:val="none" w:sz="0" w:space="0" w:color="auto"/>
        <w:right w:val="none" w:sz="0" w:space="0" w:color="auto"/>
      </w:divBdr>
      <w:divsChild>
        <w:div w:id="1536313892">
          <w:marLeft w:val="0"/>
          <w:marRight w:val="0"/>
          <w:marTop w:val="0"/>
          <w:marBottom w:val="0"/>
          <w:divBdr>
            <w:top w:val="none" w:sz="0" w:space="0" w:color="auto"/>
            <w:left w:val="none" w:sz="0" w:space="0" w:color="auto"/>
            <w:bottom w:val="none" w:sz="0" w:space="0" w:color="auto"/>
            <w:right w:val="none" w:sz="0" w:space="0" w:color="auto"/>
          </w:divBdr>
        </w:div>
        <w:div w:id="1761414099">
          <w:marLeft w:val="0"/>
          <w:marRight w:val="0"/>
          <w:marTop w:val="0"/>
          <w:marBottom w:val="0"/>
          <w:divBdr>
            <w:top w:val="none" w:sz="0" w:space="0" w:color="auto"/>
            <w:left w:val="none" w:sz="0" w:space="0" w:color="auto"/>
            <w:bottom w:val="none" w:sz="0" w:space="0" w:color="auto"/>
            <w:right w:val="none" w:sz="0" w:space="0" w:color="auto"/>
          </w:divBdr>
        </w:div>
      </w:divsChild>
    </w:div>
    <w:div w:id="751584539">
      <w:bodyDiv w:val="1"/>
      <w:marLeft w:val="0"/>
      <w:marRight w:val="0"/>
      <w:marTop w:val="0"/>
      <w:marBottom w:val="0"/>
      <w:divBdr>
        <w:top w:val="none" w:sz="0" w:space="0" w:color="auto"/>
        <w:left w:val="none" w:sz="0" w:space="0" w:color="auto"/>
        <w:bottom w:val="none" w:sz="0" w:space="0" w:color="auto"/>
        <w:right w:val="none" w:sz="0" w:space="0" w:color="auto"/>
      </w:divBdr>
    </w:div>
    <w:div w:id="810249104">
      <w:bodyDiv w:val="1"/>
      <w:marLeft w:val="0"/>
      <w:marRight w:val="0"/>
      <w:marTop w:val="0"/>
      <w:marBottom w:val="0"/>
      <w:divBdr>
        <w:top w:val="none" w:sz="0" w:space="0" w:color="auto"/>
        <w:left w:val="none" w:sz="0" w:space="0" w:color="auto"/>
        <w:bottom w:val="none" w:sz="0" w:space="0" w:color="auto"/>
        <w:right w:val="none" w:sz="0" w:space="0" w:color="auto"/>
      </w:divBdr>
      <w:divsChild>
        <w:div w:id="103693576">
          <w:marLeft w:val="0"/>
          <w:marRight w:val="0"/>
          <w:marTop w:val="0"/>
          <w:marBottom w:val="0"/>
          <w:divBdr>
            <w:top w:val="none" w:sz="0" w:space="0" w:color="auto"/>
            <w:left w:val="none" w:sz="0" w:space="0" w:color="auto"/>
            <w:bottom w:val="none" w:sz="0" w:space="0" w:color="auto"/>
            <w:right w:val="none" w:sz="0" w:space="0" w:color="auto"/>
          </w:divBdr>
        </w:div>
        <w:div w:id="1490636917">
          <w:marLeft w:val="0"/>
          <w:marRight w:val="0"/>
          <w:marTop w:val="0"/>
          <w:marBottom w:val="0"/>
          <w:divBdr>
            <w:top w:val="none" w:sz="0" w:space="0" w:color="auto"/>
            <w:left w:val="none" w:sz="0" w:space="0" w:color="auto"/>
            <w:bottom w:val="none" w:sz="0" w:space="0" w:color="auto"/>
            <w:right w:val="none" w:sz="0" w:space="0" w:color="auto"/>
          </w:divBdr>
          <w:divsChild>
            <w:div w:id="901017827">
              <w:marLeft w:val="0"/>
              <w:marRight w:val="0"/>
              <w:marTop w:val="30"/>
              <w:marBottom w:val="30"/>
              <w:divBdr>
                <w:top w:val="none" w:sz="0" w:space="0" w:color="auto"/>
                <w:left w:val="none" w:sz="0" w:space="0" w:color="auto"/>
                <w:bottom w:val="none" w:sz="0" w:space="0" w:color="auto"/>
                <w:right w:val="none" w:sz="0" w:space="0" w:color="auto"/>
              </w:divBdr>
              <w:divsChild>
                <w:div w:id="36323328">
                  <w:marLeft w:val="0"/>
                  <w:marRight w:val="0"/>
                  <w:marTop w:val="0"/>
                  <w:marBottom w:val="0"/>
                  <w:divBdr>
                    <w:top w:val="none" w:sz="0" w:space="0" w:color="auto"/>
                    <w:left w:val="none" w:sz="0" w:space="0" w:color="auto"/>
                    <w:bottom w:val="none" w:sz="0" w:space="0" w:color="auto"/>
                    <w:right w:val="none" w:sz="0" w:space="0" w:color="auto"/>
                  </w:divBdr>
                  <w:divsChild>
                    <w:div w:id="1022972710">
                      <w:marLeft w:val="0"/>
                      <w:marRight w:val="0"/>
                      <w:marTop w:val="0"/>
                      <w:marBottom w:val="0"/>
                      <w:divBdr>
                        <w:top w:val="none" w:sz="0" w:space="0" w:color="auto"/>
                        <w:left w:val="none" w:sz="0" w:space="0" w:color="auto"/>
                        <w:bottom w:val="none" w:sz="0" w:space="0" w:color="auto"/>
                        <w:right w:val="none" w:sz="0" w:space="0" w:color="auto"/>
                      </w:divBdr>
                    </w:div>
                  </w:divsChild>
                </w:div>
                <w:div w:id="37315122">
                  <w:marLeft w:val="0"/>
                  <w:marRight w:val="0"/>
                  <w:marTop w:val="0"/>
                  <w:marBottom w:val="0"/>
                  <w:divBdr>
                    <w:top w:val="none" w:sz="0" w:space="0" w:color="auto"/>
                    <w:left w:val="none" w:sz="0" w:space="0" w:color="auto"/>
                    <w:bottom w:val="none" w:sz="0" w:space="0" w:color="auto"/>
                    <w:right w:val="none" w:sz="0" w:space="0" w:color="auto"/>
                  </w:divBdr>
                  <w:divsChild>
                    <w:div w:id="1880045842">
                      <w:marLeft w:val="0"/>
                      <w:marRight w:val="0"/>
                      <w:marTop w:val="0"/>
                      <w:marBottom w:val="0"/>
                      <w:divBdr>
                        <w:top w:val="none" w:sz="0" w:space="0" w:color="auto"/>
                        <w:left w:val="none" w:sz="0" w:space="0" w:color="auto"/>
                        <w:bottom w:val="none" w:sz="0" w:space="0" w:color="auto"/>
                        <w:right w:val="none" w:sz="0" w:space="0" w:color="auto"/>
                      </w:divBdr>
                    </w:div>
                  </w:divsChild>
                </w:div>
                <w:div w:id="47267700">
                  <w:marLeft w:val="0"/>
                  <w:marRight w:val="0"/>
                  <w:marTop w:val="0"/>
                  <w:marBottom w:val="0"/>
                  <w:divBdr>
                    <w:top w:val="none" w:sz="0" w:space="0" w:color="auto"/>
                    <w:left w:val="none" w:sz="0" w:space="0" w:color="auto"/>
                    <w:bottom w:val="none" w:sz="0" w:space="0" w:color="auto"/>
                    <w:right w:val="none" w:sz="0" w:space="0" w:color="auto"/>
                  </w:divBdr>
                  <w:divsChild>
                    <w:div w:id="1851946729">
                      <w:marLeft w:val="0"/>
                      <w:marRight w:val="0"/>
                      <w:marTop w:val="0"/>
                      <w:marBottom w:val="0"/>
                      <w:divBdr>
                        <w:top w:val="none" w:sz="0" w:space="0" w:color="auto"/>
                        <w:left w:val="none" w:sz="0" w:space="0" w:color="auto"/>
                        <w:bottom w:val="none" w:sz="0" w:space="0" w:color="auto"/>
                        <w:right w:val="none" w:sz="0" w:space="0" w:color="auto"/>
                      </w:divBdr>
                    </w:div>
                  </w:divsChild>
                </w:div>
                <w:div w:id="59644138">
                  <w:marLeft w:val="0"/>
                  <w:marRight w:val="0"/>
                  <w:marTop w:val="0"/>
                  <w:marBottom w:val="0"/>
                  <w:divBdr>
                    <w:top w:val="none" w:sz="0" w:space="0" w:color="auto"/>
                    <w:left w:val="none" w:sz="0" w:space="0" w:color="auto"/>
                    <w:bottom w:val="none" w:sz="0" w:space="0" w:color="auto"/>
                    <w:right w:val="none" w:sz="0" w:space="0" w:color="auto"/>
                  </w:divBdr>
                  <w:divsChild>
                    <w:div w:id="1152327939">
                      <w:marLeft w:val="0"/>
                      <w:marRight w:val="0"/>
                      <w:marTop w:val="0"/>
                      <w:marBottom w:val="0"/>
                      <w:divBdr>
                        <w:top w:val="none" w:sz="0" w:space="0" w:color="auto"/>
                        <w:left w:val="none" w:sz="0" w:space="0" w:color="auto"/>
                        <w:bottom w:val="none" w:sz="0" w:space="0" w:color="auto"/>
                        <w:right w:val="none" w:sz="0" w:space="0" w:color="auto"/>
                      </w:divBdr>
                    </w:div>
                  </w:divsChild>
                </w:div>
                <w:div w:id="62223157">
                  <w:marLeft w:val="0"/>
                  <w:marRight w:val="0"/>
                  <w:marTop w:val="0"/>
                  <w:marBottom w:val="0"/>
                  <w:divBdr>
                    <w:top w:val="none" w:sz="0" w:space="0" w:color="auto"/>
                    <w:left w:val="none" w:sz="0" w:space="0" w:color="auto"/>
                    <w:bottom w:val="none" w:sz="0" w:space="0" w:color="auto"/>
                    <w:right w:val="none" w:sz="0" w:space="0" w:color="auto"/>
                  </w:divBdr>
                  <w:divsChild>
                    <w:div w:id="1367833705">
                      <w:marLeft w:val="0"/>
                      <w:marRight w:val="0"/>
                      <w:marTop w:val="0"/>
                      <w:marBottom w:val="0"/>
                      <w:divBdr>
                        <w:top w:val="none" w:sz="0" w:space="0" w:color="auto"/>
                        <w:left w:val="none" w:sz="0" w:space="0" w:color="auto"/>
                        <w:bottom w:val="none" w:sz="0" w:space="0" w:color="auto"/>
                        <w:right w:val="none" w:sz="0" w:space="0" w:color="auto"/>
                      </w:divBdr>
                    </w:div>
                  </w:divsChild>
                </w:div>
                <w:div w:id="109785718">
                  <w:marLeft w:val="0"/>
                  <w:marRight w:val="0"/>
                  <w:marTop w:val="0"/>
                  <w:marBottom w:val="0"/>
                  <w:divBdr>
                    <w:top w:val="none" w:sz="0" w:space="0" w:color="auto"/>
                    <w:left w:val="none" w:sz="0" w:space="0" w:color="auto"/>
                    <w:bottom w:val="none" w:sz="0" w:space="0" w:color="auto"/>
                    <w:right w:val="none" w:sz="0" w:space="0" w:color="auto"/>
                  </w:divBdr>
                  <w:divsChild>
                    <w:div w:id="2002001919">
                      <w:marLeft w:val="0"/>
                      <w:marRight w:val="0"/>
                      <w:marTop w:val="0"/>
                      <w:marBottom w:val="0"/>
                      <w:divBdr>
                        <w:top w:val="none" w:sz="0" w:space="0" w:color="auto"/>
                        <w:left w:val="none" w:sz="0" w:space="0" w:color="auto"/>
                        <w:bottom w:val="none" w:sz="0" w:space="0" w:color="auto"/>
                        <w:right w:val="none" w:sz="0" w:space="0" w:color="auto"/>
                      </w:divBdr>
                    </w:div>
                  </w:divsChild>
                </w:div>
                <w:div w:id="123085582">
                  <w:marLeft w:val="0"/>
                  <w:marRight w:val="0"/>
                  <w:marTop w:val="0"/>
                  <w:marBottom w:val="0"/>
                  <w:divBdr>
                    <w:top w:val="none" w:sz="0" w:space="0" w:color="auto"/>
                    <w:left w:val="none" w:sz="0" w:space="0" w:color="auto"/>
                    <w:bottom w:val="none" w:sz="0" w:space="0" w:color="auto"/>
                    <w:right w:val="none" w:sz="0" w:space="0" w:color="auto"/>
                  </w:divBdr>
                  <w:divsChild>
                    <w:div w:id="1784492249">
                      <w:marLeft w:val="0"/>
                      <w:marRight w:val="0"/>
                      <w:marTop w:val="0"/>
                      <w:marBottom w:val="0"/>
                      <w:divBdr>
                        <w:top w:val="none" w:sz="0" w:space="0" w:color="auto"/>
                        <w:left w:val="none" w:sz="0" w:space="0" w:color="auto"/>
                        <w:bottom w:val="none" w:sz="0" w:space="0" w:color="auto"/>
                        <w:right w:val="none" w:sz="0" w:space="0" w:color="auto"/>
                      </w:divBdr>
                    </w:div>
                  </w:divsChild>
                </w:div>
                <w:div w:id="195434311">
                  <w:marLeft w:val="0"/>
                  <w:marRight w:val="0"/>
                  <w:marTop w:val="0"/>
                  <w:marBottom w:val="0"/>
                  <w:divBdr>
                    <w:top w:val="none" w:sz="0" w:space="0" w:color="auto"/>
                    <w:left w:val="none" w:sz="0" w:space="0" w:color="auto"/>
                    <w:bottom w:val="none" w:sz="0" w:space="0" w:color="auto"/>
                    <w:right w:val="none" w:sz="0" w:space="0" w:color="auto"/>
                  </w:divBdr>
                  <w:divsChild>
                    <w:div w:id="517431510">
                      <w:marLeft w:val="0"/>
                      <w:marRight w:val="0"/>
                      <w:marTop w:val="0"/>
                      <w:marBottom w:val="0"/>
                      <w:divBdr>
                        <w:top w:val="none" w:sz="0" w:space="0" w:color="auto"/>
                        <w:left w:val="none" w:sz="0" w:space="0" w:color="auto"/>
                        <w:bottom w:val="none" w:sz="0" w:space="0" w:color="auto"/>
                        <w:right w:val="none" w:sz="0" w:space="0" w:color="auto"/>
                      </w:divBdr>
                    </w:div>
                  </w:divsChild>
                </w:div>
                <w:div w:id="196627034">
                  <w:marLeft w:val="0"/>
                  <w:marRight w:val="0"/>
                  <w:marTop w:val="0"/>
                  <w:marBottom w:val="0"/>
                  <w:divBdr>
                    <w:top w:val="none" w:sz="0" w:space="0" w:color="auto"/>
                    <w:left w:val="none" w:sz="0" w:space="0" w:color="auto"/>
                    <w:bottom w:val="none" w:sz="0" w:space="0" w:color="auto"/>
                    <w:right w:val="none" w:sz="0" w:space="0" w:color="auto"/>
                  </w:divBdr>
                  <w:divsChild>
                    <w:div w:id="832991634">
                      <w:marLeft w:val="0"/>
                      <w:marRight w:val="0"/>
                      <w:marTop w:val="0"/>
                      <w:marBottom w:val="0"/>
                      <w:divBdr>
                        <w:top w:val="none" w:sz="0" w:space="0" w:color="auto"/>
                        <w:left w:val="none" w:sz="0" w:space="0" w:color="auto"/>
                        <w:bottom w:val="none" w:sz="0" w:space="0" w:color="auto"/>
                        <w:right w:val="none" w:sz="0" w:space="0" w:color="auto"/>
                      </w:divBdr>
                    </w:div>
                  </w:divsChild>
                </w:div>
                <w:div w:id="219828835">
                  <w:marLeft w:val="0"/>
                  <w:marRight w:val="0"/>
                  <w:marTop w:val="0"/>
                  <w:marBottom w:val="0"/>
                  <w:divBdr>
                    <w:top w:val="none" w:sz="0" w:space="0" w:color="auto"/>
                    <w:left w:val="none" w:sz="0" w:space="0" w:color="auto"/>
                    <w:bottom w:val="none" w:sz="0" w:space="0" w:color="auto"/>
                    <w:right w:val="none" w:sz="0" w:space="0" w:color="auto"/>
                  </w:divBdr>
                  <w:divsChild>
                    <w:div w:id="1401634137">
                      <w:marLeft w:val="0"/>
                      <w:marRight w:val="0"/>
                      <w:marTop w:val="0"/>
                      <w:marBottom w:val="0"/>
                      <w:divBdr>
                        <w:top w:val="none" w:sz="0" w:space="0" w:color="auto"/>
                        <w:left w:val="none" w:sz="0" w:space="0" w:color="auto"/>
                        <w:bottom w:val="none" w:sz="0" w:space="0" w:color="auto"/>
                        <w:right w:val="none" w:sz="0" w:space="0" w:color="auto"/>
                      </w:divBdr>
                    </w:div>
                  </w:divsChild>
                </w:div>
                <w:div w:id="226188322">
                  <w:marLeft w:val="0"/>
                  <w:marRight w:val="0"/>
                  <w:marTop w:val="0"/>
                  <w:marBottom w:val="0"/>
                  <w:divBdr>
                    <w:top w:val="none" w:sz="0" w:space="0" w:color="auto"/>
                    <w:left w:val="none" w:sz="0" w:space="0" w:color="auto"/>
                    <w:bottom w:val="none" w:sz="0" w:space="0" w:color="auto"/>
                    <w:right w:val="none" w:sz="0" w:space="0" w:color="auto"/>
                  </w:divBdr>
                  <w:divsChild>
                    <w:div w:id="1154182756">
                      <w:marLeft w:val="0"/>
                      <w:marRight w:val="0"/>
                      <w:marTop w:val="0"/>
                      <w:marBottom w:val="0"/>
                      <w:divBdr>
                        <w:top w:val="none" w:sz="0" w:space="0" w:color="auto"/>
                        <w:left w:val="none" w:sz="0" w:space="0" w:color="auto"/>
                        <w:bottom w:val="none" w:sz="0" w:space="0" w:color="auto"/>
                        <w:right w:val="none" w:sz="0" w:space="0" w:color="auto"/>
                      </w:divBdr>
                    </w:div>
                  </w:divsChild>
                </w:div>
                <w:div w:id="228540131">
                  <w:marLeft w:val="0"/>
                  <w:marRight w:val="0"/>
                  <w:marTop w:val="0"/>
                  <w:marBottom w:val="0"/>
                  <w:divBdr>
                    <w:top w:val="none" w:sz="0" w:space="0" w:color="auto"/>
                    <w:left w:val="none" w:sz="0" w:space="0" w:color="auto"/>
                    <w:bottom w:val="none" w:sz="0" w:space="0" w:color="auto"/>
                    <w:right w:val="none" w:sz="0" w:space="0" w:color="auto"/>
                  </w:divBdr>
                  <w:divsChild>
                    <w:div w:id="2027560629">
                      <w:marLeft w:val="0"/>
                      <w:marRight w:val="0"/>
                      <w:marTop w:val="0"/>
                      <w:marBottom w:val="0"/>
                      <w:divBdr>
                        <w:top w:val="none" w:sz="0" w:space="0" w:color="auto"/>
                        <w:left w:val="none" w:sz="0" w:space="0" w:color="auto"/>
                        <w:bottom w:val="none" w:sz="0" w:space="0" w:color="auto"/>
                        <w:right w:val="none" w:sz="0" w:space="0" w:color="auto"/>
                      </w:divBdr>
                    </w:div>
                  </w:divsChild>
                </w:div>
                <w:div w:id="243339160">
                  <w:marLeft w:val="0"/>
                  <w:marRight w:val="0"/>
                  <w:marTop w:val="0"/>
                  <w:marBottom w:val="0"/>
                  <w:divBdr>
                    <w:top w:val="none" w:sz="0" w:space="0" w:color="auto"/>
                    <w:left w:val="none" w:sz="0" w:space="0" w:color="auto"/>
                    <w:bottom w:val="none" w:sz="0" w:space="0" w:color="auto"/>
                    <w:right w:val="none" w:sz="0" w:space="0" w:color="auto"/>
                  </w:divBdr>
                  <w:divsChild>
                    <w:div w:id="58944913">
                      <w:marLeft w:val="0"/>
                      <w:marRight w:val="0"/>
                      <w:marTop w:val="0"/>
                      <w:marBottom w:val="0"/>
                      <w:divBdr>
                        <w:top w:val="none" w:sz="0" w:space="0" w:color="auto"/>
                        <w:left w:val="none" w:sz="0" w:space="0" w:color="auto"/>
                        <w:bottom w:val="none" w:sz="0" w:space="0" w:color="auto"/>
                        <w:right w:val="none" w:sz="0" w:space="0" w:color="auto"/>
                      </w:divBdr>
                    </w:div>
                  </w:divsChild>
                </w:div>
                <w:div w:id="256641097">
                  <w:marLeft w:val="0"/>
                  <w:marRight w:val="0"/>
                  <w:marTop w:val="0"/>
                  <w:marBottom w:val="0"/>
                  <w:divBdr>
                    <w:top w:val="none" w:sz="0" w:space="0" w:color="auto"/>
                    <w:left w:val="none" w:sz="0" w:space="0" w:color="auto"/>
                    <w:bottom w:val="none" w:sz="0" w:space="0" w:color="auto"/>
                    <w:right w:val="none" w:sz="0" w:space="0" w:color="auto"/>
                  </w:divBdr>
                  <w:divsChild>
                    <w:div w:id="1645811987">
                      <w:marLeft w:val="0"/>
                      <w:marRight w:val="0"/>
                      <w:marTop w:val="0"/>
                      <w:marBottom w:val="0"/>
                      <w:divBdr>
                        <w:top w:val="none" w:sz="0" w:space="0" w:color="auto"/>
                        <w:left w:val="none" w:sz="0" w:space="0" w:color="auto"/>
                        <w:bottom w:val="none" w:sz="0" w:space="0" w:color="auto"/>
                        <w:right w:val="none" w:sz="0" w:space="0" w:color="auto"/>
                      </w:divBdr>
                    </w:div>
                  </w:divsChild>
                </w:div>
                <w:div w:id="277569314">
                  <w:marLeft w:val="0"/>
                  <w:marRight w:val="0"/>
                  <w:marTop w:val="0"/>
                  <w:marBottom w:val="0"/>
                  <w:divBdr>
                    <w:top w:val="none" w:sz="0" w:space="0" w:color="auto"/>
                    <w:left w:val="none" w:sz="0" w:space="0" w:color="auto"/>
                    <w:bottom w:val="none" w:sz="0" w:space="0" w:color="auto"/>
                    <w:right w:val="none" w:sz="0" w:space="0" w:color="auto"/>
                  </w:divBdr>
                  <w:divsChild>
                    <w:div w:id="1655185577">
                      <w:marLeft w:val="0"/>
                      <w:marRight w:val="0"/>
                      <w:marTop w:val="0"/>
                      <w:marBottom w:val="0"/>
                      <w:divBdr>
                        <w:top w:val="none" w:sz="0" w:space="0" w:color="auto"/>
                        <w:left w:val="none" w:sz="0" w:space="0" w:color="auto"/>
                        <w:bottom w:val="none" w:sz="0" w:space="0" w:color="auto"/>
                        <w:right w:val="none" w:sz="0" w:space="0" w:color="auto"/>
                      </w:divBdr>
                    </w:div>
                  </w:divsChild>
                </w:div>
                <w:div w:id="281306434">
                  <w:marLeft w:val="0"/>
                  <w:marRight w:val="0"/>
                  <w:marTop w:val="0"/>
                  <w:marBottom w:val="0"/>
                  <w:divBdr>
                    <w:top w:val="none" w:sz="0" w:space="0" w:color="auto"/>
                    <w:left w:val="none" w:sz="0" w:space="0" w:color="auto"/>
                    <w:bottom w:val="none" w:sz="0" w:space="0" w:color="auto"/>
                    <w:right w:val="none" w:sz="0" w:space="0" w:color="auto"/>
                  </w:divBdr>
                  <w:divsChild>
                    <w:div w:id="1948460685">
                      <w:marLeft w:val="0"/>
                      <w:marRight w:val="0"/>
                      <w:marTop w:val="0"/>
                      <w:marBottom w:val="0"/>
                      <w:divBdr>
                        <w:top w:val="none" w:sz="0" w:space="0" w:color="auto"/>
                        <w:left w:val="none" w:sz="0" w:space="0" w:color="auto"/>
                        <w:bottom w:val="none" w:sz="0" w:space="0" w:color="auto"/>
                        <w:right w:val="none" w:sz="0" w:space="0" w:color="auto"/>
                      </w:divBdr>
                    </w:div>
                  </w:divsChild>
                </w:div>
                <w:div w:id="296373508">
                  <w:marLeft w:val="0"/>
                  <w:marRight w:val="0"/>
                  <w:marTop w:val="0"/>
                  <w:marBottom w:val="0"/>
                  <w:divBdr>
                    <w:top w:val="none" w:sz="0" w:space="0" w:color="auto"/>
                    <w:left w:val="none" w:sz="0" w:space="0" w:color="auto"/>
                    <w:bottom w:val="none" w:sz="0" w:space="0" w:color="auto"/>
                    <w:right w:val="none" w:sz="0" w:space="0" w:color="auto"/>
                  </w:divBdr>
                  <w:divsChild>
                    <w:div w:id="1426413951">
                      <w:marLeft w:val="0"/>
                      <w:marRight w:val="0"/>
                      <w:marTop w:val="0"/>
                      <w:marBottom w:val="0"/>
                      <w:divBdr>
                        <w:top w:val="none" w:sz="0" w:space="0" w:color="auto"/>
                        <w:left w:val="none" w:sz="0" w:space="0" w:color="auto"/>
                        <w:bottom w:val="none" w:sz="0" w:space="0" w:color="auto"/>
                        <w:right w:val="none" w:sz="0" w:space="0" w:color="auto"/>
                      </w:divBdr>
                    </w:div>
                  </w:divsChild>
                </w:div>
                <w:div w:id="312300671">
                  <w:marLeft w:val="0"/>
                  <w:marRight w:val="0"/>
                  <w:marTop w:val="0"/>
                  <w:marBottom w:val="0"/>
                  <w:divBdr>
                    <w:top w:val="none" w:sz="0" w:space="0" w:color="auto"/>
                    <w:left w:val="none" w:sz="0" w:space="0" w:color="auto"/>
                    <w:bottom w:val="none" w:sz="0" w:space="0" w:color="auto"/>
                    <w:right w:val="none" w:sz="0" w:space="0" w:color="auto"/>
                  </w:divBdr>
                  <w:divsChild>
                    <w:div w:id="1592473020">
                      <w:marLeft w:val="0"/>
                      <w:marRight w:val="0"/>
                      <w:marTop w:val="0"/>
                      <w:marBottom w:val="0"/>
                      <w:divBdr>
                        <w:top w:val="none" w:sz="0" w:space="0" w:color="auto"/>
                        <w:left w:val="none" w:sz="0" w:space="0" w:color="auto"/>
                        <w:bottom w:val="none" w:sz="0" w:space="0" w:color="auto"/>
                        <w:right w:val="none" w:sz="0" w:space="0" w:color="auto"/>
                      </w:divBdr>
                    </w:div>
                  </w:divsChild>
                </w:div>
                <w:div w:id="312368088">
                  <w:marLeft w:val="0"/>
                  <w:marRight w:val="0"/>
                  <w:marTop w:val="0"/>
                  <w:marBottom w:val="0"/>
                  <w:divBdr>
                    <w:top w:val="none" w:sz="0" w:space="0" w:color="auto"/>
                    <w:left w:val="none" w:sz="0" w:space="0" w:color="auto"/>
                    <w:bottom w:val="none" w:sz="0" w:space="0" w:color="auto"/>
                    <w:right w:val="none" w:sz="0" w:space="0" w:color="auto"/>
                  </w:divBdr>
                  <w:divsChild>
                    <w:div w:id="1183014425">
                      <w:marLeft w:val="0"/>
                      <w:marRight w:val="0"/>
                      <w:marTop w:val="0"/>
                      <w:marBottom w:val="0"/>
                      <w:divBdr>
                        <w:top w:val="none" w:sz="0" w:space="0" w:color="auto"/>
                        <w:left w:val="none" w:sz="0" w:space="0" w:color="auto"/>
                        <w:bottom w:val="none" w:sz="0" w:space="0" w:color="auto"/>
                        <w:right w:val="none" w:sz="0" w:space="0" w:color="auto"/>
                      </w:divBdr>
                    </w:div>
                  </w:divsChild>
                </w:div>
                <w:div w:id="323356355">
                  <w:marLeft w:val="0"/>
                  <w:marRight w:val="0"/>
                  <w:marTop w:val="0"/>
                  <w:marBottom w:val="0"/>
                  <w:divBdr>
                    <w:top w:val="none" w:sz="0" w:space="0" w:color="auto"/>
                    <w:left w:val="none" w:sz="0" w:space="0" w:color="auto"/>
                    <w:bottom w:val="none" w:sz="0" w:space="0" w:color="auto"/>
                    <w:right w:val="none" w:sz="0" w:space="0" w:color="auto"/>
                  </w:divBdr>
                  <w:divsChild>
                    <w:div w:id="553198188">
                      <w:marLeft w:val="0"/>
                      <w:marRight w:val="0"/>
                      <w:marTop w:val="0"/>
                      <w:marBottom w:val="0"/>
                      <w:divBdr>
                        <w:top w:val="none" w:sz="0" w:space="0" w:color="auto"/>
                        <w:left w:val="none" w:sz="0" w:space="0" w:color="auto"/>
                        <w:bottom w:val="none" w:sz="0" w:space="0" w:color="auto"/>
                        <w:right w:val="none" w:sz="0" w:space="0" w:color="auto"/>
                      </w:divBdr>
                    </w:div>
                  </w:divsChild>
                </w:div>
                <w:div w:id="326369577">
                  <w:marLeft w:val="0"/>
                  <w:marRight w:val="0"/>
                  <w:marTop w:val="0"/>
                  <w:marBottom w:val="0"/>
                  <w:divBdr>
                    <w:top w:val="none" w:sz="0" w:space="0" w:color="auto"/>
                    <w:left w:val="none" w:sz="0" w:space="0" w:color="auto"/>
                    <w:bottom w:val="none" w:sz="0" w:space="0" w:color="auto"/>
                    <w:right w:val="none" w:sz="0" w:space="0" w:color="auto"/>
                  </w:divBdr>
                  <w:divsChild>
                    <w:div w:id="49547058">
                      <w:marLeft w:val="0"/>
                      <w:marRight w:val="0"/>
                      <w:marTop w:val="0"/>
                      <w:marBottom w:val="0"/>
                      <w:divBdr>
                        <w:top w:val="none" w:sz="0" w:space="0" w:color="auto"/>
                        <w:left w:val="none" w:sz="0" w:space="0" w:color="auto"/>
                        <w:bottom w:val="none" w:sz="0" w:space="0" w:color="auto"/>
                        <w:right w:val="none" w:sz="0" w:space="0" w:color="auto"/>
                      </w:divBdr>
                    </w:div>
                  </w:divsChild>
                </w:div>
                <w:div w:id="410855385">
                  <w:marLeft w:val="0"/>
                  <w:marRight w:val="0"/>
                  <w:marTop w:val="0"/>
                  <w:marBottom w:val="0"/>
                  <w:divBdr>
                    <w:top w:val="none" w:sz="0" w:space="0" w:color="auto"/>
                    <w:left w:val="none" w:sz="0" w:space="0" w:color="auto"/>
                    <w:bottom w:val="none" w:sz="0" w:space="0" w:color="auto"/>
                    <w:right w:val="none" w:sz="0" w:space="0" w:color="auto"/>
                  </w:divBdr>
                  <w:divsChild>
                    <w:div w:id="809787106">
                      <w:marLeft w:val="0"/>
                      <w:marRight w:val="0"/>
                      <w:marTop w:val="0"/>
                      <w:marBottom w:val="0"/>
                      <w:divBdr>
                        <w:top w:val="none" w:sz="0" w:space="0" w:color="auto"/>
                        <w:left w:val="none" w:sz="0" w:space="0" w:color="auto"/>
                        <w:bottom w:val="none" w:sz="0" w:space="0" w:color="auto"/>
                        <w:right w:val="none" w:sz="0" w:space="0" w:color="auto"/>
                      </w:divBdr>
                    </w:div>
                  </w:divsChild>
                </w:div>
                <w:div w:id="457072606">
                  <w:marLeft w:val="0"/>
                  <w:marRight w:val="0"/>
                  <w:marTop w:val="0"/>
                  <w:marBottom w:val="0"/>
                  <w:divBdr>
                    <w:top w:val="none" w:sz="0" w:space="0" w:color="auto"/>
                    <w:left w:val="none" w:sz="0" w:space="0" w:color="auto"/>
                    <w:bottom w:val="none" w:sz="0" w:space="0" w:color="auto"/>
                    <w:right w:val="none" w:sz="0" w:space="0" w:color="auto"/>
                  </w:divBdr>
                  <w:divsChild>
                    <w:div w:id="1730424542">
                      <w:marLeft w:val="0"/>
                      <w:marRight w:val="0"/>
                      <w:marTop w:val="0"/>
                      <w:marBottom w:val="0"/>
                      <w:divBdr>
                        <w:top w:val="none" w:sz="0" w:space="0" w:color="auto"/>
                        <w:left w:val="none" w:sz="0" w:space="0" w:color="auto"/>
                        <w:bottom w:val="none" w:sz="0" w:space="0" w:color="auto"/>
                        <w:right w:val="none" w:sz="0" w:space="0" w:color="auto"/>
                      </w:divBdr>
                    </w:div>
                  </w:divsChild>
                </w:div>
                <w:div w:id="468474874">
                  <w:marLeft w:val="0"/>
                  <w:marRight w:val="0"/>
                  <w:marTop w:val="0"/>
                  <w:marBottom w:val="0"/>
                  <w:divBdr>
                    <w:top w:val="none" w:sz="0" w:space="0" w:color="auto"/>
                    <w:left w:val="none" w:sz="0" w:space="0" w:color="auto"/>
                    <w:bottom w:val="none" w:sz="0" w:space="0" w:color="auto"/>
                    <w:right w:val="none" w:sz="0" w:space="0" w:color="auto"/>
                  </w:divBdr>
                  <w:divsChild>
                    <w:div w:id="668361665">
                      <w:marLeft w:val="0"/>
                      <w:marRight w:val="0"/>
                      <w:marTop w:val="0"/>
                      <w:marBottom w:val="0"/>
                      <w:divBdr>
                        <w:top w:val="none" w:sz="0" w:space="0" w:color="auto"/>
                        <w:left w:val="none" w:sz="0" w:space="0" w:color="auto"/>
                        <w:bottom w:val="none" w:sz="0" w:space="0" w:color="auto"/>
                        <w:right w:val="none" w:sz="0" w:space="0" w:color="auto"/>
                      </w:divBdr>
                    </w:div>
                  </w:divsChild>
                </w:div>
                <w:div w:id="490413981">
                  <w:marLeft w:val="0"/>
                  <w:marRight w:val="0"/>
                  <w:marTop w:val="0"/>
                  <w:marBottom w:val="0"/>
                  <w:divBdr>
                    <w:top w:val="none" w:sz="0" w:space="0" w:color="auto"/>
                    <w:left w:val="none" w:sz="0" w:space="0" w:color="auto"/>
                    <w:bottom w:val="none" w:sz="0" w:space="0" w:color="auto"/>
                    <w:right w:val="none" w:sz="0" w:space="0" w:color="auto"/>
                  </w:divBdr>
                  <w:divsChild>
                    <w:div w:id="682241401">
                      <w:marLeft w:val="0"/>
                      <w:marRight w:val="0"/>
                      <w:marTop w:val="0"/>
                      <w:marBottom w:val="0"/>
                      <w:divBdr>
                        <w:top w:val="none" w:sz="0" w:space="0" w:color="auto"/>
                        <w:left w:val="none" w:sz="0" w:space="0" w:color="auto"/>
                        <w:bottom w:val="none" w:sz="0" w:space="0" w:color="auto"/>
                        <w:right w:val="none" w:sz="0" w:space="0" w:color="auto"/>
                      </w:divBdr>
                    </w:div>
                  </w:divsChild>
                </w:div>
                <w:div w:id="515731675">
                  <w:marLeft w:val="0"/>
                  <w:marRight w:val="0"/>
                  <w:marTop w:val="0"/>
                  <w:marBottom w:val="0"/>
                  <w:divBdr>
                    <w:top w:val="none" w:sz="0" w:space="0" w:color="auto"/>
                    <w:left w:val="none" w:sz="0" w:space="0" w:color="auto"/>
                    <w:bottom w:val="none" w:sz="0" w:space="0" w:color="auto"/>
                    <w:right w:val="none" w:sz="0" w:space="0" w:color="auto"/>
                  </w:divBdr>
                  <w:divsChild>
                    <w:div w:id="1856766416">
                      <w:marLeft w:val="0"/>
                      <w:marRight w:val="0"/>
                      <w:marTop w:val="0"/>
                      <w:marBottom w:val="0"/>
                      <w:divBdr>
                        <w:top w:val="none" w:sz="0" w:space="0" w:color="auto"/>
                        <w:left w:val="none" w:sz="0" w:space="0" w:color="auto"/>
                        <w:bottom w:val="none" w:sz="0" w:space="0" w:color="auto"/>
                        <w:right w:val="none" w:sz="0" w:space="0" w:color="auto"/>
                      </w:divBdr>
                    </w:div>
                  </w:divsChild>
                </w:div>
                <w:div w:id="539056591">
                  <w:marLeft w:val="0"/>
                  <w:marRight w:val="0"/>
                  <w:marTop w:val="0"/>
                  <w:marBottom w:val="0"/>
                  <w:divBdr>
                    <w:top w:val="none" w:sz="0" w:space="0" w:color="auto"/>
                    <w:left w:val="none" w:sz="0" w:space="0" w:color="auto"/>
                    <w:bottom w:val="none" w:sz="0" w:space="0" w:color="auto"/>
                    <w:right w:val="none" w:sz="0" w:space="0" w:color="auto"/>
                  </w:divBdr>
                  <w:divsChild>
                    <w:div w:id="1132016568">
                      <w:marLeft w:val="0"/>
                      <w:marRight w:val="0"/>
                      <w:marTop w:val="0"/>
                      <w:marBottom w:val="0"/>
                      <w:divBdr>
                        <w:top w:val="none" w:sz="0" w:space="0" w:color="auto"/>
                        <w:left w:val="none" w:sz="0" w:space="0" w:color="auto"/>
                        <w:bottom w:val="none" w:sz="0" w:space="0" w:color="auto"/>
                        <w:right w:val="none" w:sz="0" w:space="0" w:color="auto"/>
                      </w:divBdr>
                    </w:div>
                  </w:divsChild>
                </w:div>
                <w:div w:id="541483014">
                  <w:marLeft w:val="0"/>
                  <w:marRight w:val="0"/>
                  <w:marTop w:val="0"/>
                  <w:marBottom w:val="0"/>
                  <w:divBdr>
                    <w:top w:val="none" w:sz="0" w:space="0" w:color="auto"/>
                    <w:left w:val="none" w:sz="0" w:space="0" w:color="auto"/>
                    <w:bottom w:val="none" w:sz="0" w:space="0" w:color="auto"/>
                    <w:right w:val="none" w:sz="0" w:space="0" w:color="auto"/>
                  </w:divBdr>
                  <w:divsChild>
                    <w:div w:id="1410075129">
                      <w:marLeft w:val="0"/>
                      <w:marRight w:val="0"/>
                      <w:marTop w:val="0"/>
                      <w:marBottom w:val="0"/>
                      <w:divBdr>
                        <w:top w:val="none" w:sz="0" w:space="0" w:color="auto"/>
                        <w:left w:val="none" w:sz="0" w:space="0" w:color="auto"/>
                        <w:bottom w:val="none" w:sz="0" w:space="0" w:color="auto"/>
                        <w:right w:val="none" w:sz="0" w:space="0" w:color="auto"/>
                      </w:divBdr>
                    </w:div>
                  </w:divsChild>
                </w:div>
                <w:div w:id="545681825">
                  <w:marLeft w:val="0"/>
                  <w:marRight w:val="0"/>
                  <w:marTop w:val="0"/>
                  <w:marBottom w:val="0"/>
                  <w:divBdr>
                    <w:top w:val="none" w:sz="0" w:space="0" w:color="auto"/>
                    <w:left w:val="none" w:sz="0" w:space="0" w:color="auto"/>
                    <w:bottom w:val="none" w:sz="0" w:space="0" w:color="auto"/>
                    <w:right w:val="none" w:sz="0" w:space="0" w:color="auto"/>
                  </w:divBdr>
                  <w:divsChild>
                    <w:div w:id="2138639959">
                      <w:marLeft w:val="0"/>
                      <w:marRight w:val="0"/>
                      <w:marTop w:val="0"/>
                      <w:marBottom w:val="0"/>
                      <w:divBdr>
                        <w:top w:val="none" w:sz="0" w:space="0" w:color="auto"/>
                        <w:left w:val="none" w:sz="0" w:space="0" w:color="auto"/>
                        <w:bottom w:val="none" w:sz="0" w:space="0" w:color="auto"/>
                        <w:right w:val="none" w:sz="0" w:space="0" w:color="auto"/>
                      </w:divBdr>
                    </w:div>
                  </w:divsChild>
                </w:div>
                <w:div w:id="584219907">
                  <w:marLeft w:val="0"/>
                  <w:marRight w:val="0"/>
                  <w:marTop w:val="0"/>
                  <w:marBottom w:val="0"/>
                  <w:divBdr>
                    <w:top w:val="none" w:sz="0" w:space="0" w:color="auto"/>
                    <w:left w:val="none" w:sz="0" w:space="0" w:color="auto"/>
                    <w:bottom w:val="none" w:sz="0" w:space="0" w:color="auto"/>
                    <w:right w:val="none" w:sz="0" w:space="0" w:color="auto"/>
                  </w:divBdr>
                  <w:divsChild>
                    <w:div w:id="1064259343">
                      <w:marLeft w:val="0"/>
                      <w:marRight w:val="0"/>
                      <w:marTop w:val="0"/>
                      <w:marBottom w:val="0"/>
                      <w:divBdr>
                        <w:top w:val="none" w:sz="0" w:space="0" w:color="auto"/>
                        <w:left w:val="none" w:sz="0" w:space="0" w:color="auto"/>
                        <w:bottom w:val="none" w:sz="0" w:space="0" w:color="auto"/>
                        <w:right w:val="none" w:sz="0" w:space="0" w:color="auto"/>
                      </w:divBdr>
                    </w:div>
                  </w:divsChild>
                </w:div>
                <w:div w:id="682320002">
                  <w:marLeft w:val="0"/>
                  <w:marRight w:val="0"/>
                  <w:marTop w:val="0"/>
                  <w:marBottom w:val="0"/>
                  <w:divBdr>
                    <w:top w:val="none" w:sz="0" w:space="0" w:color="auto"/>
                    <w:left w:val="none" w:sz="0" w:space="0" w:color="auto"/>
                    <w:bottom w:val="none" w:sz="0" w:space="0" w:color="auto"/>
                    <w:right w:val="none" w:sz="0" w:space="0" w:color="auto"/>
                  </w:divBdr>
                  <w:divsChild>
                    <w:div w:id="857155207">
                      <w:marLeft w:val="0"/>
                      <w:marRight w:val="0"/>
                      <w:marTop w:val="0"/>
                      <w:marBottom w:val="0"/>
                      <w:divBdr>
                        <w:top w:val="none" w:sz="0" w:space="0" w:color="auto"/>
                        <w:left w:val="none" w:sz="0" w:space="0" w:color="auto"/>
                        <w:bottom w:val="none" w:sz="0" w:space="0" w:color="auto"/>
                        <w:right w:val="none" w:sz="0" w:space="0" w:color="auto"/>
                      </w:divBdr>
                    </w:div>
                  </w:divsChild>
                </w:div>
                <w:div w:id="697438395">
                  <w:marLeft w:val="0"/>
                  <w:marRight w:val="0"/>
                  <w:marTop w:val="0"/>
                  <w:marBottom w:val="0"/>
                  <w:divBdr>
                    <w:top w:val="none" w:sz="0" w:space="0" w:color="auto"/>
                    <w:left w:val="none" w:sz="0" w:space="0" w:color="auto"/>
                    <w:bottom w:val="none" w:sz="0" w:space="0" w:color="auto"/>
                    <w:right w:val="none" w:sz="0" w:space="0" w:color="auto"/>
                  </w:divBdr>
                  <w:divsChild>
                    <w:div w:id="1676490590">
                      <w:marLeft w:val="0"/>
                      <w:marRight w:val="0"/>
                      <w:marTop w:val="0"/>
                      <w:marBottom w:val="0"/>
                      <w:divBdr>
                        <w:top w:val="none" w:sz="0" w:space="0" w:color="auto"/>
                        <w:left w:val="none" w:sz="0" w:space="0" w:color="auto"/>
                        <w:bottom w:val="none" w:sz="0" w:space="0" w:color="auto"/>
                        <w:right w:val="none" w:sz="0" w:space="0" w:color="auto"/>
                      </w:divBdr>
                    </w:div>
                  </w:divsChild>
                </w:div>
                <w:div w:id="747076134">
                  <w:marLeft w:val="0"/>
                  <w:marRight w:val="0"/>
                  <w:marTop w:val="0"/>
                  <w:marBottom w:val="0"/>
                  <w:divBdr>
                    <w:top w:val="none" w:sz="0" w:space="0" w:color="auto"/>
                    <w:left w:val="none" w:sz="0" w:space="0" w:color="auto"/>
                    <w:bottom w:val="none" w:sz="0" w:space="0" w:color="auto"/>
                    <w:right w:val="none" w:sz="0" w:space="0" w:color="auto"/>
                  </w:divBdr>
                  <w:divsChild>
                    <w:div w:id="1214657701">
                      <w:marLeft w:val="0"/>
                      <w:marRight w:val="0"/>
                      <w:marTop w:val="0"/>
                      <w:marBottom w:val="0"/>
                      <w:divBdr>
                        <w:top w:val="none" w:sz="0" w:space="0" w:color="auto"/>
                        <w:left w:val="none" w:sz="0" w:space="0" w:color="auto"/>
                        <w:bottom w:val="none" w:sz="0" w:space="0" w:color="auto"/>
                        <w:right w:val="none" w:sz="0" w:space="0" w:color="auto"/>
                      </w:divBdr>
                    </w:div>
                  </w:divsChild>
                </w:div>
                <w:div w:id="751708392">
                  <w:marLeft w:val="0"/>
                  <w:marRight w:val="0"/>
                  <w:marTop w:val="0"/>
                  <w:marBottom w:val="0"/>
                  <w:divBdr>
                    <w:top w:val="none" w:sz="0" w:space="0" w:color="auto"/>
                    <w:left w:val="none" w:sz="0" w:space="0" w:color="auto"/>
                    <w:bottom w:val="none" w:sz="0" w:space="0" w:color="auto"/>
                    <w:right w:val="none" w:sz="0" w:space="0" w:color="auto"/>
                  </w:divBdr>
                  <w:divsChild>
                    <w:div w:id="1788507742">
                      <w:marLeft w:val="0"/>
                      <w:marRight w:val="0"/>
                      <w:marTop w:val="0"/>
                      <w:marBottom w:val="0"/>
                      <w:divBdr>
                        <w:top w:val="none" w:sz="0" w:space="0" w:color="auto"/>
                        <w:left w:val="none" w:sz="0" w:space="0" w:color="auto"/>
                        <w:bottom w:val="none" w:sz="0" w:space="0" w:color="auto"/>
                        <w:right w:val="none" w:sz="0" w:space="0" w:color="auto"/>
                      </w:divBdr>
                    </w:div>
                  </w:divsChild>
                </w:div>
                <w:div w:id="754594750">
                  <w:marLeft w:val="0"/>
                  <w:marRight w:val="0"/>
                  <w:marTop w:val="0"/>
                  <w:marBottom w:val="0"/>
                  <w:divBdr>
                    <w:top w:val="none" w:sz="0" w:space="0" w:color="auto"/>
                    <w:left w:val="none" w:sz="0" w:space="0" w:color="auto"/>
                    <w:bottom w:val="none" w:sz="0" w:space="0" w:color="auto"/>
                    <w:right w:val="none" w:sz="0" w:space="0" w:color="auto"/>
                  </w:divBdr>
                  <w:divsChild>
                    <w:div w:id="1491948050">
                      <w:marLeft w:val="0"/>
                      <w:marRight w:val="0"/>
                      <w:marTop w:val="0"/>
                      <w:marBottom w:val="0"/>
                      <w:divBdr>
                        <w:top w:val="none" w:sz="0" w:space="0" w:color="auto"/>
                        <w:left w:val="none" w:sz="0" w:space="0" w:color="auto"/>
                        <w:bottom w:val="none" w:sz="0" w:space="0" w:color="auto"/>
                        <w:right w:val="none" w:sz="0" w:space="0" w:color="auto"/>
                      </w:divBdr>
                    </w:div>
                  </w:divsChild>
                </w:div>
                <w:div w:id="778991029">
                  <w:marLeft w:val="0"/>
                  <w:marRight w:val="0"/>
                  <w:marTop w:val="0"/>
                  <w:marBottom w:val="0"/>
                  <w:divBdr>
                    <w:top w:val="none" w:sz="0" w:space="0" w:color="auto"/>
                    <w:left w:val="none" w:sz="0" w:space="0" w:color="auto"/>
                    <w:bottom w:val="none" w:sz="0" w:space="0" w:color="auto"/>
                    <w:right w:val="none" w:sz="0" w:space="0" w:color="auto"/>
                  </w:divBdr>
                  <w:divsChild>
                    <w:div w:id="125205414">
                      <w:marLeft w:val="0"/>
                      <w:marRight w:val="0"/>
                      <w:marTop w:val="0"/>
                      <w:marBottom w:val="0"/>
                      <w:divBdr>
                        <w:top w:val="none" w:sz="0" w:space="0" w:color="auto"/>
                        <w:left w:val="none" w:sz="0" w:space="0" w:color="auto"/>
                        <w:bottom w:val="none" w:sz="0" w:space="0" w:color="auto"/>
                        <w:right w:val="none" w:sz="0" w:space="0" w:color="auto"/>
                      </w:divBdr>
                    </w:div>
                  </w:divsChild>
                </w:div>
                <w:div w:id="832141177">
                  <w:marLeft w:val="0"/>
                  <w:marRight w:val="0"/>
                  <w:marTop w:val="0"/>
                  <w:marBottom w:val="0"/>
                  <w:divBdr>
                    <w:top w:val="none" w:sz="0" w:space="0" w:color="auto"/>
                    <w:left w:val="none" w:sz="0" w:space="0" w:color="auto"/>
                    <w:bottom w:val="none" w:sz="0" w:space="0" w:color="auto"/>
                    <w:right w:val="none" w:sz="0" w:space="0" w:color="auto"/>
                  </w:divBdr>
                  <w:divsChild>
                    <w:div w:id="1040667378">
                      <w:marLeft w:val="0"/>
                      <w:marRight w:val="0"/>
                      <w:marTop w:val="0"/>
                      <w:marBottom w:val="0"/>
                      <w:divBdr>
                        <w:top w:val="none" w:sz="0" w:space="0" w:color="auto"/>
                        <w:left w:val="none" w:sz="0" w:space="0" w:color="auto"/>
                        <w:bottom w:val="none" w:sz="0" w:space="0" w:color="auto"/>
                        <w:right w:val="none" w:sz="0" w:space="0" w:color="auto"/>
                      </w:divBdr>
                    </w:div>
                  </w:divsChild>
                </w:div>
                <w:div w:id="855653429">
                  <w:marLeft w:val="0"/>
                  <w:marRight w:val="0"/>
                  <w:marTop w:val="0"/>
                  <w:marBottom w:val="0"/>
                  <w:divBdr>
                    <w:top w:val="none" w:sz="0" w:space="0" w:color="auto"/>
                    <w:left w:val="none" w:sz="0" w:space="0" w:color="auto"/>
                    <w:bottom w:val="none" w:sz="0" w:space="0" w:color="auto"/>
                    <w:right w:val="none" w:sz="0" w:space="0" w:color="auto"/>
                  </w:divBdr>
                  <w:divsChild>
                    <w:div w:id="2031372471">
                      <w:marLeft w:val="0"/>
                      <w:marRight w:val="0"/>
                      <w:marTop w:val="0"/>
                      <w:marBottom w:val="0"/>
                      <w:divBdr>
                        <w:top w:val="none" w:sz="0" w:space="0" w:color="auto"/>
                        <w:left w:val="none" w:sz="0" w:space="0" w:color="auto"/>
                        <w:bottom w:val="none" w:sz="0" w:space="0" w:color="auto"/>
                        <w:right w:val="none" w:sz="0" w:space="0" w:color="auto"/>
                      </w:divBdr>
                    </w:div>
                  </w:divsChild>
                </w:div>
                <w:div w:id="859927529">
                  <w:marLeft w:val="0"/>
                  <w:marRight w:val="0"/>
                  <w:marTop w:val="0"/>
                  <w:marBottom w:val="0"/>
                  <w:divBdr>
                    <w:top w:val="none" w:sz="0" w:space="0" w:color="auto"/>
                    <w:left w:val="none" w:sz="0" w:space="0" w:color="auto"/>
                    <w:bottom w:val="none" w:sz="0" w:space="0" w:color="auto"/>
                    <w:right w:val="none" w:sz="0" w:space="0" w:color="auto"/>
                  </w:divBdr>
                  <w:divsChild>
                    <w:div w:id="2072381095">
                      <w:marLeft w:val="0"/>
                      <w:marRight w:val="0"/>
                      <w:marTop w:val="0"/>
                      <w:marBottom w:val="0"/>
                      <w:divBdr>
                        <w:top w:val="none" w:sz="0" w:space="0" w:color="auto"/>
                        <w:left w:val="none" w:sz="0" w:space="0" w:color="auto"/>
                        <w:bottom w:val="none" w:sz="0" w:space="0" w:color="auto"/>
                        <w:right w:val="none" w:sz="0" w:space="0" w:color="auto"/>
                      </w:divBdr>
                    </w:div>
                  </w:divsChild>
                </w:div>
                <w:div w:id="872153178">
                  <w:marLeft w:val="0"/>
                  <w:marRight w:val="0"/>
                  <w:marTop w:val="0"/>
                  <w:marBottom w:val="0"/>
                  <w:divBdr>
                    <w:top w:val="none" w:sz="0" w:space="0" w:color="auto"/>
                    <w:left w:val="none" w:sz="0" w:space="0" w:color="auto"/>
                    <w:bottom w:val="none" w:sz="0" w:space="0" w:color="auto"/>
                    <w:right w:val="none" w:sz="0" w:space="0" w:color="auto"/>
                  </w:divBdr>
                  <w:divsChild>
                    <w:div w:id="1843622564">
                      <w:marLeft w:val="0"/>
                      <w:marRight w:val="0"/>
                      <w:marTop w:val="0"/>
                      <w:marBottom w:val="0"/>
                      <w:divBdr>
                        <w:top w:val="none" w:sz="0" w:space="0" w:color="auto"/>
                        <w:left w:val="none" w:sz="0" w:space="0" w:color="auto"/>
                        <w:bottom w:val="none" w:sz="0" w:space="0" w:color="auto"/>
                        <w:right w:val="none" w:sz="0" w:space="0" w:color="auto"/>
                      </w:divBdr>
                    </w:div>
                  </w:divsChild>
                </w:div>
                <w:div w:id="874003650">
                  <w:marLeft w:val="0"/>
                  <w:marRight w:val="0"/>
                  <w:marTop w:val="0"/>
                  <w:marBottom w:val="0"/>
                  <w:divBdr>
                    <w:top w:val="none" w:sz="0" w:space="0" w:color="auto"/>
                    <w:left w:val="none" w:sz="0" w:space="0" w:color="auto"/>
                    <w:bottom w:val="none" w:sz="0" w:space="0" w:color="auto"/>
                    <w:right w:val="none" w:sz="0" w:space="0" w:color="auto"/>
                  </w:divBdr>
                  <w:divsChild>
                    <w:div w:id="1369598514">
                      <w:marLeft w:val="0"/>
                      <w:marRight w:val="0"/>
                      <w:marTop w:val="0"/>
                      <w:marBottom w:val="0"/>
                      <w:divBdr>
                        <w:top w:val="none" w:sz="0" w:space="0" w:color="auto"/>
                        <w:left w:val="none" w:sz="0" w:space="0" w:color="auto"/>
                        <w:bottom w:val="none" w:sz="0" w:space="0" w:color="auto"/>
                        <w:right w:val="none" w:sz="0" w:space="0" w:color="auto"/>
                      </w:divBdr>
                    </w:div>
                  </w:divsChild>
                </w:div>
                <w:div w:id="882205506">
                  <w:marLeft w:val="0"/>
                  <w:marRight w:val="0"/>
                  <w:marTop w:val="0"/>
                  <w:marBottom w:val="0"/>
                  <w:divBdr>
                    <w:top w:val="none" w:sz="0" w:space="0" w:color="auto"/>
                    <w:left w:val="none" w:sz="0" w:space="0" w:color="auto"/>
                    <w:bottom w:val="none" w:sz="0" w:space="0" w:color="auto"/>
                    <w:right w:val="none" w:sz="0" w:space="0" w:color="auto"/>
                  </w:divBdr>
                  <w:divsChild>
                    <w:div w:id="1296714895">
                      <w:marLeft w:val="0"/>
                      <w:marRight w:val="0"/>
                      <w:marTop w:val="0"/>
                      <w:marBottom w:val="0"/>
                      <w:divBdr>
                        <w:top w:val="none" w:sz="0" w:space="0" w:color="auto"/>
                        <w:left w:val="none" w:sz="0" w:space="0" w:color="auto"/>
                        <w:bottom w:val="none" w:sz="0" w:space="0" w:color="auto"/>
                        <w:right w:val="none" w:sz="0" w:space="0" w:color="auto"/>
                      </w:divBdr>
                    </w:div>
                  </w:divsChild>
                </w:div>
                <w:div w:id="901908962">
                  <w:marLeft w:val="0"/>
                  <w:marRight w:val="0"/>
                  <w:marTop w:val="0"/>
                  <w:marBottom w:val="0"/>
                  <w:divBdr>
                    <w:top w:val="none" w:sz="0" w:space="0" w:color="auto"/>
                    <w:left w:val="none" w:sz="0" w:space="0" w:color="auto"/>
                    <w:bottom w:val="none" w:sz="0" w:space="0" w:color="auto"/>
                    <w:right w:val="none" w:sz="0" w:space="0" w:color="auto"/>
                  </w:divBdr>
                  <w:divsChild>
                    <w:div w:id="916667931">
                      <w:marLeft w:val="0"/>
                      <w:marRight w:val="0"/>
                      <w:marTop w:val="0"/>
                      <w:marBottom w:val="0"/>
                      <w:divBdr>
                        <w:top w:val="none" w:sz="0" w:space="0" w:color="auto"/>
                        <w:left w:val="none" w:sz="0" w:space="0" w:color="auto"/>
                        <w:bottom w:val="none" w:sz="0" w:space="0" w:color="auto"/>
                        <w:right w:val="none" w:sz="0" w:space="0" w:color="auto"/>
                      </w:divBdr>
                    </w:div>
                  </w:divsChild>
                </w:div>
                <w:div w:id="932586257">
                  <w:marLeft w:val="0"/>
                  <w:marRight w:val="0"/>
                  <w:marTop w:val="0"/>
                  <w:marBottom w:val="0"/>
                  <w:divBdr>
                    <w:top w:val="none" w:sz="0" w:space="0" w:color="auto"/>
                    <w:left w:val="none" w:sz="0" w:space="0" w:color="auto"/>
                    <w:bottom w:val="none" w:sz="0" w:space="0" w:color="auto"/>
                    <w:right w:val="none" w:sz="0" w:space="0" w:color="auto"/>
                  </w:divBdr>
                  <w:divsChild>
                    <w:div w:id="1912036026">
                      <w:marLeft w:val="0"/>
                      <w:marRight w:val="0"/>
                      <w:marTop w:val="0"/>
                      <w:marBottom w:val="0"/>
                      <w:divBdr>
                        <w:top w:val="none" w:sz="0" w:space="0" w:color="auto"/>
                        <w:left w:val="none" w:sz="0" w:space="0" w:color="auto"/>
                        <w:bottom w:val="none" w:sz="0" w:space="0" w:color="auto"/>
                        <w:right w:val="none" w:sz="0" w:space="0" w:color="auto"/>
                      </w:divBdr>
                    </w:div>
                  </w:divsChild>
                </w:div>
                <w:div w:id="945387470">
                  <w:marLeft w:val="0"/>
                  <w:marRight w:val="0"/>
                  <w:marTop w:val="0"/>
                  <w:marBottom w:val="0"/>
                  <w:divBdr>
                    <w:top w:val="none" w:sz="0" w:space="0" w:color="auto"/>
                    <w:left w:val="none" w:sz="0" w:space="0" w:color="auto"/>
                    <w:bottom w:val="none" w:sz="0" w:space="0" w:color="auto"/>
                    <w:right w:val="none" w:sz="0" w:space="0" w:color="auto"/>
                  </w:divBdr>
                  <w:divsChild>
                    <w:div w:id="1512451764">
                      <w:marLeft w:val="0"/>
                      <w:marRight w:val="0"/>
                      <w:marTop w:val="0"/>
                      <w:marBottom w:val="0"/>
                      <w:divBdr>
                        <w:top w:val="none" w:sz="0" w:space="0" w:color="auto"/>
                        <w:left w:val="none" w:sz="0" w:space="0" w:color="auto"/>
                        <w:bottom w:val="none" w:sz="0" w:space="0" w:color="auto"/>
                        <w:right w:val="none" w:sz="0" w:space="0" w:color="auto"/>
                      </w:divBdr>
                    </w:div>
                  </w:divsChild>
                </w:div>
                <w:div w:id="972251272">
                  <w:marLeft w:val="0"/>
                  <w:marRight w:val="0"/>
                  <w:marTop w:val="0"/>
                  <w:marBottom w:val="0"/>
                  <w:divBdr>
                    <w:top w:val="none" w:sz="0" w:space="0" w:color="auto"/>
                    <w:left w:val="none" w:sz="0" w:space="0" w:color="auto"/>
                    <w:bottom w:val="none" w:sz="0" w:space="0" w:color="auto"/>
                    <w:right w:val="none" w:sz="0" w:space="0" w:color="auto"/>
                  </w:divBdr>
                  <w:divsChild>
                    <w:div w:id="1185632843">
                      <w:marLeft w:val="0"/>
                      <w:marRight w:val="0"/>
                      <w:marTop w:val="0"/>
                      <w:marBottom w:val="0"/>
                      <w:divBdr>
                        <w:top w:val="none" w:sz="0" w:space="0" w:color="auto"/>
                        <w:left w:val="none" w:sz="0" w:space="0" w:color="auto"/>
                        <w:bottom w:val="none" w:sz="0" w:space="0" w:color="auto"/>
                        <w:right w:val="none" w:sz="0" w:space="0" w:color="auto"/>
                      </w:divBdr>
                    </w:div>
                  </w:divsChild>
                </w:div>
                <w:div w:id="989212760">
                  <w:marLeft w:val="0"/>
                  <w:marRight w:val="0"/>
                  <w:marTop w:val="0"/>
                  <w:marBottom w:val="0"/>
                  <w:divBdr>
                    <w:top w:val="none" w:sz="0" w:space="0" w:color="auto"/>
                    <w:left w:val="none" w:sz="0" w:space="0" w:color="auto"/>
                    <w:bottom w:val="none" w:sz="0" w:space="0" w:color="auto"/>
                    <w:right w:val="none" w:sz="0" w:space="0" w:color="auto"/>
                  </w:divBdr>
                  <w:divsChild>
                    <w:div w:id="735201126">
                      <w:marLeft w:val="0"/>
                      <w:marRight w:val="0"/>
                      <w:marTop w:val="0"/>
                      <w:marBottom w:val="0"/>
                      <w:divBdr>
                        <w:top w:val="none" w:sz="0" w:space="0" w:color="auto"/>
                        <w:left w:val="none" w:sz="0" w:space="0" w:color="auto"/>
                        <w:bottom w:val="none" w:sz="0" w:space="0" w:color="auto"/>
                        <w:right w:val="none" w:sz="0" w:space="0" w:color="auto"/>
                      </w:divBdr>
                    </w:div>
                  </w:divsChild>
                </w:div>
                <w:div w:id="1031802989">
                  <w:marLeft w:val="0"/>
                  <w:marRight w:val="0"/>
                  <w:marTop w:val="0"/>
                  <w:marBottom w:val="0"/>
                  <w:divBdr>
                    <w:top w:val="none" w:sz="0" w:space="0" w:color="auto"/>
                    <w:left w:val="none" w:sz="0" w:space="0" w:color="auto"/>
                    <w:bottom w:val="none" w:sz="0" w:space="0" w:color="auto"/>
                    <w:right w:val="none" w:sz="0" w:space="0" w:color="auto"/>
                  </w:divBdr>
                  <w:divsChild>
                    <w:div w:id="734429158">
                      <w:marLeft w:val="0"/>
                      <w:marRight w:val="0"/>
                      <w:marTop w:val="0"/>
                      <w:marBottom w:val="0"/>
                      <w:divBdr>
                        <w:top w:val="none" w:sz="0" w:space="0" w:color="auto"/>
                        <w:left w:val="none" w:sz="0" w:space="0" w:color="auto"/>
                        <w:bottom w:val="none" w:sz="0" w:space="0" w:color="auto"/>
                        <w:right w:val="none" w:sz="0" w:space="0" w:color="auto"/>
                      </w:divBdr>
                    </w:div>
                  </w:divsChild>
                </w:div>
                <w:div w:id="1035498257">
                  <w:marLeft w:val="0"/>
                  <w:marRight w:val="0"/>
                  <w:marTop w:val="0"/>
                  <w:marBottom w:val="0"/>
                  <w:divBdr>
                    <w:top w:val="none" w:sz="0" w:space="0" w:color="auto"/>
                    <w:left w:val="none" w:sz="0" w:space="0" w:color="auto"/>
                    <w:bottom w:val="none" w:sz="0" w:space="0" w:color="auto"/>
                    <w:right w:val="none" w:sz="0" w:space="0" w:color="auto"/>
                  </w:divBdr>
                  <w:divsChild>
                    <w:div w:id="1736052819">
                      <w:marLeft w:val="0"/>
                      <w:marRight w:val="0"/>
                      <w:marTop w:val="0"/>
                      <w:marBottom w:val="0"/>
                      <w:divBdr>
                        <w:top w:val="none" w:sz="0" w:space="0" w:color="auto"/>
                        <w:left w:val="none" w:sz="0" w:space="0" w:color="auto"/>
                        <w:bottom w:val="none" w:sz="0" w:space="0" w:color="auto"/>
                        <w:right w:val="none" w:sz="0" w:space="0" w:color="auto"/>
                      </w:divBdr>
                    </w:div>
                  </w:divsChild>
                </w:div>
                <w:div w:id="1087458039">
                  <w:marLeft w:val="0"/>
                  <w:marRight w:val="0"/>
                  <w:marTop w:val="0"/>
                  <w:marBottom w:val="0"/>
                  <w:divBdr>
                    <w:top w:val="none" w:sz="0" w:space="0" w:color="auto"/>
                    <w:left w:val="none" w:sz="0" w:space="0" w:color="auto"/>
                    <w:bottom w:val="none" w:sz="0" w:space="0" w:color="auto"/>
                    <w:right w:val="none" w:sz="0" w:space="0" w:color="auto"/>
                  </w:divBdr>
                  <w:divsChild>
                    <w:div w:id="55474943">
                      <w:marLeft w:val="0"/>
                      <w:marRight w:val="0"/>
                      <w:marTop w:val="0"/>
                      <w:marBottom w:val="0"/>
                      <w:divBdr>
                        <w:top w:val="none" w:sz="0" w:space="0" w:color="auto"/>
                        <w:left w:val="none" w:sz="0" w:space="0" w:color="auto"/>
                        <w:bottom w:val="none" w:sz="0" w:space="0" w:color="auto"/>
                        <w:right w:val="none" w:sz="0" w:space="0" w:color="auto"/>
                      </w:divBdr>
                    </w:div>
                  </w:divsChild>
                </w:div>
                <w:div w:id="1134520905">
                  <w:marLeft w:val="0"/>
                  <w:marRight w:val="0"/>
                  <w:marTop w:val="0"/>
                  <w:marBottom w:val="0"/>
                  <w:divBdr>
                    <w:top w:val="none" w:sz="0" w:space="0" w:color="auto"/>
                    <w:left w:val="none" w:sz="0" w:space="0" w:color="auto"/>
                    <w:bottom w:val="none" w:sz="0" w:space="0" w:color="auto"/>
                    <w:right w:val="none" w:sz="0" w:space="0" w:color="auto"/>
                  </w:divBdr>
                  <w:divsChild>
                    <w:div w:id="1615135259">
                      <w:marLeft w:val="0"/>
                      <w:marRight w:val="0"/>
                      <w:marTop w:val="0"/>
                      <w:marBottom w:val="0"/>
                      <w:divBdr>
                        <w:top w:val="none" w:sz="0" w:space="0" w:color="auto"/>
                        <w:left w:val="none" w:sz="0" w:space="0" w:color="auto"/>
                        <w:bottom w:val="none" w:sz="0" w:space="0" w:color="auto"/>
                        <w:right w:val="none" w:sz="0" w:space="0" w:color="auto"/>
                      </w:divBdr>
                    </w:div>
                  </w:divsChild>
                </w:div>
                <w:div w:id="1152332883">
                  <w:marLeft w:val="0"/>
                  <w:marRight w:val="0"/>
                  <w:marTop w:val="0"/>
                  <w:marBottom w:val="0"/>
                  <w:divBdr>
                    <w:top w:val="none" w:sz="0" w:space="0" w:color="auto"/>
                    <w:left w:val="none" w:sz="0" w:space="0" w:color="auto"/>
                    <w:bottom w:val="none" w:sz="0" w:space="0" w:color="auto"/>
                    <w:right w:val="none" w:sz="0" w:space="0" w:color="auto"/>
                  </w:divBdr>
                  <w:divsChild>
                    <w:div w:id="542639133">
                      <w:marLeft w:val="0"/>
                      <w:marRight w:val="0"/>
                      <w:marTop w:val="0"/>
                      <w:marBottom w:val="0"/>
                      <w:divBdr>
                        <w:top w:val="none" w:sz="0" w:space="0" w:color="auto"/>
                        <w:left w:val="none" w:sz="0" w:space="0" w:color="auto"/>
                        <w:bottom w:val="none" w:sz="0" w:space="0" w:color="auto"/>
                        <w:right w:val="none" w:sz="0" w:space="0" w:color="auto"/>
                      </w:divBdr>
                    </w:div>
                  </w:divsChild>
                </w:div>
                <w:div w:id="1162047157">
                  <w:marLeft w:val="0"/>
                  <w:marRight w:val="0"/>
                  <w:marTop w:val="0"/>
                  <w:marBottom w:val="0"/>
                  <w:divBdr>
                    <w:top w:val="none" w:sz="0" w:space="0" w:color="auto"/>
                    <w:left w:val="none" w:sz="0" w:space="0" w:color="auto"/>
                    <w:bottom w:val="none" w:sz="0" w:space="0" w:color="auto"/>
                    <w:right w:val="none" w:sz="0" w:space="0" w:color="auto"/>
                  </w:divBdr>
                  <w:divsChild>
                    <w:div w:id="1201552660">
                      <w:marLeft w:val="0"/>
                      <w:marRight w:val="0"/>
                      <w:marTop w:val="0"/>
                      <w:marBottom w:val="0"/>
                      <w:divBdr>
                        <w:top w:val="none" w:sz="0" w:space="0" w:color="auto"/>
                        <w:left w:val="none" w:sz="0" w:space="0" w:color="auto"/>
                        <w:bottom w:val="none" w:sz="0" w:space="0" w:color="auto"/>
                        <w:right w:val="none" w:sz="0" w:space="0" w:color="auto"/>
                      </w:divBdr>
                    </w:div>
                  </w:divsChild>
                </w:div>
                <w:div w:id="1175530132">
                  <w:marLeft w:val="0"/>
                  <w:marRight w:val="0"/>
                  <w:marTop w:val="0"/>
                  <w:marBottom w:val="0"/>
                  <w:divBdr>
                    <w:top w:val="none" w:sz="0" w:space="0" w:color="auto"/>
                    <w:left w:val="none" w:sz="0" w:space="0" w:color="auto"/>
                    <w:bottom w:val="none" w:sz="0" w:space="0" w:color="auto"/>
                    <w:right w:val="none" w:sz="0" w:space="0" w:color="auto"/>
                  </w:divBdr>
                  <w:divsChild>
                    <w:div w:id="308629301">
                      <w:marLeft w:val="0"/>
                      <w:marRight w:val="0"/>
                      <w:marTop w:val="0"/>
                      <w:marBottom w:val="0"/>
                      <w:divBdr>
                        <w:top w:val="none" w:sz="0" w:space="0" w:color="auto"/>
                        <w:left w:val="none" w:sz="0" w:space="0" w:color="auto"/>
                        <w:bottom w:val="none" w:sz="0" w:space="0" w:color="auto"/>
                        <w:right w:val="none" w:sz="0" w:space="0" w:color="auto"/>
                      </w:divBdr>
                    </w:div>
                  </w:divsChild>
                </w:div>
                <w:div w:id="1205144388">
                  <w:marLeft w:val="0"/>
                  <w:marRight w:val="0"/>
                  <w:marTop w:val="0"/>
                  <w:marBottom w:val="0"/>
                  <w:divBdr>
                    <w:top w:val="none" w:sz="0" w:space="0" w:color="auto"/>
                    <w:left w:val="none" w:sz="0" w:space="0" w:color="auto"/>
                    <w:bottom w:val="none" w:sz="0" w:space="0" w:color="auto"/>
                    <w:right w:val="none" w:sz="0" w:space="0" w:color="auto"/>
                  </w:divBdr>
                  <w:divsChild>
                    <w:div w:id="1852336524">
                      <w:marLeft w:val="0"/>
                      <w:marRight w:val="0"/>
                      <w:marTop w:val="0"/>
                      <w:marBottom w:val="0"/>
                      <w:divBdr>
                        <w:top w:val="none" w:sz="0" w:space="0" w:color="auto"/>
                        <w:left w:val="none" w:sz="0" w:space="0" w:color="auto"/>
                        <w:bottom w:val="none" w:sz="0" w:space="0" w:color="auto"/>
                        <w:right w:val="none" w:sz="0" w:space="0" w:color="auto"/>
                      </w:divBdr>
                    </w:div>
                  </w:divsChild>
                </w:div>
                <w:div w:id="1217428875">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
                  </w:divsChild>
                </w:div>
                <w:div w:id="1236015054">
                  <w:marLeft w:val="0"/>
                  <w:marRight w:val="0"/>
                  <w:marTop w:val="0"/>
                  <w:marBottom w:val="0"/>
                  <w:divBdr>
                    <w:top w:val="none" w:sz="0" w:space="0" w:color="auto"/>
                    <w:left w:val="none" w:sz="0" w:space="0" w:color="auto"/>
                    <w:bottom w:val="none" w:sz="0" w:space="0" w:color="auto"/>
                    <w:right w:val="none" w:sz="0" w:space="0" w:color="auto"/>
                  </w:divBdr>
                  <w:divsChild>
                    <w:div w:id="672995795">
                      <w:marLeft w:val="0"/>
                      <w:marRight w:val="0"/>
                      <w:marTop w:val="0"/>
                      <w:marBottom w:val="0"/>
                      <w:divBdr>
                        <w:top w:val="none" w:sz="0" w:space="0" w:color="auto"/>
                        <w:left w:val="none" w:sz="0" w:space="0" w:color="auto"/>
                        <w:bottom w:val="none" w:sz="0" w:space="0" w:color="auto"/>
                        <w:right w:val="none" w:sz="0" w:space="0" w:color="auto"/>
                      </w:divBdr>
                    </w:div>
                  </w:divsChild>
                </w:div>
                <w:div w:id="1251351805">
                  <w:marLeft w:val="0"/>
                  <w:marRight w:val="0"/>
                  <w:marTop w:val="0"/>
                  <w:marBottom w:val="0"/>
                  <w:divBdr>
                    <w:top w:val="none" w:sz="0" w:space="0" w:color="auto"/>
                    <w:left w:val="none" w:sz="0" w:space="0" w:color="auto"/>
                    <w:bottom w:val="none" w:sz="0" w:space="0" w:color="auto"/>
                    <w:right w:val="none" w:sz="0" w:space="0" w:color="auto"/>
                  </w:divBdr>
                  <w:divsChild>
                    <w:div w:id="1825734430">
                      <w:marLeft w:val="0"/>
                      <w:marRight w:val="0"/>
                      <w:marTop w:val="0"/>
                      <w:marBottom w:val="0"/>
                      <w:divBdr>
                        <w:top w:val="none" w:sz="0" w:space="0" w:color="auto"/>
                        <w:left w:val="none" w:sz="0" w:space="0" w:color="auto"/>
                        <w:bottom w:val="none" w:sz="0" w:space="0" w:color="auto"/>
                        <w:right w:val="none" w:sz="0" w:space="0" w:color="auto"/>
                      </w:divBdr>
                    </w:div>
                  </w:divsChild>
                </w:div>
                <w:div w:id="1290479026">
                  <w:marLeft w:val="0"/>
                  <w:marRight w:val="0"/>
                  <w:marTop w:val="0"/>
                  <w:marBottom w:val="0"/>
                  <w:divBdr>
                    <w:top w:val="none" w:sz="0" w:space="0" w:color="auto"/>
                    <w:left w:val="none" w:sz="0" w:space="0" w:color="auto"/>
                    <w:bottom w:val="none" w:sz="0" w:space="0" w:color="auto"/>
                    <w:right w:val="none" w:sz="0" w:space="0" w:color="auto"/>
                  </w:divBdr>
                  <w:divsChild>
                    <w:div w:id="951470978">
                      <w:marLeft w:val="0"/>
                      <w:marRight w:val="0"/>
                      <w:marTop w:val="0"/>
                      <w:marBottom w:val="0"/>
                      <w:divBdr>
                        <w:top w:val="none" w:sz="0" w:space="0" w:color="auto"/>
                        <w:left w:val="none" w:sz="0" w:space="0" w:color="auto"/>
                        <w:bottom w:val="none" w:sz="0" w:space="0" w:color="auto"/>
                        <w:right w:val="none" w:sz="0" w:space="0" w:color="auto"/>
                      </w:divBdr>
                    </w:div>
                  </w:divsChild>
                </w:div>
                <w:div w:id="1358627653">
                  <w:marLeft w:val="0"/>
                  <w:marRight w:val="0"/>
                  <w:marTop w:val="0"/>
                  <w:marBottom w:val="0"/>
                  <w:divBdr>
                    <w:top w:val="none" w:sz="0" w:space="0" w:color="auto"/>
                    <w:left w:val="none" w:sz="0" w:space="0" w:color="auto"/>
                    <w:bottom w:val="none" w:sz="0" w:space="0" w:color="auto"/>
                    <w:right w:val="none" w:sz="0" w:space="0" w:color="auto"/>
                  </w:divBdr>
                  <w:divsChild>
                    <w:div w:id="740521504">
                      <w:marLeft w:val="0"/>
                      <w:marRight w:val="0"/>
                      <w:marTop w:val="0"/>
                      <w:marBottom w:val="0"/>
                      <w:divBdr>
                        <w:top w:val="none" w:sz="0" w:space="0" w:color="auto"/>
                        <w:left w:val="none" w:sz="0" w:space="0" w:color="auto"/>
                        <w:bottom w:val="none" w:sz="0" w:space="0" w:color="auto"/>
                        <w:right w:val="none" w:sz="0" w:space="0" w:color="auto"/>
                      </w:divBdr>
                    </w:div>
                  </w:divsChild>
                </w:div>
                <w:div w:id="1359626056">
                  <w:marLeft w:val="0"/>
                  <w:marRight w:val="0"/>
                  <w:marTop w:val="0"/>
                  <w:marBottom w:val="0"/>
                  <w:divBdr>
                    <w:top w:val="none" w:sz="0" w:space="0" w:color="auto"/>
                    <w:left w:val="none" w:sz="0" w:space="0" w:color="auto"/>
                    <w:bottom w:val="none" w:sz="0" w:space="0" w:color="auto"/>
                    <w:right w:val="none" w:sz="0" w:space="0" w:color="auto"/>
                  </w:divBdr>
                  <w:divsChild>
                    <w:div w:id="323093840">
                      <w:marLeft w:val="0"/>
                      <w:marRight w:val="0"/>
                      <w:marTop w:val="0"/>
                      <w:marBottom w:val="0"/>
                      <w:divBdr>
                        <w:top w:val="none" w:sz="0" w:space="0" w:color="auto"/>
                        <w:left w:val="none" w:sz="0" w:space="0" w:color="auto"/>
                        <w:bottom w:val="none" w:sz="0" w:space="0" w:color="auto"/>
                        <w:right w:val="none" w:sz="0" w:space="0" w:color="auto"/>
                      </w:divBdr>
                    </w:div>
                  </w:divsChild>
                </w:div>
                <w:div w:id="1421950190">
                  <w:marLeft w:val="0"/>
                  <w:marRight w:val="0"/>
                  <w:marTop w:val="0"/>
                  <w:marBottom w:val="0"/>
                  <w:divBdr>
                    <w:top w:val="none" w:sz="0" w:space="0" w:color="auto"/>
                    <w:left w:val="none" w:sz="0" w:space="0" w:color="auto"/>
                    <w:bottom w:val="none" w:sz="0" w:space="0" w:color="auto"/>
                    <w:right w:val="none" w:sz="0" w:space="0" w:color="auto"/>
                  </w:divBdr>
                  <w:divsChild>
                    <w:div w:id="589316059">
                      <w:marLeft w:val="0"/>
                      <w:marRight w:val="0"/>
                      <w:marTop w:val="0"/>
                      <w:marBottom w:val="0"/>
                      <w:divBdr>
                        <w:top w:val="none" w:sz="0" w:space="0" w:color="auto"/>
                        <w:left w:val="none" w:sz="0" w:space="0" w:color="auto"/>
                        <w:bottom w:val="none" w:sz="0" w:space="0" w:color="auto"/>
                        <w:right w:val="none" w:sz="0" w:space="0" w:color="auto"/>
                      </w:divBdr>
                    </w:div>
                  </w:divsChild>
                </w:div>
                <w:div w:id="1437484899">
                  <w:marLeft w:val="0"/>
                  <w:marRight w:val="0"/>
                  <w:marTop w:val="0"/>
                  <w:marBottom w:val="0"/>
                  <w:divBdr>
                    <w:top w:val="none" w:sz="0" w:space="0" w:color="auto"/>
                    <w:left w:val="none" w:sz="0" w:space="0" w:color="auto"/>
                    <w:bottom w:val="none" w:sz="0" w:space="0" w:color="auto"/>
                    <w:right w:val="none" w:sz="0" w:space="0" w:color="auto"/>
                  </w:divBdr>
                  <w:divsChild>
                    <w:div w:id="1882790589">
                      <w:marLeft w:val="0"/>
                      <w:marRight w:val="0"/>
                      <w:marTop w:val="0"/>
                      <w:marBottom w:val="0"/>
                      <w:divBdr>
                        <w:top w:val="none" w:sz="0" w:space="0" w:color="auto"/>
                        <w:left w:val="none" w:sz="0" w:space="0" w:color="auto"/>
                        <w:bottom w:val="none" w:sz="0" w:space="0" w:color="auto"/>
                        <w:right w:val="none" w:sz="0" w:space="0" w:color="auto"/>
                      </w:divBdr>
                    </w:div>
                  </w:divsChild>
                </w:div>
                <w:div w:id="1505898984">
                  <w:marLeft w:val="0"/>
                  <w:marRight w:val="0"/>
                  <w:marTop w:val="0"/>
                  <w:marBottom w:val="0"/>
                  <w:divBdr>
                    <w:top w:val="none" w:sz="0" w:space="0" w:color="auto"/>
                    <w:left w:val="none" w:sz="0" w:space="0" w:color="auto"/>
                    <w:bottom w:val="none" w:sz="0" w:space="0" w:color="auto"/>
                    <w:right w:val="none" w:sz="0" w:space="0" w:color="auto"/>
                  </w:divBdr>
                  <w:divsChild>
                    <w:div w:id="38358364">
                      <w:marLeft w:val="0"/>
                      <w:marRight w:val="0"/>
                      <w:marTop w:val="0"/>
                      <w:marBottom w:val="0"/>
                      <w:divBdr>
                        <w:top w:val="none" w:sz="0" w:space="0" w:color="auto"/>
                        <w:left w:val="none" w:sz="0" w:space="0" w:color="auto"/>
                        <w:bottom w:val="none" w:sz="0" w:space="0" w:color="auto"/>
                        <w:right w:val="none" w:sz="0" w:space="0" w:color="auto"/>
                      </w:divBdr>
                    </w:div>
                  </w:divsChild>
                </w:div>
                <w:div w:id="1548759040">
                  <w:marLeft w:val="0"/>
                  <w:marRight w:val="0"/>
                  <w:marTop w:val="0"/>
                  <w:marBottom w:val="0"/>
                  <w:divBdr>
                    <w:top w:val="none" w:sz="0" w:space="0" w:color="auto"/>
                    <w:left w:val="none" w:sz="0" w:space="0" w:color="auto"/>
                    <w:bottom w:val="none" w:sz="0" w:space="0" w:color="auto"/>
                    <w:right w:val="none" w:sz="0" w:space="0" w:color="auto"/>
                  </w:divBdr>
                  <w:divsChild>
                    <w:div w:id="117309519">
                      <w:marLeft w:val="0"/>
                      <w:marRight w:val="0"/>
                      <w:marTop w:val="0"/>
                      <w:marBottom w:val="0"/>
                      <w:divBdr>
                        <w:top w:val="none" w:sz="0" w:space="0" w:color="auto"/>
                        <w:left w:val="none" w:sz="0" w:space="0" w:color="auto"/>
                        <w:bottom w:val="none" w:sz="0" w:space="0" w:color="auto"/>
                        <w:right w:val="none" w:sz="0" w:space="0" w:color="auto"/>
                      </w:divBdr>
                    </w:div>
                  </w:divsChild>
                </w:div>
                <w:div w:id="1619751045">
                  <w:marLeft w:val="0"/>
                  <w:marRight w:val="0"/>
                  <w:marTop w:val="0"/>
                  <w:marBottom w:val="0"/>
                  <w:divBdr>
                    <w:top w:val="none" w:sz="0" w:space="0" w:color="auto"/>
                    <w:left w:val="none" w:sz="0" w:space="0" w:color="auto"/>
                    <w:bottom w:val="none" w:sz="0" w:space="0" w:color="auto"/>
                    <w:right w:val="none" w:sz="0" w:space="0" w:color="auto"/>
                  </w:divBdr>
                  <w:divsChild>
                    <w:div w:id="807749316">
                      <w:marLeft w:val="0"/>
                      <w:marRight w:val="0"/>
                      <w:marTop w:val="0"/>
                      <w:marBottom w:val="0"/>
                      <w:divBdr>
                        <w:top w:val="none" w:sz="0" w:space="0" w:color="auto"/>
                        <w:left w:val="none" w:sz="0" w:space="0" w:color="auto"/>
                        <w:bottom w:val="none" w:sz="0" w:space="0" w:color="auto"/>
                        <w:right w:val="none" w:sz="0" w:space="0" w:color="auto"/>
                      </w:divBdr>
                    </w:div>
                  </w:divsChild>
                </w:div>
                <w:div w:id="1632243738">
                  <w:marLeft w:val="0"/>
                  <w:marRight w:val="0"/>
                  <w:marTop w:val="0"/>
                  <w:marBottom w:val="0"/>
                  <w:divBdr>
                    <w:top w:val="none" w:sz="0" w:space="0" w:color="auto"/>
                    <w:left w:val="none" w:sz="0" w:space="0" w:color="auto"/>
                    <w:bottom w:val="none" w:sz="0" w:space="0" w:color="auto"/>
                    <w:right w:val="none" w:sz="0" w:space="0" w:color="auto"/>
                  </w:divBdr>
                  <w:divsChild>
                    <w:div w:id="1000081287">
                      <w:marLeft w:val="0"/>
                      <w:marRight w:val="0"/>
                      <w:marTop w:val="0"/>
                      <w:marBottom w:val="0"/>
                      <w:divBdr>
                        <w:top w:val="none" w:sz="0" w:space="0" w:color="auto"/>
                        <w:left w:val="none" w:sz="0" w:space="0" w:color="auto"/>
                        <w:bottom w:val="none" w:sz="0" w:space="0" w:color="auto"/>
                        <w:right w:val="none" w:sz="0" w:space="0" w:color="auto"/>
                      </w:divBdr>
                    </w:div>
                  </w:divsChild>
                </w:div>
                <w:div w:id="1644239429">
                  <w:marLeft w:val="0"/>
                  <w:marRight w:val="0"/>
                  <w:marTop w:val="0"/>
                  <w:marBottom w:val="0"/>
                  <w:divBdr>
                    <w:top w:val="none" w:sz="0" w:space="0" w:color="auto"/>
                    <w:left w:val="none" w:sz="0" w:space="0" w:color="auto"/>
                    <w:bottom w:val="none" w:sz="0" w:space="0" w:color="auto"/>
                    <w:right w:val="none" w:sz="0" w:space="0" w:color="auto"/>
                  </w:divBdr>
                  <w:divsChild>
                    <w:div w:id="257834064">
                      <w:marLeft w:val="0"/>
                      <w:marRight w:val="0"/>
                      <w:marTop w:val="0"/>
                      <w:marBottom w:val="0"/>
                      <w:divBdr>
                        <w:top w:val="none" w:sz="0" w:space="0" w:color="auto"/>
                        <w:left w:val="none" w:sz="0" w:space="0" w:color="auto"/>
                        <w:bottom w:val="none" w:sz="0" w:space="0" w:color="auto"/>
                        <w:right w:val="none" w:sz="0" w:space="0" w:color="auto"/>
                      </w:divBdr>
                    </w:div>
                  </w:divsChild>
                </w:div>
                <w:div w:id="1674605128">
                  <w:marLeft w:val="0"/>
                  <w:marRight w:val="0"/>
                  <w:marTop w:val="0"/>
                  <w:marBottom w:val="0"/>
                  <w:divBdr>
                    <w:top w:val="none" w:sz="0" w:space="0" w:color="auto"/>
                    <w:left w:val="none" w:sz="0" w:space="0" w:color="auto"/>
                    <w:bottom w:val="none" w:sz="0" w:space="0" w:color="auto"/>
                    <w:right w:val="none" w:sz="0" w:space="0" w:color="auto"/>
                  </w:divBdr>
                  <w:divsChild>
                    <w:div w:id="1412041925">
                      <w:marLeft w:val="0"/>
                      <w:marRight w:val="0"/>
                      <w:marTop w:val="0"/>
                      <w:marBottom w:val="0"/>
                      <w:divBdr>
                        <w:top w:val="none" w:sz="0" w:space="0" w:color="auto"/>
                        <w:left w:val="none" w:sz="0" w:space="0" w:color="auto"/>
                        <w:bottom w:val="none" w:sz="0" w:space="0" w:color="auto"/>
                        <w:right w:val="none" w:sz="0" w:space="0" w:color="auto"/>
                      </w:divBdr>
                    </w:div>
                  </w:divsChild>
                </w:div>
                <w:div w:id="1676836521">
                  <w:marLeft w:val="0"/>
                  <w:marRight w:val="0"/>
                  <w:marTop w:val="0"/>
                  <w:marBottom w:val="0"/>
                  <w:divBdr>
                    <w:top w:val="none" w:sz="0" w:space="0" w:color="auto"/>
                    <w:left w:val="none" w:sz="0" w:space="0" w:color="auto"/>
                    <w:bottom w:val="none" w:sz="0" w:space="0" w:color="auto"/>
                    <w:right w:val="none" w:sz="0" w:space="0" w:color="auto"/>
                  </w:divBdr>
                  <w:divsChild>
                    <w:div w:id="1360856013">
                      <w:marLeft w:val="0"/>
                      <w:marRight w:val="0"/>
                      <w:marTop w:val="0"/>
                      <w:marBottom w:val="0"/>
                      <w:divBdr>
                        <w:top w:val="none" w:sz="0" w:space="0" w:color="auto"/>
                        <w:left w:val="none" w:sz="0" w:space="0" w:color="auto"/>
                        <w:bottom w:val="none" w:sz="0" w:space="0" w:color="auto"/>
                        <w:right w:val="none" w:sz="0" w:space="0" w:color="auto"/>
                      </w:divBdr>
                    </w:div>
                  </w:divsChild>
                </w:div>
                <w:div w:id="1702395297">
                  <w:marLeft w:val="0"/>
                  <w:marRight w:val="0"/>
                  <w:marTop w:val="0"/>
                  <w:marBottom w:val="0"/>
                  <w:divBdr>
                    <w:top w:val="none" w:sz="0" w:space="0" w:color="auto"/>
                    <w:left w:val="none" w:sz="0" w:space="0" w:color="auto"/>
                    <w:bottom w:val="none" w:sz="0" w:space="0" w:color="auto"/>
                    <w:right w:val="none" w:sz="0" w:space="0" w:color="auto"/>
                  </w:divBdr>
                  <w:divsChild>
                    <w:div w:id="285935152">
                      <w:marLeft w:val="0"/>
                      <w:marRight w:val="0"/>
                      <w:marTop w:val="0"/>
                      <w:marBottom w:val="0"/>
                      <w:divBdr>
                        <w:top w:val="none" w:sz="0" w:space="0" w:color="auto"/>
                        <w:left w:val="none" w:sz="0" w:space="0" w:color="auto"/>
                        <w:bottom w:val="none" w:sz="0" w:space="0" w:color="auto"/>
                        <w:right w:val="none" w:sz="0" w:space="0" w:color="auto"/>
                      </w:divBdr>
                    </w:div>
                  </w:divsChild>
                </w:div>
                <w:div w:id="1703944496">
                  <w:marLeft w:val="0"/>
                  <w:marRight w:val="0"/>
                  <w:marTop w:val="0"/>
                  <w:marBottom w:val="0"/>
                  <w:divBdr>
                    <w:top w:val="none" w:sz="0" w:space="0" w:color="auto"/>
                    <w:left w:val="none" w:sz="0" w:space="0" w:color="auto"/>
                    <w:bottom w:val="none" w:sz="0" w:space="0" w:color="auto"/>
                    <w:right w:val="none" w:sz="0" w:space="0" w:color="auto"/>
                  </w:divBdr>
                  <w:divsChild>
                    <w:div w:id="1693994589">
                      <w:marLeft w:val="0"/>
                      <w:marRight w:val="0"/>
                      <w:marTop w:val="0"/>
                      <w:marBottom w:val="0"/>
                      <w:divBdr>
                        <w:top w:val="none" w:sz="0" w:space="0" w:color="auto"/>
                        <w:left w:val="none" w:sz="0" w:space="0" w:color="auto"/>
                        <w:bottom w:val="none" w:sz="0" w:space="0" w:color="auto"/>
                        <w:right w:val="none" w:sz="0" w:space="0" w:color="auto"/>
                      </w:divBdr>
                    </w:div>
                  </w:divsChild>
                </w:div>
                <w:div w:id="1726877612">
                  <w:marLeft w:val="0"/>
                  <w:marRight w:val="0"/>
                  <w:marTop w:val="0"/>
                  <w:marBottom w:val="0"/>
                  <w:divBdr>
                    <w:top w:val="none" w:sz="0" w:space="0" w:color="auto"/>
                    <w:left w:val="none" w:sz="0" w:space="0" w:color="auto"/>
                    <w:bottom w:val="none" w:sz="0" w:space="0" w:color="auto"/>
                    <w:right w:val="none" w:sz="0" w:space="0" w:color="auto"/>
                  </w:divBdr>
                  <w:divsChild>
                    <w:div w:id="1308171972">
                      <w:marLeft w:val="0"/>
                      <w:marRight w:val="0"/>
                      <w:marTop w:val="0"/>
                      <w:marBottom w:val="0"/>
                      <w:divBdr>
                        <w:top w:val="none" w:sz="0" w:space="0" w:color="auto"/>
                        <w:left w:val="none" w:sz="0" w:space="0" w:color="auto"/>
                        <w:bottom w:val="none" w:sz="0" w:space="0" w:color="auto"/>
                        <w:right w:val="none" w:sz="0" w:space="0" w:color="auto"/>
                      </w:divBdr>
                    </w:div>
                  </w:divsChild>
                </w:div>
                <w:div w:id="1795175656">
                  <w:marLeft w:val="0"/>
                  <w:marRight w:val="0"/>
                  <w:marTop w:val="0"/>
                  <w:marBottom w:val="0"/>
                  <w:divBdr>
                    <w:top w:val="none" w:sz="0" w:space="0" w:color="auto"/>
                    <w:left w:val="none" w:sz="0" w:space="0" w:color="auto"/>
                    <w:bottom w:val="none" w:sz="0" w:space="0" w:color="auto"/>
                    <w:right w:val="none" w:sz="0" w:space="0" w:color="auto"/>
                  </w:divBdr>
                  <w:divsChild>
                    <w:div w:id="1162114409">
                      <w:marLeft w:val="0"/>
                      <w:marRight w:val="0"/>
                      <w:marTop w:val="0"/>
                      <w:marBottom w:val="0"/>
                      <w:divBdr>
                        <w:top w:val="none" w:sz="0" w:space="0" w:color="auto"/>
                        <w:left w:val="none" w:sz="0" w:space="0" w:color="auto"/>
                        <w:bottom w:val="none" w:sz="0" w:space="0" w:color="auto"/>
                        <w:right w:val="none" w:sz="0" w:space="0" w:color="auto"/>
                      </w:divBdr>
                    </w:div>
                  </w:divsChild>
                </w:div>
                <w:div w:id="1803229625">
                  <w:marLeft w:val="0"/>
                  <w:marRight w:val="0"/>
                  <w:marTop w:val="0"/>
                  <w:marBottom w:val="0"/>
                  <w:divBdr>
                    <w:top w:val="none" w:sz="0" w:space="0" w:color="auto"/>
                    <w:left w:val="none" w:sz="0" w:space="0" w:color="auto"/>
                    <w:bottom w:val="none" w:sz="0" w:space="0" w:color="auto"/>
                    <w:right w:val="none" w:sz="0" w:space="0" w:color="auto"/>
                  </w:divBdr>
                  <w:divsChild>
                    <w:div w:id="428241190">
                      <w:marLeft w:val="0"/>
                      <w:marRight w:val="0"/>
                      <w:marTop w:val="0"/>
                      <w:marBottom w:val="0"/>
                      <w:divBdr>
                        <w:top w:val="none" w:sz="0" w:space="0" w:color="auto"/>
                        <w:left w:val="none" w:sz="0" w:space="0" w:color="auto"/>
                        <w:bottom w:val="none" w:sz="0" w:space="0" w:color="auto"/>
                        <w:right w:val="none" w:sz="0" w:space="0" w:color="auto"/>
                      </w:divBdr>
                    </w:div>
                  </w:divsChild>
                </w:div>
                <w:div w:id="1811896473">
                  <w:marLeft w:val="0"/>
                  <w:marRight w:val="0"/>
                  <w:marTop w:val="0"/>
                  <w:marBottom w:val="0"/>
                  <w:divBdr>
                    <w:top w:val="none" w:sz="0" w:space="0" w:color="auto"/>
                    <w:left w:val="none" w:sz="0" w:space="0" w:color="auto"/>
                    <w:bottom w:val="none" w:sz="0" w:space="0" w:color="auto"/>
                    <w:right w:val="none" w:sz="0" w:space="0" w:color="auto"/>
                  </w:divBdr>
                  <w:divsChild>
                    <w:div w:id="176893277">
                      <w:marLeft w:val="0"/>
                      <w:marRight w:val="0"/>
                      <w:marTop w:val="0"/>
                      <w:marBottom w:val="0"/>
                      <w:divBdr>
                        <w:top w:val="none" w:sz="0" w:space="0" w:color="auto"/>
                        <w:left w:val="none" w:sz="0" w:space="0" w:color="auto"/>
                        <w:bottom w:val="none" w:sz="0" w:space="0" w:color="auto"/>
                        <w:right w:val="none" w:sz="0" w:space="0" w:color="auto"/>
                      </w:divBdr>
                    </w:div>
                  </w:divsChild>
                </w:div>
                <w:div w:id="1819227277">
                  <w:marLeft w:val="0"/>
                  <w:marRight w:val="0"/>
                  <w:marTop w:val="0"/>
                  <w:marBottom w:val="0"/>
                  <w:divBdr>
                    <w:top w:val="none" w:sz="0" w:space="0" w:color="auto"/>
                    <w:left w:val="none" w:sz="0" w:space="0" w:color="auto"/>
                    <w:bottom w:val="none" w:sz="0" w:space="0" w:color="auto"/>
                    <w:right w:val="none" w:sz="0" w:space="0" w:color="auto"/>
                  </w:divBdr>
                  <w:divsChild>
                    <w:div w:id="1643804336">
                      <w:marLeft w:val="0"/>
                      <w:marRight w:val="0"/>
                      <w:marTop w:val="0"/>
                      <w:marBottom w:val="0"/>
                      <w:divBdr>
                        <w:top w:val="none" w:sz="0" w:space="0" w:color="auto"/>
                        <w:left w:val="none" w:sz="0" w:space="0" w:color="auto"/>
                        <w:bottom w:val="none" w:sz="0" w:space="0" w:color="auto"/>
                        <w:right w:val="none" w:sz="0" w:space="0" w:color="auto"/>
                      </w:divBdr>
                    </w:div>
                  </w:divsChild>
                </w:div>
                <w:div w:id="1873766527">
                  <w:marLeft w:val="0"/>
                  <w:marRight w:val="0"/>
                  <w:marTop w:val="0"/>
                  <w:marBottom w:val="0"/>
                  <w:divBdr>
                    <w:top w:val="none" w:sz="0" w:space="0" w:color="auto"/>
                    <w:left w:val="none" w:sz="0" w:space="0" w:color="auto"/>
                    <w:bottom w:val="none" w:sz="0" w:space="0" w:color="auto"/>
                    <w:right w:val="none" w:sz="0" w:space="0" w:color="auto"/>
                  </w:divBdr>
                  <w:divsChild>
                    <w:div w:id="506754626">
                      <w:marLeft w:val="0"/>
                      <w:marRight w:val="0"/>
                      <w:marTop w:val="0"/>
                      <w:marBottom w:val="0"/>
                      <w:divBdr>
                        <w:top w:val="none" w:sz="0" w:space="0" w:color="auto"/>
                        <w:left w:val="none" w:sz="0" w:space="0" w:color="auto"/>
                        <w:bottom w:val="none" w:sz="0" w:space="0" w:color="auto"/>
                        <w:right w:val="none" w:sz="0" w:space="0" w:color="auto"/>
                      </w:divBdr>
                    </w:div>
                  </w:divsChild>
                </w:div>
                <w:div w:id="1894385797">
                  <w:marLeft w:val="0"/>
                  <w:marRight w:val="0"/>
                  <w:marTop w:val="0"/>
                  <w:marBottom w:val="0"/>
                  <w:divBdr>
                    <w:top w:val="none" w:sz="0" w:space="0" w:color="auto"/>
                    <w:left w:val="none" w:sz="0" w:space="0" w:color="auto"/>
                    <w:bottom w:val="none" w:sz="0" w:space="0" w:color="auto"/>
                    <w:right w:val="none" w:sz="0" w:space="0" w:color="auto"/>
                  </w:divBdr>
                  <w:divsChild>
                    <w:div w:id="872838465">
                      <w:marLeft w:val="0"/>
                      <w:marRight w:val="0"/>
                      <w:marTop w:val="0"/>
                      <w:marBottom w:val="0"/>
                      <w:divBdr>
                        <w:top w:val="none" w:sz="0" w:space="0" w:color="auto"/>
                        <w:left w:val="none" w:sz="0" w:space="0" w:color="auto"/>
                        <w:bottom w:val="none" w:sz="0" w:space="0" w:color="auto"/>
                        <w:right w:val="none" w:sz="0" w:space="0" w:color="auto"/>
                      </w:divBdr>
                    </w:div>
                  </w:divsChild>
                </w:div>
                <w:div w:id="1919711777">
                  <w:marLeft w:val="0"/>
                  <w:marRight w:val="0"/>
                  <w:marTop w:val="0"/>
                  <w:marBottom w:val="0"/>
                  <w:divBdr>
                    <w:top w:val="none" w:sz="0" w:space="0" w:color="auto"/>
                    <w:left w:val="none" w:sz="0" w:space="0" w:color="auto"/>
                    <w:bottom w:val="none" w:sz="0" w:space="0" w:color="auto"/>
                    <w:right w:val="none" w:sz="0" w:space="0" w:color="auto"/>
                  </w:divBdr>
                  <w:divsChild>
                    <w:div w:id="1625235207">
                      <w:marLeft w:val="0"/>
                      <w:marRight w:val="0"/>
                      <w:marTop w:val="0"/>
                      <w:marBottom w:val="0"/>
                      <w:divBdr>
                        <w:top w:val="none" w:sz="0" w:space="0" w:color="auto"/>
                        <w:left w:val="none" w:sz="0" w:space="0" w:color="auto"/>
                        <w:bottom w:val="none" w:sz="0" w:space="0" w:color="auto"/>
                        <w:right w:val="none" w:sz="0" w:space="0" w:color="auto"/>
                      </w:divBdr>
                    </w:div>
                  </w:divsChild>
                </w:div>
                <w:div w:id="1989245599">
                  <w:marLeft w:val="0"/>
                  <w:marRight w:val="0"/>
                  <w:marTop w:val="0"/>
                  <w:marBottom w:val="0"/>
                  <w:divBdr>
                    <w:top w:val="none" w:sz="0" w:space="0" w:color="auto"/>
                    <w:left w:val="none" w:sz="0" w:space="0" w:color="auto"/>
                    <w:bottom w:val="none" w:sz="0" w:space="0" w:color="auto"/>
                    <w:right w:val="none" w:sz="0" w:space="0" w:color="auto"/>
                  </w:divBdr>
                  <w:divsChild>
                    <w:div w:id="403798004">
                      <w:marLeft w:val="0"/>
                      <w:marRight w:val="0"/>
                      <w:marTop w:val="0"/>
                      <w:marBottom w:val="0"/>
                      <w:divBdr>
                        <w:top w:val="none" w:sz="0" w:space="0" w:color="auto"/>
                        <w:left w:val="none" w:sz="0" w:space="0" w:color="auto"/>
                        <w:bottom w:val="none" w:sz="0" w:space="0" w:color="auto"/>
                        <w:right w:val="none" w:sz="0" w:space="0" w:color="auto"/>
                      </w:divBdr>
                    </w:div>
                  </w:divsChild>
                </w:div>
                <w:div w:id="1990162161">
                  <w:marLeft w:val="0"/>
                  <w:marRight w:val="0"/>
                  <w:marTop w:val="0"/>
                  <w:marBottom w:val="0"/>
                  <w:divBdr>
                    <w:top w:val="none" w:sz="0" w:space="0" w:color="auto"/>
                    <w:left w:val="none" w:sz="0" w:space="0" w:color="auto"/>
                    <w:bottom w:val="none" w:sz="0" w:space="0" w:color="auto"/>
                    <w:right w:val="none" w:sz="0" w:space="0" w:color="auto"/>
                  </w:divBdr>
                  <w:divsChild>
                    <w:div w:id="1612781633">
                      <w:marLeft w:val="0"/>
                      <w:marRight w:val="0"/>
                      <w:marTop w:val="0"/>
                      <w:marBottom w:val="0"/>
                      <w:divBdr>
                        <w:top w:val="none" w:sz="0" w:space="0" w:color="auto"/>
                        <w:left w:val="none" w:sz="0" w:space="0" w:color="auto"/>
                        <w:bottom w:val="none" w:sz="0" w:space="0" w:color="auto"/>
                        <w:right w:val="none" w:sz="0" w:space="0" w:color="auto"/>
                      </w:divBdr>
                    </w:div>
                  </w:divsChild>
                </w:div>
                <w:div w:id="2125150900">
                  <w:marLeft w:val="0"/>
                  <w:marRight w:val="0"/>
                  <w:marTop w:val="0"/>
                  <w:marBottom w:val="0"/>
                  <w:divBdr>
                    <w:top w:val="none" w:sz="0" w:space="0" w:color="auto"/>
                    <w:left w:val="none" w:sz="0" w:space="0" w:color="auto"/>
                    <w:bottom w:val="none" w:sz="0" w:space="0" w:color="auto"/>
                    <w:right w:val="none" w:sz="0" w:space="0" w:color="auto"/>
                  </w:divBdr>
                  <w:divsChild>
                    <w:div w:id="11074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82240">
      <w:bodyDiv w:val="1"/>
      <w:marLeft w:val="0"/>
      <w:marRight w:val="0"/>
      <w:marTop w:val="0"/>
      <w:marBottom w:val="0"/>
      <w:divBdr>
        <w:top w:val="none" w:sz="0" w:space="0" w:color="auto"/>
        <w:left w:val="none" w:sz="0" w:space="0" w:color="auto"/>
        <w:bottom w:val="none" w:sz="0" w:space="0" w:color="auto"/>
        <w:right w:val="none" w:sz="0" w:space="0" w:color="auto"/>
      </w:divBdr>
      <w:divsChild>
        <w:div w:id="353112706">
          <w:marLeft w:val="0"/>
          <w:marRight w:val="0"/>
          <w:marTop w:val="0"/>
          <w:marBottom w:val="0"/>
          <w:divBdr>
            <w:top w:val="none" w:sz="0" w:space="0" w:color="auto"/>
            <w:left w:val="none" w:sz="0" w:space="0" w:color="auto"/>
            <w:bottom w:val="none" w:sz="0" w:space="0" w:color="auto"/>
            <w:right w:val="none" w:sz="0" w:space="0" w:color="auto"/>
          </w:divBdr>
        </w:div>
        <w:div w:id="1540389658">
          <w:marLeft w:val="0"/>
          <w:marRight w:val="0"/>
          <w:marTop w:val="0"/>
          <w:marBottom w:val="0"/>
          <w:divBdr>
            <w:top w:val="none" w:sz="0" w:space="0" w:color="auto"/>
            <w:left w:val="none" w:sz="0" w:space="0" w:color="auto"/>
            <w:bottom w:val="none" w:sz="0" w:space="0" w:color="auto"/>
            <w:right w:val="none" w:sz="0" w:space="0" w:color="auto"/>
          </w:divBdr>
        </w:div>
        <w:div w:id="1925340154">
          <w:marLeft w:val="0"/>
          <w:marRight w:val="0"/>
          <w:marTop w:val="0"/>
          <w:marBottom w:val="0"/>
          <w:divBdr>
            <w:top w:val="none" w:sz="0" w:space="0" w:color="auto"/>
            <w:left w:val="none" w:sz="0" w:space="0" w:color="auto"/>
            <w:bottom w:val="none" w:sz="0" w:space="0" w:color="auto"/>
            <w:right w:val="none" w:sz="0" w:space="0" w:color="auto"/>
          </w:divBdr>
        </w:div>
        <w:div w:id="2053143152">
          <w:marLeft w:val="0"/>
          <w:marRight w:val="0"/>
          <w:marTop w:val="0"/>
          <w:marBottom w:val="0"/>
          <w:divBdr>
            <w:top w:val="none" w:sz="0" w:space="0" w:color="auto"/>
            <w:left w:val="none" w:sz="0" w:space="0" w:color="auto"/>
            <w:bottom w:val="none" w:sz="0" w:space="0" w:color="auto"/>
            <w:right w:val="none" w:sz="0" w:space="0" w:color="auto"/>
          </w:divBdr>
        </w:div>
      </w:divsChild>
    </w:div>
    <w:div w:id="980963063">
      <w:bodyDiv w:val="1"/>
      <w:marLeft w:val="0"/>
      <w:marRight w:val="0"/>
      <w:marTop w:val="0"/>
      <w:marBottom w:val="0"/>
      <w:divBdr>
        <w:top w:val="none" w:sz="0" w:space="0" w:color="auto"/>
        <w:left w:val="none" w:sz="0" w:space="0" w:color="auto"/>
        <w:bottom w:val="none" w:sz="0" w:space="0" w:color="auto"/>
        <w:right w:val="none" w:sz="0" w:space="0" w:color="auto"/>
      </w:divBdr>
    </w:div>
    <w:div w:id="984166022">
      <w:bodyDiv w:val="1"/>
      <w:marLeft w:val="0"/>
      <w:marRight w:val="0"/>
      <w:marTop w:val="0"/>
      <w:marBottom w:val="0"/>
      <w:divBdr>
        <w:top w:val="none" w:sz="0" w:space="0" w:color="auto"/>
        <w:left w:val="none" w:sz="0" w:space="0" w:color="auto"/>
        <w:bottom w:val="none" w:sz="0" w:space="0" w:color="auto"/>
        <w:right w:val="none" w:sz="0" w:space="0" w:color="auto"/>
      </w:divBdr>
    </w:div>
    <w:div w:id="1029572044">
      <w:bodyDiv w:val="1"/>
      <w:marLeft w:val="0"/>
      <w:marRight w:val="0"/>
      <w:marTop w:val="0"/>
      <w:marBottom w:val="0"/>
      <w:divBdr>
        <w:top w:val="none" w:sz="0" w:space="0" w:color="auto"/>
        <w:left w:val="none" w:sz="0" w:space="0" w:color="auto"/>
        <w:bottom w:val="none" w:sz="0" w:space="0" w:color="auto"/>
        <w:right w:val="none" w:sz="0" w:space="0" w:color="auto"/>
      </w:divBdr>
      <w:divsChild>
        <w:div w:id="9374531">
          <w:marLeft w:val="0"/>
          <w:marRight w:val="0"/>
          <w:marTop w:val="0"/>
          <w:marBottom w:val="0"/>
          <w:divBdr>
            <w:top w:val="none" w:sz="0" w:space="0" w:color="auto"/>
            <w:left w:val="none" w:sz="0" w:space="0" w:color="auto"/>
            <w:bottom w:val="none" w:sz="0" w:space="0" w:color="auto"/>
            <w:right w:val="none" w:sz="0" w:space="0" w:color="auto"/>
          </w:divBdr>
        </w:div>
        <w:div w:id="658920993">
          <w:marLeft w:val="0"/>
          <w:marRight w:val="0"/>
          <w:marTop w:val="0"/>
          <w:marBottom w:val="0"/>
          <w:divBdr>
            <w:top w:val="none" w:sz="0" w:space="0" w:color="auto"/>
            <w:left w:val="none" w:sz="0" w:space="0" w:color="auto"/>
            <w:bottom w:val="none" w:sz="0" w:space="0" w:color="auto"/>
            <w:right w:val="none" w:sz="0" w:space="0" w:color="auto"/>
          </w:divBdr>
        </w:div>
        <w:div w:id="963539037">
          <w:marLeft w:val="0"/>
          <w:marRight w:val="0"/>
          <w:marTop w:val="0"/>
          <w:marBottom w:val="0"/>
          <w:divBdr>
            <w:top w:val="none" w:sz="0" w:space="0" w:color="auto"/>
            <w:left w:val="none" w:sz="0" w:space="0" w:color="auto"/>
            <w:bottom w:val="none" w:sz="0" w:space="0" w:color="auto"/>
            <w:right w:val="none" w:sz="0" w:space="0" w:color="auto"/>
          </w:divBdr>
        </w:div>
        <w:div w:id="1769766461">
          <w:marLeft w:val="0"/>
          <w:marRight w:val="0"/>
          <w:marTop w:val="0"/>
          <w:marBottom w:val="0"/>
          <w:divBdr>
            <w:top w:val="none" w:sz="0" w:space="0" w:color="auto"/>
            <w:left w:val="none" w:sz="0" w:space="0" w:color="auto"/>
            <w:bottom w:val="none" w:sz="0" w:space="0" w:color="auto"/>
            <w:right w:val="none" w:sz="0" w:space="0" w:color="auto"/>
          </w:divBdr>
        </w:div>
      </w:divsChild>
    </w:div>
    <w:div w:id="1197767125">
      <w:bodyDiv w:val="1"/>
      <w:marLeft w:val="0"/>
      <w:marRight w:val="0"/>
      <w:marTop w:val="0"/>
      <w:marBottom w:val="0"/>
      <w:divBdr>
        <w:top w:val="none" w:sz="0" w:space="0" w:color="auto"/>
        <w:left w:val="none" w:sz="0" w:space="0" w:color="auto"/>
        <w:bottom w:val="none" w:sz="0" w:space="0" w:color="auto"/>
        <w:right w:val="none" w:sz="0" w:space="0" w:color="auto"/>
      </w:divBdr>
    </w:div>
    <w:div w:id="1268388351">
      <w:bodyDiv w:val="1"/>
      <w:marLeft w:val="0"/>
      <w:marRight w:val="0"/>
      <w:marTop w:val="0"/>
      <w:marBottom w:val="0"/>
      <w:divBdr>
        <w:top w:val="none" w:sz="0" w:space="0" w:color="auto"/>
        <w:left w:val="none" w:sz="0" w:space="0" w:color="auto"/>
        <w:bottom w:val="none" w:sz="0" w:space="0" w:color="auto"/>
        <w:right w:val="none" w:sz="0" w:space="0" w:color="auto"/>
      </w:divBdr>
    </w:div>
    <w:div w:id="1334870003">
      <w:bodyDiv w:val="1"/>
      <w:marLeft w:val="0"/>
      <w:marRight w:val="0"/>
      <w:marTop w:val="0"/>
      <w:marBottom w:val="0"/>
      <w:divBdr>
        <w:top w:val="none" w:sz="0" w:space="0" w:color="auto"/>
        <w:left w:val="none" w:sz="0" w:space="0" w:color="auto"/>
        <w:bottom w:val="none" w:sz="0" w:space="0" w:color="auto"/>
        <w:right w:val="none" w:sz="0" w:space="0" w:color="auto"/>
      </w:divBdr>
    </w:div>
    <w:div w:id="1390759706">
      <w:bodyDiv w:val="1"/>
      <w:marLeft w:val="0"/>
      <w:marRight w:val="0"/>
      <w:marTop w:val="0"/>
      <w:marBottom w:val="0"/>
      <w:divBdr>
        <w:top w:val="none" w:sz="0" w:space="0" w:color="auto"/>
        <w:left w:val="none" w:sz="0" w:space="0" w:color="auto"/>
        <w:bottom w:val="none" w:sz="0" w:space="0" w:color="auto"/>
        <w:right w:val="none" w:sz="0" w:space="0" w:color="auto"/>
      </w:divBdr>
    </w:div>
    <w:div w:id="1407266412">
      <w:bodyDiv w:val="1"/>
      <w:marLeft w:val="0"/>
      <w:marRight w:val="0"/>
      <w:marTop w:val="0"/>
      <w:marBottom w:val="0"/>
      <w:divBdr>
        <w:top w:val="none" w:sz="0" w:space="0" w:color="auto"/>
        <w:left w:val="none" w:sz="0" w:space="0" w:color="auto"/>
        <w:bottom w:val="none" w:sz="0" w:space="0" w:color="auto"/>
        <w:right w:val="none" w:sz="0" w:space="0" w:color="auto"/>
      </w:divBdr>
      <w:divsChild>
        <w:div w:id="1568414067">
          <w:marLeft w:val="0"/>
          <w:marRight w:val="0"/>
          <w:marTop w:val="0"/>
          <w:marBottom w:val="0"/>
          <w:divBdr>
            <w:top w:val="none" w:sz="0" w:space="0" w:color="auto"/>
            <w:left w:val="none" w:sz="0" w:space="0" w:color="auto"/>
            <w:bottom w:val="none" w:sz="0" w:space="0" w:color="auto"/>
            <w:right w:val="none" w:sz="0" w:space="0" w:color="auto"/>
          </w:divBdr>
        </w:div>
      </w:divsChild>
    </w:div>
    <w:div w:id="1841968205">
      <w:bodyDiv w:val="1"/>
      <w:marLeft w:val="0"/>
      <w:marRight w:val="0"/>
      <w:marTop w:val="0"/>
      <w:marBottom w:val="0"/>
      <w:divBdr>
        <w:top w:val="none" w:sz="0" w:space="0" w:color="auto"/>
        <w:left w:val="none" w:sz="0" w:space="0" w:color="auto"/>
        <w:bottom w:val="none" w:sz="0" w:space="0" w:color="auto"/>
        <w:right w:val="none" w:sz="0" w:space="0" w:color="auto"/>
      </w:divBdr>
    </w:div>
    <w:div w:id="1842890284">
      <w:bodyDiv w:val="1"/>
      <w:marLeft w:val="0"/>
      <w:marRight w:val="0"/>
      <w:marTop w:val="0"/>
      <w:marBottom w:val="0"/>
      <w:divBdr>
        <w:top w:val="none" w:sz="0" w:space="0" w:color="auto"/>
        <w:left w:val="none" w:sz="0" w:space="0" w:color="auto"/>
        <w:bottom w:val="none" w:sz="0" w:space="0" w:color="auto"/>
        <w:right w:val="none" w:sz="0" w:space="0" w:color="auto"/>
      </w:divBdr>
    </w:div>
    <w:div w:id="1900096050">
      <w:bodyDiv w:val="1"/>
      <w:marLeft w:val="0"/>
      <w:marRight w:val="0"/>
      <w:marTop w:val="0"/>
      <w:marBottom w:val="0"/>
      <w:divBdr>
        <w:top w:val="none" w:sz="0" w:space="0" w:color="auto"/>
        <w:left w:val="none" w:sz="0" w:space="0" w:color="auto"/>
        <w:bottom w:val="none" w:sz="0" w:space="0" w:color="auto"/>
        <w:right w:val="none" w:sz="0" w:space="0" w:color="auto"/>
      </w:divBdr>
    </w:div>
    <w:div w:id="1909994584">
      <w:bodyDiv w:val="1"/>
      <w:marLeft w:val="0"/>
      <w:marRight w:val="0"/>
      <w:marTop w:val="0"/>
      <w:marBottom w:val="0"/>
      <w:divBdr>
        <w:top w:val="none" w:sz="0" w:space="0" w:color="auto"/>
        <w:left w:val="none" w:sz="0" w:space="0" w:color="auto"/>
        <w:bottom w:val="none" w:sz="0" w:space="0" w:color="auto"/>
        <w:right w:val="none" w:sz="0" w:space="0" w:color="auto"/>
      </w:divBdr>
    </w:div>
    <w:div w:id="199159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0.xml"/><Relationship Id="rId21" Type="http://schemas.openxmlformats.org/officeDocument/2006/relationships/footer" Target="footer5.xml"/><Relationship Id="rId34" Type="http://schemas.openxmlformats.org/officeDocument/2006/relationships/chart" Target="charts/chart4.xm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oter" Target="footer15.xml"/><Relationship Id="rId55"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chart" Target="charts/chart3.xml"/><Relationship Id="rId38" Type="http://schemas.openxmlformats.org/officeDocument/2006/relationships/hyperlink" Target="https://euc-word-edit.officeapps.live.com/we/wordeditorframe.aspx?ui=en-US&amp;rs=en-IE&amp;wopisrc=https%3A%2F%2Feceuropaeu.sharepoint.com%2Fteams%2FGRP-PRO-DG-CLIMA-Unit-B1%2F_vti_bin%2Fwopi.ashx%2Ffiles%2Facc4252787a84dbdab8548746684a965&amp;wdenableroaming=1&amp;mscc=1&amp;hid=8C06B9A1-6023-0000-00D3-045EC802F0CC.0&amp;uih=sharepointcom&amp;wdlcid=en-US&amp;jsapi=1&amp;jsapiver=v2&amp;corrid=3bc90275-cdf3-3b1b-1a72-07f85bc349f0&amp;usid=3bc90275-cdf3-3b1b-1a72-07f85bc349f0&amp;newsession=1&amp;sftc=1&amp;uihit=docaspx&amp;muv=1&amp;ats=PairwiseBroker&amp;cac=1&amp;sams=1&amp;mtf=1&amp;sfp=1&amp;sdp=1&amp;hch=1&amp;hwfh=1&amp;dchat=1&amp;sc=%7B%22pmo%22%3A%22https%3A%2F%2Feceuropaeu.sharepoint.com%22%2C%22pmshare%22%3Atrue%7D&amp;ctp=LeastProtected&amp;rct=Normal&amp;wdorigin=ItemsView&amp;wdhostclicktime=1754464512569&amp;afdflight=82&amp;csiro=1&amp;instantedit=1&amp;wopicomplete=1&amp;wdredirectionreason=Unified_SingleFlush" TargetMode="External"/><Relationship Id="rId46" Type="http://schemas.openxmlformats.org/officeDocument/2006/relationships/header" Target="header14.xml"/><Relationship Id="rId59"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footer" Target="footer10.xm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1.xml"/><Relationship Id="rId32" Type="http://schemas.openxmlformats.org/officeDocument/2006/relationships/chart" Target="charts/chart2.xml"/><Relationship Id="rId37" Type="http://schemas.openxmlformats.org/officeDocument/2006/relationships/image" Target="media/image4.png"/><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oter" Target="footer16.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chart" Target="charts/chart5.xml"/><Relationship Id="rId49" Type="http://schemas.openxmlformats.org/officeDocument/2006/relationships/header" Target="header15.xm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footer" Target="footer12.xml"/><Relationship Id="rId52"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image" Target="media/image3.png"/><Relationship Id="rId43" Type="http://schemas.openxmlformats.org/officeDocument/2006/relationships/header" Target="header12.xml"/><Relationship Id="rId48" Type="http://schemas.openxmlformats.org/officeDocument/2006/relationships/footer" Target="footer14.xml"/><Relationship Id="rId56" Type="http://schemas.openxmlformats.org/officeDocument/2006/relationships/footer" Target="footer18.xml"/><Relationship Id="rId8" Type="http://schemas.openxmlformats.org/officeDocument/2006/relationships/webSettings" Target="webSettings.xml"/><Relationship Id="rId51" Type="http://schemas.openxmlformats.org/officeDocument/2006/relationships/header" Target="header16.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eli/reg/2023/435/oj" TargetMode="External"/><Relationship Id="rId18" Type="http://schemas.openxmlformats.org/officeDocument/2006/relationships/hyperlink" Target="https://eur-lex.europa.eu/eli/reg_impl/2021/447" TargetMode="External"/><Relationship Id="rId26" Type="http://schemas.openxmlformats.org/officeDocument/2006/relationships/hyperlink" Target="https://eur-lex.europa.eu/legal-content/IT/TXT/?uri=celex%3A32014L0065" TargetMode="External"/><Relationship Id="rId39" Type="http://schemas.openxmlformats.org/officeDocument/2006/relationships/hyperlink" Target="https://eur-lex.europa.eu/legal-content/IT/TXT/?uri=CELEX%3A02014L0065-20240328" TargetMode="External"/><Relationship Id="rId21" Type="http://schemas.openxmlformats.org/officeDocument/2006/relationships/hyperlink" Target="https://ec.europa.eu/commission/presscorner/detail/en/ip_25_1563" TargetMode="External"/><Relationship Id="rId34" Type="http://schemas.openxmlformats.org/officeDocument/2006/relationships/hyperlink" Target="https://www.esma.europa.eu/document/market-report-eu-carbon-markets-2025" TargetMode="External"/><Relationship Id="rId42" Type="http://schemas.openxmlformats.org/officeDocument/2006/relationships/hyperlink" Target="https://eur-lex.europa.eu/legal-content/IT/TXT/?uri=CELEX%3A02014R0600-20241204" TargetMode="External"/><Relationship Id="rId47" Type="http://schemas.openxmlformats.org/officeDocument/2006/relationships/hyperlink" Target="https://ec.europa.eu/eurostat/databrowser/view/nrg_cb_pem__custom_17401908/default/table?lang=en" TargetMode="External"/><Relationship Id="rId50" Type="http://schemas.openxmlformats.org/officeDocument/2006/relationships/hyperlink" Target="https://reportnet.europa.eu/public/dataflow/1527" TargetMode="External"/><Relationship Id="rId55" Type="http://schemas.openxmlformats.org/officeDocument/2006/relationships/hyperlink" Target="https://www.eib.org/en/products/mandates-partnerships/innovation-fund/index.htm" TargetMode="External"/><Relationship Id="rId63" Type="http://schemas.openxmlformats.org/officeDocument/2006/relationships/hyperlink" Target="https://eur-lex.europa.eu/legal-content/IT/TXT/?uri=CELEX%3A32023L0958" TargetMode="External"/><Relationship Id="rId68" Type="http://schemas.openxmlformats.org/officeDocument/2006/relationships/hyperlink" Target="https://eur-lex.europa.eu/legal-content/IT/TXT/?uri=celex%3A32023D0136" TargetMode="External"/><Relationship Id="rId76" Type="http://schemas.openxmlformats.org/officeDocument/2006/relationships/hyperlink" Target="https://eur-lex.europa.eu/eli/C/2025/2934/oj" TargetMode="External"/><Relationship Id="rId84" Type="http://schemas.openxmlformats.org/officeDocument/2006/relationships/hyperlink" Target="https://eur-lex.europa.eu/eli/reg_impl/2025/1192/oj/ita" TargetMode="External"/><Relationship Id="rId89" Type="http://schemas.openxmlformats.org/officeDocument/2006/relationships/hyperlink" Target="https://eur-lex.europa.eu/legal-content/IT/TXT/?uri=OJ%3AJOL_2023_231_R_0001&amp;qid=1695186598766" TargetMode="External"/><Relationship Id="rId7" Type="http://schemas.openxmlformats.org/officeDocument/2006/relationships/hyperlink" Target="https://employment-social-affairs.ec.europa.eu/document/7f23666f-5556-455a-b0f5-4c150994ce10_en?prefLang=it" TargetMode="External"/><Relationship Id="rId71" Type="http://schemas.openxmlformats.org/officeDocument/2006/relationships/hyperlink" Target="https://eur-lex.europa.eu/legal-content/IT/TXT/?uri=CELEX%3A32024R1879&amp;qid=1722504757152" TargetMode="External"/><Relationship Id="rId92" Type="http://schemas.openxmlformats.org/officeDocument/2006/relationships/hyperlink" Target="https://commission.europa.eu/publications/commission-staff-working-document-delivering-unions-2030-energy-and-climate-objectives_en" TargetMode="External"/><Relationship Id="rId2" Type="http://schemas.openxmlformats.org/officeDocument/2006/relationships/hyperlink" Target="https://commission.europa.eu/business-economy-euro/economic-recovery/recovery-and-resilience-facility_it" TargetMode="External"/><Relationship Id="rId16" Type="http://schemas.openxmlformats.org/officeDocument/2006/relationships/hyperlink" Target="https://climate.ec.europa.eu/news-your-voice/news/notification-germany-voluntary-cancellation-plants-closed-2022-2024-05-02_en?prefLang=it" TargetMode="External"/><Relationship Id="rId29" Type="http://schemas.openxmlformats.org/officeDocument/2006/relationships/hyperlink" Target="https://eur-lex.europa.eu/legal-content/IT/TXT/?uri=CELEX%3A32014R0596" TargetMode="External"/><Relationship Id="rId11" Type="http://schemas.openxmlformats.org/officeDocument/2006/relationships/hyperlink" Target="https://eur-lex.europa.eu/eli/reg_del/2023/2830/oj" TargetMode="External"/><Relationship Id="rId24" Type="http://schemas.openxmlformats.org/officeDocument/2006/relationships/hyperlink" Target="https://eur-lex.europa.eu/legal-content/IT/TXT/?uri=CELEX%3A52025XC03180&amp;qid=1753262885801" TargetMode="External"/><Relationship Id="rId32" Type="http://schemas.openxmlformats.org/officeDocument/2006/relationships/hyperlink" Target="https://www.esma.europa.eu/document/market-report-eu-carbon-markets-2024" TargetMode="External"/><Relationship Id="rId37" Type="http://schemas.openxmlformats.org/officeDocument/2006/relationships/hyperlink" Target="https://eur-lex.europa.eu/legal-content/IT/TXT/?uri=OJ:L_202400790" TargetMode="External"/><Relationship Id="rId40" Type="http://schemas.openxmlformats.org/officeDocument/2006/relationships/hyperlink" Target="https://eur-lex.europa.eu/legal-content/IT/TXT/?uri=OJ:L_202400791" TargetMode="External"/><Relationship Id="rId45" Type="http://schemas.openxmlformats.org/officeDocument/2006/relationships/hyperlink" Target="https://finance.ec.europa.eu/regulation-and-supervision/consultations-0/targeted-consultation-review-functioning-commodity-derivatives-markets-and-certain-aspects-relating_en?prefLang=it" TargetMode="External"/><Relationship Id="rId53" Type="http://schemas.openxmlformats.org/officeDocument/2006/relationships/hyperlink" Target="https://data.europa.eu/doi/10.2834/6564729" TargetMode="External"/><Relationship Id="rId58" Type="http://schemas.openxmlformats.org/officeDocument/2006/relationships/hyperlink" Target="https://climate.ec.europa.eu/document/download/dd3c417c-fc64-4e25-82c0-49af24383334_en?filename=c_2024_4190_en.pdf" TargetMode="External"/><Relationship Id="rId66" Type="http://schemas.openxmlformats.org/officeDocument/2006/relationships/hyperlink" Target="https://www.icao.int/environmental-protection/CORSIA/Pages/CCR.aspx" TargetMode="External"/><Relationship Id="rId74" Type="http://schemas.openxmlformats.org/officeDocument/2006/relationships/hyperlink" Target="https://eur-lex.europa.eu/eli/reg_del/2025/723/oj/ita" TargetMode="External"/><Relationship Id="rId79" Type="http://schemas.openxmlformats.org/officeDocument/2006/relationships/hyperlink" Target="https://eur-lex.europa.eu/eli/C/2025/5004/oj/ita" TargetMode="External"/><Relationship Id="rId87" Type="http://schemas.openxmlformats.org/officeDocument/2006/relationships/hyperlink" Target="https://climate.ec.europa.eu/eu-action/eu-emissions-trading-system-eu-ets/ets2-buildings-road-transport-and-additional-sectors_en?prefLang=it" TargetMode="External"/><Relationship Id="rId5" Type="http://schemas.openxmlformats.org/officeDocument/2006/relationships/hyperlink" Target="https://eur-lex.europa.eu/legal-content/IT/TXT/?uri=CELEX:32018R0842" TargetMode="External"/><Relationship Id="rId61" Type="http://schemas.openxmlformats.org/officeDocument/2006/relationships/hyperlink" Target="https://eur-lex.europa.eu/eli/dec/2013/377(1)/oj/ita" TargetMode="External"/><Relationship Id="rId82" Type="http://schemas.openxmlformats.org/officeDocument/2006/relationships/hyperlink" Target="https://eur-lex.europa.eu/legal-content/IT/TXT/?uri=CELEX:02018R2067-20250622" TargetMode="External"/><Relationship Id="rId90" Type="http://schemas.openxmlformats.org/officeDocument/2006/relationships/hyperlink" Target="https://eur-lex.europa.eu/legal-content/IT/TXT/?uri=OJ%3AJOL_2023_231_R_0001&amp;qid=1695186598766" TargetMode="External"/><Relationship Id="rId95" Type="http://schemas.openxmlformats.org/officeDocument/2006/relationships/hyperlink" Target="https://climate.ec.europa.eu/eu-action/climate-strategies-targets/progress-climate-action/eu-climate-action-progress-report-2025_en?prefLang=it" TargetMode="External"/><Relationship Id="rId19" Type="http://schemas.openxmlformats.org/officeDocument/2006/relationships/hyperlink" Target="https://eur-lex.europa.eu/legal-content/EN/TXT/?uri=CELEX:32019R1842" TargetMode="External"/><Relationship Id="rId14" Type="http://schemas.openxmlformats.org/officeDocument/2006/relationships/hyperlink" Target="https://www.eex.com/en/market-data/market-data-hub/environmentals/eu-ets-auctions" TargetMode="External"/><Relationship Id="rId22" Type="http://schemas.openxmlformats.org/officeDocument/2006/relationships/hyperlink" Target="https://eur-lex.europa.eu/legal-content/IT/TXT/?uri=CELEX%3A52025DC0378" TargetMode="External"/><Relationship Id="rId27" Type="http://schemas.openxmlformats.org/officeDocument/2006/relationships/hyperlink" Target="https://eur-lex.europa.eu/legal-content/IT/TXT/?uri=CELEX%3A02014L0065-20240328" TargetMode="External"/><Relationship Id="rId30" Type="http://schemas.openxmlformats.org/officeDocument/2006/relationships/hyperlink" Target="https://eur-lex.europa.eu/legal-content/IT/TXT/?uri=CELEX%3A02014R0596-20240109" TargetMode="External"/><Relationship Id="rId35" Type="http://schemas.openxmlformats.org/officeDocument/2006/relationships/hyperlink" Target="https://eur-lex.europa.eu/legal-content/IT/TXT/?uri=CELEX:32019R1122" TargetMode="External"/><Relationship Id="rId43" Type="http://schemas.openxmlformats.org/officeDocument/2006/relationships/hyperlink" Target="https://eur-lex.europa.eu/eli/reg/2012/648/oj/eng" TargetMode="External"/><Relationship Id="rId48" Type="http://schemas.openxmlformats.org/officeDocument/2006/relationships/hyperlink" Target="https://ec.europa.eu/eurostat/web/products-euro-indicators/w/4-13022025-ap" TargetMode="External"/><Relationship Id="rId56" Type="http://schemas.openxmlformats.org/officeDocument/2006/relationships/hyperlink" Target="https://eur-lex.europa.eu/eli/reg/2024/795/oj" TargetMode="External"/><Relationship Id="rId64" Type="http://schemas.openxmlformats.org/officeDocument/2006/relationships/hyperlink" Target="https://www.bafu.admin.ch/bafu/it/home/temi/clima/info-specialisti/misure-riduzione/ssqe/aviazione.html" TargetMode="External"/><Relationship Id="rId69" Type="http://schemas.openxmlformats.org/officeDocument/2006/relationships/hyperlink" Target="http://data.europa.eu/eli/reg_impl/2025/1500/oj" TargetMode="External"/><Relationship Id="rId77" Type="http://schemas.openxmlformats.org/officeDocument/2006/relationships/hyperlink" Target="https://eur-lex.europa.eu/eli/C/2025/2934/oj/ita" TargetMode="External"/><Relationship Id="rId8" Type="http://schemas.openxmlformats.org/officeDocument/2006/relationships/hyperlink" Target="https://eur-lex.europa.eu/legal-content/IT/TXT/?uri=CELEX:32023D1575" TargetMode="External"/><Relationship Id="rId51" Type="http://schemas.openxmlformats.org/officeDocument/2006/relationships/hyperlink" Target="https://ec.europa.eu/info/law/better-regulation/have-your-say/initiatives/14801-Technical-updates-of-the-Emissions-Trading-Scheme-ETS-State-aid-guidelines_it" TargetMode="External"/><Relationship Id="rId72" Type="http://schemas.openxmlformats.org/officeDocument/2006/relationships/hyperlink" Target="https://eur-lex.europa.eu/eli/reg_impl/2024/1879/oj/ita" TargetMode="External"/><Relationship Id="rId80" Type="http://schemas.openxmlformats.org/officeDocument/2006/relationships/hyperlink" Target="https://eur-lex.europa.eu/legal-content/IT/TXT/?uri=CELEX:32015R0757" TargetMode="External"/><Relationship Id="rId85" Type="http://schemas.openxmlformats.org/officeDocument/2006/relationships/hyperlink" Target="https://climate.ec.europa.eu/eu-action/eu-emissions-trading-system-eu-ets/monitoring-reporting-and-verification-eu-ets-emissions_en?prefLang=it" TargetMode="External"/><Relationship Id="rId93" Type="http://schemas.openxmlformats.org/officeDocument/2006/relationships/hyperlink" Target="https://commission.europa.eu/publications/commission-assessment-final-updated-national-energy-and-climate-plan-estonia_en?prefLang=it" TargetMode="External"/><Relationship Id="rId3" Type="http://schemas.openxmlformats.org/officeDocument/2006/relationships/hyperlink" Target="https://commission.europa.eu/strategy-and-policy/priorities-2019-2024/european-green-deal/repowereu-affordable-secure-and-sustainable-energy-europe_en?prefLang=it&amp;etrans=it" TargetMode="External"/><Relationship Id="rId12" Type="http://schemas.openxmlformats.org/officeDocument/2006/relationships/hyperlink" Target="https://eur-lex.europa.eu/eli/reg_del/2023/2830/oj/ita" TargetMode="External"/><Relationship Id="rId17" Type="http://schemas.openxmlformats.org/officeDocument/2006/relationships/hyperlink" Target="https://climate.ec.europa.eu/news-your-voice/news/notification-germany-voluntary-cancellation-allowances-eu-ets-plants-closed-2023-2025-05-05_en?prefLang=it" TargetMode="External"/><Relationship Id="rId25" Type="http://schemas.openxmlformats.org/officeDocument/2006/relationships/hyperlink" Target="https://eur-lex.europa.eu/legal-content/IT/TXT/?uri=celex%3A32014L0065" TargetMode="External"/><Relationship Id="rId33" Type="http://schemas.openxmlformats.org/officeDocument/2006/relationships/hyperlink" Target="https://www.esma.europa.eu/sites/default/files/2024-10/ESMA50-43599798-10379_Carbon_markets_report_2024.pdf" TargetMode="External"/><Relationship Id="rId38" Type="http://schemas.openxmlformats.org/officeDocument/2006/relationships/hyperlink" Target="http://data.europa.eu/eli/dir/2024/790/oj" TargetMode="External"/><Relationship Id="rId46" Type="http://schemas.openxmlformats.org/officeDocument/2006/relationships/hyperlink" Target="https://eur-lex.europa.eu/legal-content/it/TXT/?uri=CELEX%3A52025DC0079&amp;qid=1741780110418" TargetMode="External"/><Relationship Id="rId59" Type="http://schemas.openxmlformats.org/officeDocument/2006/relationships/hyperlink" Target="https://eur-lex.europa.eu/legal-content/IT/TXT/?uri=OJ%3AJOC_2022_195_R_0002" TargetMode="External"/><Relationship Id="rId67" Type="http://schemas.openxmlformats.org/officeDocument/2006/relationships/hyperlink" Target="https://eur-lex.europa.eu/legal-content/IT/TXT/?uri=celex%3A32023L0958" TargetMode="External"/><Relationship Id="rId20" Type="http://schemas.openxmlformats.org/officeDocument/2006/relationships/hyperlink" Target="https://eur-lex.europa.eu/eli/reg/2023/956/oj/eng" TargetMode="External"/><Relationship Id="rId41" Type="http://schemas.openxmlformats.org/officeDocument/2006/relationships/hyperlink" Target="http://data.europa.eu/eli/reg/2024/791/oj/ita" TargetMode="External"/><Relationship Id="rId54" Type="http://schemas.openxmlformats.org/officeDocument/2006/relationships/hyperlink" Target="https://dashboard.tech.ec.europa.eu/qs_digit_dashboard_mt/public/sense/app/6e4815c8-1f4c-4664-b9ca-8454f77d758d/sheet/bac47ac8-b5c7-4cd1-87ad-9f8d6d238eae/state/analysis" TargetMode="External"/><Relationship Id="rId62" Type="http://schemas.openxmlformats.org/officeDocument/2006/relationships/hyperlink" Target="https://eur-lex.europa.eu/legal-content/IT/TXT/?uri=CELEX:32013D0377" TargetMode="External"/><Relationship Id="rId70" Type="http://schemas.openxmlformats.org/officeDocument/2006/relationships/hyperlink" Target="https://eur-lex.europa.eu/eli/reg_impl/2025/1500/oj" TargetMode="External"/><Relationship Id="rId75" Type="http://schemas.openxmlformats.org/officeDocument/2006/relationships/hyperlink" Target="https://eur-lex.europa.eu/eli/reg_del/2025/723/oj/ita" TargetMode="External"/><Relationship Id="rId83" Type="http://schemas.openxmlformats.org/officeDocument/2006/relationships/hyperlink" Target="https://eur-lex.europa.eu/eli/reg_impl/2025/1192/oj/eng" TargetMode="External"/><Relationship Id="rId88" Type="http://schemas.openxmlformats.org/officeDocument/2006/relationships/hyperlink" Target="https://climate.ec.europa.eu/eu-action/eu-emissions-trading-system-eu-ets/ets2-buildings-road-transport-and-additional-sectors_en?prefLang=it" TargetMode="External"/><Relationship Id="rId91" Type="http://schemas.openxmlformats.org/officeDocument/2006/relationships/hyperlink" Target="https://eur-lex.europa.eu/legal-content/IT/TXT/?uri=CELEX%3A52025DC0274&amp;qid=1749138488640" TargetMode="External"/><Relationship Id="rId96" Type="http://schemas.openxmlformats.org/officeDocument/2006/relationships/hyperlink" Target="https://eur-lex.europa.eu/legal-content/IT/TXT/?uri=CELEX%3A22017A1207%2801%29" TargetMode="External"/><Relationship Id="rId1" Type="http://schemas.openxmlformats.org/officeDocument/2006/relationships/hyperlink" Target="https://www.eea.europa.eu/data-and-maps/dashboards/emissions-trading-viewer-1" TargetMode="External"/><Relationship Id="rId6" Type="http://schemas.openxmlformats.org/officeDocument/2006/relationships/hyperlink" Target="https://climate.ec.europa.eu/news-other-reads/news/new-study-provides-toolbox-early-decarbonisation-ets2-sectors-2025-09-09_en?prefLang=it" TargetMode="External"/><Relationship Id="rId15" Type="http://schemas.openxmlformats.org/officeDocument/2006/relationships/hyperlink" Target="https://climate.ec.europa.eu/eu-action/eu-emissions-trading-system-eu-ets/auctioning_en" TargetMode="External"/><Relationship Id="rId23" Type="http://schemas.openxmlformats.org/officeDocument/2006/relationships/hyperlink" Target="https://climate.ec.europa.eu/news-your-voice/news/market-stability-reserve-under-eu-emissions-trading-system-reduce-auction-volume-276-million-2025-05-28_en?prefLang=it" TargetMode="External"/><Relationship Id="rId28" Type="http://schemas.openxmlformats.org/officeDocument/2006/relationships/hyperlink" Target="https://www.esma.europa.eu/sites/default/files/mar.pdf" TargetMode="External"/><Relationship Id="rId36" Type="http://schemas.openxmlformats.org/officeDocument/2006/relationships/hyperlink" Target="https://eur-lex.europa.eu/legal-content/IT/TXT/?uri=CELEX%3A02019R1122-20231230" TargetMode="External"/><Relationship Id="rId49" Type="http://schemas.openxmlformats.org/officeDocument/2006/relationships/hyperlink" Target="https://eur-lex.europa.eu/legal-content/IT/TXT/?toc=OJ:L:2018:328:TOC&amp;uri=uriserv:OJ.L_.2018.328.01.0001.01.ITA" TargetMode="External"/><Relationship Id="rId57" Type="http://schemas.openxmlformats.org/officeDocument/2006/relationships/hyperlink" Target="https://eur-lex.europa.eu/eli/reg/2024/795/oj/ita" TargetMode="External"/><Relationship Id="rId10" Type="http://schemas.openxmlformats.org/officeDocument/2006/relationships/hyperlink" Target="https://eur-lex.europa.eu/eli/dec/2024/1797/oj/ita" TargetMode="External"/><Relationship Id="rId31" Type="http://schemas.openxmlformats.org/officeDocument/2006/relationships/hyperlink" Target="https://www.esma.europa.eu/sites/default/files/2024-10/ESMA50-43599798-10379_Carbon_markets_report_2024.pdf" TargetMode="External"/><Relationship Id="rId44" Type="http://schemas.openxmlformats.org/officeDocument/2006/relationships/hyperlink" Target="https://eur-lex.europa.eu/legal-content/IT/TXT/?uri=CELEX%3A02012R0648-20250117" TargetMode="External"/><Relationship Id="rId52" Type="http://schemas.openxmlformats.org/officeDocument/2006/relationships/hyperlink" Target="https://www.dehst.de/SharedDocs/downloads/DE/spk/Auswertungsbericht_2023.html" TargetMode="External"/><Relationship Id="rId60" Type="http://schemas.openxmlformats.org/officeDocument/2006/relationships/hyperlink" Target="https://climate.ec.europa.eu/news-your-voice/news/executive-vice-president-sefcovic-signs-agreement-between-greece-european-investment-bank-and-2024-11-21_en?prefLang=it" TargetMode="External"/><Relationship Id="rId65" Type="http://schemas.openxmlformats.org/officeDocument/2006/relationships/hyperlink" Target="https://www.icao.int/sites/default/files/environmental-protection/CORSIA/Documents/Background%20Information/International-RTK-rankings_2018_SIDS_LDC_LLDC.pdf" TargetMode="External"/><Relationship Id="rId73" Type="http://schemas.openxmlformats.org/officeDocument/2006/relationships/hyperlink" Target="https://climate.ec.europa.eu/news-your-voice/news/publication-2023-emissions-data-aerodrome-pairs-2025-06-19_en?prefLang=it" TargetMode="External"/><Relationship Id="rId78" Type="http://schemas.openxmlformats.org/officeDocument/2006/relationships/hyperlink" Target="https://eur-lex.europa.eu/eli/C/2025/5004/oj/ita" TargetMode="External"/><Relationship Id="rId81" Type="http://schemas.openxmlformats.org/officeDocument/2006/relationships/hyperlink" Target="https://eur-lex.europa.eu/legal-content/IT/TXT/?toc=OJ:L:2018:334:TOC&amp;uri=uriserv:OJ.L_.2018.334.01.0094.01.ITA" TargetMode="External"/><Relationship Id="rId86" Type="http://schemas.openxmlformats.org/officeDocument/2006/relationships/hyperlink" Target="https://climate.ec.europa.eu/document/download/49772f68-3432-40c6-800c-7915b610e825_en?filename=policy_ets_ets2_gd_accreditation_verification_en.pdf" TargetMode="External"/><Relationship Id="rId94" Type="http://schemas.openxmlformats.org/officeDocument/2006/relationships/hyperlink" Target="https://commission.europa.eu/publications/commission-assessment-final-updated-national-energy-and-climate-plan-slovakia_en?prefLang=it" TargetMode="External"/><Relationship Id="rId4" Type="http://schemas.openxmlformats.org/officeDocument/2006/relationships/hyperlink" Target="https://eur-lex.europa.eu/legal-content/IT/TXT/?uri=celex%3A32003L0087" TargetMode="External"/><Relationship Id="rId9" Type="http://schemas.openxmlformats.org/officeDocument/2006/relationships/hyperlink" Target="https://eur-lex.europa.eu/eli/dec/2024/1797/oj/ita"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eceuropaeu.sharepoint.com/teams/GRP-PRO-DG-CLIMA-Unit-B1/B1_Shared%20Documents/02%20-%20ETS%201%20and%20ETS%202%20Issues/203%20-%20Carbon%20Market%20Report/CMR%202025/2_CMR%202025_Data/CMR%202025%20-%20source%20files%20for%20DGT/CMR%202025%20-%20Figur"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eceuropaeu.sharepoint.com/teams/GRP-PRO-DG-CLIMA-Unit-B1/B1_Shared%20Documents/02%20-%20ETS%201%20and%20ETS%202%20Issues/203%20-%20Carbon%20Market%20Report/CMR%202025/2_CMR%202025_Data/CMR%202025%20-%20source%20files%20for%20DGT/CMR%202025%20-%20Figur"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eceuropaeu.sharepoint.com/teams/GRP-PRO-DG-CLIMA-Unit-B1/B1_Shared%20Documents/02%20-%20ETS%201%20and%20ETS%202%20Issues/203%20-%20Carbon%20Market%20Report/CMR%202025/2_CMR%202025_Data/CMR%202025%20-%20source%20files%20for%20DGT/CMR%202025%20-%20Figur"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eceuropaeu.sharepoint.com/teams/GRP-PRO-DG-CLIMA-Unit-B1/B1_Shared%20Documents/02%20-%20ETS%201%20and%20ETS%202%20Issues/203%20-%20Carbon%20Market%20Report/CMR%202025/2_CMR%202025_Data/CMR%202025%20-%20source%20files%20for%20DGT/CMR%202025%20-%20Figur"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auniri\Downloads\CLIMA-2025-00563-00-00-IT-SRC-01%20(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786007217847769E-2"/>
          <c:y val="5.5527468903054607E-2"/>
          <c:w val="0.94105817755516186"/>
          <c:h val="0.85524542765487643"/>
        </c:manualLayout>
      </c:layout>
      <c:barChart>
        <c:barDir val="col"/>
        <c:grouping val="stacked"/>
        <c:varyColors val="0"/>
        <c:ser>
          <c:idx val="1"/>
          <c:order val="1"/>
          <c:tx>
            <c:strRef>
              <c:f>'[CMR 2025 - Figure 1 (use sheet Figure 1 for CMR).xlsx]Figure 1 - source data'!$C$5</c:f>
              <c:strCache>
                <c:ptCount val="1"/>
                <c:pt idx="0">
                  <c:v>cap</c:v>
                </c:pt>
              </c:strCache>
            </c:strRef>
          </c:tx>
          <c:spPr>
            <a:solidFill>
              <a:schemeClr val="accent2"/>
            </a:solidFill>
            <a:ln>
              <a:noFill/>
            </a:ln>
            <a:effectLst/>
          </c:spPr>
          <c:invertIfNegative val="0"/>
          <c:dPt>
            <c:idx val="0"/>
            <c:invertIfNegative val="0"/>
            <c:bubble3D val="0"/>
            <c:spPr>
              <a:solidFill>
                <a:schemeClr val="accent3">
                  <a:lumMod val="5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F10E-4F71-BF14-E3F3CB9B2779}"/>
              </c:ext>
            </c:extLst>
          </c:dPt>
          <c:dPt>
            <c:idx val="1"/>
            <c:invertIfNegative val="0"/>
            <c:bubble3D val="0"/>
            <c:spPr>
              <a:solidFill>
                <a:schemeClr val="accent3">
                  <a:lumMod val="5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F10E-4F71-BF14-E3F3CB9B2779}"/>
              </c:ext>
            </c:extLst>
          </c:dPt>
          <c:dPt>
            <c:idx val="2"/>
            <c:invertIfNegative val="0"/>
            <c:bubble3D val="0"/>
            <c:spPr>
              <a:solidFill>
                <a:schemeClr val="accent3">
                  <a:lumMod val="5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F10E-4F71-BF14-E3F3CB9B2779}"/>
              </c:ext>
            </c:extLst>
          </c:dPt>
          <c:dPt>
            <c:idx val="3"/>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F10E-4F71-BF14-E3F3CB9B2779}"/>
              </c:ext>
            </c:extLst>
          </c:dPt>
          <c:dPt>
            <c:idx val="4"/>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9-F10E-4F71-BF14-E3F3CB9B2779}"/>
              </c:ext>
            </c:extLst>
          </c:dPt>
          <c:dPt>
            <c:idx val="5"/>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B-F10E-4F71-BF14-E3F3CB9B2779}"/>
              </c:ext>
            </c:extLst>
          </c:dPt>
          <c:dPt>
            <c:idx val="6"/>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D-F10E-4F71-BF14-E3F3CB9B2779}"/>
              </c:ext>
            </c:extLst>
          </c:dPt>
          <c:dPt>
            <c:idx val="7"/>
            <c:invertIfNegative val="0"/>
            <c:bubble3D val="0"/>
            <c:spPr>
              <a:solidFill>
                <a:schemeClr val="accent2">
                  <a:lumMod val="75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F-F10E-4F71-BF14-E3F3CB9B2779}"/>
              </c:ext>
            </c:extLst>
          </c:dPt>
          <c:dPt>
            <c:idx val="8"/>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1-F10E-4F71-BF14-E3F3CB9B2779}"/>
              </c:ext>
            </c:extLst>
          </c:dPt>
          <c:dPt>
            <c:idx val="9"/>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3-F10E-4F71-BF14-E3F3CB9B2779}"/>
              </c:ext>
            </c:extLst>
          </c:dPt>
          <c:dPt>
            <c:idx val="10"/>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5-F10E-4F71-BF14-E3F3CB9B2779}"/>
              </c:ext>
            </c:extLst>
          </c:dPt>
          <c:dPt>
            <c:idx val="11"/>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7-F10E-4F71-BF14-E3F3CB9B2779}"/>
              </c:ext>
            </c:extLst>
          </c:dPt>
          <c:dPt>
            <c:idx val="12"/>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9-F10E-4F71-BF14-E3F3CB9B2779}"/>
              </c:ext>
            </c:extLst>
          </c:dPt>
          <c:dPt>
            <c:idx val="13"/>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B-F10E-4F71-BF14-E3F3CB9B2779}"/>
              </c:ext>
            </c:extLst>
          </c:dPt>
          <c:dPt>
            <c:idx val="14"/>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D-F10E-4F71-BF14-E3F3CB9B2779}"/>
              </c:ext>
            </c:extLst>
          </c:dPt>
          <c:dPt>
            <c:idx val="15"/>
            <c:invertIfNegative val="0"/>
            <c:bubble3D val="0"/>
            <c:spPr>
              <a:solidFill>
                <a:schemeClr val="accent6"/>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F-F10E-4F71-BF14-E3F3CB9B2779}"/>
              </c:ext>
            </c:extLst>
          </c:dPt>
          <c:dPt>
            <c:idx val="16"/>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1-F10E-4F71-BF14-E3F3CB9B2779}"/>
              </c:ext>
            </c:extLst>
          </c:dPt>
          <c:dPt>
            <c:idx val="17"/>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3-F10E-4F71-BF14-E3F3CB9B2779}"/>
              </c:ext>
            </c:extLst>
          </c:dPt>
          <c:dPt>
            <c:idx val="18"/>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5-F10E-4F71-BF14-E3F3CB9B2779}"/>
              </c:ext>
            </c:extLst>
          </c:dPt>
          <c:dPt>
            <c:idx val="19"/>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7-F10E-4F71-BF14-E3F3CB9B2779}"/>
              </c:ext>
            </c:extLst>
          </c:dPt>
          <c:dPt>
            <c:idx val="20"/>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9-F10E-4F71-BF14-E3F3CB9B2779}"/>
              </c:ext>
            </c:extLst>
          </c:dPt>
          <c:dPt>
            <c:idx val="21"/>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B-F10E-4F71-BF14-E3F3CB9B2779}"/>
              </c:ext>
            </c:extLst>
          </c:dPt>
          <c:dPt>
            <c:idx val="22"/>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D-F10E-4F71-BF14-E3F3CB9B2779}"/>
              </c:ext>
            </c:extLst>
          </c:dPt>
          <c:dPt>
            <c:idx val="23"/>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F-F10E-4F71-BF14-E3F3CB9B2779}"/>
              </c:ext>
            </c:extLst>
          </c:dPt>
          <c:dPt>
            <c:idx val="24"/>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1-F10E-4F71-BF14-E3F3CB9B2779}"/>
              </c:ext>
            </c:extLst>
          </c:dPt>
          <c:dPt>
            <c:idx val="25"/>
            <c:invertIfNegative val="0"/>
            <c:bubble3D val="0"/>
            <c:spPr>
              <a:solidFill>
                <a:schemeClr val="accent1">
                  <a:lumMod val="60000"/>
                  <a:lumOff val="4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3-F10E-4F71-BF14-E3F3CB9B2779}"/>
              </c:ext>
            </c:extLst>
          </c:dPt>
          <c:cat>
            <c:numRef>
              <c:f>'[CMR 2025 - Figure 1 (use sheet Figure 1 for CMR).xlsx]Figure 1 - source data'!$A$6:$A$31</c:f>
              <c:numCache>
                <c:formatCode>General</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'[CMR 2025 - Figure 1 (use sheet Figure 1 for CMR).xlsx]Figure 1 - source data'!$H$6:$H$31</c:f>
              <c:numCache>
                <c:formatCode>_-* #,##0_-;\-* #,##0_-;_-* "-"??_-;_-@_-</c:formatCode>
                <c:ptCount val="26"/>
                <c:pt idx="0">
                  <c:v>2115</c:v>
                </c:pt>
                <c:pt idx="1">
                  <c:v>2137</c:v>
                </c:pt>
                <c:pt idx="2">
                  <c:v>2273</c:v>
                </c:pt>
                <c:pt idx="3">
                  <c:v>2278</c:v>
                </c:pt>
                <c:pt idx="4">
                  <c:v>2238</c:v>
                </c:pt>
                <c:pt idx="5">
                  <c:v>2199</c:v>
                </c:pt>
                <c:pt idx="6">
                  <c:v>2161</c:v>
                </c:pt>
                <c:pt idx="7">
                  <c:v>2123</c:v>
                </c:pt>
                <c:pt idx="8">
                  <c:v>2084</c:v>
                </c:pt>
                <c:pt idx="9">
                  <c:v>1646</c:v>
                </c:pt>
                <c:pt idx="10">
                  <c:v>1708</c:v>
                </c:pt>
                <c:pt idx="11">
                  <c:v>1770</c:v>
                </c:pt>
                <c:pt idx="12">
                  <c:v>1931</c:v>
                </c:pt>
                <c:pt idx="13">
                  <c:v>1893</c:v>
                </c:pt>
                <c:pt idx="14">
                  <c:v>1457.875278</c:v>
                </c:pt>
                <c:pt idx="15">
                  <c:v>1440.3747346666667</c:v>
                </c:pt>
                <c:pt idx="16">
                  <c:v>1240.5891939200001</c:v>
                </c:pt>
                <c:pt idx="17">
                  <c:v>1160.4592771733332</c:v>
                </c:pt>
                <c:pt idx="18">
                  <c:v>1163.3421516266667</c:v>
                </c:pt>
                <c:pt idx="19">
                  <c:v>1040.9658252232887</c:v>
                </c:pt>
                <c:pt idx="20">
                  <c:v>957.62199993991078</c:v>
                </c:pt>
                <c:pt idx="21">
                  <c:v>932.71915496531165</c:v>
                </c:pt>
                <c:pt idx="22">
                  <c:v>1032.1267654924161</c:v>
                </c:pt>
                <c:pt idx="23">
                  <c:v>946.31041564418206</c:v>
                </c:pt>
                <c:pt idx="24">
                  <c:v>860.4940657959479</c:v>
                </c:pt>
                <c:pt idx="25">
                  <c:v>773.67771594771375</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4-F10E-4F71-BF14-E3F3CB9B2779}"/>
            </c:ext>
          </c:extLst>
        </c:ser>
        <c:ser>
          <c:idx val="2"/>
          <c:order val="2"/>
          <c:spPr>
            <a:solidFill>
              <a:schemeClr val="accent6">
                <a:lumMod val="40000"/>
                <a:lumOff val="60000"/>
              </a:schemeClr>
            </a:solidFill>
            <a:ln>
              <a:noFill/>
            </a:ln>
            <a:effectLst/>
          </c:spPr>
          <c:invertIfNegative val="0"/>
          <c:dPt>
            <c:idx val="16"/>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6-F10E-4F71-BF14-E3F3CB9B2779}"/>
              </c:ext>
            </c:extLst>
          </c:dPt>
          <c:dPt>
            <c:idx val="17"/>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8-F10E-4F71-BF14-E3F3CB9B2779}"/>
              </c:ext>
            </c:extLst>
          </c:dPt>
          <c:dPt>
            <c:idx val="18"/>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A-F10E-4F71-BF14-E3F3CB9B2779}"/>
              </c:ext>
            </c:extLst>
          </c:dPt>
          <c:dPt>
            <c:idx val="19"/>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C-F10E-4F71-BF14-E3F3CB9B2779}"/>
              </c:ext>
            </c:extLst>
          </c:dPt>
          <c:dPt>
            <c:idx val="20"/>
            <c:invertIfNegative val="0"/>
            <c:bubble3D val="0"/>
            <c:spPr>
              <a:solidFill>
                <a:schemeClr val="accent1">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3E-F10E-4F71-BF14-E3F3CB9B2779}"/>
              </c:ext>
            </c:extLst>
          </c:dPt>
          <c:dPt>
            <c:idx val="21"/>
            <c:invertIfNegative val="0"/>
            <c:bubble3D val="0"/>
            <c:spPr>
              <a:solidFill>
                <a:schemeClr val="accent5">
                  <a:lumMod val="20000"/>
                  <a:lumOff val="8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40-F10E-4F71-BF14-E3F3CB9B2779}"/>
              </c:ext>
            </c:extLst>
          </c:dPt>
          <c:val>
            <c:numRef>
              <c:f>'[CMR 2025 - Figure 1 (use sheet Figure 1 for CMR).xlsx]Figure 1 - source data'!$F$6:$F$31</c:f>
              <c:numCache>
                <c:formatCode>_-* #,##0_-;\-* #,##0_-;_-* "-"??_-;_-@_-</c:formatCode>
                <c:ptCount val="26"/>
                <c:pt idx="0">
                  <c:v>0</c:v>
                </c:pt>
                <c:pt idx="1">
                  <c:v>0</c:v>
                </c:pt>
                <c:pt idx="2">
                  <c:v>0</c:v>
                </c:pt>
                <c:pt idx="3">
                  <c:v>0</c:v>
                </c:pt>
                <c:pt idx="4">
                  <c:v>0</c:v>
                </c:pt>
                <c:pt idx="5">
                  <c:v>0</c:v>
                </c:pt>
                <c:pt idx="6">
                  <c:v>0</c:v>
                </c:pt>
                <c:pt idx="7">
                  <c:v>0</c:v>
                </c:pt>
                <c:pt idx="8">
                  <c:v>0</c:v>
                </c:pt>
                <c:pt idx="9">
                  <c:v>400</c:v>
                </c:pt>
                <c:pt idx="10">
                  <c:v>300</c:v>
                </c:pt>
                <c:pt idx="11">
                  <c:v>200</c:v>
                </c:pt>
                <c:pt idx="12">
                  <c:v>0</c:v>
                </c:pt>
                <c:pt idx="13">
                  <c:v>0</c:v>
                </c:pt>
                <c:pt idx="14">
                  <c:v>397.12472200000002</c:v>
                </c:pt>
                <c:pt idx="15">
                  <c:v>375.62526533333329</c:v>
                </c:pt>
                <c:pt idx="16">
                  <c:v>331.41080607999999</c:v>
                </c:pt>
                <c:pt idx="17">
                  <c:v>368.54072282666664</c:v>
                </c:pt>
                <c:pt idx="18">
                  <c:v>322.65784837333331</c:v>
                </c:pt>
                <c:pt idx="19">
                  <c:v>270.50608088000001</c:v>
                </c:pt>
                <c:pt idx="20">
                  <c:v>269.72181226666663</c:v>
                </c:pt>
                <c:pt idx="21">
                  <c:v>183.68793333333332</c:v>
                </c:pt>
                <c:pt idx="22" formatCode="General">
                  <c:v>0</c:v>
                </c:pt>
                <c:pt idx="23" formatCode="General">
                  <c:v>0</c:v>
                </c:pt>
                <c:pt idx="24" formatCode="General">
                  <c:v>0</c:v>
                </c:pt>
                <c:pt idx="25" formatCode="General">
                  <c:v>0</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41-F10E-4F71-BF14-E3F3CB9B2779}"/>
            </c:ext>
          </c:extLst>
        </c:ser>
        <c:ser>
          <c:idx val="3"/>
          <c:order val="3"/>
          <c:tx>
            <c:strRef>
              <c:f>'[CMR 2025 - Figure 1 (use sheet Figure 1 for CMR).xlsx]Figure 1 - source data'!$G$5</c:f>
              <c:strCache>
                <c:ptCount val="1"/>
                <c:pt idx="0">
                  <c:v>Maritime scope extension</c:v>
                </c:pt>
              </c:strCache>
            </c:strRef>
          </c:tx>
          <c:spPr>
            <a:solidFill>
              <a:schemeClr val="accent1">
                <a:lumMod val="75000"/>
              </a:schemeClr>
            </a:solidFill>
            <a:ln>
              <a:noFill/>
            </a:ln>
            <a:effectLst/>
          </c:spPr>
          <c:invertIfNegative val="0"/>
          <c:val>
            <c:numRef>
              <c:f>'[CMR 2025 - Figure 1 (use sheet Figure 1 for CMR).xlsx]Figure 1 - source data'!$G$6:$G$31</c:f>
              <c:numCache>
                <c:formatCode>General</c:formatCode>
                <c:ptCount val="26"/>
                <c:pt idx="19" formatCode="_-* #,##0_-;\-* #,##0_-;_-* &quot;-&quot;??_-;_-@_-">
                  <c:v>74.528093896711326</c:v>
                </c:pt>
                <c:pt idx="20" formatCode="_-* #,##0_-;\-* #,##0_-;_-* &quot;-&quot;??_-;_-@_-">
                  <c:v>70.656187793422646</c:v>
                </c:pt>
                <c:pt idx="21" formatCode="_-* #,##0_-;\-* #,##0_-;_-* &quot;-&quot;??_-;_-@_-">
                  <c:v>68.592911701355021</c:v>
                </c:pt>
                <c:pt idx="22" formatCode="_-* #,##0_-;\-* #,##0_-;_-* &quot;-&quot;??_-;_-@_-">
                  <c:v>67.873234507583845</c:v>
                </c:pt>
                <c:pt idx="23" formatCode="_-* #,##0_-;\-* #,##0_-;_-* &quot;-&quot;??_-;_-@_-">
                  <c:v>63.689584355817978</c:v>
                </c:pt>
                <c:pt idx="24" formatCode="_-* #,##0_-;\-* #,##0_-;_-* &quot;-&quot;??_-;_-@_-">
                  <c:v>59.505934204052124</c:v>
                </c:pt>
                <c:pt idx="25" formatCode="_-* #,##0_-;\-* #,##0_-;_-* &quot;-&quot;??_-;_-@_-">
                  <c:v>55.322284052286271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42-F10E-4F71-BF14-E3F3CB9B2779}"/>
            </c:ext>
          </c:extLst>
        </c:ser>
        <c:dLbls>
          <c:showLegendKey val="0"/>
          <c:showVal val="0"/>
          <c:showCatName val="0"/>
          <c:showSerName val="0"/>
          <c:showPercent val="0"/>
          <c:showBubbleSize val="0"/>
        </c:dLbls>
        <c:gapWidth val="150"/>
        <c:overlap val="100"/>
        <c:axId val="678107456"/>
        <c:axId val="678106144"/>
      </c:barChart>
      <c:lineChart>
        <c:grouping val="standard"/>
        <c:varyColors val="0"/>
        <c:ser>
          <c:idx val="0"/>
          <c:order val="0"/>
          <c:tx>
            <c:strRef>
              <c:f>'[CMR 2025 - Figure 1 (use sheet Figure 1 for CMR).xlsx]Figure 1 - source data'!$B$5</c:f>
              <c:strCache>
                <c:ptCount val="1"/>
                <c:pt idx="0">
                  <c:v>emissions</c:v>
                </c:pt>
              </c:strCache>
            </c:strRef>
          </c:tx>
          <c:spPr>
            <a:ln w="28575" cap="rnd">
              <a:solidFill>
                <a:schemeClr val="accent1"/>
              </a:solidFill>
              <a:prstDash val="sysDash"/>
              <a:round/>
            </a:ln>
            <a:effectLst/>
          </c:spPr>
          <c:marker>
            <c:symbol val="none"/>
          </c:marker>
          <c:cat>
            <c:numRef>
              <c:f>'[CMR 2025 - Figure 1 (use sheet Figure 1 for CMR).xlsx]Figure 1 - source data'!$A$6:$A$31</c:f>
              <c:numCache>
                <c:formatCode>General</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'[CMR 2025 - Figure 1 (use sheet Figure 1 for CMR).xlsx]Figure 1 - source data'!$B$6:$B$31</c:f>
              <c:numCache>
                <c:formatCode>_-* #,##0_-;\-* #,##0_-;_-* "-"??_-;_-@_-</c:formatCode>
                <c:ptCount val="26"/>
                <c:pt idx="0">
                  <c:v>2369</c:v>
                </c:pt>
                <c:pt idx="1">
                  <c:v>2375</c:v>
                </c:pt>
                <c:pt idx="2">
                  <c:v>2399</c:v>
                </c:pt>
                <c:pt idx="3">
                  <c:v>2259</c:v>
                </c:pt>
                <c:pt idx="4">
                  <c:v>2002</c:v>
                </c:pt>
                <c:pt idx="5">
                  <c:v>2052</c:v>
                </c:pt>
                <c:pt idx="6">
                  <c:v>2011</c:v>
                </c:pt>
                <c:pt idx="7">
                  <c:v>1970</c:v>
                </c:pt>
                <c:pt idx="8" formatCode="_-* #,##0.0_-;\-* #,##0.0_-;_-* &quot;-&quot;??_-;_-@_-">
                  <c:v>1908.133628</c:v>
                </c:pt>
                <c:pt idx="9" formatCode="_-* #,##0.0_-;\-* #,##0.0_-;_-* &quot;-&quot;??_-;_-@_-">
                  <c:v>1813.7988190000001</c:v>
                </c:pt>
                <c:pt idx="10" formatCode="_-* #,##0.0_-;\-* #,##0.0_-;_-* &quot;-&quot;??_-;_-@_-">
                  <c:v>1803.106315</c:v>
                </c:pt>
                <c:pt idx="11" formatCode="_-* #,##0.0_-;\-* #,##0.0_-;_-* &quot;-&quot;??_-;_-@_-">
                  <c:v>1750.56259</c:v>
                </c:pt>
                <c:pt idx="12" formatCode="_-* #,##0.0_-;\-* #,##0.0_-;_-* &quot;-&quot;??_-;_-@_-">
                  <c:v>1754.7305630000001</c:v>
                </c:pt>
                <c:pt idx="13" formatCode="_-* #,##0.0_-;\-* #,##0.0_-;_-* &quot;-&quot;??_-;_-@_-">
                  <c:v>1683.108099</c:v>
                </c:pt>
                <c:pt idx="14" formatCode="_-* #,##0.0_-;\-* #,##0.0_-;_-* &quot;-&quot;??_-;_-@_-">
                  <c:v>1530.23083</c:v>
                </c:pt>
                <c:pt idx="15" formatCode="_-* #,##0.0_-;\-* #,##0.0_-;_-* &quot;-&quot;??_-;_-@_-">
                  <c:v>1355.1419530000001</c:v>
                </c:pt>
                <c:pt idx="16" formatCode="_-* #,##0.0_-;\-* #,##0.0_-;_-* &quot;-&quot;??_-;_-@_-">
                  <c:v>1335.4604609999999</c:v>
                </c:pt>
                <c:pt idx="17" formatCode="_-* #,##0.0_-;\-* #,##0.0_-;_-* &quot;-&quot;??_-;_-@_-">
                  <c:v>1312.575855</c:v>
                </c:pt>
                <c:pt idx="18" formatCode="_-* #,##0.0_-;\-* #,##0.0_-;_-* &quot;-&quot;??_-;_-@_-">
                  <c:v>1096.845969</c:v>
                </c:pt>
                <c:pt idx="19" formatCode="_-* #,##0.0_-;\-* #,##0.0_-;_-* &quot;-&quot;??_-;_-@_-">
                  <c:v>1091.8</c:v>
                </c:pt>
              </c:numCache>
            </c:numRef>
          </c:val>
          <c:smooth val="0"/>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43-F10E-4F71-BF14-E3F3CB9B2779}"/>
            </c:ext>
          </c:extLst>
        </c:ser>
        <c:dLbls>
          <c:showLegendKey val="0"/>
          <c:showVal val="0"/>
          <c:showCatName val="0"/>
          <c:showSerName val="0"/>
          <c:showPercent val="0"/>
          <c:showBubbleSize val="0"/>
        </c:dLbls>
        <c:marker val="1"/>
        <c:smooth val="0"/>
        <c:axId val="678107456"/>
        <c:axId val="678106144"/>
      </c:lineChart>
      <c:catAx>
        <c:axId val="67810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8106144"/>
        <c:crosses val="autoZero"/>
        <c:auto val="1"/>
        <c:lblAlgn val="ctr"/>
        <c:lblOffset val="100"/>
        <c:noMultiLvlLbl val="0"/>
      </c:catAx>
      <c:valAx>
        <c:axId val="678106144"/>
        <c:scaling>
          <c:orientation val="minMax"/>
        </c:scaling>
        <c:delete val="0"/>
        <c:axPos val="l"/>
        <c:majorGridlines>
          <c:spPr>
            <a:ln w="9525" cap="flat" cmpd="sng" algn="ctr">
              <a:solidFill>
                <a:schemeClr val="bg2"/>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E" sz="850" baseline="0" dirty="0">
                    <a:latin typeface="Times New Roman" panose="02020603050405020304" pitchFamily="18" charset="0"/>
                    <a:cs typeface="Times New Roman" panose="02020603050405020304" pitchFamily="18" charset="0"/>
                  </a:rPr>
                  <a:t>Tetto massimo/emissioni verificate </a:t>
                </a:r>
              </a:p>
              <a:p>
                <a:pPr>
                  <a:defRPr>
                    <a:latin typeface="Times New Roman" panose="02020603050405020304" pitchFamily="18" charset="0"/>
                    <a:cs typeface="Times New Roman" panose="02020603050405020304" pitchFamily="18" charset="0"/>
                  </a:defRPr>
                </a:pPr>
                <a:r>
                  <a:rPr lang="en-IE" sz="850" baseline="0" dirty="0">
                    <a:latin typeface="Times New Roman" panose="02020603050405020304" pitchFamily="18" charset="0"/>
                    <a:cs typeface="Times New Roman" panose="02020603050405020304" pitchFamily="18" charset="0"/>
                  </a:rPr>
                  <a:t>(miliardi di tonnellate di CO</a:t>
                </a:r>
                <a:r>
                  <a:rPr lang="en-IE" sz="850" baseline="-25000" dirty="0">
                    <a:latin typeface="Times New Roman" panose="02020603050405020304" pitchFamily="18" charset="0"/>
                    <a:cs typeface="Times New Roman" panose="02020603050405020304" pitchFamily="18" charset="0"/>
                  </a:rPr>
                  <a:t>2</a:t>
                </a:r>
                <a:r>
                  <a:rPr lang="en-IE" sz="850" baseline="0" dirty="0">
                    <a:latin typeface="Times New Roman" panose="02020603050405020304" pitchFamily="18" charset="0"/>
                    <a:cs typeface="Times New Roman" panose="02020603050405020304" pitchFamily="18" charset="0"/>
                  </a:rPr>
                  <a:t>eq)</a:t>
                </a:r>
              </a:p>
            </c:rich>
          </c:tx>
          <c:layout>
            <c:manualLayout>
              <c:xMode val="edge"/>
              <c:yMode val="edge"/>
              <c:x val="0"/>
              <c:y val="9.126007686539182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8107456"/>
        <c:crosses val="autoZero"/>
        <c:crossBetween val="between"/>
        <c:dispUnits>
          <c:builtInUnit val="thousand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17271027580445E-2"/>
          <c:y val="7.4038364969368289E-2"/>
          <c:w val="0.88463497409411695"/>
          <c:h val="0.78910417155975421"/>
        </c:manualLayout>
      </c:layout>
      <c:lineChart>
        <c:grouping val="standard"/>
        <c:varyColors val="0"/>
        <c:ser>
          <c:idx val="0"/>
          <c:order val="0"/>
          <c:tx>
            <c:strRef>
              <c:f>'https://eceuropaeu.sharepoint.com/teams/GRP-PRO-DG-CLIMA-Unit-B1/B1_Shared Documents/02 - ETS 1 and ETS 2 Issues/203 - Carbon Market Report/CMR 2025/2_CMR 2025_Data/CMR 2025 - source files for DGT/[Auction clearing prices 2013-2024.xlsx]Auction price 2024-2025'!$B$1</c:f>
              <c:strCache>
                <c:ptCount val="1"/>
                <c:pt idx="0">
                  <c:v>Auction Price €/tCO2</c:v>
                </c:pt>
              </c:strCache>
            </c:strRef>
          </c:tx>
          <c:spPr>
            <a:ln w="12700" cap="rnd">
              <a:solidFill>
                <a:schemeClr val="accent5">
                  <a:lumMod val="50000"/>
                </a:schemeClr>
              </a:solidFill>
              <a:round/>
            </a:ln>
            <a:effectLst/>
          </c:spPr>
          <c:marker>
            <c:symbol val="none"/>
          </c:marker>
          <c:cat>
            <c:numRef>
              <c:f>'https://eceuropaeu.sharepoint.com/teams/GRP-PRO-DG-CLIMA-Unit-B1/B1_Shared Documents/02 - ETS 1 and ETS 2 Issues/203 - Carbon Market Report/CMR 2025/2_CMR 2025_Data/CMR 2025 - source files for DGT/[Auction clearing prices 2013-2024.xlsx]Auction price 2024-2025'!$A$2:$A$327</c:f>
              <c:numCache>
                <c:formatCode>General</c:formatCode>
                <c:ptCount val="326"/>
                <c:pt idx="0">
                  <c:v>45306</c:v>
                </c:pt>
                <c:pt idx="1">
                  <c:v>45307</c:v>
                </c:pt>
                <c:pt idx="2">
                  <c:v>45308</c:v>
                </c:pt>
                <c:pt idx="3">
                  <c:v>45309</c:v>
                </c:pt>
                <c:pt idx="4">
                  <c:v>45310</c:v>
                </c:pt>
                <c:pt idx="5">
                  <c:v>45313</c:v>
                </c:pt>
                <c:pt idx="6">
                  <c:v>45314</c:v>
                </c:pt>
                <c:pt idx="7">
                  <c:v>45315</c:v>
                </c:pt>
                <c:pt idx="8">
                  <c:v>45316</c:v>
                </c:pt>
                <c:pt idx="9">
                  <c:v>45317</c:v>
                </c:pt>
                <c:pt idx="10">
                  <c:v>45320</c:v>
                </c:pt>
                <c:pt idx="11">
                  <c:v>45321</c:v>
                </c:pt>
                <c:pt idx="12">
                  <c:v>45322</c:v>
                </c:pt>
                <c:pt idx="13">
                  <c:v>45323</c:v>
                </c:pt>
                <c:pt idx="14">
                  <c:v>45324</c:v>
                </c:pt>
                <c:pt idx="15">
                  <c:v>45327</c:v>
                </c:pt>
                <c:pt idx="16">
                  <c:v>45328</c:v>
                </c:pt>
                <c:pt idx="17">
                  <c:v>45330</c:v>
                </c:pt>
                <c:pt idx="18">
                  <c:v>45331</c:v>
                </c:pt>
                <c:pt idx="19">
                  <c:v>45334</c:v>
                </c:pt>
                <c:pt idx="20">
                  <c:v>45335</c:v>
                </c:pt>
                <c:pt idx="21">
                  <c:v>45336</c:v>
                </c:pt>
                <c:pt idx="22">
                  <c:v>45337</c:v>
                </c:pt>
                <c:pt idx="23">
                  <c:v>45338</c:v>
                </c:pt>
                <c:pt idx="24">
                  <c:v>45341</c:v>
                </c:pt>
                <c:pt idx="25">
                  <c:v>45342</c:v>
                </c:pt>
                <c:pt idx="26">
                  <c:v>45344</c:v>
                </c:pt>
                <c:pt idx="27">
                  <c:v>45345</c:v>
                </c:pt>
                <c:pt idx="28">
                  <c:v>45348</c:v>
                </c:pt>
                <c:pt idx="29">
                  <c:v>45349</c:v>
                </c:pt>
                <c:pt idx="30">
                  <c:v>45350</c:v>
                </c:pt>
                <c:pt idx="31">
                  <c:v>45351</c:v>
                </c:pt>
                <c:pt idx="32">
                  <c:v>45352</c:v>
                </c:pt>
                <c:pt idx="33">
                  <c:v>45355</c:v>
                </c:pt>
                <c:pt idx="34">
                  <c:v>45356</c:v>
                </c:pt>
                <c:pt idx="35">
                  <c:v>45358</c:v>
                </c:pt>
                <c:pt idx="36">
                  <c:v>45359</c:v>
                </c:pt>
                <c:pt idx="37">
                  <c:v>45362</c:v>
                </c:pt>
                <c:pt idx="38">
                  <c:v>45363</c:v>
                </c:pt>
                <c:pt idx="39">
                  <c:v>45364</c:v>
                </c:pt>
                <c:pt idx="40">
                  <c:v>45365</c:v>
                </c:pt>
                <c:pt idx="41">
                  <c:v>45366</c:v>
                </c:pt>
                <c:pt idx="42">
                  <c:v>45369</c:v>
                </c:pt>
                <c:pt idx="43">
                  <c:v>45370</c:v>
                </c:pt>
                <c:pt idx="44">
                  <c:v>45371</c:v>
                </c:pt>
                <c:pt idx="45">
                  <c:v>45372</c:v>
                </c:pt>
                <c:pt idx="46">
                  <c:v>45373</c:v>
                </c:pt>
                <c:pt idx="47">
                  <c:v>45376</c:v>
                </c:pt>
                <c:pt idx="48">
                  <c:v>45377</c:v>
                </c:pt>
                <c:pt idx="49">
                  <c:v>45378</c:v>
                </c:pt>
                <c:pt idx="50">
                  <c:v>45379</c:v>
                </c:pt>
                <c:pt idx="51">
                  <c:v>45384</c:v>
                </c:pt>
                <c:pt idx="52">
                  <c:v>45386</c:v>
                </c:pt>
                <c:pt idx="53">
                  <c:v>45387</c:v>
                </c:pt>
                <c:pt idx="54">
                  <c:v>45390</c:v>
                </c:pt>
                <c:pt idx="55">
                  <c:v>45391</c:v>
                </c:pt>
                <c:pt idx="56">
                  <c:v>45392</c:v>
                </c:pt>
                <c:pt idx="57">
                  <c:v>45393</c:v>
                </c:pt>
                <c:pt idx="58">
                  <c:v>45394</c:v>
                </c:pt>
                <c:pt idx="59">
                  <c:v>45397</c:v>
                </c:pt>
                <c:pt idx="60">
                  <c:v>45398</c:v>
                </c:pt>
                <c:pt idx="61">
                  <c:v>45400</c:v>
                </c:pt>
                <c:pt idx="62">
                  <c:v>45401</c:v>
                </c:pt>
                <c:pt idx="63">
                  <c:v>45404</c:v>
                </c:pt>
                <c:pt idx="64">
                  <c:v>45405</c:v>
                </c:pt>
                <c:pt idx="65">
                  <c:v>45406</c:v>
                </c:pt>
                <c:pt idx="66">
                  <c:v>45407</c:v>
                </c:pt>
                <c:pt idx="67">
                  <c:v>45408</c:v>
                </c:pt>
                <c:pt idx="68">
                  <c:v>45411</c:v>
                </c:pt>
                <c:pt idx="69">
                  <c:v>45412</c:v>
                </c:pt>
                <c:pt idx="70">
                  <c:v>45414</c:v>
                </c:pt>
                <c:pt idx="71">
                  <c:v>45415</c:v>
                </c:pt>
                <c:pt idx="72">
                  <c:v>45418</c:v>
                </c:pt>
                <c:pt idx="73">
                  <c:v>45419</c:v>
                </c:pt>
                <c:pt idx="74">
                  <c:v>45420</c:v>
                </c:pt>
                <c:pt idx="75">
                  <c:v>45425</c:v>
                </c:pt>
                <c:pt idx="76">
                  <c:v>45426</c:v>
                </c:pt>
                <c:pt idx="77">
                  <c:v>45427</c:v>
                </c:pt>
                <c:pt idx="78">
                  <c:v>45428</c:v>
                </c:pt>
                <c:pt idx="79">
                  <c:v>45429</c:v>
                </c:pt>
                <c:pt idx="80">
                  <c:v>45432</c:v>
                </c:pt>
                <c:pt idx="81">
                  <c:v>45433</c:v>
                </c:pt>
                <c:pt idx="82">
                  <c:v>45434</c:v>
                </c:pt>
                <c:pt idx="83">
                  <c:v>45435</c:v>
                </c:pt>
                <c:pt idx="84">
                  <c:v>45436</c:v>
                </c:pt>
                <c:pt idx="85">
                  <c:v>45440</c:v>
                </c:pt>
                <c:pt idx="86">
                  <c:v>45442</c:v>
                </c:pt>
                <c:pt idx="87">
                  <c:v>45443</c:v>
                </c:pt>
                <c:pt idx="88">
                  <c:v>45446</c:v>
                </c:pt>
                <c:pt idx="89">
                  <c:v>45447</c:v>
                </c:pt>
                <c:pt idx="90">
                  <c:v>45448</c:v>
                </c:pt>
                <c:pt idx="91">
                  <c:v>45449</c:v>
                </c:pt>
                <c:pt idx="92">
                  <c:v>45450</c:v>
                </c:pt>
                <c:pt idx="93">
                  <c:v>45453</c:v>
                </c:pt>
                <c:pt idx="94">
                  <c:v>45454</c:v>
                </c:pt>
                <c:pt idx="95">
                  <c:v>45456</c:v>
                </c:pt>
                <c:pt idx="96">
                  <c:v>45457</c:v>
                </c:pt>
                <c:pt idx="97">
                  <c:v>45460</c:v>
                </c:pt>
                <c:pt idx="98">
                  <c:v>45461</c:v>
                </c:pt>
                <c:pt idx="99">
                  <c:v>45462</c:v>
                </c:pt>
                <c:pt idx="100">
                  <c:v>45463</c:v>
                </c:pt>
                <c:pt idx="101">
                  <c:v>45464</c:v>
                </c:pt>
                <c:pt idx="102">
                  <c:v>45467</c:v>
                </c:pt>
                <c:pt idx="103">
                  <c:v>45468</c:v>
                </c:pt>
                <c:pt idx="104">
                  <c:v>45470</c:v>
                </c:pt>
                <c:pt idx="105">
                  <c:v>45471</c:v>
                </c:pt>
                <c:pt idx="106">
                  <c:v>45474</c:v>
                </c:pt>
                <c:pt idx="107">
                  <c:v>45475</c:v>
                </c:pt>
                <c:pt idx="108">
                  <c:v>45476</c:v>
                </c:pt>
                <c:pt idx="109">
                  <c:v>45477</c:v>
                </c:pt>
                <c:pt idx="110">
                  <c:v>45478</c:v>
                </c:pt>
                <c:pt idx="111">
                  <c:v>45481</c:v>
                </c:pt>
                <c:pt idx="112">
                  <c:v>45482</c:v>
                </c:pt>
                <c:pt idx="113">
                  <c:v>45483</c:v>
                </c:pt>
                <c:pt idx="114">
                  <c:v>45484</c:v>
                </c:pt>
                <c:pt idx="115">
                  <c:v>45485</c:v>
                </c:pt>
                <c:pt idx="116">
                  <c:v>45488</c:v>
                </c:pt>
                <c:pt idx="117">
                  <c:v>45489</c:v>
                </c:pt>
                <c:pt idx="118">
                  <c:v>45490</c:v>
                </c:pt>
                <c:pt idx="119">
                  <c:v>45491</c:v>
                </c:pt>
                <c:pt idx="120">
                  <c:v>45492</c:v>
                </c:pt>
                <c:pt idx="121">
                  <c:v>45495</c:v>
                </c:pt>
                <c:pt idx="122">
                  <c:v>45496</c:v>
                </c:pt>
                <c:pt idx="123">
                  <c:v>45498</c:v>
                </c:pt>
                <c:pt idx="124">
                  <c:v>45499</c:v>
                </c:pt>
                <c:pt idx="125">
                  <c:v>45502</c:v>
                </c:pt>
                <c:pt idx="126">
                  <c:v>45503</c:v>
                </c:pt>
                <c:pt idx="127">
                  <c:v>45504</c:v>
                </c:pt>
                <c:pt idx="128">
                  <c:v>45505</c:v>
                </c:pt>
                <c:pt idx="129">
                  <c:v>45506</c:v>
                </c:pt>
                <c:pt idx="130">
                  <c:v>45509</c:v>
                </c:pt>
                <c:pt idx="131">
                  <c:v>45510</c:v>
                </c:pt>
                <c:pt idx="132">
                  <c:v>45512</c:v>
                </c:pt>
                <c:pt idx="133">
                  <c:v>45513</c:v>
                </c:pt>
                <c:pt idx="134">
                  <c:v>45516</c:v>
                </c:pt>
                <c:pt idx="135">
                  <c:v>45517</c:v>
                </c:pt>
                <c:pt idx="136">
                  <c:v>45518</c:v>
                </c:pt>
                <c:pt idx="137">
                  <c:v>45519</c:v>
                </c:pt>
                <c:pt idx="138">
                  <c:v>45520</c:v>
                </c:pt>
                <c:pt idx="139">
                  <c:v>45523</c:v>
                </c:pt>
                <c:pt idx="140">
                  <c:v>45524</c:v>
                </c:pt>
                <c:pt idx="141">
                  <c:v>45526</c:v>
                </c:pt>
                <c:pt idx="142">
                  <c:v>45527</c:v>
                </c:pt>
                <c:pt idx="143">
                  <c:v>45530</c:v>
                </c:pt>
                <c:pt idx="144">
                  <c:v>45531</c:v>
                </c:pt>
                <c:pt idx="145">
                  <c:v>45532</c:v>
                </c:pt>
                <c:pt idx="146">
                  <c:v>45533</c:v>
                </c:pt>
                <c:pt idx="147">
                  <c:v>45534</c:v>
                </c:pt>
                <c:pt idx="148">
                  <c:v>45537</c:v>
                </c:pt>
                <c:pt idx="149">
                  <c:v>45538</c:v>
                </c:pt>
                <c:pt idx="150">
                  <c:v>45540</c:v>
                </c:pt>
                <c:pt idx="151">
                  <c:v>45541</c:v>
                </c:pt>
                <c:pt idx="152">
                  <c:v>45544</c:v>
                </c:pt>
                <c:pt idx="153">
                  <c:v>45545</c:v>
                </c:pt>
                <c:pt idx="154">
                  <c:v>45546</c:v>
                </c:pt>
                <c:pt idx="155">
                  <c:v>45547</c:v>
                </c:pt>
                <c:pt idx="156">
                  <c:v>45548</c:v>
                </c:pt>
                <c:pt idx="157">
                  <c:v>45551</c:v>
                </c:pt>
                <c:pt idx="158">
                  <c:v>45552</c:v>
                </c:pt>
                <c:pt idx="159">
                  <c:v>45553</c:v>
                </c:pt>
                <c:pt idx="160">
                  <c:v>45554</c:v>
                </c:pt>
                <c:pt idx="161">
                  <c:v>45555</c:v>
                </c:pt>
                <c:pt idx="162">
                  <c:v>45558</c:v>
                </c:pt>
                <c:pt idx="163">
                  <c:v>45559</c:v>
                </c:pt>
                <c:pt idx="164">
                  <c:v>45560</c:v>
                </c:pt>
                <c:pt idx="165">
                  <c:v>45561</c:v>
                </c:pt>
                <c:pt idx="166">
                  <c:v>45562</c:v>
                </c:pt>
                <c:pt idx="167">
                  <c:v>45565</c:v>
                </c:pt>
                <c:pt idx="168">
                  <c:v>45566</c:v>
                </c:pt>
                <c:pt idx="169">
                  <c:v>45567</c:v>
                </c:pt>
                <c:pt idx="170">
                  <c:v>45568</c:v>
                </c:pt>
                <c:pt idx="171">
                  <c:v>45569</c:v>
                </c:pt>
                <c:pt idx="172">
                  <c:v>45572</c:v>
                </c:pt>
                <c:pt idx="173">
                  <c:v>45573</c:v>
                </c:pt>
                <c:pt idx="174">
                  <c:v>45574</c:v>
                </c:pt>
                <c:pt idx="175">
                  <c:v>45575</c:v>
                </c:pt>
                <c:pt idx="176">
                  <c:v>45576</c:v>
                </c:pt>
                <c:pt idx="177">
                  <c:v>45579</c:v>
                </c:pt>
                <c:pt idx="178">
                  <c:v>45580</c:v>
                </c:pt>
                <c:pt idx="179">
                  <c:v>45581</c:v>
                </c:pt>
                <c:pt idx="180">
                  <c:v>45582</c:v>
                </c:pt>
                <c:pt idx="181">
                  <c:v>45583</c:v>
                </c:pt>
                <c:pt idx="182">
                  <c:v>45586</c:v>
                </c:pt>
                <c:pt idx="183">
                  <c:v>45587</c:v>
                </c:pt>
                <c:pt idx="184">
                  <c:v>45588</c:v>
                </c:pt>
                <c:pt idx="185">
                  <c:v>45589</c:v>
                </c:pt>
                <c:pt idx="186">
                  <c:v>45590</c:v>
                </c:pt>
                <c:pt idx="187">
                  <c:v>45593</c:v>
                </c:pt>
                <c:pt idx="188">
                  <c:v>45594</c:v>
                </c:pt>
                <c:pt idx="189">
                  <c:v>45596</c:v>
                </c:pt>
                <c:pt idx="190">
                  <c:v>45597</c:v>
                </c:pt>
                <c:pt idx="191">
                  <c:v>45600</c:v>
                </c:pt>
                <c:pt idx="192">
                  <c:v>45601</c:v>
                </c:pt>
                <c:pt idx="193">
                  <c:v>45602</c:v>
                </c:pt>
                <c:pt idx="194">
                  <c:v>45603</c:v>
                </c:pt>
                <c:pt idx="195">
                  <c:v>45604</c:v>
                </c:pt>
                <c:pt idx="196">
                  <c:v>45607</c:v>
                </c:pt>
                <c:pt idx="197">
                  <c:v>45608</c:v>
                </c:pt>
                <c:pt idx="198">
                  <c:v>45609</c:v>
                </c:pt>
                <c:pt idx="199">
                  <c:v>45610</c:v>
                </c:pt>
                <c:pt idx="200">
                  <c:v>45611</c:v>
                </c:pt>
                <c:pt idx="201">
                  <c:v>45614</c:v>
                </c:pt>
                <c:pt idx="202">
                  <c:v>45615</c:v>
                </c:pt>
                <c:pt idx="203">
                  <c:v>45616</c:v>
                </c:pt>
                <c:pt idx="204">
                  <c:v>45617</c:v>
                </c:pt>
                <c:pt idx="205">
                  <c:v>45618</c:v>
                </c:pt>
                <c:pt idx="206">
                  <c:v>45621</c:v>
                </c:pt>
                <c:pt idx="207">
                  <c:v>45622</c:v>
                </c:pt>
                <c:pt idx="208">
                  <c:v>45624</c:v>
                </c:pt>
                <c:pt idx="209">
                  <c:v>45625</c:v>
                </c:pt>
                <c:pt idx="210">
                  <c:v>45628</c:v>
                </c:pt>
                <c:pt idx="211">
                  <c:v>45629</c:v>
                </c:pt>
                <c:pt idx="212">
                  <c:v>45630</c:v>
                </c:pt>
                <c:pt idx="213">
                  <c:v>45631</c:v>
                </c:pt>
                <c:pt idx="214">
                  <c:v>45632</c:v>
                </c:pt>
                <c:pt idx="215">
                  <c:v>45635</c:v>
                </c:pt>
                <c:pt idx="216">
                  <c:v>45636</c:v>
                </c:pt>
                <c:pt idx="217">
                  <c:v>45637</c:v>
                </c:pt>
                <c:pt idx="218">
                  <c:v>45638</c:v>
                </c:pt>
                <c:pt idx="219">
                  <c:v>45639</c:v>
                </c:pt>
                <c:pt idx="220">
                  <c:v>45642</c:v>
                </c:pt>
                <c:pt idx="221">
                  <c:v>45664</c:v>
                </c:pt>
                <c:pt idx="222">
                  <c:v>45665</c:v>
                </c:pt>
                <c:pt idx="223">
                  <c:v>45666</c:v>
                </c:pt>
                <c:pt idx="224">
                  <c:v>45667</c:v>
                </c:pt>
                <c:pt idx="225">
                  <c:v>45670</c:v>
                </c:pt>
                <c:pt idx="226">
                  <c:v>45671</c:v>
                </c:pt>
                <c:pt idx="227">
                  <c:v>45673</c:v>
                </c:pt>
                <c:pt idx="228">
                  <c:v>45674</c:v>
                </c:pt>
                <c:pt idx="229">
                  <c:v>45677</c:v>
                </c:pt>
                <c:pt idx="230">
                  <c:v>45678</c:v>
                </c:pt>
                <c:pt idx="231">
                  <c:v>45679</c:v>
                </c:pt>
                <c:pt idx="232">
                  <c:v>45680</c:v>
                </c:pt>
                <c:pt idx="233">
                  <c:v>45681</c:v>
                </c:pt>
                <c:pt idx="234">
                  <c:v>45684</c:v>
                </c:pt>
                <c:pt idx="235">
                  <c:v>45685</c:v>
                </c:pt>
                <c:pt idx="236">
                  <c:v>45687</c:v>
                </c:pt>
                <c:pt idx="237">
                  <c:v>45688</c:v>
                </c:pt>
                <c:pt idx="238">
                  <c:v>45691</c:v>
                </c:pt>
                <c:pt idx="239">
                  <c:v>45692</c:v>
                </c:pt>
                <c:pt idx="240">
                  <c:v>45693</c:v>
                </c:pt>
                <c:pt idx="241">
                  <c:v>45694</c:v>
                </c:pt>
                <c:pt idx="242">
                  <c:v>45695</c:v>
                </c:pt>
                <c:pt idx="243">
                  <c:v>45698</c:v>
                </c:pt>
                <c:pt idx="244">
                  <c:v>45699</c:v>
                </c:pt>
                <c:pt idx="245">
                  <c:v>45701</c:v>
                </c:pt>
                <c:pt idx="246">
                  <c:v>45702</c:v>
                </c:pt>
                <c:pt idx="247">
                  <c:v>45705</c:v>
                </c:pt>
                <c:pt idx="248">
                  <c:v>45706</c:v>
                </c:pt>
                <c:pt idx="249">
                  <c:v>45707</c:v>
                </c:pt>
                <c:pt idx="250">
                  <c:v>45708</c:v>
                </c:pt>
                <c:pt idx="251">
                  <c:v>45709</c:v>
                </c:pt>
                <c:pt idx="252">
                  <c:v>45712</c:v>
                </c:pt>
                <c:pt idx="253">
                  <c:v>45713</c:v>
                </c:pt>
                <c:pt idx="254">
                  <c:v>45715</c:v>
                </c:pt>
                <c:pt idx="255">
                  <c:v>45716</c:v>
                </c:pt>
                <c:pt idx="256">
                  <c:v>45719</c:v>
                </c:pt>
                <c:pt idx="257">
                  <c:v>45720</c:v>
                </c:pt>
                <c:pt idx="258">
                  <c:v>45721</c:v>
                </c:pt>
                <c:pt idx="259">
                  <c:v>45722</c:v>
                </c:pt>
                <c:pt idx="260">
                  <c:v>45723</c:v>
                </c:pt>
                <c:pt idx="261">
                  <c:v>45726</c:v>
                </c:pt>
                <c:pt idx="262">
                  <c:v>45727</c:v>
                </c:pt>
                <c:pt idx="263">
                  <c:v>45729</c:v>
                </c:pt>
                <c:pt idx="264">
                  <c:v>45730</c:v>
                </c:pt>
                <c:pt idx="265">
                  <c:v>45733</c:v>
                </c:pt>
                <c:pt idx="266">
                  <c:v>45734</c:v>
                </c:pt>
                <c:pt idx="267">
                  <c:v>45735</c:v>
                </c:pt>
                <c:pt idx="268">
                  <c:v>45736</c:v>
                </c:pt>
                <c:pt idx="269">
                  <c:v>45737</c:v>
                </c:pt>
                <c:pt idx="270">
                  <c:v>45740</c:v>
                </c:pt>
                <c:pt idx="271">
                  <c:v>45741</c:v>
                </c:pt>
                <c:pt idx="272">
                  <c:v>45743</c:v>
                </c:pt>
                <c:pt idx="273">
                  <c:v>45744</c:v>
                </c:pt>
                <c:pt idx="274">
                  <c:v>45747</c:v>
                </c:pt>
                <c:pt idx="275">
                  <c:v>45748</c:v>
                </c:pt>
                <c:pt idx="276">
                  <c:v>45749</c:v>
                </c:pt>
                <c:pt idx="277">
                  <c:v>45750</c:v>
                </c:pt>
                <c:pt idx="278">
                  <c:v>45751</c:v>
                </c:pt>
                <c:pt idx="279">
                  <c:v>45754</c:v>
                </c:pt>
                <c:pt idx="280">
                  <c:v>45755</c:v>
                </c:pt>
                <c:pt idx="281">
                  <c:v>45757</c:v>
                </c:pt>
                <c:pt idx="282">
                  <c:v>45758</c:v>
                </c:pt>
                <c:pt idx="283">
                  <c:v>45761</c:v>
                </c:pt>
                <c:pt idx="284">
                  <c:v>45762</c:v>
                </c:pt>
                <c:pt idx="285">
                  <c:v>45763</c:v>
                </c:pt>
                <c:pt idx="286">
                  <c:v>45764</c:v>
                </c:pt>
                <c:pt idx="287">
                  <c:v>45769</c:v>
                </c:pt>
                <c:pt idx="288">
                  <c:v>45771</c:v>
                </c:pt>
                <c:pt idx="289">
                  <c:v>45772</c:v>
                </c:pt>
                <c:pt idx="290">
                  <c:v>45775</c:v>
                </c:pt>
                <c:pt idx="291">
                  <c:v>45776</c:v>
                </c:pt>
                <c:pt idx="292">
                  <c:v>45777</c:v>
                </c:pt>
                <c:pt idx="293">
                  <c:v>45782</c:v>
                </c:pt>
                <c:pt idx="294">
                  <c:v>45783</c:v>
                </c:pt>
                <c:pt idx="295">
                  <c:v>45785</c:v>
                </c:pt>
                <c:pt idx="296">
                  <c:v>45786</c:v>
                </c:pt>
                <c:pt idx="297">
                  <c:v>45789</c:v>
                </c:pt>
                <c:pt idx="298">
                  <c:v>45790</c:v>
                </c:pt>
                <c:pt idx="299">
                  <c:v>45791</c:v>
                </c:pt>
                <c:pt idx="300">
                  <c:v>45792</c:v>
                </c:pt>
                <c:pt idx="301">
                  <c:v>45793</c:v>
                </c:pt>
                <c:pt idx="302">
                  <c:v>45796</c:v>
                </c:pt>
                <c:pt idx="303">
                  <c:v>45797</c:v>
                </c:pt>
                <c:pt idx="304">
                  <c:v>45799</c:v>
                </c:pt>
                <c:pt idx="305">
                  <c:v>45800</c:v>
                </c:pt>
                <c:pt idx="306">
                  <c:v>45804</c:v>
                </c:pt>
                <c:pt idx="307">
                  <c:v>45805</c:v>
                </c:pt>
                <c:pt idx="308">
                  <c:v>45810</c:v>
                </c:pt>
                <c:pt idx="309">
                  <c:v>45811</c:v>
                </c:pt>
                <c:pt idx="310">
                  <c:v>45813</c:v>
                </c:pt>
                <c:pt idx="311">
                  <c:v>45814</c:v>
                </c:pt>
                <c:pt idx="312">
                  <c:v>45818</c:v>
                </c:pt>
                <c:pt idx="313">
                  <c:v>45819</c:v>
                </c:pt>
                <c:pt idx="314">
                  <c:v>45820</c:v>
                </c:pt>
                <c:pt idx="315">
                  <c:v>45821</c:v>
                </c:pt>
                <c:pt idx="316">
                  <c:v>45824</c:v>
                </c:pt>
                <c:pt idx="317">
                  <c:v>45825</c:v>
                </c:pt>
                <c:pt idx="318">
                  <c:v>45827</c:v>
                </c:pt>
                <c:pt idx="319">
                  <c:v>45828</c:v>
                </c:pt>
                <c:pt idx="320">
                  <c:v>45831</c:v>
                </c:pt>
                <c:pt idx="321">
                  <c:v>45832</c:v>
                </c:pt>
                <c:pt idx="322">
                  <c:v>45833</c:v>
                </c:pt>
                <c:pt idx="323">
                  <c:v>45834</c:v>
                </c:pt>
                <c:pt idx="324">
                  <c:v>45835</c:v>
                </c:pt>
                <c:pt idx="325">
                  <c:v>45838</c:v>
                </c:pt>
              </c:numCache>
            </c:numRef>
          </c:cat>
          <c:val>
            <c:numRef>
              <c:f>'https://eceuropaeu.sharepoint.com/teams/GRP-PRO-DG-CLIMA-Unit-B1/B1_Shared Documents/02 - ETS 1 and ETS 2 Issues/203 - Carbon Market Report/CMR 2025/2_CMR 2025_Data/CMR 2025 - source files for DGT/[Auction clearing prices 2013-2024.xlsx]Auction price 2024-2025'!$B$2:$B$327</c:f>
              <c:numCache>
                <c:formatCode>General</c:formatCode>
                <c:ptCount val="326"/>
                <c:pt idx="0">
                  <c:v>63.5</c:v>
                </c:pt>
                <c:pt idx="1">
                  <c:v>63.2</c:v>
                </c:pt>
                <c:pt idx="2">
                  <c:v>62.96</c:v>
                </c:pt>
                <c:pt idx="3">
                  <c:v>61.28</c:v>
                </c:pt>
                <c:pt idx="4">
                  <c:v>61.93</c:v>
                </c:pt>
                <c:pt idx="5">
                  <c:v>59.74</c:v>
                </c:pt>
                <c:pt idx="6">
                  <c:v>60.55</c:v>
                </c:pt>
                <c:pt idx="7">
                  <c:v>62</c:v>
                </c:pt>
                <c:pt idx="8">
                  <c:v>61.95</c:v>
                </c:pt>
                <c:pt idx="9">
                  <c:v>61.95</c:v>
                </c:pt>
                <c:pt idx="10">
                  <c:v>60.81</c:v>
                </c:pt>
                <c:pt idx="11">
                  <c:v>59.82</c:v>
                </c:pt>
                <c:pt idx="12">
                  <c:v>62.27</c:v>
                </c:pt>
                <c:pt idx="13">
                  <c:v>61.09</c:v>
                </c:pt>
                <c:pt idx="14">
                  <c:v>60.92</c:v>
                </c:pt>
                <c:pt idx="15">
                  <c:v>60.68</c:v>
                </c:pt>
                <c:pt idx="16">
                  <c:v>60.25</c:v>
                </c:pt>
                <c:pt idx="17">
                  <c:v>59.85</c:v>
                </c:pt>
                <c:pt idx="18">
                  <c:v>57.24</c:v>
                </c:pt>
                <c:pt idx="19">
                  <c:v>55.84</c:v>
                </c:pt>
                <c:pt idx="20">
                  <c:v>54.24</c:v>
                </c:pt>
                <c:pt idx="21">
                  <c:v>54.07</c:v>
                </c:pt>
                <c:pt idx="22">
                  <c:v>54.87</c:v>
                </c:pt>
                <c:pt idx="23">
                  <c:v>55.12</c:v>
                </c:pt>
                <c:pt idx="24">
                  <c:v>53</c:v>
                </c:pt>
                <c:pt idx="25">
                  <c:v>51.8</c:v>
                </c:pt>
                <c:pt idx="26">
                  <c:v>51.55</c:v>
                </c:pt>
                <c:pt idx="27">
                  <c:v>49.5</c:v>
                </c:pt>
                <c:pt idx="28">
                  <c:v>50.65</c:v>
                </c:pt>
                <c:pt idx="29">
                  <c:v>51.12</c:v>
                </c:pt>
                <c:pt idx="30">
                  <c:v>54.94</c:v>
                </c:pt>
                <c:pt idx="31">
                  <c:v>54.9</c:v>
                </c:pt>
                <c:pt idx="32">
                  <c:v>53.6</c:v>
                </c:pt>
                <c:pt idx="33">
                  <c:v>51.76</c:v>
                </c:pt>
                <c:pt idx="34">
                  <c:v>59.14</c:v>
                </c:pt>
                <c:pt idx="35">
                  <c:v>56.94</c:v>
                </c:pt>
                <c:pt idx="36">
                  <c:v>57.1</c:v>
                </c:pt>
                <c:pt idx="37">
                  <c:v>54.43</c:v>
                </c:pt>
                <c:pt idx="38">
                  <c:v>54.21</c:v>
                </c:pt>
                <c:pt idx="39">
                  <c:v>54.92</c:v>
                </c:pt>
                <c:pt idx="40">
                  <c:v>54.25</c:v>
                </c:pt>
                <c:pt idx="41">
                  <c:v>57.75</c:v>
                </c:pt>
                <c:pt idx="42">
                  <c:v>59.42</c:v>
                </c:pt>
                <c:pt idx="43">
                  <c:v>59</c:v>
                </c:pt>
                <c:pt idx="44">
                  <c:v>57.9</c:v>
                </c:pt>
                <c:pt idx="45">
                  <c:v>58</c:v>
                </c:pt>
                <c:pt idx="46">
                  <c:v>57.93</c:v>
                </c:pt>
                <c:pt idx="47">
                  <c:v>62.09</c:v>
                </c:pt>
                <c:pt idx="48">
                  <c:v>63.25</c:v>
                </c:pt>
                <c:pt idx="49">
                  <c:v>60.56</c:v>
                </c:pt>
                <c:pt idx="50">
                  <c:v>59.86</c:v>
                </c:pt>
                <c:pt idx="51">
                  <c:v>57.07</c:v>
                </c:pt>
                <c:pt idx="52">
                  <c:v>56.37</c:v>
                </c:pt>
                <c:pt idx="53">
                  <c:v>57.17</c:v>
                </c:pt>
                <c:pt idx="54">
                  <c:v>58.41</c:v>
                </c:pt>
                <c:pt idx="55">
                  <c:v>61.3</c:v>
                </c:pt>
                <c:pt idx="56">
                  <c:v>63</c:v>
                </c:pt>
                <c:pt idx="57">
                  <c:v>63.42</c:v>
                </c:pt>
                <c:pt idx="58">
                  <c:v>68.010000000000005</c:v>
                </c:pt>
                <c:pt idx="59">
                  <c:v>68.17</c:v>
                </c:pt>
                <c:pt idx="60">
                  <c:v>70.61</c:v>
                </c:pt>
                <c:pt idx="61">
                  <c:v>67.150000000000006</c:v>
                </c:pt>
                <c:pt idx="62">
                  <c:v>67.77</c:v>
                </c:pt>
                <c:pt idx="63">
                  <c:v>65.099999999999994</c:v>
                </c:pt>
                <c:pt idx="64">
                  <c:v>64.28</c:v>
                </c:pt>
                <c:pt idx="65">
                  <c:v>65.349999999999994</c:v>
                </c:pt>
                <c:pt idx="66">
                  <c:v>65.08</c:v>
                </c:pt>
                <c:pt idx="67">
                  <c:v>65.66</c:v>
                </c:pt>
                <c:pt idx="68">
                  <c:v>63.52</c:v>
                </c:pt>
                <c:pt idx="69">
                  <c:v>65.260000000000005</c:v>
                </c:pt>
                <c:pt idx="70">
                  <c:v>68.099999999999994</c:v>
                </c:pt>
                <c:pt idx="71">
                  <c:v>71.180000000000007</c:v>
                </c:pt>
                <c:pt idx="72">
                  <c:v>70.3</c:v>
                </c:pt>
                <c:pt idx="73">
                  <c:v>69.16</c:v>
                </c:pt>
                <c:pt idx="74">
                  <c:v>68.989999999999995</c:v>
                </c:pt>
                <c:pt idx="75">
                  <c:v>68.48</c:v>
                </c:pt>
                <c:pt idx="76">
                  <c:v>67.67</c:v>
                </c:pt>
                <c:pt idx="77">
                  <c:v>69.349999999999994</c:v>
                </c:pt>
                <c:pt idx="78">
                  <c:v>68.260000000000005</c:v>
                </c:pt>
                <c:pt idx="79">
                  <c:v>69.459999999999994</c:v>
                </c:pt>
                <c:pt idx="80">
                  <c:v>71.239999999999995</c:v>
                </c:pt>
                <c:pt idx="81">
                  <c:v>71.8</c:v>
                </c:pt>
                <c:pt idx="82">
                  <c:v>74.31</c:v>
                </c:pt>
                <c:pt idx="83">
                  <c:v>74.900000000000006</c:v>
                </c:pt>
                <c:pt idx="84">
                  <c:v>72.8</c:v>
                </c:pt>
                <c:pt idx="85">
                  <c:v>72.900000000000006</c:v>
                </c:pt>
                <c:pt idx="86">
                  <c:v>72</c:v>
                </c:pt>
                <c:pt idx="87">
                  <c:v>74.489999999999995</c:v>
                </c:pt>
                <c:pt idx="88">
                  <c:v>75.349999999999994</c:v>
                </c:pt>
                <c:pt idx="89">
                  <c:v>71.5</c:v>
                </c:pt>
                <c:pt idx="90">
                  <c:v>70.3</c:v>
                </c:pt>
                <c:pt idx="91">
                  <c:v>71</c:v>
                </c:pt>
                <c:pt idx="92">
                  <c:v>69.900000000000006</c:v>
                </c:pt>
                <c:pt idx="93">
                  <c:v>67.819999999999993</c:v>
                </c:pt>
                <c:pt idx="94">
                  <c:v>70.31</c:v>
                </c:pt>
                <c:pt idx="95">
                  <c:v>69.77</c:v>
                </c:pt>
                <c:pt idx="96">
                  <c:v>68.41</c:v>
                </c:pt>
                <c:pt idx="97">
                  <c:v>66.66</c:v>
                </c:pt>
                <c:pt idx="98">
                  <c:v>66.97</c:v>
                </c:pt>
                <c:pt idx="99">
                  <c:v>67.75</c:v>
                </c:pt>
                <c:pt idx="100">
                  <c:v>68.61</c:v>
                </c:pt>
                <c:pt idx="101">
                  <c:v>67.36</c:v>
                </c:pt>
                <c:pt idx="102">
                  <c:v>66.06</c:v>
                </c:pt>
                <c:pt idx="103">
                  <c:v>65.94</c:v>
                </c:pt>
                <c:pt idx="104">
                  <c:v>66.17</c:v>
                </c:pt>
                <c:pt idx="105">
                  <c:v>65.010000000000005</c:v>
                </c:pt>
                <c:pt idx="106">
                  <c:v>67.83</c:v>
                </c:pt>
                <c:pt idx="107">
                  <c:v>66.709999999999994</c:v>
                </c:pt>
                <c:pt idx="108">
                  <c:v>68.84</c:v>
                </c:pt>
                <c:pt idx="109">
                  <c:v>68.709999999999994</c:v>
                </c:pt>
                <c:pt idx="110">
                  <c:v>68.680000000000007</c:v>
                </c:pt>
                <c:pt idx="111">
                  <c:v>70</c:v>
                </c:pt>
                <c:pt idx="112">
                  <c:v>66.87</c:v>
                </c:pt>
                <c:pt idx="113">
                  <c:v>67.42</c:v>
                </c:pt>
                <c:pt idx="114">
                  <c:v>66.72</c:v>
                </c:pt>
                <c:pt idx="115">
                  <c:v>67.06</c:v>
                </c:pt>
                <c:pt idx="116">
                  <c:v>66.63</c:v>
                </c:pt>
                <c:pt idx="117">
                  <c:v>66.16</c:v>
                </c:pt>
                <c:pt idx="118">
                  <c:v>66.66</c:v>
                </c:pt>
                <c:pt idx="119">
                  <c:v>64.959999999999994</c:v>
                </c:pt>
                <c:pt idx="120">
                  <c:v>64.73</c:v>
                </c:pt>
                <c:pt idx="121">
                  <c:v>64.37</c:v>
                </c:pt>
                <c:pt idx="122">
                  <c:v>63.67</c:v>
                </c:pt>
                <c:pt idx="123">
                  <c:v>66.709999999999994</c:v>
                </c:pt>
                <c:pt idx="124">
                  <c:v>66.33</c:v>
                </c:pt>
                <c:pt idx="125">
                  <c:v>67.17</c:v>
                </c:pt>
                <c:pt idx="126">
                  <c:v>66.55</c:v>
                </c:pt>
                <c:pt idx="127">
                  <c:v>67.849999999999994</c:v>
                </c:pt>
                <c:pt idx="128">
                  <c:v>68.069999999999993</c:v>
                </c:pt>
                <c:pt idx="129">
                  <c:v>69.760000000000005</c:v>
                </c:pt>
                <c:pt idx="130">
                  <c:v>67.02</c:v>
                </c:pt>
                <c:pt idx="131">
                  <c:v>68.650000000000006</c:v>
                </c:pt>
                <c:pt idx="132">
                  <c:v>68.900000000000006</c:v>
                </c:pt>
                <c:pt idx="133">
                  <c:v>70.459999999999994</c:v>
                </c:pt>
                <c:pt idx="134">
                  <c:v>71.150000000000006</c:v>
                </c:pt>
                <c:pt idx="135">
                  <c:v>70.819999999999993</c:v>
                </c:pt>
                <c:pt idx="136">
                  <c:v>70.59</c:v>
                </c:pt>
                <c:pt idx="137">
                  <c:v>69.849999999999994</c:v>
                </c:pt>
                <c:pt idx="138">
                  <c:v>71</c:v>
                </c:pt>
                <c:pt idx="139">
                  <c:v>71.5</c:v>
                </c:pt>
                <c:pt idx="140">
                  <c:v>72.400000000000006</c:v>
                </c:pt>
                <c:pt idx="141">
                  <c:v>71.02</c:v>
                </c:pt>
                <c:pt idx="142">
                  <c:v>70.73</c:v>
                </c:pt>
                <c:pt idx="143">
                  <c:v>69.28</c:v>
                </c:pt>
                <c:pt idx="144">
                  <c:v>70.17</c:v>
                </c:pt>
                <c:pt idx="145">
                  <c:v>70.39</c:v>
                </c:pt>
                <c:pt idx="146">
                  <c:v>69.5</c:v>
                </c:pt>
                <c:pt idx="147">
                  <c:v>70.069999999999993</c:v>
                </c:pt>
                <c:pt idx="148">
                  <c:v>69.3</c:v>
                </c:pt>
                <c:pt idx="149">
                  <c:v>68.56</c:v>
                </c:pt>
                <c:pt idx="150">
                  <c:v>65.989999999999995</c:v>
                </c:pt>
                <c:pt idx="151">
                  <c:v>67</c:v>
                </c:pt>
                <c:pt idx="152">
                  <c:v>65.75</c:v>
                </c:pt>
                <c:pt idx="153">
                  <c:v>65.83</c:v>
                </c:pt>
                <c:pt idx="154">
                  <c:v>64.75</c:v>
                </c:pt>
                <c:pt idx="155">
                  <c:v>65.099999999999994</c:v>
                </c:pt>
                <c:pt idx="156">
                  <c:v>64.89</c:v>
                </c:pt>
                <c:pt idx="157">
                  <c:v>64.94</c:v>
                </c:pt>
                <c:pt idx="158">
                  <c:v>62.71</c:v>
                </c:pt>
                <c:pt idx="159">
                  <c:v>62.8</c:v>
                </c:pt>
                <c:pt idx="160">
                  <c:v>63.56</c:v>
                </c:pt>
                <c:pt idx="161">
                  <c:v>63.18</c:v>
                </c:pt>
                <c:pt idx="162">
                  <c:v>64</c:v>
                </c:pt>
                <c:pt idx="163">
                  <c:v>63.91</c:v>
                </c:pt>
                <c:pt idx="164">
                  <c:v>63.55</c:v>
                </c:pt>
                <c:pt idx="165">
                  <c:v>63.88</c:v>
                </c:pt>
                <c:pt idx="166">
                  <c:v>65.45</c:v>
                </c:pt>
                <c:pt idx="167">
                  <c:v>65.69</c:v>
                </c:pt>
                <c:pt idx="168">
                  <c:v>63.19</c:v>
                </c:pt>
                <c:pt idx="169">
                  <c:v>62.89</c:v>
                </c:pt>
                <c:pt idx="170">
                  <c:v>62.02</c:v>
                </c:pt>
                <c:pt idx="171">
                  <c:v>61.03</c:v>
                </c:pt>
                <c:pt idx="172">
                  <c:v>60.15</c:v>
                </c:pt>
                <c:pt idx="173">
                  <c:v>59.85</c:v>
                </c:pt>
                <c:pt idx="174">
                  <c:v>61.18</c:v>
                </c:pt>
                <c:pt idx="175">
                  <c:v>63.3</c:v>
                </c:pt>
                <c:pt idx="176">
                  <c:v>63.71</c:v>
                </c:pt>
                <c:pt idx="177">
                  <c:v>65</c:v>
                </c:pt>
                <c:pt idx="178">
                  <c:v>64.08</c:v>
                </c:pt>
                <c:pt idx="179">
                  <c:v>64.14</c:v>
                </c:pt>
                <c:pt idx="180">
                  <c:v>63.1</c:v>
                </c:pt>
                <c:pt idx="181">
                  <c:v>61.9</c:v>
                </c:pt>
                <c:pt idx="182">
                  <c:v>62.3</c:v>
                </c:pt>
                <c:pt idx="183">
                  <c:v>61.22</c:v>
                </c:pt>
                <c:pt idx="184">
                  <c:v>63.75</c:v>
                </c:pt>
                <c:pt idx="185">
                  <c:v>64.599999999999994</c:v>
                </c:pt>
                <c:pt idx="186">
                  <c:v>66.319999999999993</c:v>
                </c:pt>
                <c:pt idx="187">
                  <c:v>64.38</c:v>
                </c:pt>
                <c:pt idx="188">
                  <c:v>66.42</c:v>
                </c:pt>
                <c:pt idx="189">
                  <c:v>64.78</c:v>
                </c:pt>
                <c:pt idx="190">
                  <c:v>64.459999999999994</c:v>
                </c:pt>
                <c:pt idx="191">
                  <c:v>64.680000000000007</c:v>
                </c:pt>
                <c:pt idx="192">
                  <c:v>65.06</c:v>
                </c:pt>
                <c:pt idx="193">
                  <c:v>62.94</c:v>
                </c:pt>
                <c:pt idx="194">
                  <c:v>65.349999999999994</c:v>
                </c:pt>
                <c:pt idx="195">
                  <c:v>66.2</c:v>
                </c:pt>
                <c:pt idx="196">
                  <c:v>67.599999999999994</c:v>
                </c:pt>
                <c:pt idx="197">
                  <c:v>65.92</c:v>
                </c:pt>
                <c:pt idx="198">
                  <c:v>65.86</c:v>
                </c:pt>
                <c:pt idx="199">
                  <c:v>67.150000000000006</c:v>
                </c:pt>
                <c:pt idx="200">
                  <c:v>66.78</c:v>
                </c:pt>
                <c:pt idx="201">
                  <c:v>67.7</c:v>
                </c:pt>
                <c:pt idx="202">
                  <c:v>69.05</c:v>
                </c:pt>
                <c:pt idx="203">
                  <c:v>68.02</c:v>
                </c:pt>
                <c:pt idx="204">
                  <c:v>68.790000000000006</c:v>
                </c:pt>
                <c:pt idx="205">
                  <c:v>69.709999999999994</c:v>
                </c:pt>
                <c:pt idx="206">
                  <c:v>69.319999999999993</c:v>
                </c:pt>
                <c:pt idx="207">
                  <c:v>69.37</c:v>
                </c:pt>
                <c:pt idx="208">
                  <c:v>67.91</c:v>
                </c:pt>
                <c:pt idx="209">
                  <c:v>67.3</c:v>
                </c:pt>
                <c:pt idx="210">
                  <c:v>69.400000000000006</c:v>
                </c:pt>
                <c:pt idx="211">
                  <c:v>68.12</c:v>
                </c:pt>
                <c:pt idx="212">
                  <c:v>67.42</c:v>
                </c:pt>
                <c:pt idx="213">
                  <c:v>67.62</c:v>
                </c:pt>
                <c:pt idx="214">
                  <c:v>67.25</c:v>
                </c:pt>
                <c:pt idx="215">
                  <c:v>67.7</c:v>
                </c:pt>
                <c:pt idx="216">
                  <c:v>67</c:v>
                </c:pt>
                <c:pt idx="217">
                  <c:v>69.17</c:v>
                </c:pt>
                <c:pt idx="218">
                  <c:v>67.95</c:v>
                </c:pt>
                <c:pt idx="219">
                  <c:v>66.069999999999993</c:v>
                </c:pt>
                <c:pt idx="220">
                  <c:v>63.64</c:v>
                </c:pt>
                <c:pt idx="221">
                  <c:v>71.02</c:v>
                </c:pt>
                <c:pt idx="222">
                  <c:v>71.5</c:v>
                </c:pt>
                <c:pt idx="223">
                  <c:v>70.010000000000005</c:v>
                </c:pt>
                <c:pt idx="224">
                  <c:v>70.63</c:v>
                </c:pt>
                <c:pt idx="225">
                  <c:v>74.400000000000006</c:v>
                </c:pt>
                <c:pt idx="226">
                  <c:v>74.45</c:v>
                </c:pt>
                <c:pt idx="227">
                  <c:v>75.7</c:v>
                </c:pt>
                <c:pt idx="228">
                  <c:v>77.3</c:v>
                </c:pt>
                <c:pt idx="229">
                  <c:v>76.400000000000006</c:v>
                </c:pt>
                <c:pt idx="230">
                  <c:v>77.3</c:v>
                </c:pt>
                <c:pt idx="231">
                  <c:v>76.709999999999994</c:v>
                </c:pt>
                <c:pt idx="232">
                  <c:v>79.06</c:v>
                </c:pt>
                <c:pt idx="233">
                  <c:v>78.430000000000007</c:v>
                </c:pt>
                <c:pt idx="234">
                  <c:v>77.7</c:v>
                </c:pt>
                <c:pt idx="235">
                  <c:v>77.06</c:v>
                </c:pt>
                <c:pt idx="236">
                  <c:v>81.569999999999993</c:v>
                </c:pt>
                <c:pt idx="237">
                  <c:v>81.11</c:v>
                </c:pt>
                <c:pt idx="238">
                  <c:v>80.39</c:v>
                </c:pt>
                <c:pt idx="239">
                  <c:v>79.06</c:v>
                </c:pt>
                <c:pt idx="240">
                  <c:v>77.87</c:v>
                </c:pt>
                <c:pt idx="241">
                  <c:v>79.75</c:v>
                </c:pt>
                <c:pt idx="242">
                  <c:v>80.709999999999994</c:v>
                </c:pt>
                <c:pt idx="243">
                  <c:v>81.27</c:v>
                </c:pt>
                <c:pt idx="244">
                  <c:v>80.08</c:v>
                </c:pt>
                <c:pt idx="245">
                  <c:v>76.77</c:v>
                </c:pt>
                <c:pt idx="246">
                  <c:v>75.84</c:v>
                </c:pt>
                <c:pt idx="247">
                  <c:v>77.02</c:v>
                </c:pt>
                <c:pt idx="248">
                  <c:v>74.53</c:v>
                </c:pt>
                <c:pt idx="249">
                  <c:v>72.900000000000006</c:v>
                </c:pt>
                <c:pt idx="250">
                  <c:v>71.209999999999994</c:v>
                </c:pt>
                <c:pt idx="251">
                  <c:v>73.010000000000005</c:v>
                </c:pt>
                <c:pt idx="252">
                  <c:v>70.8</c:v>
                </c:pt>
                <c:pt idx="253">
                  <c:v>71.150000000000006</c:v>
                </c:pt>
                <c:pt idx="254">
                  <c:v>69.959999999999994</c:v>
                </c:pt>
                <c:pt idx="255">
                  <c:v>70.650000000000006</c:v>
                </c:pt>
                <c:pt idx="256">
                  <c:v>70.31</c:v>
                </c:pt>
                <c:pt idx="257">
                  <c:v>68.099999999999994</c:v>
                </c:pt>
                <c:pt idx="258">
                  <c:v>67.989999999999995</c:v>
                </c:pt>
                <c:pt idx="259">
                  <c:v>66.58</c:v>
                </c:pt>
                <c:pt idx="260">
                  <c:v>67.77</c:v>
                </c:pt>
                <c:pt idx="261">
                  <c:v>68.180000000000007</c:v>
                </c:pt>
                <c:pt idx="262">
                  <c:v>67.02</c:v>
                </c:pt>
                <c:pt idx="263">
                  <c:v>68.2</c:v>
                </c:pt>
                <c:pt idx="264">
                  <c:v>68.650000000000006</c:v>
                </c:pt>
                <c:pt idx="265">
                  <c:v>68.53</c:v>
                </c:pt>
                <c:pt idx="266">
                  <c:v>68.66</c:v>
                </c:pt>
                <c:pt idx="267">
                  <c:v>71.349999999999994</c:v>
                </c:pt>
                <c:pt idx="268">
                  <c:v>71.540000000000006</c:v>
                </c:pt>
                <c:pt idx="269">
                  <c:v>71.56</c:v>
                </c:pt>
                <c:pt idx="270">
                  <c:v>69.849999999999994</c:v>
                </c:pt>
                <c:pt idx="271">
                  <c:v>69.61</c:v>
                </c:pt>
                <c:pt idx="272">
                  <c:v>68.41</c:v>
                </c:pt>
                <c:pt idx="273">
                  <c:v>67.36</c:v>
                </c:pt>
                <c:pt idx="274">
                  <c:v>66.8</c:v>
                </c:pt>
                <c:pt idx="275">
                  <c:v>66.709999999999994</c:v>
                </c:pt>
                <c:pt idx="276">
                  <c:v>68.62</c:v>
                </c:pt>
                <c:pt idx="277">
                  <c:v>65.75</c:v>
                </c:pt>
                <c:pt idx="278">
                  <c:v>63.8</c:v>
                </c:pt>
                <c:pt idx="279">
                  <c:v>59.76</c:v>
                </c:pt>
                <c:pt idx="280">
                  <c:v>60.35</c:v>
                </c:pt>
                <c:pt idx="281">
                  <c:v>62.08</c:v>
                </c:pt>
                <c:pt idx="282">
                  <c:v>61.01</c:v>
                </c:pt>
                <c:pt idx="283">
                  <c:v>64.599999999999994</c:v>
                </c:pt>
                <c:pt idx="284">
                  <c:v>66.209999999999994</c:v>
                </c:pt>
                <c:pt idx="285">
                  <c:v>65.98</c:v>
                </c:pt>
                <c:pt idx="286">
                  <c:v>65.06</c:v>
                </c:pt>
                <c:pt idx="287">
                  <c:v>63.3</c:v>
                </c:pt>
                <c:pt idx="288">
                  <c:v>63.93</c:v>
                </c:pt>
                <c:pt idx="289">
                  <c:v>65.89</c:v>
                </c:pt>
                <c:pt idx="290">
                  <c:v>64.2</c:v>
                </c:pt>
                <c:pt idx="291">
                  <c:v>63.55</c:v>
                </c:pt>
                <c:pt idx="292">
                  <c:v>65.05</c:v>
                </c:pt>
                <c:pt idx="293">
                  <c:v>66.64</c:v>
                </c:pt>
                <c:pt idx="294">
                  <c:v>67.88</c:v>
                </c:pt>
                <c:pt idx="295">
                  <c:v>70.3</c:v>
                </c:pt>
                <c:pt idx="296">
                  <c:v>70.2</c:v>
                </c:pt>
                <c:pt idx="297">
                  <c:v>71.010000000000005</c:v>
                </c:pt>
                <c:pt idx="298">
                  <c:v>71.69</c:v>
                </c:pt>
                <c:pt idx="299">
                  <c:v>71.849999999999994</c:v>
                </c:pt>
                <c:pt idx="300">
                  <c:v>70.11</c:v>
                </c:pt>
                <c:pt idx="301">
                  <c:v>72.94</c:v>
                </c:pt>
                <c:pt idx="302">
                  <c:v>69.44</c:v>
                </c:pt>
                <c:pt idx="303">
                  <c:v>70.69</c:v>
                </c:pt>
                <c:pt idx="304">
                  <c:v>71.84</c:v>
                </c:pt>
                <c:pt idx="305">
                  <c:v>71.11</c:v>
                </c:pt>
                <c:pt idx="306">
                  <c:v>71.510000000000005</c:v>
                </c:pt>
                <c:pt idx="307">
                  <c:v>70.540000000000006</c:v>
                </c:pt>
                <c:pt idx="308">
                  <c:v>70.58</c:v>
                </c:pt>
                <c:pt idx="309">
                  <c:v>70.61</c:v>
                </c:pt>
                <c:pt idx="310">
                  <c:v>72.540000000000006</c:v>
                </c:pt>
                <c:pt idx="311">
                  <c:v>72.3</c:v>
                </c:pt>
                <c:pt idx="312">
                  <c:v>72.16</c:v>
                </c:pt>
                <c:pt idx="313">
                  <c:v>73.5</c:v>
                </c:pt>
                <c:pt idx="314">
                  <c:v>72.709999999999994</c:v>
                </c:pt>
                <c:pt idx="315">
                  <c:v>75.36</c:v>
                </c:pt>
                <c:pt idx="316">
                  <c:v>74.510000000000005</c:v>
                </c:pt>
                <c:pt idx="317">
                  <c:v>74.05</c:v>
                </c:pt>
                <c:pt idx="318">
                  <c:v>73.48</c:v>
                </c:pt>
                <c:pt idx="319">
                  <c:v>71.97</c:v>
                </c:pt>
                <c:pt idx="320">
                  <c:v>72</c:v>
                </c:pt>
                <c:pt idx="321">
                  <c:v>72.91</c:v>
                </c:pt>
                <c:pt idx="322">
                  <c:v>71.72</c:v>
                </c:pt>
                <c:pt idx="323">
                  <c:v>69.459999999999994</c:v>
                </c:pt>
                <c:pt idx="324">
                  <c:v>69.400000000000006</c:v>
                </c:pt>
                <c:pt idx="325">
                  <c:v>68.95</c:v>
                </c:pt>
              </c:numCache>
            </c:numRef>
          </c:val>
          <c:smooth val="0"/>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AFE3-4EA6-BFEE-129578BDAC1E}"/>
            </c:ext>
          </c:extLst>
        </c:ser>
        <c:dLbls>
          <c:showLegendKey val="0"/>
          <c:showVal val="0"/>
          <c:showCatName val="0"/>
          <c:showSerName val="0"/>
          <c:showPercent val="0"/>
          <c:showBubbleSize val="0"/>
        </c:dLbls>
        <c:smooth val="0"/>
        <c:axId val="1335318591"/>
        <c:axId val="1335321087"/>
      </c:lineChart>
      <c:catAx>
        <c:axId val="1335318591"/>
        <c:scaling>
          <c:orientation val="minMax"/>
          <c:min val="-13"/>
        </c:scaling>
        <c:delete val="0"/>
        <c:axPos val="b"/>
        <c:numFmt formatCode="d/m/yy;@" sourceLinked="0"/>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5321087"/>
        <c:crosses val="autoZero"/>
        <c:auto val="1"/>
        <c:lblAlgn val="ctr"/>
        <c:lblOffset val="100"/>
        <c:tickLblSkip val="20"/>
        <c:noMultiLvlLbl val="0"/>
      </c:catAx>
      <c:valAx>
        <c:axId val="1335321087"/>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it-IT" b="0">
                    <a:latin typeface="Times New Roman" panose="02020603050405020304" pitchFamily="18" charset="0"/>
                    <a:cs typeface="Times New Roman" panose="02020603050405020304" pitchFamily="18" charset="0"/>
                  </a:rPr>
                  <a:t>Prezzi all'asta (EUR/tonnellata CO</a:t>
                </a:r>
                <a:r>
                  <a:rPr lang="it-IT" b="0" baseline="-25000">
                    <a:latin typeface="Times New Roman" panose="02020603050405020304" pitchFamily="18" charset="0"/>
                    <a:cs typeface="Times New Roman" panose="02020603050405020304" pitchFamily="18" charset="0"/>
                  </a:rPr>
                  <a:t>2</a:t>
                </a:r>
                <a:r>
                  <a:rPr lang="it-IT" b="0">
                    <a:latin typeface="Times New Roman" panose="02020603050405020304" pitchFamily="18" charset="0"/>
                    <a:cs typeface="Times New Roman" panose="02020603050405020304" pitchFamily="18" charset="0"/>
                  </a:rPr>
                  <a:t>)</a:t>
                </a:r>
                <a:endParaRPr lang="en-IE" sz="1000" b="0">
                  <a:latin typeface="Times New Roman" panose="02020603050405020304" pitchFamily="18" charset="0"/>
                  <a:cs typeface="Times New Roman" panose="02020603050405020304" pitchFamily="18" charset="0"/>
                </a:endParaRPr>
              </a:p>
            </c:rich>
          </c:tx>
          <c:layout>
            <c:manualLayout>
              <c:xMode val="edge"/>
              <c:yMode val="edge"/>
              <c:x val="2.2788758983234784E-2"/>
              <c:y val="0.1711034286628393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5318591"/>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1" i="0" baseline="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'[CMR 2025 - Figure 3 surplus.xlsx]surplus chart'!$A$2</c:f>
              <c:strCache>
                <c:ptCount val="1"/>
                <c:pt idx="0">
                  <c:v>Surplus</c:v>
                </c:pt>
              </c:strCache>
            </c:strRef>
          </c:tx>
          <c:spPr>
            <a:solidFill>
              <a:schemeClr val="accent5">
                <a:lumMod val="50000"/>
              </a:schemeClr>
            </a:solidFill>
            <a:ln>
              <a:solidFill>
                <a:schemeClr val="accent5">
                  <a:lumMod val="50000"/>
                </a:schemeClr>
              </a:solidFill>
            </a:ln>
            <a:effectLst/>
          </c:spPr>
          <c:invertIfNegative val="0"/>
          <c:dLbls>
            <c:numFmt formatCode="0.0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'[CMR 2025 - Figure 3 surplus.xlsx]surplus chart'!$B$1:$M$1</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'[CMR 2025 - Figure 3 surplus.xlsx]surplus chart'!$B$2:$M$2</c:f>
              <c:numCache>
                <c:formatCode>#,##0</c:formatCode>
                <c:ptCount val="12"/>
                <c:pt idx="0">
                  <c:v>2084787900</c:v>
                </c:pt>
                <c:pt idx="1">
                  <c:v>2093383593</c:v>
                </c:pt>
                <c:pt idx="2">
                  <c:v>1818041895</c:v>
                </c:pt>
                <c:pt idx="3">
                  <c:v>1684569981</c:v>
                </c:pt>
                <c:pt idx="4">
                  <c:v>1654574598</c:v>
                </c:pt>
                <c:pt idx="5">
                  <c:v>1654909824</c:v>
                </c:pt>
                <c:pt idx="6">
                  <c:v>1385496166</c:v>
                </c:pt>
                <c:pt idx="7">
                  <c:v>1578772426</c:v>
                </c:pt>
                <c:pt idx="8">
                  <c:v>1449214182</c:v>
                </c:pt>
                <c:pt idx="9">
                  <c:v>1134794738</c:v>
                </c:pt>
                <c:pt idx="10">
                  <c:v>1111736535</c:v>
                </c:pt>
                <c:pt idx="11">
                  <c:v>1148049585</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17D1-4BEA-83D7-BB6F544F6AEC}"/>
            </c:ext>
          </c:extLst>
        </c:ser>
        <c:dLbls>
          <c:showLegendKey val="0"/>
          <c:showVal val="0"/>
          <c:showCatName val="0"/>
          <c:showSerName val="0"/>
          <c:showPercent val="0"/>
          <c:showBubbleSize val="0"/>
        </c:dLbls>
        <c:gapWidth val="219"/>
        <c:overlap val="-27"/>
        <c:axId val="402840344"/>
        <c:axId val="402841656"/>
      </c:barChart>
      <c:catAx>
        <c:axId val="402840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2841656"/>
        <c:crosses val="autoZero"/>
        <c:auto val="1"/>
        <c:lblAlgn val="ctr"/>
        <c:lblOffset val="100"/>
        <c:noMultiLvlLbl val="0"/>
      </c:catAx>
      <c:valAx>
        <c:axId val="402841656"/>
        <c:scaling>
          <c:orientation val="minMax"/>
        </c:scaling>
        <c:delete val="0"/>
        <c:axPos val="l"/>
        <c:majorGridlines>
          <c:spPr>
            <a:ln w="9525" cap="flat" cmpd="sng" algn="ctr">
              <a:solidFill>
                <a:schemeClr val="bg1">
                  <a:lumMod val="9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2840344"/>
        <c:crosses val="autoZero"/>
        <c:crossBetween val="between"/>
        <c:dispUnits>
          <c:builtInUnit val="billions"/>
          <c:dispUnitsLbl>
            <c:layout>
              <c:manualLayout>
                <c:xMode val="edge"/>
                <c:yMode val="edge"/>
                <c:x val="1.2620751099024967E-2"/>
                <c:y val="0.33687043807155204"/>
              </c:manualLayout>
            </c:layout>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E" sz="1100">
                      <a:latin typeface="Times New Roman" panose="02020603050405020304" pitchFamily="18" charset="0"/>
                      <a:cs typeface="Times New Roman" panose="02020603050405020304" pitchFamily="18" charset="0"/>
                    </a:rPr>
                    <a:t>Quote</a:t>
                  </a:r>
                  <a:r>
                    <a:rPr lang="en-IE" sz="1100" baseline="0">
                      <a:latin typeface="Times New Roman" panose="02020603050405020304" pitchFamily="18" charset="0"/>
                      <a:cs typeface="Times New Roman" panose="02020603050405020304" pitchFamily="18" charset="0"/>
                    </a:rPr>
                    <a:t> di emissioni [miliardi</a:t>
                  </a:r>
                  <a:r>
                    <a:rPr lang="en-IE" sz="1100">
                      <a:latin typeface="Times New Roman" panose="02020603050405020304" pitchFamily="18" charset="0"/>
                      <a:cs typeface="Times New Roman" panose="02020603050405020304" pitchFamily="18" charset="0"/>
                    </a:rPr>
                    <a:t>]</a:t>
                  </a:r>
                </a:p>
              </c:rich>
            </c:tx>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50000"/>
              </a:schemeClr>
            </a:solidFill>
            <a:ln>
              <a:solidFill>
                <a:schemeClr val="tx2">
                  <a:lumMod val="50000"/>
                </a:schemeClr>
              </a:solidFill>
            </a:ln>
            <a:effectLst/>
          </c:spPr>
          <c:invertIfNegative val="0"/>
          <c:dLbls>
            <c:dLbl>
              <c:idx val="0"/>
              <c:tx>
                <c:rich>
                  <a:bodyPr/>
                  <a:lstStyle/>
                  <a:p>
                    <a:fld id="{A5EB2EBD-7E43-4A54-98AA-91EB51FC8CDA}" type="CELLRANGE">
                      <a:rPr lang="en-US"/>
                      <a:pPr/>
                      <a:t>[CELLRANGE]</a:t>
                    </a:fld>
                    <a:endParaRPr lang="en-GB"/>
                  </a:p>
                </c:rich>
              </c:tx>
              <c:dLblPos val="inBase"/>
              <c:showLegendKey val="0"/>
              <c:showVal val="0"/>
              <c:showCatName val="0"/>
              <c:showSerName val="0"/>
              <c:showPercent val="0"/>
              <c:showBubbleSize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dlblFieldTable/>
                  <c15:showDataLabelsRange val="1"/>
                </c:ext>
                <c:ext xmlns:c16="http://schemas.microsoft.com/office/drawing/2014/chart" uri="{C3380CC4-5D6E-409C-BE32-E72D297353CC}">
                  <c16:uniqueId val="{00000000-A71B-45C1-88C7-343A0768D832}"/>
                </c:ext>
              </c:extLst>
            </c:dLbl>
            <c:dLbl>
              <c:idx val="1"/>
              <c:tx>
                <c:rich>
                  <a:bodyPr/>
                  <a:lstStyle/>
                  <a:p>
                    <a:fld id="{6BBF394E-2AC7-460A-894F-B6705849096E}"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71B-45C1-88C7-343A0768D832}"/>
                </c:ext>
              </c:extLst>
            </c:dLbl>
            <c:dLbl>
              <c:idx val="2"/>
              <c:tx>
                <c:rich>
                  <a:bodyPr/>
                  <a:lstStyle/>
                  <a:p>
                    <a:fld id="{72C8D614-56F1-4EF6-92A9-B5DCA695BB6A}"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71B-45C1-88C7-343A0768D832}"/>
                </c:ext>
              </c:extLst>
            </c:dLbl>
            <c:dLbl>
              <c:idx val="3"/>
              <c:tx>
                <c:rich>
                  <a:bodyPr/>
                  <a:lstStyle/>
                  <a:p>
                    <a:fld id="{C0A1C2D9-B46E-4297-953D-F7EB771448D0}"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71B-45C1-88C7-343A0768D832}"/>
                </c:ext>
              </c:extLst>
            </c:dLbl>
            <c:dLbl>
              <c:idx val="4"/>
              <c:tx>
                <c:rich>
                  <a:bodyPr/>
                  <a:lstStyle/>
                  <a:p>
                    <a:fld id="{38C6B8BB-5585-4ECC-9FB4-0FDE356E9578}"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71B-45C1-88C7-343A0768D832}"/>
                </c:ext>
              </c:extLst>
            </c:dLbl>
            <c:dLbl>
              <c:idx val="5"/>
              <c:tx>
                <c:rich>
                  <a:bodyPr/>
                  <a:lstStyle/>
                  <a:p>
                    <a:fld id="{2ABF8C5D-7B45-4EB2-9C8D-BBE6647CABCD}"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71B-45C1-88C7-343A0768D832}"/>
                </c:ext>
              </c:extLst>
            </c:dLbl>
            <c:dLbl>
              <c:idx val="6"/>
              <c:tx>
                <c:rich>
                  <a:bodyPr/>
                  <a:lstStyle/>
                  <a:p>
                    <a:fld id="{21489CD9-165E-44FC-90CA-3098C0603396}"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71B-45C1-88C7-343A0768D832}"/>
                </c:ext>
              </c:extLst>
            </c:dLbl>
            <c:dLbl>
              <c:idx val="7"/>
              <c:tx>
                <c:rich>
                  <a:bodyPr/>
                  <a:lstStyle/>
                  <a:p>
                    <a:fld id="{CA0D800E-B52F-40B6-80A3-070610A94FDB}"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71B-45C1-88C7-343A0768D832}"/>
                </c:ext>
              </c:extLst>
            </c:dLbl>
            <c:dLbl>
              <c:idx val="8"/>
              <c:tx>
                <c:rich>
                  <a:bodyPr/>
                  <a:lstStyle/>
                  <a:p>
                    <a:fld id="{CBF5BECE-30A9-4F4C-BA04-CAB0D9757904}"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71B-45C1-88C7-343A0768D832}"/>
                </c:ext>
              </c:extLst>
            </c:dLbl>
            <c:dLbl>
              <c:idx val="9"/>
              <c:tx>
                <c:rich>
                  <a:bodyPr/>
                  <a:lstStyle/>
                  <a:p>
                    <a:fld id="{8C35D950-CA18-4F73-82BC-D543C5C1AA4E}"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71B-45C1-88C7-343A0768D832}"/>
                </c:ext>
              </c:extLst>
            </c:dLbl>
            <c:dLbl>
              <c:idx val="10"/>
              <c:tx>
                <c:rich>
                  <a:bodyPr/>
                  <a:lstStyle/>
                  <a:p>
                    <a:fld id="{7FC64517-29F1-4052-8D32-6EBAE5D4DD83}"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71B-45C1-88C7-343A0768D832}"/>
                </c:ext>
              </c:extLst>
            </c:dLbl>
            <c:dLbl>
              <c:idx val="11"/>
              <c:tx>
                <c:rich>
                  <a:bodyPr/>
                  <a:lstStyle/>
                  <a:p>
                    <a:fld id="{B3C162EA-C89D-429F-849A-461330EF7DD2}" type="CELLRANGE">
                      <a:rPr lang="en-GB"/>
                      <a:pPr/>
                      <a:t>[CELLRANGE]</a:t>
                    </a:fld>
                    <a:endParaRPr lang="en-GB"/>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71B-45C1-88C7-343A0768D83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dLblPos val="inBase"/>
            <c:showLegendKey val="0"/>
            <c:showVal val="0"/>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'[CMR 2025 - Figure 4 and 5.xlsx]Figure 4 and 5 for CMR'!$L$62:$W$62</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'[CMR 2025 - Figure 4 and 5.xlsx]Figure 4 and 5 for CMR'!$L$75:$W$75</c:f>
              <c:numCache>
                <c:formatCode>General</c:formatCode>
                <c:ptCount val="12"/>
                <c:pt idx="0">
                  <c:v>1465.1596217420004</c:v>
                </c:pt>
                <c:pt idx="1">
                  <c:v>1369.9604189701281</c:v>
                </c:pt>
                <c:pt idx="2">
                  <c:v>1390.3820860482974</c:v>
                </c:pt>
                <c:pt idx="3">
                  <c:v>1362.449932452326</c:v>
                </c:pt>
                <c:pt idx="4">
                  <c:v>1374.2935107444453</c:v>
                </c:pt>
                <c:pt idx="5">
                  <c:v>1315.2279745237258</c:v>
                </c:pt>
                <c:pt idx="6">
                  <c:v>1164.1997691959959</c:v>
                </c:pt>
                <c:pt idx="7">
                  <c:v>1033.4146584767084</c:v>
                </c:pt>
                <c:pt idx="8">
                  <c:v>1106.2056100978305</c:v>
                </c:pt>
                <c:pt idx="9">
                  <c:v>1096.2533764025329</c:v>
                </c:pt>
                <c:pt idx="10">
                  <c:v>902.06136432406913</c:v>
                </c:pt>
                <c:pt idx="11">
                  <c:v>852.13688500242768</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02D57815-91ED-43cb-92C2-25804820EDAC}">
              <c15:datalabelsRange>
                <c15:f>'[CMR 2025 - Figure 4 and 5.xlsx]Figure 4 and 5 for CMR'!$L$77:$W$77</c15:f>
                <c15:dlblRangeCache>
                  <c:ptCount val="12"/>
                  <c:pt idx="0">
                    <c:v>87%</c:v>
                  </c:pt>
                  <c:pt idx="1">
                    <c:v>85%</c:v>
                  </c:pt>
                  <c:pt idx="2">
                    <c:v>85%</c:v>
                  </c:pt>
                  <c:pt idx="3">
                    <c:v>85%</c:v>
                  </c:pt>
                  <c:pt idx="4">
                    <c:v>85%</c:v>
                  </c:pt>
                  <c:pt idx="5">
                    <c:v>84%</c:v>
                  </c:pt>
                  <c:pt idx="6">
                    <c:v>82%</c:v>
                  </c:pt>
                  <c:pt idx="7">
                    <c:v>82%</c:v>
                  </c:pt>
                  <c:pt idx="8">
                    <c:v>83%</c:v>
                  </c:pt>
                  <c:pt idx="9">
                    <c:v>83%</c:v>
                  </c:pt>
                  <c:pt idx="10">
                    <c:v>82%</c:v>
                  </c:pt>
                  <c:pt idx="11">
                    <c:v>82%</c:v>
                  </c:pt>
                </c15:dlblRangeCache>
              </c15:datalabelsRange>
            </c:ext>
            <c:ext xmlns:c16="http://schemas.microsoft.com/office/drawing/2014/chart" uri="{C3380CC4-5D6E-409C-BE32-E72D297353CC}">
              <c16:uniqueId val="{0000000C-A71B-45C1-88C7-343A0768D832}"/>
            </c:ext>
          </c:extLst>
        </c:ser>
        <c:dLbls>
          <c:showLegendKey val="0"/>
          <c:showVal val="0"/>
          <c:showCatName val="0"/>
          <c:showSerName val="0"/>
          <c:showPercent val="0"/>
          <c:showBubbleSize val="0"/>
        </c:dLbls>
        <c:gapWidth val="40"/>
        <c:axId val="1698695632"/>
        <c:axId val="1733699280"/>
      </c:barChart>
      <c:catAx>
        <c:axId val="169869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33699280"/>
        <c:crosses val="autoZero"/>
        <c:auto val="1"/>
        <c:lblAlgn val="ctr"/>
        <c:lblOffset val="100"/>
        <c:noMultiLvlLbl val="0"/>
      </c:catAx>
      <c:valAx>
        <c:axId val="1733699280"/>
        <c:scaling>
          <c:orientation val="minMax"/>
        </c:scaling>
        <c:delete val="0"/>
        <c:axPos val="l"/>
        <c:majorGridlines>
          <c:spPr>
            <a:ln w="9525" cap="flat" cmpd="sng" algn="ctr">
              <a:solidFill>
                <a:schemeClr val="bg1">
                  <a:lumMod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98695632"/>
        <c:crosses val="autoZero"/>
        <c:crossBetween val="between"/>
        <c:dispUnits>
          <c:builtInUnit val="thousand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Emissioni</a:t>
                  </a:r>
                  <a:r>
                    <a:rPr lang="en-US" baseline="0">
                      <a:latin typeface="Times New Roman" panose="02020603050405020304" pitchFamily="18" charset="0"/>
                      <a:cs typeface="Times New Roman" panose="02020603050405020304" pitchFamily="18" charset="0"/>
                    </a:rPr>
                    <a:t> </a:t>
                  </a:r>
                  <a:r>
                    <a:rPr lang="fr-FR" sz="1000" b="0" i="0" u="none" strike="noStrike" baseline="0">
                      <a:effectLst/>
                    </a:rPr>
                    <a:t>(Gt CO</a:t>
                  </a:r>
                  <a:r>
                    <a:rPr lang="fr-FR" sz="1000" b="0" i="0" u="none" strike="noStrike" baseline="-25000">
                      <a:effectLst/>
                    </a:rPr>
                    <a:t>2</a:t>
                  </a:r>
                  <a:r>
                    <a:rPr lang="fr-FR" sz="1000" b="0" i="0" u="none" strike="noStrike" baseline="0">
                      <a:effectLst/>
                    </a:rPr>
                    <a:t>eq)</a:t>
                  </a:r>
                  <a:endParaRPr lang="en-US">
                    <a:latin typeface="Times New Roman" panose="02020603050405020304" pitchFamily="18" charset="0"/>
                    <a:cs typeface="Times New Roman" panose="02020603050405020304" pitchFamily="18" charset="0"/>
                  </a:endParaRP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ispUnitsLbl>
        </c:dispUnits>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5166045362489881"/>
          <c:y val="0.16016679412631749"/>
          <c:w val="0.53897377617647124"/>
          <c:h val="0.73754306213622378"/>
        </c:manualLayout>
      </c:layout>
      <c:pieChart>
        <c:varyColors val="1"/>
        <c:ser>
          <c:idx val="0"/>
          <c:order val="0"/>
          <c:dPt>
            <c:idx val="0"/>
            <c:bubble3D val="0"/>
            <c:spPr>
              <a:solidFill>
                <a:schemeClr val="accent1">
                  <a:shade val="53000"/>
                </a:schemeClr>
              </a:solidFill>
              <a:ln w="19050">
                <a:solidFill>
                  <a:schemeClr val="lt1"/>
                </a:solidFill>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44BC-474C-B6EB-539CBEE0C404}"/>
              </c:ext>
            </c:extLst>
          </c:dPt>
          <c:dPt>
            <c:idx val="1"/>
            <c:bubble3D val="0"/>
            <c:spPr>
              <a:solidFill>
                <a:schemeClr val="accent1">
                  <a:shade val="76000"/>
                </a:schemeClr>
              </a:solidFill>
              <a:ln w="19050">
                <a:solidFill>
                  <a:schemeClr val="lt1"/>
                </a:solidFill>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44BC-474C-B6EB-539CBEE0C404}"/>
              </c:ext>
            </c:extLst>
          </c:dPt>
          <c:dPt>
            <c:idx val="2"/>
            <c:bubble3D val="0"/>
            <c:spPr>
              <a:solidFill>
                <a:schemeClr val="accent1"/>
              </a:solidFill>
              <a:ln w="19050">
                <a:solidFill>
                  <a:schemeClr val="lt1"/>
                </a:solidFill>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44BC-474C-B6EB-539CBEE0C404}"/>
              </c:ext>
            </c:extLst>
          </c:dPt>
          <c:dPt>
            <c:idx val="3"/>
            <c:bubble3D val="0"/>
            <c:spPr>
              <a:solidFill>
                <a:schemeClr val="accent1">
                  <a:tint val="77000"/>
                </a:schemeClr>
              </a:solidFill>
              <a:ln w="19050">
                <a:solidFill>
                  <a:schemeClr val="lt1"/>
                </a:solidFill>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44BC-474C-B6EB-539CBEE0C404}"/>
              </c:ext>
            </c:extLst>
          </c:dPt>
          <c:dPt>
            <c:idx val="4"/>
            <c:bubble3D val="0"/>
            <c:spPr>
              <a:solidFill>
                <a:schemeClr val="accent1">
                  <a:tint val="54000"/>
                </a:schemeClr>
              </a:solidFill>
              <a:ln w="19050">
                <a:solidFill>
                  <a:schemeClr val="lt1"/>
                </a:solidFill>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9-44BC-474C-B6EB-539CBEE0C404}"/>
              </c:ext>
            </c:extLst>
          </c:dPt>
          <c:dLbls>
            <c:dLbl>
              <c:idx val="1"/>
              <c:layout>
                <c:manualLayout>
                  <c:x val="-2.0930632500890587E-2"/>
                  <c:y val="4.3417089150501138E-2"/>
                </c:manualLayout>
              </c:layout>
              <c:dLblPos val="bestFit"/>
              <c:showLegendKey val="0"/>
              <c:showVal val="0"/>
              <c:showCatName val="1"/>
              <c:showSerName val="0"/>
              <c:showPercent val="0"/>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3-44BC-474C-B6EB-539CBEE0C40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0"/>
            <c:showBubbleSize val="0"/>
            <c:showLeaderLines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RectCallout">
                    <a:avLst/>
                  </a:prstGeom>
                  <a:noFill/>
                  <a:ln>
                    <a:noFill/>
                  </a:ln>
                </c15:spPr>
              </c:ext>
            </c:extLst>
          </c:dLbls>
          <c:cat>
            <c:strRef>
              <c:f>'Figure 6 for CMR'!$A$2:$A$6</c:f>
              <c:strCache>
                <c:ptCount val="5"/>
                <c:pt idx="0">
                  <c:v>Stati membri</c:v>
                </c:pt>
                <c:pt idx="1">
                  <c:v>Islanda, Liechtenstein, Norvegia e Irlanda del Nord</c:v>
                </c:pt>
                <c:pt idx="2">
                  <c:v>Fondo per l'innovazione</c:v>
                </c:pt>
                <c:pt idx="3">
                  <c:v>Fondo per la modernizzazione</c:v>
                </c:pt>
                <c:pt idx="4">
                  <c:v>Dispositivo per la ripresa e la resilienza</c:v>
                </c:pt>
              </c:strCache>
            </c:strRef>
          </c:cat>
          <c:val>
            <c:numRef>
              <c:f>'Figure 6 for CMR'!$B$2:$B$6</c:f>
              <c:numCache>
                <c:formatCode>General</c:formatCode>
                <c:ptCount val="5"/>
                <c:pt idx="0">
                  <c:v>24.4</c:v>
                </c:pt>
                <c:pt idx="1">
                  <c:v>0.3</c:v>
                </c:pt>
                <c:pt idx="2">
                  <c:v>2.2999999999999998</c:v>
                </c:pt>
                <c:pt idx="3">
                  <c:v>6.3</c:v>
                </c:pt>
                <c:pt idx="4">
                  <c:v>5.6</c:v>
                </c:pt>
              </c:numCache>
            </c:numRef>
          </c:val>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A-44BC-474C-B6EB-539CBEE0C40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70C0621B-6072-448D-8136-B4916A485EB4}">
    <t:Anchor>
      <t:Comment id="1471632134"/>
    </t:Anchor>
    <t:History>
      <t:Event time="2025-08-29T09:47:36.189Z" id="{22FAAED5-FA82-4FB6-B833-92FC47DD94C8}">
        <t:Attribution userId="S::Miles.PERRY@ec.europa.eu::0076d01d-dfbb-4af7-9a59-25c762b425ca" userName="PERRY Miles (CLIMA)" userProvider="AD"/>
        <t:Anchor>
          <t:Comment id="1471632134"/>
        </t:Anchor>
        <t:Create/>
      </t:Event>
      <t:Event time="2025-08-29T09:47:36.189Z" id="{E19E0770-31D3-4512-9F2C-C02B9934329B}">
        <t:Attribution userId="S::Miles.PERRY@ec.europa.eu::0076d01d-dfbb-4af7-9a59-25c762b425ca" userName="PERRY Miles (CLIMA)" userProvider="AD"/>
        <t:Anchor>
          <t:Comment id="1471632134"/>
        </t:Anchor>
        <t:Assign userId="S::Miles.PERRY@ec.europa.eu::0076d01d-dfbb-4af7-9a59-25c762b425ca" userName="PERRY Miles (CLIMA)" userProvider="AD"/>
      </t:Event>
      <t:Event time="2025-08-29T09:47:36.189Z" id="{D0EDD46E-FDDA-4254-B2A6-76C6D1844262}">
        <t:Attribution userId="S::Miles.PERRY@ec.europa.eu::0076d01d-dfbb-4af7-9a59-25c762b425ca" userName="PERRY Miles (CLIMA)" userProvider="AD"/>
        <t:Anchor>
          <t:Comment id="1471632134"/>
        </t:Anchor>
        <t:SetTitle title="@PERRY Miles (CLIMA) @ZIEMANN Julia (CLIMA) Need to create an additional level of Heading for these level 3 sections (not only in maritime)."/>
      </t:Event>
      <t:Event time="2025-08-31T22:54:58.902Z" id="{9C05BB93-418D-499B-87EA-141562211D97}">
        <t:Attribution userId="S::Miles.PERRY@ec.europa.eu::0076d01d-dfbb-4af7-9a59-25c762b425ca" userName="PERRY Miles (CLIMA)" userProvider="A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234BE3910874EAD93E4EEEE4C73D0" ma:contentTypeVersion="23" ma:contentTypeDescription="Create a new document." ma:contentTypeScope="" ma:versionID="0b07422cb120a4fcd6063ca8d97317d5">
  <xsd:schema xmlns:xsd="http://www.w3.org/2001/XMLSchema" xmlns:xs="http://www.w3.org/2001/XMLSchema" xmlns:p="http://schemas.microsoft.com/office/2006/metadata/properties" xmlns:ns2="e454a234-126e-4e9d-9424-56879817f6db" xmlns:ns3="e1a78ac4-7176-4dde-ad25-36245d50a152" targetNamespace="http://schemas.microsoft.com/office/2006/metadata/properties" ma:root="true" ma:fieldsID="c8b7c09b12f681c4c1ce221b06d1d2b4" ns2:_="" ns3:_="">
    <xsd:import namespace="e454a234-126e-4e9d-9424-56879817f6db"/>
    <xsd:import namespace="e1a78ac4-7176-4dde-ad25-36245d50a152"/>
    <xsd:element name="properties">
      <xsd:complexType>
        <xsd:sequence>
          <xsd:element name="documentManagement">
            <xsd:complexType>
              <xsd:all>
                <xsd:element ref="ns2:lcf76f155ced4ddcb4097134ff3c332f" minOccurs="0"/>
                <xsd:element ref="ns3:TaxCatchAll" minOccurs="0"/>
                <xsd:element ref="ns2:Person" minOccurs="0"/>
                <xsd:element ref="ns2:Time"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a234-126e-4e9d-9424-56879817f6db"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element name="Person" ma:index="1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me" ma:index="11" nillable="true" ma:displayName="Time" ma:format="DateOnly" ma:internalName="Time">
      <xsd:simpleType>
        <xsd:restriction base="dms:DateTime"/>
      </xsd:simpleType>
    </xsd:element>
    <xsd:element name="Topic" ma:index="12" nillable="true" ma:displayName="Topic" ma:format="Dropdown" ma:internalName="Topi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78ac4-7176-4dde-ad25-36245d50a15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d0b7d13-719b-4003-a7dc-61b8783e7929}" ma:internalName="TaxCatchAll" ma:showField="CatchAllData" ma:web="e1a78ac4-7176-4dde-ad25-36245d50a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4a234-126e-4e9d-9424-56879817f6db" xsi:nil="true"/>
    <Time xmlns="e454a234-126e-4e9d-9424-56879817f6db" xsi:nil="true"/>
    <TaxCatchAll xmlns="e1a78ac4-7176-4dde-ad25-36245d50a152" xsi:nil="true"/>
    <Person xmlns="e454a234-126e-4e9d-9424-56879817f6db">
      <UserInfo>
        <DisplayName/>
        <AccountId xsi:nil="true"/>
        <AccountType/>
      </UserInfo>
    </Person>
    <Topic xmlns="e454a234-126e-4e9d-9424-56879817f6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F3F36-5DEB-435A-8336-7521544FB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a234-126e-4e9d-9424-56879817f6db"/>
    <ds:schemaRef ds:uri="e1a78ac4-7176-4dde-ad25-36245d50a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741FF-26A6-41EE-A66C-B45811ED62D1}">
  <ds:schemaRefs>
    <ds:schemaRef ds:uri="http://schemas.microsoft.com/sharepoint/v3/contenttype/forms"/>
  </ds:schemaRefs>
</ds:datastoreItem>
</file>

<file path=customXml/itemProps3.xml><?xml version="1.0" encoding="utf-8"?>
<ds:datastoreItem xmlns:ds="http://schemas.openxmlformats.org/officeDocument/2006/customXml" ds:itemID="{A2A7E9D1-9F24-4EB1-9A0F-F7BB9471994E}">
  <ds:schemaRefs>
    <ds:schemaRef ds:uri="http://www.w3.org/XML/1998/namespace"/>
    <ds:schemaRef ds:uri="e1a78ac4-7176-4dde-ad25-36245d50a152"/>
    <ds:schemaRef ds:uri="http://schemas.microsoft.com/office/2006/documentManagement/types"/>
    <ds:schemaRef ds:uri="http://schemas.microsoft.com/office/2006/metadata/properties"/>
    <ds:schemaRef ds:uri="http://purl.org/dc/dcmitype/"/>
    <ds:schemaRef ds:uri="http://schemas.openxmlformats.org/package/2006/metadata/core-properties"/>
    <ds:schemaRef ds:uri="e454a234-126e-4e9d-9424-56879817f6db"/>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7A9CD806-BF97-4750-9D3C-0C70A2E9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15</Pages>
  <Words>22144</Words>
  <Characters>126223</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148071</CharactersWithSpaces>
  <SharedDoc>false</SharedDoc>
  <HLinks>
    <vt:vector size="786" baseType="variant">
      <vt:variant>
        <vt:i4>8192067</vt:i4>
      </vt:variant>
      <vt:variant>
        <vt:i4>273</vt:i4>
      </vt:variant>
      <vt:variant>
        <vt:i4>0</vt:i4>
      </vt:variant>
      <vt:variant>
        <vt:i4>5</vt:i4>
      </vt:variant>
      <vt:variant>
        <vt:lpwstr>https://euc-word-edit.officeapps.live.com/we/wordeditorframe.aspx?ui=en-US&amp;rs=en-IE&amp;wopisrc=https%3A%2F%2Feceuropaeu.sharepoint.com%2Fteams%2FGRP-PRO-DG-CLIMA-Unit-B1%2F_vti_bin%2Fwopi.ashx%2Ffiles%2Facc4252787a84dbdab8548746684a965&amp;wdenableroaming=1&amp;mscc=1&amp;hid=8C06B9A1-6023-0000-00D3-045EC802F0CC.0&amp;uih=sharepointcom&amp;wdlcid=en-US&amp;jsapi=1&amp;jsapiver=v2&amp;corrid=3bc90275-cdf3-3b1b-1a72-07f85bc349f0&amp;usid=3bc90275-cdf3-3b1b-1a72-07f85bc349f0&amp;newsession=1&amp;sftc=1&amp;uihit=docaspx&amp;muv=1&amp;ats=PairwiseBroker&amp;cac=1&amp;sams=1&amp;mtf=1&amp;sfp=1&amp;sdp=1&amp;hch=1&amp;hwfh=1&amp;dchat=1&amp;sc=%7B%22pmo%22%3A%22https%3A%2F%2Feceuropaeu.sharepoint.com%22%2C%22pmshare%22%3Atrue%7D&amp;ctp=LeastProtected&amp;rct=Normal&amp;wdorigin=ItemsView&amp;wdhostclicktime=1754464512569&amp;afdflight=82&amp;csiro=1&amp;instantedit=1&amp;wopicomplete=1&amp;wdredirectionreason=Unified_SingleFlush</vt:lpwstr>
      </vt:variant>
      <vt:variant>
        <vt:lpwstr>_ftn3</vt:lpwstr>
      </vt:variant>
      <vt:variant>
        <vt:i4>1441854</vt:i4>
      </vt:variant>
      <vt:variant>
        <vt:i4>242</vt:i4>
      </vt:variant>
      <vt:variant>
        <vt:i4>0</vt:i4>
      </vt:variant>
      <vt:variant>
        <vt:i4>5</vt:i4>
      </vt:variant>
      <vt:variant>
        <vt:lpwstr/>
      </vt:variant>
      <vt:variant>
        <vt:lpwstr>_Toc212387647</vt:lpwstr>
      </vt:variant>
      <vt:variant>
        <vt:i4>1441854</vt:i4>
      </vt:variant>
      <vt:variant>
        <vt:i4>236</vt:i4>
      </vt:variant>
      <vt:variant>
        <vt:i4>0</vt:i4>
      </vt:variant>
      <vt:variant>
        <vt:i4>5</vt:i4>
      </vt:variant>
      <vt:variant>
        <vt:lpwstr/>
      </vt:variant>
      <vt:variant>
        <vt:lpwstr>_Toc212387646</vt:lpwstr>
      </vt:variant>
      <vt:variant>
        <vt:i4>1441854</vt:i4>
      </vt:variant>
      <vt:variant>
        <vt:i4>230</vt:i4>
      </vt:variant>
      <vt:variant>
        <vt:i4>0</vt:i4>
      </vt:variant>
      <vt:variant>
        <vt:i4>5</vt:i4>
      </vt:variant>
      <vt:variant>
        <vt:lpwstr/>
      </vt:variant>
      <vt:variant>
        <vt:lpwstr>_Toc212387645</vt:lpwstr>
      </vt:variant>
      <vt:variant>
        <vt:i4>1441854</vt:i4>
      </vt:variant>
      <vt:variant>
        <vt:i4>224</vt:i4>
      </vt:variant>
      <vt:variant>
        <vt:i4>0</vt:i4>
      </vt:variant>
      <vt:variant>
        <vt:i4>5</vt:i4>
      </vt:variant>
      <vt:variant>
        <vt:lpwstr/>
      </vt:variant>
      <vt:variant>
        <vt:lpwstr>_Toc212387644</vt:lpwstr>
      </vt:variant>
      <vt:variant>
        <vt:i4>1441854</vt:i4>
      </vt:variant>
      <vt:variant>
        <vt:i4>218</vt:i4>
      </vt:variant>
      <vt:variant>
        <vt:i4>0</vt:i4>
      </vt:variant>
      <vt:variant>
        <vt:i4>5</vt:i4>
      </vt:variant>
      <vt:variant>
        <vt:lpwstr/>
      </vt:variant>
      <vt:variant>
        <vt:lpwstr>_Toc212387643</vt:lpwstr>
      </vt:variant>
      <vt:variant>
        <vt:i4>1441854</vt:i4>
      </vt:variant>
      <vt:variant>
        <vt:i4>212</vt:i4>
      </vt:variant>
      <vt:variant>
        <vt:i4>0</vt:i4>
      </vt:variant>
      <vt:variant>
        <vt:i4>5</vt:i4>
      </vt:variant>
      <vt:variant>
        <vt:lpwstr/>
      </vt:variant>
      <vt:variant>
        <vt:lpwstr>_Toc212387642</vt:lpwstr>
      </vt:variant>
      <vt:variant>
        <vt:i4>1441854</vt:i4>
      </vt:variant>
      <vt:variant>
        <vt:i4>206</vt:i4>
      </vt:variant>
      <vt:variant>
        <vt:i4>0</vt:i4>
      </vt:variant>
      <vt:variant>
        <vt:i4>5</vt:i4>
      </vt:variant>
      <vt:variant>
        <vt:lpwstr/>
      </vt:variant>
      <vt:variant>
        <vt:lpwstr>_Toc212387641</vt:lpwstr>
      </vt:variant>
      <vt:variant>
        <vt:i4>1441854</vt:i4>
      </vt:variant>
      <vt:variant>
        <vt:i4>200</vt:i4>
      </vt:variant>
      <vt:variant>
        <vt:i4>0</vt:i4>
      </vt:variant>
      <vt:variant>
        <vt:i4>5</vt:i4>
      </vt:variant>
      <vt:variant>
        <vt:lpwstr/>
      </vt:variant>
      <vt:variant>
        <vt:lpwstr>_Toc212387640</vt:lpwstr>
      </vt:variant>
      <vt:variant>
        <vt:i4>1114174</vt:i4>
      </vt:variant>
      <vt:variant>
        <vt:i4>194</vt:i4>
      </vt:variant>
      <vt:variant>
        <vt:i4>0</vt:i4>
      </vt:variant>
      <vt:variant>
        <vt:i4>5</vt:i4>
      </vt:variant>
      <vt:variant>
        <vt:lpwstr/>
      </vt:variant>
      <vt:variant>
        <vt:lpwstr>_Toc212387639</vt:lpwstr>
      </vt:variant>
      <vt:variant>
        <vt:i4>1114174</vt:i4>
      </vt:variant>
      <vt:variant>
        <vt:i4>188</vt:i4>
      </vt:variant>
      <vt:variant>
        <vt:i4>0</vt:i4>
      </vt:variant>
      <vt:variant>
        <vt:i4>5</vt:i4>
      </vt:variant>
      <vt:variant>
        <vt:lpwstr/>
      </vt:variant>
      <vt:variant>
        <vt:lpwstr>_Toc212387638</vt:lpwstr>
      </vt:variant>
      <vt:variant>
        <vt:i4>1114174</vt:i4>
      </vt:variant>
      <vt:variant>
        <vt:i4>182</vt:i4>
      </vt:variant>
      <vt:variant>
        <vt:i4>0</vt:i4>
      </vt:variant>
      <vt:variant>
        <vt:i4>5</vt:i4>
      </vt:variant>
      <vt:variant>
        <vt:lpwstr/>
      </vt:variant>
      <vt:variant>
        <vt:lpwstr>_Toc212387637</vt:lpwstr>
      </vt:variant>
      <vt:variant>
        <vt:i4>1114174</vt:i4>
      </vt:variant>
      <vt:variant>
        <vt:i4>176</vt:i4>
      </vt:variant>
      <vt:variant>
        <vt:i4>0</vt:i4>
      </vt:variant>
      <vt:variant>
        <vt:i4>5</vt:i4>
      </vt:variant>
      <vt:variant>
        <vt:lpwstr/>
      </vt:variant>
      <vt:variant>
        <vt:lpwstr>_Toc212387636</vt:lpwstr>
      </vt:variant>
      <vt:variant>
        <vt:i4>1114174</vt:i4>
      </vt:variant>
      <vt:variant>
        <vt:i4>170</vt:i4>
      </vt:variant>
      <vt:variant>
        <vt:i4>0</vt:i4>
      </vt:variant>
      <vt:variant>
        <vt:i4>5</vt:i4>
      </vt:variant>
      <vt:variant>
        <vt:lpwstr/>
      </vt:variant>
      <vt:variant>
        <vt:lpwstr>_Toc212387635</vt:lpwstr>
      </vt:variant>
      <vt:variant>
        <vt:i4>1114174</vt:i4>
      </vt:variant>
      <vt:variant>
        <vt:i4>164</vt:i4>
      </vt:variant>
      <vt:variant>
        <vt:i4>0</vt:i4>
      </vt:variant>
      <vt:variant>
        <vt:i4>5</vt:i4>
      </vt:variant>
      <vt:variant>
        <vt:lpwstr/>
      </vt:variant>
      <vt:variant>
        <vt:lpwstr>_Toc212387634</vt:lpwstr>
      </vt:variant>
      <vt:variant>
        <vt:i4>1114174</vt:i4>
      </vt:variant>
      <vt:variant>
        <vt:i4>158</vt:i4>
      </vt:variant>
      <vt:variant>
        <vt:i4>0</vt:i4>
      </vt:variant>
      <vt:variant>
        <vt:i4>5</vt:i4>
      </vt:variant>
      <vt:variant>
        <vt:lpwstr/>
      </vt:variant>
      <vt:variant>
        <vt:lpwstr>_Toc212387633</vt:lpwstr>
      </vt:variant>
      <vt:variant>
        <vt:i4>1114174</vt:i4>
      </vt:variant>
      <vt:variant>
        <vt:i4>152</vt:i4>
      </vt:variant>
      <vt:variant>
        <vt:i4>0</vt:i4>
      </vt:variant>
      <vt:variant>
        <vt:i4>5</vt:i4>
      </vt:variant>
      <vt:variant>
        <vt:lpwstr/>
      </vt:variant>
      <vt:variant>
        <vt:lpwstr>_Toc212387632</vt:lpwstr>
      </vt:variant>
      <vt:variant>
        <vt:i4>1114174</vt:i4>
      </vt:variant>
      <vt:variant>
        <vt:i4>146</vt:i4>
      </vt:variant>
      <vt:variant>
        <vt:i4>0</vt:i4>
      </vt:variant>
      <vt:variant>
        <vt:i4>5</vt:i4>
      </vt:variant>
      <vt:variant>
        <vt:lpwstr/>
      </vt:variant>
      <vt:variant>
        <vt:lpwstr>_Toc212387631</vt:lpwstr>
      </vt:variant>
      <vt:variant>
        <vt:i4>1114174</vt:i4>
      </vt:variant>
      <vt:variant>
        <vt:i4>140</vt:i4>
      </vt:variant>
      <vt:variant>
        <vt:i4>0</vt:i4>
      </vt:variant>
      <vt:variant>
        <vt:i4>5</vt:i4>
      </vt:variant>
      <vt:variant>
        <vt:lpwstr/>
      </vt:variant>
      <vt:variant>
        <vt:lpwstr>_Toc212387630</vt:lpwstr>
      </vt:variant>
      <vt:variant>
        <vt:i4>1048638</vt:i4>
      </vt:variant>
      <vt:variant>
        <vt:i4>134</vt:i4>
      </vt:variant>
      <vt:variant>
        <vt:i4>0</vt:i4>
      </vt:variant>
      <vt:variant>
        <vt:i4>5</vt:i4>
      </vt:variant>
      <vt:variant>
        <vt:lpwstr/>
      </vt:variant>
      <vt:variant>
        <vt:lpwstr>_Toc212387629</vt:lpwstr>
      </vt:variant>
      <vt:variant>
        <vt:i4>1048638</vt:i4>
      </vt:variant>
      <vt:variant>
        <vt:i4>128</vt:i4>
      </vt:variant>
      <vt:variant>
        <vt:i4>0</vt:i4>
      </vt:variant>
      <vt:variant>
        <vt:i4>5</vt:i4>
      </vt:variant>
      <vt:variant>
        <vt:lpwstr/>
      </vt:variant>
      <vt:variant>
        <vt:lpwstr>_Toc212387628</vt:lpwstr>
      </vt:variant>
      <vt:variant>
        <vt:i4>1048638</vt:i4>
      </vt:variant>
      <vt:variant>
        <vt:i4>122</vt:i4>
      </vt:variant>
      <vt:variant>
        <vt:i4>0</vt:i4>
      </vt:variant>
      <vt:variant>
        <vt:i4>5</vt:i4>
      </vt:variant>
      <vt:variant>
        <vt:lpwstr/>
      </vt:variant>
      <vt:variant>
        <vt:lpwstr>_Toc212387627</vt:lpwstr>
      </vt:variant>
      <vt:variant>
        <vt:i4>1048638</vt:i4>
      </vt:variant>
      <vt:variant>
        <vt:i4>116</vt:i4>
      </vt:variant>
      <vt:variant>
        <vt:i4>0</vt:i4>
      </vt:variant>
      <vt:variant>
        <vt:i4>5</vt:i4>
      </vt:variant>
      <vt:variant>
        <vt:lpwstr/>
      </vt:variant>
      <vt:variant>
        <vt:lpwstr>_Toc212387626</vt:lpwstr>
      </vt:variant>
      <vt:variant>
        <vt:i4>1048638</vt:i4>
      </vt:variant>
      <vt:variant>
        <vt:i4>110</vt:i4>
      </vt:variant>
      <vt:variant>
        <vt:i4>0</vt:i4>
      </vt:variant>
      <vt:variant>
        <vt:i4>5</vt:i4>
      </vt:variant>
      <vt:variant>
        <vt:lpwstr/>
      </vt:variant>
      <vt:variant>
        <vt:lpwstr>_Toc212387625</vt:lpwstr>
      </vt:variant>
      <vt:variant>
        <vt:i4>1048638</vt:i4>
      </vt:variant>
      <vt:variant>
        <vt:i4>104</vt:i4>
      </vt:variant>
      <vt:variant>
        <vt:i4>0</vt:i4>
      </vt:variant>
      <vt:variant>
        <vt:i4>5</vt:i4>
      </vt:variant>
      <vt:variant>
        <vt:lpwstr/>
      </vt:variant>
      <vt:variant>
        <vt:lpwstr>_Toc212387624</vt:lpwstr>
      </vt:variant>
      <vt:variant>
        <vt:i4>1048638</vt:i4>
      </vt:variant>
      <vt:variant>
        <vt:i4>98</vt:i4>
      </vt:variant>
      <vt:variant>
        <vt:i4>0</vt:i4>
      </vt:variant>
      <vt:variant>
        <vt:i4>5</vt:i4>
      </vt:variant>
      <vt:variant>
        <vt:lpwstr/>
      </vt:variant>
      <vt:variant>
        <vt:lpwstr>_Toc212387623</vt:lpwstr>
      </vt:variant>
      <vt:variant>
        <vt:i4>1048638</vt:i4>
      </vt:variant>
      <vt:variant>
        <vt:i4>92</vt:i4>
      </vt:variant>
      <vt:variant>
        <vt:i4>0</vt:i4>
      </vt:variant>
      <vt:variant>
        <vt:i4>5</vt:i4>
      </vt:variant>
      <vt:variant>
        <vt:lpwstr/>
      </vt:variant>
      <vt:variant>
        <vt:lpwstr>_Toc212387622</vt:lpwstr>
      </vt:variant>
      <vt:variant>
        <vt:i4>1048638</vt:i4>
      </vt:variant>
      <vt:variant>
        <vt:i4>86</vt:i4>
      </vt:variant>
      <vt:variant>
        <vt:i4>0</vt:i4>
      </vt:variant>
      <vt:variant>
        <vt:i4>5</vt:i4>
      </vt:variant>
      <vt:variant>
        <vt:lpwstr/>
      </vt:variant>
      <vt:variant>
        <vt:lpwstr>_Toc212387621</vt:lpwstr>
      </vt:variant>
      <vt:variant>
        <vt:i4>1048638</vt:i4>
      </vt:variant>
      <vt:variant>
        <vt:i4>80</vt:i4>
      </vt:variant>
      <vt:variant>
        <vt:i4>0</vt:i4>
      </vt:variant>
      <vt:variant>
        <vt:i4>5</vt:i4>
      </vt:variant>
      <vt:variant>
        <vt:lpwstr/>
      </vt:variant>
      <vt:variant>
        <vt:lpwstr>_Toc212387620</vt:lpwstr>
      </vt:variant>
      <vt:variant>
        <vt:i4>1245246</vt:i4>
      </vt:variant>
      <vt:variant>
        <vt:i4>74</vt:i4>
      </vt:variant>
      <vt:variant>
        <vt:i4>0</vt:i4>
      </vt:variant>
      <vt:variant>
        <vt:i4>5</vt:i4>
      </vt:variant>
      <vt:variant>
        <vt:lpwstr/>
      </vt:variant>
      <vt:variant>
        <vt:lpwstr>_Toc212387619</vt:lpwstr>
      </vt:variant>
      <vt:variant>
        <vt:i4>1245246</vt:i4>
      </vt:variant>
      <vt:variant>
        <vt:i4>68</vt:i4>
      </vt:variant>
      <vt:variant>
        <vt:i4>0</vt:i4>
      </vt:variant>
      <vt:variant>
        <vt:i4>5</vt:i4>
      </vt:variant>
      <vt:variant>
        <vt:lpwstr/>
      </vt:variant>
      <vt:variant>
        <vt:lpwstr>_Toc212387618</vt:lpwstr>
      </vt:variant>
      <vt:variant>
        <vt:i4>1245246</vt:i4>
      </vt:variant>
      <vt:variant>
        <vt:i4>62</vt:i4>
      </vt:variant>
      <vt:variant>
        <vt:i4>0</vt:i4>
      </vt:variant>
      <vt:variant>
        <vt:i4>5</vt:i4>
      </vt:variant>
      <vt:variant>
        <vt:lpwstr/>
      </vt:variant>
      <vt:variant>
        <vt:lpwstr>_Toc212387617</vt:lpwstr>
      </vt:variant>
      <vt:variant>
        <vt:i4>1245246</vt:i4>
      </vt:variant>
      <vt:variant>
        <vt:i4>56</vt:i4>
      </vt:variant>
      <vt:variant>
        <vt:i4>0</vt:i4>
      </vt:variant>
      <vt:variant>
        <vt:i4>5</vt:i4>
      </vt:variant>
      <vt:variant>
        <vt:lpwstr/>
      </vt:variant>
      <vt:variant>
        <vt:lpwstr>_Toc212387616</vt:lpwstr>
      </vt:variant>
      <vt:variant>
        <vt:i4>1245246</vt:i4>
      </vt:variant>
      <vt:variant>
        <vt:i4>50</vt:i4>
      </vt:variant>
      <vt:variant>
        <vt:i4>0</vt:i4>
      </vt:variant>
      <vt:variant>
        <vt:i4>5</vt:i4>
      </vt:variant>
      <vt:variant>
        <vt:lpwstr/>
      </vt:variant>
      <vt:variant>
        <vt:lpwstr>_Toc212387615</vt:lpwstr>
      </vt:variant>
      <vt:variant>
        <vt:i4>1245246</vt:i4>
      </vt:variant>
      <vt:variant>
        <vt:i4>44</vt:i4>
      </vt:variant>
      <vt:variant>
        <vt:i4>0</vt:i4>
      </vt:variant>
      <vt:variant>
        <vt:i4>5</vt:i4>
      </vt:variant>
      <vt:variant>
        <vt:lpwstr/>
      </vt:variant>
      <vt:variant>
        <vt:lpwstr>_Toc212387614</vt:lpwstr>
      </vt:variant>
      <vt:variant>
        <vt:i4>1245246</vt:i4>
      </vt:variant>
      <vt:variant>
        <vt:i4>38</vt:i4>
      </vt:variant>
      <vt:variant>
        <vt:i4>0</vt:i4>
      </vt:variant>
      <vt:variant>
        <vt:i4>5</vt:i4>
      </vt:variant>
      <vt:variant>
        <vt:lpwstr/>
      </vt:variant>
      <vt:variant>
        <vt:lpwstr>_Toc212387613</vt:lpwstr>
      </vt:variant>
      <vt:variant>
        <vt:i4>1245246</vt:i4>
      </vt:variant>
      <vt:variant>
        <vt:i4>32</vt:i4>
      </vt:variant>
      <vt:variant>
        <vt:i4>0</vt:i4>
      </vt:variant>
      <vt:variant>
        <vt:i4>5</vt:i4>
      </vt:variant>
      <vt:variant>
        <vt:lpwstr/>
      </vt:variant>
      <vt:variant>
        <vt:lpwstr>_Toc212387612</vt:lpwstr>
      </vt:variant>
      <vt:variant>
        <vt:i4>1245246</vt:i4>
      </vt:variant>
      <vt:variant>
        <vt:i4>26</vt:i4>
      </vt:variant>
      <vt:variant>
        <vt:i4>0</vt:i4>
      </vt:variant>
      <vt:variant>
        <vt:i4>5</vt:i4>
      </vt:variant>
      <vt:variant>
        <vt:lpwstr/>
      </vt:variant>
      <vt:variant>
        <vt:lpwstr>_Toc212387611</vt:lpwstr>
      </vt:variant>
      <vt:variant>
        <vt:i4>1245246</vt:i4>
      </vt:variant>
      <vt:variant>
        <vt:i4>20</vt:i4>
      </vt:variant>
      <vt:variant>
        <vt:i4>0</vt:i4>
      </vt:variant>
      <vt:variant>
        <vt:i4>5</vt:i4>
      </vt:variant>
      <vt:variant>
        <vt:lpwstr/>
      </vt:variant>
      <vt:variant>
        <vt:lpwstr>_Toc212387610</vt:lpwstr>
      </vt:variant>
      <vt:variant>
        <vt:i4>1179710</vt:i4>
      </vt:variant>
      <vt:variant>
        <vt:i4>14</vt:i4>
      </vt:variant>
      <vt:variant>
        <vt:i4>0</vt:i4>
      </vt:variant>
      <vt:variant>
        <vt:i4>5</vt:i4>
      </vt:variant>
      <vt:variant>
        <vt:lpwstr/>
      </vt:variant>
      <vt:variant>
        <vt:lpwstr>_Toc212387609</vt:lpwstr>
      </vt:variant>
      <vt:variant>
        <vt:i4>1179710</vt:i4>
      </vt:variant>
      <vt:variant>
        <vt:i4>8</vt:i4>
      </vt:variant>
      <vt:variant>
        <vt:i4>0</vt:i4>
      </vt:variant>
      <vt:variant>
        <vt:i4>5</vt:i4>
      </vt:variant>
      <vt:variant>
        <vt:lpwstr/>
      </vt:variant>
      <vt:variant>
        <vt:lpwstr>_Toc212387608</vt:lpwstr>
      </vt:variant>
      <vt:variant>
        <vt:i4>1179710</vt:i4>
      </vt:variant>
      <vt:variant>
        <vt:i4>2</vt:i4>
      </vt:variant>
      <vt:variant>
        <vt:i4>0</vt:i4>
      </vt:variant>
      <vt:variant>
        <vt:i4>5</vt:i4>
      </vt:variant>
      <vt:variant>
        <vt:lpwstr/>
      </vt:variant>
      <vt:variant>
        <vt:lpwstr>_Toc212387607</vt:lpwstr>
      </vt:variant>
      <vt:variant>
        <vt:i4>6488171</vt:i4>
      </vt:variant>
      <vt:variant>
        <vt:i4>237</vt:i4>
      </vt:variant>
      <vt:variant>
        <vt:i4>0</vt:i4>
      </vt:variant>
      <vt:variant>
        <vt:i4>5</vt:i4>
      </vt:variant>
      <vt:variant>
        <vt:lpwstr>https://eur-lex.europa.eu/legal-content/EN/TXT/?uri=CELEX%3A22017A1207%2801%29</vt:lpwstr>
      </vt:variant>
      <vt:variant>
        <vt:lpwstr/>
      </vt:variant>
      <vt:variant>
        <vt:i4>5242991</vt:i4>
      </vt:variant>
      <vt:variant>
        <vt:i4>234</vt:i4>
      </vt:variant>
      <vt:variant>
        <vt:i4>0</vt:i4>
      </vt:variant>
      <vt:variant>
        <vt:i4>5</vt:i4>
      </vt:variant>
      <vt:variant>
        <vt:lpwstr>https://commission.europa.eu/publications/commission-assessment-final-updated-national-energy-and-climate-plan-slovakia_en</vt:lpwstr>
      </vt:variant>
      <vt:variant>
        <vt:lpwstr/>
      </vt:variant>
      <vt:variant>
        <vt:i4>917552</vt:i4>
      </vt:variant>
      <vt:variant>
        <vt:i4>231</vt:i4>
      </vt:variant>
      <vt:variant>
        <vt:i4>0</vt:i4>
      </vt:variant>
      <vt:variant>
        <vt:i4>5</vt:i4>
      </vt:variant>
      <vt:variant>
        <vt:lpwstr>https://commission.europa.eu/publications/commission-assessment-final-updated-national-energy-and-climate-plan-estonia_en</vt:lpwstr>
      </vt:variant>
      <vt:variant>
        <vt:lpwstr/>
      </vt:variant>
      <vt:variant>
        <vt:i4>3342425</vt:i4>
      </vt:variant>
      <vt:variant>
        <vt:i4>228</vt:i4>
      </vt:variant>
      <vt:variant>
        <vt:i4>0</vt:i4>
      </vt:variant>
      <vt:variant>
        <vt:i4>5</vt:i4>
      </vt:variant>
      <vt:variant>
        <vt:lpwstr>https://commission.europa.eu/publications/commission-staff-working-document-delivering-unions-2030-energy-and-climate-objectives_en</vt:lpwstr>
      </vt:variant>
      <vt:variant>
        <vt:lpwstr/>
      </vt:variant>
      <vt:variant>
        <vt:i4>917507</vt:i4>
      </vt:variant>
      <vt:variant>
        <vt:i4>225</vt:i4>
      </vt:variant>
      <vt:variant>
        <vt:i4>0</vt:i4>
      </vt:variant>
      <vt:variant>
        <vt:i4>5</vt:i4>
      </vt:variant>
      <vt:variant>
        <vt:lpwstr>https://eur-lex.europa.eu/legal-content/EN/TXT/?uri=CELEX%3A52025DC0274&amp;qid=1749138488640</vt:lpwstr>
      </vt:variant>
      <vt:variant>
        <vt:lpwstr/>
      </vt:variant>
      <vt:variant>
        <vt:i4>5111838</vt:i4>
      </vt:variant>
      <vt:variant>
        <vt:i4>222</vt:i4>
      </vt:variant>
      <vt:variant>
        <vt:i4>0</vt:i4>
      </vt:variant>
      <vt:variant>
        <vt:i4>5</vt:i4>
      </vt:variant>
      <vt:variant>
        <vt:lpwstr>https://eur-lex.europa.eu/legal-content/EN/TXT/?uri=OJ%3AJOL_2023_231_R_0001&amp;qid=1695186598766</vt:lpwstr>
      </vt:variant>
      <vt:variant>
        <vt:lpwstr/>
      </vt:variant>
      <vt:variant>
        <vt:i4>5111838</vt:i4>
      </vt:variant>
      <vt:variant>
        <vt:i4>219</vt:i4>
      </vt:variant>
      <vt:variant>
        <vt:i4>0</vt:i4>
      </vt:variant>
      <vt:variant>
        <vt:i4>5</vt:i4>
      </vt:variant>
      <vt:variant>
        <vt:lpwstr>https://eur-lex.europa.eu/legal-content/EN/TXT/?uri=OJ%3AJOL_2023_231_R_0001&amp;qid=1695186598766</vt:lpwstr>
      </vt:variant>
      <vt:variant>
        <vt:lpwstr/>
      </vt:variant>
      <vt:variant>
        <vt:i4>393250</vt:i4>
      </vt:variant>
      <vt:variant>
        <vt:i4>216</vt:i4>
      </vt:variant>
      <vt:variant>
        <vt:i4>0</vt:i4>
      </vt:variant>
      <vt:variant>
        <vt:i4>5</vt:i4>
      </vt:variant>
      <vt:variant>
        <vt:lpwstr>https://climate.ec.europa.eu/eu-action/eu-emissions-trading-system-eu-ets/ets2-buildings-road-transport-and-additional-sectors_en</vt:lpwstr>
      </vt:variant>
      <vt:variant>
        <vt:lpwstr>documentation</vt:lpwstr>
      </vt:variant>
      <vt:variant>
        <vt:i4>2555929</vt:i4>
      </vt:variant>
      <vt:variant>
        <vt:i4>213</vt:i4>
      </vt:variant>
      <vt:variant>
        <vt:i4>0</vt:i4>
      </vt:variant>
      <vt:variant>
        <vt:i4>5</vt:i4>
      </vt:variant>
      <vt:variant>
        <vt:lpwstr>https://climate.ec.europa.eu/document/download/49772f68-3432-40c6-800c-7915b610e825_en?filename=policy_ets_ets2_gd_accreditation_verification_en.pdf</vt:lpwstr>
      </vt:variant>
      <vt:variant>
        <vt:lpwstr/>
      </vt:variant>
      <vt:variant>
        <vt:i4>3997778</vt:i4>
      </vt:variant>
      <vt:variant>
        <vt:i4>210</vt:i4>
      </vt:variant>
      <vt:variant>
        <vt:i4>0</vt:i4>
      </vt:variant>
      <vt:variant>
        <vt:i4>5</vt:i4>
      </vt:variant>
      <vt:variant>
        <vt:lpwstr>https://climate.ec.europa.eu/eu-action/eu-emissions-trading-system-eu-ets/monitoring-reporting-and-verification-eu-ets-emissions_en</vt:lpwstr>
      </vt:variant>
      <vt:variant>
        <vt:lpwstr>documentation</vt:lpwstr>
      </vt:variant>
      <vt:variant>
        <vt:i4>4784253</vt:i4>
      </vt:variant>
      <vt:variant>
        <vt:i4>207</vt:i4>
      </vt:variant>
      <vt:variant>
        <vt:i4>0</vt:i4>
      </vt:variant>
      <vt:variant>
        <vt:i4>5</vt:i4>
      </vt:variant>
      <vt:variant>
        <vt:lpwstr>https://eur-lex.europa.eu/eli/reg_impl/2025/1192/oj/eng</vt:lpwstr>
      </vt:variant>
      <vt:variant>
        <vt:lpwstr/>
      </vt:variant>
      <vt:variant>
        <vt:i4>1048656</vt:i4>
      </vt:variant>
      <vt:variant>
        <vt:i4>204</vt:i4>
      </vt:variant>
      <vt:variant>
        <vt:i4>0</vt:i4>
      </vt:variant>
      <vt:variant>
        <vt:i4>5</vt:i4>
      </vt:variant>
      <vt:variant>
        <vt:lpwstr>https://eur-lex.europa.eu/legal-content/EN/TXT/?uri=CELEX:02018R2067-20250622</vt:lpwstr>
      </vt:variant>
      <vt:variant>
        <vt:lpwstr/>
      </vt:variant>
      <vt:variant>
        <vt:i4>7798790</vt:i4>
      </vt:variant>
      <vt:variant>
        <vt:i4>201</vt:i4>
      </vt:variant>
      <vt:variant>
        <vt:i4>0</vt:i4>
      </vt:variant>
      <vt:variant>
        <vt:i4>5</vt:i4>
      </vt:variant>
      <vt:variant>
        <vt:lpwstr>https://eur-lex.europa.eu/legal-content/EN/TXT/?toc=OJ:L:2018:334:TOC&amp;uri=uriserv:OJ.L_.2018.334.01.0094.01.ENG</vt:lpwstr>
      </vt:variant>
      <vt:variant>
        <vt:lpwstr/>
      </vt:variant>
      <vt:variant>
        <vt:i4>1376321</vt:i4>
      </vt:variant>
      <vt:variant>
        <vt:i4>198</vt:i4>
      </vt:variant>
      <vt:variant>
        <vt:i4>0</vt:i4>
      </vt:variant>
      <vt:variant>
        <vt:i4>5</vt:i4>
      </vt:variant>
      <vt:variant>
        <vt:lpwstr>https://eur-lex.europa.eu/legal-content/EN/TXT/?uri=CELEX:32015R0757</vt:lpwstr>
      </vt:variant>
      <vt:variant>
        <vt:lpwstr/>
      </vt:variant>
      <vt:variant>
        <vt:i4>1572885</vt:i4>
      </vt:variant>
      <vt:variant>
        <vt:i4>195</vt:i4>
      </vt:variant>
      <vt:variant>
        <vt:i4>0</vt:i4>
      </vt:variant>
      <vt:variant>
        <vt:i4>5</vt:i4>
      </vt:variant>
      <vt:variant>
        <vt:lpwstr>https://eur-lex.europa.eu/eli/C/2025/5004/oj/eng</vt:lpwstr>
      </vt:variant>
      <vt:variant>
        <vt:lpwstr/>
      </vt:variant>
      <vt:variant>
        <vt:i4>1966173</vt:i4>
      </vt:variant>
      <vt:variant>
        <vt:i4>192</vt:i4>
      </vt:variant>
      <vt:variant>
        <vt:i4>0</vt:i4>
      </vt:variant>
      <vt:variant>
        <vt:i4>5</vt:i4>
      </vt:variant>
      <vt:variant>
        <vt:lpwstr>https://eur-lex.europa.eu/eli/C/2025/2934/oj</vt:lpwstr>
      </vt:variant>
      <vt:variant>
        <vt:lpwstr/>
      </vt:variant>
      <vt:variant>
        <vt:i4>3080275</vt:i4>
      </vt:variant>
      <vt:variant>
        <vt:i4>189</vt:i4>
      </vt:variant>
      <vt:variant>
        <vt:i4>0</vt:i4>
      </vt:variant>
      <vt:variant>
        <vt:i4>5</vt:i4>
      </vt:variant>
      <vt:variant>
        <vt:lpwstr>https://eur-lex.europa.eu/eli/reg_del/2025/723/oj/eng</vt:lpwstr>
      </vt:variant>
      <vt:variant>
        <vt:lpwstr/>
      </vt:variant>
      <vt:variant>
        <vt:i4>2293840</vt:i4>
      </vt:variant>
      <vt:variant>
        <vt:i4>186</vt:i4>
      </vt:variant>
      <vt:variant>
        <vt:i4>0</vt:i4>
      </vt:variant>
      <vt:variant>
        <vt:i4>5</vt:i4>
      </vt:variant>
      <vt:variant>
        <vt:lpwstr>https://climate.ec.europa.eu/news-your-voice/news/publication-2023-emissions-data-aerodrome-pairs-2025-06-19_en</vt:lpwstr>
      </vt:variant>
      <vt:variant>
        <vt:lpwstr/>
      </vt:variant>
      <vt:variant>
        <vt:i4>4718594</vt:i4>
      </vt:variant>
      <vt:variant>
        <vt:i4>183</vt:i4>
      </vt:variant>
      <vt:variant>
        <vt:i4>0</vt:i4>
      </vt:variant>
      <vt:variant>
        <vt:i4>5</vt:i4>
      </vt:variant>
      <vt:variant>
        <vt:lpwstr>https://eur-lex.europa.eu/legal-content/EN/TXT/?uri=CELEX%3A32024R1879&amp;qid=1722504757152</vt:lpwstr>
      </vt:variant>
      <vt:variant>
        <vt:lpwstr/>
      </vt:variant>
      <vt:variant>
        <vt:i4>1638449</vt:i4>
      </vt:variant>
      <vt:variant>
        <vt:i4>180</vt:i4>
      </vt:variant>
      <vt:variant>
        <vt:i4>0</vt:i4>
      </vt:variant>
      <vt:variant>
        <vt:i4>5</vt:i4>
      </vt:variant>
      <vt:variant>
        <vt:lpwstr>http://data.europa.eu/eli/reg_impl/2025/1500/oj</vt:lpwstr>
      </vt:variant>
      <vt:variant>
        <vt:lpwstr/>
      </vt:variant>
      <vt:variant>
        <vt:i4>7929970</vt:i4>
      </vt:variant>
      <vt:variant>
        <vt:i4>177</vt:i4>
      </vt:variant>
      <vt:variant>
        <vt:i4>0</vt:i4>
      </vt:variant>
      <vt:variant>
        <vt:i4>5</vt:i4>
      </vt:variant>
      <vt:variant>
        <vt:lpwstr>https://eur-lex.europa.eu/legal-content/EN/TXT/?uri=celex%3A32023D0136</vt:lpwstr>
      </vt:variant>
      <vt:variant>
        <vt:lpwstr/>
      </vt:variant>
      <vt:variant>
        <vt:i4>7798900</vt:i4>
      </vt:variant>
      <vt:variant>
        <vt:i4>174</vt:i4>
      </vt:variant>
      <vt:variant>
        <vt:i4>0</vt:i4>
      </vt:variant>
      <vt:variant>
        <vt:i4>5</vt:i4>
      </vt:variant>
      <vt:variant>
        <vt:lpwstr>https://eur-lex.europa.eu/legal-content/EN/TXT/?uri=celex%3A32023L0958</vt:lpwstr>
      </vt:variant>
      <vt:variant>
        <vt:lpwstr/>
      </vt:variant>
      <vt:variant>
        <vt:i4>8126496</vt:i4>
      </vt:variant>
      <vt:variant>
        <vt:i4>171</vt:i4>
      </vt:variant>
      <vt:variant>
        <vt:i4>0</vt:i4>
      </vt:variant>
      <vt:variant>
        <vt:i4>5</vt:i4>
      </vt:variant>
      <vt:variant>
        <vt:lpwstr>https://www.icao.int/environmental-protection/CORSIA/Pages/CCR.aspx</vt:lpwstr>
      </vt:variant>
      <vt:variant>
        <vt:lpwstr/>
      </vt:variant>
      <vt:variant>
        <vt:i4>589841</vt:i4>
      </vt:variant>
      <vt:variant>
        <vt:i4>168</vt:i4>
      </vt:variant>
      <vt:variant>
        <vt:i4>0</vt:i4>
      </vt:variant>
      <vt:variant>
        <vt:i4>5</vt:i4>
      </vt:variant>
      <vt:variant>
        <vt:lpwstr>https://www.icao.int/sites/default/files/environmental-protection/CORSIA/Documents/Background Information/International-RTK-rankings_2018_SIDS_LDC_LLDC.pdf</vt:lpwstr>
      </vt:variant>
      <vt:variant>
        <vt:lpwstr/>
      </vt:variant>
      <vt:variant>
        <vt:i4>3407969</vt:i4>
      </vt:variant>
      <vt:variant>
        <vt:i4>165</vt:i4>
      </vt:variant>
      <vt:variant>
        <vt:i4>0</vt:i4>
      </vt:variant>
      <vt:variant>
        <vt:i4>5</vt:i4>
      </vt:variant>
      <vt:variant>
        <vt:lpwstr>https://www.bafu.admin.ch/bafu/en/home/topics/climate/info-specialists/reduction-measures/ets/aviation.html</vt:lpwstr>
      </vt:variant>
      <vt:variant>
        <vt:lpwstr>:~:text=From%202024%2C%20flights%20from%20Switzerland,exempt%20from%20the%20Swiss%20ETS.</vt:lpwstr>
      </vt:variant>
      <vt:variant>
        <vt:i4>7798900</vt:i4>
      </vt:variant>
      <vt:variant>
        <vt:i4>162</vt:i4>
      </vt:variant>
      <vt:variant>
        <vt:i4>0</vt:i4>
      </vt:variant>
      <vt:variant>
        <vt:i4>5</vt:i4>
      </vt:variant>
      <vt:variant>
        <vt:lpwstr>https://eur-lex.europa.eu/legal-content/EN/TXT/?uri=CELEX%3A32023L0958</vt:lpwstr>
      </vt:variant>
      <vt:variant>
        <vt:lpwstr/>
      </vt:variant>
      <vt:variant>
        <vt:i4>458821</vt:i4>
      </vt:variant>
      <vt:variant>
        <vt:i4>159</vt:i4>
      </vt:variant>
      <vt:variant>
        <vt:i4>0</vt:i4>
      </vt:variant>
      <vt:variant>
        <vt:i4>5</vt:i4>
      </vt:variant>
      <vt:variant>
        <vt:lpwstr>https://eur-lex.europa.eu/legal-content/EN/TXT/?uri=CELEX:32013D0377</vt:lpwstr>
      </vt:variant>
      <vt:variant>
        <vt:lpwstr/>
      </vt:variant>
      <vt:variant>
        <vt:i4>4915264</vt:i4>
      </vt:variant>
      <vt:variant>
        <vt:i4>156</vt:i4>
      </vt:variant>
      <vt:variant>
        <vt:i4>0</vt:i4>
      </vt:variant>
      <vt:variant>
        <vt:i4>5</vt:i4>
      </vt:variant>
      <vt:variant>
        <vt:lpwstr>https://eur-lex.europa.eu/eli/dec/2013/377(1)/oj/eng</vt:lpwstr>
      </vt:variant>
      <vt:variant>
        <vt:lpwstr/>
      </vt:variant>
      <vt:variant>
        <vt:i4>6160446</vt:i4>
      </vt:variant>
      <vt:variant>
        <vt:i4>153</vt:i4>
      </vt:variant>
      <vt:variant>
        <vt:i4>0</vt:i4>
      </vt:variant>
      <vt:variant>
        <vt:i4>5</vt:i4>
      </vt:variant>
      <vt:variant>
        <vt:lpwstr>https://climate.ec.europa.eu/news-your-voice/news/executive-vice-president-sefcovic-signs-agreement-between-greece-european-investment-bank-and-2024-11-21_en</vt:lpwstr>
      </vt:variant>
      <vt:variant>
        <vt:lpwstr/>
      </vt:variant>
      <vt:variant>
        <vt:i4>6946922</vt:i4>
      </vt:variant>
      <vt:variant>
        <vt:i4>150</vt:i4>
      </vt:variant>
      <vt:variant>
        <vt:i4>0</vt:i4>
      </vt:variant>
      <vt:variant>
        <vt:i4>5</vt:i4>
      </vt:variant>
      <vt:variant>
        <vt:lpwstr>https://eur-lex.europa.eu/legal-content/EN/TXT/?uri=OJ%3AJOC_2022_195_R_0002</vt:lpwstr>
      </vt:variant>
      <vt:variant>
        <vt:lpwstr/>
      </vt:variant>
      <vt:variant>
        <vt:i4>1245204</vt:i4>
      </vt:variant>
      <vt:variant>
        <vt:i4>147</vt:i4>
      </vt:variant>
      <vt:variant>
        <vt:i4>0</vt:i4>
      </vt:variant>
      <vt:variant>
        <vt:i4>5</vt:i4>
      </vt:variant>
      <vt:variant>
        <vt:lpwstr>https://climate.ec.europa.eu/document/download/dd3c417c-fc64-4e25-82c0-49af24383334_en?filename=c_2024_4190_en.pdf</vt:lpwstr>
      </vt:variant>
      <vt:variant>
        <vt:lpwstr/>
      </vt:variant>
      <vt:variant>
        <vt:i4>5439583</vt:i4>
      </vt:variant>
      <vt:variant>
        <vt:i4>144</vt:i4>
      </vt:variant>
      <vt:variant>
        <vt:i4>0</vt:i4>
      </vt:variant>
      <vt:variant>
        <vt:i4>5</vt:i4>
      </vt:variant>
      <vt:variant>
        <vt:lpwstr>https://eur-lex.europa.eu/eli/reg/2024/795/oj</vt:lpwstr>
      </vt:variant>
      <vt:variant>
        <vt:lpwstr/>
      </vt:variant>
      <vt:variant>
        <vt:i4>3604603</vt:i4>
      </vt:variant>
      <vt:variant>
        <vt:i4>141</vt:i4>
      </vt:variant>
      <vt:variant>
        <vt:i4>0</vt:i4>
      </vt:variant>
      <vt:variant>
        <vt:i4>5</vt:i4>
      </vt:variant>
      <vt:variant>
        <vt:lpwstr>https://www.eib.org/en/products/mandates-partnerships/innovation-fund/index.htm</vt:lpwstr>
      </vt:variant>
      <vt:variant>
        <vt:lpwstr/>
      </vt:variant>
      <vt:variant>
        <vt:i4>1835109</vt:i4>
      </vt:variant>
      <vt:variant>
        <vt:i4>138</vt:i4>
      </vt:variant>
      <vt:variant>
        <vt:i4>0</vt:i4>
      </vt:variant>
      <vt:variant>
        <vt:i4>5</vt:i4>
      </vt:variant>
      <vt:variant>
        <vt:lpwstr>https://dashboard.tech.ec.europa.eu/qs_digit_dashboard_mt/public/sense/app/6e4815c8-1f4c-4664-b9ca-8454f77d758d/sheet/bac47ac8-b5c7-4cd1-87ad-9f8d6d238eae/state/analysis</vt:lpwstr>
      </vt:variant>
      <vt:variant>
        <vt:lpwstr/>
      </vt:variant>
      <vt:variant>
        <vt:i4>3997730</vt:i4>
      </vt:variant>
      <vt:variant>
        <vt:i4>135</vt:i4>
      </vt:variant>
      <vt:variant>
        <vt:i4>0</vt:i4>
      </vt:variant>
      <vt:variant>
        <vt:i4>5</vt:i4>
      </vt:variant>
      <vt:variant>
        <vt:lpwstr>https://data.europa.eu/doi/10.2834/6564729</vt:lpwstr>
      </vt:variant>
      <vt:variant>
        <vt:lpwstr/>
      </vt:variant>
      <vt:variant>
        <vt:i4>3211351</vt:i4>
      </vt:variant>
      <vt:variant>
        <vt:i4>132</vt:i4>
      </vt:variant>
      <vt:variant>
        <vt:i4>0</vt:i4>
      </vt:variant>
      <vt:variant>
        <vt:i4>5</vt:i4>
      </vt:variant>
      <vt:variant>
        <vt:lpwstr>https://www.dehst.de/SharedDocs/downloads/DE/spk/Auswertungsbericht_2023.html</vt:lpwstr>
      </vt:variant>
      <vt:variant>
        <vt:lpwstr/>
      </vt:variant>
      <vt:variant>
        <vt:i4>262197</vt:i4>
      </vt:variant>
      <vt:variant>
        <vt:i4>129</vt:i4>
      </vt:variant>
      <vt:variant>
        <vt:i4>0</vt:i4>
      </vt:variant>
      <vt:variant>
        <vt:i4>5</vt:i4>
      </vt:variant>
      <vt:variant>
        <vt:lpwstr>https://ec.europa.eu/info/law/better-regulation/have-your-say/initiatives/14801-Technical-updates-of-the-Emissions-Trading-Scheme-ETS-State-aid-guidelines_en</vt:lpwstr>
      </vt:variant>
      <vt:variant>
        <vt:lpwstr/>
      </vt:variant>
      <vt:variant>
        <vt:i4>5963866</vt:i4>
      </vt:variant>
      <vt:variant>
        <vt:i4>126</vt:i4>
      </vt:variant>
      <vt:variant>
        <vt:i4>0</vt:i4>
      </vt:variant>
      <vt:variant>
        <vt:i4>5</vt:i4>
      </vt:variant>
      <vt:variant>
        <vt:lpwstr>https://reportnet.europa.eu/public/dataflow/1527</vt:lpwstr>
      </vt:variant>
      <vt:variant>
        <vt:lpwstr/>
      </vt:variant>
      <vt:variant>
        <vt:i4>8323074</vt:i4>
      </vt:variant>
      <vt:variant>
        <vt:i4>123</vt:i4>
      </vt:variant>
      <vt:variant>
        <vt:i4>0</vt:i4>
      </vt:variant>
      <vt:variant>
        <vt:i4>5</vt:i4>
      </vt:variant>
      <vt:variant>
        <vt:lpwstr>https://eur-lex.europa.eu/legal-content/EN/TXT/?toc=OJ:L:2018:328:TOC&amp;uri=uriserv:OJ.L_.2018.328.01.0001.01.ENG</vt:lpwstr>
      </vt:variant>
      <vt:variant>
        <vt:lpwstr/>
      </vt:variant>
      <vt:variant>
        <vt:i4>7798844</vt:i4>
      </vt:variant>
      <vt:variant>
        <vt:i4>120</vt:i4>
      </vt:variant>
      <vt:variant>
        <vt:i4>0</vt:i4>
      </vt:variant>
      <vt:variant>
        <vt:i4>5</vt:i4>
      </vt:variant>
      <vt:variant>
        <vt:lpwstr>https://ec.europa.eu/eurostat/web/products-euro-indicators/w/4-13022025-ap</vt:lpwstr>
      </vt:variant>
      <vt:variant>
        <vt:lpwstr/>
      </vt:variant>
      <vt:variant>
        <vt:i4>3997788</vt:i4>
      </vt:variant>
      <vt:variant>
        <vt:i4>117</vt:i4>
      </vt:variant>
      <vt:variant>
        <vt:i4>0</vt:i4>
      </vt:variant>
      <vt:variant>
        <vt:i4>5</vt:i4>
      </vt:variant>
      <vt:variant>
        <vt:lpwstr>https://ec.europa.eu/eurostat/databrowser/view/nrg_cb_pem__custom_17401908/default/table?lang=en</vt:lpwstr>
      </vt:variant>
      <vt:variant>
        <vt:lpwstr/>
      </vt:variant>
      <vt:variant>
        <vt:i4>327689</vt:i4>
      </vt:variant>
      <vt:variant>
        <vt:i4>114</vt:i4>
      </vt:variant>
      <vt:variant>
        <vt:i4>0</vt:i4>
      </vt:variant>
      <vt:variant>
        <vt:i4>5</vt:i4>
      </vt:variant>
      <vt:variant>
        <vt:lpwstr>https://eur-lex.europa.eu/legal-content/EN/TXT/?uri=CELEX%3A52025DC0079&amp;qid=1741780110418</vt:lpwstr>
      </vt:variant>
      <vt:variant>
        <vt:lpwstr/>
      </vt:variant>
      <vt:variant>
        <vt:i4>4849716</vt:i4>
      </vt:variant>
      <vt:variant>
        <vt:i4>111</vt:i4>
      </vt:variant>
      <vt:variant>
        <vt:i4>0</vt:i4>
      </vt:variant>
      <vt:variant>
        <vt:i4>5</vt:i4>
      </vt:variant>
      <vt:variant>
        <vt:lpwstr>https://finance.ec.europa.eu/regulation-and-supervision/consultations-0/targeted-consultation-review-functioning-commodity-derivatives-markets-and-certain-aspects-relating_en</vt:lpwstr>
      </vt:variant>
      <vt:variant>
        <vt:lpwstr/>
      </vt:variant>
      <vt:variant>
        <vt:i4>7274607</vt:i4>
      </vt:variant>
      <vt:variant>
        <vt:i4>108</vt:i4>
      </vt:variant>
      <vt:variant>
        <vt:i4>0</vt:i4>
      </vt:variant>
      <vt:variant>
        <vt:i4>5</vt:i4>
      </vt:variant>
      <vt:variant>
        <vt:lpwstr>https://eur-lex.europa.eu/legal-content/EN/TXT/?uri=CELEX%3A02014R0600-20240328</vt:lpwstr>
      </vt:variant>
      <vt:variant>
        <vt:lpwstr/>
      </vt:variant>
      <vt:variant>
        <vt:i4>7208962</vt:i4>
      </vt:variant>
      <vt:variant>
        <vt:i4>105</vt:i4>
      </vt:variant>
      <vt:variant>
        <vt:i4>0</vt:i4>
      </vt:variant>
      <vt:variant>
        <vt:i4>5</vt:i4>
      </vt:variant>
      <vt:variant>
        <vt:lpwstr>https://eur-lex.europa.eu/legal-content/EN/TXT/?uri=OJ:L_202400791</vt:lpwstr>
      </vt:variant>
      <vt:variant>
        <vt:lpwstr/>
      </vt:variant>
      <vt:variant>
        <vt:i4>7471209</vt:i4>
      </vt:variant>
      <vt:variant>
        <vt:i4>102</vt:i4>
      </vt:variant>
      <vt:variant>
        <vt:i4>0</vt:i4>
      </vt:variant>
      <vt:variant>
        <vt:i4>5</vt:i4>
      </vt:variant>
      <vt:variant>
        <vt:lpwstr>https://eur-lex.europa.eu/legal-content/EN/TXT/?uri=CELEX%3A02014L0065-20240328</vt:lpwstr>
      </vt:variant>
      <vt:variant>
        <vt:lpwstr/>
      </vt:variant>
      <vt:variant>
        <vt:i4>7274498</vt:i4>
      </vt:variant>
      <vt:variant>
        <vt:i4>99</vt:i4>
      </vt:variant>
      <vt:variant>
        <vt:i4>0</vt:i4>
      </vt:variant>
      <vt:variant>
        <vt:i4>5</vt:i4>
      </vt:variant>
      <vt:variant>
        <vt:lpwstr>https://eur-lex.europa.eu/legal-content/EN/TXT/?uri=OJ:L_202400790</vt:lpwstr>
      </vt:variant>
      <vt:variant>
        <vt:lpwstr/>
      </vt:variant>
      <vt:variant>
        <vt:i4>6946919</vt:i4>
      </vt:variant>
      <vt:variant>
        <vt:i4>96</vt:i4>
      </vt:variant>
      <vt:variant>
        <vt:i4>0</vt:i4>
      </vt:variant>
      <vt:variant>
        <vt:i4>5</vt:i4>
      </vt:variant>
      <vt:variant>
        <vt:lpwstr>https://eur-lex.europa.eu/legal-content/EN/TXT/?uri=CELEX%3A02019R1122-20231230</vt:lpwstr>
      </vt:variant>
      <vt:variant>
        <vt:lpwstr/>
      </vt:variant>
      <vt:variant>
        <vt:i4>1441867</vt:i4>
      </vt:variant>
      <vt:variant>
        <vt:i4>93</vt:i4>
      </vt:variant>
      <vt:variant>
        <vt:i4>0</vt:i4>
      </vt:variant>
      <vt:variant>
        <vt:i4>5</vt:i4>
      </vt:variant>
      <vt:variant>
        <vt:lpwstr>https://eur-lex.europa.eu/legal-content/EN/TXT/?uri=CELEX:32019R1122</vt:lpwstr>
      </vt:variant>
      <vt:variant>
        <vt:lpwstr/>
      </vt:variant>
      <vt:variant>
        <vt:i4>7274595</vt:i4>
      </vt:variant>
      <vt:variant>
        <vt:i4>90</vt:i4>
      </vt:variant>
      <vt:variant>
        <vt:i4>0</vt:i4>
      </vt:variant>
      <vt:variant>
        <vt:i4>5</vt:i4>
      </vt:variant>
      <vt:variant>
        <vt:lpwstr>https://www.esma.europa.eu/sites/default/files/2024-10/ESMA50-43599798-10379_Carbon_markets_report_2024.pdf</vt:lpwstr>
      </vt:variant>
      <vt:variant>
        <vt:lpwstr/>
      </vt:variant>
      <vt:variant>
        <vt:i4>2031705</vt:i4>
      </vt:variant>
      <vt:variant>
        <vt:i4>87</vt:i4>
      </vt:variant>
      <vt:variant>
        <vt:i4>0</vt:i4>
      </vt:variant>
      <vt:variant>
        <vt:i4>5</vt:i4>
      </vt:variant>
      <vt:variant>
        <vt:lpwstr>https://www.esma.europa.eu/document/market-report-eu-carbon-markets-2024</vt:lpwstr>
      </vt:variant>
      <vt:variant>
        <vt:lpwstr/>
      </vt:variant>
      <vt:variant>
        <vt:i4>7274595</vt:i4>
      </vt:variant>
      <vt:variant>
        <vt:i4>84</vt:i4>
      </vt:variant>
      <vt:variant>
        <vt:i4>0</vt:i4>
      </vt:variant>
      <vt:variant>
        <vt:i4>5</vt:i4>
      </vt:variant>
      <vt:variant>
        <vt:lpwstr>https://www.esma.europa.eu/sites/default/files/2024-10/ESMA50-43599798-10379_Carbon_markets_report_2024.pdf</vt:lpwstr>
      </vt:variant>
      <vt:variant>
        <vt:lpwstr/>
      </vt:variant>
      <vt:variant>
        <vt:i4>6815844</vt:i4>
      </vt:variant>
      <vt:variant>
        <vt:i4>81</vt:i4>
      </vt:variant>
      <vt:variant>
        <vt:i4>0</vt:i4>
      </vt:variant>
      <vt:variant>
        <vt:i4>5</vt:i4>
      </vt:variant>
      <vt:variant>
        <vt:lpwstr>https://eur-lex.europa.eu/legal-content/EN/TXT/?uri=CELEX%3A02014R0596-20240109</vt:lpwstr>
      </vt:variant>
      <vt:variant>
        <vt:lpwstr/>
      </vt:variant>
      <vt:variant>
        <vt:i4>6815871</vt:i4>
      </vt:variant>
      <vt:variant>
        <vt:i4>78</vt:i4>
      </vt:variant>
      <vt:variant>
        <vt:i4>0</vt:i4>
      </vt:variant>
      <vt:variant>
        <vt:i4>5</vt:i4>
      </vt:variant>
      <vt:variant>
        <vt:lpwstr>https://eur-lex.europa.eu/legal-content/EN/TXT/?uri=CELEX%3A32014R0596</vt:lpwstr>
      </vt:variant>
      <vt:variant>
        <vt:lpwstr/>
      </vt:variant>
      <vt:variant>
        <vt:i4>6357051</vt:i4>
      </vt:variant>
      <vt:variant>
        <vt:i4>75</vt:i4>
      </vt:variant>
      <vt:variant>
        <vt:i4>0</vt:i4>
      </vt:variant>
      <vt:variant>
        <vt:i4>5</vt:i4>
      </vt:variant>
      <vt:variant>
        <vt:lpwstr>https://www.esma.europa.eu/sites/default/files/mar.pdf</vt:lpwstr>
      </vt:variant>
      <vt:variant>
        <vt:lpwstr/>
      </vt:variant>
      <vt:variant>
        <vt:i4>7471209</vt:i4>
      </vt:variant>
      <vt:variant>
        <vt:i4>72</vt:i4>
      </vt:variant>
      <vt:variant>
        <vt:i4>0</vt:i4>
      </vt:variant>
      <vt:variant>
        <vt:i4>5</vt:i4>
      </vt:variant>
      <vt:variant>
        <vt:lpwstr>https://eur-lex.europa.eu/legal-content/EN/TXT/?uri=CELEX%3A02014L0065-20240328</vt:lpwstr>
      </vt:variant>
      <vt:variant>
        <vt:lpwstr/>
      </vt:variant>
      <vt:variant>
        <vt:i4>7340144</vt:i4>
      </vt:variant>
      <vt:variant>
        <vt:i4>69</vt:i4>
      </vt:variant>
      <vt:variant>
        <vt:i4>0</vt:i4>
      </vt:variant>
      <vt:variant>
        <vt:i4>5</vt:i4>
      </vt:variant>
      <vt:variant>
        <vt:lpwstr>https://eur-lex.europa.eu/legal-content/EN/TXT/?uri=celex%3A32014L0065</vt:lpwstr>
      </vt:variant>
      <vt:variant>
        <vt:lpwstr/>
      </vt:variant>
      <vt:variant>
        <vt:i4>7340144</vt:i4>
      </vt:variant>
      <vt:variant>
        <vt:i4>66</vt:i4>
      </vt:variant>
      <vt:variant>
        <vt:i4>0</vt:i4>
      </vt:variant>
      <vt:variant>
        <vt:i4>5</vt:i4>
      </vt:variant>
      <vt:variant>
        <vt:lpwstr>https://eur-lex.europa.eu/legal-content/EN/TXT/?uri=celex%3A32014L0065</vt:lpwstr>
      </vt:variant>
      <vt:variant>
        <vt:lpwstr/>
      </vt:variant>
      <vt:variant>
        <vt:i4>7536740</vt:i4>
      </vt:variant>
      <vt:variant>
        <vt:i4>63</vt:i4>
      </vt:variant>
      <vt:variant>
        <vt:i4>0</vt:i4>
      </vt:variant>
      <vt:variant>
        <vt:i4>5</vt:i4>
      </vt:variant>
      <vt:variant>
        <vt:lpwstr>https://eur-lex.europa.eu/legal-content/EN/TXT/?uri=CELEX%3A52025XC03180&amp;qid=1753262885801</vt:lpwstr>
      </vt:variant>
      <vt:variant>
        <vt:lpwstr/>
      </vt:variant>
      <vt:variant>
        <vt:i4>2359368</vt:i4>
      </vt:variant>
      <vt:variant>
        <vt:i4>60</vt:i4>
      </vt:variant>
      <vt:variant>
        <vt:i4>0</vt:i4>
      </vt:variant>
      <vt:variant>
        <vt:i4>5</vt:i4>
      </vt:variant>
      <vt:variant>
        <vt:lpwstr>https://climate.ec.europa.eu/news-your-voice/news/market-stability-reserve-under-eu-emissions-trading-system-reduce-auction-volume-276-million-2025-05-28_en</vt:lpwstr>
      </vt:variant>
      <vt:variant>
        <vt:lpwstr/>
      </vt:variant>
      <vt:variant>
        <vt:i4>7929889</vt:i4>
      </vt:variant>
      <vt:variant>
        <vt:i4>57</vt:i4>
      </vt:variant>
      <vt:variant>
        <vt:i4>0</vt:i4>
      </vt:variant>
      <vt:variant>
        <vt:i4>5</vt:i4>
      </vt:variant>
      <vt:variant>
        <vt:lpwstr>https://eur-lex.europa.eu/legal-content/EN/TXT/?uri=CELEX%3A52025DC0378</vt:lpwstr>
      </vt:variant>
      <vt:variant>
        <vt:lpwstr/>
      </vt:variant>
      <vt:variant>
        <vt:i4>7929957</vt:i4>
      </vt:variant>
      <vt:variant>
        <vt:i4>54</vt:i4>
      </vt:variant>
      <vt:variant>
        <vt:i4>0</vt:i4>
      </vt:variant>
      <vt:variant>
        <vt:i4>5</vt:i4>
      </vt:variant>
      <vt:variant>
        <vt:lpwstr>https://ec.europa.eu/commission/presscorner/detail/en/ip_25_1563</vt:lpwstr>
      </vt:variant>
      <vt:variant>
        <vt:lpwstr/>
      </vt:variant>
      <vt:variant>
        <vt:i4>1572956</vt:i4>
      </vt:variant>
      <vt:variant>
        <vt:i4>51</vt:i4>
      </vt:variant>
      <vt:variant>
        <vt:i4>0</vt:i4>
      </vt:variant>
      <vt:variant>
        <vt:i4>5</vt:i4>
      </vt:variant>
      <vt:variant>
        <vt:lpwstr>https://eur-lex.europa.eu/eli/reg/2023/956/oj/eng</vt:lpwstr>
      </vt:variant>
      <vt:variant>
        <vt:lpwstr/>
      </vt:variant>
      <vt:variant>
        <vt:i4>2031693</vt:i4>
      </vt:variant>
      <vt:variant>
        <vt:i4>48</vt:i4>
      </vt:variant>
      <vt:variant>
        <vt:i4>0</vt:i4>
      </vt:variant>
      <vt:variant>
        <vt:i4>5</vt:i4>
      </vt:variant>
      <vt:variant>
        <vt:lpwstr>https://eur-lex.europa.eu/legal-content/EN/TXT/?uri=CELEX:32019R1842</vt:lpwstr>
      </vt:variant>
      <vt:variant>
        <vt:lpwstr/>
      </vt:variant>
      <vt:variant>
        <vt:i4>5242981</vt:i4>
      </vt:variant>
      <vt:variant>
        <vt:i4>45</vt:i4>
      </vt:variant>
      <vt:variant>
        <vt:i4>0</vt:i4>
      </vt:variant>
      <vt:variant>
        <vt:i4>5</vt:i4>
      </vt:variant>
      <vt:variant>
        <vt:lpwstr>https://eur-lex.europa.eu/eli/reg_impl/2021/447</vt:lpwstr>
      </vt:variant>
      <vt:variant>
        <vt:lpwstr/>
      </vt:variant>
      <vt:variant>
        <vt:i4>6684676</vt:i4>
      </vt:variant>
      <vt:variant>
        <vt:i4>42</vt:i4>
      </vt:variant>
      <vt:variant>
        <vt:i4>0</vt:i4>
      </vt:variant>
      <vt:variant>
        <vt:i4>5</vt:i4>
      </vt:variant>
      <vt:variant>
        <vt:lpwstr>https://climate.ec.europa.eu/news-your-voice/news/notification-germany-voluntary-cancellation-allowances-eu-ets-plants-closed-2023-2025-05-05_en</vt:lpwstr>
      </vt:variant>
      <vt:variant>
        <vt:lpwstr/>
      </vt:variant>
      <vt:variant>
        <vt:i4>262205</vt:i4>
      </vt:variant>
      <vt:variant>
        <vt:i4>39</vt:i4>
      </vt:variant>
      <vt:variant>
        <vt:i4>0</vt:i4>
      </vt:variant>
      <vt:variant>
        <vt:i4>5</vt:i4>
      </vt:variant>
      <vt:variant>
        <vt:lpwstr>https://climate.ec.europa.eu/news-your-voice/news/notification-germany-voluntary-cancellation-plants-closed-2022-2024-05-02_en</vt:lpwstr>
      </vt:variant>
      <vt:variant>
        <vt:lpwstr/>
      </vt:variant>
      <vt:variant>
        <vt:i4>7733258</vt:i4>
      </vt:variant>
      <vt:variant>
        <vt:i4>36</vt:i4>
      </vt:variant>
      <vt:variant>
        <vt:i4>0</vt:i4>
      </vt:variant>
      <vt:variant>
        <vt:i4>5</vt:i4>
      </vt:variant>
      <vt:variant>
        <vt:lpwstr>https://climate.ec.europa.eu/eu-action/eu-emissions-trading-system-eu-ets/auctioning_en</vt:lpwstr>
      </vt:variant>
      <vt:variant>
        <vt:lpwstr>documentation</vt:lpwstr>
      </vt:variant>
      <vt:variant>
        <vt:i4>1835079</vt:i4>
      </vt:variant>
      <vt:variant>
        <vt:i4>33</vt:i4>
      </vt:variant>
      <vt:variant>
        <vt:i4>0</vt:i4>
      </vt:variant>
      <vt:variant>
        <vt:i4>5</vt:i4>
      </vt:variant>
      <vt:variant>
        <vt:lpwstr>https://www.eex.com/en/market-data/market-data-hub/environmentals/eu-ets-auctions</vt:lpwstr>
      </vt:variant>
      <vt:variant>
        <vt:lpwstr/>
      </vt:variant>
      <vt:variant>
        <vt:i4>5701717</vt:i4>
      </vt:variant>
      <vt:variant>
        <vt:i4>30</vt:i4>
      </vt:variant>
      <vt:variant>
        <vt:i4>0</vt:i4>
      </vt:variant>
      <vt:variant>
        <vt:i4>5</vt:i4>
      </vt:variant>
      <vt:variant>
        <vt:lpwstr>https://eur-lex.europa.eu/eli/reg/2023/435/oj</vt:lpwstr>
      </vt:variant>
      <vt:variant>
        <vt:lpwstr/>
      </vt:variant>
      <vt:variant>
        <vt:i4>4653094</vt:i4>
      </vt:variant>
      <vt:variant>
        <vt:i4>27</vt:i4>
      </vt:variant>
      <vt:variant>
        <vt:i4>0</vt:i4>
      </vt:variant>
      <vt:variant>
        <vt:i4>5</vt:i4>
      </vt:variant>
      <vt:variant>
        <vt:lpwstr>https://eur-lex.europa.eu/eli/reg_del/2023/2830/oj</vt:lpwstr>
      </vt:variant>
      <vt:variant>
        <vt:lpwstr/>
      </vt:variant>
      <vt:variant>
        <vt:i4>7405685</vt:i4>
      </vt:variant>
      <vt:variant>
        <vt:i4>24</vt:i4>
      </vt:variant>
      <vt:variant>
        <vt:i4>0</vt:i4>
      </vt:variant>
      <vt:variant>
        <vt:i4>5</vt:i4>
      </vt:variant>
      <vt:variant>
        <vt:lpwstr>https://eur-lex.europa.eu/eli/dec/2024/1797/oj/eng</vt:lpwstr>
      </vt:variant>
      <vt:variant>
        <vt:lpwstr/>
      </vt:variant>
      <vt:variant>
        <vt:i4>68</vt:i4>
      </vt:variant>
      <vt:variant>
        <vt:i4>21</vt:i4>
      </vt:variant>
      <vt:variant>
        <vt:i4>0</vt:i4>
      </vt:variant>
      <vt:variant>
        <vt:i4>5</vt:i4>
      </vt:variant>
      <vt:variant>
        <vt:lpwstr>https://eur-lex.europa.eu/legal-content/EN/TXT/?uri=CELEX:32023D1575</vt:lpwstr>
      </vt:variant>
      <vt:variant>
        <vt:lpwstr/>
      </vt:variant>
      <vt:variant>
        <vt:i4>3473425</vt:i4>
      </vt:variant>
      <vt:variant>
        <vt:i4>18</vt:i4>
      </vt:variant>
      <vt:variant>
        <vt:i4>0</vt:i4>
      </vt:variant>
      <vt:variant>
        <vt:i4>5</vt:i4>
      </vt:variant>
      <vt:variant>
        <vt:lpwstr>https://employment-social-affairs.ec.europa.eu/document/7f23666f-5556-455a-b0f5-4c150994ce10_en</vt:lpwstr>
      </vt:variant>
      <vt:variant>
        <vt:lpwstr/>
      </vt:variant>
      <vt:variant>
        <vt:i4>917548</vt:i4>
      </vt:variant>
      <vt:variant>
        <vt:i4>15</vt:i4>
      </vt:variant>
      <vt:variant>
        <vt:i4>0</vt:i4>
      </vt:variant>
      <vt:variant>
        <vt:i4>5</vt:i4>
      </vt:variant>
      <vt:variant>
        <vt:lpwstr>https://climate.ec.europa.eu/news-other-reads/news/new-study-provides-toolbox-early-decarbonisation-ets2-sectors-2025-09-09_en</vt:lpwstr>
      </vt:variant>
      <vt:variant>
        <vt:lpwstr/>
      </vt:variant>
      <vt:variant>
        <vt:i4>2031693</vt:i4>
      </vt:variant>
      <vt:variant>
        <vt:i4>12</vt:i4>
      </vt:variant>
      <vt:variant>
        <vt:i4>0</vt:i4>
      </vt:variant>
      <vt:variant>
        <vt:i4>5</vt:i4>
      </vt:variant>
      <vt:variant>
        <vt:lpwstr>https://eur-lex.europa.eu/legal-content/EN/TXT/?uri=CELEX:32018R0842</vt:lpwstr>
      </vt:variant>
      <vt:variant>
        <vt:lpwstr/>
      </vt:variant>
      <vt:variant>
        <vt:i4>7536761</vt:i4>
      </vt:variant>
      <vt:variant>
        <vt:i4>9</vt:i4>
      </vt:variant>
      <vt:variant>
        <vt:i4>0</vt:i4>
      </vt:variant>
      <vt:variant>
        <vt:i4>5</vt:i4>
      </vt:variant>
      <vt:variant>
        <vt:lpwstr>https://eur-lex.europa.eu/legal-content/EN/TXT/?uri=celex%3A32003L0087</vt:lpwstr>
      </vt:variant>
      <vt:variant>
        <vt:lpwstr/>
      </vt:variant>
      <vt:variant>
        <vt:i4>4128787</vt:i4>
      </vt:variant>
      <vt:variant>
        <vt:i4>6</vt:i4>
      </vt:variant>
      <vt:variant>
        <vt:i4>0</vt:i4>
      </vt:variant>
      <vt:variant>
        <vt:i4>5</vt:i4>
      </vt:variant>
      <vt:variant>
        <vt:lpwstr>https://commission.europa.eu/strategy-and-policy/priorities-2019-2024/european-green-deal/repowereu-affordable-secure-and-sustainable-energy-europe_en</vt:lpwstr>
      </vt:variant>
      <vt:variant>
        <vt:lpwstr>how-repowereu-is-funded</vt:lpwstr>
      </vt:variant>
      <vt:variant>
        <vt:i4>2293787</vt:i4>
      </vt:variant>
      <vt:variant>
        <vt:i4>3</vt:i4>
      </vt:variant>
      <vt:variant>
        <vt:i4>0</vt:i4>
      </vt:variant>
      <vt:variant>
        <vt:i4>5</vt:i4>
      </vt:variant>
      <vt:variant>
        <vt:lpwstr>https://commission.europa.eu/business-economy-euro/economic-recovery/recovery-and-resilience-facility_en</vt:lpwstr>
      </vt:variant>
      <vt:variant>
        <vt:lpwstr/>
      </vt:variant>
      <vt:variant>
        <vt:i4>4259910</vt:i4>
      </vt:variant>
      <vt:variant>
        <vt:i4>0</vt:i4>
      </vt:variant>
      <vt:variant>
        <vt:i4>0</vt:i4>
      </vt:variant>
      <vt:variant>
        <vt:i4>5</vt:i4>
      </vt:variant>
      <vt:variant>
        <vt:lpwstr>https://www.eea.europa.eu/data-and-maps/dashboards/emissions-trading-viewer-1</vt:lpwstr>
      </vt:variant>
      <vt:variant>
        <vt:lpwstr/>
      </vt:variant>
      <vt:variant>
        <vt:i4>6553673</vt:i4>
      </vt:variant>
      <vt:variant>
        <vt:i4>24</vt:i4>
      </vt:variant>
      <vt:variant>
        <vt:i4>0</vt:i4>
      </vt:variant>
      <vt:variant>
        <vt:i4>5</vt:i4>
      </vt:variant>
      <vt:variant>
        <vt:lpwstr>mailto:Lorenzo.FAGGIANO@ec.europa.eu</vt:lpwstr>
      </vt:variant>
      <vt:variant>
        <vt:lpwstr/>
      </vt:variant>
      <vt:variant>
        <vt:i4>2555929</vt:i4>
      </vt:variant>
      <vt:variant>
        <vt:i4>21</vt:i4>
      </vt:variant>
      <vt:variant>
        <vt:i4>0</vt:i4>
      </vt:variant>
      <vt:variant>
        <vt:i4>5</vt:i4>
      </vt:variant>
      <vt:variant>
        <vt:lpwstr>https://climate.ec.europa.eu/document/download/49772f68-3432-40c6-800c-7915b610e825_en?filename=policy_ets_ets2_gd_accreditation_verification_en.pdf</vt:lpwstr>
      </vt:variant>
      <vt:variant>
        <vt:lpwstr/>
      </vt:variant>
      <vt:variant>
        <vt:i4>2293819</vt:i4>
      </vt:variant>
      <vt:variant>
        <vt:i4>18</vt:i4>
      </vt:variant>
      <vt:variant>
        <vt:i4>0</vt:i4>
      </vt:variant>
      <vt:variant>
        <vt:i4>5</vt:i4>
      </vt:variant>
      <vt:variant>
        <vt:lpwstr>https://climate.ec.europa.eu/system/files/2023-12/1.2 Kunst - ETS_MRR progress ETS_0.pdf</vt:lpwstr>
      </vt:variant>
      <vt:variant>
        <vt:lpwstr/>
      </vt:variant>
      <vt:variant>
        <vt:i4>1048656</vt:i4>
      </vt:variant>
      <vt:variant>
        <vt:i4>15</vt:i4>
      </vt:variant>
      <vt:variant>
        <vt:i4>0</vt:i4>
      </vt:variant>
      <vt:variant>
        <vt:i4>5</vt:i4>
      </vt:variant>
      <vt:variant>
        <vt:lpwstr>https://eur-lex.europa.eu/legal-content/EN/TXT/?uri=CELEX:02018R2067-20250622</vt:lpwstr>
      </vt:variant>
      <vt:variant>
        <vt:lpwstr/>
      </vt:variant>
      <vt:variant>
        <vt:i4>4194424</vt:i4>
      </vt:variant>
      <vt:variant>
        <vt:i4>12</vt:i4>
      </vt:variant>
      <vt:variant>
        <vt:i4>0</vt:i4>
      </vt:variant>
      <vt:variant>
        <vt:i4>5</vt:i4>
      </vt:variant>
      <vt:variant>
        <vt:lpwstr>mailto:Julia.ZIEMANN@ec.europa.eu</vt:lpwstr>
      </vt:variant>
      <vt:variant>
        <vt:lpwstr/>
      </vt:variant>
      <vt:variant>
        <vt:i4>5308528</vt:i4>
      </vt:variant>
      <vt:variant>
        <vt:i4>9</vt:i4>
      </vt:variant>
      <vt:variant>
        <vt:i4>0</vt:i4>
      </vt:variant>
      <vt:variant>
        <vt:i4>5</vt:i4>
      </vt:variant>
      <vt:variant>
        <vt:lpwstr>mailto:Joana.FONSECA@ec.europa.eu</vt:lpwstr>
      </vt:variant>
      <vt:variant>
        <vt:lpwstr/>
      </vt:variant>
      <vt:variant>
        <vt:i4>5242995</vt:i4>
      </vt:variant>
      <vt:variant>
        <vt:i4>6</vt:i4>
      </vt:variant>
      <vt:variant>
        <vt:i4>0</vt:i4>
      </vt:variant>
      <vt:variant>
        <vt:i4>5</vt:i4>
      </vt:variant>
      <vt:variant>
        <vt:lpwstr>mailto:Ralph.WISCHERMANN@ec.europa.eu</vt:lpwstr>
      </vt:variant>
      <vt:variant>
        <vt:lpwstr/>
      </vt:variant>
      <vt:variant>
        <vt:i4>5308528</vt:i4>
      </vt:variant>
      <vt:variant>
        <vt:i4>3</vt:i4>
      </vt:variant>
      <vt:variant>
        <vt:i4>0</vt:i4>
      </vt:variant>
      <vt:variant>
        <vt:i4>5</vt:i4>
      </vt:variant>
      <vt:variant>
        <vt:lpwstr>mailto:Joana.FONSECA@ec.europa.eu</vt:lpwstr>
      </vt:variant>
      <vt:variant>
        <vt:lpwstr/>
      </vt:variant>
      <vt:variant>
        <vt:i4>5242995</vt:i4>
      </vt:variant>
      <vt:variant>
        <vt:i4>0</vt:i4>
      </vt:variant>
      <vt:variant>
        <vt:i4>0</vt:i4>
      </vt:variant>
      <vt:variant>
        <vt:i4>5</vt:i4>
      </vt:variant>
      <vt:variant>
        <vt:lpwstr>mailto:Ralph.WISCHERMANN@ec.europa.eu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2025-11-24T09:52:00Z</dcterms:created>
  <dcterms:modified xsi:type="dcterms:W3CDTF">2026-01-19T09:16:00Z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0x0101006F9234BE3910874EAD93E4EEEE4C73D0</vt:lpwstr>
  </property>
  <property fmtid="{D5CDD505-2E9C-101B-9397-08002B2CF9AE}" pid="3" name="MediaServiceImageTags">
    <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ast edited using">
    <vt:lpwstr>LW 9.2, Build 20250828</vt:lpwstr>
  </property>
  <property fmtid="{D5CDD505-2E9C-101B-9397-08002B2CF9AE}" pid="8" name="DocStatus">
    <vt:lpwstr>Green</vt:lpwstr>
  </property>
  <property fmtid="{D5CDD505-2E9C-101B-9397-08002B2CF9AE}" pid="9" name="CPTemplateID">
    <vt:lpwstr>CP-006</vt:lpwstr>
  </property>
  <property fmtid="{D5CDD505-2E9C-101B-9397-08002B2CF9AE}" pid="10" name="Created using">
    <vt:lpwstr>LW 9.0, Build 20230317</vt:lpwstr>
  </property>
  <property fmtid="{D5CDD505-2E9C-101B-9397-08002B2CF9AE}" pid="11" name="MSIP_Label_f4cdc456-5864-460f-beda-883d23b78bbb_Enabled">
    <vt:lpwstr>true</vt:lpwstr>
  </property>
  <property fmtid="{D5CDD505-2E9C-101B-9397-08002B2CF9AE}" pid="12" name="MSIP_Label_f4cdc456-5864-460f-beda-883d23b78bbb_SetDate">
    <vt:lpwstr>2025-08-21T16:56:49Z</vt:lpwstr>
  </property>
  <property fmtid="{D5CDD505-2E9C-101B-9397-08002B2CF9AE}" pid="13" name="MSIP_Label_f4cdc456-5864-460f-beda-883d23b78bbb_Method">
    <vt:lpwstr>Privileged</vt:lpwstr>
  </property>
  <property fmtid="{D5CDD505-2E9C-101B-9397-08002B2CF9AE}" pid="14" name="MSIP_Label_f4cdc456-5864-460f-beda-883d23b78bbb_Name">
    <vt:lpwstr>Publicly Available</vt:lpwstr>
  </property>
  <property fmtid="{D5CDD505-2E9C-101B-9397-08002B2CF9AE}" pid="15" name="MSIP_Label_f4cdc456-5864-460f-beda-883d23b78bbb_SiteId">
    <vt:lpwstr>b24c8b06-522c-46fe-9080-70926f8dddb1</vt:lpwstr>
  </property>
  <property fmtid="{D5CDD505-2E9C-101B-9397-08002B2CF9AE}" pid="16" name="MSIP_Label_f4cdc456-5864-460f-beda-883d23b78bbb_ActionId">
    <vt:lpwstr>9dbeb7f7-1576-4795-ba15-da65870513a4</vt:lpwstr>
  </property>
  <property fmtid="{D5CDD505-2E9C-101B-9397-08002B2CF9AE}" pid="17" name="MSIP_Label_f4cdc456-5864-460f-beda-883d23b78bbb_ContentBits">
    <vt:lpwstr>0</vt:lpwstr>
  </property>
  <property fmtid="{D5CDD505-2E9C-101B-9397-08002B2CF9AE}" pid="18" name="MSIP_Label_f4cdc456-5864-460f-beda-883d23b78bbb_Tag">
    <vt:lpwstr>10, 0, 1, 1</vt:lpwstr>
  </property>
  <property fmtid="{D5CDD505-2E9C-101B-9397-08002B2CF9AE}" pid="19" name="EC_Collab_DocumentLanguage">
    <vt:lpwstr>EN</vt:lpwstr>
  </property>
</Properties>
</file>