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4255C4" w14:textId="1BD68AFD" w:rsidR="00E439FC" w:rsidRPr="00B86623" w:rsidRDefault="008626BD" w:rsidP="008626BD">
      <w:pPr>
        <w:pStyle w:val="Pagedecouverture"/>
        <w:rPr>
          <w:noProof/>
        </w:rPr>
      </w:pPr>
      <w:bookmarkStart w:id="0" w:name="_Hlk194949215"/>
      <w:bookmarkStart w:id="1" w:name="_Hlk191631631"/>
      <w:bookmarkStart w:id="2" w:name="LW_BM_COVERPAGE"/>
      <w:r>
        <w:rPr>
          <w:noProof/>
        </w:rPr>
        <w:pict w14:anchorId="55A1A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4E1AF3-14AC-47D8-93D6-2E4E450AC712" style="width:455.25pt;height:324pt">
            <v:imagedata r:id="rId8" o:title=""/>
          </v:shape>
        </w:pict>
      </w:r>
    </w:p>
    <w:bookmarkEnd w:id="2"/>
    <w:p w14:paraId="2C73E163" w14:textId="77777777" w:rsidR="008E046B" w:rsidRPr="00B86623" w:rsidRDefault="008E046B" w:rsidP="008E046B">
      <w:pPr>
        <w:rPr>
          <w:rFonts w:ascii="Times New Roman" w:hAnsi="Times New Roman" w:cs="Times New Roman"/>
          <w:noProof/>
        </w:rPr>
        <w:sectPr w:rsidR="008E046B" w:rsidRPr="00B86623" w:rsidSect="008626B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13B3AB6" w14:textId="6EB9FC3F" w:rsidR="00903286" w:rsidRPr="00B86623" w:rsidRDefault="002324D3" w:rsidP="00526281">
      <w:pPr>
        <w:spacing w:before="240" w:after="360" w:line="278" w:lineRule="auto"/>
        <w:jc w:val="center"/>
        <w:rPr>
          <w:rFonts w:ascii="Times New Roman" w:hAnsi="Times New Roman" w:cs="Times New Roman"/>
          <w:b/>
          <w:bCs/>
          <w:noProof/>
        </w:rPr>
      </w:pPr>
      <w:bookmarkStart w:id="3" w:name="_GoBack"/>
      <w:bookmarkEnd w:id="3"/>
      <w:r>
        <w:rPr>
          <w:rFonts w:ascii="Times New Roman" w:hAnsi="Times New Roman"/>
          <w:b/>
          <w:noProof/>
        </w:rPr>
        <w:lastRenderedPageBreak/>
        <w:t>UNA VISIONE PER L'ECONOMIA SPAZIALE EUROPEA</w:t>
      </w:r>
    </w:p>
    <w:p w14:paraId="1CF10F0D" w14:textId="23840E4D" w:rsidR="00903286" w:rsidRPr="00B86623" w:rsidRDefault="00D113DE" w:rsidP="00526281">
      <w:pPr>
        <w:pStyle w:val="ListParagraph"/>
        <w:numPr>
          <w:ilvl w:val="0"/>
          <w:numId w:val="37"/>
        </w:numPr>
        <w:spacing w:line="278" w:lineRule="auto"/>
        <w:ind w:left="357" w:hanging="357"/>
        <w:jc w:val="left"/>
        <w:rPr>
          <w:rFonts w:ascii="Times New Roman" w:hAnsi="Times New Roman" w:cs="Times New Roman"/>
          <w:b/>
          <w:bCs/>
          <w:noProof/>
        </w:rPr>
      </w:pPr>
      <w:r>
        <w:rPr>
          <w:rFonts w:ascii="Times New Roman" w:hAnsi="Times New Roman"/>
          <w:b/>
          <w:noProof/>
        </w:rPr>
        <w:t>INTRODUZIONE</w:t>
      </w:r>
    </w:p>
    <w:p w14:paraId="4805795B" w14:textId="4831FCD1" w:rsidR="72156B77" w:rsidRPr="00B86623" w:rsidRDefault="4D381B90" w:rsidP="0090307E">
      <w:pPr>
        <w:spacing w:after="120" w:line="278" w:lineRule="auto"/>
        <w:rPr>
          <w:rFonts w:ascii="Times New Roman" w:eastAsia="Aptos" w:hAnsi="Times New Roman" w:cs="Times New Roman"/>
          <w:noProof/>
        </w:rPr>
      </w:pPr>
      <w:r>
        <w:rPr>
          <w:rFonts w:ascii="Times New Roman" w:hAnsi="Times New Roman"/>
          <w:noProof/>
        </w:rPr>
        <w:t>L'economia spaziale comprende tutte le attività economiche, sia sulla Terra che nello spazio, rese possibili dalle tecnologie, dai servizi e dalle infrastrutture spaziali. Tra queste figurano la progettazione e la produzione di infrastrutture spaziali, i servizi e le operazioni nello spazio, l'accesso allo spazio, l'esplorazione e l'utilizzo delle risorse, nonché le applicazioni e i servizi di dati spaziali in altri settori dell'economia.</w:t>
      </w:r>
    </w:p>
    <w:p w14:paraId="74809473" w14:textId="37B09C9C" w:rsidR="003744F2" w:rsidRDefault="5103565E" w:rsidP="008A146E">
      <w:pPr>
        <w:spacing w:after="120" w:line="278" w:lineRule="auto"/>
        <w:rPr>
          <w:rFonts w:ascii="Times New Roman" w:eastAsia="Aptos" w:hAnsi="Times New Roman" w:cs="Times New Roman"/>
          <w:noProof/>
        </w:rPr>
      </w:pPr>
      <w:r>
        <w:rPr>
          <w:rFonts w:ascii="Times New Roman" w:hAnsi="Times New Roman"/>
          <w:noProof/>
        </w:rPr>
        <w:t>L'economia spaziale globale è in rapida evoluzione, trainata dalla concorrenza internazionale, dall'innovazione tecnologica e dalle tensioni geopolitiche. Si prevede che il suo valore economico raggiungerà i 1 800 miliardi di USD entro il 2035</w:t>
      </w:r>
      <w:r>
        <w:rPr>
          <w:rStyle w:val="FootnoteReference"/>
          <w:rFonts w:ascii="Times New Roman" w:eastAsia="Aptos" w:hAnsi="Times New Roman" w:cs="Times New Roman"/>
          <w:noProof/>
        </w:rPr>
        <w:footnoteReference w:id="2"/>
      </w:r>
      <w:r>
        <w:rPr>
          <w:rFonts w:ascii="Times New Roman" w:hAnsi="Times New Roman"/>
          <w:noProof/>
        </w:rPr>
        <w:t>. Nel 2024 gli investimenti pubblici nel settore spaziale sono stati pari a 122 miliardi di EUR a livello mondiale, mentre in Europa sono ammontati a 12,6 miliardi di EUR, ovvero il 10 %. Gli investimenti privati nel settore spaziale su scala mondiale hanno raggiunto un valore totale di 7 miliardi di EUR, mentre in Europa tale valore è stato di 1,5 miliardi di EUR, ossia il 22 %. In termini di valore di mercato, la quota europea del mercato globale non vincolato a monte è risultata pari al 33 %, mentre nel mercato a valle si è attestata al 19 %</w:t>
      </w:r>
      <w:r>
        <w:rPr>
          <w:rStyle w:val="FootnoteReference"/>
          <w:rFonts w:ascii="Times New Roman" w:eastAsia="Aptos" w:hAnsi="Times New Roman" w:cs="Times New Roman"/>
          <w:noProof/>
        </w:rPr>
        <w:footnoteReference w:id="3"/>
      </w:r>
      <w:r>
        <w:rPr>
          <w:rFonts w:ascii="Times New Roman" w:hAnsi="Times New Roman"/>
          <w:noProof/>
        </w:rPr>
        <w:t xml:space="preserve">. </w:t>
      </w:r>
    </w:p>
    <w:p w14:paraId="219C0325" w14:textId="02E88E18" w:rsidR="72156B77" w:rsidRPr="00B86623" w:rsidRDefault="00C33F8A" w:rsidP="008A146E">
      <w:pPr>
        <w:spacing w:after="120" w:line="278" w:lineRule="auto"/>
        <w:rPr>
          <w:rFonts w:ascii="Times New Roman" w:eastAsia="Aptos" w:hAnsi="Times New Roman" w:cs="Times New Roman"/>
          <w:noProof/>
        </w:rPr>
      </w:pPr>
      <w:r>
        <w:rPr>
          <w:rFonts w:ascii="Times New Roman" w:hAnsi="Times New Roman"/>
          <w:noProof/>
        </w:rPr>
        <w:t>Nella comunicazione "Bussola per la competitività dell'UE"</w:t>
      </w:r>
      <w:r>
        <w:rPr>
          <w:rStyle w:val="FootnoteReference"/>
          <w:rFonts w:ascii="Times New Roman" w:eastAsia="Aptos" w:hAnsi="Times New Roman" w:cs="Times New Roman"/>
          <w:noProof/>
        </w:rPr>
        <w:footnoteReference w:id="4"/>
      </w:r>
      <w:r>
        <w:rPr>
          <w:rFonts w:ascii="Times New Roman" w:hAnsi="Times New Roman"/>
          <w:noProof/>
        </w:rPr>
        <w:t xml:space="preserve"> la Commissione europea riconosce l'importanza di colmare il deficit di innovazione sostenendo nuovi settori come quello spaziale. Nelle conclusioni del Consiglio del maggio 2024 sul contributo dello spazio alla competitività dell'Europa</w:t>
      </w:r>
      <w:r>
        <w:rPr>
          <w:rStyle w:val="FootnoteReference"/>
          <w:rFonts w:ascii="Times New Roman" w:eastAsia="Aptos" w:hAnsi="Times New Roman" w:cs="Times New Roman"/>
          <w:noProof/>
        </w:rPr>
        <w:footnoteReference w:id="5"/>
      </w:r>
      <w:r>
        <w:rPr>
          <w:rFonts w:ascii="Times New Roman" w:hAnsi="Times New Roman"/>
          <w:noProof/>
        </w:rPr>
        <w:t xml:space="preserve"> si sottolinea che la realizzazione di un settore spaziale europeo più competitivo può contribuire a rispondere alle sfide economiche e sociali dell'Unione e rafforzare il suo ruolo a livello mondiale. L'UE dovrebbe pertanto consentire ai suoi Stati membri, alle imprese e ai cittadini di godere dei benefici offerti dall'economia spaziale globale, continuando a investire nelle infrastrutture spaziali e terrestri e integrando i servizi spaziali in tutti i settori dell'economia. </w:t>
      </w:r>
    </w:p>
    <w:p w14:paraId="6DE0CD3B" w14:textId="2E9FEEEF" w:rsidR="72156B77" w:rsidRPr="00B86623" w:rsidRDefault="296022F1" w:rsidP="008A146E">
      <w:pPr>
        <w:spacing w:after="120" w:line="278" w:lineRule="auto"/>
        <w:rPr>
          <w:rFonts w:ascii="Times New Roman" w:hAnsi="Times New Roman" w:cs="Times New Roman"/>
          <w:noProof/>
        </w:rPr>
      </w:pPr>
      <w:r>
        <w:rPr>
          <w:rFonts w:ascii="Times New Roman" w:hAnsi="Times New Roman"/>
          <w:noProof/>
        </w:rPr>
        <w:t xml:space="preserve">Le principali potenze spaziali, come gli Stati Uniti e la Cina, stanno sfruttando lo spazio per raggiungere obiettivi strategici al servizio di interessi militari, economici, scientifici e politici, sviluppando ambiziosi programmi spaziali verso la Luna e Marte. Ciò sta innescando un'ondata di investimenti e promuovendo l'innovazione nello spazio in una serie di settori, dal trasporto spaziale alla robotica, alla produzione nello spazio e alla manutenzione in orbita. Oltre agli obiettivi di esplorazione, la concorrenza continua ad aumentare anche nell'orbita terrestre, dove un numero crescente di nazioni consolidate ed emergenti in ambito spaziale sta portando nello spazio tecnologie innovative al servizio delle industrie della Terra, tra cui quelle della difesa, della navigazione, della comunicazione, dell'agricoltura, delle banche e delle assicurazioni. </w:t>
      </w:r>
    </w:p>
    <w:p w14:paraId="42791758" w14:textId="736C788B" w:rsidR="006132CF" w:rsidRDefault="0090307E" w:rsidP="008A146E">
      <w:pPr>
        <w:spacing w:after="120" w:line="278" w:lineRule="auto"/>
        <w:rPr>
          <w:rFonts w:ascii="Times New Roman" w:eastAsia="Aptos" w:hAnsi="Times New Roman" w:cs="Times New Roman"/>
          <w:noProof/>
        </w:rPr>
      </w:pPr>
      <w:r>
        <w:rPr>
          <w:rFonts w:ascii="Times New Roman" w:hAnsi="Times New Roman"/>
          <w:noProof/>
        </w:rPr>
        <w:t>L'Europa è da tempo leader nel settore delle tecnologie satellitari e spaziali, nonostante i livelli di finanziamento molto inferiori. È nota per i suoi prodotti di alta qualità, le sue competenze nel campo della scienza e della tecnologia spaziali, il suo talento unico, la sua industria e le sue capacità. L'UE possiede infrastrutture di livello mondiale per il posizionamento, la navigazione e la misurazione del tempo, per l'osservazione e per la connettività sicura (rispettivamente con Galileo, EGNOS, Copernicus</w:t>
      </w:r>
      <w:bookmarkStart w:id="4" w:name="_Hlk198131013"/>
      <w:r>
        <w:rPr>
          <w:rFonts w:ascii="Times New Roman" w:hAnsi="Times New Roman"/>
          <w:noProof/>
        </w:rPr>
        <w:t xml:space="preserve"> e IRIS</w:t>
      </w:r>
      <w:r>
        <w:rPr>
          <w:rFonts w:ascii="Times New Roman" w:hAnsi="Times New Roman"/>
          <w:noProof/>
          <w:vertAlign w:val="superscript"/>
        </w:rPr>
        <w:t>2</w:t>
      </w:r>
      <w:bookmarkEnd w:id="4"/>
      <w:r>
        <w:rPr>
          <w:rFonts w:ascii="Times New Roman" w:hAnsi="Times New Roman"/>
          <w:noProof/>
        </w:rPr>
        <w:t>)</w:t>
      </w:r>
      <w:r>
        <w:rPr>
          <w:rFonts w:ascii="Times New Roman" w:hAnsi="Times New Roman"/>
          <w:noProof/>
          <w:vertAlign w:val="superscript"/>
        </w:rPr>
        <w:t xml:space="preserve"> </w:t>
      </w:r>
      <w:r>
        <w:rPr>
          <w:rFonts w:ascii="Times New Roman" w:hAnsi="Times New Roman"/>
          <w:noProof/>
        </w:rPr>
        <w:t xml:space="preserve">e continua a investire in tali infrastrutture. </w:t>
      </w:r>
    </w:p>
    <w:p w14:paraId="1373D8CD" w14:textId="395E18C2" w:rsidR="00F170E6" w:rsidRDefault="00716738" w:rsidP="008A146E">
      <w:pPr>
        <w:spacing w:after="120" w:line="278" w:lineRule="auto"/>
        <w:rPr>
          <w:rFonts w:ascii="Times New Roman" w:eastAsia="Aptos" w:hAnsi="Times New Roman" w:cs="Times New Roman"/>
          <w:noProof/>
        </w:rPr>
      </w:pPr>
      <w:r>
        <w:rPr>
          <w:rFonts w:ascii="Times New Roman" w:hAnsi="Times New Roman"/>
          <w:noProof/>
        </w:rPr>
        <w:t xml:space="preserve">Nel contesto della strategia "Global Gateway", l'UE, i suoi Stati membri e il suo settore privato stanno realizzando partenariati internazionali e investimenti nella connettività sicura, nella navigazione satellitare e nell'osservazione della Terra che tengono conto dei reciproci interessi dell'UE e dei suoi partner per la sicurezza, la prosperità e la competitività. </w:t>
      </w:r>
    </w:p>
    <w:p w14:paraId="04D6FFE0" w14:textId="7C4BE235" w:rsidR="008A146E" w:rsidRDefault="72156B77" w:rsidP="008A146E">
      <w:pPr>
        <w:spacing w:after="120" w:line="278" w:lineRule="auto"/>
        <w:rPr>
          <w:rFonts w:ascii="Times New Roman" w:eastAsia="Aptos" w:hAnsi="Times New Roman" w:cs="Times New Roman"/>
          <w:noProof/>
        </w:rPr>
      </w:pPr>
      <w:r>
        <w:rPr>
          <w:rFonts w:ascii="Times New Roman" w:hAnsi="Times New Roman"/>
          <w:noProof/>
        </w:rPr>
        <w:t xml:space="preserve">Lo sviluppo di veicoli di lancio riutilizzabili e per carichi pesanti, insieme alla produzione di massa di migliaia di satelliti raggruppati in mega-costellazioni, sta rivoluzionando l'accesso allo spazio. I satelliti in orbita terrestre inferiore hanno generalmente una durata di vita più breve e richiedono pertanto una sostituzione più frequente. </w:t>
      </w:r>
    </w:p>
    <w:p w14:paraId="79CC3BDF" w14:textId="1652E2E4" w:rsidR="72156B77" w:rsidRPr="00B86623" w:rsidRDefault="72156B77" w:rsidP="008A146E">
      <w:pPr>
        <w:spacing w:after="120" w:line="278" w:lineRule="auto"/>
        <w:rPr>
          <w:rFonts w:ascii="Times New Roman" w:eastAsia="Aptos" w:hAnsi="Times New Roman" w:cs="Times New Roman"/>
          <w:noProof/>
        </w:rPr>
      </w:pPr>
      <w:r>
        <w:rPr>
          <w:rFonts w:ascii="Times New Roman" w:hAnsi="Times New Roman"/>
          <w:noProof/>
        </w:rPr>
        <w:t xml:space="preserve">Tali esigenze evidenziano l'importanza di adottare tecnologie e servizi nello spazio sostenibili per garantire la sostenibilità a lungo termine delle operazioni spaziali. Analogamente l'adozione del cloud computing, dell'intelligenza artificiale e dell'analisi dei dati sta rimodellando le applicazioni e i servizi di dati, consentendo un trattamento, un'interpretazione e una fornitura più efficienti dei dati satellitari in base alle specifiche esigenze dell'industria. </w:t>
      </w:r>
    </w:p>
    <w:p w14:paraId="6D8ADCD1" w14:textId="0631F67B" w:rsidR="00F170E6" w:rsidRDefault="608D718A" w:rsidP="000B738C">
      <w:pPr>
        <w:spacing w:after="120" w:line="278" w:lineRule="auto"/>
        <w:rPr>
          <w:rFonts w:ascii="Times New Roman" w:eastAsia="Aptos" w:hAnsi="Times New Roman" w:cs="Times New Roman"/>
          <w:noProof/>
        </w:rPr>
      </w:pPr>
      <w:r>
        <w:rPr>
          <w:rFonts w:ascii="Times New Roman" w:hAnsi="Times New Roman"/>
          <w:noProof/>
        </w:rPr>
        <w:t>Se da un lato questi rapidi sviluppi stanno ridefinendo l'economia spaziale globale, dall'altro l'UE ha subito una perdita della sua quota di mercato in settori chiave</w:t>
      </w:r>
      <w:r>
        <w:rPr>
          <w:rStyle w:val="FootnoteReference"/>
          <w:rFonts w:ascii="Times New Roman" w:eastAsia="Aptos" w:hAnsi="Times New Roman" w:cs="Times New Roman"/>
          <w:noProof/>
        </w:rPr>
        <w:footnoteReference w:id="6"/>
      </w:r>
      <w:r>
        <w:rPr>
          <w:rFonts w:ascii="Times New Roman" w:hAnsi="Times New Roman"/>
          <w:noProof/>
        </w:rPr>
        <w:t>. L'aumento della concorrenza mondiale e l'evoluzione delle dinamiche di mercato hanno esercitato una pressione significativa sul settore industriale spaziale dell'UE. L'Europa ha perso la sua posizione di primo piano sul mercato dei razzi commerciali e delle comunicazioni satellitari. Inoltre il settore spaziale europeo trarrebbe vantaggio da norme aggiornate in materia di governance e investimenti e da un maggiore coordinamento della spesa pubblica in un vero mercato unico per lo spazio.</w:t>
      </w:r>
    </w:p>
    <w:p w14:paraId="14EE0F3B" w14:textId="45C97D76" w:rsidR="002B0143" w:rsidRPr="00B86623" w:rsidRDefault="00D708FA" w:rsidP="008A146E">
      <w:pPr>
        <w:spacing w:after="120" w:line="276" w:lineRule="auto"/>
        <w:rPr>
          <w:rFonts w:ascii="Times New Roman" w:eastAsia="Aptos" w:hAnsi="Times New Roman" w:cs="Times New Roman"/>
          <w:noProof/>
        </w:rPr>
      </w:pPr>
      <w:r>
        <w:rPr>
          <w:rFonts w:ascii="Times New Roman" w:hAnsi="Times New Roman"/>
          <w:noProof/>
        </w:rPr>
        <w:t>Tuttavia l'UE possiede tutti gli elementi necessari per assumere un ruolo guida: istituti di ricerca di livello mondiale, forti capacità industriali e una forza lavoro istruita. Nelle relazioni Letta</w:t>
      </w:r>
      <w:r>
        <w:rPr>
          <w:rStyle w:val="FootnoteReference"/>
          <w:rFonts w:ascii="Times New Roman" w:eastAsia="Aptos" w:hAnsi="Times New Roman" w:cs="Times New Roman"/>
          <w:noProof/>
        </w:rPr>
        <w:footnoteReference w:id="7"/>
      </w:r>
      <w:r>
        <w:rPr>
          <w:rFonts w:ascii="Times New Roman" w:hAnsi="Times New Roman"/>
          <w:noProof/>
        </w:rPr>
        <w:t>, Draghi</w:t>
      </w:r>
      <w:r>
        <w:rPr>
          <w:rStyle w:val="FootnoteReference"/>
          <w:rFonts w:ascii="Times New Roman" w:eastAsia="Aptos" w:hAnsi="Times New Roman" w:cs="Times New Roman"/>
          <w:noProof/>
        </w:rPr>
        <w:footnoteReference w:id="8"/>
      </w:r>
      <w:r>
        <w:rPr>
          <w:rFonts w:ascii="Times New Roman" w:hAnsi="Times New Roman"/>
          <w:noProof/>
        </w:rPr>
        <w:t xml:space="preserve"> e Niinistö</w:t>
      </w:r>
      <w:r>
        <w:rPr>
          <w:rStyle w:val="FootnoteReference"/>
          <w:rFonts w:ascii="Times New Roman" w:eastAsia="Aptos" w:hAnsi="Times New Roman" w:cs="Times New Roman"/>
          <w:noProof/>
        </w:rPr>
        <w:footnoteReference w:id="9"/>
      </w:r>
      <w:r>
        <w:rPr>
          <w:rFonts w:ascii="Times New Roman" w:hAnsi="Times New Roman"/>
          <w:noProof/>
        </w:rPr>
        <w:t xml:space="preserve"> lo spazio è stato individuato come un settore chiave per la crescita, la competitività, la resilienza e la preparazione future. Con l'intensificarsi della dipendenza dalle tecnologie spaziali, l'UE deve riaffermare il proprio ruolo in questa corsa globale allo spazio. Nell'attuale contesto geopolitico, la perdita di tale ruolo avrà conseguenze di vasta portata per la sicurezza economica, l'autonomia strategica e la competitività dell'Europa. Un approccio globale contribuirebbe a massimizzare l'impatto degli obiettivi dell'UE in materia di economia spaziale.</w:t>
      </w:r>
    </w:p>
    <w:p w14:paraId="77D20E65" w14:textId="49DACC96" w:rsidR="00AB1FDF" w:rsidRDefault="002E415D" w:rsidP="008A146E">
      <w:pPr>
        <w:spacing w:after="120" w:line="276" w:lineRule="auto"/>
        <w:rPr>
          <w:rFonts w:ascii="Times New Roman" w:eastAsia="Aptos" w:hAnsi="Times New Roman" w:cs="Times New Roman"/>
          <w:noProof/>
        </w:rPr>
      </w:pPr>
      <w:r>
        <w:rPr>
          <w:rFonts w:ascii="Times New Roman" w:hAnsi="Times New Roman"/>
          <w:noProof/>
        </w:rPr>
        <w:t>L'obiettivo della presente comunicazione è quindi quello di fornire una visione che consenta di rendere l'UE leader nell'economia spaziale globale entro il 2050, sfruttando le tecnologie e i servizi spaziali sulla Terra e nello spazio per rafforzare la competitività, la resilienza, la sicurezza e l'autonomia dell'UE, basandosi anche sulla strategia spaziale dell'Unione europea per la sicurezza e la difesa</w:t>
      </w:r>
      <w:r>
        <w:rPr>
          <w:rStyle w:val="FootnoteReference"/>
          <w:rFonts w:ascii="Times New Roman" w:eastAsia="Aptos" w:hAnsi="Times New Roman" w:cs="Times New Roman"/>
          <w:noProof/>
        </w:rPr>
        <w:footnoteReference w:id="10"/>
      </w:r>
      <w:r>
        <w:rPr>
          <w:rFonts w:ascii="Times New Roman" w:hAnsi="Times New Roman"/>
          <w:noProof/>
        </w:rPr>
        <w:t xml:space="preserve"> e sulla strategia europea per l'Unione della preparazione</w:t>
      </w:r>
      <w:r>
        <w:rPr>
          <w:rStyle w:val="FootnoteReference"/>
          <w:rFonts w:ascii="Times New Roman" w:eastAsia="Aptos" w:hAnsi="Times New Roman" w:cs="Times New Roman"/>
          <w:noProof/>
        </w:rPr>
        <w:footnoteReference w:id="11"/>
      </w:r>
      <w:r>
        <w:rPr>
          <w:rFonts w:ascii="Times New Roman" w:hAnsi="Times New Roman"/>
          <w:noProof/>
        </w:rPr>
        <w:t xml:space="preserve">, accelerando al contempo la crescita economica e creando opportunità imprenditoriali e posti di lavoro di qualità. </w:t>
      </w:r>
    </w:p>
    <w:p w14:paraId="4E23D3B9" w14:textId="69E76983" w:rsidR="00FB1145" w:rsidRPr="00B86623" w:rsidRDefault="00D8694F" w:rsidP="008A146E">
      <w:pPr>
        <w:spacing w:after="120" w:line="276" w:lineRule="auto"/>
        <w:rPr>
          <w:rFonts w:ascii="Times New Roman" w:eastAsia="Aptos" w:hAnsi="Times New Roman" w:cs="Times New Roman"/>
          <w:noProof/>
        </w:rPr>
      </w:pPr>
      <w:r>
        <w:rPr>
          <w:rFonts w:ascii="Times New Roman" w:hAnsi="Times New Roman"/>
          <w:noProof/>
        </w:rPr>
        <w:t xml:space="preserve">A tal fine sarà necessario sfruttare appieno gli investimenti pubblici e privati a livello nazionale e dell'UE. Sulla base dell'attuale quadro giuridico dell'UE, è essenziale ricorrere ad appalti innovativi e dinamici, compresi gli accordi di </w:t>
      </w:r>
      <w:r>
        <w:rPr>
          <w:rFonts w:ascii="Times New Roman" w:hAnsi="Times New Roman"/>
          <w:i/>
          <w:iCs/>
          <w:noProof/>
        </w:rPr>
        <w:t>anchor tenancy</w:t>
      </w:r>
      <w:r>
        <w:rPr>
          <w:rStyle w:val="FootnoteReference"/>
          <w:rFonts w:ascii="Times New Roman" w:eastAsia="Aptos" w:hAnsi="Times New Roman" w:cs="Times New Roman"/>
          <w:noProof/>
        </w:rPr>
        <w:footnoteReference w:id="12"/>
      </w:r>
      <w:r>
        <w:rPr>
          <w:rFonts w:ascii="Times New Roman" w:hAnsi="Times New Roman"/>
          <w:noProof/>
        </w:rPr>
        <w:t>, in quanto le infrastrutture spaziali e i servizi che ne derivano dipendono in larga misura dalla prevedibilità degli investimenti unita alla flessibilità.</w:t>
      </w:r>
    </w:p>
    <w:p w14:paraId="4B7F3E1E" w14:textId="7D10BA38" w:rsidR="002C7DB8" w:rsidRPr="00B86623" w:rsidRDefault="00FC7E0E" w:rsidP="002C7DB8">
      <w:pPr>
        <w:spacing w:after="0" w:line="276" w:lineRule="auto"/>
        <w:rPr>
          <w:rFonts w:ascii="Times New Roman" w:eastAsia="Aptos" w:hAnsi="Times New Roman" w:cs="Times New Roman"/>
          <w:noProof/>
        </w:rPr>
      </w:pPr>
      <w:r>
        <w:rPr>
          <w:rFonts w:ascii="Times New Roman" w:hAnsi="Times New Roman"/>
          <w:noProof/>
        </w:rPr>
        <w:t xml:space="preserve">La presente comunicazione si concentra sullo sviluppo globale dell'economia spaziale europea. In primo luogo affronta il tema dello spazio come settore di mercato puntando alla sua crescita efficace e solida, evidenziando gli elementi costitutivi necessari per stimolare la crescita economica in Europa. Successivamente si occupa degli aspetti tematici dell'economia spaziale nei diversi settori dello spazio, a partire dalle attività terrestri fino ad arrivare all'economia "nello spazio", passando dalle attività orbitali a quelle che avvengono al di fuori dell'orbita terrestre. In particolare sottolineerà l'importanza della continuità e dell'evoluzione delle infrastrutture e dei servizi spaziali, riconoscendo che tale spesa in conto capitale rappresenta una condizione sine qua non per la crescita dell'occupazione nell'economia europea nel suo complesso. </w:t>
      </w:r>
    </w:p>
    <w:p w14:paraId="187224E6" w14:textId="11592D5D" w:rsidR="00B61446" w:rsidRPr="00B86623" w:rsidRDefault="00D8411D" w:rsidP="00526281">
      <w:pPr>
        <w:pStyle w:val="ListParagraph"/>
        <w:numPr>
          <w:ilvl w:val="0"/>
          <w:numId w:val="37"/>
        </w:numPr>
        <w:spacing w:before="240" w:line="278" w:lineRule="auto"/>
        <w:ind w:left="357" w:hanging="357"/>
        <w:jc w:val="left"/>
        <w:rPr>
          <w:rFonts w:ascii="Times New Roman" w:hAnsi="Times New Roman" w:cs="Times New Roman"/>
          <w:b/>
          <w:bCs/>
          <w:noProof/>
        </w:rPr>
      </w:pPr>
      <w:r>
        <w:rPr>
          <w:rFonts w:ascii="Times New Roman" w:hAnsi="Times New Roman"/>
          <w:b/>
          <w:noProof/>
        </w:rPr>
        <w:t>UN SETTORE DI MERCATO CHE FAVORISCE LA COMPETITIVITÀ EUROPEA</w:t>
      </w:r>
    </w:p>
    <w:p w14:paraId="03865205" w14:textId="05C4EC0F" w:rsidR="00946387" w:rsidRPr="00B86623" w:rsidRDefault="00117E53" w:rsidP="008A146E">
      <w:pPr>
        <w:spacing w:after="120" w:line="278" w:lineRule="auto"/>
        <w:rPr>
          <w:rFonts w:ascii="Times New Roman" w:hAnsi="Times New Roman" w:cs="Times New Roman"/>
          <w:noProof/>
        </w:rPr>
      </w:pPr>
      <w:r>
        <w:rPr>
          <w:rFonts w:ascii="Times New Roman" w:hAnsi="Times New Roman"/>
          <w:noProof/>
        </w:rPr>
        <w:t xml:space="preserve">Pur disponendo di capacità di livello mondiale, l'UE non ha ancora sfruttato appieno il potenziale della sua economia spaziale. La ristrettezza degli investimenti e dei finanziamenti per la crescita, la complessità dei modelli di appalto, la necessità di un migliore coordinamento a livello dell'UE, la lentezza dei tempi di commercializzazione e l'approccio compartimentato tra spazio e difesa ostacolano il potenziale di ulteriore crescita del settore. </w:t>
      </w:r>
    </w:p>
    <w:p w14:paraId="36FE6739" w14:textId="68391043" w:rsidR="009058B0" w:rsidRPr="00B86623" w:rsidRDefault="00981EAC" w:rsidP="00981EAC">
      <w:pPr>
        <w:spacing w:after="120" w:line="278" w:lineRule="auto"/>
        <w:rPr>
          <w:rFonts w:ascii="Times New Roman" w:hAnsi="Times New Roman" w:cs="Times New Roman"/>
          <w:noProof/>
        </w:rPr>
      </w:pPr>
      <w:r>
        <w:rPr>
          <w:rFonts w:ascii="Times New Roman" w:hAnsi="Times New Roman"/>
          <w:noProof/>
        </w:rPr>
        <w:t>La spesa pubblica estera supera quella dell'UE. I livelli di investimento dell'UE sono oscillati tra il 15 % e il 20 % rispetto a quelli degli Stati Uniti. Nel 2023 la spesa pubblica per lo spazio in Europa è stata pari a 15 miliardi di USD, a fronte dei 73 miliardi di USD negli Stati Uniti</w:t>
      </w:r>
      <w:r>
        <w:rPr>
          <w:rStyle w:val="FootnoteReference"/>
          <w:rFonts w:ascii="Times New Roman" w:hAnsi="Times New Roman" w:cs="Times New Roman"/>
          <w:noProof/>
        </w:rPr>
        <w:footnoteReference w:id="13"/>
      </w:r>
      <w:r>
        <w:rPr>
          <w:rFonts w:ascii="Times New Roman" w:hAnsi="Times New Roman"/>
          <w:noProof/>
        </w:rPr>
        <w:t>. La spesa per il settore spaziale civile ha rappresentato circa l'85 % della spesa totale per lo spazio nell'UE nel 2023, in netto contrasto con l'approccio di altre grandi potenze spaziali</w:t>
      </w:r>
      <w:r>
        <w:rPr>
          <w:rStyle w:val="FootnoteReference"/>
          <w:rFonts w:ascii="Times New Roman" w:hAnsi="Times New Roman" w:cs="Times New Roman"/>
          <w:noProof/>
        </w:rPr>
        <w:footnoteReference w:id="14"/>
      </w:r>
      <w:r>
        <w:rPr>
          <w:rFonts w:ascii="Times New Roman" w:hAnsi="Times New Roman"/>
          <w:noProof/>
        </w:rPr>
        <w:t xml:space="preserve">. Si prevede che la Cina supererà l'Europa nei prossimi anni, raggiungendo circa 20 miliardi di USD entro il 2030. Ciò, a sua volta, sposta le dinamiche di mercato e la distribuzione dei contratti in generale verso gli operatori commerciali (start-up, scale-up, piccole e medie imprese (PMI), imprese a media capitalizzazione, comprese quelle più piccole, imprese tradizionali). </w:t>
      </w:r>
    </w:p>
    <w:p w14:paraId="302D1A1F" w14:textId="653B237C" w:rsidR="006B4D63" w:rsidRDefault="00DD3D47" w:rsidP="000D489B">
      <w:pPr>
        <w:spacing w:after="120" w:line="278" w:lineRule="auto"/>
        <w:rPr>
          <w:rFonts w:ascii="Times New Roman" w:hAnsi="Times New Roman" w:cs="Times New Roman"/>
          <w:noProof/>
        </w:rPr>
      </w:pPr>
      <w:r>
        <w:rPr>
          <w:rFonts w:ascii="Times New Roman" w:hAnsi="Times New Roman"/>
          <w:noProof/>
        </w:rPr>
        <w:t xml:space="preserve">L'UE deve compiere progressi più rapidi in settori strategici quali l'accesso allo spazio, le comunicazioni satellitari, l'osservazione della Terra, il posizionamento, la navigazione e la misurazione del tempo, la sicurezza spaziale, l'intelligenza artificiale, le tecnologie quantistiche, le sinergie con la difesa e le operazioni e i servizi nello spazio. Altre nazioni spaziali stanno registrando rapidi progressi in questi settori o dispongono già di tecnologie collaudate. </w:t>
      </w:r>
    </w:p>
    <w:p w14:paraId="62BCD826" w14:textId="04994AF6" w:rsidR="009F4AF0" w:rsidRPr="00B86623" w:rsidRDefault="3B135A33" w:rsidP="000D489B">
      <w:pPr>
        <w:spacing w:after="120" w:line="278" w:lineRule="auto"/>
        <w:rPr>
          <w:rFonts w:ascii="Times New Roman" w:hAnsi="Times New Roman" w:cs="Times New Roman"/>
          <w:noProof/>
        </w:rPr>
      </w:pPr>
      <w:r>
        <w:rPr>
          <w:rFonts w:ascii="Times New Roman" w:hAnsi="Times New Roman"/>
          <w:noProof/>
        </w:rPr>
        <w:t xml:space="preserve">L'UE dovrebbe fare affidamento sul suo settore spaziale (produzione e servizi) per garantire la continuità e l'evoluzione delle proprie capacità. Dovrebbe inoltre massimizzare il valore economico dei servizi spaziali in altri settori di mercato, offrendo soluzioni su misura e affrontando le sfide tecnologiche per soddisfare le esigenze degli utenti. Di conseguenza si prevede che altri settori di mercato che beneficiano dei servizi spaziali, nel potenziare le rispettive infrastrutture o i rispettivi terminali utente, pianificheranno l'interoperabilità e le norme adottando soluzioni provenienti dai sistemi dell'UE. </w:t>
      </w:r>
    </w:p>
    <w:p w14:paraId="02D40C01" w14:textId="29F49C3F" w:rsidR="0016466B" w:rsidRPr="00B86623" w:rsidRDefault="009C7D4D" w:rsidP="009A2401">
      <w:pPr>
        <w:spacing w:after="0" w:line="278" w:lineRule="auto"/>
        <w:rPr>
          <w:rFonts w:ascii="Times New Roman" w:hAnsi="Times New Roman" w:cs="Times New Roman"/>
          <w:noProof/>
        </w:rPr>
      </w:pPr>
      <w:r>
        <w:rPr>
          <w:rFonts w:ascii="Times New Roman" w:hAnsi="Times New Roman"/>
          <w:noProof/>
        </w:rPr>
        <w:t>Adottando una prospettiva più ampia nei confronti dello spazio come settore di mercato e replicando l'approccio previsto nella bussola per la competitività, l'UE sosterrà tale settore basandosi su sei elementi costitutivi:</w:t>
      </w:r>
    </w:p>
    <w:p w14:paraId="734EBD9A" w14:textId="07DD79E4" w:rsidR="00C80F99" w:rsidRPr="00697C9C" w:rsidRDefault="3A6A75A1" w:rsidP="00697C9C">
      <w:pPr>
        <w:pStyle w:val="ListParagraph"/>
        <w:numPr>
          <w:ilvl w:val="0"/>
          <w:numId w:val="106"/>
        </w:numPr>
        <w:spacing w:after="0" w:line="278" w:lineRule="auto"/>
        <w:rPr>
          <w:rFonts w:ascii="Times New Roman" w:hAnsi="Times New Roman" w:cs="Times New Roman"/>
          <w:noProof/>
        </w:rPr>
      </w:pPr>
      <w:r>
        <w:rPr>
          <w:rFonts w:ascii="Times New Roman" w:hAnsi="Times New Roman"/>
          <w:noProof/>
        </w:rPr>
        <w:t>creare un mercato unico dell'UE per lo spazio, che integri la normativa dell'UE in materia di spazio</w:t>
      </w:r>
      <w:r>
        <w:rPr>
          <w:rStyle w:val="FootnoteReference"/>
          <w:rFonts w:ascii="Times New Roman" w:hAnsi="Times New Roman" w:cs="Times New Roman"/>
          <w:noProof/>
        </w:rPr>
        <w:footnoteReference w:id="15"/>
      </w:r>
      <w:r>
        <w:rPr>
          <w:rFonts w:ascii="Times New Roman" w:hAnsi="Times New Roman"/>
          <w:noProof/>
        </w:rPr>
        <w:t xml:space="preserve"> come base generale, consentendo alle imprese di operare senza soluzione di continuità e in modo più efficiente a livello transfrontaliero;</w:t>
      </w:r>
    </w:p>
    <w:p w14:paraId="5C92FFA7" w14:textId="33D7F35B" w:rsidR="003B23E9" w:rsidRPr="00697C9C" w:rsidRDefault="3B535B64" w:rsidP="00697C9C">
      <w:pPr>
        <w:pStyle w:val="ListParagraph"/>
        <w:numPr>
          <w:ilvl w:val="0"/>
          <w:numId w:val="106"/>
        </w:numPr>
        <w:spacing w:after="0" w:line="278" w:lineRule="auto"/>
        <w:rPr>
          <w:rFonts w:ascii="Times New Roman" w:hAnsi="Times New Roman" w:cs="Times New Roman"/>
          <w:noProof/>
        </w:rPr>
      </w:pPr>
      <w:r>
        <w:rPr>
          <w:rFonts w:ascii="Times New Roman" w:hAnsi="Times New Roman"/>
          <w:noProof/>
        </w:rPr>
        <w:t>accelerare la ricerca e l'innovazione nel settore spaziale promuovendo le tecnologie innovative e rafforzando la competitività globale;</w:t>
      </w:r>
    </w:p>
    <w:p w14:paraId="0B571796" w14:textId="372B2945" w:rsidR="00F634E8" w:rsidRPr="00697C9C" w:rsidRDefault="00AB7980" w:rsidP="00697C9C">
      <w:pPr>
        <w:pStyle w:val="ListParagraph"/>
        <w:numPr>
          <w:ilvl w:val="0"/>
          <w:numId w:val="106"/>
        </w:numPr>
        <w:spacing w:after="0" w:line="278" w:lineRule="auto"/>
        <w:rPr>
          <w:rFonts w:ascii="Times New Roman" w:hAnsi="Times New Roman" w:cs="Times New Roman"/>
          <w:noProof/>
        </w:rPr>
      </w:pPr>
      <w:r>
        <w:rPr>
          <w:rFonts w:ascii="Times New Roman" w:hAnsi="Times New Roman"/>
          <w:noProof/>
        </w:rPr>
        <w:t>rafforzare la prontezza industriale e l'indipendenza tecnologica potenziando la base industriale dell'UE, garantendo la sovranità tecnologica e riducendo la dipendenza dalle catene di approvvigionamento esterne;</w:t>
      </w:r>
    </w:p>
    <w:p w14:paraId="3FED1454" w14:textId="3F19DFE2" w:rsidR="00353B29" w:rsidRPr="00697C9C" w:rsidRDefault="00141CE7" w:rsidP="00697C9C">
      <w:pPr>
        <w:pStyle w:val="ListParagraph"/>
        <w:numPr>
          <w:ilvl w:val="0"/>
          <w:numId w:val="106"/>
        </w:numPr>
        <w:spacing w:after="0" w:line="278" w:lineRule="auto"/>
        <w:rPr>
          <w:rFonts w:ascii="Times New Roman" w:hAnsi="Times New Roman" w:cs="Times New Roman"/>
          <w:noProof/>
        </w:rPr>
      </w:pPr>
      <w:r>
        <w:rPr>
          <w:rFonts w:ascii="Times New Roman" w:hAnsi="Times New Roman"/>
          <w:noProof/>
        </w:rPr>
        <w:t>incoraggiare la commercializzazione dello spazio all'interno dell'UE e sostenerla attraverso appalti agili, contratti con clienti strategici e maggiori investimenti, al fine di promuovere un'economia spaziale dell'UE più dinamica;</w:t>
      </w:r>
    </w:p>
    <w:p w14:paraId="43F60B2C" w14:textId="3BD9225C" w:rsidR="007040E5" w:rsidRPr="00697C9C" w:rsidRDefault="009A12B0" w:rsidP="00697C9C">
      <w:pPr>
        <w:pStyle w:val="ListParagraph"/>
        <w:numPr>
          <w:ilvl w:val="0"/>
          <w:numId w:val="106"/>
        </w:numPr>
        <w:spacing w:after="0" w:line="278" w:lineRule="auto"/>
        <w:rPr>
          <w:rFonts w:ascii="Times New Roman" w:hAnsi="Times New Roman" w:cs="Times New Roman"/>
          <w:noProof/>
        </w:rPr>
      </w:pPr>
      <w:r>
        <w:rPr>
          <w:rFonts w:ascii="Times New Roman" w:hAnsi="Times New Roman"/>
          <w:noProof/>
        </w:rPr>
        <w:t>mantenere una forte cooperazione internazionale come priorità per garantire un ecosistema spaziale connesso e pronto per il futuro;</w:t>
      </w:r>
    </w:p>
    <w:p w14:paraId="19923536" w14:textId="3FF15CEE" w:rsidR="00832CB5" w:rsidRDefault="007040E5" w:rsidP="00697C9C">
      <w:pPr>
        <w:pStyle w:val="ListParagraph"/>
        <w:numPr>
          <w:ilvl w:val="0"/>
          <w:numId w:val="106"/>
        </w:numPr>
        <w:spacing w:after="0" w:line="278" w:lineRule="auto"/>
        <w:rPr>
          <w:rFonts w:ascii="Times New Roman" w:hAnsi="Times New Roman" w:cs="Times New Roman"/>
          <w:noProof/>
        </w:rPr>
      </w:pPr>
      <w:r>
        <w:rPr>
          <w:rFonts w:ascii="Times New Roman" w:hAnsi="Times New Roman"/>
          <w:noProof/>
        </w:rPr>
        <w:t>rafforzare la forza lavoro altamente qualificata in linea con l'Unione delle competenze</w:t>
      </w:r>
      <w:r>
        <w:rPr>
          <w:rStyle w:val="FootnoteReference"/>
          <w:rFonts w:ascii="Times New Roman" w:hAnsi="Times New Roman" w:cs="Times New Roman"/>
          <w:noProof/>
        </w:rPr>
        <w:footnoteReference w:id="16"/>
      </w:r>
      <w:r>
        <w:rPr>
          <w:rFonts w:ascii="Times New Roman" w:hAnsi="Times New Roman"/>
          <w:noProof/>
        </w:rPr>
        <w:t>, sfruttando al contempo la digitalizzazione e l'automazione per migliorare la produttività e l'efficienza.</w:t>
      </w:r>
    </w:p>
    <w:p w14:paraId="509D0B6C" w14:textId="77777777" w:rsidR="00A537BC" w:rsidRDefault="00A537BC" w:rsidP="0019012E">
      <w:pPr>
        <w:spacing w:after="0" w:line="278" w:lineRule="auto"/>
        <w:rPr>
          <w:rFonts w:ascii="Times New Roman" w:hAnsi="Times New Roman" w:cs="Times New Roman"/>
          <w:noProof/>
        </w:rPr>
      </w:pPr>
    </w:p>
    <w:p w14:paraId="7593157D" w14:textId="77777777" w:rsidR="00A537BC" w:rsidRPr="00526281" w:rsidRDefault="00A537BC" w:rsidP="00526281">
      <w:pPr>
        <w:spacing w:after="0" w:line="278" w:lineRule="auto"/>
        <w:rPr>
          <w:rFonts w:ascii="Times New Roman" w:hAnsi="Times New Roman" w:cs="Times New Roman"/>
          <w:noProof/>
        </w:rPr>
      </w:pPr>
    </w:p>
    <w:p w14:paraId="46341830" w14:textId="409EBC4D" w:rsidR="00D75E0F" w:rsidRPr="005524DB" w:rsidRDefault="00981EAC" w:rsidP="00526281">
      <w:pPr>
        <w:spacing w:before="240" w:line="278" w:lineRule="auto"/>
        <w:rPr>
          <w:rFonts w:ascii="Times New Roman" w:hAnsi="Times New Roman" w:cs="Times New Roman"/>
          <w:b/>
          <w:bCs/>
          <w:i/>
          <w:iCs/>
          <w:noProof/>
        </w:rPr>
      </w:pPr>
      <w:r>
        <w:rPr>
          <w:rFonts w:ascii="Times New Roman" w:hAnsi="Times New Roman"/>
          <w:b/>
          <w:i/>
          <w:noProof/>
        </w:rPr>
        <w:t xml:space="preserve">Elemento costitutivo I: un mercato unico per lo spazio </w:t>
      </w:r>
    </w:p>
    <w:p w14:paraId="27C38201" w14:textId="525C7614" w:rsidR="12C7C6CD" w:rsidRDefault="22EE4723" w:rsidP="008E7249">
      <w:pPr>
        <w:spacing w:after="120" w:line="278" w:lineRule="auto"/>
        <w:rPr>
          <w:rFonts w:ascii="Times New Roman" w:hAnsi="Times New Roman" w:cs="Times New Roman"/>
          <w:noProof/>
        </w:rPr>
      </w:pPr>
      <w:bookmarkStart w:id="5" w:name="_Hlk198214330"/>
      <w:r>
        <w:rPr>
          <w:rFonts w:ascii="Times New Roman" w:hAnsi="Times New Roman"/>
          <w:noProof/>
        </w:rPr>
        <w:t>Il mercato unico dell'UE per lo spazio sarà rafforzato dalla normativa dell'UE in materia di spazio, che semplificherà il quadro normativo e fornirà chiarezza alle imprese per operare all'interno del mercato unico dell'UE. In questo modo si stimolerà la crescita in relazione alla sicurezza, alla resilienza e alla sostenibilità dello spazio, il che a sua volta promuoverà l'economia spaziale. Il settore spaziale dell'UE si trova attualmente di fronte a un panorama normativo complesso e frammentato, e deve destreggiarsi tra molteplici prescrizioni nazionali nei diversi Stati membri. Sulla base delle azioni orizzontali volte a rimuovere gli ostacoli incluse nella recente strategia per il mercato unico, la normativa dell'UE in materia di spazio stabilirà un insieme comune di norme, ridurrà gli oneri amministrativi e agevolerà le operazioni transfrontaliere. Ciò consentirà agli operatori spaziali di innovare e competere più efficacemente sia nel mercato unico che nei mercati di esportazione.</w:t>
      </w:r>
    </w:p>
    <w:p w14:paraId="5EBBADF3" w14:textId="7E4F78FD" w:rsidR="0038763F" w:rsidRPr="00B86623" w:rsidRDefault="0038763F" w:rsidP="0038763F">
      <w:pPr>
        <w:spacing w:after="120" w:line="278" w:lineRule="auto"/>
        <w:rPr>
          <w:rFonts w:ascii="Times New Roman" w:eastAsia="Aptos" w:hAnsi="Times New Roman" w:cs="Times New Roman"/>
          <w:noProof/>
        </w:rPr>
      </w:pPr>
      <w:r>
        <w:rPr>
          <w:rFonts w:ascii="Times New Roman" w:hAnsi="Times New Roman"/>
          <w:noProof/>
        </w:rPr>
        <w:t>Data l'importanza strategica dell'allargamento dell'UE nel panorama geopolitico in evoluzione, l'UE dovrebbe incoraggiare attivamente la graduale integrazione dei paesi candidati nelle pertinenti politiche dell'UE. Il loro allineamento alle norme digitali, industriali e di sicurezza dell'UE li rende partner preziosi per ampliare la portata del mercato e la base di innovazione dell'UE. Consentendo la loro partecipazione ai programmi dell'UE e migliorando la cooperazione in materia di normazione e appalti, l'interoperabilità e la resilienza regionale saranno rafforzate e al contempo sarà dato impulso alla competitività e alla sicurezza dell'UE rendendo l'ecosistema spaziale europeo più ampio e più integrato.</w:t>
      </w:r>
    </w:p>
    <w:p w14:paraId="460FF7D0" w14:textId="3DA21727" w:rsidR="00970C8E" w:rsidRPr="00B86623" w:rsidRDefault="00970C8E" w:rsidP="008E7249">
      <w:pPr>
        <w:spacing w:after="120" w:line="276" w:lineRule="auto"/>
        <w:rPr>
          <w:rFonts w:ascii="Times New Roman" w:eastAsia="Times New Roman" w:hAnsi="Times New Roman" w:cs="Times New Roman"/>
          <w:noProof/>
        </w:rPr>
      </w:pPr>
      <w:bookmarkStart w:id="6" w:name="_Hlk200918228"/>
      <w:r>
        <w:rPr>
          <w:rFonts w:ascii="Times New Roman" w:hAnsi="Times New Roman"/>
          <w:noProof/>
        </w:rPr>
        <w:t>Lo spettro è una risorsa fondamentale e limitata per lo spazio. L'accesso a una quantità sufficiente di spettro è necessario per consentire ai satelliti di operare in diverse regioni, compresi i territori dell'UE e dei paesi terzi. Il mercato unico dell'UE per lo spazio sarà sostenuto dall'imminente atto legislativo sulle reti digitali, che dovrebbe garantire prescrizioni comuni per l'accesso al mercato unico dell'UE.</w:t>
      </w:r>
    </w:p>
    <w:bookmarkEnd w:id="6"/>
    <w:p w14:paraId="140A5433" w14:textId="2D4E49A6" w:rsidR="001400A6" w:rsidRPr="00B86623" w:rsidRDefault="18D50F81" w:rsidP="008E7249">
      <w:pPr>
        <w:spacing w:after="120" w:line="278" w:lineRule="auto"/>
        <w:rPr>
          <w:rFonts w:ascii="Times New Roman" w:eastAsia="Aptos" w:hAnsi="Times New Roman" w:cs="Times New Roman"/>
          <w:noProof/>
        </w:rPr>
      </w:pPr>
      <w:r>
        <w:rPr>
          <w:rFonts w:ascii="Times New Roman" w:hAnsi="Times New Roman"/>
          <w:noProof/>
        </w:rPr>
        <w:t>Per rafforzare ulteriormente l'influenza globale dell'UE, è essenziale una partecipazione attiva alle attività di pre-normazione e normazione, in particolare a livello internazionale (Organizzazione internazionale per la standardizzazione/Commissione elettrotecnica internazionale) e mondiale (consorzi privati, come il 3GPP</w:t>
      </w:r>
      <w:r>
        <w:rPr>
          <w:rStyle w:val="FootnoteReference"/>
          <w:rFonts w:ascii="Times New Roman" w:eastAsia="Aptos" w:hAnsi="Times New Roman" w:cs="Times New Roman"/>
          <w:noProof/>
        </w:rPr>
        <w:footnoteReference w:id="17"/>
      </w:r>
      <w:r>
        <w:rPr>
          <w:rFonts w:ascii="Times New Roman" w:hAnsi="Times New Roman"/>
          <w:noProof/>
        </w:rPr>
        <w:t>), e il monitoraggio di tali attività. Le principali economie di paesi terzi (in particolare gli Stati Uniti e la Cina) sperimentano da tempo un legame intrinseco tra la normazione tecnica, da un lato, e il loro sviluppo economico e le loro ambizioni geopolitiche</w:t>
      </w:r>
      <w:r>
        <w:rPr>
          <w:rStyle w:val="FootnoteReference"/>
          <w:rFonts w:ascii="Times New Roman" w:eastAsia="Aptos" w:hAnsi="Times New Roman" w:cs="Times New Roman"/>
          <w:noProof/>
        </w:rPr>
        <w:footnoteReference w:id="18"/>
      </w:r>
      <w:r>
        <w:rPr>
          <w:rFonts w:ascii="Times New Roman" w:hAnsi="Times New Roman"/>
          <w:noProof/>
        </w:rPr>
        <w:t xml:space="preserve">, dall'altro. </w:t>
      </w:r>
    </w:p>
    <w:p w14:paraId="4DF50EBC" w14:textId="5EECDF9E" w:rsidR="001400A6" w:rsidRPr="00B86623" w:rsidRDefault="18D50F81" w:rsidP="008E7249">
      <w:pPr>
        <w:spacing w:after="120" w:line="278" w:lineRule="auto"/>
        <w:rPr>
          <w:rFonts w:ascii="Times New Roman" w:hAnsi="Times New Roman" w:cs="Times New Roman"/>
          <w:noProof/>
        </w:rPr>
      </w:pPr>
      <w:r>
        <w:rPr>
          <w:rFonts w:ascii="Times New Roman" w:hAnsi="Times New Roman"/>
          <w:noProof/>
        </w:rPr>
        <w:t>Anche l'UE ha adottato questo approccio attraverso la rinnovata strategia in materia di normazione</w:t>
      </w:r>
      <w:r>
        <w:rPr>
          <w:rStyle w:val="FootnoteReference"/>
          <w:rFonts w:ascii="Times New Roman" w:eastAsia="Aptos" w:hAnsi="Times New Roman" w:cs="Times New Roman"/>
          <w:noProof/>
        </w:rPr>
        <w:footnoteReference w:id="19"/>
      </w:r>
      <w:r>
        <w:rPr>
          <w:rFonts w:ascii="Times New Roman" w:hAnsi="Times New Roman"/>
          <w:noProof/>
        </w:rPr>
        <w:t>, con una revisione annunciata nell'ambito della strategia per il mercato unico. Il settore spaziale dell'UE trarrà vantaggio dal coinvolgimento delle organizzazioni che svolgono attività di ricerca e dal rafforzamento del legame tra ricerca, innovazione e normazione</w:t>
      </w:r>
      <w:r>
        <w:rPr>
          <w:rStyle w:val="FootnoteReference"/>
          <w:rFonts w:ascii="Times New Roman" w:eastAsia="Aptos" w:hAnsi="Times New Roman" w:cs="Times New Roman"/>
          <w:noProof/>
        </w:rPr>
        <w:footnoteReference w:id="20"/>
      </w:r>
      <w:r>
        <w:rPr>
          <w:rFonts w:ascii="Times New Roman" w:hAnsi="Times New Roman"/>
          <w:noProof/>
        </w:rPr>
        <w:t xml:space="preserve">. Il fulcro del lavoro in questo settore dovrebbe essere la semplificazione delle prescrizioni e la normazione: l'integrazione di normazione, interoperabilità, regolamenti e protocolli di sicurezza che fornisca alle imprese chiarezza, certezza del diritto e prevedibilità per operare all'interno di tale settore. </w:t>
      </w:r>
    </w:p>
    <w:p w14:paraId="6B38D456" w14:textId="6A632586" w:rsidR="00E84D13" w:rsidRPr="00B86623" w:rsidRDefault="00AE18DF" w:rsidP="008E7249">
      <w:pPr>
        <w:spacing w:after="120" w:line="278" w:lineRule="auto"/>
        <w:rPr>
          <w:rFonts w:ascii="Times New Roman" w:eastAsia="Aptos" w:hAnsi="Times New Roman" w:cs="Times New Roman"/>
          <w:noProof/>
        </w:rPr>
      </w:pPr>
      <w:r>
        <w:rPr>
          <w:rFonts w:ascii="Times New Roman" w:hAnsi="Times New Roman"/>
          <w:noProof/>
        </w:rPr>
        <w:t xml:space="preserve">Il ruolo attivo dell'UE nella definizione delle norme (in coordinamento con gli Stati membri dell'UE e i loro organismi nazionali di normazione) contribuisce a proiettare le norme dell'UE a livello mondiale, promuovendo in tal modo gli interessi e i valori dell'UE e di riflesso rafforzando la competitività dell'UE a livello mondiale. </w:t>
      </w:r>
    </w:p>
    <w:p w14:paraId="32E04D47" w14:textId="404B97A7" w:rsidR="00DD7879" w:rsidRDefault="69E707D6" w:rsidP="008E7249">
      <w:pPr>
        <w:spacing w:after="120" w:line="278" w:lineRule="auto"/>
        <w:rPr>
          <w:rFonts w:ascii="Times New Roman" w:hAnsi="Times New Roman" w:cs="Times New Roman"/>
          <w:noProof/>
        </w:rPr>
      </w:pPr>
      <w:r>
        <w:rPr>
          <w:rFonts w:ascii="Times New Roman" w:hAnsi="Times New Roman"/>
          <w:noProof/>
        </w:rPr>
        <w:t>In linea con l'impegno dell'UE a favore di una produzione sostenibile e resiliente in Europa, come stabilito nel patto per l'industria pulita</w:t>
      </w:r>
      <w:r>
        <w:rPr>
          <w:rStyle w:val="FootnoteReference"/>
          <w:rFonts w:ascii="Times New Roman" w:hAnsi="Times New Roman" w:cs="Times New Roman"/>
          <w:noProof/>
        </w:rPr>
        <w:footnoteReference w:id="21"/>
      </w:r>
      <w:r>
        <w:rPr>
          <w:rFonts w:ascii="Times New Roman" w:hAnsi="Times New Roman"/>
          <w:noProof/>
        </w:rPr>
        <w:t xml:space="preserve">, la sostenibilità e la riutilizzabilità saranno fondamentali per questo approccio a lungo termine, promuovendo un'economia spaziale circolare e lo sviluppo di sistemi ecoefficienti che abbassano i costi, riducono l'impatto ambientale e migliorano la produttività. </w:t>
      </w:r>
    </w:p>
    <w:p w14:paraId="2C22A2A0" w14:textId="6B1C2C67" w:rsidR="00B751CB" w:rsidRPr="00B86623" w:rsidRDefault="69E707D6" w:rsidP="008E7249">
      <w:pPr>
        <w:spacing w:after="120" w:line="278" w:lineRule="auto"/>
        <w:rPr>
          <w:rFonts w:ascii="Times New Roman" w:hAnsi="Times New Roman" w:cs="Times New Roman"/>
          <w:noProof/>
        </w:rPr>
      </w:pPr>
      <w:r>
        <w:rPr>
          <w:rFonts w:ascii="Times New Roman" w:hAnsi="Times New Roman"/>
          <w:noProof/>
        </w:rPr>
        <w:t xml:space="preserve">L'UE dovrebbe attuare un approccio coordinato alla spesa pubblica, aggregando la domanda e gli investimenti per realizzare economie di scala e rafforzare la sua autonomia, sicurezza e resilienza nello spazio. Ciò consentirebbe al mercato unico dell'UE per lo spazio di ridurre efficacemente la frammentazione, promuovere una cultura dell'innovazione e garantire che le soluzioni più competitive e all'avanguardia siano sviluppate e immesse sul mercato, apportando così in ultima analisi benefici molto tangibili ai cittadini e alla società dell'UE. </w:t>
      </w:r>
    </w:p>
    <w:p w14:paraId="667376C5" w14:textId="74BAA784" w:rsidR="00E84D13" w:rsidRDefault="00EF5FBC" w:rsidP="008E7249">
      <w:pPr>
        <w:spacing w:after="120" w:line="278" w:lineRule="auto"/>
        <w:rPr>
          <w:rFonts w:ascii="Times New Roman" w:hAnsi="Times New Roman" w:cs="Times New Roman"/>
          <w:noProof/>
        </w:rPr>
      </w:pPr>
      <w:r>
        <w:rPr>
          <w:rFonts w:ascii="Times New Roman" w:hAnsi="Times New Roman"/>
          <w:noProof/>
        </w:rPr>
        <w:t>La Commissione collaborerà con gli Stati membri a livello di esperti e con gli attori del mercato presenti sul lato dell'offerta e della domanda di infrastrutture e servizi spaziali sulle modalità migliori per incoraggiare gli investimenti congiunti nelle tecnologie spaziali dell'UE, ridurre la duplicazione dei progetti e delle spese e promuovere sviluppi tecnologici più incisivi che apportino benefici a tutti i cittadini dell'UE. Ciò dovrebbe essere integrato da un aumento significativo della domanda e dei contratti con clienti strategici (anche per le piccole e grandi imprese), con il sostegno agli sviluppi a monte e a valle evitando nel contempo distorsioni della concorrenza.</w:t>
      </w:r>
    </w:p>
    <w:p w14:paraId="7ED10EB6" w14:textId="4CA805B3" w:rsidR="005112EE" w:rsidRDefault="005112EE" w:rsidP="00526281">
      <w:pPr>
        <w:spacing w:after="240" w:line="278" w:lineRule="auto"/>
        <w:rPr>
          <w:rFonts w:ascii="Times New Roman" w:hAnsi="Times New Roman" w:cs="Times New Roman"/>
          <w:noProof/>
        </w:rPr>
      </w:pPr>
      <w:r>
        <w:rPr>
          <w:rFonts w:ascii="Times New Roman" w:hAnsi="Times New Roman"/>
          <w:noProof/>
        </w:rPr>
        <w:t>La realizzazione di un modello favorevole alle imprese e all'innovazione dovrebbe essere sostenuta a livello europeo, regionale e nazionale mediante iniziative quali poli spaziali che riuniscano i settori spaziale e digitale con altri settori, così come gli utenti. Tali poli spaziali dovrebbero mirare a promuovere l'imprenditorialità e le competenze, perseguendo nel contempo le sinergie con i poli di innovazione digitale. Per stimolare la domanda pubblica e l'innovazione nel settore pubblico, l'UE dovrebbe promuovere l'utilizzo di dati, informazioni e servizi provenienti dai sistemi spaziali dell'UE per sostenere lo sviluppo di soluzioni personalizzate da parte dell'industria e delle PMI a livello regionale e locale attraverso partenariati per l'innovazione spaziale.</w:t>
      </w:r>
    </w:p>
    <w:tbl>
      <w:tblPr>
        <w:tblStyle w:val="ListTable3-Accent1"/>
        <w:tblW w:w="9014" w:type="dxa"/>
        <w:tblBorders>
          <w:insideH w:val="single" w:sz="4" w:space="0" w:color="156082" w:themeColor="accent1"/>
          <w:insideV w:val="single" w:sz="4" w:space="0" w:color="156082" w:themeColor="accent1"/>
        </w:tblBorders>
        <w:tblLook w:val="04A0" w:firstRow="1" w:lastRow="0" w:firstColumn="1" w:lastColumn="0" w:noHBand="0" w:noVBand="1"/>
      </w:tblPr>
      <w:tblGrid>
        <w:gridCol w:w="9014"/>
      </w:tblGrid>
      <w:tr w:rsidR="00F749BD" w:rsidRPr="00B86623" w14:paraId="680A049A" w14:textId="77777777" w:rsidTr="00EF43BA">
        <w:trPr>
          <w:cnfStyle w:val="100000000000" w:firstRow="1" w:lastRow="0" w:firstColumn="0" w:lastColumn="0" w:oddVBand="0" w:evenVBand="0" w:oddHBand="0" w:evenHBand="0" w:firstRowFirstColumn="0" w:firstRowLastColumn="0" w:lastRowFirstColumn="0" w:lastRowLastColumn="0"/>
          <w:trHeight w:val="273"/>
        </w:trPr>
        <w:tc>
          <w:tcPr>
            <w:cnfStyle w:val="001000000100" w:firstRow="0" w:lastRow="0" w:firstColumn="1" w:lastColumn="0" w:oddVBand="0" w:evenVBand="0" w:oddHBand="0" w:evenHBand="0" w:firstRowFirstColumn="1" w:firstRowLastColumn="0" w:lastRowFirstColumn="0" w:lastRowLastColumn="0"/>
            <w:tcW w:w="9014" w:type="dxa"/>
            <w:tcBorders>
              <w:bottom w:val="none" w:sz="0" w:space="0" w:color="auto"/>
              <w:right w:val="none" w:sz="0" w:space="0" w:color="auto"/>
            </w:tcBorders>
            <w:vAlign w:val="center"/>
          </w:tcPr>
          <w:p w14:paraId="0E4AD640" w14:textId="277101E6" w:rsidR="00543D8D" w:rsidRPr="00B86623" w:rsidRDefault="00543D8D" w:rsidP="00D04117">
            <w:pPr>
              <w:spacing w:line="278" w:lineRule="auto"/>
              <w:jc w:val="left"/>
              <w:rPr>
                <w:rFonts w:ascii="Times New Roman" w:hAnsi="Times New Roman" w:cs="Times New Roman"/>
                <w:noProof/>
              </w:rPr>
            </w:pPr>
            <w:r>
              <w:rPr>
                <w:rFonts w:ascii="Times New Roman" w:hAnsi="Times New Roman"/>
                <w:noProof/>
              </w:rPr>
              <w:t>Azioni previste 1</w:t>
            </w:r>
          </w:p>
        </w:tc>
      </w:tr>
      <w:tr w:rsidR="00F749BD" w:rsidRPr="00B86623" w14:paraId="595C4325" w14:textId="77777777" w:rsidTr="00EF43BA">
        <w:trPr>
          <w:cnfStyle w:val="000000100000" w:firstRow="0" w:lastRow="0" w:firstColumn="0" w:lastColumn="0" w:oddVBand="0" w:evenVBand="0" w:oddHBand="1" w:evenHBand="0"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9014" w:type="dxa"/>
            <w:tcBorders>
              <w:top w:val="none" w:sz="0" w:space="0" w:color="auto"/>
              <w:bottom w:val="none" w:sz="0" w:space="0" w:color="auto"/>
              <w:right w:val="none" w:sz="0" w:space="0" w:color="auto"/>
            </w:tcBorders>
            <w:vAlign w:val="center"/>
          </w:tcPr>
          <w:p w14:paraId="530747D9" w14:textId="5707C4C2" w:rsidR="00543633" w:rsidRPr="002F5B0E" w:rsidRDefault="005F1DF7" w:rsidP="001758E7">
            <w:pPr>
              <w:spacing w:line="278" w:lineRule="auto"/>
              <w:rPr>
                <w:rFonts w:ascii="Times New Roman" w:hAnsi="Times New Roman" w:cs="Times New Roman"/>
                <w:b w:val="0"/>
                <w:bCs w:val="0"/>
                <w:noProof/>
              </w:rPr>
            </w:pPr>
            <w:r>
              <w:rPr>
                <w:rFonts w:ascii="Times New Roman" w:hAnsi="Times New Roman"/>
                <w:b w:val="0"/>
                <w:noProof/>
              </w:rPr>
              <w:t xml:space="preserve">Basandosi sui processi di normazione europei e nazionali esistenti, la Commissione promuoverà lo sviluppo di specifiche tecniche riguardanti le varie dimensioni dell'economia spaziale e la loro adozione come norme dell'UE da parte degli organismi competenti.  </w:t>
            </w:r>
          </w:p>
        </w:tc>
      </w:tr>
      <w:tr w:rsidR="00F749BD" w:rsidRPr="00B86623" w14:paraId="175A188D" w14:textId="37140877" w:rsidTr="00EF43BA">
        <w:trPr>
          <w:trHeight w:val="287"/>
        </w:trPr>
        <w:tc>
          <w:tcPr>
            <w:cnfStyle w:val="001000000000" w:firstRow="0" w:lastRow="0" w:firstColumn="1" w:lastColumn="0" w:oddVBand="0" w:evenVBand="0" w:oddHBand="0" w:evenHBand="0" w:firstRowFirstColumn="0" w:firstRowLastColumn="0" w:lastRowFirstColumn="0" w:lastRowLastColumn="0"/>
            <w:tcW w:w="9014" w:type="dxa"/>
            <w:tcBorders>
              <w:right w:val="none" w:sz="0" w:space="0" w:color="auto"/>
            </w:tcBorders>
            <w:vAlign w:val="center"/>
          </w:tcPr>
          <w:p w14:paraId="77CE64F8" w14:textId="7DF83763" w:rsidR="008F19E3" w:rsidRPr="002F5B0E" w:rsidRDefault="008F19E3" w:rsidP="001758E7">
            <w:pPr>
              <w:spacing w:line="278" w:lineRule="auto"/>
              <w:rPr>
                <w:rFonts w:ascii="Times New Roman" w:hAnsi="Times New Roman" w:cs="Times New Roman"/>
                <w:b w:val="0"/>
                <w:bCs w:val="0"/>
                <w:noProof/>
              </w:rPr>
            </w:pPr>
            <w:r>
              <w:rPr>
                <w:rFonts w:ascii="Times New Roman" w:hAnsi="Times New Roman"/>
                <w:b w:val="0"/>
                <w:noProof/>
              </w:rPr>
              <w:t xml:space="preserve">Per rafforzare l'economia spaziale, la Commissione, attraverso la normativa dell'UE in materia di spazio, intende: </w:t>
            </w:r>
          </w:p>
          <w:p w14:paraId="54139E55" w14:textId="2EB4D6A0" w:rsidR="005F1DF7" w:rsidRPr="002F5B0E" w:rsidRDefault="005F1DF7" w:rsidP="006E7AC2">
            <w:pPr>
              <w:spacing w:line="278" w:lineRule="auto"/>
              <w:ind w:left="164" w:hanging="142"/>
              <w:rPr>
                <w:rFonts w:ascii="Times New Roman" w:hAnsi="Times New Roman" w:cs="Times New Roman"/>
                <w:b w:val="0"/>
                <w:bCs w:val="0"/>
                <w:noProof/>
              </w:rPr>
            </w:pPr>
            <w:r>
              <w:rPr>
                <w:rFonts w:ascii="Times New Roman" w:hAnsi="Times New Roman"/>
                <w:b w:val="0"/>
                <w:noProof/>
              </w:rPr>
              <w:t>- incaricare all'Agenzia dell'UE per il programma spaziale (EUSPA) e concordare con l'Agenzia spaziale europea (ESA) l'elaborazione di un piano per garantire procedure di mercato interno senza soluzione di continuità;</w:t>
            </w:r>
          </w:p>
          <w:p w14:paraId="3E96537F" w14:textId="778AF8F8" w:rsidR="008F19E3" w:rsidRPr="002F5B0E" w:rsidRDefault="008F19E3" w:rsidP="006E7AC2">
            <w:pPr>
              <w:spacing w:line="278" w:lineRule="auto"/>
              <w:ind w:left="164" w:hanging="142"/>
              <w:rPr>
                <w:rFonts w:ascii="Times New Roman" w:hAnsi="Times New Roman" w:cs="Times New Roman"/>
                <w:b w:val="0"/>
                <w:bCs w:val="0"/>
                <w:noProof/>
              </w:rPr>
            </w:pPr>
            <w:r>
              <w:rPr>
                <w:rFonts w:ascii="Times New Roman" w:hAnsi="Times New Roman"/>
                <w:b w:val="0"/>
                <w:noProof/>
              </w:rPr>
              <w:t>- proporre misure di sostegno volte ad assistere gli operatori spaziali nel conformarsi alle norme dell'UE e ad agevolare lo sviluppo delle capacità in ambito tecnologico;</w:t>
            </w:r>
          </w:p>
          <w:p w14:paraId="2A7DB62A" w14:textId="42506E3D" w:rsidR="4C5E3ED3" w:rsidRPr="002F5B0E" w:rsidRDefault="008F19E3" w:rsidP="006E7AC2">
            <w:pPr>
              <w:spacing w:line="278" w:lineRule="auto"/>
              <w:ind w:left="164" w:hanging="142"/>
              <w:rPr>
                <w:rFonts w:ascii="Times New Roman" w:hAnsi="Times New Roman" w:cs="Times New Roman"/>
                <w:b w:val="0"/>
                <w:bCs w:val="0"/>
                <w:noProof/>
              </w:rPr>
            </w:pPr>
            <w:r>
              <w:rPr>
                <w:rFonts w:ascii="Times New Roman" w:hAnsi="Times New Roman"/>
                <w:b w:val="0"/>
                <w:noProof/>
              </w:rPr>
              <w:t>- sostenere lo sviluppo e la diffusione sul mercato di nuovi servizi di gestione del traffico spaziale all'interno dell'UE e nei mercati di esportazione;</w:t>
            </w:r>
          </w:p>
          <w:p w14:paraId="5844C84B" w14:textId="01548CAE" w:rsidR="008F19E3" w:rsidRPr="002F5B0E" w:rsidRDefault="008F19E3" w:rsidP="006E7AC2">
            <w:pPr>
              <w:spacing w:line="278" w:lineRule="auto"/>
              <w:ind w:left="164" w:hanging="142"/>
              <w:rPr>
                <w:rFonts w:ascii="Times New Roman" w:hAnsi="Times New Roman" w:cs="Times New Roman"/>
                <w:b w:val="0"/>
                <w:bCs w:val="0"/>
                <w:noProof/>
              </w:rPr>
            </w:pPr>
            <w:r>
              <w:rPr>
                <w:rFonts w:ascii="Times New Roman" w:hAnsi="Times New Roman"/>
                <w:b w:val="0"/>
                <w:noProof/>
              </w:rPr>
              <w:t>- perseguire il riconoscimento reciproco e l'equivalenza delle norme e delle valutazioni tecniche con i paesi terzi.</w:t>
            </w:r>
          </w:p>
        </w:tc>
      </w:tr>
    </w:tbl>
    <w:bookmarkEnd w:id="5"/>
    <w:p w14:paraId="4FD8CD26" w14:textId="39927F84" w:rsidR="001032E7" w:rsidRPr="00526281" w:rsidRDefault="00981EAC" w:rsidP="00526281">
      <w:pPr>
        <w:spacing w:before="240" w:line="278" w:lineRule="auto"/>
        <w:rPr>
          <w:rFonts w:ascii="Times New Roman" w:hAnsi="Times New Roman" w:cs="Times New Roman"/>
          <w:b/>
          <w:bCs/>
          <w:i/>
          <w:iCs/>
          <w:noProof/>
        </w:rPr>
      </w:pPr>
      <w:r>
        <w:rPr>
          <w:rFonts w:ascii="Times New Roman" w:hAnsi="Times New Roman"/>
          <w:b/>
          <w:i/>
          <w:noProof/>
        </w:rPr>
        <w:t xml:space="preserve">Elemento costitutivo II: accelerare la ricerca e l'innovazione </w:t>
      </w:r>
    </w:p>
    <w:p w14:paraId="21E5A3D3" w14:textId="714EFBFA" w:rsidR="00E10656" w:rsidRDefault="39C4D4CE" w:rsidP="000B738C">
      <w:pPr>
        <w:spacing w:line="278" w:lineRule="auto"/>
        <w:rPr>
          <w:rFonts w:ascii="Times New Roman" w:hAnsi="Times New Roman" w:cs="Times New Roman"/>
          <w:noProof/>
        </w:rPr>
      </w:pPr>
      <w:r>
        <w:rPr>
          <w:rFonts w:ascii="Times New Roman" w:hAnsi="Times New Roman"/>
          <w:noProof/>
        </w:rPr>
        <w:t>L'accelerazione della ricerca e dell'innovazione</w:t>
      </w:r>
      <w:r>
        <w:rPr>
          <w:rFonts w:ascii="Times New Roman" w:hAnsi="Times New Roman"/>
          <w:b/>
          <w:noProof/>
        </w:rPr>
        <w:t xml:space="preserve"> </w:t>
      </w:r>
      <w:r>
        <w:rPr>
          <w:rFonts w:ascii="Times New Roman" w:hAnsi="Times New Roman"/>
          <w:noProof/>
        </w:rPr>
        <w:t>(R&amp;I) è essenziale per promuovere lo sviluppo di nuove tecnologie, servizi e applicazioni spaziali, al fine di garantire la competitività e l'autonomia dell'UE nel settore spaziale. I rapidi sviluppi negli Stati Uniti e in Cina hanno comportato perdite significative di quote di mercato in settori chiave quali il trasporto spaziale, le telecomunicazioni e le soluzioni di cloud satellitare</w:t>
      </w:r>
      <w:r>
        <w:rPr>
          <w:rStyle w:val="FootnoteReference"/>
          <w:rFonts w:ascii="Times New Roman" w:hAnsi="Times New Roman" w:cs="Times New Roman"/>
          <w:noProof/>
        </w:rPr>
        <w:footnoteReference w:id="22"/>
      </w:r>
      <w:r>
        <w:rPr>
          <w:rFonts w:ascii="Times New Roman" w:hAnsi="Times New Roman"/>
          <w:noProof/>
        </w:rPr>
        <w:t xml:space="preserve">. Inoltre il ritmo serrato al quale le potenze spaziali mondiali stanno avanzando in settori emergenti quali la manutenzione in orbita, l'uso avanzato della robotica, l'intelligenza artificiale e le tecnologie quantistiche potrebbe determinare un ritardo dell'UE. </w:t>
      </w:r>
    </w:p>
    <w:p w14:paraId="1D746C48" w14:textId="504AB185" w:rsidR="003370F3" w:rsidRPr="00B86623" w:rsidRDefault="00701CAF" w:rsidP="000B738C">
      <w:pPr>
        <w:spacing w:after="120" w:line="278" w:lineRule="auto"/>
        <w:rPr>
          <w:rFonts w:ascii="Times New Roman" w:hAnsi="Times New Roman" w:cs="Times New Roman"/>
          <w:noProof/>
        </w:rPr>
      </w:pPr>
      <w:r>
        <w:rPr>
          <w:rFonts w:ascii="Times New Roman" w:hAnsi="Times New Roman"/>
          <w:noProof/>
        </w:rPr>
        <w:t xml:space="preserve">L'UE dovrebbe pertanto attingere alla vasta gamma di tecnologie innovative dei suoi Stati membri e promuovere maggiori sinergie tra lo spazio, da un lato, e la difesa e altre industrie, dall'altro. È necessario un approccio più ambizioso alla R&amp;I per convertire le innovazioni in capacità di prossima generazione e rafforzare la competitività industriale dell'UE nei mercati commerciali globali. Tale approccio dovrebbe combinare iniziative mirate e dall'alto verso il basso con strumenti aperti e dal basso verso l'alto, utilizzando una serie di strumenti e modelli di finanziamento, quali sovvenzioni, investimenti, appalti e premi. Dovrebbero essere esplorati anche meccanismi di partenariato con attori pubblici e privati, in linea con i principi del diritto della concorrenza. </w:t>
      </w:r>
    </w:p>
    <w:p w14:paraId="347020AA" w14:textId="5AEFF6A1" w:rsidR="00B751CB" w:rsidRPr="00B86623" w:rsidRDefault="00B751CB" w:rsidP="7DA43A84">
      <w:pPr>
        <w:spacing w:line="278" w:lineRule="auto"/>
        <w:rPr>
          <w:rFonts w:ascii="Times New Roman" w:hAnsi="Times New Roman" w:cs="Times New Roman"/>
          <w:noProof/>
        </w:rPr>
      </w:pPr>
      <w:r>
        <w:rPr>
          <w:rFonts w:ascii="Times New Roman" w:hAnsi="Times New Roman"/>
          <w:noProof/>
        </w:rPr>
        <w:t xml:space="preserve">L'obiettivo principale è garantire l'autonomia nella prossima generazione di capacità e servizi spaziali. L'attenzione sarà rivolta alla promozione dell'introduzione sul mercato di tecnologie dirompenti, tra cui, a titolo esemplificativo ma non esaustivo, le tecnologie quantistiche, l'intelligenza artificiale, l'apprendimento automatico, la blockchain, il 5G e il 6G, l'internet delle cose, la connettività </w:t>
      </w:r>
      <w:r>
        <w:rPr>
          <w:rFonts w:ascii="Times New Roman" w:hAnsi="Times New Roman"/>
          <w:i/>
          <w:iCs/>
          <w:noProof/>
        </w:rPr>
        <w:t>direct-to-device</w:t>
      </w:r>
      <w:r>
        <w:rPr>
          <w:rFonts w:ascii="Times New Roman" w:hAnsi="Times New Roman"/>
          <w:noProof/>
        </w:rPr>
        <w:t>, le operazioni e i servizi nello spazio e le capacità di lancio.</w:t>
      </w:r>
    </w:p>
    <w:p w14:paraId="29D9135D" w14:textId="470F8B4F" w:rsidR="0035124A" w:rsidRDefault="7353A50C" w:rsidP="00526281">
      <w:pPr>
        <w:spacing w:after="240" w:line="278" w:lineRule="auto"/>
        <w:rPr>
          <w:rFonts w:ascii="Times New Roman" w:hAnsi="Times New Roman" w:cs="Times New Roman"/>
          <w:noProof/>
        </w:rPr>
      </w:pPr>
      <w:r>
        <w:rPr>
          <w:rFonts w:ascii="Times New Roman" w:hAnsi="Times New Roman"/>
          <w:noProof/>
        </w:rPr>
        <w:t>Inoltre un quadro di collaborazione rafforzato, compresa la messa in comune delle risorse, è essenziale per agevolare l'interazione e la condivisione delle conoscenze senza soluzione di continuità tra i diversi portatori di interessi del settore spaziale dell'UE. Tale quadro dovrebbe promuovere una cooperazione più stretta tra le autorità pubbliche, le agenzie, l'industria, il mondo accademico e gli istituti di ricerca, consentendo loro di condividere le proprie competenze, risorse e capacità</w:t>
      </w:r>
      <w:r>
        <w:rPr>
          <w:rStyle w:val="FootnoteReference"/>
          <w:rFonts w:ascii="Times New Roman" w:hAnsi="Times New Roman" w:cs="Times New Roman"/>
          <w:noProof/>
        </w:rPr>
        <w:footnoteReference w:id="23"/>
      </w:r>
      <w:r>
        <w:rPr>
          <w:rFonts w:ascii="Times New Roman" w:hAnsi="Times New Roman"/>
          <w:noProof/>
        </w:rPr>
        <w:t>.</w:t>
      </w:r>
    </w:p>
    <w:tbl>
      <w:tblPr>
        <w:tblStyle w:val="ListTable3-Accent1"/>
        <w:tblW w:w="0" w:type="auto"/>
        <w:tblBorders>
          <w:insideH w:val="single" w:sz="4" w:space="0" w:color="156082" w:themeColor="accent1"/>
          <w:insideV w:val="single" w:sz="4" w:space="0" w:color="156082" w:themeColor="accent1"/>
        </w:tblBorders>
        <w:tblLook w:val="04A0" w:firstRow="1" w:lastRow="0" w:firstColumn="1" w:lastColumn="0" w:noHBand="0" w:noVBand="1"/>
      </w:tblPr>
      <w:tblGrid>
        <w:gridCol w:w="9016"/>
      </w:tblGrid>
      <w:tr w:rsidR="00F749BD" w:rsidRPr="00B86623" w14:paraId="1149EA4E" w14:textId="77777777" w:rsidTr="00B30AE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7A43ACD2" w14:textId="623E44D3" w:rsidR="00CD1F34" w:rsidRPr="00B86623" w:rsidRDefault="00CD1F34" w:rsidP="00E0129C">
            <w:pPr>
              <w:spacing w:line="278" w:lineRule="auto"/>
              <w:rPr>
                <w:rFonts w:ascii="Times New Roman" w:hAnsi="Times New Roman" w:cs="Times New Roman"/>
                <w:noProof/>
              </w:rPr>
            </w:pPr>
            <w:r>
              <w:rPr>
                <w:rFonts w:ascii="Times New Roman" w:hAnsi="Times New Roman"/>
                <w:noProof/>
              </w:rPr>
              <w:t>Azioni previste 2</w:t>
            </w:r>
          </w:p>
        </w:tc>
      </w:tr>
      <w:tr w:rsidR="00F749BD" w:rsidRPr="00B86623" w14:paraId="589BB864" w14:textId="77777777" w:rsidTr="00B30A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16272F9D" w14:textId="18FFA210" w:rsidR="001800D1" w:rsidRPr="00B30AE6" w:rsidRDefault="001800D1" w:rsidP="007F0DE4">
            <w:pPr>
              <w:spacing w:line="278" w:lineRule="auto"/>
              <w:rPr>
                <w:rFonts w:ascii="Times New Roman" w:hAnsi="Times New Roman" w:cs="Times New Roman"/>
                <w:b w:val="0"/>
                <w:bCs w:val="0"/>
                <w:noProof/>
              </w:rPr>
            </w:pPr>
            <w:r>
              <w:rPr>
                <w:rFonts w:ascii="Times New Roman" w:hAnsi="Times New Roman"/>
                <w:b w:val="0"/>
                <w:noProof/>
              </w:rPr>
              <w:t>Nel contesto del prossimo programma quadro dell'UE in materia di R&amp;I, la Commissione proporrà di:</w:t>
            </w:r>
          </w:p>
          <w:p w14:paraId="068AD015" w14:textId="7445560E" w:rsidR="001800D1" w:rsidRPr="00AB64E1" w:rsidRDefault="00AB64E1" w:rsidP="006E7AC2">
            <w:pPr>
              <w:spacing w:line="278" w:lineRule="auto"/>
              <w:ind w:left="164" w:hanging="164"/>
              <w:rPr>
                <w:rFonts w:ascii="Times New Roman" w:hAnsi="Times New Roman" w:cs="Times New Roman"/>
                <w:b w:val="0"/>
                <w:bCs w:val="0"/>
                <w:noProof/>
              </w:rPr>
            </w:pPr>
            <w:r>
              <w:rPr>
                <w:rFonts w:ascii="Times New Roman" w:hAnsi="Times New Roman"/>
                <w:b w:val="0"/>
                <w:noProof/>
              </w:rPr>
              <w:t>- rafforzare il sostegno alla R&amp;I nel settore spaziale nelle diverse parti, sulla base, fra l'altro, di un'agenda strategica di ricerca e innovazione aggiornata;</w:t>
            </w:r>
          </w:p>
          <w:p w14:paraId="59D19706" w14:textId="2CB98429" w:rsidR="002D1708" w:rsidRPr="00AB64E1" w:rsidRDefault="00AB64E1" w:rsidP="006E7AC2">
            <w:pPr>
              <w:spacing w:line="278" w:lineRule="auto"/>
              <w:ind w:left="164" w:hanging="164"/>
              <w:rPr>
                <w:rFonts w:ascii="Times New Roman" w:hAnsi="Times New Roman" w:cs="Times New Roman"/>
                <w:noProof/>
              </w:rPr>
            </w:pPr>
            <w:r>
              <w:rPr>
                <w:rFonts w:ascii="Times New Roman" w:hAnsi="Times New Roman"/>
                <w:b w:val="0"/>
                <w:noProof/>
              </w:rPr>
              <w:t>- rafforzare il partenariato dedicato alla R&amp;I nel settore spaziale per sostenere lo sviluppo, gli appalti e la diffusione di tecnologie spaziali innovative lungo tutta la catena del valore dello spazio.</w:t>
            </w:r>
          </w:p>
        </w:tc>
      </w:tr>
      <w:tr w:rsidR="00F749BD" w:rsidRPr="00B86623" w14:paraId="2157A59F" w14:textId="77777777" w:rsidTr="00B30AE6">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75108F0A" w14:textId="4FC5007D" w:rsidR="00E55F65" w:rsidRPr="00B30AE6" w:rsidRDefault="00E55F65" w:rsidP="007F0DE4">
            <w:pPr>
              <w:spacing w:line="278" w:lineRule="auto"/>
              <w:rPr>
                <w:rFonts w:ascii="Times New Roman" w:hAnsi="Times New Roman" w:cs="Times New Roman"/>
                <w:b w:val="0"/>
                <w:bCs w:val="0"/>
                <w:noProof/>
              </w:rPr>
            </w:pPr>
            <w:r>
              <w:rPr>
                <w:rFonts w:ascii="Times New Roman" w:hAnsi="Times New Roman"/>
                <w:b w:val="0"/>
                <w:noProof/>
              </w:rPr>
              <w:t>La Commissione si avvarrà di tabelle di marcia e di un'agenda strategica di ricerca e innovazione aggiornata per:</w:t>
            </w:r>
          </w:p>
          <w:p w14:paraId="697C41A4" w14:textId="1850B1DC" w:rsidR="00E55F65" w:rsidRPr="00B30AE6" w:rsidRDefault="00E55F65" w:rsidP="006E7AC2">
            <w:pPr>
              <w:spacing w:line="278" w:lineRule="auto"/>
              <w:ind w:left="164" w:hanging="164"/>
              <w:rPr>
                <w:rFonts w:ascii="Times New Roman" w:hAnsi="Times New Roman" w:cs="Times New Roman"/>
                <w:b w:val="0"/>
                <w:bCs w:val="0"/>
                <w:noProof/>
              </w:rPr>
            </w:pPr>
            <w:r>
              <w:rPr>
                <w:rFonts w:ascii="Times New Roman" w:hAnsi="Times New Roman"/>
                <w:b w:val="0"/>
                <w:noProof/>
              </w:rPr>
              <w:t>- includere sinergie in materia di R&amp;I nel settore della difesa spaziale al fine di rafforzare la sicurezza e la resilienza delle infrastrutture, dei sistemi e dei servizi satellitari e spaziali dell'UE e ridurre l'eccessiva dipendenza dalle capacità spaziali dei paesi terzi;</w:t>
            </w:r>
          </w:p>
          <w:p w14:paraId="6E5A82C5" w14:textId="4FCC4B67" w:rsidR="003C0D9F" w:rsidRPr="00B30AE6" w:rsidRDefault="00E55F65" w:rsidP="006E7AC2">
            <w:pPr>
              <w:spacing w:line="278" w:lineRule="auto"/>
              <w:ind w:left="164" w:hanging="164"/>
              <w:rPr>
                <w:rFonts w:ascii="Times New Roman" w:hAnsi="Times New Roman" w:cs="Times New Roman"/>
                <w:b w:val="0"/>
                <w:bCs w:val="0"/>
                <w:noProof/>
              </w:rPr>
            </w:pPr>
            <w:r>
              <w:rPr>
                <w:rFonts w:ascii="Times New Roman" w:hAnsi="Times New Roman"/>
                <w:b w:val="0"/>
                <w:noProof/>
              </w:rPr>
              <w:t>- pianificare azioni di ricerca e innovazione.</w:t>
            </w:r>
          </w:p>
        </w:tc>
      </w:tr>
    </w:tbl>
    <w:p w14:paraId="5D03FF04" w14:textId="72D89287" w:rsidR="5BE8636B" w:rsidRPr="000B738C" w:rsidRDefault="00981EAC" w:rsidP="00526281">
      <w:pPr>
        <w:spacing w:before="240" w:line="278" w:lineRule="auto"/>
        <w:rPr>
          <w:rFonts w:ascii="Times New Roman" w:hAnsi="Times New Roman" w:cs="Times New Roman"/>
          <w:b/>
          <w:bCs/>
          <w:i/>
          <w:iCs/>
          <w:noProof/>
        </w:rPr>
      </w:pPr>
      <w:r>
        <w:rPr>
          <w:rFonts w:ascii="Times New Roman" w:hAnsi="Times New Roman"/>
          <w:b/>
          <w:i/>
          <w:noProof/>
        </w:rPr>
        <w:t>Elemento costitutivo III: prontezza industriale e indipendenza tecnologica</w:t>
      </w:r>
    </w:p>
    <w:p w14:paraId="299167C9" w14:textId="7E258D71" w:rsidR="0078017B" w:rsidRPr="00B86623" w:rsidRDefault="0058432F" w:rsidP="00EA5677">
      <w:pPr>
        <w:spacing w:after="120" w:line="278" w:lineRule="auto"/>
        <w:rPr>
          <w:rFonts w:ascii="Times New Roman" w:hAnsi="Times New Roman" w:cs="Times New Roman"/>
          <w:noProof/>
        </w:rPr>
      </w:pPr>
      <w:r>
        <w:rPr>
          <w:rFonts w:ascii="Times New Roman" w:hAnsi="Times New Roman"/>
          <w:noProof/>
        </w:rPr>
        <w:t xml:space="preserve">In termini industriali, la prosperità dell'economia spaziale dell'UE si fonda su una base industriale solida e sostenibile il cui obiettivo principale è preservare, garantire e rafforzare ulteriormente la capacità di livello mondiale dell'Europa di concepire, sviluppare, lanciare, gestire e sfruttare i sistemi spaziali di cui l'UE ha bisogno per l'attuazione delle sue politiche pubbliche, la sua sicurezza e la sua crescita economica. È pertanto indispensabile che tale base industriale raggiunga dimensioni critiche per poter competere con i concorrenti internazionali che beneficiano di un volume notevolmente maggiore di investimenti pubblici. </w:t>
      </w:r>
    </w:p>
    <w:p w14:paraId="3533F00E" w14:textId="5C892DA8" w:rsidR="00E10656" w:rsidRDefault="00D45194" w:rsidP="00EA5677">
      <w:pPr>
        <w:spacing w:after="120" w:line="278" w:lineRule="auto"/>
        <w:rPr>
          <w:rFonts w:ascii="Times New Roman" w:hAnsi="Times New Roman" w:cs="Times New Roman"/>
          <w:noProof/>
        </w:rPr>
      </w:pPr>
      <w:r>
        <w:rPr>
          <w:rFonts w:ascii="Times New Roman" w:hAnsi="Times New Roman"/>
          <w:noProof/>
        </w:rPr>
        <w:t>In termini tecnologici, l'UE deve garantire un livello adeguato di accesso a tecnologie spaziali critiche quali componenti, apparecchiature e sistemi elettrici, elettronici ed elettromeccanici (EEE)</w:t>
      </w:r>
      <w:r>
        <w:rPr>
          <w:rStyle w:val="FootnoteReference"/>
          <w:rFonts w:ascii="Times New Roman" w:hAnsi="Times New Roman" w:cs="Times New Roman"/>
          <w:noProof/>
        </w:rPr>
        <w:footnoteReference w:id="24"/>
      </w:r>
      <w:r>
        <w:rPr>
          <w:rFonts w:ascii="Times New Roman" w:hAnsi="Times New Roman"/>
          <w:noProof/>
        </w:rPr>
        <w:t xml:space="preserve">. </w:t>
      </w:r>
    </w:p>
    <w:p w14:paraId="6C1B3CB1" w14:textId="0CD7C812" w:rsidR="001D7A45" w:rsidRPr="00B86623" w:rsidRDefault="09B0433E" w:rsidP="00EA5677">
      <w:pPr>
        <w:spacing w:after="120" w:line="278" w:lineRule="auto"/>
        <w:rPr>
          <w:rFonts w:ascii="Times New Roman" w:hAnsi="Times New Roman" w:cs="Times New Roman"/>
          <w:noProof/>
        </w:rPr>
      </w:pPr>
      <w:r>
        <w:rPr>
          <w:rFonts w:ascii="Times New Roman" w:hAnsi="Times New Roman"/>
          <w:noProof/>
        </w:rPr>
        <w:t>Si tratta di una condizione preliminare sia per il funzionamento dinamico del settore sia per la riuscita delle missioni spaziali dell'UE, in particolare di quelle aventi una dimensione di sicurezza. L'UE dovrebbe pertanto adottare misure nel quadro della prevista preferenza dell'UE negli appalti pubblici per i settori e le tecnologie di rilevanza strategica</w:t>
      </w:r>
      <w:r>
        <w:rPr>
          <w:rStyle w:val="FootnoteReference"/>
          <w:rFonts w:ascii="Times New Roman" w:hAnsi="Times New Roman" w:cs="Times New Roman"/>
          <w:noProof/>
        </w:rPr>
        <w:footnoteReference w:id="25"/>
      </w:r>
      <w:r>
        <w:rPr>
          <w:rFonts w:ascii="Times New Roman" w:hAnsi="Times New Roman"/>
          <w:noProof/>
        </w:rPr>
        <w:t xml:space="preserve"> al fine di garantire la sua autonomia strategica e la sua sicurezza attraverso una base industriale tecnologica competitiva guidata dall'innovazione. </w:t>
      </w:r>
    </w:p>
    <w:p w14:paraId="3532FEE6" w14:textId="1EDDF387" w:rsidR="001D7A45" w:rsidRPr="00B86623" w:rsidRDefault="04A9E025" w:rsidP="00EA5677">
      <w:pPr>
        <w:spacing w:after="120" w:line="278" w:lineRule="auto"/>
        <w:rPr>
          <w:rFonts w:ascii="Times New Roman" w:hAnsi="Times New Roman" w:cs="Times New Roman"/>
          <w:noProof/>
        </w:rPr>
      </w:pPr>
      <w:r>
        <w:rPr>
          <w:rFonts w:ascii="Times New Roman" w:hAnsi="Times New Roman"/>
          <w:noProof/>
        </w:rPr>
        <w:t xml:space="preserve">Il panorama geopolitico sempre più complesso mette in luce la necessità di rafforzare la resilienza delle catene del valore dello spazio dell'UE, che sono vulnerabili a una serie di rischi, tra cui la dipendenza da altri paesi terzi per le materie prime critiche, i materiali avanzati, i componenti e le tecnologie relative alle apparecchiature. L'osservatorio sulle tecnologie critiche della Commissione, istituito nel 2021, monitora tali rischi e fornisce, in consultazione e coordinamento con l'industria e gli Stati membri dell'UE, tabelle di marcia relative alla tecnologia per affrontare le carenze individuate. </w:t>
      </w:r>
    </w:p>
    <w:p w14:paraId="72B216B0" w14:textId="2E1FE549" w:rsidR="000146C8" w:rsidRDefault="0052682A" w:rsidP="00C22E62">
      <w:pPr>
        <w:spacing w:after="120" w:line="278" w:lineRule="auto"/>
        <w:rPr>
          <w:rFonts w:ascii="Times New Roman" w:hAnsi="Times New Roman" w:cs="Times New Roman"/>
          <w:noProof/>
        </w:rPr>
      </w:pPr>
      <w:r>
        <w:rPr>
          <w:rFonts w:ascii="Times New Roman" w:hAnsi="Times New Roman"/>
          <w:noProof/>
        </w:rPr>
        <w:t xml:space="preserve">La piattaforma per le tecnologie strategiche per l'Europa (STEP), attuata nell'ambito di 11 diversi programmi dell'Unione, stabilisce un quadro per orientare gli investimenti verso le tecnologie spaziali critiche, rafforzando la resilienza industriale e l'innovazione. Tuttavia gli investimenti europei in questo settore sono notevolmente inferiori rispetto al fabbisogno stimato per ridurre la dipendenza dalle tecnologie spaziali critiche, come indicato nelle tabelle di marcia relative alla tecnologia. </w:t>
      </w:r>
    </w:p>
    <w:p w14:paraId="45C144BF" w14:textId="0BD01D3D" w:rsidR="00C22E62" w:rsidRPr="00C22E62" w:rsidRDefault="001357C5" w:rsidP="000146C8">
      <w:pPr>
        <w:spacing w:after="120" w:line="278" w:lineRule="auto"/>
        <w:rPr>
          <w:rFonts w:ascii="Times New Roman" w:hAnsi="Times New Roman" w:cs="Times New Roman"/>
          <w:noProof/>
        </w:rPr>
      </w:pPr>
      <w:r>
        <w:rPr>
          <w:rFonts w:ascii="Times New Roman" w:hAnsi="Times New Roman"/>
          <w:noProof/>
        </w:rPr>
        <w:t>Gli Stati membri potrebbero utilizzare i finanziamenti disponibili per la coesione e NextGenerationEU. Come proposto nel riesame intermedio della politica di coesione</w:t>
      </w:r>
      <w:r>
        <w:rPr>
          <w:rStyle w:val="FootnoteReference"/>
          <w:rFonts w:ascii="Times New Roman" w:hAnsi="Times New Roman" w:cs="Times New Roman"/>
          <w:noProof/>
        </w:rPr>
        <w:footnoteReference w:id="26"/>
      </w:r>
      <w:r>
        <w:rPr>
          <w:rFonts w:ascii="Times New Roman" w:hAnsi="Times New Roman"/>
          <w:noProof/>
        </w:rPr>
        <w:t>, le autorità di gestione potrebbero sfruttare l'opportunità, sostenuta da incentivi e flessibilità, di riassegnare i fondi agli investimenti che riguardano, tra le altre priorità, gli obiettivi STEP o le capacità e le infrastrutture di difesa o a duplice uso resilienti. Laddove non possano realizzare investimenti nei loro attuali piani per la ripresa e la resilienza, gli Stati membri possono prendere in considerazione, fra l'altro, le opzioni delineate nella comunicazione della Commissione "NextGenerationEU – La strada verso il 2026"</w:t>
      </w:r>
      <w:r>
        <w:rPr>
          <w:rStyle w:val="FootnoteReference"/>
          <w:rFonts w:ascii="Times New Roman" w:hAnsi="Times New Roman" w:cs="Times New Roman"/>
          <w:noProof/>
        </w:rPr>
        <w:footnoteReference w:id="27"/>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fornendo contributi volontari allo sviluppo di componenti del programma spaziale dell'Unione o del programma dell'Unione per una connettività sicura a beneficio dello Stato membro interessato. Tali programmi sono alla base di sistemi satellitari dell'UE quali Galileo (navigazione satellitare), Copernicus (osservazione della Terra), GOVSATCOM o IRIS² (comunicazione e connettività satellitare). Nell'ambito del dispositivo per la ripresa e la resilienza (RRF) gli Stati membri possono fornire contributi volontari a tali programmi, qualora l'accordo di contributo tra la Commissione e lo Stato membro giustifichi che il contributo dello Stato membro sia utilizzato nell'ambito di tali programmi a beneficio dello Stato membro interessato. </w:t>
      </w:r>
    </w:p>
    <w:p w14:paraId="71D078D7" w14:textId="14A5E865" w:rsidR="007360BB" w:rsidRPr="00B86623" w:rsidRDefault="0076384D" w:rsidP="00DA1184">
      <w:pPr>
        <w:spacing w:after="120" w:line="278" w:lineRule="auto"/>
        <w:rPr>
          <w:rFonts w:ascii="Times New Roman" w:hAnsi="Times New Roman" w:cs="Times New Roman"/>
          <w:noProof/>
        </w:rPr>
      </w:pPr>
      <w:r>
        <w:rPr>
          <w:rFonts w:ascii="Times New Roman" w:hAnsi="Times New Roman"/>
          <w:noProof/>
        </w:rPr>
        <w:t xml:space="preserve">A partire dal 2024 l'UE si trova ad affrontare situazioni di accesso limitato o dipendenza da un'unica fonte di approvvigionamento in paesi terzi a rischio geopolitico per quanto riguarda 47 tecnologie spaziali critiche individuate dalla task force congiunta tra la Commissione, l'Agenzia spaziale europea e l'Agenzia europea per la difesa, compresi i componenti EEE, la microelettronica e i materiali avanzati. </w:t>
      </w:r>
    </w:p>
    <w:p w14:paraId="04A8DF5D" w14:textId="3524EA50" w:rsidR="00765A16" w:rsidRDefault="59096FCB" w:rsidP="00EB13B7">
      <w:pPr>
        <w:spacing w:after="240" w:line="278" w:lineRule="auto"/>
        <w:rPr>
          <w:rFonts w:ascii="Times New Roman" w:eastAsiaTheme="minorEastAsia" w:hAnsi="Times New Roman" w:cs="Times New Roman"/>
          <w:noProof/>
        </w:rPr>
      </w:pPr>
      <w:r>
        <w:rPr>
          <w:rFonts w:ascii="Times New Roman" w:hAnsi="Times New Roman"/>
          <w:noProof/>
        </w:rPr>
        <w:t xml:space="preserve">È opportuno prestare particolare attenzione all'individuazione di livelli sicurezza accettabili e alla limitazione delle dipendenze entro tali livelli, evitando di affidarsi a paesi non affini e garantendo un approvvigionamento sufficiente di tecnologie spaziali critiche. </w:t>
      </w:r>
    </w:p>
    <w:p w14:paraId="774AAEA0" w14:textId="77777777" w:rsidR="00A537BC" w:rsidRPr="00CC50CF" w:rsidRDefault="00A537BC" w:rsidP="00EB13B7">
      <w:pPr>
        <w:spacing w:after="240" w:line="278" w:lineRule="auto"/>
        <w:rPr>
          <w:rFonts w:ascii="Times New Roman" w:eastAsiaTheme="minorEastAsia" w:hAnsi="Times New Roman" w:cs="Times New Roman"/>
          <w:noProof/>
        </w:rPr>
      </w:pPr>
    </w:p>
    <w:p w14:paraId="40455F3B" w14:textId="77777777" w:rsidR="00A537BC" w:rsidRPr="00CC50CF" w:rsidRDefault="00A537BC" w:rsidP="00526281">
      <w:pPr>
        <w:spacing w:after="240" w:line="278" w:lineRule="auto"/>
        <w:rPr>
          <w:rFonts w:ascii="Times New Roman" w:eastAsiaTheme="minorEastAsia" w:hAnsi="Times New Roman" w:cs="Times New Roman"/>
          <w:noProof/>
        </w:rPr>
      </w:pPr>
    </w:p>
    <w:tbl>
      <w:tblPr>
        <w:tblStyle w:val="ListTable3-Accent1"/>
        <w:tblW w:w="0" w:type="auto"/>
        <w:tblLook w:val="04A0" w:firstRow="1" w:lastRow="0" w:firstColumn="1" w:lastColumn="0" w:noHBand="0" w:noVBand="1"/>
      </w:tblPr>
      <w:tblGrid>
        <w:gridCol w:w="9016"/>
      </w:tblGrid>
      <w:tr w:rsidR="00F749BD" w:rsidRPr="00B86623" w14:paraId="2670948F" w14:textId="77777777" w:rsidTr="00DC6CD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single" w:sz="4" w:space="0" w:color="156082" w:themeColor="accent1"/>
            </w:tcBorders>
          </w:tcPr>
          <w:p w14:paraId="2AAC1363" w14:textId="405ACFCA" w:rsidR="007360BB" w:rsidRPr="00B86623" w:rsidRDefault="007360BB" w:rsidP="00E0129C">
            <w:pPr>
              <w:spacing w:line="278" w:lineRule="auto"/>
              <w:rPr>
                <w:rFonts w:ascii="Times New Roman" w:hAnsi="Times New Roman" w:cs="Times New Roman"/>
                <w:noProof/>
              </w:rPr>
            </w:pPr>
            <w:r>
              <w:rPr>
                <w:rFonts w:ascii="Times New Roman" w:hAnsi="Times New Roman"/>
                <w:noProof/>
              </w:rPr>
              <w:t>Azioni previste 3</w:t>
            </w:r>
          </w:p>
        </w:tc>
      </w:tr>
      <w:tr w:rsidR="00F749BD" w:rsidRPr="00B86623" w14:paraId="4102A1E5" w14:textId="77777777" w:rsidTr="006A7609">
        <w:trPr>
          <w:cnfStyle w:val="000000100000" w:firstRow="0" w:lastRow="0" w:firstColumn="0" w:lastColumn="0" w:oddVBand="0" w:evenVBand="0" w:oddHBand="1" w:evenHBand="0" w:firstRowFirstColumn="0" w:firstRowLastColumn="0" w:lastRowFirstColumn="0" w:lastRowLastColumn="0"/>
          <w:trHeight w:val="1170"/>
        </w:trPr>
        <w:tc>
          <w:tcPr>
            <w:cnfStyle w:val="001000000000" w:firstRow="0" w:lastRow="0" w:firstColumn="1" w:lastColumn="0" w:oddVBand="0" w:evenVBand="0" w:oddHBand="0" w:evenHBand="0" w:firstRowFirstColumn="0" w:firstRowLastColumn="0" w:lastRowFirstColumn="0" w:lastRowLastColumn="0"/>
            <w:tcW w:w="9016" w:type="dxa"/>
            <w:tcBorders>
              <w:right w:val="single" w:sz="4" w:space="0" w:color="156082" w:themeColor="accent1"/>
            </w:tcBorders>
          </w:tcPr>
          <w:p w14:paraId="47FFF263" w14:textId="4D2312F6" w:rsidR="007360BB" w:rsidRPr="00125921" w:rsidRDefault="00E92FCF" w:rsidP="00A26E00">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La Commissione elaborerà un piano a lungo termine per garantire l'approvvigionamento di tecnologie spaziali critiche da più fonti: tale piano si fonderà sull'elenco di azioni della task force congiunta tra la Commissione, l'ESA e l'AED, compresi il sostegno alla maturazione delle tecnologie di R&amp;I, la diffusione di catene del valore basate su più fonti e gli adeguamenti necessari (ad esempio aggiornamenti).</w:t>
            </w:r>
          </w:p>
        </w:tc>
      </w:tr>
      <w:tr w:rsidR="006A7609" w:rsidRPr="00B86623" w14:paraId="7EC22C0C" w14:textId="77777777" w:rsidTr="00DC6CDB">
        <w:trPr>
          <w:trHeight w:val="117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156082" w:themeColor="accent1"/>
              <w:bottom w:val="single" w:sz="4" w:space="0" w:color="156082" w:themeColor="accent1"/>
              <w:right w:val="single" w:sz="4" w:space="0" w:color="156082" w:themeColor="accent1"/>
            </w:tcBorders>
          </w:tcPr>
          <w:p w14:paraId="0CBC7F38" w14:textId="3BD12510" w:rsidR="0066721E" w:rsidRPr="00125921" w:rsidRDefault="0066721E" w:rsidP="0066721E">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La Commissione sosterrà ulteriormente l'osservatorio dell'UE sulle tecnologie critiche per quanto riguarda gli aspetti seguenti:</w:t>
            </w:r>
          </w:p>
          <w:p w14:paraId="3669332D" w14:textId="77777777" w:rsidR="0066721E" w:rsidRPr="00125921" w:rsidRDefault="0066721E" w:rsidP="0066721E">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garantire il monitoraggio continuo e l'evoluzione delle tendenze tecnologiche e delle catene di approvvigionamento;</w:t>
            </w:r>
          </w:p>
          <w:p w14:paraId="7CDD2926" w14:textId="77777777" w:rsidR="0066721E" w:rsidRPr="00125921" w:rsidRDefault="0066721E" w:rsidP="0066721E">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individuare le dipendenze e le carenze;</w:t>
            </w:r>
          </w:p>
          <w:p w14:paraId="3EBD49BA" w14:textId="4B8094E9" w:rsidR="006A7609" w:rsidRPr="00125921" w:rsidRDefault="0066721E" w:rsidP="0066721E">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aggiornare e monitorare l'attuazione delle tabelle di marcia relative alla tecnologia.</w:t>
            </w:r>
          </w:p>
        </w:tc>
      </w:tr>
    </w:tbl>
    <w:p w14:paraId="3D24DF95" w14:textId="3E757A29" w:rsidR="7F8A0EB0" w:rsidRPr="005524DB" w:rsidRDefault="00981EAC" w:rsidP="00526281">
      <w:pPr>
        <w:spacing w:before="240" w:line="278" w:lineRule="auto"/>
        <w:rPr>
          <w:rFonts w:ascii="Times New Roman" w:hAnsi="Times New Roman" w:cs="Times New Roman"/>
          <w:b/>
          <w:bCs/>
          <w:i/>
          <w:iCs/>
          <w:noProof/>
        </w:rPr>
      </w:pPr>
      <w:r>
        <w:rPr>
          <w:rFonts w:ascii="Times New Roman" w:hAnsi="Times New Roman"/>
          <w:b/>
          <w:i/>
          <w:noProof/>
        </w:rPr>
        <w:t>Elemento costitutivo IV: sostenere la commercializzazione dello spazio</w:t>
      </w:r>
    </w:p>
    <w:p w14:paraId="49571087" w14:textId="61879D65" w:rsidR="00171C87" w:rsidRDefault="1A056ACE" w:rsidP="00D50AE5">
      <w:pPr>
        <w:spacing w:after="120" w:line="278" w:lineRule="auto"/>
        <w:rPr>
          <w:rFonts w:ascii="Times New Roman" w:hAnsi="Times New Roman" w:cs="Times New Roman"/>
          <w:noProof/>
        </w:rPr>
      </w:pPr>
      <w:bookmarkStart w:id="7" w:name="_Hlk195533271"/>
      <w:r>
        <w:rPr>
          <w:rFonts w:ascii="Times New Roman" w:hAnsi="Times New Roman"/>
          <w:noProof/>
        </w:rPr>
        <w:t>L'UE deve sostenere la commercializzazione della propria industria spaziale, in quanto la sua competitività sta perdendo terreno rispetto a quella degli attori globali. Un'opportunità chiave consiste nello sfruttare il ruolo fondamentale che possono svolgere le start-up, le scale-up, le PMI e le imprese a media capitalizzazione, comprese le piccole imprese a media capitalizzazione, del settore spaziale.</w:t>
      </w:r>
    </w:p>
    <w:p w14:paraId="7797A636" w14:textId="75DAEAC7" w:rsidR="6AC84B2B" w:rsidRPr="00B86623" w:rsidRDefault="7E7D58E7" w:rsidP="00687729">
      <w:pPr>
        <w:spacing w:after="0" w:line="278" w:lineRule="auto"/>
        <w:rPr>
          <w:rFonts w:ascii="Times New Roman" w:hAnsi="Times New Roman" w:cs="Times New Roman"/>
          <w:b/>
          <w:bCs/>
          <w:noProof/>
        </w:rPr>
      </w:pPr>
      <w:r>
        <w:rPr>
          <w:rFonts w:ascii="Times New Roman" w:hAnsi="Times New Roman"/>
          <w:noProof/>
        </w:rPr>
        <w:t xml:space="preserve">Questi attori più piccoli sono spesso altamente dinamici e portano sul mercato prodotti innovativi e competitivi, riducendo nel contempo i costi. Essi rappresentano quindi un complemento essenziale alle imprese spaziali più grandi e consolidate, contribuendo in tal modo a rafforzare l'ecosistema nel suo complesso. L'ecosistema spaziale dell'UE può quindi diventare più dinamico ed efficiente e disporre di condizioni quadro adeguate per creare incentivi commerciali alla progettazione, alla produzione e alla gestione di infrastrutture e servizi spaziali. Da tali incentivi commerciali deve scaturire una migliore collaborazione, in linea con le norme dell'UE in materia di concorrenza, tra attori consolidati e nuovi. L'iniziativa dell'UE per l'imprenditoria spaziale CASSINI ha creato un siffatto quadro per le start-up nel periodo 2021-2025 attraverso una combinazione di capitali di investimento, aumento delle competenze imprenditoriali e riforma degli appalti. Tuttavia è necessario progettare un'iniziativa CASSINI 2.0 che soddisfi le esigenze di sostegno alle imprese di livello superiore. </w:t>
      </w:r>
    </w:p>
    <w:p w14:paraId="3D1855E5" w14:textId="15D61E88" w:rsidR="00CA6AA6" w:rsidRDefault="00B8422F" w:rsidP="000B738C">
      <w:pPr>
        <w:spacing w:after="0" w:line="278" w:lineRule="auto"/>
        <w:rPr>
          <w:rFonts w:ascii="Times New Roman" w:hAnsi="Times New Roman" w:cs="Times New Roman"/>
          <w:noProof/>
        </w:rPr>
      </w:pPr>
      <w:r>
        <w:rPr>
          <w:rFonts w:ascii="Times New Roman" w:hAnsi="Times New Roman"/>
          <w:noProof/>
        </w:rPr>
        <w:t>Prima del 2019 l'UE non disponeva di fondi di investimento privati dedicati agli investimenti spaziali, tuttavia CASSINI e InvestEU hanno consentito la creazione di 5 fondi di venture capital (VC) interamente incentrati su tali investimenti e hanno apportato capitali ad altri 11 fondi VC caratterizzati da un'ampia portata degli investimenti. Tali fondi investono principalmente nelle fasi di avviamento e serie A, mentre nell'UE mancano investitori in grado di guidare cicli di investimenti volti a sostenere la fase di crescita.</w:t>
      </w:r>
    </w:p>
    <w:p w14:paraId="463DE500" w14:textId="1A78BA9A" w:rsidR="00C303F0" w:rsidRPr="00B86623" w:rsidRDefault="00C303F0" w:rsidP="00C303F0">
      <w:pPr>
        <w:spacing w:after="120" w:line="278" w:lineRule="auto"/>
        <w:rPr>
          <w:rFonts w:ascii="Times New Roman" w:hAnsi="Times New Roman" w:cs="Times New Roman"/>
          <w:noProof/>
        </w:rPr>
      </w:pPr>
      <w:r>
        <w:rPr>
          <w:rFonts w:ascii="Times New Roman" w:hAnsi="Times New Roman"/>
          <w:noProof/>
        </w:rPr>
        <w:t>Persiste un'evidente carenza di finanziamenti a favore della diffusione su larga scala di tecnologie ad alto rischio e ad alta intensità di capitale, che richiedono investimenti superiori a 100 milioni di EUR. Anche la domanda di finanziamenti per le start-up rimane elevata. Sebbene in soli quattro anni sia diventato uno dei principali investitori europei nel settore deep tech, attualmente il Fondo del Consiglio europeo per l'innovazione (fondo CEI) non è in grado di soddisfare il fabbisogno di sostegno manifestato da start-up eccellenti in tale settore. A partire dal 2024 il fondo CEI ha sostenuto quasi 50 progetti nel settore spaziale in tutte le fasi di maturità tecnologica.</w:t>
      </w:r>
    </w:p>
    <w:p w14:paraId="2BB4C9E8" w14:textId="6A6DBB04" w:rsidR="000542AF" w:rsidRPr="00B86623" w:rsidRDefault="00D10EE2" w:rsidP="00EA5677">
      <w:pPr>
        <w:spacing w:after="120" w:line="278" w:lineRule="auto"/>
        <w:rPr>
          <w:rFonts w:ascii="Times New Roman" w:hAnsi="Times New Roman" w:cs="Times New Roman"/>
          <w:noProof/>
        </w:rPr>
      </w:pPr>
      <w:r>
        <w:rPr>
          <w:rFonts w:ascii="Times New Roman" w:hAnsi="Times New Roman"/>
          <w:noProof/>
        </w:rPr>
        <w:t>Nonostante una solida base di talenti, le start-up dell'UE ricevono una quantità di venture capital che è da 8 a 10 volte inferiore rispetto a quella degli Stati Uniti e della Cina. L'UE percepisce solo il 5 % dei finanziamenti globali in VC (rispetto al 52 % degli Stati Uniti e al 40 % della Cina)</w:t>
      </w:r>
      <w:r>
        <w:rPr>
          <w:rStyle w:val="FootnoteReference"/>
          <w:rFonts w:ascii="Times New Roman" w:hAnsi="Times New Roman" w:cs="Times New Roman"/>
          <w:noProof/>
        </w:rPr>
        <w:footnoteReference w:id="28"/>
      </w:r>
      <w:r>
        <w:rPr>
          <w:rFonts w:ascii="Times New Roman" w:hAnsi="Times New Roman"/>
          <w:noProof/>
        </w:rPr>
        <w:t xml:space="preserve">. Il rafforzamento del sostegno a favore di un migliore funzionamento del mercato dei capitali durante le fasi di crescita è pertanto fondamentale per la competitività dell'industria spaziale dell'UE. Ciò contribuirà a contrastare la tendenza che vede l'acquisizione delle imprese spaziali dell'UE da parte delle imprese statunitensi. </w:t>
      </w:r>
    </w:p>
    <w:p w14:paraId="1ECF667C" w14:textId="22D9BAC8" w:rsidR="00D12966" w:rsidRPr="00B86623" w:rsidRDefault="000542AF" w:rsidP="00EA5677">
      <w:pPr>
        <w:spacing w:after="120" w:line="278" w:lineRule="auto"/>
        <w:rPr>
          <w:rFonts w:ascii="Times New Roman" w:hAnsi="Times New Roman" w:cs="Times New Roman"/>
          <w:noProof/>
        </w:rPr>
      </w:pPr>
      <w:r>
        <w:rPr>
          <w:rFonts w:ascii="Times New Roman" w:hAnsi="Times New Roman"/>
          <w:noProof/>
        </w:rPr>
        <w:t>La strategia dell'UE per le start-up e lo scale-up</w:t>
      </w:r>
      <w:r>
        <w:rPr>
          <w:rStyle w:val="FootnoteReference"/>
          <w:rFonts w:ascii="Times New Roman" w:hAnsi="Times New Roman" w:cs="Times New Roman"/>
          <w:noProof/>
        </w:rPr>
        <w:footnoteReference w:id="29"/>
      </w:r>
      <w:r>
        <w:rPr>
          <w:rFonts w:ascii="Times New Roman" w:hAnsi="Times New Roman"/>
          <w:noProof/>
        </w:rPr>
        <w:t>, adottata nel maggio 2025, e la più ampia iniziativa "Scegliere l'Europa" si concentrano sull'aiutare gli innovatori, i fondatori e gli investitori, migliorando le condizioni per le start-up e le scale-up, consentendo loro di sfruttare nuove opportunità geopolitiche e riducendo i motivi per trasferirsi al di fuori dell'UE. La strategia definisce misure legislative, strategiche e di sostegno finanziario per affrontare gli ostacoli normativi e finanziari incontrati dalle start-up e dalle scale-up europee, a livello sia dell'UE che degli Stati membri, e per rispondere alle esigenze delle imprese innovative durante tutte le fasi di sviluppo.</w:t>
      </w:r>
    </w:p>
    <w:p w14:paraId="6FE26764" w14:textId="3806070A" w:rsidR="00BB739B" w:rsidRDefault="2AE9A8EE" w:rsidP="00526281">
      <w:pPr>
        <w:spacing w:after="240" w:line="278" w:lineRule="auto"/>
        <w:rPr>
          <w:rFonts w:ascii="Times New Roman" w:hAnsi="Times New Roman" w:cs="Times New Roman"/>
          <w:noProof/>
        </w:rPr>
      </w:pPr>
      <w:r>
        <w:rPr>
          <w:rFonts w:ascii="Times New Roman" w:hAnsi="Times New Roman"/>
          <w:noProof/>
        </w:rPr>
        <w:t>Le autorità pubbliche svolgono un ruolo importante nel fornire contratti alle imprese private in qualità di fornitori di beni e servizi. Garantire che i contratti siano assegnati a una gamma diversificata di fornitori di servizi, tra cui imprese consolidate, start-up, scale-up, PMI e imprese a media capitalizzazione, può aiutare l'UE a conseguire i suoi obiettivi spaziali, a ridurre i costi, ma anche a promuovere il valore, l'innovazione e la sostenibilità, attenuando nel contempo i rischi e promuovendo le sue priorità.</w:t>
      </w:r>
    </w:p>
    <w:tbl>
      <w:tblPr>
        <w:tblStyle w:val="ListTable3-Accent1"/>
        <w:tblW w:w="9014" w:type="dxa"/>
        <w:tblBorders>
          <w:insideH w:val="single" w:sz="4" w:space="0" w:color="156082" w:themeColor="accent1"/>
          <w:insideV w:val="single" w:sz="4" w:space="0" w:color="156082" w:themeColor="accent1"/>
        </w:tblBorders>
        <w:tblLook w:val="04A0" w:firstRow="1" w:lastRow="0" w:firstColumn="1" w:lastColumn="0" w:noHBand="0" w:noVBand="1"/>
      </w:tblPr>
      <w:tblGrid>
        <w:gridCol w:w="9014"/>
      </w:tblGrid>
      <w:tr w:rsidR="00F749BD" w:rsidRPr="007A593C" w14:paraId="11487DF5" w14:textId="77777777" w:rsidTr="0052527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4" w:type="dxa"/>
            <w:tcBorders>
              <w:bottom w:val="none" w:sz="0" w:space="0" w:color="auto"/>
              <w:right w:val="none" w:sz="0" w:space="0" w:color="auto"/>
            </w:tcBorders>
          </w:tcPr>
          <w:p w14:paraId="2ED7363D" w14:textId="76E2458E" w:rsidR="00E00C49" w:rsidRPr="00B86623" w:rsidRDefault="00E00C49" w:rsidP="00E0129C">
            <w:pPr>
              <w:spacing w:line="278" w:lineRule="auto"/>
              <w:rPr>
                <w:rFonts w:ascii="Times New Roman" w:hAnsi="Times New Roman" w:cs="Times New Roman"/>
                <w:noProof/>
              </w:rPr>
            </w:pPr>
            <w:r>
              <w:rPr>
                <w:rFonts w:ascii="Times New Roman" w:hAnsi="Times New Roman"/>
                <w:noProof/>
              </w:rPr>
              <w:t>Azioni previste 4</w:t>
            </w:r>
          </w:p>
        </w:tc>
      </w:tr>
      <w:tr w:rsidR="00F749BD" w:rsidRPr="007A593C" w14:paraId="2AB72AB8" w14:textId="77777777" w:rsidTr="000B7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right w:val="none" w:sz="0" w:space="0" w:color="auto"/>
            </w:tcBorders>
            <w:vAlign w:val="center"/>
          </w:tcPr>
          <w:p w14:paraId="55C3F814" w14:textId="5F78395F" w:rsidR="00DB5A6F" w:rsidRPr="00125921" w:rsidRDefault="00325F18" w:rsidP="00890D6F">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xml:space="preserve">La Commissione accelererà e amplierà l'accesso ai finanziamenti: </w:t>
            </w:r>
          </w:p>
          <w:p w14:paraId="2514D189" w14:textId="5A48E31F" w:rsidR="00287375" w:rsidRPr="00125921" w:rsidRDefault="00C8694E" w:rsidP="00287375">
            <w:pPr>
              <w:spacing w:line="278" w:lineRule="auto"/>
              <w:ind w:left="164" w:hanging="164"/>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xml:space="preserve">- garantendo la disponibilità di capitali di investimento privati attraverso un fondo per gli investimenti di avviamento (CASSINI), un fondo per gli investimenti a favore della crescita e un fondo di finanziamento del debito/non dilutivo, conducendo un test pilota per selezionare i fondi VC utilizzando la capacità esistente del Fondo di investimento CASSINI. </w:t>
            </w:r>
          </w:p>
        </w:tc>
      </w:tr>
      <w:tr w:rsidR="00DA50BE" w:rsidRPr="007A593C" w14:paraId="07B2C4E6" w14:textId="77777777" w:rsidTr="000B738C">
        <w:tc>
          <w:tcPr>
            <w:cnfStyle w:val="001000000000" w:firstRow="0" w:lastRow="0" w:firstColumn="1" w:lastColumn="0" w:oddVBand="0" w:evenVBand="0" w:oddHBand="0" w:evenHBand="0" w:firstRowFirstColumn="0" w:firstRowLastColumn="0" w:lastRowFirstColumn="0" w:lastRowLastColumn="0"/>
            <w:tcW w:w="0" w:type="dxa"/>
            <w:tcBorders>
              <w:right w:val="single" w:sz="4" w:space="0" w:color="auto"/>
            </w:tcBorders>
            <w:vAlign w:val="center"/>
          </w:tcPr>
          <w:p w14:paraId="64AACE21" w14:textId="0DDBC58C" w:rsidR="00DA50BE" w:rsidRPr="000B738C" w:rsidRDefault="00DA50BE" w:rsidP="00890D6F">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La</w:t>
            </w:r>
            <w:r>
              <w:rPr>
                <w:rFonts w:ascii="Times New Roman" w:hAnsi="Times New Roman"/>
                <w:noProof/>
                <w:color w:val="000000" w:themeColor="text1"/>
              </w:rPr>
              <w:t xml:space="preserve"> Commissione </w:t>
            </w:r>
            <w:r>
              <w:rPr>
                <w:rFonts w:ascii="Times New Roman" w:hAnsi="Times New Roman"/>
                <w:b w:val="0"/>
                <w:noProof/>
                <w:color w:val="000000" w:themeColor="text1"/>
              </w:rPr>
              <w:t>attuerà tutte le azioni correlate nell'ambito della strategia dell'UE per le start-up e lo scale-up, comprese le azioni relative al Consiglio europeo per l'innovazione, al fondo Scaleup Europe e alla legge europea a favore dell'innovazione a sostegno del settore spaziale.</w:t>
            </w:r>
          </w:p>
        </w:tc>
      </w:tr>
      <w:tr w:rsidR="00F749BD" w:rsidRPr="007A593C" w14:paraId="116E4FBC" w14:textId="77777777" w:rsidTr="00704F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4" w:type="dxa"/>
            <w:tcBorders>
              <w:right w:val="none" w:sz="0" w:space="0" w:color="auto"/>
            </w:tcBorders>
            <w:vAlign w:val="center"/>
          </w:tcPr>
          <w:p w14:paraId="4FEEA64A" w14:textId="66ADA0B5" w:rsidR="00E00C49" w:rsidRPr="00125921" w:rsidRDefault="00325F18" w:rsidP="000B738C">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La Commissione adotterà metodi di appalto innovativi e favorevoli alle imprese per incoraggiare una maggiore concorrenza e consentire ai prodotti più efficaci in termini di costi e innovativi di espandersi sul mercato. È dunque necessario che le procedure di appalto garantiscano condizioni di parità per tutti gli operatori economici, compresi i nuovi operatori, le scale-up, le imprese a media capitalizzazione, in particolare le piccole imprese a media capitalizzazione, e le piccole e medie imprese.</w:t>
            </w:r>
          </w:p>
        </w:tc>
      </w:tr>
      <w:tr w:rsidR="00F749BD" w:rsidRPr="007A593C" w14:paraId="1B294650" w14:textId="77777777" w:rsidTr="00890D6F">
        <w:tc>
          <w:tcPr>
            <w:cnfStyle w:val="001000000000" w:firstRow="0" w:lastRow="0" w:firstColumn="1" w:lastColumn="0" w:oddVBand="0" w:evenVBand="0" w:oddHBand="0" w:evenHBand="0" w:firstRowFirstColumn="0" w:firstRowLastColumn="0" w:lastRowFirstColumn="0" w:lastRowLastColumn="0"/>
            <w:tcW w:w="9014" w:type="dxa"/>
            <w:tcBorders>
              <w:right w:val="none" w:sz="0" w:space="0" w:color="auto"/>
            </w:tcBorders>
            <w:vAlign w:val="center"/>
          </w:tcPr>
          <w:p w14:paraId="4FF59385" w14:textId="4533D29B" w:rsidR="00E00C49" w:rsidRPr="00125921" w:rsidRDefault="00325F18" w:rsidP="00941594">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xml:space="preserve">La Commissione stimolerà la crescita del mercato promuovendo la domanda pubblica attraverso l'uso strategico degli appalti pubblici elettronici, riducendo l'avversione al rischio negli appalti, grazie a una combinazione di programmi di on-boarding, mercati, acquisti anticipati e contratti con clienti strategici, per consentire una rapida espansione e acquisire credibilità sul mercato per le attività a monte e a valle. La creazione di contratti con le centrale di committenza e di sistemi dinamici di acquisizione rappresentano due modi per conseguire tale obiettivo. </w:t>
            </w:r>
          </w:p>
        </w:tc>
      </w:tr>
      <w:tr w:rsidR="00F749BD" w:rsidRPr="007A593C" w14:paraId="1F91F55C" w14:textId="77777777" w:rsidTr="00890D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14" w:type="dxa"/>
            <w:tcBorders>
              <w:right w:val="none" w:sz="0" w:space="0" w:color="auto"/>
            </w:tcBorders>
            <w:vAlign w:val="center"/>
          </w:tcPr>
          <w:p w14:paraId="7D45B962" w14:textId="2CEB614C" w:rsidR="52F28266" w:rsidRPr="00125921" w:rsidRDefault="00325F18" w:rsidP="00F146D2">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xml:space="preserve">La Commissione stimolerà gli ecosistemi locali che collegano tra loro i settori spaziale, digitale e di altro tipo per promuovere l'innovazione spaziale, coinvolgendo incubatori e acceleratori, che favoriscono l'imprenditorialità e le competenze. </w:t>
            </w:r>
          </w:p>
        </w:tc>
      </w:tr>
    </w:tbl>
    <w:bookmarkEnd w:id="7"/>
    <w:p w14:paraId="0AD07740" w14:textId="5DAF6F91" w:rsidR="00D22054" w:rsidRPr="00526281" w:rsidRDefault="00981EAC" w:rsidP="00526281">
      <w:pPr>
        <w:spacing w:before="240" w:line="278" w:lineRule="auto"/>
        <w:rPr>
          <w:rFonts w:ascii="Times New Roman" w:hAnsi="Times New Roman" w:cs="Times New Roman"/>
          <w:b/>
          <w:bCs/>
          <w:i/>
          <w:iCs/>
          <w:noProof/>
        </w:rPr>
      </w:pPr>
      <w:r>
        <w:rPr>
          <w:rFonts w:ascii="Times New Roman" w:hAnsi="Times New Roman"/>
          <w:b/>
          <w:i/>
          <w:noProof/>
        </w:rPr>
        <w:t xml:space="preserve">Elemento costitutivo V: promuovere la cooperazione internazionale e la diplomazia economica </w:t>
      </w:r>
    </w:p>
    <w:p w14:paraId="58CAB72F" w14:textId="3C263977" w:rsidR="4E15C33F" w:rsidRPr="00B86623" w:rsidRDefault="4E15C33F" w:rsidP="003101F1">
      <w:pPr>
        <w:spacing w:after="120" w:line="278" w:lineRule="auto"/>
        <w:rPr>
          <w:rFonts w:ascii="Times New Roman" w:hAnsi="Times New Roman" w:cs="Times New Roman"/>
          <w:noProof/>
        </w:rPr>
      </w:pPr>
      <w:r>
        <w:rPr>
          <w:rFonts w:ascii="Times New Roman" w:hAnsi="Times New Roman"/>
          <w:noProof/>
        </w:rPr>
        <w:t xml:space="preserve">L'ambito principale delle attività internazionali è la promozione, l'istituzione e il mantenimento della cooperazione nel settore spaziale con i paesi terzi e le organizzazioni internazionali, anche attraverso i) contatti bilaterali regolari (a livello tecnico e in formato di dialogo sullo spazio); ii) accordi di cooperazione e accordi internazionali sulla partecipazione ai sistemi e ai programmi dell'UE con paesi di importanza strategica per gli interessi e le priorità dell'UE. </w:t>
      </w:r>
    </w:p>
    <w:p w14:paraId="2CD62ECB" w14:textId="21775BD4" w:rsidR="00CF52F8" w:rsidRPr="00B86623" w:rsidRDefault="00CF52F8" w:rsidP="003101F1">
      <w:pPr>
        <w:spacing w:after="120" w:line="278" w:lineRule="auto"/>
        <w:rPr>
          <w:rFonts w:ascii="Times New Roman" w:eastAsia="Aptos" w:hAnsi="Times New Roman" w:cs="Times New Roman"/>
          <w:noProof/>
        </w:rPr>
      </w:pPr>
      <w:r>
        <w:rPr>
          <w:rFonts w:ascii="Times New Roman" w:hAnsi="Times New Roman"/>
          <w:noProof/>
        </w:rPr>
        <w:t>La strategia Global Gateway offre l'opportunità di promuovere partenariati, dialoghi politici e investimenti con paesi di tutto il mondo.</w:t>
      </w:r>
      <w:r>
        <w:rPr>
          <w:noProof/>
        </w:rPr>
        <w:t xml:space="preserve"> </w:t>
      </w:r>
      <w:r>
        <w:rPr>
          <w:rFonts w:ascii="Times New Roman" w:hAnsi="Times New Roman"/>
          <w:noProof/>
        </w:rPr>
        <w:t>Nel contesto di tale strategia, l'UE si adopererà per aumentare i suoi investimenti nei paesi partner, anche per quanto riguarda la connettività satellitare e i servizi spaziali, collegando l'Unione ai centri di crescita digitale e contribuendo alla sua sicurezza economica.</w:t>
      </w:r>
    </w:p>
    <w:p w14:paraId="7DEDBFB8" w14:textId="2D30DC52" w:rsidR="00CF52F8" w:rsidRPr="00697C9C" w:rsidRDefault="00CF52F8" w:rsidP="003101F1">
      <w:pPr>
        <w:spacing w:after="120" w:line="278" w:lineRule="auto"/>
        <w:rPr>
          <w:rFonts w:ascii="Times New Roman" w:hAnsi="Times New Roman" w:cs="Times New Roman"/>
          <w:noProof/>
        </w:rPr>
      </w:pPr>
      <w:r>
        <w:rPr>
          <w:rFonts w:ascii="Times New Roman" w:hAnsi="Times New Roman"/>
          <w:noProof/>
        </w:rPr>
        <w:t>L'accesso ai mercati dei paesi partner dell'UE rappresenta una priorità sia per contrastare le influenze straniere ostili sia per promuovere la crescita e la prosperità in tali regioni, due aspetti fondamentali per salvaguardare la sicurezza dell'Europa. Una solida base industriale, catene di approvvigionamento sicure e norme adeguate che consentano alle imprese dell'UE di competere efficacemente contro le pratiche di concorrenza ineguale o sleale sono tutti elementi alla base della resilienza e dell'autonomia dell'UE.</w:t>
      </w:r>
    </w:p>
    <w:p w14:paraId="6DEBA1E3" w14:textId="7F4D68E3" w:rsidR="4E15C33F" w:rsidRPr="00697C9C" w:rsidRDefault="009A2CB9" w:rsidP="003101F1">
      <w:pPr>
        <w:spacing w:after="120" w:line="278" w:lineRule="auto"/>
        <w:rPr>
          <w:rFonts w:ascii="Times New Roman" w:hAnsi="Times New Roman" w:cs="Times New Roman"/>
          <w:noProof/>
        </w:rPr>
      </w:pPr>
      <w:r>
        <w:rPr>
          <w:rFonts w:ascii="Times New Roman" w:hAnsi="Times New Roman"/>
          <w:noProof/>
        </w:rPr>
        <w:t>La cooperazione internazionale può quindi agevolare e promuovere le azioni necessarie per sostenere la competitività del settore spaziale dell'UE. La cooperazione funzionale nel settore spaziale crea anche, come effetto di ricaduta, un'opportunità per estendere le relazioni commerciali durature ad altri settori economici e sviluppare affinità politiche più strategiche negli affari mondali.</w:t>
      </w:r>
    </w:p>
    <w:p w14:paraId="54373C9C" w14:textId="3A56B440" w:rsidR="4E15C33F" w:rsidRDefault="009A1370" w:rsidP="00526281">
      <w:pPr>
        <w:spacing w:after="240" w:line="278" w:lineRule="auto"/>
        <w:rPr>
          <w:rFonts w:ascii="Times New Roman" w:hAnsi="Times New Roman" w:cs="Times New Roman"/>
          <w:noProof/>
        </w:rPr>
      </w:pPr>
      <w:r>
        <w:rPr>
          <w:rFonts w:ascii="Times New Roman" w:hAnsi="Times New Roman"/>
          <w:noProof/>
        </w:rPr>
        <w:t>Un primo passo fondamentale consisterebbe nel mappare le esigenze e le eventuali carenze. Sulla base dell'</w:t>
      </w:r>
      <w:r>
        <w:rPr>
          <w:rFonts w:ascii="Times New Roman" w:hAnsi="Times New Roman"/>
          <w:i/>
          <w:iCs/>
          <w:noProof/>
        </w:rPr>
        <w:t>acquis</w:t>
      </w:r>
      <w:r>
        <w:rPr>
          <w:rFonts w:ascii="Times New Roman" w:hAnsi="Times New Roman"/>
          <w:noProof/>
        </w:rPr>
        <w:t xml:space="preserve"> esistente in materia di accordi e intese con i paesi terzi, una mappatura contribuirebbe a raccogliere informazioni che rafforzano la competitività e la portata globale delle imprese dell'UE. In stretta cooperazione con le delegazioni dell'UE nei mercati strategici, una piattaforma per la condivisione delle informazioni può riunire le informazioni sulle future opportunità di appalto per sostenere l'ecosistema spaziale dell'UE. Ciò andrebbe a vantaggio delle imprese dell'UE che potrebbero ottenere nuovi contratti, stabilire una forte presenza sui mercati internazionali e stimolare la crescita e l'innovazione. Analogamente la piattaforma aiuterà anche le organizzazioni dei paesi terzi a individuare le opportunità di investimento in Europa.</w:t>
      </w:r>
    </w:p>
    <w:tbl>
      <w:tblPr>
        <w:tblStyle w:val="ListTable3-Accent1"/>
        <w:tblW w:w="0" w:type="auto"/>
        <w:tblBorders>
          <w:insideH w:val="single" w:sz="4" w:space="0" w:color="156082" w:themeColor="accent1"/>
          <w:insideV w:val="single" w:sz="4" w:space="0" w:color="156082" w:themeColor="accent1"/>
        </w:tblBorders>
        <w:tblLook w:val="04A0" w:firstRow="1" w:lastRow="0" w:firstColumn="1" w:lastColumn="0" w:noHBand="0" w:noVBand="1"/>
      </w:tblPr>
      <w:tblGrid>
        <w:gridCol w:w="9016"/>
      </w:tblGrid>
      <w:tr w:rsidR="00F749BD" w:rsidRPr="007A593C" w14:paraId="6A321C6C" w14:textId="77777777" w:rsidTr="009D1A6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71FCE18" w14:textId="64D3D708" w:rsidR="00D12966" w:rsidRPr="00B86623" w:rsidRDefault="00D12966" w:rsidP="00E0129C">
            <w:pPr>
              <w:spacing w:line="278" w:lineRule="auto"/>
              <w:rPr>
                <w:rFonts w:ascii="Times New Roman" w:hAnsi="Times New Roman" w:cs="Times New Roman"/>
                <w:noProof/>
              </w:rPr>
            </w:pPr>
            <w:r>
              <w:rPr>
                <w:rFonts w:ascii="Times New Roman" w:hAnsi="Times New Roman"/>
                <w:noProof/>
              </w:rPr>
              <w:t>Azioni previste 5</w:t>
            </w:r>
          </w:p>
        </w:tc>
      </w:tr>
      <w:tr w:rsidR="00F749BD" w:rsidRPr="007A593C" w14:paraId="0FE3901C" w14:textId="77777777" w:rsidTr="009D1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7EF928D5" w14:textId="33C925D8" w:rsidR="00820BD6" w:rsidRPr="009D1A6E" w:rsidRDefault="009D7D60" w:rsidP="009F6911">
            <w:pPr>
              <w:spacing w:line="278" w:lineRule="auto"/>
              <w:rPr>
                <w:rFonts w:ascii="Times New Roman" w:hAnsi="Times New Roman" w:cs="Times New Roman"/>
                <w:b w:val="0"/>
                <w:bCs w:val="0"/>
                <w:noProof/>
              </w:rPr>
            </w:pPr>
            <w:r>
              <w:rPr>
                <w:rFonts w:ascii="Times New Roman" w:hAnsi="Times New Roman"/>
                <w:b w:val="0"/>
                <w:noProof/>
              </w:rPr>
              <w:t>La Commissione, attraverso i vertici bilaterali e i dialoghi sullo spazio, proporrà:</w:t>
            </w:r>
          </w:p>
          <w:p w14:paraId="356462BF" w14:textId="3FF6A66C" w:rsidR="00820BD6" w:rsidRPr="009D1A6E" w:rsidRDefault="00820BD6" w:rsidP="009F6911">
            <w:pPr>
              <w:spacing w:line="278" w:lineRule="auto"/>
              <w:rPr>
                <w:rFonts w:ascii="Times New Roman" w:hAnsi="Times New Roman" w:cs="Times New Roman"/>
                <w:b w:val="0"/>
                <w:bCs w:val="0"/>
                <w:noProof/>
              </w:rPr>
            </w:pPr>
            <w:r>
              <w:rPr>
                <w:rFonts w:ascii="Times New Roman" w:hAnsi="Times New Roman"/>
                <w:b w:val="0"/>
                <w:noProof/>
              </w:rPr>
              <w:t>- misure di sviluppo delle capacità alle nazioni spaziali emergenti che diffondono le norme tecniche dell'UE;</w:t>
            </w:r>
          </w:p>
          <w:p w14:paraId="1D20D6F7" w14:textId="110C5A6B" w:rsidR="00D12966" w:rsidRPr="00697C9C" w:rsidRDefault="00820BD6" w:rsidP="009D1A6E">
            <w:pPr>
              <w:spacing w:line="278" w:lineRule="auto"/>
              <w:rPr>
                <w:rFonts w:ascii="Times New Roman" w:hAnsi="Times New Roman" w:cs="Times New Roman"/>
                <w:b w:val="0"/>
                <w:bCs w:val="0"/>
                <w:noProof/>
              </w:rPr>
            </w:pPr>
            <w:r>
              <w:rPr>
                <w:rFonts w:ascii="Times New Roman" w:hAnsi="Times New Roman"/>
                <w:b w:val="0"/>
                <w:noProof/>
              </w:rPr>
              <w:t>- l'interoperabilità dei suoi sistemi a livello mondiale.</w:t>
            </w:r>
          </w:p>
        </w:tc>
      </w:tr>
      <w:tr w:rsidR="00F749BD" w:rsidRPr="007A593C" w14:paraId="5D3D333C" w14:textId="77777777" w:rsidTr="009D1A6E">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281C3580" w14:textId="13AF1369" w:rsidR="00D12966" w:rsidRPr="0027424E" w:rsidRDefault="00820BD6" w:rsidP="00E84D13">
            <w:pPr>
              <w:spacing w:line="278" w:lineRule="auto"/>
              <w:rPr>
                <w:rFonts w:ascii="Times New Roman" w:eastAsia="Aptos" w:hAnsi="Times New Roman" w:cs="Times New Roman"/>
                <w:b w:val="0"/>
                <w:bCs w:val="0"/>
                <w:noProof/>
              </w:rPr>
            </w:pPr>
            <w:r>
              <w:rPr>
                <w:rFonts w:ascii="Times New Roman" w:hAnsi="Times New Roman"/>
                <w:b w:val="0"/>
                <w:noProof/>
              </w:rPr>
              <w:t>La Commissione, coinvolgendo le delegazioni dell'UE, creerà una piattaforma sulle opportunità di appalto nei paesi terzi.</w:t>
            </w:r>
          </w:p>
        </w:tc>
      </w:tr>
    </w:tbl>
    <w:p w14:paraId="76808AC7" w14:textId="790BAFA4" w:rsidR="006E0640" w:rsidRPr="00526281" w:rsidRDefault="00981EAC" w:rsidP="00526281">
      <w:pPr>
        <w:spacing w:before="240" w:line="278" w:lineRule="auto"/>
        <w:rPr>
          <w:rFonts w:ascii="Times New Roman" w:hAnsi="Times New Roman" w:cs="Times New Roman"/>
          <w:b/>
          <w:bCs/>
          <w:i/>
          <w:iCs/>
          <w:noProof/>
        </w:rPr>
      </w:pPr>
      <w:r>
        <w:rPr>
          <w:rFonts w:ascii="Times New Roman" w:hAnsi="Times New Roman"/>
          <w:b/>
          <w:i/>
          <w:noProof/>
        </w:rPr>
        <w:t>Elemento costitutivo VI: forza lavoro qualificata</w:t>
      </w:r>
    </w:p>
    <w:p w14:paraId="10862CBC" w14:textId="721402A6" w:rsidR="00FA4C2D" w:rsidRPr="00697C9C" w:rsidRDefault="40C2AAE2" w:rsidP="005D0C88">
      <w:pPr>
        <w:spacing w:after="120" w:line="278" w:lineRule="auto"/>
        <w:rPr>
          <w:rFonts w:ascii="Times New Roman" w:eastAsia="Times New Roman" w:hAnsi="Times New Roman" w:cs="Times New Roman"/>
          <w:noProof/>
        </w:rPr>
      </w:pPr>
      <w:r>
        <w:rPr>
          <w:rFonts w:ascii="Times New Roman" w:hAnsi="Times New Roman"/>
          <w:noProof/>
        </w:rPr>
        <w:t xml:space="preserve">Una forza lavoro qualificata costituisce un fattore abilitante trasversale dei cinque elementi costitutivi e rappresenta la spina dorsale di una fiorente economia spaziale, promuovendo l'innovazione e il progresso in un settore in rapida evoluzione ed esigente dal punto di vista tecnico. L'UE si trova tuttavia a fronteggiare la minaccia di una fuga di cervelli, in quanto numerosi professionisti di talento del settore spaziale dell'UE trovano migliori opportunità di sviluppo professionale e si trasferiscono in regioni come l'America settentrionale, il Medio Oriente e l'Asia, mettendo così a repentaglio la sicurezza tecnologica ed economica dell'UE.  </w:t>
      </w:r>
    </w:p>
    <w:p w14:paraId="434C90CE" w14:textId="6502D8DE" w:rsidR="00472DCF" w:rsidRPr="00B86623" w:rsidRDefault="40C2AAE2" w:rsidP="008E7249">
      <w:pPr>
        <w:spacing w:after="120" w:line="278" w:lineRule="auto"/>
        <w:rPr>
          <w:rFonts w:ascii="Times New Roman" w:eastAsia="Times New Roman" w:hAnsi="Times New Roman" w:cs="Times New Roman"/>
          <w:noProof/>
          <w:color w:val="000000" w:themeColor="text1"/>
        </w:rPr>
      </w:pPr>
      <w:r>
        <w:rPr>
          <w:rFonts w:ascii="Times New Roman" w:hAnsi="Times New Roman"/>
          <w:noProof/>
        </w:rPr>
        <w:t>Come annunciato nella comunicazione dell'UE "L'Unione delle competenze"</w:t>
      </w:r>
      <w:r>
        <w:rPr>
          <w:rStyle w:val="FootnoteReference"/>
          <w:rFonts w:ascii="Times New Roman" w:eastAsia="Times New Roman" w:hAnsi="Times New Roman" w:cs="Times New Roman"/>
          <w:noProof/>
        </w:rPr>
        <w:footnoteReference w:id="30"/>
      </w:r>
      <w:r>
        <w:rPr>
          <w:rFonts w:ascii="Times New Roman" w:hAnsi="Times New Roman"/>
          <w:noProof/>
        </w:rPr>
        <w:t>, l'UE svilupperà competenze e analisi specifiche per settore e darà priorità alla creazione, all'attrazione e al mantenimento dei migliori talenti, offrendo percorsi professionali appetibili e opportunità di crescita all'interno dell'UE, nonché sostenendo programmi di riqualificazione.</w:t>
      </w:r>
      <w:r>
        <w:rPr>
          <w:rFonts w:ascii="Times New Roman" w:hAnsi="Times New Roman"/>
          <w:noProof/>
          <w:color w:val="000000" w:themeColor="text1"/>
        </w:rPr>
        <w:t xml:space="preserve"> La metodologia di analisi del fabbisogno di competenze specifica per lo spazio si baserà, fra l'altro, sui partenariati attualmente in corso del patto per le competenze e dei piani per la cooperazione settoriale sulle competenze nell'ambito del programma Erasmus e sarà integrata nell'osservatorio europeo sull'analisi del fabbisogno di competenze.</w:t>
      </w:r>
    </w:p>
    <w:p w14:paraId="12B10319" w14:textId="1096805D" w:rsidR="00091143" w:rsidRPr="00697C9C" w:rsidRDefault="00E02E55" w:rsidP="005D0C88">
      <w:pPr>
        <w:spacing w:after="120" w:line="278" w:lineRule="auto"/>
        <w:rPr>
          <w:rFonts w:ascii="Times New Roman" w:eastAsia="Times New Roman" w:hAnsi="Times New Roman" w:cs="Times New Roman"/>
          <w:noProof/>
        </w:rPr>
      </w:pPr>
      <w:r>
        <w:rPr>
          <w:rFonts w:ascii="Times New Roman" w:hAnsi="Times New Roman"/>
          <w:noProof/>
        </w:rPr>
        <w:t xml:space="preserve">L'Unione delle competenze è stata accompagnata dall'avvio del piano strategico per l'istruzione in ambito scientifico, tecnologico, ingegneristico e matematico (STEM), che delinea varie misure volte a promuovere l'istruzione e la formazione STEM al fine di aumentare i talenti in tutta l'UE. Il piano prevede obiettivi ambiziosi per promuovere entro il 2030 l'iscrizione ai percorsi STEM nell'istruzione e formazione professionale (IFP), così come nell'istruzione superiore, con particolare attenzione ad attrarre un maggior numero di ragazze e donne verso tali settori. </w:t>
      </w:r>
    </w:p>
    <w:p w14:paraId="12F446BA" w14:textId="110A9C2A" w:rsidR="00F51C80" w:rsidRPr="00697C9C" w:rsidRDefault="00091143" w:rsidP="005D0C88">
      <w:pPr>
        <w:spacing w:after="120" w:line="278" w:lineRule="auto"/>
        <w:rPr>
          <w:rFonts w:ascii="Times New Roman" w:eastAsia="Times New Roman" w:hAnsi="Times New Roman" w:cs="Times New Roman"/>
          <w:noProof/>
        </w:rPr>
      </w:pPr>
      <w:r>
        <w:rPr>
          <w:rFonts w:ascii="Times New Roman" w:hAnsi="Times New Roman"/>
          <w:noProof/>
        </w:rPr>
        <w:t xml:space="preserve">Per operare nel settore aerospaziale e della difesa sono fondamentali competenze STEM avanzate. La crescita di professionisti delle STEM dell'UE non è tuttavia sufficiente per soddisfare la domanda, in particolare in settori chiave quali la cibersicurezza, la difesa e l'industria aerospaziale. Nell'UE quasi quattro PMI su cinque faticano a trovare lavoratori con le competenze necessarie in particolare per quanto riguarda le tecnologie innovative come l'IA, i semiconduttori e l'informatica quantistica, e il problema incide fortemente sulle start-up e sulle scale-up. Tali carenze si ripercuotono anche sul settore spaziale, limitando la crescita economica e soffocando l'innovazione. </w:t>
      </w:r>
    </w:p>
    <w:p w14:paraId="0C31AC03" w14:textId="12895974" w:rsidR="00091143" w:rsidRPr="00697C9C" w:rsidRDefault="00091143" w:rsidP="005D0C88">
      <w:pPr>
        <w:spacing w:after="120" w:line="278" w:lineRule="auto"/>
        <w:rPr>
          <w:rFonts w:ascii="Times New Roman" w:eastAsia="Times New Roman" w:hAnsi="Times New Roman" w:cs="Times New Roman"/>
          <w:noProof/>
          <w:highlight w:val="yellow"/>
        </w:rPr>
      </w:pPr>
      <w:r>
        <w:rPr>
          <w:rFonts w:ascii="Times New Roman" w:hAnsi="Times New Roman"/>
          <w:noProof/>
        </w:rPr>
        <w:t xml:space="preserve">Per affrontare questa sfida occorrono non solo iniziative nell'istruzione superiore, ma anche l'assunzione di un ruolo proattivo da parte degli erogatori di istruzione e formazione professionale (IFP), che sono fondamentali per promuovere la ricerca applicata e dotare la forza lavoro di competenze pratiche. Inoltre un elemento centrale del piano è quindi il rafforzamento della cooperazione tra istruzione, ricerca e imprese al fine di migliorare l'apprendimento STEM e sensibilizzare in merito alle opportunità di carriera. Creando legami più stretti tra questi settori, il piano mira a realizzare sinergie e ad agevolare il trasferimento di conoscenze in grado di ispirare gli studenti e prepararli per le future carriere STEM. </w:t>
      </w:r>
    </w:p>
    <w:p w14:paraId="6FBAE892" w14:textId="5E211602" w:rsidR="00FA62AC" w:rsidRPr="00B86623" w:rsidRDefault="00FA62AC" w:rsidP="005D0C88">
      <w:pPr>
        <w:spacing w:after="120" w:line="278" w:lineRule="auto"/>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È indispensabile disporre di programmi di studio e formazione adeguati nell'istruzione superiore. Ciò richiede la cooperazione tra tutti gli attori interessati. Il lavoro può beneficiare dei partenariati del patto per le competenze, dei relativi piani per la cooperazione settoriale sulle competenze nell'ambito del programma Erasmus e del successo della Copernicus Academy.  Nel settore della cibersicurezza le imprese spaziali e il mondo accademico dell'UE potrebbero aderire alla rete industria-università dell'accademia per le competenze in materia di cibersicurezza.  </w:t>
      </w:r>
    </w:p>
    <w:p w14:paraId="6FAD4E15" w14:textId="0B4D0A65" w:rsidR="00F51C80" w:rsidRPr="00697C9C" w:rsidRDefault="40C2AAE2" w:rsidP="005D0C88">
      <w:pPr>
        <w:spacing w:after="120" w:line="278" w:lineRule="auto"/>
        <w:rPr>
          <w:rFonts w:ascii="Times New Roman" w:eastAsia="Times New Roman" w:hAnsi="Times New Roman" w:cs="Times New Roman"/>
          <w:noProof/>
        </w:rPr>
      </w:pPr>
      <w:r>
        <w:rPr>
          <w:rFonts w:ascii="Times New Roman" w:hAnsi="Times New Roman"/>
          <w:noProof/>
        </w:rPr>
        <w:t>Occorre inoltre promuovere iniziative in materia di diversità, uguaglianza e inclusione, affrontando il problema dell'equità, dei talenti e dei divari di genere</w:t>
      </w:r>
      <w:r>
        <w:rPr>
          <w:rStyle w:val="FootnoteReference"/>
          <w:rFonts w:ascii="Times New Roman" w:eastAsia="Times New Roman" w:hAnsi="Times New Roman" w:cs="Times New Roman"/>
          <w:noProof/>
        </w:rPr>
        <w:footnoteReference w:id="31"/>
      </w:r>
      <w:r>
        <w:rPr>
          <w:rFonts w:ascii="Times New Roman" w:hAnsi="Times New Roman"/>
          <w:noProof/>
        </w:rPr>
        <w:t xml:space="preserve">. È inoltre essenziale far fronte alle sfide demografiche rispondendo alle mutevoli esigenze dell'economia spaziale. Ciò richiede una stretta collaborazione tra il mondo accademico, l'industria, gli istituti di istruzione e formazione al fine di garantire che i programmi di istruzione e formazione siano adattati alle esigenze del settore. Un esempio di un ambito oggi prioritario per la forza lavoro è rappresentato dalla necessità di professionisti della cibersicurezza per rafforzare la sicurezza dei sistemi satellitari e spaziali dell'UE. </w:t>
      </w:r>
    </w:p>
    <w:p w14:paraId="3CDCF5CB" w14:textId="4097D69B" w:rsidR="00C24D2C" w:rsidRPr="00697C9C" w:rsidRDefault="00D1366F" w:rsidP="00526281">
      <w:pPr>
        <w:spacing w:after="240" w:line="278" w:lineRule="auto"/>
        <w:rPr>
          <w:rStyle w:val="Hyperlink"/>
          <w:rFonts w:ascii="Times New Roman" w:eastAsia="Times New Roman" w:hAnsi="Times New Roman" w:cs="Times New Roman"/>
          <w:noProof/>
          <w:color w:val="467886"/>
          <w:vertAlign w:val="superscript"/>
        </w:rPr>
      </w:pPr>
      <w:r>
        <w:rPr>
          <w:rFonts w:ascii="Times New Roman" w:hAnsi="Times New Roman"/>
          <w:noProof/>
        </w:rPr>
        <w:t>Tuttavia, dal momento che il settore spaziale si evolve rapidamente, tali settori prioritari sono in continua evoluzione per stare al passo con gli sviluppi dell'industria. Le scuole superiori, le università e gli erogatori di IFP devono pertanto essere messi nelle condizioni per rispondere rapidamente alle esigenze dell'industria, fornendo agli studenti le competenze specialistiche e trasversali necessarie per avere successo.</w:t>
      </w:r>
      <w:r>
        <w:rPr>
          <w:rFonts w:ascii="Times New Roman" w:hAnsi="Times New Roman"/>
          <w:b/>
          <w:noProof/>
        </w:rPr>
        <w:t xml:space="preserve"> </w:t>
      </w:r>
      <w:r>
        <w:rPr>
          <w:rFonts w:ascii="Times New Roman" w:hAnsi="Times New Roman"/>
          <w:noProof/>
        </w:rPr>
        <w:t>È necessario riunire un'ampia gamma di portatori di interessi negli ecosistemi delle competenze, come già avviene ad esempio nel modello dei centri di eccellenza professionale e nelle alleanze delle università europee per quanto riguarda le competenze avanzate.</w:t>
      </w:r>
    </w:p>
    <w:tbl>
      <w:tblPr>
        <w:tblStyle w:val="ListTable3-Accent1"/>
        <w:tblW w:w="0" w:type="auto"/>
        <w:tblBorders>
          <w:insideH w:val="single" w:sz="4" w:space="0" w:color="156082" w:themeColor="accent1"/>
          <w:insideV w:val="single" w:sz="4" w:space="0" w:color="156082" w:themeColor="accent1"/>
        </w:tblBorders>
        <w:tblLayout w:type="fixed"/>
        <w:tblLook w:val="04A0" w:firstRow="1" w:lastRow="0" w:firstColumn="1" w:lastColumn="0" w:noHBand="0" w:noVBand="1"/>
      </w:tblPr>
      <w:tblGrid>
        <w:gridCol w:w="9015"/>
      </w:tblGrid>
      <w:tr w:rsidR="00F749BD" w:rsidRPr="007A593C" w14:paraId="367C9253" w14:textId="77777777" w:rsidTr="00A75CA6">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015" w:type="dxa"/>
            <w:tcBorders>
              <w:bottom w:val="none" w:sz="0" w:space="0" w:color="auto"/>
              <w:right w:val="none" w:sz="0" w:space="0" w:color="auto"/>
            </w:tcBorders>
          </w:tcPr>
          <w:p w14:paraId="0CFBE493" w14:textId="7B4072D2" w:rsidR="00D70011" w:rsidRPr="00B86623" w:rsidRDefault="00D70011" w:rsidP="4C5ED451">
            <w:pPr>
              <w:spacing w:line="240" w:lineRule="auto"/>
              <w:rPr>
                <w:rFonts w:ascii="Times New Roman" w:eastAsia="Times New Roman" w:hAnsi="Times New Roman" w:cs="Times New Roman"/>
                <w:noProof/>
              </w:rPr>
            </w:pPr>
            <w:r>
              <w:rPr>
                <w:rFonts w:ascii="Times New Roman" w:hAnsi="Times New Roman"/>
                <w:noProof/>
              </w:rPr>
              <w:t>Azioni previste 6</w:t>
            </w:r>
          </w:p>
        </w:tc>
      </w:tr>
      <w:tr w:rsidR="00F749BD" w:rsidRPr="007A593C" w14:paraId="70414A67" w14:textId="77777777" w:rsidTr="00A75C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15" w:type="dxa"/>
            <w:tcBorders>
              <w:top w:val="none" w:sz="0" w:space="0" w:color="auto"/>
              <w:bottom w:val="none" w:sz="0" w:space="0" w:color="auto"/>
              <w:right w:val="none" w:sz="0" w:space="0" w:color="auto"/>
            </w:tcBorders>
          </w:tcPr>
          <w:p w14:paraId="6010D022" w14:textId="68A3DB0A" w:rsidR="00472DCF" w:rsidRPr="00A75CA6" w:rsidRDefault="00472DCF" w:rsidP="00125921">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xml:space="preserve">La Commissione elaborerà una metodologia specifica per il settore spaziale al fine di: </w:t>
            </w:r>
          </w:p>
          <w:p w14:paraId="0734A840" w14:textId="36564011" w:rsidR="00472DCF" w:rsidRPr="00A75CA6" w:rsidRDefault="00472DCF" w:rsidP="00A84A16">
            <w:pPr>
              <w:spacing w:line="278" w:lineRule="auto"/>
              <w:ind w:left="164" w:hanging="164"/>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sostenere l'analisi del fabbisogno di competenze dell'Unione, contribuendo anche all'osservatorio europeo sull'analisi del fabbisogno di competenze;</w:t>
            </w:r>
          </w:p>
          <w:p w14:paraId="1460436C" w14:textId="1867BC96" w:rsidR="2265E71D" w:rsidRPr="00B86623" w:rsidRDefault="00472DCF" w:rsidP="00A84A16">
            <w:pPr>
              <w:spacing w:line="278" w:lineRule="auto"/>
              <w:ind w:left="164" w:hanging="164"/>
              <w:rPr>
                <w:rFonts w:ascii="Times New Roman" w:eastAsia="Times New Roman" w:hAnsi="Times New Roman" w:cs="Times New Roman"/>
                <w:noProof/>
                <w:color w:val="000000" w:themeColor="text1"/>
              </w:rPr>
            </w:pPr>
            <w:r>
              <w:rPr>
                <w:rFonts w:ascii="Times New Roman" w:hAnsi="Times New Roman"/>
                <w:b w:val="0"/>
                <w:noProof/>
                <w:color w:val="000000" w:themeColor="text1"/>
              </w:rPr>
              <w:t>- sostenere la classificazione delle competenze spaziali dell'UE, compresa un'adeguata inclusione del settore spaziale nella classificazione europea di abilità, competenze, qualifiche e occupazioni (ESCO).</w:t>
            </w:r>
            <w:r>
              <w:rPr>
                <w:rFonts w:ascii="Times New Roman" w:hAnsi="Times New Roman"/>
                <w:noProof/>
                <w:color w:val="000000" w:themeColor="text1"/>
              </w:rPr>
              <w:t xml:space="preserve"> </w:t>
            </w:r>
          </w:p>
        </w:tc>
      </w:tr>
      <w:tr w:rsidR="00F749BD" w:rsidRPr="007A593C" w14:paraId="44CAEDBE" w14:textId="77777777" w:rsidTr="00A75CA6">
        <w:trPr>
          <w:trHeight w:val="300"/>
        </w:trPr>
        <w:tc>
          <w:tcPr>
            <w:cnfStyle w:val="001000000000" w:firstRow="0" w:lastRow="0" w:firstColumn="1" w:lastColumn="0" w:oddVBand="0" w:evenVBand="0" w:oddHBand="0" w:evenHBand="0" w:firstRowFirstColumn="0" w:firstRowLastColumn="0" w:lastRowFirstColumn="0" w:lastRowLastColumn="0"/>
            <w:tcW w:w="9015" w:type="dxa"/>
            <w:tcBorders>
              <w:right w:val="none" w:sz="0" w:space="0" w:color="auto"/>
            </w:tcBorders>
          </w:tcPr>
          <w:p w14:paraId="7C0596CF" w14:textId="40A4DB92" w:rsidR="2265E71D" w:rsidRPr="00F82563" w:rsidRDefault="00FA62AC" w:rsidP="00125921">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xml:space="preserve">La Commissione promuoverà la cooperazione tra i portatori di interessi, il mondo accademico, comprese le alleanze universitarie europee, l'IFP, gli erogatori di formazione e le imprese, concentrandosi sullo sviluppo di programmi di studio, scambi, partenariati e borse di studio nel settore spaziale. </w:t>
            </w:r>
          </w:p>
        </w:tc>
      </w:tr>
      <w:tr w:rsidR="00F749BD" w:rsidRPr="007A593C" w14:paraId="11DDE34B" w14:textId="77777777" w:rsidTr="00A75C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15" w:type="dxa"/>
            <w:tcBorders>
              <w:top w:val="none" w:sz="0" w:space="0" w:color="auto"/>
              <w:bottom w:val="none" w:sz="0" w:space="0" w:color="auto"/>
              <w:right w:val="none" w:sz="0" w:space="0" w:color="auto"/>
            </w:tcBorders>
          </w:tcPr>
          <w:p w14:paraId="491580C8" w14:textId="6CCCB76F" w:rsidR="002374D5" w:rsidRPr="00F82563" w:rsidRDefault="00FA62AC" w:rsidP="00125921">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xml:space="preserve">La Commissione, in collaborazione con il mondo accademico, i centri di IFP e gli istituti di istruzione secondaria, intende: </w:t>
            </w:r>
          </w:p>
          <w:p w14:paraId="7AB7F11C" w14:textId="0A653CD7" w:rsidR="002374D5" w:rsidRPr="00F82563" w:rsidRDefault="002374D5" w:rsidP="00A84A16">
            <w:pPr>
              <w:spacing w:line="278" w:lineRule="auto"/>
              <w:ind w:left="164" w:hanging="142"/>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sostenere l'apprendimento permanente, il miglioramento del livello delle competenze e la riqualificazione dei professionisti, compreso un progetto pilota di garanzia per le competenze volto a sostenere la riconversione dei lavoratori in settori in fase di ristrutturazione o a rischio di disoccupazione affinché sviluppino ulteriormente le proprie carriere nel settore spaziale;</w:t>
            </w:r>
          </w:p>
          <w:p w14:paraId="23412128" w14:textId="3288CAE2" w:rsidR="2265E71D" w:rsidRPr="00125921" w:rsidRDefault="002374D5" w:rsidP="00A84A16">
            <w:pPr>
              <w:spacing w:line="278" w:lineRule="auto"/>
              <w:ind w:left="164" w:hanging="142"/>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 contribuire a dotare gli alunni dell'istruzione secondaria, l'IFP e l'istruzione terziaria di competenze STEM fondamentali per il settore spaziale attraverso l'iniziativa "STEM Tech Talent Induction".</w:t>
            </w:r>
          </w:p>
        </w:tc>
      </w:tr>
      <w:tr w:rsidR="00F749BD" w:rsidRPr="007A593C" w14:paraId="5A55921E" w14:textId="77777777" w:rsidTr="00A75CA6">
        <w:trPr>
          <w:trHeight w:val="300"/>
        </w:trPr>
        <w:tc>
          <w:tcPr>
            <w:cnfStyle w:val="001000000000" w:firstRow="0" w:lastRow="0" w:firstColumn="1" w:lastColumn="0" w:oddVBand="0" w:evenVBand="0" w:oddHBand="0" w:evenHBand="0" w:firstRowFirstColumn="0" w:firstRowLastColumn="0" w:lastRowFirstColumn="0" w:lastRowLastColumn="0"/>
            <w:tcW w:w="9015" w:type="dxa"/>
            <w:tcBorders>
              <w:right w:val="none" w:sz="0" w:space="0" w:color="auto"/>
            </w:tcBorders>
          </w:tcPr>
          <w:p w14:paraId="2D7AE296" w14:textId="10836C1E" w:rsidR="2265E71D" w:rsidRPr="004E601B" w:rsidRDefault="00FA62AC" w:rsidP="00125921">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La Commissione sosterrà la mobilità dei ricercatori nel settore spaziale attraverso strumenti dell'UE quali le azioni Marie Skłodowska-Curie, Erasmus+ e le piattaforme online Europass ed Euraxess, nonché attraverso programmi di scambio per gli studi spaziali in tutti gli Stati membri.</w:t>
            </w:r>
          </w:p>
        </w:tc>
      </w:tr>
      <w:tr w:rsidR="00F749BD" w:rsidRPr="007A593C" w14:paraId="7A0BBA14" w14:textId="77777777" w:rsidTr="00A75C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15" w:type="dxa"/>
            <w:tcBorders>
              <w:top w:val="none" w:sz="0" w:space="0" w:color="auto"/>
              <w:bottom w:val="none" w:sz="0" w:space="0" w:color="auto"/>
              <w:right w:val="none" w:sz="0" w:space="0" w:color="auto"/>
            </w:tcBorders>
          </w:tcPr>
          <w:p w14:paraId="5BF15D5E" w14:textId="29947A51" w:rsidR="00313D2C" w:rsidRPr="004E601B" w:rsidRDefault="00EC0DD9" w:rsidP="00125921">
            <w:pPr>
              <w:spacing w:line="278" w:lineRule="auto"/>
              <w:rPr>
                <w:rFonts w:ascii="Times New Roman" w:eastAsia="Times New Roman" w:hAnsi="Times New Roman" w:cs="Times New Roman"/>
                <w:b w:val="0"/>
                <w:bCs w:val="0"/>
                <w:noProof/>
                <w:color w:val="000000" w:themeColor="text1"/>
              </w:rPr>
            </w:pPr>
            <w:r>
              <w:rPr>
                <w:rFonts w:ascii="Times New Roman" w:hAnsi="Times New Roman"/>
                <w:b w:val="0"/>
                <w:noProof/>
                <w:color w:val="000000" w:themeColor="text1"/>
              </w:rPr>
              <w:t>La Commissione promuoverà la parità di genere nelle discipline STEM contribuendo al piano strategico per l'istruzione in ambito scientifico, tecnologico, ingegneristico e matematico (STEM) mediante l'introduzione di un modulo di apprendimento dedicato allo spazio nell'iniziativa "Girls Go STEM" e l'avvio di una campagna "Back to School" nell'ambito dell'iniziativa "STEM Futures" per ispirare le ragazze e coinvolgerle sin dall'inizio dell'anno accademico.</w:t>
            </w:r>
          </w:p>
        </w:tc>
      </w:tr>
    </w:tbl>
    <w:p w14:paraId="2C0597FD" w14:textId="77777777" w:rsidR="0096610C" w:rsidRDefault="0096610C" w:rsidP="6008BCE6">
      <w:pPr>
        <w:spacing w:after="0" w:line="278" w:lineRule="auto"/>
        <w:rPr>
          <w:rFonts w:ascii="Times New Roman" w:hAnsi="Times New Roman" w:cs="Times New Roman"/>
          <w:b/>
          <w:bCs/>
          <w:noProof/>
        </w:rPr>
      </w:pPr>
    </w:p>
    <w:p w14:paraId="717CFE94" w14:textId="6191E238" w:rsidR="00A56021" w:rsidRPr="00B86623" w:rsidRDefault="001221BA" w:rsidP="00526281">
      <w:pPr>
        <w:pStyle w:val="ListParagraph"/>
        <w:numPr>
          <w:ilvl w:val="0"/>
          <w:numId w:val="37"/>
        </w:numPr>
        <w:spacing w:line="278" w:lineRule="auto"/>
        <w:ind w:left="357" w:hanging="357"/>
        <w:jc w:val="left"/>
        <w:rPr>
          <w:rFonts w:ascii="Times New Roman" w:hAnsi="Times New Roman" w:cs="Times New Roman"/>
          <w:b/>
          <w:bCs/>
          <w:noProof/>
        </w:rPr>
      </w:pPr>
      <w:r>
        <w:rPr>
          <w:rFonts w:ascii="Times New Roman" w:hAnsi="Times New Roman"/>
          <w:b/>
          <w:noProof/>
        </w:rPr>
        <w:t>APPOGGIARE LE SOLUZIONI SPAZIALI A SOSTEGNO DELL'ECONOMIA EUROPEA</w:t>
      </w:r>
    </w:p>
    <w:p w14:paraId="7A4456A3" w14:textId="25023F1A" w:rsidR="006460E1" w:rsidRPr="00B86623" w:rsidRDefault="009E3CAE" w:rsidP="002B39F5">
      <w:pPr>
        <w:spacing w:after="120" w:line="278" w:lineRule="auto"/>
        <w:rPr>
          <w:rFonts w:ascii="Times New Roman" w:hAnsi="Times New Roman" w:cs="Times New Roman"/>
          <w:noProof/>
        </w:rPr>
      </w:pPr>
      <w:r>
        <w:rPr>
          <w:rFonts w:ascii="Times New Roman" w:hAnsi="Times New Roman"/>
          <w:noProof/>
        </w:rPr>
        <w:t>La rapida espansione dell'economia spaziale globale rende fondamentale la promozione di un ambiente resiliente e competitivo per le infrastrutture e i servizi spaziali dell'UE. Ciò vale in particolare se si considera che l'UE detiene attualmente il 6 % del mercato mondiale a monte e il 19 % del mercato globale a valle</w:t>
      </w:r>
      <w:r>
        <w:rPr>
          <w:rStyle w:val="FootnoteReference"/>
          <w:rFonts w:ascii="Times New Roman" w:hAnsi="Times New Roman" w:cs="Times New Roman"/>
          <w:noProof/>
        </w:rPr>
        <w:footnoteReference w:id="32"/>
      </w:r>
      <w:r>
        <w:rPr>
          <w:rFonts w:ascii="Times New Roman" w:hAnsi="Times New Roman"/>
          <w:noProof/>
        </w:rPr>
        <w:t xml:space="preserve">. La proliferazione di impianti per la produzione spaziale e di satelliti in tutto il mondo evidenzia la rapida commercializzazione dell'industria. </w:t>
      </w:r>
    </w:p>
    <w:p w14:paraId="54B7DEF8" w14:textId="3ADB8A79" w:rsidR="00A56021" w:rsidRPr="00B86623" w:rsidRDefault="1A1F1969" w:rsidP="002B39F5">
      <w:pPr>
        <w:spacing w:after="120" w:line="278" w:lineRule="auto"/>
        <w:rPr>
          <w:rFonts w:ascii="Times New Roman" w:hAnsi="Times New Roman" w:cs="Times New Roman"/>
          <w:noProof/>
        </w:rPr>
      </w:pPr>
      <w:r>
        <w:rPr>
          <w:rFonts w:ascii="Times New Roman" w:hAnsi="Times New Roman"/>
          <w:noProof/>
        </w:rPr>
        <w:t xml:space="preserve">Parallelamente a questa crescita, le tecnologie satellitari si stanno evolvendo grazie a innovazioni quali i satelliti definiti da software, la connettività satellitare </w:t>
      </w:r>
      <w:r>
        <w:rPr>
          <w:rFonts w:ascii="Times New Roman" w:hAnsi="Times New Roman"/>
          <w:i/>
          <w:iCs/>
          <w:noProof/>
        </w:rPr>
        <w:t>direct-to-device</w:t>
      </w:r>
      <w:r>
        <w:rPr>
          <w:rFonts w:ascii="Times New Roman" w:hAnsi="Times New Roman"/>
          <w:noProof/>
        </w:rPr>
        <w:t xml:space="preserve">, le comunicazioni quantistiche e l'intelligenza artificiale e l'apprendimento automatico a bordo. Tali sviluppi non solo migliorano la flessibilità e l'efficienza operativa (sia nello spazio che a terra), ma impongono anche nuove esigenze alle infrastrutture di supporto a terra. </w:t>
      </w:r>
    </w:p>
    <w:p w14:paraId="2CF1A31E" w14:textId="25E490E3" w:rsidR="00A56021" w:rsidRPr="00B86623" w:rsidRDefault="00505E05" w:rsidP="002B39F5">
      <w:pPr>
        <w:spacing w:after="120" w:line="278" w:lineRule="auto"/>
        <w:rPr>
          <w:rFonts w:ascii="Times New Roman" w:hAnsi="Times New Roman" w:cs="Times New Roman"/>
          <w:noProof/>
        </w:rPr>
      </w:pPr>
      <w:r>
        <w:rPr>
          <w:rFonts w:ascii="Times New Roman" w:hAnsi="Times New Roman"/>
          <w:noProof/>
        </w:rPr>
        <w:t>Diversi nazioni e operatori privati stanno creando capacità di lancio riutilizzabili e per carichi pesanti, che sono in grado di dispiegare carichi utili di grandi dimensioni o centinaia di satelliti in un'unica missione. Dal momento che altre potenze spaziali continuano a perfezionare l'affidabilità dei loro veicoli di lancio di prossima generazione, i prezzi di lancio probabilmente diminuiranno ulteriormente, intensificando così la concorrenza per i fornitori di servizi di lancio dell'UE. Senza un sostegno significativo per diversificare e rafforzare il proprio settore dei lanci, l'autonomia strategica dell'UE nell'accesso allo spazio potrebbe essere compromessa.</w:t>
      </w:r>
    </w:p>
    <w:p w14:paraId="4EC440C6" w14:textId="5BDD65D4" w:rsidR="00A56021" w:rsidRPr="00B86623" w:rsidRDefault="00A56021" w:rsidP="002B39F5">
      <w:pPr>
        <w:spacing w:after="120" w:line="278" w:lineRule="auto"/>
        <w:rPr>
          <w:rFonts w:ascii="Times New Roman" w:hAnsi="Times New Roman" w:cs="Times New Roman"/>
          <w:noProof/>
        </w:rPr>
      </w:pPr>
      <w:r>
        <w:rPr>
          <w:rFonts w:ascii="Times New Roman" w:hAnsi="Times New Roman"/>
          <w:noProof/>
        </w:rPr>
        <w:t>Le tensioni geopolitiche stanno ridefinendo gli investimenti nelle capacità spaziali</w:t>
      </w:r>
      <w:r>
        <w:rPr>
          <w:rStyle w:val="FootnoteReference"/>
          <w:rFonts w:ascii="Times New Roman" w:hAnsi="Times New Roman" w:cs="Times New Roman"/>
          <w:noProof/>
        </w:rPr>
        <w:footnoteReference w:id="33"/>
      </w:r>
      <w:r>
        <w:rPr>
          <w:rFonts w:ascii="Times New Roman" w:hAnsi="Times New Roman"/>
          <w:noProof/>
        </w:rPr>
        <w:t xml:space="preserve">. La guerra di aggressione della Russia nei confronti dell'Ucraina evidenzia l'importanza strategica delle capacità spaziali per la sicurezza e la difesa, nonché l'importanza della protezione delle risorse spaziali, comprese le contromisure contro le interferenze di radiofrequenza. I governi e le imprese private stanno investendo ingenti risorse in comunicazioni sicure, sorveglianza e infrastrutture spaziali resilienti, al fine di garantire la continuità operativa in momenti di crisi. Le organizzazioni private hanno svolto un ruolo fondamentale nel mantenere la comunicazione e il coordinamento operativo sul campo in Ucraina. Ciò rafforza la necessità per l'UE di potenziare le proprie capacità spaziali a sostegno della sua autonomia strategica e della sua sicurezza, comprese la difesa e la resilienza dell'Ucraina, e di garantire la sicurezza delle sue infrastrutture satellitari e spaziali. </w:t>
      </w:r>
    </w:p>
    <w:p w14:paraId="01C92665" w14:textId="3D04DEF8" w:rsidR="00020353" w:rsidRPr="00B86623" w:rsidRDefault="00A56021" w:rsidP="002B39F5">
      <w:pPr>
        <w:spacing w:after="120" w:line="278" w:lineRule="auto"/>
        <w:rPr>
          <w:rFonts w:ascii="Times New Roman" w:hAnsi="Times New Roman" w:cs="Times New Roman"/>
          <w:noProof/>
        </w:rPr>
      </w:pPr>
      <w:r>
        <w:rPr>
          <w:rFonts w:ascii="Times New Roman" w:hAnsi="Times New Roman"/>
          <w:noProof/>
        </w:rPr>
        <w:t>L'UE rafforzerà inoltre i suoi prodotti e servizi di origine spaziale, migliorando l'adozione generalizzata di soluzioni spaziali da parte degli utenti in vari settori (comprese le amministrazioni pubbliche, le industrie commerciali e gli organismi di ricerca). L'UE può quindi massimizzare i benefici economici delle tecnologie spaziali, creando un effetto a catena di crescita e innovazione che interessa molteplici industrie.</w:t>
      </w:r>
    </w:p>
    <w:p w14:paraId="12AC0F42" w14:textId="57985147" w:rsidR="00B32202" w:rsidRPr="007A593C" w:rsidRDefault="00D113DE" w:rsidP="00526281">
      <w:pPr>
        <w:pStyle w:val="ListParagraph"/>
        <w:numPr>
          <w:ilvl w:val="1"/>
          <w:numId w:val="37"/>
        </w:numPr>
        <w:spacing w:before="240" w:line="278" w:lineRule="auto"/>
        <w:ind w:left="788" w:hanging="431"/>
        <w:contextualSpacing w:val="0"/>
        <w:jc w:val="left"/>
        <w:rPr>
          <w:rFonts w:ascii="Times New Roman" w:hAnsi="Times New Roman" w:cs="Times New Roman"/>
          <w:b/>
          <w:bCs/>
          <w:noProof/>
        </w:rPr>
      </w:pPr>
      <w:r>
        <w:rPr>
          <w:rFonts w:ascii="Times New Roman" w:hAnsi="Times New Roman"/>
          <w:b/>
          <w:noProof/>
        </w:rPr>
        <w:t>INFRASTRUTTURE E PRODUZIONE</w:t>
      </w:r>
    </w:p>
    <w:p w14:paraId="5E2FCA37" w14:textId="0972F3C7" w:rsidR="00241CAD" w:rsidRPr="00D65922" w:rsidRDefault="00241CAD" w:rsidP="003101F1">
      <w:pPr>
        <w:spacing w:after="120" w:line="278" w:lineRule="auto"/>
        <w:rPr>
          <w:rFonts w:ascii="Times New Roman" w:hAnsi="Times New Roman" w:cs="Times New Roman"/>
          <w:noProof/>
        </w:rPr>
      </w:pPr>
      <w:r>
        <w:rPr>
          <w:rFonts w:ascii="Times New Roman" w:hAnsi="Times New Roman"/>
          <w:noProof/>
        </w:rPr>
        <w:t xml:space="preserve">Disporre di impianti di produzione e catene di approvvigionamento con sede nell'UE è fondamentale per l'autonomia strategica dell'UE, in quanto consentono la produzione di infrastrutture spaziali, compreso l'accesso allo spazio, ai veicoli spaziali o ai sistemi terrestri, conformemente alle norme dell'UE, garantendo l'affidabilità, la sicurezza e un livello adeguato di autonomia nell'economia spaziale globale. </w:t>
      </w:r>
    </w:p>
    <w:p w14:paraId="7773B1F2" w14:textId="6B487D43" w:rsidR="00067D49" w:rsidRDefault="62C56148" w:rsidP="00EF7899">
      <w:pPr>
        <w:spacing w:after="120" w:line="278" w:lineRule="auto"/>
        <w:rPr>
          <w:rFonts w:ascii="Times New Roman" w:hAnsi="Times New Roman" w:cs="Times New Roman"/>
          <w:noProof/>
        </w:rPr>
      </w:pPr>
      <w:r>
        <w:rPr>
          <w:rFonts w:ascii="Times New Roman" w:hAnsi="Times New Roman"/>
          <w:noProof/>
        </w:rPr>
        <w:t xml:space="preserve">Poiché le proiezioni stimano il lancio di circa 100 000 satelliti in questo decennio, il settore spaziale dell'UE deve espandere rapidamente le sue capacità di produzione di satelliti. La realizzazione di infrastrutture spaziali moderne e di costellazioni scalabili richiede una produzione di veicoli spaziali in serie che possa agevolare la commercializzazione e l'accesso ai mercati di esportazione, garantendo nel contempo la rapida diffusione di nuove capacità. </w:t>
      </w:r>
    </w:p>
    <w:p w14:paraId="4F1DADBB" w14:textId="065DCCB6" w:rsidR="004C68F7" w:rsidRDefault="004C68F7" w:rsidP="00EF7899">
      <w:pPr>
        <w:spacing w:after="120" w:line="278" w:lineRule="auto"/>
        <w:rPr>
          <w:rFonts w:ascii="Times New Roman" w:hAnsi="Times New Roman" w:cs="Times New Roman"/>
          <w:noProof/>
        </w:rPr>
      </w:pPr>
      <w:r>
        <w:rPr>
          <w:rFonts w:ascii="Times New Roman" w:hAnsi="Times New Roman"/>
          <w:noProof/>
        </w:rPr>
        <w:t>Nell'attuale contesto geopolitico e competitivo è importante che l'UE garantisca la leadership nella connettività sicura (IRIS</w:t>
      </w:r>
      <w:r>
        <w:rPr>
          <w:rFonts w:ascii="Times New Roman" w:hAnsi="Times New Roman"/>
          <w:noProof/>
          <w:vertAlign w:val="superscript"/>
        </w:rPr>
        <w:t>2</w:t>
      </w:r>
      <w:r>
        <w:rPr>
          <w:rFonts w:ascii="Times New Roman" w:hAnsi="Times New Roman"/>
          <w:noProof/>
        </w:rPr>
        <w:t xml:space="preserve">), nel posizionamento, nella navigazione e nella misurazione del tempo (Galileo, EGNOS e sistema PNT in orbita terrestre bassa), nella conoscenza dell'ambiente spaziale, nelle operazioni e nei servizi nello spazio, nell'osservazione della Terra ad altissima risoluzione e con un tempo di rivisitazione elevata, nell'intelligence, nella sorveglianza, nella ricognizione, nei sistemi di allarme immediato contro i missili e nella robotica. </w:t>
      </w:r>
    </w:p>
    <w:p w14:paraId="3315B6E9" w14:textId="2296B946" w:rsidR="00B670DA" w:rsidRPr="007A593C" w:rsidRDefault="004C68F7" w:rsidP="00EF7899">
      <w:pPr>
        <w:spacing w:after="120" w:line="278" w:lineRule="auto"/>
        <w:rPr>
          <w:rFonts w:ascii="Times New Roman" w:hAnsi="Times New Roman" w:cs="Times New Roman"/>
          <w:noProof/>
        </w:rPr>
      </w:pPr>
      <w:r>
        <w:rPr>
          <w:rFonts w:ascii="Times New Roman" w:hAnsi="Times New Roman"/>
          <w:noProof/>
        </w:rPr>
        <w:t xml:space="preserve">Sebbene siano necessari investimenti pubblici in un settore così altamente strategico e sovrano, l'UE, in cooperazione con gli Stati membri, dovrà rafforzare e intensificare le condizioni quadro del mercato unico per consentire maggiori investimenti privati in nuovi impianti di produzione e catene di approvvigionamento dell'UE in luoghi strategici, garantendo una più stretta collaborazione tra gli Stati membri dell'UE per lo sviluppo di satelliti sicuri, veicoli di lancio, soluzioni robotiche e hardware di terra (comprese antenne, terminali utente e altre tecnologie critiche). </w:t>
      </w:r>
    </w:p>
    <w:p w14:paraId="3F283842" w14:textId="5EB4D6BA" w:rsidR="00241CAD" w:rsidRPr="00B86623" w:rsidRDefault="4154DBBF" w:rsidP="00EF7899">
      <w:pPr>
        <w:spacing w:after="120" w:line="278" w:lineRule="auto"/>
        <w:rPr>
          <w:rFonts w:ascii="Times New Roman" w:hAnsi="Times New Roman" w:cs="Times New Roman"/>
          <w:noProof/>
        </w:rPr>
      </w:pPr>
      <w:r>
        <w:rPr>
          <w:rFonts w:ascii="Times New Roman" w:hAnsi="Times New Roman"/>
          <w:noProof/>
        </w:rPr>
        <w:t>Per conseguire tale obiettivo sarà necessario adottare in modo diffuso la produzione avanzata, avvalendosi della robotica, dell'intelligenza artificiale e dell'automazione, per garantire una produzione intelligente ed efficiente e mantenere la competitività globale assicurando l'indipendenza. Inoltre l'integrazione dei gemelli digitali, la simulazione e la modellizzazione sono fattori chiave nella progettazione, nella sperimentazione e nell'ottimizzazione della costruzione di satelliti e veicoli spaziali, nonché nella pianificazione di missioni spaziali complesse. Tale approccio è essenziale per evitare le sfide cui è confrontata l'industria automobilistica che, nonostante gli elevati volumi di produzione, si è trovata in difficoltà a causa delle pratiche produttive meno competitive, del costo del lavoro elevato e dei cicli di sviluppo prolungati.</w:t>
      </w:r>
    </w:p>
    <w:p w14:paraId="16D280C5" w14:textId="2255456A" w:rsidR="00B32202" w:rsidRDefault="3FA8C795" w:rsidP="00526281">
      <w:pPr>
        <w:spacing w:after="240" w:line="278" w:lineRule="auto"/>
        <w:rPr>
          <w:rFonts w:ascii="Times New Roman" w:hAnsi="Times New Roman" w:cs="Times New Roman"/>
          <w:noProof/>
        </w:rPr>
      </w:pPr>
      <w:r>
        <w:rPr>
          <w:rFonts w:ascii="Times New Roman" w:hAnsi="Times New Roman"/>
          <w:noProof/>
        </w:rPr>
        <w:t>Per sfruttare queste opportunità emergenti, il settore commerciale spaziale dell'UE deve stimolare l'innovazione</w:t>
      </w:r>
      <w:r>
        <w:rPr>
          <w:rStyle w:val="FootnoteReference"/>
          <w:rFonts w:ascii="Times New Roman" w:eastAsia="Aptos" w:hAnsi="Times New Roman" w:cs="Times New Roman"/>
          <w:noProof/>
          <w:kern w:val="2"/>
        </w:rPr>
        <w:footnoteReference w:id="34"/>
      </w:r>
      <w:r>
        <w:rPr>
          <w:rFonts w:ascii="Times New Roman" w:hAnsi="Times New Roman"/>
          <w:noProof/>
        </w:rPr>
        <w:t xml:space="preserve"> e la crescita economica, salvaguardando nel contempo l'autonomia attraverso lo sviluppo di satelliti sovrani, competitivi e indipendenti e capacità di lancio che rispondano efficacemente alle esigenze attuali e future del mercato.</w:t>
      </w:r>
    </w:p>
    <w:tbl>
      <w:tblPr>
        <w:tblStyle w:val="ListTable3-Accent1"/>
        <w:tblW w:w="0" w:type="auto"/>
        <w:tblBorders>
          <w:insideH w:val="single" w:sz="4" w:space="0" w:color="156082" w:themeColor="accent1"/>
          <w:insideV w:val="single" w:sz="4" w:space="0" w:color="156082" w:themeColor="accent1"/>
        </w:tblBorders>
        <w:tblLook w:val="04A0" w:firstRow="1" w:lastRow="0" w:firstColumn="1" w:lastColumn="0" w:noHBand="0" w:noVBand="1"/>
      </w:tblPr>
      <w:tblGrid>
        <w:gridCol w:w="9016"/>
      </w:tblGrid>
      <w:tr w:rsidR="00F749BD" w:rsidRPr="007A593C" w14:paraId="07F700AA" w14:textId="77777777" w:rsidTr="00445CE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27B28DCF" w14:textId="126BB882" w:rsidR="00B32202" w:rsidRPr="007A593C" w:rsidRDefault="00B32202" w:rsidP="00E0129C">
            <w:pPr>
              <w:spacing w:line="278" w:lineRule="auto"/>
              <w:rPr>
                <w:rFonts w:ascii="Times New Roman" w:hAnsi="Times New Roman" w:cs="Times New Roman"/>
                <w:noProof/>
              </w:rPr>
            </w:pPr>
            <w:r>
              <w:rPr>
                <w:rFonts w:ascii="Times New Roman" w:hAnsi="Times New Roman"/>
                <w:noProof/>
              </w:rPr>
              <w:t>Azioni previste 7</w:t>
            </w:r>
          </w:p>
        </w:tc>
      </w:tr>
      <w:tr w:rsidR="00F749BD" w:rsidRPr="007A593C" w14:paraId="3F3AC0D7" w14:textId="77777777" w:rsidTr="00445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29E131A8" w14:textId="24E4F1CE" w:rsidR="00B32202" w:rsidRPr="00073F8C" w:rsidRDefault="00863AF6" w:rsidP="00073F8C">
            <w:pPr>
              <w:spacing w:line="278" w:lineRule="auto"/>
              <w:rPr>
                <w:rFonts w:ascii="Times New Roman" w:hAnsi="Times New Roman" w:cs="Times New Roman"/>
                <w:b w:val="0"/>
                <w:bCs w:val="0"/>
                <w:noProof/>
              </w:rPr>
            </w:pPr>
            <w:r>
              <w:rPr>
                <w:rFonts w:ascii="Times New Roman" w:hAnsi="Times New Roman"/>
                <w:b w:val="0"/>
                <w:noProof/>
              </w:rPr>
              <w:t xml:space="preserve">La Commissione, insieme agli Stati membri, agevolerà l'espansione e l'ammodernamento delle strutture di produzione e di prova in tutta l'UE, in linea con le norme in materia di aiuti di Stato. </w:t>
            </w:r>
          </w:p>
        </w:tc>
      </w:tr>
      <w:tr w:rsidR="00F749BD" w:rsidRPr="007A593C" w14:paraId="6DF479BC" w14:textId="77777777" w:rsidTr="00445CEF">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4C04C488" w14:textId="5A9E9980" w:rsidR="00B32202" w:rsidRPr="00073F8C" w:rsidRDefault="00863AF6" w:rsidP="00073F8C">
            <w:pPr>
              <w:spacing w:line="278" w:lineRule="auto"/>
              <w:rPr>
                <w:rFonts w:ascii="Times New Roman" w:hAnsi="Times New Roman" w:cs="Times New Roman"/>
                <w:b w:val="0"/>
                <w:bCs w:val="0"/>
                <w:noProof/>
              </w:rPr>
            </w:pPr>
            <w:r>
              <w:rPr>
                <w:rFonts w:ascii="Times New Roman" w:hAnsi="Times New Roman"/>
                <w:b w:val="0"/>
                <w:noProof/>
              </w:rPr>
              <w:t>La Commissione, insieme agli Stati membri e all'ESA, proseguirà e intensificherà gli investimenti nella tecnologia satellitare di prossima generazione (ad esempio, ma non solo, nei satelliti definiti da software, nei satelliti quantistici, nei satelliti per la navigazione commerciale e nella cibersicurezza dei satelliti) attraverso una combinazione di sovvenzioni per la R&amp;S, contratti pubblici e investimenti privati.</w:t>
            </w:r>
          </w:p>
        </w:tc>
      </w:tr>
      <w:tr w:rsidR="00F749BD" w:rsidRPr="007A593C" w14:paraId="2A64512F" w14:textId="77777777" w:rsidTr="00445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56EF0374" w14:textId="49F2C0E8" w:rsidR="00B32202" w:rsidRPr="00073F8C" w:rsidRDefault="00863AF6" w:rsidP="00073F8C">
            <w:pPr>
              <w:spacing w:line="278" w:lineRule="auto"/>
              <w:rPr>
                <w:rFonts w:ascii="Times New Roman" w:hAnsi="Times New Roman" w:cs="Times New Roman"/>
                <w:b w:val="0"/>
                <w:bCs w:val="0"/>
                <w:noProof/>
              </w:rPr>
            </w:pPr>
            <w:r>
              <w:rPr>
                <w:rFonts w:ascii="Times New Roman" w:hAnsi="Times New Roman"/>
                <w:b w:val="0"/>
                <w:noProof/>
              </w:rPr>
              <w:t xml:space="preserve">La Commissione istituirà un acceleratore per la produzione nell'ambito dell'iniziativa CASSINI che offrirà servizi di consulenza all'industria spaziale per ottimizzare i processi di produzione, la logistica e le strategie di approvvigionamento. </w:t>
            </w:r>
          </w:p>
        </w:tc>
      </w:tr>
    </w:tbl>
    <w:p w14:paraId="406E612B" w14:textId="77777777" w:rsidR="00A537BC" w:rsidRDefault="00A537BC" w:rsidP="00F44536">
      <w:pPr>
        <w:spacing w:before="240" w:line="278" w:lineRule="auto"/>
        <w:rPr>
          <w:rFonts w:ascii="Times New Roman" w:hAnsi="Times New Roman" w:cs="Times New Roman"/>
          <w:b/>
          <w:bCs/>
          <w:i/>
          <w:iCs/>
          <w:noProof/>
        </w:rPr>
      </w:pPr>
    </w:p>
    <w:p w14:paraId="4000B282" w14:textId="2612F5DA" w:rsidR="00D57DD5" w:rsidRPr="008E7249" w:rsidRDefault="00E67E54" w:rsidP="00526281">
      <w:pPr>
        <w:spacing w:before="240" w:line="278" w:lineRule="auto"/>
        <w:rPr>
          <w:rFonts w:ascii="Times New Roman" w:hAnsi="Times New Roman" w:cs="Times New Roman"/>
          <w:b/>
          <w:bCs/>
          <w:i/>
          <w:iCs/>
          <w:noProof/>
        </w:rPr>
      </w:pPr>
      <w:r>
        <w:rPr>
          <w:rFonts w:ascii="Times New Roman" w:hAnsi="Times New Roman"/>
          <w:b/>
          <w:i/>
          <w:noProof/>
        </w:rPr>
        <w:t>Accesso allo spazio</w:t>
      </w:r>
    </w:p>
    <w:p w14:paraId="6C37946A" w14:textId="77777777" w:rsidR="005536DE" w:rsidRDefault="005536DE" w:rsidP="005536DE">
      <w:pPr>
        <w:spacing w:after="120" w:line="278" w:lineRule="auto"/>
        <w:rPr>
          <w:rFonts w:ascii="Times New Roman" w:hAnsi="Times New Roman" w:cs="Times New Roman"/>
          <w:noProof/>
        </w:rPr>
      </w:pPr>
      <w:r>
        <w:rPr>
          <w:rFonts w:ascii="Times New Roman" w:hAnsi="Times New Roman"/>
          <w:noProof/>
        </w:rPr>
        <w:t>L'accesso europeo allo spazio rappresenta un elemento strategico e critico della libertà d'azione dell'Europa nello spazio. Consente la diffusione autonoma e sicura di risorse spaziali che sostengono un'ampia gamma di attività economiche, sociali, ambientali e di sicurezza, a beneficio della società. Garantire un accesso europeo allo spazio autonomo, affidabile ed efficace in termini di costi è pertanto una responsabilità collettiva di tutti gli attori pubblici europei, insieme agli sforzi privati volti a rafforzare la competitività e la resilienza dei servizi di trasporto spaziale europei.</w:t>
      </w:r>
    </w:p>
    <w:p w14:paraId="18016523" w14:textId="7622A5B4" w:rsidR="005536DE" w:rsidRPr="005511D5" w:rsidRDefault="005536DE" w:rsidP="005536DE">
      <w:pPr>
        <w:spacing w:after="120" w:line="278" w:lineRule="auto"/>
        <w:rPr>
          <w:rFonts w:ascii="Times New Roman" w:hAnsi="Times New Roman" w:cs="Times New Roman"/>
          <w:noProof/>
        </w:rPr>
      </w:pPr>
      <w:r>
        <w:rPr>
          <w:rFonts w:ascii="Times New Roman" w:hAnsi="Times New Roman"/>
          <w:noProof/>
        </w:rPr>
        <w:t>I lanciatori operativi sviluppati nell'ambito dell'ESA, Ariane 6 e Vega C, continueranno a svolgere un ruolo chiave nei prossimi anni. Le nuove soluzioni di trasporto spaziale in fase di sviluppo da parte di attori privati rafforzeranno l'accesso europeo allo spazio. Tali soluzioni hanno il potenziale di ridurre i costi di lancio e spianare la strada allo sviluppo di servizi nuovi e più flessibili. Tutti questi elementi sono necessari per far fronte a una domanda commerciale e istituzionale in evoluzione, che dovrebbe aumentare nei prossimi anni, anche per quanto riguarda la sicurezza e la difesa.</w:t>
      </w:r>
    </w:p>
    <w:p w14:paraId="2917B0E3" w14:textId="77777777" w:rsidR="000F3B9C" w:rsidRDefault="72D84C6C" w:rsidP="00EF7899">
      <w:pPr>
        <w:spacing w:after="120" w:line="278" w:lineRule="auto"/>
        <w:rPr>
          <w:rFonts w:ascii="Times New Roman" w:hAnsi="Times New Roman" w:cs="Times New Roman"/>
          <w:noProof/>
        </w:rPr>
      </w:pPr>
      <w:r>
        <w:rPr>
          <w:rFonts w:ascii="Times New Roman" w:hAnsi="Times New Roman"/>
          <w:noProof/>
        </w:rPr>
        <w:t xml:space="preserve">L'UE svolge un ruolo fondamentale nel garantire tale accesso, sostenendo l'aggregazione delle esigenze del settore pubblico in materia di servizi di lancio e consentendo la creazione di un'industria del lancio forte, competitiva e resiliente in grado di fornire servizi sostenibili e pronti per il futuro. La Commissione sosterrà il consolidamento della domanda di servizi di lancio da parte di vari attori pubblici, al fine di fornire all'industria una prospettiva di mercato istituzionale e incoraggiare l'emergere di nuove soluzioni che rispondano alle esigenze attuali e future. Tuttavia l'accesso allo spazio presuppone lo sviluppo di un'attività economica sostenibile in orbita e al di fuori per assolvere alla sua finalità intrinseca. </w:t>
      </w:r>
    </w:p>
    <w:p w14:paraId="3987FC68" w14:textId="1173ADFA" w:rsidR="000F3B9C" w:rsidRDefault="000F3B9C" w:rsidP="00EF7899">
      <w:pPr>
        <w:spacing w:after="120" w:line="278" w:lineRule="auto"/>
        <w:rPr>
          <w:rFonts w:ascii="Times New Roman" w:hAnsi="Times New Roman" w:cs="Times New Roman"/>
          <w:noProof/>
        </w:rPr>
      </w:pPr>
      <w:r>
        <w:rPr>
          <w:rFonts w:ascii="Times New Roman" w:hAnsi="Times New Roman"/>
          <w:noProof/>
        </w:rPr>
        <w:t>L'agguerrita concorrenza globale, unita alla domanda vincolata e alle incertezze geopolitiche, ha dimostrato la forte necessità di rafforzare le capacità di trasporto spaziale autonome, resilienti e competitive dell'Europa. Il settore pubblico europeo sta gradualmente abbandonando il modello dei sistemi di lancio sviluppati pubblicamente per passare a un approccio agli appalti basato sui servizi e sui clienti strategici.</w:t>
      </w:r>
    </w:p>
    <w:p w14:paraId="442C8549" w14:textId="59BFFFEB" w:rsidR="00AC25E2" w:rsidRPr="00B86623" w:rsidRDefault="005536DE" w:rsidP="00EF7899">
      <w:pPr>
        <w:spacing w:after="120" w:line="278" w:lineRule="auto"/>
        <w:rPr>
          <w:rFonts w:ascii="Times New Roman" w:hAnsi="Times New Roman" w:cs="Times New Roman"/>
          <w:noProof/>
        </w:rPr>
      </w:pPr>
      <w:r>
        <w:rPr>
          <w:rFonts w:ascii="Times New Roman" w:hAnsi="Times New Roman"/>
          <w:noProof/>
        </w:rPr>
        <w:t>L'Europa deve affrontare con urgenza il crescente divario nei servizi di lancio per gli operatori commerciali di satelliti. Le capacità europee dovrebbero servire una gamma più ampia di missioni,</w:t>
      </w:r>
      <w:r>
        <w:rPr>
          <w:rFonts w:ascii="Times New Roman" w:hAnsi="Times New Roman"/>
          <w:b/>
          <w:noProof/>
        </w:rPr>
        <w:t xml:space="preserve"> </w:t>
      </w:r>
      <w:r>
        <w:rPr>
          <w:rFonts w:ascii="Times New Roman" w:hAnsi="Times New Roman"/>
          <w:noProof/>
        </w:rPr>
        <w:t>ridurre i costi di lancio e rafforzare la posizione dell'Europa sul mercato globale, sbloccando nel contempo anche opportunità nei mercati emergenti.</w:t>
      </w:r>
    </w:p>
    <w:p w14:paraId="54CD8CEA" w14:textId="35C9C4FF" w:rsidR="00A971E8" w:rsidRPr="00B86623" w:rsidRDefault="00AC25E2" w:rsidP="008E7249">
      <w:pPr>
        <w:spacing w:after="120" w:line="278" w:lineRule="auto"/>
        <w:rPr>
          <w:rFonts w:ascii="Times New Roman" w:eastAsia="Aptos" w:hAnsi="Times New Roman" w:cs="Times New Roman"/>
          <w:noProof/>
        </w:rPr>
      </w:pPr>
      <w:r>
        <w:rPr>
          <w:rFonts w:ascii="Times New Roman" w:hAnsi="Times New Roman"/>
          <w:noProof/>
        </w:rPr>
        <w:t>L'accesso allo spazio e lo sviluppo di soluzioni di lancio, dalla concezione alla commercializzazione, richiedono la diffusione di una serie completa di strumenti, tra cui premi, sovvenzioni e meccanismi di appalto per l'innovazione.</w:t>
      </w:r>
    </w:p>
    <w:p w14:paraId="301CDDA7" w14:textId="62C0ED25" w:rsidR="00634AD6" w:rsidRDefault="00A971E8" w:rsidP="00526281">
      <w:pPr>
        <w:spacing w:after="240" w:line="278" w:lineRule="auto"/>
        <w:rPr>
          <w:rFonts w:ascii="Times New Roman" w:eastAsia="Aptos" w:hAnsi="Times New Roman" w:cs="Times New Roman"/>
          <w:noProof/>
        </w:rPr>
      </w:pPr>
      <w:r>
        <w:rPr>
          <w:rFonts w:ascii="Times New Roman" w:hAnsi="Times New Roman"/>
          <w:noProof/>
        </w:rPr>
        <w:t>La Commissione e l'ESA stanno esaminando le opzioni per creare una visione a lungo termine per l'accesso allo spazio, agevolando la collaborazione, individuando le opportunità di cooperazione e definendo azioni concrete in modo coordinato e complementare.</w:t>
      </w:r>
    </w:p>
    <w:tbl>
      <w:tblPr>
        <w:tblStyle w:val="ListTable3-Accent1"/>
        <w:tblW w:w="0" w:type="auto"/>
        <w:tblBorders>
          <w:insideH w:val="single" w:sz="4" w:space="0" w:color="156082" w:themeColor="accent1"/>
          <w:insideV w:val="single" w:sz="4" w:space="0" w:color="156082" w:themeColor="accent1"/>
        </w:tblBorders>
        <w:tblLook w:val="04A0" w:firstRow="1" w:lastRow="0" w:firstColumn="1" w:lastColumn="0" w:noHBand="0" w:noVBand="1"/>
      </w:tblPr>
      <w:tblGrid>
        <w:gridCol w:w="9016"/>
      </w:tblGrid>
      <w:tr w:rsidR="00F749BD" w:rsidRPr="007A593C" w14:paraId="417A09F4" w14:textId="77777777" w:rsidTr="003E6EC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475921FF" w14:textId="475C5BAB" w:rsidR="00D57015" w:rsidRPr="00B86623" w:rsidRDefault="00D57015" w:rsidP="003E6EC7">
            <w:pPr>
              <w:spacing w:line="278" w:lineRule="auto"/>
              <w:rPr>
                <w:rFonts w:ascii="Times New Roman" w:hAnsi="Times New Roman" w:cs="Times New Roman"/>
                <w:noProof/>
              </w:rPr>
            </w:pPr>
            <w:r>
              <w:rPr>
                <w:rFonts w:ascii="Times New Roman" w:hAnsi="Times New Roman"/>
                <w:noProof/>
              </w:rPr>
              <w:t>Azioni previste 8</w:t>
            </w:r>
          </w:p>
        </w:tc>
      </w:tr>
      <w:tr w:rsidR="00F749BD" w:rsidRPr="007A593C" w14:paraId="3D6B07D6" w14:textId="77777777" w:rsidTr="003E6E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75E71705" w14:textId="6B301E12" w:rsidR="00905BCA" w:rsidRPr="003E6EC7" w:rsidRDefault="00863AF6" w:rsidP="003E6EC7">
            <w:pPr>
              <w:spacing w:line="278" w:lineRule="auto"/>
              <w:rPr>
                <w:rFonts w:ascii="Times New Roman" w:hAnsi="Times New Roman" w:cs="Times New Roman"/>
                <w:b w:val="0"/>
                <w:bCs w:val="0"/>
                <w:noProof/>
              </w:rPr>
            </w:pPr>
            <w:r>
              <w:rPr>
                <w:rFonts w:ascii="Times New Roman" w:hAnsi="Times New Roman"/>
                <w:b w:val="0"/>
                <w:noProof/>
              </w:rPr>
              <w:t>La Commissione, insieme agli Stati membri e all'ESA, proporrà una visione a lungo termine per</w:t>
            </w:r>
            <w:r>
              <w:rPr>
                <w:rFonts w:ascii="Times New Roman" w:hAnsi="Times New Roman"/>
                <w:noProof/>
              </w:rPr>
              <w:t xml:space="preserve"> il trasporto</w:t>
            </w:r>
            <w:r>
              <w:rPr>
                <w:rFonts w:ascii="Times New Roman" w:hAnsi="Times New Roman"/>
                <w:b w:val="0"/>
                <w:noProof/>
              </w:rPr>
              <w:t xml:space="preserve"> spaziale europeo. </w:t>
            </w:r>
          </w:p>
        </w:tc>
      </w:tr>
      <w:tr w:rsidR="00F749BD" w:rsidRPr="007A593C" w14:paraId="0BB4C2CE" w14:textId="77777777" w:rsidTr="003E6EC7">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01DCB913" w14:textId="2FFE9B71" w:rsidR="00D57015" w:rsidRPr="003E6EC7" w:rsidRDefault="007E6D97" w:rsidP="003E6EC7">
            <w:pPr>
              <w:spacing w:line="278" w:lineRule="auto"/>
              <w:rPr>
                <w:rFonts w:ascii="Times New Roman" w:hAnsi="Times New Roman" w:cs="Times New Roman"/>
                <w:b w:val="0"/>
                <w:bCs w:val="0"/>
                <w:noProof/>
              </w:rPr>
            </w:pPr>
            <w:r>
              <w:rPr>
                <w:rFonts w:ascii="Times New Roman" w:hAnsi="Times New Roman"/>
                <w:b w:val="0"/>
                <w:noProof/>
              </w:rPr>
              <w:t xml:space="preserve">Nel quadro della revisione in corso delle direttive sugli appalti pubblici e in linea con la bussola per la competitività la Commissione stabilirà le condizioni per promuovere la preferenza dell'UE per l'accesso allo spazio, garantendo nel contempo una procedura competitiva per gli appalti dei servizi di lancio istituzionali dell'UE, anche attraverso l'aggregazione e gli appalti congiunti. </w:t>
            </w:r>
          </w:p>
        </w:tc>
      </w:tr>
      <w:tr w:rsidR="00F749BD" w:rsidRPr="007A593C" w14:paraId="551DF1F3" w14:textId="77777777" w:rsidTr="003E6E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30A21575" w14:textId="3853EAC7" w:rsidR="00D57015" w:rsidRPr="003E6EC7" w:rsidRDefault="00A971E8" w:rsidP="003E6EC7">
            <w:pPr>
              <w:spacing w:line="278" w:lineRule="auto"/>
              <w:rPr>
                <w:rFonts w:ascii="Times New Roman" w:hAnsi="Times New Roman" w:cs="Times New Roman"/>
                <w:b w:val="0"/>
                <w:bCs w:val="0"/>
                <w:noProof/>
              </w:rPr>
            </w:pPr>
            <w:r>
              <w:rPr>
                <w:rFonts w:ascii="Times New Roman" w:hAnsi="Times New Roman"/>
                <w:b w:val="0"/>
                <w:noProof/>
              </w:rPr>
              <w:t xml:space="preserve">La Commissione, insieme agli Stati membri e all'ESA, contribuirà a mantenere, assicurarsi e ampliare le capacità delle infrastrutture terrestri (comprese le strutture di prova e di lancio), al fine di rafforzare l'autonomia generale, la resilienza e la competitività dell'accesso dell'UE allo spazio. </w:t>
            </w:r>
          </w:p>
        </w:tc>
      </w:tr>
      <w:tr w:rsidR="00F749BD" w:rsidRPr="007A593C" w14:paraId="16627C7E" w14:textId="77777777" w:rsidTr="003E6EC7">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42F399DD" w14:textId="58866F92" w:rsidR="00D80232" w:rsidRPr="003E6EC7" w:rsidRDefault="00A971E8" w:rsidP="003E6EC7">
            <w:pPr>
              <w:spacing w:line="278" w:lineRule="auto"/>
              <w:rPr>
                <w:rFonts w:ascii="Times New Roman" w:eastAsia="Aptos" w:hAnsi="Times New Roman" w:cs="Times New Roman"/>
                <w:b w:val="0"/>
                <w:bCs w:val="0"/>
                <w:noProof/>
              </w:rPr>
            </w:pPr>
            <w:r>
              <w:rPr>
                <w:rFonts w:ascii="Times New Roman" w:hAnsi="Times New Roman"/>
                <w:b w:val="0"/>
                <w:noProof/>
              </w:rPr>
              <w:t>La Commissione, insieme agli Stati membri e all'ESA, contribuirà ad accelerare il futuro accesso a soluzioni spaziali, come ad esempio la riutilizzabilità.</w:t>
            </w:r>
          </w:p>
        </w:tc>
      </w:tr>
    </w:tbl>
    <w:p w14:paraId="595FA73C" w14:textId="203B1C2B" w:rsidR="00D113DE" w:rsidRPr="008E7249" w:rsidRDefault="00E67E54" w:rsidP="00526281">
      <w:pPr>
        <w:spacing w:before="240" w:line="278" w:lineRule="auto"/>
        <w:rPr>
          <w:rFonts w:ascii="Times New Roman" w:hAnsi="Times New Roman" w:cs="Times New Roman"/>
          <w:b/>
          <w:bCs/>
          <w:i/>
          <w:iCs/>
          <w:noProof/>
        </w:rPr>
      </w:pPr>
      <w:r>
        <w:rPr>
          <w:rFonts w:ascii="Times New Roman" w:hAnsi="Times New Roman"/>
          <w:b/>
          <w:i/>
          <w:noProof/>
        </w:rPr>
        <w:t xml:space="preserve">Infrastrutture digitali per lo spazio </w:t>
      </w:r>
    </w:p>
    <w:p w14:paraId="2753D106" w14:textId="5F165880" w:rsidR="00594537" w:rsidRPr="00B86623" w:rsidRDefault="0719A1DB" w:rsidP="00EF7899">
      <w:pPr>
        <w:spacing w:after="120" w:line="278" w:lineRule="auto"/>
        <w:rPr>
          <w:rFonts w:ascii="Times New Roman" w:eastAsia="Aptos" w:hAnsi="Times New Roman" w:cs="Times New Roman"/>
          <w:noProof/>
        </w:rPr>
      </w:pPr>
      <w:r>
        <w:rPr>
          <w:rFonts w:ascii="Times New Roman" w:hAnsi="Times New Roman"/>
          <w:noProof/>
        </w:rPr>
        <w:t xml:space="preserve">Con l'evoluzione dei sistemi spaziali, le innovazioni tecnologiche delle industrie digitali, quali l'intelligenza artificiale (IA), l'apprendimento automatico, le tecnologie quantistiche, il cloud e l'edge computing, la connettività e l'interoperabilità, sono sempre più spesso adottate nel settore spaziale. Il passaggio alla digitalizzazione sta rivoluzionando il modo in cui le missioni spaziali sono progettate, gestite e ottimizzate. L'UE deve dare priorità allo sviluppo di solide infrastrutture digitali per sostenere questi progressi. </w:t>
      </w:r>
    </w:p>
    <w:p w14:paraId="3A468914" w14:textId="774E0D4C" w:rsidR="0719A1DB" w:rsidRPr="00B86623" w:rsidRDefault="4497D0FB" w:rsidP="00EF7899">
      <w:pPr>
        <w:spacing w:after="120" w:line="278" w:lineRule="auto"/>
        <w:rPr>
          <w:rFonts w:ascii="Times New Roman" w:eastAsia="Aptos" w:hAnsi="Times New Roman" w:cs="Times New Roman"/>
          <w:noProof/>
        </w:rPr>
      </w:pPr>
      <w:r>
        <w:rPr>
          <w:rFonts w:ascii="Times New Roman" w:hAnsi="Times New Roman"/>
          <w:noProof/>
        </w:rPr>
        <w:t xml:space="preserve">Il crescente volume di dati satellitari amplifica ulteriormente tale esigenza, richiedendo una capacità di conservazione notevolmente maggiore, l'accesso al calcolo ad alte prestazioni (HPC), capacità di trattamento più rapide e un accesso più efficiente all'interfaccia per programmi applicativi (API) per la distribuzione e l'analisi dei dati. Una parte di questi dati è gestita attraverso i centri dati tradizionali, ma una quota crescente sta già passando a piattaforme basate sul cloud, rendendo così possibile la maggiore scalabilità, flessibilità e accessibilità in tempo reale richiesta dalle moderne applicazioni spaziali. Uno sforzo considerevole a tale riguardo è rappresentato dall'ecosistema di spazi di dati Copernicus, una piattaforma cloud europea che offre capacità di conservazione e trattamento per un'ampia gamma di applicazioni, utilizzata da oltre 380 000 utenti registrati in tutto il mondo. </w:t>
      </w:r>
    </w:p>
    <w:p w14:paraId="13DE37F0" w14:textId="11D19B58" w:rsidR="70E92998" w:rsidRDefault="4DC2863B" w:rsidP="00EF7899">
      <w:pPr>
        <w:spacing w:after="120" w:line="278" w:lineRule="auto"/>
        <w:rPr>
          <w:rFonts w:ascii="Times New Roman" w:eastAsia="Aptos" w:hAnsi="Times New Roman" w:cs="Times New Roman"/>
          <w:noProof/>
        </w:rPr>
      </w:pPr>
      <w:r>
        <w:rPr>
          <w:rFonts w:ascii="Times New Roman" w:hAnsi="Times New Roman"/>
          <w:noProof/>
        </w:rPr>
        <w:t xml:space="preserve">La digitalizzazione delle infrastrutture del segmento di terra è fondamentale per sostenere la prossima generazione di satelliti, compresi i satelliti definiti da software e le costellazioni su larga scala. Questi satelliti moderni sono altamente dinamici e riprogrammabili e richiedono una comunicazione flessibile in tempo reale con i sistemi di terra. Solo le infrastrutture digitali, basate sul cloud e virtualizzate possono fornire tali capacità. Un segmento di terra interamente digitale consente l'automazione, la rapida scalabilità e la reattività in tempo reale, tutti elementi essenziali per gestire i frequenti aggiornamenti software, le riconfigurazioni in orbita e le attività di missione sempre più complesse. Consente inoltre un'integrazione senza soluzione di continuità con l'analisi guidate dall'IA, rafforza le misure di cibersicurezza e garantisce l'interoperabilità in un'ampia gamma di piattaforme satellitari. In tale contesto la digitalizzazione del segmento di terra non costituisce un semplice aggiornamento, ma un fattore abilitante fondamentale per i futuri sistemi spaziali e per soddisfare le esigenze di un'economia spaziale in evoluzione e ad alta intensità di dati. </w:t>
      </w:r>
    </w:p>
    <w:p w14:paraId="58044AF3" w14:textId="1AE8B534" w:rsidR="00614BAA" w:rsidRPr="00BE6AE1" w:rsidRDefault="00614BAA" w:rsidP="00EF7899">
      <w:pPr>
        <w:spacing w:after="120" w:line="278" w:lineRule="auto"/>
        <w:rPr>
          <w:rFonts w:ascii="Times New Roman" w:eastAsia="Aptos" w:hAnsi="Times New Roman" w:cs="Times New Roman"/>
          <w:noProof/>
        </w:rPr>
      </w:pPr>
      <w:r>
        <w:rPr>
          <w:rFonts w:ascii="Times New Roman" w:hAnsi="Times New Roman"/>
          <w:noProof/>
        </w:rPr>
        <w:t>Inoltre, grazie ai potenti processori di bordo, il trattamento del segnale può ora avvenire direttamente sul satellite (transponder rigenerativo). I satelliti stanno quindi diventando sempre più nodi dell'infrastruttura globale di informazione e possono trasformarsi in una rete spaziale di trattamento dei dati in grado di elaborare grandi quantità di informazioni direttamente in orbita, senza dipendere da alcuna infrastruttura terrestre.</w:t>
      </w:r>
    </w:p>
    <w:p w14:paraId="0F717360" w14:textId="1D582606" w:rsidR="006A7F0A" w:rsidRPr="00B86623" w:rsidRDefault="5F840116" w:rsidP="00EF7899">
      <w:pPr>
        <w:spacing w:after="120" w:line="278" w:lineRule="auto"/>
        <w:rPr>
          <w:rFonts w:eastAsiaTheme="majorEastAsia"/>
          <w:noProof/>
        </w:rPr>
      </w:pPr>
      <w:r>
        <w:rPr>
          <w:rFonts w:ascii="Times New Roman" w:hAnsi="Times New Roman"/>
          <w:noProof/>
        </w:rPr>
        <w:t>Per garantire la conservazione, l'accesso e la protezione efficienti del volume crescente di dati spaziali, è indispensabile una capacità cloud ed edge computing sicura, sovrana e scalabile. La maggior parte di questi dati è attualmente conservata e trattata su piattaforme cloud di paesi terzi. Il futuro atto legislativo sullo sviluppo del cloud e dell'IA</w:t>
      </w:r>
      <w:r>
        <w:rPr>
          <w:rStyle w:val="FootnoteReference"/>
          <w:rFonts w:ascii="Times New Roman" w:eastAsia="Aptos" w:hAnsi="Times New Roman" w:cs="Times New Roman"/>
          <w:noProof/>
        </w:rPr>
        <w:footnoteReference w:id="35"/>
      </w:r>
      <w:r>
        <w:rPr>
          <w:rFonts w:ascii="Times New Roman" w:hAnsi="Times New Roman"/>
          <w:noProof/>
        </w:rPr>
        <w:t xml:space="preserve"> dovrebbe quantomeno triplicare la capacità dei centri dati dell'UE entro i prossimi cinque-sette anni, rafforzare la disponibilità e l'utilizzo di servizi cloud altamente sicuri con sede nell'UE e ridurre le dipendenze esterne. Tali piattaforme dovrebbero fornire accesso in tempo reale, scalabilità ed essere ottimizzate per rispondere alle esigenze dei moderni sistemi spaziali, comprese le costellazioni su larga scala e i satelliti definiti da software</w:t>
      </w:r>
      <w:r>
        <w:rPr>
          <w:noProof/>
        </w:rPr>
        <w:t>.</w:t>
      </w:r>
    </w:p>
    <w:p w14:paraId="6255F469" w14:textId="0FE17760" w:rsidR="455633C5" w:rsidRDefault="730E908B" w:rsidP="00EF7899">
      <w:pPr>
        <w:spacing w:after="120" w:line="278" w:lineRule="auto"/>
        <w:rPr>
          <w:rFonts w:eastAsiaTheme="majorEastAsia"/>
          <w:noProof/>
        </w:rPr>
      </w:pPr>
      <w:r>
        <w:rPr>
          <w:rFonts w:ascii="Times New Roman" w:hAnsi="Times New Roman"/>
          <w:noProof/>
        </w:rPr>
        <w:t>L'atto legislativo sullo sviluppo del cloud e dell'IA sarà accompagnato da una politica unica a livello dell'UE in materia di cloud per le pubbliche amministrazioni e gli appalti pubblici,</w:t>
      </w:r>
      <w:r>
        <w:rPr>
          <w:rFonts w:ascii="Times New Roman" w:hAnsi="Times New Roman"/>
          <w:b/>
          <w:noProof/>
        </w:rPr>
        <w:t xml:space="preserve"> </w:t>
      </w:r>
      <w:r>
        <w:rPr>
          <w:rFonts w:ascii="Times New Roman" w:hAnsi="Times New Roman"/>
          <w:noProof/>
        </w:rPr>
        <w:t>che orienterà le autorità pubbliche nelle loro decisioni relative agli appalti e consentirà a queste ultime di far leva sul loro potere d'acquisto in modo più strategico. Questi sviluppi in corso devono essere sfruttati al fine di migliorare la competitività degli approcci dell'UE alla conservazione, al trattamento e all'analisi dei dati provenienti dai fornitori di dati spaziali globali.</w:t>
      </w:r>
      <w:r>
        <w:rPr>
          <w:noProof/>
        </w:rPr>
        <w:t xml:space="preserve"> </w:t>
      </w:r>
    </w:p>
    <w:p w14:paraId="34247940" w14:textId="44716553" w:rsidR="18C2C4AA" w:rsidRDefault="790E3879" w:rsidP="00526281">
      <w:pPr>
        <w:spacing w:after="240" w:line="278" w:lineRule="auto"/>
        <w:rPr>
          <w:rFonts w:ascii="Times New Roman" w:eastAsia="Aptos" w:hAnsi="Times New Roman" w:cs="Times New Roman"/>
          <w:noProof/>
        </w:rPr>
      </w:pPr>
      <w:r>
        <w:rPr>
          <w:rFonts w:ascii="Times New Roman" w:hAnsi="Times New Roman"/>
          <w:noProof/>
        </w:rPr>
        <w:t xml:space="preserve">Oltre al cloud e all'edge computing, gli spazi di dati dell'UE sono essenziali per consentire la condivisione affidabile e sovrana dei dati satellitari tra governi, istituti di ricerca e attori commerciali nell'ambito di quadri di governance chiari. Parallelamente i laboratori di dati svolgeranno un ruolo importante offrendo ambienti sicuri e collaborativi in cui ricercatori, sviluppatori e imprese possono dedicarsi alla sperimentazione con i dati spaziali, addestrare modelli di IA e sviluppare nuove applicazioni. </w:t>
      </w:r>
    </w:p>
    <w:tbl>
      <w:tblPr>
        <w:tblStyle w:val="ListTable3-Accent1"/>
        <w:tblW w:w="0" w:type="auto"/>
        <w:tblBorders>
          <w:insideH w:val="single" w:sz="4" w:space="0" w:color="156082" w:themeColor="accent1"/>
          <w:insideV w:val="single" w:sz="4" w:space="0" w:color="156082" w:themeColor="accent1"/>
        </w:tblBorders>
        <w:tblLook w:val="04A0" w:firstRow="1" w:lastRow="0" w:firstColumn="1" w:lastColumn="0" w:noHBand="0" w:noVBand="1"/>
      </w:tblPr>
      <w:tblGrid>
        <w:gridCol w:w="9016"/>
      </w:tblGrid>
      <w:tr w:rsidR="00F749BD" w:rsidRPr="007A593C" w14:paraId="7929B44B" w14:textId="77777777" w:rsidTr="0017798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2288E79A" w14:textId="3D35855D" w:rsidR="00D80232" w:rsidRPr="00B86623" w:rsidRDefault="00D80232" w:rsidP="00162441">
            <w:pPr>
              <w:spacing w:line="278" w:lineRule="auto"/>
              <w:rPr>
                <w:rFonts w:ascii="Times New Roman" w:hAnsi="Times New Roman" w:cs="Times New Roman"/>
                <w:noProof/>
              </w:rPr>
            </w:pPr>
            <w:r>
              <w:rPr>
                <w:rFonts w:ascii="Times New Roman" w:hAnsi="Times New Roman"/>
                <w:noProof/>
              </w:rPr>
              <w:t>Azioni previste 9</w:t>
            </w:r>
          </w:p>
        </w:tc>
      </w:tr>
      <w:tr w:rsidR="00F749BD" w:rsidRPr="007A593C" w14:paraId="3FBFB703" w14:textId="77777777" w:rsidTr="00177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FF687AC" w14:textId="5DFB7705" w:rsidR="00D80232" w:rsidRPr="00177987" w:rsidRDefault="006A7F0A" w:rsidP="00162441">
            <w:pPr>
              <w:pStyle w:val="paragraph"/>
              <w:spacing w:before="0" w:beforeAutospacing="0" w:after="0" w:afterAutospacing="0" w:line="278" w:lineRule="auto"/>
              <w:jc w:val="both"/>
              <w:rPr>
                <w:rFonts w:eastAsiaTheme="majorEastAsia"/>
                <w:b w:val="0"/>
                <w:bCs w:val="0"/>
                <w:noProof/>
                <w:sz w:val="22"/>
                <w:szCs w:val="22"/>
              </w:rPr>
            </w:pPr>
            <w:r>
              <w:rPr>
                <w:b w:val="0"/>
                <w:noProof/>
                <w:sz w:val="22"/>
              </w:rPr>
              <w:t xml:space="preserve">La Commissione, attraverso l'atto legislativo sullo sviluppo del cloud e dell'IA e la conseguente politica in materia di cloud, incentiverà lo sviluppo di soluzioni cloud sovrane dell'UE per i dati spaziali, al fine di ridurre la dipendenza dalle piattaforme di paesi terzi per la conservazione, il trattamento e la distribuzione dei dati satellitari e rafforzare la competitività delle soluzioni dell'UE. </w:t>
            </w:r>
          </w:p>
        </w:tc>
      </w:tr>
      <w:tr w:rsidR="00F749BD" w:rsidRPr="007A593C" w14:paraId="09A3DEFD" w14:textId="77777777" w:rsidTr="00177987">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38DCCCA6" w14:textId="6F8F922B" w:rsidR="00D80232" w:rsidRPr="00177987" w:rsidRDefault="001D01DC" w:rsidP="00162441">
            <w:pPr>
              <w:pStyle w:val="paragraph"/>
              <w:spacing w:before="0" w:beforeAutospacing="0" w:after="0" w:afterAutospacing="0" w:line="278" w:lineRule="auto"/>
              <w:jc w:val="both"/>
              <w:rPr>
                <w:rFonts w:eastAsiaTheme="majorEastAsia"/>
                <w:b w:val="0"/>
                <w:bCs w:val="0"/>
                <w:noProof/>
                <w:sz w:val="22"/>
                <w:szCs w:val="22"/>
              </w:rPr>
            </w:pPr>
            <w:r>
              <w:rPr>
                <w:b w:val="0"/>
                <w:noProof/>
                <w:sz w:val="22"/>
              </w:rPr>
              <w:t xml:space="preserve">Nelle sue politiche di digitalizzazione e nei relativi piani d'azione la Commissione sosterrà la modernizzazione dei segmenti di terra proseguendo la transizione verso infrastrutture digitali, basate sul cloud e virtualizzate, tra cui antenne, trasmettitori e ricevitori radio, apparecchiature per il trattamento del segnale, sistemi di controllo delle missioni, collegamenti di rete, sale di controllo e interfacce di monitoraggio. </w:t>
            </w:r>
          </w:p>
        </w:tc>
      </w:tr>
      <w:tr w:rsidR="00F749BD" w:rsidRPr="007A593C" w14:paraId="2FA0D006" w14:textId="77777777" w:rsidTr="00177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0B6AEB9E" w14:textId="16B456B8" w:rsidR="001D01DC" w:rsidRPr="00177987" w:rsidRDefault="001D01DC" w:rsidP="00162441">
            <w:pPr>
              <w:pStyle w:val="paragraph"/>
              <w:spacing w:before="0" w:beforeAutospacing="0" w:after="0" w:afterAutospacing="0" w:line="278" w:lineRule="auto"/>
              <w:jc w:val="both"/>
              <w:rPr>
                <w:rFonts w:eastAsiaTheme="majorEastAsia"/>
                <w:b w:val="0"/>
                <w:bCs w:val="0"/>
                <w:noProof/>
                <w:sz w:val="22"/>
                <w:szCs w:val="22"/>
              </w:rPr>
            </w:pPr>
            <w:r>
              <w:rPr>
                <w:b w:val="0"/>
                <w:noProof/>
                <w:sz w:val="22"/>
              </w:rPr>
              <w:t xml:space="preserve">Mediante le sue politiche di digitalizzazione e il relativo piano d'azione, e in particolare sulla base delle fabbriche di IA dell'UE, la Commissione istituirà spazi e laboratori di dati spaziali al fine di: </w:t>
            </w:r>
          </w:p>
          <w:p w14:paraId="09F035AD" w14:textId="12E386CF" w:rsidR="001D01DC" w:rsidRPr="00177987" w:rsidRDefault="001D01DC" w:rsidP="00AF6E31">
            <w:pPr>
              <w:pStyle w:val="paragraph"/>
              <w:spacing w:before="0" w:beforeAutospacing="0" w:after="0" w:afterAutospacing="0" w:line="278" w:lineRule="auto"/>
              <w:ind w:left="164" w:hanging="164"/>
              <w:jc w:val="both"/>
              <w:rPr>
                <w:rFonts w:eastAsiaTheme="majorEastAsia"/>
                <w:b w:val="0"/>
                <w:bCs w:val="0"/>
                <w:noProof/>
                <w:sz w:val="22"/>
                <w:szCs w:val="22"/>
              </w:rPr>
            </w:pPr>
            <w:r>
              <w:rPr>
                <w:b w:val="0"/>
                <w:noProof/>
                <w:sz w:val="22"/>
              </w:rPr>
              <w:t>- agevolare la condivisione sicura dei dati satellitari tra governi, istituti di ricerca e attori commerciali;</w:t>
            </w:r>
          </w:p>
          <w:p w14:paraId="6EAE4BDA" w14:textId="3DB75BE3" w:rsidR="00D80232" w:rsidRPr="00177987" w:rsidRDefault="001D01DC" w:rsidP="00AF6E31">
            <w:pPr>
              <w:pStyle w:val="paragraph"/>
              <w:spacing w:before="0" w:beforeAutospacing="0" w:after="0" w:afterAutospacing="0" w:line="278" w:lineRule="auto"/>
              <w:ind w:left="164" w:hanging="164"/>
              <w:jc w:val="both"/>
              <w:rPr>
                <w:rFonts w:eastAsiaTheme="majorEastAsia"/>
                <w:b w:val="0"/>
                <w:bCs w:val="0"/>
                <w:noProof/>
                <w:sz w:val="22"/>
                <w:szCs w:val="22"/>
              </w:rPr>
            </w:pPr>
            <w:r>
              <w:rPr>
                <w:b w:val="0"/>
                <w:noProof/>
                <w:sz w:val="22"/>
              </w:rPr>
              <w:t xml:space="preserve">- sostenere la creazione di laboratori di dati spaziali per fornire un ambiente collaborativo ai ricercatori, agli sviluppatori e alle imprese affinché sperimentino con i dati spaziali, addestrino modelli di IA e sviluppino nuove applicazioni. </w:t>
            </w:r>
          </w:p>
        </w:tc>
      </w:tr>
    </w:tbl>
    <w:p w14:paraId="135DB926" w14:textId="1F3DD351" w:rsidR="00D113DE" w:rsidRPr="00F44536" w:rsidRDefault="00AB6359" w:rsidP="00526281">
      <w:pPr>
        <w:pStyle w:val="ListParagraph"/>
        <w:numPr>
          <w:ilvl w:val="1"/>
          <w:numId w:val="37"/>
        </w:numPr>
        <w:spacing w:before="240" w:line="278" w:lineRule="auto"/>
        <w:ind w:left="788" w:hanging="431"/>
        <w:contextualSpacing w:val="0"/>
        <w:jc w:val="left"/>
        <w:rPr>
          <w:rFonts w:ascii="Times New Roman" w:hAnsi="Times New Roman" w:cs="Times New Roman"/>
          <w:b/>
          <w:bCs/>
          <w:noProof/>
        </w:rPr>
      </w:pPr>
      <w:r>
        <w:rPr>
          <w:rFonts w:ascii="Times New Roman" w:hAnsi="Times New Roman"/>
          <w:b/>
          <w:noProof/>
        </w:rPr>
        <w:t xml:space="preserve">SERVIZI SPAZIALI </w:t>
      </w:r>
    </w:p>
    <w:p w14:paraId="58EBEF4B" w14:textId="51EF2C25" w:rsidR="00F034FD" w:rsidRPr="00B86623" w:rsidRDefault="008408F5" w:rsidP="0067765F">
      <w:pPr>
        <w:pStyle w:val="paragraph"/>
        <w:spacing w:before="0" w:beforeAutospacing="0" w:after="120" w:afterAutospacing="0" w:line="278" w:lineRule="auto"/>
        <w:jc w:val="both"/>
        <w:rPr>
          <w:rStyle w:val="normaltextrun"/>
          <w:rFonts w:eastAsiaTheme="majorEastAsia"/>
          <w:noProof/>
          <w:sz w:val="22"/>
          <w:szCs w:val="22"/>
        </w:rPr>
      </w:pPr>
      <w:r>
        <w:rPr>
          <w:rStyle w:val="normaltextrun"/>
          <w:noProof/>
          <w:sz w:val="22"/>
        </w:rPr>
        <w:t>Una quota significativa della crescita dell'economia spaziale globale sarà trainata da dati, prodotti e servizi spaziali a valle. Oltre al suo impatto economico, le tecnologie e i servizi spaziali sono essenziali per la sicurezza e la resilienza nazionali e dell'UE, nonché per la sicurezza dei loro cittadini</w:t>
      </w:r>
      <w:r>
        <w:rPr>
          <w:noProof/>
          <w:sz w:val="22"/>
        </w:rPr>
        <w:t xml:space="preserve">. </w:t>
      </w:r>
      <w:r>
        <w:rPr>
          <w:rStyle w:val="normaltextrun"/>
          <w:noProof/>
          <w:sz w:val="22"/>
        </w:rPr>
        <w:t xml:space="preserve">Partendo da una solida infrastruttura fisica e digitale, la presente sezione esamina il modo in cui ottimizzare l'utilizzo dei servizi spaziali, tra cui l'osservazione della Terra, la navigazione, le comunicazioni e la conoscenza dell'ambiente spaziale, al fine di soddisfare efficacemente le esigenze in evoluzione degli utenti finali pubblici e privati in molteplici settori economici. </w:t>
      </w:r>
    </w:p>
    <w:p w14:paraId="5524C281" w14:textId="707BD011" w:rsidR="00B30489" w:rsidRPr="00DD7879" w:rsidRDefault="00B30489" w:rsidP="0067765F">
      <w:pPr>
        <w:pStyle w:val="paragraph"/>
        <w:spacing w:before="0" w:beforeAutospacing="0" w:after="120" w:afterAutospacing="0" w:line="278" w:lineRule="auto"/>
        <w:jc w:val="both"/>
        <w:rPr>
          <w:rStyle w:val="normaltextrun"/>
          <w:rFonts w:eastAsiaTheme="majorEastAsia"/>
          <w:noProof/>
          <w:sz w:val="22"/>
          <w:szCs w:val="22"/>
        </w:rPr>
      </w:pPr>
      <w:r>
        <w:rPr>
          <w:noProof/>
          <w:sz w:val="22"/>
        </w:rPr>
        <w:t>La connettività satellitare, che sarà ulteriormente potenziata attraverso IRIS</w:t>
      </w:r>
      <w:r>
        <w:rPr>
          <w:noProof/>
          <w:sz w:val="22"/>
          <w:vertAlign w:val="superscript"/>
        </w:rPr>
        <w:t>2</w:t>
      </w:r>
      <w:r>
        <w:rPr>
          <w:noProof/>
          <w:sz w:val="22"/>
        </w:rPr>
        <w:t xml:space="preserve">, continua a svolgere un ruolo sempre più importante nella convergenza delle reti non terrestri con le infrastrutture terrestri. La fornitura di internet a banda larga e di servizi di </w:t>
      </w:r>
      <w:r>
        <w:rPr>
          <w:i/>
          <w:iCs/>
          <w:noProof/>
          <w:sz w:val="22"/>
        </w:rPr>
        <w:t>backhauling</w:t>
      </w:r>
      <w:r>
        <w:rPr>
          <w:noProof/>
          <w:sz w:val="22"/>
        </w:rPr>
        <w:t xml:space="preserve"> è essenziale per collegare le zone remote, nonché per consentire all'UE di rispondere efficacemente alle emergenze, proteggere la propria sovranità digitale e sostenere l'autonomia, la competitività e la crescita economica. La connettività satellitare è inclusa in una parte delle norme sul 5G </w:t>
      </w:r>
      <w:r>
        <w:rPr>
          <w:rStyle w:val="normaltextrun"/>
          <w:noProof/>
          <w:sz w:val="22"/>
        </w:rPr>
        <w:t xml:space="preserve">e sarà integrata in modalità nativa nel 6G, la cui standardizzazione è prevista entro il 2030. </w:t>
      </w:r>
    </w:p>
    <w:p w14:paraId="023FACFB" w14:textId="719B9918" w:rsidR="00F70ED5" w:rsidRPr="0067765F" w:rsidRDefault="1AF09A27" w:rsidP="0067765F">
      <w:pPr>
        <w:pStyle w:val="paragraph"/>
        <w:spacing w:before="0" w:beforeAutospacing="0" w:after="120" w:afterAutospacing="0" w:line="278" w:lineRule="auto"/>
        <w:jc w:val="both"/>
        <w:rPr>
          <w:rStyle w:val="normaltextrun"/>
          <w:rFonts w:eastAsiaTheme="majorEastAsia"/>
          <w:noProof/>
        </w:rPr>
      </w:pPr>
      <w:r>
        <w:rPr>
          <w:rStyle w:val="normaltextrun"/>
          <w:noProof/>
          <w:sz w:val="22"/>
        </w:rPr>
        <w:t xml:space="preserve">I sistemi spaziali dell'UE Copernicus, Galileo ed EGNOS sono già integrati nelle operazioni di quasi tutti i settori chiave:  </w:t>
      </w:r>
      <w:r>
        <w:rPr>
          <w:noProof/>
          <w:sz w:val="22"/>
        </w:rPr>
        <w:t>sicurezza e difesa, trasporti, energia, agricoltura, gestione delle emergenze e aiuti umanitari, monitoraggio ambientale e climatico, pianificazione urbana ecc. Tuttavia il pieno potenziale economico dei loro dati e servizi rimane inutilizzato a causa della frammentazione dell'accesso, dell'incoerenza delle norme, dell'intensificazione della concorrenza da parte di paesi terzi e degli ostacoli normativi. Inoltre la resilienza di tali sistemi è essenziale per garantire la continuità dei servizi per i settori chiave critici. Nel contesto della navigazione satellitare, il rafforzamento del sistema Galileo con una componente PNT in orbita terrestre bassa (</w:t>
      </w:r>
      <w:r>
        <w:rPr>
          <w:i/>
          <w:iCs/>
          <w:noProof/>
          <w:sz w:val="22"/>
        </w:rPr>
        <w:t>Low Earth Orbit</w:t>
      </w:r>
      <w:r>
        <w:rPr>
          <w:noProof/>
          <w:sz w:val="22"/>
        </w:rPr>
        <w:t xml:space="preserve"> – LEO) consentirà il pieno sfruttamento dei servizi PNT per tali settori chiave. Analogamente la resilienza dell'osservazione della Terra sarà rafforzata da un futuro servizio governativo di osservazione della Terra che fornirà dati di intelligence geospaziale. Infine il sistema di connettività sicura IRIS² sosterrà la resilienza di altri sistemi spaziali offrendo un collegamento dati sicuro su più satelliti. Cosa ancora più importante, il funzionamento ininterrotto, nonché l'evoluzione e l'aggiornamento continui di Copernicus e Galileo/EGNOS, rimangono una priorità assoluta nell'ambito del successivo quadro giuridico che disciplina tali sistemi</w:t>
      </w:r>
      <w:r>
        <w:rPr>
          <w:rStyle w:val="normaltextrun"/>
          <w:noProof/>
        </w:rPr>
        <w:t>.</w:t>
      </w:r>
    </w:p>
    <w:p w14:paraId="59A18380" w14:textId="59103981" w:rsidR="00F70ED5" w:rsidRPr="00B86623" w:rsidRDefault="00F70ED5" w:rsidP="000B738C">
      <w:pPr>
        <w:pStyle w:val="paragraph"/>
        <w:spacing w:before="0" w:beforeAutospacing="0" w:after="240" w:afterAutospacing="0" w:line="278" w:lineRule="auto"/>
        <w:jc w:val="both"/>
        <w:rPr>
          <w:rFonts w:eastAsiaTheme="majorEastAsia"/>
          <w:noProof/>
          <w:sz w:val="22"/>
          <w:szCs w:val="22"/>
        </w:rPr>
      </w:pPr>
      <w:r>
        <w:rPr>
          <w:rStyle w:val="normaltextrun"/>
          <w:noProof/>
          <w:sz w:val="22"/>
        </w:rPr>
        <w:t>Per affrontare queste sfide e sfruttare appieno i benefici dei servizi spaziali, l'UE</w:t>
      </w:r>
      <w:r>
        <w:rPr>
          <w:rStyle w:val="normaltextrun"/>
          <w:noProof/>
        </w:rPr>
        <w:t xml:space="preserve"> </w:t>
      </w:r>
      <w:r>
        <w:rPr>
          <w:rStyle w:val="normaltextrun"/>
          <w:noProof/>
          <w:sz w:val="22"/>
        </w:rPr>
        <w:t>deve adottare</w:t>
      </w:r>
      <w:r>
        <w:rPr>
          <w:noProof/>
          <w:sz w:val="22"/>
        </w:rPr>
        <w:t xml:space="preserve"> un approccio strategico incentrato sull'utente che allinei le infrastrutture, l'innovazione e la politica alle esigenze specifiche degli utenti finali. Occorre innanzitutto prestare particolare attenzione al settore della sicurezza e della difesa, prima di proseguire con altri settori chiave quali l'energia, la preparazione e la gestione delle crisi, i trasporti, le infrastrutture critiche, il clima e l'agricoltura.</w:t>
      </w:r>
    </w:p>
    <w:p w14:paraId="0D41060A" w14:textId="4E2F007B" w:rsidR="008408F5" w:rsidRPr="00F44536" w:rsidRDefault="00E67E54" w:rsidP="00526281">
      <w:pPr>
        <w:spacing w:before="240" w:line="278" w:lineRule="auto"/>
        <w:rPr>
          <w:rFonts w:ascii="Times New Roman" w:hAnsi="Times New Roman" w:cs="Times New Roman"/>
          <w:b/>
          <w:bCs/>
          <w:i/>
          <w:iCs/>
          <w:noProof/>
        </w:rPr>
      </w:pPr>
      <w:r>
        <w:rPr>
          <w:rFonts w:ascii="Times New Roman" w:hAnsi="Times New Roman"/>
          <w:b/>
          <w:i/>
          <w:noProof/>
        </w:rPr>
        <w:t>Spazio per la sicurezza e la difesa</w:t>
      </w:r>
    </w:p>
    <w:p w14:paraId="12915B91" w14:textId="3E0A592C" w:rsidR="008408F5" w:rsidRPr="00B86623" w:rsidRDefault="2CDA6E59" w:rsidP="008E7249">
      <w:pPr>
        <w:spacing w:after="120" w:line="278" w:lineRule="auto"/>
        <w:rPr>
          <w:rFonts w:ascii="Times New Roman" w:eastAsia="Times New Roman" w:hAnsi="Times New Roman" w:cs="Times New Roman"/>
          <w:noProof/>
        </w:rPr>
      </w:pPr>
      <w:r>
        <w:rPr>
          <w:rFonts w:ascii="Times New Roman" w:hAnsi="Times New Roman"/>
          <w:noProof/>
        </w:rPr>
        <w:t>L'importanza strategica del settore spaziale per l'economia in generale è una delle ragioni principali per cui molte nazioni investono miliardi nelle infrastrutture spaziali, integrando obiettivi militari, di sicurezza, socioeconomici e tecnologici. Storicamente gli investimenti nel settore spaziale sono stati trainati dalla domanda governativa e militare. Le tendenze recenti indicano che questa dinamica non solo continua, ma si sta anche intensificando, facendo registrare notevoli aumenti degli investimenti militari in tale settore. Inoltre la distinzione tra programmi spaziali a titolo commerciale, civile e militare non è netta.</w:t>
      </w:r>
    </w:p>
    <w:p w14:paraId="5E34DBF3" w14:textId="4D29303C" w:rsidR="008408F5" w:rsidRPr="00B86623" w:rsidRDefault="2CDA6E59" w:rsidP="008E7249">
      <w:pPr>
        <w:spacing w:after="120" w:line="278" w:lineRule="auto"/>
        <w:rPr>
          <w:rFonts w:ascii="Times New Roman" w:eastAsia="Times New Roman" w:hAnsi="Times New Roman" w:cs="Times New Roman"/>
          <w:noProof/>
        </w:rPr>
      </w:pPr>
      <w:r>
        <w:rPr>
          <w:rFonts w:ascii="Times New Roman" w:hAnsi="Times New Roman"/>
          <w:noProof/>
        </w:rPr>
        <w:t>In risposta alle crescenti tensioni geopolitiche, le potenze spaziali stanno sviluppando sempre più costellazioni di satelliti governative e militari per sostenere la comunicazione, il tracciamento dei missili e la conoscenza situazionale in tempo reale per le operazioni militari. Il settore spaziale commerciale svolge un ruolo sempre più centrale nella realizzazione di tali capacità. Tuttavia nell'UE la mancanza di un approccio unificato alla spesa pubblica per lo spazio e la difesa ha portato all'attuale frammentazione industriale</w:t>
      </w:r>
      <w:r>
        <w:rPr>
          <w:rStyle w:val="FootnoteReference"/>
          <w:rFonts w:ascii="Times New Roman" w:eastAsia="Times New Roman" w:hAnsi="Times New Roman" w:cs="Times New Roman"/>
          <w:noProof/>
          <w:lang w:eastAsia="en-IE"/>
        </w:rPr>
        <w:footnoteReference w:id="36"/>
      </w:r>
      <w:r>
        <w:rPr>
          <w:rFonts w:ascii="Times New Roman" w:hAnsi="Times New Roman"/>
          <w:noProof/>
        </w:rPr>
        <w:t>. Ciò, associato a una domanda pubblica limitata, ha contribuito a creare una carenza di capacità in settori chiave quali l'intelligence, la sorveglianza e la ricognizione (ISR), rendendo l'UE dipendente da fornitori di paesi terzi per alcuni servizi di difesa critici. Per colmare tali carenze sarà necessario uno sforzo strategico coordinato tra gli Stati membri dell'UE, gli attori della difesa e i portatori di interessi dell'industria spaziale. La mappatura delle capacità esistenti e mancanti è una tappa necessaria per costruire un ecosistema spaziale e di difesa dell'UE più autonomo e resiliente.</w:t>
      </w:r>
    </w:p>
    <w:p w14:paraId="78C5A907" w14:textId="21E087A5" w:rsidR="008346B9" w:rsidRPr="008346B9" w:rsidRDefault="005626F2" w:rsidP="008E7249">
      <w:pPr>
        <w:spacing w:after="120" w:line="278" w:lineRule="auto"/>
        <w:rPr>
          <w:rFonts w:ascii="Times New Roman" w:hAnsi="Times New Roman" w:cs="Times New Roman"/>
          <w:noProof/>
        </w:rPr>
      </w:pPr>
      <w:r>
        <w:rPr>
          <w:rFonts w:ascii="Times New Roman" w:hAnsi="Times New Roman"/>
          <w:noProof/>
        </w:rPr>
        <w:t>Il crescente coinvolgimento degli attori spaziali commerciali nei conflitti geopolitici ha suscitato forti reazioni da parte delle nazioni spaziali, alcune delle quali hanno minacciato di prendere di mira e di abbattere i satelliti. Ciò evidenzia la crescente vulnerabilità delle infrastrutture spaziali agli attacchi cinetici e informatici, che possono avere effetti devastanti a lungo termine sull'economia</w:t>
      </w:r>
      <w:r>
        <w:rPr>
          <w:rStyle w:val="FootnoteReference"/>
          <w:rFonts w:ascii="Times New Roman" w:eastAsia="Times New Roman" w:hAnsi="Times New Roman" w:cs="Times New Roman"/>
          <w:noProof/>
          <w:lang w:eastAsia="en-IE"/>
        </w:rPr>
        <w:footnoteReference w:id="37"/>
      </w:r>
      <w:r>
        <w:rPr>
          <w:rFonts w:ascii="Times New Roman" w:hAnsi="Times New Roman"/>
          <w:noProof/>
        </w:rPr>
        <w:t xml:space="preserve"> e sui civili. I recenti aumenti degli attacchi informatici ai sistemi satellitari rendono più urgente la necessità di rafforzare la resilienza e la sicurezza delle risorse spaziali dell'UE contro qualsiasi forma di attacco, compresi gli attacchi ibridi, missilistici e informatici, passando a un'architettura "zero trust" per la cibersicurezza satellitare e spaziale e garantendo la capacità di sostituire rapidamente le risorse (back-up). Inoltre le interferenze di radiofrequenza (naturali, ad esempio le eruzioni solari, o provocate dall'uomo come i disturbi intenzionali e lo "spoofing") mettono a rischio la sicurezza dei servizi di trasporto europei, in particolare del trasporto aereo e marittimo, e possono compromettere il funzionamento corretto e sicuro delle infrastrutture critiche europee. Le ingerenze a scapito degli Stati membri dell'UE sono in aumento dall'inizio della guerra della Russia contro l'Ucraina. Le azioni dei regimi avversi rischiano di arrecare danni a vari settori, tra cui quelli del trasporto aereo, marittimo e terrestre, delle telecomunicazioni, dell'agricoltura e di altro tipo. Le contromisure e gli investimenti dell'UE sono necessari per proteggere le infrastrutture e numerosi attori economici.</w:t>
      </w:r>
    </w:p>
    <w:p w14:paraId="48D2538F" w14:textId="77777777" w:rsidR="00461BC3" w:rsidRPr="00461BC3" w:rsidRDefault="00461BC3" w:rsidP="008E7249">
      <w:pPr>
        <w:spacing w:after="120" w:line="278" w:lineRule="auto"/>
        <w:rPr>
          <w:rFonts w:ascii="Times New Roman" w:eastAsia="Times New Roman" w:hAnsi="Times New Roman" w:cs="Times New Roman"/>
          <w:noProof/>
        </w:rPr>
      </w:pPr>
      <w:r>
        <w:rPr>
          <w:rFonts w:ascii="Times New Roman" w:hAnsi="Times New Roman"/>
          <w:noProof/>
        </w:rPr>
        <w:t>Nell'attuale contesto geopolitico e in considerazione delle capacità militari disponibili, la prontezza alla difesa è impossibile senza la prontezza allo spazio. Pertanto lo sviluppo di sistemi di resilienza per aumentare sia la sicurezza dei sistemi spaziali dell'UE esistenti sia la fornitura ininterrotta di servizi spaziali essenziali in tutti i settori civili, come i trasporti, l'energia e la risposta alle emergenze, costituirà una misura fondamentale. Il rafforzamento delle capacità spaziali, che è fondamentale per la prontezza alla difesa nelle guerre moderne, includerebbe quindi:</w:t>
      </w:r>
    </w:p>
    <w:p w14:paraId="47DC832B" w14:textId="77777777" w:rsidR="00461BC3" w:rsidRPr="00461BC3" w:rsidRDefault="00461BC3" w:rsidP="00793A98">
      <w:pPr>
        <w:numPr>
          <w:ilvl w:val="0"/>
          <w:numId w:val="107"/>
        </w:numPr>
        <w:spacing w:after="0" w:line="278" w:lineRule="auto"/>
        <w:rPr>
          <w:rFonts w:ascii="Times New Roman" w:eastAsia="Times New Roman" w:hAnsi="Times New Roman" w:cs="Times New Roman"/>
          <w:noProof/>
        </w:rPr>
      </w:pPr>
      <w:r>
        <w:rPr>
          <w:rFonts w:ascii="Times New Roman" w:hAnsi="Times New Roman"/>
          <w:noProof/>
        </w:rPr>
        <w:t>dati di intelligence geospaziale ottenuti dallo spazio con capacità di acquisizione di immagini ad altissima risoluzione, operative in qualsiasi condizione atmosferica e caratterizzate da un tempo di rivisitazione elevata, idealmente di 30 minuti;</w:t>
      </w:r>
    </w:p>
    <w:p w14:paraId="71A0E9E0" w14:textId="77777777" w:rsidR="00461BC3" w:rsidRPr="00461BC3" w:rsidRDefault="00461BC3" w:rsidP="00793A98">
      <w:pPr>
        <w:numPr>
          <w:ilvl w:val="0"/>
          <w:numId w:val="107"/>
        </w:numPr>
        <w:spacing w:after="0" w:line="278" w:lineRule="auto"/>
        <w:rPr>
          <w:rFonts w:ascii="Times New Roman" w:eastAsia="Times New Roman" w:hAnsi="Times New Roman" w:cs="Times New Roman"/>
          <w:noProof/>
        </w:rPr>
      </w:pPr>
      <w:r>
        <w:rPr>
          <w:rFonts w:ascii="Times New Roman" w:hAnsi="Times New Roman"/>
          <w:noProof/>
        </w:rPr>
        <w:t>connettività satellitare altamente sicura e resiliente;</w:t>
      </w:r>
    </w:p>
    <w:p w14:paraId="45392DBC" w14:textId="77777777" w:rsidR="00461BC3" w:rsidRPr="00461BC3" w:rsidRDefault="00461BC3" w:rsidP="000B738C">
      <w:pPr>
        <w:numPr>
          <w:ilvl w:val="0"/>
          <w:numId w:val="107"/>
        </w:numPr>
        <w:spacing w:line="278" w:lineRule="auto"/>
        <w:ind w:left="714" w:hanging="357"/>
        <w:rPr>
          <w:rFonts w:ascii="Times New Roman" w:eastAsia="Times New Roman" w:hAnsi="Times New Roman" w:cs="Times New Roman"/>
          <w:noProof/>
        </w:rPr>
      </w:pPr>
      <w:r>
        <w:rPr>
          <w:rFonts w:ascii="Times New Roman" w:hAnsi="Times New Roman"/>
          <w:noProof/>
        </w:rPr>
        <w:t>servizi di posizionamento, navigazione e misurazione del tempo sicuri e ad alta precisione, in grado di resistere a disturbi intenzionali e allo "spoofing".</w:t>
      </w:r>
    </w:p>
    <w:p w14:paraId="3505BBDA" w14:textId="6FD91E1E" w:rsidR="00461BC3" w:rsidRDefault="00461BC3" w:rsidP="008E7249">
      <w:pPr>
        <w:spacing w:after="120" w:line="278" w:lineRule="auto"/>
        <w:rPr>
          <w:rFonts w:ascii="Times New Roman" w:eastAsia="Times New Roman" w:hAnsi="Times New Roman" w:cs="Times New Roman"/>
          <w:noProof/>
        </w:rPr>
      </w:pPr>
      <w:r>
        <w:rPr>
          <w:rFonts w:ascii="Times New Roman" w:hAnsi="Times New Roman"/>
          <w:noProof/>
        </w:rPr>
        <w:t xml:space="preserve">Alcuni di questi servizi spaziali, fondamentali per la prontezza alla difesa, esistono a livello nazionale. Taluni servizi e dati possono essere messi a disposizione da fornitori commerciali. Tuttavia essi non dispongono innanzitutto della portata necessaria per rispondere alle esigenze collettive europee e in secondo luogo non sono necessariamente interoperabili, il che significa che la loro portata è meno efficace in situazioni di minaccia a livello europeo. </w:t>
      </w:r>
    </w:p>
    <w:p w14:paraId="46D8BC72" w14:textId="77655CEE" w:rsidR="006714CC" w:rsidRPr="007A593C" w:rsidRDefault="00461BC3" w:rsidP="00526281">
      <w:pPr>
        <w:spacing w:after="240" w:line="278" w:lineRule="auto"/>
        <w:rPr>
          <w:rFonts w:ascii="Times New Roman" w:eastAsia="Times New Roman" w:hAnsi="Times New Roman" w:cs="Times New Roman"/>
          <w:noProof/>
        </w:rPr>
      </w:pPr>
      <w:r>
        <w:rPr>
          <w:rFonts w:ascii="Times New Roman" w:hAnsi="Times New Roman"/>
          <w:noProof/>
        </w:rPr>
        <w:t>È quindi evidente che, per garantire la nostra resilienza, occorre potenziare la difesa per lo spazio, ma anche lo spazio per le capacità di difesa, facendo leva sia sui sistemi esistenti sia sullo sviluppo di nuovi sistemi che assicurino le capacità spaziali più avanzate a livello dell'UE.</w:t>
      </w:r>
    </w:p>
    <w:tbl>
      <w:tblPr>
        <w:tblStyle w:val="ListTable3-Accent1"/>
        <w:tblW w:w="0" w:type="auto"/>
        <w:tblBorders>
          <w:insideH w:val="single" w:sz="4" w:space="0" w:color="156082" w:themeColor="accent1"/>
          <w:insideV w:val="single" w:sz="4" w:space="0" w:color="156082" w:themeColor="accent1"/>
        </w:tblBorders>
        <w:tblLook w:val="04A0" w:firstRow="1" w:lastRow="0" w:firstColumn="1" w:lastColumn="0" w:noHBand="0" w:noVBand="1"/>
      </w:tblPr>
      <w:tblGrid>
        <w:gridCol w:w="9016"/>
      </w:tblGrid>
      <w:tr w:rsidR="00F749BD" w:rsidRPr="007A593C" w14:paraId="29B04CE7" w14:textId="77777777" w:rsidTr="008B1FA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1AEDA3C4" w14:textId="026FEDFA" w:rsidR="008408F5" w:rsidRPr="00B86623" w:rsidRDefault="008408F5">
            <w:pPr>
              <w:spacing w:line="278" w:lineRule="auto"/>
              <w:rPr>
                <w:rFonts w:ascii="Times New Roman" w:hAnsi="Times New Roman" w:cs="Times New Roman"/>
                <w:noProof/>
              </w:rPr>
            </w:pPr>
            <w:r>
              <w:rPr>
                <w:rFonts w:ascii="Times New Roman" w:hAnsi="Times New Roman"/>
                <w:noProof/>
              </w:rPr>
              <w:t>Azioni previste 10</w:t>
            </w:r>
          </w:p>
        </w:tc>
      </w:tr>
      <w:tr w:rsidR="00F749BD" w:rsidRPr="007A593C" w14:paraId="1C49A5CB" w14:textId="77777777" w:rsidTr="008B1F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6B830452" w14:textId="55667B78" w:rsidR="008408F5" w:rsidRPr="008B1FA6" w:rsidRDefault="001D01DC" w:rsidP="008B1FA6">
            <w:pPr>
              <w:spacing w:line="278" w:lineRule="auto"/>
              <w:rPr>
                <w:rFonts w:ascii="Times New Roman" w:hAnsi="Times New Roman" w:cs="Times New Roman"/>
                <w:b w:val="0"/>
                <w:bCs w:val="0"/>
                <w:noProof/>
              </w:rPr>
            </w:pPr>
            <w:r>
              <w:rPr>
                <w:rFonts w:ascii="Times New Roman" w:hAnsi="Times New Roman"/>
                <w:b w:val="0"/>
                <w:noProof/>
              </w:rPr>
              <w:t>La Commissione, insieme agli Stati membri, fornirà una mappatura delle carenze nelle capacità commerciali spaziali per la difesa, in linea con l'approccio più ampio adottato per la prontezza alla difesa.</w:t>
            </w:r>
          </w:p>
        </w:tc>
      </w:tr>
      <w:tr w:rsidR="00F749BD" w:rsidRPr="007A593C" w14:paraId="10A9A49F" w14:textId="77777777" w:rsidTr="008B1FA6">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506A14B8" w14:textId="1ED6B8B3" w:rsidR="008408F5" w:rsidRPr="008B1FA6" w:rsidRDefault="00681841" w:rsidP="008B1FA6">
            <w:pPr>
              <w:spacing w:line="278" w:lineRule="auto"/>
              <w:rPr>
                <w:rFonts w:ascii="Times New Roman" w:eastAsia="Times New Roman" w:hAnsi="Times New Roman" w:cs="Times New Roman"/>
                <w:b w:val="0"/>
                <w:bCs w:val="0"/>
                <w:noProof/>
              </w:rPr>
            </w:pPr>
            <w:r>
              <w:rPr>
                <w:rFonts w:ascii="Times New Roman" w:hAnsi="Times New Roman"/>
                <w:b w:val="0"/>
                <w:noProof/>
              </w:rPr>
              <w:t xml:space="preserve">La Commissione, insieme agli Stati membri, promuoverà la domanda pubblica di servizi a duplice uso e di tecnologie pertinenti attraverso l'aggregazione, gli appalti congiunti e gli accordi di </w:t>
            </w:r>
            <w:r>
              <w:rPr>
                <w:rFonts w:ascii="Times New Roman" w:hAnsi="Times New Roman"/>
                <w:b w:val="0"/>
                <w:i/>
                <w:iCs/>
                <w:noProof/>
              </w:rPr>
              <w:t>anchor tenancy</w:t>
            </w:r>
            <w:r>
              <w:rPr>
                <w:rFonts w:ascii="Times New Roman" w:hAnsi="Times New Roman"/>
                <w:b w:val="0"/>
                <w:noProof/>
              </w:rPr>
              <w:t>.</w:t>
            </w:r>
          </w:p>
        </w:tc>
      </w:tr>
      <w:tr w:rsidR="00F749BD" w:rsidRPr="007A593C" w14:paraId="15C9E0E2" w14:textId="77777777" w:rsidTr="008B1F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571D3011" w14:textId="05E821B4" w:rsidR="008408F5" w:rsidRPr="008B1FA6" w:rsidRDefault="009754BF" w:rsidP="008B1FA6">
            <w:pPr>
              <w:spacing w:line="278" w:lineRule="auto"/>
              <w:rPr>
                <w:rFonts w:ascii="Times New Roman" w:hAnsi="Times New Roman" w:cs="Times New Roman"/>
                <w:b w:val="0"/>
                <w:bCs w:val="0"/>
                <w:noProof/>
              </w:rPr>
            </w:pPr>
            <w:r>
              <w:rPr>
                <w:rFonts w:ascii="Times New Roman" w:hAnsi="Times New Roman"/>
                <w:b w:val="0"/>
                <w:noProof/>
              </w:rPr>
              <w:t xml:space="preserve">La Commissione proseguirà e rafforzerà la sua politica di sicurezza fin dalla progettazione nello sviluppo dei suoi sistemi spaziali e nella conseguente fornitura di servizi, integrando i principi del duplice uso. </w:t>
            </w:r>
          </w:p>
        </w:tc>
      </w:tr>
      <w:tr w:rsidR="00F749BD" w:rsidRPr="007A593C" w14:paraId="4B820201" w14:textId="77777777" w:rsidTr="008B1FA6">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70B8D4D1" w14:textId="185F06D2" w:rsidR="006714CC" w:rsidRPr="008B1FA6" w:rsidRDefault="00333899" w:rsidP="008B1FA6">
            <w:pPr>
              <w:spacing w:line="278" w:lineRule="auto"/>
              <w:rPr>
                <w:rFonts w:ascii="Times New Roman" w:hAnsi="Times New Roman" w:cs="Times New Roman"/>
                <w:b w:val="0"/>
                <w:bCs w:val="0"/>
                <w:noProof/>
              </w:rPr>
            </w:pPr>
            <w:r>
              <w:rPr>
                <w:rFonts w:ascii="Times New Roman" w:hAnsi="Times New Roman"/>
                <w:b w:val="0"/>
                <w:noProof/>
              </w:rPr>
              <w:t>La Commissione, insieme agli Stati membri e all'ESA, esaminerà le opzioni per i sistemi spaziali a duplice uso aumentati, ossia il servizio governativo di osservazione della Terra, il posizionamento, la navigazione e la misurazione del tempo in orbita terrestre bassa, l'IRIS², il monitoraggio delle interferenze di radiofrequenza e la conoscenza dell'ambiente spaziale.</w:t>
            </w:r>
          </w:p>
        </w:tc>
      </w:tr>
    </w:tbl>
    <w:p w14:paraId="572C0487" w14:textId="2204D84C" w:rsidR="7FDAB37F" w:rsidRPr="008E7249" w:rsidRDefault="00E67E54" w:rsidP="00526281">
      <w:pPr>
        <w:spacing w:before="240" w:after="120" w:line="278" w:lineRule="auto"/>
        <w:rPr>
          <w:rFonts w:ascii="Times New Roman" w:hAnsi="Times New Roman" w:cs="Times New Roman"/>
          <w:b/>
          <w:i/>
          <w:iCs/>
          <w:noProof/>
        </w:rPr>
      </w:pPr>
      <w:r>
        <w:rPr>
          <w:rFonts w:ascii="Times New Roman" w:hAnsi="Times New Roman"/>
          <w:b/>
          <w:i/>
          <w:noProof/>
        </w:rPr>
        <w:t>Spazio per l'energia</w:t>
      </w:r>
    </w:p>
    <w:p w14:paraId="039F5392" w14:textId="627233CE" w:rsidR="00AE7943" w:rsidRPr="007A593C" w:rsidRDefault="232A87D3" w:rsidP="000B738C">
      <w:pPr>
        <w:spacing w:after="240" w:line="278" w:lineRule="auto"/>
        <w:rPr>
          <w:rFonts w:ascii="Times New Roman" w:hAnsi="Times New Roman" w:cs="Times New Roman"/>
          <w:b/>
          <w:noProof/>
        </w:rPr>
      </w:pPr>
      <w:r>
        <w:rPr>
          <w:rFonts w:ascii="Times New Roman" w:hAnsi="Times New Roman"/>
          <w:noProof/>
        </w:rPr>
        <w:t>I dati satellitari svolgono un ruolo sempre più importante nella transizione energetica. Essi sostengono la pianificazione delle energie rinnovabili prevedendo la produzione di energia solare ed eolica, ottimizzando la selezione dei siti e monitorando le prestazioni delle infrastrutture. Ad esempio i dati di Copernicus sono utilizzati dagli operatori di tutta l'UE per anticipare le perturbazioni dell'approvvigionamento e gestire il bilanciamento della rete per far fronte ai rischi legati al clima. Le soluzioni di connettività basate su IRIS² saranno valutate per le infrastrutture energetiche (ad esempio le reti intelligenti) e altre infrastrutture critiche. L'Agenzia internazionale per l'energia sostiene che i dati satellitari possono ridurre i costi di pianificazione delle infrastrutture per le energie rinnovabili fino al 50 %</w:t>
      </w:r>
      <w:r>
        <w:rPr>
          <w:rStyle w:val="FootnoteReference"/>
          <w:rFonts w:ascii="Times New Roman" w:eastAsia="Times New Roman" w:hAnsi="Times New Roman" w:cs="Times New Roman"/>
          <w:noProof/>
        </w:rPr>
        <w:footnoteReference w:id="38"/>
      </w:r>
      <w:r>
        <w:rPr>
          <w:rFonts w:ascii="Times New Roman" w:hAnsi="Times New Roman"/>
          <w:noProof/>
        </w:rPr>
        <w:t>. Con l'accelerazione della transizione dell'Europa verso l'energia pulita, il pieno sfruttamento del potenziale dei servizi satellitari sarà fondamentale per garantire la resilienza, l'efficienza e la sostenibilità nel settore dell'energia.</w:t>
      </w:r>
    </w:p>
    <w:p w14:paraId="7D4F0B49" w14:textId="7BCCFF21" w:rsidR="002D677E" w:rsidRPr="00526281" w:rsidRDefault="00E67E54" w:rsidP="00526281">
      <w:pPr>
        <w:spacing w:before="240" w:line="278" w:lineRule="auto"/>
        <w:rPr>
          <w:rFonts w:ascii="Times New Roman" w:hAnsi="Times New Roman" w:cs="Times New Roman"/>
          <w:b/>
          <w:bCs/>
          <w:i/>
          <w:iCs/>
          <w:noProof/>
        </w:rPr>
      </w:pPr>
      <w:r>
        <w:rPr>
          <w:rFonts w:ascii="Times New Roman" w:hAnsi="Times New Roman"/>
          <w:b/>
          <w:i/>
          <w:noProof/>
        </w:rPr>
        <w:t>Spazio per la preparazione e la gestione delle crisi</w:t>
      </w:r>
    </w:p>
    <w:p w14:paraId="4E49D3AE" w14:textId="20BD951B" w:rsidR="00C3335C" w:rsidRPr="007A593C" w:rsidRDefault="00567F42" w:rsidP="00EF7899">
      <w:pPr>
        <w:spacing w:after="120" w:line="278" w:lineRule="auto"/>
        <w:rPr>
          <w:rFonts w:ascii="Times New Roman" w:eastAsia="Times New Roman" w:hAnsi="Times New Roman" w:cs="Times New Roman"/>
          <w:noProof/>
        </w:rPr>
      </w:pPr>
      <w:r>
        <w:rPr>
          <w:rFonts w:ascii="Times New Roman" w:hAnsi="Times New Roman"/>
          <w:noProof/>
        </w:rPr>
        <w:t xml:space="preserve">Le tecnologie spaziali sono fondamentali per rafforzare le capacità di preparazione e risposta alle crisi dell'UE. La strategia dell'UE per l'Unione della preparazione sottolinea che servizi quali il servizio di gestione delle emergenze di Copernicus e Galileo permettono una conoscenza situazionale in tempo reale, allarmi rapidi e una comunicazione affidabile laddove le reti terrestri vengano meno. Tali capacità sono indispensabili per coordinare le operazioni di emergenza, sostenere la protezione civile, anche assicurando un accesso tempestivo alle informazioni di allarme rapido ottenute nello spazio per diffondere messaggi di allarme direttamente alla popolazione, e mitigare gli impatti delle catastrofi naturali e provocate dall'uomo. </w:t>
      </w:r>
    </w:p>
    <w:p w14:paraId="17327AD5" w14:textId="240DFA36" w:rsidR="004A6CFD" w:rsidRPr="007A593C" w:rsidRDefault="00F709F9" w:rsidP="000B738C">
      <w:pPr>
        <w:spacing w:after="240" w:line="278" w:lineRule="auto"/>
        <w:rPr>
          <w:rFonts w:ascii="Times New Roman" w:eastAsia="Times New Roman" w:hAnsi="Times New Roman" w:cs="Times New Roman"/>
          <w:noProof/>
        </w:rPr>
      </w:pPr>
      <w:r>
        <w:rPr>
          <w:rFonts w:ascii="Times New Roman" w:hAnsi="Times New Roman"/>
          <w:noProof/>
        </w:rPr>
        <w:t xml:space="preserve">Ad esempio la diffusione di IRIS² sosterrà l'istituzione del sistema europeo di comunicazione critica (EUCCS) per garantire comunicazioni critiche per la missione alle autorità pubbliche responsabili della sicurezza in tutta l'UE e nello spazio Schengen. IRIS² sarà fondamentale per ampliare la copertura dell'EUCCS in zone prive di rete mobile terrestre e per aumentarne la resilienza in caso di perturbazioni causate da pericoli naturali o ingerenze malevole. Per rafforzare ulteriormente tale iniziativa, il programma per la cibersicurezza si occuperà della preparazione e della gestione delle crisi informatiche in tutti i settori, compresi quelli in cui si applica l'architettura di risposta alle minacce spaziali, come la necessità di migliorare la conoscenza situazionale condivisa tra gli Stati membri e gli organismi dell'UE. </w:t>
      </w:r>
    </w:p>
    <w:p w14:paraId="32E1133D" w14:textId="02648F46" w:rsidR="00022ED5" w:rsidRPr="00F44536" w:rsidRDefault="00E67E54" w:rsidP="00526281">
      <w:pPr>
        <w:spacing w:before="240" w:line="278" w:lineRule="auto"/>
        <w:rPr>
          <w:rFonts w:ascii="Times New Roman" w:hAnsi="Times New Roman" w:cs="Times New Roman"/>
          <w:b/>
          <w:bCs/>
          <w:i/>
          <w:iCs/>
          <w:noProof/>
        </w:rPr>
      </w:pPr>
      <w:r>
        <w:rPr>
          <w:rFonts w:ascii="Times New Roman" w:hAnsi="Times New Roman"/>
          <w:b/>
          <w:i/>
          <w:noProof/>
        </w:rPr>
        <w:t xml:space="preserve">Spazio per i trasporti </w:t>
      </w:r>
    </w:p>
    <w:p w14:paraId="5219A492" w14:textId="0DF20063" w:rsidR="002D677E" w:rsidRPr="007A593C" w:rsidRDefault="003A246B" w:rsidP="00EF7899">
      <w:pPr>
        <w:spacing w:after="120" w:line="278" w:lineRule="auto"/>
        <w:rPr>
          <w:rFonts w:ascii="Times New Roman" w:hAnsi="Times New Roman" w:cs="Times New Roman"/>
          <w:noProof/>
          <w:highlight w:val="yellow"/>
        </w:rPr>
      </w:pPr>
      <w:r>
        <w:rPr>
          <w:rFonts w:ascii="Times New Roman" w:hAnsi="Times New Roman"/>
          <w:noProof/>
        </w:rPr>
        <w:t xml:space="preserve">L'UE è all'avanguardia nell'integrazione tra trasporti e spazio. La meteorologia operativa, il posizionamento, la navigazione e la misurazione del tempo, nonché la connettività sicura, sono sistemi essenziali per tutti i modi di trasporto, dall'aviazione civile (ad esempio approcci e scelta delle rotte) al trasporto marittimo (navi connesse/automatizzate), stradale (veicoli senza conducente) e ferroviario (sistema europeo di gestione del traffico ferroviario, ERTMS). Il piano d'azione industriale per il settore automobilistico europeo chiede che i software e le apparecchiature di tale settore siano progettati per utilizzare dati e servizi spaziali per la navigazione, il posizionamento ad alta precisione, l'osservazione della Terra e la connettività sicura (quali forniti rispettivamente dai sistemi dell'UE Galileo/EGNOS, Copernicus e, a breve, IRIS²). IRIS² sarà inclusa nei piani generali relativi ai settori del trasporto aereo, marittimo e ferroviario. </w:t>
      </w:r>
    </w:p>
    <w:p w14:paraId="5F21043A" w14:textId="27F7DFE8" w:rsidR="00F8E7E1" w:rsidRPr="007A593C" w:rsidRDefault="00981124" w:rsidP="000B738C">
      <w:pPr>
        <w:spacing w:after="240" w:line="278" w:lineRule="auto"/>
        <w:rPr>
          <w:rFonts w:ascii="Times New Roman" w:eastAsia="Times New Roman" w:hAnsi="Times New Roman" w:cs="Times New Roman"/>
          <w:b/>
          <w:noProof/>
        </w:rPr>
      </w:pPr>
      <w:r>
        <w:rPr>
          <w:rFonts w:ascii="Times New Roman" w:hAnsi="Times New Roman"/>
          <w:noProof/>
        </w:rPr>
        <w:t>Il ruolo cruciale dei servizi spaziali nei trasporti richiede che tali sistemi siano protetti dai rischi naturali e da altre minacce. L'UE elaborerà pertanto soluzioni per il monitoraggio delle interferenze di radiofrequenza che genereranno relazioni e mappe trattando dati provenienti da varie fonti, tra cui dati aperti, sensori di terra e satelliti (commerciali e di proprietà dell'UE), al fine di avvertire tempestivamente le comunità di utenti dell'impatto sui segnali PNT. Inoltre l'UE rafforzerà la resilienza e la solidità dei suoi sistemi e servizi spaziali con l'introduzione di una componente complementare operante nell'orbita terrestre bassa (LEO-PNT) in grado di fornire servizi PNT con una resistenza molto maggiore alle interferenze, garantendo quindi un beneficio diretto ai trasporti. Analogamente la ritrasmissione dei dati da parte del sistema di connettività sicura IRIS² aumenterà la resilienza dei vari modi di trasporto e delle varie infrastrutture (tra cui ferrovie, trasporti marittimi, aviazione civile e porti) e ne sosterrà il funzionamento sicuro e senza soluzione di continuità in quanto infrastrutture critiche.</w:t>
      </w:r>
    </w:p>
    <w:p w14:paraId="0C37F967" w14:textId="6C0378E5" w:rsidR="413A3FA2" w:rsidRPr="00F44536" w:rsidRDefault="00E67E54" w:rsidP="00526281">
      <w:pPr>
        <w:spacing w:before="240" w:line="278" w:lineRule="auto"/>
        <w:rPr>
          <w:rFonts w:ascii="Times New Roman" w:hAnsi="Times New Roman" w:cs="Times New Roman"/>
          <w:b/>
          <w:bCs/>
          <w:i/>
          <w:iCs/>
          <w:noProof/>
        </w:rPr>
      </w:pPr>
      <w:r>
        <w:rPr>
          <w:rFonts w:ascii="Times New Roman" w:hAnsi="Times New Roman"/>
          <w:b/>
          <w:i/>
          <w:noProof/>
        </w:rPr>
        <w:t>Spazio per le infrastrutture critiche</w:t>
      </w:r>
    </w:p>
    <w:p w14:paraId="74D79F89" w14:textId="200BD6A2" w:rsidR="00423677" w:rsidRPr="007A593C" w:rsidRDefault="00423677" w:rsidP="004B7C26">
      <w:pPr>
        <w:spacing w:after="120" w:line="278" w:lineRule="auto"/>
        <w:rPr>
          <w:rFonts w:ascii="Times New Roman" w:eastAsiaTheme="minorEastAsia" w:hAnsi="Times New Roman" w:cs="Times New Roman"/>
          <w:noProof/>
        </w:rPr>
      </w:pPr>
      <w:r>
        <w:rPr>
          <w:rFonts w:ascii="Times New Roman" w:hAnsi="Times New Roman"/>
          <w:noProof/>
        </w:rPr>
        <w:t xml:space="preserve">I sistemi spaziali forniscono un sostegno fondamentale alle infrastrutture critiche dell'UE. L'osservazione della Terra aiuta a monitorare i corridoi di trasporto, le condotte per il trasporto di energia e i porti individuando anomalie e i primi segni di deterioramento. Per quanto riguarda la navigazione satellitare, l'applicazione Galileo Green Lane ha consentito una circolazione transfrontaliera efficiente dei beni essenziali durante la pandemia di COVID-19. Galileo ed EGNOS migliorano inoltre la sicurezza e l'efficienza dei trasporti. Le comunicazioni satellitari garantiscono continuità nei casi in cui i sistemi terrestri siano compromessi. </w:t>
      </w:r>
    </w:p>
    <w:p w14:paraId="0D9C5B46" w14:textId="7BBBD443" w:rsidR="009B6483" w:rsidRPr="007A593C" w:rsidRDefault="00F82CBB" w:rsidP="000B738C">
      <w:pPr>
        <w:spacing w:after="240" w:line="278" w:lineRule="auto"/>
        <w:rPr>
          <w:rFonts w:ascii="Times New Roman" w:eastAsiaTheme="minorEastAsia" w:hAnsi="Times New Roman" w:cs="Times New Roman"/>
          <w:bCs/>
          <w:noProof/>
        </w:rPr>
      </w:pPr>
      <w:r>
        <w:rPr>
          <w:rFonts w:ascii="Times New Roman" w:hAnsi="Times New Roman"/>
          <w:noProof/>
        </w:rPr>
        <w:t>Gli operatori di diversi settori si affidano sempre di più ai servizi satellitari per le infrastrutture critiche (come gli impianti energetici o nucleari). Nelle aree urbane i servizi di osservazione della Terra via satellite sostengono strategie di adattamento ai cambiamenti climatici tracciando le isole di calore, i cambiamenti della destinazione dei suoli e le sfide in materia di gestione delle risorse idriche. La diffusione di IRIS² rafforzerà ulteriormente le infrastrutture critiche dell'UE offrendo una connettività resiliente e sicura, in particolare nelle regioni in cui le connessioni sono scarse o assenti o in quelle colpite da catastrofi. Inoltre la diffusione di IRIS</w:t>
      </w:r>
      <w:r>
        <w:rPr>
          <w:rFonts w:ascii="Times New Roman" w:hAnsi="Times New Roman"/>
          <w:noProof/>
          <w:vertAlign w:val="superscript"/>
        </w:rPr>
        <w:t>2</w:t>
      </w:r>
      <w:r>
        <w:rPr>
          <w:rFonts w:ascii="Times New Roman" w:hAnsi="Times New Roman"/>
          <w:noProof/>
        </w:rPr>
        <w:t xml:space="preserve"> deve essere compatibile con l'integrazione delle reti 5G e 6G (integrazione TN-NTN), coordinando la standardizzazione con il 3GPP, che è fondamentale per garantire l'interoperabilità, la scalabilità e la sicurezza delle reti terrestri e non terrestri integrate. Il portafoglio di progetti dell'impresa comune "Reti e servizi intelligenti" (impresa comune SNS), l'iniziativa dell'UE per la R&amp;I per il 6G, comprende già una serie di progetti TN-NTN.</w:t>
      </w:r>
    </w:p>
    <w:p w14:paraId="52AD4308" w14:textId="5AE8D4D9" w:rsidR="002D677E" w:rsidRPr="00526281" w:rsidRDefault="00E67E54" w:rsidP="00526281">
      <w:pPr>
        <w:spacing w:before="240" w:line="278" w:lineRule="auto"/>
        <w:rPr>
          <w:rFonts w:ascii="Times New Roman" w:hAnsi="Times New Roman" w:cs="Times New Roman"/>
          <w:b/>
          <w:bCs/>
          <w:i/>
          <w:iCs/>
          <w:noProof/>
        </w:rPr>
      </w:pPr>
      <w:r>
        <w:rPr>
          <w:rFonts w:ascii="Times New Roman" w:hAnsi="Times New Roman"/>
          <w:b/>
          <w:i/>
          <w:noProof/>
        </w:rPr>
        <w:t>Spazio per l'ambiente e il clima</w:t>
      </w:r>
    </w:p>
    <w:p w14:paraId="29787530" w14:textId="58CAD0DE" w:rsidR="113C3BCA" w:rsidRDefault="00D921DD" w:rsidP="000B738C">
      <w:pPr>
        <w:spacing w:after="240" w:line="278" w:lineRule="auto"/>
        <w:rPr>
          <w:rFonts w:ascii="Times New Roman" w:eastAsia="Times New Roman" w:hAnsi="Times New Roman" w:cs="Times New Roman"/>
          <w:noProof/>
        </w:rPr>
      </w:pPr>
      <w:bookmarkStart w:id="8" w:name="_Hlk200529036"/>
      <w:r>
        <w:rPr>
          <w:rFonts w:ascii="Times New Roman" w:hAnsi="Times New Roman"/>
          <w:noProof/>
        </w:rPr>
        <w:t>I satelliti di osservazione della Terra sono indispensabili per la protezione dell'ambiente, la scienza del clima, le strategie di resilienza e l'adattamento ai cambiamenti climatici. Essi forniscono ai responsabili politici dati accurati e in tempo reale sulla deforestazione, sulla qualità dell'aria e dell'acqua, sui livelli di inquinamento, sulle perdite di metano, sui modelli relativi alla destinazione dei suoli, nonché sui parametri pertinenti per la modellizzazione climatica e le valutazioni delle tendenze. Un'applicazione concreta prevista dalla strategia sulla resilienza idrica</w:t>
      </w:r>
      <w:r>
        <w:rPr>
          <w:rStyle w:val="FootnoteReference"/>
          <w:rFonts w:ascii="Times New Roman" w:eastAsia="Times New Roman" w:hAnsi="Times New Roman" w:cs="Times New Roman"/>
          <w:noProof/>
        </w:rPr>
        <w:footnoteReference w:id="39"/>
      </w:r>
      <w:r>
        <w:rPr>
          <w:rFonts w:ascii="Times New Roman" w:hAnsi="Times New Roman"/>
          <w:noProof/>
        </w:rPr>
        <w:t xml:space="preserve"> consisterà nell'istituzione di uno "sportello unico" per i prodotti di osservazione della Terra pertinenti per la gestione delle risorse idriche, al fine di riunire i dati, i prodotti e gli strumenti di Copernicus connessi all'acqua e facilitare l'accesso a tali dati e il loro utilizzo. Insieme ad altri servizi esistenti quali la rete europea di osservazione e di dati dell'ambiente marino, Destination Earth e Digital Twin Ocean, Copernicus fornisce servizi globali e di alta qualità per valutare lo stato degli oceani, sostenendo la realizzazione di un oceano sano per un'economia blu sostenibile. Copernicus riduce inoltre l'impatto dei trasporti sul clima, ad esempio indagando sulla formazione delle scie di condensazione nell'ambito del trasporto aereo. Tali informazioni sostengono lo sviluppo di una legislazione basata su dati concreti per la governance ambientale, la decarbonizzazione e la mitigazione dei cambiamenti climatici. Galileo ed EGNOS contribuiscono a una maggiore accuratezza dei rilevamenti, consentendo in tal modo rotte più efficienti per la navigazione marittima o aerea, previsioni meteorologiche più accurate, monitoraggio della biodiversità e allarme rapido in caso di catastrofi climatiche. Nel complesso tali sistemi stanno aiutando l'UE a conseguire i relativi obiettivi del Green Deal e del patto per l'industria pulita volti a sostenere la decarbonizzazione della nostra industria e mantenere la leadership mondiale nell'azione per il clima, offrendo soluzioni di adattamento (ad esempio una più ampia valutazione europea dei rischi climatici a un livello di maggiore dettaglio, una modellizzazione degli scenari di adattamento) e capacità supplementari (ad esempio per il rilevamento della modifica delle radiazioni solari).</w:t>
      </w:r>
      <w:bookmarkEnd w:id="8"/>
    </w:p>
    <w:p w14:paraId="05C7AF48" w14:textId="690536B1" w:rsidR="413A3FA2" w:rsidRPr="00526281" w:rsidRDefault="00E67E54" w:rsidP="00526281">
      <w:pPr>
        <w:spacing w:before="240" w:line="278" w:lineRule="auto"/>
        <w:rPr>
          <w:rFonts w:ascii="Times New Roman" w:hAnsi="Times New Roman" w:cs="Times New Roman"/>
          <w:b/>
          <w:bCs/>
          <w:i/>
          <w:iCs/>
          <w:noProof/>
        </w:rPr>
      </w:pPr>
      <w:r>
        <w:rPr>
          <w:rFonts w:ascii="Times New Roman" w:hAnsi="Times New Roman"/>
          <w:b/>
          <w:i/>
          <w:noProof/>
        </w:rPr>
        <w:t>Spazio per l'agricoltura</w:t>
      </w:r>
    </w:p>
    <w:p w14:paraId="3949E869" w14:textId="5D105E6C" w:rsidR="5BC6D7DB" w:rsidRPr="007A593C" w:rsidRDefault="05144952" w:rsidP="00B15664">
      <w:pPr>
        <w:spacing w:after="120" w:line="278" w:lineRule="auto"/>
        <w:rPr>
          <w:rFonts w:ascii="Times New Roman" w:eastAsia="Times New Roman" w:hAnsi="Times New Roman" w:cs="Times New Roman"/>
          <w:noProof/>
        </w:rPr>
      </w:pPr>
      <w:r>
        <w:rPr>
          <w:rFonts w:ascii="Times New Roman" w:hAnsi="Times New Roman"/>
          <w:noProof/>
        </w:rPr>
        <w:t xml:space="preserve">Il crescente utilizzo dello spazio nell'agricoltura sostiene diversi servizi che promuovono l'efficienza e la sostenibilità delle risorse. L'agricoltura di precisione basata sullo spazio ottimizza l'efficienza delle aziende agricole. I dati intelligenti consentiranno l'adozione di un approccio "meno è meglio", in quanto l'agricoltura potrebbe utilizzare meno carburante, acqua e sostanze chimiche. Le previsioni relative ai prodotti alimentari e alle colture che utilizzano l'osservazione della Terra promuovono la sicurezza alimentare e gli investimenti. Le informazioni spaziali sui diversi parametri ambientali sono alla base dello sviluppo rurale sostenibile.   </w:t>
      </w:r>
    </w:p>
    <w:p w14:paraId="74428779" w14:textId="2BCFA5DE" w:rsidR="0053178F" w:rsidRPr="007A593C" w:rsidRDefault="00A0268D" w:rsidP="000B738C">
      <w:pPr>
        <w:spacing w:after="240" w:line="278" w:lineRule="auto"/>
        <w:rPr>
          <w:rFonts w:ascii="Times New Roman" w:hAnsi="Times New Roman" w:cs="Times New Roman"/>
          <w:b/>
          <w:bCs/>
          <w:noProof/>
        </w:rPr>
      </w:pPr>
      <w:r>
        <w:rPr>
          <w:rFonts w:ascii="Times New Roman" w:hAnsi="Times New Roman"/>
          <w:noProof/>
        </w:rPr>
        <w:t>La visione per l'agricoltura e l'alimentazione riconosce che l'integrazione della tecnologia satellitare comporta un migliore utilizzo delle risorse, una riduzione dei costi dei fattori di produzione e una maggiore sostenibilità. La continuità e l'evoluzione delle risorse spaziali dell'UE, quali Copernicus e Galileo, favoriranno quindi ancora di più la semplificazione e la competitività. L'introduzione di una componente LEO-PNT nell'ambito di Galileo migliorerà anche le prestazioni dei servizi di navigazione ad alta precisione, che sono fondamentali per l'agricoltura. Anche le tecnologie di condivisione dei dati potrebbero ridurre la burocrazia offrendo possibilità di comunicazione ottimizzate e automatizzate.</w:t>
      </w:r>
    </w:p>
    <w:p w14:paraId="47AB84B1" w14:textId="05300138" w:rsidR="0053178F" w:rsidRPr="008E7249" w:rsidRDefault="00E67E54" w:rsidP="000B738C">
      <w:pPr>
        <w:spacing w:line="278" w:lineRule="auto"/>
        <w:jc w:val="left"/>
        <w:rPr>
          <w:rFonts w:ascii="Times New Roman" w:hAnsi="Times New Roman" w:cs="Times New Roman"/>
          <w:b/>
          <w:bCs/>
          <w:i/>
          <w:iCs/>
          <w:noProof/>
        </w:rPr>
      </w:pPr>
      <w:r>
        <w:rPr>
          <w:rFonts w:ascii="Times New Roman" w:hAnsi="Times New Roman"/>
          <w:b/>
          <w:i/>
          <w:noProof/>
        </w:rPr>
        <w:t>Potenziamento dei servizi spaziali e semplificazione</w:t>
      </w:r>
    </w:p>
    <w:p w14:paraId="1B826DDE" w14:textId="309BE096" w:rsidR="00AF6E31" w:rsidRDefault="0053178F" w:rsidP="000B738C">
      <w:pPr>
        <w:spacing w:after="240" w:line="278" w:lineRule="auto"/>
        <w:rPr>
          <w:rFonts w:ascii="Times New Roman" w:hAnsi="Times New Roman" w:cs="Times New Roman"/>
          <w:b/>
          <w:noProof/>
        </w:rPr>
      </w:pPr>
      <w:r>
        <w:rPr>
          <w:rFonts w:ascii="Times New Roman" w:hAnsi="Times New Roman"/>
          <w:noProof/>
        </w:rPr>
        <w:t>Oltre ai casi d'uso dello spazio nei settori di cui sopra, è essenziale promuovere fattori abilitanti generici per sostenere ulteriormente l'adozione di soluzioni spaziali sul mercato in modo orizzontale. Tali fattori spaziano dai sistemi di appalto per l'innovazione ai marchi di qualità. L'uso dei dati satellitari e delle applicazioni spaziali può anche contribuire agli sforzi di semplificazione in corso, in particolare nel settore della comunicazione. La Commissione continuerà a indagare sul modo in cui utilizzare tutti gli strumenti disponibili a tal fine.</w:t>
      </w:r>
    </w:p>
    <w:tbl>
      <w:tblPr>
        <w:tblStyle w:val="ListTable3-Accent1"/>
        <w:tblW w:w="0" w:type="auto"/>
        <w:tblBorders>
          <w:insideH w:val="single" w:sz="4" w:space="0" w:color="156082" w:themeColor="accent1"/>
          <w:insideV w:val="single" w:sz="4" w:space="0" w:color="156082" w:themeColor="accent1"/>
        </w:tblBorders>
        <w:tblLook w:val="04A0" w:firstRow="1" w:lastRow="0" w:firstColumn="1" w:lastColumn="0" w:noHBand="0" w:noVBand="1"/>
      </w:tblPr>
      <w:tblGrid>
        <w:gridCol w:w="9016"/>
      </w:tblGrid>
      <w:tr w:rsidR="00F749BD" w:rsidRPr="00F57B1A" w14:paraId="22DBA003" w14:textId="77777777" w:rsidTr="00F57B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1D42B30C" w14:textId="07AF7B2D" w:rsidR="00E30017" w:rsidRPr="00AD5558" w:rsidRDefault="0053305E" w:rsidP="00F57B1A">
            <w:pPr>
              <w:spacing w:line="278" w:lineRule="auto"/>
              <w:rPr>
                <w:rFonts w:ascii="Times New Roman" w:hAnsi="Times New Roman" w:cs="Times New Roman"/>
                <w:noProof/>
              </w:rPr>
            </w:pPr>
            <w:r>
              <w:rPr>
                <w:rFonts w:ascii="Times New Roman" w:hAnsi="Times New Roman"/>
                <w:noProof/>
              </w:rPr>
              <w:t xml:space="preserve"> Azioni previste 11</w:t>
            </w:r>
          </w:p>
        </w:tc>
      </w:tr>
      <w:tr w:rsidR="00F749BD" w:rsidRPr="00F57B1A" w14:paraId="4AD26429" w14:textId="77777777" w:rsidTr="00F57B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5E9665F6" w14:textId="20E77EC2" w:rsidR="00E30017" w:rsidRPr="00F57B1A" w:rsidRDefault="0053305E" w:rsidP="00F57B1A">
            <w:pPr>
              <w:spacing w:line="278" w:lineRule="auto"/>
              <w:rPr>
                <w:rFonts w:ascii="Times New Roman" w:hAnsi="Times New Roman" w:cs="Times New Roman"/>
                <w:b w:val="0"/>
                <w:bCs w:val="0"/>
                <w:noProof/>
              </w:rPr>
            </w:pPr>
            <w:r>
              <w:rPr>
                <w:rFonts w:ascii="Times New Roman" w:hAnsi="Times New Roman"/>
                <w:b w:val="0"/>
                <w:noProof/>
              </w:rPr>
              <w:t>La Commissione adotterà</w:t>
            </w:r>
            <w:r>
              <w:rPr>
                <w:rFonts w:ascii="Times New Roman" w:hAnsi="Times New Roman"/>
                <w:noProof/>
              </w:rPr>
              <w:t xml:space="preserve"> </w:t>
            </w:r>
            <w:r>
              <w:rPr>
                <w:rFonts w:ascii="Times New Roman" w:hAnsi="Times New Roman"/>
                <w:b w:val="0"/>
                <w:noProof/>
              </w:rPr>
              <w:t xml:space="preserve">appalti per l'innovazione nel settore spaziale, in particolare </w:t>
            </w:r>
            <w:r>
              <w:rPr>
                <w:rFonts w:ascii="Times New Roman" w:hAnsi="Times New Roman"/>
                <w:noProof/>
              </w:rPr>
              <w:t xml:space="preserve">strategie in materia di appalti per l'innovazione </w:t>
            </w:r>
            <w:r>
              <w:rPr>
                <w:rFonts w:ascii="Times New Roman" w:hAnsi="Times New Roman"/>
                <w:b w:val="0"/>
                <w:noProof/>
              </w:rPr>
              <w:t xml:space="preserve">per consentire alle autorità pubbliche di acquistare servizi e dati spaziali, utilizzando un sistema dinamico di acquisizione che raggruppa le richieste delle autorità pubbliche e semplifica le complesse procedure di appalto a livello locale e regionale tramite un unico approccio semplice e centralizzato. Ciò agevolerà e accelererà l'acquisto di soluzioni spaziali a valle che rispondono alle sfide del settore pubblico, contribuendo nel contempo a creare una domanda dell'UE più ampia e più significativa di dati e servizi spaziali. </w:t>
            </w:r>
          </w:p>
        </w:tc>
      </w:tr>
      <w:tr w:rsidR="00F749BD" w:rsidRPr="00F57B1A" w14:paraId="71A82963" w14:textId="77777777" w:rsidTr="00F57B1A">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045951EA" w14:textId="1D9D3DB6" w:rsidR="00E30017" w:rsidRPr="00F57B1A" w:rsidRDefault="0053305E" w:rsidP="00F57B1A">
            <w:pPr>
              <w:spacing w:line="278" w:lineRule="auto"/>
              <w:rPr>
                <w:rFonts w:ascii="Times New Roman" w:eastAsia="Times New Roman" w:hAnsi="Times New Roman" w:cs="Times New Roman"/>
                <w:b w:val="0"/>
                <w:bCs w:val="0"/>
                <w:noProof/>
              </w:rPr>
            </w:pPr>
            <w:r>
              <w:rPr>
                <w:rFonts w:ascii="Times New Roman" w:hAnsi="Times New Roman"/>
                <w:b w:val="0"/>
                <w:noProof/>
              </w:rPr>
              <w:t>La Commissione avvierà il programma "Make it with Space" per aiutare i) gli utenti che acquistano dati e servizi spaziali e ii) le imprese spaziali a valle dell'UE nella fase finale della commercializzazione. Tale iniziativa si concentrerà sulla promozione della domanda di dati spaziali e servizi a valle nei settori non spaziali attraverso un apposito programma di finanziamento dell'UE che consente ai nuovi utenti di sperimentare, valutare e attuare soluzioni spaziali nei loro processi aziendali, rendendole così più efficienti, sostenibili e resilienti, evitando nel contempo distorsioni della concorrenza.</w:t>
            </w:r>
          </w:p>
        </w:tc>
      </w:tr>
      <w:tr w:rsidR="00F749BD" w:rsidRPr="00F57B1A" w14:paraId="113B4732" w14:textId="77777777" w:rsidTr="000B7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right w:val="none" w:sz="0" w:space="0" w:color="auto"/>
            </w:tcBorders>
          </w:tcPr>
          <w:p w14:paraId="5B48C1AF" w14:textId="3E451346" w:rsidR="00E30017" w:rsidRPr="00F57B1A" w:rsidRDefault="00715EB0" w:rsidP="00F57B1A">
            <w:pPr>
              <w:spacing w:line="278" w:lineRule="auto"/>
              <w:rPr>
                <w:rFonts w:ascii="Times New Roman" w:hAnsi="Times New Roman" w:cs="Times New Roman"/>
                <w:b w:val="0"/>
                <w:bCs w:val="0"/>
                <w:noProof/>
              </w:rPr>
            </w:pPr>
            <w:r>
              <w:rPr>
                <w:rFonts w:ascii="Times New Roman" w:hAnsi="Times New Roman"/>
                <w:b w:val="0"/>
                <w:noProof/>
              </w:rPr>
              <w:t xml:space="preserve">La Commissione promuoverà l'integrità e la qualità dei dati e dei servizi spaziali a valle, esaminando le possibilità di normazione e lo sviluppo di un marchio di qualità per garantire l'affidabilità, la sicurezza e l'accuratezza dei dati e dei servizi spaziali, con l'obiettivo di rafforzare la domanda di servizi spaziali in settori più sensibili. L'integrità dei dati e dei servizi spaziali per gli utenti finali terrà conto dell'aumento delle minacce informatiche dovuto ai cambiamenti nel contesto geopolitico. </w:t>
            </w:r>
          </w:p>
        </w:tc>
      </w:tr>
      <w:tr w:rsidR="001511DB" w:rsidRPr="00F57B1A" w14:paraId="77210FD9" w14:textId="77777777" w:rsidTr="000B738C">
        <w:trPr>
          <w:trHeight w:val="300"/>
        </w:trPr>
        <w:tc>
          <w:tcPr>
            <w:cnfStyle w:val="001000000000" w:firstRow="0" w:lastRow="0" w:firstColumn="1" w:lastColumn="0" w:oddVBand="0" w:evenVBand="0" w:oddHBand="0" w:evenHBand="0" w:firstRowFirstColumn="0" w:firstRowLastColumn="0" w:lastRowFirstColumn="0" w:lastRowLastColumn="0"/>
            <w:tcW w:w="0" w:type="dxa"/>
            <w:tcBorders>
              <w:right w:val="single" w:sz="4" w:space="0" w:color="auto"/>
            </w:tcBorders>
          </w:tcPr>
          <w:p w14:paraId="3240B308" w14:textId="24DFEB88" w:rsidR="001511DB" w:rsidRPr="000B738C" w:rsidRDefault="001511DB" w:rsidP="00F57B1A">
            <w:pPr>
              <w:spacing w:line="278" w:lineRule="auto"/>
              <w:rPr>
                <w:rFonts w:ascii="Times New Roman" w:hAnsi="Times New Roman" w:cs="Times New Roman"/>
                <w:b w:val="0"/>
                <w:bCs w:val="0"/>
                <w:noProof/>
              </w:rPr>
            </w:pPr>
            <w:r>
              <w:rPr>
                <w:rFonts w:ascii="Times New Roman" w:hAnsi="Times New Roman"/>
                <w:b w:val="0"/>
                <w:noProof/>
              </w:rPr>
              <w:t>La Commissione esaminerà</w:t>
            </w:r>
            <w:r>
              <w:rPr>
                <w:rFonts w:ascii="Times New Roman" w:hAnsi="Times New Roman"/>
                <w:noProof/>
              </w:rPr>
              <w:t xml:space="preserve"> soluzioni </w:t>
            </w:r>
            <w:r>
              <w:rPr>
                <w:rFonts w:ascii="Times New Roman" w:hAnsi="Times New Roman"/>
                <w:b w:val="0"/>
                <w:noProof/>
              </w:rPr>
              <w:t>per la protezione e la sicurezza dei sistemi spaziali, compreso un</w:t>
            </w:r>
            <w:r>
              <w:rPr>
                <w:rFonts w:ascii="Times New Roman" w:hAnsi="Times New Roman"/>
                <w:noProof/>
              </w:rPr>
              <w:t xml:space="preserve"> sistema</w:t>
            </w:r>
            <w:r>
              <w:rPr>
                <w:rFonts w:ascii="Times New Roman" w:hAnsi="Times New Roman"/>
                <w:b w:val="0"/>
                <w:noProof/>
              </w:rPr>
              <w:t xml:space="preserve"> di monitoraggio delle interferenze di radiofrequenza che </w:t>
            </w:r>
            <w:r>
              <w:rPr>
                <w:rFonts w:ascii="Times New Roman" w:hAnsi="Times New Roman"/>
                <w:noProof/>
              </w:rPr>
              <w:t>generi</w:t>
            </w:r>
            <w:r>
              <w:rPr>
                <w:rFonts w:ascii="Times New Roman" w:hAnsi="Times New Roman"/>
                <w:b w:val="0"/>
                <w:noProof/>
              </w:rPr>
              <w:t xml:space="preserve"> </w:t>
            </w:r>
            <w:r>
              <w:rPr>
                <w:rFonts w:ascii="Times New Roman" w:hAnsi="Times New Roman"/>
                <w:noProof/>
              </w:rPr>
              <w:t>informazioni</w:t>
            </w:r>
            <w:r>
              <w:rPr>
                <w:rFonts w:ascii="Times New Roman" w:hAnsi="Times New Roman"/>
                <w:b w:val="0"/>
                <w:noProof/>
              </w:rPr>
              <w:t xml:space="preserve"> tempestive relative all'impatto</w:t>
            </w:r>
            <w:r>
              <w:rPr>
                <w:rFonts w:ascii="Times New Roman" w:hAnsi="Times New Roman"/>
                <w:noProof/>
              </w:rPr>
              <w:t xml:space="preserve"> sui sistemi spaziali</w:t>
            </w:r>
            <w:r>
              <w:rPr>
                <w:rFonts w:ascii="Times New Roman" w:hAnsi="Times New Roman"/>
                <w:b w:val="0"/>
                <w:noProof/>
              </w:rPr>
              <w:t xml:space="preserve"> a sostegno delle autorità competenti</w:t>
            </w:r>
            <w:r>
              <w:rPr>
                <w:rFonts w:ascii="Times New Roman" w:hAnsi="Times New Roman"/>
                <w:noProof/>
              </w:rPr>
              <w:t>.</w:t>
            </w:r>
          </w:p>
        </w:tc>
      </w:tr>
      <w:tr w:rsidR="00F749BD" w:rsidRPr="00F57B1A" w14:paraId="4957174A" w14:textId="77777777" w:rsidTr="00F57B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0DDAE9CE" w14:textId="5B49DD20" w:rsidR="4DF69408" w:rsidRPr="00F57B1A" w:rsidRDefault="00715EB0" w:rsidP="00F57B1A">
            <w:pPr>
              <w:spacing w:line="278" w:lineRule="auto"/>
              <w:rPr>
                <w:rFonts w:ascii="Times New Roman" w:hAnsi="Times New Roman" w:cs="Times New Roman"/>
                <w:b w:val="0"/>
                <w:bCs w:val="0"/>
                <w:noProof/>
              </w:rPr>
            </w:pPr>
            <w:r>
              <w:rPr>
                <w:rFonts w:ascii="Times New Roman" w:hAnsi="Times New Roman"/>
                <w:b w:val="0"/>
                <w:noProof/>
              </w:rPr>
              <w:t>La Commissione integrerà le soluzioni spaziali nelle politiche settoriali dell'UE: sulla scia di soluzioni di successo quali l'eCall</w:t>
            </w:r>
            <w:r>
              <w:rPr>
                <w:rStyle w:val="FootnoteReference"/>
                <w:rFonts w:ascii="Times New Roman" w:hAnsi="Times New Roman" w:cs="Times New Roman"/>
                <w:b w:val="0"/>
                <w:bCs w:val="0"/>
                <w:noProof/>
              </w:rPr>
              <w:footnoteReference w:id="40"/>
            </w:r>
            <w:r>
              <w:rPr>
                <w:rFonts w:ascii="Times New Roman" w:hAnsi="Times New Roman"/>
                <w:b w:val="0"/>
                <w:noProof/>
              </w:rPr>
              <w:t xml:space="preserve"> e il 112, l'UE si adopererà per integrare le soluzioni spaziali in varie politiche, compresi gli aspetti relativi alla produzione (ad esempio norme, interoperabilità e terminali utente) e ai servizi (ad esempio dimostrazioni e progetti pilota che coinvolgono comunità di utenti).</w:t>
            </w:r>
          </w:p>
        </w:tc>
      </w:tr>
      <w:tr w:rsidR="00F749BD" w:rsidRPr="00F57B1A" w14:paraId="612B2B5E" w14:textId="77777777" w:rsidTr="00F57B1A">
        <w:trPr>
          <w:trHeight w:val="300"/>
        </w:trPr>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2CE826F4" w14:textId="43A2AB03" w:rsidR="00756730" w:rsidRPr="00F57B1A" w:rsidRDefault="00715EB0" w:rsidP="00F57B1A">
            <w:pPr>
              <w:spacing w:line="278" w:lineRule="auto"/>
              <w:rPr>
                <w:rFonts w:ascii="Times New Roman" w:eastAsia="Times New Roman" w:hAnsi="Times New Roman" w:cs="Times New Roman"/>
                <w:b w:val="0"/>
                <w:bCs w:val="0"/>
                <w:noProof/>
              </w:rPr>
            </w:pPr>
            <w:r>
              <w:rPr>
                <w:rFonts w:ascii="Times New Roman" w:hAnsi="Times New Roman"/>
                <w:b w:val="0"/>
                <w:noProof/>
              </w:rPr>
              <w:t>La Commissione favorirà una maggiore adozione da parte degli utenti agevolando la collaborazione con le amministrazioni nazionali attraverso programmi nazionali di collaborazione e promuovendo l'integrazione dei dati di Copernicus nei processi decisionali, con l'obiettivo di massimizzare i benefici dei servizi di Copernicus per le politiche nazionali e ridurre gli oneri amministrativi, in particolare in settori quali quelli relativi ai cambiamenti climatici, all'atmosfera e all'ambiente marino e terrestre.</w:t>
            </w:r>
          </w:p>
        </w:tc>
      </w:tr>
    </w:tbl>
    <w:p w14:paraId="479550BC" w14:textId="34552C09" w:rsidR="0026318F" w:rsidRPr="007A593C" w:rsidRDefault="00D113DE" w:rsidP="00526281">
      <w:pPr>
        <w:pStyle w:val="ListParagraph"/>
        <w:numPr>
          <w:ilvl w:val="1"/>
          <w:numId w:val="37"/>
        </w:numPr>
        <w:spacing w:before="240" w:line="278" w:lineRule="auto"/>
        <w:ind w:left="788" w:hanging="431"/>
        <w:jc w:val="left"/>
        <w:rPr>
          <w:rFonts w:ascii="Times New Roman" w:hAnsi="Times New Roman" w:cs="Times New Roman"/>
          <w:b/>
          <w:bCs/>
          <w:noProof/>
        </w:rPr>
      </w:pPr>
      <w:r>
        <w:rPr>
          <w:rFonts w:ascii="Times New Roman" w:hAnsi="Times New Roman"/>
          <w:b/>
          <w:noProof/>
        </w:rPr>
        <w:t xml:space="preserve">COGLIERE LE OPPORTUNITÀ DERIVANTI DALL'ECONOMIA NELLO SPAZIO </w:t>
      </w:r>
    </w:p>
    <w:p w14:paraId="1D604465" w14:textId="42872298" w:rsidR="7EAEF523" w:rsidRPr="007A593C" w:rsidRDefault="4D70352D" w:rsidP="008E7249">
      <w:pPr>
        <w:spacing w:after="240" w:line="278" w:lineRule="auto"/>
        <w:rPr>
          <w:rFonts w:ascii="Times New Roman" w:eastAsia="Times New Roman" w:hAnsi="Times New Roman" w:cs="Times New Roman"/>
          <w:noProof/>
        </w:rPr>
      </w:pPr>
      <w:r>
        <w:rPr>
          <w:rFonts w:ascii="Times New Roman" w:hAnsi="Times New Roman"/>
          <w:noProof/>
        </w:rPr>
        <w:t xml:space="preserve">A norma dell'articolo 189 TFUE l'UE può elaborare politiche e strategie nel settore spaziale per promuovere la cooperazione, il progresso tecnologico e l'uso pacifico dello spazio extra-atmosferico. Le attività spaziali richiedono spesso una cooperazione multinazionale e multipartecipativa. L'UE può pertanto i) incoraggiare e sostenere l'approccio collaborativo insito nelle attività dell'economia spaziale, comprese le attività orbitali e quelle che avvengono al di fuori e ii) integrare e coordinare le attività spaziali tra gli Stati membri, riducendo in tal modo la duplicazione degli sforzi e migliorando l'efficienza e l'efficacia complessive delle iniziative legate allo spazio. </w:t>
      </w:r>
    </w:p>
    <w:p w14:paraId="40964B52" w14:textId="02A62F6A" w:rsidR="001B3E62" w:rsidRPr="00E67E54" w:rsidRDefault="7EAEF523" w:rsidP="008E7249">
      <w:pPr>
        <w:spacing w:after="240" w:line="278" w:lineRule="auto"/>
        <w:rPr>
          <w:rFonts w:ascii="Times New Roman" w:eastAsia="Aptos" w:hAnsi="Times New Roman" w:cs="Times New Roman"/>
          <w:noProof/>
        </w:rPr>
      </w:pPr>
      <w:bookmarkStart w:id="9" w:name="_Hlk194589535"/>
      <w:r>
        <w:rPr>
          <w:rFonts w:ascii="Times New Roman" w:hAnsi="Times New Roman"/>
          <w:noProof/>
        </w:rPr>
        <w:t>L'economia nello spazio può essere suddivisa sommariamente in due segmenti principali: l'economia orbitale e le attività che avvengono al di fuori dell'orbita terrestre, in particolare le economie cislunare e lunare. L'economia orbitale è oggi dominata principalmente dall'industria satellitare che promuove pratiche più sostenibili spostando la produzione dalla Terra all'ambiente orbitale. L'economia cislunare e lunare è rivolta per lo più ad attività quali l'esplorazione. le attività minerarie, l'estrazione e l'utilizzo delle risorse, lo sviluppo delle infrastrutture e la creazione di catene logistiche e di approvvigionamento che rivestono un ruolo critico per le future missioni commerciali e scientifiche.</w:t>
      </w:r>
    </w:p>
    <w:p w14:paraId="7462810E" w14:textId="14999C37" w:rsidR="00226C15" w:rsidRDefault="007F05DC" w:rsidP="000B738C">
      <w:pPr>
        <w:pStyle w:val="ListParagraph"/>
        <w:spacing w:after="240" w:line="278" w:lineRule="auto"/>
        <w:ind w:left="0"/>
        <w:contextualSpacing w:val="0"/>
        <w:rPr>
          <w:rFonts w:ascii="Times New Roman" w:hAnsi="Times New Roman" w:cs="Times New Roman"/>
          <w:noProof/>
        </w:rPr>
      </w:pPr>
      <w:bookmarkStart w:id="10" w:name="_Hlk194589626"/>
      <w:bookmarkEnd w:id="9"/>
      <w:r>
        <w:rPr>
          <w:rFonts w:ascii="Times New Roman" w:hAnsi="Times New Roman"/>
          <w:noProof/>
        </w:rPr>
        <w:t>Gli interessi scientifici, strategici, militari, economici e politici nell'esplorazione lunare hanno indotto le principali nazioni spaziali, in particolare gli Stati Uniti e la Cina, a investire in modo significativo nella robotica, nelle capacità di lancio per carichi pesanti, nel trasporto di merci ed equipaggio e nelle infrastrutture lunari. Entrambe le nazioni hanno consolidato le loro posizioni di leadership stringendo partenariati internazionali e portando avanti i loro programmi relativi alle stazioni di ricerca lunari. Tra i 55 partner mondiali che hanno firmato gli accordi Artemis guidati dagli Stati Uniti figurano 21 Stati membri dell'UE, a dimostrazione del crescente impegno assunto dall'UE e a livello mondiale a favore dell'esplorazione lunare.</w:t>
      </w:r>
    </w:p>
    <w:p w14:paraId="55FE2797" w14:textId="48C88B87" w:rsidR="00AF6E31" w:rsidRDefault="007F05DC" w:rsidP="008E7249">
      <w:pPr>
        <w:pStyle w:val="ListParagraph"/>
        <w:spacing w:after="240" w:line="278" w:lineRule="auto"/>
        <w:ind w:left="0"/>
        <w:rPr>
          <w:rFonts w:ascii="Times New Roman" w:hAnsi="Times New Roman" w:cs="Times New Roman"/>
          <w:noProof/>
        </w:rPr>
      </w:pPr>
      <w:r>
        <w:rPr>
          <w:rFonts w:ascii="Times New Roman" w:hAnsi="Times New Roman"/>
          <w:noProof/>
        </w:rPr>
        <w:t xml:space="preserve">Questi sviluppi internazionali stanno ridefinendo il panorama tecnologico nell'orbita terrestre. Numerosi progressi tecnologici (ad esempio piattaforme robotiche, depositi di propellenti, produzione e riciclaggio nello spazio) sono il risultato di misure adottate per ridurre i costi di lancio e aumentare l'efficienza della missione in vista dell'esplorazione cislunare e planetaria. Dal momento che la sostenibilità è diventata una preoccupazione centrale, è cresciuto anche l'impegno a garantire la sicurezza dei satelliti e a trasferire le attività ad alto consumo di energia (ad esempio la conservazione e il trattamento dei dati) dalla Terra all'orbita. Tali tendenze sono sostenute da importanti investimenti pubblici. I programmi di esplorazione e quelli lunari rappresentano una parte consistente dei bilanci delle agenzie spaziali. Gli sviluppi nell'ambito delle comunicazioni satellitari, dell'interoperabilità, della produzione nello spazio, delle capacità di lancio e delle operazioni di terra sono interconnessi. </w:t>
      </w:r>
    </w:p>
    <w:p w14:paraId="0AEB8162" w14:textId="7C418D45" w:rsidR="00092558" w:rsidRPr="000B738C" w:rsidRDefault="00092558" w:rsidP="00526281">
      <w:pPr>
        <w:spacing w:before="240" w:line="278" w:lineRule="auto"/>
        <w:rPr>
          <w:rFonts w:ascii="Times New Roman" w:hAnsi="Times New Roman" w:cs="Times New Roman"/>
          <w:b/>
          <w:bCs/>
          <w:i/>
          <w:iCs/>
          <w:noProof/>
        </w:rPr>
      </w:pPr>
      <w:r>
        <w:rPr>
          <w:rFonts w:ascii="Times New Roman" w:hAnsi="Times New Roman"/>
          <w:b/>
          <w:i/>
          <w:noProof/>
        </w:rPr>
        <w:t>Operazioni e servizi nello spazio</w:t>
      </w:r>
    </w:p>
    <w:p w14:paraId="5CC25507" w14:textId="399DBEB4" w:rsidR="00144B14" w:rsidRPr="007A593C" w:rsidRDefault="00B728E0" w:rsidP="008E7249">
      <w:pPr>
        <w:spacing w:after="240" w:line="278" w:lineRule="auto"/>
        <w:rPr>
          <w:rFonts w:ascii="Times New Roman" w:hAnsi="Times New Roman" w:cs="Times New Roman"/>
          <w:noProof/>
        </w:rPr>
      </w:pPr>
      <w:r>
        <w:rPr>
          <w:rFonts w:ascii="Times New Roman" w:hAnsi="Times New Roman"/>
          <w:noProof/>
        </w:rPr>
        <w:t>La capacità di agire nello spazio rappresenta una capacità</w:t>
      </w:r>
      <w:r>
        <w:rPr>
          <w:rFonts w:ascii="Times New Roman" w:hAnsi="Times New Roman"/>
          <w:b/>
          <w:noProof/>
        </w:rPr>
        <w:t xml:space="preserve"> </w:t>
      </w:r>
      <w:r>
        <w:rPr>
          <w:rFonts w:ascii="Times New Roman" w:hAnsi="Times New Roman"/>
          <w:noProof/>
        </w:rPr>
        <w:t>strategica e indispensabile per l'UE in quanto potenza spaziale</w:t>
      </w:r>
      <w:r>
        <w:rPr>
          <w:rFonts w:ascii="Times New Roman" w:hAnsi="Times New Roman"/>
          <w:b/>
          <w:noProof/>
        </w:rPr>
        <w:t>.</w:t>
      </w:r>
      <w:r>
        <w:rPr>
          <w:rFonts w:ascii="Times New Roman" w:hAnsi="Times New Roman"/>
          <w:noProof/>
        </w:rPr>
        <w:t xml:space="preserve"> Nel settore dei servizi e delle operazioni nello spazio (ISOS) le capacità riguardano numerosi settori della manutenzione e della logistica dei satelliti, che consentono ad esempio l'estensione della durata di vita operativa di questi ultimi, la loro manutenzione e riparazione, nonché il loro aggiornamento. Tali servizi e operazioni comprendono anche una serie di attività nello spazio emergenti, tra cui la rimozione attiva dei detriti. l'assemblaggio e la produzione nello spazio, le piattaforme di servizio robotizzate e automatizzate, i depositi di propellenti e le infrastrutture spaziali più ampie per applicazioni specifiche (ad esempio centri dati, raccolta di energia), collegando così le attività dall'orbita terrestre bassa allo spazio cislunare. </w:t>
      </w:r>
    </w:p>
    <w:p w14:paraId="4D062F9C" w14:textId="130C7E4F" w:rsidR="00FE2B20" w:rsidRPr="007A593C" w:rsidRDefault="00DA3F07" w:rsidP="008E7249">
      <w:pPr>
        <w:spacing w:after="240" w:line="278" w:lineRule="auto"/>
        <w:rPr>
          <w:rFonts w:ascii="Times New Roman" w:hAnsi="Times New Roman" w:cs="Times New Roman"/>
          <w:noProof/>
        </w:rPr>
      </w:pPr>
      <w:r>
        <w:rPr>
          <w:rFonts w:ascii="Times New Roman" w:hAnsi="Times New Roman"/>
          <w:noProof/>
        </w:rPr>
        <w:t>Questi servizi non solo possiedono un grande potenziale in termini commerciali, ma rivestono anche un valore strategico fondamentale per i governi, in particolare in settori quali la difesa e la manutenzione delle risorse militari satellitari e spaziali dell'UE. Tali capacità costituiscono le fondamenta della futura economia nello spazio, rafforzando la sostenibilità, l'interoperabilità, la resilienza e la sicurezza dei satelliti e delle infrastrutture di prossima generazione. Per salvaguardare la sua autonomia e proteggere le sue risorse spaziali, l'UE deve evitare di dipendere da paesi terzi attivi nel settore spaziale e investire in modo deciso nello sviluppo delle proprie capacità ISOS.</w:t>
      </w:r>
    </w:p>
    <w:p w14:paraId="62D8CED4" w14:textId="56D43489" w:rsidR="292D4566" w:rsidRPr="007A593C" w:rsidRDefault="00092558" w:rsidP="008E7249">
      <w:pPr>
        <w:pStyle w:val="Text3"/>
        <w:spacing w:line="278" w:lineRule="auto"/>
        <w:ind w:left="0"/>
        <w:rPr>
          <w:rFonts w:ascii="Times New Roman" w:hAnsi="Times New Roman"/>
          <w:noProof/>
        </w:rPr>
      </w:pPr>
      <w:r>
        <w:rPr>
          <w:rFonts w:ascii="Times New Roman" w:hAnsi="Times New Roman"/>
          <w:noProof/>
        </w:rPr>
        <w:t>In futuro i servizi e le operazioni nello spazio (ISOS) dovrebbe concentrarsi su applicazioni chiave che hanno rilevanza sia commerciale che strategica: ispezione satellitare, estensione della durata di vita operativa, rifornimento, logistica in orbita, manutenzione, riparazione e aggiornamenti. Tra le capacità aggiuntive figurano le operazioni di fine vita, la rimozione dei detriti, l'assemblaggio e la produzione nello spazio, il riutilizzo e il riciclaggio delle risorse orbitali e lo stoccaggio e la movimentazione del carico.</w:t>
      </w:r>
    </w:p>
    <w:p w14:paraId="460DE49C" w14:textId="38422BC1" w:rsidR="00574533" w:rsidRPr="007A593C" w:rsidRDefault="0050101D" w:rsidP="008E7249">
      <w:pPr>
        <w:pStyle w:val="Text3"/>
        <w:spacing w:line="278" w:lineRule="auto"/>
        <w:ind w:left="0"/>
        <w:rPr>
          <w:rFonts w:ascii="Times New Roman" w:hAnsi="Times New Roman"/>
          <w:noProof/>
        </w:rPr>
      </w:pPr>
      <w:r>
        <w:rPr>
          <w:rFonts w:ascii="Times New Roman" w:hAnsi="Times New Roman"/>
          <w:noProof/>
        </w:rPr>
        <w:t>Per accelerare lo sviluppo e la dimostrazione di tali servizi, la Commissione ha avviato la missione ISOS4I in collaborazione con gli Stati membri, i paesi del SEE e l'Agenzia spaziale europea. Tale missione pilota è finalizzata alla dimostrazione di servizi nello spazio critici, alla promozione di nuove opportunità commerciali e alla creazione delle basi per un'infrastruttura di servizi adattivi in orbita. È stata ideata per rimanere operativa oltre la fase dimostrativa, così che entro il 2030 fungerà da precursore di un'architettura permanente per la manutenzione nello spazio, pienamente integrata nell'ecosistema spaziale dell'UE e in grado di fornire servizi su richiesta ai clienti sia commerciali che istituzionali, comprese le missioni faro dell'UE.</w:t>
      </w:r>
    </w:p>
    <w:p w14:paraId="023BC1FE" w14:textId="018CC047" w:rsidR="00854B56" w:rsidRPr="007A593C" w:rsidRDefault="004B5648" w:rsidP="005E43F9">
      <w:pPr>
        <w:spacing w:after="240" w:line="278" w:lineRule="auto"/>
        <w:rPr>
          <w:rFonts w:ascii="Times New Roman" w:hAnsi="Times New Roman" w:cs="Times New Roman"/>
          <w:noProof/>
        </w:rPr>
      </w:pPr>
      <w:r>
        <w:rPr>
          <w:rFonts w:ascii="Times New Roman" w:hAnsi="Times New Roman"/>
          <w:noProof/>
        </w:rPr>
        <w:t>La padronanza dei servizi e delle operazioni nello spazio (ISOS) consentirà in ultima analisi di realizzare grandi piattaforme spaziali senza equipaggio controllate dalla robotica, dall'automazione e dall'IA. Tali strutture modulari potrebbero essere assemblate in orbita e supportare un'ampia gamma di servizi, quali la produzione di energia solare, il trattamento dei dati nello spazio (</w:t>
      </w:r>
      <w:r>
        <w:rPr>
          <w:rFonts w:ascii="Times New Roman" w:hAnsi="Times New Roman"/>
          <w:i/>
          <w:iCs/>
          <w:noProof/>
        </w:rPr>
        <w:t>space cloud</w:t>
      </w:r>
      <w:r>
        <w:rPr>
          <w:rFonts w:ascii="Times New Roman" w:hAnsi="Times New Roman"/>
          <w:noProof/>
        </w:rPr>
        <w:t>), lo stoccaggio e i depositi di propellenti, gettando così le basi per una presenza realmente autonoma dell'UE nello spazio.</w:t>
      </w:r>
    </w:p>
    <w:p w14:paraId="5183318D" w14:textId="290DA765" w:rsidR="00EC0DD9" w:rsidRPr="008E7249" w:rsidRDefault="00A82B42" w:rsidP="00526281">
      <w:pPr>
        <w:spacing w:before="240" w:line="278" w:lineRule="auto"/>
        <w:rPr>
          <w:rFonts w:ascii="Times New Roman" w:hAnsi="Times New Roman" w:cs="Times New Roman"/>
          <w:b/>
          <w:bCs/>
          <w:i/>
          <w:iCs/>
          <w:noProof/>
        </w:rPr>
      </w:pPr>
      <w:r>
        <w:rPr>
          <w:rFonts w:ascii="Times New Roman" w:hAnsi="Times New Roman"/>
          <w:b/>
          <w:i/>
          <w:noProof/>
        </w:rPr>
        <w:t>Infrastrutture digitali nello spazio</w:t>
      </w:r>
    </w:p>
    <w:p w14:paraId="5C941112" w14:textId="3BCABBB4" w:rsidR="008C7EF4" w:rsidRDefault="00EC0DD9" w:rsidP="0033699D">
      <w:pPr>
        <w:spacing w:after="120" w:line="278" w:lineRule="auto"/>
        <w:rPr>
          <w:rFonts w:ascii="Times New Roman" w:hAnsi="Times New Roman" w:cs="Times New Roman"/>
          <w:noProof/>
        </w:rPr>
      </w:pPr>
      <w:r>
        <w:rPr>
          <w:rFonts w:ascii="Times New Roman" w:hAnsi="Times New Roman"/>
          <w:noProof/>
        </w:rPr>
        <w:t xml:space="preserve">La trasmissione, la conservazione e il trattamento di grandi quantità di dati spaziali comportano notevoli sfide tecnologiche e ambientali. La promozione della digitalizzazione nello spazio nella trasformazione delle infrastrutture e dei servizi spaziali di prossima generazione contribuirà alla sovranità dei dati e aumenterà la resilienza e l'adattabilità delle iniziative faro dell'UE. Al contempo aumenterà la portata e la prevedibilità della domanda (cliente strategico dell'UE) e stimolerà la creazione di nuovi mercati, aprendo la strada a un ecosistema spaziale più flessibile e sostenibile. Ciò a sua volta creerà nuove opportunità commerciali per gli attori europei, rafforzando la posizione dell'UE come potenza spaziale sostenibile. </w:t>
      </w:r>
    </w:p>
    <w:p w14:paraId="67757D0F" w14:textId="3D8C27BE" w:rsidR="00473D9D" w:rsidRPr="007A593C" w:rsidRDefault="00D9522E" w:rsidP="000B738C">
      <w:pPr>
        <w:spacing w:after="240" w:line="278" w:lineRule="auto"/>
        <w:rPr>
          <w:rFonts w:ascii="Times New Roman" w:hAnsi="Times New Roman" w:cs="Times New Roman"/>
          <w:noProof/>
        </w:rPr>
      </w:pPr>
      <w:r>
        <w:rPr>
          <w:rFonts w:ascii="Times New Roman" w:hAnsi="Times New Roman"/>
          <w:noProof/>
        </w:rPr>
        <w:t>Il trattamento dei dati satellitari a bordo consente il trattamento e l'analisi automatici dei dati grezzi, riducendo il volume di downlink e aumentando l'efficienza e la velocità delle operazioni. Lo sviluppo di concetti dirompenti (ad esempio il calcolo distribuito nello spazio, che sfrutta le risorse di più satelliti e consente la fusione dei dati attraverso collegamenti intersatellitari) sta migliorando la capacità di calcolo e la ridondanza dei sistemi in orbita. I centri dati nello spazio possono diventare una realtà in futuro, ma la loro realizzazione dipende dalla maturazione delle tecnologie abilitanti e implica considerazioni relative alla cibersicurezza. Tali centri sfrutterebbero l'abbondante disponibilità di energia solare e i vantaggi naturali offerti dall'ambiente spaziale, come la minora domanda di raffreddamento. Grazie ai progressi compiuti nell'assemblaggio in orbita, nella manutenzione e nel trattamento dei dati nello spazio, tali strutture potrebbero gestire le richieste intensive di calcolo delle applicazioni sia commerciali che istituzionali. Ciò dipenderà dalla maturazione delle tecnologie abilitanti (ad esempio i concetti di gestione termica, il calcolo avanzato basato su chip robusti e a bassa potenza come le GPU, i collegamenti ottici, le comunicazioni sicure, le tecnologie quantistiche, la cibersicurezza ecc.) e dall'elaborazione di concetti operativi, comprese eventuali dimostrazioni di prototipi.</w:t>
      </w:r>
    </w:p>
    <w:p w14:paraId="26B06337" w14:textId="619EA514" w:rsidR="00813345" w:rsidRPr="00526281" w:rsidRDefault="00A82B42" w:rsidP="00526281">
      <w:pPr>
        <w:spacing w:before="240" w:line="278" w:lineRule="auto"/>
        <w:rPr>
          <w:rFonts w:ascii="Times New Roman" w:hAnsi="Times New Roman" w:cs="Times New Roman"/>
          <w:b/>
          <w:bCs/>
          <w:i/>
          <w:iCs/>
          <w:noProof/>
        </w:rPr>
      </w:pPr>
      <w:r>
        <w:rPr>
          <w:rFonts w:ascii="Times New Roman" w:hAnsi="Times New Roman"/>
          <w:b/>
          <w:i/>
          <w:noProof/>
        </w:rPr>
        <w:t xml:space="preserve">Attività minerarie e utilizzo delle risorse </w:t>
      </w:r>
      <w:bookmarkEnd w:id="10"/>
    </w:p>
    <w:p w14:paraId="33F9F27C" w14:textId="5F3B463F" w:rsidR="00156178" w:rsidRPr="007A593C" w:rsidRDefault="0C2014D5" w:rsidP="0033699D">
      <w:pPr>
        <w:spacing w:after="120" w:line="278" w:lineRule="auto"/>
        <w:rPr>
          <w:rFonts w:ascii="Times New Roman" w:hAnsi="Times New Roman" w:cs="Times New Roman"/>
          <w:noProof/>
        </w:rPr>
      </w:pPr>
      <w:r>
        <w:rPr>
          <w:rFonts w:ascii="Times New Roman" w:hAnsi="Times New Roman"/>
          <w:noProof/>
        </w:rPr>
        <w:t>Le attività orbitali continuano ad evolversi e ad intrecciarsi con le ambizioni spaziali più ampie, segnando un chiaro punto di svolta nell'economia spaziale globale che si estende oltre l'economia orbitale terrestre. Tradizionalmente gli Stati membri dell'UE si sono occupati per lo più dello spazio profondo attraverso l'Agenzia spaziale europea (ESA), concentrandosi soprattutto su missioni scientifiche volte ad ampliare la nostra comprensione dell'universo. Tuttavia le attività minerarie spaziali e l'utilizzo delle risorse stanno attualmente suscitando un notevole interesse, dal momento che le potenze spaziali mondiali sono impegnate in una corsa verso la Luna e lo spazio profondo.</w:t>
      </w:r>
    </w:p>
    <w:p w14:paraId="1C54563D" w14:textId="4FC7942F" w:rsidR="00156178" w:rsidRPr="007A593C" w:rsidRDefault="00644F9C" w:rsidP="0033699D">
      <w:pPr>
        <w:spacing w:after="120" w:line="278" w:lineRule="auto"/>
        <w:rPr>
          <w:rFonts w:ascii="Times New Roman" w:hAnsi="Times New Roman" w:cs="Times New Roman"/>
          <w:noProof/>
        </w:rPr>
      </w:pPr>
      <w:r>
        <w:rPr>
          <w:rFonts w:ascii="Times New Roman" w:hAnsi="Times New Roman"/>
          <w:noProof/>
        </w:rPr>
        <w:t>Si prevede che il potenziale economico derivante dall'utilizzo delle risorse dello spazio genererà ricavi di mercato compresi tra 73 e 170 miliardi di EUR tra il 2018 e il 2045. Gli utenti finali potrebbero risparmiare circa 54-135 miliardi di EUR riducendo i costi di esplorazione. La diffusione della tecnologia e delle conoscenze è stimata in circa 2,5 miliardi di EUR in 50 anni.</w:t>
      </w:r>
    </w:p>
    <w:p w14:paraId="63A50D4F" w14:textId="251E7D34" w:rsidR="4B58185F" w:rsidRPr="007A593C" w:rsidRDefault="0026350F" w:rsidP="00526281">
      <w:pPr>
        <w:spacing w:after="240" w:line="278" w:lineRule="auto"/>
        <w:rPr>
          <w:rFonts w:ascii="Times New Roman" w:hAnsi="Times New Roman" w:cs="Times New Roman"/>
          <w:noProof/>
        </w:rPr>
      </w:pPr>
      <w:r>
        <w:rPr>
          <w:rFonts w:ascii="Times New Roman" w:hAnsi="Times New Roman"/>
          <w:noProof/>
        </w:rPr>
        <w:t>La Commissione sosterrà le attività preparatorie di R&amp;I (ad esempio studi concettuali, sviluppo di strumenti scientifici, attuatori per meccanismi, robotica cooperativa e prelievo di campioni per l'estrazione e l'utilizzo delle risorse). Esaminerà inoltre il quadro giuridico più appropriato per l'estrazione e l'uso delle risorse.</w:t>
      </w:r>
    </w:p>
    <w:tbl>
      <w:tblPr>
        <w:tblStyle w:val="ListTable3-Accent1"/>
        <w:tblW w:w="0" w:type="auto"/>
        <w:tblBorders>
          <w:insideH w:val="single" w:sz="4" w:space="0" w:color="156082" w:themeColor="accent1"/>
          <w:insideV w:val="single" w:sz="4" w:space="0" w:color="156082" w:themeColor="accent1"/>
        </w:tblBorders>
        <w:tblLook w:val="04A0" w:firstRow="1" w:lastRow="0" w:firstColumn="1" w:lastColumn="0" w:noHBand="0" w:noVBand="1"/>
      </w:tblPr>
      <w:tblGrid>
        <w:gridCol w:w="9016"/>
      </w:tblGrid>
      <w:tr w:rsidR="00F749BD" w:rsidRPr="00F222EB" w14:paraId="6861A723" w14:textId="77777777" w:rsidTr="00F222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51C75DAD" w14:textId="2DD8CE84" w:rsidR="00AE2718" w:rsidRPr="00F222EB" w:rsidRDefault="00AE2718" w:rsidP="00F222EB">
            <w:pPr>
              <w:spacing w:line="278" w:lineRule="auto"/>
              <w:rPr>
                <w:rFonts w:ascii="Times New Roman" w:hAnsi="Times New Roman" w:cs="Times New Roman"/>
                <w:noProof/>
              </w:rPr>
            </w:pPr>
            <w:r>
              <w:rPr>
                <w:rFonts w:ascii="Times New Roman" w:hAnsi="Times New Roman"/>
                <w:noProof/>
              </w:rPr>
              <w:t>Azioni previste 12</w:t>
            </w:r>
          </w:p>
        </w:tc>
      </w:tr>
      <w:tr w:rsidR="004339A1" w:rsidRPr="00AD5558" w14:paraId="2FC9A766" w14:textId="77777777" w:rsidTr="00CC3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2B0667D2" w14:textId="02D55D8A" w:rsidR="004339A1" w:rsidRPr="00AD5558" w:rsidRDefault="004339A1" w:rsidP="00CC375B">
            <w:pPr>
              <w:spacing w:line="278" w:lineRule="auto"/>
              <w:rPr>
                <w:rFonts w:ascii="Times New Roman" w:hAnsi="Times New Roman" w:cs="Times New Roman"/>
                <w:b w:val="0"/>
                <w:bCs w:val="0"/>
                <w:noProof/>
              </w:rPr>
            </w:pPr>
            <w:r>
              <w:rPr>
                <w:rFonts w:ascii="Times New Roman" w:hAnsi="Times New Roman"/>
                <w:b w:val="0"/>
                <w:noProof/>
              </w:rPr>
              <w:t>La Commissione rafforzerà la collaborazione sull'economia nello spazio con gli Stati membri dell'UE in coordinamento con l'ESA, concentrandosi sulle attività spaziali orbitali, cislunari e lunari, sostenendo l'industria, la ricerca e il mondo accademico dell'UE.</w:t>
            </w:r>
          </w:p>
        </w:tc>
      </w:tr>
      <w:tr w:rsidR="00623F51" w:rsidRPr="00E51E37" w14:paraId="07CDE8EC" w14:textId="77777777" w:rsidTr="00EF35A1">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199B24D3" w14:textId="77777777" w:rsidR="00623F51" w:rsidRPr="00E51E37" w:rsidRDefault="00623F51" w:rsidP="00EF35A1">
            <w:pPr>
              <w:spacing w:line="278" w:lineRule="auto"/>
              <w:rPr>
                <w:rFonts w:ascii="Times New Roman" w:hAnsi="Times New Roman" w:cs="Times New Roman"/>
                <w:b w:val="0"/>
                <w:bCs w:val="0"/>
                <w:noProof/>
              </w:rPr>
            </w:pPr>
            <w:r>
              <w:rPr>
                <w:rFonts w:ascii="Times New Roman" w:hAnsi="Times New Roman"/>
                <w:b w:val="0"/>
                <w:noProof/>
              </w:rPr>
              <w:t xml:space="preserve">La Commissione, in coordinamento con gli Stati membri e l'ESA, intende: </w:t>
            </w:r>
          </w:p>
          <w:p w14:paraId="6FE07483" w14:textId="77777777" w:rsidR="00623F51" w:rsidRPr="00E51E37" w:rsidRDefault="00623F51" w:rsidP="00EF35A1">
            <w:pPr>
              <w:spacing w:line="278" w:lineRule="auto"/>
              <w:ind w:left="164" w:hanging="164"/>
              <w:rPr>
                <w:rFonts w:ascii="Times New Roman" w:hAnsi="Times New Roman" w:cs="Times New Roman"/>
                <w:b w:val="0"/>
                <w:bCs w:val="0"/>
                <w:noProof/>
              </w:rPr>
            </w:pPr>
            <w:r>
              <w:rPr>
                <w:rFonts w:ascii="Times New Roman" w:hAnsi="Times New Roman"/>
                <w:b w:val="0"/>
                <w:noProof/>
              </w:rPr>
              <w:t>- esaminare le opzioni per una missione pilota ISOS4I entro il 2030;</w:t>
            </w:r>
          </w:p>
          <w:p w14:paraId="10E2B8D5" w14:textId="77777777" w:rsidR="00623F51" w:rsidRPr="00E51E37" w:rsidRDefault="00623F51" w:rsidP="00EF35A1">
            <w:pPr>
              <w:spacing w:line="278" w:lineRule="auto"/>
              <w:ind w:left="164" w:hanging="164"/>
              <w:rPr>
                <w:rFonts w:ascii="Times New Roman" w:hAnsi="Times New Roman" w:cs="Times New Roman"/>
                <w:b w:val="0"/>
                <w:bCs w:val="0"/>
                <w:noProof/>
              </w:rPr>
            </w:pPr>
            <w:r>
              <w:rPr>
                <w:rFonts w:ascii="Times New Roman" w:hAnsi="Times New Roman"/>
                <w:b w:val="0"/>
                <w:noProof/>
              </w:rPr>
              <w:t xml:space="preserve">- preparare il terreno per una nuova iniziativa faro strategica entro il 2035 che fornisca servizi nello spazio su richiesta per le attività di manutenzione, potenziamento, assemblaggio, produzione, riparazione, rimozione, riciclaggio e logistica dei satelliti e di altri oggetti nello spazio; e </w:t>
            </w:r>
          </w:p>
          <w:p w14:paraId="64D984F0" w14:textId="77777777" w:rsidR="00623F51" w:rsidRPr="00E51E37" w:rsidRDefault="00623F51" w:rsidP="00EF35A1">
            <w:pPr>
              <w:spacing w:line="278" w:lineRule="auto"/>
              <w:ind w:left="164" w:hanging="164"/>
              <w:rPr>
                <w:rFonts w:ascii="Times New Roman" w:hAnsi="Times New Roman" w:cs="Times New Roman"/>
                <w:b w:val="0"/>
                <w:bCs w:val="0"/>
                <w:noProof/>
              </w:rPr>
            </w:pPr>
            <w:r>
              <w:rPr>
                <w:rFonts w:ascii="Times New Roman" w:hAnsi="Times New Roman"/>
                <w:b w:val="0"/>
                <w:noProof/>
              </w:rPr>
              <w:t>- sostenere la trasformazione delle infrastrutture spaziali verso una maggiore sostenibilità, adattabilità e resilienza.</w:t>
            </w:r>
          </w:p>
        </w:tc>
      </w:tr>
      <w:tr w:rsidR="00623F51" w:rsidRPr="00E51E37" w14:paraId="59D38BFF" w14:textId="77777777" w:rsidTr="00EF35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016D5146" w14:textId="77777777" w:rsidR="00623F51" w:rsidRPr="00E51E37" w:rsidRDefault="00623F51" w:rsidP="00EF35A1">
            <w:pPr>
              <w:spacing w:line="278" w:lineRule="auto"/>
              <w:rPr>
                <w:rFonts w:ascii="Times New Roman" w:hAnsi="Times New Roman" w:cs="Times New Roman"/>
                <w:b w:val="0"/>
                <w:bCs w:val="0"/>
                <w:noProof/>
              </w:rPr>
            </w:pPr>
            <w:r>
              <w:rPr>
                <w:rFonts w:ascii="Times New Roman" w:hAnsi="Times New Roman"/>
                <w:b w:val="0"/>
                <w:noProof/>
              </w:rPr>
              <w:t>La Commissione contribuirà allo sviluppo della prossima generazione di infrastrutture spaziali per i servizi nello spazio, in collaborazione con partner che condividono gli stessi principi.</w:t>
            </w:r>
          </w:p>
        </w:tc>
      </w:tr>
      <w:tr w:rsidR="00623F51" w:rsidRPr="00E51E37" w14:paraId="7CEAFF9F" w14:textId="77777777" w:rsidTr="00EF35A1">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23AE9DDD" w14:textId="77777777" w:rsidR="00623F51" w:rsidRPr="00E51E37" w:rsidRDefault="00623F51" w:rsidP="00EF35A1">
            <w:pPr>
              <w:spacing w:line="278" w:lineRule="auto"/>
              <w:rPr>
                <w:rFonts w:ascii="Times New Roman" w:hAnsi="Times New Roman" w:cs="Times New Roman"/>
                <w:b w:val="0"/>
                <w:bCs w:val="0"/>
                <w:noProof/>
              </w:rPr>
            </w:pPr>
            <w:r>
              <w:rPr>
                <w:rFonts w:ascii="Times New Roman" w:hAnsi="Times New Roman"/>
                <w:b w:val="0"/>
                <w:noProof/>
              </w:rPr>
              <w:t xml:space="preserve">La Commissione preparerà il terreno per le tecnologie abilitanti e sosterrà la loro maturazione per i dimostratori dei centri dati spaziali e il calcolo distribuito nello spazio. </w:t>
            </w:r>
          </w:p>
        </w:tc>
      </w:tr>
      <w:tr w:rsidR="00F749BD" w:rsidRPr="00F222EB" w14:paraId="49EAC5D7" w14:textId="77777777" w:rsidTr="00F222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0555DC22" w14:textId="7F56CED7" w:rsidR="00AE2718" w:rsidRPr="00F222EB" w:rsidRDefault="00A8757A" w:rsidP="00F222EB">
            <w:pPr>
              <w:spacing w:line="278" w:lineRule="auto"/>
              <w:rPr>
                <w:rFonts w:ascii="Times New Roman" w:hAnsi="Times New Roman" w:cs="Times New Roman"/>
                <w:b w:val="0"/>
                <w:bCs w:val="0"/>
                <w:noProof/>
              </w:rPr>
            </w:pPr>
            <w:r>
              <w:rPr>
                <w:rFonts w:ascii="Times New Roman" w:hAnsi="Times New Roman"/>
                <w:b w:val="0"/>
                <w:noProof/>
              </w:rPr>
              <w:t>La Commissione coordinerà con gli Stati membri e l'ESA le attività di ricerca per gli studi sull'estrazione e l'utilizzo delle risorse, lo sviluppo di strumenti scientifici e la robotica cooperativa e interoperabile, basandosi su iniziative pertinenti quali i partenariati pubblico-privato sull'IA, i dati e la robotica.</w:t>
            </w:r>
          </w:p>
        </w:tc>
      </w:tr>
    </w:tbl>
    <w:p w14:paraId="142C495D" w14:textId="2E6D394C" w:rsidR="413A3FA2" w:rsidRPr="007A593C" w:rsidRDefault="64D14ADF" w:rsidP="00526281">
      <w:pPr>
        <w:spacing w:before="360" w:line="278" w:lineRule="auto"/>
        <w:jc w:val="left"/>
        <w:rPr>
          <w:rFonts w:ascii="Times New Roman" w:hAnsi="Times New Roman" w:cs="Times New Roman"/>
          <w:b/>
          <w:noProof/>
        </w:rPr>
      </w:pPr>
      <w:r>
        <w:rPr>
          <w:rFonts w:ascii="Times New Roman" w:hAnsi="Times New Roman"/>
          <w:b/>
          <w:noProof/>
        </w:rPr>
        <w:t>PROSPETTIVA</w:t>
      </w:r>
    </w:p>
    <w:p w14:paraId="03F176D1" w14:textId="0D615E48" w:rsidR="2DF05E38" w:rsidRPr="007A593C" w:rsidRDefault="00F32B1B" w:rsidP="413A3FA2">
      <w:pPr>
        <w:rPr>
          <w:rFonts w:ascii="Times New Roman" w:hAnsi="Times New Roman" w:cs="Times New Roman"/>
          <w:noProof/>
        </w:rPr>
      </w:pPr>
      <w:r>
        <w:rPr>
          <w:rFonts w:ascii="Times New Roman" w:hAnsi="Times New Roman"/>
          <w:noProof/>
        </w:rPr>
        <w:t>L'UE vanta una serie di risorse solide nel campo della scienza, della ricerca e delle tecnologie, dei sistemi, dei dati e dei servizi spaziali, nonché di capacità industriali all'avanguardia e di una forza lavoro altamente qualificata. Alla luce del nuovo panorama dell'economia spaziale caratterizzato da innovazioni rapide e dirompenti, nonché dal ruolo sempre più importante svolto dagli attori governativi e militari e dalle nuove imprese spaziali, tali risorse devono ora essere riallineate nell'ambito di partenariati pubblici e privati dinamici che favoriscano l'agilità, la flessibilità, la proattività e l'adattabilità.</w:t>
      </w:r>
    </w:p>
    <w:p w14:paraId="398459FE" w14:textId="5E6B1227" w:rsidR="0067229E" w:rsidRPr="007A593C" w:rsidRDefault="00DB05C4" w:rsidP="006F1BA4">
      <w:pPr>
        <w:spacing w:after="120" w:line="278" w:lineRule="auto"/>
        <w:rPr>
          <w:rFonts w:ascii="Times New Roman" w:eastAsia="Aptos" w:hAnsi="Times New Roman" w:cs="Times New Roman"/>
          <w:noProof/>
        </w:rPr>
      </w:pPr>
      <w:r>
        <w:rPr>
          <w:rFonts w:ascii="Times New Roman" w:hAnsi="Times New Roman"/>
          <w:noProof/>
        </w:rPr>
        <w:t>L'esperienza acquisita con NextGenerationEU nel settore spaziale, che ha richiesto sinergie e la combinazione di risorse a livello nazionale e dell'UE, è già stata determinante per valorizzare ulteriormente il coinvolgimento inclusivo di tutti i portatori di interessi dell'ecosistema spaziale e per concordare e attuare politiche e programmi che perseguono obiettivi comuni. Pertanto questo nuovo paradigma di coinvolgimento inclusivo e cooperazione dovrebbe essere istituzionalizzato attraverso un Team Europa per lo spazio, un forum ad alto livello che riunisca tutti i portatori di interessi dell'ecosistema spaziale europeo: gli Stati membri, la Commissione, l'Agenzia dell'UE per il programma spaziale (EUSPA), l'Agenzia spaziale europea (ESA), l'industria spaziale, le PMI e gli organismi di ricerca. Attraverso tale meccanismo, l'UE guiderà gli sforzi volti a riunire l'eccellenza e le capacità spaziali europee in modo coerente ed efficiente.</w:t>
      </w:r>
    </w:p>
    <w:p w14:paraId="187A4C9E" w14:textId="5538095A" w:rsidR="009C5599" w:rsidRPr="007A593C" w:rsidRDefault="56D35B44" w:rsidP="00793A98">
      <w:pPr>
        <w:spacing w:after="0" w:line="278" w:lineRule="auto"/>
        <w:rPr>
          <w:rFonts w:ascii="Times New Roman" w:eastAsia="Times New Roman" w:hAnsi="Times New Roman" w:cs="Times New Roman"/>
          <w:noProof/>
        </w:rPr>
      </w:pPr>
      <w:r>
        <w:rPr>
          <w:rFonts w:ascii="Times New Roman" w:hAnsi="Times New Roman"/>
          <w:noProof/>
        </w:rPr>
        <w:t xml:space="preserve">In quest'ottica lo strumento di coordinamento della bussola per la competitività dell'UE, che garantisce il coordinamento delle politiche nazionali e dell'UE, includerà lo spazio nei settori chiave selezionati che sono ritenuti di importanza strategica e di interesse per l'UE nel suo complesso. Lo strumento di coordinamento mirerà ad allineare le politiche e gli investimenti industriali e di ricerca a livello nazionale e dell'UE, con l'obiettivo di promuovere la trasformazione economica strutturale, la produttività, la crescita a lungo termine e la creazione di posti di lavoro di qualità, oltre a favorire il mercato unico. </w:t>
      </w:r>
    </w:p>
    <w:p w14:paraId="5E5F22CE" w14:textId="548D7FAA" w:rsidR="004E032E" w:rsidRPr="007A593C" w:rsidRDefault="009C5599" w:rsidP="00B50324">
      <w:pPr>
        <w:spacing w:after="120" w:line="278" w:lineRule="auto"/>
        <w:rPr>
          <w:rFonts w:ascii="Times New Roman" w:eastAsia="Times New Roman" w:hAnsi="Times New Roman" w:cs="Times New Roman"/>
          <w:noProof/>
        </w:rPr>
      </w:pPr>
      <w:r>
        <w:rPr>
          <w:rFonts w:ascii="Times New Roman" w:hAnsi="Times New Roman"/>
          <w:noProof/>
        </w:rPr>
        <w:t>Lo spazio presenta un elevato potenziale intrinseco in termini di innovazione, decarbonizzazione e sicurezza economica ed è un importante fattore abilitante per l'economia che genera significativi investimenti pubblici e privati.  Si tratta pertanto di un vettore fondamentale per la competitività dell'UE e, di conseguenza, di un valido settore da utilizzare come caso pilota per lo strumento di coordinamento per la competitività.</w:t>
      </w:r>
    </w:p>
    <w:p w14:paraId="49228A3E" w14:textId="25C01A68" w:rsidR="009C5599" w:rsidRDefault="627072CB" w:rsidP="00B50324">
      <w:pPr>
        <w:spacing w:after="120" w:line="278" w:lineRule="auto"/>
        <w:rPr>
          <w:rFonts w:ascii="Times New Roman" w:hAnsi="Times New Roman" w:cs="Times New Roman"/>
          <w:noProof/>
        </w:rPr>
      </w:pPr>
      <w:r>
        <w:rPr>
          <w:rFonts w:ascii="Times New Roman" w:hAnsi="Times New Roman"/>
          <w:noProof/>
        </w:rPr>
        <w:t>La Commissione, su parere del Team Europa per lo spazio, proporrà pertanto una metodologia specifica dedicata allo spazio che monitorerà il contributo di tale settore alla competitività dell'UE, nonché la quota dell'UE nell'economia spaziale globale. Tale lavoro si baserà sulla cooperazione in corso con l'ESA relativamente alle prime statistiche ufficiali sull'economia spaziale europea. Tali statistiche, nell'ambito dei conti nazionali, possono fornire le prove scientifiche necessarie per sostenere politiche più mirate nel settore spaziale dell'UE.</w:t>
      </w:r>
    </w:p>
    <w:p w14:paraId="7DE5E041" w14:textId="19762048" w:rsidR="00F152C5" w:rsidRDefault="004E4D1D" w:rsidP="00A82604">
      <w:pPr>
        <w:spacing w:after="120" w:line="278" w:lineRule="auto"/>
        <w:rPr>
          <w:rFonts w:ascii="Times New Roman" w:hAnsi="Times New Roman" w:cs="Times New Roman"/>
          <w:noProof/>
        </w:rPr>
      </w:pPr>
      <w:r>
        <w:rPr>
          <w:rFonts w:ascii="Times New Roman" w:hAnsi="Times New Roman"/>
          <w:noProof/>
        </w:rPr>
        <w:t xml:space="preserve">L'UE deve sostenere con decisione la commercializzazione, l'innovazione e l'industrializzazione del suo settore spaziale. Ciò comporta il rafforzamento dell'autonomia produttiva, l'ampliamento dei contratti con clienti strategici e l'adozione di modelli di appalto per l'innovazione che attraggano investimenti privati. Tali misure accelereranno i progressi nelle capacità spaziali (comprese missioni scientifiche, sistemi di lancio, costellazioni di satelliti e robotica spaziale). Per tradurre la visione sopra descritta in risultati tangibili, la Commissione coinvolgerà il Team Europa per lo spazio nella preparazione di un piano generale europeo per lo spazio, ovvero una tabella di marcia verso l'attuazione delle azioni elencate nella presente comunicazione.  </w:t>
      </w:r>
    </w:p>
    <w:p w14:paraId="1157756C" w14:textId="30879623" w:rsidR="004E4D1D" w:rsidRDefault="004E4D1D" w:rsidP="00526281">
      <w:pPr>
        <w:spacing w:after="240" w:line="278" w:lineRule="auto"/>
        <w:rPr>
          <w:rFonts w:ascii="Times New Roman" w:hAnsi="Times New Roman" w:cs="Times New Roman"/>
          <w:noProof/>
        </w:rPr>
      </w:pPr>
      <w:r>
        <w:rPr>
          <w:rFonts w:ascii="Times New Roman" w:hAnsi="Times New Roman"/>
          <w:noProof/>
        </w:rPr>
        <w:t>Allineando lo sviluppo industriale a queste priorità, l'Europa può costruire un'economia spaziale più resiliente, sostenibile e competitiva su scala mondiale.</w:t>
      </w:r>
    </w:p>
    <w:tbl>
      <w:tblPr>
        <w:tblStyle w:val="ListTable3-Accent1"/>
        <w:tblW w:w="0" w:type="auto"/>
        <w:tblBorders>
          <w:insideH w:val="single" w:sz="4" w:space="0" w:color="156082" w:themeColor="accent1"/>
          <w:insideV w:val="single" w:sz="4" w:space="0" w:color="156082" w:themeColor="accent1"/>
        </w:tblBorders>
        <w:tblLook w:val="04A0" w:firstRow="1" w:lastRow="0" w:firstColumn="1" w:lastColumn="0" w:noHBand="0" w:noVBand="1"/>
      </w:tblPr>
      <w:tblGrid>
        <w:gridCol w:w="9016"/>
      </w:tblGrid>
      <w:tr w:rsidR="00F749BD" w:rsidRPr="00A82604" w14:paraId="1CDDDEEE" w14:textId="77777777" w:rsidTr="008A1BA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429D0537" w14:textId="30B17EF0" w:rsidR="00B54D5D" w:rsidRPr="00E15E8B" w:rsidRDefault="00B54D5D" w:rsidP="008A1BAC">
            <w:pPr>
              <w:spacing w:line="278" w:lineRule="auto"/>
              <w:rPr>
                <w:rFonts w:ascii="Times New Roman" w:hAnsi="Times New Roman" w:cs="Times New Roman"/>
                <w:noProof/>
              </w:rPr>
            </w:pPr>
            <w:r>
              <w:rPr>
                <w:rFonts w:ascii="Times New Roman" w:hAnsi="Times New Roman"/>
                <w:noProof/>
              </w:rPr>
              <w:t>Azioni previste 13</w:t>
            </w:r>
          </w:p>
        </w:tc>
      </w:tr>
      <w:tr w:rsidR="00F749BD" w:rsidRPr="00A82604" w14:paraId="4E237CF0" w14:textId="77777777" w:rsidTr="008A1BAC">
        <w:trPr>
          <w:cnfStyle w:val="000000100000" w:firstRow="0" w:lastRow="0" w:firstColumn="0" w:lastColumn="0" w:oddVBand="0" w:evenVBand="0" w:oddHBand="1" w:evenHBand="0" w:firstRowFirstColumn="0" w:firstRowLastColumn="0" w:lastRowFirstColumn="0" w:lastRowLastColumn="0"/>
          <w:trHeight w:val="649"/>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752CA30" w14:textId="1DF3EDF6" w:rsidR="00B54D5D" w:rsidRPr="008A1BAC" w:rsidRDefault="00B433C4" w:rsidP="00E15E8B">
            <w:pPr>
              <w:pStyle w:val="ListParagraph"/>
              <w:spacing w:line="278" w:lineRule="auto"/>
              <w:ind w:left="22"/>
              <w:rPr>
                <w:rFonts w:ascii="Times New Roman" w:hAnsi="Times New Roman" w:cs="Times New Roman"/>
                <w:b w:val="0"/>
                <w:bCs w:val="0"/>
                <w:noProof/>
              </w:rPr>
            </w:pPr>
            <w:r>
              <w:rPr>
                <w:rFonts w:ascii="Times New Roman" w:hAnsi="Times New Roman"/>
                <w:b w:val="0"/>
                <w:noProof/>
              </w:rPr>
              <w:t>La Commissione istituirà uno "Space TeamEurope" (Team Europa per lo spazio) che fornirà contributi consultivi al processo decisionale dell'UE nel settore spaziale, in particolare per la preparazione di un piano generale dell'UE per lo spazio.</w:t>
            </w:r>
          </w:p>
        </w:tc>
      </w:tr>
      <w:tr w:rsidR="00A82604" w:rsidRPr="00A82604" w14:paraId="055F40C9" w14:textId="77777777" w:rsidTr="008A1BAC">
        <w:trPr>
          <w:trHeight w:val="877"/>
        </w:trPr>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08C4EA5A" w14:textId="22CBCB56" w:rsidR="00A82604" w:rsidRPr="00A82604" w:rsidRDefault="00A82604" w:rsidP="00E15E8B">
            <w:pPr>
              <w:pStyle w:val="ListParagraph"/>
              <w:spacing w:line="278" w:lineRule="auto"/>
              <w:ind w:left="22"/>
              <w:rPr>
                <w:rFonts w:ascii="Times New Roman" w:hAnsi="Times New Roman" w:cs="Times New Roman"/>
                <w:b w:val="0"/>
                <w:bCs w:val="0"/>
                <w:noProof/>
              </w:rPr>
            </w:pPr>
            <w:r>
              <w:rPr>
                <w:rFonts w:ascii="Times New Roman" w:hAnsi="Times New Roman"/>
                <w:b w:val="0"/>
                <w:noProof/>
              </w:rPr>
              <w:t>A partire dal 2025 la Commissione svilupperà una metodologia specifica per monitorare il settore spaziale dell'UE e la sua quota nell'economia spaziale globale nell'ambito dello strumento di coordinamento della bussola per la competitività dell'UE.</w:t>
            </w:r>
          </w:p>
        </w:tc>
      </w:tr>
      <w:bookmarkEnd w:id="0"/>
      <w:bookmarkEnd w:id="1"/>
    </w:tbl>
    <w:p w14:paraId="785943F2" w14:textId="414C0D01" w:rsidR="00D10EE2" w:rsidRPr="00A30CF2" w:rsidRDefault="00D10EE2" w:rsidP="000B738C">
      <w:pPr>
        <w:spacing w:line="278" w:lineRule="auto"/>
        <w:jc w:val="left"/>
        <w:rPr>
          <w:rFonts w:ascii="Times New Roman" w:hAnsi="Times New Roman" w:cs="Times New Roman"/>
          <w:noProof/>
        </w:rPr>
      </w:pPr>
    </w:p>
    <w:sectPr w:rsidR="00D10EE2" w:rsidRPr="00A30CF2" w:rsidSect="0098303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511059" w14:textId="77777777" w:rsidR="00367D1A" w:rsidRDefault="00367D1A" w:rsidP="00120FBE">
      <w:pPr>
        <w:spacing w:after="0" w:line="240" w:lineRule="auto"/>
      </w:pPr>
      <w:r>
        <w:separator/>
      </w:r>
    </w:p>
  </w:endnote>
  <w:endnote w:type="continuationSeparator" w:id="0">
    <w:p w14:paraId="7BB4DFA8" w14:textId="77777777" w:rsidR="00367D1A" w:rsidRDefault="00367D1A" w:rsidP="00120FBE">
      <w:pPr>
        <w:spacing w:after="0" w:line="240" w:lineRule="auto"/>
      </w:pPr>
      <w:r>
        <w:continuationSeparator/>
      </w:r>
    </w:p>
  </w:endnote>
  <w:endnote w:type="continuationNotice" w:id="1">
    <w:p w14:paraId="29F8459F" w14:textId="77777777" w:rsidR="00367D1A" w:rsidRDefault="00367D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quot;Aptos&quot;,sans-serif">
    <w:altName w:val="Cambria"/>
    <w:panose1 w:val="00000000000000000000"/>
    <w:charset w:val="00"/>
    <w:family w:val="roman"/>
    <w:notTrueType/>
    <w:pitch w:val="default"/>
  </w:font>
  <w:font w:name="Segoe UI,Times New Roman">
    <w:panose1 w:val="00000000000000000000"/>
    <w:charset w:val="00"/>
    <w:family w:val="roman"/>
    <w:notTrueType/>
    <w:pitch w:val="default"/>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2F186" w14:textId="329796A9" w:rsidR="008626BD" w:rsidRPr="008626BD" w:rsidRDefault="008626BD" w:rsidP="008626BD">
    <w:pPr>
      <w:pStyle w:val="FooterCoverPage"/>
      <w:rPr>
        <w:rFonts w:ascii="Arial" w:hAnsi="Arial" w:cs="Arial"/>
        <w:b/>
        <w:sz w:val="48"/>
      </w:rPr>
    </w:pPr>
    <w:r w:rsidRPr="008626BD">
      <w:rPr>
        <w:rFonts w:ascii="Arial" w:hAnsi="Arial" w:cs="Arial"/>
        <w:b/>
        <w:sz w:val="48"/>
      </w:rPr>
      <w:t>IT</w:t>
    </w:r>
    <w:r w:rsidRPr="008626BD">
      <w:rPr>
        <w:rFonts w:ascii="Arial" w:hAnsi="Arial" w:cs="Arial"/>
        <w:b/>
        <w:sz w:val="48"/>
      </w:rPr>
      <w:tab/>
    </w:r>
    <w:r w:rsidRPr="008626BD">
      <w:rPr>
        <w:rFonts w:ascii="Arial" w:hAnsi="Arial" w:cs="Arial"/>
        <w:b/>
        <w:sz w:val="48"/>
      </w:rPr>
      <w:tab/>
    </w:r>
    <w:r w:rsidRPr="008626BD">
      <w:tab/>
    </w:r>
    <w:r w:rsidRPr="008626BD">
      <w:rPr>
        <w:rFonts w:ascii="Arial" w:hAnsi="Arial" w:cs="Arial"/>
        <w:b/>
        <w:sz w:val="48"/>
      </w:rP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ECF61" w14:textId="7BC91CEE" w:rsidR="008626BD" w:rsidRPr="008626BD" w:rsidRDefault="008626BD" w:rsidP="008626BD">
    <w:pPr>
      <w:pStyle w:val="FooterCoverPage"/>
      <w:rPr>
        <w:rFonts w:ascii="Arial" w:hAnsi="Arial" w:cs="Arial"/>
        <w:b/>
        <w:sz w:val="48"/>
      </w:rPr>
    </w:pPr>
    <w:r w:rsidRPr="008626BD">
      <w:rPr>
        <w:rFonts w:ascii="Arial" w:hAnsi="Arial" w:cs="Arial"/>
        <w:b/>
        <w:sz w:val="48"/>
      </w:rPr>
      <w:t>IT</w:t>
    </w:r>
    <w:r w:rsidRPr="008626BD">
      <w:rPr>
        <w:rFonts w:ascii="Arial" w:hAnsi="Arial" w:cs="Arial"/>
        <w:b/>
        <w:sz w:val="48"/>
      </w:rPr>
      <w:tab/>
    </w:r>
    <w:r w:rsidRPr="008626BD">
      <w:rPr>
        <w:rFonts w:ascii="Arial" w:hAnsi="Arial" w:cs="Arial"/>
        <w:b/>
        <w:sz w:val="48"/>
      </w:rPr>
      <w:tab/>
    </w:r>
    <w:r w:rsidRPr="008626BD">
      <w:tab/>
    </w:r>
    <w:r w:rsidRPr="008626BD">
      <w:rPr>
        <w:rFonts w:ascii="Arial" w:hAnsi="Arial" w:cs="Arial"/>
        <w:b/>
        <w:sz w:val="48"/>
      </w:rPr>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F3269" w14:textId="77777777" w:rsidR="008626BD" w:rsidRPr="008626BD" w:rsidRDefault="008626BD" w:rsidP="008626B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03CAC" w14:textId="77777777" w:rsidR="00AB7C83" w:rsidRDefault="00AB7C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712049"/>
      <w:docPartObj>
        <w:docPartGallery w:val="Page Numbers (Bottom of Page)"/>
        <w:docPartUnique/>
      </w:docPartObj>
    </w:sdtPr>
    <w:sdtEndPr>
      <w:rPr>
        <w:noProof/>
      </w:rPr>
    </w:sdtEndPr>
    <w:sdtContent>
      <w:p w14:paraId="5B44014F" w14:textId="5474337E" w:rsidR="00341D2E" w:rsidRDefault="00341D2E">
        <w:pPr>
          <w:pStyle w:val="Footer"/>
          <w:jc w:val="right"/>
        </w:pPr>
        <w:r>
          <w:fldChar w:fldCharType="begin"/>
        </w:r>
        <w:r>
          <w:instrText xml:space="preserve"> PAGE   \* MERGEFORMAT </w:instrText>
        </w:r>
        <w:r>
          <w:fldChar w:fldCharType="separate"/>
        </w:r>
        <w:r w:rsidR="008626BD">
          <w:rPr>
            <w:noProof/>
          </w:rPr>
          <w:t>1</w:t>
        </w:r>
        <w:r>
          <w:fldChar w:fldCharType="end"/>
        </w:r>
      </w:p>
    </w:sdtContent>
  </w:sdt>
  <w:p w14:paraId="5AF31B79" w14:textId="77777777" w:rsidR="00341D2E" w:rsidRDefault="00341D2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78C1D" w14:textId="77777777" w:rsidR="00E3299A" w:rsidRDefault="00E32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FB30E" w14:textId="77777777" w:rsidR="00367D1A" w:rsidRDefault="00367D1A" w:rsidP="00120FBE">
      <w:pPr>
        <w:spacing w:after="0" w:line="240" w:lineRule="auto"/>
      </w:pPr>
      <w:r>
        <w:separator/>
      </w:r>
    </w:p>
  </w:footnote>
  <w:footnote w:type="continuationSeparator" w:id="0">
    <w:p w14:paraId="18B759C6" w14:textId="77777777" w:rsidR="00367D1A" w:rsidRDefault="00367D1A" w:rsidP="00120FBE">
      <w:pPr>
        <w:spacing w:after="0" w:line="240" w:lineRule="auto"/>
      </w:pPr>
      <w:r>
        <w:continuationSeparator/>
      </w:r>
    </w:p>
  </w:footnote>
  <w:footnote w:type="continuationNotice" w:id="1">
    <w:p w14:paraId="71D9EDB5" w14:textId="77777777" w:rsidR="00367D1A" w:rsidRDefault="00367D1A">
      <w:pPr>
        <w:spacing w:after="0" w:line="240" w:lineRule="auto"/>
      </w:pPr>
    </w:p>
  </w:footnote>
  <w:footnote w:id="2">
    <w:p w14:paraId="42102916" w14:textId="6A95BEC6" w:rsidR="669230C3" w:rsidRPr="00CC50CF" w:rsidRDefault="669230C3" w:rsidP="669230C3">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Forum economico mondiale, "Space:</w:t>
      </w:r>
      <w:r w:rsidRPr="00CC50CF">
        <w:rPr>
          <w:rFonts w:ascii="Times New Roman" w:hAnsi="Times New Roman"/>
          <w:i/>
          <w:iCs/>
          <w:lang w:val="en-US"/>
        </w:rPr>
        <w:t xml:space="preserve"> </w:t>
      </w:r>
      <w:r w:rsidRPr="00CC50CF">
        <w:rPr>
          <w:rFonts w:ascii="Times New Roman" w:hAnsi="Times New Roman"/>
          <w:lang w:val="en-US"/>
        </w:rPr>
        <w:t>The $1.8 Trillion Opportunity for Global Economic Growth – Insight Report",</w:t>
      </w:r>
      <w:r w:rsidRPr="00CC50CF">
        <w:rPr>
          <w:rFonts w:ascii="Times New Roman" w:hAnsi="Times New Roman"/>
          <w:i/>
          <w:lang w:val="en-US"/>
        </w:rPr>
        <w:t xml:space="preserve"> </w:t>
      </w:r>
      <w:r w:rsidRPr="00CC50CF">
        <w:rPr>
          <w:rFonts w:ascii="Times New Roman" w:hAnsi="Times New Roman"/>
          <w:lang w:val="en-US"/>
        </w:rPr>
        <w:t>aprile 2024.</w:t>
      </w:r>
    </w:p>
  </w:footnote>
  <w:footnote w:id="3">
    <w:p w14:paraId="6A8190EE" w14:textId="49D3FACD" w:rsidR="003744F2" w:rsidRPr="00817A5F" w:rsidRDefault="003744F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Agenzia spaziale europea, "Report on the Space Economy 2025", marzo 2025.</w:t>
      </w:r>
    </w:p>
  </w:footnote>
  <w:footnote w:id="4">
    <w:p w14:paraId="04492148" w14:textId="0DC49B82" w:rsidR="00DF3740" w:rsidRPr="00793A98" w:rsidRDefault="00DF374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COM(2025) 30 final.</w:t>
      </w:r>
    </w:p>
  </w:footnote>
  <w:footnote w:id="5">
    <w:p w14:paraId="4DD8D59A" w14:textId="7946A194" w:rsidR="005967A6" w:rsidRPr="00793A98" w:rsidRDefault="005967A6" w:rsidP="005967A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Conclusioni del Consiglio "Rafforzare la competitività dell'Europa grazie allo spazio", maggio 2024.</w:t>
      </w:r>
    </w:p>
  </w:footnote>
  <w:footnote w:id="6">
    <w:p w14:paraId="3E7D8A1E" w14:textId="27DE83DD" w:rsidR="00AC4020" w:rsidRPr="00CC50CF" w:rsidRDefault="00AC4020">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Draghi, M., "The future of European competitiveness", settembre 2024, pag. 62.</w:t>
      </w:r>
    </w:p>
  </w:footnote>
  <w:footnote w:id="7">
    <w:p w14:paraId="5412B2C9" w14:textId="57149896" w:rsidR="00E072D0" w:rsidRPr="00CC50CF" w:rsidRDefault="00E072D0">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Letta, E., "Much more than a market", aprile 2024.</w:t>
      </w:r>
    </w:p>
  </w:footnote>
  <w:footnote w:id="8">
    <w:p w14:paraId="52E22D23" w14:textId="4C2EA907" w:rsidR="00E072D0" w:rsidRPr="00CC50CF" w:rsidRDefault="00E072D0">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Draghi, M., "The future of European competitiveness", settembre 2024.</w:t>
      </w:r>
    </w:p>
  </w:footnote>
  <w:footnote w:id="9">
    <w:p w14:paraId="7D93632C" w14:textId="35175905" w:rsidR="00E072D0" w:rsidRPr="00CC50CF" w:rsidRDefault="00E072D0">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Niinistö, S., "Safer Together – Strengthening Europe's Civilian and Military Preparedness and Readiness", ottobre 2024.</w:t>
      </w:r>
    </w:p>
  </w:footnote>
  <w:footnote w:id="10">
    <w:p w14:paraId="206477A1" w14:textId="248D496B" w:rsidR="00B969E6" w:rsidRPr="00697C9C" w:rsidRDefault="00B969E6" w:rsidP="00103677">
      <w:pPr>
        <w:pStyle w:val="FootnoteText"/>
      </w:pPr>
      <w:r>
        <w:rPr>
          <w:rStyle w:val="FootnoteReference"/>
          <w:rFonts w:ascii="Times New Roman" w:hAnsi="Times New Roman" w:cs="Times New Roman"/>
        </w:rPr>
        <w:footnoteRef/>
      </w:r>
      <w:r>
        <w:rPr>
          <w:rFonts w:ascii="Times New Roman" w:hAnsi="Times New Roman"/>
        </w:rPr>
        <w:t xml:space="preserve"> JOIN(2023) 9 final.</w:t>
      </w:r>
    </w:p>
  </w:footnote>
  <w:footnote w:id="11">
    <w:p w14:paraId="5F8B9CF8" w14:textId="12E20810" w:rsidR="004E6A27" w:rsidRPr="000B738C" w:rsidRDefault="004E6A2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JOIN(2025) 130 final.</w:t>
      </w:r>
    </w:p>
  </w:footnote>
  <w:footnote w:id="12">
    <w:p w14:paraId="7F907DAD" w14:textId="776FFA87" w:rsidR="006132CF" w:rsidRPr="00650A18" w:rsidRDefault="006132C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Al fine di garantire una parte sostanziale di un contratto che consente di mantenere viva l'attività e attrarre altri clienti.</w:t>
      </w:r>
    </w:p>
  </w:footnote>
  <w:footnote w:id="13">
    <w:p w14:paraId="22FBE7FF" w14:textId="5B4664DD" w:rsidR="00A345B2" w:rsidRPr="00CC50CF" w:rsidRDefault="00A345B2">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Draghi, M., "The future of European competitiveness", settembre 2024, pag. 60.</w:t>
      </w:r>
    </w:p>
  </w:footnote>
  <w:footnote w:id="14">
    <w:p w14:paraId="3FCAF3A9" w14:textId="369847B4" w:rsidR="00013FE8" w:rsidRPr="00793A98" w:rsidRDefault="00013FE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Agenzia spaziale europea, "Report on the Space Economy 2024", dicembre 2024.</w:t>
      </w:r>
    </w:p>
  </w:footnote>
  <w:footnote w:id="15">
    <w:p w14:paraId="510DC241" w14:textId="7A2C0187" w:rsidR="2265E71D" w:rsidRPr="00793A98" w:rsidRDefault="2265E71D" w:rsidP="002D34C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COM(2025) 335 final.</w:t>
      </w:r>
    </w:p>
  </w:footnote>
  <w:footnote w:id="16">
    <w:p w14:paraId="78FF4BBB" w14:textId="25418A74" w:rsidR="2265E71D" w:rsidRPr="00932AAD" w:rsidRDefault="2265E71D" w:rsidP="0030364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COM(2025) 90 final.</w:t>
      </w:r>
    </w:p>
  </w:footnote>
  <w:footnote w:id="17">
    <w:p w14:paraId="243C2D0B" w14:textId="6C75E666" w:rsidR="00ED298E" w:rsidRPr="00022ED5" w:rsidRDefault="00ED298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progetto di partenariato di terza generazione (</w:t>
      </w:r>
      <w:r>
        <w:rPr>
          <w:rFonts w:ascii="Times New Roman" w:hAnsi="Times New Roman"/>
          <w:i/>
          <w:iCs/>
        </w:rPr>
        <w:t>3rd Generation Partnership Project</w:t>
      </w:r>
      <w:r>
        <w:rPr>
          <w:rFonts w:ascii="Times New Roman" w:hAnsi="Times New Roman"/>
        </w:rPr>
        <w:t>, 3GPP) riunisce sette organismi di normazione delle telecomunicazioni (ARIB, ATIS, CCSA, ETSI, TSDSI, TTA, TTC) e fornisce ai loro membri un ambiente stabile per produrre le relazioni e le specifiche che definiscono le tecnologie 3GPP.</w:t>
      </w:r>
    </w:p>
  </w:footnote>
  <w:footnote w:id="18">
    <w:p w14:paraId="139FC227" w14:textId="2FC26BC7" w:rsidR="00E84D13" w:rsidRPr="00022ED5" w:rsidRDefault="00E84D13" w:rsidP="00E84D1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 la strategia "Standards 2035", la Cina mira a dominare il panorama internazionale della normazione sulle tecnologie emergenti. Negli ultimi anni le proposte cinesi all'Organizzazione internazionale per la standardizzazione (ISO) e alla Commissione elettrotecnica internazionale (CEI) sono aumentate del 20 % all'anno. </w:t>
      </w:r>
    </w:p>
  </w:footnote>
  <w:footnote w:id="19">
    <w:p w14:paraId="05BFEF7A" w14:textId="77777777" w:rsidR="00EC4D3D" w:rsidRPr="00D107E2" w:rsidRDefault="00EC4D3D" w:rsidP="00EC4D3D">
      <w:pPr>
        <w:pStyle w:val="FootnoteText"/>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COM(2022) 31 final.</w:t>
      </w:r>
    </w:p>
  </w:footnote>
  <w:footnote w:id="20">
    <w:p w14:paraId="29F0A37A" w14:textId="6D642E41" w:rsidR="006259A9" w:rsidRPr="000B738C" w:rsidRDefault="006259A9" w:rsidP="006259A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Raccomandazione (UE) 2023/498 della Commissione.</w:t>
      </w:r>
    </w:p>
  </w:footnote>
  <w:footnote w:id="21">
    <w:p w14:paraId="0D06DE85" w14:textId="374F71B8" w:rsidR="00925C99" w:rsidRPr="00CC50CF" w:rsidRDefault="00925C99" w:rsidP="00925C99">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COM(2025) 85 final.</w:t>
      </w:r>
    </w:p>
  </w:footnote>
  <w:footnote w:id="22">
    <w:p w14:paraId="3E112D38" w14:textId="5282DDF1" w:rsidR="003908E3" w:rsidRPr="00CC50CF" w:rsidRDefault="003908E3">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Draghi, M., "The future of European competitiveness", settembre 2024.</w:t>
      </w:r>
    </w:p>
  </w:footnote>
  <w:footnote w:id="23">
    <w:p w14:paraId="691ED771" w14:textId="59F613E7" w:rsidR="003B16AA" w:rsidRPr="00793A98" w:rsidRDefault="003B16AA" w:rsidP="00A715B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Ne è un esempio il Centro di conoscenze sull'osservazione della Terra, che consente di sfruttare le conoscenze più avanzate provenienti dall'osservazione della Terra per le politiche dell'UE e per una migliore regolamentazione.</w:t>
      </w:r>
    </w:p>
  </w:footnote>
  <w:footnote w:id="24">
    <w:p w14:paraId="7BB3C75E" w14:textId="50666B0B" w:rsidR="00F52BEE" w:rsidRPr="00932AAD" w:rsidRDefault="00F52BEE" w:rsidP="413A3FA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"Strategia europea per la sicurezza economica" (JOIN(2023) 20 final).</w:t>
      </w:r>
    </w:p>
  </w:footnote>
  <w:footnote w:id="25">
    <w:p w14:paraId="7F9E219D" w14:textId="7B20F7B4" w:rsidR="00804679" w:rsidRPr="002B57BF" w:rsidRDefault="0080467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"Bussola per la competitività dell'UE" (COM(2025) 30 final).</w:t>
      </w:r>
    </w:p>
  </w:footnote>
  <w:footnote w:id="26">
    <w:p w14:paraId="409CB929" w14:textId="7A1F1D4A" w:rsidR="001357C5" w:rsidRPr="000B738C" w:rsidRDefault="001357C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"Una politica di coesione modernizzata – Riesame intermedio" (COM(2025) 163 final).</w:t>
      </w:r>
    </w:p>
  </w:footnote>
  <w:footnote w:id="27">
    <w:p w14:paraId="0FB6132A" w14:textId="547904EC" w:rsidR="001357C5" w:rsidRPr="00CC50CF" w:rsidRDefault="001357C5">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COM(2025) 310 final.</w:t>
      </w:r>
    </w:p>
  </w:footnote>
  <w:footnote w:id="28">
    <w:p w14:paraId="75153E46" w14:textId="54C8343F" w:rsidR="003C3EAB" w:rsidRPr="00CC50CF" w:rsidRDefault="003C3EAB">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Draghi, M., "The future of European competitiveness", settembre 2024, pag. 29.</w:t>
      </w:r>
    </w:p>
  </w:footnote>
  <w:footnote w:id="29">
    <w:p w14:paraId="6BD4F329" w14:textId="1E979F04" w:rsidR="00CD02E5" w:rsidRPr="000B738C" w:rsidRDefault="00CD02E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COM(2025) 270 final.</w:t>
      </w:r>
    </w:p>
  </w:footnote>
  <w:footnote w:id="30">
    <w:p w14:paraId="6F4AF8FE" w14:textId="351915FF" w:rsidR="00B80604" w:rsidRPr="000B738C" w:rsidRDefault="00B806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COM(2025) 90 final.</w:t>
      </w:r>
    </w:p>
  </w:footnote>
  <w:footnote w:id="31">
    <w:p w14:paraId="5958E35F" w14:textId="088C646A" w:rsidR="00F51C80" w:rsidRPr="009E3CAE" w:rsidRDefault="00F51C80" w:rsidP="00F51C8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Sebbene costituissero il 53,7 % degli studenti dell'istruzione terziaria iscritti nel 2022, le donne rappresentavano solo il 30,9 % degli studenti nelle discipline STEM. Per quanto riguarda l'IFP, il divario è persino superiore: le donne rappresentano solo il 16,1 % degli studenti iscritti nelle discipline STEM dell'IFP di livello intermedio.</w:t>
      </w:r>
    </w:p>
  </w:footnote>
  <w:footnote w:id="32">
    <w:p w14:paraId="6AAA88BD" w14:textId="06D0C26B" w:rsidR="002421B8" w:rsidRPr="009E3CAE" w:rsidRDefault="002421B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Agenzia spaziale europea, "Report on the Space Economy 2025", marzo 2025.</w:t>
      </w:r>
    </w:p>
  </w:footnote>
  <w:footnote w:id="33">
    <w:p w14:paraId="3926134D" w14:textId="010CCFC7" w:rsidR="00C445C6" w:rsidRPr="00CC50CF" w:rsidRDefault="00C445C6">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Secure World Foundation, "Global counterspace Capabilities",</w:t>
      </w:r>
      <w:r w:rsidRPr="00CC50CF">
        <w:rPr>
          <w:rFonts w:ascii="Times New Roman" w:hAnsi="Times New Roman"/>
          <w:i/>
          <w:lang w:val="en-US"/>
        </w:rPr>
        <w:t xml:space="preserve"> </w:t>
      </w:r>
      <w:r w:rsidRPr="00CC50CF">
        <w:rPr>
          <w:rFonts w:ascii="Times New Roman" w:hAnsi="Times New Roman"/>
          <w:lang w:val="en-US"/>
        </w:rPr>
        <w:t>aprile 2025.</w:t>
      </w:r>
    </w:p>
  </w:footnote>
  <w:footnote w:id="34">
    <w:p w14:paraId="03B83341" w14:textId="4F7FF73E" w:rsidR="000542AF" w:rsidRPr="00CC50CF" w:rsidRDefault="000542AF" w:rsidP="000542AF">
      <w:pPr>
        <w:pStyle w:val="FootnoteText"/>
        <w:rPr>
          <w:rFonts w:ascii="Times New Roman" w:hAnsi="Times New Roman" w:cs="Times New Roman"/>
          <w:lang w:val="en-US"/>
        </w:rPr>
      </w:pPr>
      <w:r>
        <w:rPr>
          <w:rStyle w:val="FootnoteReference"/>
          <w:rFonts w:ascii="Times New Roman" w:hAnsi="Times New Roman" w:cs="Times New Roman"/>
        </w:rPr>
        <w:footnoteRef/>
      </w:r>
      <w:r w:rsidRPr="00CC50CF">
        <w:rPr>
          <w:rFonts w:ascii="Times New Roman" w:hAnsi="Times New Roman"/>
          <w:lang w:val="en-US"/>
        </w:rPr>
        <w:t xml:space="preserve"> Commissione europea, "Towards a European policy for technology infrastructures – Building bridges to competitiveness", 2025, e "La strategia dell'UE per le start-up e le scale-up" (COM(2025) 270 final).</w:t>
      </w:r>
    </w:p>
  </w:footnote>
  <w:footnote w:id="35">
    <w:p w14:paraId="46E9F387" w14:textId="7B3CDAF0" w:rsidR="00E27566" w:rsidRPr="00793A98" w:rsidRDefault="00E2756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"Piano d'azione per il continente dell'IA" (COM(2025) 165 final).</w:t>
      </w:r>
    </w:p>
  </w:footnote>
  <w:footnote w:id="36">
    <w:p w14:paraId="46975771" w14:textId="75438D60" w:rsidR="003250DC" w:rsidRPr="00793A98" w:rsidRDefault="003250D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Draghi, M., "The future of European competitiveness", settembre 2024, parte A, pag. 60.</w:t>
      </w:r>
    </w:p>
  </w:footnote>
  <w:footnote w:id="37">
    <w:p w14:paraId="6801BB16" w14:textId="68A82C16" w:rsidR="00356FC6" w:rsidRPr="00932AAD" w:rsidRDefault="00356FC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Forum economico mondiale, "Global Cybersecurity Outlook 2025", gennaio 2025.</w:t>
      </w:r>
      <w:r>
        <w:t xml:space="preserve"> </w:t>
      </w:r>
    </w:p>
  </w:footnote>
  <w:footnote w:id="38">
    <w:p w14:paraId="3104D31C" w14:textId="16B02E6C" w:rsidR="002B15DA" w:rsidRPr="00932AAD" w:rsidRDefault="002B15D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Agenzia internazionale per l'energia, "Renewables 2024 – Analysis and forecast to 2030", ottobre 2024.</w:t>
      </w:r>
    </w:p>
  </w:footnote>
  <w:footnote w:id="39">
    <w:p w14:paraId="64CC7950" w14:textId="5116FE65" w:rsidR="008C6942" w:rsidRPr="008C6942" w:rsidRDefault="008C6942">
      <w:pPr>
        <w:pStyle w:val="FootnoteText"/>
      </w:pPr>
      <w:r>
        <w:rPr>
          <w:rStyle w:val="FootnoteReference"/>
          <w:rFonts w:ascii="Times New Roman" w:hAnsi="Times New Roman" w:cs="Times New Roman"/>
        </w:rPr>
        <w:footnoteRef/>
      </w:r>
      <w:r>
        <w:rPr>
          <w:rFonts w:ascii="Times New Roman" w:hAnsi="Times New Roman"/>
        </w:rPr>
        <w:t xml:space="preserve"> COM(2025) 280 final.</w:t>
      </w:r>
    </w:p>
  </w:footnote>
  <w:footnote w:id="40">
    <w:p w14:paraId="6B718CE9" w14:textId="7FF1A452" w:rsidR="00990D33" w:rsidRPr="00022ED5" w:rsidRDefault="00990D33" w:rsidP="00990D3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eCall è un sistema utilizzato nei veicoli in tutta l'UE che effettua automaticamente una chiamata di emergenza gratuita al numero unico di emergenza europeo 112 nel caso in cui un veicolo sia coinvolto in un incidente stradale grave.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71B3F" w14:textId="77777777" w:rsidR="008626BD" w:rsidRPr="008626BD" w:rsidRDefault="008626BD" w:rsidP="008626B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E98AA" w14:textId="77777777" w:rsidR="008626BD" w:rsidRPr="008626BD" w:rsidRDefault="008626BD" w:rsidP="008626B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19C98" w14:textId="77777777" w:rsidR="008626BD" w:rsidRPr="008626BD" w:rsidRDefault="008626BD" w:rsidP="008626B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1B6AD" w14:textId="77777777" w:rsidR="006C21DE" w:rsidRDefault="006C21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B4093" w14:textId="07F0BFF1" w:rsidR="008E046B" w:rsidRDefault="008E04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FF974" w14:textId="77777777" w:rsidR="00EE4E48" w:rsidRDefault="00EE4E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19B2"/>
    <w:multiLevelType w:val="multilevel"/>
    <w:tmpl w:val="050022A4"/>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0AC7376"/>
    <w:multiLevelType w:val="hybridMultilevel"/>
    <w:tmpl w:val="8640B5C4"/>
    <w:lvl w:ilvl="0" w:tplc="B2F8847E">
      <w:start w:val="1"/>
      <w:numFmt w:val="bullet"/>
      <w:lvlText w:val=""/>
      <w:lvlJc w:val="left"/>
      <w:pPr>
        <w:ind w:left="720" w:hanging="360"/>
      </w:pPr>
      <w:rPr>
        <w:rFonts w:ascii="Symbol" w:hAnsi="Symbol" w:hint="default"/>
      </w:rPr>
    </w:lvl>
    <w:lvl w:ilvl="1" w:tplc="545CA068" w:tentative="1">
      <w:start w:val="1"/>
      <w:numFmt w:val="bullet"/>
      <w:lvlText w:val="o"/>
      <w:lvlJc w:val="left"/>
      <w:pPr>
        <w:ind w:left="1440" w:hanging="360"/>
      </w:pPr>
      <w:rPr>
        <w:rFonts w:ascii="Courier New" w:hAnsi="Courier New" w:hint="default"/>
      </w:rPr>
    </w:lvl>
    <w:lvl w:ilvl="2" w:tplc="5978D4C8" w:tentative="1">
      <w:start w:val="1"/>
      <w:numFmt w:val="bullet"/>
      <w:lvlText w:val=""/>
      <w:lvlJc w:val="left"/>
      <w:pPr>
        <w:ind w:left="2160" w:hanging="360"/>
      </w:pPr>
      <w:rPr>
        <w:rFonts w:ascii="Wingdings" w:hAnsi="Wingdings" w:hint="default"/>
      </w:rPr>
    </w:lvl>
    <w:lvl w:ilvl="3" w:tplc="98043868" w:tentative="1">
      <w:start w:val="1"/>
      <w:numFmt w:val="bullet"/>
      <w:lvlText w:val=""/>
      <w:lvlJc w:val="left"/>
      <w:pPr>
        <w:ind w:left="2880" w:hanging="360"/>
      </w:pPr>
      <w:rPr>
        <w:rFonts w:ascii="Symbol" w:hAnsi="Symbol" w:hint="default"/>
      </w:rPr>
    </w:lvl>
    <w:lvl w:ilvl="4" w:tplc="54DE5DA8" w:tentative="1">
      <w:start w:val="1"/>
      <w:numFmt w:val="bullet"/>
      <w:lvlText w:val="o"/>
      <w:lvlJc w:val="left"/>
      <w:pPr>
        <w:ind w:left="3600" w:hanging="360"/>
      </w:pPr>
      <w:rPr>
        <w:rFonts w:ascii="Courier New" w:hAnsi="Courier New" w:hint="default"/>
      </w:rPr>
    </w:lvl>
    <w:lvl w:ilvl="5" w:tplc="77DEE714" w:tentative="1">
      <w:start w:val="1"/>
      <w:numFmt w:val="bullet"/>
      <w:lvlText w:val=""/>
      <w:lvlJc w:val="left"/>
      <w:pPr>
        <w:ind w:left="4320" w:hanging="360"/>
      </w:pPr>
      <w:rPr>
        <w:rFonts w:ascii="Wingdings" w:hAnsi="Wingdings" w:hint="default"/>
      </w:rPr>
    </w:lvl>
    <w:lvl w:ilvl="6" w:tplc="699867D4" w:tentative="1">
      <w:start w:val="1"/>
      <w:numFmt w:val="bullet"/>
      <w:lvlText w:val=""/>
      <w:lvlJc w:val="left"/>
      <w:pPr>
        <w:ind w:left="5040" w:hanging="360"/>
      </w:pPr>
      <w:rPr>
        <w:rFonts w:ascii="Symbol" w:hAnsi="Symbol" w:hint="default"/>
      </w:rPr>
    </w:lvl>
    <w:lvl w:ilvl="7" w:tplc="C97C5258" w:tentative="1">
      <w:start w:val="1"/>
      <w:numFmt w:val="bullet"/>
      <w:lvlText w:val="o"/>
      <w:lvlJc w:val="left"/>
      <w:pPr>
        <w:ind w:left="5760" w:hanging="360"/>
      </w:pPr>
      <w:rPr>
        <w:rFonts w:ascii="Courier New" w:hAnsi="Courier New" w:hint="default"/>
      </w:rPr>
    </w:lvl>
    <w:lvl w:ilvl="8" w:tplc="732A7994" w:tentative="1">
      <w:start w:val="1"/>
      <w:numFmt w:val="bullet"/>
      <w:lvlText w:val=""/>
      <w:lvlJc w:val="left"/>
      <w:pPr>
        <w:ind w:left="6480" w:hanging="360"/>
      </w:pPr>
      <w:rPr>
        <w:rFonts w:ascii="Wingdings" w:hAnsi="Wingdings" w:hint="default"/>
      </w:rPr>
    </w:lvl>
  </w:abstractNum>
  <w:abstractNum w:abstractNumId="2" w15:restartNumberingAfterBreak="0">
    <w:nsid w:val="010C1276"/>
    <w:multiLevelType w:val="hybridMultilevel"/>
    <w:tmpl w:val="FFFFFFFF"/>
    <w:lvl w:ilvl="0" w:tplc="8CDC5866">
      <w:start w:val="1"/>
      <w:numFmt w:val="bullet"/>
      <w:lvlText w:val="-"/>
      <w:lvlJc w:val="left"/>
      <w:pPr>
        <w:ind w:left="720" w:hanging="360"/>
      </w:pPr>
      <w:rPr>
        <w:rFonts w:ascii="Aptos" w:hAnsi="Aptos" w:hint="default"/>
      </w:rPr>
    </w:lvl>
    <w:lvl w:ilvl="1" w:tplc="D538567E">
      <w:start w:val="1"/>
      <w:numFmt w:val="bullet"/>
      <w:lvlText w:val="o"/>
      <w:lvlJc w:val="left"/>
      <w:pPr>
        <w:ind w:left="1440" w:hanging="360"/>
      </w:pPr>
      <w:rPr>
        <w:rFonts w:ascii="Courier New" w:hAnsi="Courier New" w:hint="default"/>
      </w:rPr>
    </w:lvl>
    <w:lvl w:ilvl="2" w:tplc="8272F77E">
      <w:start w:val="1"/>
      <w:numFmt w:val="bullet"/>
      <w:lvlText w:val=""/>
      <w:lvlJc w:val="left"/>
      <w:pPr>
        <w:ind w:left="2160" w:hanging="360"/>
      </w:pPr>
      <w:rPr>
        <w:rFonts w:ascii="Wingdings" w:hAnsi="Wingdings" w:hint="default"/>
      </w:rPr>
    </w:lvl>
    <w:lvl w:ilvl="3" w:tplc="1F4047E6">
      <w:start w:val="1"/>
      <w:numFmt w:val="bullet"/>
      <w:lvlText w:val=""/>
      <w:lvlJc w:val="left"/>
      <w:pPr>
        <w:ind w:left="2880" w:hanging="360"/>
      </w:pPr>
      <w:rPr>
        <w:rFonts w:ascii="Symbol" w:hAnsi="Symbol" w:hint="default"/>
      </w:rPr>
    </w:lvl>
    <w:lvl w:ilvl="4" w:tplc="A192D68C">
      <w:start w:val="1"/>
      <w:numFmt w:val="bullet"/>
      <w:lvlText w:val="o"/>
      <w:lvlJc w:val="left"/>
      <w:pPr>
        <w:ind w:left="3600" w:hanging="360"/>
      </w:pPr>
      <w:rPr>
        <w:rFonts w:ascii="Courier New" w:hAnsi="Courier New" w:hint="default"/>
      </w:rPr>
    </w:lvl>
    <w:lvl w:ilvl="5" w:tplc="71E0F794">
      <w:start w:val="1"/>
      <w:numFmt w:val="bullet"/>
      <w:lvlText w:val=""/>
      <w:lvlJc w:val="left"/>
      <w:pPr>
        <w:ind w:left="4320" w:hanging="360"/>
      </w:pPr>
      <w:rPr>
        <w:rFonts w:ascii="Wingdings" w:hAnsi="Wingdings" w:hint="default"/>
      </w:rPr>
    </w:lvl>
    <w:lvl w:ilvl="6" w:tplc="A0DEFDD0">
      <w:start w:val="1"/>
      <w:numFmt w:val="bullet"/>
      <w:lvlText w:val=""/>
      <w:lvlJc w:val="left"/>
      <w:pPr>
        <w:ind w:left="5040" w:hanging="360"/>
      </w:pPr>
      <w:rPr>
        <w:rFonts w:ascii="Symbol" w:hAnsi="Symbol" w:hint="default"/>
      </w:rPr>
    </w:lvl>
    <w:lvl w:ilvl="7" w:tplc="E0165F34">
      <w:start w:val="1"/>
      <w:numFmt w:val="bullet"/>
      <w:lvlText w:val="o"/>
      <w:lvlJc w:val="left"/>
      <w:pPr>
        <w:ind w:left="5760" w:hanging="360"/>
      </w:pPr>
      <w:rPr>
        <w:rFonts w:ascii="Courier New" w:hAnsi="Courier New" w:hint="default"/>
      </w:rPr>
    </w:lvl>
    <w:lvl w:ilvl="8" w:tplc="D396B63A">
      <w:start w:val="1"/>
      <w:numFmt w:val="bullet"/>
      <w:lvlText w:val=""/>
      <w:lvlJc w:val="left"/>
      <w:pPr>
        <w:ind w:left="6480" w:hanging="360"/>
      </w:pPr>
      <w:rPr>
        <w:rFonts w:ascii="Wingdings" w:hAnsi="Wingdings" w:hint="default"/>
      </w:rPr>
    </w:lvl>
  </w:abstractNum>
  <w:abstractNum w:abstractNumId="3" w15:restartNumberingAfterBreak="0">
    <w:nsid w:val="0149777F"/>
    <w:multiLevelType w:val="hybridMultilevel"/>
    <w:tmpl w:val="069021E8"/>
    <w:lvl w:ilvl="0" w:tplc="17DC9250">
      <w:start w:val="1"/>
      <w:numFmt w:val="bullet"/>
      <w:lvlText w:val="•"/>
      <w:lvlJc w:val="left"/>
      <w:pPr>
        <w:tabs>
          <w:tab w:val="num" w:pos="720"/>
        </w:tabs>
        <w:ind w:left="720" w:hanging="360"/>
      </w:pPr>
      <w:rPr>
        <w:rFonts w:ascii="Arial" w:hAnsi="Arial" w:hint="default"/>
      </w:rPr>
    </w:lvl>
    <w:lvl w:ilvl="1" w:tplc="95DC8B2C">
      <w:start w:val="1"/>
      <w:numFmt w:val="bullet"/>
      <w:lvlText w:val="•"/>
      <w:lvlJc w:val="left"/>
      <w:pPr>
        <w:tabs>
          <w:tab w:val="num" w:pos="1440"/>
        </w:tabs>
        <w:ind w:left="1440" w:hanging="360"/>
      </w:pPr>
      <w:rPr>
        <w:rFonts w:ascii="Arial" w:hAnsi="Arial" w:hint="default"/>
      </w:rPr>
    </w:lvl>
    <w:lvl w:ilvl="2" w:tplc="C2D4F3C8" w:tentative="1">
      <w:start w:val="1"/>
      <w:numFmt w:val="bullet"/>
      <w:lvlText w:val="•"/>
      <w:lvlJc w:val="left"/>
      <w:pPr>
        <w:tabs>
          <w:tab w:val="num" w:pos="2160"/>
        </w:tabs>
        <w:ind w:left="2160" w:hanging="360"/>
      </w:pPr>
      <w:rPr>
        <w:rFonts w:ascii="Arial" w:hAnsi="Arial" w:hint="default"/>
      </w:rPr>
    </w:lvl>
    <w:lvl w:ilvl="3" w:tplc="EBBE6FAE" w:tentative="1">
      <w:start w:val="1"/>
      <w:numFmt w:val="bullet"/>
      <w:lvlText w:val="•"/>
      <w:lvlJc w:val="left"/>
      <w:pPr>
        <w:tabs>
          <w:tab w:val="num" w:pos="2880"/>
        </w:tabs>
        <w:ind w:left="2880" w:hanging="360"/>
      </w:pPr>
      <w:rPr>
        <w:rFonts w:ascii="Arial" w:hAnsi="Arial" w:hint="default"/>
      </w:rPr>
    </w:lvl>
    <w:lvl w:ilvl="4" w:tplc="BDDC189C" w:tentative="1">
      <w:start w:val="1"/>
      <w:numFmt w:val="bullet"/>
      <w:lvlText w:val="•"/>
      <w:lvlJc w:val="left"/>
      <w:pPr>
        <w:tabs>
          <w:tab w:val="num" w:pos="3600"/>
        </w:tabs>
        <w:ind w:left="3600" w:hanging="360"/>
      </w:pPr>
      <w:rPr>
        <w:rFonts w:ascii="Arial" w:hAnsi="Arial" w:hint="default"/>
      </w:rPr>
    </w:lvl>
    <w:lvl w:ilvl="5" w:tplc="85826434" w:tentative="1">
      <w:start w:val="1"/>
      <w:numFmt w:val="bullet"/>
      <w:lvlText w:val="•"/>
      <w:lvlJc w:val="left"/>
      <w:pPr>
        <w:tabs>
          <w:tab w:val="num" w:pos="4320"/>
        </w:tabs>
        <w:ind w:left="4320" w:hanging="360"/>
      </w:pPr>
      <w:rPr>
        <w:rFonts w:ascii="Arial" w:hAnsi="Arial" w:hint="default"/>
      </w:rPr>
    </w:lvl>
    <w:lvl w:ilvl="6" w:tplc="9544E96E" w:tentative="1">
      <w:start w:val="1"/>
      <w:numFmt w:val="bullet"/>
      <w:lvlText w:val="•"/>
      <w:lvlJc w:val="left"/>
      <w:pPr>
        <w:tabs>
          <w:tab w:val="num" w:pos="5040"/>
        </w:tabs>
        <w:ind w:left="5040" w:hanging="360"/>
      </w:pPr>
      <w:rPr>
        <w:rFonts w:ascii="Arial" w:hAnsi="Arial" w:hint="default"/>
      </w:rPr>
    </w:lvl>
    <w:lvl w:ilvl="7" w:tplc="AF8860FE" w:tentative="1">
      <w:start w:val="1"/>
      <w:numFmt w:val="bullet"/>
      <w:lvlText w:val="•"/>
      <w:lvlJc w:val="left"/>
      <w:pPr>
        <w:tabs>
          <w:tab w:val="num" w:pos="5760"/>
        </w:tabs>
        <w:ind w:left="5760" w:hanging="360"/>
      </w:pPr>
      <w:rPr>
        <w:rFonts w:ascii="Arial" w:hAnsi="Arial" w:hint="default"/>
      </w:rPr>
    </w:lvl>
    <w:lvl w:ilvl="8" w:tplc="4A2A872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4661750"/>
    <w:multiLevelType w:val="hybridMultilevel"/>
    <w:tmpl w:val="FFFFFFFF"/>
    <w:lvl w:ilvl="0" w:tplc="6790984E">
      <w:start w:val="1"/>
      <w:numFmt w:val="bullet"/>
      <w:lvlText w:val="-"/>
      <w:lvlJc w:val="left"/>
      <w:pPr>
        <w:ind w:left="720" w:hanging="360"/>
      </w:pPr>
      <w:rPr>
        <w:rFonts w:ascii="Aptos" w:hAnsi="Aptos" w:hint="default"/>
      </w:rPr>
    </w:lvl>
    <w:lvl w:ilvl="1" w:tplc="542EEBEA">
      <w:start w:val="1"/>
      <w:numFmt w:val="bullet"/>
      <w:lvlText w:val="o"/>
      <w:lvlJc w:val="left"/>
      <w:pPr>
        <w:ind w:left="1440" w:hanging="360"/>
      </w:pPr>
      <w:rPr>
        <w:rFonts w:ascii="Courier New" w:hAnsi="Courier New" w:hint="default"/>
      </w:rPr>
    </w:lvl>
    <w:lvl w:ilvl="2" w:tplc="2346B35C">
      <w:start w:val="1"/>
      <w:numFmt w:val="bullet"/>
      <w:lvlText w:val=""/>
      <w:lvlJc w:val="left"/>
      <w:pPr>
        <w:ind w:left="2160" w:hanging="360"/>
      </w:pPr>
      <w:rPr>
        <w:rFonts w:ascii="Wingdings" w:hAnsi="Wingdings" w:hint="default"/>
      </w:rPr>
    </w:lvl>
    <w:lvl w:ilvl="3" w:tplc="74289F12">
      <w:start w:val="1"/>
      <w:numFmt w:val="bullet"/>
      <w:lvlText w:val=""/>
      <w:lvlJc w:val="left"/>
      <w:pPr>
        <w:ind w:left="2880" w:hanging="360"/>
      </w:pPr>
      <w:rPr>
        <w:rFonts w:ascii="Symbol" w:hAnsi="Symbol" w:hint="default"/>
      </w:rPr>
    </w:lvl>
    <w:lvl w:ilvl="4" w:tplc="0C624A5C">
      <w:start w:val="1"/>
      <w:numFmt w:val="bullet"/>
      <w:lvlText w:val="o"/>
      <w:lvlJc w:val="left"/>
      <w:pPr>
        <w:ind w:left="3600" w:hanging="360"/>
      </w:pPr>
      <w:rPr>
        <w:rFonts w:ascii="Courier New" w:hAnsi="Courier New" w:hint="default"/>
      </w:rPr>
    </w:lvl>
    <w:lvl w:ilvl="5" w:tplc="F800D0D8">
      <w:start w:val="1"/>
      <w:numFmt w:val="bullet"/>
      <w:lvlText w:val=""/>
      <w:lvlJc w:val="left"/>
      <w:pPr>
        <w:ind w:left="4320" w:hanging="360"/>
      </w:pPr>
      <w:rPr>
        <w:rFonts w:ascii="Wingdings" w:hAnsi="Wingdings" w:hint="default"/>
      </w:rPr>
    </w:lvl>
    <w:lvl w:ilvl="6" w:tplc="9FF04152">
      <w:start w:val="1"/>
      <w:numFmt w:val="bullet"/>
      <w:lvlText w:val=""/>
      <w:lvlJc w:val="left"/>
      <w:pPr>
        <w:ind w:left="5040" w:hanging="360"/>
      </w:pPr>
      <w:rPr>
        <w:rFonts w:ascii="Symbol" w:hAnsi="Symbol" w:hint="default"/>
      </w:rPr>
    </w:lvl>
    <w:lvl w:ilvl="7" w:tplc="5DF04316">
      <w:start w:val="1"/>
      <w:numFmt w:val="bullet"/>
      <w:lvlText w:val="o"/>
      <w:lvlJc w:val="left"/>
      <w:pPr>
        <w:ind w:left="5760" w:hanging="360"/>
      </w:pPr>
      <w:rPr>
        <w:rFonts w:ascii="Courier New" w:hAnsi="Courier New" w:hint="default"/>
      </w:rPr>
    </w:lvl>
    <w:lvl w:ilvl="8" w:tplc="38DA6378">
      <w:start w:val="1"/>
      <w:numFmt w:val="bullet"/>
      <w:lvlText w:val=""/>
      <w:lvlJc w:val="left"/>
      <w:pPr>
        <w:ind w:left="6480" w:hanging="360"/>
      </w:pPr>
      <w:rPr>
        <w:rFonts w:ascii="Wingdings" w:hAnsi="Wingdings" w:hint="default"/>
      </w:rPr>
    </w:lvl>
  </w:abstractNum>
  <w:abstractNum w:abstractNumId="5" w15:restartNumberingAfterBreak="0">
    <w:nsid w:val="057045B9"/>
    <w:multiLevelType w:val="hybridMultilevel"/>
    <w:tmpl w:val="FA80BF34"/>
    <w:lvl w:ilvl="0" w:tplc="D5444750">
      <w:start w:val="1"/>
      <w:numFmt w:val="bullet"/>
      <w:lvlText w:val="•"/>
      <w:lvlJc w:val="left"/>
      <w:pPr>
        <w:tabs>
          <w:tab w:val="num" w:pos="720"/>
        </w:tabs>
        <w:ind w:left="720" w:hanging="360"/>
      </w:pPr>
      <w:rPr>
        <w:rFonts w:ascii="Arial" w:hAnsi="Arial" w:hint="default"/>
      </w:rPr>
    </w:lvl>
    <w:lvl w:ilvl="1" w:tplc="4DD2F248">
      <w:start w:val="1"/>
      <w:numFmt w:val="bullet"/>
      <w:lvlText w:val="•"/>
      <w:lvlJc w:val="left"/>
      <w:pPr>
        <w:tabs>
          <w:tab w:val="num" w:pos="1440"/>
        </w:tabs>
        <w:ind w:left="1440" w:hanging="360"/>
      </w:pPr>
      <w:rPr>
        <w:rFonts w:ascii="Arial" w:hAnsi="Arial" w:hint="default"/>
      </w:rPr>
    </w:lvl>
    <w:lvl w:ilvl="2" w:tplc="7E4EE738" w:tentative="1">
      <w:start w:val="1"/>
      <w:numFmt w:val="bullet"/>
      <w:lvlText w:val="•"/>
      <w:lvlJc w:val="left"/>
      <w:pPr>
        <w:tabs>
          <w:tab w:val="num" w:pos="2160"/>
        </w:tabs>
        <w:ind w:left="2160" w:hanging="360"/>
      </w:pPr>
      <w:rPr>
        <w:rFonts w:ascii="Arial" w:hAnsi="Arial" w:hint="default"/>
      </w:rPr>
    </w:lvl>
    <w:lvl w:ilvl="3" w:tplc="064ABA52" w:tentative="1">
      <w:start w:val="1"/>
      <w:numFmt w:val="bullet"/>
      <w:lvlText w:val="•"/>
      <w:lvlJc w:val="left"/>
      <w:pPr>
        <w:tabs>
          <w:tab w:val="num" w:pos="2880"/>
        </w:tabs>
        <w:ind w:left="2880" w:hanging="360"/>
      </w:pPr>
      <w:rPr>
        <w:rFonts w:ascii="Arial" w:hAnsi="Arial" w:hint="default"/>
      </w:rPr>
    </w:lvl>
    <w:lvl w:ilvl="4" w:tplc="6DDC0C10" w:tentative="1">
      <w:start w:val="1"/>
      <w:numFmt w:val="bullet"/>
      <w:lvlText w:val="•"/>
      <w:lvlJc w:val="left"/>
      <w:pPr>
        <w:tabs>
          <w:tab w:val="num" w:pos="3600"/>
        </w:tabs>
        <w:ind w:left="3600" w:hanging="360"/>
      </w:pPr>
      <w:rPr>
        <w:rFonts w:ascii="Arial" w:hAnsi="Arial" w:hint="default"/>
      </w:rPr>
    </w:lvl>
    <w:lvl w:ilvl="5" w:tplc="135C200C" w:tentative="1">
      <w:start w:val="1"/>
      <w:numFmt w:val="bullet"/>
      <w:lvlText w:val="•"/>
      <w:lvlJc w:val="left"/>
      <w:pPr>
        <w:tabs>
          <w:tab w:val="num" w:pos="4320"/>
        </w:tabs>
        <w:ind w:left="4320" w:hanging="360"/>
      </w:pPr>
      <w:rPr>
        <w:rFonts w:ascii="Arial" w:hAnsi="Arial" w:hint="default"/>
      </w:rPr>
    </w:lvl>
    <w:lvl w:ilvl="6" w:tplc="C0EE1762" w:tentative="1">
      <w:start w:val="1"/>
      <w:numFmt w:val="bullet"/>
      <w:lvlText w:val="•"/>
      <w:lvlJc w:val="left"/>
      <w:pPr>
        <w:tabs>
          <w:tab w:val="num" w:pos="5040"/>
        </w:tabs>
        <w:ind w:left="5040" w:hanging="360"/>
      </w:pPr>
      <w:rPr>
        <w:rFonts w:ascii="Arial" w:hAnsi="Arial" w:hint="default"/>
      </w:rPr>
    </w:lvl>
    <w:lvl w:ilvl="7" w:tplc="7EB21682" w:tentative="1">
      <w:start w:val="1"/>
      <w:numFmt w:val="bullet"/>
      <w:lvlText w:val="•"/>
      <w:lvlJc w:val="left"/>
      <w:pPr>
        <w:tabs>
          <w:tab w:val="num" w:pos="5760"/>
        </w:tabs>
        <w:ind w:left="5760" w:hanging="360"/>
      </w:pPr>
      <w:rPr>
        <w:rFonts w:ascii="Arial" w:hAnsi="Arial" w:hint="default"/>
      </w:rPr>
    </w:lvl>
    <w:lvl w:ilvl="8" w:tplc="CBCE4A2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73CC043"/>
    <w:multiLevelType w:val="hybridMultilevel"/>
    <w:tmpl w:val="FFFFFFFF"/>
    <w:lvl w:ilvl="0" w:tplc="224C2FC6">
      <w:start w:val="1"/>
      <w:numFmt w:val="bullet"/>
      <w:lvlText w:val="-"/>
      <w:lvlJc w:val="left"/>
      <w:pPr>
        <w:ind w:left="720" w:hanging="360"/>
      </w:pPr>
      <w:rPr>
        <w:rFonts w:ascii="Aptos" w:hAnsi="Aptos" w:hint="default"/>
      </w:rPr>
    </w:lvl>
    <w:lvl w:ilvl="1" w:tplc="440E46F0">
      <w:start w:val="1"/>
      <w:numFmt w:val="bullet"/>
      <w:lvlText w:val="o"/>
      <w:lvlJc w:val="left"/>
      <w:pPr>
        <w:ind w:left="1440" w:hanging="360"/>
      </w:pPr>
      <w:rPr>
        <w:rFonts w:ascii="Courier New" w:hAnsi="Courier New" w:hint="default"/>
      </w:rPr>
    </w:lvl>
    <w:lvl w:ilvl="2" w:tplc="D6703F44">
      <w:start w:val="1"/>
      <w:numFmt w:val="bullet"/>
      <w:lvlText w:val=""/>
      <w:lvlJc w:val="left"/>
      <w:pPr>
        <w:ind w:left="2160" w:hanging="360"/>
      </w:pPr>
      <w:rPr>
        <w:rFonts w:ascii="Wingdings" w:hAnsi="Wingdings" w:hint="default"/>
      </w:rPr>
    </w:lvl>
    <w:lvl w:ilvl="3" w:tplc="99C0DB06">
      <w:start w:val="1"/>
      <w:numFmt w:val="bullet"/>
      <w:lvlText w:val=""/>
      <w:lvlJc w:val="left"/>
      <w:pPr>
        <w:ind w:left="2880" w:hanging="360"/>
      </w:pPr>
      <w:rPr>
        <w:rFonts w:ascii="Symbol" w:hAnsi="Symbol" w:hint="default"/>
      </w:rPr>
    </w:lvl>
    <w:lvl w:ilvl="4" w:tplc="11A2EA12">
      <w:start w:val="1"/>
      <w:numFmt w:val="bullet"/>
      <w:lvlText w:val="o"/>
      <w:lvlJc w:val="left"/>
      <w:pPr>
        <w:ind w:left="3600" w:hanging="360"/>
      </w:pPr>
      <w:rPr>
        <w:rFonts w:ascii="Courier New" w:hAnsi="Courier New" w:hint="default"/>
      </w:rPr>
    </w:lvl>
    <w:lvl w:ilvl="5" w:tplc="435479DC">
      <w:start w:val="1"/>
      <w:numFmt w:val="bullet"/>
      <w:lvlText w:val=""/>
      <w:lvlJc w:val="left"/>
      <w:pPr>
        <w:ind w:left="4320" w:hanging="360"/>
      </w:pPr>
      <w:rPr>
        <w:rFonts w:ascii="Wingdings" w:hAnsi="Wingdings" w:hint="default"/>
      </w:rPr>
    </w:lvl>
    <w:lvl w:ilvl="6" w:tplc="4D228CBE">
      <w:start w:val="1"/>
      <w:numFmt w:val="bullet"/>
      <w:lvlText w:val=""/>
      <w:lvlJc w:val="left"/>
      <w:pPr>
        <w:ind w:left="5040" w:hanging="360"/>
      </w:pPr>
      <w:rPr>
        <w:rFonts w:ascii="Symbol" w:hAnsi="Symbol" w:hint="default"/>
      </w:rPr>
    </w:lvl>
    <w:lvl w:ilvl="7" w:tplc="DCC62810">
      <w:start w:val="1"/>
      <w:numFmt w:val="bullet"/>
      <w:lvlText w:val="o"/>
      <w:lvlJc w:val="left"/>
      <w:pPr>
        <w:ind w:left="5760" w:hanging="360"/>
      </w:pPr>
      <w:rPr>
        <w:rFonts w:ascii="Courier New" w:hAnsi="Courier New" w:hint="default"/>
      </w:rPr>
    </w:lvl>
    <w:lvl w:ilvl="8" w:tplc="772EBEE8">
      <w:start w:val="1"/>
      <w:numFmt w:val="bullet"/>
      <w:lvlText w:val=""/>
      <w:lvlJc w:val="left"/>
      <w:pPr>
        <w:ind w:left="6480" w:hanging="360"/>
      </w:pPr>
      <w:rPr>
        <w:rFonts w:ascii="Wingdings" w:hAnsi="Wingdings" w:hint="default"/>
      </w:rPr>
    </w:lvl>
  </w:abstractNum>
  <w:abstractNum w:abstractNumId="7" w15:restartNumberingAfterBreak="0">
    <w:nsid w:val="0B963D18"/>
    <w:multiLevelType w:val="hybridMultilevel"/>
    <w:tmpl w:val="CC98603A"/>
    <w:lvl w:ilvl="0" w:tplc="F012640E">
      <w:numFmt w:val="bullet"/>
      <w:lvlText w:val="-"/>
      <w:lvlJc w:val="left"/>
      <w:pPr>
        <w:ind w:left="360" w:hanging="360"/>
      </w:pPr>
      <w:rPr>
        <w:rFonts w:ascii="Aptos" w:hAnsi="Aptos" w:hint="default"/>
      </w:rPr>
    </w:lvl>
    <w:lvl w:ilvl="1" w:tplc="E1F403BC">
      <w:start w:val="1"/>
      <w:numFmt w:val="bullet"/>
      <w:lvlText w:val="o"/>
      <w:lvlJc w:val="left"/>
      <w:pPr>
        <w:ind w:left="1080" w:hanging="360"/>
      </w:pPr>
      <w:rPr>
        <w:rFonts w:ascii="Courier New" w:hAnsi="Courier New" w:hint="default"/>
      </w:rPr>
    </w:lvl>
    <w:lvl w:ilvl="2" w:tplc="801656FE" w:tentative="1">
      <w:start w:val="1"/>
      <w:numFmt w:val="bullet"/>
      <w:lvlText w:val=""/>
      <w:lvlJc w:val="left"/>
      <w:pPr>
        <w:ind w:left="1800" w:hanging="360"/>
      </w:pPr>
      <w:rPr>
        <w:rFonts w:ascii="Wingdings" w:hAnsi="Wingdings" w:hint="default"/>
      </w:rPr>
    </w:lvl>
    <w:lvl w:ilvl="3" w:tplc="BDFCFA26" w:tentative="1">
      <w:start w:val="1"/>
      <w:numFmt w:val="bullet"/>
      <w:lvlText w:val=""/>
      <w:lvlJc w:val="left"/>
      <w:pPr>
        <w:ind w:left="2520" w:hanging="360"/>
      </w:pPr>
      <w:rPr>
        <w:rFonts w:ascii="Symbol" w:hAnsi="Symbol" w:hint="default"/>
      </w:rPr>
    </w:lvl>
    <w:lvl w:ilvl="4" w:tplc="08ECB098" w:tentative="1">
      <w:start w:val="1"/>
      <w:numFmt w:val="bullet"/>
      <w:lvlText w:val="o"/>
      <w:lvlJc w:val="left"/>
      <w:pPr>
        <w:ind w:left="3240" w:hanging="360"/>
      </w:pPr>
      <w:rPr>
        <w:rFonts w:ascii="Courier New" w:hAnsi="Courier New" w:hint="default"/>
      </w:rPr>
    </w:lvl>
    <w:lvl w:ilvl="5" w:tplc="53BA95DE" w:tentative="1">
      <w:start w:val="1"/>
      <w:numFmt w:val="bullet"/>
      <w:lvlText w:val=""/>
      <w:lvlJc w:val="left"/>
      <w:pPr>
        <w:ind w:left="3960" w:hanging="360"/>
      </w:pPr>
      <w:rPr>
        <w:rFonts w:ascii="Wingdings" w:hAnsi="Wingdings" w:hint="default"/>
      </w:rPr>
    </w:lvl>
    <w:lvl w:ilvl="6" w:tplc="05FABA1E" w:tentative="1">
      <w:start w:val="1"/>
      <w:numFmt w:val="bullet"/>
      <w:lvlText w:val=""/>
      <w:lvlJc w:val="left"/>
      <w:pPr>
        <w:ind w:left="4680" w:hanging="360"/>
      </w:pPr>
      <w:rPr>
        <w:rFonts w:ascii="Symbol" w:hAnsi="Symbol" w:hint="default"/>
      </w:rPr>
    </w:lvl>
    <w:lvl w:ilvl="7" w:tplc="827A2A08" w:tentative="1">
      <w:start w:val="1"/>
      <w:numFmt w:val="bullet"/>
      <w:lvlText w:val="o"/>
      <w:lvlJc w:val="left"/>
      <w:pPr>
        <w:ind w:left="5400" w:hanging="360"/>
      </w:pPr>
      <w:rPr>
        <w:rFonts w:ascii="Courier New" w:hAnsi="Courier New" w:hint="default"/>
      </w:rPr>
    </w:lvl>
    <w:lvl w:ilvl="8" w:tplc="E60CEF42" w:tentative="1">
      <w:start w:val="1"/>
      <w:numFmt w:val="bullet"/>
      <w:lvlText w:val=""/>
      <w:lvlJc w:val="left"/>
      <w:pPr>
        <w:ind w:left="6120" w:hanging="360"/>
      </w:pPr>
      <w:rPr>
        <w:rFonts w:ascii="Wingdings" w:hAnsi="Wingdings" w:hint="default"/>
      </w:rPr>
    </w:lvl>
  </w:abstractNum>
  <w:abstractNum w:abstractNumId="8" w15:restartNumberingAfterBreak="0">
    <w:nsid w:val="0BEB5D90"/>
    <w:multiLevelType w:val="multilevel"/>
    <w:tmpl w:val="93E895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12B873"/>
    <w:multiLevelType w:val="hybridMultilevel"/>
    <w:tmpl w:val="FFFFFFFF"/>
    <w:lvl w:ilvl="0" w:tplc="4BD82506">
      <w:start w:val="1"/>
      <w:numFmt w:val="decimal"/>
      <w:lvlText w:val="%1."/>
      <w:lvlJc w:val="left"/>
      <w:pPr>
        <w:ind w:left="720" w:hanging="360"/>
      </w:pPr>
    </w:lvl>
    <w:lvl w:ilvl="1" w:tplc="A1CA2C36">
      <w:start w:val="1"/>
      <w:numFmt w:val="lowerLetter"/>
      <w:lvlText w:val="%2."/>
      <w:lvlJc w:val="left"/>
      <w:pPr>
        <w:ind w:left="1440" w:hanging="360"/>
      </w:pPr>
    </w:lvl>
    <w:lvl w:ilvl="2" w:tplc="9D101214">
      <w:start w:val="1"/>
      <w:numFmt w:val="lowerRoman"/>
      <w:lvlText w:val="%3."/>
      <w:lvlJc w:val="right"/>
      <w:pPr>
        <w:ind w:left="2160" w:hanging="180"/>
      </w:pPr>
    </w:lvl>
    <w:lvl w:ilvl="3" w:tplc="DB4C6DE8">
      <w:start w:val="1"/>
      <w:numFmt w:val="decimal"/>
      <w:lvlText w:val="%4."/>
      <w:lvlJc w:val="left"/>
      <w:pPr>
        <w:ind w:left="2880" w:hanging="360"/>
      </w:pPr>
    </w:lvl>
    <w:lvl w:ilvl="4" w:tplc="B99414A2">
      <w:start w:val="1"/>
      <w:numFmt w:val="lowerLetter"/>
      <w:lvlText w:val="%5."/>
      <w:lvlJc w:val="left"/>
      <w:pPr>
        <w:ind w:left="3600" w:hanging="360"/>
      </w:pPr>
    </w:lvl>
    <w:lvl w:ilvl="5" w:tplc="08E0F4AC">
      <w:start w:val="1"/>
      <w:numFmt w:val="lowerRoman"/>
      <w:lvlText w:val="%6."/>
      <w:lvlJc w:val="right"/>
      <w:pPr>
        <w:ind w:left="4320" w:hanging="180"/>
      </w:pPr>
    </w:lvl>
    <w:lvl w:ilvl="6" w:tplc="2A2AD6B8">
      <w:start w:val="1"/>
      <w:numFmt w:val="decimal"/>
      <w:lvlText w:val="%7."/>
      <w:lvlJc w:val="left"/>
      <w:pPr>
        <w:ind w:left="5040" w:hanging="360"/>
      </w:pPr>
    </w:lvl>
    <w:lvl w:ilvl="7" w:tplc="F258D0FA">
      <w:start w:val="1"/>
      <w:numFmt w:val="lowerLetter"/>
      <w:lvlText w:val="%8."/>
      <w:lvlJc w:val="left"/>
      <w:pPr>
        <w:ind w:left="5760" w:hanging="360"/>
      </w:pPr>
    </w:lvl>
    <w:lvl w:ilvl="8" w:tplc="B63468CC">
      <w:start w:val="1"/>
      <w:numFmt w:val="lowerRoman"/>
      <w:lvlText w:val="%9."/>
      <w:lvlJc w:val="right"/>
      <w:pPr>
        <w:ind w:left="6480" w:hanging="180"/>
      </w:pPr>
    </w:lvl>
  </w:abstractNum>
  <w:abstractNum w:abstractNumId="10" w15:restartNumberingAfterBreak="0">
    <w:nsid w:val="0D233546"/>
    <w:multiLevelType w:val="hybridMultilevel"/>
    <w:tmpl w:val="FE1E6C80"/>
    <w:lvl w:ilvl="0" w:tplc="CF5ECFE2">
      <w:start w:val="1"/>
      <w:numFmt w:val="bullet"/>
      <w:lvlText w:val="•"/>
      <w:lvlJc w:val="left"/>
      <w:pPr>
        <w:tabs>
          <w:tab w:val="num" w:pos="720"/>
        </w:tabs>
        <w:ind w:left="720" w:hanging="360"/>
      </w:pPr>
      <w:rPr>
        <w:rFonts w:ascii="Arial" w:hAnsi="Arial" w:hint="default"/>
      </w:rPr>
    </w:lvl>
    <w:lvl w:ilvl="1" w:tplc="A666349E">
      <w:start w:val="1"/>
      <w:numFmt w:val="bullet"/>
      <w:lvlText w:val="•"/>
      <w:lvlJc w:val="left"/>
      <w:pPr>
        <w:tabs>
          <w:tab w:val="num" w:pos="1440"/>
        </w:tabs>
        <w:ind w:left="1440" w:hanging="360"/>
      </w:pPr>
      <w:rPr>
        <w:rFonts w:ascii="Arial" w:hAnsi="Arial" w:hint="default"/>
      </w:rPr>
    </w:lvl>
    <w:lvl w:ilvl="2" w:tplc="16B681E2" w:tentative="1">
      <w:start w:val="1"/>
      <w:numFmt w:val="bullet"/>
      <w:lvlText w:val="•"/>
      <w:lvlJc w:val="left"/>
      <w:pPr>
        <w:tabs>
          <w:tab w:val="num" w:pos="2160"/>
        </w:tabs>
        <w:ind w:left="2160" w:hanging="360"/>
      </w:pPr>
      <w:rPr>
        <w:rFonts w:ascii="Arial" w:hAnsi="Arial" w:hint="default"/>
      </w:rPr>
    </w:lvl>
    <w:lvl w:ilvl="3" w:tplc="56C4F9CA" w:tentative="1">
      <w:start w:val="1"/>
      <w:numFmt w:val="bullet"/>
      <w:lvlText w:val="•"/>
      <w:lvlJc w:val="left"/>
      <w:pPr>
        <w:tabs>
          <w:tab w:val="num" w:pos="2880"/>
        </w:tabs>
        <w:ind w:left="2880" w:hanging="360"/>
      </w:pPr>
      <w:rPr>
        <w:rFonts w:ascii="Arial" w:hAnsi="Arial" w:hint="default"/>
      </w:rPr>
    </w:lvl>
    <w:lvl w:ilvl="4" w:tplc="54D29094" w:tentative="1">
      <w:start w:val="1"/>
      <w:numFmt w:val="bullet"/>
      <w:lvlText w:val="•"/>
      <w:lvlJc w:val="left"/>
      <w:pPr>
        <w:tabs>
          <w:tab w:val="num" w:pos="3600"/>
        </w:tabs>
        <w:ind w:left="3600" w:hanging="360"/>
      </w:pPr>
      <w:rPr>
        <w:rFonts w:ascii="Arial" w:hAnsi="Arial" w:hint="default"/>
      </w:rPr>
    </w:lvl>
    <w:lvl w:ilvl="5" w:tplc="F0325024" w:tentative="1">
      <w:start w:val="1"/>
      <w:numFmt w:val="bullet"/>
      <w:lvlText w:val="•"/>
      <w:lvlJc w:val="left"/>
      <w:pPr>
        <w:tabs>
          <w:tab w:val="num" w:pos="4320"/>
        </w:tabs>
        <w:ind w:left="4320" w:hanging="360"/>
      </w:pPr>
      <w:rPr>
        <w:rFonts w:ascii="Arial" w:hAnsi="Arial" w:hint="default"/>
      </w:rPr>
    </w:lvl>
    <w:lvl w:ilvl="6" w:tplc="CBCE1410" w:tentative="1">
      <w:start w:val="1"/>
      <w:numFmt w:val="bullet"/>
      <w:lvlText w:val="•"/>
      <w:lvlJc w:val="left"/>
      <w:pPr>
        <w:tabs>
          <w:tab w:val="num" w:pos="5040"/>
        </w:tabs>
        <w:ind w:left="5040" w:hanging="360"/>
      </w:pPr>
      <w:rPr>
        <w:rFonts w:ascii="Arial" w:hAnsi="Arial" w:hint="default"/>
      </w:rPr>
    </w:lvl>
    <w:lvl w:ilvl="7" w:tplc="FFA87D5C" w:tentative="1">
      <w:start w:val="1"/>
      <w:numFmt w:val="bullet"/>
      <w:lvlText w:val="•"/>
      <w:lvlJc w:val="left"/>
      <w:pPr>
        <w:tabs>
          <w:tab w:val="num" w:pos="5760"/>
        </w:tabs>
        <w:ind w:left="5760" w:hanging="360"/>
      </w:pPr>
      <w:rPr>
        <w:rFonts w:ascii="Arial" w:hAnsi="Arial" w:hint="default"/>
      </w:rPr>
    </w:lvl>
    <w:lvl w:ilvl="8" w:tplc="B24ED68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D440FC9"/>
    <w:multiLevelType w:val="hybridMultilevel"/>
    <w:tmpl w:val="9B44F418"/>
    <w:lvl w:ilvl="0" w:tplc="D7AA4644">
      <w:start w:val="1"/>
      <w:numFmt w:val="bullet"/>
      <w:lvlText w:val="•"/>
      <w:lvlJc w:val="left"/>
      <w:pPr>
        <w:tabs>
          <w:tab w:val="num" w:pos="720"/>
        </w:tabs>
        <w:ind w:left="720" w:hanging="360"/>
      </w:pPr>
      <w:rPr>
        <w:rFonts w:ascii="Arial" w:hAnsi="Arial" w:hint="default"/>
      </w:rPr>
    </w:lvl>
    <w:lvl w:ilvl="1" w:tplc="F684BE74">
      <w:start w:val="1"/>
      <w:numFmt w:val="bullet"/>
      <w:lvlText w:val="•"/>
      <w:lvlJc w:val="left"/>
      <w:pPr>
        <w:tabs>
          <w:tab w:val="num" w:pos="1440"/>
        </w:tabs>
        <w:ind w:left="1440" w:hanging="360"/>
      </w:pPr>
      <w:rPr>
        <w:rFonts w:ascii="Arial" w:hAnsi="Arial" w:hint="default"/>
      </w:rPr>
    </w:lvl>
    <w:lvl w:ilvl="2" w:tplc="0FBE4A4A" w:tentative="1">
      <w:start w:val="1"/>
      <w:numFmt w:val="bullet"/>
      <w:lvlText w:val="•"/>
      <w:lvlJc w:val="left"/>
      <w:pPr>
        <w:tabs>
          <w:tab w:val="num" w:pos="2160"/>
        </w:tabs>
        <w:ind w:left="2160" w:hanging="360"/>
      </w:pPr>
      <w:rPr>
        <w:rFonts w:ascii="Arial" w:hAnsi="Arial" w:hint="default"/>
      </w:rPr>
    </w:lvl>
    <w:lvl w:ilvl="3" w:tplc="77D0D6C6" w:tentative="1">
      <w:start w:val="1"/>
      <w:numFmt w:val="bullet"/>
      <w:lvlText w:val="•"/>
      <w:lvlJc w:val="left"/>
      <w:pPr>
        <w:tabs>
          <w:tab w:val="num" w:pos="2880"/>
        </w:tabs>
        <w:ind w:left="2880" w:hanging="360"/>
      </w:pPr>
      <w:rPr>
        <w:rFonts w:ascii="Arial" w:hAnsi="Arial" w:hint="default"/>
      </w:rPr>
    </w:lvl>
    <w:lvl w:ilvl="4" w:tplc="2C3666F8" w:tentative="1">
      <w:start w:val="1"/>
      <w:numFmt w:val="bullet"/>
      <w:lvlText w:val="•"/>
      <w:lvlJc w:val="left"/>
      <w:pPr>
        <w:tabs>
          <w:tab w:val="num" w:pos="3600"/>
        </w:tabs>
        <w:ind w:left="3600" w:hanging="360"/>
      </w:pPr>
      <w:rPr>
        <w:rFonts w:ascii="Arial" w:hAnsi="Arial" w:hint="default"/>
      </w:rPr>
    </w:lvl>
    <w:lvl w:ilvl="5" w:tplc="8E805B3C" w:tentative="1">
      <w:start w:val="1"/>
      <w:numFmt w:val="bullet"/>
      <w:lvlText w:val="•"/>
      <w:lvlJc w:val="left"/>
      <w:pPr>
        <w:tabs>
          <w:tab w:val="num" w:pos="4320"/>
        </w:tabs>
        <w:ind w:left="4320" w:hanging="360"/>
      </w:pPr>
      <w:rPr>
        <w:rFonts w:ascii="Arial" w:hAnsi="Arial" w:hint="default"/>
      </w:rPr>
    </w:lvl>
    <w:lvl w:ilvl="6" w:tplc="6EE259C6" w:tentative="1">
      <w:start w:val="1"/>
      <w:numFmt w:val="bullet"/>
      <w:lvlText w:val="•"/>
      <w:lvlJc w:val="left"/>
      <w:pPr>
        <w:tabs>
          <w:tab w:val="num" w:pos="5040"/>
        </w:tabs>
        <w:ind w:left="5040" w:hanging="360"/>
      </w:pPr>
      <w:rPr>
        <w:rFonts w:ascii="Arial" w:hAnsi="Arial" w:hint="default"/>
      </w:rPr>
    </w:lvl>
    <w:lvl w:ilvl="7" w:tplc="9E269CFC" w:tentative="1">
      <w:start w:val="1"/>
      <w:numFmt w:val="bullet"/>
      <w:lvlText w:val="•"/>
      <w:lvlJc w:val="left"/>
      <w:pPr>
        <w:tabs>
          <w:tab w:val="num" w:pos="5760"/>
        </w:tabs>
        <w:ind w:left="5760" w:hanging="360"/>
      </w:pPr>
      <w:rPr>
        <w:rFonts w:ascii="Arial" w:hAnsi="Arial" w:hint="default"/>
      </w:rPr>
    </w:lvl>
    <w:lvl w:ilvl="8" w:tplc="F5F2CA2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E7A2A36"/>
    <w:multiLevelType w:val="hybridMultilevel"/>
    <w:tmpl w:val="FFFFFFFF"/>
    <w:lvl w:ilvl="0" w:tplc="4F56284E">
      <w:start w:val="1"/>
      <w:numFmt w:val="bullet"/>
      <w:lvlText w:val="-"/>
      <w:lvlJc w:val="left"/>
      <w:pPr>
        <w:ind w:left="720" w:hanging="360"/>
      </w:pPr>
      <w:rPr>
        <w:rFonts w:ascii="Aptos" w:hAnsi="Aptos" w:hint="default"/>
      </w:rPr>
    </w:lvl>
    <w:lvl w:ilvl="1" w:tplc="BEA44BC8">
      <w:start w:val="1"/>
      <w:numFmt w:val="bullet"/>
      <w:lvlText w:val="o"/>
      <w:lvlJc w:val="left"/>
      <w:pPr>
        <w:ind w:left="1440" w:hanging="360"/>
      </w:pPr>
      <w:rPr>
        <w:rFonts w:ascii="Courier New" w:hAnsi="Courier New" w:hint="default"/>
      </w:rPr>
    </w:lvl>
    <w:lvl w:ilvl="2" w:tplc="B12094AC">
      <w:start w:val="1"/>
      <w:numFmt w:val="bullet"/>
      <w:lvlText w:val=""/>
      <w:lvlJc w:val="left"/>
      <w:pPr>
        <w:ind w:left="2160" w:hanging="360"/>
      </w:pPr>
      <w:rPr>
        <w:rFonts w:ascii="Wingdings" w:hAnsi="Wingdings" w:hint="default"/>
      </w:rPr>
    </w:lvl>
    <w:lvl w:ilvl="3" w:tplc="F2F67B8C">
      <w:start w:val="1"/>
      <w:numFmt w:val="bullet"/>
      <w:lvlText w:val=""/>
      <w:lvlJc w:val="left"/>
      <w:pPr>
        <w:ind w:left="2880" w:hanging="360"/>
      </w:pPr>
      <w:rPr>
        <w:rFonts w:ascii="Symbol" w:hAnsi="Symbol" w:hint="default"/>
      </w:rPr>
    </w:lvl>
    <w:lvl w:ilvl="4" w:tplc="3AC650B0">
      <w:start w:val="1"/>
      <w:numFmt w:val="bullet"/>
      <w:lvlText w:val="o"/>
      <w:lvlJc w:val="left"/>
      <w:pPr>
        <w:ind w:left="3600" w:hanging="360"/>
      </w:pPr>
      <w:rPr>
        <w:rFonts w:ascii="Courier New" w:hAnsi="Courier New" w:hint="default"/>
      </w:rPr>
    </w:lvl>
    <w:lvl w:ilvl="5" w:tplc="E416DF38">
      <w:start w:val="1"/>
      <w:numFmt w:val="bullet"/>
      <w:lvlText w:val=""/>
      <w:lvlJc w:val="left"/>
      <w:pPr>
        <w:ind w:left="4320" w:hanging="360"/>
      </w:pPr>
      <w:rPr>
        <w:rFonts w:ascii="Wingdings" w:hAnsi="Wingdings" w:hint="default"/>
      </w:rPr>
    </w:lvl>
    <w:lvl w:ilvl="6" w:tplc="1DD01EE6">
      <w:start w:val="1"/>
      <w:numFmt w:val="bullet"/>
      <w:lvlText w:val=""/>
      <w:lvlJc w:val="left"/>
      <w:pPr>
        <w:ind w:left="5040" w:hanging="360"/>
      </w:pPr>
      <w:rPr>
        <w:rFonts w:ascii="Symbol" w:hAnsi="Symbol" w:hint="default"/>
      </w:rPr>
    </w:lvl>
    <w:lvl w:ilvl="7" w:tplc="E8BADFA8">
      <w:start w:val="1"/>
      <w:numFmt w:val="bullet"/>
      <w:lvlText w:val="o"/>
      <w:lvlJc w:val="left"/>
      <w:pPr>
        <w:ind w:left="5760" w:hanging="360"/>
      </w:pPr>
      <w:rPr>
        <w:rFonts w:ascii="Courier New" w:hAnsi="Courier New" w:hint="default"/>
      </w:rPr>
    </w:lvl>
    <w:lvl w:ilvl="8" w:tplc="AF10AA9C">
      <w:start w:val="1"/>
      <w:numFmt w:val="bullet"/>
      <w:lvlText w:val=""/>
      <w:lvlJc w:val="left"/>
      <w:pPr>
        <w:ind w:left="6480" w:hanging="360"/>
      </w:pPr>
      <w:rPr>
        <w:rFonts w:ascii="Wingdings" w:hAnsi="Wingdings" w:hint="default"/>
      </w:rPr>
    </w:lvl>
  </w:abstractNum>
  <w:abstractNum w:abstractNumId="13" w15:restartNumberingAfterBreak="0">
    <w:nsid w:val="0F19146D"/>
    <w:multiLevelType w:val="hybridMultilevel"/>
    <w:tmpl w:val="FFFFFFFF"/>
    <w:lvl w:ilvl="0" w:tplc="318E9AA2">
      <w:start w:val="1"/>
      <w:numFmt w:val="bullet"/>
      <w:lvlText w:val="-"/>
      <w:lvlJc w:val="left"/>
      <w:pPr>
        <w:ind w:left="720" w:hanging="360"/>
      </w:pPr>
      <w:rPr>
        <w:rFonts w:ascii="Aptos" w:hAnsi="Aptos" w:hint="default"/>
      </w:rPr>
    </w:lvl>
    <w:lvl w:ilvl="1" w:tplc="CF8A6A16">
      <w:start w:val="1"/>
      <w:numFmt w:val="bullet"/>
      <w:lvlText w:val="o"/>
      <w:lvlJc w:val="left"/>
      <w:pPr>
        <w:ind w:left="1440" w:hanging="360"/>
      </w:pPr>
      <w:rPr>
        <w:rFonts w:ascii="Courier New" w:hAnsi="Courier New" w:hint="default"/>
      </w:rPr>
    </w:lvl>
    <w:lvl w:ilvl="2" w:tplc="357E97E0">
      <w:start w:val="1"/>
      <w:numFmt w:val="bullet"/>
      <w:lvlText w:val=""/>
      <w:lvlJc w:val="left"/>
      <w:pPr>
        <w:ind w:left="2160" w:hanging="360"/>
      </w:pPr>
      <w:rPr>
        <w:rFonts w:ascii="Wingdings" w:hAnsi="Wingdings" w:hint="default"/>
      </w:rPr>
    </w:lvl>
    <w:lvl w:ilvl="3" w:tplc="E3DAA266">
      <w:start w:val="1"/>
      <w:numFmt w:val="bullet"/>
      <w:lvlText w:val=""/>
      <w:lvlJc w:val="left"/>
      <w:pPr>
        <w:ind w:left="2880" w:hanging="360"/>
      </w:pPr>
      <w:rPr>
        <w:rFonts w:ascii="Symbol" w:hAnsi="Symbol" w:hint="default"/>
      </w:rPr>
    </w:lvl>
    <w:lvl w:ilvl="4" w:tplc="8E3E7E72">
      <w:start w:val="1"/>
      <w:numFmt w:val="bullet"/>
      <w:lvlText w:val="o"/>
      <w:lvlJc w:val="left"/>
      <w:pPr>
        <w:ind w:left="3600" w:hanging="360"/>
      </w:pPr>
      <w:rPr>
        <w:rFonts w:ascii="Courier New" w:hAnsi="Courier New" w:hint="default"/>
      </w:rPr>
    </w:lvl>
    <w:lvl w:ilvl="5" w:tplc="428C6EB4">
      <w:start w:val="1"/>
      <w:numFmt w:val="bullet"/>
      <w:lvlText w:val=""/>
      <w:lvlJc w:val="left"/>
      <w:pPr>
        <w:ind w:left="4320" w:hanging="360"/>
      </w:pPr>
      <w:rPr>
        <w:rFonts w:ascii="Wingdings" w:hAnsi="Wingdings" w:hint="default"/>
      </w:rPr>
    </w:lvl>
    <w:lvl w:ilvl="6" w:tplc="719E23E6">
      <w:start w:val="1"/>
      <w:numFmt w:val="bullet"/>
      <w:lvlText w:val=""/>
      <w:lvlJc w:val="left"/>
      <w:pPr>
        <w:ind w:left="5040" w:hanging="360"/>
      </w:pPr>
      <w:rPr>
        <w:rFonts w:ascii="Symbol" w:hAnsi="Symbol" w:hint="default"/>
      </w:rPr>
    </w:lvl>
    <w:lvl w:ilvl="7" w:tplc="802231EA">
      <w:start w:val="1"/>
      <w:numFmt w:val="bullet"/>
      <w:lvlText w:val="o"/>
      <w:lvlJc w:val="left"/>
      <w:pPr>
        <w:ind w:left="5760" w:hanging="360"/>
      </w:pPr>
      <w:rPr>
        <w:rFonts w:ascii="Courier New" w:hAnsi="Courier New" w:hint="default"/>
      </w:rPr>
    </w:lvl>
    <w:lvl w:ilvl="8" w:tplc="5178E86C">
      <w:start w:val="1"/>
      <w:numFmt w:val="bullet"/>
      <w:lvlText w:val=""/>
      <w:lvlJc w:val="left"/>
      <w:pPr>
        <w:ind w:left="6480" w:hanging="360"/>
      </w:pPr>
      <w:rPr>
        <w:rFonts w:ascii="Wingdings" w:hAnsi="Wingdings" w:hint="default"/>
      </w:rPr>
    </w:lvl>
  </w:abstractNum>
  <w:abstractNum w:abstractNumId="14" w15:restartNumberingAfterBreak="0">
    <w:nsid w:val="10554451"/>
    <w:multiLevelType w:val="hybridMultilevel"/>
    <w:tmpl w:val="FFFFFFFF"/>
    <w:lvl w:ilvl="0" w:tplc="85BC1838">
      <w:start w:val="1"/>
      <w:numFmt w:val="bullet"/>
      <w:lvlText w:val="-"/>
      <w:lvlJc w:val="left"/>
      <w:pPr>
        <w:ind w:left="720" w:hanging="360"/>
      </w:pPr>
      <w:rPr>
        <w:rFonts w:ascii="Aptos" w:hAnsi="Aptos" w:hint="default"/>
      </w:rPr>
    </w:lvl>
    <w:lvl w:ilvl="1" w:tplc="808CF2A2">
      <w:start w:val="1"/>
      <w:numFmt w:val="bullet"/>
      <w:lvlText w:val="o"/>
      <w:lvlJc w:val="left"/>
      <w:pPr>
        <w:ind w:left="1440" w:hanging="360"/>
      </w:pPr>
      <w:rPr>
        <w:rFonts w:ascii="Courier New" w:hAnsi="Courier New" w:hint="default"/>
      </w:rPr>
    </w:lvl>
    <w:lvl w:ilvl="2" w:tplc="F9A26C6E">
      <w:start w:val="1"/>
      <w:numFmt w:val="bullet"/>
      <w:lvlText w:val=""/>
      <w:lvlJc w:val="left"/>
      <w:pPr>
        <w:ind w:left="2160" w:hanging="360"/>
      </w:pPr>
      <w:rPr>
        <w:rFonts w:ascii="Wingdings" w:hAnsi="Wingdings" w:hint="default"/>
      </w:rPr>
    </w:lvl>
    <w:lvl w:ilvl="3" w:tplc="34BA4DAA">
      <w:start w:val="1"/>
      <w:numFmt w:val="bullet"/>
      <w:lvlText w:val=""/>
      <w:lvlJc w:val="left"/>
      <w:pPr>
        <w:ind w:left="2880" w:hanging="360"/>
      </w:pPr>
      <w:rPr>
        <w:rFonts w:ascii="Symbol" w:hAnsi="Symbol" w:hint="default"/>
      </w:rPr>
    </w:lvl>
    <w:lvl w:ilvl="4" w:tplc="FCEA2CF8">
      <w:start w:val="1"/>
      <w:numFmt w:val="bullet"/>
      <w:lvlText w:val="o"/>
      <w:lvlJc w:val="left"/>
      <w:pPr>
        <w:ind w:left="3600" w:hanging="360"/>
      </w:pPr>
      <w:rPr>
        <w:rFonts w:ascii="Courier New" w:hAnsi="Courier New" w:hint="default"/>
      </w:rPr>
    </w:lvl>
    <w:lvl w:ilvl="5" w:tplc="77A44F44">
      <w:start w:val="1"/>
      <w:numFmt w:val="bullet"/>
      <w:lvlText w:val=""/>
      <w:lvlJc w:val="left"/>
      <w:pPr>
        <w:ind w:left="4320" w:hanging="360"/>
      </w:pPr>
      <w:rPr>
        <w:rFonts w:ascii="Wingdings" w:hAnsi="Wingdings" w:hint="default"/>
      </w:rPr>
    </w:lvl>
    <w:lvl w:ilvl="6" w:tplc="678CE1E6">
      <w:start w:val="1"/>
      <w:numFmt w:val="bullet"/>
      <w:lvlText w:val=""/>
      <w:lvlJc w:val="left"/>
      <w:pPr>
        <w:ind w:left="5040" w:hanging="360"/>
      </w:pPr>
      <w:rPr>
        <w:rFonts w:ascii="Symbol" w:hAnsi="Symbol" w:hint="default"/>
      </w:rPr>
    </w:lvl>
    <w:lvl w:ilvl="7" w:tplc="B07AAC56">
      <w:start w:val="1"/>
      <w:numFmt w:val="bullet"/>
      <w:lvlText w:val="o"/>
      <w:lvlJc w:val="left"/>
      <w:pPr>
        <w:ind w:left="5760" w:hanging="360"/>
      </w:pPr>
      <w:rPr>
        <w:rFonts w:ascii="Courier New" w:hAnsi="Courier New" w:hint="default"/>
      </w:rPr>
    </w:lvl>
    <w:lvl w:ilvl="8" w:tplc="E21045AE">
      <w:start w:val="1"/>
      <w:numFmt w:val="bullet"/>
      <w:lvlText w:val=""/>
      <w:lvlJc w:val="left"/>
      <w:pPr>
        <w:ind w:left="6480" w:hanging="360"/>
      </w:pPr>
      <w:rPr>
        <w:rFonts w:ascii="Wingdings" w:hAnsi="Wingdings" w:hint="default"/>
      </w:rPr>
    </w:lvl>
  </w:abstractNum>
  <w:abstractNum w:abstractNumId="15" w15:restartNumberingAfterBreak="0">
    <w:nsid w:val="10BFF8FE"/>
    <w:multiLevelType w:val="hybridMultilevel"/>
    <w:tmpl w:val="FFFFFFFF"/>
    <w:lvl w:ilvl="0" w:tplc="0974083C">
      <w:start w:val="1"/>
      <w:numFmt w:val="bullet"/>
      <w:lvlText w:val="-"/>
      <w:lvlJc w:val="left"/>
      <w:pPr>
        <w:ind w:left="720" w:hanging="360"/>
      </w:pPr>
      <w:rPr>
        <w:rFonts w:ascii="Aptos" w:hAnsi="Aptos" w:hint="default"/>
      </w:rPr>
    </w:lvl>
    <w:lvl w:ilvl="1" w:tplc="67246774">
      <w:start w:val="1"/>
      <w:numFmt w:val="bullet"/>
      <w:lvlText w:val="o"/>
      <w:lvlJc w:val="left"/>
      <w:pPr>
        <w:ind w:left="1440" w:hanging="360"/>
      </w:pPr>
      <w:rPr>
        <w:rFonts w:ascii="Courier New" w:hAnsi="Courier New" w:hint="default"/>
      </w:rPr>
    </w:lvl>
    <w:lvl w:ilvl="2" w:tplc="28BC1C66">
      <w:start w:val="1"/>
      <w:numFmt w:val="bullet"/>
      <w:lvlText w:val=""/>
      <w:lvlJc w:val="left"/>
      <w:pPr>
        <w:ind w:left="2160" w:hanging="360"/>
      </w:pPr>
      <w:rPr>
        <w:rFonts w:ascii="Wingdings" w:hAnsi="Wingdings" w:hint="default"/>
      </w:rPr>
    </w:lvl>
    <w:lvl w:ilvl="3" w:tplc="C30C5C48">
      <w:start w:val="1"/>
      <w:numFmt w:val="bullet"/>
      <w:lvlText w:val=""/>
      <w:lvlJc w:val="left"/>
      <w:pPr>
        <w:ind w:left="2880" w:hanging="360"/>
      </w:pPr>
      <w:rPr>
        <w:rFonts w:ascii="Symbol" w:hAnsi="Symbol" w:hint="default"/>
      </w:rPr>
    </w:lvl>
    <w:lvl w:ilvl="4" w:tplc="C868E6D2">
      <w:start w:val="1"/>
      <w:numFmt w:val="bullet"/>
      <w:lvlText w:val="o"/>
      <w:lvlJc w:val="left"/>
      <w:pPr>
        <w:ind w:left="3600" w:hanging="360"/>
      </w:pPr>
      <w:rPr>
        <w:rFonts w:ascii="Courier New" w:hAnsi="Courier New" w:hint="default"/>
      </w:rPr>
    </w:lvl>
    <w:lvl w:ilvl="5" w:tplc="9F284806">
      <w:start w:val="1"/>
      <w:numFmt w:val="bullet"/>
      <w:lvlText w:val=""/>
      <w:lvlJc w:val="left"/>
      <w:pPr>
        <w:ind w:left="4320" w:hanging="360"/>
      </w:pPr>
      <w:rPr>
        <w:rFonts w:ascii="Wingdings" w:hAnsi="Wingdings" w:hint="default"/>
      </w:rPr>
    </w:lvl>
    <w:lvl w:ilvl="6" w:tplc="891C5934">
      <w:start w:val="1"/>
      <w:numFmt w:val="bullet"/>
      <w:lvlText w:val=""/>
      <w:lvlJc w:val="left"/>
      <w:pPr>
        <w:ind w:left="5040" w:hanging="360"/>
      </w:pPr>
      <w:rPr>
        <w:rFonts w:ascii="Symbol" w:hAnsi="Symbol" w:hint="default"/>
      </w:rPr>
    </w:lvl>
    <w:lvl w:ilvl="7" w:tplc="B46AC6CC">
      <w:start w:val="1"/>
      <w:numFmt w:val="bullet"/>
      <w:lvlText w:val="o"/>
      <w:lvlJc w:val="left"/>
      <w:pPr>
        <w:ind w:left="5760" w:hanging="360"/>
      </w:pPr>
      <w:rPr>
        <w:rFonts w:ascii="Courier New" w:hAnsi="Courier New" w:hint="default"/>
      </w:rPr>
    </w:lvl>
    <w:lvl w:ilvl="8" w:tplc="FE48B4BA">
      <w:start w:val="1"/>
      <w:numFmt w:val="bullet"/>
      <w:lvlText w:val=""/>
      <w:lvlJc w:val="left"/>
      <w:pPr>
        <w:ind w:left="6480" w:hanging="360"/>
      </w:pPr>
      <w:rPr>
        <w:rFonts w:ascii="Wingdings" w:hAnsi="Wingdings" w:hint="default"/>
      </w:rPr>
    </w:lvl>
  </w:abstractNum>
  <w:abstractNum w:abstractNumId="16" w15:restartNumberingAfterBreak="0">
    <w:nsid w:val="11CF6EF0"/>
    <w:multiLevelType w:val="hybridMultilevel"/>
    <w:tmpl w:val="64C2D4D4"/>
    <w:lvl w:ilvl="0" w:tplc="46E4E864">
      <w:start w:val="1"/>
      <w:numFmt w:val="bullet"/>
      <w:lvlText w:val="•"/>
      <w:lvlJc w:val="left"/>
      <w:pPr>
        <w:tabs>
          <w:tab w:val="num" w:pos="720"/>
        </w:tabs>
        <w:ind w:left="720" w:hanging="360"/>
      </w:pPr>
      <w:rPr>
        <w:rFonts w:ascii="Arial" w:hAnsi="Arial" w:hint="default"/>
      </w:rPr>
    </w:lvl>
    <w:lvl w:ilvl="1" w:tplc="E95C0BFC">
      <w:start w:val="1"/>
      <w:numFmt w:val="bullet"/>
      <w:lvlText w:val="•"/>
      <w:lvlJc w:val="left"/>
      <w:pPr>
        <w:tabs>
          <w:tab w:val="num" w:pos="1440"/>
        </w:tabs>
        <w:ind w:left="1440" w:hanging="360"/>
      </w:pPr>
      <w:rPr>
        <w:rFonts w:ascii="Arial" w:hAnsi="Arial" w:hint="default"/>
      </w:rPr>
    </w:lvl>
    <w:lvl w:ilvl="2" w:tplc="32683F5C" w:tentative="1">
      <w:start w:val="1"/>
      <w:numFmt w:val="bullet"/>
      <w:lvlText w:val="•"/>
      <w:lvlJc w:val="left"/>
      <w:pPr>
        <w:tabs>
          <w:tab w:val="num" w:pos="2160"/>
        </w:tabs>
        <w:ind w:left="2160" w:hanging="360"/>
      </w:pPr>
      <w:rPr>
        <w:rFonts w:ascii="Arial" w:hAnsi="Arial" w:hint="default"/>
      </w:rPr>
    </w:lvl>
    <w:lvl w:ilvl="3" w:tplc="3CC8321A" w:tentative="1">
      <w:start w:val="1"/>
      <w:numFmt w:val="bullet"/>
      <w:lvlText w:val="•"/>
      <w:lvlJc w:val="left"/>
      <w:pPr>
        <w:tabs>
          <w:tab w:val="num" w:pos="2880"/>
        </w:tabs>
        <w:ind w:left="2880" w:hanging="360"/>
      </w:pPr>
      <w:rPr>
        <w:rFonts w:ascii="Arial" w:hAnsi="Arial" w:hint="default"/>
      </w:rPr>
    </w:lvl>
    <w:lvl w:ilvl="4" w:tplc="A1223CBC" w:tentative="1">
      <w:start w:val="1"/>
      <w:numFmt w:val="bullet"/>
      <w:lvlText w:val="•"/>
      <w:lvlJc w:val="left"/>
      <w:pPr>
        <w:tabs>
          <w:tab w:val="num" w:pos="3600"/>
        </w:tabs>
        <w:ind w:left="3600" w:hanging="360"/>
      </w:pPr>
      <w:rPr>
        <w:rFonts w:ascii="Arial" w:hAnsi="Arial" w:hint="default"/>
      </w:rPr>
    </w:lvl>
    <w:lvl w:ilvl="5" w:tplc="8C1806BA" w:tentative="1">
      <w:start w:val="1"/>
      <w:numFmt w:val="bullet"/>
      <w:lvlText w:val="•"/>
      <w:lvlJc w:val="left"/>
      <w:pPr>
        <w:tabs>
          <w:tab w:val="num" w:pos="4320"/>
        </w:tabs>
        <w:ind w:left="4320" w:hanging="360"/>
      </w:pPr>
      <w:rPr>
        <w:rFonts w:ascii="Arial" w:hAnsi="Arial" w:hint="default"/>
      </w:rPr>
    </w:lvl>
    <w:lvl w:ilvl="6" w:tplc="64EE64F4" w:tentative="1">
      <w:start w:val="1"/>
      <w:numFmt w:val="bullet"/>
      <w:lvlText w:val="•"/>
      <w:lvlJc w:val="left"/>
      <w:pPr>
        <w:tabs>
          <w:tab w:val="num" w:pos="5040"/>
        </w:tabs>
        <w:ind w:left="5040" w:hanging="360"/>
      </w:pPr>
      <w:rPr>
        <w:rFonts w:ascii="Arial" w:hAnsi="Arial" w:hint="default"/>
      </w:rPr>
    </w:lvl>
    <w:lvl w:ilvl="7" w:tplc="3E329096" w:tentative="1">
      <w:start w:val="1"/>
      <w:numFmt w:val="bullet"/>
      <w:lvlText w:val="•"/>
      <w:lvlJc w:val="left"/>
      <w:pPr>
        <w:tabs>
          <w:tab w:val="num" w:pos="5760"/>
        </w:tabs>
        <w:ind w:left="5760" w:hanging="360"/>
      </w:pPr>
      <w:rPr>
        <w:rFonts w:ascii="Arial" w:hAnsi="Arial" w:hint="default"/>
      </w:rPr>
    </w:lvl>
    <w:lvl w:ilvl="8" w:tplc="687CC35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3E32717"/>
    <w:multiLevelType w:val="hybridMultilevel"/>
    <w:tmpl w:val="FFFFFFFF"/>
    <w:lvl w:ilvl="0" w:tplc="775EB7F4">
      <w:start w:val="1"/>
      <w:numFmt w:val="bullet"/>
      <w:lvlText w:val="-"/>
      <w:lvlJc w:val="left"/>
      <w:pPr>
        <w:ind w:left="720" w:hanging="360"/>
      </w:pPr>
      <w:rPr>
        <w:rFonts w:ascii="Aptos" w:hAnsi="Aptos" w:hint="default"/>
      </w:rPr>
    </w:lvl>
    <w:lvl w:ilvl="1" w:tplc="AE56B43A">
      <w:start w:val="1"/>
      <w:numFmt w:val="bullet"/>
      <w:lvlText w:val="o"/>
      <w:lvlJc w:val="left"/>
      <w:pPr>
        <w:ind w:left="1440" w:hanging="360"/>
      </w:pPr>
      <w:rPr>
        <w:rFonts w:ascii="Courier New" w:hAnsi="Courier New" w:hint="default"/>
      </w:rPr>
    </w:lvl>
    <w:lvl w:ilvl="2" w:tplc="C87AADF0">
      <w:start w:val="1"/>
      <w:numFmt w:val="bullet"/>
      <w:lvlText w:val=""/>
      <w:lvlJc w:val="left"/>
      <w:pPr>
        <w:ind w:left="2160" w:hanging="360"/>
      </w:pPr>
      <w:rPr>
        <w:rFonts w:ascii="Wingdings" w:hAnsi="Wingdings" w:hint="default"/>
      </w:rPr>
    </w:lvl>
    <w:lvl w:ilvl="3" w:tplc="3C0624D4">
      <w:start w:val="1"/>
      <w:numFmt w:val="bullet"/>
      <w:lvlText w:val=""/>
      <w:lvlJc w:val="left"/>
      <w:pPr>
        <w:ind w:left="2880" w:hanging="360"/>
      </w:pPr>
      <w:rPr>
        <w:rFonts w:ascii="Symbol" w:hAnsi="Symbol" w:hint="default"/>
      </w:rPr>
    </w:lvl>
    <w:lvl w:ilvl="4" w:tplc="5A4C8204">
      <w:start w:val="1"/>
      <w:numFmt w:val="bullet"/>
      <w:lvlText w:val="o"/>
      <w:lvlJc w:val="left"/>
      <w:pPr>
        <w:ind w:left="3600" w:hanging="360"/>
      </w:pPr>
      <w:rPr>
        <w:rFonts w:ascii="Courier New" w:hAnsi="Courier New" w:hint="default"/>
      </w:rPr>
    </w:lvl>
    <w:lvl w:ilvl="5" w:tplc="574A0C18">
      <w:start w:val="1"/>
      <w:numFmt w:val="bullet"/>
      <w:lvlText w:val=""/>
      <w:lvlJc w:val="left"/>
      <w:pPr>
        <w:ind w:left="4320" w:hanging="360"/>
      </w:pPr>
      <w:rPr>
        <w:rFonts w:ascii="Wingdings" w:hAnsi="Wingdings" w:hint="default"/>
      </w:rPr>
    </w:lvl>
    <w:lvl w:ilvl="6" w:tplc="660E8202">
      <w:start w:val="1"/>
      <w:numFmt w:val="bullet"/>
      <w:lvlText w:val=""/>
      <w:lvlJc w:val="left"/>
      <w:pPr>
        <w:ind w:left="5040" w:hanging="360"/>
      </w:pPr>
      <w:rPr>
        <w:rFonts w:ascii="Symbol" w:hAnsi="Symbol" w:hint="default"/>
      </w:rPr>
    </w:lvl>
    <w:lvl w:ilvl="7" w:tplc="EFB0D0D0">
      <w:start w:val="1"/>
      <w:numFmt w:val="bullet"/>
      <w:lvlText w:val="o"/>
      <w:lvlJc w:val="left"/>
      <w:pPr>
        <w:ind w:left="5760" w:hanging="360"/>
      </w:pPr>
      <w:rPr>
        <w:rFonts w:ascii="Courier New" w:hAnsi="Courier New" w:hint="default"/>
      </w:rPr>
    </w:lvl>
    <w:lvl w:ilvl="8" w:tplc="4BB829D0">
      <w:start w:val="1"/>
      <w:numFmt w:val="bullet"/>
      <w:lvlText w:val=""/>
      <w:lvlJc w:val="left"/>
      <w:pPr>
        <w:ind w:left="6480" w:hanging="360"/>
      </w:pPr>
      <w:rPr>
        <w:rFonts w:ascii="Wingdings" w:hAnsi="Wingdings" w:hint="default"/>
      </w:rPr>
    </w:lvl>
  </w:abstractNum>
  <w:abstractNum w:abstractNumId="18" w15:restartNumberingAfterBreak="0">
    <w:nsid w:val="18DC550B"/>
    <w:multiLevelType w:val="hybridMultilevel"/>
    <w:tmpl w:val="86CE0F5C"/>
    <w:lvl w:ilvl="0" w:tplc="964A0B22">
      <w:start w:val="1"/>
      <w:numFmt w:val="bullet"/>
      <w:lvlText w:val=""/>
      <w:lvlJc w:val="left"/>
      <w:pPr>
        <w:ind w:left="720" w:hanging="360"/>
      </w:pPr>
      <w:rPr>
        <w:rFonts w:ascii="Symbol" w:hAnsi="Symbol" w:hint="default"/>
      </w:rPr>
    </w:lvl>
    <w:lvl w:ilvl="1" w:tplc="644AE9FA">
      <w:start w:val="1"/>
      <w:numFmt w:val="bullet"/>
      <w:lvlText w:val="o"/>
      <w:lvlJc w:val="left"/>
      <w:pPr>
        <w:ind w:left="1440" w:hanging="360"/>
      </w:pPr>
      <w:rPr>
        <w:rFonts w:ascii="Courier New" w:hAnsi="Courier New" w:hint="default"/>
      </w:rPr>
    </w:lvl>
    <w:lvl w:ilvl="2" w:tplc="C5E09452" w:tentative="1">
      <w:start w:val="1"/>
      <w:numFmt w:val="bullet"/>
      <w:lvlText w:val=""/>
      <w:lvlJc w:val="left"/>
      <w:pPr>
        <w:ind w:left="2160" w:hanging="360"/>
      </w:pPr>
      <w:rPr>
        <w:rFonts w:ascii="Wingdings" w:hAnsi="Wingdings" w:hint="default"/>
      </w:rPr>
    </w:lvl>
    <w:lvl w:ilvl="3" w:tplc="B0C061FA" w:tentative="1">
      <w:start w:val="1"/>
      <w:numFmt w:val="bullet"/>
      <w:lvlText w:val=""/>
      <w:lvlJc w:val="left"/>
      <w:pPr>
        <w:ind w:left="2880" w:hanging="360"/>
      </w:pPr>
      <w:rPr>
        <w:rFonts w:ascii="Symbol" w:hAnsi="Symbol" w:hint="default"/>
      </w:rPr>
    </w:lvl>
    <w:lvl w:ilvl="4" w:tplc="3B605342" w:tentative="1">
      <w:start w:val="1"/>
      <w:numFmt w:val="bullet"/>
      <w:lvlText w:val="o"/>
      <w:lvlJc w:val="left"/>
      <w:pPr>
        <w:ind w:left="3600" w:hanging="360"/>
      </w:pPr>
      <w:rPr>
        <w:rFonts w:ascii="Courier New" w:hAnsi="Courier New" w:hint="default"/>
      </w:rPr>
    </w:lvl>
    <w:lvl w:ilvl="5" w:tplc="6C9634F4" w:tentative="1">
      <w:start w:val="1"/>
      <w:numFmt w:val="bullet"/>
      <w:lvlText w:val=""/>
      <w:lvlJc w:val="left"/>
      <w:pPr>
        <w:ind w:left="4320" w:hanging="360"/>
      </w:pPr>
      <w:rPr>
        <w:rFonts w:ascii="Wingdings" w:hAnsi="Wingdings" w:hint="default"/>
      </w:rPr>
    </w:lvl>
    <w:lvl w:ilvl="6" w:tplc="D454312E" w:tentative="1">
      <w:start w:val="1"/>
      <w:numFmt w:val="bullet"/>
      <w:lvlText w:val=""/>
      <w:lvlJc w:val="left"/>
      <w:pPr>
        <w:ind w:left="5040" w:hanging="360"/>
      </w:pPr>
      <w:rPr>
        <w:rFonts w:ascii="Symbol" w:hAnsi="Symbol" w:hint="default"/>
      </w:rPr>
    </w:lvl>
    <w:lvl w:ilvl="7" w:tplc="021899A8" w:tentative="1">
      <w:start w:val="1"/>
      <w:numFmt w:val="bullet"/>
      <w:lvlText w:val="o"/>
      <w:lvlJc w:val="left"/>
      <w:pPr>
        <w:ind w:left="5760" w:hanging="360"/>
      </w:pPr>
      <w:rPr>
        <w:rFonts w:ascii="Courier New" w:hAnsi="Courier New" w:hint="default"/>
      </w:rPr>
    </w:lvl>
    <w:lvl w:ilvl="8" w:tplc="4D5ACC76" w:tentative="1">
      <w:start w:val="1"/>
      <w:numFmt w:val="bullet"/>
      <w:lvlText w:val=""/>
      <w:lvlJc w:val="left"/>
      <w:pPr>
        <w:ind w:left="6480" w:hanging="360"/>
      </w:pPr>
      <w:rPr>
        <w:rFonts w:ascii="Wingdings" w:hAnsi="Wingdings" w:hint="default"/>
      </w:rPr>
    </w:lvl>
  </w:abstractNum>
  <w:abstractNum w:abstractNumId="19" w15:restartNumberingAfterBreak="0">
    <w:nsid w:val="191440AA"/>
    <w:multiLevelType w:val="hybridMultilevel"/>
    <w:tmpl w:val="0ECAAF66"/>
    <w:lvl w:ilvl="0" w:tplc="F6D4CAE6">
      <w:start w:val="1"/>
      <w:numFmt w:val="bullet"/>
      <w:lvlText w:val="o"/>
      <w:lvlJc w:val="left"/>
      <w:pPr>
        <w:ind w:left="360" w:hanging="360"/>
      </w:pPr>
      <w:rPr>
        <w:rFonts w:ascii="Courier New" w:hAnsi="Courier New" w:hint="default"/>
      </w:rPr>
    </w:lvl>
    <w:lvl w:ilvl="1" w:tplc="65B65F8E" w:tentative="1">
      <w:start w:val="1"/>
      <w:numFmt w:val="bullet"/>
      <w:lvlText w:val="o"/>
      <w:lvlJc w:val="left"/>
      <w:pPr>
        <w:ind w:left="1080" w:hanging="360"/>
      </w:pPr>
      <w:rPr>
        <w:rFonts w:ascii="Courier New" w:hAnsi="Courier New" w:hint="default"/>
      </w:rPr>
    </w:lvl>
    <w:lvl w:ilvl="2" w:tplc="584CEC2A" w:tentative="1">
      <w:start w:val="1"/>
      <w:numFmt w:val="bullet"/>
      <w:lvlText w:val=""/>
      <w:lvlJc w:val="left"/>
      <w:pPr>
        <w:ind w:left="1800" w:hanging="360"/>
      </w:pPr>
      <w:rPr>
        <w:rFonts w:ascii="Wingdings" w:hAnsi="Wingdings" w:hint="default"/>
      </w:rPr>
    </w:lvl>
    <w:lvl w:ilvl="3" w:tplc="B1B29344" w:tentative="1">
      <w:start w:val="1"/>
      <w:numFmt w:val="bullet"/>
      <w:lvlText w:val=""/>
      <w:lvlJc w:val="left"/>
      <w:pPr>
        <w:ind w:left="2520" w:hanging="360"/>
      </w:pPr>
      <w:rPr>
        <w:rFonts w:ascii="Symbol" w:hAnsi="Symbol" w:hint="default"/>
      </w:rPr>
    </w:lvl>
    <w:lvl w:ilvl="4" w:tplc="FA2E79D4" w:tentative="1">
      <w:start w:val="1"/>
      <w:numFmt w:val="bullet"/>
      <w:lvlText w:val="o"/>
      <w:lvlJc w:val="left"/>
      <w:pPr>
        <w:ind w:left="3240" w:hanging="360"/>
      </w:pPr>
      <w:rPr>
        <w:rFonts w:ascii="Courier New" w:hAnsi="Courier New" w:hint="default"/>
      </w:rPr>
    </w:lvl>
    <w:lvl w:ilvl="5" w:tplc="3618BF2C" w:tentative="1">
      <w:start w:val="1"/>
      <w:numFmt w:val="bullet"/>
      <w:lvlText w:val=""/>
      <w:lvlJc w:val="left"/>
      <w:pPr>
        <w:ind w:left="3960" w:hanging="360"/>
      </w:pPr>
      <w:rPr>
        <w:rFonts w:ascii="Wingdings" w:hAnsi="Wingdings" w:hint="default"/>
      </w:rPr>
    </w:lvl>
    <w:lvl w:ilvl="6" w:tplc="6C2C525A" w:tentative="1">
      <w:start w:val="1"/>
      <w:numFmt w:val="bullet"/>
      <w:lvlText w:val=""/>
      <w:lvlJc w:val="left"/>
      <w:pPr>
        <w:ind w:left="4680" w:hanging="360"/>
      </w:pPr>
      <w:rPr>
        <w:rFonts w:ascii="Symbol" w:hAnsi="Symbol" w:hint="default"/>
      </w:rPr>
    </w:lvl>
    <w:lvl w:ilvl="7" w:tplc="B8FC18C8" w:tentative="1">
      <w:start w:val="1"/>
      <w:numFmt w:val="bullet"/>
      <w:lvlText w:val="o"/>
      <w:lvlJc w:val="left"/>
      <w:pPr>
        <w:ind w:left="5400" w:hanging="360"/>
      </w:pPr>
      <w:rPr>
        <w:rFonts w:ascii="Courier New" w:hAnsi="Courier New" w:hint="default"/>
      </w:rPr>
    </w:lvl>
    <w:lvl w:ilvl="8" w:tplc="F5B22DC0" w:tentative="1">
      <w:start w:val="1"/>
      <w:numFmt w:val="bullet"/>
      <w:lvlText w:val=""/>
      <w:lvlJc w:val="left"/>
      <w:pPr>
        <w:ind w:left="6120" w:hanging="360"/>
      </w:pPr>
      <w:rPr>
        <w:rFonts w:ascii="Wingdings" w:hAnsi="Wingdings" w:hint="default"/>
      </w:rPr>
    </w:lvl>
  </w:abstractNum>
  <w:abstractNum w:abstractNumId="20" w15:restartNumberingAfterBreak="0">
    <w:nsid w:val="1AA96F7F"/>
    <w:multiLevelType w:val="multilevel"/>
    <w:tmpl w:val="19486298"/>
    <w:lvl w:ilvl="0">
      <w:start w:val="1"/>
      <w:numFmt w:val="decimal"/>
      <w:lvlText w:val="%1."/>
      <w:lvlJc w:val="left"/>
      <w:pPr>
        <w:ind w:left="360" w:hanging="360"/>
      </w:pPr>
    </w:lvl>
    <w:lvl w:ilvl="1">
      <w:start w:val="1"/>
      <w:numFmt w:val="decimal"/>
      <w:lvlText w:val="%1.%2."/>
      <w:lvlJc w:val="left"/>
      <w:pPr>
        <w:ind w:left="792" w:hanging="432"/>
      </w:pPr>
    </w:lvl>
    <w:lvl w:ilvl="2">
      <w:numFmt w:val="bullet"/>
      <w:lvlText w:val="-"/>
      <w:lvlJc w:val="left"/>
      <w:pPr>
        <w:ind w:left="1080" w:hanging="360"/>
      </w:pPr>
      <w:rPr>
        <w:rFonts w:ascii="Aptos" w:hAnsi="Apto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CF1F820"/>
    <w:multiLevelType w:val="hybridMultilevel"/>
    <w:tmpl w:val="FFFFFFFF"/>
    <w:lvl w:ilvl="0" w:tplc="9FE8262E">
      <w:start w:val="1"/>
      <w:numFmt w:val="bullet"/>
      <w:lvlText w:val="-"/>
      <w:lvlJc w:val="left"/>
      <w:pPr>
        <w:ind w:left="720" w:hanging="360"/>
      </w:pPr>
      <w:rPr>
        <w:rFonts w:ascii="Aptos" w:hAnsi="Aptos" w:hint="default"/>
      </w:rPr>
    </w:lvl>
    <w:lvl w:ilvl="1" w:tplc="FD24DCBA">
      <w:start w:val="1"/>
      <w:numFmt w:val="bullet"/>
      <w:lvlText w:val="o"/>
      <w:lvlJc w:val="left"/>
      <w:pPr>
        <w:ind w:left="1440" w:hanging="360"/>
      </w:pPr>
      <w:rPr>
        <w:rFonts w:ascii="Courier New" w:hAnsi="Courier New" w:hint="default"/>
      </w:rPr>
    </w:lvl>
    <w:lvl w:ilvl="2" w:tplc="848C971E">
      <w:start w:val="1"/>
      <w:numFmt w:val="bullet"/>
      <w:lvlText w:val=""/>
      <w:lvlJc w:val="left"/>
      <w:pPr>
        <w:ind w:left="2160" w:hanging="360"/>
      </w:pPr>
      <w:rPr>
        <w:rFonts w:ascii="Wingdings" w:hAnsi="Wingdings" w:hint="default"/>
      </w:rPr>
    </w:lvl>
    <w:lvl w:ilvl="3" w:tplc="D6B2EFB2">
      <w:start w:val="1"/>
      <w:numFmt w:val="bullet"/>
      <w:lvlText w:val=""/>
      <w:lvlJc w:val="left"/>
      <w:pPr>
        <w:ind w:left="2880" w:hanging="360"/>
      </w:pPr>
      <w:rPr>
        <w:rFonts w:ascii="Symbol" w:hAnsi="Symbol" w:hint="default"/>
      </w:rPr>
    </w:lvl>
    <w:lvl w:ilvl="4" w:tplc="10562A2C">
      <w:start w:val="1"/>
      <w:numFmt w:val="bullet"/>
      <w:lvlText w:val="o"/>
      <w:lvlJc w:val="left"/>
      <w:pPr>
        <w:ind w:left="3600" w:hanging="360"/>
      </w:pPr>
      <w:rPr>
        <w:rFonts w:ascii="Courier New" w:hAnsi="Courier New" w:hint="default"/>
      </w:rPr>
    </w:lvl>
    <w:lvl w:ilvl="5" w:tplc="1EBEDFD6">
      <w:start w:val="1"/>
      <w:numFmt w:val="bullet"/>
      <w:lvlText w:val=""/>
      <w:lvlJc w:val="left"/>
      <w:pPr>
        <w:ind w:left="4320" w:hanging="360"/>
      </w:pPr>
      <w:rPr>
        <w:rFonts w:ascii="Wingdings" w:hAnsi="Wingdings" w:hint="default"/>
      </w:rPr>
    </w:lvl>
    <w:lvl w:ilvl="6" w:tplc="C4D0DCB0">
      <w:start w:val="1"/>
      <w:numFmt w:val="bullet"/>
      <w:lvlText w:val=""/>
      <w:lvlJc w:val="left"/>
      <w:pPr>
        <w:ind w:left="5040" w:hanging="360"/>
      </w:pPr>
      <w:rPr>
        <w:rFonts w:ascii="Symbol" w:hAnsi="Symbol" w:hint="default"/>
      </w:rPr>
    </w:lvl>
    <w:lvl w:ilvl="7" w:tplc="DA5A3964">
      <w:start w:val="1"/>
      <w:numFmt w:val="bullet"/>
      <w:lvlText w:val="o"/>
      <w:lvlJc w:val="left"/>
      <w:pPr>
        <w:ind w:left="5760" w:hanging="360"/>
      </w:pPr>
      <w:rPr>
        <w:rFonts w:ascii="Courier New" w:hAnsi="Courier New" w:hint="default"/>
      </w:rPr>
    </w:lvl>
    <w:lvl w:ilvl="8" w:tplc="424A6CB8">
      <w:start w:val="1"/>
      <w:numFmt w:val="bullet"/>
      <w:lvlText w:val=""/>
      <w:lvlJc w:val="left"/>
      <w:pPr>
        <w:ind w:left="6480" w:hanging="360"/>
      </w:pPr>
      <w:rPr>
        <w:rFonts w:ascii="Wingdings" w:hAnsi="Wingdings" w:hint="default"/>
      </w:rPr>
    </w:lvl>
  </w:abstractNum>
  <w:abstractNum w:abstractNumId="22" w15:restartNumberingAfterBreak="0">
    <w:nsid w:val="1D8363B1"/>
    <w:multiLevelType w:val="multilevel"/>
    <w:tmpl w:val="855CB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892CF1"/>
    <w:multiLevelType w:val="multilevel"/>
    <w:tmpl w:val="A888D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830D98"/>
    <w:multiLevelType w:val="hybridMultilevel"/>
    <w:tmpl w:val="B0C2A5B6"/>
    <w:lvl w:ilvl="0" w:tplc="D5FCE59A">
      <w:start w:val="1"/>
      <w:numFmt w:val="bullet"/>
      <w:lvlText w:val=""/>
      <w:lvlJc w:val="left"/>
      <w:pPr>
        <w:ind w:left="360" w:hanging="360"/>
      </w:pPr>
      <w:rPr>
        <w:rFonts w:ascii="Symbol" w:hAnsi="Symbol" w:hint="default"/>
      </w:rPr>
    </w:lvl>
    <w:lvl w:ilvl="1" w:tplc="F9D89FC6">
      <w:start w:val="1"/>
      <w:numFmt w:val="bullet"/>
      <w:lvlText w:val=""/>
      <w:lvlJc w:val="left"/>
      <w:pPr>
        <w:ind w:left="1080" w:hanging="360"/>
      </w:pPr>
      <w:rPr>
        <w:rFonts w:ascii="Symbol" w:hAnsi="Symbol" w:hint="default"/>
      </w:rPr>
    </w:lvl>
    <w:lvl w:ilvl="2" w:tplc="1E4231F4">
      <w:start w:val="1"/>
      <w:numFmt w:val="bullet"/>
      <w:lvlText w:val=""/>
      <w:lvlJc w:val="left"/>
      <w:pPr>
        <w:ind w:left="1800" w:hanging="360"/>
      </w:pPr>
      <w:rPr>
        <w:rFonts w:ascii="Wingdings" w:hAnsi="Wingdings" w:hint="default"/>
      </w:rPr>
    </w:lvl>
    <w:lvl w:ilvl="3" w:tplc="B7EA08B0">
      <w:start w:val="1"/>
      <w:numFmt w:val="bullet"/>
      <w:lvlText w:val=""/>
      <w:lvlJc w:val="left"/>
      <w:pPr>
        <w:ind w:left="2520" w:hanging="360"/>
      </w:pPr>
      <w:rPr>
        <w:rFonts w:ascii="Symbol" w:hAnsi="Symbol" w:hint="default"/>
      </w:rPr>
    </w:lvl>
    <w:lvl w:ilvl="4" w:tplc="B130236E">
      <w:start w:val="1"/>
      <w:numFmt w:val="bullet"/>
      <w:lvlText w:val="o"/>
      <w:lvlJc w:val="left"/>
      <w:pPr>
        <w:ind w:left="3240" w:hanging="360"/>
      </w:pPr>
      <w:rPr>
        <w:rFonts w:ascii="Courier New" w:hAnsi="Courier New" w:hint="default"/>
      </w:rPr>
    </w:lvl>
    <w:lvl w:ilvl="5" w:tplc="A4AA8690">
      <w:start w:val="1"/>
      <w:numFmt w:val="bullet"/>
      <w:lvlText w:val=""/>
      <w:lvlJc w:val="left"/>
      <w:pPr>
        <w:ind w:left="3960" w:hanging="360"/>
      </w:pPr>
      <w:rPr>
        <w:rFonts w:ascii="Wingdings" w:hAnsi="Wingdings" w:hint="default"/>
      </w:rPr>
    </w:lvl>
    <w:lvl w:ilvl="6" w:tplc="C4AA54FA">
      <w:start w:val="1"/>
      <w:numFmt w:val="bullet"/>
      <w:lvlText w:val=""/>
      <w:lvlJc w:val="left"/>
      <w:pPr>
        <w:ind w:left="4680" w:hanging="360"/>
      </w:pPr>
      <w:rPr>
        <w:rFonts w:ascii="Symbol" w:hAnsi="Symbol" w:hint="default"/>
      </w:rPr>
    </w:lvl>
    <w:lvl w:ilvl="7" w:tplc="5F408A9C">
      <w:start w:val="1"/>
      <w:numFmt w:val="bullet"/>
      <w:lvlText w:val="o"/>
      <w:lvlJc w:val="left"/>
      <w:pPr>
        <w:ind w:left="5400" w:hanging="360"/>
      </w:pPr>
      <w:rPr>
        <w:rFonts w:ascii="Courier New" w:hAnsi="Courier New" w:hint="default"/>
      </w:rPr>
    </w:lvl>
    <w:lvl w:ilvl="8" w:tplc="110089EC">
      <w:start w:val="1"/>
      <w:numFmt w:val="bullet"/>
      <w:lvlText w:val=""/>
      <w:lvlJc w:val="left"/>
      <w:pPr>
        <w:ind w:left="6120" w:hanging="360"/>
      </w:pPr>
      <w:rPr>
        <w:rFonts w:ascii="Wingdings" w:hAnsi="Wingdings" w:hint="default"/>
      </w:rPr>
    </w:lvl>
  </w:abstractNum>
  <w:abstractNum w:abstractNumId="25" w15:restartNumberingAfterBreak="0">
    <w:nsid w:val="20157616"/>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16721B1"/>
    <w:multiLevelType w:val="multilevel"/>
    <w:tmpl w:val="97BA30A0"/>
    <w:lvl w:ilvl="0">
      <w:start w:val="4"/>
      <w:numFmt w:val="decimal"/>
      <w:lvlText w:val="%1."/>
      <w:lvlJc w:val="left"/>
      <w:pPr>
        <w:ind w:left="360" w:hanging="360"/>
      </w:pPr>
    </w:lvl>
    <w:lvl w:ilvl="1">
      <w:start w:val="2"/>
      <w:numFmt w:val="decimal"/>
      <w:lvlText w:val="%1.%2."/>
      <w:lvlJc w:val="left"/>
      <w:pPr>
        <w:ind w:left="1512" w:hanging="720"/>
      </w:pPr>
    </w:lvl>
    <w:lvl w:ilvl="2">
      <w:start w:val="1"/>
      <w:numFmt w:val="decimal"/>
      <w:lvlText w:val="%1.%2.%3."/>
      <w:lvlJc w:val="left"/>
      <w:pPr>
        <w:ind w:left="2304" w:hanging="720"/>
      </w:pPr>
    </w:lvl>
    <w:lvl w:ilvl="3">
      <w:start w:val="1"/>
      <w:numFmt w:val="decimal"/>
      <w:lvlText w:val="%1.%2.%3.%4."/>
      <w:lvlJc w:val="left"/>
      <w:pPr>
        <w:ind w:left="3456" w:hanging="1080"/>
      </w:pPr>
    </w:lvl>
    <w:lvl w:ilvl="4">
      <w:start w:val="1"/>
      <w:numFmt w:val="decimal"/>
      <w:lvlText w:val="%1.%2.%3.%4.%5."/>
      <w:lvlJc w:val="left"/>
      <w:pPr>
        <w:ind w:left="4248" w:hanging="1080"/>
      </w:pPr>
    </w:lvl>
    <w:lvl w:ilvl="5">
      <w:start w:val="1"/>
      <w:numFmt w:val="decimal"/>
      <w:lvlText w:val="%1.%2.%3.%4.%5.%6."/>
      <w:lvlJc w:val="left"/>
      <w:pPr>
        <w:ind w:left="5400" w:hanging="1440"/>
      </w:pPr>
    </w:lvl>
    <w:lvl w:ilvl="6">
      <w:start w:val="1"/>
      <w:numFmt w:val="decimal"/>
      <w:lvlText w:val="%1.%2.%3.%4.%5.%6.%7."/>
      <w:lvlJc w:val="left"/>
      <w:pPr>
        <w:ind w:left="6192" w:hanging="1440"/>
      </w:pPr>
    </w:lvl>
    <w:lvl w:ilvl="7">
      <w:start w:val="1"/>
      <w:numFmt w:val="decimal"/>
      <w:lvlText w:val="%1.%2.%3.%4.%5.%6.%7.%8."/>
      <w:lvlJc w:val="left"/>
      <w:pPr>
        <w:ind w:left="7344" w:hanging="1800"/>
      </w:pPr>
    </w:lvl>
    <w:lvl w:ilvl="8">
      <w:start w:val="1"/>
      <w:numFmt w:val="decimal"/>
      <w:lvlText w:val="%1.%2.%3.%4.%5.%6.%7.%8.%9."/>
      <w:lvlJc w:val="left"/>
      <w:pPr>
        <w:ind w:left="8136" w:hanging="1800"/>
      </w:pPr>
    </w:lvl>
  </w:abstractNum>
  <w:abstractNum w:abstractNumId="27" w15:restartNumberingAfterBreak="0">
    <w:nsid w:val="22B65522"/>
    <w:multiLevelType w:val="hybridMultilevel"/>
    <w:tmpl w:val="A216D46E"/>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4A15CC5"/>
    <w:multiLevelType w:val="hybridMultilevel"/>
    <w:tmpl w:val="63ECF348"/>
    <w:lvl w:ilvl="0" w:tplc="E95282B8">
      <w:start w:val="31"/>
      <w:numFmt w:val="bullet"/>
      <w:lvlText w:val="-"/>
      <w:lvlJc w:val="left"/>
      <w:pPr>
        <w:ind w:left="720" w:hanging="360"/>
      </w:pPr>
      <w:rPr>
        <w:rFonts w:ascii="Aptos" w:hAnsi="Aptos" w:hint="default"/>
      </w:rPr>
    </w:lvl>
    <w:lvl w:ilvl="1" w:tplc="47AA90C4">
      <w:start w:val="1"/>
      <w:numFmt w:val="bullet"/>
      <w:lvlText w:val="o"/>
      <w:lvlJc w:val="left"/>
      <w:pPr>
        <w:ind w:left="1440" w:hanging="360"/>
      </w:pPr>
      <w:rPr>
        <w:rFonts w:ascii="Courier New" w:hAnsi="Courier New" w:hint="default"/>
      </w:rPr>
    </w:lvl>
    <w:lvl w:ilvl="2" w:tplc="598A93EC" w:tentative="1">
      <w:start w:val="1"/>
      <w:numFmt w:val="bullet"/>
      <w:lvlText w:val=""/>
      <w:lvlJc w:val="left"/>
      <w:pPr>
        <w:ind w:left="2160" w:hanging="360"/>
      </w:pPr>
      <w:rPr>
        <w:rFonts w:ascii="Wingdings" w:hAnsi="Wingdings" w:hint="default"/>
      </w:rPr>
    </w:lvl>
    <w:lvl w:ilvl="3" w:tplc="58006A96" w:tentative="1">
      <w:start w:val="1"/>
      <w:numFmt w:val="bullet"/>
      <w:lvlText w:val=""/>
      <w:lvlJc w:val="left"/>
      <w:pPr>
        <w:ind w:left="2880" w:hanging="360"/>
      </w:pPr>
      <w:rPr>
        <w:rFonts w:ascii="Symbol" w:hAnsi="Symbol" w:hint="default"/>
      </w:rPr>
    </w:lvl>
    <w:lvl w:ilvl="4" w:tplc="59928F10" w:tentative="1">
      <w:start w:val="1"/>
      <w:numFmt w:val="bullet"/>
      <w:lvlText w:val="o"/>
      <w:lvlJc w:val="left"/>
      <w:pPr>
        <w:ind w:left="3600" w:hanging="360"/>
      </w:pPr>
      <w:rPr>
        <w:rFonts w:ascii="Courier New" w:hAnsi="Courier New" w:hint="default"/>
      </w:rPr>
    </w:lvl>
    <w:lvl w:ilvl="5" w:tplc="F572AB0C" w:tentative="1">
      <w:start w:val="1"/>
      <w:numFmt w:val="bullet"/>
      <w:lvlText w:val=""/>
      <w:lvlJc w:val="left"/>
      <w:pPr>
        <w:ind w:left="4320" w:hanging="360"/>
      </w:pPr>
      <w:rPr>
        <w:rFonts w:ascii="Wingdings" w:hAnsi="Wingdings" w:hint="default"/>
      </w:rPr>
    </w:lvl>
    <w:lvl w:ilvl="6" w:tplc="5CD24920" w:tentative="1">
      <w:start w:val="1"/>
      <w:numFmt w:val="bullet"/>
      <w:lvlText w:val=""/>
      <w:lvlJc w:val="left"/>
      <w:pPr>
        <w:ind w:left="5040" w:hanging="360"/>
      </w:pPr>
      <w:rPr>
        <w:rFonts w:ascii="Symbol" w:hAnsi="Symbol" w:hint="default"/>
      </w:rPr>
    </w:lvl>
    <w:lvl w:ilvl="7" w:tplc="A92CAAAE" w:tentative="1">
      <w:start w:val="1"/>
      <w:numFmt w:val="bullet"/>
      <w:lvlText w:val="o"/>
      <w:lvlJc w:val="left"/>
      <w:pPr>
        <w:ind w:left="5760" w:hanging="360"/>
      </w:pPr>
      <w:rPr>
        <w:rFonts w:ascii="Courier New" w:hAnsi="Courier New" w:hint="default"/>
      </w:rPr>
    </w:lvl>
    <w:lvl w:ilvl="8" w:tplc="458C9986" w:tentative="1">
      <w:start w:val="1"/>
      <w:numFmt w:val="bullet"/>
      <w:lvlText w:val=""/>
      <w:lvlJc w:val="left"/>
      <w:pPr>
        <w:ind w:left="6480" w:hanging="360"/>
      </w:pPr>
      <w:rPr>
        <w:rFonts w:ascii="Wingdings" w:hAnsi="Wingdings" w:hint="default"/>
      </w:rPr>
    </w:lvl>
  </w:abstractNum>
  <w:abstractNum w:abstractNumId="29" w15:restartNumberingAfterBreak="0">
    <w:nsid w:val="251C6464"/>
    <w:multiLevelType w:val="multilevel"/>
    <w:tmpl w:val="6840ED82"/>
    <w:lvl w:ilvl="0">
      <w:start w:val="1"/>
      <w:numFmt w:val="bullet"/>
      <w:lvlText w:val=""/>
      <w:lvlJc w:val="left"/>
      <w:pPr>
        <w:ind w:left="720" w:hanging="360"/>
      </w:pPr>
      <w:rPr>
        <w:rFonts w:ascii="Symbol" w:hAnsi="Symbol" w:hint="default"/>
      </w:rPr>
    </w:lvl>
    <w:lvl w:ilvl="1">
      <w:start w:val="2"/>
      <w:numFmt w:val="decimal"/>
      <w:lvlText w:val="%1.%2."/>
      <w:lvlJc w:val="left"/>
      <w:pPr>
        <w:ind w:left="1872" w:hanging="720"/>
      </w:pPr>
    </w:lvl>
    <w:lvl w:ilvl="2">
      <w:start w:val="1"/>
      <w:numFmt w:val="bullet"/>
      <w:lvlText w:val=""/>
      <w:lvlJc w:val="left"/>
      <w:pPr>
        <w:ind w:left="2304" w:hanging="360"/>
      </w:pPr>
      <w:rPr>
        <w:rFonts w:ascii="Symbol" w:hAnsi="Symbol" w:hint="default"/>
      </w:rPr>
    </w:lvl>
    <w:lvl w:ilvl="3">
      <w:start w:val="1"/>
      <w:numFmt w:val="decimal"/>
      <w:lvlText w:val="%1.%2.%3.%4."/>
      <w:lvlJc w:val="left"/>
      <w:pPr>
        <w:ind w:left="3816" w:hanging="1080"/>
      </w:pPr>
    </w:lvl>
    <w:lvl w:ilvl="4">
      <w:start w:val="1"/>
      <w:numFmt w:val="decimal"/>
      <w:lvlText w:val="%1.%2.%3.%4.%5."/>
      <w:lvlJc w:val="left"/>
      <w:pPr>
        <w:ind w:left="4608" w:hanging="1080"/>
      </w:pPr>
    </w:lvl>
    <w:lvl w:ilvl="5">
      <w:start w:val="1"/>
      <w:numFmt w:val="decimal"/>
      <w:lvlText w:val="%1.%2.%3.%4.%5.%6."/>
      <w:lvlJc w:val="left"/>
      <w:pPr>
        <w:ind w:left="5760" w:hanging="1440"/>
      </w:pPr>
    </w:lvl>
    <w:lvl w:ilvl="6">
      <w:start w:val="1"/>
      <w:numFmt w:val="decimal"/>
      <w:lvlText w:val="%1.%2.%3.%4.%5.%6.%7."/>
      <w:lvlJc w:val="left"/>
      <w:pPr>
        <w:ind w:left="6552" w:hanging="1440"/>
      </w:pPr>
    </w:lvl>
    <w:lvl w:ilvl="7">
      <w:start w:val="1"/>
      <w:numFmt w:val="decimal"/>
      <w:lvlText w:val="%1.%2.%3.%4.%5.%6.%7.%8."/>
      <w:lvlJc w:val="left"/>
      <w:pPr>
        <w:ind w:left="7704" w:hanging="1800"/>
      </w:pPr>
    </w:lvl>
    <w:lvl w:ilvl="8">
      <w:start w:val="1"/>
      <w:numFmt w:val="decimal"/>
      <w:lvlText w:val="%1.%2.%3.%4.%5.%6.%7.%8.%9."/>
      <w:lvlJc w:val="left"/>
      <w:pPr>
        <w:ind w:left="8496" w:hanging="1800"/>
      </w:pPr>
    </w:lvl>
  </w:abstractNum>
  <w:abstractNum w:abstractNumId="30" w15:restartNumberingAfterBreak="0">
    <w:nsid w:val="25586298"/>
    <w:multiLevelType w:val="hybridMultilevel"/>
    <w:tmpl w:val="4F782442"/>
    <w:lvl w:ilvl="0" w:tplc="3F0864B0">
      <w:start w:val="1"/>
      <w:numFmt w:val="bullet"/>
      <w:lvlText w:val=""/>
      <w:lvlJc w:val="left"/>
      <w:pPr>
        <w:ind w:left="720" w:hanging="360"/>
      </w:pPr>
      <w:rPr>
        <w:rFonts w:ascii="Symbol" w:hAnsi="Symbol" w:hint="default"/>
      </w:rPr>
    </w:lvl>
    <w:lvl w:ilvl="1" w:tplc="335000C4" w:tentative="1">
      <w:start w:val="1"/>
      <w:numFmt w:val="bullet"/>
      <w:lvlText w:val="o"/>
      <w:lvlJc w:val="left"/>
      <w:pPr>
        <w:ind w:left="1440" w:hanging="360"/>
      </w:pPr>
      <w:rPr>
        <w:rFonts w:ascii="Courier New" w:hAnsi="Courier New" w:hint="default"/>
      </w:rPr>
    </w:lvl>
    <w:lvl w:ilvl="2" w:tplc="B51A38D2" w:tentative="1">
      <w:start w:val="1"/>
      <w:numFmt w:val="bullet"/>
      <w:lvlText w:val=""/>
      <w:lvlJc w:val="left"/>
      <w:pPr>
        <w:ind w:left="2160" w:hanging="360"/>
      </w:pPr>
      <w:rPr>
        <w:rFonts w:ascii="Wingdings" w:hAnsi="Wingdings" w:hint="default"/>
      </w:rPr>
    </w:lvl>
    <w:lvl w:ilvl="3" w:tplc="520AD502" w:tentative="1">
      <w:start w:val="1"/>
      <w:numFmt w:val="bullet"/>
      <w:lvlText w:val=""/>
      <w:lvlJc w:val="left"/>
      <w:pPr>
        <w:ind w:left="2880" w:hanging="360"/>
      </w:pPr>
      <w:rPr>
        <w:rFonts w:ascii="Symbol" w:hAnsi="Symbol" w:hint="default"/>
      </w:rPr>
    </w:lvl>
    <w:lvl w:ilvl="4" w:tplc="277C1ABE" w:tentative="1">
      <w:start w:val="1"/>
      <w:numFmt w:val="bullet"/>
      <w:lvlText w:val="o"/>
      <w:lvlJc w:val="left"/>
      <w:pPr>
        <w:ind w:left="3600" w:hanging="360"/>
      </w:pPr>
      <w:rPr>
        <w:rFonts w:ascii="Courier New" w:hAnsi="Courier New" w:hint="default"/>
      </w:rPr>
    </w:lvl>
    <w:lvl w:ilvl="5" w:tplc="415CD244" w:tentative="1">
      <w:start w:val="1"/>
      <w:numFmt w:val="bullet"/>
      <w:lvlText w:val=""/>
      <w:lvlJc w:val="left"/>
      <w:pPr>
        <w:ind w:left="4320" w:hanging="360"/>
      </w:pPr>
      <w:rPr>
        <w:rFonts w:ascii="Wingdings" w:hAnsi="Wingdings" w:hint="default"/>
      </w:rPr>
    </w:lvl>
    <w:lvl w:ilvl="6" w:tplc="1FD24736" w:tentative="1">
      <w:start w:val="1"/>
      <w:numFmt w:val="bullet"/>
      <w:lvlText w:val=""/>
      <w:lvlJc w:val="left"/>
      <w:pPr>
        <w:ind w:left="5040" w:hanging="360"/>
      </w:pPr>
      <w:rPr>
        <w:rFonts w:ascii="Symbol" w:hAnsi="Symbol" w:hint="default"/>
      </w:rPr>
    </w:lvl>
    <w:lvl w:ilvl="7" w:tplc="420E6F80" w:tentative="1">
      <w:start w:val="1"/>
      <w:numFmt w:val="bullet"/>
      <w:lvlText w:val="o"/>
      <w:lvlJc w:val="left"/>
      <w:pPr>
        <w:ind w:left="5760" w:hanging="360"/>
      </w:pPr>
      <w:rPr>
        <w:rFonts w:ascii="Courier New" w:hAnsi="Courier New" w:hint="default"/>
      </w:rPr>
    </w:lvl>
    <w:lvl w:ilvl="8" w:tplc="DEB42820" w:tentative="1">
      <w:start w:val="1"/>
      <w:numFmt w:val="bullet"/>
      <w:lvlText w:val=""/>
      <w:lvlJc w:val="left"/>
      <w:pPr>
        <w:ind w:left="6480" w:hanging="360"/>
      </w:pPr>
      <w:rPr>
        <w:rFonts w:ascii="Wingdings" w:hAnsi="Wingdings" w:hint="default"/>
      </w:rPr>
    </w:lvl>
  </w:abstractNum>
  <w:abstractNum w:abstractNumId="31" w15:restartNumberingAfterBreak="0">
    <w:nsid w:val="274B2DBC"/>
    <w:multiLevelType w:val="hybridMultilevel"/>
    <w:tmpl w:val="6FC0729C"/>
    <w:lvl w:ilvl="0" w:tplc="8A347E76">
      <w:start w:val="1"/>
      <w:numFmt w:val="bullet"/>
      <w:lvlText w:val=""/>
      <w:lvlJc w:val="left"/>
      <w:pPr>
        <w:ind w:left="720" w:hanging="360"/>
      </w:pPr>
      <w:rPr>
        <w:rFonts w:ascii="Symbol" w:hAnsi="Symbol" w:hint="default"/>
      </w:rPr>
    </w:lvl>
    <w:lvl w:ilvl="1" w:tplc="E0D4C09C">
      <w:start w:val="1"/>
      <w:numFmt w:val="bullet"/>
      <w:lvlText w:val="o"/>
      <w:lvlJc w:val="left"/>
      <w:pPr>
        <w:ind w:left="1440" w:hanging="360"/>
      </w:pPr>
      <w:rPr>
        <w:rFonts w:ascii="Courier New" w:hAnsi="Courier New" w:hint="default"/>
      </w:rPr>
    </w:lvl>
    <w:lvl w:ilvl="2" w:tplc="BBE02E12" w:tentative="1">
      <w:start w:val="1"/>
      <w:numFmt w:val="bullet"/>
      <w:lvlText w:val=""/>
      <w:lvlJc w:val="left"/>
      <w:pPr>
        <w:ind w:left="2160" w:hanging="360"/>
      </w:pPr>
      <w:rPr>
        <w:rFonts w:ascii="Wingdings" w:hAnsi="Wingdings" w:hint="default"/>
      </w:rPr>
    </w:lvl>
    <w:lvl w:ilvl="3" w:tplc="B6F6B062" w:tentative="1">
      <w:start w:val="1"/>
      <w:numFmt w:val="bullet"/>
      <w:lvlText w:val=""/>
      <w:lvlJc w:val="left"/>
      <w:pPr>
        <w:ind w:left="2880" w:hanging="360"/>
      </w:pPr>
      <w:rPr>
        <w:rFonts w:ascii="Symbol" w:hAnsi="Symbol" w:hint="default"/>
      </w:rPr>
    </w:lvl>
    <w:lvl w:ilvl="4" w:tplc="2138E3C8" w:tentative="1">
      <w:start w:val="1"/>
      <w:numFmt w:val="bullet"/>
      <w:lvlText w:val="o"/>
      <w:lvlJc w:val="left"/>
      <w:pPr>
        <w:ind w:left="3600" w:hanging="360"/>
      </w:pPr>
      <w:rPr>
        <w:rFonts w:ascii="Courier New" w:hAnsi="Courier New" w:hint="default"/>
      </w:rPr>
    </w:lvl>
    <w:lvl w:ilvl="5" w:tplc="1312D5AA" w:tentative="1">
      <w:start w:val="1"/>
      <w:numFmt w:val="bullet"/>
      <w:lvlText w:val=""/>
      <w:lvlJc w:val="left"/>
      <w:pPr>
        <w:ind w:left="4320" w:hanging="360"/>
      </w:pPr>
      <w:rPr>
        <w:rFonts w:ascii="Wingdings" w:hAnsi="Wingdings" w:hint="default"/>
      </w:rPr>
    </w:lvl>
    <w:lvl w:ilvl="6" w:tplc="6554DB3A" w:tentative="1">
      <w:start w:val="1"/>
      <w:numFmt w:val="bullet"/>
      <w:lvlText w:val=""/>
      <w:lvlJc w:val="left"/>
      <w:pPr>
        <w:ind w:left="5040" w:hanging="360"/>
      </w:pPr>
      <w:rPr>
        <w:rFonts w:ascii="Symbol" w:hAnsi="Symbol" w:hint="default"/>
      </w:rPr>
    </w:lvl>
    <w:lvl w:ilvl="7" w:tplc="BCCC6C4A" w:tentative="1">
      <w:start w:val="1"/>
      <w:numFmt w:val="bullet"/>
      <w:lvlText w:val="o"/>
      <w:lvlJc w:val="left"/>
      <w:pPr>
        <w:ind w:left="5760" w:hanging="360"/>
      </w:pPr>
      <w:rPr>
        <w:rFonts w:ascii="Courier New" w:hAnsi="Courier New" w:hint="default"/>
      </w:rPr>
    </w:lvl>
    <w:lvl w:ilvl="8" w:tplc="E998F446" w:tentative="1">
      <w:start w:val="1"/>
      <w:numFmt w:val="bullet"/>
      <w:lvlText w:val=""/>
      <w:lvlJc w:val="left"/>
      <w:pPr>
        <w:ind w:left="6480" w:hanging="360"/>
      </w:pPr>
      <w:rPr>
        <w:rFonts w:ascii="Wingdings" w:hAnsi="Wingdings" w:hint="default"/>
      </w:rPr>
    </w:lvl>
  </w:abstractNum>
  <w:abstractNum w:abstractNumId="32" w15:restartNumberingAfterBreak="0">
    <w:nsid w:val="279B267D"/>
    <w:multiLevelType w:val="multilevel"/>
    <w:tmpl w:val="104804D6"/>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9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8503242"/>
    <w:multiLevelType w:val="hybridMultilevel"/>
    <w:tmpl w:val="FFFFFFFF"/>
    <w:lvl w:ilvl="0" w:tplc="50100586">
      <w:start w:val="1"/>
      <w:numFmt w:val="bullet"/>
      <w:lvlText w:val="-"/>
      <w:lvlJc w:val="left"/>
      <w:pPr>
        <w:ind w:left="720" w:hanging="360"/>
      </w:pPr>
      <w:rPr>
        <w:rFonts w:ascii="Aptos" w:hAnsi="Aptos" w:hint="default"/>
      </w:rPr>
    </w:lvl>
    <w:lvl w:ilvl="1" w:tplc="3A94B946">
      <w:start w:val="1"/>
      <w:numFmt w:val="bullet"/>
      <w:lvlText w:val="o"/>
      <w:lvlJc w:val="left"/>
      <w:pPr>
        <w:ind w:left="1440" w:hanging="360"/>
      </w:pPr>
      <w:rPr>
        <w:rFonts w:ascii="Aptos" w:hAnsi="Aptos" w:hint="default"/>
      </w:rPr>
    </w:lvl>
    <w:lvl w:ilvl="2" w:tplc="5986F7DE">
      <w:start w:val="1"/>
      <w:numFmt w:val="bullet"/>
      <w:lvlText w:val=""/>
      <w:lvlJc w:val="left"/>
      <w:pPr>
        <w:ind w:left="2160" w:hanging="360"/>
      </w:pPr>
      <w:rPr>
        <w:rFonts w:ascii="Wingdings" w:hAnsi="Wingdings" w:hint="default"/>
      </w:rPr>
    </w:lvl>
    <w:lvl w:ilvl="3" w:tplc="90BCE98A">
      <w:start w:val="1"/>
      <w:numFmt w:val="bullet"/>
      <w:lvlText w:val=""/>
      <w:lvlJc w:val="left"/>
      <w:pPr>
        <w:ind w:left="2880" w:hanging="360"/>
      </w:pPr>
      <w:rPr>
        <w:rFonts w:ascii="Symbol" w:hAnsi="Symbol" w:hint="default"/>
      </w:rPr>
    </w:lvl>
    <w:lvl w:ilvl="4" w:tplc="13C60FB8">
      <w:start w:val="1"/>
      <w:numFmt w:val="bullet"/>
      <w:lvlText w:val="o"/>
      <w:lvlJc w:val="left"/>
      <w:pPr>
        <w:ind w:left="3600" w:hanging="360"/>
      </w:pPr>
      <w:rPr>
        <w:rFonts w:ascii="Courier New" w:hAnsi="Courier New" w:hint="default"/>
      </w:rPr>
    </w:lvl>
    <w:lvl w:ilvl="5" w:tplc="4192E85A">
      <w:start w:val="1"/>
      <w:numFmt w:val="bullet"/>
      <w:lvlText w:val=""/>
      <w:lvlJc w:val="left"/>
      <w:pPr>
        <w:ind w:left="4320" w:hanging="360"/>
      </w:pPr>
      <w:rPr>
        <w:rFonts w:ascii="Wingdings" w:hAnsi="Wingdings" w:hint="default"/>
      </w:rPr>
    </w:lvl>
    <w:lvl w:ilvl="6" w:tplc="621A128A">
      <w:start w:val="1"/>
      <w:numFmt w:val="bullet"/>
      <w:lvlText w:val=""/>
      <w:lvlJc w:val="left"/>
      <w:pPr>
        <w:ind w:left="5040" w:hanging="360"/>
      </w:pPr>
      <w:rPr>
        <w:rFonts w:ascii="Symbol" w:hAnsi="Symbol" w:hint="default"/>
      </w:rPr>
    </w:lvl>
    <w:lvl w:ilvl="7" w:tplc="BF8A81A8">
      <w:start w:val="1"/>
      <w:numFmt w:val="bullet"/>
      <w:lvlText w:val="o"/>
      <w:lvlJc w:val="left"/>
      <w:pPr>
        <w:ind w:left="5760" w:hanging="360"/>
      </w:pPr>
      <w:rPr>
        <w:rFonts w:ascii="Courier New" w:hAnsi="Courier New" w:hint="default"/>
      </w:rPr>
    </w:lvl>
    <w:lvl w:ilvl="8" w:tplc="8C1A509A">
      <w:start w:val="1"/>
      <w:numFmt w:val="bullet"/>
      <w:lvlText w:val=""/>
      <w:lvlJc w:val="left"/>
      <w:pPr>
        <w:ind w:left="6480" w:hanging="360"/>
      </w:pPr>
      <w:rPr>
        <w:rFonts w:ascii="Wingdings" w:hAnsi="Wingdings" w:hint="default"/>
      </w:rPr>
    </w:lvl>
  </w:abstractNum>
  <w:abstractNum w:abstractNumId="34" w15:restartNumberingAfterBreak="0">
    <w:nsid w:val="2A2E6880"/>
    <w:multiLevelType w:val="multilevel"/>
    <w:tmpl w:val="94EA78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BD13118"/>
    <w:multiLevelType w:val="multilevel"/>
    <w:tmpl w:val="CA8ACEF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CCA0987"/>
    <w:multiLevelType w:val="multilevel"/>
    <w:tmpl w:val="A998C94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D19B6A3"/>
    <w:multiLevelType w:val="hybridMultilevel"/>
    <w:tmpl w:val="FFFFFFFF"/>
    <w:lvl w:ilvl="0" w:tplc="656A3222">
      <w:start w:val="1"/>
      <w:numFmt w:val="bullet"/>
      <w:lvlText w:val="-"/>
      <w:lvlJc w:val="left"/>
      <w:pPr>
        <w:ind w:left="720" w:hanging="360"/>
      </w:pPr>
      <w:rPr>
        <w:rFonts w:ascii="Aptos" w:hAnsi="Aptos" w:hint="default"/>
      </w:rPr>
    </w:lvl>
    <w:lvl w:ilvl="1" w:tplc="8C9A8194">
      <w:start w:val="1"/>
      <w:numFmt w:val="bullet"/>
      <w:lvlText w:val="o"/>
      <w:lvlJc w:val="left"/>
      <w:pPr>
        <w:ind w:left="1440" w:hanging="360"/>
      </w:pPr>
      <w:rPr>
        <w:rFonts w:ascii="Courier New" w:hAnsi="Courier New" w:hint="default"/>
      </w:rPr>
    </w:lvl>
    <w:lvl w:ilvl="2" w:tplc="B1022C32">
      <w:start w:val="1"/>
      <w:numFmt w:val="bullet"/>
      <w:lvlText w:val=""/>
      <w:lvlJc w:val="left"/>
      <w:pPr>
        <w:ind w:left="2160" w:hanging="360"/>
      </w:pPr>
      <w:rPr>
        <w:rFonts w:ascii="Wingdings" w:hAnsi="Wingdings" w:hint="default"/>
      </w:rPr>
    </w:lvl>
    <w:lvl w:ilvl="3" w:tplc="DE261528">
      <w:start w:val="1"/>
      <w:numFmt w:val="bullet"/>
      <w:lvlText w:val=""/>
      <w:lvlJc w:val="left"/>
      <w:pPr>
        <w:ind w:left="2880" w:hanging="360"/>
      </w:pPr>
      <w:rPr>
        <w:rFonts w:ascii="Symbol" w:hAnsi="Symbol" w:hint="default"/>
      </w:rPr>
    </w:lvl>
    <w:lvl w:ilvl="4" w:tplc="FFCE3350">
      <w:start w:val="1"/>
      <w:numFmt w:val="bullet"/>
      <w:lvlText w:val="o"/>
      <w:lvlJc w:val="left"/>
      <w:pPr>
        <w:ind w:left="3600" w:hanging="360"/>
      </w:pPr>
      <w:rPr>
        <w:rFonts w:ascii="Courier New" w:hAnsi="Courier New" w:hint="default"/>
      </w:rPr>
    </w:lvl>
    <w:lvl w:ilvl="5" w:tplc="D9FAD6AA">
      <w:start w:val="1"/>
      <w:numFmt w:val="bullet"/>
      <w:lvlText w:val=""/>
      <w:lvlJc w:val="left"/>
      <w:pPr>
        <w:ind w:left="4320" w:hanging="360"/>
      </w:pPr>
      <w:rPr>
        <w:rFonts w:ascii="Wingdings" w:hAnsi="Wingdings" w:hint="default"/>
      </w:rPr>
    </w:lvl>
    <w:lvl w:ilvl="6" w:tplc="DD5CD720">
      <w:start w:val="1"/>
      <w:numFmt w:val="bullet"/>
      <w:lvlText w:val=""/>
      <w:lvlJc w:val="left"/>
      <w:pPr>
        <w:ind w:left="5040" w:hanging="360"/>
      </w:pPr>
      <w:rPr>
        <w:rFonts w:ascii="Symbol" w:hAnsi="Symbol" w:hint="default"/>
      </w:rPr>
    </w:lvl>
    <w:lvl w:ilvl="7" w:tplc="8FCC2912">
      <w:start w:val="1"/>
      <w:numFmt w:val="bullet"/>
      <w:lvlText w:val="o"/>
      <w:lvlJc w:val="left"/>
      <w:pPr>
        <w:ind w:left="5760" w:hanging="360"/>
      </w:pPr>
      <w:rPr>
        <w:rFonts w:ascii="Courier New" w:hAnsi="Courier New" w:hint="default"/>
      </w:rPr>
    </w:lvl>
    <w:lvl w:ilvl="8" w:tplc="F0ACBCB2">
      <w:start w:val="1"/>
      <w:numFmt w:val="bullet"/>
      <w:lvlText w:val=""/>
      <w:lvlJc w:val="left"/>
      <w:pPr>
        <w:ind w:left="6480" w:hanging="360"/>
      </w:pPr>
      <w:rPr>
        <w:rFonts w:ascii="Wingdings" w:hAnsi="Wingdings" w:hint="default"/>
      </w:rPr>
    </w:lvl>
  </w:abstractNum>
  <w:abstractNum w:abstractNumId="38" w15:restartNumberingAfterBreak="0">
    <w:nsid w:val="2EDA21F9"/>
    <w:multiLevelType w:val="hybridMultilevel"/>
    <w:tmpl w:val="18E2DF80"/>
    <w:lvl w:ilvl="0" w:tplc="2E1087B6">
      <w:numFmt w:val="bullet"/>
      <w:lvlText w:val="-"/>
      <w:lvlJc w:val="left"/>
      <w:pPr>
        <w:ind w:left="1080" w:hanging="360"/>
      </w:pPr>
      <w:rPr>
        <w:rFonts w:ascii="Aptos" w:hAnsi="Aptos" w:hint="default"/>
      </w:rPr>
    </w:lvl>
    <w:lvl w:ilvl="1" w:tplc="CB0C0538">
      <w:start w:val="1"/>
      <w:numFmt w:val="bullet"/>
      <w:lvlText w:val="o"/>
      <w:lvlJc w:val="left"/>
      <w:pPr>
        <w:ind w:left="1800" w:hanging="360"/>
      </w:pPr>
      <w:rPr>
        <w:rFonts w:ascii="Courier New" w:hAnsi="Courier New" w:hint="default"/>
      </w:rPr>
    </w:lvl>
    <w:lvl w:ilvl="2" w:tplc="9B2EA1F0" w:tentative="1">
      <w:start w:val="1"/>
      <w:numFmt w:val="bullet"/>
      <w:lvlText w:val=""/>
      <w:lvlJc w:val="left"/>
      <w:pPr>
        <w:ind w:left="2520" w:hanging="360"/>
      </w:pPr>
      <w:rPr>
        <w:rFonts w:ascii="Wingdings" w:hAnsi="Wingdings" w:hint="default"/>
      </w:rPr>
    </w:lvl>
    <w:lvl w:ilvl="3" w:tplc="EEDCF928" w:tentative="1">
      <w:start w:val="1"/>
      <w:numFmt w:val="bullet"/>
      <w:lvlText w:val=""/>
      <w:lvlJc w:val="left"/>
      <w:pPr>
        <w:ind w:left="3240" w:hanging="360"/>
      </w:pPr>
      <w:rPr>
        <w:rFonts w:ascii="Symbol" w:hAnsi="Symbol" w:hint="default"/>
      </w:rPr>
    </w:lvl>
    <w:lvl w:ilvl="4" w:tplc="140680C6" w:tentative="1">
      <w:start w:val="1"/>
      <w:numFmt w:val="bullet"/>
      <w:lvlText w:val="o"/>
      <w:lvlJc w:val="left"/>
      <w:pPr>
        <w:ind w:left="3960" w:hanging="360"/>
      </w:pPr>
      <w:rPr>
        <w:rFonts w:ascii="Courier New" w:hAnsi="Courier New" w:hint="default"/>
      </w:rPr>
    </w:lvl>
    <w:lvl w:ilvl="5" w:tplc="9DB6C6DE" w:tentative="1">
      <w:start w:val="1"/>
      <w:numFmt w:val="bullet"/>
      <w:lvlText w:val=""/>
      <w:lvlJc w:val="left"/>
      <w:pPr>
        <w:ind w:left="4680" w:hanging="360"/>
      </w:pPr>
      <w:rPr>
        <w:rFonts w:ascii="Wingdings" w:hAnsi="Wingdings" w:hint="default"/>
      </w:rPr>
    </w:lvl>
    <w:lvl w:ilvl="6" w:tplc="AC78117C" w:tentative="1">
      <w:start w:val="1"/>
      <w:numFmt w:val="bullet"/>
      <w:lvlText w:val=""/>
      <w:lvlJc w:val="left"/>
      <w:pPr>
        <w:ind w:left="5400" w:hanging="360"/>
      </w:pPr>
      <w:rPr>
        <w:rFonts w:ascii="Symbol" w:hAnsi="Symbol" w:hint="default"/>
      </w:rPr>
    </w:lvl>
    <w:lvl w:ilvl="7" w:tplc="36B89272" w:tentative="1">
      <w:start w:val="1"/>
      <w:numFmt w:val="bullet"/>
      <w:lvlText w:val="o"/>
      <w:lvlJc w:val="left"/>
      <w:pPr>
        <w:ind w:left="6120" w:hanging="360"/>
      </w:pPr>
      <w:rPr>
        <w:rFonts w:ascii="Courier New" w:hAnsi="Courier New" w:hint="default"/>
      </w:rPr>
    </w:lvl>
    <w:lvl w:ilvl="8" w:tplc="B6626AA4" w:tentative="1">
      <w:start w:val="1"/>
      <w:numFmt w:val="bullet"/>
      <w:lvlText w:val=""/>
      <w:lvlJc w:val="left"/>
      <w:pPr>
        <w:ind w:left="6840" w:hanging="360"/>
      </w:pPr>
      <w:rPr>
        <w:rFonts w:ascii="Wingdings" w:hAnsi="Wingdings" w:hint="default"/>
      </w:rPr>
    </w:lvl>
  </w:abstractNum>
  <w:abstractNum w:abstractNumId="39" w15:restartNumberingAfterBreak="0">
    <w:nsid w:val="3018425B"/>
    <w:multiLevelType w:val="hybridMultilevel"/>
    <w:tmpl w:val="A5FE961A"/>
    <w:lvl w:ilvl="0" w:tplc="7A883EC2">
      <w:start w:val="1"/>
      <w:numFmt w:val="bullet"/>
      <w:lvlText w:val=""/>
      <w:lvlJc w:val="left"/>
      <w:pPr>
        <w:ind w:left="720" w:hanging="360"/>
      </w:pPr>
      <w:rPr>
        <w:rFonts w:ascii="Symbol" w:hAnsi="Symbol" w:hint="default"/>
      </w:rPr>
    </w:lvl>
    <w:lvl w:ilvl="1" w:tplc="FCC6F540" w:tentative="1">
      <w:start w:val="1"/>
      <w:numFmt w:val="bullet"/>
      <w:lvlText w:val="o"/>
      <w:lvlJc w:val="left"/>
      <w:pPr>
        <w:ind w:left="1440" w:hanging="360"/>
      </w:pPr>
      <w:rPr>
        <w:rFonts w:ascii="Courier New" w:hAnsi="Courier New" w:hint="default"/>
      </w:rPr>
    </w:lvl>
    <w:lvl w:ilvl="2" w:tplc="4BD49B0C" w:tentative="1">
      <w:start w:val="1"/>
      <w:numFmt w:val="bullet"/>
      <w:lvlText w:val=""/>
      <w:lvlJc w:val="left"/>
      <w:pPr>
        <w:ind w:left="2160" w:hanging="360"/>
      </w:pPr>
      <w:rPr>
        <w:rFonts w:ascii="Wingdings" w:hAnsi="Wingdings" w:hint="default"/>
      </w:rPr>
    </w:lvl>
    <w:lvl w:ilvl="3" w:tplc="88D6F832" w:tentative="1">
      <w:start w:val="1"/>
      <w:numFmt w:val="bullet"/>
      <w:lvlText w:val=""/>
      <w:lvlJc w:val="left"/>
      <w:pPr>
        <w:ind w:left="2880" w:hanging="360"/>
      </w:pPr>
      <w:rPr>
        <w:rFonts w:ascii="Symbol" w:hAnsi="Symbol" w:hint="default"/>
      </w:rPr>
    </w:lvl>
    <w:lvl w:ilvl="4" w:tplc="52EEEEE6" w:tentative="1">
      <w:start w:val="1"/>
      <w:numFmt w:val="bullet"/>
      <w:lvlText w:val="o"/>
      <w:lvlJc w:val="left"/>
      <w:pPr>
        <w:ind w:left="3600" w:hanging="360"/>
      </w:pPr>
      <w:rPr>
        <w:rFonts w:ascii="Courier New" w:hAnsi="Courier New" w:hint="default"/>
      </w:rPr>
    </w:lvl>
    <w:lvl w:ilvl="5" w:tplc="945E73B2" w:tentative="1">
      <w:start w:val="1"/>
      <w:numFmt w:val="bullet"/>
      <w:lvlText w:val=""/>
      <w:lvlJc w:val="left"/>
      <w:pPr>
        <w:ind w:left="4320" w:hanging="360"/>
      </w:pPr>
      <w:rPr>
        <w:rFonts w:ascii="Wingdings" w:hAnsi="Wingdings" w:hint="default"/>
      </w:rPr>
    </w:lvl>
    <w:lvl w:ilvl="6" w:tplc="D5409CD6" w:tentative="1">
      <w:start w:val="1"/>
      <w:numFmt w:val="bullet"/>
      <w:lvlText w:val=""/>
      <w:lvlJc w:val="left"/>
      <w:pPr>
        <w:ind w:left="5040" w:hanging="360"/>
      </w:pPr>
      <w:rPr>
        <w:rFonts w:ascii="Symbol" w:hAnsi="Symbol" w:hint="default"/>
      </w:rPr>
    </w:lvl>
    <w:lvl w:ilvl="7" w:tplc="360261EE" w:tentative="1">
      <w:start w:val="1"/>
      <w:numFmt w:val="bullet"/>
      <w:lvlText w:val="o"/>
      <w:lvlJc w:val="left"/>
      <w:pPr>
        <w:ind w:left="5760" w:hanging="360"/>
      </w:pPr>
      <w:rPr>
        <w:rFonts w:ascii="Courier New" w:hAnsi="Courier New" w:hint="default"/>
      </w:rPr>
    </w:lvl>
    <w:lvl w:ilvl="8" w:tplc="6F929442" w:tentative="1">
      <w:start w:val="1"/>
      <w:numFmt w:val="bullet"/>
      <w:lvlText w:val=""/>
      <w:lvlJc w:val="left"/>
      <w:pPr>
        <w:ind w:left="6480" w:hanging="360"/>
      </w:pPr>
      <w:rPr>
        <w:rFonts w:ascii="Wingdings" w:hAnsi="Wingdings" w:hint="default"/>
      </w:rPr>
    </w:lvl>
  </w:abstractNum>
  <w:abstractNum w:abstractNumId="40" w15:restartNumberingAfterBreak="0">
    <w:nsid w:val="31135E92"/>
    <w:multiLevelType w:val="hybridMultilevel"/>
    <w:tmpl w:val="CB9A9072"/>
    <w:lvl w:ilvl="0" w:tplc="672C5B16">
      <w:numFmt w:val="bullet"/>
      <w:lvlText w:val="-"/>
      <w:lvlJc w:val="left"/>
      <w:pPr>
        <w:ind w:left="1098" w:hanging="360"/>
      </w:pPr>
      <w:rPr>
        <w:rFonts w:ascii="Times New Roman" w:eastAsiaTheme="minorHAnsi" w:hAnsi="Times New Roman" w:cs="Times New Roman" w:hint="default"/>
        <w:b/>
      </w:rPr>
    </w:lvl>
    <w:lvl w:ilvl="1" w:tplc="18090003" w:tentative="1">
      <w:start w:val="1"/>
      <w:numFmt w:val="bullet"/>
      <w:lvlText w:val="o"/>
      <w:lvlJc w:val="left"/>
      <w:pPr>
        <w:ind w:left="1818" w:hanging="360"/>
      </w:pPr>
      <w:rPr>
        <w:rFonts w:ascii="Courier New" w:hAnsi="Courier New" w:cs="Courier New" w:hint="default"/>
      </w:rPr>
    </w:lvl>
    <w:lvl w:ilvl="2" w:tplc="18090005" w:tentative="1">
      <w:start w:val="1"/>
      <w:numFmt w:val="bullet"/>
      <w:lvlText w:val=""/>
      <w:lvlJc w:val="left"/>
      <w:pPr>
        <w:ind w:left="2538" w:hanging="360"/>
      </w:pPr>
      <w:rPr>
        <w:rFonts w:ascii="Wingdings" w:hAnsi="Wingdings" w:hint="default"/>
      </w:rPr>
    </w:lvl>
    <w:lvl w:ilvl="3" w:tplc="18090001" w:tentative="1">
      <w:start w:val="1"/>
      <w:numFmt w:val="bullet"/>
      <w:lvlText w:val=""/>
      <w:lvlJc w:val="left"/>
      <w:pPr>
        <w:ind w:left="3258" w:hanging="360"/>
      </w:pPr>
      <w:rPr>
        <w:rFonts w:ascii="Symbol" w:hAnsi="Symbol" w:hint="default"/>
      </w:rPr>
    </w:lvl>
    <w:lvl w:ilvl="4" w:tplc="18090003" w:tentative="1">
      <w:start w:val="1"/>
      <w:numFmt w:val="bullet"/>
      <w:lvlText w:val="o"/>
      <w:lvlJc w:val="left"/>
      <w:pPr>
        <w:ind w:left="3978" w:hanging="360"/>
      </w:pPr>
      <w:rPr>
        <w:rFonts w:ascii="Courier New" w:hAnsi="Courier New" w:cs="Courier New" w:hint="default"/>
      </w:rPr>
    </w:lvl>
    <w:lvl w:ilvl="5" w:tplc="18090005" w:tentative="1">
      <w:start w:val="1"/>
      <w:numFmt w:val="bullet"/>
      <w:lvlText w:val=""/>
      <w:lvlJc w:val="left"/>
      <w:pPr>
        <w:ind w:left="4698" w:hanging="360"/>
      </w:pPr>
      <w:rPr>
        <w:rFonts w:ascii="Wingdings" w:hAnsi="Wingdings" w:hint="default"/>
      </w:rPr>
    </w:lvl>
    <w:lvl w:ilvl="6" w:tplc="18090001" w:tentative="1">
      <w:start w:val="1"/>
      <w:numFmt w:val="bullet"/>
      <w:lvlText w:val=""/>
      <w:lvlJc w:val="left"/>
      <w:pPr>
        <w:ind w:left="5418" w:hanging="360"/>
      </w:pPr>
      <w:rPr>
        <w:rFonts w:ascii="Symbol" w:hAnsi="Symbol" w:hint="default"/>
      </w:rPr>
    </w:lvl>
    <w:lvl w:ilvl="7" w:tplc="18090003" w:tentative="1">
      <w:start w:val="1"/>
      <w:numFmt w:val="bullet"/>
      <w:lvlText w:val="o"/>
      <w:lvlJc w:val="left"/>
      <w:pPr>
        <w:ind w:left="6138" w:hanging="360"/>
      </w:pPr>
      <w:rPr>
        <w:rFonts w:ascii="Courier New" w:hAnsi="Courier New" w:cs="Courier New" w:hint="default"/>
      </w:rPr>
    </w:lvl>
    <w:lvl w:ilvl="8" w:tplc="18090005" w:tentative="1">
      <w:start w:val="1"/>
      <w:numFmt w:val="bullet"/>
      <w:lvlText w:val=""/>
      <w:lvlJc w:val="left"/>
      <w:pPr>
        <w:ind w:left="6858" w:hanging="360"/>
      </w:pPr>
      <w:rPr>
        <w:rFonts w:ascii="Wingdings" w:hAnsi="Wingdings" w:hint="default"/>
      </w:rPr>
    </w:lvl>
  </w:abstractNum>
  <w:abstractNum w:abstractNumId="41" w15:restartNumberingAfterBreak="0">
    <w:nsid w:val="323CD98B"/>
    <w:multiLevelType w:val="hybridMultilevel"/>
    <w:tmpl w:val="1DBC4026"/>
    <w:lvl w:ilvl="0" w:tplc="3F8C6906">
      <w:start w:val="1"/>
      <w:numFmt w:val="bullet"/>
      <w:lvlText w:val="-"/>
      <w:lvlJc w:val="left"/>
      <w:pPr>
        <w:ind w:left="720" w:hanging="360"/>
      </w:pPr>
      <w:rPr>
        <w:rFonts w:ascii="Aptos" w:hAnsi="Aptos" w:hint="default"/>
      </w:rPr>
    </w:lvl>
    <w:lvl w:ilvl="1" w:tplc="6E58C2A4">
      <w:start w:val="1"/>
      <w:numFmt w:val="bullet"/>
      <w:lvlText w:val="o"/>
      <w:lvlJc w:val="left"/>
      <w:pPr>
        <w:ind w:left="1440" w:hanging="360"/>
      </w:pPr>
      <w:rPr>
        <w:rFonts w:ascii="Courier New" w:hAnsi="Courier New" w:hint="default"/>
      </w:rPr>
    </w:lvl>
    <w:lvl w:ilvl="2" w:tplc="A4AE2736">
      <w:start w:val="1"/>
      <w:numFmt w:val="bullet"/>
      <w:lvlText w:val=""/>
      <w:lvlJc w:val="left"/>
      <w:pPr>
        <w:ind w:left="2160" w:hanging="360"/>
      </w:pPr>
      <w:rPr>
        <w:rFonts w:ascii="Wingdings" w:hAnsi="Wingdings" w:hint="default"/>
      </w:rPr>
    </w:lvl>
    <w:lvl w:ilvl="3" w:tplc="8B548F16">
      <w:start w:val="1"/>
      <w:numFmt w:val="bullet"/>
      <w:lvlText w:val=""/>
      <w:lvlJc w:val="left"/>
      <w:pPr>
        <w:ind w:left="2880" w:hanging="360"/>
      </w:pPr>
      <w:rPr>
        <w:rFonts w:ascii="Symbol" w:hAnsi="Symbol" w:hint="default"/>
      </w:rPr>
    </w:lvl>
    <w:lvl w:ilvl="4" w:tplc="B07C17B0">
      <w:start w:val="1"/>
      <w:numFmt w:val="bullet"/>
      <w:lvlText w:val="o"/>
      <w:lvlJc w:val="left"/>
      <w:pPr>
        <w:ind w:left="3600" w:hanging="360"/>
      </w:pPr>
      <w:rPr>
        <w:rFonts w:ascii="Courier New" w:hAnsi="Courier New" w:hint="default"/>
      </w:rPr>
    </w:lvl>
    <w:lvl w:ilvl="5" w:tplc="055A8CB8">
      <w:start w:val="1"/>
      <w:numFmt w:val="bullet"/>
      <w:lvlText w:val=""/>
      <w:lvlJc w:val="left"/>
      <w:pPr>
        <w:ind w:left="4320" w:hanging="360"/>
      </w:pPr>
      <w:rPr>
        <w:rFonts w:ascii="Wingdings" w:hAnsi="Wingdings" w:hint="default"/>
      </w:rPr>
    </w:lvl>
    <w:lvl w:ilvl="6" w:tplc="0A8AA24A">
      <w:start w:val="1"/>
      <w:numFmt w:val="bullet"/>
      <w:lvlText w:val=""/>
      <w:lvlJc w:val="left"/>
      <w:pPr>
        <w:ind w:left="5040" w:hanging="360"/>
      </w:pPr>
      <w:rPr>
        <w:rFonts w:ascii="Symbol" w:hAnsi="Symbol" w:hint="default"/>
      </w:rPr>
    </w:lvl>
    <w:lvl w:ilvl="7" w:tplc="98662B2C">
      <w:start w:val="1"/>
      <w:numFmt w:val="bullet"/>
      <w:lvlText w:val="o"/>
      <w:lvlJc w:val="left"/>
      <w:pPr>
        <w:ind w:left="5760" w:hanging="360"/>
      </w:pPr>
      <w:rPr>
        <w:rFonts w:ascii="Courier New" w:hAnsi="Courier New" w:hint="default"/>
      </w:rPr>
    </w:lvl>
    <w:lvl w:ilvl="8" w:tplc="AE989B8E">
      <w:start w:val="1"/>
      <w:numFmt w:val="bullet"/>
      <w:lvlText w:val=""/>
      <w:lvlJc w:val="left"/>
      <w:pPr>
        <w:ind w:left="6480" w:hanging="360"/>
      </w:pPr>
      <w:rPr>
        <w:rFonts w:ascii="Wingdings" w:hAnsi="Wingdings" w:hint="default"/>
      </w:rPr>
    </w:lvl>
  </w:abstractNum>
  <w:abstractNum w:abstractNumId="42" w15:restartNumberingAfterBreak="0">
    <w:nsid w:val="32925AA6"/>
    <w:multiLevelType w:val="multilevel"/>
    <w:tmpl w:val="A6B2918A"/>
    <w:lvl w:ilvl="0">
      <w:start w:val="4"/>
      <w:numFmt w:val="decimal"/>
      <w:lvlText w:val="%1"/>
      <w:lvlJc w:val="left"/>
      <w:pPr>
        <w:ind w:left="480" w:hanging="480"/>
      </w:pPr>
    </w:lvl>
    <w:lvl w:ilvl="1">
      <w:start w:val="2"/>
      <w:numFmt w:val="decimal"/>
      <w:lvlText w:val="%1.%2"/>
      <w:lvlJc w:val="left"/>
      <w:pPr>
        <w:ind w:left="840" w:hanging="480"/>
      </w:pPr>
    </w:lvl>
    <w:lvl w:ilvl="2">
      <w:start w:val="5"/>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3" w15:restartNumberingAfterBreak="0">
    <w:nsid w:val="32E83C72"/>
    <w:multiLevelType w:val="hybridMultilevel"/>
    <w:tmpl w:val="8130A11C"/>
    <w:lvl w:ilvl="0" w:tplc="FEF214A2">
      <w:numFmt w:val="bullet"/>
      <w:lvlText w:val="-"/>
      <w:lvlJc w:val="left"/>
      <w:pPr>
        <w:ind w:left="360" w:hanging="360"/>
      </w:pPr>
      <w:rPr>
        <w:rFonts w:ascii="Aptos" w:hAnsi="Aptos" w:hint="default"/>
      </w:rPr>
    </w:lvl>
    <w:lvl w:ilvl="1" w:tplc="E2C43D02" w:tentative="1">
      <w:start w:val="1"/>
      <w:numFmt w:val="bullet"/>
      <w:lvlText w:val="o"/>
      <w:lvlJc w:val="left"/>
      <w:pPr>
        <w:ind w:left="1080" w:hanging="360"/>
      </w:pPr>
      <w:rPr>
        <w:rFonts w:ascii="Courier New" w:hAnsi="Courier New" w:hint="default"/>
      </w:rPr>
    </w:lvl>
    <w:lvl w:ilvl="2" w:tplc="FDB6B536" w:tentative="1">
      <w:start w:val="1"/>
      <w:numFmt w:val="bullet"/>
      <w:lvlText w:val=""/>
      <w:lvlJc w:val="left"/>
      <w:pPr>
        <w:ind w:left="1800" w:hanging="360"/>
      </w:pPr>
      <w:rPr>
        <w:rFonts w:ascii="Wingdings" w:hAnsi="Wingdings" w:hint="default"/>
      </w:rPr>
    </w:lvl>
    <w:lvl w:ilvl="3" w:tplc="676E7F02" w:tentative="1">
      <w:start w:val="1"/>
      <w:numFmt w:val="bullet"/>
      <w:lvlText w:val=""/>
      <w:lvlJc w:val="left"/>
      <w:pPr>
        <w:ind w:left="2520" w:hanging="360"/>
      </w:pPr>
      <w:rPr>
        <w:rFonts w:ascii="Symbol" w:hAnsi="Symbol" w:hint="default"/>
      </w:rPr>
    </w:lvl>
    <w:lvl w:ilvl="4" w:tplc="DE0868C8" w:tentative="1">
      <w:start w:val="1"/>
      <w:numFmt w:val="bullet"/>
      <w:lvlText w:val="o"/>
      <w:lvlJc w:val="left"/>
      <w:pPr>
        <w:ind w:left="3240" w:hanging="360"/>
      </w:pPr>
      <w:rPr>
        <w:rFonts w:ascii="Courier New" w:hAnsi="Courier New" w:hint="default"/>
      </w:rPr>
    </w:lvl>
    <w:lvl w:ilvl="5" w:tplc="1FA68BB6" w:tentative="1">
      <w:start w:val="1"/>
      <w:numFmt w:val="bullet"/>
      <w:lvlText w:val=""/>
      <w:lvlJc w:val="left"/>
      <w:pPr>
        <w:ind w:left="3960" w:hanging="360"/>
      </w:pPr>
      <w:rPr>
        <w:rFonts w:ascii="Wingdings" w:hAnsi="Wingdings" w:hint="default"/>
      </w:rPr>
    </w:lvl>
    <w:lvl w:ilvl="6" w:tplc="51442998" w:tentative="1">
      <w:start w:val="1"/>
      <w:numFmt w:val="bullet"/>
      <w:lvlText w:val=""/>
      <w:lvlJc w:val="left"/>
      <w:pPr>
        <w:ind w:left="4680" w:hanging="360"/>
      </w:pPr>
      <w:rPr>
        <w:rFonts w:ascii="Symbol" w:hAnsi="Symbol" w:hint="default"/>
      </w:rPr>
    </w:lvl>
    <w:lvl w:ilvl="7" w:tplc="2144AA2C" w:tentative="1">
      <w:start w:val="1"/>
      <w:numFmt w:val="bullet"/>
      <w:lvlText w:val="o"/>
      <w:lvlJc w:val="left"/>
      <w:pPr>
        <w:ind w:left="5400" w:hanging="360"/>
      </w:pPr>
      <w:rPr>
        <w:rFonts w:ascii="Courier New" w:hAnsi="Courier New" w:hint="default"/>
      </w:rPr>
    </w:lvl>
    <w:lvl w:ilvl="8" w:tplc="C4AECB2A" w:tentative="1">
      <w:start w:val="1"/>
      <w:numFmt w:val="bullet"/>
      <w:lvlText w:val=""/>
      <w:lvlJc w:val="left"/>
      <w:pPr>
        <w:ind w:left="6120" w:hanging="360"/>
      </w:pPr>
      <w:rPr>
        <w:rFonts w:ascii="Wingdings" w:hAnsi="Wingdings" w:hint="default"/>
      </w:rPr>
    </w:lvl>
  </w:abstractNum>
  <w:abstractNum w:abstractNumId="44" w15:restartNumberingAfterBreak="0">
    <w:nsid w:val="387B13A1"/>
    <w:multiLevelType w:val="hybridMultilevel"/>
    <w:tmpl w:val="71DC8C1E"/>
    <w:lvl w:ilvl="0" w:tplc="FF1A4F08">
      <w:start w:val="1"/>
      <w:numFmt w:val="bullet"/>
      <w:lvlText w:val=""/>
      <w:lvlJc w:val="left"/>
      <w:pPr>
        <w:ind w:left="720" w:hanging="360"/>
      </w:pPr>
      <w:rPr>
        <w:rFonts w:ascii="Symbol" w:hAnsi="Symbol" w:hint="default"/>
      </w:rPr>
    </w:lvl>
    <w:lvl w:ilvl="1" w:tplc="679093D4" w:tentative="1">
      <w:start w:val="1"/>
      <w:numFmt w:val="bullet"/>
      <w:lvlText w:val="o"/>
      <w:lvlJc w:val="left"/>
      <w:pPr>
        <w:ind w:left="1440" w:hanging="360"/>
      </w:pPr>
      <w:rPr>
        <w:rFonts w:ascii="Courier New" w:hAnsi="Courier New" w:hint="default"/>
      </w:rPr>
    </w:lvl>
    <w:lvl w:ilvl="2" w:tplc="CC9C0DFA" w:tentative="1">
      <w:start w:val="1"/>
      <w:numFmt w:val="bullet"/>
      <w:lvlText w:val=""/>
      <w:lvlJc w:val="left"/>
      <w:pPr>
        <w:ind w:left="2160" w:hanging="360"/>
      </w:pPr>
      <w:rPr>
        <w:rFonts w:ascii="Wingdings" w:hAnsi="Wingdings" w:hint="default"/>
      </w:rPr>
    </w:lvl>
    <w:lvl w:ilvl="3" w:tplc="7A8E2FEA" w:tentative="1">
      <w:start w:val="1"/>
      <w:numFmt w:val="bullet"/>
      <w:lvlText w:val=""/>
      <w:lvlJc w:val="left"/>
      <w:pPr>
        <w:ind w:left="2880" w:hanging="360"/>
      </w:pPr>
      <w:rPr>
        <w:rFonts w:ascii="Symbol" w:hAnsi="Symbol" w:hint="default"/>
      </w:rPr>
    </w:lvl>
    <w:lvl w:ilvl="4" w:tplc="87B80416" w:tentative="1">
      <w:start w:val="1"/>
      <w:numFmt w:val="bullet"/>
      <w:lvlText w:val="o"/>
      <w:lvlJc w:val="left"/>
      <w:pPr>
        <w:ind w:left="3600" w:hanging="360"/>
      </w:pPr>
      <w:rPr>
        <w:rFonts w:ascii="Courier New" w:hAnsi="Courier New" w:hint="default"/>
      </w:rPr>
    </w:lvl>
    <w:lvl w:ilvl="5" w:tplc="164225FA" w:tentative="1">
      <w:start w:val="1"/>
      <w:numFmt w:val="bullet"/>
      <w:lvlText w:val=""/>
      <w:lvlJc w:val="left"/>
      <w:pPr>
        <w:ind w:left="4320" w:hanging="360"/>
      </w:pPr>
      <w:rPr>
        <w:rFonts w:ascii="Wingdings" w:hAnsi="Wingdings" w:hint="default"/>
      </w:rPr>
    </w:lvl>
    <w:lvl w:ilvl="6" w:tplc="3AE03036" w:tentative="1">
      <w:start w:val="1"/>
      <w:numFmt w:val="bullet"/>
      <w:lvlText w:val=""/>
      <w:lvlJc w:val="left"/>
      <w:pPr>
        <w:ind w:left="5040" w:hanging="360"/>
      </w:pPr>
      <w:rPr>
        <w:rFonts w:ascii="Symbol" w:hAnsi="Symbol" w:hint="default"/>
      </w:rPr>
    </w:lvl>
    <w:lvl w:ilvl="7" w:tplc="1514DCE4" w:tentative="1">
      <w:start w:val="1"/>
      <w:numFmt w:val="bullet"/>
      <w:lvlText w:val="o"/>
      <w:lvlJc w:val="left"/>
      <w:pPr>
        <w:ind w:left="5760" w:hanging="360"/>
      </w:pPr>
      <w:rPr>
        <w:rFonts w:ascii="Courier New" w:hAnsi="Courier New" w:hint="default"/>
      </w:rPr>
    </w:lvl>
    <w:lvl w:ilvl="8" w:tplc="CF42A640" w:tentative="1">
      <w:start w:val="1"/>
      <w:numFmt w:val="bullet"/>
      <w:lvlText w:val=""/>
      <w:lvlJc w:val="left"/>
      <w:pPr>
        <w:ind w:left="6480" w:hanging="360"/>
      </w:pPr>
      <w:rPr>
        <w:rFonts w:ascii="Wingdings" w:hAnsi="Wingdings" w:hint="default"/>
      </w:rPr>
    </w:lvl>
  </w:abstractNum>
  <w:abstractNum w:abstractNumId="45" w15:restartNumberingAfterBreak="0">
    <w:nsid w:val="38CA5D1F"/>
    <w:multiLevelType w:val="hybridMultilevel"/>
    <w:tmpl w:val="6A76BAAA"/>
    <w:lvl w:ilvl="0" w:tplc="522E158A">
      <w:start w:val="1"/>
      <w:numFmt w:val="bullet"/>
      <w:lvlText w:val="-"/>
      <w:lvlJc w:val="left"/>
      <w:pPr>
        <w:ind w:left="720" w:hanging="360"/>
      </w:pPr>
      <w:rPr>
        <w:rFonts w:ascii="Aptos" w:hAnsi="Aptos" w:hint="default"/>
      </w:rPr>
    </w:lvl>
    <w:lvl w:ilvl="1" w:tplc="952E7326" w:tentative="1">
      <w:start w:val="1"/>
      <w:numFmt w:val="bullet"/>
      <w:lvlText w:val="o"/>
      <w:lvlJc w:val="left"/>
      <w:pPr>
        <w:ind w:left="1440" w:hanging="360"/>
      </w:pPr>
      <w:rPr>
        <w:rFonts w:ascii="Courier New" w:hAnsi="Courier New" w:hint="default"/>
      </w:rPr>
    </w:lvl>
    <w:lvl w:ilvl="2" w:tplc="E7681FC0" w:tentative="1">
      <w:start w:val="1"/>
      <w:numFmt w:val="bullet"/>
      <w:lvlText w:val=""/>
      <w:lvlJc w:val="left"/>
      <w:pPr>
        <w:ind w:left="2160" w:hanging="360"/>
      </w:pPr>
      <w:rPr>
        <w:rFonts w:ascii="Wingdings" w:hAnsi="Wingdings" w:hint="default"/>
      </w:rPr>
    </w:lvl>
    <w:lvl w:ilvl="3" w:tplc="76E6F0B2" w:tentative="1">
      <w:start w:val="1"/>
      <w:numFmt w:val="bullet"/>
      <w:lvlText w:val=""/>
      <w:lvlJc w:val="left"/>
      <w:pPr>
        <w:ind w:left="2880" w:hanging="360"/>
      </w:pPr>
      <w:rPr>
        <w:rFonts w:ascii="Symbol" w:hAnsi="Symbol" w:hint="default"/>
      </w:rPr>
    </w:lvl>
    <w:lvl w:ilvl="4" w:tplc="89A27CC0" w:tentative="1">
      <w:start w:val="1"/>
      <w:numFmt w:val="bullet"/>
      <w:lvlText w:val="o"/>
      <w:lvlJc w:val="left"/>
      <w:pPr>
        <w:ind w:left="3600" w:hanging="360"/>
      </w:pPr>
      <w:rPr>
        <w:rFonts w:ascii="Courier New" w:hAnsi="Courier New" w:hint="default"/>
      </w:rPr>
    </w:lvl>
    <w:lvl w:ilvl="5" w:tplc="2FE00A2C" w:tentative="1">
      <w:start w:val="1"/>
      <w:numFmt w:val="bullet"/>
      <w:lvlText w:val=""/>
      <w:lvlJc w:val="left"/>
      <w:pPr>
        <w:ind w:left="4320" w:hanging="360"/>
      </w:pPr>
      <w:rPr>
        <w:rFonts w:ascii="Wingdings" w:hAnsi="Wingdings" w:hint="default"/>
      </w:rPr>
    </w:lvl>
    <w:lvl w:ilvl="6" w:tplc="A1408824" w:tentative="1">
      <w:start w:val="1"/>
      <w:numFmt w:val="bullet"/>
      <w:lvlText w:val=""/>
      <w:lvlJc w:val="left"/>
      <w:pPr>
        <w:ind w:left="5040" w:hanging="360"/>
      </w:pPr>
      <w:rPr>
        <w:rFonts w:ascii="Symbol" w:hAnsi="Symbol" w:hint="default"/>
      </w:rPr>
    </w:lvl>
    <w:lvl w:ilvl="7" w:tplc="35C2C91A" w:tentative="1">
      <w:start w:val="1"/>
      <w:numFmt w:val="bullet"/>
      <w:lvlText w:val="o"/>
      <w:lvlJc w:val="left"/>
      <w:pPr>
        <w:ind w:left="5760" w:hanging="360"/>
      </w:pPr>
      <w:rPr>
        <w:rFonts w:ascii="Courier New" w:hAnsi="Courier New" w:hint="default"/>
      </w:rPr>
    </w:lvl>
    <w:lvl w:ilvl="8" w:tplc="6A96760E" w:tentative="1">
      <w:start w:val="1"/>
      <w:numFmt w:val="bullet"/>
      <w:lvlText w:val=""/>
      <w:lvlJc w:val="left"/>
      <w:pPr>
        <w:ind w:left="6480" w:hanging="360"/>
      </w:pPr>
      <w:rPr>
        <w:rFonts w:ascii="Wingdings" w:hAnsi="Wingdings" w:hint="default"/>
      </w:rPr>
    </w:lvl>
  </w:abstractNum>
  <w:abstractNum w:abstractNumId="46" w15:restartNumberingAfterBreak="0">
    <w:nsid w:val="398A298B"/>
    <w:multiLevelType w:val="hybridMultilevel"/>
    <w:tmpl w:val="7AE63D60"/>
    <w:lvl w:ilvl="0" w:tplc="175A4B6C">
      <w:start w:val="4"/>
      <w:numFmt w:val="bullet"/>
      <w:lvlText w:val="-"/>
      <w:lvlJc w:val="left"/>
      <w:pPr>
        <w:ind w:left="720" w:hanging="360"/>
      </w:pPr>
      <w:rPr>
        <w:rFonts w:ascii="Aptos" w:hAnsi="Aptos" w:hint="default"/>
      </w:rPr>
    </w:lvl>
    <w:lvl w:ilvl="1" w:tplc="056448BC">
      <w:start w:val="1"/>
      <w:numFmt w:val="bullet"/>
      <w:lvlText w:val="o"/>
      <w:lvlJc w:val="left"/>
      <w:pPr>
        <w:ind w:left="1440" w:hanging="360"/>
      </w:pPr>
      <w:rPr>
        <w:rFonts w:ascii="Courier New" w:hAnsi="Courier New" w:hint="default"/>
      </w:rPr>
    </w:lvl>
    <w:lvl w:ilvl="2" w:tplc="EB5CAB66">
      <w:start w:val="1"/>
      <w:numFmt w:val="bullet"/>
      <w:lvlText w:val=""/>
      <w:lvlJc w:val="left"/>
      <w:pPr>
        <w:ind w:left="2160" w:hanging="360"/>
      </w:pPr>
      <w:rPr>
        <w:rFonts w:ascii="Wingdings" w:hAnsi="Wingdings" w:hint="default"/>
      </w:rPr>
    </w:lvl>
    <w:lvl w:ilvl="3" w:tplc="1C647008">
      <w:start w:val="1"/>
      <w:numFmt w:val="bullet"/>
      <w:lvlText w:val=""/>
      <w:lvlJc w:val="left"/>
      <w:pPr>
        <w:ind w:left="2880" w:hanging="360"/>
      </w:pPr>
      <w:rPr>
        <w:rFonts w:ascii="Symbol" w:hAnsi="Symbol" w:hint="default"/>
      </w:rPr>
    </w:lvl>
    <w:lvl w:ilvl="4" w:tplc="7F6256C0">
      <w:start w:val="1"/>
      <w:numFmt w:val="bullet"/>
      <w:lvlText w:val="o"/>
      <w:lvlJc w:val="left"/>
      <w:pPr>
        <w:ind w:left="3600" w:hanging="360"/>
      </w:pPr>
      <w:rPr>
        <w:rFonts w:ascii="Courier New" w:hAnsi="Courier New" w:hint="default"/>
      </w:rPr>
    </w:lvl>
    <w:lvl w:ilvl="5" w:tplc="8000269C">
      <w:start w:val="1"/>
      <w:numFmt w:val="bullet"/>
      <w:lvlText w:val=""/>
      <w:lvlJc w:val="left"/>
      <w:pPr>
        <w:ind w:left="4320" w:hanging="360"/>
      </w:pPr>
      <w:rPr>
        <w:rFonts w:ascii="Wingdings" w:hAnsi="Wingdings" w:hint="default"/>
      </w:rPr>
    </w:lvl>
    <w:lvl w:ilvl="6" w:tplc="9454F8E8">
      <w:start w:val="1"/>
      <w:numFmt w:val="bullet"/>
      <w:lvlText w:val=""/>
      <w:lvlJc w:val="left"/>
      <w:pPr>
        <w:ind w:left="5040" w:hanging="360"/>
      </w:pPr>
      <w:rPr>
        <w:rFonts w:ascii="Symbol" w:hAnsi="Symbol" w:hint="default"/>
      </w:rPr>
    </w:lvl>
    <w:lvl w:ilvl="7" w:tplc="6952EF58">
      <w:start w:val="1"/>
      <w:numFmt w:val="bullet"/>
      <w:lvlText w:val="o"/>
      <w:lvlJc w:val="left"/>
      <w:pPr>
        <w:ind w:left="5760" w:hanging="360"/>
      </w:pPr>
      <w:rPr>
        <w:rFonts w:ascii="Courier New" w:hAnsi="Courier New" w:hint="default"/>
      </w:rPr>
    </w:lvl>
    <w:lvl w:ilvl="8" w:tplc="C41A9C40">
      <w:start w:val="1"/>
      <w:numFmt w:val="bullet"/>
      <w:lvlText w:val=""/>
      <w:lvlJc w:val="left"/>
      <w:pPr>
        <w:ind w:left="6480" w:hanging="360"/>
      </w:pPr>
      <w:rPr>
        <w:rFonts w:ascii="Wingdings" w:hAnsi="Wingdings" w:hint="default"/>
      </w:rPr>
    </w:lvl>
  </w:abstractNum>
  <w:abstractNum w:abstractNumId="47" w15:restartNumberingAfterBreak="0">
    <w:nsid w:val="3A481B54"/>
    <w:multiLevelType w:val="multilevel"/>
    <w:tmpl w:val="C6C6350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hAnsi="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ACF4C95"/>
    <w:multiLevelType w:val="hybridMultilevel"/>
    <w:tmpl w:val="903E2C22"/>
    <w:lvl w:ilvl="0" w:tplc="EC088446">
      <w:start w:val="1"/>
      <w:numFmt w:val="decimal"/>
      <w:lvlText w:val="%1."/>
      <w:lvlJc w:val="left"/>
      <w:pPr>
        <w:ind w:left="720" w:hanging="360"/>
      </w:pPr>
    </w:lvl>
    <w:lvl w:ilvl="1" w:tplc="EF40FD64" w:tentative="1">
      <w:start w:val="1"/>
      <w:numFmt w:val="lowerLetter"/>
      <w:lvlText w:val="%2."/>
      <w:lvlJc w:val="left"/>
      <w:pPr>
        <w:ind w:left="1440" w:hanging="360"/>
      </w:pPr>
    </w:lvl>
    <w:lvl w:ilvl="2" w:tplc="85827366" w:tentative="1">
      <w:start w:val="1"/>
      <w:numFmt w:val="lowerRoman"/>
      <w:lvlText w:val="%3."/>
      <w:lvlJc w:val="right"/>
      <w:pPr>
        <w:ind w:left="2160" w:hanging="180"/>
      </w:pPr>
    </w:lvl>
    <w:lvl w:ilvl="3" w:tplc="6CE87C42" w:tentative="1">
      <w:start w:val="1"/>
      <w:numFmt w:val="decimal"/>
      <w:lvlText w:val="%4."/>
      <w:lvlJc w:val="left"/>
      <w:pPr>
        <w:ind w:left="2880" w:hanging="360"/>
      </w:pPr>
    </w:lvl>
    <w:lvl w:ilvl="4" w:tplc="845EAEB0" w:tentative="1">
      <w:start w:val="1"/>
      <w:numFmt w:val="lowerLetter"/>
      <w:lvlText w:val="%5."/>
      <w:lvlJc w:val="left"/>
      <w:pPr>
        <w:ind w:left="3600" w:hanging="360"/>
      </w:pPr>
    </w:lvl>
    <w:lvl w:ilvl="5" w:tplc="1626FB10" w:tentative="1">
      <w:start w:val="1"/>
      <w:numFmt w:val="lowerRoman"/>
      <w:lvlText w:val="%6."/>
      <w:lvlJc w:val="right"/>
      <w:pPr>
        <w:ind w:left="4320" w:hanging="180"/>
      </w:pPr>
    </w:lvl>
    <w:lvl w:ilvl="6" w:tplc="6210801E" w:tentative="1">
      <w:start w:val="1"/>
      <w:numFmt w:val="decimal"/>
      <w:lvlText w:val="%7."/>
      <w:lvlJc w:val="left"/>
      <w:pPr>
        <w:ind w:left="5040" w:hanging="360"/>
      </w:pPr>
    </w:lvl>
    <w:lvl w:ilvl="7" w:tplc="A7167D18" w:tentative="1">
      <w:start w:val="1"/>
      <w:numFmt w:val="lowerLetter"/>
      <w:lvlText w:val="%8."/>
      <w:lvlJc w:val="left"/>
      <w:pPr>
        <w:ind w:left="5760" w:hanging="360"/>
      </w:pPr>
    </w:lvl>
    <w:lvl w:ilvl="8" w:tplc="961090E0" w:tentative="1">
      <w:start w:val="1"/>
      <w:numFmt w:val="lowerRoman"/>
      <w:lvlText w:val="%9."/>
      <w:lvlJc w:val="right"/>
      <w:pPr>
        <w:ind w:left="6480" w:hanging="180"/>
      </w:pPr>
    </w:lvl>
  </w:abstractNum>
  <w:abstractNum w:abstractNumId="49" w15:restartNumberingAfterBreak="0">
    <w:nsid w:val="3CB76757"/>
    <w:multiLevelType w:val="multilevel"/>
    <w:tmpl w:val="90A6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CEE4799"/>
    <w:multiLevelType w:val="hybridMultilevel"/>
    <w:tmpl w:val="F6829B42"/>
    <w:lvl w:ilvl="0" w:tplc="B1885BDC">
      <w:start w:val="1"/>
      <w:numFmt w:val="bullet"/>
      <w:lvlText w:val="•"/>
      <w:lvlJc w:val="left"/>
      <w:pPr>
        <w:tabs>
          <w:tab w:val="num" w:pos="720"/>
        </w:tabs>
        <w:ind w:left="720" w:hanging="360"/>
      </w:pPr>
      <w:rPr>
        <w:rFonts w:ascii="Arial" w:hAnsi="Arial" w:hint="default"/>
      </w:rPr>
    </w:lvl>
    <w:lvl w:ilvl="1" w:tplc="8D5EF0A4">
      <w:start w:val="1"/>
      <w:numFmt w:val="bullet"/>
      <w:lvlText w:val="•"/>
      <w:lvlJc w:val="left"/>
      <w:pPr>
        <w:tabs>
          <w:tab w:val="num" w:pos="1440"/>
        </w:tabs>
        <w:ind w:left="1440" w:hanging="360"/>
      </w:pPr>
      <w:rPr>
        <w:rFonts w:ascii="Arial" w:hAnsi="Arial" w:hint="default"/>
      </w:rPr>
    </w:lvl>
    <w:lvl w:ilvl="2" w:tplc="849E3D96" w:tentative="1">
      <w:start w:val="1"/>
      <w:numFmt w:val="bullet"/>
      <w:lvlText w:val="•"/>
      <w:lvlJc w:val="left"/>
      <w:pPr>
        <w:tabs>
          <w:tab w:val="num" w:pos="2160"/>
        </w:tabs>
        <w:ind w:left="2160" w:hanging="360"/>
      </w:pPr>
      <w:rPr>
        <w:rFonts w:ascii="Arial" w:hAnsi="Arial" w:hint="default"/>
      </w:rPr>
    </w:lvl>
    <w:lvl w:ilvl="3" w:tplc="10840B2A" w:tentative="1">
      <w:start w:val="1"/>
      <w:numFmt w:val="bullet"/>
      <w:lvlText w:val="•"/>
      <w:lvlJc w:val="left"/>
      <w:pPr>
        <w:tabs>
          <w:tab w:val="num" w:pos="2880"/>
        </w:tabs>
        <w:ind w:left="2880" w:hanging="360"/>
      </w:pPr>
      <w:rPr>
        <w:rFonts w:ascii="Arial" w:hAnsi="Arial" w:hint="default"/>
      </w:rPr>
    </w:lvl>
    <w:lvl w:ilvl="4" w:tplc="89424C92" w:tentative="1">
      <w:start w:val="1"/>
      <w:numFmt w:val="bullet"/>
      <w:lvlText w:val="•"/>
      <w:lvlJc w:val="left"/>
      <w:pPr>
        <w:tabs>
          <w:tab w:val="num" w:pos="3600"/>
        </w:tabs>
        <w:ind w:left="3600" w:hanging="360"/>
      </w:pPr>
      <w:rPr>
        <w:rFonts w:ascii="Arial" w:hAnsi="Arial" w:hint="default"/>
      </w:rPr>
    </w:lvl>
    <w:lvl w:ilvl="5" w:tplc="E266F728" w:tentative="1">
      <w:start w:val="1"/>
      <w:numFmt w:val="bullet"/>
      <w:lvlText w:val="•"/>
      <w:lvlJc w:val="left"/>
      <w:pPr>
        <w:tabs>
          <w:tab w:val="num" w:pos="4320"/>
        </w:tabs>
        <w:ind w:left="4320" w:hanging="360"/>
      </w:pPr>
      <w:rPr>
        <w:rFonts w:ascii="Arial" w:hAnsi="Arial" w:hint="default"/>
      </w:rPr>
    </w:lvl>
    <w:lvl w:ilvl="6" w:tplc="424CD338" w:tentative="1">
      <w:start w:val="1"/>
      <w:numFmt w:val="bullet"/>
      <w:lvlText w:val="•"/>
      <w:lvlJc w:val="left"/>
      <w:pPr>
        <w:tabs>
          <w:tab w:val="num" w:pos="5040"/>
        </w:tabs>
        <w:ind w:left="5040" w:hanging="360"/>
      </w:pPr>
      <w:rPr>
        <w:rFonts w:ascii="Arial" w:hAnsi="Arial" w:hint="default"/>
      </w:rPr>
    </w:lvl>
    <w:lvl w:ilvl="7" w:tplc="9BD00DCC" w:tentative="1">
      <w:start w:val="1"/>
      <w:numFmt w:val="bullet"/>
      <w:lvlText w:val="•"/>
      <w:lvlJc w:val="left"/>
      <w:pPr>
        <w:tabs>
          <w:tab w:val="num" w:pos="5760"/>
        </w:tabs>
        <w:ind w:left="5760" w:hanging="360"/>
      </w:pPr>
      <w:rPr>
        <w:rFonts w:ascii="Arial" w:hAnsi="Arial" w:hint="default"/>
      </w:rPr>
    </w:lvl>
    <w:lvl w:ilvl="8" w:tplc="BEF44A12"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3E492F0F"/>
    <w:multiLevelType w:val="hybridMultilevel"/>
    <w:tmpl w:val="06A06558"/>
    <w:lvl w:ilvl="0" w:tplc="6CFA395C">
      <w:start w:val="1"/>
      <w:numFmt w:val="bullet"/>
      <w:lvlText w:val="•"/>
      <w:lvlJc w:val="left"/>
      <w:pPr>
        <w:tabs>
          <w:tab w:val="num" w:pos="720"/>
        </w:tabs>
        <w:ind w:left="720" w:hanging="360"/>
      </w:pPr>
      <w:rPr>
        <w:rFonts w:ascii="Arial" w:hAnsi="Arial" w:hint="default"/>
      </w:rPr>
    </w:lvl>
    <w:lvl w:ilvl="1" w:tplc="126644DC">
      <w:start w:val="1"/>
      <w:numFmt w:val="bullet"/>
      <w:lvlText w:val="•"/>
      <w:lvlJc w:val="left"/>
      <w:pPr>
        <w:tabs>
          <w:tab w:val="num" w:pos="1440"/>
        </w:tabs>
        <w:ind w:left="1440" w:hanging="360"/>
      </w:pPr>
      <w:rPr>
        <w:rFonts w:ascii="Arial" w:hAnsi="Arial" w:hint="default"/>
      </w:rPr>
    </w:lvl>
    <w:lvl w:ilvl="2" w:tplc="2BACD706" w:tentative="1">
      <w:start w:val="1"/>
      <w:numFmt w:val="bullet"/>
      <w:lvlText w:val="•"/>
      <w:lvlJc w:val="left"/>
      <w:pPr>
        <w:tabs>
          <w:tab w:val="num" w:pos="2160"/>
        </w:tabs>
        <w:ind w:left="2160" w:hanging="360"/>
      </w:pPr>
      <w:rPr>
        <w:rFonts w:ascii="Arial" w:hAnsi="Arial" w:hint="default"/>
      </w:rPr>
    </w:lvl>
    <w:lvl w:ilvl="3" w:tplc="9C60BF0C" w:tentative="1">
      <w:start w:val="1"/>
      <w:numFmt w:val="bullet"/>
      <w:lvlText w:val="•"/>
      <w:lvlJc w:val="left"/>
      <w:pPr>
        <w:tabs>
          <w:tab w:val="num" w:pos="2880"/>
        </w:tabs>
        <w:ind w:left="2880" w:hanging="360"/>
      </w:pPr>
      <w:rPr>
        <w:rFonts w:ascii="Arial" w:hAnsi="Arial" w:hint="default"/>
      </w:rPr>
    </w:lvl>
    <w:lvl w:ilvl="4" w:tplc="C4685072" w:tentative="1">
      <w:start w:val="1"/>
      <w:numFmt w:val="bullet"/>
      <w:lvlText w:val="•"/>
      <w:lvlJc w:val="left"/>
      <w:pPr>
        <w:tabs>
          <w:tab w:val="num" w:pos="3600"/>
        </w:tabs>
        <w:ind w:left="3600" w:hanging="360"/>
      </w:pPr>
      <w:rPr>
        <w:rFonts w:ascii="Arial" w:hAnsi="Arial" w:hint="default"/>
      </w:rPr>
    </w:lvl>
    <w:lvl w:ilvl="5" w:tplc="8DB8502C" w:tentative="1">
      <w:start w:val="1"/>
      <w:numFmt w:val="bullet"/>
      <w:lvlText w:val="•"/>
      <w:lvlJc w:val="left"/>
      <w:pPr>
        <w:tabs>
          <w:tab w:val="num" w:pos="4320"/>
        </w:tabs>
        <w:ind w:left="4320" w:hanging="360"/>
      </w:pPr>
      <w:rPr>
        <w:rFonts w:ascii="Arial" w:hAnsi="Arial" w:hint="default"/>
      </w:rPr>
    </w:lvl>
    <w:lvl w:ilvl="6" w:tplc="3C9CA3A0" w:tentative="1">
      <w:start w:val="1"/>
      <w:numFmt w:val="bullet"/>
      <w:lvlText w:val="•"/>
      <w:lvlJc w:val="left"/>
      <w:pPr>
        <w:tabs>
          <w:tab w:val="num" w:pos="5040"/>
        </w:tabs>
        <w:ind w:left="5040" w:hanging="360"/>
      </w:pPr>
      <w:rPr>
        <w:rFonts w:ascii="Arial" w:hAnsi="Arial" w:hint="default"/>
      </w:rPr>
    </w:lvl>
    <w:lvl w:ilvl="7" w:tplc="9DD0D5E2" w:tentative="1">
      <w:start w:val="1"/>
      <w:numFmt w:val="bullet"/>
      <w:lvlText w:val="•"/>
      <w:lvlJc w:val="left"/>
      <w:pPr>
        <w:tabs>
          <w:tab w:val="num" w:pos="5760"/>
        </w:tabs>
        <w:ind w:left="5760" w:hanging="360"/>
      </w:pPr>
      <w:rPr>
        <w:rFonts w:ascii="Arial" w:hAnsi="Arial" w:hint="default"/>
      </w:rPr>
    </w:lvl>
    <w:lvl w:ilvl="8" w:tplc="FF061B8E"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404A25E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0D121E9"/>
    <w:multiLevelType w:val="hybridMultilevel"/>
    <w:tmpl w:val="FFFFFFFF"/>
    <w:lvl w:ilvl="0" w:tplc="F3827FC2">
      <w:start w:val="1"/>
      <w:numFmt w:val="bullet"/>
      <w:lvlText w:val="-"/>
      <w:lvlJc w:val="left"/>
      <w:pPr>
        <w:ind w:left="720" w:hanging="360"/>
      </w:pPr>
      <w:rPr>
        <w:rFonts w:ascii="Aptos" w:hAnsi="Aptos" w:hint="default"/>
      </w:rPr>
    </w:lvl>
    <w:lvl w:ilvl="1" w:tplc="9A8A43C6">
      <w:start w:val="1"/>
      <w:numFmt w:val="bullet"/>
      <w:lvlText w:val="o"/>
      <w:lvlJc w:val="left"/>
      <w:pPr>
        <w:ind w:left="1440" w:hanging="360"/>
      </w:pPr>
      <w:rPr>
        <w:rFonts w:ascii="Courier New" w:hAnsi="Courier New" w:hint="default"/>
      </w:rPr>
    </w:lvl>
    <w:lvl w:ilvl="2" w:tplc="6E067B06">
      <w:start w:val="1"/>
      <w:numFmt w:val="bullet"/>
      <w:lvlText w:val=""/>
      <w:lvlJc w:val="left"/>
      <w:pPr>
        <w:ind w:left="2160" w:hanging="360"/>
      </w:pPr>
      <w:rPr>
        <w:rFonts w:ascii="Wingdings" w:hAnsi="Wingdings" w:hint="default"/>
      </w:rPr>
    </w:lvl>
    <w:lvl w:ilvl="3" w:tplc="1E2A7704">
      <w:start w:val="1"/>
      <w:numFmt w:val="bullet"/>
      <w:lvlText w:val=""/>
      <w:lvlJc w:val="left"/>
      <w:pPr>
        <w:ind w:left="2880" w:hanging="360"/>
      </w:pPr>
      <w:rPr>
        <w:rFonts w:ascii="Symbol" w:hAnsi="Symbol" w:hint="default"/>
      </w:rPr>
    </w:lvl>
    <w:lvl w:ilvl="4" w:tplc="64CA343C">
      <w:start w:val="1"/>
      <w:numFmt w:val="bullet"/>
      <w:lvlText w:val="o"/>
      <w:lvlJc w:val="left"/>
      <w:pPr>
        <w:ind w:left="3600" w:hanging="360"/>
      </w:pPr>
      <w:rPr>
        <w:rFonts w:ascii="Courier New" w:hAnsi="Courier New" w:hint="default"/>
      </w:rPr>
    </w:lvl>
    <w:lvl w:ilvl="5" w:tplc="59244362">
      <w:start w:val="1"/>
      <w:numFmt w:val="bullet"/>
      <w:lvlText w:val=""/>
      <w:lvlJc w:val="left"/>
      <w:pPr>
        <w:ind w:left="4320" w:hanging="360"/>
      </w:pPr>
      <w:rPr>
        <w:rFonts w:ascii="Wingdings" w:hAnsi="Wingdings" w:hint="default"/>
      </w:rPr>
    </w:lvl>
    <w:lvl w:ilvl="6" w:tplc="5F8C08A4">
      <w:start w:val="1"/>
      <w:numFmt w:val="bullet"/>
      <w:lvlText w:val=""/>
      <w:lvlJc w:val="left"/>
      <w:pPr>
        <w:ind w:left="5040" w:hanging="360"/>
      </w:pPr>
      <w:rPr>
        <w:rFonts w:ascii="Symbol" w:hAnsi="Symbol" w:hint="default"/>
      </w:rPr>
    </w:lvl>
    <w:lvl w:ilvl="7" w:tplc="FFD41DF8">
      <w:start w:val="1"/>
      <w:numFmt w:val="bullet"/>
      <w:lvlText w:val="o"/>
      <w:lvlJc w:val="left"/>
      <w:pPr>
        <w:ind w:left="5760" w:hanging="360"/>
      </w:pPr>
      <w:rPr>
        <w:rFonts w:ascii="Courier New" w:hAnsi="Courier New" w:hint="default"/>
      </w:rPr>
    </w:lvl>
    <w:lvl w:ilvl="8" w:tplc="17A8D39A">
      <w:start w:val="1"/>
      <w:numFmt w:val="bullet"/>
      <w:lvlText w:val=""/>
      <w:lvlJc w:val="left"/>
      <w:pPr>
        <w:ind w:left="6480" w:hanging="360"/>
      </w:pPr>
      <w:rPr>
        <w:rFonts w:ascii="Wingdings" w:hAnsi="Wingdings" w:hint="default"/>
      </w:rPr>
    </w:lvl>
  </w:abstractNum>
  <w:abstractNum w:abstractNumId="54" w15:restartNumberingAfterBreak="0">
    <w:nsid w:val="412B1CD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422AA265"/>
    <w:multiLevelType w:val="hybridMultilevel"/>
    <w:tmpl w:val="FFFFFFFF"/>
    <w:lvl w:ilvl="0" w:tplc="7608B39A">
      <w:start w:val="1"/>
      <w:numFmt w:val="bullet"/>
      <w:lvlText w:val=""/>
      <w:lvlJc w:val="left"/>
      <w:pPr>
        <w:ind w:left="720" w:hanging="360"/>
      </w:pPr>
      <w:rPr>
        <w:rFonts w:ascii="Symbol" w:hAnsi="Symbol" w:hint="default"/>
      </w:rPr>
    </w:lvl>
    <w:lvl w:ilvl="1" w:tplc="D1542E02">
      <w:start w:val="1"/>
      <w:numFmt w:val="bullet"/>
      <w:lvlText w:val="o"/>
      <w:lvlJc w:val="left"/>
      <w:pPr>
        <w:ind w:left="1440" w:hanging="360"/>
      </w:pPr>
      <w:rPr>
        <w:rFonts w:ascii="Courier New" w:hAnsi="Courier New" w:hint="default"/>
      </w:rPr>
    </w:lvl>
    <w:lvl w:ilvl="2" w:tplc="57A01190">
      <w:start w:val="1"/>
      <w:numFmt w:val="bullet"/>
      <w:lvlText w:val=""/>
      <w:lvlJc w:val="left"/>
      <w:pPr>
        <w:ind w:left="2160" w:hanging="360"/>
      </w:pPr>
      <w:rPr>
        <w:rFonts w:ascii="Wingdings" w:hAnsi="Wingdings" w:hint="default"/>
      </w:rPr>
    </w:lvl>
    <w:lvl w:ilvl="3" w:tplc="03763BB8">
      <w:start w:val="1"/>
      <w:numFmt w:val="bullet"/>
      <w:lvlText w:val=""/>
      <w:lvlJc w:val="left"/>
      <w:pPr>
        <w:ind w:left="2880" w:hanging="360"/>
      </w:pPr>
      <w:rPr>
        <w:rFonts w:ascii="Symbol" w:hAnsi="Symbol" w:hint="default"/>
      </w:rPr>
    </w:lvl>
    <w:lvl w:ilvl="4" w:tplc="5A003C7C">
      <w:start w:val="1"/>
      <w:numFmt w:val="bullet"/>
      <w:lvlText w:val="o"/>
      <w:lvlJc w:val="left"/>
      <w:pPr>
        <w:ind w:left="3600" w:hanging="360"/>
      </w:pPr>
      <w:rPr>
        <w:rFonts w:ascii="Courier New" w:hAnsi="Courier New" w:hint="default"/>
      </w:rPr>
    </w:lvl>
    <w:lvl w:ilvl="5" w:tplc="CC24393C">
      <w:start w:val="1"/>
      <w:numFmt w:val="bullet"/>
      <w:lvlText w:val=""/>
      <w:lvlJc w:val="left"/>
      <w:pPr>
        <w:ind w:left="4320" w:hanging="360"/>
      </w:pPr>
      <w:rPr>
        <w:rFonts w:ascii="Wingdings" w:hAnsi="Wingdings" w:hint="default"/>
      </w:rPr>
    </w:lvl>
    <w:lvl w:ilvl="6" w:tplc="19B0C784">
      <w:start w:val="1"/>
      <w:numFmt w:val="bullet"/>
      <w:lvlText w:val=""/>
      <w:lvlJc w:val="left"/>
      <w:pPr>
        <w:ind w:left="5040" w:hanging="360"/>
      </w:pPr>
      <w:rPr>
        <w:rFonts w:ascii="Symbol" w:hAnsi="Symbol" w:hint="default"/>
      </w:rPr>
    </w:lvl>
    <w:lvl w:ilvl="7" w:tplc="A970D262">
      <w:start w:val="1"/>
      <w:numFmt w:val="bullet"/>
      <w:lvlText w:val="o"/>
      <w:lvlJc w:val="left"/>
      <w:pPr>
        <w:ind w:left="5760" w:hanging="360"/>
      </w:pPr>
      <w:rPr>
        <w:rFonts w:ascii="Courier New" w:hAnsi="Courier New" w:hint="default"/>
      </w:rPr>
    </w:lvl>
    <w:lvl w:ilvl="8" w:tplc="9AC621DC">
      <w:start w:val="1"/>
      <w:numFmt w:val="bullet"/>
      <w:lvlText w:val=""/>
      <w:lvlJc w:val="left"/>
      <w:pPr>
        <w:ind w:left="6480" w:hanging="360"/>
      </w:pPr>
      <w:rPr>
        <w:rFonts w:ascii="Wingdings" w:hAnsi="Wingdings" w:hint="default"/>
      </w:rPr>
    </w:lvl>
  </w:abstractNum>
  <w:abstractNum w:abstractNumId="56" w15:restartNumberingAfterBreak="0">
    <w:nsid w:val="42B603E6"/>
    <w:multiLevelType w:val="multilevel"/>
    <w:tmpl w:val="97A0613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7" w15:restartNumberingAfterBreak="0">
    <w:nsid w:val="42E34761"/>
    <w:multiLevelType w:val="hybridMultilevel"/>
    <w:tmpl w:val="55088FFA"/>
    <w:lvl w:ilvl="0" w:tplc="12D4B620">
      <w:start w:val="1"/>
      <w:numFmt w:val="bullet"/>
      <w:lvlText w:val="•"/>
      <w:lvlJc w:val="left"/>
      <w:pPr>
        <w:tabs>
          <w:tab w:val="num" w:pos="720"/>
        </w:tabs>
        <w:ind w:left="720" w:hanging="360"/>
      </w:pPr>
      <w:rPr>
        <w:rFonts w:ascii="Arial" w:hAnsi="Arial" w:hint="default"/>
      </w:rPr>
    </w:lvl>
    <w:lvl w:ilvl="1" w:tplc="8516FC72">
      <w:start w:val="1"/>
      <w:numFmt w:val="bullet"/>
      <w:lvlText w:val="•"/>
      <w:lvlJc w:val="left"/>
      <w:pPr>
        <w:tabs>
          <w:tab w:val="num" w:pos="1440"/>
        </w:tabs>
        <w:ind w:left="1440" w:hanging="360"/>
      </w:pPr>
      <w:rPr>
        <w:rFonts w:ascii="Arial" w:hAnsi="Arial" w:hint="default"/>
      </w:rPr>
    </w:lvl>
    <w:lvl w:ilvl="2" w:tplc="2D629414" w:tentative="1">
      <w:start w:val="1"/>
      <w:numFmt w:val="bullet"/>
      <w:lvlText w:val="•"/>
      <w:lvlJc w:val="left"/>
      <w:pPr>
        <w:tabs>
          <w:tab w:val="num" w:pos="2160"/>
        </w:tabs>
        <w:ind w:left="2160" w:hanging="360"/>
      </w:pPr>
      <w:rPr>
        <w:rFonts w:ascii="Arial" w:hAnsi="Arial" w:hint="default"/>
      </w:rPr>
    </w:lvl>
    <w:lvl w:ilvl="3" w:tplc="6E96F712" w:tentative="1">
      <w:start w:val="1"/>
      <w:numFmt w:val="bullet"/>
      <w:lvlText w:val="•"/>
      <w:lvlJc w:val="left"/>
      <w:pPr>
        <w:tabs>
          <w:tab w:val="num" w:pos="2880"/>
        </w:tabs>
        <w:ind w:left="2880" w:hanging="360"/>
      </w:pPr>
      <w:rPr>
        <w:rFonts w:ascii="Arial" w:hAnsi="Arial" w:hint="default"/>
      </w:rPr>
    </w:lvl>
    <w:lvl w:ilvl="4" w:tplc="0ABACFEA" w:tentative="1">
      <w:start w:val="1"/>
      <w:numFmt w:val="bullet"/>
      <w:lvlText w:val="•"/>
      <w:lvlJc w:val="left"/>
      <w:pPr>
        <w:tabs>
          <w:tab w:val="num" w:pos="3600"/>
        </w:tabs>
        <w:ind w:left="3600" w:hanging="360"/>
      </w:pPr>
      <w:rPr>
        <w:rFonts w:ascii="Arial" w:hAnsi="Arial" w:hint="default"/>
      </w:rPr>
    </w:lvl>
    <w:lvl w:ilvl="5" w:tplc="FB5A76C6" w:tentative="1">
      <w:start w:val="1"/>
      <w:numFmt w:val="bullet"/>
      <w:lvlText w:val="•"/>
      <w:lvlJc w:val="left"/>
      <w:pPr>
        <w:tabs>
          <w:tab w:val="num" w:pos="4320"/>
        </w:tabs>
        <w:ind w:left="4320" w:hanging="360"/>
      </w:pPr>
      <w:rPr>
        <w:rFonts w:ascii="Arial" w:hAnsi="Arial" w:hint="default"/>
      </w:rPr>
    </w:lvl>
    <w:lvl w:ilvl="6" w:tplc="F942E13E" w:tentative="1">
      <w:start w:val="1"/>
      <w:numFmt w:val="bullet"/>
      <w:lvlText w:val="•"/>
      <w:lvlJc w:val="left"/>
      <w:pPr>
        <w:tabs>
          <w:tab w:val="num" w:pos="5040"/>
        </w:tabs>
        <w:ind w:left="5040" w:hanging="360"/>
      </w:pPr>
      <w:rPr>
        <w:rFonts w:ascii="Arial" w:hAnsi="Arial" w:hint="default"/>
      </w:rPr>
    </w:lvl>
    <w:lvl w:ilvl="7" w:tplc="91EA57C2" w:tentative="1">
      <w:start w:val="1"/>
      <w:numFmt w:val="bullet"/>
      <w:lvlText w:val="•"/>
      <w:lvlJc w:val="left"/>
      <w:pPr>
        <w:tabs>
          <w:tab w:val="num" w:pos="5760"/>
        </w:tabs>
        <w:ind w:left="5760" w:hanging="360"/>
      </w:pPr>
      <w:rPr>
        <w:rFonts w:ascii="Arial" w:hAnsi="Arial" w:hint="default"/>
      </w:rPr>
    </w:lvl>
    <w:lvl w:ilvl="8" w:tplc="123870A6"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46211C96"/>
    <w:multiLevelType w:val="hybridMultilevel"/>
    <w:tmpl w:val="60761868"/>
    <w:lvl w:ilvl="0" w:tplc="D780F0E4">
      <w:start w:val="1"/>
      <w:numFmt w:val="bullet"/>
      <w:lvlText w:val="-"/>
      <w:lvlJc w:val="left"/>
      <w:pPr>
        <w:ind w:left="720" w:hanging="360"/>
      </w:pPr>
      <w:rPr>
        <w:rFonts w:ascii="&quot;Aptos&quot;,sans-serif" w:hAnsi="&quot;Aptos&quot;,sans-serif" w:hint="default"/>
      </w:rPr>
    </w:lvl>
    <w:lvl w:ilvl="1" w:tplc="EFC84A60">
      <w:start w:val="1"/>
      <w:numFmt w:val="bullet"/>
      <w:lvlText w:val="o"/>
      <w:lvlJc w:val="left"/>
      <w:pPr>
        <w:ind w:left="1440" w:hanging="360"/>
      </w:pPr>
      <w:rPr>
        <w:rFonts w:ascii="Courier New" w:hAnsi="Courier New" w:hint="default"/>
      </w:rPr>
    </w:lvl>
    <w:lvl w:ilvl="2" w:tplc="AE684188">
      <w:start w:val="1"/>
      <w:numFmt w:val="bullet"/>
      <w:lvlText w:val=""/>
      <w:lvlJc w:val="left"/>
      <w:pPr>
        <w:ind w:left="2160" w:hanging="360"/>
      </w:pPr>
      <w:rPr>
        <w:rFonts w:ascii="Wingdings" w:hAnsi="Wingdings" w:hint="default"/>
      </w:rPr>
    </w:lvl>
    <w:lvl w:ilvl="3" w:tplc="7DAEF7F6">
      <w:start w:val="1"/>
      <w:numFmt w:val="bullet"/>
      <w:lvlText w:val=""/>
      <w:lvlJc w:val="left"/>
      <w:pPr>
        <w:ind w:left="2880" w:hanging="360"/>
      </w:pPr>
      <w:rPr>
        <w:rFonts w:ascii="Symbol" w:hAnsi="Symbol" w:hint="default"/>
      </w:rPr>
    </w:lvl>
    <w:lvl w:ilvl="4" w:tplc="24B0E768">
      <w:start w:val="1"/>
      <w:numFmt w:val="bullet"/>
      <w:lvlText w:val="o"/>
      <w:lvlJc w:val="left"/>
      <w:pPr>
        <w:ind w:left="3600" w:hanging="360"/>
      </w:pPr>
      <w:rPr>
        <w:rFonts w:ascii="Courier New" w:hAnsi="Courier New" w:hint="default"/>
      </w:rPr>
    </w:lvl>
    <w:lvl w:ilvl="5" w:tplc="35546018">
      <w:start w:val="1"/>
      <w:numFmt w:val="bullet"/>
      <w:lvlText w:val=""/>
      <w:lvlJc w:val="left"/>
      <w:pPr>
        <w:ind w:left="4320" w:hanging="360"/>
      </w:pPr>
      <w:rPr>
        <w:rFonts w:ascii="Wingdings" w:hAnsi="Wingdings" w:hint="default"/>
      </w:rPr>
    </w:lvl>
    <w:lvl w:ilvl="6" w:tplc="06F431F0">
      <w:start w:val="1"/>
      <w:numFmt w:val="bullet"/>
      <w:lvlText w:val=""/>
      <w:lvlJc w:val="left"/>
      <w:pPr>
        <w:ind w:left="5040" w:hanging="360"/>
      </w:pPr>
      <w:rPr>
        <w:rFonts w:ascii="Symbol" w:hAnsi="Symbol" w:hint="default"/>
      </w:rPr>
    </w:lvl>
    <w:lvl w:ilvl="7" w:tplc="199833DE">
      <w:start w:val="1"/>
      <w:numFmt w:val="bullet"/>
      <w:lvlText w:val="o"/>
      <w:lvlJc w:val="left"/>
      <w:pPr>
        <w:ind w:left="5760" w:hanging="360"/>
      </w:pPr>
      <w:rPr>
        <w:rFonts w:ascii="Courier New" w:hAnsi="Courier New" w:hint="default"/>
      </w:rPr>
    </w:lvl>
    <w:lvl w:ilvl="8" w:tplc="35242B6A">
      <w:start w:val="1"/>
      <w:numFmt w:val="bullet"/>
      <w:lvlText w:val=""/>
      <w:lvlJc w:val="left"/>
      <w:pPr>
        <w:ind w:left="6480" w:hanging="360"/>
      </w:pPr>
      <w:rPr>
        <w:rFonts w:ascii="Wingdings" w:hAnsi="Wingdings" w:hint="default"/>
      </w:rPr>
    </w:lvl>
  </w:abstractNum>
  <w:abstractNum w:abstractNumId="59" w15:restartNumberingAfterBreak="0">
    <w:nsid w:val="480B0AF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9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8BA46D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8E66883"/>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2" w15:restartNumberingAfterBreak="0">
    <w:nsid w:val="4A2C3B6E"/>
    <w:multiLevelType w:val="hybridMultilevel"/>
    <w:tmpl w:val="74AA09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50C13A33"/>
    <w:multiLevelType w:val="hybridMultilevel"/>
    <w:tmpl w:val="8862C25A"/>
    <w:lvl w:ilvl="0" w:tplc="26FC082A">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51834121"/>
    <w:multiLevelType w:val="hybridMultilevel"/>
    <w:tmpl w:val="FFFFFFFF"/>
    <w:lvl w:ilvl="0" w:tplc="C3E24AFE">
      <w:start w:val="1"/>
      <w:numFmt w:val="lowerLetter"/>
      <w:lvlText w:val="%1)"/>
      <w:lvlJc w:val="left"/>
      <w:pPr>
        <w:ind w:left="720" w:hanging="360"/>
      </w:pPr>
      <w:rPr>
        <w:rFonts w:ascii="Segoe UI,Times New Roman" w:hAnsi="Segoe UI,Times New Roman" w:hint="default"/>
      </w:rPr>
    </w:lvl>
    <w:lvl w:ilvl="1" w:tplc="5074C784">
      <w:start w:val="1"/>
      <w:numFmt w:val="lowerLetter"/>
      <w:lvlText w:val="%2."/>
      <w:lvlJc w:val="left"/>
      <w:pPr>
        <w:ind w:left="1440" w:hanging="360"/>
      </w:pPr>
    </w:lvl>
    <w:lvl w:ilvl="2" w:tplc="86AE3F9A">
      <w:start w:val="1"/>
      <w:numFmt w:val="lowerRoman"/>
      <w:lvlText w:val="%3."/>
      <w:lvlJc w:val="right"/>
      <w:pPr>
        <w:ind w:left="2160" w:hanging="180"/>
      </w:pPr>
    </w:lvl>
    <w:lvl w:ilvl="3" w:tplc="46CA380C">
      <w:start w:val="1"/>
      <w:numFmt w:val="decimal"/>
      <w:lvlText w:val="%4."/>
      <w:lvlJc w:val="left"/>
      <w:pPr>
        <w:ind w:left="2880" w:hanging="360"/>
      </w:pPr>
    </w:lvl>
    <w:lvl w:ilvl="4" w:tplc="7C4A8862">
      <w:start w:val="1"/>
      <w:numFmt w:val="lowerLetter"/>
      <w:lvlText w:val="%5."/>
      <w:lvlJc w:val="left"/>
      <w:pPr>
        <w:ind w:left="3600" w:hanging="360"/>
      </w:pPr>
    </w:lvl>
    <w:lvl w:ilvl="5" w:tplc="BFC22324">
      <w:start w:val="1"/>
      <w:numFmt w:val="lowerRoman"/>
      <w:lvlText w:val="%6."/>
      <w:lvlJc w:val="right"/>
      <w:pPr>
        <w:ind w:left="4320" w:hanging="180"/>
      </w:pPr>
    </w:lvl>
    <w:lvl w:ilvl="6" w:tplc="6E60ECA8">
      <w:start w:val="1"/>
      <w:numFmt w:val="decimal"/>
      <w:lvlText w:val="%7."/>
      <w:lvlJc w:val="left"/>
      <w:pPr>
        <w:ind w:left="5040" w:hanging="360"/>
      </w:pPr>
    </w:lvl>
    <w:lvl w:ilvl="7" w:tplc="89A2AFD2">
      <w:start w:val="1"/>
      <w:numFmt w:val="lowerLetter"/>
      <w:lvlText w:val="%8."/>
      <w:lvlJc w:val="left"/>
      <w:pPr>
        <w:ind w:left="5760" w:hanging="360"/>
      </w:pPr>
    </w:lvl>
    <w:lvl w:ilvl="8" w:tplc="97925230">
      <w:start w:val="1"/>
      <w:numFmt w:val="lowerRoman"/>
      <w:lvlText w:val="%9."/>
      <w:lvlJc w:val="right"/>
      <w:pPr>
        <w:ind w:left="6480" w:hanging="180"/>
      </w:pPr>
    </w:lvl>
  </w:abstractNum>
  <w:abstractNum w:abstractNumId="65" w15:restartNumberingAfterBreak="0">
    <w:nsid w:val="52000BAE"/>
    <w:multiLevelType w:val="multilevel"/>
    <w:tmpl w:val="8A1E44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2CA4687"/>
    <w:multiLevelType w:val="multilevel"/>
    <w:tmpl w:val="AF7A7E5C"/>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8E7113D"/>
    <w:multiLevelType w:val="hybridMultilevel"/>
    <w:tmpl w:val="FFFFFFFF"/>
    <w:lvl w:ilvl="0" w:tplc="AD4A8F04">
      <w:start w:val="1"/>
      <w:numFmt w:val="bullet"/>
      <w:lvlText w:val="-"/>
      <w:lvlJc w:val="left"/>
      <w:pPr>
        <w:ind w:left="720" w:hanging="360"/>
      </w:pPr>
      <w:rPr>
        <w:rFonts w:ascii="Aptos" w:hAnsi="Aptos" w:hint="default"/>
      </w:rPr>
    </w:lvl>
    <w:lvl w:ilvl="1" w:tplc="2AA6A45C">
      <w:start w:val="1"/>
      <w:numFmt w:val="bullet"/>
      <w:lvlText w:val="o"/>
      <w:lvlJc w:val="left"/>
      <w:pPr>
        <w:ind w:left="1440" w:hanging="360"/>
      </w:pPr>
      <w:rPr>
        <w:rFonts w:ascii="Courier New" w:hAnsi="Courier New" w:hint="default"/>
      </w:rPr>
    </w:lvl>
    <w:lvl w:ilvl="2" w:tplc="FC6ECE02">
      <w:start w:val="1"/>
      <w:numFmt w:val="bullet"/>
      <w:lvlText w:val=""/>
      <w:lvlJc w:val="left"/>
      <w:pPr>
        <w:ind w:left="2160" w:hanging="360"/>
      </w:pPr>
      <w:rPr>
        <w:rFonts w:ascii="Wingdings" w:hAnsi="Wingdings" w:hint="default"/>
      </w:rPr>
    </w:lvl>
    <w:lvl w:ilvl="3" w:tplc="AC0820AC">
      <w:start w:val="1"/>
      <w:numFmt w:val="bullet"/>
      <w:lvlText w:val=""/>
      <w:lvlJc w:val="left"/>
      <w:pPr>
        <w:ind w:left="2880" w:hanging="360"/>
      </w:pPr>
      <w:rPr>
        <w:rFonts w:ascii="Symbol" w:hAnsi="Symbol" w:hint="default"/>
      </w:rPr>
    </w:lvl>
    <w:lvl w:ilvl="4" w:tplc="BCD833E0">
      <w:start w:val="1"/>
      <w:numFmt w:val="bullet"/>
      <w:lvlText w:val="o"/>
      <w:lvlJc w:val="left"/>
      <w:pPr>
        <w:ind w:left="3600" w:hanging="360"/>
      </w:pPr>
      <w:rPr>
        <w:rFonts w:ascii="Courier New" w:hAnsi="Courier New" w:hint="default"/>
      </w:rPr>
    </w:lvl>
    <w:lvl w:ilvl="5" w:tplc="9000E422">
      <w:start w:val="1"/>
      <w:numFmt w:val="bullet"/>
      <w:lvlText w:val=""/>
      <w:lvlJc w:val="left"/>
      <w:pPr>
        <w:ind w:left="4320" w:hanging="360"/>
      </w:pPr>
      <w:rPr>
        <w:rFonts w:ascii="Wingdings" w:hAnsi="Wingdings" w:hint="default"/>
      </w:rPr>
    </w:lvl>
    <w:lvl w:ilvl="6" w:tplc="74E85C02">
      <w:start w:val="1"/>
      <w:numFmt w:val="bullet"/>
      <w:lvlText w:val=""/>
      <w:lvlJc w:val="left"/>
      <w:pPr>
        <w:ind w:left="5040" w:hanging="360"/>
      </w:pPr>
      <w:rPr>
        <w:rFonts w:ascii="Symbol" w:hAnsi="Symbol" w:hint="default"/>
      </w:rPr>
    </w:lvl>
    <w:lvl w:ilvl="7" w:tplc="54440BC8">
      <w:start w:val="1"/>
      <w:numFmt w:val="bullet"/>
      <w:lvlText w:val="o"/>
      <w:lvlJc w:val="left"/>
      <w:pPr>
        <w:ind w:left="5760" w:hanging="360"/>
      </w:pPr>
      <w:rPr>
        <w:rFonts w:ascii="Courier New" w:hAnsi="Courier New" w:hint="default"/>
      </w:rPr>
    </w:lvl>
    <w:lvl w:ilvl="8" w:tplc="748CA8E4">
      <w:start w:val="1"/>
      <w:numFmt w:val="bullet"/>
      <w:lvlText w:val=""/>
      <w:lvlJc w:val="left"/>
      <w:pPr>
        <w:ind w:left="6480" w:hanging="360"/>
      </w:pPr>
      <w:rPr>
        <w:rFonts w:ascii="Wingdings" w:hAnsi="Wingdings" w:hint="default"/>
      </w:rPr>
    </w:lvl>
  </w:abstractNum>
  <w:abstractNum w:abstractNumId="68" w15:restartNumberingAfterBreak="0">
    <w:nsid w:val="59165EDA"/>
    <w:multiLevelType w:val="hybridMultilevel"/>
    <w:tmpl w:val="9690B6B6"/>
    <w:lvl w:ilvl="0" w:tplc="D7AC689A">
      <w:start w:val="31"/>
      <w:numFmt w:val="bullet"/>
      <w:lvlText w:val="-"/>
      <w:lvlJc w:val="left"/>
      <w:pPr>
        <w:ind w:left="720" w:hanging="360"/>
      </w:pPr>
      <w:rPr>
        <w:rFonts w:ascii="Aptos" w:hAnsi="Aptos" w:hint="default"/>
      </w:rPr>
    </w:lvl>
    <w:lvl w:ilvl="1" w:tplc="4D947F94" w:tentative="1">
      <w:start w:val="1"/>
      <w:numFmt w:val="bullet"/>
      <w:lvlText w:val="o"/>
      <w:lvlJc w:val="left"/>
      <w:pPr>
        <w:ind w:left="1440" w:hanging="360"/>
      </w:pPr>
      <w:rPr>
        <w:rFonts w:ascii="Courier New" w:hAnsi="Courier New" w:hint="default"/>
      </w:rPr>
    </w:lvl>
    <w:lvl w:ilvl="2" w:tplc="D3667FD6" w:tentative="1">
      <w:start w:val="1"/>
      <w:numFmt w:val="bullet"/>
      <w:lvlText w:val=""/>
      <w:lvlJc w:val="left"/>
      <w:pPr>
        <w:ind w:left="2160" w:hanging="360"/>
      </w:pPr>
      <w:rPr>
        <w:rFonts w:ascii="Wingdings" w:hAnsi="Wingdings" w:hint="default"/>
      </w:rPr>
    </w:lvl>
    <w:lvl w:ilvl="3" w:tplc="A404C38E" w:tentative="1">
      <w:start w:val="1"/>
      <w:numFmt w:val="bullet"/>
      <w:lvlText w:val=""/>
      <w:lvlJc w:val="left"/>
      <w:pPr>
        <w:ind w:left="2880" w:hanging="360"/>
      </w:pPr>
      <w:rPr>
        <w:rFonts w:ascii="Symbol" w:hAnsi="Symbol" w:hint="default"/>
      </w:rPr>
    </w:lvl>
    <w:lvl w:ilvl="4" w:tplc="BDBED26A" w:tentative="1">
      <w:start w:val="1"/>
      <w:numFmt w:val="bullet"/>
      <w:lvlText w:val="o"/>
      <w:lvlJc w:val="left"/>
      <w:pPr>
        <w:ind w:left="3600" w:hanging="360"/>
      </w:pPr>
      <w:rPr>
        <w:rFonts w:ascii="Courier New" w:hAnsi="Courier New" w:hint="default"/>
      </w:rPr>
    </w:lvl>
    <w:lvl w:ilvl="5" w:tplc="A7DE7FE6" w:tentative="1">
      <w:start w:val="1"/>
      <w:numFmt w:val="bullet"/>
      <w:lvlText w:val=""/>
      <w:lvlJc w:val="left"/>
      <w:pPr>
        <w:ind w:left="4320" w:hanging="360"/>
      </w:pPr>
      <w:rPr>
        <w:rFonts w:ascii="Wingdings" w:hAnsi="Wingdings" w:hint="default"/>
      </w:rPr>
    </w:lvl>
    <w:lvl w:ilvl="6" w:tplc="14A8DCB0" w:tentative="1">
      <w:start w:val="1"/>
      <w:numFmt w:val="bullet"/>
      <w:lvlText w:val=""/>
      <w:lvlJc w:val="left"/>
      <w:pPr>
        <w:ind w:left="5040" w:hanging="360"/>
      </w:pPr>
      <w:rPr>
        <w:rFonts w:ascii="Symbol" w:hAnsi="Symbol" w:hint="default"/>
      </w:rPr>
    </w:lvl>
    <w:lvl w:ilvl="7" w:tplc="E9340386" w:tentative="1">
      <w:start w:val="1"/>
      <w:numFmt w:val="bullet"/>
      <w:lvlText w:val="o"/>
      <w:lvlJc w:val="left"/>
      <w:pPr>
        <w:ind w:left="5760" w:hanging="360"/>
      </w:pPr>
      <w:rPr>
        <w:rFonts w:ascii="Courier New" w:hAnsi="Courier New" w:hint="default"/>
      </w:rPr>
    </w:lvl>
    <w:lvl w:ilvl="8" w:tplc="87707532" w:tentative="1">
      <w:start w:val="1"/>
      <w:numFmt w:val="bullet"/>
      <w:lvlText w:val=""/>
      <w:lvlJc w:val="left"/>
      <w:pPr>
        <w:ind w:left="6480" w:hanging="360"/>
      </w:pPr>
      <w:rPr>
        <w:rFonts w:ascii="Wingdings" w:hAnsi="Wingdings" w:hint="default"/>
      </w:rPr>
    </w:lvl>
  </w:abstractNum>
  <w:abstractNum w:abstractNumId="69" w15:restartNumberingAfterBreak="0">
    <w:nsid w:val="5B0E6BFF"/>
    <w:multiLevelType w:val="hybridMultilevel"/>
    <w:tmpl w:val="BD666234"/>
    <w:lvl w:ilvl="0" w:tplc="EC308E40">
      <w:start w:val="1"/>
      <w:numFmt w:val="bullet"/>
      <w:lvlText w:val="•"/>
      <w:lvlJc w:val="left"/>
      <w:pPr>
        <w:tabs>
          <w:tab w:val="num" w:pos="720"/>
        </w:tabs>
        <w:ind w:left="720" w:hanging="360"/>
      </w:pPr>
      <w:rPr>
        <w:rFonts w:ascii="Arial" w:hAnsi="Arial" w:hint="default"/>
      </w:rPr>
    </w:lvl>
    <w:lvl w:ilvl="1" w:tplc="C874B0EA">
      <w:start w:val="1"/>
      <w:numFmt w:val="bullet"/>
      <w:lvlText w:val="•"/>
      <w:lvlJc w:val="left"/>
      <w:pPr>
        <w:tabs>
          <w:tab w:val="num" w:pos="1440"/>
        </w:tabs>
        <w:ind w:left="1440" w:hanging="360"/>
      </w:pPr>
      <w:rPr>
        <w:rFonts w:ascii="Arial" w:hAnsi="Arial" w:hint="default"/>
      </w:rPr>
    </w:lvl>
    <w:lvl w:ilvl="2" w:tplc="81BC9FA4" w:tentative="1">
      <w:start w:val="1"/>
      <w:numFmt w:val="bullet"/>
      <w:lvlText w:val="•"/>
      <w:lvlJc w:val="left"/>
      <w:pPr>
        <w:tabs>
          <w:tab w:val="num" w:pos="2160"/>
        </w:tabs>
        <w:ind w:left="2160" w:hanging="360"/>
      </w:pPr>
      <w:rPr>
        <w:rFonts w:ascii="Arial" w:hAnsi="Arial" w:hint="default"/>
      </w:rPr>
    </w:lvl>
    <w:lvl w:ilvl="3" w:tplc="FF0402BC" w:tentative="1">
      <w:start w:val="1"/>
      <w:numFmt w:val="bullet"/>
      <w:lvlText w:val="•"/>
      <w:lvlJc w:val="left"/>
      <w:pPr>
        <w:tabs>
          <w:tab w:val="num" w:pos="2880"/>
        </w:tabs>
        <w:ind w:left="2880" w:hanging="360"/>
      </w:pPr>
      <w:rPr>
        <w:rFonts w:ascii="Arial" w:hAnsi="Arial" w:hint="default"/>
      </w:rPr>
    </w:lvl>
    <w:lvl w:ilvl="4" w:tplc="6396EC20" w:tentative="1">
      <w:start w:val="1"/>
      <w:numFmt w:val="bullet"/>
      <w:lvlText w:val="•"/>
      <w:lvlJc w:val="left"/>
      <w:pPr>
        <w:tabs>
          <w:tab w:val="num" w:pos="3600"/>
        </w:tabs>
        <w:ind w:left="3600" w:hanging="360"/>
      </w:pPr>
      <w:rPr>
        <w:rFonts w:ascii="Arial" w:hAnsi="Arial" w:hint="default"/>
      </w:rPr>
    </w:lvl>
    <w:lvl w:ilvl="5" w:tplc="47F4CAB0" w:tentative="1">
      <w:start w:val="1"/>
      <w:numFmt w:val="bullet"/>
      <w:lvlText w:val="•"/>
      <w:lvlJc w:val="left"/>
      <w:pPr>
        <w:tabs>
          <w:tab w:val="num" w:pos="4320"/>
        </w:tabs>
        <w:ind w:left="4320" w:hanging="360"/>
      </w:pPr>
      <w:rPr>
        <w:rFonts w:ascii="Arial" w:hAnsi="Arial" w:hint="default"/>
      </w:rPr>
    </w:lvl>
    <w:lvl w:ilvl="6" w:tplc="60565838" w:tentative="1">
      <w:start w:val="1"/>
      <w:numFmt w:val="bullet"/>
      <w:lvlText w:val="•"/>
      <w:lvlJc w:val="left"/>
      <w:pPr>
        <w:tabs>
          <w:tab w:val="num" w:pos="5040"/>
        </w:tabs>
        <w:ind w:left="5040" w:hanging="360"/>
      </w:pPr>
      <w:rPr>
        <w:rFonts w:ascii="Arial" w:hAnsi="Arial" w:hint="default"/>
      </w:rPr>
    </w:lvl>
    <w:lvl w:ilvl="7" w:tplc="D10C4CDA" w:tentative="1">
      <w:start w:val="1"/>
      <w:numFmt w:val="bullet"/>
      <w:lvlText w:val="•"/>
      <w:lvlJc w:val="left"/>
      <w:pPr>
        <w:tabs>
          <w:tab w:val="num" w:pos="5760"/>
        </w:tabs>
        <w:ind w:left="5760" w:hanging="360"/>
      </w:pPr>
      <w:rPr>
        <w:rFonts w:ascii="Arial" w:hAnsi="Arial" w:hint="default"/>
      </w:rPr>
    </w:lvl>
    <w:lvl w:ilvl="8" w:tplc="DC262E82"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5CFC694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DA264AC"/>
    <w:multiLevelType w:val="hybridMultilevel"/>
    <w:tmpl w:val="FFFFFFFF"/>
    <w:lvl w:ilvl="0" w:tplc="0EBA40A8">
      <w:start w:val="1"/>
      <w:numFmt w:val="bullet"/>
      <w:lvlText w:val="-"/>
      <w:lvlJc w:val="left"/>
      <w:pPr>
        <w:ind w:left="720" w:hanging="360"/>
      </w:pPr>
      <w:rPr>
        <w:rFonts w:ascii="&quot;Aptos&quot;,sans-serif" w:hAnsi="&quot;Aptos&quot;,sans-serif" w:hint="default"/>
      </w:rPr>
    </w:lvl>
    <w:lvl w:ilvl="1" w:tplc="EBE8D262">
      <w:start w:val="1"/>
      <w:numFmt w:val="bullet"/>
      <w:lvlText w:val="o"/>
      <w:lvlJc w:val="left"/>
      <w:pPr>
        <w:ind w:left="1440" w:hanging="360"/>
      </w:pPr>
      <w:rPr>
        <w:rFonts w:ascii="Courier New" w:hAnsi="Courier New" w:hint="default"/>
      </w:rPr>
    </w:lvl>
    <w:lvl w:ilvl="2" w:tplc="7BFE4666">
      <w:start w:val="1"/>
      <w:numFmt w:val="bullet"/>
      <w:lvlText w:val=""/>
      <w:lvlJc w:val="left"/>
      <w:pPr>
        <w:ind w:left="2160" w:hanging="360"/>
      </w:pPr>
      <w:rPr>
        <w:rFonts w:ascii="Wingdings" w:hAnsi="Wingdings" w:hint="default"/>
      </w:rPr>
    </w:lvl>
    <w:lvl w:ilvl="3" w:tplc="35B847F0">
      <w:start w:val="1"/>
      <w:numFmt w:val="bullet"/>
      <w:lvlText w:val=""/>
      <w:lvlJc w:val="left"/>
      <w:pPr>
        <w:ind w:left="2880" w:hanging="360"/>
      </w:pPr>
      <w:rPr>
        <w:rFonts w:ascii="Symbol" w:hAnsi="Symbol" w:hint="default"/>
      </w:rPr>
    </w:lvl>
    <w:lvl w:ilvl="4" w:tplc="18CCCBAC">
      <w:start w:val="1"/>
      <w:numFmt w:val="bullet"/>
      <w:lvlText w:val="o"/>
      <w:lvlJc w:val="left"/>
      <w:pPr>
        <w:ind w:left="3600" w:hanging="360"/>
      </w:pPr>
      <w:rPr>
        <w:rFonts w:ascii="Courier New" w:hAnsi="Courier New" w:hint="default"/>
      </w:rPr>
    </w:lvl>
    <w:lvl w:ilvl="5" w:tplc="0C0A6174">
      <w:start w:val="1"/>
      <w:numFmt w:val="bullet"/>
      <w:lvlText w:val=""/>
      <w:lvlJc w:val="left"/>
      <w:pPr>
        <w:ind w:left="4320" w:hanging="360"/>
      </w:pPr>
      <w:rPr>
        <w:rFonts w:ascii="Wingdings" w:hAnsi="Wingdings" w:hint="default"/>
      </w:rPr>
    </w:lvl>
    <w:lvl w:ilvl="6" w:tplc="36A6ED34">
      <w:start w:val="1"/>
      <w:numFmt w:val="bullet"/>
      <w:lvlText w:val=""/>
      <w:lvlJc w:val="left"/>
      <w:pPr>
        <w:ind w:left="5040" w:hanging="360"/>
      </w:pPr>
      <w:rPr>
        <w:rFonts w:ascii="Symbol" w:hAnsi="Symbol" w:hint="default"/>
      </w:rPr>
    </w:lvl>
    <w:lvl w:ilvl="7" w:tplc="70560772">
      <w:start w:val="1"/>
      <w:numFmt w:val="bullet"/>
      <w:lvlText w:val="o"/>
      <w:lvlJc w:val="left"/>
      <w:pPr>
        <w:ind w:left="5760" w:hanging="360"/>
      </w:pPr>
      <w:rPr>
        <w:rFonts w:ascii="Courier New" w:hAnsi="Courier New" w:hint="default"/>
      </w:rPr>
    </w:lvl>
    <w:lvl w:ilvl="8" w:tplc="1146E886">
      <w:start w:val="1"/>
      <w:numFmt w:val="bullet"/>
      <w:lvlText w:val=""/>
      <w:lvlJc w:val="left"/>
      <w:pPr>
        <w:ind w:left="6480" w:hanging="360"/>
      </w:pPr>
      <w:rPr>
        <w:rFonts w:ascii="Wingdings" w:hAnsi="Wingdings" w:hint="default"/>
      </w:rPr>
    </w:lvl>
  </w:abstractNum>
  <w:abstractNum w:abstractNumId="72" w15:restartNumberingAfterBreak="0">
    <w:nsid w:val="5E273CC6"/>
    <w:multiLevelType w:val="hybridMultilevel"/>
    <w:tmpl w:val="FFFFFFFF"/>
    <w:lvl w:ilvl="0" w:tplc="CFB61CA8">
      <w:start w:val="1"/>
      <w:numFmt w:val="bullet"/>
      <w:lvlText w:val=""/>
      <w:lvlJc w:val="left"/>
      <w:pPr>
        <w:ind w:left="720" w:hanging="360"/>
      </w:pPr>
      <w:rPr>
        <w:rFonts w:ascii="Symbol" w:hAnsi="Symbol" w:hint="default"/>
      </w:rPr>
    </w:lvl>
    <w:lvl w:ilvl="1" w:tplc="BCD8511E">
      <w:start w:val="1"/>
      <w:numFmt w:val="bullet"/>
      <w:lvlText w:val="o"/>
      <w:lvlJc w:val="left"/>
      <w:pPr>
        <w:ind w:left="1440" w:hanging="360"/>
      </w:pPr>
      <w:rPr>
        <w:rFonts w:ascii="Courier New" w:hAnsi="Courier New" w:hint="default"/>
      </w:rPr>
    </w:lvl>
    <w:lvl w:ilvl="2" w:tplc="713435B2">
      <w:start w:val="1"/>
      <w:numFmt w:val="bullet"/>
      <w:lvlText w:val=""/>
      <w:lvlJc w:val="left"/>
      <w:pPr>
        <w:ind w:left="2160" w:hanging="360"/>
      </w:pPr>
      <w:rPr>
        <w:rFonts w:ascii="Wingdings" w:hAnsi="Wingdings" w:hint="default"/>
      </w:rPr>
    </w:lvl>
    <w:lvl w:ilvl="3" w:tplc="768C77DC">
      <w:start w:val="1"/>
      <w:numFmt w:val="bullet"/>
      <w:lvlText w:val=""/>
      <w:lvlJc w:val="left"/>
      <w:pPr>
        <w:ind w:left="2880" w:hanging="360"/>
      </w:pPr>
      <w:rPr>
        <w:rFonts w:ascii="Symbol" w:hAnsi="Symbol" w:hint="default"/>
      </w:rPr>
    </w:lvl>
    <w:lvl w:ilvl="4" w:tplc="AABEC33A">
      <w:start w:val="1"/>
      <w:numFmt w:val="bullet"/>
      <w:lvlText w:val="o"/>
      <w:lvlJc w:val="left"/>
      <w:pPr>
        <w:ind w:left="3600" w:hanging="360"/>
      </w:pPr>
      <w:rPr>
        <w:rFonts w:ascii="Courier New" w:hAnsi="Courier New" w:hint="default"/>
      </w:rPr>
    </w:lvl>
    <w:lvl w:ilvl="5" w:tplc="40126862">
      <w:start w:val="1"/>
      <w:numFmt w:val="bullet"/>
      <w:lvlText w:val=""/>
      <w:lvlJc w:val="left"/>
      <w:pPr>
        <w:ind w:left="4320" w:hanging="360"/>
      </w:pPr>
      <w:rPr>
        <w:rFonts w:ascii="Wingdings" w:hAnsi="Wingdings" w:hint="default"/>
      </w:rPr>
    </w:lvl>
    <w:lvl w:ilvl="6" w:tplc="EB70BA18">
      <w:start w:val="1"/>
      <w:numFmt w:val="bullet"/>
      <w:lvlText w:val=""/>
      <w:lvlJc w:val="left"/>
      <w:pPr>
        <w:ind w:left="5040" w:hanging="360"/>
      </w:pPr>
      <w:rPr>
        <w:rFonts w:ascii="Symbol" w:hAnsi="Symbol" w:hint="default"/>
      </w:rPr>
    </w:lvl>
    <w:lvl w:ilvl="7" w:tplc="BE845076">
      <w:start w:val="1"/>
      <w:numFmt w:val="bullet"/>
      <w:lvlText w:val="o"/>
      <w:lvlJc w:val="left"/>
      <w:pPr>
        <w:ind w:left="5760" w:hanging="360"/>
      </w:pPr>
      <w:rPr>
        <w:rFonts w:ascii="Courier New" w:hAnsi="Courier New" w:hint="default"/>
      </w:rPr>
    </w:lvl>
    <w:lvl w:ilvl="8" w:tplc="4426F9AE">
      <w:start w:val="1"/>
      <w:numFmt w:val="bullet"/>
      <w:lvlText w:val=""/>
      <w:lvlJc w:val="left"/>
      <w:pPr>
        <w:ind w:left="6480" w:hanging="360"/>
      </w:pPr>
      <w:rPr>
        <w:rFonts w:ascii="Wingdings" w:hAnsi="Wingdings" w:hint="default"/>
      </w:rPr>
    </w:lvl>
  </w:abstractNum>
  <w:abstractNum w:abstractNumId="73" w15:restartNumberingAfterBreak="0">
    <w:nsid w:val="5E522553"/>
    <w:multiLevelType w:val="multilevel"/>
    <w:tmpl w:val="FFFFFFF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601B3A4F"/>
    <w:multiLevelType w:val="hybridMultilevel"/>
    <w:tmpl w:val="90EE6E42"/>
    <w:lvl w:ilvl="0" w:tplc="BBBE0E64">
      <w:numFmt w:val="bullet"/>
      <w:lvlText w:val="-"/>
      <w:lvlJc w:val="left"/>
      <w:pPr>
        <w:ind w:left="720" w:hanging="360"/>
      </w:pPr>
      <w:rPr>
        <w:rFonts w:ascii="Times New Roman" w:eastAsiaTheme="minorHAnsi" w:hAnsi="Times New Roman"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60F85567"/>
    <w:multiLevelType w:val="multilevel"/>
    <w:tmpl w:val="5A12F49C"/>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decimal"/>
      <w:lvlText w:val="%1.%2.%3.%4."/>
      <w:lvlJc w:val="left"/>
      <w:pPr>
        <w:ind w:left="29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25C39DF"/>
    <w:multiLevelType w:val="hybridMultilevel"/>
    <w:tmpl w:val="D02A65F0"/>
    <w:lvl w:ilvl="0" w:tplc="3D5A09C2">
      <w:start w:val="1"/>
      <w:numFmt w:val="bullet"/>
      <w:lvlText w:val="•"/>
      <w:lvlJc w:val="left"/>
      <w:pPr>
        <w:tabs>
          <w:tab w:val="num" w:pos="720"/>
        </w:tabs>
        <w:ind w:left="720" w:hanging="360"/>
      </w:pPr>
      <w:rPr>
        <w:rFonts w:ascii="Arial" w:hAnsi="Arial" w:hint="default"/>
      </w:rPr>
    </w:lvl>
    <w:lvl w:ilvl="1" w:tplc="90DE181C">
      <w:start w:val="1"/>
      <w:numFmt w:val="bullet"/>
      <w:lvlText w:val="•"/>
      <w:lvlJc w:val="left"/>
      <w:pPr>
        <w:tabs>
          <w:tab w:val="num" w:pos="1440"/>
        </w:tabs>
        <w:ind w:left="1440" w:hanging="360"/>
      </w:pPr>
      <w:rPr>
        <w:rFonts w:ascii="Arial" w:hAnsi="Arial" w:hint="default"/>
      </w:rPr>
    </w:lvl>
    <w:lvl w:ilvl="2" w:tplc="3B661072" w:tentative="1">
      <w:start w:val="1"/>
      <w:numFmt w:val="bullet"/>
      <w:lvlText w:val="•"/>
      <w:lvlJc w:val="left"/>
      <w:pPr>
        <w:tabs>
          <w:tab w:val="num" w:pos="2160"/>
        </w:tabs>
        <w:ind w:left="2160" w:hanging="360"/>
      </w:pPr>
      <w:rPr>
        <w:rFonts w:ascii="Arial" w:hAnsi="Arial" w:hint="default"/>
      </w:rPr>
    </w:lvl>
    <w:lvl w:ilvl="3" w:tplc="6CE2BAC0" w:tentative="1">
      <w:start w:val="1"/>
      <w:numFmt w:val="bullet"/>
      <w:lvlText w:val="•"/>
      <w:lvlJc w:val="left"/>
      <w:pPr>
        <w:tabs>
          <w:tab w:val="num" w:pos="2880"/>
        </w:tabs>
        <w:ind w:left="2880" w:hanging="360"/>
      </w:pPr>
      <w:rPr>
        <w:rFonts w:ascii="Arial" w:hAnsi="Arial" w:hint="default"/>
      </w:rPr>
    </w:lvl>
    <w:lvl w:ilvl="4" w:tplc="08947088" w:tentative="1">
      <w:start w:val="1"/>
      <w:numFmt w:val="bullet"/>
      <w:lvlText w:val="•"/>
      <w:lvlJc w:val="left"/>
      <w:pPr>
        <w:tabs>
          <w:tab w:val="num" w:pos="3600"/>
        </w:tabs>
        <w:ind w:left="3600" w:hanging="360"/>
      </w:pPr>
      <w:rPr>
        <w:rFonts w:ascii="Arial" w:hAnsi="Arial" w:hint="default"/>
      </w:rPr>
    </w:lvl>
    <w:lvl w:ilvl="5" w:tplc="6E10EA18" w:tentative="1">
      <w:start w:val="1"/>
      <w:numFmt w:val="bullet"/>
      <w:lvlText w:val="•"/>
      <w:lvlJc w:val="left"/>
      <w:pPr>
        <w:tabs>
          <w:tab w:val="num" w:pos="4320"/>
        </w:tabs>
        <w:ind w:left="4320" w:hanging="360"/>
      </w:pPr>
      <w:rPr>
        <w:rFonts w:ascii="Arial" w:hAnsi="Arial" w:hint="default"/>
      </w:rPr>
    </w:lvl>
    <w:lvl w:ilvl="6" w:tplc="1B062F22" w:tentative="1">
      <w:start w:val="1"/>
      <w:numFmt w:val="bullet"/>
      <w:lvlText w:val="•"/>
      <w:lvlJc w:val="left"/>
      <w:pPr>
        <w:tabs>
          <w:tab w:val="num" w:pos="5040"/>
        </w:tabs>
        <w:ind w:left="5040" w:hanging="360"/>
      </w:pPr>
      <w:rPr>
        <w:rFonts w:ascii="Arial" w:hAnsi="Arial" w:hint="default"/>
      </w:rPr>
    </w:lvl>
    <w:lvl w:ilvl="7" w:tplc="8496CF06" w:tentative="1">
      <w:start w:val="1"/>
      <w:numFmt w:val="bullet"/>
      <w:lvlText w:val="•"/>
      <w:lvlJc w:val="left"/>
      <w:pPr>
        <w:tabs>
          <w:tab w:val="num" w:pos="5760"/>
        </w:tabs>
        <w:ind w:left="5760" w:hanging="360"/>
      </w:pPr>
      <w:rPr>
        <w:rFonts w:ascii="Arial" w:hAnsi="Arial" w:hint="default"/>
      </w:rPr>
    </w:lvl>
    <w:lvl w:ilvl="8" w:tplc="C10099FE"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634F7DA9"/>
    <w:multiLevelType w:val="hybridMultilevel"/>
    <w:tmpl w:val="FFFFFFFF"/>
    <w:lvl w:ilvl="0" w:tplc="1D1AF1B0">
      <w:start w:val="1"/>
      <w:numFmt w:val="lowerLetter"/>
      <w:lvlText w:val="%1)"/>
      <w:lvlJc w:val="left"/>
      <w:pPr>
        <w:ind w:left="720" w:hanging="360"/>
      </w:pPr>
      <w:rPr>
        <w:rFonts w:ascii="Segoe UI,Times New Roman" w:hAnsi="Segoe UI,Times New Roman" w:hint="default"/>
      </w:rPr>
    </w:lvl>
    <w:lvl w:ilvl="1" w:tplc="9B8E1392">
      <w:start w:val="1"/>
      <w:numFmt w:val="lowerLetter"/>
      <w:lvlText w:val="%2."/>
      <w:lvlJc w:val="left"/>
      <w:pPr>
        <w:ind w:left="1440" w:hanging="360"/>
      </w:pPr>
    </w:lvl>
    <w:lvl w:ilvl="2" w:tplc="4642D778">
      <w:start w:val="1"/>
      <w:numFmt w:val="lowerRoman"/>
      <w:lvlText w:val="%3."/>
      <w:lvlJc w:val="right"/>
      <w:pPr>
        <w:ind w:left="2160" w:hanging="180"/>
      </w:pPr>
    </w:lvl>
    <w:lvl w:ilvl="3" w:tplc="D5F0118E">
      <w:start w:val="1"/>
      <w:numFmt w:val="decimal"/>
      <w:lvlText w:val="%4."/>
      <w:lvlJc w:val="left"/>
      <w:pPr>
        <w:ind w:left="2880" w:hanging="360"/>
      </w:pPr>
    </w:lvl>
    <w:lvl w:ilvl="4" w:tplc="CF242416">
      <w:start w:val="1"/>
      <w:numFmt w:val="lowerLetter"/>
      <w:lvlText w:val="%5."/>
      <w:lvlJc w:val="left"/>
      <w:pPr>
        <w:ind w:left="3600" w:hanging="360"/>
      </w:pPr>
    </w:lvl>
    <w:lvl w:ilvl="5" w:tplc="A4606FE0">
      <w:start w:val="1"/>
      <w:numFmt w:val="lowerRoman"/>
      <w:lvlText w:val="%6."/>
      <w:lvlJc w:val="right"/>
      <w:pPr>
        <w:ind w:left="4320" w:hanging="180"/>
      </w:pPr>
    </w:lvl>
    <w:lvl w:ilvl="6" w:tplc="532076A2">
      <w:start w:val="1"/>
      <w:numFmt w:val="decimal"/>
      <w:lvlText w:val="%7."/>
      <w:lvlJc w:val="left"/>
      <w:pPr>
        <w:ind w:left="5040" w:hanging="360"/>
      </w:pPr>
    </w:lvl>
    <w:lvl w:ilvl="7" w:tplc="B492CF42">
      <w:start w:val="1"/>
      <w:numFmt w:val="lowerLetter"/>
      <w:lvlText w:val="%8."/>
      <w:lvlJc w:val="left"/>
      <w:pPr>
        <w:ind w:left="5760" w:hanging="360"/>
      </w:pPr>
    </w:lvl>
    <w:lvl w:ilvl="8" w:tplc="9FCCCB4C">
      <w:start w:val="1"/>
      <w:numFmt w:val="lowerRoman"/>
      <w:lvlText w:val="%9."/>
      <w:lvlJc w:val="right"/>
      <w:pPr>
        <w:ind w:left="6480" w:hanging="180"/>
      </w:pPr>
    </w:lvl>
  </w:abstractNum>
  <w:abstractNum w:abstractNumId="78" w15:restartNumberingAfterBreak="0">
    <w:nsid w:val="63D706EB"/>
    <w:multiLevelType w:val="multilevel"/>
    <w:tmpl w:val="07164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54B356D"/>
    <w:multiLevelType w:val="multilevel"/>
    <w:tmpl w:val="2A6CF72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bullet"/>
      <w:lvlText w:val=""/>
      <w:lvlJc w:val="left"/>
      <w:pPr>
        <w:ind w:left="1800" w:hanging="360"/>
      </w:pPr>
      <w:rPr>
        <w:rFonts w:ascii="Symbol" w:hAnsi="Symbol" w:hint="default"/>
      </w:r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0" w15:restartNumberingAfterBreak="0">
    <w:nsid w:val="656F27E9"/>
    <w:multiLevelType w:val="hybridMultilevel"/>
    <w:tmpl w:val="B25AC5C0"/>
    <w:lvl w:ilvl="0" w:tplc="E6B2F8A8">
      <w:start w:val="1"/>
      <w:numFmt w:val="bullet"/>
      <w:lvlText w:val="-"/>
      <w:lvlJc w:val="left"/>
      <w:pPr>
        <w:ind w:left="360" w:hanging="360"/>
      </w:pPr>
      <w:rPr>
        <w:rFonts w:ascii="Aptos" w:hAnsi="Aptos" w:hint="default"/>
      </w:rPr>
    </w:lvl>
    <w:lvl w:ilvl="1" w:tplc="08121BD4">
      <w:start w:val="1"/>
      <w:numFmt w:val="bullet"/>
      <w:lvlText w:val=""/>
      <w:lvlJc w:val="left"/>
      <w:pPr>
        <w:ind w:left="1080" w:hanging="360"/>
      </w:pPr>
      <w:rPr>
        <w:rFonts w:ascii="Symbol" w:hAnsi="Symbol" w:hint="default"/>
      </w:rPr>
    </w:lvl>
    <w:lvl w:ilvl="2" w:tplc="143EE866">
      <w:start w:val="1"/>
      <w:numFmt w:val="bullet"/>
      <w:lvlText w:val=""/>
      <w:lvlJc w:val="left"/>
      <w:pPr>
        <w:ind w:left="1800" w:hanging="360"/>
      </w:pPr>
      <w:rPr>
        <w:rFonts w:ascii="Wingdings" w:hAnsi="Wingdings" w:hint="default"/>
      </w:rPr>
    </w:lvl>
    <w:lvl w:ilvl="3" w:tplc="48C4EC74">
      <w:start w:val="1"/>
      <w:numFmt w:val="bullet"/>
      <w:lvlText w:val=""/>
      <w:lvlJc w:val="left"/>
      <w:pPr>
        <w:ind w:left="2520" w:hanging="360"/>
      </w:pPr>
      <w:rPr>
        <w:rFonts w:ascii="Symbol" w:hAnsi="Symbol" w:hint="default"/>
      </w:rPr>
    </w:lvl>
    <w:lvl w:ilvl="4" w:tplc="AD9A80B4">
      <w:start w:val="1"/>
      <w:numFmt w:val="bullet"/>
      <w:lvlText w:val="o"/>
      <w:lvlJc w:val="left"/>
      <w:pPr>
        <w:ind w:left="3240" w:hanging="360"/>
      </w:pPr>
      <w:rPr>
        <w:rFonts w:ascii="Courier New" w:hAnsi="Courier New" w:hint="default"/>
      </w:rPr>
    </w:lvl>
    <w:lvl w:ilvl="5" w:tplc="0B540A26">
      <w:start w:val="1"/>
      <w:numFmt w:val="bullet"/>
      <w:lvlText w:val=""/>
      <w:lvlJc w:val="left"/>
      <w:pPr>
        <w:ind w:left="3960" w:hanging="360"/>
      </w:pPr>
      <w:rPr>
        <w:rFonts w:ascii="Wingdings" w:hAnsi="Wingdings" w:hint="default"/>
      </w:rPr>
    </w:lvl>
    <w:lvl w:ilvl="6" w:tplc="9D8EFDEA">
      <w:start w:val="1"/>
      <w:numFmt w:val="bullet"/>
      <w:lvlText w:val=""/>
      <w:lvlJc w:val="left"/>
      <w:pPr>
        <w:ind w:left="4680" w:hanging="360"/>
      </w:pPr>
      <w:rPr>
        <w:rFonts w:ascii="Symbol" w:hAnsi="Symbol" w:hint="default"/>
      </w:rPr>
    </w:lvl>
    <w:lvl w:ilvl="7" w:tplc="C3FAC6D0">
      <w:start w:val="1"/>
      <w:numFmt w:val="bullet"/>
      <w:lvlText w:val="o"/>
      <w:lvlJc w:val="left"/>
      <w:pPr>
        <w:ind w:left="5400" w:hanging="360"/>
      </w:pPr>
      <w:rPr>
        <w:rFonts w:ascii="Courier New" w:hAnsi="Courier New" w:hint="default"/>
      </w:rPr>
    </w:lvl>
    <w:lvl w:ilvl="8" w:tplc="8E98CAF4">
      <w:start w:val="1"/>
      <w:numFmt w:val="bullet"/>
      <w:lvlText w:val=""/>
      <w:lvlJc w:val="left"/>
      <w:pPr>
        <w:ind w:left="6120" w:hanging="360"/>
      </w:pPr>
      <w:rPr>
        <w:rFonts w:ascii="Wingdings" w:hAnsi="Wingdings" w:hint="default"/>
      </w:rPr>
    </w:lvl>
  </w:abstractNum>
  <w:abstractNum w:abstractNumId="81" w15:restartNumberingAfterBreak="0">
    <w:nsid w:val="657BAA64"/>
    <w:multiLevelType w:val="hybridMultilevel"/>
    <w:tmpl w:val="DD9AFE34"/>
    <w:lvl w:ilvl="0" w:tplc="C026E24C">
      <w:start w:val="1"/>
      <w:numFmt w:val="bullet"/>
      <w:lvlText w:val="-"/>
      <w:lvlJc w:val="left"/>
      <w:pPr>
        <w:ind w:left="720" w:hanging="360"/>
      </w:pPr>
      <w:rPr>
        <w:rFonts w:ascii="Aptos" w:hAnsi="Aptos" w:hint="default"/>
      </w:rPr>
    </w:lvl>
    <w:lvl w:ilvl="1" w:tplc="055AB884">
      <w:start w:val="1"/>
      <w:numFmt w:val="bullet"/>
      <w:lvlText w:val="o"/>
      <w:lvlJc w:val="left"/>
      <w:pPr>
        <w:ind w:left="1440" w:hanging="360"/>
      </w:pPr>
      <w:rPr>
        <w:rFonts w:ascii="Courier New" w:hAnsi="Courier New" w:hint="default"/>
      </w:rPr>
    </w:lvl>
    <w:lvl w:ilvl="2" w:tplc="41909B6C">
      <w:start w:val="1"/>
      <w:numFmt w:val="bullet"/>
      <w:lvlText w:val=""/>
      <w:lvlJc w:val="left"/>
      <w:pPr>
        <w:ind w:left="2160" w:hanging="360"/>
      </w:pPr>
      <w:rPr>
        <w:rFonts w:ascii="Wingdings" w:hAnsi="Wingdings" w:hint="default"/>
      </w:rPr>
    </w:lvl>
    <w:lvl w:ilvl="3" w:tplc="132CD40C">
      <w:start w:val="1"/>
      <w:numFmt w:val="bullet"/>
      <w:lvlText w:val=""/>
      <w:lvlJc w:val="left"/>
      <w:pPr>
        <w:ind w:left="2880" w:hanging="360"/>
      </w:pPr>
      <w:rPr>
        <w:rFonts w:ascii="Symbol" w:hAnsi="Symbol" w:hint="default"/>
      </w:rPr>
    </w:lvl>
    <w:lvl w:ilvl="4" w:tplc="57B67A3A">
      <w:start w:val="1"/>
      <w:numFmt w:val="bullet"/>
      <w:lvlText w:val="o"/>
      <w:lvlJc w:val="left"/>
      <w:pPr>
        <w:ind w:left="3600" w:hanging="360"/>
      </w:pPr>
      <w:rPr>
        <w:rFonts w:ascii="Courier New" w:hAnsi="Courier New" w:hint="default"/>
      </w:rPr>
    </w:lvl>
    <w:lvl w:ilvl="5" w:tplc="7556EE66">
      <w:start w:val="1"/>
      <w:numFmt w:val="bullet"/>
      <w:lvlText w:val=""/>
      <w:lvlJc w:val="left"/>
      <w:pPr>
        <w:ind w:left="4320" w:hanging="360"/>
      </w:pPr>
      <w:rPr>
        <w:rFonts w:ascii="Wingdings" w:hAnsi="Wingdings" w:hint="default"/>
      </w:rPr>
    </w:lvl>
    <w:lvl w:ilvl="6" w:tplc="5B589802">
      <w:start w:val="1"/>
      <w:numFmt w:val="bullet"/>
      <w:lvlText w:val=""/>
      <w:lvlJc w:val="left"/>
      <w:pPr>
        <w:ind w:left="5040" w:hanging="360"/>
      </w:pPr>
      <w:rPr>
        <w:rFonts w:ascii="Symbol" w:hAnsi="Symbol" w:hint="default"/>
      </w:rPr>
    </w:lvl>
    <w:lvl w:ilvl="7" w:tplc="0C06BC30">
      <w:start w:val="1"/>
      <w:numFmt w:val="bullet"/>
      <w:lvlText w:val="o"/>
      <w:lvlJc w:val="left"/>
      <w:pPr>
        <w:ind w:left="5760" w:hanging="360"/>
      </w:pPr>
      <w:rPr>
        <w:rFonts w:ascii="Courier New" w:hAnsi="Courier New" w:hint="default"/>
      </w:rPr>
    </w:lvl>
    <w:lvl w:ilvl="8" w:tplc="0EE6F9D6">
      <w:start w:val="1"/>
      <w:numFmt w:val="bullet"/>
      <w:lvlText w:val=""/>
      <w:lvlJc w:val="left"/>
      <w:pPr>
        <w:ind w:left="6480" w:hanging="360"/>
      </w:pPr>
      <w:rPr>
        <w:rFonts w:ascii="Wingdings" w:hAnsi="Wingdings" w:hint="default"/>
      </w:rPr>
    </w:lvl>
  </w:abstractNum>
  <w:abstractNum w:abstractNumId="82" w15:restartNumberingAfterBreak="0">
    <w:nsid w:val="669365D8"/>
    <w:multiLevelType w:val="hybridMultilevel"/>
    <w:tmpl w:val="D54EB68C"/>
    <w:lvl w:ilvl="0" w:tplc="7BA27662">
      <w:numFmt w:val="bullet"/>
      <w:lvlText w:val="-"/>
      <w:lvlJc w:val="left"/>
      <w:pPr>
        <w:ind w:left="2138" w:hanging="360"/>
      </w:pPr>
      <w:rPr>
        <w:rFonts w:ascii="Aptos" w:hAnsi="Aptos" w:hint="default"/>
      </w:rPr>
    </w:lvl>
    <w:lvl w:ilvl="1" w:tplc="F8A0C41C" w:tentative="1">
      <w:start w:val="1"/>
      <w:numFmt w:val="bullet"/>
      <w:lvlText w:val="o"/>
      <w:lvlJc w:val="left"/>
      <w:pPr>
        <w:ind w:left="2858" w:hanging="360"/>
      </w:pPr>
      <w:rPr>
        <w:rFonts w:ascii="Courier New" w:hAnsi="Courier New" w:hint="default"/>
      </w:rPr>
    </w:lvl>
    <w:lvl w:ilvl="2" w:tplc="00AC35E2" w:tentative="1">
      <w:start w:val="1"/>
      <w:numFmt w:val="bullet"/>
      <w:lvlText w:val=""/>
      <w:lvlJc w:val="left"/>
      <w:pPr>
        <w:ind w:left="3578" w:hanging="360"/>
      </w:pPr>
      <w:rPr>
        <w:rFonts w:ascii="Wingdings" w:hAnsi="Wingdings" w:hint="default"/>
      </w:rPr>
    </w:lvl>
    <w:lvl w:ilvl="3" w:tplc="80048ED8" w:tentative="1">
      <w:start w:val="1"/>
      <w:numFmt w:val="bullet"/>
      <w:lvlText w:val=""/>
      <w:lvlJc w:val="left"/>
      <w:pPr>
        <w:ind w:left="4298" w:hanging="360"/>
      </w:pPr>
      <w:rPr>
        <w:rFonts w:ascii="Symbol" w:hAnsi="Symbol" w:hint="default"/>
      </w:rPr>
    </w:lvl>
    <w:lvl w:ilvl="4" w:tplc="A0C89E94" w:tentative="1">
      <w:start w:val="1"/>
      <w:numFmt w:val="bullet"/>
      <w:lvlText w:val="o"/>
      <w:lvlJc w:val="left"/>
      <w:pPr>
        <w:ind w:left="5018" w:hanging="360"/>
      </w:pPr>
      <w:rPr>
        <w:rFonts w:ascii="Courier New" w:hAnsi="Courier New" w:hint="default"/>
      </w:rPr>
    </w:lvl>
    <w:lvl w:ilvl="5" w:tplc="2C38E58C" w:tentative="1">
      <w:start w:val="1"/>
      <w:numFmt w:val="bullet"/>
      <w:lvlText w:val=""/>
      <w:lvlJc w:val="left"/>
      <w:pPr>
        <w:ind w:left="5738" w:hanging="360"/>
      </w:pPr>
      <w:rPr>
        <w:rFonts w:ascii="Wingdings" w:hAnsi="Wingdings" w:hint="default"/>
      </w:rPr>
    </w:lvl>
    <w:lvl w:ilvl="6" w:tplc="D734740C" w:tentative="1">
      <w:start w:val="1"/>
      <w:numFmt w:val="bullet"/>
      <w:lvlText w:val=""/>
      <w:lvlJc w:val="left"/>
      <w:pPr>
        <w:ind w:left="6458" w:hanging="360"/>
      </w:pPr>
      <w:rPr>
        <w:rFonts w:ascii="Symbol" w:hAnsi="Symbol" w:hint="default"/>
      </w:rPr>
    </w:lvl>
    <w:lvl w:ilvl="7" w:tplc="56124168" w:tentative="1">
      <w:start w:val="1"/>
      <w:numFmt w:val="bullet"/>
      <w:lvlText w:val="o"/>
      <w:lvlJc w:val="left"/>
      <w:pPr>
        <w:ind w:left="7178" w:hanging="360"/>
      </w:pPr>
      <w:rPr>
        <w:rFonts w:ascii="Courier New" w:hAnsi="Courier New" w:hint="default"/>
      </w:rPr>
    </w:lvl>
    <w:lvl w:ilvl="8" w:tplc="A5E28060" w:tentative="1">
      <w:start w:val="1"/>
      <w:numFmt w:val="bullet"/>
      <w:lvlText w:val=""/>
      <w:lvlJc w:val="left"/>
      <w:pPr>
        <w:ind w:left="7898" w:hanging="360"/>
      </w:pPr>
      <w:rPr>
        <w:rFonts w:ascii="Wingdings" w:hAnsi="Wingdings" w:hint="default"/>
      </w:rPr>
    </w:lvl>
  </w:abstractNum>
  <w:abstractNum w:abstractNumId="83" w15:restartNumberingAfterBreak="0">
    <w:nsid w:val="685D0330"/>
    <w:multiLevelType w:val="hybridMultilevel"/>
    <w:tmpl w:val="FFFFFFFF"/>
    <w:lvl w:ilvl="0" w:tplc="1608880C">
      <w:start w:val="1"/>
      <w:numFmt w:val="bullet"/>
      <w:lvlText w:val="-"/>
      <w:lvlJc w:val="left"/>
      <w:pPr>
        <w:ind w:left="720" w:hanging="360"/>
      </w:pPr>
      <w:rPr>
        <w:rFonts w:ascii="Symbol" w:hAnsi="Symbol" w:hint="default"/>
      </w:rPr>
    </w:lvl>
    <w:lvl w:ilvl="1" w:tplc="AFDC2FAE">
      <w:start w:val="1"/>
      <w:numFmt w:val="bullet"/>
      <w:lvlText w:val="o"/>
      <w:lvlJc w:val="left"/>
      <w:pPr>
        <w:ind w:left="1440" w:hanging="360"/>
      </w:pPr>
      <w:rPr>
        <w:rFonts w:ascii="Courier New" w:hAnsi="Courier New" w:hint="default"/>
      </w:rPr>
    </w:lvl>
    <w:lvl w:ilvl="2" w:tplc="9E1075D6">
      <w:start w:val="1"/>
      <w:numFmt w:val="bullet"/>
      <w:lvlText w:val=""/>
      <w:lvlJc w:val="left"/>
      <w:pPr>
        <w:ind w:left="2160" w:hanging="360"/>
      </w:pPr>
      <w:rPr>
        <w:rFonts w:ascii="Wingdings" w:hAnsi="Wingdings" w:hint="default"/>
      </w:rPr>
    </w:lvl>
    <w:lvl w:ilvl="3" w:tplc="F162E656">
      <w:start w:val="1"/>
      <w:numFmt w:val="bullet"/>
      <w:lvlText w:val=""/>
      <w:lvlJc w:val="left"/>
      <w:pPr>
        <w:ind w:left="2880" w:hanging="360"/>
      </w:pPr>
      <w:rPr>
        <w:rFonts w:ascii="Symbol" w:hAnsi="Symbol" w:hint="default"/>
      </w:rPr>
    </w:lvl>
    <w:lvl w:ilvl="4" w:tplc="F992E6C4">
      <w:start w:val="1"/>
      <w:numFmt w:val="bullet"/>
      <w:lvlText w:val="o"/>
      <w:lvlJc w:val="left"/>
      <w:pPr>
        <w:ind w:left="3600" w:hanging="360"/>
      </w:pPr>
      <w:rPr>
        <w:rFonts w:ascii="Courier New" w:hAnsi="Courier New" w:hint="default"/>
      </w:rPr>
    </w:lvl>
    <w:lvl w:ilvl="5" w:tplc="945C1218">
      <w:start w:val="1"/>
      <w:numFmt w:val="bullet"/>
      <w:lvlText w:val=""/>
      <w:lvlJc w:val="left"/>
      <w:pPr>
        <w:ind w:left="4320" w:hanging="360"/>
      </w:pPr>
      <w:rPr>
        <w:rFonts w:ascii="Wingdings" w:hAnsi="Wingdings" w:hint="default"/>
      </w:rPr>
    </w:lvl>
    <w:lvl w:ilvl="6" w:tplc="A308F50A">
      <w:start w:val="1"/>
      <w:numFmt w:val="bullet"/>
      <w:lvlText w:val=""/>
      <w:lvlJc w:val="left"/>
      <w:pPr>
        <w:ind w:left="5040" w:hanging="360"/>
      </w:pPr>
      <w:rPr>
        <w:rFonts w:ascii="Symbol" w:hAnsi="Symbol" w:hint="default"/>
      </w:rPr>
    </w:lvl>
    <w:lvl w:ilvl="7" w:tplc="31223854">
      <w:start w:val="1"/>
      <w:numFmt w:val="bullet"/>
      <w:lvlText w:val="o"/>
      <w:lvlJc w:val="left"/>
      <w:pPr>
        <w:ind w:left="5760" w:hanging="360"/>
      </w:pPr>
      <w:rPr>
        <w:rFonts w:ascii="Courier New" w:hAnsi="Courier New" w:hint="default"/>
      </w:rPr>
    </w:lvl>
    <w:lvl w:ilvl="8" w:tplc="57FCEF0E">
      <w:start w:val="1"/>
      <w:numFmt w:val="bullet"/>
      <w:lvlText w:val=""/>
      <w:lvlJc w:val="left"/>
      <w:pPr>
        <w:ind w:left="6480" w:hanging="360"/>
      </w:pPr>
      <w:rPr>
        <w:rFonts w:ascii="Wingdings" w:hAnsi="Wingdings" w:hint="default"/>
      </w:rPr>
    </w:lvl>
  </w:abstractNum>
  <w:abstractNum w:abstractNumId="84" w15:restartNumberingAfterBreak="0">
    <w:nsid w:val="69396F26"/>
    <w:multiLevelType w:val="multilevel"/>
    <w:tmpl w:val="2A405CB6"/>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9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69400D0A"/>
    <w:multiLevelType w:val="hybridMultilevel"/>
    <w:tmpl w:val="EC68E16A"/>
    <w:lvl w:ilvl="0" w:tplc="D07E1C02">
      <w:numFmt w:val="bullet"/>
      <w:lvlText w:val="-"/>
      <w:lvlJc w:val="left"/>
      <w:pPr>
        <w:ind w:left="1080" w:hanging="360"/>
      </w:pPr>
      <w:rPr>
        <w:rFonts w:ascii="Aptos" w:hAnsi="Aptos" w:hint="default"/>
      </w:rPr>
    </w:lvl>
    <w:lvl w:ilvl="1" w:tplc="BBF89D94" w:tentative="1">
      <w:start w:val="1"/>
      <w:numFmt w:val="bullet"/>
      <w:lvlText w:val="o"/>
      <w:lvlJc w:val="left"/>
      <w:pPr>
        <w:ind w:left="1800" w:hanging="360"/>
      </w:pPr>
      <w:rPr>
        <w:rFonts w:ascii="Courier New" w:hAnsi="Courier New" w:hint="default"/>
      </w:rPr>
    </w:lvl>
    <w:lvl w:ilvl="2" w:tplc="DE0C1DE4" w:tentative="1">
      <w:start w:val="1"/>
      <w:numFmt w:val="bullet"/>
      <w:lvlText w:val=""/>
      <w:lvlJc w:val="left"/>
      <w:pPr>
        <w:ind w:left="2520" w:hanging="360"/>
      </w:pPr>
      <w:rPr>
        <w:rFonts w:ascii="Wingdings" w:hAnsi="Wingdings" w:hint="default"/>
      </w:rPr>
    </w:lvl>
    <w:lvl w:ilvl="3" w:tplc="34E22784" w:tentative="1">
      <w:start w:val="1"/>
      <w:numFmt w:val="bullet"/>
      <w:lvlText w:val=""/>
      <w:lvlJc w:val="left"/>
      <w:pPr>
        <w:ind w:left="3240" w:hanging="360"/>
      </w:pPr>
      <w:rPr>
        <w:rFonts w:ascii="Symbol" w:hAnsi="Symbol" w:hint="default"/>
      </w:rPr>
    </w:lvl>
    <w:lvl w:ilvl="4" w:tplc="43DCD248" w:tentative="1">
      <w:start w:val="1"/>
      <w:numFmt w:val="bullet"/>
      <w:lvlText w:val="o"/>
      <w:lvlJc w:val="left"/>
      <w:pPr>
        <w:ind w:left="3960" w:hanging="360"/>
      </w:pPr>
      <w:rPr>
        <w:rFonts w:ascii="Courier New" w:hAnsi="Courier New" w:hint="default"/>
      </w:rPr>
    </w:lvl>
    <w:lvl w:ilvl="5" w:tplc="CF5815D4" w:tentative="1">
      <w:start w:val="1"/>
      <w:numFmt w:val="bullet"/>
      <w:lvlText w:val=""/>
      <w:lvlJc w:val="left"/>
      <w:pPr>
        <w:ind w:left="4680" w:hanging="360"/>
      </w:pPr>
      <w:rPr>
        <w:rFonts w:ascii="Wingdings" w:hAnsi="Wingdings" w:hint="default"/>
      </w:rPr>
    </w:lvl>
    <w:lvl w:ilvl="6" w:tplc="E6FE51BE" w:tentative="1">
      <w:start w:val="1"/>
      <w:numFmt w:val="bullet"/>
      <w:lvlText w:val=""/>
      <w:lvlJc w:val="left"/>
      <w:pPr>
        <w:ind w:left="5400" w:hanging="360"/>
      </w:pPr>
      <w:rPr>
        <w:rFonts w:ascii="Symbol" w:hAnsi="Symbol" w:hint="default"/>
      </w:rPr>
    </w:lvl>
    <w:lvl w:ilvl="7" w:tplc="70C807EC" w:tentative="1">
      <w:start w:val="1"/>
      <w:numFmt w:val="bullet"/>
      <w:lvlText w:val="o"/>
      <w:lvlJc w:val="left"/>
      <w:pPr>
        <w:ind w:left="6120" w:hanging="360"/>
      </w:pPr>
      <w:rPr>
        <w:rFonts w:ascii="Courier New" w:hAnsi="Courier New" w:hint="default"/>
      </w:rPr>
    </w:lvl>
    <w:lvl w:ilvl="8" w:tplc="5C546582" w:tentative="1">
      <w:start w:val="1"/>
      <w:numFmt w:val="bullet"/>
      <w:lvlText w:val=""/>
      <w:lvlJc w:val="left"/>
      <w:pPr>
        <w:ind w:left="6840" w:hanging="360"/>
      </w:pPr>
      <w:rPr>
        <w:rFonts w:ascii="Wingdings" w:hAnsi="Wingdings" w:hint="default"/>
      </w:rPr>
    </w:lvl>
  </w:abstractNum>
  <w:abstractNum w:abstractNumId="86" w15:restartNumberingAfterBreak="0">
    <w:nsid w:val="69535A9B"/>
    <w:multiLevelType w:val="hybridMultilevel"/>
    <w:tmpl w:val="97D8C1C8"/>
    <w:lvl w:ilvl="0" w:tplc="9F4EE12C">
      <w:start w:val="1"/>
      <w:numFmt w:val="bullet"/>
      <w:lvlText w:val=""/>
      <w:lvlJc w:val="left"/>
      <w:pPr>
        <w:ind w:left="720" w:hanging="360"/>
      </w:pPr>
      <w:rPr>
        <w:rFonts w:ascii="Symbol" w:hAnsi="Symbol" w:hint="default"/>
      </w:rPr>
    </w:lvl>
    <w:lvl w:ilvl="1" w:tplc="0E9CC224">
      <w:start w:val="1"/>
      <w:numFmt w:val="bullet"/>
      <w:lvlText w:val="o"/>
      <w:lvlJc w:val="left"/>
      <w:pPr>
        <w:ind w:left="1440" w:hanging="360"/>
      </w:pPr>
      <w:rPr>
        <w:rFonts w:ascii="Courier New" w:hAnsi="Courier New" w:hint="default"/>
      </w:rPr>
    </w:lvl>
    <w:lvl w:ilvl="2" w:tplc="61FEBFCC" w:tentative="1">
      <w:start w:val="1"/>
      <w:numFmt w:val="bullet"/>
      <w:lvlText w:val=""/>
      <w:lvlJc w:val="left"/>
      <w:pPr>
        <w:ind w:left="2160" w:hanging="360"/>
      </w:pPr>
      <w:rPr>
        <w:rFonts w:ascii="Wingdings" w:hAnsi="Wingdings" w:hint="default"/>
      </w:rPr>
    </w:lvl>
    <w:lvl w:ilvl="3" w:tplc="960CAF62" w:tentative="1">
      <w:start w:val="1"/>
      <w:numFmt w:val="bullet"/>
      <w:lvlText w:val=""/>
      <w:lvlJc w:val="left"/>
      <w:pPr>
        <w:ind w:left="2880" w:hanging="360"/>
      </w:pPr>
      <w:rPr>
        <w:rFonts w:ascii="Symbol" w:hAnsi="Symbol" w:hint="default"/>
      </w:rPr>
    </w:lvl>
    <w:lvl w:ilvl="4" w:tplc="E7A68AA8" w:tentative="1">
      <w:start w:val="1"/>
      <w:numFmt w:val="bullet"/>
      <w:lvlText w:val="o"/>
      <w:lvlJc w:val="left"/>
      <w:pPr>
        <w:ind w:left="3600" w:hanging="360"/>
      </w:pPr>
      <w:rPr>
        <w:rFonts w:ascii="Courier New" w:hAnsi="Courier New" w:hint="default"/>
      </w:rPr>
    </w:lvl>
    <w:lvl w:ilvl="5" w:tplc="E826BDD2" w:tentative="1">
      <w:start w:val="1"/>
      <w:numFmt w:val="bullet"/>
      <w:lvlText w:val=""/>
      <w:lvlJc w:val="left"/>
      <w:pPr>
        <w:ind w:left="4320" w:hanging="360"/>
      </w:pPr>
      <w:rPr>
        <w:rFonts w:ascii="Wingdings" w:hAnsi="Wingdings" w:hint="default"/>
      </w:rPr>
    </w:lvl>
    <w:lvl w:ilvl="6" w:tplc="C33A2648" w:tentative="1">
      <w:start w:val="1"/>
      <w:numFmt w:val="bullet"/>
      <w:lvlText w:val=""/>
      <w:lvlJc w:val="left"/>
      <w:pPr>
        <w:ind w:left="5040" w:hanging="360"/>
      </w:pPr>
      <w:rPr>
        <w:rFonts w:ascii="Symbol" w:hAnsi="Symbol" w:hint="default"/>
      </w:rPr>
    </w:lvl>
    <w:lvl w:ilvl="7" w:tplc="E9AE3B98" w:tentative="1">
      <w:start w:val="1"/>
      <w:numFmt w:val="bullet"/>
      <w:lvlText w:val="o"/>
      <w:lvlJc w:val="left"/>
      <w:pPr>
        <w:ind w:left="5760" w:hanging="360"/>
      </w:pPr>
      <w:rPr>
        <w:rFonts w:ascii="Courier New" w:hAnsi="Courier New" w:hint="default"/>
      </w:rPr>
    </w:lvl>
    <w:lvl w:ilvl="8" w:tplc="898898BA" w:tentative="1">
      <w:start w:val="1"/>
      <w:numFmt w:val="bullet"/>
      <w:lvlText w:val=""/>
      <w:lvlJc w:val="left"/>
      <w:pPr>
        <w:ind w:left="6480" w:hanging="360"/>
      </w:pPr>
      <w:rPr>
        <w:rFonts w:ascii="Wingdings" w:hAnsi="Wingdings" w:hint="default"/>
      </w:rPr>
    </w:lvl>
  </w:abstractNum>
  <w:abstractNum w:abstractNumId="87" w15:restartNumberingAfterBreak="0">
    <w:nsid w:val="698A1E93"/>
    <w:multiLevelType w:val="hybridMultilevel"/>
    <w:tmpl w:val="2DFA1590"/>
    <w:lvl w:ilvl="0" w:tplc="AB44EE0A">
      <w:start w:val="1"/>
      <w:numFmt w:val="bullet"/>
      <w:lvlText w:val="•"/>
      <w:lvlJc w:val="left"/>
      <w:pPr>
        <w:tabs>
          <w:tab w:val="num" w:pos="720"/>
        </w:tabs>
        <w:ind w:left="720" w:hanging="360"/>
      </w:pPr>
      <w:rPr>
        <w:rFonts w:ascii="Arial" w:hAnsi="Arial" w:hint="default"/>
      </w:rPr>
    </w:lvl>
    <w:lvl w:ilvl="1" w:tplc="9B9AF84E">
      <w:start w:val="1"/>
      <w:numFmt w:val="bullet"/>
      <w:lvlText w:val="•"/>
      <w:lvlJc w:val="left"/>
      <w:pPr>
        <w:tabs>
          <w:tab w:val="num" w:pos="1440"/>
        </w:tabs>
        <w:ind w:left="1440" w:hanging="360"/>
      </w:pPr>
      <w:rPr>
        <w:rFonts w:ascii="Arial" w:hAnsi="Arial" w:hint="default"/>
      </w:rPr>
    </w:lvl>
    <w:lvl w:ilvl="2" w:tplc="6D281F0C" w:tentative="1">
      <w:start w:val="1"/>
      <w:numFmt w:val="bullet"/>
      <w:lvlText w:val="•"/>
      <w:lvlJc w:val="left"/>
      <w:pPr>
        <w:tabs>
          <w:tab w:val="num" w:pos="2160"/>
        </w:tabs>
        <w:ind w:left="2160" w:hanging="360"/>
      </w:pPr>
      <w:rPr>
        <w:rFonts w:ascii="Arial" w:hAnsi="Arial" w:hint="default"/>
      </w:rPr>
    </w:lvl>
    <w:lvl w:ilvl="3" w:tplc="7398E8FA" w:tentative="1">
      <w:start w:val="1"/>
      <w:numFmt w:val="bullet"/>
      <w:lvlText w:val="•"/>
      <w:lvlJc w:val="left"/>
      <w:pPr>
        <w:tabs>
          <w:tab w:val="num" w:pos="2880"/>
        </w:tabs>
        <w:ind w:left="2880" w:hanging="360"/>
      </w:pPr>
      <w:rPr>
        <w:rFonts w:ascii="Arial" w:hAnsi="Arial" w:hint="default"/>
      </w:rPr>
    </w:lvl>
    <w:lvl w:ilvl="4" w:tplc="3ACC20DC" w:tentative="1">
      <w:start w:val="1"/>
      <w:numFmt w:val="bullet"/>
      <w:lvlText w:val="•"/>
      <w:lvlJc w:val="left"/>
      <w:pPr>
        <w:tabs>
          <w:tab w:val="num" w:pos="3600"/>
        </w:tabs>
        <w:ind w:left="3600" w:hanging="360"/>
      </w:pPr>
      <w:rPr>
        <w:rFonts w:ascii="Arial" w:hAnsi="Arial" w:hint="default"/>
      </w:rPr>
    </w:lvl>
    <w:lvl w:ilvl="5" w:tplc="FBC67D0A" w:tentative="1">
      <w:start w:val="1"/>
      <w:numFmt w:val="bullet"/>
      <w:lvlText w:val="•"/>
      <w:lvlJc w:val="left"/>
      <w:pPr>
        <w:tabs>
          <w:tab w:val="num" w:pos="4320"/>
        </w:tabs>
        <w:ind w:left="4320" w:hanging="360"/>
      </w:pPr>
      <w:rPr>
        <w:rFonts w:ascii="Arial" w:hAnsi="Arial" w:hint="default"/>
      </w:rPr>
    </w:lvl>
    <w:lvl w:ilvl="6" w:tplc="88908696" w:tentative="1">
      <w:start w:val="1"/>
      <w:numFmt w:val="bullet"/>
      <w:lvlText w:val="•"/>
      <w:lvlJc w:val="left"/>
      <w:pPr>
        <w:tabs>
          <w:tab w:val="num" w:pos="5040"/>
        </w:tabs>
        <w:ind w:left="5040" w:hanging="360"/>
      </w:pPr>
      <w:rPr>
        <w:rFonts w:ascii="Arial" w:hAnsi="Arial" w:hint="default"/>
      </w:rPr>
    </w:lvl>
    <w:lvl w:ilvl="7" w:tplc="8F70660C" w:tentative="1">
      <w:start w:val="1"/>
      <w:numFmt w:val="bullet"/>
      <w:lvlText w:val="•"/>
      <w:lvlJc w:val="left"/>
      <w:pPr>
        <w:tabs>
          <w:tab w:val="num" w:pos="5760"/>
        </w:tabs>
        <w:ind w:left="5760" w:hanging="360"/>
      </w:pPr>
      <w:rPr>
        <w:rFonts w:ascii="Arial" w:hAnsi="Arial" w:hint="default"/>
      </w:rPr>
    </w:lvl>
    <w:lvl w:ilvl="8" w:tplc="62EA2210"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6A0C150E"/>
    <w:multiLevelType w:val="hybridMultilevel"/>
    <w:tmpl w:val="8DBC08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9" w15:restartNumberingAfterBreak="0">
    <w:nsid w:val="6AAC0A0D"/>
    <w:multiLevelType w:val="multilevel"/>
    <w:tmpl w:val="1EE242E6"/>
    <w:lvl w:ilvl="0">
      <w:start w:val="4"/>
      <w:numFmt w:val="decimal"/>
      <w:lvlText w:val="%1."/>
      <w:lvlJc w:val="left"/>
      <w:pPr>
        <w:ind w:left="720" w:hanging="360"/>
      </w:pPr>
    </w:lvl>
    <w:lvl w:ilvl="1">
      <w:start w:val="2"/>
      <w:numFmt w:val="decimal"/>
      <w:lvlText w:val="%1.%2."/>
      <w:lvlJc w:val="left"/>
      <w:pPr>
        <w:ind w:left="1872" w:hanging="720"/>
      </w:pPr>
    </w:lvl>
    <w:lvl w:ilvl="2">
      <w:start w:val="1"/>
      <w:numFmt w:val="bullet"/>
      <w:lvlText w:val=""/>
      <w:lvlJc w:val="left"/>
      <w:pPr>
        <w:ind w:left="2304" w:hanging="360"/>
      </w:pPr>
      <w:rPr>
        <w:rFonts w:ascii="Symbol" w:hAnsi="Symbol" w:hint="default"/>
      </w:rPr>
    </w:lvl>
    <w:lvl w:ilvl="3">
      <w:start w:val="1"/>
      <w:numFmt w:val="decimal"/>
      <w:lvlText w:val="%1.%2.%3.%4."/>
      <w:lvlJc w:val="left"/>
      <w:pPr>
        <w:ind w:left="3816" w:hanging="1080"/>
      </w:pPr>
    </w:lvl>
    <w:lvl w:ilvl="4">
      <w:start w:val="1"/>
      <w:numFmt w:val="decimal"/>
      <w:lvlText w:val="%1.%2.%3.%4.%5."/>
      <w:lvlJc w:val="left"/>
      <w:pPr>
        <w:ind w:left="4608" w:hanging="1080"/>
      </w:pPr>
    </w:lvl>
    <w:lvl w:ilvl="5">
      <w:start w:val="1"/>
      <w:numFmt w:val="decimal"/>
      <w:lvlText w:val="%1.%2.%3.%4.%5.%6."/>
      <w:lvlJc w:val="left"/>
      <w:pPr>
        <w:ind w:left="5760" w:hanging="1440"/>
      </w:pPr>
    </w:lvl>
    <w:lvl w:ilvl="6">
      <w:start w:val="1"/>
      <w:numFmt w:val="decimal"/>
      <w:lvlText w:val="%1.%2.%3.%4.%5.%6.%7."/>
      <w:lvlJc w:val="left"/>
      <w:pPr>
        <w:ind w:left="6552" w:hanging="1440"/>
      </w:pPr>
    </w:lvl>
    <w:lvl w:ilvl="7">
      <w:start w:val="1"/>
      <w:numFmt w:val="decimal"/>
      <w:lvlText w:val="%1.%2.%3.%4.%5.%6.%7.%8."/>
      <w:lvlJc w:val="left"/>
      <w:pPr>
        <w:ind w:left="7704" w:hanging="1800"/>
      </w:pPr>
    </w:lvl>
    <w:lvl w:ilvl="8">
      <w:start w:val="1"/>
      <w:numFmt w:val="decimal"/>
      <w:lvlText w:val="%1.%2.%3.%4.%5.%6.%7.%8.%9."/>
      <w:lvlJc w:val="left"/>
      <w:pPr>
        <w:ind w:left="8496" w:hanging="1800"/>
      </w:pPr>
    </w:lvl>
  </w:abstractNum>
  <w:abstractNum w:abstractNumId="90" w15:restartNumberingAfterBreak="0">
    <w:nsid w:val="6D203F3B"/>
    <w:multiLevelType w:val="multilevel"/>
    <w:tmpl w:val="7DA6EC88"/>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9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6DF05DC0"/>
    <w:multiLevelType w:val="hybridMultilevel"/>
    <w:tmpl w:val="A7B457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701946EC"/>
    <w:multiLevelType w:val="multilevel"/>
    <w:tmpl w:val="97BA30A0"/>
    <w:lvl w:ilvl="0">
      <w:start w:val="4"/>
      <w:numFmt w:val="decimal"/>
      <w:lvlText w:val="%1."/>
      <w:lvlJc w:val="left"/>
      <w:pPr>
        <w:ind w:left="360" w:hanging="360"/>
      </w:pPr>
    </w:lvl>
    <w:lvl w:ilvl="1">
      <w:start w:val="2"/>
      <w:numFmt w:val="decimal"/>
      <w:lvlText w:val="%1.%2."/>
      <w:lvlJc w:val="left"/>
      <w:pPr>
        <w:ind w:left="1512" w:hanging="720"/>
      </w:pPr>
    </w:lvl>
    <w:lvl w:ilvl="2">
      <w:start w:val="1"/>
      <w:numFmt w:val="decimal"/>
      <w:lvlText w:val="%1.%2.%3."/>
      <w:lvlJc w:val="left"/>
      <w:pPr>
        <w:ind w:left="2304" w:hanging="720"/>
      </w:pPr>
    </w:lvl>
    <w:lvl w:ilvl="3">
      <w:start w:val="1"/>
      <w:numFmt w:val="decimal"/>
      <w:lvlText w:val="%1.%2.%3.%4."/>
      <w:lvlJc w:val="left"/>
      <w:pPr>
        <w:ind w:left="3456" w:hanging="1080"/>
      </w:pPr>
    </w:lvl>
    <w:lvl w:ilvl="4">
      <w:start w:val="1"/>
      <w:numFmt w:val="decimal"/>
      <w:lvlText w:val="%1.%2.%3.%4.%5."/>
      <w:lvlJc w:val="left"/>
      <w:pPr>
        <w:ind w:left="4248" w:hanging="1080"/>
      </w:pPr>
    </w:lvl>
    <w:lvl w:ilvl="5">
      <w:start w:val="1"/>
      <w:numFmt w:val="decimal"/>
      <w:lvlText w:val="%1.%2.%3.%4.%5.%6."/>
      <w:lvlJc w:val="left"/>
      <w:pPr>
        <w:ind w:left="5400" w:hanging="1440"/>
      </w:pPr>
    </w:lvl>
    <w:lvl w:ilvl="6">
      <w:start w:val="1"/>
      <w:numFmt w:val="decimal"/>
      <w:lvlText w:val="%1.%2.%3.%4.%5.%6.%7."/>
      <w:lvlJc w:val="left"/>
      <w:pPr>
        <w:ind w:left="6192" w:hanging="1440"/>
      </w:pPr>
    </w:lvl>
    <w:lvl w:ilvl="7">
      <w:start w:val="1"/>
      <w:numFmt w:val="decimal"/>
      <w:lvlText w:val="%1.%2.%3.%4.%5.%6.%7.%8."/>
      <w:lvlJc w:val="left"/>
      <w:pPr>
        <w:ind w:left="7344" w:hanging="1800"/>
      </w:pPr>
    </w:lvl>
    <w:lvl w:ilvl="8">
      <w:start w:val="1"/>
      <w:numFmt w:val="decimal"/>
      <w:lvlText w:val="%1.%2.%3.%4.%5.%6.%7.%8.%9."/>
      <w:lvlJc w:val="left"/>
      <w:pPr>
        <w:ind w:left="8136" w:hanging="1800"/>
      </w:pPr>
    </w:lvl>
  </w:abstractNum>
  <w:abstractNum w:abstractNumId="93" w15:restartNumberingAfterBreak="0">
    <w:nsid w:val="706645BE"/>
    <w:multiLevelType w:val="multilevel"/>
    <w:tmpl w:val="AF54DB7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715F2ACB"/>
    <w:multiLevelType w:val="hybridMultilevel"/>
    <w:tmpl w:val="E3C6DCF8"/>
    <w:lvl w:ilvl="0" w:tplc="B798FBC4">
      <w:start w:val="1"/>
      <w:numFmt w:val="bullet"/>
      <w:lvlText w:val="•"/>
      <w:lvlJc w:val="left"/>
      <w:pPr>
        <w:tabs>
          <w:tab w:val="num" w:pos="720"/>
        </w:tabs>
        <w:ind w:left="720" w:hanging="360"/>
      </w:pPr>
      <w:rPr>
        <w:rFonts w:ascii="Arial" w:hAnsi="Arial" w:hint="default"/>
      </w:rPr>
    </w:lvl>
    <w:lvl w:ilvl="1" w:tplc="2F984FD8">
      <w:start w:val="1"/>
      <w:numFmt w:val="bullet"/>
      <w:lvlText w:val="•"/>
      <w:lvlJc w:val="left"/>
      <w:pPr>
        <w:tabs>
          <w:tab w:val="num" w:pos="1440"/>
        </w:tabs>
        <w:ind w:left="1440" w:hanging="360"/>
      </w:pPr>
      <w:rPr>
        <w:rFonts w:ascii="Arial" w:hAnsi="Arial" w:hint="default"/>
      </w:rPr>
    </w:lvl>
    <w:lvl w:ilvl="2" w:tplc="A4D4FE1E" w:tentative="1">
      <w:start w:val="1"/>
      <w:numFmt w:val="bullet"/>
      <w:lvlText w:val="•"/>
      <w:lvlJc w:val="left"/>
      <w:pPr>
        <w:tabs>
          <w:tab w:val="num" w:pos="2160"/>
        </w:tabs>
        <w:ind w:left="2160" w:hanging="360"/>
      </w:pPr>
      <w:rPr>
        <w:rFonts w:ascii="Arial" w:hAnsi="Arial" w:hint="default"/>
      </w:rPr>
    </w:lvl>
    <w:lvl w:ilvl="3" w:tplc="70BC4DB0" w:tentative="1">
      <w:start w:val="1"/>
      <w:numFmt w:val="bullet"/>
      <w:lvlText w:val="•"/>
      <w:lvlJc w:val="left"/>
      <w:pPr>
        <w:tabs>
          <w:tab w:val="num" w:pos="2880"/>
        </w:tabs>
        <w:ind w:left="2880" w:hanging="360"/>
      </w:pPr>
      <w:rPr>
        <w:rFonts w:ascii="Arial" w:hAnsi="Arial" w:hint="default"/>
      </w:rPr>
    </w:lvl>
    <w:lvl w:ilvl="4" w:tplc="D4704D72" w:tentative="1">
      <w:start w:val="1"/>
      <w:numFmt w:val="bullet"/>
      <w:lvlText w:val="•"/>
      <w:lvlJc w:val="left"/>
      <w:pPr>
        <w:tabs>
          <w:tab w:val="num" w:pos="3600"/>
        </w:tabs>
        <w:ind w:left="3600" w:hanging="360"/>
      </w:pPr>
      <w:rPr>
        <w:rFonts w:ascii="Arial" w:hAnsi="Arial" w:hint="default"/>
      </w:rPr>
    </w:lvl>
    <w:lvl w:ilvl="5" w:tplc="94727F04" w:tentative="1">
      <w:start w:val="1"/>
      <w:numFmt w:val="bullet"/>
      <w:lvlText w:val="•"/>
      <w:lvlJc w:val="left"/>
      <w:pPr>
        <w:tabs>
          <w:tab w:val="num" w:pos="4320"/>
        </w:tabs>
        <w:ind w:left="4320" w:hanging="360"/>
      </w:pPr>
      <w:rPr>
        <w:rFonts w:ascii="Arial" w:hAnsi="Arial" w:hint="default"/>
      </w:rPr>
    </w:lvl>
    <w:lvl w:ilvl="6" w:tplc="57EEC2B0" w:tentative="1">
      <w:start w:val="1"/>
      <w:numFmt w:val="bullet"/>
      <w:lvlText w:val="•"/>
      <w:lvlJc w:val="left"/>
      <w:pPr>
        <w:tabs>
          <w:tab w:val="num" w:pos="5040"/>
        </w:tabs>
        <w:ind w:left="5040" w:hanging="360"/>
      </w:pPr>
      <w:rPr>
        <w:rFonts w:ascii="Arial" w:hAnsi="Arial" w:hint="default"/>
      </w:rPr>
    </w:lvl>
    <w:lvl w:ilvl="7" w:tplc="66288C9A" w:tentative="1">
      <w:start w:val="1"/>
      <w:numFmt w:val="bullet"/>
      <w:lvlText w:val="•"/>
      <w:lvlJc w:val="left"/>
      <w:pPr>
        <w:tabs>
          <w:tab w:val="num" w:pos="5760"/>
        </w:tabs>
        <w:ind w:left="5760" w:hanging="360"/>
      </w:pPr>
      <w:rPr>
        <w:rFonts w:ascii="Arial" w:hAnsi="Arial" w:hint="default"/>
      </w:rPr>
    </w:lvl>
    <w:lvl w:ilvl="8" w:tplc="5A04DF26"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73333386"/>
    <w:multiLevelType w:val="multilevel"/>
    <w:tmpl w:val="6FD0FA8C"/>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3D44AB3"/>
    <w:multiLevelType w:val="multilevel"/>
    <w:tmpl w:val="0554BE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15:restartNumberingAfterBreak="0">
    <w:nsid w:val="76892B97"/>
    <w:multiLevelType w:val="hybridMultilevel"/>
    <w:tmpl w:val="9F562D28"/>
    <w:lvl w:ilvl="0" w:tplc="6594714A">
      <w:start w:val="1"/>
      <w:numFmt w:val="bullet"/>
      <w:lvlText w:val=""/>
      <w:lvlJc w:val="left"/>
      <w:pPr>
        <w:ind w:left="360" w:hanging="360"/>
      </w:pPr>
      <w:rPr>
        <w:rFonts w:ascii="Symbol" w:hAnsi="Symbol" w:hint="default"/>
      </w:rPr>
    </w:lvl>
    <w:lvl w:ilvl="1" w:tplc="AF5292E4">
      <w:start w:val="1"/>
      <w:numFmt w:val="bullet"/>
      <w:lvlText w:val="o"/>
      <w:lvlJc w:val="left"/>
      <w:pPr>
        <w:ind w:left="1080" w:hanging="360"/>
      </w:pPr>
      <w:rPr>
        <w:rFonts w:ascii="Courier New" w:hAnsi="Courier New" w:hint="default"/>
      </w:rPr>
    </w:lvl>
    <w:lvl w:ilvl="2" w:tplc="A9300676" w:tentative="1">
      <w:start w:val="1"/>
      <w:numFmt w:val="bullet"/>
      <w:lvlText w:val=""/>
      <w:lvlJc w:val="left"/>
      <w:pPr>
        <w:ind w:left="1800" w:hanging="360"/>
      </w:pPr>
      <w:rPr>
        <w:rFonts w:ascii="Wingdings" w:hAnsi="Wingdings" w:hint="default"/>
      </w:rPr>
    </w:lvl>
    <w:lvl w:ilvl="3" w:tplc="4AD41C8E" w:tentative="1">
      <w:start w:val="1"/>
      <w:numFmt w:val="bullet"/>
      <w:lvlText w:val=""/>
      <w:lvlJc w:val="left"/>
      <w:pPr>
        <w:ind w:left="2520" w:hanging="360"/>
      </w:pPr>
      <w:rPr>
        <w:rFonts w:ascii="Symbol" w:hAnsi="Symbol" w:hint="default"/>
      </w:rPr>
    </w:lvl>
    <w:lvl w:ilvl="4" w:tplc="F21E2496" w:tentative="1">
      <w:start w:val="1"/>
      <w:numFmt w:val="bullet"/>
      <w:lvlText w:val="o"/>
      <w:lvlJc w:val="left"/>
      <w:pPr>
        <w:ind w:left="3240" w:hanging="360"/>
      </w:pPr>
      <w:rPr>
        <w:rFonts w:ascii="Courier New" w:hAnsi="Courier New" w:hint="default"/>
      </w:rPr>
    </w:lvl>
    <w:lvl w:ilvl="5" w:tplc="0A084EB4" w:tentative="1">
      <w:start w:val="1"/>
      <w:numFmt w:val="bullet"/>
      <w:lvlText w:val=""/>
      <w:lvlJc w:val="left"/>
      <w:pPr>
        <w:ind w:left="3960" w:hanging="360"/>
      </w:pPr>
      <w:rPr>
        <w:rFonts w:ascii="Wingdings" w:hAnsi="Wingdings" w:hint="default"/>
      </w:rPr>
    </w:lvl>
    <w:lvl w:ilvl="6" w:tplc="CDE0A8D0" w:tentative="1">
      <w:start w:val="1"/>
      <w:numFmt w:val="bullet"/>
      <w:lvlText w:val=""/>
      <w:lvlJc w:val="left"/>
      <w:pPr>
        <w:ind w:left="4680" w:hanging="360"/>
      </w:pPr>
      <w:rPr>
        <w:rFonts w:ascii="Symbol" w:hAnsi="Symbol" w:hint="default"/>
      </w:rPr>
    </w:lvl>
    <w:lvl w:ilvl="7" w:tplc="C35AC762" w:tentative="1">
      <w:start w:val="1"/>
      <w:numFmt w:val="bullet"/>
      <w:lvlText w:val="o"/>
      <w:lvlJc w:val="left"/>
      <w:pPr>
        <w:ind w:left="5400" w:hanging="360"/>
      </w:pPr>
      <w:rPr>
        <w:rFonts w:ascii="Courier New" w:hAnsi="Courier New" w:hint="default"/>
      </w:rPr>
    </w:lvl>
    <w:lvl w:ilvl="8" w:tplc="6E2AB758" w:tentative="1">
      <w:start w:val="1"/>
      <w:numFmt w:val="bullet"/>
      <w:lvlText w:val=""/>
      <w:lvlJc w:val="left"/>
      <w:pPr>
        <w:ind w:left="6120" w:hanging="360"/>
      </w:pPr>
      <w:rPr>
        <w:rFonts w:ascii="Wingdings" w:hAnsi="Wingdings" w:hint="default"/>
      </w:rPr>
    </w:lvl>
  </w:abstractNum>
  <w:abstractNum w:abstractNumId="98" w15:restartNumberingAfterBreak="0">
    <w:nsid w:val="76916A3C"/>
    <w:multiLevelType w:val="hybridMultilevel"/>
    <w:tmpl w:val="D9A0914A"/>
    <w:lvl w:ilvl="0" w:tplc="55B46E38">
      <w:numFmt w:val="bullet"/>
      <w:lvlText w:val="-"/>
      <w:lvlJc w:val="left"/>
      <w:pPr>
        <w:ind w:left="1080" w:hanging="360"/>
      </w:pPr>
      <w:rPr>
        <w:rFonts w:ascii="Times New Roman" w:eastAsiaTheme="minorHAnsi" w:hAnsi="Times New Roman" w:cs="Times New Roman" w:hint="default"/>
        <w:b/>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9" w15:restartNumberingAfterBreak="0">
    <w:nsid w:val="769D48A8"/>
    <w:multiLevelType w:val="multilevel"/>
    <w:tmpl w:val="2196DB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69E84CD"/>
    <w:multiLevelType w:val="hybridMultilevel"/>
    <w:tmpl w:val="FFFFFFFF"/>
    <w:lvl w:ilvl="0" w:tplc="1136A830">
      <w:start w:val="1"/>
      <w:numFmt w:val="bullet"/>
      <w:lvlText w:val="-"/>
      <w:lvlJc w:val="left"/>
      <w:pPr>
        <w:ind w:left="720" w:hanging="360"/>
      </w:pPr>
      <w:rPr>
        <w:rFonts w:ascii="Aptos" w:hAnsi="Aptos" w:hint="default"/>
      </w:rPr>
    </w:lvl>
    <w:lvl w:ilvl="1" w:tplc="C5387984">
      <w:start w:val="1"/>
      <w:numFmt w:val="bullet"/>
      <w:lvlText w:val="o"/>
      <w:lvlJc w:val="left"/>
      <w:pPr>
        <w:ind w:left="1440" w:hanging="360"/>
      </w:pPr>
      <w:rPr>
        <w:rFonts w:ascii="Courier New" w:hAnsi="Courier New" w:hint="default"/>
      </w:rPr>
    </w:lvl>
    <w:lvl w:ilvl="2" w:tplc="224E9144">
      <w:start w:val="1"/>
      <w:numFmt w:val="bullet"/>
      <w:lvlText w:val=""/>
      <w:lvlJc w:val="left"/>
      <w:pPr>
        <w:ind w:left="2160" w:hanging="360"/>
      </w:pPr>
      <w:rPr>
        <w:rFonts w:ascii="Wingdings" w:hAnsi="Wingdings" w:hint="default"/>
      </w:rPr>
    </w:lvl>
    <w:lvl w:ilvl="3" w:tplc="84F2BE30">
      <w:start w:val="1"/>
      <w:numFmt w:val="bullet"/>
      <w:lvlText w:val=""/>
      <w:lvlJc w:val="left"/>
      <w:pPr>
        <w:ind w:left="2880" w:hanging="360"/>
      </w:pPr>
      <w:rPr>
        <w:rFonts w:ascii="Symbol" w:hAnsi="Symbol" w:hint="default"/>
      </w:rPr>
    </w:lvl>
    <w:lvl w:ilvl="4" w:tplc="C9380038">
      <w:start w:val="1"/>
      <w:numFmt w:val="bullet"/>
      <w:lvlText w:val="o"/>
      <w:lvlJc w:val="left"/>
      <w:pPr>
        <w:ind w:left="3600" w:hanging="360"/>
      </w:pPr>
      <w:rPr>
        <w:rFonts w:ascii="Courier New" w:hAnsi="Courier New" w:hint="default"/>
      </w:rPr>
    </w:lvl>
    <w:lvl w:ilvl="5" w:tplc="DE02B3FC">
      <w:start w:val="1"/>
      <w:numFmt w:val="bullet"/>
      <w:lvlText w:val=""/>
      <w:lvlJc w:val="left"/>
      <w:pPr>
        <w:ind w:left="4320" w:hanging="360"/>
      </w:pPr>
      <w:rPr>
        <w:rFonts w:ascii="Wingdings" w:hAnsi="Wingdings" w:hint="default"/>
      </w:rPr>
    </w:lvl>
    <w:lvl w:ilvl="6" w:tplc="3FEE1F00">
      <w:start w:val="1"/>
      <w:numFmt w:val="bullet"/>
      <w:lvlText w:val=""/>
      <w:lvlJc w:val="left"/>
      <w:pPr>
        <w:ind w:left="5040" w:hanging="360"/>
      </w:pPr>
      <w:rPr>
        <w:rFonts w:ascii="Symbol" w:hAnsi="Symbol" w:hint="default"/>
      </w:rPr>
    </w:lvl>
    <w:lvl w:ilvl="7" w:tplc="9EFC9FD0">
      <w:start w:val="1"/>
      <w:numFmt w:val="bullet"/>
      <w:lvlText w:val="o"/>
      <w:lvlJc w:val="left"/>
      <w:pPr>
        <w:ind w:left="5760" w:hanging="360"/>
      </w:pPr>
      <w:rPr>
        <w:rFonts w:ascii="Courier New" w:hAnsi="Courier New" w:hint="default"/>
      </w:rPr>
    </w:lvl>
    <w:lvl w:ilvl="8" w:tplc="769A7838">
      <w:start w:val="1"/>
      <w:numFmt w:val="bullet"/>
      <w:lvlText w:val=""/>
      <w:lvlJc w:val="left"/>
      <w:pPr>
        <w:ind w:left="6480" w:hanging="360"/>
      </w:pPr>
      <w:rPr>
        <w:rFonts w:ascii="Wingdings" w:hAnsi="Wingdings" w:hint="default"/>
      </w:rPr>
    </w:lvl>
  </w:abstractNum>
  <w:abstractNum w:abstractNumId="101" w15:restartNumberingAfterBreak="0">
    <w:nsid w:val="78116FA3"/>
    <w:multiLevelType w:val="hybridMultilevel"/>
    <w:tmpl w:val="42B6D240"/>
    <w:lvl w:ilvl="0" w:tplc="1809000F">
      <w:start w:val="1"/>
      <w:numFmt w:val="decimal"/>
      <w:lvlText w:val="%1."/>
      <w:lvlJc w:val="left"/>
      <w:pPr>
        <w:ind w:left="1146" w:hanging="360"/>
      </w:p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102" w15:restartNumberingAfterBreak="0">
    <w:nsid w:val="7A197A09"/>
    <w:multiLevelType w:val="hybridMultilevel"/>
    <w:tmpl w:val="FFFFFFFF"/>
    <w:lvl w:ilvl="0" w:tplc="AE24421C">
      <w:start w:val="1"/>
      <w:numFmt w:val="bullet"/>
      <w:lvlText w:val="-"/>
      <w:lvlJc w:val="left"/>
      <w:pPr>
        <w:ind w:left="720" w:hanging="360"/>
      </w:pPr>
      <w:rPr>
        <w:rFonts w:ascii="Aptos" w:hAnsi="Aptos" w:hint="default"/>
      </w:rPr>
    </w:lvl>
    <w:lvl w:ilvl="1" w:tplc="BBB47204">
      <w:start w:val="1"/>
      <w:numFmt w:val="bullet"/>
      <w:lvlText w:val="o"/>
      <w:lvlJc w:val="left"/>
      <w:pPr>
        <w:ind w:left="1440" w:hanging="360"/>
      </w:pPr>
      <w:rPr>
        <w:rFonts w:ascii="Courier New" w:hAnsi="Courier New" w:hint="default"/>
      </w:rPr>
    </w:lvl>
    <w:lvl w:ilvl="2" w:tplc="6AB082CC">
      <w:start w:val="1"/>
      <w:numFmt w:val="bullet"/>
      <w:lvlText w:val=""/>
      <w:lvlJc w:val="left"/>
      <w:pPr>
        <w:ind w:left="2160" w:hanging="360"/>
      </w:pPr>
      <w:rPr>
        <w:rFonts w:ascii="Wingdings" w:hAnsi="Wingdings" w:hint="default"/>
      </w:rPr>
    </w:lvl>
    <w:lvl w:ilvl="3" w:tplc="2C8AEE64">
      <w:start w:val="1"/>
      <w:numFmt w:val="bullet"/>
      <w:lvlText w:val=""/>
      <w:lvlJc w:val="left"/>
      <w:pPr>
        <w:ind w:left="2880" w:hanging="360"/>
      </w:pPr>
      <w:rPr>
        <w:rFonts w:ascii="Symbol" w:hAnsi="Symbol" w:hint="default"/>
      </w:rPr>
    </w:lvl>
    <w:lvl w:ilvl="4" w:tplc="2CE4B394">
      <w:start w:val="1"/>
      <w:numFmt w:val="bullet"/>
      <w:lvlText w:val="o"/>
      <w:lvlJc w:val="left"/>
      <w:pPr>
        <w:ind w:left="3600" w:hanging="360"/>
      </w:pPr>
      <w:rPr>
        <w:rFonts w:ascii="Courier New" w:hAnsi="Courier New" w:hint="default"/>
      </w:rPr>
    </w:lvl>
    <w:lvl w:ilvl="5" w:tplc="BA8ADA74">
      <w:start w:val="1"/>
      <w:numFmt w:val="bullet"/>
      <w:lvlText w:val=""/>
      <w:lvlJc w:val="left"/>
      <w:pPr>
        <w:ind w:left="4320" w:hanging="360"/>
      </w:pPr>
      <w:rPr>
        <w:rFonts w:ascii="Wingdings" w:hAnsi="Wingdings" w:hint="default"/>
      </w:rPr>
    </w:lvl>
    <w:lvl w:ilvl="6" w:tplc="5308C712">
      <w:start w:val="1"/>
      <w:numFmt w:val="bullet"/>
      <w:lvlText w:val=""/>
      <w:lvlJc w:val="left"/>
      <w:pPr>
        <w:ind w:left="5040" w:hanging="360"/>
      </w:pPr>
      <w:rPr>
        <w:rFonts w:ascii="Symbol" w:hAnsi="Symbol" w:hint="default"/>
      </w:rPr>
    </w:lvl>
    <w:lvl w:ilvl="7" w:tplc="70CA9896">
      <w:start w:val="1"/>
      <w:numFmt w:val="bullet"/>
      <w:lvlText w:val="o"/>
      <w:lvlJc w:val="left"/>
      <w:pPr>
        <w:ind w:left="5760" w:hanging="360"/>
      </w:pPr>
      <w:rPr>
        <w:rFonts w:ascii="Courier New" w:hAnsi="Courier New" w:hint="default"/>
      </w:rPr>
    </w:lvl>
    <w:lvl w:ilvl="8" w:tplc="55643168">
      <w:start w:val="1"/>
      <w:numFmt w:val="bullet"/>
      <w:lvlText w:val=""/>
      <w:lvlJc w:val="left"/>
      <w:pPr>
        <w:ind w:left="6480" w:hanging="360"/>
      </w:pPr>
      <w:rPr>
        <w:rFonts w:ascii="Wingdings" w:hAnsi="Wingdings" w:hint="default"/>
      </w:rPr>
    </w:lvl>
  </w:abstractNum>
  <w:abstractNum w:abstractNumId="103" w15:restartNumberingAfterBreak="0">
    <w:nsid w:val="7A68C835"/>
    <w:multiLevelType w:val="hybridMultilevel"/>
    <w:tmpl w:val="916EBCF2"/>
    <w:lvl w:ilvl="0" w:tplc="3D5443B8">
      <w:start w:val="1"/>
      <w:numFmt w:val="upperLetter"/>
      <w:lvlText w:val="%1)"/>
      <w:lvlJc w:val="left"/>
      <w:pPr>
        <w:ind w:left="720" w:hanging="360"/>
      </w:pPr>
    </w:lvl>
    <w:lvl w:ilvl="1" w:tplc="693CBDB2">
      <w:start w:val="1"/>
      <w:numFmt w:val="lowerLetter"/>
      <w:lvlText w:val="%2."/>
      <w:lvlJc w:val="left"/>
      <w:pPr>
        <w:ind w:left="1440" w:hanging="360"/>
      </w:pPr>
    </w:lvl>
    <w:lvl w:ilvl="2" w:tplc="DB083E0E">
      <w:start w:val="1"/>
      <w:numFmt w:val="lowerRoman"/>
      <w:lvlText w:val="%3."/>
      <w:lvlJc w:val="right"/>
      <w:pPr>
        <w:ind w:left="2160" w:hanging="180"/>
      </w:pPr>
    </w:lvl>
    <w:lvl w:ilvl="3" w:tplc="28B2BE10">
      <w:start w:val="1"/>
      <w:numFmt w:val="decimal"/>
      <w:lvlText w:val="%4."/>
      <w:lvlJc w:val="left"/>
      <w:pPr>
        <w:ind w:left="2880" w:hanging="360"/>
      </w:pPr>
    </w:lvl>
    <w:lvl w:ilvl="4" w:tplc="F462EF02">
      <w:start w:val="1"/>
      <w:numFmt w:val="lowerLetter"/>
      <w:lvlText w:val="%5."/>
      <w:lvlJc w:val="left"/>
      <w:pPr>
        <w:ind w:left="3600" w:hanging="360"/>
      </w:pPr>
    </w:lvl>
    <w:lvl w:ilvl="5" w:tplc="A0CE73D6">
      <w:start w:val="1"/>
      <w:numFmt w:val="lowerRoman"/>
      <w:lvlText w:val="%6."/>
      <w:lvlJc w:val="right"/>
      <w:pPr>
        <w:ind w:left="4320" w:hanging="180"/>
      </w:pPr>
    </w:lvl>
    <w:lvl w:ilvl="6" w:tplc="4DD6771E">
      <w:start w:val="1"/>
      <w:numFmt w:val="decimal"/>
      <w:lvlText w:val="%7."/>
      <w:lvlJc w:val="left"/>
      <w:pPr>
        <w:ind w:left="5040" w:hanging="360"/>
      </w:pPr>
    </w:lvl>
    <w:lvl w:ilvl="7" w:tplc="2EA6165C">
      <w:start w:val="1"/>
      <w:numFmt w:val="lowerLetter"/>
      <w:lvlText w:val="%8."/>
      <w:lvlJc w:val="left"/>
      <w:pPr>
        <w:ind w:left="5760" w:hanging="360"/>
      </w:pPr>
    </w:lvl>
    <w:lvl w:ilvl="8" w:tplc="4F70D806">
      <w:start w:val="1"/>
      <w:numFmt w:val="lowerRoman"/>
      <w:lvlText w:val="%9."/>
      <w:lvlJc w:val="right"/>
      <w:pPr>
        <w:ind w:left="6480" w:hanging="180"/>
      </w:pPr>
    </w:lvl>
  </w:abstractNum>
  <w:abstractNum w:abstractNumId="104" w15:restartNumberingAfterBreak="0">
    <w:nsid w:val="7A6C4E3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7AAC99BB"/>
    <w:multiLevelType w:val="hybridMultilevel"/>
    <w:tmpl w:val="FFFFFFFF"/>
    <w:lvl w:ilvl="0" w:tplc="AF945B64">
      <w:start w:val="1"/>
      <w:numFmt w:val="bullet"/>
      <w:lvlText w:val="-"/>
      <w:lvlJc w:val="left"/>
      <w:pPr>
        <w:ind w:left="720" w:hanging="360"/>
      </w:pPr>
      <w:rPr>
        <w:rFonts w:ascii="Aptos" w:hAnsi="Aptos" w:hint="default"/>
      </w:rPr>
    </w:lvl>
    <w:lvl w:ilvl="1" w:tplc="A6EE6418">
      <w:start w:val="1"/>
      <w:numFmt w:val="bullet"/>
      <w:lvlText w:val="o"/>
      <w:lvlJc w:val="left"/>
      <w:pPr>
        <w:ind w:left="1440" w:hanging="360"/>
      </w:pPr>
      <w:rPr>
        <w:rFonts w:ascii="Courier New" w:hAnsi="Courier New" w:hint="default"/>
      </w:rPr>
    </w:lvl>
    <w:lvl w:ilvl="2" w:tplc="54E06F4C">
      <w:start w:val="1"/>
      <w:numFmt w:val="bullet"/>
      <w:lvlText w:val=""/>
      <w:lvlJc w:val="left"/>
      <w:pPr>
        <w:ind w:left="2160" w:hanging="360"/>
      </w:pPr>
      <w:rPr>
        <w:rFonts w:ascii="Wingdings" w:hAnsi="Wingdings" w:hint="default"/>
      </w:rPr>
    </w:lvl>
    <w:lvl w:ilvl="3" w:tplc="118A2BC4">
      <w:start w:val="1"/>
      <w:numFmt w:val="bullet"/>
      <w:lvlText w:val=""/>
      <w:lvlJc w:val="left"/>
      <w:pPr>
        <w:ind w:left="2880" w:hanging="360"/>
      </w:pPr>
      <w:rPr>
        <w:rFonts w:ascii="Symbol" w:hAnsi="Symbol" w:hint="default"/>
      </w:rPr>
    </w:lvl>
    <w:lvl w:ilvl="4" w:tplc="5E6CE642">
      <w:start w:val="1"/>
      <w:numFmt w:val="bullet"/>
      <w:lvlText w:val="o"/>
      <w:lvlJc w:val="left"/>
      <w:pPr>
        <w:ind w:left="3600" w:hanging="360"/>
      </w:pPr>
      <w:rPr>
        <w:rFonts w:ascii="Courier New" w:hAnsi="Courier New" w:hint="default"/>
      </w:rPr>
    </w:lvl>
    <w:lvl w:ilvl="5" w:tplc="0FC699D0">
      <w:start w:val="1"/>
      <w:numFmt w:val="bullet"/>
      <w:lvlText w:val=""/>
      <w:lvlJc w:val="left"/>
      <w:pPr>
        <w:ind w:left="4320" w:hanging="360"/>
      </w:pPr>
      <w:rPr>
        <w:rFonts w:ascii="Wingdings" w:hAnsi="Wingdings" w:hint="default"/>
      </w:rPr>
    </w:lvl>
    <w:lvl w:ilvl="6" w:tplc="5AC009CC">
      <w:start w:val="1"/>
      <w:numFmt w:val="bullet"/>
      <w:lvlText w:val=""/>
      <w:lvlJc w:val="left"/>
      <w:pPr>
        <w:ind w:left="5040" w:hanging="360"/>
      </w:pPr>
      <w:rPr>
        <w:rFonts w:ascii="Symbol" w:hAnsi="Symbol" w:hint="default"/>
      </w:rPr>
    </w:lvl>
    <w:lvl w:ilvl="7" w:tplc="5596DDFC">
      <w:start w:val="1"/>
      <w:numFmt w:val="bullet"/>
      <w:lvlText w:val="o"/>
      <w:lvlJc w:val="left"/>
      <w:pPr>
        <w:ind w:left="5760" w:hanging="360"/>
      </w:pPr>
      <w:rPr>
        <w:rFonts w:ascii="Courier New" w:hAnsi="Courier New" w:hint="default"/>
      </w:rPr>
    </w:lvl>
    <w:lvl w:ilvl="8" w:tplc="9AC6151A">
      <w:start w:val="1"/>
      <w:numFmt w:val="bullet"/>
      <w:lvlText w:val=""/>
      <w:lvlJc w:val="left"/>
      <w:pPr>
        <w:ind w:left="6480" w:hanging="360"/>
      </w:pPr>
      <w:rPr>
        <w:rFonts w:ascii="Wingdings" w:hAnsi="Wingdings" w:hint="default"/>
      </w:rPr>
    </w:lvl>
  </w:abstractNum>
  <w:abstractNum w:abstractNumId="106" w15:restartNumberingAfterBreak="0">
    <w:nsid w:val="7BB0548B"/>
    <w:multiLevelType w:val="hybridMultilevel"/>
    <w:tmpl w:val="1A8CAC16"/>
    <w:lvl w:ilvl="0" w:tplc="5E2A1002">
      <w:start w:val="1"/>
      <w:numFmt w:val="bullet"/>
      <w:lvlText w:val="•"/>
      <w:lvlJc w:val="left"/>
      <w:pPr>
        <w:tabs>
          <w:tab w:val="num" w:pos="720"/>
        </w:tabs>
        <w:ind w:left="720" w:hanging="360"/>
      </w:pPr>
      <w:rPr>
        <w:rFonts w:ascii="Arial" w:hAnsi="Arial" w:hint="default"/>
      </w:rPr>
    </w:lvl>
    <w:lvl w:ilvl="1" w:tplc="88165050">
      <w:start w:val="1"/>
      <w:numFmt w:val="bullet"/>
      <w:lvlText w:val="•"/>
      <w:lvlJc w:val="left"/>
      <w:pPr>
        <w:tabs>
          <w:tab w:val="num" w:pos="1440"/>
        </w:tabs>
        <w:ind w:left="1440" w:hanging="360"/>
      </w:pPr>
      <w:rPr>
        <w:rFonts w:ascii="Arial" w:hAnsi="Arial" w:hint="default"/>
      </w:rPr>
    </w:lvl>
    <w:lvl w:ilvl="2" w:tplc="8C4A95EC" w:tentative="1">
      <w:start w:val="1"/>
      <w:numFmt w:val="bullet"/>
      <w:lvlText w:val="•"/>
      <w:lvlJc w:val="left"/>
      <w:pPr>
        <w:tabs>
          <w:tab w:val="num" w:pos="2160"/>
        </w:tabs>
        <w:ind w:left="2160" w:hanging="360"/>
      </w:pPr>
      <w:rPr>
        <w:rFonts w:ascii="Arial" w:hAnsi="Arial" w:hint="default"/>
      </w:rPr>
    </w:lvl>
    <w:lvl w:ilvl="3" w:tplc="1C1A51FE" w:tentative="1">
      <w:start w:val="1"/>
      <w:numFmt w:val="bullet"/>
      <w:lvlText w:val="•"/>
      <w:lvlJc w:val="left"/>
      <w:pPr>
        <w:tabs>
          <w:tab w:val="num" w:pos="2880"/>
        </w:tabs>
        <w:ind w:left="2880" w:hanging="360"/>
      </w:pPr>
      <w:rPr>
        <w:rFonts w:ascii="Arial" w:hAnsi="Arial" w:hint="default"/>
      </w:rPr>
    </w:lvl>
    <w:lvl w:ilvl="4" w:tplc="D3BA1164" w:tentative="1">
      <w:start w:val="1"/>
      <w:numFmt w:val="bullet"/>
      <w:lvlText w:val="•"/>
      <w:lvlJc w:val="left"/>
      <w:pPr>
        <w:tabs>
          <w:tab w:val="num" w:pos="3600"/>
        </w:tabs>
        <w:ind w:left="3600" w:hanging="360"/>
      </w:pPr>
      <w:rPr>
        <w:rFonts w:ascii="Arial" w:hAnsi="Arial" w:hint="default"/>
      </w:rPr>
    </w:lvl>
    <w:lvl w:ilvl="5" w:tplc="7B142B26" w:tentative="1">
      <w:start w:val="1"/>
      <w:numFmt w:val="bullet"/>
      <w:lvlText w:val="•"/>
      <w:lvlJc w:val="left"/>
      <w:pPr>
        <w:tabs>
          <w:tab w:val="num" w:pos="4320"/>
        </w:tabs>
        <w:ind w:left="4320" w:hanging="360"/>
      </w:pPr>
      <w:rPr>
        <w:rFonts w:ascii="Arial" w:hAnsi="Arial" w:hint="default"/>
      </w:rPr>
    </w:lvl>
    <w:lvl w:ilvl="6" w:tplc="AB325224" w:tentative="1">
      <w:start w:val="1"/>
      <w:numFmt w:val="bullet"/>
      <w:lvlText w:val="•"/>
      <w:lvlJc w:val="left"/>
      <w:pPr>
        <w:tabs>
          <w:tab w:val="num" w:pos="5040"/>
        </w:tabs>
        <w:ind w:left="5040" w:hanging="360"/>
      </w:pPr>
      <w:rPr>
        <w:rFonts w:ascii="Arial" w:hAnsi="Arial" w:hint="default"/>
      </w:rPr>
    </w:lvl>
    <w:lvl w:ilvl="7" w:tplc="B2B2CC72" w:tentative="1">
      <w:start w:val="1"/>
      <w:numFmt w:val="bullet"/>
      <w:lvlText w:val="•"/>
      <w:lvlJc w:val="left"/>
      <w:pPr>
        <w:tabs>
          <w:tab w:val="num" w:pos="5760"/>
        </w:tabs>
        <w:ind w:left="5760" w:hanging="360"/>
      </w:pPr>
      <w:rPr>
        <w:rFonts w:ascii="Arial" w:hAnsi="Arial" w:hint="default"/>
      </w:rPr>
    </w:lvl>
    <w:lvl w:ilvl="8" w:tplc="BC44FF04" w:tentative="1">
      <w:start w:val="1"/>
      <w:numFmt w:val="bullet"/>
      <w:lvlText w:val="•"/>
      <w:lvlJc w:val="left"/>
      <w:pPr>
        <w:tabs>
          <w:tab w:val="num" w:pos="6480"/>
        </w:tabs>
        <w:ind w:left="6480" w:hanging="360"/>
      </w:pPr>
      <w:rPr>
        <w:rFonts w:ascii="Arial" w:hAnsi="Arial" w:hint="default"/>
      </w:rPr>
    </w:lvl>
  </w:abstractNum>
  <w:num w:numId="1">
    <w:abstractNumId w:val="58"/>
  </w:num>
  <w:num w:numId="2">
    <w:abstractNumId w:val="103"/>
  </w:num>
  <w:num w:numId="3">
    <w:abstractNumId w:val="81"/>
  </w:num>
  <w:num w:numId="4">
    <w:abstractNumId w:val="14"/>
  </w:num>
  <w:num w:numId="5">
    <w:abstractNumId w:val="37"/>
  </w:num>
  <w:num w:numId="6">
    <w:abstractNumId w:val="71"/>
  </w:num>
  <w:num w:numId="7">
    <w:abstractNumId w:val="9"/>
  </w:num>
  <w:num w:numId="8">
    <w:abstractNumId w:val="83"/>
  </w:num>
  <w:num w:numId="9">
    <w:abstractNumId w:val="53"/>
  </w:num>
  <w:num w:numId="10">
    <w:abstractNumId w:val="100"/>
  </w:num>
  <w:num w:numId="11">
    <w:abstractNumId w:val="64"/>
  </w:num>
  <w:num w:numId="12">
    <w:abstractNumId w:val="77"/>
  </w:num>
  <w:num w:numId="13">
    <w:abstractNumId w:val="67"/>
  </w:num>
  <w:num w:numId="14">
    <w:abstractNumId w:val="15"/>
  </w:num>
  <w:num w:numId="15">
    <w:abstractNumId w:val="2"/>
  </w:num>
  <w:num w:numId="16">
    <w:abstractNumId w:val="54"/>
  </w:num>
  <w:num w:numId="17">
    <w:abstractNumId w:val="73"/>
  </w:num>
  <w:num w:numId="18">
    <w:abstractNumId w:val="21"/>
  </w:num>
  <w:num w:numId="19">
    <w:abstractNumId w:val="59"/>
  </w:num>
  <w:num w:numId="20">
    <w:abstractNumId w:val="23"/>
  </w:num>
  <w:num w:numId="21">
    <w:abstractNumId w:val="35"/>
  </w:num>
  <w:num w:numId="22">
    <w:abstractNumId w:val="8"/>
  </w:num>
  <w:num w:numId="23">
    <w:abstractNumId w:val="44"/>
  </w:num>
  <w:num w:numId="24">
    <w:abstractNumId w:val="26"/>
  </w:num>
  <w:num w:numId="25">
    <w:abstractNumId w:val="42"/>
  </w:num>
  <w:num w:numId="26">
    <w:abstractNumId w:val="68"/>
  </w:num>
  <w:num w:numId="27">
    <w:abstractNumId w:val="28"/>
  </w:num>
  <w:num w:numId="28">
    <w:abstractNumId w:val="86"/>
  </w:num>
  <w:num w:numId="29">
    <w:abstractNumId w:val="75"/>
  </w:num>
  <w:num w:numId="30">
    <w:abstractNumId w:val="32"/>
  </w:num>
  <w:num w:numId="31">
    <w:abstractNumId w:val="84"/>
  </w:num>
  <w:num w:numId="32">
    <w:abstractNumId w:val="90"/>
  </w:num>
  <w:num w:numId="33">
    <w:abstractNumId w:val="89"/>
  </w:num>
  <w:num w:numId="34">
    <w:abstractNumId w:val="95"/>
  </w:num>
  <w:num w:numId="35">
    <w:abstractNumId w:val="36"/>
  </w:num>
  <w:num w:numId="36">
    <w:abstractNumId w:val="29"/>
  </w:num>
  <w:num w:numId="37">
    <w:abstractNumId w:val="70"/>
  </w:num>
  <w:num w:numId="38">
    <w:abstractNumId w:val="104"/>
  </w:num>
  <w:num w:numId="39">
    <w:abstractNumId w:val="79"/>
  </w:num>
  <w:num w:numId="40">
    <w:abstractNumId w:val="66"/>
  </w:num>
  <w:num w:numId="41">
    <w:abstractNumId w:val="7"/>
  </w:num>
  <w:num w:numId="42">
    <w:abstractNumId w:val="38"/>
  </w:num>
  <w:num w:numId="43">
    <w:abstractNumId w:val="43"/>
  </w:num>
  <w:num w:numId="44">
    <w:abstractNumId w:val="78"/>
  </w:num>
  <w:num w:numId="45">
    <w:abstractNumId w:val="99"/>
  </w:num>
  <w:num w:numId="46">
    <w:abstractNumId w:val="65"/>
  </w:num>
  <w:num w:numId="47">
    <w:abstractNumId w:val="85"/>
  </w:num>
  <w:num w:numId="48">
    <w:abstractNumId w:val="82"/>
  </w:num>
  <w:num w:numId="49">
    <w:abstractNumId w:val="19"/>
  </w:num>
  <w:num w:numId="50">
    <w:abstractNumId w:val="92"/>
  </w:num>
  <w:num w:numId="51">
    <w:abstractNumId w:val="48"/>
  </w:num>
  <w:num w:numId="52">
    <w:abstractNumId w:val="45"/>
  </w:num>
  <w:num w:numId="53">
    <w:abstractNumId w:val="47"/>
  </w:num>
  <w:num w:numId="54">
    <w:abstractNumId w:val="20"/>
  </w:num>
  <w:num w:numId="55">
    <w:abstractNumId w:val="1"/>
  </w:num>
  <w:num w:numId="56">
    <w:abstractNumId w:val="33"/>
  </w:num>
  <w:num w:numId="57">
    <w:abstractNumId w:val="97"/>
  </w:num>
  <w:num w:numId="58">
    <w:abstractNumId w:val="18"/>
  </w:num>
  <w:num w:numId="59">
    <w:abstractNumId w:val="80"/>
  </w:num>
  <w:num w:numId="60">
    <w:abstractNumId w:val="24"/>
  </w:num>
  <w:num w:numId="61">
    <w:abstractNumId w:val="22"/>
  </w:num>
  <w:num w:numId="62">
    <w:abstractNumId w:val="31"/>
  </w:num>
  <w:num w:numId="63">
    <w:abstractNumId w:val="30"/>
  </w:num>
  <w:num w:numId="64">
    <w:abstractNumId w:val="4"/>
  </w:num>
  <w:num w:numId="65">
    <w:abstractNumId w:val="39"/>
  </w:num>
  <w:num w:numId="66">
    <w:abstractNumId w:val="51"/>
  </w:num>
  <w:num w:numId="67">
    <w:abstractNumId w:val="87"/>
  </w:num>
  <w:num w:numId="68">
    <w:abstractNumId w:val="11"/>
  </w:num>
  <w:num w:numId="69">
    <w:abstractNumId w:val="3"/>
  </w:num>
  <w:num w:numId="70">
    <w:abstractNumId w:val="69"/>
  </w:num>
  <w:num w:numId="71">
    <w:abstractNumId w:val="76"/>
  </w:num>
  <w:num w:numId="72">
    <w:abstractNumId w:val="16"/>
  </w:num>
  <w:num w:numId="73">
    <w:abstractNumId w:val="94"/>
  </w:num>
  <w:num w:numId="74">
    <w:abstractNumId w:val="57"/>
  </w:num>
  <w:num w:numId="75">
    <w:abstractNumId w:val="13"/>
  </w:num>
  <w:num w:numId="76">
    <w:abstractNumId w:val="46"/>
  </w:num>
  <w:num w:numId="77">
    <w:abstractNumId w:val="102"/>
  </w:num>
  <w:num w:numId="78">
    <w:abstractNumId w:val="12"/>
  </w:num>
  <w:num w:numId="79">
    <w:abstractNumId w:val="17"/>
  </w:num>
  <w:num w:numId="80">
    <w:abstractNumId w:val="55"/>
  </w:num>
  <w:num w:numId="81">
    <w:abstractNumId w:val="6"/>
  </w:num>
  <w:num w:numId="82">
    <w:abstractNumId w:val="41"/>
  </w:num>
  <w:num w:numId="83">
    <w:abstractNumId w:val="105"/>
  </w:num>
  <w:num w:numId="84">
    <w:abstractNumId w:val="93"/>
  </w:num>
  <w:num w:numId="85">
    <w:abstractNumId w:val="56"/>
  </w:num>
  <w:num w:numId="86">
    <w:abstractNumId w:val="50"/>
  </w:num>
  <w:num w:numId="87">
    <w:abstractNumId w:val="5"/>
  </w:num>
  <w:num w:numId="88">
    <w:abstractNumId w:val="106"/>
  </w:num>
  <w:num w:numId="89">
    <w:abstractNumId w:val="10"/>
  </w:num>
  <w:num w:numId="90">
    <w:abstractNumId w:val="0"/>
  </w:num>
  <w:num w:numId="91">
    <w:abstractNumId w:val="25"/>
  </w:num>
  <w:num w:numId="92">
    <w:abstractNumId w:val="61"/>
  </w:num>
  <w:num w:numId="93">
    <w:abstractNumId w:val="60"/>
  </w:num>
  <w:num w:numId="94">
    <w:abstractNumId w:val="52"/>
  </w:num>
  <w:num w:numId="95">
    <w:abstractNumId w:val="62"/>
  </w:num>
  <w:num w:numId="96">
    <w:abstractNumId w:val="22"/>
  </w:num>
  <w:num w:numId="97">
    <w:abstractNumId w:val="63"/>
  </w:num>
  <w:num w:numId="98">
    <w:abstractNumId w:val="72"/>
  </w:num>
  <w:num w:numId="99">
    <w:abstractNumId w:val="91"/>
  </w:num>
  <w:num w:numId="100">
    <w:abstractNumId w:val="34"/>
  </w:num>
  <w:num w:numId="101">
    <w:abstractNumId w:val="88"/>
  </w:num>
  <w:num w:numId="102">
    <w:abstractNumId w:val="74"/>
  </w:num>
  <w:num w:numId="103">
    <w:abstractNumId w:val="98"/>
  </w:num>
  <w:num w:numId="104">
    <w:abstractNumId w:val="40"/>
  </w:num>
  <w:num w:numId="105">
    <w:abstractNumId w:val="49"/>
  </w:num>
  <w:num w:numId="106">
    <w:abstractNumId w:val="27"/>
  </w:num>
  <w:num w:numId="107">
    <w:abstractNumId w:val="49"/>
  </w:num>
  <w:num w:numId="10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01"/>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414E1AF3-14AC-47D8-93D6-2E4E450AC712"/>
    <w:docVar w:name="LW_COVERPAGE_TYPE" w:val="1"/>
    <w:docVar w:name="LW_CROSSREFERENCE" w:val="&lt;UNUSED&gt;"/>
    <w:docVar w:name="LW_DocType" w:val="NORMAL"/>
    <w:docVar w:name="LW_EMISSION" w:val="25.6.2025"/>
    <w:docVar w:name="LW_EMISSION_ISODATE" w:val="2025-06-25"/>
    <w:docVar w:name="LW_EMISSION_LOCATION" w:val="BRX"/>
    <w:docVar w:name="LW_EMISSION_PREFIX" w:val="Bruxelles, "/>
    <w:docVar w:name="LW_EMISSION_SUFFIX" w:val=" "/>
    <w:docVar w:name="LW_ID_DOCTYPE_NONLW" w:val="CP-014"/>
    <w:docVar w:name="LW_LANGUE" w:val="IT"/>
    <w:docVar w:name="LW_LEVEL_OF_SENSITIVITY" w:val="Standard treatmen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25) 33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a visione per l'economia spaziale europea"/>
    <w:docVar w:name="LW_TYPE.DOC.CP" w:val="COMUNICAZIONE DELLA COMMISSIONE AL PARLAMENTO EUROPEO, AL CONSIGLIO, AL COMITATO ECONOMICO E SOCIALE EUROPEO E AL COMITATO DELLE REGIONI"/>
    <w:docVar w:name="LW_TYPE.DOC.CP.USERTEXT" w:val="&lt;EMPTY&gt;"/>
    <w:docVar w:name="LwApiVersions" w:val="LW4CoDe 1.24.5.0; LW 9.0, Build 20240221"/>
  </w:docVars>
  <w:rsids>
    <w:rsidRoot w:val="005B5947"/>
    <w:rsid w:val="00000680"/>
    <w:rsid w:val="0000091C"/>
    <w:rsid w:val="00000FB0"/>
    <w:rsid w:val="00001015"/>
    <w:rsid w:val="000010F3"/>
    <w:rsid w:val="0000141B"/>
    <w:rsid w:val="000018E4"/>
    <w:rsid w:val="00002012"/>
    <w:rsid w:val="000022DB"/>
    <w:rsid w:val="000024CB"/>
    <w:rsid w:val="000025D5"/>
    <w:rsid w:val="00002912"/>
    <w:rsid w:val="00002AD9"/>
    <w:rsid w:val="00002CDE"/>
    <w:rsid w:val="00002E77"/>
    <w:rsid w:val="00002F92"/>
    <w:rsid w:val="000030E4"/>
    <w:rsid w:val="0000330C"/>
    <w:rsid w:val="00003523"/>
    <w:rsid w:val="000036EF"/>
    <w:rsid w:val="000039E1"/>
    <w:rsid w:val="00003A8B"/>
    <w:rsid w:val="00003BE8"/>
    <w:rsid w:val="00003BF4"/>
    <w:rsid w:val="00003CED"/>
    <w:rsid w:val="00003D40"/>
    <w:rsid w:val="0000403F"/>
    <w:rsid w:val="00004357"/>
    <w:rsid w:val="0000449B"/>
    <w:rsid w:val="000046F1"/>
    <w:rsid w:val="0000513A"/>
    <w:rsid w:val="00005236"/>
    <w:rsid w:val="00005505"/>
    <w:rsid w:val="0000568F"/>
    <w:rsid w:val="0000582B"/>
    <w:rsid w:val="0000599E"/>
    <w:rsid w:val="00005D40"/>
    <w:rsid w:val="00005E7B"/>
    <w:rsid w:val="00005E9F"/>
    <w:rsid w:val="00005F2C"/>
    <w:rsid w:val="00005FF8"/>
    <w:rsid w:val="000062F7"/>
    <w:rsid w:val="000067ED"/>
    <w:rsid w:val="0000710E"/>
    <w:rsid w:val="0000749A"/>
    <w:rsid w:val="00007548"/>
    <w:rsid w:val="0000756E"/>
    <w:rsid w:val="000075B4"/>
    <w:rsid w:val="00007820"/>
    <w:rsid w:val="0000793D"/>
    <w:rsid w:val="00007B70"/>
    <w:rsid w:val="0001005E"/>
    <w:rsid w:val="000100C2"/>
    <w:rsid w:val="000101B1"/>
    <w:rsid w:val="000101E4"/>
    <w:rsid w:val="00010471"/>
    <w:rsid w:val="00010673"/>
    <w:rsid w:val="00010699"/>
    <w:rsid w:val="00010C6B"/>
    <w:rsid w:val="00010E7A"/>
    <w:rsid w:val="00011211"/>
    <w:rsid w:val="0001133F"/>
    <w:rsid w:val="00011343"/>
    <w:rsid w:val="000117A6"/>
    <w:rsid w:val="0001190D"/>
    <w:rsid w:val="00011A73"/>
    <w:rsid w:val="00011CF1"/>
    <w:rsid w:val="00011D20"/>
    <w:rsid w:val="00011E3F"/>
    <w:rsid w:val="00011F08"/>
    <w:rsid w:val="0001224B"/>
    <w:rsid w:val="00012318"/>
    <w:rsid w:val="000123C7"/>
    <w:rsid w:val="00012461"/>
    <w:rsid w:val="00012561"/>
    <w:rsid w:val="00012A3A"/>
    <w:rsid w:val="000134CB"/>
    <w:rsid w:val="00013565"/>
    <w:rsid w:val="00013909"/>
    <w:rsid w:val="00013942"/>
    <w:rsid w:val="00013B1B"/>
    <w:rsid w:val="00013FE8"/>
    <w:rsid w:val="000141EE"/>
    <w:rsid w:val="00014578"/>
    <w:rsid w:val="000146C8"/>
    <w:rsid w:val="0001471B"/>
    <w:rsid w:val="000149DE"/>
    <w:rsid w:val="00014CAB"/>
    <w:rsid w:val="00014DF6"/>
    <w:rsid w:val="00014E15"/>
    <w:rsid w:val="0001505A"/>
    <w:rsid w:val="0001519C"/>
    <w:rsid w:val="0001555A"/>
    <w:rsid w:val="00015F76"/>
    <w:rsid w:val="00016098"/>
    <w:rsid w:val="00016344"/>
    <w:rsid w:val="00016458"/>
    <w:rsid w:val="000167D2"/>
    <w:rsid w:val="00016908"/>
    <w:rsid w:val="000169B5"/>
    <w:rsid w:val="00016A64"/>
    <w:rsid w:val="00016BF7"/>
    <w:rsid w:val="0001713B"/>
    <w:rsid w:val="0001762E"/>
    <w:rsid w:val="000177C0"/>
    <w:rsid w:val="00017940"/>
    <w:rsid w:val="00017E49"/>
    <w:rsid w:val="0002013C"/>
    <w:rsid w:val="00020353"/>
    <w:rsid w:val="0002036F"/>
    <w:rsid w:val="0002041A"/>
    <w:rsid w:val="000206A7"/>
    <w:rsid w:val="00020772"/>
    <w:rsid w:val="00020A57"/>
    <w:rsid w:val="00020DFF"/>
    <w:rsid w:val="000216BC"/>
    <w:rsid w:val="000216DA"/>
    <w:rsid w:val="00021876"/>
    <w:rsid w:val="00021FFE"/>
    <w:rsid w:val="000226CD"/>
    <w:rsid w:val="000226F0"/>
    <w:rsid w:val="00022818"/>
    <w:rsid w:val="000228C7"/>
    <w:rsid w:val="0002291F"/>
    <w:rsid w:val="00022B6E"/>
    <w:rsid w:val="00022ED5"/>
    <w:rsid w:val="0002328E"/>
    <w:rsid w:val="00023724"/>
    <w:rsid w:val="00023A95"/>
    <w:rsid w:val="00023BC0"/>
    <w:rsid w:val="00023BC4"/>
    <w:rsid w:val="00023EF0"/>
    <w:rsid w:val="00023F3C"/>
    <w:rsid w:val="00024872"/>
    <w:rsid w:val="00024925"/>
    <w:rsid w:val="000249B5"/>
    <w:rsid w:val="00024A96"/>
    <w:rsid w:val="00024AF8"/>
    <w:rsid w:val="00024D81"/>
    <w:rsid w:val="00024EF0"/>
    <w:rsid w:val="0002525E"/>
    <w:rsid w:val="00025716"/>
    <w:rsid w:val="00025EE8"/>
    <w:rsid w:val="00025FC3"/>
    <w:rsid w:val="00026159"/>
    <w:rsid w:val="000261BF"/>
    <w:rsid w:val="0002624E"/>
    <w:rsid w:val="00026492"/>
    <w:rsid w:val="0002650D"/>
    <w:rsid w:val="00026643"/>
    <w:rsid w:val="0002669C"/>
    <w:rsid w:val="000266C8"/>
    <w:rsid w:val="000267B3"/>
    <w:rsid w:val="00026AB7"/>
    <w:rsid w:val="00026C76"/>
    <w:rsid w:val="00027268"/>
    <w:rsid w:val="000278D8"/>
    <w:rsid w:val="00027B08"/>
    <w:rsid w:val="00027E33"/>
    <w:rsid w:val="00027FD2"/>
    <w:rsid w:val="00030219"/>
    <w:rsid w:val="0003025A"/>
    <w:rsid w:val="00030762"/>
    <w:rsid w:val="00030939"/>
    <w:rsid w:val="000312DB"/>
    <w:rsid w:val="00031E6D"/>
    <w:rsid w:val="00032261"/>
    <w:rsid w:val="000328C4"/>
    <w:rsid w:val="00032F0B"/>
    <w:rsid w:val="00032F4E"/>
    <w:rsid w:val="00033001"/>
    <w:rsid w:val="00033091"/>
    <w:rsid w:val="00033954"/>
    <w:rsid w:val="00033C7A"/>
    <w:rsid w:val="00033C8B"/>
    <w:rsid w:val="00033DDB"/>
    <w:rsid w:val="0003444A"/>
    <w:rsid w:val="0003454B"/>
    <w:rsid w:val="000347C9"/>
    <w:rsid w:val="000348ED"/>
    <w:rsid w:val="00034A6E"/>
    <w:rsid w:val="00034CFC"/>
    <w:rsid w:val="00034EC1"/>
    <w:rsid w:val="00035076"/>
    <w:rsid w:val="000350D0"/>
    <w:rsid w:val="00035309"/>
    <w:rsid w:val="000358D9"/>
    <w:rsid w:val="0003624B"/>
    <w:rsid w:val="0003626D"/>
    <w:rsid w:val="000367D3"/>
    <w:rsid w:val="000367E5"/>
    <w:rsid w:val="00036A65"/>
    <w:rsid w:val="00036ADB"/>
    <w:rsid w:val="00036E69"/>
    <w:rsid w:val="0003728B"/>
    <w:rsid w:val="0003740F"/>
    <w:rsid w:val="0003748E"/>
    <w:rsid w:val="0003793E"/>
    <w:rsid w:val="00037D97"/>
    <w:rsid w:val="000405CC"/>
    <w:rsid w:val="000405D5"/>
    <w:rsid w:val="00040762"/>
    <w:rsid w:val="000407AB"/>
    <w:rsid w:val="00040AC0"/>
    <w:rsid w:val="00040D0E"/>
    <w:rsid w:val="00040E47"/>
    <w:rsid w:val="000417A0"/>
    <w:rsid w:val="000418AB"/>
    <w:rsid w:val="00041C0E"/>
    <w:rsid w:val="00041CAA"/>
    <w:rsid w:val="00041D8C"/>
    <w:rsid w:val="00041DAD"/>
    <w:rsid w:val="0004216C"/>
    <w:rsid w:val="0004242A"/>
    <w:rsid w:val="00042621"/>
    <w:rsid w:val="00042662"/>
    <w:rsid w:val="000426F5"/>
    <w:rsid w:val="00042746"/>
    <w:rsid w:val="00042ADD"/>
    <w:rsid w:val="00042B9D"/>
    <w:rsid w:val="00042F40"/>
    <w:rsid w:val="0004303A"/>
    <w:rsid w:val="0004325B"/>
    <w:rsid w:val="00043B8F"/>
    <w:rsid w:val="00043ED4"/>
    <w:rsid w:val="00044485"/>
    <w:rsid w:val="00044536"/>
    <w:rsid w:val="00044B21"/>
    <w:rsid w:val="00044D80"/>
    <w:rsid w:val="00044D8C"/>
    <w:rsid w:val="00044F47"/>
    <w:rsid w:val="00045023"/>
    <w:rsid w:val="0004512D"/>
    <w:rsid w:val="0004544D"/>
    <w:rsid w:val="00045F1B"/>
    <w:rsid w:val="00046072"/>
    <w:rsid w:val="00046130"/>
    <w:rsid w:val="000466A3"/>
    <w:rsid w:val="00046B25"/>
    <w:rsid w:val="00046B45"/>
    <w:rsid w:val="00046C71"/>
    <w:rsid w:val="00046DC5"/>
    <w:rsid w:val="00046F97"/>
    <w:rsid w:val="00047329"/>
    <w:rsid w:val="0004748F"/>
    <w:rsid w:val="00047667"/>
    <w:rsid w:val="0004792D"/>
    <w:rsid w:val="00047DC5"/>
    <w:rsid w:val="00047F67"/>
    <w:rsid w:val="00050021"/>
    <w:rsid w:val="00050026"/>
    <w:rsid w:val="000504A3"/>
    <w:rsid w:val="000505DC"/>
    <w:rsid w:val="0005080C"/>
    <w:rsid w:val="000508AD"/>
    <w:rsid w:val="000508C6"/>
    <w:rsid w:val="00050CEF"/>
    <w:rsid w:val="00051221"/>
    <w:rsid w:val="0005197D"/>
    <w:rsid w:val="00051983"/>
    <w:rsid w:val="0005198F"/>
    <w:rsid w:val="000519FB"/>
    <w:rsid w:val="00051ABE"/>
    <w:rsid w:val="000523EA"/>
    <w:rsid w:val="0005245B"/>
    <w:rsid w:val="00052776"/>
    <w:rsid w:val="00052CB4"/>
    <w:rsid w:val="00052DB5"/>
    <w:rsid w:val="00052E34"/>
    <w:rsid w:val="00053207"/>
    <w:rsid w:val="0005335E"/>
    <w:rsid w:val="000538B5"/>
    <w:rsid w:val="000538CC"/>
    <w:rsid w:val="00053929"/>
    <w:rsid w:val="00053B6E"/>
    <w:rsid w:val="00053BBF"/>
    <w:rsid w:val="00053C3E"/>
    <w:rsid w:val="00053EB5"/>
    <w:rsid w:val="00053F92"/>
    <w:rsid w:val="00054230"/>
    <w:rsid w:val="000542AF"/>
    <w:rsid w:val="0005445D"/>
    <w:rsid w:val="000546CE"/>
    <w:rsid w:val="000546DA"/>
    <w:rsid w:val="000548F3"/>
    <w:rsid w:val="00055258"/>
    <w:rsid w:val="00055467"/>
    <w:rsid w:val="000558C6"/>
    <w:rsid w:val="000566D0"/>
    <w:rsid w:val="000569FA"/>
    <w:rsid w:val="00056A6A"/>
    <w:rsid w:val="00056D6A"/>
    <w:rsid w:val="0005708D"/>
    <w:rsid w:val="00057C9B"/>
    <w:rsid w:val="00057ED7"/>
    <w:rsid w:val="00057F50"/>
    <w:rsid w:val="0006007B"/>
    <w:rsid w:val="0006072B"/>
    <w:rsid w:val="00060AF3"/>
    <w:rsid w:val="00060B36"/>
    <w:rsid w:val="00060B48"/>
    <w:rsid w:val="00060D7D"/>
    <w:rsid w:val="00060E4F"/>
    <w:rsid w:val="0006102B"/>
    <w:rsid w:val="00061041"/>
    <w:rsid w:val="00061096"/>
    <w:rsid w:val="0006133F"/>
    <w:rsid w:val="000615D9"/>
    <w:rsid w:val="000615FB"/>
    <w:rsid w:val="0006172A"/>
    <w:rsid w:val="00061861"/>
    <w:rsid w:val="0006194E"/>
    <w:rsid w:val="00061A98"/>
    <w:rsid w:val="00061BC0"/>
    <w:rsid w:val="00061C30"/>
    <w:rsid w:val="00061E49"/>
    <w:rsid w:val="000623CF"/>
    <w:rsid w:val="000624E0"/>
    <w:rsid w:val="0006275A"/>
    <w:rsid w:val="00062B42"/>
    <w:rsid w:val="00062B9D"/>
    <w:rsid w:val="00063099"/>
    <w:rsid w:val="00063819"/>
    <w:rsid w:val="00063861"/>
    <w:rsid w:val="00063AA3"/>
    <w:rsid w:val="00063BBC"/>
    <w:rsid w:val="00063DAA"/>
    <w:rsid w:val="00063FBA"/>
    <w:rsid w:val="0006427B"/>
    <w:rsid w:val="000643FA"/>
    <w:rsid w:val="00064500"/>
    <w:rsid w:val="00064646"/>
    <w:rsid w:val="0006493B"/>
    <w:rsid w:val="00064C36"/>
    <w:rsid w:val="00064EE2"/>
    <w:rsid w:val="000651A9"/>
    <w:rsid w:val="000654B3"/>
    <w:rsid w:val="00065554"/>
    <w:rsid w:val="00065858"/>
    <w:rsid w:val="000658F0"/>
    <w:rsid w:val="000659FD"/>
    <w:rsid w:val="0006600D"/>
    <w:rsid w:val="000664DA"/>
    <w:rsid w:val="0006665C"/>
    <w:rsid w:val="0006671F"/>
    <w:rsid w:val="000668AD"/>
    <w:rsid w:val="00066BA7"/>
    <w:rsid w:val="00066C9A"/>
    <w:rsid w:val="00066ED3"/>
    <w:rsid w:val="000670F9"/>
    <w:rsid w:val="00067245"/>
    <w:rsid w:val="00067460"/>
    <w:rsid w:val="0006750C"/>
    <w:rsid w:val="00067539"/>
    <w:rsid w:val="00067669"/>
    <w:rsid w:val="00067805"/>
    <w:rsid w:val="00067B35"/>
    <w:rsid w:val="00067C04"/>
    <w:rsid w:val="00067CD9"/>
    <w:rsid w:val="00067D49"/>
    <w:rsid w:val="00067FCD"/>
    <w:rsid w:val="0007022F"/>
    <w:rsid w:val="000704F9"/>
    <w:rsid w:val="0007091C"/>
    <w:rsid w:val="00070C1B"/>
    <w:rsid w:val="00070E57"/>
    <w:rsid w:val="00070EFC"/>
    <w:rsid w:val="000712D1"/>
    <w:rsid w:val="00071568"/>
    <w:rsid w:val="00071591"/>
    <w:rsid w:val="00071663"/>
    <w:rsid w:val="000718EC"/>
    <w:rsid w:val="0007199C"/>
    <w:rsid w:val="00071B3F"/>
    <w:rsid w:val="00071C4B"/>
    <w:rsid w:val="00072626"/>
    <w:rsid w:val="00072B63"/>
    <w:rsid w:val="00072BD7"/>
    <w:rsid w:val="00072BE0"/>
    <w:rsid w:val="00072CA3"/>
    <w:rsid w:val="00073C4B"/>
    <w:rsid w:val="00073E3E"/>
    <w:rsid w:val="00073F03"/>
    <w:rsid w:val="00073F8C"/>
    <w:rsid w:val="00074079"/>
    <w:rsid w:val="0007484E"/>
    <w:rsid w:val="00074865"/>
    <w:rsid w:val="000748C8"/>
    <w:rsid w:val="00074C90"/>
    <w:rsid w:val="00074CD4"/>
    <w:rsid w:val="00074DEE"/>
    <w:rsid w:val="00075BB7"/>
    <w:rsid w:val="0007634B"/>
    <w:rsid w:val="0007669A"/>
    <w:rsid w:val="00076B4D"/>
    <w:rsid w:val="00076DA3"/>
    <w:rsid w:val="00077042"/>
    <w:rsid w:val="00077232"/>
    <w:rsid w:val="00077492"/>
    <w:rsid w:val="00077DE6"/>
    <w:rsid w:val="0008027A"/>
    <w:rsid w:val="0008039A"/>
    <w:rsid w:val="00080450"/>
    <w:rsid w:val="00080545"/>
    <w:rsid w:val="00080D72"/>
    <w:rsid w:val="00080FDC"/>
    <w:rsid w:val="000810AB"/>
    <w:rsid w:val="000813E3"/>
    <w:rsid w:val="000815A1"/>
    <w:rsid w:val="00081737"/>
    <w:rsid w:val="00081A1E"/>
    <w:rsid w:val="00081BED"/>
    <w:rsid w:val="00081D47"/>
    <w:rsid w:val="00081DCC"/>
    <w:rsid w:val="00081E44"/>
    <w:rsid w:val="000827CA"/>
    <w:rsid w:val="00082DB6"/>
    <w:rsid w:val="00082FF8"/>
    <w:rsid w:val="000837C9"/>
    <w:rsid w:val="0008393F"/>
    <w:rsid w:val="00083B36"/>
    <w:rsid w:val="00083C8F"/>
    <w:rsid w:val="00083CF7"/>
    <w:rsid w:val="00083E51"/>
    <w:rsid w:val="00084126"/>
    <w:rsid w:val="000842A4"/>
    <w:rsid w:val="0008447A"/>
    <w:rsid w:val="000847D8"/>
    <w:rsid w:val="00084852"/>
    <w:rsid w:val="00084E55"/>
    <w:rsid w:val="000851C1"/>
    <w:rsid w:val="0008551B"/>
    <w:rsid w:val="000858CF"/>
    <w:rsid w:val="000858D3"/>
    <w:rsid w:val="00085FAF"/>
    <w:rsid w:val="000861D6"/>
    <w:rsid w:val="000861DA"/>
    <w:rsid w:val="000864A7"/>
    <w:rsid w:val="00086B3B"/>
    <w:rsid w:val="00086B62"/>
    <w:rsid w:val="000872B2"/>
    <w:rsid w:val="000876A8"/>
    <w:rsid w:val="00087701"/>
    <w:rsid w:val="00087B98"/>
    <w:rsid w:val="00090020"/>
    <w:rsid w:val="00090078"/>
    <w:rsid w:val="00090825"/>
    <w:rsid w:val="00090D64"/>
    <w:rsid w:val="00090EB8"/>
    <w:rsid w:val="00090EFD"/>
    <w:rsid w:val="00091143"/>
    <w:rsid w:val="000911F7"/>
    <w:rsid w:val="00091298"/>
    <w:rsid w:val="0009135A"/>
    <w:rsid w:val="000913C2"/>
    <w:rsid w:val="00091611"/>
    <w:rsid w:val="00091ACE"/>
    <w:rsid w:val="00091ADA"/>
    <w:rsid w:val="00091C50"/>
    <w:rsid w:val="00091D45"/>
    <w:rsid w:val="00092109"/>
    <w:rsid w:val="00092147"/>
    <w:rsid w:val="000921EA"/>
    <w:rsid w:val="000924A7"/>
    <w:rsid w:val="00092558"/>
    <w:rsid w:val="00092AA1"/>
    <w:rsid w:val="00092C6D"/>
    <w:rsid w:val="00093458"/>
    <w:rsid w:val="00093857"/>
    <w:rsid w:val="00093911"/>
    <w:rsid w:val="00093A33"/>
    <w:rsid w:val="00093B97"/>
    <w:rsid w:val="00093DF8"/>
    <w:rsid w:val="00093EA1"/>
    <w:rsid w:val="00093FB9"/>
    <w:rsid w:val="000941AF"/>
    <w:rsid w:val="0009466F"/>
    <w:rsid w:val="000949DF"/>
    <w:rsid w:val="0009509E"/>
    <w:rsid w:val="000952A6"/>
    <w:rsid w:val="00095385"/>
    <w:rsid w:val="000954BD"/>
    <w:rsid w:val="00095592"/>
    <w:rsid w:val="00095C6D"/>
    <w:rsid w:val="00095F9D"/>
    <w:rsid w:val="0009613F"/>
    <w:rsid w:val="0009636A"/>
    <w:rsid w:val="000964C8"/>
    <w:rsid w:val="0009693A"/>
    <w:rsid w:val="00096A9A"/>
    <w:rsid w:val="00097301"/>
    <w:rsid w:val="0009733B"/>
    <w:rsid w:val="00097453"/>
    <w:rsid w:val="000974DF"/>
    <w:rsid w:val="000978EC"/>
    <w:rsid w:val="00097FD7"/>
    <w:rsid w:val="000981B0"/>
    <w:rsid w:val="000A00DB"/>
    <w:rsid w:val="000A03D1"/>
    <w:rsid w:val="000A062F"/>
    <w:rsid w:val="000A0716"/>
    <w:rsid w:val="000A0725"/>
    <w:rsid w:val="000A0BEB"/>
    <w:rsid w:val="000A0DC9"/>
    <w:rsid w:val="000A111C"/>
    <w:rsid w:val="000A124A"/>
    <w:rsid w:val="000A143A"/>
    <w:rsid w:val="000A14A6"/>
    <w:rsid w:val="000A14FB"/>
    <w:rsid w:val="000A1920"/>
    <w:rsid w:val="000A1C3D"/>
    <w:rsid w:val="000A1D66"/>
    <w:rsid w:val="000A1DDC"/>
    <w:rsid w:val="000A204F"/>
    <w:rsid w:val="000A2413"/>
    <w:rsid w:val="000A28C5"/>
    <w:rsid w:val="000A2BDC"/>
    <w:rsid w:val="000A2CC1"/>
    <w:rsid w:val="000A2F58"/>
    <w:rsid w:val="000A2FAC"/>
    <w:rsid w:val="000A3043"/>
    <w:rsid w:val="000A305F"/>
    <w:rsid w:val="000A3194"/>
    <w:rsid w:val="000A395D"/>
    <w:rsid w:val="000A3A6A"/>
    <w:rsid w:val="000A3A7A"/>
    <w:rsid w:val="000A3B2A"/>
    <w:rsid w:val="000A3EFE"/>
    <w:rsid w:val="000A401A"/>
    <w:rsid w:val="000A434C"/>
    <w:rsid w:val="000A45AA"/>
    <w:rsid w:val="000A49B3"/>
    <w:rsid w:val="000A4AC1"/>
    <w:rsid w:val="000A4B57"/>
    <w:rsid w:val="000A4C2B"/>
    <w:rsid w:val="000A4FE3"/>
    <w:rsid w:val="000A5278"/>
    <w:rsid w:val="000A53B6"/>
    <w:rsid w:val="000A54D0"/>
    <w:rsid w:val="000A5788"/>
    <w:rsid w:val="000A5880"/>
    <w:rsid w:val="000A5887"/>
    <w:rsid w:val="000A5917"/>
    <w:rsid w:val="000A5BB9"/>
    <w:rsid w:val="000A608F"/>
    <w:rsid w:val="000A623E"/>
    <w:rsid w:val="000A6594"/>
    <w:rsid w:val="000A6D5E"/>
    <w:rsid w:val="000A71A4"/>
    <w:rsid w:val="000A72E7"/>
    <w:rsid w:val="000A74CF"/>
    <w:rsid w:val="000A757F"/>
    <w:rsid w:val="000A76CD"/>
    <w:rsid w:val="000A7A54"/>
    <w:rsid w:val="000A7C98"/>
    <w:rsid w:val="000A7FBF"/>
    <w:rsid w:val="000B0419"/>
    <w:rsid w:val="000B05FA"/>
    <w:rsid w:val="000B082E"/>
    <w:rsid w:val="000B0A3A"/>
    <w:rsid w:val="000B0A8D"/>
    <w:rsid w:val="000B0C94"/>
    <w:rsid w:val="000B0E79"/>
    <w:rsid w:val="000B11AB"/>
    <w:rsid w:val="000B1312"/>
    <w:rsid w:val="000B1400"/>
    <w:rsid w:val="000B1495"/>
    <w:rsid w:val="000B14CD"/>
    <w:rsid w:val="000B17BE"/>
    <w:rsid w:val="000B1A75"/>
    <w:rsid w:val="000B1C6C"/>
    <w:rsid w:val="000B1DC3"/>
    <w:rsid w:val="000B2129"/>
    <w:rsid w:val="000B294E"/>
    <w:rsid w:val="000B2BA0"/>
    <w:rsid w:val="000B2D61"/>
    <w:rsid w:val="000B2DB4"/>
    <w:rsid w:val="000B3620"/>
    <w:rsid w:val="000B3869"/>
    <w:rsid w:val="000B38CB"/>
    <w:rsid w:val="000B394F"/>
    <w:rsid w:val="000B3A70"/>
    <w:rsid w:val="000B3B41"/>
    <w:rsid w:val="000B3F5A"/>
    <w:rsid w:val="000B3F92"/>
    <w:rsid w:val="000B45E4"/>
    <w:rsid w:val="000B4AB2"/>
    <w:rsid w:val="000B4EF9"/>
    <w:rsid w:val="000B57FC"/>
    <w:rsid w:val="000B58CE"/>
    <w:rsid w:val="000B59FE"/>
    <w:rsid w:val="000B5A8A"/>
    <w:rsid w:val="000B5CA4"/>
    <w:rsid w:val="000B6194"/>
    <w:rsid w:val="000B624C"/>
    <w:rsid w:val="000B651B"/>
    <w:rsid w:val="000B6C09"/>
    <w:rsid w:val="000B6D76"/>
    <w:rsid w:val="000B6F56"/>
    <w:rsid w:val="000B6FF5"/>
    <w:rsid w:val="000B7097"/>
    <w:rsid w:val="000B71BC"/>
    <w:rsid w:val="000B738C"/>
    <w:rsid w:val="000B7CDD"/>
    <w:rsid w:val="000B7D9C"/>
    <w:rsid w:val="000C00BC"/>
    <w:rsid w:val="000C01BD"/>
    <w:rsid w:val="000C03FB"/>
    <w:rsid w:val="000C0712"/>
    <w:rsid w:val="000C0B73"/>
    <w:rsid w:val="000C0C17"/>
    <w:rsid w:val="000C12CC"/>
    <w:rsid w:val="000C1364"/>
    <w:rsid w:val="000C1470"/>
    <w:rsid w:val="000C15DE"/>
    <w:rsid w:val="000C17F9"/>
    <w:rsid w:val="000C18FE"/>
    <w:rsid w:val="000C19A4"/>
    <w:rsid w:val="000C1C55"/>
    <w:rsid w:val="000C1EDF"/>
    <w:rsid w:val="000C256C"/>
    <w:rsid w:val="000C29B3"/>
    <w:rsid w:val="000C2A69"/>
    <w:rsid w:val="000C2E67"/>
    <w:rsid w:val="000C2FBD"/>
    <w:rsid w:val="000C30DE"/>
    <w:rsid w:val="000C3128"/>
    <w:rsid w:val="000C3276"/>
    <w:rsid w:val="000C33E0"/>
    <w:rsid w:val="000C345D"/>
    <w:rsid w:val="000C34D0"/>
    <w:rsid w:val="000C3962"/>
    <w:rsid w:val="000C3CA2"/>
    <w:rsid w:val="000C3DAC"/>
    <w:rsid w:val="000C40E2"/>
    <w:rsid w:val="000C4D6F"/>
    <w:rsid w:val="000C4EC4"/>
    <w:rsid w:val="000C4FDD"/>
    <w:rsid w:val="000C5800"/>
    <w:rsid w:val="000C580E"/>
    <w:rsid w:val="000C5860"/>
    <w:rsid w:val="000C5959"/>
    <w:rsid w:val="000C5B36"/>
    <w:rsid w:val="000C5B3B"/>
    <w:rsid w:val="000C5D7E"/>
    <w:rsid w:val="000C5DAE"/>
    <w:rsid w:val="000C6313"/>
    <w:rsid w:val="000C6346"/>
    <w:rsid w:val="000C6396"/>
    <w:rsid w:val="000C6C75"/>
    <w:rsid w:val="000C6DBD"/>
    <w:rsid w:val="000C7312"/>
    <w:rsid w:val="000C7366"/>
    <w:rsid w:val="000C77EA"/>
    <w:rsid w:val="000C7919"/>
    <w:rsid w:val="000C7D81"/>
    <w:rsid w:val="000C7E99"/>
    <w:rsid w:val="000D03B6"/>
    <w:rsid w:val="000D0D7C"/>
    <w:rsid w:val="000D0E96"/>
    <w:rsid w:val="000D1167"/>
    <w:rsid w:val="000D1378"/>
    <w:rsid w:val="000D143E"/>
    <w:rsid w:val="000D14D3"/>
    <w:rsid w:val="000D15B1"/>
    <w:rsid w:val="000D1782"/>
    <w:rsid w:val="000D19CD"/>
    <w:rsid w:val="000D1CFA"/>
    <w:rsid w:val="000D1F04"/>
    <w:rsid w:val="000D1F37"/>
    <w:rsid w:val="000D1FDA"/>
    <w:rsid w:val="000D21D6"/>
    <w:rsid w:val="000D265E"/>
    <w:rsid w:val="000D26D7"/>
    <w:rsid w:val="000D2AD5"/>
    <w:rsid w:val="000D2FDD"/>
    <w:rsid w:val="000D3506"/>
    <w:rsid w:val="000D364D"/>
    <w:rsid w:val="000D39F2"/>
    <w:rsid w:val="000D3A55"/>
    <w:rsid w:val="000D3AB7"/>
    <w:rsid w:val="000D3AD4"/>
    <w:rsid w:val="000D3B95"/>
    <w:rsid w:val="000D3BA5"/>
    <w:rsid w:val="000D3BC1"/>
    <w:rsid w:val="000D3C0E"/>
    <w:rsid w:val="000D3C31"/>
    <w:rsid w:val="000D3DB9"/>
    <w:rsid w:val="000D40F3"/>
    <w:rsid w:val="000D426B"/>
    <w:rsid w:val="000D4357"/>
    <w:rsid w:val="000D4597"/>
    <w:rsid w:val="000D489B"/>
    <w:rsid w:val="000D48D8"/>
    <w:rsid w:val="000D4C70"/>
    <w:rsid w:val="000D4F7F"/>
    <w:rsid w:val="000D514A"/>
    <w:rsid w:val="000D5530"/>
    <w:rsid w:val="000D584C"/>
    <w:rsid w:val="000D5A6E"/>
    <w:rsid w:val="000D5C3A"/>
    <w:rsid w:val="000D6214"/>
    <w:rsid w:val="000D63B8"/>
    <w:rsid w:val="000D66FD"/>
    <w:rsid w:val="000D6AD3"/>
    <w:rsid w:val="000D6C70"/>
    <w:rsid w:val="000D713C"/>
    <w:rsid w:val="000D7273"/>
    <w:rsid w:val="000D77E3"/>
    <w:rsid w:val="000D78BD"/>
    <w:rsid w:val="000E049E"/>
    <w:rsid w:val="000E076A"/>
    <w:rsid w:val="000E0B31"/>
    <w:rsid w:val="000E0EA0"/>
    <w:rsid w:val="000E0FDA"/>
    <w:rsid w:val="000E1253"/>
    <w:rsid w:val="000E1256"/>
    <w:rsid w:val="000E14BE"/>
    <w:rsid w:val="000E1718"/>
    <w:rsid w:val="000E1A22"/>
    <w:rsid w:val="000E1A9C"/>
    <w:rsid w:val="000E1AED"/>
    <w:rsid w:val="000E1BC4"/>
    <w:rsid w:val="000E1E17"/>
    <w:rsid w:val="000E1E3F"/>
    <w:rsid w:val="000E213E"/>
    <w:rsid w:val="000E239C"/>
    <w:rsid w:val="000E2515"/>
    <w:rsid w:val="000E299B"/>
    <w:rsid w:val="000E2FB8"/>
    <w:rsid w:val="000E3120"/>
    <w:rsid w:val="000E31DC"/>
    <w:rsid w:val="000E326D"/>
    <w:rsid w:val="000E3495"/>
    <w:rsid w:val="000E35C6"/>
    <w:rsid w:val="000E3B88"/>
    <w:rsid w:val="000E3D19"/>
    <w:rsid w:val="000E4161"/>
    <w:rsid w:val="000E442F"/>
    <w:rsid w:val="000E452A"/>
    <w:rsid w:val="000E479D"/>
    <w:rsid w:val="000E4C27"/>
    <w:rsid w:val="000E4D85"/>
    <w:rsid w:val="000E4E80"/>
    <w:rsid w:val="000E4E8B"/>
    <w:rsid w:val="000E5021"/>
    <w:rsid w:val="000E5340"/>
    <w:rsid w:val="000E538F"/>
    <w:rsid w:val="000E539A"/>
    <w:rsid w:val="000E6154"/>
    <w:rsid w:val="000E657A"/>
    <w:rsid w:val="000E674B"/>
    <w:rsid w:val="000E67A6"/>
    <w:rsid w:val="000E69B3"/>
    <w:rsid w:val="000E71E6"/>
    <w:rsid w:val="000E7335"/>
    <w:rsid w:val="000E7406"/>
    <w:rsid w:val="000E770B"/>
    <w:rsid w:val="000E77D9"/>
    <w:rsid w:val="000E7B30"/>
    <w:rsid w:val="000E7C68"/>
    <w:rsid w:val="000E7F13"/>
    <w:rsid w:val="000F0001"/>
    <w:rsid w:val="000F0409"/>
    <w:rsid w:val="000F09FE"/>
    <w:rsid w:val="000F0BC9"/>
    <w:rsid w:val="000F1002"/>
    <w:rsid w:val="000F106E"/>
    <w:rsid w:val="000F10EC"/>
    <w:rsid w:val="000F1114"/>
    <w:rsid w:val="000F128C"/>
    <w:rsid w:val="000F16D3"/>
    <w:rsid w:val="000F16E4"/>
    <w:rsid w:val="000F193F"/>
    <w:rsid w:val="000F1A1E"/>
    <w:rsid w:val="000F1CCB"/>
    <w:rsid w:val="000F1D99"/>
    <w:rsid w:val="000F1FCE"/>
    <w:rsid w:val="000F2115"/>
    <w:rsid w:val="000F2299"/>
    <w:rsid w:val="000F280B"/>
    <w:rsid w:val="000F2BEA"/>
    <w:rsid w:val="000F31DF"/>
    <w:rsid w:val="000F3379"/>
    <w:rsid w:val="000F3575"/>
    <w:rsid w:val="000F357B"/>
    <w:rsid w:val="000F3639"/>
    <w:rsid w:val="000F3704"/>
    <w:rsid w:val="000F3946"/>
    <w:rsid w:val="000F3B9C"/>
    <w:rsid w:val="000F3D4C"/>
    <w:rsid w:val="000F413F"/>
    <w:rsid w:val="000F44E2"/>
    <w:rsid w:val="000F4723"/>
    <w:rsid w:val="000F4EAA"/>
    <w:rsid w:val="000F56D3"/>
    <w:rsid w:val="000F5889"/>
    <w:rsid w:val="000F591F"/>
    <w:rsid w:val="000F60E4"/>
    <w:rsid w:val="000F634C"/>
    <w:rsid w:val="000F6522"/>
    <w:rsid w:val="000F6575"/>
    <w:rsid w:val="000F68BF"/>
    <w:rsid w:val="000F6D6C"/>
    <w:rsid w:val="000F7131"/>
    <w:rsid w:val="000F77EF"/>
    <w:rsid w:val="000F7948"/>
    <w:rsid w:val="00100A6A"/>
    <w:rsid w:val="00100DAA"/>
    <w:rsid w:val="00100DC6"/>
    <w:rsid w:val="00101263"/>
    <w:rsid w:val="0010129C"/>
    <w:rsid w:val="001014EF"/>
    <w:rsid w:val="001014FD"/>
    <w:rsid w:val="001016E2"/>
    <w:rsid w:val="00101996"/>
    <w:rsid w:val="00101AB3"/>
    <w:rsid w:val="00101B2C"/>
    <w:rsid w:val="00101E57"/>
    <w:rsid w:val="00102170"/>
    <w:rsid w:val="00102511"/>
    <w:rsid w:val="00102952"/>
    <w:rsid w:val="0010296B"/>
    <w:rsid w:val="001032E7"/>
    <w:rsid w:val="00103677"/>
    <w:rsid w:val="001037DF"/>
    <w:rsid w:val="00103826"/>
    <w:rsid w:val="0010395A"/>
    <w:rsid w:val="00103A30"/>
    <w:rsid w:val="00104179"/>
    <w:rsid w:val="001046C2"/>
    <w:rsid w:val="00104F60"/>
    <w:rsid w:val="0010523F"/>
    <w:rsid w:val="00105260"/>
    <w:rsid w:val="00105645"/>
    <w:rsid w:val="001056EF"/>
    <w:rsid w:val="0010577E"/>
    <w:rsid w:val="001061D6"/>
    <w:rsid w:val="0010633A"/>
    <w:rsid w:val="001063C0"/>
    <w:rsid w:val="001063EB"/>
    <w:rsid w:val="0010648F"/>
    <w:rsid w:val="00106CA5"/>
    <w:rsid w:val="00106D7C"/>
    <w:rsid w:val="00106E84"/>
    <w:rsid w:val="00106F63"/>
    <w:rsid w:val="001074DC"/>
    <w:rsid w:val="001074FA"/>
    <w:rsid w:val="00107552"/>
    <w:rsid w:val="00107630"/>
    <w:rsid w:val="001077A8"/>
    <w:rsid w:val="00107BB7"/>
    <w:rsid w:val="00107D22"/>
    <w:rsid w:val="00107DCA"/>
    <w:rsid w:val="0011033E"/>
    <w:rsid w:val="001108D6"/>
    <w:rsid w:val="00110940"/>
    <w:rsid w:val="00110C5B"/>
    <w:rsid w:val="0011109C"/>
    <w:rsid w:val="001112C4"/>
    <w:rsid w:val="00111570"/>
    <w:rsid w:val="00111807"/>
    <w:rsid w:val="00111913"/>
    <w:rsid w:val="00111FD7"/>
    <w:rsid w:val="00112020"/>
    <w:rsid w:val="0011210F"/>
    <w:rsid w:val="001127BC"/>
    <w:rsid w:val="00112B86"/>
    <w:rsid w:val="00113225"/>
    <w:rsid w:val="00113906"/>
    <w:rsid w:val="001139EC"/>
    <w:rsid w:val="00113AD8"/>
    <w:rsid w:val="00113B6D"/>
    <w:rsid w:val="00113C8B"/>
    <w:rsid w:val="00113E5F"/>
    <w:rsid w:val="00113F34"/>
    <w:rsid w:val="0011427C"/>
    <w:rsid w:val="001145E5"/>
    <w:rsid w:val="0011478C"/>
    <w:rsid w:val="00114C4B"/>
    <w:rsid w:val="001154C8"/>
    <w:rsid w:val="00115557"/>
    <w:rsid w:val="001155FC"/>
    <w:rsid w:val="0011587C"/>
    <w:rsid w:val="0011599A"/>
    <w:rsid w:val="00115B53"/>
    <w:rsid w:val="00115BA2"/>
    <w:rsid w:val="00115C2C"/>
    <w:rsid w:val="00115F19"/>
    <w:rsid w:val="00116065"/>
    <w:rsid w:val="0011673E"/>
    <w:rsid w:val="0011679C"/>
    <w:rsid w:val="0011682C"/>
    <w:rsid w:val="00116B04"/>
    <w:rsid w:val="00116D5C"/>
    <w:rsid w:val="00116EF4"/>
    <w:rsid w:val="00116EF9"/>
    <w:rsid w:val="00117191"/>
    <w:rsid w:val="00117403"/>
    <w:rsid w:val="00117462"/>
    <w:rsid w:val="001175C6"/>
    <w:rsid w:val="00117CA9"/>
    <w:rsid w:val="00117E53"/>
    <w:rsid w:val="0012030A"/>
    <w:rsid w:val="00120332"/>
    <w:rsid w:val="00120370"/>
    <w:rsid w:val="00120456"/>
    <w:rsid w:val="00120635"/>
    <w:rsid w:val="001206CB"/>
    <w:rsid w:val="0012090E"/>
    <w:rsid w:val="00120C73"/>
    <w:rsid w:val="00120CCB"/>
    <w:rsid w:val="00120ED1"/>
    <w:rsid w:val="00120FAF"/>
    <w:rsid w:val="00120FBE"/>
    <w:rsid w:val="00121074"/>
    <w:rsid w:val="0012127A"/>
    <w:rsid w:val="001213BC"/>
    <w:rsid w:val="00121AD4"/>
    <w:rsid w:val="00121D05"/>
    <w:rsid w:val="00121DFB"/>
    <w:rsid w:val="00121E7A"/>
    <w:rsid w:val="00121FF9"/>
    <w:rsid w:val="00121FFB"/>
    <w:rsid w:val="00122173"/>
    <w:rsid w:val="001221BA"/>
    <w:rsid w:val="001227FB"/>
    <w:rsid w:val="00122975"/>
    <w:rsid w:val="00122BC7"/>
    <w:rsid w:val="00122E55"/>
    <w:rsid w:val="00122F6F"/>
    <w:rsid w:val="00123109"/>
    <w:rsid w:val="001232EF"/>
    <w:rsid w:val="001232F7"/>
    <w:rsid w:val="001238C3"/>
    <w:rsid w:val="001239FC"/>
    <w:rsid w:val="00123CA1"/>
    <w:rsid w:val="00123E2C"/>
    <w:rsid w:val="00123EA7"/>
    <w:rsid w:val="00123FAA"/>
    <w:rsid w:val="00124138"/>
    <w:rsid w:val="0012422E"/>
    <w:rsid w:val="0012532F"/>
    <w:rsid w:val="00125383"/>
    <w:rsid w:val="001256F4"/>
    <w:rsid w:val="00125921"/>
    <w:rsid w:val="00125ADB"/>
    <w:rsid w:val="00125BDB"/>
    <w:rsid w:val="00125EB4"/>
    <w:rsid w:val="00126412"/>
    <w:rsid w:val="001265AB"/>
    <w:rsid w:val="001265F1"/>
    <w:rsid w:val="001266BE"/>
    <w:rsid w:val="00126BDC"/>
    <w:rsid w:val="001270A7"/>
    <w:rsid w:val="00127491"/>
    <w:rsid w:val="001276AF"/>
    <w:rsid w:val="00127D15"/>
    <w:rsid w:val="00127F38"/>
    <w:rsid w:val="001300BF"/>
    <w:rsid w:val="0013017E"/>
    <w:rsid w:val="00130EFC"/>
    <w:rsid w:val="00131111"/>
    <w:rsid w:val="001317F5"/>
    <w:rsid w:val="00131939"/>
    <w:rsid w:val="00131B4F"/>
    <w:rsid w:val="00131B88"/>
    <w:rsid w:val="00131DC7"/>
    <w:rsid w:val="00131F1B"/>
    <w:rsid w:val="00132264"/>
    <w:rsid w:val="00132DC4"/>
    <w:rsid w:val="00132E0C"/>
    <w:rsid w:val="00132ECC"/>
    <w:rsid w:val="0013304A"/>
    <w:rsid w:val="001331A2"/>
    <w:rsid w:val="001332ED"/>
    <w:rsid w:val="001335BF"/>
    <w:rsid w:val="0013360D"/>
    <w:rsid w:val="001336C0"/>
    <w:rsid w:val="001338A0"/>
    <w:rsid w:val="00133AA5"/>
    <w:rsid w:val="00133C86"/>
    <w:rsid w:val="00133DA6"/>
    <w:rsid w:val="00133F56"/>
    <w:rsid w:val="0013472B"/>
    <w:rsid w:val="001349C1"/>
    <w:rsid w:val="00134D88"/>
    <w:rsid w:val="00134DE7"/>
    <w:rsid w:val="00134E02"/>
    <w:rsid w:val="00134E40"/>
    <w:rsid w:val="0013530D"/>
    <w:rsid w:val="001355C0"/>
    <w:rsid w:val="001357C5"/>
    <w:rsid w:val="00135AEA"/>
    <w:rsid w:val="00135B2C"/>
    <w:rsid w:val="00135F27"/>
    <w:rsid w:val="001362E9"/>
    <w:rsid w:val="00136341"/>
    <w:rsid w:val="00136361"/>
    <w:rsid w:val="00136740"/>
    <w:rsid w:val="0013713D"/>
    <w:rsid w:val="0013716D"/>
    <w:rsid w:val="0013758C"/>
    <w:rsid w:val="00137E0B"/>
    <w:rsid w:val="00137E1A"/>
    <w:rsid w:val="00139B5C"/>
    <w:rsid w:val="00140054"/>
    <w:rsid w:val="001400A6"/>
    <w:rsid w:val="00140515"/>
    <w:rsid w:val="001405CD"/>
    <w:rsid w:val="001405FF"/>
    <w:rsid w:val="0014074A"/>
    <w:rsid w:val="001407CB"/>
    <w:rsid w:val="00140F04"/>
    <w:rsid w:val="001412D6"/>
    <w:rsid w:val="001412EC"/>
    <w:rsid w:val="00141357"/>
    <w:rsid w:val="0014140C"/>
    <w:rsid w:val="00141559"/>
    <w:rsid w:val="001416F1"/>
    <w:rsid w:val="00141766"/>
    <w:rsid w:val="0014178C"/>
    <w:rsid w:val="0014180A"/>
    <w:rsid w:val="00141CE7"/>
    <w:rsid w:val="00141D21"/>
    <w:rsid w:val="00141F77"/>
    <w:rsid w:val="00142501"/>
    <w:rsid w:val="001426C3"/>
    <w:rsid w:val="0014274E"/>
    <w:rsid w:val="001428B9"/>
    <w:rsid w:val="00142A8D"/>
    <w:rsid w:val="00142B58"/>
    <w:rsid w:val="00142FFE"/>
    <w:rsid w:val="00143178"/>
    <w:rsid w:val="0014337C"/>
    <w:rsid w:val="0014365B"/>
    <w:rsid w:val="0014396C"/>
    <w:rsid w:val="00144003"/>
    <w:rsid w:val="001442B5"/>
    <w:rsid w:val="00144359"/>
    <w:rsid w:val="00144406"/>
    <w:rsid w:val="0014461A"/>
    <w:rsid w:val="0014469D"/>
    <w:rsid w:val="00144A07"/>
    <w:rsid w:val="00144B14"/>
    <w:rsid w:val="00144C76"/>
    <w:rsid w:val="00144D7C"/>
    <w:rsid w:val="00144EFD"/>
    <w:rsid w:val="001450E0"/>
    <w:rsid w:val="001453E2"/>
    <w:rsid w:val="00145B93"/>
    <w:rsid w:val="00145BB6"/>
    <w:rsid w:val="00145DF9"/>
    <w:rsid w:val="001461EE"/>
    <w:rsid w:val="00146341"/>
    <w:rsid w:val="00146B10"/>
    <w:rsid w:val="00146F13"/>
    <w:rsid w:val="00147014"/>
    <w:rsid w:val="001472C5"/>
    <w:rsid w:val="00147389"/>
    <w:rsid w:val="00147700"/>
    <w:rsid w:val="00147ACE"/>
    <w:rsid w:val="001485C5"/>
    <w:rsid w:val="00149B71"/>
    <w:rsid w:val="001503C9"/>
    <w:rsid w:val="0015056C"/>
    <w:rsid w:val="00150663"/>
    <w:rsid w:val="001506C0"/>
    <w:rsid w:val="00150853"/>
    <w:rsid w:val="0015089D"/>
    <w:rsid w:val="00150A17"/>
    <w:rsid w:val="001511DB"/>
    <w:rsid w:val="001511FB"/>
    <w:rsid w:val="00151408"/>
    <w:rsid w:val="001514F9"/>
    <w:rsid w:val="001516D2"/>
    <w:rsid w:val="00151714"/>
    <w:rsid w:val="00151C72"/>
    <w:rsid w:val="00151F65"/>
    <w:rsid w:val="00152033"/>
    <w:rsid w:val="0015224D"/>
    <w:rsid w:val="0015294C"/>
    <w:rsid w:val="00152DBB"/>
    <w:rsid w:val="00152F88"/>
    <w:rsid w:val="00153094"/>
    <w:rsid w:val="0015333A"/>
    <w:rsid w:val="001534B9"/>
    <w:rsid w:val="0015364B"/>
    <w:rsid w:val="00153CE9"/>
    <w:rsid w:val="00153FD3"/>
    <w:rsid w:val="001540F4"/>
    <w:rsid w:val="00154247"/>
    <w:rsid w:val="00154598"/>
    <w:rsid w:val="0015480A"/>
    <w:rsid w:val="001549BA"/>
    <w:rsid w:val="00154AC2"/>
    <w:rsid w:val="00154CDB"/>
    <w:rsid w:val="00155332"/>
    <w:rsid w:val="00155410"/>
    <w:rsid w:val="00155599"/>
    <w:rsid w:val="00155DEC"/>
    <w:rsid w:val="00156178"/>
    <w:rsid w:val="00156359"/>
    <w:rsid w:val="001564F3"/>
    <w:rsid w:val="00156579"/>
    <w:rsid w:val="00157150"/>
    <w:rsid w:val="00157586"/>
    <w:rsid w:val="00157771"/>
    <w:rsid w:val="00157A2C"/>
    <w:rsid w:val="00157EA8"/>
    <w:rsid w:val="001603E2"/>
    <w:rsid w:val="0016070F"/>
    <w:rsid w:val="00160A0E"/>
    <w:rsid w:val="00160BAA"/>
    <w:rsid w:val="00160D86"/>
    <w:rsid w:val="001610F8"/>
    <w:rsid w:val="00161A57"/>
    <w:rsid w:val="00161B01"/>
    <w:rsid w:val="00161DCB"/>
    <w:rsid w:val="00161E93"/>
    <w:rsid w:val="00161F13"/>
    <w:rsid w:val="001620AD"/>
    <w:rsid w:val="00162146"/>
    <w:rsid w:val="001621F4"/>
    <w:rsid w:val="00162437"/>
    <w:rsid w:val="00162441"/>
    <w:rsid w:val="0016255E"/>
    <w:rsid w:val="001625DD"/>
    <w:rsid w:val="001626DE"/>
    <w:rsid w:val="0016277D"/>
    <w:rsid w:val="00162A38"/>
    <w:rsid w:val="00162D0B"/>
    <w:rsid w:val="00162DAE"/>
    <w:rsid w:val="00162E5B"/>
    <w:rsid w:val="001630C0"/>
    <w:rsid w:val="00163242"/>
    <w:rsid w:val="0016373C"/>
    <w:rsid w:val="00163B7C"/>
    <w:rsid w:val="00163CD6"/>
    <w:rsid w:val="00163DB5"/>
    <w:rsid w:val="00164064"/>
    <w:rsid w:val="00164105"/>
    <w:rsid w:val="001641F8"/>
    <w:rsid w:val="001642FC"/>
    <w:rsid w:val="0016430E"/>
    <w:rsid w:val="001643BC"/>
    <w:rsid w:val="0016466B"/>
    <w:rsid w:val="00164AAA"/>
    <w:rsid w:val="00164F4E"/>
    <w:rsid w:val="00165049"/>
    <w:rsid w:val="0016542D"/>
    <w:rsid w:val="001654C7"/>
    <w:rsid w:val="0016567A"/>
    <w:rsid w:val="00165713"/>
    <w:rsid w:val="0016577B"/>
    <w:rsid w:val="00165D82"/>
    <w:rsid w:val="00165EA3"/>
    <w:rsid w:val="0016620F"/>
    <w:rsid w:val="00166460"/>
    <w:rsid w:val="001665CF"/>
    <w:rsid w:val="0016665E"/>
    <w:rsid w:val="001666E8"/>
    <w:rsid w:val="00166923"/>
    <w:rsid w:val="001669F1"/>
    <w:rsid w:val="00166A28"/>
    <w:rsid w:val="00166EDC"/>
    <w:rsid w:val="00166F06"/>
    <w:rsid w:val="00167095"/>
    <w:rsid w:val="001672C9"/>
    <w:rsid w:val="001676A7"/>
    <w:rsid w:val="00167798"/>
    <w:rsid w:val="00167A4F"/>
    <w:rsid w:val="00167A74"/>
    <w:rsid w:val="00167C53"/>
    <w:rsid w:val="00170070"/>
    <w:rsid w:val="0017036F"/>
    <w:rsid w:val="001707F3"/>
    <w:rsid w:val="0017086B"/>
    <w:rsid w:val="00170EB4"/>
    <w:rsid w:val="001710DB"/>
    <w:rsid w:val="00171126"/>
    <w:rsid w:val="0017160A"/>
    <w:rsid w:val="00171876"/>
    <w:rsid w:val="001718A5"/>
    <w:rsid w:val="00171A04"/>
    <w:rsid w:val="00171C87"/>
    <w:rsid w:val="00171EB9"/>
    <w:rsid w:val="00172117"/>
    <w:rsid w:val="00172183"/>
    <w:rsid w:val="0017226B"/>
    <w:rsid w:val="00172285"/>
    <w:rsid w:val="0017244C"/>
    <w:rsid w:val="00172EBC"/>
    <w:rsid w:val="001731BC"/>
    <w:rsid w:val="00173292"/>
    <w:rsid w:val="0017331D"/>
    <w:rsid w:val="001733B8"/>
    <w:rsid w:val="00173802"/>
    <w:rsid w:val="001739A7"/>
    <w:rsid w:val="00173A8A"/>
    <w:rsid w:val="00173B22"/>
    <w:rsid w:val="001743A8"/>
    <w:rsid w:val="001748A3"/>
    <w:rsid w:val="00174A00"/>
    <w:rsid w:val="00174D22"/>
    <w:rsid w:val="001750A0"/>
    <w:rsid w:val="0017523C"/>
    <w:rsid w:val="001752B9"/>
    <w:rsid w:val="0017531E"/>
    <w:rsid w:val="0017540C"/>
    <w:rsid w:val="00175635"/>
    <w:rsid w:val="001758E7"/>
    <w:rsid w:val="001759BB"/>
    <w:rsid w:val="00175CF9"/>
    <w:rsid w:val="00175DF3"/>
    <w:rsid w:val="00175E3D"/>
    <w:rsid w:val="00176632"/>
    <w:rsid w:val="00176B97"/>
    <w:rsid w:val="00176EBE"/>
    <w:rsid w:val="00176EF5"/>
    <w:rsid w:val="00176FE1"/>
    <w:rsid w:val="00177158"/>
    <w:rsid w:val="00177547"/>
    <w:rsid w:val="0017787B"/>
    <w:rsid w:val="00177987"/>
    <w:rsid w:val="00177B7A"/>
    <w:rsid w:val="001800D1"/>
    <w:rsid w:val="0018019D"/>
    <w:rsid w:val="0018083E"/>
    <w:rsid w:val="001809FC"/>
    <w:rsid w:val="001812F3"/>
    <w:rsid w:val="00181300"/>
    <w:rsid w:val="001815B6"/>
    <w:rsid w:val="001816AC"/>
    <w:rsid w:val="0018185B"/>
    <w:rsid w:val="001824D5"/>
    <w:rsid w:val="0018250B"/>
    <w:rsid w:val="00182A6C"/>
    <w:rsid w:val="00182C45"/>
    <w:rsid w:val="00182C81"/>
    <w:rsid w:val="00182E7B"/>
    <w:rsid w:val="00182FE5"/>
    <w:rsid w:val="0018332C"/>
    <w:rsid w:val="001836F3"/>
    <w:rsid w:val="0018395B"/>
    <w:rsid w:val="00183B61"/>
    <w:rsid w:val="001840B9"/>
    <w:rsid w:val="001845BC"/>
    <w:rsid w:val="00184A5F"/>
    <w:rsid w:val="00184A9F"/>
    <w:rsid w:val="00184CF9"/>
    <w:rsid w:val="00184E51"/>
    <w:rsid w:val="00184F37"/>
    <w:rsid w:val="0018663A"/>
    <w:rsid w:val="00186815"/>
    <w:rsid w:val="00186A2E"/>
    <w:rsid w:val="00186FC8"/>
    <w:rsid w:val="00186FF0"/>
    <w:rsid w:val="0018750F"/>
    <w:rsid w:val="00187912"/>
    <w:rsid w:val="001879D8"/>
    <w:rsid w:val="00190019"/>
    <w:rsid w:val="0019012E"/>
    <w:rsid w:val="001902B5"/>
    <w:rsid w:val="001906D2"/>
    <w:rsid w:val="001907F2"/>
    <w:rsid w:val="0019088A"/>
    <w:rsid w:val="00190928"/>
    <w:rsid w:val="00190D88"/>
    <w:rsid w:val="00190FA9"/>
    <w:rsid w:val="001912DF"/>
    <w:rsid w:val="00191492"/>
    <w:rsid w:val="001918DF"/>
    <w:rsid w:val="0019195A"/>
    <w:rsid w:val="00191AC4"/>
    <w:rsid w:val="00191BC1"/>
    <w:rsid w:val="00192064"/>
    <w:rsid w:val="00192427"/>
    <w:rsid w:val="0019242C"/>
    <w:rsid w:val="00192435"/>
    <w:rsid w:val="00192A9D"/>
    <w:rsid w:val="00192BE6"/>
    <w:rsid w:val="00192C61"/>
    <w:rsid w:val="00192EDD"/>
    <w:rsid w:val="00192F16"/>
    <w:rsid w:val="0019307A"/>
    <w:rsid w:val="0019326E"/>
    <w:rsid w:val="00193623"/>
    <w:rsid w:val="001937AA"/>
    <w:rsid w:val="00193ABF"/>
    <w:rsid w:val="00193CAB"/>
    <w:rsid w:val="00193D0B"/>
    <w:rsid w:val="00193F05"/>
    <w:rsid w:val="00194CA6"/>
    <w:rsid w:val="00194F94"/>
    <w:rsid w:val="00194F9D"/>
    <w:rsid w:val="00194FCD"/>
    <w:rsid w:val="00194FF1"/>
    <w:rsid w:val="001950D8"/>
    <w:rsid w:val="0019583A"/>
    <w:rsid w:val="001958F5"/>
    <w:rsid w:val="00195B2E"/>
    <w:rsid w:val="00195ECF"/>
    <w:rsid w:val="00195F56"/>
    <w:rsid w:val="00195FB3"/>
    <w:rsid w:val="0019617C"/>
    <w:rsid w:val="00196448"/>
    <w:rsid w:val="001964CC"/>
    <w:rsid w:val="001967DD"/>
    <w:rsid w:val="00196A45"/>
    <w:rsid w:val="00196B92"/>
    <w:rsid w:val="00196E92"/>
    <w:rsid w:val="00196F24"/>
    <w:rsid w:val="00196F9E"/>
    <w:rsid w:val="0019746E"/>
    <w:rsid w:val="00197634"/>
    <w:rsid w:val="001978DF"/>
    <w:rsid w:val="00197F58"/>
    <w:rsid w:val="0019EB10"/>
    <w:rsid w:val="001A005A"/>
    <w:rsid w:val="001A00E7"/>
    <w:rsid w:val="001A04D2"/>
    <w:rsid w:val="001A0796"/>
    <w:rsid w:val="001A0854"/>
    <w:rsid w:val="001A0AF6"/>
    <w:rsid w:val="001A0D09"/>
    <w:rsid w:val="001A0EF5"/>
    <w:rsid w:val="001A0FBA"/>
    <w:rsid w:val="001A104D"/>
    <w:rsid w:val="001A10F6"/>
    <w:rsid w:val="001A1558"/>
    <w:rsid w:val="001A1C2E"/>
    <w:rsid w:val="001A23B7"/>
    <w:rsid w:val="001A28AC"/>
    <w:rsid w:val="001A2A0D"/>
    <w:rsid w:val="001A2D87"/>
    <w:rsid w:val="001A2DAE"/>
    <w:rsid w:val="001A3391"/>
    <w:rsid w:val="001A3797"/>
    <w:rsid w:val="001A3A15"/>
    <w:rsid w:val="001A3B0D"/>
    <w:rsid w:val="001A44E7"/>
    <w:rsid w:val="001A47FD"/>
    <w:rsid w:val="001A482C"/>
    <w:rsid w:val="001A4E71"/>
    <w:rsid w:val="001A50B0"/>
    <w:rsid w:val="001A52FD"/>
    <w:rsid w:val="001A530A"/>
    <w:rsid w:val="001A53A8"/>
    <w:rsid w:val="001A53FB"/>
    <w:rsid w:val="001A550D"/>
    <w:rsid w:val="001A5562"/>
    <w:rsid w:val="001A5916"/>
    <w:rsid w:val="001A5C9E"/>
    <w:rsid w:val="001A5FDE"/>
    <w:rsid w:val="001A6014"/>
    <w:rsid w:val="001A62FA"/>
    <w:rsid w:val="001A6400"/>
    <w:rsid w:val="001A6BFF"/>
    <w:rsid w:val="001A6CDE"/>
    <w:rsid w:val="001A6DE1"/>
    <w:rsid w:val="001A6E69"/>
    <w:rsid w:val="001A6F39"/>
    <w:rsid w:val="001A6FD7"/>
    <w:rsid w:val="001A715F"/>
    <w:rsid w:val="001A784F"/>
    <w:rsid w:val="001A7DCF"/>
    <w:rsid w:val="001B04F2"/>
    <w:rsid w:val="001B06B2"/>
    <w:rsid w:val="001B07C0"/>
    <w:rsid w:val="001B0B88"/>
    <w:rsid w:val="001B0CB4"/>
    <w:rsid w:val="001B0D7C"/>
    <w:rsid w:val="001B0FBD"/>
    <w:rsid w:val="001B1308"/>
    <w:rsid w:val="001B1467"/>
    <w:rsid w:val="001B1765"/>
    <w:rsid w:val="001B17D2"/>
    <w:rsid w:val="001B19FE"/>
    <w:rsid w:val="001B1B9F"/>
    <w:rsid w:val="001B1FD9"/>
    <w:rsid w:val="001B2215"/>
    <w:rsid w:val="001B2415"/>
    <w:rsid w:val="001B2614"/>
    <w:rsid w:val="001B264C"/>
    <w:rsid w:val="001B273B"/>
    <w:rsid w:val="001B2BCE"/>
    <w:rsid w:val="001B2ED9"/>
    <w:rsid w:val="001B3079"/>
    <w:rsid w:val="001B32A9"/>
    <w:rsid w:val="001B3339"/>
    <w:rsid w:val="001B3521"/>
    <w:rsid w:val="001B35BC"/>
    <w:rsid w:val="001B37FD"/>
    <w:rsid w:val="001B3E61"/>
    <w:rsid w:val="001B3E62"/>
    <w:rsid w:val="001B3F0D"/>
    <w:rsid w:val="001B40FE"/>
    <w:rsid w:val="001B429D"/>
    <w:rsid w:val="001B4673"/>
    <w:rsid w:val="001B4998"/>
    <w:rsid w:val="001B4DAE"/>
    <w:rsid w:val="001B50CC"/>
    <w:rsid w:val="001B529D"/>
    <w:rsid w:val="001B54FB"/>
    <w:rsid w:val="001B5816"/>
    <w:rsid w:val="001B5B32"/>
    <w:rsid w:val="001B5F4D"/>
    <w:rsid w:val="001B60A0"/>
    <w:rsid w:val="001B6436"/>
    <w:rsid w:val="001B6726"/>
    <w:rsid w:val="001B67E7"/>
    <w:rsid w:val="001B6C48"/>
    <w:rsid w:val="001B76DA"/>
    <w:rsid w:val="001B77AD"/>
    <w:rsid w:val="001B796D"/>
    <w:rsid w:val="001B7B95"/>
    <w:rsid w:val="001B7C41"/>
    <w:rsid w:val="001B7CA7"/>
    <w:rsid w:val="001B7D48"/>
    <w:rsid w:val="001B7D53"/>
    <w:rsid w:val="001B7E27"/>
    <w:rsid w:val="001B7F45"/>
    <w:rsid w:val="001C0524"/>
    <w:rsid w:val="001C0943"/>
    <w:rsid w:val="001C0B9F"/>
    <w:rsid w:val="001C104B"/>
    <w:rsid w:val="001C11A0"/>
    <w:rsid w:val="001C1311"/>
    <w:rsid w:val="001C182A"/>
    <w:rsid w:val="001C1D3A"/>
    <w:rsid w:val="001C22BB"/>
    <w:rsid w:val="001C246D"/>
    <w:rsid w:val="001C27F4"/>
    <w:rsid w:val="001C291F"/>
    <w:rsid w:val="001C2A85"/>
    <w:rsid w:val="001C2EF8"/>
    <w:rsid w:val="001C2F43"/>
    <w:rsid w:val="001C2F97"/>
    <w:rsid w:val="001C32F2"/>
    <w:rsid w:val="001C346C"/>
    <w:rsid w:val="001C360A"/>
    <w:rsid w:val="001C37F6"/>
    <w:rsid w:val="001C39CE"/>
    <w:rsid w:val="001C3AAB"/>
    <w:rsid w:val="001C3C4D"/>
    <w:rsid w:val="001C41D0"/>
    <w:rsid w:val="001C423E"/>
    <w:rsid w:val="001C42A8"/>
    <w:rsid w:val="001C4422"/>
    <w:rsid w:val="001C46C6"/>
    <w:rsid w:val="001C48FA"/>
    <w:rsid w:val="001C4AAE"/>
    <w:rsid w:val="001C4C05"/>
    <w:rsid w:val="001C4C3D"/>
    <w:rsid w:val="001C4F5A"/>
    <w:rsid w:val="001C5304"/>
    <w:rsid w:val="001C5717"/>
    <w:rsid w:val="001C57BB"/>
    <w:rsid w:val="001C5E24"/>
    <w:rsid w:val="001C6386"/>
    <w:rsid w:val="001C68D9"/>
    <w:rsid w:val="001C6B22"/>
    <w:rsid w:val="001C719D"/>
    <w:rsid w:val="001C7249"/>
    <w:rsid w:val="001C7451"/>
    <w:rsid w:val="001C7775"/>
    <w:rsid w:val="001C77F9"/>
    <w:rsid w:val="001C78B8"/>
    <w:rsid w:val="001C7BCF"/>
    <w:rsid w:val="001C7CC0"/>
    <w:rsid w:val="001C7CEB"/>
    <w:rsid w:val="001C7FDB"/>
    <w:rsid w:val="001D014C"/>
    <w:rsid w:val="001D01DC"/>
    <w:rsid w:val="001D029F"/>
    <w:rsid w:val="001D02C1"/>
    <w:rsid w:val="001D0C71"/>
    <w:rsid w:val="001D0E39"/>
    <w:rsid w:val="001D1183"/>
    <w:rsid w:val="001D146A"/>
    <w:rsid w:val="001D1472"/>
    <w:rsid w:val="001D160C"/>
    <w:rsid w:val="001D1625"/>
    <w:rsid w:val="001D187B"/>
    <w:rsid w:val="001D19B6"/>
    <w:rsid w:val="001D1A2F"/>
    <w:rsid w:val="001D1A41"/>
    <w:rsid w:val="001D21D1"/>
    <w:rsid w:val="001D2533"/>
    <w:rsid w:val="001D285E"/>
    <w:rsid w:val="001D2A26"/>
    <w:rsid w:val="001D2B18"/>
    <w:rsid w:val="001D32A9"/>
    <w:rsid w:val="001D338E"/>
    <w:rsid w:val="001D3462"/>
    <w:rsid w:val="001D34C2"/>
    <w:rsid w:val="001D3A40"/>
    <w:rsid w:val="001D3ACF"/>
    <w:rsid w:val="001D3DC2"/>
    <w:rsid w:val="001D3DC6"/>
    <w:rsid w:val="001D3F2F"/>
    <w:rsid w:val="001D403C"/>
    <w:rsid w:val="001D44FB"/>
    <w:rsid w:val="001D450E"/>
    <w:rsid w:val="001D460C"/>
    <w:rsid w:val="001D461C"/>
    <w:rsid w:val="001D4C53"/>
    <w:rsid w:val="001D5239"/>
    <w:rsid w:val="001D57EA"/>
    <w:rsid w:val="001D58A2"/>
    <w:rsid w:val="001D58A6"/>
    <w:rsid w:val="001D58DA"/>
    <w:rsid w:val="001D5939"/>
    <w:rsid w:val="001D59D7"/>
    <w:rsid w:val="001D5CCB"/>
    <w:rsid w:val="001D5CCC"/>
    <w:rsid w:val="001D651A"/>
    <w:rsid w:val="001D7347"/>
    <w:rsid w:val="001D7753"/>
    <w:rsid w:val="001D77D5"/>
    <w:rsid w:val="001D7A45"/>
    <w:rsid w:val="001D7C62"/>
    <w:rsid w:val="001D7DF6"/>
    <w:rsid w:val="001E0136"/>
    <w:rsid w:val="001E0230"/>
    <w:rsid w:val="001E07EC"/>
    <w:rsid w:val="001E0B54"/>
    <w:rsid w:val="001E0CF2"/>
    <w:rsid w:val="001E1536"/>
    <w:rsid w:val="001E1544"/>
    <w:rsid w:val="001E168F"/>
    <w:rsid w:val="001E1743"/>
    <w:rsid w:val="001E17E2"/>
    <w:rsid w:val="001E22C4"/>
    <w:rsid w:val="001E26E2"/>
    <w:rsid w:val="001E287A"/>
    <w:rsid w:val="001E2936"/>
    <w:rsid w:val="001E2D26"/>
    <w:rsid w:val="001E3011"/>
    <w:rsid w:val="001E32A2"/>
    <w:rsid w:val="001E34AF"/>
    <w:rsid w:val="001E34B6"/>
    <w:rsid w:val="001E36F5"/>
    <w:rsid w:val="001E370A"/>
    <w:rsid w:val="001E3AC2"/>
    <w:rsid w:val="001E3B27"/>
    <w:rsid w:val="001E4142"/>
    <w:rsid w:val="001E4220"/>
    <w:rsid w:val="001E4588"/>
    <w:rsid w:val="001E52FE"/>
    <w:rsid w:val="001E547B"/>
    <w:rsid w:val="001E56D7"/>
    <w:rsid w:val="001E5768"/>
    <w:rsid w:val="001E58FD"/>
    <w:rsid w:val="001E5986"/>
    <w:rsid w:val="001E5A1A"/>
    <w:rsid w:val="001E604D"/>
    <w:rsid w:val="001E65DA"/>
    <w:rsid w:val="001E689D"/>
    <w:rsid w:val="001E71BD"/>
    <w:rsid w:val="001E73BA"/>
    <w:rsid w:val="001E7759"/>
    <w:rsid w:val="001E7A8E"/>
    <w:rsid w:val="001F00C2"/>
    <w:rsid w:val="001F00D5"/>
    <w:rsid w:val="001F08F2"/>
    <w:rsid w:val="001F0C85"/>
    <w:rsid w:val="001F0E73"/>
    <w:rsid w:val="001F13F1"/>
    <w:rsid w:val="001F1600"/>
    <w:rsid w:val="001F1A13"/>
    <w:rsid w:val="001F21DF"/>
    <w:rsid w:val="001F235C"/>
    <w:rsid w:val="001F2539"/>
    <w:rsid w:val="001F2608"/>
    <w:rsid w:val="001F2B7D"/>
    <w:rsid w:val="001F2C3B"/>
    <w:rsid w:val="001F2E59"/>
    <w:rsid w:val="001F3AF8"/>
    <w:rsid w:val="001F3CE9"/>
    <w:rsid w:val="001F3F1D"/>
    <w:rsid w:val="001F458D"/>
    <w:rsid w:val="001F45EE"/>
    <w:rsid w:val="001F4691"/>
    <w:rsid w:val="001F496C"/>
    <w:rsid w:val="001F4984"/>
    <w:rsid w:val="001F4B5D"/>
    <w:rsid w:val="001F4D4A"/>
    <w:rsid w:val="001F5129"/>
    <w:rsid w:val="001F519E"/>
    <w:rsid w:val="001F51B2"/>
    <w:rsid w:val="001F55B0"/>
    <w:rsid w:val="001F5815"/>
    <w:rsid w:val="001F5D49"/>
    <w:rsid w:val="001F61F6"/>
    <w:rsid w:val="001F664C"/>
    <w:rsid w:val="001F66F8"/>
    <w:rsid w:val="001F6952"/>
    <w:rsid w:val="001F6A64"/>
    <w:rsid w:val="001F7054"/>
    <w:rsid w:val="001F7190"/>
    <w:rsid w:val="001F741C"/>
    <w:rsid w:val="001F7B5F"/>
    <w:rsid w:val="001F7C81"/>
    <w:rsid w:val="001F7CA8"/>
    <w:rsid w:val="00200129"/>
    <w:rsid w:val="002008E8"/>
    <w:rsid w:val="0020099D"/>
    <w:rsid w:val="00200D42"/>
    <w:rsid w:val="00201892"/>
    <w:rsid w:val="0020196B"/>
    <w:rsid w:val="00201C8A"/>
    <w:rsid w:val="00201F6F"/>
    <w:rsid w:val="00201F85"/>
    <w:rsid w:val="0020207E"/>
    <w:rsid w:val="0020222C"/>
    <w:rsid w:val="00202BD8"/>
    <w:rsid w:val="00202F68"/>
    <w:rsid w:val="00203033"/>
    <w:rsid w:val="00203117"/>
    <w:rsid w:val="002035BE"/>
    <w:rsid w:val="00203646"/>
    <w:rsid w:val="002037BF"/>
    <w:rsid w:val="00203877"/>
    <w:rsid w:val="00203AA6"/>
    <w:rsid w:val="00203C96"/>
    <w:rsid w:val="0020464A"/>
    <w:rsid w:val="00204776"/>
    <w:rsid w:val="00204ABF"/>
    <w:rsid w:val="00204C6A"/>
    <w:rsid w:val="00205054"/>
    <w:rsid w:val="002050FD"/>
    <w:rsid w:val="0020528B"/>
    <w:rsid w:val="002056C3"/>
    <w:rsid w:val="00205812"/>
    <w:rsid w:val="00205B3E"/>
    <w:rsid w:val="00205B52"/>
    <w:rsid w:val="00205D7E"/>
    <w:rsid w:val="00206322"/>
    <w:rsid w:val="0020645D"/>
    <w:rsid w:val="002064BE"/>
    <w:rsid w:val="00206540"/>
    <w:rsid w:val="002065E9"/>
    <w:rsid w:val="00206808"/>
    <w:rsid w:val="0020686F"/>
    <w:rsid w:val="002068BE"/>
    <w:rsid w:val="00206D3A"/>
    <w:rsid w:val="00206F6A"/>
    <w:rsid w:val="002070A7"/>
    <w:rsid w:val="002070E0"/>
    <w:rsid w:val="002078AB"/>
    <w:rsid w:val="00207FD9"/>
    <w:rsid w:val="002101A8"/>
    <w:rsid w:val="00210640"/>
    <w:rsid w:val="00210646"/>
    <w:rsid w:val="00210738"/>
    <w:rsid w:val="0021081B"/>
    <w:rsid w:val="00210938"/>
    <w:rsid w:val="00210D7F"/>
    <w:rsid w:val="00210E26"/>
    <w:rsid w:val="00210F41"/>
    <w:rsid w:val="00210FFB"/>
    <w:rsid w:val="00211025"/>
    <w:rsid w:val="002111B7"/>
    <w:rsid w:val="0021172C"/>
    <w:rsid w:val="00211A1F"/>
    <w:rsid w:val="00211B0A"/>
    <w:rsid w:val="00211D48"/>
    <w:rsid w:val="00211E8D"/>
    <w:rsid w:val="002125FB"/>
    <w:rsid w:val="00212A9A"/>
    <w:rsid w:val="00212D5E"/>
    <w:rsid w:val="00212F08"/>
    <w:rsid w:val="00213088"/>
    <w:rsid w:val="002133DD"/>
    <w:rsid w:val="002139C1"/>
    <w:rsid w:val="00213E3F"/>
    <w:rsid w:val="00213EA7"/>
    <w:rsid w:val="00213FD5"/>
    <w:rsid w:val="00214099"/>
    <w:rsid w:val="0021418F"/>
    <w:rsid w:val="00214AB7"/>
    <w:rsid w:val="00214C95"/>
    <w:rsid w:val="00214D86"/>
    <w:rsid w:val="00214DA9"/>
    <w:rsid w:val="002151B5"/>
    <w:rsid w:val="002154BA"/>
    <w:rsid w:val="002158D8"/>
    <w:rsid w:val="002159D1"/>
    <w:rsid w:val="00215A41"/>
    <w:rsid w:val="0021600A"/>
    <w:rsid w:val="0021607C"/>
    <w:rsid w:val="00216A3C"/>
    <w:rsid w:val="00217340"/>
    <w:rsid w:val="0021791E"/>
    <w:rsid w:val="0021792C"/>
    <w:rsid w:val="00217A89"/>
    <w:rsid w:val="00217C81"/>
    <w:rsid w:val="00217CDE"/>
    <w:rsid w:val="00217D08"/>
    <w:rsid w:val="00217FF2"/>
    <w:rsid w:val="002205A2"/>
    <w:rsid w:val="002206DF"/>
    <w:rsid w:val="00220DFA"/>
    <w:rsid w:val="00220FC7"/>
    <w:rsid w:val="00221095"/>
    <w:rsid w:val="00221337"/>
    <w:rsid w:val="0022140A"/>
    <w:rsid w:val="002214C0"/>
    <w:rsid w:val="002214F3"/>
    <w:rsid w:val="00221802"/>
    <w:rsid w:val="00221E2E"/>
    <w:rsid w:val="00221E32"/>
    <w:rsid w:val="0022203C"/>
    <w:rsid w:val="0022361C"/>
    <w:rsid w:val="00223BA6"/>
    <w:rsid w:val="00223C2D"/>
    <w:rsid w:val="00223D12"/>
    <w:rsid w:val="00223E0D"/>
    <w:rsid w:val="00223FB5"/>
    <w:rsid w:val="00223FCF"/>
    <w:rsid w:val="00224031"/>
    <w:rsid w:val="00224067"/>
    <w:rsid w:val="0022415D"/>
    <w:rsid w:val="0022486D"/>
    <w:rsid w:val="00225255"/>
    <w:rsid w:val="00225B74"/>
    <w:rsid w:val="00225B95"/>
    <w:rsid w:val="00225D8F"/>
    <w:rsid w:val="00226096"/>
    <w:rsid w:val="00226121"/>
    <w:rsid w:val="00226452"/>
    <w:rsid w:val="00226598"/>
    <w:rsid w:val="00226707"/>
    <w:rsid w:val="00226B4B"/>
    <w:rsid w:val="00226C15"/>
    <w:rsid w:val="00226C4C"/>
    <w:rsid w:val="00226F32"/>
    <w:rsid w:val="002271EC"/>
    <w:rsid w:val="0022743F"/>
    <w:rsid w:val="00227603"/>
    <w:rsid w:val="00227B47"/>
    <w:rsid w:val="00227D45"/>
    <w:rsid w:val="00227E67"/>
    <w:rsid w:val="002300BA"/>
    <w:rsid w:val="00230119"/>
    <w:rsid w:val="0023055E"/>
    <w:rsid w:val="002305A1"/>
    <w:rsid w:val="00230894"/>
    <w:rsid w:val="002308B8"/>
    <w:rsid w:val="00230AE5"/>
    <w:rsid w:val="00230D21"/>
    <w:rsid w:val="002312E0"/>
    <w:rsid w:val="0023174E"/>
    <w:rsid w:val="002318B7"/>
    <w:rsid w:val="002319A1"/>
    <w:rsid w:val="00231CE1"/>
    <w:rsid w:val="00231D94"/>
    <w:rsid w:val="00231F68"/>
    <w:rsid w:val="00231F74"/>
    <w:rsid w:val="002324D3"/>
    <w:rsid w:val="0023250C"/>
    <w:rsid w:val="00232537"/>
    <w:rsid w:val="002326B5"/>
    <w:rsid w:val="00232E3F"/>
    <w:rsid w:val="002333C3"/>
    <w:rsid w:val="00233C23"/>
    <w:rsid w:val="00233CC4"/>
    <w:rsid w:val="00233CEC"/>
    <w:rsid w:val="0023488B"/>
    <w:rsid w:val="002348E3"/>
    <w:rsid w:val="00234EB7"/>
    <w:rsid w:val="00235113"/>
    <w:rsid w:val="00235669"/>
    <w:rsid w:val="00235B06"/>
    <w:rsid w:val="00235D37"/>
    <w:rsid w:val="00235DF8"/>
    <w:rsid w:val="00235E86"/>
    <w:rsid w:val="0023618D"/>
    <w:rsid w:val="00236637"/>
    <w:rsid w:val="00236655"/>
    <w:rsid w:val="00236870"/>
    <w:rsid w:val="002368AC"/>
    <w:rsid w:val="00236ABC"/>
    <w:rsid w:val="00236ED5"/>
    <w:rsid w:val="00237457"/>
    <w:rsid w:val="002374D5"/>
    <w:rsid w:val="002374E7"/>
    <w:rsid w:val="0023751B"/>
    <w:rsid w:val="00237564"/>
    <w:rsid w:val="00237B3C"/>
    <w:rsid w:val="00237E49"/>
    <w:rsid w:val="00240119"/>
    <w:rsid w:val="00240498"/>
    <w:rsid w:val="0024074B"/>
    <w:rsid w:val="00240759"/>
    <w:rsid w:val="00240959"/>
    <w:rsid w:val="00240EEF"/>
    <w:rsid w:val="00240EF5"/>
    <w:rsid w:val="00240F13"/>
    <w:rsid w:val="00241181"/>
    <w:rsid w:val="0024143C"/>
    <w:rsid w:val="0024146A"/>
    <w:rsid w:val="0024156E"/>
    <w:rsid w:val="0024173B"/>
    <w:rsid w:val="00241C79"/>
    <w:rsid w:val="00241CAD"/>
    <w:rsid w:val="00241F2F"/>
    <w:rsid w:val="00241F84"/>
    <w:rsid w:val="002420C9"/>
    <w:rsid w:val="00242159"/>
    <w:rsid w:val="0024218A"/>
    <w:rsid w:val="002421B8"/>
    <w:rsid w:val="002423B5"/>
    <w:rsid w:val="00242716"/>
    <w:rsid w:val="0024280E"/>
    <w:rsid w:val="00242925"/>
    <w:rsid w:val="00243109"/>
    <w:rsid w:val="002433D3"/>
    <w:rsid w:val="00243D83"/>
    <w:rsid w:val="00243FED"/>
    <w:rsid w:val="002442FD"/>
    <w:rsid w:val="0024463B"/>
    <w:rsid w:val="002447B6"/>
    <w:rsid w:val="00244943"/>
    <w:rsid w:val="00244C0B"/>
    <w:rsid w:val="00244DE0"/>
    <w:rsid w:val="002452B2"/>
    <w:rsid w:val="002454D0"/>
    <w:rsid w:val="002457DA"/>
    <w:rsid w:val="00245B48"/>
    <w:rsid w:val="00245EE2"/>
    <w:rsid w:val="00246188"/>
    <w:rsid w:val="00246316"/>
    <w:rsid w:val="00246385"/>
    <w:rsid w:val="002463E1"/>
    <w:rsid w:val="0024667B"/>
    <w:rsid w:val="002466F6"/>
    <w:rsid w:val="002469E4"/>
    <w:rsid w:val="00246DC8"/>
    <w:rsid w:val="00246FBF"/>
    <w:rsid w:val="00247079"/>
    <w:rsid w:val="002470B0"/>
    <w:rsid w:val="0024776D"/>
    <w:rsid w:val="00247796"/>
    <w:rsid w:val="002478BD"/>
    <w:rsid w:val="00247915"/>
    <w:rsid w:val="00247DBC"/>
    <w:rsid w:val="00247F02"/>
    <w:rsid w:val="00247F41"/>
    <w:rsid w:val="002504BE"/>
    <w:rsid w:val="00250BE2"/>
    <w:rsid w:val="00250E5A"/>
    <w:rsid w:val="002512B1"/>
    <w:rsid w:val="0025139C"/>
    <w:rsid w:val="0025152B"/>
    <w:rsid w:val="00251F0C"/>
    <w:rsid w:val="00251F62"/>
    <w:rsid w:val="002520E8"/>
    <w:rsid w:val="002521B7"/>
    <w:rsid w:val="0025269E"/>
    <w:rsid w:val="00253182"/>
    <w:rsid w:val="00253245"/>
    <w:rsid w:val="0025343A"/>
    <w:rsid w:val="00253A1A"/>
    <w:rsid w:val="00253AE4"/>
    <w:rsid w:val="0025401D"/>
    <w:rsid w:val="002540A6"/>
    <w:rsid w:val="002544B6"/>
    <w:rsid w:val="002544E8"/>
    <w:rsid w:val="0025461F"/>
    <w:rsid w:val="00254639"/>
    <w:rsid w:val="00254DC2"/>
    <w:rsid w:val="0025560F"/>
    <w:rsid w:val="002557C6"/>
    <w:rsid w:val="002557EF"/>
    <w:rsid w:val="00255A99"/>
    <w:rsid w:val="00255F3E"/>
    <w:rsid w:val="002562D5"/>
    <w:rsid w:val="0025630B"/>
    <w:rsid w:val="002563D8"/>
    <w:rsid w:val="00256443"/>
    <w:rsid w:val="002566CD"/>
    <w:rsid w:val="00256E1A"/>
    <w:rsid w:val="00256F0D"/>
    <w:rsid w:val="0025708F"/>
    <w:rsid w:val="002575A6"/>
    <w:rsid w:val="002578F9"/>
    <w:rsid w:val="00257EDA"/>
    <w:rsid w:val="00260664"/>
    <w:rsid w:val="0026083D"/>
    <w:rsid w:val="00260D85"/>
    <w:rsid w:val="00260EAA"/>
    <w:rsid w:val="00261216"/>
    <w:rsid w:val="00261314"/>
    <w:rsid w:val="00261476"/>
    <w:rsid w:val="0026159C"/>
    <w:rsid w:val="00261680"/>
    <w:rsid w:val="002616C6"/>
    <w:rsid w:val="00261B0B"/>
    <w:rsid w:val="00261B15"/>
    <w:rsid w:val="00261DB8"/>
    <w:rsid w:val="00261E5D"/>
    <w:rsid w:val="00261E71"/>
    <w:rsid w:val="00261EDD"/>
    <w:rsid w:val="00261EDE"/>
    <w:rsid w:val="00261FBE"/>
    <w:rsid w:val="00262758"/>
    <w:rsid w:val="002628CD"/>
    <w:rsid w:val="002628FC"/>
    <w:rsid w:val="00262AD6"/>
    <w:rsid w:val="00262B5A"/>
    <w:rsid w:val="00262C99"/>
    <w:rsid w:val="00262D04"/>
    <w:rsid w:val="00262EC4"/>
    <w:rsid w:val="00262F06"/>
    <w:rsid w:val="00262FA5"/>
    <w:rsid w:val="0026306D"/>
    <w:rsid w:val="00263079"/>
    <w:rsid w:val="0026318F"/>
    <w:rsid w:val="00263365"/>
    <w:rsid w:val="0026350F"/>
    <w:rsid w:val="00263999"/>
    <w:rsid w:val="00263E77"/>
    <w:rsid w:val="0026469F"/>
    <w:rsid w:val="00264811"/>
    <w:rsid w:val="00264999"/>
    <w:rsid w:val="00264C17"/>
    <w:rsid w:val="00264C48"/>
    <w:rsid w:val="00265320"/>
    <w:rsid w:val="002657E6"/>
    <w:rsid w:val="00265DF3"/>
    <w:rsid w:val="0026613D"/>
    <w:rsid w:val="00266168"/>
    <w:rsid w:val="00266511"/>
    <w:rsid w:val="00266774"/>
    <w:rsid w:val="002669CC"/>
    <w:rsid w:val="002669E1"/>
    <w:rsid w:val="00266C84"/>
    <w:rsid w:val="00266CE0"/>
    <w:rsid w:val="00266D28"/>
    <w:rsid w:val="00267161"/>
    <w:rsid w:val="0026722D"/>
    <w:rsid w:val="00267453"/>
    <w:rsid w:val="0026758C"/>
    <w:rsid w:val="002675E5"/>
    <w:rsid w:val="002676F0"/>
    <w:rsid w:val="0026786E"/>
    <w:rsid w:val="002678C5"/>
    <w:rsid w:val="00267AB4"/>
    <w:rsid w:val="00267D26"/>
    <w:rsid w:val="0027016E"/>
    <w:rsid w:val="00270A85"/>
    <w:rsid w:val="00270AF3"/>
    <w:rsid w:val="00270B91"/>
    <w:rsid w:val="00270E74"/>
    <w:rsid w:val="00270FFB"/>
    <w:rsid w:val="00271011"/>
    <w:rsid w:val="00271425"/>
    <w:rsid w:val="00271E22"/>
    <w:rsid w:val="00272379"/>
    <w:rsid w:val="002729C2"/>
    <w:rsid w:val="00272BEA"/>
    <w:rsid w:val="00272C35"/>
    <w:rsid w:val="00273001"/>
    <w:rsid w:val="00273011"/>
    <w:rsid w:val="0027385D"/>
    <w:rsid w:val="00273983"/>
    <w:rsid w:val="00273A5D"/>
    <w:rsid w:val="00273A71"/>
    <w:rsid w:val="00273D65"/>
    <w:rsid w:val="00273DB9"/>
    <w:rsid w:val="00273FDB"/>
    <w:rsid w:val="002741EA"/>
    <w:rsid w:val="00274216"/>
    <w:rsid w:val="0027424E"/>
    <w:rsid w:val="002743E7"/>
    <w:rsid w:val="00274AD4"/>
    <w:rsid w:val="00274C49"/>
    <w:rsid w:val="00274CD4"/>
    <w:rsid w:val="00274CF7"/>
    <w:rsid w:val="00274D02"/>
    <w:rsid w:val="00274EC4"/>
    <w:rsid w:val="0027520B"/>
    <w:rsid w:val="00275260"/>
    <w:rsid w:val="00275607"/>
    <w:rsid w:val="00275695"/>
    <w:rsid w:val="00275762"/>
    <w:rsid w:val="00275AAC"/>
    <w:rsid w:val="00275E79"/>
    <w:rsid w:val="00275F66"/>
    <w:rsid w:val="00276060"/>
    <w:rsid w:val="0027622E"/>
    <w:rsid w:val="00276433"/>
    <w:rsid w:val="00276820"/>
    <w:rsid w:val="002768EB"/>
    <w:rsid w:val="00276F7C"/>
    <w:rsid w:val="002770EB"/>
    <w:rsid w:val="00277119"/>
    <w:rsid w:val="00277749"/>
    <w:rsid w:val="002777C4"/>
    <w:rsid w:val="00277C0F"/>
    <w:rsid w:val="00280092"/>
    <w:rsid w:val="00280389"/>
    <w:rsid w:val="002804BA"/>
    <w:rsid w:val="002806F4"/>
    <w:rsid w:val="0028079A"/>
    <w:rsid w:val="002809A6"/>
    <w:rsid w:val="00280BC9"/>
    <w:rsid w:val="00280DE6"/>
    <w:rsid w:val="00280E64"/>
    <w:rsid w:val="0028119A"/>
    <w:rsid w:val="002812BF"/>
    <w:rsid w:val="0028135C"/>
    <w:rsid w:val="002813C3"/>
    <w:rsid w:val="002822F8"/>
    <w:rsid w:val="00282450"/>
    <w:rsid w:val="0028297D"/>
    <w:rsid w:val="00282D33"/>
    <w:rsid w:val="00282D66"/>
    <w:rsid w:val="00282FD7"/>
    <w:rsid w:val="002831BC"/>
    <w:rsid w:val="0028397B"/>
    <w:rsid w:val="00283A03"/>
    <w:rsid w:val="00283B4D"/>
    <w:rsid w:val="00283F01"/>
    <w:rsid w:val="002841C2"/>
    <w:rsid w:val="00284259"/>
    <w:rsid w:val="0028468C"/>
    <w:rsid w:val="002846DA"/>
    <w:rsid w:val="002847E6"/>
    <w:rsid w:val="0028518B"/>
    <w:rsid w:val="0028525A"/>
    <w:rsid w:val="0028553C"/>
    <w:rsid w:val="00285761"/>
    <w:rsid w:val="00285BB1"/>
    <w:rsid w:val="00285C00"/>
    <w:rsid w:val="00285F10"/>
    <w:rsid w:val="00285F80"/>
    <w:rsid w:val="00286218"/>
    <w:rsid w:val="00286440"/>
    <w:rsid w:val="0028647E"/>
    <w:rsid w:val="00286503"/>
    <w:rsid w:val="00286709"/>
    <w:rsid w:val="0028679D"/>
    <w:rsid w:val="002867F1"/>
    <w:rsid w:val="00286C4F"/>
    <w:rsid w:val="00287375"/>
    <w:rsid w:val="0028752A"/>
    <w:rsid w:val="002876D6"/>
    <w:rsid w:val="0028796C"/>
    <w:rsid w:val="00290020"/>
    <w:rsid w:val="00290113"/>
    <w:rsid w:val="00290260"/>
    <w:rsid w:val="0029056B"/>
    <w:rsid w:val="00290890"/>
    <w:rsid w:val="002910F1"/>
    <w:rsid w:val="002913C2"/>
    <w:rsid w:val="002914BC"/>
    <w:rsid w:val="002914C4"/>
    <w:rsid w:val="00291714"/>
    <w:rsid w:val="00291734"/>
    <w:rsid w:val="002917BA"/>
    <w:rsid w:val="002917E4"/>
    <w:rsid w:val="00291F66"/>
    <w:rsid w:val="00291FB6"/>
    <w:rsid w:val="00292135"/>
    <w:rsid w:val="00292208"/>
    <w:rsid w:val="002922F5"/>
    <w:rsid w:val="0029238B"/>
    <w:rsid w:val="002923B4"/>
    <w:rsid w:val="0029241F"/>
    <w:rsid w:val="00292453"/>
    <w:rsid w:val="0029273B"/>
    <w:rsid w:val="00292815"/>
    <w:rsid w:val="0029282C"/>
    <w:rsid w:val="0029292E"/>
    <w:rsid w:val="00292D04"/>
    <w:rsid w:val="00292E9E"/>
    <w:rsid w:val="00292EDB"/>
    <w:rsid w:val="00292F95"/>
    <w:rsid w:val="002930AA"/>
    <w:rsid w:val="002938F3"/>
    <w:rsid w:val="00293DF2"/>
    <w:rsid w:val="0029436A"/>
    <w:rsid w:val="002944C5"/>
    <w:rsid w:val="002945F9"/>
    <w:rsid w:val="002949B1"/>
    <w:rsid w:val="00294B57"/>
    <w:rsid w:val="00294BC1"/>
    <w:rsid w:val="0029525E"/>
    <w:rsid w:val="00295554"/>
    <w:rsid w:val="002959B5"/>
    <w:rsid w:val="00295B03"/>
    <w:rsid w:val="00295B44"/>
    <w:rsid w:val="00295B7F"/>
    <w:rsid w:val="00295F76"/>
    <w:rsid w:val="00296165"/>
    <w:rsid w:val="0029628F"/>
    <w:rsid w:val="00296BF5"/>
    <w:rsid w:val="0029754A"/>
    <w:rsid w:val="002975E9"/>
    <w:rsid w:val="0029762B"/>
    <w:rsid w:val="00297B1D"/>
    <w:rsid w:val="00297DDD"/>
    <w:rsid w:val="00297F36"/>
    <w:rsid w:val="002A0121"/>
    <w:rsid w:val="002A04E9"/>
    <w:rsid w:val="002A0A80"/>
    <w:rsid w:val="002A0F59"/>
    <w:rsid w:val="002A1119"/>
    <w:rsid w:val="002A11FA"/>
    <w:rsid w:val="002A1A35"/>
    <w:rsid w:val="002A1AAF"/>
    <w:rsid w:val="002A1CD2"/>
    <w:rsid w:val="002A1D41"/>
    <w:rsid w:val="002A1D6C"/>
    <w:rsid w:val="002A2233"/>
    <w:rsid w:val="002A259D"/>
    <w:rsid w:val="002A2A70"/>
    <w:rsid w:val="002A2AEE"/>
    <w:rsid w:val="002A2CC3"/>
    <w:rsid w:val="002A2D39"/>
    <w:rsid w:val="002A3440"/>
    <w:rsid w:val="002A3A45"/>
    <w:rsid w:val="002A3EA0"/>
    <w:rsid w:val="002A3F57"/>
    <w:rsid w:val="002A4442"/>
    <w:rsid w:val="002A465E"/>
    <w:rsid w:val="002A471A"/>
    <w:rsid w:val="002A47A5"/>
    <w:rsid w:val="002A4B17"/>
    <w:rsid w:val="002A4D30"/>
    <w:rsid w:val="002A4D77"/>
    <w:rsid w:val="002A515A"/>
    <w:rsid w:val="002A5270"/>
    <w:rsid w:val="002A57CC"/>
    <w:rsid w:val="002A584C"/>
    <w:rsid w:val="002A5E76"/>
    <w:rsid w:val="002A5E99"/>
    <w:rsid w:val="002A5FB0"/>
    <w:rsid w:val="002A6269"/>
    <w:rsid w:val="002A65BF"/>
    <w:rsid w:val="002A66E4"/>
    <w:rsid w:val="002A69BA"/>
    <w:rsid w:val="002A69E4"/>
    <w:rsid w:val="002A6A74"/>
    <w:rsid w:val="002A6E52"/>
    <w:rsid w:val="002A70B1"/>
    <w:rsid w:val="002A73B2"/>
    <w:rsid w:val="002A73B6"/>
    <w:rsid w:val="002A7A11"/>
    <w:rsid w:val="002AE53F"/>
    <w:rsid w:val="002B0143"/>
    <w:rsid w:val="002B05BC"/>
    <w:rsid w:val="002B06F9"/>
    <w:rsid w:val="002B0B03"/>
    <w:rsid w:val="002B145B"/>
    <w:rsid w:val="002B15DA"/>
    <w:rsid w:val="002B16ED"/>
    <w:rsid w:val="002B17F6"/>
    <w:rsid w:val="002B1DEA"/>
    <w:rsid w:val="002B1ED5"/>
    <w:rsid w:val="002B28D3"/>
    <w:rsid w:val="002B2C88"/>
    <w:rsid w:val="002B2E9F"/>
    <w:rsid w:val="002B3350"/>
    <w:rsid w:val="002B338F"/>
    <w:rsid w:val="002B348C"/>
    <w:rsid w:val="002B35B9"/>
    <w:rsid w:val="002B3796"/>
    <w:rsid w:val="002B3975"/>
    <w:rsid w:val="002B39DC"/>
    <w:rsid w:val="002B39F5"/>
    <w:rsid w:val="002B3C32"/>
    <w:rsid w:val="002B3D8F"/>
    <w:rsid w:val="002B3EBD"/>
    <w:rsid w:val="002B3FE0"/>
    <w:rsid w:val="002B417E"/>
    <w:rsid w:val="002B47E0"/>
    <w:rsid w:val="002B4A13"/>
    <w:rsid w:val="002B4AF3"/>
    <w:rsid w:val="002B4C0A"/>
    <w:rsid w:val="002B4CAD"/>
    <w:rsid w:val="002B4F5A"/>
    <w:rsid w:val="002B53F9"/>
    <w:rsid w:val="002B570D"/>
    <w:rsid w:val="002B57BF"/>
    <w:rsid w:val="002B59A7"/>
    <w:rsid w:val="002B5A7A"/>
    <w:rsid w:val="002B5ECE"/>
    <w:rsid w:val="002B618A"/>
    <w:rsid w:val="002B6542"/>
    <w:rsid w:val="002B65BB"/>
    <w:rsid w:val="002B691A"/>
    <w:rsid w:val="002B692E"/>
    <w:rsid w:val="002B6971"/>
    <w:rsid w:val="002B6981"/>
    <w:rsid w:val="002B69D5"/>
    <w:rsid w:val="002B6A60"/>
    <w:rsid w:val="002B6BFE"/>
    <w:rsid w:val="002B6C88"/>
    <w:rsid w:val="002B6DDD"/>
    <w:rsid w:val="002B6F79"/>
    <w:rsid w:val="002B72FF"/>
    <w:rsid w:val="002B7B73"/>
    <w:rsid w:val="002C003D"/>
    <w:rsid w:val="002C0118"/>
    <w:rsid w:val="002C01E7"/>
    <w:rsid w:val="002C0232"/>
    <w:rsid w:val="002C0340"/>
    <w:rsid w:val="002C068F"/>
    <w:rsid w:val="002C08B6"/>
    <w:rsid w:val="002C0BFD"/>
    <w:rsid w:val="002C0C2A"/>
    <w:rsid w:val="002C133F"/>
    <w:rsid w:val="002C1AC7"/>
    <w:rsid w:val="002C1B82"/>
    <w:rsid w:val="002C2341"/>
    <w:rsid w:val="002C276F"/>
    <w:rsid w:val="002C2C2F"/>
    <w:rsid w:val="002C2C3F"/>
    <w:rsid w:val="002C3002"/>
    <w:rsid w:val="002C307E"/>
    <w:rsid w:val="002C32F6"/>
    <w:rsid w:val="002C3577"/>
    <w:rsid w:val="002C438D"/>
    <w:rsid w:val="002C45E5"/>
    <w:rsid w:val="002C460A"/>
    <w:rsid w:val="002C46CA"/>
    <w:rsid w:val="002C4CD7"/>
    <w:rsid w:val="002C56DE"/>
    <w:rsid w:val="002C5A94"/>
    <w:rsid w:val="002C6117"/>
    <w:rsid w:val="002C645D"/>
    <w:rsid w:val="002C6ACC"/>
    <w:rsid w:val="002C6B8D"/>
    <w:rsid w:val="002C6C20"/>
    <w:rsid w:val="002C71C3"/>
    <w:rsid w:val="002C73A0"/>
    <w:rsid w:val="002C73A2"/>
    <w:rsid w:val="002C7702"/>
    <w:rsid w:val="002C786B"/>
    <w:rsid w:val="002C7B4E"/>
    <w:rsid w:val="002C7CBD"/>
    <w:rsid w:val="002C7DB8"/>
    <w:rsid w:val="002C7E3E"/>
    <w:rsid w:val="002D01D3"/>
    <w:rsid w:val="002D0289"/>
    <w:rsid w:val="002D04B2"/>
    <w:rsid w:val="002D0660"/>
    <w:rsid w:val="002D0C23"/>
    <w:rsid w:val="002D0CB0"/>
    <w:rsid w:val="002D0D92"/>
    <w:rsid w:val="002D107D"/>
    <w:rsid w:val="002D10F8"/>
    <w:rsid w:val="002D11BE"/>
    <w:rsid w:val="002D161F"/>
    <w:rsid w:val="002D1704"/>
    <w:rsid w:val="002D1708"/>
    <w:rsid w:val="002D1786"/>
    <w:rsid w:val="002D1E2B"/>
    <w:rsid w:val="002D20D3"/>
    <w:rsid w:val="002D2462"/>
    <w:rsid w:val="002D2566"/>
    <w:rsid w:val="002D265F"/>
    <w:rsid w:val="002D2664"/>
    <w:rsid w:val="002D2F17"/>
    <w:rsid w:val="002D305D"/>
    <w:rsid w:val="002D32F9"/>
    <w:rsid w:val="002D3374"/>
    <w:rsid w:val="002D34C9"/>
    <w:rsid w:val="002D39DD"/>
    <w:rsid w:val="002D3A0A"/>
    <w:rsid w:val="002D3AA1"/>
    <w:rsid w:val="002D3ACF"/>
    <w:rsid w:val="002D3CD6"/>
    <w:rsid w:val="002D3FC9"/>
    <w:rsid w:val="002D4057"/>
    <w:rsid w:val="002D42B3"/>
    <w:rsid w:val="002D45C0"/>
    <w:rsid w:val="002D46FD"/>
    <w:rsid w:val="002D4706"/>
    <w:rsid w:val="002D4778"/>
    <w:rsid w:val="002D4F88"/>
    <w:rsid w:val="002D53D0"/>
    <w:rsid w:val="002D5706"/>
    <w:rsid w:val="002D5868"/>
    <w:rsid w:val="002D591E"/>
    <w:rsid w:val="002D5C37"/>
    <w:rsid w:val="002D5C91"/>
    <w:rsid w:val="002D6190"/>
    <w:rsid w:val="002D63BF"/>
    <w:rsid w:val="002D66DA"/>
    <w:rsid w:val="002D677E"/>
    <w:rsid w:val="002D67F1"/>
    <w:rsid w:val="002D6935"/>
    <w:rsid w:val="002D6B13"/>
    <w:rsid w:val="002D6BFA"/>
    <w:rsid w:val="002D6E72"/>
    <w:rsid w:val="002D71D7"/>
    <w:rsid w:val="002D73AC"/>
    <w:rsid w:val="002D75D6"/>
    <w:rsid w:val="002D779E"/>
    <w:rsid w:val="002D79F1"/>
    <w:rsid w:val="002D7BD9"/>
    <w:rsid w:val="002D7F40"/>
    <w:rsid w:val="002D7FA1"/>
    <w:rsid w:val="002D7FB5"/>
    <w:rsid w:val="002E0AC6"/>
    <w:rsid w:val="002E0E30"/>
    <w:rsid w:val="002E0F43"/>
    <w:rsid w:val="002E127A"/>
    <w:rsid w:val="002E138D"/>
    <w:rsid w:val="002E14FD"/>
    <w:rsid w:val="002E1537"/>
    <w:rsid w:val="002E169A"/>
    <w:rsid w:val="002E1802"/>
    <w:rsid w:val="002E1980"/>
    <w:rsid w:val="002E1A0C"/>
    <w:rsid w:val="002E2524"/>
    <w:rsid w:val="002E25E7"/>
    <w:rsid w:val="002E2704"/>
    <w:rsid w:val="002E2882"/>
    <w:rsid w:val="002E2AB1"/>
    <w:rsid w:val="002E30ED"/>
    <w:rsid w:val="002E316E"/>
    <w:rsid w:val="002E3230"/>
    <w:rsid w:val="002E325B"/>
    <w:rsid w:val="002E3339"/>
    <w:rsid w:val="002E381D"/>
    <w:rsid w:val="002E4114"/>
    <w:rsid w:val="002E415D"/>
    <w:rsid w:val="002E4445"/>
    <w:rsid w:val="002E445F"/>
    <w:rsid w:val="002E458B"/>
    <w:rsid w:val="002E47AA"/>
    <w:rsid w:val="002E48B2"/>
    <w:rsid w:val="002E49C2"/>
    <w:rsid w:val="002E4C5D"/>
    <w:rsid w:val="002E4CA2"/>
    <w:rsid w:val="002E5740"/>
    <w:rsid w:val="002E5A76"/>
    <w:rsid w:val="002E60A7"/>
    <w:rsid w:val="002E6311"/>
    <w:rsid w:val="002E65C8"/>
    <w:rsid w:val="002E6679"/>
    <w:rsid w:val="002E67FD"/>
    <w:rsid w:val="002E6818"/>
    <w:rsid w:val="002E6AC3"/>
    <w:rsid w:val="002E6B6A"/>
    <w:rsid w:val="002E6D3B"/>
    <w:rsid w:val="002E6FDF"/>
    <w:rsid w:val="002E73C3"/>
    <w:rsid w:val="002E7554"/>
    <w:rsid w:val="002E7821"/>
    <w:rsid w:val="002E790F"/>
    <w:rsid w:val="002E7955"/>
    <w:rsid w:val="002E7CD9"/>
    <w:rsid w:val="002E7EE0"/>
    <w:rsid w:val="002E7F3B"/>
    <w:rsid w:val="002E7FD5"/>
    <w:rsid w:val="002F0234"/>
    <w:rsid w:val="002F035A"/>
    <w:rsid w:val="002F068B"/>
    <w:rsid w:val="002F07A5"/>
    <w:rsid w:val="002F090A"/>
    <w:rsid w:val="002F09D7"/>
    <w:rsid w:val="002F0B66"/>
    <w:rsid w:val="002F0F2F"/>
    <w:rsid w:val="002F12F3"/>
    <w:rsid w:val="002F14FD"/>
    <w:rsid w:val="002F1827"/>
    <w:rsid w:val="002F2035"/>
    <w:rsid w:val="002F208A"/>
    <w:rsid w:val="002F208D"/>
    <w:rsid w:val="002F24E5"/>
    <w:rsid w:val="002F2697"/>
    <w:rsid w:val="002F28B5"/>
    <w:rsid w:val="002F2CD8"/>
    <w:rsid w:val="002F2EB9"/>
    <w:rsid w:val="002F32D8"/>
    <w:rsid w:val="002F346E"/>
    <w:rsid w:val="002F3586"/>
    <w:rsid w:val="002F35D0"/>
    <w:rsid w:val="002F3B87"/>
    <w:rsid w:val="002F3C6A"/>
    <w:rsid w:val="002F3D36"/>
    <w:rsid w:val="002F3D39"/>
    <w:rsid w:val="002F3DC6"/>
    <w:rsid w:val="002F43A1"/>
    <w:rsid w:val="002F4447"/>
    <w:rsid w:val="002F448A"/>
    <w:rsid w:val="002F451F"/>
    <w:rsid w:val="002F4F4D"/>
    <w:rsid w:val="002F4F7C"/>
    <w:rsid w:val="002F5099"/>
    <w:rsid w:val="002F5288"/>
    <w:rsid w:val="002F5490"/>
    <w:rsid w:val="002F56F8"/>
    <w:rsid w:val="002F5738"/>
    <w:rsid w:val="002F57D5"/>
    <w:rsid w:val="002F5B0E"/>
    <w:rsid w:val="002F5F0B"/>
    <w:rsid w:val="002F5F94"/>
    <w:rsid w:val="002F6145"/>
    <w:rsid w:val="002F62B0"/>
    <w:rsid w:val="002F637A"/>
    <w:rsid w:val="002F6B4B"/>
    <w:rsid w:val="002F6E54"/>
    <w:rsid w:val="002F7278"/>
    <w:rsid w:val="002F7501"/>
    <w:rsid w:val="002F7788"/>
    <w:rsid w:val="002F782B"/>
    <w:rsid w:val="002F7953"/>
    <w:rsid w:val="002F7D8B"/>
    <w:rsid w:val="002F7F2B"/>
    <w:rsid w:val="002F7F37"/>
    <w:rsid w:val="003003AC"/>
    <w:rsid w:val="003007FD"/>
    <w:rsid w:val="0030084D"/>
    <w:rsid w:val="00300F0F"/>
    <w:rsid w:val="003015BB"/>
    <w:rsid w:val="00301762"/>
    <w:rsid w:val="003017F6"/>
    <w:rsid w:val="00301A90"/>
    <w:rsid w:val="00301C4B"/>
    <w:rsid w:val="00301E71"/>
    <w:rsid w:val="00301F93"/>
    <w:rsid w:val="0030233B"/>
    <w:rsid w:val="00302839"/>
    <w:rsid w:val="00302958"/>
    <w:rsid w:val="00302971"/>
    <w:rsid w:val="00302AB2"/>
    <w:rsid w:val="00302CA4"/>
    <w:rsid w:val="00303640"/>
    <w:rsid w:val="0030398E"/>
    <w:rsid w:val="00303B4F"/>
    <w:rsid w:val="00303E78"/>
    <w:rsid w:val="00304343"/>
    <w:rsid w:val="00304474"/>
    <w:rsid w:val="00304612"/>
    <w:rsid w:val="003048F2"/>
    <w:rsid w:val="00305469"/>
    <w:rsid w:val="00305994"/>
    <w:rsid w:val="00305B2E"/>
    <w:rsid w:val="00306243"/>
    <w:rsid w:val="0030654D"/>
    <w:rsid w:val="00306573"/>
    <w:rsid w:val="0030664A"/>
    <w:rsid w:val="003071E3"/>
    <w:rsid w:val="0030784F"/>
    <w:rsid w:val="003078B7"/>
    <w:rsid w:val="003078E2"/>
    <w:rsid w:val="00307BAB"/>
    <w:rsid w:val="00307CE6"/>
    <w:rsid w:val="003101F1"/>
    <w:rsid w:val="003103F6"/>
    <w:rsid w:val="00310A74"/>
    <w:rsid w:val="00310AAC"/>
    <w:rsid w:val="00310D96"/>
    <w:rsid w:val="00310E17"/>
    <w:rsid w:val="00310FFC"/>
    <w:rsid w:val="00311530"/>
    <w:rsid w:val="003116C0"/>
    <w:rsid w:val="00311BD6"/>
    <w:rsid w:val="00312230"/>
    <w:rsid w:val="003128A7"/>
    <w:rsid w:val="00312D8F"/>
    <w:rsid w:val="00312DF6"/>
    <w:rsid w:val="00312EFD"/>
    <w:rsid w:val="00312F6E"/>
    <w:rsid w:val="0031310D"/>
    <w:rsid w:val="0031356D"/>
    <w:rsid w:val="00313583"/>
    <w:rsid w:val="00313591"/>
    <w:rsid w:val="00313D2C"/>
    <w:rsid w:val="00313D66"/>
    <w:rsid w:val="00314318"/>
    <w:rsid w:val="00314654"/>
    <w:rsid w:val="0031512E"/>
    <w:rsid w:val="0031523B"/>
    <w:rsid w:val="00315362"/>
    <w:rsid w:val="0031567C"/>
    <w:rsid w:val="003156C3"/>
    <w:rsid w:val="0031581C"/>
    <w:rsid w:val="00315A97"/>
    <w:rsid w:val="00315DC9"/>
    <w:rsid w:val="00315EC1"/>
    <w:rsid w:val="003164C3"/>
    <w:rsid w:val="003167BB"/>
    <w:rsid w:val="0031693B"/>
    <w:rsid w:val="00316B66"/>
    <w:rsid w:val="00316BA4"/>
    <w:rsid w:val="003173A2"/>
    <w:rsid w:val="003173EC"/>
    <w:rsid w:val="00317581"/>
    <w:rsid w:val="00317654"/>
    <w:rsid w:val="00317A12"/>
    <w:rsid w:val="00317EBA"/>
    <w:rsid w:val="00320071"/>
    <w:rsid w:val="003200CB"/>
    <w:rsid w:val="003201BC"/>
    <w:rsid w:val="00320429"/>
    <w:rsid w:val="003204AC"/>
    <w:rsid w:val="003207EC"/>
    <w:rsid w:val="00320815"/>
    <w:rsid w:val="0032091B"/>
    <w:rsid w:val="00320BE2"/>
    <w:rsid w:val="00320C06"/>
    <w:rsid w:val="00320DE7"/>
    <w:rsid w:val="00320E33"/>
    <w:rsid w:val="00320F94"/>
    <w:rsid w:val="003210E0"/>
    <w:rsid w:val="0032162F"/>
    <w:rsid w:val="003217CF"/>
    <w:rsid w:val="00322CC2"/>
    <w:rsid w:val="0032313C"/>
    <w:rsid w:val="0032330C"/>
    <w:rsid w:val="003233FD"/>
    <w:rsid w:val="00323790"/>
    <w:rsid w:val="00323E2B"/>
    <w:rsid w:val="00324342"/>
    <w:rsid w:val="0032434C"/>
    <w:rsid w:val="003243A1"/>
    <w:rsid w:val="00324695"/>
    <w:rsid w:val="003249F4"/>
    <w:rsid w:val="00324FC7"/>
    <w:rsid w:val="003250DC"/>
    <w:rsid w:val="0032526F"/>
    <w:rsid w:val="00325689"/>
    <w:rsid w:val="003258CE"/>
    <w:rsid w:val="00325E73"/>
    <w:rsid w:val="00325F18"/>
    <w:rsid w:val="00325F93"/>
    <w:rsid w:val="0032602A"/>
    <w:rsid w:val="00326100"/>
    <w:rsid w:val="00326218"/>
    <w:rsid w:val="003263CC"/>
    <w:rsid w:val="00326D18"/>
    <w:rsid w:val="00326E9B"/>
    <w:rsid w:val="00327083"/>
    <w:rsid w:val="003271F0"/>
    <w:rsid w:val="00327481"/>
    <w:rsid w:val="00327482"/>
    <w:rsid w:val="00327AE5"/>
    <w:rsid w:val="00327F4A"/>
    <w:rsid w:val="00330171"/>
    <w:rsid w:val="003301C0"/>
    <w:rsid w:val="0033025F"/>
    <w:rsid w:val="003303BB"/>
    <w:rsid w:val="003308FF"/>
    <w:rsid w:val="00330B2B"/>
    <w:rsid w:val="00330EF0"/>
    <w:rsid w:val="003313E9"/>
    <w:rsid w:val="00331592"/>
    <w:rsid w:val="003316DE"/>
    <w:rsid w:val="00331703"/>
    <w:rsid w:val="00331B2F"/>
    <w:rsid w:val="00331C14"/>
    <w:rsid w:val="00331F99"/>
    <w:rsid w:val="00332485"/>
    <w:rsid w:val="0033261C"/>
    <w:rsid w:val="003327D0"/>
    <w:rsid w:val="003332B9"/>
    <w:rsid w:val="003334CB"/>
    <w:rsid w:val="003334F7"/>
    <w:rsid w:val="00333527"/>
    <w:rsid w:val="003335DC"/>
    <w:rsid w:val="0033360E"/>
    <w:rsid w:val="00333899"/>
    <w:rsid w:val="00333ADA"/>
    <w:rsid w:val="00333B47"/>
    <w:rsid w:val="00333C34"/>
    <w:rsid w:val="00333EFB"/>
    <w:rsid w:val="00334DF0"/>
    <w:rsid w:val="003353CA"/>
    <w:rsid w:val="003353F1"/>
    <w:rsid w:val="00335A33"/>
    <w:rsid w:val="00335CA7"/>
    <w:rsid w:val="00335FBF"/>
    <w:rsid w:val="00336055"/>
    <w:rsid w:val="00336064"/>
    <w:rsid w:val="003360D8"/>
    <w:rsid w:val="00336604"/>
    <w:rsid w:val="0033699D"/>
    <w:rsid w:val="00336CDC"/>
    <w:rsid w:val="00336EF3"/>
    <w:rsid w:val="00337037"/>
    <w:rsid w:val="003370F3"/>
    <w:rsid w:val="0033716F"/>
    <w:rsid w:val="00337174"/>
    <w:rsid w:val="003371BE"/>
    <w:rsid w:val="0033721A"/>
    <w:rsid w:val="00337378"/>
    <w:rsid w:val="003376B7"/>
    <w:rsid w:val="00337706"/>
    <w:rsid w:val="00337A2F"/>
    <w:rsid w:val="00337AC4"/>
    <w:rsid w:val="00337BFC"/>
    <w:rsid w:val="00337FE5"/>
    <w:rsid w:val="00340042"/>
    <w:rsid w:val="0034007A"/>
    <w:rsid w:val="00340278"/>
    <w:rsid w:val="00340315"/>
    <w:rsid w:val="00340827"/>
    <w:rsid w:val="003412C2"/>
    <w:rsid w:val="003414F8"/>
    <w:rsid w:val="0034193D"/>
    <w:rsid w:val="00341970"/>
    <w:rsid w:val="00341CA9"/>
    <w:rsid w:val="00341CFC"/>
    <w:rsid w:val="00341D02"/>
    <w:rsid w:val="00341D2E"/>
    <w:rsid w:val="00341EFD"/>
    <w:rsid w:val="003422DF"/>
    <w:rsid w:val="003423D5"/>
    <w:rsid w:val="00342D15"/>
    <w:rsid w:val="00342EA2"/>
    <w:rsid w:val="0034363E"/>
    <w:rsid w:val="0034401C"/>
    <w:rsid w:val="003442C4"/>
    <w:rsid w:val="00344572"/>
    <w:rsid w:val="00344796"/>
    <w:rsid w:val="00344892"/>
    <w:rsid w:val="003448C8"/>
    <w:rsid w:val="00344B7D"/>
    <w:rsid w:val="00344D8E"/>
    <w:rsid w:val="00344F5F"/>
    <w:rsid w:val="00345202"/>
    <w:rsid w:val="00345255"/>
    <w:rsid w:val="00345A1C"/>
    <w:rsid w:val="00345A7F"/>
    <w:rsid w:val="00345B61"/>
    <w:rsid w:val="00345B6A"/>
    <w:rsid w:val="003467E5"/>
    <w:rsid w:val="00346A2B"/>
    <w:rsid w:val="00346ADC"/>
    <w:rsid w:val="00347752"/>
    <w:rsid w:val="0034794A"/>
    <w:rsid w:val="00347C91"/>
    <w:rsid w:val="00347E16"/>
    <w:rsid w:val="00347FE8"/>
    <w:rsid w:val="0034B789"/>
    <w:rsid w:val="00350200"/>
    <w:rsid w:val="0035034B"/>
    <w:rsid w:val="00350A6B"/>
    <w:rsid w:val="00350BCD"/>
    <w:rsid w:val="0035124A"/>
    <w:rsid w:val="00351735"/>
    <w:rsid w:val="003518E3"/>
    <w:rsid w:val="00351C0D"/>
    <w:rsid w:val="00351CDA"/>
    <w:rsid w:val="00351D96"/>
    <w:rsid w:val="0035223B"/>
    <w:rsid w:val="00352CCF"/>
    <w:rsid w:val="00352FE4"/>
    <w:rsid w:val="003530FF"/>
    <w:rsid w:val="003532F6"/>
    <w:rsid w:val="00353996"/>
    <w:rsid w:val="00353A62"/>
    <w:rsid w:val="00353B29"/>
    <w:rsid w:val="00353B6E"/>
    <w:rsid w:val="00353E51"/>
    <w:rsid w:val="00353E99"/>
    <w:rsid w:val="0035400C"/>
    <w:rsid w:val="00354037"/>
    <w:rsid w:val="00354842"/>
    <w:rsid w:val="00354BF5"/>
    <w:rsid w:val="00354CED"/>
    <w:rsid w:val="00355350"/>
    <w:rsid w:val="00355962"/>
    <w:rsid w:val="00355C37"/>
    <w:rsid w:val="00355C76"/>
    <w:rsid w:val="00355FA3"/>
    <w:rsid w:val="003565E7"/>
    <w:rsid w:val="0035679F"/>
    <w:rsid w:val="003567B4"/>
    <w:rsid w:val="00356F5A"/>
    <w:rsid w:val="00356FA8"/>
    <w:rsid w:val="00356FC6"/>
    <w:rsid w:val="0035781C"/>
    <w:rsid w:val="00357D08"/>
    <w:rsid w:val="00357D32"/>
    <w:rsid w:val="003605DE"/>
    <w:rsid w:val="00360661"/>
    <w:rsid w:val="00360AE9"/>
    <w:rsid w:val="00360B48"/>
    <w:rsid w:val="00360B87"/>
    <w:rsid w:val="00360D49"/>
    <w:rsid w:val="00360EAE"/>
    <w:rsid w:val="0036100D"/>
    <w:rsid w:val="00361097"/>
    <w:rsid w:val="003616E1"/>
    <w:rsid w:val="00361A66"/>
    <w:rsid w:val="00361FCE"/>
    <w:rsid w:val="00362929"/>
    <w:rsid w:val="003629E7"/>
    <w:rsid w:val="00362D57"/>
    <w:rsid w:val="00363500"/>
    <w:rsid w:val="00363810"/>
    <w:rsid w:val="003639BD"/>
    <w:rsid w:val="00363C37"/>
    <w:rsid w:val="00364038"/>
    <w:rsid w:val="00364AD5"/>
    <w:rsid w:val="00364B2A"/>
    <w:rsid w:val="00364CA8"/>
    <w:rsid w:val="00364EF6"/>
    <w:rsid w:val="00364FC1"/>
    <w:rsid w:val="003651AF"/>
    <w:rsid w:val="00365394"/>
    <w:rsid w:val="00365717"/>
    <w:rsid w:val="003657B2"/>
    <w:rsid w:val="003658A7"/>
    <w:rsid w:val="003663BE"/>
    <w:rsid w:val="00366A89"/>
    <w:rsid w:val="00366B26"/>
    <w:rsid w:val="00366BA3"/>
    <w:rsid w:val="00366CED"/>
    <w:rsid w:val="00366DA0"/>
    <w:rsid w:val="00366DCF"/>
    <w:rsid w:val="00367072"/>
    <w:rsid w:val="00367108"/>
    <w:rsid w:val="003676F8"/>
    <w:rsid w:val="003678A9"/>
    <w:rsid w:val="003678E8"/>
    <w:rsid w:val="00367956"/>
    <w:rsid w:val="00367CC7"/>
    <w:rsid w:val="00367D1A"/>
    <w:rsid w:val="00367D9C"/>
    <w:rsid w:val="003700F6"/>
    <w:rsid w:val="003702EB"/>
    <w:rsid w:val="003703C0"/>
    <w:rsid w:val="0037077C"/>
    <w:rsid w:val="0037078F"/>
    <w:rsid w:val="00370A15"/>
    <w:rsid w:val="00370B91"/>
    <w:rsid w:val="00370D09"/>
    <w:rsid w:val="00370D3B"/>
    <w:rsid w:val="003716DB"/>
    <w:rsid w:val="00371E5B"/>
    <w:rsid w:val="003722C5"/>
    <w:rsid w:val="003724A3"/>
    <w:rsid w:val="0037253A"/>
    <w:rsid w:val="00372553"/>
    <w:rsid w:val="0037292E"/>
    <w:rsid w:val="00372A8D"/>
    <w:rsid w:val="00372AC3"/>
    <w:rsid w:val="00372F5B"/>
    <w:rsid w:val="00373249"/>
    <w:rsid w:val="003735CC"/>
    <w:rsid w:val="003737F8"/>
    <w:rsid w:val="0037390B"/>
    <w:rsid w:val="00373952"/>
    <w:rsid w:val="00373970"/>
    <w:rsid w:val="00373A06"/>
    <w:rsid w:val="00373B64"/>
    <w:rsid w:val="00373D91"/>
    <w:rsid w:val="00374286"/>
    <w:rsid w:val="00374495"/>
    <w:rsid w:val="003744F2"/>
    <w:rsid w:val="0037460F"/>
    <w:rsid w:val="003747DF"/>
    <w:rsid w:val="00374A4F"/>
    <w:rsid w:val="00374B81"/>
    <w:rsid w:val="00375325"/>
    <w:rsid w:val="00375650"/>
    <w:rsid w:val="003757B0"/>
    <w:rsid w:val="0037588F"/>
    <w:rsid w:val="003759B6"/>
    <w:rsid w:val="003759FE"/>
    <w:rsid w:val="00375CBC"/>
    <w:rsid w:val="00375CC1"/>
    <w:rsid w:val="00375D2F"/>
    <w:rsid w:val="00376169"/>
    <w:rsid w:val="003767F0"/>
    <w:rsid w:val="00376D11"/>
    <w:rsid w:val="00376D25"/>
    <w:rsid w:val="003772A0"/>
    <w:rsid w:val="003773E1"/>
    <w:rsid w:val="00377816"/>
    <w:rsid w:val="00377E2E"/>
    <w:rsid w:val="00377E39"/>
    <w:rsid w:val="003805CB"/>
    <w:rsid w:val="003805D9"/>
    <w:rsid w:val="0038060E"/>
    <w:rsid w:val="00380DFD"/>
    <w:rsid w:val="00381114"/>
    <w:rsid w:val="00381492"/>
    <w:rsid w:val="0038192D"/>
    <w:rsid w:val="00381DDC"/>
    <w:rsid w:val="00381F65"/>
    <w:rsid w:val="003829FA"/>
    <w:rsid w:val="00383411"/>
    <w:rsid w:val="00383461"/>
    <w:rsid w:val="0038360B"/>
    <w:rsid w:val="00383A71"/>
    <w:rsid w:val="00383B78"/>
    <w:rsid w:val="00383C4E"/>
    <w:rsid w:val="00384890"/>
    <w:rsid w:val="00384B56"/>
    <w:rsid w:val="00384E25"/>
    <w:rsid w:val="003852E7"/>
    <w:rsid w:val="003855AD"/>
    <w:rsid w:val="00385C29"/>
    <w:rsid w:val="00385F3C"/>
    <w:rsid w:val="00386107"/>
    <w:rsid w:val="0038613A"/>
    <w:rsid w:val="003862DC"/>
    <w:rsid w:val="003866B1"/>
    <w:rsid w:val="0038688C"/>
    <w:rsid w:val="00386B10"/>
    <w:rsid w:val="00386BE8"/>
    <w:rsid w:val="00386CB8"/>
    <w:rsid w:val="0038763F"/>
    <w:rsid w:val="0038776A"/>
    <w:rsid w:val="00387799"/>
    <w:rsid w:val="00387A4A"/>
    <w:rsid w:val="00387C4D"/>
    <w:rsid w:val="00390131"/>
    <w:rsid w:val="0039029B"/>
    <w:rsid w:val="0039034D"/>
    <w:rsid w:val="00390870"/>
    <w:rsid w:val="003908E3"/>
    <w:rsid w:val="00390E57"/>
    <w:rsid w:val="00390E7E"/>
    <w:rsid w:val="003910BD"/>
    <w:rsid w:val="0039126E"/>
    <w:rsid w:val="00391410"/>
    <w:rsid w:val="0039166E"/>
    <w:rsid w:val="00391775"/>
    <w:rsid w:val="003918AC"/>
    <w:rsid w:val="00392206"/>
    <w:rsid w:val="00392467"/>
    <w:rsid w:val="0039252D"/>
    <w:rsid w:val="00392E37"/>
    <w:rsid w:val="00392FFB"/>
    <w:rsid w:val="003930DB"/>
    <w:rsid w:val="003931D0"/>
    <w:rsid w:val="00393528"/>
    <w:rsid w:val="00393B20"/>
    <w:rsid w:val="00393E3F"/>
    <w:rsid w:val="00393F1A"/>
    <w:rsid w:val="00393FD9"/>
    <w:rsid w:val="00394A3D"/>
    <w:rsid w:val="00394A42"/>
    <w:rsid w:val="00394F95"/>
    <w:rsid w:val="0039519B"/>
    <w:rsid w:val="0039547D"/>
    <w:rsid w:val="003954AC"/>
    <w:rsid w:val="003955B3"/>
    <w:rsid w:val="00395B40"/>
    <w:rsid w:val="00395B99"/>
    <w:rsid w:val="00395EEC"/>
    <w:rsid w:val="00396236"/>
    <w:rsid w:val="00396751"/>
    <w:rsid w:val="00396B15"/>
    <w:rsid w:val="0039705E"/>
    <w:rsid w:val="00397281"/>
    <w:rsid w:val="0039743D"/>
    <w:rsid w:val="003A04D2"/>
    <w:rsid w:val="003A07C5"/>
    <w:rsid w:val="003A07EC"/>
    <w:rsid w:val="003A0891"/>
    <w:rsid w:val="003A0958"/>
    <w:rsid w:val="003A0A43"/>
    <w:rsid w:val="003A0ABE"/>
    <w:rsid w:val="003A0D44"/>
    <w:rsid w:val="003A0D59"/>
    <w:rsid w:val="003A0DC0"/>
    <w:rsid w:val="003A0F68"/>
    <w:rsid w:val="003A10D9"/>
    <w:rsid w:val="003A10FF"/>
    <w:rsid w:val="003A113E"/>
    <w:rsid w:val="003A14BB"/>
    <w:rsid w:val="003A161B"/>
    <w:rsid w:val="003A1A26"/>
    <w:rsid w:val="003A204C"/>
    <w:rsid w:val="003A246B"/>
    <w:rsid w:val="003A284E"/>
    <w:rsid w:val="003A3126"/>
    <w:rsid w:val="003A3287"/>
    <w:rsid w:val="003A33D1"/>
    <w:rsid w:val="003A349A"/>
    <w:rsid w:val="003A35BD"/>
    <w:rsid w:val="003A37C3"/>
    <w:rsid w:val="003A3A13"/>
    <w:rsid w:val="003A3EDB"/>
    <w:rsid w:val="003A4551"/>
    <w:rsid w:val="003A4568"/>
    <w:rsid w:val="003A45C8"/>
    <w:rsid w:val="003A4A54"/>
    <w:rsid w:val="003A4C10"/>
    <w:rsid w:val="003A51D6"/>
    <w:rsid w:val="003A5470"/>
    <w:rsid w:val="003A63F1"/>
    <w:rsid w:val="003A66ED"/>
    <w:rsid w:val="003A67CA"/>
    <w:rsid w:val="003A68C7"/>
    <w:rsid w:val="003A6E8D"/>
    <w:rsid w:val="003A7029"/>
    <w:rsid w:val="003A762F"/>
    <w:rsid w:val="003A76D5"/>
    <w:rsid w:val="003A773E"/>
    <w:rsid w:val="003A77AD"/>
    <w:rsid w:val="003A77FF"/>
    <w:rsid w:val="003A7DAE"/>
    <w:rsid w:val="003AA654"/>
    <w:rsid w:val="003B02B4"/>
    <w:rsid w:val="003B05C2"/>
    <w:rsid w:val="003B0AF9"/>
    <w:rsid w:val="003B0B64"/>
    <w:rsid w:val="003B0C67"/>
    <w:rsid w:val="003B0C97"/>
    <w:rsid w:val="003B108B"/>
    <w:rsid w:val="003B16AA"/>
    <w:rsid w:val="003B1D08"/>
    <w:rsid w:val="003B1DE4"/>
    <w:rsid w:val="003B2165"/>
    <w:rsid w:val="003B21B5"/>
    <w:rsid w:val="003B22CC"/>
    <w:rsid w:val="003B23E9"/>
    <w:rsid w:val="003B2841"/>
    <w:rsid w:val="003B2E39"/>
    <w:rsid w:val="003B323F"/>
    <w:rsid w:val="003B353A"/>
    <w:rsid w:val="003B368E"/>
    <w:rsid w:val="003B3741"/>
    <w:rsid w:val="003B396F"/>
    <w:rsid w:val="003B3B1E"/>
    <w:rsid w:val="003B470F"/>
    <w:rsid w:val="003B48B8"/>
    <w:rsid w:val="003B48BD"/>
    <w:rsid w:val="003B4C86"/>
    <w:rsid w:val="003B500D"/>
    <w:rsid w:val="003B513E"/>
    <w:rsid w:val="003B5A9B"/>
    <w:rsid w:val="003B5B32"/>
    <w:rsid w:val="003B61A0"/>
    <w:rsid w:val="003B6B20"/>
    <w:rsid w:val="003B6C2B"/>
    <w:rsid w:val="003B70C4"/>
    <w:rsid w:val="003B7177"/>
    <w:rsid w:val="003B73B9"/>
    <w:rsid w:val="003B78D6"/>
    <w:rsid w:val="003B79F7"/>
    <w:rsid w:val="003B7A6B"/>
    <w:rsid w:val="003B7CFD"/>
    <w:rsid w:val="003B7D2B"/>
    <w:rsid w:val="003B7E5E"/>
    <w:rsid w:val="003B7FD6"/>
    <w:rsid w:val="003C008A"/>
    <w:rsid w:val="003C02AA"/>
    <w:rsid w:val="003C04BB"/>
    <w:rsid w:val="003C0530"/>
    <w:rsid w:val="003C05E8"/>
    <w:rsid w:val="003C09D6"/>
    <w:rsid w:val="003C0A97"/>
    <w:rsid w:val="003C0D9F"/>
    <w:rsid w:val="003C0E01"/>
    <w:rsid w:val="003C0F8C"/>
    <w:rsid w:val="003C1347"/>
    <w:rsid w:val="003C1946"/>
    <w:rsid w:val="003C1C1C"/>
    <w:rsid w:val="003C1D22"/>
    <w:rsid w:val="003C1F8A"/>
    <w:rsid w:val="003C215F"/>
    <w:rsid w:val="003C24BA"/>
    <w:rsid w:val="003C2E3D"/>
    <w:rsid w:val="003C2F13"/>
    <w:rsid w:val="003C2F75"/>
    <w:rsid w:val="003C2FD2"/>
    <w:rsid w:val="003C3303"/>
    <w:rsid w:val="003C38F4"/>
    <w:rsid w:val="003C3ABE"/>
    <w:rsid w:val="003C3ACA"/>
    <w:rsid w:val="003C3C18"/>
    <w:rsid w:val="003C3EAB"/>
    <w:rsid w:val="003C414C"/>
    <w:rsid w:val="003C4315"/>
    <w:rsid w:val="003C4490"/>
    <w:rsid w:val="003C4773"/>
    <w:rsid w:val="003C4E6A"/>
    <w:rsid w:val="003C5208"/>
    <w:rsid w:val="003C56A2"/>
    <w:rsid w:val="003C6040"/>
    <w:rsid w:val="003C6346"/>
    <w:rsid w:val="003C65CC"/>
    <w:rsid w:val="003C6787"/>
    <w:rsid w:val="003C67A1"/>
    <w:rsid w:val="003C67EB"/>
    <w:rsid w:val="003C7429"/>
    <w:rsid w:val="003C7474"/>
    <w:rsid w:val="003C7699"/>
    <w:rsid w:val="003C7BD7"/>
    <w:rsid w:val="003C7C64"/>
    <w:rsid w:val="003C7CDC"/>
    <w:rsid w:val="003C7EF5"/>
    <w:rsid w:val="003D00DA"/>
    <w:rsid w:val="003D02F0"/>
    <w:rsid w:val="003D054F"/>
    <w:rsid w:val="003D05F7"/>
    <w:rsid w:val="003D08E6"/>
    <w:rsid w:val="003D0975"/>
    <w:rsid w:val="003D0A32"/>
    <w:rsid w:val="003D0F6A"/>
    <w:rsid w:val="003D1608"/>
    <w:rsid w:val="003D179D"/>
    <w:rsid w:val="003D18D2"/>
    <w:rsid w:val="003D1FAC"/>
    <w:rsid w:val="003D209C"/>
    <w:rsid w:val="003D2149"/>
    <w:rsid w:val="003D2155"/>
    <w:rsid w:val="003D23E3"/>
    <w:rsid w:val="003D26C2"/>
    <w:rsid w:val="003D2F6E"/>
    <w:rsid w:val="003D3276"/>
    <w:rsid w:val="003D34A0"/>
    <w:rsid w:val="003D3B37"/>
    <w:rsid w:val="003D3DD3"/>
    <w:rsid w:val="003D4274"/>
    <w:rsid w:val="003D47CB"/>
    <w:rsid w:val="003D4A70"/>
    <w:rsid w:val="003D4AEC"/>
    <w:rsid w:val="003D4B70"/>
    <w:rsid w:val="003D4F4F"/>
    <w:rsid w:val="003D5316"/>
    <w:rsid w:val="003D5350"/>
    <w:rsid w:val="003D5393"/>
    <w:rsid w:val="003D5468"/>
    <w:rsid w:val="003D5618"/>
    <w:rsid w:val="003D59D4"/>
    <w:rsid w:val="003D5A86"/>
    <w:rsid w:val="003D5BB6"/>
    <w:rsid w:val="003D5E32"/>
    <w:rsid w:val="003D60A9"/>
    <w:rsid w:val="003D6415"/>
    <w:rsid w:val="003D6A62"/>
    <w:rsid w:val="003D6CA4"/>
    <w:rsid w:val="003D6E29"/>
    <w:rsid w:val="003D701B"/>
    <w:rsid w:val="003D70CF"/>
    <w:rsid w:val="003D7110"/>
    <w:rsid w:val="003D7164"/>
    <w:rsid w:val="003D72D8"/>
    <w:rsid w:val="003D72F4"/>
    <w:rsid w:val="003D786A"/>
    <w:rsid w:val="003D78DB"/>
    <w:rsid w:val="003D7931"/>
    <w:rsid w:val="003D7C41"/>
    <w:rsid w:val="003D7D9E"/>
    <w:rsid w:val="003D7FEF"/>
    <w:rsid w:val="003E0266"/>
    <w:rsid w:val="003E051A"/>
    <w:rsid w:val="003E051D"/>
    <w:rsid w:val="003E068C"/>
    <w:rsid w:val="003E0769"/>
    <w:rsid w:val="003E0B7D"/>
    <w:rsid w:val="003E0EE6"/>
    <w:rsid w:val="003E1259"/>
    <w:rsid w:val="003E145E"/>
    <w:rsid w:val="003E19BD"/>
    <w:rsid w:val="003E1A18"/>
    <w:rsid w:val="003E1F94"/>
    <w:rsid w:val="003E21B8"/>
    <w:rsid w:val="003E2768"/>
    <w:rsid w:val="003E294E"/>
    <w:rsid w:val="003E2A1D"/>
    <w:rsid w:val="003E2F52"/>
    <w:rsid w:val="003E31EC"/>
    <w:rsid w:val="003E348E"/>
    <w:rsid w:val="003E3C4E"/>
    <w:rsid w:val="003E3F4F"/>
    <w:rsid w:val="003E3F73"/>
    <w:rsid w:val="003E4476"/>
    <w:rsid w:val="003E4714"/>
    <w:rsid w:val="003E4BB6"/>
    <w:rsid w:val="003E560C"/>
    <w:rsid w:val="003E5A77"/>
    <w:rsid w:val="003E5B46"/>
    <w:rsid w:val="003E5DF1"/>
    <w:rsid w:val="003E5F83"/>
    <w:rsid w:val="003E6126"/>
    <w:rsid w:val="003E63C1"/>
    <w:rsid w:val="003E66CC"/>
    <w:rsid w:val="003E68A8"/>
    <w:rsid w:val="003E6A25"/>
    <w:rsid w:val="003E6BE4"/>
    <w:rsid w:val="003E6D10"/>
    <w:rsid w:val="003E6EA4"/>
    <w:rsid w:val="003E6EC7"/>
    <w:rsid w:val="003E71CC"/>
    <w:rsid w:val="003E7459"/>
    <w:rsid w:val="003E7974"/>
    <w:rsid w:val="003E7ADE"/>
    <w:rsid w:val="003F01AF"/>
    <w:rsid w:val="003F04D7"/>
    <w:rsid w:val="003F06DA"/>
    <w:rsid w:val="003F078E"/>
    <w:rsid w:val="003F0A78"/>
    <w:rsid w:val="003F0B58"/>
    <w:rsid w:val="003F0BD0"/>
    <w:rsid w:val="003F0E4F"/>
    <w:rsid w:val="003F0F0E"/>
    <w:rsid w:val="003F1143"/>
    <w:rsid w:val="003F118C"/>
    <w:rsid w:val="003F1849"/>
    <w:rsid w:val="003F1AAB"/>
    <w:rsid w:val="003F1E5E"/>
    <w:rsid w:val="003F203E"/>
    <w:rsid w:val="003F21CE"/>
    <w:rsid w:val="003F2379"/>
    <w:rsid w:val="003F23ED"/>
    <w:rsid w:val="003F25AF"/>
    <w:rsid w:val="003F2B39"/>
    <w:rsid w:val="003F2D7A"/>
    <w:rsid w:val="003F31D1"/>
    <w:rsid w:val="003F330E"/>
    <w:rsid w:val="003F3361"/>
    <w:rsid w:val="003F34B8"/>
    <w:rsid w:val="003F3DAB"/>
    <w:rsid w:val="003F4110"/>
    <w:rsid w:val="003F4270"/>
    <w:rsid w:val="003F430A"/>
    <w:rsid w:val="003F4470"/>
    <w:rsid w:val="003F4485"/>
    <w:rsid w:val="003F44CB"/>
    <w:rsid w:val="003F5905"/>
    <w:rsid w:val="003F5D17"/>
    <w:rsid w:val="003F601E"/>
    <w:rsid w:val="003F67C6"/>
    <w:rsid w:val="003F67D4"/>
    <w:rsid w:val="003F68B7"/>
    <w:rsid w:val="003F6F04"/>
    <w:rsid w:val="003F7815"/>
    <w:rsid w:val="003F7DBB"/>
    <w:rsid w:val="004004EB"/>
    <w:rsid w:val="00400527"/>
    <w:rsid w:val="004006F9"/>
    <w:rsid w:val="00400821"/>
    <w:rsid w:val="00400B20"/>
    <w:rsid w:val="00400C1F"/>
    <w:rsid w:val="004014C0"/>
    <w:rsid w:val="004015F8"/>
    <w:rsid w:val="0040167C"/>
    <w:rsid w:val="00401908"/>
    <w:rsid w:val="00401D96"/>
    <w:rsid w:val="00401FB2"/>
    <w:rsid w:val="0040209B"/>
    <w:rsid w:val="0040231B"/>
    <w:rsid w:val="00402453"/>
    <w:rsid w:val="0040282D"/>
    <w:rsid w:val="00402BC6"/>
    <w:rsid w:val="0040335D"/>
    <w:rsid w:val="0040340B"/>
    <w:rsid w:val="0040349C"/>
    <w:rsid w:val="004038B2"/>
    <w:rsid w:val="00403B67"/>
    <w:rsid w:val="00403E34"/>
    <w:rsid w:val="0040421C"/>
    <w:rsid w:val="0040437D"/>
    <w:rsid w:val="00404443"/>
    <w:rsid w:val="00404510"/>
    <w:rsid w:val="004049C7"/>
    <w:rsid w:val="00404B94"/>
    <w:rsid w:val="00404D2C"/>
    <w:rsid w:val="00405311"/>
    <w:rsid w:val="0040537B"/>
    <w:rsid w:val="004054FC"/>
    <w:rsid w:val="004055A1"/>
    <w:rsid w:val="00405AA7"/>
    <w:rsid w:val="00405C43"/>
    <w:rsid w:val="00405C87"/>
    <w:rsid w:val="00406025"/>
    <w:rsid w:val="00406131"/>
    <w:rsid w:val="0040616F"/>
    <w:rsid w:val="004064E4"/>
    <w:rsid w:val="00406738"/>
    <w:rsid w:val="004071AF"/>
    <w:rsid w:val="00407216"/>
    <w:rsid w:val="004075C9"/>
    <w:rsid w:val="00407619"/>
    <w:rsid w:val="00407AF9"/>
    <w:rsid w:val="00407BE5"/>
    <w:rsid w:val="00407E4B"/>
    <w:rsid w:val="00407F3A"/>
    <w:rsid w:val="00410037"/>
    <w:rsid w:val="004104F8"/>
    <w:rsid w:val="00410A62"/>
    <w:rsid w:val="00410B88"/>
    <w:rsid w:val="00410E86"/>
    <w:rsid w:val="00410F6B"/>
    <w:rsid w:val="0041147B"/>
    <w:rsid w:val="00411846"/>
    <w:rsid w:val="0041206D"/>
    <w:rsid w:val="0041208D"/>
    <w:rsid w:val="00412278"/>
    <w:rsid w:val="004122F5"/>
    <w:rsid w:val="00412799"/>
    <w:rsid w:val="00412D8B"/>
    <w:rsid w:val="00412DD4"/>
    <w:rsid w:val="004130A5"/>
    <w:rsid w:val="00413193"/>
    <w:rsid w:val="00413F5E"/>
    <w:rsid w:val="004141EE"/>
    <w:rsid w:val="0041440F"/>
    <w:rsid w:val="004147A0"/>
    <w:rsid w:val="004148FC"/>
    <w:rsid w:val="0041495B"/>
    <w:rsid w:val="00415018"/>
    <w:rsid w:val="0041527D"/>
    <w:rsid w:val="0041537D"/>
    <w:rsid w:val="004153DC"/>
    <w:rsid w:val="00415BFD"/>
    <w:rsid w:val="00416014"/>
    <w:rsid w:val="0041651F"/>
    <w:rsid w:val="00416F2B"/>
    <w:rsid w:val="00416F60"/>
    <w:rsid w:val="0041715D"/>
    <w:rsid w:val="004172FA"/>
    <w:rsid w:val="00417624"/>
    <w:rsid w:val="00417C59"/>
    <w:rsid w:val="00417FA8"/>
    <w:rsid w:val="004200B9"/>
    <w:rsid w:val="00420253"/>
    <w:rsid w:val="0042065A"/>
    <w:rsid w:val="00420A9D"/>
    <w:rsid w:val="00420AF7"/>
    <w:rsid w:val="00420C24"/>
    <w:rsid w:val="00421036"/>
    <w:rsid w:val="0042124A"/>
    <w:rsid w:val="004212CF"/>
    <w:rsid w:val="004213A6"/>
    <w:rsid w:val="00421994"/>
    <w:rsid w:val="004219A1"/>
    <w:rsid w:val="00421A2A"/>
    <w:rsid w:val="0042218F"/>
    <w:rsid w:val="00422203"/>
    <w:rsid w:val="00422943"/>
    <w:rsid w:val="004229DD"/>
    <w:rsid w:val="00423361"/>
    <w:rsid w:val="004235BE"/>
    <w:rsid w:val="00423622"/>
    <w:rsid w:val="00423677"/>
    <w:rsid w:val="00423736"/>
    <w:rsid w:val="0042374D"/>
    <w:rsid w:val="00423BE6"/>
    <w:rsid w:val="00424114"/>
    <w:rsid w:val="00424260"/>
    <w:rsid w:val="004243FE"/>
    <w:rsid w:val="00424C04"/>
    <w:rsid w:val="004254E6"/>
    <w:rsid w:val="004257B7"/>
    <w:rsid w:val="00425E1A"/>
    <w:rsid w:val="0042607F"/>
    <w:rsid w:val="004265D9"/>
    <w:rsid w:val="00426624"/>
    <w:rsid w:val="0042665E"/>
    <w:rsid w:val="004266A2"/>
    <w:rsid w:val="004266CD"/>
    <w:rsid w:val="004267CA"/>
    <w:rsid w:val="004268D1"/>
    <w:rsid w:val="004269D2"/>
    <w:rsid w:val="00426A4D"/>
    <w:rsid w:val="00426BE5"/>
    <w:rsid w:val="00426C56"/>
    <w:rsid w:val="00426CA3"/>
    <w:rsid w:val="00426E79"/>
    <w:rsid w:val="00427162"/>
    <w:rsid w:val="004275AC"/>
    <w:rsid w:val="00427638"/>
    <w:rsid w:val="0042771B"/>
    <w:rsid w:val="00427800"/>
    <w:rsid w:val="00427E68"/>
    <w:rsid w:val="00427F76"/>
    <w:rsid w:val="00430356"/>
    <w:rsid w:val="00430757"/>
    <w:rsid w:val="0043083A"/>
    <w:rsid w:val="004309DB"/>
    <w:rsid w:val="00430C6E"/>
    <w:rsid w:val="00430D79"/>
    <w:rsid w:val="004311CF"/>
    <w:rsid w:val="004312EC"/>
    <w:rsid w:val="004315D1"/>
    <w:rsid w:val="00431662"/>
    <w:rsid w:val="00431762"/>
    <w:rsid w:val="004317B4"/>
    <w:rsid w:val="00432202"/>
    <w:rsid w:val="0043225E"/>
    <w:rsid w:val="004323CD"/>
    <w:rsid w:val="004326CF"/>
    <w:rsid w:val="004328C2"/>
    <w:rsid w:val="004329C6"/>
    <w:rsid w:val="004329CD"/>
    <w:rsid w:val="004329DD"/>
    <w:rsid w:val="00432F23"/>
    <w:rsid w:val="00433019"/>
    <w:rsid w:val="0043349A"/>
    <w:rsid w:val="004334E2"/>
    <w:rsid w:val="004339A1"/>
    <w:rsid w:val="00433A41"/>
    <w:rsid w:val="00433CC0"/>
    <w:rsid w:val="00433CE8"/>
    <w:rsid w:val="00433D58"/>
    <w:rsid w:val="004347F3"/>
    <w:rsid w:val="0043497D"/>
    <w:rsid w:val="00434B5B"/>
    <w:rsid w:val="00434C88"/>
    <w:rsid w:val="004351D4"/>
    <w:rsid w:val="0043529E"/>
    <w:rsid w:val="0043535D"/>
    <w:rsid w:val="00435425"/>
    <w:rsid w:val="0043552E"/>
    <w:rsid w:val="004359D6"/>
    <w:rsid w:val="00435A53"/>
    <w:rsid w:val="0043629B"/>
    <w:rsid w:val="00436877"/>
    <w:rsid w:val="00436935"/>
    <w:rsid w:val="0043695D"/>
    <w:rsid w:val="00436DC4"/>
    <w:rsid w:val="004370BA"/>
    <w:rsid w:val="00437176"/>
    <w:rsid w:val="004379D4"/>
    <w:rsid w:val="00437EDE"/>
    <w:rsid w:val="00440250"/>
    <w:rsid w:val="0044081B"/>
    <w:rsid w:val="00440937"/>
    <w:rsid w:val="00440D45"/>
    <w:rsid w:val="004410E6"/>
    <w:rsid w:val="004416DD"/>
    <w:rsid w:val="004416F4"/>
    <w:rsid w:val="00441A97"/>
    <w:rsid w:val="00441D35"/>
    <w:rsid w:val="00441E27"/>
    <w:rsid w:val="00441FB4"/>
    <w:rsid w:val="00441FC8"/>
    <w:rsid w:val="00442482"/>
    <w:rsid w:val="0044259F"/>
    <w:rsid w:val="00442979"/>
    <w:rsid w:val="00442AAF"/>
    <w:rsid w:val="0044303D"/>
    <w:rsid w:val="00443349"/>
    <w:rsid w:val="00443498"/>
    <w:rsid w:val="004434F9"/>
    <w:rsid w:val="0044386F"/>
    <w:rsid w:val="0044396A"/>
    <w:rsid w:val="004439E3"/>
    <w:rsid w:val="00443D7A"/>
    <w:rsid w:val="00443E09"/>
    <w:rsid w:val="00443EA9"/>
    <w:rsid w:val="0044419F"/>
    <w:rsid w:val="004444AF"/>
    <w:rsid w:val="00444978"/>
    <w:rsid w:val="00444C53"/>
    <w:rsid w:val="00444FDD"/>
    <w:rsid w:val="00444FE2"/>
    <w:rsid w:val="00445085"/>
    <w:rsid w:val="004450EB"/>
    <w:rsid w:val="004457A2"/>
    <w:rsid w:val="004459A0"/>
    <w:rsid w:val="00445CEF"/>
    <w:rsid w:val="0044651A"/>
    <w:rsid w:val="00446709"/>
    <w:rsid w:val="00446BA1"/>
    <w:rsid w:val="00446BC7"/>
    <w:rsid w:val="00446D4D"/>
    <w:rsid w:val="00446F18"/>
    <w:rsid w:val="00447318"/>
    <w:rsid w:val="00447324"/>
    <w:rsid w:val="0044763D"/>
    <w:rsid w:val="00447649"/>
    <w:rsid w:val="0044771A"/>
    <w:rsid w:val="00447921"/>
    <w:rsid w:val="004500B8"/>
    <w:rsid w:val="0045013B"/>
    <w:rsid w:val="004507C0"/>
    <w:rsid w:val="004507D2"/>
    <w:rsid w:val="00450B45"/>
    <w:rsid w:val="00450CF4"/>
    <w:rsid w:val="00451128"/>
    <w:rsid w:val="00451173"/>
    <w:rsid w:val="004511A4"/>
    <w:rsid w:val="004512E5"/>
    <w:rsid w:val="0045150A"/>
    <w:rsid w:val="0045159B"/>
    <w:rsid w:val="004519D4"/>
    <w:rsid w:val="00451D6B"/>
    <w:rsid w:val="004522C7"/>
    <w:rsid w:val="00452413"/>
    <w:rsid w:val="00452AB7"/>
    <w:rsid w:val="00452FA6"/>
    <w:rsid w:val="00453476"/>
    <w:rsid w:val="00453B49"/>
    <w:rsid w:val="00453BBF"/>
    <w:rsid w:val="00453CDA"/>
    <w:rsid w:val="00453D11"/>
    <w:rsid w:val="00453DB1"/>
    <w:rsid w:val="0045404B"/>
    <w:rsid w:val="00454220"/>
    <w:rsid w:val="00454461"/>
    <w:rsid w:val="00454526"/>
    <w:rsid w:val="00454718"/>
    <w:rsid w:val="0045473C"/>
    <w:rsid w:val="00454769"/>
    <w:rsid w:val="004547B0"/>
    <w:rsid w:val="004547DA"/>
    <w:rsid w:val="00454983"/>
    <w:rsid w:val="00454C31"/>
    <w:rsid w:val="0045518A"/>
    <w:rsid w:val="00455272"/>
    <w:rsid w:val="0045586D"/>
    <w:rsid w:val="0045594B"/>
    <w:rsid w:val="00455A4E"/>
    <w:rsid w:val="00455C56"/>
    <w:rsid w:val="00455D31"/>
    <w:rsid w:val="00456654"/>
    <w:rsid w:val="004569C0"/>
    <w:rsid w:val="00456D11"/>
    <w:rsid w:val="004570DC"/>
    <w:rsid w:val="004571CB"/>
    <w:rsid w:val="004572F6"/>
    <w:rsid w:val="004573EF"/>
    <w:rsid w:val="004574FC"/>
    <w:rsid w:val="004575A7"/>
    <w:rsid w:val="00457C1D"/>
    <w:rsid w:val="00460000"/>
    <w:rsid w:val="004600BA"/>
    <w:rsid w:val="004601AC"/>
    <w:rsid w:val="004601FF"/>
    <w:rsid w:val="004607ED"/>
    <w:rsid w:val="004609D8"/>
    <w:rsid w:val="00460C4C"/>
    <w:rsid w:val="0046122E"/>
    <w:rsid w:val="0046159E"/>
    <w:rsid w:val="004615DA"/>
    <w:rsid w:val="00461706"/>
    <w:rsid w:val="00461984"/>
    <w:rsid w:val="00461AB6"/>
    <w:rsid w:val="00461BC3"/>
    <w:rsid w:val="00461EC6"/>
    <w:rsid w:val="004621A8"/>
    <w:rsid w:val="00462A29"/>
    <w:rsid w:val="00462AA6"/>
    <w:rsid w:val="004630C1"/>
    <w:rsid w:val="00463159"/>
    <w:rsid w:val="004631B4"/>
    <w:rsid w:val="004634A2"/>
    <w:rsid w:val="004637BA"/>
    <w:rsid w:val="00463B81"/>
    <w:rsid w:val="00463BC2"/>
    <w:rsid w:val="00463C4A"/>
    <w:rsid w:val="00463E81"/>
    <w:rsid w:val="00463ED2"/>
    <w:rsid w:val="004647B1"/>
    <w:rsid w:val="00464B9A"/>
    <w:rsid w:val="00464C90"/>
    <w:rsid w:val="00464CA4"/>
    <w:rsid w:val="00464F5B"/>
    <w:rsid w:val="004653F9"/>
    <w:rsid w:val="00465C66"/>
    <w:rsid w:val="00465D91"/>
    <w:rsid w:val="00465E63"/>
    <w:rsid w:val="00465F0F"/>
    <w:rsid w:val="004660C7"/>
    <w:rsid w:val="004668FD"/>
    <w:rsid w:val="00466DC9"/>
    <w:rsid w:val="00466F92"/>
    <w:rsid w:val="00466FBC"/>
    <w:rsid w:val="00467576"/>
    <w:rsid w:val="004678E4"/>
    <w:rsid w:val="00467A83"/>
    <w:rsid w:val="00467CA7"/>
    <w:rsid w:val="00470020"/>
    <w:rsid w:val="0047002D"/>
    <w:rsid w:val="0047006C"/>
    <w:rsid w:val="0047023A"/>
    <w:rsid w:val="0047112F"/>
    <w:rsid w:val="0047139C"/>
    <w:rsid w:val="00471B4C"/>
    <w:rsid w:val="00471D58"/>
    <w:rsid w:val="00471F8E"/>
    <w:rsid w:val="00472003"/>
    <w:rsid w:val="00472A10"/>
    <w:rsid w:val="00472DCF"/>
    <w:rsid w:val="0047311F"/>
    <w:rsid w:val="004731AA"/>
    <w:rsid w:val="004731F0"/>
    <w:rsid w:val="004732F0"/>
    <w:rsid w:val="0047347E"/>
    <w:rsid w:val="00473594"/>
    <w:rsid w:val="004735AC"/>
    <w:rsid w:val="004738A1"/>
    <w:rsid w:val="0047394D"/>
    <w:rsid w:val="00473BF6"/>
    <w:rsid w:val="00473CA3"/>
    <w:rsid w:val="00473D59"/>
    <w:rsid w:val="00473D9D"/>
    <w:rsid w:val="00473F17"/>
    <w:rsid w:val="004741D8"/>
    <w:rsid w:val="0047429F"/>
    <w:rsid w:val="004742CE"/>
    <w:rsid w:val="00474ACE"/>
    <w:rsid w:val="00474BD3"/>
    <w:rsid w:val="00474CFC"/>
    <w:rsid w:val="00474D6F"/>
    <w:rsid w:val="00474E86"/>
    <w:rsid w:val="00475164"/>
    <w:rsid w:val="00475259"/>
    <w:rsid w:val="00475623"/>
    <w:rsid w:val="004759FE"/>
    <w:rsid w:val="00475B63"/>
    <w:rsid w:val="00475B67"/>
    <w:rsid w:val="00475DEF"/>
    <w:rsid w:val="00475E3B"/>
    <w:rsid w:val="00476394"/>
    <w:rsid w:val="004766ED"/>
    <w:rsid w:val="0047680C"/>
    <w:rsid w:val="00476A5A"/>
    <w:rsid w:val="00476A83"/>
    <w:rsid w:val="00476BBC"/>
    <w:rsid w:val="00476EAD"/>
    <w:rsid w:val="00476EDC"/>
    <w:rsid w:val="00476F5F"/>
    <w:rsid w:val="004771AA"/>
    <w:rsid w:val="00477211"/>
    <w:rsid w:val="004773A6"/>
    <w:rsid w:val="004775BD"/>
    <w:rsid w:val="004776F2"/>
    <w:rsid w:val="00477937"/>
    <w:rsid w:val="00477DDA"/>
    <w:rsid w:val="0048034F"/>
    <w:rsid w:val="004803AC"/>
    <w:rsid w:val="004807C1"/>
    <w:rsid w:val="00480963"/>
    <w:rsid w:val="00480C0C"/>
    <w:rsid w:val="004811D8"/>
    <w:rsid w:val="00481498"/>
    <w:rsid w:val="0048150A"/>
    <w:rsid w:val="00481550"/>
    <w:rsid w:val="0048187D"/>
    <w:rsid w:val="00481B00"/>
    <w:rsid w:val="00481CFA"/>
    <w:rsid w:val="00481D28"/>
    <w:rsid w:val="00481DD3"/>
    <w:rsid w:val="00481F1A"/>
    <w:rsid w:val="00481F2C"/>
    <w:rsid w:val="00481FA1"/>
    <w:rsid w:val="00481FE2"/>
    <w:rsid w:val="00482338"/>
    <w:rsid w:val="00482417"/>
    <w:rsid w:val="004824E6"/>
    <w:rsid w:val="004825A4"/>
    <w:rsid w:val="00482DB8"/>
    <w:rsid w:val="00483327"/>
    <w:rsid w:val="00483810"/>
    <w:rsid w:val="00483B03"/>
    <w:rsid w:val="00484241"/>
    <w:rsid w:val="004845A7"/>
    <w:rsid w:val="00484659"/>
    <w:rsid w:val="00484668"/>
    <w:rsid w:val="00484945"/>
    <w:rsid w:val="00484ACD"/>
    <w:rsid w:val="00484F1A"/>
    <w:rsid w:val="00484F7C"/>
    <w:rsid w:val="004851F1"/>
    <w:rsid w:val="004855C6"/>
    <w:rsid w:val="00485616"/>
    <w:rsid w:val="00485637"/>
    <w:rsid w:val="004858D2"/>
    <w:rsid w:val="0048597C"/>
    <w:rsid w:val="0048599D"/>
    <w:rsid w:val="00485A95"/>
    <w:rsid w:val="00485E8B"/>
    <w:rsid w:val="00486297"/>
    <w:rsid w:val="004863F1"/>
    <w:rsid w:val="0048644C"/>
    <w:rsid w:val="004866D3"/>
    <w:rsid w:val="004867BD"/>
    <w:rsid w:val="00486990"/>
    <w:rsid w:val="00486DAA"/>
    <w:rsid w:val="00486EAC"/>
    <w:rsid w:val="00486F99"/>
    <w:rsid w:val="00487127"/>
    <w:rsid w:val="004876EA"/>
    <w:rsid w:val="0048772E"/>
    <w:rsid w:val="00487E24"/>
    <w:rsid w:val="00487F12"/>
    <w:rsid w:val="00487FE4"/>
    <w:rsid w:val="004908E8"/>
    <w:rsid w:val="00490F90"/>
    <w:rsid w:val="004911F7"/>
    <w:rsid w:val="004915A1"/>
    <w:rsid w:val="00491611"/>
    <w:rsid w:val="00491B3B"/>
    <w:rsid w:val="00491DD1"/>
    <w:rsid w:val="00491F41"/>
    <w:rsid w:val="004922E6"/>
    <w:rsid w:val="00492333"/>
    <w:rsid w:val="0049246D"/>
    <w:rsid w:val="00492470"/>
    <w:rsid w:val="004924E1"/>
    <w:rsid w:val="0049278C"/>
    <w:rsid w:val="0049289F"/>
    <w:rsid w:val="00492B7E"/>
    <w:rsid w:val="00492F02"/>
    <w:rsid w:val="004937CD"/>
    <w:rsid w:val="00493B5A"/>
    <w:rsid w:val="004945FD"/>
    <w:rsid w:val="0049469F"/>
    <w:rsid w:val="0049471B"/>
    <w:rsid w:val="00494899"/>
    <w:rsid w:val="004949E7"/>
    <w:rsid w:val="00494A31"/>
    <w:rsid w:val="00494A73"/>
    <w:rsid w:val="00494A7E"/>
    <w:rsid w:val="00494CCE"/>
    <w:rsid w:val="00494CDD"/>
    <w:rsid w:val="00494F3A"/>
    <w:rsid w:val="004951B3"/>
    <w:rsid w:val="00495636"/>
    <w:rsid w:val="004956C6"/>
    <w:rsid w:val="004959F4"/>
    <w:rsid w:val="00495D1A"/>
    <w:rsid w:val="00495E17"/>
    <w:rsid w:val="00495F1F"/>
    <w:rsid w:val="004962F4"/>
    <w:rsid w:val="0049660D"/>
    <w:rsid w:val="004976A5"/>
    <w:rsid w:val="00497828"/>
    <w:rsid w:val="004A009E"/>
    <w:rsid w:val="004A00AA"/>
    <w:rsid w:val="004A022A"/>
    <w:rsid w:val="004A0426"/>
    <w:rsid w:val="004A04A2"/>
    <w:rsid w:val="004A052D"/>
    <w:rsid w:val="004A05BC"/>
    <w:rsid w:val="004A0611"/>
    <w:rsid w:val="004A0773"/>
    <w:rsid w:val="004A087A"/>
    <w:rsid w:val="004A0A5F"/>
    <w:rsid w:val="004A0C5E"/>
    <w:rsid w:val="004A0D50"/>
    <w:rsid w:val="004A0D9A"/>
    <w:rsid w:val="004A0DBC"/>
    <w:rsid w:val="004A1451"/>
    <w:rsid w:val="004A1632"/>
    <w:rsid w:val="004A177C"/>
    <w:rsid w:val="004A18DB"/>
    <w:rsid w:val="004A1B94"/>
    <w:rsid w:val="004A1BAB"/>
    <w:rsid w:val="004A210A"/>
    <w:rsid w:val="004A2186"/>
    <w:rsid w:val="004A2198"/>
    <w:rsid w:val="004A2233"/>
    <w:rsid w:val="004A22C4"/>
    <w:rsid w:val="004A2EC4"/>
    <w:rsid w:val="004A2FD9"/>
    <w:rsid w:val="004A3358"/>
    <w:rsid w:val="004A3377"/>
    <w:rsid w:val="004A3CAE"/>
    <w:rsid w:val="004A3FD4"/>
    <w:rsid w:val="004A4006"/>
    <w:rsid w:val="004A40D3"/>
    <w:rsid w:val="004A4237"/>
    <w:rsid w:val="004A4554"/>
    <w:rsid w:val="004A47B2"/>
    <w:rsid w:val="004A5084"/>
    <w:rsid w:val="004A51B1"/>
    <w:rsid w:val="004A55D7"/>
    <w:rsid w:val="004A5841"/>
    <w:rsid w:val="004A586C"/>
    <w:rsid w:val="004A5996"/>
    <w:rsid w:val="004A61C8"/>
    <w:rsid w:val="004A6221"/>
    <w:rsid w:val="004A6450"/>
    <w:rsid w:val="004A6454"/>
    <w:rsid w:val="004A645A"/>
    <w:rsid w:val="004A66D7"/>
    <w:rsid w:val="004A6CF3"/>
    <w:rsid w:val="004A6CFD"/>
    <w:rsid w:val="004A7216"/>
    <w:rsid w:val="004A72C8"/>
    <w:rsid w:val="004A73AB"/>
    <w:rsid w:val="004A747E"/>
    <w:rsid w:val="004A7786"/>
    <w:rsid w:val="004A7A1D"/>
    <w:rsid w:val="004A7A2B"/>
    <w:rsid w:val="004A7BEF"/>
    <w:rsid w:val="004A7FE0"/>
    <w:rsid w:val="004B03B3"/>
    <w:rsid w:val="004B0ABD"/>
    <w:rsid w:val="004B0C0C"/>
    <w:rsid w:val="004B0E03"/>
    <w:rsid w:val="004B0F64"/>
    <w:rsid w:val="004B1184"/>
    <w:rsid w:val="004B144B"/>
    <w:rsid w:val="004B1555"/>
    <w:rsid w:val="004B15CA"/>
    <w:rsid w:val="004B17E4"/>
    <w:rsid w:val="004B18D4"/>
    <w:rsid w:val="004B19AE"/>
    <w:rsid w:val="004B1AD4"/>
    <w:rsid w:val="004B2005"/>
    <w:rsid w:val="004B23E1"/>
    <w:rsid w:val="004B2925"/>
    <w:rsid w:val="004B2968"/>
    <w:rsid w:val="004B29E6"/>
    <w:rsid w:val="004B2F66"/>
    <w:rsid w:val="004B3007"/>
    <w:rsid w:val="004B3013"/>
    <w:rsid w:val="004B310E"/>
    <w:rsid w:val="004B3132"/>
    <w:rsid w:val="004B325F"/>
    <w:rsid w:val="004B32C1"/>
    <w:rsid w:val="004B350C"/>
    <w:rsid w:val="004B4004"/>
    <w:rsid w:val="004B4035"/>
    <w:rsid w:val="004B410C"/>
    <w:rsid w:val="004B4272"/>
    <w:rsid w:val="004B478D"/>
    <w:rsid w:val="004B484C"/>
    <w:rsid w:val="004B4E9D"/>
    <w:rsid w:val="004B4EC8"/>
    <w:rsid w:val="004B4EE5"/>
    <w:rsid w:val="004B502A"/>
    <w:rsid w:val="004B51AA"/>
    <w:rsid w:val="004B5648"/>
    <w:rsid w:val="004B5673"/>
    <w:rsid w:val="004B57DB"/>
    <w:rsid w:val="004B58D4"/>
    <w:rsid w:val="004B595A"/>
    <w:rsid w:val="004B5DD5"/>
    <w:rsid w:val="004B5DD6"/>
    <w:rsid w:val="004B6008"/>
    <w:rsid w:val="004B62F4"/>
    <w:rsid w:val="004B6B86"/>
    <w:rsid w:val="004B6FBF"/>
    <w:rsid w:val="004B7003"/>
    <w:rsid w:val="004B7296"/>
    <w:rsid w:val="004B75A4"/>
    <w:rsid w:val="004B78E0"/>
    <w:rsid w:val="004B7C26"/>
    <w:rsid w:val="004B7F01"/>
    <w:rsid w:val="004B92B0"/>
    <w:rsid w:val="004C03C8"/>
    <w:rsid w:val="004C03E8"/>
    <w:rsid w:val="004C03F6"/>
    <w:rsid w:val="004C0498"/>
    <w:rsid w:val="004C05CA"/>
    <w:rsid w:val="004C081B"/>
    <w:rsid w:val="004C0877"/>
    <w:rsid w:val="004C0CEC"/>
    <w:rsid w:val="004C10B0"/>
    <w:rsid w:val="004C11DA"/>
    <w:rsid w:val="004C12ED"/>
    <w:rsid w:val="004C1D3D"/>
    <w:rsid w:val="004C1D8A"/>
    <w:rsid w:val="004C1DEA"/>
    <w:rsid w:val="004C1E69"/>
    <w:rsid w:val="004C2180"/>
    <w:rsid w:val="004C240A"/>
    <w:rsid w:val="004C2830"/>
    <w:rsid w:val="004C2A9A"/>
    <w:rsid w:val="004C2B82"/>
    <w:rsid w:val="004C2BE2"/>
    <w:rsid w:val="004C2CA7"/>
    <w:rsid w:val="004C2CC6"/>
    <w:rsid w:val="004C3090"/>
    <w:rsid w:val="004C31E8"/>
    <w:rsid w:val="004C31EB"/>
    <w:rsid w:val="004C32AD"/>
    <w:rsid w:val="004C393D"/>
    <w:rsid w:val="004C3D22"/>
    <w:rsid w:val="004C40B7"/>
    <w:rsid w:val="004C48E8"/>
    <w:rsid w:val="004C4C16"/>
    <w:rsid w:val="004C4EC4"/>
    <w:rsid w:val="004C4EF4"/>
    <w:rsid w:val="004C4F57"/>
    <w:rsid w:val="004C4FDC"/>
    <w:rsid w:val="004C501C"/>
    <w:rsid w:val="004C5252"/>
    <w:rsid w:val="004C5255"/>
    <w:rsid w:val="004C54AF"/>
    <w:rsid w:val="004C5743"/>
    <w:rsid w:val="004C57CA"/>
    <w:rsid w:val="004C5804"/>
    <w:rsid w:val="004C5A99"/>
    <w:rsid w:val="004C60D0"/>
    <w:rsid w:val="004C6132"/>
    <w:rsid w:val="004C64D1"/>
    <w:rsid w:val="004C6773"/>
    <w:rsid w:val="004C6785"/>
    <w:rsid w:val="004C68E3"/>
    <w:rsid w:val="004C68F7"/>
    <w:rsid w:val="004C6B2D"/>
    <w:rsid w:val="004C716D"/>
    <w:rsid w:val="004C73BB"/>
    <w:rsid w:val="004C7552"/>
    <w:rsid w:val="004C7584"/>
    <w:rsid w:val="004C7AD5"/>
    <w:rsid w:val="004C7C6D"/>
    <w:rsid w:val="004C7ECA"/>
    <w:rsid w:val="004C8D75"/>
    <w:rsid w:val="004D0160"/>
    <w:rsid w:val="004D08D2"/>
    <w:rsid w:val="004D09CC"/>
    <w:rsid w:val="004D09DC"/>
    <w:rsid w:val="004D0B7F"/>
    <w:rsid w:val="004D0B9B"/>
    <w:rsid w:val="004D0BDD"/>
    <w:rsid w:val="004D0F1C"/>
    <w:rsid w:val="004D1343"/>
    <w:rsid w:val="004D1C27"/>
    <w:rsid w:val="004D1F1F"/>
    <w:rsid w:val="004D2228"/>
    <w:rsid w:val="004D2313"/>
    <w:rsid w:val="004D2934"/>
    <w:rsid w:val="004D2BF9"/>
    <w:rsid w:val="004D2D2C"/>
    <w:rsid w:val="004D2F4E"/>
    <w:rsid w:val="004D2F99"/>
    <w:rsid w:val="004D33F6"/>
    <w:rsid w:val="004D3529"/>
    <w:rsid w:val="004D386B"/>
    <w:rsid w:val="004D3D5A"/>
    <w:rsid w:val="004D3F56"/>
    <w:rsid w:val="004D403B"/>
    <w:rsid w:val="004D43DA"/>
    <w:rsid w:val="004D4483"/>
    <w:rsid w:val="004D44CF"/>
    <w:rsid w:val="004D44F1"/>
    <w:rsid w:val="004D4832"/>
    <w:rsid w:val="004D5116"/>
    <w:rsid w:val="004D5390"/>
    <w:rsid w:val="004D5405"/>
    <w:rsid w:val="004D59F7"/>
    <w:rsid w:val="004D5AF8"/>
    <w:rsid w:val="004D5CA5"/>
    <w:rsid w:val="004D5D56"/>
    <w:rsid w:val="004D5EC4"/>
    <w:rsid w:val="004D6124"/>
    <w:rsid w:val="004D6242"/>
    <w:rsid w:val="004D6847"/>
    <w:rsid w:val="004D68B2"/>
    <w:rsid w:val="004D6A0D"/>
    <w:rsid w:val="004D6C99"/>
    <w:rsid w:val="004D6CAE"/>
    <w:rsid w:val="004D6FF6"/>
    <w:rsid w:val="004D70E5"/>
    <w:rsid w:val="004D7255"/>
    <w:rsid w:val="004D7281"/>
    <w:rsid w:val="004D73B9"/>
    <w:rsid w:val="004D74EC"/>
    <w:rsid w:val="004D7A9D"/>
    <w:rsid w:val="004D7BB8"/>
    <w:rsid w:val="004D7C5F"/>
    <w:rsid w:val="004D7C69"/>
    <w:rsid w:val="004D7F5F"/>
    <w:rsid w:val="004E032E"/>
    <w:rsid w:val="004E03AE"/>
    <w:rsid w:val="004E0627"/>
    <w:rsid w:val="004E0DAE"/>
    <w:rsid w:val="004E0E7F"/>
    <w:rsid w:val="004E11FF"/>
    <w:rsid w:val="004E12FA"/>
    <w:rsid w:val="004E130B"/>
    <w:rsid w:val="004E16C8"/>
    <w:rsid w:val="004E1CF5"/>
    <w:rsid w:val="004E28BA"/>
    <w:rsid w:val="004E2978"/>
    <w:rsid w:val="004E2BD0"/>
    <w:rsid w:val="004E38B1"/>
    <w:rsid w:val="004E3940"/>
    <w:rsid w:val="004E398D"/>
    <w:rsid w:val="004E3B9C"/>
    <w:rsid w:val="004E40C2"/>
    <w:rsid w:val="004E497F"/>
    <w:rsid w:val="004E4B41"/>
    <w:rsid w:val="004E4B87"/>
    <w:rsid w:val="004E4BF4"/>
    <w:rsid w:val="004E4D1D"/>
    <w:rsid w:val="004E4DC6"/>
    <w:rsid w:val="004E50D8"/>
    <w:rsid w:val="004E51CA"/>
    <w:rsid w:val="004E5681"/>
    <w:rsid w:val="004E5736"/>
    <w:rsid w:val="004E5853"/>
    <w:rsid w:val="004E58E1"/>
    <w:rsid w:val="004E5AC7"/>
    <w:rsid w:val="004E5B5D"/>
    <w:rsid w:val="004E5FB9"/>
    <w:rsid w:val="004E601B"/>
    <w:rsid w:val="004E6771"/>
    <w:rsid w:val="004E68D9"/>
    <w:rsid w:val="004E68ED"/>
    <w:rsid w:val="004E6A27"/>
    <w:rsid w:val="004E6BDA"/>
    <w:rsid w:val="004E703B"/>
    <w:rsid w:val="004E708F"/>
    <w:rsid w:val="004E70FB"/>
    <w:rsid w:val="004E7211"/>
    <w:rsid w:val="004E726C"/>
    <w:rsid w:val="004E75A8"/>
    <w:rsid w:val="004E764C"/>
    <w:rsid w:val="004E7699"/>
    <w:rsid w:val="004E76F0"/>
    <w:rsid w:val="004E7714"/>
    <w:rsid w:val="004E7A7D"/>
    <w:rsid w:val="004E7BDE"/>
    <w:rsid w:val="004F02FA"/>
    <w:rsid w:val="004F037D"/>
    <w:rsid w:val="004F03F2"/>
    <w:rsid w:val="004F03F5"/>
    <w:rsid w:val="004F0470"/>
    <w:rsid w:val="004F0501"/>
    <w:rsid w:val="004F0877"/>
    <w:rsid w:val="004F0B28"/>
    <w:rsid w:val="004F0CC3"/>
    <w:rsid w:val="004F11BC"/>
    <w:rsid w:val="004F13EA"/>
    <w:rsid w:val="004F1457"/>
    <w:rsid w:val="004F178C"/>
    <w:rsid w:val="004F1A35"/>
    <w:rsid w:val="004F1BEA"/>
    <w:rsid w:val="004F2041"/>
    <w:rsid w:val="004F21E7"/>
    <w:rsid w:val="004F231F"/>
    <w:rsid w:val="004F2787"/>
    <w:rsid w:val="004F278E"/>
    <w:rsid w:val="004F28A1"/>
    <w:rsid w:val="004F2B77"/>
    <w:rsid w:val="004F3486"/>
    <w:rsid w:val="004F39A5"/>
    <w:rsid w:val="004F3A78"/>
    <w:rsid w:val="004F3ABB"/>
    <w:rsid w:val="004F3BFA"/>
    <w:rsid w:val="004F3CEE"/>
    <w:rsid w:val="004F3D33"/>
    <w:rsid w:val="004F4270"/>
    <w:rsid w:val="004F4BFF"/>
    <w:rsid w:val="004F4D08"/>
    <w:rsid w:val="004F5416"/>
    <w:rsid w:val="004F547B"/>
    <w:rsid w:val="004F54E5"/>
    <w:rsid w:val="004F58AF"/>
    <w:rsid w:val="004F5AD1"/>
    <w:rsid w:val="004F60F6"/>
    <w:rsid w:val="004F61A4"/>
    <w:rsid w:val="004F6BF1"/>
    <w:rsid w:val="004F6EA3"/>
    <w:rsid w:val="004F7086"/>
    <w:rsid w:val="004F71A9"/>
    <w:rsid w:val="004F74C7"/>
    <w:rsid w:val="004F7803"/>
    <w:rsid w:val="004F78E7"/>
    <w:rsid w:val="004F7A03"/>
    <w:rsid w:val="004F7BE9"/>
    <w:rsid w:val="005002CD"/>
    <w:rsid w:val="005002DF"/>
    <w:rsid w:val="0050051D"/>
    <w:rsid w:val="005005C4"/>
    <w:rsid w:val="00500632"/>
    <w:rsid w:val="00500766"/>
    <w:rsid w:val="00500A1E"/>
    <w:rsid w:val="00500B69"/>
    <w:rsid w:val="00500C46"/>
    <w:rsid w:val="00500E09"/>
    <w:rsid w:val="0050101D"/>
    <w:rsid w:val="0050110D"/>
    <w:rsid w:val="00501120"/>
    <w:rsid w:val="005014A3"/>
    <w:rsid w:val="00501906"/>
    <w:rsid w:val="00501F65"/>
    <w:rsid w:val="00501FA7"/>
    <w:rsid w:val="005024D8"/>
    <w:rsid w:val="005025F8"/>
    <w:rsid w:val="005028CA"/>
    <w:rsid w:val="005029F5"/>
    <w:rsid w:val="00502C73"/>
    <w:rsid w:val="00502E2D"/>
    <w:rsid w:val="00503684"/>
    <w:rsid w:val="005036DC"/>
    <w:rsid w:val="00503CA7"/>
    <w:rsid w:val="00503F11"/>
    <w:rsid w:val="00503F72"/>
    <w:rsid w:val="005041DE"/>
    <w:rsid w:val="00504259"/>
    <w:rsid w:val="0050474A"/>
    <w:rsid w:val="00504A21"/>
    <w:rsid w:val="00504A57"/>
    <w:rsid w:val="00504CE7"/>
    <w:rsid w:val="00504E33"/>
    <w:rsid w:val="00505060"/>
    <w:rsid w:val="00505C55"/>
    <w:rsid w:val="00505E05"/>
    <w:rsid w:val="005068B5"/>
    <w:rsid w:val="00506E8C"/>
    <w:rsid w:val="00507070"/>
    <w:rsid w:val="005070D3"/>
    <w:rsid w:val="005071E3"/>
    <w:rsid w:val="00507527"/>
    <w:rsid w:val="005075D8"/>
    <w:rsid w:val="00507ACE"/>
    <w:rsid w:val="00507B77"/>
    <w:rsid w:val="00507FED"/>
    <w:rsid w:val="00510764"/>
    <w:rsid w:val="00510C19"/>
    <w:rsid w:val="00510F5B"/>
    <w:rsid w:val="0051115C"/>
    <w:rsid w:val="005112EE"/>
    <w:rsid w:val="00511D17"/>
    <w:rsid w:val="00511DC2"/>
    <w:rsid w:val="00511DDD"/>
    <w:rsid w:val="00511DFA"/>
    <w:rsid w:val="00512089"/>
    <w:rsid w:val="00512283"/>
    <w:rsid w:val="005125B3"/>
    <w:rsid w:val="00512C3D"/>
    <w:rsid w:val="00513C87"/>
    <w:rsid w:val="00513D10"/>
    <w:rsid w:val="00513E51"/>
    <w:rsid w:val="0051410E"/>
    <w:rsid w:val="00514121"/>
    <w:rsid w:val="005142FC"/>
    <w:rsid w:val="0051453A"/>
    <w:rsid w:val="0051463B"/>
    <w:rsid w:val="00514912"/>
    <w:rsid w:val="00514AE9"/>
    <w:rsid w:val="00514F50"/>
    <w:rsid w:val="00514FFA"/>
    <w:rsid w:val="005152E8"/>
    <w:rsid w:val="005158AE"/>
    <w:rsid w:val="00515AD0"/>
    <w:rsid w:val="00515B63"/>
    <w:rsid w:val="00515D1C"/>
    <w:rsid w:val="00515D71"/>
    <w:rsid w:val="0051647B"/>
    <w:rsid w:val="00516C3C"/>
    <w:rsid w:val="00516D76"/>
    <w:rsid w:val="005170ED"/>
    <w:rsid w:val="005172A8"/>
    <w:rsid w:val="00517338"/>
    <w:rsid w:val="00517401"/>
    <w:rsid w:val="005174CF"/>
    <w:rsid w:val="00517500"/>
    <w:rsid w:val="00517AF6"/>
    <w:rsid w:val="00517CDB"/>
    <w:rsid w:val="00517FD7"/>
    <w:rsid w:val="00520111"/>
    <w:rsid w:val="005206F0"/>
    <w:rsid w:val="00520842"/>
    <w:rsid w:val="00520C65"/>
    <w:rsid w:val="00521094"/>
    <w:rsid w:val="005212A9"/>
    <w:rsid w:val="0052179E"/>
    <w:rsid w:val="00522061"/>
    <w:rsid w:val="00522279"/>
    <w:rsid w:val="0052267C"/>
    <w:rsid w:val="00522D2C"/>
    <w:rsid w:val="00523178"/>
    <w:rsid w:val="00523255"/>
    <w:rsid w:val="005234C2"/>
    <w:rsid w:val="00523646"/>
    <w:rsid w:val="00523655"/>
    <w:rsid w:val="005236DC"/>
    <w:rsid w:val="005239B0"/>
    <w:rsid w:val="00523BC6"/>
    <w:rsid w:val="00523C11"/>
    <w:rsid w:val="00523CB6"/>
    <w:rsid w:val="00523EDE"/>
    <w:rsid w:val="00523FEA"/>
    <w:rsid w:val="00524339"/>
    <w:rsid w:val="005243E5"/>
    <w:rsid w:val="005244E1"/>
    <w:rsid w:val="00524A74"/>
    <w:rsid w:val="00524A7E"/>
    <w:rsid w:val="00524BDF"/>
    <w:rsid w:val="00524BF7"/>
    <w:rsid w:val="00524FA9"/>
    <w:rsid w:val="005250CA"/>
    <w:rsid w:val="00525273"/>
    <w:rsid w:val="005255D9"/>
    <w:rsid w:val="00525B48"/>
    <w:rsid w:val="00526281"/>
    <w:rsid w:val="005262A9"/>
    <w:rsid w:val="005264BE"/>
    <w:rsid w:val="00526725"/>
    <w:rsid w:val="0052682A"/>
    <w:rsid w:val="00526CCA"/>
    <w:rsid w:val="00526F23"/>
    <w:rsid w:val="00527094"/>
    <w:rsid w:val="005271A7"/>
    <w:rsid w:val="005271AB"/>
    <w:rsid w:val="0052796D"/>
    <w:rsid w:val="00527D34"/>
    <w:rsid w:val="00527E1D"/>
    <w:rsid w:val="00527E76"/>
    <w:rsid w:val="00527E83"/>
    <w:rsid w:val="00530572"/>
    <w:rsid w:val="00530603"/>
    <w:rsid w:val="0053063F"/>
    <w:rsid w:val="00530694"/>
    <w:rsid w:val="005306DF"/>
    <w:rsid w:val="00530B9D"/>
    <w:rsid w:val="00530C10"/>
    <w:rsid w:val="00530C99"/>
    <w:rsid w:val="00530F08"/>
    <w:rsid w:val="00530F56"/>
    <w:rsid w:val="00530FFE"/>
    <w:rsid w:val="005310ED"/>
    <w:rsid w:val="00531460"/>
    <w:rsid w:val="0053178F"/>
    <w:rsid w:val="00531812"/>
    <w:rsid w:val="00531D34"/>
    <w:rsid w:val="00531EC7"/>
    <w:rsid w:val="00531EF7"/>
    <w:rsid w:val="0053252C"/>
    <w:rsid w:val="00532651"/>
    <w:rsid w:val="00532D61"/>
    <w:rsid w:val="00532DCF"/>
    <w:rsid w:val="00532F70"/>
    <w:rsid w:val="0053305E"/>
    <w:rsid w:val="00533BAC"/>
    <w:rsid w:val="00534372"/>
    <w:rsid w:val="00534516"/>
    <w:rsid w:val="005346D8"/>
    <w:rsid w:val="005348F2"/>
    <w:rsid w:val="00534D8B"/>
    <w:rsid w:val="0053521A"/>
    <w:rsid w:val="00535251"/>
    <w:rsid w:val="00535835"/>
    <w:rsid w:val="00535B67"/>
    <w:rsid w:val="0053601F"/>
    <w:rsid w:val="00536366"/>
    <w:rsid w:val="005363AA"/>
    <w:rsid w:val="00536854"/>
    <w:rsid w:val="00536C11"/>
    <w:rsid w:val="005371DC"/>
    <w:rsid w:val="0053725A"/>
    <w:rsid w:val="005372F0"/>
    <w:rsid w:val="005377A4"/>
    <w:rsid w:val="0053784C"/>
    <w:rsid w:val="00537A4E"/>
    <w:rsid w:val="00537D8F"/>
    <w:rsid w:val="00537DD6"/>
    <w:rsid w:val="0054004E"/>
    <w:rsid w:val="005402FA"/>
    <w:rsid w:val="00540E95"/>
    <w:rsid w:val="00540F31"/>
    <w:rsid w:val="00540F4E"/>
    <w:rsid w:val="0054117D"/>
    <w:rsid w:val="005411E6"/>
    <w:rsid w:val="00541908"/>
    <w:rsid w:val="00541931"/>
    <w:rsid w:val="00541A9D"/>
    <w:rsid w:val="00541BA6"/>
    <w:rsid w:val="00541D2F"/>
    <w:rsid w:val="00541EBD"/>
    <w:rsid w:val="00542061"/>
    <w:rsid w:val="005420FB"/>
    <w:rsid w:val="0054242F"/>
    <w:rsid w:val="0054283F"/>
    <w:rsid w:val="005428F4"/>
    <w:rsid w:val="0054296F"/>
    <w:rsid w:val="00542ACB"/>
    <w:rsid w:val="00542ED2"/>
    <w:rsid w:val="00543466"/>
    <w:rsid w:val="0054357C"/>
    <w:rsid w:val="00543633"/>
    <w:rsid w:val="00543B14"/>
    <w:rsid w:val="00543D8D"/>
    <w:rsid w:val="0054414A"/>
    <w:rsid w:val="00544668"/>
    <w:rsid w:val="00544823"/>
    <w:rsid w:val="00544A75"/>
    <w:rsid w:val="00544F84"/>
    <w:rsid w:val="00545372"/>
    <w:rsid w:val="0054542C"/>
    <w:rsid w:val="00545BCF"/>
    <w:rsid w:val="00545FB3"/>
    <w:rsid w:val="00546014"/>
    <w:rsid w:val="00546284"/>
    <w:rsid w:val="005462E5"/>
    <w:rsid w:val="00546865"/>
    <w:rsid w:val="00546D96"/>
    <w:rsid w:val="00547073"/>
    <w:rsid w:val="005477D5"/>
    <w:rsid w:val="005478F7"/>
    <w:rsid w:val="00547DC1"/>
    <w:rsid w:val="00547DFB"/>
    <w:rsid w:val="005504D6"/>
    <w:rsid w:val="005504E3"/>
    <w:rsid w:val="005508AB"/>
    <w:rsid w:val="00550F5B"/>
    <w:rsid w:val="005510BF"/>
    <w:rsid w:val="005511D5"/>
    <w:rsid w:val="00551237"/>
    <w:rsid w:val="0055153E"/>
    <w:rsid w:val="0055180A"/>
    <w:rsid w:val="00551883"/>
    <w:rsid w:val="005518CA"/>
    <w:rsid w:val="005519C7"/>
    <w:rsid w:val="00551AE5"/>
    <w:rsid w:val="00551E86"/>
    <w:rsid w:val="00552073"/>
    <w:rsid w:val="005524DB"/>
    <w:rsid w:val="00552688"/>
    <w:rsid w:val="005526D5"/>
    <w:rsid w:val="00552725"/>
    <w:rsid w:val="00552884"/>
    <w:rsid w:val="005528DD"/>
    <w:rsid w:val="00552AA4"/>
    <w:rsid w:val="005530D0"/>
    <w:rsid w:val="00553483"/>
    <w:rsid w:val="0055356B"/>
    <w:rsid w:val="005536DE"/>
    <w:rsid w:val="00553B4B"/>
    <w:rsid w:val="00553B6C"/>
    <w:rsid w:val="00553D91"/>
    <w:rsid w:val="00553DB4"/>
    <w:rsid w:val="00553FDB"/>
    <w:rsid w:val="0055434F"/>
    <w:rsid w:val="005543CD"/>
    <w:rsid w:val="00554449"/>
    <w:rsid w:val="00554983"/>
    <w:rsid w:val="0055522C"/>
    <w:rsid w:val="005555A2"/>
    <w:rsid w:val="00555715"/>
    <w:rsid w:val="005559DB"/>
    <w:rsid w:val="00555DFC"/>
    <w:rsid w:val="00556498"/>
    <w:rsid w:val="005566CA"/>
    <w:rsid w:val="005566DC"/>
    <w:rsid w:val="00556768"/>
    <w:rsid w:val="005567F8"/>
    <w:rsid w:val="00556BEE"/>
    <w:rsid w:val="00556DAE"/>
    <w:rsid w:val="005572A3"/>
    <w:rsid w:val="005572EE"/>
    <w:rsid w:val="00557338"/>
    <w:rsid w:val="00557941"/>
    <w:rsid w:val="00557F6A"/>
    <w:rsid w:val="00560004"/>
    <w:rsid w:val="00560452"/>
    <w:rsid w:val="00560627"/>
    <w:rsid w:val="00560B29"/>
    <w:rsid w:val="00561914"/>
    <w:rsid w:val="0056191F"/>
    <w:rsid w:val="00561976"/>
    <w:rsid w:val="00561D8F"/>
    <w:rsid w:val="00561DCA"/>
    <w:rsid w:val="00561DD7"/>
    <w:rsid w:val="005622C0"/>
    <w:rsid w:val="0056255E"/>
    <w:rsid w:val="0056264E"/>
    <w:rsid w:val="005626F2"/>
    <w:rsid w:val="005626F6"/>
    <w:rsid w:val="00562ED5"/>
    <w:rsid w:val="005630CF"/>
    <w:rsid w:val="005632A9"/>
    <w:rsid w:val="005637FA"/>
    <w:rsid w:val="005639EF"/>
    <w:rsid w:val="00563D84"/>
    <w:rsid w:val="00563E58"/>
    <w:rsid w:val="00563FA3"/>
    <w:rsid w:val="0056401F"/>
    <w:rsid w:val="005640AA"/>
    <w:rsid w:val="0056414E"/>
    <w:rsid w:val="00564307"/>
    <w:rsid w:val="005646EC"/>
    <w:rsid w:val="00564720"/>
    <w:rsid w:val="005647CC"/>
    <w:rsid w:val="00564FF6"/>
    <w:rsid w:val="00565137"/>
    <w:rsid w:val="005651F1"/>
    <w:rsid w:val="00565215"/>
    <w:rsid w:val="00565513"/>
    <w:rsid w:val="00565518"/>
    <w:rsid w:val="005658BD"/>
    <w:rsid w:val="005660A8"/>
    <w:rsid w:val="0056616B"/>
    <w:rsid w:val="0056637B"/>
    <w:rsid w:val="00566A6B"/>
    <w:rsid w:val="00566C47"/>
    <w:rsid w:val="00567280"/>
    <w:rsid w:val="005678CA"/>
    <w:rsid w:val="00567B06"/>
    <w:rsid w:val="00567E7F"/>
    <w:rsid w:val="00567F42"/>
    <w:rsid w:val="005702EF"/>
    <w:rsid w:val="0057030E"/>
    <w:rsid w:val="00570353"/>
    <w:rsid w:val="00570548"/>
    <w:rsid w:val="00570553"/>
    <w:rsid w:val="00570822"/>
    <w:rsid w:val="00570B5D"/>
    <w:rsid w:val="00570C3F"/>
    <w:rsid w:val="00570D64"/>
    <w:rsid w:val="00570DEE"/>
    <w:rsid w:val="00571129"/>
    <w:rsid w:val="00571263"/>
    <w:rsid w:val="00571426"/>
    <w:rsid w:val="00571593"/>
    <w:rsid w:val="00571CF0"/>
    <w:rsid w:val="00571D0F"/>
    <w:rsid w:val="00571D50"/>
    <w:rsid w:val="005722A4"/>
    <w:rsid w:val="00572437"/>
    <w:rsid w:val="005725B8"/>
    <w:rsid w:val="0057268D"/>
    <w:rsid w:val="005730C3"/>
    <w:rsid w:val="005730EF"/>
    <w:rsid w:val="00573303"/>
    <w:rsid w:val="005734A2"/>
    <w:rsid w:val="00573A01"/>
    <w:rsid w:val="00573B10"/>
    <w:rsid w:val="00573C84"/>
    <w:rsid w:val="00573ED6"/>
    <w:rsid w:val="00573F8E"/>
    <w:rsid w:val="005740B1"/>
    <w:rsid w:val="00574533"/>
    <w:rsid w:val="0057495B"/>
    <w:rsid w:val="00574C62"/>
    <w:rsid w:val="00574E4D"/>
    <w:rsid w:val="00574EF9"/>
    <w:rsid w:val="00574F5A"/>
    <w:rsid w:val="005752EB"/>
    <w:rsid w:val="00575468"/>
    <w:rsid w:val="00575518"/>
    <w:rsid w:val="005755C9"/>
    <w:rsid w:val="00575B25"/>
    <w:rsid w:val="00575B34"/>
    <w:rsid w:val="00575C67"/>
    <w:rsid w:val="005760E0"/>
    <w:rsid w:val="005763EC"/>
    <w:rsid w:val="00576A97"/>
    <w:rsid w:val="00576D87"/>
    <w:rsid w:val="005771D7"/>
    <w:rsid w:val="00577247"/>
    <w:rsid w:val="00577412"/>
    <w:rsid w:val="005777C6"/>
    <w:rsid w:val="00577B37"/>
    <w:rsid w:val="00577BB7"/>
    <w:rsid w:val="00577D38"/>
    <w:rsid w:val="00577D8D"/>
    <w:rsid w:val="0058048B"/>
    <w:rsid w:val="0058089D"/>
    <w:rsid w:val="00580A91"/>
    <w:rsid w:val="00580F65"/>
    <w:rsid w:val="0058123A"/>
    <w:rsid w:val="005812CE"/>
    <w:rsid w:val="0058144E"/>
    <w:rsid w:val="005816D8"/>
    <w:rsid w:val="00581C16"/>
    <w:rsid w:val="00581C93"/>
    <w:rsid w:val="0058219D"/>
    <w:rsid w:val="00582695"/>
    <w:rsid w:val="005829A2"/>
    <w:rsid w:val="00582E49"/>
    <w:rsid w:val="00583018"/>
    <w:rsid w:val="0058309A"/>
    <w:rsid w:val="00583497"/>
    <w:rsid w:val="00583596"/>
    <w:rsid w:val="0058381F"/>
    <w:rsid w:val="005838F1"/>
    <w:rsid w:val="005839F4"/>
    <w:rsid w:val="00583A2C"/>
    <w:rsid w:val="00583A37"/>
    <w:rsid w:val="00583B11"/>
    <w:rsid w:val="00583B47"/>
    <w:rsid w:val="00583DE5"/>
    <w:rsid w:val="00583EB8"/>
    <w:rsid w:val="00584192"/>
    <w:rsid w:val="0058432F"/>
    <w:rsid w:val="005844F3"/>
    <w:rsid w:val="005845B4"/>
    <w:rsid w:val="005846BA"/>
    <w:rsid w:val="005848AA"/>
    <w:rsid w:val="005849F0"/>
    <w:rsid w:val="00584A60"/>
    <w:rsid w:val="00584BEC"/>
    <w:rsid w:val="00584ED1"/>
    <w:rsid w:val="00584EE9"/>
    <w:rsid w:val="00585417"/>
    <w:rsid w:val="00585848"/>
    <w:rsid w:val="0058591D"/>
    <w:rsid w:val="00585980"/>
    <w:rsid w:val="005859D4"/>
    <w:rsid w:val="00585A66"/>
    <w:rsid w:val="00585CB2"/>
    <w:rsid w:val="00585FFB"/>
    <w:rsid w:val="00586001"/>
    <w:rsid w:val="00586153"/>
    <w:rsid w:val="005862A0"/>
    <w:rsid w:val="00586569"/>
    <w:rsid w:val="0058667F"/>
    <w:rsid w:val="00586C44"/>
    <w:rsid w:val="005872BB"/>
    <w:rsid w:val="00587CCC"/>
    <w:rsid w:val="00587D02"/>
    <w:rsid w:val="00587DE3"/>
    <w:rsid w:val="005900D1"/>
    <w:rsid w:val="00590120"/>
    <w:rsid w:val="00590153"/>
    <w:rsid w:val="005901C0"/>
    <w:rsid w:val="005905B9"/>
    <w:rsid w:val="005906E5"/>
    <w:rsid w:val="00590915"/>
    <w:rsid w:val="005909E4"/>
    <w:rsid w:val="00590C6D"/>
    <w:rsid w:val="00590F56"/>
    <w:rsid w:val="00591257"/>
    <w:rsid w:val="0059126E"/>
    <w:rsid w:val="005913AD"/>
    <w:rsid w:val="005915B3"/>
    <w:rsid w:val="00591AAE"/>
    <w:rsid w:val="0059252E"/>
    <w:rsid w:val="005926A8"/>
    <w:rsid w:val="00592DD8"/>
    <w:rsid w:val="00592FB4"/>
    <w:rsid w:val="0059314B"/>
    <w:rsid w:val="005933FE"/>
    <w:rsid w:val="0059345E"/>
    <w:rsid w:val="00593CBC"/>
    <w:rsid w:val="005940F5"/>
    <w:rsid w:val="005944E1"/>
    <w:rsid w:val="00594537"/>
    <w:rsid w:val="00594665"/>
    <w:rsid w:val="00594994"/>
    <w:rsid w:val="005949B0"/>
    <w:rsid w:val="0059526E"/>
    <w:rsid w:val="005952CA"/>
    <w:rsid w:val="0059531F"/>
    <w:rsid w:val="00595400"/>
    <w:rsid w:val="0059541A"/>
    <w:rsid w:val="00595579"/>
    <w:rsid w:val="00595956"/>
    <w:rsid w:val="00595A93"/>
    <w:rsid w:val="00595DA7"/>
    <w:rsid w:val="00595EF0"/>
    <w:rsid w:val="00596020"/>
    <w:rsid w:val="005960C6"/>
    <w:rsid w:val="00596219"/>
    <w:rsid w:val="0059630C"/>
    <w:rsid w:val="0059631B"/>
    <w:rsid w:val="005963F5"/>
    <w:rsid w:val="005964C5"/>
    <w:rsid w:val="005967A6"/>
    <w:rsid w:val="00596850"/>
    <w:rsid w:val="00597342"/>
    <w:rsid w:val="0059736B"/>
    <w:rsid w:val="005978F7"/>
    <w:rsid w:val="005978FD"/>
    <w:rsid w:val="00597CA2"/>
    <w:rsid w:val="00597FB5"/>
    <w:rsid w:val="005A0745"/>
    <w:rsid w:val="005A0F04"/>
    <w:rsid w:val="005A10A6"/>
    <w:rsid w:val="005A1124"/>
    <w:rsid w:val="005A1174"/>
    <w:rsid w:val="005A120B"/>
    <w:rsid w:val="005A1239"/>
    <w:rsid w:val="005A19B7"/>
    <w:rsid w:val="005A1C56"/>
    <w:rsid w:val="005A1D44"/>
    <w:rsid w:val="005A1ED1"/>
    <w:rsid w:val="005A1F4C"/>
    <w:rsid w:val="005A20F9"/>
    <w:rsid w:val="005A2125"/>
    <w:rsid w:val="005A243B"/>
    <w:rsid w:val="005A2E9B"/>
    <w:rsid w:val="005A2EF8"/>
    <w:rsid w:val="005A318E"/>
    <w:rsid w:val="005A34DF"/>
    <w:rsid w:val="005A3516"/>
    <w:rsid w:val="005A3A00"/>
    <w:rsid w:val="005A3C8D"/>
    <w:rsid w:val="005A3D62"/>
    <w:rsid w:val="005A42DD"/>
    <w:rsid w:val="005A431B"/>
    <w:rsid w:val="005A4419"/>
    <w:rsid w:val="005A465A"/>
    <w:rsid w:val="005A4688"/>
    <w:rsid w:val="005A46A7"/>
    <w:rsid w:val="005A46AD"/>
    <w:rsid w:val="005A48ED"/>
    <w:rsid w:val="005A4C25"/>
    <w:rsid w:val="005A5368"/>
    <w:rsid w:val="005A5399"/>
    <w:rsid w:val="005A5633"/>
    <w:rsid w:val="005A57A7"/>
    <w:rsid w:val="005A5AEF"/>
    <w:rsid w:val="005A5CCA"/>
    <w:rsid w:val="005A5E2C"/>
    <w:rsid w:val="005A6116"/>
    <w:rsid w:val="005A613C"/>
    <w:rsid w:val="005A668B"/>
    <w:rsid w:val="005A6883"/>
    <w:rsid w:val="005A68F5"/>
    <w:rsid w:val="005A7135"/>
    <w:rsid w:val="005A72AE"/>
    <w:rsid w:val="005A731B"/>
    <w:rsid w:val="005A740D"/>
    <w:rsid w:val="005A7BBF"/>
    <w:rsid w:val="005B04C6"/>
    <w:rsid w:val="005B05F7"/>
    <w:rsid w:val="005B0695"/>
    <w:rsid w:val="005B071C"/>
    <w:rsid w:val="005B0B38"/>
    <w:rsid w:val="005B1034"/>
    <w:rsid w:val="005B1762"/>
    <w:rsid w:val="005B1776"/>
    <w:rsid w:val="005B196D"/>
    <w:rsid w:val="005B1A34"/>
    <w:rsid w:val="005B1D64"/>
    <w:rsid w:val="005B20D5"/>
    <w:rsid w:val="005B2393"/>
    <w:rsid w:val="005B29D5"/>
    <w:rsid w:val="005B2FFA"/>
    <w:rsid w:val="005B32A8"/>
    <w:rsid w:val="005B3330"/>
    <w:rsid w:val="005B36A6"/>
    <w:rsid w:val="005B38F6"/>
    <w:rsid w:val="005B3BE1"/>
    <w:rsid w:val="005B3C67"/>
    <w:rsid w:val="005B3FB9"/>
    <w:rsid w:val="005B44FD"/>
    <w:rsid w:val="005B455B"/>
    <w:rsid w:val="005B4AFF"/>
    <w:rsid w:val="005B4BB2"/>
    <w:rsid w:val="005B4CD6"/>
    <w:rsid w:val="005B4ED0"/>
    <w:rsid w:val="005B5085"/>
    <w:rsid w:val="005B547F"/>
    <w:rsid w:val="005B5947"/>
    <w:rsid w:val="005B5B6A"/>
    <w:rsid w:val="005B5DEF"/>
    <w:rsid w:val="005B60E1"/>
    <w:rsid w:val="005B6326"/>
    <w:rsid w:val="005B6378"/>
    <w:rsid w:val="005B6848"/>
    <w:rsid w:val="005B6955"/>
    <w:rsid w:val="005B70A3"/>
    <w:rsid w:val="005B7102"/>
    <w:rsid w:val="005B747B"/>
    <w:rsid w:val="005B790D"/>
    <w:rsid w:val="005B7CF0"/>
    <w:rsid w:val="005C016C"/>
    <w:rsid w:val="005C05C1"/>
    <w:rsid w:val="005C0AB8"/>
    <w:rsid w:val="005C0BFB"/>
    <w:rsid w:val="005C0CD6"/>
    <w:rsid w:val="005C0FB4"/>
    <w:rsid w:val="005C10FE"/>
    <w:rsid w:val="005C1119"/>
    <w:rsid w:val="005C11B5"/>
    <w:rsid w:val="005C14C4"/>
    <w:rsid w:val="005C1544"/>
    <w:rsid w:val="005C1659"/>
    <w:rsid w:val="005C1748"/>
    <w:rsid w:val="005C216B"/>
    <w:rsid w:val="005C21AB"/>
    <w:rsid w:val="005C2910"/>
    <w:rsid w:val="005C2E9F"/>
    <w:rsid w:val="005C308E"/>
    <w:rsid w:val="005C30F7"/>
    <w:rsid w:val="005C3246"/>
    <w:rsid w:val="005C33EA"/>
    <w:rsid w:val="005C395C"/>
    <w:rsid w:val="005C39F0"/>
    <w:rsid w:val="005C3A13"/>
    <w:rsid w:val="005C3CF4"/>
    <w:rsid w:val="005C3DF3"/>
    <w:rsid w:val="005C40D1"/>
    <w:rsid w:val="005C4180"/>
    <w:rsid w:val="005C46EC"/>
    <w:rsid w:val="005C4738"/>
    <w:rsid w:val="005C48DA"/>
    <w:rsid w:val="005C4989"/>
    <w:rsid w:val="005C4E2F"/>
    <w:rsid w:val="005C4F4E"/>
    <w:rsid w:val="005C4F5B"/>
    <w:rsid w:val="005C5018"/>
    <w:rsid w:val="005C53EC"/>
    <w:rsid w:val="005C5451"/>
    <w:rsid w:val="005C5479"/>
    <w:rsid w:val="005C5627"/>
    <w:rsid w:val="005C593C"/>
    <w:rsid w:val="005C59DE"/>
    <w:rsid w:val="005C5AFE"/>
    <w:rsid w:val="005C5C1F"/>
    <w:rsid w:val="005C5E6F"/>
    <w:rsid w:val="005C5F75"/>
    <w:rsid w:val="005C5F7A"/>
    <w:rsid w:val="005C606A"/>
    <w:rsid w:val="005C6323"/>
    <w:rsid w:val="005C651F"/>
    <w:rsid w:val="005C6530"/>
    <w:rsid w:val="005C666E"/>
    <w:rsid w:val="005C66BC"/>
    <w:rsid w:val="005C68D9"/>
    <w:rsid w:val="005C6E6C"/>
    <w:rsid w:val="005C6E97"/>
    <w:rsid w:val="005C75C1"/>
    <w:rsid w:val="005C7626"/>
    <w:rsid w:val="005C7830"/>
    <w:rsid w:val="005C7863"/>
    <w:rsid w:val="005C7B43"/>
    <w:rsid w:val="005C7CDA"/>
    <w:rsid w:val="005C7FD6"/>
    <w:rsid w:val="005D022B"/>
    <w:rsid w:val="005D040A"/>
    <w:rsid w:val="005D0477"/>
    <w:rsid w:val="005D0662"/>
    <w:rsid w:val="005D086A"/>
    <w:rsid w:val="005D0B8D"/>
    <w:rsid w:val="005D0C88"/>
    <w:rsid w:val="005D0FD5"/>
    <w:rsid w:val="005D1333"/>
    <w:rsid w:val="005D135D"/>
    <w:rsid w:val="005D1454"/>
    <w:rsid w:val="005D14EC"/>
    <w:rsid w:val="005D1A47"/>
    <w:rsid w:val="005D1B58"/>
    <w:rsid w:val="005D1D24"/>
    <w:rsid w:val="005D1EE8"/>
    <w:rsid w:val="005D20DE"/>
    <w:rsid w:val="005D2222"/>
    <w:rsid w:val="005D25B8"/>
    <w:rsid w:val="005D2730"/>
    <w:rsid w:val="005D3106"/>
    <w:rsid w:val="005D3423"/>
    <w:rsid w:val="005D353C"/>
    <w:rsid w:val="005D395A"/>
    <w:rsid w:val="005D3B03"/>
    <w:rsid w:val="005D4416"/>
    <w:rsid w:val="005D4463"/>
    <w:rsid w:val="005D46BE"/>
    <w:rsid w:val="005D4718"/>
    <w:rsid w:val="005D491B"/>
    <w:rsid w:val="005D4969"/>
    <w:rsid w:val="005D4BC7"/>
    <w:rsid w:val="005D4C46"/>
    <w:rsid w:val="005D4D11"/>
    <w:rsid w:val="005D4D49"/>
    <w:rsid w:val="005D52B4"/>
    <w:rsid w:val="005D558E"/>
    <w:rsid w:val="005D5B9E"/>
    <w:rsid w:val="005D5D1C"/>
    <w:rsid w:val="005D6154"/>
    <w:rsid w:val="005D643A"/>
    <w:rsid w:val="005D64DD"/>
    <w:rsid w:val="005D6572"/>
    <w:rsid w:val="005D6988"/>
    <w:rsid w:val="005D69D4"/>
    <w:rsid w:val="005D69F6"/>
    <w:rsid w:val="005D6BB6"/>
    <w:rsid w:val="005D6CE9"/>
    <w:rsid w:val="005D6F40"/>
    <w:rsid w:val="005D7574"/>
    <w:rsid w:val="005D7B9E"/>
    <w:rsid w:val="005D7D4A"/>
    <w:rsid w:val="005D7F31"/>
    <w:rsid w:val="005E06AC"/>
    <w:rsid w:val="005E0979"/>
    <w:rsid w:val="005E0A48"/>
    <w:rsid w:val="005E0AAA"/>
    <w:rsid w:val="005E0E44"/>
    <w:rsid w:val="005E0E4B"/>
    <w:rsid w:val="005E11C1"/>
    <w:rsid w:val="005E1382"/>
    <w:rsid w:val="005E175E"/>
    <w:rsid w:val="005E1A4B"/>
    <w:rsid w:val="005E1EB8"/>
    <w:rsid w:val="005E26FC"/>
    <w:rsid w:val="005E2708"/>
    <w:rsid w:val="005E2D4A"/>
    <w:rsid w:val="005E2F7F"/>
    <w:rsid w:val="005E2F9A"/>
    <w:rsid w:val="005E316A"/>
    <w:rsid w:val="005E332C"/>
    <w:rsid w:val="005E339C"/>
    <w:rsid w:val="005E347A"/>
    <w:rsid w:val="005E34C8"/>
    <w:rsid w:val="005E35F0"/>
    <w:rsid w:val="005E3C63"/>
    <w:rsid w:val="005E3C7A"/>
    <w:rsid w:val="005E3CFA"/>
    <w:rsid w:val="005E3ED6"/>
    <w:rsid w:val="005E3FB4"/>
    <w:rsid w:val="005E43F9"/>
    <w:rsid w:val="005E4612"/>
    <w:rsid w:val="005E481D"/>
    <w:rsid w:val="005E51EE"/>
    <w:rsid w:val="005E525F"/>
    <w:rsid w:val="005E569D"/>
    <w:rsid w:val="005E5717"/>
    <w:rsid w:val="005E59C0"/>
    <w:rsid w:val="005E5A95"/>
    <w:rsid w:val="005E5A98"/>
    <w:rsid w:val="005E5EE5"/>
    <w:rsid w:val="005E5F20"/>
    <w:rsid w:val="005E6655"/>
    <w:rsid w:val="005E6687"/>
    <w:rsid w:val="005E6B26"/>
    <w:rsid w:val="005E719A"/>
    <w:rsid w:val="005E76AC"/>
    <w:rsid w:val="005E777F"/>
    <w:rsid w:val="005F0116"/>
    <w:rsid w:val="005F0568"/>
    <w:rsid w:val="005F0A8D"/>
    <w:rsid w:val="005F0B25"/>
    <w:rsid w:val="005F0E00"/>
    <w:rsid w:val="005F0ED4"/>
    <w:rsid w:val="005F128A"/>
    <w:rsid w:val="005F1409"/>
    <w:rsid w:val="005F143D"/>
    <w:rsid w:val="005F1860"/>
    <w:rsid w:val="005F1996"/>
    <w:rsid w:val="005F1DF7"/>
    <w:rsid w:val="005F2009"/>
    <w:rsid w:val="005F2139"/>
    <w:rsid w:val="005F21FB"/>
    <w:rsid w:val="005F27E0"/>
    <w:rsid w:val="005F28AD"/>
    <w:rsid w:val="005F2C16"/>
    <w:rsid w:val="005F2D29"/>
    <w:rsid w:val="005F2ECF"/>
    <w:rsid w:val="005F33A6"/>
    <w:rsid w:val="005F34D2"/>
    <w:rsid w:val="005F3578"/>
    <w:rsid w:val="005F3C9B"/>
    <w:rsid w:val="005F4248"/>
    <w:rsid w:val="005F4482"/>
    <w:rsid w:val="005F46A0"/>
    <w:rsid w:val="005F482C"/>
    <w:rsid w:val="005F4A9D"/>
    <w:rsid w:val="005F4D87"/>
    <w:rsid w:val="005F4F53"/>
    <w:rsid w:val="005F5166"/>
    <w:rsid w:val="005F57A8"/>
    <w:rsid w:val="005F5C42"/>
    <w:rsid w:val="005F5DD6"/>
    <w:rsid w:val="005F5E76"/>
    <w:rsid w:val="005F648A"/>
    <w:rsid w:val="005F6CE0"/>
    <w:rsid w:val="005F6E99"/>
    <w:rsid w:val="005F766E"/>
    <w:rsid w:val="005F76EB"/>
    <w:rsid w:val="005F776F"/>
    <w:rsid w:val="005F7A13"/>
    <w:rsid w:val="00600536"/>
    <w:rsid w:val="006006A1"/>
    <w:rsid w:val="00600766"/>
    <w:rsid w:val="0060084D"/>
    <w:rsid w:val="00600B50"/>
    <w:rsid w:val="00600BA8"/>
    <w:rsid w:val="00600E2C"/>
    <w:rsid w:val="00601152"/>
    <w:rsid w:val="006013B5"/>
    <w:rsid w:val="006014A6"/>
    <w:rsid w:val="00601597"/>
    <w:rsid w:val="006018A8"/>
    <w:rsid w:val="00602030"/>
    <w:rsid w:val="006026A8"/>
    <w:rsid w:val="00602B62"/>
    <w:rsid w:val="00602BAA"/>
    <w:rsid w:val="0060357E"/>
    <w:rsid w:val="006036B6"/>
    <w:rsid w:val="00603D2D"/>
    <w:rsid w:val="00603D7C"/>
    <w:rsid w:val="00603DD2"/>
    <w:rsid w:val="0060451D"/>
    <w:rsid w:val="00604597"/>
    <w:rsid w:val="0060468B"/>
    <w:rsid w:val="0060497F"/>
    <w:rsid w:val="0060516A"/>
    <w:rsid w:val="006052F1"/>
    <w:rsid w:val="00605390"/>
    <w:rsid w:val="006055C8"/>
    <w:rsid w:val="00605BB6"/>
    <w:rsid w:val="00605D52"/>
    <w:rsid w:val="00605E6B"/>
    <w:rsid w:val="00606865"/>
    <w:rsid w:val="00606A91"/>
    <w:rsid w:val="00606ACF"/>
    <w:rsid w:val="00606C4A"/>
    <w:rsid w:val="00606D53"/>
    <w:rsid w:val="00607161"/>
    <w:rsid w:val="00607179"/>
    <w:rsid w:val="00607973"/>
    <w:rsid w:val="006103C8"/>
    <w:rsid w:val="0061072A"/>
    <w:rsid w:val="00610A3D"/>
    <w:rsid w:val="00611026"/>
    <w:rsid w:val="00611110"/>
    <w:rsid w:val="006114CF"/>
    <w:rsid w:val="006116A7"/>
    <w:rsid w:val="006116B5"/>
    <w:rsid w:val="00612179"/>
    <w:rsid w:val="006128B4"/>
    <w:rsid w:val="00612AC1"/>
    <w:rsid w:val="00612B65"/>
    <w:rsid w:val="00612E6F"/>
    <w:rsid w:val="00613042"/>
    <w:rsid w:val="006130DC"/>
    <w:rsid w:val="006131D7"/>
    <w:rsid w:val="00613209"/>
    <w:rsid w:val="006132CF"/>
    <w:rsid w:val="0061347C"/>
    <w:rsid w:val="0061361E"/>
    <w:rsid w:val="00613E20"/>
    <w:rsid w:val="006140C8"/>
    <w:rsid w:val="00614A0E"/>
    <w:rsid w:val="00614BAA"/>
    <w:rsid w:val="00614C36"/>
    <w:rsid w:val="00614C8A"/>
    <w:rsid w:val="00614FAB"/>
    <w:rsid w:val="0061506E"/>
    <w:rsid w:val="00615121"/>
    <w:rsid w:val="0061515F"/>
    <w:rsid w:val="0061522B"/>
    <w:rsid w:val="006152BE"/>
    <w:rsid w:val="0061548F"/>
    <w:rsid w:val="00615644"/>
    <w:rsid w:val="00615D5D"/>
    <w:rsid w:val="00616222"/>
    <w:rsid w:val="0061644C"/>
    <w:rsid w:val="006167D6"/>
    <w:rsid w:val="0061682B"/>
    <w:rsid w:val="006169F8"/>
    <w:rsid w:val="00616FE4"/>
    <w:rsid w:val="006175AF"/>
    <w:rsid w:val="006176B5"/>
    <w:rsid w:val="00617838"/>
    <w:rsid w:val="00617D26"/>
    <w:rsid w:val="006201D6"/>
    <w:rsid w:val="0062025F"/>
    <w:rsid w:val="00620452"/>
    <w:rsid w:val="00620E89"/>
    <w:rsid w:val="0062100F"/>
    <w:rsid w:val="00621AED"/>
    <w:rsid w:val="00621E4F"/>
    <w:rsid w:val="0062264E"/>
    <w:rsid w:val="00622818"/>
    <w:rsid w:val="006228AB"/>
    <w:rsid w:val="0062338A"/>
    <w:rsid w:val="00623536"/>
    <w:rsid w:val="006235F2"/>
    <w:rsid w:val="00623DB8"/>
    <w:rsid w:val="00623F51"/>
    <w:rsid w:val="00624E6B"/>
    <w:rsid w:val="00624E94"/>
    <w:rsid w:val="00625062"/>
    <w:rsid w:val="0062532E"/>
    <w:rsid w:val="006253ED"/>
    <w:rsid w:val="0062551F"/>
    <w:rsid w:val="00625577"/>
    <w:rsid w:val="006255C4"/>
    <w:rsid w:val="006256C2"/>
    <w:rsid w:val="006259A9"/>
    <w:rsid w:val="006259AF"/>
    <w:rsid w:val="00625A3E"/>
    <w:rsid w:val="00625AD5"/>
    <w:rsid w:val="00625D84"/>
    <w:rsid w:val="00625DA3"/>
    <w:rsid w:val="00625E53"/>
    <w:rsid w:val="006265FE"/>
    <w:rsid w:val="006267DF"/>
    <w:rsid w:val="00626D0A"/>
    <w:rsid w:val="00626E95"/>
    <w:rsid w:val="00626F9E"/>
    <w:rsid w:val="00627070"/>
    <w:rsid w:val="006273BC"/>
    <w:rsid w:val="006279D7"/>
    <w:rsid w:val="00627B1E"/>
    <w:rsid w:val="00627B3D"/>
    <w:rsid w:val="00627C11"/>
    <w:rsid w:val="00627C31"/>
    <w:rsid w:val="00627CB0"/>
    <w:rsid w:val="00627D91"/>
    <w:rsid w:val="00627E72"/>
    <w:rsid w:val="00630137"/>
    <w:rsid w:val="00630329"/>
    <w:rsid w:val="006303AE"/>
    <w:rsid w:val="00630804"/>
    <w:rsid w:val="00630E32"/>
    <w:rsid w:val="00630E71"/>
    <w:rsid w:val="00630F59"/>
    <w:rsid w:val="0063111A"/>
    <w:rsid w:val="00631234"/>
    <w:rsid w:val="0063161B"/>
    <w:rsid w:val="006318A5"/>
    <w:rsid w:val="00631BE5"/>
    <w:rsid w:val="006320E1"/>
    <w:rsid w:val="0063243F"/>
    <w:rsid w:val="00632442"/>
    <w:rsid w:val="00632466"/>
    <w:rsid w:val="00632855"/>
    <w:rsid w:val="00632987"/>
    <w:rsid w:val="00632B9A"/>
    <w:rsid w:val="00632C60"/>
    <w:rsid w:val="00633134"/>
    <w:rsid w:val="006331BF"/>
    <w:rsid w:val="006331C2"/>
    <w:rsid w:val="0063349D"/>
    <w:rsid w:val="00633B2E"/>
    <w:rsid w:val="00633F66"/>
    <w:rsid w:val="0063403B"/>
    <w:rsid w:val="00634296"/>
    <w:rsid w:val="006346C6"/>
    <w:rsid w:val="006348D9"/>
    <w:rsid w:val="00634AD6"/>
    <w:rsid w:val="00635099"/>
    <w:rsid w:val="006353ED"/>
    <w:rsid w:val="006353EE"/>
    <w:rsid w:val="0063580D"/>
    <w:rsid w:val="00635B74"/>
    <w:rsid w:val="00635E33"/>
    <w:rsid w:val="00635E9D"/>
    <w:rsid w:val="00636FF5"/>
    <w:rsid w:val="00637590"/>
    <w:rsid w:val="00637894"/>
    <w:rsid w:val="00637989"/>
    <w:rsid w:val="00637CEF"/>
    <w:rsid w:val="00637E2C"/>
    <w:rsid w:val="00637E30"/>
    <w:rsid w:val="00637FFE"/>
    <w:rsid w:val="00640334"/>
    <w:rsid w:val="006403F1"/>
    <w:rsid w:val="0064076F"/>
    <w:rsid w:val="00640784"/>
    <w:rsid w:val="00640E0A"/>
    <w:rsid w:val="006410A4"/>
    <w:rsid w:val="00641123"/>
    <w:rsid w:val="00641298"/>
    <w:rsid w:val="0064140B"/>
    <w:rsid w:val="00641B02"/>
    <w:rsid w:val="00641BB2"/>
    <w:rsid w:val="00641DE7"/>
    <w:rsid w:val="00641EDD"/>
    <w:rsid w:val="00641F4F"/>
    <w:rsid w:val="00641F94"/>
    <w:rsid w:val="00642085"/>
    <w:rsid w:val="006423E5"/>
    <w:rsid w:val="0064242B"/>
    <w:rsid w:val="006425E6"/>
    <w:rsid w:val="00643613"/>
    <w:rsid w:val="0064364F"/>
    <w:rsid w:val="00643791"/>
    <w:rsid w:val="00643B3C"/>
    <w:rsid w:val="00643E8B"/>
    <w:rsid w:val="006442CF"/>
    <w:rsid w:val="006444AB"/>
    <w:rsid w:val="006445E2"/>
    <w:rsid w:val="0064464E"/>
    <w:rsid w:val="00644761"/>
    <w:rsid w:val="00644818"/>
    <w:rsid w:val="00644AE5"/>
    <w:rsid w:val="00644C0A"/>
    <w:rsid w:val="00644F9C"/>
    <w:rsid w:val="00645757"/>
    <w:rsid w:val="00645935"/>
    <w:rsid w:val="00645C88"/>
    <w:rsid w:val="00645F0E"/>
    <w:rsid w:val="00645FF3"/>
    <w:rsid w:val="00646045"/>
    <w:rsid w:val="006460E1"/>
    <w:rsid w:val="006463A6"/>
    <w:rsid w:val="00646D0E"/>
    <w:rsid w:val="00646EFC"/>
    <w:rsid w:val="00647640"/>
    <w:rsid w:val="006479C0"/>
    <w:rsid w:val="00647BFA"/>
    <w:rsid w:val="00647D78"/>
    <w:rsid w:val="00647EF7"/>
    <w:rsid w:val="00647F1C"/>
    <w:rsid w:val="00647F81"/>
    <w:rsid w:val="0065028B"/>
    <w:rsid w:val="00650611"/>
    <w:rsid w:val="006508EC"/>
    <w:rsid w:val="00650A18"/>
    <w:rsid w:val="00650B3E"/>
    <w:rsid w:val="00650B49"/>
    <w:rsid w:val="006510B0"/>
    <w:rsid w:val="00651263"/>
    <w:rsid w:val="00651295"/>
    <w:rsid w:val="0065136F"/>
    <w:rsid w:val="0065159F"/>
    <w:rsid w:val="00651A8D"/>
    <w:rsid w:val="00651B54"/>
    <w:rsid w:val="00651D06"/>
    <w:rsid w:val="00651DC7"/>
    <w:rsid w:val="00651DC8"/>
    <w:rsid w:val="00651DF5"/>
    <w:rsid w:val="00651FA0"/>
    <w:rsid w:val="0065267B"/>
    <w:rsid w:val="006527E8"/>
    <w:rsid w:val="00652914"/>
    <w:rsid w:val="00652A4F"/>
    <w:rsid w:val="00652D03"/>
    <w:rsid w:val="00652D5A"/>
    <w:rsid w:val="00652FC1"/>
    <w:rsid w:val="006532FF"/>
    <w:rsid w:val="00653375"/>
    <w:rsid w:val="0065350E"/>
    <w:rsid w:val="006537C6"/>
    <w:rsid w:val="00653C0B"/>
    <w:rsid w:val="00653C77"/>
    <w:rsid w:val="00654207"/>
    <w:rsid w:val="0065445A"/>
    <w:rsid w:val="006544E1"/>
    <w:rsid w:val="006545A0"/>
    <w:rsid w:val="006548CD"/>
    <w:rsid w:val="00655002"/>
    <w:rsid w:val="00655020"/>
    <w:rsid w:val="006552D0"/>
    <w:rsid w:val="00655564"/>
    <w:rsid w:val="00655601"/>
    <w:rsid w:val="00655714"/>
    <w:rsid w:val="00655DEA"/>
    <w:rsid w:val="00656188"/>
    <w:rsid w:val="006564A6"/>
    <w:rsid w:val="00656DB9"/>
    <w:rsid w:val="00656E43"/>
    <w:rsid w:val="00657189"/>
    <w:rsid w:val="006572BB"/>
    <w:rsid w:val="0065E11F"/>
    <w:rsid w:val="006602AF"/>
    <w:rsid w:val="006607C2"/>
    <w:rsid w:val="00660F8D"/>
    <w:rsid w:val="00660FDE"/>
    <w:rsid w:val="006613F3"/>
    <w:rsid w:val="0066141A"/>
    <w:rsid w:val="00661589"/>
    <w:rsid w:val="006615C5"/>
    <w:rsid w:val="0066173C"/>
    <w:rsid w:val="006619CF"/>
    <w:rsid w:val="00661CBE"/>
    <w:rsid w:val="00661D6A"/>
    <w:rsid w:val="00661E01"/>
    <w:rsid w:val="00661F50"/>
    <w:rsid w:val="00662319"/>
    <w:rsid w:val="006623E3"/>
    <w:rsid w:val="0066245B"/>
    <w:rsid w:val="006626BD"/>
    <w:rsid w:val="00662AEB"/>
    <w:rsid w:val="00662E73"/>
    <w:rsid w:val="00662E88"/>
    <w:rsid w:val="00662F27"/>
    <w:rsid w:val="00662F6B"/>
    <w:rsid w:val="00663626"/>
    <w:rsid w:val="00663637"/>
    <w:rsid w:val="0066376C"/>
    <w:rsid w:val="00663927"/>
    <w:rsid w:val="006640E0"/>
    <w:rsid w:val="00664484"/>
    <w:rsid w:val="00664586"/>
    <w:rsid w:val="0066462D"/>
    <w:rsid w:val="0066493D"/>
    <w:rsid w:val="00664AE4"/>
    <w:rsid w:val="00664BC8"/>
    <w:rsid w:val="00664D34"/>
    <w:rsid w:val="0066515E"/>
    <w:rsid w:val="0066529E"/>
    <w:rsid w:val="00665459"/>
    <w:rsid w:val="006654E3"/>
    <w:rsid w:val="0066585C"/>
    <w:rsid w:val="00665874"/>
    <w:rsid w:val="006658E6"/>
    <w:rsid w:val="00665B4C"/>
    <w:rsid w:val="00665C76"/>
    <w:rsid w:val="00665F24"/>
    <w:rsid w:val="00665FBD"/>
    <w:rsid w:val="006662F6"/>
    <w:rsid w:val="0066668E"/>
    <w:rsid w:val="00666DAA"/>
    <w:rsid w:val="00667173"/>
    <w:rsid w:val="006671A6"/>
    <w:rsid w:val="0066721E"/>
    <w:rsid w:val="0066747F"/>
    <w:rsid w:val="00667731"/>
    <w:rsid w:val="00667858"/>
    <w:rsid w:val="00667A37"/>
    <w:rsid w:val="00667AE1"/>
    <w:rsid w:val="00667C7A"/>
    <w:rsid w:val="00670141"/>
    <w:rsid w:val="006701B8"/>
    <w:rsid w:val="006701E4"/>
    <w:rsid w:val="0067042E"/>
    <w:rsid w:val="00670689"/>
    <w:rsid w:val="0067073B"/>
    <w:rsid w:val="00670D16"/>
    <w:rsid w:val="00670D94"/>
    <w:rsid w:val="00670F20"/>
    <w:rsid w:val="006712DB"/>
    <w:rsid w:val="00671358"/>
    <w:rsid w:val="006714CC"/>
    <w:rsid w:val="0067193B"/>
    <w:rsid w:val="00671CF5"/>
    <w:rsid w:val="00671DAE"/>
    <w:rsid w:val="006720CF"/>
    <w:rsid w:val="006720D0"/>
    <w:rsid w:val="006720D9"/>
    <w:rsid w:val="0067229E"/>
    <w:rsid w:val="006723EC"/>
    <w:rsid w:val="006723FD"/>
    <w:rsid w:val="00672705"/>
    <w:rsid w:val="00672A8E"/>
    <w:rsid w:val="00672DB1"/>
    <w:rsid w:val="006730E4"/>
    <w:rsid w:val="00673234"/>
    <w:rsid w:val="006733BE"/>
    <w:rsid w:val="00673609"/>
    <w:rsid w:val="00673818"/>
    <w:rsid w:val="00674364"/>
    <w:rsid w:val="00674648"/>
    <w:rsid w:val="00674755"/>
    <w:rsid w:val="0067493E"/>
    <w:rsid w:val="006749A2"/>
    <w:rsid w:val="00674E34"/>
    <w:rsid w:val="00675675"/>
    <w:rsid w:val="00675A09"/>
    <w:rsid w:val="00675BC3"/>
    <w:rsid w:val="00675C37"/>
    <w:rsid w:val="00675F63"/>
    <w:rsid w:val="00675F8B"/>
    <w:rsid w:val="0067647C"/>
    <w:rsid w:val="00676647"/>
    <w:rsid w:val="00676ECC"/>
    <w:rsid w:val="00677516"/>
    <w:rsid w:val="0067765F"/>
    <w:rsid w:val="00677667"/>
    <w:rsid w:val="00677849"/>
    <w:rsid w:val="00677AA1"/>
    <w:rsid w:val="00677AAA"/>
    <w:rsid w:val="0068052A"/>
    <w:rsid w:val="006807B8"/>
    <w:rsid w:val="006808C4"/>
    <w:rsid w:val="00680970"/>
    <w:rsid w:val="00680DD3"/>
    <w:rsid w:val="00680F8B"/>
    <w:rsid w:val="00681099"/>
    <w:rsid w:val="0068138A"/>
    <w:rsid w:val="00681477"/>
    <w:rsid w:val="006817A1"/>
    <w:rsid w:val="00681841"/>
    <w:rsid w:val="00681CCA"/>
    <w:rsid w:val="0068218D"/>
    <w:rsid w:val="00682395"/>
    <w:rsid w:val="006824B5"/>
    <w:rsid w:val="006826FC"/>
    <w:rsid w:val="00682A06"/>
    <w:rsid w:val="00682B8F"/>
    <w:rsid w:val="00682D54"/>
    <w:rsid w:val="0068342D"/>
    <w:rsid w:val="006837F2"/>
    <w:rsid w:val="00683A6E"/>
    <w:rsid w:val="00683ACB"/>
    <w:rsid w:val="00683F2C"/>
    <w:rsid w:val="006844A5"/>
    <w:rsid w:val="00684CFF"/>
    <w:rsid w:val="0068539E"/>
    <w:rsid w:val="00685434"/>
    <w:rsid w:val="006857E8"/>
    <w:rsid w:val="00685A91"/>
    <w:rsid w:val="00685AF1"/>
    <w:rsid w:val="00685D21"/>
    <w:rsid w:val="00685F90"/>
    <w:rsid w:val="00686172"/>
    <w:rsid w:val="0068643B"/>
    <w:rsid w:val="0068666C"/>
    <w:rsid w:val="00686A18"/>
    <w:rsid w:val="00686A5C"/>
    <w:rsid w:val="00686ED7"/>
    <w:rsid w:val="00687151"/>
    <w:rsid w:val="006875D0"/>
    <w:rsid w:val="00687729"/>
    <w:rsid w:val="006879D0"/>
    <w:rsid w:val="00687BC7"/>
    <w:rsid w:val="00687E8C"/>
    <w:rsid w:val="00690154"/>
    <w:rsid w:val="0069015B"/>
    <w:rsid w:val="00690299"/>
    <w:rsid w:val="0069037B"/>
    <w:rsid w:val="00690476"/>
    <w:rsid w:val="00690511"/>
    <w:rsid w:val="00690885"/>
    <w:rsid w:val="00690982"/>
    <w:rsid w:val="00690B42"/>
    <w:rsid w:val="00691036"/>
    <w:rsid w:val="006914D3"/>
    <w:rsid w:val="0069171E"/>
    <w:rsid w:val="00691844"/>
    <w:rsid w:val="00691ED0"/>
    <w:rsid w:val="006925EC"/>
    <w:rsid w:val="00692640"/>
    <w:rsid w:val="006927BF"/>
    <w:rsid w:val="00692926"/>
    <w:rsid w:val="00692B1B"/>
    <w:rsid w:val="00693201"/>
    <w:rsid w:val="0069321A"/>
    <w:rsid w:val="006936AB"/>
    <w:rsid w:val="00693734"/>
    <w:rsid w:val="0069374D"/>
    <w:rsid w:val="00693953"/>
    <w:rsid w:val="00693AD3"/>
    <w:rsid w:val="00693B5C"/>
    <w:rsid w:val="00693BD7"/>
    <w:rsid w:val="00693CFA"/>
    <w:rsid w:val="00694198"/>
    <w:rsid w:val="006941EA"/>
    <w:rsid w:val="0069467B"/>
    <w:rsid w:val="00694A08"/>
    <w:rsid w:val="00694BDD"/>
    <w:rsid w:val="00695042"/>
    <w:rsid w:val="00695566"/>
    <w:rsid w:val="00695815"/>
    <w:rsid w:val="00695A91"/>
    <w:rsid w:val="00695ABE"/>
    <w:rsid w:val="00695F24"/>
    <w:rsid w:val="00695FBB"/>
    <w:rsid w:val="00696084"/>
    <w:rsid w:val="00696274"/>
    <w:rsid w:val="0069650D"/>
    <w:rsid w:val="00696AAD"/>
    <w:rsid w:val="00696FB6"/>
    <w:rsid w:val="006972FB"/>
    <w:rsid w:val="0069738D"/>
    <w:rsid w:val="006973A4"/>
    <w:rsid w:val="0069747A"/>
    <w:rsid w:val="0069781F"/>
    <w:rsid w:val="006979C1"/>
    <w:rsid w:val="00697C6D"/>
    <w:rsid w:val="00697C9C"/>
    <w:rsid w:val="00697CD5"/>
    <w:rsid w:val="00697E60"/>
    <w:rsid w:val="006A0026"/>
    <w:rsid w:val="006A028E"/>
    <w:rsid w:val="006A0851"/>
    <w:rsid w:val="006A0DEF"/>
    <w:rsid w:val="006A0EDB"/>
    <w:rsid w:val="006A1347"/>
    <w:rsid w:val="006A1540"/>
    <w:rsid w:val="006A18FD"/>
    <w:rsid w:val="006A2215"/>
    <w:rsid w:val="006A2314"/>
    <w:rsid w:val="006A24BF"/>
    <w:rsid w:val="006A27D0"/>
    <w:rsid w:val="006A2821"/>
    <w:rsid w:val="006A28EE"/>
    <w:rsid w:val="006A2EF5"/>
    <w:rsid w:val="006A3044"/>
    <w:rsid w:val="006A375D"/>
    <w:rsid w:val="006A37E4"/>
    <w:rsid w:val="006A3846"/>
    <w:rsid w:val="006A3E04"/>
    <w:rsid w:val="006A5363"/>
    <w:rsid w:val="006A5674"/>
    <w:rsid w:val="006A56B4"/>
    <w:rsid w:val="006A5AB3"/>
    <w:rsid w:val="006A5B57"/>
    <w:rsid w:val="006A5F8B"/>
    <w:rsid w:val="006A656B"/>
    <w:rsid w:val="006A6699"/>
    <w:rsid w:val="006A67DE"/>
    <w:rsid w:val="006A6848"/>
    <w:rsid w:val="006A697D"/>
    <w:rsid w:val="006A6B1F"/>
    <w:rsid w:val="006A6C54"/>
    <w:rsid w:val="006A7021"/>
    <w:rsid w:val="006A72D7"/>
    <w:rsid w:val="006A72E5"/>
    <w:rsid w:val="006A7609"/>
    <w:rsid w:val="006A7685"/>
    <w:rsid w:val="006A76B3"/>
    <w:rsid w:val="006A787F"/>
    <w:rsid w:val="006A7B52"/>
    <w:rsid w:val="006A7CC8"/>
    <w:rsid w:val="006A7F0A"/>
    <w:rsid w:val="006B02FE"/>
    <w:rsid w:val="006B0385"/>
    <w:rsid w:val="006B05E8"/>
    <w:rsid w:val="006B05FB"/>
    <w:rsid w:val="006B07F4"/>
    <w:rsid w:val="006B08E4"/>
    <w:rsid w:val="006B0A07"/>
    <w:rsid w:val="006B0C06"/>
    <w:rsid w:val="006B10A1"/>
    <w:rsid w:val="006B111B"/>
    <w:rsid w:val="006B1B82"/>
    <w:rsid w:val="006B1D88"/>
    <w:rsid w:val="006B2079"/>
    <w:rsid w:val="006B2105"/>
    <w:rsid w:val="006B234B"/>
    <w:rsid w:val="006B2441"/>
    <w:rsid w:val="006B2547"/>
    <w:rsid w:val="006B2A3E"/>
    <w:rsid w:val="006B2C0A"/>
    <w:rsid w:val="006B2DA7"/>
    <w:rsid w:val="006B2F39"/>
    <w:rsid w:val="006B3389"/>
    <w:rsid w:val="006B3702"/>
    <w:rsid w:val="006B39DB"/>
    <w:rsid w:val="006B3E78"/>
    <w:rsid w:val="006B4266"/>
    <w:rsid w:val="006B42F2"/>
    <w:rsid w:val="006B4657"/>
    <w:rsid w:val="006B4D63"/>
    <w:rsid w:val="006B4E47"/>
    <w:rsid w:val="006B58DF"/>
    <w:rsid w:val="006B594A"/>
    <w:rsid w:val="006B5A53"/>
    <w:rsid w:val="006B662D"/>
    <w:rsid w:val="006B6692"/>
    <w:rsid w:val="006B6C59"/>
    <w:rsid w:val="006B7332"/>
    <w:rsid w:val="006B7491"/>
    <w:rsid w:val="006B7866"/>
    <w:rsid w:val="006C051C"/>
    <w:rsid w:val="006C096B"/>
    <w:rsid w:val="006C0B51"/>
    <w:rsid w:val="006C0C26"/>
    <w:rsid w:val="006C10EF"/>
    <w:rsid w:val="006C118D"/>
    <w:rsid w:val="006C12D6"/>
    <w:rsid w:val="006C12E7"/>
    <w:rsid w:val="006C1486"/>
    <w:rsid w:val="006C1D8B"/>
    <w:rsid w:val="006C214D"/>
    <w:rsid w:val="006C21DE"/>
    <w:rsid w:val="006C280C"/>
    <w:rsid w:val="006C2AA2"/>
    <w:rsid w:val="006C3098"/>
    <w:rsid w:val="006C3244"/>
    <w:rsid w:val="006C3891"/>
    <w:rsid w:val="006C3AA7"/>
    <w:rsid w:val="006C3E84"/>
    <w:rsid w:val="006C3EF0"/>
    <w:rsid w:val="006C458F"/>
    <w:rsid w:val="006C477E"/>
    <w:rsid w:val="006C4B7B"/>
    <w:rsid w:val="006C4CC5"/>
    <w:rsid w:val="006C4FC0"/>
    <w:rsid w:val="006C505D"/>
    <w:rsid w:val="006C50B6"/>
    <w:rsid w:val="006C55D2"/>
    <w:rsid w:val="006C58DC"/>
    <w:rsid w:val="006C5B94"/>
    <w:rsid w:val="006C5CFB"/>
    <w:rsid w:val="006C605C"/>
    <w:rsid w:val="006C6087"/>
    <w:rsid w:val="006C6EB0"/>
    <w:rsid w:val="006C70BC"/>
    <w:rsid w:val="006C75CD"/>
    <w:rsid w:val="006C786B"/>
    <w:rsid w:val="006C7A00"/>
    <w:rsid w:val="006C7B31"/>
    <w:rsid w:val="006C7BB0"/>
    <w:rsid w:val="006C7E68"/>
    <w:rsid w:val="006C7FBB"/>
    <w:rsid w:val="006D00E6"/>
    <w:rsid w:val="006D00FB"/>
    <w:rsid w:val="006D0119"/>
    <w:rsid w:val="006D0154"/>
    <w:rsid w:val="006D088B"/>
    <w:rsid w:val="006D0A4E"/>
    <w:rsid w:val="006D1573"/>
    <w:rsid w:val="006D18D2"/>
    <w:rsid w:val="006D1949"/>
    <w:rsid w:val="006D1B25"/>
    <w:rsid w:val="006D221F"/>
    <w:rsid w:val="006D22CB"/>
    <w:rsid w:val="006D2A63"/>
    <w:rsid w:val="006D2CC0"/>
    <w:rsid w:val="006D313E"/>
    <w:rsid w:val="006D3172"/>
    <w:rsid w:val="006D319A"/>
    <w:rsid w:val="006D31F3"/>
    <w:rsid w:val="006D3316"/>
    <w:rsid w:val="006D3337"/>
    <w:rsid w:val="006D356A"/>
    <w:rsid w:val="006D3666"/>
    <w:rsid w:val="006D3BE4"/>
    <w:rsid w:val="006D3CA9"/>
    <w:rsid w:val="006D3CC6"/>
    <w:rsid w:val="006D3DF3"/>
    <w:rsid w:val="006D3F7D"/>
    <w:rsid w:val="006D42E5"/>
    <w:rsid w:val="006D4556"/>
    <w:rsid w:val="006D46F5"/>
    <w:rsid w:val="006D4920"/>
    <w:rsid w:val="006D4A30"/>
    <w:rsid w:val="006D4F79"/>
    <w:rsid w:val="006D53AB"/>
    <w:rsid w:val="006D5B2A"/>
    <w:rsid w:val="006D6706"/>
    <w:rsid w:val="006D6743"/>
    <w:rsid w:val="006D6AAF"/>
    <w:rsid w:val="006D6ADC"/>
    <w:rsid w:val="006D7101"/>
    <w:rsid w:val="006D74E4"/>
    <w:rsid w:val="006D7701"/>
    <w:rsid w:val="006D7A3F"/>
    <w:rsid w:val="006D7A73"/>
    <w:rsid w:val="006D7AF8"/>
    <w:rsid w:val="006D998C"/>
    <w:rsid w:val="006E013B"/>
    <w:rsid w:val="006E024C"/>
    <w:rsid w:val="006E0640"/>
    <w:rsid w:val="006E0B11"/>
    <w:rsid w:val="006E0B1D"/>
    <w:rsid w:val="006E1168"/>
    <w:rsid w:val="006E1560"/>
    <w:rsid w:val="006E1633"/>
    <w:rsid w:val="006E167F"/>
    <w:rsid w:val="006E1682"/>
    <w:rsid w:val="006E1EF0"/>
    <w:rsid w:val="006E205D"/>
    <w:rsid w:val="006E206B"/>
    <w:rsid w:val="006E256F"/>
    <w:rsid w:val="006E2637"/>
    <w:rsid w:val="006E2825"/>
    <w:rsid w:val="006E2986"/>
    <w:rsid w:val="006E2EF0"/>
    <w:rsid w:val="006E3001"/>
    <w:rsid w:val="006E339F"/>
    <w:rsid w:val="006E34E5"/>
    <w:rsid w:val="006E35EA"/>
    <w:rsid w:val="006E3A06"/>
    <w:rsid w:val="006E3D8A"/>
    <w:rsid w:val="006E3DC9"/>
    <w:rsid w:val="006E421C"/>
    <w:rsid w:val="006E433D"/>
    <w:rsid w:val="006E4A82"/>
    <w:rsid w:val="006E507C"/>
    <w:rsid w:val="006E5166"/>
    <w:rsid w:val="006E5991"/>
    <w:rsid w:val="006E5CC6"/>
    <w:rsid w:val="006E610E"/>
    <w:rsid w:val="006E6609"/>
    <w:rsid w:val="006E6639"/>
    <w:rsid w:val="006E673D"/>
    <w:rsid w:val="006E68CD"/>
    <w:rsid w:val="006E6A09"/>
    <w:rsid w:val="006E6CA6"/>
    <w:rsid w:val="006E6EDB"/>
    <w:rsid w:val="006E763B"/>
    <w:rsid w:val="006E7AC2"/>
    <w:rsid w:val="006E7C44"/>
    <w:rsid w:val="006E98CF"/>
    <w:rsid w:val="006F00B9"/>
    <w:rsid w:val="006F027D"/>
    <w:rsid w:val="006F0434"/>
    <w:rsid w:val="006F05BF"/>
    <w:rsid w:val="006F080D"/>
    <w:rsid w:val="006F0983"/>
    <w:rsid w:val="006F0CA6"/>
    <w:rsid w:val="006F10BB"/>
    <w:rsid w:val="006F1519"/>
    <w:rsid w:val="006F1734"/>
    <w:rsid w:val="006F18F9"/>
    <w:rsid w:val="006F1973"/>
    <w:rsid w:val="006F1BA4"/>
    <w:rsid w:val="006F24D6"/>
    <w:rsid w:val="006F29CE"/>
    <w:rsid w:val="006F2BB8"/>
    <w:rsid w:val="006F3761"/>
    <w:rsid w:val="006F3B76"/>
    <w:rsid w:val="006F3BF5"/>
    <w:rsid w:val="006F3DDF"/>
    <w:rsid w:val="006F3F72"/>
    <w:rsid w:val="006F4684"/>
    <w:rsid w:val="006F48C5"/>
    <w:rsid w:val="006F4B47"/>
    <w:rsid w:val="006F4FDA"/>
    <w:rsid w:val="006F4FFA"/>
    <w:rsid w:val="006F504B"/>
    <w:rsid w:val="006F5590"/>
    <w:rsid w:val="006F562A"/>
    <w:rsid w:val="006F57FA"/>
    <w:rsid w:val="006F584F"/>
    <w:rsid w:val="006F588D"/>
    <w:rsid w:val="006F5B6C"/>
    <w:rsid w:val="006F5B8B"/>
    <w:rsid w:val="006F5C6A"/>
    <w:rsid w:val="006F5F1F"/>
    <w:rsid w:val="006F60EC"/>
    <w:rsid w:val="006F6392"/>
    <w:rsid w:val="006F65A2"/>
    <w:rsid w:val="006F6799"/>
    <w:rsid w:val="006F6E67"/>
    <w:rsid w:val="006F71B5"/>
    <w:rsid w:val="006F735F"/>
    <w:rsid w:val="006F7507"/>
    <w:rsid w:val="006F7AD4"/>
    <w:rsid w:val="006F7DA0"/>
    <w:rsid w:val="006F7F58"/>
    <w:rsid w:val="00700408"/>
    <w:rsid w:val="00700EC0"/>
    <w:rsid w:val="00700FFE"/>
    <w:rsid w:val="00701130"/>
    <w:rsid w:val="00701215"/>
    <w:rsid w:val="0070131B"/>
    <w:rsid w:val="00701505"/>
    <w:rsid w:val="00701609"/>
    <w:rsid w:val="00701C7B"/>
    <w:rsid w:val="00701CAF"/>
    <w:rsid w:val="00701D3E"/>
    <w:rsid w:val="00702297"/>
    <w:rsid w:val="00702560"/>
    <w:rsid w:val="00702667"/>
    <w:rsid w:val="00702766"/>
    <w:rsid w:val="0070278E"/>
    <w:rsid w:val="00702815"/>
    <w:rsid w:val="0070283C"/>
    <w:rsid w:val="007028EB"/>
    <w:rsid w:val="00702916"/>
    <w:rsid w:val="00702CAD"/>
    <w:rsid w:val="00702D0A"/>
    <w:rsid w:val="0070316B"/>
    <w:rsid w:val="00703300"/>
    <w:rsid w:val="0070340B"/>
    <w:rsid w:val="007034E0"/>
    <w:rsid w:val="007034F2"/>
    <w:rsid w:val="00703524"/>
    <w:rsid w:val="0070357D"/>
    <w:rsid w:val="007036F2"/>
    <w:rsid w:val="007038E3"/>
    <w:rsid w:val="0070396D"/>
    <w:rsid w:val="007039F7"/>
    <w:rsid w:val="00703AAD"/>
    <w:rsid w:val="00703DF4"/>
    <w:rsid w:val="00704046"/>
    <w:rsid w:val="007040E5"/>
    <w:rsid w:val="00704285"/>
    <w:rsid w:val="007047E2"/>
    <w:rsid w:val="007049EC"/>
    <w:rsid w:val="00704F46"/>
    <w:rsid w:val="00705096"/>
    <w:rsid w:val="00705149"/>
    <w:rsid w:val="00705292"/>
    <w:rsid w:val="007064B7"/>
    <w:rsid w:val="00706AA6"/>
    <w:rsid w:val="00706E61"/>
    <w:rsid w:val="007071D2"/>
    <w:rsid w:val="00707270"/>
    <w:rsid w:val="007072CB"/>
    <w:rsid w:val="007078E8"/>
    <w:rsid w:val="00707A33"/>
    <w:rsid w:val="00707D53"/>
    <w:rsid w:val="00707DBE"/>
    <w:rsid w:val="007100A9"/>
    <w:rsid w:val="0071056B"/>
    <w:rsid w:val="00710AF1"/>
    <w:rsid w:val="00710F9E"/>
    <w:rsid w:val="0071107D"/>
    <w:rsid w:val="0071122D"/>
    <w:rsid w:val="0071128B"/>
    <w:rsid w:val="007117C6"/>
    <w:rsid w:val="00711944"/>
    <w:rsid w:val="007119E6"/>
    <w:rsid w:val="00711C0B"/>
    <w:rsid w:val="00711FCE"/>
    <w:rsid w:val="0071232D"/>
    <w:rsid w:val="00712649"/>
    <w:rsid w:val="0071293B"/>
    <w:rsid w:val="00712976"/>
    <w:rsid w:val="00712B1D"/>
    <w:rsid w:val="00712BDF"/>
    <w:rsid w:val="00712C57"/>
    <w:rsid w:val="00712CBF"/>
    <w:rsid w:val="00712DB5"/>
    <w:rsid w:val="007130EF"/>
    <w:rsid w:val="00713299"/>
    <w:rsid w:val="00713558"/>
    <w:rsid w:val="0071397E"/>
    <w:rsid w:val="00713BEC"/>
    <w:rsid w:val="00713E6A"/>
    <w:rsid w:val="00713EAC"/>
    <w:rsid w:val="007140ED"/>
    <w:rsid w:val="00714245"/>
    <w:rsid w:val="0071437A"/>
    <w:rsid w:val="00714539"/>
    <w:rsid w:val="007149FF"/>
    <w:rsid w:val="00714A00"/>
    <w:rsid w:val="00714A16"/>
    <w:rsid w:val="00714EC9"/>
    <w:rsid w:val="00714F1A"/>
    <w:rsid w:val="00715849"/>
    <w:rsid w:val="00715908"/>
    <w:rsid w:val="00715EB0"/>
    <w:rsid w:val="007160B1"/>
    <w:rsid w:val="00716258"/>
    <w:rsid w:val="00716430"/>
    <w:rsid w:val="007164F8"/>
    <w:rsid w:val="00716738"/>
    <w:rsid w:val="00717207"/>
    <w:rsid w:val="007172FC"/>
    <w:rsid w:val="00717515"/>
    <w:rsid w:val="00717845"/>
    <w:rsid w:val="007178DB"/>
    <w:rsid w:val="00717F31"/>
    <w:rsid w:val="007201E5"/>
    <w:rsid w:val="00720222"/>
    <w:rsid w:val="0072076A"/>
    <w:rsid w:val="00720AC4"/>
    <w:rsid w:val="00720B3B"/>
    <w:rsid w:val="00720C5E"/>
    <w:rsid w:val="00720E16"/>
    <w:rsid w:val="00720FBD"/>
    <w:rsid w:val="0072134F"/>
    <w:rsid w:val="00721678"/>
    <w:rsid w:val="0072170C"/>
    <w:rsid w:val="0072195C"/>
    <w:rsid w:val="007219D7"/>
    <w:rsid w:val="00721AA8"/>
    <w:rsid w:val="007225CD"/>
    <w:rsid w:val="007229C5"/>
    <w:rsid w:val="007229E7"/>
    <w:rsid w:val="00722B6F"/>
    <w:rsid w:val="00722CF4"/>
    <w:rsid w:val="00722DCC"/>
    <w:rsid w:val="0072314C"/>
    <w:rsid w:val="00723409"/>
    <w:rsid w:val="007237DC"/>
    <w:rsid w:val="00723902"/>
    <w:rsid w:val="00723922"/>
    <w:rsid w:val="00723A8C"/>
    <w:rsid w:val="00723FBA"/>
    <w:rsid w:val="00724035"/>
    <w:rsid w:val="007240AC"/>
    <w:rsid w:val="007242BD"/>
    <w:rsid w:val="00724550"/>
    <w:rsid w:val="007245DB"/>
    <w:rsid w:val="00724695"/>
    <w:rsid w:val="00724937"/>
    <w:rsid w:val="007255C3"/>
    <w:rsid w:val="00725A28"/>
    <w:rsid w:val="00725B83"/>
    <w:rsid w:val="00725BF1"/>
    <w:rsid w:val="00725C29"/>
    <w:rsid w:val="007261D8"/>
    <w:rsid w:val="007266F8"/>
    <w:rsid w:val="007269C8"/>
    <w:rsid w:val="00726FD4"/>
    <w:rsid w:val="0072703E"/>
    <w:rsid w:val="007270B9"/>
    <w:rsid w:val="00727A7A"/>
    <w:rsid w:val="0072EFE2"/>
    <w:rsid w:val="00730077"/>
    <w:rsid w:val="00730831"/>
    <w:rsid w:val="0073084F"/>
    <w:rsid w:val="00730BDF"/>
    <w:rsid w:val="00730D65"/>
    <w:rsid w:val="00730E6C"/>
    <w:rsid w:val="00730ED6"/>
    <w:rsid w:val="00731215"/>
    <w:rsid w:val="00731840"/>
    <w:rsid w:val="00731869"/>
    <w:rsid w:val="00731A00"/>
    <w:rsid w:val="007321A5"/>
    <w:rsid w:val="00732200"/>
    <w:rsid w:val="00732718"/>
    <w:rsid w:val="00732BC6"/>
    <w:rsid w:val="00732CA2"/>
    <w:rsid w:val="00732CEB"/>
    <w:rsid w:val="00732E95"/>
    <w:rsid w:val="0073310E"/>
    <w:rsid w:val="00733639"/>
    <w:rsid w:val="00733864"/>
    <w:rsid w:val="00733B2C"/>
    <w:rsid w:val="0073413B"/>
    <w:rsid w:val="0073477F"/>
    <w:rsid w:val="00734AC8"/>
    <w:rsid w:val="00734B95"/>
    <w:rsid w:val="00734D2C"/>
    <w:rsid w:val="00735073"/>
    <w:rsid w:val="007353D3"/>
    <w:rsid w:val="007355EB"/>
    <w:rsid w:val="007357E0"/>
    <w:rsid w:val="00735D2C"/>
    <w:rsid w:val="00735EA6"/>
    <w:rsid w:val="00735F3C"/>
    <w:rsid w:val="0073609E"/>
    <w:rsid w:val="007360BB"/>
    <w:rsid w:val="0073666A"/>
    <w:rsid w:val="007367D2"/>
    <w:rsid w:val="007368C0"/>
    <w:rsid w:val="00736C88"/>
    <w:rsid w:val="00736CC8"/>
    <w:rsid w:val="00736E8D"/>
    <w:rsid w:val="00736FE7"/>
    <w:rsid w:val="0073752C"/>
    <w:rsid w:val="007377D7"/>
    <w:rsid w:val="00737AB2"/>
    <w:rsid w:val="00737CCD"/>
    <w:rsid w:val="00737E58"/>
    <w:rsid w:val="00740282"/>
    <w:rsid w:val="007405B6"/>
    <w:rsid w:val="007406F5"/>
    <w:rsid w:val="0074075F"/>
    <w:rsid w:val="00740F52"/>
    <w:rsid w:val="00740FF5"/>
    <w:rsid w:val="00741009"/>
    <w:rsid w:val="007410C1"/>
    <w:rsid w:val="0074122E"/>
    <w:rsid w:val="0074123C"/>
    <w:rsid w:val="0074138D"/>
    <w:rsid w:val="0074191F"/>
    <w:rsid w:val="0074196B"/>
    <w:rsid w:val="00741B97"/>
    <w:rsid w:val="00741ECB"/>
    <w:rsid w:val="0074206D"/>
    <w:rsid w:val="00742408"/>
    <w:rsid w:val="00742458"/>
    <w:rsid w:val="00742734"/>
    <w:rsid w:val="00742B58"/>
    <w:rsid w:val="00742B8C"/>
    <w:rsid w:val="0074318D"/>
    <w:rsid w:val="00743B44"/>
    <w:rsid w:val="00743D01"/>
    <w:rsid w:val="00743D46"/>
    <w:rsid w:val="007442EC"/>
    <w:rsid w:val="007445DF"/>
    <w:rsid w:val="0074565C"/>
    <w:rsid w:val="00745C12"/>
    <w:rsid w:val="00745C62"/>
    <w:rsid w:val="00745CBA"/>
    <w:rsid w:val="00745D0F"/>
    <w:rsid w:val="00746053"/>
    <w:rsid w:val="007466F2"/>
    <w:rsid w:val="007467D8"/>
    <w:rsid w:val="00747006"/>
    <w:rsid w:val="00747023"/>
    <w:rsid w:val="00747248"/>
    <w:rsid w:val="00747589"/>
    <w:rsid w:val="00747651"/>
    <w:rsid w:val="00747A73"/>
    <w:rsid w:val="00750213"/>
    <w:rsid w:val="007503C8"/>
    <w:rsid w:val="00750651"/>
    <w:rsid w:val="007506AB"/>
    <w:rsid w:val="007506D6"/>
    <w:rsid w:val="0075161F"/>
    <w:rsid w:val="007517AB"/>
    <w:rsid w:val="0075184E"/>
    <w:rsid w:val="00751997"/>
    <w:rsid w:val="00751A01"/>
    <w:rsid w:val="00751CE0"/>
    <w:rsid w:val="00751DA5"/>
    <w:rsid w:val="00751DCA"/>
    <w:rsid w:val="00752098"/>
    <w:rsid w:val="007522BD"/>
    <w:rsid w:val="007524BD"/>
    <w:rsid w:val="007527B9"/>
    <w:rsid w:val="007529A1"/>
    <w:rsid w:val="00752F3C"/>
    <w:rsid w:val="007532A8"/>
    <w:rsid w:val="007534E0"/>
    <w:rsid w:val="00753552"/>
    <w:rsid w:val="00753625"/>
    <w:rsid w:val="00753735"/>
    <w:rsid w:val="00753901"/>
    <w:rsid w:val="00753DB4"/>
    <w:rsid w:val="00753F38"/>
    <w:rsid w:val="00754130"/>
    <w:rsid w:val="0075423B"/>
    <w:rsid w:val="007543F0"/>
    <w:rsid w:val="0075461D"/>
    <w:rsid w:val="007549B4"/>
    <w:rsid w:val="00754C50"/>
    <w:rsid w:val="00754D29"/>
    <w:rsid w:val="00754D4E"/>
    <w:rsid w:val="00754EED"/>
    <w:rsid w:val="00754FEC"/>
    <w:rsid w:val="00755043"/>
    <w:rsid w:val="0075545B"/>
    <w:rsid w:val="00755C86"/>
    <w:rsid w:val="00756119"/>
    <w:rsid w:val="0075624D"/>
    <w:rsid w:val="00756586"/>
    <w:rsid w:val="00756730"/>
    <w:rsid w:val="00756771"/>
    <w:rsid w:val="007567F6"/>
    <w:rsid w:val="00756853"/>
    <w:rsid w:val="007569A7"/>
    <w:rsid w:val="00756A34"/>
    <w:rsid w:val="00756B06"/>
    <w:rsid w:val="00757040"/>
    <w:rsid w:val="00757C13"/>
    <w:rsid w:val="00757E6A"/>
    <w:rsid w:val="00757FC5"/>
    <w:rsid w:val="00757FF8"/>
    <w:rsid w:val="007603A0"/>
    <w:rsid w:val="007608B5"/>
    <w:rsid w:val="00760A68"/>
    <w:rsid w:val="00760BD6"/>
    <w:rsid w:val="00760C02"/>
    <w:rsid w:val="00760EC2"/>
    <w:rsid w:val="00760EEB"/>
    <w:rsid w:val="00760F43"/>
    <w:rsid w:val="00760F55"/>
    <w:rsid w:val="0076109E"/>
    <w:rsid w:val="007613A4"/>
    <w:rsid w:val="00761402"/>
    <w:rsid w:val="00761461"/>
    <w:rsid w:val="00761CE7"/>
    <w:rsid w:val="00761DC4"/>
    <w:rsid w:val="007621F7"/>
    <w:rsid w:val="0076251D"/>
    <w:rsid w:val="007627D2"/>
    <w:rsid w:val="00762CFC"/>
    <w:rsid w:val="00762F38"/>
    <w:rsid w:val="00762FA1"/>
    <w:rsid w:val="007632D3"/>
    <w:rsid w:val="00763483"/>
    <w:rsid w:val="0076358C"/>
    <w:rsid w:val="00763771"/>
    <w:rsid w:val="0076384D"/>
    <w:rsid w:val="00763970"/>
    <w:rsid w:val="00763F99"/>
    <w:rsid w:val="00764224"/>
    <w:rsid w:val="007642A9"/>
    <w:rsid w:val="007644FE"/>
    <w:rsid w:val="00764BAC"/>
    <w:rsid w:val="00764D94"/>
    <w:rsid w:val="00764DDB"/>
    <w:rsid w:val="007650E8"/>
    <w:rsid w:val="00765433"/>
    <w:rsid w:val="007659C1"/>
    <w:rsid w:val="00765A16"/>
    <w:rsid w:val="00765AD5"/>
    <w:rsid w:val="00765ADF"/>
    <w:rsid w:val="00765D50"/>
    <w:rsid w:val="00766004"/>
    <w:rsid w:val="0076604B"/>
    <w:rsid w:val="007663F3"/>
    <w:rsid w:val="00766437"/>
    <w:rsid w:val="00766457"/>
    <w:rsid w:val="00766504"/>
    <w:rsid w:val="00766632"/>
    <w:rsid w:val="00766682"/>
    <w:rsid w:val="007667AA"/>
    <w:rsid w:val="0076736D"/>
    <w:rsid w:val="007676BF"/>
    <w:rsid w:val="0076774D"/>
    <w:rsid w:val="00767986"/>
    <w:rsid w:val="00767B7C"/>
    <w:rsid w:val="00767BC1"/>
    <w:rsid w:val="00767C72"/>
    <w:rsid w:val="00767DCD"/>
    <w:rsid w:val="00767E78"/>
    <w:rsid w:val="00770089"/>
    <w:rsid w:val="007701FE"/>
    <w:rsid w:val="00770380"/>
    <w:rsid w:val="0077048F"/>
    <w:rsid w:val="00770924"/>
    <w:rsid w:val="00770AB6"/>
    <w:rsid w:val="00770FE6"/>
    <w:rsid w:val="00771CA3"/>
    <w:rsid w:val="00771EF1"/>
    <w:rsid w:val="0077213B"/>
    <w:rsid w:val="007725FD"/>
    <w:rsid w:val="00772B6E"/>
    <w:rsid w:val="00772ECE"/>
    <w:rsid w:val="0077306B"/>
    <w:rsid w:val="007730B8"/>
    <w:rsid w:val="00773104"/>
    <w:rsid w:val="00773187"/>
    <w:rsid w:val="0077355D"/>
    <w:rsid w:val="0077397A"/>
    <w:rsid w:val="00773B7F"/>
    <w:rsid w:val="00773BC7"/>
    <w:rsid w:val="007741F6"/>
    <w:rsid w:val="007743D8"/>
    <w:rsid w:val="0077476C"/>
    <w:rsid w:val="00775091"/>
    <w:rsid w:val="00775204"/>
    <w:rsid w:val="0077549B"/>
    <w:rsid w:val="007757B4"/>
    <w:rsid w:val="00775AFA"/>
    <w:rsid w:val="00775B78"/>
    <w:rsid w:val="00775E47"/>
    <w:rsid w:val="007761E6"/>
    <w:rsid w:val="007761FC"/>
    <w:rsid w:val="007764D3"/>
    <w:rsid w:val="007766D6"/>
    <w:rsid w:val="00776D40"/>
    <w:rsid w:val="00776EC7"/>
    <w:rsid w:val="0077785F"/>
    <w:rsid w:val="007778C1"/>
    <w:rsid w:val="00777962"/>
    <w:rsid w:val="00777AD1"/>
    <w:rsid w:val="00777B5B"/>
    <w:rsid w:val="00777B6E"/>
    <w:rsid w:val="00777C15"/>
    <w:rsid w:val="00777D17"/>
    <w:rsid w:val="00777EA0"/>
    <w:rsid w:val="00777EA5"/>
    <w:rsid w:val="007800B3"/>
    <w:rsid w:val="0078017B"/>
    <w:rsid w:val="00780537"/>
    <w:rsid w:val="007807A3"/>
    <w:rsid w:val="007808A0"/>
    <w:rsid w:val="007808FE"/>
    <w:rsid w:val="00780A4F"/>
    <w:rsid w:val="00780A94"/>
    <w:rsid w:val="00780CD3"/>
    <w:rsid w:val="00781289"/>
    <w:rsid w:val="0078137F"/>
    <w:rsid w:val="0078167D"/>
    <w:rsid w:val="0078174F"/>
    <w:rsid w:val="00781C75"/>
    <w:rsid w:val="00781EFA"/>
    <w:rsid w:val="00782061"/>
    <w:rsid w:val="00782500"/>
    <w:rsid w:val="0078254F"/>
    <w:rsid w:val="00782B47"/>
    <w:rsid w:val="00782B50"/>
    <w:rsid w:val="00782C19"/>
    <w:rsid w:val="00782CA0"/>
    <w:rsid w:val="00782CCC"/>
    <w:rsid w:val="00782F3D"/>
    <w:rsid w:val="007837F1"/>
    <w:rsid w:val="00783817"/>
    <w:rsid w:val="00783968"/>
    <w:rsid w:val="007841E3"/>
    <w:rsid w:val="00785006"/>
    <w:rsid w:val="0078558E"/>
    <w:rsid w:val="00785985"/>
    <w:rsid w:val="007862DF"/>
    <w:rsid w:val="0078642C"/>
    <w:rsid w:val="00786526"/>
    <w:rsid w:val="00786DAD"/>
    <w:rsid w:val="00786F8F"/>
    <w:rsid w:val="007870C4"/>
    <w:rsid w:val="00787381"/>
    <w:rsid w:val="00787392"/>
    <w:rsid w:val="007873C8"/>
    <w:rsid w:val="00787593"/>
    <w:rsid w:val="007877F0"/>
    <w:rsid w:val="00787985"/>
    <w:rsid w:val="00787994"/>
    <w:rsid w:val="00787A5B"/>
    <w:rsid w:val="00787D21"/>
    <w:rsid w:val="00787F48"/>
    <w:rsid w:val="0078CB2C"/>
    <w:rsid w:val="0079003F"/>
    <w:rsid w:val="007904CD"/>
    <w:rsid w:val="00790545"/>
    <w:rsid w:val="00790617"/>
    <w:rsid w:val="007908B0"/>
    <w:rsid w:val="00790AA9"/>
    <w:rsid w:val="00790D4D"/>
    <w:rsid w:val="00790E5C"/>
    <w:rsid w:val="00790E86"/>
    <w:rsid w:val="00791059"/>
    <w:rsid w:val="00791109"/>
    <w:rsid w:val="00791334"/>
    <w:rsid w:val="00791395"/>
    <w:rsid w:val="00791437"/>
    <w:rsid w:val="007916CE"/>
    <w:rsid w:val="007918B2"/>
    <w:rsid w:val="00791D3C"/>
    <w:rsid w:val="00791F31"/>
    <w:rsid w:val="00792070"/>
    <w:rsid w:val="0079207C"/>
    <w:rsid w:val="007921ED"/>
    <w:rsid w:val="00792277"/>
    <w:rsid w:val="007922DF"/>
    <w:rsid w:val="00792852"/>
    <w:rsid w:val="00792921"/>
    <w:rsid w:val="00792B08"/>
    <w:rsid w:val="00792E27"/>
    <w:rsid w:val="00792F60"/>
    <w:rsid w:val="00793026"/>
    <w:rsid w:val="0079332E"/>
    <w:rsid w:val="00793A98"/>
    <w:rsid w:val="00793D97"/>
    <w:rsid w:val="00793DDB"/>
    <w:rsid w:val="0079417F"/>
    <w:rsid w:val="00794191"/>
    <w:rsid w:val="007945AC"/>
    <w:rsid w:val="007949A7"/>
    <w:rsid w:val="00794A12"/>
    <w:rsid w:val="00795763"/>
    <w:rsid w:val="007957C3"/>
    <w:rsid w:val="00795A05"/>
    <w:rsid w:val="00795A46"/>
    <w:rsid w:val="0079628E"/>
    <w:rsid w:val="0079674E"/>
    <w:rsid w:val="00796ED0"/>
    <w:rsid w:val="00796EDB"/>
    <w:rsid w:val="007975C8"/>
    <w:rsid w:val="007977B1"/>
    <w:rsid w:val="00797941"/>
    <w:rsid w:val="0079799D"/>
    <w:rsid w:val="00797CFF"/>
    <w:rsid w:val="007A008D"/>
    <w:rsid w:val="007A01EC"/>
    <w:rsid w:val="007A024E"/>
    <w:rsid w:val="007A05E9"/>
    <w:rsid w:val="007A0678"/>
    <w:rsid w:val="007A086E"/>
    <w:rsid w:val="007A1148"/>
    <w:rsid w:val="007A11D3"/>
    <w:rsid w:val="007A12FC"/>
    <w:rsid w:val="007A170D"/>
    <w:rsid w:val="007A1B22"/>
    <w:rsid w:val="007A1BB8"/>
    <w:rsid w:val="007A1F79"/>
    <w:rsid w:val="007A2069"/>
    <w:rsid w:val="007A22B4"/>
    <w:rsid w:val="007A2D66"/>
    <w:rsid w:val="007A2E53"/>
    <w:rsid w:val="007A2FEC"/>
    <w:rsid w:val="007A31F5"/>
    <w:rsid w:val="007A32BB"/>
    <w:rsid w:val="007A32F7"/>
    <w:rsid w:val="007A344C"/>
    <w:rsid w:val="007A352F"/>
    <w:rsid w:val="007A35AF"/>
    <w:rsid w:val="007A35C5"/>
    <w:rsid w:val="007A3887"/>
    <w:rsid w:val="007A3BA5"/>
    <w:rsid w:val="007A3CCB"/>
    <w:rsid w:val="007A4006"/>
    <w:rsid w:val="007A411E"/>
    <w:rsid w:val="007A4249"/>
    <w:rsid w:val="007A43C8"/>
    <w:rsid w:val="007A4626"/>
    <w:rsid w:val="007A48AE"/>
    <w:rsid w:val="007A4A5C"/>
    <w:rsid w:val="007A4CAF"/>
    <w:rsid w:val="007A4DE8"/>
    <w:rsid w:val="007A50EC"/>
    <w:rsid w:val="007A540F"/>
    <w:rsid w:val="007A5502"/>
    <w:rsid w:val="007A5715"/>
    <w:rsid w:val="007A586E"/>
    <w:rsid w:val="007A593C"/>
    <w:rsid w:val="007A5AD0"/>
    <w:rsid w:val="007A5CE0"/>
    <w:rsid w:val="007A63A4"/>
    <w:rsid w:val="007A7165"/>
    <w:rsid w:val="007A72B7"/>
    <w:rsid w:val="007A74F0"/>
    <w:rsid w:val="007A7507"/>
    <w:rsid w:val="007A7742"/>
    <w:rsid w:val="007A78C0"/>
    <w:rsid w:val="007A78F5"/>
    <w:rsid w:val="007A7A31"/>
    <w:rsid w:val="007A7AD0"/>
    <w:rsid w:val="007A7D11"/>
    <w:rsid w:val="007A7EE9"/>
    <w:rsid w:val="007B04AD"/>
    <w:rsid w:val="007B051D"/>
    <w:rsid w:val="007B05C1"/>
    <w:rsid w:val="007B05FF"/>
    <w:rsid w:val="007B07F1"/>
    <w:rsid w:val="007B0D66"/>
    <w:rsid w:val="007B0D84"/>
    <w:rsid w:val="007B1060"/>
    <w:rsid w:val="007B1136"/>
    <w:rsid w:val="007B1361"/>
    <w:rsid w:val="007B1837"/>
    <w:rsid w:val="007B1874"/>
    <w:rsid w:val="007B1994"/>
    <w:rsid w:val="007B1F31"/>
    <w:rsid w:val="007B21CF"/>
    <w:rsid w:val="007B2206"/>
    <w:rsid w:val="007B22A4"/>
    <w:rsid w:val="007B22C1"/>
    <w:rsid w:val="007B2AFE"/>
    <w:rsid w:val="007B2C3B"/>
    <w:rsid w:val="007B2C3D"/>
    <w:rsid w:val="007B34E2"/>
    <w:rsid w:val="007B3515"/>
    <w:rsid w:val="007B3528"/>
    <w:rsid w:val="007B394D"/>
    <w:rsid w:val="007B3B37"/>
    <w:rsid w:val="007B3D98"/>
    <w:rsid w:val="007B3E82"/>
    <w:rsid w:val="007B3FD1"/>
    <w:rsid w:val="007B4032"/>
    <w:rsid w:val="007B4326"/>
    <w:rsid w:val="007B46E4"/>
    <w:rsid w:val="007B47CC"/>
    <w:rsid w:val="007B48C2"/>
    <w:rsid w:val="007B49C8"/>
    <w:rsid w:val="007B4AF9"/>
    <w:rsid w:val="007B4DB6"/>
    <w:rsid w:val="007B51B7"/>
    <w:rsid w:val="007B52A2"/>
    <w:rsid w:val="007B5A08"/>
    <w:rsid w:val="007B5C67"/>
    <w:rsid w:val="007B5EDC"/>
    <w:rsid w:val="007B5EE5"/>
    <w:rsid w:val="007B5FD5"/>
    <w:rsid w:val="007B662D"/>
    <w:rsid w:val="007B66B0"/>
    <w:rsid w:val="007B6A10"/>
    <w:rsid w:val="007B6B32"/>
    <w:rsid w:val="007B6FCA"/>
    <w:rsid w:val="007B6FCC"/>
    <w:rsid w:val="007B7219"/>
    <w:rsid w:val="007B7BD2"/>
    <w:rsid w:val="007B7C87"/>
    <w:rsid w:val="007C054C"/>
    <w:rsid w:val="007C066F"/>
    <w:rsid w:val="007C0C09"/>
    <w:rsid w:val="007C0C61"/>
    <w:rsid w:val="007C0D99"/>
    <w:rsid w:val="007C0E01"/>
    <w:rsid w:val="007C109A"/>
    <w:rsid w:val="007C1190"/>
    <w:rsid w:val="007C1200"/>
    <w:rsid w:val="007C1E3A"/>
    <w:rsid w:val="007C1FFC"/>
    <w:rsid w:val="007C233A"/>
    <w:rsid w:val="007C249D"/>
    <w:rsid w:val="007C25D9"/>
    <w:rsid w:val="007C2678"/>
    <w:rsid w:val="007C2774"/>
    <w:rsid w:val="007C28A1"/>
    <w:rsid w:val="007C2A3F"/>
    <w:rsid w:val="007C2A85"/>
    <w:rsid w:val="007C2DE3"/>
    <w:rsid w:val="007C37EE"/>
    <w:rsid w:val="007C3831"/>
    <w:rsid w:val="007C38B2"/>
    <w:rsid w:val="007C397E"/>
    <w:rsid w:val="007C3BF4"/>
    <w:rsid w:val="007C4132"/>
    <w:rsid w:val="007C4439"/>
    <w:rsid w:val="007C44D3"/>
    <w:rsid w:val="007C47E6"/>
    <w:rsid w:val="007C47E7"/>
    <w:rsid w:val="007C4AB7"/>
    <w:rsid w:val="007C4AD4"/>
    <w:rsid w:val="007C4F66"/>
    <w:rsid w:val="007C4FC9"/>
    <w:rsid w:val="007C50FA"/>
    <w:rsid w:val="007C5168"/>
    <w:rsid w:val="007C5EA1"/>
    <w:rsid w:val="007C5F62"/>
    <w:rsid w:val="007C607A"/>
    <w:rsid w:val="007C70BD"/>
    <w:rsid w:val="007C7181"/>
    <w:rsid w:val="007C729B"/>
    <w:rsid w:val="007C75F1"/>
    <w:rsid w:val="007C7723"/>
    <w:rsid w:val="007C782B"/>
    <w:rsid w:val="007C7A4D"/>
    <w:rsid w:val="007C7AAB"/>
    <w:rsid w:val="007C7B7C"/>
    <w:rsid w:val="007D008E"/>
    <w:rsid w:val="007D0637"/>
    <w:rsid w:val="007D0D95"/>
    <w:rsid w:val="007D1018"/>
    <w:rsid w:val="007D1041"/>
    <w:rsid w:val="007D1182"/>
    <w:rsid w:val="007D1582"/>
    <w:rsid w:val="007D1628"/>
    <w:rsid w:val="007D1665"/>
    <w:rsid w:val="007D1735"/>
    <w:rsid w:val="007D17F2"/>
    <w:rsid w:val="007D1815"/>
    <w:rsid w:val="007D186F"/>
    <w:rsid w:val="007D1958"/>
    <w:rsid w:val="007D1C00"/>
    <w:rsid w:val="007D1C58"/>
    <w:rsid w:val="007D1E33"/>
    <w:rsid w:val="007D207F"/>
    <w:rsid w:val="007D20FA"/>
    <w:rsid w:val="007D23AA"/>
    <w:rsid w:val="007D2DA3"/>
    <w:rsid w:val="007D2EBB"/>
    <w:rsid w:val="007D3496"/>
    <w:rsid w:val="007D350B"/>
    <w:rsid w:val="007D3795"/>
    <w:rsid w:val="007D3A3E"/>
    <w:rsid w:val="007D3BC6"/>
    <w:rsid w:val="007D3DF4"/>
    <w:rsid w:val="007D4152"/>
    <w:rsid w:val="007D4623"/>
    <w:rsid w:val="007D46EA"/>
    <w:rsid w:val="007D486E"/>
    <w:rsid w:val="007D4880"/>
    <w:rsid w:val="007D4A81"/>
    <w:rsid w:val="007D4A8A"/>
    <w:rsid w:val="007D4B65"/>
    <w:rsid w:val="007D4F73"/>
    <w:rsid w:val="007D5D7D"/>
    <w:rsid w:val="007D5D87"/>
    <w:rsid w:val="007D614A"/>
    <w:rsid w:val="007D642A"/>
    <w:rsid w:val="007D65EE"/>
    <w:rsid w:val="007D66C3"/>
    <w:rsid w:val="007D6778"/>
    <w:rsid w:val="007D6E7E"/>
    <w:rsid w:val="007D6F1F"/>
    <w:rsid w:val="007D7166"/>
    <w:rsid w:val="007D75DF"/>
    <w:rsid w:val="007D7611"/>
    <w:rsid w:val="007D795A"/>
    <w:rsid w:val="007D7A20"/>
    <w:rsid w:val="007D7AF9"/>
    <w:rsid w:val="007D7C05"/>
    <w:rsid w:val="007D7E0B"/>
    <w:rsid w:val="007D7EF5"/>
    <w:rsid w:val="007D7F97"/>
    <w:rsid w:val="007E00A5"/>
    <w:rsid w:val="007E032F"/>
    <w:rsid w:val="007E0592"/>
    <w:rsid w:val="007E07BC"/>
    <w:rsid w:val="007E0824"/>
    <w:rsid w:val="007E096C"/>
    <w:rsid w:val="007E0D9A"/>
    <w:rsid w:val="007E0EF2"/>
    <w:rsid w:val="007E1416"/>
    <w:rsid w:val="007E14F8"/>
    <w:rsid w:val="007E1732"/>
    <w:rsid w:val="007E1B26"/>
    <w:rsid w:val="007E1D84"/>
    <w:rsid w:val="007E1EA8"/>
    <w:rsid w:val="007E1F0B"/>
    <w:rsid w:val="007E211C"/>
    <w:rsid w:val="007E24FB"/>
    <w:rsid w:val="007E2509"/>
    <w:rsid w:val="007E2DF4"/>
    <w:rsid w:val="007E2FA4"/>
    <w:rsid w:val="007E33E7"/>
    <w:rsid w:val="007E3790"/>
    <w:rsid w:val="007E386A"/>
    <w:rsid w:val="007E38C7"/>
    <w:rsid w:val="007E3D1D"/>
    <w:rsid w:val="007E40F6"/>
    <w:rsid w:val="007E4197"/>
    <w:rsid w:val="007E4581"/>
    <w:rsid w:val="007E485C"/>
    <w:rsid w:val="007E48FD"/>
    <w:rsid w:val="007E4A4A"/>
    <w:rsid w:val="007E4A78"/>
    <w:rsid w:val="007E50FD"/>
    <w:rsid w:val="007E5105"/>
    <w:rsid w:val="007E5F71"/>
    <w:rsid w:val="007E5FFC"/>
    <w:rsid w:val="007E663D"/>
    <w:rsid w:val="007E66D3"/>
    <w:rsid w:val="007E6A84"/>
    <w:rsid w:val="007E6CFB"/>
    <w:rsid w:val="007E6D2C"/>
    <w:rsid w:val="007E6D97"/>
    <w:rsid w:val="007E6FFB"/>
    <w:rsid w:val="007E71BD"/>
    <w:rsid w:val="007E7392"/>
    <w:rsid w:val="007E7536"/>
    <w:rsid w:val="007E755C"/>
    <w:rsid w:val="007E76DE"/>
    <w:rsid w:val="007F0225"/>
    <w:rsid w:val="007F0274"/>
    <w:rsid w:val="007F02D0"/>
    <w:rsid w:val="007F05DC"/>
    <w:rsid w:val="007F0B05"/>
    <w:rsid w:val="007F0DE4"/>
    <w:rsid w:val="007F1153"/>
    <w:rsid w:val="007F138A"/>
    <w:rsid w:val="007F17AB"/>
    <w:rsid w:val="007F1996"/>
    <w:rsid w:val="007F19AC"/>
    <w:rsid w:val="007F1D3D"/>
    <w:rsid w:val="007F260A"/>
    <w:rsid w:val="007F26AF"/>
    <w:rsid w:val="007F274D"/>
    <w:rsid w:val="007F2ADC"/>
    <w:rsid w:val="007F2EE6"/>
    <w:rsid w:val="007F2FC7"/>
    <w:rsid w:val="007F3079"/>
    <w:rsid w:val="007F3178"/>
    <w:rsid w:val="007F31AF"/>
    <w:rsid w:val="007F38AA"/>
    <w:rsid w:val="007F3956"/>
    <w:rsid w:val="007F3BC0"/>
    <w:rsid w:val="007F3DB9"/>
    <w:rsid w:val="007F3F25"/>
    <w:rsid w:val="007F4117"/>
    <w:rsid w:val="007F4411"/>
    <w:rsid w:val="007F4687"/>
    <w:rsid w:val="007F4BA1"/>
    <w:rsid w:val="007F4F81"/>
    <w:rsid w:val="007F5141"/>
    <w:rsid w:val="007F545B"/>
    <w:rsid w:val="007F57D4"/>
    <w:rsid w:val="007F59B8"/>
    <w:rsid w:val="007F5B74"/>
    <w:rsid w:val="007F5CAD"/>
    <w:rsid w:val="007F5DE6"/>
    <w:rsid w:val="007F6101"/>
    <w:rsid w:val="007F61F3"/>
    <w:rsid w:val="007F674F"/>
    <w:rsid w:val="007F6A7B"/>
    <w:rsid w:val="007F6FAB"/>
    <w:rsid w:val="007F71C7"/>
    <w:rsid w:val="007F7230"/>
    <w:rsid w:val="007F77D9"/>
    <w:rsid w:val="007F7F17"/>
    <w:rsid w:val="007F7FC1"/>
    <w:rsid w:val="007F7FC2"/>
    <w:rsid w:val="00800161"/>
    <w:rsid w:val="00800234"/>
    <w:rsid w:val="008002A8"/>
    <w:rsid w:val="008005D8"/>
    <w:rsid w:val="00800611"/>
    <w:rsid w:val="008009D7"/>
    <w:rsid w:val="00800ACB"/>
    <w:rsid w:val="00800DE8"/>
    <w:rsid w:val="00800EA0"/>
    <w:rsid w:val="0080113D"/>
    <w:rsid w:val="008011D4"/>
    <w:rsid w:val="008014FC"/>
    <w:rsid w:val="0080192F"/>
    <w:rsid w:val="00801987"/>
    <w:rsid w:val="00801A05"/>
    <w:rsid w:val="00801DAD"/>
    <w:rsid w:val="008021A3"/>
    <w:rsid w:val="00802504"/>
    <w:rsid w:val="008026FC"/>
    <w:rsid w:val="00802804"/>
    <w:rsid w:val="00802935"/>
    <w:rsid w:val="00802A1C"/>
    <w:rsid w:val="00802A64"/>
    <w:rsid w:val="00802A78"/>
    <w:rsid w:val="008032C5"/>
    <w:rsid w:val="00803354"/>
    <w:rsid w:val="008034DE"/>
    <w:rsid w:val="008034FD"/>
    <w:rsid w:val="008036D5"/>
    <w:rsid w:val="0080375A"/>
    <w:rsid w:val="0080388F"/>
    <w:rsid w:val="00803A9A"/>
    <w:rsid w:val="00803BB7"/>
    <w:rsid w:val="00803DCB"/>
    <w:rsid w:val="00804292"/>
    <w:rsid w:val="0080436B"/>
    <w:rsid w:val="008043D9"/>
    <w:rsid w:val="00804679"/>
    <w:rsid w:val="00804795"/>
    <w:rsid w:val="008047DA"/>
    <w:rsid w:val="00804E68"/>
    <w:rsid w:val="00804F0D"/>
    <w:rsid w:val="00804FA7"/>
    <w:rsid w:val="00805056"/>
    <w:rsid w:val="00805304"/>
    <w:rsid w:val="008055F4"/>
    <w:rsid w:val="00805651"/>
    <w:rsid w:val="00805729"/>
    <w:rsid w:val="00805BD3"/>
    <w:rsid w:val="008060DD"/>
    <w:rsid w:val="00806129"/>
    <w:rsid w:val="008066E4"/>
    <w:rsid w:val="00806B36"/>
    <w:rsid w:val="00806B80"/>
    <w:rsid w:val="008073D5"/>
    <w:rsid w:val="00807A22"/>
    <w:rsid w:val="00807D61"/>
    <w:rsid w:val="00807EBD"/>
    <w:rsid w:val="0081015D"/>
    <w:rsid w:val="0081020D"/>
    <w:rsid w:val="008109EE"/>
    <w:rsid w:val="00810AA6"/>
    <w:rsid w:val="00810E36"/>
    <w:rsid w:val="008114EA"/>
    <w:rsid w:val="008118B0"/>
    <w:rsid w:val="008122AE"/>
    <w:rsid w:val="008125D2"/>
    <w:rsid w:val="00812E1B"/>
    <w:rsid w:val="00813263"/>
    <w:rsid w:val="00813345"/>
    <w:rsid w:val="00813512"/>
    <w:rsid w:val="00813ABC"/>
    <w:rsid w:val="00813BDE"/>
    <w:rsid w:val="00813BE8"/>
    <w:rsid w:val="00814229"/>
    <w:rsid w:val="008144A8"/>
    <w:rsid w:val="008144BD"/>
    <w:rsid w:val="00814531"/>
    <w:rsid w:val="00814689"/>
    <w:rsid w:val="00814991"/>
    <w:rsid w:val="00814AC4"/>
    <w:rsid w:val="00814F0B"/>
    <w:rsid w:val="008150DC"/>
    <w:rsid w:val="00815377"/>
    <w:rsid w:val="008153BB"/>
    <w:rsid w:val="00815400"/>
    <w:rsid w:val="00815760"/>
    <w:rsid w:val="00815834"/>
    <w:rsid w:val="008159D3"/>
    <w:rsid w:val="00815C7B"/>
    <w:rsid w:val="00815DC6"/>
    <w:rsid w:val="00815F0D"/>
    <w:rsid w:val="00815F8E"/>
    <w:rsid w:val="00816372"/>
    <w:rsid w:val="00816452"/>
    <w:rsid w:val="008165DC"/>
    <w:rsid w:val="00816867"/>
    <w:rsid w:val="008169E3"/>
    <w:rsid w:val="00816E55"/>
    <w:rsid w:val="008173C2"/>
    <w:rsid w:val="00817757"/>
    <w:rsid w:val="008177A8"/>
    <w:rsid w:val="00817873"/>
    <w:rsid w:val="00817A5F"/>
    <w:rsid w:val="00817B25"/>
    <w:rsid w:val="00817EB0"/>
    <w:rsid w:val="00817FC4"/>
    <w:rsid w:val="008201F3"/>
    <w:rsid w:val="008202DD"/>
    <w:rsid w:val="00820413"/>
    <w:rsid w:val="008206CF"/>
    <w:rsid w:val="008209D2"/>
    <w:rsid w:val="00820B16"/>
    <w:rsid w:val="00820BD6"/>
    <w:rsid w:val="00820E96"/>
    <w:rsid w:val="0082143F"/>
    <w:rsid w:val="008214D4"/>
    <w:rsid w:val="008216D4"/>
    <w:rsid w:val="0082197E"/>
    <w:rsid w:val="00821B64"/>
    <w:rsid w:val="00821CC0"/>
    <w:rsid w:val="00822109"/>
    <w:rsid w:val="00822222"/>
    <w:rsid w:val="008222EB"/>
    <w:rsid w:val="008225CE"/>
    <w:rsid w:val="0082281F"/>
    <w:rsid w:val="00822D50"/>
    <w:rsid w:val="0082310F"/>
    <w:rsid w:val="00823171"/>
    <w:rsid w:val="0082342F"/>
    <w:rsid w:val="008238EF"/>
    <w:rsid w:val="00823A96"/>
    <w:rsid w:val="00823B66"/>
    <w:rsid w:val="00823BDA"/>
    <w:rsid w:val="00823E9D"/>
    <w:rsid w:val="00824146"/>
    <w:rsid w:val="00824683"/>
    <w:rsid w:val="008247BB"/>
    <w:rsid w:val="008249D9"/>
    <w:rsid w:val="00824E00"/>
    <w:rsid w:val="00825110"/>
    <w:rsid w:val="00825852"/>
    <w:rsid w:val="00825AF7"/>
    <w:rsid w:val="00825D69"/>
    <w:rsid w:val="0082617E"/>
    <w:rsid w:val="0082680A"/>
    <w:rsid w:val="0082696B"/>
    <w:rsid w:val="00826A25"/>
    <w:rsid w:val="00826E59"/>
    <w:rsid w:val="00826EA5"/>
    <w:rsid w:val="00827209"/>
    <w:rsid w:val="00827565"/>
    <w:rsid w:val="00827C73"/>
    <w:rsid w:val="008300F3"/>
    <w:rsid w:val="008304AB"/>
    <w:rsid w:val="0083063F"/>
    <w:rsid w:val="00830993"/>
    <w:rsid w:val="00830A6A"/>
    <w:rsid w:val="00830C2D"/>
    <w:rsid w:val="00830D1F"/>
    <w:rsid w:val="00830FEA"/>
    <w:rsid w:val="008310B4"/>
    <w:rsid w:val="008310F0"/>
    <w:rsid w:val="008311B5"/>
    <w:rsid w:val="0083124C"/>
    <w:rsid w:val="00831328"/>
    <w:rsid w:val="00831378"/>
    <w:rsid w:val="008314E9"/>
    <w:rsid w:val="0083156B"/>
    <w:rsid w:val="008316DF"/>
    <w:rsid w:val="00831740"/>
    <w:rsid w:val="00831C1E"/>
    <w:rsid w:val="00831DD4"/>
    <w:rsid w:val="008320B9"/>
    <w:rsid w:val="008326AB"/>
    <w:rsid w:val="00832CB5"/>
    <w:rsid w:val="00833159"/>
    <w:rsid w:val="00833383"/>
    <w:rsid w:val="008334E3"/>
    <w:rsid w:val="00833532"/>
    <w:rsid w:val="00833889"/>
    <w:rsid w:val="00833C5D"/>
    <w:rsid w:val="00833C90"/>
    <w:rsid w:val="00833D63"/>
    <w:rsid w:val="00833E78"/>
    <w:rsid w:val="00833E7F"/>
    <w:rsid w:val="00834367"/>
    <w:rsid w:val="0083443E"/>
    <w:rsid w:val="00834674"/>
    <w:rsid w:val="008346B9"/>
    <w:rsid w:val="00834C18"/>
    <w:rsid w:val="008350B7"/>
    <w:rsid w:val="0083518D"/>
    <w:rsid w:val="00835211"/>
    <w:rsid w:val="008354C5"/>
    <w:rsid w:val="00835508"/>
    <w:rsid w:val="0083553B"/>
    <w:rsid w:val="0083583C"/>
    <w:rsid w:val="00835CC1"/>
    <w:rsid w:val="00835E32"/>
    <w:rsid w:val="00835F04"/>
    <w:rsid w:val="008361EE"/>
    <w:rsid w:val="0083624A"/>
    <w:rsid w:val="00836443"/>
    <w:rsid w:val="00836AF4"/>
    <w:rsid w:val="00836BF1"/>
    <w:rsid w:val="00837AA0"/>
    <w:rsid w:val="00837DDB"/>
    <w:rsid w:val="00840584"/>
    <w:rsid w:val="008408F5"/>
    <w:rsid w:val="00840921"/>
    <w:rsid w:val="00840B1C"/>
    <w:rsid w:val="00840B7B"/>
    <w:rsid w:val="00840DB9"/>
    <w:rsid w:val="008410B6"/>
    <w:rsid w:val="00841229"/>
    <w:rsid w:val="0084123D"/>
    <w:rsid w:val="00841456"/>
    <w:rsid w:val="00841929"/>
    <w:rsid w:val="00841B18"/>
    <w:rsid w:val="00841BC0"/>
    <w:rsid w:val="00841D51"/>
    <w:rsid w:val="0084201C"/>
    <w:rsid w:val="008421D5"/>
    <w:rsid w:val="008424AC"/>
    <w:rsid w:val="008430CB"/>
    <w:rsid w:val="008432EA"/>
    <w:rsid w:val="008432F9"/>
    <w:rsid w:val="0084379C"/>
    <w:rsid w:val="00843A31"/>
    <w:rsid w:val="00843B8B"/>
    <w:rsid w:val="00843DA6"/>
    <w:rsid w:val="00843EA3"/>
    <w:rsid w:val="00843EE0"/>
    <w:rsid w:val="008443CE"/>
    <w:rsid w:val="008443D1"/>
    <w:rsid w:val="00844613"/>
    <w:rsid w:val="00844653"/>
    <w:rsid w:val="0084465A"/>
    <w:rsid w:val="0084477C"/>
    <w:rsid w:val="00844859"/>
    <w:rsid w:val="00844FD0"/>
    <w:rsid w:val="00845311"/>
    <w:rsid w:val="008453EB"/>
    <w:rsid w:val="008455A5"/>
    <w:rsid w:val="008455F5"/>
    <w:rsid w:val="008456D0"/>
    <w:rsid w:val="0084575C"/>
    <w:rsid w:val="00845D17"/>
    <w:rsid w:val="00845F82"/>
    <w:rsid w:val="00846173"/>
    <w:rsid w:val="00846AD5"/>
    <w:rsid w:val="00846D4A"/>
    <w:rsid w:val="00846EF6"/>
    <w:rsid w:val="00847D04"/>
    <w:rsid w:val="00847D7D"/>
    <w:rsid w:val="0085003C"/>
    <w:rsid w:val="008508CD"/>
    <w:rsid w:val="00850974"/>
    <w:rsid w:val="008517D0"/>
    <w:rsid w:val="00851888"/>
    <w:rsid w:val="00851B99"/>
    <w:rsid w:val="0085203C"/>
    <w:rsid w:val="00852085"/>
    <w:rsid w:val="0085225B"/>
    <w:rsid w:val="00852A54"/>
    <w:rsid w:val="00852B6C"/>
    <w:rsid w:val="00853085"/>
    <w:rsid w:val="008532DD"/>
    <w:rsid w:val="0085331C"/>
    <w:rsid w:val="0085335F"/>
    <w:rsid w:val="00853728"/>
    <w:rsid w:val="00853744"/>
    <w:rsid w:val="008537F3"/>
    <w:rsid w:val="008538DC"/>
    <w:rsid w:val="00853C88"/>
    <w:rsid w:val="00853F81"/>
    <w:rsid w:val="0085408A"/>
    <w:rsid w:val="008543B3"/>
    <w:rsid w:val="00854B56"/>
    <w:rsid w:val="00854BEA"/>
    <w:rsid w:val="00854FCD"/>
    <w:rsid w:val="0085507C"/>
    <w:rsid w:val="0085530B"/>
    <w:rsid w:val="008555FD"/>
    <w:rsid w:val="00855608"/>
    <w:rsid w:val="00855661"/>
    <w:rsid w:val="00855731"/>
    <w:rsid w:val="00855782"/>
    <w:rsid w:val="008558C7"/>
    <w:rsid w:val="008559FB"/>
    <w:rsid w:val="00855ACE"/>
    <w:rsid w:val="00855DD8"/>
    <w:rsid w:val="008564A0"/>
    <w:rsid w:val="00856B08"/>
    <w:rsid w:val="00857052"/>
    <w:rsid w:val="008570CE"/>
    <w:rsid w:val="008573D6"/>
    <w:rsid w:val="00857621"/>
    <w:rsid w:val="008579E8"/>
    <w:rsid w:val="00857ADE"/>
    <w:rsid w:val="00857BAA"/>
    <w:rsid w:val="00857CDF"/>
    <w:rsid w:val="00857CF2"/>
    <w:rsid w:val="00857D94"/>
    <w:rsid w:val="00857DF4"/>
    <w:rsid w:val="00857E60"/>
    <w:rsid w:val="008601E0"/>
    <w:rsid w:val="0086026D"/>
    <w:rsid w:val="00860467"/>
    <w:rsid w:val="0086079D"/>
    <w:rsid w:val="00860885"/>
    <w:rsid w:val="0086136F"/>
    <w:rsid w:val="008615CD"/>
    <w:rsid w:val="00861844"/>
    <w:rsid w:val="00861A91"/>
    <w:rsid w:val="00861F71"/>
    <w:rsid w:val="008622F6"/>
    <w:rsid w:val="0086236D"/>
    <w:rsid w:val="008626BD"/>
    <w:rsid w:val="00862890"/>
    <w:rsid w:val="00862ABD"/>
    <w:rsid w:val="00862D09"/>
    <w:rsid w:val="00862D7C"/>
    <w:rsid w:val="00863151"/>
    <w:rsid w:val="008631B9"/>
    <w:rsid w:val="008637AE"/>
    <w:rsid w:val="00863894"/>
    <w:rsid w:val="008638B4"/>
    <w:rsid w:val="00863A34"/>
    <w:rsid w:val="00863AF6"/>
    <w:rsid w:val="00863D1F"/>
    <w:rsid w:val="008643FC"/>
    <w:rsid w:val="00864737"/>
    <w:rsid w:val="00864822"/>
    <w:rsid w:val="0086491B"/>
    <w:rsid w:val="008652FC"/>
    <w:rsid w:val="00865463"/>
    <w:rsid w:val="008655E6"/>
    <w:rsid w:val="00865BA6"/>
    <w:rsid w:val="00865F8F"/>
    <w:rsid w:val="00865FBD"/>
    <w:rsid w:val="00866155"/>
    <w:rsid w:val="008663F0"/>
    <w:rsid w:val="008669E4"/>
    <w:rsid w:val="00866E9F"/>
    <w:rsid w:val="00867408"/>
    <w:rsid w:val="008675B1"/>
    <w:rsid w:val="0086767D"/>
    <w:rsid w:val="00867718"/>
    <w:rsid w:val="00867E51"/>
    <w:rsid w:val="008701FC"/>
    <w:rsid w:val="008702B3"/>
    <w:rsid w:val="008702C0"/>
    <w:rsid w:val="00870416"/>
    <w:rsid w:val="0087093C"/>
    <w:rsid w:val="008709D4"/>
    <w:rsid w:val="00870D1E"/>
    <w:rsid w:val="00870D84"/>
    <w:rsid w:val="00870EC7"/>
    <w:rsid w:val="00870EFE"/>
    <w:rsid w:val="0087103E"/>
    <w:rsid w:val="00871082"/>
    <w:rsid w:val="008710EE"/>
    <w:rsid w:val="008712A9"/>
    <w:rsid w:val="008714F8"/>
    <w:rsid w:val="0087161F"/>
    <w:rsid w:val="008716B3"/>
    <w:rsid w:val="00871784"/>
    <w:rsid w:val="00871A06"/>
    <w:rsid w:val="00871E4E"/>
    <w:rsid w:val="00871EA1"/>
    <w:rsid w:val="00872079"/>
    <w:rsid w:val="00872183"/>
    <w:rsid w:val="008722AB"/>
    <w:rsid w:val="008722C1"/>
    <w:rsid w:val="00872657"/>
    <w:rsid w:val="00872712"/>
    <w:rsid w:val="00872944"/>
    <w:rsid w:val="00872A19"/>
    <w:rsid w:val="00872A38"/>
    <w:rsid w:val="00872ACB"/>
    <w:rsid w:val="00872B25"/>
    <w:rsid w:val="00872D6F"/>
    <w:rsid w:val="00872D91"/>
    <w:rsid w:val="00872F6A"/>
    <w:rsid w:val="00873176"/>
    <w:rsid w:val="008731CC"/>
    <w:rsid w:val="00873544"/>
    <w:rsid w:val="008735CE"/>
    <w:rsid w:val="00873826"/>
    <w:rsid w:val="0087399D"/>
    <w:rsid w:val="00873CCB"/>
    <w:rsid w:val="00873F69"/>
    <w:rsid w:val="00873FC7"/>
    <w:rsid w:val="008741B6"/>
    <w:rsid w:val="0087421A"/>
    <w:rsid w:val="00874279"/>
    <w:rsid w:val="00874413"/>
    <w:rsid w:val="008744A8"/>
    <w:rsid w:val="008748DC"/>
    <w:rsid w:val="00874975"/>
    <w:rsid w:val="0087586A"/>
    <w:rsid w:val="008758E7"/>
    <w:rsid w:val="00875AC2"/>
    <w:rsid w:val="00875D46"/>
    <w:rsid w:val="00875E99"/>
    <w:rsid w:val="008760D8"/>
    <w:rsid w:val="00876469"/>
    <w:rsid w:val="008764BA"/>
    <w:rsid w:val="008765B9"/>
    <w:rsid w:val="0087670C"/>
    <w:rsid w:val="0087677C"/>
    <w:rsid w:val="00876B1E"/>
    <w:rsid w:val="00876B99"/>
    <w:rsid w:val="00876F14"/>
    <w:rsid w:val="0087703D"/>
    <w:rsid w:val="0087722F"/>
    <w:rsid w:val="00877743"/>
    <w:rsid w:val="00877D00"/>
    <w:rsid w:val="00877DA2"/>
    <w:rsid w:val="00880511"/>
    <w:rsid w:val="0088086C"/>
    <w:rsid w:val="00880CA1"/>
    <w:rsid w:val="008819D1"/>
    <w:rsid w:val="00881CB7"/>
    <w:rsid w:val="00881E07"/>
    <w:rsid w:val="00881F54"/>
    <w:rsid w:val="008829AF"/>
    <w:rsid w:val="00882AA8"/>
    <w:rsid w:val="00882AC2"/>
    <w:rsid w:val="00882C93"/>
    <w:rsid w:val="00882CC0"/>
    <w:rsid w:val="00882D03"/>
    <w:rsid w:val="00882DDC"/>
    <w:rsid w:val="00882FCB"/>
    <w:rsid w:val="00883486"/>
    <w:rsid w:val="00883960"/>
    <w:rsid w:val="008845B8"/>
    <w:rsid w:val="00884869"/>
    <w:rsid w:val="00884888"/>
    <w:rsid w:val="00884938"/>
    <w:rsid w:val="00884C2B"/>
    <w:rsid w:val="00884EB1"/>
    <w:rsid w:val="00885155"/>
    <w:rsid w:val="0088540A"/>
    <w:rsid w:val="008859F6"/>
    <w:rsid w:val="00885AFF"/>
    <w:rsid w:val="008861DD"/>
    <w:rsid w:val="008863AC"/>
    <w:rsid w:val="00886814"/>
    <w:rsid w:val="008869AF"/>
    <w:rsid w:val="00886AFE"/>
    <w:rsid w:val="00886BD6"/>
    <w:rsid w:val="00886CA0"/>
    <w:rsid w:val="008871E1"/>
    <w:rsid w:val="00887495"/>
    <w:rsid w:val="008878A3"/>
    <w:rsid w:val="008878A6"/>
    <w:rsid w:val="00887D73"/>
    <w:rsid w:val="00887E56"/>
    <w:rsid w:val="008907AD"/>
    <w:rsid w:val="00890C9A"/>
    <w:rsid w:val="00890CAD"/>
    <w:rsid w:val="00890D6F"/>
    <w:rsid w:val="008911E2"/>
    <w:rsid w:val="0089131C"/>
    <w:rsid w:val="00891442"/>
    <w:rsid w:val="0089153A"/>
    <w:rsid w:val="00891631"/>
    <w:rsid w:val="00891660"/>
    <w:rsid w:val="00891874"/>
    <w:rsid w:val="00891947"/>
    <w:rsid w:val="00891C7F"/>
    <w:rsid w:val="00891EBC"/>
    <w:rsid w:val="00891F4D"/>
    <w:rsid w:val="00892415"/>
    <w:rsid w:val="0089246F"/>
    <w:rsid w:val="008924AF"/>
    <w:rsid w:val="00893265"/>
    <w:rsid w:val="00893665"/>
    <w:rsid w:val="008937CA"/>
    <w:rsid w:val="00893AA8"/>
    <w:rsid w:val="00894015"/>
    <w:rsid w:val="0089422B"/>
    <w:rsid w:val="008943B5"/>
    <w:rsid w:val="008946F3"/>
    <w:rsid w:val="00894729"/>
    <w:rsid w:val="00894A3E"/>
    <w:rsid w:val="00894DD8"/>
    <w:rsid w:val="0089511F"/>
    <w:rsid w:val="008951CD"/>
    <w:rsid w:val="008951FD"/>
    <w:rsid w:val="00895963"/>
    <w:rsid w:val="00895A3D"/>
    <w:rsid w:val="00895DC9"/>
    <w:rsid w:val="00896EF1"/>
    <w:rsid w:val="00897BD4"/>
    <w:rsid w:val="00897C19"/>
    <w:rsid w:val="00897FD4"/>
    <w:rsid w:val="008A0273"/>
    <w:rsid w:val="008A05C9"/>
    <w:rsid w:val="008A06B0"/>
    <w:rsid w:val="008A09E0"/>
    <w:rsid w:val="008A0A1B"/>
    <w:rsid w:val="008A0B62"/>
    <w:rsid w:val="008A0C0F"/>
    <w:rsid w:val="008A0C8C"/>
    <w:rsid w:val="008A0F62"/>
    <w:rsid w:val="008A12EA"/>
    <w:rsid w:val="008A1320"/>
    <w:rsid w:val="008A146E"/>
    <w:rsid w:val="008A166B"/>
    <w:rsid w:val="008A1956"/>
    <w:rsid w:val="008A1BAC"/>
    <w:rsid w:val="008A1C4F"/>
    <w:rsid w:val="008A1D20"/>
    <w:rsid w:val="008A1EB9"/>
    <w:rsid w:val="008A1EE2"/>
    <w:rsid w:val="008A1F3A"/>
    <w:rsid w:val="008A248B"/>
    <w:rsid w:val="008A29C5"/>
    <w:rsid w:val="008A2AF0"/>
    <w:rsid w:val="008A2B94"/>
    <w:rsid w:val="008A2E18"/>
    <w:rsid w:val="008A2E73"/>
    <w:rsid w:val="008A2EF8"/>
    <w:rsid w:val="008A3256"/>
    <w:rsid w:val="008A357B"/>
    <w:rsid w:val="008A3793"/>
    <w:rsid w:val="008A37F0"/>
    <w:rsid w:val="008A3A98"/>
    <w:rsid w:val="008A3AC1"/>
    <w:rsid w:val="008A4758"/>
    <w:rsid w:val="008A4E09"/>
    <w:rsid w:val="008A543D"/>
    <w:rsid w:val="008A558A"/>
    <w:rsid w:val="008A56F9"/>
    <w:rsid w:val="008A5B49"/>
    <w:rsid w:val="008A5C21"/>
    <w:rsid w:val="008A5D8B"/>
    <w:rsid w:val="008A5E21"/>
    <w:rsid w:val="008A6097"/>
    <w:rsid w:val="008A6469"/>
    <w:rsid w:val="008A6A6C"/>
    <w:rsid w:val="008A6DD8"/>
    <w:rsid w:val="008A6E4F"/>
    <w:rsid w:val="008A7295"/>
    <w:rsid w:val="008A7464"/>
    <w:rsid w:val="008A7913"/>
    <w:rsid w:val="008A79FD"/>
    <w:rsid w:val="008A7EFC"/>
    <w:rsid w:val="008B0061"/>
    <w:rsid w:val="008B0136"/>
    <w:rsid w:val="008B0355"/>
    <w:rsid w:val="008B0C32"/>
    <w:rsid w:val="008B0C6D"/>
    <w:rsid w:val="008B0EAE"/>
    <w:rsid w:val="008B107A"/>
    <w:rsid w:val="008B13AA"/>
    <w:rsid w:val="008B172A"/>
    <w:rsid w:val="008B17B5"/>
    <w:rsid w:val="008B18E9"/>
    <w:rsid w:val="008B1BFF"/>
    <w:rsid w:val="008B1D85"/>
    <w:rsid w:val="008B1DBD"/>
    <w:rsid w:val="008B1FA6"/>
    <w:rsid w:val="008B236A"/>
    <w:rsid w:val="008B245D"/>
    <w:rsid w:val="008B29DD"/>
    <w:rsid w:val="008B2A61"/>
    <w:rsid w:val="008B2B15"/>
    <w:rsid w:val="008B2E06"/>
    <w:rsid w:val="008B35DC"/>
    <w:rsid w:val="008B38AE"/>
    <w:rsid w:val="008B3A27"/>
    <w:rsid w:val="008B3A3B"/>
    <w:rsid w:val="008B3DD4"/>
    <w:rsid w:val="008B424F"/>
    <w:rsid w:val="008B4850"/>
    <w:rsid w:val="008B48E2"/>
    <w:rsid w:val="008B4BF5"/>
    <w:rsid w:val="008B4EBA"/>
    <w:rsid w:val="008B4FCE"/>
    <w:rsid w:val="008B534A"/>
    <w:rsid w:val="008B547E"/>
    <w:rsid w:val="008B566A"/>
    <w:rsid w:val="008B5781"/>
    <w:rsid w:val="008B58E6"/>
    <w:rsid w:val="008B5BDB"/>
    <w:rsid w:val="008B5D00"/>
    <w:rsid w:val="008B5EDD"/>
    <w:rsid w:val="008B5F74"/>
    <w:rsid w:val="008B607F"/>
    <w:rsid w:val="008B6FA4"/>
    <w:rsid w:val="008B701D"/>
    <w:rsid w:val="008B7323"/>
    <w:rsid w:val="008B7374"/>
    <w:rsid w:val="008B7492"/>
    <w:rsid w:val="008B7698"/>
    <w:rsid w:val="008B7759"/>
    <w:rsid w:val="008B7D50"/>
    <w:rsid w:val="008B7DAA"/>
    <w:rsid w:val="008B7FA9"/>
    <w:rsid w:val="008C0048"/>
    <w:rsid w:val="008C0D13"/>
    <w:rsid w:val="008C14A7"/>
    <w:rsid w:val="008C2271"/>
    <w:rsid w:val="008C231B"/>
    <w:rsid w:val="008C263B"/>
    <w:rsid w:val="008C2841"/>
    <w:rsid w:val="008C289D"/>
    <w:rsid w:val="008C2A64"/>
    <w:rsid w:val="008C2B3A"/>
    <w:rsid w:val="008C2DBF"/>
    <w:rsid w:val="008C390E"/>
    <w:rsid w:val="008C42FA"/>
    <w:rsid w:val="008C4451"/>
    <w:rsid w:val="008C4732"/>
    <w:rsid w:val="008C47A7"/>
    <w:rsid w:val="008C49D3"/>
    <w:rsid w:val="008C4C6F"/>
    <w:rsid w:val="008C4C77"/>
    <w:rsid w:val="008C4CB5"/>
    <w:rsid w:val="008C4E51"/>
    <w:rsid w:val="008C4E97"/>
    <w:rsid w:val="008C584D"/>
    <w:rsid w:val="008C5B36"/>
    <w:rsid w:val="008C5BB3"/>
    <w:rsid w:val="008C5F49"/>
    <w:rsid w:val="008C61A8"/>
    <w:rsid w:val="008C68D6"/>
    <w:rsid w:val="008C6942"/>
    <w:rsid w:val="008C6E64"/>
    <w:rsid w:val="008C704B"/>
    <w:rsid w:val="008C7305"/>
    <w:rsid w:val="008C7C57"/>
    <w:rsid w:val="008C7E1A"/>
    <w:rsid w:val="008C7EF4"/>
    <w:rsid w:val="008D028D"/>
    <w:rsid w:val="008D05D9"/>
    <w:rsid w:val="008D0709"/>
    <w:rsid w:val="008D0A88"/>
    <w:rsid w:val="008D1201"/>
    <w:rsid w:val="008D1410"/>
    <w:rsid w:val="008D15FD"/>
    <w:rsid w:val="008D29DB"/>
    <w:rsid w:val="008D2CB4"/>
    <w:rsid w:val="008D3061"/>
    <w:rsid w:val="008D381D"/>
    <w:rsid w:val="008D3CE8"/>
    <w:rsid w:val="008D3F35"/>
    <w:rsid w:val="008D40A0"/>
    <w:rsid w:val="008D40B6"/>
    <w:rsid w:val="008D4280"/>
    <w:rsid w:val="008D4354"/>
    <w:rsid w:val="008D4580"/>
    <w:rsid w:val="008D4773"/>
    <w:rsid w:val="008D49A5"/>
    <w:rsid w:val="008D4DDB"/>
    <w:rsid w:val="008D5031"/>
    <w:rsid w:val="008D538C"/>
    <w:rsid w:val="008D5401"/>
    <w:rsid w:val="008D5625"/>
    <w:rsid w:val="008D5851"/>
    <w:rsid w:val="008D5854"/>
    <w:rsid w:val="008D59F7"/>
    <w:rsid w:val="008D5C76"/>
    <w:rsid w:val="008D62E5"/>
    <w:rsid w:val="008D6A2A"/>
    <w:rsid w:val="008D6AE5"/>
    <w:rsid w:val="008D6BE7"/>
    <w:rsid w:val="008D6EE0"/>
    <w:rsid w:val="008D73CE"/>
    <w:rsid w:val="008D74D0"/>
    <w:rsid w:val="008D797F"/>
    <w:rsid w:val="008D7A28"/>
    <w:rsid w:val="008D7AC9"/>
    <w:rsid w:val="008D7BE9"/>
    <w:rsid w:val="008D7F6B"/>
    <w:rsid w:val="008E01D0"/>
    <w:rsid w:val="008E046B"/>
    <w:rsid w:val="008E0555"/>
    <w:rsid w:val="008E07E0"/>
    <w:rsid w:val="008E0978"/>
    <w:rsid w:val="008E0B3F"/>
    <w:rsid w:val="008E0EED"/>
    <w:rsid w:val="008E10C0"/>
    <w:rsid w:val="008E13AE"/>
    <w:rsid w:val="008E1480"/>
    <w:rsid w:val="008E14BE"/>
    <w:rsid w:val="008E14C3"/>
    <w:rsid w:val="008E18DA"/>
    <w:rsid w:val="008E1C19"/>
    <w:rsid w:val="008E1F6E"/>
    <w:rsid w:val="008E24A7"/>
    <w:rsid w:val="008E24CF"/>
    <w:rsid w:val="008E278A"/>
    <w:rsid w:val="008E2A07"/>
    <w:rsid w:val="008E2EF1"/>
    <w:rsid w:val="008E3145"/>
    <w:rsid w:val="008E351F"/>
    <w:rsid w:val="008E38DE"/>
    <w:rsid w:val="008E39E0"/>
    <w:rsid w:val="008E3CDB"/>
    <w:rsid w:val="008E3D35"/>
    <w:rsid w:val="008E3E85"/>
    <w:rsid w:val="008E4353"/>
    <w:rsid w:val="008E46F1"/>
    <w:rsid w:val="008E4D4B"/>
    <w:rsid w:val="008E4E36"/>
    <w:rsid w:val="008E4E76"/>
    <w:rsid w:val="008E4E85"/>
    <w:rsid w:val="008E4FBC"/>
    <w:rsid w:val="008E51B0"/>
    <w:rsid w:val="008E5279"/>
    <w:rsid w:val="008E5440"/>
    <w:rsid w:val="008E5A01"/>
    <w:rsid w:val="008E5A22"/>
    <w:rsid w:val="008E6039"/>
    <w:rsid w:val="008E60F8"/>
    <w:rsid w:val="008E64A3"/>
    <w:rsid w:val="008E658B"/>
    <w:rsid w:val="008E6703"/>
    <w:rsid w:val="008E6C23"/>
    <w:rsid w:val="008E715A"/>
    <w:rsid w:val="008E7249"/>
    <w:rsid w:val="008E727A"/>
    <w:rsid w:val="008E751E"/>
    <w:rsid w:val="008E7DE2"/>
    <w:rsid w:val="008E7E0C"/>
    <w:rsid w:val="008E7FC4"/>
    <w:rsid w:val="008F08CB"/>
    <w:rsid w:val="008F0A11"/>
    <w:rsid w:val="008F0B93"/>
    <w:rsid w:val="008F0BC9"/>
    <w:rsid w:val="008F0BF0"/>
    <w:rsid w:val="008F0F70"/>
    <w:rsid w:val="008F178C"/>
    <w:rsid w:val="008F19D0"/>
    <w:rsid w:val="008F19E3"/>
    <w:rsid w:val="008F1B8B"/>
    <w:rsid w:val="008F1CA3"/>
    <w:rsid w:val="008F1E71"/>
    <w:rsid w:val="008F223E"/>
    <w:rsid w:val="008F22C0"/>
    <w:rsid w:val="008F22EB"/>
    <w:rsid w:val="008F2387"/>
    <w:rsid w:val="008F2860"/>
    <w:rsid w:val="008F29C5"/>
    <w:rsid w:val="008F3116"/>
    <w:rsid w:val="008F31B5"/>
    <w:rsid w:val="008F3750"/>
    <w:rsid w:val="008F38E6"/>
    <w:rsid w:val="008F39F5"/>
    <w:rsid w:val="008F3A25"/>
    <w:rsid w:val="008F3A2B"/>
    <w:rsid w:val="008F3EBC"/>
    <w:rsid w:val="008F409E"/>
    <w:rsid w:val="008F4624"/>
    <w:rsid w:val="008F49B1"/>
    <w:rsid w:val="008F4B3E"/>
    <w:rsid w:val="008F5231"/>
    <w:rsid w:val="008F5285"/>
    <w:rsid w:val="008F52FA"/>
    <w:rsid w:val="008F5401"/>
    <w:rsid w:val="008F54B1"/>
    <w:rsid w:val="008F5665"/>
    <w:rsid w:val="008F5880"/>
    <w:rsid w:val="008F5ACD"/>
    <w:rsid w:val="008F5BE8"/>
    <w:rsid w:val="008F5CED"/>
    <w:rsid w:val="008F5FBE"/>
    <w:rsid w:val="008F60FF"/>
    <w:rsid w:val="008F62D5"/>
    <w:rsid w:val="008F6305"/>
    <w:rsid w:val="008F654F"/>
    <w:rsid w:val="008F66A5"/>
    <w:rsid w:val="008F69B9"/>
    <w:rsid w:val="008F6BFA"/>
    <w:rsid w:val="008F6E16"/>
    <w:rsid w:val="008F7021"/>
    <w:rsid w:val="008F74D2"/>
    <w:rsid w:val="008F75C8"/>
    <w:rsid w:val="008F7711"/>
    <w:rsid w:val="008F78DC"/>
    <w:rsid w:val="008F7F0F"/>
    <w:rsid w:val="0090027C"/>
    <w:rsid w:val="00900586"/>
    <w:rsid w:val="00900F9C"/>
    <w:rsid w:val="009011CB"/>
    <w:rsid w:val="0090160C"/>
    <w:rsid w:val="0090182A"/>
    <w:rsid w:val="009018A8"/>
    <w:rsid w:val="00901B35"/>
    <w:rsid w:val="00901D1A"/>
    <w:rsid w:val="00901E33"/>
    <w:rsid w:val="00902298"/>
    <w:rsid w:val="0090229A"/>
    <w:rsid w:val="00902411"/>
    <w:rsid w:val="00902893"/>
    <w:rsid w:val="00902967"/>
    <w:rsid w:val="00902BCC"/>
    <w:rsid w:val="00902CDA"/>
    <w:rsid w:val="00902D00"/>
    <w:rsid w:val="00902F08"/>
    <w:rsid w:val="0090307E"/>
    <w:rsid w:val="00903286"/>
    <w:rsid w:val="009032B3"/>
    <w:rsid w:val="009032E6"/>
    <w:rsid w:val="00903881"/>
    <w:rsid w:val="009038D2"/>
    <w:rsid w:val="00903BD2"/>
    <w:rsid w:val="00903DD4"/>
    <w:rsid w:val="0090421C"/>
    <w:rsid w:val="00904226"/>
    <w:rsid w:val="009042E4"/>
    <w:rsid w:val="00904353"/>
    <w:rsid w:val="00904417"/>
    <w:rsid w:val="0090447A"/>
    <w:rsid w:val="00904530"/>
    <w:rsid w:val="009048DA"/>
    <w:rsid w:val="00904AC2"/>
    <w:rsid w:val="00904C91"/>
    <w:rsid w:val="00904E94"/>
    <w:rsid w:val="00905260"/>
    <w:rsid w:val="00905488"/>
    <w:rsid w:val="00905603"/>
    <w:rsid w:val="00905848"/>
    <w:rsid w:val="009058B0"/>
    <w:rsid w:val="009058CF"/>
    <w:rsid w:val="00905BCA"/>
    <w:rsid w:val="00905CF8"/>
    <w:rsid w:val="00905D03"/>
    <w:rsid w:val="00905EEC"/>
    <w:rsid w:val="00906210"/>
    <w:rsid w:val="00906268"/>
    <w:rsid w:val="009064D3"/>
    <w:rsid w:val="009069B3"/>
    <w:rsid w:val="00906B2F"/>
    <w:rsid w:val="00906C6A"/>
    <w:rsid w:val="00906F58"/>
    <w:rsid w:val="009070A7"/>
    <w:rsid w:val="009071BF"/>
    <w:rsid w:val="009071D0"/>
    <w:rsid w:val="00907FB2"/>
    <w:rsid w:val="009103D3"/>
    <w:rsid w:val="0091120B"/>
    <w:rsid w:val="0091143C"/>
    <w:rsid w:val="009117E3"/>
    <w:rsid w:val="00911A97"/>
    <w:rsid w:val="00911F36"/>
    <w:rsid w:val="0091211A"/>
    <w:rsid w:val="00912263"/>
    <w:rsid w:val="00912C2C"/>
    <w:rsid w:val="009131D0"/>
    <w:rsid w:val="0091321E"/>
    <w:rsid w:val="00913406"/>
    <w:rsid w:val="00913990"/>
    <w:rsid w:val="00913B03"/>
    <w:rsid w:val="00913B07"/>
    <w:rsid w:val="00913DB2"/>
    <w:rsid w:val="00913E1C"/>
    <w:rsid w:val="00913F0A"/>
    <w:rsid w:val="009142EC"/>
    <w:rsid w:val="00914301"/>
    <w:rsid w:val="00914709"/>
    <w:rsid w:val="009148BB"/>
    <w:rsid w:val="00914D13"/>
    <w:rsid w:val="0091538A"/>
    <w:rsid w:val="009154D1"/>
    <w:rsid w:val="0091574B"/>
    <w:rsid w:val="00915812"/>
    <w:rsid w:val="00915BCA"/>
    <w:rsid w:val="00915BCC"/>
    <w:rsid w:val="00915CAC"/>
    <w:rsid w:val="00915F0A"/>
    <w:rsid w:val="00915FFE"/>
    <w:rsid w:val="00916039"/>
    <w:rsid w:val="009161D3"/>
    <w:rsid w:val="00916293"/>
    <w:rsid w:val="009166A6"/>
    <w:rsid w:val="00916BAD"/>
    <w:rsid w:val="00916E1E"/>
    <w:rsid w:val="00917184"/>
    <w:rsid w:val="00917282"/>
    <w:rsid w:val="00917349"/>
    <w:rsid w:val="009173F9"/>
    <w:rsid w:val="00917866"/>
    <w:rsid w:val="009178A4"/>
    <w:rsid w:val="00917A1B"/>
    <w:rsid w:val="00917ACE"/>
    <w:rsid w:val="00917BF5"/>
    <w:rsid w:val="00917C44"/>
    <w:rsid w:val="00920140"/>
    <w:rsid w:val="009202D5"/>
    <w:rsid w:val="00920452"/>
    <w:rsid w:val="009213DB"/>
    <w:rsid w:val="0092194A"/>
    <w:rsid w:val="00921A37"/>
    <w:rsid w:val="00921BF8"/>
    <w:rsid w:val="00921D2B"/>
    <w:rsid w:val="00921DBD"/>
    <w:rsid w:val="00922993"/>
    <w:rsid w:val="00922F42"/>
    <w:rsid w:val="009230F6"/>
    <w:rsid w:val="0092392C"/>
    <w:rsid w:val="00923B61"/>
    <w:rsid w:val="00923D87"/>
    <w:rsid w:val="00924250"/>
    <w:rsid w:val="00924371"/>
    <w:rsid w:val="009243C1"/>
    <w:rsid w:val="00924AF9"/>
    <w:rsid w:val="00924CA1"/>
    <w:rsid w:val="00924E40"/>
    <w:rsid w:val="0092578B"/>
    <w:rsid w:val="00925C99"/>
    <w:rsid w:val="00926148"/>
    <w:rsid w:val="0092640B"/>
    <w:rsid w:val="00926730"/>
    <w:rsid w:val="00926B2D"/>
    <w:rsid w:val="00926E0C"/>
    <w:rsid w:val="0092748F"/>
    <w:rsid w:val="00927572"/>
    <w:rsid w:val="009278D6"/>
    <w:rsid w:val="009279FE"/>
    <w:rsid w:val="00927BCD"/>
    <w:rsid w:val="00930938"/>
    <w:rsid w:val="00930C5F"/>
    <w:rsid w:val="00930D75"/>
    <w:rsid w:val="00931179"/>
    <w:rsid w:val="00931560"/>
    <w:rsid w:val="009317A0"/>
    <w:rsid w:val="0093197F"/>
    <w:rsid w:val="00931B46"/>
    <w:rsid w:val="00931CA3"/>
    <w:rsid w:val="00931CCB"/>
    <w:rsid w:val="0093212B"/>
    <w:rsid w:val="00932304"/>
    <w:rsid w:val="00932850"/>
    <w:rsid w:val="0093293C"/>
    <w:rsid w:val="0093295A"/>
    <w:rsid w:val="00932A1E"/>
    <w:rsid w:val="00932AAD"/>
    <w:rsid w:val="00932B5E"/>
    <w:rsid w:val="00932D25"/>
    <w:rsid w:val="00933209"/>
    <w:rsid w:val="00933527"/>
    <w:rsid w:val="0093393C"/>
    <w:rsid w:val="009339FE"/>
    <w:rsid w:val="00933E54"/>
    <w:rsid w:val="009342A8"/>
    <w:rsid w:val="009343AA"/>
    <w:rsid w:val="00934651"/>
    <w:rsid w:val="00934791"/>
    <w:rsid w:val="00934815"/>
    <w:rsid w:val="0093482C"/>
    <w:rsid w:val="00934857"/>
    <w:rsid w:val="0093496E"/>
    <w:rsid w:val="00934F37"/>
    <w:rsid w:val="0093516D"/>
    <w:rsid w:val="0093556A"/>
    <w:rsid w:val="009357B4"/>
    <w:rsid w:val="00935D68"/>
    <w:rsid w:val="00935E09"/>
    <w:rsid w:val="00936AED"/>
    <w:rsid w:val="00936E0A"/>
    <w:rsid w:val="00936E15"/>
    <w:rsid w:val="0093742F"/>
    <w:rsid w:val="0093758B"/>
    <w:rsid w:val="00937680"/>
    <w:rsid w:val="00937A4F"/>
    <w:rsid w:val="00937A7D"/>
    <w:rsid w:val="00937B92"/>
    <w:rsid w:val="00937D9D"/>
    <w:rsid w:val="00937EEC"/>
    <w:rsid w:val="0094021B"/>
    <w:rsid w:val="00940375"/>
    <w:rsid w:val="009403E2"/>
    <w:rsid w:val="00940751"/>
    <w:rsid w:val="00940810"/>
    <w:rsid w:val="00940823"/>
    <w:rsid w:val="00940BF6"/>
    <w:rsid w:val="009411D6"/>
    <w:rsid w:val="009412A4"/>
    <w:rsid w:val="00941533"/>
    <w:rsid w:val="00941594"/>
    <w:rsid w:val="009417D6"/>
    <w:rsid w:val="00941951"/>
    <w:rsid w:val="00941A35"/>
    <w:rsid w:val="00941C20"/>
    <w:rsid w:val="00942193"/>
    <w:rsid w:val="009429BC"/>
    <w:rsid w:val="00942FA3"/>
    <w:rsid w:val="009430AA"/>
    <w:rsid w:val="009431A4"/>
    <w:rsid w:val="00943430"/>
    <w:rsid w:val="00943687"/>
    <w:rsid w:val="00943896"/>
    <w:rsid w:val="00944149"/>
    <w:rsid w:val="0094499A"/>
    <w:rsid w:val="009454C1"/>
    <w:rsid w:val="009457B8"/>
    <w:rsid w:val="00945B1B"/>
    <w:rsid w:val="00945DBF"/>
    <w:rsid w:val="0094604D"/>
    <w:rsid w:val="0094607B"/>
    <w:rsid w:val="00946261"/>
    <w:rsid w:val="00946387"/>
    <w:rsid w:val="009464C2"/>
    <w:rsid w:val="00946616"/>
    <w:rsid w:val="0094697A"/>
    <w:rsid w:val="00946C56"/>
    <w:rsid w:val="00946F0A"/>
    <w:rsid w:val="0094720B"/>
    <w:rsid w:val="00947564"/>
    <w:rsid w:val="00947777"/>
    <w:rsid w:val="00947E07"/>
    <w:rsid w:val="009500C7"/>
    <w:rsid w:val="009503AB"/>
    <w:rsid w:val="009505C3"/>
    <w:rsid w:val="00950932"/>
    <w:rsid w:val="00950DB5"/>
    <w:rsid w:val="009513FD"/>
    <w:rsid w:val="00951AC8"/>
    <w:rsid w:val="00951EB1"/>
    <w:rsid w:val="00952080"/>
    <w:rsid w:val="00952520"/>
    <w:rsid w:val="009525C6"/>
    <w:rsid w:val="009525E5"/>
    <w:rsid w:val="00952769"/>
    <w:rsid w:val="00952C37"/>
    <w:rsid w:val="00952C46"/>
    <w:rsid w:val="00952D1A"/>
    <w:rsid w:val="00952F9D"/>
    <w:rsid w:val="0095300C"/>
    <w:rsid w:val="009534C0"/>
    <w:rsid w:val="009534E2"/>
    <w:rsid w:val="00953570"/>
    <w:rsid w:val="009535FC"/>
    <w:rsid w:val="0095360F"/>
    <w:rsid w:val="00953A2B"/>
    <w:rsid w:val="00953C58"/>
    <w:rsid w:val="00954115"/>
    <w:rsid w:val="00954611"/>
    <w:rsid w:val="00954716"/>
    <w:rsid w:val="00954919"/>
    <w:rsid w:val="00954AAC"/>
    <w:rsid w:val="00954C92"/>
    <w:rsid w:val="009553BF"/>
    <w:rsid w:val="0095564F"/>
    <w:rsid w:val="00955C13"/>
    <w:rsid w:val="00955C15"/>
    <w:rsid w:val="00956093"/>
    <w:rsid w:val="00956151"/>
    <w:rsid w:val="00956465"/>
    <w:rsid w:val="009564A3"/>
    <w:rsid w:val="00956571"/>
    <w:rsid w:val="00956A5F"/>
    <w:rsid w:val="00956AF2"/>
    <w:rsid w:val="00957EB0"/>
    <w:rsid w:val="00960A35"/>
    <w:rsid w:val="009610C2"/>
    <w:rsid w:val="009612FE"/>
    <w:rsid w:val="009613B1"/>
    <w:rsid w:val="009613B8"/>
    <w:rsid w:val="00961B38"/>
    <w:rsid w:val="00961CC0"/>
    <w:rsid w:val="00961CED"/>
    <w:rsid w:val="00961DB1"/>
    <w:rsid w:val="00961DF9"/>
    <w:rsid w:val="00961E3D"/>
    <w:rsid w:val="00961F02"/>
    <w:rsid w:val="009625DE"/>
    <w:rsid w:val="00962821"/>
    <w:rsid w:val="00962EB3"/>
    <w:rsid w:val="009631DC"/>
    <w:rsid w:val="00963304"/>
    <w:rsid w:val="009634F0"/>
    <w:rsid w:val="009636DA"/>
    <w:rsid w:val="00963922"/>
    <w:rsid w:val="00963B22"/>
    <w:rsid w:val="00963C0B"/>
    <w:rsid w:val="00963C20"/>
    <w:rsid w:val="0096435B"/>
    <w:rsid w:val="009643D9"/>
    <w:rsid w:val="009645B4"/>
    <w:rsid w:val="00965056"/>
    <w:rsid w:val="0096507C"/>
    <w:rsid w:val="009652C1"/>
    <w:rsid w:val="009653CA"/>
    <w:rsid w:val="009654C6"/>
    <w:rsid w:val="00965967"/>
    <w:rsid w:val="0096610C"/>
    <w:rsid w:val="00966D80"/>
    <w:rsid w:val="00966F4B"/>
    <w:rsid w:val="0096724E"/>
    <w:rsid w:val="009673B4"/>
    <w:rsid w:val="0096752E"/>
    <w:rsid w:val="00967B3A"/>
    <w:rsid w:val="00967E0C"/>
    <w:rsid w:val="00967F47"/>
    <w:rsid w:val="00970250"/>
    <w:rsid w:val="00970263"/>
    <w:rsid w:val="0097060E"/>
    <w:rsid w:val="00970BA8"/>
    <w:rsid w:val="00970C8E"/>
    <w:rsid w:val="00970C9B"/>
    <w:rsid w:val="00970D40"/>
    <w:rsid w:val="00970EBF"/>
    <w:rsid w:val="00971079"/>
    <w:rsid w:val="009712AE"/>
    <w:rsid w:val="00971600"/>
    <w:rsid w:val="0097183F"/>
    <w:rsid w:val="009718A7"/>
    <w:rsid w:val="009724B0"/>
    <w:rsid w:val="009724F4"/>
    <w:rsid w:val="0097292D"/>
    <w:rsid w:val="00972A1A"/>
    <w:rsid w:val="00972A5E"/>
    <w:rsid w:val="00972BA7"/>
    <w:rsid w:val="00972CB6"/>
    <w:rsid w:val="009739C7"/>
    <w:rsid w:val="009747F5"/>
    <w:rsid w:val="00974889"/>
    <w:rsid w:val="00974999"/>
    <w:rsid w:val="00974B1A"/>
    <w:rsid w:val="00974CE4"/>
    <w:rsid w:val="00974D2E"/>
    <w:rsid w:val="00974EC9"/>
    <w:rsid w:val="0097505F"/>
    <w:rsid w:val="00975279"/>
    <w:rsid w:val="0097544D"/>
    <w:rsid w:val="0097548E"/>
    <w:rsid w:val="009754BF"/>
    <w:rsid w:val="009754E0"/>
    <w:rsid w:val="00975DE4"/>
    <w:rsid w:val="00975EF6"/>
    <w:rsid w:val="009760D4"/>
    <w:rsid w:val="00976646"/>
    <w:rsid w:val="0097691E"/>
    <w:rsid w:val="009769EA"/>
    <w:rsid w:val="00976D69"/>
    <w:rsid w:val="009771CF"/>
    <w:rsid w:val="009773C4"/>
    <w:rsid w:val="00977434"/>
    <w:rsid w:val="00977445"/>
    <w:rsid w:val="009779F1"/>
    <w:rsid w:val="00977C1E"/>
    <w:rsid w:val="00977C68"/>
    <w:rsid w:val="00977F41"/>
    <w:rsid w:val="009800DD"/>
    <w:rsid w:val="0098052D"/>
    <w:rsid w:val="00980B82"/>
    <w:rsid w:val="00980CFC"/>
    <w:rsid w:val="00980F36"/>
    <w:rsid w:val="00981124"/>
    <w:rsid w:val="009813AF"/>
    <w:rsid w:val="009815E3"/>
    <w:rsid w:val="00981877"/>
    <w:rsid w:val="009818EA"/>
    <w:rsid w:val="00981BB1"/>
    <w:rsid w:val="00981D30"/>
    <w:rsid w:val="00981EAC"/>
    <w:rsid w:val="00982022"/>
    <w:rsid w:val="00982124"/>
    <w:rsid w:val="00982268"/>
    <w:rsid w:val="009822D4"/>
    <w:rsid w:val="0098257B"/>
    <w:rsid w:val="0098274D"/>
    <w:rsid w:val="009828D5"/>
    <w:rsid w:val="00982CA6"/>
    <w:rsid w:val="00983032"/>
    <w:rsid w:val="00983201"/>
    <w:rsid w:val="00983983"/>
    <w:rsid w:val="009839B1"/>
    <w:rsid w:val="00983D5F"/>
    <w:rsid w:val="0098421A"/>
    <w:rsid w:val="00984A0C"/>
    <w:rsid w:val="0098541F"/>
    <w:rsid w:val="009858AB"/>
    <w:rsid w:val="009858E9"/>
    <w:rsid w:val="009858EE"/>
    <w:rsid w:val="00985FE9"/>
    <w:rsid w:val="0098642E"/>
    <w:rsid w:val="009865EB"/>
    <w:rsid w:val="00986815"/>
    <w:rsid w:val="00986C32"/>
    <w:rsid w:val="00986CB6"/>
    <w:rsid w:val="00986DA7"/>
    <w:rsid w:val="00987154"/>
    <w:rsid w:val="00987553"/>
    <w:rsid w:val="0098762A"/>
    <w:rsid w:val="00987D75"/>
    <w:rsid w:val="0098F9F1"/>
    <w:rsid w:val="009901F0"/>
    <w:rsid w:val="0099043A"/>
    <w:rsid w:val="009908CC"/>
    <w:rsid w:val="0099096F"/>
    <w:rsid w:val="00990A2F"/>
    <w:rsid w:val="00990AB3"/>
    <w:rsid w:val="00990BAE"/>
    <w:rsid w:val="00990D33"/>
    <w:rsid w:val="00991118"/>
    <w:rsid w:val="009918E0"/>
    <w:rsid w:val="009919FC"/>
    <w:rsid w:val="00991AD4"/>
    <w:rsid w:val="00991B9A"/>
    <w:rsid w:val="00991DBD"/>
    <w:rsid w:val="00991F00"/>
    <w:rsid w:val="00991FA8"/>
    <w:rsid w:val="0099201B"/>
    <w:rsid w:val="0099230D"/>
    <w:rsid w:val="009924AD"/>
    <w:rsid w:val="00992641"/>
    <w:rsid w:val="00992804"/>
    <w:rsid w:val="00992A24"/>
    <w:rsid w:val="00992C1C"/>
    <w:rsid w:val="00992F4B"/>
    <w:rsid w:val="00992FBA"/>
    <w:rsid w:val="00993029"/>
    <w:rsid w:val="009936E8"/>
    <w:rsid w:val="009937FD"/>
    <w:rsid w:val="00993DD5"/>
    <w:rsid w:val="00993F4D"/>
    <w:rsid w:val="00993F54"/>
    <w:rsid w:val="0099423A"/>
    <w:rsid w:val="00994460"/>
    <w:rsid w:val="009945D1"/>
    <w:rsid w:val="0099473F"/>
    <w:rsid w:val="009953E5"/>
    <w:rsid w:val="009955D6"/>
    <w:rsid w:val="00995883"/>
    <w:rsid w:val="00995A8A"/>
    <w:rsid w:val="00995B90"/>
    <w:rsid w:val="0099624B"/>
    <w:rsid w:val="009966EC"/>
    <w:rsid w:val="00996A1C"/>
    <w:rsid w:val="00996BD3"/>
    <w:rsid w:val="00996C18"/>
    <w:rsid w:val="009971F3"/>
    <w:rsid w:val="00997801"/>
    <w:rsid w:val="00997807"/>
    <w:rsid w:val="00997A47"/>
    <w:rsid w:val="00997A52"/>
    <w:rsid w:val="00997A9F"/>
    <w:rsid w:val="00997B07"/>
    <w:rsid w:val="00997DB1"/>
    <w:rsid w:val="00997DF5"/>
    <w:rsid w:val="00997E28"/>
    <w:rsid w:val="00997EDE"/>
    <w:rsid w:val="009A0042"/>
    <w:rsid w:val="009A008B"/>
    <w:rsid w:val="009A0099"/>
    <w:rsid w:val="009A0A45"/>
    <w:rsid w:val="009A0B73"/>
    <w:rsid w:val="009A0F3E"/>
    <w:rsid w:val="009A10E0"/>
    <w:rsid w:val="009A112F"/>
    <w:rsid w:val="009A12B0"/>
    <w:rsid w:val="009A12C0"/>
    <w:rsid w:val="009A1370"/>
    <w:rsid w:val="009A2151"/>
    <w:rsid w:val="009A215A"/>
    <w:rsid w:val="009A21B3"/>
    <w:rsid w:val="009A230F"/>
    <w:rsid w:val="009A2401"/>
    <w:rsid w:val="009A2505"/>
    <w:rsid w:val="009A251B"/>
    <w:rsid w:val="009A2CB9"/>
    <w:rsid w:val="009A31D2"/>
    <w:rsid w:val="009A322F"/>
    <w:rsid w:val="009A32B2"/>
    <w:rsid w:val="009A3581"/>
    <w:rsid w:val="009A3842"/>
    <w:rsid w:val="009A3CA2"/>
    <w:rsid w:val="009A3DD2"/>
    <w:rsid w:val="009A4722"/>
    <w:rsid w:val="009A4807"/>
    <w:rsid w:val="009A4D81"/>
    <w:rsid w:val="009A4DEE"/>
    <w:rsid w:val="009A5068"/>
    <w:rsid w:val="009A555B"/>
    <w:rsid w:val="009A5C57"/>
    <w:rsid w:val="009A614A"/>
    <w:rsid w:val="009A62A8"/>
    <w:rsid w:val="009A696D"/>
    <w:rsid w:val="009A6AA3"/>
    <w:rsid w:val="009A6D5E"/>
    <w:rsid w:val="009A6D7C"/>
    <w:rsid w:val="009A704A"/>
    <w:rsid w:val="009A7207"/>
    <w:rsid w:val="009A7647"/>
    <w:rsid w:val="009A7A25"/>
    <w:rsid w:val="009A7B56"/>
    <w:rsid w:val="009A7C43"/>
    <w:rsid w:val="009AA05D"/>
    <w:rsid w:val="009B021A"/>
    <w:rsid w:val="009B0E3C"/>
    <w:rsid w:val="009B1172"/>
    <w:rsid w:val="009B1269"/>
    <w:rsid w:val="009B14DC"/>
    <w:rsid w:val="009B1A6F"/>
    <w:rsid w:val="009B1A8F"/>
    <w:rsid w:val="009B2219"/>
    <w:rsid w:val="009B2526"/>
    <w:rsid w:val="009B280D"/>
    <w:rsid w:val="009B2CA5"/>
    <w:rsid w:val="009B2EB1"/>
    <w:rsid w:val="009B2F31"/>
    <w:rsid w:val="009B308C"/>
    <w:rsid w:val="009B3347"/>
    <w:rsid w:val="009B3516"/>
    <w:rsid w:val="009B36DE"/>
    <w:rsid w:val="009B3C96"/>
    <w:rsid w:val="009B41A1"/>
    <w:rsid w:val="009B42E2"/>
    <w:rsid w:val="009B449D"/>
    <w:rsid w:val="009B45DF"/>
    <w:rsid w:val="009B49F1"/>
    <w:rsid w:val="009B4B04"/>
    <w:rsid w:val="009B4E31"/>
    <w:rsid w:val="009B5028"/>
    <w:rsid w:val="009B50FC"/>
    <w:rsid w:val="009B557F"/>
    <w:rsid w:val="009B5AEE"/>
    <w:rsid w:val="009B5C6B"/>
    <w:rsid w:val="009B5EA7"/>
    <w:rsid w:val="009B5F4E"/>
    <w:rsid w:val="009B6086"/>
    <w:rsid w:val="009B6483"/>
    <w:rsid w:val="009B653A"/>
    <w:rsid w:val="009B6B2D"/>
    <w:rsid w:val="009B6D11"/>
    <w:rsid w:val="009B70D0"/>
    <w:rsid w:val="009B7234"/>
    <w:rsid w:val="009B74AE"/>
    <w:rsid w:val="009B76EE"/>
    <w:rsid w:val="009B774E"/>
    <w:rsid w:val="009B77E2"/>
    <w:rsid w:val="009B791C"/>
    <w:rsid w:val="009B7B80"/>
    <w:rsid w:val="009B7BAE"/>
    <w:rsid w:val="009B7D5E"/>
    <w:rsid w:val="009B7F49"/>
    <w:rsid w:val="009C083F"/>
    <w:rsid w:val="009C0844"/>
    <w:rsid w:val="009C11D5"/>
    <w:rsid w:val="009C15A6"/>
    <w:rsid w:val="009C1B7B"/>
    <w:rsid w:val="009C1CB7"/>
    <w:rsid w:val="009C1F87"/>
    <w:rsid w:val="009C2706"/>
    <w:rsid w:val="009C289F"/>
    <w:rsid w:val="009C29C3"/>
    <w:rsid w:val="009C2F42"/>
    <w:rsid w:val="009C3125"/>
    <w:rsid w:val="009C358E"/>
    <w:rsid w:val="009C36BD"/>
    <w:rsid w:val="009C36C5"/>
    <w:rsid w:val="009C39AF"/>
    <w:rsid w:val="009C39E9"/>
    <w:rsid w:val="009C3AAC"/>
    <w:rsid w:val="009C3B38"/>
    <w:rsid w:val="009C3BB6"/>
    <w:rsid w:val="009C40DE"/>
    <w:rsid w:val="009C4224"/>
    <w:rsid w:val="009C42A3"/>
    <w:rsid w:val="009C43DC"/>
    <w:rsid w:val="009C4409"/>
    <w:rsid w:val="009C44F7"/>
    <w:rsid w:val="009C465A"/>
    <w:rsid w:val="009C4863"/>
    <w:rsid w:val="009C4910"/>
    <w:rsid w:val="009C4A3D"/>
    <w:rsid w:val="009C4A7B"/>
    <w:rsid w:val="009C4E70"/>
    <w:rsid w:val="009C5091"/>
    <w:rsid w:val="009C52AB"/>
    <w:rsid w:val="009C53BA"/>
    <w:rsid w:val="009C5599"/>
    <w:rsid w:val="009C5BCE"/>
    <w:rsid w:val="009C5EB8"/>
    <w:rsid w:val="009C5ECC"/>
    <w:rsid w:val="009C63DF"/>
    <w:rsid w:val="009C6727"/>
    <w:rsid w:val="009C67DD"/>
    <w:rsid w:val="009C6C19"/>
    <w:rsid w:val="009C6DE5"/>
    <w:rsid w:val="009C6F8F"/>
    <w:rsid w:val="009C74A8"/>
    <w:rsid w:val="009C7947"/>
    <w:rsid w:val="009C7A4D"/>
    <w:rsid w:val="009C7D4D"/>
    <w:rsid w:val="009D01CE"/>
    <w:rsid w:val="009D032F"/>
    <w:rsid w:val="009D034D"/>
    <w:rsid w:val="009D03CC"/>
    <w:rsid w:val="009D0C83"/>
    <w:rsid w:val="009D145D"/>
    <w:rsid w:val="009D1617"/>
    <w:rsid w:val="009D1A6E"/>
    <w:rsid w:val="009D2435"/>
    <w:rsid w:val="009D27D7"/>
    <w:rsid w:val="009D2814"/>
    <w:rsid w:val="009D2ABF"/>
    <w:rsid w:val="009D2AEA"/>
    <w:rsid w:val="009D2DFE"/>
    <w:rsid w:val="009D346C"/>
    <w:rsid w:val="009D358B"/>
    <w:rsid w:val="009D37FF"/>
    <w:rsid w:val="009D3ADC"/>
    <w:rsid w:val="009D41E4"/>
    <w:rsid w:val="009D43D9"/>
    <w:rsid w:val="009D4542"/>
    <w:rsid w:val="009D4EB0"/>
    <w:rsid w:val="009D4F4C"/>
    <w:rsid w:val="009D5350"/>
    <w:rsid w:val="009D5669"/>
    <w:rsid w:val="009D595E"/>
    <w:rsid w:val="009D5EE2"/>
    <w:rsid w:val="009D616B"/>
    <w:rsid w:val="009D6227"/>
    <w:rsid w:val="009D6516"/>
    <w:rsid w:val="009D652E"/>
    <w:rsid w:val="009D6617"/>
    <w:rsid w:val="009D6742"/>
    <w:rsid w:val="009D683A"/>
    <w:rsid w:val="009D6868"/>
    <w:rsid w:val="009D7079"/>
    <w:rsid w:val="009D70EF"/>
    <w:rsid w:val="009D7203"/>
    <w:rsid w:val="009D743F"/>
    <w:rsid w:val="009D7771"/>
    <w:rsid w:val="009D7A78"/>
    <w:rsid w:val="009D7AC8"/>
    <w:rsid w:val="009D7BE5"/>
    <w:rsid w:val="009D7CC8"/>
    <w:rsid w:val="009D7D60"/>
    <w:rsid w:val="009D7E51"/>
    <w:rsid w:val="009DF887"/>
    <w:rsid w:val="009E0330"/>
    <w:rsid w:val="009E05C7"/>
    <w:rsid w:val="009E0A31"/>
    <w:rsid w:val="009E0A70"/>
    <w:rsid w:val="009E138B"/>
    <w:rsid w:val="009E1507"/>
    <w:rsid w:val="009E1A13"/>
    <w:rsid w:val="009E1A7B"/>
    <w:rsid w:val="009E1DED"/>
    <w:rsid w:val="009E2059"/>
    <w:rsid w:val="009E217E"/>
    <w:rsid w:val="009E2247"/>
    <w:rsid w:val="009E22B6"/>
    <w:rsid w:val="009E2323"/>
    <w:rsid w:val="009E2615"/>
    <w:rsid w:val="009E2E3A"/>
    <w:rsid w:val="009E3CAE"/>
    <w:rsid w:val="009E44B5"/>
    <w:rsid w:val="009E492D"/>
    <w:rsid w:val="009E4BDF"/>
    <w:rsid w:val="009E4BFF"/>
    <w:rsid w:val="009E4C8F"/>
    <w:rsid w:val="009E5719"/>
    <w:rsid w:val="009E6807"/>
    <w:rsid w:val="009E682B"/>
    <w:rsid w:val="009E6B63"/>
    <w:rsid w:val="009E6C30"/>
    <w:rsid w:val="009E6C52"/>
    <w:rsid w:val="009E743E"/>
    <w:rsid w:val="009E7584"/>
    <w:rsid w:val="009E7741"/>
    <w:rsid w:val="009E78D9"/>
    <w:rsid w:val="009E7950"/>
    <w:rsid w:val="009E7B0E"/>
    <w:rsid w:val="009E7BAB"/>
    <w:rsid w:val="009E7D9C"/>
    <w:rsid w:val="009E7DF1"/>
    <w:rsid w:val="009E7F71"/>
    <w:rsid w:val="009E7FA9"/>
    <w:rsid w:val="009E7FB4"/>
    <w:rsid w:val="009F014F"/>
    <w:rsid w:val="009F07E2"/>
    <w:rsid w:val="009F088E"/>
    <w:rsid w:val="009F0D9C"/>
    <w:rsid w:val="009F0DBA"/>
    <w:rsid w:val="009F13A6"/>
    <w:rsid w:val="009F1655"/>
    <w:rsid w:val="009F1773"/>
    <w:rsid w:val="009F1D5B"/>
    <w:rsid w:val="009F1FD0"/>
    <w:rsid w:val="009F210D"/>
    <w:rsid w:val="009F21EB"/>
    <w:rsid w:val="009F25CA"/>
    <w:rsid w:val="009F29EE"/>
    <w:rsid w:val="009F2B4D"/>
    <w:rsid w:val="009F2B7D"/>
    <w:rsid w:val="009F2CA9"/>
    <w:rsid w:val="009F2CDE"/>
    <w:rsid w:val="009F2D66"/>
    <w:rsid w:val="009F2FC9"/>
    <w:rsid w:val="009F32C6"/>
    <w:rsid w:val="009F32CB"/>
    <w:rsid w:val="009F36A0"/>
    <w:rsid w:val="009F3DFA"/>
    <w:rsid w:val="009F44BD"/>
    <w:rsid w:val="009F453C"/>
    <w:rsid w:val="009F49EA"/>
    <w:rsid w:val="009F4AF0"/>
    <w:rsid w:val="009F4CDA"/>
    <w:rsid w:val="009F4FA5"/>
    <w:rsid w:val="009F4FE4"/>
    <w:rsid w:val="009F5060"/>
    <w:rsid w:val="009F507C"/>
    <w:rsid w:val="009F5089"/>
    <w:rsid w:val="009F50D0"/>
    <w:rsid w:val="009F57C2"/>
    <w:rsid w:val="009F5A1F"/>
    <w:rsid w:val="009F5A57"/>
    <w:rsid w:val="009F5DC8"/>
    <w:rsid w:val="009F5FEA"/>
    <w:rsid w:val="009F606E"/>
    <w:rsid w:val="009F645A"/>
    <w:rsid w:val="009F66A5"/>
    <w:rsid w:val="009F6911"/>
    <w:rsid w:val="009F69A8"/>
    <w:rsid w:val="009F6A3B"/>
    <w:rsid w:val="009F6A4A"/>
    <w:rsid w:val="009F6B7D"/>
    <w:rsid w:val="009F6BCB"/>
    <w:rsid w:val="009F6E6B"/>
    <w:rsid w:val="009F6FF4"/>
    <w:rsid w:val="009F70DB"/>
    <w:rsid w:val="009F734C"/>
    <w:rsid w:val="009F7693"/>
    <w:rsid w:val="009F7D8F"/>
    <w:rsid w:val="00A000BB"/>
    <w:rsid w:val="00A00278"/>
    <w:rsid w:val="00A002E6"/>
    <w:rsid w:val="00A003A2"/>
    <w:rsid w:val="00A003A9"/>
    <w:rsid w:val="00A0087B"/>
    <w:rsid w:val="00A00BCE"/>
    <w:rsid w:val="00A00CBE"/>
    <w:rsid w:val="00A00DC6"/>
    <w:rsid w:val="00A00F05"/>
    <w:rsid w:val="00A00F5F"/>
    <w:rsid w:val="00A01307"/>
    <w:rsid w:val="00A018F3"/>
    <w:rsid w:val="00A0212A"/>
    <w:rsid w:val="00A02246"/>
    <w:rsid w:val="00A02381"/>
    <w:rsid w:val="00A023F4"/>
    <w:rsid w:val="00A02414"/>
    <w:rsid w:val="00A0268D"/>
    <w:rsid w:val="00A027A3"/>
    <w:rsid w:val="00A02968"/>
    <w:rsid w:val="00A02CE5"/>
    <w:rsid w:val="00A02E7F"/>
    <w:rsid w:val="00A0311B"/>
    <w:rsid w:val="00A03867"/>
    <w:rsid w:val="00A038FA"/>
    <w:rsid w:val="00A0397E"/>
    <w:rsid w:val="00A03B96"/>
    <w:rsid w:val="00A03D4A"/>
    <w:rsid w:val="00A046AB"/>
    <w:rsid w:val="00A04977"/>
    <w:rsid w:val="00A04CF2"/>
    <w:rsid w:val="00A04DEF"/>
    <w:rsid w:val="00A04E1A"/>
    <w:rsid w:val="00A05870"/>
    <w:rsid w:val="00A05AF3"/>
    <w:rsid w:val="00A05B47"/>
    <w:rsid w:val="00A06174"/>
    <w:rsid w:val="00A062B6"/>
    <w:rsid w:val="00A064BE"/>
    <w:rsid w:val="00A0692A"/>
    <w:rsid w:val="00A069E4"/>
    <w:rsid w:val="00A06AE3"/>
    <w:rsid w:val="00A06B35"/>
    <w:rsid w:val="00A06CF5"/>
    <w:rsid w:val="00A06DE0"/>
    <w:rsid w:val="00A0702A"/>
    <w:rsid w:val="00A07174"/>
    <w:rsid w:val="00A072AD"/>
    <w:rsid w:val="00A07429"/>
    <w:rsid w:val="00A07941"/>
    <w:rsid w:val="00A07A9E"/>
    <w:rsid w:val="00A07ADE"/>
    <w:rsid w:val="00A07B7F"/>
    <w:rsid w:val="00A07B87"/>
    <w:rsid w:val="00A07EE8"/>
    <w:rsid w:val="00A103F1"/>
    <w:rsid w:val="00A10603"/>
    <w:rsid w:val="00A1066B"/>
    <w:rsid w:val="00A10673"/>
    <w:rsid w:val="00A108F2"/>
    <w:rsid w:val="00A10B96"/>
    <w:rsid w:val="00A11279"/>
    <w:rsid w:val="00A1179A"/>
    <w:rsid w:val="00A118E1"/>
    <w:rsid w:val="00A11918"/>
    <w:rsid w:val="00A11BE7"/>
    <w:rsid w:val="00A11E63"/>
    <w:rsid w:val="00A11EC4"/>
    <w:rsid w:val="00A1207F"/>
    <w:rsid w:val="00A12292"/>
    <w:rsid w:val="00A1251E"/>
    <w:rsid w:val="00A12571"/>
    <w:rsid w:val="00A12678"/>
    <w:rsid w:val="00A1306B"/>
    <w:rsid w:val="00A1362D"/>
    <w:rsid w:val="00A13C0E"/>
    <w:rsid w:val="00A140A4"/>
    <w:rsid w:val="00A140DA"/>
    <w:rsid w:val="00A141CD"/>
    <w:rsid w:val="00A143EF"/>
    <w:rsid w:val="00A144F6"/>
    <w:rsid w:val="00A14736"/>
    <w:rsid w:val="00A14A02"/>
    <w:rsid w:val="00A14DD8"/>
    <w:rsid w:val="00A14E3F"/>
    <w:rsid w:val="00A14F9A"/>
    <w:rsid w:val="00A152C4"/>
    <w:rsid w:val="00A15347"/>
    <w:rsid w:val="00A153D6"/>
    <w:rsid w:val="00A15412"/>
    <w:rsid w:val="00A154AD"/>
    <w:rsid w:val="00A1568C"/>
    <w:rsid w:val="00A15931"/>
    <w:rsid w:val="00A15BE8"/>
    <w:rsid w:val="00A16065"/>
    <w:rsid w:val="00A16319"/>
    <w:rsid w:val="00A163C1"/>
    <w:rsid w:val="00A16585"/>
    <w:rsid w:val="00A16752"/>
    <w:rsid w:val="00A16954"/>
    <w:rsid w:val="00A16A9C"/>
    <w:rsid w:val="00A16AB1"/>
    <w:rsid w:val="00A16BA2"/>
    <w:rsid w:val="00A16BB5"/>
    <w:rsid w:val="00A16BD1"/>
    <w:rsid w:val="00A16C1B"/>
    <w:rsid w:val="00A170F3"/>
    <w:rsid w:val="00A17394"/>
    <w:rsid w:val="00A17899"/>
    <w:rsid w:val="00A17BFF"/>
    <w:rsid w:val="00A17CAF"/>
    <w:rsid w:val="00A17E2C"/>
    <w:rsid w:val="00A17E8C"/>
    <w:rsid w:val="00A2014F"/>
    <w:rsid w:val="00A20285"/>
    <w:rsid w:val="00A204A8"/>
    <w:rsid w:val="00A205D8"/>
    <w:rsid w:val="00A20C13"/>
    <w:rsid w:val="00A216C3"/>
    <w:rsid w:val="00A21792"/>
    <w:rsid w:val="00A217A9"/>
    <w:rsid w:val="00A21A6B"/>
    <w:rsid w:val="00A22599"/>
    <w:rsid w:val="00A225A2"/>
    <w:rsid w:val="00A22894"/>
    <w:rsid w:val="00A22906"/>
    <w:rsid w:val="00A22DC6"/>
    <w:rsid w:val="00A231F5"/>
    <w:rsid w:val="00A233F9"/>
    <w:rsid w:val="00A2354E"/>
    <w:rsid w:val="00A23698"/>
    <w:rsid w:val="00A23714"/>
    <w:rsid w:val="00A237A9"/>
    <w:rsid w:val="00A23B0D"/>
    <w:rsid w:val="00A23F49"/>
    <w:rsid w:val="00A23F9B"/>
    <w:rsid w:val="00A23FAC"/>
    <w:rsid w:val="00A241EA"/>
    <w:rsid w:val="00A243BC"/>
    <w:rsid w:val="00A24752"/>
    <w:rsid w:val="00A24C1B"/>
    <w:rsid w:val="00A24E30"/>
    <w:rsid w:val="00A25046"/>
    <w:rsid w:val="00A2506A"/>
    <w:rsid w:val="00A252D6"/>
    <w:rsid w:val="00A25315"/>
    <w:rsid w:val="00A257C7"/>
    <w:rsid w:val="00A25B13"/>
    <w:rsid w:val="00A2600B"/>
    <w:rsid w:val="00A2632F"/>
    <w:rsid w:val="00A26436"/>
    <w:rsid w:val="00A268B1"/>
    <w:rsid w:val="00A26A03"/>
    <w:rsid w:val="00A26C61"/>
    <w:rsid w:val="00A26E00"/>
    <w:rsid w:val="00A26F06"/>
    <w:rsid w:val="00A2705C"/>
    <w:rsid w:val="00A27497"/>
    <w:rsid w:val="00A2754D"/>
    <w:rsid w:val="00A27583"/>
    <w:rsid w:val="00A2758C"/>
    <w:rsid w:val="00A277F4"/>
    <w:rsid w:val="00A27824"/>
    <w:rsid w:val="00A27A73"/>
    <w:rsid w:val="00A27AE4"/>
    <w:rsid w:val="00A30600"/>
    <w:rsid w:val="00A30CAB"/>
    <w:rsid w:val="00A30CF2"/>
    <w:rsid w:val="00A3120E"/>
    <w:rsid w:val="00A313C3"/>
    <w:rsid w:val="00A314A4"/>
    <w:rsid w:val="00A31A4E"/>
    <w:rsid w:val="00A31C6A"/>
    <w:rsid w:val="00A31D68"/>
    <w:rsid w:val="00A32595"/>
    <w:rsid w:val="00A32ACE"/>
    <w:rsid w:val="00A32AD3"/>
    <w:rsid w:val="00A32D57"/>
    <w:rsid w:val="00A3330D"/>
    <w:rsid w:val="00A33B4C"/>
    <w:rsid w:val="00A33C79"/>
    <w:rsid w:val="00A33D85"/>
    <w:rsid w:val="00A344FE"/>
    <w:rsid w:val="00A345B2"/>
    <w:rsid w:val="00A34E13"/>
    <w:rsid w:val="00A35842"/>
    <w:rsid w:val="00A358F1"/>
    <w:rsid w:val="00A35C26"/>
    <w:rsid w:val="00A35E56"/>
    <w:rsid w:val="00A35FB8"/>
    <w:rsid w:val="00A36157"/>
    <w:rsid w:val="00A36298"/>
    <w:rsid w:val="00A36A68"/>
    <w:rsid w:val="00A36B7A"/>
    <w:rsid w:val="00A36F3D"/>
    <w:rsid w:val="00A370FD"/>
    <w:rsid w:val="00A3717A"/>
    <w:rsid w:val="00A371D8"/>
    <w:rsid w:val="00A3737D"/>
    <w:rsid w:val="00A3738E"/>
    <w:rsid w:val="00A37689"/>
    <w:rsid w:val="00A37695"/>
    <w:rsid w:val="00A37C1C"/>
    <w:rsid w:val="00A37C44"/>
    <w:rsid w:val="00A37C50"/>
    <w:rsid w:val="00A3B254"/>
    <w:rsid w:val="00A4044C"/>
    <w:rsid w:val="00A40462"/>
    <w:rsid w:val="00A406C6"/>
    <w:rsid w:val="00A407B1"/>
    <w:rsid w:val="00A40947"/>
    <w:rsid w:val="00A40948"/>
    <w:rsid w:val="00A40A1B"/>
    <w:rsid w:val="00A40FBB"/>
    <w:rsid w:val="00A41951"/>
    <w:rsid w:val="00A41989"/>
    <w:rsid w:val="00A41B5B"/>
    <w:rsid w:val="00A42301"/>
    <w:rsid w:val="00A42446"/>
    <w:rsid w:val="00A42554"/>
    <w:rsid w:val="00A42855"/>
    <w:rsid w:val="00A42B01"/>
    <w:rsid w:val="00A42BFA"/>
    <w:rsid w:val="00A42CE2"/>
    <w:rsid w:val="00A42D51"/>
    <w:rsid w:val="00A4326B"/>
    <w:rsid w:val="00A432B3"/>
    <w:rsid w:val="00A43B43"/>
    <w:rsid w:val="00A43BDC"/>
    <w:rsid w:val="00A43C1A"/>
    <w:rsid w:val="00A43F3C"/>
    <w:rsid w:val="00A44184"/>
    <w:rsid w:val="00A4426E"/>
    <w:rsid w:val="00A446DD"/>
    <w:rsid w:val="00A44BE5"/>
    <w:rsid w:val="00A44C8D"/>
    <w:rsid w:val="00A45060"/>
    <w:rsid w:val="00A45237"/>
    <w:rsid w:val="00A4545E"/>
    <w:rsid w:val="00A45525"/>
    <w:rsid w:val="00A456A1"/>
    <w:rsid w:val="00A456E1"/>
    <w:rsid w:val="00A45AE6"/>
    <w:rsid w:val="00A45DC8"/>
    <w:rsid w:val="00A4655A"/>
    <w:rsid w:val="00A467BE"/>
    <w:rsid w:val="00A46938"/>
    <w:rsid w:val="00A46A55"/>
    <w:rsid w:val="00A478E4"/>
    <w:rsid w:val="00A47C18"/>
    <w:rsid w:val="00A50029"/>
    <w:rsid w:val="00A50051"/>
    <w:rsid w:val="00A50697"/>
    <w:rsid w:val="00A50AA3"/>
    <w:rsid w:val="00A50B9C"/>
    <w:rsid w:val="00A511B7"/>
    <w:rsid w:val="00A5131C"/>
    <w:rsid w:val="00A516F0"/>
    <w:rsid w:val="00A5196C"/>
    <w:rsid w:val="00A51B2B"/>
    <w:rsid w:val="00A520FA"/>
    <w:rsid w:val="00A52572"/>
    <w:rsid w:val="00A526B1"/>
    <w:rsid w:val="00A52A68"/>
    <w:rsid w:val="00A52B25"/>
    <w:rsid w:val="00A52CF9"/>
    <w:rsid w:val="00A5314B"/>
    <w:rsid w:val="00A53243"/>
    <w:rsid w:val="00A53523"/>
    <w:rsid w:val="00A5353B"/>
    <w:rsid w:val="00A537BC"/>
    <w:rsid w:val="00A53876"/>
    <w:rsid w:val="00A53A2B"/>
    <w:rsid w:val="00A53C67"/>
    <w:rsid w:val="00A53D22"/>
    <w:rsid w:val="00A53D77"/>
    <w:rsid w:val="00A54151"/>
    <w:rsid w:val="00A54265"/>
    <w:rsid w:val="00A54460"/>
    <w:rsid w:val="00A54750"/>
    <w:rsid w:val="00A54879"/>
    <w:rsid w:val="00A54AAD"/>
    <w:rsid w:val="00A54D52"/>
    <w:rsid w:val="00A550B5"/>
    <w:rsid w:val="00A55137"/>
    <w:rsid w:val="00A55138"/>
    <w:rsid w:val="00A552A0"/>
    <w:rsid w:val="00A5576F"/>
    <w:rsid w:val="00A55AB1"/>
    <w:rsid w:val="00A56021"/>
    <w:rsid w:val="00A5661E"/>
    <w:rsid w:val="00A56866"/>
    <w:rsid w:val="00A56B47"/>
    <w:rsid w:val="00A56C5F"/>
    <w:rsid w:val="00A57602"/>
    <w:rsid w:val="00A579BB"/>
    <w:rsid w:val="00A57CF6"/>
    <w:rsid w:val="00A60387"/>
    <w:rsid w:val="00A60491"/>
    <w:rsid w:val="00A6097E"/>
    <w:rsid w:val="00A6119A"/>
    <w:rsid w:val="00A613B0"/>
    <w:rsid w:val="00A61471"/>
    <w:rsid w:val="00A614FC"/>
    <w:rsid w:val="00A61742"/>
    <w:rsid w:val="00A618DB"/>
    <w:rsid w:val="00A61A95"/>
    <w:rsid w:val="00A61AF4"/>
    <w:rsid w:val="00A61BC5"/>
    <w:rsid w:val="00A623A5"/>
    <w:rsid w:val="00A62C7B"/>
    <w:rsid w:val="00A62CD3"/>
    <w:rsid w:val="00A63377"/>
    <w:rsid w:val="00A634AD"/>
    <w:rsid w:val="00A636FF"/>
    <w:rsid w:val="00A639FF"/>
    <w:rsid w:val="00A63B03"/>
    <w:rsid w:val="00A643F3"/>
    <w:rsid w:val="00A64860"/>
    <w:rsid w:val="00A64A95"/>
    <w:rsid w:val="00A64B5D"/>
    <w:rsid w:val="00A65621"/>
    <w:rsid w:val="00A6581A"/>
    <w:rsid w:val="00A659C5"/>
    <w:rsid w:val="00A65AB8"/>
    <w:rsid w:val="00A65E11"/>
    <w:rsid w:val="00A66400"/>
    <w:rsid w:val="00A66613"/>
    <w:rsid w:val="00A67054"/>
    <w:rsid w:val="00A673BE"/>
    <w:rsid w:val="00A67C68"/>
    <w:rsid w:val="00A67DC8"/>
    <w:rsid w:val="00A67EAC"/>
    <w:rsid w:val="00A702C4"/>
    <w:rsid w:val="00A7062D"/>
    <w:rsid w:val="00A706DB"/>
    <w:rsid w:val="00A70884"/>
    <w:rsid w:val="00A70C82"/>
    <w:rsid w:val="00A71040"/>
    <w:rsid w:val="00A71108"/>
    <w:rsid w:val="00A715BB"/>
    <w:rsid w:val="00A717F1"/>
    <w:rsid w:val="00A718ED"/>
    <w:rsid w:val="00A71B1B"/>
    <w:rsid w:val="00A71C03"/>
    <w:rsid w:val="00A71F57"/>
    <w:rsid w:val="00A721F6"/>
    <w:rsid w:val="00A721F9"/>
    <w:rsid w:val="00A7229C"/>
    <w:rsid w:val="00A72BB4"/>
    <w:rsid w:val="00A72C33"/>
    <w:rsid w:val="00A72CDD"/>
    <w:rsid w:val="00A72D18"/>
    <w:rsid w:val="00A72D34"/>
    <w:rsid w:val="00A72D97"/>
    <w:rsid w:val="00A7303A"/>
    <w:rsid w:val="00A733DF"/>
    <w:rsid w:val="00A73442"/>
    <w:rsid w:val="00A735F3"/>
    <w:rsid w:val="00A739BC"/>
    <w:rsid w:val="00A73C5C"/>
    <w:rsid w:val="00A73ECA"/>
    <w:rsid w:val="00A74034"/>
    <w:rsid w:val="00A7433F"/>
    <w:rsid w:val="00A74508"/>
    <w:rsid w:val="00A745AE"/>
    <w:rsid w:val="00A7466C"/>
    <w:rsid w:val="00A748B5"/>
    <w:rsid w:val="00A74C17"/>
    <w:rsid w:val="00A74C6D"/>
    <w:rsid w:val="00A75B23"/>
    <w:rsid w:val="00A75B99"/>
    <w:rsid w:val="00A75C6C"/>
    <w:rsid w:val="00A75CA6"/>
    <w:rsid w:val="00A75DB8"/>
    <w:rsid w:val="00A75F10"/>
    <w:rsid w:val="00A75F6B"/>
    <w:rsid w:val="00A7659E"/>
    <w:rsid w:val="00A76693"/>
    <w:rsid w:val="00A7673E"/>
    <w:rsid w:val="00A76B62"/>
    <w:rsid w:val="00A76BE8"/>
    <w:rsid w:val="00A76DA0"/>
    <w:rsid w:val="00A76EB3"/>
    <w:rsid w:val="00A775DA"/>
    <w:rsid w:val="00A77979"/>
    <w:rsid w:val="00A77A49"/>
    <w:rsid w:val="00A8007D"/>
    <w:rsid w:val="00A804B7"/>
    <w:rsid w:val="00A807BD"/>
    <w:rsid w:val="00A809EC"/>
    <w:rsid w:val="00A80E37"/>
    <w:rsid w:val="00A80EDE"/>
    <w:rsid w:val="00A80F40"/>
    <w:rsid w:val="00A815D2"/>
    <w:rsid w:val="00A816C6"/>
    <w:rsid w:val="00A81798"/>
    <w:rsid w:val="00A81C17"/>
    <w:rsid w:val="00A81CAE"/>
    <w:rsid w:val="00A81E80"/>
    <w:rsid w:val="00A822CD"/>
    <w:rsid w:val="00A82388"/>
    <w:rsid w:val="00A823F3"/>
    <w:rsid w:val="00A82604"/>
    <w:rsid w:val="00A82653"/>
    <w:rsid w:val="00A82722"/>
    <w:rsid w:val="00A8276A"/>
    <w:rsid w:val="00A82B42"/>
    <w:rsid w:val="00A82FA0"/>
    <w:rsid w:val="00A83216"/>
    <w:rsid w:val="00A83592"/>
    <w:rsid w:val="00A83B81"/>
    <w:rsid w:val="00A83D7D"/>
    <w:rsid w:val="00A844B9"/>
    <w:rsid w:val="00A844C4"/>
    <w:rsid w:val="00A84566"/>
    <w:rsid w:val="00A8472A"/>
    <w:rsid w:val="00A84922"/>
    <w:rsid w:val="00A84A16"/>
    <w:rsid w:val="00A84A30"/>
    <w:rsid w:val="00A84B5C"/>
    <w:rsid w:val="00A84B6C"/>
    <w:rsid w:val="00A84C65"/>
    <w:rsid w:val="00A84F11"/>
    <w:rsid w:val="00A84FF2"/>
    <w:rsid w:val="00A8515B"/>
    <w:rsid w:val="00A854A8"/>
    <w:rsid w:val="00A855C6"/>
    <w:rsid w:val="00A8563F"/>
    <w:rsid w:val="00A859B4"/>
    <w:rsid w:val="00A860FE"/>
    <w:rsid w:val="00A86136"/>
    <w:rsid w:val="00A86303"/>
    <w:rsid w:val="00A8646D"/>
    <w:rsid w:val="00A8670B"/>
    <w:rsid w:val="00A867F5"/>
    <w:rsid w:val="00A86D90"/>
    <w:rsid w:val="00A86E47"/>
    <w:rsid w:val="00A86FA1"/>
    <w:rsid w:val="00A87047"/>
    <w:rsid w:val="00A871B7"/>
    <w:rsid w:val="00A8757A"/>
    <w:rsid w:val="00A87828"/>
    <w:rsid w:val="00A879FE"/>
    <w:rsid w:val="00A87C55"/>
    <w:rsid w:val="00A87EAB"/>
    <w:rsid w:val="00A87EBE"/>
    <w:rsid w:val="00A87FD3"/>
    <w:rsid w:val="00A87FD5"/>
    <w:rsid w:val="00A87FDC"/>
    <w:rsid w:val="00A906CC"/>
    <w:rsid w:val="00A907D2"/>
    <w:rsid w:val="00A9098D"/>
    <w:rsid w:val="00A909A1"/>
    <w:rsid w:val="00A90B82"/>
    <w:rsid w:val="00A90E64"/>
    <w:rsid w:val="00A90F01"/>
    <w:rsid w:val="00A911B0"/>
    <w:rsid w:val="00A911CB"/>
    <w:rsid w:val="00A91239"/>
    <w:rsid w:val="00A9135C"/>
    <w:rsid w:val="00A9140F"/>
    <w:rsid w:val="00A9165B"/>
    <w:rsid w:val="00A91757"/>
    <w:rsid w:val="00A91A45"/>
    <w:rsid w:val="00A91B26"/>
    <w:rsid w:val="00A91C2F"/>
    <w:rsid w:val="00A91F16"/>
    <w:rsid w:val="00A920CD"/>
    <w:rsid w:val="00A92101"/>
    <w:rsid w:val="00A92C8C"/>
    <w:rsid w:val="00A93122"/>
    <w:rsid w:val="00A9316C"/>
    <w:rsid w:val="00A9323A"/>
    <w:rsid w:val="00A934D1"/>
    <w:rsid w:val="00A93998"/>
    <w:rsid w:val="00A93B88"/>
    <w:rsid w:val="00A93FB7"/>
    <w:rsid w:val="00A93FE8"/>
    <w:rsid w:val="00A941E5"/>
    <w:rsid w:val="00A941E7"/>
    <w:rsid w:val="00A942FE"/>
    <w:rsid w:val="00A943CA"/>
    <w:rsid w:val="00A9457B"/>
    <w:rsid w:val="00A948BA"/>
    <w:rsid w:val="00A9498B"/>
    <w:rsid w:val="00A9499F"/>
    <w:rsid w:val="00A949AC"/>
    <w:rsid w:val="00A949B9"/>
    <w:rsid w:val="00A94D96"/>
    <w:rsid w:val="00A951E7"/>
    <w:rsid w:val="00A955CC"/>
    <w:rsid w:val="00A9583E"/>
    <w:rsid w:val="00A958F5"/>
    <w:rsid w:val="00A95A8A"/>
    <w:rsid w:val="00A95CBC"/>
    <w:rsid w:val="00A9601B"/>
    <w:rsid w:val="00A962D4"/>
    <w:rsid w:val="00A967F6"/>
    <w:rsid w:val="00A9686D"/>
    <w:rsid w:val="00A96B2C"/>
    <w:rsid w:val="00A96B7F"/>
    <w:rsid w:val="00A96E99"/>
    <w:rsid w:val="00A971E8"/>
    <w:rsid w:val="00A9732A"/>
    <w:rsid w:val="00A973D1"/>
    <w:rsid w:val="00A97632"/>
    <w:rsid w:val="00A977C9"/>
    <w:rsid w:val="00A97965"/>
    <w:rsid w:val="00A979F3"/>
    <w:rsid w:val="00A97DEE"/>
    <w:rsid w:val="00AA045A"/>
    <w:rsid w:val="00AA05CF"/>
    <w:rsid w:val="00AA0768"/>
    <w:rsid w:val="00AA1A78"/>
    <w:rsid w:val="00AA1BD4"/>
    <w:rsid w:val="00AA1C09"/>
    <w:rsid w:val="00AA207E"/>
    <w:rsid w:val="00AA2212"/>
    <w:rsid w:val="00AA22C0"/>
    <w:rsid w:val="00AA22C2"/>
    <w:rsid w:val="00AA26C8"/>
    <w:rsid w:val="00AA2733"/>
    <w:rsid w:val="00AA2871"/>
    <w:rsid w:val="00AA2B16"/>
    <w:rsid w:val="00AA2B39"/>
    <w:rsid w:val="00AA2BDB"/>
    <w:rsid w:val="00AA2FAB"/>
    <w:rsid w:val="00AA2FF6"/>
    <w:rsid w:val="00AA3244"/>
    <w:rsid w:val="00AA338C"/>
    <w:rsid w:val="00AA370C"/>
    <w:rsid w:val="00AA3996"/>
    <w:rsid w:val="00AA3CE5"/>
    <w:rsid w:val="00AA4192"/>
    <w:rsid w:val="00AA4D48"/>
    <w:rsid w:val="00AA4EB8"/>
    <w:rsid w:val="00AA4EF4"/>
    <w:rsid w:val="00AA50AA"/>
    <w:rsid w:val="00AA528B"/>
    <w:rsid w:val="00AA52CF"/>
    <w:rsid w:val="00AA571F"/>
    <w:rsid w:val="00AA5742"/>
    <w:rsid w:val="00AA59C0"/>
    <w:rsid w:val="00AA5CD8"/>
    <w:rsid w:val="00AA5EFB"/>
    <w:rsid w:val="00AA63F4"/>
    <w:rsid w:val="00AA6611"/>
    <w:rsid w:val="00AA674A"/>
    <w:rsid w:val="00AA67AE"/>
    <w:rsid w:val="00AA6D7F"/>
    <w:rsid w:val="00AA6E97"/>
    <w:rsid w:val="00AA751F"/>
    <w:rsid w:val="00AA760B"/>
    <w:rsid w:val="00AA7658"/>
    <w:rsid w:val="00AA7723"/>
    <w:rsid w:val="00AA7732"/>
    <w:rsid w:val="00AA79D9"/>
    <w:rsid w:val="00AA7DDB"/>
    <w:rsid w:val="00AAE62F"/>
    <w:rsid w:val="00AB0763"/>
    <w:rsid w:val="00AB0A1E"/>
    <w:rsid w:val="00AB0A32"/>
    <w:rsid w:val="00AB0B76"/>
    <w:rsid w:val="00AB0BC9"/>
    <w:rsid w:val="00AB0D46"/>
    <w:rsid w:val="00AB0FC9"/>
    <w:rsid w:val="00AB105B"/>
    <w:rsid w:val="00AB140D"/>
    <w:rsid w:val="00AB1805"/>
    <w:rsid w:val="00AB1C5F"/>
    <w:rsid w:val="00AB1FDF"/>
    <w:rsid w:val="00AB200E"/>
    <w:rsid w:val="00AB21D9"/>
    <w:rsid w:val="00AB248B"/>
    <w:rsid w:val="00AB24ED"/>
    <w:rsid w:val="00AB27F0"/>
    <w:rsid w:val="00AB2B45"/>
    <w:rsid w:val="00AB2B56"/>
    <w:rsid w:val="00AB3000"/>
    <w:rsid w:val="00AB30B2"/>
    <w:rsid w:val="00AB35DB"/>
    <w:rsid w:val="00AB384B"/>
    <w:rsid w:val="00AB386F"/>
    <w:rsid w:val="00AB3F31"/>
    <w:rsid w:val="00AB4324"/>
    <w:rsid w:val="00AB4585"/>
    <w:rsid w:val="00AB4963"/>
    <w:rsid w:val="00AB4B5C"/>
    <w:rsid w:val="00AB4C7A"/>
    <w:rsid w:val="00AB4D59"/>
    <w:rsid w:val="00AB4F8A"/>
    <w:rsid w:val="00AB51C1"/>
    <w:rsid w:val="00AB521A"/>
    <w:rsid w:val="00AB5B4F"/>
    <w:rsid w:val="00AB5C07"/>
    <w:rsid w:val="00AB5CAD"/>
    <w:rsid w:val="00AB5F19"/>
    <w:rsid w:val="00AB6359"/>
    <w:rsid w:val="00AB64E1"/>
    <w:rsid w:val="00AB66F7"/>
    <w:rsid w:val="00AB68B9"/>
    <w:rsid w:val="00AB6A19"/>
    <w:rsid w:val="00AB6C0C"/>
    <w:rsid w:val="00AB6C6F"/>
    <w:rsid w:val="00AB704D"/>
    <w:rsid w:val="00AB7052"/>
    <w:rsid w:val="00AB707B"/>
    <w:rsid w:val="00AB732A"/>
    <w:rsid w:val="00AB766C"/>
    <w:rsid w:val="00AB76CE"/>
    <w:rsid w:val="00AB78E5"/>
    <w:rsid w:val="00AB795F"/>
    <w:rsid w:val="00AB7980"/>
    <w:rsid w:val="00AB7C83"/>
    <w:rsid w:val="00AB7E71"/>
    <w:rsid w:val="00AC078B"/>
    <w:rsid w:val="00AC07E0"/>
    <w:rsid w:val="00AC0B7D"/>
    <w:rsid w:val="00AC0D9C"/>
    <w:rsid w:val="00AC0FC1"/>
    <w:rsid w:val="00AC1571"/>
    <w:rsid w:val="00AC1626"/>
    <w:rsid w:val="00AC18E5"/>
    <w:rsid w:val="00AC1C9B"/>
    <w:rsid w:val="00AC1D10"/>
    <w:rsid w:val="00AC20DF"/>
    <w:rsid w:val="00AC20F5"/>
    <w:rsid w:val="00AC2249"/>
    <w:rsid w:val="00AC23FD"/>
    <w:rsid w:val="00AC25E2"/>
    <w:rsid w:val="00AC2B31"/>
    <w:rsid w:val="00AC2B47"/>
    <w:rsid w:val="00AC2DBA"/>
    <w:rsid w:val="00AC3315"/>
    <w:rsid w:val="00AC33DD"/>
    <w:rsid w:val="00AC3A96"/>
    <w:rsid w:val="00AC3BB1"/>
    <w:rsid w:val="00AC3BD3"/>
    <w:rsid w:val="00AC3D5E"/>
    <w:rsid w:val="00AC3FE8"/>
    <w:rsid w:val="00AC4020"/>
    <w:rsid w:val="00AC4635"/>
    <w:rsid w:val="00AC467F"/>
    <w:rsid w:val="00AC4916"/>
    <w:rsid w:val="00AC4C2B"/>
    <w:rsid w:val="00AC50B5"/>
    <w:rsid w:val="00AC51CF"/>
    <w:rsid w:val="00AC5228"/>
    <w:rsid w:val="00AC5476"/>
    <w:rsid w:val="00AC55C0"/>
    <w:rsid w:val="00AC5649"/>
    <w:rsid w:val="00AC5778"/>
    <w:rsid w:val="00AC5D63"/>
    <w:rsid w:val="00AC5D7D"/>
    <w:rsid w:val="00AC617A"/>
    <w:rsid w:val="00AC6321"/>
    <w:rsid w:val="00AC63D4"/>
    <w:rsid w:val="00AC649F"/>
    <w:rsid w:val="00AC6855"/>
    <w:rsid w:val="00AC6C0F"/>
    <w:rsid w:val="00AC6EB4"/>
    <w:rsid w:val="00AC6F1C"/>
    <w:rsid w:val="00AC7099"/>
    <w:rsid w:val="00AC77D0"/>
    <w:rsid w:val="00AC7A1E"/>
    <w:rsid w:val="00AC7C2D"/>
    <w:rsid w:val="00AC7D5F"/>
    <w:rsid w:val="00AC7F70"/>
    <w:rsid w:val="00AC7FF8"/>
    <w:rsid w:val="00AD002D"/>
    <w:rsid w:val="00AD058C"/>
    <w:rsid w:val="00AD0CD7"/>
    <w:rsid w:val="00AD0E8F"/>
    <w:rsid w:val="00AD114D"/>
    <w:rsid w:val="00AD1915"/>
    <w:rsid w:val="00AD1E3C"/>
    <w:rsid w:val="00AD1E98"/>
    <w:rsid w:val="00AD20D4"/>
    <w:rsid w:val="00AD20F7"/>
    <w:rsid w:val="00AD21C2"/>
    <w:rsid w:val="00AD21D4"/>
    <w:rsid w:val="00AD2293"/>
    <w:rsid w:val="00AD243A"/>
    <w:rsid w:val="00AD24BF"/>
    <w:rsid w:val="00AD286C"/>
    <w:rsid w:val="00AD296E"/>
    <w:rsid w:val="00AD2A4F"/>
    <w:rsid w:val="00AD2EB0"/>
    <w:rsid w:val="00AD3A80"/>
    <w:rsid w:val="00AD3BD4"/>
    <w:rsid w:val="00AD41FD"/>
    <w:rsid w:val="00AD4296"/>
    <w:rsid w:val="00AD434F"/>
    <w:rsid w:val="00AD439A"/>
    <w:rsid w:val="00AD4773"/>
    <w:rsid w:val="00AD4AAF"/>
    <w:rsid w:val="00AD4B6C"/>
    <w:rsid w:val="00AD4E57"/>
    <w:rsid w:val="00AD4F29"/>
    <w:rsid w:val="00AD5043"/>
    <w:rsid w:val="00AD5168"/>
    <w:rsid w:val="00AD54DA"/>
    <w:rsid w:val="00AD5558"/>
    <w:rsid w:val="00AD5983"/>
    <w:rsid w:val="00AD59DC"/>
    <w:rsid w:val="00AD656E"/>
    <w:rsid w:val="00AD665A"/>
    <w:rsid w:val="00AD6D14"/>
    <w:rsid w:val="00AD6F24"/>
    <w:rsid w:val="00AD6FF2"/>
    <w:rsid w:val="00AD7C52"/>
    <w:rsid w:val="00AE020F"/>
    <w:rsid w:val="00AE0BF5"/>
    <w:rsid w:val="00AE0DC5"/>
    <w:rsid w:val="00AE141C"/>
    <w:rsid w:val="00AE18DF"/>
    <w:rsid w:val="00AE18FD"/>
    <w:rsid w:val="00AE1BFF"/>
    <w:rsid w:val="00AE20A9"/>
    <w:rsid w:val="00AE2334"/>
    <w:rsid w:val="00AE25CF"/>
    <w:rsid w:val="00AE2623"/>
    <w:rsid w:val="00AE2718"/>
    <w:rsid w:val="00AE290F"/>
    <w:rsid w:val="00AE29B8"/>
    <w:rsid w:val="00AE2E43"/>
    <w:rsid w:val="00AE31BD"/>
    <w:rsid w:val="00AE36AF"/>
    <w:rsid w:val="00AE3AC1"/>
    <w:rsid w:val="00AE424C"/>
    <w:rsid w:val="00AE428B"/>
    <w:rsid w:val="00AE4580"/>
    <w:rsid w:val="00AE4A25"/>
    <w:rsid w:val="00AE4AFB"/>
    <w:rsid w:val="00AE4DAB"/>
    <w:rsid w:val="00AE4F80"/>
    <w:rsid w:val="00AE5077"/>
    <w:rsid w:val="00AE5E2D"/>
    <w:rsid w:val="00AE636A"/>
    <w:rsid w:val="00AE675E"/>
    <w:rsid w:val="00AE6C00"/>
    <w:rsid w:val="00AE6FEC"/>
    <w:rsid w:val="00AE71E1"/>
    <w:rsid w:val="00AE7452"/>
    <w:rsid w:val="00AE7481"/>
    <w:rsid w:val="00AE759D"/>
    <w:rsid w:val="00AE75C2"/>
    <w:rsid w:val="00AE7875"/>
    <w:rsid w:val="00AE7943"/>
    <w:rsid w:val="00AE79FE"/>
    <w:rsid w:val="00AE7B9C"/>
    <w:rsid w:val="00AE7DDB"/>
    <w:rsid w:val="00AEECC4"/>
    <w:rsid w:val="00AF02D4"/>
    <w:rsid w:val="00AF04D3"/>
    <w:rsid w:val="00AF061E"/>
    <w:rsid w:val="00AF067B"/>
    <w:rsid w:val="00AF0874"/>
    <w:rsid w:val="00AF0B9D"/>
    <w:rsid w:val="00AF0DDD"/>
    <w:rsid w:val="00AF0E11"/>
    <w:rsid w:val="00AF1068"/>
    <w:rsid w:val="00AF1297"/>
    <w:rsid w:val="00AF15AA"/>
    <w:rsid w:val="00AF179C"/>
    <w:rsid w:val="00AF1A6B"/>
    <w:rsid w:val="00AF1A96"/>
    <w:rsid w:val="00AF205E"/>
    <w:rsid w:val="00AF237A"/>
    <w:rsid w:val="00AF24F6"/>
    <w:rsid w:val="00AF26E8"/>
    <w:rsid w:val="00AF2F5E"/>
    <w:rsid w:val="00AF333D"/>
    <w:rsid w:val="00AF33A7"/>
    <w:rsid w:val="00AF341C"/>
    <w:rsid w:val="00AF3488"/>
    <w:rsid w:val="00AF3672"/>
    <w:rsid w:val="00AF3861"/>
    <w:rsid w:val="00AF38AF"/>
    <w:rsid w:val="00AF3ED0"/>
    <w:rsid w:val="00AF3F19"/>
    <w:rsid w:val="00AF427C"/>
    <w:rsid w:val="00AF4489"/>
    <w:rsid w:val="00AF4B0A"/>
    <w:rsid w:val="00AF4C47"/>
    <w:rsid w:val="00AF4DC3"/>
    <w:rsid w:val="00AF5118"/>
    <w:rsid w:val="00AF5148"/>
    <w:rsid w:val="00AF54F7"/>
    <w:rsid w:val="00AF5B47"/>
    <w:rsid w:val="00AF615F"/>
    <w:rsid w:val="00AF61FD"/>
    <w:rsid w:val="00AF6550"/>
    <w:rsid w:val="00AF665F"/>
    <w:rsid w:val="00AF6A96"/>
    <w:rsid w:val="00AF6AE4"/>
    <w:rsid w:val="00AF6CEB"/>
    <w:rsid w:val="00AF6D50"/>
    <w:rsid w:val="00AF6E31"/>
    <w:rsid w:val="00AF7032"/>
    <w:rsid w:val="00AF73CC"/>
    <w:rsid w:val="00AF741A"/>
    <w:rsid w:val="00AF761F"/>
    <w:rsid w:val="00AF7B18"/>
    <w:rsid w:val="00AF7BC1"/>
    <w:rsid w:val="00AF7C44"/>
    <w:rsid w:val="00AF7DB6"/>
    <w:rsid w:val="00AF7DF3"/>
    <w:rsid w:val="00AF7F1F"/>
    <w:rsid w:val="00B003EF"/>
    <w:rsid w:val="00B00428"/>
    <w:rsid w:val="00B00672"/>
    <w:rsid w:val="00B0072E"/>
    <w:rsid w:val="00B007DB"/>
    <w:rsid w:val="00B00A23"/>
    <w:rsid w:val="00B00EA8"/>
    <w:rsid w:val="00B00EE4"/>
    <w:rsid w:val="00B01853"/>
    <w:rsid w:val="00B01B72"/>
    <w:rsid w:val="00B01BD1"/>
    <w:rsid w:val="00B01E7F"/>
    <w:rsid w:val="00B02035"/>
    <w:rsid w:val="00B02095"/>
    <w:rsid w:val="00B0213E"/>
    <w:rsid w:val="00B0216E"/>
    <w:rsid w:val="00B02396"/>
    <w:rsid w:val="00B029B7"/>
    <w:rsid w:val="00B02DD5"/>
    <w:rsid w:val="00B02EF5"/>
    <w:rsid w:val="00B03041"/>
    <w:rsid w:val="00B032C1"/>
    <w:rsid w:val="00B03554"/>
    <w:rsid w:val="00B0374F"/>
    <w:rsid w:val="00B03FD9"/>
    <w:rsid w:val="00B04516"/>
    <w:rsid w:val="00B04A81"/>
    <w:rsid w:val="00B05241"/>
    <w:rsid w:val="00B052F7"/>
    <w:rsid w:val="00B05487"/>
    <w:rsid w:val="00B058F5"/>
    <w:rsid w:val="00B05926"/>
    <w:rsid w:val="00B05A70"/>
    <w:rsid w:val="00B05B97"/>
    <w:rsid w:val="00B05CC0"/>
    <w:rsid w:val="00B065AD"/>
    <w:rsid w:val="00B06BFA"/>
    <w:rsid w:val="00B06E9C"/>
    <w:rsid w:val="00B07132"/>
    <w:rsid w:val="00B07820"/>
    <w:rsid w:val="00B07A5D"/>
    <w:rsid w:val="00B07B38"/>
    <w:rsid w:val="00B07B9A"/>
    <w:rsid w:val="00B07E9B"/>
    <w:rsid w:val="00B10078"/>
    <w:rsid w:val="00B1061A"/>
    <w:rsid w:val="00B106EF"/>
    <w:rsid w:val="00B107F0"/>
    <w:rsid w:val="00B10823"/>
    <w:rsid w:val="00B1092F"/>
    <w:rsid w:val="00B10AF6"/>
    <w:rsid w:val="00B10C4D"/>
    <w:rsid w:val="00B10D5C"/>
    <w:rsid w:val="00B10F6C"/>
    <w:rsid w:val="00B1100C"/>
    <w:rsid w:val="00B11476"/>
    <w:rsid w:val="00B11AE6"/>
    <w:rsid w:val="00B11B71"/>
    <w:rsid w:val="00B11FC9"/>
    <w:rsid w:val="00B125F9"/>
    <w:rsid w:val="00B12F63"/>
    <w:rsid w:val="00B12F69"/>
    <w:rsid w:val="00B131AD"/>
    <w:rsid w:val="00B13290"/>
    <w:rsid w:val="00B1335F"/>
    <w:rsid w:val="00B13446"/>
    <w:rsid w:val="00B13625"/>
    <w:rsid w:val="00B1403C"/>
    <w:rsid w:val="00B14221"/>
    <w:rsid w:val="00B14358"/>
    <w:rsid w:val="00B14873"/>
    <w:rsid w:val="00B14B0A"/>
    <w:rsid w:val="00B150FA"/>
    <w:rsid w:val="00B154A8"/>
    <w:rsid w:val="00B15664"/>
    <w:rsid w:val="00B15675"/>
    <w:rsid w:val="00B156A3"/>
    <w:rsid w:val="00B156DB"/>
    <w:rsid w:val="00B15C8C"/>
    <w:rsid w:val="00B15D8A"/>
    <w:rsid w:val="00B15DDB"/>
    <w:rsid w:val="00B15FA5"/>
    <w:rsid w:val="00B15FB5"/>
    <w:rsid w:val="00B160DD"/>
    <w:rsid w:val="00B16115"/>
    <w:rsid w:val="00B16282"/>
    <w:rsid w:val="00B16293"/>
    <w:rsid w:val="00B16315"/>
    <w:rsid w:val="00B1652D"/>
    <w:rsid w:val="00B1674D"/>
    <w:rsid w:val="00B168A0"/>
    <w:rsid w:val="00B168E4"/>
    <w:rsid w:val="00B1753F"/>
    <w:rsid w:val="00B17C65"/>
    <w:rsid w:val="00B17EBB"/>
    <w:rsid w:val="00B17F5A"/>
    <w:rsid w:val="00B19EBA"/>
    <w:rsid w:val="00B2032A"/>
    <w:rsid w:val="00B20612"/>
    <w:rsid w:val="00B20750"/>
    <w:rsid w:val="00B2084E"/>
    <w:rsid w:val="00B20CF4"/>
    <w:rsid w:val="00B20D3C"/>
    <w:rsid w:val="00B214A4"/>
    <w:rsid w:val="00B21AC4"/>
    <w:rsid w:val="00B21B5A"/>
    <w:rsid w:val="00B21CC4"/>
    <w:rsid w:val="00B21D34"/>
    <w:rsid w:val="00B21FD8"/>
    <w:rsid w:val="00B223BE"/>
    <w:rsid w:val="00B2280D"/>
    <w:rsid w:val="00B22893"/>
    <w:rsid w:val="00B22E28"/>
    <w:rsid w:val="00B22F75"/>
    <w:rsid w:val="00B23183"/>
    <w:rsid w:val="00B233FD"/>
    <w:rsid w:val="00B23489"/>
    <w:rsid w:val="00B23677"/>
    <w:rsid w:val="00B244D1"/>
    <w:rsid w:val="00B2469F"/>
    <w:rsid w:val="00B2487E"/>
    <w:rsid w:val="00B2495A"/>
    <w:rsid w:val="00B24DFE"/>
    <w:rsid w:val="00B250FC"/>
    <w:rsid w:val="00B259D0"/>
    <w:rsid w:val="00B25CDB"/>
    <w:rsid w:val="00B25D50"/>
    <w:rsid w:val="00B25E03"/>
    <w:rsid w:val="00B26150"/>
    <w:rsid w:val="00B262CF"/>
    <w:rsid w:val="00B262F6"/>
    <w:rsid w:val="00B263F6"/>
    <w:rsid w:val="00B26456"/>
    <w:rsid w:val="00B26A61"/>
    <w:rsid w:val="00B26D82"/>
    <w:rsid w:val="00B271DB"/>
    <w:rsid w:val="00B27310"/>
    <w:rsid w:val="00B27708"/>
    <w:rsid w:val="00B27A7A"/>
    <w:rsid w:val="00B27C80"/>
    <w:rsid w:val="00B27D51"/>
    <w:rsid w:val="00B27E2D"/>
    <w:rsid w:val="00B300A3"/>
    <w:rsid w:val="00B301BF"/>
    <w:rsid w:val="00B302B1"/>
    <w:rsid w:val="00B30485"/>
    <w:rsid w:val="00B30489"/>
    <w:rsid w:val="00B30529"/>
    <w:rsid w:val="00B307FA"/>
    <w:rsid w:val="00B30AE6"/>
    <w:rsid w:val="00B310FF"/>
    <w:rsid w:val="00B31437"/>
    <w:rsid w:val="00B314F3"/>
    <w:rsid w:val="00B31506"/>
    <w:rsid w:val="00B31A63"/>
    <w:rsid w:val="00B32105"/>
    <w:rsid w:val="00B32202"/>
    <w:rsid w:val="00B3263B"/>
    <w:rsid w:val="00B329A4"/>
    <w:rsid w:val="00B32A50"/>
    <w:rsid w:val="00B32ADD"/>
    <w:rsid w:val="00B32F2C"/>
    <w:rsid w:val="00B32F34"/>
    <w:rsid w:val="00B33921"/>
    <w:rsid w:val="00B339E2"/>
    <w:rsid w:val="00B33FE2"/>
    <w:rsid w:val="00B34443"/>
    <w:rsid w:val="00B344CC"/>
    <w:rsid w:val="00B34761"/>
    <w:rsid w:val="00B3493E"/>
    <w:rsid w:val="00B349F9"/>
    <w:rsid w:val="00B34AB4"/>
    <w:rsid w:val="00B34BEC"/>
    <w:rsid w:val="00B34C95"/>
    <w:rsid w:val="00B34CD0"/>
    <w:rsid w:val="00B3504C"/>
    <w:rsid w:val="00B35497"/>
    <w:rsid w:val="00B3585D"/>
    <w:rsid w:val="00B3599F"/>
    <w:rsid w:val="00B35BBA"/>
    <w:rsid w:val="00B35E4F"/>
    <w:rsid w:val="00B35EE5"/>
    <w:rsid w:val="00B36009"/>
    <w:rsid w:val="00B36588"/>
    <w:rsid w:val="00B36EBF"/>
    <w:rsid w:val="00B36F0A"/>
    <w:rsid w:val="00B37422"/>
    <w:rsid w:val="00B37628"/>
    <w:rsid w:val="00B378A8"/>
    <w:rsid w:val="00B379F4"/>
    <w:rsid w:val="00B401D4"/>
    <w:rsid w:val="00B4022B"/>
    <w:rsid w:val="00B40643"/>
    <w:rsid w:val="00B40DD7"/>
    <w:rsid w:val="00B4180E"/>
    <w:rsid w:val="00B41AB7"/>
    <w:rsid w:val="00B41CCE"/>
    <w:rsid w:val="00B4208E"/>
    <w:rsid w:val="00B424C3"/>
    <w:rsid w:val="00B42817"/>
    <w:rsid w:val="00B428D4"/>
    <w:rsid w:val="00B42B7D"/>
    <w:rsid w:val="00B430FB"/>
    <w:rsid w:val="00B431BD"/>
    <w:rsid w:val="00B433C4"/>
    <w:rsid w:val="00B433C8"/>
    <w:rsid w:val="00B438F8"/>
    <w:rsid w:val="00B439E4"/>
    <w:rsid w:val="00B43F7B"/>
    <w:rsid w:val="00B43FD6"/>
    <w:rsid w:val="00B43FFE"/>
    <w:rsid w:val="00B440AB"/>
    <w:rsid w:val="00B44287"/>
    <w:rsid w:val="00B44819"/>
    <w:rsid w:val="00B44954"/>
    <w:rsid w:val="00B44D16"/>
    <w:rsid w:val="00B44FD1"/>
    <w:rsid w:val="00B44FF7"/>
    <w:rsid w:val="00B453DB"/>
    <w:rsid w:val="00B455F8"/>
    <w:rsid w:val="00B4560B"/>
    <w:rsid w:val="00B4566D"/>
    <w:rsid w:val="00B45933"/>
    <w:rsid w:val="00B459FD"/>
    <w:rsid w:val="00B45B7E"/>
    <w:rsid w:val="00B45BEF"/>
    <w:rsid w:val="00B4618B"/>
    <w:rsid w:val="00B461E8"/>
    <w:rsid w:val="00B46339"/>
    <w:rsid w:val="00B46448"/>
    <w:rsid w:val="00B46ACB"/>
    <w:rsid w:val="00B46EEA"/>
    <w:rsid w:val="00B46F45"/>
    <w:rsid w:val="00B47231"/>
    <w:rsid w:val="00B47254"/>
    <w:rsid w:val="00B4734F"/>
    <w:rsid w:val="00B4777B"/>
    <w:rsid w:val="00B47C74"/>
    <w:rsid w:val="00B47D38"/>
    <w:rsid w:val="00B47EB6"/>
    <w:rsid w:val="00B47F7A"/>
    <w:rsid w:val="00B50324"/>
    <w:rsid w:val="00B504DD"/>
    <w:rsid w:val="00B507C5"/>
    <w:rsid w:val="00B508BA"/>
    <w:rsid w:val="00B50CAF"/>
    <w:rsid w:val="00B50E6A"/>
    <w:rsid w:val="00B5116D"/>
    <w:rsid w:val="00B51599"/>
    <w:rsid w:val="00B515A8"/>
    <w:rsid w:val="00B515F0"/>
    <w:rsid w:val="00B517F5"/>
    <w:rsid w:val="00B519D1"/>
    <w:rsid w:val="00B51C96"/>
    <w:rsid w:val="00B51D6F"/>
    <w:rsid w:val="00B51EF1"/>
    <w:rsid w:val="00B5204B"/>
    <w:rsid w:val="00B524B2"/>
    <w:rsid w:val="00B5253C"/>
    <w:rsid w:val="00B525AB"/>
    <w:rsid w:val="00B525D8"/>
    <w:rsid w:val="00B52651"/>
    <w:rsid w:val="00B5274D"/>
    <w:rsid w:val="00B5276D"/>
    <w:rsid w:val="00B5290F"/>
    <w:rsid w:val="00B52A1D"/>
    <w:rsid w:val="00B52D13"/>
    <w:rsid w:val="00B5379E"/>
    <w:rsid w:val="00B53A4A"/>
    <w:rsid w:val="00B53BAC"/>
    <w:rsid w:val="00B53D08"/>
    <w:rsid w:val="00B53EF2"/>
    <w:rsid w:val="00B54389"/>
    <w:rsid w:val="00B548F5"/>
    <w:rsid w:val="00B54C28"/>
    <w:rsid w:val="00B54D5D"/>
    <w:rsid w:val="00B55051"/>
    <w:rsid w:val="00B550BB"/>
    <w:rsid w:val="00B555DE"/>
    <w:rsid w:val="00B5598E"/>
    <w:rsid w:val="00B55B1C"/>
    <w:rsid w:val="00B55E10"/>
    <w:rsid w:val="00B55F2E"/>
    <w:rsid w:val="00B56015"/>
    <w:rsid w:val="00B56043"/>
    <w:rsid w:val="00B564CC"/>
    <w:rsid w:val="00B56704"/>
    <w:rsid w:val="00B56FB8"/>
    <w:rsid w:val="00B57144"/>
    <w:rsid w:val="00B5785E"/>
    <w:rsid w:val="00B57989"/>
    <w:rsid w:val="00B57C16"/>
    <w:rsid w:val="00B57D98"/>
    <w:rsid w:val="00B57F1D"/>
    <w:rsid w:val="00B57F58"/>
    <w:rsid w:val="00B60234"/>
    <w:rsid w:val="00B60353"/>
    <w:rsid w:val="00B60804"/>
    <w:rsid w:val="00B6093B"/>
    <w:rsid w:val="00B60943"/>
    <w:rsid w:val="00B6140A"/>
    <w:rsid w:val="00B61446"/>
    <w:rsid w:val="00B61890"/>
    <w:rsid w:val="00B61DF0"/>
    <w:rsid w:val="00B62147"/>
    <w:rsid w:val="00B62214"/>
    <w:rsid w:val="00B62548"/>
    <w:rsid w:val="00B62839"/>
    <w:rsid w:val="00B62A69"/>
    <w:rsid w:val="00B62E38"/>
    <w:rsid w:val="00B62EFA"/>
    <w:rsid w:val="00B630D9"/>
    <w:rsid w:val="00B6351A"/>
    <w:rsid w:val="00B63FF5"/>
    <w:rsid w:val="00B64B90"/>
    <w:rsid w:val="00B64EB8"/>
    <w:rsid w:val="00B652B4"/>
    <w:rsid w:val="00B6536E"/>
    <w:rsid w:val="00B65558"/>
    <w:rsid w:val="00B65632"/>
    <w:rsid w:val="00B657A2"/>
    <w:rsid w:val="00B659D5"/>
    <w:rsid w:val="00B65CDC"/>
    <w:rsid w:val="00B65E39"/>
    <w:rsid w:val="00B660BC"/>
    <w:rsid w:val="00B66259"/>
    <w:rsid w:val="00B66898"/>
    <w:rsid w:val="00B668B7"/>
    <w:rsid w:val="00B669B8"/>
    <w:rsid w:val="00B66D5A"/>
    <w:rsid w:val="00B66FDC"/>
    <w:rsid w:val="00B670BC"/>
    <w:rsid w:val="00B670DA"/>
    <w:rsid w:val="00B67223"/>
    <w:rsid w:val="00B673A9"/>
    <w:rsid w:val="00B67532"/>
    <w:rsid w:val="00B676F4"/>
    <w:rsid w:val="00B67B07"/>
    <w:rsid w:val="00B67F94"/>
    <w:rsid w:val="00B70149"/>
    <w:rsid w:val="00B70163"/>
    <w:rsid w:val="00B706AA"/>
    <w:rsid w:val="00B7086A"/>
    <w:rsid w:val="00B70915"/>
    <w:rsid w:val="00B70A3E"/>
    <w:rsid w:val="00B70C23"/>
    <w:rsid w:val="00B70D4B"/>
    <w:rsid w:val="00B71130"/>
    <w:rsid w:val="00B713B2"/>
    <w:rsid w:val="00B715D0"/>
    <w:rsid w:val="00B71703"/>
    <w:rsid w:val="00B719A3"/>
    <w:rsid w:val="00B71C62"/>
    <w:rsid w:val="00B71D6F"/>
    <w:rsid w:val="00B723E5"/>
    <w:rsid w:val="00B7243B"/>
    <w:rsid w:val="00B728BA"/>
    <w:rsid w:val="00B728E0"/>
    <w:rsid w:val="00B72941"/>
    <w:rsid w:val="00B72FE3"/>
    <w:rsid w:val="00B73038"/>
    <w:rsid w:val="00B7339E"/>
    <w:rsid w:val="00B73590"/>
    <w:rsid w:val="00B73836"/>
    <w:rsid w:val="00B73C63"/>
    <w:rsid w:val="00B7420A"/>
    <w:rsid w:val="00B744A6"/>
    <w:rsid w:val="00B74635"/>
    <w:rsid w:val="00B74727"/>
    <w:rsid w:val="00B74F54"/>
    <w:rsid w:val="00B75087"/>
    <w:rsid w:val="00B75114"/>
    <w:rsid w:val="00B75127"/>
    <w:rsid w:val="00B751CB"/>
    <w:rsid w:val="00B755A5"/>
    <w:rsid w:val="00B755DB"/>
    <w:rsid w:val="00B757A8"/>
    <w:rsid w:val="00B75AD1"/>
    <w:rsid w:val="00B75B36"/>
    <w:rsid w:val="00B75D22"/>
    <w:rsid w:val="00B75DBC"/>
    <w:rsid w:val="00B75FD1"/>
    <w:rsid w:val="00B76062"/>
    <w:rsid w:val="00B7606B"/>
    <w:rsid w:val="00B767DE"/>
    <w:rsid w:val="00B76939"/>
    <w:rsid w:val="00B7697D"/>
    <w:rsid w:val="00B76D0E"/>
    <w:rsid w:val="00B76EB1"/>
    <w:rsid w:val="00B7758C"/>
    <w:rsid w:val="00B77E48"/>
    <w:rsid w:val="00B7818E"/>
    <w:rsid w:val="00B80078"/>
    <w:rsid w:val="00B800BD"/>
    <w:rsid w:val="00B804EE"/>
    <w:rsid w:val="00B80604"/>
    <w:rsid w:val="00B80A31"/>
    <w:rsid w:val="00B810AF"/>
    <w:rsid w:val="00B811ED"/>
    <w:rsid w:val="00B81257"/>
    <w:rsid w:val="00B81509"/>
    <w:rsid w:val="00B8172F"/>
    <w:rsid w:val="00B817E5"/>
    <w:rsid w:val="00B81A20"/>
    <w:rsid w:val="00B81EEB"/>
    <w:rsid w:val="00B82594"/>
    <w:rsid w:val="00B8271F"/>
    <w:rsid w:val="00B82F71"/>
    <w:rsid w:val="00B83030"/>
    <w:rsid w:val="00B830CD"/>
    <w:rsid w:val="00B8353E"/>
    <w:rsid w:val="00B837D2"/>
    <w:rsid w:val="00B83BEE"/>
    <w:rsid w:val="00B83C71"/>
    <w:rsid w:val="00B83F2D"/>
    <w:rsid w:val="00B83FF9"/>
    <w:rsid w:val="00B8422F"/>
    <w:rsid w:val="00B8458F"/>
    <w:rsid w:val="00B846F5"/>
    <w:rsid w:val="00B84999"/>
    <w:rsid w:val="00B84A48"/>
    <w:rsid w:val="00B84A88"/>
    <w:rsid w:val="00B84AEB"/>
    <w:rsid w:val="00B84EA1"/>
    <w:rsid w:val="00B85358"/>
    <w:rsid w:val="00B855CA"/>
    <w:rsid w:val="00B85785"/>
    <w:rsid w:val="00B85786"/>
    <w:rsid w:val="00B85A88"/>
    <w:rsid w:val="00B85D29"/>
    <w:rsid w:val="00B85E47"/>
    <w:rsid w:val="00B86298"/>
    <w:rsid w:val="00B86517"/>
    <w:rsid w:val="00B86623"/>
    <w:rsid w:val="00B86704"/>
    <w:rsid w:val="00B86850"/>
    <w:rsid w:val="00B86D81"/>
    <w:rsid w:val="00B876A0"/>
    <w:rsid w:val="00B878E9"/>
    <w:rsid w:val="00B87C26"/>
    <w:rsid w:val="00B87E58"/>
    <w:rsid w:val="00B9016F"/>
    <w:rsid w:val="00B9023A"/>
    <w:rsid w:val="00B90CFB"/>
    <w:rsid w:val="00B90DA1"/>
    <w:rsid w:val="00B912A7"/>
    <w:rsid w:val="00B916D1"/>
    <w:rsid w:val="00B916D4"/>
    <w:rsid w:val="00B917E2"/>
    <w:rsid w:val="00B91F49"/>
    <w:rsid w:val="00B91FAF"/>
    <w:rsid w:val="00B92053"/>
    <w:rsid w:val="00B92D80"/>
    <w:rsid w:val="00B92F11"/>
    <w:rsid w:val="00B93123"/>
    <w:rsid w:val="00B93457"/>
    <w:rsid w:val="00B937D3"/>
    <w:rsid w:val="00B939B9"/>
    <w:rsid w:val="00B93DDC"/>
    <w:rsid w:val="00B93E93"/>
    <w:rsid w:val="00B93F5B"/>
    <w:rsid w:val="00B93FCE"/>
    <w:rsid w:val="00B9421D"/>
    <w:rsid w:val="00B943FF"/>
    <w:rsid w:val="00B94535"/>
    <w:rsid w:val="00B945B9"/>
    <w:rsid w:val="00B9466F"/>
    <w:rsid w:val="00B946CC"/>
    <w:rsid w:val="00B94A6A"/>
    <w:rsid w:val="00B94BFA"/>
    <w:rsid w:val="00B951AE"/>
    <w:rsid w:val="00B952A1"/>
    <w:rsid w:val="00B9546F"/>
    <w:rsid w:val="00B956A1"/>
    <w:rsid w:val="00B95707"/>
    <w:rsid w:val="00B9594C"/>
    <w:rsid w:val="00B95B87"/>
    <w:rsid w:val="00B96803"/>
    <w:rsid w:val="00B9687B"/>
    <w:rsid w:val="00B968B4"/>
    <w:rsid w:val="00B969E6"/>
    <w:rsid w:val="00B96A0B"/>
    <w:rsid w:val="00B96CC2"/>
    <w:rsid w:val="00B96CD8"/>
    <w:rsid w:val="00B96E3F"/>
    <w:rsid w:val="00B97131"/>
    <w:rsid w:val="00B971F6"/>
    <w:rsid w:val="00B97294"/>
    <w:rsid w:val="00B97406"/>
    <w:rsid w:val="00B976DA"/>
    <w:rsid w:val="00B977F2"/>
    <w:rsid w:val="00B978F9"/>
    <w:rsid w:val="00B97D9F"/>
    <w:rsid w:val="00B97FA7"/>
    <w:rsid w:val="00BA0015"/>
    <w:rsid w:val="00BA01DA"/>
    <w:rsid w:val="00BA0440"/>
    <w:rsid w:val="00BA09B3"/>
    <w:rsid w:val="00BA0CE2"/>
    <w:rsid w:val="00BA0DD2"/>
    <w:rsid w:val="00BA11A9"/>
    <w:rsid w:val="00BA130D"/>
    <w:rsid w:val="00BA1361"/>
    <w:rsid w:val="00BA17F2"/>
    <w:rsid w:val="00BA18C3"/>
    <w:rsid w:val="00BA18F5"/>
    <w:rsid w:val="00BA1C9B"/>
    <w:rsid w:val="00BA1DB7"/>
    <w:rsid w:val="00BA1F15"/>
    <w:rsid w:val="00BA1FB7"/>
    <w:rsid w:val="00BA2516"/>
    <w:rsid w:val="00BA2746"/>
    <w:rsid w:val="00BA2D14"/>
    <w:rsid w:val="00BA2D38"/>
    <w:rsid w:val="00BA2E5E"/>
    <w:rsid w:val="00BA2F5B"/>
    <w:rsid w:val="00BA3069"/>
    <w:rsid w:val="00BA3240"/>
    <w:rsid w:val="00BA337A"/>
    <w:rsid w:val="00BA35DD"/>
    <w:rsid w:val="00BA37C8"/>
    <w:rsid w:val="00BA390D"/>
    <w:rsid w:val="00BA395F"/>
    <w:rsid w:val="00BA3B3D"/>
    <w:rsid w:val="00BA3BCA"/>
    <w:rsid w:val="00BA3D30"/>
    <w:rsid w:val="00BA488B"/>
    <w:rsid w:val="00BA592F"/>
    <w:rsid w:val="00BA5A8B"/>
    <w:rsid w:val="00BA5B38"/>
    <w:rsid w:val="00BA5E58"/>
    <w:rsid w:val="00BA6141"/>
    <w:rsid w:val="00BA636A"/>
    <w:rsid w:val="00BA6410"/>
    <w:rsid w:val="00BA65E5"/>
    <w:rsid w:val="00BA66B5"/>
    <w:rsid w:val="00BA6AFB"/>
    <w:rsid w:val="00BA7311"/>
    <w:rsid w:val="00BA73AA"/>
    <w:rsid w:val="00BA7476"/>
    <w:rsid w:val="00BA75A3"/>
    <w:rsid w:val="00BA794E"/>
    <w:rsid w:val="00BA7DB7"/>
    <w:rsid w:val="00BA7EBC"/>
    <w:rsid w:val="00BB030A"/>
    <w:rsid w:val="00BB0DD6"/>
    <w:rsid w:val="00BB0E24"/>
    <w:rsid w:val="00BB1616"/>
    <w:rsid w:val="00BB1DC0"/>
    <w:rsid w:val="00BB2462"/>
    <w:rsid w:val="00BB28F1"/>
    <w:rsid w:val="00BB2A0E"/>
    <w:rsid w:val="00BB2CD0"/>
    <w:rsid w:val="00BB337F"/>
    <w:rsid w:val="00BB3EAF"/>
    <w:rsid w:val="00BB3EC9"/>
    <w:rsid w:val="00BB4224"/>
    <w:rsid w:val="00BB4391"/>
    <w:rsid w:val="00BB43EF"/>
    <w:rsid w:val="00BB4AE4"/>
    <w:rsid w:val="00BB4E57"/>
    <w:rsid w:val="00BB510F"/>
    <w:rsid w:val="00BB5489"/>
    <w:rsid w:val="00BB57AF"/>
    <w:rsid w:val="00BB5AE8"/>
    <w:rsid w:val="00BB5BC6"/>
    <w:rsid w:val="00BB5C8F"/>
    <w:rsid w:val="00BB5E93"/>
    <w:rsid w:val="00BB6218"/>
    <w:rsid w:val="00BB6961"/>
    <w:rsid w:val="00BB69A9"/>
    <w:rsid w:val="00BB6CA6"/>
    <w:rsid w:val="00BB70E9"/>
    <w:rsid w:val="00BB7375"/>
    <w:rsid w:val="00BB739B"/>
    <w:rsid w:val="00BB73C5"/>
    <w:rsid w:val="00BB7578"/>
    <w:rsid w:val="00BB75A9"/>
    <w:rsid w:val="00BB76E8"/>
    <w:rsid w:val="00BB77BD"/>
    <w:rsid w:val="00BB7949"/>
    <w:rsid w:val="00BB79CA"/>
    <w:rsid w:val="00BB7A40"/>
    <w:rsid w:val="00BB7A60"/>
    <w:rsid w:val="00BB7CC0"/>
    <w:rsid w:val="00BB7F9F"/>
    <w:rsid w:val="00BC0067"/>
    <w:rsid w:val="00BC0192"/>
    <w:rsid w:val="00BC051D"/>
    <w:rsid w:val="00BC061B"/>
    <w:rsid w:val="00BC080A"/>
    <w:rsid w:val="00BC0903"/>
    <w:rsid w:val="00BC097F"/>
    <w:rsid w:val="00BC0B35"/>
    <w:rsid w:val="00BC11F5"/>
    <w:rsid w:val="00BC11FB"/>
    <w:rsid w:val="00BC13F4"/>
    <w:rsid w:val="00BC1949"/>
    <w:rsid w:val="00BC1A5C"/>
    <w:rsid w:val="00BC1FD9"/>
    <w:rsid w:val="00BC21AA"/>
    <w:rsid w:val="00BC2776"/>
    <w:rsid w:val="00BC295F"/>
    <w:rsid w:val="00BC2EC4"/>
    <w:rsid w:val="00BC329F"/>
    <w:rsid w:val="00BC3371"/>
    <w:rsid w:val="00BC39B8"/>
    <w:rsid w:val="00BC3A58"/>
    <w:rsid w:val="00BC3D97"/>
    <w:rsid w:val="00BC474C"/>
    <w:rsid w:val="00BC4912"/>
    <w:rsid w:val="00BC49D8"/>
    <w:rsid w:val="00BC4F10"/>
    <w:rsid w:val="00BC4F51"/>
    <w:rsid w:val="00BC53A5"/>
    <w:rsid w:val="00BC56B6"/>
    <w:rsid w:val="00BC57A0"/>
    <w:rsid w:val="00BC5ACA"/>
    <w:rsid w:val="00BC5BE4"/>
    <w:rsid w:val="00BC5F16"/>
    <w:rsid w:val="00BC6079"/>
    <w:rsid w:val="00BC61CD"/>
    <w:rsid w:val="00BC6469"/>
    <w:rsid w:val="00BC660A"/>
    <w:rsid w:val="00BC663C"/>
    <w:rsid w:val="00BC6E3B"/>
    <w:rsid w:val="00BC70E2"/>
    <w:rsid w:val="00BC7104"/>
    <w:rsid w:val="00BC7284"/>
    <w:rsid w:val="00BC7DA8"/>
    <w:rsid w:val="00BD012B"/>
    <w:rsid w:val="00BD098C"/>
    <w:rsid w:val="00BD199E"/>
    <w:rsid w:val="00BD1B2F"/>
    <w:rsid w:val="00BD1CF9"/>
    <w:rsid w:val="00BD1D9B"/>
    <w:rsid w:val="00BD1DEF"/>
    <w:rsid w:val="00BD1E59"/>
    <w:rsid w:val="00BD1F23"/>
    <w:rsid w:val="00BD1FAB"/>
    <w:rsid w:val="00BD2139"/>
    <w:rsid w:val="00BD23E9"/>
    <w:rsid w:val="00BD25C6"/>
    <w:rsid w:val="00BD263E"/>
    <w:rsid w:val="00BD2810"/>
    <w:rsid w:val="00BD2F7D"/>
    <w:rsid w:val="00BD303D"/>
    <w:rsid w:val="00BD3509"/>
    <w:rsid w:val="00BD35F4"/>
    <w:rsid w:val="00BD3615"/>
    <w:rsid w:val="00BD3C09"/>
    <w:rsid w:val="00BD3DAD"/>
    <w:rsid w:val="00BD4184"/>
    <w:rsid w:val="00BD4281"/>
    <w:rsid w:val="00BD4715"/>
    <w:rsid w:val="00BD4B43"/>
    <w:rsid w:val="00BD4B92"/>
    <w:rsid w:val="00BD4C65"/>
    <w:rsid w:val="00BD53F2"/>
    <w:rsid w:val="00BD5A0D"/>
    <w:rsid w:val="00BD5B99"/>
    <w:rsid w:val="00BD5C00"/>
    <w:rsid w:val="00BD5E0D"/>
    <w:rsid w:val="00BD5F49"/>
    <w:rsid w:val="00BD5F58"/>
    <w:rsid w:val="00BD6FA6"/>
    <w:rsid w:val="00BD767C"/>
    <w:rsid w:val="00BD7926"/>
    <w:rsid w:val="00BD792E"/>
    <w:rsid w:val="00BD794D"/>
    <w:rsid w:val="00BD8C4A"/>
    <w:rsid w:val="00BE00AE"/>
    <w:rsid w:val="00BE012B"/>
    <w:rsid w:val="00BE0472"/>
    <w:rsid w:val="00BE0840"/>
    <w:rsid w:val="00BE0895"/>
    <w:rsid w:val="00BE0925"/>
    <w:rsid w:val="00BE0D03"/>
    <w:rsid w:val="00BE0DE1"/>
    <w:rsid w:val="00BE0F4D"/>
    <w:rsid w:val="00BE0F76"/>
    <w:rsid w:val="00BE10EA"/>
    <w:rsid w:val="00BE1455"/>
    <w:rsid w:val="00BE19C6"/>
    <w:rsid w:val="00BE21E9"/>
    <w:rsid w:val="00BE2E10"/>
    <w:rsid w:val="00BE2F6B"/>
    <w:rsid w:val="00BE362F"/>
    <w:rsid w:val="00BE3D1E"/>
    <w:rsid w:val="00BE3DB6"/>
    <w:rsid w:val="00BE3E0D"/>
    <w:rsid w:val="00BE3E75"/>
    <w:rsid w:val="00BE3E90"/>
    <w:rsid w:val="00BE4620"/>
    <w:rsid w:val="00BE463A"/>
    <w:rsid w:val="00BE479A"/>
    <w:rsid w:val="00BE484E"/>
    <w:rsid w:val="00BE54E0"/>
    <w:rsid w:val="00BE5573"/>
    <w:rsid w:val="00BE5EF5"/>
    <w:rsid w:val="00BE609E"/>
    <w:rsid w:val="00BE6413"/>
    <w:rsid w:val="00BE655E"/>
    <w:rsid w:val="00BE66B5"/>
    <w:rsid w:val="00BE6869"/>
    <w:rsid w:val="00BE6AE1"/>
    <w:rsid w:val="00BE6C07"/>
    <w:rsid w:val="00BE6D4F"/>
    <w:rsid w:val="00BE7054"/>
    <w:rsid w:val="00BE7245"/>
    <w:rsid w:val="00BE74F2"/>
    <w:rsid w:val="00BE7BD9"/>
    <w:rsid w:val="00BF068B"/>
    <w:rsid w:val="00BF0818"/>
    <w:rsid w:val="00BF0A70"/>
    <w:rsid w:val="00BF0D93"/>
    <w:rsid w:val="00BF1638"/>
    <w:rsid w:val="00BF1BD1"/>
    <w:rsid w:val="00BF1C87"/>
    <w:rsid w:val="00BF2072"/>
    <w:rsid w:val="00BF21E7"/>
    <w:rsid w:val="00BF245F"/>
    <w:rsid w:val="00BF254B"/>
    <w:rsid w:val="00BF25DD"/>
    <w:rsid w:val="00BF267E"/>
    <w:rsid w:val="00BF2710"/>
    <w:rsid w:val="00BF27FA"/>
    <w:rsid w:val="00BF2A4B"/>
    <w:rsid w:val="00BF2C55"/>
    <w:rsid w:val="00BF30BA"/>
    <w:rsid w:val="00BF31BC"/>
    <w:rsid w:val="00BF349B"/>
    <w:rsid w:val="00BF369F"/>
    <w:rsid w:val="00BF36CF"/>
    <w:rsid w:val="00BF3B13"/>
    <w:rsid w:val="00BF4626"/>
    <w:rsid w:val="00BF4974"/>
    <w:rsid w:val="00BF4B5C"/>
    <w:rsid w:val="00BF4CD8"/>
    <w:rsid w:val="00BF4D61"/>
    <w:rsid w:val="00BF4F84"/>
    <w:rsid w:val="00BF5006"/>
    <w:rsid w:val="00BF528B"/>
    <w:rsid w:val="00BF57FD"/>
    <w:rsid w:val="00BF58E9"/>
    <w:rsid w:val="00BF5A8C"/>
    <w:rsid w:val="00BF698B"/>
    <w:rsid w:val="00BF6A39"/>
    <w:rsid w:val="00BF6C79"/>
    <w:rsid w:val="00BF6E72"/>
    <w:rsid w:val="00BF6F80"/>
    <w:rsid w:val="00BF74E5"/>
    <w:rsid w:val="00BF75FE"/>
    <w:rsid w:val="00BF79D6"/>
    <w:rsid w:val="00BF7A4A"/>
    <w:rsid w:val="00BF7B41"/>
    <w:rsid w:val="00BF7D3E"/>
    <w:rsid w:val="00BF7D87"/>
    <w:rsid w:val="00C002B5"/>
    <w:rsid w:val="00C00347"/>
    <w:rsid w:val="00C006BE"/>
    <w:rsid w:val="00C00813"/>
    <w:rsid w:val="00C00D22"/>
    <w:rsid w:val="00C0122E"/>
    <w:rsid w:val="00C013C9"/>
    <w:rsid w:val="00C01442"/>
    <w:rsid w:val="00C0148B"/>
    <w:rsid w:val="00C01807"/>
    <w:rsid w:val="00C01C4F"/>
    <w:rsid w:val="00C022E2"/>
    <w:rsid w:val="00C02663"/>
    <w:rsid w:val="00C02779"/>
    <w:rsid w:val="00C0288F"/>
    <w:rsid w:val="00C029EB"/>
    <w:rsid w:val="00C02CF6"/>
    <w:rsid w:val="00C02E24"/>
    <w:rsid w:val="00C02E7F"/>
    <w:rsid w:val="00C03041"/>
    <w:rsid w:val="00C038FB"/>
    <w:rsid w:val="00C03AEA"/>
    <w:rsid w:val="00C03D0F"/>
    <w:rsid w:val="00C03D2B"/>
    <w:rsid w:val="00C03D87"/>
    <w:rsid w:val="00C044CB"/>
    <w:rsid w:val="00C0473C"/>
    <w:rsid w:val="00C049F4"/>
    <w:rsid w:val="00C04CF2"/>
    <w:rsid w:val="00C056BC"/>
    <w:rsid w:val="00C05776"/>
    <w:rsid w:val="00C05799"/>
    <w:rsid w:val="00C064B2"/>
    <w:rsid w:val="00C066D9"/>
    <w:rsid w:val="00C0688E"/>
    <w:rsid w:val="00C069F8"/>
    <w:rsid w:val="00C06A0C"/>
    <w:rsid w:val="00C06B6A"/>
    <w:rsid w:val="00C06FFC"/>
    <w:rsid w:val="00C07099"/>
    <w:rsid w:val="00C0724A"/>
    <w:rsid w:val="00C072D1"/>
    <w:rsid w:val="00C072E3"/>
    <w:rsid w:val="00C0742B"/>
    <w:rsid w:val="00C07C26"/>
    <w:rsid w:val="00C07C8A"/>
    <w:rsid w:val="00C10060"/>
    <w:rsid w:val="00C1013B"/>
    <w:rsid w:val="00C10374"/>
    <w:rsid w:val="00C107F3"/>
    <w:rsid w:val="00C109F1"/>
    <w:rsid w:val="00C11061"/>
    <w:rsid w:val="00C11699"/>
    <w:rsid w:val="00C11951"/>
    <w:rsid w:val="00C11E46"/>
    <w:rsid w:val="00C1211B"/>
    <w:rsid w:val="00C122C3"/>
    <w:rsid w:val="00C127CB"/>
    <w:rsid w:val="00C12DDE"/>
    <w:rsid w:val="00C13148"/>
    <w:rsid w:val="00C133DA"/>
    <w:rsid w:val="00C134DF"/>
    <w:rsid w:val="00C1392A"/>
    <w:rsid w:val="00C13B7A"/>
    <w:rsid w:val="00C13BFC"/>
    <w:rsid w:val="00C13D9D"/>
    <w:rsid w:val="00C143F2"/>
    <w:rsid w:val="00C14B5E"/>
    <w:rsid w:val="00C1503C"/>
    <w:rsid w:val="00C150E3"/>
    <w:rsid w:val="00C1516F"/>
    <w:rsid w:val="00C15225"/>
    <w:rsid w:val="00C153A3"/>
    <w:rsid w:val="00C15824"/>
    <w:rsid w:val="00C1584C"/>
    <w:rsid w:val="00C15D31"/>
    <w:rsid w:val="00C15D58"/>
    <w:rsid w:val="00C161C4"/>
    <w:rsid w:val="00C1654E"/>
    <w:rsid w:val="00C16687"/>
    <w:rsid w:val="00C16819"/>
    <w:rsid w:val="00C1684D"/>
    <w:rsid w:val="00C16EAA"/>
    <w:rsid w:val="00C17114"/>
    <w:rsid w:val="00C17322"/>
    <w:rsid w:val="00C17354"/>
    <w:rsid w:val="00C1748F"/>
    <w:rsid w:val="00C1763F"/>
    <w:rsid w:val="00C178DE"/>
    <w:rsid w:val="00C17CE2"/>
    <w:rsid w:val="00C17D12"/>
    <w:rsid w:val="00C20233"/>
    <w:rsid w:val="00C20845"/>
    <w:rsid w:val="00C208B3"/>
    <w:rsid w:val="00C20AFC"/>
    <w:rsid w:val="00C20B0A"/>
    <w:rsid w:val="00C20CA3"/>
    <w:rsid w:val="00C20E3E"/>
    <w:rsid w:val="00C2128C"/>
    <w:rsid w:val="00C2184D"/>
    <w:rsid w:val="00C21C20"/>
    <w:rsid w:val="00C2232E"/>
    <w:rsid w:val="00C2238A"/>
    <w:rsid w:val="00C226FB"/>
    <w:rsid w:val="00C22990"/>
    <w:rsid w:val="00C22B92"/>
    <w:rsid w:val="00C22D63"/>
    <w:rsid w:val="00C22E62"/>
    <w:rsid w:val="00C22EFF"/>
    <w:rsid w:val="00C236AF"/>
    <w:rsid w:val="00C236B5"/>
    <w:rsid w:val="00C23A86"/>
    <w:rsid w:val="00C23C52"/>
    <w:rsid w:val="00C23FE2"/>
    <w:rsid w:val="00C244DE"/>
    <w:rsid w:val="00C246F8"/>
    <w:rsid w:val="00C24A0B"/>
    <w:rsid w:val="00C24D2C"/>
    <w:rsid w:val="00C2527F"/>
    <w:rsid w:val="00C2528F"/>
    <w:rsid w:val="00C25346"/>
    <w:rsid w:val="00C255CA"/>
    <w:rsid w:val="00C25625"/>
    <w:rsid w:val="00C26072"/>
    <w:rsid w:val="00C264D9"/>
    <w:rsid w:val="00C266DE"/>
    <w:rsid w:val="00C268AB"/>
    <w:rsid w:val="00C26A36"/>
    <w:rsid w:val="00C26AC2"/>
    <w:rsid w:val="00C26F21"/>
    <w:rsid w:val="00C27134"/>
    <w:rsid w:val="00C273F3"/>
    <w:rsid w:val="00C27492"/>
    <w:rsid w:val="00C274A8"/>
    <w:rsid w:val="00C27DD0"/>
    <w:rsid w:val="00C30139"/>
    <w:rsid w:val="00C3013F"/>
    <w:rsid w:val="00C301CC"/>
    <w:rsid w:val="00C3022F"/>
    <w:rsid w:val="00C303F0"/>
    <w:rsid w:val="00C30547"/>
    <w:rsid w:val="00C30A76"/>
    <w:rsid w:val="00C31449"/>
    <w:rsid w:val="00C314EC"/>
    <w:rsid w:val="00C31BCF"/>
    <w:rsid w:val="00C31F0A"/>
    <w:rsid w:val="00C3228F"/>
    <w:rsid w:val="00C32893"/>
    <w:rsid w:val="00C32B6C"/>
    <w:rsid w:val="00C32D75"/>
    <w:rsid w:val="00C32FDA"/>
    <w:rsid w:val="00C33018"/>
    <w:rsid w:val="00C3335C"/>
    <w:rsid w:val="00C33513"/>
    <w:rsid w:val="00C33578"/>
    <w:rsid w:val="00C33619"/>
    <w:rsid w:val="00C33F8A"/>
    <w:rsid w:val="00C34A5E"/>
    <w:rsid w:val="00C353B0"/>
    <w:rsid w:val="00C35562"/>
    <w:rsid w:val="00C35588"/>
    <w:rsid w:val="00C3598A"/>
    <w:rsid w:val="00C35BBB"/>
    <w:rsid w:val="00C35C55"/>
    <w:rsid w:val="00C35EA8"/>
    <w:rsid w:val="00C35F5B"/>
    <w:rsid w:val="00C36189"/>
    <w:rsid w:val="00C36A67"/>
    <w:rsid w:val="00C36ACC"/>
    <w:rsid w:val="00C36B95"/>
    <w:rsid w:val="00C36C04"/>
    <w:rsid w:val="00C36D2F"/>
    <w:rsid w:val="00C36ED4"/>
    <w:rsid w:val="00C3703C"/>
    <w:rsid w:val="00C37BB6"/>
    <w:rsid w:val="00C37D8C"/>
    <w:rsid w:val="00C4066F"/>
    <w:rsid w:val="00C4069D"/>
    <w:rsid w:val="00C406C4"/>
    <w:rsid w:val="00C40A2B"/>
    <w:rsid w:val="00C40FCF"/>
    <w:rsid w:val="00C41351"/>
    <w:rsid w:val="00C413A2"/>
    <w:rsid w:val="00C413F2"/>
    <w:rsid w:val="00C41640"/>
    <w:rsid w:val="00C416AF"/>
    <w:rsid w:val="00C41DE8"/>
    <w:rsid w:val="00C4215F"/>
    <w:rsid w:val="00C423EC"/>
    <w:rsid w:val="00C42638"/>
    <w:rsid w:val="00C4273B"/>
    <w:rsid w:val="00C42995"/>
    <w:rsid w:val="00C42BE8"/>
    <w:rsid w:val="00C42F12"/>
    <w:rsid w:val="00C42F3C"/>
    <w:rsid w:val="00C430DC"/>
    <w:rsid w:val="00C4345A"/>
    <w:rsid w:val="00C4346C"/>
    <w:rsid w:val="00C4355A"/>
    <w:rsid w:val="00C435C3"/>
    <w:rsid w:val="00C435E3"/>
    <w:rsid w:val="00C4368D"/>
    <w:rsid w:val="00C43875"/>
    <w:rsid w:val="00C43A9E"/>
    <w:rsid w:val="00C43AE3"/>
    <w:rsid w:val="00C43BD5"/>
    <w:rsid w:val="00C43CA0"/>
    <w:rsid w:val="00C4425D"/>
    <w:rsid w:val="00C445C6"/>
    <w:rsid w:val="00C445D1"/>
    <w:rsid w:val="00C446B9"/>
    <w:rsid w:val="00C4495B"/>
    <w:rsid w:val="00C44A32"/>
    <w:rsid w:val="00C44DC0"/>
    <w:rsid w:val="00C44F72"/>
    <w:rsid w:val="00C45100"/>
    <w:rsid w:val="00C4556C"/>
    <w:rsid w:val="00C4586B"/>
    <w:rsid w:val="00C45CF1"/>
    <w:rsid w:val="00C45EFF"/>
    <w:rsid w:val="00C46CC7"/>
    <w:rsid w:val="00C46D18"/>
    <w:rsid w:val="00C471D7"/>
    <w:rsid w:val="00C47506"/>
    <w:rsid w:val="00C47531"/>
    <w:rsid w:val="00C479F4"/>
    <w:rsid w:val="00C47AAB"/>
    <w:rsid w:val="00C47B41"/>
    <w:rsid w:val="00C47E1A"/>
    <w:rsid w:val="00C47F2C"/>
    <w:rsid w:val="00C47F72"/>
    <w:rsid w:val="00C4AEEA"/>
    <w:rsid w:val="00C5002B"/>
    <w:rsid w:val="00C5076E"/>
    <w:rsid w:val="00C5078C"/>
    <w:rsid w:val="00C50832"/>
    <w:rsid w:val="00C50A12"/>
    <w:rsid w:val="00C50F70"/>
    <w:rsid w:val="00C514FB"/>
    <w:rsid w:val="00C51576"/>
    <w:rsid w:val="00C516E2"/>
    <w:rsid w:val="00C5188F"/>
    <w:rsid w:val="00C522B7"/>
    <w:rsid w:val="00C52EE4"/>
    <w:rsid w:val="00C53958"/>
    <w:rsid w:val="00C53E90"/>
    <w:rsid w:val="00C53F47"/>
    <w:rsid w:val="00C54BA0"/>
    <w:rsid w:val="00C54C94"/>
    <w:rsid w:val="00C552BC"/>
    <w:rsid w:val="00C55604"/>
    <w:rsid w:val="00C55F69"/>
    <w:rsid w:val="00C55F7B"/>
    <w:rsid w:val="00C562D8"/>
    <w:rsid w:val="00C56A5F"/>
    <w:rsid w:val="00C56E3E"/>
    <w:rsid w:val="00C56FE7"/>
    <w:rsid w:val="00C56FFA"/>
    <w:rsid w:val="00C57097"/>
    <w:rsid w:val="00C570BF"/>
    <w:rsid w:val="00C573A6"/>
    <w:rsid w:val="00C57542"/>
    <w:rsid w:val="00C57623"/>
    <w:rsid w:val="00C578FA"/>
    <w:rsid w:val="00C57C90"/>
    <w:rsid w:val="00C57CD6"/>
    <w:rsid w:val="00C606BA"/>
    <w:rsid w:val="00C60B33"/>
    <w:rsid w:val="00C60B5C"/>
    <w:rsid w:val="00C610BB"/>
    <w:rsid w:val="00C613AC"/>
    <w:rsid w:val="00C61B41"/>
    <w:rsid w:val="00C61C08"/>
    <w:rsid w:val="00C6216F"/>
    <w:rsid w:val="00C62215"/>
    <w:rsid w:val="00C62339"/>
    <w:rsid w:val="00C624B6"/>
    <w:rsid w:val="00C6259A"/>
    <w:rsid w:val="00C625FF"/>
    <w:rsid w:val="00C62710"/>
    <w:rsid w:val="00C62F6F"/>
    <w:rsid w:val="00C635DF"/>
    <w:rsid w:val="00C639F0"/>
    <w:rsid w:val="00C63AF2"/>
    <w:rsid w:val="00C63AFB"/>
    <w:rsid w:val="00C63F85"/>
    <w:rsid w:val="00C64339"/>
    <w:rsid w:val="00C64442"/>
    <w:rsid w:val="00C64BA9"/>
    <w:rsid w:val="00C65203"/>
    <w:rsid w:val="00C6520A"/>
    <w:rsid w:val="00C65363"/>
    <w:rsid w:val="00C656AA"/>
    <w:rsid w:val="00C65D24"/>
    <w:rsid w:val="00C65D3B"/>
    <w:rsid w:val="00C65D8B"/>
    <w:rsid w:val="00C65DA5"/>
    <w:rsid w:val="00C66076"/>
    <w:rsid w:val="00C66423"/>
    <w:rsid w:val="00C66701"/>
    <w:rsid w:val="00C66E4F"/>
    <w:rsid w:val="00C6706D"/>
    <w:rsid w:val="00C67110"/>
    <w:rsid w:val="00C6733E"/>
    <w:rsid w:val="00C67C3E"/>
    <w:rsid w:val="00C67ECF"/>
    <w:rsid w:val="00C7041C"/>
    <w:rsid w:val="00C70A22"/>
    <w:rsid w:val="00C711F8"/>
    <w:rsid w:val="00C71385"/>
    <w:rsid w:val="00C71A15"/>
    <w:rsid w:val="00C71C95"/>
    <w:rsid w:val="00C71D64"/>
    <w:rsid w:val="00C71EFF"/>
    <w:rsid w:val="00C71FAE"/>
    <w:rsid w:val="00C7203E"/>
    <w:rsid w:val="00C721C3"/>
    <w:rsid w:val="00C7245F"/>
    <w:rsid w:val="00C72650"/>
    <w:rsid w:val="00C72AE9"/>
    <w:rsid w:val="00C72E9A"/>
    <w:rsid w:val="00C72F15"/>
    <w:rsid w:val="00C7307B"/>
    <w:rsid w:val="00C7336E"/>
    <w:rsid w:val="00C73525"/>
    <w:rsid w:val="00C739BE"/>
    <w:rsid w:val="00C73FE0"/>
    <w:rsid w:val="00C7402B"/>
    <w:rsid w:val="00C740FA"/>
    <w:rsid w:val="00C74C0F"/>
    <w:rsid w:val="00C74D1C"/>
    <w:rsid w:val="00C74E45"/>
    <w:rsid w:val="00C74E80"/>
    <w:rsid w:val="00C74F6C"/>
    <w:rsid w:val="00C75199"/>
    <w:rsid w:val="00C7542A"/>
    <w:rsid w:val="00C75EA2"/>
    <w:rsid w:val="00C75F78"/>
    <w:rsid w:val="00C760C0"/>
    <w:rsid w:val="00C76371"/>
    <w:rsid w:val="00C7653C"/>
    <w:rsid w:val="00C76B06"/>
    <w:rsid w:val="00C7718F"/>
    <w:rsid w:val="00C771A4"/>
    <w:rsid w:val="00C77225"/>
    <w:rsid w:val="00C7728A"/>
    <w:rsid w:val="00C77C40"/>
    <w:rsid w:val="00C8065F"/>
    <w:rsid w:val="00C8081D"/>
    <w:rsid w:val="00C80983"/>
    <w:rsid w:val="00C80E55"/>
    <w:rsid w:val="00C80F99"/>
    <w:rsid w:val="00C81337"/>
    <w:rsid w:val="00C815C6"/>
    <w:rsid w:val="00C81D48"/>
    <w:rsid w:val="00C81E1B"/>
    <w:rsid w:val="00C81E85"/>
    <w:rsid w:val="00C82131"/>
    <w:rsid w:val="00C8272C"/>
    <w:rsid w:val="00C82977"/>
    <w:rsid w:val="00C82A84"/>
    <w:rsid w:val="00C82D1D"/>
    <w:rsid w:val="00C82EC2"/>
    <w:rsid w:val="00C83175"/>
    <w:rsid w:val="00C83784"/>
    <w:rsid w:val="00C838F9"/>
    <w:rsid w:val="00C83A32"/>
    <w:rsid w:val="00C83AF1"/>
    <w:rsid w:val="00C83D28"/>
    <w:rsid w:val="00C84049"/>
    <w:rsid w:val="00C84381"/>
    <w:rsid w:val="00C8464D"/>
    <w:rsid w:val="00C84876"/>
    <w:rsid w:val="00C84A76"/>
    <w:rsid w:val="00C84DFC"/>
    <w:rsid w:val="00C84FE1"/>
    <w:rsid w:val="00C853E7"/>
    <w:rsid w:val="00C85469"/>
    <w:rsid w:val="00C8573F"/>
    <w:rsid w:val="00C858E2"/>
    <w:rsid w:val="00C85BE4"/>
    <w:rsid w:val="00C8620E"/>
    <w:rsid w:val="00C8694E"/>
    <w:rsid w:val="00C86AF3"/>
    <w:rsid w:val="00C86C5E"/>
    <w:rsid w:val="00C87593"/>
    <w:rsid w:val="00C8760C"/>
    <w:rsid w:val="00C87989"/>
    <w:rsid w:val="00C87A2F"/>
    <w:rsid w:val="00C87CF0"/>
    <w:rsid w:val="00C87D8B"/>
    <w:rsid w:val="00C87E41"/>
    <w:rsid w:val="00C87FAE"/>
    <w:rsid w:val="00C900C8"/>
    <w:rsid w:val="00C90269"/>
    <w:rsid w:val="00C9055B"/>
    <w:rsid w:val="00C909C9"/>
    <w:rsid w:val="00C90A0C"/>
    <w:rsid w:val="00C90E62"/>
    <w:rsid w:val="00C9105E"/>
    <w:rsid w:val="00C91076"/>
    <w:rsid w:val="00C91236"/>
    <w:rsid w:val="00C9150A"/>
    <w:rsid w:val="00C91B6C"/>
    <w:rsid w:val="00C9217A"/>
    <w:rsid w:val="00C92266"/>
    <w:rsid w:val="00C923FB"/>
    <w:rsid w:val="00C927D7"/>
    <w:rsid w:val="00C9287F"/>
    <w:rsid w:val="00C92DCB"/>
    <w:rsid w:val="00C9330D"/>
    <w:rsid w:val="00C93569"/>
    <w:rsid w:val="00C935FA"/>
    <w:rsid w:val="00C93B15"/>
    <w:rsid w:val="00C93E48"/>
    <w:rsid w:val="00C94564"/>
    <w:rsid w:val="00C94758"/>
    <w:rsid w:val="00C94963"/>
    <w:rsid w:val="00C94988"/>
    <w:rsid w:val="00C94BCC"/>
    <w:rsid w:val="00C94BE2"/>
    <w:rsid w:val="00C94D30"/>
    <w:rsid w:val="00C94DC3"/>
    <w:rsid w:val="00C94E24"/>
    <w:rsid w:val="00C94E67"/>
    <w:rsid w:val="00C952FB"/>
    <w:rsid w:val="00C95763"/>
    <w:rsid w:val="00C95904"/>
    <w:rsid w:val="00C95969"/>
    <w:rsid w:val="00C95B36"/>
    <w:rsid w:val="00C95CEA"/>
    <w:rsid w:val="00C9605B"/>
    <w:rsid w:val="00C96140"/>
    <w:rsid w:val="00C96522"/>
    <w:rsid w:val="00C969B4"/>
    <w:rsid w:val="00C96AAC"/>
    <w:rsid w:val="00C96BC0"/>
    <w:rsid w:val="00C96C3D"/>
    <w:rsid w:val="00C96DE5"/>
    <w:rsid w:val="00C9703F"/>
    <w:rsid w:val="00C970CB"/>
    <w:rsid w:val="00C9736A"/>
    <w:rsid w:val="00C97657"/>
    <w:rsid w:val="00C97671"/>
    <w:rsid w:val="00C9773A"/>
    <w:rsid w:val="00CA007D"/>
    <w:rsid w:val="00CA04E7"/>
    <w:rsid w:val="00CA092C"/>
    <w:rsid w:val="00CA09A0"/>
    <w:rsid w:val="00CA0F51"/>
    <w:rsid w:val="00CA0FA3"/>
    <w:rsid w:val="00CA10CF"/>
    <w:rsid w:val="00CA1695"/>
    <w:rsid w:val="00CA17B2"/>
    <w:rsid w:val="00CA19C3"/>
    <w:rsid w:val="00CA1BE4"/>
    <w:rsid w:val="00CA1E41"/>
    <w:rsid w:val="00CA1E9F"/>
    <w:rsid w:val="00CA2179"/>
    <w:rsid w:val="00CA247B"/>
    <w:rsid w:val="00CA24C8"/>
    <w:rsid w:val="00CA2CA5"/>
    <w:rsid w:val="00CA2D2B"/>
    <w:rsid w:val="00CA2D7A"/>
    <w:rsid w:val="00CA2EB0"/>
    <w:rsid w:val="00CA33DD"/>
    <w:rsid w:val="00CA37CA"/>
    <w:rsid w:val="00CA3F01"/>
    <w:rsid w:val="00CA3F7B"/>
    <w:rsid w:val="00CA4075"/>
    <w:rsid w:val="00CA4479"/>
    <w:rsid w:val="00CA49F3"/>
    <w:rsid w:val="00CA524A"/>
    <w:rsid w:val="00CA52F2"/>
    <w:rsid w:val="00CA564A"/>
    <w:rsid w:val="00CA5815"/>
    <w:rsid w:val="00CA5CC7"/>
    <w:rsid w:val="00CA5CED"/>
    <w:rsid w:val="00CA5F70"/>
    <w:rsid w:val="00CA6650"/>
    <w:rsid w:val="00CA67D7"/>
    <w:rsid w:val="00CA689A"/>
    <w:rsid w:val="00CA6939"/>
    <w:rsid w:val="00CA69C2"/>
    <w:rsid w:val="00CA6AA6"/>
    <w:rsid w:val="00CA6BA5"/>
    <w:rsid w:val="00CA6D31"/>
    <w:rsid w:val="00CA6E94"/>
    <w:rsid w:val="00CA6F88"/>
    <w:rsid w:val="00CA6FDE"/>
    <w:rsid w:val="00CA71B1"/>
    <w:rsid w:val="00CA72AD"/>
    <w:rsid w:val="00CA73A4"/>
    <w:rsid w:val="00CA781C"/>
    <w:rsid w:val="00CA792B"/>
    <w:rsid w:val="00CA7A6E"/>
    <w:rsid w:val="00CA7D21"/>
    <w:rsid w:val="00CA7E76"/>
    <w:rsid w:val="00CB00B2"/>
    <w:rsid w:val="00CB02D9"/>
    <w:rsid w:val="00CB056E"/>
    <w:rsid w:val="00CB08C7"/>
    <w:rsid w:val="00CB08F1"/>
    <w:rsid w:val="00CB096E"/>
    <w:rsid w:val="00CB0A0F"/>
    <w:rsid w:val="00CB0B01"/>
    <w:rsid w:val="00CB0CAE"/>
    <w:rsid w:val="00CB0E42"/>
    <w:rsid w:val="00CB0F71"/>
    <w:rsid w:val="00CB1092"/>
    <w:rsid w:val="00CB112C"/>
    <w:rsid w:val="00CB11FB"/>
    <w:rsid w:val="00CB13C8"/>
    <w:rsid w:val="00CB1A00"/>
    <w:rsid w:val="00CB1DBB"/>
    <w:rsid w:val="00CB1F50"/>
    <w:rsid w:val="00CB2359"/>
    <w:rsid w:val="00CB2390"/>
    <w:rsid w:val="00CB25AD"/>
    <w:rsid w:val="00CB26A4"/>
    <w:rsid w:val="00CB2769"/>
    <w:rsid w:val="00CB27C2"/>
    <w:rsid w:val="00CB2B71"/>
    <w:rsid w:val="00CB2CB7"/>
    <w:rsid w:val="00CB2D3C"/>
    <w:rsid w:val="00CB2E2F"/>
    <w:rsid w:val="00CB2F72"/>
    <w:rsid w:val="00CB321E"/>
    <w:rsid w:val="00CB32C1"/>
    <w:rsid w:val="00CB34AE"/>
    <w:rsid w:val="00CB3739"/>
    <w:rsid w:val="00CB39A0"/>
    <w:rsid w:val="00CB39A2"/>
    <w:rsid w:val="00CB39CC"/>
    <w:rsid w:val="00CB3F96"/>
    <w:rsid w:val="00CB456F"/>
    <w:rsid w:val="00CB4965"/>
    <w:rsid w:val="00CB4CA2"/>
    <w:rsid w:val="00CB4D07"/>
    <w:rsid w:val="00CB4D24"/>
    <w:rsid w:val="00CB5562"/>
    <w:rsid w:val="00CB5BEF"/>
    <w:rsid w:val="00CB5E36"/>
    <w:rsid w:val="00CB6160"/>
    <w:rsid w:val="00CB61E7"/>
    <w:rsid w:val="00CB6265"/>
    <w:rsid w:val="00CB6421"/>
    <w:rsid w:val="00CB6446"/>
    <w:rsid w:val="00CB68A6"/>
    <w:rsid w:val="00CB6928"/>
    <w:rsid w:val="00CB6C04"/>
    <w:rsid w:val="00CB6F3B"/>
    <w:rsid w:val="00CB7121"/>
    <w:rsid w:val="00CB7569"/>
    <w:rsid w:val="00CB7814"/>
    <w:rsid w:val="00CB7AA7"/>
    <w:rsid w:val="00CB7AD0"/>
    <w:rsid w:val="00CB7C1B"/>
    <w:rsid w:val="00CB7C48"/>
    <w:rsid w:val="00CB7E64"/>
    <w:rsid w:val="00CC00B8"/>
    <w:rsid w:val="00CC03E1"/>
    <w:rsid w:val="00CC0530"/>
    <w:rsid w:val="00CC0799"/>
    <w:rsid w:val="00CC0A45"/>
    <w:rsid w:val="00CC0E48"/>
    <w:rsid w:val="00CC0ECF"/>
    <w:rsid w:val="00CC1DA1"/>
    <w:rsid w:val="00CC1E09"/>
    <w:rsid w:val="00CC1FF1"/>
    <w:rsid w:val="00CC24C0"/>
    <w:rsid w:val="00CC2932"/>
    <w:rsid w:val="00CC2E6C"/>
    <w:rsid w:val="00CC3105"/>
    <w:rsid w:val="00CC31DC"/>
    <w:rsid w:val="00CC388D"/>
    <w:rsid w:val="00CC3F77"/>
    <w:rsid w:val="00CC3FD0"/>
    <w:rsid w:val="00CC418C"/>
    <w:rsid w:val="00CC4330"/>
    <w:rsid w:val="00CC4714"/>
    <w:rsid w:val="00CC4965"/>
    <w:rsid w:val="00CC49E7"/>
    <w:rsid w:val="00CC4B43"/>
    <w:rsid w:val="00CC4C21"/>
    <w:rsid w:val="00CC50CF"/>
    <w:rsid w:val="00CC529D"/>
    <w:rsid w:val="00CC5B36"/>
    <w:rsid w:val="00CC5BFE"/>
    <w:rsid w:val="00CC60F3"/>
    <w:rsid w:val="00CC6102"/>
    <w:rsid w:val="00CC61CD"/>
    <w:rsid w:val="00CC61FD"/>
    <w:rsid w:val="00CC620F"/>
    <w:rsid w:val="00CC6369"/>
    <w:rsid w:val="00CC6449"/>
    <w:rsid w:val="00CC665D"/>
    <w:rsid w:val="00CC6912"/>
    <w:rsid w:val="00CC693D"/>
    <w:rsid w:val="00CC6A62"/>
    <w:rsid w:val="00CC7497"/>
    <w:rsid w:val="00CC7618"/>
    <w:rsid w:val="00CC7A91"/>
    <w:rsid w:val="00CC7D58"/>
    <w:rsid w:val="00CC7DD8"/>
    <w:rsid w:val="00CD02E5"/>
    <w:rsid w:val="00CD09E4"/>
    <w:rsid w:val="00CD0DA6"/>
    <w:rsid w:val="00CD0F47"/>
    <w:rsid w:val="00CD1388"/>
    <w:rsid w:val="00CD14DF"/>
    <w:rsid w:val="00CD1686"/>
    <w:rsid w:val="00CD1B52"/>
    <w:rsid w:val="00CD1BA0"/>
    <w:rsid w:val="00CD1C58"/>
    <w:rsid w:val="00CD1E8C"/>
    <w:rsid w:val="00CD1F34"/>
    <w:rsid w:val="00CD22AC"/>
    <w:rsid w:val="00CD245C"/>
    <w:rsid w:val="00CD2611"/>
    <w:rsid w:val="00CD2745"/>
    <w:rsid w:val="00CD299A"/>
    <w:rsid w:val="00CD2CC6"/>
    <w:rsid w:val="00CD2E10"/>
    <w:rsid w:val="00CD2EE3"/>
    <w:rsid w:val="00CD3095"/>
    <w:rsid w:val="00CD3546"/>
    <w:rsid w:val="00CD3832"/>
    <w:rsid w:val="00CD3A75"/>
    <w:rsid w:val="00CD3B12"/>
    <w:rsid w:val="00CD4335"/>
    <w:rsid w:val="00CD4FA8"/>
    <w:rsid w:val="00CD50C4"/>
    <w:rsid w:val="00CD511E"/>
    <w:rsid w:val="00CD5600"/>
    <w:rsid w:val="00CD5A02"/>
    <w:rsid w:val="00CD5A7A"/>
    <w:rsid w:val="00CD5E79"/>
    <w:rsid w:val="00CD60EA"/>
    <w:rsid w:val="00CD61B5"/>
    <w:rsid w:val="00CD6E22"/>
    <w:rsid w:val="00CD7104"/>
    <w:rsid w:val="00CD72DD"/>
    <w:rsid w:val="00CD74C5"/>
    <w:rsid w:val="00CD7506"/>
    <w:rsid w:val="00CD7664"/>
    <w:rsid w:val="00CD7D3A"/>
    <w:rsid w:val="00CD7D45"/>
    <w:rsid w:val="00CD7F3C"/>
    <w:rsid w:val="00CE0154"/>
    <w:rsid w:val="00CE042A"/>
    <w:rsid w:val="00CE070C"/>
    <w:rsid w:val="00CE0832"/>
    <w:rsid w:val="00CE0849"/>
    <w:rsid w:val="00CE09CE"/>
    <w:rsid w:val="00CE0DE6"/>
    <w:rsid w:val="00CE0EA2"/>
    <w:rsid w:val="00CE0ED8"/>
    <w:rsid w:val="00CE118D"/>
    <w:rsid w:val="00CE12C3"/>
    <w:rsid w:val="00CE1BBD"/>
    <w:rsid w:val="00CE1DD1"/>
    <w:rsid w:val="00CE228A"/>
    <w:rsid w:val="00CE2754"/>
    <w:rsid w:val="00CE2972"/>
    <w:rsid w:val="00CE2A1D"/>
    <w:rsid w:val="00CE2FF0"/>
    <w:rsid w:val="00CE31D5"/>
    <w:rsid w:val="00CE3205"/>
    <w:rsid w:val="00CE32F7"/>
    <w:rsid w:val="00CE3766"/>
    <w:rsid w:val="00CE383A"/>
    <w:rsid w:val="00CE3C0D"/>
    <w:rsid w:val="00CE3DBE"/>
    <w:rsid w:val="00CE3E38"/>
    <w:rsid w:val="00CE3F7F"/>
    <w:rsid w:val="00CE41A5"/>
    <w:rsid w:val="00CE4274"/>
    <w:rsid w:val="00CE432C"/>
    <w:rsid w:val="00CE49D7"/>
    <w:rsid w:val="00CE4E71"/>
    <w:rsid w:val="00CE5258"/>
    <w:rsid w:val="00CE5A62"/>
    <w:rsid w:val="00CE62C6"/>
    <w:rsid w:val="00CE64ED"/>
    <w:rsid w:val="00CE697A"/>
    <w:rsid w:val="00CE7538"/>
    <w:rsid w:val="00CE77DF"/>
    <w:rsid w:val="00CE7972"/>
    <w:rsid w:val="00CF0049"/>
    <w:rsid w:val="00CF087A"/>
    <w:rsid w:val="00CF0BE8"/>
    <w:rsid w:val="00CF130D"/>
    <w:rsid w:val="00CF1421"/>
    <w:rsid w:val="00CF1607"/>
    <w:rsid w:val="00CF1810"/>
    <w:rsid w:val="00CF18E2"/>
    <w:rsid w:val="00CF1ABD"/>
    <w:rsid w:val="00CF1ECE"/>
    <w:rsid w:val="00CF250F"/>
    <w:rsid w:val="00CF25EF"/>
    <w:rsid w:val="00CF29B3"/>
    <w:rsid w:val="00CF2B9A"/>
    <w:rsid w:val="00CF2D65"/>
    <w:rsid w:val="00CF2E6F"/>
    <w:rsid w:val="00CF343E"/>
    <w:rsid w:val="00CF382B"/>
    <w:rsid w:val="00CF3897"/>
    <w:rsid w:val="00CF3DE9"/>
    <w:rsid w:val="00CF40AF"/>
    <w:rsid w:val="00CF52F8"/>
    <w:rsid w:val="00CF59A7"/>
    <w:rsid w:val="00CF5A5A"/>
    <w:rsid w:val="00CF5AF6"/>
    <w:rsid w:val="00CF5C91"/>
    <w:rsid w:val="00CF5D70"/>
    <w:rsid w:val="00CF5D74"/>
    <w:rsid w:val="00CF630B"/>
    <w:rsid w:val="00CF6482"/>
    <w:rsid w:val="00CF6860"/>
    <w:rsid w:val="00CF6C33"/>
    <w:rsid w:val="00CF6D29"/>
    <w:rsid w:val="00CF729B"/>
    <w:rsid w:val="00D00138"/>
    <w:rsid w:val="00D002F6"/>
    <w:rsid w:val="00D00416"/>
    <w:rsid w:val="00D004DC"/>
    <w:rsid w:val="00D005FF"/>
    <w:rsid w:val="00D007A8"/>
    <w:rsid w:val="00D009D0"/>
    <w:rsid w:val="00D01228"/>
    <w:rsid w:val="00D01374"/>
    <w:rsid w:val="00D014B3"/>
    <w:rsid w:val="00D01703"/>
    <w:rsid w:val="00D01A09"/>
    <w:rsid w:val="00D01A1B"/>
    <w:rsid w:val="00D01FED"/>
    <w:rsid w:val="00D02904"/>
    <w:rsid w:val="00D03189"/>
    <w:rsid w:val="00D038AC"/>
    <w:rsid w:val="00D04117"/>
    <w:rsid w:val="00D04174"/>
    <w:rsid w:val="00D04190"/>
    <w:rsid w:val="00D04285"/>
    <w:rsid w:val="00D04583"/>
    <w:rsid w:val="00D04C1E"/>
    <w:rsid w:val="00D04CA4"/>
    <w:rsid w:val="00D04FDD"/>
    <w:rsid w:val="00D0510E"/>
    <w:rsid w:val="00D056D7"/>
    <w:rsid w:val="00D05872"/>
    <w:rsid w:val="00D0599D"/>
    <w:rsid w:val="00D05C61"/>
    <w:rsid w:val="00D05D2B"/>
    <w:rsid w:val="00D06043"/>
    <w:rsid w:val="00D06132"/>
    <w:rsid w:val="00D066F9"/>
    <w:rsid w:val="00D0679F"/>
    <w:rsid w:val="00D06C83"/>
    <w:rsid w:val="00D06C97"/>
    <w:rsid w:val="00D06E30"/>
    <w:rsid w:val="00D06EAA"/>
    <w:rsid w:val="00D06F6A"/>
    <w:rsid w:val="00D07581"/>
    <w:rsid w:val="00D07823"/>
    <w:rsid w:val="00D0791B"/>
    <w:rsid w:val="00D07AB5"/>
    <w:rsid w:val="00D07C6C"/>
    <w:rsid w:val="00D07CE8"/>
    <w:rsid w:val="00D07F3F"/>
    <w:rsid w:val="00D100B9"/>
    <w:rsid w:val="00D101F4"/>
    <w:rsid w:val="00D102F7"/>
    <w:rsid w:val="00D10306"/>
    <w:rsid w:val="00D103C9"/>
    <w:rsid w:val="00D10428"/>
    <w:rsid w:val="00D10453"/>
    <w:rsid w:val="00D104D7"/>
    <w:rsid w:val="00D104F0"/>
    <w:rsid w:val="00D10764"/>
    <w:rsid w:val="00D107E2"/>
    <w:rsid w:val="00D10879"/>
    <w:rsid w:val="00D10962"/>
    <w:rsid w:val="00D10EE2"/>
    <w:rsid w:val="00D1137D"/>
    <w:rsid w:val="00D113DE"/>
    <w:rsid w:val="00D1152B"/>
    <w:rsid w:val="00D117D6"/>
    <w:rsid w:val="00D118C3"/>
    <w:rsid w:val="00D1196E"/>
    <w:rsid w:val="00D11977"/>
    <w:rsid w:val="00D11BA4"/>
    <w:rsid w:val="00D11C93"/>
    <w:rsid w:val="00D11EC2"/>
    <w:rsid w:val="00D120C5"/>
    <w:rsid w:val="00D12253"/>
    <w:rsid w:val="00D12420"/>
    <w:rsid w:val="00D124E9"/>
    <w:rsid w:val="00D12655"/>
    <w:rsid w:val="00D12696"/>
    <w:rsid w:val="00D12761"/>
    <w:rsid w:val="00D12966"/>
    <w:rsid w:val="00D12C31"/>
    <w:rsid w:val="00D12E24"/>
    <w:rsid w:val="00D12ED0"/>
    <w:rsid w:val="00D12EFB"/>
    <w:rsid w:val="00D13394"/>
    <w:rsid w:val="00D1357D"/>
    <w:rsid w:val="00D1366F"/>
    <w:rsid w:val="00D139BB"/>
    <w:rsid w:val="00D13EF4"/>
    <w:rsid w:val="00D14125"/>
    <w:rsid w:val="00D142A3"/>
    <w:rsid w:val="00D14E04"/>
    <w:rsid w:val="00D14EEE"/>
    <w:rsid w:val="00D15034"/>
    <w:rsid w:val="00D1506B"/>
    <w:rsid w:val="00D15769"/>
    <w:rsid w:val="00D15944"/>
    <w:rsid w:val="00D15CB3"/>
    <w:rsid w:val="00D15E33"/>
    <w:rsid w:val="00D15E9E"/>
    <w:rsid w:val="00D16151"/>
    <w:rsid w:val="00D1627B"/>
    <w:rsid w:val="00D162C9"/>
    <w:rsid w:val="00D169F0"/>
    <w:rsid w:val="00D16DFD"/>
    <w:rsid w:val="00D16F04"/>
    <w:rsid w:val="00D171CD"/>
    <w:rsid w:val="00D1791F"/>
    <w:rsid w:val="00D17D14"/>
    <w:rsid w:val="00D20187"/>
    <w:rsid w:val="00D202A1"/>
    <w:rsid w:val="00D20371"/>
    <w:rsid w:val="00D20528"/>
    <w:rsid w:val="00D206A2"/>
    <w:rsid w:val="00D209C9"/>
    <w:rsid w:val="00D20AC0"/>
    <w:rsid w:val="00D20ECA"/>
    <w:rsid w:val="00D210A1"/>
    <w:rsid w:val="00D2172A"/>
    <w:rsid w:val="00D217A3"/>
    <w:rsid w:val="00D21A5D"/>
    <w:rsid w:val="00D21BF3"/>
    <w:rsid w:val="00D22054"/>
    <w:rsid w:val="00D22145"/>
    <w:rsid w:val="00D22388"/>
    <w:rsid w:val="00D22730"/>
    <w:rsid w:val="00D22918"/>
    <w:rsid w:val="00D22B01"/>
    <w:rsid w:val="00D22B17"/>
    <w:rsid w:val="00D22BC8"/>
    <w:rsid w:val="00D22C77"/>
    <w:rsid w:val="00D23100"/>
    <w:rsid w:val="00D2317B"/>
    <w:rsid w:val="00D232DB"/>
    <w:rsid w:val="00D233DE"/>
    <w:rsid w:val="00D23720"/>
    <w:rsid w:val="00D23A7E"/>
    <w:rsid w:val="00D23DC6"/>
    <w:rsid w:val="00D2403F"/>
    <w:rsid w:val="00D24BD9"/>
    <w:rsid w:val="00D24CB7"/>
    <w:rsid w:val="00D25A90"/>
    <w:rsid w:val="00D2600A"/>
    <w:rsid w:val="00D261B8"/>
    <w:rsid w:val="00D26229"/>
    <w:rsid w:val="00D26409"/>
    <w:rsid w:val="00D2661F"/>
    <w:rsid w:val="00D26866"/>
    <w:rsid w:val="00D268BB"/>
    <w:rsid w:val="00D26EFD"/>
    <w:rsid w:val="00D27689"/>
    <w:rsid w:val="00D276EB"/>
    <w:rsid w:val="00D276F5"/>
    <w:rsid w:val="00D27949"/>
    <w:rsid w:val="00D27D3D"/>
    <w:rsid w:val="00D27E7E"/>
    <w:rsid w:val="00D300A4"/>
    <w:rsid w:val="00D300C0"/>
    <w:rsid w:val="00D3045F"/>
    <w:rsid w:val="00D3050F"/>
    <w:rsid w:val="00D306F2"/>
    <w:rsid w:val="00D30794"/>
    <w:rsid w:val="00D3089E"/>
    <w:rsid w:val="00D30940"/>
    <w:rsid w:val="00D31267"/>
    <w:rsid w:val="00D313E4"/>
    <w:rsid w:val="00D3144C"/>
    <w:rsid w:val="00D315BB"/>
    <w:rsid w:val="00D316A5"/>
    <w:rsid w:val="00D31CA1"/>
    <w:rsid w:val="00D3246A"/>
    <w:rsid w:val="00D32540"/>
    <w:rsid w:val="00D3285B"/>
    <w:rsid w:val="00D32E6C"/>
    <w:rsid w:val="00D33307"/>
    <w:rsid w:val="00D3353A"/>
    <w:rsid w:val="00D337BD"/>
    <w:rsid w:val="00D33912"/>
    <w:rsid w:val="00D33A01"/>
    <w:rsid w:val="00D33A9D"/>
    <w:rsid w:val="00D33B14"/>
    <w:rsid w:val="00D33C39"/>
    <w:rsid w:val="00D33D5E"/>
    <w:rsid w:val="00D34329"/>
    <w:rsid w:val="00D343EC"/>
    <w:rsid w:val="00D34477"/>
    <w:rsid w:val="00D346D6"/>
    <w:rsid w:val="00D3472B"/>
    <w:rsid w:val="00D34802"/>
    <w:rsid w:val="00D349C0"/>
    <w:rsid w:val="00D34A1D"/>
    <w:rsid w:val="00D34FDC"/>
    <w:rsid w:val="00D3536D"/>
    <w:rsid w:val="00D35754"/>
    <w:rsid w:val="00D35A50"/>
    <w:rsid w:val="00D35A90"/>
    <w:rsid w:val="00D35CC4"/>
    <w:rsid w:val="00D35F9C"/>
    <w:rsid w:val="00D363E5"/>
    <w:rsid w:val="00D36ED3"/>
    <w:rsid w:val="00D36FD0"/>
    <w:rsid w:val="00D37455"/>
    <w:rsid w:val="00D376E9"/>
    <w:rsid w:val="00D37761"/>
    <w:rsid w:val="00D3788B"/>
    <w:rsid w:val="00D378C5"/>
    <w:rsid w:val="00D37DB7"/>
    <w:rsid w:val="00D37DE3"/>
    <w:rsid w:val="00D4012A"/>
    <w:rsid w:val="00D40947"/>
    <w:rsid w:val="00D40C73"/>
    <w:rsid w:val="00D416BC"/>
    <w:rsid w:val="00D416BD"/>
    <w:rsid w:val="00D4170D"/>
    <w:rsid w:val="00D41B26"/>
    <w:rsid w:val="00D41B3B"/>
    <w:rsid w:val="00D41FF6"/>
    <w:rsid w:val="00D42285"/>
    <w:rsid w:val="00D423B4"/>
    <w:rsid w:val="00D426B4"/>
    <w:rsid w:val="00D42B48"/>
    <w:rsid w:val="00D42C5F"/>
    <w:rsid w:val="00D430BE"/>
    <w:rsid w:val="00D430F8"/>
    <w:rsid w:val="00D435D1"/>
    <w:rsid w:val="00D435F1"/>
    <w:rsid w:val="00D43B8D"/>
    <w:rsid w:val="00D43C61"/>
    <w:rsid w:val="00D43CEA"/>
    <w:rsid w:val="00D443FA"/>
    <w:rsid w:val="00D44612"/>
    <w:rsid w:val="00D44889"/>
    <w:rsid w:val="00D44AD7"/>
    <w:rsid w:val="00D44B71"/>
    <w:rsid w:val="00D44BF0"/>
    <w:rsid w:val="00D44FEB"/>
    <w:rsid w:val="00D45194"/>
    <w:rsid w:val="00D452B8"/>
    <w:rsid w:val="00D4533C"/>
    <w:rsid w:val="00D45764"/>
    <w:rsid w:val="00D45B7E"/>
    <w:rsid w:val="00D45B8E"/>
    <w:rsid w:val="00D45EFB"/>
    <w:rsid w:val="00D45F4B"/>
    <w:rsid w:val="00D45FB2"/>
    <w:rsid w:val="00D462B3"/>
    <w:rsid w:val="00D4635D"/>
    <w:rsid w:val="00D46852"/>
    <w:rsid w:val="00D46F32"/>
    <w:rsid w:val="00D4715E"/>
    <w:rsid w:val="00D47344"/>
    <w:rsid w:val="00D475C4"/>
    <w:rsid w:val="00D47668"/>
    <w:rsid w:val="00D47994"/>
    <w:rsid w:val="00D47A2D"/>
    <w:rsid w:val="00D47AA6"/>
    <w:rsid w:val="00D47F60"/>
    <w:rsid w:val="00D4F5C6"/>
    <w:rsid w:val="00D501A0"/>
    <w:rsid w:val="00D50430"/>
    <w:rsid w:val="00D50628"/>
    <w:rsid w:val="00D509A3"/>
    <w:rsid w:val="00D50AE5"/>
    <w:rsid w:val="00D50C0A"/>
    <w:rsid w:val="00D50E25"/>
    <w:rsid w:val="00D50EBB"/>
    <w:rsid w:val="00D50F21"/>
    <w:rsid w:val="00D51150"/>
    <w:rsid w:val="00D515FC"/>
    <w:rsid w:val="00D5163D"/>
    <w:rsid w:val="00D51E59"/>
    <w:rsid w:val="00D51FD6"/>
    <w:rsid w:val="00D520A6"/>
    <w:rsid w:val="00D52317"/>
    <w:rsid w:val="00D5236B"/>
    <w:rsid w:val="00D52B2A"/>
    <w:rsid w:val="00D52F6A"/>
    <w:rsid w:val="00D53387"/>
    <w:rsid w:val="00D53578"/>
    <w:rsid w:val="00D53637"/>
    <w:rsid w:val="00D53758"/>
    <w:rsid w:val="00D537AB"/>
    <w:rsid w:val="00D53A48"/>
    <w:rsid w:val="00D53AE2"/>
    <w:rsid w:val="00D5422E"/>
    <w:rsid w:val="00D547DB"/>
    <w:rsid w:val="00D54A75"/>
    <w:rsid w:val="00D54C6E"/>
    <w:rsid w:val="00D54E0C"/>
    <w:rsid w:val="00D54E34"/>
    <w:rsid w:val="00D553B1"/>
    <w:rsid w:val="00D553F1"/>
    <w:rsid w:val="00D55458"/>
    <w:rsid w:val="00D55517"/>
    <w:rsid w:val="00D55B59"/>
    <w:rsid w:val="00D56280"/>
    <w:rsid w:val="00D56EF3"/>
    <w:rsid w:val="00D57015"/>
    <w:rsid w:val="00D57044"/>
    <w:rsid w:val="00D5712C"/>
    <w:rsid w:val="00D57216"/>
    <w:rsid w:val="00D572EF"/>
    <w:rsid w:val="00D57410"/>
    <w:rsid w:val="00D575B2"/>
    <w:rsid w:val="00D575E9"/>
    <w:rsid w:val="00D57D9B"/>
    <w:rsid w:val="00D57DD5"/>
    <w:rsid w:val="00D6007F"/>
    <w:rsid w:val="00D60239"/>
    <w:rsid w:val="00D606A3"/>
    <w:rsid w:val="00D60713"/>
    <w:rsid w:val="00D6088D"/>
    <w:rsid w:val="00D60BDC"/>
    <w:rsid w:val="00D60EB4"/>
    <w:rsid w:val="00D60FBC"/>
    <w:rsid w:val="00D60FF8"/>
    <w:rsid w:val="00D613B8"/>
    <w:rsid w:val="00D613E7"/>
    <w:rsid w:val="00D61472"/>
    <w:rsid w:val="00D617C8"/>
    <w:rsid w:val="00D619DC"/>
    <w:rsid w:val="00D61A81"/>
    <w:rsid w:val="00D61B9E"/>
    <w:rsid w:val="00D61E95"/>
    <w:rsid w:val="00D623FD"/>
    <w:rsid w:val="00D6242B"/>
    <w:rsid w:val="00D62823"/>
    <w:rsid w:val="00D628B6"/>
    <w:rsid w:val="00D63040"/>
    <w:rsid w:val="00D6321A"/>
    <w:rsid w:val="00D632E9"/>
    <w:rsid w:val="00D6353B"/>
    <w:rsid w:val="00D63BC4"/>
    <w:rsid w:val="00D63EAE"/>
    <w:rsid w:val="00D64608"/>
    <w:rsid w:val="00D648BA"/>
    <w:rsid w:val="00D649BC"/>
    <w:rsid w:val="00D64AE1"/>
    <w:rsid w:val="00D64C62"/>
    <w:rsid w:val="00D64EC4"/>
    <w:rsid w:val="00D65003"/>
    <w:rsid w:val="00D65148"/>
    <w:rsid w:val="00D657DB"/>
    <w:rsid w:val="00D65809"/>
    <w:rsid w:val="00D65830"/>
    <w:rsid w:val="00D65922"/>
    <w:rsid w:val="00D6599D"/>
    <w:rsid w:val="00D65AD7"/>
    <w:rsid w:val="00D660E1"/>
    <w:rsid w:val="00D66383"/>
    <w:rsid w:val="00D66CE3"/>
    <w:rsid w:val="00D67155"/>
    <w:rsid w:val="00D67236"/>
    <w:rsid w:val="00D67A03"/>
    <w:rsid w:val="00D67A6B"/>
    <w:rsid w:val="00D67E56"/>
    <w:rsid w:val="00D67F43"/>
    <w:rsid w:val="00D70011"/>
    <w:rsid w:val="00D7032C"/>
    <w:rsid w:val="00D7085D"/>
    <w:rsid w:val="00D708FA"/>
    <w:rsid w:val="00D709EC"/>
    <w:rsid w:val="00D70D27"/>
    <w:rsid w:val="00D70F22"/>
    <w:rsid w:val="00D7119B"/>
    <w:rsid w:val="00D71615"/>
    <w:rsid w:val="00D7166A"/>
    <w:rsid w:val="00D71C8B"/>
    <w:rsid w:val="00D71E2C"/>
    <w:rsid w:val="00D71E5A"/>
    <w:rsid w:val="00D71F02"/>
    <w:rsid w:val="00D72156"/>
    <w:rsid w:val="00D72251"/>
    <w:rsid w:val="00D72ADB"/>
    <w:rsid w:val="00D72DC3"/>
    <w:rsid w:val="00D72E51"/>
    <w:rsid w:val="00D732B9"/>
    <w:rsid w:val="00D736CD"/>
    <w:rsid w:val="00D7385A"/>
    <w:rsid w:val="00D739D7"/>
    <w:rsid w:val="00D73BE6"/>
    <w:rsid w:val="00D73DF7"/>
    <w:rsid w:val="00D74007"/>
    <w:rsid w:val="00D74893"/>
    <w:rsid w:val="00D74958"/>
    <w:rsid w:val="00D75445"/>
    <w:rsid w:val="00D759B1"/>
    <w:rsid w:val="00D75A9E"/>
    <w:rsid w:val="00D75B07"/>
    <w:rsid w:val="00D75B4F"/>
    <w:rsid w:val="00D75B52"/>
    <w:rsid w:val="00D75E0F"/>
    <w:rsid w:val="00D75E82"/>
    <w:rsid w:val="00D764F4"/>
    <w:rsid w:val="00D766E6"/>
    <w:rsid w:val="00D7693F"/>
    <w:rsid w:val="00D76942"/>
    <w:rsid w:val="00D76B0A"/>
    <w:rsid w:val="00D76BEC"/>
    <w:rsid w:val="00D76D5E"/>
    <w:rsid w:val="00D76E95"/>
    <w:rsid w:val="00D76E96"/>
    <w:rsid w:val="00D77312"/>
    <w:rsid w:val="00D77349"/>
    <w:rsid w:val="00D7764C"/>
    <w:rsid w:val="00D7792A"/>
    <w:rsid w:val="00D77C19"/>
    <w:rsid w:val="00D77CCF"/>
    <w:rsid w:val="00D77F0C"/>
    <w:rsid w:val="00D79D0D"/>
    <w:rsid w:val="00D80232"/>
    <w:rsid w:val="00D80443"/>
    <w:rsid w:val="00D804A2"/>
    <w:rsid w:val="00D804C3"/>
    <w:rsid w:val="00D807B4"/>
    <w:rsid w:val="00D80A70"/>
    <w:rsid w:val="00D80D2D"/>
    <w:rsid w:val="00D80F08"/>
    <w:rsid w:val="00D810D3"/>
    <w:rsid w:val="00D814D4"/>
    <w:rsid w:val="00D8176C"/>
    <w:rsid w:val="00D817EE"/>
    <w:rsid w:val="00D81BF4"/>
    <w:rsid w:val="00D8258D"/>
    <w:rsid w:val="00D8258F"/>
    <w:rsid w:val="00D825E2"/>
    <w:rsid w:val="00D82947"/>
    <w:rsid w:val="00D82B6C"/>
    <w:rsid w:val="00D82CBE"/>
    <w:rsid w:val="00D82D05"/>
    <w:rsid w:val="00D82D4D"/>
    <w:rsid w:val="00D82D5D"/>
    <w:rsid w:val="00D82E39"/>
    <w:rsid w:val="00D8378B"/>
    <w:rsid w:val="00D83BF7"/>
    <w:rsid w:val="00D83DCB"/>
    <w:rsid w:val="00D83EA1"/>
    <w:rsid w:val="00D83F29"/>
    <w:rsid w:val="00D84001"/>
    <w:rsid w:val="00D8411D"/>
    <w:rsid w:val="00D8425B"/>
    <w:rsid w:val="00D84365"/>
    <w:rsid w:val="00D84ABD"/>
    <w:rsid w:val="00D84C59"/>
    <w:rsid w:val="00D853C8"/>
    <w:rsid w:val="00D855DF"/>
    <w:rsid w:val="00D85782"/>
    <w:rsid w:val="00D857B0"/>
    <w:rsid w:val="00D857DF"/>
    <w:rsid w:val="00D85B4E"/>
    <w:rsid w:val="00D85F55"/>
    <w:rsid w:val="00D8670E"/>
    <w:rsid w:val="00D867BD"/>
    <w:rsid w:val="00D8694F"/>
    <w:rsid w:val="00D86B3D"/>
    <w:rsid w:val="00D86D15"/>
    <w:rsid w:val="00D870FE"/>
    <w:rsid w:val="00D874BB"/>
    <w:rsid w:val="00D90076"/>
    <w:rsid w:val="00D900B1"/>
    <w:rsid w:val="00D9034F"/>
    <w:rsid w:val="00D90560"/>
    <w:rsid w:val="00D9075F"/>
    <w:rsid w:val="00D90761"/>
    <w:rsid w:val="00D90CF0"/>
    <w:rsid w:val="00D90E74"/>
    <w:rsid w:val="00D91E51"/>
    <w:rsid w:val="00D921B0"/>
    <w:rsid w:val="00D921DD"/>
    <w:rsid w:val="00D9227C"/>
    <w:rsid w:val="00D923CC"/>
    <w:rsid w:val="00D92644"/>
    <w:rsid w:val="00D92B77"/>
    <w:rsid w:val="00D92DB7"/>
    <w:rsid w:val="00D936BD"/>
    <w:rsid w:val="00D93877"/>
    <w:rsid w:val="00D93962"/>
    <w:rsid w:val="00D9422E"/>
    <w:rsid w:val="00D943FB"/>
    <w:rsid w:val="00D94402"/>
    <w:rsid w:val="00D947BE"/>
    <w:rsid w:val="00D9495A"/>
    <w:rsid w:val="00D94AAB"/>
    <w:rsid w:val="00D94B21"/>
    <w:rsid w:val="00D94B84"/>
    <w:rsid w:val="00D94B9B"/>
    <w:rsid w:val="00D94F12"/>
    <w:rsid w:val="00D9522E"/>
    <w:rsid w:val="00D9537D"/>
    <w:rsid w:val="00D95880"/>
    <w:rsid w:val="00D959B9"/>
    <w:rsid w:val="00D95A62"/>
    <w:rsid w:val="00D95C60"/>
    <w:rsid w:val="00D96068"/>
    <w:rsid w:val="00D96A82"/>
    <w:rsid w:val="00D96C96"/>
    <w:rsid w:val="00D97104"/>
    <w:rsid w:val="00D971FF"/>
    <w:rsid w:val="00D97248"/>
    <w:rsid w:val="00D97377"/>
    <w:rsid w:val="00D97814"/>
    <w:rsid w:val="00D97847"/>
    <w:rsid w:val="00D97BBE"/>
    <w:rsid w:val="00DA06DE"/>
    <w:rsid w:val="00DA0752"/>
    <w:rsid w:val="00DA092D"/>
    <w:rsid w:val="00DA0AA4"/>
    <w:rsid w:val="00DA1184"/>
    <w:rsid w:val="00DA1258"/>
    <w:rsid w:val="00DA12CD"/>
    <w:rsid w:val="00DA1430"/>
    <w:rsid w:val="00DA1552"/>
    <w:rsid w:val="00DA1BD6"/>
    <w:rsid w:val="00DA1C10"/>
    <w:rsid w:val="00DA1F17"/>
    <w:rsid w:val="00DA21FB"/>
    <w:rsid w:val="00DA237C"/>
    <w:rsid w:val="00DA2519"/>
    <w:rsid w:val="00DA2794"/>
    <w:rsid w:val="00DA28A9"/>
    <w:rsid w:val="00DA28B6"/>
    <w:rsid w:val="00DA2969"/>
    <w:rsid w:val="00DA3364"/>
    <w:rsid w:val="00DA33AD"/>
    <w:rsid w:val="00DA3B57"/>
    <w:rsid w:val="00DA3BB3"/>
    <w:rsid w:val="00DA3F07"/>
    <w:rsid w:val="00DA43F1"/>
    <w:rsid w:val="00DA448D"/>
    <w:rsid w:val="00DA47DE"/>
    <w:rsid w:val="00DA48AF"/>
    <w:rsid w:val="00DA4FD5"/>
    <w:rsid w:val="00DA501F"/>
    <w:rsid w:val="00DA50BE"/>
    <w:rsid w:val="00DA5254"/>
    <w:rsid w:val="00DA54A3"/>
    <w:rsid w:val="00DA573A"/>
    <w:rsid w:val="00DA5CEE"/>
    <w:rsid w:val="00DA5F81"/>
    <w:rsid w:val="00DA60CD"/>
    <w:rsid w:val="00DA6254"/>
    <w:rsid w:val="00DA6480"/>
    <w:rsid w:val="00DA6AE1"/>
    <w:rsid w:val="00DA6B06"/>
    <w:rsid w:val="00DA6D76"/>
    <w:rsid w:val="00DA7407"/>
    <w:rsid w:val="00DA75D7"/>
    <w:rsid w:val="00DA7660"/>
    <w:rsid w:val="00DA7718"/>
    <w:rsid w:val="00DA7721"/>
    <w:rsid w:val="00DA7763"/>
    <w:rsid w:val="00DA797B"/>
    <w:rsid w:val="00DA7B4A"/>
    <w:rsid w:val="00DA7DB9"/>
    <w:rsid w:val="00DA7E3A"/>
    <w:rsid w:val="00DB00CD"/>
    <w:rsid w:val="00DB02E9"/>
    <w:rsid w:val="00DB05C4"/>
    <w:rsid w:val="00DB0C12"/>
    <w:rsid w:val="00DB0F73"/>
    <w:rsid w:val="00DB10A5"/>
    <w:rsid w:val="00DB124D"/>
    <w:rsid w:val="00DB129A"/>
    <w:rsid w:val="00DB14C7"/>
    <w:rsid w:val="00DB15CE"/>
    <w:rsid w:val="00DB1AE9"/>
    <w:rsid w:val="00DB20A7"/>
    <w:rsid w:val="00DB24CC"/>
    <w:rsid w:val="00DB25B8"/>
    <w:rsid w:val="00DB25DD"/>
    <w:rsid w:val="00DB28F1"/>
    <w:rsid w:val="00DB2A37"/>
    <w:rsid w:val="00DB2BC8"/>
    <w:rsid w:val="00DB2F38"/>
    <w:rsid w:val="00DB35ED"/>
    <w:rsid w:val="00DB3914"/>
    <w:rsid w:val="00DB39B0"/>
    <w:rsid w:val="00DB3F61"/>
    <w:rsid w:val="00DB4054"/>
    <w:rsid w:val="00DB4290"/>
    <w:rsid w:val="00DB450F"/>
    <w:rsid w:val="00DB454F"/>
    <w:rsid w:val="00DB4575"/>
    <w:rsid w:val="00DB4914"/>
    <w:rsid w:val="00DB4CF9"/>
    <w:rsid w:val="00DB5455"/>
    <w:rsid w:val="00DB5628"/>
    <w:rsid w:val="00DB578E"/>
    <w:rsid w:val="00DB5A6F"/>
    <w:rsid w:val="00DB5B58"/>
    <w:rsid w:val="00DB5C7A"/>
    <w:rsid w:val="00DB5D73"/>
    <w:rsid w:val="00DB5ECD"/>
    <w:rsid w:val="00DB6484"/>
    <w:rsid w:val="00DB688F"/>
    <w:rsid w:val="00DB68AB"/>
    <w:rsid w:val="00DB6BE0"/>
    <w:rsid w:val="00DB6FC2"/>
    <w:rsid w:val="00DB700D"/>
    <w:rsid w:val="00DB7128"/>
    <w:rsid w:val="00DB7498"/>
    <w:rsid w:val="00DB7607"/>
    <w:rsid w:val="00DB772A"/>
    <w:rsid w:val="00DB7CD1"/>
    <w:rsid w:val="00DB7E93"/>
    <w:rsid w:val="00DC08B0"/>
    <w:rsid w:val="00DC090C"/>
    <w:rsid w:val="00DC1071"/>
    <w:rsid w:val="00DC109E"/>
    <w:rsid w:val="00DC1379"/>
    <w:rsid w:val="00DC1720"/>
    <w:rsid w:val="00DC17D7"/>
    <w:rsid w:val="00DC185C"/>
    <w:rsid w:val="00DC1862"/>
    <w:rsid w:val="00DC1964"/>
    <w:rsid w:val="00DC1D58"/>
    <w:rsid w:val="00DC1DC8"/>
    <w:rsid w:val="00DC1E4B"/>
    <w:rsid w:val="00DC23CF"/>
    <w:rsid w:val="00DC24C3"/>
    <w:rsid w:val="00DC2509"/>
    <w:rsid w:val="00DC2568"/>
    <w:rsid w:val="00DC2660"/>
    <w:rsid w:val="00DC2AAF"/>
    <w:rsid w:val="00DC2D38"/>
    <w:rsid w:val="00DC2E2E"/>
    <w:rsid w:val="00DC2E3D"/>
    <w:rsid w:val="00DC3234"/>
    <w:rsid w:val="00DC33A6"/>
    <w:rsid w:val="00DC3902"/>
    <w:rsid w:val="00DC3E19"/>
    <w:rsid w:val="00DC3FB5"/>
    <w:rsid w:val="00DC40B1"/>
    <w:rsid w:val="00DC4115"/>
    <w:rsid w:val="00DC438D"/>
    <w:rsid w:val="00DC450C"/>
    <w:rsid w:val="00DC4773"/>
    <w:rsid w:val="00DC481B"/>
    <w:rsid w:val="00DC4D88"/>
    <w:rsid w:val="00DC50E8"/>
    <w:rsid w:val="00DC5763"/>
    <w:rsid w:val="00DC5ACC"/>
    <w:rsid w:val="00DC5E26"/>
    <w:rsid w:val="00DC6115"/>
    <w:rsid w:val="00DC618C"/>
    <w:rsid w:val="00DC6254"/>
    <w:rsid w:val="00DC62DE"/>
    <w:rsid w:val="00DC6492"/>
    <w:rsid w:val="00DC6CDB"/>
    <w:rsid w:val="00DC6EEF"/>
    <w:rsid w:val="00DC7418"/>
    <w:rsid w:val="00DC7467"/>
    <w:rsid w:val="00DC7B18"/>
    <w:rsid w:val="00DC7D89"/>
    <w:rsid w:val="00DD022E"/>
    <w:rsid w:val="00DD02B9"/>
    <w:rsid w:val="00DD0828"/>
    <w:rsid w:val="00DD0880"/>
    <w:rsid w:val="00DD09C5"/>
    <w:rsid w:val="00DD09EC"/>
    <w:rsid w:val="00DD0E01"/>
    <w:rsid w:val="00DD14A5"/>
    <w:rsid w:val="00DD1769"/>
    <w:rsid w:val="00DD1C8A"/>
    <w:rsid w:val="00DD1E61"/>
    <w:rsid w:val="00DD2312"/>
    <w:rsid w:val="00DD2568"/>
    <w:rsid w:val="00DD27B6"/>
    <w:rsid w:val="00DD2A3B"/>
    <w:rsid w:val="00DD2E6A"/>
    <w:rsid w:val="00DD36F0"/>
    <w:rsid w:val="00DD3910"/>
    <w:rsid w:val="00DD3AF3"/>
    <w:rsid w:val="00DD3D47"/>
    <w:rsid w:val="00DD3DDB"/>
    <w:rsid w:val="00DD3E45"/>
    <w:rsid w:val="00DD3E76"/>
    <w:rsid w:val="00DD46D4"/>
    <w:rsid w:val="00DD4869"/>
    <w:rsid w:val="00DD4CFF"/>
    <w:rsid w:val="00DD4E6A"/>
    <w:rsid w:val="00DD50E6"/>
    <w:rsid w:val="00DD52BE"/>
    <w:rsid w:val="00DD557F"/>
    <w:rsid w:val="00DD561D"/>
    <w:rsid w:val="00DD5952"/>
    <w:rsid w:val="00DD5D95"/>
    <w:rsid w:val="00DD5DBE"/>
    <w:rsid w:val="00DD6335"/>
    <w:rsid w:val="00DD63FE"/>
    <w:rsid w:val="00DD64E7"/>
    <w:rsid w:val="00DD657A"/>
    <w:rsid w:val="00DD65BD"/>
    <w:rsid w:val="00DD6BAF"/>
    <w:rsid w:val="00DD6C4C"/>
    <w:rsid w:val="00DD70D5"/>
    <w:rsid w:val="00DD7671"/>
    <w:rsid w:val="00DD773C"/>
    <w:rsid w:val="00DD7879"/>
    <w:rsid w:val="00DD7C4C"/>
    <w:rsid w:val="00DE00FF"/>
    <w:rsid w:val="00DE04A4"/>
    <w:rsid w:val="00DE05C3"/>
    <w:rsid w:val="00DE07C7"/>
    <w:rsid w:val="00DE07EC"/>
    <w:rsid w:val="00DE081A"/>
    <w:rsid w:val="00DE0891"/>
    <w:rsid w:val="00DE0B08"/>
    <w:rsid w:val="00DE0E5C"/>
    <w:rsid w:val="00DE0E5F"/>
    <w:rsid w:val="00DE0F53"/>
    <w:rsid w:val="00DE0F64"/>
    <w:rsid w:val="00DE10D4"/>
    <w:rsid w:val="00DE146E"/>
    <w:rsid w:val="00DE1795"/>
    <w:rsid w:val="00DE17D1"/>
    <w:rsid w:val="00DE1842"/>
    <w:rsid w:val="00DE19BF"/>
    <w:rsid w:val="00DE1AF1"/>
    <w:rsid w:val="00DE1D76"/>
    <w:rsid w:val="00DE2329"/>
    <w:rsid w:val="00DE2358"/>
    <w:rsid w:val="00DE2562"/>
    <w:rsid w:val="00DE272A"/>
    <w:rsid w:val="00DE282A"/>
    <w:rsid w:val="00DE2B95"/>
    <w:rsid w:val="00DE2CA0"/>
    <w:rsid w:val="00DE2E71"/>
    <w:rsid w:val="00DE304F"/>
    <w:rsid w:val="00DE30F4"/>
    <w:rsid w:val="00DE3227"/>
    <w:rsid w:val="00DE33BA"/>
    <w:rsid w:val="00DE351F"/>
    <w:rsid w:val="00DE3963"/>
    <w:rsid w:val="00DE3AAF"/>
    <w:rsid w:val="00DE4140"/>
    <w:rsid w:val="00DE4198"/>
    <w:rsid w:val="00DE43A7"/>
    <w:rsid w:val="00DE43BC"/>
    <w:rsid w:val="00DE45AF"/>
    <w:rsid w:val="00DE4615"/>
    <w:rsid w:val="00DE4642"/>
    <w:rsid w:val="00DE4B0B"/>
    <w:rsid w:val="00DE50BC"/>
    <w:rsid w:val="00DE5214"/>
    <w:rsid w:val="00DE5485"/>
    <w:rsid w:val="00DE56BC"/>
    <w:rsid w:val="00DE5717"/>
    <w:rsid w:val="00DE574A"/>
    <w:rsid w:val="00DE5A52"/>
    <w:rsid w:val="00DE5C59"/>
    <w:rsid w:val="00DE5DCD"/>
    <w:rsid w:val="00DE5F97"/>
    <w:rsid w:val="00DE67AF"/>
    <w:rsid w:val="00DE6C1E"/>
    <w:rsid w:val="00DE7238"/>
    <w:rsid w:val="00DE7257"/>
    <w:rsid w:val="00DE72FF"/>
    <w:rsid w:val="00DE7590"/>
    <w:rsid w:val="00DE792D"/>
    <w:rsid w:val="00DE7C29"/>
    <w:rsid w:val="00DE7D95"/>
    <w:rsid w:val="00DE7F52"/>
    <w:rsid w:val="00DF004A"/>
    <w:rsid w:val="00DF0194"/>
    <w:rsid w:val="00DF07DE"/>
    <w:rsid w:val="00DF0A24"/>
    <w:rsid w:val="00DF0A8E"/>
    <w:rsid w:val="00DF0F06"/>
    <w:rsid w:val="00DF12B7"/>
    <w:rsid w:val="00DF1506"/>
    <w:rsid w:val="00DF1B75"/>
    <w:rsid w:val="00DF1BDD"/>
    <w:rsid w:val="00DF1DA5"/>
    <w:rsid w:val="00DF1FB3"/>
    <w:rsid w:val="00DF1FFB"/>
    <w:rsid w:val="00DF2015"/>
    <w:rsid w:val="00DF2688"/>
    <w:rsid w:val="00DF2754"/>
    <w:rsid w:val="00DF2868"/>
    <w:rsid w:val="00DF2922"/>
    <w:rsid w:val="00DF2B81"/>
    <w:rsid w:val="00DF3740"/>
    <w:rsid w:val="00DF3EF8"/>
    <w:rsid w:val="00DF4108"/>
    <w:rsid w:val="00DF42B3"/>
    <w:rsid w:val="00DF42DB"/>
    <w:rsid w:val="00DF433E"/>
    <w:rsid w:val="00DF4436"/>
    <w:rsid w:val="00DF4445"/>
    <w:rsid w:val="00DF4497"/>
    <w:rsid w:val="00DF4937"/>
    <w:rsid w:val="00DF49E3"/>
    <w:rsid w:val="00DF4A8F"/>
    <w:rsid w:val="00DF4AB9"/>
    <w:rsid w:val="00DF4B8A"/>
    <w:rsid w:val="00DF4C40"/>
    <w:rsid w:val="00DF52C4"/>
    <w:rsid w:val="00DF5318"/>
    <w:rsid w:val="00DF53A8"/>
    <w:rsid w:val="00DF53E5"/>
    <w:rsid w:val="00DF5555"/>
    <w:rsid w:val="00DF5617"/>
    <w:rsid w:val="00DF5633"/>
    <w:rsid w:val="00DF5A98"/>
    <w:rsid w:val="00DF5B19"/>
    <w:rsid w:val="00DF5CC5"/>
    <w:rsid w:val="00DF5E80"/>
    <w:rsid w:val="00DF5E84"/>
    <w:rsid w:val="00DF5F54"/>
    <w:rsid w:val="00DF5FF2"/>
    <w:rsid w:val="00DF6087"/>
    <w:rsid w:val="00DF6686"/>
    <w:rsid w:val="00DF6875"/>
    <w:rsid w:val="00DF6EC5"/>
    <w:rsid w:val="00DF71CE"/>
    <w:rsid w:val="00DF740A"/>
    <w:rsid w:val="00DF7458"/>
    <w:rsid w:val="00DF7931"/>
    <w:rsid w:val="00DF7B92"/>
    <w:rsid w:val="00DF7F35"/>
    <w:rsid w:val="00E0026D"/>
    <w:rsid w:val="00E009EE"/>
    <w:rsid w:val="00E00A1B"/>
    <w:rsid w:val="00E00AB4"/>
    <w:rsid w:val="00E00C3F"/>
    <w:rsid w:val="00E00C49"/>
    <w:rsid w:val="00E0129C"/>
    <w:rsid w:val="00E0146E"/>
    <w:rsid w:val="00E0155D"/>
    <w:rsid w:val="00E015BC"/>
    <w:rsid w:val="00E02465"/>
    <w:rsid w:val="00E0251E"/>
    <w:rsid w:val="00E026D3"/>
    <w:rsid w:val="00E0284A"/>
    <w:rsid w:val="00E029B5"/>
    <w:rsid w:val="00E02BAB"/>
    <w:rsid w:val="00E02E55"/>
    <w:rsid w:val="00E02F1F"/>
    <w:rsid w:val="00E038D6"/>
    <w:rsid w:val="00E03EC7"/>
    <w:rsid w:val="00E043A3"/>
    <w:rsid w:val="00E044F9"/>
    <w:rsid w:val="00E04B6F"/>
    <w:rsid w:val="00E04CC3"/>
    <w:rsid w:val="00E04CFD"/>
    <w:rsid w:val="00E0523D"/>
    <w:rsid w:val="00E053CA"/>
    <w:rsid w:val="00E054B1"/>
    <w:rsid w:val="00E05AE7"/>
    <w:rsid w:val="00E05E19"/>
    <w:rsid w:val="00E05FA3"/>
    <w:rsid w:val="00E06090"/>
    <w:rsid w:val="00E061F2"/>
    <w:rsid w:val="00E064F6"/>
    <w:rsid w:val="00E06716"/>
    <w:rsid w:val="00E06926"/>
    <w:rsid w:val="00E06C29"/>
    <w:rsid w:val="00E0728A"/>
    <w:rsid w:val="00E072D0"/>
    <w:rsid w:val="00E075D7"/>
    <w:rsid w:val="00E076DF"/>
    <w:rsid w:val="00E078A2"/>
    <w:rsid w:val="00E07916"/>
    <w:rsid w:val="00E07B49"/>
    <w:rsid w:val="00E07DB5"/>
    <w:rsid w:val="00E07DFE"/>
    <w:rsid w:val="00E1055A"/>
    <w:rsid w:val="00E10656"/>
    <w:rsid w:val="00E10B3D"/>
    <w:rsid w:val="00E10DA8"/>
    <w:rsid w:val="00E10E32"/>
    <w:rsid w:val="00E10FE5"/>
    <w:rsid w:val="00E112C0"/>
    <w:rsid w:val="00E114DD"/>
    <w:rsid w:val="00E11A7C"/>
    <w:rsid w:val="00E12574"/>
    <w:rsid w:val="00E125B8"/>
    <w:rsid w:val="00E1290A"/>
    <w:rsid w:val="00E12A5B"/>
    <w:rsid w:val="00E12A9B"/>
    <w:rsid w:val="00E12BB4"/>
    <w:rsid w:val="00E12C49"/>
    <w:rsid w:val="00E12CA2"/>
    <w:rsid w:val="00E132A7"/>
    <w:rsid w:val="00E135CC"/>
    <w:rsid w:val="00E1396D"/>
    <w:rsid w:val="00E13A8F"/>
    <w:rsid w:val="00E141CA"/>
    <w:rsid w:val="00E14353"/>
    <w:rsid w:val="00E14521"/>
    <w:rsid w:val="00E148CB"/>
    <w:rsid w:val="00E14AFC"/>
    <w:rsid w:val="00E14E94"/>
    <w:rsid w:val="00E1599F"/>
    <w:rsid w:val="00E159BC"/>
    <w:rsid w:val="00E15BBA"/>
    <w:rsid w:val="00E15BD4"/>
    <w:rsid w:val="00E15C3B"/>
    <w:rsid w:val="00E15C8F"/>
    <w:rsid w:val="00E15E8B"/>
    <w:rsid w:val="00E15F86"/>
    <w:rsid w:val="00E160B5"/>
    <w:rsid w:val="00E1664F"/>
    <w:rsid w:val="00E16A26"/>
    <w:rsid w:val="00E16D8B"/>
    <w:rsid w:val="00E1722D"/>
    <w:rsid w:val="00E1722E"/>
    <w:rsid w:val="00E17357"/>
    <w:rsid w:val="00E17528"/>
    <w:rsid w:val="00E17698"/>
    <w:rsid w:val="00E17914"/>
    <w:rsid w:val="00E20159"/>
    <w:rsid w:val="00E20252"/>
    <w:rsid w:val="00E20611"/>
    <w:rsid w:val="00E20660"/>
    <w:rsid w:val="00E20789"/>
    <w:rsid w:val="00E207F7"/>
    <w:rsid w:val="00E20ACA"/>
    <w:rsid w:val="00E20AED"/>
    <w:rsid w:val="00E21350"/>
    <w:rsid w:val="00E215A1"/>
    <w:rsid w:val="00E21790"/>
    <w:rsid w:val="00E21886"/>
    <w:rsid w:val="00E21F34"/>
    <w:rsid w:val="00E222D1"/>
    <w:rsid w:val="00E22826"/>
    <w:rsid w:val="00E22A54"/>
    <w:rsid w:val="00E22C07"/>
    <w:rsid w:val="00E22F93"/>
    <w:rsid w:val="00E233AF"/>
    <w:rsid w:val="00E237CE"/>
    <w:rsid w:val="00E238C1"/>
    <w:rsid w:val="00E23919"/>
    <w:rsid w:val="00E23A08"/>
    <w:rsid w:val="00E23A42"/>
    <w:rsid w:val="00E23A5A"/>
    <w:rsid w:val="00E23BA3"/>
    <w:rsid w:val="00E240F4"/>
    <w:rsid w:val="00E2431E"/>
    <w:rsid w:val="00E24A20"/>
    <w:rsid w:val="00E250B3"/>
    <w:rsid w:val="00E2529C"/>
    <w:rsid w:val="00E2530C"/>
    <w:rsid w:val="00E25ACA"/>
    <w:rsid w:val="00E25D84"/>
    <w:rsid w:val="00E2633A"/>
    <w:rsid w:val="00E2651C"/>
    <w:rsid w:val="00E26791"/>
    <w:rsid w:val="00E267E5"/>
    <w:rsid w:val="00E2700E"/>
    <w:rsid w:val="00E27049"/>
    <w:rsid w:val="00E272B3"/>
    <w:rsid w:val="00E273DD"/>
    <w:rsid w:val="00E27566"/>
    <w:rsid w:val="00E2790B"/>
    <w:rsid w:val="00E27A06"/>
    <w:rsid w:val="00E27AFB"/>
    <w:rsid w:val="00E30017"/>
    <w:rsid w:val="00E3026E"/>
    <w:rsid w:val="00E307E4"/>
    <w:rsid w:val="00E31389"/>
    <w:rsid w:val="00E31825"/>
    <w:rsid w:val="00E31AD6"/>
    <w:rsid w:val="00E31B90"/>
    <w:rsid w:val="00E31F03"/>
    <w:rsid w:val="00E326E4"/>
    <w:rsid w:val="00E3286D"/>
    <w:rsid w:val="00E32952"/>
    <w:rsid w:val="00E3299A"/>
    <w:rsid w:val="00E32F19"/>
    <w:rsid w:val="00E3323E"/>
    <w:rsid w:val="00E335CB"/>
    <w:rsid w:val="00E33889"/>
    <w:rsid w:val="00E33A8C"/>
    <w:rsid w:val="00E33B6D"/>
    <w:rsid w:val="00E33ED8"/>
    <w:rsid w:val="00E33FAC"/>
    <w:rsid w:val="00E34028"/>
    <w:rsid w:val="00E3407B"/>
    <w:rsid w:val="00E342CF"/>
    <w:rsid w:val="00E346EB"/>
    <w:rsid w:val="00E3482B"/>
    <w:rsid w:val="00E34F75"/>
    <w:rsid w:val="00E3503E"/>
    <w:rsid w:val="00E35483"/>
    <w:rsid w:val="00E355FE"/>
    <w:rsid w:val="00E35916"/>
    <w:rsid w:val="00E359A8"/>
    <w:rsid w:val="00E35A2E"/>
    <w:rsid w:val="00E35AFD"/>
    <w:rsid w:val="00E35F49"/>
    <w:rsid w:val="00E3623C"/>
    <w:rsid w:val="00E3644C"/>
    <w:rsid w:val="00E36505"/>
    <w:rsid w:val="00E36795"/>
    <w:rsid w:val="00E36B4D"/>
    <w:rsid w:val="00E36CEE"/>
    <w:rsid w:val="00E36D7D"/>
    <w:rsid w:val="00E377D8"/>
    <w:rsid w:val="00E378CD"/>
    <w:rsid w:val="00E379EF"/>
    <w:rsid w:val="00E37EF8"/>
    <w:rsid w:val="00E40089"/>
    <w:rsid w:val="00E40268"/>
    <w:rsid w:val="00E40491"/>
    <w:rsid w:val="00E404DE"/>
    <w:rsid w:val="00E40824"/>
    <w:rsid w:val="00E41251"/>
    <w:rsid w:val="00E41258"/>
    <w:rsid w:val="00E419E9"/>
    <w:rsid w:val="00E41A0D"/>
    <w:rsid w:val="00E41ACB"/>
    <w:rsid w:val="00E41CE1"/>
    <w:rsid w:val="00E41E29"/>
    <w:rsid w:val="00E4209D"/>
    <w:rsid w:val="00E422C1"/>
    <w:rsid w:val="00E42632"/>
    <w:rsid w:val="00E42A81"/>
    <w:rsid w:val="00E42B69"/>
    <w:rsid w:val="00E42F85"/>
    <w:rsid w:val="00E43505"/>
    <w:rsid w:val="00E43632"/>
    <w:rsid w:val="00E43677"/>
    <w:rsid w:val="00E439FC"/>
    <w:rsid w:val="00E43B95"/>
    <w:rsid w:val="00E43CC6"/>
    <w:rsid w:val="00E4428F"/>
    <w:rsid w:val="00E44304"/>
    <w:rsid w:val="00E44778"/>
    <w:rsid w:val="00E447A7"/>
    <w:rsid w:val="00E44B67"/>
    <w:rsid w:val="00E44BA0"/>
    <w:rsid w:val="00E4501C"/>
    <w:rsid w:val="00E4502B"/>
    <w:rsid w:val="00E456ED"/>
    <w:rsid w:val="00E45A6E"/>
    <w:rsid w:val="00E45EA4"/>
    <w:rsid w:val="00E45F65"/>
    <w:rsid w:val="00E46110"/>
    <w:rsid w:val="00E469FD"/>
    <w:rsid w:val="00E46A0A"/>
    <w:rsid w:val="00E46BD8"/>
    <w:rsid w:val="00E46E67"/>
    <w:rsid w:val="00E46EB8"/>
    <w:rsid w:val="00E46F61"/>
    <w:rsid w:val="00E471A8"/>
    <w:rsid w:val="00E472EE"/>
    <w:rsid w:val="00E47350"/>
    <w:rsid w:val="00E47461"/>
    <w:rsid w:val="00E474F3"/>
    <w:rsid w:val="00E47790"/>
    <w:rsid w:val="00E478E5"/>
    <w:rsid w:val="00E479F0"/>
    <w:rsid w:val="00E47C13"/>
    <w:rsid w:val="00E47C9B"/>
    <w:rsid w:val="00E47CDF"/>
    <w:rsid w:val="00E5004E"/>
    <w:rsid w:val="00E50394"/>
    <w:rsid w:val="00E505C9"/>
    <w:rsid w:val="00E506CF"/>
    <w:rsid w:val="00E50A0F"/>
    <w:rsid w:val="00E510FD"/>
    <w:rsid w:val="00E5123B"/>
    <w:rsid w:val="00E51383"/>
    <w:rsid w:val="00E513C0"/>
    <w:rsid w:val="00E518B8"/>
    <w:rsid w:val="00E51967"/>
    <w:rsid w:val="00E51E37"/>
    <w:rsid w:val="00E51EBD"/>
    <w:rsid w:val="00E52121"/>
    <w:rsid w:val="00E521CD"/>
    <w:rsid w:val="00E521FF"/>
    <w:rsid w:val="00E5227D"/>
    <w:rsid w:val="00E524AE"/>
    <w:rsid w:val="00E5299C"/>
    <w:rsid w:val="00E530F8"/>
    <w:rsid w:val="00E533C6"/>
    <w:rsid w:val="00E535DF"/>
    <w:rsid w:val="00E5363A"/>
    <w:rsid w:val="00E5380A"/>
    <w:rsid w:val="00E5385C"/>
    <w:rsid w:val="00E543D8"/>
    <w:rsid w:val="00E54B5B"/>
    <w:rsid w:val="00E54D5E"/>
    <w:rsid w:val="00E54F19"/>
    <w:rsid w:val="00E55548"/>
    <w:rsid w:val="00E55F65"/>
    <w:rsid w:val="00E56049"/>
    <w:rsid w:val="00E560C1"/>
    <w:rsid w:val="00E561C3"/>
    <w:rsid w:val="00E565BB"/>
    <w:rsid w:val="00E569CC"/>
    <w:rsid w:val="00E56B9A"/>
    <w:rsid w:val="00E57576"/>
    <w:rsid w:val="00E57781"/>
    <w:rsid w:val="00E60067"/>
    <w:rsid w:val="00E60724"/>
    <w:rsid w:val="00E60C9C"/>
    <w:rsid w:val="00E60D97"/>
    <w:rsid w:val="00E60E04"/>
    <w:rsid w:val="00E60E7D"/>
    <w:rsid w:val="00E61250"/>
    <w:rsid w:val="00E613C5"/>
    <w:rsid w:val="00E61422"/>
    <w:rsid w:val="00E6165B"/>
    <w:rsid w:val="00E61660"/>
    <w:rsid w:val="00E61708"/>
    <w:rsid w:val="00E6174B"/>
    <w:rsid w:val="00E61877"/>
    <w:rsid w:val="00E619F2"/>
    <w:rsid w:val="00E619FA"/>
    <w:rsid w:val="00E625B6"/>
    <w:rsid w:val="00E626A4"/>
    <w:rsid w:val="00E626A8"/>
    <w:rsid w:val="00E62752"/>
    <w:rsid w:val="00E628DD"/>
    <w:rsid w:val="00E629F9"/>
    <w:rsid w:val="00E62B2F"/>
    <w:rsid w:val="00E62CC4"/>
    <w:rsid w:val="00E62EBC"/>
    <w:rsid w:val="00E62F4F"/>
    <w:rsid w:val="00E63EE0"/>
    <w:rsid w:val="00E6428C"/>
    <w:rsid w:val="00E644DE"/>
    <w:rsid w:val="00E64584"/>
    <w:rsid w:val="00E64847"/>
    <w:rsid w:val="00E6497B"/>
    <w:rsid w:val="00E64DAA"/>
    <w:rsid w:val="00E64DB1"/>
    <w:rsid w:val="00E64EBB"/>
    <w:rsid w:val="00E64F07"/>
    <w:rsid w:val="00E64F66"/>
    <w:rsid w:val="00E64FC0"/>
    <w:rsid w:val="00E657CA"/>
    <w:rsid w:val="00E65EC2"/>
    <w:rsid w:val="00E65FC1"/>
    <w:rsid w:val="00E660C6"/>
    <w:rsid w:val="00E66290"/>
    <w:rsid w:val="00E66461"/>
    <w:rsid w:val="00E666AD"/>
    <w:rsid w:val="00E6688A"/>
    <w:rsid w:val="00E66AE7"/>
    <w:rsid w:val="00E66EF6"/>
    <w:rsid w:val="00E673FF"/>
    <w:rsid w:val="00E676C5"/>
    <w:rsid w:val="00E67BDB"/>
    <w:rsid w:val="00E67E4E"/>
    <w:rsid w:val="00E67E54"/>
    <w:rsid w:val="00E70383"/>
    <w:rsid w:val="00E70560"/>
    <w:rsid w:val="00E7061B"/>
    <w:rsid w:val="00E70635"/>
    <w:rsid w:val="00E7074A"/>
    <w:rsid w:val="00E7079E"/>
    <w:rsid w:val="00E70D63"/>
    <w:rsid w:val="00E7119C"/>
    <w:rsid w:val="00E712B8"/>
    <w:rsid w:val="00E71852"/>
    <w:rsid w:val="00E71FED"/>
    <w:rsid w:val="00E7224E"/>
    <w:rsid w:val="00E72401"/>
    <w:rsid w:val="00E726D2"/>
    <w:rsid w:val="00E72981"/>
    <w:rsid w:val="00E72EAF"/>
    <w:rsid w:val="00E72FD9"/>
    <w:rsid w:val="00E730AD"/>
    <w:rsid w:val="00E73856"/>
    <w:rsid w:val="00E73921"/>
    <w:rsid w:val="00E73E52"/>
    <w:rsid w:val="00E742F6"/>
    <w:rsid w:val="00E743D3"/>
    <w:rsid w:val="00E7450E"/>
    <w:rsid w:val="00E74675"/>
    <w:rsid w:val="00E75330"/>
    <w:rsid w:val="00E75F83"/>
    <w:rsid w:val="00E7636C"/>
    <w:rsid w:val="00E763E0"/>
    <w:rsid w:val="00E764B8"/>
    <w:rsid w:val="00E765C9"/>
    <w:rsid w:val="00E768C0"/>
    <w:rsid w:val="00E76992"/>
    <w:rsid w:val="00E76B13"/>
    <w:rsid w:val="00E76CFD"/>
    <w:rsid w:val="00E76E59"/>
    <w:rsid w:val="00E76F06"/>
    <w:rsid w:val="00E76FC5"/>
    <w:rsid w:val="00E77069"/>
    <w:rsid w:val="00E774A1"/>
    <w:rsid w:val="00E7762D"/>
    <w:rsid w:val="00E77658"/>
    <w:rsid w:val="00E776B2"/>
    <w:rsid w:val="00E77ADF"/>
    <w:rsid w:val="00E77C3C"/>
    <w:rsid w:val="00E8004F"/>
    <w:rsid w:val="00E80384"/>
    <w:rsid w:val="00E803C9"/>
    <w:rsid w:val="00E804FA"/>
    <w:rsid w:val="00E80507"/>
    <w:rsid w:val="00E80711"/>
    <w:rsid w:val="00E807A0"/>
    <w:rsid w:val="00E80804"/>
    <w:rsid w:val="00E80967"/>
    <w:rsid w:val="00E80C57"/>
    <w:rsid w:val="00E80D11"/>
    <w:rsid w:val="00E80E5A"/>
    <w:rsid w:val="00E80ED5"/>
    <w:rsid w:val="00E81192"/>
    <w:rsid w:val="00E8140C"/>
    <w:rsid w:val="00E81492"/>
    <w:rsid w:val="00E815AB"/>
    <w:rsid w:val="00E8160E"/>
    <w:rsid w:val="00E81B12"/>
    <w:rsid w:val="00E81B60"/>
    <w:rsid w:val="00E81B95"/>
    <w:rsid w:val="00E81BB9"/>
    <w:rsid w:val="00E81DE7"/>
    <w:rsid w:val="00E81E78"/>
    <w:rsid w:val="00E81FEB"/>
    <w:rsid w:val="00E82097"/>
    <w:rsid w:val="00E8238F"/>
    <w:rsid w:val="00E823B4"/>
    <w:rsid w:val="00E823BE"/>
    <w:rsid w:val="00E8257F"/>
    <w:rsid w:val="00E828B7"/>
    <w:rsid w:val="00E82A07"/>
    <w:rsid w:val="00E82DD6"/>
    <w:rsid w:val="00E83283"/>
    <w:rsid w:val="00E832C2"/>
    <w:rsid w:val="00E83617"/>
    <w:rsid w:val="00E83D75"/>
    <w:rsid w:val="00E83F82"/>
    <w:rsid w:val="00E84311"/>
    <w:rsid w:val="00E84481"/>
    <w:rsid w:val="00E8448A"/>
    <w:rsid w:val="00E8496D"/>
    <w:rsid w:val="00E84CFB"/>
    <w:rsid w:val="00E84D13"/>
    <w:rsid w:val="00E84E32"/>
    <w:rsid w:val="00E8570E"/>
    <w:rsid w:val="00E85721"/>
    <w:rsid w:val="00E85757"/>
    <w:rsid w:val="00E857AA"/>
    <w:rsid w:val="00E85B90"/>
    <w:rsid w:val="00E85CC8"/>
    <w:rsid w:val="00E85EDF"/>
    <w:rsid w:val="00E85F94"/>
    <w:rsid w:val="00E86114"/>
    <w:rsid w:val="00E86308"/>
    <w:rsid w:val="00E863D5"/>
    <w:rsid w:val="00E865B0"/>
    <w:rsid w:val="00E8724E"/>
    <w:rsid w:val="00E87251"/>
    <w:rsid w:val="00E873DE"/>
    <w:rsid w:val="00E87771"/>
    <w:rsid w:val="00E878F3"/>
    <w:rsid w:val="00E87C05"/>
    <w:rsid w:val="00E87C5E"/>
    <w:rsid w:val="00E87D4B"/>
    <w:rsid w:val="00E87F56"/>
    <w:rsid w:val="00E87FF0"/>
    <w:rsid w:val="00E90003"/>
    <w:rsid w:val="00E901FE"/>
    <w:rsid w:val="00E902C2"/>
    <w:rsid w:val="00E9086C"/>
    <w:rsid w:val="00E90C8D"/>
    <w:rsid w:val="00E91078"/>
    <w:rsid w:val="00E910E2"/>
    <w:rsid w:val="00E91865"/>
    <w:rsid w:val="00E91A26"/>
    <w:rsid w:val="00E91A36"/>
    <w:rsid w:val="00E91B05"/>
    <w:rsid w:val="00E91FCB"/>
    <w:rsid w:val="00E91FD8"/>
    <w:rsid w:val="00E92018"/>
    <w:rsid w:val="00E920A3"/>
    <w:rsid w:val="00E922DE"/>
    <w:rsid w:val="00E929C0"/>
    <w:rsid w:val="00E92A08"/>
    <w:rsid w:val="00E92E1A"/>
    <w:rsid w:val="00E92E3A"/>
    <w:rsid w:val="00E92EA9"/>
    <w:rsid w:val="00E92ED0"/>
    <w:rsid w:val="00E92FCF"/>
    <w:rsid w:val="00E930D3"/>
    <w:rsid w:val="00E930D7"/>
    <w:rsid w:val="00E93964"/>
    <w:rsid w:val="00E9396B"/>
    <w:rsid w:val="00E93AEF"/>
    <w:rsid w:val="00E93B33"/>
    <w:rsid w:val="00E93D32"/>
    <w:rsid w:val="00E94702"/>
    <w:rsid w:val="00E94849"/>
    <w:rsid w:val="00E94978"/>
    <w:rsid w:val="00E94C5E"/>
    <w:rsid w:val="00E94DDD"/>
    <w:rsid w:val="00E94DFB"/>
    <w:rsid w:val="00E94E25"/>
    <w:rsid w:val="00E95034"/>
    <w:rsid w:val="00E950DC"/>
    <w:rsid w:val="00E951F4"/>
    <w:rsid w:val="00E95263"/>
    <w:rsid w:val="00E95DD9"/>
    <w:rsid w:val="00E96016"/>
    <w:rsid w:val="00E96245"/>
    <w:rsid w:val="00E9675E"/>
    <w:rsid w:val="00E96BF1"/>
    <w:rsid w:val="00E96FD4"/>
    <w:rsid w:val="00E97467"/>
    <w:rsid w:val="00E9771C"/>
    <w:rsid w:val="00E978ED"/>
    <w:rsid w:val="00E979F3"/>
    <w:rsid w:val="00E97AD3"/>
    <w:rsid w:val="00EA039A"/>
    <w:rsid w:val="00EA0734"/>
    <w:rsid w:val="00EA0A7B"/>
    <w:rsid w:val="00EA1093"/>
    <w:rsid w:val="00EA1383"/>
    <w:rsid w:val="00EA1887"/>
    <w:rsid w:val="00EA1B4E"/>
    <w:rsid w:val="00EA1D52"/>
    <w:rsid w:val="00EA1FDE"/>
    <w:rsid w:val="00EA23B5"/>
    <w:rsid w:val="00EA27B6"/>
    <w:rsid w:val="00EA28F7"/>
    <w:rsid w:val="00EA2DB2"/>
    <w:rsid w:val="00EA2DC9"/>
    <w:rsid w:val="00EA2E35"/>
    <w:rsid w:val="00EA36C8"/>
    <w:rsid w:val="00EA3BD3"/>
    <w:rsid w:val="00EA3E67"/>
    <w:rsid w:val="00EA413C"/>
    <w:rsid w:val="00EA449A"/>
    <w:rsid w:val="00EA44A6"/>
    <w:rsid w:val="00EA451C"/>
    <w:rsid w:val="00EA482E"/>
    <w:rsid w:val="00EA48F9"/>
    <w:rsid w:val="00EA49B1"/>
    <w:rsid w:val="00EA4BC7"/>
    <w:rsid w:val="00EA4C1A"/>
    <w:rsid w:val="00EA4F60"/>
    <w:rsid w:val="00EA4F65"/>
    <w:rsid w:val="00EA52BD"/>
    <w:rsid w:val="00EA5677"/>
    <w:rsid w:val="00EA5751"/>
    <w:rsid w:val="00EA5771"/>
    <w:rsid w:val="00EA57F0"/>
    <w:rsid w:val="00EA5AAF"/>
    <w:rsid w:val="00EA5C69"/>
    <w:rsid w:val="00EA5DF9"/>
    <w:rsid w:val="00EA6023"/>
    <w:rsid w:val="00EA6302"/>
    <w:rsid w:val="00EA63BE"/>
    <w:rsid w:val="00EA642F"/>
    <w:rsid w:val="00EA6575"/>
    <w:rsid w:val="00EA6836"/>
    <w:rsid w:val="00EA691E"/>
    <w:rsid w:val="00EA6BA3"/>
    <w:rsid w:val="00EA715D"/>
    <w:rsid w:val="00EA737E"/>
    <w:rsid w:val="00EA763C"/>
    <w:rsid w:val="00EA79CF"/>
    <w:rsid w:val="00EB077B"/>
    <w:rsid w:val="00EB101D"/>
    <w:rsid w:val="00EB116E"/>
    <w:rsid w:val="00EB13B7"/>
    <w:rsid w:val="00EB1548"/>
    <w:rsid w:val="00EB1914"/>
    <w:rsid w:val="00EB1FA0"/>
    <w:rsid w:val="00EB235D"/>
    <w:rsid w:val="00EB240D"/>
    <w:rsid w:val="00EB27F0"/>
    <w:rsid w:val="00EB2ACF"/>
    <w:rsid w:val="00EB2D83"/>
    <w:rsid w:val="00EB30D2"/>
    <w:rsid w:val="00EB354F"/>
    <w:rsid w:val="00EB369F"/>
    <w:rsid w:val="00EB3800"/>
    <w:rsid w:val="00EB3A8C"/>
    <w:rsid w:val="00EB3B58"/>
    <w:rsid w:val="00EB3BBB"/>
    <w:rsid w:val="00EB402C"/>
    <w:rsid w:val="00EB415D"/>
    <w:rsid w:val="00EB4532"/>
    <w:rsid w:val="00EB4951"/>
    <w:rsid w:val="00EB49EF"/>
    <w:rsid w:val="00EB532A"/>
    <w:rsid w:val="00EB593A"/>
    <w:rsid w:val="00EB5BF3"/>
    <w:rsid w:val="00EB5CB8"/>
    <w:rsid w:val="00EB65D0"/>
    <w:rsid w:val="00EB6651"/>
    <w:rsid w:val="00EB6BE8"/>
    <w:rsid w:val="00EB6C26"/>
    <w:rsid w:val="00EB6E6D"/>
    <w:rsid w:val="00EB6ECB"/>
    <w:rsid w:val="00EB6F43"/>
    <w:rsid w:val="00EB72D2"/>
    <w:rsid w:val="00EB74F1"/>
    <w:rsid w:val="00EB7781"/>
    <w:rsid w:val="00EB7C4A"/>
    <w:rsid w:val="00EC005A"/>
    <w:rsid w:val="00EC0DD9"/>
    <w:rsid w:val="00EC0E98"/>
    <w:rsid w:val="00EC104C"/>
    <w:rsid w:val="00EC10D8"/>
    <w:rsid w:val="00EC16BB"/>
    <w:rsid w:val="00EC1BEB"/>
    <w:rsid w:val="00EC1D52"/>
    <w:rsid w:val="00EC1D68"/>
    <w:rsid w:val="00EC1DC6"/>
    <w:rsid w:val="00EC1F47"/>
    <w:rsid w:val="00EC2096"/>
    <w:rsid w:val="00EC2355"/>
    <w:rsid w:val="00EC2581"/>
    <w:rsid w:val="00EC2614"/>
    <w:rsid w:val="00EC29F2"/>
    <w:rsid w:val="00EC2AA3"/>
    <w:rsid w:val="00EC2C42"/>
    <w:rsid w:val="00EC2C7A"/>
    <w:rsid w:val="00EC2FBC"/>
    <w:rsid w:val="00EC3071"/>
    <w:rsid w:val="00EC311D"/>
    <w:rsid w:val="00EC3472"/>
    <w:rsid w:val="00EC3528"/>
    <w:rsid w:val="00EC38EC"/>
    <w:rsid w:val="00EC3C89"/>
    <w:rsid w:val="00EC42C3"/>
    <w:rsid w:val="00EC4830"/>
    <w:rsid w:val="00EC4D3D"/>
    <w:rsid w:val="00EC560D"/>
    <w:rsid w:val="00EC5650"/>
    <w:rsid w:val="00EC57E1"/>
    <w:rsid w:val="00EC57E2"/>
    <w:rsid w:val="00EC69CA"/>
    <w:rsid w:val="00EC6C9B"/>
    <w:rsid w:val="00EC6CC9"/>
    <w:rsid w:val="00EC6DA8"/>
    <w:rsid w:val="00EC6F51"/>
    <w:rsid w:val="00EC706D"/>
    <w:rsid w:val="00EC75C1"/>
    <w:rsid w:val="00EC7F3B"/>
    <w:rsid w:val="00ED0C3B"/>
    <w:rsid w:val="00ED0C67"/>
    <w:rsid w:val="00ED15AB"/>
    <w:rsid w:val="00ED1767"/>
    <w:rsid w:val="00ED1E97"/>
    <w:rsid w:val="00ED1EE1"/>
    <w:rsid w:val="00ED2084"/>
    <w:rsid w:val="00ED298E"/>
    <w:rsid w:val="00ED319D"/>
    <w:rsid w:val="00ED3235"/>
    <w:rsid w:val="00ED3256"/>
    <w:rsid w:val="00ED3499"/>
    <w:rsid w:val="00ED353B"/>
    <w:rsid w:val="00ED37FD"/>
    <w:rsid w:val="00ED3E95"/>
    <w:rsid w:val="00ED3F5C"/>
    <w:rsid w:val="00ED3FC6"/>
    <w:rsid w:val="00ED4182"/>
    <w:rsid w:val="00ED4631"/>
    <w:rsid w:val="00ED4742"/>
    <w:rsid w:val="00ED49A6"/>
    <w:rsid w:val="00ED4A38"/>
    <w:rsid w:val="00ED4B0F"/>
    <w:rsid w:val="00ED4B9C"/>
    <w:rsid w:val="00ED4E43"/>
    <w:rsid w:val="00ED506F"/>
    <w:rsid w:val="00ED5107"/>
    <w:rsid w:val="00ED51DB"/>
    <w:rsid w:val="00ED537D"/>
    <w:rsid w:val="00ED59A7"/>
    <w:rsid w:val="00ED5B36"/>
    <w:rsid w:val="00ED5D0D"/>
    <w:rsid w:val="00ED6395"/>
    <w:rsid w:val="00ED63CF"/>
    <w:rsid w:val="00ED6CCE"/>
    <w:rsid w:val="00ED7337"/>
    <w:rsid w:val="00ED74F5"/>
    <w:rsid w:val="00ED75D7"/>
    <w:rsid w:val="00ED7611"/>
    <w:rsid w:val="00ED76BE"/>
    <w:rsid w:val="00ED7A20"/>
    <w:rsid w:val="00ED7B55"/>
    <w:rsid w:val="00ED7D23"/>
    <w:rsid w:val="00ED7FD9"/>
    <w:rsid w:val="00EE001D"/>
    <w:rsid w:val="00EE004B"/>
    <w:rsid w:val="00EE03CB"/>
    <w:rsid w:val="00EE068A"/>
    <w:rsid w:val="00EE09CA"/>
    <w:rsid w:val="00EE0A5A"/>
    <w:rsid w:val="00EE0B20"/>
    <w:rsid w:val="00EE0CDD"/>
    <w:rsid w:val="00EE0D50"/>
    <w:rsid w:val="00EE1199"/>
    <w:rsid w:val="00EE1337"/>
    <w:rsid w:val="00EE1524"/>
    <w:rsid w:val="00EE1738"/>
    <w:rsid w:val="00EE1983"/>
    <w:rsid w:val="00EE1CAA"/>
    <w:rsid w:val="00EE1D32"/>
    <w:rsid w:val="00EE1F6E"/>
    <w:rsid w:val="00EE22D5"/>
    <w:rsid w:val="00EE2327"/>
    <w:rsid w:val="00EE2439"/>
    <w:rsid w:val="00EE28E5"/>
    <w:rsid w:val="00EE293F"/>
    <w:rsid w:val="00EE2CFF"/>
    <w:rsid w:val="00EE2D66"/>
    <w:rsid w:val="00EE2EBB"/>
    <w:rsid w:val="00EE32D8"/>
    <w:rsid w:val="00EE3374"/>
    <w:rsid w:val="00EE3789"/>
    <w:rsid w:val="00EE397A"/>
    <w:rsid w:val="00EE3CE0"/>
    <w:rsid w:val="00EE3CFC"/>
    <w:rsid w:val="00EE4282"/>
    <w:rsid w:val="00EE43FA"/>
    <w:rsid w:val="00EE4628"/>
    <w:rsid w:val="00EE481E"/>
    <w:rsid w:val="00EE49CC"/>
    <w:rsid w:val="00EE4CE9"/>
    <w:rsid w:val="00EE4D4C"/>
    <w:rsid w:val="00EE4E48"/>
    <w:rsid w:val="00EE4FA2"/>
    <w:rsid w:val="00EE517F"/>
    <w:rsid w:val="00EE52CE"/>
    <w:rsid w:val="00EE53E9"/>
    <w:rsid w:val="00EE5425"/>
    <w:rsid w:val="00EE5C0F"/>
    <w:rsid w:val="00EE5CF9"/>
    <w:rsid w:val="00EE5F66"/>
    <w:rsid w:val="00EE69D1"/>
    <w:rsid w:val="00EE6C9D"/>
    <w:rsid w:val="00EE7647"/>
    <w:rsid w:val="00EE7679"/>
    <w:rsid w:val="00EE783C"/>
    <w:rsid w:val="00EE7AFD"/>
    <w:rsid w:val="00EE7F52"/>
    <w:rsid w:val="00EF0523"/>
    <w:rsid w:val="00EF0943"/>
    <w:rsid w:val="00EF09EA"/>
    <w:rsid w:val="00EF0D10"/>
    <w:rsid w:val="00EF0E9E"/>
    <w:rsid w:val="00EF176A"/>
    <w:rsid w:val="00EF192D"/>
    <w:rsid w:val="00EF1CA3"/>
    <w:rsid w:val="00EF1D46"/>
    <w:rsid w:val="00EF1D67"/>
    <w:rsid w:val="00EF2026"/>
    <w:rsid w:val="00EF21D7"/>
    <w:rsid w:val="00EF2320"/>
    <w:rsid w:val="00EF2557"/>
    <w:rsid w:val="00EF2D86"/>
    <w:rsid w:val="00EF310F"/>
    <w:rsid w:val="00EF318F"/>
    <w:rsid w:val="00EF3866"/>
    <w:rsid w:val="00EF3B3E"/>
    <w:rsid w:val="00EF43BA"/>
    <w:rsid w:val="00EF4401"/>
    <w:rsid w:val="00EF44AF"/>
    <w:rsid w:val="00EF481A"/>
    <w:rsid w:val="00EF49CE"/>
    <w:rsid w:val="00EF4A5D"/>
    <w:rsid w:val="00EF4C42"/>
    <w:rsid w:val="00EF4D52"/>
    <w:rsid w:val="00EF4EDB"/>
    <w:rsid w:val="00EF5107"/>
    <w:rsid w:val="00EF51BD"/>
    <w:rsid w:val="00EF5327"/>
    <w:rsid w:val="00EF53CB"/>
    <w:rsid w:val="00EF5D8D"/>
    <w:rsid w:val="00EF5E64"/>
    <w:rsid w:val="00EF5FBC"/>
    <w:rsid w:val="00EF616D"/>
    <w:rsid w:val="00EF61F3"/>
    <w:rsid w:val="00EF6313"/>
    <w:rsid w:val="00EF64FF"/>
    <w:rsid w:val="00EF65BC"/>
    <w:rsid w:val="00EF6BCB"/>
    <w:rsid w:val="00EF6E44"/>
    <w:rsid w:val="00EF6E7E"/>
    <w:rsid w:val="00EF6EFA"/>
    <w:rsid w:val="00EF7318"/>
    <w:rsid w:val="00EF73CA"/>
    <w:rsid w:val="00EF74B0"/>
    <w:rsid w:val="00EF7566"/>
    <w:rsid w:val="00EF7899"/>
    <w:rsid w:val="00EF7963"/>
    <w:rsid w:val="00EF7A65"/>
    <w:rsid w:val="00EF7D8B"/>
    <w:rsid w:val="00F000F7"/>
    <w:rsid w:val="00F0015F"/>
    <w:rsid w:val="00F00438"/>
    <w:rsid w:val="00F0051D"/>
    <w:rsid w:val="00F00673"/>
    <w:rsid w:val="00F00ACE"/>
    <w:rsid w:val="00F00B32"/>
    <w:rsid w:val="00F00C87"/>
    <w:rsid w:val="00F01159"/>
    <w:rsid w:val="00F01234"/>
    <w:rsid w:val="00F013AC"/>
    <w:rsid w:val="00F015BF"/>
    <w:rsid w:val="00F0164A"/>
    <w:rsid w:val="00F018D2"/>
    <w:rsid w:val="00F01984"/>
    <w:rsid w:val="00F01998"/>
    <w:rsid w:val="00F02309"/>
    <w:rsid w:val="00F0266A"/>
    <w:rsid w:val="00F02771"/>
    <w:rsid w:val="00F02DDC"/>
    <w:rsid w:val="00F032A7"/>
    <w:rsid w:val="00F032C7"/>
    <w:rsid w:val="00F034FD"/>
    <w:rsid w:val="00F03578"/>
    <w:rsid w:val="00F0362D"/>
    <w:rsid w:val="00F037B8"/>
    <w:rsid w:val="00F03823"/>
    <w:rsid w:val="00F0397B"/>
    <w:rsid w:val="00F03A93"/>
    <w:rsid w:val="00F03F79"/>
    <w:rsid w:val="00F040FC"/>
    <w:rsid w:val="00F0474A"/>
    <w:rsid w:val="00F04FA7"/>
    <w:rsid w:val="00F05218"/>
    <w:rsid w:val="00F05242"/>
    <w:rsid w:val="00F056C7"/>
    <w:rsid w:val="00F05901"/>
    <w:rsid w:val="00F05A23"/>
    <w:rsid w:val="00F06283"/>
    <w:rsid w:val="00F06548"/>
    <w:rsid w:val="00F06A41"/>
    <w:rsid w:val="00F06CDF"/>
    <w:rsid w:val="00F075FF"/>
    <w:rsid w:val="00F079D2"/>
    <w:rsid w:val="00F07AE1"/>
    <w:rsid w:val="00F07AE5"/>
    <w:rsid w:val="00F07C8E"/>
    <w:rsid w:val="00F07D95"/>
    <w:rsid w:val="00F10208"/>
    <w:rsid w:val="00F10260"/>
    <w:rsid w:val="00F102EC"/>
    <w:rsid w:val="00F1031A"/>
    <w:rsid w:val="00F107BA"/>
    <w:rsid w:val="00F1091A"/>
    <w:rsid w:val="00F10CFE"/>
    <w:rsid w:val="00F10FFF"/>
    <w:rsid w:val="00F112E8"/>
    <w:rsid w:val="00F114C6"/>
    <w:rsid w:val="00F116EC"/>
    <w:rsid w:val="00F1184B"/>
    <w:rsid w:val="00F11F38"/>
    <w:rsid w:val="00F12006"/>
    <w:rsid w:val="00F1273E"/>
    <w:rsid w:val="00F12752"/>
    <w:rsid w:val="00F12E0D"/>
    <w:rsid w:val="00F12E41"/>
    <w:rsid w:val="00F134EC"/>
    <w:rsid w:val="00F135A7"/>
    <w:rsid w:val="00F139F6"/>
    <w:rsid w:val="00F13D7F"/>
    <w:rsid w:val="00F146D2"/>
    <w:rsid w:val="00F14A51"/>
    <w:rsid w:val="00F14E3B"/>
    <w:rsid w:val="00F14F8A"/>
    <w:rsid w:val="00F152C5"/>
    <w:rsid w:val="00F15673"/>
    <w:rsid w:val="00F15707"/>
    <w:rsid w:val="00F1580D"/>
    <w:rsid w:val="00F159CD"/>
    <w:rsid w:val="00F15AF5"/>
    <w:rsid w:val="00F15D93"/>
    <w:rsid w:val="00F15FE3"/>
    <w:rsid w:val="00F1618E"/>
    <w:rsid w:val="00F16772"/>
    <w:rsid w:val="00F16DEA"/>
    <w:rsid w:val="00F170E6"/>
    <w:rsid w:val="00F17126"/>
    <w:rsid w:val="00F17478"/>
    <w:rsid w:val="00F1759C"/>
    <w:rsid w:val="00F17BBD"/>
    <w:rsid w:val="00F17F26"/>
    <w:rsid w:val="00F20154"/>
    <w:rsid w:val="00F201D6"/>
    <w:rsid w:val="00F20373"/>
    <w:rsid w:val="00F20547"/>
    <w:rsid w:val="00F20AB8"/>
    <w:rsid w:val="00F21961"/>
    <w:rsid w:val="00F219CA"/>
    <w:rsid w:val="00F21A56"/>
    <w:rsid w:val="00F21B21"/>
    <w:rsid w:val="00F21E28"/>
    <w:rsid w:val="00F2211A"/>
    <w:rsid w:val="00F222EB"/>
    <w:rsid w:val="00F225BB"/>
    <w:rsid w:val="00F22615"/>
    <w:rsid w:val="00F226CB"/>
    <w:rsid w:val="00F228B6"/>
    <w:rsid w:val="00F22A2B"/>
    <w:rsid w:val="00F23285"/>
    <w:rsid w:val="00F23390"/>
    <w:rsid w:val="00F234D0"/>
    <w:rsid w:val="00F236DF"/>
    <w:rsid w:val="00F23AB2"/>
    <w:rsid w:val="00F23E97"/>
    <w:rsid w:val="00F24477"/>
    <w:rsid w:val="00F2448C"/>
    <w:rsid w:val="00F24A33"/>
    <w:rsid w:val="00F24EA8"/>
    <w:rsid w:val="00F24ECD"/>
    <w:rsid w:val="00F25188"/>
    <w:rsid w:val="00F251B5"/>
    <w:rsid w:val="00F25334"/>
    <w:rsid w:val="00F255E9"/>
    <w:rsid w:val="00F25969"/>
    <w:rsid w:val="00F25D2B"/>
    <w:rsid w:val="00F25D42"/>
    <w:rsid w:val="00F25E45"/>
    <w:rsid w:val="00F26031"/>
    <w:rsid w:val="00F269AE"/>
    <w:rsid w:val="00F26B23"/>
    <w:rsid w:val="00F270C7"/>
    <w:rsid w:val="00F274D1"/>
    <w:rsid w:val="00F27523"/>
    <w:rsid w:val="00F27735"/>
    <w:rsid w:val="00F27E10"/>
    <w:rsid w:val="00F2C667"/>
    <w:rsid w:val="00F2ECEF"/>
    <w:rsid w:val="00F30097"/>
    <w:rsid w:val="00F30428"/>
    <w:rsid w:val="00F30486"/>
    <w:rsid w:val="00F30607"/>
    <w:rsid w:val="00F30777"/>
    <w:rsid w:val="00F30C2D"/>
    <w:rsid w:val="00F30E31"/>
    <w:rsid w:val="00F30F75"/>
    <w:rsid w:val="00F3125F"/>
    <w:rsid w:val="00F31297"/>
    <w:rsid w:val="00F31353"/>
    <w:rsid w:val="00F3141C"/>
    <w:rsid w:val="00F31611"/>
    <w:rsid w:val="00F31645"/>
    <w:rsid w:val="00F31683"/>
    <w:rsid w:val="00F31829"/>
    <w:rsid w:val="00F3188C"/>
    <w:rsid w:val="00F31956"/>
    <w:rsid w:val="00F31AB8"/>
    <w:rsid w:val="00F31D38"/>
    <w:rsid w:val="00F31E03"/>
    <w:rsid w:val="00F31F1C"/>
    <w:rsid w:val="00F321B1"/>
    <w:rsid w:val="00F328AD"/>
    <w:rsid w:val="00F32A6A"/>
    <w:rsid w:val="00F32B1B"/>
    <w:rsid w:val="00F32BA3"/>
    <w:rsid w:val="00F32DC6"/>
    <w:rsid w:val="00F32FF1"/>
    <w:rsid w:val="00F33051"/>
    <w:rsid w:val="00F33320"/>
    <w:rsid w:val="00F33928"/>
    <w:rsid w:val="00F33B2A"/>
    <w:rsid w:val="00F33C02"/>
    <w:rsid w:val="00F34173"/>
    <w:rsid w:val="00F3418F"/>
    <w:rsid w:val="00F3499C"/>
    <w:rsid w:val="00F34A42"/>
    <w:rsid w:val="00F34DEB"/>
    <w:rsid w:val="00F34F3B"/>
    <w:rsid w:val="00F35141"/>
    <w:rsid w:val="00F3517E"/>
    <w:rsid w:val="00F351EE"/>
    <w:rsid w:val="00F351FB"/>
    <w:rsid w:val="00F35252"/>
    <w:rsid w:val="00F3527A"/>
    <w:rsid w:val="00F35855"/>
    <w:rsid w:val="00F35DDA"/>
    <w:rsid w:val="00F362E7"/>
    <w:rsid w:val="00F363FA"/>
    <w:rsid w:val="00F36CB4"/>
    <w:rsid w:val="00F37499"/>
    <w:rsid w:val="00F37638"/>
    <w:rsid w:val="00F37D88"/>
    <w:rsid w:val="00F37DB1"/>
    <w:rsid w:val="00F37E80"/>
    <w:rsid w:val="00F40241"/>
    <w:rsid w:val="00F402A6"/>
    <w:rsid w:val="00F4045B"/>
    <w:rsid w:val="00F4046F"/>
    <w:rsid w:val="00F40526"/>
    <w:rsid w:val="00F40677"/>
    <w:rsid w:val="00F408C1"/>
    <w:rsid w:val="00F408D6"/>
    <w:rsid w:val="00F409AA"/>
    <w:rsid w:val="00F40DBB"/>
    <w:rsid w:val="00F41100"/>
    <w:rsid w:val="00F4128B"/>
    <w:rsid w:val="00F4135F"/>
    <w:rsid w:val="00F414D8"/>
    <w:rsid w:val="00F41A42"/>
    <w:rsid w:val="00F41D6F"/>
    <w:rsid w:val="00F41D93"/>
    <w:rsid w:val="00F42069"/>
    <w:rsid w:val="00F42658"/>
    <w:rsid w:val="00F42687"/>
    <w:rsid w:val="00F4279D"/>
    <w:rsid w:val="00F427F1"/>
    <w:rsid w:val="00F4280C"/>
    <w:rsid w:val="00F428D2"/>
    <w:rsid w:val="00F42D88"/>
    <w:rsid w:val="00F4323D"/>
    <w:rsid w:val="00F43487"/>
    <w:rsid w:val="00F436F1"/>
    <w:rsid w:val="00F43D24"/>
    <w:rsid w:val="00F44328"/>
    <w:rsid w:val="00F44536"/>
    <w:rsid w:val="00F448CA"/>
    <w:rsid w:val="00F4498F"/>
    <w:rsid w:val="00F44CCA"/>
    <w:rsid w:val="00F450C4"/>
    <w:rsid w:val="00F452D5"/>
    <w:rsid w:val="00F452F5"/>
    <w:rsid w:val="00F45405"/>
    <w:rsid w:val="00F45540"/>
    <w:rsid w:val="00F4564F"/>
    <w:rsid w:val="00F45855"/>
    <w:rsid w:val="00F45A10"/>
    <w:rsid w:val="00F45A62"/>
    <w:rsid w:val="00F45F43"/>
    <w:rsid w:val="00F460A6"/>
    <w:rsid w:val="00F460B6"/>
    <w:rsid w:val="00F462B4"/>
    <w:rsid w:val="00F4647D"/>
    <w:rsid w:val="00F46704"/>
    <w:rsid w:val="00F46DBB"/>
    <w:rsid w:val="00F47206"/>
    <w:rsid w:val="00F4721E"/>
    <w:rsid w:val="00F4746E"/>
    <w:rsid w:val="00F474D9"/>
    <w:rsid w:val="00F474EA"/>
    <w:rsid w:val="00F47BDD"/>
    <w:rsid w:val="00F47E79"/>
    <w:rsid w:val="00F47EC4"/>
    <w:rsid w:val="00F5002C"/>
    <w:rsid w:val="00F5034E"/>
    <w:rsid w:val="00F505BB"/>
    <w:rsid w:val="00F505C1"/>
    <w:rsid w:val="00F507E6"/>
    <w:rsid w:val="00F50E49"/>
    <w:rsid w:val="00F50F91"/>
    <w:rsid w:val="00F50F96"/>
    <w:rsid w:val="00F5113B"/>
    <w:rsid w:val="00F517FE"/>
    <w:rsid w:val="00F5187F"/>
    <w:rsid w:val="00F51944"/>
    <w:rsid w:val="00F51AAF"/>
    <w:rsid w:val="00F51BA3"/>
    <w:rsid w:val="00F51C80"/>
    <w:rsid w:val="00F51EF1"/>
    <w:rsid w:val="00F52132"/>
    <w:rsid w:val="00F521E3"/>
    <w:rsid w:val="00F5262F"/>
    <w:rsid w:val="00F52655"/>
    <w:rsid w:val="00F52778"/>
    <w:rsid w:val="00F5294B"/>
    <w:rsid w:val="00F52B0F"/>
    <w:rsid w:val="00F52BEE"/>
    <w:rsid w:val="00F52CA4"/>
    <w:rsid w:val="00F52CB7"/>
    <w:rsid w:val="00F52E78"/>
    <w:rsid w:val="00F52F67"/>
    <w:rsid w:val="00F530B3"/>
    <w:rsid w:val="00F532E6"/>
    <w:rsid w:val="00F536D1"/>
    <w:rsid w:val="00F53727"/>
    <w:rsid w:val="00F53A28"/>
    <w:rsid w:val="00F53AFE"/>
    <w:rsid w:val="00F53E3D"/>
    <w:rsid w:val="00F53EF2"/>
    <w:rsid w:val="00F53FA0"/>
    <w:rsid w:val="00F541D6"/>
    <w:rsid w:val="00F542AB"/>
    <w:rsid w:val="00F5446B"/>
    <w:rsid w:val="00F5447F"/>
    <w:rsid w:val="00F54B59"/>
    <w:rsid w:val="00F54C96"/>
    <w:rsid w:val="00F5535C"/>
    <w:rsid w:val="00F55C0A"/>
    <w:rsid w:val="00F5627F"/>
    <w:rsid w:val="00F5656B"/>
    <w:rsid w:val="00F56A88"/>
    <w:rsid w:val="00F56B64"/>
    <w:rsid w:val="00F56C55"/>
    <w:rsid w:val="00F56CCB"/>
    <w:rsid w:val="00F56DC2"/>
    <w:rsid w:val="00F5715D"/>
    <w:rsid w:val="00F571AF"/>
    <w:rsid w:val="00F57411"/>
    <w:rsid w:val="00F579AF"/>
    <w:rsid w:val="00F57B1A"/>
    <w:rsid w:val="00F57B44"/>
    <w:rsid w:val="00F57FFB"/>
    <w:rsid w:val="00F60097"/>
    <w:rsid w:val="00F60185"/>
    <w:rsid w:val="00F601F6"/>
    <w:rsid w:val="00F6076B"/>
    <w:rsid w:val="00F6082A"/>
    <w:rsid w:val="00F60E4F"/>
    <w:rsid w:val="00F611C1"/>
    <w:rsid w:val="00F61488"/>
    <w:rsid w:val="00F61686"/>
    <w:rsid w:val="00F617EA"/>
    <w:rsid w:val="00F61938"/>
    <w:rsid w:val="00F619A1"/>
    <w:rsid w:val="00F61C53"/>
    <w:rsid w:val="00F61F46"/>
    <w:rsid w:val="00F6201F"/>
    <w:rsid w:val="00F620A1"/>
    <w:rsid w:val="00F622C6"/>
    <w:rsid w:val="00F628C6"/>
    <w:rsid w:val="00F62E4E"/>
    <w:rsid w:val="00F63070"/>
    <w:rsid w:val="00F6307C"/>
    <w:rsid w:val="00F634E8"/>
    <w:rsid w:val="00F6368C"/>
    <w:rsid w:val="00F63C94"/>
    <w:rsid w:val="00F63F2D"/>
    <w:rsid w:val="00F63F84"/>
    <w:rsid w:val="00F63FC2"/>
    <w:rsid w:val="00F6402D"/>
    <w:rsid w:val="00F64203"/>
    <w:rsid w:val="00F64536"/>
    <w:rsid w:val="00F64879"/>
    <w:rsid w:val="00F64A6D"/>
    <w:rsid w:val="00F64B52"/>
    <w:rsid w:val="00F6506C"/>
    <w:rsid w:val="00F652D4"/>
    <w:rsid w:val="00F6532A"/>
    <w:rsid w:val="00F65429"/>
    <w:rsid w:val="00F65663"/>
    <w:rsid w:val="00F65E73"/>
    <w:rsid w:val="00F65F7D"/>
    <w:rsid w:val="00F66429"/>
    <w:rsid w:val="00F66491"/>
    <w:rsid w:val="00F667ED"/>
    <w:rsid w:val="00F66B24"/>
    <w:rsid w:val="00F66B28"/>
    <w:rsid w:val="00F66E2A"/>
    <w:rsid w:val="00F66E77"/>
    <w:rsid w:val="00F673F2"/>
    <w:rsid w:val="00F6752B"/>
    <w:rsid w:val="00F6778C"/>
    <w:rsid w:val="00F67C33"/>
    <w:rsid w:val="00F67E79"/>
    <w:rsid w:val="00F702CE"/>
    <w:rsid w:val="00F70470"/>
    <w:rsid w:val="00F709F9"/>
    <w:rsid w:val="00F70C3C"/>
    <w:rsid w:val="00F70D4C"/>
    <w:rsid w:val="00F70DAF"/>
    <w:rsid w:val="00F70ED5"/>
    <w:rsid w:val="00F71524"/>
    <w:rsid w:val="00F7157B"/>
    <w:rsid w:val="00F7167E"/>
    <w:rsid w:val="00F7178D"/>
    <w:rsid w:val="00F71F74"/>
    <w:rsid w:val="00F7200C"/>
    <w:rsid w:val="00F7208A"/>
    <w:rsid w:val="00F7210D"/>
    <w:rsid w:val="00F721D4"/>
    <w:rsid w:val="00F7245E"/>
    <w:rsid w:val="00F72546"/>
    <w:rsid w:val="00F72824"/>
    <w:rsid w:val="00F728EE"/>
    <w:rsid w:val="00F72AED"/>
    <w:rsid w:val="00F72C62"/>
    <w:rsid w:val="00F72D14"/>
    <w:rsid w:val="00F72D51"/>
    <w:rsid w:val="00F72E9B"/>
    <w:rsid w:val="00F732B9"/>
    <w:rsid w:val="00F7365A"/>
    <w:rsid w:val="00F736DF"/>
    <w:rsid w:val="00F7375F"/>
    <w:rsid w:val="00F73AC9"/>
    <w:rsid w:val="00F73DA2"/>
    <w:rsid w:val="00F73E84"/>
    <w:rsid w:val="00F74353"/>
    <w:rsid w:val="00F743EA"/>
    <w:rsid w:val="00F748C6"/>
    <w:rsid w:val="00F749BD"/>
    <w:rsid w:val="00F74A54"/>
    <w:rsid w:val="00F74D1B"/>
    <w:rsid w:val="00F74DEF"/>
    <w:rsid w:val="00F74DF7"/>
    <w:rsid w:val="00F74FEA"/>
    <w:rsid w:val="00F7564F"/>
    <w:rsid w:val="00F75675"/>
    <w:rsid w:val="00F75B84"/>
    <w:rsid w:val="00F7659C"/>
    <w:rsid w:val="00F76797"/>
    <w:rsid w:val="00F76A03"/>
    <w:rsid w:val="00F76AE1"/>
    <w:rsid w:val="00F76E1F"/>
    <w:rsid w:val="00F77098"/>
    <w:rsid w:val="00F77160"/>
    <w:rsid w:val="00F7734C"/>
    <w:rsid w:val="00F7789B"/>
    <w:rsid w:val="00F779AD"/>
    <w:rsid w:val="00F77CC2"/>
    <w:rsid w:val="00F77F65"/>
    <w:rsid w:val="00F77F7E"/>
    <w:rsid w:val="00F80033"/>
    <w:rsid w:val="00F8041B"/>
    <w:rsid w:val="00F80783"/>
    <w:rsid w:val="00F80A47"/>
    <w:rsid w:val="00F80C36"/>
    <w:rsid w:val="00F80C7B"/>
    <w:rsid w:val="00F80DFB"/>
    <w:rsid w:val="00F80E47"/>
    <w:rsid w:val="00F81208"/>
    <w:rsid w:val="00F81510"/>
    <w:rsid w:val="00F81566"/>
    <w:rsid w:val="00F815BB"/>
    <w:rsid w:val="00F81600"/>
    <w:rsid w:val="00F81752"/>
    <w:rsid w:val="00F818E5"/>
    <w:rsid w:val="00F8229E"/>
    <w:rsid w:val="00F823B2"/>
    <w:rsid w:val="00F82526"/>
    <w:rsid w:val="00F82563"/>
    <w:rsid w:val="00F8291C"/>
    <w:rsid w:val="00F82A8D"/>
    <w:rsid w:val="00F82AB3"/>
    <w:rsid w:val="00F82CBB"/>
    <w:rsid w:val="00F82E2D"/>
    <w:rsid w:val="00F82E6A"/>
    <w:rsid w:val="00F82EC8"/>
    <w:rsid w:val="00F82EE7"/>
    <w:rsid w:val="00F82FD5"/>
    <w:rsid w:val="00F82FF6"/>
    <w:rsid w:val="00F831BF"/>
    <w:rsid w:val="00F833D8"/>
    <w:rsid w:val="00F83479"/>
    <w:rsid w:val="00F83498"/>
    <w:rsid w:val="00F834CD"/>
    <w:rsid w:val="00F835C5"/>
    <w:rsid w:val="00F83649"/>
    <w:rsid w:val="00F836D1"/>
    <w:rsid w:val="00F8375F"/>
    <w:rsid w:val="00F83A2C"/>
    <w:rsid w:val="00F83E5C"/>
    <w:rsid w:val="00F84044"/>
    <w:rsid w:val="00F84399"/>
    <w:rsid w:val="00F84540"/>
    <w:rsid w:val="00F8497D"/>
    <w:rsid w:val="00F84D61"/>
    <w:rsid w:val="00F851AE"/>
    <w:rsid w:val="00F85358"/>
    <w:rsid w:val="00F858C2"/>
    <w:rsid w:val="00F85A8C"/>
    <w:rsid w:val="00F85D66"/>
    <w:rsid w:val="00F85EA4"/>
    <w:rsid w:val="00F86402"/>
    <w:rsid w:val="00F8653D"/>
    <w:rsid w:val="00F86C9B"/>
    <w:rsid w:val="00F86FEA"/>
    <w:rsid w:val="00F878D5"/>
    <w:rsid w:val="00F87A9C"/>
    <w:rsid w:val="00F87ABC"/>
    <w:rsid w:val="00F8E7E1"/>
    <w:rsid w:val="00F9009F"/>
    <w:rsid w:val="00F90147"/>
    <w:rsid w:val="00F902A9"/>
    <w:rsid w:val="00F90340"/>
    <w:rsid w:val="00F90730"/>
    <w:rsid w:val="00F908AA"/>
    <w:rsid w:val="00F909CD"/>
    <w:rsid w:val="00F90B71"/>
    <w:rsid w:val="00F91056"/>
    <w:rsid w:val="00F9144C"/>
    <w:rsid w:val="00F914D8"/>
    <w:rsid w:val="00F91931"/>
    <w:rsid w:val="00F91BF2"/>
    <w:rsid w:val="00F91C98"/>
    <w:rsid w:val="00F91EAA"/>
    <w:rsid w:val="00F9241C"/>
    <w:rsid w:val="00F9284F"/>
    <w:rsid w:val="00F92B43"/>
    <w:rsid w:val="00F92C42"/>
    <w:rsid w:val="00F92D64"/>
    <w:rsid w:val="00F92F4E"/>
    <w:rsid w:val="00F93090"/>
    <w:rsid w:val="00F933B2"/>
    <w:rsid w:val="00F933B6"/>
    <w:rsid w:val="00F936FE"/>
    <w:rsid w:val="00F93791"/>
    <w:rsid w:val="00F937E5"/>
    <w:rsid w:val="00F93C7E"/>
    <w:rsid w:val="00F93F03"/>
    <w:rsid w:val="00F94372"/>
    <w:rsid w:val="00F944A5"/>
    <w:rsid w:val="00F94DA1"/>
    <w:rsid w:val="00F95275"/>
    <w:rsid w:val="00F9537E"/>
    <w:rsid w:val="00F9538E"/>
    <w:rsid w:val="00F956B0"/>
    <w:rsid w:val="00F958E5"/>
    <w:rsid w:val="00F95A83"/>
    <w:rsid w:val="00F95B05"/>
    <w:rsid w:val="00F95DD1"/>
    <w:rsid w:val="00F95F49"/>
    <w:rsid w:val="00F96494"/>
    <w:rsid w:val="00F9649A"/>
    <w:rsid w:val="00F96BD5"/>
    <w:rsid w:val="00F9766F"/>
    <w:rsid w:val="00FA021A"/>
    <w:rsid w:val="00FA021E"/>
    <w:rsid w:val="00FA06A5"/>
    <w:rsid w:val="00FA0872"/>
    <w:rsid w:val="00FA0BE3"/>
    <w:rsid w:val="00FA0D54"/>
    <w:rsid w:val="00FA0D8D"/>
    <w:rsid w:val="00FA0DD1"/>
    <w:rsid w:val="00FA0FA7"/>
    <w:rsid w:val="00FA0FFA"/>
    <w:rsid w:val="00FA109B"/>
    <w:rsid w:val="00FA1310"/>
    <w:rsid w:val="00FA1451"/>
    <w:rsid w:val="00FA16B7"/>
    <w:rsid w:val="00FA16E4"/>
    <w:rsid w:val="00FA1755"/>
    <w:rsid w:val="00FA17AE"/>
    <w:rsid w:val="00FA17DE"/>
    <w:rsid w:val="00FA1869"/>
    <w:rsid w:val="00FA190B"/>
    <w:rsid w:val="00FA1AF6"/>
    <w:rsid w:val="00FA232B"/>
    <w:rsid w:val="00FA24E7"/>
    <w:rsid w:val="00FA264E"/>
    <w:rsid w:val="00FA26E4"/>
    <w:rsid w:val="00FA2A98"/>
    <w:rsid w:val="00FA2C5E"/>
    <w:rsid w:val="00FA2EF9"/>
    <w:rsid w:val="00FA2F28"/>
    <w:rsid w:val="00FA3051"/>
    <w:rsid w:val="00FA3738"/>
    <w:rsid w:val="00FA3D67"/>
    <w:rsid w:val="00FA3D86"/>
    <w:rsid w:val="00FA3F78"/>
    <w:rsid w:val="00FA414A"/>
    <w:rsid w:val="00FA4170"/>
    <w:rsid w:val="00FA42ED"/>
    <w:rsid w:val="00FA437C"/>
    <w:rsid w:val="00FA4395"/>
    <w:rsid w:val="00FA43DC"/>
    <w:rsid w:val="00FA44B3"/>
    <w:rsid w:val="00FA4840"/>
    <w:rsid w:val="00FA4881"/>
    <w:rsid w:val="00FA48E2"/>
    <w:rsid w:val="00FA4B87"/>
    <w:rsid w:val="00FA4BBC"/>
    <w:rsid w:val="00FA4C2D"/>
    <w:rsid w:val="00FA50C1"/>
    <w:rsid w:val="00FA515E"/>
    <w:rsid w:val="00FA5554"/>
    <w:rsid w:val="00FA5815"/>
    <w:rsid w:val="00FA583F"/>
    <w:rsid w:val="00FA58D3"/>
    <w:rsid w:val="00FA5BB5"/>
    <w:rsid w:val="00FA5BFC"/>
    <w:rsid w:val="00FA5C8F"/>
    <w:rsid w:val="00FA5D04"/>
    <w:rsid w:val="00FA6208"/>
    <w:rsid w:val="00FA62AC"/>
    <w:rsid w:val="00FA67DE"/>
    <w:rsid w:val="00FA6B78"/>
    <w:rsid w:val="00FA6BDA"/>
    <w:rsid w:val="00FA7706"/>
    <w:rsid w:val="00FA7B13"/>
    <w:rsid w:val="00FA7EAB"/>
    <w:rsid w:val="00FA90A1"/>
    <w:rsid w:val="00FB0C57"/>
    <w:rsid w:val="00FB0DCF"/>
    <w:rsid w:val="00FB0F1B"/>
    <w:rsid w:val="00FB1145"/>
    <w:rsid w:val="00FB1281"/>
    <w:rsid w:val="00FB16BC"/>
    <w:rsid w:val="00FB1776"/>
    <w:rsid w:val="00FB1785"/>
    <w:rsid w:val="00FB1879"/>
    <w:rsid w:val="00FB2135"/>
    <w:rsid w:val="00FB2366"/>
    <w:rsid w:val="00FB282A"/>
    <w:rsid w:val="00FB2CB8"/>
    <w:rsid w:val="00FB3033"/>
    <w:rsid w:val="00FB3414"/>
    <w:rsid w:val="00FB34E1"/>
    <w:rsid w:val="00FB3508"/>
    <w:rsid w:val="00FB364E"/>
    <w:rsid w:val="00FB3747"/>
    <w:rsid w:val="00FB3761"/>
    <w:rsid w:val="00FB3BF4"/>
    <w:rsid w:val="00FB3CBC"/>
    <w:rsid w:val="00FB3D95"/>
    <w:rsid w:val="00FB43B5"/>
    <w:rsid w:val="00FB4A57"/>
    <w:rsid w:val="00FB4A85"/>
    <w:rsid w:val="00FB586F"/>
    <w:rsid w:val="00FB5A20"/>
    <w:rsid w:val="00FB5ECF"/>
    <w:rsid w:val="00FB6068"/>
    <w:rsid w:val="00FB62E6"/>
    <w:rsid w:val="00FB642C"/>
    <w:rsid w:val="00FB6491"/>
    <w:rsid w:val="00FB676B"/>
    <w:rsid w:val="00FB68A0"/>
    <w:rsid w:val="00FB6A48"/>
    <w:rsid w:val="00FB6A67"/>
    <w:rsid w:val="00FB6D36"/>
    <w:rsid w:val="00FB6D6C"/>
    <w:rsid w:val="00FB6E10"/>
    <w:rsid w:val="00FB709B"/>
    <w:rsid w:val="00FB7114"/>
    <w:rsid w:val="00FB7466"/>
    <w:rsid w:val="00FB7D75"/>
    <w:rsid w:val="00FB7E7B"/>
    <w:rsid w:val="00FB7FA2"/>
    <w:rsid w:val="00FC0656"/>
    <w:rsid w:val="00FC09CE"/>
    <w:rsid w:val="00FC11BD"/>
    <w:rsid w:val="00FC139A"/>
    <w:rsid w:val="00FC16C4"/>
    <w:rsid w:val="00FC1732"/>
    <w:rsid w:val="00FC1A66"/>
    <w:rsid w:val="00FC1B53"/>
    <w:rsid w:val="00FC1FCD"/>
    <w:rsid w:val="00FC2941"/>
    <w:rsid w:val="00FC2BF1"/>
    <w:rsid w:val="00FC3538"/>
    <w:rsid w:val="00FC37EA"/>
    <w:rsid w:val="00FC397E"/>
    <w:rsid w:val="00FC3A1E"/>
    <w:rsid w:val="00FC3F0A"/>
    <w:rsid w:val="00FC40E7"/>
    <w:rsid w:val="00FC45AF"/>
    <w:rsid w:val="00FC4604"/>
    <w:rsid w:val="00FC49F0"/>
    <w:rsid w:val="00FC4B9C"/>
    <w:rsid w:val="00FC4C8F"/>
    <w:rsid w:val="00FC4ECC"/>
    <w:rsid w:val="00FC517C"/>
    <w:rsid w:val="00FC536C"/>
    <w:rsid w:val="00FC5BC5"/>
    <w:rsid w:val="00FC5E1C"/>
    <w:rsid w:val="00FC5F11"/>
    <w:rsid w:val="00FC604E"/>
    <w:rsid w:val="00FC62E9"/>
    <w:rsid w:val="00FC6438"/>
    <w:rsid w:val="00FC6652"/>
    <w:rsid w:val="00FC683E"/>
    <w:rsid w:val="00FC6C14"/>
    <w:rsid w:val="00FC6D7A"/>
    <w:rsid w:val="00FC6DD1"/>
    <w:rsid w:val="00FC712C"/>
    <w:rsid w:val="00FC7195"/>
    <w:rsid w:val="00FC7274"/>
    <w:rsid w:val="00FC73CF"/>
    <w:rsid w:val="00FC7B3F"/>
    <w:rsid w:val="00FC7B78"/>
    <w:rsid w:val="00FC7CF9"/>
    <w:rsid w:val="00FC7D49"/>
    <w:rsid w:val="00FC7E0E"/>
    <w:rsid w:val="00FC7E4B"/>
    <w:rsid w:val="00FD01F4"/>
    <w:rsid w:val="00FD0721"/>
    <w:rsid w:val="00FD0A62"/>
    <w:rsid w:val="00FD0E95"/>
    <w:rsid w:val="00FD1211"/>
    <w:rsid w:val="00FD131C"/>
    <w:rsid w:val="00FD13C6"/>
    <w:rsid w:val="00FD18CF"/>
    <w:rsid w:val="00FD1A03"/>
    <w:rsid w:val="00FD1A2D"/>
    <w:rsid w:val="00FD2245"/>
    <w:rsid w:val="00FD23C1"/>
    <w:rsid w:val="00FD2441"/>
    <w:rsid w:val="00FD252F"/>
    <w:rsid w:val="00FD282B"/>
    <w:rsid w:val="00FD2854"/>
    <w:rsid w:val="00FD287F"/>
    <w:rsid w:val="00FD2984"/>
    <w:rsid w:val="00FD2A2F"/>
    <w:rsid w:val="00FD30CB"/>
    <w:rsid w:val="00FD37C6"/>
    <w:rsid w:val="00FD3B22"/>
    <w:rsid w:val="00FD3C26"/>
    <w:rsid w:val="00FD4334"/>
    <w:rsid w:val="00FD4347"/>
    <w:rsid w:val="00FD4A7C"/>
    <w:rsid w:val="00FD4AB4"/>
    <w:rsid w:val="00FD4AEA"/>
    <w:rsid w:val="00FD4CB1"/>
    <w:rsid w:val="00FD4D37"/>
    <w:rsid w:val="00FD4E04"/>
    <w:rsid w:val="00FD4ED4"/>
    <w:rsid w:val="00FD4FC0"/>
    <w:rsid w:val="00FD50F7"/>
    <w:rsid w:val="00FD5338"/>
    <w:rsid w:val="00FD5525"/>
    <w:rsid w:val="00FD5591"/>
    <w:rsid w:val="00FD59F0"/>
    <w:rsid w:val="00FD5B24"/>
    <w:rsid w:val="00FD5BB7"/>
    <w:rsid w:val="00FD5D62"/>
    <w:rsid w:val="00FD5EDF"/>
    <w:rsid w:val="00FD5FD6"/>
    <w:rsid w:val="00FD65F7"/>
    <w:rsid w:val="00FD67CA"/>
    <w:rsid w:val="00FD67CF"/>
    <w:rsid w:val="00FD6C54"/>
    <w:rsid w:val="00FD6D37"/>
    <w:rsid w:val="00FD711F"/>
    <w:rsid w:val="00FD7192"/>
    <w:rsid w:val="00FD744C"/>
    <w:rsid w:val="00FD756D"/>
    <w:rsid w:val="00FD77BD"/>
    <w:rsid w:val="00FD78D9"/>
    <w:rsid w:val="00FD7939"/>
    <w:rsid w:val="00FD79B8"/>
    <w:rsid w:val="00FD7A02"/>
    <w:rsid w:val="00FD7B18"/>
    <w:rsid w:val="00FD7B60"/>
    <w:rsid w:val="00FD7C16"/>
    <w:rsid w:val="00FD7D19"/>
    <w:rsid w:val="00FD7D8B"/>
    <w:rsid w:val="00FE0002"/>
    <w:rsid w:val="00FE021C"/>
    <w:rsid w:val="00FE0A9C"/>
    <w:rsid w:val="00FE0B5B"/>
    <w:rsid w:val="00FE0C99"/>
    <w:rsid w:val="00FE0C9B"/>
    <w:rsid w:val="00FE0D44"/>
    <w:rsid w:val="00FE0D97"/>
    <w:rsid w:val="00FE0FD5"/>
    <w:rsid w:val="00FE10D0"/>
    <w:rsid w:val="00FE1546"/>
    <w:rsid w:val="00FE188F"/>
    <w:rsid w:val="00FE18E5"/>
    <w:rsid w:val="00FE19F4"/>
    <w:rsid w:val="00FE1B73"/>
    <w:rsid w:val="00FE1BBD"/>
    <w:rsid w:val="00FE1C37"/>
    <w:rsid w:val="00FE23A1"/>
    <w:rsid w:val="00FE23D9"/>
    <w:rsid w:val="00FE28E1"/>
    <w:rsid w:val="00FE295C"/>
    <w:rsid w:val="00FE2B20"/>
    <w:rsid w:val="00FE2E7F"/>
    <w:rsid w:val="00FE2FF4"/>
    <w:rsid w:val="00FE32CC"/>
    <w:rsid w:val="00FE34E2"/>
    <w:rsid w:val="00FE36B8"/>
    <w:rsid w:val="00FE3756"/>
    <w:rsid w:val="00FE43F8"/>
    <w:rsid w:val="00FE4903"/>
    <w:rsid w:val="00FE4BA4"/>
    <w:rsid w:val="00FE4CE9"/>
    <w:rsid w:val="00FE4DA1"/>
    <w:rsid w:val="00FE4EC9"/>
    <w:rsid w:val="00FE500A"/>
    <w:rsid w:val="00FE507E"/>
    <w:rsid w:val="00FE559E"/>
    <w:rsid w:val="00FE562A"/>
    <w:rsid w:val="00FE5765"/>
    <w:rsid w:val="00FE57C3"/>
    <w:rsid w:val="00FE5BDF"/>
    <w:rsid w:val="00FE5E07"/>
    <w:rsid w:val="00FE68FA"/>
    <w:rsid w:val="00FE69E5"/>
    <w:rsid w:val="00FE7B1C"/>
    <w:rsid w:val="00FE7BFF"/>
    <w:rsid w:val="00FE7CBE"/>
    <w:rsid w:val="00FE7F7D"/>
    <w:rsid w:val="00FF0532"/>
    <w:rsid w:val="00FF0599"/>
    <w:rsid w:val="00FF10F5"/>
    <w:rsid w:val="00FF1233"/>
    <w:rsid w:val="00FF1473"/>
    <w:rsid w:val="00FF1703"/>
    <w:rsid w:val="00FF17C8"/>
    <w:rsid w:val="00FF1913"/>
    <w:rsid w:val="00FF1A7D"/>
    <w:rsid w:val="00FF1B37"/>
    <w:rsid w:val="00FF1CF8"/>
    <w:rsid w:val="00FF2136"/>
    <w:rsid w:val="00FF3118"/>
    <w:rsid w:val="00FF311A"/>
    <w:rsid w:val="00FF348E"/>
    <w:rsid w:val="00FF34A4"/>
    <w:rsid w:val="00FF39DB"/>
    <w:rsid w:val="00FF3B7C"/>
    <w:rsid w:val="00FF3F8C"/>
    <w:rsid w:val="00FF4103"/>
    <w:rsid w:val="00FF41AB"/>
    <w:rsid w:val="00FF4219"/>
    <w:rsid w:val="00FF440E"/>
    <w:rsid w:val="00FF4588"/>
    <w:rsid w:val="00FF4610"/>
    <w:rsid w:val="00FF4DF0"/>
    <w:rsid w:val="00FF51C8"/>
    <w:rsid w:val="00FF5282"/>
    <w:rsid w:val="00FF5447"/>
    <w:rsid w:val="00FF5977"/>
    <w:rsid w:val="00FF59BA"/>
    <w:rsid w:val="00FF6568"/>
    <w:rsid w:val="00FF65AB"/>
    <w:rsid w:val="00FF679C"/>
    <w:rsid w:val="00FF68C4"/>
    <w:rsid w:val="00FF6E2D"/>
    <w:rsid w:val="00FF6FA7"/>
    <w:rsid w:val="00FF6FB2"/>
    <w:rsid w:val="00FF7338"/>
    <w:rsid w:val="00FF74C1"/>
    <w:rsid w:val="00FF7743"/>
    <w:rsid w:val="00FF79BA"/>
    <w:rsid w:val="00FF7B26"/>
    <w:rsid w:val="00FF7C8E"/>
    <w:rsid w:val="00FF7CA1"/>
    <w:rsid w:val="00FF984A"/>
    <w:rsid w:val="0100132D"/>
    <w:rsid w:val="0105BC74"/>
    <w:rsid w:val="010B16F1"/>
    <w:rsid w:val="010D4244"/>
    <w:rsid w:val="010FC85E"/>
    <w:rsid w:val="01126AB8"/>
    <w:rsid w:val="01183D91"/>
    <w:rsid w:val="011FFE7C"/>
    <w:rsid w:val="01222F55"/>
    <w:rsid w:val="01270F3A"/>
    <w:rsid w:val="01295C57"/>
    <w:rsid w:val="012A8798"/>
    <w:rsid w:val="0131B2E0"/>
    <w:rsid w:val="013A1B24"/>
    <w:rsid w:val="013BCD24"/>
    <w:rsid w:val="0148EBDC"/>
    <w:rsid w:val="0153881C"/>
    <w:rsid w:val="0153C996"/>
    <w:rsid w:val="015A5A80"/>
    <w:rsid w:val="015F10FC"/>
    <w:rsid w:val="01631F38"/>
    <w:rsid w:val="016452DD"/>
    <w:rsid w:val="0168205E"/>
    <w:rsid w:val="01686EA5"/>
    <w:rsid w:val="016CC5D5"/>
    <w:rsid w:val="016E7862"/>
    <w:rsid w:val="016F4C81"/>
    <w:rsid w:val="017394FF"/>
    <w:rsid w:val="0177E9A9"/>
    <w:rsid w:val="017D9FE0"/>
    <w:rsid w:val="0182BF34"/>
    <w:rsid w:val="018429A6"/>
    <w:rsid w:val="018738FA"/>
    <w:rsid w:val="0190DF06"/>
    <w:rsid w:val="0196A9AE"/>
    <w:rsid w:val="0196EA34"/>
    <w:rsid w:val="019B4759"/>
    <w:rsid w:val="019CA6CE"/>
    <w:rsid w:val="01A74732"/>
    <w:rsid w:val="01A90A7D"/>
    <w:rsid w:val="01B71ED7"/>
    <w:rsid w:val="01B8BDF8"/>
    <w:rsid w:val="01BE7FC6"/>
    <w:rsid w:val="01CB2647"/>
    <w:rsid w:val="01D5FEDE"/>
    <w:rsid w:val="01D7BC4B"/>
    <w:rsid w:val="01D925D6"/>
    <w:rsid w:val="01DAEE5B"/>
    <w:rsid w:val="01E33801"/>
    <w:rsid w:val="01E5E32D"/>
    <w:rsid w:val="01E9D8CE"/>
    <w:rsid w:val="01EA03A0"/>
    <w:rsid w:val="01EC1A70"/>
    <w:rsid w:val="01F228BF"/>
    <w:rsid w:val="01F29CB1"/>
    <w:rsid w:val="01FAE341"/>
    <w:rsid w:val="0200E03A"/>
    <w:rsid w:val="0203B144"/>
    <w:rsid w:val="0206ADF8"/>
    <w:rsid w:val="020A2EA3"/>
    <w:rsid w:val="020ACBA0"/>
    <w:rsid w:val="020BEE5D"/>
    <w:rsid w:val="020D2D41"/>
    <w:rsid w:val="020F4720"/>
    <w:rsid w:val="020FEAA3"/>
    <w:rsid w:val="0213F71C"/>
    <w:rsid w:val="021BE7B6"/>
    <w:rsid w:val="021ECBA9"/>
    <w:rsid w:val="0222912C"/>
    <w:rsid w:val="022A2245"/>
    <w:rsid w:val="022BFC07"/>
    <w:rsid w:val="022EBB2A"/>
    <w:rsid w:val="0233BBAA"/>
    <w:rsid w:val="0234FC40"/>
    <w:rsid w:val="02370C28"/>
    <w:rsid w:val="0238B31E"/>
    <w:rsid w:val="0239D171"/>
    <w:rsid w:val="023B21AE"/>
    <w:rsid w:val="023C7F64"/>
    <w:rsid w:val="023DC8AC"/>
    <w:rsid w:val="023FD862"/>
    <w:rsid w:val="024233F6"/>
    <w:rsid w:val="02529363"/>
    <w:rsid w:val="025366D4"/>
    <w:rsid w:val="025A29E6"/>
    <w:rsid w:val="025CE809"/>
    <w:rsid w:val="02612137"/>
    <w:rsid w:val="026221C6"/>
    <w:rsid w:val="0267757F"/>
    <w:rsid w:val="026C21BC"/>
    <w:rsid w:val="02704095"/>
    <w:rsid w:val="027998B0"/>
    <w:rsid w:val="0284B5EC"/>
    <w:rsid w:val="0284BF03"/>
    <w:rsid w:val="02876DA5"/>
    <w:rsid w:val="0289359B"/>
    <w:rsid w:val="028A5D0B"/>
    <w:rsid w:val="028E85EB"/>
    <w:rsid w:val="028F108E"/>
    <w:rsid w:val="028F8E8B"/>
    <w:rsid w:val="0290E423"/>
    <w:rsid w:val="02925EC5"/>
    <w:rsid w:val="029A39DC"/>
    <w:rsid w:val="029CA8AE"/>
    <w:rsid w:val="02A2B8ED"/>
    <w:rsid w:val="02A690EC"/>
    <w:rsid w:val="02A6E7CD"/>
    <w:rsid w:val="02AD2762"/>
    <w:rsid w:val="02AEEC35"/>
    <w:rsid w:val="02B97D7B"/>
    <w:rsid w:val="02BCAF3C"/>
    <w:rsid w:val="02C1CC85"/>
    <w:rsid w:val="02C76B15"/>
    <w:rsid w:val="02CA67AA"/>
    <w:rsid w:val="02CEED29"/>
    <w:rsid w:val="02CF8838"/>
    <w:rsid w:val="02D13985"/>
    <w:rsid w:val="02D202C1"/>
    <w:rsid w:val="02D3DA20"/>
    <w:rsid w:val="02DF0B40"/>
    <w:rsid w:val="02E28D41"/>
    <w:rsid w:val="02E7F34B"/>
    <w:rsid w:val="02E8740C"/>
    <w:rsid w:val="02EAF090"/>
    <w:rsid w:val="02EF2F11"/>
    <w:rsid w:val="02F38CD7"/>
    <w:rsid w:val="02FF7165"/>
    <w:rsid w:val="0306C38E"/>
    <w:rsid w:val="0306F0C9"/>
    <w:rsid w:val="0309CD89"/>
    <w:rsid w:val="030B5020"/>
    <w:rsid w:val="0310762B"/>
    <w:rsid w:val="0311CC00"/>
    <w:rsid w:val="031EE595"/>
    <w:rsid w:val="0322FC1A"/>
    <w:rsid w:val="032B7536"/>
    <w:rsid w:val="032D7C59"/>
    <w:rsid w:val="0330C87D"/>
    <w:rsid w:val="0332813B"/>
    <w:rsid w:val="033539A8"/>
    <w:rsid w:val="0336E447"/>
    <w:rsid w:val="033C618A"/>
    <w:rsid w:val="033C90F1"/>
    <w:rsid w:val="033CB0F9"/>
    <w:rsid w:val="033E74C5"/>
    <w:rsid w:val="033EB621"/>
    <w:rsid w:val="034404AF"/>
    <w:rsid w:val="03460575"/>
    <w:rsid w:val="0347D8C0"/>
    <w:rsid w:val="034E8172"/>
    <w:rsid w:val="034ECDCC"/>
    <w:rsid w:val="03566FE3"/>
    <w:rsid w:val="0356A977"/>
    <w:rsid w:val="0359BC58"/>
    <w:rsid w:val="0361E1A3"/>
    <w:rsid w:val="0362F430"/>
    <w:rsid w:val="03638421"/>
    <w:rsid w:val="03678E7B"/>
    <w:rsid w:val="036D44F0"/>
    <w:rsid w:val="036E8987"/>
    <w:rsid w:val="036E8CBB"/>
    <w:rsid w:val="03707805"/>
    <w:rsid w:val="037A695E"/>
    <w:rsid w:val="037A9316"/>
    <w:rsid w:val="037ABA00"/>
    <w:rsid w:val="037E1118"/>
    <w:rsid w:val="037E79D1"/>
    <w:rsid w:val="037F7809"/>
    <w:rsid w:val="03802075"/>
    <w:rsid w:val="038284E0"/>
    <w:rsid w:val="03894A98"/>
    <w:rsid w:val="03900392"/>
    <w:rsid w:val="039057B1"/>
    <w:rsid w:val="03925918"/>
    <w:rsid w:val="0398FEA7"/>
    <w:rsid w:val="0399976E"/>
    <w:rsid w:val="039DEEF4"/>
    <w:rsid w:val="039E54E2"/>
    <w:rsid w:val="03AF846C"/>
    <w:rsid w:val="03B1A589"/>
    <w:rsid w:val="03B20B22"/>
    <w:rsid w:val="03B4B7AB"/>
    <w:rsid w:val="03B7EE29"/>
    <w:rsid w:val="03B91012"/>
    <w:rsid w:val="03B9BCF5"/>
    <w:rsid w:val="03C11C5A"/>
    <w:rsid w:val="03C615BE"/>
    <w:rsid w:val="03CEABA3"/>
    <w:rsid w:val="03D2A25B"/>
    <w:rsid w:val="03D62B81"/>
    <w:rsid w:val="03DFA5EA"/>
    <w:rsid w:val="03E586B5"/>
    <w:rsid w:val="03E6153C"/>
    <w:rsid w:val="03EBA66A"/>
    <w:rsid w:val="03EE133B"/>
    <w:rsid w:val="03F13BA7"/>
    <w:rsid w:val="03F65740"/>
    <w:rsid w:val="0403DC6D"/>
    <w:rsid w:val="0404EB76"/>
    <w:rsid w:val="0408A652"/>
    <w:rsid w:val="040AF715"/>
    <w:rsid w:val="0410839E"/>
    <w:rsid w:val="04153236"/>
    <w:rsid w:val="041BA339"/>
    <w:rsid w:val="041FEF02"/>
    <w:rsid w:val="043D70A9"/>
    <w:rsid w:val="044052AF"/>
    <w:rsid w:val="044D76C8"/>
    <w:rsid w:val="044FD8AD"/>
    <w:rsid w:val="0457B0D6"/>
    <w:rsid w:val="045A0E43"/>
    <w:rsid w:val="045B1BA2"/>
    <w:rsid w:val="045DDD0A"/>
    <w:rsid w:val="0461F23C"/>
    <w:rsid w:val="0464E783"/>
    <w:rsid w:val="046684E8"/>
    <w:rsid w:val="046E9584"/>
    <w:rsid w:val="04718862"/>
    <w:rsid w:val="0473A01B"/>
    <w:rsid w:val="0475BFE3"/>
    <w:rsid w:val="047ACD54"/>
    <w:rsid w:val="047E73B3"/>
    <w:rsid w:val="04839CAB"/>
    <w:rsid w:val="0483C49F"/>
    <w:rsid w:val="04878350"/>
    <w:rsid w:val="04885704"/>
    <w:rsid w:val="048B3274"/>
    <w:rsid w:val="0490DF54"/>
    <w:rsid w:val="0490FE0B"/>
    <w:rsid w:val="049450C6"/>
    <w:rsid w:val="049879B7"/>
    <w:rsid w:val="049BB8EF"/>
    <w:rsid w:val="049DA1E4"/>
    <w:rsid w:val="04A10BD3"/>
    <w:rsid w:val="04A235E7"/>
    <w:rsid w:val="04A51D2F"/>
    <w:rsid w:val="04A62BBA"/>
    <w:rsid w:val="04A9E025"/>
    <w:rsid w:val="04B2313F"/>
    <w:rsid w:val="04BDF5D7"/>
    <w:rsid w:val="04BECA99"/>
    <w:rsid w:val="04BFDFCE"/>
    <w:rsid w:val="04C1D468"/>
    <w:rsid w:val="04C459CE"/>
    <w:rsid w:val="04CB0409"/>
    <w:rsid w:val="04CD3886"/>
    <w:rsid w:val="04D2D0BA"/>
    <w:rsid w:val="04D371F2"/>
    <w:rsid w:val="04D43BCC"/>
    <w:rsid w:val="04D662C8"/>
    <w:rsid w:val="04D6AD99"/>
    <w:rsid w:val="04E2C0B8"/>
    <w:rsid w:val="04E7E217"/>
    <w:rsid w:val="04F399CA"/>
    <w:rsid w:val="04F7596F"/>
    <w:rsid w:val="04F9D095"/>
    <w:rsid w:val="04FBFE8F"/>
    <w:rsid w:val="05078D3C"/>
    <w:rsid w:val="0509C81C"/>
    <w:rsid w:val="050D43DA"/>
    <w:rsid w:val="05144952"/>
    <w:rsid w:val="05168A11"/>
    <w:rsid w:val="0519EE34"/>
    <w:rsid w:val="05260549"/>
    <w:rsid w:val="052724D3"/>
    <w:rsid w:val="05273DDD"/>
    <w:rsid w:val="0527B1E2"/>
    <w:rsid w:val="05287A20"/>
    <w:rsid w:val="052E5381"/>
    <w:rsid w:val="052E8235"/>
    <w:rsid w:val="053251CF"/>
    <w:rsid w:val="0532AEC1"/>
    <w:rsid w:val="053B7356"/>
    <w:rsid w:val="05444691"/>
    <w:rsid w:val="0544D0FA"/>
    <w:rsid w:val="0553E321"/>
    <w:rsid w:val="05558519"/>
    <w:rsid w:val="05586A87"/>
    <w:rsid w:val="055BF4DD"/>
    <w:rsid w:val="055F7AF5"/>
    <w:rsid w:val="056688D6"/>
    <w:rsid w:val="0567326D"/>
    <w:rsid w:val="056A3354"/>
    <w:rsid w:val="056CE57B"/>
    <w:rsid w:val="057149D4"/>
    <w:rsid w:val="057C4285"/>
    <w:rsid w:val="057FC0E6"/>
    <w:rsid w:val="0582AD7A"/>
    <w:rsid w:val="05880026"/>
    <w:rsid w:val="059214B8"/>
    <w:rsid w:val="0592162A"/>
    <w:rsid w:val="05954547"/>
    <w:rsid w:val="059A0C3B"/>
    <w:rsid w:val="059AB562"/>
    <w:rsid w:val="059B19DB"/>
    <w:rsid w:val="059B9EC7"/>
    <w:rsid w:val="05A59951"/>
    <w:rsid w:val="05A5FB8C"/>
    <w:rsid w:val="05A9895F"/>
    <w:rsid w:val="05A9BC05"/>
    <w:rsid w:val="05BCD3B1"/>
    <w:rsid w:val="05BE9EB3"/>
    <w:rsid w:val="05C35CB1"/>
    <w:rsid w:val="05C3760E"/>
    <w:rsid w:val="05C6AFB8"/>
    <w:rsid w:val="05C9951D"/>
    <w:rsid w:val="05CC8CF8"/>
    <w:rsid w:val="05CDF645"/>
    <w:rsid w:val="05CF7758"/>
    <w:rsid w:val="05CFDAEA"/>
    <w:rsid w:val="05D17801"/>
    <w:rsid w:val="05D18BB6"/>
    <w:rsid w:val="05E226DA"/>
    <w:rsid w:val="05E24480"/>
    <w:rsid w:val="05EA3E1B"/>
    <w:rsid w:val="05F1491E"/>
    <w:rsid w:val="05F163CA"/>
    <w:rsid w:val="05F21C28"/>
    <w:rsid w:val="05F29102"/>
    <w:rsid w:val="05F8E23E"/>
    <w:rsid w:val="05FF6EA9"/>
    <w:rsid w:val="060087A3"/>
    <w:rsid w:val="06068853"/>
    <w:rsid w:val="060C5772"/>
    <w:rsid w:val="060D95BC"/>
    <w:rsid w:val="060FB6BB"/>
    <w:rsid w:val="061329D8"/>
    <w:rsid w:val="06148C23"/>
    <w:rsid w:val="06222C30"/>
    <w:rsid w:val="0622AEB6"/>
    <w:rsid w:val="0624CE35"/>
    <w:rsid w:val="062C4536"/>
    <w:rsid w:val="062E1D0D"/>
    <w:rsid w:val="0635B320"/>
    <w:rsid w:val="0636331D"/>
    <w:rsid w:val="0637BB4A"/>
    <w:rsid w:val="063A2FA9"/>
    <w:rsid w:val="063E67D1"/>
    <w:rsid w:val="06450DD6"/>
    <w:rsid w:val="0649721C"/>
    <w:rsid w:val="0649A3EB"/>
    <w:rsid w:val="064C195A"/>
    <w:rsid w:val="064EE029"/>
    <w:rsid w:val="064F75CF"/>
    <w:rsid w:val="06506490"/>
    <w:rsid w:val="06564DEC"/>
    <w:rsid w:val="065EF71C"/>
    <w:rsid w:val="065EF739"/>
    <w:rsid w:val="06613A87"/>
    <w:rsid w:val="0669C2E2"/>
    <w:rsid w:val="06714213"/>
    <w:rsid w:val="06884FBB"/>
    <w:rsid w:val="068B0D3D"/>
    <w:rsid w:val="069157EC"/>
    <w:rsid w:val="0694B208"/>
    <w:rsid w:val="069B496F"/>
    <w:rsid w:val="06A11CA4"/>
    <w:rsid w:val="06A2872F"/>
    <w:rsid w:val="06A64168"/>
    <w:rsid w:val="06AC083C"/>
    <w:rsid w:val="06AD4CC7"/>
    <w:rsid w:val="06B9C747"/>
    <w:rsid w:val="06BA417D"/>
    <w:rsid w:val="06BA6037"/>
    <w:rsid w:val="06BD48B1"/>
    <w:rsid w:val="06BE07B2"/>
    <w:rsid w:val="06C5390D"/>
    <w:rsid w:val="06C6FB2A"/>
    <w:rsid w:val="06C7B6F5"/>
    <w:rsid w:val="06D2FF6B"/>
    <w:rsid w:val="06D49995"/>
    <w:rsid w:val="06DC6287"/>
    <w:rsid w:val="06E09F73"/>
    <w:rsid w:val="06E36DD7"/>
    <w:rsid w:val="06E9938A"/>
    <w:rsid w:val="06EC80CA"/>
    <w:rsid w:val="06F6299E"/>
    <w:rsid w:val="06F6812D"/>
    <w:rsid w:val="06F7E63E"/>
    <w:rsid w:val="06F861B2"/>
    <w:rsid w:val="0700A19E"/>
    <w:rsid w:val="07105472"/>
    <w:rsid w:val="0713B3CA"/>
    <w:rsid w:val="0719A1DB"/>
    <w:rsid w:val="071FE1F8"/>
    <w:rsid w:val="07219E6E"/>
    <w:rsid w:val="072B0BAE"/>
    <w:rsid w:val="07354AF0"/>
    <w:rsid w:val="07358C1E"/>
    <w:rsid w:val="0736ADEF"/>
    <w:rsid w:val="073BE229"/>
    <w:rsid w:val="0746F89E"/>
    <w:rsid w:val="07473F3F"/>
    <w:rsid w:val="0748E059"/>
    <w:rsid w:val="074A615A"/>
    <w:rsid w:val="074D461E"/>
    <w:rsid w:val="075748D3"/>
    <w:rsid w:val="0757800B"/>
    <w:rsid w:val="0757C679"/>
    <w:rsid w:val="0759711C"/>
    <w:rsid w:val="07607438"/>
    <w:rsid w:val="076467A6"/>
    <w:rsid w:val="07702BDF"/>
    <w:rsid w:val="07736200"/>
    <w:rsid w:val="077751BF"/>
    <w:rsid w:val="077DD7F6"/>
    <w:rsid w:val="078170DD"/>
    <w:rsid w:val="078A4B25"/>
    <w:rsid w:val="078E9D53"/>
    <w:rsid w:val="079696AE"/>
    <w:rsid w:val="07982952"/>
    <w:rsid w:val="079E28C8"/>
    <w:rsid w:val="07A0A9DA"/>
    <w:rsid w:val="07A5C7F4"/>
    <w:rsid w:val="07AA9C3A"/>
    <w:rsid w:val="07ADC0B2"/>
    <w:rsid w:val="07AE9136"/>
    <w:rsid w:val="07B60ABD"/>
    <w:rsid w:val="07B68AA6"/>
    <w:rsid w:val="07B9EA29"/>
    <w:rsid w:val="07BAB978"/>
    <w:rsid w:val="07C05B9D"/>
    <w:rsid w:val="07C847F2"/>
    <w:rsid w:val="07CB6C2E"/>
    <w:rsid w:val="07CEAE78"/>
    <w:rsid w:val="07CF0772"/>
    <w:rsid w:val="07CFD831"/>
    <w:rsid w:val="07D1A292"/>
    <w:rsid w:val="07D8A36B"/>
    <w:rsid w:val="07D9F226"/>
    <w:rsid w:val="07DA008E"/>
    <w:rsid w:val="07DD928E"/>
    <w:rsid w:val="07E45E2A"/>
    <w:rsid w:val="07ECFFAA"/>
    <w:rsid w:val="07F67BC6"/>
    <w:rsid w:val="07F81716"/>
    <w:rsid w:val="07FC3FF9"/>
    <w:rsid w:val="08036A55"/>
    <w:rsid w:val="08136D34"/>
    <w:rsid w:val="0819C762"/>
    <w:rsid w:val="081C374C"/>
    <w:rsid w:val="081E131B"/>
    <w:rsid w:val="081F8331"/>
    <w:rsid w:val="083062AF"/>
    <w:rsid w:val="083126CA"/>
    <w:rsid w:val="0831B0D0"/>
    <w:rsid w:val="08322BAD"/>
    <w:rsid w:val="08350422"/>
    <w:rsid w:val="0836F741"/>
    <w:rsid w:val="083CDBB0"/>
    <w:rsid w:val="084E5E66"/>
    <w:rsid w:val="0850460A"/>
    <w:rsid w:val="085458A3"/>
    <w:rsid w:val="08567983"/>
    <w:rsid w:val="085FACA1"/>
    <w:rsid w:val="08600C6E"/>
    <w:rsid w:val="086111A1"/>
    <w:rsid w:val="0863D882"/>
    <w:rsid w:val="0865827E"/>
    <w:rsid w:val="08698D30"/>
    <w:rsid w:val="086C01B2"/>
    <w:rsid w:val="086D9747"/>
    <w:rsid w:val="086F1112"/>
    <w:rsid w:val="08733D2E"/>
    <w:rsid w:val="087423BE"/>
    <w:rsid w:val="0876B239"/>
    <w:rsid w:val="0880FDCC"/>
    <w:rsid w:val="088262DD"/>
    <w:rsid w:val="0888AB06"/>
    <w:rsid w:val="088B1E68"/>
    <w:rsid w:val="088CBC33"/>
    <w:rsid w:val="088FCE53"/>
    <w:rsid w:val="0890CD28"/>
    <w:rsid w:val="0892CD4A"/>
    <w:rsid w:val="0894E44D"/>
    <w:rsid w:val="08998066"/>
    <w:rsid w:val="089A40E7"/>
    <w:rsid w:val="08A10730"/>
    <w:rsid w:val="08A1698C"/>
    <w:rsid w:val="08A3B55D"/>
    <w:rsid w:val="08AD878D"/>
    <w:rsid w:val="08AE37EB"/>
    <w:rsid w:val="08AE727C"/>
    <w:rsid w:val="08B1F59A"/>
    <w:rsid w:val="08BD843B"/>
    <w:rsid w:val="08C07903"/>
    <w:rsid w:val="08C3A36C"/>
    <w:rsid w:val="08CC8595"/>
    <w:rsid w:val="08CD0A2E"/>
    <w:rsid w:val="08D1FC73"/>
    <w:rsid w:val="08D3087F"/>
    <w:rsid w:val="08D734E1"/>
    <w:rsid w:val="08D752E3"/>
    <w:rsid w:val="08D8D924"/>
    <w:rsid w:val="08E04684"/>
    <w:rsid w:val="08EBEC92"/>
    <w:rsid w:val="08EE68DB"/>
    <w:rsid w:val="08EFA1E9"/>
    <w:rsid w:val="08F224F8"/>
    <w:rsid w:val="08FE785B"/>
    <w:rsid w:val="090F29A4"/>
    <w:rsid w:val="0911FDF6"/>
    <w:rsid w:val="09192741"/>
    <w:rsid w:val="091BF10A"/>
    <w:rsid w:val="091DC79B"/>
    <w:rsid w:val="0924FA91"/>
    <w:rsid w:val="0927D44C"/>
    <w:rsid w:val="0930AB47"/>
    <w:rsid w:val="093C2887"/>
    <w:rsid w:val="09406789"/>
    <w:rsid w:val="094611D4"/>
    <w:rsid w:val="094C1EAE"/>
    <w:rsid w:val="094DD709"/>
    <w:rsid w:val="0950BF58"/>
    <w:rsid w:val="0950FDCB"/>
    <w:rsid w:val="095A2EB4"/>
    <w:rsid w:val="095BE6A6"/>
    <w:rsid w:val="095C7307"/>
    <w:rsid w:val="095F47B8"/>
    <w:rsid w:val="0963ACA8"/>
    <w:rsid w:val="0964F906"/>
    <w:rsid w:val="09667F63"/>
    <w:rsid w:val="0967097C"/>
    <w:rsid w:val="09673773"/>
    <w:rsid w:val="0969B81F"/>
    <w:rsid w:val="096C64BB"/>
    <w:rsid w:val="09717306"/>
    <w:rsid w:val="09796DA1"/>
    <w:rsid w:val="09838FB2"/>
    <w:rsid w:val="098477BE"/>
    <w:rsid w:val="0984F9BC"/>
    <w:rsid w:val="0989C780"/>
    <w:rsid w:val="098BA426"/>
    <w:rsid w:val="099B43F0"/>
    <w:rsid w:val="099DEA96"/>
    <w:rsid w:val="099FDA23"/>
    <w:rsid w:val="09A0666A"/>
    <w:rsid w:val="09A5E86E"/>
    <w:rsid w:val="09A6EC1F"/>
    <w:rsid w:val="09AB6973"/>
    <w:rsid w:val="09AD17E3"/>
    <w:rsid w:val="09AEDE08"/>
    <w:rsid w:val="09B0433E"/>
    <w:rsid w:val="09B08A14"/>
    <w:rsid w:val="09B3AC23"/>
    <w:rsid w:val="09B6F166"/>
    <w:rsid w:val="09B78E8D"/>
    <w:rsid w:val="09BE847D"/>
    <w:rsid w:val="09CEC231"/>
    <w:rsid w:val="09D24CCD"/>
    <w:rsid w:val="09D4CDD5"/>
    <w:rsid w:val="09D6FAD8"/>
    <w:rsid w:val="09DACF63"/>
    <w:rsid w:val="09DCFADE"/>
    <w:rsid w:val="09DD53E6"/>
    <w:rsid w:val="09E06A1D"/>
    <w:rsid w:val="09E2443F"/>
    <w:rsid w:val="09E5E0E6"/>
    <w:rsid w:val="09EED27A"/>
    <w:rsid w:val="09F675B7"/>
    <w:rsid w:val="09F80EEA"/>
    <w:rsid w:val="09FC964F"/>
    <w:rsid w:val="09FF04E7"/>
    <w:rsid w:val="09FFF0CD"/>
    <w:rsid w:val="0A00CDA4"/>
    <w:rsid w:val="0A0B36D1"/>
    <w:rsid w:val="0A0FB370"/>
    <w:rsid w:val="0A1BDF4F"/>
    <w:rsid w:val="0A2695FD"/>
    <w:rsid w:val="0A27AD37"/>
    <w:rsid w:val="0A2B2DE8"/>
    <w:rsid w:val="0A2BFAE3"/>
    <w:rsid w:val="0A3325D7"/>
    <w:rsid w:val="0A3B0246"/>
    <w:rsid w:val="0A427071"/>
    <w:rsid w:val="0A4874E0"/>
    <w:rsid w:val="0A48C7BD"/>
    <w:rsid w:val="0A49AB9C"/>
    <w:rsid w:val="0A4E25C5"/>
    <w:rsid w:val="0A5D8517"/>
    <w:rsid w:val="0A5F0644"/>
    <w:rsid w:val="0A7256D8"/>
    <w:rsid w:val="0A730986"/>
    <w:rsid w:val="0A79E36A"/>
    <w:rsid w:val="0A7CE1EA"/>
    <w:rsid w:val="0A80D167"/>
    <w:rsid w:val="0A845B41"/>
    <w:rsid w:val="0A8CC688"/>
    <w:rsid w:val="0A954662"/>
    <w:rsid w:val="0A96F6CE"/>
    <w:rsid w:val="0A988740"/>
    <w:rsid w:val="0AA43A48"/>
    <w:rsid w:val="0AA66E4A"/>
    <w:rsid w:val="0ABD2456"/>
    <w:rsid w:val="0ABDC35C"/>
    <w:rsid w:val="0AC07278"/>
    <w:rsid w:val="0AC31F13"/>
    <w:rsid w:val="0ACC194F"/>
    <w:rsid w:val="0ACC6050"/>
    <w:rsid w:val="0ACC7F8C"/>
    <w:rsid w:val="0AD149F6"/>
    <w:rsid w:val="0AD8467D"/>
    <w:rsid w:val="0ADBE6A1"/>
    <w:rsid w:val="0ADCC74E"/>
    <w:rsid w:val="0AE65899"/>
    <w:rsid w:val="0AEE4106"/>
    <w:rsid w:val="0AEF74CE"/>
    <w:rsid w:val="0AEFE337"/>
    <w:rsid w:val="0AF5F412"/>
    <w:rsid w:val="0AF9646A"/>
    <w:rsid w:val="0B00B6AF"/>
    <w:rsid w:val="0B03881F"/>
    <w:rsid w:val="0B047F96"/>
    <w:rsid w:val="0B053B1B"/>
    <w:rsid w:val="0B08BFAB"/>
    <w:rsid w:val="0B0CA13E"/>
    <w:rsid w:val="0B0F2C43"/>
    <w:rsid w:val="0B11B3BA"/>
    <w:rsid w:val="0B1AAD9A"/>
    <w:rsid w:val="0B202CEE"/>
    <w:rsid w:val="0B284182"/>
    <w:rsid w:val="0B2D0284"/>
    <w:rsid w:val="0B2DD2A9"/>
    <w:rsid w:val="0B2F35C8"/>
    <w:rsid w:val="0B2F3AF5"/>
    <w:rsid w:val="0B314BE7"/>
    <w:rsid w:val="0B326728"/>
    <w:rsid w:val="0B3BB2C0"/>
    <w:rsid w:val="0B3E9B79"/>
    <w:rsid w:val="0B475EC7"/>
    <w:rsid w:val="0B4E9369"/>
    <w:rsid w:val="0B52850E"/>
    <w:rsid w:val="0B5CF047"/>
    <w:rsid w:val="0B5DC460"/>
    <w:rsid w:val="0B61295F"/>
    <w:rsid w:val="0B62E508"/>
    <w:rsid w:val="0B63C573"/>
    <w:rsid w:val="0B6523AE"/>
    <w:rsid w:val="0B65B647"/>
    <w:rsid w:val="0B6A66C0"/>
    <w:rsid w:val="0B6D1E00"/>
    <w:rsid w:val="0B7223E6"/>
    <w:rsid w:val="0B736B34"/>
    <w:rsid w:val="0B74287B"/>
    <w:rsid w:val="0B9ED16A"/>
    <w:rsid w:val="0BA08FA7"/>
    <w:rsid w:val="0BA205F6"/>
    <w:rsid w:val="0BAB8C98"/>
    <w:rsid w:val="0BADCA97"/>
    <w:rsid w:val="0BAECF2F"/>
    <w:rsid w:val="0BB0D097"/>
    <w:rsid w:val="0BB9E2F9"/>
    <w:rsid w:val="0BC0B318"/>
    <w:rsid w:val="0BCB317D"/>
    <w:rsid w:val="0BCBA074"/>
    <w:rsid w:val="0BD0B27B"/>
    <w:rsid w:val="0BDA3CD6"/>
    <w:rsid w:val="0BE72752"/>
    <w:rsid w:val="0BEAD342"/>
    <w:rsid w:val="0BEB9909"/>
    <w:rsid w:val="0BF16910"/>
    <w:rsid w:val="0BF4ACFA"/>
    <w:rsid w:val="0BF4CB38"/>
    <w:rsid w:val="0BFA4D22"/>
    <w:rsid w:val="0BFF0C07"/>
    <w:rsid w:val="0BFFBA57"/>
    <w:rsid w:val="0C046B7B"/>
    <w:rsid w:val="0C060968"/>
    <w:rsid w:val="0C07E6D6"/>
    <w:rsid w:val="0C0A098C"/>
    <w:rsid w:val="0C0E7A82"/>
    <w:rsid w:val="0C1A1C9B"/>
    <w:rsid w:val="0C1D6477"/>
    <w:rsid w:val="0C1E4BE7"/>
    <w:rsid w:val="0C2014D5"/>
    <w:rsid w:val="0C21FF00"/>
    <w:rsid w:val="0C314F10"/>
    <w:rsid w:val="0C33A600"/>
    <w:rsid w:val="0C3A6753"/>
    <w:rsid w:val="0C3A7E18"/>
    <w:rsid w:val="0C45FDC5"/>
    <w:rsid w:val="0C496EB1"/>
    <w:rsid w:val="0C498FE6"/>
    <w:rsid w:val="0C4C93B1"/>
    <w:rsid w:val="0C4E7246"/>
    <w:rsid w:val="0C50C28F"/>
    <w:rsid w:val="0C5D75C8"/>
    <w:rsid w:val="0C5EA9FB"/>
    <w:rsid w:val="0C6170EF"/>
    <w:rsid w:val="0C6AD034"/>
    <w:rsid w:val="0C7322AE"/>
    <w:rsid w:val="0C75017F"/>
    <w:rsid w:val="0C869B7D"/>
    <w:rsid w:val="0C897F2A"/>
    <w:rsid w:val="0C8C14CE"/>
    <w:rsid w:val="0C903045"/>
    <w:rsid w:val="0C939995"/>
    <w:rsid w:val="0C95DB02"/>
    <w:rsid w:val="0C986C8B"/>
    <w:rsid w:val="0C9B89FE"/>
    <w:rsid w:val="0C9F0F41"/>
    <w:rsid w:val="0CA8752F"/>
    <w:rsid w:val="0CA9B0FB"/>
    <w:rsid w:val="0CB69C6C"/>
    <w:rsid w:val="0CB820BF"/>
    <w:rsid w:val="0CC5C3BE"/>
    <w:rsid w:val="0CC6A866"/>
    <w:rsid w:val="0CD2D30D"/>
    <w:rsid w:val="0CD35B47"/>
    <w:rsid w:val="0CD8955F"/>
    <w:rsid w:val="0CE66AC1"/>
    <w:rsid w:val="0CF4EABE"/>
    <w:rsid w:val="0CF848F1"/>
    <w:rsid w:val="0D0014DD"/>
    <w:rsid w:val="0D08B10D"/>
    <w:rsid w:val="0D0B9CF4"/>
    <w:rsid w:val="0D0BC260"/>
    <w:rsid w:val="0D1C2FC3"/>
    <w:rsid w:val="0D25E7F8"/>
    <w:rsid w:val="0D25EEC8"/>
    <w:rsid w:val="0D29F98F"/>
    <w:rsid w:val="0D2AC98F"/>
    <w:rsid w:val="0D2B2A3E"/>
    <w:rsid w:val="0D2CA93E"/>
    <w:rsid w:val="0D31596A"/>
    <w:rsid w:val="0D402E52"/>
    <w:rsid w:val="0D433990"/>
    <w:rsid w:val="0D466FC6"/>
    <w:rsid w:val="0D4DAC46"/>
    <w:rsid w:val="0D54BB64"/>
    <w:rsid w:val="0D5EAB38"/>
    <w:rsid w:val="0D5F67BF"/>
    <w:rsid w:val="0D5F8240"/>
    <w:rsid w:val="0D610F96"/>
    <w:rsid w:val="0D638DE6"/>
    <w:rsid w:val="0D656C04"/>
    <w:rsid w:val="0D65A9A5"/>
    <w:rsid w:val="0D6F1CA3"/>
    <w:rsid w:val="0D74F747"/>
    <w:rsid w:val="0D7A2EA7"/>
    <w:rsid w:val="0D7E8931"/>
    <w:rsid w:val="0D864EAE"/>
    <w:rsid w:val="0D895953"/>
    <w:rsid w:val="0D899F9F"/>
    <w:rsid w:val="0D90EEDB"/>
    <w:rsid w:val="0D94E5AF"/>
    <w:rsid w:val="0D972ED5"/>
    <w:rsid w:val="0D9EF07E"/>
    <w:rsid w:val="0DACA356"/>
    <w:rsid w:val="0DB099D7"/>
    <w:rsid w:val="0DB298DA"/>
    <w:rsid w:val="0DB33E44"/>
    <w:rsid w:val="0DBFA120"/>
    <w:rsid w:val="0DC2456A"/>
    <w:rsid w:val="0DC6DC87"/>
    <w:rsid w:val="0DC94DE3"/>
    <w:rsid w:val="0DCA3A56"/>
    <w:rsid w:val="0DCDA14E"/>
    <w:rsid w:val="0DDF24AF"/>
    <w:rsid w:val="0DE1A318"/>
    <w:rsid w:val="0DEC3F78"/>
    <w:rsid w:val="0DF5A36D"/>
    <w:rsid w:val="0DFC5170"/>
    <w:rsid w:val="0E028076"/>
    <w:rsid w:val="0E075FED"/>
    <w:rsid w:val="0E0DE8EA"/>
    <w:rsid w:val="0E0FB50C"/>
    <w:rsid w:val="0E138413"/>
    <w:rsid w:val="0E14174E"/>
    <w:rsid w:val="0E180844"/>
    <w:rsid w:val="0E193D6B"/>
    <w:rsid w:val="0E197087"/>
    <w:rsid w:val="0E1E34DE"/>
    <w:rsid w:val="0E27BC87"/>
    <w:rsid w:val="0E2C74CA"/>
    <w:rsid w:val="0E2E8DCE"/>
    <w:rsid w:val="0E46CDFA"/>
    <w:rsid w:val="0E490AF1"/>
    <w:rsid w:val="0E4AAA61"/>
    <w:rsid w:val="0E4BD7A3"/>
    <w:rsid w:val="0E5336DB"/>
    <w:rsid w:val="0E5CCE85"/>
    <w:rsid w:val="0E5E4264"/>
    <w:rsid w:val="0E6A2838"/>
    <w:rsid w:val="0E6DF9CD"/>
    <w:rsid w:val="0E7208B7"/>
    <w:rsid w:val="0E72F9A5"/>
    <w:rsid w:val="0E7A5D8E"/>
    <w:rsid w:val="0E7EF13B"/>
    <w:rsid w:val="0E81856F"/>
    <w:rsid w:val="0E84BCE8"/>
    <w:rsid w:val="0E8FAE91"/>
    <w:rsid w:val="0E905B60"/>
    <w:rsid w:val="0E959170"/>
    <w:rsid w:val="0E95BEAC"/>
    <w:rsid w:val="0EA009ED"/>
    <w:rsid w:val="0EA3A2DA"/>
    <w:rsid w:val="0EA6EDB3"/>
    <w:rsid w:val="0EAE664A"/>
    <w:rsid w:val="0EAFEE1A"/>
    <w:rsid w:val="0EBEDF3F"/>
    <w:rsid w:val="0EC1C8D7"/>
    <w:rsid w:val="0EC7E1DC"/>
    <w:rsid w:val="0ECA6703"/>
    <w:rsid w:val="0ECCC3B5"/>
    <w:rsid w:val="0ECD8895"/>
    <w:rsid w:val="0ECD9266"/>
    <w:rsid w:val="0ED830EF"/>
    <w:rsid w:val="0ED8AF5F"/>
    <w:rsid w:val="0ED9D954"/>
    <w:rsid w:val="0EDB2C57"/>
    <w:rsid w:val="0EDF154F"/>
    <w:rsid w:val="0EE81A13"/>
    <w:rsid w:val="0EEE6159"/>
    <w:rsid w:val="0EF40C6F"/>
    <w:rsid w:val="0EF5BC1B"/>
    <w:rsid w:val="0EF880A8"/>
    <w:rsid w:val="0EF9BBB0"/>
    <w:rsid w:val="0F002375"/>
    <w:rsid w:val="0F045F66"/>
    <w:rsid w:val="0F06FB07"/>
    <w:rsid w:val="0F07E1B7"/>
    <w:rsid w:val="0F081123"/>
    <w:rsid w:val="0F16F318"/>
    <w:rsid w:val="0F1C3530"/>
    <w:rsid w:val="0F1CA906"/>
    <w:rsid w:val="0F1E5154"/>
    <w:rsid w:val="0F2651FE"/>
    <w:rsid w:val="0F2915D4"/>
    <w:rsid w:val="0F297F9F"/>
    <w:rsid w:val="0F2B68E7"/>
    <w:rsid w:val="0F350238"/>
    <w:rsid w:val="0F3AE504"/>
    <w:rsid w:val="0F4AF70E"/>
    <w:rsid w:val="0F542F0D"/>
    <w:rsid w:val="0F59366F"/>
    <w:rsid w:val="0F5A9F31"/>
    <w:rsid w:val="0F5C9C20"/>
    <w:rsid w:val="0F61A5E9"/>
    <w:rsid w:val="0F630BBD"/>
    <w:rsid w:val="0F642704"/>
    <w:rsid w:val="0F6458E0"/>
    <w:rsid w:val="0F66337A"/>
    <w:rsid w:val="0F6DDE4C"/>
    <w:rsid w:val="0F7493A0"/>
    <w:rsid w:val="0F76D6D1"/>
    <w:rsid w:val="0F79B1C1"/>
    <w:rsid w:val="0F7CA621"/>
    <w:rsid w:val="0F80737D"/>
    <w:rsid w:val="0F81BD1B"/>
    <w:rsid w:val="0F885317"/>
    <w:rsid w:val="0F8AD0E3"/>
    <w:rsid w:val="0F8B2448"/>
    <w:rsid w:val="0F9076F0"/>
    <w:rsid w:val="0F916158"/>
    <w:rsid w:val="0F9200DC"/>
    <w:rsid w:val="0FA895B0"/>
    <w:rsid w:val="0FADCA74"/>
    <w:rsid w:val="0FB6024E"/>
    <w:rsid w:val="0FB8649E"/>
    <w:rsid w:val="0FBAEC30"/>
    <w:rsid w:val="0FBD8E8A"/>
    <w:rsid w:val="0FC20F7D"/>
    <w:rsid w:val="0FC4E3C4"/>
    <w:rsid w:val="0FC5EB5A"/>
    <w:rsid w:val="0FCDCCC3"/>
    <w:rsid w:val="0FD13324"/>
    <w:rsid w:val="0FD1A937"/>
    <w:rsid w:val="0FD42681"/>
    <w:rsid w:val="0FD9BEE6"/>
    <w:rsid w:val="0FDAA42F"/>
    <w:rsid w:val="0FE10021"/>
    <w:rsid w:val="0FE302AC"/>
    <w:rsid w:val="0FE67D5E"/>
    <w:rsid w:val="0FEAF8A8"/>
    <w:rsid w:val="0FEE30DC"/>
    <w:rsid w:val="0FEF5E15"/>
    <w:rsid w:val="0FF5DEB7"/>
    <w:rsid w:val="0FF68B33"/>
    <w:rsid w:val="0FFC93C8"/>
    <w:rsid w:val="0FFF7FF4"/>
    <w:rsid w:val="10067534"/>
    <w:rsid w:val="100A6961"/>
    <w:rsid w:val="10115A7F"/>
    <w:rsid w:val="10139C54"/>
    <w:rsid w:val="1014B78A"/>
    <w:rsid w:val="1014EF2B"/>
    <w:rsid w:val="101BA499"/>
    <w:rsid w:val="1021F7E5"/>
    <w:rsid w:val="1023F3E5"/>
    <w:rsid w:val="102A0554"/>
    <w:rsid w:val="102F0E3C"/>
    <w:rsid w:val="1031E632"/>
    <w:rsid w:val="1034BA7F"/>
    <w:rsid w:val="103ADD42"/>
    <w:rsid w:val="103B8B3B"/>
    <w:rsid w:val="103DA3B0"/>
    <w:rsid w:val="1042D89E"/>
    <w:rsid w:val="104621F3"/>
    <w:rsid w:val="10485B10"/>
    <w:rsid w:val="1055742F"/>
    <w:rsid w:val="105DEF7A"/>
    <w:rsid w:val="105DFF41"/>
    <w:rsid w:val="105FD1DC"/>
    <w:rsid w:val="106987B9"/>
    <w:rsid w:val="106F0661"/>
    <w:rsid w:val="10766BA8"/>
    <w:rsid w:val="107731E6"/>
    <w:rsid w:val="107856AD"/>
    <w:rsid w:val="107B3068"/>
    <w:rsid w:val="107DDB1F"/>
    <w:rsid w:val="10824856"/>
    <w:rsid w:val="108347A7"/>
    <w:rsid w:val="1086EC46"/>
    <w:rsid w:val="1087C61E"/>
    <w:rsid w:val="108A4F6D"/>
    <w:rsid w:val="1099D5D9"/>
    <w:rsid w:val="109E8873"/>
    <w:rsid w:val="10A8310F"/>
    <w:rsid w:val="10AC6923"/>
    <w:rsid w:val="10B35789"/>
    <w:rsid w:val="10B3AFDF"/>
    <w:rsid w:val="10B59243"/>
    <w:rsid w:val="10B6696A"/>
    <w:rsid w:val="10BFB2CD"/>
    <w:rsid w:val="10C82C6E"/>
    <w:rsid w:val="10CD395C"/>
    <w:rsid w:val="10CE7FFB"/>
    <w:rsid w:val="10D0C9C9"/>
    <w:rsid w:val="10D639B1"/>
    <w:rsid w:val="10DC4CB2"/>
    <w:rsid w:val="10E110BE"/>
    <w:rsid w:val="10E52938"/>
    <w:rsid w:val="10E618FF"/>
    <w:rsid w:val="10EB10DB"/>
    <w:rsid w:val="10F200F3"/>
    <w:rsid w:val="10F40F9D"/>
    <w:rsid w:val="10F49A82"/>
    <w:rsid w:val="10FC93A2"/>
    <w:rsid w:val="11004520"/>
    <w:rsid w:val="1105CB6E"/>
    <w:rsid w:val="11127490"/>
    <w:rsid w:val="11156F33"/>
    <w:rsid w:val="111AA0F0"/>
    <w:rsid w:val="111CD23A"/>
    <w:rsid w:val="11228976"/>
    <w:rsid w:val="112716FD"/>
    <w:rsid w:val="112735FF"/>
    <w:rsid w:val="1127896F"/>
    <w:rsid w:val="112A3800"/>
    <w:rsid w:val="112AF5AA"/>
    <w:rsid w:val="112CCE1F"/>
    <w:rsid w:val="113700C7"/>
    <w:rsid w:val="1139A565"/>
    <w:rsid w:val="113B59BE"/>
    <w:rsid w:val="113C3BCA"/>
    <w:rsid w:val="1140E5AD"/>
    <w:rsid w:val="11426EBE"/>
    <w:rsid w:val="1146DCCF"/>
    <w:rsid w:val="114A7C83"/>
    <w:rsid w:val="114B1240"/>
    <w:rsid w:val="114F16A8"/>
    <w:rsid w:val="11567379"/>
    <w:rsid w:val="1157059C"/>
    <w:rsid w:val="11586068"/>
    <w:rsid w:val="115CEB28"/>
    <w:rsid w:val="1160FB30"/>
    <w:rsid w:val="11654409"/>
    <w:rsid w:val="11693A7F"/>
    <w:rsid w:val="116B4AAB"/>
    <w:rsid w:val="116E6D2B"/>
    <w:rsid w:val="116F2BC3"/>
    <w:rsid w:val="117105A1"/>
    <w:rsid w:val="1171D59D"/>
    <w:rsid w:val="1183B9CF"/>
    <w:rsid w:val="118AFD0D"/>
    <w:rsid w:val="1195F28F"/>
    <w:rsid w:val="1197F8FE"/>
    <w:rsid w:val="119CC735"/>
    <w:rsid w:val="11A394F0"/>
    <w:rsid w:val="11AAA830"/>
    <w:rsid w:val="11B2B74C"/>
    <w:rsid w:val="11B78F0E"/>
    <w:rsid w:val="11B7F324"/>
    <w:rsid w:val="11B88456"/>
    <w:rsid w:val="11C2B4B2"/>
    <w:rsid w:val="11C50295"/>
    <w:rsid w:val="11D32099"/>
    <w:rsid w:val="11D5FE4C"/>
    <w:rsid w:val="11DA9FE4"/>
    <w:rsid w:val="11DF06B2"/>
    <w:rsid w:val="1200CB90"/>
    <w:rsid w:val="12037D7E"/>
    <w:rsid w:val="1205401E"/>
    <w:rsid w:val="12059BB8"/>
    <w:rsid w:val="1206EFFF"/>
    <w:rsid w:val="120A4794"/>
    <w:rsid w:val="120DD500"/>
    <w:rsid w:val="120FE010"/>
    <w:rsid w:val="1213E439"/>
    <w:rsid w:val="121C4945"/>
    <w:rsid w:val="1228FF49"/>
    <w:rsid w:val="1229ED8B"/>
    <w:rsid w:val="1230069B"/>
    <w:rsid w:val="1238490D"/>
    <w:rsid w:val="123B60F5"/>
    <w:rsid w:val="123E0D80"/>
    <w:rsid w:val="124692B6"/>
    <w:rsid w:val="12488248"/>
    <w:rsid w:val="1250EBC9"/>
    <w:rsid w:val="12535171"/>
    <w:rsid w:val="1254C684"/>
    <w:rsid w:val="12603BB4"/>
    <w:rsid w:val="12618487"/>
    <w:rsid w:val="1262B5C6"/>
    <w:rsid w:val="12645B87"/>
    <w:rsid w:val="126E57FA"/>
    <w:rsid w:val="1274038F"/>
    <w:rsid w:val="12758D25"/>
    <w:rsid w:val="127B07D2"/>
    <w:rsid w:val="127FA0AF"/>
    <w:rsid w:val="127FD0E1"/>
    <w:rsid w:val="12850BC5"/>
    <w:rsid w:val="128BAF37"/>
    <w:rsid w:val="128C5804"/>
    <w:rsid w:val="128D19D5"/>
    <w:rsid w:val="128FCE97"/>
    <w:rsid w:val="129AE4AA"/>
    <w:rsid w:val="12A10F94"/>
    <w:rsid w:val="12A25DA7"/>
    <w:rsid w:val="12A32F02"/>
    <w:rsid w:val="12A5354B"/>
    <w:rsid w:val="12A5E35A"/>
    <w:rsid w:val="12A9CBA5"/>
    <w:rsid w:val="12A9D073"/>
    <w:rsid w:val="12AA3B03"/>
    <w:rsid w:val="12ACFC0A"/>
    <w:rsid w:val="12B2C418"/>
    <w:rsid w:val="12B37DD9"/>
    <w:rsid w:val="12B4D154"/>
    <w:rsid w:val="12B8B2F5"/>
    <w:rsid w:val="12BD624E"/>
    <w:rsid w:val="12C16843"/>
    <w:rsid w:val="12C7C6CD"/>
    <w:rsid w:val="12C7EF3E"/>
    <w:rsid w:val="12CEC0FF"/>
    <w:rsid w:val="12DD15F5"/>
    <w:rsid w:val="12DECDCF"/>
    <w:rsid w:val="12E5D8C0"/>
    <w:rsid w:val="12E913DC"/>
    <w:rsid w:val="12E9939E"/>
    <w:rsid w:val="12EA1D4F"/>
    <w:rsid w:val="12EA7FDF"/>
    <w:rsid w:val="12EA87D1"/>
    <w:rsid w:val="12FCECE6"/>
    <w:rsid w:val="12FEFD51"/>
    <w:rsid w:val="13077958"/>
    <w:rsid w:val="130820D6"/>
    <w:rsid w:val="130AA495"/>
    <w:rsid w:val="13112606"/>
    <w:rsid w:val="131BB39D"/>
    <w:rsid w:val="131C327F"/>
    <w:rsid w:val="131CD82A"/>
    <w:rsid w:val="131EB4E1"/>
    <w:rsid w:val="1326E3EB"/>
    <w:rsid w:val="132D67D0"/>
    <w:rsid w:val="133038FC"/>
    <w:rsid w:val="13313EF2"/>
    <w:rsid w:val="1339F381"/>
    <w:rsid w:val="133BADB3"/>
    <w:rsid w:val="134D0C7D"/>
    <w:rsid w:val="134D9867"/>
    <w:rsid w:val="13510611"/>
    <w:rsid w:val="135D3388"/>
    <w:rsid w:val="13606EE5"/>
    <w:rsid w:val="1369FD4E"/>
    <w:rsid w:val="13712600"/>
    <w:rsid w:val="13716DE0"/>
    <w:rsid w:val="1375712E"/>
    <w:rsid w:val="137A9148"/>
    <w:rsid w:val="1386F766"/>
    <w:rsid w:val="1387250F"/>
    <w:rsid w:val="1393B44F"/>
    <w:rsid w:val="13945E85"/>
    <w:rsid w:val="13952377"/>
    <w:rsid w:val="13980139"/>
    <w:rsid w:val="139D85DB"/>
    <w:rsid w:val="139DDD36"/>
    <w:rsid w:val="139EC0D5"/>
    <w:rsid w:val="13A7F5F1"/>
    <w:rsid w:val="13A9DFEC"/>
    <w:rsid w:val="13AA5783"/>
    <w:rsid w:val="13B9972E"/>
    <w:rsid w:val="13C411B5"/>
    <w:rsid w:val="13CEE16B"/>
    <w:rsid w:val="13D2C196"/>
    <w:rsid w:val="13D5D6B8"/>
    <w:rsid w:val="13D6AF6E"/>
    <w:rsid w:val="13DE79FE"/>
    <w:rsid w:val="13E938F8"/>
    <w:rsid w:val="13F29C0B"/>
    <w:rsid w:val="13F2CC7D"/>
    <w:rsid w:val="13F5EF40"/>
    <w:rsid w:val="13F6CF36"/>
    <w:rsid w:val="13F9599C"/>
    <w:rsid w:val="1401E0EE"/>
    <w:rsid w:val="1408C820"/>
    <w:rsid w:val="1408C884"/>
    <w:rsid w:val="140E081C"/>
    <w:rsid w:val="1412582F"/>
    <w:rsid w:val="1419E523"/>
    <w:rsid w:val="141B9554"/>
    <w:rsid w:val="141F5E0D"/>
    <w:rsid w:val="142BDF06"/>
    <w:rsid w:val="143981DB"/>
    <w:rsid w:val="143DE296"/>
    <w:rsid w:val="144490F3"/>
    <w:rsid w:val="1445DB76"/>
    <w:rsid w:val="14500D73"/>
    <w:rsid w:val="14533B0F"/>
    <w:rsid w:val="1456A2EC"/>
    <w:rsid w:val="1457A960"/>
    <w:rsid w:val="1464A0F2"/>
    <w:rsid w:val="1464C109"/>
    <w:rsid w:val="146DAD30"/>
    <w:rsid w:val="14746154"/>
    <w:rsid w:val="1475FDA6"/>
    <w:rsid w:val="1479291D"/>
    <w:rsid w:val="147A78E6"/>
    <w:rsid w:val="147C7D39"/>
    <w:rsid w:val="147FD5DD"/>
    <w:rsid w:val="14803D44"/>
    <w:rsid w:val="1480D31B"/>
    <w:rsid w:val="148DB383"/>
    <w:rsid w:val="14904509"/>
    <w:rsid w:val="14918184"/>
    <w:rsid w:val="14996EAD"/>
    <w:rsid w:val="149B9A4D"/>
    <w:rsid w:val="149C2095"/>
    <w:rsid w:val="14A1AA4A"/>
    <w:rsid w:val="14AFDB3B"/>
    <w:rsid w:val="14B2D2EA"/>
    <w:rsid w:val="14BC452B"/>
    <w:rsid w:val="14D47E66"/>
    <w:rsid w:val="14D537FA"/>
    <w:rsid w:val="14D7F37D"/>
    <w:rsid w:val="14DDACC9"/>
    <w:rsid w:val="14DFBFEC"/>
    <w:rsid w:val="14E1BBF8"/>
    <w:rsid w:val="14E2C4B9"/>
    <w:rsid w:val="14ECAEEC"/>
    <w:rsid w:val="14ED74A6"/>
    <w:rsid w:val="14EE2BE3"/>
    <w:rsid w:val="14EF1A4A"/>
    <w:rsid w:val="14F1E79D"/>
    <w:rsid w:val="14F6392D"/>
    <w:rsid w:val="15031A88"/>
    <w:rsid w:val="150D259C"/>
    <w:rsid w:val="150E1245"/>
    <w:rsid w:val="1510F682"/>
    <w:rsid w:val="1513118C"/>
    <w:rsid w:val="15167A4E"/>
    <w:rsid w:val="151CD154"/>
    <w:rsid w:val="151FEA45"/>
    <w:rsid w:val="152173C8"/>
    <w:rsid w:val="152380FE"/>
    <w:rsid w:val="1525BBB2"/>
    <w:rsid w:val="153099B3"/>
    <w:rsid w:val="15311A43"/>
    <w:rsid w:val="153B8653"/>
    <w:rsid w:val="1547A80C"/>
    <w:rsid w:val="15484641"/>
    <w:rsid w:val="1549A52D"/>
    <w:rsid w:val="155E35A9"/>
    <w:rsid w:val="155E37CF"/>
    <w:rsid w:val="155EEE0B"/>
    <w:rsid w:val="15625461"/>
    <w:rsid w:val="1568C764"/>
    <w:rsid w:val="15704C79"/>
    <w:rsid w:val="157160FE"/>
    <w:rsid w:val="1571C898"/>
    <w:rsid w:val="1573E4E2"/>
    <w:rsid w:val="15755020"/>
    <w:rsid w:val="157B0344"/>
    <w:rsid w:val="1580DB2F"/>
    <w:rsid w:val="158131EE"/>
    <w:rsid w:val="1585D932"/>
    <w:rsid w:val="158B49EF"/>
    <w:rsid w:val="158FD55B"/>
    <w:rsid w:val="15917496"/>
    <w:rsid w:val="159782DF"/>
    <w:rsid w:val="159E13B5"/>
    <w:rsid w:val="159E6250"/>
    <w:rsid w:val="159F4276"/>
    <w:rsid w:val="15A66AEC"/>
    <w:rsid w:val="15A6A040"/>
    <w:rsid w:val="15B3430C"/>
    <w:rsid w:val="15B4BE83"/>
    <w:rsid w:val="15B5B510"/>
    <w:rsid w:val="15B76486"/>
    <w:rsid w:val="15B7C889"/>
    <w:rsid w:val="15CBD94C"/>
    <w:rsid w:val="15D161D7"/>
    <w:rsid w:val="15D3A824"/>
    <w:rsid w:val="15D564DD"/>
    <w:rsid w:val="15D6A103"/>
    <w:rsid w:val="15D86391"/>
    <w:rsid w:val="15DE026A"/>
    <w:rsid w:val="15E0A525"/>
    <w:rsid w:val="15E26D30"/>
    <w:rsid w:val="15E30095"/>
    <w:rsid w:val="15EAE8F9"/>
    <w:rsid w:val="15EFFDDE"/>
    <w:rsid w:val="15F03879"/>
    <w:rsid w:val="15F33F43"/>
    <w:rsid w:val="15FAC34C"/>
    <w:rsid w:val="1608121D"/>
    <w:rsid w:val="160B2F19"/>
    <w:rsid w:val="16107797"/>
    <w:rsid w:val="1612D8E0"/>
    <w:rsid w:val="1617134F"/>
    <w:rsid w:val="1617FD5F"/>
    <w:rsid w:val="161918F0"/>
    <w:rsid w:val="161D1E78"/>
    <w:rsid w:val="1621635A"/>
    <w:rsid w:val="1621BCB4"/>
    <w:rsid w:val="1628788A"/>
    <w:rsid w:val="162FAA2E"/>
    <w:rsid w:val="1632630C"/>
    <w:rsid w:val="1632A02D"/>
    <w:rsid w:val="16364B2B"/>
    <w:rsid w:val="1637F643"/>
    <w:rsid w:val="1637F648"/>
    <w:rsid w:val="163CA669"/>
    <w:rsid w:val="1640E24D"/>
    <w:rsid w:val="1641398B"/>
    <w:rsid w:val="1646FE5C"/>
    <w:rsid w:val="164A80CE"/>
    <w:rsid w:val="16544C9E"/>
    <w:rsid w:val="16546978"/>
    <w:rsid w:val="1658D0B6"/>
    <w:rsid w:val="165B3C0A"/>
    <w:rsid w:val="165C6709"/>
    <w:rsid w:val="16638341"/>
    <w:rsid w:val="16667F4F"/>
    <w:rsid w:val="166C97A6"/>
    <w:rsid w:val="16733D40"/>
    <w:rsid w:val="16751B6B"/>
    <w:rsid w:val="16761E6A"/>
    <w:rsid w:val="16809DCF"/>
    <w:rsid w:val="1683667B"/>
    <w:rsid w:val="1686623D"/>
    <w:rsid w:val="168A984D"/>
    <w:rsid w:val="168AA536"/>
    <w:rsid w:val="168E993F"/>
    <w:rsid w:val="16986020"/>
    <w:rsid w:val="169AA948"/>
    <w:rsid w:val="169D64FA"/>
    <w:rsid w:val="16A0BEC3"/>
    <w:rsid w:val="16AA68A4"/>
    <w:rsid w:val="16B07977"/>
    <w:rsid w:val="16B2BFE9"/>
    <w:rsid w:val="16B354F3"/>
    <w:rsid w:val="16BB6205"/>
    <w:rsid w:val="16C17212"/>
    <w:rsid w:val="16C6F7D1"/>
    <w:rsid w:val="16CAC431"/>
    <w:rsid w:val="16D23AD3"/>
    <w:rsid w:val="16D59E02"/>
    <w:rsid w:val="16E30578"/>
    <w:rsid w:val="16E4E816"/>
    <w:rsid w:val="16E5C79B"/>
    <w:rsid w:val="16E6BC20"/>
    <w:rsid w:val="16E6D4F6"/>
    <w:rsid w:val="16EC2992"/>
    <w:rsid w:val="16EEB61F"/>
    <w:rsid w:val="16FC9909"/>
    <w:rsid w:val="1703CD76"/>
    <w:rsid w:val="1715D216"/>
    <w:rsid w:val="17175B3C"/>
    <w:rsid w:val="171B6E0B"/>
    <w:rsid w:val="171E3A44"/>
    <w:rsid w:val="17366796"/>
    <w:rsid w:val="173D20D2"/>
    <w:rsid w:val="173D7498"/>
    <w:rsid w:val="17496AA9"/>
    <w:rsid w:val="174BA59B"/>
    <w:rsid w:val="174C1797"/>
    <w:rsid w:val="174C740A"/>
    <w:rsid w:val="174CDAF6"/>
    <w:rsid w:val="17680428"/>
    <w:rsid w:val="17693169"/>
    <w:rsid w:val="176DC994"/>
    <w:rsid w:val="176E3C2F"/>
    <w:rsid w:val="1771D224"/>
    <w:rsid w:val="1775B79E"/>
    <w:rsid w:val="1777B88C"/>
    <w:rsid w:val="177DA415"/>
    <w:rsid w:val="17824A04"/>
    <w:rsid w:val="17836D8E"/>
    <w:rsid w:val="178380A3"/>
    <w:rsid w:val="1785FE0C"/>
    <w:rsid w:val="1787F7D1"/>
    <w:rsid w:val="178C2B8D"/>
    <w:rsid w:val="178D4219"/>
    <w:rsid w:val="178E4BDC"/>
    <w:rsid w:val="178F65F8"/>
    <w:rsid w:val="17903F5D"/>
    <w:rsid w:val="1791C4C3"/>
    <w:rsid w:val="1798412B"/>
    <w:rsid w:val="179F5E77"/>
    <w:rsid w:val="17A86773"/>
    <w:rsid w:val="17AD6776"/>
    <w:rsid w:val="17BF4EE1"/>
    <w:rsid w:val="17C26406"/>
    <w:rsid w:val="17C6D765"/>
    <w:rsid w:val="17C90C00"/>
    <w:rsid w:val="17C9863A"/>
    <w:rsid w:val="17CA4F49"/>
    <w:rsid w:val="17D144C6"/>
    <w:rsid w:val="17DEBA0B"/>
    <w:rsid w:val="17E3E148"/>
    <w:rsid w:val="17EA8136"/>
    <w:rsid w:val="17EAE45C"/>
    <w:rsid w:val="17EC2813"/>
    <w:rsid w:val="17F28EBD"/>
    <w:rsid w:val="17F40DB6"/>
    <w:rsid w:val="1801EC52"/>
    <w:rsid w:val="18048A23"/>
    <w:rsid w:val="180EE70F"/>
    <w:rsid w:val="1811391D"/>
    <w:rsid w:val="18129C90"/>
    <w:rsid w:val="181566CB"/>
    <w:rsid w:val="1818D495"/>
    <w:rsid w:val="181BA763"/>
    <w:rsid w:val="181CAD1A"/>
    <w:rsid w:val="181E1511"/>
    <w:rsid w:val="181F28D0"/>
    <w:rsid w:val="1822EA40"/>
    <w:rsid w:val="18248818"/>
    <w:rsid w:val="182A458D"/>
    <w:rsid w:val="182CD23B"/>
    <w:rsid w:val="18333645"/>
    <w:rsid w:val="183D0A94"/>
    <w:rsid w:val="183E4CEB"/>
    <w:rsid w:val="18472E4A"/>
    <w:rsid w:val="18516E67"/>
    <w:rsid w:val="185542EB"/>
    <w:rsid w:val="1858E140"/>
    <w:rsid w:val="18593F40"/>
    <w:rsid w:val="185A040C"/>
    <w:rsid w:val="185AB372"/>
    <w:rsid w:val="18628671"/>
    <w:rsid w:val="186D22A2"/>
    <w:rsid w:val="186DE3C5"/>
    <w:rsid w:val="18722756"/>
    <w:rsid w:val="1875BA14"/>
    <w:rsid w:val="188263D7"/>
    <w:rsid w:val="188464B2"/>
    <w:rsid w:val="188ACD4F"/>
    <w:rsid w:val="188B1333"/>
    <w:rsid w:val="189607EC"/>
    <w:rsid w:val="189B4167"/>
    <w:rsid w:val="189E5FBC"/>
    <w:rsid w:val="18A06B0C"/>
    <w:rsid w:val="18A280CB"/>
    <w:rsid w:val="18A365E3"/>
    <w:rsid w:val="18A92A5C"/>
    <w:rsid w:val="18AA5F4A"/>
    <w:rsid w:val="18B06182"/>
    <w:rsid w:val="18B24171"/>
    <w:rsid w:val="18B2C7C3"/>
    <w:rsid w:val="18B7236A"/>
    <w:rsid w:val="18BEECFB"/>
    <w:rsid w:val="18C2C4AA"/>
    <w:rsid w:val="18CC2AB9"/>
    <w:rsid w:val="18D2C017"/>
    <w:rsid w:val="18D476B5"/>
    <w:rsid w:val="18D50F81"/>
    <w:rsid w:val="18D6B807"/>
    <w:rsid w:val="18E0637B"/>
    <w:rsid w:val="18E2D50F"/>
    <w:rsid w:val="18E6910E"/>
    <w:rsid w:val="18E84B78"/>
    <w:rsid w:val="18EE02D5"/>
    <w:rsid w:val="18EEB09A"/>
    <w:rsid w:val="18F1D7BB"/>
    <w:rsid w:val="18F1E8AF"/>
    <w:rsid w:val="18F63F0C"/>
    <w:rsid w:val="18F737B5"/>
    <w:rsid w:val="18FB1D70"/>
    <w:rsid w:val="18FD610F"/>
    <w:rsid w:val="190314EF"/>
    <w:rsid w:val="190A0F05"/>
    <w:rsid w:val="190F09E0"/>
    <w:rsid w:val="19120750"/>
    <w:rsid w:val="1914793F"/>
    <w:rsid w:val="19179BEB"/>
    <w:rsid w:val="191BBFFC"/>
    <w:rsid w:val="192020F5"/>
    <w:rsid w:val="1922AAA5"/>
    <w:rsid w:val="1925915D"/>
    <w:rsid w:val="1925FE17"/>
    <w:rsid w:val="1935AF82"/>
    <w:rsid w:val="19379B64"/>
    <w:rsid w:val="1940272A"/>
    <w:rsid w:val="19482D1E"/>
    <w:rsid w:val="1959C748"/>
    <w:rsid w:val="195A2386"/>
    <w:rsid w:val="195B7233"/>
    <w:rsid w:val="195BD883"/>
    <w:rsid w:val="195E08AE"/>
    <w:rsid w:val="1960D05D"/>
    <w:rsid w:val="1961218C"/>
    <w:rsid w:val="1968B446"/>
    <w:rsid w:val="19698E51"/>
    <w:rsid w:val="196C7822"/>
    <w:rsid w:val="1970DDF3"/>
    <w:rsid w:val="19740A5D"/>
    <w:rsid w:val="19779E47"/>
    <w:rsid w:val="197C917C"/>
    <w:rsid w:val="197D774F"/>
    <w:rsid w:val="19833792"/>
    <w:rsid w:val="1983FA1D"/>
    <w:rsid w:val="1988FB8E"/>
    <w:rsid w:val="1989A8D9"/>
    <w:rsid w:val="19914C23"/>
    <w:rsid w:val="19977B8C"/>
    <w:rsid w:val="19997D5F"/>
    <w:rsid w:val="199C001A"/>
    <w:rsid w:val="199C6C94"/>
    <w:rsid w:val="19A17B9B"/>
    <w:rsid w:val="19AC86B5"/>
    <w:rsid w:val="19AC8C5B"/>
    <w:rsid w:val="19AD5190"/>
    <w:rsid w:val="19AEBE2C"/>
    <w:rsid w:val="19AFB0C7"/>
    <w:rsid w:val="19B378B5"/>
    <w:rsid w:val="19B43F3C"/>
    <w:rsid w:val="19B57BE4"/>
    <w:rsid w:val="19BBA0DE"/>
    <w:rsid w:val="19BC73FA"/>
    <w:rsid w:val="19BD463F"/>
    <w:rsid w:val="19BD50B9"/>
    <w:rsid w:val="19C0E17C"/>
    <w:rsid w:val="19CD4F5D"/>
    <w:rsid w:val="19CD736A"/>
    <w:rsid w:val="19CDD6C4"/>
    <w:rsid w:val="19D2D090"/>
    <w:rsid w:val="19D3B28F"/>
    <w:rsid w:val="19D8A1D1"/>
    <w:rsid w:val="19DB83C1"/>
    <w:rsid w:val="19E2F3BA"/>
    <w:rsid w:val="19E33E3B"/>
    <w:rsid w:val="19E3FCF9"/>
    <w:rsid w:val="19EF2847"/>
    <w:rsid w:val="19F41D22"/>
    <w:rsid w:val="19F50235"/>
    <w:rsid w:val="19F6EDFD"/>
    <w:rsid w:val="19FACC10"/>
    <w:rsid w:val="19FDAD58"/>
    <w:rsid w:val="1A01F23A"/>
    <w:rsid w:val="1A056ACE"/>
    <w:rsid w:val="1A1339BC"/>
    <w:rsid w:val="1A141343"/>
    <w:rsid w:val="1A1C8BEC"/>
    <w:rsid w:val="1A1F1969"/>
    <w:rsid w:val="1A2441B9"/>
    <w:rsid w:val="1A27DC40"/>
    <w:rsid w:val="1A28158E"/>
    <w:rsid w:val="1A2AF6BD"/>
    <w:rsid w:val="1A2B0ECE"/>
    <w:rsid w:val="1A2D687D"/>
    <w:rsid w:val="1A2F80E9"/>
    <w:rsid w:val="1A30B0AC"/>
    <w:rsid w:val="1A445903"/>
    <w:rsid w:val="1A471ECE"/>
    <w:rsid w:val="1A47ECEA"/>
    <w:rsid w:val="1A4AED78"/>
    <w:rsid w:val="1A54D34A"/>
    <w:rsid w:val="1A5B12CA"/>
    <w:rsid w:val="1A6BF01A"/>
    <w:rsid w:val="1A6DC75E"/>
    <w:rsid w:val="1A6E1B5A"/>
    <w:rsid w:val="1A726997"/>
    <w:rsid w:val="1A787F2C"/>
    <w:rsid w:val="1A7B981D"/>
    <w:rsid w:val="1A88509D"/>
    <w:rsid w:val="1A91FABA"/>
    <w:rsid w:val="1A963DBD"/>
    <w:rsid w:val="1A96F769"/>
    <w:rsid w:val="1A9E4D88"/>
    <w:rsid w:val="1AA50CA0"/>
    <w:rsid w:val="1AAC654E"/>
    <w:rsid w:val="1AB4EAEA"/>
    <w:rsid w:val="1AC17791"/>
    <w:rsid w:val="1AC2F81D"/>
    <w:rsid w:val="1AC30408"/>
    <w:rsid w:val="1AC401D0"/>
    <w:rsid w:val="1AC50FBF"/>
    <w:rsid w:val="1AD1E5BC"/>
    <w:rsid w:val="1AD281F3"/>
    <w:rsid w:val="1AD48233"/>
    <w:rsid w:val="1AD6E58F"/>
    <w:rsid w:val="1AD7C842"/>
    <w:rsid w:val="1AD8F37A"/>
    <w:rsid w:val="1AE47311"/>
    <w:rsid w:val="1AE7967A"/>
    <w:rsid w:val="1AEAF4BD"/>
    <w:rsid w:val="1AF09A27"/>
    <w:rsid w:val="1AF10C7D"/>
    <w:rsid w:val="1AF7387E"/>
    <w:rsid w:val="1AF88402"/>
    <w:rsid w:val="1AFAA080"/>
    <w:rsid w:val="1AFAB513"/>
    <w:rsid w:val="1AFD9A5D"/>
    <w:rsid w:val="1AFFAC44"/>
    <w:rsid w:val="1B03CE17"/>
    <w:rsid w:val="1B04C722"/>
    <w:rsid w:val="1B0874FE"/>
    <w:rsid w:val="1B09D602"/>
    <w:rsid w:val="1B0A89CE"/>
    <w:rsid w:val="1B0BB45C"/>
    <w:rsid w:val="1B0BBEAF"/>
    <w:rsid w:val="1B114AE0"/>
    <w:rsid w:val="1B128E15"/>
    <w:rsid w:val="1B16CD8D"/>
    <w:rsid w:val="1B16F850"/>
    <w:rsid w:val="1B1DE6D9"/>
    <w:rsid w:val="1B1E4399"/>
    <w:rsid w:val="1B21413F"/>
    <w:rsid w:val="1B274694"/>
    <w:rsid w:val="1B2817DB"/>
    <w:rsid w:val="1B2A4250"/>
    <w:rsid w:val="1B2AF494"/>
    <w:rsid w:val="1B33C458"/>
    <w:rsid w:val="1B3B1B7A"/>
    <w:rsid w:val="1B43FA7A"/>
    <w:rsid w:val="1B4C1EDE"/>
    <w:rsid w:val="1B52BD6F"/>
    <w:rsid w:val="1B534BC9"/>
    <w:rsid w:val="1B550920"/>
    <w:rsid w:val="1B585C82"/>
    <w:rsid w:val="1B5DA01B"/>
    <w:rsid w:val="1B5F9E73"/>
    <w:rsid w:val="1B5FA822"/>
    <w:rsid w:val="1B62282E"/>
    <w:rsid w:val="1B6446A9"/>
    <w:rsid w:val="1B688B13"/>
    <w:rsid w:val="1B6B2186"/>
    <w:rsid w:val="1B6EC678"/>
    <w:rsid w:val="1B71502E"/>
    <w:rsid w:val="1B79EDAA"/>
    <w:rsid w:val="1B7A9409"/>
    <w:rsid w:val="1B7FCFC5"/>
    <w:rsid w:val="1B873F5D"/>
    <w:rsid w:val="1B899C7B"/>
    <w:rsid w:val="1B8A33C4"/>
    <w:rsid w:val="1B8C4E54"/>
    <w:rsid w:val="1B8FB152"/>
    <w:rsid w:val="1B923550"/>
    <w:rsid w:val="1B9342EB"/>
    <w:rsid w:val="1B9E5D41"/>
    <w:rsid w:val="1BA024B6"/>
    <w:rsid w:val="1BA471C1"/>
    <w:rsid w:val="1BA868EB"/>
    <w:rsid w:val="1BAA3F25"/>
    <w:rsid w:val="1BAAC28E"/>
    <w:rsid w:val="1BB12630"/>
    <w:rsid w:val="1BBB1E5F"/>
    <w:rsid w:val="1BBB74A9"/>
    <w:rsid w:val="1BBD3837"/>
    <w:rsid w:val="1BC282BA"/>
    <w:rsid w:val="1BC51C58"/>
    <w:rsid w:val="1BC7C1EC"/>
    <w:rsid w:val="1BC9C1CF"/>
    <w:rsid w:val="1BCF0AB8"/>
    <w:rsid w:val="1BD1274F"/>
    <w:rsid w:val="1BD1A545"/>
    <w:rsid w:val="1BD5C3D8"/>
    <w:rsid w:val="1BD99C20"/>
    <w:rsid w:val="1BDA5B94"/>
    <w:rsid w:val="1BDB5543"/>
    <w:rsid w:val="1BDE07A9"/>
    <w:rsid w:val="1BE3A6B6"/>
    <w:rsid w:val="1BEBFD70"/>
    <w:rsid w:val="1BECCAEC"/>
    <w:rsid w:val="1BF4D979"/>
    <w:rsid w:val="1BF615DA"/>
    <w:rsid w:val="1BF6888E"/>
    <w:rsid w:val="1BF7729E"/>
    <w:rsid w:val="1BFAED91"/>
    <w:rsid w:val="1BFDD7B0"/>
    <w:rsid w:val="1BFEEEAF"/>
    <w:rsid w:val="1C005557"/>
    <w:rsid w:val="1C00E68D"/>
    <w:rsid w:val="1C028FDE"/>
    <w:rsid w:val="1C07BE16"/>
    <w:rsid w:val="1C0B45F1"/>
    <w:rsid w:val="1C17A469"/>
    <w:rsid w:val="1C192FDF"/>
    <w:rsid w:val="1C1D1FCB"/>
    <w:rsid w:val="1C1DA3C6"/>
    <w:rsid w:val="1C218C5E"/>
    <w:rsid w:val="1C21D91D"/>
    <w:rsid w:val="1C35874C"/>
    <w:rsid w:val="1C367555"/>
    <w:rsid w:val="1C40F611"/>
    <w:rsid w:val="1C4235D1"/>
    <w:rsid w:val="1C52B71B"/>
    <w:rsid w:val="1C54566D"/>
    <w:rsid w:val="1C54E3BE"/>
    <w:rsid w:val="1C551635"/>
    <w:rsid w:val="1C5C6F6C"/>
    <w:rsid w:val="1C638510"/>
    <w:rsid w:val="1C63C3FE"/>
    <w:rsid w:val="1C694473"/>
    <w:rsid w:val="1C6AB105"/>
    <w:rsid w:val="1C742BA5"/>
    <w:rsid w:val="1C74556E"/>
    <w:rsid w:val="1C7D3977"/>
    <w:rsid w:val="1C829FA6"/>
    <w:rsid w:val="1C8D1BE7"/>
    <w:rsid w:val="1C90FDD0"/>
    <w:rsid w:val="1C93C24C"/>
    <w:rsid w:val="1C943D25"/>
    <w:rsid w:val="1CA03168"/>
    <w:rsid w:val="1CA07799"/>
    <w:rsid w:val="1CA24C86"/>
    <w:rsid w:val="1CA2D2AA"/>
    <w:rsid w:val="1CA4193D"/>
    <w:rsid w:val="1CAD5F40"/>
    <w:rsid w:val="1CB2C794"/>
    <w:rsid w:val="1CB57C03"/>
    <w:rsid w:val="1CBCC85B"/>
    <w:rsid w:val="1CCDC9CF"/>
    <w:rsid w:val="1CD1B04D"/>
    <w:rsid w:val="1CD7DC1D"/>
    <w:rsid w:val="1CDC4D0B"/>
    <w:rsid w:val="1CDDF915"/>
    <w:rsid w:val="1CDE1882"/>
    <w:rsid w:val="1CDEDC20"/>
    <w:rsid w:val="1CDF1A2A"/>
    <w:rsid w:val="1CE25AC8"/>
    <w:rsid w:val="1CE506A6"/>
    <w:rsid w:val="1CE7A73E"/>
    <w:rsid w:val="1CE95A7D"/>
    <w:rsid w:val="1CEC51B9"/>
    <w:rsid w:val="1CF2077F"/>
    <w:rsid w:val="1CF20BD6"/>
    <w:rsid w:val="1CF46918"/>
    <w:rsid w:val="1CF57D3B"/>
    <w:rsid w:val="1CF81833"/>
    <w:rsid w:val="1CF86AFB"/>
    <w:rsid w:val="1D0B0A2C"/>
    <w:rsid w:val="1D14FD2C"/>
    <w:rsid w:val="1D15985D"/>
    <w:rsid w:val="1D19E8A7"/>
    <w:rsid w:val="1D1BF5F2"/>
    <w:rsid w:val="1D1D9D90"/>
    <w:rsid w:val="1D236330"/>
    <w:rsid w:val="1D238EB4"/>
    <w:rsid w:val="1D308F33"/>
    <w:rsid w:val="1D32ED83"/>
    <w:rsid w:val="1D46EA5E"/>
    <w:rsid w:val="1D4A2FE4"/>
    <w:rsid w:val="1D4D9216"/>
    <w:rsid w:val="1D4EF866"/>
    <w:rsid w:val="1D519A2D"/>
    <w:rsid w:val="1D55B2C0"/>
    <w:rsid w:val="1D58E368"/>
    <w:rsid w:val="1D58FE51"/>
    <w:rsid w:val="1D646480"/>
    <w:rsid w:val="1D649F33"/>
    <w:rsid w:val="1D6D6737"/>
    <w:rsid w:val="1D7A8609"/>
    <w:rsid w:val="1D7DE435"/>
    <w:rsid w:val="1D7F2010"/>
    <w:rsid w:val="1D7F3EC5"/>
    <w:rsid w:val="1D7F9B14"/>
    <w:rsid w:val="1D814ED9"/>
    <w:rsid w:val="1D9E99D5"/>
    <w:rsid w:val="1D9FE609"/>
    <w:rsid w:val="1DA5AD39"/>
    <w:rsid w:val="1DA7278A"/>
    <w:rsid w:val="1DAF55B4"/>
    <w:rsid w:val="1DB9F942"/>
    <w:rsid w:val="1DBB251F"/>
    <w:rsid w:val="1DBBF152"/>
    <w:rsid w:val="1DC4AFC8"/>
    <w:rsid w:val="1DD12A51"/>
    <w:rsid w:val="1DD33891"/>
    <w:rsid w:val="1DD7D61B"/>
    <w:rsid w:val="1DE07641"/>
    <w:rsid w:val="1DEBF509"/>
    <w:rsid w:val="1DF47B2E"/>
    <w:rsid w:val="1DF52636"/>
    <w:rsid w:val="1E10790B"/>
    <w:rsid w:val="1E18537D"/>
    <w:rsid w:val="1E1E8D44"/>
    <w:rsid w:val="1E1F421E"/>
    <w:rsid w:val="1E29ED2E"/>
    <w:rsid w:val="1E322B05"/>
    <w:rsid w:val="1E393104"/>
    <w:rsid w:val="1E3B70EA"/>
    <w:rsid w:val="1E4698D3"/>
    <w:rsid w:val="1E4A8061"/>
    <w:rsid w:val="1E50D292"/>
    <w:rsid w:val="1E553D3B"/>
    <w:rsid w:val="1E5B037A"/>
    <w:rsid w:val="1E5C465B"/>
    <w:rsid w:val="1E5C83FE"/>
    <w:rsid w:val="1E5FFA20"/>
    <w:rsid w:val="1E604666"/>
    <w:rsid w:val="1E6453AD"/>
    <w:rsid w:val="1E647A43"/>
    <w:rsid w:val="1E657705"/>
    <w:rsid w:val="1E682834"/>
    <w:rsid w:val="1E692F74"/>
    <w:rsid w:val="1E6C6284"/>
    <w:rsid w:val="1E6D5CC0"/>
    <w:rsid w:val="1E71D590"/>
    <w:rsid w:val="1E754BA3"/>
    <w:rsid w:val="1E78D3DF"/>
    <w:rsid w:val="1E867649"/>
    <w:rsid w:val="1E8743F3"/>
    <w:rsid w:val="1E8D051D"/>
    <w:rsid w:val="1E8D0C72"/>
    <w:rsid w:val="1E8D6BA2"/>
    <w:rsid w:val="1E8EF11E"/>
    <w:rsid w:val="1E8F2A9C"/>
    <w:rsid w:val="1E93994C"/>
    <w:rsid w:val="1E943A18"/>
    <w:rsid w:val="1E95F73B"/>
    <w:rsid w:val="1E9746C1"/>
    <w:rsid w:val="1E9783C8"/>
    <w:rsid w:val="1E9A4948"/>
    <w:rsid w:val="1E9B330C"/>
    <w:rsid w:val="1EAC0B2A"/>
    <w:rsid w:val="1EAD8B14"/>
    <w:rsid w:val="1EADE9D4"/>
    <w:rsid w:val="1EAECE1A"/>
    <w:rsid w:val="1EB126D5"/>
    <w:rsid w:val="1EB3C765"/>
    <w:rsid w:val="1EB76C26"/>
    <w:rsid w:val="1EBA85AF"/>
    <w:rsid w:val="1EBFD4C2"/>
    <w:rsid w:val="1EC239F0"/>
    <w:rsid w:val="1EC2A903"/>
    <w:rsid w:val="1EC92575"/>
    <w:rsid w:val="1ECBBFF5"/>
    <w:rsid w:val="1ECDF0AD"/>
    <w:rsid w:val="1ECDFA7A"/>
    <w:rsid w:val="1ED08BAC"/>
    <w:rsid w:val="1EDDC2C2"/>
    <w:rsid w:val="1EDFCF30"/>
    <w:rsid w:val="1EE170A7"/>
    <w:rsid w:val="1EE272EE"/>
    <w:rsid w:val="1EE762D4"/>
    <w:rsid w:val="1EE9D94B"/>
    <w:rsid w:val="1EEB039F"/>
    <w:rsid w:val="1EF498D1"/>
    <w:rsid w:val="1EF92F5B"/>
    <w:rsid w:val="1EFCFB50"/>
    <w:rsid w:val="1F008F2C"/>
    <w:rsid w:val="1F00EA9F"/>
    <w:rsid w:val="1F035275"/>
    <w:rsid w:val="1F088887"/>
    <w:rsid w:val="1F0A525B"/>
    <w:rsid w:val="1F0B5D31"/>
    <w:rsid w:val="1F0FDA81"/>
    <w:rsid w:val="1F14C1A4"/>
    <w:rsid w:val="1F171D2B"/>
    <w:rsid w:val="1F1A93CC"/>
    <w:rsid w:val="1F1AC75B"/>
    <w:rsid w:val="1F20147C"/>
    <w:rsid w:val="1F2D3307"/>
    <w:rsid w:val="1F37DFC0"/>
    <w:rsid w:val="1F38AD85"/>
    <w:rsid w:val="1F3CE5ED"/>
    <w:rsid w:val="1F44F478"/>
    <w:rsid w:val="1F45B2F6"/>
    <w:rsid w:val="1F5172DB"/>
    <w:rsid w:val="1F5412F3"/>
    <w:rsid w:val="1F5537E1"/>
    <w:rsid w:val="1F57725A"/>
    <w:rsid w:val="1F581694"/>
    <w:rsid w:val="1F5D01B3"/>
    <w:rsid w:val="1F6092D7"/>
    <w:rsid w:val="1F6A3EFE"/>
    <w:rsid w:val="1F6C7247"/>
    <w:rsid w:val="1F718738"/>
    <w:rsid w:val="1F74A9D8"/>
    <w:rsid w:val="1F77C84E"/>
    <w:rsid w:val="1F79A63B"/>
    <w:rsid w:val="1F7BFFB4"/>
    <w:rsid w:val="1F86542E"/>
    <w:rsid w:val="1F91E62B"/>
    <w:rsid w:val="1FA7790D"/>
    <w:rsid w:val="1FA7A7CF"/>
    <w:rsid w:val="1FAC73C1"/>
    <w:rsid w:val="1FB1CBF0"/>
    <w:rsid w:val="1FB9D114"/>
    <w:rsid w:val="1FC344FC"/>
    <w:rsid w:val="1FCC2690"/>
    <w:rsid w:val="1FCDA49C"/>
    <w:rsid w:val="1FCE5448"/>
    <w:rsid w:val="1FCFB7D5"/>
    <w:rsid w:val="1FD434E5"/>
    <w:rsid w:val="1FD8C39C"/>
    <w:rsid w:val="1FD8EA78"/>
    <w:rsid w:val="1FDF61E8"/>
    <w:rsid w:val="1FE393D4"/>
    <w:rsid w:val="1FE4D077"/>
    <w:rsid w:val="1FE5E29E"/>
    <w:rsid w:val="1FE655F3"/>
    <w:rsid w:val="1FE73D82"/>
    <w:rsid w:val="1FF0FA41"/>
    <w:rsid w:val="1FF16578"/>
    <w:rsid w:val="1FFAF10A"/>
    <w:rsid w:val="20047AAC"/>
    <w:rsid w:val="2006EF9D"/>
    <w:rsid w:val="20075CB1"/>
    <w:rsid w:val="200B2420"/>
    <w:rsid w:val="200BAF93"/>
    <w:rsid w:val="200E703A"/>
    <w:rsid w:val="20128AFF"/>
    <w:rsid w:val="2012F7FB"/>
    <w:rsid w:val="20176C0A"/>
    <w:rsid w:val="20192E60"/>
    <w:rsid w:val="202039B7"/>
    <w:rsid w:val="2023ACE6"/>
    <w:rsid w:val="202B9545"/>
    <w:rsid w:val="202FE7AE"/>
    <w:rsid w:val="20339B7A"/>
    <w:rsid w:val="20395102"/>
    <w:rsid w:val="203BB5C2"/>
    <w:rsid w:val="20445126"/>
    <w:rsid w:val="2045C01D"/>
    <w:rsid w:val="2047F13D"/>
    <w:rsid w:val="204FF5B5"/>
    <w:rsid w:val="20529112"/>
    <w:rsid w:val="205B3081"/>
    <w:rsid w:val="205E13D0"/>
    <w:rsid w:val="205EB84A"/>
    <w:rsid w:val="20604997"/>
    <w:rsid w:val="2061134E"/>
    <w:rsid w:val="20615404"/>
    <w:rsid w:val="206B75BA"/>
    <w:rsid w:val="206DCF04"/>
    <w:rsid w:val="20725E36"/>
    <w:rsid w:val="207FC797"/>
    <w:rsid w:val="20808DD3"/>
    <w:rsid w:val="208639CA"/>
    <w:rsid w:val="2087E3FA"/>
    <w:rsid w:val="208D0BB6"/>
    <w:rsid w:val="2093244F"/>
    <w:rsid w:val="2093E9B9"/>
    <w:rsid w:val="2098ED92"/>
    <w:rsid w:val="209AE9BD"/>
    <w:rsid w:val="209B5973"/>
    <w:rsid w:val="20A9291E"/>
    <w:rsid w:val="20A9FD00"/>
    <w:rsid w:val="20AA3B7E"/>
    <w:rsid w:val="20BADFE1"/>
    <w:rsid w:val="20BFE124"/>
    <w:rsid w:val="20C0C44F"/>
    <w:rsid w:val="20C19060"/>
    <w:rsid w:val="20C1F7FE"/>
    <w:rsid w:val="20C21C69"/>
    <w:rsid w:val="20C30BAB"/>
    <w:rsid w:val="20C6C04B"/>
    <w:rsid w:val="20CA9536"/>
    <w:rsid w:val="20D20273"/>
    <w:rsid w:val="20D3868D"/>
    <w:rsid w:val="20DCD19D"/>
    <w:rsid w:val="20E0D638"/>
    <w:rsid w:val="20EC7A48"/>
    <w:rsid w:val="20EE349F"/>
    <w:rsid w:val="20F49111"/>
    <w:rsid w:val="20FB0B10"/>
    <w:rsid w:val="20FDC3E6"/>
    <w:rsid w:val="2100FC7E"/>
    <w:rsid w:val="21030FFF"/>
    <w:rsid w:val="210B7826"/>
    <w:rsid w:val="210BE953"/>
    <w:rsid w:val="210DB4F5"/>
    <w:rsid w:val="210E12DB"/>
    <w:rsid w:val="21109DBC"/>
    <w:rsid w:val="2116CA70"/>
    <w:rsid w:val="2119732C"/>
    <w:rsid w:val="211DE04B"/>
    <w:rsid w:val="21275F81"/>
    <w:rsid w:val="21277164"/>
    <w:rsid w:val="2127DCAB"/>
    <w:rsid w:val="2128951D"/>
    <w:rsid w:val="2129DC9B"/>
    <w:rsid w:val="212A9828"/>
    <w:rsid w:val="212F7079"/>
    <w:rsid w:val="2131FD36"/>
    <w:rsid w:val="213758D1"/>
    <w:rsid w:val="2140D0A0"/>
    <w:rsid w:val="21433149"/>
    <w:rsid w:val="2143B037"/>
    <w:rsid w:val="21444A78"/>
    <w:rsid w:val="215198D7"/>
    <w:rsid w:val="2152D9CC"/>
    <w:rsid w:val="215426C6"/>
    <w:rsid w:val="21593CEE"/>
    <w:rsid w:val="21601734"/>
    <w:rsid w:val="216B0049"/>
    <w:rsid w:val="21713515"/>
    <w:rsid w:val="217E9BB9"/>
    <w:rsid w:val="218FFAAB"/>
    <w:rsid w:val="2190E5D8"/>
    <w:rsid w:val="21946320"/>
    <w:rsid w:val="2194B7DA"/>
    <w:rsid w:val="21996C16"/>
    <w:rsid w:val="2199C335"/>
    <w:rsid w:val="219A3F24"/>
    <w:rsid w:val="219A68A2"/>
    <w:rsid w:val="21ABF4CD"/>
    <w:rsid w:val="21AC577D"/>
    <w:rsid w:val="21AC6A71"/>
    <w:rsid w:val="21C378C6"/>
    <w:rsid w:val="21C4AC91"/>
    <w:rsid w:val="21CB63F6"/>
    <w:rsid w:val="21D7C3E0"/>
    <w:rsid w:val="21DA7B35"/>
    <w:rsid w:val="21DB59F4"/>
    <w:rsid w:val="21DDA298"/>
    <w:rsid w:val="21E0ED84"/>
    <w:rsid w:val="21E3A216"/>
    <w:rsid w:val="21E8974E"/>
    <w:rsid w:val="21F088C8"/>
    <w:rsid w:val="21F3D795"/>
    <w:rsid w:val="21F57163"/>
    <w:rsid w:val="21F6A110"/>
    <w:rsid w:val="21F8961C"/>
    <w:rsid w:val="21FBF62B"/>
    <w:rsid w:val="22007316"/>
    <w:rsid w:val="22027C92"/>
    <w:rsid w:val="2205038C"/>
    <w:rsid w:val="2205D209"/>
    <w:rsid w:val="220F5094"/>
    <w:rsid w:val="22168C3C"/>
    <w:rsid w:val="22184DE8"/>
    <w:rsid w:val="221C3625"/>
    <w:rsid w:val="221CEAB6"/>
    <w:rsid w:val="2221F37C"/>
    <w:rsid w:val="22230DE8"/>
    <w:rsid w:val="2228EBE3"/>
    <w:rsid w:val="2233606E"/>
    <w:rsid w:val="223472C6"/>
    <w:rsid w:val="22392C0D"/>
    <w:rsid w:val="223F8E78"/>
    <w:rsid w:val="2246FB0E"/>
    <w:rsid w:val="22495C0B"/>
    <w:rsid w:val="224A393D"/>
    <w:rsid w:val="2250971F"/>
    <w:rsid w:val="22546450"/>
    <w:rsid w:val="2256CC88"/>
    <w:rsid w:val="225B5F80"/>
    <w:rsid w:val="225F1265"/>
    <w:rsid w:val="2261D0F0"/>
    <w:rsid w:val="2262EFD6"/>
    <w:rsid w:val="22652196"/>
    <w:rsid w:val="22652237"/>
    <w:rsid w:val="2265E71D"/>
    <w:rsid w:val="22734112"/>
    <w:rsid w:val="227438DB"/>
    <w:rsid w:val="228F5D3A"/>
    <w:rsid w:val="2291A81C"/>
    <w:rsid w:val="22933638"/>
    <w:rsid w:val="2298F601"/>
    <w:rsid w:val="229BB2E5"/>
    <w:rsid w:val="22A0D63A"/>
    <w:rsid w:val="22A42A21"/>
    <w:rsid w:val="22A49463"/>
    <w:rsid w:val="22A84B47"/>
    <w:rsid w:val="22A9854C"/>
    <w:rsid w:val="22AF3C8C"/>
    <w:rsid w:val="22B7047A"/>
    <w:rsid w:val="22B830BE"/>
    <w:rsid w:val="22BB520E"/>
    <w:rsid w:val="22BEDD8D"/>
    <w:rsid w:val="22C6A5E4"/>
    <w:rsid w:val="22C787CD"/>
    <w:rsid w:val="22D17368"/>
    <w:rsid w:val="22D3187C"/>
    <w:rsid w:val="22D7491E"/>
    <w:rsid w:val="22D87E6E"/>
    <w:rsid w:val="22D9AE96"/>
    <w:rsid w:val="22DD5046"/>
    <w:rsid w:val="22DE2FE8"/>
    <w:rsid w:val="22E4C741"/>
    <w:rsid w:val="22E58A08"/>
    <w:rsid w:val="22E6E0ED"/>
    <w:rsid w:val="22ECD108"/>
    <w:rsid w:val="22EE4723"/>
    <w:rsid w:val="22F05856"/>
    <w:rsid w:val="22F1042B"/>
    <w:rsid w:val="22F495E6"/>
    <w:rsid w:val="22F4A202"/>
    <w:rsid w:val="22F54973"/>
    <w:rsid w:val="22FA7BC7"/>
    <w:rsid w:val="22FCAD93"/>
    <w:rsid w:val="22FFCA4A"/>
    <w:rsid w:val="231224C9"/>
    <w:rsid w:val="2312B0BD"/>
    <w:rsid w:val="23141ED0"/>
    <w:rsid w:val="23194D6C"/>
    <w:rsid w:val="231BADD3"/>
    <w:rsid w:val="2320DD7B"/>
    <w:rsid w:val="2323E337"/>
    <w:rsid w:val="232544C1"/>
    <w:rsid w:val="2326B4CC"/>
    <w:rsid w:val="232A63B3"/>
    <w:rsid w:val="232A87D3"/>
    <w:rsid w:val="232AA077"/>
    <w:rsid w:val="232AEF2B"/>
    <w:rsid w:val="232BA4DC"/>
    <w:rsid w:val="232CC324"/>
    <w:rsid w:val="232CDE47"/>
    <w:rsid w:val="2331B489"/>
    <w:rsid w:val="23325662"/>
    <w:rsid w:val="233BECF6"/>
    <w:rsid w:val="234161E3"/>
    <w:rsid w:val="23447ABB"/>
    <w:rsid w:val="2347EE11"/>
    <w:rsid w:val="234A4D49"/>
    <w:rsid w:val="234A57CF"/>
    <w:rsid w:val="234BDB85"/>
    <w:rsid w:val="234CC4D2"/>
    <w:rsid w:val="2357466B"/>
    <w:rsid w:val="23613C4F"/>
    <w:rsid w:val="236A81B9"/>
    <w:rsid w:val="2372709C"/>
    <w:rsid w:val="2372A184"/>
    <w:rsid w:val="23780542"/>
    <w:rsid w:val="237F489C"/>
    <w:rsid w:val="23804486"/>
    <w:rsid w:val="2382CF9E"/>
    <w:rsid w:val="23832AF3"/>
    <w:rsid w:val="23896128"/>
    <w:rsid w:val="238B3DE1"/>
    <w:rsid w:val="2391C059"/>
    <w:rsid w:val="2391F882"/>
    <w:rsid w:val="23925EF4"/>
    <w:rsid w:val="2395EB27"/>
    <w:rsid w:val="23973D7D"/>
    <w:rsid w:val="2399BE1A"/>
    <w:rsid w:val="239BEFC8"/>
    <w:rsid w:val="239CE578"/>
    <w:rsid w:val="239E5D83"/>
    <w:rsid w:val="23A05EE0"/>
    <w:rsid w:val="23A3F6A9"/>
    <w:rsid w:val="23A82DB4"/>
    <w:rsid w:val="23AC8A0F"/>
    <w:rsid w:val="23AD401F"/>
    <w:rsid w:val="23AEAA48"/>
    <w:rsid w:val="23B0C2FE"/>
    <w:rsid w:val="23B53B18"/>
    <w:rsid w:val="23BA19EC"/>
    <w:rsid w:val="23BC60DB"/>
    <w:rsid w:val="23C3D24A"/>
    <w:rsid w:val="23C66053"/>
    <w:rsid w:val="23C7E64D"/>
    <w:rsid w:val="23C8C58C"/>
    <w:rsid w:val="23D06B54"/>
    <w:rsid w:val="23D15EF0"/>
    <w:rsid w:val="23D177E4"/>
    <w:rsid w:val="23D73517"/>
    <w:rsid w:val="23DB47F7"/>
    <w:rsid w:val="23DB7C6B"/>
    <w:rsid w:val="23DEBB19"/>
    <w:rsid w:val="23E9AD77"/>
    <w:rsid w:val="23EED554"/>
    <w:rsid w:val="23F33C2C"/>
    <w:rsid w:val="23F36420"/>
    <w:rsid w:val="23F511F3"/>
    <w:rsid w:val="23F62C46"/>
    <w:rsid w:val="23FB7668"/>
    <w:rsid w:val="2409CBE3"/>
    <w:rsid w:val="240E6697"/>
    <w:rsid w:val="2410250B"/>
    <w:rsid w:val="2412B70F"/>
    <w:rsid w:val="24139791"/>
    <w:rsid w:val="241463F0"/>
    <w:rsid w:val="241AA5C5"/>
    <w:rsid w:val="24225075"/>
    <w:rsid w:val="2422E660"/>
    <w:rsid w:val="24280AEF"/>
    <w:rsid w:val="242AC674"/>
    <w:rsid w:val="242CD2AD"/>
    <w:rsid w:val="243C937C"/>
    <w:rsid w:val="2441134E"/>
    <w:rsid w:val="244162DE"/>
    <w:rsid w:val="244222E4"/>
    <w:rsid w:val="2446FD74"/>
    <w:rsid w:val="24496090"/>
    <w:rsid w:val="244C5DE3"/>
    <w:rsid w:val="24530505"/>
    <w:rsid w:val="2457C0E9"/>
    <w:rsid w:val="2460CA18"/>
    <w:rsid w:val="2464CA69"/>
    <w:rsid w:val="2468025B"/>
    <w:rsid w:val="246DD3AC"/>
    <w:rsid w:val="2472AB29"/>
    <w:rsid w:val="2476B898"/>
    <w:rsid w:val="247D4FC7"/>
    <w:rsid w:val="24884EC9"/>
    <w:rsid w:val="248FC2CC"/>
    <w:rsid w:val="2490FBB4"/>
    <w:rsid w:val="249336F2"/>
    <w:rsid w:val="2497ABB6"/>
    <w:rsid w:val="2499709F"/>
    <w:rsid w:val="249D59AB"/>
    <w:rsid w:val="249DE87E"/>
    <w:rsid w:val="249E85B3"/>
    <w:rsid w:val="249FF44F"/>
    <w:rsid w:val="24A685BC"/>
    <w:rsid w:val="24A83389"/>
    <w:rsid w:val="24B3650A"/>
    <w:rsid w:val="24B399FB"/>
    <w:rsid w:val="24BD81C8"/>
    <w:rsid w:val="24BF6885"/>
    <w:rsid w:val="24C0B143"/>
    <w:rsid w:val="24C270EB"/>
    <w:rsid w:val="24C35B27"/>
    <w:rsid w:val="24CB4C64"/>
    <w:rsid w:val="24D12F0B"/>
    <w:rsid w:val="24D16B0E"/>
    <w:rsid w:val="24D5C0E2"/>
    <w:rsid w:val="24DED177"/>
    <w:rsid w:val="24E19688"/>
    <w:rsid w:val="24E2A50B"/>
    <w:rsid w:val="24E3925A"/>
    <w:rsid w:val="24E47A4E"/>
    <w:rsid w:val="24E85282"/>
    <w:rsid w:val="24EFEBDA"/>
    <w:rsid w:val="24F59A56"/>
    <w:rsid w:val="24F5E600"/>
    <w:rsid w:val="24F75959"/>
    <w:rsid w:val="24F8E3E8"/>
    <w:rsid w:val="250249C8"/>
    <w:rsid w:val="2506AD47"/>
    <w:rsid w:val="2512154D"/>
    <w:rsid w:val="2512AD27"/>
    <w:rsid w:val="2517D007"/>
    <w:rsid w:val="251B1992"/>
    <w:rsid w:val="251BFC1A"/>
    <w:rsid w:val="25265765"/>
    <w:rsid w:val="252A4AD4"/>
    <w:rsid w:val="25355504"/>
    <w:rsid w:val="2545101C"/>
    <w:rsid w:val="254AE52D"/>
    <w:rsid w:val="25508489"/>
    <w:rsid w:val="2550C0F6"/>
    <w:rsid w:val="255E73E3"/>
    <w:rsid w:val="2561856C"/>
    <w:rsid w:val="256346D9"/>
    <w:rsid w:val="256435B0"/>
    <w:rsid w:val="256E98D0"/>
    <w:rsid w:val="256E9B99"/>
    <w:rsid w:val="257E80B2"/>
    <w:rsid w:val="257ECC43"/>
    <w:rsid w:val="2584F87D"/>
    <w:rsid w:val="25869943"/>
    <w:rsid w:val="25873D00"/>
    <w:rsid w:val="258AAFFC"/>
    <w:rsid w:val="258E99B0"/>
    <w:rsid w:val="259238D6"/>
    <w:rsid w:val="2596E7A1"/>
    <w:rsid w:val="25977497"/>
    <w:rsid w:val="259F7419"/>
    <w:rsid w:val="25A1AF73"/>
    <w:rsid w:val="25A595CC"/>
    <w:rsid w:val="25AD3B28"/>
    <w:rsid w:val="25B1EDC1"/>
    <w:rsid w:val="25B7196B"/>
    <w:rsid w:val="25B87F29"/>
    <w:rsid w:val="25B9BCF0"/>
    <w:rsid w:val="25BB04E6"/>
    <w:rsid w:val="25BB40F2"/>
    <w:rsid w:val="25C49302"/>
    <w:rsid w:val="25D3F249"/>
    <w:rsid w:val="25D6D168"/>
    <w:rsid w:val="25D84C0B"/>
    <w:rsid w:val="25D875EC"/>
    <w:rsid w:val="25E06C86"/>
    <w:rsid w:val="25E7FB99"/>
    <w:rsid w:val="25EB3DF2"/>
    <w:rsid w:val="25EBDCD1"/>
    <w:rsid w:val="25EE147C"/>
    <w:rsid w:val="25EF56BF"/>
    <w:rsid w:val="25F3042B"/>
    <w:rsid w:val="25F31564"/>
    <w:rsid w:val="25FEB496"/>
    <w:rsid w:val="260248F6"/>
    <w:rsid w:val="2602F180"/>
    <w:rsid w:val="26067D17"/>
    <w:rsid w:val="2614371E"/>
    <w:rsid w:val="261B92B6"/>
    <w:rsid w:val="26237D4B"/>
    <w:rsid w:val="2627289F"/>
    <w:rsid w:val="262739D2"/>
    <w:rsid w:val="262E767E"/>
    <w:rsid w:val="262F03A9"/>
    <w:rsid w:val="263437F1"/>
    <w:rsid w:val="263437FA"/>
    <w:rsid w:val="26362AE7"/>
    <w:rsid w:val="26367239"/>
    <w:rsid w:val="26369681"/>
    <w:rsid w:val="2637841C"/>
    <w:rsid w:val="2645F48B"/>
    <w:rsid w:val="264A2ADC"/>
    <w:rsid w:val="264D6025"/>
    <w:rsid w:val="26500789"/>
    <w:rsid w:val="265779D5"/>
    <w:rsid w:val="265B7FDE"/>
    <w:rsid w:val="265D7C02"/>
    <w:rsid w:val="266B7193"/>
    <w:rsid w:val="266CAEF2"/>
    <w:rsid w:val="267743BB"/>
    <w:rsid w:val="2684E4E0"/>
    <w:rsid w:val="2685919B"/>
    <w:rsid w:val="268B416F"/>
    <w:rsid w:val="26917905"/>
    <w:rsid w:val="2699A45A"/>
    <w:rsid w:val="269A6BD7"/>
    <w:rsid w:val="269CFF4C"/>
    <w:rsid w:val="26A02D4A"/>
    <w:rsid w:val="26A17753"/>
    <w:rsid w:val="26A44C36"/>
    <w:rsid w:val="26B8A93A"/>
    <w:rsid w:val="26BDECDA"/>
    <w:rsid w:val="26BF0AD8"/>
    <w:rsid w:val="26C656DB"/>
    <w:rsid w:val="26CB91DB"/>
    <w:rsid w:val="26CF5BEC"/>
    <w:rsid w:val="26D0A53D"/>
    <w:rsid w:val="26D4E0F1"/>
    <w:rsid w:val="26D54C94"/>
    <w:rsid w:val="26D62E48"/>
    <w:rsid w:val="26DAD832"/>
    <w:rsid w:val="26DC13EE"/>
    <w:rsid w:val="26E14321"/>
    <w:rsid w:val="26E1D3D6"/>
    <w:rsid w:val="26E32407"/>
    <w:rsid w:val="26E491D9"/>
    <w:rsid w:val="26E4C13F"/>
    <w:rsid w:val="26E51AC0"/>
    <w:rsid w:val="26F11C8B"/>
    <w:rsid w:val="26FD9A24"/>
    <w:rsid w:val="27026750"/>
    <w:rsid w:val="2702A3BB"/>
    <w:rsid w:val="270D42C5"/>
    <w:rsid w:val="270E0947"/>
    <w:rsid w:val="270E3635"/>
    <w:rsid w:val="270F9914"/>
    <w:rsid w:val="2712509A"/>
    <w:rsid w:val="2716B0B8"/>
    <w:rsid w:val="2717C4BF"/>
    <w:rsid w:val="271ACA1B"/>
    <w:rsid w:val="271E6B87"/>
    <w:rsid w:val="2724AE8C"/>
    <w:rsid w:val="272EA641"/>
    <w:rsid w:val="2734D085"/>
    <w:rsid w:val="27377C3E"/>
    <w:rsid w:val="2747E1E5"/>
    <w:rsid w:val="2748D51E"/>
    <w:rsid w:val="274B4AFB"/>
    <w:rsid w:val="274C8E35"/>
    <w:rsid w:val="274CC82C"/>
    <w:rsid w:val="274CD575"/>
    <w:rsid w:val="27516CEC"/>
    <w:rsid w:val="27553A6E"/>
    <w:rsid w:val="2755DA70"/>
    <w:rsid w:val="275C7212"/>
    <w:rsid w:val="27612EB1"/>
    <w:rsid w:val="27660D04"/>
    <w:rsid w:val="27695900"/>
    <w:rsid w:val="2772366C"/>
    <w:rsid w:val="27769FBD"/>
    <w:rsid w:val="277B65B3"/>
    <w:rsid w:val="2795D141"/>
    <w:rsid w:val="2799E423"/>
    <w:rsid w:val="279A19C9"/>
    <w:rsid w:val="27A21289"/>
    <w:rsid w:val="27A3C7F5"/>
    <w:rsid w:val="27AB5DF1"/>
    <w:rsid w:val="27B9F6DF"/>
    <w:rsid w:val="27BBA5A9"/>
    <w:rsid w:val="27C7CC9E"/>
    <w:rsid w:val="27C84F77"/>
    <w:rsid w:val="27CDF023"/>
    <w:rsid w:val="27CEAC7B"/>
    <w:rsid w:val="27D15858"/>
    <w:rsid w:val="27D27E3F"/>
    <w:rsid w:val="27D4FF52"/>
    <w:rsid w:val="27D8AE7D"/>
    <w:rsid w:val="27D8CF96"/>
    <w:rsid w:val="27DC4F8D"/>
    <w:rsid w:val="27DE0C90"/>
    <w:rsid w:val="27E1DB45"/>
    <w:rsid w:val="27E3E5D9"/>
    <w:rsid w:val="27E41CC8"/>
    <w:rsid w:val="27E53C74"/>
    <w:rsid w:val="27EA44A8"/>
    <w:rsid w:val="27EE911A"/>
    <w:rsid w:val="27EF0BD0"/>
    <w:rsid w:val="27F6CEB4"/>
    <w:rsid w:val="27FAA765"/>
    <w:rsid w:val="2802B3F6"/>
    <w:rsid w:val="28036BD6"/>
    <w:rsid w:val="280CCEA6"/>
    <w:rsid w:val="281678C5"/>
    <w:rsid w:val="28185B8F"/>
    <w:rsid w:val="281A7AF3"/>
    <w:rsid w:val="2820C895"/>
    <w:rsid w:val="2821CDA6"/>
    <w:rsid w:val="2826C881"/>
    <w:rsid w:val="2826F8C2"/>
    <w:rsid w:val="2834DE87"/>
    <w:rsid w:val="2835AB89"/>
    <w:rsid w:val="28389233"/>
    <w:rsid w:val="283DFBA7"/>
    <w:rsid w:val="284373EB"/>
    <w:rsid w:val="2856E79F"/>
    <w:rsid w:val="285CADD7"/>
    <w:rsid w:val="285D6923"/>
    <w:rsid w:val="2860BC05"/>
    <w:rsid w:val="2864C011"/>
    <w:rsid w:val="2864D340"/>
    <w:rsid w:val="286EF6EE"/>
    <w:rsid w:val="28788FFF"/>
    <w:rsid w:val="2878E77E"/>
    <w:rsid w:val="287981B1"/>
    <w:rsid w:val="287CC743"/>
    <w:rsid w:val="2880F45F"/>
    <w:rsid w:val="28816D5B"/>
    <w:rsid w:val="28897622"/>
    <w:rsid w:val="288988C4"/>
    <w:rsid w:val="288ADD38"/>
    <w:rsid w:val="288AEDFD"/>
    <w:rsid w:val="288C720A"/>
    <w:rsid w:val="2890AA56"/>
    <w:rsid w:val="289105A3"/>
    <w:rsid w:val="2897AA1F"/>
    <w:rsid w:val="289817DC"/>
    <w:rsid w:val="28991C94"/>
    <w:rsid w:val="28A91060"/>
    <w:rsid w:val="28B9DC23"/>
    <w:rsid w:val="28C0CDB0"/>
    <w:rsid w:val="28C1A342"/>
    <w:rsid w:val="28C2DAC5"/>
    <w:rsid w:val="28CCF428"/>
    <w:rsid w:val="28E72CDA"/>
    <w:rsid w:val="28F48A91"/>
    <w:rsid w:val="28F60375"/>
    <w:rsid w:val="28F67869"/>
    <w:rsid w:val="28F68988"/>
    <w:rsid w:val="290161CB"/>
    <w:rsid w:val="2902C2BD"/>
    <w:rsid w:val="2902F7DC"/>
    <w:rsid w:val="2904F768"/>
    <w:rsid w:val="29071F8D"/>
    <w:rsid w:val="29082E55"/>
    <w:rsid w:val="2918FE55"/>
    <w:rsid w:val="291D4A86"/>
    <w:rsid w:val="291F1536"/>
    <w:rsid w:val="291F91A7"/>
    <w:rsid w:val="29293D76"/>
    <w:rsid w:val="292D4566"/>
    <w:rsid w:val="293692DE"/>
    <w:rsid w:val="293C34C0"/>
    <w:rsid w:val="294DE5E8"/>
    <w:rsid w:val="29560F6E"/>
    <w:rsid w:val="29571B7E"/>
    <w:rsid w:val="296022F1"/>
    <w:rsid w:val="29691760"/>
    <w:rsid w:val="29691D83"/>
    <w:rsid w:val="296B051D"/>
    <w:rsid w:val="296C877C"/>
    <w:rsid w:val="296FE5DB"/>
    <w:rsid w:val="2972425C"/>
    <w:rsid w:val="2972D632"/>
    <w:rsid w:val="2974328B"/>
    <w:rsid w:val="297544CB"/>
    <w:rsid w:val="29776F76"/>
    <w:rsid w:val="297A81F6"/>
    <w:rsid w:val="297BDD08"/>
    <w:rsid w:val="297E9D2E"/>
    <w:rsid w:val="297FAE36"/>
    <w:rsid w:val="2981B05E"/>
    <w:rsid w:val="2983CED0"/>
    <w:rsid w:val="29853A1B"/>
    <w:rsid w:val="2988D108"/>
    <w:rsid w:val="2989A537"/>
    <w:rsid w:val="29928073"/>
    <w:rsid w:val="299408D8"/>
    <w:rsid w:val="29973879"/>
    <w:rsid w:val="299D4765"/>
    <w:rsid w:val="29A3E5CF"/>
    <w:rsid w:val="29A58F6C"/>
    <w:rsid w:val="29ABFBE8"/>
    <w:rsid w:val="29ACCB53"/>
    <w:rsid w:val="29AEC05D"/>
    <w:rsid w:val="29B64AD8"/>
    <w:rsid w:val="29B7B869"/>
    <w:rsid w:val="29BDB7AD"/>
    <w:rsid w:val="29BF3296"/>
    <w:rsid w:val="29C08009"/>
    <w:rsid w:val="29C1E037"/>
    <w:rsid w:val="29C2A8B9"/>
    <w:rsid w:val="29C33D4E"/>
    <w:rsid w:val="29C7AF12"/>
    <w:rsid w:val="29CAB9CA"/>
    <w:rsid w:val="29CD9F67"/>
    <w:rsid w:val="29D60808"/>
    <w:rsid w:val="29D7D02D"/>
    <w:rsid w:val="29D8C54E"/>
    <w:rsid w:val="29E274DA"/>
    <w:rsid w:val="29E495B8"/>
    <w:rsid w:val="29EA11EA"/>
    <w:rsid w:val="29EB0DE8"/>
    <w:rsid w:val="29EE79C9"/>
    <w:rsid w:val="29EED487"/>
    <w:rsid w:val="29F1772C"/>
    <w:rsid w:val="29F304B7"/>
    <w:rsid w:val="29F6DCDE"/>
    <w:rsid w:val="2A04F8CF"/>
    <w:rsid w:val="2A06A222"/>
    <w:rsid w:val="2A08A8B4"/>
    <w:rsid w:val="2A0A13EB"/>
    <w:rsid w:val="2A0D8A82"/>
    <w:rsid w:val="2A149CF8"/>
    <w:rsid w:val="2A17FB85"/>
    <w:rsid w:val="2A1B0F46"/>
    <w:rsid w:val="2A2094B4"/>
    <w:rsid w:val="2A26FA04"/>
    <w:rsid w:val="2A274FDC"/>
    <w:rsid w:val="2A32AD89"/>
    <w:rsid w:val="2A40AF41"/>
    <w:rsid w:val="2A447073"/>
    <w:rsid w:val="2A478038"/>
    <w:rsid w:val="2A4DAEE8"/>
    <w:rsid w:val="2A50A14F"/>
    <w:rsid w:val="2A54E0E5"/>
    <w:rsid w:val="2A5EBADA"/>
    <w:rsid w:val="2A634F8F"/>
    <w:rsid w:val="2A65122C"/>
    <w:rsid w:val="2A656603"/>
    <w:rsid w:val="2A671FB1"/>
    <w:rsid w:val="2A6DD48D"/>
    <w:rsid w:val="2A768ECE"/>
    <w:rsid w:val="2A77D081"/>
    <w:rsid w:val="2A798CDA"/>
    <w:rsid w:val="2A79BC52"/>
    <w:rsid w:val="2A7ED15E"/>
    <w:rsid w:val="2A81FD21"/>
    <w:rsid w:val="2A847AEC"/>
    <w:rsid w:val="2A8BC4B8"/>
    <w:rsid w:val="2A917C16"/>
    <w:rsid w:val="2A932F24"/>
    <w:rsid w:val="2A980480"/>
    <w:rsid w:val="2A991B4A"/>
    <w:rsid w:val="2A9AC473"/>
    <w:rsid w:val="2A9AD307"/>
    <w:rsid w:val="2A9DA963"/>
    <w:rsid w:val="2AA1E595"/>
    <w:rsid w:val="2AA39453"/>
    <w:rsid w:val="2AA47330"/>
    <w:rsid w:val="2AA66FDF"/>
    <w:rsid w:val="2AA68DE8"/>
    <w:rsid w:val="2AA7BB8E"/>
    <w:rsid w:val="2AA8D766"/>
    <w:rsid w:val="2AB7E1EC"/>
    <w:rsid w:val="2AB877FF"/>
    <w:rsid w:val="2ABAE375"/>
    <w:rsid w:val="2ABE95BC"/>
    <w:rsid w:val="2ABF43CE"/>
    <w:rsid w:val="2AC10D91"/>
    <w:rsid w:val="2AC37DCD"/>
    <w:rsid w:val="2AC388F6"/>
    <w:rsid w:val="2AC93071"/>
    <w:rsid w:val="2ACB3399"/>
    <w:rsid w:val="2ADE56D3"/>
    <w:rsid w:val="2AE345E9"/>
    <w:rsid w:val="2AE6E7C4"/>
    <w:rsid w:val="2AE778F2"/>
    <w:rsid w:val="2AE865F6"/>
    <w:rsid w:val="2AE993F3"/>
    <w:rsid w:val="2AE9A8EE"/>
    <w:rsid w:val="2AEA36E1"/>
    <w:rsid w:val="2AEDA28C"/>
    <w:rsid w:val="2AFBE7E2"/>
    <w:rsid w:val="2B039C9B"/>
    <w:rsid w:val="2B04845D"/>
    <w:rsid w:val="2B0C567B"/>
    <w:rsid w:val="2B1303AC"/>
    <w:rsid w:val="2B1A0828"/>
    <w:rsid w:val="2B1A8A1E"/>
    <w:rsid w:val="2B1C9483"/>
    <w:rsid w:val="2B1D69F6"/>
    <w:rsid w:val="2B2500F4"/>
    <w:rsid w:val="2B25AFBC"/>
    <w:rsid w:val="2B269B7B"/>
    <w:rsid w:val="2B2CF855"/>
    <w:rsid w:val="2B2D5144"/>
    <w:rsid w:val="2B32B776"/>
    <w:rsid w:val="2B37C67F"/>
    <w:rsid w:val="2B3B9FAF"/>
    <w:rsid w:val="2B3BFD5B"/>
    <w:rsid w:val="2B3FD214"/>
    <w:rsid w:val="2B45B5B4"/>
    <w:rsid w:val="2B4D9090"/>
    <w:rsid w:val="2B56125C"/>
    <w:rsid w:val="2B58DB22"/>
    <w:rsid w:val="2B59F219"/>
    <w:rsid w:val="2B5E2F98"/>
    <w:rsid w:val="2B60DE4B"/>
    <w:rsid w:val="2B6ECE3B"/>
    <w:rsid w:val="2B7156F1"/>
    <w:rsid w:val="2B72CBEF"/>
    <w:rsid w:val="2B730BCE"/>
    <w:rsid w:val="2B792BF7"/>
    <w:rsid w:val="2B80B763"/>
    <w:rsid w:val="2B8426C1"/>
    <w:rsid w:val="2B882D2C"/>
    <w:rsid w:val="2B8B3DF5"/>
    <w:rsid w:val="2B93E290"/>
    <w:rsid w:val="2B97508E"/>
    <w:rsid w:val="2B9CF31F"/>
    <w:rsid w:val="2B9DCE94"/>
    <w:rsid w:val="2B9EB4A0"/>
    <w:rsid w:val="2BB2914B"/>
    <w:rsid w:val="2BB862D3"/>
    <w:rsid w:val="2BBDD35D"/>
    <w:rsid w:val="2BC34F71"/>
    <w:rsid w:val="2BCB5FFF"/>
    <w:rsid w:val="2BCC1FAC"/>
    <w:rsid w:val="2BD42C98"/>
    <w:rsid w:val="2BD6C54E"/>
    <w:rsid w:val="2BDB929F"/>
    <w:rsid w:val="2BDCF4F9"/>
    <w:rsid w:val="2BDE05B6"/>
    <w:rsid w:val="2BDE4194"/>
    <w:rsid w:val="2BE1BC74"/>
    <w:rsid w:val="2BE2ECFF"/>
    <w:rsid w:val="2BEEFF37"/>
    <w:rsid w:val="2BF5DD54"/>
    <w:rsid w:val="2BF903F4"/>
    <w:rsid w:val="2BF9780F"/>
    <w:rsid w:val="2C0039D3"/>
    <w:rsid w:val="2C02694F"/>
    <w:rsid w:val="2C0840FA"/>
    <w:rsid w:val="2C09C8F4"/>
    <w:rsid w:val="2C0D187A"/>
    <w:rsid w:val="2C0D43A5"/>
    <w:rsid w:val="2C1A31DC"/>
    <w:rsid w:val="2C23EBA5"/>
    <w:rsid w:val="2C2B9777"/>
    <w:rsid w:val="2C2DDB3A"/>
    <w:rsid w:val="2C480000"/>
    <w:rsid w:val="2C4A3BEB"/>
    <w:rsid w:val="2C5476D8"/>
    <w:rsid w:val="2C57FEF4"/>
    <w:rsid w:val="2C62B3CE"/>
    <w:rsid w:val="2C6468DA"/>
    <w:rsid w:val="2C6542A5"/>
    <w:rsid w:val="2C6A18FB"/>
    <w:rsid w:val="2C6EA4F8"/>
    <w:rsid w:val="2C7DC18F"/>
    <w:rsid w:val="2C7F790B"/>
    <w:rsid w:val="2C8015CD"/>
    <w:rsid w:val="2C85F72C"/>
    <w:rsid w:val="2C8B257A"/>
    <w:rsid w:val="2C9019A7"/>
    <w:rsid w:val="2C907B2B"/>
    <w:rsid w:val="2C9A916E"/>
    <w:rsid w:val="2CAE28E3"/>
    <w:rsid w:val="2CB91BF7"/>
    <w:rsid w:val="2CBCB8F3"/>
    <w:rsid w:val="2CC0C225"/>
    <w:rsid w:val="2CC2D5C3"/>
    <w:rsid w:val="2CC2DD73"/>
    <w:rsid w:val="2CC5F17F"/>
    <w:rsid w:val="2CCFF5A1"/>
    <w:rsid w:val="2CD30242"/>
    <w:rsid w:val="2CD7FD60"/>
    <w:rsid w:val="2CD912A0"/>
    <w:rsid w:val="2CD942B4"/>
    <w:rsid w:val="2CDA6E59"/>
    <w:rsid w:val="2CE0E6E9"/>
    <w:rsid w:val="2CE46A0C"/>
    <w:rsid w:val="2CE4BF08"/>
    <w:rsid w:val="2CE6C36F"/>
    <w:rsid w:val="2CEAA710"/>
    <w:rsid w:val="2CEDA8A0"/>
    <w:rsid w:val="2CF0638E"/>
    <w:rsid w:val="2CF2A6E6"/>
    <w:rsid w:val="2CF61AEB"/>
    <w:rsid w:val="2CFA9F66"/>
    <w:rsid w:val="2CFCA5ED"/>
    <w:rsid w:val="2D00ADEA"/>
    <w:rsid w:val="2D029F86"/>
    <w:rsid w:val="2D04C0F2"/>
    <w:rsid w:val="2D05EDF6"/>
    <w:rsid w:val="2D08313E"/>
    <w:rsid w:val="2D11434C"/>
    <w:rsid w:val="2D152F7B"/>
    <w:rsid w:val="2D19DA86"/>
    <w:rsid w:val="2D1B4938"/>
    <w:rsid w:val="2D1BC6C9"/>
    <w:rsid w:val="2D1C3E31"/>
    <w:rsid w:val="2D1CB049"/>
    <w:rsid w:val="2D210A39"/>
    <w:rsid w:val="2D23BE71"/>
    <w:rsid w:val="2D254B92"/>
    <w:rsid w:val="2D26B8DF"/>
    <w:rsid w:val="2D2BDB9A"/>
    <w:rsid w:val="2D353714"/>
    <w:rsid w:val="2D4B7154"/>
    <w:rsid w:val="2D4F899B"/>
    <w:rsid w:val="2D59B586"/>
    <w:rsid w:val="2D5FB6E1"/>
    <w:rsid w:val="2D6C4098"/>
    <w:rsid w:val="2D728349"/>
    <w:rsid w:val="2D7323F9"/>
    <w:rsid w:val="2D774BD5"/>
    <w:rsid w:val="2D7C767B"/>
    <w:rsid w:val="2D8F5DAA"/>
    <w:rsid w:val="2D905F23"/>
    <w:rsid w:val="2DA8408E"/>
    <w:rsid w:val="2DB0E8FE"/>
    <w:rsid w:val="2DB5F5D4"/>
    <w:rsid w:val="2DC00A3E"/>
    <w:rsid w:val="2DC1FD7D"/>
    <w:rsid w:val="2DC7C15D"/>
    <w:rsid w:val="2DD0CF35"/>
    <w:rsid w:val="2DD235D7"/>
    <w:rsid w:val="2DD2CCFD"/>
    <w:rsid w:val="2DD5D693"/>
    <w:rsid w:val="2DD6C88A"/>
    <w:rsid w:val="2DE4E397"/>
    <w:rsid w:val="2DE9EC06"/>
    <w:rsid w:val="2DEAB8B1"/>
    <w:rsid w:val="2DEDC143"/>
    <w:rsid w:val="2DF05E38"/>
    <w:rsid w:val="2DF0A600"/>
    <w:rsid w:val="2DF1B1D2"/>
    <w:rsid w:val="2DF2FD1D"/>
    <w:rsid w:val="2DF6923E"/>
    <w:rsid w:val="2DF78947"/>
    <w:rsid w:val="2DF9D618"/>
    <w:rsid w:val="2E165BC9"/>
    <w:rsid w:val="2E184877"/>
    <w:rsid w:val="2E18F29C"/>
    <w:rsid w:val="2E1A9DC2"/>
    <w:rsid w:val="2E1B5A2F"/>
    <w:rsid w:val="2E1D3098"/>
    <w:rsid w:val="2E2062E8"/>
    <w:rsid w:val="2E20D6FB"/>
    <w:rsid w:val="2E2408F1"/>
    <w:rsid w:val="2E24C9AD"/>
    <w:rsid w:val="2E2B68EC"/>
    <w:rsid w:val="2E346B78"/>
    <w:rsid w:val="2E36EB65"/>
    <w:rsid w:val="2E3BC3E4"/>
    <w:rsid w:val="2E3E0C23"/>
    <w:rsid w:val="2E424E3B"/>
    <w:rsid w:val="2E4793DF"/>
    <w:rsid w:val="2E48B3D8"/>
    <w:rsid w:val="2E4947E9"/>
    <w:rsid w:val="2E4F3401"/>
    <w:rsid w:val="2E50AEFB"/>
    <w:rsid w:val="2E51A443"/>
    <w:rsid w:val="2E5247EE"/>
    <w:rsid w:val="2E55BD4E"/>
    <w:rsid w:val="2E660A4F"/>
    <w:rsid w:val="2E691297"/>
    <w:rsid w:val="2E6B35A3"/>
    <w:rsid w:val="2E6BFEA6"/>
    <w:rsid w:val="2E721020"/>
    <w:rsid w:val="2E7B9032"/>
    <w:rsid w:val="2E7E41D9"/>
    <w:rsid w:val="2E809D72"/>
    <w:rsid w:val="2E8D5A84"/>
    <w:rsid w:val="2E8E7D13"/>
    <w:rsid w:val="2E95EB22"/>
    <w:rsid w:val="2E971BC3"/>
    <w:rsid w:val="2E989441"/>
    <w:rsid w:val="2E98D331"/>
    <w:rsid w:val="2E9E09A2"/>
    <w:rsid w:val="2EA49F58"/>
    <w:rsid w:val="2EA6D850"/>
    <w:rsid w:val="2EAAD5E8"/>
    <w:rsid w:val="2EAE76A4"/>
    <w:rsid w:val="2EB89C57"/>
    <w:rsid w:val="2EBD43D3"/>
    <w:rsid w:val="2EBE91DC"/>
    <w:rsid w:val="2EC7FE03"/>
    <w:rsid w:val="2EC9576F"/>
    <w:rsid w:val="2EC97354"/>
    <w:rsid w:val="2ED3FA1B"/>
    <w:rsid w:val="2ED44FFB"/>
    <w:rsid w:val="2ED688B3"/>
    <w:rsid w:val="2EDA0528"/>
    <w:rsid w:val="2EDA1F4B"/>
    <w:rsid w:val="2EE0E4C3"/>
    <w:rsid w:val="2EE70033"/>
    <w:rsid w:val="2EEFA109"/>
    <w:rsid w:val="2EF13664"/>
    <w:rsid w:val="2EF30480"/>
    <w:rsid w:val="2EF77F35"/>
    <w:rsid w:val="2EF93207"/>
    <w:rsid w:val="2EFF0919"/>
    <w:rsid w:val="2F034E8C"/>
    <w:rsid w:val="2F05F032"/>
    <w:rsid w:val="2F0A47E2"/>
    <w:rsid w:val="2F129A07"/>
    <w:rsid w:val="2F1F3513"/>
    <w:rsid w:val="2F2450DE"/>
    <w:rsid w:val="2F2B9D90"/>
    <w:rsid w:val="2F30BC86"/>
    <w:rsid w:val="2F30C217"/>
    <w:rsid w:val="2F30CAB5"/>
    <w:rsid w:val="2F3423D1"/>
    <w:rsid w:val="2F37699F"/>
    <w:rsid w:val="2F3ADD43"/>
    <w:rsid w:val="2F3F3C4D"/>
    <w:rsid w:val="2F4E0865"/>
    <w:rsid w:val="2F5BC23B"/>
    <w:rsid w:val="2F5C730D"/>
    <w:rsid w:val="2F5F7081"/>
    <w:rsid w:val="2F622FD0"/>
    <w:rsid w:val="2F63BC9A"/>
    <w:rsid w:val="2F6BFBDE"/>
    <w:rsid w:val="2F6FA877"/>
    <w:rsid w:val="2F70D757"/>
    <w:rsid w:val="2F740929"/>
    <w:rsid w:val="2F749391"/>
    <w:rsid w:val="2F7528C0"/>
    <w:rsid w:val="2F759A80"/>
    <w:rsid w:val="2F7C9285"/>
    <w:rsid w:val="2F7F9A4E"/>
    <w:rsid w:val="2F8206E7"/>
    <w:rsid w:val="2F84C429"/>
    <w:rsid w:val="2F87A6F6"/>
    <w:rsid w:val="2F8A3572"/>
    <w:rsid w:val="2F8FBB73"/>
    <w:rsid w:val="2F92AE39"/>
    <w:rsid w:val="2F93A74B"/>
    <w:rsid w:val="2F9554F6"/>
    <w:rsid w:val="2F960326"/>
    <w:rsid w:val="2F9BE243"/>
    <w:rsid w:val="2FA81A7D"/>
    <w:rsid w:val="2FB4A373"/>
    <w:rsid w:val="2FC20BC1"/>
    <w:rsid w:val="2FC5E876"/>
    <w:rsid w:val="2FC683A3"/>
    <w:rsid w:val="2FC82898"/>
    <w:rsid w:val="2FCC9774"/>
    <w:rsid w:val="2FCDE2A5"/>
    <w:rsid w:val="2FD312B6"/>
    <w:rsid w:val="2FD3FF41"/>
    <w:rsid w:val="2FD3FF76"/>
    <w:rsid w:val="2FD9B3EA"/>
    <w:rsid w:val="2FE29FAB"/>
    <w:rsid w:val="2FEB9BC2"/>
    <w:rsid w:val="2FEE2F02"/>
    <w:rsid w:val="2FEE964F"/>
    <w:rsid w:val="2FEFE193"/>
    <w:rsid w:val="2FF07DA4"/>
    <w:rsid w:val="2FFBFFBF"/>
    <w:rsid w:val="2FFEBB17"/>
    <w:rsid w:val="3000935B"/>
    <w:rsid w:val="30014C92"/>
    <w:rsid w:val="30038512"/>
    <w:rsid w:val="300AFC75"/>
    <w:rsid w:val="300B2319"/>
    <w:rsid w:val="300DD1E2"/>
    <w:rsid w:val="301BA1EB"/>
    <w:rsid w:val="301CB4B8"/>
    <w:rsid w:val="30255351"/>
    <w:rsid w:val="3027D323"/>
    <w:rsid w:val="302D18AE"/>
    <w:rsid w:val="302E3D98"/>
    <w:rsid w:val="3032AA92"/>
    <w:rsid w:val="3034A9BA"/>
    <w:rsid w:val="3037E7E1"/>
    <w:rsid w:val="303B4DD4"/>
    <w:rsid w:val="303C0E61"/>
    <w:rsid w:val="3040238E"/>
    <w:rsid w:val="3040FE0B"/>
    <w:rsid w:val="3042188D"/>
    <w:rsid w:val="30423498"/>
    <w:rsid w:val="3042AEDD"/>
    <w:rsid w:val="3042DBD8"/>
    <w:rsid w:val="304A4BCC"/>
    <w:rsid w:val="304F3C78"/>
    <w:rsid w:val="30508062"/>
    <w:rsid w:val="3051D869"/>
    <w:rsid w:val="3052E140"/>
    <w:rsid w:val="305A1E94"/>
    <w:rsid w:val="305A79CA"/>
    <w:rsid w:val="305DD401"/>
    <w:rsid w:val="306DDE10"/>
    <w:rsid w:val="3072F1D2"/>
    <w:rsid w:val="307E5A21"/>
    <w:rsid w:val="308015EA"/>
    <w:rsid w:val="308040F7"/>
    <w:rsid w:val="30872312"/>
    <w:rsid w:val="308B3443"/>
    <w:rsid w:val="308C3A1B"/>
    <w:rsid w:val="308EF3DE"/>
    <w:rsid w:val="30901784"/>
    <w:rsid w:val="3091BA76"/>
    <w:rsid w:val="30920B13"/>
    <w:rsid w:val="30932268"/>
    <w:rsid w:val="309F7D09"/>
    <w:rsid w:val="30A055B2"/>
    <w:rsid w:val="30A1A117"/>
    <w:rsid w:val="30ABF6F0"/>
    <w:rsid w:val="30ADF77E"/>
    <w:rsid w:val="30B1114C"/>
    <w:rsid w:val="30B3A5B2"/>
    <w:rsid w:val="30BD071F"/>
    <w:rsid w:val="30BDD0AB"/>
    <w:rsid w:val="30C0AE8D"/>
    <w:rsid w:val="30C22459"/>
    <w:rsid w:val="30C53A88"/>
    <w:rsid w:val="30C6498C"/>
    <w:rsid w:val="30C6B045"/>
    <w:rsid w:val="30CA3B9E"/>
    <w:rsid w:val="30D11763"/>
    <w:rsid w:val="30E07552"/>
    <w:rsid w:val="30E13AC6"/>
    <w:rsid w:val="30E2EF0A"/>
    <w:rsid w:val="30E3D527"/>
    <w:rsid w:val="30E67B10"/>
    <w:rsid w:val="30E7455B"/>
    <w:rsid w:val="30F40519"/>
    <w:rsid w:val="30F7D3EA"/>
    <w:rsid w:val="30F7DA81"/>
    <w:rsid w:val="30F93CCC"/>
    <w:rsid w:val="30F9D565"/>
    <w:rsid w:val="30FB3FDD"/>
    <w:rsid w:val="30FE13EE"/>
    <w:rsid w:val="3104DB3F"/>
    <w:rsid w:val="310D13C1"/>
    <w:rsid w:val="3110554B"/>
    <w:rsid w:val="3111210B"/>
    <w:rsid w:val="311D75DB"/>
    <w:rsid w:val="311E75D5"/>
    <w:rsid w:val="311FB016"/>
    <w:rsid w:val="312D7669"/>
    <w:rsid w:val="31346ACA"/>
    <w:rsid w:val="31354D89"/>
    <w:rsid w:val="31407568"/>
    <w:rsid w:val="314176B8"/>
    <w:rsid w:val="3141DFEC"/>
    <w:rsid w:val="31446ED3"/>
    <w:rsid w:val="314776F5"/>
    <w:rsid w:val="31498F2A"/>
    <w:rsid w:val="314CFE70"/>
    <w:rsid w:val="3153CC2F"/>
    <w:rsid w:val="315420B5"/>
    <w:rsid w:val="31552E77"/>
    <w:rsid w:val="3156B25F"/>
    <w:rsid w:val="3166B179"/>
    <w:rsid w:val="31686AF8"/>
    <w:rsid w:val="316D93E8"/>
    <w:rsid w:val="31716475"/>
    <w:rsid w:val="3171FB70"/>
    <w:rsid w:val="317AA59F"/>
    <w:rsid w:val="317E5EAE"/>
    <w:rsid w:val="317E7E5B"/>
    <w:rsid w:val="318254EB"/>
    <w:rsid w:val="318315AC"/>
    <w:rsid w:val="3193AC4C"/>
    <w:rsid w:val="31958E2C"/>
    <w:rsid w:val="3195C5AF"/>
    <w:rsid w:val="319A00A5"/>
    <w:rsid w:val="319A961D"/>
    <w:rsid w:val="319CB595"/>
    <w:rsid w:val="319F2D6E"/>
    <w:rsid w:val="319F378C"/>
    <w:rsid w:val="31A9F6E8"/>
    <w:rsid w:val="31B0F7D2"/>
    <w:rsid w:val="31B22487"/>
    <w:rsid w:val="31BF9683"/>
    <w:rsid w:val="31CCDA93"/>
    <w:rsid w:val="31CF9B9D"/>
    <w:rsid w:val="31D4E000"/>
    <w:rsid w:val="31E3A99C"/>
    <w:rsid w:val="31E41617"/>
    <w:rsid w:val="31E80865"/>
    <w:rsid w:val="31EF64DB"/>
    <w:rsid w:val="31F8EF2A"/>
    <w:rsid w:val="31FAB3E9"/>
    <w:rsid w:val="3202B833"/>
    <w:rsid w:val="3205D231"/>
    <w:rsid w:val="320A2E88"/>
    <w:rsid w:val="3212E561"/>
    <w:rsid w:val="321379B7"/>
    <w:rsid w:val="3217718B"/>
    <w:rsid w:val="32188BAD"/>
    <w:rsid w:val="32201671"/>
    <w:rsid w:val="322980D8"/>
    <w:rsid w:val="322A3E83"/>
    <w:rsid w:val="322C5807"/>
    <w:rsid w:val="323009CF"/>
    <w:rsid w:val="32378AFD"/>
    <w:rsid w:val="323F82B4"/>
    <w:rsid w:val="32420DE4"/>
    <w:rsid w:val="3242EFD3"/>
    <w:rsid w:val="32439A4D"/>
    <w:rsid w:val="324422C4"/>
    <w:rsid w:val="3252AC58"/>
    <w:rsid w:val="32566C0B"/>
    <w:rsid w:val="3256E975"/>
    <w:rsid w:val="3262F22A"/>
    <w:rsid w:val="32671630"/>
    <w:rsid w:val="32699662"/>
    <w:rsid w:val="32701170"/>
    <w:rsid w:val="3275A3E7"/>
    <w:rsid w:val="3276AB41"/>
    <w:rsid w:val="32806475"/>
    <w:rsid w:val="32821A0B"/>
    <w:rsid w:val="3284375E"/>
    <w:rsid w:val="328471B1"/>
    <w:rsid w:val="3287E429"/>
    <w:rsid w:val="328862DD"/>
    <w:rsid w:val="3289C488"/>
    <w:rsid w:val="329D1EF1"/>
    <w:rsid w:val="329E0B20"/>
    <w:rsid w:val="32A1C038"/>
    <w:rsid w:val="32A4546D"/>
    <w:rsid w:val="32B15F02"/>
    <w:rsid w:val="32B92E99"/>
    <w:rsid w:val="32BA95FD"/>
    <w:rsid w:val="32BDB09B"/>
    <w:rsid w:val="32C8BFA2"/>
    <w:rsid w:val="32D0BD18"/>
    <w:rsid w:val="32D8906A"/>
    <w:rsid w:val="32DF6F90"/>
    <w:rsid w:val="32E2BC4D"/>
    <w:rsid w:val="32EED93D"/>
    <w:rsid w:val="32F0B1C2"/>
    <w:rsid w:val="32F2028B"/>
    <w:rsid w:val="32F88741"/>
    <w:rsid w:val="32F933A9"/>
    <w:rsid w:val="3300CAF2"/>
    <w:rsid w:val="330ECF7A"/>
    <w:rsid w:val="33129E88"/>
    <w:rsid w:val="33143E0D"/>
    <w:rsid w:val="33196362"/>
    <w:rsid w:val="3319E9B6"/>
    <w:rsid w:val="331A8685"/>
    <w:rsid w:val="331AB8D9"/>
    <w:rsid w:val="331ADA4D"/>
    <w:rsid w:val="331B169D"/>
    <w:rsid w:val="331CBE07"/>
    <w:rsid w:val="332353C7"/>
    <w:rsid w:val="332492E0"/>
    <w:rsid w:val="33309B77"/>
    <w:rsid w:val="333316DF"/>
    <w:rsid w:val="33345020"/>
    <w:rsid w:val="333BAE76"/>
    <w:rsid w:val="333C03B5"/>
    <w:rsid w:val="33415C4F"/>
    <w:rsid w:val="3343DA7A"/>
    <w:rsid w:val="33450D29"/>
    <w:rsid w:val="334889BD"/>
    <w:rsid w:val="334CC380"/>
    <w:rsid w:val="334E3074"/>
    <w:rsid w:val="335069AD"/>
    <w:rsid w:val="3351EFF3"/>
    <w:rsid w:val="335297F6"/>
    <w:rsid w:val="3358F804"/>
    <w:rsid w:val="33646F7F"/>
    <w:rsid w:val="336C98DB"/>
    <w:rsid w:val="336E908B"/>
    <w:rsid w:val="3382378D"/>
    <w:rsid w:val="3388155E"/>
    <w:rsid w:val="338983DF"/>
    <w:rsid w:val="338D195E"/>
    <w:rsid w:val="338EFD9B"/>
    <w:rsid w:val="3392E32A"/>
    <w:rsid w:val="3393A9DD"/>
    <w:rsid w:val="3395B93B"/>
    <w:rsid w:val="339B0592"/>
    <w:rsid w:val="339FE677"/>
    <w:rsid w:val="33A2221D"/>
    <w:rsid w:val="33A87364"/>
    <w:rsid w:val="33AA58AA"/>
    <w:rsid w:val="33B24416"/>
    <w:rsid w:val="33B26551"/>
    <w:rsid w:val="33BA895B"/>
    <w:rsid w:val="33BAC928"/>
    <w:rsid w:val="33BFA7DF"/>
    <w:rsid w:val="33C64C65"/>
    <w:rsid w:val="33CA6489"/>
    <w:rsid w:val="33CD11D3"/>
    <w:rsid w:val="33D8624C"/>
    <w:rsid w:val="33DA9537"/>
    <w:rsid w:val="33DB7EF2"/>
    <w:rsid w:val="33DD406F"/>
    <w:rsid w:val="33DED574"/>
    <w:rsid w:val="33E03C2E"/>
    <w:rsid w:val="33EC5AF5"/>
    <w:rsid w:val="33F0006F"/>
    <w:rsid w:val="33F01F63"/>
    <w:rsid w:val="34006444"/>
    <w:rsid w:val="3401BC3E"/>
    <w:rsid w:val="340D30FC"/>
    <w:rsid w:val="340D9CB8"/>
    <w:rsid w:val="340E1049"/>
    <w:rsid w:val="341A6923"/>
    <w:rsid w:val="341BA770"/>
    <w:rsid w:val="34219653"/>
    <w:rsid w:val="3421B70E"/>
    <w:rsid w:val="342269C3"/>
    <w:rsid w:val="3427CE05"/>
    <w:rsid w:val="342AF581"/>
    <w:rsid w:val="3434CF4E"/>
    <w:rsid w:val="344A9C71"/>
    <w:rsid w:val="344B8CD7"/>
    <w:rsid w:val="344FA170"/>
    <w:rsid w:val="345038CD"/>
    <w:rsid w:val="345EB0D2"/>
    <w:rsid w:val="345FFCD7"/>
    <w:rsid w:val="34634454"/>
    <w:rsid w:val="3465C8A3"/>
    <w:rsid w:val="3468BB0C"/>
    <w:rsid w:val="346A80F3"/>
    <w:rsid w:val="346B0D3F"/>
    <w:rsid w:val="346C065D"/>
    <w:rsid w:val="346CCD87"/>
    <w:rsid w:val="346D009F"/>
    <w:rsid w:val="3476111A"/>
    <w:rsid w:val="3476F2DA"/>
    <w:rsid w:val="3476FE1B"/>
    <w:rsid w:val="34779D8D"/>
    <w:rsid w:val="347A6F1B"/>
    <w:rsid w:val="347AD211"/>
    <w:rsid w:val="347D32A5"/>
    <w:rsid w:val="3484D948"/>
    <w:rsid w:val="348CAD74"/>
    <w:rsid w:val="3491A1E4"/>
    <w:rsid w:val="34992C55"/>
    <w:rsid w:val="349AB87B"/>
    <w:rsid w:val="349AFD95"/>
    <w:rsid w:val="34A0FCF4"/>
    <w:rsid w:val="34A2A4F0"/>
    <w:rsid w:val="34A3ED13"/>
    <w:rsid w:val="34A44E4C"/>
    <w:rsid w:val="34AC61B7"/>
    <w:rsid w:val="34AD83F7"/>
    <w:rsid w:val="34AF37F5"/>
    <w:rsid w:val="34B03AF5"/>
    <w:rsid w:val="34B28BCA"/>
    <w:rsid w:val="34B3E808"/>
    <w:rsid w:val="34BD1F1B"/>
    <w:rsid w:val="34BD94BB"/>
    <w:rsid w:val="34C2C626"/>
    <w:rsid w:val="34C87F3C"/>
    <w:rsid w:val="34CA92C0"/>
    <w:rsid w:val="34CD127B"/>
    <w:rsid w:val="34CE9B2C"/>
    <w:rsid w:val="34D5BA7E"/>
    <w:rsid w:val="34DD48F3"/>
    <w:rsid w:val="34DFA15E"/>
    <w:rsid w:val="34E104BE"/>
    <w:rsid w:val="34EA856D"/>
    <w:rsid w:val="34EDD0C2"/>
    <w:rsid w:val="34EDE3CE"/>
    <w:rsid w:val="34F0509F"/>
    <w:rsid w:val="34FDC092"/>
    <w:rsid w:val="34FED518"/>
    <w:rsid w:val="34FEF028"/>
    <w:rsid w:val="35047E87"/>
    <w:rsid w:val="3507054B"/>
    <w:rsid w:val="350A7F70"/>
    <w:rsid w:val="350E762C"/>
    <w:rsid w:val="350F9B66"/>
    <w:rsid w:val="351503B8"/>
    <w:rsid w:val="351F0908"/>
    <w:rsid w:val="3527000C"/>
    <w:rsid w:val="352F2533"/>
    <w:rsid w:val="3530B0C9"/>
    <w:rsid w:val="35312065"/>
    <w:rsid w:val="3531F8F6"/>
    <w:rsid w:val="3533DDD8"/>
    <w:rsid w:val="3538FD19"/>
    <w:rsid w:val="353CBBB1"/>
    <w:rsid w:val="35416587"/>
    <w:rsid w:val="35418969"/>
    <w:rsid w:val="35483B2A"/>
    <w:rsid w:val="354AEC86"/>
    <w:rsid w:val="355242E8"/>
    <w:rsid w:val="35535B19"/>
    <w:rsid w:val="355FB6C1"/>
    <w:rsid w:val="3566E909"/>
    <w:rsid w:val="356855A1"/>
    <w:rsid w:val="356B9F38"/>
    <w:rsid w:val="356EAA4C"/>
    <w:rsid w:val="35779F0B"/>
    <w:rsid w:val="3577E658"/>
    <w:rsid w:val="3578B0F5"/>
    <w:rsid w:val="3578C7ED"/>
    <w:rsid w:val="357D8EB5"/>
    <w:rsid w:val="357EF020"/>
    <w:rsid w:val="35854692"/>
    <w:rsid w:val="3587DA77"/>
    <w:rsid w:val="3591C4A8"/>
    <w:rsid w:val="359226E3"/>
    <w:rsid w:val="3593758D"/>
    <w:rsid w:val="359B9BBF"/>
    <w:rsid w:val="35A2D8C6"/>
    <w:rsid w:val="35A71D33"/>
    <w:rsid w:val="35A772EA"/>
    <w:rsid w:val="35AB6C8E"/>
    <w:rsid w:val="35AD17DD"/>
    <w:rsid w:val="35AFB2B2"/>
    <w:rsid w:val="35B3B49C"/>
    <w:rsid w:val="35B9403C"/>
    <w:rsid w:val="35C6E6CD"/>
    <w:rsid w:val="35C6EA0A"/>
    <w:rsid w:val="35CDD687"/>
    <w:rsid w:val="35D1C732"/>
    <w:rsid w:val="35DD3283"/>
    <w:rsid w:val="35DD87AC"/>
    <w:rsid w:val="35E0D040"/>
    <w:rsid w:val="35E44241"/>
    <w:rsid w:val="35E4508F"/>
    <w:rsid w:val="35EA52FF"/>
    <w:rsid w:val="35ECC3BE"/>
    <w:rsid w:val="35ECD740"/>
    <w:rsid w:val="35F1C082"/>
    <w:rsid w:val="35F2B84E"/>
    <w:rsid w:val="35F5F2A5"/>
    <w:rsid w:val="35F98D2D"/>
    <w:rsid w:val="35FDEA7A"/>
    <w:rsid w:val="36008A17"/>
    <w:rsid w:val="3601536F"/>
    <w:rsid w:val="36019DCC"/>
    <w:rsid w:val="360C708F"/>
    <w:rsid w:val="360CEB5A"/>
    <w:rsid w:val="36122281"/>
    <w:rsid w:val="3612DBC9"/>
    <w:rsid w:val="3618E501"/>
    <w:rsid w:val="3622A655"/>
    <w:rsid w:val="363360ED"/>
    <w:rsid w:val="36336F9D"/>
    <w:rsid w:val="3635F4F8"/>
    <w:rsid w:val="36366E68"/>
    <w:rsid w:val="3637590F"/>
    <w:rsid w:val="3639420C"/>
    <w:rsid w:val="3639A7E7"/>
    <w:rsid w:val="363A04A6"/>
    <w:rsid w:val="363BB9C5"/>
    <w:rsid w:val="3640567D"/>
    <w:rsid w:val="3644BD2F"/>
    <w:rsid w:val="3644E1E5"/>
    <w:rsid w:val="3645F50C"/>
    <w:rsid w:val="3653F366"/>
    <w:rsid w:val="36583878"/>
    <w:rsid w:val="365B1455"/>
    <w:rsid w:val="365B3AC3"/>
    <w:rsid w:val="365BEE32"/>
    <w:rsid w:val="36616B93"/>
    <w:rsid w:val="36624FF4"/>
    <w:rsid w:val="366972CA"/>
    <w:rsid w:val="36751369"/>
    <w:rsid w:val="36777E3E"/>
    <w:rsid w:val="3679D45D"/>
    <w:rsid w:val="367DCFC7"/>
    <w:rsid w:val="36834781"/>
    <w:rsid w:val="3685BC44"/>
    <w:rsid w:val="369BB2C1"/>
    <w:rsid w:val="36A680FC"/>
    <w:rsid w:val="36AB5732"/>
    <w:rsid w:val="36B68256"/>
    <w:rsid w:val="36BF71C8"/>
    <w:rsid w:val="36C80449"/>
    <w:rsid w:val="36CF9131"/>
    <w:rsid w:val="36D65199"/>
    <w:rsid w:val="36DC35DB"/>
    <w:rsid w:val="36E50D7F"/>
    <w:rsid w:val="36F5848C"/>
    <w:rsid w:val="36F903D7"/>
    <w:rsid w:val="36FA7D22"/>
    <w:rsid w:val="36FB7AD7"/>
    <w:rsid w:val="36FC09BF"/>
    <w:rsid w:val="370625B4"/>
    <w:rsid w:val="370CD48C"/>
    <w:rsid w:val="370CDA54"/>
    <w:rsid w:val="3713D934"/>
    <w:rsid w:val="37143B6A"/>
    <w:rsid w:val="371B5478"/>
    <w:rsid w:val="372721D6"/>
    <w:rsid w:val="37276379"/>
    <w:rsid w:val="372B56D5"/>
    <w:rsid w:val="372DB2D8"/>
    <w:rsid w:val="3739FB98"/>
    <w:rsid w:val="373E9DE0"/>
    <w:rsid w:val="374428FA"/>
    <w:rsid w:val="37450DEC"/>
    <w:rsid w:val="3745F1A3"/>
    <w:rsid w:val="3746C6F6"/>
    <w:rsid w:val="37484E49"/>
    <w:rsid w:val="374E20D2"/>
    <w:rsid w:val="375B6098"/>
    <w:rsid w:val="375E890A"/>
    <w:rsid w:val="37656BAF"/>
    <w:rsid w:val="376A4512"/>
    <w:rsid w:val="376AA146"/>
    <w:rsid w:val="376ACD05"/>
    <w:rsid w:val="37768802"/>
    <w:rsid w:val="377AA929"/>
    <w:rsid w:val="37843233"/>
    <w:rsid w:val="37893907"/>
    <w:rsid w:val="378C6382"/>
    <w:rsid w:val="37900E38"/>
    <w:rsid w:val="3793F5AD"/>
    <w:rsid w:val="3798E5CC"/>
    <w:rsid w:val="379AC6BD"/>
    <w:rsid w:val="37A53133"/>
    <w:rsid w:val="37A6FCBF"/>
    <w:rsid w:val="37A8A269"/>
    <w:rsid w:val="37AE6DF0"/>
    <w:rsid w:val="37B705EB"/>
    <w:rsid w:val="37BAF719"/>
    <w:rsid w:val="37BE9662"/>
    <w:rsid w:val="37BFF476"/>
    <w:rsid w:val="37C00765"/>
    <w:rsid w:val="37C12C83"/>
    <w:rsid w:val="37C4888C"/>
    <w:rsid w:val="37C59C27"/>
    <w:rsid w:val="37CA3F88"/>
    <w:rsid w:val="37CA9127"/>
    <w:rsid w:val="37CC508B"/>
    <w:rsid w:val="37CF2471"/>
    <w:rsid w:val="37D22546"/>
    <w:rsid w:val="37D31727"/>
    <w:rsid w:val="37D9E218"/>
    <w:rsid w:val="37DC81BF"/>
    <w:rsid w:val="37DC8ABB"/>
    <w:rsid w:val="37DEC038"/>
    <w:rsid w:val="37E24F15"/>
    <w:rsid w:val="37F3D3DE"/>
    <w:rsid w:val="37F5917E"/>
    <w:rsid w:val="37F650E0"/>
    <w:rsid w:val="37FFE708"/>
    <w:rsid w:val="38018621"/>
    <w:rsid w:val="380A643F"/>
    <w:rsid w:val="3810A341"/>
    <w:rsid w:val="381881BE"/>
    <w:rsid w:val="38192B0F"/>
    <w:rsid w:val="381AC0A6"/>
    <w:rsid w:val="38214881"/>
    <w:rsid w:val="38222FF9"/>
    <w:rsid w:val="3829F496"/>
    <w:rsid w:val="382B6559"/>
    <w:rsid w:val="382D7663"/>
    <w:rsid w:val="382F4F0A"/>
    <w:rsid w:val="382FAC51"/>
    <w:rsid w:val="38307375"/>
    <w:rsid w:val="3832B346"/>
    <w:rsid w:val="3835B52E"/>
    <w:rsid w:val="383CE7C8"/>
    <w:rsid w:val="383F6B9C"/>
    <w:rsid w:val="3847E115"/>
    <w:rsid w:val="384FCD66"/>
    <w:rsid w:val="3856B178"/>
    <w:rsid w:val="3858340C"/>
    <w:rsid w:val="385A56EE"/>
    <w:rsid w:val="385D7588"/>
    <w:rsid w:val="386A9222"/>
    <w:rsid w:val="386C46F9"/>
    <w:rsid w:val="3870E665"/>
    <w:rsid w:val="3873BC9E"/>
    <w:rsid w:val="38744A3F"/>
    <w:rsid w:val="38830A90"/>
    <w:rsid w:val="38834EBF"/>
    <w:rsid w:val="3883CF88"/>
    <w:rsid w:val="388DCAAD"/>
    <w:rsid w:val="388FDB13"/>
    <w:rsid w:val="389841C6"/>
    <w:rsid w:val="38984405"/>
    <w:rsid w:val="3899091F"/>
    <w:rsid w:val="389C80A1"/>
    <w:rsid w:val="389CBFF7"/>
    <w:rsid w:val="389EA2A4"/>
    <w:rsid w:val="389FEDFD"/>
    <w:rsid w:val="38A71D1F"/>
    <w:rsid w:val="38A8CE1F"/>
    <w:rsid w:val="38ADF879"/>
    <w:rsid w:val="38AEA79B"/>
    <w:rsid w:val="38B3583B"/>
    <w:rsid w:val="38B468F2"/>
    <w:rsid w:val="38B599DC"/>
    <w:rsid w:val="38B7A16E"/>
    <w:rsid w:val="38B9287E"/>
    <w:rsid w:val="38BE1FC4"/>
    <w:rsid w:val="38BF2E5C"/>
    <w:rsid w:val="38C0B502"/>
    <w:rsid w:val="38C20B3F"/>
    <w:rsid w:val="38C2D4BD"/>
    <w:rsid w:val="38C33771"/>
    <w:rsid w:val="38CA0E8A"/>
    <w:rsid w:val="38D06C4D"/>
    <w:rsid w:val="38D1EB0B"/>
    <w:rsid w:val="38D5D4C0"/>
    <w:rsid w:val="38E158F2"/>
    <w:rsid w:val="38E3B903"/>
    <w:rsid w:val="38E3CF34"/>
    <w:rsid w:val="38E8DF16"/>
    <w:rsid w:val="38F5D14E"/>
    <w:rsid w:val="38FA7585"/>
    <w:rsid w:val="38FD6169"/>
    <w:rsid w:val="39014407"/>
    <w:rsid w:val="39026956"/>
    <w:rsid w:val="3904378D"/>
    <w:rsid w:val="390BD3DA"/>
    <w:rsid w:val="3912CF44"/>
    <w:rsid w:val="39171CAD"/>
    <w:rsid w:val="3926627A"/>
    <w:rsid w:val="3927BF0E"/>
    <w:rsid w:val="392A1D43"/>
    <w:rsid w:val="39347BA2"/>
    <w:rsid w:val="39382316"/>
    <w:rsid w:val="3938D34B"/>
    <w:rsid w:val="393BA65B"/>
    <w:rsid w:val="393FEF9A"/>
    <w:rsid w:val="39433C95"/>
    <w:rsid w:val="39447C6B"/>
    <w:rsid w:val="394C6D57"/>
    <w:rsid w:val="3957EECA"/>
    <w:rsid w:val="395BBC59"/>
    <w:rsid w:val="395EC017"/>
    <w:rsid w:val="395EE6F5"/>
    <w:rsid w:val="395FAA73"/>
    <w:rsid w:val="3962375F"/>
    <w:rsid w:val="3964F4FD"/>
    <w:rsid w:val="396E6DFA"/>
    <w:rsid w:val="396ECBDF"/>
    <w:rsid w:val="39728824"/>
    <w:rsid w:val="3974AB3A"/>
    <w:rsid w:val="3975274F"/>
    <w:rsid w:val="397884CD"/>
    <w:rsid w:val="39789D52"/>
    <w:rsid w:val="397E6348"/>
    <w:rsid w:val="397EC748"/>
    <w:rsid w:val="3988E860"/>
    <w:rsid w:val="398AB6C3"/>
    <w:rsid w:val="398F488D"/>
    <w:rsid w:val="39935FA6"/>
    <w:rsid w:val="399D0D47"/>
    <w:rsid w:val="39A05ECE"/>
    <w:rsid w:val="39A480CA"/>
    <w:rsid w:val="39AE4E99"/>
    <w:rsid w:val="39B1D928"/>
    <w:rsid w:val="39B9E08D"/>
    <w:rsid w:val="39C35691"/>
    <w:rsid w:val="39C4D4CE"/>
    <w:rsid w:val="39C56601"/>
    <w:rsid w:val="39D58C2F"/>
    <w:rsid w:val="39D5E552"/>
    <w:rsid w:val="39DE521D"/>
    <w:rsid w:val="39E0007F"/>
    <w:rsid w:val="39E1EDD0"/>
    <w:rsid w:val="39E27EAC"/>
    <w:rsid w:val="39E7B1A4"/>
    <w:rsid w:val="39E8933F"/>
    <w:rsid w:val="39F8295A"/>
    <w:rsid w:val="39FBED77"/>
    <w:rsid w:val="39FEB594"/>
    <w:rsid w:val="39FFCFE9"/>
    <w:rsid w:val="3A072785"/>
    <w:rsid w:val="3A075887"/>
    <w:rsid w:val="3A0990A5"/>
    <w:rsid w:val="3A0BAF79"/>
    <w:rsid w:val="3A0CC752"/>
    <w:rsid w:val="3A114796"/>
    <w:rsid w:val="3A1A261B"/>
    <w:rsid w:val="3A1D7FB5"/>
    <w:rsid w:val="3A2CB692"/>
    <w:rsid w:val="3A2CF0C5"/>
    <w:rsid w:val="3A3027D4"/>
    <w:rsid w:val="3A32D3D4"/>
    <w:rsid w:val="3A33C1E8"/>
    <w:rsid w:val="3A3469DB"/>
    <w:rsid w:val="3A3483EA"/>
    <w:rsid w:val="3A34A9D9"/>
    <w:rsid w:val="3A38059B"/>
    <w:rsid w:val="3A3CF469"/>
    <w:rsid w:val="3A3E34D9"/>
    <w:rsid w:val="3A3EAF8F"/>
    <w:rsid w:val="3A492991"/>
    <w:rsid w:val="3A50C480"/>
    <w:rsid w:val="3A5444C7"/>
    <w:rsid w:val="3A55B459"/>
    <w:rsid w:val="3A566E3E"/>
    <w:rsid w:val="3A5C53EA"/>
    <w:rsid w:val="3A637F4C"/>
    <w:rsid w:val="3A6A75A1"/>
    <w:rsid w:val="3A72BE1F"/>
    <w:rsid w:val="3A7885BB"/>
    <w:rsid w:val="3A789803"/>
    <w:rsid w:val="3A806CD4"/>
    <w:rsid w:val="3A896FDE"/>
    <w:rsid w:val="3A8FAFA3"/>
    <w:rsid w:val="3A947C88"/>
    <w:rsid w:val="3A9492F6"/>
    <w:rsid w:val="3A94B26E"/>
    <w:rsid w:val="3A95EEB5"/>
    <w:rsid w:val="3A99A8F2"/>
    <w:rsid w:val="3AA244AB"/>
    <w:rsid w:val="3AA4069C"/>
    <w:rsid w:val="3AA458A3"/>
    <w:rsid w:val="3AA9EA3C"/>
    <w:rsid w:val="3AAA6839"/>
    <w:rsid w:val="3AAA7147"/>
    <w:rsid w:val="3AAEE4C8"/>
    <w:rsid w:val="3AB321C3"/>
    <w:rsid w:val="3AB4395B"/>
    <w:rsid w:val="3AB507EC"/>
    <w:rsid w:val="3AC0650C"/>
    <w:rsid w:val="3AC36A4F"/>
    <w:rsid w:val="3AC42824"/>
    <w:rsid w:val="3ACB4685"/>
    <w:rsid w:val="3ACE2FA9"/>
    <w:rsid w:val="3ADA9CD1"/>
    <w:rsid w:val="3ADD7A86"/>
    <w:rsid w:val="3AE3F86B"/>
    <w:rsid w:val="3AE654C1"/>
    <w:rsid w:val="3AEEBE9C"/>
    <w:rsid w:val="3AEF374B"/>
    <w:rsid w:val="3AF117D3"/>
    <w:rsid w:val="3AF4C4F9"/>
    <w:rsid w:val="3AF739A3"/>
    <w:rsid w:val="3B024913"/>
    <w:rsid w:val="3B04F662"/>
    <w:rsid w:val="3B080501"/>
    <w:rsid w:val="3B0BEC0A"/>
    <w:rsid w:val="3B0D993E"/>
    <w:rsid w:val="3B0E9963"/>
    <w:rsid w:val="3B114B28"/>
    <w:rsid w:val="3B11B7DB"/>
    <w:rsid w:val="3B135A33"/>
    <w:rsid w:val="3B29D911"/>
    <w:rsid w:val="3B2ADB27"/>
    <w:rsid w:val="3B2AF90D"/>
    <w:rsid w:val="3B2D2D53"/>
    <w:rsid w:val="3B2D8277"/>
    <w:rsid w:val="3B35A6F1"/>
    <w:rsid w:val="3B3E0F96"/>
    <w:rsid w:val="3B3E4F8C"/>
    <w:rsid w:val="3B3E793B"/>
    <w:rsid w:val="3B401A76"/>
    <w:rsid w:val="3B4358D3"/>
    <w:rsid w:val="3B44A44A"/>
    <w:rsid w:val="3B484F8E"/>
    <w:rsid w:val="3B494EF6"/>
    <w:rsid w:val="3B4C6BD2"/>
    <w:rsid w:val="3B4EF689"/>
    <w:rsid w:val="3B535B64"/>
    <w:rsid w:val="3B53FBC3"/>
    <w:rsid w:val="3B565F51"/>
    <w:rsid w:val="3B56A41A"/>
    <w:rsid w:val="3B5B0F23"/>
    <w:rsid w:val="3B621557"/>
    <w:rsid w:val="3B651274"/>
    <w:rsid w:val="3B670255"/>
    <w:rsid w:val="3B7E891F"/>
    <w:rsid w:val="3B806105"/>
    <w:rsid w:val="3B82C483"/>
    <w:rsid w:val="3B8453FD"/>
    <w:rsid w:val="3B8622F5"/>
    <w:rsid w:val="3B87E884"/>
    <w:rsid w:val="3B8FCF03"/>
    <w:rsid w:val="3B976B98"/>
    <w:rsid w:val="3B9AD0E3"/>
    <w:rsid w:val="3B9B9290"/>
    <w:rsid w:val="3BAB0FB0"/>
    <w:rsid w:val="3BB06E27"/>
    <w:rsid w:val="3BC01FEA"/>
    <w:rsid w:val="3BC6F604"/>
    <w:rsid w:val="3BCD7B78"/>
    <w:rsid w:val="3BCF2D32"/>
    <w:rsid w:val="3BDC01A0"/>
    <w:rsid w:val="3BDDA8DA"/>
    <w:rsid w:val="3BDEB8F6"/>
    <w:rsid w:val="3BF6BC18"/>
    <w:rsid w:val="3BFD3A89"/>
    <w:rsid w:val="3C06B61D"/>
    <w:rsid w:val="3C0C998D"/>
    <w:rsid w:val="3C260A93"/>
    <w:rsid w:val="3C268E89"/>
    <w:rsid w:val="3C33C4C2"/>
    <w:rsid w:val="3C391C01"/>
    <w:rsid w:val="3C3B0466"/>
    <w:rsid w:val="3C3E9C8F"/>
    <w:rsid w:val="3C486CFA"/>
    <w:rsid w:val="3C49A7AC"/>
    <w:rsid w:val="3C530377"/>
    <w:rsid w:val="3C553E24"/>
    <w:rsid w:val="3C5746D7"/>
    <w:rsid w:val="3C5A0B5E"/>
    <w:rsid w:val="3C5F3439"/>
    <w:rsid w:val="3C677A28"/>
    <w:rsid w:val="3C67B8E8"/>
    <w:rsid w:val="3C6BAB79"/>
    <w:rsid w:val="3C6F4E5B"/>
    <w:rsid w:val="3C6F584D"/>
    <w:rsid w:val="3C98B063"/>
    <w:rsid w:val="3C9DB8F6"/>
    <w:rsid w:val="3C9ED209"/>
    <w:rsid w:val="3CA9C027"/>
    <w:rsid w:val="3CBE78B3"/>
    <w:rsid w:val="3CBFBFB3"/>
    <w:rsid w:val="3CC6CBAD"/>
    <w:rsid w:val="3CC91D72"/>
    <w:rsid w:val="3CC9C556"/>
    <w:rsid w:val="3CCD8B99"/>
    <w:rsid w:val="3CCE3F1E"/>
    <w:rsid w:val="3CD19BA8"/>
    <w:rsid w:val="3CD63114"/>
    <w:rsid w:val="3CD90F55"/>
    <w:rsid w:val="3CE284B7"/>
    <w:rsid w:val="3CE33019"/>
    <w:rsid w:val="3CE89CA6"/>
    <w:rsid w:val="3CE95BBE"/>
    <w:rsid w:val="3CF0E1A3"/>
    <w:rsid w:val="3CF1B11C"/>
    <w:rsid w:val="3CF95DA5"/>
    <w:rsid w:val="3CF99E1B"/>
    <w:rsid w:val="3D09A929"/>
    <w:rsid w:val="3D0C4BD4"/>
    <w:rsid w:val="3D125328"/>
    <w:rsid w:val="3D165A99"/>
    <w:rsid w:val="3D194F34"/>
    <w:rsid w:val="3D1A021F"/>
    <w:rsid w:val="3D1CF1A4"/>
    <w:rsid w:val="3D205214"/>
    <w:rsid w:val="3D2129D5"/>
    <w:rsid w:val="3D2230AE"/>
    <w:rsid w:val="3D23E7E9"/>
    <w:rsid w:val="3D28999F"/>
    <w:rsid w:val="3D2A36AC"/>
    <w:rsid w:val="3D2AD0C0"/>
    <w:rsid w:val="3D2B9BF9"/>
    <w:rsid w:val="3D2FC8BC"/>
    <w:rsid w:val="3D30032B"/>
    <w:rsid w:val="3D373D6B"/>
    <w:rsid w:val="3D37B186"/>
    <w:rsid w:val="3D45622F"/>
    <w:rsid w:val="3D46D43B"/>
    <w:rsid w:val="3D4B2D05"/>
    <w:rsid w:val="3D4D488A"/>
    <w:rsid w:val="3D4F1E42"/>
    <w:rsid w:val="3D50E43D"/>
    <w:rsid w:val="3D52C7CA"/>
    <w:rsid w:val="3D53451F"/>
    <w:rsid w:val="3D60C3D6"/>
    <w:rsid w:val="3D70DF3D"/>
    <w:rsid w:val="3D7D4BA9"/>
    <w:rsid w:val="3D7F1847"/>
    <w:rsid w:val="3D839BDA"/>
    <w:rsid w:val="3D857673"/>
    <w:rsid w:val="3D8BEBFB"/>
    <w:rsid w:val="3D8C7B57"/>
    <w:rsid w:val="3D8F73E6"/>
    <w:rsid w:val="3D91D8F2"/>
    <w:rsid w:val="3D9429ED"/>
    <w:rsid w:val="3D9E3827"/>
    <w:rsid w:val="3DA21DA1"/>
    <w:rsid w:val="3DA2E75B"/>
    <w:rsid w:val="3DB476B9"/>
    <w:rsid w:val="3DB84C7D"/>
    <w:rsid w:val="3DC006B6"/>
    <w:rsid w:val="3DC1E5BA"/>
    <w:rsid w:val="3DC3D4C2"/>
    <w:rsid w:val="3DC9C7D2"/>
    <w:rsid w:val="3DCC633C"/>
    <w:rsid w:val="3DDE19F9"/>
    <w:rsid w:val="3DE44055"/>
    <w:rsid w:val="3DE840CB"/>
    <w:rsid w:val="3DECFCAA"/>
    <w:rsid w:val="3DEDEDE0"/>
    <w:rsid w:val="3DF04770"/>
    <w:rsid w:val="3DF6468B"/>
    <w:rsid w:val="3DF6D62B"/>
    <w:rsid w:val="3DFBDCFB"/>
    <w:rsid w:val="3DFC4755"/>
    <w:rsid w:val="3DFF0463"/>
    <w:rsid w:val="3E0EF0AF"/>
    <w:rsid w:val="3E0FABFD"/>
    <w:rsid w:val="3E11B27D"/>
    <w:rsid w:val="3E11DFEB"/>
    <w:rsid w:val="3E125431"/>
    <w:rsid w:val="3E125C0F"/>
    <w:rsid w:val="3E1290A3"/>
    <w:rsid w:val="3E155DD7"/>
    <w:rsid w:val="3E15F50C"/>
    <w:rsid w:val="3E1AE937"/>
    <w:rsid w:val="3E212BB6"/>
    <w:rsid w:val="3E23363D"/>
    <w:rsid w:val="3E24A567"/>
    <w:rsid w:val="3E31DB6B"/>
    <w:rsid w:val="3E3212A1"/>
    <w:rsid w:val="3E35400B"/>
    <w:rsid w:val="3E3A376F"/>
    <w:rsid w:val="3E3BB5CA"/>
    <w:rsid w:val="3E3C80AA"/>
    <w:rsid w:val="3E3C9EF6"/>
    <w:rsid w:val="3E3CE32D"/>
    <w:rsid w:val="3E48050A"/>
    <w:rsid w:val="3E4BBE92"/>
    <w:rsid w:val="3E4F5CEE"/>
    <w:rsid w:val="3E66A7C3"/>
    <w:rsid w:val="3E670F2B"/>
    <w:rsid w:val="3E67D6F0"/>
    <w:rsid w:val="3E6A28FC"/>
    <w:rsid w:val="3E6AB97B"/>
    <w:rsid w:val="3E6D12D2"/>
    <w:rsid w:val="3E70BD57"/>
    <w:rsid w:val="3E70D1D1"/>
    <w:rsid w:val="3E730E3F"/>
    <w:rsid w:val="3E73CAAE"/>
    <w:rsid w:val="3E78404E"/>
    <w:rsid w:val="3E7A02A8"/>
    <w:rsid w:val="3E7E4D35"/>
    <w:rsid w:val="3E88DDD3"/>
    <w:rsid w:val="3E89A0F7"/>
    <w:rsid w:val="3E8E4CA3"/>
    <w:rsid w:val="3E95B6D0"/>
    <w:rsid w:val="3E9F1D3A"/>
    <w:rsid w:val="3EA2E128"/>
    <w:rsid w:val="3EA88C6C"/>
    <w:rsid w:val="3EA8E5FD"/>
    <w:rsid w:val="3EAA36D8"/>
    <w:rsid w:val="3EAC745C"/>
    <w:rsid w:val="3EB150DC"/>
    <w:rsid w:val="3EC1CC28"/>
    <w:rsid w:val="3EC8B4BF"/>
    <w:rsid w:val="3ED533F8"/>
    <w:rsid w:val="3ED87D4C"/>
    <w:rsid w:val="3EE5EB99"/>
    <w:rsid w:val="3EE7BEE0"/>
    <w:rsid w:val="3EE7FDFC"/>
    <w:rsid w:val="3EE82018"/>
    <w:rsid w:val="3EECE833"/>
    <w:rsid w:val="3EED2827"/>
    <w:rsid w:val="3EEF9000"/>
    <w:rsid w:val="3EF3F9FD"/>
    <w:rsid w:val="3EF99612"/>
    <w:rsid w:val="3F11F151"/>
    <w:rsid w:val="3F142743"/>
    <w:rsid w:val="3F14AFFD"/>
    <w:rsid w:val="3F16768F"/>
    <w:rsid w:val="3F19F24F"/>
    <w:rsid w:val="3F1E04BA"/>
    <w:rsid w:val="3F20613F"/>
    <w:rsid w:val="3F226F2B"/>
    <w:rsid w:val="3F23002D"/>
    <w:rsid w:val="3F2EA714"/>
    <w:rsid w:val="3F3010AA"/>
    <w:rsid w:val="3F31E076"/>
    <w:rsid w:val="3F342892"/>
    <w:rsid w:val="3F42187D"/>
    <w:rsid w:val="3F48D0A7"/>
    <w:rsid w:val="3F52B298"/>
    <w:rsid w:val="3F534DCB"/>
    <w:rsid w:val="3F57B444"/>
    <w:rsid w:val="3F5E1332"/>
    <w:rsid w:val="3F5F5F51"/>
    <w:rsid w:val="3F632E6A"/>
    <w:rsid w:val="3F65E6BD"/>
    <w:rsid w:val="3F68A9E4"/>
    <w:rsid w:val="3F6E15DE"/>
    <w:rsid w:val="3F6E4C89"/>
    <w:rsid w:val="3F763BAA"/>
    <w:rsid w:val="3F7D0786"/>
    <w:rsid w:val="3F855510"/>
    <w:rsid w:val="3F8ACA09"/>
    <w:rsid w:val="3F8B49BA"/>
    <w:rsid w:val="3F8C7A50"/>
    <w:rsid w:val="3F8F966F"/>
    <w:rsid w:val="3F905A6A"/>
    <w:rsid w:val="3F967D0C"/>
    <w:rsid w:val="3F9AB5CE"/>
    <w:rsid w:val="3F9AE57F"/>
    <w:rsid w:val="3F9EC1FC"/>
    <w:rsid w:val="3F9F5FCB"/>
    <w:rsid w:val="3FA184A0"/>
    <w:rsid w:val="3FA48BB3"/>
    <w:rsid w:val="3FA612E2"/>
    <w:rsid w:val="3FA8C795"/>
    <w:rsid w:val="3FAE0471"/>
    <w:rsid w:val="3FAF1EA7"/>
    <w:rsid w:val="3FB08005"/>
    <w:rsid w:val="3FB0CE55"/>
    <w:rsid w:val="3FB1B3D4"/>
    <w:rsid w:val="3FB3FB42"/>
    <w:rsid w:val="3FBF6B3A"/>
    <w:rsid w:val="3FC6182B"/>
    <w:rsid w:val="3FC74013"/>
    <w:rsid w:val="3FE21D5A"/>
    <w:rsid w:val="3FEA550A"/>
    <w:rsid w:val="3FEA5C60"/>
    <w:rsid w:val="3FF00820"/>
    <w:rsid w:val="3FF1D93C"/>
    <w:rsid w:val="4007C87C"/>
    <w:rsid w:val="400B9307"/>
    <w:rsid w:val="400F168A"/>
    <w:rsid w:val="4011C85D"/>
    <w:rsid w:val="401253D1"/>
    <w:rsid w:val="4012861D"/>
    <w:rsid w:val="4013E8FC"/>
    <w:rsid w:val="40183311"/>
    <w:rsid w:val="4019F56F"/>
    <w:rsid w:val="401DABB0"/>
    <w:rsid w:val="402747A4"/>
    <w:rsid w:val="402CCF2A"/>
    <w:rsid w:val="40430CC3"/>
    <w:rsid w:val="40433095"/>
    <w:rsid w:val="40434FC0"/>
    <w:rsid w:val="40479CDA"/>
    <w:rsid w:val="404BF14D"/>
    <w:rsid w:val="405EF784"/>
    <w:rsid w:val="406C2FBC"/>
    <w:rsid w:val="406C3598"/>
    <w:rsid w:val="407155E2"/>
    <w:rsid w:val="4078CF35"/>
    <w:rsid w:val="407D8281"/>
    <w:rsid w:val="407DA2D5"/>
    <w:rsid w:val="40868F35"/>
    <w:rsid w:val="40872869"/>
    <w:rsid w:val="408C6AAB"/>
    <w:rsid w:val="408EAE68"/>
    <w:rsid w:val="408F5715"/>
    <w:rsid w:val="409BFF48"/>
    <w:rsid w:val="409F2998"/>
    <w:rsid w:val="40A64488"/>
    <w:rsid w:val="40A672F5"/>
    <w:rsid w:val="40A9E788"/>
    <w:rsid w:val="40AABC4B"/>
    <w:rsid w:val="40B463BE"/>
    <w:rsid w:val="40C2A531"/>
    <w:rsid w:val="40C2AAE2"/>
    <w:rsid w:val="40C64DE9"/>
    <w:rsid w:val="40CC85AA"/>
    <w:rsid w:val="40CFA6C0"/>
    <w:rsid w:val="40D05716"/>
    <w:rsid w:val="40D27C8B"/>
    <w:rsid w:val="40D4E294"/>
    <w:rsid w:val="40DFCBBF"/>
    <w:rsid w:val="40E8B89B"/>
    <w:rsid w:val="40E9EEDE"/>
    <w:rsid w:val="40EB0C46"/>
    <w:rsid w:val="40FFC106"/>
    <w:rsid w:val="41006E67"/>
    <w:rsid w:val="41016E68"/>
    <w:rsid w:val="4102D38A"/>
    <w:rsid w:val="4102D68F"/>
    <w:rsid w:val="4104A860"/>
    <w:rsid w:val="410B4E80"/>
    <w:rsid w:val="410B9F6A"/>
    <w:rsid w:val="410D652A"/>
    <w:rsid w:val="410D969D"/>
    <w:rsid w:val="41113912"/>
    <w:rsid w:val="4117A5F3"/>
    <w:rsid w:val="411AA753"/>
    <w:rsid w:val="411BE21A"/>
    <w:rsid w:val="411E8FAC"/>
    <w:rsid w:val="4124E6D2"/>
    <w:rsid w:val="412F517E"/>
    <w:rsid w:val="4131B1C5"/>
    <w:rsid w:val="413A3FA2"/>
    <w:rsid w:val="413BE762"/>
    <w:rsid w:val="413E09F4"/>
    <w:rsid w:val="414584D5"/>
    <w:rsid w:val="4148101D"/>
    <w:rsid w:val="414C844F"/>
    <w:rsid w:val="4154AECF"/>
    <w:rsid w:val="4154BDAA"/>
    <w:rsid w:val="4154DBBF"/>
    <w:rsid w:val="415BCCA4"/>
    <w:rsid w:val="4162D1DE"/>
    <w:rsid w:val="4165E7F5"/>
    <w:rsid w:val="4166A6A9"/>
    <w:rsid w:val="416A2663"/>
    <w:rsid w:val="416BF890"/>
    <w:rsid w:val="4174EA30"/>
    <w:rsid w:val="4177F984"/>
    <w:rsid w:val="417DCCC8"/>
    <w:rsid w:val="417DCEE4"/>
    <w:rsid w:val="417E01C1"/>
    <w:rsid w:val="4189218F"/>
    <w:rsid w:val="418F5BAE"/>
    <w:rsid w:val="418F615D"/>
    <w:rsid w:val="419702A2"/>
    <w:rsid w:val="419D9B11"/>
    <w:rsid w:val="41A22CCF"/>
    <w:rsid w:val="41A7EC4E"/>
    <w:rsid w:val="41AF2AC3"/>
    <w:rsid w:val="41B0955E"/>
    <w:rsid w:val="41B2A636"/>
    <w:rsid w:val="41BE15C6"/>
    <w:rsid w:val="41BF0C95"/>
    <w:rsid w:val="41C121CC"/>
    <w:rsid w:val="41C7A341"/>
    <w:rsid w:val="41CA24D2"/>
    <w:rsid w:val="41D177BE"/>
    <w:rsid w:val="41D41483"/>
    <w:rsid w:val="41D57817"/>
    <w:rsid w:val="41D7C1BF"/>
    <w:rsid w:val="41DC8C9D"/>
    <w:rsid w:val="41DD60E7"/>
    <w:rsid w:val="41DE8012"/>
    <w:rsid w:val="41E2C40B"/>
    <w:rsid w:val="41E63D2D"/>
    <w:rsid w:val="41F1D1D1"/>
    <w:rsid w:val="41F36F63"/>
    <w:rsid w:val="41F68382"/>
    <w:rsid w:val="41F77C1C"/>
    <w:rsid w:val="41FE8BB1"/>
    <w:rsid w:val="41FF2397"/>
    <w:rsid w:val="4200A874"/>
    <w:rsid w:val="42066800"/>
    <w:rsid w:val="4208DCA6"/>
    <w:rsid w:val="420DC533"/>
    <w:rsid w:val="42121624"/>
    <w:rsid w:val="4212E8AC"/>
    <w:rsid w:val="42132081"/>
    <w:rsid w:val="4218A434"/>
    <w:rsid w:val="421B276F"/>
    <w:rsid w:val="421B4E5B"/>
    <w:rsid w:val="421CC39D"/>
    <w:rsid w:val="4220B5BF"/>
    <w:rsid w:val="4223B458"/>
    <w:rsid w:val="4224BBEB"/>
    <w:rsid w:val="4230A47C"/>
    <w:rsid w:val="4233839C"/>
    <w:rsid w:val="4236B2FD"/>
    <w:rsid w:val="4238175F"/>
    <w:rsid w:val="4239350B"/>
    <w:rsid w:val="423B1E2D"/>
    <w:rsid w:val="4245EBCE"/>
    <w:rsid w:val="424972B8"/>
    <w:rsid w:val="424A429A"/>
    <w:rsid w:val="424B6C8A"/>
    <w:rsid w:val="4255B78D"/>
    <w:rsid w:val="42595BF3"/>
    <w:rsid w:val="4259DC52"/>
    <w:rsid w:val="4261A462"/>
    <w:rsid w:val="42649782"/>
    <w:rsid w:val="4266F899"/>
    <w:rsid w:val="4268A89C"/>
    <w:rsid w:val="426C6D6F"/>
    <w:rsid w:val="4273E857"/>
    <w:rsid w:val="427884D1"/>
    <w:rsid w:val="427AE652"/>
    <w:rsid w:val="427F9056"/>
    <w:rsid w:val="42819D10"/>
    <w:rsid w:val="4283D94A"/>
    <w:rsid w:val="42844252"/>
    <w:rsid w:val="4287710F"/>
    <w:rsid w:val="4288EB3E"/>
    <w:rsid w:val="4292088B"/>
    <w:rsid w:val="42973DAA"/>
    <w:rsid w:val="429B1DC5"/>
    <w:rsid w:val="429FAB71"/>
    <w:rsid w:val="42A07791"/>
    <w:rsid w:val="42A3CC6E"/>
    <w:rsid w:val="42A685AC"/>
    <w:rsid w:val="42AC1108"/>
    <w:rsid w:val="42AC2847"/>
    <w:rsid w:val="42B078D2"/>
    <w:rsid w:val="42B28AEF"/>
    <w:rsid w:val="42B34DEF"/>
    <w:rsid w:val="42B83A34"/>
    <w:rsid w:val="42B8A336"/>
    <w:rsid w:val="42B9B8F6"/>
    <w:rsid w:val="42BE89E7"/>
    <w:rsid w:val="42CA8D67"/>
    <w:rsid w:val="42CC8471"/>
    <w:rsid w:val="42CD2893"/>
    <w:rsid w:val="42D4220C"/>
    <w:rsid w:val="42DBAF3C"/>
    <w:rsid w:val="42EE8F05"/>
    <w:rsid w:val="42F6C97B"/>
    <w:rsid w:val="42F9FFAF"/>
    <w:rsid w:val="42FB80CD"/>
    <w:rsid w:val="4301F5E1"/>
    <w:rsid w:val="4303A8D6"/>
    <w:rsid w:val="4305D2CB"/>
    <w:rsid w:val="430705DD"/>
    <w:rsid w:val="4308D9E9"/>
    <w:rsid w:val="430CF317"/>
    <w:rsid w:val="4310D77D"/>
    <w:rsid w:val="4312B078"/>
    <w:rsid w:val="4315D697"/>
    <w:rsid w:val="431802A2"/>
    <w:rsid w:val="431CC2F4"/>
    <w:rsid w:val="432342A6"/>
    <w:rsid w:val="4324DAFE"/>
    <w:rsid w:val="43266B47"/>
    <w:rsid w:val="4328D9AA"/>
    <w:rsid w:val="432EAD1E"/>
    <w:rsid w:val="432EBE5C"/>
    <w:rsid w:val="4332202F"/>
    <w:rsid w:val="433A5473"/>
    <w:rsid w:val="433D576D"/>
    <w:rsid w:val="433D7C63"/>
    <w:rsid w:val="43453934"/>
    <w:rsid w:val="43459105"/>
    <w:rsid w:val="434C59E7"/>
    <w:rsid w:val="435129E6"/>
    <w:rsid w:val="43526B6A"/>
    <w:rsid w:val="4356C97E"/>
    <w:rsid w:val="435E6487"/>
    <w:rsid w:val="436377C4"/>
    <w:rsid w:val="4363ACE1"/>
    <w:rsid w:val="4365E146"/>
    <w:rsid w:val="4365ED23"/>
    <w:rsid w:val="436845EB"/>
    <w:rsid w:val="436C539D"/>
    <w:rsid w:val="43772497"/>
    <w:rsid w:val="437CD3FD"/>
    <w:rsid w:val="4380FCA3"/>
    <w:rsid w:val="4386BA9E"/>
    <w:rsid w:val="438A70AC"/>
    <w:rsid w:val="4394F5B1"/>
    <w:rsid w:val="439BD882"/>
    <w:rsid w:val="439CA5B5"/>
    <w:rsid w:val="43A0B1DB"/>
    <w:rsid w:val="43A2EA1B"/>
    <w:rsid w:val="43A43418"/>
    <w:rsid w:val="43AEF991"/>
    <w:rsid w:val="43B5E5AC"/>
    <w:rsid w:val="43B81833"/>
    <w:rsid w:val="43B9856E"/>
    <w:rsid w:val="43C28323"/>
    <w:rsid w:val="43C4B2EB"/>
    <w:rsid w:val="43C7AB29"/>
    <w:rsid w:val="43D1CCA2"/>
    <w:rsid w:val="43D536C7"/>
    <w:rsid w:val="43DAB70D"/>
    <w:rsid w:val="43DFA1B7"/>
    <w:rsid w:val="43E19BEA"/>
    <w:rsid w:val="43E253DF"/>
    <w:rsid w:val="43F42F1A"/>
    <w:rsid w:val="43FAFFEE"/>
    <w:rsid w:val="43FB5D4C"/>
    <w:rsid w:val="43FBBF6F"/>
    <w:rsid w:val="4403377A"/>
    <w:rsid w:val="440405B4"/>
    <w:rsid w:val="44075A02"/>
    <w:rsid w:val="44090C00"/>
    <w:rsid w:val="440F280B"/>
    <w:rsid w:val="441082E7"/>
    <w:rsid w:val="44124696"/>
    <w:rsid w:val="44136177"/>
    <w:rsid w:val="44145B03"/>
    <w:rsid w:val="44187E84"/>
    <w:rsid w:val="4419F81D"/>
    <w:rsid w:val="441D0851"/>
    <w:rsid w:val="441E604E"/>
    <w:rsid w:val="442401B1"/>
    <w:rsid w:val="44245CD6"/>
    <w:rsid w:val="4424D489"/>
    <w:rsid w:val="4427CF47"/>
    <w:rsid w:val="4427EF02"/>
    <w:rsid w:val="442DC854"/>
    <w:rsid w:val="4431723E"/>
    <w:rsid w:val="443F90B2"/>
    <w:rsid w:val="444FED3E"/>
    <w:rsid w:val="445AD338"/>
    <w:rsid w:val="44635587"/>
    <w:rsid w:val="4464AC4F"/>
    <w:rsid w:val="4469DA46"/>
    <w:rsid w:val="4478F105"/>
    <w:rsid w:val="447E3771"/>
    <w:rsid w:val="447E6709"/>
    <w:rsid w:val="44806C4F"/>
    <w:rsid w:val="4484A6D5"/>
    <w:rsid w:val="4486F2A2"/>
    <w:rsid w:val="44882B85"/>
    <w:rsid w:val="448A8F14"/>
    <w:rsid w:val="44901B91"/>
    <w:rsid w:val="4497D0FB"/>
    <w:rsid w:val="449A1A8E"/>
    <w:rsid w:val="449DE096"/>
    <w:rsid w:val="44A58636"/>
    <w:rsid w:val="44A62B69"/>
    <w:rsid w:val="44A92248"/>
    <w:rsid w:val="44AFE08C"/>
    <w:rsid w:val="44B12DDB"/>
    <w:rsid w:val="44B15FCC"/>
    <w:rsid w:val="44B3AB64"/>
    <w:rsid w:val="44B73CBE"/>
    <w:rsid w:val="44BBDC19"/>
    <w:rsid w:val="44BEF271"/>
    <w:rsid w:val="44C349DF"/>
    <w:rsid w:val="44C8F673"/>
    <w:rsid w:val="44D112A7"/>
    <w:rsid w:val="44DB379E"/>
    <w:rsid w:val="44E1DC68"/>
    <w:rsid w:val="44E2241A"/>
    <w:rsid w:val="44E3FA95"/>
    <w:rsid w:val="44E52B74"/>
    <w:rsid w:val="44EA4394"/>
    <w:rsid w:val="44ED418A"/>
    <w:rsid w:val="44F867E7"/>
    <w:rsid w:val="44FAD1A7"/>
    <w:rsid w:val="44FDBB8A"/>
    <w:rsid w:val="4511AF14"/>
    <w:rsid w:val="45155800"/>
    <w:rsid w:val="4515D119"/>
    <w:rsid w:val="45191DC5"/>
    <w:rsid w:val="451E358F"/>
    <w:rsid w:val="45202821"/>
    <w:rsid w:val="4520D8F9"/>
    <w:rsid w:val="4521DAF4"/>
    <w:rsid w:val="4523A890"/>
    <w:rsid w:val="45311C35"/>
    <w:rsid w:val="45333D9D"/>
    <w:rsid w:val="453347A5"/>
    <w:rsid w:val="4535CC63"/>
    <w:rsid w:val="454324E7"/>
    <w:rsid w:val="4544E044"/>
    <w:rsid w:val="4545B3B0"/>
    <w:rsid w:val="4546A7B1"/>
    <w:rsid w:val="454AB38B"/>
    <w:rsid w:val="4551FC94"/>
    <w:rsid w:val="455256AA"/>
    <w:rsid w:val="45545558"/>
    <w:rsid w:val="455633C5"/>
    <w:rsid w:val="45579E2C"/>
    <w:rsid w:val="4567B759"/>
    <w:rsid w:val="456BE392"/>
    <w:rsid w:val="456C753C"/>
    <w:rsid w:val="456E96C1"/>
    <w:rsid w:val="4570BFA9"/>
    <w:rsid w:val="4572A1C9"/>
    <w:rsid w:val="4578EB83"/>
    <w:rsid w:val="45805DF8"/>
    <w:rsid w:val="45846AA9"/>
    <w:rsid w:val="45921090"/>
    <w:rsid w:val="45994043"/>
    <w:rsid w:val="459B795A"/>
    <w:rsid w:val="459D605A"/>
    <w:rsid w:val="459E5BAE"/>
    <w:rsid w:val="459FC619"/>
    <w:rsid w:val="45A023F1"/>
    <w:rsid w:val="45A3CD7C"/>
    <w:rsid w:val="45AC6DFF"/>
    <w:rsid w:val="45B0C651"/>
    <w:rsid w:val="45B50B75"/>
    <w:rsid w:val="45B59EAF"/>
    <w:rsid w:val="45B5BC9A"/>
    <w:rsid w:val="45B7F69C"/>
    <w:rsid w:val="45B88D29"/>
    <w:rsid w:val="45BD21EE"/>
    <w:rsid w:val="45C837E2"/>
    <w:rsid w:val="45CA00C1"/>
    <w:rsid w:val="45D665D0"/>
    <w:rsid w:val="45DC7A16"/>
    <w:rsid w:val="45E1D1F6"/>
    <w:rsid w:val="45E4C89D"/>
    <w:rsid w:val="45EB07F6"/>
    <w:rsid w:val="45F0E16B"/>
    <w:rsid w:val="45F96C44"/>
    <w:rsid w:val="45FA7C71"/>
    <w:rsid w:val="45FC674F"/>
    <w:rsid w:val="460153BC"/>
    <w:rsid w:val="4602D2C8"/>
    <w:rsid w:val="460A1A92"/>
    <w:rsid w:val="460BC7C5"/>
    <w:rsid w:val="460CC5BA"/>
    <w:rsid w:val="4613B946"/>
    <w:rsid w:val="46162AD5"/>
    <w:rsid w:val="461DD99B"/>
    <w:rsid w:val="4621B37D"/>
    <w:rsid w:val="4626F72C"/>
    <w:rsid w:val="462A005D"/>
    <w:rsid w:val="46307A6A"/>
    <w:rsid w:val="463254BB"/>
    <w:rsid w:val="4633D54F"/>
    <w:rsid w:val="46357367"/>
    <w:rsid w:val="4637E58C"/>
    <w:rsid w:val="46386E4A"/>
    <w:rsid w:val="463C107F"/>
    <w:rsid w:val="46447071"/>
    <w:rsid w:val="4647909B"/>
    <w:rsid w:val="464A24CB"/>
    <w:rsid w:val="464FC3A7"/>
    <w:rsid w:val="4650280E"/>
    <w:rsid w:val="46504813"/>
    <w:rsid w:val="46574E5F"/>
    <w:rsid w:val="465C1C7D"/>
    <w:rsid w:val="465E5485"/>
    <w:rsid w:val="465F6A85"/>
    <w:rsid w:val="4661FA5D"/>
    <w:rsid w:val="46651A7F"/>
    <w:rsid w:val="466C10AF"/>
    <w:rsid w:val="4670EA40"/>
    <w:rsid w:val="46742416"/>
    <w:rsid w:val="467C0A1E"/>
    <w:rsid w:val="467E221E"/>
    <w:rsid w:val="468589AE"/>
    <w:rsid w:val="4686ECA9"/>
    <w:rsid w:val="4687AAF0"/>
    <w:rsid w:val="468B7D5A"/>
    <w:rsid w:val="468F2188"/>
    <w:rsid w:val="4691C7E4"/>
    <w:rsid w:val="4699C098"/>
    <w:rsid w:val="469C01B0"/>
    <w:rsid w:val="46B28F8F"/>
    <w:rsid w:val="46B911DA"/>
    <w:rsid w:val="46BD318E"/>
    <w:rsid w:val="46C5D614"/>
    <w:rsid w:val="46D297D1"/>
    <w:rsid w:val="46D57517"/>
    <w:rsid w:val="46DEF3C0"/>
    <w:rsid w:val="46DF46F7"/>
    <w:rsid w:val="46E09A38"/>
    <w:rsid w:val="46E2FF75"/>
    <w:rsid w:val="46EC5EDC"/>
    <w:rsid w:val="46F449AC"/>
    <w:rsid w:val="46F4CE06"/>
    <w:rsid w:val="46F8DBAA"/>
    <w:rsid w:val="4702D133"/>
    <w:rsid w:val="47033018"/>
    <w:rsid w:val="4704FD52"/>
    <w:rsid w:val="47080527"/>
    <w:rsid w:val="471609A7"/>
    <w:rsid w:val="4717BDB1"/>
    <w:rsid w:val="471D4240"/>
    <w:rsid w:val="4728005E"/>
    <w:rsid w:val="472801C7"/>
    <w:rsid w:val="472F0EB8"/>
    <w:rsid w:val="4733950F"/>
    <w:rsid w:val="473784C1"/>
    <w:rsid w:val="473DE522"/>
    <w:rsid w:val="474B1793"/>
    <w:rsid w:val="4751D8CE"/>
    <w:rsid w:val="475BA8E4"/>
    <w:rsid w:val="476C0652"/>
    <w:rsid w:val="4772EBC9"/>
    <w:rsid w:val="4772F6B0"/>
    <w:rsid w:val="477603BA"/>
    <w:rsid w:val="477981D2"/>
    <w:rsid w:val="477A4436"/>
    <w:rsid w:val="477FD734"/>
    <w:rsid w:val="478D94FA"/>
    <w:rsid w:val="478E450B"/>
    <w:rsid w:val="479527B1"/>
    <w:rsid w:val="47997430"/>
    <w:rsid w:val="479CFB9F"/>
    <w:rsid w:val="479F5F9C"/>
    <w:rsid w:val="47AE3CE1"/>
    <w:rsid w:val="47B5D537"/>
    <w:rsid w:val="47BF9EF4"/>
    <w:rsid w:val="47C9C8D5"/>
    <w:rsid w:val="47CAC3CC"/>
    <w:rsid w:val="47CDA2A9"/>
    <w:rsid w:val="47D51726"/>
    <w:rsid w:val="47DA3928"/>
    <w:rsid w:val="47DAA419"/>
    <w:rsid w:val="47DBEC54"/>
    <w:rsid w:val="47E6A791"/>
    <w:rsid w:val="47F29241"/>
    <w:rsid w:val="47F9CAD1"/>
    <w:rsid w:val="47FDFE6D"/>
    <w:rsid w:val="47FED16E"/>
    <w:rsid w:val="480222CD"/>
    <w:rsid w:val="4803FBDF"/>
    <w:rsid w:val="4816340E"/>
    <w:rsid w:val="481F6AC1"/>
    <w:rsid w:val="48206B1D"/>
    <w:rsid w:val="48213E61"/>
    <w:rsid w:val="48215881"/>
    <w:rsid w:val="482E268B"/>
    <w:rsid w:val="4831126D"/>
    <w:rsid w:val="48334684"/>
    <w:rsid w:val="48380243"/>
    <w:rsid w:val="4839B801"/>
    <w:rsid w:val="484B3FAC"/>
    <w:rsid w:val="484BD0F3"/>
    <w:rsid w:val="4852C549"/>
    <w:rsid w:val="48669F88"/>
    <w:rsid w:val="4866DA17"/>
    <w:rsid w:val="48673275"/>
    <w:rsid w:val="486B5DF6"/>
    <w:rsid w:val="486DA4B3"/>
    <w:rsid w:val="486E9342"/>
    <w:rsid w:val="4871CEF4"/>
    <w:rsid w:val="48721033"/>
    <w:rsid w:val="48776BE5"/>
    <w:rsid w:val="487FCE45"/>
    <w:rsid w:val="4880A42C"/>
    <w:rsid w:val="4880DD64"/>
    <w:rsid w:val="488203A1"/>
    <w:rsid w:val="48894416"/>
    <w:rsid w:val="488974FD"/>
    <w:rsid w:val="488B691A"/>
    <w:rsid w:val="48906536"/>
    <w:rsid w:val="4891A412"/>
    <w:rsid w:val="48929BD3"/>
    <w:rsid w:val="489346C8"/>
    <w:rsid w:val="489357DA"/>
    <w:rsid w:val="48946AE1"/>
    <w:rsid w:val="489F745E"/>
    <w:rsid w:val="48B0B121"/>
    <w:rsid w:val="48B819F9"/>
    <w:rsid w:val="48C231A8"/>
    <w:rsid w:val="48C67FBD"/>
    <w:rsid w:val="48D4451E"/>
    <w:rsid w:val="48D88A87"/>
    <w:rsid w:val="48DFE096"/>
    <w:rsid w:val="48E35398"/>
    <w:rsid w:val="48E3B1D0"/>
    <w:rsid w:val="48EB531E"/>
    <w:rsid w:val="48F471FE"/>
    <w:rsid w:val="48F5B91D"/>
    <w:rsid w:val="48FF0A95"/>
    <w:rsid w:val="49034412"/>
    <w:rsid w:val="4906B374"/>
    <w:rsid w:val="490A939F"/>
    <w:rsid w:val="490C933B"/>
    <w:rsid w:val="49103081"/>
    <w:rsid w:val="491251EA"/>
    <w:rsid w:val="4912F9C5"/>
    <w:rsid w:val="4913B9C2"/>
    <w:rsid w:val="4917A115"/>
    <w:rsid w:val="491A0836"/>
    <w:rsid w:val="4924DAF8"/>
    <w:rsid w:val="492A839E"/>
    <w:rsid w:val="492EAFD2"/>
    <w:rsid w:val="4937F2CB"/>
    <w:rsid w:val="493E2D23"/>
    <w:rsid w:val="493E49CA"/>
    <w:rsid w:val="4946AD5B"/>
    <w:rsid w:val="4947F26D"/>
    <w:rsid w:val="4949D103"/>
    <w:rsid w:val="495405AB"/>
    <w:rsid w:val="4963E7D5"/>
    <w:rsid w:val="4976A4BD"/>
    <w:rsid w:val="497E5E86"/>
    <w:rsid w:val="4985E986"/>
    <w:rsid w:val="49896633"/>
    <w:rsid w:val="4991F72F"/>
    <w:rsid w:val="49954871"/>
    <w:rsid w:val="49969705"/>
    <w:rsid w:val="499B8460"/>
    <w:rsid w:val="499E825E"/>
    <w:rsid w:val="49A476D2"/>
    <w:rsid w:val="49A5218E"/>
    <w:rsid w:val="49ADAE04"/>
    <w:rsid w:val="49B02D16"/>
    <w:rsid w:val="49B0BC72"/>
    <w:rsid w:val="49B5AFF2"/>
    <w:rsid w:val="49BD0AAF"/>
    <w:rsid w:val="49BD4FA4"/>
    <w:rsid w:val="49C08ABC"/>
    <w:rsid w:val="49C2F8C9"/>
    <w:rsid w:val="49C3673D"/>
    <w:rsid w:val="49C76AE8"/>
    <w:rsid w:val="49D808E0"/>
    <w:rsid w:val="49D85CD2"/>
    <w:rsid w:val="49DA1A39"/>
    <w:rsid w:val="49DA50F7"/>
    <w:rsid w:val="49DC3141"/>
    <w:rsid w:val="49DC5793"/>
    <w:rsid w:val="49E536EE"/>
    <w:rsid w:val="49E90BC6"/>
    <w:rsid w:val="49EB6AB8"/>
    <w:rsid w:val="49EC5766"/>
    <w:rsid w:val="49FBD777"/>
    <w:rsid w:val="49FEB29E"/>
    <w:rsid w:val="4A011183"/>
    <w:rsid w:val="4A08ED5F"/>
    <w:rsid w:val="4A11F96B"/>
    <w:rsid w:val="4A138C1A"/>
    <w:rsid w:val="4A183D24"/>
    <w:rsid w:val="4A1AB294"/>
    <w:rsid w:val="4A1ECA20"/>
    <w:rsid w:val="4A25794D"/>
    <w:rsid w:val="4A26CB8C"/>
    <w:rsid w:val="4A27BD89"/>
    <w:rsid w:val="4A298067"/>
    <w:rsid w:val="4A2BC91C"/>
    <w:rsid w:val="4A2E4501"/>
    <w:rsid w:val="4A31EEBF"/>
    <w:rsid w:val="4A3330BA"/>
    <w:rsid w:val="4A3CBF8F"/>
    <w:rsid w:val="4A3F7609"/>
    <w:rsid w:val="4A3FC83B"/>
    <w:rsid w:val="4A45A5E6"/>
    <w:rsid w:val="4A4638D4"/>
    <w:rsid w:val="4A470097"/>
    <w:rsid w:val="4A4B773F"/>
    <w:rsid w:val="4A69285F"/>
    <w:rsid w:val="4A69BB91"/>
    <w:rsid w:val="4A749155"/>
    <w:rsid w:val="4A74FC8B"/>
    <w:rsid w:val="4A759795"/>
    <w:rsid w:val="4A79E8F6"/>
    <w:rsid w:val="4A7CC1FE"/>
    <w:rsid w:val="4A83BE97"/>
    <w:rsid w:val="4A87CA8F"/>
    <w:rsid w:val="4A8CF550"/>
    <w:rsid w:val="4A8EA586"/>
    <w:rsid w:val="4A9397FB"/>
    <w:rsid w:val="4A95B562"/>
    <w:rsid w:val="4AAE2AC5"/>
    <w:rsid w:val="4AB663EA"/>
    <w:rsid w:val="4ABD74BC"/>
    <w:rsid w:val="4AC17643"/>
    <w:rsid w:val="4ACBF2CA"/>
    <w:rsid w:val="4ACC1072"/>
    <w:rsid w:val="4ACD00B3"/>
    <w:rsid w:val="4ACD17A2"/>
    <w:rsid w:val="4AD732B6"/>
    <w:rsid w:val="4ADCEF38"/>
    <w:rsid w:val="4AE40FC8"/>
    <w:rsid w:val="4AE98F56"/>
    <w:rsid w:val="4AEB8004"/>
    <w:rsid w:val="4AEF122F"/>
    <w:rsid w:val="4AEF7778"/>
    <w:rsid w:val="4AF5B044"/>
    <w:rsid w:val="4AF6A23A"/>
    <w:rsid w:val="4B085053"/>
    <w:rsid w:val="4B1563D8"/>
    <w:rsid w:val="4B15887A"/>
    <w:rsid w:val="4B17DF5F"/>
    <w:rsid w:val="4B1B76E6"/>
    <w:rsid w:val="4B213720"/>
    <w:rsid w:val="4B22E3D7"/>
    <w:rsid w:val="4B2C8C0A"/>
    <w:rsid w:val="4B31170A"/>
    <w:rsid w:val="4B465A6A"/>
    <w:rsid w:val="4B500BA7"/>
    <w:rsid w:val="4B505B6D"/>
    <w:rsid w:val="4B510FE1"/>
    <w:rsid w:val="4B52F742"/>
    <w:rsid w:val="4B53E841"/>
    <w:rsid w:val="4B5644E7"/>
    <w:rsid w:val="4B57D62F"/>
    <w:rsid w:val="4B58185F"/>
    <w:rsid w:val="4B5D2A2C"/>
    <w:rsid w:val="4B6002BC"/>
    <w:rsid w:val="4B6CA263"/>
    <w:rsid w:val="4B6F9A29"/>
    <w:rsid w:val="4B6FFDB3"/>
    <w:rsid w:val="4B700F8A"/>
    <w:rsid w:val="4B724449"/>
    <w:rsid w:val="4B759A16"/>
    <w:rsid w:val="4B770970"/>
    <w:rsid w:val="4B772D50"/>
    <w:rsid w:val="4B78231A"/>
    <w:rsid w:val="4B7F5652"/>
    <w:rsid w:val="4B81EBBC"/>
    <w:rsid w:val="4B8268FE"/>
    <w:rsid w:val="4B96958C"/>
    <w:rsid w:val="4B9C88CB"/>
    <w:rsid w:val="4B9E1445"/>
    <w:rsid w:val="4B9F9ABC"/>
    <w:rsid w:val="4BA11856"/>
    <w:rsid w:val="4BA2B1D6"/>
    <w:rsid w:val="4BA31ED9"/>
    <w:rsid w:val="4BAB4F72"/>
    <w:rsid w:val="4BAB8EB9"/>
    <w:rsid w:val="4BB9BFD5"/>
    <w:rsid w:val="4BBBF64A"/>
    <w:rsid w:val="4BBC0DDD"/>
    <w:rsid w:val="4BC0CB94"/>
    <w:rsid w:val="4BC25ABC"/>
    <w:rsid w:val="4BC2D145"/>
    <w:rsid w:val="4BC49024"/>
    <w:rsid w:val="4BC8420F"/>
    <w:rsid w:val="4BCC21D7"/>
    <w:rsid w:val="4BCD1D8B"/>
    <w:rsid w:val="4BD051AE"/>
    <w:rsid w:val="4BD4A3E9"/>
    <w:rsid w:val="4BD72B96"/>
    <w:rsid w:val="4BE7A26C"/>
    <w:rsid w:val="4BF1E407"/>
    <w:rsid w:val="4BF28AE7"/>
    <w:rsid w:val="4BF35FEB"/>
    <w:rsid w:val="4BF73457"/>
    <w:rsid w:val="4BFB5E1E"/>
    <w:rsid w:val="4BFEA2D9"/>
    <w:rsid w:val="4C03B1DD"/>
    <w:rsid w:val="4C0C95FD"/>
    <w:rsid w:val="4C0D6A1D"/>
    <w:rsid w:val="4C0F340C"/>
    <w:rsid w:val="4C13510C"/>
    <w:rsid w:val="4C1729A3"/>
    <w:rsid w:val="4C18D82B"/>
    <w:rsid w:val="4C1A1FFA"/>
    <w:rsid w:val="4C1BE488"/>
    <w:rsid w:val="4C1CD3E6"/>
    <w:rsid w:val="4C203D91"/>
    <w:rsid w:val="4C20E476"/>
    <w:rsid w:val="4C210A09"/>
    <w:rsid w:val="4C22A5E0"/>
    <w:rsid w:val="4C257D35"/>
    <w:rsid w:val="4C266170"/>
    <w:rsid w:val="4C282AA3"/>
    <w:rsid w:val="4C2E1C19"/>
    <w:rsid w:val="4C2F378A"/>
    <w:rsid w:val="4C35E525"/>
    <w:rsid w:val="4C440ED0"/>
    <w:rsid w:val="4C449DEE"/>
    <w:rsid w:val="4C4DFD66"/>
    <w:rsid w:val="4C5379FB"/>
    <w:rsid w:val="4C538570"/>
    <w:rsid w:val="4C541704"/>
    <w:rsid w:val="4C5E3ED3"/>
    <w:rsid w:val="4C5ED451"/>
    <w:rsid w:val="4C5F80BC"/>
    <w:rsid w:val="4C5FA8E4"/>
    <w:rsid w:val="4C5FDA05"/>
    <w:rsid w:val="4C62EDE5"/>
    <w:rsid w:val="4C6DD169"/>
    <w:rsid w:val="4C7020A5"/>
    <w:rsid w:val="4C770722"/>
    <w:rsid w:val="4C780D78"/>
    <w:rsid w:val="4C81CE1A"/>
    <w:rsid w:val="4C887C69"/>
    <w:rsid w:val="4C893D2E"/>
    <w:rsid w:val="4C8CB511"/>
    <w:rsid w:val="4C93FCD3"/>
    <w:rsid w:val="4C9D1D3F"/>
    <w:rsid w:val="4CA6EB5A"/>
    <w:rsid w:val="4CAF44C7"/>
    <w:rsid w:val="4CBA7D10"/>
    <w:rsid w:val="4CC630EC"/>
    <w:rsid w:val="4CC724BB"/>
    <w:rsid w:val="4CD62AD4"/>
    <w:rsid w:val="4CEC108A"/>
    <w:rsid w:val="4CF3E3C5"/>
    <w:rsid w:val="4CF8B26F"/>
    <w:rsid w:val="4CF8CC35"/>
    <w:rsid w:val="4CFFBC75"/>
    <w:rsid w:val="4D009235"/>
    <w:rsid w:val="4D01F96C"/>
    <w:rsid w:val="4D0CBC91"/>
    <w:rsid w:val="4D123330"/>
    <w:rsid w:val="4D140ECF"/>
    <w:rsid w:val="4D16460B"/>
    <w:rsid w:val="4D1C1AAC"/>
    <w:rsid w:val="4D1FC79A"/>
    <w:rsid w:val="4D200EFB"/>
    <w:rsid w:val="4D28B152"/>
    <w:rsid w:val="4D2FAD7F"/>
    <w:rsid w:val="4D32A5D1"/>
    <w:rsid w:val="4D381B90"/>
    <w:rsid w:val="4D397277"/>
    <w:rsid w:val="4D3D3A27"/>
    <w:rsid w:val="4D3E0BCF"/>
    <w:rsid w:val="4D41A70B"/>
    <w:rsid w:val="4D4A824F"/>
    <w:rsid w:val="4D4CC34F"/>
    <w:rsid w:val="4D4DFE3E"/>
    <w:rsid w:val="4D4FB177"/>
    <w:rsid w:val="4D4FBA87"/>
    <w:rsid w:val="4D5112D8"/>
    <w:rsid w:val="4D542C48"/>
    <w:rsid w:val="4D55C783"/>
    <w:rsid w:val="4D5723C9"/>
    <w:rsid w:val="4D5A5531"/>
    <w:rsid w:val="4D66A850"/>
    <w:rsid w:val="4D6CA47E"/>
    <w:rsid w:val="4D6EDA6F"/>
    <w:rsid w:val="4D702D0F"/>
    <w:rsid w:val="4D70352D"/>
    <w:rsid w:val="4D71834B"/>
    <w:rsid w:val="4D7895DF"/>
    <w:rsid w:val="4D79EB15"/>
    <w:rsid w:val="4D7BFD46"/>
    <w:rsid w:val="4D7F3B41"/>
    <w:rsid w:val="4D866AAB"/>
    <w:rsid w:val="4D947D7B"/>
    <w:rsid w:val="4D95405F"/>
    <w:rsid w:val="4D957617"/>
    <w:rsid w:val="4D978E79"/>
    <w:rsid w:val="4D9B70CB"/>
    <w:rsid w:val="4D9F4DE1"/>
    <w:rsid w:val="4DA2E116"/>
    <w:rsid w:val="4DA404CB"/>
    <w:rsid w:val="4DA436DA"/>
    <w:rsid w:val="4DA89568"/>
    <w:rsid w:val="4DAA30D2"/>
    <w:rsid w:val="4DB66516"/>
    <w:rsid w:val="4DB7A0C9"/>
    <w:rsid w:val="4DB866D1"/>
    <w:rsid w:val="4DB91A29"/>
    <w:rsid w:val="4DB9D6CA"/>
    <w:rsid w:val="4DC2863B"/>
    <w:rsid w:val="4DC706A1"/>
    <w:rsid w:val="4DC8A81F"/>
    <w:rsid w:val="4DC9334F"/>
    <w:rsid w:val="4DCBD322"/>
    <w:rsid w:val="4DD16D1D"/>
    <w:rsid w:val="4DDBC895"/>
    <w:rsid w:val="4DE01E12"/>
    <w:rsid w:val="4DE21486"/>
    <w:rsid w:val="4DE2EC4A"/>
    <w:rsid w:val="4DE7B62E"/>
    <w:rsid w:val="4DF3C8E1"/>
    <w:rsid w:val="4DF69408"/>
    <w:rsid w:val="4E0A10C7"/>
    <w:rsid w:val="4E0E5135"/>
    <w:rsid w:val="4E15C33F"/>
    <w:rsid w:val="4E169554"/>
    <w:rsid w:val="4E1A107A"/>
    <w:rsid w:val="4E1F566B"/>
    <w:rsid w:val="4E21F0AE"/>
    <w:rsid w:val="4E2C3955"/>
    <w:rsid w:val="4E316B81"/>
    <w:rsid w:val="4E31F8B8"/>
    <w:rsid w:val="4E38BADD"/>
    <w:rsid w:val="4E486A7C"/>
    <w:rsid w:val="4E4C134E"/>
    <w:rsid w:val="4E571B9C"/>
    <w:rsid w:val="4E5CFDF1"/>
    <w:rsid w:val="4E6432AE"/>
    <w:rsid w:val="4E644629"/>
    <w:rsid w:val="4E681204"/>
    <w:rsid w:val="4E68ED83"/>
    <w:rsid w:val="4E6B8B6D"/>
    <w:rsid w:val="4E6C79DC"/>
    <w:rsid w:val="4E708A9F"/>
    <w:rsid w:val="4E782A01"/>
    <w:rsid w:val="4E7C96D4"/>
    <w:rsid w:val="4E8321A4"/>
    <w:rsid w:val="4E8644F9"/>
    <w:rsid w:val="4E873AA0"/>
    <w:rsid w:val="4E8E11F2"/>
    <w:rsid w:val="4E8FEECA"/>
    <w:rsid w:val="4E91CF35"/>
    <w:rsid w:val="4E9B9734"/>
    <w:rsid w:val="4EA07098"/>
    <w:rsid w:val="4EA19163"/>
    <w:rsid w:val="4EA79F0A"/>
    <w:rsid w:val="4EA7B016"/>
    <w:rsid w:val="4EB7EB30"/>
    <w:rsid w:val="4EBED51A"/>
    <w:rsid w:val="4EBF098C"/>
    <w:rsid w:val="4EC0BA45"/>
    <w:rsid w:val="4EC38547"/>
    <w:rsid w:val="4EC52821"/>
    <w:rsid w:val="4ECE0CCA"/>
    <w:rsid w:val="4ECE1370"/>
    <w:rsid w:val="4ED62FF3"/>
    <w:rsid w:val="4ED74D1A"/>
    <w:rsid w:val="4ED9335E"/>
    <w:rsid w:val="4EE0B29F"/>
    <w:rsid w:val="4EE5BA0D"/>
    <w:rsid w:val="4EEAF32B"/>
    <w:rsid w:val="4EEEE5A9"/>
    <w:rsid w:val="4EF57C85"/>
    <w:rsid w:val="4F005D55"/>
    <w:rsid w:val="4F07772A"/>
    <w:rsid w:val="4F0C8319"/>
    <w:rsid w:val="4F14969B"/>
    <w:rsid w:val="4F15A674"/>
    <w:rsid w:val="4F189341"/>
    <w:rsid w:val="4F19F30B"/>
    <w:rsid w:val="4F1EF4C0"/>
    <w:rsid w:val="4F213CFE"/>
    <w:rsid w:val="4F25D94C"/>
    <w:rsid w:val="4F31B7E2"/>
    <w:rsid w:val="4F33E8F7"/>
    <w:rsid w:val="4F46289B"/>
    <w:rsid w:val="4F496817"/>
    <w:rsid w:val="4F4A7F38"/>
    <w:rsid w:val="4F688AF1"/>
    <w:rsid w:val="4F7D7857"/>
    <w:rsid w:val="4F815956"/>
    <w:rsid w:val="4F84AFE4"/>
    <w:rsid w:val="4F8601FC"/>
    <w:rsid w:val="4F8752E4"/>
    <w:rsid w:val="4F8B3CBD"/>
    <w:rsid w:val="4F8B7C4A"/>
    <w:rsid w:val="4F8CAED0"/>
    <w:rsid w:val="4F97CE3E"/>
    <w:rsid w:val="4F98677D"/>
    <w:rsid w:val="4F98858C"/>
    <w:rsid w:val="4F99D85E"/>
    <w:rsid w:val="4FA799D4"/>
    <w:rsid w:val="4FAD741B"/>
    <w:rsid w:val="4FB1B41C"/>
    <w:rsid w:val="4FB7B112"/>
    <w:rsid w:val="4FB8B2D4"/>
    <w:rsid w:val="4FBEDFE4"/>
    <w:rsid w:val="4FC3D8D2"/>
    <w:rsid w:val="4FC6816E"/>
    <w:rsid w:val="4FD2690E"/>
    <w:rsid w:val="4FD2F388"/>
    <w:rsid w:val="4FD74283"/>
    <w:rsid w:val="4FD9589F"/>
    <w:rsid w:val="4FDA8618"/>
    <w:rsid w:val="4FEA047B"/>
    <w:rsid w:val="4FEB37F3"/>
    <w:rsid w:val="4FECE36E"/>
    <w:rsid w:val="4FF109FD"/>
    <w:rsid w:val="4FF132D1"/>
    <w:rsid w:val="4FF183EE"/>
    <w:rsid w:val="4FFAE7A8"/>
    <w:rsid w:val="4FFCA521"/>
    <w:rsid w:val="500860FB"/>
    <w:rsid w:val="500CA0A0"/>
    <w:rsid w:val="5015CC6A"/>
    <w:rsid w:val="5016A1CB"/>
    <w:rsid w:val="501C48D1"/>
    <w:rsid w:val="502A2670"/>
    <w:rsid w:val="502D4B43"/>
    <w:rsid w:val="50382376"/>
    <w:rsid w:val="503C08D9"/>
    <w:rsid w:val="503CF61B"/>
    <w:rsid w:val="5040E1F2"/>
    <w:rsid w:val="504114FA"/>
    <w:rsid w:val="50436482"/>
    <w:rsid w:val="5052E9D7"/>
    <w:rsid w:val="50564C51"/>
    <w:rsid w:val="5058EABB"/>
    <w:rsid w:val="5064C23C"/>
    <w:rsid w:val="50653880"/>
    <w:rsid w:val="5067744A"/>
    <w:rsid w:val="506C65D0"/>
    <w:rsid w:val="506C84BA"/>
    <w:rsid w:val="50704C0D"/>
    <w:rsid w:val="5072737D"/>
    <w:rsid w:val="5075AE53"/>
    <w:rsid w:val="507F1395"/>
    <w:rsid w:val="50854E02"/>
    <w:rsid w:val="508A7B48"/>
    <w:rsid w:val="508C5192"/>
    <w:rsid w:val="5094B5D8"/>
    <w:rsid w:val="509666D6"/>
    <w:rsid w:val="50979D61"/>
    <w:rsid w:val="50990693"/>
    <w:rsid w:val="509FC6BE"/>
    <w:rsid w:val="50A0E180"/>
    <w:rsid w:val="50A0E7B2"/>
    <w:rsid w:val="50AA100A"/>
    <w:rsid w:val="50B00B94"/>
    <w:rsid w:val="50B33167"/>
    <w:rsid w:val="50B952FA"/>
    <w:rsid w:val="50BB8AFD"/>
    <w:rsid w:val="50C26DBA"/>
    <w:rsid w:val="50C32971"/>
    <w:rsid w:val="50DA3247"/>
    <w:rsid w:val="50DAAF1D"/>
    <w:rsid w:val="50E51763"/>
    <w:rsid w:val="50E9012E"/>
    <w:rsid w:val="50F047AD"/>
    <w:rsid w:val="51028C45"/>
    <w:rsid w:val="5103565E"/>
    <w:rsid w:val="51086F1A"/>
    <w:rsid w:val="510E3A40"/>
    <w:rsid w:val="5111FD28"/>
    <w:rsid w:val="51138721"/>
    <w:rsid w:val="5123BB00"/>
    <w:rsid w:val="5125DD89"/>
    <w:rsid w:val="51268F11"/>
    <w:rsid w:val="51291A1D"/>
    <w:rsid w:val="512A5510"/>
    <w:rsid w:val="51358C8B"/>
    <w:rsid w:val="5135D291"/>
    <w:rsid w:val="51375F96"/>
    <w:rsid w:val="5142B401"/>
    <w:rsid w:val="5142E9FB"/>
    <w:rsid w:val="514ACF08"/>
    <w:rsid w:val="514E5AB6"/>
    <w:rsid w:val="514F4192"/>
    <w:rsid w:val="5156523C"/>
    <w:rsid w:val="515AE112"/>
    <w:rsid w:val="5168082E"/>
    <w:rsid w:val="51681B63"/>
    <w:rsid w:val="516B7C17"/>
    <w:rsid w:val="51748367"/>
    <w:rsid w:val="517DC8DD"/>
    <w:rsid w:val="5185167F"/>
    <w:rsid w:val="518F06C3"/>
    <w:rsid w:val="51938ABE"/>
    <w:rsid w:val="5199FE9A"/>
    <w:rsid w:val="519C065D"/>
    <w:rsid w:val="519E8FC9"/>
    <w:rsid w:val="519F8813"/>
    <w:rsid w:val="51A0C07E"/>
    <w:rsid w:val="51A18833"/>
    <w:rsid w:val="51A78EE9"/>
    <w:rsid w:val="51AA0650"/>
    <w:rsid w:val="51AC76FC"/>
    <w:rsid w:val="51B33AD4"/>
    <w:rsid w:val="51BD64AB"/>
    <w:rsid w:val="51BDA2E9"/>
    <w:rsid w:val="51BE4B6E"/>
    <w:rsid w:val="51C1EEEE"/>
    <w:rsid w:val="51C24D45"/>
    <w:rsid w:val="51C65F45"/>
    <w:rsid w:val="51C97A0F"/>
    <w:rsid w:val="51CB30D1"/>
    <w:rsid w:val="51CECA6A"/>
    <w:rsid w:val="51D3A5D4"/>
    <w:rsid w:val="51D694D3"/>
    <w:rsid w:val="51D79344"/>
    <w:rsid w:val="51D89BA2"/>
    <w:rsid w:val="51DA4FBA"/>
    <w:rsid w:val="51DB897C"/>
    <w:rsid w:val="51DDFA34"/>
    <w:rsid w:val="51DE9380"/>
    <w:rsid w:val="51DFF92F"/>
    <w:rsid w:val="51E1E69B"/>
    <w:rsid w:val="51E21B34"/>
    <w:rsid w:val="51EEC2B4"/>
    <w:rsid w:val="51F5E8E6"/>
    <w:rsid w:val="51F81F95"/>
    <w:rsid w:val="51FE9371"/>
    <w:rsid w:val="5204DE56"/>
    <w:rsid w:val="52091F15"/>
    <w:rsid w:val="5218D285"/>
    <w:rsid w:val="521CFB38"/>
    <w:rsid w:val="52274EC8"/>
    <w:rsid w:val="522D069A"/>
    <w:rsid w:val="52368817"/>
    <w:rsid w:val="5237A8D3"/>
    <w:rsid w:val="523DE510"/>
    <w:rsid w:val="523FB8F4"/>
    <w:rsid w:val="5243BE97"/>
    <w:rsid w:val="5246F9F5"/>
    <w:rsid w:val="5247A3F0"/>
    <w:rsid w:val="524AF302"/>
    <w:rsid w:val="524E0029"/>
    <w:rsid w:val="524E29B5"/>
    <w:rsid w:val="524F19FE"/>
    <w:rsid w:val="525C9310"/>
    <w:rsid w:val="526335E7"/>
    <w:rsid w:val="526962D2"/>
    <w:rsid w:val="526AC2AC"/>
    <w:rsid w:val="526D3A21"/>
    <w:rsid w:val="526DC5E1"/>
    <w:rsid w:val="526E68A8"/>
    <w:rsid w:val="5276E7CC"/>
    <w:rsid w:val="5277CBBC"/>
    <w:rsid w:val="527D6CA6"/>
    <w:rsid w:val="527F9CF1"/>
    <w:rsid w:val="5280710E"/>
    <w:rsid w:val="5280F8DE"/>
    <w:rsid w:val="529019B2"/>
    <w:rsid w:val="52961BE0"/>
    <w:rsid w:val="529643E4"/>
    <w:rsid w:val="52984BF3"/>
    <w:rsid w:val="52A12AFF"/>
    <w:rsid w:val="52A40F45"/>
    <w:rsid w:val="52A4C171"/>
    <w:rsid w:val="52A54073"/>
    <w:rsid w:val="52A86435"/>
    <w:rsid w:val="52B1610E"/>
    <w:rsid w:val="52C019B1"/>
    <w:rsid w:val="52C1492E"/>
    <w:rsid w:val="52C80AFA"/>
    <w:rsid w:val="52CEBA82"/>
    <w:rsid w:val="52D0A25C"/>
    <w:rsid w:val="52D38A00"/>
    <w:rsid w:val="52DC4160"/>
    <w:rsid w:val="52E62823"/>
    <w:rsid w:val="52E66621"/>
    <w:rsid w:val="52EACEC0"/>
    <w:rsid w:val="52EB3A8A"/>
    <w:rsid w:val="52EDBBAF"/>
    <w:rsid w:val="52EEC3B5"/>
    <w:rsid w:val="52EF481E"/>
    <w:rsid w:val="52F1F69B"/>
    <w:rsid w:val="52F28266"/>
    <w:rsid w:val="52F2EFBF"/>
    <w:rsid w:val="52FA466F"/>
    <w:rsid w:val="52FD20E3"/>
    <w:rsid w:val="52FDD0F5"/>
    <w:rsid w:val="53071E8C"/>
    <w:rsid w:val="530BB255"/>
    <w:rsid w:val="530D01C4"/>
    <w:rsid w:val="53123844"/>
    <w:rsid w:val="531676D8"/>
    <w:rsid w:val="5319313E"/>
    <w:rsid w:val="531CEDCC"/>
    <w:rsid w:val="531E68E8"/>
    <w:rsid w:val="53241E18"/>
    <w:rsid w:val="53255466"/>
    <w:rsid w:val="532E255D"/>
    <w:rsid w:val="532EADF2"/>
    <w:rsid w:val="5331D218"/>
    <w:rsid w:val="5337FB9C"/>
    <w:rsid w:val="533BD86A"/>
    <w:rsid w:val="5340C082"/>
    <w:rsid w:val="534870F5"/>
    <w:rsid w:val="53495875"/>
    <w:rsid w:val="534A1B7D"/>
    <w:rsid w:val="534DF830"/>
    <w:rsid w:val="5358EB51"/>
    <w:rsid w:val="535A0BC7"/>
    <w:rsid w:val="5363C7BC"/>
    <w:rsid w:val="5365C89F"/>
    <w:rsid w:val="536AA167"/>
    <w:rsid w:val="536B92EB"/>
    <w:rsid w:val="536D844C"/>
    <w:rsid w:val="53718D57"/>
    <w:rsid w:val="5372C4D6"/>
    <w:rsid w:val="537303B9"/>
    <w:rsid w:val="53783233"/>
    <w:rsid w:val="5381FA41"/>
    <w:rsid w:val="5387A3A1"/>
    <w:rsid w:val="538DBBDD"/>
    <w:rsid w:val="5390949F"/>
    <w:rsid w:val="53976EC1"/>
    <w:rsid w:val="539CB32C"/>
    <w:rsid w:val="53A8B203"/>
    <w:rsid w:val="53A9BA1C"/>
    <w:rsid w:val="53ABCCAD"/>
    <w:rsid w:val="53AFAC0A"/>
    <w:rsid w:val="53B6CB44"/>
    <w:rsid w:val="53C1F8B7"/>
    <w:rsid w:val="53C79D97"/>
    <w:rsid w:val="53CD34BE"/>
    <w:rsid w:val="53D24BCA"/>
    <w:rsid w:val="53D7DDF9"/>
    <w:rsid w:val="53D84617"/>
    <w:rsid w:val="53D9BEEE"/>
    <w:rsid w:val="53DA86EE"/>
    <w:rsid w:val="53DB1E4D"/>
    <w:rsid w:val="53ED459E"/>
    <w:rsid w:val="53EFA6D5"/>
    <w:rsid w:val="53F03B51"/>
    <w:rsid w:val="53F489C5"/>
    <w:rsid w:val="53F5C244"/>
    <w:rsid w:val="53FCEA77"/>
    <w:rsid w:val="540C99E7"/>
    <w:rsid w:val="5414B636"/>
    <w:rsid w:val="541A5A57"/>
    <w:rsid w:val="541DAF92"/>
    <w:rsid w:val="5431637C"/>
    <w:rsid w:val="5436B841"/>
    <w:rsid w:val="54378DAA"/>
    <w:rsid w:val="5442EC08"/>
    <w:rsid w:val="544AB297"/>
    <w:rsid w:val="544B3DEC"/>
    <w:rsid w:val="544B5579"/>
    <w:rsid w:val="544EAEEF"/>
    <w:rsid w:val="54508E49"/>
    <w:rsid w:val="545C926F"/>
    <w:rsid w:val="545D43A5"/>
    <w:rsid w:val="54604F2B"/>
    <w:rsid w:val="546997AA"/>
    <w:rsid w:val="5469A3FA"/>
    <w:rsid w:val="546B716E"/>
    <w:rsid w:val="546E2963"/>
    <w:rsid w:val="5471201D"/>
    <w:rsid w:val="5475FAFF"/>
    <w:rsid w:val="54824806"/>
    <w:rsid w:val="5482B8B6"/>
    <w:rsid w:val="5484D523"/>
    <w:rsid w:val="5487D7FB"/>
    <w:rsid w:val="54895015"/>
    <w:rsid w:val="548D7A55"/>
    <w:rsid w:val="54909DCB"/>
    <w:rsid w:val="54938153"/>
    <w:rsid w:val="5494129E"/>
    <w:rsid w:val="549D7B34"/>
    <w:rsid w:val="549F297E"/>
    <w:rsid w:val="549FC670"/>
    <w:rsid w:val="54A2FF25"/>
    <w:rsid w:val="54A51354"/>
    <w:rsid w:val="54AC9C23"/>
    <w:rsid w:val="54B15401"/>
    <w:rsid w:val="54B4964A"/>
    <w:rsid w:val="54B9D8FC"/>
    <w:rsid w:val="54C4E81B"/>
    <w:rsid w:val="54C57281"/>
    <w:rsid w:val="54C722FD"/>
    <w:rsid w:val="54C9B41C"/>
    <w:rsid w:val="54C9B93F"/>
    <w:rsid w:val="54D25A3E"/>
    <w:rsid w:val="54DEF713"/>
    <w:rsid w:val="54F2411D"/>
    <w:rsid w:val="54F3CE88"/>
    <w:rsid w:val="54F4B6D3"/>
    <w:rsid w:val="54F513FD"/>
    <w:rsid w:val="54F9BA21"/>
    <w:rsid w:val="54FAE112"/>
    <w:rsid w:val="54FD5DE8"/>
    <w:rsid w:val="54FD6D20"/>
    <w:rsid w:val="54FF41AF"/>
    <w:rsid w:val="55114099"/>
    <w:rsid w:val="5512981E"/>
    <w:rsid w:val="5513D2EF"/>
    <w:rsid w:val="551A0D94"/>
    <w:rsid w:val="551B5B7C"/>
    <w:rsid w:val="551D94ED"/>
    <w:rsid w:val="551E6B9F"/>
    <w:rsid w:val="5534F252"/>
    <w:rsid w:val="5537ED48"/>
    <w:rsid w:val="553902AA"/>
    <w:rsid w:val="5545F1C3"/>
    <w:rsid w:val="5547A537"/>
    <w:rsid w:val="5548E04D"/>
    <w:rsid w:val="5549AD6F"/>
    <w:rsid w:val="554E7DAC"/>
    <w:rsid w:val="554F5B15"/>
    <w:rsid w:val="555A29B0"/>
    <w:rsid w:val="555B1942"/>
    <w:rsid w:val="555C0B82"/>
    <w:rsid w:val="555F75DE"/>
    <w:rsid w:val="55705FC7"/>
    <w:rsid w:val="5570A34C"/>
    <w:rsid w:val="5572FEEF"/>
    <w:rsid w:val="5577D3D9"/>
    <w:rsid w:val="557CF493"/>
    <w:rsid w:val="55813846"/>
    <w:rsid w:val="5586E525"/>
    <w:rsid w:val="5587C75E"/>
    <w:rsid w:val="55886917"/>
    <w:rsid w:val="559B12F4"/>
    <w:rsid w:val="559BE8B9"/>
    <w:rsid w:val="55AF301B"/>
    <w:rsid w:val="55B0A1F6"/>
    <w:rsid w:val="55B78981"/>
    <w:rsid w:val="55B9A640"/>
    <w:rsid w:val="55BCE857"/>
    <w:rsid w:val="55BD0BEB"/>
    <w:rsid w:val="55BD6907"/>
    <w:rsid w:val="55C4F2D5"/>
    <w:rsid w:val="55C668B5"/>
    <w:rsid w:val="55C749AD"/>
    <w:rsid w:val="55CB4C80"/>
    <w:rsid w:val="55CE1793"/>
    <w:rsid w:val="55CF00FD"/>
    <w:rsid w:val="55CFABEC"/>
    <w:rsid w:val="55D51112"/>
    <w:rsid w:val="55D6310B"/>
    <w:rsid w:val="55D646A9"/>
    <w:rsid w:val="55D6B58E"/>
    <w:rsid w:val="55D9B2C0"/>
    <w:rsid w:val="55DDADDF"/>
    <w:rsid w:val="55E512E9"/>
    <w:rsid w:val="55E6C308"/>
    <w:rsid w:val="55E9682D"/>
    <w:rsid w:val="55F528AA"/>
    <w:rsid w:val="55FE3A92"/>
    <w:rsid w:val="5601448E"/>
    <w:rsid w:val="5606B10F"/>
    <w:rsid w:val="560E3218"/>
    <w:rsid w:val="5616F187"/>
    <w:rsid w:val="561F1F28"/>
    <w:rsid w:val="56240CB0"/>
    <w:rsid w:val="562AC4B8"/>
    <w:rsid w:val="562D905D"/>
    <w:rsid w:val="5633AEDE"/>
    <w:rsid w:val="563FCE50"/>
    <w:rsid w:val="564351BA"/>
    <w:rsid w:val="564932DF"/>
    <w:rsid w:val="564AC779"/>
    <w:rsid w:val="564AC8C3"/>
    <w:rsid w:val="564C4B8A"/>
    <w:rsid w:val="5652683A"/>
    <w:rsid w:val="56578CB5"/>
    <w:rsid w:val="5661E1E3"/>
    <w:rsid w:val="5664DE05"/>
    <w:rsid w:val="56680CD6"/>
    <w:rsid w:val="56778809"/>
    <w:rsid w:val="5677B5D2"/>
    <w:rsid w:val="56793CF1"/>
    <w:rsid w:val="5680FCDB"/>
    <w:rsid w:val="568453DD"/>
    <w:rsid w:val="56866E62"/>
    <w:rsid w:val="568A041E"/>
    <w:rsid w:val="568C884D"/>
    <w:rsid w:val="56905345"/>
    <w:rsid w:val="56931948"/>
    <w:rsid w:val="569859E7"/>
    <w:rsid w:val="569CF401"/>
    <w:rsid w:val="56A02D4A"/>
    <w:rsid w:val="56A217C4"/>
    <w:rsid w:val="56A48E6A"/>
    <w:rsid w:val="56A9BEC0"/>
    <w:rsid w:val="56A9D715"/>
    <w:rsid w:val="56AB776C"/>
    <w:rsid w:val="56AC9618"/>
    <w:rsid w:val="56AEBAD8"/>
    <w:rsid w:val="56AF7795"/>
    <w:rsid w:val="56B4F54D"/>
    <w:rsid w:val="56B69B8D"/>
    <w:rsid w:val="56B8D2F7"/>
    <w:rsid w:val="56C17D19"/>
    <w:rsid w:val="56C18025"/>
    <w:rsid w:val="56C1E8DF"/>
    <w:rsid w:val="56C94D68"/>
    <w:rsid w:val="56CCFDA1"/>
    <w:rsid w:val="56D35B44"/>
    <w:rsid w:val="56D4D97E"/>
    <w:rsid w:val="56D720E0"/>
    <w:rsid w:val="56E105FB"/>
    <w:rsid w:val="56E1EAE6"/>
    <w:rsid w:val="56E27053"/>
    <w:rsid w:val="56E2731A"/>
    <w:rsid w:val="56E376FD"/>
    <w:rsid w:val="56E3E0B8"/>
    <w:rsid w:val="56E5F255"/>
    <w:rsid w:val="56E6FB1A"/>
    <w:rsid w:val="56E84064"/>
    <w:rsid w:val="56EAA491"/>
    <w:rsid w:val="56F4DD3B"/>
    <w:rsid w:val="56F5B086"/>
    <w:rsid w:val="56FD87FC"/>
    <w:rsid w:val="57006B33"/>
    <w:rsid w:val="57041D89"/>
    <w:rsid w:val="5707ECCC"/>
    <w:rsid w:val="570C0AD6"/>
    <w:rsid w:val="570C56C2"/>
    <w:rsid w:val="570C5732"/>
    <w:rsid w:val="570E905C"/>
    <w:rsid w:val="57140735"/>
    <w:rsid w:val="5717E7A5"/>
    <w:rsid w:val="571A4838"/>
    <w:rsid w:val="571B2D72"/>
    <w:rsid w:val="571C30A2"/>
    <w:rsid w:val="571D9E6D"/>
    <w:rsid w:val="57228160"/>
    <w:rsid w:val="572AB6B3"/>
    <w:rsid w:val="5737BF00"/>
    <w:rsid w:val="5745EFC1"/>
    <w:rsid w:val="5749E72A"/>
    <w:rsid w:val="574A9B24"/>
    <w:rsid w:val="574AA544"/>
    <w:rsid w:val="574D9182"/>
    <w:rsid w:val="574DD6C9"/>
    <w:rsid w:val="57502429"/>
    <w:rsid w:val="5750BD86"/>
    <w:rsid w:val="5751328C"/>
    <w:rsid w:val="5751C102"/>
    <w:rsid w:val="5755A9B7"/>
    <w:rsid w:val="575B0591"/>
    <w:rsid w:val="575F335C"/>
    <w:rsid w:val="576C4376"/>
    <w:rsid w:val="57740A50"/>
    <w:rsid w:val="57767967"/>
    <w:rsid w:val="57801225"/>
    <w:rsid w:val="5782E5AA"/>
    <w:rsid w:val="5788F3B3"/>
    <w:rsid w:val="578A0976"/>
    <w:rsid w:val="578E7401"/>
    <w:rsid w:val="5793E871"/>
    <w:rsid w:val="579FEBEE"/>
    <w:rsid w:val="57A0CC76"/>
    <w:rsid w:val="57A0E200"/>
    <w:rsid w:val="57A24E12"/>
    <w:rsid w:val="57A5F27F"/>
    <w:rsid w:val="57A749D7"/>
    <w:rsid w:val="57A78201"/>
    <w:rsid w:val="57AC8BE4"/>
    <w:rsid w:val="57B3069E"/>
    <w:rsid w:val="57B31F90"/>
    <w:rsid w:val="57B3ED44"/>
    <w:rsid w:val="57B44363"/>
    <w:rsid w:val="57B80323"/>
    <w:rsid w:val="57B9AC9F"/>
    <w:rsid w:val="57CCB7FB"/>
    <w:rsid w:val="57CEFB3F"/>
    <w:rsid w:val="57D4EC34"/>
    <w:rsid w:val="57DA7B43"/>
    <w:rsid w:val="57DE2915"/>
    <w:rsid w:val="57E0A6FA"/>
    <w:rsid w:val="57E0E1B1"/>
    <w:rsid w:val="57E19E9F"/>
    <w:rsid w:val="57E449BD"/>
    <w:rsid w:val="57E92FF1"/>
    <w:rsid w:val="57EA81D0"/>
    <w:rsid w:val="57EC54C5"/>
    <w:rsid w:val="57EF787F"/>
    <w:rsid w:val="58038509"/>
    <w:rsid w:val="580758B2"/>
    <w:rsid w:val="58086B55"/>
    <w:rsid w:val="58089B89"/>
    <w:rsid w:val="58094B4D"/>
    <w:rsid w:val="580B0944"/>
    <w:rsid w:val="58130092"/>
    <w:rsid w:val="5815E33A"/>
    <w:rsid w:val="5816A335"/>
    <w:rsid w:val="581A3B33"/>
    <w:rsid w:val="5822AB46"/>
    <w:rsid w:val="58241B91"/>
    <w:rsid w:val="5827AE70"/>
    <w:rsid w:val="5828A031"/>
    <w:rsid w:val="5828DD73"/>
    <w:rsid w:val="582F0A6D"/>
    <w:rsid w:val="583D6D91"/>
    <w:rsid w:val="584219B2"/>
    <w:rsid w:val="584246DF"/>
    <w:rsid w:val="584EFB1E"/>
    <w:rsid w:val="58504FD9"/>
    <w:rsid w:val="58556113"/>
    <w:rsid w:val="585633DC"/>
    <w:rsid w:val="585D34FB"/>
    <w:rsid w:val="586ACE7A"/>
    <w:rsid w:val="586D64FC"/>
    <w:rsid w:val="5876B63F"/>
    <w:rsid w:val="58899E5B"/>
    <w:rsid w:val="588A0FEE"/>
    <w:rsid w:val="588B3986"/>
    <w:rsid w:val="588D25BB"/>
    <w:rsid w:val="588F7DA7"/>
    <w:rsid w:val="5892B8EF"/>
    <w:rsid w:val="589EBB10"/>
    <w:rsid w:val="58A250B8"/>
    <w:rsid w:val="58A34D3B"/>
    <w:rsid w:val="58A70F06"/>
    <w:rsid w:val="58A792EF"/>
    <w:rsid w:val="58AA58C4"/>
    <w:rsid w:val="58ADFFEB"/>
    <w:rsid w:val="58AE87BB"/>
    <w:rsid w:val="58B0A458"/>
    <w:rsid w:val="58BAC265"/>
    <w:rsid w:val="58BBE152"/>
    <w:rsid w:val="58BC3921"/>
    <w:rsid w:val="58BC9C09"/>
    <w:rsid w:val="58C102EA"/>
    <w:rsid w:val="58C2848A"/>
    <w:rsid w:val="58C2F210"/>
    <w:rsid w:val="58C9AD4B"/>
    <w:rsid w:val="58CC43BA"/>
    <w:rsid w:val="58CE35BA"/>
    <w:rsid w:val="58D5407C"/>
    <w:rsid w:val="58D6D76C"/>
    <w:rsid w:val="58DD7813"/>
    <w:rsid w:val="58DE2D86"/>
    <w:rsid w:val="58E380C6"/>
    <w:rsid w:val="58E5A230"/>
    <w:rsid w:val="58E9084B"/>
    <w:rsid w:val="58EA8E9E"/>
    <w:rsid w:val="58EC9542"/>
    <w:rsid w:val="58F25581"/>
    <w:rsid w:val="58F4C453"/>
    <w:rsid w:val="58F5C161"/>
    <w:rsid w:val="58FEA813"/>
    <w:rsid w:val="59004A27"/>
    <w:rsid w:val="59096FCB"/>
    <w:rsid w:val="590B8201"/>
    <w:rsid w:val="590E0D61"/>
    <w:rsid w:val="59123CA3"/>
    <w:rsid w:val="591712F4"/>
    <w:rsid w:val="591807CE"/>
    <w:rsid w:val="59192F66"/>
    <w:rsid w:val="591A3F5A"/>
    <w:rsid w:val="591B5311"/>
    <w:rsid w:val="591D59DE"/>
    <w:rsid w:val="5923143A"/>
    <w:rsid w:val="5923C97F"/>
    <w:rsid w:val="592983A2"/>
    <w:rsid w:val="592AE21C"/>
    <w:rsid w:val="59338BA4"/>
    <w:rsid w:val="59357E19"/>
    <w:rsid w:val="593BBE7D"/>
    <w:rsid w:val="59419AF8"/>
    <w:rsid w:val="594A4B56"/>
    <w:rsid w:val="5951839F"/>
    <w:rsid w:val="59527323"/>
    <w:rsid w:val="5954ECD9"/>
    <w:rsid w:val="5973DB7A"/>
    <w:rsid w:val="5975EABB"/>
    <w:rsid w:val="597A6FDD"/>
    <w:rsid w:val="597BFCF3"/>
    <w:rsid w:val="59842DAF"/>
    <w:rsid w:val="598BBC08"/>
    <w:rsid w:val="598DF04A"/>
    <w:rsid w:val="5995A7C3"/>
    <w:rsid w:val="599A15C5"/>
    <w:rsid w:val="599E9F39"/>
    <w:rsid w:val="59A55D84"/>
    <w:rsid w:val="59A5B037"/>
    <w:rsid w:val="59AEF472"/>
    <w:rsid w:val="59BEA9D0"/>
    <w:rsid w:val="59BFEBF7"/>
    <w:rsid w:val="59C3B5F5"/>
    <w:rsid w:val="59C7F764"/>
    <w:rsid w:val="59CA5BE6"/>
    <w:rsid w:val="59CE7623"/>
    <w:rsid w:val="59D206DE"/>
    <w:rsid w:val="59DC38B8"/>
    <w:rsid w:val="59DE5F15"/>
    <w:rsid w:val="59DF0CF0"/>
    <w:rsid w:val="59E242B7"/>
    <w:rsid w:val="59EAF4B2"/>
    <w:rsid w:val="59F052A9"/>
    <w:rsid w:val="59F1B52B"/>
    <w:rsid w:val="59F4E59C"/>
    <w:rsid w:val="59F81320"/>
    <w:rsid w:val="59F8560B"/>
    <w:rsid w:val="59FF36F7"/>
    <w:rsid w:val="5A061A7C"/>
    <w:rsid w:val="5A09E9E7"/>
    <w:rsid w:val="5A0E8CCB"/>
    <w:rsid w:val="5A112532"/>
    <w:rsid w:val="5A12DA3F"/>
    <w:rsid w:val="5A13BFFA"/>
    <w:rsid w:val="5A1AEAF5"/>
    <w:rsid w:val="5A1C926F"/>
    <w:rsid w:val="5A24E530"/>
    <w:rsid w:val="5A24F3AD"/>
    <w:rsid w:val="5A2F547E"/>
    <w:rsid w:val="5A34AB4F"/>
    <w:rsid w:val="5A390780"/>
    <w:rsid w:val="5A3A5900"/>
    <w:rsid w:val="5A3DA32A"/>
    <w:rsid w:val="5A3EFCEA"/>
    <w:rsid w:val="5A4120A7"/>
    <w:rsid w:val="5A469E5F"/>
    <w:rsid w:val="5A4AB3B4"/>
    <w:rsid w:val="5A60C262"/>
    <w:rsid w:val="5A6B54C0"/>
    <w:rsid w:val="5A709D43"/>
    <w:rsid w:val="5A713FEC"/>
    <w:rsid w:val="5A7B6472"/>
    <w:rsid w:val="5A7FAE89"/>
    <w:rsid w:val="5A86F8E0"/>
    <w:rsid w:val="5A89D9E4"/>
    <w:rsid w:val="5A8C4581"/>
    <w:rsid w:val="5A95E8F5"/>
    <w:rsid w:val="5A979977"/>
    <w:rsid w:val="5A9EB2D0"/>
    <w:rsid w:val="5AA723A5"/>
    <w:rsid w:val="5AB10D49"/>
    <w:rsid w:val="5AB5F058"/>
    <w:rsid w:val="5AC9DD30"/>
    <w:rsid w:val="5ACEB495"/>
    <w:rsid w:val="5AD643CC"/>
    <w:rsid w:val="5ADA5C1E"/>
    <w:rsid w:val="5AE0F991"/>
    <w:rsid w:val="5AE72215"/>
    <w:rsid w:val="5AEE22EF"/>
    <w:rsid w:val="5AF1B932"/>
    <w:rsid w:val="5B02AAB5"/>
    <w:rsid w:val="5B02E0C6"/>
    <w:rsid w:val="5B03F6F3"/>
    <w:rsid w:val="5B04940E"/>
    <w:rsid w:val="5B065955"/>
    <w:rsid w:val="5B085113"/>
    <w:rsid w:val="5B0D7D6F"/>
    <w:rsid w:val="5B10B9D8"/>
    <w:rsid w:val="5B11F4E7"/>
    <w:rsid w:val="5B14DE34"/>
    <w:rsid w:val="5B181145"/>
    <w:rsid w:val="5B1E51B8"/>
    <w:rsid w:val="5B2222E5"/>
    <w:rsid w:val="5B2C3DF7"/>
    <w:rsid w:val="5B348C0D"/>
    <w:rsid w:val="5B379452"/>
    <w:rsid w:val="5B3AC546"/>
    <w:rsid w:val="5B418788"/>
    <w:rsid w:val="5B431194"/>
    <w:rsid w:val="5B4666A0"/>
    <w:rsid w:val="5B469B40"/>
    <w:rsid w:val="5B4A29E1"/>
    <w:rsid w:val="5B4A8054"/>
    <w:rsid w:val="5B4D3B45"/>
    <w:rsid w:val="5B4E0710"/>
    <w:rsid w:val="5B5843CC"/>
    <w:rsid w:val="5B594311"/>
    <w:rsid w:val="5B5E4D11"/>
    <w:rsid w:val="5B5F2FC8"/>
    <w:rsid w:val="5B60915F"/>
    <w:rsid w:val="5B66957F"/>
    <w:rsid w:val="5B6761A1"/>
    <w:rsid w:val="5B67C1F0"/>
    <w:rsid w:val="5B733888"/>
    <w:rsid w:val="5B74B98C"/>
    <w:rsid w:val="5B760F9A"/>
    <w:rsid w:val="5B782C54"/>
    <w:rsid w:val="5B7F9CDB"/>
    <w:rsid w:val="5B8AB0B4"/>
    <w:rsid w:val="5B8E0EB7"/>
    <w:rsid w:val="5B8FD296"/>
    <w:rsid w:val="5B903F80"/>
    <w:rsid w:val="5B922C54"/>
    <w:rsid w:val="5B928601"/>
    <w:rsid w:val="5B9B652A"/>
    <w:rsid w:val="5B9CE48B"/>
    <w:rsid w:val="5B9CFB91"/>
    <w:rsid w:val="5BB0DB1E"/>
    <w:rsid w:val="5BB5597C"/>
    <w:rsid w:val="5BBB6188"/>
    <w:rsid w:val="5BC057B3"/>
    <w:rsid w:val="5BC4E094"/>
    <w:rsid w:val="5BC5BA7F"/>
    <w:rsid w:val="5BC64176"/>
    <w:rsid w:val="5BC68AA2"/>
    <w:rsid w:val="5BC6D7DB"/>
    <w:rsid w:val="5BC709C7"/>
    <w:rsid w:val="5BD08EB7"/>
    <w:rsid w:val="5BD9C7F9"/>
    <w:rsid w:val="5BDED539"/>
    <w:rsid w:val="5BE074B1"/>
    <w:rsid w:val="5BE0F0B9"/>
    <w:rsid w:val="5BE158B7"/>
    <w:rsid w:val="5BE2778B"/>
    <w:rsid w:val="5BE3CD2D"/>
    <w:rsid w:val="5BE5943A"/>
    <w:rsid w:val="5BE5AFD5"/>
    <w:rsid w:val="5BE8636B"/>
    <w:rsid w:val="5BF4475A"/>
    <w:rsid w:val="5BF7467E"/>
    <w:rsid w:val="5BF92BDF"/>
    <w:rsid w:val="5C076635"/>
    <w:rsid w:val="5C09EF61"/>
    <w:rsid w:val="5C114C77"/>
    <w:rsid w:val="5C130C4F"/>
    <w:rsid w:val="5C17A782"/>
    <w:rsid w:val="5C200DE4"/>
    <w:rsid w:val="5C227705"/>
    <w:rsid w:val="5C262E4C"/>
    <w:rsid w:val="5C27F822"/>
    <w:rsid w:val="5C2AD77B"/>
    <w:rsid w:val="5C2FEFC1"/>
    <w:rsid w:val="5C3B69CF"/>
    <w:rsid w:val="5C3DCA04"/>
    <w:rsid w:val="5C3F7A53"/>
    <w:rsid w:val="5C44AB5E"/>
    <w:rsid w:val="5C46BFE7"/>
    <w:rsid w:val="5C509ACB"/>
    <w:rsid w:val="5C5B25A0"/>
    <w:rsid w:val="5C5D74A1"/>
    <w:rsid w:val="5C603739"/>
    <w:rsid w:val="5C6A3EA0"/>
    <w:rsid w:val="5C6A70E7"/>
    <w:rsid w:val="5C6ED28F"/>
    <w:rsid w:val="5C71EF27"/>
    <w:rsid w:val="5C744F0F"/>
    <w:rsid w:val="5C78B527"/>
    <w:rsid w:val="5C7FC306"/>
    <w:rsid w:val="5C84DA40"/>
    <w:rsid w:val="5C86E77A"/>
    <w:rsid w:val="5C88B90F"/>
    <w:rsid w:val="5C8D9283"/>
    <w:rsid w:val="5C9895AD"/>
    <w:rsid w:val="5C9D2F38"/>
    <w:rsid w:val="5CA3C865"/>
    <w:rsid w:val="5CA52A69"/>
    <w:rsid w:val="5CA5ADEF"/>
    <w:rsid w:val="5CA630F4"/>
    <w:rsid w:val="5CAE82FC"/>
    <w:rsid w:val="5CB00E5F"/>
    <w:rsid w:val="5CB6FD88"/>
    <w:rsid w:val="5CBBAB78"/>
    <w:rsid w:val="5CBBB34E"/>
    <w:rsid w:val="5CC2D3FC"/>
    <w:rsid w:val="5CC6AEC6"/>
    <w:rsid w:val="5CCD2559"/>
    <w:rsid w:val="5CD1E565"/>
    <w:rsid w:val="5CD39356"/>
    <w:rsid w:val="5CDD1C57"/>
    <w:rsid w:val="5CF45130"/>
    <w:rsid w:val="5CF48576"/>
    <w:rsid w:val="5CF5F0C3"/>
    <w:rsid w:val="5CFC3AD4"/>
    <w:rsid w:val="5CFE3C72"/>
    <w:rsid w:val="5D021C43"/>
    <w:rsid w:val="5D077227"/>
    <w:rsid w:val="5D0E2F30"/>
    <w:rsid w:val="5D11BD24"/>
    <w:rsid w:val="5D1334F2"/>
    <w:rsid w:val="5D1863E7"/>
    <w:rsid w:val="5D1C55E5"/>
    <w:rsid w:val="5D1E3A10"/>
    <w:rsid w:val="5D1F3CDB"/>
    <w:rsid w:val="5D1F59F6"/>
    <w:rsid w:val="5D2CD067"/>
    <w:rsid w:val="5D3643B3"/>
    <w:rsid w:val="5D39C340"/>
    <w:rsid w:val="5D39DD42"/>
    <w:rsid w:val="5D3BAF52"/>
    <w:rsid w:val="5D42AF89"/>
    <w:rsid w:val="5D4493FD"/>
    <w:rsid w:val="5D4569F5"/>
    <w:rsid w:val="5D4A63BC"/>
    <w:rsid w:val="5D4A8A67"/>
    <w:rsid w:val="5D52CC40"/>
    <w:rsid w:val="5D56542E"/>
    <w:rsid w:val="5D59F5ED"/>
    <w:rsid w:val="5D5C491D"/>
    <w:rsid w:val="5D5F7A5C"/>
    <w:rsid w:val="5D604398"/>
    <w:rsid w:val="5D69EEF3"/>
    <w:rsid w:val="5D6C7F5D"/>
    <w:rsid w:val="5D708DD7"/>
    <w:rsid w:val="5D72F7D9"/>
    <w:rsid w:val="5D7FD5E8"/>
    <w:rsid w:val="5D861EE8"/>
    <w:rsid w:val="5D8E6C26"/>
    <w:rsid w:val="5D91841F"/>
    <w:rsid w:val="5D948733"/>
    <w:rsid w:val="5D98F4F2"/>
    <w:rsid w:val="5DA87EE1"/>
    <w:rsid w:val="5DAC5CEC"/>
    <w:rsid w:val="5DAD3002"/>
    <w:rsid w:val="5DBE1417"/>
    <w:rsid w:val="5DBEB696"/>
    <w:rsid w:val="5DCA00A8"/>
    <w:rsid w:val="5DCD7A94"/>
    <w:rsid w:val="5DCE06C6"/>
    <w:rsid w:val="5DCF5098"/>
    <w:rsid w:val="5DCF555B"/>
    <w:rsid w:val="5DD118C9"/>
    <w:rsid w:val="5DD2F7D5"/>
    <w:rsid w:val="5DD3A7DF"/>
    <w:rsid w:val="5DD516C7"/>
    <w:rsid w:val="5DD8DC37"/>
    <w:rsid w:val="5DDACD77"/>
    <w:rsid w:val="5DE01A53"/>
    <w:rsid w:val="5DE448E1"/>
    <w:rsid w:val="5DE62B4F"/>
    <w:rsid w:val="5DE63876"/>
    <w:rsid w:val="5DE832F6"/>
    <w:rsid w:val="5DEC946C"/>
    <w:rsid w:val="5DED6D65"/>
    <w:rsid w:val="5DF234AB"/>
    <w:rsid w:val="5DF2E8B0"/>
    <w:rsid w:val="5DF64EDA"/>
    <w:rsid w:val="5DFB8822"/>
    <w:rsid w:val="5DFDB528"/>
    <w:rsid w:val="5DFDDDF8"/>
    <w:rsid w:val="5E07C1B9"/>
    <w:rsid w:val="5E0F2C30"/>
    <w:rsid w:val="5E11986A"/>
    <w:rsid w:val="5E130187"/>
    <w:rsid w:val="5E1990C2"/>
    <w:rsid w:val="5E1B4B25"/>
    <w:rsid w:val="5E1C071C"/>
    <w:rsid w:val="5E1CD490"/>
    <w:rsid w:val="5E2086AC"/>
    <w:rsid w:val="5E2542A7"/>
    <w:rsid w:val="5E259002"/>
    <w:rsid w:val="5E2C0520"/>
    <w:rsid w:val="5E2C9724"/>
    <w:rsid w:val="5E2E63E4"/>
    <w:rsid w:val="5E2FA47B"/>
    <w:rsid w:val="5E330694"/>
    <w:rsid w:val="5E343E09"/>
    <w:rsid w:val="5E36F11F"/>
    <w:rsid w:val="5E3B570D"/>
    <w:rsid w:val="5E3F9738"/>
    <w:rsid w:val="5E3FA2AB"/>
    <w:rsid w:val="5E43B97D"/>
    <w:rsid w:val="5E52041F"/>
    <w:rsid w:val="5E581C3D"/>
    <w:rsid w:val="5E5A6A43"/>
    <w:rsid w:val="5E619764"/>
    <w:rsid w:val="5E6349EA"/>
    <w:rsid w:val="5E6BD6B0"/>
    <w:rsid w:val="5E810175"/>
    <w:rsid w:val="5E81FA5D"/>
    <w:rsid w:val="5E823D8A"/>
    <w:rsid w:val="5E85A7AB"/>
    <w:rsid w:val="5E866639"/>
    <w:rsid w:val="5E8765F8"/>
    <w:rsid w:val="5E8885A2"/>
    <w:rsid w:val="5E8C99A7"/>
    <w:rsid w:val="5EA12722"/>
    <w:rsid w:val="5EA4642B"/>
    <w:rsid w:val="5EA49007"/>
    <w:rsid w:val="5EA5EB52"/>
    <w:rsid w:val="5EA68CAE"/>
    <w:rsid w:val="5EAA624B"/>
    <w:rsid w:val="5EAB1154"/>
    <w:rsid w:val="5EABF6FA"/>
    <w:rsid w:val="5EB538B0"/>
    <w:rsid w:val="5EC04522"/>
    <w:rsid w:val="5EC0BAF7"/>
    <w:rsid w:val="5EC0D95D"/>
    <w:rsid w:val="5ECAEF1B"/>
    <w:rsid w:val="5ECCC215"/>
    <w:rsid w:val="5ED54E03"/>
    <w:rsid w:val="5EDAEC3C"/>
    <w:rsid w:val="5EDC6A24"/>
    <w:rsid w:val="5EE21714"/>
    <w:rsid w:val="5EE68EDE"/>
    <w:rsid w:val="5EE75CCE"/>
    <w:rsid w:val="5EEC31A0"/>
    <w:rsid w:val="5EEC71CA"/>
    <w:rsid w:val="5EEEC4BF"/>
    <w:rsid w:val="5EF0633F"/>
    <w:rsid w:val="5EF6DB60"/>
    <w:rsid w:val="5EF7E4F0"/>
    <w:rsid w:val="5EFAEC5C"/>
    <w:rsid w:val="5EFE983E"/>
    <w:rsid w:val="5EFF7B07"/>
    <w:rsid w:val="5F06EE34"/>
    <w:rsid w:val="5F070E98"/>
    <w:rsid w:val="5F07DCB0"/>
    <w:rsid w:val="5F0D8ADA"/>
    <w:rsid w:val="5F0E53F7"/>
    <w:rsid w:val="5F175B0E"/>
    <w:rsid w:val="5F18EE44"/>
    <w:rsid w:val="5F1CA91B"/>
    <w:rsid w:val="5F1DCAEC"/>
    <w:rsid w:val="5F2483CD"/>
    <w:rsid w:val="5F27FE34"/>
    <w:rsid w:val="5F2980D2"/>
    <w:rsid w:val="5F2A4F54"/>
    <w:rsid w:val="5F32D380"/>
    <w:rsid w:val="5F3471D2"/>
    <w:rsid w:val="5F3F7174"/>
    <w:rsid w:val="5F4A1719"/>
    <w:rsid w:val="5F52076A"/>
    <w:rsid w:val="5F58360D"/>
    <w:rsid w:val="5F5F8375"/>
    <w:rsid w:val="5F603E4C"/>
    <w:rsid w:val="5F69C22F"/>
    <w:rsid w:val="5F6F1DE3"/>
    <w:rsid w:val="5F72043A"/>
    <w:rsid w:val="5F75823D"/>
    <w:rsid w:val="5F7D6613"/>
    <w:rsid w:val="5F819FE7"/>
    <w:rsid w:val="5F840116"/>
    <w:rsid w:val="5F934BC1"/>
    <w:rsid w:val="5F97B635"/>
    <w:rsid w:val="5FA28155"/>
    <w:rsid w:val="5FA5C56D"/>
    <w:rsid w:val="5FB1228A"/>
    <w:rsid w:val="5FB27194"/>
    <w:rsid w:val="5FBCC028"/>
    <w:rsid w:val="5FBD500A"/>
    <w:rsid w:val="5FC50A4F"/>
    <w:rsid w:val="5FC7F7E2"/>
    <w:rsid w:val="5FD31FC8"/>
    <w:rsid w:val="5FD40CD2"/>
    <w:rsid w:val="5FD6604F"/>
    <w:rsid w:val="5FD709CA"/>
    <w:rsid w:val="5FDE61C4"/>
    <w:rsid w:val="5FE60478"/>
    <w:rsid w:val="5FE89CF5"/>
    <w:rsid w:val="5FED2EB1"/>
    <w:rsid w:val="5FF34916"/>
    <w:rsid w:val="5FF8A25F"/>
    <w:rsid w:val="5FFB3E94"/>
    <w:rsid w:val="60066202"/>
    <w:rsid w:val="60070B36"/>
    <w:rsid w:val="6008BCE6"/>
    <w:rsid w:val="60097965"/>
    <w:rsid w:val="6021309A"/>
    <w:rsid w:val="60249901"/>
    <w:rsid w:val="60249FA2"/>
    <w:rsid w:val="60280790"/>
    <w:rsid w:val="602B4B55"/>
    <w:rsid w:val="6035AB32"/>
    <w:rsid w:val="6042F3AF"/>
    <w:rsid w:val="604C9E09"/>
    <w:rsid w:val="604D4965"/>
    <w:rsid w:val="604F7D25"/>
    <w:rsid w:val="604FD80A"/>
    <w:rsid w:val="60500FD7"/>
    <w:rsid w:val="60519310"/>
    <w:rsid w:val="6053C107"/>
    <w:rsid w:val="605F0364"/>
    <w:rsid w:val="605FD7DD"/>
    <w:rsid w:val="607015D5"/>
    <w:rsid w:val="6078B47D"/>
    <w:rsid w:val="608D718A"/>
    <w:rsid w:val="609384B7"/>
    <w:rsid w:val="60952EF8"/>
    <w:rsid w:val="609837B5"/>
    <w:rsid w:val="6098737C"/>
    <w:rsid w:val="60A1CC82"/>
    <w:rsid w:val="60A64195"/>
    <w:rsid w:val="60AA9348"/>
    <w:rsid w:val="60AD5FAC"/>
    <w:rsid w:val="60B7C713"/>
    <w:rsid w:val="60B7EBAC"/>
    <w:rsid w:val="60B81043"/>
    <w:rsid w:val="60B8A510"/>
    <w:rsid w:val="60B8F26F"/>
    <w:rsid w:val="60B98424"/>
    <w:rsid w:val="60BC2252"/>
    <w:rsid w:val="60C327FA"/>
    <w:rsid w:val="60C63029"/>
    <w:rsid w:val="60C6A454"/>
    <w:rsid w:val="60CB2011"/>
    <w:rsid w:val="60CC2B8D"/>
    <w:rsid w:val="60CDFAA2"/>
    <w:rsid w:val="60D79876"/>
    <w:rsid w:val="60DA2381"/>
    <w:rsid w:val="60E96078"/>
    <w:rsid w:val="60ECAD1F"/>
    <w:rsid w:val="60F311D2"/>
    <w:rsid w:val="60FB017A"/>
    <w:rsid w:val="6106EA7F"/>
    <w:rsid w:val="610B46D5"/>
    <w:rsid w:val="6115580A"/>
    <w:rsid w:val="6115A91B"/>
    <w:rsid w:val="61162D34"/>
    <w:rsid w:val="6116E953"/>
    <w:rsid w:val="6118AD47"/>
    <w:rsid w:val="611E7C6F"/>
    <w:rsid w:val="6123C517"/>
    <w:rsid w:val="6123F076"/>
    <w:rsid w:val="6124DD71"/>
    <w:rsid w:val="61274B69"/>
    <w:rsid w:val="612A01DE"/>
    <w:rsid w:val="612CF3CE"/>
    <w:rsid w:val="6138E98C"/>
    <w:rsid w:val="613B4068"/>
    <w:rsid w:val="613F2D0A"/>
    <w:rsid w:val="613F9116"/>
    <w:rsid w:val="6146C120"/>
    <w:rsid w:val="61472C44"/>
    <w:rsid w:val="614A26E0"/>
    <w:rsid w:val="615548A5"/>
    <w:rsid w:val="61576BED"/>
    <w:rsid w:val="615DAA22"/>
    <w:rsid w:val="615DADF9"/>
    <w:rsid w:val="615DBE73"/>
    <w:rsid w:val="61608CF3"/>
    <w:rsid w:val="61634A9D"/>
    <w:rsid w:val="61637CCB"/>
    <w:rsid w:val="6166C024"/>
    <w:rsid w:val="616E6035"/>
    <w:rsid w:val="6170685D"/>
    <w:rsid w:val="61715D52"/>
    <w:rsid w:val="6171F64F"/>
    <w:rsid w:val="6175DC74"/>
    <w:rsid w:val="617A2311"/>
    <w:rsid w:val="617B9984"/>
    <w:rsid w:val="617EF736"/>
    <w:rsid w:val="617FF2E7"/>
    <w:rsid w:val="61804C54"/>
    <w:rsid w:val="618055D2"/>
    <w:rsid w:val="6185D515"/>
    <w:rsid w:val="6186F121"/>
    <w:rsid w:val="618C2D61"/>
    <w:rsid w:val="618DDBC0"/>
    <w:rsid w:val="618EADD6"/>
    <w:rsid w:val="6191F84F"/>
    <w:rsid w:val="61928D22"/>
    <w:rsid w:val="6195B69E"/>
    <w:rsid w:val="6199A878"/>
    <w:rsid w:val="619C17F2"/>
    <w:rsid w:val="61A1A508"/>
    <w:rsid w:val="61A40CFB"/>
    <w:rsid w:val="61A66FE6"/>
    <w:rsid w:val="61AA7589"/>
    <w:rsid w:val="61B7AAC9"/>
    <w:rsid w:val="61C026CE"/>
    <w:rsid w:val="61C6B152"/>
    <w:rsid w:val="61C6C4EE"/>
    <w:rsid w:val="61D4A911"/>
    <w:rsid w:val="61DAC514"/>
    <w:rsid w:val="61DF6AA6"/>
    <w:rsid w:val="61E1EE93"/>
    <w:rsid w:val="61E1F902"/>
    <w:rsid w:val="61E2DE47"/>
    <w:rsid w:val="61E3A818"/>
    <w:rsid w:val="61E7F546"/>
    <w:rsid w:val="61ECCE7D"/>
    <w:rsid w:val="61F13D30"/>
    <w:rsid w:val="61F27C6A"/>
    <w:rsid w:val="61FF60A1"/>
    <w:rsid w:val="62083E5A"/>
    <w:rsid w:val="621F4A15"/>
    <w:rsid w:val="6221A2FC"/>
    <w:rsid w:val="622D8652"/>
    <w:rsid w:val="62309BCB"/>
    <w:rsid w:val="6231346F"/>
    <w:rsid w:val="623CD924"/>
    <w:rsid w:val="623FD549"/>
    <w:rsid w:val="6246D509"/>
    <w:rsid w:val="62475D28"/>
    <w:rsid w:val="6259315A"/>
    <w:rsid w:val="625AFFFA"/>
    <w:rsid w:val="625CEA17"/>
    <w:rsid w:val="625FB85D"/>
    <w:rsid w:val="6262876A"/>
    <w:rsid w:val="62629031"/>
    <w:rsid w:val="626502B2"/>
    <w:rsid w:val="62661A0C"/>
    <w:rsid w:val="6266D1C8"/>
    <w:rsid w:val="62674907"/>
    <w:rsid w:val="626935F1"/>
    <w:rsid w:val="626C6066"/>
    <w:rsid w:val="627072CB"/>
    <w:rsid w:val="62820217"/>
    <w:rsid w:val="628359E1"/>
    <w:rsid w:val="62899E1C"/>
    <w:rsid w:val="629B5EE8"/>
    <w:rsid w:val="62A271E0"/>
    <w:rsid w:val="62A55888"/>
    <w:rsid w:val="62A6C923"/>
    <w:rsid w:val="62AAA716"/>
    <w:rsid w:val="62ABC663"/>
    <w:rsid w:val="62B227E9"/>
    <w:rsid w:val="62B71F71"/>
    <w:rsid w:val="62B866D9"/>
    <w:rsid w:val="62B9794C"/>
    <w:rsid w:val="62BA9586"/>
    <w:rsid w:val="62BC4E5B"/>
    <w:rsid w:val="62BDAF9E"/>
    <w:rsid w:val="62C1E7B4"/>
    <w:rsid w:val="62C224EB"/>
    <w:rsid w:val="62C518A0"/>
    <w:rsid w:val="62C56148"/>
    <w:rsid w:val="62CC6ACC"/>
    <w:rsid w:val="62D734F1"/>
    <w:rsid w:val="62E2EB48"/>
    <w:rsid w:val="62E8A96C"/>
    <w:rsid w:val="62FBD2A5"/>
    <w:rsid w:val="6300B942"/>
    <w:rsid w:val="630A2D39"/>
    <w:rsid w:val="630DB3E2"/>
    <w:rsid w:val="6310829E"/>
    <w:rsid w:val="6311B9E1"/>
    <w:rsid w:val="631AE64F"/>
    <w:rsid w:val="631E52D8"/>
    <w:rsid w:val="631F2430"/>
    <w:rsid w:val="632272C5"/>
    <w:rsid w:val="63254E0C"/>
    <w:rsid w:val="63273ACD"/>
    <w:rsid w:val="6328BBB5"/>
    <w:rsid w:val="632B1F5F"/>
    <w:rsid w:val="632B311B"/>
    <w:rsid w:val="632D2E4A"/>
    <w:rsid w:val="632E5EC3"/>
    <w:rsid w:val="63300367"/>
    <w:rsid w:val="6330B92A"/>
    <w:rsid w:val="633AA459"/>
    <w:rsid w:val="633C8863"/>
    <w:rsid w:val="633EF9D7"/>
    <w:rsid w:val="633F3AA7"/>
    <w:rsid w:val="63461058"/>
    <w:rsid w:val="634D63C7"/>
    <w:rsid w:val="634E0E87"/>
    <w:rsid w:val="635AC638"/>
    <w:rsid w:val="635B78B5"/>
    <w:rsid w:val="6360D475"/>
    <w:rsid w:val="6360ED92"/>
    <w:rsid w:val="6363CAA7"/>
    <w:rsid w:val="636A660D"/>
    <w:rsid w:val="636D2C82"/>
    <w:rsid w:val="636F932A"/>
    <w:rsid w:val="636FF8B4"/>
    <w:rsid w:val="637358ED"/>
    <w:rsid w:val="6377CE43"/>
    <w:rsid w:val="63786067"/>
    <w:rsid w:val="637BE439"/>
    <w:rsid w:val="637DF8C5"/>
    <w:rsid w:val="63861259"/>
    <w:rsid w:val="6387B38B"/>
    <w:rsid w:val="638A7CFA"/>
    <w:rsid w:val="638C62F5"/>
    <w:rsid w:val="6399132A"/>
    <w:rsid w:val="63A65985"/>
    <w:rsid w:val="63A8C1B4"/>
    <w:rsid w:val="63ACE808"/>
    <w:rsid w:val="63B232FC"/>
    <w:rsid w:val="63B25032"/>
    <w:rsid w:val="63BB2DB0"/>
    <w:rsid w:val="63BECEA9"/>
    <w:rsid w:val="63C2E471"/>
    <w:rsid w:val="63C9247B"/>
    <w:rsid w:val="63CB5A3B"/>
    <w:rsid w:val="63CD3747"/>
    <w:rsid w:val="63D057D7"/>
    <w:rsid w:val="63D3E69D"/>
    <w:rsid w:val="63D49041"/>
    <w:rsid w:val="63D7229C"/>
    <w:rsid w:val="63D8AA27"/>
    <w:rsid w:val="63DC7D2F"/>
    <w:rsid w:val="63DD7E93"/>
    <w:rsid w:val="63DE627D"/>
    <w:rsid w:val="63DE6805"/>
    <w:rsid w:val="63E0C1C7"/>
    <w:rsid w:val="63E2965D"/>
    <w:rsid w:val="63E34A55"/>
    <w:rsid w:val="63E75CAE"/>
    <w:rsid w:val="63EBEED7"/>
    <w:rsid w:val="63EC6E4F"/>
    <w:rsid w:val="63ECE1CE"/>
    <w:rsid w:val="63EF5DBE"/>
    <w:rsid w:val="63F121EA"/>
    <w:rsid w:val="63F1C42A"/>
    <w:rsid w:val="63F2020A"/>
    <w:rsid w:val="63F3A766"/>
    <w:rsid w:val="63FCF672"/>
    <w:rsid w:val="63FD4E4D"/>
    <w:rsid w:val="63FDC906"/>
    <w:rsid w:val="63FDCF2B"/>
    <w:rsid w:val="63FF54FA"/>
    <w:rsid w:val="63FF6F0E"/>
    <w:rsid w:val="6403EFA3"/>
    <w:rsid w:val="64045CF3"/>
    <w:rsid w:val="64068777"/>
    <w:rsid w:val="6407357A"/>
    <w:rsid w:val="6407DBA3"/>
    <w:rsid w:val="640DC1FA"/>
    <w:rsid w:val="64107482"/>
    <w:rsid w:val="64167B71"/>
    <w:rsid w:val="641A7F1D"/>
    <w:rsid w:val="64267A39"/>
    <w:rsid w:val="6427D90D"/>
    <w:rsid w:val="642E27D5"/>
    <w:rsid w:val="642E42C3"/>
    <w:rsid w:val="642E93CE"/>
    <w:rsid w:val="643748DB"/>
    <w:rsid w:val="6437B9EF"/>
    <w:rsid w:val="64383FFB"/>
    <w:rsid w:val="64397221"/>
    <w:rsid w:val="643A0096"/>
    <w:rsid w:val="64428254"/>
    <w:rsid w:val="6445AC19"/>
    <w:rsid w:val="644D68F4"/>
    <w:rsid w:val="644E5FDE"/>
    <w:rsid w:val="644F5214"/>
    <w:rsid w:val="6455B311"/>
    <w:rsid w:val="6458092F"/>
    <w:rsid w:val="646FC1E0"/>
    <w:rsid w:val="647A8B3D"/>
    <w:rsid w:val="647CC2F2"/>
    <w:rsid w:val="647D823C"/>
    <w:rsid w:val="64853218"/>
    <w:rsid w:val="648575E4"/>
    <w:rsid w:val="648C85F1"/>
    <w:rsid w:val="6495B4D5"/>
    <w:rsid w:val="6495ED5C"/>
    <w:rsid w:val="64966D13"/>
    <w:rsid w:val="64972231"/>
    <w:rsid w:val="649DECA6"/>
    <w:rsid w:val="64A84ED6"/>
    <w:rsid w:val="64ABF3C5"/>
    <w:rsid w:val="64AC8E53"/>
    <w:rsid w:val="64B67DFE"/>
    <w:rsid w:val="64B71003"/>
    <w:rsid w:val="64C23A7D"/>
    <w:rsid w:val="64C7F3FF"/>
    <w:rsid w:val="64CAD2FB"/>
    <w:rsid w:val="64D047FD"/>
    <w:rsid w:val="64D14ADF"/>
    <w:rsid w:val="64DFF6EB"/>
    <w:rsid w:val="64E634B3"/>
    <w:rsid w:val="64E6A2F1"/>
    <w:rsid w:val="64EE7A0E"/>
    <w:rsid w:val="64EF34E5"/>
    <w:rsid w:val="64FC8A37"/>
    <w:rsid w:val="64FD9417"/>
    <w:rsid w:val="64FF07B8"/>
    <w:rsid w:val="65066886"/>
    <w:rsid w:val="650A3517"/>
    <w:rsid w:val="65171D0F"/>
    <w:rsid w:val="651921FB"/>
    <w:rsid w:val="651999D4"/>
    <w:rsid w:val="6522DF6D"/>
    <w:rsid w:val="6524DFB2"/>
    <w:rsid w:val="652EE14E"/>
    <w:rsid w:val="6533D9E8"/>
    <w:rsid w:val="653A9E6D"/>
    <w:rsid w:val="653AFA8D"/>
    <w:rsid w:val="653E4D27"/>
    <w:rsid w:val="653F6401"/>
    <w:rsid w:val="6540830C"/>
    <w:rsid w:val="6540C90F"/>
    <w:rsid w:val="6544F215"/>
    <w:rsid w:val="654AACFA"/>
    <w:rsid w:val="65523410"/>
    <w:rsid w:val="6552F589"/>
    <w:rsid w:val="65551C44"/>
    <w:rsid w:val="6559C1EB"/>
    <w:rsid w:val="6560B055"/>
    <w:rsid w:val="656B0983"/>
    <w:rsid w:val="6576DD07"/>
    <w:rsid w:val="6579144A"/>
    <w:rsid w:val="6581150C"/>
    <w:rsid w:val="65816826"/>
    <w:rsid w:val="658218D7"/>
    <w:rsid w:val="65852C92"/>
    <w:rsid w:val="658DDB37"/>
    <w:rsid w:val="658E04B2"/>
    <w:rsid w:val="65935559"/>
    <w:rsid w:val="6594B97F"/>
    <w:rsid w:val="659BEF2B"/>
    <w:rsid w:val="65A25625"/>
    <w:rsid w:val="65A8FF76"/>
    <w:rsid w:val="65AAC1FF"/>
    <w:rsid w:val="65B00D42"/>
    <w:rsid w:val="65B0FDE8"/>
    <w:rsid w:val="65B2CFB0"/>
    <w:rsid w:val="65BD0B9D"/>
    <w:rsid w:val="65BFB071"/>
    <w:rsid w:val="65BFD66F"/>
    <w:rsid w:val="65C00E54"/>
    <w:rsid w:val="65CA4C56"/>
    <w:rsid w:val="65CD6DED"/>
    <w:rsid w:val="65D404D7"/>
    <w:rsid w:val="65D6C8EF"/>
    <w:rsid w:val="65E9E9D6"/>
    <w:rsid w:val="65EB611B"/>
    <w:rsid w:val="65F44F7C"/>
    <w:rsid w:val="65F53712"/>
    <w:rsid w:val="65FA518F"/>
    <w:rsid w:val="65FA561D"/>
    <w:rsid w:val="65FBEBB6"/>
    <w:rsid w:val="65FCE8A1"/>
    <w:rsid w:val="65FECA1B"/>
    <w:rsid w:val="65FF0033"/>
    <w:rsid w:val="66003396"/>
    <w:rsid w:val="6604C96E"/>
    <w:rsid w:val="6608F291"/>
    <w:rsid w:val="6609E8CF"/>
    <w:rsid w:val="66101619"/>
    <w:rsid w:val="6622DDA3"/>
    <w:rsid w:val="66275A7C"/>
    <w:rsid w:val="662796E4"/>
    <w:rsid w:val="662CF140"/>
    <w:rsid w:val="663ACEAD"/>
    <w:rsid w:val="66406EFF"/>
    <w:rsid w:val="664F26A8"/>
    <w:rsid w:val="66569FDD"/>
    <w:rsid w:val="665A58DD"/>
    <w:rsid w:val="6664A18A"/>
    <w:rsid w:val="666789AE"/>
    <w:rsid w:val="666DEB75"/>
    <w:rsid w:val="6673CC46"/>
    <w:rsid w:val="667733A8"/>
    <w:rsid w:val="667DDDDA"/>
    <w:rsid w:val="667ECC89"/>
    <w:rsid w:val="6685130E"/>
    <w:rsid w:val="66856F5F"/>
    <w:rsid w:val="66868A1B"/>
    <w:rsid w:val="668D9875"/>
    <w:rsid w:val="668FC6EF"/>
    <w:rsid w:val="669230C3"/>
    <w:rsid w:val="6698EFE7"/>
    <w:rsid w:val="66A21F5B"/>
    <w:rsid w:val="66AA4EAF"/>
    <w:rsid w:val="66AD5BE5"/>
    <w:rsid w:val="66AE0C52"/>
    <w:rsid w:val="66AF7F1B"/>
    <w:rsid w:val="66B10A34"/>
    <w:rsid w:val="66B7966D"/>
    <w:rsid w:val="66B9E0AD"/>
    <w:rsid w:val="66C698A2"/>
    <w:rsid w:val="66C9528B"/>
    <w:rsid w:val="66CB57EA"/>
    <w:rsid w:val="66CD1030"/>
    <w:rsid w:val="66D215F3"/>
    <w:rsid w:val="66D8E7FA"/>
    <w:rsid w:val="66DA5F48"/>
    <w:rsid w:val="66DCCE01"/>
    <w:rsid w:val="66DD0197"/>
    <w:rsid w:val="66DE6A04"/>
    <w:rsid w:val="66E35665"/>
    <w:rsid w:val="66E386BA"/>
    <w:rsid w:val="66E54E63"/>
    <w:rsid w:val="66E64F61"/>
    <w:rsid w:val="66E6B55D"/>
    <w:rsid w:val="66E77889"/>
    <w:rsid w:val="66E7ADCE"/>
    <w:rsid w:val="66EAE604"/>
    <w:rsid w:val="66EC05BC"/>
    <w:rsid w:val="66EC1D2D"/>
    <w:rsid w:val="66F0F3F4"/>
    <w:rsid w:val="66FD4686"/>
    <w:rsid w:val="66FEB67D"/>
    <w:rsid w:val="6700416A"/>
    <w:rsid w:val="67068F40"/>
    <w:rsid w:val="670DC842"/>
    <w:rsid w:val="6714B33A"/>
    <w:rsid w:val="671539DC"/>
    <w:rsid w:val="6715A1B2"/>
    <w:rsid w:val="671A0833"/>
    <w:rsid w:val="671E0802"/>
    <w:rsid w:val="6721353B"/>
    <w:rsid w:val="67232221"/>
    <w:rsid w:val="6727E981"/>
    <w:rsid w:val="672A5EDF"/>
    <w:rsid w:val="672FB653"/>
    <w:rsid w:val="673608F5"/>
    <w:rsid w:val="67363BED"/>
    <w:rsid w:val="673BA078"/>
    <w:rsid w:val="673C105F"/>
    <w:rsid w:val="6745AECC"/>
    <w:rsid w:val="6745B682"/>
    <w:rsid w:val="674A2E01"/>
    <w:rsid w:val="675252D7"/>
    <w:rsid w:val="6757F9C6"/>
    <w:rsid w:val="675C4846"/>
    <w:rsid w:val="675D4A4A"/>
    <w:rsid w:val="67622CFB"/>
    <w:rsid w:val="67634DDD"/>
    <w:rsid w:val="67660749"/>
    <w:rsid w:val="6768CDF5"/>
    <w:rsid w:val="676B3664"/>
    <w:rsid w:val="6771E6EA"/>
    <w:rsid w:val="6777FE7C"/>
    <w:rsid w:val="677807FF"/>
    <w:rsid w:val="677E04F4"/>
    <w:rsid w:val="67851A2A"/>
    <w:rsid w:val="67851EDC"/>
    <w:rsid w:val="678768ED"/>
    <w:rsid w:val="67903D15"/>
    <w:rsid w:val="67940F3E"/>
    <w:rsid w:val="679B5635"/>
    <w:rsid w:val="67A0A427"/>
    <w:rsid w:val="67A2E77A"/>
    <w:rsid w:val="67B3A667"/>
    <w:rsid w:val="67B76DC9"/>
    <w:rsid w:val="67BE86C1"/>
    <w:rsid w:val="67C015F4"/>
    <w:rsid w:val="67C85C60"/>
    <w:rsid w:val="67CF9F2B"/>
    <w:rsid w:val="67D41E94"/>
    <w:rsid w:val="67D56D81"/>
    <w:rsid w:val="67D5903B"/>
    <w:rsid w:val="67D61E35"/>
    <w:rsid w:val="67D7D1D7"/>
    <w:rsid w:val="67DDA5DE"/>
    <w:rsid w:val="67E68153"/>
    <w:rsid w:val="67E70B71"/>
    <w:rsid w:val="67E718A6"/>
    <w:rsid w:val="67EB896B"/>
    <w:rsid w:val="67EB9B2C"/>
    <w:rsid w:val="67ED863C"/>
    <w:rsid w:val="67FE9844"/>
    <w:rsid w:val="6805EEB1"/>
    <w:rsid w:val="68067D28"/>
    <w:rsid w:val="68080FA6"/>
    <w:rsid w:val="680981C3"/>
    <w:rsid w:val="680A5C59"/>
    <w:rsid w:val="6817294D"/>
    <w:rsid w:val="68180E6A"/>
    <w:rsid w:val="681A735C"/>
    <w:rsid w:val="681B5346"/>
    <w:rsid w:val="681D699C"/>
    <w:rsid w:val="6824F3EA"/>
    <w:rsid w:val="68285521"/>
    <w:rsid w:val="682E3BDB"/>
    <w:rsid w:val="6831A507"/>
    <w:rsid w:val="683310D4"/>
    <w:rsid w:val="683AC91A"/>
    <w:rsid w:val="683CDBEB"/>
    <w:rsid w:val="6841220A"/>
    <w:rsid w:val="6842D0BA"/>
    <w:rsid w:val="6844EE46"/>
    <w:rsid w:val="684612EC"/>
    <w:rsid w:val="684EFC2C"/>
    <w:rsid w:val="6852FAA8"/>
    <w:rsid w:val="68544C15"/>
    <w:rsid w:val="68579BCA"/>
    <w:rsid w:val="6859C8E3"/>
    <w:rsid w:val="685B2F7A"/>
    <w:rsid w:val="685B83E0"/>
    <w:rsid w:val="685CCF82"/>
    <w:rsid w:val="687E5BDF"/>
    <w:rsid w:val="687F67BD"/>
    <w:rsid w:val="68834691"/>
    <w:rsid w:val="68879F05"/>
    <w:rsid w:val="6889AD50"/>
    <w:rsid w:val="68948DD8"/>
    <w:rsid w:val="68966C39"/>
    <w:rsid w:val="68973AE8"/>
    <w:rsid w:val="68974960"/>
    <w:rsid w:val="689B8F37"/>
    <w:rsid w:val="689FAA7B"/>
    <w:rsid w:val="68A24707"/>
    <w:rsid w:val="68ADA638"/>
    <w:rsid w:val="68AE89F7"/>
    <w:rsid w:val="68B15B53"/>
    <w:rsid w:val="68B315D7"/>
    <w:rsid w:val="68B931A6"/>
    <w:rsid w:val="68C140A4"/>
    <w:rsid w:val="68C17DBB"/>
    <w:rsid w:val="68C665B3"/>
    <w:rsid w:val="68CCE8B3"/>
    <w:rsid w:val="68CF208D"/>
    <w:rsid w:val="68CF8260"/>
    <w:rsid w:val="68D1656D"/>
    <w:rsid w:val="68EDEAB3"/>
    <w:rsid w:val="68F50A11"/>
    <w:rsid w:val="68F858AB"/>
    <w:rsid w:val="68FD7CCF"/>
    <w:rsid w:val="68FEB7CB"/>
    <w:rsid w:val="69086A26"/>
    <w:rsid w:val="690890A9"/>
    <w:rsid w:val="691200FA"/>
    <w:rsid w:val="6914AFCC"/>
    <w:rsid w:val="69236965"/>
    <w:rsid w:val="6924082F"/>
    <w:rsid w:val="692551F9"/>
    <w:rsid w:val="6929D9FA"/>
    <w:rsid w:val="69351A5F"/>
    <w:rsid w:val="693D5EC4"/>
    <w:rsid w:val="693FE5D0"/>
    <w:rsid w:val="6941E43A"/>
    <w:rsid w:val="6944BC44"/>
    <w:rsid w:val="6946D720"/>
    <w:rsid w:val="6946EDC5"/>
    <w:rsid w:val="6948FCA0"/>
    <w:rsid w:val="694E0EE6"/>
    <w:rsid w:val="694EA716"/>
    <w:rsid w:val="695106D2"/>
    <w:rsid w:val="6951E9CC"/>
    <w:rsid w:val="6952FF75"/>
    <w:rsid w:val="69544C49"/>
    <w:rsid w:val="69611B67"/>
    <w:rsid w:val="69627824"/>
    <w:rsid w:val="6963CC28"/>
    <w:rsid w:val="696E7C6A"/>
    <w:rsid w:val="6977B349"/>
    <w:rsid w:val="697CE893"/>
    <w:rsid w:val="69805280"/>
    <w:rsid w:val="698527FA"/>
    <w:rsid w:val="6986FB76"/>
    <w:rsid w:val="69893DFC"/>
    <w:rsid w:val="6997136F"/>
    <w:rsid w:val="6997B9AE"/>
    <w:rsid w:val="69984956"/>
    <w:rsid w:val="699CA3C9"/>
    <w:rsid w:val="699CE16A"/>
    <w:rsid w:val="69A1E888"/>
    <w:rsid w:val="69A6A5A4"/>
    <w:rsid w:val="69AFE900"/>
    <w:rsid w:val="69B0CB53"/>
    <w:rsid w:val="69B784CB"/>
    <w:rsid w:val="69B84562"/>
    <w:rsid w:val="69BC718B"/>
    <w:rsid w:val="69C07F8E"/>
    <w:rsid w:val="69C7A34D"/>
    <w:rsid w:val="69CB54C0"/>
    <w:rsid w:val="69CE283B"/>
    <w:rsid w:val="69CEBD1D"/>
    <w:rsid w:val="69D0E0CA"/>
    <w:rsid w:val="69D1789E"/>
    <w:rsid w:val="69DB5C96"/>
    <w:rsid w:val="69DD0626"/>
    <w:rsid w:val="69DD2D03"/>
    <w:rsid w:val="69DDA466"/>
    <w:rsid w:val="69DE207D"/>
    <w:rsid w:val="69E4D65C"/>
    <w:rsid w:val="69E707D6"/>
    <w:rsid w:val="69E85212"/>
    <w:rsid w:val="69EEE110"/>
    <w:rsid w:val="69F147C0"/>
    <w:rsid w:val="69F5C470"/>
    <w:rsid w:val="6A09B5EE"/>
    <w:rsid w:val="6A133432"/>
    <w:rsid w:val="6A15BD82"/>
    <w:rsid w:val="6A17EAC1"/>
    <w:rsid w:val="6A18DA2B"/>
    <w:rsid w:val="6A1C53BD"/>
    <w:rsid w:val="6A1D7DCF"/>
    <w:rsid w:val="6A29B45C"/>
    <w:rsid w:val="6A2A4F50"/>
    <w:rsid w:val="6A2FF989"/>
    <w:rsid w:val="6A32B78A"/>
    <w:rsid w:val="6A3E539F"/>
    <w:rsid w:val="6A415F3E"/>
    <w:rsid w:val="6A446B73"/>
    <w:rsid w:val="6A4A58A0"/>
    <w:rsid w:val="6A4AE793"/>
    <w:rsid w:val="6A4BB2A8"/>
    <w:rsid w:val="6A4D09CB"/>
    <w:rsid w:val="6A503581"/>
    <w:rsid w:val="6A52BBAF"/>
    <w:rsid w:val="6A560F86"/>
    <w:rsid w:val="6A58F4C3"/>
    <w:rsid w:val="6A5BB158"/>
    <w:rsid w:val="6A5EEFCC"/>
    <w:rsid w:val="6A5F6927"/>
    <w:rsid w:val="6A63CBAD"/>
    <w:rsid w:val="6A6FE979"/>
    <w:rsid w:val="6A7B1DA6"/>
    <w:rsid w:val="6A7D608F"/>
    <w:rsid w:val="6A7D79BD"/>
    <w:rsid w:val="6A7F22EA"/>
    <w:rsid w:val="6A81E8FF"/>
    <w:rsid w:val="6A834446"/>
    <w:rsid w:val="6A84161D"/>
    <w:rsid w:val="6A899506"/>
    <w:rsid w:val="6A8BCF6E"/>
    <w:rsid w:val="6A8E1673"/>
    <w:rsid w:val="6A918EA2"/>
    <w:rsid w:val="6A94D93C"/>
    <w:rsid w:val="6A99276F"/>
    <w:rsid w:val="6A9C2A7B"/>
    <w:rsid w:val="6A9C9834"/>
    <w:rsid w:val="6A9D881D"/>
    <w:rsid w:val="6AA14349"/>
    <w:rsid w:val="6AA67111"/>
    <w:rsid w:val="6AB3F9F2"/>
    <w:rsid w:val="6AB43846"/>
    <w:rsid w:val="6AB6A224"/>
    <w:rsid w:val="6AB9803F"/>
    <w:rsid w:val="6AC4A205"/>
    <w:rsid w:val="6AC84B2B"/>
    <w:rsid w:val="6ACAC9CE"/>
    <w:rsid w:val="6AD44C99"/>
    <w:rsid w:val="6ADC9F6F"/>
    <w:rsid w:val="6ADE57EB"/>
    <w:rsid w:val="6AE0CC33"/>
    <w:rsid w:val="6AE5105F"/>
    <w:rsid w:val="6AE75AB1"/>
    <w:rsid w:val="6AEC0D05"/>
    <w:rsid w:val="6AF56DEC"/>
    <w:rsid w:val="6AF7EBD4"/>
    <w:rsid w:val="6B01BFA9"/>
    <w:rsid w:val="6B03982C"/>
    <w:rsid w:val="6B040BC3"/>
    <w:rsid w:val="6B06801C"/>
    <w:rsid w:val="6B0C473F"/>
    <w:rsid w:val="6B191B3C"/>
    <w:rsid w:val="6B195F13"/>
    <w:rsid w:val="6B1BBEA0"/>
    <w:rsid w:val="6B23F286"/>
    <w:rsid w:val="6B246A3A"/>
    <w:rsid w:val="6B2BA58F"/>
    <w:rsid w:val="6B2E9B63"/>
    <w:rsid w:val="6B34F19A"/>
    <w:rsid w:val="6B3B1C26"/>
    <w:rsid w:val="6B3C5B4D"/>
    <w:rsid w:val="6B3E6D1F"/>
    <w:rsid w:val="6B3F741C"/>
    <w:rsid w:val="6B454E68"/>
    <w:rsid w:val="6B4559F4"/>
    <w:rsid w:val="6B4A034B"/>
    <w:rsid w:val="6B4C26A9"/>
    <w:rsid w:val="6B504F28"/>
    <w:rsid w:val="6B598785"/>
    <w:rsid w:val="6B5D585F"/>
    <w:rsid w:val="6B66E26A"/>
    <w:rsid w:val="6B6A03FD"/>
    <w:rsid w:val="6B6AB9AC"/>
    <w:rsid w:val="6B6F62A9"/>
    <w:rsid w:val="6B704157"/>
    <w:rsid w:val="6B706CC9"/>
    <w:rsid w:val="6B733DC8"/>
    <w:rsid w:val="6B73D965"/>
    <w:rsid w:val="6B756CD3"/>
    <w:rsid w:val="6B7B7BC7"/>
    <w:rsid w:val="6B7C76BF"/>
    <w:rsid w:val="6B7E4900"/>
    <w:rsid w:val="6B8063B5"/>
    <w:rsid w:val="6B8136EC"/>
    <w:rsid w:val="6B819DE1"/>
    <w:rsid w:val="6B8358CA"/>
    <w:rsid w:val="6B83AD26"/>
    <w:rsid w:val="6B86867C"/>
    <w:rsid w:val="6B95690F"/>
    <w:rsid w:val="6B9662C9"/>
    <w:rsid w:val="6B9D6701"/>
    <w:rsid w:val="6BA22ECD"/>
    <w:rsid w:val="6BAAED12"/>
    <w:rsid w:val="6BB120CE"/>
    <w:rsid w:val="6BB2D5AC"/>
    <w:rsid w:val="6BB88184"/>
    <w:rsid w:val="6BB95F61"/>
    <w:rsid w:val="6BB96CB3"/>
    <w:rsid w:val="6BBE8FC8"/>
    <w:rsid w:val="6BC2D9AE"/>
    <w:rsid w:val="6BC3EC63"/>
    <w:rsid w:val="6BC41F94"/>
    <w:rsid w:val="6BD0EB1D"/>
    <w:rsid w:val="6BD119F2"/>
    <w:rsid w:val="6BD1B710"/>
    <w:rsid w:val="6BD62582"/>
    <w:rsid w:val="6BD87A66"/>
    <w:rsid w:val="6BDB8675"/>
    <w:rsid w:val="6BDC415F"/>
    <w:rsid w:val="6BE1390F"/>
    <w:rsid w:val="6BE1B47F"/>
    <w:rsid w:val="6BE90ECE"/>
    <w:rsid w:val="6BF50676"/>
    <w:rsid w:val="6BFD2039"/>
    <w:rsid w:val="6C005ADC"/>
    <w:rsid w:val="6C01451B"/>
    <w:rsid w:val="6C02A02D"/>
    <w:rsid w:val="6C032405"/>
    <w:rsid w:val="6C03B16D"/>
    <w:rsid w:val="6C08A6DE"/>
    <w:rsid w:val="6C0B3179"/>
    <w:rsid w:val="6C161D41"/>
    <w:rsid w:val="6C184C06"/>
    <w:rsid w:val="6C1A523E"/>
    <w:rsid w:val="6C1A7DF8"/>
    <w:rsid w:val="6C1E6092"/>
    <w:rsid w:val="6C1E926F"/>
    <w:rsid w:val="6C207CB2"/>
    <w:rsid w:val="6C231FA7"/>
    <w:rsid w:val="6C28A52F"/>
    <w:rsid w:val="6C3C5C26"/>
    <w:rsid w:val="6C3CEF71"/>
    <w:rsid w:val="6C3DE1D0"/>
    <w:rsid w:val="6C3EDBA6"/>
    <w:rsid w:val="6C43AE11"/>
    <w:rsid w:val="6C47F27E"/>
    <w:rsid w:val="6C50908F"/>
    <w:rsid w:val="6C53728B"/>
    <w:rsid w:val="6C54A975"/>
    <w:rsid w:val="6C55D320"/>
    <w:rsid w:val="6C57F4FD"/>
    <w:rsid w:val="6C5D980C"/>
    <w:rsid w:val="6C5DF2E2"/>
    <w:rsid w:val="6C64064A"/>
    <w:rsid w:val="6C6929C0"/>
    <w:rsid w:val="6C6D8782"/>
    <w:rsid w:val="6C6E0AF1"/>
    <w:rsid w:val="6C6E1A7D"/>
    <w:rsid w:val="6C73E5C2"/>
    <w:rsid w:val="6C7923D3"/>
    <w:rsid w:val="6C7BF104"/>
    <w:rsid w:val="6C7CA36C"/>
    <w:rsid w:val="6C7EA70E"/>
    <w:rsid w:val="6C7EA93D"/>
    <w:rsid w:val="6C7EAFCC"/>
    <w:rsid w:val="6C7EC5D9"/>
    <w:rsid w:val="6C801597"/>
    <w:rsid w:val="6C828CAE"/>
    <w:rsid w:val="6C8418D5"/>
    <w:rsid w:val="6C897A73"/>
    <w:rsid w:val="6C89B4AE"/>
    <w:rsid w:val="6C9A8598"/>
    <w:rsid w:val="6C9BF193"/>
    <w:rsid w:val="6C9C43B7"/>
    <w:rsid w:val="6CA02B06"/>
    <w:rsid w:val="6CA86337"/>
    <w:rsid w:val="6CB057B9"/>
    <w:rsid w:val="6CB10C6F"/>
    <w:rsid w:val="6CB7A23D"/>
    <w:rsid w:val="6CC3B9B4"/>
    <w:rsid w:val="6CC8E4C6"/>
    <w:rsid w:val="6CCBFE4C"/>
    <w:rsid w:val="6CD0A4EA"/>
    <w:rsid w:val="6CD19E11"/>
    <w:rsid w:val="6CE019A5"/>
    <w:rsid w:val="6CE922AD"/>
    <w:rsid w:val="6CF629DA"/>
    <w:rsid w:val="6CF78666"/>
    <w:rsid w:val="6CFBC73A"/>
    <w:rsid w:val="6D012EC2"/>
    <w:rsid w:val="6D061E69"/>
    <w:rsid w:val="6D13A942"/>
    <w:rsid w:val="6D15C746"/>
    <w:rsid w:val="6D19A6AA"/>
    <w:rsid w:val="6D1F81DE"/>
    <w:rsid w:val="6D210398"/>
    <w:rsid w:val="6D2594E8"/>
    <w:rsid w:val="6D268BCA"/>
    <w:rsid w:val="6D285E61"/>
    <w:rsid w:val="6D355160"/>
    <w:rsid w:val="6D3A3735"/>
    <w:rsid w:val="6D3A66E9"/>
    <w:rsid w:val="6D4E22C2"/>
    <w:rsid w:val="6D5702AD"/>
    <w:rsid w:val="6D5813F4"/>
    <w:rsid w:val="6D5E35F1"/>
    <w:rsid w:val="6D668A92"/>
    <w:rsid w:val="6D739E76"/>
    <w:rsid w:val="6D77F559"/>
    <w:rsid w:val="6D7A0C87"/>
    <w:rsid w:val="6D7C915C"/>
    <w:rsid w:val="6D87094B"/>
    <w:rsid w:val="6D907556"/>
    <w:rsid w:val="6D96835C"/>
    <w:rsid w:val="6D9A88E3"/>
    <w:rsid w:val="6D9F392D"/>
    <w:rsid w:val="6DA780B3"/>
    <w:rsid w:val="6DAC0BC5"/>
    <w:rsid w:val="6DB126BD"/>
    <w:rsid w:val="6DB29A6D"/>
    <w:rsid w:val="6DB44548"/>
    <w:rsid w:val="6DB5CA12"/>
    <w:rsid w:val="6DB7FBA1"/>
    <w:rsid w:val="6DBC5F32"/>
    <w:rsid w:val="6DBF569A"/>
    <w:rsid w:val="6DC73E97"/>
    <w:rsid w:val="6DCBFF95"/>
    <w:rsid w:val="6DD1FCD7"/>
    <w:rsid w:val="6DD2C2AE"/>
    <w:rsid w:val="6DD5A202"/>
    <w:rsid w:val="6DDF23FA"/>
    <w:rsid w:val="6DE2EDFF"/>
    <w:rsid w:val="6DEB360C"/>
    <w:rsid w:val="6DEDBDE5"/>
    <w:rsid w:val="6DEFC64B"/>
    <w:rsid w:val="6DF02F3C"/>
    <w:rsid w:val="6DF26633"/>
    <w:rsid w:val="6DF69E8B"/>
    <w:rsid w:val="6DF914D7"/>
    <w:rsid w:val="6DF977DB"/>
    <w:rsid w:val="6DFD6BD4"/>
    <w:rsid w:val="6E09F4E0"/>
    <w:rsid w:val="6E0A1530"/>
    <w:rsid w:val="6E2B5A43"/>
    <w:rsid w:val="6E33F568"/>
    <w:rsid w:val="6E3A3B57"/>
    <w:rsid w:val="6E40B5E0"/>
    <w:rsid w:val="6E414A47"/>
    <w:rsid w:val="6E42274A"/>
    <w:rsid w:val="6E43B133"/>
    <w:rsid w:val="6E45A8E2"/>
    <w:rsid w:val="6E468CA8"/>
    <w:rsid w:val="6E48B79B"/>
    <w:rsid w:val="6E4E4BD0"/>
    <w:rsid w:val="6E52E9EE"/>
    <w:rsid w:val="6E54791E"/>
    <w:rsid w:val="6E5B0D78"/>
    <w:rsid w:val="6E5D4CE0"/>
    <w:rsid w:val="6E60638D"/>
    <w:rsid w:val="6E61361D"/>
    <w:rsid w:val="6E68D03B"/>
    <w:rsid w:val="6E699203"/>
    <w:rsid w:val="6E6A780E"/>
    <w:rsid w:val="6E6D08B3"/>
    <w:rsid w:val="6E6F57B4"/>
    <w:rsid w:val="6E702224"/>
    <w:rsid w:val="6E73FB76"/>
    <w:rsid w:val="6E7866B9"/>
    <w:rsid w:val="6E79889C"/>
    <w:rsid w:val="6E8350EE"/>
    <w:rsid w:val="6E93BBBE"/>
    <w:rsid w:val="6E959129"/>
    <w:rsid w:val="6EA7F6EF"/>
    <w:rsid w:val="6EB034B4"/>
    <w:rsid w:val="6EB895B2"/>
    <w:rsid w:val="6EBB54BC"/>
    <w:rsid w:val="6EBB5952"/>
    <w:rsid w:val="6EBB95AA"/>
    <w:rsid w:val="6EBCB418"/>
    <w:rsid w:val="6EBF0500"/>
    <w:rsid w:val="6EC0EF52"/>
    <w:rsid w:val="6EC540C0"/>
    <w:rsid w:val="6ED2B1AD"/>
    <w:rsid w:val="6ED32C96"/>
    <w:rsid w:val="6ED4FF4B"/>
    <w:rsid w:val="6ED64379"/>
    <w:rsid w:val="6ED711D7"/>
    <w:rsid w:val="6ED781B3"/>
    <w:rsid w:val="6ED7DFDB"/>
    <w:rsid w:val="6EDBCB2E"/>
    <w:rsid w:val="6EDE21AA"/>
    <w:rsid w:val="6EE13A38"/>
    <w:rsid w:val="6EE40533"/>
    <w:rsid w:val="6EE76FAE"/>
    <w:rsid w:val="6EEFF3D7"/>
    <w:rsid w:val="6EF15CC2"/>
    <w:rsid w:val="6EF1A6AF"/>
    <w:rsid w:val="6EF3240B"/>
    <w:rsid w:val="6EF352E1"/>
    <w:rsid w:val="6EF75BCD"/>
    <w:rsid w:val="6EF7A48D"/>
    <w:rsid w:val="6EF952B3"/>
    <w:rsid w:val="6F088180"/>
    <w:rsid w:val="6F09F90C"/>
    <w:rsid w:val="6F0C5A5F"/>
    <w:rsid w:val="6F112F42"/>
    <w:rsid w:val="6F1B7E8D"/>
    <w:rsid w:val="6F1B9AA9"/>
    <w:rsid w:val="6F1BFE09"/>
    <w:rsid w:val="6F274F18"/>
    <w:rsid w:val="6F2CA0D5"/>
    <w:rsid w:val="6F2FCF27"/>
    <w:rsid w:val="6F343531"/>
    <w:rsid w:val="6F350A81"/>
    <w:rsid w:val="6F37D075"/>
    <w:rsid w:val="6F3E93BF"/>
    <w:rsid w:val="6F40545B"/>
    <w:rsid w:val="6F44078A"/>
    <w:rsid w:val="6F4769E6"/>
    <w:rsid w:val="6F4EA50F"/>
    <w:rsid w:val="6F57E397"/>
    <w:rsid w:val="6F5AC426"/>
    <w:rsid w:val="6F633904"/>
    <w:rsid w:val="6F6A11F7"/>
    <w:rsid w:val="6F6A2FF9"/>
    <w:rsid w:val="6F77CA35"/>
    <w:rsid w:val="6F7FA97F"/>
    <w:rsid w:val="6F818BDD"/>
    <w:rsid w:val="6F855A56"/>
    <w:rsid w:val="6F862B72"/>
    <w:rsid w:val="6F867C78"/>
    <w:rsid w:val="6F87F61E"/>
    <w:rsid w:val="6F893636"/>
    <w:rsid w:val="6F89FAEB"/>
    <w:rsid w:val="6F8C40FE"/>
    <w:rsid w:val="6F92C22D"/>
    <w:rsid w:val="6FA34220"/>
    <w:rsid w:val="6FAE32EB"/>
    <w:rsid w:val="6FB29798"/>
    <w:rsid w:val="6FBA531A"/>
    <w:rsid w:val="6FBD21E5"/>
    <w:rsid w:val="6FC7B85D"/>
    <w:rsid w:val="6FCB7171"/>
    <w:rsid w:val="6FCBA020"/>
    <w:rsid w:val="6FCD19B3"/>
    <w:rsid w:val="6FD1B149"/>
    <w:rsid w:val="6FD2883C"/>
    <w:rsid w:val="6FD7CF46"/>
    <w:rsid w:val="6FD978D1"/>
    <w:rsid w:val="6FD9E357"/>
    <w:rsid w:val="6FDAEF5A"/>
    <w:rsid w:val="6FE35C28"/>
    <w:rsid w:val="6FE43225"/>
    <w:rsid w:val="6FE4C84D"/>
    <w:rsid w:val="6FEA3AD2"/>
    <w:rsid w:val="6FF0D94B"/>
    <w:rsid w:val="6FF264C3"/>
    <w:rsid w:val="6FF3CBF4"/>
    <w:rsid w:val="6FFCE919"/>
    <w:rsid w:val="7000A331"/>
    <w:rsid w:val="70023422"/>
    <w:rsid w:val="700970ED"/>
    <w:rsid w:val="700BAD1F"/>
    <w:rsid w:val="700D3FFC"/>
    <w:rsid w:val="7018D7C2"/>
    <w:rsid w:val="701DB6D8"/>
    <w:rsid w:val="701DD400"/>
    <w:rsid w:val="7023C6C9"/>
    <w:rsid w:val="70247A4B"/>
    <w:rsid w:val="70268A16"/>
    <w:rsid w:val="7029672C"/>
    <w:rsid w:val="702FCFE4"/>
    <w:rsid w:val="70304FAF"/>
    <w:rsid w:val="703729C4"/>
    <w:rsid w:val="70379F17"/>
    <w:rsid w:val="703B9163"/>
    <w:rsid w:val="7040BF7C"/>
    <w:rsid w:val="704361D0"/>
    <w:rsid w:val="704CA584"/>
    <w:rsid w:val="704D4392"/>
    <w:rsid w:val="704F23FE"/>
    <w:rsid w:val="705348FA"/>
    <w:rsid w:val="705A7A99"/>
    <w:rsid w:val="705AB110"/>
    <w:rsid w:val="705CFD8E"/>
    <w:rsid w:val="705ECE6E"/>
    <w:rsid w:val="7063A58B"/>
    <w:rsid w:val="7064D765"/>
    <w:rsid w:val="707C20AE"/>
    <w:rsid w:val="708C2649"/>
    <w:rsid w:val="708E1F9C"/>
    <w:rsid w:val="708EE55F"/>
    <w:rsid w:val="7090B0AE"/>
    <w:rsid w:val="7091D95C"/>
    <w:rsid w:val="7092CA19"/>
    <w:rsid w:val="70957287"/>
    <w:rsid w:val="709630EE"/>
    <w:rsid w:val="709BC353"/>
    <w:rsid w:val="70A2A457"/>
    <w:rsid w:val="70A7A0FD"/>
    <w:rsid w:val="70AF15A3"/>
    <w:rsid w:val="70AFA7BB"/>
    <w:rsid w:val="70B6275D"/>
    <w:rsid w:val="70B72F14"/>
    <w:rsid w:val="70B8A921"/>
    <w:rsid w:val="70B90DD5"/>
    <w:rsid w:val="70BAA742"/>
    <w:rsid w:val="70BC80A4"/>
    <w:rsid w:val="70C91569"/>
    <w:rsid w:val="70CBE777"/>
    <w:rsid w:val="70CF125F"/>
    <w:rsid w:val="70D4F0B3"/>
    <w:rsid w:val="70D68DEE"/>
    <w:rsid w:val="70D70866"/>
    <w:rsid w:val="70DB1E6B"/>
    <w:rsid w:val="70DB299C"/>
    <w:rsid w:val="70DE0717"/>
    <w:rsid w:val="70DFFA9B"/>
    <w:rsid w:val="70E19308"/>
    <w:rsid w:val="70E2100E"/>
    <w:rsid w:val="70E4F040"/>
    <w:rsid w:val="70E92998"/>
    <w:rsid w:val="70E9B7D7"/>
    <w:rsid w:val="70EC6ED8"/>
    <w:rsid w:val="70EE1BDE"/>
    <w:rsid w:val="70EF2500"/>
    <w:rsid w:val="70EF5F3C"/>
    <w:rsid w:val="70FAAF68"/>
    <w:rsid w:val="7100AEFC"/>
    <w:rsid w:val="7102193E"/>
    <w:rsid w:val="710232C3"/>
    <w:rsid w:val="71034AF2"/>
    <w:rsid w:val="710F0881"/>
    <w:rsid w:val="710F9881"/>
    <w:rsid w:val="711130F0"/>
    <w:rsid w:val="71140A12"/>
    <w:rsid w:val="71178096"/>
    <w:rsid w:val="711B552D"/>
    <w:rsid w:val="711EC56D"/>
    <w:rsid w:val="71260DA1"/>
    <w:rsid w:val="7126D05C"/>
    <w:rsid w:val="712B710D"/>
    <w:rsid w:val="712FCA8D"/>
    <w:rsid w:val="7132C1D0"/>
    <w:rsid w:val="713A3AFA"/>
    <w:rsid w:val="713D12A5"/>
    <w:rsid w:val="7147460D"/>
    <w:rsid w:val="714A3389"/>
    <w:rsid w:val="714EAA37"/>
    <w:rsid w:val="714FB44C"/>
    <w:rsid w:val="71538782"/>
    <w:rsid w:val="7156E5A5"/>
    <w:rsid w:val="71588E2B"/>
    <w:rsid w:val="7162529F"/>
    <w:rsid w:val="716257A2"/>
    <w:rsid w:val="71670863"/>
    <w:rsid w:val="7168B6F2"/>
    <w:rsid w:val="7169E847"/>
    <w:rsid w:val="71702F5B"/>
    <w:rsid w:val="71707153"/>
    <w:rsid w:val="71767B82"/>
    <w:rsid w:val="7176DC05"/>
    <w:rsid w:val="7176ED07"/>
    <w:rsid w:val="717EF7F0"/>
    <w:rsid w:val="71827CCF"/>
    <w:rsid w:val="71858CDB"/>
    <w:rsid w:val="718EBDAB"/>
    <w:rsid w:val="71901CD1"/>
    <w:rsid w:val="71914CEC"/>
    <w:rsid w:val="7191C208"/>
    <w:rsid w:val="7195744D"/>
    <w:rsid w:val="71971D51"/>
    <w:rsid w:val="7198BEFB"/>
    <w:rsid w:val="71A09C7D"/>
    <w:rsid w:val="71A14822"/>
    <w:rsid w:val="71ABF8E1"/>
    <w:rsid w:val="71AE74A7"/>
    <w:rsid w:val="71B181A9"/>
    <w:rsid w:val="71B2ABD9"/>
    <w:rsid w:val="71B6D9AB"/>
    <w:rsid w:val="71B79871"/>
    <w:rsid w:val="71BB21D8"/>
    <w:rsid w:val="71BDC908"/>
    <w:rsid w:val="71BE51A0"/>
    <w:rsid w:val="71C7C3D0"/>
    <w:rsid w:val="71D17734"/>
    <w:rsid w:val="71D1B0ED"/>
    <w:rsid w:val="71D3A4A7"/>
    <w:rsid w:val="71D4FB8E"/>
    <w:rsid w:val="71DBDAB3"/>
    <w:rsid w:val="71DF5926"/>
    <w:rsid w:val="71E0AB78"/>
    <w:rsid w:val="71E0E31E"/>
    <w:rsid w:val="71E9FA5C"/>
    <w:rsid w:val="71F23C3F"/>
    <w:rsid w:val="71F2CB8B"/>
    <w:rsid w:val="71F7A010"/>
    <w:rsid w:val="71FE5621"/>
    <w:rsid w:val="72000D50"/>
    <w:rsid w:val="72008E27"/>
    <w:rsid w:val="72016E5E"/>
    <w:rsid w:val="7208D43B"/>
    <w:rsid w:val="72156B77"/>
    <w:rsid w:val="721B9A01"/>
    <w:rsid w:val="721E597D"/>
    <w:rsid w:val="722267A6"/>
    <w:rsid w:val="7225A6D5"/>
    <w:rsid w:val="722BB0A6"/>
    <w:rsid w:val="722CB367"/>
    <w:rsid w:val="72321A5F"/>
    <w:rsid w:val="7239D4F8"/>
    <w:rsid w:val="723C6F71"/>
    <w:rsid w:val="723CFF9F"/>
    <w:rsid w:val="724328D1"/>
    <w:rsid w:val="72492992"/>
    <w:rsid w:val="724F30F7"/>
    <w:rsid w:val="7251F4EE"/>
    <w:rsid w:val="725275C0"/>
    <w:rsid w:val="72543CE5"/>
    <w:rsid w:val="7254C3A5"/>
    <w:rsid w:val="7259DC5D"/>
    <w:rsid w:val="725D2B62"/>
    <w:rsid w:val="72672B2D"/>
    <w:rsid w:val="7269C433"/>
    <w:rsid w:val="72701A39"/>
    <w:rsid w:val="7277537C"/>
    <w:rsid w:val="727E7C8B"/>
    <w:rsid w:val="7281226C"/>
    <w:rsid w:val="72836A4B"/>
    <w:rsid w:val="7290CCBF"/>
    <w:rsid w:val="7291983D"/>
    <w:rsid w:val="729FE2BD"/>
    <w:rsid w:val="72ADEA81"/>
    <w:rsid w:val="72C6E798"/>
    <w:rsid w:val="72CB6596"/>
    <w:rsid w:val="72D1AF32"/>
    <w:rsid w:val="72D2F694"/>
    <w:rsid w:val="72D81E58"/>
    <w:rsid w:val="72D84C6C"/>
    <w:rsid w:val="72DFBE68"/>
    <w:rsid w:val="72EE7DD0"/>
    <w:rsid w:val="72F7226F"/>
    <w:rsid w:val="730256F6"/>
    <w:rsid w:val="7306F33C"/>
    <w:rsid w:val="73085793"/>
    <w:rsid w:val="730E908B"/>
    <w:rsid w:val="730F2E30"/>
    <w:rsid w:val="730F833D"/>
    <w:rsid w:val="73104A0F"/>
    <w:rsid w:val="73120C91"/>
    <w:rsid w:val="7312FBD1"/>
    <w:rsid w:val="7319C721"/>
    <w:rsid w:val="731A65B5"/>
    <w:rsid w:val="73270C16"/>
    <w:rsid w:val="732A745B"/>
    <w:rsid w:val="732A987B"/>
    <w:rsid w:val="732BD742"/>
    <w:rsid w:val="732BE057"/>
    <w:rsid w:val="73305DA3"/>
    <w:rsid w:val="7336529C"/>
    <w:rsid w:val="733C2391"/>
    <w:rsid w:val="733F65F5"/>
    <w:rsid w:val="7343020F"/>
    <w:rsid w:val="73476347"/>
    <w:rsid w:val="734C35D0"/>
    <w:rsid w:val="7353A50C"/>
    <w:rsid w:val="7353F367"/>
    <w:rsid w:val="735504F2"/>
    <w:rsid w:val="7356EBFC"/>
    <w:rsid w:val="735722C6"/>
    <w:rsid w:val="7358155E"/>
    <w:rsid w:val="736398E6"/>
    <w:rsid w:val="736A9500"/>
    <w:rsid w:val="73721C8D"/>
    <w:rsid w:val="7375C55F"/>
    <w:rsid w:val="737AC157"/>
    <w:rsid w:val="737BEB4D"/>
    <w:rsid w:val="7381A7C5"/>
    <w:rsid w:val="7382AE89"/>
    <w:rsid w:val="73884FDC"/>
    <w:rsid w:val="739D57B2"/>
    <w:rsid w:val="739F487E"/>
    <w:rsid w:val="73A10C5A"/>
    <w:rsid w:val="73A4B263"/>
    <w:rsid w:val="73A5C568"/>
    <w:rsid w:val="73A8696F"/>
    <w:rsid w:val="73ACDF20"/>
    <w:rsid w:val="73B10DB4"/>
    <w:rsid w:val="73B30E83"/>
    <w:rsid w:val="73B4F7CB"/>
    <w:rsid w:val="73B59930"/>
    <w:rsid w:val="73C25137"/>
    <w:rsid w:val="73C3B7B5"/>
    <w:rsid w:val="73C89A80"/>
    <w:rsid w:val="73CEF3A2"/>
    <w:rsid w:val="73D07CB2"/>
    <w:rsid w:val="73D268E5"/>
    <w:rsid w:val="73D7F4BE"/>
    <w:rsid w:val="73D8BD8C"/>
    <w:rsid w:val="73DC4B48"/>
    <w:rsid w:val="73DE60CD"/>
    <w:rsid w:val="73E31357"/>
    <w:rsid w:val="73E680E1"/>
    <w:rsid w:val="73EC3F6D"/>
    <w:rsid w:val="73EFF847"/>
    <w:rsid w:val="73F1CA4E"/>
    <w:rsid w:val="73F3B8A5"/>
    <w:rsid w:val="740D50F7"/>
    <w:rsid w:val="7413157F"/>
    <w:rsid w:val="74133B7C"/>
    <w:rsid w:val="741ACC48"/>
    <w:rsid w:val="7421FCBA"/>
    <w:rsid w:val="7423EE2C"/>
    <w:rsid w:val="7427C562"/>
    <w:rsid w:val="742BA464"/>
    <w:rsid w:val="74301586"/>
    <w:rsid w:val="7435A452"/>
    <w:rsid w:val="7435C61C"/>
    <w:rsid w:val="743F3477"/>
    <w:rsid w:val="74458B50"/>
    <w:rsid w:val="744D8E72"/>
    <w:rsid w:val="744F2852"/>
    <w:rsid w:val="74511126"/>
    <w:rsid w:val="7462E3E0"/>
    <w:rsid w:val="7464EABF"/>
    <w:rsid w:val="7466657B"/>
    <w:rsid w:val="746BE634"/>
    <w:rsid w:val="74734D78"/>
    <w:rsid w:val="747BE53F"/>
    <w:rsid w:val="747C36A9"/>
    <w:rsid w:val="747C7494"/>
    <w:rsid w:val="7483980F"/>
    <w:rsid w:val="74852B7B"/>
    <w:rsid w:val="748635F2"/>
    <w:rsid w:val="748AB294"/>
    <w:rsid w:val="748B5EAC"/>
    <w:rsid w:val="74987A26"/>
    <w:rsid w:val="749FF1F5"/>
    <w:rsid w:val="74A762B2"/>
    <w:rsid w:val="74A84FF1"/>
    <w:rsid w:val="74A9AE7B"/>
    <w:rsid w:val="74B0C654"/>
    <w:rsid w:val="74B13BF7"/>
    <w:rsid w:val="74B860A8"/>
    <w:rsid w:val="74BC5388"/>
    <w:rsid w:val="74BC5836"/>
    <w:rsid w:val="74BF53CC"/>
    <w:rsid w:val="74C040C5"/>
    <w:rsid w:val="74C32BBC"/>
    <w:rsid w:val="74C5DB56"/>
    <w:rsid w:val="74C8C6A1"/>
    <w:rsid w:val="74E07009"/>
    <w:rsid w:val="74EA9C2C"/>
    <w:rsid w:val="74EB5737"/>
    <w:rsid w:val="74EED53E"/>
    <w:rsid w:val="74F0D7AE"/>
    <w:rsid w:val="74F507AF"/>
    <w:rsid w:val="74F52322"/>
    <w:rsid w:val="74F88180"/>
    <w:rsid w:val="74F8FF3C"/>
    <w:rsid w:val="74FB0032"/>
    <w:rsid w:val="74FB2239"/>
    <w:rsid w:val="74FDBD4E"/>
    <w:rsid w:val="75010765"/>
    <w:rsid w:val="75056F29"/>
    <w:rsid w:val="7506C300"/>
    <w:rsid w:val="7508E84D"/>
    <w:rsid w:val="750D3A64"/>
    <w:rsid w:val="7510EA16"/>
    <w:rsid w:val="75141F8A"/>
    <w:rsid w:val="751965A0"/>
    <w:rsid w:val="752860BE"/>
    <w:rsid w:val="752A9F2E"/>
    <w:rsid w:val="752AD795"/>
    <w:rsid w:val="752F8D18"/>
    <w:rsid w:val="75308C1D"/>
    <w:rsid w:val="75331433"/>
    <w:rsid w:val="7535C4BC"/>
    <w:rsid w:val="753613BD"/>
    <w:rsid w:val="7537A27A"/>
    <w:rsid w:val="7538ACA5"/>
    <w:rsid w:val="753B3E0A"/>
    <w:rsid w:val="753CFF87"/>
    <w:rsid w:val="75490C01"/>
    <w:rsid w:val="754C7B10"/>
    <w:rsid w:val="7555475A"/>
    <w:rsid w:val="75562E2D"/>
    <w:rsid w:val="75572D32"/>
    <w:rsid w:val="755E968E"/>
    <w:rsid w:val="755F128A"/>
    <w:rsid w:val="755FE1A5"/>
    <w:rsid w:val="7562BC63"/>
    <w:rsid w:val="75663591"/>
    <w:rsid w:val="75666505"/>
    <w:rsid w:val="7569C4ED"/>
    <w:rsid w:val="75734DF7"/>
    <w:rsid w:val="757A2448"/>
    <w:rsid w:val="757B8727"/>
    <w:rsid w:val="75888090"/>
    <w:rsid w:val="759C7300"/>
    <w:rsid w:val="759FBD5C"/>
    <w:rsid w:val="75ADF7B4"/>
    <w:rsid w:val="75B4101B"/>
    <w:rsid w:val="75B54DD1"/>
    <w:rsid w:val="75BDD350"/>
    <w:rsid w:val="75C477E9"/>
    <w:rsid w:val="75D2247D"/>
    <w:rsid w:val="75D24829"/>
    <w:rsid w:val="75D3A831"/>
    <w:rsid w:val="75E097C0"/>
    <w:rsid w:val="75E18488"/>
    <w:rsid w:val="75F8029E"/>
    <w:rsid w:val="75FB6824"/>
    <w:rsid w:val="75FD4F6D"/>
    <w:rsid w:val="75FDF4A0"/>
    <w:rsid w:val="76086E91"/>
    <w:rsid w:val="7619ED42"/>
    <w:rsid w:val="762605AC"/>
    <w:rsid w:val="762C8152"/>
    <w:rsid w:val="762CC13D"/>
    <w:rsid w:val="762D1014"/>
    <w:rsid w:val="76332908"/>
    <w:rsid w:val="763404ED"/>
    <w:rsid w:val="7635CE58"/>
    <w:rsid w:val="76446747"/>
    <w:rsid w:val="764DE46C"/>
    <w:rsid w:val="765681EC"/>
    <w:rsid w:val="765B39A6"/>
    <w:rsid w:val="7660DA8D"/>
    <w:rsid w:val="7661E5EF"/>
    <w:rsid w:val="766346B1"/>
    <w:rsid w:val="76642597"/>
    <w:rsid w:val="7666D422"/>
    <w:rsid w:val="76699BEB"/>
    <w:rsid w:val="766D72FA"/>
    <w:rsid w:val="766DD63A"/>
    <w:rsid w:val="766EFA35"/>
    <w:rsid w:val="7673FE59"/>
    <w:rsid w:val="7677793B"/>
    <w:rsid w:val="767CB9F9"/>
    <w:rsid w:val="767E099F"/>
    <w:rsid w:val="76833A0D"/>
    <w:rsid w:val="7689243B"/>
    <w:rsid w:val="768A821C"/>
    <w:rsid w:val="768C84C7"/>
    <w:rsid w:val="76957702"/>
    <w:rsid w:val="769A83E2"/>
    <w:rsid w:val="769A9F2C"/>
    <w:rsid w:val="76A0DF5D"/>
    <w:rsid w:val="76AD75A0"/>
    <w:rsid w:val="76B3AE66"/>
    <w:rsid w:val="76B60EFD"/>
    <w:rsid w:val="76C02A86"/>
    <w:rsid w:val="76C17A44"/>
    <w:rsid w:val="76C3041D"/>
    <w:rsid w:val="76C4FA5D"/>
    <w:rsid w:val="76CB3F3B"/>
    <w:rsid w:val="76CBE4FF"/>
    <w:rsid w:val="76DB5F45"/>
    <w:rsid w:val="76E9D1B9"/>
    <w:rsid w:val="76EA307D"/>
    <w:rsid w:val="76F00292"/>
    <w:rsid w:val="76F57717"/>
    <w:rsid w:val="76F6EFF8"/>
    <w:rsid w:val="76FD8768"/>
    <w:rsid w:val="7703DD77"/>
    <w:rsid w:val="7705B0D3"/>
    <w:rsid w:val="770C069E"/>
    <w:rsid w:val="7711AF51"/>
    <w:rsid w:val="771FC1D8"/>
    <w:rsid w:val="772B006A"/>
    <w:rsid w:val="772F56C0"/>
    <w:rsid w:val="7731136D"/>
    <w:rsid w:val="773473E1"/>
    <w:rsid w:val="773B6291"/>
    <w:rsid w:val="773EFB32"/>
    <w:rsid w:val="7748AD02"/>
    <w:rsid w:val="77515796"/>
    <w:rsid w:val="77567E21"/>
    <w:rsid w:val="775C2210"/>
    <w:rsid w:val="775EAEB2"/>
    <w:rsid w:val="7762D491"/>
    <w:rsid w:val="7765C0BC"/>
    <w:rsid w:val="776BAE69"/>
    <w:rsid w:val="776C2199"/>
    <w:rsid w:val="776F0E6F"/>
    <w:rsid w:val="77713D00"/>
    <w:rsid w:val="7774D866"/>
    <w:rsid w:val="7779882F"/>
    <w:rsid w:val="777B2B6E"/>
    <w:rsid w:val="77805308"/>
    <w:rsid w:val="7787CE85"/>
    <w:rsid w:val="778C25DB"/>
    <w:rsid w:val="778EF3E0"/>
    <w:rsid w:val="77911AFC"/>
    <w:rsid w:val="77966E74"/>
    <w:rsid w:val="779A0BA4"/>
    <w:rsid w:val="779A534E"/>
    <w:rsid w:val="77A83B55"/>
    <w:rsid w:val="77B21F26"/>
    <w:rsid w:val="77BB36ED"/>
    <w:rsid w:val="77BB882F"/>
    <w:rsid w:val="77BBA2C9"/>
    <w:rsid w:val="77BF4320"/>
    <w:rsid w:val="77C28875"/>
    <w:rsid w:val="77C2EFBF"/>
    <w:rsid w:val="77C6D555"/>
    <w:rsid w:val="77CBB3C2"/>
    <w:rsid w:val="77CDBC1A"/>
    <w:rsid w:val="77D0B986"/>
    <w:rsid w:val="77D1653B"/>
    <w:rsid w:val="77D5BB6E"/>
    <w:rsid w:val="77D755A9"/>
    <w:rsid w:val="77DADCCD"/>
    <w:rsid w:val="77DBFCA5"/>
    <w:rsid w:val="77DC3771"/>
    <w:rsid w:val="77DCE588"/>
    <w:rsid w:val="77E2BCD0"/>
    <w:rsid w:val="77E6C188"/>
    <w:rsid w:val="77E95F4C"/>
    <w:rsid w:val="77EC634B"/>
    <w:rsid w:val="77F8562C"/>
    <w:rsid w:val="77FA7276"/>
    <w:rsid w:val="77FE3CA3"/>
    <w:rsid w:val="77FFBBB4"/>
    <w:rsid w:val="78142F95"/>
    <w:rsid w:val="781F4AEB"/>
    <w:rsid w:val="7824D766"/>
    <w:rsid w:val="7831F36A"/>
    <w:rsid w:val="7835A0C3"/>
    <w:rsid w:val="78405E50"/>
    <w:rsid w:val="7849BC55"/>
    <w:rsid w:val="784B48FD"/>
    <w:rsid w:val="784FBE1E"/>
    <w:rsid w:val="7850CEE6"/>
    <w:rsid w:val="785539DF"/>
    <w:rsid w:val="78568CA9"/>
    <w:rsid w:val="78587D48"/>
    <w:rsid w:val="78588D61"/>
    <w:rsid w:val="785A18B5"/>
    <w:rsid w:val="785A1EE3"/>
    <w:rsid w:val="785D32D4"/>
    <w:rsid w:val="7862FF48"/>
    <w:rsid w:val="78650CD6"/>
    <w:rsid w:val="786624FA"/>
    <w:rsid w:val="786730FD"/>
    <w:rsid w:val="786973B2"/>
    <w:rsid w:val="7869A730"/>
    <w:rsid w:val="786CF83C"/>
    <w:rsid w:val="78773F81"/>
    <w:rsid w:val="787E70C3"/>
    <w:rsid w:val="787FBCD2"/>
    <w:rsid w:val="7882BB87"/>
    <w:rsid w:val="7884E456"/>
    <w:rsid w:val="78856006"/>
    <w:rsid w:val="7888C4AF"/>
    <w:rsid w:val="788AEBDE"/>
    <w:rsid w:val="788C0D67"/>
    <w:rsid w:val="7893C4FF"/>
    <w:rsid w:val="7897C3B8"/>
    <w:rsid w:val="789D059E"/>
    <w:rsid w:val="78A6FFF3"/>
    <w:rsid w:val="78A84FF2"/>
    <w:rsid w:val="78AA95D5"/>
    <w:rsid w:val="78AC2D32"/>
    <w:rsid w:val="78AC9EC9"/>
    <w:rsid w:val="78B3AE8B"/>
    <w:rsid w:val="78B40EDD"/>
    <w:rsid w:val="78C19DF5"/>
    <w:rsid w:val="78C23CD4"/>
    <w:rsid w:val="78C3986B"/>
    <w:rsid w:val="78C69797"/>
    <w:rsid w:val="78C8A72E"/>
    <w:rsid w:val="78CF471E"/>
    <w:rsid w:val="78CFE1DE"/>
    <w:rsid w:val="78D09D10"/>
    <w:rsid w:val="78D57388"/>
    <w:rsid w:val="78D6B8D2"/>
    <w:rsid w:val="78D6C9E0"/>
    <w:rsid w:val="78D704A6"/>
    <w:rsid w:val="78D8C053"/>
    <w:rsid w:val="78E9D609"/>
    <w:rsid w:val="78F3E62F"/>
    <w:rsid w:val="78F6943A"/>
    <w:rsid w:val="7900EE56"/>
    <w:rsid w:val="79055548"/>
    <w:rsid w:val="7908B91B"/>
    <w:rsid w:val="790B322C"/>
    <w:rsid w:val="790E3879"/>
    <w:rsid w:val="790F54CC"/>
    <w:rsid w:val="79172325"/>
    <w:rsid w:val="791A4ED9"/>
    <w:rsid w:val="791B0761"/>
    <w:rsid w:val="791C1D07"/>
    <w:rsid w:val="791E979D"/>
    <w:rsid w:val="7920ADA5"/>
    <w:rsid w:val="792435D3"/>
    <w:rsid w:val="79263E58"/>
    <w:rsid w:val="79267BDE"/>
    <w:rsid w:val="792696EC"/>
    <w:rsid w:val="7926DBAA"/>
    <w:rsid w:val="79356D40"/>
    <w:rsid w:val="793A9D44"/>
    <w:rsid w:val="793FF044"/>
    <w:rsid w:val="7941BFAA"/>
    <w:rsid w:val="7948DD90"/>
    <w:rsid w:val="794C5000"/>
    <w:rsid w:val="794EF2CD"/>
    <w:rsid w:val="79539F34"/>
    <w:rsid w:val="79557757"/>
    <w:rsid w:val="7962B530"/>
    <w:rsid w:val="796588DA"/>
    <w:rsid w:val="796AED4D"/>
    <w:rsid w:val="79717E34"/>
    <w:rsid w:val="7978034E"/>
    <w:rsid w:val="79780F7E"/>
    <w:rsid w:val="797D7981"/>
    <w:rsid w:val="797F565F"/>
    <w:rsid w:val="7981EAA8"/>
    <w:rsid w:val="79884B01"/>
    <w:rsid w:val="798EA530"/>
    <w:rsid w:val="7995B3F7"/>
    <w:rsid w:val="7999DA54"/>
    <w:rsid w:val="799B33CA"/>
    <w:rsid w:val="79A336DF"/>
    <w:rsid w:val="79A6D78B"/>
    <w:rsid w:val="79A7A1D9"/>
    <w:rsid w:val="79ADBFF3"/>
    <w:rsid w:val="79AEB99B"/>
    <w:rsid w:val="79B63DB3"/>
    <w:rsid w:val="79B7E365"/>
    <w:rsid w:val="79BB23BE"/>
    <w:rsid w:val="79BD0A86"/>
    <w:rsid w:val="79BFFDE1"/>
    <w:rsid w:val="79C2F638"/>
    <w:rsid w:val="79C6454F"/>
    <w:rsid w:val="79C7ECD9"/>
    <w:rsid w:val="79D3FCC8"/>
    <w:rsid w:val="79D86097"/>
    <w:rsid w:val="79DD10F2"/>
    <w:rsid w:val="79DD763B"/>
    <w:rsid w:val="79E4D25F"/>
    <w:rsid w:val="79E9C549"/>
    <w:rsid w:val="79EA702A"/>
    <w:rsid w:val="79F301C3"/>
    <w:rsid w:val="79F9AD21"/>
    <w:rsid w:val="7A01E779"/>
    <w:rsid w:val="7A051CE4"/>
    <w:rsid w:val="7A0E4727"/>
    <w:rsid w:val="7A127891"/>
    <w:rsid w:val="7A182139"/>
    <w:rsid w:val="7A19B4E8"/>
    <w:rsid w:val="7A1B6BE0"/>
    <w:rsid w:val="7A1D6C5B"/>
    <w:rsid w:val="7A20581D"/>
    <w:rsid w:val="7A2D5248"/>
    <w:rsid w:val="7A31D3C9"/>
    <w:rsid w:val="7A3B4B23"/>
    <w:rsid w:val="7A3C3DF2"/>
    <w:rsid w:val="7A42F4D1"/>
    <w:rsid w:val="7A448E62"/>
    <w:rsid w:val="7A4ED6E1"/>
    <w:rsid w:val="7A529948"/>
    <w:rsid w:val="7A53D659"/>
    <w:rsid w:val="7A55826E"/>
    <w:rsid w:val="7A58692B"/>
    <w:rsid w:val="7A59C8D8"/>
    <w:rsid w:val="7A5B4F2F"/>
    <w:rsid w:val="7A642571"/>
    <w:rsid w:val="7A66A639"/>
    <w:rsid w:val="7A67230B"/>
    <w:rsid w:val="7A67454D"/>
    <w:rsid w:val="7A6858D7"/>
    <w:rsid w:val="7A6879B1"/>
    <w:rsid w:val="7A6C0F39"/>
    <w:rsid w:val="7A6F1342"/>
    <w:rsid w:val="7A7312FD"/>
    <w:rsid w:val="7A743297"/>
    <w:rsid w:val="7A77B5DE"/>
    <w:rsid w:val="7A7A23AE"/>
    <w:rsid w:val="7A7E3052"/>
    <w:rsid w:val="7A7F284F"/>
    <w:rsid w:val="7A81F667"/>
    <w:rsid w:val="7A83754F"/>
    <w:rsid w:val="7A83E7E7"/>
    <w:rsid w:val="7A877115"/>
    <w:rsid w:val="7A89D751"/>
    <w:rsid w:val="7A917761"/>
    <w:rsid w:val="7A98CEF6"/>
    <w:rsid w:val="7A9D14F7"/>
    <w:rsid w:val="7AA0BDC4"/>
    <w:rsid w:val="7AA0BF02"/>
    <w:rsid w:val="7AA0D5DD"/>
    <w:rsid w:val="7AA767C4"/>
    <w:rsid w:val="7AAA2E32"/>
    <w:rsid w:val="7AAA7336"/>
    <w:rsid w:val="7ABCCF4E"/>
    <w:rsid w:val="7AC078A7"/>
    <w:rsid w:val="7AC0ABFE"/>
    <w:rsid w:val="7AC2C7AD"/>
    <w:rsid w:val="7AC44614"/>
    <w:rsid w:val="7ACFF5DB"/>
    <w:rsid w:val="7AD0601A"/>
    <w:rsid w:val="7ADD1341"/>
    <w:rsid w:val="7ADDF28F"/>
    <w:rsid w:val="7AE34AB5"/>
    <w:rsid w:val="7AE5615D"/>
    <w:rsid w:val="7AE8A555"/>
    <w:rsid w:val="7AEA0986"/>
    <w:rsid w:val="7AED7BF7"/>
    <w:rsid w:val="7AEEC844"/>
    <w:rsid w:val="7AF00896"/>
    <w:rsid w:val="7AF0DECF"/>
    <w:rsid w:val="7AF5599B"/>
    <w:rsid w:val="7AF72218"/>
    <w:rsid w:val="7AF8B67C"/>
    <w:rsid w:val="7AF8DAD4"/>
    <w:rsid w:val="7AFEBB0A"/>
    <w:rsid w:val="7B003EA7"/>
    <w:rsid w:val="7B057508"/>
    <w:rsid w:val="7B05A63E"/>
    <w:rsid w:val="7B09764E"/>
    <w:rsid w:val="7B0980C5"/>
    <w:rsid w:val="7B09FFDF"/>
    <w:rsid w:val="7B0DECD5"/>
    <w:rsid w:val="7B190293"/>
    <w:rsid w:val="7B1A96C2"/>
    <w:rsid w:val="7B21581F"/>
    <w:rsid w:val="7B23B2CD"/>
    <w:rsid w:val="7B25AAEF"/>
    <w:rsid w:val="7B26C6A6"/>
    <w:rsid w:val="7B276662"/>
    <w:rsid w:val="7B2848D9"/>
    <w:rsid w:val="7B28F35F"/>
    <w:rsid w:val="7B2EE571"/>
    <w:rsid w:val="7B314046"/>
    <w:rsid w:val="7B3393D8"/>
    <w:rsid w:val="7B37F1A5"/>
    <w:rsid w:val="7B3A45A6"/>
    <w:rsid w:val="7B3B3590"/>
    <w:rsid w:val="7B3BD1CB"/>
    <w:rsid w:val="7B3ED17E"/>
    <w:rsid w:val="7B41ECC2"/>
    <w:rsid w:val="7B487C89"/>
    <w:rsid w:val="7B4F59F5"/>
    <w:rsid w:val="7B543354"/>
    <w:rsid w:val="7B578919"/>
    <w:rsid w:val="7B58F00E"/>
    <w:rsid w:val="7B5AF25B"/>
    <w:rsid w:val="7B621D3D"/>
    <w:rsid w:val="7B676E91"/>
    <w:rsid w:val="7B677942"/>
    <w:rsid w:val="7B6CD3AB"/>
    <w:rsid w:val="7B6D7DB5"/>
    <w:rsid w:val="7B782444"/>
    <w:rsid w:val="7B796845"/>
    <w:rsid w:val="7B80E328"/>
    <w:rsid w:val="7B88CF2F"/>
    <w:rsid w:val="7B8AC638"/>
    <w:rsid w:val="7B8B0BA9"/>
    <w:rsid w:val="7B97ACD3"/>
    <w:rsid w:val="7B97F83A"/>
    <w:rsid w:val="7B98EE8D"/>
    <w:rsid w:val="7B9D9664"/>
    <w:rsid w:val="7B9FED53"/>
    <w:rsid w:val="7BAA267C"/>
    <w:rsid w:val="7BAF3322"/>
    <w:rsid w:val="7BAF9B50"/>
    <w:rsid w:val="7BB38876"/>
    <w:rsid w:val="7BB98E67"/>
    <w:rsid w:val="7BBCC1D2"/>
    <w:rsid w:val="7BBCEB6F"/>
    <w:rsid w:val="7BBD27E0"/>
    <w:rsid w:val="7BC16C2E"/>
    <w:rsid w:val="7BC1C783"/>
    <w:rsid w:val="7BCE0DA5"/>
    <w:rsid w:val="7BCEC254"/>
    <w:rsid w:val="7BD45FBD"/>
    <w:rsid w:val="7BD77FBE"/>
    <w:rsid w:val="7BEE262B"/>
    <w:rsid w:val="7BEE67C7"/>
    <w:rsid w:val="7BF9BCCD"/>
    <w:rsid w:val="7C0167BF"/>
    <w:rsid w:val="7C03BA7E"/>
    <w:rsid w:val="7C0C2485"/>
    <w:rsid w:val="7C0F9075"/>
    <w:rsid w:val="7C13DCAB"/>
    <w:rsid w:val="7C1BEC74"/>
    <w:rsid w:val="7C1C69DD"/>
    <w:rsid w:val="7C22990C"/>
    <w:rsid w:val="7C26E248"/>
    <w:rsid w:val="7C2A78E5"/>
    <w:rsid w:val="7C2F5F3E"/>
    <w:rsid w:val="7C32CBA6"/>
    <w:rsid w:val="7C38B080"/>
    <w:rsid w:val="7C445B89"/>
    <w:rsid w:val="7C45C793"/>
    <w:rsid w:val="7C4FF415"/>
    <w:rsid w:val="7C5B97DE"/>
    <w:rsid w:val="7C62DF12"/>
    <w:rsid w:val="7C64870C"/>
    <w:rsid w:val="7C648F57"/>
    <w:rsid w:val="7C68F49C"/>
    <w:rsid w:val="7C6A7061"/>
    <w:rsid w:val="7C6B5D5C"/>
    <w:rsid w:val="7C6F28E8"/>
    <w:rsid w:val="7C717B3E"/>
    <w:rsid w:val="7C797F0D"/>
    <w:rsid w:val="7C7984CF"/>
    <w:rsid w:val="7C84D2DB"/>
    <w:rsid w:val="7C8555FB"/>
    <w:rsid w:val="7C85C356"/>
    <w:rsid w:val="7C87BAF7"/>
    <w:rsid w:val="7C8AC8B4"/>
    <w:rsid w:val="7C8C9FEB"/>
    <w:rsid w:val="7C8E08EE"/>
    <w:rsid w:val="7C99ECAE"/>
    <w:rsid w:val="7C9C2E24"/>
    <w:rsid w:val="7CA3AA8A"/>
    <w:rsid w:val="7CA63C1E"/>
    <w:rsid w:val="7CA6D631"/>
    <w:rsid w:val="7CB0ECA1"/>
    <w:rsid w:val="7CB30898"/>
    <w:rsid w:val="7CB4F89C"/>
    <w:rsid w:val="7CB6C6E0"/>
    <w:rsid w:val="7CB7F047"/>
    <w:rsid w:val="7CBA821B"/>
    <w:rsid w:val="7CBAC88E"/>
    <w:rsid w:val="7CC3602F"/>
    <w:rsid w:val="7CC4A348"/>
    <w:rsid w:val="7CC8F669"/>
    <w:rsid w:val="7CCB4A3C"/>
    <w:rsid w:val="7CD0605C"/>
    <w:rsid w:val="7CD74886"/>
    <w:rsid w:val="7CDA02ED"/>
    <w:rsid w:val="7CDEDE64"/>
    <w:rsid w:val="7CE0B172"/>
    <w:rsid w:val="7CE373B0"/>
    <w:rsid w:val="7CE53D22"/>
    <w:rsid w:val="7CE71486"/>
    <w:rsid w:val="7CEA5010"/>
    <w:rsid w:val="7CEB8AB8"/>
    <w:rsid w:val="7CEBA2A8"/>
    <w:rsid w:val="7CEC543E"/>
    <w:rsid w:val="7CECAAED"/>
    <w:rsid w:val="7CF2BCC3"/>
    <w:rsid w:val="7CF2D8C2"/>
    <w:rsid w:val="7D00076A"/>
    <w:rsid w:val="7D02A366"/>
    <w:rsid w:val="7D097356"/>
    <w:rsid w:val="7D0A7E1C"/>
    <w:rsid w:val="7D0C076B"/>
    <w:rsid w:val="7D0F449C"/>
    <w:rsid w:val="7D0FC32C"/>
    <w:rsid w:val="7D10A3F1"/>
    <w:rsid w:val="7D1635F6"/>
    <w:rsid w:val="7D17B836"/>
    <w:rsid w:val="7D1B0076"/>
    <w:rsid w:val="7D1F0826"/>
    <w:rsid w:val="7D2249B1"/>
    <w:rsid w:val="7D263FDD"/>
    <w:rsid w:val="7D275255"/>
    <w:rsid w:val="7D2AC220"/>
    <w:rsid w:val="7D315BA5"/>
    <w:rsid w:val="7D398502"/>
    <w:rsid w:val="7D3B4CFB"/>
    <w:rsid w:val="7D3D22E0"/>
    <w:rsid w:val="7D3D8ABD"/>
    <w:rsid w:val="7D3F4970"/>
    <w:rsid w:val="7D426AD4"/>
    <w:rsid w:val="7D434142"/>
    <w:rsid w:val="7D4A45E6"/>
    <w:rsid w:val="7D4C6B71"/>
    <w:rsid w:val="7D521453"/>
    <w:rsid w:val="7D5A7407"/>
    <w:rsid w:val="7D5EE390"/>
    <w:rsid w:val="7D630628"/>
    <w:rsid w:val="7D67359C"/>
    <w:rsid w:val="7D72B61C"/>
    <w:rsid w:val="7D75A3F8"/>
    <w:rsid w:val="7D785DD6"/>
    <w:rsid w:val="7D8490DB"/>
    <w:rsid w:val="7D894922"/>
    <w:rsid w:val="7D89505B"/>
    <w:rsid w:val="7D89A75A"/>
    <w:rsid w:val="7D89E2A6"/>
    <w:rsid w:val="7D8A329D"/>
    <w:rsid w:val="7D937131"/>
    <w:rsid w:val="7D956AC4"/>
    <w:rsid w:val="7DA118B1"/>
    <w:rsid w:val="7DA22F70"/>
    <w:rsid w:val="7DA43A84"/>
    <w:rsid w:val="7DA4A350"/>
    <w:rsid w:val="7DA4A4ED"/>
    <w:rsid w:val="7DA82F26"/>
    <w:rsid w:val="7DAA4C82"/>
    <w:rsid w:val="7DAE6CA9"/>
    <w:rsid w:val="7DB29B71"/>
    <w:rsid w:val="7DB5058B"/>
    <w:rsid w:val="7DBD83BA"/>
    <w:rsid w:val="7DBE9E02"/>
    <w:rsid w:val="7DC33034"/>
    <w:rsid w:val="7DC53218"/>
    <w:rsid w:val="7DCA33A5"/>
    <w:rsid w:val="7DD5A6E7"/>
    <w:rsid w:val="7DDAC185"/>
    <w:rsid w:val="7DDD2D01"/>
    <w:rsid w:val="7DDE9C9B"/>
    <w:rsid w:val="7DE3E327"/>
    <w:rsid w:val="7DE6720F"/>
    <w:rsid w:val="7DEB76F9"/>
    <w:rsid w:val="7DF40D28"/>
    <w:rsid w:val="7DFDA0A4"/>
    <w:rsid w:val="7DFF164F"/>
    <w:rsid w:val="7E02B263"/>
    <w:rsid w:val="7E0BDDD1"/>
    <w:rsid w:val="7E123CF9"/>
    <w:rsid w:val="7E189A0D"/>
    <w:rsid w:val="7E1EADA2"/>
    <w:rsid w:val="7E2096EF"/>
    <w:rsid w:val="7E21D620"/>
    <w:rsid w:val="7E26613D"/>
    <w:rsid w:val="7E337933"/>
    <w:rsid w:val="7E374225"/>
    <w:rsid w:val="7E41FBBC"/>
    <w:rsid w:val="7E4CA6CA"/>
    <w:rsid w:val="7E524BE3"/>
    <w:rsid w:val="7E58F1AA"/>
    <w:rsid w:val="7E58F9D0"/>
    <w:rsid w:val="7E5C6872"/>
    <w:rsid w:val="7E63EF5E"/>
    <w:rsid w:val="7E6563A8"/>
    <w:rsid w:val="7E667B5D"/>
    <w:rsid w:val="7E6955F5"/>
    <w:rsid w:val="7E6A2E55"/>
    <w:rsid w:val="7E6D11EE"/>
    <w:rsid w:val="7E79CE30"/>
    <w:rsid w:val="7E79F1A4"/>
    <w:rsid w:val="7E7D58E7"/>
    <w:rsid w:val="7E85EEE3"/>
    <w:rsid w:val="7E866735"/>
    <w:rsid w:val="7E86F621"/>
    <w:rsid w:val="7E87AEE2"/>
    <w:rsid w:val="7E8A996C"/>
    <w:rsid w:val="7E90677D"/>
    <w:rsid w:val="7E912D8A"/>
    <w:rsid w:val="7E9A20FF"/>
    <w:rsid w:val="7EA2E19D"/>
    <w:rsid w:val="7EA6F3C8"/>
    <w:rsid w:val="7EA85F67"/>
    <w:rsid w:val="7EA9027F"/>
    <w:rsid w:val="7EACC605"/>
    <w:rsid w:val="7EAEF523"/>
    <w:rsid w:val="7EB0ACE5"/>
    <w:rsid w:val="7EB25819"/>
    <w:rsid w:val="7EB7D3A4"/>
    <w:rsid w:val="7EC7DFA4"/>
    <w:rsid w:val="7ED51BC7"/>
    <w:rsid w:val="7EF25775"/>
    <w:rsid w:val="7EF46D27"/>
    <w:rsid w:val="7EF6C9CE"/>
    <w:rsid w:val="7EFB5A0E"/>
    <w:rsid w:val="7EFCC9D5"/>
    <w:rsid w:val="7EFD3447"/>
    <w:rsid w:val="7EFE3772"/>
    <w:rsid w:val="7F013D98"/>
    <w:rsid w:val="7F0841AD"/>
    <w:rsid w:val="7F11B7A7"/>
    <w:rsid w:val="7F138A85"/>
    <w:rsid w:val="7F1B401F"/>
    <w:rsid w:val="7F1B6994"/>
    <w:rsid w:val="7F1F4074"/>
    <w:rsid w:val="7F22FEB6"/>
    <w:rsid w:val="7F28B1F7"/>
    <w:rsid w:val="7F2CF2AF"/>
    <w:rsid w:val="7F2D7F72"/>
    <w:rsid w:val="7F2EF6FD"/>
    <w:rsid w:val="7F2F9520"/>
    <w:rsid w:val="7F306048"/>
    <w:rsid w:val="7F35B1E8"/>
    <w:rsid w:val="7F3BFD41"/>
    <w:rsid w:val="7F3C6A79"/>
    <w:rsid w:val="7F3DD588"/>
    <w:rsid w:val="7F413746"/>
    <w:rsid w:val="7F49D71C"/>
    <w:rsid w:val="7F4BE95D"/>
    <w:rsid w:val="7F4D7370"/>
    <w:rsid w:val="7F507918"/>
    <w:rsid w:val="7F63AE63"/>
    <w:rsid w:val="7F6A65C2"/>
    <w:rsid w:val="7F6D5B3C"/>
    <w:rsid w:val="7F6D64CA"/>
    <w:rsid w:val="7F7CEEF3"/>
    <w:rsid w:val="7F7DA9ED"/>
    <w:rsid w:val="7F89AAF0"/>
    <w:rsid w:val="7F8A0EB0"/>
    <w:rsid w:val="7F8C2B3B"/>
    <w:rsid w:val="7F8DAA41"/>
    <w:rsid w:val="7F91DCB5"/>
    <w:rsid w:val="7F967C93"/>
    <w:rsid w:val="7F99EF69"/>
    <w:rsid w:val="7F9C8BDA"/>
    <w:rsid w:val="7FA12155"/>
    <w:rsid w:val="7FAA1087"/>
    <w:rsid w:val="7FB0361F"/>
    <w:rsid w:val="7FB299FF"/>
    <w:rsid w:val="7FB2D735"/>
    <w:rsid w:val="7FB8E4E8"/>
    <w:rsid w:val="7FBDAAC2"/>
    <w:rsid w:val="7FC49DE5"/>
    <w:rsid w:val="7FC540F0"/>
    <w:rsid w:val="7FC5AA88"/>
    <w:rsid w:val="7FC8A7BB"/>
    <w:rsid w:val="7FCCF0CA"/>
    <w:rsid w:val="7FD74277"/>
    <w:rsid w:val="7FDAB37F"/>
    <w:rsid w:val="7FDACE05"/>
    <w:rsid w:val="7FE76928"/>
    <w:rsid w:val="7FED5404"/>
    <w:rsid w:val="7FF0930B"/>
    <w:rsid w:val="7FF42ED0"/>
    <w:rsid w:val="7FF5BA19"/>
    <w:rsid w:val="7FF7F0FC"/>
    <w:rsid w:val="7FF9B710"/>
    <w:rsid w:val="7FFC856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9CAD3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A10"/>
    <w:pPr>
      <w:spacing w:line="259" w:lineRule="auto"/>
      <w:jc w:val="both"/>
    </w:pPr>
    <w:rPr>
      <w:kern w:val="0"/>
      <w:sz w:val="22"/>
      <w:szCs w:val="22"/>
      <w14:ligatures w14:val="none"/>
    </w:rPr>
  </w:style>
  <w:style w:type="paragraph" w:styleId="Heading1">
    <w:name w:val="heading 1"/>
    <w:basedOn w:val="Normal"/>
    <w:next w:val="Normal"/>
    <w:link w:val="Heading1Char"/>
    <w:uiPriority w:val="9"/>
    <w:qFormat/>
    <w:rsid w:val="005B5947"/>
    <w:pPr>
      <w:keepNext/>
      <w:keepLines/>
      <w:numPr>
        <w:numId w:val="9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947"/>
    <w:pPr>
      <w:keepNext/>
      <w:keepLines/>
      <w:numPr>
        <w:ilvl w:val="1"/>
        <w:numId w:val="9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947"/>
    <w:pPr>
      <w:keepNext/>
      <w:keepLines/>
      <w:numPr>
        <w:ilvl w:val="2"/>
        <w:numId w:val="9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947"/>
    <w:pPr>
      <w:keepNext/>
      <w:keepLines/>
      <w:numPr>
        <w:ilvl w:val="3"/>
        <w:numId w:val="9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947"/>
    <w:pPr>
      <w:keepNext/>
      <w:keepLines/>
      <w:numPr>
        <w:ilvl w:val="4"/>
        <w:numId w:val="9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947"/>
    <w:pPr>
      <w:keepNext/>
      <w:keepLines/>
      <w:numPr>
        <w:ilvl w:val="5"/>
        <w:numId w:val="9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947"/>
    <w:pPr>
      <w:keepNext/>
      <w:keepLines/>
      <w:numPr>
        <w:ilvl w:val="6"/>
        <w:numId w:val="9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947"/>
    <w:pPr>
      <w:keepNext/>
      <w:keepLines/>
      <w:numPr>
        <w:ilvl w:val="7"/>
        <w:numId w:val="9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947"/>
    <w:pPr>
      <w:keepNext/>
      <w:keepLines/>
      <w:numPr>
        <w:ilvl w:val="8"/>
        <w:numId w:val="9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9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9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9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9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9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9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9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9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947"/>
    <w:rPr>
      <w:rFonts w:eastAsiaTheme="majorEastAsia" w:cstheme="majorBidi"/>
      <w:color w:val="272727" w:themeColor="text1" w:themeTint="D8"/>
    </w:rPr>
  </w:style>
  <w:style w:type="paragraph" w:styleId="Title">
    <w:name w:val="Title"/>
    <w:basedOn w:val="Normal"/>
    <w:next w:val="Normal"/>
    <w:link w:val="TitleChar"/>
    <w:uiPriority w:val="10"/>
    <w:qFormat/>
    <w:rsid w:val="005B5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9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9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9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947"/>
    <w:pPr>
      <w:spacing w:before="160"/>
      <w:jc w:val="center"/>
    </w:pPr>
    <w:rPr>
      <w:i/>
      <w:iCs/>
      <w:color w:val="404040" w:themeColor="text1" w:themeTint="BF"/>
    </w:rPr>
  </w:style>
  <w:style w:type="character" w:customStyle="1" w:styleId="QuoteChar">
    <w:name w:val="Quote Char"/>
    <w:basedOn w:val="DefaultParagraphFont"/>
    <w:link w:val="Quote"/>
    <w:uiPriority w:val="29"/>
    <w:rsid w:val="005B5947"/>
    <w:rPr>
      <w:i/>
      <w:iCs/>
      <w:color w:val="404040" w:themeColor="text1" w:themeTint="BF"/>
    </w:rPr>
  </w:style>
  <w:style w:type="paragraph" w:styleId="ListParagraph">
    <w:name w:val="List Paragraph"/>
    <w:basedOn w:val="Normal"/>
    <w:uiPriority w:val="34"/>
    <w:qFormat/>
    <w:rsid w:val="005B5947"/>
    <w:pPr>
      <w:ind w:left="720"/>
      <w:contextualSpacing/>
    </w:pPr>
  </w:style>
  <w:style w:type="character" w:styleId="IntenseEmphasis">
    <w:name w:val="Intense Emphasis"/>
    <w:basedOn w:val="DefaultParagraphFont"/>
    <w:uiPriority w:val="21"/>
    <w:qFormat/>
    <w:rsid w:val="005B5947"/>
    <w:rPr>
      <w:i/>
      <w:iCs/>
      <w:color w:val="0F4761" w:themeColor="accent1" w:themeShade="BF"/>
    </w:rPr>
  </w:style>
  <w:style w:type="paragraph" w:styleId="IntenseQuote">
    <w:name w:val="Intense Quote"/>
    <w:basedOn w:val="Normal"/>
    <w:next w:val="Normal"/>
    <w:link w:val="IntenseQuoteChar"/>
    <w:uiPriority w:val="30"/>
    <w:qFormat/>
    <w:rsid w:val="005B5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947"/>
    <w:rPr>
      <w:i/>
      <w:iCs/>
      <w:color w:val="0F4761" w:themeColor="accent1" w:themeShade="BF"/>
    </w:rPr>
  </w:style>
  <w:style w:type="character" w:styleId="IntenseReference">
    <w:name w:val="Intense Reference"/>
    <w:basedOn w:val="DefaultParagraphFont"/>
    <w:uiPriority w:val="32"/>
    <w:qFormat/>
    <w:rsid w:val="005B5947"/>
    <w:rPr>
      <w:b/>
      <w:bCs/>
      <w:smallCaps/>
      <w:color w:val="0F4761" w:themeColor="accent1" w:themeShade="BF"/>
      <w:spacing w:val="5"/>
    </w:rPr>
  </w:style>
  <w:style w:type="paragraph" w:styleId="TOC2">
    <w:name w:val="toc 2"/>
    <w:basedOn w:val="Normal"/>
    <w:next w:val="Normal"/>
    <w:autoRedefine/>
    <w:uiPriority w:val="39"/>
    <w:unhideWhenUsed/>
    <w:rsid w:val="005B5947"/>
    <w:pPr>
      <w:tabs>
        <w:tab w:val="left" w:pos="880"/>
        <w:tab w:val="right" w:leader="dot" w:pos="9350"/>
      </w:tabs>
      <w:spacing w:after="100"/>
      <w:ind w:left="220"/>
    </w:pPr>
  </w:style>
  <w:style w:type="paragraph" w:styleId="TOC1">
    <w:name w:val="toc 1"/>
    <w:basedOn w:val="Normal"/>
    <w:next w:val="Normal"/>
    <w:autoRedefine/>
    <w:uiPriority w:val="39"/>
    <w:unhideWhenUsed/>
    <w:rsid w:val="005B5947"/>
    <w:pPr>
      <w:tabs>
        <w:tab w:val="left" w:pos="440"/>
        <w:tab w:val="right" w:leader="dot" w:pos="9350"/>
      </w:tabs>
      <w:spacing w:after="100"/>
    </w:pPr>
  </w:style>
  <w:style w:type="paragraph" w:styleId="TOCHeading">
    <w:name w:val="TOC Heading"/>
    <w:basedOn w:val="Heading1"/>
    <w:next w:val="Normal"/>
    <w:uiPriority w:val="39"/>
    <w:unhideWhenUsed/>
    <w:qFormat/>
    <w:rsid w:val="005B5947"/>
    <w:pPr>
      <w:spacing w:before="240" w:after="0"/>
      <w:outlineLvl w:val="9"/>
    </w:pPr>
    <w:rPr>
      <w:sz w:val="32"/>
      <w:szCs w:val="32"/>
    </w:rPr>
  </w:style>
  <w:style w:type="character" w:styleId="Hyperlink">
    <w:name w:val="Hyperlink"/>
    <w:basedOn w:val="DefaultParagraphFont"/>
    <w:uiPriority w:val="99"/>
    <w:unhideWhenUsed/>
    <w:rsid w:val="005B5947"/>
    <w:rPr>
      <w:color w:val="467886" w:themeColor="hyperlink"/>
      <w:u w:val="single"/>
    </w:rPr>
  </w:style>
  <w:style w:type="character" w:customStyle="1" w:styleId="UnresolvedMention1">
    <w:name w:val="Unresolved Mention1"/>
    <w:basedOn w:val="DefaultParagraphFont"/>
    <w:uiPriority w:val="99"/>
    <w:semiHidden/>
    <w:unhideWhenUsed/>
    <w:rsid w:val="009B4E31"/>
    <w:rPr>
      <w:color w:val="605E5C"/>
      <w:shd w:val="clear" w:color="auto" w:fill="E1DFDD"/>
    </w:rPr>
  </w:style>
  <w:style w:type="character" w:styleId="CommentReference">
    <w:name w:val="annotation reference"/>
    <w:basedOn w:val="DefaultParagraphFont"/>
    <w:uiPriority w:val="99"/>
    <w:semiHidden/>
    <w:unhideWhenUsed/>
    <w:rsid w:val="00D82E39"/>
    <w:rPr>
      <w:sz w:val="16"/>
      <w:szCs w:val="16"/>
    </w:rPr>
  </w:style>
  <w:style w:type="paragraph" w:styleId="CommentText">
    <w:name w:val="annotation text"/>
    <w:basedOn w:val="Normal"/>
    <w:link w:val="CommentTextChar"/>
    <w:uiPriority w:val="99"/>
    <w:unhideWhenUsed/>
    <w:rsid w:val="00D82E39"/>
    <w:pPr>
      <w:spacing w:line="240" w:lineRule="auto"/>
    </w:pPr>
    <w:rPr>
      <w:sz w:val="20"/>
      <w:szCs w:val="20"/>
    </w:rPr>
  </w:style>
  <w:style w:type="character" w:customStyle="1" w:styleId="CommentTextChar">
    <w:name w:val="Comment Text Char"/>
    <w:basedOn w:val="DefaultParagraphFont"/>
    <w:link w:val="CommentText"/>
    <w:uiPriority w:val="99"/>
    <w:rsid w:val="00D82E39"/>
    <w:rPr>
      <w:kern w:val="0"/>
      <w:sz w:val="20"/>
      <w:szCs w:val="20"/>
      <w:lang w:val="it-IT"/>
      <w14:ligatures w14:val="none"/>
    </w:rPr>
  </w:style>
  <w:style w:type="paragraph" w:styleId="CommentSubject">
    <w:name w:val="annotation subject"/>
    <w:basedOn w:val="CommentText"/>
    <w:next w:val="CommentText"/>
    <w:link w:val="CommentSubjectChar"/>
    <w:uiPriority w:val="99"/>
    <w:semiHidden/>
    <w:unhideWhenUsed/>
    <w:rsid w:val="00D82E39"/>
    <w:rPr>
      <w:b/>
      <w:bCs/>
    </w:rPr>
  </w:style>
  <w:style w:type="character" w:customStyle="1" w:styleId="CommentSubjectChar">
    <w:name w:val="Comment Subject Char"/>
    <w:basedOn w:val="CommentTextChar"/>
    <w:link w:val="CommentSubject"/>
    <w:uiPriority w:val="99"/>
    <w:semiHidden/>
    <w:rsid w:val="00D82E39"/>
    <w:rPr>
      <w:b/>
      <w:bCs/>
      <w:kern w:val="0"/>
      <w:sz w:val="20"/>
      <w:szCs w:val="20"/>
      <w:lang w:val="it-IT"/>
      <w14:ligatures w14:val="none"/>
    </w:rPr>
  </w:style>
  <w:style w:type="paragraph" w:styleId="Revision">
    <w:name w:val="Revision"/>
    <w:hidden/>
    <w:uiPriority w:val="99"/>
    <w:semiHidden/>
    <w:rsid w:val="00370A15"/>
    <w:pPr>
      <w:spacing w:after="0" w:line="240" w:lineRule="auto"/>
    </w:pPr>
    <w:rPr>
      <w:kern w:val="0"/>
      <w:sz w:val="22"/>
      <w:szCs w:val="22"/>
      <w14:ligatures w14:val="none"/>
    </w:rPr>
  </w:style>
  <w:style w:type="paragraph" w:styleId="Header">
    <w:name w:val="header"/>
    <w:basedOn w:val="Normal"/>
    <w:link w:val="HeaderChar"/>
    <w:uiPriority w:val="99"/>
    <w:unhideWhenUsed/>
    <w:rsid w:val="00120F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FBE"/>
    <w:rPr>
      <w:kern w:val="0"/>
      <w:sz w:val="22"/>
      <w:szCs w:val="22"/>
      <w:lang w:val="it-IT"/>
      <w14:ligatures w14:val="none"/>
    </w:rPr>
  </w:style>
  <w:style w:type="paragraph" w:styleId="Footer">
    <w:name w:val="footer"/>
    <w:basedOn w:val="Normal"/>
    <w:link w:val="FooterChar"/>
    <w:uiPriority w:val="99"/>
    <w:unhideWhenUsed/>
    <w:rsid w:val="00120F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FBE"/>
    <w:rPr>
      <w:kern w:val="0"/>
      <w:sz w:val="22"/>
      <w:szCs w:val="22"/>
      <w:lang w:val="it-IT"/>
      <w14:ligatures w14:val="none"/>
    </w:rPr>
  </w:style>
  <w:style w:type="character" w:styleId="Strong">
    <w:name w:val="Strong"/>
    <w:basedOn w:val="DefaultParagraphFont"/>
    <w:uiPriority w:val="22"/>
    <w:qFormat/>
    <w:rsid w:val="003C1946"/>
    <w:rPr>
      <w:b/>
      <w:bCs/>
    </w:rPr>
  </w:style>
  <w:style w:type="paragraph" w:customStyle="1" w:styleId="paragraph">
    <w:name w:val="paragraph"/>
    <w:basedOn w:val="Normal"/>
    <w:rsid w:val="00E80384"/>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E80384"/>
  </w:style>
  <w:style w:type="character" w:customStyle="1" w:styleId="eop">
    <w:name w:val="eop"/>
    <w:basedOn w:val="DefaultParagraphFont"/>
    <w:rsid w:val="00E80384"/>
  </w:style>
  <w:style w:type="table" w:styleId="TableGrid">
    <w:name w:val="Table Grid"/>
    <w:basedOn w:val="TableNormal"/>
    <w:uiPriority w:val="39"/>
    <w:rsid w:val="00FA4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843A31"/>
    <w:pPr>
      <w:spacing w:after="0" w:line="240" w:lineRule="auto"/>
      <w:jc w:val="left"/>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sid w:val="00843A31"/>
    <w:rPr>
      <w:kern w:val="0"/>
      <w:sz w:val="20"/>
      <w:szCs w:val="20"/>
      <w14:ligatures w14:val="none"/>
    </w:rPr>
  </w:style>
  <w:style w:type="character" w:styleId="FootnoteReference">
    <w:name w:val="footnote reference"/>
    <w:basedOn w:val="DefaultParagraphFont"/>
    <w:uiPriority w:val="99"/>
    <w:semiHidden/>
    <w:unhideWhenUsed/>
    <w:rsid w:val="00843A31"/>
    <w:rPr>
      <w:vertAlign w:val="superscript"/>
    </w:rPr>
  </w:style>
  <w:style w:type="character" w:customStyle="1" w:styleId="Mention1">
    <w:name w:val="Mention1"/>
    <w:basedOn w:val="DefaultParagraphFont"/>
    <w:uiPriority w:val="99"/>
    <w:unhideWhenUsed/>
    <w:rsid w:val="0059631B"/>
    <w:rPr>
      <w:color w:val="2B579A"/>
      <w:shd w:val="clear" w:color="auto" w:fill="E1DFDD"/>
    </w:rPr>
  </w:style>
  <w:style w:type="paragraph" w:customStyle="1" w:styleId="Text3">
    <w:name w:val="Text 3"/>
    <w:basedOn w:val="Normal"/>
    <w:uiPriority w:val="1"/>
    <w:qFormat/>
    <w:rsid w:val="005D558E"/>
    <w:pPr>
      <w:spacing w:after="240" w:line="240" w:lineRule="auto"/>
      <w:ind w:left="1202"/>
    </w:pPr>
    <w:rPr>
      <w:rFonts w:eastAsia="Times New Roman" w:cs="Times New Roman"/>
      <w:szCs w:val="20"/>
      <w:lang w:eastAsia="en-GB"/>
    </w:rPr>
  </w:style>
  <w:style w:type="table" w:styleId="ListTable3-Accent1">
    <w:name w:val="List Table 3 Accent 1"/>
    <w:basedOn w:val="TableNormal"/>
    <w:uiPriority w:val="48"/>
    <w:rsid w:val="00543D8D"/>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EndnoteText">
    <w:name w:val="endnote text"/>
    <w:basedOn w:val="Normal"/>
    <w:link w:val="EndnoteTextChar"/>
    <w:uiPriority w:val="99"/>
    <w:semiHidden/>
    <w:unhideWhenUsed/>
    <w:rsid w:val="00A103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103F1"/>
    <w:rPr>
      <w:kern w:val="0"/>
      <w:sz w:val="20"/>
      <w:szCs w:val="20"/>
      <w:lang w:val="it-IT"/>
      <w14:ligatures w14:val="none"/>
    </w:rPr>
  </w:style>
  <w:style w:type="character" w:styleId="EndnoteReference">
    <w:name w:val="endnote reference"/>
    <w:basedOn w:val="DefaultParagraphFont"/>
    <w:uiPriority w:val="99"/>
    <w:semiHidden/>
    <w:unhideWhenUsed/>
    <w:rsid w:val="00A103F1"/>
    <w:rPr>
      <w:vertAlign w:val="superscript"/>
    </w:rPr>
  </w:style>
  <w:style w:type="character" w:customStyle="1" w:styleId="Marker">
    <w:name w:val="Marker"/>
    <w:basedOn w:val="DefaultParagraphFont"/>
    <w:rsid w:val="00E439FC"/>
    <w:rPr>
      <w:color w:val="0000FF"/>
      <w:shd w:val="clear" w:color="auto" w:fill="auto"/>
    </w:rPr>
  </w:style>
  <w:style w:type="paragraph" w:customStyle="1" w:styleId="Pagedecouverture">
    <w:name w:val="Page de couverture"/>
    <w:basedOn w:val="Normal"/>
    <w:next w:val="Normal"/>
    <w:rsid w:val="006C21DE"/>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rsid w:val="000A7A54"/>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sid w:val="000A7A54"/>
    <w:rPr>
      <w:rFonts w:ascii="Times New Roman" w:hAnsi="Times New Roman" w:cs="Times New Roman"/>
      <w:kern w:val="0"/>
      <w:szCs w:val="22"/>
      <w14:ligatures w14:val="none"/>
    </w:rPr>
  </w:style>
  <w:style w:type="paragraph" w:customStyle="1" w:styleId="FooterSensitivity">
    <w:name w:val="Footer Sensitivity"/>
    <w:basedOn w:val="Normal"/>
    <w:link w:val="FooterSensitivityChar"/>
    <w:rsid w:val="000A7A5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A7A54"/>
    <w:rPr>
      <w:rFonts w:ascii="Times New Roman" w:hAnsi="Times New Roman" w:cs="Times New Roman"/>
      <w:b/>
      <w:kern w:val="0"/>
      <w:sz w:val="32"/>
      <w:szCs w:val="22"/>
      <w14:ligatures w14:val="none"/>
    </w:rPr>
  </w:style>
  <w:style w:type="paragraph" w:customStyle="1" w:styleId="HeaderCoverPage">
    <w:name w:val="Header Cover Page"/>
    <w:basedOn w:val="Normal"/>
    <w:link w:val="HeaderCoverPageChar"/>
    <w:rsid w:val="000A7A54"/>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sid w:val="000A7A54"/>
    <w:rPr>
      <w:rFonts w:ascii="Times New Roman" w:hAnsi="Times New Roman" w:cs="Times New Roman"/>
      <w:kern w:val="0"/>
      <w:szCs w:val="22"/>
      <w14:ligatures w14:val="none"/>
    </w:rPr>
  </w:style>
  <w:style w:type="paragraph" w:customStyle="1" w:styleId="HeaderSensitivity">
    <w:name w:val="Header Sensitivity"/>
    <w:basedOn w:val="Normal"/>
    <w:link w:val="HeaderSensitivityChar"/>
    <w:rsid w:val="000A7A5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A7A54"/>
    <w:rPr>
      <w:rFonts w:ascii="Times New Roman" w:hAnsi="Times New Roman" w:cs="Times New Roman"/>
      <w:b/>
      <w:kern w:val="0"/>
      <w:sz w:val="32"/>
      <w:szCs w:val="22"/>
      <w14:ligatures w14:val="none"/>
    </w:rPr>
  </w:style>
  <w:style w:type="paragraph" w:customStyle="1" w:styleId="HeaderSensitivityRight">
    <w:name w:val="Header Sensitivity Right"/>
    <w:basedOn w:val="Normal"/>
    <w:link w:val="HeaderSensitivityRightChar"/>
    <w:rsid w:val="000A7A5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A7A54"/>
    <w:rPr>
      <w:rFonts w:ascii="Times New Roman" w:hAnsi="Times New Roman" w:cs="Times New Roman"/>
      <w:kern w:val="0"/>
      <w:sz w:val="28"/>
      <w:szCs w:val="22"/>
      <w14:ligatures w14:val="none"/>
    </w:rPr>
  </w:style>
  <w:style w:type="character" w:styleId="FollowedHyperlink">
    <w:name w:val="FollowedHyperlink"/>
    <w:basedOn w:val="DefaultParagraphFont"/>
    <w:uiPriority w:val="99"/>
    <w:semiHidden/>
    <w:unhideWhenUsed/>
    <w:rsid w:val="00150A17"/>
    <w:rPr>
      <w:color w:val="96607D" w:themeColor="followedHyperlink"/>
      <w:u w:val="single"/>
    </w:rPr>
  </w:style>
  <w:style w:type="paragraph" w:styleId="NormalWeb">
    <w:name w:val="Normal (Web)"/>
    <w:basedOn w:val="Normal"/>
    <w:uiPriority w:val="99"/>
    <w:semiHidden/>
    <w:unhideWhenUsed/>
    <w:rsid w:val="00D54C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95304">
      <w:bodyDiv w:val="1"/>
      <w:marLeft w:val="0"/>
      <w:marRight w:val="0"/>
      <w:marTop w:val="0"/>
      <w:marBottom w:val="0"/>
      <w:divBdr>
        <w:top w:val="none" w:sz="0" w:space="0" w:color="auto"/>
        <w:left w:val="none" w:sz="0" w:space="0" w:color="auto"/>
        <w:bottom w:val="none" w:sz="0" w:space="0" w:color="auto"/>
        <w:right w:val="none" w:sz="0" w:space="0" w:color="auto"/>
      </w:divBdr>
    </w:div>
    <w:div w:id="50077189">
      <w:bodyDiv w:val="1"/>
      <w:marLeft w:val="0"/>
      <w:marRight w:val="0"/>
      <w:marTop w:val="0"/>
      <w:marBottom w:val="0"/>
      <w:divBdr>
        <w:top w:val="none" w:sz="0" w:space="0" w:color="auto"/>
        <w:left w:val="none" w:sz="0" w:space="0" w:color="auto"/>
        <w:bottom w:val="none" w:sz="0" w:space="0" w:color="auto"/>
        <w:right w:val="none" w:sz="0" w:space="0" w:color="auto"/>
      </w:divBdr>
    </w:div>
    <w:div w:id="61100814">
      <w:bodyDiv w:val="1"/>
      <w:marLeft w:val="0"/>
      <w:marRight w:val="0"/>
      <w:marTop w:val="0"/>
      <w:marBottom w:val="0"/>
      <w:divBdr>
        <w:top w:val="none" w:sz="0" w:space="0" w:color="auto"/>
        <w:left w:val="none" w:sz="0" w:space="0" w:color="auto"/>
        <w:bottom w:val="none" w:sz="0" w:space="0" w:color="auto"/>
        <w:right w:val="none" w:sz="0" w:space="0" w:color="auto"/>
      </w:divBdr>
    </w:div>
    <w:div w:id="65810922">
      <w:bodyDiv w:val="1"/>
      <w:marLeft w:val="0"/>
      <w:marRight w:val="0"/>
      <w:marTop w:val="0"/>
      <w:marBottom w:val="0"/>
      <w:divBdr>
        <w:top w:val="none" w:sz="0" w:space="0" w:color="auto"/>
        <w:left w:val="none" w:sz="0" w:space="0" w:color="auto"/>
        <w:bottom w:val="none" w:sz="0" w:space="0" w:color="auto"/>
        <w:right w:val="none" w:sz="0" w:space="0" w:color="auto"/>
      </w:divBdr>
      <w:divsChild>
        <w:div w:id="371266429">
          <w:marLeft w:val="0"/>
          <w:marRight w:val="0"/>
          <w:marTop w:val="0"/>
          <w:marBottom w:val="0"/>
          <w:divBdr>
            <w:top w:val="none" w:sz="0" w:space="0" w:color="auto"/>
            <w:left w:val="none" w:sz="0" w:space="0" w:color="auto"/>
            <w:bottom w:val="none" w:sz="0" w:space="0" w:color="auto"/>
            <w:right w:val="none" w:sz="0" w:space="0" w:color="auto"/>
          </w:divBdr>
        </w:div>
        <w:div w:id="401833969">
          <w:marLeft w:val="0"/>
          <w:marRight w:val="0"/>
          <w:marTop w:val="0"/>
          <w:marBottom w:val="0"/>
          <w:divBdr>
            <w:top w:val="none" w:sz="0" w:space="0" w:color="auto"/>
            <w:left w:val="none" w:sz="0" w:space="0" w:color="auto"/>
            <w:bottom w:val="none" w:sz="0" w:space="0" w:color="auto"/>
            <w:right w:val="none" w:sz="0" w:space="0" w:color="auto"/>
          </w:divBdr>
        </w:div>
        <w:div w:id="679428691">
          <w:marLeft w:val="0"/>
          <w:marRight w:val="0"/>
          <w:marTop w:val="0"/>
          <w:marBottom w:val="0"/>
          <w:divBdr>
            <w:top w:val="none" w:sz="0" w:space="0" w:color="auto"/>
            <w:left w:val="none" w:sz="0" w:space="0" w:color="auto"/>
            <w:bottom w:val="none" w:sz="0" w:space="0" w:color="auto"/>
            <w:right w:val="none" w:sz="0" w:space="0" w:color="auto"/>
          </w:divBdr>
        </w:div>
        <w:div w:id="1787117219">
          <w:marLeft w:val="0"/>
          <w:marRight w:val="0"/>
          <w:marTop w:val="0"/>
          <w:marBottom w:val="0"/>
          <w:divBdr>
            <w:top w:val="none" w:sz="0" w:space="0" w:color="auto"/>
            <w:left w:val="none" w:sz="0" w:space="0" w:color="auto"/>
            <w:bottom w:val="none" w:sz="0" w:space="0" w:color="auto"/>
            <w:right w:val="none" w:sz="0" w:space="0" w:color="auto"/>
          </w:divBdr>
        </w:div>
      </w:divsChild>
    </w:div>
    <w:div w:id="107749280">
      <w:bodyDiv w:val="1"/>
      <w:marLeft w:val="0"/>
      <w:marRight w:val="0"/>
      <w:marTop w:val="0"/>
      <w:marBottom w:val="0"/>
      <w:divBdr>
        <w:top w:val="none" w:sz="0" w:space="0" w:color="auto"/>
        <w:left w:val="none" w:sz="0" w:space="0" w:color="auto"/>
        <w:bottom w:val="none" w:sz="0" w:space="0" w:color="auto"/>
        <w:right w:val="none" w:sz="0" w:space="0" w:color="auto"/>
      </w:divBdr>
      <w:divsChild>
        <w:div w:id="462772063">
          <w:marLeft w:val="0"/>
          <w:marRight w:val="0"/>
          <w:marTop w:val="0"/>
          <w:marBottom w:val="0"/>
          <w:divBdr>
            <w:top w:val="none" w:sz="0" w:space="0" w:color="auto"/>
            <w:left w:val="none" w:sz="0" w:space="0" w:color="auto"/>
            <w:bottom w:val="none" w:sz="0" w:space="0" w:color="auto"/>
            <w:right w:val="none" w:sz="0" w:space="0" w:color="auto"/>
          </w:divBdr>
        </w:div>
        <w:div w:id="611942287">
          <w:marLeft w:val="0"/>
          <w:marRight w:val="0"/>
          <w:marTop w:val="0"/>
          <w:marBottom w:val="0"/>
          <w:divBdr>
            <w:top w:val="none" w:sz="0" w:space="0" w:color="auto"/>
            <w:left w:val="none" w:sz="0" w:space="0" w:color="auto"/>
            <w:bottom w:val="none" w:sz="0" w:space="0" w:color="auto"/>
            <w:right w:val="none" w:sz="0" w:space="0" w:color="auto"/>
          </w:divBdr>
        </w:div>
        <w:div w:id="1104613268">
          <w:marLeft w:val="0"/>
          <w:marRight w:val="0"/>
          <w:marTop w:val="0"/>
          <w:marBottom w:val="0"/>
          <w:divBdr>
            <w:top w:val="none" w:sz="0" w:space="0" w:color="auto"/>
            <w:left w:val="none" w:sz="0" w:space="0" w:color="auto"/>
            <w:bottom w:val="none" w:sz="0" w:space="0" w:color="auto"/>
            <w:right w:val="none" w:sz="0" w:space="0" w:color="auto"/>
          </w:divBdr>
        </w:div>
        <w:div w:id="1897084816">
          <w:marLeft w:val="0"/>
          <w:marRight w:val="0"/>
          <w:marTop w:val="0"/>
          <w:marBottom w:val="0"/>
          <w:divBdr>
            <w:top w:val="none" w:sz="0" w:space="0" w:color="auto"/>
            <w:left w:val="none" w:sz="0" w:space="0" w:color="auto"/>
            <w:bottom w:val="none" w:sz="0" w:space="0" w:color="auto"/>
            <w:right w:val="none" w:sz="0" w:space="0" w:color="auto"/>
          </w:divBdr>
        </w:div>
      </w:divsChild>
    </w:div>
    <w:div w:id="118453367">
      <w:bodyDiv w:val="1"/>
      <w:marLeft w:val="0"/>
      <w:marRight w:val="0"/>
      <w:marTop w:val="0"/>
      <w:marBottom w:val="0"/>
      <w:divBdr>
        <w:top w:val="none" w:sz="0" w:space="0" w:color="auto"/>
        <w:left w:val="none" w:sz="0" w:space="0" w:color="auto"/>
        <w:bottom w:val="none" w:sz="0" w:space="0" w:color="auto"/>
        <w:right w:val="none" w:sz="0" w:space="0" w:color="auto"/>
      </w:divBdr>
    </w:div>
    <w:div w:id="146820777">
      <w:bodyDiv w:val="1"/>
      <w:marLeft w:val="0"/>
      <w:marRight w:val="0"/>
      <w:marTop w:val="0"/>
      <w:marBottom w:val="0"/>
      <w:divBdr>
        <w:top w:val="none" w:sz="0" w:space="0" w:color="auto"/>
        <w:left w:val="none" w:sz="0" w:space="0" w:color="auto"/>
        <w:bottom w:val="none" w:sz="0" w:space="0" w:color="auto"/>
        <w:right w:val="none" w:sz="0" w:space="0" w:color="auto"/>
      </w:divBdr>
    </w:div>
    <w:div w:id="173998336">
      <w:bodyDiv w:val="1"/>
      <w:marLeft w:val="0"/>
      <w:marRight w:val="0"/>
      <w:marTop w:val="0"/>
      <w:marBottom w:val="0"/>
      <w:divBdr>
        <w:top w:val="none" w:sz="0" w:space="0" w:color="auto"/>
        <w:left w:val="none" w:sz="0" w:space="0" w:color="auto"/>
        <w:bottom w:val="none" w:sz="0" w:space="0" w:color="auto"/>
        <w:right w:val="none" w:sz="0" w:space="0" w:color="auto"/>
      </w:divBdr>
    </w:div>
    <w:div w:id="200017521">
      <w:bodyDiv w:val="1"/>
      <w:marLeft w:val="0"/>
      <w:marRight w:val="0"/>
      <w:marTop w:val="0"/>
      <w:marBottom w:val="0"/>
      <w:divBdr>
        <w:top w:val="none" w:sz="0" w:space="0" w:color="auto"/>
        <w:left w:val="none" w:sz="0" w:space="0" w:color="auto"/>
        <w:bottom w:val="none" w:sz="0" w:space="0" w:color="auto"/>
        <w:right w:val="none" w:sz="0" w:space="0" w:color="auto"/>
      </w:divBdr>
    </w:div>
    <w:div w:id="214853101">
      <w:bodyDiv w:val="1"/>
      <w:marLeft w:val="0"/>
      <w:marRight w:val="0"/>
      <w:marTop w:val="0"/>
      <w:marBottom w:val="0"/>
      <w:divBdr>
        <w:top w:val="none" w:sz="0" w:space="0" w:color="auto"/>
        <w:left w:val="none" w:sz="0" w:space="0" w:color="auto"/>
        <w:bottom w:val="none" w:sz="0" w:space="0" w:color="auto"/>
        <w:right w:val="none" w:sz="0" w:space="0" w:color="auto"/>
      </w:divBdr>
    </w:div>
    <w:div w:id="238446306">
      <w:bodyDiv w:val="1"/>
      <w:marLeft w:val="0"/>
      <w:marRight w:val="0"/>
      <w:marTop w:val="0"/>
      <w:marBottom w:val="0"/>
      <w:divBdr>
        <w:top w:val="none" w:sz="0" w:space="0" w:color="auto"/>
        <w:left w:val="none" w:sz="0" w:space="0" w:color="auto"/>
        <w:bottom w:val="none" w:sz="0" w:space="0" w:color="auto"/>
        <w:right w:val="none" w:sz="0" w:space="0" w:color="auto"/>
      </w:divBdr>
    </w:div>
    <w:div w:id="249244079">
      <w:bodyDiv w:val="1"/>
      <w:marLeft w:val="0"/>
      <w:marRight w:val="0"/>
      <w:marTop w:val="0"/>
      <w:marBottom w:val="0"/>
      <w:divBdr>
        <w:top w:val="none" w:sz="0" w:space="0" w:color="auto"/>
        <w:left w:val="none" w:sz="0" w:space="0" w:color="auto"/>
        <w:bottom w:val="none" w:sz="0" w:space="0" w:color="auto"/>
        <w:right w:val="none" w:sz="0" w:space="0" w:color="auto"/>
      </w:divBdr>
    </w:div>
    <w:div w:id="286472641">
      <w:bodyDiv w:val="1"/>
      <w:marLeft w:val="0"/>
      <w:marRight w:val="0"/>
      <w:marTop w:val="0"/>
      <w:marBottom w:val="0"/>
      <w:divBdr>
        <w:top w:val="none" w:sz="0" w:space="0" w:color="auto"/>
        <w:left w:val="none" w:sz="0" w:space="0" w:color="auto"/>
        <w:bottom w:val="none" w:sz="0" w:space="0" w:color="auto"/>
        <w:right w:val="none" w:sz="0" w:space="0" w:color="auto"/>
      </w:divBdr>
    </w:div>
    <w:div w:id="318919883">
      <w:bodyDiv w:val="1"/>
      <w:marLeft w:val="0"/>
      <w:marRight w:val="0"/>
      <w:marTop w:val="0"/>
      <w:marBottom w:val="0"/>
      <w:divBdr>
        <w:top w:val="none" w:sz="0" w:space="0" w:color="auto"/>
        <w:left w:val="none" w:sz="0" w:space="0" w:color="auto"/>
        <w:bottom w:val="none" w:sz="0" w:space="0" w:color="auto"/>
        <w:right w:val="none" w:sz="0" w:space="0" w:color="auto"/>
      </w:divBdr>
    </w:div>
    <w:div w:id="350643357">
      <w:bodyDiv w:val="1"/>
      <w:marLeft w:val="0"/>
      <w:marRight w:val="0"/>
      <w:marTop w:val="0"/>
      <w:marBottom w:val="0"/>
      <w:divBdr>
        <w:top w:val="none" w:sz="0" w:space="0" w:color="auto"/>
        <w:left w:val="none" w:sz="0" w:space="0" w:color="auto"/>
        <w:bottom w:val="none" w:sz="0" w:space="0" w:color="auto"/>
        <w:right w:val="none" w:sz="0" w:space="0" w:color="auto"/>
      </w:divBdr>
    </w:div>
    <w:div w:id="351496593">
      <w:bodyDiv w:val="1"/>
      <w:marLeft w:val="0"/>
      <w:marRight w:val="0"/>
      <w:marTop w:val="0"/>
      <w:marBottom w:val="0"/>
      <w:divBdr>
        <w:top w:val="none" w:sz="0" w:space="0" w:color="auto"/>
        <w:left w:val="none" w:sz="0" w:space="0" w:color="auto"/>
        <w:bottom w:val="none" w:sz="0" w:space="0" w:color="auto"/>
        <w:right w:val="none" w:sz="0" w:space="0" w:color="auto"/>
      </w:divBdr>
      <w:divsChild>
        <w:div w:id="472219487">
          <w:marLeft w:val="0"/>
          <w:marRight w:val="0"/>
          <w:marTop w:val="0"/>
          <w:marBottom w:val="0"/>
          <w:divBdr>
            <w:top w:val="none" w:sz="0" w:space="0" w:color="auto"/>
            <w:left w:val="none" w:sz="0" w:space="0" w:color="auto"/>
            <w:bottom w:val="none" w:sz="0" w:space="0" w:color="auto"/>
            <w:right w:val="none" w:sz="0" w:space="0" w:color="auto"/>
          </w:divBdr>
          <w:divsChild>
            <w:div w:id="1624573002">
              <w:marLeft w:val="0"/>
              <w:marRight w:val="0"/>
              <w:marTop w:val="0"/>
              <w:marBottom w:val="0"/>
              <w:divBdr>
                <w:top w:val="none" w:sz="0" w:space="0" w:color="auto"/>
                <w:left w:val="none" w:sz="0" w:space="0" w:color="auto"/>
                <w:bottom w:val="none" w:sz="0" w:space="0" w:color="auto"/>
                <w:right w:val="none" w:sz="0" w:space="0" w:color="auto"/>
              </w:divBdr>
              <w:divsChild>
                <w:div w:id="2053650975">
                  <w:marLeft w:val="0"/>
                  <w:marRight w:val="0"/>
                  <w:marTop w:val="0"/>
                  <w:marBottom w:val="0"/>
                  <w:divBdr>
                    <w:top w:val="none" w:sz="0" w:space="0" w:color="auto"/>
                    <w:left w:val="none" w:sz="0" w:space="0" w:color="auto"/>
                    <w:bottom w:val="none" w:sz="0" w:space="0" w:color="auto"/>
                    <w:right w:val="none" w:sz="0" w:space="0" w:color="auto"/>
                  </w:divBdr>
                  <w:divsChild>
                    <w:div w:id="343670890">
                      <w:marLeft w:val="0"/>
                      <w:marRight w:val="0"/>
                      <w:marTop w:val="0"/>
                      <w:marBottom w:val="0"/>
                      <w:divBdr>
                        <w:top w:val="none" w:sz="0" w:space="0" w:color="auto"/>
                        <w:left w:val="none" w:sz="0" w:space="0" w:color="auto"/>
                        <w:bottom w:val="none" w:sz="0" w:space="0" w:color="auto"/>
                        <w:right w:val="none" w:sz="0" w:space="0" w:color="auto"/>
                      </w:divBdr>
                      <w:divsChild>
                        <w:div w:id="1248618350">
                          <w:marLeft w:val="0"/>
                          <w:marRight w:val="0"/>
                          <w:marTop w:val="0"/>
                          <w:marBottom w:val="0"/>
                          <w:divBdr>
                            <w:top w:val="none" w:sz="0" w:space="0" w:color="auto"/>
                            <w:left w:val="none" w:sz="0" w:space="0" w:color="auto"/>
                            <w:bottom w:val="none" w:sz="0" w:space="0" w:color="auto"/>
                            <w:right w:val="none" w:sz="0" w:space="0" w:color="auto"/>
                          </w:divBdr>
                          <w:divsChild>
                            <w:div w:id="9647393">
                              <w:marLeft w:val="0"/>
                              <w:marRight w:val="0"/>
                              <w:marTop w:val="0"/>
                              <w:marBottom w:val="0"/>
                              <w:divBdr>
                                <w:top w:val="none" w:sz="0" w:space="0" w:color="auto"/>
                                <w:left w:val="none" w:sz="0" w:space="0" w:color="auto"/>
                                <w:bottom w:val="none" w:sz="0" w:space="0" w:color="auto"/>
                                <w:right w:val="none" w:sz="0" w:space="0" w:color="auto"/>
                              </w:divBdr>
                              <w:divsChild>
                                <w:div w:id="809708100">
                                  <w:marLeft w:val="0"/>
                                  <w:marRight w:val="0"/>
                                  <w:marTop w:val="0"/>
                                  <w:marBottom w:val="0"/>
                                  <w:divBdr>
                                    <w:top w:val="none" w:sz="0" w:space="0" w:color="auto"/>
                                    <w:left w:val="none" w:sz="0" w:space="0" w:color="auto"/>
                                    <w:bottom w:val="none" w:sz="0" w:space="0" w:color="auto"/>
                                    <w:right w:val="none" w:sz="0" w:space="0" w:color="auto"/>
                                  </w:divBdr>
                                  <w:divsChild>
                                    <w:div w:id="91390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461546">
                          <w:marLeft w:val="0"/>
                          <w:marRight w:val="0"/>
                          <w:marTop w:val="0"/>
                          <w:marBottom w:val="0"/>
                          <w:divBdr>
                            <w:top w:val="none" w:sz="0" w:space="0" w:color="auto"/>
                            <w:left w:val="none" w:sz="0" w:space="0" w:color="auto"/>
                            <w:bottom w:val="none" w:sz="0" w:space="0" w:color="auto"/>
                            <w:right w:val="none" w:sz="0" w:space="0" w:color="auto"/>
                          </w:divBdr>
                          <w:divsChild>
                            <w:div w:id="233009923">
                              <w:marLeft w:val="0"/>
                              <w:marRight w:val="0"/>
                              <w:marTop w:val="0"/>
                              <w:marBottom w:val="0"/>
                              <w:divBdr>
                                <w:top w:val="none" w:sz="0" w:space="0" w:color="auto"/>
                                <w:left w:val="none" w:sz="0" w:space="0" w:color="auto"/>
                                <w:bottom w:val="none" w:sz="0" w:space="0" w:color="auto"/>
                                <w:right w:val="none" w:sz="0" w:space="0" w:color="auto"/>
                              </w:divBdr>
                              <w:divsChild>
                                <w:div w:id="44782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651666">
      <w:bodyDiv w:val="1"/>
      <w:marLeft w:val="0"/>
      <w:marRight w:val="0"/>
      <w:marTop w:val="0"/>
      <w:marBottom w:val="0"/>
      <w:divBdr>
        <w:top w:val="none" w:sz="0" w:space="0" w:color="auto"/>
        <w:left w:val="none" w:sz="0" w:space="0" w:color="auto"/>
        <w:bottom w:val="none" w:sz="0" w:space="0" w:color="auto"/>
        <w:right w:val="none" w:sz="0" w:space="0" w:color="auto"/>
      </w:divBdr>
    </w:div>
    <w:div w:id="373387259">
      <w:bodyDiv w:val="1"/>
      <w:marLeft w:val="0"/>
      <w:marRight w:val="0"/>
      <w:marTop w:val="0"/>
      <w:marBottom w:val="0"/>
      <w:divBdr>
        <w:top w:val="none" w:sz="0" w:space="0" w:color="auto"/>
        <w:left w:val="none" w:sz="0" w:space="0" w:color="auto"/>
        <w:bottom w:val="none" w:sz="0" w:space="0" w:color="auto"/>
        <w:right w:val="none" w:sz="0" w:space="0" w:color="auto"/>
      </w:divBdr>
    </w:div>
    <w:div w:id="501169014">
      <w:bodyDiv w:val="1"/>
      <w:marLeft w:val="0"/>
      <w:marRight w:val="0"/>
      <w:marTop w:val="0"/>
      <w:marBottom w:val="0"/>
      <w:divBdr>
        <w:top w:val="none" w:sz="0" w:space="0" w:color="auto"/>
        <w:left w:val="none" w:sz="0" w:space="0" w:color="auto"/>
        <w:bottom w:val="none" w:sz="0" w:space="0" w:color="auto"/>
        <w:right w:val="none" w:sz="0" w:space="0" w:color="auto"/>
      </w:divBdr>
      <w:divsChild>
        <w:div w:id="1409958135">
          <w:marLeft w:val="0"/>
          <w:marRight w:val="0"/>
          <w:marTop w:val="420"/>
          <w:marBottom w:val="240"/>
          <w:divBdr>
            <w:top w:val="none" w:sz="0" w:space="0" w:color="auto"/>
            <w:left w:val="none" w:sz="0" w:space="0" w:color="auto"/>
            <w:bottom w:val="none" w:sz="0" w:space="0" w:color="auto"/>
            <w:right w:val="none" w:sz="0" w:space="0" w:color="auto"/>
          </w:divBdr>
        </w:div>
        <w:div w:id="1640958220">
          <w:marLeft w:val="0"/>
          <w:marRight w:val="0"/>
          <w:marTop w:val="180"/>
          <w:marBottom w:val="0"/>
          <w:divBdr>
            <w:top w:val="none" w:sz="0" w:space="0" w:color="auto"/>
            <w:left w:val="none" w:sz="0" w:space="0" w:color="auto"/>
            <w:bottom w:val="none" w:sz="0" w:space="0" w:color="auto"/>
            <w:right w:val="none" w:sz="0" w:space="0" w:color="auto"/>
          </w:divBdr>
        </w:div>
      </w:divsChild>
    </w:div>
    <w:div w:id="533494882">
      <w:bodyDiv w:val="1"/>
      <w:marLeft w:val="0"/>
      <w:marRight w:val="0"/>
      <w:marTop w:val="0"/>
      <w:marBottom w:val="0"/>
      <w:divBdr>
        <w:top w:val="none" w:sz="0" w:space="0" w:color="auto"/>
        <w:left w:val="none" w:sz="0" w:space="0" w:color="auto"/>
        <w:bottom w:val="none" w:sz="0" w:space="0" w:color="auto"/>
        <w:right w:val="none" w:sz="0" w:space="0" w:color="auto"/>
      </w:divBdr>
    </w:div>
    <w:div w:id="577326532">
      <w:bodyDiv w:val="1"/>
      <w:marLeft w:val="0"/>
      <w:marRight w:val="0"/>
      <w:marTop w:val="0"/>
      <w:marBottom w:val="0"/>
      <w:divBdr>
        <w:top w:val="none" w:sz="0" w:space="0" w:color="auto"/>
        <w:left w:val="none" w:sz="0" w:space="0" w:color="auto"/>
        <w:bottom w:val="none" w:sz="0" w:space="0" w:color="auto"/>
        <w:right w:val="none" w:sz="0" w:space="0" w:color="auto"/>
      </w:divBdr>
    </w:div>
    <w:div w:id="633485557">
      <w:bodyDiv w:val="1"/>
      <w:marLeft w:val="0"/>
      <w:marRight w:val="0"/>
      <w:marTop w:val="0"/>
      <w:marBottom w:val="0"/>
      <w:divBdr>
        <w:top w:val="none" w:sz="0" w:space="0" w:color="auto"/>
        <w:left w:val="none" w:sz="0" w:space="0" w:color="auto"/>
        <w:bottom w:val="none" w:sz="0" w:space="0" w:color="auto"/>
        <w:right w:val="none" w:sz="0" w:space="0" w:color="auto"/>
      </w:divBdr>
    </w:div>
    <w:div w:id="678772233">
      <w:bodyDiv w:val="1"/>
      <w:marLeft w:val="0"/>
      <w:marRight w:val="0"/>
      <w:marTop w:val="0"/>
      <w:marBottom w:val="0"/>
      <w:divBdr>
        <w:top w:val="none" w:sz="0" w:space="0" w:color="auto"/>
        <w:left w:val="none" w:sz="0" w:space="0" w:color="auto"/>
        <w:bottom w:val="none" w:sz="0" w:space="0" w:color="auto"/>
        <w:right w:val="none" w:sz="0" w:space="0" w:color="auto"/>
      </w:divBdr>
    </w:div>
    <w:div w:id="689915151">
      <w:bodyDiv w:val="1"/>
      <w:marLeft w:val="0"/>
      <w:marRight w:val="0"/>
      <w:marTop w:val="0"/>
      <w:marBottom w:val="0"/>
      <w:divBdr>
        <w:top w:val="none" w:sz="0" w:space="0" w:color="auto"/>
        <w:left w:val="none" w:sz="0" w:space="0" w:color="auto"/>
        <w:bottom w:val="none" w:sz="0" w:space="0" w:color="auto"/>
        <w:right w:val="none" w:sz="0" w:space="0" w:color="auto"/>
      </w:divBdr>
    </w:div>
    <w:div w:id="718355684">
      <w:bodyDiv w:val="1"/>
      <w:marLeft w:val="0"/>
      <w:marRight w:val="0"/>
      <w:marTop w:val="0"/>
      <w:marBottom w:val="0"/>
      <w:divBdr>
        <w:top w:val="none" w:sz="0" w:space="0" w:color="auto"/>
        <w:left w:val="none" w:sz="0" w:space="0" w:color="auto"/>
        <w:bottom w:val="none" w:sz="0" w:space="0" w:color="auto"/>
        <w:right w:val="none" w:sz="0" w:space="0" w:color="auto"/>
      </w:divBdr>
    </w:div>
    <w:div w:id="756290208">
      <w:bodyDiv w:val="1"/>
      <w:marLeft w:val="0"/>
      <w:marRight w:val="0"/>
      <w:marTop w:val="0"/>
      <w:marBottom w:val="0"/>
      <w:divBdr>
        <w:top w:val="none" w:sz="0" w:space="0" w:color="auto"/>
        <w:left w:val="none" w:sz="0" w:space="0" w:color="auto"/>
        <w:bottom w:val="none" w:sz="0" w:space="0" w:color="auto"/>
        <w:right w:val="none" w:sz="0" w:space="0" w:color="auto"/>
      </w:divBdr>
    </w:div>
    <w:div w:id="757361336">
      <w:bodyDiv w:val="1"/>
      <w:marLeft w:val="0"/>
      <w:marRight w:val="0"/>
      <w:marTop w:val="0"/>
      <w:marBottom w:val="0"/>
      <w:divBdr>
        <w:top w:val="none" w:sz="0" w:space="0" w:color="auto"/>
        <w:left w:val="none" w:sz="0" w:space="0" w:color="auto"/>
        <w:bottom w:val="none" w:sz="0" w:space="0" w:color="auto"/>
        <w:right w:val="none" w:sz="0" w:space="0" w:color="auto"/>
      </w:divBdr>
    </w:div>
    <w:div w:id="764499096">
      <w:bodyDiv w:val="1"/>
      <w:marLeft w:val="0"/>
      <w:marRight w:val="0"/>
      <w:marTop w:val="0"/>
      <w:marBottom w:val="0"/>
      <w:divBdr>
        <w:top w:val="none" w:sz="0" w:space="0" w:color="auto"/>
        <w:left w:val="none" w:sz="0" w:space="0" w:color="auto"/>
        <w:bottom w:val="none" w:sz="0" w:space="0" w:color="auto"/>
        <w:right w:val="none" w:sz="0" w:space="0" w:color="auto"/>
      </w:divBdr>
    </w:div>
    <w:div w:id="806171052">
      <w:bodyDiv w:val="1"/>
      <w:marLeft w:val="0"/>
      <w:marRight w:val="0"/>
      <w:marTop w:val="0"/>
      <w:marBottom w:val="0"/>
      <w:divBdr>
        <w:top w:val="none" w:sz="0" w:space="0" w:color="auto"/>
        <w:left w:val="none" w:sz="0" w:space="0" w:color="auto"/>
        <w:bottom w:val="none" w:sz="0" w:space="0" w:color="auto"/>
        <w:right w:val="none" w:sz="0" w:space="0" w:color="auto"/>
      </w:divBdr>
    </w:div>
    <w:div w:id="811796204">
      <w:bodyDiv w:val="1"/>
      <w:marLeft w:val="0"/>
      <w:marRight w:val="0"/>
      <w:marTop w:val="0"/>
      <w:marBottom w:val="0"/>
      <w:divBdr>
        <w:top w:val="none" w:sz="0" w:space="0" w:color="auto"/>
        <w:left w:val="none" w:sz="0" w:space="0" w:color="auto"/>
        <w:bottom w:val="none" w:sz="0" w:space="0" w:color="auto"/>
        <w:right w:val="none" w:sz="0" w:space="0" w:color="auto"/>
      </w:divBdr>
    </w:div>
    <w:div w:id="816144392">
      <w:bodyDiv w:val="1"/>
      <w:marLeft w:val="0"/>
      <w:marRight w:val="0"/>
      <w:marTop w:val="0"/>
      <w:marBottom w:val="0"/>
      <w:divBdr>
        <w:top w:val="none" w:sz="0" w:space="0" w:color="auto"/>
        <w:left w:val="none" w:sz="0" w:space="0" w:color="auto"/>
        <w:bottom w:val="none" w:sz="0" w:space="0" w:color="auto"/>
        <w:right w:val="none" w:sz="0" w:space="0" w:color="auto"/>
      </w:divBdr>
    </w:div>
    <w:div w:id="816805458">
      <w:bodyDiv w:val="1"/>
      <w:marLeft w:val="0"/>
      <w:marRight w:val="0"/>
      <w:marTop w:val="0"/>
      <w:marBottom w:val="0"/>
      <w:divBdr>
        <w:top w:val="none" w:sz="0" w:space="0" w:color="auto"/>
        <w:left w:val="none" w:sz="0" w:space="0" w:color="auto"/>
        <w:bottom w:val="none" w:sz="0" w:space="0" w:color="auto"/>
        <w:right w:val="none" w:sz="0" w:space="0" w:color="auto"/>
      </w:divBdr>
      <w:divsChild>
        <w:div w:id="231086200">
          <w:marLeft w:val="0"/>
          <w:marRight w:val="0"/>
          <w:marTop w:val="0"/>
          <w:marBottom w:val="0"/>
          <w:divBdr>
            <w:top w:val="none" w:sz="0" w:space="0" w:color="auto"/>
            <w:left w:val="none" w:sz="0" w:space="0" w:color="auto"/>
            <w:bottom w:val="none" w:sz="0" w:space="0" w:color="auto"/>
            <w:right w:val="none" w:sz="0" w:space="0" w:color="auto"/>
          </w:divBdr>
        </w:div>
        <w:div w:id="456683879">
          <w:marLeft w:val="0"/>
          <w:marRight w:val="0"/>
          <w:marTop w:val="0"/>
          <w:marBottom w:val="0"/>
          <w:divBdr>
            <w:top w:val="none" w:sz="0" w:space="0" w:color="auto"/>
            <w:left w:val="none" w:sz="0" w:space="0" w:color="auto"/>
            <w:bottom w:val="none" w:sz="0" w:space="0" w:color="auto"/>
            <w:right w:val="none" w:sz="0" w:space="0" w:color="auto"/>
          </w:divBdr>
        </w:div>
        <w:div w:id="529991832">
          <w:marLeft w:val="0"/>
          <w:marRight w:val="0"/>
          <w:marTop w:val="0"/>
          <w:marBottom w:val="0"/>
          <w:divBdr>
            <w:top w:val="none" w:sz="0" w:space="0" w:color="auto"/>
            <w:left w:val="none" w:sz="0" w:space="0" w:color="auto"/>
            <w:bottom w:val="none" w:sz="0" w:space="0" w:color="auto"/>
            <w:right w:val="none" w:sz="0" w:space="0" w:color="auto"/>
          </w:divBdr>
        </w:div>
        <w:div w:id="598609877">
          <w:marLeft w:val="0"/>
          <w:marRight w:val="0"/>
          <w:marTop w:val="0"/>
          <w:marBottom w:val="0"/>
          <w:divBdr>
            <w:top w:val="none" w:sz="0" w:space="0" w:color="auto"/>
            <w:left w:val="none" w:sz="0" w:space="0" w:color="auto"/>
            <w:bottom w:val="none" w:sz="0" w:space="0" w:color="auto"/>
            <w:right w:val="none" w:sz="0" w:space="0" w:color="auto"/>
          </w:divBdr>
        </w:div>
        <w:div w:id="676270369">
          <w:marLeft w:val="0"/>
          <w:marRight w:val="0"/>
          <w:marTop w:val="0"/>
          <w:marBottom w:val="0"/>
          <w:divBdr>
            <w:top w:val="none" w:sz="0" w:space="0" w:color="auto"/>
            <w:left w:val="none" w:sz="0" w:space="0" w:color="auto"/>
            <w:bottom w:val="none" w:sz="0" w:space="0" w:color="auto"/>
            <w:right w:val="none" w:sz="0" w:space="0" w:color="auto"/>
          </w:divBdr>
        </w:div>
        <w:div w:id="706105177">
          <w:marLeft w:val="0"/>
          <w:marRight w:val="0"/>
          <w:marTop w:val="0"/>
          <w:marBottom w:val="0"/>
          <w:divBdr>
            <w:top w:val="none" w:sz="0" w:space="0" w:color="auto"/>
            <w:left w:val="none" w:sz="0" w:space="0" w:color="auto"/>
            <w:bottom w:val="none" w:sz="0" w:space="0" w:color="auto"/>
            <w:right w:val="none" w:sz="0" w:space="0" w:color="auto"/>
          </w:divBdr>
        </w:div>
        <w:div w:id="758018059">
          <w:marLeft w:val="0"/>
          <w:marRight w:val="0"/>
          <w:marTop w:val="0"/>
          <w:marBottom w:val="0"/>
          <w:divBdr>
            <w:top w:val="none" w:sz="0" w:space="0" w:color="auto"/>
            <w:left w:val="none" w:sz="0" w:space="0" w:color="auto"/>
            <w:bottom w:val="none" w:sz="0" w:space="0" w:color="auto"/>
            <w:right w:val="none" w:sz="0" w:space="0" w:color="auto"/>
          </w:divBdr>
        </w:div>
        <w:div w:id="943927648">
          <w:marLeft w:val="0"/>
          <w:marRight w:val="0"/>
          <w:marTop w:val="0"/>
          <w:marBottom w:val="0"/>
          <w:divBdr>
            <w:top w:val="none" w:sz="0" w:space="0" w:color="auto"/>
            <w:left w:val="none" w:sz="0" w:space="0" w:color="auto"/>
            <w:bottom w:val="none" w:sz="0" w:space="0" w:color="auto"/>
            <w:right w:val="none" w:sz="0" w:space="0" w:color="auto"/>
          </w:divBdr>
        </w:div>
        <w:div w:id="1107192486">
          <w:marLeft w:val="0"/>
          <w:marRight w:val="0"/>
          <w:marTop w:val="0"/>
          <w:marBottom w:val="0"/>
          <w:divBdr>
            <w:top w:val="none" w:sz="0" w:space="0" w:color="auto"/>
            <w:left w:val="none" w:sz="0" w:space="0" w:color="auto"/>
            <w:bottom w:val="none" w:sz="0" w:space="0" w:color="auto"/>
            <w:right w:val="none" w:sz="0" w:space="0" w:color="auto"/>
          </w:divBdr>
        </w:div>
        <w:div w:id="1161892557">
          <w:marLeft w:val="0"/>
          <w:marRight w:val="0"/>
          <w:marTop w:val="0"/>
          <w:marBottom w:val="0"/>
          <w:divBdr>
            <w:top w:val="none" w:sz="0" w:space="0" w:color="auto"/>
            <w:left w:val="none" w:sz="0" w:space="0" w:color="auto"/>
            <w:bottom w:val="none" w:sz="0" w:space="0" w:color="auto"/>
            <w:right w:val="none" w:sz="0" w:space="0" w:color="auto"/>
          </w:divBdr>
        </w:div>
        <w:div w:id="1579631153">
          <w:marLeft w:val="0"/>
          <w:marRight w:val="0"/>
          <w:marTop w:val="0"/>
          <w:marBottom w:val="0"/>
          <w:divBdr>
            <w:top w:val="none" w:sz="0" w:space="0" w:color="auto"/>
            <w:left w:val="none" w:sz="0" w:space="0" w:color="auto"/>
            <w:bottom w:val="none" w:sz="0" w:space="0" w:color="auto"/>
            <w:right w:val="none" w:sz="0" w:space="0" w:color="auto"/>
          </w:divBdr>
        </w:div>
        <w:div w:id="1597592662">
          <w:marLeft w:val="0"/>
          <w:marRight w:val="0"/>
          <w:marTop w:val="0"/>
          <w:marBottom w:val="0"/>
          <w:divBdr>
            <w:top w:val="none" w:sz="0" w:space="0" w:color="auto"/>
            <w:left w:val="none" w:sz="0" w:space="0" w:color="auto"/>
            <w:bottom w:val="none" w:sz="0" w:space="0" w:color="auto"/>
            <w:right w:val="none" w:sz="0" w:space="0" w:color="auto"/>
          </w:divBdr>
        </w:div>
        <w:div w:id="2108576217">
          <w:marLeft w:val="0"/>
          <w:marRight w:val="0"/>
          <w:marTop w:val="0"/>
          <w:marBottom w:val="0"/>
          <w:divBdr>
            <w:top w:val="none" w:sz="0" w:space="0" w:color="auto"/>
            <w:left w:val="none" w:sz="0" w:space="0" w:color="auto"/>
            <w:bottom w:val="none" w:sz="0" w:space="0" w:color="auto"/>
            <w:right w:val="none" w:sz="0" w:space="0" w:color="auto"/>
          </w:divBdr>
        </w:div>
      </w:divsChild>
    </w:div>
    <w:div w:id="829951640">
      <w:bodyDiv w:val="1"/>
      <w:marLeft w:val="0"/>
      <w:marRight w:val="0"/>
      <w:marTop w:val="0"/>
      <w:marBottom w:val="0"/>
      <w:divBdr>
        <w:top w:val="none" w:sz="0" w:space="0" w:color="auto"/>
        <w:left w:val="none" w:sz="0" w:space="0" w:color="auto"/>
        <w:bottom w:val="none" w:sz="0" w:space="0" w:color="auto"/>
        <w:right w:val="none" w:sz="0" w:space="0" w:color="auto"/>
      </w:divBdr>
    </w:div>
    <w:div w:id="842744906">
      <w:bodyDiv w:val="1"/>
      <w:marLeft w:val="0"/>
      <w:marRight w:val="0"/>
      <w:marTop w:val="0"/>
      <w:marBottom w:val="0"/>
      <w:divBdr>
        <w:top w:val="none" w:sz="0" w:space="0" w:color="auto"/>
        <w:left w:val="none" w:sz="0" w:space="0" w:color="auto"/>
        <w:bottom w:val="none" w:sz="0" w:space="0" w:color="auto"/>
        <w:right w:val="none" w:sz="0" w:space="0" w:color="auto"/>
      </w:divBdr>
    </w:div>
    <w:div w:id="855191262">
      <w:bodyDiv w:val="1"/>
      <w:marLeft w:val="0"/>
      <w:marRight w:val="0"/>
      <w:marTop w:val="0"/>
      <w:marBottom w:val="0"/>
      <w:divBdr>
        <w:top w:val="none" w:sz="0" w:space="0" w:color="auto"/>
        <w:left w:val="none" w:sz="0" w:space="0" w:color="auto"/>
        <w:bottom w:val="none" w:sz="0" w:space="0" w:color="auto"/>
        <w:right w:val="none" w:sz="0" w:space="0" w:color="auto"/>
      </w:divBdr>
    </w:div>
    <w:div w:id="871844948">
      <w:bodyDiv w:val="1"/>
      <w:marLeft w:val="0"/>
      <w:marRight w:val="0"/>
      <w:marTop w:val="0"/>
      <w:marBottom w:val="0"/>
      <w:divBdr>
        <w:top w:val="none" w:sz="0" w:space="0" w:color="auto"/>
        <w:left w:val="none" w:sz="0" w:space="0" w:color="auto"/>
        <w:bottom w:val="none" w:sz="0" w:space="0" w:color="auto"/>
        <w:right w:val="none" w:sz="0" w:space="0" w:color="auto"/>
      </w:divBdr>
    </w:div>
    <w:div w:id="909079802">
      <w:bodyDiv w:val="1"/>
      <w:marLeft w:val="0"/>
      <w:marRight w:val="0"/>
      <w:marTop w:val="0"/>
      <w:marBottom w:val="0"/>
      <w:divBdr>
        <w:top w:val="none" w:sz="0" w:space="0" w:color="auto"/>
        <w:left w:val="none" w:sz="0" w:space="0" w:color="auto"/>
        <w:bottom w:val="none" w:sz="0" w:space="0" w:color="auto"/>
        <w:right w:val="none" w:sz="0" w:space="0" w:color="auto"/>
      </w:divBdr>
    </w:div>
    <w:div w:id="921716733">
      <w:bodyDiv w:val="1"/>
      <w:marLeft w:val="0"/>
      <w:marRight w:val="0"/>
      <w:marTop w:val="0"/>
      <w:marBottom w:val="0"/>
      <w:divBdr>
        <w:top w:val="none" w:sz="0" w:space="0" w:color="auto"/>
        <w:left w:val="none" w:sz="0" w:space="0" w:color="auto"/>
        <w:bottom w:val="none" w:sz="0" w:space="0" w:color="auto"/>
        <w:right w:val="none" w:sz="0" w:space="0" w:color="auto"/>
      </w:divBdr>
    </w:div>
    <w:div w:id="932324600">
      <w:bodyDiv w:val="1"/>
      <w:marLeft w:val="0"/>
      <w:marRight w:val="0"/>
      <w:marTop w:val="0"/>
      <w:marBottom w:val="0"/>
      <w:divBdr>
        <w:top w:val="none" w:sz="0" w:space="0" w:color="auto"/>
        <w:left w:val="none" w:sz="0" w:space="0" w:color="auto"/>
        <w:bottom w:val="none" w:sz="0" w:space="0" w:color="auto"/>
        <w:right w:val="none" w:sz="0" w:space="0" w:color="auto"/>
      </w:divBdr>
    </w:div>
    <w:div w:id="969163986">
      <w:bodyDiv w:val="1"/>
      <w:marLeft w:val="0"/>
      <w:marRight w:val="0"/>
      <w:marTop w:val="0"/>
      <w:marBottom w:val="0"/>
      <w:divBdr>
        <w:top w:val="none" w:sz="0" w:space="0" w:color="auto"/>
        <w:left w:val="none" w:sz="0" w:space="0" w:color="auto"/>
        <w:bottom w:val="none" w:sz="0" w:space="0" w:color="auto"/>
        <w:right w:val="none" w:sz="0" w:space="0" w:color="auto"/>
      </w:divBdr>
      <w:divsChild>
        <w:div w:id="283583699">
          <w:marLeft w:val="0"/>
          <w:marRight w:val="0"/>
          <w:marTop w:val="0"/>
          <w:marBottom w:val="0"/>
          <w:divBdr>
            <w:top w:val="none" w:sz="0" w:space="0" w:color="auto"/>
            <w:left w:val="none" w:sz="0" w:space="0" w:color="auto"/>
            <w:bottom w:val="none" w:sz="0" w:space="0" w:color="auto"/>
            <w:right w:val="none" w:sz="0" w:space="0" w:color="auto"/>
          </w:divBdr>
        </w:div>
        <w:div w:id="378357048">
          <w:marLeft w:val="0"/>
          <w:marRight w:val="0"/>
          <w:marTop w:val="0"/>
          <w:marBottom w:val="0"/>
          <w:divBdr>
            <w:top w:val="none" w:sz="0" w:space="0" w:color="auto"/>
            <w:left w:val="none" w:sz="0" w:space="0" w:color="auto"/>
            <w:bottom w:val="none" w:sz="0" w:space="0" w:color="auto"/>
            <w:right w:val="none" w:sz="0" w:space="0" w:color="auto"/>
          </w:divBdr>
        </w:div>
      </w:divsChild>
    </w:div>
    <w:div w:id="1002969184">
      <w:bodyDiv w:val="1"/>
      <w:marLeft w:val="0"/>
      <w:marRight w:val="0"/>
      <w:marTop w:val="0"/>
      <w:marBottom w:val="0"/>
      <w:divBdr>
        <w:top w:val="none" w:sz="0" w:space="0" w:color="auto"/>
        <w:left w:val="none" w:sz="0" w:space="0" w:color="auto"/>
        <w:bottom w:val="none" w:sz="0" w:space="0" w:color="auto"/>
        <w:right w:val="none" w:sz="0" w:space="0" w:color="auto"/>
      </w:divBdr>
    </w:div>
    <w:div w:id="1009911625">
      <w:bodyDiv w:val="1"/>
      <w:marLeft w:val="0"/>
      <w:marRight w:val="0"/>
      <w:marTop w:val="0"/>
      <w:marBottom w:val="0"/>
      <w:divBdr>
        <w:top w:val="none" w:sz="0" w:space="0" w:color="auto"/>
        <w:left w:val="none" w:sz="0" w:space="0" w:color="auto"/>
        <w:bottom w:val="none" w:sz="0" w:space="0" w:color="auto"/>
        <w:right w:val="none" w:sz="0" w:space="0" w:color="auto"/>
      </w:divBdr>
    </w:div>
    <w:div w:id="1020354117">
      <w:bodyDiv w:val="1"/>
      <w:marLeft w:val="0"/>
      <w:marRight w:val="0"/>
      <w:marTop w:val="0"/>
      <w:marBottom w:val="0"/>
      <w:divBdr>
        <w:top w:val="none" w:sz="0" w:space="0" w:color="auto"/>
        <w:left w:val="none" w:sz="0" w:space="0" w:color="auto"/>
        <w:bottom w:val="none" w:sz="0" w:space="0" w:color="auto"/>
        <w:right w:val="none" w:sz="0" w:space="0" w:color="auto"/>
      </w:divBdr>
    </w:div>
    <w:div w:id="1026373562">
      <w:bodyDiv w:val="1"/>
      <w:marLeft w:val="0"/>
      <w:marRight w:val="0"/>
      <w:marTop w:val="0"/>
      <w:marBottom w:val="0"/>
      <w:divBdr>
        <w:top w:val="none" w:sz="0" w:space="0" w:color="auto"/>
        <w:left w:val="none" w:sz="0" w:space="0" w:color="auto"/>
        <w:bottom w:val="none" w:sz="0" w:space="0" w:color="auto"/>
        <w:right w:val="none" w:sz="0" w:space="0" w:color="auto"/>
      </w:divBdr>
    </w:div>
    <w:div w:id="1031498539">
      <w:bodyDiv w:val="1"/>
      <w:marLeft w:val="0"/>
      <w:marRight w:val="0"/>
      <w:marTop w:val="0"/>
      <w:marBottom w:val="0"/>
      <w:divBdr>
        <w:top w:val="none" w:sz="0" w:space="0" w:color="auto"/>
        <w:left w:val="none" w:sz="0" w:space="0" w:color="auto"/>
        <w:bottom w:val="none" w:sz="0" w:space="0" w:color="auto"/>
        <w:right w:val="none" w:sz="0" w:space="0" w:color="auto"/>
      </w:divBdr>
    </w:div>
    <w:div w:id="1035470809">
      <w:bodyDiv w:val="1"/>
      <w:marLeft w:val="0"/>
      <w:marRight w:val="0"/>
      <w:marTop w:val="0"/>
      <w:marBottom w:val="0"/>
      <w:divBdr>
        <w:top w:val="none" w:sz="0" w:space="0" w:color="auto"/>
        <w:left w:val="none" w:sz="0" w:space="0" w:color="auto"/>
        <w:bottom w:val="none" w:sz="0" w:space="0" w:color="auto"/>
        <w:right w:val="none" w:sz="0" w:space="0" w:color="auto"/>
      </w:divBdr>
    </w:div>
    <w:div w:id="1073897136">
      <w:bodyDiv w:val="1"/>
      <w:marLeft w:val="0"/>
      <w:marRight w:val="0"/>
      <w:marTop w:val="0"/>
      <w:marBottom w:val="0"/>
      <w:divBdr>
        <w:top w:val="none" w:sz="0" w:space="0" w:color="auto"/>
        <w:left w:val="none" w:sz="0" w:space="0" w:color="auto"/>
        <w:bottom w:val="none" w:sz="0" w:space="0" w:color="auto"/>
        <w:right w:val="none" w:sz="0" w:space="0" w:color="auto"/>
      </w:divBdr>
    </w:div>
    <w:div w:id="1087118395">
      <w:bodyDiv w:val="1"/>
      <w:marLeft w:val="0"/>
      <w:marRight w:val="0"/>
      <w:marTop w:val="0"/>
      <w:marBottom w:val="0"/>
      <w:divBdr>
        <w:top w:val="none" w:sz="0" w:space="0" w:color="auto"/>
        <w:left w:val="none" w:sz="0" w:space="0" w:color="auto"/>
        <w:bottom w:val="none" w:sz="0" w:space="0" w:color="auto"/>
        <w:right w:val="none" w:sz="0" w:space="0" w:color="auto"/>
      </w:divBdr>
    </w:div>
    <w:div w:id="1094014909">
      <w:bodyDiv w:val="1"/>
      <w:marLeft w:val="0"/>
      <w:marRight w:val="0"/>
      <w:marTop w:val="0"/>
      <w:marBottom w:val="0"/>
      <w:divBdr>
        <w:top w:val="none" w:sz="0" w:space="0" w:color="auto"/>
        <w:left w:val="none" w:sz="0" w:space="0" w:color="auto"/>
        <w:bottom w:val="none" w:sz="0" w:space="0" w:color="auto"/>
        <w:right w:val="none" w:sz="0" w:space="0" w:color="auto"/>
      </w:divBdr>
    </w:div>
    <w:div w:id="1182627635">
      <w:bodyDiv w:val="1"/>
      <w:marLeft w:val="0"/>
      <w:marRight w:val="0"/>
      <w:marTop w:val="0"/>
      <w:marBottom w:val="0"/>
      <w:divBdr>
        <w:top w:val="none" w:sz="0" w:space="0" w:color="auto"/>
        <w:left w:val="none" w:sz="0" w:space="0" w:color="auto"/>
        <w:bottom w:val="none" w:sz="0" w:space="0" w:color="auto"/>
        <w:right w:val="none" w:sz="0" w:space="0" w:color="auto"/>
      </w:divBdr>
    </w:div>
    <w:div w:id="1224364898">
      <w:bodyDiv w:val="1"/>
      <w:marLeft w:val="0"/>
      <w:marRight w:val="0"/>
      <w:marTop w:val="0"/>
      <w:marBottom w:val="0"/>
      <w:divBdr>
        <w:top w:val="none" w:sz="0" w:space="0" w:color="auto"/>
        <w:left w:val="none" w:sz="0" w:space="0" w:color="auto"/>
        <w:bottom w:val="none" w:sz="0" w:space="0" w:color="auto"/>
        <w:right w:val="none" w:sz="0" w:space="0" w:color="auto"/>
      </w:divBdr>
    </w:div>
    <w:div w:id="1313563000">
      <w:bodyDiv w:val="1"/>
      <w:marLeft w:val="0"/>
      <w:marRight w:val="0"/>
      <w:marTop w:val="0"/>
      <w:marBottom w:val="0"/>
      <w:divBdr>
        <w:top w:val="none" w:sz="0" w:space="0" w:color="auto"/>
        <w:left w:val="none" w:sz="0" w:space="0" w:color="auto"/>
        <w:bottom w:val="none" w:sz="0" w:space="0" w:color="auto"/>
        <w:right w:val="none" w:sz="0" w:space="0" w:color="auto"/>
      </w:divBdr>
    </w:div>
    <w:div w:id="1318921769">
      <w:bodyDiv w:val="1"/>
      <w:marLeft w:val="0"/>
      <w:marRight w:val="0"/>
      <w:marTop w:val="0"/>
      <w:marBottom w:val="0"/>
      <w:divBdr>
        <w:top w:val="none" w:sz="0" w:space="0" w:color="auto"/>
        <w:left w:val="none" w:sz="0" w:space="0" w:color="auto"/>
        <w:bottom w:val="none" w:sz="0" w:space="0" w:color="auto"/>
        <w:right w:val="none" w:sz="0" w:space="0" w:color="auto"/>
      </w:divBdr>
    </w:div>
    <w:div w:id="1363095731">
      <w:bodyDiv w:val="1"/>
      <w:marLeft w:val="0"/>
      <w:marRight w:val="0"/>
      <w:marTop w:val="0"/>
      <w:marBottom w:val="0"/>
      <w:divBdr>
        <w:top w:val="none" w:sz="0" w:space="0" w:color="auto"/>
        <w:left w:val="none" w:sz="0" w:space="0" w:color="auto"/>
        <w:bottom w:val="none" w:sz="0" w:space="0" w:color="auto"/>
        <w:right w:val="none" w:sz="0" w:space="0" w:color="auto"/>
      </w:divBdr>
    </w:div>
    <w:div w:id="1367023913">
      <w:bodyDiv w:val="1"/>
      <w:marLeft w:val="0"/>
      <w:marRight w:val="0"/>
      <w:marTop w:val="0"/>
      <w:marBottom w:val="0"/>
      <w:divBdr>
        <w:top w:val="none" w:sz="0" w:space="0" w:color="auto"/>
        <w:left w:val="none" w:sz="0" w:space="0" w:color="auto"/>
        <w:bottom w:val="none" w:sz="0" w:space="0" w:color="auto"/>
        <w:right w:val="none" w:sz="0" w:space="0" w:color="auto"/>
      </w:divBdr>
    </w:div>
    <w:div w:id="1385329002">
      <w:bodyDiv w:val="1"/>
      <w:marLeft w:val="0"/>
      <w:marRight w:val="0"/>
      <w:marTop w:val="0"/>
      <w:marBottom w:val="0"/>
      <w:divBdr>
        <w:top w:val="none" w:sz="0" w:space="0" w:color="auto"/>
        <w:left w:val="none" w:sz="0" w:space="0" w:color="auto"/>
        <w:bottom w:val="none" w:sz="0" w:space="0" w:color="auto"/>
        <w:right w:val="none" w:sz="0" w:space="0" w:color="auto"/>
      </w:divBdr>
    </w:div>
    <w:div w:id="1391226210">
      <w:bodyDiv w:val="1"/>
      <w:marLeft w:val="0"/>
      <w:marRight w:val="0"/>
      <w:marTop w:val="0"/>
      <w:marBottom w:val="0"/>
      <w:divBdr>
        <w:top w:val="none" w:sz="0" w:space="0" w:color="auto"/>
        <w:left w:val="none" w:sz="0" w:space="0" w:color="auto"/>
        <w:bottom w:val="none" w:sz="0" w:space="0" w:color="auto"/>
        <w:right w:val="none" w:sz="0" w:space="0" w:color="auto"/>
      </w:divBdr>
    </w:div>
    <w:div w:id="1408960433">
      <w:bodyDiv w:val="1"/>
      <w:marLeft w:val="0"/>
      <w:marRight w:val="0"/>
      <w:marTop w:val="0"/>
      <w:marBottom w:val="0"/>
      <w:divBdr>
        <w:top w:val="none" w:sz="0" w:space="0" w:color="auto"/>
        <w:left w:val="none" w:sz="0" w:space="0" w:color="auto"/>
        <w:bottom w:val="none" w:sz="0" w:space="0" w:color="auto"/>
        <w:right w:val="none" w:sz="0" w:space="0" w:color="auto"/>
      </w:divBdr>
    </w:div>
    <w:div w:id="1424186178">
      <w:bodyDiv w:val="1"/>
      <w:marLeft w:val="0"/>
      <w:marRight w:val="0"/>
      <w:marTop w:val="0"/>
      <w:marBottom w:val="0"/>
      <w:divBdr>
        <w:top w:val="none" w:sz="0" w:space="0" w:color="auto"/>
        <w:left w:val="none" w:sz="0" w:space="0" w:color="auto"/>
        <w:bottom w:val="none" w:sz="0" w:space="0" w:color="auto"/>
        <w:right w:val="none" w:sz="0" w:space="0" w:color="auto"/>
      </w:divBdr>
    </w:div>
    <w:div w:id="1560554622">
      <w:bodyDiv w:val="1"/>
      <w:marLeft w:val="0"/>
      <w:marRight w:val="0"/>
      <w:marTop w:val="0"/>
      <w:marBottom w:val="0"/>
      <w:divBdr>
        <w:top w:val="none" w:sz="0" w:space="0" w:color="auto"/>
        <w:left w:val="none" w:sz="0" w:space="0" w:color="auto"/>
        <w:bottom w:val="none" w:sz="0" w:space="0" w:color="auto"/>
        <w:right w:val="none" w:sz="0" w:space="0" w:color="auto"/>
      </w:divBdr>
    </w:div>
    <w:div w:id="1620334028">
      <w:bodyDiv w:val="1"/>
      <w:marLeft w:val="0"/>
      <w:marRight w:val="0"/>
      <w:marTop w:val="0"/>
      <w:marBottom w:val="0"/>
      <w:divBdr>
        <w:top w:val="none" w:sz="0" w:space="0" w:color="auto"/>
        <w:left w:val="none" w:sz="0" w:space="0" w:color="auto"/>
        <w:bottom w:val="none" w:sz="0" w:space="0" w:color="auto"/>
        <w:right w:val="none" w:sz="0" w:space="0" w:color="auto"/>
      </w:divBdr>
    </w:div>
    <w:div w:id="1677491320">
      <w:bodyDiv w:val="1"/>
      <w:marLeft w:val="0"/>
      <w:marRight w:val="0"/>
      <w:marTop w:val="0"/>
      <w:marBottom w:val="0"/>
      <w:divBdr>
        <w:top w:val="none" w:sz="0" w:space="0" w:color="auto"/>
        <w:left w:val="none" w:sz="0" w:space="0" w:color="auto"/>
        <w:bottom w:val="none" w:sz="0" w:space="0" w:color="auto"/>
        <w:right w:val="none" w:sz="0" w:space="0" w:color="auto"/>
      </w:divBdr>
    </w:div>
    <w:div w:id="1693451937">
      <w:bodyDiv w:val="1"/>
      <w:marLeft w:val="0"/>
      <w:marRight w:val="0"/>
      <w:marTop w:val="0"/>
      <w:marBottom w:val="0"/>
      <w:divBdr>
        <w:top w:val="none" w:sz="0" w:space="0" w:color="auto"/>
        <w:left w:val="none" w:sz="0" w:space="0" w:color="auto"/>
        <w:bottom w:val="none" w:sz="0" w:space="0" w:color="auto"/>
        <w:right w:val="none" w:sz="0" w:space="0" w:color="auto"/>
      </w:divBdr>
      <w:divsChild>
        <w:div w:id="981348935">
          <w:marLeft w:val="0"/>
          <w:marRight w:val="0"/>
          <w:marTop w:val="0"/>
          <w:marBottom w:val="0"/>
          <w:divBdr>
            <w:top w:val="none" w:sz="0" w:space="0" w:color="auto"/>
            <w:left w:val="none" w:sz="0" w:space="0" w:color="auto"/>
            <w:bottom w:val="none" w:sz="0" w:space="0" w:color="auto"/>
            <w:right w:val="none" w:sz="0" w:space="0" w:color="auto"/>
          </w:divBdr>
        </w:div>
        <w:div w:id="1057048930">
          <w:marLeft w:val="0"/>
          <w:marRight w:val="0"/>
          <w:marTop w:val="0"/>
          <w:marBottom w:val="0"/>
          <w:divBdr>
            <w:top w:val="none" w:sz="0" w:space="0" w:color="auto"/>
            <w:left w:val="none" w:sz="0" w:space="0" w:color="auto"/>
            <w:bottom w:val="none" w:sz="0" w:space="0" w:color="auto"/>
            <w:right w:val="none" w:sz="0" w:space="0" w:color="auto"/>
          </w:divBdr>
        </w:div>
        <w:div w:id="1366058197">
          <w:marLeft w:val="0"/>
          <w:marRight w:val="0"/>
          <w:marTop w:val="0"/>
          <w:marBottom w:val="0"/>
          <w:divBdr>
            <w:top w:val="none" w:sz="0" w:space="0" w:color="auto"/>
            <w:left w:val="none" w:sz="0" w:space="0" w:color="auto"/>
            <w:bottom w:val="none" w:sz="0" w:space="0" w:color="auto"/>
            <w:right w:val="none" w:sz="0" w:space="0" w:color="auto"/>
          </w:divBdr>
        </w:div>
        <w:div w:id="1383821203">
          <w:marLeft w:val="0"/>
          <w:marRight w:val="0"/>
          <w:marTop w:val="0"/>
          <w:marBottom w:val="0"/>
          <w:divBdr>
            <w:top w:val="none" w:sz="0" w:space="0" w:color="auto"/>
            <w:left w:val="none" w:sz="0" w:space="0" w:color="auto"/>
            <w:bottom w:val="none" w:sz="0" w:space="0" w:color="auto"/>
            <w:right w:val="none" w:sz="0" w:space="0" w:color="auto"/>
          </w:divBdr>
        </w:div>
        <w:div w:id="1532956175">
          <w:marLeft w:val="0"/>
          <w:marRight w:val="0"/>
          <w:marTop w:val="0"/>
          <w:marBottom w:val="0"/>
          <w:divBdr>
            <w:top w:val="none" w:sz="0" w:space="0" w:color="auto"/>
            <w:left w:val="none" w:sz="0" w:space="0" w:color="auto"/>
            <w:bottom w:val="none" w:sz="0" w:space="0" w:color="auto"/>
            <w:right w:val="none" w:sz="0" w:space="0" w:color="auto"/>
          </w:divBdr>
        </w:div>
        <w:div w:id="1555001067">
          <w:marLeft w:val="0"/>
          <w:marRight w:val="0"/>
          <w:marTop w:val="0"/>
          <w:marBottom w:val="0"/>
          <w:divBdr>
            <w:top w:val="none" w:sz="0" w:space="0" w:color="auto"/>
            <w:left w:val="none" w:sz="0" w:space="0" w:color="auto"/>
            <w:bottom w:val="none" w:sz="0" w:space="0" w:color="auto"/>
            <w:right w:val="none" w:sz="0" w:space="0" w:color="auto"/>
          </w:divBdr>
        </w:div>
        <w:div w:id="1634216411">
          <w:marLeft w:val="0"/>
          <w:marRight w:val="0"/>
          <w:marTop w:val="0"/>
          <w:marBottom w:val="0"/>
          <w:divBdr>
            <w:top w:val="none" w:sz="0" w:space="0" w:color="auto"/>
            <w:left w:val="none" w:sz="0" w:space="0" w:color="auto"/>
            <w:bottom w:val="none" w:sz="0" w:space="0" w:color="auto"/>
            <w:right w:val="none" w:sz="0" w:space="0" w:color="auto"/>
          </w:divBdr>
        </w:div>
        <w:div w:id="1741831210">
          <w:marLeft w:val="0"/>
          <w:marRight w:val="0"/>
          <w:marTop w:val="0"/>
          <w:marBottom w:val="0"/>
          <w:divBdr>
            <w:top w:val="none" w:sz="0" w:space="0" w:color="auto"/>
            <w:left w:val="none" w:sz="0" w:space="0" w:color="auto"/>
            <w:bottom w:val="none" w:sz="0" w:space="0" w:color="auto"/>
            <w:right w:val="none" w:sz="0" w:space="0" w:color="auto"/>
          </w:divBdr>
        </w:div>
      </w:divsChild>
    </w:div>
    <w:div w:id="1711493089">
      <w:bodyDiv w:val="1"/>
      <w:marLeft w:val="0"/>
      <w:marRight w:val="0"/>
      <w:marTop w:val="0"/>
      <w:marBottom w:val="0"/>
      <w:divBdr>
        <w:top w:val="none" w:sz="0" w:space="0" w:color="auto"/>
        <w:left w:val="none" w:sz="0" w:space="0" w:color="auto"/>
        <w:bottom w:val="none" w:sz="0" w:space="0" w:color="auto"/>
        <w:right w:val="none" w:sz="0" w:space="0" w:color="auto"/>
      </w:divBdr>
    </w:div>
    <w:div w:id="1715109245">
      <w:bodyDiv w:val="1"/>
      <w:marLeft w:val="0"/>
      <w:marRight w:val="0"/>
      <w:marTop w:val="0"/>
      <w:marBottom w:val="0"/>
      <w:divBdr>
        <w:top w:val="none" w:sz="0" w:space="0" w:color="auto"/>
        <w:left w:val="none" w:sz="0" w:space="0" w:color="auto"/>
        <w:bottom w:val="none" w:sz="0" w:space="0" w:color="auto"/>
        <w:right w:val="none" w:sz="0" w:space="0" w:color="auto"/>
      </w:divBdr>
    </w:div>
    <w:div w:id="1782649246">
      <w:bodyDiv w:val="1"/>
      <w:marLeft w:val="0"/>
      <w:marRight w:val="0"/>
      <w:marTop w:val="0"/>
      <w:marBottom w:val="0"/>
      <w:divBdr>
        <w:top w:val="none" w:sz="0" w:space="0" w:color="auto"/>
        <w:left w:val="none" w:sz="0" w:space="0" w:color="auto"/>
        <w:bottom w:val="none" w:sz="0" w:space="0" w:color="auto"/>
        <w:right w:val="none" w:sz="0" w:space="0" w:color="auto"/>
      </w:divBdr>
    </w:div>
    <w:div w:id="1796866157">
      <w:bodyDiv w:val="1"/>
      <w:marLeft w:val="0"/>
      <w:marRight w:val="0"/>
      <w:marTop w:val="0"/>
      <w:marBottom w:val="0"/>
      <w:divBdr>
        <w:top w:val="none" w:sz="0" w:space="0" w:color="auto"/>
        <w:left w:val="none" w:sz="0" w:space="0" w:color="auto"/>
        <w:bottom w:val="none" w:sz="0" w:space="0" w:color="auto"/>
        <w:right w:val="none" w:sz="0" w:space="0" w:color="auto"/>
      </w:divBdr>
    </w:div>
    <w:div w:id="1804076108">
      <w:bodyDiv w:val="1"/>
      <w:marLeft w:val="0"/>
      <w:marRight w:val="0"/>
      <w:marTop w:val="0"/>
      <w:marBottom w:val="0"/>
      <w:divBdr>
        <w:top w:val="none" w:sz="0" w:space="0" w:color="auto"/>
        <w:left w:val="none" w:sz="0" w:space="0" w:color="auto"/>
        <w:bottom w:val="none" w:sz="0" w:space="0" w:color="auto"/>
        <w:right w:val="none" w:sz="0" w:space="0" w:color="auto"/>
      </w:divBdr>
      <w:divsChild>
        <w:div w:id="704670954">
          <w:marLeft w:val="0"/>
          <w:marRight w:val="0"/>
          <w:marTop w:val="0"/>
          <w:marBottom w:val="0"/>
          <w:divBdr>
            <w:top w:val="none" w:sz="0" w:space="0" w:color="auto"/>
            <w:left w:val="none" w:sz="0" w:space="0" w:color="auto"/>
            <w:bottom w:val="none" w:sz="0" w:space="0" w:color="auto"/>
            <w:right w:val="none" w:sz="0" w:space="0" w:color="auto"/>
          </w:divBdr>
        </w:div>
        <w:div w:id="1871263902">
          <w:marLeft w:val="0"/>
          <w:marRight w:val="0"/>
          <w:marTop w:val="0"/>
          <w:marBottom w:val="0"/>
          <w:divBdr>
            <w:top w:val="none" w:sz="0" w:space="0" w:color="auto"/>
            <w:left w:val="none" w:sz="0" w:space="0" w:color="auto"/>
            <w:bottom w:val="none" w:sz="0" w:space="0" w:color="auto"/>
            <w:right w:val="none" w:sz="0" w:space="0" w:color="auto"/>
          </w:divBdr>
        </w:div>
      </w:divsChild>
    </w:div>
    <w:div w:id="1833326890">
      <w:bodyDiv w:val="1"/>
      <w:marLeft w:val="0"/>
      <w:marRight w:val="0"/>
      <w:marTop w:val="0"/>
      <w:marBottom w:val="0"/>
      <w:divBdr>
        <w:top w:val="none" w:sz="0" w:space="0" w:color="auto"/>
        <w:left w:val="none" w:sz="0" w:space="0" w:color="auto"/>
        <w:bottom w:val="none" w:sz="0" w:space="0" w:color="auto"/>
        <w:right w:val="none" w:sz="0" w:space="0" w:color="auto"/>
      </w:divBdr>
    </w:div>
    <w:div w:id="1879120767">
      <w:bodyDiv w:val="1"/>
      <w:marLeft w:val="0"/>
      <w:marRight w:val="0"/>
      <w:marTop w:val="0"/>
      <w:marBottom w:val="0"/>
      <w:divBdr>
        <w:top w:val="none" w:sz="0" w:space="0" w:color="auto"/>
        <w:left w:val="none" w:sz="0" w:space="0" w:color="auto"/>
        <w:bottom w:val="none" w:sz="0" w:space="0" w:color="auto"/>
        <w:right w:val="none" w:sz="0" w:space="0" w:color="auto"/>
      </w:divBdr>
    </w:div>
    <w:div w:id="1893536735">
      <w:bodyDiv w:val="1"/>
      <w:marLeft w:val="0"/>
      <w:marRight w:val="0"/>
      <w:marTop w:val="0"/>
      <w:marBottom w:val="0"/>
      <w:divBdr>
        <w:top w:val="none" w:sz="0" w:space="0" w:color="auto"/>
        <w:left w:val="none" w:sz="0" w:space="0" w:color="auto"/>
        <w:bottom w:val="none" w:sz="0" w:space="0" w:color="auto"/>
        <w:right w:val="none" w:sz="0" w:space="0" w:color="auto"/>
      </w:divBdr>
      <w:divsChild>
        <w:div w:id="67383147">
          <w:marLeft w:val="0"/>
          <w:marRight w:val="0"/>
          <w:marTop w:val="0"/>
          <w:marBottom w:val="0"/>
          <w:divBdr>
            <w:top w:val="none" w:sz="0" w:space="0" w:color="auto"/>
            <w:left w:val="none" w:sz="0" w:space="0" w:color="auto"/>
            <w:bottom w:val="none" w:sz="0" w:space="0" w:color="auto"/>
            <w:right w:val="none" w:sz="0" w:space="0" w:color="auto"/>
          </w:divBdr>
        </w:div>
        <w:div w:id="605380571">
          <w:marLeft w:val="0"/>
          <w:marRight w:val="0"/>
          <w:marTop w:val="0"/>
          <w:marBottom w:val="0"/>
          <w:divBdr>
            <w:top w:val="none" w:sz="0" w:space="0" w:color="auto"/>
            <w:left w:val="none" w:sz="0" w:space="0" w:color="auto"/>
            <w:bottom w:val="none" w:sz="0" w:space="0" w:color="auto"/>
            <w:right w:val="none" w:sz="0" w:space="0" w:color="auto"/>
          </w:divBdr>
        </w:div>
        <w:div w:id="655260059">
          <w:marLeft w:val="0"/>
          <w:marRight w:val="0"/>
          <w:marTop w:val="0"/>
          <w:marBottom w:val="0"/>
          <w:divBdr>
            <w:top w:val="none" w:sz="0" w:space="0" w:color="auto"/>
            <w:left w:val="none" w:sz="0" w:space="0" w:color="auto"/>
            <w:bottom w:val="none" w:sz="0" w:space="0" w:color="auto"/>
            <w:right w:val="none" w:sz="0" w:space="0" w:color="auto"/>
          </w:divBdr>
        </w:div>
        <w:div w:id="1046295303">
          <w:marLeft w:val="0"/>
          <w:marRight w:val="0"/>
          <w:marTop w:val="0"/>
          <w:marBottom w:val="0"/>
          <w:divBdr>
            <w:top w:val="none" w:sz="0" w:space="0" w:color="auto"/>
            <w:left w:val="none" w:sz="0" w:space="0" w:color="auto"/>
            <w:bottom w:val="none" w:sz="0" w:space="0" w:color="auto"/>
            <w:right w:val="none" w:sz="0" w:space="0" w:color="auto"/>
          </w:divBdr>
        </w:div>
        <w:div w:id="1096828387">
          <w:marLeft w:val="0"/>
          <w:marRight w:val="0"/>
          <w:marTop w:val="0"/>
          <w:marBottom w:val="0"/>
          <w:divBdr>
            <w:top w:val="none" w:sz="0" w:space="0" w:color="auto"/>
            <w:left w:val="none" w:sz="0" w:space="0" w:color="auto"/>
            <w:bottom w:val="none" w:sz="0" w:space="0" w:color="auto"/>
            <w:right w:val="none" w:sz="0" w:space="0" w:color="auto"/>
          </w:divBdr>
        </w:div>
        <w:div w:id="1205680310">
          <w:marLeft w:val="0"/>
          <w:marRight w:val="0"/>
          <w:marTop w:val="0"/>
          <w:marBottom w:val="0"/>
          <w:divBdr>
            <w:top w:val="none" w:sz="0" w:space="0" w:color="auto"/>
            <w:left w:val="none" w:sz="0" w:space="0" w:color="auto"/>
            <w:bottom w:val="none" w:sz="0" w:space="0" w:color="auto"/>
            <w:right w:val="none" w:sz="0" w:space="0" w:color="auto"/>
          </w:divBdr>
        </w:div>
        <w:div w:id="1307320600">
          <w:marLeft w:val="0"/>
          <w:marRight w:val="0"/>
          <w:marTop w:val="0"/>
          <w:marBottom w:val="0"/>
          <w:divBdr>
            <w:top w:val="none" w:sz="0" w:space="0" w:color="auto"/>
            <w:left w:val="none" w:sz="0" w:space="0" w:color="auto"/>
            <w:bottom w:val="none" w:sz="0" w:space="0" w:color="auto"/>
            <w:right w:val="none" w:sz="0" w:space="0" w:color="auto"/>
          </w:divBdr>
        </w:div>
        <w:div w:id="1308783658">
          <w:marLeft w:val="0"/>
          <w:marRight w:val="0"/>
          <w:marTop w:val="0"/>
          <w:marBottom w:val="0"/>
          <w:divBdr>
            <w:top w:val="none" w:sz="0" w:space="0" w:color="auto"/>
            <w:left w:val="none" w:sz="0" w:space="0" w:color="auto"/>
            <w:bottom w:val="none" w:sz="0" w:space="0" w:color="auto"/>
            <w:right w:val="none" w:sz="0" w:space="0" w:color="auto"/>
          </w:divBdr>
        </w:div>
      </w:divsChild>
    </w:div>
    <w:div w:id="1899974527">
      <w:bodyDiv w:val="1"/>
      <w:marLeft w:val="0"/>
      <w:marRight w:val="0"/>
      <w:marTop w:val="0"/>
      <w:marBottom w:val="0"/>
      <w:divBdr>
        <w:top w:val="none" w:sz="0" w:space="0" w:color="auto"/>
        <w:left w:val="none" w:sz="0" w:space="0" w:color="auto"/>
        <w:bottom w:val="none" w:sz="0" w:space="0" w:color="auto"/>
        <w:right w:val="none" w:sz="0" w:space="0" w:color="auto"/>
      </w:divBdr>
      <w:divsChild>
        <w:div w:id="280185067">
          <w:marLeft w:val="0"/>
          <w:marRight w:val="0"/>
          <w:marTop w:val="420"/>
          <w:marBottom w:val="240"/>
          <w:divBdr>
            <w:top w:val="none" w:sz="0" w:space="0" w:color="auto"/>
            <w:left w:val="none" w:sz="0" w:space="0" w:color="auto"/>
            <w:bottom w:val="none" w:sz="0" w:space="0" w:color="auto"/>
            <w:right w:val="none" w:sz="0" w:space="0" w:color="auto"/>
          </w:divBdr>
        </w:div>
        <w:div w:id="224336407">
          <w:marLeft w:val="0"/>
          <w:marRight w:val="0"/>
          <w:marTop w:val="180"/>
          <w:marBottom w:val="0"/>
          <w:divBdr>
            <w:top w:val="none" w:sz="0" w:space="0" w:color="auto"/>
            <w:left w:val="none" w:sz="0" w:space="0" w:color="auto"/>
            <w:bottom w:val="none" w:sz="0" w:space="0" w:color="auto"/>
            <w:right w:val="none" w:sz="0" w:space="0" w:color="auto"/>
          </w:divBdr>
        </w:div>
      </w:divsChild>
    </w:div>
    <w:div w:id="1900479585">
      <w:bodyDiv w:val="1"/>
      <w:marLeft w:val="0"/>
      <w:marRight w:val="0"/>
      <w:marTop w:val="0"/>
      <w:marBottom w:val="0"/>
      <w:divBdr>
        <w:top w:val="none" w:sz="0" w:space="0" w:color="auto"/>
        <w:left w:val="none" w:sz="0" w:space="0" w:color="auto"/>
        <w:bottom w:val="none" w:sz="0" w:space="0" w:color="auto"/>
        <w:right w:val="none" w:sz="0" w:space="0" w:color="auto"/>
      </w:divBdr>
    </w:div>
    <w:div w:id="1934511566">
      <w:bodyDiv w:val="1"/>
      <w:marLeft w:val="0"/>
      <w:marRight w:val="0"/>
      <w:marTop w:val="0"/>
      <w:marBottom w:val="0"/>
      <w:divBdr>
        <w:top w:val="none" w:sz="0" w:space="0" w:color="auto"/>
        <w:left w:val="none" w:sz="0" w:space="0" w:color="auto"/>
        <w:bottom w:val="none" w:sz="0" w:space="0" w:color="auto"/>
        <w:right w:val="none" w:sz="0" w:space="0" w:color="auto"/>
      </w:divBdr>
    </w:div>
    <w:div w:id="1949044554">
      <w:bodyDiv w:val="1"/>
      <w:marLeft w:val="0"/>
      <w:marRight w:val="0"/>
      <w:marTop w:val="0"/>
      <w:marBottom w:val="0"/>
      <w:divBdr>
        <w:top w:val="none" w:sz="0" w:space="0" w:color="auto"/>
        <w:left w:val="none" w:sz="0" w:space="0" w:color="auto"/>
        <w:bottom w:val="none" w:sz="0" w:space="0" w:color="auto"/>
        <w:right w:val="none" w:sz="0" w:space="0" w:color="auto"/>
      </w:divBdr>
    </w:div>
    <w:div w:id="1967198384">
      <w:bodyDiv w:val="1"/>
      <w:marLeft w:val="0"/>
      <w:marRight w:val="0"/>
      <w:marTop w:val="0"/>
      <w:marBottom w:val="0"/>
      <w:divBdr>
        <w:top w:val="none" w:sz="0" w:space="0" w:color="auto"/>
        <w:left w:val="none" w:sz="0" w:space="0" w:color="auto"/>
        <w:bottom w:val="none" w:sz="0" w:space="0" w:color="auto"/>
        <w:right w:val="none" w:sz="0" w:space="0" w:color="auto"/>
      </w:divBdr>
    </w:div>
    <w:div w:id="1985889636">
      <w:bodyDiv w:val="1"/>
      <w:marLeft w:val="0"/>
      <w:marRight w:val="0"/>
      <w:marTop w:val="0"/>
      <w:marBottom w:val="0"/>
      <w:divBdr>
        <w:top w:val="none" w:sz="0" w:space="0" w:color="auto"/>
        <w:left w:val="none" w:sz="0" w:space="0" w:color="auto"/>
        <w:bottom w:val="none" w:sz="0" w:space="0" w:color="auto"/>
        <w:right w:val="none" w:sz="0" w:space="0" w:color="auto"/>
      </w:divBdr>
    </w:div>
    <w:div w:id="2091388729">
      <w:bodyDiv w:val="1"/>
      <w:marLeft w:val="0"/>
      <w:marRight w:val="0"/>
      <w:marTop w:val="0"/>
      <w:marBottom w:val="0"/>
      <w:divBdr>
        <w:top w:val="none" w:sz="0" w:space="0" w:color="auto"/>
        <w:left w:val="none" w:sz="0" w:space="0" w:color="auto"/>
        <w:bottom w:val="none" w:sz="0" w:space="0" w:color="auto"/>
        <w:right w:val="none" w:sz="0" w:space="0" w:color="auto"/>
      </w:divBdr>
    </w:div>
    <w:div w:id="213046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EC637-B199-4614-A4E4-4F2C603F2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15527</Words>
  <Characters>88509</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2025-06-24T07:19:00Z</dcterms:created>
  <dcterms:modified xsi:type="dcterms:W3CDTF">2025-08-29T08:49:00Z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2025-06-21T20:45:20Z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fbd3e101-5821-4104-8126-2bad0417ca59</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