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94C" w:rsidRDefault="00D679FD" w:rsidP="00D679FD">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6792AA9-2C16-4B2F-8DAE-BC9775976E3A" style="width:455.25pt;height:383.25pt">
            <v:imagedata r:id="rId11" o:title=""/>
          </v:shape>
        </w:pict>
      </w:r>
    </w:p>
    <w:p w:rsidR="009678BA" w:rsidRPr="009678BA" w:rsidRDefault="009678BA" w:rsidP="009678BA">
      <w:pPr>
        <w:pStyle w:val="Pagedecouverture"/>
        <w:rPr>
          <w:noProof/>
        </w:rPr>
        <w:sectPr w:rsidR="009678BA" w:rsidRPr="009678BA" w:rsidSect="00D679FD">
          <w:footerReference w:type="even" r:id="rId12"/>
          <w:footerReference w:type="default" r:id="rId13"/>
          <w:pgSz w:w="11907" w:h="16839"/>
          <w:pgMar w:top="1134" w:right="1417" w:bottom="1134" w:left="1417" w:header="709" w:footer="709" w:gutter="0"/>
          <w:pgNumType w:start="0"/>
          <w:cols w:space="720"/>
          <w:docGrid w:linePitch="360"/>
        </w:sectPr>
      </w:pPr>
    </w:p>
    <w:p w:rsidR="005F1085" w:rsidRPr="009678BA" w:rsidRDefault="005F1085">
      <w:pPr>
        <w:pStyle w:val="Exposdesmotifstitre"/>
        <w:rPr>
          <w:noProof/>
        </w:rPr>
      </w:pPr>
      <w:bookmarkStart w:id="0" w:name="_GoBack"/>
      <w:bookmarkEnd w:id="0"/>
      <w:r w:rsidRPr="009678BA">
        <w:rPr>
          <w:noProof/>
        </w:rPr>
        <w:lastRenderedPageBreak/>
        <w:t>RELAZIONE</w:t>
      </w:r>
    </w:p>
    <w:p w:rsidR="00BE0D22" w:rsidRPr="009678BA" w:rsidRDefault="00BE0D22" w:rsidP="00BE0D22">
      <w:pPr>
        <w:pStyle w:val="ManualHeading1"/>
        <w:rPr>
          <w:noProof/>
        </w:rPr>
      </w:pPr>
      <w:r w:rsidRPr="009678BA">
        <w:rPr>
          <w:noProof/>
        </w:rPr>
        <w:t>1.</w:t>
      </w:r>
      <w:r w:rsidRPr="009678BA">
        <w:rPr>
          <w:noProof/>
        </w:rPr>
        <w:tab/>
        <w:t>CONTESTO DELLA PROPOSTA</w:t>
      </w:r>
    </w:p>
    <w:p w:rsidR="00BE0D22" w:rsidRPr="009678BA" w:rsidRDefault="00BE0D22" w:rsidP="00A065B9">
      <w:pPr>
        <w:pStyle w:val="Bullet0"/>
        <w:numPr>
          <w:ilvl w:val="0"/>
          <w:numId w:val="4"/>
        </w:numPr>
        <w:rPr>
          <w:b/>
          <w:bCs/>
          <w:noProof/>
        </w:rPr>
      </w:pPr>
      <w:r w:rsidRPr="009678BA">
        <w:rPr>
          <w:b/>
          <w:noProof/>
        </w:rPr>
        <w:t>Motivi della proposta</w:t>
      </w:r>
    </w:p>
    <w:p w:rsidR="00BE0D22" w:rsidRPr="009678BA" w:rsidRDefault="6A105A5B" w:rsidP="39812AB3">
      <w:pPr>
        <w:pBdr>
          <w:bar w:val="nil"/>
        </w:pBdr>
        <w:spacing w:before="0" w:after="240"/>
        <w:rPr>
          <w:rFonts w:eastAsia="Times New Roman"/>
          <w:noProof/>
        </w:rPr>
      </w:pPr>
      <w:r w:rsidRPr="009678BA">
        <w:rPr>
          <w:noProof/>
        </w:rPr>
        <w:t>Il sistema di ingressi/uscite (EES), istituito dal regolamento (UE) 2017/2226</w:t>
      </w:r>
      <w:r w:rsidRPr="009678BA">
        <w:rPr>
          <w:rStyle w:val="FootnoteReference"/>
          <w:rFonts w:eastAsia="Times New Roman"/>
          <w:noProof/>
        </w:rPr>
        <w:footnoteReference w:id="2"/>
      </w:r>
      <w:r w:rsidRPr="009678BA">
        <w:rPr>
          <w:noProof/>
        </w:rPr>
        <w:t xml:space="preserve"> (</w:t>
      </w:r>
      <w:r w:rsidR="0000279B">
        <w:rPr>
          <w:noProof/>
        </w:rPr>
        <w:t>"</w:t>
      </w:r>
      <w:r w:rsidRPr="009678BA">
        <w:rPr>
          <w:noProof/>
        </w:rPr>
        <w:t>regolamento</w:t>
      </w:r>
      <w:r w:rsidR="0000279B">
        <w:rPr>
          <w:noProof/>
        </w:rPr>
        <w:t> </w:t>
      </w:r>
      <w:r w:rsidRPr="009678BA">
        <w:rPr>
          <w:noProof/>
        </w:rPr>
        <w:t>EES</w:t>
      </w:r>
      <w:r w:rsidR="0000279B">
        <w:rPr>
          <w:noProof/>
        </w:rPr>
        <w:t>"</w:t>
      </w:r>
      <w:r w:rsidRPr="009678BA">
        <w:rPr>
          <w:noProof/>
        </w:rPr>
        <w:t>), è un elemento fondamentale della gestione delle frontiere dello spazio</w:t>
      </w:r>
      <w:r w:rsidR="0000279B">
        <w:rPr>
          <w:noProof/>
        </w:rPr>
        <w:t> </w:t>
      </w:r>
      <w:r w:rsidRPr="009678BA">
        <w:rPr>
          <w:noProof/>
        </w:rPr>
        <w:t>Schengen. In quanto banca dati centralizzata, l</w:t>
      </w:r>
      <w:r w:rsidR="0000279B">
        <w:rPr>
          <w:noProof/>
        </w:rPr>
        <w:t>'</w:t>
      </w:r>
      <w:r w:rsidRPr="009678BA">
        <w:rPr>
          <w:noProof/>
        </w:rPr>
        <w:t>EES registra gli ingressi, le uscite e i respingimenti dei cittadini di paesi terzi che attraversano le frontiere esterne di 29 Stati membri Schengen per un soggiorno di breve durata. L</w:t>
      </w:r>
      <w:r w:rsidR="0000279B">
        <w:rPr>
          <w:noProof/>
        </w:rPr>
        <w:t>'</w:t>
      </w:r>
      <w:r w:rsidRPr="009678BA">
        <w:rPr>
          <w:noProof/>
        </w:rPr>
        <w:t>EES rappresenta una tappa importante nel percorso dell</w:t>
      </w:r>
      <w:r w:rsidR="0000279B">
        <w:rPr>
          <w:noProof/>
        </w:rPr>
        <w:t>'</w:t>
      </w:r>
      <w:r w:rsidRPr="009678BA">
        <w:rPr>
          <w:noProof/>
        </w:rPr>
        <w:t>UE per migliorare la sicurezza e l</w:t>
      </w:r>
      <w:r w:rsidR="0000279B">
        <w:rPr>
          <w:noProof/>
        </w:rPr>
        <w:t>'</w:t>
      </w:r>
      <w:r w:rsidRPr="009678BA">
        <w:rPr>
          <w:noProof/>
        </w:rPr>
        <w:t>efficienza alle sue frontiere esterne. Per la prima volta, un sistema raccoglierà dati biometrici, quali le immagini del volto e le impronte digitali, dei cittadini di paesi terzi che attraversano le frontiere esterne. L</w:t>
      </w:r>
      <w:r w:rsidR="0000279B">
        <w:rPr>
          <w:noProof/>
        </w:rPr>
        <w:t>'</w:t>
      </w:r>
      <w:r w:rsidRPr="009678BA">
        <w:rPr>
          <w:noProof/>
        </w:rPr>
        <w:t>EES permetterà agli Stati membri Schengen di accedere in tempo reale ai dati personali dei cittadini di paesi terzi e alla cronologia dei loro viaggi, e di verificare se rispettano il termine del soggiorno di breve durata autorizzato nello spazio Schengen. Di conseguenza, l</w:t>
      </w:r>
      <w:r w:rsidR="0000279B">
        <w:rPr>
          <w:noProof/>
        </w:rPr>
        <w:t>'</w:t>
      </w:r>
      <w:r w:rsidRPr="009678BA">
        <w:rPr>
          <w:noProof/>
        </w:rPr>
        <w:t>EES ridurrà notevolmente le probabilità di frode di identità e di soggiorno fuoritermine, rafforzando in ultima analisi la sicurezza dello spazio Schengen.</w:t>
      </w:r>
    </w:p>
    <w:p w:rsidR="00BE0D22" w:rsidRPr="009678BA" w:rsidRDefault="4C41296D" w:rsidP="5418986D">
      <w:pPr>
        <w:spacing w:before="0" w:after="240"/>
        <w:rPr>
          <w:rFonts w:eastAsia="Times New Roman"/>
          <w:noProof/>
        </w:rPr>
      </w:pPr>
      <w:r w:rsidRPr="009678BA">
        <w:rPr>
          <w:noProof/>
        </w:rPr>
        <w:t>Malgrado i notevoli sforzi compiuti dagli Stati membri, dall</w:t>
      </w:r>
      <w:r w:rsidR="0000279B">
        <w:rPr>
          <w:noProof/>
        </w:rPr>
        <w:t>'</w:t>
      </w:r>
      <w:r w:rsidRPr="009678BA">
        <w:rPr>
          <w:noProof/>
        </w:rPr>
        <w:t>Agenzia dell</w:t>
      </w:r>
      <w:r w:rsidR="0000279B">
        <w:rPr>
          <w:noProof/>
        </w:rPr>
        <w:t>'</w:t>
      </w:r>
      <w:r w:rsidRPr="009678BA">
        <w:rPr>
          <w:noProof/>
        </w:rPr>
        <w:t>Unione europea per la gestione operativa dei sistemi IT su larga scala nello spazio di libertà, sicurezza e giustizia (eu-LISA) e dalla Commissione, non è possibile avviare l</w:t>
      </w:r>
      <w:r w:rsidR="0000279B">
        <w:rPr>
          <w:noProof/>
        </w:rPr>
        <w:t>'</w:t>
      </w:r>
      <w:r w:rsidRPr="009678BA">
        <w:rPr>
          <w:noProof/>
        </w:rPr>
        <w:t xml:space="preserve">EES nel quarto trimestre del 2024 come previsto dal Consiglio </w:t>
      </w:r>
      <w:r w:rsidR="0000279B">
        <w:rPr>
          <w:noProof/>
        </w:rPr>
        <w:t>"</w:t>
      </w:r>
      <w:r w:rsidRPr="009678BA">
        <w:rPr>
          <w:noProof/>
        </w:rPr>
        <w:t>Giustizia e affari interni</w:t>
      </w:r>
      <w:r w:rsidR="0000279B">
        <w:rPr>
          <w:noProof/>
        </w:rPr>
        <w:t>"</w:t>
      </w:r>
      <w:r w:rsidRPr="009678BA">
        <w:rPr>
          <w:noProof/>
        </w:rPr>
        <w:t xml:space="preserve"> dell</w:t>
      </w:r>
      <w:r w:rsidR="0000279B">
        <w:rPr>
          <w:noProof/>
        </w:rPr>
        <w:t>'</w:t>
      </w:r>
      <w:r w:rsidRPr="009678BA">
        <w:rPr>
          <w:noProof/>
        </w:rPr>
        <w:t>ottobre 2023</w:t>
      </w:r>
      <w:r w:rsidRPr="009678BA">
        <w:rPr>
          <w:rStyle w:val="FootnoteReference"/>
          <w:rFonts w:eastAsia="Times New Roman"/>
          <w:noProof/>
        </w:rPr>
        <w:footnoteReference w:id="3"/>
      </w:r>
      <w:r w:rsidRPr="009678BA">
        <w:rPr>
          <w:noProof/>
        </w:rPr>
        <w:t>. La Commissione non ha ricevuto tutte le notifiche dagli Stati membri di cui all</w:t>
      </w:r>
      <w:r w:rsidR="0000279B">
        <w:rPr>
          <w:noProof/>
        </w:rPr>
        <w:t>'</w:t>
      </w:r>
      <w:r w:rsidRPr="009678BA">
        <w:rPr>
          <w:noProof/>
        </w:rPr>
        <w:t>articolo 66, paragrafo 1, lettera</w:t>
      </w:r>
      <w:r w:rsidR="0000279B">
        <w:rPr>
          <w:noProof/>
        </w:rPr>
        <w:t> </w:t>
      </w:r>
      <w:r w:rsidRPr="009678BA">
        <w:rPr>
          <w:noProof/>
        </w:rPr>
        <w:t>c), del regolamento EES, la cui trasmissione costituisce un requisito giuridico per l</w:t>
      </w:r>
      <w:r w:rsidR="0000279B">
        <w:rPr>
          <w:noProof/>
        </w:rPr>
        <w:t>'</w:t>
      </w:r>
      <w:r w:rsidRPr="009678BA">
        <w:rPr>
          <w:noProof/>
        </w:rPr>
        <w:t>entrata in funzione dell</w:t>
      </w:r>
      <w:r w:rsidR="0000279B">
        <w:rPr>
          <w:noProof/>
        </w:rPr>
        <w:t>'</w:t>
      </w:r>
      <w:r w:rsidRPr="009678BA">
        <w:rPr>
          <w:noProof/>
        </w:rPr>
        <w:t>EES. Sebbene un gran numero di Stati membri abbia comunicato alla Commissione la propria disponibilità, alcuni Stati membri hanno dichiarato di non essere in grado di farlo. Allo stesso tempo, avviare completamente le operazioni da un giorno all</w:t>
      </w:r>
      <w:r w:rsidR="0000279B">
        <w:rPr>
          <w:noProof/>
        </w:rPr>
        <w:t>'</w:t>
      </w:r>
      <w:r w:rsidRPr="009678BA">
        <w:rPr>
          <w:noProof/>
        </w:rPr>
        <w:t>altro costituirebbe un fattore di rischio per la resilienza di un sistema informatico complesso quale il sistema centrale dell</w:t>
      </w:r>
      <w:r w:rsidR="0000279B">
        <w:rPr>
          <w:noProof/>
        </w:rPr>
        <w:t>'</w:t>
      </w:r>
      <w:r w:rsidRPr="009678BA">
        <w:rPr>
          <w:noProof/>
        </w:rPr>
        <w:t xml:space="preserve">EES. </w:t>
      </w:r>
    </w:p>
    <w:p w:rsidR="00BE0D22" w:rsidRPr="009678BA" w:rsidRDefault="00BE0D22" w:rsidP="00BE0D22">
      <w:pPr>
        <w:pBdr>
          <w:top w:val="nil"/>
          <w:left w:val="nil"/>
          <w:bottom w:val="nil"/>
          <w:right w:val="nil"/>
          <w:between w:val="nil"/>
          <w:bar w:val="nil"/>
        </w:pBdr>
        <w:spacing w:before="0" w:after="240"/>
        <w:rPr>
          <w:rFonts w:eastAsia="Times New Roman"/>
          <w:noProof/>
        </w:rPr>
      </w:pPr>
      <w:r w:rsidRPr="009678BA">
        <w:rPr>
          <w:noProof/>
        </w:rPr>
        <w:t>Di conseguenza, i soggetti coinvolti nel funzionamento dell</w:t>
      </w:r>
      <w:r w:rsidR="0000279B">
        <w:rPr>
          <w:noProof/>
        </w:rPr>
        <w:t>'</w:t>
      </w:r>
      <w:r w:rsidRPr="009678BA">
        <w:rPr>
          <w:noProof/>
        </w:rPr>
        <w:t>EES hanno dichiarato di preferire che l</w:t>
      </w:r>
      <w:r w:rsidR="0000279B">
        <w:rPr>
          <w:noProof/>
        </w:rPr>
        <w:t>'</w:t>
      </w:r>
      <w:r w:rsidRPr="009678BA">
        <w:rPr>
          <w:noProof/>
        </w:rPr>
        <w:t>introduzione di nuovi processi alle frontiere esterne sia preceduta da un periodo di adeguamento per le autorità nazionali e i viaggiatori, al fine di garantire un maggiore grado di certezza. La piena entrata in funzione di un nuovo sistema informatico su larga scala presso tutti i valichi di frontiera, che impone adeguamenti tecnici in tempo reale, potrebbe comportare rischi per la sicurezza e la fluidità degli spostamenti, soprattutto nelle zone in cui si riscontrano già difficoltà dovute alle attuali infrastrutture, alla mancanza di spazio o ad altri vincoli. Queste difficoltà sono aggravate dalle differenze tra gli Stati membri in merito alle modalità di attuazione dell</w:t>
      </w:r>
      <w:r w:rsidR="0000279B">
        <w:rPr>
          <w:noProof/>
        </w:rPr>
        <w:t>'</w:t>
      </w:r>
      <w:r w:rsidRPr="009678BA">
        <w:rPr>
          <w:noProof/>
        </w:rPr>
        <w:t>EES, dovute a loro volta alla diversità dei valichi di frontiera e ai diversi approcci riguardo all</w:t>
      </w:r>
      <w:r w:rsidR="0000279B">
        <w:rPr>
          <w:noProof/>
        </w:rPr>
        <w:t>'</w:t>
      </w:r>
      <w:r w:rsidRPr="009678BA">
        <w:rPr>
          <w:noProof/>
        </w:rPr>
        <w:t xml:space="preserve">automazione e alla diffusione delle nuove tecnologie. </w:t>
      </w:r>
    </w:p>
    <w:p w:rsidR="00BE0D22" w:rsidRPr="009678BA" w:rsidRDefault="00BE0D22" w:rsidP="00BE0D22">
      <w:pPr>
        <w:pBdr>
          <w:top w:val="nil"/>
          <w:left w:val="nil"/>
          <w:bottom w:val="nil"/>
          <w:right w:val="nil"/>
          <w:between w:val="nil"/>
          <w:bar w:val="nil"/>
        </w:pBdr>
        <w:spacing w:before="0" w:after="240"/>
        <w:rPr>
          <w:rFonts w:eastAsia="Times New Roman"/>
          <w:noProof/>
        </w:rPr>
      </w:pPr>
      <w:r w:rsidRPr="009678BA">
        <w:rPr>
          <w:noProof/>
        </w:rPr>
        <w:t>Il regolamento EES permette tuttavia solo un</w:t>
      </w:r>
      <w:r w:rsidR="0000279B">
        <w:rPr>
          <w:noProof/>
        </w:rPr>
        <w:t>'</w:t>
      </w:r>
      <w:r w:rsidRPr="009678BA">
        <w:rPr>
          <w:noProof/>
        </w:rPr>
        <w:t>entrata in funzione completa del sistema, che richiede che tutti gli Stati membri inizino a usarlo integralmente e simultaneamente nei confronti di tutti i viaggiatori soggetti a registrazione nell</w:t>
      </w:r>
      <w:r w:rsidR="0000279B">
        <w:rPr>
          <w:noProof/>
        </w:rPr>
        <w:t>'</w:t>
      </w:r>
      <w:r w:rsidRPr="009678BA">
        <w:rPr>
          <w:noProof/>
        </w:rPr>
        <w:t>EES presso tutti i loro valichi di frontiera esterni. Non prevede la possibilità di un periodo di adeguamento.</w:t>
      </w:r>
    </w:p>
    <w:p w:rsidR="00BE0D22" w:rsidRPr="009678BA" w:rsidRDefault="00BE0D22" w:rsidP="00BE0D22">
      <w:pPr>
        <w:pBdr>
          <w:bar w:val="nil"/>
        </w:pBdr>
        <w:spacing w:before="0" w:after="240"/>
        <w:rPr>
          <w:rFonts w:eastAsia="Times New Roman"/>
          <w:noProof/>
        </w:rPr>
      </w:pPr>
      <w:r w:rsidRPr="009678BA">
        <w:rPr>
          <w:noProof/>
        </w:rPr>
        <w:t>Da quanto spiegato sopra sembra che gli obiettivi dell</w:t>
      </w:r>
      <w:r w:rsidR="0000279B">
        <w:rPr>
          <w:noProof/>
        </w:rPr>
        <w:t>'</w:t>
      </w:r>
      <w:r w:rsidRPr="009678BA">
        <w:rPr>
          <w:noProof/>
        </w:rPr>
        <w:t>EES possano essere conseguiti in modo più efficace e con maggiore certezza se viene introdotto un certo grado di flessibilità nel periodo di entrata in funzione del sistema. A questo scopo si ritiene necessario adottare un regolamento che consenta di avviare gradualmente il sistema nel corso di un periodo limitato. La presente proposta di regolamento introduce una deroga al regolamento EES nella misura necessaria a consentire un</w:t>
      </w:r>
      <w:r w:rsidR="0000279B">
        <w:rPr>
          <w:noProof/>
        </w:rPr>
        <w:t>'</w:t>
      </w:r>
      <w:r w:rsidRPr="009678BA">
        <w:rPr>
          <w:noProof/>
        </w:rPr>
        <w:t>entrata in funzione graduale, permettendo di mantenere i risultati dell</w:t>
      </w:r>
      <w:r w:rsidR="0000279B">
        <w:rPr>
          <w:noProof/>
        </w:rPr>
        <w:t>'</w:t>
      </w:r>
      <w:r w:rsidRPr="009678BA">
        <w:rPr>
          <w:noProof/>
        </w:rPr>
        <w:t>impegno profuso sia da eu-LISA che dagli Stati membri e nel contempo di conseguire gli obiettivi dell</w:t>
      </w:r>
      <w:r w:rsidR="0000279B">
        <w:rPr>
          <w:noProof/>
        </w:rPr>
        <w:t>'</w:t>
      </w:r>
      <w:r w:rsidRPr="009678BA">
        <w:rPr>
          <w:noProof/>
        </w:rPr>
        <w:t>EES: modernizzare la gestione delle frontiere esterne e contribuire alla sicurezza interna dell</w:t>
      </w:r>
      <w:r w:rsidR="0000279B">
        <w:rPr>
          <w:noProof/>
        </w:rPr>
        <w:t>'</w:t>
      </w:r>
      <w:r w:rsidRPr="009678BA">
        <w:rPr>
          <w:noProof/>
        </w:rPr>
        <w:t>Unione europea.</w:t>
      </w:r>
    </w:p>
    <w:p w:rsidR="00BE0D22" w:rsidRPr="009678BA" w:rsidRDefault="00BE0D22" w:rsidP="00BE0D22">
      <w:pPr>
        <w:pBdr>
          <w:bar w:val="nil"/>
        </w:pBdr>
        <w:rPr>
          <w:rFonts w:eastAsia="Times New Roman"/>
          <w:noProof/>
        </w:rPr>
      </w:pPr>
      <w:r w:rsidRPr="009678BA">
        <w:rPr>
          <w:noProof/>
        </w:rPr>
        <w:t>Il regolamento proposto offre inoltre un approccio flessibile che soddisfa le diverse esigenze degli Stati membri, permettendo a quelli che lo desiderano di attuarlo gradualmente e agli altri di avviare pienamente le attività fin dal primo giorno. Occorre tuttavia tenere presente che l</w:t>
      </w:r>
      <w:r w:rsidR="0000279B">
        <w:rPr>
          <w:noProof/>
        </w:rPr>
        <w:t>'</w:t>
      </w:r>
      <w:r w:rsidRPr="009678BA">
        <w:rPr>
          <w:noProof/>
        </w:rPr>
        <w:t xml:space="preserve">EES produrrà i suoi pieni vantaggi soltanto quando sarà applicato integralmente da tutti gli Stati membri. </w:t>
      </w:r>
    </w:p>
    <w:p w:rsidR="00BE0D22" w:rsidRPr="009678BA" w:rsidRDefault="00BE0D22" w:rsidP="00BE0D22">
      <w:pPr>
        <w:pBdr>
          <w:bar w:val="nil"/>
        </w:pBdr>
        <w:spacing w:before="0" w:after="240"/>
        <w:rPr>
          <w:rFonts w:eastAsia="Times New Roman"/>
          <w:noProof/>
        </w:rPr>
      </w:pPr>
      <w:r w:rsidRPr="009678BA">
        <w:rPr>
          <w:noProof/>
        </w:rPr>
        <w:t>La presente proposta introduce anche misure che permettono agli Stati membri di gestire efficacemente circostanze eccezionali, quali problemi tecnici o periodi di punta dei viaggi. Per</w:t>
      </w:r>
      <w:r w:rsidR="0000279B">
        <w:rPr>
          <w:noProof/>
        </w:rPr>
        <w:t> </w:t>
      </w:r>
      <w:r w:rsidRPr="009678BA">
        <w:rPr>
          <w:noProof/>
        </w:rPr>
        <w:t>attenuare tali rischi, gli Stati membri possono sospendere l</w:t>
      </w:r>
      <w:r w:rsidR="0000279B">
        <w:rPr>
          <w:noProof/>
        </w:rPr>
        <w:t>'</w:t>
      </w:r>
      <w:r w:rsidRPr="009678BA">
        <w:rPr>
          <w:noProof/>
        </w:rPr>
        <w:t>uso del sistema, in tutto o in parte, per un breve periodo di tempo durante la fase di entrata in funzione graduale. Tale</w:t>
      </w:r>
      <w:r w:rsidR="0000279B">
        <w:rPr>
          <w:noProof/>
        </w:rPr>
        <w:t> </w:t>
      </w:r>
      <w:r w:rsidRPr="009678BA">
        <w:rPr>
          <w:noProof/>
        </w:rPr>
        <w:t>meccanismo sarà mantenuto per un periodo limitato anche dopo l</w:t>
      </w:r>
      <w:r w:rsidR="0000279B">
        <w:rPr>
          <w:noProof/>
        </w:rPr>
        <w:t>'</w:t>
      </w:r>
      <w:r w:rsidRPr="009678BA">
        <w:rPr>
          <w:noProof/>
        </w:rPr>
        <w:t>entrata in funzione completa.</w:t>
      </w:r>
    </w:p>
    <w:p w:rsidR="00BE0D22" w:rsidRPr="009678BA" w:rsidRDefault="006108EE" w:rsidP="00BE0D22">
      <w:pPr>
        <w:spacing w:line="259" w:lineRule="auto"/>
        <w:rPr>
          <w:rFonts w:eastAsia="Times New Roman"/>
          <w:noProof/>
        </w:rPr>
      </w:pPr>
      <w:r w:rsidRPr="009678BA">
        <w:rPr>
          <w:noProof/>
        </w:rPr>
        <w:t>Negli scambi a livello di esperti e a livello tecnico, nonché in seno al consiglio di amministrazione di eu-LISA, la maggior parte degli Stati membri si è dichiarata favorevole a un</w:t>
      </w:r>
      <w:r w:rsidR="0000279B">
        <w:rPr>
          <w:noProof/>
        </w:rPr>
        <w:t>'</w:t>
      </w:r>
      <w:r w:rsidRPr="009678BA">
        <w:rPr>
          <w:noProof/>
        </w:rPr>
        <w:t>entrata in funzione graduale e ha riconosciuto che ciò consentirebbe di attuare meglio le nuove norme sull</w:t>
      </w:r>
      <w:r w:rsidR="0000279B">
        <w:rPr>
          <w:noProof/>
        </w:rPr>
        <w:t>'</w:t>
      </w:r>
      <w:r w:rsidRPr="009678BA">
        <w:rPr>
          <w:noProof/>
        </w:rPr>
        <w:t>EES alle frontiere esterne. L</w:t>
      </w:r>
      <w:r w:rsidR="0000279B">
        <w:rPr>
          <w:noProof/>
        </w:rPr>
        <w:t>'</w:t>
      </w:r>
      <w:r w:rsidRPr="009678BA">
        <w:rPr>
          <w:noProof/>
        </w:rPr>
        <w:t>approccio graduale è stato accolto con favore anche dalla maggior parte dei vettori e degli operatori delle infrastrutture che ospitano valichi di frontiera, nel corso di una riunione specificamente dedicata a tali portatori di interessi. Gli</w:t>
      </w:r>
      <w:r w:rsidR="0000279B">
        <w:rPr>
          <w:noProof/>
        </w:rPr>
        <w:t> </w:t>
      </w:r>
      <w:r w:rsidRPr="009678BA">
        <w:rPr>
          <w:noProof/>
        </w:rPr>
        <w:t>Stati membri dovrebbero provvedere a un coordinamento adeguato con gli operatori delle infrastrutture dei valichi di frontiera presso i quali è introdotto l</w:t>
      </w:r>
      <w:r w:rsidR="0000279B">
        <w:rPr>
          <w:noProof/>
        </w:rPr>
        <w:t>'</w:t>
      </w:r>
      <w:r w:rsidRPr="009678BA">
        <w:rPr>
          <w:noProof/>
        </w:rPr>
        <w:t>EES. Dovrebbero inoltre garantire la trasparenza in merito all</w:t>
      </w:r>
      <w:r w:rsidR="0000279B">
        <w:rPr>
          <w:noProof/>
        </w:rPr>
        <w:t>'</w:t>
      </w:r>
      <w:r w:rsidRPr="009678BA">
        <w:rPr>
          <w:noProof/>
        </w:rPr>
        <w:t>introduzione dell</w:t>
      </w:r>
      <w:r w:rsidR="0000279B">
        <w:rPr>
          <w:noProof/>
        </w:rPr>
        <w:t>'</w:t>
      </w:r>
      <w:r w:rsidRPr="009678BA">
        <w:rPr>
          <w:noProof/>
        </w:rPr>
        <w:t xml:space="preserve">EES ai loro valichi di frontiera esterni e provvedere affinché le misure siano effettivamente comunicate sia ai vettori che ai viaggiatori. </w:t>
      </w:r>
    </w:p>
    <w:p w:rsidR="00BE0D22" w:rsidRPr="009678BA" w:rsidRDefault="00BE0D22" w:rsidP="006F5F3B">
      <w:pPr>
        <w:pStyle w:val="Bullet0"/>
        <w:rPr>
          <w:b/>
          <w:bCs/>
          <w:noProof/>
          <w:bdr w:val="nil"/>
        </w:rPr>
      </w:pPr>
      <w:r w:rsidRPr="009678BA">
        <w:rPr>
          <w:b/>
          <w:noProof/>
          <w:bdr w:val="nil"/>
        </w:rPr>
        <w:t>Obiettivi della proposta</w:t>
      </w:r>
    </w:p>
    <w:p w:rsidR="00BE0D22" w:rsidRPr="009678BA" w:rsidRDefault="00BE0D22" w:rsidP="00BE0D22">
      <w:pPr>
        <w:rPr>
          <w:noProof/>
        </w:rPr>
      </w:pPr>
      <w:r w:rsidRPr="009678BA">
        <w:rPr>
          <w:noProof/>
        </w:rPr>
        <w:t>Gli obiettivi generali della presente proposta derivano dagli obiettivi, basati sul trattato, di migliorare ulteriormente la gestione delle frontiere esterne dello spazio Schengen iniziando ad applicare quanto prima le norme armonizzate dell</w:t>
      </w:r>
      <w:r w:rsidR="0000279B">
        <w:rPr>
          <w:noProof/>
        </w:rPr>
        <w:t>'</w:t>
      </w:r>
      <w:r w:rsidRPr="009678BA">
        <w:rPr>
          <w:noProof/>
        </w:rPr>
        <w:t>EES sugli spostamenti transfrontalieri, e contribuire in tal modo alla sicurezza interna dell</w:t>
      </w:r>
      <w:r w:rsidR="0000279B">
        <w:rPr>
          <w:noProof/>
        </w:rPr>
        <w:t>'</w:t>
      </w:r>
      <w:r w:rsidRPr="009678BA">
        <w:rPr>
          <w:noProof/>
        </w:rPr>
        <w:t>Unione europea.</w:t>
      </w:r>
    </w:p>
    <w:p w:rsidR="00BE0D22" w:rsidRPr="009678BA" w:rsidRDefault="00BE0D22" w:rsidP="00BE0D22">
      <w:pPr>
        <w:rPr>
          <w:noProof/>
        </w:rPr>
      </w:pPr>
      <w:r w:rsidRPr="009678BA">
        <w:rPr>
          <w:noProof/>
        </w:rPr>
        <w:t>La presente iniziativa stabilisce le basi per un</w:t>
      </w:r>
      <w:r w:rsidR="0000279B">
        <w:rPr>
          <w:noProof/>
        </w:rPr>
        <w:t>'</w:t>
      </w:r>
      <w:r w:rsidRPr="009678BA">
        <w:rPr>
          <w:noProof/>
        </w:rPr>
        <w:t>entrata in funzione graduale dell</w:t>
      </w:r>
      <w:r w:rsidR="0000279B">
        <w:rPr>
          <w:noProof/>
        </w:rPr>
        <w:t>'</w:t>
      </w:r>
      <w:r w:rsidRPr="009678BA">
        <w:rPr>
          <w:noProof/>
        </w:rPr>
        <w:t>EES, derogando temporaneamente a talune disposizioni del regolamento EES e del regolamento (UE) 2016/399 (</w:t>
      </w:r>
      <w:r w:rsidR="0000279B">
        <w:rPr>
          <w:noProof/>
        </w:rPr>
        <w:t>"</w:t>
      </w:r>
      <w:r w:rsidRPr="009678BA">
        <w:rPr>
          <w:noProof/>
        </w:rPr>
        <w:t>codice frontiere Schengen</w:t>
      </w:r>
      <w:r w:rsidR="0000279B">
        <w:rPr>
          <w:noProof/>
        </w:rPr>
        <w:t>"</w:t>
      </w:r>
      <w:r w:rsidRPr="009678BA">
        <w:rPr>
          <w:rStyle w:val="FootnoteReference"/>
          <w:noProof/>
        </w:rPr>
        <w:footnoteReference w:id="4"/>
      </w:r>
      <w:r w:rsidRPr="009678BA">
        <w:rPr>
          <w:noProof/>
        </w:rPr>
        <w:t xml:space="preserve">) che impongono agli Stati membri di utilizzare pienamente il sistema. </w:t>
      </w:r>
    </w:p>
    <w:p w:rsidR="00BE0D22" w:rsidRPr="009678BA" w:rsidRDefault="00BE0D22" w:rsidP="00BE0D22">
      <w:pPr>
        <w:rPr>
          <w:noProof/>
        </w:rPr>
      </w:pPr>
      <w:r w:rsidRPr="009678BA">
        <w:rPr>
          <w:noProof/>
        </w:rPr>
        <w:t>L</w:t>
      </w:r>
      <w:r w:rsidR="0000279B">
        <w:rPr>
          <w:noProof/>
        </w:rPr>
        <w:t>'</w:t>
      </w:r>
      <w:r w:rsidRPr="009678BA">
        <w:rPr>
          <w:noProof/>
        </w:rPr>
        <w:t>obiettivo generale della proposta è favorire l</w:t>
      </w:r>
      <w:r w:rsidR="0000279B">
        <w:rPr>
          <w:noProof/>
        </w:rPr>
        <w:t>'</w:t>
      </w:r>
      <w:r w:rsidRPr="009678BA">
        <w:rPr>
          <w:noProof/>
        </w:rPr>
        <w:t>operatività del regolamento EES, permettendo così agli Stati membri di conseguire gli obiettivi del sistema stabiliti in tale regolamento in modo tempestivo ed efficiente.</w:t>
      </w:r>
    </w:p>
    <w:p w:rsidR="00BE0D22" w:rsidRPr="009678BA" w:rsidRDefault="00BE0D22" w:rsidP="00BE0D22">
      <w:pPr>
        <w:spacing w:line="259" w:lineRule="auto"/>
        <w:rPr>
          <w:noProof/>
        </w:rPr>
      </w:pPr>
      <w:r w:rsidRPr="009678BA">
        <w:rPr>
          <w:noProof/>
        </w:rPr>
        <w:t>Gli obiettivi specifici della proposta sono i seguenti:</w:t>
      </w:r>
    </w:p>
    <w:p w:rsidR="00BE0D22" w:rsidRPr="009678BA" w:rsidRDefault="00425D1B" w:rsidP="00425D1B">
      <w:pPr>
        <w:pStyle w:val="ManualNumPar1"/>
        <w:rPr>
          <w:noProof/>
        </w:rPr>
      </w:pPr>
      <w:r w:rsidRPr="00425D1B">
        <w:rPr>
          <w:noProof/>
        </w:rPr>
        <w:t>1.</w:t>
      </w:r>
      <w:r w:rsidRPr="00425D1B">
        <w:rPr>
          <w:noProof/>
        </w:rPr>
        <w:tab/>
      </w:r>
      <w:r w:rsidR="006D5356" w:rsidRPr="009678BA">
        <w:rPr>
          <w:noProof/>
        </w:rPr>
        <w:t>offrire agli Stati membri la flessibilità di iniziare a usare l</w:t>
      </w:r>
      <w:r w:rsidR="0000279B">
        <w:rPr>
          <w:noProof/>
        </w:rPr>
        <w:t>'</w:t>
      </w:r>
      <w:r w:rsidR="006D5356" w:rsidRPr="009678BA">
        <w:rPr>
          <w:noProof/>
        </w:rPr>
        <w:t>EES in funzione del loro livello di preparazione, in linea con gli standard elevati dell</w:t>
      </w:r>
      <w:r w:rsidR="0000279B">
        <w:rPr>
          <w:noProof/>
        </w:rPr>
        <w:t>'</w:t>
      </w:r>
      <w:r w:rsidR="006D5356" w:rsidRPr="009678BA">
        <w:rPr>
          <w:noProof/>
        </w:rPr>
        <w:t>EES riguardo all</w:t>
      </w:r>
      <w:r w:rsidR="0000279B">
        <w:rPr>
          <w:noProof/>
        </w:rPr>
        <w:t>'</w:t>
      </w:r>
      <w:r w:rsidR="006D5356" w:rsidRPr="009678BA">
        <w:rPr>
          <w:noProof/>
        </w:rPr>
        <w:t>utilizzo di attrezzature tecnologicamente avanzate per la raccolta dei dati;</w:t>
      </w:r>
    </w:p>
    <w:p w:rsidR="00BE0D22" w:rsidRPr="009678BA" w:rsidRDefault="00425D1B" w:rsidP="00425D1B">
      <w:pPr>
        <w:pStyle w:val="ManualNumPar1"/>
        <w:rPr>
          <w:noProof/>
        </w:rPr>
      </w:pPr>
      <w:r w:rsidRPr="00425D1B">
        <w:rPr>
          <w:noProof/>
        </w:rPr>
        <w:t>1.</w:t>
      </w:r>
      <w:r w:rsidRPr="00425D1B">
        <w:rPr>
          <w:noProof/>
        </w:rPr>
        <w:tab/>
      </w:r>
      <w:r w:rsidR="006D5356" w:rsidRPr="009678BA">
        <w:rPr>
          <w:noProof/>
        </w:rPr>
        <w:t>agevolare l</w:t>
      </w:r>
      <w:r w:rsidR="0000279B">
        <w:rPr>
          <w:noProof/>
        </w:rPr>
        <w:t>'</w:t>
      </w:r>
      <w:r w:rsidR="006D5356" w:rsidRPr="009678BA">
        <w:rPr>
          <w:noProof/>
        </w:rPr>
        <w:t>introduzione di adeguamenti tecnici e operativi durante il primo periodo di funzionamento dell</w:t>
      </w:r>
      <w:r w:rsidR="0000279B">
        <w:rPr>
          <w:noProof/>
        </w:rPr>
        <w:t>'</w:t>
      </w:r>
      <w:r w:rsidR="006D5356" w:rsidRPr="009678BA">
        <w:rPr>
          <w:noProof/>
        </w:rPr>
        <w:t>EES consentendo l</w:t>
      </w:r>
      <w:r w:rsidR="0000279B">
        <w:rPr>
          <w:noProof/>
        </w:rPr>
        <w:t>'</w:t>
      </w:r>
      <w:r w:rsidR="006D5356" w:rsidRPr="009678BA">
        <w:rPr>
          <w:noProof/>
        </w:rPr>
        <w:t>avvio graduale del sistema;</w:t>
      </w:r>
    </w:p>
    <w:p w:rsidR="00BE0D22" w:rsidRPr="009678BA" w:rsidRDefault="00425D1B" w:rsidP="00425D1B">
      <w:pPr>
        <w:pStyle w:val="ManualNumPar1"/>
        <w:rPr>
          <w:noProof/>
        </w:rPr>
      </w:pPr>
      <w:r w:rsidRPr="00425D1B">
        <w:rPr>
          <w:noProof/>
        </w:rPr>
        <w:t>2.</w:t>
      </w:r>
      <w:r w:rsidRPr="00425D1B">
        <w:rPr>
          <w:noProof/>
        </w:rPr>
        <w:tab/>
      </w:r>
      <w:r w:rsidR="006D5356" w:rsidRPr="009678BA">
        <w:rPr>
          <w:noProof/>
        </w:rPr>
        <w:t>gestire meglio ed evitare potenziali lunghi tempi di attesa alle frontiere esterne;</w:t>
      </w:r>
    </w:p>
    <w:p w:rsidR="00BE0D22" w:rsidRPr="009678BA" w:rsidRDefault="00425D1B" w:rsidP="00425D1B">
      <w:pPr>
        <w:pStyle w:val="ManualNumPar1"/>
        <w:rPr>
          <w:noProof/>
        </w:rPr>
      </w:pPr>
      <w:r w:rsidRPr="00425D1B">
        <w:rPr>
          <w:noProof/>
        </w:rPr>
        <w:t>3.</w:t>
      </w:r>
      <w:r w:rsidRPr="00425D1B">
        <w:rPr>
          <w:noProof/>
        </w:rPr>
        <w:tab/>
      </w:r>
      <w:r w:rsidR="006D5356" w:rsidRPr="009678BA">
        <w:rPr>
          <w:noProof/>
        </w:rPr>
        <w:t>migliorare la situazione attuale garantendo che gli utenti finali, come le guardie di frontiera, i funzionari incaricati dell</w:t>
      </w:r>
      <w:r w:rsidR="0000279B">
        <w:rPr>
          <w:noProof/>
        </w:rPr>
        <w:t>'</w:t>
      </w:r>
      <w:r w:rsidR="006D5356" w:rsidRPr="009678BA">
        <w:rPr>
          <w:noProof/>
        </w:rPr>
        <w:t>immigrazione, le autorità competenti per i visti e i funzionari delle autorità di contrasto, abbiano accesso alle informazioni più aggiornate sull</w:t>
      </w:r>
      <w:r w:rsidR="0000279B">
        <w:rPr>
          <w:noProof/>
        </w:rPr>
        <w:t>'</w:t>
      </w:r>
      <w:r w:rsidR="006D5356" w:rsidRPr="009678BA">
        <w:rPr>
          <w:noProof/>
        </w:rPr>
        <w:t>identità dei viaggiatori anche se i dati registrati nel sistema sono incompleti a causa dell</w:t>
      </w:r>
      <w:r w:rsidR="0000279B">
        <w:rPr>
          <w:noProof/>
        </w:rPr>
        <w:t>'</w:t>
      </w:r>
      <w:r w:rsidR="006D5356" w:rsidRPr="009678BA">
        <w:rPr>
          <w:noProof/>
        </w:rPr>
        <w:t>introduzione graduale dell</w:t>
      </w:r>
      <w:r w:rsidR="0000279B">
        <w:rPr>
          <w:noProof/>
        </w:rPr>
        <w:t>'</w:t>
      </w:r>
      <w:r w:rsidR="006D5356" w:rsidRPr="009678BA">
        <w:rPr>
          <w:noProof/>
        </w:rPr>
        <w:t>EES;</w:t>
      </w:r>
    </w:p>
    <w:p w:rsidR="00BE0D22" w:rsidRPr="009678BA" w:rsidRDefault="00425D1B" w:rsidP="00425D1B">
      <w:pPr>
        <w:pStyle w:val="ManualNumPar1"/>
        <w:rPr>
          <w:noProof/>
        </w:rPr>
      </w:pPr>
      <w:r w:rsidRPr="00425D1B">
        <w:rPr>
          <w:noProof/>
        </w:rPr>
        <w:t>4.</w:t>
      </w:r>
      <w:r w:rsidRPr="00425D1B">
        <w:rPr>
          <w:noProof/>
        </w:rPr>
        <w:tab/>
      </w:r>
      <w:r w:rsidR="006D5356" w:rsidRPr="009678BA">
        <w:rPr>
          <w:noProof/>
        </w:rPr>
        <w:t>fare in modo che gli Stati membri dispongano di soluzioni per affrontare situazioni impreviste che potrebbero verificarsi dopo l</w:t>
      </w:r>
      <w:r w:rsidR="0000279B">
        <w:rPr>
          <w:noProof/>
        </w:rPr>
        <w:t>'</w:t>
      </w:r>
      <w:r w:rsidR="006D5356" w:rsidRPr="009678BA">
        <w:rPr>
          <w:noProof/>
        </w:rPr>
        <w:t>entrata in funzione dell</w:t>
      </w:r>
      <w:r w:rsidR="0000279B">
        <w:rPr>
          <w:noProof/>
        </w:rPr>
        <w:t>'</w:t>
      </w:r>
      <w:r w:rsidR="006D5356" w:rsidRPr="009678BA">
        <w:rPr>
          <w:noProof/>
        </w:rPr>
        <w:t xml:space="preserve">EES, al fine di evitare perturbazioni alle frontiere esterne e lunghi tempi di attesa; </w:t>
      </w:r>
    </w:p>
    <w:p w:rsidR="00BE0D22" w:rsidRPr="009678BA" w:rsidRDefault="00425D1B" w:rsidP="00425D1B">
      <w:pPr>
        <w:pStyle w:val="ManualNumPar1"/>
        <w:rPr>
          <w:noProof/>
        </w:rPr>
      </w:pPr>
      <w:r w:rsidRPr="00425D1B">
        <w:rPr>
          <w:noProof/>
        </w:rPr>
        <w:t>5.</w:t>
      </w:r>
      <w:r w:rsidRPr="00425D1B">
        <w:rPr>
          <w:noProof/>
        </w:rPr>
        <w:tab/>
      </w:r>
      <w:r w:rsidR="006D5356" w:rsidRPr="009678BA">
        <w:rPr>
          <w:noProof/>
        </w:rPr>
        <w:t>permettere alle autorità nazionali, ai viaggiatori e ai vettori di adeguarsi ai nuovi processi e alle nuove tecnologie di gestione delle frontiere;</w:t>
      </w:r>
    </w:p>
    <w:p w:rsidR="00BE0D22" w:rsidRPr="009678BA" w:rsidRDefault="00425D1B" w:rsidP="00425D1B">
      <w:pPr>
        <w:pStyle w:val="ManualNumPar1"/>
        <w:rPr>
          <w:noProof/>
        </w:rPr>
      </w:pPr>
      <w:r w:rsidRPr="00425D1B">
        <w:rPr>
          <w:noProof/>
        </w:rPr>
        <w:t>6.</w:t>
      </w:r>
      <w:r w:rsidRPr="00425D1B">
        <w:rPr>
          <w:noProof/>
        </w:rPr>
        <w:tab/>
      </w:r>
      <w:r w:rsidR="006D5356" w:rsidRPr="009678BA">
        <w:rPr>
          <w:noProof/>
        </w:rPr>
        <w:t>preservare i grandi investimenti effettuati, soprattutto in termini di infrastrutture, attrezzature e risorse umane, in preparazione dell</w:t>
      </w:r>
      <w:r w:rsidR="0000279B">
        <w:rPr>
          <w:noProof/>
        </w:rPr>
        <w:t>'</w:t>
      </w:r>
      <w:r w:rsidR="006D5356" w:rsidRPr="009678BA">
        <w:rPr>
          <w:noProof/>
        </w:rPr>
        <w:t>entrata in funzione dell</w:t>
      </w:r>
      <w:r w:rsidR="0000279B">
        <w:rPr>
          <w:noProof/>
        </w:rPr>
        <w:t>'</w:t>
      </w:r>
      <w:r w:rsidR="006D5356" w:rsidRPr="009678BA">
        <w:rPr>
          <w:noProof/>
        </w:rPr>
        <w:t xml:space="preserve">EES. </w:t>
      </w:r>
    </w:p>
    <w:p w:rsidR="00BE0D22" w:rsidRPr="009678BA" w:rsidRDefault="00BE0D22" w:rsidP="00BE0D22">
      <w:pPr>
        <w:pStyle w:val="ManualHeading2"/>
        <w:rPr>
          <w:rFonts w:eastAsia="Arial Unicode MS"/>
          <w:noProof/>
          <w:color w:val="000000"/>
          <w:bdr w:val="nil"/>
        </w:rPr>
      </w:pPr>
      <w:r w:rsidRPr="009678BA">
        <w:rPr>
          <w:noProof/>
          <w:color w:val="000000"/>
          <w:bdr w:val="nil"/>
        </w:rPr>
        <w:t>•</w:t>
      </w:r>
      <w:r w:rsidRPr="009678BA">
        <w:rPr>
          <w:noProof/>
        </w:rPr>
        <w:tab/>
        <w:t>Coerenza con le disposizioni vigenti nel settore normativo interessato</w:t>
      </w:r>
    </w:p>
    <w:p w:rsidR="00BE0D22" w:rsidRPr="009678BA" w:rsidRDefault="00BE0D22" w:rsidP="00BE0D22">
      <w:pPr>
        <w:pBdr>
          <w:top w:val="nil"/>
          <w:left w:val="nil"/>
          <w:bottom w:val="nil"/>
          <w:right w:val="nil"/>
          <w:between w:val="nil"/>
          <w:bar w:val="nil"/>
        </w:pBdr>
        <w:spacing w:before="0" w:after="240"/>
        <w:rPr>
          <w:rFonts w:eastAsia="Arial Unicode MS"/>
          <w:noProof/>
        </w:rPr>
      </w:pPr>
      <w:r w:rsidRPr="009678BA">
        <w:rPr>
          <w:noProof/>
        </w:rPr>
        <w:t>L</w:t>
      </w:r>
      <w:r w:rsidR="0000279B">
        <w:rPr>
          <w:noProof/>
        </w:rPr>
        <w:t>'</w:t>
      </w:r>
      <w:r w:rsidRPr="009678BA">
        <w:rPr>
          <w:noProof/>
        </w:rPr>
        <w:t>attuale quadro giuridico dell</w:t>
      </w:r>
      <w:r w:rsidR="0000279B">
        <w:rPr>
          <w:noProof/>
        </w:rPr>
        <w:t>'</w:t>
      </w:r>
      <w:r w:rsidRPr="009678BA">
        <w:rPr>
          <w:noProof/>
        </w:rPr>
        <w:t>UE in questo settore è costituito dalla legislazione dell</w:t>
      </w:r>
      <w:r w:rsidR="0000279B">
        <w:rPr>
          <w:noProof/>
        </w:rPr>
        <w:t>'</w:t>
      </w:r>
      <w:r w:rsidRPr="009678BA">
        <w:rPr>
          <w:noProof/>
        </w:rPr>
        <w:t>UE sui controlli alle frontiere esterne. La legislazione proposta contribuisce anche a conseguire gli obiettivi stabiliti nel codice frontiere Schengen e nella Convenzione di applicazione dell</w:t>
      </w:r>
      <w:r w:rsidR="0000279B">
        <w:rPr>
          <w:noProof/>
        </w:rPr>
        <w:t>'</w:t>
      </w:r>
      <w:r w:rsidRPr="009678BA">
        <w:rPr>
          <w:noProof/>
        </w:rPr>
        <w:t>Accordo di Schengen</w:t>
      </w:r>
      <w:r w:rsidRPr="009678BA">
        <w:rPr>
          <w:rStyle w:val="FootnoteReference"/>
          <w:rFonts w:eastAsia="Arial Unicode MS"/>
          <w:noProof/>
        </w:rPr>
        <w:footnoteReference w:id="5"/>
      </w:r>
      <w:r w:rsidRPr="009678BA">
        <w:rPr>
          <w:noProof/>
        </w:rPr>
        <w:t>.</w:t>
      </w:r>
    </w:p>
    <w:p w:rsidR="00BE0D22" w:rsidRPr="009678BA" w:rsidRDefault="6A105A5B" w:rsidP="39812AB3">
      <w:pPr>
        <w:pBdr>
          <w:top w:val="nil"/>
          <w:left w:val="nil"/>
          <w:bottom w:val="nil"/>
          <w:right w:val="nil"/>
          <w:between w:val="nil"/>
          <w:bar w:val="nil"/>
        </w:pBdr>
        <w:spacing w:before="0" w:after="240"/>
        <w:rPr>
          <w:rFonts w:eastAsia="Arial Unicode MS"/>
          <w:noProof/>
        </w:rPr>
      </w:pPr>
      <w:r w:rsidRPr="009678BA">
        <w:rPr>
          <w:noProof/>
        </w:rPr>
        <w:t>La proposta è coerente con le disposizioni del regolamento generale sulla protezione dei dati</w:t>
      </w:r>
      <w:r w:rsidRPr="009678BA">
        <w:rPr>
          <w:rStyle w:val="FootnoteReference"/>
          <w:rFonts w:eastAsia="Arial Unicode MS"/>
          <w:noProof/>
        </w:rPr>
        <w:footnoteReference w:id="6"/>
      </w:r>
      <w:r w:rsidRPr="009678BA">
        <w:rPr>
          <w:noProof/>
        </w:rPr>
        <w:t xml:space="preserve">. </w:t>
      </w:r>
    </w:p>
    <w:p w:rsidR="00BE0D22" w:rsidRPr="009678BA" w:rsidRDefault="00BE0D22" w:rsidP="00BE0D22">
      <w:pPr>
        <w:rPr>
          <w:rFonts w:eastAsia="Times New Roman"/>
          <w:noProof/>
        </w:rPr>
      </w:pPr>
      <w:r w:rsidRPr="009678BA">
        <w:rPr>
          <w:noProof/>
        </w:rPr>
        <w:t>Il regolamento è pienamente coerente con il quadro giuridico esistente in materia di protezione dei dati. Introduce deroghe temporanee mirate al regolamento EES e al codice frontiere Schengen, necessarie per consentire l</w:t>
      </w:r>
      <w:r w:rsidR="0000279B">
        <w:rPr>
          <w:noProof/>
        </w:rPr>
        <w:t>'</w:t>
      </w:r>
      <w:r w:rsidRPr="009678BA">
        <w:rPr>
          <w:noProof/>
        </w:rPr>
        <w:t>entrata in funzione graduale dell</w:t>
      </w:r>
      <w:r w:rsidR="0000279B">
        <w:rPr>
          <w:noProof/>
        </w:rPr>
        <w:t>'</w:t>
      </w:r>
      <w:r w:rsidRPr="009678BA">
        <w:rPr>
          <w:noProof/>
        </w:rPr>
        <w:t xml:space="preserve">EES. </w:t>
      </w:r>
    </w:p>
    <w:p w:rsidR="00BE0D22" w:rsidRPr="009678BA" w:rsidRDefault="00BE0D22" w:rsidP="00BE0D22">
      <w:pPr>
        <w:pStyle w:val="ManualHeading2"/>
        <w:rPr>
          <w:rFonts w:eastAsia="Arial Unicode MS"/>
          <w:noProof/>
        </w:rPr>
      </w:pPr>
      <w:r w:rsidRPr="009678BA">
        <w:rPr>
          <w:noProof/>
          <w:color w:val="000000"/>
          <w:bdr w:val="nil"/>
        </w:rPr>
        <w:t>•</w:t>
      </w:r>
      <w:r w:rsidRPr="009678BA">
        <w:rPr>
          <w:noProof/>
        </w:rPr>
        <w:tab/>
        <w:t>Coerenza con le altre normative dell</w:t>
      </w:r>
      <w:r w:rsidR="0000279B">
        <w:rPr>
          <w:noProof/>
        </w:rPr>
        <w:t>'</w:t>
      </w:r>
      <w:r w:rsidRPr="009678BA">
        <w:rPr>
          <w:noProof/>
        </w:rPr>
        <w:t>Unione</w:t>
      </w:r>
    </w:p>
    <w:p w:rsidR="00BE0D22" w:rsidRPr="009678BA" w:rsidRDefault="6772D326" w:rsidP="00BE0D22">
      <w:pPr>
        <w:pStyle w:val="Text1"/>
        <w:ind w:left="0"/>
        <w:rPr>
          <w:noProof/>
        </w:rPr>
      </w:pPr>
      <w:r w:rsidRPr="009678BA">
        <w:rPr>
          <w:noProof/>
        </w:rPr>
        <w:t>L</w:t>
      </w:r>
      <w:r w:rsidR="0000279B">
        <w:rPr>
          <w:noProof/>
        </w:rPr>
        <w:t>'</w:t>
      </w:r>
      <w:r w:rsidRPr="009678BA">
        <w:rPr>
          <w:noProof/>
        </w:rPr>
        <w:t>entrata in funzione graduale dell</w:t>
      </w:r>
      <w:r w:rsidR="0000279B">
        <w:rPr>
          <w:noProof/>
        </w:rPr>
        <w:t>'</w:t>
      </w:r>
      <w:r w:rsidRPr="009678BA">
        <w:rPr>
          <w:noProof/>
        </w:rPr>
        <w:t>EES sarà coerente con l</w:t>
      </w:r>
      <w:r w:rsidR="0000279B">
        <w:rPr>
          <w:noProof/>
        </w:rPr>
        <w:t>'</w:t>
      </w:r>
      <w:r w:rsidRPr="009678BA">
        <w:rPr>
          <w:noProof/>
        </w:rPr>
        <w:t>applicazione del sistema di informazione visti (VIS) e del futuro sistema europeo di informazione e autorizzazione ai viaggi (ETIAS), nonché con le future componenti dell</w:t>
      </w:r>
      <w:r w:rsidR="0000279B">
        <w:rPr>
          <w:noProof/>
        </w:rPr>
        <w:t>'</w:t>
      </w:r>
      <w:r w:rsidRPr="009678BA">
        <w:rPr>
          <w:noProof/>
        </w:rPr>
        <w:t>interoperabilità che eu-LISA sta sviluppando: il portale di ricerca europeo, il servizio comune di confronto biometrico, l</w:t>
      </w:r>
      <w:r w:rsidR="0000279B">
        <w:rPr>
          <w:noProof/>
        </w:rPr>
        <w:t>'</w:t>
      </w:r>
      <w:r w:rsidRPr="009678BA">
        <w:rPr>
          <w:noProof/>
        </w:rPr>
        <w:t>archivio comune di dati di identità e il rilevatore di identità multiple</w:t>
      </w:r>
      <w:r w:rsidRPr="009678BA">
        <w:rPr>
          <w:rStyle w:val="FootnoteReference"/>
          <w:noProof/>
        </w:rPr>
        <w:footnoteReference w:id="7"/>
      </w:r>
      <w:r w:rsidRPr="009678BA">
        <w:rPr>
          <w:noProof/>
        </w:rPr>
        <w:t>. La Commissione, gli Stati membri ed eu-LISA discuteranno e concorderanno una pianificazione dell</w:t>
      </w:r>
      <w:r w:rsidR="0000279B">
        <w:rPr>
          <w:noProof/>
        </w:rPr>
        <w:t>'</w:t>
      </w:r>
      <w:r w:rsidRPr="009678BA">
        <w:rPr>
          <w:noProof/>
        </w:rPr>
        <w:t>ETIAS e di tutte le componenti dell</w:t>
      </w:r>
      <w:r w:rsidR="0000279B">
        <w:rPr>
          <w:noProof/>
        </w:rPr>
        <w:t>'</w:t>
      </w:r>
      <w:r w:rsidRPr="009678BA">
        <w:rPr>
          <w:noProof/>
        </w:rPr>
        <w:t>interoperabilità, riveduta e integrata alla luce dell</w:t>
      </w:r>
      <w:r w:rsidR="0000279B">
        <w:rPr>
          <w:noProof/>
        </w:rPr>
        <w:t>'</w:t>
      </w:r>
      <w:r w:rsidRPr="009678BA">
        <w:rPr>
          <w:noProof/>
        </w:rPr>
        <w:t>entrata in funzione prevista dell</w:t>
      </w:r>
      <w:r w:rsidR="0000279B">
        <w:rPr>
          <w:noProof/>
        </w:rPr>
        <w:t>'</w:t>
      </w:r>
      <w:r w:rsidRPr="009678BA">
        <w:rPr>
          <w:noProof/>
        </w:rPr>
        <w:t>EES.</w:t>
      </w:r>
    </w:p>
    <w:p w:rsidR="00BE0D22" w:rsidRPr="009678BA" w:rsidRDefault="00BE0D22" w:rsidP="00BE0D22">
      <w:pPr>
        <w:pStyle w:val="ManualHeading1"/>
        <w:rPr>
          <w:noProof/>
        </w:rPr>
      </w:pPr>
      <w:r w:rsidRPr="009678BA">
        <w:rPr>
          <w:noProof/>
        </w:rPr>
        <w:t>2.</w:t>
      </w:r>
      <w:r w:rsidRPr="009678BA">
        <w:rPr>
          <w:noProof/>
        </w:rPr>
        <w:tab/>
        <w:t>BASE GIURIDICA, SUSSIDIARIETÀ E PROPORZIONALITÀ</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Base giuridica</w:t>
      </w:r>
    </w:p>
    <w:p w:rsidR="00BE0D22" w:rsidRPr="009678BA" w:rsidRDefault="00E02147" w:rsidP="00BE0D22">
      <w:pPr>
        <w:pBdr>
          <w:top w:val="nil"/>
          <w:left w:val="nil"/>
          <w:bottom w:val="nil"/>
          <w:right w:val="nil"/>
          <w:between w:val="nil"/>
          <w:bar w:val="nil"/>
        </w:pBdr>
        <w:spacing w:before="0" w:after="240"/>
        <w:rPr>
          <w:noProof/>
        </w:rPr>
      </w:pPr>
      <w:r w:rsidRPr="009678BA">
        <w:rPr>
          <w:noProof/>
        </w:rPr>
        <w:t>Il presente regolamento prevede una deroga temporanea a talune disposizioni del regolamento EES e del codice frontiere Schengen, che sono state adottate sulla base, rispettivamente, dell</w:t>
      </w:r>
      <w:r w:rsidR="0000279B">
        <w:rPr>
          <w:noProof/>
        </w:rPr>
        <w:t>'</w:t>
      </w:r>
      <w:r w:rsidRPr="009678BA">
        <w:rPr>
          <w:noProof/>
        </w:rPr>
        <w:t>articolo 77, paragrafo 2, lettere b) e d), del trattato sul funzionamento dell</w:t>
      </w:r>
      <w:r w:rsidR="0000279B">
        <w:rPr>
          <w:noProof/>
        </w:rPr>
        <w:t>'</w:t>
      </w:r>
      <w:r w:rsidRPr="009678BA">
        <w:rPr>
          <w:noProof/>
        </w:rPr>
        <w:t>Unione europea (TFUE) e dell</w:t>
      </w:r>
      <w:r w:rsidR="0000279B">
        <w:rPr>
          <w:noProof/>
        </w:rPr>
        <w:t>'</w:t>
      </w:r>
      <w:r w:rsidRPr="009678BA">
        <w:rPr>
          <w:noProof/>
        </w:rPr>
        <w:t>articolo 87, paragrafo 2, lettera a), TFUE, nonché dell</w:t>
      </w:r>
      <w:r w:rsidR="0000279B">
        <w:rPr>
          <w:noProof/>
        </w:rPr>
        <w:t>'</w:t>
      </w:r>
      <w:r w:rsidRPr="009678BA">
        <w:rPr>
          <w:noProof/>
        </w:rPr>
        <w:t xml:space="preserve">articolo 77, paragrafo 2, lettere b) ed e), TFUE. È opportuno adottare la presente proposta di regolamento sulla base delle stesse disposizioni del TFUE su cui si basa il regolamento EES. </w:t>
      </w:r>
    </w:p>
    <w:p w:rsidR="00BE0D22" w:rsidRPr="009678BA" w:rsidRDefault="00BE0D22" w:rsidP="00BE0D22">
      <w:pPr>
        <w:pStyle w:val="ManualHeading2"/>
        <w:rPr>
          <w:rFonts w:eastAsia="Arial Unicode MS"/>
          <w:noProof/>
          <w:u w:color="000000"/>
          <w:bdr w:val="nil"/>
        </w:rPr>
      </w:pPr>
      <w:r w:rsidRPr="009678BA">
        <w:rPr>
          <w:noProof/>
          <w:u w:color="000000"/>
          <w:bdr w:val="nil"/>
        </w:rPr>
        <w:t>•</w:t>
      </w:r>
      <w:r w:rsidRPr="009678BA">
        <w:rPr>
          <w:noProof/>
        </w:rPr>
        <w:tab/>
      </w:r>
      <w:r w:rsidRPr="009678BA">
        <w:rPr>
          <w:noProof/>
          <w:u w:color="000000"/>
          <w:bdr w:val="nil"/>
        </w:rPr>
        <w:t xml:space="preserve">Sussidiarietà (per la competenza non esclusiva) </w:t>
      </w:r>
    </w:p>
    <w:p w:rsidR="00BE0D22" w:rsidRPr="009678BA"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9678BA">
        <w:rPr>
          <w:noProof/>
          <w:color w:val="000000"/>
          <w:u w:color="000000"/>
          <w:bdr w:val="nil"/>
        </w:rPr>
        <w:t>Secondo il principio di sussidiarietà, l</w:t>
      </w:r>
      <w:r w:rsidR="0000279B">
        <w:rPr>
          <w:noProof/>
          <w:color w:val="000000"/>
          <w:u w:color="000000"/>
          <w:bdr w:val="nil"/>
        </w:rPr>
        <w:t>'</w:t>
      </w:r>
      <w:r w:rsidRPr="009678BA">
        <w:rPr>
          <w:noProof/>
          <w:color w:val="000000"/>
          <w:u w:color="000000"/>
          <w:bdr w:val="nil"/>
        </w:rPr>
        <w:t xml:space="preserve">UE può intervenire solo se gli obiettivi previsti non possono essere conseguiti dai singoli Stati membri. </w:t>
      </w:r>
    </w:p>
    <w:p w:rsidR="00BE0D22" w:rsidRPr="009678BA" w:rsidRDefault="00BE0D22" w:rsidP="00BE0D22">
      <w:pPr>
        <w:pBdr>
          <w:top w:val="nil"/>
          <w:left w:val="nil"/>
          <w:bottom w:val="nil"/>
          <w:right w:val="nil"/>
          <w:between w:val="nil"/>
          <w:bar w:val="nil"/>
        </w:pBdr>
        <w:spacing w:before="0" w:after="240"/>
        <w:rPr>
          <w:rFonts w:eastAsia="Arial Unicode MS"/>
          <w:noProof/>
        </w:rPr>
      </w:pPr>
      <w:r w:rsidRPr="009678BA">
        <w:rPr>
          <w:noProof/>
        </w:rPr>
        <w:t>L</w:t>
      </w:r>
      <w:r w:rsidR="0000279B">
        <w:rPr>
          <w:noProof/>
        </w:rPr>
        <w:t>'</w:t>
      </w:r>
      <w:r w:rsidRPr="009678BA">
        <w:rPr>
          <w:noProof/>
        </w:rPr>
        <w:t>obiettivo della presente proposta di regolamento è consentire l</w:t>
      </w:r>
      <w:r w:rsidR="0000279B">
        <w:rPr>
          <w:noProof/>
        </w:rPr>
        <w:t>'</w:t>
      </w:r>
      <w:r w:rsidRPr="009678BA">
        <w:rPr>
          <w:noProof/>
        </w:rPr>
        <w:t>attuazione delle disposizioni del regolamento EES.</w:t>
      </w:r>
      <w:r w:rsidRPr="009678BA">
        <w:rPr>
          <w:noProof/>
          <w:color w:val="000000" w:themeColor="text1"/>
        </w:rPr>
        <w:t xml:space="preserve"> </w:t>
      </w:r>
      <w:r w:rsidRPr="009678BA">
        <w:rPr>
          <w:noProof/>
        </w:rPr>
        <w:t>L</w:t>
      </w:r>
      <w:r w:rsidR="0000279B">
        <w:rPr>
          <w:noProof/>
        </w:rPr>
        <w:t>'</w:t>
      </w:r>
      <w:r w:rsidRPr="009678BA">
        <w:rPr>
          <w:noProof/>
        </w:rPr>
        <w:t xml:space="preserve">entrata in funzione graduale di un sistema comune di informazione secondo norme e scadenze armonizzate non può essere realizzata in misura sufficiente dai soli Stati membri </w:t>
      </w:r>
      <w:r w:rsidRPr="009678BA">
        <w:rPr>
          <w:noProof/>
          <w:color w:val="000000"/>
          <w:u w:color="000000"/>
          <w:bdr w:val="nil"/>
        </w:rPr>
        <w:t>e richiede l</w:t>
      </w:r>
      <w:r w:rsidR="0000279B">
        <w:rPr>
          <w:noProof/>
          <w:color w:val="000000"/>
          <w:u w:color="000000"/>
          <w:bdr w:val="nil"/>
        </w:rPr>
        <w:t>'</w:t>
      </w:r>
      <w:r w:rsidRPr="009678BA">
        <w:rPr>
          <w:noProof/>
          <w:color w:val="000000"/>
          <w:u w:color="000000"/>
          <w:bdr w:val="nil"/>
        </w:rPr>
        <w:t>azione dell</w:t>
      </w:r>
      <w:r w:rsidR="0000279B">
        <w:rPr>
          <w:noProof/>
          <w:color w:val="000000"/>
          <w:u w:color="000000"/>
          <w:bdr w:val="nil"/>
        </w:rPr>
        <w:t>'</w:t>
      </w:r>
      <w:r w:rsidRPr="009678BA">
        <w:rPr>
          <w:noProof/>
          <w:color w:val="000000"/>
          <w:u w:color="000000"/>
          <w:bdr w:val="nil"/>
        </w:rPr>
        <w:t>UE.</w:t>
      </w:r>
    </w:p>
    <w:p w:rsidR="00BE0D22" w:rsidRPr="009678BA" w:rsidRDefault="00BE0D22" w:rsidP="00BE0D22">
      <w:pPr>
        <w:pStyle w:val="ManualHeading2"/>
        <w:rPr>
          <w:rFonts w:eastAsia="Arial Unicode MS"/>
          <w:noProof/>
          <w:u w:color="000000"/>
          <w:bdr w:val="nil"/>
        </w:rPr>
      </w:pPr>
      <w:r w:rsidRPr="009678BA">
        <w:rPr>
          <w:noProof/>
          <w:u w:color="000000"/>
          <w:bdr w:val="nil"/>
        </w:rPr>
        <w:t>•</w:t>
      </w:r>
      <w:r w:rsidRPr="009678BA">
        <w:rPr>
          <w:noProof/>
        </w:rPr>
        <w:tab/>
      </w:r>
      <w:r w:rsidRPr="009678BA">
        <w:rPr>
          <w:noProof/>
          <w:u w:color="000000"/>
          <w:bdr w:val="nil"/>
        </w:rPr>
        <w:t>Proporzionalità</w:t>
      </w:r>
    </w:p>
    <w:p w:rsidR="00BE0D22" w:rsidRPr="009678BA"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9678BA">
        <w:rPr>
          <w:noProof/>
          <w:color w:val="000000"/>
          <w:u w:color="000000"/>
          <w:bdr w:val="nil"/>
        </w:rPr>
        <w:t>La proposta soddisfa il principio di proporzionalità enunciato all</w:t>
      </w:r>
      <w:r w:rsidR="0000279B">
        <w:rPr>
          <w:noProof/>
          <w:color w:val="000000"/>
          <w:u w:color="000000"/>
          <w:bdr w:val="nil"/>
        </w:rPr>
        <w:t>'</w:t>
      </w:r>
      <w:r w:rsidRPr="009678BA">
        <w:rPr>
          <w:noProof/>
          <w:color w:val="000000"/>
          <w:u w:color="000000"/>
          <w:bdr w:val="nil"/>
        </w:rPr>
        <w:t>articolo 5 del trattato sull</w:t>
      </w:r>
      <w:r w:rsidR="0000279B">
        <w:rPr>
          <w:noProof/>
          <w:color w:val="000000"/>
          <w:u w:color="000000"/>
          <w:bdr w:val="nil"/>
        </w:rPr>
        <w:t>'</w:t>
      </w:r>
      <w:r w:rsidRPr="009678BA">
        <w:rPr>
          <w:noProof/>
          <w:color w:val="000000"/>
          <w:u w:color="000000"/>
          <w:bdr w:val="nil"/>
        </w:rPr>
        <w:t xml:space="preserve">Unione europea in quanto non va oltre quanto necessario per il conseguimento degli obiettivi fissati. </w:t>
      </w:r>
    </w:p>
    <w:p w:rsidR="00BE0D22" w:rsidRPr="009678BA" w:rsidRDefault="00BE0D22" w:rsidP="00BE0D22">
      <w:pPr>
        <w:pBdr>
          <w:top w:val="nil"/>
          <w:left w:val="nil"/>
          <w:bottom w:val="nil"/>
          <w:right w:val="nil"/>
          <w:between w:val="nil"/>
          <w:bar w:val="nil"/>
        </w:pBdr>
        <w:spacing w:before="0" w:after="240"/>
        <w:rPr>
          <w:rFonts w:eastAsia="Arial Unicode MS"/>
          <w:noProof/>
          <w:color w:val="000000"/>
          <w:bdr w:val="nil"/>
        </w:rPr>
      </w:pPr>
      <w:r w:rsidRPr="009678BA">
        <w:rPr>
          <w:noProof/>
        </w:rPr>
        <w:t>In particolare, la proposta di regolamento introduce una deroga limitata al regolamento EES e al codice frontiere Schengen al fine di consentire l</w:t>
      </w:r>
      <w:r w:rsidR="0000279B">
        <w:rPr>
          <w:noProof/>
        </w:rPr>
        <w:t>'</w:t>
      </w:r>
      <w:r w:rsidRPr="009678BA">
        <w:rPr>
          <w:noProof/>
        </w:rPr>
        <w:t>entrata in funzione graduale dell</w:t>
      </w:r>
      <w:r w:rsidR="0000279B">
        <w:rPr>
          <w:noProof/>
        </w:rPr>
        <w:t>'</w:t>
      </w:r>
      <w:r w:rsidRPr="009678BA">
        <w:rPr>
          <w:noProof/>
        </w:rPr>
        <w:t>EES.</w:t>
      </w:r>
    </w:p>
    <w:p w:rsidR="00BE0D22" w:rsidRPr="009678BA" w:rsidRDefault="00BE0D22" w:rsidP="00BE0D22">
      <w:pPr>
        <w:pStyle w:val="ManualHeading2"/>
        <w:rPr>
          <w:rFonts w:eastAsia="Arial Unicode MS"/>
          <w:noProof/>
          <w:u w:color="000000"/>
          <w:bdr w:val="nil"/>
        </w:rPr>
      </w:pPr>
      <w:r w:rsidRPr="009678BA">
        <w:rPr>
          <w:noProof/>
          <w:u w:color="000000"/>
          <w:bdr w:val="nil"/>
        </w:rPr>
        <w:t>•</w:t>
      </w:r>
      <w:r w:rsidRPr="009678BA">
        <w:rPr>
          <w:noProof/>
        </w:rPr>
        <w:tab/>
      </w:r>
      <w:r w:rsidRPr="009678BA">
        <w:rPr>
          <w:noProof/>
          <w:u w:color="000000"/>
          <w:bdr w:val="nil"/>
        </w:rPr>
        <w:t>Scelta dell</w:t>
      </w:r>
      <w:r w:rsidR="0000279B">
        <w:rPr>
          <w:noProof/>
          <w:u w:color="000000"/>
          <w:bdr w:val="nil"/>
        </w:rPr>
        <w:t>'</w:t>
      </w:r>
      <w:r w:rsidRPr="009678BA">
        <w:rPr>
          <w:noProof/>
          <w:u w:color="000000"/>
          <w:bdr w:val="nil"/>
        </w:rPr>
        <w:t>atto giuridico</w:t>
      </w:r>
    </w:p>
    <w:p w:rsidR="00BE0D22" w:rsidRPr="009678BA" w:rsidRDefault="00BE0D22" w:rsidP="00BE0D22">
      <w:pPr>
        <w:pBdr>
          <w:top w:val="nil"/>
          <w:left w:val="nil"/>
          <w:bottom w:val="nil"/>
          <w:right w:val="nil"/>
          <w:between w:val="nil"/>
          <w:bar w:val="nil"/>
        </w:pBdr>
        <w:spacing w:before="0" w:after="240"/>
        <w:rPr>
          <w:rFonts w:eastAsia="Arial Unicode MS"/>
          <w:noProof/>
          <w:color w:val="000000"/>
          <w:szCs w:val="24"/>
          <w:u w:color="000000"/>
          <w:bdr w:val="nil"/>
        </w:rPr>
      </w:pPr>
      <w:r w:rsidRPr="009678BA">
        <w:rPr>
          <w:noProof/>
          <w:color w:val="000000"/>
          <w:u w:color="000000"/>
          <w:bdr w:val="nil"/>
        </w:rPr>
        <w:t>Un regolamento è lo strumento migliore per conseguire gli obiettivi della presente proposta, in quanto garantisce l</w:t>
      </w:r>
      <w:r w:rsidR="0000279B">
        <w:rPr>
          <w:noProof/>
          <w:color w:val="000000"/>
          <w:u w:color="000000"/>
          <w:bdr w:val="nil"/>
        </w:rPr>
        <w:t>'</w:t>
      </w:r>
      <w:r w:rsidRPr="009678BA">
        <w:rPr>
          <w:noProof/>
          <w:color w:val="000000"/>
          <w:u w:color="000000"/>
          <w:bdr w:val="nil"/>
        </w:rPr>
        <w:t>applicabilità diretta delle disposizioni e un approccio uniforme e coerente in tutto lo spazio Schengen. Ciò è particolarmente importante in quanto il regolamento proposto deroga al regolamento EES, che istituisce un sistema centrale attraverso il quale gli Stati membri cooperano e stabilisce norme sulle verifiche di frontiera, e al codice frontiere Schengen. Poiché l</w:t>
      </w:r>
      <w:r w:rsidR="0000279B">
        <w:rPr>
          <w:noProof/>
          <w:color w:val="000000"/>
          <w:u w:color="000000"/>
          <w:bdr w:val="nil"/>
        </w:rPr>
        <w:t>'</w:t>
      </w:r>
      <w:r w:rsidRPr="009678BA">
        <w:rPr>
          <w:noProof/>
          <w:color w:val="000000"/>
          <w:u w:color="000000"/>
          <w:bdr w:val="nil"/>
        </w:rPr>
        <w:t>atto proposto mira a introdurre obblighi uniformi per gli Stati membri e gli operatori dei trasporti, lo strumento appropriato per conseguire gli obiettivi della presente iniziativa è un regolamento.</w:t>
      </w:r>
    </w:p>
    <w:p w:rsidR="00BE0D22" w:rsidRPr="009678BA" w:rsidRDefault="00BE0D22" w:rsidP="00BE0D22">
      <w:pPr>
        <w:pStyle w:val="ManualHeading1"/>
        <w:rPr>
          <w:noProof/>
        </w:rPr>
      </w:pPr>
      <w:r w:rsidRPr="009678BA">
        <w:rPr>
          <w:noProof/>
        </w:rPr>
        <w:t>3.</w:t>
      </w:r>
      <w:r w:rsidRPr="009678BA">
        <w:rPr>
          <w:noProof/>
        </w:rPr>
        <w:tab/>
        <w:t>RISULTATI DELLE VALUTAZIONI EX POST, DELLE CONSULTAZIONI DEI PORTATORI DI INTERESSI E DELLE VALUTAZIONI D</w:t>
      </w:r>
      <w:r w:rsidR="0000279B">
        <w:rPr>
          <w:noProof/>
        </w:rPr>
        <w:t>'</w:t>
      </w:r>
      <w:r w:rsidRPr="009678BA">
        <w:rPr>
          <w:noProof/>
        </w:rPr>
        <w:t>IMPATTO</w:t>
      </w:r>
    </w:p>
    <w:p w:rsidR="00BE0D22" w:rsidRPr="009678BA" w:rsidRDefault="00BE0D22" w:rsidP="00BE0D22">
      <w:pPr>
        <w:pStyle w:val="ManualHeading2"/>
        <w:rPr>
          <w:rFonts w:eastAsia="Arial Unicode MS"/>
          <w:noProof/>
          <w:u w:color="000000"/>
          <w:bdr w:val="nil"/>
        </w:rPr>
      </w:pPr>
      <w:r w:rsidRPr="009678BA">
        <w:rPr>
          <w:noProof/>
          <w:u w:color="000000"/>
          <w:bdr w:val="nil"/>
        </w:rPr>
        <w:t>•</w:t>
      </w:r>
      <w:r w:rsidRPr="009678BA">
        <w:rPr>
          <w:noProof/>
        </w:rPr>
        <w:tab/>
      </w:r>
      <w:r w:rsidRPr="009678BA">
        <w:rPr>
          <w:noProof/>
          <w:u w:color="000000"/>
          <w:bdr w:val="nil"/>
        </w:rPr>
        <w:t>Valutazioni ex post / Vaglio di adeguatezza della legislazione vigente</w:t>
      </w:r>
    </w:p>
    <w:p w:rsidR="00BE0D22" w:rsidRPr="009678BA"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9678BA">
        <w:rPr>
          <w:noProof/>
          <w:color w:val="000000"/>
          <w:u w:color="000000"/>
          <w:bdr w:val="nil"/>
        </w:rPr>
        <w:t>Non applicabile.</w:t>
      </w:r>
    </w:p>
    <w:p w:rsidR="00BE0D22" w:rsidRPr="009678BA" w:rsidRDefault="00BE0D22" w:rsidP="00BE0D22">
      <w:pPr>
        <w:pStyle w:val="ManualHeading2"/>
        <w:rPr>
          <w:rFonts w:eastAsia="Arial Unicode MS"/>
          <w:noProof/>
          <w:u w:color="000000"/>
          <w:bdr w:val="nil"/>
        </w:rPr>
      </w:pPr>
      <w:r w:rsidRPr="009678BA">
        <w:rPr>
          <w:noProof/>
          <w:u w:color="000000"/>
          <w:bdr w:val="nil"/>
        </w:rPr>
        <w:t>•</w:t>
      </w:r>
      <w:r w:rsidRPr="009678BA">
        <w:rPr>
          <w:noProof/>
        </w:rPr>
        <w:tab/>
      </w:r>
      <w:r w:rsidRPr="009678BA">
        <w:rPr>
          <w:noProof/>
          <w:u w:color="000000"/>
          <w:bdr w:val="nil"/>
        </w:rPr>
        <w:t>Consultazioni dei portatori di interessi</w:t>
      </w:r>
    </w:p>
    <w:p w:rsidR="00BE0D22" w:rsidRPr="009678BA" w:rsidRDefault="00BE0D22" w:rsidP="00BE0D22">
      <w:pPr>
        <w:pBdr>
          <w:top w:val="nil"/>
          <w:left w:val="nil"/>
          <w:bottom w:val="nil"/>
          <w:right w:val="nil"/>
          <w:between w:val="nil"/>
          <w:bar w:val="nil"/>
        </w:pBdr>
        <w:spacing w:after="240"/>
        <w:rPr>
          <w:rFonts w:eastAsia="Arial Unicode MS"/>
          <w:noProof/>
          <w:color w:val="000000"/>
          <w:szCs w:val="24"/>
          <w:u w:color="000000"/>
          <w:bdr w:val="nil"/>
        </w:rPr>
      </w:pPr>
      <w:r w:rsidRPr="009678BA">
        <w:rPr>
          <w:noProof/>
          <w:color w:val="000000"/>
          <w:u w:color="000000"/>
          <w:bdr w:val="nil"/>
        </w:rPr>
        <w:t>Non applicabile.</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Assunzione e uso di perizie</w:t>
      </w:r>
    </w:p>
    <w:p w:rsidR="00BE0D22" w:rsidRPr="009678BA" w:rsidRDefault="6A105A5B" w:rsidP="39812AB3">
      <w:pPr>
        <w:pBdr>
          <w:top w:val="nil"/>
          <w:left w:val="nil"/>
          <w:bottom w:val="nil"/>
          <w:right w:val="nil"/>
          <w:between w:val="nil"/>
          <w:bar w:val="nil"/>
        </w:pBdr>
        <w:spacing w:after="240"/>
        <w:rPr>
          <w:rFonts w:eastAsia="Times New Roman"/>
          <w:noProof/>
        </w:rPr>
      </w:pPr>
      <w:r w:rsidRPr="009678BA">
        <w:rPr>
          <w:noProof/>
        </w:rPr>
        <w:t>La proposta ha tenuto debitamente conto dei risultati di un ampio processo di consultazione svolto durante la progettazione e lo sviluppo dell</w:t>
      </w:r>
      <w:r w:rsidR="0000279B">
        <w:rPr>
          <w:noProof/>
        </w:rPr>
        <w:t>'</w:t>
      </w:r>
      <w:r w:rsidRPr="009678BA">
        <w:rPr>
          <w:noProof/>
        </w:rPr>
        <w:t>EES, comprendente discussioni con esperti informatici, esperti politici, esperti operativi e giuridici degli Stati membri ed eu-LISA nel contesto del gruppo consultivo eu-LISA, del consiglio di gestione del programma di eu-LISA, del consiglio di amministrazione di eu-LISA e del comitato per le frontiere intelligenti. Si</w:t>
      </w:r>
      <w:r w:rsidR="0000279B">
        <w:rPr>
          <w:noProof/>
        </w:rPr>
        <w:t> </w:t>
      </w:r>
      <w:r w:rsidRPr="009678BA">
        <w:rPr>
          <w:noProof/>
        </w:rPr>
        <w:t>sono inoltre tenuti scambi con i portatori di interessi e discussioni in seno al Consiglio.</w:t>
      </w:r>
    </w:p>
    <w:p w:rsidR="00BE0D22" w:rsidRPr="009678BA" w:rsidRDefault="00BE0D22" w:rsidP="00BE0D22">
      <w:pPr>
        <w:pStyle w:val="ManualHeading2"/>
        <w:pBdr>
          <w:top w:val="nil"/>
          <w:left w:val="nil"/>
          <w:bottom w:val="nil"/>
          <w:right w:val="nil"/>
          <w:between w:val="nil"/>
        </w:pBdr>
        <w:spacing w:after="240"/>
        <w:rPr>
          <w:rFonts w:eastAsia="Arial Unicode MS"/>
          <w:noProof/>
          <w:bdr w:val="nil"/>
        </w:rPr>
      </w:pPr>
      <w:r w:rsidRPr="009678BA">
        <w:rPr>
          <w:noProof/>
          <w:bdr w:val="nil"/>
        </w:rPr>
        <w:t>•</w:t>
      </w:r>
      <w:r w:rsidRPr="009678BA">
        <w:rPr>
          <w:noProof/>
        </w:rPr>
        <w:tab/>
      </w:r>
      <w:r w:rsidRPr="009678BA">
        <w:rPr>
          <w:noProof/>
          <w:bdr w:val="nil"/>
        </w:rPr>
        <w:t>Valutazione d</w:t>
      </w:r>
      <w:r w:rsidR="0000279B">
        <w:rPr>
          <w:noProof/>
          <w:bdr w:val="nil"/>
        </w:rPr>
        <w:t>'</w:t>
      </w:r>
      <w:r w:rsidRPr="009678BA">
        <w:rPr>
          <w:noProof/>
          <w:bdr w:val="nil"/>
        </w:rPr>
        <w:t>impatto</w:t>
      </w:r>
    </w:p>
    <w:p w:rsidR="00BE0D22" w:rsidRPr="009678BA" w:rsidRDefault="00BE0D22" w:rsidP="00BE0D22">
      <w:pPr>
        <w:pBdr>
          <w:top w:val="nil"/>
          <w:left w:val="nil"/>
          <w:bottom w:val="nil"/>
          <w:right w:val="nil"/>
          <w:between w:val="nil"/>
          <w:bar w:val="nil"/>
        </w:pBdr>
        <w:spacing w:before="0" w:after="240"/>
        <w:rPr>
          <w:noProof/>
        </w:rPr>
      </w:pPr>
      <w:r w:rsidRPr="009678BA">
        <w:rPr>
          <w:noProof/>
        </w:rPr>
        <w:t>La proposta intende introdurre una deroga limitata al regolamento EES e al codice frontiere Schengen per consentire l</w:t>
      </w:r>
      <w:r w:rsidR="0000279B">
        <w:rPr>
          <w:noProof/>
        </w:rPr>
        <w:t>'</w:t>
      </w:r>
      <w:r w:rsidRPr="009678BA">
        <w:rPr>
          <w:noProof/>
        </w:rPr>
        <w:t>entrata in funzione graduale dell</w:t>
      </w:r>
      <w:r w:rsidR="0000279B">
        <w:rPr>
          <w:noProof/>
        </w:rPr>
        <w:t>'</w:t>
      </w:r>
      <w:r w:rsidRPr="009678BA">
        <w:rPr>
          <w:noProof/>
        </w:rPr>
        <w:t>EES. Dato l</w:t>
      </w:r>
      <w:r w:rsidR="0000279B">
        <w:rPr>
          <w:noProof/>
        </w:rPr>
        <w:t>'</w:t>
      </w:r>
      <w:r w:rsidRPr="009678BA">
        <w:rPr>
          <w:noProof/>
        </w:rPr>
        <w:t>obiettivo strategico, non sono disponibili altre opzioni strategiche. Non è quindi appropriata né necessaria una valutazione d</w:t>
      </w:r>
      <w:r w:rsidR="0000279B">
        <w:rPr>
          <w:noProof/>
        </w:rPr>
        <w:t>'</w:t>
      </w:r>
      <w:r w:rsidRPr="009678BA">
        <w:rPr>
          <w:noProof/>
        </w:rPr>
        <w:t xml:space="preserve">impatto. </w:t>
      </w:r>
    </w:p>
    <w:p w:rsidR="00BE0D22" w:rsidRPr="009678BA" w:rsidRDefault="00BE0D22" w:rsidP="00BE0D22">
      <w:pPr>
        <w:pBdr>
          <w:bar w:val="nil"/>
        </w:pBdr>
        <w:spacing w:before="0" w:after="240"/>
        <w:rPr>
          <w:noProof/>
        </w:rPr>
      </w:pPr>
      <w:r w:rsidRPr="009678BA">
        <w:rPr>
          <w:noProof/>
        </w:rPr>
        <w:t>Le valutazioni d</w:t>
      </w:r>
      <w:r w:rsidR="0000279B">
        <w:rPr>
          <w:noProof/>
        </w:rPr>
        <w:t>'</w:t>
      </w:r>
      <w:r w:rsidRPr="009678BA">
        <w:rPr>
          <w:noProof/>
        </w:rPr>
        <w:t>impatto relative all</w:t>
      </w:r>
      <w:r w:rsidR="0000279B">
        <w:rPr>
          <w:noProof/>
        </w:rPr>
        <w:t>'</w:t>
      </w:r>
      <w:r w:rsidRPr="009678BA">
        <w:rPr>
          <w:noProof/>
        </w:rPr>
        <w:t>EES sono state effettuate a partire dal 2008 e, insieme alla consultazione delle parti interessate e alle discussioni in seno al Consiglio e al Parlamento europeo, hanno costituito la base di una valutazione d</w:t>
      </w:r>
      <w:r w:rsidR="0000279B">
        <w:rPr>
          <w:noProof/>
        </w:rPr>
        <w:t>'</w:t>
      </w:r>
      <w:r w:rsidRPr="009678BA">
        <w:rPr>
          <w:noProof/>
        </w:rPr>
        <w:t>impatto dettagliata redatta dalla Commissione, che accompagna la proposta di regolamento sull</w:t>
      </w:r>
      <w:r w:rsidR="0000279B">
        <w:rPr>
          <w:noProof/>
        </w:rPr>
        <w:t>'</w:t>
      </w:r>
      <w:r w:rsidRPr="009678BA">
        <w:rPr>
          <w:noProof/>
        </w:rPr>
        <w:t>EES</w:t>
      </w:r>
      <w:r w:rsidRPr="009678BA">
        <w:rPr>
          <w:rStyle w:val="FootnoteReference"/>
          <w:noProof/>
        </w:rPr>
        <w:footnoteReference w:id="8"/>
      </w:r>
      <w:r w:rsidRPr="009678BA">
        <w:rPr>
          <w:noProof/>
        </w:rPr>
        <w:t>. La valutazione d</w:t>
      </w:r>
      <w:r w:rsidR="0000279B">
        <w:rPr>
          <w:noProof/>
        </w:rPr>
        <w:t>'</w:t>
      </w:r>
      <w:r w:rsidRPr="009678BA">
        <w:rPr>
          <w:noProof/>
        </w:rPr>
        <w:t>impatto si è concentrata sulle esigenze fondamentali per la gestione delle frontiere che devono essere affrontate mediante l</w:t>
      </w:r>
      <w:r w:rsidR="0000279B">
        <w:rPr>
          <w:noProof/>
        </w:rPr>
        <w:t>'</w:t>
      </w:r>
      <w:r w:rsidRPr="009678BA">
        <w:rPr>
          <w:noProof/>
        </w:rPr>
        <w:t>istituzione dell</w:t>
      </w:r>
      <w:r w:rsidR="0000279B">
        <w:rPr>
          <w:noProof/>
        </w:rPr>
        <w:t>'</w:t>
      </w:r>
      <w:r w:rsidRPr="009678BA">
        <w:rPr>
          <w:noProof/>
        </w:rPr>
        <w:t>EES. Gli impegni fondamentali che devono essere assunti sono i seguenti: i) migliorare la qualità delle verifiche di frontiera; ii)</w:t>
      </w:r>
      <w:r w:rsidR="0000279B">
        <w:rPr>
          <w:noProof/>
        </w:rPr>
        <w:t> </w:t>
      </w:r>
      <w:r w:rsidRPr="009678BA">
        <w:rPr>
          <w:noProof/>
        </w:rPr>
        <w:t>permettere di identificare le persone in modo affidabile; iii) rafforzare la sicurezza interna e la lotta contro il terrorismo e le forme gravi di criminalità. Tali esigenze saranno soddisfatte soltanto grazie all</w:t>
      </w:r>
      <w:r w:rsidR="0000279B">
        <w:rPr>
          <w:noProof/>
        </w:rPr>
        <w:t>'</w:t>
      </w:r>
      <w:r w:rsidRPr="009678BA">
        <w:rPr>
          <w:noProof/>
        </w:rPr>
        <w:t>entrata in funzione dell</w:t>
      </w:r>
      <w:r w:rsidR="0000279B">
        <w:rPr>
          <w:noProof/>
        </w:rPr>
        <w:t>'</w:t>
      </w:r>
      <w:r w:rsidRPr="009678BA">
        <w:rPr>
          <w:noProof/>
        </w:rPr>
        <w:t xml:space="preserve">EES. </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Efficienza normativa e semplificazione</w:t>
      </w:r>
    </w:p>
    <w:p w:rsidR="00BE0D22" w:rsidRPr="009678BA" w:rsidRDefault="00BE0D22" w:rsidP="00BE0D22">
      <w:pPr>
        <w:pBdr>
          <w:top w:val="nil"/>
          <w:left w:val="nil"/>
          <w:bottom w:val="nil"/>
          <w:right w:val="nil"/>
          <w:between w:val="nil"/>
          <w:bar w:val="nil"/>
        </w:pBdr>
        <w:spacing w:after="240"/>
        <w:rPr>
          <w:noProof/>
        </w:rPr>
      </w:pPr>
      <w:r w:rsidRPr="009678BA">
        <w:rPr>
          <w:noProof/>
          <w:color w:val="000000"/>
          <w:u w:color="000000"/>
          <w:bdr w:val="nil"/>
        </w:rPr>
        <w:t>Non applicabile.</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Diritti fondamentali</w:t>
      </w:r>
    </w:p>
    <w:p w:rsidR="00BE0D22" w:rsidRPr="009678BA" w:rsidRDefault="00BE0D22" w:rsidP="00BE0D22">
      <w:pPr>
        <w:pBdr>
          <w:top w:val="nil"/>
          <w:left w:val="nil"/>
          <w:bottom w:val="nil"/>
          <w:right w:val="nil"/>
          <w:between w:val="nil"/>
          <w:bar w:val="nil"/>
        </w:pBdr>
        <w:spacing w:before="0" w:after="240"/>
        <w:rPr>
          <w:noProof/>
        </w:rPr>
      </w:pPr>
      <w:r w:rsidRPr="009678BA">
        <w:rPr>
          <w:noProof/>
        </w:rPr>
        <w:t>La proposta tiene pienamente conto dei diritti e dei principi fondamentali sanciti dalla Carta dei diritti fondamentali dell</w:t>
      </w:r>
      <w:r w:rsidR="0000279B">
        <w:rPr>
          <w:noProof/>
        </w:rPr>
        <w:t>'</w:t>
      </w:r>
      <w:r w:rsidRPr="009678BA">
        <w:rPr>
          <w:noProof/>
        </w:rPr>
        <w:t>Unione europea. In particolare, le misure proposte tengono conto dell</w:t>
      </w:r>
      <w:r w:rsidR="0000279B">
        <w:rPr>
          <w:noProof/>
        </w:rPr>
        <w:t>'</w:t>
      </w:r>
      <w:r w:rsidRPr="009678BA">
        <w:rPr>
          <w:noProof/>
        </w:rPr>
        <w:t>articolo 6 della Carta che tutela il diritto fondamentale alla libertà e alla sicurezza, dell</w:t>
      </w:r>
      <w:r w:rsidR="0000279B">
        <w:rPr>
          <w:noProof/>
        </w:rPr>
        <w:t>'</w:t>
      </w:r>
      <w:r w:rsidRPr="009678BA">
        <w:rPr>
          <w:noProof/>
        </w:rPr>
        <w:t>articolo 7 sul diritto fondamentale di ogni persona al rispetto della propria vita privata e familiare, e dell</w:t>
      </w:r>
      <w:r w:rsidR="0000279B">
        <w:rPr>
          <w:noProof/>
        </w:rPr>
        <w:t>'</w:t>
      </w:r>
      <w:r w:rsidRPr="009678BA">
        <w:rPr>
          <w:noProof/>
        </w:rPr>
        <w:t>articolo 8 sul diritto fondamentale alla protezione dei dati di carattere personale. Le misure proposte sono inoltre in linea con l</w:t>
      </w:r>
      <w:r w:rsidR="0000279B">
        <w:rPr>
          <w:noProof/>
        </w:rPr>
        <w:t>'</w:t>
      </w:r>
      <w:r w:rsidRPr="009678BA">
        <w:rPr>
          <w:noProof/>
        </w:rPr>
        <w:t>articolo 16 TFUE, che garantisce a ogni persona il diritto alla protezione dei dati personali che la riguardano.</w:t>
      </w:r>
    </w:p>
    <w:p w:rsidR="00BE0D22" w:rsidRPr="009678BA" w:rsidRDefault="1744AB68" w:rsidP="371983FE">
      <w:pPr>
        <w:pBdr>
          <w:top w:val="nil"/>
          <w:left w:val="nil"/>
          <w:bottom w:val="nil"/>
          <w:right w:val="nil"/>
          <w:between w:val="nil"/>
          <w:bar w:val="nil"/>
        </w:pBdr>
        <w:spacing w:before="0" w:after="240"/>
        <w:rPr>
          <w:b/>
          <w:bCs/>
          <w:smallCaps/>
          <w:noProof/>
        </w:rPr>
      </w:pPr>
      <w:r w:rsidRPr="009678BA">
        <w:rPr>
          <w:noProof/>
        </w:rPr>
        <w:t>La proposta non modifica le rigorose norme di accesso all</w:t>
      </w:r>
      <w:r w:rsidR="0000279B">
        <w:rPr>
          <w:noProof/>
        </w:rPr>
        <w:t>'</w:t>
      </w:r>
      <w:r w:rsidRPr="009678BA">
        <w:rPr>
          <w:noProof/>
        </w:rPr>
        <w:t>EES e le necessarie garanzie stabilite dal regolamento EES, compreso il rispetto dei dati personali in quanto diritto fondamentale e il diritto all</w:t>
      </w:r>
      <w:r w:rsidR="0000279B">
        <w:rPr>
          <w:noProof/>
        </w:rPr>
        <w:t>'</w:t>
      </w:r>
      <w:r w:rsidRPr="009678BA">
        <w:rPr>
          <w:noProof/>
        </w:rPr>
        <w:t>informazione.</w:t>
      </w:r>
      <w:r w:rsidRPr="009678BA">
        <w:rPr>
          <w:b/>
          <w:smallCaps/>
          <w:noProof/>
          <w:shd w:val="clear" w:color="auto" w:fill="FFFFFF"/>
        </w:rPr>
        <w:t xml:space="preserve"> </w:t>
      </w:r>
    </w:p>
    <w:p w:rsidR="00BE0D22" w:rsidRPr="009678BA" w:rsidRDefault="00BE0D22" w:rsidP="00BE0D22">
      <w:pPr>
        <w:pStyle w:val="ManualHeading1"/>
        <w:rPr>
          <w:noProof/>
        </w:rPr>
      </w:pPr>
      <w:r w:rsidRPr="009678BA">
        <w:rPr>
          <w:noProof/>
        </w:rPr>
        <w:t>4.</w:t>
      </w:r>
      <w:r w:rsidRPr="009678BA">
        <w:rPr>
          <w:noProof/>
        </w:rPr>
        <w:tab/>
        <w:t>INCIDENZA SUL BILANCIO</w:t>
      </w:r>
    </w:p>
    <w:p w:rsidR="00BE0D22" w:rsidRPr="009678BA" w:rsidRDefault="00BE0D22" w:rsidP="00BE0D22">
      <w:pPr>
        <w:pBdr>
          <w:top w:val="nil"/>
          <w:left w:val="nil"/>
          <w:bottom w:val="nil"/>
          <w:right w:val="nil"/>
          <w:between w:val="nil"/>
          <w:bar w:val="nil"/>
        </w:pBdr>
        <w:spacing w:before="0" w:after="240"/>
        <w:rPr>
          <w:noProof/>
        </w:rPr>
      </w:pPr>
      <w:r w:rsidRPr="009678BA">
        <w:rPr>
          <w:noProof/>
        </w:rPr>
        <w:t>Nessuna.</w:t>
      </w:r>
    </w:p>
    <w:p w:rsidR="00BE0D22" w:rsidRPr="009678BA" w:rsidRDefault="00BE0D22" w:rsidP="00BE0D22">
      <w:pPr>
        <w:pStyle w:val="ManualHeading1"/>
        <w:rPr>
          <w:noProof/>
        </w:rPr>
      </w:pPr>
      <w:r w:rsidRPr="009678BA">
        <w:rPr>
          <w:noProof/>
        </w:rPr>
        <w:t>5.</w:t>
      </w:r>
      <w:r w:rsidRPr="009678BA">
        <w:rPr>
          <w:noProof/>
        </w:rPr>
        <w:tab/>
        <w:t>ALTRI ELEMENTI</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Piani attuativi e modalità di monitoraggio, valutazione e informazione</w:t>
      </w:r>
    </w:p>
    <w:p w:rsidR="00BE0D22" w:rsidRPr="009678BA" w:rsidRDefault="00BE0D22" w:rsidP="00BE0D22">
      <w:pPr>
        <w:pBdr>
          <w:top w:val="nil"/>
          <w:left w:val="nil"/>
          <w:bottom w:val="nil"/>
          <w:right w:val="nil"/>
          <w:between w:val="nil"/>
          <w:bar w:val="nil"/>
        </w:pBdr>
        <w:spacing w:before="0" w:after="240"/>
        <w:rPr>
          <w:noProof/>
        </w:rPr>
      </w:pPr>
      <w:r w:rsidRPr="009678BA">
        <w:rPr>
          <w:noProof/>
        </w:rPr>
        <w:t>Il programma di monitoraggio degli esiti, dei risultati e degli effetti della proposta di regolamento segue quello di cui all</w:t>
      </w:r>
      <w:r w:rsidR="0000279B">
        <w:rPr>
          <w:noProof/>
        </w:rPr>
        <w:t>'</w:t>
      </w:r>
      <w:r w:rsidRPr="009678BA">
        <w:rPr>
          <w:noProof/>
        </w:rPr>
        <w:t>articolo 72 del regolamento EES.</w:t>
      </w:r>
    </w:p>
    <w:p w:rsidR="00BE0D22" w:rsidRPr="009678BA" w:rsidRDefault="00BE0D22" w:rsidP="00BE0D22">
      <w:pPr>
        <w:pBdr>
          <w:top w:val="nil"/>
          <w:left w:val="nil"/>
          <w:bottom w:val="nil"/>
          <w:right w:val="nil"/>
          <w:between w:val="nil"/>
          <w:bar w:val="nil"/>
        </w:pBdr>
        <w:spacing w:before="0" w:after="240"/>
        <w:rPr>
          <w:noProof/>
        </w:rPr>
      </w:pPr>
      <w:r w:rsidRPr="009678BA">
        <w:rPr>
          <w:noProof/>
        </w:rPr>
        <w:t>Un meccanismo coerente basato sui piani per l</w:t>
      </w:r>
      <w:r w:rsidR="0000279B">
        <w:rPr>
          <w:noProof/>
        </w:rPr>
        <w:t>'</w:t>
      </w:r>
      <w:r w:rsidRPr="009678BA">
        <w:rPr>
          <w:noProof/>
        </w:rPr>
        <w:t>introduzione graduale e sugli obblighi di comunicazione consente inoltre il processo decisionale e il monitoraggio generale prima e durante l</w:t>
      </w:r>
      <w:r w:rsidR="0000279B">
        <w:rPr>
          <w:noProof/>
        </w:rPr>
        <w:t>'</w:t>
      </w:r>
      <w:r w:rsidRPr="009678BA">
        <w:rPr>
          <w:noProof/>
        </w:rPr>
        <w:t>avvio progressivo delle attività. I piani per l</w:t>
      </w:r>
      <w:r w:rsidR="0000279B">
        <w:rPr>
          <w:noProof/>
        </w:rPr>
        <w:t>'</w:t>
      </w:r>
      <w:r w:rsidRPr="009678BA">
        <w:rPr>
          <w:noProof/>
        </w:rPr>
        <w:t>introduzione graduale elaborati a livello centrale e nazionale sono frutto di una stretta cooperazione tra gli Stati membri, eu-LISA e la Commissione.</w:t>
      </w:r>
    </w:p>
    <w:p w:rsidR="00BE0D22" w:rsidRPr="009678BA" w:rsidRDefault="00BE0D22" w:rsidP="00BE0D22">
      <w:pPr>
        <w:pStyle w:val="ManualHeading2"/>
        <w:rPr>
          <w:rFonts w:eastAsia="Arial Unicode MS"/>
          <w:noProof/>
          <w:bdr w:val="nil"/>
        </w:rPr>
      </w:pPr>
      <w:r w:rsidRPr="009678BA">
        <w:rPr>
          <w:noProof/>
          <w:bdr w:val="nil"/>
        </w:rPr>
        <w:t>•</w:t>
      </w:r>
      <w:r w:rsidRPr="009678BA">
        <w:rPr>
          <w:noProof/>
        </w:rPr>
        <w:tab/>
      </w:r>
      <w:r w:rsidRPr="009678BA">
        <w:rPr>
          <w:noProof/>
          <w:bdr w:val="nil"/>
        </w:rPr>
        <w:t>Illustrazione dettagliata delle singole disposizioni della proposta</w:t>
      </w:r>
    </w:p>
    <w:p w:rsidR="00BE0D22" w:rsidRPr="009678BA" w:rsidRDefault="00BE0D22" w:rsidP="00BE0D22">
      <w:pPr>
        <w:rPr>
          <w:noProof/>
        </w:rPr>
      </w:pPr>
      <w:r w:rsidRPr="009678BA">
        <w:rPr>
          <w:noProof/>
        </w:rPr>
        <w:t>La proposta si compone dei blocchi descritti di seguito.</w:t>
      </w:r>
    </w:p>
    <w:p w:rsidR="00BE0D22" w:rsidRPr="009678BA" w:rsidRDefault="6A105A5B" w:rsidP="00A065B9">
      <w:pPr>
        <w:pStyle w:val="Tiret0"/>
        <w:numPr>
          <w:ilvl w:val="0"/>
          <w:numId w:val="21"/>
        </w:numPr>
        <w:rPr>
          <w:i/>
          <w:iCs/>
          <w:noProof/>
        </w:rPr>
      </w:pPr>
      <w:r w:rsidRPr="009678BA">
        <w:rPr>
          <w:b/>
          <w:noProof/>
        </w:rPr>
        <w:t>Introduzione graduale (articoli 1, 2 e 4)</w:t>
      </w:r>
      <w:r w:rsidRPr="009678BA">
        <w:rPr>
          <w:noProof/>
        </w:rPr>
        <w:t>: gli Stati membri avvieranno progressivamente le attività dell</w:t>
      </w:r>
      <w:r w:rsidR="0000279B">
        <w:rPr>
          <w:noProof/>
        </w:rPr>
        <w:t>'</w:t>
      </w:r>
      <w:r w:rsidRPr="009678BA">
        <w:rPr>
          <w:noProof/>
        </w:rPr>
        <w:t>EES, iniziando con una registrazione minima del 10 % degli attraversamenti stimati delle frontiere, per raggiungere la registrazione completa di tutte le persone entro la fine del periodo di entrata in funzione graduale. I</w:t>
      </w:r>
      <w:r w:rsidR="0000279B">
        <w:rPr>
          <w:noProof/>
        </w:rPr>
        <w:t> </w:t>
      </w:r>
      <w:r w:rsidRPr="009678BA">
        <w:rPr>
          <w:noProof/>
        </w:rPr>
        <w:t>respingimenti saranno registrati ai valichi di frontiera presso i quali l</w:t>
      </w:r>
      <w:r w:rsidR="0000279B">
        <w:rPr>
          <w:noProof/>
        </w:rPr>
        <w:t>'</w:t>
      </w:r>
      <w:r w:rsidRPr="009678BA">
        <w:rPr>
          <w:noProof/>
        </w:rPr>
        <w:t>EES è operativo. Gli Stati membri avranno la possibilità di accelerare l</w:t>
      </w:r>
      <w:r w:rsidR="0000279B">
        <w:rPr>
          <w:noProof/>
        </w:rPr>
        <w:t>'</w:t>
      </w:r>
      <w:r w:rsidRPr="009678BA">
        <w:rPr>
          <w:noProof/>
        </w:rPr>
        <w:t>attuazione a livello nazionale o di mettere pienamente in funzione l</w:t>
      </w:r>
      <w:r w:rsidR="0000279B">
        <w:rPr>
          <w:noProof/>
        </w:rPr>
        <w:t>'</w:t>
      </w:r>
      <w:r w:rsidRPr="009678BA">
        <w:rPr>
          <w:noProof/>
        </w:rPr>
        <w:t>EES. Europol inizierà a utilizzare l</w:t>
      </w:r>
      <w:r w:rsidR="0000279B">
        <w:rPr>
          <w:noProof/>
        </w:rPr>
        <w:t>'</w:t>
      </w:r>
      <w:r w:rsidRPr="009678BA">
        <w:rPr>
          <w:noProof/>
        </w:rPr>
        <w:t>EES a partire dal primo giorno dell</w:t>
      </w:r>
      <w:r w:rsidR="0000279B">
        <w:rPr>
          <w:noProof/>
        </w:rPr>
        <w:t>'</w:t>
      </w:r>
      <w:r w:rsidRPr="009678BA">
        <w:rPr>
          <w:noProof/>
        </w:rPr>
        <w:t xml:space="preserve">entrata in funzione graduale. </w:t>
      </w:r>
    </w:p>
    <w:p w:rsidR="00BE0D22" w:rsidRPr="009678BA" w:rsidRDefault="4BC05AE3" w:rsidP="00BE0D22">
      <w:pPr>
        <w:pStyle w:val="Tiret0"/>
        <w:rPr>
          <w:noProof/>
        </w:rPr>
      </w:pPr>
      <w:r w:rsidRPr="009678BA">
        <w:rPr>
          <w:b/>
          <w:noProof/>
        </w:rPr>
        <w:t>Piani di introduzione, monitoraggio e comunicazione (articolo 3)</w:t>
      </w:r>
      <w:r w:rsidRPr="009678BA">
        <w:rPr>
          <w:noProof/>
        </w:rPr>
        <w:t>: i dettagli dell</w:t>
      </w:r>
      <w:r w:rsidR="0000279B">
        <w:rPr>
          <w:noProof/>
        </w:rPr>
        <w:t>'</w:t>
      </w:r>
      <w:r w:rsidRPr="009678BA">
        <w:rPr>
          <w:noProof/>
        </w:rPr>
        <w:t>entrata in funzione graduale a livello centrale e nazionale saranno stabiliti nei piani di introduzione di eu-LISA e degli Stati membri, previa consultazione della Commissione. Gli Stati membri presenteranno alla Commissione e ad eu-LISA relazioni mensili sullo stato di avanzamento dei lavori. Qualora uno Stato membro decida di mettere pienamente in funzione l</w:t>
      </w:r>
      <w:r w:rsidR="0000279B">
        <w:rPr>
          <w:noProof/>
        </w:rPr>
        <w:t>'</w:t>
      </w:r>
      <w:r w:rsidRPr="009678BA">
        <w:rPr>
          <w:noProof/>
        </w:rPr>
        <w:t>EES, il piano di introduzione deve limitarsi a spiegare tale scelta.</w:t>
      </w:r>
    </w:p>
    <w:p w:rsidR="00BE0D22" w:rsidRPr="009678BA" w:rsidRDefault="31CE0F4E" w:rsidP="00D72D7C">
      <w:pPr>
        <w:pStyle w:val="Tiret0"/>
        <w:rPr>
          <w:noProof/>
        </w:rPr>
      </w:pPr>
      <w:r w:rsidRPr="009678BA">
        <w:rPr>
          <w:b/>
          <w:noProof/>
        </w:rPr>
        <w:t>Norme temporanee che derogano al regolamento EES e al codice frontiere Schengen (articolo 5)</w:t>
      </w:r>
      <w:r w:rsidRPr="009678BA">
        <w:rPr>
          <w:noProof/>
        </w:rPr>
        <w:t>: l</w:t>
      </w:r>
      <w:r w:rsidR="0000279B">
        <w:rPr>
          <w:noProof/>
        </w:rPr>
        <w:t>'</w:t>
      </w:r>
      <w:r w:rsidRPr="009678BA">
        <w:rPr>
          <w:noProof/>
        </w:rPr>
        <w:t>apposizione obbligatoria di timbri sui documenti di viaggio per tutte le persone che rientrano nell</w:t>
      </w:r>
      <w:r w:rsidR="0000279B">
        <w:rPr>
          <w:noProof/>
        </w:rPr>
        <w:t>'</w:t>
      </w:r>
      <w:r w:rsidRPr="009678BA">
        <w:rPr>
          <w:noProof/>
        </w:rPr>
        <w:t>ambito di applicazione dell</w:t>
      </w:r>
      <w:r w:rsidR="0000279B">
        <w:rPr>
          <w:noProof/>
        </w:rPr>
        <w:t>'</w:t>
      </w:r>
      <w:r w:rsidRPr="009678BA">
        <w:rPr>
          <w:noProof/>
        </w:rPr>
        <w:t>EES rimarrà in vigore fino alla fine del periodo di entrata in funzione graduale. Laddove è introdotto l</w:t>
      </w:r>
      <w:r w:rsidR="0000279B">
        <w:rPr>
          <w:noProof/>
        </w:rPr>
        <w:t>'</w:t>
      </w:r>
      <w:r w:rsidRPr="009678BA">
        <w:rPr>
          <w:noProof/>
        </w:rPr>
        <w:t>EES, gli Stati membri registreranno i dati dei viaggiatori contenuti nei loro documenti di viaggio. Gli Stati membri potranno registrare progressivamente i dati biometrici. Durante il periodo di entrata in funzione graduale dell</w:t>
      </w:r>
      <w:r w:rsidR="0000279B">
        <w:rPr>
          <w:noProof/>
        </w:rPr>
        <w:t>'</w:t>
      </w:r>
      <w:r w:rsidRPr="009678BA">
        <w:rPr>
          <w:noProof/>
        </w:rPr>
        <w:t>EES, le autorità che accedono ai dati registrati nell</w:t>
      </w:r>
      <w:r w:rsidR="0000279B">
        <w:rPr>
          <w:noProof/>
        </w:rPr>
        <w:t>'</w:t>
      </w:r>
      <w:r w:rsidRPr="009678BA">
        <w:rPr>
          <w:noProof/>
        </w:rPr>
        <w:t>EES daranno la precedenza ai timbri rispetto a tali dati. L</w:t>
      </w:r>
      <w:r w:rsidR="0000279B">
        <w:rPr>
          <w:noProof/>
        </w:rPr>
        <w:t>'</w:t>
      </w:r>
      <w:r w:rsidRPr="009678BA">
        <w:rPr>
          <w:noProof/>
        </w:rPr>
        <w:t>interoperabilità tra l</w:t>
      </w:r>
      <w:r w:rsidR="0000279B">
        <w:rPr>
          <w:noProof/>
        </w:rPr>
        <w:t>'</w:t>
      </w:r>
      <w:r w:rsidRPr="009678BA">
        <w:rPr>
          <w:noProof/>
        </w:rPr>
        <w:t>EES e il VIS sarà utilizzata ai valichi di frontiera presso i quali l</w:t>
      </w:r>
      <w:r w:rsidR="0000279B">
        <w:rPr>
          <w:noProof/>
        </w:rPr>
        <w:t>'</w:t>
      </w:r>
      <w:r w:rsidRPr="009678BA">
        <w:rPr>
          <w:noProof/>
        </w:rPr>
        <w:t>EES è operativo. Saranno ignorate le possibili conseguenze delle informazioni circa la durata massima rimanente di soggiorno autorizzato fornite dal calcolatore automatico. La verifica dell</w:t>
      </w:r>
      <w:r w:rsidR="0000279B">
        <w:rPr>
          <w:noProof/>
        </w:rPr>
        <w:t>'</w:t>
      </w:r>
      <w:r w:rsidRPr="009678BA">
        <w:rPr>
          <w:noProof/>
        </w:rPr>
        <w:t>identità e della precedente registrazione dei cittadini di paesi terzi avranno luogo solo ai valichi di frontiera presso i quali l</w:t>
      </w:r>
      <w:r w:rsidR="0000279B">
        <w:rPr>
          <w:noProof/>
        </w:rPr>
        <w:t>'</w:t>
      </w:r>
      <w:r w:rsidRPr="009678BA">
        <w:rPr>
          <w:noProof/>
        </w:rPr>
        <w:t>EES opera con funzionalità biometriche. Il sito web, la campagna d</w:t>
      </w:r>
      <w:r w:rsidR="0000279B">
        <w:rPr>
          <w:noProof/>
        </w:rPr>
        <w:t>'</w:t>
      </w:r>
      <w:r w:rsidRPr="009678BA">
        <w:rPr>
          <w:noProof/>
        </w:rPr>
        <w:t>informazione e il modello da fornire ai viaggiatori saranno adattati per tenere conto dell</w:t>
      </w:r>
      <w:r w:rsidR="0000279B">
        <w:rPr>
          <w:noProof/>
        </w:rPr>
        <w:t>'</w:t>
      </w:r>
      <w:r w:rsidRPr="009678BA">
        <w:rPr>
          <w:noProof/>
        </w:rPr>
        <w:t>entrata in funzione graduale. Per garantire la coerenza tra gli strumenti giuridici dell</w:t>
      </w:r>
      <w:r w:rsidR="0000279B">
        <w:rPr>
          <w:noProof/>
        </w:rPr>
        <w:t>'</w:t>
      </w:r>
      <w:r w:rsidRPr="009678BA">
        <w:rPr>
          <w:noProof/>
        </w:rPr>
        <w:t>UE e una chiara applicazione delle norme, alcune disposizioni del regolamento EES e del codice frontiere Schengen saranno sospese durante l</w:t>
      </w:r>
      <w:r w:rsidR="0000279B">
        <w:rPr>
          <w:noProof/>
        </w:rPr>
        <w:t>'</w:t>
      </w:r>
      <w:r w:rsidRPr="009678BA">
        <w:rPr>
          <w:noProof/>
        </w:rPr>
        <w:t>entrata in funzione graduale dell</w:t>
      </w:r>
      <w:r w:rsidR="0000279B">
        <w:rPr>
          <w:noProof/>
        </w:rPr>
        <w:t>'</w:t>
      </w:r>
      <w:r w:rsidRPr="009678BA">
        <w:rPr>
          <w:noProof/>
        </w:rPr>
        <w:t>EES.</w:t>
      </w:r>
    </w:p>
    <w:p w:rsidR="00BE0D22" w:rsidRPr="009678BA" w:rsidRDefault="0B850AC7" w:rsidP="5418986D">
      <w:pPr>
        <w:pStyle w:val="Tiret0"/>
        <w:rPr>
          <w:rFonts w:eastAsia="Times New Roman"/>
          <w:noProof/>
        </w:rPr>
      </w:pPr>
      <w:r w:rsidRPr="009678BA">
        <w:rPr>
          <w:b/>
          <w:noProof/>
        </w:rPr>
        <w:t>Accesso ai dati dell</w:t>
      </w:r>
      <w:r w:rsidR="0000279B">
        <w:rPr>
          <w:b/>
          <w:noProof/>
        </w:rPr>
        <w:t>'</w:t>
      </w:r>
      <w:r w:rsidRPr="009678BA">
        <w:rPr>
          <w:b/>
          <w:noProof/>
        </w:rPr>
        <w:t>EES (articolo 6)</w:t>
      </w:r>
      <w:r w:rsidRPr="009678BA">
        <w:rPr>
          <w:noProof/>
        </w:rPr>
        <w:t xml:space="preserve">: </w:t>
      </w:r>
      <w:r w:rsidRPr="009678BA">
        <w:rPr>
          <w:noProof/>
          <w:color w:val="333333"/>
        </w:rPr>
        <w:t>le autorità competenti dovrebbero tenere conto del fatto che i dati registrati nell</w:t>
      </w:r>
      <w:r w:rsidR="0000279B">
        <w:rPr>
          <w:noProof/>
          <w:color w:val="333333"/>
        </w:rPr>
        <w:t>'</w:t>
      </w:r>
      <w:r w:rsidRPr="009678BA">
        <w:rPr>
          <w:noProof/>
          <w:color w:val="333333"/>
        </w:rPr>
        <w:t>EES nel periodo di entrata in funzione graduale del sistema possono essere incompleti.</w:t>
      </w:r>
      <w:r w:rsidRPr="009678BA">
        <w:rPr>
          <w:noProof/>
        </w:rPr>
        <w:t xml:space="preserve"> I dati registrati nell</w:t>
      </w:r>
      <w:r w:rsidR="0000279B">
        <w:rPr>
          <w:noProof/>
        </w:rPr>
        <w:t>'</w:t>
      </w:r>
      <w:r w:rsidRPr="009678BA">
        <w:rPr>
          <w:noProof/>
        </w:rPr>
        <w:t>EES nel periodo di entrata in funzione graduale non saranno utilizzati dall</w:t>
      </w:r>
      <w:r w:rsidR="0000279B">
        <w:rPr>
          <w:noProof/>
        </w:rPr>
        <w:t>'</w:t>
      </w:r>
      <w:r w:rsidRPr="009678BA">
        <w:rPr>
          <w:noProof/>
        </w:rPr>
        <w:t>Agenzia europea della guardia di frontiera e costiera ai fini dell</w:t>
      </w:r>
      <w:r w:rsidR="0000279B">
        <w:rPr>
          <w:noProof/>
        </w:rPr>
        <w:t>'</w:t>
      </w:r>
      <w:r w:rsidRPr="009678BA">
        <w:rPr>
          <w:noProof/>
        </w:rPr>
        <w:t>esecuzione delle analisi di rischio e delle valutazioni delle vulnerabilità. Durante tale periodo sarà sospeso l</w:t>
      </w:r>
      <w:r w:rsidR="0000279B">
        <w:rPr>
          <w:noProof/>
        </w:rPr>
        <w:t>'</w:t>
      </w:r>
      <w:r w:rsidRPr="009678BA">
        <w:rPr>
          <w:noProof/>
        </w:rPr>
        <w:t>uso di diverse funzionalità dell</w:t>
      </w:r>
      <w:r w:rsidR="0000279B">
        <w:rPr>
          <w:noProof/>
        </w:rPr>
        <w:t>'</w:t>
      </w:r>
      <w:r w:rsidRPr="009678BA">
        <w:rPr>
          <w:noProof/>
        </w:rPr>
        <w:t>EES che richiedono l</w:t>
      </w:r>
      <w:r w:rsidR="0000279B">
        <w:rPr>
          <w:noProof/>
        </w:rPr>
        <w:t>'</w:t>
      </w:r>
      <w:r w:rsidRPr="009678BA">
        <w:rPr>
          <w:noProof/>
        </w:rPr>
        <w:t>applicazione uniforme del sistema in tutti gli Stati membri. I vettori potranno iniziare a utilizzare il servizio web solo 90 giorni dopo l</w:t>
      </w:r>
      <w:r w:rsidR="0000279B">
        <w:rPr>
          <w:noProof/>
        </w:rPr>
        <w:t>'</w:t>
      </w:r>
      <w:r w:rsidRPr="009678BA">
        <w:rPr>
          <w:noProof/>
        </w:rPr>
        <w:t>inizio del periodo di entrata in funzione graduale.</w:t>
      </w:r>
    </w:p>
    <w:p w:rsidR="00BE0D22" w:rsidRPr="009678BA" w:rsidRDefault="4BC05AE3" w:rsidP="00BE0D22">
      <w:pPr>
        <w:pStyle w:val="Tiret0"/>
        <w:rPr>
          <w:noProof/>
        </w:rPr>
      </w:pPr>
      <w:r w:rsidRPr="009678BA">
        <w:rPr>
          <w:b/>
          <w:noProof/>
        </w:rPr>
        <w:t>Sospensione delle operazioni dell</w:t>
      </w:r>
      <w:r w:rsidR="0000279B">
        <w:rPr>
          <w:b/>
          <w:noProof/>
        </w:rPr>
        <w:t>'</w:t>
      </w:r>
      <w:r w:rsidRPr="009678BA">
        <w:rPr>
          <w:b/>
          <w:noProof/>
        </w:rPr>
        <w:t>EES (articolo 7)</w:t>
      </w:r>
      <w:r w:rsidRPr="009678BA">
        <w:rPr>
          <w:noProof/>
        </w:rPr>
        <w:t>: in casi eccezionali di guasto del sistema centrale dell</w:t>
      </w:r>
      <w:r w:rsidR="0000279B">
        <w:rPr>
          <w:noProof/>
        </w:rPr>
        <w:t>'</w:t>
      </w:r>
      <w:r w:rsidRPr="009678BA">
        <w:rPr>
          <w:noProof/>
        </w:rPr>
        <w:t>EES, dei sistemi nazionali o dell</w:t>
      </w:r>
      <w:r w:rsidR="0000279B">
        <w:rPr>
          <w:noProof/>
        </w:rPr>
        <w:t>'</w:t>
      </w:r>
      <w:r w:rsidRPr="009678BA">
        <w:rPr>
          <w:noProof/>
        </w:rPr>
        <w:t>infrastruttura di comunicazione, o di tempi di attesa eccessivi alle frontiere, gli Stati membri possono decidere di non registrare nessun dato (sospensione totale) o di non registrare i dati biometrici (sospensione parziale). La sospensione parziale sarà possibile dopo la fine del periodo di entrata in funzione graduale, per un periodo limitato, in circostanze eccezionali in cui l</w:t>
      </w:r>
      <w:r w:rsidR="0000279B">
        <w:rPr>
          <w:noProof/>
        </w:rPr>
        <w:t>'</w:t>
      </w:r>
      <w:r w:rsidRPr="009678BA">
        <w:rPr>
          <w:noProof/>
        </w:rPr>
        <w:t xml:space="preserve">intensità di traffico è tale da rendere eccessivi i tempi di attesa alle frontiere. </w:t>
      </w:r>
    </w:p>
    <w:p w:rsidR="005F1085" w:rsidRPr="009678BA" w:rsidRDefault="5593C8DC" w:rsidP="00921D3B">
      <w:pPr>
        <w:pStyle w:val="Tiret0"/>
        <w:rPr>
          <w:noProof/>
        </w:rPr>
      </w:pPr>
      <w:r w:rsidRPr="009678BA">
        <w:rPr>
          <w:b/>
          <w:noProof/>
        </w:rPr>
        <w:t>Entrata in vigore e applicazione (articolo 8)</w:t>
      </w:r>
      <w:r w:rsidRPr="009678BA">
        <w:rPr>
          <w:noProof/>
        </w:rPr>
        <w:t>: la proposta prevede tre fasi di applicabilità: i) i lavori preparatori relativi ai piani di introduzione di cui all</w:t>
      </w:r>
      <w:r w:rsidR="0000279B">
        <w:rPr>
          <w:noProof/>
        </w:rPr>
        <w:t>'</w:t>
      </w:r>
      <w:r w:rsidRPr="009678BA">
        <w:rPr>
          <w:noProof/>
        </w:rPr>
        <w:t>articolo</w:t>
      </w:r>
      <w:r w:rsidR="0000279B">
        <w:rPr>
          <w:noProof/>
        </w:rPr>
        <w:t> </w:t>
      </w:r>
      <w:r w:rsidRPr="009678BA">
        <w:rPr>
          <w:noProof/>
        </w:rPr>
        <w:t>3, che inizieranno alla data di entrata in vigore del regolamento proposto; ii) il periodo di entrata in funzione graduale, che inizierà dalla data decisa dalla Commissione conformemente all</w:t>
      </w:r>
      <w:r w:rsidR="0000279B">
        <w:rPr>
          <w:noProof/>
        </w:rPr>
        <w:t>'</w:t>
      </w:r>
      <w:r w:rsidRPr="009678BA">
        <w:rPr>
          <w:noProof/>
        </w:rPr>
        <w:t>articolo 66, paragrafo 1, del regolamento EES dopo aver ricevuto da tutti gli Stati membri le notifiche di cui all</w:t>
      </w:r>
      <w:r w:rsidR="0000279B">
        <w:rPr>
          <w:noProof/>
        </w:rPr>
        <w:t>'</w:t>
      </w:r>
      <w:r w:rsidRPr="009678BA">
        <w:rPr>
          <w:noProof/>
        </w:rPr>
        <w:t>articolo 66, paragrafo 1, lettera c), del regolamento EES; iii) un periodo di applicabilità prorogato per alcune delle norme derogatorie sull</w:t>
      </w:r>
      <w:r w:rsidR="0000279B">
        <w:rPr>
          <w:noProof/>
        </w:rPr>
        <w:t>'</w:t>
      </w:r>
      <w:r w:rsidRPr="009678BA">
        <w:rPr>
          <w:noProof/>
        </w:rPr>
        <w:t>applicazione del periodo transitorio e delle misure transitorie, sull</w:t>
      </w:r>
      <w:r w:rsidR="0000279B">
        <w:rPr>
          <w:noProof/>
        </w:rPr>
        <w:t>'</w:t>
      </w:r>
      <w:r w:rsidRPr="009678BA">
        <w:rPr>
          <w:noProof/>
        </w:rPr>
        <w:t>accesso ai fascicoli incompleti e sull</w:t>
      </w:r>
      <w:r w:rsidR="0000279B">
        <w:rPr>
          <w:noProof/>
        </w:rPr>
        <w:t>'</w:t>
      </w:r>
      <w:r w:rsidRPr="009678BA">
        <w:rPr>
          <w:noProof/>
        </w:rPr>
        <w:t>uso degli stessi, nonché sull</w:t>
      </w:r>
      <w:r w:rsidR="0000279B">
        <w:rPr>
          <w:noProof/>
        </w:rPr>
        <w:t>'</w:t>
      </w:r>
      <w:r w:rsidRPr="009678BA">
        <w:rPr>
          <w:noProof/>
        </w:rPr>
        <w:t>obbligo dei vettori di verificare i timbri apposti sui documenti di viaggio di cui all</w:t>
      </w:r>
      <w:r w:rsidR="0000279B">
        <w:rPr>
          <w:noProof/>
        </w:rPr>
        <w:t>'</w:t>
      </w:r>
      <w:r w:rsidRPr="009678BA">
        <w:rPr>
          <w:noProof/>
        </w:rPr>
        <w:t>articolo 6 e sul meccanismo di sospensione di cui all</w:t>
      </w:r>
      <w:r w:rsidR="0000279B">
        <w:rPr>
          <w:noProof/>
        </w:rPr>
        <w:t>'</w:t>
      </w:r>
      <w:r w:rsidRPr="009678BA">
        <w:rPr>
          <w:noProof/>
        </w:rPr>
        <w:t>articolo 7. Le notifiche degli Stati membri di cui all</w:t>
      </w:r>
      <w:r w:rsidR="0000279B">
        <w:rPr>
          <w:noProof/>
        </w:rPr>
        <w:t>'</w:t>
      </w:r>
      <w:r w:rsidRPr="009678BA">
        <w:rPr>
          <w:noProof/>
        </w:rPr>
        <w:t>articolo 66, paragrafo 1, lettera c), del regolamento EES dovrebbero essere considerate alla luce dell</w:t>
      </w:r>
      <w:r w:rsidR="0000279B">
        <w:rPr>
          <w:noProof/>
        </w:rPr>
        <w:t>'</w:t>
      </w:r>
      <w:r w:rsidRPr="009678BA">
        <w:rPr>
          <w:noProof/>
        </w:rPr>
        <w:t>entrata in funzione graduale. Attraverso tali notifiche gli Stati membri confermano di essere in grado di usare l</w:t>
      </w:r>
      <w:r w:rsidR="0000279B">
        <w:rPr>
          <w:noProof/>
        </w:rPr>
        <w:t>'</w:t>
      </w:r>
      <w:r w:rsidRPr="009678BA">
        <w:rPr>
          <w:noProof/>
        </w:rPr>
        <w:t>EES. Ciò non significa tuttavia che tutti i valichi di frontiera debbano essere completamente pronti e attrezzati fin dall</w:t>
      </w:r>
      <w:r w:rsidR="0000279B">
        <w:rPr>
          <w:noProof/>
        </w:rPr>
        <w:t>'</w:t>
      </w:r>
      <w:r w:rsidRPr="009678BA">
        <w:rPr>
          <w:noProof/>
        </w:rPr>
        <w:t>inizio del periodo di introduzione graduale.</w:t>
      </w:r>
    </w:p>
    <w:p w:rsidR="00B06A31" w:rsidRPr="009678BA" w:rsidRDefault="00B06A31" w:rsidP="00B06A31">
      <w:pPr>
        <w:rPr>
          <w:noProof/>
        </w:rPr>
        <w:sectPr w:rsidR="00B06A31" w:rsidRPr="009678BA" w:rsidSect="00D679FD">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0C1282" w:rsidRDefault="00E84545">
      <w:pPr>
        <w:pStyle w:val="Rfrenceinterinstitutionnelle"/>
        <w:rPr>
          <w:noProof/>
        </w:rPr>
      </w:pPr>
      <w:r>
        <w:rPr>
          <w:noProof/>
        </w:rPr>
        <w:t>2024/0315 (COD)</w:t>
      </w:r>
    </w:p>
    <w:p w:rsidR="005F1085" w:rsidRPr="009678BA" w:rsidRDefault="009678BA" w:rsidP="009678BA">
      <w:pPr>
        <w:pStyle w:val="Statut"/>
        <w:rPr>
          <w:noProof/>
        </w:rPr>
      </w:pPr>
      <w:r w:rsidRPr="009678BA">
        <w:rPr>
          <w:noProof/>
        </w:rPr>
        <w:t>Proposta di</w:t>
      </w:r>
    </w:p>
    <w:p w:rsidR="005F1085" w:rsidRPr="009678BA" w:rsidRDefault="009678BA" w:rsidP="009678BA">
      <w:pPr>
        <w:pStyle w:val="Typedudocument"/>
        <w:rPr>
          <w:noProof/>
        </w:rPr>
      </w:pPr>
      <w:r w:rsidRPr="009678BA">
        <w:rPr>
          <w:noProof/>
        </w:rPr>
        <w:t>REGOLAMENTO DEL PARLAMENTO EUROPEO E DEL CONSIGLIO</w:t>
      </w:r>
    </w:p>
    <w:p w:rsidR="005F1085" w:rsidRPr="009678BA" w:rsidRDefault="009678BA" w:rsidP="009678BA">
      <w:pPr>
        <w:pStyle w:val="Titreobjet"/>
        <w:rPr>
          <w:noProof/>
        </w:rPr>
      </w:pPr>
      <w:r w:rsidRPr="009678BA">
        <w:rPr>
          <w:noProof/>
        </w:rPr>
        <w:t>relativo a una deroga temporanea a talune disposizioni del regolamento (UE) 2017/2226 e del regolamento (UE) 2016/399 per quanto riguarda l</w:t>
      </w:r>
      <w:r w:rsidR="0000279B">
        <w:rPr>
          <w:noProof/>
        </w:rPr>
        <w:t>'</w:t>
      </w:r>
      <w:r w:rsidRPr="009678BA">
        <w:rPr>
          <w:noProof/>
        </w:rPr>
        <w:t xml:space="preserve">entrata in funzione graduale del sistema di ingressi/uscite </w:t>
      </w:r>
      <w:r w:rsidRPr="009678BA">
        <w:rPr>
          <w:noProof/>
        </w:rPr>
        <w:br/>
      </w:r>
    </w:p>
    <w:p w:rsidR="005F1085" w:rsidRPr="009678BA" w:rsidRDefault="005F1085" w:rsidP="00EA4AAF">
      <w:pPr>
        <w:pStyle w:val="Institutionquiagit"/>
        <w:rPr>
          <w:noProof/>
        </w:rPr>
      </w:pPr>
      <w:r w:rsidRPr="009678BA">
        <w:rPr>
          <w:noProof/>
        </w:rPr>
        <w:t>IL PARLAMENTO EUROPEO E IL CONSIGLIO DELL</w:t>
      </w:r>
      <w:r w:rsidR="0000279B">
        <w:rPr>
          <w:noProof/>
        </w:rPr>
        <w:t>'</w:t>
      </w:r>
      <w:r w:rsidRPr="009678BA">
        <w:rPr>
          <w:noProof/>
        </w:rPr>
        <w:t>UNIONE EUROPEA,</w:t>
      </w:r>
    </w:p>
    <w:p w:rsidR="009B4800" w:rsidRPr="009678BA" w:rsidRDefault="009B4800" w:rsidP="009B4800">
      <w:pPr>
        <w:rPr>
          <w:noProof/>
        </w:rPr>
      </w:pPr>
      <w:r w:rsidRPr="009678BA">
        <w:rPr>
          <w:noProof/>
        </w:rPr>
        <w:t>visto il trattato sul funzionamento dell</w:t>
      </w:r>
      <w:r w:rsidR="0000279B">
        <w:rPr>
          <w:noProof/>
        </w:rPr>
        <w:t>'</w:t>
      </w:r>
      <w:r w:rsidRPr="009678BA">
        <w:rPr>
          <w:noProof/>
        </w:rPr>
        <w:t>Unione europea, in particolare l</w:t>
      </w:r>
      <w:r w:rsidR="0000279B">
        <w:rPr>
          <w:noProof/>
        </w:rPr>
        <w:t>'</w:t>
      </w:r>
      <w:r w:rsidRPr="009678BA">
        <w:rPr>
          <w:noProof/>
        </w:rPr>
        <w:t>articolo 77, paragrafo</w:t>
      </w:r>
      <w:r w:rsidR="0000279B">
        <w:rPr>
          <w:noProof/>
        </w:rPr>
        <w:t> </w:t>
      </w:r>
      <w:r w:rsidRPr="009678BA">
        <w:rPr>
          <w:noProof/>
        </w:rPr>
        <w:t>2, lettere b) e d), e l</w:t>
      </w:r>
      <w:r w:rsidR="0000279B">
        <w:rPr>
          <w:noProof/>
        </w:rPr>
        <w:t>'</w:t>
      </w:r>
      <w:r w:rsidRPr="009678BA">
        <w:rPr>
          <w:noProof/>
        </w:rPr>
        <w:t>articolo 87, paragrafo 2, lettera a),</w:t>
      </w:r>
    </w:p>
    <w:p w:rsidR="005F1085" w:rsidRPr="009678BA" w:rsidRDefault="005F1085">
      <w:pPr>
        <w:rPr>
          <w:noProof/>
        </w:rPr>
      </w:pPr>
      <w:r w:rsidRPr="009678BA">
        <w:rPr>
          <w:noProof/>
        </w:rPr>
        <w:t>vista la proposta della Commissione europea,</w:t>
      </w:r>
    </w:p>
    <w:p w:rsidR="005F1085" w:rsidRPr="009678BA" w:rsidRDefault="005F1085">
      <w:pPr>
        <w:rPr>
          <w:noProof/>
        </w:rPr>
      </w:pPr>
      <w:r w:rsidRPr="009678BA">
        <w:rPr>
          <w:noProof/>
        </w:rPr>
        <w:t>previa trasmissione del progetto di atto legislativo ai parlamenti nazionali,</w:t>
      </w:r>
    </w:p>
    <w:p w:rsidR="005F1085" w:rsidRPr="009678BA" w:rsidRDefault="005F1085">
      <w:pPr>
        <w:rPr>
          <w:noProof/>
        </w:rPr>
      </w:pPr>
      <w:r w:rsidRPr="009678BA">
        <w:rPr>
          <w:noProof/>
        </w:rPr>
        <w:t>deliberando secondo la procedura legislativa ordinaria</w:t>
      </w:r>
      <w:r w:rsidRPr="009678BA">
        <w:rPr>
          <w:rStyle w:val="FootnoteReference"/>
          <w:noProof/>
        </w:rPr>
        <w:footnoteReference w:id="9"/>
      </w:r>
      <w:r w:rsidRPr="009678BA">
        <w:rPr>
          <w:noProof/>
        </w:rPr>
        <w:t>,</w:t>
      </w:r>
    </w:p>
    <w:p w:rsidR="005F1085" w:rsidRPr="009678BA" w:rsidRDefault="005F1085">
      <w:pPr>
        <w:rPr>
          <w:noProof/>
        </w:rPr>
      </w:pPr>
      <w:r w:rsidRPr="009678BA">
        <w:rPr>
          <w:noProof/>
        </w:rPr>
        <w:t>considerando quanto segue:</w:t>
      </w:r>
    </w:p>
    <w:p w:rsidR="00BE0D22" w:rsidRPr="009678BA" w:rsidRDefault="00425D1B" w:rsidP="00425D1B">
      <w:pPr>
        <w:pStyle w:val="ManualConsidrant"/>
        <w:rPr>
          <w:noProof/>
        </w:rPr>
      </w:pPr>
      <w:r w:rsidRPr="00425D1B">
        <w:rPr>
          <w:noProof/>
        </w:rPr>
        <w:t>(1)</w:t>
      </w:r>
      <w:r w:rsidRPr="00425D1B">
        <w:rPr>
          <w:noProof/>
        </w:rPr>
        <w:tab/>
      </w:r>
      <w:r w:rsidR="00180961" w:rsidRPr="009678BA">
        <w:rPr>
          <w:noProof/>
        </w:rPr>
        <w:t>A norma dell</w:t>
      </w:r>
      <w:r w:rsidR="0000279B">
        <w:rPr>
          <w:noProof/>
        </w:rPr>
        <w:t>'</w:t>
      </w:r>
      <w:r w:rsidR="00180961" w:rsidRPr="009678BA">
        <w:rPr>
          <w:noProof/>
        </w:rPr>
        <w:t>articolo 66, paragrafo 1, del regolamento (UE) 2017/2226 del Parlamento europeo e del Consiglio</w:t>
      </w:r>
      <w:r w:rsidR="00180961" w:rsidRPr="009678BA">
        <w:rPr>
          <w:rStyle w:val="FootnoteReference"/>
          <w:noProof/>
        </w:rPr>
        <w:footnoteReference w:id="10"/>
      </w:r>
      <w:r w:rsidR="00180961" w:rsidRPr="009678BA">
        <w:rPr>
          <w:noProof/>
        </w:rPr>
        <w:t xml:space="preserve"> che istituisce un sistema di ingressi/uscite (EES), la Commissione deve decidere la data a partire dalla quale l</w:t>
      </w:r>
      <w:r w:rsidR="0000279B">
        <w:rPr>
          <w:noProof/>
        </w:rPr>
        <w:t>'</w:t>
      </w:r>
      <w:r w:rsidR="00180961" w:rsidRPr="009678BA">
        <w:rPr>
          <w:noProof/>
        </w:rPr>
        <w:t xml:space="preserve">EES entra in funzione, una volta soddisfatte determinate condizioni. </w:t>
      </w:r>
    </w:p>
    <w:p w:rsidR="00BE0D22" w:rsidRPr="009678BA" w:rsidRDefault="00425D1B" w:rsidP="00425D1B">
      <w:pPr>
        <w:pStyle w:val="ManualConsidrant"/>
        <w:rPr>
          <w:noProof/>
        </w:rPr>
      </w:pPr>
      <w:r w:rsidRPr="00425D1B">
        <w:rPr>
          <w:noProof/>
        </w:rPr>
        <w:t>(2)</w:t>
      </w:r>
      <w:r w:rsidRPr="00425D1B">
        <w:rPr>
          <w:noProof/>
        </w:rPr>
        <w:tab/>
      </w:r>
      <w:r w:rsidR="7286511D" w:rsidRPr="009678BA">
        <w:rPr>
          <w:noProof/>
        </w:rPr>
        <w:t>La Commissione non ha tuttavia ricevuto tutte le notifiche di cui all</w:t>
      </w:r>
      <w:r w:rsidR="0000279B">
        <w:rPr>
          <w:noProof/>
        </w:rPr>
        <w:t>'</w:t>
      </w:r>
      <w:r w:rsidR="7286511D" w:rsidRPr="009678BA">
        <w:rPr>
          <w:noProof/>
        </w:rPr>
        <w:t>articolo 66, paragrafo 1, lettera c), del regolamento (UE) 2017/2226, la cui trasmissione costituisce una delle condizioni per decidere l</w:t>
      </w:r>
      <w:r w:rsidR="0000279B">
        <w:rPr>
          <w:noProof/>
        </w:rPr>
        <w:t>'</w:t>
      </w:r>
      <w:r w:rsidR="7286511D" w:rsidRPr="009678BA">
        <w:rPr>
          <w:noProof/>
        </w:rPr>
        <w:t>entrata in funzione dell</w:t>
      </w:r>
      <w:r w:rsidR="0000279B">
        <w:rPr>
          <w:noProof/>
        </w:rPr>
        <w:t>'</w:t>
      </w:r>
      <w:r w:rsidR="7286511D" w:rsidRPr="009678BA">
        <w:rPr>
          <w:noProof/>
        </w:rPr>
        <w:t xml:space="preserve">EES. </w:t>
      </w:r>
    </w:p>
    <w:p w:rsidR="00BE0D22" w:rsidRPr="009678BA" w:rsidRDefault="00425D1B" w:rsidP="00425D1B">
      <w:pPr>
        <w:pStyle w:val="ManualConsidrant"/>
        <w:rPr>
          <w:noProof/>
        </w:rPr>
      </w:pPr>
      <w:r w:rsidRPr="00425D1B">
        <w:rPr>
          <w:noProof/>
        </w:rPr>
        <w:t>(3)</w:t>
      </w:r>
      <w:r w:rsidRPr="00425D1B">
        <w:rPr>
          <w:noProof/>
        </w:rPr>
        <w:tab/>
      </w:r>
      <w:r w:rsidR="00BE0D22" w:rsidRPr="009678BA">
        <w:rPr>
          <w:noProof/>
        </w:rPr>
        <w:t>Il regolamento (UE) 2017/2226 permette solo l</w:t>
      </w:r>
      <w:r w:rsidR="0000279B">
        <w:rPr>
          <w:noProof/>
        </w:rPr>
        <w:t>'</w:t>
      </w:r>
      <w:r w:rsidR="00BE0D22" w:rsidRPr="009678BA">
        <w:rPr>
          <w:noProof/>
        </w:rPr>
        <w:t>entrata in funzione completa, che richiede che tutti gli Stati membri inizino a usare integralmente il sistema nei confronti di tutti i cittadini di paesi terzi soggetti a registrazione nell</w:t>
      </w:r>
      <w:r w:rsidR="0000279B">
        <w:rPr>
          <w:noProof/>
        </w:rPr>
        <w:t>'</w:t>
      </w:r>
      <w:r w:rsidR="00BE0D22" w:rsidRPr="009678BA">
        <w:rPr>
          <w:noProof/>
        </w:rPr>
        <w:t xml:space="preserve">EES e lo introducano simultaneamente presso tutti i loro valichi di frontiera. </w:t>
      </w:r>
    </w:p>
    <w:p w:rsidR="00BE0D22" w:rsidRPr="009678BA" w:rsidRDefault="00425D1B" w:rsidP="00425D1B">
      <w:pPr>
        <w:pStyle w:val="ManualConsidrant"/>
        <w:rPr>
          <w:noProof/>
        </w:rPr>
      </w:pPr>
      <w:r w:rsidRPr="00425D1B">
        <w:rPr>
          <w:noProof/>
        </w:rPr>
        <w:t>(4)</w:t>
      </w:r>
      <w:r w:rsidRPr="00425D1B">
        <w:rPr>
          <w:noProof/>
        </w:rPr>
        <w:tab/>
      </w:r>
      <w:r w:rsidR="00BE0D22" w:rsidRPr="009678BA">
        <w:rPr>
          <w:noProof/>
        </w:rPr>
        <w:t>Al fine di accordare agli Stati membri la flessibilità necessaria perché inizino a usare l</w:t>
      </w:r>
      <w:r w:rsidR="0000279B">
        <w:rPr>
          <w:noProof/>
        </w:rPr>
        <w:t>'</w:t>
      </w:r>
      <w:r w:rsidR="00BE0D22" w:rsidRPr="009678BA">
        <w:rPr>
          <w:noProof/>
        </w:rPr>
        <w:t>EES in funzione del loro livello di preparazione e di facilitare gli adeguamenti tecnici e operativi al momento dell</w:t>
      </w:r>
      <w:r w:rsidR="0000279B">
        <w:rPr>
          <w:noProof/>
        </w:rPr>
        <w:t>'</w:t>
      </w:r>
      <w:r w:rsidR="00BE0D22" w:rsidRPr="009678BA">
        <w:rPr>
          <w:noProof/>
        </w:rPr>
        <w:t>entrata in funzione del sistema, è necessario stabilire norme per l</w:t>
      </w:r>
      <w:r w:rsidR="0000279B">
        <w:rPr>
          <w:noProof/>
        </w:rPr>
        <w:t>'</w:t>
      </w:r>
      <w:r w:rsidR="00BE0D22" w:rsidRPr="009678BA">
        <w:rPr>
          <w:noProof/>
        </w:rPr>
        <w:t>entrata in funzione graduale dell</w:t>
      </w:r>
      <w:r w:rsidR="0000279B">
        <w:rPr>
          <w:noProof/>
        </w:rPr>
        <w:t>'</w:t>
      </w:r>
      <w:r w:rsidR="00BE0D22" w:rsidRPr="009678BA">
        <w:rPr>
          <w:noProof/>
        </w:rPr>
        <w:t xml:space="preserve">EES. Affinché tali adeguamenti tengano conto dei potenziali flussi di viaggio e dei picchi stagionali, è opportuno che tale entrata in funzione graduale abbia una durata di 180 giorni di calendario. </w:t>
      </w:r>
    </w:p>
    <w:p w:rsidR="00BE0D22" w:rsidRPr="009678BA" w:rsidRDefault="00425D1B" w:rsidP="00425D1B">
      <w:pPr>
        <w:pStyle w:val="ManualConsidrant"/>
        <w:rPr>
          <w:noProof/>
        </w:rPr>
      </w:pPr>
      <w:r w:rsidRPr="00425D1B">
        <w:rPr>
          <w:noProof/>
        </w:rPr>
        <w:t>(5)</w:t>
      </w:r>
      <w:r w:rsidRPr="00425D1B">
        <w:rPr>
          <w:noProof/>
        </w:rPr>
        <w:tab/>
      </w:r>
      <w:r w:rsidR="2872881E" w:rsidRPr="009678BA">
        <w:rPr>
          <w:noProof/>
        </w:rPr>
        <w:t>Per consentire l</w:t>
      </w:r>
      <w:r w:rsidR="0000279B">
        <w:rPr>
          <w:noProof/>
        </w:rPr>
        <w:t>'</w:t>
      </w:r>
      <w:r w:rsidR="2872881E" w:rsidRPr="009678BA">
        <w:rPr>
          <w:noProof/>
        </w:rPr>
        <w:t>entrata in funzione graduale dell</w:t>
      </w:r>
      <w:r w:rsidR="0000279B">
        <w:rPr>
          <w:noProof/>
        </w:rPr>
        <w:t>'</w:t>
      </w:r>
      <w:r w:rsidR="2872881E" w:rsidRPr="009678BA">
        <w:rPr>
          <w:noProof/>
        </w:rPr>
        <w:t>EES occorre pertanto derogare a talune disposizioni del regolamento (UE) 2017/2226 e del regolamento (UE) 2016/399 del Parlamento europeo e del Consiglio</w:t>
      </w:r>
      <w:r w:rsidR="2872881E" w:rsidRPr="009678BA">
        <w:rPr>
          <w:rStyle w:val="FootnoteReference"/>
          <w:noProof/>
        </w:rPr>
        <w:footnoteReference w:id="11"/>
      </w:r>
      <w:r w:rsidR="2872881E" w:rsidRPr="009678BA">
        <w:rPr>
          <w:noProof/>
        </w:rPr>
        <w:t xml:space="preserve"> (</w:t>
      </w:r>
      <w:r w:rsidR="0000279B">
        <w:rPr>
          <w:noProof/>
        </w:rPr>
        <w:t>"</w:t>
      </w:r>
      <w:r w:rsidR="2872881E" w:rsidRPr="009678BA">
        <w:rPr>
          <w:noProof/>
        </w:rPr>
        <w:t>codice frontiere Schengen</w:t>
      </w:r>
      <w:r w:rsidR="0000279B">
        <w:rPr>
          <w:noProof/>
        </w:rPr>
        <w:t>"</w:t>
      </w:r>
      <w:r w:rsidR="2872881E" w:rsidRPr="009678BA">
        <w:rPr>
          <w:noProof/>
        </w:rPr>
        <w:t>). Altre norme del regolamento (UE) 2017/2226 che non sono interessate dal presente regolamento si applicano come previsto da detto regolamento. In particolare, i dati registrati nell</w:t>
      </w:r>
      <w:r w:rsidR="0000279B">
        <w:rPr>
          <w:noProof/>
        </w:rPr>
        <w:t>'</w:t>
      </w:r>
      <w:r w:rsidR="2872881E" w:rsidRPr="009678BA">
        <w:rPr>
          <w:noProof/>
        </w:rPr>
        <w:t>EES durante l</w:t>
      </w:r>
      <w:r w:rsidR="0000279B">
        <w:rPr>
          <w:noProof/>
        </w:rPr>
        <w:t>'</w:t>
      </w:r>
      <w:r w:rsidR="2872881E" w:rsidRPr="009678BA">
        <w:rPr>
          <w:noProof/>
        </w:rPr>
        <w:t xml:space="preserve">entrata in funzione graduale sono soggetti alle norme del regolamento (UE) 2017/2226 e sono considerati affidabili e accurati. </w:t>
      </w:r>
    </w:p>
    <w:p w:rsidR="00BE0D22" w:rsidRPr="009678BA" w:rsidRDefault="00425D1B" w:rsidP="00425D1B">
      <w:pPr>
        <w:pStyle w:val="ManualConsidrant"/>
        <w:rPr>
          <w:noProof/>
        </w:rPr>
      </w:pPr>
      <w:r w:rsidRPr="00425D1B">
        <w:rPr>
          <w:noProof/>
        </w:rPr>
        <w:t>(6)</w:t>
      </w:r>
      <w:r w:rsidRPr="00425D1B">
        <w:rPr>
          <w:noProof/>
        </w:rPr>
        <w:tab/>
      </w:r>
      <w:r w:rsidR="4BC05AE3" w:rsidRPr="009678BA">
        <w:rPr>
          <w:noProof/>
        </w:rPr>
        <w:t>Gli Stati membri dovrebbero iniziare progressivamente a mettere in funzione l</w:t>
      </w:r>
      <w:r w:rsidR="0000279B">
        <w:rPr>
          <w:noProof/>
        </w:rPr>
        <w:t>'</w:t>
      </w:r>
      <w:r w:rsidR="4BC05AE3" w:rsidRPr="009678BA">
        <w:rPr>
          <w:noProof/>
        </w:rPr>
        <w:t>EES per registrare presso uno o più valichi di frontiera, all</w:t>
      </w:r>
      <w:r w:rsidR="0000279B">
        <w:rPr>
          <w:noProof/>
        </w:rPr>
        <w:t>'</w:t>
      </w:r>
      <w:r w:rsidR="4BC05AE3" w:rsidRPr="009678BA">
        <w:rPr>
          <w:noProof/>
        </w:rPr>
        <w:t>ingresso e all</w:t>
      </w:r>
      <w:r w:rsidR="0000279B">
        <w:rPr>
          <w:noProof/>
        </w:rPr>
        <w:t>'</w:t>
      </w:r>
      <w:r w:rsidR="4BC05AE3" w:rsidRPr="009678BA">
        <w:rPr>
          <w:noProof/>
        </w:rPr>
        <w:t>uscita, i dati dei cittadini di paesi terzi soggetti a registrazione nel sistema. Se possibile e applicabile, gli Stati membri dovrebbero prevedere una combinazione di valichi di frontiera aerei, terrestri e marittimi. Per consentire un avvio controllato dell</w:t>
      </w:r>
      <w:r w:rsidR="0000279B">
        <w:rPr>
          <w:noProof/>
        </w:rPr>
        <w:t>'</w:t>
      </w:r>
      <w:r w:rsidR="4BC05AE3" w:rsidRPr="009678BA">
        <w:rPr>
          <w:noProof/>
        </w:rPr>
        <w:t>EES e per gestire meglio ed evitare potenziali lunghi tempi di attesa alle frontiere, se del caso, gli Stati membri dovrebbero utilizzare progressivamente tutte le funzionalità dell</w:t>
      </w:r>
      <w:r w:rsidR="0000279B">
        <w:rPr>
          <w:noProof/>
        </w:rPr>
        <w:t>'</w:t>
      </w:r>
      <w:r w:rsidR="4BC05AE3" w:rsidRPr="009678BA">
        <w:rPr>
          <w:noProof/>
        </w:rPr>
        <w:t>EES e inserire gradualmente i dati di tutti i cittadini di paesi terzi soggetti a registrazione nel sistema. Ai fini di un approccio coordinato è opportuno che l</w:t>
      </w:r>
      <w:r w:rsidR="0000279B">
        <w:rPr>
          <w:noProof/>
        </w:rPr>
        <w:t>'</w:t>
      </w:r>
      <w:r w:rsidR="4BC05AE3" w:rsidRPr="009678BA">
        <w:rPr>
          <w:noProof/>
        </w:rPr>
        <w:t>entrata in funzione graduale si articoli in fasi, per le quali occorre stabilire i requisiti minimi che gli Stati membri devono rispettare. Gli Stati membri avranno la possibilità di accelerare l</w:t>
      </w:r>
      <w:r w:rsidR="0000279B">
        <w:rPr>
          <w:noProof/>
        </w:rPr>
        <w:t>'</w:t>
      </w:r>
      <w:r w:rsidR="4BC05AE3" w:rsidRPr="009678BA">
        <w:rPr>
          <w:noProof/>
        </w:rPr>
        <w:t>introduzione dell</w:t>
      </w:r>
      <w:r w:rsidR="0000279B">
        <w:rPr>
          <w:noProof/>
        </w:rPr>
        <w:t>'</w:t>
      </w:r>
      <w:r w:rsidR="4BC05AE3" w:rsidRPr="009678BA">
        <w:rPr>
          <w:noProof/>
        </w:rPr>
        <w:t>EES a livello nazionale o di metterlo pienamente in funzione fin dall</w:t>
      </w:r>
      <w:r w:rsidR="0000279B">
        <w:rPr>
          <w:noProof/>
        </w:rPr>
        <w:t>'</w:t>
      </w:r>
      <w:r w:rsidR="4BC05AE3" w:rsidRPr="009678BA">
        <w:rPr>
          <w:noProof/>
        </w:rPr>
        <w:t>inizio dell</w:t>
      </w:r>
      <w:r w:rsidR="0000279B">
        <w:rPr>
          <w:noProof/>
        </w:rPr>
        <w:t>'</w:t>
      </w:r>
      <w:r w:rsidR="4BC05AE3" w:rsidRPr="009678BA">
        <w:rPr>
          <w:noProof/>
        </w:rPr>
        <w:t>avvio graduale.</w:t>
      </w:r>
    </w:p>
    <w:p w:rsidR="0019603A" w:rsidRPr="009678BA" w:rsidRDefault="00425D1B" w:rsidP="00425D1B">
      <w:pPr>
        <w:pStyle w:val="ManualConsidrant"/>
        <w:rPr>
          <w:noProof/>
        </w:rPr>
      </w:pPr>
      <w:r w:rsidRPr="00425D1B">
        <w:rPr>
          <w:noProof/>
        </w:rPr>
        <w:t>(7)</w:t>
      </w:r>
      <w:r w:rsidRPr="00425D1B">
        <w:rPr>
          <w:noProof/>
        </w:rPr>
        <w:tab/>
      </w:r>
      <w:r w:rsidR="00BE0D22" w:rsidRPr="009678BA">
        <w:rPr>
          <w:noProof/>
        </w:rPr>
        <w:t>Al fine di favorire un</w:t>
      </w:r>
      <w:r w:rsidR="0000279B">
        <w:rPr>
          <w:noProof/>
        </w:rPr>
        <w:t>'</w:t>
      </w:r>
      <w:r w:rsidR="00BE0D22" w:rsidRPr="009678BA">
        <w:rPr>
          <w:noProof/>
        </w:rPr>
        <w:t>agevole attuazione dell</w:t>
      </w:r>
      <w:r w:rsidR="0000279B">
        <w:rPr>
          <w:noProof/>
        </w:rPr>
        <w:t>'</w:t>
      </w:r>
      <w:r w:rsidR="00BE0D22" w:rsidRPr="009678BA">
        <w:rPr>
          <w:noProof/>
        </w:rPr>
        <w:t>EES, è opportuno che l</w:t>
      </w:r>
      <w:r w:rsidR="0000279B">
        <w:rPr>
          <w:noProof/>
        </w:rPr>
        <w:t>'</w:t>
      </w:r>
      <w:r w:rsidR="00BE0D22" w:rsidRPr="009678BA">
        <w:rPr>
          <w:noProof/>
        </w:rPr>
        <w:t>Agenzia dell</w:t>
      </w:r>
      <w:r w:rsidR="0000279B">
        <w:rPr>
          <w:noProof/>
        </w:rPr>
        <w:t>'</w:t>
      </w:r>
      <w:r w:rsidR="00BE0D22" w:rsidRPr="009678BA">
        <w:rPr>
          <w:noProof/>
        </w:rPr>
        <w:t>Unione europea per la gestione operativa dei sistemi IT su larga scala nello spazio di libertà, sicurezza e giustizia (eu-LISA) elabori un piano di introduzione ad alto livello, con cui fornire agli Stati membri e alle agenzie dell</w:t>
      </w:r>
      <w:r w:rsidR="0000279B">
        <w:rPr>
          <w:noProof/>
        </w:rPr>
        <w:t>'</w:t>
      </w:r>
      <w:r w:rsidR="00BE0D22" w:rsidRPr="009678BA">
        <w:rPr>
          <w:noProof/>
        </w:rPr>
        <w:t>Unione orientamenti in merito alla pianificazione e all</w:t>
      </w:r>
      <w:r w:rsidR="0000279B">
        <w:rPr>
          <w:noProof/>
        </w:rPr>
        <w:t>'</w:t>
      </w:r>
      <w:r w:rsidR="00BE0D22" w:rsidRPr="009678BA">
        <w:rPr>
          <w:noProof/>
        </w:rPr>
        <w:t>introduzione del sistema durante il periodo di entrata in funzione graduale, e lo presenti alla Commissione, agli Stati membri e alle agenzie dell</w:t>
      </w:r>
      <w:r w:rsidR="0000279B">
        <w:rPr>
          <w:noProof/>
        </w:rPr>
        <w:t>'</w:t>
      </w:r>
      <w:r w:rsidR="00BE0D22" w:rsidRPr="009678BA">
        <w:rPr>
          <w:noProof/>
        </w:rPr>
        <w:t xml:space="preserve">Unione. Tale piano dovrebbe includere i limiti di capacità del sistema centrale specificati da eu-LISA per ciascuna fase di attuazione. Nel decidere di avviare o anticipare le operazioni, gli Stati membri dovrebbero tenere conto della capacità del sistema centrale quale indicata nel piano di introduzione ad alto livello. </w:t>
      </w:r>
    </w:p>
    <w:p w:rsidR="001237DE" w:rsidRPr="009678BA" w:rsidRDefault="00425D1B" w:rsidP="00425D1B">
      <w:pPr>
        <w:pStyle w:val="ManualConsidrant"/>
        <w:rPr>
          <w:noProof/>
        </w:rPr>
      </w:pPr>
      <w:r w:rsidRPr="00425D1B">
        <w:rPr>
          <w:noProof/>
        </w:rPr>
        <w:t>(8)</w:t>
      </w:r>
      <w:r w:rsidRPr="00425D1B">
        <w:rPr>
          <w:noProof/>
        </w:rPr>
        <w:tab/>
      </w:r>
      <w:r w:rsidR="00765389" w:rsidRPr="009678BA">
        <w:rPr>
          <w:noProof/>
        </w:rPr>
        <w:t>Al fine di favorire un</w:t>
      </w:r>
      <w:r w:rsidR="0000279B">
        <w:rPr>
          <w:noProof/>
        </w:rPr>
        <w:t>'</w:t>
      </w:r>
      <w:r w:rsidR="00765389" w:rsidRPr="009678BA">
        <w:rPr>
          <w:noProof/>
        </w:rPr>
        <w:t>agevole attuazione dell</w:t>
      </w:r>
      <w:r w:rsidR="0000279B">
        <w:rPr>
          <w:noProof/>
        </w:rPr>
        <w:t>'</w:t>
      </w:r>
      <w:r w:rsidR="00765389" w:rsidRPr="009678BA">
        <w:rPr>
          <w:noProof/>
        </w:rPr>
        <w:t>EES, è opportuno che gli Stati membri elaborino piani di introduzione nazionali in consultazione con la Commissione ed eu</w:t>
      </w:r>
      <w:r w:rsidR="0000279B">
        <w:rPr>
          <w:noProof/>
        </w:rPr>
        <w:noBreakHyphen/>
      </w:r>
      <w:r w:rsidR="00765389" w:rsidRPr="009678BA">
        <w:rPr>
          <w:noProof/>
        </w:rPr>
        <w:t>LISA. Per ciascuna delle fasi dell</w:t>
      </w:r>
      <w:r w:rsidR="0000279B">
        <w:rPr>
          <w:noProof/>
        </w:rPr>
        <w:t>'</w:t>
      </w:r>
      <w:r w:rsidR="00765389" w:rsidRPr="009678BA">
        <w:rPr>
          <w:noProof/>
        </w:rPr>
        <w:t>entrata in funzione graduale del sistema, i piani nazionali di introduzione dovrebbero includere informazioni sulle soglie e sui requisiti stabiliti, in particolare: i) la data a partire dalla quale l</w:t>
      </w:r>
      <w:r w:rsidR="0000279B">
        <w:rPr>
          <w:noProof/>
        </w:rPr>
        <w:t>'</w:t>
      </w:r>
      <w:r w:rsidR="00765389" w:rsidRPr="009678BA">
        <w:rPr>
          <w:noProof/>
        </w:rPr>
        <w:t>EES sarà operativo a ciascun valico di frontiera; ii) la percentuale del numero stimato di attraversamenti di frontiera da registrare nell</w:t>
      </w:r>
      <w:r w:rsidR="0000279B">
        <w:rPr>
          <w:noProof/>
        </w:rPr>
        <w:t>'</w:t>
      </w:r>
      <w:r w:rsidR="00765389" w:rsidRPr="009678BA">
        <w:rPr>
          <w:noProof/>
        </w:rPr>
        <w:t>EES rispetto al numero totale di cittadini di paesi terzi soggetti a registrazione nel sistema; iii) se del caso, le funzionalità biometriche da utilizzare presso ciascun valico di frontiera selezionato. Nell</w:t>
      </w:r>
      <w:r w:rsidR="0000279B">
        <w:rPr>
          <w:noProof/>
        </w:rPr>
        <w:t>'</w:t>
      </w:r>
      <w:r w:rsidR="00765389" w:rsidRPr="009678BA">
        <w:rPr>
          <w:noProof/>
        </w:rPr>
        <w:t>elaborare i rispettivi piani di introduzione nazionali, gli Stati membri sono incoraggiati a coordinarsi adeguatamente con gli operatori delle infrastrutture in cui sono situati valichi di frontiera. Per</w:t>
      </w:r>
      <w:r w:rsidR="0000279B">
        <w:rPr>
          <w:noProof/>
        </w:rPr>
        <w:t> </w:t>
      </w:r>
      <w:r w:rsidR="00765389" w:rsidRPr="009678BA">
        <w:rPr>
          <w:noProof/>
        </w:rPr>
        <w:t>monitorare il rispetto dell</w:t>
      </w:r>
      <w:r w:rsidR="0000279B">
        <w:rPr>
          <w:noProof/>
        </w:rPr>
        <w:t>'</w:t>
      </w:r>
      <w:r w:rsidR="00765389" w:rsidRPr="009678BA">
        <w:rPr>
          <w:noProof/>
        </w:rPr>
        <w:t>entrata in funzione graduale, è opportuno che gli Stati membri presentino alla Commissione e ad eu-LISA relazioni mensili sull</w:t>
      </w:r>
      <w:r w:rsidR="0000279B">
        <w:rPr>
          <w:noProof/>
        </w:rPr>
        <w:t>'</w:t>
      </w:r>
      <w:r w:rsidR="00765389" w:rsidRPr="009678BA">
        <w:rPr>
          <w:noProof/>
        </w:rPr>
        <w:t>attuazione dei loro piani di introduzione. Tali relazioni mensili dovrebbero comprendere, ove necessario, misure correttive per garantire il rispetto dell</w:t>
      </w:r>
      <w:r w:rsidR="0000279B">
        <w:rPr>
          <w:noProof/>
        </w:rPr>
        <w:t>'</w:t>
      </w:r>
      <w:r w:rsidR="00765389" w:rsidRPr="009678BA">
        <w:rPr>
          <w:noProof/>
        </w:rPr>
        <w:t>entrata in funzione graduale.</w:t>
      </w:r>
    </w:p>
    <w:p w:rsidR="00BE0D22" w:rsidRPr="009678BA" w:rsidRDefault="00425D1B" w:rsidP="00425D1B">
      <w:pPr>
        <w:pStyle w:val="ManualConsidrant"/>
        <w:rPr>
          <w:noProof/>
        </w:rPr>
      </w:pPr>
      <w:r w:rsidRPr="00425D1B">
        <w:rPr>
          <w:noProof/>
        </w:rPr>
        <w:t>(9)</w:t>
      </w:r>
      <w:r w:rsidRPr="00425D1B">
        <w:rPr>
          <w:noProof/>
        </w:rPr>
        <w:tab/>
      </w:r>
      <w:r w:rsidR="6A105A5B" w:rsidRPr="009678BA">
        <w:rPr>
          <w:noProof/>
        </w:rPr>
        <w:t>Poiché l</w:t>
      </w:r>
      <w:r w:rsidR="0000279B">
        <w:rPr>
          <w:noProof/>
        </w:rPr>
        <w:t>'</w:t>
      </w:r>
      <w:r w:rsidR="6A105A5B" w:rsidRPr="009678BA">
        <w:rPr>
          <w:noProof/>
        </w:rPr>
        <w:t>EES entrerà in funzione gradualmente e i dati registrati nel sistema potrebbero essere incompleti, è opportuno che, durante l</w:t>
      </w:r>
      <w:r w:rsidR="0000279B">
        <w:rPr>
          <w:noProof/>
        </w:rPr>
        <w:t>'</w:t>
      </w:r>
      <w:r w:rsidR="6A105A5B" w:rsidRPr="009678BA">
        <w:rPr>
          <w:noProof/>
        </w:rPr>
        <w:t>entrata in funzione graduale, i documenti di viaggio dei cittadini di paesi terzi siano sistematicamente timbrati all</w:t>
      </w:r>
      <w:r w:rsidR="0000279B">
        <w:rPr>
          <w:noProof/>
        </w:rPr>
        <w:t>'</w:t>
      </w:r>
      <w:r w:rsidR="6A105A5B" w:rsidRPr="009678BA">
        <w:rPr>
          <w:noProof/>
        </w:rPr>
        <w:t>ingresso e all</w:t>
      </w:r>
      <w:r w:rsidR="0000279B">
        <w:rPr>
          <w:noProof/>
        </w:rPr>
        <w:t>'</w:t>
      </w:r>
      <w:r w:rsidR="6A105A5B" w:rsidRPr="009678BA">
        <w:rPr>
          <w:noProof/>
        </w:rPr>
        <w:t>uscita. Le autorità nazionali dovrebbero tenere conto dell</w:t>
      </w:r>
      <w:r w:rsidR="0000279B">
        <w:rPr>
          <w:noProof/>
        </w:rPr>
        <w:t>'</w:t>
      </w:r>
      <w:r w:rsidR="6A105A5B" w:rsidRPr="009678BA">
        <w:rPr>
          <w:noProof/>
        </w:rPr>
        <w:t>eventuale incompletezza delle cartelle di ingresso/uscita o delle cartelle relative al respingimento e dovrebbero considerare prevalenti i timbri rispetto alle informazioni registrate nell</w:t>
      </w:r>
      <w:r w:rsidR="0000279B">
        <w:rPr>
          <w:noProof/>
        </w:rPr>
        <w:t>'</w:t>
      </w:r>
      <w:r w:rsidR="6A105A5B" w:rsidRPr="009678BA">
        <w:rPr>
          <w:noProof/>
        </w:rPr>
        <w:t>EES. Inoltre,</w:t>
      </w:r>
      <w:r w:rsidR="0000279B">
        <w:rPr>
          <w:noProof/>
        </w:rPr>
        <w:t> </w:t>
      </w:r>
      <w:r w:rsidR="6A105A5B" w:rsidRPr="009678BA">
        <w:rPr>
          <w:noProof/>
        </w:rPr>
        <w:t>nel fornire ai cittadini di paesi terzi informazioni circa la durata massima rimanente del loro soggiorno autorizzato, le autorità nazionali dovrebbero basare la loro valutazione sui timbri apposti sui documenti di viaggio. In caso di mancanza di timbro dovrebbero prevalere i dati registrati nell</w:t>
      </w:r>
      <w:r w:rsidR="0000279B">
        <w:rPr>
          <w:noProof/>
        </w:rPr>
        <w:t>'</w:t>
      </w:r>
      <w:r w:rsidR="6A105A5B" w:rsidRPr="009678BA">
        <w:rPr>
          <w:noProof/>
        </w:rPr>
        <w:t xml:space="preserve">EES. </w:t>
      </w:r>
    </w:p>
    <w:p w:rsidR="00BE0D22" w:rsidRPr="009678BA" w:rsidRDefault="00425D1B" w:rsidP="00425D1B">
      <w:pPr>
        <w:pStyle w:val="ManualConsidrant"/>
        <w:rPr>
          <w:noProof/>
        </w:rPr>
      </w:pPr>
      <w:r w:rsidRPr="00425D1B">
        <w:rPr>
          <w:noProof/>
        </w:rPr>
        <w:t>(10)</w:t>
      </w:r>
      <w:r w:rsidRPr="00425D1B">
        <w:rPr>
          <w:noProof/>
        </w:rPr>
        <w:tab/>
      </w:r>
      <w:r w:rsidR="00BE0D22" w:rsidRPr="009678BA">
        <w:rPr>
          <w:noProof/>
        </w:rPr>
        <w:t>Considerando che i dati registrati nell</w:t>
      </w:r>
      <w:r w:rsidR="0000279B">
        <w:rPr>
          <w:noProof/>
        </w:rPr>
        <w:t>'</w:t>
      </w:r>
      <w:r w:rsidR="00BE0D22" w:rsidRPr="009678BA">
        <w:rPr>
          <w:noProof/>
        </w:rPr>
        <w:t>EES durante la sua entrata in funzione graduale potrebbero essere incompleti, le autorità nazionali non dovrebbero tenere conto dei risultati forniti dal calcolatore automatico sulla durata massima rimanente del soggiorno autorizzato dei cittadini di paesi terzi registrati nel sistema. Analogamente, nell</w:t>
      </w:r>
      <w:r w:rsidR="0000279B">
        <w:rPr>
          <w:noProof/>
        </w:rPr>
        <w:t>'</w:t>
      </w:r>
      <w:r w:rsidR="00BE0D22" w:rsidRPr="009678BA">
        <w:rPr>
          <w:noProof/>
        </w:rPr>
        <w:t>espletamento dei loro compiti, le autorità nazionali non dovrebbero tenere conto del meccanismo automatizzato che identifica o segnala la mancanza di cartelle di uscita dopo la data di scadenza di un soggiorno autorizzato o le cartelle per le quali è stata superata la durata massima del soggiorno autorizzato, creando elenchi di persone identificate quali soggiornanti fuoritermine.</w:t>
      </w:r>
    </w:p>
    <w:p w:rsidR="00BE0D22" w:rsidRPr="009678BA" w:rsidRDefault="00425D1B" w:rsidP="00425D1B">
      <w:pPr>
        <w:pStyle w:val="ManualConsidrant"/>
        <w:rPr>
          <w:noProof/>
        </w:rPr>
      </w:pPr>
      <w:r w:rsidRPr="00425D1B">
        <w:rPr>
          <w:noProof/>
        </w:rPr>
        <w:t>(11)</w:t>
      </w:r>
      <w:r w:rsidRPr="00425D1B">
        <w:rPr>
          <w:noProof/>
        </w:rPr>
        <w:tab/>
      </w:r>
      <w:r w:rsidR="00BE0D22" w:rsidRPr="009678BA">
        <w:rPr>
          <w:noProof/>
        </w:rPr>
        <w:t>Per fornire agli Stati membri il tempo necessario per adeguarsi all</w:t>
      </w:r>
      <w:r w:rsidR="0000279B">
        <w:rPr>
          <w:noProof/>
        </w:rPr>
        <w:t>'</w:t>
      </w:r>
      <w:r w:rsidR="00BE0D22" w:rsidRPr="009678BA">
        <w:rPr>
          <w:noProof/>
        </w:rPr>
        <w:t>avvio dell</w:t>
      </w:r>
      <w:r w:rsidR="0000279B">
        <w:rPr>
          <w:noProof/>
        </w:rPr>
        <w:t>'</w:t>
      </w:r>
      <w:r w:rsidR="00BE0D22" w:rsidRPr="009678BA">
        <w:rPr>
          <w:noProof/>
        </w:rPr>
        <w:t>EES, per i primi 60 giorni di calendario dall</w:t>
      </w:r>
      <w:r w:rsidR="0000279B">
        <w:rPr>
          <w:noProof/>
        </w:rPr>
        <w:t>'</w:t>
      </w:r>
      <w:r w:rsidR="00BE0D22" w:rsidRPr="009678BA">
        <w:rPr>
          <w:noProof/>
        </w:rPr>
        <w:t>entrata in funzione graduale non dovrebbe essere obbligatorio l</w:t>
      </w:r>
      <w:r w:rsidR="0000279B">
        <w:rPr>
          <w:noProof/>
        </w:rPr>
        <w:t>'</w:t>
      </w:r>
      <w:r w:rsidR="00BE0D22" w:rsidRPr="009678BA">
        <w:rPr>
          <w:noProof/>
        </w:rPr>
        <w:t>uso di funzionalità biometriche ai valichi di frontiera. Entro il 90° giorno di calendario dall</w:t>
      </w:r>
      <w:r w:rsidR="0000279B">
        <w:rPr>
          <w:noProof/>
        </w:rPr>
        <w:t>'</w:t>
      </w:r>
      <w:r w:rsidR="00BE0D22" w:rsidRPr="009678BA">
        <w:rPr>
          <w:noProof/>
        </w:rPr>
        <w:t>entrata in funzione graduale, gli Stati membri dovrebbero far funzionare l</w:t>
      </w:r>
      <w:r w:rsidR="0000279B">
        <w:rPr>
          <w:noProof/>
        </w:rPr>
        <w:t>'</w:t>
      </w:r>
      <w:r w:rsidR="00BE0D22" w:rsidRPr="009678BA">
        <w:rPr>
          <w:noProof/>
        </w:rPr>
        <w:t>EES con funzionalità biometriche almeno per metà dei loro valichi di frontiera. Per i cittadini di paesi terzi soggetti alla registrazione nell</w:t>
      </w:r>
      <w:r w:rsidR="0000279B">
        <w:rPr>
          <w:noProof/>
        </w:rPr>
        <w:t>'</w:t>
      </w:r>
      <w:r w:rsidR="00BE0D22" w:rsidRPr="009678BA">
        <w:rPr>
          <w:noProof/>
        </w:rPr>
        <w:t>EES ai valichi di frontiera in cui l</w:t>
      </w:r>
      <w:r w:rsidR="0000279B">
        <w:rPr>
          <w:noProof/>
        </w:rPr>
        <w:t>'</w:t>
      </w:r>
      <w:r w:rsidR="00BE0D22" w:rsidRPr="009678BA">
        <w:rPr>
          <w:noProof/>
        </w:rPr>
        <w:t>EES è operativo senza funzionalità biometriche, fornire dati biometrici non dovrebbe costituire una condizione d</w:t>
      </w:r>
      <w:r w:rsidR="0000279B">
        <w:rPr>
          <w:noProof/>
        </w:rPr>
        <w:t>'</w:t>
      </w:r>
      <w:r w:rsidR="00BE0D22" w:rsidRPr="009678BA">
        <w:rPr>
          <w:noProof/>
        </w:rPr>
        <w:t xml:space="preserve">ingresso. </w:t>
      </w:r>
    </w:p>
    <w:p w:rsidR="00BE0D22" w:rsidRPr="009678BA" w:rsidRDefault="00425D1B" w:rsidP="00425D1B">
      <w:pPr>
        <w:pStyle w:val="ManualConsidrant"/>
        <w:rPr>
          <w:noProof/>
        </w:rPr>
      </w:pPr>
      <w:r w:rsidRPr="00425D1B">
        <w:rPr>
          <w:noProof/>
        </w:rPr>
        <w:t>(12)</w:t>
      </w:r>
      <w:r w:rsidRPr="00425D1B">
        <w:rPr>
          <w:noProof/>
        </w:rPr>
        <w:tab/>
      </w:r>
      <w:r w:rsidR="00BE0D22" w:rsidRPr="009678BA">
        <w:rPr>
          <w:noProof/>
        </w:rPr>
        <w:t>Per rispondere alla necessità di introdurre gradualmente l</w:t>
      </w:r>
      <w:r w:rsidR="0000279B">
        <w:rPr>
          <w:noProof/>
        </w:rPr>
        <w:t>'</w:t>
      </w:r>
      <w:r w:rsidR="00BE0D22" w:rsidRPr="009678BA">
        <w:rPr>
          <w:noProof/>
        </w:rPr>
        <w:t>EES con funzionalità biometriche presso alcuni valichi di frontiera, è opportuno che la verifica biometrica dei cittadini di paesi terzi soggetti a registrazione nell</w:t>
      </w:r>
      <w:r w:rsidR="0000279B">
        <w:rPr>
          <w:noProof/>
        </w:rPr>
        <w:t>'</w:t>
      </w:r>
      <w:r w:rsidR="00BE0D22" w:rsidRPr="009678BA">
        <w:rPr>
          <w:noProof/>
        </w:rPr>
        <w:t>EES sia effettuata solo ai valichi di frontiera presso i quali l</w:t>
      </w:r>
      <w:r w:rsidR="0000279B">
        <w:rPr>
          <w:noProof/>
        </w:rPr>
        <w:t>'</w:t>
      </w:r>
      <w:r w:rsidR="00BE0D22" w:rsidRPr="009678BA">
        <w:rPr>
          <w:noProof/>
        </w:rPr>
        <w:t xml:space="preserve">EES è operativo con funzionalità biometriche. </w:t>
      </w:r>
    </w:p>
    <w:p w:rsidR="00BE0D22" w:rsidRPr="009678BA" w:rsidRDefault="00425D1B" w:rsidP="00425D1B">
      <w:pPr>
        <w:pStyle w:val="ManualConsidrant"/>
        <w:rPr>
          <w:noProof/>
        </w:rPr>
      </w:pPr>
      <w:r w:rsidRPr="00425D1B">
        <w:rPr>
          <w:noProof/>
        </w:rPr>
        <w:t>(13)</w:t>
      </w:r>
      <w:r w:rsidRPr="00425D1B">
        <w:rPr>
          <w:noProof/>
        </w:rPr>
        <w:tab/>
      </w:r>
      <w:r w:rsidR="6772D326" w:rsidRPr="009678BA">
        <w:rPr>
          <w:noProof/>
        </w:rPr>
        <w:t>Per garantire la coerenza dell</w:t>
      </w:r>
      <w:r w:rsidR="0000279B">
        <w:rPr>
          <w:noProof/>
        </w:rPr>
        <w:t>'</w:t>
      </w:r>
      <w:r w:rsidR="6772D326" w:rsidRPr="009678BA">
        <w:rPr>
          <w:noProof/>
        </w:rPr>
        <w:t>interoperabilità tra il sistema di informazione visti (VIS) istituito dal regolamento (CE) n. 767/2008 del Parlamento europeo e del Consiglio</w:t>
      </w:r>
      <w:r w:rsidR="6772D326" w:rsidRPr="009678BA">
        <w:rPr>
          <w:rStyle w:val="FootnoteReference"/>
          <w:noProof/>
        </w:rPr>
        <w:footnoteReference w:id="12"/>
      </w:r>
      <w:r w:rsidR="6772D326" w:rsidRPr="009678BA">
        <w:rPr>
          <w:noProof/>
        </w:rPr>
        <w:t xml:space="preserve"> e l</w:t>
      </w:r>
      <w:r w:rsidR="0000279B">
        <w:rPr>
          <w:noProof/>
        </w:rPr>
        <w:t>'</w:t>
      </w:r>
      <w:r w:rsidR="6772D326" w:rsidRPr="009678BA">
        <w:rPr>
          <w:noProof/>
        </w:rPr>
        <w:t>EES, è opportuno che il VIS sia consultato direttamente solo ai valichi di frontiera presso i quali l</w:t>
      </w:r>
      <w:r w:rsidR="0000279B">
        <w:rPr>
          <w:noProof/>
        </w:rPr>
        <w:t>'</w:t>
      </w:r>
      <w:r w:rsidR="6772D326" w:rsidRPr="009678BA">
        <w:rPr>
          <w:noProof/>
        </w:rPr>
        <w:t>EES non è operativo. Ai valichi di frontiera presso i quali l</w:t>
      </w:r>
      <w:r w:rsidR="0000279B">
        <w:rPr>
          <w:noProof/>
        </w:rPr>
        <w:t>'</w:t>
      </w:r>
      <w:r w:rsidR="6772D326" w:rsidRPr="009678BA">
        <w:rPr>
          <w:noProof/>
        </w:rPr>
        <w:t>EES è operativo, le autorità di frontiera dovrebbero avvalersi dell</w:t>
      </w:r>
      <w:r w:rsidR="0000279B">
        <w:rPr>
          <w:noProof/>
        </w:rPr>
        <w:t>'</w:t>
      </w:r>
      <w:r w:rsidR="6772D326" w:rsidRPr="009678BA">
        <w:rPr>
          <w:noProof/>
        </w:rPr>
        <w:t>interoperabilità tra l</w:t>
      </w:r>
      <w:r w:rsidR="0000279B">
        <w:rPr>
          <w:noProof/>
        </w:rPr>
        <w:t>'</w:t>
      </w:r>
      <w:r w:rsidR="6772D326" w:rsidRPr="009678BA">
        <w:rPr>
          <w:noProof/>
        </w:rPr>
        <w:t>EES e il VIS.</w:t>
      </w:r>
    </w:p>
    <w:p w:rsidR="00BE0D22" w:rsidRPr="009678BA" w:rsidRDefault="00425D1B" w:rsidP="00425D1B">
      <w:pPr>
        <w:pStyle w:val="ManualConsidrant"/>
        <w:rPr>
          <w:noProof/>
        </w:rPr>
      </w:pPr>
      <w:r w:rsidRPr="00425D1B">
        <w:rPr>
          <w:noProof/>
        </w:rPr>
        <w:t>(14)</w:t>
      </w:r>
      <w:r w:rsidRPr="00425D1B">
        <w:rPr>
          <w:noProof/>
        </w:rPr>
        <w:tab/>
      </w:r>
      <w:r w:rsidR="6A105A5B" w:rsidRPr="009678BA">
        <w:rPr>
          <w:noProof/>
        </w:rPr>
        <w:t>I cittadini di paesi terzi i cui dati devono essere registrati nell</w:t>
      </w:r>
      <w:r w:rsidR="0000279B">
        <w:rPr>
          <w:noProof/>
        </w:rPr>
        <w:t>'</w:t>
      </w:r>
      <w:r w:rsidR="6A105A5B" w:rsidRPr="009678BA">
        <w:rPr>
          <w:noProof/>
        </w:rPr>
        <w:t>EES dovrebbero essere informati dei loro diritti e obblighi in relazione al trattamento dei loro dati mediante il modello di cui all</w:t>
      </w:r>
      <w:r w:rsidR="0000279B">
        <w:rPr>
          <w:noProof/>
        </w:rPr>
        <w:t>'</w:t>
      </w:r>
      <w:r w:rsidR="6A105A5B" w:rsidRPr="009678BA">
        <w:rPr>
          <w:noProof/>
        </w:rPr>
        <w:t>articolo 50, paragrafo 5, del regolamento (UE) 2017/2226. Le</w:t>
      </w:r>
      <w:r w:rsidR="0000279B">
        <w:rPr>
          <w:noProof/>
        </w:rPr>
        <w:t> </w:t>
      </w:r>
      <w:r w:rsidR="6A105A5B" w:rsidRPr="009678BA">
        <w:rPr>
          <w:noProof/>
        </w:rPr>
        <w:t>informazioni da fornire ai cittadini di paesi terzi soggetti alla registrazione nell</w:t>
      </w:r>
      <w:r w:rsidR="0000279B">
        <w:rPr>
          <w:noProof/>
        </w:rPr>
        <w:t>'</w:t>
      </w:r>
      <w:r w:rsidR="6A105A5B" w:rsidRPr="009678BA">
        <w:rPr>
          <w:noProof/>
        </w:rPr>
        <w:t>EES dovrebbero comprendere un riferimento all</w:t>
      </w:r>
      <w:r w:rsidR="0000279B">
        <w:rPr>
          <w:noProof/>
        </w:rPr>
        <w:t>'</w:t>
      </w:r>
      <w:r w:rsidR="6A105A5B" w:rsidRPr="009678BA">
        <w:rPr>
          <w:noProof/>
        </w:rPr>
        <w:t>entrata in funzione graduale del sistema. Il</w:t>
      </w:r>
      <w:r w:rsidR="0000279B">
        <w:rPr>
          <w:noProof/>
        </w:rPr>
        <w:t> </w:t>
      </w:r>
      <w:r w:rsidR="6A105A5B" w:rsidRPr="009678BA">
        <w:rPr>
          <w:noProof/>
        </w:rPr>
        <w:t>modello dovrebbe informare i cittadini di paesi terzi dell</w:t>
      </w:r>
      <w:r w:rsidR="0000279B">
        <w:rPr>
          <w:noProof/>
        </w:rPr>
        <w:t>'</w:t>
      </w:r>
      <w:r w:rsidR="6A105A5B" w:rsidRPr="009678BA">
        <w:rPr>
          <w:noProof/>
        </w:rPr>
        <w:t>obbligo di fornire dati biometrici ai valichi di frontiera qualora ciò costituisca una condizione di ingresso. Il</w:t>
      </w:r>
      <w:r w:rsidR="0000279B">
        <w:rPr>
          <w:noProof/>
        </w:rPr>
        <w:t> </w:t>
      </w:r>
      <w:r w:rsidR="6A105A5B" w:rsidRPr="009678BA">
        <w:rPr>
          <w:noProof/>
        </w:rPr>
        <w:t>modello dovrebbe inoltre informarli delle conseguenze della mancata fornitura di dati biometrici. Il modello dovrebbe informarli del fatto che non potranno verificare con mezzi automatizzati la durata rimanente del soggiorno autorizzato.</w:t>
      </w:r>
    </w:p>
    <w:p w:rsidR="00BE0D22" w:rsidRPr="009678BA" w:rsidRDefault="00425D1B" w:rsidP="00425D1B">
      <w:pPr>
        <w:pStyle w:val="ManualConsidrant"/>
        <w:rPr>
          <w:noProof/>
        </w:rPr>
      </w:pPr>
      <w:r w:rsidRPr="00425D1B">
        <w:rPr>
          <w:noProof/>
        </w:rPr>
        <w:t>(15)</w:t>
      </w:r>
      <w:r w:rsidRPr="00425D1B">
        <w:rPr>
          <w:noProof/>
        </w:rPr>
        <w:tab/>
      </w:r>
      <w:r w:rsidR="001035E0" w:rsidRPr="009678BA">
        <w:rPr>
          <w:noProof/>
        </w:rPr>
        <w:t>La Commissione dovrebbe introdurre sul sito web dell</w:t>
      </w:r>
      <w:r w:rsidR="0000279B">
        <w:rPr>
          <w:noProof/>
        </w:rPr>
        <w:t>'</w:t>
      </w:r>
      <w:r w:rsidR="001035E0" w:rsidRPr="009678BA">
        <w:rPr>
          <w:noProof/>
        </w:rPr>
        <w:t>EES gli aggiornamenti necessari per tenere conto dell</w:t>
      </w:r>
      <w:r w:rsidR="0000279B">
        <w:rPr>
          <w:noProof/>
        </w:rPr>
        <w:t>'</w:t>
      </w:r>
      <w:r w:rsidR="001035E0" w:rsidRPr="009678BA">
        <w:rPr>
          <w:noProof/>
        </w:rPr>
        <w:t>entrata in funzione graduale dell</w:t>
      </w:r>
      <w:r w:rsidR="0000279B">
        <w:rPr>
          <w:noProof/>
        </w:rPr>
        <w:t>'</w:t>
      </w:r>
      <w:r w:rsidR="001035E0" w:rsidRPr="009678BA">
        <w:rPr>
          <w:noProof/>
        </w:rPr>
        <w:t>EES.</w:t>
      </w:r>
    </w:p>
    <w:p w:rsidR="00BE0D22" w:rsidRPr="009678BA" w:rsidRDefault="00425D1B" w:rsidP="00425D1B">
      <w:pPr>
        <w:pStyle w:val="ManualConsidrant"/>
        <w:rPr>
          <w:noProof/>
        </w:rPr>
      </w:pPr>
      <w:r w:rsidRPr="00425D1B">
        <w:rPr>
          <w:noProof/>
        </w:rPr>
        <w:t>(16)</w:t>
      </w:r>
      <w:r w:rsidRPr="00425D1B">
        <w:rPr>
          <w:noProof/>
        </w:rPr>
        <w:tab/>
      </w:r>
      <w:r w:rsidR="00A6426C" w:rsidRPr="009678BA">
        <w:rPr>
          <w:noProof/>
        </w:rPr>
        <w:t>L</w:t>
      </w:r>
      <w:r w:rsidR="0000279B">
        <w:rPr>
          <w:noProof/>
        </w:rPr>
        <w:t>'</w:t>
      </w:r>
      <w:r w:rsidR="00A6426C" w:rsidRPr="009678BA">
        <w:rPr>
          <w:noProof/>
        </w:rPr>
        <w:t>obiettivo di sensibilizzare i cittadini di paesi terzi sui loro diritti e obblighi specifici sarebbe conseguito più facilmente se gli Stati membri adeguassero la campagna d</w:t>
      </w:r>
      <w:r w:rsidR="0000279B">
        <w:rPr>
          <w:noProof/>
        </w:rPr>
        <w:t>'</w:t>
      </w:r>
      <w:r w:rsidR="00A6426C" w:rsidRPr="009678BA">
        <w:rPr>
          <w:noProof/>
        </w:rPr>
        <w:t>informazione secondo le modalità di funzionamento dell</w:t>
      </w:r>
      <w:r w:rsidR="0000279B">
        <w:rPr>
          <w:noProof/>
        </w:rPr>
        <w:t>'</w:t>
      </w:r>
      <w:r w:rsidR="00A6426C" w:rsidRPr="009678BA">
        <w:rPr>
          <w:noProof/>
        </w:rPr>
        <w:t>EES alle loro frontiere presso cui l</w:t>
      </w:r>
      <w:r w:rsidR="0000279B">
        <w:rPr>
          <w:noProof/>
        </w:rPr>
        <w:t>'</w:t>
      </w:r>
      <w:r w:rsidR="00A6426C" w:rsidRPr="009678BA">
        <w:rPr>
          <w:noProof/>
        </w:rPr>
        <w:t>EES è operativo ai sensi dell</w:t>
      </w:r>
      <w:r w:rsidR="0000279B">
        <w:rPr>
          <w:noProof/>
        </w:rPr>
        <w:t>'</w:t>
      </w:r>
      <w:r w:rsidR="00A6426C" w:rsidRPr="009678BA">
        <w:rPr>
          <w:noProof/>
        </w:rPr>
        <w:t>articolo 4 del regolamento (UE) 2017/2226. I</w:t>
      </w:r>
      <w:r w:rsidR="0000279B">
        <w:rPr>
          <w:noProof/>
        </w:rPr>
        <w:t> </w:t>
      </w:r>
      <w:r w:rsidR="00A6426C" w:rsidRPr="009678BA">
        <w:rPr>
          <w:noProof/>
        </w:rPr>
        <w:t>materiali informativi elaborati dalla Commissione con il sostegno degli Stati membri nel contesto dell</w:t>
      </w:r>
      <w:r w:rsidR="0000279B">
        <w:rPr>
          <w:noProof/>
        </w:rPr>
        <w:t>'</w:t>
      </w:r>
      <w:r w:rsidR="00A6426C" w:rsidRPr="009678BA">
        <w:rPr>
          <w:noProof/>
        </w:rPr>
        <w:t>articolo 51 del regolamento (UE) 2017/2226 dovrebbero pertanto essere adattati ai fini della campagna d</w:t>
      </w:r>
      <w:r w:rsidR="0000279B">
        <w:rPr>
          <w:noProof/>
        </w:rPr>
        <w:t>'</w:t>
      </w:r>
      <w:r w:rsidR="00A6426C" w:rsidRPr="009678BA">
        <w:rPr>
          <w:noProof/>
        </w:rPr>
        <w:t>informazione avviata in concomitanza dell</w:t>
      </w:r>
      <w:r w:rsidR="0000279B">
        <w:rPr>
          <w:noProof/>
        </w:rPr>
        <w:t>'</w:t>
      </w:r>
      <w:r w:rsidR="00A6426C" w:rsidRPr="009678BA">
        <w:rPr>
          <w:noProof/>
        </w:rPr>
        <w:t>entrata in funzione graduale del sistema.</w:t>
      </w:r>
    </w:p>
    <w:p w:rsidR="00BE0D22" w:rsidRPr="009678BA" w:rsidRDefault="00425D1B" w:rsidP="00425D1B">
      <w:pPr>
        <w:pStyle w:val="ManualConsidrant"/>
        <w:rPr>
          <w:noProof/>
        </w:rPr>
      </w:pPr>
      <w:r w:rsidRPr="00425D1B">
        <w:rPr>
          <w:noProof/>
        </w:rPr>
        <w:t>(17)</w:t>
      </w:r>
      <w:r w:rsidRPr="00425D1B">
        <w:rPr>
          <w:noProof/>
        </w:rPr>
        <w:tab/>
      </w:r>
      <w:r w:rsidR="002458E1" w:rsidRPr="009678BA">
        <w:rPr>
          <w:noProof/>
        </w:rPr>
        <w:t>Durante l</w:t>
      </w:r>
      <w:r w:rsidR="0000279B">
        <w:rPr>
          <w:noProof/>
        </w:rPr>
        <w:t>'</w:t>
      </w:r>
      <w:r w:rsidR="002458E1" w:rsidRPr="009678BA">
        <w:rPr>
          <w:noProof/>
        </w:rPr>
        <w:t>entrata in funzione graduale dell</w:t>
      </w:r>
      <w:r w:rsidR="0000279B">
        <w:rPr>
          <w:noProof/>
        </w:rPr>
        <w:t>'</w:t>
      </w:r>
      <w:r w:rsidR="002458E1" w:rsidRPr="009678BA">
        <w:rPr>
          <w:noProof/>
        </w:rPr>
        <w:t>EES, il servizio web non permetterà ai cittadini di paesi terzi di verificare elettronicamente la durata esatta del soggiorno cui sono autorizzati.</w:t>
      </w:r>
    </w:p>
    <w:p w:rsidR="00BE0D22" w:rsidRPr="009678BA" w:rsidRDefault="00425D1B" w:rsidP="00425D1B">
      <w:pPr>
        <w:pStyle w:val="ManualConsidrant"/>
        <w:rPr>
          <w:noProof/>
        </w:rPr>
      </w:pPr>
      <w:r w:rsidRPr="00425D1B">
        <w:rPr>
          <w:noProof/>
        </w:rPr>
        <w:t>(18)</w:t>
      </w:r>
      <w:r w:rsidRPr="00425D1B">
        <w:rPr>
          <w:noProof/>
        </w:rPr>
        <w:tab/>
      </w:r>
      <w:r w:rsidR="6772D326" w:rsidRPr="009678BA">
        <w:rPr>
          <w:noProof/>
        </w:rPr>
        <w:t>Il presente regolamento lascia impregiudicati gli obblighi dei vettori aerei, marittimi e internazionali che effettuano trasporti di gruppo con autopullman di cui all</w:t>
      </w:r>
      <w:r w:rsidR="0000279B">
        <w:rPr>
          <w:noProof/>
        </w:rPr>
        <w:t>'</w:t>
      </w:r>
      <w:r w:rsidR="6772D326" w:rsidRPr="009678BA">
        <w:rPr>
          <w:noProof/>
        </w:rPr>
        <w:t>articolo 26, paragrafo 1, della Convenzione di applicazione dell</w:t>
      </w:r>
      <w:r w:rsidR="0000279B">
        <w:rPr>
          <w:noProof/>
        </w:rPr>
        <w:t>'</w:t>
      </w:r>
      <w:r w:rsidR="6772D326" w:rsidRPr="009678BA">
        <w:rPr>
          <w:noProof/>
        </w:rPr>
        <w:t>Accordo di Schengen</w:t>
      </w:r>
      <w:r w:rsidR="6772D326" w:rsidRPr="009678BA">
        <w:rPr>
          <w:rStyle w:val="FootnoteReference"/>
          <w:noProof/>
        </w:rPr>
        <w:footnoteReference w:id="13"/>
      </w:r>
      <w:r w:rsidR="6772D326" w:rsidRPr="009678BA">
        <w:rPr>
          <w:noProof/>
        </w:rPr>
        <w:t xml:space="preserve"> e alla direttiva 2001/51/CE del Consiglio</w:t>
      </w:r>
      <w:r w:rsidR="6772D326" w:rsidRPr="009678BA">
        <w:rPr>
          <w:rStyle w:val="FootnoteReference"/>
          <w:noProof/>
        </w:rPr>
        <w:footnoteReference w:id="14"/>
      </w:r>
      <w:r w:rsidR="6772D326" w:rsidRPr="009678BA">
        <w:rPr>
          <w:noProof/>
        </w:rPr>
        <w:t>. A tale riguardo, i vettori dovrebbero verificare i timbri apposti sui documenti di viaggio. Per garantire una comunicazione efficace con i vettori in merito alla specifica applicazione dell</w:t>
      </w:r>
      <w:r w:rsidR="0000279B">
        <w:rPr>
          <w:noProof/>
        </w:rPr>
        <w:t>'</w:t>
      </w:r>
      <w:r w:rsidR="6772D326" w:rsidRPr="009678BA">
        <w:rPr>
          <w:noProof/>
        </w:rPr>
        <w:t>EES ai valichi di frontiera, cosa che va in ultima analisi a vantaggio dei viaggiatori, è fondamentale che gli Stati membri siano trasparenti in merito all</w:t>
      </w:r>
      <w:r w:rsidR="0000279B">
        <w:rPr>
          <w:noProof/>
        </w:rPr>
        <w:t>'</w:t>
      </w:r>
      <w:r w:rsidR="6772D326" w:rsidRPr="009678BA">
        <w:rPr>
          <w:noProof/>
        </w:rPr>
        <w:t>introduzione dell</w:t>
      </w:r>
      <w:r w:rsidR="0000279B">
        <w:rPr>
          <w:noProof/>
        </w:rPr>
        <w:t>'</w:t>
      </w:r>
      <w:r w:rsidR="6772D326" w:rsidRPr="009678BA">
        <w:rPr>
          <w:noProof/>
        </w:rPr>
        <w:t>EES ai loro valichi di frontiera.</w:t>
      </w:r>
    </w:p>
    <w:p w:rsidR="003B5F70" w:rsidRPr="009678BA" w:rsidRDefault="00425D1B" w:rsidP="00425D1B">
      <w:pPr>
        <w:pStyle w:val="ManualConsidrant"/>
        <w:rPr>
          <w:noProof/>
        </w:rPr>
      </w:pPr>
      <w:r w:rsidRPr="00425D1B">
        <w:rPr>
          <w:noProof/>
        </w:rPr>
        <w:t>(19)</w:t>
      </w:r>
      <w:r w:rsidRPr="00425D1B">
        <w:rPr>
          <w:noProof/>
        </w:rPr>
        <w:tab/>
      </w:r>
      <w:r w:rsidR="00E46AA7" w:rsidRPr="009678BA">
        <w:rPr>
          <w:noProof/>
        </w:rPr>
        <w:t>L</w:t>
      </w:r>
      <w:r w:rsidR="0000279B">
        <w:rPr>
          <w:noProof/>
        </w:rPr>
        <w:t>'</w:t>
      </w:r>
      <w:r w:rsidR="00E46AA7" w:rsidRPr="009678BA">
        <w:rPr>
          <w:noProof/>
        </w:rPr>
        <w:t>articolo 22 del regolamento (UE) 2017/2226 e l</w:t>
      </w:r>
      <w:r w:rsidR="0000279B">
        <w:rPr>
          <w:noProof/>
        </w:rPr>
        <w:t>'</w:t>
      </w:r>
      <w:r w:rsidR="00E46AA7" w:rsidRPr="009678BA">
        <w:rPr>
          <w:noProof/>
        </w:rPr>
        <w:t>articolo 12 bis del regolamento (UE) 2016/399 prevedono un periodo transitorio e misure transitorie relative all</w:t>
      </w:r>
      <w:r w:rsidR="0000279B">
        <w:rPr>
          <w:noProof/>
        </w:rPr>
        <w:t>'</w:t>
      </w:r>
      <w:r w:rsidR="00E46AA7" w:rsidRPr="009678BA">
        <w:rPr>
          <w:noProof/>
        </w:rPr>
        <w:t>entrata in funzione dell</w:t>
      </w:r>
      <w:r w:rsidR="0000279B">
        <w:rPr>
          <w:noProof/>
        </w:rPr>
        <w:t>'</w:t>
      </w:r>
      <w:r w:rsidR="00E46AA7" w:rsidRPr="009678BA">
        <w:rPr>
          <w:noProof/>
        </w:rPr>
        <w:t>EES. È necessario derogare a tali articoli affinché il periodo transitorio e le misure transitorie si applichino solo dopo la fine del periodo di entrata in funzione graduale. Tale deroga dovrebbe cessare di applicarsi cinque anni e 180 giorni di calendario dopo la data decisa dalla Commissione conformemente all</w:t>
      </w:r>
      <w:r w:rsidR="0000279B">
        <w:rPr>
          <w:noProof/>
        </w:rPr>
        <w:t>'</w:t>
      </w:r>
      <w:r w:rsidR="00E46AA7" w:rsidRPr="009678BA">
        <w:rPr>
          <w:noProof/>
        </w:rPr>
        <w:t>articolo 66, paragrafo 1, del regolamento (UE) 2017/2226.</w:t>
      </w:r>
    </w:p>
    <w:p w:rsidR="00BE0D22" w:rsidRPr="009678BA" w:rsidRDefault="00425D1B" w:rsidP="00425D1B">
      <w:pPr>
        <w:pStyle w:val="ManualConsidrant"/>
        <w:rPr>
          <w:noProof/>
        </w:rPr>
      </w:pPr>
      <w:r w:rsidRPr="00425D1B">
        <w:rPr>
          <w:noProof/>
        </w:rPr>
        <w:t>(20)</w:t>
      </w:r>
      <w:r w:rsidRPr="00425D1B">
        <w:rPr>
          <w:noProof/>
        </w:rPr>
        <w:tab/>
      </w:r>
      <w:r w:rsidR="000A4EFB" w:rsidRPr="009678BA">
        <w:rPr>
          <w:rStyle w:val="HTMLCite"/>
          <w:i w:val="0"/>
          <w:noProof/>
        </w:rPr>
        <w:t>Per evitare di prendere decisioni sulla sola base dei dati registrati nell</w:t>
      </w:r>
      <w:r w:rsidR="0000279B">
        <w:rPr>
          <w:rStyle w:val="HTMLCite"/>
          <w:i w:val="0"/>
          <w:noProof/>
        </w:rPr>
        <w:t>'</w:t>
      </w:r>
      <w:r w:rsidR="000A4EFB" w:rsidRPr="009678BA">
        <w:rPr>
          <w:rStyle w:val="HTMLCite"/>
          <w:i w:val="0"/>
          <w:noProof/>
        </w:rPr>
        <w:t>EES, le autorità nazionali e le agenzie dell</w:t>
      </w:r>
      <w:r w:rsidR="0000279B">
        <w:rPr>
          <w:rStyle w:val="HTMLCite"/>
          <w:i w:val="0"/>
          <w:noProof/>
        </w:rPr>
        <w:t>'</w:t>
      </w:r>
      <w:r w:rsidR="000A4EFB" w:rsidRPr="009678BA">
        <w:rPr>
          <w:rStyle w:val="HTMLCite"/>
          <w:i w:val="0"/>
          <w:noProof/>
        </w:rPr>
        <w:t>UE dovrebbero tenere conto, nell</w:t>
      </w:r>
      <w:r w:rsidR="0000279B">
        <w:rPr>
          <w:rStyle w:val="HTMLCite"/>
          <w:i w:val="0"/>
          <w:noProof/>
        </w:rPr>
        <w:t>'</w:t>
      </w:r>
      <w:r w:rsidR="000A4EFB" w:rsidRPr="009678BA">
        <w:rPr>
          <w:rStyle w:val="HTMLCite"/>
          <w:i w:val="0"/>
          <w:noProof/>
        </w:rPr>
        <w:t>assolvimento dei loro compiti, del fatto che i fascicoli individuali registrati nell</w:t>
      </w:r>
      <w:r w:rsidR="0000279B">
        <w:rPr>
          <w:rStyle w:val="HTMLCite"/>
          <w:i w:val="0"/>
          <w:noProof/>
        </w:rPr>
        <w:t>'</w:t>
      </w:r>
      <w:r w:rsidR="000A4EFB" w:rsidRPr="009678BA">
        <w:rPr>
          <w:rStyle w:val="HTMLCite"/>
          <w:i w:val="0"/>
          <w:noProof/>
        </w:rPr>
        <w:t>EES possono contenere serie di dati incomplete. Tale deroga dovrebbe cessare di applicarsi cinque anni dopo la data decisa dalla Commissione conformemente all</w:t>
      </w:r>
      <w:r w:rsidR="0000279B">
        <w:rPr>
          <w:rStyle w:val="HTMLCite"/>
          <w:i w:val="0"/>
          <w:noProof/>
        </w:rPr>
        <w:t>'</w:t>
      </w:r>
      <w:r w:rsidR="000A4EFB" w:rsidRPr="009678BA">
        <w:rPr>
          <w:rStyle w:val="HTMLCite"/>
          <w:i w:val="0"/>
          <w:noProof/>
        </w:rPr>
        <w:t>articolo 66, paragrafo 1, del regolamento (UE) 2017/2226, per tenere conto del periodo di conservazione di cinque anni previsto per le serie di dati per le quali non è stata registrata alcuna uscita, di cui all</w:t>
      </w:r>
      <w:r w:rsidR="0000279B">
        <w:rPr>
          <w:rStyle w:val="HTMLCite"/>
          <w:i w:val="0"/>
          <w:noProof/>
        </w:rPr>
        <w:t>'</w:t>
      </w:r>
      <w:r w:rsidR="000A4EFB" w:rsidRPr="009678BA">
        <w:rPr>
          <w:rStyle w:val="HTMLCite"/>
          <w:i w:val="0"/>
          <w:noProof/>
        </w:rPr>
        <w:t xml:space="preserve">articolo 34, paragrafo 3, di detto regolamento. </w:t>
      </w:r>
    </w:p>
    <w:p w:rsidR="00BE0D22" w:rsidRPr="009678BA" w:rsidRDefault="00425D1B" w:rsidP="00425D1B">
      <w:pPr>
        <w:pStyle w:val="ManualConsidrant"/>
        <w:rPr>
          <w:noProof/>
        </w:rPr>
      </w:pPr>
      <w:r w:rsidRPr="00425D1B">
        <w:rPr>
          <w:noProof/>
        </w:rPr>
        <w:t>(21)</w:t>
      </w:r>
      <w:r w:rsidRPr="00425D1B">
        <w:rPr>
          <w:noProof/>
        </w:rPr>
        <w:tab/>
      </w:r>
      <w:r w:rsidR="00BE0D22" w:rsidRPr="009678BA">
        <w:rPr>
          <w:noProof/>
        </w:rPr>
        <w:t>Nel garantire il rispetto delle disposizioni del regolamento (UE) 2017/2226 relative alla modifica dei dati e alla cancellazione anticipata dei dati, gli Stati membri dovrebbero integrare i dati incompleti nella misura consentita dalla limitata disponibilità delle serie di dati registrate nell</w:t>
      </w:r>
      <w:r w:rsidR="0000279B">
        <w:rPr>
          <w:noProof/>
        </w:rPr>
        <w:t>'</w:t>
      </w:r>
      <w:r w:rsidR="00BE0D22" w:rsidRPr="009678BA">
        <w:rPr>
          <w:noProof/>
        </w:rPr>
        <w:t>EES durante l</w:t>
      </w:r>
      <w:r w:rsidR="0000279B">
        <w:rPr>
          <w:noProof/>
        </w:rPr>
        <w:t>'</w:t>
      </w:r>
      <w:r w:rsidR="00BE0D22" w:rsidRPr="009678BA">
        <w:rPr>
          <w:noProof/>
        </w:rPr>
        <w:t>entrata in funzione graduale.</w:t>
      </w:r>
    </w:p>
    <w:p w:rsidR="00BE0D22" w:rsidRPr="009678BA" w:rsidRDefault="00425D1B" w:rsidP="00425D1B">
      <w:pPr>
        <w:pStyle w:val="ManualConsidrant"/>
        <w:rPr>
          <w:noProof/>
        </w:rPr>
      </w:pPr>
      <w:r w:rsidRPr="00425D1B">
        <w:rPr>
          <w:noProof/>
        </w:rPr>
        <w:t>(22)</w:t>
      </w:r>
      <w:r w:rsidRPr="00425D1B">
        <w:rPr>
          <w:noProof/>
        </w:rPr>
        <w:tab/>
      </w:r>
      <w:r w:rsidR="00BE0D22" w:rsidRPr="009678BA">
        <w:rPr>
          <w:noProof/>
        </w:rPr>
        <w:t>L</w:t>
      </w:r>
      <w:r w:rsidR="0000279B">
        <w:rPr>
          <w:noProof/>
        </w:rPr>
        <w:t>'</w:t>
      </w:r>
      <w:r w:rsidR="00BE0D22" w:rsidRPr="009678BA">
        <w:rPr>
          <w:noProof/>
        </w:rPr>
        <w:t>Agenzia europea della guardia di frontiera e costiera dovrebbe astenersi dall</w:t>
      </w:r>
      <w:r w:rsidR="0000279B">
        <w:rPr>
          <w:noProof/>
        </w:rPr>
        <w:t>'</w:t>
      </w:r>
      <w:r w:rsidR="00BE0D22" w:rsidRPr="009678BA">
        <w:rPr>
          <w:noProof/>
        </w:rPr>
        <w:t>usare i dati registrati nell</w:t>
      </w:r>
      <w:r w:rsidR="0000279B">
        <w:rPr>
          <w:noProof/>
        </w:rPr>
        <w:t>'</w:t>
      </w:r>
      <w:r w:rsidR="00BE0D22" w:rsidRPr="009678BA">
        <w:rPr>
          <w:noProof/>
        </w:rPr>
        <w:t>EES durante l</w:t>
      </w:r>
      <w:r w:rsidR="0000279B">
        <w:rPr>
          <w:noProof/>
        </w:rPr>
        <w:t>'</w:t>
      </w:r>
      <w:r w:rsidR="00BE0D22" w:rsidRPr="009678BA">
        <w:rPr>
          <w:noProof/>
        </w:rPr>
        <w:t>entrata in funzione graduale per eseguire analisi del rischio e valutazioni delle vulnerabilità, poiché l</w:t>
      </w:r>
      <w:r w:rsidR="0000279B">
        <w:rPr>
          <w:noProof/>
        </w:rPr>
        <w:t>'</w:t>
      </w:r>
      <w:r w:rsidR="00BE0D22" w:rsidRPr="009678BA">
        <w:rPr>
          <w:noProof/>
        </w:rPr>
        <w:t>incompletezza dei dati potrebbe causare valutazioni fuorvianti dei rischi e delle vulnerabilità.</w:t>
      </w:r>
    </w:p>
    <w:p w:rsidR="00BE0D22" w:rsidRPr="009678BA" w:rsidRDefault="00425D1B" w:rsidP="00425D1B">
      <w:pPr>
        <w:pStyle w:val="ManualConsidrant"/>
        <w:rPr>
          <w:noProof/>
        </w:rPr>
      </w:pPr>
      <w:r w:rsidRPr="00425D1B">
        <w:rPr>
          <w:noProof/>
        </w:rPr>
        <w:t>(23)</w:t>
      </w:r>
      <w:r w:rsidRPr="00425D1B">
        <w:rPr>
          <w:noProof/>
        </w:rPr>
        <w:tab/>
      </w:r>
      <w:r w:rsidR="00BE0D22" w:rsidRPr="009678BA">
        <w:rPr>
          <w:noProof/>
        </w:rPr>
        <w:t>Per garantire una gestione efficace delle frontiere esterne durante l</w:t>
      </w:r>
      <w:r w:rsidR="0000279B">
        <w:rPr>
          <w:noProof/>
        </w:rPr>
        <w:t>'</w:t>
      </w:r>
      <w:r w:rsidR="00BE0D22" w:rsidRPr="009678BA">
        <w:rPr>
          <w:noProof/>
        </w:rPr>
        <w:t>entrata in funzione graduale dell</w:t>
      </w:r>
      <w:r w:rsidR="0000279B">
        <w:rPr>
          <w:noProof/>
        </w:rPr>
        <w:t>'</w:t>
      </w:r>
      <w:r w:rsidR="00BE0D22" w:rsidRPr="009678BA">
        <w:rPr>
          <w:noProof/>
        </w:rPr>
        <w:t>EES, ai valichi di frontiera presso i quali l</w:t>
      </w:r>
      <w:r w:rsidR="0000279B">
        <w:rPr>
          <w:noProof/>
        </w:rPr>
        <w:t>'</w:t>
      </w:r>
      <w:r w:rsidR="00BE0D22" w:rsidRPr="009678BA">
        <w:rPr>
          <w:noProof/>
        </w:rPr>
        <w:t>EES non è operativo le verifiche di frontiera dovrebbero essere effettuate conformemente al regolamento (UE) 2016/399 quale applicabile [il giorno precedente la data di entrata in funzione dell</w:t>
      </w:r>
      <w:r w:rsidR="0000279B">
        <w:rPr>
          <w:noProof/>
        </w:rPr>
        <w:t>'</w:t>
      </w:r>
      <w:r w:rsidR="00BE0D22" w:rsidRPr="009678BA">
        <w:rPr>
          <w:noProof/>
        </w:rPr>
        <w:t>EES decisa dalla Commissione conformemente all</w:t>
      </w:r>
      <w:r w:rsidR="0000279B">
        <w:rPr>
          <w:noProof/>
        </w:rPr>
        <w:t>'</w:t>
      </w:r>
      <w:r w:rsidR="00BE0D22" w:rsidRPr="009678BA">
        <w:rPr>
          <w:noProof/>
        </w:rPr>
        <w:t>articolo 66, paragrafo 1, del regolamento (UE) 2017/2226]. Ai valichi di frontiera presso i quali l</w:t>
      </w:r>
      <w:r w:rsidR="0000279B">
        <w:rPr>
          <w:noProof/>
        </w:rPr>
        <w:t>'</w:t>
      </w:r>
      <w:r w:rsidR="00BE0D22" w:rsidRPr="009678BA">
        <w:rPr>
          <w:noProof/>
        </w:rPr>
        <w:t>EES è operativo, le verifiche di frontiera dovrebbero essere effettuate conformemente al regolamento (UE) 2017/2226 e al codice frontiere Schengen. Tuttavia è opportuno applicare deroghe specifiche a tali regolamenti per quanto riguarda le verifiche ai valichi di frontiera presso i quali l</w:t>
      </w:r>
      <w:r w:rsidR="0000279B">
        <w:rPr>
          <w:noProof/>
        </w:rPr>
        <w:t>'</w:t>
      </w:r>
      <w:r w:rsidR="00BE0D22" w:rsidRPr="009678BA">
        <w:rPr>
          <w:noProof/>
        </w:rPr>
        <w:t>EES è operativo senza funzionalità biometriche per consentire l</w:t>
      </w:r>
      <w:r w:rsidR="0000279B">
        <w:rPr>
          <w:noProof/>
        </w:rPr>
        <w:t>'</w:t>
      </w:r>
      <w:r w:rsidR="00BE0D22" w:rsidRPr="009678BA">
        <w:rPr>
          <w:noProof/>
        </w:rPr>
        <w:t>entrata in funzione graduale del sistema. Ciò dovrebbe avvenire fatte salve le verifiche dei titolari di visto mediante le impronte digitali, conformemente al regolamento (CE) n.</w:t>
      </w:r>
      <w:r w:rsidR="0000279B">
        <w:rPr>
          <w:noProof/>
        </w:rPr>
        <w:t> </w:t>
      </w:r>
      <w:r w:rsidR="00BE0D22" w:rsidRPr="009678BA">
        <w:rPr>
          <w:noProof/>
        </w:rPr>
        <w:t>787/2008.</w:t>
      </w:r>
    </w:p>
    <w:p w:rsidR="00C70EC5" w:rsidRPr="009678BA" w:rsidRDefault="00425D1B" w:rsidP="00425D1B">
      <w:pPr>
        <w:pStyle w:val="ManualConsidrant"/>
        <w:rPr>
          <w:noProof/>
        </w:rPr>
      </w:pPr>
      <w:r w:rsidRPr="00425D1B">
        <w:rPr>
          <w:noProof/>
        </w:rPr>
        <w:t>(24)</w:t>
      </w:r>
      <w:r w:rsidRPr="00425D1B">
        <w:rPr>
          <w:noProof/>
        </w:rPr>
        <w:tab/>
      </w:r>
      <w:r w:rsidR="00BE0D22" w:rsidRPr="009678BA">
        <w:rPr>
          <w:noProof/>
        </w:rPr>
        <w:t>Per consentire un adeguamento efficace delle disposizioni tecniche e organizzative durante l</w:t>
      </w:r>
      <w:r w:rsidR="0000279B">
        <w:rPr>
          <w:noProof/>
        </w:rPr>
        <w:t>'</w:t>
      </w:r>
      <w:r w:rsidR="00BE0D22" w:rsidRPr="009678BA">
        <w:rPr>
          <w:noProof/>
        </w:rPr>
        <w:t>entrata in funzione graduale dell</w:t>
      </w:r>
      <w:r w:rsidR="0000279B">
        <w:rPr>
          <w:noProof/>
        </w:rPr>
        <w:t>'</w:t>
      </w:r>
      <w:r w:rsidR="00BE0D22" w:rsidRPr="009678BA">
        <w:rPr>
          <w:noProof/>
        </w:rPr>
        <w:t>EES in ciascuno Stato membro e per affrontare circostanze eccezionali di guasto del sistema centrale dell</w:t>
      </w:r>
      <w:r w:rsidR="0000279B">
        <w:rPr>
          <w:noProof/>
        </w:rPr>
        <w:t>'</w:t>
      </w:r>
      <w:r w:rsidR="00BE0D22" w:rsidRPr="009678BA">
        <w:rPr>
          <w:noProof/>
        </w:rPr>
        <w:t>EES, dei sistemi nazionali o dell</w:t>
      </w:r>
      <w:r w:rsidR="0000279B">
        <w:rPr>
          <w:noProof/>
        </w:rPr>
        <w:t>'</w:t>
      </w:r>
      <w:r w:rsidR="00BE0D22" w:rsidRPr="009678BA">
        <w:rPr>
          <w:noProof/>
        </w:rPr>
        <w:t>infrastruttura di comunicazione, o tempi di attesa eccessivi alle loro frontiere, gli Stati membri dovrebbero avere la possibilità di sospendere, in tutto o in parte, le operazioni dell</w:t>
      </w:r>
      <w:r w:rsidR="0000279B">
        <w:rPr>
          <w:noProof/>
        </w:rPr>
        <w:t>'</w:t>
      </w:r>
      <w:r w:rsidR="00BE0D22" w:rsidRPr="009678BA">
        <w:rPr>
          <w:noProof/>
        </w:rPr>
        <w:t>EES a determinati valichi di frontiera. In caso di sospensione parziale, dovrebbe essere sospesa la registrazione dei dati biometrici nell</w:t>
      </w:r>
      <w:r w:rsidR="0000279B">
        <w:rPr>
          <w:noProof/>
        </w:rPr>
        <w:t>'</w:t>
      </w:r>
      <w:r w:rsidR="00BE0D22" w:rsidRPr="009678BA">
        <w:rPr>
          <w:noProof/>
        </w:rPr>
        <w:t>EES. In</w:t>
      </w:r>
      <w:r w:rsidR="0000279B">
        <w:rPr>
          <w:noProof/>
        </w:rPr>
        <w:t> </w:t>
      </w:r>
      <w:r w:rsidR="00BE0D22" w:rsidRPr="009678BA">
        <w:rPr>
          <w:noProof/>
        </w:rPr>
        <w:t>caso</w:t>
      </w:r>
      <w:r w:rsidR="0000279B">
        <w:rPr>
          <w:noProof/>
        </w:rPr>
        <w:t> </w:t>
      </w:r>
      <w:r w:rsidR="00BE0D22" w:rsidRPr="009678BA">
        <w:rPr>
          <w:noProof/>
        </w:rPr>
        <w:t>di sospensione totale, nessun dato dovrebbe essere registrato nell</w:t>
      </w:r>
      <w:r w:rsidR="0000279B">
        <w:rPr>
          <w:noProof/>
        </w:rPr>
        <w:t>'</w:t>
      </w:r>
      <w:r w:rsidR="00BE0D22" w:rsidRPr="009678BA">
        <w:rPr>
          <w:noProof/>
        </w:rPr>
        <w:t>EES. Per</w:t>
      </w:r>
      <w:r w:rsidR="0000279B">
        <w:rPr>
          <w:noProof/>
        </w:rPr>
        <w:t> </w:t>
      </w:r>
      <w:r w:rsidR="00BE0D22" w:rsidRPr="009678BA">
        <w:rPr>
          <w:noProof/>
        </w:rPr>
        <w:t>attenuare i rischi aggiuntivi connessi all</w:t>
      </w:r>
      <w:r w:rsidR="0000279B">
        <w:rPr>
          <w:noProof/>
        </w:rPr>
        <w:t>'</w:t>
      </w:r>
      <w:r w:rsidR="00BE0D22" w:rsidRPr="009678BA">
        <w:rPr>
          <w:noProof/>
        </w:rPr>
        <w:t>introduzione dell</w:t>
      </w:r>
      <w:r w:rsidR="0000279B">
        <w:rPr>
          <w:noProof/>
        </w:rPr>
        <w:t>'</w:t>
      </w:r>
      <w:r w:rsidR="00BE0D22" w:rsidRPr="009678BA">
        <w:rPr>
          <w:noProof/>
        </w:rPr>
        <w:t>EES con funzionalità biometriche, gli Stati membri dovrebbero avere la possibilità, in circostanze eccezionali in cui l</w:t>
      </w:r>
      <w:r w:rsidR="0000279B">
        <w:rPr>
          <w:noProof/>
        </w:rPr>
        <w:t>'</w:t>
      </w:r>
      <w:r w:rsidR="00BE0D22" w:rsidRPr="009678BA">
        <w:rPr>
          <w:noProof/>
        </w:rPr>
        <w:t>intensità di traffico è tale da rendere eccessivi i tempi di attesa alle frontiere, di sospendere la registrazione dei dati biometrici nel sistema dopo la fine del periodo di entrata in funzione graduale. Tale sospensione dovrebbe essere autorizzata per un periodo limitato di 60 giorni dopo la fine del periodo di entrata in funzione graduale dell</w:t>
      </w:r>
      <w:r w:rsidR="0000279B">
        <w:rPr>
          <w:noProof/>
        </w:rPr>
        <w:t>'</w:t>
      </w:r>
      <w:r w:rsidR="00BE0D22" w:rsidRPr="009678BA">
        <w:rPr>
          <w:noProof/>
        </w:rPr>
        <w:t>EES e dovrebbe essere prorogata di 60 giorni se meno dell</w:t>
      </w:r>
      <w:r w:rsidR="0000279B">
        <w:rPr>
          <w:noProof/>
        </w:rPr>
        <w:t>'</w:t>
      </w:r>
      <w:r w:rsidR="00BE0D22" w:rsidRPr="009678BA">
        <w:rPr>
          <w:noProof/>
        </w:rPr>
        <w:t>80 % dei fascicoli individuali registrati nell</w:t>
      </w:r>
      <w:r w:rsidR="0000279B">
        <w:rPr>
          <w:noProof/>
        </w:rPr>
        <w:t>'</w:t>
      </w:r>
      <w:r w:rsidR="00BE0D22" w:rsidRPr="009678BA">
        <w:rPr>
          <w:noProof/>
        </w:rPr>
        <w:t>EES durante l</w:t>
      </w:r>
      <w:r w:rsidR="0000279B">
        <w:rPr>
          <w:noProof/>
        </w:rPr>
        <w:t>'</w:t>
      </w:r>
      <w:r w:rsidR="00BE0D22" w:rsidRPr="009678BA">
        <w:rPr>
          <w:noProof/>
        </w:rPr>
        <w:t xml:space="preserve">entrata in funzione graduale del sistema contiene dati biometrici. </w:t>
      </w:r>
    </w:p>
    <w:p w:rsidR="00BE0D22" w:rsidRPr="009678BA" w:rsidRDefault="00425D1B" w:rsidP="00425D1B">
      <w:pPr>
        <w:pStyle w:val="ManualConsidrant"/>
        <w:rPr>
          <w:noProof/>
        </w:rPr>
      </w:pPr>
      <w:r w:rsidRPr="00425D1B">
        <w:rPr>
          <w:noProof/>
        </w:rPr>
        <w:t>(25)</w:t>
      </w:r>
      <w:r w:rsidRPr="00425D1B">
        <w:rPr>
          <w:noProof/>
        </w:rPr>
        <w:tab/>
      </w:r>
      <w:r w:rsidR="00BE0D22" w:rsidRPr="009678BA">
        <w:rPr>
          <w:noProof/>
        </w:rPr>
        <w:t>eu-LISA dovrebbe pubblicare relazioni sulle statistiche relative all</w:t>
      </w:r>
      <w:r w:rsidR="0000279B">
        <w:rPr>
          <w:noProof/>
        </w:rPr>
        <w:t>'</w:t>
      </w:r>
      <w:r w:rsidR="00BE0D22" w:rsidRPr="009678BA">
        <w:rPr>
          <w:noProof/>
        </w:rPr>
        <w:t>uso del sistema, che dovrebbero servire a valutare le prestazioni del sistema, verificare che gli Stati membri si conformino ai piani di introduzione, individuare i settori da migliorare, monitorare il rispetto dell</w:t>
      </w:r>
      <w:r w:rsidR="0000279B">
        <w:rPr>
          <w:noProof/>
        </w:rPr>
        <w:t>'</w:t>
      </w:r>
      <w:r w:rsidR="00BE0D22" w:rsidRPr="009678BA">
        <w:rPr>
          <w:noProof/>
        </w:rPr>
        <w:t>entrata in funzione graduale dell</w:t>
      </w:r>
      <w:r w:rsidR="0000279B">
        <w:rPr>
          <w:noProof/>
        </w:rPr>
        <w:t>'</w:t>
      </w:r>
      <w:r w:rsidR="00BE0D22" w:rsidRPr="009678BA">
        <w:rPr>
          <w:noProof/>
        </w:rPr>
        <w:t>EES e sostenere il processo decisionale relativo all</w:t>
      </w:r>
      <w:r w:rsidR="0000279B">
        <w:rPr>
          <w:noProof/>
        </w:rPr>
        <w:t>'</w:t>
      </w:r>
      <w:r w:rsidR="00BE0D22" w:rsidRPr="009678BA">
        <w:rPr>
          <w:noProof/>
        </w:rPr>
        <w:t>ulteriore sviluppo e all</w:t>
      </w:r>
      <w:r w:rsidR="0000279B">
        <w:rPr>
          <w:noProof/>
        </w:rPr>
        <w:t>'</w:t>
      </w:r>
      <w:r w:rsidR="00BE0D22" w:rsidRPr="009678BA">
        <w:rPr>
          <w:noProof/>
        </w:rPr>
        <w:t>ottimizzazione del sistema.</w:t>
      </w:r>
    </w:p>
    <w:p w:rsidR="00BE0D22" w:rsidRPr="009678BA" w:rsidRDefault="00425D1B" w:rsidP="00425D1B">
      <w:pPr>
        <w:pStyle w:val="ManualConsidrant"/>
        <w:rPr>
          <w:noProof/>
        </w:rPr>
      </w:pPr>
      <w:r w:rsidRPr="00425D1B">
        <w:rPr>
          <w:noProof/>
        </w:rPr>
        <w:t>(26)</w:t>
      </w:r>
      <w:r w:rsidRPr="00425D1B">
        <w:rPr>
          <w:noProof/>
        </w:rPr>
        <w:tab/>
      </w:r>
      <w:r w:rsidR="000A53AA" w:rsidRPr="009678BA">
        <w:rPr>
          <w:noProof/>
        </w:rPr>
        <w:t>I lavori preparatori relativi ai piani di introduzione dovrebbero iniziare alla data di entrata in vigore del presente regolamento. L</w:t>
      </w:r>
      <w:r w:rsidR="0000279B">
        <w:rPr>
          <w:noProof/>
        </w:rPr>
        <w:t>'</w:t>
      </w:r>
      <w:r w:rsidR="000A53AA" w:rsidRPr="009678BA">
        <w:rPr>
          <w:noProof/>
        </w:rPr>
        <w:t>entrata in funzione graduale dovrebbe applicarsi a decorrere dalla data decisa dalla Commissione conformemente all</w:t>
      </w:r>
      <w:r w:rsidR="0000279B">
        <w:rPr>
          <w:noProof/>
        </w:rPr>
        <w:t>'</w:t>
      </w:r>
      <w:r w:rsidR="000A53AA" w:rsidRPr="009678BA">
        <w:rPr>
          <w:noProof/>
        </w:rPr>
        <w:t>articolo</w:t>
      </w:r>
      <w:r w:rsidR="0000279B">
        <w:rPr>
          <w:noProof/>
        </w:rPr>
        <w:t> </w:t>
      </w:r>
      <w:r w:rsidR="000A53AA" w:rsidRPr="009678BA">
        <w:rPr>
          <w:noProof/>
        </w:rPr>
        <w:t>66, paragrafo 1, del regolamento EES. Poiché il presente regolamento prevede deroghe temporanee, esso dovrebbe cessare di applicarsi 180 giorni di calendario dopo la data decisa dalla Commissione conformemente all</w:t>
      </w:r>
      <w:r w:rsidR="0000279B">
        <w:rPr>
          <w:noProof/>
        </w:rPr>
        <w:t>'</w:t>
      </w:r>
      <w:r w:rsidR="000A53AA" w:rsidRPr="009678BA">
        <w:rPr>
          <w:noProof/>
        </w:rPr>
        <w:t>articolo 66, paragrafo 1, del regolamento (UE) 2017/2226. Tuttavia, le norme derogatorie relative all</w:t>
      </w:r>
      <w:r w:rsidR="0000279B">
        <w:rPr>
          <w:noProof/>
        </w:rPr>
        <w:t>'</w:t>
      </w:r>
      <w:r w:rsidR="000A53AA" w:rsidRPr="009678BA">
        <w:rPr>
          <w:noProof/>
        </w:rPr>
        <w:t>applicazione del periodo transitorio e delle misure transitorie, all</w:t>
      </w:r>
      <w:r w:rsidR="0000279B">
        <w:rPr>
          <w:noProof/>
        </w:rPr>
        <w:t>'</w:t>
      </w:r>
      <w:r w:rsidR="000A53AA" w:rsidRPr="009678BA">
        <w:rPr>
          <w:noProof/>
        </w:rPr>
        <w:t>accesso ai dati dell</w:t>
      </w:r>
      <w:r w:rsidR="0000279B">
        <w:rPr>
          <w:noProof/>
        </w:rPr>
        <w:t>'</w:t>
      </w:r>
      <w:r w:rsidR="000A53AA" w:rsidRPr="009678BA">
        <w:rPr>
          <w:noProof/>
        </w:rPr>
        <w:t>EES, alla verifica da parte dei vettori dei timbri apposti sui documenti di viaggio e alla sospensione dell</w:t>
      </w:r>
      <w:r w:rsidR="0000279B">
        <w:rPr>
          <w:noProof/>
        </w:rPr>
        <w:t>'</w:t>
      </w:r>
      <w:r w:rsidR="000A53AA" w:rsidRPr="009678BA">
        <w:rPr>
          <w:noProof/>
        </w:rPr>
        <w:t xml:space="preserve">EES dovrebbero applicarsi per un periodo limitato dopo la fine del periodo di entrata in funzione graduale. </w:t>
      </w:r>
    </w:p>
    <w:p w:rsidR="00BE0D22" w:rsidRPr="009678BA" w:rsidRDefault="00425D1B" w:rsidP="00425D1B">
      <w:pPr>
        <w:pStyle w:val="ManualConsidrant"/>
        <w:rPr>
          <w:noProof/>
        </w:rPr>
      </w:pPr>
      <w:r w:rsidRPr="00425D1B">
        <w:rPr>
          <w:noProof/>
        </w:rPr>
        <w:t>(27)</w:t>
      </w:r>
      <w:r w:rsidRPr="00425D1B">
        <w:rPr>
          <w:noProof/>
        </w:rPr>
        <w:tab/>
      </w:r>
      <w:r w:rsidR="00E00EE3" w:rsidRPr="009678BA">
        <w:rPr>
          <w:noProof/>
        </w:rPr>
        <w:t>L</w:t>
      </w:r>
      <w:r w:rsidR="0000279B">
        <w:rPr>
          <w:noProof/>
        </w:rPr>
        <w:t>'</w:t>
      </w:r>
      <w:r w:rsidR="00E00EE3" w:rsidRPr="009678BA">
        <w:rPr>
          <w:noProof/>
        </w:rPr>
        <w:t>obiettivo del presente regolamento, che autorizza deroghe al regolamento (UE) 2017/2226 e al regolamento (UE) 2016/299 al fine di permettere l</w:t>
      </w:r>
      <w:r w:rsidR="0000279B">
        <w:rPr>
          <w:noProof/>
        </w:rPr>
        <w:t>'</w:t>
      </w:r>
      <w:r w:rsidR="00E00EE3" w:rsidRPr="009678BA">
        <w:rPr>
          <w:noProof/>
        </w:rPr>
        <w:t>entrata in funzione graduale dell</w:t>
      </w:r>
      <w:r w:rsidR="0000279B">
        <w:rPr>
          <w:noProof/>
        </w:rPr>
        <w:t>'</w:t>
      </w:r>
      <w:r w:rsidR="00E00EE3" w:rsidRPr="009678BA">
        <w:rPr>
          <w:noProof/>
        </w:rPr>
        <w:t>EES, non può essere conseguito in misura sufficiente dagli Stati membri ma, a motivo della portata e degli effetti dell</w:t>
      </w:r>
      <w:r w:rsidR="0000279B">
        <w:rPr>
          <w:noProof/>
        </w:rPr>
        <w:t>'</w:t>
      </w:r>
      <w:r w:rsidR="00E00EE3" w:rsidRPr="009678BA">
        <w:rPr>
          <w:noProof/>
        </w:rPr>
        <w:t>azione, può essere conseguito meglio a livello di Unione. L</w:t>
      </w:r>
      <w:r w:rsidR="0000279B">
        <w:rPr>
          <w:noProof/>
        </w:rPr>
        <w:t>'</w:t>
      </w:r>
      <w:r w:rsidR="00E00EE3" w:rsidRPr="009678BA">
        <w:rPr>
          <w:noProof/>
        </w:rPr>
        <w:t>Unione può quindi intervenire in base al principio di sussidiarietà sancito dall</w:t>
      </w:r>
      <w:r w:rsidR="0000279B">
        <w:rPr>
          <w:noProof/>
        </w:rPr>
        <w:t>'</w:t>
      </w:r>
      <w:r w:rsidR="00E00EE3" w:rsidRPr="009678BA">
        <w:rPr>
          <w:noProof/>
        </w:rPr>
        <w:t>articolo 5 del trattato sull</w:t>
      </w:r>
      <w:r w:rsidR="0000279B">
        <w:rPr>
          <w:noProof/>
        </w:rPr>
        <w:t>'</w:t>
      </w:r>
      <w:r w:rsidR="00E00EE3" w:rsidRPr="009678BA">
        <w:rPr>
          <w:noProof/>
        </w:rPr>
        <w:t>Unione europea. Il presente regolamento si limita a quanto è necessario per conseguire tali obiettivi in ottemperanza al principio di proporzionalità enunciato nello stesso articolo.</w:t>
      </w:r>
    </w:p>
    <w:p w:rsidR="00BE0D22" w:rsidRPr="009678BA" w:rsidRDefault="00425D1B" w:rsidP="00425D1B">
      <w:pPr>
        <w:pStyle w:val="ManualConsidrant"/>
        <w:rPr>
          <w:noProof/>
        </w:rPr>
      </w:pPr>
      <w:r w:rsidRPr="00425D1B">
        <w:rPr>
          <w:noProof/>
        </w:rPr>
        <w:t>(28)</w:t>
      </w:r>
      <w:r w:rsidRPr="00425D1B">
        <w:rPr>
          <w:noProof/>
        </w:rPr>
        <w:tab/>
      </w:r>
      <w:r w:rsidR="00106AF7" w:rsidRPr="009678BA">
        <w:rPr>
          <w:noProof/>
        </w:rPr>
        <w:t>A norma degli articoli 1 e 2 del protocollo n. 22 sulla posizione della Danimarca, allegato al trattato sull</w:t>
      </w:r>
      <w:r w:rsidR="0000279B">
        <w:rPr>
          <w:noProof/>
        </w:rPr>
        <w:t>'</w:t>
      </w:r>
      <w:r w:rsidR="00106AF7" w:rsidRPr="009678BA">
        <w:rPr>
          <w:noProof/>
        </w:rPr>
        <w:t>Unione europea e al trattato sul funzionamento dell</w:t>
      </w:r>
      <w:r w:rsidR="0000279B">
        <w:rPr>
          <w:noProof/>
        </w:rPr>
        <w:t>'</w:t>
      </w:r>
      <w:r w:rsidR="00106AF7" w:rsidRPr="009678BA">
        <w:rPr>
          <w:noProof/>
        </w:rPr>
        <w:t>Unione europea, la Danimarca non partecipa all</w:t>
      </w:r>
      <w:r w:rsidR="0000279B">
        <w:rPr>
          <w:noProof/>
        </w:rPr>
        <w:t>'</w:t>
      </w:r>
      <w:r w:rsidR="00106AF7" w:rsidRPr="009678BA">
        <w:rPr>
          <w:noProof/>
        </w:rPr>
        <w:t>adozione del presente regolamento, non è da esso vincolata né è soggetta alla sua applicazione. Dato che il presente regolamento si basa sull</w:t>
      </w:r>
      <w:r w:rsidR="0000279B">
        <w:rPr>
          <w:noProof/>
        </w:rPr>
        <w:t>'</w:t>
      </w:r>
      <w:r w:rsidR="00106AF7" w:rsidRPr="009678BA">
        <w:rPr>
          <w:i/>
          <w:iCs/>
          <w:noProof/>
        </w:rPr>
        <w:t>acquis</w:t>
      </w:r>
      <w:r w:rsidR="00106AF7" w:rsidRPr="009678BA">
        <w:rPr>
          <w:noProof/>
        </w:rPr>
        <w:t xml:space="preserve"> di Schengen, la Danimarca decide, ai sensi dell</w:t>
      </w:r>
      <w:r w:rsidR="0000279B">
        <w:rPr>
          <w:noProof/>
        </w:rPr>
        <w:t>'</w:t>
      </w:r>
      <w:r w:rsidR="00106AF7" w:rsidRPr="009678BA">
        <w:rPr>
          <w:noProof/>
        </w:rPr>
        <w:t xml:space="preserve">articolo 4 di tale protocollo, entro sei mesi dalla decisione del Consiglio sul presente regolamento, se intende recepirlo nel proprio diritto interno. </w:t>
      </w:r>
    </w:p>
    <w:p w:rsidR="00BE0D22" w:rsidRPr="009678BA" w:rsidRDefault="00425D1B" w:rsidP="00425D1B">
      <w:pPr>
        <w:pStyle w:val="ManualConsidrant"/>
        <w:rPr>
          <w:noProof/>
        </w:rPr>
      </w:pPr>
      <w:r w:rsidRPr="00425D1B">
        <w:rPr>
          <w:noProof/>
        </w:rPr>
        <w:t>(29)</w:t>
      </w:r>
      <w:r w:rsidRPr="00425D1B">
        <w:rPr>
          <w:noProof/>
        </w:rPr>
        <w:tab/>
      </w:r>
      <w:r w:rsidR="00BE0D22" w:rsidRPr="009678BA">
        <w:rPr>
          <w:noProof/>
        </w:rPr>
        <w:t>Il presente regolamento costituisce uno sviluppo delle disposizioni dell</w:t>
      </w:r>
      <w:r w:rsidR="0000279B">
        <w:rPr>
          <w:noProof/>
        </w:rPr>
        <w:t>'</w:t>
      </w:r>
      <w:r w:rsidR="00BE0D22" w:rsidRPr="009678BA">
        <w:rPr>
          <w:i/>
          <w:iCs/>
          <w:noProof/>
        </w:rPr>
        <w:t>acquis</w:t>
      </w:r>
      <w:r w:rsidR="00BE0D22" w:rsidRPr="009678BA">
        <w:rPr>
          <w:noProof/>
        </w:rPr>
        <w:t xml:space="preserve"> di Schengen a cui l</w:t>
      </w:r>
      <w:r w:rsidR="0000279B">
        <w:rPr>
          <w:noProof/>
        </w:rPr>
        <w:t>'</w:t>
      </w:r>
      <w:r w:rsidR="00BE0D22" w:rsidRPr="009678BA">
        <w:rPr>
          <w:noProof/>
        </w:rPr>
        <w:t>Irlanda non partecipa, a norma della decisione 2002/192/CE del Consiglio; l</w:t>
      </w:r>
      <w:r w:rsidR="0000279B">
        <w:rPr>
          <w:noProof/>
        </w:rPr>
        <w:t>'</w:t>
      </w:r>
      <w:r w:rsidR="00BE0D22" w:rsidRPr="009678BA">
        <w:rPr>
          <w:noProof/>
        </w:rPr>
        <w:t xml:space="preserve">Irlanda non partecipa pertanto alla sua adozione, non è da esso vincolata né è soggetta alla sua applicazione. </w:t>
      </w:r>
    </w:p>
    <w:p w:rsidR="00BE0D22" w:rsidRPr="009678BA" w:rsidRDefault="00425D1B" w:rsidP="00425D1B">
      <w:pPr>
        <w:pStyle w:val="ManualConsidrant"/>
        <w:rPr>
          <w:noProof/>
        </w:rPr>
      </w:pPr>
      <w:r w:rsidRPr="00425D1B">
        <w:rPr>
          <w:noProof/>
        </w:rPr>
        <w:t>(30)</w:t>
      </w:r>
      <w:r w:rsidRPr="00425D1B">
        <w:rPr>
          <w:noProof/>
        </w:rPr>
        <w:tab/>
      </w:r>
      <w:r w:rsidR="00BE0D22" w:rsidRPr="009678BA">
        <w:rPr>
          <w:noProof/>
        </w:rPr>
        <w:t>Per quanto riguarda l</w:t>
      </w:r>
      <w:r w:rsidR="0000279B">
        <w:rPr>
          <w:noProof/>
        </w:rPr>
        <w:t>'</w:t>
      </w:r>
      <w:r w:rsidR="00BE0D22" w:rsidRPr="009678BA">
        <w:rPr>
          <w:noProof/>
        </w:rPr>
        <w:t>Islanda e la Norvegia, il presente regolamento costituisce uno sviluppo delle disposizioni dell</w:t>
      </w:r>
      <w:r w:rsidR="0000279B">
        <w:rPr>
          <w:noProof/>
        </w:rPr>
        <w:t>'</w:t>
      </w:r>
      <w:r w:rsidR="00BE0D22" w:rsidRPr="009678BA">
        <w:rPr>
          <w:i/>
          <w:iCs/>
          <w:noProof/>
        </w:rPr>
        <w:t>acquis</w:t>
      </w:r>
      <w:r w:rsidR="00BE0D22" w:rsidRPr="009678BA">
        <w:rPr>
          <w:noProof/>
        </w:rPr>
        <w:t xml:space="preserve"> di Schengen ai sensi dell</w:t>
      </w:r>
      <w:r w:rsidR="0000279B">
        <w:rPr>
          <w:noProof/>
        </w:rPr>
        <w:t>'</w:t>
      </w:r>
      <w:r w:rsidR="00BE0D22" w:rsidRPr="009678BA">
        <w:rPr>
          <w:noProof/>
        </w:rPr>
        <w:t>accordo concluso dal Consiglio dell</w:t>
      </w:r>
      <w:r w:rsidR="0000279B">
        <w:rPr>
          <w:noProof/>
        </w:rPr>
        <w:t>'</w:t>
      </w:r>
      <w:r w:rsidR="00BE0D22" w:rsidRPr="009678BA">
        <w:rPr>
          <w:noProof/>
        </w:rPr>
        <w:t>Unione europea con la Repubblica d</w:t>
      </w:r>
      <w:r w:rsidR="0000279B">
        <w:rPr>
          <w:noProof/>
        </w:rPr>
        <w:t>'</w:t>
      </w:r>
      <w:r w:rsidR="00BE0D22" w:rsidRPr="009678BA">
        <w:rPr>
          <w:noProof/>
        </w:rPr>
        <w:t>Islanda e il Regno di Norvegia sulla loro associazione all</w:t>
      </w:r>
      <w:r w:rsidR="0000279B">
        <w:rPr>
          <w:noProof/>
        </w:rPr>
        <w:t>'</w:t>
      </w:r>
      <w:r w:rsidR="00BE0D22" w:rsidRPr="009678BA">
        <w:rPr>
          <w:noProof/>
        </w:rPr>
        <w:t>attuazione, all</w:t>
      </w:r>
      <w:r w:rsidR="0000279B">
        <w:rPr>
          <w:noProof/>
        </w:rPr>
        <w:t>'</w:t>
      </w:r>
      <w:r w:rsidR="00BE0D22" w:rsidRPr="009678BA">
        <w:rPr>
          <w:noProof/>
        </w:rPr>
        <w:t>applicazione e allo sviluppo dell</w:t>
      </w:r>
      <w:r w:rsidR="0000279B">
        <w:rPr>
          <w:noProof/>
        </w:rPr>
        <w:t>'</w:t>
      </w:r>
      <w:r w:rsidR="00BE0D22" w:rsidRPr="009678BA">
        <w:rPr>
          <w:i/>
          <w:iCs/>
          <w:noProof/>
        </w:rPr>
        <w:t>acquis</w:t>
      </w:r>
      <w:r w:rsidR="00BE0D22" w:rsidRPr="009678BA">
        <w:rPr>
          <w:noProof/>
        </w:rPr>
        <w:t xml:space="preserve"> di Schengen che rientrano nel settore di cui all</w:t>
      </w:r>
      <w:r w:rsidR="0000279B">
        <w:rPr>
          <w:noProof/>
        </w:rPr>
        <w:t>'</w:t>
      </w:r>
      <w:r w:rsidR="00BE0D22" w:rsidRPr="009678BA">
        <w:rPr>
          <w:noProof/>
        </w:rPr>
        <w:t>articolo 1, lettera A, della decisione 1999/437/CE del Consiglio.</w:t>
      </w:r>
    </w:p>
    <w:p w:rsidR="00BE0D22" w:rsidRPr="009678BA" w:rsidRDefault="00425D1B" w:rsidP="00425D1B">
      <w:pPr>
        <w:pStyle w:val="ManualConsidrant"/>
        <w:rPr>
          <w:noProof/>
        </w:rPr>
      </w:pPr>
      <w:r w:rsidRPr="00425D1B">
        <w:rPr>
          <w:noProof/>
        </w:rPr>
        <w:t>(31)</w:t>
      </w:r>
      <w:r w:rsidRPr="00425D1B">
        <w:rPr>
          <w:noProof/>
        </w:rPr>
        <w:tab/>
      </w:r>
      <w:r w:rsidR="00BE0D22" w:rsidRPr="009678BA">
        <w:rPr>
          <w:noProof/>
        </w:rPr>
        <w:t>Per quanto riguarda la Svizzera, il presente regolamento costituisce uno sviluppo delle disposizioni dell</w:t>
      </w:r>
      <w:r w:rsidR="0000279B">
        <w:rPr>
          <w:noProof/>
        </w:rPr>
        <w:t>'</w:t>
      </w:r>
      <w:r w:rsidR="00BE0D22" w:rsidRPr="009678BA">
        <w:rPr>
          <w:i/>
          <w:iCs/>
          <w:noProof/>
        </w:rPr>
        <w:t>acquis</w:t>
      </w:r>
      <w:r w:rsidR="00BE0D22" w:rsidRPr="009678BA">
        <w:rPr>
          <w:noProof/>
        </w:rPr>
        <w:t xml:space="preserve"> di Schengen ai sensi dell</w:t>
      </w:r>
      <w:r w:rsidR="0000279B">
        <w:rPr>
          <w:noProof/>
        </w:rPr>
        <w:t>'</w:t>
      </w:r>
      <w:r w:rsidR="00BE0D22" w:rsidRPr="009678BA">
        <w:rPr>
          <w:noProof/>
        </w:rPr>
        <w:t>accordo tra l</w:t>
      </w:r>
      <w:r w:rsidR="0000279B">
        <w:rPr>
          <w:noProof/>
        </w:rPr>
        <w:t>'</w:t>
      </w:r>
      <w:r w:rsidR="00BE0D22" w:rsidRPr="009678BA">
        <w:rPr>
          <w:noProof/>
        </w:rPr>
        <w:t>Unione europea, la</w:t>
      </w:r>
      <w:r w:rsidR="0000279B">
        <w:rPr>
          <w:noProof/>
        </w:rPr>
        <w:t> </w:t>
      </w:r>
      <w:r w:rsidR="00BE0D22" w:rsidRPr="009678BA">
        <w:rPr>
          <w:noProof/>
        </w:rPr>
        <w:t>Comunità europea e la Confederazione svizzera riguardante l</w:t>
      </w:r>
      <w:r w:rsidR="0000279B">
        <w:rPr>
          <w:noProof/>
        </w:rPr>
        <w:t>'</w:t>
      </w:r>
      <w:r w:rsidR="00BE0D22" w:rsidRPr="009678BA">
        <w:rPr>
          <w:noProof/>
        </w:rPr>
        <w:t>associazione di quest</w:t>
      </w:r>
      <w:r w:rsidR="0000279B">
        <w:rPr>
          <w:noProof/>
        </w:rPr>
        <w:t>'</w:t>
      </w:r>
      <w:r w:rsidR="00BE0D22" w:rsidRPr="009678BA">
        <w:rPr>
          <w:noProof/>
        </w:rPr>
        <w:t>ultima all</w:t>
      </w:r>
      <w:r w:rsidR="0000279B">
        <w:rPr>
          <w:noProof/>
        </w:rPr>
        <w:t>'</w:t>
      </w:r>
      <w:r w:rsidR="00BE0D22" w:rsidRPr="009678BA">
        <w:rPr>
          <w:noProof/>
        </w:rPr>
        <w:t>attuazione, all</w:t>
      </w:r>
      <w:r w:rsidR="0000279B">
        <w:rPr>
          <w:noProof/>
        </w:rPr>
        <w:t>'</w:t>
      </w:r>
      <w:r w:rsidR="00BE0D22" w:rsidRPr="009678BA">
        <w:rPr>
          <w:noProof/>
        </w:rPr>
        <w:t>applicazione e allo sviluppo dell</w:t>
      </w:r>
      <w:r w:rsidR="0000279B">
        <w:rPr>
          <w:noProof/>
        </w:rPr>
        <w:t>'</w:t>
      </w:r>
      <w:r w:rsidR="00BE0D22" w:rsidRPr="009678BA">
        <w:rPr>
          <w:i/>
          <w:iCs/>
          <w:noProof/>
        </w:rPr>
        <w:t>acquis</w:t>
      </w:r>
      <w:r w:rsidR="00BE0D22" w:rsidRPr="009678BA">
        <w:rPr>
          <w:noProof/>
        </w:rPr>
        <w:t xml:space="preserve"> di Schengen che rientrano nel settore di cui all</w:t>
      </w:r>
      <w:r w:rsidR="0000279B">
        <w:rPr>
          <w:noProof/>
        </w:rPr>
        <w:t>'</w:t>
      </w:r>
      <w:r w:rsidR="00BE0D22" w:rsidRPr="009678BA">
        <w:rPr>
          <w:noProof/>
        </w:rPr>
        <w:t>articolo 1, lettera A, della decisione 1999/437/CE, in</w:t>
      </w:r>
      <w:r w:rsidR="0000279B">
        <w:rPr>
          <w:noProof/>
        </w:rPr>
        <w:t> </w:t>
      </w:r>
      <w:r w:rsidR="00BE0D22" w:rsidRPr="009678BA">
        <w:rPr>
          <w:noProof/>
        </w:rPr>
        <w:t>combinato disposto con l</w:t>
      </w:r>
      <w:r w:rsidR="0000279B">
        <w:rPr>
          <w:noProof/>
        </w:rPr>
        <w:t>'</w:t>
      </w:r>
      <w:r w:rsidR="00BE0D22" w:rsidRPr="009678BA">
        <w:rPr>
          <w:noProof/>
        </w:rPr>
        <w:t xml:space="preserve">articolo 3 della decisione 2008/146/CE del Consiglio. </w:t>
      </w:r>
    </w:p>
    <w:p w:rsidR="00BE0D22" w:rsidRPr="009678BA" w:rsidRDefault="00425D1B" w:rsidP="00425D1B">
      <w:pPr>
        <w:pStyle w:val="ManualConsidrant"/>
        <w:rPr>
          <w:noProof/>
        </w:rPr>
      </w:pPr>
      <w:r w:rsidRPr="00425D1B">
        <w:rPr>
          <w:noProof/>
        </w:rPr>
        <w:t>(32)</w:t>
      </w:r>
      <w:r w:rsidRPr="00425D1B">
        <w:rPr>
          <w:noProof/>
        </w:rPr>
        <w:tab/>
      </w:r>
      <w:r w:rsidR="00BE0D22" w:rsidRPr="009678BA">
        <w:rPr>
          <w:noProof/>
        </w:rPr>
        <w:t>Per quanto riguarda il Liechtenstein, il presente regolamento costituisce uno sviluppo delle disposizioni dell</w:t>
      </w:r>
      <w:r w:rsidR="0000279B">
        <w:rPr>
          <w:noProof/>
        </w:rPr>
        <w:t>'</w:t>
      </w:r>
      <w:r w:rsidR="00BE0D22" w:rsidRPr="009678BA">
        <w:rPr>
          <w:i/>
          <w:iCs/>
          <w:noProof/>
        </w:rPr>
        <w:t>acquis</w:t>
      </w:r>
      <w:r w:rsidR="00BE0D22" w:rsidRPr="009678BA">
        <w:rPr>
          <w:noProof/>
        </w:rPr>
        <w:t xml:space="preserve"> di Schengen, ai sensi del protocollo tra l</w:t>
      </w:r>
      <w:r w:rsidR="0000279B">
        <w:rPr>
          <w:noProof/>
        </w:rPr>
        <w:t>'</w:t>
      </w:r>
      <w:r w:rsidR="00BE0D22" w:rsidRPr="009678BA">
        <w:rPr>
          <w:noProof/>
        </w:rPr>
        <w:t>Unione europea, la Comunità europea, la Confederazione svizzera e il Principato del Liechtenstein sull</w:t>
      </w:r>
      <w:r w:rsidR="0000279B">
        <w:rPr>
          <w:noProof/>
        </w:rPr>
        <w:t>'</w:t>
      </w:r>
      <w:r w:rsidR="00BE0D22" w:rsidRPr="009678BA">
        <w:rPr>
          <w:noProof/>
        </w:rPr>
        <w:t>adesione del Principato del Liechtenstein all</w:t>
      </w:r>
      <w:r w:rsidR="0000279B">
        <w:rPr>
          <w:noProof/>
        </w:rPr>
        <w:t>'</w:t>
      </w:r>
      <w:r w:rsidR="00BE0D22" w:rsidRPr="009678BA">
        <w:rPr>
          <w:noProof/>
        </w:rPr>
        <w:t>accordo tra l</w:t>
      </w:r>
      <w:r w:rsidR="0000279B">
        <w:rPr>
          <w:noProof/>
        </w:rPr>
        <w:t>'</w:t>
      </w:r>
      <w:r w:rsidR="00BE0D22" w:rsidRPr="009678BA">
        <w:rPr>
          <w:noProof/>
        </w:rPr>
        <w:t>Unione europea, la</w:t>
      </w:r>
      <w:r w:rsidR="0000279B">
        <w:rPr>
          <w:noProof/>
        </w:rPr>
        <w:t> </w:t>
      </w:r>
      <w:r w:rsidR="00BE0D22" w:rsidRPr="009678BA">
        <w:rPr>
          <w:noProof/>
        </w:rPr>
        <w:t>Comunità europea e la Confederazione svizzera riguardante l</w:t>
      </w:r>
      <w:r w:rsidR="0000279B">
        <w:rPr>
          <w:noProof/>
        </w:rPr>
        <w:t>'</w:t>
      </w:r>
      <w:r w:rsidR="00BE0D22" w:rsidRPr="009678BA">
        <w:rPr>
          <w:noProof/>
        </w:rPr>
        <w:t>associazione della Confederazione svizzera all</w:t>
      </w:r>
      <w:r w:rsidR="0000279B">
        <w:rPr>
          <w:noProof/>
        </w:rPr>
        <w:t>'</w:t>
      </w:r>
      <w:r w:rsidR="00BE0D22" w:rsidRPr="009678BA">
        <w:rPr>
          <w:noProof/>
        </w:rPr>
        <w:t>attuazione, all</w:t>
      </w:r>
      <w:r w:rsidR="0000279B">
        <w:rPr>
          <w:noProof/>
        </w:rPr>
        <w:t>'</w:t>
      </w:r>
      <w:r w:rsidR="00BE0D22" w:rsidRPr="009678BA">
        <w:rPr>
          <w:noProof/>
        </w:rPr>
        <w:t>applicazione e allo sviluppo dell</w:t>
      </w:r>
      <w:r w:rsidR="0000279B">
        <w:rPr>
          <w:noProof/>
        </w:rPr>
        <w:t>'</w:t>
      </w:r>
      <w:r w:rsidR="00BE0D22" w:rsidRPr="009678BA">
        <w:rPr>
          <w:i/>
          <w:iCs/>
          <w:noProof/>
        </w:rPr>
        <w:t>acquis</w:t>
      </w:r>
      <w:r w:rsidR="00BE0D22" w:rsidRPr="009678BA">
        <w:rPr>
          <w:noProof/>
        </w:rPr>
        <w:t xml:space="preserve"> di Schengen che rientrano nel settore di cui all</w:t>
      </w:r>
      <w:r w:rsidR="0000279B">
        <w:rPr>
          <w:noProof/>
        </w:rPr>
        <w:t>'</w:t>
      </w:r>
      <w:r w:rsidR="00BE0D22" w:rsidRPr="009678BA">
        <w:rPr>
          <w:noProof/>
        </w:rPr>
        <w:t>articolo 1, lettera A, della decisione 1999/437/CE, in combinato disposto con l</w:t>
      </w:r>
      <w:r w:rsidR="0000279B">
        <w:rPr>
          <w:noProof/>
        </w:rPr>
        <w:t>'</w:t>
      </w:r>
      <w:r w:rsidR="00BE0D22" w:rsidRPr="009678BA">
        <w:rPr>
          <w:noProof/>
        </w:rPr>
        <w:t>articolo 3 della decisione 2011/350/UE del Consiglio.</w:t>
      </w:r>
    </w:p>
    <w:p w:rsidR="00BE0D22" w:rsidRPr="009678BA" w:rsidRDefault="00425D1B" w:rsidP="00425D1B">
      <w:pPr>
        <w:pStyle w:val="ManualConsidrant"/>
        <w:rPr>
          <w:noProof/>
        </w:rPr>
      </w:pPr>
      <w:r w:rsidRPr="00425D1B">
        <w:rPr>
          <w:noProof/>
        </w:rPr>
        <w:t>(33)</w:t>
      </w:r>
      <w:r w:rsidRPr="00425D1B">
        <w:rPr>
          <w:noProof/>
        </w:rPr>
        <w:tab/>
      </w:r>
      <w:r w:rsidR="00BE0D22" w:rsidRPr="009678BA">
        <w:rPr>
          <w:noProof/>
        </w:rPr>
        <w:t>Per quanto riguarda Cipro, le disposizioni di cui al presente regolamento relative al VIS costituiscono disposizioni basate sull</w:t>
      </w:r>
      <w:r w:rsidR="0000279B">
        <w:rPr>
          <w:noProof/>
        </w:rPr>
        <w:t>'</w:t>
      </w:r>
      <w:r w:rsidR="00BE0D22" w:rsidRPr="009678BA">
        <w:rPr>
          <w:i/>
          <w:iCs/>
          <w:noProof/>
        </w:rPr>
        <w:t>acquis</w:t>
      </w:r>
      <w:r w:rsidR="00BE0D22" w:rsidRPr="009678BA">
        <w:rPr>
          <w:noProof/>
        </w:rPr>
        <w:t xml:space="preserve"> di Schengen o a esso altrimenti connesse ai sensi dell</w:t>
      </w:r>
      <w:r w:rsidR="0000279B">
        <w:rPr>
          <w:noProof/>
        </w:rPr>
        <w:t>'</w:t>
      </w:r>
      <w:r w:rsidR="00BE0D22" w:rsidRPr="009678BA">
        <w:rPr>
          <w:noProof/>
        </w:rPr>
        <w:t>articolo 3, paragrafo 2, dell</w:t>
      </w:r>
      <w:r w:rsidR="0000279B">
        <w:rPr>
          <w:noProof/>
        </w:rPr>
        <w:t>'</w:t>
      </w:r>
      <w:r w:rsidR="00BE0D22" w:rsidRPr="009678BA">
        <w:rPr>
          <w:noProof/>
        </w:rPr>
        <w:t>atto di adesione del 2003. Per il funzionamento dell</w:t>
      </w:r>
      <w:r w:rsidR="0000279B">
        <w:rPr>
          <w:noProof/>
        </w:rPr>
        <w:t>'</w:t>
      </w:r>
      <w:r w:rsidR="00BE0D22" w:rsidRPr="009678BA">
        <w:rPr>
          <w:noProof/>
        </w:rPr>
        <w:t>EES occorre la concessione di un accesso passivo al VIS. Poiché</w:t>
      </w:r>
      <w:r w:rsidR="0000279B">
        <w:rPr>
          <w:noProof/>
        </w:rPr>
        <w:t> </w:t>
      </w:r>
      <w:r w:rsidR="00BE0D22" w:rsidRPr="009678BA">
        <w:rPr>
          <w:noProof/>
        </w:rPr>
        <w:t>l</w:t>
      </w:r>
      <w:r w:rsidR="0000279B">
        <w:rPr>
          <w:noProof/>
        </w:rPr>
        <w:t>'</w:t>
      </w:r>
      <w:r w:rsidR="00BE0D22" w:rsidRPr="009678BA">
        <w:rPr>
          <w:noProof/>
        </w:rPr>
        <w:t>EES dovrà essere usato soltanto dagli Stati membri che soddisfano le condizioni relative al VIS al momento in cui l</w:t>
      </w:r>
      <w:r w:rsidR="0000279B">
        <w:rPr>
          <w:noProof/>
        </w:rPr>
        <w:t>'</w:t>
      </w:r>
      <w:r w:rsidR="00BE0D22" w:rsidRPr="009678BA">
        <w:rPr>
          <w:noProof/>
        </w:rPr>
        <w:t>EES entrerà in funzione, Cipro non userà l</w:t>
      </w:r>
      <w:r w:rsidR="0000279B">
        <w:rPr>
          <w:noProof/>
        </w:rPr>
        <w:t>'</w:t>
      </w:r>
      <w:r w:rsidR="00BE0D22" w:rsidRPr="009678BA">
        <w:rPr>
          <w:noProof/>
        </w:rPr>
        <w:t>EES fin dall</w:t>
      </w:r>
      <w:r w:rsidR="0000279B">
        <w:rPr>
          <w:noProof/>
        </w:rPr>
        <w:t>'</w:t>
      </w:r>
      <w:r w:rsidR="00BE0D22" w:rsidRPr="009678BA">
        <w:rPr>
          <w:noProof/>
        </w:rPr>
        <w:t>entrata in funzione. Cipro sarà connesso all</w:t>
      </w:r>
      <w:r w:rsidR="0000279B">
        <w:rPr>
          <w:noProof/>
        </w:rPr>
        <w:t>'</w:t>
      </w:r>
      <w:r w:rsidR="00BE0D22" w:rsidRPr="009678BA">
        <w:rPr>
          <w:noProof/>
        </w:rPr>
        <w:t>EES non appena saranno soddisfatte le condizioni della procedura di cui al regolamento (UE) 2017/2226.</w:t>
      </w:r>
    </w:p>
    <w:p w:rsidR="00BE0D22" w:rsidRPr="009678BA" w:rsidRDefault="00425D1B" w:rsidP="00425D1B">
      <w:pPr>
        <w:pStyle w:val="ManualConsidrant"/>
        <w:rPr>
          <w:noProof/>
        </w:rPr>
      </w:pPr>
      <w:r w:rsidRPr="00425D1B">
        <w:rPr>
          <w:noProof/>
        </w:rPr>
        <w:t>(34)</w:t>
      </w:r>
      <w:r w:rsidRPr="00425D1B">
        <w:rPr>
          <w:noProof/>
        </w:rPr>
        <w:tab/>
      </w:r>
      <w:r w:rsidR="00BE0D22" w:rsidRPr="009678BA">
        <w:rPr>
          <w:noProof/>
        </w:rPr>
        <w:t>Conformemente all</w:t>
      </w:r>
      <w:r w:rsidR="0000279B">
        <w:rPr>
          <w:noProof/>
        </w:rPr>
        <w:t>'</w:t>
      </w:r>
      <w:r w:rsidR="00BE0D22" w:rsidRPr="009678BA">
        <w:rPr>
          <w:noProof/>
        </w:rPr>
        <w:t>articolo 42, paragrafo 1, del regolamento (UE) 2018/1725, il Garante europeo della protezione dei dati è stato consultato e ha formulato il suo parere il [XX].</w:t>
      </w:r>
    </w:p>
    <w:p w:rsidR="007D3A92" w:rsidRPr="009678BA" w:rsidRDefault="00425D1B" w:rsidP="00425D1B">
      <w:pPr>
        <w:pStyle w:val="ManualConsidrant"/>
        <w:rPr>
          <w:noProof/>
        </w:rPr>
      </w:pPr>
      <w:r w:rsidRPr="00425D1B">
        <w:rPr>
          <w:noProof/>
        </w:rPr>
        <w:t>(35)</w:t>
      </w:r>
      <w:r w:rsidRPr="00425D1B">
        <w:rPr>
          <w:noProof/>
        </w:rPr>
        <w:tab/>
      </w:r>
      <w:r w:rsidR="007D3A92" w:rsidRPr="009678BA">
        <w:rPr>
          <w:noProof/>
        </w:rPr>
        <w:t>Il presente regolamento stabilisce rigorose norme relative all</w:t>
      </w:r>
      <w:r w:rsidR="0000279B">
        <w:rPr>
          <w:noProof/>
        </w:rPr>
        <w:t>'</w:t>
      </w:r>
      <w:r w:rsidR="007D3A92" w:rsidRPr="009678BA">
        <w:rPr>
          <w:noProof/>
        </w:rPr>
        <w:t>accesso all</w:t>
      </w:r>
      <w:r w:rsidR="0000279B">
        <w:rPr>
          <w:noProof/>
        </w:rPr>
        <w:t>'</w:t>
      </w:r>
      <w:r w:rsidR="007D3A92" w:rsidRPr="009678BA">
        <w:rPr>
          <w:noProof/>
        </w:rPr>
        <w:t>EES nonché le necessarie garanzie per tale accesso. Stabilisce inoltre i diritti individuali di accesso, rettifica, completamento, cancellazione e ricorso, in particolare il diritto a un ricorso giurisdizionale, e il controllo del trattamento dei dati da parte di autorità pubbliche indipendenti. Il presente regolamento rispetta pertanto i diritti fondamentali ed è conforme ai principi riconosciuti dalla Carta dei diritti fondamentali dell</w:t>
      </w:r>
      <w:r w:rsidR="0000279B">
        <w:rPr>
          <w:noProof/>
        </w:rPr>
        <w:t>'</w:t>
      </w:r>
      <w:r w:rsidR="007D3A92" w:rsidRPr="009678BA">
        <w:rPr>
          <w:noProof/>
        </w:rPr>
        <w:t>Unione europea, segnatamente il diritto alla dignità umana, la proibizione della schiavitù e del lavoro forzato, il diritto alla libertà e alla sicurezza, il diritto al rispetto della vita privata e della vita familiare, il diritto alla protezione dei dati di carattere personale, il diritto di non discriminazione, i diritti del minore, i diritti degli anziani, l</w:t>
      </w:r>
      <w:r w:rsidR="0000279B">
        <w:rPr>
          <w:noProof/>
        </w:rPr>
        <w:t>'</w:t>
      </w:r>
      <w:r w:rsidR="007D3A92" w:rsidRPr="009678BA">
        <w:rPr>
          <w:noProof/>
        </w:rPr>
        <w:t>integrazione delle persone con disabilità e il diritto a un ricorso effettivo e a un giudice imparziale.</w:t>
      </w:r>
    </w:p>
    <w:p w:rsidR="007D3A92" w:rsidRPr="009678BA" w:rsidRDefault="00425D1B" w:rsidP="00425D1B">
      <w:pPr>
        <w:pStyle w:val="ManualConsidrant"/>
        <w:rPr>
          <w:noProof/>
        </w:rPr>
      </w:pPr>
      <w:r w:rsidRPr="00425D1B">
        <w:rPr>
          <w:noProof/>
        </w:rPr>
        <w:t>(36)</w:t>
      </w:r>
      <w:r w:rsidRPr="00425D1B">
        <w:rPr>
          <w:noProof/>
        </w:rPr>
        <w:tab/>
      </w:r>
      <w:r w:rsidR="0B0D815C" w:rsidRPr="009678BA">
        <w:rPr>
          <w:noProof/>
        </w:rPr>
        <w:t>Il presente regolamento fa salvi gli obblighi derivanti dalla Convenzione di Ginevra, del 28 luglio 1951, relativa allo status dei rifugiati, integrata dal Protocollo di New York del 31 gennaio 1967,</w:t>
      </w:r>
    </w:p>
    <w:p w:rsidR="005F1085" w:rsidRPr="009678BA" w:rsidRDefault="005F1085">
      <w:pPr>
        <w:pStyle w:val="Formuledadoption"/>
        <w:rPr>
          <w:noProof/>
        </w:rPr>
      </w:pPr>
      <w:r w:rsidRPr="009678BA">
        <w:rPr>
          <w:noProof/>
        </w:rPr>
        <w:t>HANNO ADOTTATO IL PRESENTE REGOLAMENTO:</w:t>
      </w:r>
    </w:p>
    <w:p w:rsidR="00BE0D22" w:rsidRPr="009678BA" w:rsidRDefault="005F1085" w:rsidP="00F266A7">
      <w:pPr>
        <w:pStyle w:val="Titrearticle"/>
        <w:rPr>
          <w:i w:val="0"/>
          <w:iCs/>
          <w:noProof/>
        </w:rPr>
      </w:pPr>
      <w:r w:rsidRPr="009678BA">
        <w:rPr>
          <w:noProof/>
        </w:rPr>
        <w:t xml:space="preserve">Articolo 1 </w:t>
      </w:r>
      <w:r w:rsidRPr="009678BA">
        <w:rPr>
          <w:noProof/>
        </w:rPr>
        <w:br/>
        <w:t>Oggetto</w:t>
      </w:r>
    </w:p>
    <w:p w:rsidR="00BE0D22" w:rsidRPr="009678BA" w:rsidRDefault="00BE0D22" w:rsidP="00BE0D22">
      <w:pPr>
        <w:rPr>
          <w:noProof/>
        </w:rPr>
      </w:pPr>
      <w:r w:rsidRPr="009678BA">
        <w:rPr>
          <w:noProof/>
        </w:rPr>
        <w:t>Il presente regolamento stabilisce le norme relative all</w:t>
      </w:r>
      <w:r w:rsidR="0000279B">
        <w:rPr>
          <w:noProof/>
        </w:rPr>
        <w:t>'</w:t>
      </w:r>
      <w:r w:rsidRPr="009678BA">
        <w:rPr>
          <w:noProof/>
        </w:rPr>
        <w:t>entrata in funzione graduale del sistema di ingressi/uscite (EES) alle frontiere degli Stati membri presso cui l</w:t>
      </w:r>
      <w:r w:rsidR="0000279B">
        <w:rPr>
          <w:noProof/>
        </w:rPr>
        <w:t>'</w:t>
      </w:r>
      <w:r w:rsidRPr="009678BA">
        <w:rPr>
          <w:noProof/>
        </w:rPr>
        <w:t>EES è operativo conformemente all</w:t>
      </w:r>
      <w:r w:rsidR="0000279B">
        <w:rPr>
          <w:noProof/>
        </w:rPr>
        <w:t>'</w:t>
      </w:r>
      <w:r w:rsidRPr="009678BA">
        <w:rPr>
          <w:noProof/>
        </w:rPr>
        <w:t>articolo 4 del regolamento (UE) 2017/2226, e deroghe temporanee al regolamento (UE) 2017/2226 e al regolamento (UE) 2016/399.</w:t>
      </w:r>
    </w:p>
    <w:p w:rsidR="00BE0D22" w:rsidRPr="009678BA" w:rsidRDefault="00BE0D22" w:rsidP="00F266A7">
      <w:pPr>
        <w:pStyle w:val="Titrearticle"/>
        <w:rPr>
          <w:noProof/>
        </w:rPr>
      </w:pPr>
      <w:r w:rsidRPr="009678BA">
        <w:rPr>
          <w:noProof/>
        </w:rPr>
        <w:t xml:space="preserve">Articolo 2 </w:t>
      </w:r>
      <w:r w:rsidRPr="009678BA">
        <w:rPr>
          <w:noProof/>
        </w:rPr>
        <w:br/>
        <w:t>Definizioni</w:t>
      </w:r>
    </w:p>
    <w:p w:rsidR="00BE0D22" w:rsidRPr="009678BA" w:rsidRDefault="00BE0D22" w:rsidP="00577336">
      <w:pPr>
        <w:rPr>
          <w:noProof/>
        </w:rPr>
      </w:pPr>
      <w:r w:rsidRPr="009678BA">
        <w:rPr>
          <w:noProof/>
        </w:rPr>
        <w:t>Ai fini del presente regolamento, si applicano le definizioni di cui all</w:t>
      </w:r>
      <w:r w:rsidR="0000279B">
        <w:rPr>
          <w:noProof/>
        </w:rPr>
        <w:t>'</w:t>
      </w:r>
      <w:r w:rsidRPr="009678BA">
        <w:rPr>
          <w:noProof/>
        </w:rPr>
        <w:t>articolo 3, paragrafo 1, del regolamento (UE) 2017/2226. Si applicano inoltre le definizioni seguenti:</w:t>
      </w:r>
    </w:p>
    <w:p w:rsidR="00BE0D22" w:rsidRPr="009678BA" w:rsidRDefault="00425D1B" w:rsidP="00425D1B">
      <w:pPr>
        <w:pStyle w:val="Point1"/>
        <w:rPr>
          <w:noProof/>
        </w:rPr>
      </w:pPr>
      <w:r w:rsidRPr="00425D1B">
        <w:rPr>
          <w:noProof/>
        </w:rPr>
        <w:t>(a)</w:t>
      </w:r>
      <w:r w:rsidRPr="00425D1B">
        <w:rPr>
          <w:noProof/>
        </w:rPr>
        <w:tab/>
      </w:r>
      <w:r w:rsidR="0000279B">
        <w:rPr>
          <w:noProof/>
        </w:rPr>
        <w:t>"</w:t>
      </w:r>
      <w:r w:rsidR="1744AB68" w:rsidRPr="009678BA">
        <w:rPr>
          <w:noProof/>
        </w:rPr>
        <w:t>entrata in funzione graduale dell</w:t>
      </w:r>
      <w:r w:rsidR="0000279B">
        <w:rPr>
          <w:noProof/>
        </w:rPr>
        <w:t>'</w:t>
      </w:r>
      <w:r w:rsidR="1744AB68" w:rsidRPr="009678BA">
        <w:rPr>
          <w:noProof/>
        </w:rPr>
        <w:t>EES</w:t>
      </w:r>
      <w:r w:rsidR="0000279B">
        <w:rPr>
          <w:noProof/>
        </w:rPr>
        <w:t>"</w:t>
      </w:r>
      <w:r w:rsidR="1744AB68" w:rsidRPr="009678BA">
        <w:rPr>
          <w:noProof/>
        </w:rPr>
        <w:t>: il periodo di 180 giorni di calendario a decorrere dalla data decisa dalla Commissione conformemente all</w:t>
      </w:r>
      <w:r w:rsidR="0000279B">
        <w:rPr>
          <w:noProof/>
        </w:rPr>
        <w:t>'</w:t>
      </w:r>
      <w:r w:rsidR="1744AB68" w:rsidRPr="009678BA">
        <w:rPr>
          <w:noProof/>
        </w:rPr>
        <w:t>articolo 66, paragrafo 1, del regolamento (UE) 2017/2226;</w:t>
      </w:r>
    </w:p>
    <w:p w:rsidR="00BE0D22" w:rsidRPr="009678BA" w:rsidRDefault="00425D1B" w:rsidP="00425D1B">
      <w:pPr>
        <w:pStyle w:val="Point1"/>
        <w:rPr>
          <w:noProof/>
        </w:rPr>
      </w:pPr>
      <w:r w:rsidRPr="00425D1B">
        <w:rPr>
          <w:noProof/>
        </w:rPr>
        <w:t>(b)</w:t>
      </w:r>
      <w:r w:rsidRPr="00425D1B">
        <w:rPr>
          <w:noProof/>
        </w:rPr>
        <w:tab/>
      </w:r>
      <w:r w:rsidR="0000279B">
        <w:rPr>
          <w:noProof/>
        </w:rPr>
        <w:t>"</w:t>
      </w:r>
      <w:r w:rsidR="00BE0D22" w:rsidRPr="009678BA">
        <w:rPr>
          <w:noProof/>
        </w:rPr>
        <w:t>autorità nazionali</w:t>
      </w:r>
      <w:r w:rsidR="0000279B">
        <w:rPr>
          <w:noProof/>
        </w:rPr>
        <w:t>"</w:t>
      </w:r>
      <w:r w:rsidR="00BE0D22" w:rsidRPr="009678BA">
        <w:rPr>
          <w:noProof/>
        </w:rPr>
        <w:t>: le autorità di cui all</w:t>
      </w:r>
      <w:r w:rsidR="0000279B">
        <w:rPr>
          <w:noProof/>
        </w:rPr>
        <w:t>'</w:t>
      </w:r>
      <w:r w:rsidR="00BE0D22" w:rsidRPr="009678BA">
        <w:rPr>
          <w:noProof/>
        </w:rPr>
        <w:t>articolo 9 del regolamento (UE) 2017/2226;</w:t>
      </w:r>
    </w:p>
    <w:p w:rsidR="00BE0D22" w:rsidRPr="009678BA" w:rsidRDefault="00425D1B" w:rsidP="00425D1B">
      <w:pPr>
        <w:pStyle w:val="Point1"/>
        <w:rPr>
          <w:noProof/>
        </w:rPr>
      </w:pPr>
      <w:r w:rsidRPr="00425D1B">
        <w:rPr>
          <w:noProof/>
        </w:rPr>
        <w:t>(c)</w:t>
      </w:r>
      <w:r w:rsidRPr="00425D1B">
        <w:rPr>
          <w:noProof/>
        </w:rPr>
        <w:tab/>
      </w:r>
      <w:r w:rsidR="0000279B">
        <w:rPr>
          <w:noProof/>
        </w:rPr>
        <w:t>"</w:t>
      </w:r>
      <w:r w:rsidR="00BE0D22" w:rsidRPr="009678BA">
        <w:rPr>
          <w:noProof/>
        </w:rPr>
        <w:t>numero stimato di attraversamenti delle frontiere</w:t>
      </w:r>
      <w:r w:rsidR="0000279B">
        <w:rPr>
          <w:noProof/>
        </w:rPr>
        <w:t>"</w:t>
      </w:r>
      <w:r w:rsidR="00BE0D22" w:rsidRPr="009678BA">
        <w:rPr>
          <w:noProof/>
        </w:rPr>
        <w:t>: la stima del numero di attraversamenti delle frontiere da parte dei cittadini di paesi terzi di cui all</w:t>
      </w:r>
      <w:r w:rsidR="0000279B">
        <w:rPr>
          <w:noProof/>
        </w:rPr>
        <w:t>'</w:t>
      </w:r>
      <w:r w:rsidR="00BE0D22" w:rsidRPr="009678BA">
        <w:rPr>
          <w:noProof/>
        </w:rPr>
        <w:t>articolo 2, paragrafi 1 e 2, del regolamento (UE) 2017/2226 in ciascuno Stato membro, effettuata dallo Stato membro sulla base della media annua del numero totale di attraversamenti delle frontiere da parte di cittadini di paesi terzi che si recano nello Stato membro per un soggiorno di breve durata, calcolata per i tre anni precedenti la data di applicazione di cui all</w:t>
      </w:r>
      <w:r w:rsidR="0000279B">
        <w:rPr>
          <w:noProof/>
        </w:rPr>
        <w:t>'</w:t>
      </w:r>
      <w:r w:rsidR="00BE0D22" w:rsidRPr="009678BA">
        <w:rPr>
          <w:noProof/>
        </w:rPr>
        <w:t>articolo 8, paragrafo 1, secondo comma, del presente regolamento.</w:t>
      </w:r>
    </w:p>
    <w:p w:rsidR="00BE0D22" w:rsidRPr="009678BA" w:rsidRDefault="00BE0D22" w:rsidP="00F266A7">
      <w:pPr>
        <w:pStyle w:val="Titrearticle"/>
        <w:rPr>
          <w:i w:val="0"/>
          <w:iCs/>
          <w:noProof/>
        </w:rPr>
      </w:pPr>
      <w:r w:rsidRPr="009678BA">
        <w:rPr>
          <w:noProof/>
        </w:rPr>
        <w:t xml:space="preserve">Articolo 3 </w:t>
      </w:r>
      <w:r w:rsidRPr="009678BA">
        <w:rPr>
          <w:noProof/>
        </w:rPr>
        <w:br/>
        <w:t>Piani di introduzione</w:t>
      </w:r>
    </w:p>
    <w:p w:rsidR="00E52C69" w:rsidRPr="009678BA" w:rsidRDefault="00425D1B" w:rsidP="00425D1B">
      <w:pPr>
        <w:pStyle w:val="ManualNumPar1"/>
        <w:rPr>
          <w:noProof/>
        </w:rPr>
      </w:pPr>
      <w:r w:rsidRPr="00425D1B">
        <w:rPr>
          <w:noProof/>
        </w:rPr>
        <w:t>1.</w:t>
      </w:r>
      <w:r w:rsidRPr="00425D1B">
        <w:rPr>
          <w:noProof/>
        </w:rPr>
        <w:tab/>
      </w:r>
      <w:r w:rsidR="0003773A" w:rsidRPr="009678BA">
        <w:rPr>
          <w:noProof/>
        </w:rPr>
        <w:t>Entro il [30° giorno di calendario successivo all</w:t>
      </w:r>
      <w:r w:rsidR="0000279B">
        <w:rPr>
          <w:noProof/>
        </w:rPr>
        <w:t>'</w:t>
      </w:r>
      <w:r w:rsidR="0003773A" w:rsidRPr="009678BA">
        <w:rPr>
          <w:noProof/>
        </w:rPr>
        <w:t>entrata in vigore del presente regolamento] l</w:t>
      </w:r>
      <w:r w:rsidR="0000279B">
        <w:rPr>
          <w:noProof/>
        </w:rPr>
        <w:t>'</w:t>
      </w:r>
      <w:r w:rsidR="0003773A" w:rsidRPr="009678BA">
        <w:rPr>
          <w:noProof/>
        </w:rPr>
        <w:t>Agenzia dell</w:t>
      </w:r>
      <w:r w:rsidR="0000279B">
        <w:rPr>
          <w:noProof/>
        </w:rPr>
        <w:t>'</w:t>
      </w:r>
      <w:r w:rsidR="0003773A" w:rsidRPr="009678BA">
        <w:rPr>
          <w:noProof/>
        </w:rPr>
        <w:t>Unione europea per la gestione operativa dei sistemi IT su larga scala nello spazio di libertà, sicurezza e giustizia (eu-LISA) fornisce alla Commissione, agli Stati membri e ad Europol un piano di introduzione ad alto livello sull</w:t>
      </w:r>
      <w:r w:rsidR="0000279B">
        <w:rPr>
          <w:noProof/>
        </w:rPr>
        <w:t>'</w:t>
      </w:r>
      <w:r w:rsidR="0003773A" w:rsidRPr="009678BA">
        <w:rPr>
          <w:noProof/>
        </w:rPr>
        <w:t>entrata in funzione graduale dell</w:t>
      </w:r>
      <w:r w:rsidR="0000279B">
        <w:rPr>
          <w:noProof/>
        </w:rPr>
        <w:t>'</w:t>
      </w:r>
      <w:r w:rsidR="0003773A" w:rsidRPr="009678BA">
        <w:rPr>
          <w:noProof/>
        </w:rPr>
        <w:t>EES, tenendo conto delle fasi di cui all</w:t>
      </w:r>
      <w:r w:rsidR="0000279B">
        <w:rPr>
          <w:noProof/>
        </w:rPr>
        <w:t>'</w:t>
      </w:r>
      <w:r w:rsidR="0003773A" w:rsidRPr="009678BA">
        <w:rPr>
          <w:noProof/>
        </w:rPr>
        <w:t>articolo</w:t>
      </w:r>
      <w:r w:rsidR="0000279B">
        <w:rPr>
          <w:noProof/>
        </w:rPr>
        <w:t> </w:t>
      </w:r>
      <w:r w:rsidR="0003773A" w:rsidRPr="009678BA">
        <w:rPr>
          <w:noProof/>
        </w:rPr>
        <w:t>4. Il piano di introduzione comprende orientamenti sull</w:t>
      </w:r>
      <w:r w:rsidR="0000279B">
        <w:rPr>
          <w:noProof/>
        </w:rPr>
        <w:t>'</w:t>
      </w:r>
      <w:r w:rsidR="0003773A" w:rsidRPr="009678BA">
        <w:rPr>
          <w:noProof/>
        </w:rPr>
        <w:t>uso dell</w:t>
      </w:r>
      <w:r w:rsidR="0000279B">
        <w:rPr>
          <w:noProof/>
        </w:rPr>
        <w:t>'</w:t>
      </w:r>
      <w:r w:rsidR="0003773A" w:rsidRPr="009678BA">
        <w:rPr>
          <w:noProof/>
        </w:rPr>
        <w:t>EES destinati agli Stati membri e ad Europol, che precisano i limiti di capacità del sistema centrale dell</w:t>
      </w:r>
      <w:r w:rsidR="0000279B">
        <w:rPr>
          <w:noProof/>
        </w:rPr>
        <w:t>'</w:t>
      </w:r>
      <w:r w:rsidR="0003773A" w:rsidRPr="009678BA">
        <w:rPr>
          <w:noProof/>
        </w:rPr>
        <w:t xml:space="preserve">EES. </w:t>
      </w:r>
    </w:p>
    <w:p w:rsidR="00BE0D22" w:rsidRPr="009678BA" w:rsidRDefault="00425D1B" w:rsidP="00425D1B">
      <w:pPr>
        <w:pStyle w:val="ManualNumPar1"/>
        <w:rPr>
          <w:noProof/>
        </w:rPr>
      </w:pPr>
      <w:r w:rsidRPr="00425D1B">
        <w:rPr>
          <w:noProof/>
        </w:rPr>
        <w:t>2.</w:t>
      </w:r>
      <w:r w:rsidRPr="00425D1B">
        <w:rPr>
          <w:noProof/>
        </w:rPr>
        <w:tab/>
      </w:r>
      <w:r w:rsidR="59A13907" w:rsidRPr="009678BA">
        <w:rPr>
          <w:noProof/>
        </w:rPr>
        <w:t>Entro il [60° giorno di calendario successivo all</w:t>
      </w:r>
      <w:r w:rsidR="0000279B">
        <w:rPr>
          <w:noProof/>
        </w:rPr>
        <w:t>'</w:t>
      </w:r>
      <w:r w:rsidR="59A13907" w:rsidRPr="009678BA">
        <w:rPr>
          <w:noProof/>
        </w:rPr>
        <w:t>entrata in vigore del presente regolamento] gli Stati membri, in consultazione con la Commissione ed eu-LISA, elaborano un piano di introduzione nazionale relativo all</w:t>
      </w:r>
      <w:r w:rsidR="0000279B">
        <w:rPr>
          <w:noProof/>
        </w:rPr>
        <w:t>'</w:t>
      </w:r>
      <w:r w:rsidR="59A13907" w:rsidRPr="009678BA">
        <w:rPr>
          <w:noProof/>
        </w:rPr>
        <w:t>entrata in funzione graduale dell</w:t>
      </w:r>
      <w:r w:rsidR="0000279B">
        <w:rPr>
          <w:noProof/>
        </w:rPr>
        <w:t>'</w:t>
      </w:r>
      <w:r w:rsidR="59A13907" w:rsidRPr="009678BA">
        <w:rPr>
          <w:noProof/>
        </w:rPr>
        <w:t>EES, tenendo conto del piano di introduzione ad alto livello di cui al paragrafo 1 del presente articolo e delle fasi di cui all</w:t>
      </w:r>
      <w:r w:rsidR="0000279B">
        <w:rPr>
          <w:noProof/>
        </w:rPr>
        <w:t>'</w:t>
      </w:r>
      <w:r w:rsidR="59A13907" w:rsidRPr="009678BA">
        <w:rPr>
          <w:noProof/>
        </w:rPr>
        <w:t xml:space="preserve">articolo 4. </w:t>
      </w:r>
    </w:p>
    <w:p w:rsidR="00BE0D22" w:rsidRPr="009678BA" w:rsidRDefault="00425D1B" w:rsidP="00425D1B">
      <w:pPr>
        <w:pStyle w:val="ManualNumPar1"/>
        <w:rPr>
          <w:noProof/>
        </w:rPr>
      </w:pPr>
      <w:r w:rsidRPr="00425D1B">
        <w:rPr>
          <w:noProof/>
        </w:rPr>
        <w:t>3.</w:t>
      </w:r>
      <w:r w:rsidRPr="00425D1B">
        <w:rPr>
          <w:noProof/>
        </w:rPr>
        <w:tab/>
      </w:r>
      <w:r w:rsidR="00BE0D22" w:rsidRPr="009678BA">
        <w:rPr>
          <w:noProof/>
        </w:rPr>
        <w:t>Per ciascuna delle fasi di cui all</w:t>
      </w:r>
      <w:r w:rsidR="0000279B">
        <w:rPr>
          <w:noProof/>
        </w:rPr>
        <w:t>'</w:t>
      </w:r>
      <w:r w:rsidR="00BE0D22" w:rsidRPr="009678BA">
        <w:rPr>
          <w:noProof/>
        </w:rPr>
        <w:t xml:space="preserve">articolo 4, i piani di introduzione nazionali comprendono informazioni sulle soglie e sui requisiti stabiliti in tale articolo. </w:t>
      </w:r>
    </w:p>
    <w:p w:rsidR="00BE0D22" w:rsidRPr="009678BA" w:rsidRDefault="00425D1B" w:rsidP="00425D1B">
      <w:pPr>
        <w:pStyle w:val="ManualNumPar1"/>
        <w:rPr>
          <w:noProof/>
        </w:rPr>
      </w:pPr>
      <w:r w:rsidRPr="00425D1B">
        <w:rPr>
          <w:noProof/>
        </w:rPr>
        <w:t>4.</w:t>
      </w:r>
      <w:r w:rsidRPr="00425D1B">
        <w:rPr>
          <w:noProof/>
        </w:rPr>
        <w:tab/>
      </w:r>
      <w:r w:rsidR="00BE0D22" w:rsidRPr="009678BA">
        <w:rPr>
          <w:noProof/>
        </w:rPr>
        <w:t>A decorrere dal 30° giorno di calendario successivo all</w:t>
      </w:r>
      <w:r w:rsidR="0000279B">
        <w:rPr>
          <w:noProof/>
        </w:rPr>
        <w:t>'</w:t>
      </w:r>
      <w:r w:rsidR="00BE0D22" w:rsidRPr="009678BA">
        <w:rPr>
          <w:noProof/>
        </w:rPr>
        <w:t>entrata in funzione graduale dell</w:t>
      </w:r>
      <w:r w:rsidR="0000279B">
        <w:rPr>
          <w:noProof/>
        </w:rPr>
        <w:t>'</w:t>
      </w:r>
      <w:r w:rsidR="00BE0D22" w:rsidRPr="009678BA">
        <w:rPr>
          <w:noProof/>
        </w:rPr>
        <w:t>EES, gli Stati membri trasmettono alla Commissione e ad eu-LISA relazioni mensili sull</w:t>
      </w:r>
      <w:r w:rsidR="0000279B">
        <w:rPr>
          <w:noProof/>
        </w:rPr>
        <w:t>'</w:t>
      </w:r>
      <w:r w:rsidR="00BE0D22" w:rsidRPr="009678BA">
        <w:rPr>
          <w:noProof/>
        </w:rPr>
        <w:t>attuazione dei rispettivi piani di introduzione nazionali, comprendenti le eventuali misure correttive necessarie per conformarsi agli obblighi di cui all</w:t>
      </w:r>
      <w:r w:rsidR="0000279B">
        <w:rPr>
          <w:noProof/>
        </w:rPr>
        <w:t>'</w:t>
      </w:r>
      <w:r w:rsidR="00BE0D22" w:rsidRPr="009678BA">
        <w:rPr>
          <w:noProof/>
        </w:rPr>
        <w:t>articolo</w:t>
      </w:r>
      <w:r w:rsidR="0000279B">
        <w:rPr>
          <w:noProof/>
        </w:rPr>
        <w:t> </w:t>
      </w:r>
      <w:r w:rsidR="00BE0D22" w:rsidRPr="009678BA">
        <w:rPr>
          <w:noProof/>
        </w:rPr>
        <w:t xml:space="preserve">4. </w:t>
      </w:r>
    </w:p>
    <w:p w:rsidR="00BE0D22" w:rsidRPr="009678BA" w:rsidRDefault="00425D1B" w:rsidP="00425D1B">
      <w:pPr>
        <w:pStyle w:val="ManualNumPar1"/>
        <w:rPr>
          <w:rFonts w:eastAsia="Times New Roman"/>
          <w:noProof/>
        </w:rPr>
      </w:pPr>
      <w:r w:rsidRPr="00425D1B">
        <w:rPr>
          <w:noProof/>
        </w:rPr>
        <w:t>5.</w:t>
      </w:r>
      <w:r w:rsidRPr="00425D1B">
        <w:rPr>
          <w:noProof/>
        </w:rPr>
        <w:tab/>
      </w:r>
      <w:r w:rsidR="00BE0D22" w:rsidRPr="009678BA">
        <w:rPr>
          <w:noProof/>
        </w:rPr>
        <w:t>Su richiesta della Commissione, eu-LISA fornisce alla Commissione le statistiche necessarie al monitoraggio dei piani di introduzione nazionali, conformemente all</w:t>
      </w:r>
      <w:r w:rsidR="0000279B">
        <w:rPr>
          <w:noProof/>
        </w:rPr>
        <w:t>'</w:t>
      </w:r>
      <w:r w:rsidR="00BE0D22" w:rsidRPr="009678BA">
        <w:rPr>
          <w:noProof/>
        </w:rPr>
        <w:t>articolo 63, paragrafo 6, del regolamento (UE) 2017/2226.</w:t>
      </w:r>
    </w:p>
    <w:p w:rsidR="00BE0D22" w:rsidRPr="009678BA" w:rsidRDefault="00BE0D22" w:rsidP="00F266A7">
      <w:pPr>
        <w:pStyle w:val="Titrearticle"/>
        <w:rPr>
          <w:i w:val="0"/>
          <w:noProof/>
        </w:rPr>
      </w:pPr>
      <w:r w:rsidRPr="009678BA">
        <w:rPr>
          <w:noProof/>
        </w:rPr>
        <w:t xml:space="preserve">Articolo 4 </w:t>
      </w:r>
      <w:r w:rsidRPr="009678BA">
        <w:rPr>
          <w:noProof/>
        </w:rPr>
        <w:br/>
        <w:t>Entrata in funzione graduale</w:t>
      </w:r>
    </w:p>
    <w:p w:rsidR="00A07731" w:rsidRPr="009678BA" w:rsidRDefault="00425D1B" w:rsidP="00425D1B">
      <w:pPr>
        <w:pStyle w:val="ManualNumPar1"/>
        <w:rPr>
          <w:noProof/>
        </w:rPr>
      </w:pPr>
      <w:r w:rsidRPr="00425D1B">
        <w:rPr>
          <w:noProof/>
        </w:rPr>
        <w:t>1.</w:t>
      </w:r>
      <w:r w:rsidRPr="00425D1B">
        <w:rPr>
          <w:noProof/>
        </w:rPr>
        <w:tab/>
      </w:r>
      <w:r w:rsidR="00BE0D22" w:rsidRPr="009678BA">
        <w:rPr>
          <w:noProof/>
        </w:rPr>
        <w:t>In deroga all</w:t>
      </w:r>
      <w:r w:rsidR="0000279B">
        <w:rPr>
          <w:noProof/>
        </w:rPr>
        <w:t>'</w:t>
      </w:r>
      <w:r w:rsidR="00BE0D22" w:rsidRPr="009678BA">
        <w:rPr>
          <w:noProof/>
        </w:rPr>
        <w:t>articolo 66, paragrafo 6, del regolamento (UE) 2017/2226, nel corso dell</w:t>
      </w:r>
      <w:r w:rsidR="0000279B">
        <w:rPr>
          <w:noProof/>
        </w:rPr>
        <w:t>'</w:t>
      </w:r>
      <w:r w:rsidR="00BE0D22" w:rsidRPr="009678BA">
        <w:rPr>
          <w:noProof/>
        </w:rPr>
        <w:t>entrata in funzione graduale dell</w:t>
      </w:r>
      <w:r w:rsidR="0000279B">
        <w:rPr>
          <w:noProof/>
        </w:rPr>
        <w:t>'</w:t>
      </w:r>
      <w:r w:rsidR="00BE0D22" w:rsidRPr="009678BA">
        <w:rPr>
          <w:noProof/>
        </w:rPr>
        <w:t>EES gli Stati membri utilizzano l</w:t>
      </w:r>
      <w:r w:rsidR="0000279B">
        <w:rPr>
          <w:noProof/>
        </w:rPr>
        <w:t>'</w:t>
      </w:r>
      <w:r w:rsidR="00BE0D22" w:rsidRPr="009678BA">
        <w:rPr>
          <w:noProof/>
        </w:rPr>
        <w:t xml:space="preserve">EES come stabilito nel presente articolo. </w:t>
      </w:r>
    </w:p>
    <w:p w:rsidR="00BE0D22" w:rsidRPr="009678BA" w:rsidRDefault="00425D1B" w:rsidP="00425D1B">
      <w:pPr>
        <w:pStyle w:val="ManualNumPar1"/>
        <w:rPr>
          <w:noProof/>
        </w:rPr>
      </w:pPr>
      <w:r w:rsidRPr="00425D1B">
        <w:rPr>
          <w:noProof/>
        </w:rPr>
        <w:t>2.</w:t>
      </w:r>
      <w:r w:rsidRPr="00425D1B">
        <w:rPr>
          <w:noProof/>
        </w:rPr>
        <w:tab/>
      </w:r>
      <w:r w:rsidR="00BE0D22" w:rsidRPr="009678BA">
        <w:rPr>
          <w:noProof/>
        </w:rPr>
        <w:t>A decorrere dal primo giorno dell</w:t>
      </w:r>
      <w:r w:rsidR="0000279B">
        <w:rPr>
          <w:noProof/>
        </w:rPr>
        <w:t>'</w:t>
      </w:r>
      <w:r w:rsidR="00BE0D22" w:rsidRPr="009678BA">
        <w:rPr>
          <w:noProof/>
        </w:rPr>
        <w:t>entrata in funzione graduale dell</w:t>
      </w:r>
      <w:r w:rsidR="0000279B">
        <w:rPr>
          <w:noProof/>
        </w:rPr>
        <w:t>'</w:t>
      </w:r>
      <w:r w:rsidR="00BE0D22" w:rsidRPr="009678BA">
        <w:rPr>
          <w:noProof/>
        </w:rPr>
        <w:t>EES, ciascuno Stato membro inizia a usare l</w:t>
      </w:r>
      <w:r w:rsidR="0000279B">
        <w:rPr>
          <w:noProof/>
        </w:rPr>
        <w:t>'</w:t>
      </w:r>
      <w:r w:rsidR="00BE0D22" w:rsidRPr="009678BA">
        <w:rPr>
          <w:noProof/>
        </w:rPr>
        <w:t>EES all</w:t>
      </w:r>
      <w:r w:rsidR="0000279B">
        <w:rPr>
          <w:noProof/>
        </w:rPr>
        <w:t>'</w:t>
      </w:r>
      <w:r w:rsidR="00BE0D22" w:rsidRPr="009678BA">
        <w:rPr>
          <w:noProof/>
        </w:rPr>
        <w:t>ingresso e all</w:t>
      </w:r>
      <w:r w:rsidR="0000279B">
        <w:rPr>
          <w:noProof/>
        </w:rPr>
        <w:t>'</w:t>
      </w:r>
      <w:r w:rsidR="00BE0D22" w:rsidRPr="009678BA">
        <w:rPr>
          <w:noProof/>
        </w:rPr>
        <w:t>uscita presso uno o più valichi di frontiera, scegliendo, se possibile e applicabile, una combinazione di valichi di frontiera aerei, terrestri e marittimi, per registrare e conservare i dati dei cittadini di paesi terzi di cui all</w:t>
      </w:r>
      <w:r w:rsidR="0000279B">
        <w:rPr>
          <w:noProof/>
        </w:rPr>
        <w:t>'</w:t>
      </w:r>
      <w:r w:rsidR="00BE0D22" w:rsidRPr="009678BA">
        <w:rPr>
          <w:noProof/>
        </w:rPr>
        <w:t>articolo 2, paragrafi 1 e 2, del regolamento (UE) 2017/2226. Gli</w:t>
      </w:r>
      <w:r w:rsidR="0000279B">
        <w:rPr>
          <w:noProof/>
        </w:rPr>
        <w:t> </w:t>
      </w:r>
      <w:r w:rsidR="00BE0D22" w:rsidRPr="009678BA">
        <w:rPr>
          <w:noProof/>
        </w:rPr>
        <w:t>Stati membri registrano nell</w:t>
      </w:r>
      <w:r w:rsidR="0000279B">
        <w:rPr>
          <w:noProof/>
        </w:rPr>
        <w:t>'</w:t>
      </w:r>
      <w:r w:rsidR="00BE0D22" w:rsidRPr="009678BA">
        <w:rPr>
          <w:noProof/>
        </w:rPr>
        <w:t xml:space="preserve">EES almeno il 10 % del numero stimato di attraversamenti di frontiera in ciascuno di essi. </w:t>
      </w:r>
    </w:p>
    <w:p w:rsidR="00BE0D22" w:rsidRPr="009678BA" w:rsidRDefault="00BE0D22" w:rsidP="009A066B">
      <w:pPr>
        <w:pStyle w:val="Text1"/>
        <w:rPr>
          <w:noProof/>
        </w:rPr>
      </w:pPr>
      <w:r w:rsidRPr="009678BA">
        <w:rPr>
          <w:noProof/>
        </w:rPr>
        <w:t>Per i primi 60 giorni di calendario dall</w:t>
      </w:r>
      <w:r w:rsidR="0000279B">
        <w:rPr>
          <w:noProof/>
        </w:rPr>
        <w:t>'</w:t>
      </w:r>
      <w:r w:rsidRPr="009678BA">
        <w:rPr>
          <w:noProof/>
        </w:rPr>
        <w:t>entrata in funzione graduale dell</w:t>
      </w:r>
      <w:r w:rsidR="0000279B">
        <w:rPr>
          <w:noProof/>
        </w:rPr>
        <w:t>'</w:t>
      </w:r>
      <w:r w:rsidRPr="009678BA">
        <w:rPr>
          <w:noProof/>
        </w:rPr>
        <w:t>EES, gli Stati membri possono usare l</w:t>
      </w:r>
      <w:r w:rsidR="0000279B">
        <w:rPr>
          <w:noProof/>
        </w:rPr>
        <w:t>'</w:t>
      </w:r>
      <w:r w:rsidRPr="009678BA">
        <w:rPr>
          <w:noProof/>
        </w:rPr>
        <w:t>EES senza funzionalità biometriche e le autorità nazionali possono creare o aggiornare fascicoli individuali senza dati biometrici.</w:t>
      </w:r>
    </w:p>
    <w:p w:rsidR="00BE0D22" w:rsidRPr="009678BA" w:rsidRDefault="00425D1B" w:rsidP="00425D1B">
      <w:pPr>
        <w:pStyle w:val="ManualNumPar1"/>
        <w:rPr>
          <w:noProof/>
        </w:rPr>
      </w:pPr>
      <w:r w:rsidRPr="00425D1B">
        <w:rPr>
          <w:noProof/>
        </w:rPr>
        <w:t>3.</w:t>
      </w:r>
      <w:r w:rsidRPr="00425D1B">
        <w:rPr>
          <w:noProof/>
        </w:rPr>
        <w:tab/>
      </w:r>
      <w:r w:rsidR="2A3A6A77" w:rsidRPr="009678BA">
        <w:rPr>
          <w:noProof/>
        </w:rPr>
        <w:t>Entro il 90° giorno di calendario dall</w:t>
      </w:r>
      <w:r w:rsidR="0000279B">
        <w:rPr>
          <w:noProof/>
        </w:rPr>
        <w:t>'</w:t>
      </w:r>
      <w:r w:rsidR="2A3A6A77" w:rsidRPr="009678BA">
        <w:rPr>
          <w:noProof/>
        </w:rPr>
        <w:t>entrata in funzione graduale dell</w:t>
      </w:r>
      <w:r w:rsidR="0000279B">
        <w:rPr>
          <w:noProof/>
        </w:rPr>
        <w:t>'</w:t>
      </w:r>
      <w:r w:rsidR="2A3A6A77" w:rsidRPr="009678BA">
        <w:rPr>
          <w:noProof/>
        </w:rPr>
        <w:t>EES, gli Stati membri usano l</w:t>
      </w:r>
      <w:r w:rsidR="0000279B">
        <w:rPr>
          <w:noProof/>
        </w:rPr>
        <w:t>'</w:t>
      </w:r>
      <w:r w:rsidR="2A3A6A77" w:rsidRPr="009678BA">
        <w:rPr>
          <w:noProof/>
        </w:rPr>
        <w:t>EES con funzionalità biometriche almeno per metà dei loro valichi di frontiera. Gli Stati membri registrano almeno il 50 % del numero stimato di attraversamenti di frontiera in ciascuno di essi. I fascicoli individuali dei cittadini di paesi terzi di cui all</w:t>
      </w:r>
      <w:r w:rsidR="0000279B">
        <w:rPr>
          <w:noProof/>
        </w:rPr>
        <w:t>'</w:t>
      </w:r>
      <w:r w:rsidR="2A3A6A77" w:rsidRPr="009678BA">
        <w:rPr>
          <w:noProof/>
        </w:rPr>
        <w:t>articolo 2, paragrafi 1 e 2, del regolamento (UE) 2017/2226 registrati nell</w:t>
      </w:r>
      <w:r w:rsidR="0000279B">
        <w:rPr>
          <w:noProof/>
        </w:rPr>
        <w:t>'</w:t>
      </w:r>
      <w:r w:rsidR="2A3A6A77" w:rsidRPr="009678BA">
        <w:rPr>
          <w:noProof/>
        </w:rPr>
        <w:t>EES contengono dati biometrici.</w:t>
      </w:r>
    </w:p>
    <w:p w:rsidR="00BE0D22" w:rsidRPr="009678BA" w:rsidRDefault="00425D1B" w:rsidP="00425D1B">
      <w:pPr>
        <w:pStyle w:val="ManualNumPar1"/>
        <w:rPr>
          <w:noProof/>
        </w:rPr>
      </w:pPr>
      <w:r w:rsidRPr="00425D1B">
        <w:rPr>
          <w:noProof/>
        </w:rPr>
        <w:t>4.</w:t>
      </w:r>
      <w:r w:rsidRPr="00425D1B">
        <w:rPr>
          <w:noProof/>
        </w:rPr>
        <w:tab/>
      </w:r>
      <w:r w:rsidR="0DB44E24" w:rsidRPr="009678BA">
        <w:rPr>
          <w:noProof/>
        </w:rPr>
        <w:t>Entro il 150° giorno di calendario dall</w:t>
      </w:r>
      <w:r w:rsidR="0000279B">
        <w:rPr>
          <w:noProof/>
        </w:rPr>
        <w:t>'</w:t>
      </w:r>
      <w:r w:rsidR="0DB44E24" w:rsidRPr="009678BA">
        <w:rPr>
          <w:noProof/>
        </w:rPr>
        <w:t>entrata in funzione graduale dell</w:t>
      </w:r>
      <w:r w:rsidR="0000279B">
        <w:rPr>
          <w:noProof/>
        </w:rPr>
        <w:t>'</w:t>
      </w:r>
      <w:r w:rsidR="0DB44E24" w:rsidRPr="009678BA">
        <w:rPr>
          <w:noProof/>
        </w:rPr>
        <w:t>EES, gli Stati membri usano l</w:t>
      </w:r>
      <w:r w:rsidR="0000279B">
        <w:rPr>
          <w:noProof/>
        </w:rPr>
        <w:t>'</w:t>
      </w:r>
      <w:r w:rsidR="0DB44E24" w:rsidRPr="009678BA">
        <w:rPr>
          <w:noProof/>
        </w:rPr>
        <w:t>EES con funzionalità biometriche presso tutti i loro valichi di frontiera e continuano a registrare nell</w:t>
      </w:r>
      <w:r w:rsidR="0000279B">
        <w:rPr>
          <w:noProof/>
        </w:rPr>
        <w:t>'</w:t>
      </w:r>
      <w:r w:rsidR="0DB44E24" w:rsidRPr="009678BA">
        <w:rPr>
          <w:noProof/>
        </w:rPr>
        <w:t>EES almeno il 50 % del numero stimato di attraversamenti di frontiera in ciascuno di essi.</w:t>
      </w:r>
    </w:p>
    <w:p w:rsidR="00BE0D22" w:rsidRPr="009678BA" w:rsidRDefault="00425D1B" w:rsidP="00425D1B">
      <w:pPr>
        <w:pStyle w:val="ManualNumPar1"/>
        <w:rPr>
          <w:noProof/>
        </w:rPr>
      </w:pPr>
      <w:r w:rsidRPr="00425D1B">
        <w:rPr>
          <w:noProof/>
        </w:rPr>
        <w:t>5.</w:t>
      </w:r>
      <w:r w:rsidRPr="00425D1B">
        <w:rPr>
          <w:noProof/>
        </w:rPr>
        <w:tab/>
      </w:r>
      <w:r w:rsidR="19271299" w:rsidRPr="009678BA">
        <w:rPr>
          <w:noProof/>
        </w:rPr>
        <w:t>Entro il 170° giorno di calendario dall</w:t>
      </w:r>
      <w:r w:rsidR="0000279B">
        <w:rPr>
          <w:noProof/>
        </w:rPr>
        <w:t>'</w:t>
      </w:r>
      <w:r w:rsidR="19271299" w:rsidRPr="009678BA">
        <w:rPr>
          <w:noProof/>
        </w:rPr>
        <w:t>entrata in funzione graduale dell</w:t>
      </w:r>
      <w:r w:rsidR="0000279B">
        <w:rPr>
          <w:noProof/>
        </w:rPr>
        <w:t>'</w:t>
      </w:r>
      <w:r w:rsidR="19271299" w:rsidRPr="009678BA">
        <w:rPr>
          <w:noProof/>
        </w:rPr>
        <w:t>EES, gli Stati membri usano l</w:t>
      </w:r>
      <w:r w:rsidR="0000279B">
        <w:rPr>
          <w:noProof/>
        </w:rPr>
        <w:t>'</w:t>
      </w:r>
      <w:r w:rsidR="19271299" w:rsidRPr="009678BA">
        <w:rPr>
          <w:noProof/>
        </w:rPr>
        <w:t>EES con funzionalità biometriche presso tutti i loro valichi di frontiera e registrano nell</w:t>
      </w:r>
      <w:r w:rsidR="0000279B">
        <w:rPr>
          <w:noProof/>
        </w:rPr>
        <w:t>'</w:t>
      </w:r>
      <w:r w:rsidR="19271299" w:rsidRPr="009678BA">
        <w:rPr>
          <w:noProof/>
        </w:rPr>
        <w:t>EES tutti i cittadini di paesi terzi di cui all</w:t>
      </w:r>
      <w:r w:rsidR="0000279B">
        <w:rPr>
          <w:noProof/>
        </w:rPr>
        <w:t>'</w:t>
      </w:r>
      <w:r w:rsidR="19271299" w:rsidRPr="009678BA">
        <w:rPr>
          <w:noProof/>
        </w:rPr>
        <w:t>articolo 2, paragrafi 1 e 2, del regolamento (UE) 2017/2226.</w:t>
      </w:r>
    </w:p>
    <w:p w:rsidR="00BE0D22" w:rsidRPr="009678BA" w:rsidRDefault="00425D1B" w:rsidP="00425D1B">
      <w:pPr>
        <w:pStyle w:val="ManualNumPar1"/>
        <w:rPr>
          <w:noProof/>
        </w:rPr>
      </w:pPr>
      <w:r w:rsidRPr="00425D1B">
        <w:rPr>
          <w:noProof/>
        </w:rPr>
        <w:t>6.</w:t>
      </w:r>
      <w:r w:rsidRPr="00425D1B">
        <w:rPr>
          <w:noProof/>
        </w:rPr>
        <w:tab/>
      </w:r>
      <w:r w:rsidR="00BE0D22" w:rsidRPr="009678BA">
        <w:rPr>
          <w:noProof/>
        </w:rPr>
        <w:t>I respingimenti decisi presso un valico di frontiera presso il quale l</w:t>
      </w:r>
      <w:r w:rsidR="0000279B">
        <w:rPr>
          <w:noProof/>
        </w:rPr>
        <w:t>'</w:t>
      </w:r>
      <w:r w:rsidR="00BE0D22" w:rsidRPr="009678BA">
        <w:rPr>
          <w:noProof/>
        </w:rPr>
        <w:t>EES è operativo sono registrati nell</w:t>
      </w:r>
      <w:r w:rsidR="0000279B">
        <w:rPr>
          <w:noProof/>
        </w:rPr>
        <w:t>'</w:t>
      </w:r>
      <w:r w:rsidR="00BE0D22" w:rsidRPr="009678BA">
        <w:rPr>
          <w:noProof/>
        </w:rPr>
        <w:t>EES conformemente all</w:t>
      </w:r>
      <w:r w:rsidR="0000279B">
        <w:rPr>
          <w:noProof/>
        </w:rPr>
        <w:t>'</w:t>
      </w:r>
      <w:r w:rsidR="00BE0D22" w:rsidRPr="009678BA">
        <w:rPr>
          <w:noProof/>
        </w:rPr>
        <w:t>articolo 18 del regolamento (UE) 2017/2226. Se l</w:t>
      </w:r>
      <w:r w:rsidR="0000279B">
        <w:rPr>
          <w:noProof/>
        </w:rPr>
        <w:t>'</w:t>
      </w:r>
      <w:r w:rsidR="00BE0D22" w:rsidRPr="009678BA">
        <w:rPr>
          <w:noProof/>
        </w:rPr>
        <w:t>EES è operativo con funzionalità biometriche, i respingimenti sono registrati con dati biometrici. Se l</w:t>
      </w:r>
      <w:r w:rsidR="0000279B">
        <w:rPr>
          <w:noProof/>
        </w:rPr>
        <w:t>'</w:t>
      </w:r>
      <w:r w:rsidR="00BE0D22" w:rsidRPr="009678BA">
        <w:rPr>
          <w:noProof/>
        </w:rPr>
        <w:t>EES è operativo senza funzionalità biometriche, i</w:t>
      </w:r>
      <w:r w:rsidR="0000279B">
        <w:rPr>
          <w:noProof/>
        </w:rPr>
        <w:t> </w:t>
      </w:r>
      <w:r w:rsidR="00BE0D22" w:rsidRPr="009678BA">
        <w:rPr>
          <w:noProof/>
        </w:rPr>
        <w:t>respingimenti sono registrati senza dati biometrici.</w:t>
      </w:r>
    </w:p>
    <w:p w:rsidR="00BE0D22" w:rsidRPr="009678BA" w:rsidRDefault="00425D1B" w:rsidP="00425D1B">
      <w:pPr>
        <w:pStyle w:val="ManualNumPar1"/>
        <w:rPr>
          <w:noProof/>
        </w:rPr>
      </w:pPr>
      <w:r w:rsidRPr="00425D1B">
        <w:rPr>
          <w:noProof/>
        </w:rPr>
        <w:t>7.</w:t>
      </w:r>
      <w:r w:rsidRPr="00425D1B">
        <w:rPr>
          <w:noProof/>
        </w:rPr>
        <w:tab/>
      </w:r>
      <w:r w:rsidR="00BE0D22" w:rsidRPr="009678BA">
        <w:rPr>
          <w:noProof/>
        </w:rPr>
        <w:t>A decorrere dal primo giorno dell</w:t>
      </w:r>
      <w:r w:rsidR="0000279B">
        <w:rPr>
          <w:noProof/>
        </w:rPr>
        <w:t>'</w:t>
      </w:r>
      <w:r w:rsidR="00BE0D22" w:rsidRPr="009678BA">
        <w:rPr>
          <w:noProof/>
        </w:rPr>
        <w:t>entrata in funzione graduale dell</w:t>
      </w:r>
      <w:r w:rsidR="0000279B">
        <w:rPr>
          <w:noProof/>
        </w:rPr>
        <w:t>'</w:t>
      </w:r>
      <w:r w:rsidR="00BE0D22" w:rsidRPr="009678BA">
        <w:rPr>
          <w:noProof/>
        </w:rPr>
        <w:t>EES, Europol utilizza l</w:t>
      </w:r>
      <w:r w:rsidR="0000279B">
        <w:rPr>
          <w:noProof/>
        </w:rPr>
        <w:t>'</w:t>
      </w:r>
      <w:r w:rsidR="00BE0D22" w:rsidRPr="009678BA">
        <w:rPr>
          <w:noProof/>
        </w:rPr>
        <w:t xml:space="preserve">EES come previsto dal regolamento (UE) 2017/2226. </w:t>
      </w:r>
    </w:p>
    <w:p w:rsidR="00BE0D22" w:rsidRPr="009678BA" w:rsidRDefault="00BE0D22" w:rsidP="008D2056">
      <w:pPr>
        <w:pStyle w:val="Titrearticle"/>
        <w:ind w:left="720"/>
        <w:rPr>
          <w:noProof/>
        </w:rPr>
      </w:pPr>
      <w:r w:rsidRPr="009678BA">
        <w:rPr>
          <w:noProof/>
        </w:rPr>
        <w:t xml:space="preserve">Articolo 5 </w:t>
      </w:r>
      <w:r w:rsidRPr="009678BA">
        <w:rPr>
          <w:noProof/>
        </w:rPr>
        <w:br/>
        <w:t>Altre deroghe al regolamento (UE) 2017/2226 e al regolamento (UE) 2016/399</w:t>
      </w:r>
    </w:p>
    <w:p w:rsidR="00BE0D22" w:rsidRPr="009678BA" w:rsidRDefault="00425D1B" w:rsidP="00425D1B">
      <w:pPr>
        <w:pStyle w:val="ManualNumPar1"/>
        <w:rPr>
          <w:noProof/>
        </w:rPr>
      </w:pPr>
      <w:r w:rsidRPr="00425D1B">
        <w:rPr>
          <w:noProof/>
        </w:rPr>
        <w:t>1.</w:t>
      </w:r>
      <w:r w:rsidRPr="00425D1B">
        <w:rPr>
          <w:noProof/>
        </w:rPr>
        <w:tab/>
      </w:r>
      <w:r w:rsidR="1744AB68" w:rsidRPr="009678BA">
        <w:rPr>
          <w:noProof/>
        </w:rPr>
        <w:t>Oltre alle norme di cui all</w:t>
      </w:r>
      <w:r w:rsidR="0000279B">
        <w:rPr>
          <w:noProof/>
        </w:rPr>
        <w:t>'</w:t>
      </w:r>
      <w:r w:rsidR="1744AB68" w:rsidRPr="009678BA">
        <w:rPr>
          <w:noProof/>
        </w:rPr>
        <w:t>articolo 4, nel corso dell</w:t>
      </w:r>
      <w:r w:rsidR="0000279B">
        <w:rPr>
          <w:noProof/>
        </w:rPr>
        <w:t>'</w:t>
      </w:r>
      <w:r w:rsidR="1744AB68" w:rsidRPr="009678BA">
        <w:rPr>
          <w:noProof/>
        </w:rPr>
        <w:t>entrata in funzione graduale dell</w:t>
      </w:r>
      <w:r w:rsidR="0000279B">
        <w:rPr>
          <w:noProof/>
        </w:rPr>
        <w:t>'</w:t>
      </w:r>
      <w:r w:rsidR="1744AB68" w:rsidRPr="009678BA">
        <w:rPr>
          <w:noProof/>
        </w:rPr>
        <w:t>EES si applicano le norme di cui al presente articolo.</w:t>
      </w:r>
    </w:p>
    <w:p w:rsidR="00BE0D22" w:rsidRPr="009678BA" w:rsidRDefault="00425D1B" w:rsidP="00425D1B">
      <w:pPr>
        <w:pStyle w:val="ManualNumPar1"/>
        <w:rPr>
          <w:noProof/>
        </w:rPr>
      </w:pPr>
      <w:r w:rsidRPr="00425D1B">
        <w:rPr>
          <w:noProof/>
        </w:rPr>
        <w:t>2.</w:t>
      </w:r>
      <w:r w:rsidRPr="00425D1B">
        <w:rPr>
          <w:noProof/>
        </w:rPr>
        <w:tab/>
      </w:r>
      <w:r w:rsidR="00BE0D22" w:rsidRPr="009678BA">
        <w:rPr>
          <w:noProof/>
        </w:rPr>
        <w:t>Le autorità di frontiera timbrano sistematicamente i documenti di viaggio dei cittadini di paesi terzi di cui all</w:t>
      </w:r>
      <w:r w:rsidR="0000279B">
        <w:rPr>
          <w:noProof/>
        </w:rPr>
        <w:t>'</w:t>
      </w:r>
      <w:r w:rsidR="00BE0D22" w:rsidRPr="009678BA">
        <w:rPr>
          <w:noProof/>
        </w:rPr>
        <w:t>articolo 2, paragrafi 1 e 2, del regolamento (UE) 2017/2226 all</w:t>
      </w:r>
      <w:r w:rsidR="0000279B">
        <w:rPr>
          <w:noProof/>
        </w:rPr>
        <w:t>'</w:t>
      </w:r>
      <w:r w:rsidR="00BE0D22" w:rsidRPr="009678BA">
        <w:rPr>
          <w:noProof/>
        </w:rPr>
        <w:t>ingresso e all</w:t>
      </w:r>
      <w:r w:rsidR="0000279B">
        <w:rPr>
          <w:noProof/>
        </w:rPr>
        <w:t>'</w:t>
      </w:r>
      <w:r w:rsidR="00BE0D22" w:rsidRPr="009678BA">
        <w:rPr>
          <w:noProof/>
        </w:rPr>
        <w:t xml:space="preserve">uscita. </w:t>
      </w:r>
    </w:p>
    <w:p w:rsidR="00BE0D22" w:rsidRPr="009678BA" w:rsidRDefault="00BE0D22" w:rsidP="009A066B">
      <w:pPr>
        <w:pStyle w:val="Text1"/>
        <w:rPr>
          <w:noProof/>
        </w:rPr>
      </w:pPr>
      <w:r w:rsidRPr="009678BA">
        <w:rPr>
          <w:noProof/>
        </w:rPr>
        <w:t>Gli obblighi di apposizione del timbro di cui all</w:t>
      </w:r>
      <w:r w:rsidR="0000279B">
        <w:rPr>
          <w:noProof/>
        </w:rPr>
        <w:t>'</w:t>
      </w:r>
      <w:r w:rsidRPr="009678BA">
        <w:rPr>
          <w:noProof/>
        </w:rPr>
        <w:t>articolo 42 bis, paragrafo 1, secondo</w:t>
      </w:r>
      <w:r w:rsidR="0000279B">
        <w:rPr>
          <w:noProof/>
        </w:rPr>
        <w:t> </w:t>
      </w:r>
      <w:r w:rsidRPr="009678BA">
        <w:rPr>
          <w:noProof/>
        </w:rPr>
        <w:t>comma, e all</w:t>
      </w:r>
      <w:r w:rsidR="0000279B">
        <w:rPr>
          <w:noProof/>
        </w:rPr>
        <w:t>'</w:t>
      </w:r>
      <w:r w:rsidRPr="009678BA">
        <w:rPr>
          <w:noProof/>
        </w:rPr>
        <w:t xml:space="preserve">articolo 42 bis, paragrafi 2, 5 e 6, del regolamento (UE) 2016/399 si applicano </w:t>
      </w:r>
      <w:r w:rsidRPr="009678BA">
        <w:rPr>
          <w:i/>
          <w:noProof/>
        </w:rPr>
        <w:t>mutatis mutandis</w:t>
      </w:r>
      <w:r w:rsidRPr="009678BA">
        <w:rPr>
          <w:noProof/>
        </w:rPr>
        <w:t xml:space="preserve"> negli Stati membri in cui l</w:t>
      </w:r>
      <w:r w:rsidR="0000279B">
        <w:rPr>
          <w:noProof/>
        </w:rPr>
        <w:t>'</w:t>
      </w:r>
      <w:r w:rsidRPr="009678BA">
        <w:rPr>
          <w:noProof/>
        </w:rPr>
        <w:t>EES è operativo.</w:t>
      </w:r>
    </w:p>
    <w:p w:rsidR="00BE0D22" w:rsidRPr="009678BA" w:rsidRDefault="00425D1B" w:rsidP="00425D1B">
      <w:pPr>
        <w:pStyle w:val="ManualNumPar1"/>
        <w:rPr>
          <w:rStyle w:val="normaltextrun"/>
          <w:noProof/>
          <w:color w:val="000000" w:themeColor="text1"/>
        </w:rPr>
      </w:pPr>
      <w:r w:rsidRPr="00425D1B">
        <w:rPr>
          <w:rStyle w:val="normaltextrun"/>
          <w:noProof/>
        </w:rPr>
        <w:t>3.</w:t>
      </w:r>
      <w:r w:rsidRPr="00425D1B">
        <w:rPr>
          <w:rStyle w:val="normaltextrun"/>
          <w:noProof/>
        </w:rPr>
        <w:tab/>
      </w:r>
      <w:r w:rsidR="6E1C1013" w:rsidRPr="009678BA">
        <w:rPr>
          <w:rStyle w:val="normaltextrun"/>
          <w:noProof/>
          <w:color w:val="000000" w:themeColor="text1"/>
        </w:rPr>
        <w:t>Per inserire, modificare, cancellare e consultare i dati nell</w:t>
      </w:r>
      <w:r w:rsidR="0000279B">
        <w:rPr>
          <w:rStyle w:val="normaltextrun"/>
          <w:noProof/>
          <w:color w:val="000000" w:themeColor="text1"/>
        </w:rPr>
        <w:t>'</w:t>
      </w:r>
      <w:r w:rsidR="6E1C1013" w:rsidRPr="009678BA">
        <w:rPr>
          <w:rStyle w:val="normaltextrun"/>
          <w:noProof/>
          <w:color w:val="000000" w:themeColor="text1"/>
        </w:rPr>
        <w:t>EES,</w:t>
      </w:r>
      <w:r w:rsidR="6E1C1013" w:rsidRPr="009678BA">
        <w:rPr>
          <w:noProof/>
        </w:rPr>
        <w:t xml:space="preserve"> le autorità nazionali competenti ai fini di cui agli articoli da 23 a 35 del regolamento (UE) 2017/2226 </w:t>
      </w:r>
      <w:r w:rsidR="6E1C1013" w:rsidRPr="009678BA">
        <w:rPr>
          <w:rStyle w:val="normaltextrun"/>
          <w:noProof/>
          <w:color w:val="000000" w:themeColor="text1"/>
        </w:rPr>
        <w:t>considerano prevalenti i timbri rispetto ai dati dell</w:t>
      </w:r>
      <w:r w:rsidR="0000279B">
        <w:rPr>
          <w:rStyle w:val="normaltextrun"/>
          <w:noProof/>
          <w:color w:val="000000" w:themeColor="text1"/>
        </w:rPr>
        <w:t>'</w:t>
      </w:r>
      <w:r w:rsidR="6E1C1013" w:rsidRPr="009678BA">
        <w:rPr>
          <w:rStyle w:val="normaltextrun"/>
          <w:noProof/>
          <w:color w:val="000000" w:themeColor="text1"/>
        </w:rPr>
        <w:t xml:space="preserve">EES, anche in casi di discrepanze o nei casi </w:t>
      </w:r>
      <w:r w:rsidR="6E1C1013" w:rsidRPr="009678BA">
        <w:rPr>
          <w:rStyle w:val="normaltextrun"/>
          <w:noProof/>
          <w:color w:val="000000"/>
          <w:shd w:val="clear" w:color="auto" w:fill="FFFFFF"/>
        </w:rPr>
        <w:t>di cui all</w:t>
      </w:r>
      <w:r w:rsidR="0000279B">
        <w:rPr>
          <w:rStyle w:val="normaltextrun"/>
          <w:noProof/>
          <w:color w:val="000000"/>
          <w:shd w:val="clear" w:color="auto" w:fill="FFFFFF"/>
        </w:rPr>
        <w:t>'</w:t>
      </w:r>
      <w:r w:rsidR="6E1C1013" w:rsidRPr="009678BA">
        <w:rPr>
          <w:rStyle w:val="normaltextrun"/>
          <w:noProof/>
          <w:color w:val="000000"/>
          <w:shd w:val="clear" w:color="auto" w:fill="FFFFFF"/>
        </w:rPr>
        <w:t>articolo</w:t>
      </w:r>
      <w:r w:rsidR="6E1C1013" w:rsidRPr="009678BA">
        <w:rPr>
          <w:rStyle w:val="normaltextrun"/>
          <w:noProof/>
          <w:color w:val="000000" w:themeColor="text1"/>
        </w:rPr>
        <w:t xml:space="preserve"> </w:t>
      </w:r>
      <w:r w:rsidR="6E1C1013" w:rsidRPr="009678BA">
        <w:rPr>
          <w:rStyle w:val="normaltextrun"/>
          <w:noProof/>
          <w:color w:val="000000"/>
          <w:shd w:val="clear" w:color="auto" w:fill="FFFFFF"/>
        </w:rPr>
        <w:t>16, paragrafo 4,</w:t>
      </w:r>
      <w:r w:rsidR="6E1C1013" w:rsidRPr="009678BA">
        <w:rPr>
          <w:rStyle w:val="normaltextrun"/>
          <w:noProof/>
          <w:color w:val="000000" w:themeColor="text1"/>
        </w:rPr>
        <w:t xml:space="preserve"> del medesimo regolamento. In mancanza del timbro prevalgono i dati registrati nell</w:t>
      </w:r>
      <w:r w:rsidR="0000279B">
        <w:rPr>
          <w:rStyle w:val="normaltextrun"/>
          <w:noProof/>
          <w:color w:val="000000" w:themeColor="text1"/>
        </w:rPr>
        <w:t>'</w:t>
      </w:r>
      <w:r w:rsidR="6E1C1013" w:rsidRPr="009678BA">
        <w:rPr>
          <w:rStyle w:val="normaltextrun"/>
          <w:noProof/>
          <w:color w:val="000000" w:themeColor="text1"/>
        </w:rPr>
        <w:t xml:space="preserve">EES. </w:t>
      </w:r>
    </w:p>
    <w:p w:rsidR="00BE0D22" w:rsidRPr="009678BA" w:rsidRDefault="00425D1B" w:rsidP="00425D1B">
      <w:pPr>
        <w:pStyle w:val="ManualNumPar1"/>
        <w:rPr>
          <w:noProof/>
        </w:rPr>
      </w:pPr>
      <w:r w:rsidRPr="00425D1B">
        <w:rPr>
          <w:noProof/>
        </w:rPr>
        <w:t>4.</w:t>
      </w:r>
      <w:r w:rsidRPr="00425D1B">
        <w:rPr>
          <w:noProof/>
        </w:rPr>
        <w:tab/>
      </w:r>
      <w:r w:rsidR="00BE0D22" w:rsidRPr="009678BA">
        <w:rPr>
          <w:noProof/>
        </w:rPr>
        <w:t>In mancanza del timbro sul documento di viaggio di un cittadino di paese terzo presente nel territorio degli Stati membri, e in mancanza di un fascicolo individuale nell</w:t>
      </w:r>
      <w:r w:rsidR="0000279B">
        <w:rPr>
          <w:noProof/>
        </w:rPr>
        <w:t>'</w:t>
      </w:r>
      <w:r w:rsidR="00BE0D22" w:rsidRPr="009678BA">
        <w:rPr>
          <w:noProof/>
        </w:rPr>
        <w:t>EES relativo a tale cittadino, le autorità nazionali possono presumere che quest</w:t>
      </w:r>
      <w:r w:rsidR="0000279B">
        <w:rPr>
          <w:noProof/>
        </w:rPr>
        <w:t>'</w:t>
      </w:r>
      <w:r w:rsidR="00BE0D22" w:rsidRPr="009678BA">
        <w:rPr>
          <w:noProof/>
        </w:rPr>
        <w:t>ultimo non soddisfi o non soddisfi più le condizioni d</w:t>
      </w:r>
      <w:r w:rsidR="0000279B">
        <w:rPr>
          <w:noProof/>
        </w:rPr>
        <w:t>'</w:t>
      </w:r>
      <w:r w:rsidR="00BE0D22" w:rsidRPr="009678BA">
        <w:rPr>
          <w:noProof/>
        </w:rPr>
        <w:t>ingresso o di soggiorno negli Stati membri.</w:t>
      </w:r>
    </w:p>
    <w:p w:rsidR="00BE0D22" w:rsidRPr="009678BA" w:rsidRDefault="00BE0D22" w:rsidP="00F266A7">
      <w:pPr>
        <w:pStyle w:val="Text1"/>
        <w:rPr>
          <w:noProof/>
        </w:rPr>
      </w:pPr>
      <w:r w:rsidRPr="009678BA">
        <w:rPr>
          <w:noProof/>
        </w:rPr>
        <w:t>Tale presunzione non si applica al cittadino di paese terzo che possa fornire, con qualsiasi mezzo, prove attendibili del fatto di beneficiare del diritto di libera circolazione ai sensi del diritto unionale o del diritto di soggiorno in uno Stato membro ospitante ai sensi dell</w:t>
      </w:r>
      <w:r w:rsidR="0000279B">
        <w:rPr>
          <w:noProof/>
        </w:rPr>
        <w:t>'</w:t>
      </w:r>
      <w:r w:rsidRPr="009678BA">
        <w:rPr>
          <w:noProof/>
        </w:rPr>
        <w:t>accordo di recesso UE-Regno Unito, o del possesso di un permesso di soggiorno o di un visto per soggiorni di lunga durata.</w:t>
      </w:r>
    </w:p>
    <w:p w:rsidR="00BE0D22" w:rsidRPr="009678BA" w:rsidRDefault="00BE0D22" w:rsidP="00F266A7">
      <w:pPr>
        <w:pStyle w:val="Text1"/>
        <w:rPr>
          <w:noProof/>
        </w:rPr>
      </w:pPr>
      <w:r w:rsidRPr="009678BA">
        <w:rPr>
          <w:noProof/>
        </w:rPr>
        <w:t>Tale presunzione può essere confutata qualora il cittadino di paese terzo fornisca, in qualsiasi modo, elementi di prova attendibili che dimostrino che ha rispettato le condizioni relative alla durata di un soggiorno di breve durata.</w:t>
      </w:r>
    </w:p>
    <w:p w:rsidR="000F6420" w:rsidRPr="009678BA" w:rsidRDefault="000F6420" w:rsidP="000F6420">
      <w:pPr>
        <w:pStyle w:val="Text1"/>
        <w:rPr>
          <w:noProof/>
        </w:rPr>
      </w:pPr>
      <w:r w:rsidRPr="009678BA">
        <w:rPr>
          <w:noProof/>
        </w:rPr>
        <w:t>Qualora la presunzione sia confutata, le autorità nazionali svolgono uno o più dei compiti seguenti ai valichi di frontiera presso i quali l</w:t>
      </w:r>
      <w:r w:rsidR="0000279B">
        <w:rPr>
          <w:noProof/>
        </w:rPr>
        <w:t>'</w:t>
      </w:r>
      <w:r w:rsidRPr="009678BA">
        <w:rPr>
          <w:noProof/>
        </w:rPr>
        <w:t>EES è operativo, nella misura consentita dal presente regolamento:</w:t>
      </w:r>
    </w:p>
    <w:p w:rsidR="000F6420" w:rsidRPr="009678BA" w:rsidRDefault="00425D1B" w:rsidP="00425D1B">
      <w:pPr>
        <w:pStyle w:val="Point1"/>
        <w:rPr>
          <w:noProof/>
        </w:rPr>
      </w:pPr>
      <w:r w:rsidRPr="00425D1B">
        <w:rPr>
          <w:noProof/>
        </w:rPr>
        <w:t>(a)</w:t>
      </w:r>
      <w:r w:rsidRPr="00425D1B">
        <w:rPr>
          <w:noProof/>
        </w:rPr>
        <w:tab/>
      </w:r>
      <w:r w:rsidR="000F6420" w:rsidRPr="009678BA">
        <w:rPr>
          <w:noProof/>
        </w:rPr>
        <w:t>creano un fascicolo individuale per tale cittadino di paese terzo nell</w:t>
      </w:r>
      <w:r w:rsidR="0000279B">
        <w:rPr>
          <w:noProof/>
        </w:rPr>
        <w:t>'</w:t>
      </w:r>
      <w:r w:rsidR="000F6420" w:rsidRPr="009678BA">
        <w:rPr>
          <w:noProof/>
        </w:rPr>
        <w:t>EES, se necessario;</w:t>
      </w:r>
    </w:p>
    <w:p w:rsidR="000F6420" w:rsidRPr="009678BA" w:rsidRDefault="00425D1B" w:rsidP="00425D1B">
      <w:pPr>
        <w:pStyle w:val="Point1"/>
        <w:rPr>
          <w:noProof/>
        </w:rPr>
      </w:pPr>
      <w:r w:rsidRPr="00425D1B">
        <w:rPr>
          <w:noProof/>
        </w:rPr>
        <w:t>(b)</w:t>
      </w:r>
      <w:r w:rsidRPr="00425D1B">
        <w:rPr>
          <w:noProof/>
        </w:rPr>
        <w:tab/>
      </w:r>
      <w:r w:rsidR="000F6420" w:rsidRPr="009678BA">
        <w:rPr>
          <w:noProof/>
        </w:rPr>
        <w:t>aggiornano l</w:t>
      </w:r>
      <w:r w:rsidR="0000279B">
        <w:rPr>
          <w:noProof/>
        </w:rPr>
        <w:t>'</w:t>
      </w:r>
      <w:r w:rsidR="000F6420" w:rsidRPr="009678BA">
        <w:rPr>
          <w:noProof/>
        </w:rPr>
        <w:t xml:space="preserve">ultima cartella di ingresso/uscita inserendo i dati mancanti; </w:t>
      </w:r>
    </w:p>
    <w:p w:rsidR="000F6420" w:rsidRPr="009678BA" w:rsidRDefault="00425D1B" w:rsidP="00425D1B">
      <w:pPr>
        <w:pStyle w:val="Point1"/>
        <w:rPr>
          <w:noProof/>
        </w:rPr>
      </w:pPr>
      <w:r w:rsidRPr="00425D1B">
        <w:rPr>
          <w:noProof/>
        </w:rPr>
        <w:t>(c)</w:t>
      </w:r>
      <w:r w:rsidRPr="00425D1B">
        <w:rPr>
          <w:noProof/>
        </w:rPr>
        <w:tab/>
      </w:r>
      <w:r w:rsidR="000F6420" w:rsidRPr="009678BA">
        <w:rPr>
          <w:noProof/>
        </w:rPr>
        <w:t>cancellano un fascicolo esistente qualora l</w:t>
      </w:r>
      <w:r w:rsidR="0000279B">
        <w:rPr>
          <w:noProof/>
        </w:rPr>
        <w:t>'</w:t>
      </w:r>
      <w:r w:rsidR="000F6420" w:rsidRPr="009678BA">
        <w:rPr>
          <w:noProof/>
        </w:rPr>
        <w:t>articolo 35 del regolamento (UE) 2017/2226 preveda una tale cancellazione.</w:t>
      </w:r>
    </w:p>
    <w:p w:rsidR="3EE7EEB2" w:rsidRPr="009678BA" w:rsidRDefault="00425D1B" w:rsidP="00425D1B">
      <w:pPr>
        <w:pStyle w:val="ManualNumPar1"/>
        <w:rPr>
          <w:noProof/>
        </w:rPr>
      </w:pPr>
      <w:r w:rsidRPr="00425D1B">
        <w:rPr>
          <w:noProof/>
        </w:rPr>
        <w:t>5.</w:t>
      </w:r>
      <w:r w:rsidRPr="00425D1B">
        <w:rPr>
          <w:noProof/>
        </w:rPr>
        <w:tab/>
      </w:r>
      <w:r w:rsidR="00BE0D22" w:rsidRPr="009678BA">
        <w:rPr>
          <w:noProof/>
        </w:rPr>
        <w:t>Le autorità di frontiera si avvalgono dell</w:t>
      </w:r>
      <w:r w:rsidR="0000279B">
        <w:rPr>
          <w:noProof/>
        </w:rPr>
        <w:t>'</w:t>
      </w:r>
      <w:r w:rsidR="00BE0D22" w:rsidRPr="009678BA">
        <w:rPr>
          <w:noProof/>
        </w:rPr>
        <w:t>interoperabilità tra l</w:t>
      </w:r>
      <w:r w:rsidR="0000279B">
        <w:rPr>
          <w:noProof/>
        </w:rPr>
        <w:t>'</w:t>
      </w:r>
      <w:r w:rsidR="00BE0D22" w:rsidRPr="009678BA">
        <w:rPr>
          <w:noProof/>
        </w:rPr>
        <w:t>EES e il VIS di cui all</w:t>
      </w:r>
      <w:r w:rsidR="0000279B">
        <w:rPr>
          <w:noProof/>
        </w:rPr>
        <w:t>'</w:t>
      </w:r>
      <w:r w:rsidR="00BE0D22" w:rsidRPr="009678BA">
        <w:rPr>
          <w:noProof/>
        </w:rPr>
        <w:t>articolo 8, paragrafo 2, del regolamento (UE) 2017/2226 solo ai valichi di frontiera presso i quali l</w:t>
      </w:r>
      <w:r w:rsidR="0000279B">
        <w:rPr>
          <w:noProof/>
        </w:rPr>
        <w:t>'</w:t>
      </w:r>
      <w:r w:rsidR="00BE0D22" w:rsidRPr="009678BA">
        <w:rPr>
          <w:noProof/>
        </w:rPr>
        <w:t>EES è operativo. Le autorità di frontiera continuano ad accedere direttamente al VIS:</w:t>
      </w:r>
    </w:p>
    <w:p w:rsidR="60A44CAA" w:rsidRPr="009678BA" w:rsidRDefault="00425D1B" w:rsidP="00425D1B">
      <w:pPr>
        <w:pStyle w:val="Point1"/>
        <w:rPr>
          <w:noProof/>
        </w:rPr>
      </w:pPr>
      <w:r w:rsidRPr="00425D1B">
        <w:rPr>
          <w:noProof/>
        </w:rPr>
        <w:t>(a)</w:t>
      </w:r>
      <w:r w:rsidRPr="00425D1B">
        <w:rPr>
          <w:noProof/>
        </w:rPr>
        <w:tab/>
      </w:r>
      <w:r w:rsidR="0033108D" w:rsidRPr="009678BA">
        <w:rPr>
          <w:noProof/>
        </w:rPr>
        <w:t>ai valichi di frontiera presso i quali l</w:t>
      </w:r>
      <w:r w:rsidR="0000279B">
        <w:rPr>
          <w:noProof/>
        </w:rPr>
        <w:t>'</w:t>
      </w:r>
      <w:r w:rsidR="0033108D" w:rsidRPr="009678BA">
        <w:rPr>
          <w:noProof/>
        </w:rPr>
        <w:t>EES non è operativo;</w:t>
      </w:r>
    </w:p>
    <w:p w:rsidR="3EE7EEB2" w:rsidRPr="009678BA" w:rsidRDefault="00425D1B" w:rsidP="00425D1B">
      <w:pPr>
        <w:pStyle w:val="Point1"/>
        <w:rPr>
          <w:noProof/>
        </w:rPr>
      </w:pPr>
      <w:r w:rsidRPr="00425D1B">
        <w:rPr>
          <w:noProof/>
        </w:rPr>
        <w:t>(b)</w:t>
      </w:r>
      <w:r w:rsidRPr="00425D1B">
        <w:rPr>
          <w:noProof/>
        </w:rPr>
        <w:tab/>
      </w:r>
      <w:r w:rsidR="592EB7C1" w:rsidRPr="009678BA">
        <w:rPr>
          <w:noProof/>
        </w:rPr>
        <w:t>laddove l</w:t>
      </w:r>
      <w:r w:rsidR="0000279B">
        <w:rPr>
          <w:noProof/>
        </w:rPr>
        <w:t>'</w:t>
      </w:r>
      <w:r w:rsidR="592EB7C1" w:rsidRPr="009678BA">
        <w:rPr>
          <w:noProof/>
        </w:rPr>
        <w:t>EES è sospeso conformemente all</w:t>
      </w:r>
      <w:r w:rsidR="0000279B">
        <w:rPr>
          <w:noProof/>
        </w:rPr>
        <w:t>'</w:t>
      </w:r>
      <w:r w:rsidR="592EB7C1" w:rsidRPr="009678BA">
        <w:rPr>
          <w:noProof/>
        </w:rPr>
        <w:t>articolo 7 del presente regolamento.</w:t>
      </w:r>
    </w:p>
    <w:p w:rsidR="007F411C" w:rsidRPr="009678BA" w:rsidRDefault="00425D1B" w:rsidP="00425D1B">
      <w:pPr>
        <w:pStyle w:val="ManualNumPar1"/>
        <w:rPr>
          <w:noProof/>
        </w:rPr>
      </w:pPr>
      <w:r w:rsidRPr="00425D1B">
        <w:rPr>
          <w:noProof/>
        </w:rPr>
        <w:t>6.</w:t>
      </w:r>
      <w:r w:rsidRPr="00425D1B">
        <w:rPr>
          <w:noProof/>
        </w:rPr>
        <w:tab/>
      </w:r>
      <w:r w:rsidR="00AD1C05" w:rsidRPr="009678BA">
        <w:rPr>
          <w:noProof/>
        </w:rPr>
        <w:t xml:space="preserve">Le autorità nazionali ed Europol non tengono conto di quanto segue: </w:t>
      </w:r>
    </w:p>
    <w:p w:rsidR="00AA2B45" w:rsidRPr="009678BA" w:rsidRDefault="00425D1B" w:rsidP="00425D1B">
      <w:pPr>
        <w:pStyle w:val="Point1"/>
        <w:rPr>
          <w:noProof/>
        </w:rPr>
      </w:pPr>
      <w:r w:rsidRPr="00425D1B">
        <w:rPr>
          <w:noProof/>
        </w:rPr>
        <w:t>(a)</w:t>
      </w:r>
      <w:r w:rsidRPr="00425D1B">
        <w:rPr>
          <w:noProof/>
        </w:rPr>
        <w:tab/>
      </w:r>
      <w:r w:rsidR="008014AC" w:rsidRPr="009678BA">
        <w:rPr>
          <w:noProof/>
        </w:rPr>
        <w:t>dei risultati ottenuti dal calcolatore automatico che fornisce informazioni sulla durata massima del soggiorno autorizzato di cui all</w:t>
      </w:r>
      <w:r w:rsidR="0000279B">
        <w:rPr>
          <w:noProof/>
        </w:rPr>
        <w:t>'</w:t>
      </w:r>
      <w:r w:rsidR="008014AC" w:rsidRPr="009678BA">
        <w:rPr>
          <w:noProof/>
        </w:rPr>
        <w:t xml:space="preserve">articolo 11 del regolamento (UE) 2017/2226; </w:t>
      </w:r>
    </w:p>
    <w:p w:rsidR="00BE0D22" w:rsidRPr="009678BA" w:rsidRDefault="00425D1B" w:rsidP="00425D1B">
      <w:pPr>
        <w:pStyle w:val="Point1"/>
        <w:rPr>
          <w:noProof/>
        </w:rPr>
      </w:pPr>
      <w:r w:rsidRPr="00425D1B">
        <w:rPr>
          <w:noProof/>
        </w:rPr>
        <w:t>(b)</w:t>
      </w:r>
      <w:r w:rsidRPr="00425D1B">
        <w:rPr>
          <w:noProof/>
        </w:rPr>
        <w:tab/>
      </w:r>
      <w:r w:rsidR="00C46660" w:rsidRPr="009678BA">
        <w:rPr>
          <w:noProof/>
        </w:rPr>
        <w:t>dell</w:t>
      </w:r>
      <w:r w:rsidR="0000279B">
        <w:rPr>
          <w:noProof/>
        </w:rPr>
        <w:t>'</w:t>
      </w:r>
      <w:r w:rsidR="00C46660" w:rsidRPr="009678BA">
        <w:rPr>
          <w:noProof/>
        </w:rPr>
        <w:t>elenco dei soggiornanti fuoritermine generato automaticamente e delle sue conseguenze, in particolare quelle di cui all</w:t>
      </w:r>
      <w:r w:rsidR="0000279B">
        <w:rPr>
          <w:noProof/>
        </w:rPr>
        <w:t>'</w:t>
      </w:r>
      <w:r w:rsidR="00C46660" w:rsidRPr="009678BA">
        <w:rPr>
          <w:noProof/>
        </w:rPr>
        <w:t>articolo 6, paragrafo 1, lettere c) e h), all</w:t>
      </w:r>
      <w:r w:rsidR="0000279B">
        <w:rPr>
          <w:noProof/>
        </w:rPr>
        <w:t>'</w:t>
      </w:r>
      <w:r w:rsidR="00C46660" w:rsidRPr="009678BA">
        <w:rPr>
          <w:noProof/>
        </w:rPr>
        <w:t>articolo 12, paragrafo 3, all</w:t>
      </w:r>
      <w:r w:rsidR="0000279B">
        <w:rPr>
          <w:noProof/>
        </w:rPr>
        <w:t>'</w:t>
      </w:r>
      <w:r w:rsidR="00C46660" w:rsidRPr="009678BA">
        <w:rPr>
          <w:noProof/>
        </w:rPr>
        <w:t>articolo 16, paragrafo 4, all</w:t>
      </w:r>
      <w:r w:rsidR="0000279B">
        <w:rPr>
          <w:noProof/>
        </w:rPr>
        <w:t>'</w:t>
      </w:r>
      <w:r w:rsidR="00C46660" w:rsidRPr="009678BA">
        <w:rPr>
          <w:noProof/>
        </w:rPr>
        <w:t>articolo 34, paragrafo 3, all</w:t>
      </w:r>
      <w:r w:rsidR="0000279B">
        <w:rPr>
          <w:noProof/>
        </w:rPr>
        <w:t>'</w:t>
      </w:r>
      <w:r w:rsidR="00C46660" w:rsidRPr="009678BA">
        <w:rPr>
          <w:noProof/>
        </w:rPr>
        <w:t>articolo 50, paragrafo 1, lettere i) e k), e all</w:t>
      </w:r>
      <w:r w:rsidR="0000279B">
        <w:rPr>
          <w:noProof/>
        </w:rPr>
        <w:t>'</w:t>
      </w:r>
      <w:r w:rsidR="00C46660" w:rsidRPr="009678BA">
        <w:rPr>
          <w:noProof/>
        </w:rPr>
        <w:t>articolo 63, paragrafo 1, lettera e), di detto regolamento.</w:t>
      </w:r>
    </w:p>
    <w:p w:rsidR="00BE0D22" w:rsidRPr="009678BA" w:rsidRDefault="00425D1B" w:rsidP="00425D1B">
      <w:pPr>
        <w:pStyle w:val="ManualNumPar1"/>
        <w:rPr>
          <w:noProof/>
        </w:rPr>
      </w:pPr>
      <w:r w:rsidRPr="00425D1B">
        <w:rPr>
          <w:noProof/>
        </w:rPr>
        <w:t>7.</w:t>
      </w:r>
      <w:r w:rsidRPr="00425D1B">
        <w:rPr>
          <w:noProof/>
        </w:rPr>
        <w:tab/>
      </w:r>
      <w:r w:rsidR="00BE0D22" w:rsidRPr="009678BA">
        <w:rPr>
          <w:noProof/>
        </w:rPr>
        <w:t>I trattamenti effettuati dagli Stati membri conformemente al presente regolamento non sono considerati illeciti o non conformi al regolamento (UE) 2017/2226 ai fini degli articoli 45 e 48 del medesimo regolamento.</w:t>
      </w:r>
    </w:p>
    <w:p w:rsidR="00BE0D22" w:rsidRPr="009678BA" w:rsidRDefault="00425D1B" w:rsidP="00425D1B">
      <w:pPr>
        <w:pStyle w:val="ManualNumPar1"/>
        <w:rPr>
          <w:noProof/>
        </w:rPr>
      </w:pPr>
      <w:r w:rsidRPr="00425D1B">
        <w:rPr>
          <w:noProof/>
        </w:rPr>
        <w:t>8.</w:t>
      </w:r>
      <w:r w:rsidRPr="00425D1B">
        <w:rPr>
          <w:noProof/>
        </w:rPr>
        <w:tab/>
      </w:r>
      <w:r w:rsidR="00BE0D22" w:rsidRPr="009678BA">
        <w:rPr>
          <w:noProof/>
        </w:rPr>
        <w:t>La verifica dell</w:t>
      </w:r>
      <w:r w:rsidR="0000279B">
        <w:rPr>
          <w:noProof/>
        </w:rPr>
        <w:t>'</w:t>
      </w:r>
      <w:r w:rsidR="00BE0D22" w:rsidRPr="009678BA">
        <w:rPr>
          <w:noProof/>
        </w:rPr>
        <w:t>identità della precedente registrazione dei cittadini di paesi terzi a norma dell</w:t>
      </w:r>
      <w:r w:rsidR="0000279B">
        <w:rPr>
          <w:noProof/>
        </w:rPr>
        <w:t>'</w:t>
      </w:r>
      <w:r w:rsidR="00BE0D22" w:rsidRPr="009678BA">
        <w:rPr>
          <w:noProof/>
        </w:rPr>
        <w:t>articolo 23 del regolamento (UE) 2017/2226 è effettuata sui cittadini di paesi terzi di cui all</w:t>
      </w:r>
      <w:r w:rsidR="0000279B">
        <w:rPr>
          <w:noProof/>
        </w:rPr>
        <w:t>'</w:t>
      </w:r>
      <w:r w:rsidR="00BE0D22" w:rsidRPr="009678BA">
        <w:rPr>
          <w:noProof/>
        </w:rPr>
        <w:t>articolo 2, paragrafi 1 e 2, di tale regolamento ai valichi di frontiera presso i quali l</w:t>
      </w:r>
      <w:r w:rsidR="0000279B">
        <w:rPr>
          <w:noProof/>
        </w:rPr>
        <w:t>'</w:t>
      </w:r>
      <w:r w:rsidR="00BE0D22" w:rsidRPr="009678BA">
        <w:rPr>
          <w:noProof/>
        </w:rPr>
        <w:t xml:space="preserve">EES è operativo con funzionalità biometriche, anche attraverso sistemi self-service laddove disponibili. </w:t>
      </w:r>
    </w:p>
    <w:p w:rsidR="00BE0D22" w:rsidRPr="009678BA" w:rsidRDefault="00425D1B" w:rsidP="00425D1B">
      <w:pPr>
        <w:pStyle w:val="ManualNumPar1"/>
        <w:rPr>
          <w:noProof/>
        </w:rPr>
      </w:pPr>
      <w:r w:rsidRPr="00425D1B">
        <w:rPr>
          <w:noProof/>
        </w:rPr>
        <w:t>9.</w:t>
      </w:r>
      <w:r w:rsidRPr="00425D1B">
        <w:rPr>
          <w:noProof/>
        </w:rPr>
        <w:tab/>
      </w:r>
      <w:r w:rsidR="019CD2B2" w:rsidRPr="009678BA">
        <w:rPr>
          <w:noProof/>
        </w:rPr>
        <w:t>Oltre alle informazioni specifiche di cui all</w:t>
      </w:r>
      <w:r w:rsidR="0000279B">
        <w:rPr>
          <w:noProof/>
        </w:rPr>
        <w:t>'</w:t>
      </w:r>
      <w:r w:rsidR="019CD2B2" w:rsidRPr="009678BA">
        <w:rPr>
          <w:noProof/>
        </w:rPr>
        <w:t>articolo 50, paragrafo 5, del regolamento (UE) 2017/2226, che gli Stati membri devono aggiungere nel modello per informare i cittadini di paesi terzi in merito al trattamento dei loro dati personali nell</w:t>
      </w:r>
      <w:r w:rsidR="0000279B">
        <w:rPr>
          <w:noProof/>
        </w:rPr>
        <w:t>'</w:t>
      </w:r>
      <w:r w:rsidR="019CD2B2" w:rsidRPr="009678BA">
        <w:rPr>
          <w:noProof/>
        </w:rPr>
        <w:t xml:space="preserve">EES, gli Stati membri accompagnano il modello da consegnare ai cittadini di paesi terzi al momento della creazione del fascicolo individuale con le informazioni seguenti: </w:t>
      </w:r>
    </w:p>
    <w:p w:rsidR="00BE0D22" w:rsidRPr="009678BA" w:rsidRDefault="0000279B" w:rsidP="00F266A7">
      <w:pPr>
        <w:pStyle w:val="Text1"/>
        <w:rPr>
          <w:noProof/>
        </w:rPr>
      </w:pPr>
      <w:r>
        <w:rPr>
          <w:noProof/>
        </w:rPr>
        <w:t>"</w:t>
      </w:r>
      <w:r w:rsidR="1B52A176" w:rsidRPr="009678BA">
        <w:rPr>
          <w:noProof/>
        </w:rPr>
        <w:t>Il sistema di ingressi/uscite è in fase di introduzione graduale. Durante questo periodo di introduzione [dal...] è possibile che i Suoi dati personali, compresi i dati biometrici, non siano raccolti ai fini del sistema di ingressi/uscite alle frontiere esterne di tutti gli Stati membri. Se è necessario raccogliere obbligatoriamente queste informazioni e Lei sceglie di non fornirle, Le sarà rifiutato l</w:t>
      </w:r>
      <w:r>
        <w:rPr>
          <w:noProof/>
        </w:rPr>
        <w:t>'</w:t>
      </w:r>
      <w:r w:rsidR="1B52A176" w:rsidRPr="009678BA">
        <w:rPr>
          <w:noProof/>
        </w:rPr>
        <w:t>ingresso. Durante questo periodo di introduzione graduale i Suoi dati non saranno automaticamente aggiunti a un elenco di soggiornanti fuoritermine. Inoltre, Lei non potrà verificare per quanto tempo è ancora autorizzato a soggiornare utilizzando il sito web o le attrezzature disponibili ai valichi di frontiera.</w:t>
      </w:r>
    </w:p>
    <w:p w:rsidR="6D277EEE" w:rsidRPr="009678BA" w:rsidRDefault="6D277EEE" w:rsidP="00DB4531">
      <w:pPr>
        <w:pStyle w:val="Text1"/>
        <w:rPr>
          <w:noProof/>
        </w:rPr>
      </w:pPr>
      <w:r w:rsidRPr="009678BA">
        <w:rPr>
          <w:noProof/>
        </w:rPr>
        <w:t>Una volta completata l</w:t>
      </w:r>
      <w:r w:rsidR="0000279B">
        <w:rPr>
          <w:noProof/>
        </w:rPr>
        <w:t>'</w:t>
      </w:r>
      <w:r w:rsidRPr="009678BA">
        <w:rPr>
          <w:noProof/>
        </w:rPr>
        <w:t>introduzione graduale dell</w:t>
      </w:r>
      <w:r w:rsidR="0000279B">
        <w:rPr>
          <w:noProof/>
        </w:rPr>
        <w:t>'</w:t>
      </w:r>
      <w:r w:rsidRPr="009678BA">
        <w:rPr>
          <w:noProof/>
        </w:rPr>
        <w:t>EES, i Suoi dati personali saranno trattati in base alle informazioni fornite nel documento che accompagna il presente modulo.</w:t>
      </w:r>
      <w:r w:rsidR="0000279B">
        <w:rPr>
          <w:noProof/>
        </w:rPr>
        <w:t>"</w:t>
      </w:r>
    </w:p>
    <w:p w:rsidR="00BE0D22" w:rsidRPr="009678BA" w:rsidRDefault="00425D1B" w:rsidP="00425D1B">
      <w:pPr>
        <w:pStyle w:val="ManualNumPar1"/>
        <w:rPr>
          <w:noProof/>
        </w:rPr>
      </w:pPr>
      <w:r w:rsidRPr="00425D1B">
        <w:rPr>
          <w:noProof/>
        </w:rPr>
        <w:t>10.</w:t>
      </w:r>
      <w:r w:rsidRPr="00425D1B">
        <w:rPr>
          <w:noProof/>
        </w:rPr>
        <w:tab/>
      </w:r>
      <w:r w:rsidR="00BE0D22" w:rsidRPr="009678BA">
        <w:rPr>
          <w:noProof/>
        </w:rPr>
        <w:t>Le informazioni contenute sul sito web dell</w:t>
      </w:r>
      <w:r w:rsidR="0000279B">
        <w:rPr>
          <w:noProof/>
        </w:rPr>
        <w:t>'</w:t>
      </w:r>
      <w:r w:rsidR="00BE0D22" w:rsidRPr="009678BA">
        <w:rPr>
          <w:noProof/>
        </w:rPr>
        <w:t>EES di cui all</w:t>
      </w:r>
      <w:r w:rsidR="0000279B">
        <w:rPr>
          <w:noProof/>
        </w:rPr>
        <w:t>'</w:t>
      </w:r>
      <w:r w:rsidR="00BE0D22" w:rsidRPr="009678BA">
        <w:rPr>
          <w:noProof/>
        </w:rPr>
        <w:t>articolo 50, paragrafo 3, del regolamento (UE) 2017/2226 sono adattate dalla Commissione per tenere conto dell</w:t>
      </w:r>
      <w:r w:rsidR="0000279B">
        <w:rPr>
          <w:noProof/>
        </w:rPr>
        <w:t>'</w:t>
      </w:r>
      <w:r w:rsidR="00BE0D22" w:rsidRPr="009678BA">
        <w:rPr>
          <w:noProof/>
        </w:rPr>
        <w:t xml:space="preserve">entrata in funzione graduale. </w:t>
      </w:r>
    </w:p>
    <w:p w:rsidR="00BE0D22" w:rsidRPr="009678BA" w:rsidRDefault="00425D1B" w:rsidP="00425D1B">
      <w:pPr>
        <w:pStyle w:val="ManualNumPar1"/>
        <w:rPr>
          <w:noProof/>
        </w:rPr>
      </w:pPr>
      <w:r w:rsidRPr="00425D1B">
        <w:rPr>
          <w:noProof/>
        </w:rPr>
        <w:t>11.</w:t>
      </w:r>
      <w:r w:rsidRPr="00425D1B">
        <w:rPr>
          <w:noProof/>
        </w:rPr>
        <w:tab/>
      </w:r>
      <w:r w:rsidR="6C6202C6" w:rsidRPr="009678BA">
        <w:rPr>
          <w:noProof/>
        </w:rPr>
        <w:t>La campagna d</w:t>
      </w:r>
      <w:r w:rsidR="0000279B">
        <w:rPr>
          <w:noProof/>
        </w:rPr>
        <w:t>'</w:t>
      </w:r>
      <w:r w:rsidR="6C6202C6" w:rsidRPr="009678BA">
        <w:rPr>
          <w:noProof/>
        </w:rPr>
        <w:t>informazione di cui all</w:t>
      </w:r>
      <w:r w:rsidR="0000279B">
        <w:rPr>
          <w:noProof/>
        </w:rPr>
        <w:t>'</w:t>
      </w:r>
      <w:r w:rsidR="6C6202C6" w:rsidRPr="009678BA">
        <w:rPr>
          <w:noProof/>
        </w:rPr>
        <w:t>articolo 51 del regolamento (UE) 2017/2226 che accompagna l</w:t>
      </w:r>
      <w:r w:rsidR="0000279B">
        <w:rPr>
          <w:noProof/>
        </w:rPr>
        <w:t>'</w:t>
      </w:r>
      <w:r w:rsidR="6C6202C6" w:rsidRPr="009678BA">
        <w:rPr>
          <w:noProof/>
        </w:rPr>
        <w:t>entrata in funzione dell</w:t>
      </w:r>
      <w:r w:rsidR="0000279B">
        <w:rPr>
          <w:noProof/>
        </w:rPr>
        <w:t>'</w:t>
      </w:r>
      <w:r w:rsidR="6C6202C6" w:rsidRPr="009678BA">
        <w:rPr>
          <w:noProof/>
        </w:rPr>
        <w:t>EES rispecchia le condizioni specifiche vigenti ai valichi di frontiera, garantendo che le informazioni pertinenti siano comunicate alle persone interessate e tenendo conto delle fasi di cui all</w:t>
      </w:r>
      <w:r w:rsidR="0000279B">
        <w:rPr>
          <w:noProof/>
        </w:rPr>
        <w:t>'</w:t>
      </w:r>
      <w:r w:rsidR="6C6202C6" w:rsidRPr="009678BA">
        <w:rPr>
          <w:noProof/>
        </w:rPr>
        <w:t>articolo 4 del presente regolamento. La Commissione coadiuva gli Stati membri nella preparazione dei materiali adattati della campagna d</w:t>
      </w:r>
      <w:r w:rsidR="0000279B">
        <w:rPr>
          <w:noProof/>
        </w:rPr>
        <w:t>'</w:t>
      </w:r>
      <w:r w:rsidR="6C6202C6" w:rsidRPr="009678BA">
        <w:rPr>
          <w:noProof/>
        </w:rPr>
        <w:t>informazione.</w:t>
      </w:r>
    </w:p>
    <w:p w:rsidR="00BE0D22" w:rsidRPr="009678BA" w:rsidRDefault="00425D1B" w:rsidP="00425D1B">
      <w:pPr>
        <w:pStyle w:val="ManualNumPar1"/>
        <w:rPr>
          <w:noProof/>
        </w:rPr>
      </w:pPr>
      <w:r w:rsidRPr="00425D1B">
        <w:rPr>
          <w:noProof/>
        </w:rPr>
        <w:t>12.</w:t>
      </w:r>
      <w:r w:rsidRPr="00425D1B">
        <w:rPr>
          <w:noProof/>
        </w:rPr>
        <w:tab/>
      </w:r>
      <w:r w:rsidR="022A7C4C" w:rsidRPr="009678BA">
        <w:rPr>
          <w:noProof/>
        </w:rPr>
        <w:t>È sospesa l</w:t>
      </w:r>
      <w:r w:rsidR="0000279B">
        <w:rPr>
          <w:noProof/>
        </w:rPr>
        <w:t>'</w:t>
      </w:r>
      <w:r w:rsidR="022A7C4C" w:rsidRPr="009678BA">
        <w:rPr>
          <w:noProof/>
        </w:rPr>
        <w:t>applicazione dell</w:t>
      </w:r>
      <w:r w:rsidR="0000279B">
        <w:rPr>
          <w:noProof/>
        </w:rPr>
        <w:t>'</w:t>
      </w:r>
      <w:r w:rsidR="022A7C4C" w:rsidRPr="009678BA">
        <w:rPr>
          <w:noProof/>
        </w:rPr>
        <w:t>articolo 12, paragrafi 1 e 2, dell</w:t>
      </w:r>
      <w:r w:rsidR="0000279B">
        <w:rPr>
          <w:noProof/>
        </w:rPr>
        <w:t>'</w:t>
      </w:r>
      <w:r w:rsidR="022A7C4C" w:rsidRPr="009678BA">
        <w:rPr>
          <w:noProof/>
        </w:rPr>
        <w:t>articolo 13, paragrafi 1 e 2, dell</w:t>
      </w:r>
      <w:r w:rsidR="0000279B">
        <w:rPr>
          <w:noProof/>
        </w:rPr>
        <w:t>'</w:t>
      </w:r>
      <w:r w:rsidR="022A7C4C" w:rsidRPr="009678BA">
        <w:rPr>
          <w:noProof/>
        </w:rPr>
        <w:t>articolo 20 e dell</w:t>
      </w:r>
      <w:r w:rsidR="0000279B">
        <w:rPr>
          <w:noProof/>
        </w:rPr>
        <w:t>'</w:t>
      </w:r>
      <w:r w:rsidR="022A7C4C" w:rsidRPr="009678BA">
        <w:rPr>
          <w:noProof/>
        </w:rPr>
        <w:t>articolo 21 del regolamento (UE) 2017/2226.</w:t>
      </w:r>
    </w:p>
    <w:p w:rsidR="007503B5" w:rsidRPr="009678BA" w:rsidRDefault="00425D1B" w:rsidP="00425D1B">
      <w:pPr>
        <w:pStyle w:val="ManualNumPar1"/>
        <w:rPr>
          <w:noProof/>
        </w:rPr>
      </w:pPr>
      <w:r w:rsidRPr="00425D1B">
        <w:rPr>
          <w:noProof/>
        </w:rPr>
        <w:t>13.</w:t>
      </w:r>
      <w:r w:rsidRPr="00425D1B">
        <w:rPr>
          <w:noProof/>
        </w:rPr>
        <w:tab/>
      </w:r>
      <w:r w:rsidR="4AA26075" w:rsidRPr="009678BA">
        <w:rPr>
          <w:noProof/>
        </w:rPr>
        <w:t>In deroga all</w:t>
      </w:r>
      <w:r w:rsidR="0000279B">
        <w:rPr>
          <w:noProof/>
        </w:rPr>
        <w:t>'</w:t>
      </w:r>
      <w:r w:rsidR="4AA26075" w:rsidRPr="009678BA">
        <w:rPr>
          <w:noProof/>
        </w:rPr>
        <w:t>articolo 22 del regolamento (UE) 2017/2226 e all</w:t>
      </w:r>
      <w:r w:rsidR="0000279B">
        <w:rPr>
          <w:noProof/>
        </w:rPr>
        <w:t>'</w:t>
      </w:r>
      <w:r w:rsidR="4AA26075" w:rsidRPr="009678BA">
        <w:rPr>
          <w:noProof/>
        </w:rPr>
        <w:t>articolo 12 bis del regolamento (UE) 2016/399, il periodo transitorio e le misure transitorie di cui a tali articoli si applicano a decorrere dal primo giorno successivo al completamento dell</w:t>
      </w:r>
      <w:r w:rsidR="0000279B">
        <w:rPr>
          <w:noProof/>
        </w:rPr>
        <w:t>'</w:t>
      </w:r>
      <w:r w:rsidR="4AA26075" w:rsidRPr="009678BA">
        <w:rPr>
          <w:noProof/>
        </w:rPr>
        <w:t>entrata in funzione graduale dell</w:t>
      </w:r>
      <w:r w:rsidR="0000279B">
        <w:rPr>
          <w:noProof/>
        </w:rPr>
        <w:t>'</w:t>
      </w:r>
      <w:r w:rsidR="4AA26075" w:rsidRPr="009678BA">
        <w:rPr>
          <w:noProof/>
        </w:rPr>
        <w:t>EES.</w:t>
      </w:r>
    </w:p>
    <w:p w:rsidR="0091066A" w:rsidRPr="009678BA" w:rsidRDefault="00425D1B" w:rsidP="00425D1B">
      <w:pPr>
        <w:pStyle w:val="ManualNumPar1"/>
        <w:rPr>
          <w:noProof/>
        </w:rPr>
      </w:pPr>
      <w:r w:rsidRPr="00425D1B">
        <w:rPr>
          <w:noProof/>
        </w:rPr>
        <w:t>14.</w:t>
      </w:r>
      <w:r w:rsidRPr="00425D1B">
        <w:rPr>
          <w:noProof/>
        </w:rPr>
        <w:tab/>
      </w:r>
      <w:r w:rsidR="00E5759D" w:rsidRPr="009678BA">
        <w:rPr>
          <w:noProof/>
        </w:rPr>
        <w:t>Ai valichi di frontiera presso i quali l</w:t>
      </w:r>
      <w:r w:rsidR="0000279B">
        <w:rPr>
          <w:noProof/>
        </w:rPr>
        <w:t>'</w:t>
      </w:r>
      <w:r w:rsidR="00E5759D" w:rsidRPr="009678BA">
        <w:rPr>
          <w:noProof/>
        </w:rPr>
        <w:t>EES non è operativo, le verifiche di frontiera sono effettuate a norma del regolamento (UE) 2016/399 quale applicabile il giorno precedente la data di entrata in funzione dell</w:t>
      </w:r>
      <w:r w:rsidR="0000279B">
        <w:rPr>
          <w:noProof/>
        </w:rPr>
        <w:t>'</w:t>
      </w:r>
      <w:r w:rsidR="00E5759D" w:rsidRPr="009678BA">
        <w:rPr>
          <w:noProof/>
        </w:rPr>
        <w:t>EES decisa dalla Commissione conformemente all</w:t>
      </w:r>
      <w:r w:rsidR="0000279B">
        <w:rPr>
          <w:noProof/>
        </w:rPr>
        <w:t>'</w:t>
      </w:r>
      <w:r w:rsidR="00E5759D" w:rsidRPr="009678BA">
        <w:rPr>
          <w:noProof/>
        </w:rPr>
        <w:t xml:space="preserve">articolo 66, paragrafo 1, del regolamento (UE) 2017/2226. </w:t>
      </w:r>
    </w:p>
    <w:p w:rsidR="0091066A" w:rsidRPr="009678BA" w:rsidRDefault="00E5759D" w:rsidP="009A066B">
      <w:pPr>
        <w:pStyle w:val="Text1"/>
        <w:rPr>
          <w:noProof/>
        </w:rPr>
      </w:pPr>
      <w:r w:rsidRPr="009678BA">
        <w:rPr>
          <w:noProof/>
        </w:rPr>
        <w:t>Ai valichi di frontiera presso i quali l</w:t>
      </w:r>
      <w:r w:rsidR="0000279B">
        <w:rPr>
          <w:noProof/>
        </w:rPr>
        <w:t>'</w:t>
      </w:r>
      <w:r w:rsidRPr="009678BA">
        <w:rPr>
          <w:noProof/>
        </w:rPr>
        <w:t xml:space="preserve">EES è operativo, le verifiche di frontiera sono effettuate a norma del regolamento (UE) 2017/2226 e del regolamento (UE) 2016/399. </w:t>
      </w:r>
    </w:p>
    <w:p w:rsidR="0091066A" w:rsidRPr="009678BA" w:rsidRDefault="6275260B" w:rsidP="009A066B">
      <w:pPr>
        <w:pStyle w:val="Text1"/>
        <w:rPr>
          <w:noProof/>
        </w:rPr>
      </w:pPr>
      <w:r w:rsidRPr="009678BA">
        <w:rPr>
          <w:noProof/>
        </w:rPr>
        <w:t>In deroga al secondo comma, ai valichi di frontiera in cui l</w:t>
      </w:r>
      <w:r w:rsidR="0000279B">
        <w:rPr>
          <w:noProof/>
        </w:rPr>
        <w:t>'</w:t>
      </w:r>
      <w:r w:rsidRPr="009678BA">
        <w:rPr>
          <w:noProof/>
        </w:rPr>
        <w:t>EES è operativo senza funzionalità biometriche non si applicano l</w:t>
      </w:r>
      <w:r w:rsidR="0000279B">
        <w:rPr>
          <w:noProof/>
        </w:rPr>
        <w:t>'</w:t>
      </w:r>
      <w:r w:rsidRPr="009678BA">
        <w:rPr>
          <w:noProof/>
        </w:rPr>
        <w:t>articolo 6, paragrafo 1, lettera f), punto i), né le disposizioni sulla verifica dei cittadini di paesi terzi sulla base di dati biometrici, unicamente ai fini dell</w:t>
      </w:r>
      <w:r w:rsidR="0000279B">
        <w:rPr>
          <w:noProof/>
        </w:rPr>
        <w:t>'</w:t>
      </w:r>
      <w:r w:rsidRPr="009678BA">
        <w:rPr>
          <w:noProof/>
        </w:rPr>
        <w:t>EES, di cui all</w:t>
      </w:r>
      <w:r w:rsidR="0000279B">
        <w:rPr>
          <w:noProof/>
        </w:rPr>
        <w:t>'</w:t>
      </w:r>
      <w:r w:rsidRPr="009678BA">
        <w:rPr>
          <w:noProof/>
        </w:rPr>
        <w:t>articolo 6, lettera f), punto ii), e all</w:t>
      </w:r>
      <w:r w:rsidR="0000279B">
        <w:rPr>
          <w:noProof/>
        </w:rPr>
        <w:t>'</w:t>
      </w:r>
      <w:r w:rsidRPr="009678BA">
        <w:rPr>
          <w:noProof/>
        </w:rPr>
        <w:t xml:space="preserve">articolo 8, paragrafo 3, lettere a) e g), del regolamento (UE) 2016/399. </w:t>
      </w:r>
    </w:p>
    <w:p w:rsidR="473D8DF6" w:rsidRPr="009678BA" w:rsidRDefault="18B0EBB5" w:rsidP="009A066B">
      <w:pPr>
        <w:pStyle w:val="Text1"/>
        <w:rPr>
          <w:noProof/>
        </w:rPr>
      </w:pPr>
      <w:r w:rsidRPr="009678BA">
        <w:rPr>
          <w:noProof/>
        </w:rPr>
        <w:t>Ai fini del presente regolamento sono sospesi l</w:t>
      </w:r>
      <w:r w:rsidR="0000279B">
        <w:rPr>
          <w:noProof/>
        </w:rPr>
        <w:t>'</w:t>
      </w:r>
      <w:r w:rsidRPr="009678BA">
        <w:rPr>
          <w:noProof/>
        </w:rPr>
        <w:t>articolo 9, paragrafo 3, e l</w:t>
      </w:r>
      <w:r w:rsidR="0000279B">
        <w:rPr>
          <w:noProof/>
        </w:rPr>
        <w:t>'</w:t>
      </w:r>
      <w:r w:rsidRPr="009678BA">
        <w:rPr>
          <w:noProof/>
        </w:rPr>
        <w:t>articolo 12 del regolamento (UE) 2016/399.</w:t>
      </w:r>
    </w:p>
    <w:p w:rsidR="00BE0D22" w:rsidRPr="009678BA" w:rsidRDefault="00BE0D22" w:rsidP="00F266A7">
      <w:pPr>
        <w:pStyle w:val="Titrearticle"/>
        <w:rPr>
          <w:noProof/>
        </w:rPr>
      </w:pPr>
      <w:r w:rsidRPr="009678BA">
        <w:rPr>
          <w:noProof/>
        </w:rPr>
        <w:t xml:space="preserve">Articolo 6 </w:t>
      </w:r>
      <w:r w:rsidRPr="009678BA">
        <w:rPr>
          <w:noProof/>
        </w:rPr>
        <w:br/>
        <w:t>Accesso ai dati dell</w:t>
      </w:r>
      <w:r w:rsidR="0000279B">
        <w:rPr>
          <w:noProof/>
        </w:rPr>
        <w:t>'</w:t>
      </w:r>
      <w:r w:rsidRPr="009678BA">
        <w:rPr>
          <w:noProof/>
        </w:rPr>
        <w:t>EES</w:t>
      </w:r>
    </w:p>
    <w:p w:rsidR="00BE0D22" w:rsidRPr="009678BA" w:rsidRDefault="00425D1B" w:rsidP="00425D1B">
      <w:pPr>
        <w:pStyle w:val="ManualNumPar1"/>
        <w:rPr>
          <w:noProof/>
        </w:rPr>
      </w:pPr>
      <w:r w:rsidRPr="00425D1B">
        <w:rPr>
          <w:noProof/>
        </w:rPr>
        <w:t>1.</w:t>
      </w:r>
      <w:r w:rsidRPr="00425D1B">
        <w:rPr>
          <w:noProof/>
        </w:rPr>
        <w:tab/>
      </w:r>
      <w:r w:rsidR="00BE0D22" w:rsidRPr="009678BA">
        <w:rPr>
          <w:noProof/>
        </w:rPr>
        <w:t>Quando accedono alle cartelle di ingresso/uscita registrate nell</w:t>
      </w:r>
      <w:r w:rsidR="0000279B">
        <w:rPr>
          <w:noProof/>
        </w:rPr>
        <w:t>'</w:t>
      </w:r>
      <w:r w:rsidR="00BE0D22" w:rsidRPr="009678BA">
        <w:rPr>
          <w:noProof/>
        </w:rPr>
        <w:t>EES durante l</w:t>
      </w:r>
      <w:r w:rsidR="0000279B">
        <w:rPr>
          <w:noProof/>
        </w:rPr>
        <w:t>'</w:t>
      </w:r>
      <w:r w:rsidR="00BE0D22" w:rsidRPr="009678BA">
        <w:rPr>
          <w:noProof/>
        </w:rPr>
        <w:t>entrata in funzione graduale del sistema nello svolgimento dei loro compiti:</w:t>
      </w:r>
    </w:p>
    <w:p w:rsidR="00BE0D22" w:rsidRPr="009678BA" w:rsidRDefault="00425D1B" w:rsidP="00425D1B">
      <w:pPr>
        <w:pStyle w:val="Point1"/>
        <w:rPr>
          <w:noProof/>
        </w:rPr>
      </w:pPr>
      <w:r w:rsidRPr="00425D1B">
        <w:rPr>
          <w:noProof/>
        </w:rPr>
        <w:t>(a)</w:t>
      </w:r>
      <w:r w:rsidRPr="00425D1B">
        <w:rPr>
          <w:noProof/>
        </w:rPr>
        <w:tab/>
      </w:r>
      <w:r w:rsidR="00BE0D22" w:rsidRPr="009678BA">
        <w:rPr>
          <w:noProof/>
        </w:rPr>
        <w:t>le autorità nazionali ed Europol tengono conto del fatto che, a causa del funzionamento variabile dell</w:t>
      </w:r>
      <w:r w:rsidR="0000279B">
        <w:rPr>
          <w:noProof/>
        </w:rPr>
        <w:t>'</w:t>
      </w:r>
      <w:r w:rsidR="00BE0D22" w:rsidRPr="009678BA">
        <w:rPr>
          <w:noProof/>
        </w:rPr>
        <w:t>EES nei singoli Stati membri durante l</w:t>
      </w:r>
      <w:r w:rsidR="0000279B">
        <w:rPr>
          <w:noProof/>
        </w:rPr>
        <w:t>'</w:t>
      </w:r>
      <w:r w:rsidR="00BE0D22" w:rsidRPr="009678BA">
        <w:rPr>
          <w:noProof/>
        </w:rPr>
        <w:t xml:space="preserve">entrata in funzione graduale del sistema, i dati potrebbero essere incompleti; </w:t>
      </w:r>
    </w:p>
    <w:p w:rsidR="00BE0D22" w:rsidRPr="009678BA" w:rsidRDefault="00425D1B" w:rsidP="00425D1B">
      <w:pPr>
        <w:pStyle w:val="Point1"/>
        <w:rPr>
          <w:noProof/>
        </w:rPr>
      </w:pPr>
      <w:r w:rsidRPr="00425D1B">
        <w:rPr>
          <w:noProof/>
        </w:rPr>
        <w:t>(b)</w:t>
      </w:r>
      <w:r w:rsidRPr="00425D1B">
        <w:rPr>
          <w:noProof/>
        </w:rPr>
        <w:tab/>
      </w:r>
      <w:r w:rsidR="00875CB5" w:rsidRPr="009678BA">
        <w:rPr>
          <w:noProof/>
        </w:rPr>
        <w:t xml:space="preserve">le autorità nazionali, nel comunicare i dati conformemente agli articoli 41 e 42 del regolamento (UE) 2017/2226, tengono conto del fatto che potrebbero essere incompleti; </w:t>
      </w:r>
    </w:p>
    <w:p w:rsidR="00BE0D22" w:rsidRPr="009678BA" w:rsidRDefault="00425D1B" w:rsidP="00425D1B">
      <w:pPr>
        <w:pStyle w:val="Point1"/>
        <w:rPr>
          <w:rStyle w:val="eop"/>
          <w:noProof/>
        </w:rPr>
      </w:pPr>
      <w:r w:rsidRPr="00425D1B">
        <w:rPr>
          <w:rStyle w:val="eop"/>
          <w:noProof/>
        </w:rPr>
        <w:t>(c)</w:t>
      </w:r>
      <w:r w:rsidRPr="00425D1B">
        <w:rPr>
          <w:rStyle w:val="eop"/>
          <w:noProof/>
        </w:rPr>
        <w:tab/>
      </w:r>
      <w:r w:rsidR="00BC4B55" w:rsidRPr="009678BA">
        <w:rPr>
          <w:rStyle w:val="normaltextrun"/>
          <w:noProof/>
        </w:rPr>
        <w:t>l</w:t>
      </w:r>
      <w:r w:rsidR="0000279B">
        <w:rPr>
          <w:rStyle w:val="normaltextrun"/>
          <w:noProof/>
        </w:rPr>
        <w:t>'</w:t>
      </w:r>
      <w:r w:rsidR="00BC4B55" w:rsidRPr="009678BA">
        <w:rPr>
          <w:rStyle w:val="normaltextrun"/>
          <w:noProof/>
        </w:rPr>
        <w:t>unità centrale ETIAS tiene conto del fatto che le cartelle di ingresso/uscita registrate nell</w:t>
      </w:r>
      <w:r w:rsidR="0000279B">
        <w:rPr>
          <w:rStyle w:val="normaltextrun"/>
          <w:noProof/>
        </w:rPr>
        <w:t>'</w:t>
      </w:r>
      <w:r w:rsidR="00BC4B55" w:rsidRPr="009678BA">
        <w:rPr>
          <w:rStyle w:val="normaltextrun"/>
          <w:noProof/>
        </w:rPr>
        <w:t>EES durante l</w:t>
      </w:r>
      <w:r w:rsidR="0000279B">
        <w:rPr>
          <w:rStyle w:val="normaltextrun"/>
          <w:noProof/>
        </w:rPr>
        <w:t>'</w:t>
      </w:r>
      <w:r w:rsidR="00BC4B55" w:rsidRPr="009678BA">
        <w:rPr>
          <w:rStyle w:val="normaltextrun"/>
          <w:noProof/>
        </w:rPr>
        <w:t>entrata in funzione graduale del sistema potrebbero includere serie incomplete di dati ai fini della verifica di cui all</w:t>
      </w:r>
      <w:r w:rsidR="0000279B">
        <w:rPr>
          <w:rStyle w:val="normaltextrun"/>
          <w:noProof/>
        </w:rPr>
        <w:t>'</w:t>
      </w:r>
      <w:r w:rsidR="00BC4B55" w:rsidRPr="009678BA">
        <w:rPr>
          <w:rStyle w:val="normaltextrun"/>
          <w:noProof/>
        </w:rPr>
        <w:t>articolo 25 bis, paragrafo 2, del regolamento (UE) 2017/2226.</w:t>
      </w:r>
      <w:r w:rsidR="00BC4B55" w:rsidRPr="009678BA">
        <w:rPr>
          <w:rStyle w:val="eop"/>
          <w:noProof/>
        </w:rPr>
        <w:t xml:space="preserve"> </w:t>
      </w:r>
    </w:p>
    <w:p w:rsidR="00BE0D22" w:rsidRPr="009678BA" w:rsidRDefault="00425D1B" w:rsidP="00425D1B">
      <w:pPr>
        <w:pStyle w:val="ManualNumPar1"/>
        <w:rPr>
          <w:noProof/>
        </w:rPr>
      </w:pPr>
      <w:r w:rsidRPr="00425D1B">
        <w:rPr>
          <w:noProof/>
        </w:rPr>
        <w:t>2.</w:t>
      </w:r>
      <w:r w:rsidRPr="00425D1B">
        <w:rPr>
          <w:noProof/>
        </w:rPr>
        <w:tab/>
      </w:r>
      <w:r w:rsidR="00BE0D22" w:rsidRPr="009678BA">
        <w:rPr>
          <w:noProof/>
        </w:rPr>
        <w:t>Quando accedono ai dati per elaborare relazioni e statistiche conformemente all</w:t>
      </w:r>
      <w:r w:rsidR="0000279B">
        <w:rPr>
          <w:noProof/>
        </w:rPr>
        <w:t>'</w:t>
      </w:r>
      <w:r w:rsidR="00BE0D22" w:rsidRPr="009678BA">
        <w:rPr>
          <w:noProof/>
        </w:rPr>
        <w:t>articolo 63 del regolamento (UE) 2017/2226, le autorità competenti, la</w:t>
      </w:r>
      <w:r w:rsidR="0000279B">
        <w:rPr>
          <w:noProof/>
        </w:rPr>
        <w:t> </w:t>
      </w:r>
      <w:r w:rsidR="00BE0D22" w:rsidRPr="009678BA">
        <w:rPr>
          <w:noProof/>
        </w:rPr>
        <w:t>Commissione e le pertinenti agenzie dell</w:t>
      </w:r>
      <w:r w:rsidR="0000279B">
        <w:rPr>
          <w:noProof/>
        </w:rPr>
        <w:t>'</w:t>
      </w:r>
      <w:r w:rsidR="00BE0D22" w:rsidRPr="009678BA">
        <w:rPr>
          <w:noProof/>
        </w:rPr>
        <w:t>Unione tengono conto del fatto che i dati registrati nell</w:t>
      </w:r>
      <w:r w:rsidR="0000279B">
        <w:rPr>
          <w:noProof/>
        </w:rPr>
        <w:t>'</w:t>
      </w:r>
      <w:r w:rsidR="00BE0D22" w:rsidRPr="009678BA">
        <w:rPr>
          <w:noProof/>
        </w:rPr>
        <w:t>EES durante l</w:t>
      </w:r>
      <w:r w:rsidR="0000279B">
        <w:rPr>
          <w:noProof/>
        </w:rPr>
        <w:t>'</w:t>
      </w:r>
      <w:r w:rsidR="00BE0D22" w:rsidRPr="009678BA">
        <w:rPr>
          <w:noProof/>
        </w:rPr>
        <w:t xml:space="preserve">entrata in funzione graduale del sistema possono essere incompleti. </w:t>
      </w:r>
    </w:p>
    <w:p w:rsidR="00BE0D22" w:rsidRPr="009678BA" w:rsidRDefault="00425D1B" w:rsidP="00425D1B">
      <w:pPr>
        <w:pStyle w:val="ManualNumPar1"/>
        <w:rPr>
          <w:noProof/>
        </w:rPr>
      </w:pPr>
      <w:r w:rsidRPr="00425D1B">
        <w:rPr>
          <w:noProof/>
        </w:rPr>
        <w:t>3.</w:t>
      </w:r>
      <w:r w:rsidRPr="00425D1B">
        <w:rPr>
          <w:noProof/>
        </w:rPr>
        <w:tab/>
      </w:r>
      <w:r w:rsidR="7CB9552E" w:rsidRPr="009678BA">
        <w:rPr>
          <w:noProof/>
        </w:rPr>
        <w:t>In deroga all</w:t>
      </w:r>
      <w:r w:rsidR="0000279B">
        <w:rPr>
          <w:noProof/>
        </w:rPr>
        <w:t>'</w:t>
      </w:r>
      <w:r w:rsidR="7CB9552E" w:rsidRPr="009678BA">
        <w:rPr>
          <w:noProof/>
        </w:rPr>
        <w:t>articolo 13, paragrafo 3, del regolamento (UE) 2017/2226, i vettori possono iniziare a utilizzare il servizio web di cui a tale articolo a decorrere dal 90°</w:t>
      </w:r>
      <w:r w:rsidR="0000279B">
        <w:rPr>
          <w:noProof/>
        </w:rPr>
        <w:t> </w:t>
      </w:r>
      <w:r w:rsidR="7CB9552E" w:rsidRPr="009678BA">
        <w:rPr>
          <w:noProof/>
        </w:rPr>
        <w:t>giorno di calendario dall</w:t>
      </w:r>
      <w:r w:rsidR="0000279B">
        <w:rPr>
          <w:noProof/>
        </w:rPr>
        <w:t>'</w:t>
      </w:r>
      <w:r w:rsidR="7CB9552E" w:rsidRPr="009678BA">
        <w:rPr>
          <w:noProof/>
        </w:rPr>
        <w:t>entrata in funzione graduale dell</w:t>
      </w:r>
      <w:r w:rsidR="0000279B">
        <w:rPr>
          <w:noProof/>
        </w:rPr>
        <w:t>'</w:t>
      </w:r>
      <w:r w:rsidR="7CB9552E" w:rsidRPr="009678BA">
        <w:rPr>
          <w:noProof/>
        </w:rPr>
        <w:t>EES. Durante l</w:t>
      </w:r>
      <w:r w:rsidR="0000279B">
        <w:rPr>
          <w:noProof/>
        </w:rPr>
        <w:t>'</w:t>
      </w:r>
      <w:r w:rsidR="7CB9552E" w:rsidRPr="009678BA">
        <w:rPr>
          <w:noProof/>
        </w:rPr>
        <w:t>entrata in funzione graduale dell</w:t>
      </w:r>
      <w:r w:rsidR="0000279B">
        <w:rPr>
          <w:noProof/>
        </w:rPr>
        <w:t>'</w:t>
      </w:r>
      <w:r w:rsidR="7CB9552E" w:rsidRPr="009678BA">
        <w:rPr>
          <w:noProof/>
        </w:rPr>
        <w:t>EES, i vettori verificano i timbri apposti sui documenti di viaggio al fine di adempiere agli obblighi di cui all</w:t>
      </w:r>
      <w:r w:rsidR="0000279B">
        <w:rPr>
          <w:noProof/>
        </w:rPr>
        <w:t>'</w:t>
      </w:r>
      <w:r w:rsidR="7CB9552E" w:rsidRPr="009678BA">
        <w:rPr>
          <w:noProof/>
        </w:rPr>
        <w:t>articolo 26, paragrafo 1, della Convenzione di applicazione dell</w:t>
      </w:r>
      <w:r w:rsidR="0000279B">
        <w:rPr>
          <w:noProof/>
        </w:rPr>
        <w:t>'</w:t>
      </w:r>
      <w:r w:rsidR="7CB9552E" w:rsidRPr="009678BA">
        <w:rPr>
          <w:noProof/>
        </w:rPr>
        <w:t>Accordo di Schengen e alla direttiva 2001/51/CE del Consiglio.</w:t>
      </w:r>
    </w:p>
    <w:p w:rsidR="00BE0D22" w:rsidRPr="009678BA" w:rsidRDefault="00BE0D22" w:rsidP="00E23FCB">
      <w:pPr>
        <w:pStyle w:val="Text1"/>
        <w:rPr>
          <w:noProof/>
        </w:rPr>
      </w:pPr>
      <w:r w:rsidRPr="009678BA">
        <w:rPr>
          <w:noProof/>
        </w:rPr>
        <w:t>Per un periodo di 180 giorni di calendario dopo il completamento dell</w:t>
      </w:r>
      <w:r w:rsidR="0000279B">
        <w:rPr>
          <w:noProof/>
        </w:rPr>
        <w:t>'</w:t>
      </w:r>
      <w:r w:rsidRPr="009678BA">
        <w:rPr>
          <w:noProof/>
        </w:rPr>
        <w:t>entrata in funzione graduale dell</w:t>
      </w:r>
      <w:r w:rsidR="0000279B">
        <w:rPr>
          <w:noProof/>
        </w:rPr>
        <w:t>'</w:t>
      </w:r>
      <w:r w:rsidRPr="009678BA">
        <w:rPr>
          <w:noProof/>
        </w:rPr>
        <w:t>EES, i vettori, oltre a utilizzare il servizio web di cui all</w:t>
      </w:r>
      <w:r w:rsidR="0000279B">
        <w:rPr>
          <w:noProof/>
        </w:rPr>
        <w:t>'</w:t>
      </w:r>
      <w:r w:rsidRPr="009678BA">
        <w:rPr>
          <w:noProof/>
        </w:rPr>
        <w:t>articolo 13, paragrafo 3, del regolamento (UE) 2017/2226, continuano a verificare i timbri apposti sui documenti di viaggio al fine di adempiere agli obblighi di cui all</w:t>
      </w:r>
      <w:r w:rsidR="0000279B">
        <w:rPr>
          <w:noProof/>
        </w:rPr>
        <w:t>'</w:t>
      </w:r>
      <w:r w:rsidRPr="009678BA">
        <w:rPr>
          <w:noProof/>
        </w:rPr>
        <w:t>articolo 26, paragrafo 1, della Convenzione di applicazione dell</w:t>
      </w:r>
      <w:r w:rsidR="0000279B">
        <w:rPr>
          <w:noProof/>
        </w:rPr>
        <w:t>'</w:t>
      </w:r>
      <w:r w:rsidRPr="009678BA">
        <w:rPr>
          <w:noProof/>
        </w:rPr>
        <w:t>Accordo di Schengen e alla direttiva 2001/51/CE del Consiglio.</w:t>
      </w:r>
    </w:p>
    <w:p w:rsidR="00BE0D22" w:rsidRPr="009678BA" w:rsidRDefault="00425D1B" w:rsidP="00425D1B">
      <w:pPr>
        <w:pStyle w:val="ManualNumPar1"/>
        <w:rPr>
          <w:noProof/>
        </w:rPr>
      </w:pPr>
      <w:r w:rsidRPr="00425D1B">
        <w:rPr>
          <w:noProof/>
        </w:rPr>
        <w:t>4.</w:t>
      </w:r>
      <w:r w:rsidRPr="00425D1B">
        <w:rPr>
          <w:noProof/>
        </w:rPr>
        <w:tab/>
      </w:r>
      <w:r w:rsidR="00BE0D22" w:rsidRPr="009678BA">
        <w:rPr>
          <w:noProof/>
        </w:rPr>
        <w:t>Nell</w:t>
      </w:r>
      <w:r w:rsidR="0000279B">
        <w:rPr>
          <w:noProof/>
        </w:rPr>
        <w:t>'</w:t>
      </w:r>
      <w:r w:rsidR="00BE0D22" w:rsidRPr="009678BA">
        <w:rPr>
          <w:noProof/>
        </w:rPr>
        <w:t>adempimento degli obblighi di cui agli articoli 35 e 52 del regolamento (UE) 2017/2226 in relazione all</w:t>
      </w:r>
      <w:r w:rsidR="0000279B">
        <w:rPr>
          <w:noProof/>
        </w:rPr>
        <w:t>'</w:t>
      </w:r>
      <w:r w:rsidR="00BE0D22" w:rsidRPr="009678BA">
        <w:rPr>
          <w:noProof/>
        </w:rPr>
        <w:t>integrazione dei dati personali registrati nell</w:t>
      </w:r>
      <w:r w:rsidR="0000279B">
        <w:rPr>
          <w:noProof/>
        </w:rPr>
        <w:t>'</w:t>
      </w:r>
      <w:r w:rsidR="00BE0D22" w:rsidRPr="009678BA">
        <w:rPr>
          <w:noProof/>
        </w:rPr>
        <w:t>EES, gli Stati membri integrano i dati pertinenti solo nella misura del possibile, tenendo conto della limitata disponibilità delle serie di dati raccolti durante l</w:t>
      </w:r>
      <w:r w:rsidR="0000279B">
        <w:rPr>
          <w:noProof/>
        </w:rPr>
        <w:t>'</w:t>
      </w:r>
      <w:r w:rsidR="00BE0D22" w:rsidRPr="009678BA">
        <w:rPr>
          <w:noProof/>
        </w:rPr>
        <w:t>entrata in funzione graduale dell</w:t>
      </w:r>
      <w:r w:rsidR="0000279B">
        <w:rPr>
          <w:noProof/>
        </w:rPr>
        <w:t>'</w:t>
      </w:r>
      <w:r w:rsidR="00BE0D22" w:rsidRPr="009678BA">
        <w:rPr>
          <w:noProof/>
        </w:rPr>
        <w:t>EES. Se del caso, la decisione amministrativa di cui all</w:t>
      </w:r>
      <w:r w:rsidR="0000279B">
        <w:rPr>
          <w:noProof/>
        </w:rPr>
        <w:t>'</w:t>
      </w:r>
      <w:r w:rsidR="00BE0D22" w:rsidRPr="009678BA">
        <w:rPr>
          <w:noProof/>
        </w:rPr>
        <w:t>articolo 52, paragrafo 4, del regolamento (UE) 2017/2226 fa riferimento alle condizioni di cui all</w:t>
      </w:r>
      <w:r w:rsidR="0000279B">
        <w:rPr>
          <w:noProof/>
        </w:rPr>
        <w:t>'</w:t>
      </w:r>
      <w:r w:rsidR="00BE0D22" w:rsidRPr="009678BA">
        <w:rPr>
          <w:noProof/>
        </w:rPr>
        <w:t>articolo 4 del presente regolamento che consentono la registrazione di fascicoli incompleti.</w:t>
      </w:r>
    </w:p>
    <w:p w:rsidR="00BE0D22" w:rsidRPr="009678BA" w:rsidRDefault="00425D1B" w:rsidP="00425D1B">
      <w:pPr>
        <w:pStyle w:val="ManualNumPar1"/>
        <w:rPr>
          <w:noProof/>
        </w:rPr>
      </w:pPr>
      <w:r w:rsidRPr="00425D1B">
        <w:rPr>
          <w:noProof/>
        </w:rPr>
        <w:t>5.</w:t>
      </w:r>
      <w:r w:rsidRPr="00425D1B">
        <w:rPr>
          <w:noProof/>
        </w:rPr>
        <w:tab/>
      </w:r>
      <w:r w:rsidR="00BE0D22" w:rsidRPr="009678BA">
        <w:rPr>
          <w:noProof/>
        </w:rPr>
        <w:t>In deroga all</w:t>
      </w:r>
      <w:r w:rsidR="0000279B">
        <w:rPr>
          <w:noProof/>
        </w:rPr>
        <w:t>'</w:t>
      </w:r>
      <w:r w:rsidR="00BE0D22" w:rsidRPr="009678BA">
        <w:rPr>
          <w:noProof/>
        </w:rPr>
        <w:t>articolo 63, paragrafo 1, secondo comma, del regolamento (UE) 2017/2226, durante l</w:t>
      </w:r>
      <w:r w:rsidR="0000279B">
        <w:rPr>
          <w:noProof/>
        </w:rPr>
        <w:t>'</w:t>
      </w:r>
      <w:r w:rsidR="00BE0D22" w:rsidRPr="009678BA">
        <w:rPr>
          <w:noProof/>
        </w:rPr>
        <w:t>entrata in funzione graduale dell</w:t>
      </w:r>
      <w:r w:rsidR="0000279B">
        <w:rPr>
          <w:noProof/>
        </w:rPr>
        <w:t>'</w:t>
      </w:r>
      <w:r w:rsidR="00BE0D22" w:rsidRPr="009678BA">
        <w:rPr>
          <w:noProof/>
        </w:rPr>
        <w:t>EES il personale debitamente autorizzato dell</w:t>
      </w:r>
      <w:r w:rsidR="0000279B">
        <w:rPr>
          <w:noProof/>
        </w:rPr>
        <w:t>'</w:t>
      </w:r>
      <w:r w:rsidR="00BE0D22" w:rsidRPr="009678BA">
        <w:rPr>
          <w:noProof/>
        </w:rPr>
        <w:t>Agenzia europea della guardia di frontiera e costiera non ha accesso ai dati registrati nell</w:t>
      </w:r>
      <w:r w:rsidR="0000279B">
        <w:rPr>
          <w:noProof/>
        </w:rPr>
        <w:t>'</w:t>
      </w:r>
      <w:r w:rsidR="00BE0D22" w:rsidRPr="009678BA">
        <w:rPr>
          <w:noProof/>
        </w:rPr>
        <w:t>EES ai fini dell</w:t>
      </w:r>
      <w:r w:rsidR="0000279B">
        <w:rPr>
          <w:noProof/>
        </w:rPr>
        <w:t>'</w:t>
      </w:r>
      <w:r w:rsidR="00BE0D22" w:rsidRPr="009678BA">
        <w:rPr>
          <w:noProof/>
        </w:rPr>
        <w:t>esecuzione delle analisi di rischio e delle valutazioni sulle vulnerabilità.</w:t>
      </w:r>
    </w:p>
    <w:p w:rsidR="00BE0D22" w:rsidRPr="009678BA" w:rsidRDefault="00BE0D22" w:rsidP="00F266A7">
      <w:pPr>
        <w:pStyle w:val="Titrearticle"/>
        <w:rPr>
          <w:i w:val="0"/>
          <w:iCs/>
          <w:noProof/>
        </w:rPr>
      </w:pPr>
      <w:r w:rsidRPr="009678BA">
        <w:rPr>
          <w:noProof/>
        </w:rPr>
        <w:t xml:space="preserve">Articolo 7 </w:t>
      </w:r>
      <w:r w:rsidRPr="009678BA">
        <w:rPr>
          <w:noProof/>
        </w:rPr>
        <w:br/>
        <w:t>Sospensione dell</w:t>
      </w:r>
      <w:r w:rsidR="0000279B">
        <w:rPr>
          <w:noProof/>
        </w:rPr>
        <w:t>'</w:t>
      </w:r>
      <w:r w:rsidRPr="009678BA">
        <w:rPr>
          <w:noProof/>
        </w:rPr>
        <w:t>EES</w:t>
      </w:r>
    </w:p>
    <w:p w:rsidR="00BE0D22" w:rsidRPr="009678BA" w:rsidRDefault="00425D1B" w:rsidP="00425D1B">
      <w:pPr>
        <w:pStyle w:val="ManualNumPar1"/>
        <w:rPr>
          <w:noProof/>
        </w:rPr>
      </w:pPr>
      <w:r w:rsidRPr="00425D1B">
        <w:rPr>
          <w:noProof/>
        </w:rPr>
        <w:t>1.</w:t>
      </w:r>
      <w:r w:rsidRPr="00425D1B">
        <w:rPr>
          <w:noProof/>
        </w:rPr>
        <w:tab/>
      </w:r>
      <w:r w:rsidR="00BE0D22" w:rsidRPr="009678BA">
        <w:rPr>
          <w:noProof/>
        </w:rPr>
        <w:t>Durante l</w:t>
      </w:r>
      <w:r w:rsidR="0000279B">
        <w:rPr>
          <w:noProof/>
        </w:rPr>
        <w:t>'</w:t>
      </w:r>
      <w:r w:rsidR="00BE0D22" w:rsidRPr="009678BA">
        <w:rPr>
          <w:noProof/>
        </w:rPr>
        <w:t>entrata in funzione graduale dell</w:t>
      </w:r>
      <w:r w:rsidR="0000279B">
        <w:rPr>
          <w:noProof/>
        </w:rPr>
        <w:t>'</w:t>
      </w:r>
      <w:r w:rsidR="00BE0D22" w:rsidRPr="009678BA">
        <w:rPr>
          <w:noProof/>
        </w:rPr>
        <w:t>EES gli Stati membri possono sospendere, in tutto o in parte, il funzionamento dell</w:t>
      </w:r>
      <w:r w:rsidR="0000279B">
        <w:rPr>
          <w:noProof/>
        </w:rPr>
        <w:t>'</w:t>
      </w:r>
      <w:r w:rsidR="00BE0D22" w:rsidRPr="009678BA">
        <w:rPr>
          <w:noProof/>
        </w:rPr>
        <w:t>EES a determinati valichi di frontiera in circostanze eccezionali di guasto del sistema centrale dell</w:t>
      </w:r>
      <w:r w:rsidR="0000279B">
        <w:rPr>
          <w:noProof/>
        </w:rPr>
        <w:t>'</w:t>
      </w:r>
      <w:r w:rsidR="00BE0D22" w:rsidRPr="009678BA">
        <w:rPr>
          <w:noProof/>
        </w:rPr>
        <w:t>EES, dei sistemi nazionali o dell</w:t>
      </w:r>
      <w:r w:rsidR="0000279B">
        <w:rPr>
          <w:noProof/>
        </w:rPr>
        <w:t>'</w:t>
      </w:r>
      <w:r w:rsidR="00BE0D22" w:rsidRPr="009678BA">
        <w:rPr>
          <w:noProof/>
        </w:rPr>
        <w:t>infrastruttura di comunicazione, o di eventi che provocano un</w:t>
      </w:r>
      <w:r w:rsidR="0000279B">
        <w:rPr>
          <w:noProof/>
        </w:rPr>
        <w:t>'</w:t>
      </w:r>
      <w:r w:rsidR="00BE0D22" w:rsidRPr="009678BA">
        <w:rPr>
          <w:noProof/>
        </w:rPr>
        <w:t xml:space="preserve">intensità di traffico tale da rendere eccessivi i tempi di attesa a un valico di frontiera. </w:t>
      </w:r>
    </w:p>
    <w:p w:rsidR="009C3CE5" w:rsidRPr="009678BA" w:rsidRDefault="00BE0D22">
      <w:pPr>
        <w:pStyle w:val="Text1"/>
        <w:rPr>
          <w:noProof/>
        </w:rPr>
      </w:pPr>
      <w:r w:rsidRPr="009678BA">
        <w:rPr>
          <w:noProof/>
        </w:rPr>
        <w:t xml:space="preserve">In caso di sospensione parziale, sono raccolti i dati di cui agli articoli da 16 a 20 del regolamento (UE) 2017/2226 ad eccezione dei dati biometrici. </w:t>
      </w:r>
    </w:p>
    <w:p w:rsidR="00140C50" w:rsidRPr="009678BA" w:rsidRDefault="00BE0D22">
      <w:pPr>
        <w:pStyle w:val="Text1"/>
        <w:rPr>
          <w:noProof/>
        </w:rPr>
      </w:pPr>
      <w:r w:rsidRPr="009678BA">
        <w:rPr>
          <w:noProof/>
        </w:rPr>
        <w:t>In caso di sospensione totale, gli Stati membri sospendono completamente le operazioni dell</w:t>
      </w:r>
      <w:r w:rsidR="0000279B">
        <w:rPr>
          <w:noProof/>
        </w:rPr>
        <w:t>'</w:t>
      </w:r>
      <w:r w:rsidRPr="009678BA">
        <w:rPr>
          <w:noProof/>
        </w:rPr>
        <w:t xml:space="preserve">EES e non raccolgono i dati di cui agli articoli da 16 a 20 di detto regolamento. </w:t>
      </w:r>
    </w:p>
    <w:p w:rsidR="00BE0D22" w:rsidRPr="009678BA" w:rsidRDefault="00BE0D22">
      <w:pPr>
        <w:pStyle w:val="Text1"/>
        <w:rPr>
          <w:noProof/>
        </w:rPr>
      </w:pPr>
      <w:r w:rsidRPr="009678BA">
        <w:rPr>
          <w:noProof/>
        </w:rPr>
        <w:t>In entrambi i casi gli Stati membri notificano tempestivamente, e in ogni caso entro sei ore dall</w:t>
      </w:r>
      <w:r w:rsidR="0000279B">
        <w:rPr>
          <w:noProof/>
        </w:rPr>
        <w:t>'</w:t>
      </w:r>
      <w:r w:rsidRPr="009678BA">
        <w:rPr>
          <w:noProof/>
        </w:rPr>
        <w:t>inizio della sospensione, alla Commissione e ad eu-LISA il motivo della sospensione parziale o totale e la sua durata prevista, e provvedono affinché gli operatori delle infrastrutture che ospitano valichi di frontiera e i vettori siano debitamente informati di tale sospensione. Una volta cessate le circostanze eccezionali che hanno portato alla sospensione, gli Stati membri ne danno immediata notifica alla Commissione e ad eu-LISA.</w:t>
      </w:r>
    </w:p>
    <w:p w:rsidR="00BE0D22" w:rsidRPr="009678BA" w:rsidRDefault="00425D1B" w:rsidP="00425D1B">
      <w:pPr>
        <w:pStyle w:val="ManualNumPar1"/>
        <w:rPr>
          <w:noProof/>
        </w:rPr>
      </w:pPr>
      <w:r w:rsidRPr="00425D1B">
        <w:rPr>
          <w:noProof/>
        </w:rPr>
        <w:t>2.</w:t>
      </w:r>
      <w:r w:rsidRPr="00425D1B">
        <w:rPr>
          <w:noProof/>
        </w:rPr>
        <w:tab/>
      </w:r>
      <w:r w:rsidR="00BE0D22" w:rsidRPr="009678BA">
        <w:rPr>
          <w:noProof/>
        </w:rPr>
        <w:t>Per un periodo di 60 giorni di calendario dopo il completamento dell</w:t>
      </w:r>
      <w:r w:rsidR="0000279B">
        <w:rPr>
          <w:noProof/>
        </w:rPr>
        <w:t>'</w:t>
      </w:r>
      <w:r w:rsidR="00BE0D22" w:rsidRPr="009678BA">
        <w:rPr>
          <w:noProof/>
        </w:rPr>
        <w:t>entrata in funzione graduale dell</w:t>
      </w:r>
      <w:r w:rsidR="0000279B">
        <w:rPr>
          <w:noProof/>
        </w:rPr>
        <w:t>'</w:t>
      </w:r>
      <w:r w:rsidR="00BE0D22" w:rsidRPr="009678BA">
        <w:rPr>
          <w:noProof/>
        </w:rPr>
        <w:t>EES, gli Stati membri possono sospendere parzialmente il funzionamento dell</w:t>
      </w:r>
      <w:r w:rsidR="0000279B">
        <w:rPr>
          <w:noProof/>
        </w:rPr>
        <w:t>'</w:t>
      </w:r>
      <w:r w:rsidR="00BE0D22" w:rsidRPr="009678BA">
        <w:rPr>
          <w:noProof/>
        </w:rPr>
        <w:t>EES come previsto al paragrafo 1, secondo comma, presso un determinato valico di frontiera per un periodo massimo di sei ore e solo in circostanze eccezionali che provocano un</w:t>
      </w:r>
      <w:r w:rsidR="0000279B">
        <w:rPr>
          <w:noProof/>
        </w:rPr>
        <w:t>'</w:t>
      </w:r>
      <w:r w:rsidR="00BE0D22" w:rsidRPr="009678BA">
        <w:rPr>
          <w:noProof/>
        </w:rPr>
        <w:t>intensità di traffico tale da rendere eccessivi i tempi di attesa a un valico di frontiera. Gli Stati membri sono esonerati dall</w:t>
      </w:r>
      <w:r w:rsidR="0000279B">
        <w:rPr>
          <w:noProof/>
        </w:rPr>
        <w:t>'</w:t>
      </w:r>
      <w:r w:rsidR="00BE0D22" w:rsidRPr="009678BA">
        <w:rPr>
          <w:noProof/>
        </w:rPr>
        <w:t>obbligo di cui all</w:t>
      </w:r>
      <w:r w:rsidR="0000279B">
        <w:rPr>
          <w:noProof/>
        </w:rPr>
        <w:t>'</w:t>
      </w:r>
      <w:r w:rsidR="00BE0D22" w:rsidRPr="009678BA">
        <w:rPr>
          <w:noProof/>
        </w:rPr>
        <w:t>articolo 21, paragrafo 1, del regolamento (UE) 2017/2226 per quanto riguarda i dati biometrici. In simili casi gli Stati membri notificano tempestivamente, e in ogni caso entro sei ore dall</w:t>
      </w:r>
      <w:r w:rsidR="0000279B">
        <w:rPr>
          <w:noProof/>
        </w:rPr>
        <w:t>'</w:t>
      </w:r>
      <w:r w:rsidR="00BE0D22" w:rsidRPr="009678BA">
        <w:rPr>
          <w:noProof/>
        </w:rPr>
        <w:t xml:space="preserve">inizio della sospensione, il motivo della sospensione e la sua durata prevista alla Commissione e a eu-LISA. </w:t>
      </w:r>
    </w:p>
    <w:p w:rsidR="00BE0D22" w:rsidRPr="009678BA" w:rsidRDefault="00425D1B" w:rsidP="00425D1B">
      <w:pPr>
        <w:pStyle w:val="ManualNumPar1"/>
        <w:rPr>
          <w:noProof/>
        </w:rPr>
      </w:pPr>
      <w:r w:rsidRPr="00425D1B">
        <w:rPr>
          <w:noProof/>
        </w:rPr>
        <w:t>3.</w:t>
      </w:r>
      <w:r w:rsidRPr="00425D1B">
        <w:rPr>
          <w:noProof/>
        </w:rPr>
        <w:tab/>
      </w:r>
      <w:r w:rsidR="00BE0D22" w:rsidRPr="009678BA">
        <w:rPr>
          <w:noProof/>
        </w:rPr>
        <w:t>Se meno dell</w:t>
      </w:r>
      <w:r w:rsidR="0000279B">
        <w:rPr>
          <w:noProof/>
        </w:rPr>
        <w:t>'</w:t>
      </w:r>
      <w:r w:rsidR="00BE0D22" w:rsidRPr="009678BA">
        <w:rPr>
          <w:noProof/>
        </w:rPr>
        <w:t>80 % dei fascicoli individuali registrati nell</w:t>
      </w:r>
      <w:r w:rsidR="0000279B">
        <w:rPr>
          <w:noProof/>
        </w:rPr>
        <w:t>'</w:t>
      </w:r>
      <w:r w:rsidR="00BE0D22" w:rsidRPr="009678BA">
        <w:rPr>
          <w:noProof/>
        </w:rPr>
        <w:t>EES durante l</w:t>
      </w:r>
      <w:r w:rsidR="0000279B">
        <w:rPr>
          <w:noProof/>
        </w:rPr>
        <w:t>'</w:t>
      </w:r>
      <w:r w:rsidR="00BE0D22" w:rsidRPr="009678BA">
        <w:rPr>
          <w:noProof/>
        </w:rPr>
        <w:t>entrata in funzione graduale dell</w:t>
      </w:r>
      <w:r w:rsidR="0000279B">
        <w:rPr>
          <w:noProof/>
        </w:rPr>
        <w:t>'</w:t>
      </w:r>
      <w:r w:rsidR="00BE0D22" w:rsidRPr="009678BA">
        <w:rPr>
          <w:noProof/>
        </w:rPr>
        <w:t xml:space="preserve">EES contiene dati biometrici, il periodo di cui al paragrafo 2 del presente articolo è automaticamente prorogato di 60 giorni di calendario. </w:t>
      </w:r>
    </w:p>
    <w:p w:rsidR="00BE0D22" w:rsidRPr="009678BA" w:rsidRDefault="00425D1B" w:rsidP="00425D1B">
      <w:pPr>
        <w:pStyle w:val="ManualNumPar1"/>
        <w:rPr>
          <w:noProof/>
        </w:rPr>
      </w:pPr>
      <w:r w:rsidRPr="00425D1B">
        <w:rPr>
          <w:noProof/>
        </w:rPr>
        <w:t>4.</w:t>
      </w:r>
      <w:r w:rsidRPr="00425D1B">
        <w:rPr>
          <w:noProof/>
        </w:rPr>
        <w:tab/>
      </w:r>
      <w:r w:rsidR="00BE0D22" w:rsidRPr="009678BA">
        <w:rPr>
          <w:noProof/>
        </w:rPr>
        <w:t>Al più tardi entro il 10° giorno di calendario successivo al completamento dell</w:t>
      </w:r>
      <w:r w:rsidR="0000279B">
        <w:rPr>
          <w:noProof/>
        </w:rPr>
        <w:t>'</w:t>
      </w:r>
      <w:r w:rsidR="00BE0D22" w:rsidRPr="009678BA">
        <w:rPr>
          <w:noProof/>
        </w:rPr>
        <w:t>entrata in funzione graduale dell</w:t>
      </w:r>
      <w:r w:rsidR="0000279B">
        <w:rPr>
          <w:noProof/>
        </w:rPr>
        <w:t>'</w:t>
      </w:r>
      <w:r w:rsidR="00BE0D22" w:rsidRPr="009678BA">
        <w:rPr>
          <w:noProof/>
        </w:rPr>
        <w:t>EES, eu-LISA fornisce alla Commissione statistiche che le permettano di verificare se tale percentuale è stata raggiunta. Entro il 30° giorno di calendario successivo al completamento dell</w:t>
      </w:r>
      <w:r w:rsidR="0000279B">
        <w:rPr>
          <w:noProof/>
        </w:rPr>
        <w:t>'</w:t>
      </w:r>
      <w:r w:rsidR="00BE0D22" w:rsidRPr="009678BA">
        <w:rPr>
          <w:noProof/>
        </w:rPr>
        <w:t>entrata in funzione graduale dell</w:t>
      </w:r>
      <w:r w:rsidR="0000279B">
        <w:rPr>
          <w:noProof/>
        </w:rPr>
        <w:t>'</w:t>
      </w:r>
      <w:r w:rsidR="00BE0D22" w:rsidRPr="009678BA">
        <w:rPr>
          <w:noProof/>
        </w:rPr>
        <w:t>EES, la</w:t>
      </w:r>
      <w:r w:rsidR="0000279B">
        <w:rPr>
          <w:noProof/>
        </w:rPr>
        <w:t> </w:t>
      </w:r>
      <w:r w:rsidR="00BE0D22" w:rsidRPr="009678BA">
        <w:rPr>
          <w:noProof/>
        </w:rPr>
        <w:t>Commissione informa gli Stati membri dell</w:t>
      </w:r>
      <w:r w:rsidR="0000279B">
        <w:rPr>
          <w:noProof/>
        </w:rPr>
        <w:t>'</w:t>
      </w:r>
      <w:r w:rsidR="00BE0D22" w:rsidRPr="009678BA">
        <w:rPr>
          <w:noProof/>
        </w:rPr>
        <w:t>esito della sua verifica.</w:t>
      </w:r>
    </w:p>
    <w:p w:rsidR="00BE0D22" w:rsidRPr="009678BA" w:rsidRDefault="00BE0D22" w:rsidP="00F266A7">
      <w:pPr>
        <w:pStyle w:val="Titrearticle"/>
        <w:rPr>
          <w:noProof/>
        </w:rPr>
      </w:pPr>
      <w:r w:rsidRPr="009678BA">
        <w:rPr>
          <w:noProof/>
        </w:rPr>
        <w:t xml:space="preserve">Articolo 8 </w:t>
      </w:r>
      <w:r w:rsidRPr="009678BA">
        <w:rPr>
          <w:noProof/>
        </w:rPr>
        <w:br/>
        <w:t>Entrata in vigore e applicazione</w:t>
      </w:r>
    </w:p>
    <w:p w:rsidR="00BE0D22" w:rsidRPr="009678BA" w:rsidRDefault="00425D1B" w:rsidP="00425D1B">
      <w:pPr>
        <w:pStyle w:val="ManualNumPar1"/>
        <w:rPr>
          <w:noProof/>
        </w:rPr>
      </w:pPr>
      <w:r w:rsidRPr="00425D1B">
        <w:rPr>
          <w:noProof/>
        </w:rPr>
        <w:t>1.</w:t>
      </w:r>
      <w:r w:rsidRPr="00425D1B">
        <w:rPr>
          <w:noProof/>
        </w:rPr>
        <w:tab/>
      </w:r>
      <w:r w:rsidR="00BE0D22" w:rsidRPr="009678BA">
        <w:rPr>
          <w:noProof/>
        </w:rPr>
        <w:t xml:space="preserve">Il presente regolamento entra in vigore il quarto giorno successivo alla pubblicazione nella </w:t>
      </w:r>
      <w:r w:rsidR="00BE0D22" w:rsidRPr="009678BA">
        <w:rPr>
          <w:i/>
          <w:noProof/>
        </w:rPr>
        <w:t>Gazzetta ufficiale dell</w:t>
      </w:r>
      <w:r w:rsidR="0000279B">
        <w:rPr>
          <w:i/>
          <w:noProof/>
        </w:rPr>
        <w:t>'</w:t>
      </w:r>
      <w:r w:rsidR="00BE0D22" w:rsidRPr="009678BA">
        <w:rPr>
          <w:i/>
          <w:noProof/>
        </w:rPr>
        <w:t>Unione europea</w:t>
      </w:r>
      <w:r w:rsidR="00BE0D22" w:rsidRPr="009678BA">
        <w:rPr>
          <w:noProof/>
        </w:rPr>
        <w:t>.</w:t>
      </w:r>
    </w:p>
    <w:p w:rsidR="00BE0D22" w:rsidRPr="009678BA" w:rsidRDefault="00BE0D22" w:rsidP="00F266A7">
      <w:pPr>
        <w:pStyle w:val="Text1"/>
        <w:rPr>
          <w:noProof/>
        </w:rPr>
      </w:pPr>
      <w:r w:rsidRPr="009678BA">
        <w:rPr>
          <w:noProof/>
        </w:rPr>
        <w:t>Esso si applica a decorrere dalla data di entrata in funzione dell</w:t>
      </w:r>
      <w:r w:rsidR="0000279B">
        <w:rPr>
          <w:noProof/>
        </w:rPr>
        <w:t>'</w:t>
      </w:r>
      <w:r w:rsidRPr="009678BA">
        <w:rPr>
          <w:noProof/>
        </w:rPr>
        <w:t>EES decisa dalla Commissione conformemente all</w:t>
      </w:r>
      <w:r w:rsidR="0000279B">
        <w:rPr>
          <w:noProof/>
        </w:rPr>
        <w:t>'</w:t>
      </w:r>
      <w:r w:rsidRPr="009678BA">
        <w:rPr>
          <w:noProof/>
        </w:rPr>
        <w:t>articolo 66, paragrafo 1, del regolamento (UE) 2017/2226.</w:t>
      </w:r>
    </w:p>
    <w:p w:rsidR="00B05709" w:rsidRPr="009678BA" w:rsidRDefault="00BE0D22" w:rsidP="00F266A7">
      <w:pPr>
        <w:pStyle w:val="Text1"/>
        <w:rPr>
          <w:noProof/>
        </w:rPr>
      </w:pPr>
      <w:r w:rsidRPr="009678BA">
        <w:rPr>
          <w:noProof/>
        </w:rPr>
        <w:t>L</w:t>
      </w:r>
      <w:r w:rsidR="0000279B">
        <w:rPr>
          <w:noProof/>
        </w:rPr>
        <w:t>'</w:t>
      </w:r>
      <w:r w:rsidRPr="009678BA">
        <w:rPr>
          <w:noProof/>
        </w:rPr>
        <w:t xml:space="preserve">articolo 3 si applica tuttavia a decorrere dalla data di entrata in vigore del presente regolamento. </w:t>
      </w:r>
    </w:p>
    <w:p w:rsidR="00DF4800" w:rsidRPr="009678BA" w:rsidRDefault="00425D1B" w:rsidP="00425D1B">
      <w:pPr>
        <w:pStyle w:val="ManualNumPar1"/>
        <w:rPr>
          <w:noProof/>
        </w:rPr>
      </w:pPr>
      <w:r w:rsidRPr="00425D1B">
        <w:rPr>
          <w:noProof/>
        </w:rPr>
        <w:t>2.</w:t>
      </w:r>
      <w:r w:rsidRPr="00425D1B">
        <w:rPr>
          <w:noProof/>
        </w:rPr>
        <w:tab/>
      </w:r>
      <w:r w:rsidR="00BE0D22" w:rsidRPr="009678BA">
        <w:rPr>
          <w:noProof/>
        </w:rPr>
        <w:t>Il presente regolamento cessa di applicarsi 180 giorni di calendario dopo la data di entrata in funzione dell</w:t>
      </w:r>
      <w:r w:rsidR="0000279B">
        <w:rPr>
          <w:noProof/>
        </w:rPr>
        <w:t>'</w:t>
      </w:r>
      <w:r w:rsidR="00BE0D22" w:rsidRPr="009678BA">
        <w:rPr>
          <w:noProof/>
        </w:rPr>
        <w:t>EES decisa dalla Commissione conformemente all</w:t>
      </w:r>
      <w:r w:rsidR="0000279B">
        <w:rPr>
          <w:noProof/>
        </w:rPr>
        <w:t>'</w:t>
      </w:r>
      <w:r w:rsidR="00BE0D22" w:rsidRPr="009678BA">
        <w:rPr>
          <w:noProof/>
        </w:rPr>
        <w:t>articolo 66, paragrafo 1, del regolamento (UE) 2017/2226. Tuttavia:</w:t>
      </w:r>
    </w:p>
    <w:p w:rsidR="00617F4F" w:rsidRPr="009678BA" w:rsidRDefault="00425D1B" w:rsidP="00425D1B">
      <w:pPr>
        <w:pStyle w:val="Point1"/>
        <w:rPr>
          <w:noProof/>
        </w:rPr>
      </w:pPr>
      <w:r w:rsidRPr="00425D1B">
        <w:rPr>
          <w:noProof/>
        </w:rPr>
        <w:t>(a)</w:t>
      </w:r>
      <w:r w:rsidRPr="00425D1B">
        <w:rPr>
          <w:noProof/>
        </w:rPr>
        <w:tab/>
      </w:r>
      <w:r w:rsidR="00617F4F" w:rsidRPr="009678BA">
        <w:rPr>
          <w:noProof/>
        </w:rPr>
        <w:t>l</w:t>
      </w:r>
      <w:r w:rsidR="0000279B">
        <w:rPr>
          <w:noProof/>
        </w:rPr>
        <w:t>'</w:t>
      </w:r>
      <w:r w:rsidR="00617F4F" w:rsidRPr="009678BA">
        <w:rPr>
          <w:noProof/>
        </w:rPr>
        <w:t>articolo 5, paragrafo 13, cessa di applicarsi cinque anni e 180 giorni di calendario dopo la data decisa dalla Commissione conformemente all</w:t>
      </w:r>
      <w:r w:rsidR="0000279B">
        <w:rPr>
          <w:noProof/>
        </w:rPr>
        <w:t>'</w:t>
      </w:r>
      <w:r w:rsidR="00617F4F" w:rsidRPr="009678BA">
        <w:rPr>
          <w:noProof/>
        </w:rPr>
        <w:t>articolo</w:t>
      </w:r>
      <w:r w:rsidR="0000279B">
        <w:rPr>
          <w:noProof/>
        </w:rPr>
        <w:t> </w:t>
      </w:r>
      <w:r w:rsidR="00617F4F" w:rsidRPr="009678BA">
        <w:rPr>
          <w:noProof/>
        </w:rPr>
        <w:t>66, paragrafo 1, del regolamento (UE) 2017/2226;</w:t>
      </w:r>
    </w:p>
    <w:p w:rsidR="00BE0D22" w:rsidRPr="009678BA" w:rsidRDefault="00425D1B" w:rsidP="00425D1B">
      <w:pPr>
        <w:pStyle w:val="Point1"/>
        <w:rPr>
          <w:noProof/>
        </w:rPr>
      </w:pPr>
      <w:r w:rsidRPr="00425D1B">
        <w:rPr>
          <w:noProof/>
        </w:rPr>
        <w:t>(b)</w:t>
      </w:r>
      <w:r w:rsidRPr="00425D1B">
        <w:rPr>
          <w:noProof/>
        </w:rPr>
        <w:tab/>
      </w:r>
      <w:r w:rsidR="00BE0D22" w:rsidRPr="009678BA">
        <w:rPr>
          <w:noProof/>
        </w:rPr>
        <w:t>l</w:t>
      </w:r>
      <w:r w:rsidR="0000279B">
        <w:rPr>
          <w:noProof/>
        </w:rPr>
        <w:t>'</w:t>
      </w:r>
      <w:r w:rsidR="00BE0D22" w:rsidRPr="009678BA">
        <w:rPr>
          <w:noProof/>
        </w:rPr>
        <w:t>articolo 6, paragrafi 1, 2, 4 e 5, cessa di applicarsi cinque anni e 180 giorni di calendario dopo la data decisa dalla Commissione conformemente all</w:t>
      </w:r>
      <w:r w:rsidR="0000279B">
        <w:rPr>
          <w:noProof/>
        </w:rPr>
        <w:t>'</w:t>
      </w:r>
      <w:r w:rsidR="00BE0D22" w:rsidRPr="009678BA">
        <w:rPr>
          <w:noProof/>
        </w:rPr>
        <w:t>articolo</w:t>
      </w:r>
      <w:r w:rsidR="0000279B">
        <w:rPr>
          <w:noProof/>
        </w:rPr>
        <w:t> </w:t>
      </w:r>
      <w:r w:rsidR="00BE0D22" w:rsidRPr="009678BA">
        <w:rPr>
          <w:noProof/>
        </w:rPr>
        <w:t>66, paragrafo 1, del regolamento (UE) 2017/2226;</w:t>
      </w:r>
    </w:p>
    <w:p w:rsidR="00E2036A" w:rsidRPr="009678BA" w:rsidRDefault="00425D1B" w:rsidP="00425D1B">
      <w:pPr>
        <w:pStyle w:val="Point1"/>
        <w:rPr>
          <w:noProof/>
        </w:rPr>
      </w:pPr>
      <w:r w:rsidRPr="00425D1B">
        <w:rPr>
          <w:noProof/>
        </w:rPr>
        <w:t>(c)</w:t>
      </w:r>
      <w:r w:rsidRPr="00425D1B">
        <w:rPr>
          <w:noProof/>
        </w:rPr>
        <w:tab/>
      </w:r>
      <w:r w:rsidR="0073758E" w:rsidRPr="009678BA">
        <w:rPr>
          <w:noProof/>
        </w:rPr>
        <w:t>l</w:t>
      </w:r>
      <w:r w:rsidR="0000279B">
        <w:rPr>
          <w:noProof/>
        </w:rPr>
        <w:t>'</w:t>
      </w:r>
      <w:r w:rsidR="0073758E" w:rsidRPr="009678BA">
        <w:rPr>
          <w:noProof/>
        </w:rPr>
        <w:t>articolo 6, paragrafo 3, secondo comma, cessa di applicarsi 360 giorni di calendario dopo la data decisa dalla Commissione conformemente all</w:t>
      </w:r>
      <w:r w:rsidR="0000279B">
        <w:rPr>
          <w:noProof/>
        </w:rPr>
        <w:t>'</w:t>
      </w:r>
      <w:r w:rsidR="0073758E" w:rsidRPr="009678BA">
        <w:rPr>
          <w:noProof/>
        </w:rPr>
        <w:t>articolo</w:t>
      </w:r>
      <w:r w:rsidR="0000279B">
        <w:rPr>
          <w:noProof/>
        </w:rPr>
        <w:t> </w:t>
      </w:r>
      <w:r w:rsidR="0073758E" w:rsidRPr="009678BA">
        <w:rPr>
          <w:noProof/>
        </w:rPr>
        <w:t>66, paragrafo 1, del regolamento (UE) 2017/2226;</w:t>
      </w:r>
    </w:p>
    <w:p w:rsidR="00BE0D22" w:rsidRPr="009678BA" w:rsidRDefault="00425D1B" w:rsidP="00425D1B">
      <w:pPr>
        <w:pStyle w:val="Point1"/>
        <w:rPr>
          <w:rFonts w:eastAsia="Times New Roman"/>
          <w:noProof/>
        </w:rPr>
      </w:pPr>
      <w:r w:rsidRPr="00425D1B">
        <w:rPr>
          <w:noProof/>
        </w:rPr>
        <w:t>(d)</w:t>
      </w:r>
      <w:r w:rsidRPr="00425D1B">
        <w:rPr>
          <w:noProof/>
        </w:rPr>
        <w:tab/>
      </w:r>
      <w:r w:rsidR="00BE0D22" w:rsidRPr="009678BA">
        <w:rPr>
          <w:noProof/>
        </w:rPr>
        <w:t>l</w:t>
      </w:r>
      <w:r w:rsidR="0000279B">
        <w:rPr>
          <w:noProof/>
        </w:rPr>
        <w:t>'</w:t>
      </w:r>
      <w:r w:rsidR="00BE0D22" w:rsidRPr="009678BA">
        <w:rPr>
          <w:noProof/>
        </w:rPr>
        <w:t>articolo 7, paragrafi 2 e 3, cessa di applicarsi 300 giorni di calendario dopo la data decisa dalla Commissione conformemente all</w:t>
      </w:r>
      <w:r w:rsidR="0000279B">
        <w:rPr>
          <w:noProof/>
        </w:rPr>
        <w:t>'</w:t>
      </w:r>
      <w:r w:rsidR="00BE0D22" w:rsidRPr="009678BA">
        <w:rPr>
          <w:noProof/>
        </w:rPr>
        <w:t>articolo 66, paragrafo 1, del regolamento (UE) 2017/2226;</w:t>
      </w:r>
    </w:p>
    <w:p w:rsidR="00004640" w:rsidRPr="009678BA" w:rsidRDefault="00425D1B" w:rsidP="00425D1B">
      <w:pPr>
        <w:pStyle w:val="Point1"/>
        <w:rPr>
          <w:rFonts w:eastAsia="Times New Roman"/>
          <w:noProof/>
        </w:rPr>
      </w:pPr>
      <w:r w:rsidRPr="00425D1B">
        <w:rPr>
          <w:noProof/>
        </w:rPr>
        <w:t>(e)</w:t>
      </w:r>
      <w:r w:rsidRPr="00425D1B">
        <w:rPr>
          <w:noProof/>
        </w:rPr>
        <w:tab/>
      </w:r>
      <w:r w:rsidR="00C633D8" w:rsidRPr="009678BA">
        <w:rPr>
          <w:noProof/>
        </w:rPr>
        <w:t>l</w:t>
      </w:r>
      <w:r w:rsidR="0000279B">
        <w:rPr>
          <w:noProof/>
        </w:rPr>
        <w:t>'</w:t>
      </w:r>
      <w:r w:rsidR="00C633D8" w:rsidRPr="009678BA">
        <w:rPr>
          <w:noProof/>
        </w:rPr>
        <w:t>articolo 7, paragrafo 4, cessa di applicarsi 210 giorni di calendario dopo la data decisa dalla Commissione conformemente all</w:t>
      </w:r>
      <w:r w:rsidR="0000279B">
        <w:rPr>
          <w:noProof/>
        </w:rPr>
        <w:t>'</w:t>
      </w:r>
      <w:r w:rsidR="00C633D8" w:rsidRPr="009678BA">
        <w:rPr>
          <w:noProof/>
        </w:rPr>
        <w:t>articolo 66, paragrafo 1, del regolamento (UE) 2017/2226.</w:t>
      </w:r>
    </w:p>
    <w:p w:rsidR="00BE0D22" w:rsidRPr="009678BA" w:rsidRDefault="00BE0D22" w:rsidP="00BE0D22">
      <w:pPr>
        <w:rPr>
          <w:noProof/>
        </w:rPr>
      </w:pPr>
      <w:r w:rsidRPr="009678BA">
        <w:rPr>
          <w:noProof/>
        </w:rPr>
        <w:t>Il presente regolamento è obbligatorio in tutti i suoi elementi e direttamente applicabile in ciascuno degli Stati membri.</w:t>
      </w:r>
    </w:p>
    <w:p w:rsidR="00BE0D22" w:rsidRPr="009678BA" w:rsidRDefault="009678BA" w:rsidP="0099471E">
      <w:pPr>
        <w:pStyle w:val="Fait"/>
        <w:rPr>
          <w:noProof/>
        </w:rPr>
      </w:pPr>
      <w:r>
        <w:rPr>
          <w:noProof/>
        </w:rPr>
        <w:t>Fatto a Bruxelles, il</w:t>
      </w:r>
    </w:p>
    <w:p w:rsidR="00BE0D22" w:rsidRPr="009678BA" w:rsidRDefault="00BE0D22" w:rsidP="0099471E">
      <w:pPr>
        <w:pStyle w:val="Institutionquisigne"/>
        <w:rPr>
          <w:noProof/>
        </w:rPr>
      </w:pPr>
      <w:r w:rsidRPr="009678BA">
        <w:rPr>
          <w:noProof/>
        </w:rPr>
        <w:t>Per il Parlamento europeo</w:t>
      </w:r>
      <w:r w:rsidRPr="009678BA">
        <w:rPr>
          <w:noProof/>
        </w:rPr>
        <w:tab/>
        <w:t>Per il Consiglio</w:t>
      </w:r>
    </w:p>
    <w:p w:rsidR="00BE0D22" w:rsidRPr="009678BA" w:rsidRDefault="00BE0D22" w:rsidP="00BE0D22">
      <w:pPr>
        <w:pStyle w:val="Personnequisigne"/>
        <w:rPr>
          <w:noProof/>
        </w:rPr>
      </w:pPr>
      <w:r w:rsidRPr="009678BA">
        <w:rPr>
          <w:noProof/>
        </w:rPr>
        <w:t>La presidente</w:t>
      </w:r>
      <w:r w:rsidRPr="009678BA">
        <w:rPr>
          <w:noProof/>
        </w:rPr>
        <w:tab/>
        <w:t>Il presidente</w:t>
      </w:r>
    </w:p>
    <w:sectPr w:rsidR="00BE0D22" w:rsidRPr="009678BA" w:rsidSect="00D679FD">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A5C" w:rsidRPr="00EB4CEB" w:rsidRDefault="006E5A5C" w:rsidP="005F1085">
      <w:pPr>
        <w:spacing w:before="0" w:after="0"/>
      </w:pPr>
      <w:r>
        <w:separator/>
      </w:r>
    </w:p>
  </w:endnote>
  <w:endnote w:type="continuationSeparator" w:id="0">
    <w:p w:rsidR="006E5A5C" w:rsidRPr="00EB4CEB" w:rsidRDefault="006E5A5C" w:rsidP="005F1085">
      <w:pPr>
        <w:spacing w:before="0" w:after="0"/>
      </w:pPr>
      <w:r>
        <w:continuationSeparator/>
      </w:r>
    </w:p>
  </w:endnote>
  <w:endnote w:type="continuationNotice" w:id="1">
    <w:p w:rsidR="006E5A5C" w:rsidRDefault="006E5A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Pr="00D679FD" w:rsidRDefault="00D679FD" w:rsidP="00D679FD">
    <w:pPr>
      <w:pStyle w:val="Footer"/>
      <w:rPr>
        <w:rFonts w:ascii="Arial" w:hAnsi="Arial" w:cs="Arial"/>
        <w:b/>
        <w:sz w:val="48"/>
      </w:rPr>
    </w:pPr>
    <w:r w:rsidRPr="00D679FD">
      <w:rPr>
        <w:rFonts w:ascii="Arial" w:hAnsi="Arial" w:cs="Arial"/>
        <w:b/>
        <w:sz w:val="48"/>
      </w:rPr>
      <w:t>IT</w:t>
    </w:r>
    <w:r w:rsidRPr="00D679FD">
      <w:rPr>
        <w:rFonts w:ascii="Arial" w:hAnsi="Arial" w:cs="Arial"/>
        <w:b/>
        <w:sz w:val="48"/>
      </w:rPr>
      <w:tab/>
    </w:r>
    <w:r w:rsidRPr="00D679FD">
      <w:rPr>
        <w:rFonts w:ascii="Arial" w:hAnsi="Arial" w:cs="Arial"/>
        <w:b/>
        <w:sz w:val="48"/>
      </w:rPr>
      <w:tab/>
    </w:r>
    <w:r w:rsidRPr="00D679FD">
      <w:tab/>
    </w:r>
    <w:r w:rsidRPr="00D679FD">
      <w:rPr>
        <w:rFonts w:ascii="Arial" w:hAnsi="Arial" w:cs="Arial"/>
        <w:b/>
        <w:sz w:val="48"/>
      </w:rPr>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Pr="00D679FD" w:rsidRDefault="00D679FD" w:rsidP="00D679FD">
    <w:pPr>
      <w:pStyle w:val="Footer"/>
      <w:rPr>
        <w:rFonts w:ascii="Arial" w:hAnsi="Arial" w:cs="Arial"/>
        <w:b/>
        <w:sz w:val="48"/>
      </w:rPr>
    </w:pPr>
    <w:r w:rsidRPr="00D679FD">
      <w:rPr>
        <w:rFonts w:ascii="Arial" w:hAnsi="Arial" w:cs="Arial"/>
        <w:b/>
        <w:sz w:val="48"/>
      </w:rPr>
      <w:t>IT</w:t>
    </w:r>
    <w:r w:rsidRPr="00D679FD">
      <w:rPr>
        <w:rFonts w:ascii="Arial" w:hAnsi="Arial" w:cs="Arial"/>
        <w:b/>
        <w:sz w:val="48"/>
      </w:rPr>
      <w:tab/>
    </w:r>
    <w:r w:rsidRPr="00D679FD">
      <w:rPr>
        <w:rFonts w:ascii="Arial" w:hAnsi="Arial" w:cs="Arial"/>
        <w:b/>
        <w:sz w:val="48"/>
      </w:rPr>
      <w:tab/>
    </w:r>
    <w:r w:rsidRPr="00D679FD">
      <w:tab/>
    </w:r>
    <w:r w:rsidRPr="00D679FD">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Default="00D679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Pr="00D679FD" w:rsidRDefault="00D679FD" w:rsidP="00D679FD">
    <w:pPr>
      <w:pStyle w:val="Footer"/>
      <w:rPr>
        <w:rFonts w:ascii="Arial" w:hAnsi="Arial" w:cs="Arial"/>
        <w:b/>
        <w:sz w:val="48"/>
      </w:rPr>
    </w:pPr>
    <w:r w:rsidRPr="00D679FD">
      <w:rPr>
        <w:rFonts w:ascii="Arial" w:hAnsi="Arial" w:cs="Arial"/>
        <w:b/>
        <w:sz w:val="48"/>
      </w:rPr>
      <w:t>IT</w:t>
    </w:r>
    <w:r w:rsidRPr="00D679FD">
      <w:rPr>
        <w:rFonts w:ascii="Arial" w:hAnsi="Arial" w:cs="Arial"/>
        <w:b/>
        <w:sz w:val="48"/>
      </w:rPr>
      <w:tab/>
    </w:r>
    <w:r>
      <w:fldChar w:fldCharType="begin"/>
    </w:r>
    <w:r>
      <w:instrText xml:space="preserve"> PAGE  \* MERGEFORMAT </w:instrText>
    </w:r>
    <w:r>
      <w:fldChar w:fldCharType="separate"/>
    </w:r>
    <w:r w:rsidR="0099471E">
      <w:rPr>
        <w:noProof/>
      </w:rPr>
      <w:t>21</w:t>
    </w:r>
    <w:r>
      <w:fldChar w:fldCharType="end"/>
    </w:r>
    <w:r>
      <w:tab/>
    </w:r>
    <w:r w:rsidRPr="00D679FD">
      <w:tab/>
    </w:r>
    <w:r w:rsidRPr="00D679FD">
      <w:rPr>
        <w:rFonts w:ascii="Arial" w:hAnsi="Arial" w:cs="Arial"/>
        <w:b/>
        <w:sz w:val="48"/>
      </w:rPr>
      <w:t>IT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Default="00D679FD" w:rsidP="00D67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A5C" w:rsidRPr="00EB4CEB" w:rsidRDefault="006E5A5C" w:rsidP="005F1085">
      <w:pPr>
        <w:spacing w:before="0" w:after="0"/>
      </w:pPr>
      <w:r>
        <w:separator/>
      </w:r>
    </w:p>
  </w:footnote>
  <w:footnote w:type="continuationSeparator" w:id="0">
    <w:p w:rsidR="006E5A5C" w:rsidRPr="00EB4CEB" w:rsidRDefault="006E5A5C" w:rsidP="005F1085">
      <w:pPr>
        <w:spacing w:before="0" w:after="0"/>
      </w:pPr>
      <w:r>
        <w:continuationSeparator/>
      </w:r>
    </w:p>
  </w:footnote>
  <w:footnote w:type="continuationNotice" w:id="1">
    <w:p w:rsidR="006E5A5C" w:rsidRDefault="006E5A5C">
      <w:pPr>
        <w:spacing w:before="0" w:after="0"/>
      </w:pPr>
    </w:p>
  </w:footnote>
  <w:footnote w:id="2">
    <w:p w:rsidR="006F5F3B" w:rsidRPr="009678BA" w:rsidRDefault="006F5F3B">
      <w:pPr>
        <w:pStyle w:val="FootnoteText"/>
        <w:rPr>
          <w:color w:val="333333"/>
        </w:rPr>
      </w:pPr>
      <w:r>
        <w:rPr>
          <w:rStyle w:val="FootnoteReference"/>
        </w:rPr>
        <w:footnoteRef/>
      </w:r>
      <w:r w:rsidRPr="009678BA">
        <w:tab/>
        <w:t>Regolamento (UE) 2017/2226 del Parlamento europeo e del Consiglio, del 30 novembre 2017, che istituisce un sistema di ingressi/uscite per la registrazione dei dati di ingresso e di uscita e dei dati relativi al respingimento dei cittadini di paesi terzi che attraversano le frontiere esterne degli Stati membri e che determina le condizioni di accesso al sistema di ingressi/uscite a fini di contrasto e che modifica la Convenzione di applicazione dell</w:t>
      </w:r>
      <w:r w:rsidR="0000279B">
        <w:t>'</w:t>
      </w:r>
      <w:r w:rsidRPr="009678BA">
        <w:t>Accordo di Schengen e i regolamenti (CE) n. 767/2008 e (UE) n. 1077/2011 (GU L 327 del 9.12.2017, pag. 20, ELI:</w:t>
      </w:r>
      <w:r w:rsidRPr="009678BA">
        <w:rPr>
          <w:color w:val="333333"/>
        </w:rPr>
        <w:t> </w:t>
      </w:r>
      <w:hyperlink r:id="rId1" w:tooltip="Il link dà accesso al documento tramite il relativo URI ELI." w:history="1">
        <w:r w:rsidRPr="009678BA">
          <w:rPr>
            <w:rStyle w:val="Hyperlink"/>
            <w:color w:val="337AB7"/>
          </w:rPr>
          <w:t>http://data.europa.eu/eli/reg/2017/2226/2021-08-03</w:t>
        </w:r>
      </w:hyperlink>
      <w:r w:rsidRPr="009678BA">
        <w:t>).</w:t>
      </w:r>
    </w:p>
  </w:footnote>
  <w:footnote w:id="3">
    <w:p w:rsidR="006F5F3B" w:rsidRPr="009678BA" w:rsidRDefault="006F5F3B">
      <w:pPr>
        <w:pStyle w:val="FootnoteText"/>
      </w:pPr>
      <w:r>
        <w:rPr>
          <w:rStyle w:val="FootnoteReference"/>
        </w:rPr>
        <w:footnoteRef/>
      </w:r>
      <w:r w:rsidRPr="009678BA">
        <w:tab/>
        <w:t>L</w:t>
      </w:r>
      <w:r w:rsidR="0000279B">
        <w:t>'</w:t>
      </w:r>
      <w:r w:rsidRPr="009678BA">
        <w:t>attuazione dell</w:t>
      </w:r>
      <w:r w:rsidR="0000279B">
        <w:t>'</w:t>
      </w:r>
      <w:r w:rsidRPr="009678BA">
        <w:t>interoperabilità, che prevedeva come primo sistema l</w:t>
      </w:r>
      <w:r w:rsidR="0000279B">
        <w:t>'</w:t>
      </w:r>
      <w:r w:rsidRPr="009678BA">
        <w:t>EES, seguito dall</w:t>
      </w:r>
      <w:r w:rsidR="0000279B">
        <w:t>'</w:t>
      </w:r>
      <w:r w:rsidRPr="009678BA">
        <w:t>ETIAS, dall</w:t>
      </w:r>
      <w:r w:rsidR="0000279B">
        <w:t>'</w:t>
      </w:r>
      <w:r w:rsidRPr="009678BA">
        <w:t>ECRIS-TCN, dal nuovo Eurodac, dal VIS riveduto e dai regolamenti sull</w:t>
      </w:r>
      <w:r w:rsidR="0000279B">
        <w:t>'</w:t>
      </w:r>
      <w:r w:rsidRPr="009678BA">
        <w:t>interoperabilità introdotti parallelamente, segue una tabella di marcia che è stata modificata a causa delle difficoltà emergenti.</w:t>
      </w:r>
    </w:p>
  </w:footnote>
  <w:footnote w:id="4">
    <w:p w:rsidR="665A5B87" w:rsidRPr="009678BA" w:rsidRDefault="665A5B87" w:rsidP="00D72D7C">
      <w:pPr>
        <w:pStyle w:val="Footn"/>
      </w:pPr>
      <w:r>
        <w:rPr>
          <w:rStyle w:val="FootnoteReference"/>
        </w:rPr>
        <w:footnoteRef/>
      </w:r>
      <w:r w:rsidRPr="009678BA">
        <w:tab/>
        <w:t>Regolamento (UE) 2016/2006 del Parlamento europeo e del Consiglio, del 9 marzo 2016, che istituisce un codice unionale relativo al regime di attraversamento delle frontiere da parte delle persone (GU L 77 del 23.3.2006, pag. 1, ELI:</w:t>
      </w:r>
      <w:r w:rsidRPr="009678BA">
        <w:rPr>
          <w:u w:val="single"/>
        </w:rPr>
        <w:t> </w:t>
      </w:r>
      <w:r w:rsidRPr="009678BA">
        <w:t xml:space="preserve"> </w:t>
      </w:r>
      <w:hyperlink r:id="rId2" w:history="1">
        <w:r w:rsidRPr="009678BA">
          <w:rPr>
            <w:rStyle w:val="Hyperlink"/>
          </w:rPr>
          <w:t>http://data.europa.eu/eli/reg/2016/399/2024-07-10</w:t>
        </w:r>
      </w:hyperlink>
      <w:r w:rsidRPr="009678BA">
        <w:rPr>
          <w:u w:val="single"/>
        </w:rPr>
        <w:t>).</w:t>
      </w:r>
    </w:p>
  </w:footnote>
  <w:footnote w:id="5">
    <w:p w:rsidR="005F2380" w:rsidRPr="009678BA" w:rsidRDefault="005F2380">
      <w:pPr>
        <w:pStyle w:val="FootnoteText"/>
      </w:pPr>
      <w:r>
        <w:rPr>
          <w:rStyle w:val="FootnoteReference"/>
        </w:rPr>
        <w:footnoteRef/>
      </w:r>
      <w:r w:rsidRPr="009678BA">
        <w:tab/>
        <w:t>Convenzione di applicazione dell</w:t>
      </w:r>
      <w:r w:rsidR="0000279B">
        <w:t>'</w:t>
      </w:r>
      <w:r w:rsidRPr="009678BA">
        <w:t>Accordo di Schengen del 14 giugno 1985 tra i governi degli Stati dell</w:t>
      </w:r>
      <w:r w:rsidR="0000279B">
        <w:t>'</w:t>
      </w:r>
      <w:r w:rsidRPr="009678BA">
        <w:t>Unione economica Benelux, della Repubblica federale di Germania e della Repubblica francese relativo all</w:t>
      </w:r>
      <w:r w:rsidR="0000279B">
        <w:t>'</w:t>
      </w:r>
      <w:r w:rsidRPr="009678BA">
        <w:t>eliminazione graduale dei controlli alle frontiere comuni</w:t>
      </w:r>
      <w:r w:rsidRPr="009678BA">
        <w:tab/>
        <w:t>(GU L 239 del 22.9.2000, pag.</w:t>
      </w:r>
      <w:r w:rsidR="0000279B">
        <w:t> </w:t>
      </w:r>
      <w:r w:rsidRPr="009678BA">
        <w:t xml:space="preserve">19, ELI: </w:t>
      </w:r>
      <w:hyperlink r:id="rId3" w:history="1">
        <w:r w:rsidRPr="009678BA">
          <w:rPr>
            <w:rStyle w:val="Hyperlink"/>
          </w:rPr>
          <w:t>http://data.europa.eu/eli/convention/2000/922/oj</w:t>
        </w:r>
      </w:hyperlink>
      <w:r w:rsidRPr="009678BA">
        <w:t>).</w:t>
      </w:r>
    </w:p>
  </w:footnote>
  <w:footnote w:id="6">
    <w:p w:rsidR="1DCAE65F" w:rsidRPr="009678BA" w:rsidRDefault="1DCAE65F" w:rsidP="00BE34C9">
      <w:pPr>
        <w:pStyle w:val="FootnoteText"/>
      </w:pPr>
      <w:r>
        <w:rPr>
          <w:rStyle w:val="FootnoteReference"/>
        </w:rPr>
        <w:footnoteRef/>
      </w:r>
      <w:r w:rsidRPr="009678BA">
        <w:tab/>
        <w:t>Regolamento (UE) 2016/679 del Parlamento europeo e del Consiglio, del 27 aprile 2016, relativo alla protezione delle persone fisiche con riguardo al trattamento dei dati personali, nonché alla libera circolazione di tali dati e che abroga la direttiva 95/46/CE (GU L 119 del 4.5.2016, pag. 1, ELI:</w:t>
      </w:r>
      <w:r w:rsidR="0000279B">
        <w:t> </w:t>
      </w:r>
      <w:hyperlink r:id="rId4" w:history="1">
        <w:r w:rsidR="0000279B" w:rsidRPr="00546172">
          <w:rPr>
            <w:rStyle w:val="Hyperlink"/>
          </w:rPr>
          <w:t>http://data.europa.eu/eli/reg/2016/679/2016-05-04</w:t>
        </w:r>
      </w:hyperlink>
      <w:r w:rsidRPr="009678BA">
        <w:t>).</w:t>
      </w:r>
    </w:p>
  </w:footnote>
  <w:footnote w:id="7">
    <w:p w:rsidR="005F2380" w:rsidRPr="009678BA" w:rsidRDefault="005F2380">
      <w:pPr>
        <w:pStyle w:val="FootnoteText"/>
      </w:pPr>
      <w:r>
        <w:rPr>
          <w:rStyle w:val="FootnoteReference"/>
        </w:rPr>
        <w:footnoteRef/>
      </w:r>
      <w:r w:rsidRPr="009678BA">
        <w:tab/>
        <w:t>Regolamento (UE) 2019/817 del Parlamento europeo e del Consiglio, del 20 maggio 2019, che istituisce un quadro per l</w:t>
      </w:r>
      <w:r w:rsidR="0000279B">
        <w:t>'</w:t>
      </w:r>
      <w:r w:rsidRPr="009678BA">
        <w:t>interoperabilità tra i sistemi di informazione dell</w:t>
      </w:r>
      <w:r w:rsidR="0000279B">
        <w:t>'</w:t>
      </w:r>
      <w:r w:rsidRPr="009678BA">
        <w:t>UE nel settore delle frontiere e dei visti e che modifica i regolamenti (CE) n. 767/2008, (UE) n. 2016/399, (UE) 2017/2226, (UE) 2018/1240, (UE) 2018/1726 e (UE) 2018/1861 del Parlamento europeo e del Consiglio e le decisioni 2004/512/CE e 2008/633/GAI del Consiglio (GU L 135 del 22.5.2019, pag. 27, ELI:</w:t>
      </w:r>
      <w:r w:rsidR="0000279B">
        <w:t> </w:t>
      </w:r>
      <w:hyperlink r:id="rId5" w:history="1">
        <w:r w:rsidR="0000279B" w:rsidRPr="00546172">
          <w:rPr>
            <w:rStyle w:val="Hyperlink"/>
          </w:rPr>
          <w:t>http://data.europa.eu/eli/reg/2019/817/2024-04-25</w:t>
        </w:r>
      </w:hyperlink>
      <w:r w:rsidRPr="009678BA">
        <w:rPr>
          <w:color w:val="333333"/>
        </w:rPr>
        <w:t>).</w:t>
      </w:r>
    </w:p>
  </w:footnote>
  <w:footnote w:id="8">
    <w:p w:rsidR="00BE0D22" w:rsidRPr="0000279B" w:rsidRDefault="00BE0D22" w:rsidP="00BE0D22">
      <w:pPr>
        <w:pStyle w:val="FootnoteText"/>
        <w:rPr>
          <w:lang w:val="en-IE"/>
        </w:rPr>
      </w:pPr>
      <w:r>
        <w:rPr>
          <w:rStyle w:val="FootnoteReference"/>
        </w:rPr>
        <w:footnoteRef/>
      </w:r>
      <w:r w:rsidRPr="0000279B">
        <w:rPr>
          <w:lang w:val="en-IE"/>
        </w:rPr>
        <w:tab/>
        <w:t>SWD(2016) 114 final, SWD(2016) 115 final, SWD(2016) 116 final.</w:t>
      </w:r>
    </w:p>
  </w:footnote>
  <w:footnote w:id="9">
    <w:p w:rsidR="0086315B" w:rsidRPr="009678BA" w:rsidRDefault="0086315B">
      <w:pPr>
        <w:pStyle w:val="FootnoteText"/>
      </w:pPr>
      <w:r>
        <w:rPr>
          <w:rStyle w:val="FootnoteReference"/>
        </w:rPr>
        <w:footnoteRef/>
      </w:r>
      <w:r w:rsidRPr="009678BA">
        <w:tab/>
        <w:t>Posizione del Parlamento europeo del [data da aggiungere dopo l</w:t>
      </w:r>
      <w:r w:rsidR="0000279B">
        <w:t>'</w:t>
      </w:r>
      <w:r w:rsidRPr="009678BA">
        <w:t>accordo] e decisione del Consiglio del [data da aggiungere dopo l</w:t>
      </w:r>
      <w:r w:rsidR="0000279B">
        <w:t>'</w:t>
      </w:r>
      <w:r w:rsidRPr="009678BA">
        <w:t>accordo].</w:t>
      </w:r>
    </w:p>
  </w:footnote>
  <w:footnote w:id="10">
    <w:p w:rsidR="00C1659F" w:rsidRPr="009678BA" w:rsidRDefault="00A276E8" w:rsidP="00C1659F">
      <w:pPr>
        <w:pStyle w:val="FootnoteText"/>
      </w:pPr>
      <w:r>
        <w:rPr>
          <w:rStyle w:val="FootnoteReference"/>
        </w:rPr>
        <w:footnoteRef/>
      </w:r>
      <w:r w:rsidRPr="009678BA">
        <w:tab/>
        <w:t>Regolamento (UE) 2017/2226 del Parlamento europeo e del Consiglio, del 30 novembre 2017, che istituisce un sistema di ingressi/uscite per la registrazione dei dati di ingresso e di uscita e dei dati relativi al respingimento dei cittadini di paesi terzi che attraversano le frontiere esterne degli Stati membri e che determina le condizioni di accesso al sistema di ingressi/uscite a fini di contrasto e che modifica la Convenzione di applicazione dell</w:t>
      </w:r>
      <w:r w:rsidR="0000279B">
        <w:t>'</w:t>
      </w:r>
      <w:r w:rsidRPr="009678BA">
        <w:t>Accordo di Schengen e i regolamenti (CE) n. 767/2008 e (UE) n. 1077/2011 (GU L 327 del 9.12.2017, pag. 20, ELI: </w:t>
      </w:r>
      <w:hyperlink r:id="rId6" w:tooltip="Il link dà accesso al documento tramite il relativo URI ELI." w:history="1">
        <w:r w:rsidRPr="009678BA">
          <w:rPr>
            <w:rStyle w:val="Hyperlink"/>
          </w:rPr>
          <w:t>http://data.europa.eu/eli/reg/2017/2226/oj</w:t>
        </w:r>
      </w:hyperlink>
      <w:r w:rsidRPr="009678BA">
        <w:t>).</w:t>
      </w:r>
    </w:p>
    <w:p w:rsidR="00A276E8" w:rsidRPr="009678BA" w:rsidRDefault="00A276E8">
      <w:pPr>
        <w:pStyle w:val="FootnoteText"/>
      </w:pPr>
    </w:p>
  </w:footnote>
  <w:footnote w:id="11">
    <w:p w:rsidR="00281C61" w:rsidRPr="009678BA" w:rsidRDefault="00281C61" w:rsidP="00281C61">
      <w:pPr>
        <w:pStyle w:val="FootnoteText"/>
      </w:pPr>
      <w:r>
        <w:rPr>
          <w:rStyle w:val="FootnoteReference"/>
        </w:rPr>
        <w:footnoteRef/>
      </w:r>
      <w:r w:rsidRPr="009678BA">
        <w:tab/>
        <w:t xml:space="preserve">Regolamento (UE) 2016/399 del Parlamento europeo e del Consiglio, del 9 marzo 2016, che istituisce un codice unionale relativo al regime di attraversamento delle frontiere da parte delle persone (codice frontiere Schengen) (GU L 77 del 23.3.2016, pag. 1, ELI: </w:t>
      </w:r>
      <w:hyperlink r:id="rId7" w:history="1">
        <w:r w:rsidRPr="009678BA">
          <w:rPr>
            <w:rStyle w:val="Hyperlink"/>
          </w:rPr>
          <w:t>http://data.europa.eu/eli/reg/2016/399/oj</w:t>
        </w:r>
      </w:hyperlink>
      <w:r w:rsidRPr="009678BA">
        <w:t>).</w:t>
      </w:r>
    </w:p>
  </w:footnote>
  <w:footnote w:id="12">
    <w:p w:rsidR="00BD5B7B" w:rsidRPr="009678BA" w:rsidRDefault="00BD5B7B">
      <w:pPr>
        <w:pStyle w:val="FootnoteText"/>
      </w:pPr>
      <w:r>
        <w:rPr>
          <w:rStyle w:val="FootnoteReference"/>
        </w:rPr>
        <w:footnoteRef/>
      </w:r>
      <w:r w:rsidRPr="009678BA">
        <w:tab/>
        <w:t>Regolamento (CE) n. 767/2008 del Parlamento europeo e del Consiglio, del 9 luglio 2008, concernente il sistema di informazione visti (VIS) e lo scambio di dati tra Stati membri sui visti per soggiorni di breve durata (regolamento VIS) (GU L 218 del 13.8.2008, pag. 60, ELI: </w:t>
      </w:r>
      <w:hyperlink r:id="rId8" w:tooltip="Il link dà accesso al documento tramite il relativo URI ELI." w:history="1">
        <w:r w:rsidRPr="009678BA">
          <w:rPr>
            <w:rStyle w:val="Hyperlink"/>
            <w:color w:val="23527C"/>
          </w:rPr>
          <w:t>http://data.europa.eu/eli/reg/2008/767/oj</w:t>
        </w:r>
      </w:hyperlink>
      <w:r w:rsidRPr="009678BA">
        <w:rPr>
          <w:color w:val="333333"/>
        </w:rPr>
        <w:t>).</w:t>
      </w:r>
    </w:p>
  </w:footnote>
  <w:footnote w:id="13">
    <w:p w:rsidR="00E84D54" w:rsidRPr="009678BA" w:rsidRDefault="00E84D54" w:rsidP="00E84D54">
      <w:pPr>
        <w:pStyle w:val="FootnoteText"/>
      </w:pPr>
      <w:r>
        <w:rPr>
          <w:rStyle w:val="FootnoteReference"/>
        </w:rPr>
        <w:footnoteRef/>
      </w:r>
      <w:r w:rsidRPr="009678BA">
        <w:tab/>
        <w:t>Convenzione di applicazione dell</w:t>
      </w:r>
      <w:r w:rsidR="0000279B">
        <w:t>'</w:t>
      </w:r>
      <w:r w:rsidRPr="009678BA">
        <w:t>Accordo di Schengen del 14 giugno 1985 tra i governi degli Stati dell</w:t>
      </w:r>
      <w:r w:rsidR="0000279B">
        <w:t>'</w:t>
      </w:r>
      <w:r w:rsidRPr="009678BA">
        <w:t>Unione economica Benelux, della Repubblica federale di Germania e della Repubblica francese relativo all</w:t>
      </w:r>
      <w:r w:rsidR="0000279B">
        <w:t>'</w:t>
      </w:r>
      <w:r w:rsidRPr="009678BA">
        <w:t>eliminazione graduale dei controlli alle frontiere comuni (GU L 239 del 22.9.2000, pag. 19, ELI: http://data.europa.eu/eli/convention/2000/922/oj).</w:t>
      </w:r>
    </w:p>
  </w:footnote>
  <w:footnote w:id="14">
    <w:p w:rsidR="00A83100" w:rsidRPr="009678BA" w:rsidRDefault="00A83100" w:rsidP="00A83100">
      <w:pPr>
        <w:pStyle w:val="FootnoteText"/>
      </w:pPr>
      <w:r>
        <w:rPr>
          <w:rStyle w:val="FootnoteReference"/>
        </w:rPr>
        <w:footnoteRef/>
      </w:r>
      <w:r w:rsidRPr="009678BA">
        <w:tab/>
        <w:t>Direttiva 2001/51/CE del Consiglio, del 28 giugno 2001, che integra le disposizioni dell</w:t>
      </w:r>
      <w:r w:rsidR="0000279B">
        <w:t>'</w:t>
      </w:r>
      <w:r w:rsidRPr="009678BA">
        <w:t>articolo 26 della convenzione di applicazione dell</w:t>
      </w:r>
      <w:r w:rsidR="0000279B">
        <w:t>'</w:t>
      </w:r>
      <w:r w:rsidRPr="009678BA">
        <w:t xml:space="preserve">accordo di Schengen del 14 giugno 1985 (GU L 187 del 10.7.2001, pag. 45, ELI: </w:t>
      </w:r>
      <w:hyperlink r:id="rId9" w:history="1">
        <w:r w:rsidRPr="009678BA">
          <w:rPr>
            <w:rStyle w:val="Hyperlink"/>
          </w:rPr>
          <w:t>http://data.europa.eu/eli/dir/2001/51/oj</w:t>
        </w:r>
      </w:hyperlink>
      <w:r w:rsidRPr="009678B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Default="00D67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9FD" w:rsidRDefault="00D6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8B00DA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AF2FAD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544FC8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22C69F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3"/>
  </w:num>
  <w:num w:numId="6">
    <w:abstractNumId w:val="2"/>
  </w:num>
  <w:num w:numId="7">
    <w:abstractNumId w:val="1"/>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num>
  <w:num w:numId="22">
    <w:abstractNumId w:val="18"/>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8"/>
  </w:num>
  <w:num w:numId="28">
    <w:abstractNumId w:val="17"/>
  </w:num>
  <w:num w:numId="29">
    <w:abstractNumId w:val="7"/>
  </w:num>
  <w:num w:numId="30">
    <w:abstractNumId w:val="9"/>
  </w:num>
  <w:num w:numId="31">
    <w:abstractNumId w:val="10"/>
  </w:num>
  <w:num w:numId="32">
    <w:abstractNumId w:val="5"/>
  </w:num>
  <w:num w:numId="33">
    <w:abstractNumId w:val="16"/>
  </w:num>
  <w:num w:numId="34">
    <w:abstractNumId w:val="4"/>
  </w:num>
  <w:num w:numId="35">
    <w:abstractNumId w:val="11"/>
  </w:num>
  <w:num w:numId="36">
    <w:abstractNumId w:val="13"/>
  </w:num>
  <w:num w:numId="37">
    <w:abstractNumId w:val="14"/>
  </w:num>
  <w:num w:numId="38">
    <w:abstractNumId w:val="6"/>
  </w:num>
  <w:num w:numId="39">
    <w:abstractNumId w:val="12"/>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1-06 09:03:0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E6792AA9-2C16-4B2F-8DAE-BC9775976E3A"/>
    <w:docVar w:name="LW_COVERPAGE_TYPE" w:val="1"/>
    <w:docVar w:name="LW_CROSSREFERENCE" w:val="&lt;UNUSED&gt;"/>
    <w:docVar w:name="LW_DocType" w:val="COM"/>
    <w:docVar w:name="LW_EMISSION" w:val="4.12.2024"/>
    <w:docVar w:name="LW_EMISSION_ISODATE" w:val="2024-12-04"/>
    <w:docVar w:name="LW_EMISSION_LOCATION" w:val="BRX"/>
    <w:docVar w:name="LW_EMISSION_PREFIX" w:val="Bruxelles,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COD"/>
    <w:docVar w:name="LW_REF.II.NEW.CP_NUMBER" w:val="0315"/>
    <w:docVar w:name="LW_REF.II.NEW.CP_YEAR" w:val="2024"/>
    <w:docVar w:name="LW_REF.INST.NEW" w:val="COM"/>
    <w:docVar w:name="LW_REF.INST.NEW_ADOPTED" w:val="final"/>
    <w:docVar w:name="LW_REF.INST.NEW_TEXT" w:val="(2024) 5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i"/>
    <w:docVar w:name="LW_SUPERTITRE" w:val="&lt;UNUSED&gt;"/>
    <w:docVar w:name="LW_TITRE.OBJ.CP" w:val="relativo a una deroga temporanea a talune disposizioni del regolamento (UE) 2017/2226 e del regolamento (UE) 2016/399 per quanto riguarda l'entrata in funzione graduale del sistema di ingressi/uscite _x000b_"/>
    <w:docVar w:name="LW_TYPE.DOC.CP" w:val="REGOLAMENTO DEL PARLAMENTO EUROPEO E DEL CONSIGLIO"/>
    <w:docVar w:name="LwApiVersions" w:val="LW4CoDe 1.24.5.0; LW 9.0, Build 20240221"/>
  </w:docVars>
  <w:rsids>
    <w:rsidRoot w:val="005F1085"/>
    <w:rsid w:val="000000ED"/>
    <w:rsid w:val="00000356"/>
    <w:rsid w:val="00000678"/>
    <w:rsid w:val="00000721"/>
    <w:rsid w:val="00000B70"/>
    <w:rsid w:val="00000BDE"/>
    <w:rsid w:val="00000CDF"/>
    <w:rsid w:val="00000FC0"/>
    <w:rsid w:val="00001297"/>
    <w:rsid w:val="000013BD"/>
    <w:rsid w:val="0000164A"/>
    <w:rsid w:val="00001668"/>
    <w:rsid w:val="00001793"/>
    <w:rsid w:val="00001E02"/>
    <w:rsid w:val="00001E84"/>
    <w:rsid w:val="00002773"/>
    <w:rsid w:val="0000279B"/>
    <w:rsid w:val="000027DA"/>
    <w:rsid w:val="00002BB7"/>
    <w:rsid w:val="000031AA"/>
    <w:rsid w:val="00003599"/>
    <w:rsid w:val="0000376F"/>
    <w:rsid w:val="000038CF"/>
    <w:rsid w:val="000039D7"/>
    <w:rsid w:val="00003D8F"/>
    <w:rsid w:val="00004184"/>
    <w:rsid w:val="000045F6"/>
    <w:rsid w:val="0000460A"/>
    <w:rsid w:val="00004640"/>
    <w:rsid w:val="000047D1"/>
    <w:rsid w:val="000050BB"/>
    <w:rsid w:val="000050E5"/>
    <w:rsid w:val="000052B4"/>
    <w:rsid w:val="00005441"/>
    <w:rsid w:val="0000547D"/>
    <w:rsid w:val="00005655"/>
    <w:rsid w:val="000059B9"/>
    <w:rsid w:val="00005B44"/>
    <w:rsid w:val="00005FB6"/>
    <w:rsid w:val="00006470"/>
    <w:rsid w:val="0000648D"/>
    <w:rsid w:val="00006629"/>
    <w:rsid w:val="00006A8F"/>
    <w:rsid w:val="00006E47"/>
    <w:rsid w:val="00006F64"/>
    <w:rsid w:val="0000708C"/>
    <w:rsid w:val="00007153"/>
    <w:rsid w:val="000072B1"/>
    <w:rsid w:val="000076C5"/>
    <w:rsid w:val="00007B8A"/>
    <w:rsid w:val="00007CC7"/>
    <w:rsid w:val="00007EBC"/>
    <w:rsid w:val="0001051B"/>
    <w:rsid w:val="0001073C"/>
    <w:rsid w:val="00010844"/>
    <w:rsid w:val="00010C38"/>
    <w:rsid w:val="00010DA0"/>
    <w:rsid w:val="000110DC"/>
    <w:rsid w:val="0001190B"/>
    <w:rsid w:val="000119ED"/>
    <w:rsid w:val="00011B08"/>
    <w:rsid w:val="00011BAD"/>
    <w:rsid w:val="00011BEB"/>
    <w:rsid w:val="00011C56"/>
    <w:rsid w:val="00011CCF"/>
    <w:rsid w:val="00011F8C"/>
    <w:rsid w:val="00012242"/>
    <w:rsid w:val="0001224B"/>
    <w:rsid w:val="000126A5"/>
    <w:rsid w:val="0001292B"/>
    <w:rsid w:val="00012CD9"/>
    <w:rsid w:val="00012CE1"/>
    <w:rsid w:val="00012E29"/>
    <w:rsid w:val="00012F9E"/>
    <w:rsid w:val="00013386"/>
    <w:rsid w:val="000134B4"/>
    <w:rsid w:val="00013516"/>
    <w:rsid w:val="000135F9"/>
    <w:rsid w:val="00013AE1"/>
    <w:rsid w:val="00013FB6"/>
    <w:rsid w:val="0001403D"/>
    <w:rsid w:val="00014142"/>
    <w:rsid w:val="000142FC"/>
    <w:rsid w:val="00014569"/>
    <w:rsid w:val="000146D2"/>
    <w:rsid w:val="00014938"/>
    <w:rsid w:val="00014B7B"/>
    <w:rsid w:val="00014C98"/>
    <w:rsid w:val="0001501A"/>
    <w:rsid w:val="0001518D"/>
    <w:rsid w:val="000155BF"/>
    <w:rsid w:val="0001581B"/>
    <w:rsid w:val="00015D68"/>
    <w:rsid w:val="0001604B"/>
    <w:rsid w:val="000160DB"/>
    <w:rsid w:val="000161C3"/>
    <w:rsid w:val="000161D2"/>
    <w:rsid w:val="000164B6"/>
    <w:rsid w:val="000165E6"/>
    <w:rsid w:val="000165F4"/>
    <w:rsid w:val="00016A00"/>
    <w:rsid w:val="00016C64"/>
    <w:rsid w:val="00016C95"/>
    <w:rsid w:val="00016CC1"/>
    <w:rsid w:val="00016D48"/>
    <w:rsid w:val="0001778A"/>
    <w:rsid w:val="000177CA"/>
    <w:rsid w:val="0001786C"/>
    <w:rsid w:val="00017A2B"/>
    <w:rsid w:val="00017A88"/>
    <w:rsid w:val="00017E75"/>
    <w:rsid w:val="00017E82"/>
    <w:rsid w:val="00017FC1"/>
    <w:rsid w:val="0002015B"/>
    <w:rsid w:val="00020163"/>
    <w:rsid w:val="00020301"/>
    <w:rsid w:val="0002058D"/>
    <w:rsid w:val="0002074A"/>
    <w:rsid w:val="00020856"/>
    <w:rsid w:val="00021058"/>
    <w:rsid w:val="00021527"/>
    <w:rsid w:val="0002169D"/>
    <w:rsid w:val="0002194B"/>
    <w:rsid w:val="00021D98"/>
    <w:rsid w:val="00021DEC"/>
    <w:rsid w:val="000220F8"/>
    <w:rsid w:val="000221DB"/>
    <w:rsid w:val="000222A0"/>
    <w:rsid w:val="00022466"/>
    <w:rsid w:val="000224FE"/>
    <w:rsid w:val="0002257D"/>
    <w:rsid w:val="000228ED"/>
    <w:rsid w:val="000228F4"/>
    <w:rsid w:val="00022DA6"/>
    <w:rsid w:val="00023088"/>
    <w:rsid w:val="00023957"/>
    <w:rsid w:val="00023A1B"/>
    <w:rsid w:val="00023E9F"/>
    <w:rsid w:val="00023EC7"/>
    <w:rsid w:val="00023F93"/>
    <w:rsid w:val="000246D8"/>
    <w:rsid w:val="000248DA"/>
    <w:rsid w:val="00024A42"/>
    <w:rsid w:val="00024C12"/>
    <w:rsid w:val="00024CC4"/>
    <w:rsid w:val="00024DD1"/>
    <w:rsid w:val="00024EDB"/>
    <w:rsid w:val="00024EE3"/>
    <w:rsid w:val="00025986"/>
    <w:rsid w:val="00025E8F"/>
    <w:rsid w:val="00025F13"/>
    <w:rsid w:val="000260A2"/>
    <w:rsid w:val="00026380"/>
    <w:rsid w:val="0002683D"/>
    <w:rsid w:val="00026DDB"/>
    <w:rsid w:val="00026FEC"/>
    <w:rsid w:val="000270A9"/>
    <w:rsid w:val="00027196"/>
    <w:rsid w:val="0002738A"/>
    <w:rsid w:val="000275CE"/>
    <w:rsid w:val="000276D6"/>
    <w:rsid w:val="00027828"/>
    <w:rsid w:val="00027A3D"/>
    <w:rsid w:val="00027CF8"/>
    <w:rsid w:val="00027E17"/>
    <w:rsid w:val="00027EB9"/>
    <w:rsid w:val="00027F65"/>
    <w:rsid w:val="000304E4"/>
    <w:rsid w:val="000305C5"/>
    <w:rsid w:val="000308A1"/>
    <w:rsid w:val="00030A0E"/>
    <w:rsid w:val="00030B34"/>
    <w:rsid w:val="00030FE4"/>
    <w:rsid w:val="00031224"/>
    <w:rsid w:val="00031880"/>
    <w:rsid w:val="000318FE"/>
    <w:rsid w:val="000319ED"/>
    <w:rsid w:val="00031A39"/>
    <w:rsid w:val="00031A42"/>
    <w:rsid w:val="00031CA0"/>
    <w:rsid w:val="00031CE2"/>
    <w:rsid w:val="00031DBC"/>
    <w:rsid w:val="00032333"/>
    <w:rsid w:val="0003251F"/>
    <w:rsid w:val="0003281C"/>
    <w:rsid w:val="000328F1"/>
    <w:rsid w:val="00032A1D"/>
    <w:rsid w:val="00032B35"/>
    <w:rsid w:val="00032B48"/>
    <w:rsid w:val="00033183"/>
    <w:rsid w:val="0003333B"/>
    <w:rsid w:val="000333CE"/>
    <w:rsid w:val="000335AB"/>
    <w:rsid w:val="000336D9"/>
    <w:rsid w:val="00033929"/>
    <w:rsid w:val="00033CB8"/>
    <w:rsid w:val="00033E57"/>
    <w:rsid w:val="000342C9"/>
    <w:rsid w:val="000343C0"/>
    <w:rsid w:val="00034633"/>
    <w:rsid w:val="00034A02"/>
    <w:rsid w:val="00034B54"/>
    <w:rsid w:val="00034EC8"/>
    <w:rsid w:val="00034F7C"/>
    <w:rsid w:val="000350E0"/>
    <w:rsid w:val="00035646"/>
    <w:rsid w:val="00035683"/>
    <w:rsid w:val="0003575B"/>
    <w:rsid w:val="00035AEE"/>
    <w:rsid w:val="00035B0A"/>
    <w:rsid w:val="00035CF9"/>
    <w:rsid w:val="00035FA7"/>
    <w:rsid w:val="00035FB2"/>
    <w:rsid w:val="00036005"/>
    <w:rsid w:val="0003652C"/>
    <w:rsid w:val="000365B1"/>
    <w:rsid w:val="00036757"/>
    <w:rsid w:val="0003699A"/>
    <w:rsid w:val="00037066"/>
    <w:rsid w:val="0003773A"/>
    <w:rsid w:val="0003774E"/>
    <w:rsid w:val="00037AEA"/>
    <w:rsid w:val="00037B2F"/>
    <w:rsid w:val="00037CD2"/>
    <w:rsid w:val="00037F7D"/>
    <w:rsid w:val="00040255"/>
    <w:rsid w:val="00040366"/>
    <w:rsid w:val="000404B0"/>
    <w:rsid w:val="0004056B"/>
    <w:rsid w:val="0004061C"/>
    <w:rsid w:val="00040791"/>
    <w:rsid w:val="00040CE0"/>
    <w:rsid w:val="00040CE1"/>
    <w:rsid w:val="00040E83"/>
    <w:rsid w:val="00040F5E"/>
    <w:rsid w:val="000411AF"/>
    <w:rsid w:val="00041488"/>
    <w:rsid w:val="000414BC"/>
    <w:rsid w:val="00041610"/>
    <w:rsid w:val="000416B0"/>
    <w:rsid w:val="00041817"/>
    <w:rsid w:val="00041987"/>
    <w:rsid w:val="0004198D"/>
    <w:rsid w:val="00041A8C"/>
    <w:rsid w:val="00041BA9"/>
    <w:rsid w:val="00041E0B"/>
    <w:rsid w:val="00041EF4"/>
    <w:rsid w:val="00041F88"/>
    <w:rsid w:val="00042003"/>
    <w:rsid w:val="000420AD"/>
    <w:rsid w:val="00042176"/>
    <w:rsid w:val="00042292"/>
    <w:rsid w:val="0004267A"/>
    <w:rsid w:val="0004278F"/>
    <w:rsid w:val="00042AD7"/>
    <w:rsid w:val="00042BD4"/>
    <w:rsid w:val="00042CF4"/>
    <w:rsid w:val="0004347C"/>
    <w:rsid w:val="000437E7"/>
    <w:rsid w:val="00043854"/>
    <w:rsid w:val="00043950"/>
    <w:rsid w:val="00043CC2"/>
    <w:rsid w:val="00043EC7"/>
    <w:rsid w:val="00043F70"/>
    <w:rsid w:val="00044099"/>
    <w:rsid w:val="00044346"/>
    <w:rsid w:val="00044484"/>
    <w:rsid w:val="000445B4"/>
    <w:rsid w:val="00044F01"/>
    <w:rsid w:val="00044F34"/>
    <w:rsid w:val="0004501E"/>
    <w:rsid w:val="00045358"/>
    <w:rsid w:val="000455E6"/>
    <w:rsid w:val="000457EA"/>
    <w:rsid w:val="0004596C"/>
    <w:rsid w:val="000460B3"/>
    <w:rsid w:val="000463B5"/>
    <w:rsid w:val="000464C0"/>
    <w:rsid w:val="00046745"/>
    <w:rsid w:val="00046792"/>
    <w:rsid w:val="00046D2E"/>
    <w:rsid w:val="00046DD3"/>
    <w:rsid w:val="00046E75"/>
    <w:rsid w:val="00047134"/>
    <w:rsid w:val="000475FA"/>
    <w:rsid w:val="00047B11"/>
    <w:rsid w:val="00047E7A"/>
    <w:rsid w:val="000502A8"/>
    <w:rsid w:val="0005046F"/>
    <w:rsid w:val="0005076C"/>
    <w:rsid w:val="00050AA8"/>
    <w:rsid w:val="00050B31"/>
    <w:rsid w:val="00050CB2"/>
    <w:rsid w:val="00050CF4"/>
    <w:rsid w:val="0005112E"/>
    <w:rsid w:val="00051226"/>
    <w:rsid w:val="0005124D"/>
    <w:rsid w:val="0005154F"/>
    <w:rsid w:val="00051977"/>
    <w:rsid w:val="000519EB"/>
    <w:rsid w:val="00051C68"/>
    <w:rsid w:val="00051D46"/>
    <w:rsid w:val="0005235E"/>
    <w:rsid w:val="000524E3"/>
    <w:rsid w:val="00052832"/>
    <w:rsid w:val="00052A06"/>
    <w:rsid w:val="00052D7C"/>
    <w:rsid w:val="00052FF9"/>
    <w:rsid w:val="00053717"/>
    <w:rsid w:val="00053831"/>
    <w:rsid w:val="00053B5F"/>
    <w:rsid w:val="00053F19"/>
    <w:rsid w:val="0005400F"/>
    <w:rsid w:val="0005434D"/>
    <w:rsid w:val="00054462"/>
    <w:rsid w:val="00054652"/>
    <w:rsid w:val="0005499E"/>
    <w:rsid w:val="00054E4E"/>
    <w:rsid w:val="000551A8"/>
    <w:rsid w:val="000551AB"/>
    <w:rsid w:val="0005522B"/>
    <w:rsid w:val="00055284"/>
    <w:rsid w:val="00055362"/>
    <w:rsid w:val="000554A9"/>
    <w:rsid w:val="000555F3"/>
    <w:rsid w:val="00055C0D"/>
    <w:rsid w:val="00055C2C"/>
    <w:rsid w:val="00055E3F"/>
    <w:rsid w:val="00056081"/>
    <w:rsid w:val="000560F1"/>
    <w:rsid w:val="0005673B"/>
    <w:rsid w:val="00056A16"/>
    <w:rsid w:val="00056AED"/>
    <w:rsid w:val="00056D5C"/>
    <w:rsid w:val="00057032"/>
    <w:rsid w:val="00057480"/>
    <w:rsid w:val="00057A6F"/>
    <w:rsid w:val="00057C72"/>
    <w:rsid w:val="00057F8B"/>
    <w:rsid w:val="00060021"/>
    <w:rsid w:val="000601B1"/>
    <w:rsid w:val="00060274"/>
    <w:rsid w:val="000603BE"/>
    <w:rsid w:val="00060473"/>
    <w:rsid w:val="00060637"/>
    <w:rsid w:val="00060744"/>
    <w:rsid w:val="000609F4"/>
    <w:rsid w:val="00060DDA"/>
    <w:rsid w:val="00060E7B"/>
    <w:rsid w:val="00061090"/>
    <w:rsid w:val="0006116C"/>
    <w:rsid w:val="000615CD"/>
    <w:rsid w:val="0006180A"/>
    <w:rsid w:val="00061909"/>
    <w:rsid w:val="00061BF4"/>
    <w:rsid w:val="00061E36"/>
    <w:rsid w:val="00061F1A"/>
    <w:rsid w:val="0006232D"/>
    <w:rsid w:val="000623A4"/>
    <w:rsid w:val="000623C9"/>
    <w:rsid w:val="000624DE"/>
    <w:rsid w:val="00062502"/>
    <w:rsid w:val="00062673"/>
    <w:rsid w:val="00062748"/>
    <w:rsid w:val="00062762"/>
    <w:rsid w:val="00062CE4"/>
    <w:rsid w:val="00063221"/>
    <w:rsid w:val="0006374A"/>
    <w:rsid w:val="000638CB"/>
    <w:rsid w:val="00063A09"/>
    <w:rsid w:val="00063A4F"/>
    <w:rsid w:val="00063B08"/>
    <w:rsid w:val="00063B3B"/>
    <w:rsid w:val="00063EE9"/>
    <w:rsid w:val="00063F39"/>
    <w:rsid w:val="00064228"/>
    <w:rsid w:val="00064237"/>
    <w:rsid w:val="00064397"/>
    <w:rsid w:val="00064F00"/>
    <w:rsid w:val="00065183"/>
    <w:rsid w:val="00065335"/>
    <w:rsid w:val="00065403"/>
    <w:rsid w:val="00065438"/>
    <w:rsid w:val="00065618"/>
    <w:rsid w:val="00065886"/>
    <w:rsid w:val="0006595D"/>
    <w:rsid w:val="00065AB0"/>
    <w:rsid w:val="00065C48"/>
    <w:rsid w:val="00065CB0"/>
    <w:rsid w:val="00065DEE"/>
    <w:rsid w:val="00065EE2"/>
    <w:rsid w:val="0006604A"/>
    <w:rsid w:val="0006604C"/>
    <w:rsid w:val="0006616F"/>
    <w:rsid w:val="00066322"/>
    <w:rsid w:val="0006687C"/>
    <w:rsid w:val="00066888"/>
    <w:rsid w:val="000669EA"/>
    <w:rsid w:val="00066E87"/>
    <w:rsid w:val="00066F26"/>
    <w:rsid w:val="00066FD7"/>
    <w:rsid w:val="0006714A"/>
    <w:rsid w:val="00067619"/>
    <w:rsid w:val="00067B6D"/>
    <w:rsid w:val="00067E13"/>
    <w:rsid w:val="00067F39"/>
    <w:rsid w:val="00067F4D"/>
    <w:rsid w:val="0007046E"/>
    <w:rsid w:val="0007050F"/>
    <w:rsid w:val="000709AB"/>
    <w:rsid w:val="00070B0C"/>
    <w:rsid w:val="00070CC6"/>
    <w:rsid w:val="00070CEC"/>
    <w:rsid w:val="0007107C"/>
    <w:rsid w:val="00071087"/>
    <w:rsid w:val="000710DC"/>
    <w:rsid w:val="000712DC"/>
    <w:rsid w:val="00071645"/>
    <w:rsid w:val="00071701"/>
    <w:rsid w:val="0007178C"/>
    <w:rsid w:val="0007182A"/>
    <w:rsid w:val="00071FBA"/>
    <w:rsid w:val="00072111"/>
    <w:rsid w:val="0007252A"/>
    <w:rsid w:val="00072734"/>
    <w:rsid w:val="000728BB"/>
    <w:rsid w:val="000728E8"/>
    <w:rsid w:val="00072DA9"/>
    <w:rsid w:val="00073074"/>
    <w:rsid w:val="00073310"/>
    <w:rsid w:val="00073605"/>
    <w:rsid w:val="000737CD"/>
    <w:rsid w:val="000737F5"/>
    <w:rsid w:val="00073AD0"/>
    <w:rsid w:val="00073B83"/>
    <w:rsid w:val="00073D27"/>
    <w:rsid w:val="000740EA"/>
    <w:rsid w:val="000746E9"/>
    <w:rsid w:val="00074AE9"/>
    <w:rsid w:val="00074B93"/>
    <w:rsid w:val="00074D09"/>
    <w:rsid w:val="00074E52"/>
    <w:rsid w:val="00074FAC"/>
    <w:rsid w:val="00075028"/>
    <w:rsid w:val="000755FC"/>
    <w:rsid w:val="0007563D"/>
    <w:rsid w:val="00075967"/>
    <w:rsid w:val="00075BC1"/>
    <w:rsid w:val="00075EEA"/>
    <w:rsid w:val="00075F6C"/>
    <w:rsid w:val="000761D8"/>
    <w:rsid w:val="00076583"/>
    <w:rsid w:val="00076972"/>
    <w:rsid w:val="00076A85"/>
    <w:rsid w:val="00076AA0"/>
    <w:rsid w:val="00076E53"/>
    <w:rsid w:val="0007715B"/>
    <w:rsid w:val="0007737F"/>
    <w:rsid w:val="0007753E"/>
    <w:rsid w:val="000775A3"/>
    <w:rsid w:val="00077947"/>
    <w:rsid w:val="000779A1"/>
    <w:rsid w:val="00077BE0"/>
    <w:rsid w:val="00077EE4"/>
    <w:rsid w:val="000801A7"/>
    <w:rsid w:val="00080231"/>
    <w:rsid w:val="000802D0"/>
    <w:rsid w:val="000803F3"/>
    <w:rsid w:val="00080506"/>
    <w:rsid w:val="0008069C"/>
    <w:rsid w:val="00080A7A"/>
    <w:rsid w:val="00080AE9"/>
    <w:rsid w:val="00080B17"/>
    <w:rsid w:val="00080B22"/>
    <w:rsid w:val="00080D11"/>
    <w:rsid w:val="00080E3B"/>
    <w:rsid w:val="00081726"/>
    <w:rsid w:val="000818AD"/>
    <w:rsid w:val="000818F3"/>
    <w:rsid w:val="00081A94"/>
    <w:rsid w:val="00081D04"/>
    <w:rsid w:val="00081DD2"/>
    <w:rsid w:val="00081E95"/>
    <w:rsid w:val="00082057"/>
    <w:rsid w:val="000822A5"/>
    <w:rsid w:val="00082341"/>
    <w:rsid w:val="000824D5"/>
    <w:rsid w:val="00082656"/>
    <w:rsid w:val="00082AB0"/>
    <w:rsid w:val="00082DD6"/>
    <w:rsid w:val="0008301A"/>
    <w:rsid w:val="00083045"/>
    <w:rsid w:val="0008336B"/>
    <w:rsid w:val="0008395D"/>
    <w:rsid w:val="00083D79"/>
    <w:rsid w:val="00083ECF"/>
    <w:rsid w:val="00084150"/>
    <w:rsid w:val="00084578"/>
    <w:rsid w:val="00084885"/>
    <w:rsid w:val="000848F5"/>
    <w:rsid w:val="0008495C"/>
    <w:rsid w:val="00084991"/>
    <w:rsid w:val="00084E8E"/>
    <w:rsid w:val="00085509"/>
    <w:rsid w:val="00085593"/>
    <w:rsid w:val="000856BE"/>
    <w:rsid w:val="00085921"/>
    <w:rsid w:val="00085B2B"/>
    <w:rsid w:val="00085B4D"/>
    <w:rsid w:val="00085FB0"/>
    <w:rsid w:val="00085FC5"/>
    <w:rsid w:val="000860E0"/>
    <w:rsid w:val="00086136"/>
    <w:rsid w:val="000862A4"/>
    <w:rsid w:val="000864A0"/>
    <w:rsid w:val="0008674D"/>
    <w:rsid w:val="0008688B"/>
    <w:rsid w:val="00086AF1"/>
    <w:rsid w:val="00086F2E"/>
    <w:rsid w:val="000871C6"/>
    <w:rsid w:val="0008731D"/>
    <w:rsid w:val="0008769C"/>
    <w:rsid w:val="0008792C"/>
    <w:rsid w:val="00088485"/>
    <w:rsid w:val="00090229"/>
    <w:rsid w:val="00090381"/>
    <w:rsid w:val="0009040B"/>
    <w:rsid w:val="00090497"/>
    <w:rsid w:val="0009082E"/>
    <w:rsid w:val="00090B5C"/>
    <w:rsid w:val="00090B92"/>
    <w:rsid w:val="00090B99"/>
    <w:rsid w:val="00090F31"/>
    <w:rsid w:val="00090F85"/>
    <w:rsid w:val="00091592"/>
    <w:rsid w:val="00091737"/>
    <w:rsid w:val="00091A30"/>
    <w:rsid w:val="00091AB2"/>
    <w:rsid w:val="00091B43"/>
    <w:rsid w:val="00091CB0"/>
    <w:rsid w:val="00091D26"/>
    <w:rsid w:val="00091DEF"/>
    <w:rsid w:val="00092001"/>
    <w:rsid w:val="00092056"/>
    <w:rsid w:val="000927B6"/>
    <w:rsid w:val="000927F6"/>
    <w:rsid w:val="000929FB"/>
    <w:rsid w:val="00092AD9"/>
    <w:rsid w:val="00092DD7"/>
    <w:rsid w:val="00092EFE"/>
    <w:rsid w:val="00092F0D"/>
    <w:rsid w:val="000930BD"/>
    <w:rsid w:val="000931C9"/>
    <w:rsid w:val="00093291"/>
    <w:rsid w:val="000939A0"/>
    <w:rsid w:val="0009412C"/>
    <w:rsid w:val="0009421B"/>
    <w:rsid w:val="00094506"/>
    <w:rsid w:val="000945BB"/>
    <w:rsid w:val="00094C47"/>
    <w:rsid w:val="00095492"/>
    <w:rsid w:val="0009555E"/>
    <w:rsid w:val="00095624"/>
    <w:rsid w:val="000956CA"/>
    <w:rsid w:val="00095D8A"/>
    <w:rsid w:val="00096076"/>
    <w:rsid w:val="0009630F"/>
    <w:rsid w:val="00096383"/>
    <w:rsid w:val="00096946"/>
    <w:rsid w:val="00096AB3"/>
    <w:rsid w:val="00096B2B"/>
    <w:rsid w:val="00096B8A"/>
    <w:rsid w:val="00096BEA"/>
    <w:rsid w:val="00096EF5"/>
    <w:rsid w:val="0009706B"/>
    <w:rsid w:val="00097348"/>
    <w:rsid w:val="00097479"/>
    <w:rsid w:val="00097540"/>
    <w:rsid w:val="00097836"/>
    <w:rsid w:val="00097C43"/>
    <w:rsid w:val="00097CAE"/>
    <w:rsid w:val="000A0198"/>
    <w:rsid w:val="000A034D"/>
    <w:rsid w:val="000A03D2"/>
    <w:rsid w:val="000A06D7"/>
    <w:rsid w:val="000A07F1"/>
    <w:rsid w:val="000A08EE"/>
    <w:rsid w:val="000A08F6"/>
    <w:rsid w:val="000A0CB0"/>
    <w:rsid w:val="000A0DC1"/>
    <w:rsid w:val="000A1233"/>
    <w:rsid w:val="000A12EE"/>
    <w:rsid w:val="000A1320"/>
    <w:rsid w:val="000A145D"/>
    <w:rsid w:val="000A17CB"/>
    <w:rsid w:val="000A195C"/>
    <w:rsid w:val="000A1A45"/>
    <w:rsid w:val="000A1AA0"/>
    <w:rsid w:val="000A1C50"/>
    <w:rsid w:val="000A20D2"/>
    <w:rsid w:val="000A2162"/>
    <w:rsid w:val="000A2163"/>
    <w:rsid w:val="000A242F"/>
    <w:rsid w:val="000A25EA"/>
    <w:rsid w:val="000A268C"/>
    <w:rsid w:val="000A2774"/>
    <w:rsid w:val="000A2C27"/>
    <w:rsid w:val="000A2D3C"/>
    <w:rsid w:val="000A2DD7"/>
    <w:rsid w:val="000A2FFE"/>
    <w:rsid w:val="000A3075"/>
    <w:rsid w:val="000A32B9"/>
    <w:rsid w:val="000A347E"/>
    <w:rsid w:val="000A34F0"/>
    <w:rsid w:val="000A37A6"/>
    <w:rsid w:val="000A39E6"/>
    <w:rsid w:val="000A3A83"/>
    <w:rsid w:val="000A3BC8"/>
    <w:rsid w:val="000A3D4B"/>
    <w:rsid w:val="000A3FC7"/>
    <w:rsid w:val="000A405F"/>
    <w:rsid w:val="000A4094"/>
    <w:rsid w:val="000A40A7"/>
    <w:rsid w:val="000A4322"/>
    <w:rsid w:val="000A45B0"/>
    <w:rsid w:val="000A4607"/>
    <w:rsid w:val="000A46C6"/>
    <w:rsid w:val="000A4918"/>
    <w:rsid w:val="000A49D9"/>
    <w:rsid w:val="000A4B4D"/>
    <w:rsid w:val="000A4B5D"/>
    <w:rsid w:val="000A4BA8"/>
    <w:rsid w:val="000A4EFB"/>
    <w:rsid w:val="000A506E"/>
    <w:rsid w:val="000A5148"/>
    <w:rsid w:val="000A53AA"/>
    <w:rsid w:val="000A5561"/>
    <w:rsid w:val="000A5641"/>
    <w:rsid w:val="000A5654"/>
    <w:rsid w:val="000A5886"/>
    <w:rsid w:val="000A58C1"/>
    <w:rsid w:val="000A5C09"/>
    <w:rsid w:val="000A5CEF"/>
    <w:rsid w:val="000A5D2E"/>
    <w:rsid w:val="000A5E70"/>
    <w:rsid w:val="000A5E83"/>
    <w:rsid w:val="000A5F5F"/>
    <w:rsid w:val="000A5FA7"/>
    <w:rsid w:val="000A6234"/>
    <w:rsid w:val="000A6B1E"/>
    <w:rsid w:val="000A6DCB"/>
    <w:rsid w:val="000A6DD8"/>
    <w:rsid w:val="000A6E7D"/>
    <w:rsid w:val="000A74F3"/>
    <w:rsid w:val="000A7661"/>
    <w:rsid w:val="000A77EF"/>
    <w:rsid w:val="000A7A03"/>
    <w:rsid w:val="000A7B66"/>
    <w:rsid w:val="000B076C"/>
    <w:rsid w:val="000B0C14"/>
    <w:rsid w:val="000B0CAD"/>
    <w:rsid w:val="000B140A"/>
    <w:rsid w:val="000B18B0"/>
    <w:rsid w:val="000B1DCA"/>
    <w:rsid w:val="000B216A"/>
    <w:rsid w:val="000B22FB"/>
    <w:rsid w:val="000B24A9"/>
    <w:rsid w:val="000B2507"/>
    <w:rsid w:val="000B25A5"/>
    <w:rsid w:val="000B2A4C"/>
    <w:rsid w:val="000B2B1E"/>
    <w:rsid w:val="000B2CB2"/>
    <w:rsid w:val="000B2E4A"/>
    <w:rsid w:val="000B2F63"/>
    <w:rsid w:val="000B3300"/>
    <w:rsid w:val="000B37D0"/>
    <w:rsid w:val="000B3AD3"/>
    <w:rsid w:val="000B3B9C"/>
    <w:rsid w:val="000B3D63"/>
    <w:rsid w:val="000B42F6"/>
    <w:rsid w:val="000B42F8"/>
    <w:rsid w:val="000B42FB"/>
    <w:rsid w:val="000B4778"/>
    <w:rsid w:val="000B47BA"/>
    <w:rsid w:val="000B48A8"/>
    <w:rsid w:val="000B4CCF"/>
    <w:rsid w:val="000B4F88"/>
    <w:rsid w:val="000B50AC"/>
    <w:rsid w:val="000B53BF"/>
    <w:rsid w:val="000B5A89"/>
    <w:rsid w:val="000B5D55"/>
    <w:rsid w:val="000B5FAE"/>
    <w:rsid w:val="000B6233"/>
    <w:rsid w:val="000B63CA"/>
    <w:rsid w:val="000B666D"/>
    <w:rsid w:val="000B67DA"/>
    <w:rsid w:val="000B6B6A"/>
    <w:rsid w:val="000B6CC3"/>
    <w:rsid w:val="000B7110"/>
    <w:rsid w:val="000B72C5"/>
    <w:rsid w:val="000B774D"/>
    <w:rsid w:val="000B7804"/>
    <w:rsid w:val="000B78AD"/>
    <w:rsid w:val="000B79D4"/>
    <w:rsid w:val="000B7C98"/>
    <w:rsid w:val="000C00C7"/>
    <w:rsid w:val="000C01F0"/>
    <w:rsid w:val="000C04DD"/>
    <w:rsid w:val="000C08A3"/>
    <w:rsid w:val="000C0957"/>
    <w:rsid w:val="000C0FB8"/>
    <w:rsid w:val="000C1225"/>
    <w:rsid w:val="000C125A"/>
    <w:rsid w:val="000C125E"/>
    <w:rsid w:val="000C1282"/>
    <w:rsid w:val="000C1334"/>
    <w:rsid w:val="000C1403"/>
    <w:rsid w:val="000C14F0"/>
    <w:rsid w:val="000C1584"/>
    <w:rsid w:val="000C1AD2"/>
    <w:rsid w:val="000C2100"/>
    <w:rsid w:val="000C2425"/>
    <w:rsid w:val="000C24EF"/>
    <w:rsid w:val="000C2520"/>
    <w:rsid w:val="000C29FB"/>
    <w:rsid w:val="000C2A03"/>
    <w:rsid w:val="000C2C59"/>
    <w:rsid w:val="000C2E3B"/>
    <w:rsid w:val="000C3144"/>
    <w:rsid w:val="000C337D"/>
    <w:rsid w:val="000C3BA8"/>
    <w:rsid w:val="000C3BC8"/>
    <w:rsid w:val="000C4A55"/>
    <w:rsid w:val="000C4A75"/>
    <w:rsid w:val="000C4C3D"/>
    <w:rsid w:val="000C4D1F"/>
    <w:rsid w:val="000C4DD1"/>
    <w:rsid w:val="000C4E04"/>
    <w:rsid w:val="000C4E4C"/>
    <w:rsid w:val="000C518E"/>
    <w:rsid w:val="000C51DE"/>
    <w:rsid w:val="000C538F"/>
    <w:rsid w:val="000C55ED"/>
    <w:rsid w:val="000C5626"/>
    <w:rsid w:val="000C567C"/>
    <w:rsid w:val="000C5C60"/>
    <w:rsid w:val="000C5E10"/>
    <w:rsid w:val="000C62BA"/>
    <w:rsid w:val="000C659B"/>
    <w:rsid w:val="000C678E"/>
    <w:rsid w:val="000C68F6"/>
    <w:rsid w:val="000C6B29"/>
    <w:rsid w:val="000C6D02"/>
    <w:rsid w:val="000C6FA1"/>
    <w:rsid w:val="000C70E1"/>
    <w:rsid w:val="000C7175"/>
    <w:rsid w:val="000C720B"/>
    <w:rsid w:val="000C75F3"/>
    <w:rsid w:val="000C7727"/>
    <w:rsid w:val="000C7767"/>
    <w:rsid w:val="000C7AA1"/>
    <w:rsid w:val="000C7BF8"/>
    <w:rsid w:val="000C7DBF"/>
    <w:rsid w:val="000D004A"/>
    <w:rsid w:val="000D0171"/>
    <w:rsid w:val="000D051E"/>
    <w:rsid w:val="000D0588"/>
    <w:rsid w:val="000D0624"/>
    <w:rsid w:val="000D06AC"/>
    <w:rsid w:val="000D076A"/>
    <w:rsid w:val="000D08D8"/>
    <w:rsid w:val="000D0D50"/>
    <w:rsid w:val="000D0D52"/>
    <w:rsid w:val="000D104B"/>
    <w:rsid w:val="000D1099"/>
    <w:rsid w:val="000D1146"/>
    <w:rsid w:val="000D13A2"/>
    <w:rsid w:val="000D13AA"/>
    <w:rsid w:val="000D140F"/>
    <w:rsid w:val="000D146C"/>
    <w:rsid w:val="000D1668"/>
    <w:rsid w:val="000D16AC"/>
    <w:rsid w:val="000D1D41"/>
    <w:rsid w:val="000D1E78"/>
    <w:rsid w:val="000D1EBB"/>
    <w:rsid w:val="000D1F40"/>
    <w:rsid w:val="000D2005"/>
    <w:rsid w:val="000D21F1"/>
    <w:rsid w:val="000D2447"/>
    <w:rsid w:val="000D2561"/>
    <w:rsid w:val="000D26B1"/>
    <w:rsid w:val="000D276E"/>
    <w:rsid w:val="000D2BB5"/>
    <w:rsid w:val="000D2D5D"/>
    <w:rsid w:val="000D2D67"/>
    <w:rsid w:val="000D2D9F"/>
    <w:rsid w:val="000D2F29"/>
    <w:rsid w:val="000D3215"/>
    <w:rsid w:val="000D3294"/>
    <w:rsid w:val="000D3524"/>
    <w:rsid w:val="000D37DE"/>
    <w:rsid w:val="000D3823"/>
    <w:rsid w:val="000D39D2"/>
    <w:rsid w:val="000D42AE"/>
    <w:rsid w:val="000D43DA"/>
    <w:rsid w:val="000D4785"/>
    <w:rsid w:val="000D47E1"/>
    <w:rsid w:val="000D4D7E"/>
    <w:rsid w:val="000D4D8F"/>
    <w:rsid w:val="000D4FF2"/>
    <w:rsid w:val="000D50E4"/>
    <w:rsid w:val="000D521C"/>
    <w:rsid w:val="000D5540"/>
    <w:rsid w:val="000D57F5"/>
    <w:rsid w:val="000D59C3"/>
    <w:rsid w:val="000D5E9F"/>
    <w:rsid w:val="000D5F18"/>
    <w:rsid w:val="000D6109"/>
    <w:rsid w:val="000D6329"/>
    <w:rsid w:val="000D6C17"/>
    <w:rsid w:val="000D6D1B"/>
    <w:rsid w:val="000D6DD5"/>
    <w:rsid w:val="000D7144"/>
    <w:rsid w:val="000D744B"/>
    <w:rsid w:val="000D76A8"/>
    <w:rsid w:val="000D775B"/>
    <w:rsid w:val="000D784F"/>
    <w:rsid w:val="000D7E56"/>
    <w:rsid w:val="000D7F86"/>
    <w:rsid w:val="000E0048"/>
    <w:rsid w:val="000E00A8"/>
    <w:rsid w:val="000E02E9"/>
    <w:rsid w:val="000E042D"/>
    <w:rsid w:val="000E0683"/>
    <w:rsid w:val="000E094B"/>
    <w:rsid w:val="000E0A1C"/>
    <w:rsid w:val="000E0A23"/>
    <w:rsid w:val="000E111E"/>
    <w:rsid w:val="000E1435"/>
    <w:rsid w:val="000E143A"/>
    <w:rsid w:val="000E1567"/>
    <w:rsid w:val="000E1828"/>
    <w:rsid w:val="000E1A7E"/>
    <w:rsid w:val="000E1C82"/>
    <w:rsid w:val="000E1F8A"/>
    <w:rsid w:val="000E2185"/>
    <w:rsid w:val="000E224B"/>
    <w:rsid w:val="000E2653"/>
    <w:rsid w:val="000E27B9"/>
    <w:rsid w:val="000E280E"/>
    <w:rsid w:val="000E2A13"/>
    <w:rsid w:val="000E2AD5"/>
    <w:rsid w:val="000E2DE0"/>
    <w:rsid w:val="000E2E03"/>
    <w:rsid w:val="000E338B"/>
    <w:rsid w:val="000E3464"/>
    <w:rsid w:val="000E3516"/>
    <w:rsid w:val="000E35D8"/>
    <w:rsid w:val="000E36E4"/>
    <w:rsid w:val="000E3B5E"/>
    <w:rsid w:val="000E3ED2"/>
    <w:rsid w:val="000E40A4"/>
    <w:rsid w:val="000E4176"/>
    <w:rsid w:val="000E4256"/>
    <w:rsid w:val="000E4264"/>
    <w:rsid w:val="000E44FD"/>
    <w:rsid w:val="000E45D5"/>
    <w:rsid w:val="000E4872"/>
    <w:rsid w:val="000E4875"/>
    <w:rsid w:val="000E4945"/>
    <w:rsid w:val="000E49F4"/>
    <w:rsid w:val="000E4BD2"/>
    <w:rsid w:val="000E4BDE"/>
    <w:rsid w:val="000E4C97"/>
    <w:rsid w:val="000E4DC0"/>
    <w:rsid w:val="000E5470"/>
    <w:rsid w:val="000E54FA"/>
    <w:rsid w:val="000E56E1"/>
    <w:rsid w:val="000E5890"/>
    <w:rsid w:val="000E5B04"/>
    <w:rsid w:val="000E5EED"/>
    <w:rsid w:val="000E5F7F"/>
    <w:rsid w:val="000E60DA"/>
    <w:rsid w:val="000E62E4"/>
    <w:rsid w:val="000E6573"/>
    <w:rsid w:val="000E672B"/>
    <w:rsid w:val="000E673C"/>
    <w:rsid w:val="000E6831"/>
    <w:rsid w:val="000E69BD"/>
    <w:rsid w:val="000E6EB1"/>
    <w:rsid w:val="000E6F0F"/>
    <w:rsid w:val="000E7045"/>
    <w:rsid w:val="000E71B7"/>
    <w:rsid w:val="000E727F"/>
    <w:rsid w:val="000E7415"/>
    <w:rsid w:val="000E7444"/>
    <w:rsid w:val="000E7590"/>
    <w:rsid w:val="000E762C"/>
    <w:rsid w:val="000E7654"/>
    <w:rsid w:val="000E7785"/>
    <w:rsid w:val="000E7899"/>
    <w:rsid w:val="000E7ACA"/>
    <w:rsid w:val="000E7DAB"/>
    <w:rsid w:val="000E7EDD"/>
    <w:rsid w:val="000E7FA3"/>
    <w:rsid w:val="000F00B9"/>
    <w:rsid w:val="000F01A8"/>
    <w:rsid w:val="000F01E9"/>
    <w:rsid w:val="000F021A"/>
    <w:rsid w:val="000F0459"/>
    <w:rsid w:val="000F078E"/>
    <w:rsid w:val="000F0BA3"/>
    <w:rsid w:val="000F0D61"/>
    <w:rsid w:val="000F13B6"/>
    <w:rsid w:val="000F15E6"/>
    <w:rsid w:val="000F160B"/>
    <w:rsid w:val="000F189D"/>
    <w:rsid w:val="000F1A12"/>
    <w:rsid w:val="000F1C62"/>
    <w:rsid w:val="000F1DB8"/>
    <w:rsid w:val="000F20C2"/>
    <w:rsid w:val="000F22BD"/>
    <w:rsid w:val="000F2431"/>
    <w:rsid w:val="000F24EA"/>
    <w:rsid w:val="000F2745"/>
    <w:rsid w:val="000F2A14"/>
    <w:rsid w:val="000F2A4C"/>
    <w:rsid w:val="000F2B3E"/>
    <w:rsid w:val="000F2C2A"/>
    <w:rsid w:val="000F2D65"/>
    <w:rsid w:val="000F2F0B"/>
    <w:rsid w:val="000F2F29"/>
    <w:rsid w:val="000F2FB3"/>
    <w:rsid w:val="000F2FED"/>
    <w:rsid w:val="000F307F"/>
    <w:rsid w:val="000F317E"/>
    <w:rsid w:val="000F31D9"/>
    <w:rsid w:val="000F3223"/>
    <w:rsid w:val="000F325A"/>
    <w:rsid w:val="000F332B"/>
    <w:rsid w:val="000F34E5"/>
    <w:rsid w:val="000F34F9"/>
    <w:rsid w:val="000F3578"/>
    <w:rsid w:val="000F35E9"/>
    <w:rsid w:val="000F37C3"/>
    <w:rsid w:val="000F3998"/>
    <w:rsid w:val="000F3AD3"/>
    <w:rsid w:val="000F3CE6"/>
    <w:rsid w:val="000F3DBD"/>
    <w:rsid w:val="000F3E96"/>
    <w:rsid w:val="000F3F1A"/>
    <w:rsid w:val="000F40FA"/>
    <w:rsid w:val="000F4639"/>
    <w:rsid w:val="000F4972"/>
    <w:rsid w:val="000F4AAA"/>
    <w:rsid w:val="000F4ACF"/>
    <w:rsid w:val="000F4AD6"/>
    <w:rsid w:val="000F4B8E"/>
    <w:rsid w:val="000F515D"/>
    <w:rsid w:val="000F5278"/>
    <w:rsid w:val="000F554C"/>
    <w:rsid w:val="000F58D0"/>
    <w:rsid w:val="000F5A42"/>
    <w:rsid w:val="000F5CD2"/>
    <w:rsid w:val="000F5DDD"/>
    <w:rsid w:val="000F5DF3"/>
    <w:rsid w:val="000F61F7"/>
    <w:rsid w:val="000F6420"/>
    <w:rsid w:val="000F64F8"/>
    <w:rsid w:val="000F66F1"/>
    <w:rsid w:val="000F67AC"/>
    <w:rsid w:val="000F68BA"/>
    <w:rsid w:val="000F6A00"/>
    <w:rsid w:val="000F6A34"/>
    <w:rsid w:val="000F6B52"/>
    <w:rsid w:val="000F6C06"/>
    <w:rsid w:val="000F6F2F"/>
    <w:rsid w:val="000F7138"/>
    <w:rsid w:val="000F72BC"/>
    <w:rsid w:val="000F7347"/>
    <w:rsid w:val="000F73CA"/>
    <w:rsid w:val="000F7444"/>
    <w:rsid w:val="000F74D2"/>
    <w:rsid w:val="000F7621"/>
    <w:rsid w:val="000F7629"/>
    <w:rsid w:val="000F7647"/>
    <w:rsid w:val="000F783A"/>
    <w:rsid w:val="000F7933"/>
    <w:rsid w:val="000F7ECB"/>
    <w:rsid w:val="001002F4"/>
    <w:rsid w:val="0010035A"/>
    <w:rsid w:val="001003C8"/>
    <w:rsid w:val="00100409"/>
    <w:rsid w:val="0010043C"/>
    <w:rsid w:val="0010044C"/>
    <w:rsid w:val="001007C7"/>
    <w:rsid w:val="0010095A"/>
    <w:rsid w:val="00100A40"/>
    <w:rsid w:val="00101099"/>
    <w:rsid w:val="0010120D"/>
    <w:rsid w:val="001016BB"/>
    <w:rsid w:val="001019C8"/>
    <w:rsid w:val="00101AB9"/>
    <w:rsid w:val="00101B25"/>
    <w:rsid w:val="00101C52"/>
    <w:rsid w:val="00101D6E"/>
    <w:rsid w:val="00102041"/>
    <w:rsid w:val="0010212D"/>
    <w:rsid w:val="001021C8"/>
    <w:rsid w:val="001026D6"/>
    <w:rsid w:val="00102750"/>
    <w:rsid w:val="0010278B"/>
    <w:rsid w:val="00102AAA"/>
    <w:rsid w:val="00102C53"/>
    <w:rsid w:val="00102EBE"/>
    <w:rsid w:val="00102FFB"/>
    <w:rsid w:val="00103213"/>
    <w:rsid w:val="001035E0"/>
    <w:rsid w:val="00103DC2"/>
    <w:rsid w:val="00103F25"/>
    <w:rsid w:val="00104A97"/>
    <w:rsid w:val="00104CDC"/>
    <w:rsid w:val="00104DB0"/>
    <w:rsid w:val="00104F66"/>
    <w:rsid w:val="00104FC5"/>
    <w:rsid w:val="00105193"/>
    <w:rsid w:val="00105661"/>
    <w:rsid w:val="00105726"/>
    <w:rsid w:val="001057B2"/>
    <w:rsid w:val="00105BED"/>
    <w:rsid w:val="00105CBD"/>
    <w:rsid w:val="001060AA"/>
    <w:rsid w:val="00106117"/>
    <w:rsid w:val="001061FC"/>
    <w:rsid w:val="00106200"/>
    <w:rsid w:val="0010639F"/>
    <w:rsid w:val="001065F5"/>
    <w:rsid w:val="00106AF7"/>
    <w:rsid w:val="00106C7C"/>
    <w:rsid w:val="00106EEF"/>
    <w:rsid w:val="00106F1E"/>
    <w:rsid w:val="001070F6"/>
    <w:rsid w:val="0010710E"/>
    <w:rsid w:val="001072BB"/>
    <w:rsid w:val="001078B2"/>
    <w:rsid w:val="00107A7F"/>
    <w:rsid w:val="00107B82"/>
    <w:rsid w:val="00107E68"/>
    <w:rsid w:val="0011008C"/>
    <w:rsid w:val="00110891"/>
    <w:rsid w:val="0011098E"/>
    <w:rsid w:val="00110DDD"/>
    <w:rsid w:val="00110E5F"/>
    <w:rsid w:val="00110F8B"/>
    <w:rsid w:val="00110FEB"/>
    <w:rsid w:val="00111087"/>
    <w:rsid w:val="00111185"/>
    <w:rsid w:val="0011142A"/>
    <w:rsid w:val="001115C8"/>
    <w:rsid w:val="001115FB"/>
    <w:rsid w:val="001126E6"/>
    <w:rsid w:val="00112702"/>
    <w:rsid w:val="001128C4"/>
    <w:rsid w:val="00112904"/>
    <w:rsid w:val="00112914"/>
    <w:rsid w:val="00112AA4"/>
    <w:rsid w:val="00112C34"/>
    <w:rsid w:val="00112E16"/>
    <w:rsid w:val="00112E60"/>
    <w:rsid w:val="0011345C"/>
    <w:rsid w:val="0011355C"/>
    <w:rsid w:val="001136CD"/>
    <w:rsid w:val="00113A4B"/>
    <w:rsid w:val="00113E36"/>
    <w:rsid w:val="0011418F"/>
    <w:rsid w:val="001147F2"/>
    <w:rsid w:val="0011484F"/>
    <w:rsid w:val="00114AB7"/>
    <w:rsid w:val="00114C44"/>
    <w:rsid w:val="00114D8B"/>
    <w:rsid w:val="00114D8E"/>
    <w:rsid w:val="00114FA1"/>
    <w:rsid w:val="00115223"/>
    <w:rsid w:val="0011540D"/>
    <w:rsid w:val="0011570F"/>
    <w:rsid w:val="0011582A"/>
    <w:rsid w:val="00115927"/>
    <w:rsid w:val="00116199"/>
    <w:rsid w:val="00116314"/>
    <w:rsid w:val="0011650A"/>
    <w:rsid w:val="001165D0"/>
    <w:rsid w:val="0011677A"/>
    <w:rsid w:val="001167E7"/>
    <w:rsid w:val="001168FE"/>
    <w:rsid w:val="00116A7B"/>
    <w:rsid w:val="00116BD2"/>
    <w:rsid w:val="0011712F"/>
    <w:rsid w:val="00117298"/>
    <w:rsid w:val="00117AF4"/>
    <w:rsid w:val="00117C12"/>
    <w:rsid w:val="00117D90"/>
    <w:rsid w:val="00117E19"/>
    <w:rsid w:val="0012061B"/>
    <w:rsid w:val="0012067B"/>
    <w:rsid w:val="0012076A"/>
    <w:rsid w:val="00120872"/>
    <w:rsid w:val="00120CDA"/>
    <w:rsid w:val="00120FFB"/>
    <w:rsid w:val="001210B3"/>
    <w:rsid w:val="00121464"/>
    <w:rsid w:val="00121768"/>
    <w:rsid w:val="0012183E"/>
    <w:rsid w:val="00121B59"/>
    <w:rsid w:val="00121D8C"/>
    <w:rsid w:val="00121EA5"/>
    <w:rsid w:val="00122393"/>
    <w:rsid w:val="00122751"/>
    <w:rsid w:val="00122A28"/>
    <w:rsid w:val="00122B2B"/>
    <w:rsid w:val="00122BF4"/>
    <w:rsid w:val="00122DDD"/>
    <w:rsid w:val="0012312F"/>
    <w:rsid w:val="00123237"/>
    <w:rsid w:val="001237DE"/>
    <w:rsid w:val="001238EF"/>
    <w:rsid w:val="00123A64"/>
    <w:rsid w:val="00123A71"/>
    <w:rsid w:val="00123AF6"/>
    <w:rsid w:val="00124206"/>
    <w:rsid w:val="00124288"/>
    <w:rsid w:val="0012439F"/>
    <w:rsid w:val="0012467A"/>
    <w:rsid w:val="001248B2"/>
    <w:rsid w:val="00124B3D"/>
    <w:rsid w:val="00124E61"/>
    <w:rsid w:val="00124F01"/>
    <w:rsid w:val="00124FB6"/>
    <w:rsid w:val="00125139"/>
    <w:rsid w:val="001252E1"/>
    <w:rsid w:val="00125351"/>
    <w:rsid w:val="001255B2"/>
    <w:rsid w:val="001255E2"/>
    <w:rsid w:val="00125967"/>
    <w:rsid w:val="00125E61"/>
    <w:rsid w:val="00125F6A"/>
    <w:rsid w:val="00126232"/>
    <w:rsid w:val="001265EB"/>
    <w:rsid w:val="0012694E"/>
    <w:rsid w:val="00126A6C"/>
    <w:rsid w:val="00126ABC"/>
    <w:rsid w:val="00126AD3"/>
    <w:rsid w:val="00126E69"/>
    <w:rsid w:val="001271B7"/>
    <w:rsid w:val="0012726E"/>
    <w:rsid w:val="0012734C"/>
    <w:rsid w:val="00127DBF"/>
    <w:rsid w:val="00127EE4"/>
    <w:rsid w:val="00127EF0"/>
    <w:rsid w:val="00127FBF"/>
    <w:rsid w:val="00130327"/>
    <w:rsid w:val="00130384"/>
    <w:rsid w:val="00130770"/>
    <w:rsid w:val="00130CE0"/>
    <w:rsid w:val="00130D7E"/>
    <w:rsid w:val="00130E40"/>
    <w:rsid w:val="00130FA8"/>
    <w:rsid w:val="00130FC8"/>
    <w:rsid w:val="0013122F"/>
    <w:rsid w:val="001312CA"/>
    <w:rsid w:val="0013151B"/>
    <w:rsid w:val="00131659"/>
    <w:rsid w:val="001318CA"/>
    <w:rsid w:val="001319E1"/>
    <w:rsid w:val="00132089"/>
    <w:rsid w:val="00132307"/>
    <w:rsid w:val="0013235C"/>
    <w:rsid w:val="0013260E"/>
    <w:rsid w:val="001326DC"/>
    <w:rsid w:val="00132A22"/>
    <w:rsid w:val="00132A74"/>
    <w:rsid w:val="00132DEE"/>
    <w:rsid w:val="001332B6"/>
    <w:rsid w:val="00133379"/>
    <w:rsid w:val="00133413"/>
    <w:rsid w:val="0013356F"/>
    <w:rsid w:val="00133A8D"/>
    <w:rsid w:val="00133C59"/>
    <w:rsid w:val="00133CE6"/>
    <w:rsid w:val="0013433A"/>
    <w:rsid w:val="00134555"/>
    <w:rsid w:val="001346BC"/>
    <w:rsid w:val="001346FD"/>
    <w:rsid w:val="001348AB"/>
    <w:rsid w:val="0013498D"/>
    <w:rsid w:val="001349E0"/>
    <w:rsid w:val="00134B32"/>
    <w:rsid w:val="00134D5E"/>
    <w:rsid w:val="00134D8C"/>
    <w:rsid w:val="00134DEF"/>
    <w:rsid w:val="00134EFC"/>
    <w:rsid w:val="0013506F"/>
    <w:rsid w:val="001353AE"/>
    <w:rsid w:val="001354B5"/>
    <w:rsid w:val="001357FD"/>
    <w:rsid w:val="0013587E"/>
    <w:rsid w:val="00135CE4"/>
    <w:rsid w:val="00135D12"/>
    <w:rsid w:val="00135D45"/>
    <w:rsid w:val="00136047"/>
    <w:rsid w:val="001360E9"/>
    <w:rsid w:val="00136141"/>
    <w:rsid w:val="001362D2"/>
    <w:rsid w:val="00136495"/>
    <w:rsid w:val="00136533"/>
    <w:rsid w:val="001365CE"/>
    <w:rsid w:val="00136A01"/>
    <w:rsid w:val="00136A76"/>
    <w:rsid w:val="00136BD0"/>
    <w:rsid w:val="00136D71"/>
    <w:rsid w:val="00136DD1"/>
    <w:rsid w:val="00136FFE"/>
    <w:rsid w:val="00137112"/>
    <w:rsid w:val="00137651"/>
    <w:rsid w:val="00137FF1"/>
    <w:rsid w:val="001400D0"/>
    <w:rsid w:val="001400F3"/>
    <w:rsid w:val="001402EE"/>
    <w:rsid w:val="001405CE"/>
    <w:rsid w:val="001407E7"/>
    <w:rsid w:val="0014097D"/>
    <w:rsid w:val="00140C50"/>
    <w:rsid w:val="00141215"/>
    <w:rsid w:val="00141C5B"/>
    <w:rsid w:val="00141F9E"/>
    <w:rsid w:val="00142197"/>
    <w:rsid w:val="00142318"/>
    <w:rsid w:val="00142465"/>
    <w:rsid w:val="001424BA"/>
    <w:rsid w:val="00142C4C"/>
    <w:rsid w:val="00143041"/>
    <w:rsid w:val="001432DA"/>
    <w:rsid w:val="001433E4"/>
    <w:rsid w:val="00143449"/>
    <w:rsid w:val="001435CA"/>
    <w:rsid w:val="001437DA"/>
    <w:rsid w:val="001438A5"/>
    <w:rsid w:val="00143B4D"/>
    <w:rsid w:val="00143F4A"/>
    <w:rsid w:val="0014454B"/>
    <w:rsid w:val="00144796"/>
    <w:rsid w:val="001448C3"/>
    <w:rsid w:val="001448E7"/>
    <w:rsid w:val="001449AD"/>
    <w:rsid w:val="00144B08"/>
    <w:rsid w:val="00144B1E"/>
    <w:rsid w:val="00144C84"/>
    <w:rsid w:val="00144E85"/>
    <w:rsid w:val="00145090"/>
    <w:rsid w:val="00145180"/>
    <w:rsid w:val="001451E4"/>
    <w:rsid w:val="00145E4F"/>
    <w:rsid w:val="00145E95"/>
    <w:rsid w:val="00146317"/>
    <w:rsid w:val="001469BD"/>
    <w:rsid w:val="00146FEA"/>
    <w:rsid w:val="00147020"/>
    <w:rsid w:val="001474B7"/>
    <w:rsid w:val="00147A8C"/>
    <w:rsid w:val="00147FAE"/>
    <w:rsid w:val="00147FCC"/>
    <w:rsid w:val="001500F2"/>
    <w:rsid w:val="00150610"/>
    <w:rsid w:val="00150786"/>
    <w:rsid w:val="00150996"/>
    <w:rsid w:val="00150BFA"/>
    <w:rsid w:val="00151066"/>
    <w:rsid w:val="0015108F"/>
    <w:rsid w:val="001510DC"/>
    <w:rsid w:val="001511B5"/>
    <w:rsid w:val="0015120A"/>
    <w:rsid w:val="00151394"/>
    <w:rsid w:val="001513EC"/>
    <w:rsid w:val="001516EE"/>
    <w:rsid w:val="00151B61"/>
    <w:rsid w:val="00151CB0"/>
    <w:rsid w:val="00151FB4"/>
    <w:rsid w:val="0015235C"/>
    <w:rsid w:val="00152604"/>
    <w:rsid w:val="00152931"/>
    <w:rsid w:val="0015298B"/>
    <w:rsid w:val="00152C6D"/>
    <w:rsid w:val="00152C7B"/>
    <w:rsid w:val="00152D71"/>
    <w:rsid w:val="00153064"/>
    <w:rsid w:val="0015312E"/>
    <w:rsid w:val="0015316C"/>
    <w:rsid w:val="0015340B"/>
    <w:rsid w:val="001537FD"/>
    <w:rsid w:val="001538D8"/>
    <w:rsid w:val="00153A09"/>
    <w:rsid w:val="00153AF4"/>
    <w:rsid w:val="00153B42"/>
    <w:rsid w:val="00153CC2"/>
    <w:rsid w:val="00153D6C"/>
    <w:rsid w:val="00153E98"/>
    <w:rsid w:val="00153EB7"/>
    <w:rsid w:val="001540F2"/>
    <w:rsid w:val="00154A4F"/>
    <w:rsid w:val="00154AAF"/>
    <w:rsid w:val="00154D42"/>
    <w:rsid w:val="00154EA3"/>
    <w:rsid w:val="00154F50"/>
    <w:rsid w:val="00154F5F"/>
    <w:rsid w:val="00155180"/>
    <w:rsid w:val="00155599"/>
    <w:rsid w:val="00155640"/>
    <w:rsid w:val="0015566C"/>
    <w:rsid w:val="001557C8"/>
    <w:rsid w:val="001558E6"/>
    <w:rsid w:val="00155A1B"/>
    <w:rsid w:val="00155AD2"/>
    <w:rsid w:val="00155D9A"/>
    <w:rsid w:val="00155DBF"/>
    <w:rsid w:val="00155E8A"/>
    <w:rsid w:val="00155E8C"/>
    <w:rsid w:val="00155FEF"/>
    <w:rsid w:val="00156311"/>
    <w:rsid w:val="0015633A"/>
    <w:rsid w:val="00156A10"/>
    <w:rsid w:val="00156C2D"/>
    <w:rsid w:val="00157226"/>
    <w:rsid w:val="00157312"/>
    <w:rsid w:val="00157369"/>
    <w:rsid w:val="001575E4"/>
    <w:rsid w:val="001577C5"/>
    <w:rsid w:val="00157B28"/>
    <w:rsid w:val="00157D6D"/>
    <w:rsid w:val="00157FF6"/>
    <w:rsid w:val="0016013C"/>
    <w:rsid w:val="00160799"/>
    <w:rsid w:val="0016080F"/>
    <w:rsid w:val="00160A59"/>
    <w:rsid w:val="00160BE0"/>
    <w:rsid w:val="00161022"/>
    <w:rsid w:val="001610D8"/>
    <w:rsid w:val="001613B4"/>
    <w:rsid w:val="0016143C"/>
    <w:rsid w:val="0016144B"/>
    <w:rsid w:val="00161692"/>
    <w:rsid w:val="00161FC7"/>
    <w:rsid w:val="00162023"/>
    <w:rsid w:val="0016217C"/>
    <w:rsid w:val="001626C3"/>
    <w:rsid w:val="001626C5"/>
    <w:rsid w:val="00162730"/>
    <w:rsid w:val="001629C2"/>
    <w:rsid w:val="00162C33"/>
    <w:rsid w:val="00162C37"/>
    <w:rsid w:val="00162D06"/>
    <w:rsid w:val="001631E4"/>
    <w:rsid w:val="00163BC9"/>
    <w:rsid w:val="00163D25"/>
    <w:rsid w:val="001644B3"/>
    <w:rsid w:val="001648CC"/>
    <w:rsid w:val="001649F0"/>
    <w:rsid w:val="00164B3B"/>
    <w:rsid w:val="001653AF"/>
    <w:rsid w:val="00165492"/>
    <w:rsid w:val="001654EF"/>
    <w:rsid w:val="00165681"/>
    <w:rsid w:val="001658E5"/>
    <w:rsid w:val="0016592C"/>
    <w:rsid w:val="00165A0B"/>
    <w:rsid w:val="00165A90"/>
    <w:rsid w:val="00165BB0"/>
    <w:rsid w:val="00165DEE"/>
    <w:rsid w:val="00165F8D"/>
    <w:rsid w:val="00166317"/>
    <w:rsid w:val="00166548"/>
    <w:rsid w:val="00166575"/>
    <w:rsid w:val="001666EE"/>
    <w:rsid w:val="001668A4"/>
    <w:rsid w:val="00166A54"/>
    <w:rsid w:val="00166A80"/>
    <w:rsid w:val="00166AFA"/>
    <w:rsid w:val="00167007"/>
    <w:rsid w:val="0016707E"/>
    <w:rsid w:val="00167298"/>
    <w:rsid w:val="001677C1"/>
    <w:rsid w:val="001677C8"/>
    <w:rsid w:val="00167BCD"/>
    <w:rsid w:val="00167E2A"/>
    <w:rsid w:val="0017020F"/>
    <w:rsid w:val="00170227"/>
    <w:rsid w:val="0017050F"/>
    <w:rsid w:val="00170720"/>
    <w:rsid w:val="0017075C"/>
    <w:rsid w:val="00170AF9"/>
    <w:rsid w:val="00170D54"/>
    <w:rsid w:val="00171383"/>
    <w:rsid w:val="00171596"/>
    <w:rsid w:val="00171764"/>
    <w:rsid w:val="00171801"/>
    <w:rsid w:val="00171CE7"/>
    <w:rsid w:val="00171D8D"/>
    <w:rsid w:val="00171F0D"/>
    <w:rsid w:val="0017209F"/>
    <w:rsid w:val="001725C4"/>
    <w:rsid w:val="001725F5"/>
    <w:rsid w:val="0017285D"/>
    <w:rsid w:val="001729BB"/>
    <w:rsid w:val="00172D34"/>
    <w:rsid w:val="00172F6D"/>
    <w:rsid w:val="00173015"/>
    <w:rsid w:val="001733EB"/>
    <w:rsid w:val="00173538"/>
    <w:rsid w:val="001737CE"/>
    <w:rsid w:val="00173966"/>
    <w:rsid w:val="00173B3F"/>
    <w:rsid w:val="00173CAA"/>
    <w:rsid w:val="00173CCC"/>
    <w:rsid w:val="00173DC8"/>
    <w:rsid w:val="00173E1B"/>
    <w:rsid w:val="001742AA"/>
    <w:rsid w:val="00174481"/>
    <w:rsid w:val="00174692"/>
    <w:rsid w:val="001747BB"/>
    <w:rsid w:val="00174A8E"/>
    <w:rsid w:val="001750E0"/>
    <w:rsid w:val="0017519A"/>
    <w:rsid w:val="0017523F"/>
    <w:rsid w:val="00175589"/>
    <w:rsid w:val="0017572B"/>
    <w:rsid w:val="00175F30"/>
    <w:rsid w:val="00175FB5"/>
    <w:rsid w:val="001760D5"/>
    <w:rsid w:val="001761DF"/>
    <w:rsid w:val="00176274"/>
    <w:rsid w:val="0017627A"/>
    <w:rsid w:val="0017627F"/>
    <w:rsid w:val="00176307"/>
    <w:rsid w:val="0017636A"/>
    <w:rsid w:val="001763D5"/>
    <w:rsid w:val="0017658A"/>
    <w:rsid w:val="00176880"/>
    <w:rsid w:val="00176C5B"/>
    <w:rsid w:val="00176DBB"/>
    <w:rsid w:val="00176E30"/>
    <w:rsid w:val="00176E52"/>
    <w:rsid w:val="00177021"/>
    <w:rsid w:val="0017710A"/>
    <w:rsid w:val="00177296"/>
    <w:rsid w:val="00177382"/>
    <w:rsid w:val="0017758E"/>
    <w:rsid w:val="001777D8"/>
    <w:rsid w:val="0017787F"/>
    <w:rsid w:val="00177A24"/>
    <w:rsid w:val="00177D25"/>
    <w:rsid w:val="00177D2E"/>
    <w:rsid w:val="00177DF7"/>
    <w:rsid w:val="00177E0E"/>
    <w:rsid w:val="00177F5E"/>
    <w:rsid w:val="00177FBF"/>
    <w:rsid w:val="0018006B"/>
    <w:rsid w:val="001805D8"/>
    <w:rsid w:val="0018074D"/>
    <w:rsid w:val="001808CE"/>
    <w:rsid w:val="00180961"/>
    <w:rsid w:val="001810DC"/>
    <w:rsid w:val="00181446"/>
    <w:rsid w:val="001814E7"/>
    <w:rsid w:val="00181706"/>
    <w:rsid w:val="001818DF"/>
    <w:rsid w:val="00181AD3"/>
    <w:rsid w:val="00181CA4"/>
    <w:rsid w:val="00181E42"/>
    <w:rsid w:val="001823AB"/>
    <w:rsid w:val="001826FE"/>
    <w:rsid w:val="001828AF"/>
    <w:rsid w:val="001828C4"/>
    <w:rsid w:val="0018290A"/>
    <w:rsid w:val="00182EAE"/>
    <w:rsid w:val="00182FCB"/>
    <w:rsid w:val="00183067"/>
    <w:rsid w:val="0018311D"/>
    <w:rsid w:val="0018341B"/>
    <w:rsid w:val="00183713"/>
    <w:rsid w:val="001837D3"/>
    <w:rsid w:val="00183973"/>
    <w:rsid w:val="00183BC4"/>
    <w:rsid w:val="00183C00"/>
    <w:rsid w:val="00183CA5"/>
    <w:rsid w:val="00183CB4"/>
    <w:rsid w:val="00184092"/>
    <w:rsid w:val="001843CE"/>
    <w:rsid w:val="001844F9"/>
    <w:rsid w:val="001845DE"/>
    <w:rsid w:val="00184673"/>
    <w:rsid w:val="001847D7"/>
    <w:rsid w:val="00184A84"/>
    <w:rsid w:val="00184A96"/>
    <w:rsid w:val="00184DA0"/>
    <w:rsid w:val="00184E08"/>
    <w:rsid w:val="00184FD0"/>
    <w:rsid w:val="0018527C"/>
    <w:rsid w:val="00185357"/>
    <w:rsid w:val="001854CF"/>
    <w:rsid w:val="001856A2"/>
    <w:rsid w:val="00185A3C"/>
    <w:rsid w:val="00186210"/>
    <w:rsid w:val="001863CE"/>
    <w:rsid w:val="001864A7"/>
    <w:rsid w:val="001866AB"/>
    <w:rsid w:val="00186778"/>
    <w:rsid w:val="001867A6"/>
    <w:rsid w:val="00186B01"/>
    <w:rsid w:val="001874FD"/>
    <w:rsid w:val="00187838"/>
    <w:rsid w:val="00187CAB"/>
    <w:rsid w:val="0019025C"/>
    <w:rsid w:val="00190623"/>
    <w:rsid w:val="00190739"/>
    <w:rsid w:val="00190774"/>
    <w:rsid w:val="0019077B"/>
    <w:rsid w:val="00190AEE"/>
    <w:rsid w:val="00190C34"/>
    <w:rsid w:val="00190F16"/>
    <w:rsid w:val="001912D3"/>
    <w:rsid w:val="00191359"/>
    <w:rsid w:val="001913FE"/>
    <w:rsid w:val="001914F4"/>
    <w:rsid w:val="00191874"/>
    <w:rsid w:val="0019191A"/>
    <w:rsid w:val="00191E34"/>
    <w:rsid w:val="001921DA"/>
    <w:rsid w:val="00192536"/>
    <w:rsid w:val="001927E4"/>
    <w:rsid w:val="00192CEA"/>
    <w:rsid w:val="00192F47"/>
    <w:rsid w:val="00193002"/>
    <w:rsid w:val="0019306E"/>
    <w:rsid w:val="00193204"/>
    <w:rsid w:val="00193672"/>
    <w:rsid w:val="00193CCD"/>
    <w:rsid w:val="00193DF4"/>
    <w:rsid w:val="0019424B"/>
    <w:rsid w:val="00194285"/>
    <w:rsid w:val="0019452E"/>
    <w:rsid w:val="0019455D"/>
    <w:rsid w:val="00194695"/>
    <w:rsid w:val="00194A13"/>
    <w:rsid w:val="00194AB1"/>
    <w:rsid w:val="00194B9F"/>
    <w:rsid w:val="00194D63"/>
    <w:rsid w:val="00195021"/>
    <w:rsid w:val="00195094"/>
    <w:rsid w:val="0019513F"/>
    <w:rsid w:val="001956FF"/>
    <w:rsid w:val="001959AD"/>
    <w:rsid w:val="00195BE2"/>
    <w:rsid w:val="0019603A"/>
    <w:rsid w:val="00196078"/>
    <w:rsid w:val="00196277"/>
    <w:rsid w:val="00196805"/>
    <w:rsid w:val="00196816"/>
    <w:rsid w:val="00196993"/>
    <w:rsid w:val="00196B99"/>
    <w:rsid w:val="001972AA"/>
    <w:rsid w:val="001972EC"/>
    <w:rsid w:val="00197313"/>
    <w:rsid w:val="00197613"/>
    <w:rsid w:val="001978EE"/>
    <w:rsid w:val="001979A4"/>
    <w:rsid w:val="00197B0B"/>
    <w:rsid w:val="00197E10"/>
    <w:rsid w:val="001A0383"/>
    <w:rsid w:val="001A0429"/>
    <w:rsid w:val="001A0432"/>
    <w:rsid w:val="001A0A82"/>
    <w:rsid w:val="001A0AA4"/>
    <w:rsid w:val="001A0E54"/>
    <w:rsid w:val="001A1142"/>
    <w:rsid w:val="001A1156"/>
    <w:rsid w:val="001A1269"/>
    <w:rsid w:val="001A12ED"/>
    <w:rsid w:val="001A1331"/>
    <w:rsid w:val="001A17DF"/>
    <w:rsid w:val="001A21A0"/>
    <w:rsid w:val="001A257B"/>
    <w:rsid w:val="001A2627"/>
    <w:rsid w:val="001A292A"/>
    <w:rsid w:val="001A2EB7"/>
    <w:rsid w:val="001A2F05"/>
    <w:rsid w:val="001A34EF"/>
    <w:rsid w:val="001A364D"/>
    <w:rsid w:val="001A36C7"/>
    <w:rsid w:val="001A3778"/>
    <w:rsid w:val="001A37DF"/>
    <w:rsid w:val="001A3815"/>
    <w:rsid w:val="001A3844"/>
    <w:rsid w:val="001A38EE"/>
    <w:rsid w:val="001A3C40"/>
    <w:rsid w:val="001A4163"/>
    <w:rsid w:val="001A4289"/>
    <w:rsid w:val="001A44F9"/>
    <w:rsid w:val="001A4702"/>
    <w:rsid w:val="001A4895"/>
    <w:rsid w:val="001A4CF5"/>
    <w:rsid w:val="001A4DA5"/>
    <w:rsid w:val="001A4E36"/>
    <w:rsid w:val="001A4F7B"/>
    <w:rsid w:val="001A500A"/>
    <w:rsid w:val="001A54F3"/>
    <w:rsid w:val="001A5793"/>
    <w:rsid w:val="001A58F8"/>
    <w:rsid w:val="001A59E0"/>
    <w:rsid w:val="001A5A55"/>
    <w:rsid w:val="001A5D94"/>
    <w:rsid w:val="001A5DFA"/>
    <w:rsid w:val="001A6415"/>
    <w:rsid w:val="001A64D1"/>
    <w:rsid w:val="001A6A3B"/>
    <w:rsid w:val="001A6F5E"/>
    <w:rsid w:val="001A74C6"/>
    <w:rsid w:val="001A7944"/>
    <w:rsid w:val="001A7B5D"/>
    <w:rsid w:val="001A7BF4"/>
    <w:rsid w:val="001A7C8A"/>
    <w:rsid w:val="001A7D68"/>
    <w:rsid w:val="001A7E27"/>
    <w:rsid w:val="001B0285"/>
    <w:rsid w:val="001B06B2"/>
    <w:rsid w:val="001B09BA"/>
    <w:rsid w:val="001B09DB"/>
    <w:rsid w:val="001B0CD4"/>
    <w:rsid w:val="001B0D7E"/>
    <w:rsid w:val="001B1180"/>
    <w:rsid w:val="001B1532"/>
    <w:rsid w:val="001B1565"/>
    <w:rsid w:val="001B1726"/>
    <w:rsid w:val="001B1909"/>
    <w:rsid w:val="001B204A"/>
    <w:rsid w:val="001B209B"/>
    <w:rsid w:val="001B2201"/>
    <w:rsid w:val="001B24DB"/>
    <w:rsid w:val="001B25A2"/>
    <w:rsid w:val="001B260F"/>
    <w:rsid w:val="001B28BD"/>
    <w:rsid w:val="001B28DD"/>
    <w:rsid w:val="001B28E1"/>
    <w:rsid w:val="001B298A"/>
    <w:rsid w:val="001B2AD9"/>
    <w:rsid w:val="001B2B1C"/>
    <w:rsid w:val="001B2B55"/>
    <w:rsid w:val="001B2C32"/>
    <w:rsid w:val="001B2E48"/>
    <w:rsid w:val="001B2E6E"/>
    <w:rsid w:val="001B2F3C"/>
    <w:rsid w:val="001B2F44"/>
    <w:rsid w:val="001B342B"/>
    <w:rsid w:val="001B349A"/>
    <w:rsid w:val="001B34B2"/>
    <w:rsid w:val="001B36A5"/>
    <w:rsid w:val="001B39AF"/>
    <w:rsid w:val="001B4067"/>
    <w:rsid w:val="001B4129"/>
    <w:rsid w:val="001B4381"/>
    <w:rsid w:val="001B43C2"/>
    <w:rsid w:val="001B4425"/>
    <w:rsid w:val="001B4445"/>
    <w:rsid w:val="001B4816"/>
    <w:rsid w:val="001B4886"/>
    <w:rsid w:val="001B48D5"/>
    <w:rsid w:val="001B4D59"/>
    <w:rsid w:val="001B508D"/>
    <w:rsid w:val="001B5094"/>
    <w:rsid w:val="001B5260"/>
    <w:rsid w:val="001B529A"/>
    <w:rsid w:val="001B568A"/>
    <w:rsid w:val="001B56B5"/>
    <w:rsid w:val="001B5E1A"/>
    <w:rsid w:val="001B5F62"/>
    <w:rsid w:val="001B609F"/>
    <w:rsid w:val="001B63DC"/>
    <w:rsid w:val="001B668C"/>
    <w:rsid w:val="001B6B58"/>
    <w:rsid w:val="001B6D6D"/>
    <w:rsid w:val="001B6FC1"/>
    <w:rsid w:val="001B7294"/>
    <w:rsid w:val="001B73CC"/>
    <w:rsid w:val="001B7433"/>
    <w:rsid w:val="001B7534"/>
    <w:rsid w:val="001B7548"/>
    <w:rsid w:val="001B7AC5"/>
    <w:rsid w:val="001B7CCE"/>
    <w:rsid w:val="001B7D9F"/>
    <w:rsid w:val="001B7ED5"/>
    <w:rsid w:val="001B7EFA"/>
    <w:rsid w:val="001C0298"/>
    <w:rsid w:val="001C059E"/>
    <w:rsid w:val="001C08FD"/>
    <w:rsid w:val="001C0A80"/>
    <w:rsid w:val="001C0B31"/>
    <w:rsid w:val="001C101D"/>
    <w:rsid w:val="001C15FD"/>
    <w:rsid w:val="001C167C"/>
    <w:rsid w:val="001C1747"/>
    <w:rsid w:val="001C181E"/>
    <w:rsid w:val="001C18C0"/>
    <w:rsid w:val="001C1A4D"/>
    <w:rsid w:val="001C1D99"/>
    <w:rsid w:val="001C23C2"/>
    <w:rsid w:val="001C256A"/>
    <w:rsid w:val="001C2AAF"/>
    <w:rsid w:val="001C3010"/>
    <w:rsid w:val="001C3466"/>
    <w:rsid w:val="001C37E8"/>
    <w:rsid w:val="001C3A0E"/>
    <w:rsid w:val="001C3A16"/>
    <w:rsid w:val="001C3AE1"/>
    <w:rsid w:val="001C3C6F"/>
    <w:rsid w:val="001C3E5E"/>
    <w:rsid w:val="001C41D1"/>
    <w:rsid w:val="001C423E"/>
    <w:rsid w:val="001C4415"/>
    <w:rsid w:val="001C4A4E"/>
    <w:rsid w:val="001C5454"/>
    <w:rsid w:val="001C55C7"/>
    <w:rsid w:val="001C5A06"/>
    <w:rsid w:val="001C5B7C"/>
    <w:rsid w:val="001C5C12"/>
    <w:rsid w:val="001C600C"/>
    <w:rsid w:val="001C6BFD"/>
    <w:rsid w:val="001C6D34"/>
    <w:rsid w:val="001C719F"/>
    <w:rsid w:val="001C71F5"/>
    <w:rsid w:val="001C7348"/>
    <w:rsid w:val="001C77FB"/>
    <w:rsid w:val="001C79E0"/>
    <w:rsid w:val="001C7D1D"/>
    <w:rsid w:val="001C7DF7"/>
    <w:rsid w:val="001C7E81"/>
    <w:rsid w:val="001D0369"/>
    <w:rsid w:val="001D039C"/>
    <w:rsid w:val="001D0593"/>
    <w:rsid w:val="001D0AB4"/>
    <w:rsid w:val="001D0C17"/>
    <w:rsid w:val="001D0C4E"/>
    <w:rsid w:val="001D0E42"/>
    <w:rsid w:val="001D0E68"/>
    <w:rsid w:val="001D0EF8"/>
    <w:rsid w:val="001D1813"/>
    <w:rsid w:val="001D1B83"/>
    <w:rsid w:val="001D1B97"/>
    <w:rsid w:val="001D1E6C"/>
    <w:rsid w:val="001D1F83"/>
    <w:rsid w:val="001D228E"/>
    <w:rsid w:val="001D22BA"/>
    <w:rsid w:val="001D236E"/>
    <w:rsid w:val="001D249F"/>
    <w:rsid w:val="001D24ED"/>
    <w:rsid w:val="001D25E4"/>
    <w:rsid w:val="001D26B9"/>
    <w:rsid w:val="001D2779"/>
    <w:rsid w:val="001D27F0"/>
    <w:rsid w:val="001D2B54"/>
    <w:rsid w:val="001D2CE2"/>
    <w:rsid w:val="001D2E95"/>
    <w:rsid w:val="001D338E"/>
    <w:rsid w:val="001D33A1"/>
    <w:rsid w:val="001D3424"/>
    <w:rsid w:val="001D3543"/>
    <w:rsid w:val="001D3636"/>
    <w:rsid w:val="001D371B"/>
    <w:rsid w:val="001D3816"/>
    <w:rsid w:val="001D3822"/>
    <w:rsid w:val="001D3A78"/>
    <w:rsid w:val="001D3B53"/>
    <w:rsid w:val="001D3B9E"/>
    <w:rsid w:val="001D406D"/>
    <w:rsid w:val="001D4145"/>
    <w:rsid w:val="001D41D4"/>
    <w:rsid w:val="001D42C8"/>
    <w:rsid w:val="001D448A"/>
    <w:rsid w:val="001D45EB"/>
    <w:rsid w:val="001D4604"/>
    <w:rsid w:val="001D4799"/>
    <w:rsid w:val="001D4B76"/>
    <w:rsid w:val="001D5078"/>
    <w:rsid w:val="001D507E"/>
    <w:rsid w:val="001D50A3"/>
    <w:rsid w:val="001D517F"/>
    <w:rsid w:val="001D5181"/>
    <w:rsid w:val="001D51A7"/>
    <w:rsid w:val="001D5373"/>
    <w:rsid w:val="001D5408"/>
    <w:rsid w:val="001D5CD5"/>
    <w:rsid w:val="001D5E24"/>
    <w:rsid w:val="001D5EE1"/>
    <w:rsid w:val="001D6271"/>
    <w:rsid w:val="001D63C2"/>
    <w:rsid w:val="001D6559"/>
    <w:rsid w:val="001D68C4"/>
    <w:rsid w:val="001D6F4E"/>
    <w:rsid w:val="001D71C3"/>
    <w:rsid w:val="001D757E"/>
    <w:rsid w:val="001D7763"/>
    <w:rsid w:val="001D78F9"/>
    <w:rsid w:val="001E0026"/>
    <w:rsid w:val="001E01E1"/>
    <w:rsid w:val="001E0317"/>
    <w:rsid w:val="001E0325"/>
    <w:rsid w:val="001E0494"/>
    <w:rsid w:val="001E0678"/>
    <w:rsid w:val="001E0873"/>
    <w:rsid w:val="001E095A"/>
    <w:rsid w:val="001E096A"/>
    <w:rsid w:val="001E0A64"/>
    <w:rsid w:val="001E0B7F"/>
    <w:rsid w:val="001E1024"/>
    <w:rsid w:val="001E120D"/>
    <w:rsid w:val="001E122E"/>
    <w:rsid w:val="001E123C"/>
    <w:rsid w:val="001E12AC"/>
    <w:rsid w:val="001E12FE"/>
    <w:rsid w:val="001E1406"/>
    <w:rsid w:val="001E1829"/>
    <w:rsid w:val="001E18F5"/>
    <w:rsid w:val="001E1A7B"/>
    <w:rsid w:val="001E1BAA"/>
    <w:rsid w:val="001E1BD7"/>
    <w:rsid w:val="001E1D72"/>
    <w:rsid w:val="001E2111"/>
    <w:rsid w:val="001E2260"/>
    <w:rsid w:val="001E2581"/>
    <w:rsid w:val="001E2811"/>
    <w:rsid w:val="001E286A"/>
    <w:rsid w:val="001E2AA5"/>
    <w:rsid w:val="001E2AFA"/>
    <w:rsid w:val="001E2BE6"/>
    <w:rsid w:val="001E2D10"/>
    <w:rsid w:val="001E2DB0"/>
    <w:rsid w:val="001E2DEC"/>
    <w:rsid w:val="001E2E13"/>
    <w:rsid w:val="001E2EF7"/>
    <w:rsid w:val="001E31E9"/>
    <w:rsid w:val="001E33FC"/>
    <w:rsid w:val="001E340D"/>
    <w:rsid w:val="001E3EA2"/>
    <w:rsid w:val="001E427B"/>
    <w:rsid w:val="001E42D8"/>
    <w:rsid w:val="001E43E1"/>
    <w:rsid w:val="001E449F"/>
    <w:rsid w:val="001E48FD"/>
    <w:rsid w:val="001E4DA8"/>
    <w:rsid w:val="001E4F93"/>
    <w:rsid w:val="001E5165"/>
    <w:rsid w:val="001E574C"/>
    <w:rsid w:val="001E598A"/>
    <w:rsid w:val="001E5BBB"/>
    <w:rsid w:val="001E5D54"/>
    <w:rsid w:val="001E5D6F"/>
    <w:rsid w:val="001E5DA8"/>
    <w:rsid w:val="001E5F73"/>
    <w:rsid w:val="001E655B"/>
    <w:rsid w:val="001E6599"/>
    <w:rsid w:val="001E699B"/>
    <w:rsid w:val="001E6A06"/>
    <w:rsid w:val="001E6A76"/>
    <w:rsid w:val="001E6B14"/>
    <w:rsid w:val="001E6C79"/>
    <w:rsid w:val="001E6D63"/>
    <w:rsid w:val="001E6E70"/>
    <w:rsid w:val="001E6EBE"/>
    <w:rsid w:val="001E7016"/>
    <w:rsid w:val="001E7356"/>
    <w:rsid w:val="001E73BD"/>
    <w:rsid w:val="001E73CA"/>
    <w:rsid w:val="001E79BB"/>
    <w:rsid w:val="001E7FA3"/>
    <w:rsid w:val="001F00C3"/>
    <w:rsid w:val="001F014B"/>
    <w:rsid w:val="001F02F0"/>
    <w:rsid w:val="001F06A8"/>
    <w:rsid w:val="001F0952"/>
    <w:rsid w:val="001F0C1E"/>
    <w:rsid w:val="001F0EC0"/>
    <w:rsid w:val="001F132C"/>
    <w:rsid w:val="001F144F"/>
    <w:rsid w:val="001F1A12"/>
    <w:rsid w:val="001F1DAE"/>
    <w:rsid w:val="001F20CF"/>
    <w:rsid w:val="001F21D4"/>
    <w:rsid w:val="001F2201"/>
    <w:rsid w:val="001F24BD"/>
    <w:rsid w:val="001F283A"/>
    <w:rsid w:val="001F2B27"/>
    <w:rsid w:val="001F2E05"/>
    <w:rsid w:val="001F3064"/>
    <w:rsid w:val="001F30FE"/>
    <w:rsid w:val="001F330C"/>
    <w:rsid w:val="001F35F4"/>
    <w:rsid w:val="001F37BA"/>
    <w:rsid w:val="001F3F41"/>
    <w:rsid w:val="001F416C"/>
    <w:rsid w:val="001F4651"/>
    <w:rsid w:val="001F465C"/>
    <w:rsid w:val="001F49F2"/>
    <w:rsid w:val="001F4BDC"/>
    <w:rsid w:val="001F4C0F"/>
    <w:rsid w:val="001F4D15"/>
    <w:rsid w:val="001F4D98"/>
    <w:rsid w:val="001F4F53"/>
    <w:rsid w:val="001F5476"/>
    <w:rsid w:val="001F556A"/>
    <w:rsid w:val="001F57E2"/>
    <w:rsid w:val="001F5BC4"/>
    <w:rsid w:val="001F6138"/>
    <w:rsid w:val="001F6507"/>
    <w:rsid w:val="001F6E23"/>
    <w:rsid w:val="001F72BE"/>
    <w:rsid w:val="001F7811"/>
    <w:rsid w:val="001F7A75"/>
    <w:rsid w:val="001F7C8E"/>
    <w:rsid w:val="001F7E21"/>
    <w:rsid w:val="001F7F26"/>
    <w:rsid w:val="001F7FA4"/>
    <w:rsid w:val="00200001"/>
    <w:rsid w:val="00200031"/>
    <w:rsid w:val="0020032F"/>
    <w:rsid w:val="0020055D"/>
    <w:rsid w:val="002005C8"/>
    <w:rsid w:val="002015B6"/>
    <w:rsid w:val="00201877"/>
    <w:rsid w:val="002018A9"/>
    <w:rsid w:val="002019A7"/>
    <w:rsid w:val="00201CDE"/>
    <w:rsid w:val="00202018"/>
    <w:rsid w:val="0020247C"/>
    <w:rsid w:val="002025C2"/>
    <w:rsid w:val="00202CB0"/>
    <w:rsid w:val="00202EA2"/>
    <w:rsid w:val="00203501"/>
    <w:rsid w:val="0020353F"/>
    <w:rsid w:val="00203556"/>
    <w:rsid w:val="002035D1"/>
    <w:rsid w:val="002035E3"/>
    <w:rsid w:val="00203743"/>
    <w:rsid w:val="0020397B"/>
    <w:rsid w:val="002039FD"/>
    <w:rsid w:val="00203AAE"/>
    <w:rsid w:val="00203EB3"/>
    <w:rsid w:val="002041FC"/>
    <w:rsid w:val="002042EE"/>
    <w:rsid w:val="00204326"/>
    <w:rsid w:val="002044EB"/>
    <w:rsid w:val="002045A7"/>
    <w:rsid w:val="00204A18"/>
    <w:rsid w:val="00204B9E"/>
    <w:rsid w:val="00204CFA"/>
    <w:rsid w:val="00204D1F"/>
    <w:rsid w:val="00204D50"/>
    <w:rsid w:val="00204F59"/>
    <w:rsid w:val="00205462"/>
    <w:rsid w:val="002055D0"/>
    <w:rsid w:val="0020583A"/>
    <w:rsid w:val="00205F9C"/>
    <w:rsid w:val="00205FCB"/>
    <w:rsid w:val="0020627E"/>
    <w:rsid w:val="002065A3"/>
    <w:rsid w:val="002065E7"/>
    <w:rsid w:val="00206611"/>
    <w:rsid w:val="00206A0E"/>
    <w:rsid w:val="00206F94"/>
    <w:rsid w:val="002072B4"/>
    <w:rsid w:val="002076D4"/>
    <w:rsid w:val="002076FA"/>
    <w:rsid w:val="00207A61"/>
    <w:rsid w:val="00207A6F"/>
    <w:rsid w:val="00207C82"/>
    <w:rsid w:val="00207D12"/>
    <w:rsid w:val="00207FF4"/>
    <w:rsid w:val="0021038A"/>
    <w:rsid w:val="002103C9"/>
    <w:rsid w:val="002103F4"/>
    <w:rsid w:val="00210A27"/>
    <w:rsid w:val="00210B9F"/>
    <w:rsid w:val="00210D39"/>
    <w:rsid w:val="00210DC4"/>
    <w:rsid w:val="00210E03"/>
    <w:rsid w:val="00210F43"/>
    <w:rsid w:val="002112AD"/>
    <w:rsid w:val="00211AAF"/>
    <w:rsid w:val="00211B45"/>
    <w:rsid w:val="00211C4D"/>
    <w:rsid w:val="00211FAD"/>
    <w:rsid w:val="00212056"/>
    <w:rsid w:val="00212160"/>
    <w:rsid w:val="0021231F"/>
    <w:rsid w:val="00212606"/>
    <w:rsid w:val="00212799"/>
    <w:rsid w:val="002128D3"/>
    <w:rsid w:val="0021293D"/>
    <w:rsid w:val="00212CFA"/>
    <w:rsid w:val="00212D9F"/>
    <w:rsid w:val="00212E08"/>
    <w:rsid w:val="002134B4"/>
    <w:rsid w:val="00213891"/>
    <w:rsid w:val="00213967"/>
    <w:rsid w:val="00213CB2"/>
    <w:rsid w:val="00213E89"/>
    <w:rsid w:val="0021412E"/>
    <w:rsid w:val="0021441D"/>
    <w:rsid w:val="002144A5"/>
    <w:rsid w:val="0021457B"/>
    <w:rsid w:val="002147B8"/>
    <w:rsid w:val="002149B0"/>
    <w:rsid w:val="00214D7C"/>
    <w:rsid w:val="00214E9B"/>
    <w:rsid w:val="00215032"/>
    <w:rsid w:val="002152B2"/>
    <w:rsid w:val="002153F9"/>
    <w:rsid w:val="00215441"/>
    <w:rsid w:val="00215520"/>
    <w:rsid w:val="0021561B"/>
    <w:rsid w:val="00215A13"/>
    <w:rsid w:val="00215BDE"/>
    <w:rsid w:val="00215D30"/>
    <w:rsid w:val="00215F30"/>
    <w:rsid w:val="0021604B"/>
    <w:rsid w:val="0021641B"/>
    <w:rsid w:val="002164E8"/>
    <w:rsid w:val="00216833"/>
    <w:rsid w:val="00216892"/>
    <w:rsid w:val="00216A3D"/>
    <w:rsid w:val="00216ACE"/>
    <w:rsid w:val="00216D91"/>
    <w:rsid w:val="002170F2"/>
    <w:rsid w:val="002173C1"/>
    <w:rsid w:val="00217419"/>
    <w:rsid w:val="0021773F"/>
    <w:rsid w:val="002177CC"/>
    <w:rsid w:val="00217AE0"/>
    <w:rsid w:val="00217B5A"/>
    <w:rsid w:val="00217CD6"/>
    <w:rsid w:val="002200D4"/>
    <w:rsid w:val="002205EF"/>
    <w:rsid w:val="0022091D"/>
    <w:rsid w:val="002210F4"/>
    <w:rsid w:val="002212EB"/>
    <w:rsid w:val="00221409"/>
    <w:rsid w:val="00221480"/>
    <w:rsid w:val="002217E2"/>
    <w:rsid w:val="002218E4"/>
    <w:rsid w:val="00221948"/>
    <w:rsid w:val="00221A87"/>
    <w:rsid w:val="00221C4A"/>
    <w:rsid w:val="002225A8"/>
    <w:rsid w:val="00222792"/>
    <w:rsid w:val="0022279E"/>
    <w:rsid w:val="00222980"/>
    <w:rsid w:val="00222A75"/>
    <w:rsid w:val="00222B31"/>
    <w:rsid w:val="00222DA7"/>
    <w:rsid w:val="00222F4E"/>
    <w:rsid w:val="00222FB4"/>
    <w:rsid w:val="00222FE0"/>
    <w:rsid w:val="002230E2"/>
    <w:rsid w:val="002232C3"/>
    <w:rsid w:val="002233FF"/>
    <w:rsid w:val="002237D8"/>
    <w:rsid w:val="00223828"/>
    <w:rsid w:val="00223BD5"/>
    <w:rsid w:val="00223DD0"/>
    <w:rsid w:val="002243D3"/>
    <w:rsid w:val="00224747"/>
    <w:rsid w:val="00224926"/>
    <w:rsid w:val="00224AD8"/>
    <w:rsid w:val="00224CDA"/>
    <w:rsid w:val="00224D03"/>
    <w:rsid w:val="00224D30"/>
    <w:rsid w:val="00224D5A"/>
    <w:rsid w:val="00224F0C"/>
    <w:rsid w:val="00224F8C"/>
    <w:rsid w:val="002252AA"/>
    <w:rsid w:val="0022530C"/>
    <w:rsid w:val="00225310"/>
    <w:rsid w:val="00225474"/>
    <w:rsid w:val="002254C5"/>
    <w:rsid w:val="00225788"/>
    <w:rsid w:val="0022583D"/>
    <w:rsid w:val="00225A87"/>
    <w:rsid w:val="00225B00"/>
    <w:rsid w:val="00225D05"/>
    <w:rsid w:val="00225D98"/>
    <w:rsid w:val="00225E46"/>
    <w:rsid w:val="00225EF1"/>
    <w:rsid w:val="002260A1"/>
    <w:rsid w:val="00226441"/>
    <w:rsid w:val="00226778"/>
    <w:rsid w:val="00226ACD"/>
    <w:rsid w:val="00226B40"/>
    <w:rsid w:val="00226CCC"/>
    <w:rsid w:val="00227185"/>
    <w:rsid w:val="00227319"/>
    <w:rsid w:val="002273A4"/>
    <w:rsid w:val="0022759B"/>
    <w:rsid w:val="0022794B"/>
    <w:rsid w:val="00227B77"/>
    <w:rsid w:val="00227C88"/>
    <w:rsid w:val="00227E05"/>
    <w:rsid w:val="002304A7"/>
    <w:rsid w:val="00230B03"/>
    <w:rsid w:val="00230C7E"/>
    <w:rsid w:val="00230C8C"/>
    <w:rsid w:val="00230D24"/>
    <w:rsid w:val="00230DD6"/>
    <w:rsid w:val="00230DD8"/>
    <w:rsid w:val="00230FAD"/>
    <w:rsid w:val="00230FEB"/>
    <w:rsid w:val="00230FEC"/>
    <w:rsid w:val="0023112A"/>
    <w:rsid w:val="0023113D"/>
    <w:rsid w:val="00231259"/>
    <w:rsid w:val="00231471"/>
    <w:rsid w:val="002316F5"/>
    <w:rsid w:val="002316FB"/>
    <w:rsid w:val="00231ED4"/>
    <w:rsid w:val="00231F2F"/>
    <w:rsid w:val="00232487"/>
    <w:rsid w:val="00232516"/>
    <w:rsid w:val="0023252E"/>
    <w:rsid w:val="0023265B"/>
    <w:rsid w:val="00232708"/>
    <w:rsid w:val="002327D1"/>
    <w:rsid w:val="00232941"/>
    <w:rsid w:val="00232B54"/>
    <w:rsid w:val="00232E2C"/>
    <w:rsid w:val="00232E70"/>
    <w:rsid w:val="00232EBB"/>
    <w:rsid w:val="00232EC0"/>
    <w:rsid w:val="00232F0D"/>
    <w:rsid w:val="002334BC"/>
    <w:rsid w:val="00233652"/>
    <w:rsid w:val="002336D1"/>
    <w:rsid w:val="00233AA9"/>
    <w:rsid w:val="00233DC7"/>
    <w:rsid w:val="002340F0"/>
    <w:rsid w:val="00234490"/>
    <w:rsid w:val="00234578"/>
    <w:rsid w:val="002346BA"/>
    <w:rsid w:val="002346BC"/>
    <w:rsid w:val="00234B5E"/>
    <w:rsid w:val="00234C44"/>
    <w:rsid w:val="00234CC2"/>
    <w:rsid w:val="00234CF8"/>
    <w:rsid w:val="00235106"/>
    <w:rsid w:val="0023521E"/>
    <w:rsid w:val="002352A6"/>
    <w:rsid w:val="00235491"/>
    <w:rsid w:val="00235646"/>
    <w:rsid w:val="0023585A"/>
    <w:rsid w:val="0023593D"/>
    <w:rsid w:val="0023631F"/>
    <w:rsid w:val="00236363"/>
    <w:rsid w:val="00236436"/>
    <w:rsid w:val="002367F1"/>
    <w:rsid w:val="002368D7"/>
    <w:rsid w:val="0023690A"/>
    <w:rsid w:val="00236C59"/>
    <w:rsid w:val="00237491"/>
    <w:rsid w:val="00237498"/>
    <w:rsid w:val="00237697"/>
    <w:rsid w:val="00237A12"/>
    <w:rsid w:val="00237A26"/>
    <w:rsid w:val="00237B8E"/>
    <w:rsid w:val="00237E3F"/>
    <w:rsid w:val="00237EB0"/>
    <w:rsid w:val="002400AB"/>
    <w:rsid w:val="0024012C"/>
    <w:rsid w:val="002406CB"/>
    <w:rsid w:val="00240719"/>
    <w:rsid w:val="002408E2"/>
    <w:rsid w:val="0024102B"/>
    <w:rsid w:val="00241099"/>
    <w:rsid w:val="002411F9"/>
    <w:rsid w:val="002412B8"/>
    <w:rsid w:val="00241435"/>
    <w:rsid w:val="00241550"/>
    <w:rsid w:val="002417A4"/>
    <w:rsid w:val="00241AD6"/>
    <w:rsid w:val="00241B89"/>
    <w:rsid w:val="00241D75"/>
    <w:rsid w:val="00241F36"/>
    <w:rsid w:val="0024203C"/>
    <w:rsid w:val="002420C4"/>
    <w:rsid w:val="0024294C"/>
    <w:rsid w:val="00242979"/>
    <w:rsid w:val="00242A23"/>
    <w:rsid w:val="00242CE4"/>
    <w:rsid w:val="00242D07"/>
    <w:rsid w:val="00242D12"/>
    <w:rsid w:val="00242DD6"/>
    <w:rsid w:val="00243286"/>
    <w:rsid w:val="00243430"/>
    <w:rsid w:val="00243D7D"/>
    <w:rsid w:val="00244014"/>
    <w:rsid w:val="00244022"/>
    <w:rsid w:val="002443E9"/>
    <w:rsid w:val="002446F2"/>
    <w:rsid w:val="00244743"/>
    <w:rsid w:val="002455BC"/>
    <w:rsid w:val="00245718"/>
    <w:rsid w:val="002458E1"/>
    <w:rsid w:val="00245D9B"/>
    <w:rsid w:val="00245EF4"/>
    <w:rsid w:val="00245F74"/>
    <w:rsid w:val="002460A3"/>
    <w:rsid w:val="002464D6"/>
    <w:rsid w:val="002464E8"/>
    <w:rsid w:val="0024689D"/>
    <w:rsid w:val="00246A2D"/>
    <w:rsid w:val="00246B5D"/>
    <w:rsid w:val="00246BEB"/>
    <w:rsid w:val="00246D4D"/>
    <w:rsid w:val="00246E0D"/>
    <w:rsid w:val="00247003"/>
    <w:rsid w:val="0024712C"/>
    <w:rsid w:val="0024713E"/>
    <w:rsid w:val="002471A3"/>
    <w:rsid w:val="00247779"/>
    <w:rsid w:val="00247808"/>
    <w:rsid w:val="00247BE3"/>
    <w:rsid w:val="00247D1E"/>
    <w:rsid w:val="00247F86"/>
    <w:rsid w:val="0025000B"/>
    <w:rsid w:val="00250134"/>
    <w:rsid w:val="00250275"/>
    <w:rsid w:val="002503B1"/>
    <w:rsid w:val="0025055F"/>
    <w:rsid w:val="00250BA5"/>
    <w:rsid w:val="00250CA2"/>
    <w:rsid w:val="00250EB9"/>
    <w:rsid w:val="00251011"/>
    <w:rsid w:val="002510BC"/>
    <w:rsid w:val="002511C8"/>
    <w:rsid w:val="00251413"/>
    <w:rsid w:val="0025151D"/>
    <w:rsid w:val="00251874"/>
    <w:rsid w:val="00251CAA"/>
    <w:rsid w:val="0025217F"/>
    <w:rsid w:val="002522CC"/>
    <w:rsid w:val="002523C8"/>
    <w:rsid w:val="00252A43"/>
    <w:rsid w:val="00252B5E"/>
    <w:rsid w:val="00252C29"/>
    <w:rsid w:val="0025300D"/>
    <w:rsid w:val="002530B2"/>
    <w:rsid w:val="002531CA"/>
    <w:rsid w:val="0025320B"/>
    <w:rsid w:val="002532C9"/>
    <w:rsid w:val="00253723"/>
    <w:rsid w:val="00253977"/>
    <w:rsid w:val="00253C5C"/>
    <w:rsid w:val="00253F16"/>
    <w:rsid w:val="00254022"/>
    <w:rsid w:val="00254445"/>
    <w:rsid w:val="00254A1F"/>
    <w:rsid w:val="00254ACC"/>
    <w:rsid w:val="00254C20"/>
    <w:rsid w:val="00254E76"/>
    <w:rsid w:val="0025502F"/>
    <w:rsid w:val="002550D7"/>
    <w:rsid w:val="00255218"/>
    <w:rsid w:val="00255404"/>
    <w:rsid w:val="002554B8"/>
    <w:rsid w:val="002554F7"/>
    <w:rsid w:val="002555DD"/>
    <w:rsid w:val="0025571C"/>
    <w:rsid w:val="00255805"/>
    <w:rsid w:val="00255968"/>
    <w:rsid w:val="00255C01"/>
    <w:rsid w:val="00255D8E"/>
    <w:rsid w:val="00255E80"/>
    <w:rsid w:val="00255EC6"/>
    <w:rsid w:val="002560E9"/>
    <w:rsid w:val="00256388"/>
    <w:rsid w:val="00256450"/>
    <w:rsid w:val="00256607"/>
    <w:rsid w:val="00256950"/>
    <w:rsid w:val="00256C6C"/>
    <w:rsid w:val="00256C95"/>
    <w:rsid w:val="00256EEC"/>
    <w:rsid w:val="00256F14"/>
    <w:rsid w:val="00256F79"/>
    <w:rsid w:val="002572A2"/>
    <w:rsid w:val="002574A6"/>
    <w:rsid w:val="0025754B"/>
    <w:rsid w:val="00257CB5"/>
    <w:rsid w:val="00257D14"/>
    <w:rsid w:val="00257DEA"/>
    <w:rsid w:val="00257E90"/>
    <w:rsid w:val="0026003F"/>
    <w:rsid w:val="0026013E"/>
    <w:rsid w:val="00260410"/>
    <w:rsid w:val="002604F8"/>
    <w:rsid w:val="002605BE"/>
    <w:rsid w:val="0026068B"/>
    <w:rsid w:val="00260CCF"/>
    <w:rsid w:val="002613A0"/>
    <w:rsid w:val="00261748"/>
    <w:rsid w:val="00261AAB"/>
    <w:rsid w:val="00261C26"/>
    <w:rsid w:val="00261FC1"/>
    <w:rsid w:val="002621C3"/>
    <w:rsid w:val="00262558"/>
    <w:rsid w:val="00262752"/>
    <w:rsid w:val="00262A9F"/>
    <w:rsid w:val="00262BD9"/>
    <w:rsid w:val="00262EAF"/>
    <w:rsid w:val="002631A8"/>
    <w:rsid w:val="0026325E"/>
    <w:rsid w:val="0026342D"/>
    <w:rsid w:val="002635D2"/>
    <w:rsid w:val="002635F0"/>
    <w:rsid w:val="00263F4C"/>
    <w:rsid w:val="0026424A"/>
    <w:rsid w:val="00264748"/>
    <w:rsid w:val="00264780"/>
    <w:rsid w:val="002649A9"/>
    <w:rsid w:val="002649F7"/>
    <w:rsid w:val="00264B87"/>
    <w:rsid w:val="00264E70"/>
    <w:rsid w:val="00264E96"/>
    <w:rsid w:val="0026536F"/>
    <w:rsid w:val="002654F5"/>
    <w:rsid w:val="00265613"/>
    <w:rsid w:val="002656D5"/>
    <w:rsid w:val="00265834"/>
    <w:rsid w:val="00265945"/>
    <w:rsid w:val="00265EDC"/>
    <w:rsid w:val="00265F2C"/>
    <w:rsid w:val="00265FC8"/>
    <w:rsid w:val="00266031"/>
    <w:rsid w:val="00266052"/>
    <w:rsid w:val="002660E6"/>
    <w:rsid w:val="002663C9"/>
    <w:rsid w:val="002668D6"/>
    <w:rsid w:val="00266B0E"/>
    <w:rsid w:val="00267786"/>
    <w:rsid w:val="00267D8B"/>
    <w:rsid w:val="00267F50"/>
    <w:rsid w:val="002701DA"/>
    <w:rsid w:val="00270595"/>
    <w:rsid w:val="002705BF"/>
    <w:rsid w:val="00270717"/>
    <w:rsid w:val="00270B8F"/>
    <w:rsid w:val="00270C5B"/>
    <w:rsid w:val="002710D9"/>
    <w:rsid w:val="002715F5"/>
    <w:rsid w:val="00271CAC"/>
    <w:rsid w:val="00272252"/>
    <w:rsid w:val="002726F8"/>
    <w:rsid w:val="0027280F"/>
    <w:rsid w:val="0027298F"/>
    <w:rsid w:val="00272C2A"/>
    <w:rsid w:val="00272E6F"/>
    <w:rsid w:val="00272EE8"/>
    <w:rsid w:val="00272EFD"/>
    <w:rsid w:val="00272F55"/>
    <w:rsid w:val="002733C9"/>
    <w:rsid w:val="002734A3"/>
    <w:rsid w:val="00273602"/>
    <w:rsid w:val="00273AAA"/>
    <w:rsid w:val="00273C39"/>
    <w:rsid w:val="00273D43"/>
    <w:rsid w:val="00273E84"/>
    <w:rsid w:val="00273F78"/>
    <w:rsid w:val="002740C4"/>
    <w:rsid w:val="00274443"/>
    <w:rsid w:val="00274491"/>
    <w:rsid w:val="00274AEA"/>
    <w:rsid w:val="00274CC0"/>
    <w:rsid w:val="00275307"/>
    <w:rsid w:val="002753E4"/>
    <w:rsid w:val="002756CC"/>
    <w:rsid w:val="0027589B"/>
    <w:rsid w:val="00275B96"/>
    <w:rsid w:val="00275E26"/>
    <w:rsid w:val="00275EFC"/>
    <w:rsid w:val="0027624B"/>
    <w:rsid w:val="002763E2"/>
    <w:rsid w:val="0027650C"/>
    <w:rsid w:val="002765E7"/>
    <w:rsid w:val="0027670D"/>
    <w:rsid w:val="002767BF"/>
    <w:rsid w:val="00276CFD"/>
    <w:rsid w:val="00276D70"/>
    <w:rsid w:val="00276D85"/>
    <w:rsid w:val="0027709C"/>
    <w:rsid w:val="00277856"/>
    <w:rsid w:val="00277A63"/>
    <w:rsid w:val="00277B05"/>
    <w:rsid w:val="00277B58"/>
    <w:rsid w:val="00280077"/>
    <w:rsid w:val="002800CF"/>
    <w:rsid w:val="002802C0"/>
    <w:rsid w:val="0028048C"/>
    <w:rsid w:val="002805E0"/>
    <w:rsid w:val="00280620"/>
    <w:rsid w:val="0028071A"/>
    <w:rsid w:val="002807B8"/>
    <w:rsid w:val="0028086A"/>
    <w:rsid w:val="0028087C"/>
    <w:rsid w:val="00280C64"/>
    <w:rsid w:val="00280E54"/>
    <w:rsid w:val="00280FDF"/>
    <w:rsid w:val="0028112D"/>
    <w:rsid w:val="00281265"/>
    <w:rsid w:val="002812C3"/>
    <w:rsid w:val="00281395"/>
    <w:rsid w:val="002813A4"/>
    <w:rsid w:val="0028157A"/>
    <w:rsid w:val="002815F1"/>
    <w:rsid w:val="002817C6"/>
    <w:rsid w:val="00281C44"/>
    <w:rsid w:val="00281C61"/>
    <w:rsid w:val="00281D40"/>
    <w:rsid w:val="00281ED5"/>
    <w:rsid w:val="00281F15"/>
    <w:rsid w:val="002824C1"/>
    <w:rsid w:val="002826B5"/>
    <w:rsid w:val="0028292B"/>
    <w:rsid w:val="00282B69"/>
    <w:rsid w:val="00282D81"/>
    <w:rsid w:val="00282DD9"/>
    <w:rsid w:val="00282E1C"/>
    <w:rsid w:val="002836A2"/>
    <w:rsid w:val="00283D26"/>
    <w:rsid w:val="00283ED1"/>
    <w:rsid w:val="00283EF4"/>
    <w:rsid w:val="00284175"/>
    <w:rsid w:val="0028420B"/>
    <w:rsid w:val="002845C0"/>
    <w:rsid w:val="00284AF3"/>
    <w:rsid w:val="00284D01"/>
    <w:rsid w:val="00285066"/>
    <w:rsid w:val="00285166"/>
    <w:rsid w:val="002854EA"/>
    <w:rsid w:val="00285528"/>
    <w:rsid w:val="00285B5B"/>
    <w:rsid w:val="00285BE8"/>
    <w:rsid w:val="00285BEE"/>
    <w:rsid w:val="00285C80"/>
    <w:rsid w:val="00285D42"/>
    <w:rsid w:val="00286014"/>
    <w:rsid w:val="002860D0"/>
    <w:rsid w:val="002864D7"/>
    <w:rsid w:val="00286672"/>
    <w:rsid w:val="002866AB"/>
    <w:rsid w:val="00286AC8"/>
    <w:rsid w:val="00286C76"/>
    <w:rsid w:val="00286E76"/>
    <w:rsid w:val="00287057"/>
    <w:rsid w:val="00287169"/>
    <w:rsid w:val="00287488"/>
    <w:rsid w:val="002874C7"/>
    <w:rsid w:val="0028758D"/>
    <w:rsid w:val="00287A08"/>
    <w:rsid w:val="00287A7F"/>
    <w:rsid w:val="00287BC7"/>
    <w:rsid w:val="00290113"/>
    <w:rsid w:val="00290147"/>
    <w:rsid w:val="0029015D"/>
    <w:rsid w:val="00290571"/>
    <w:rsid w:val="002905B8"/>
    <w:rsid w:val="002906F9"/>
    <w:rsid w:val="0029072B"/>
    <w:rsid w:val="00290747"/>
    <w:rsid w:val="00290A41"/>
    <w:rsid w:val="00290D21"/>
    <w:rsid w:val="00290DD0"/>
    <w:rsid w:val="00290FCF"/>
    <w:rsid w:val="00290FE0"/>
    <w:rsid w:val="0029110A"/>
    <w:rsid w:val="0029122D"/>
    <w:rsid w:val="00291996"/>
    <w:rsid w:val="00291A80"/>
    <w:rsid w:val="00291BFD"/>
    <w:rsid w:val="00291C51"/>
    <w:rsid w:val="00291D6E"/>
    <w:rsid w:val="00291E29"/>
    <w:rsid w:val="00291FAD"/>
    <w:rsid w:val="002920F8"/>
    <w:rsid w:val="0029224D"/>
    <w:rsid w:val="0029266A"/>
    <w:rsid w:val="002926CB"/>
    <w:rsid w:val="00292CB1"/>
    <w:rsid w:val="00292F90"/>
    <w:rsid w:val="00293057"/>
    <w:rsid w:val="002930D0"/>
    <w:rsid w:val="00293416"/>
    <w:rsid w:val="002935EF"/>
    <w:rsid w:val="00293610"/>
    <w:rsid w:val="002938D4"/>
    <w:rsid w:val="00293D43"/>
    <w:rsid w:val="00293F48"/>
    <w:rsid w:val="00293FAA"/>
    <w:rsid w:val="002941AA"/>
    <w:rsid w:val="0029454C"/>
    <w:rsid w:val="002948C8"/>
    <w:rsid w:val="00294919"/>
    <w:rsid w:val="0029498A"/>
    <w:rsid w:val="002949CF"/>
    <w:rsid w:val="002951A7"/>
    <w:rsid w:val="002952E1"/>
    <w:rsid w:val="0029533F"/>
    <w:rsid w:val="00295478"/>
    <w:rsid w:val="00295541"/>
    <w:rsid w:val="002958F3"/>
    <w:rsid w:val="00295925"/>
    <w:rsid w:val="00295D30"/>
    <w:rsid w:val="00295DC9"/>
    <w:rsid w:val="00296028"/>
    <w:rsid w:val="00296067"/>
    <w:rsid w:val="00296613"/>
    <w:rsid w:val="00296841"/>
    <w:rsid w:val="002968B7"/>
    <w:rsid w:val="00296D8D"/>
    <w:rsid w:val="00296F34"/>
    <w:rsid w:val="002970D0"/>
    <w:rsid w:val="002976C8"/>
    <w:rsid w:val="002977D5"/>
    <w:rsid w:val="002977FE"/>
    <w:rsid w:val="00297906"/>
    <w:rsid w:val="00297E7C"/>
    <w:rsid w:val="002A0369"/>
    <w:rsid w:val="002A058F"/>
    <w:rsid w:val="002A06D7"/>
    <w:rsid w:val="002A07A5"/>
    <w:rsid w:val="002A07B9"/>
    <w:rsid w:val="002A08EF"/>
    <w:rsid w:val="002A0B83"/>
    <w:rsid w:val="002A0C86"/>
    <w:rsid w:val="002A0EDB"/>
    <w:rsid w:val="002A0F43"/>
    <w:rsid w:val="002A13C7"/>
    <w:rsid w:val="002A1587"/>
    <w:rsid w:val="002A16F5"/>
    <w:rsid w:val="002A2017"/>
    <w:rsid w:val="002A2216"/>
    <w:rsid w:val="002A2708"/>
    <w:rsid w:val="002A2816"/>
    <w:rsid w:val="002A2B05"/>
    <w:rsid w:val="002A32AF"/>
    <w:rsid w:val="002A3383"/>
    <w:rsid w:val="002A3453"/>
    <w:rsid w:val="002A3BB2"/>
    <w:rsid w:val="002A3CBF"/>
    <w:rsid w:val="002A3EC6"/>
    <w:rsid w:val="002A3EF4"/>
    <w:rsid w:val="002A40EE"/>
    <w:rsid w:val="002A4618"/>
    <w:rsid w:val="002A4743"/>
    <w:rsid w:val="002A4A92"/>
    <w:rsid w:val="002A4F9A"/>
    <w:rsid w:val="002A501A"/>
    <w:rsid w:val="002A53D0"/>
    <w:rsid w:val="002A5507"/>
    <w:rsid w:val="002A58FD"/>
    <w:rsid w:val="002A59DB"/>
    <w:rsid w:val="002A5A08"/>
    <w:rsid w:val="002A5AB3"/>
    <w:rsid w:val="002A5EA3"/>
    <w:rsid w:val="002A5ECA"/>
    <w:rsid w:val="002A5F12"/>
    <w:rsid w:val="002A6033"/>
    <w:rsid w:val="002A60B1"/>
    <w:rsid w:val="002A69DE"/>
    <w:rsid w:val="002A6C6A"/>
    <w:rsid w:val="002A6EA5"/>
    <w:rsid w:val="002A6F98"/>
    <w:rsid w:val="002A6FB1"/>
    <w:rsid w:val="002A759D"/>
    <w:rsid w:val="002A7881"/>
    <w:rsid w:val="002A798A"/>
    <w:rsid w:val="002A79CD"/>
    <w:rsid w:val="002A7BA8"/>
    <w:rsid w:val="002A7CED"/>
    <w:rsid w:val="002A7D55"/>
    <w:rsid w:val="002A7DCC"/>
    <w:rsid w:val="002B0051"/>
    <w:rsid w:val="002B0430"/>
    <w:rsid w:val="002B063B"/>
    <w:rsid w:val="002B065E"/>
    <w:rsid w:val="002B0C83"/>
    <w:rsid w:val="002B0D7C"/>
    <w:rsid w:val="002B15C9"/>
    <w:rsid w:val="002B1897"/>
    <w:rsid w:val="002B1AB4"/>
    <w:rsid w:val="002B1AEE"/>
    <w:rsid w:val="002B218A"/>
    <w:rsid w:val="002B30AF"/>
    <w:rsid w:val="002B30FE"/>
    <w:rsid w:val="002B3144"/>
    <w:rsid w:val="002B3257"/>
    <w:rsid w:val="002B33CD"/>
    <w:rsid w:val="002B3507"/>
    <w:rsid w:val="002B3515"/>
    <w:rsid w:val="002B3667"/>
    <w:rsid w:val="002B3868"/>
    <w:rsid w:val="002B3A16"/>
    <w:rsid w:val="002B3A34"/>
    <w:rsid w:val="002B3AA0"/>
    <w:rsid w:val="002B3E75"/>
    <w:rsid w:val="002B3EB5"/>
    <w:rsid w:val="002B4076"/>
    <w:rsid w:val="002B41F2"/>
    <w:rsid w:val="002B450B"/>
    <w:rsid w:val="002B465F"/>
    <w:rsid w:val="002B47A9"/>
    <w:rsid w:val="002B47C8"/>
    <w:rsid w:val="002B4AF8"/>
    <w:rsid w:val="002B557D"/>
    <w:rsid w:val="002B55DC"/>
    <w:rsid w:val="002B59FE"/>
    <w:rsid w:val="002B5B08"/>
    <w:rsid w:val="002B5CBC"/>
    <w:rsid w:val="002B5F79"/>
    <w:rsid w:val="002B619B"/>
    <w:rsid w:val="002B61A0"/>
    <w:rsid w:val="002B61ED"/>
    <w:rsid w:val="002B636F"/>
    <w:rsid w:val="002B638B"/>
    <w:rsid w:val="002B64B1"/>
    <w:rsid w:val="002B65A8"/>
    <w:rsid w:val="002B662A"/>
    <w:rsid w:val="002B66E8"/>
    <w:rsid w:val="002B6FB6"/>
    <w:rsid w:val="002B738C"/>
    <w:rsid w:val="002B74C5"/>
    <w:rsid w:val="002B759B"/>
    <w:rsid w:val="002B7C76"/>
    <w:rsid w:val="002C0306"/>
    <w:rsid w:val="002C0970"/>
    <w:rsid w:val="002C0E8D"/>
    <w:rsid w:val="002C1175"/>
    <w:rsid w:val="002C12D8"/>
    <w:rsid w:val="002C12F7"/>
    <w:rsid w:val="002C1464"/>
    <w:rsid w:val="002C1471"/>
    <w:rsid w:val="002C147A"/>
    <w:rsid w:val="002C1A9B"/>
    <w:rsid w:val="002C1AC1"/>
    <w:rsid w:val="002C1BFE"/>
    <w:rsid w:val="002C1C08"/>
    <w:rsid w:val="002C1CAA"/>
    <w:rsid w:val="002C1E01"/>
    <w:rsid w:val="002C1EA8"/>
    <w:rsid w:val="002C2362"/>
    <w:rsid w:val="002C2364"/>
    <w:rsid w:val="002C23A3"/>
    <w:rsid w:val="002C2614"/>
    <w:rsid w:val="002C276E"/>
    <w:rsid w:val="002C29DD"/>
    <w:rsid w:val="002C2BC8"/>
    <w:rsid w:val="002C2D20"/>
    <w:rsid w:val="002C2DFA"/>
    <w:rsid w:val="002C2E6D"/>
    <w:rsid w:val="002C33B3"/>
    <w:rsid w:val="002C34FB"/>
    <w:rsid w:val="002C3A60"/>
    <w:rsid w:val="002C3B17"/>
    <w:rsid w:val="002C4112"/>
    <w:rsid w:val="002C423A"/>
    <w:rsid w:val="002C44DD"/>
    <w:rsid w:val="002C45C4"/>
    <w:rsid w:val="002C461F"/>
    <w:rsid w:val="002C46A4"/>
    <w:rsid w:val="002C4F85"/>
    <w:rsid w:val="002C5060"/>
    <w:rsid w:val="002C52ED"/>
    <w:rsid w:val="002C537D"/>
    <w:rsid w:val="002C5602"/>
    <w:rsid w:val="002C58E1"/>
    <w:rsid w:val="002C5ACF"/>
    <w:rsid w:val="002C5C27"/>
    <w:rsid w:val="002C5D09"/>
    <w:rsid w:val="002C5E57"/>
    <w:rsid w:val="002C5E5A"/>
    <w:rsid w:val="002C63E2"/>
    <w:rsid w:val="002C6A2B"/>
    <w:rsid w:val="002C730D"/>
    <w:rsid w:val="002C7963"/>
    <w:rsid w:val="002C79ED"/>
    <w:rsid w:val="002C7FF2"/>
    <w:rsid w:val="002D0375"/>
    <w:rsid w:val="002D0610"/>
    <w:rsid w:val="002D0736"/>
    <w:rsid w:val="002D0908"/>
    <w:rsid w:val="002D0F40"/>
    <w:rsid w:val="002D1248"/>
    <w:rsid w:val="002D130A"/>
    <w:rsid w:val="002D1393"/>
    <w:rsid w:val="002D14DE"/>
    <w:rsid w:val="002D1C24"/>
    <w:rsid w:val="002D28B2"/>
    <w:rsid w:val="002D2F32"/>
    <w:rsid w:val="002D2FE1"/>
    <w:rsid w:val="002D30E1"/>
    <w:rsid w:val="002D3144"/>
    <w:rsid w:val="002D33DF"/>
    <w:rsid w:val="002D3547"/>
    <w:rsid w:val="002D3689"/>
    <w:rsid w:val="002D3873"/>
    <w:rsid w:val="002D39BA"/>
    <w:rsid w:val="002D3D99"/>
    <w:rsid w:val="002D3F24"/>
    <w:rsid w:val="002D40DB"/>
    <w:rsid w:val="002D4123"/>
    <w:rsid w:val="002D4139"/>
    <w:rsid w:val="002D4176"/>
    <w:rsid w:val="002D419B"/>
    <w:rsid w:val="002D41A5"/>
    <w:rsid w:val="002D422C"/>
    <w:rsid w:val="002D4403"/>
    <w:rsid w:val="002D48B8"/>
    <w:rsid w:val="002D4922"/>
    <w:rsid w:val="002D4B2A"/>
    <w:rsid w:val="002D4F77"/>
    <w:rsid w:val="002D50C8"/>
    <w:rsid w:val="002D53FF"/>
    <w:rsid w:val="002D55D3"/>
    <w:rsid w:val="002D5743"/>
    <w:rsid w:val="002D58E5"/>
    <w:rsid w:val="002D5ADF"/>
    <w:rsid w:val="002D5DEF"/>
    <w:rsid w:val="002D5F0E"/>
    <w:rsid w:val="002D5F30"/>
    <w:rsid w:val="002D60AD"/>
    <w:rsid w:val="002D6492"/>
    <w:rsid w:val="002D6550"/>
    <w:rsid w:val="002D66A9"/>
    <w:rsid w:val="002D6754"/>
    <w:rsid w:val="002D68C9"/>
    <w:rsid w:val="002D6B1B"/>
    <w:rsid w:val="002D7292"/>
    <w:rsid w:val="002D7336"/>
    <w:rsid w:val="002D7366"/>
    <w:rsid w:val="002D7618"/>
    <w:rsid w:val="002D780C"/>
    <w:rsid w:val="002D786D"/>
    <w:rsid w:val="002D78E9"/>
    <w:rsid w:val="002D7D88"/>
    <w:rsid w:val="002E0019"/>
    <w:rsid w:val="002E03AC"/>
    <w:rsid w:val="002E06AE"/>
    <w:rsid w:val="002E08AC"/>
    <w:rsid w:val="002E0B6E"/>
    <w:rsid w:val="002E0E0E"/>
    <w:rsid w:val="002E0F62"/>
    <w:rsid w:val="002E11D2"/>
    <w:rsid w:val="002E1672"/>
    <w:rsid w:val="002E179C"/>
    <w:rsid w:val="002E1FD2"/>
    <w:rsid w:val="002E2683"/>
    <w:rsid w:val="002E293C"/>
    <w:rsid w:val="002E2B0B"/>
    <w:rsid w:val="002E2C26"/>
    <w:rsid w:val="002E2E06"/>
    <w:rsid w:val="002E2E11"/>
    <w:rsid w:val="002E32D7"/>
    <w:rsid w:val="002E32D9"/>
    <w:rsid w:val="002E334A"/>
    <w:rsid w:val="002E3457"/>
    <w:rsid w:val="002E3AFE"/>
    <w:rsid w:val="002E3C86"/>
    <w:rsid w:val="002E3FC1"/>
    <w:rsid w:val="002E4065"/>
    <w:rsid w:val="002E415D"/>
    <w:rsid w:val="002E4435"/>
    <w:rsid w:val="002E4461"/>
    <w:rsid w:val="002E447E"/>
    <w:rsid w:val="002E45F4"/>
    <w:rsid w:val="002E49EB"/>
    <w:rsid w:val="002E4D67"/>
    <w:rsid w:val="002E5337"/>
    <w:rsid w:val="002E54BE"/>
    <w:rsid w:val="002E56E2"/>
    <w:rsid w:val="002E5C8B"/>
    <w:rsid w:val="002E5D13"/>
    <w:rsid w:val="002E5DC9"/>
    <w:rsid w:val="002E5E13"/>
    <w:rsid w:val="002E604E"/>
    <w:rsid w:val="002E6263"/>
    <w:rsid w:val="002E62A0"/>
    <w:rsid w:val="002E63F1"/>
    <w:rsid w:val="002E64AD"/>
    <w:rsid w:val="002E6578"/>
    <w:rsid w:val="002E66FD"/>
    <w:rsid w:val="002E67B5"/>
    <w:rsid w:val="002E68FF"/>
    <w:rsid w:val="002E6E7E"/>
    <w:rsid w:val="002E70A6"/>
    <w:rsid w:val="002E7151"/>
    <w:rsid w:val="002E7233"/>
    <w:rsid w:val="002E76F6"/>
    <w:rsid w:val="002E78E7"/>
    <w:rsid w:val="002E7BC6"/>
    <w:rsid w:val="002E7C24"/>
    <w:rsid w:val="002E7E5B"/>
    <w:rsid w:val="002F000A"/>
    <w:rsid w:val="002F0087"/>
    <w:rsid w:val="002F0263"/>
    <w:rsid w:val="002F0475"/>
    <w:rsid w:val="002F0604"/>
    <w:rsid w:val="002F067F"/>
    <w:rsid w:val="002F077C"/>
    <w:rsid w:val="002F0A0C"/>
    <w:rsid w:val="002F0BC4"/>
    <w:rsid w:val="002F0EF2"/>
    <w:rsid w:val="002F0FBF"/>
    <w:rsid w:val="002F128D"/>
    <w:rsid w:val="002F1708"/>
    <w:rsid w:val="002F1E70"/>
    <w:rsid w:val="002F2043"/>
    <w:rsid w:val="002F2248"/>
    <w:rsid w:val="002F2452"/>
    <w:rsid w:val="002F2464"/>
    <w:rsid w:val="002F25ED"/>
    <w:rsid w:val="002F260F"/>
    <w:rsid w:val="002F295D"/>
    <w:rsid w:val="002F29BC"/>
    <w:rsid w:val="002F29CE"/>
    <w:rsid w:val="002F2A42"/>
    <w:rsid w:val="002F2F0D"/>
    <w:rsid w:val="002F3343"/>
    <w:rsid w:val="002F36E2"/>
    <w:rsid w:val="002F36ED"/>
    <w:rsid w:val="002F370F"/>
    <w:rsid w:val="002F3771"/>
    <w:rsid w:val="002F3AEC"/>
    <w:rsid w:val="002F3B8A"/>
    <w:rsid w:val="002F3BA3"/>
    <w:rsid w:val="002F3E0F"/>
    <w:rsid w:val="002F3FE5"/>
    <w:rsid w:val="002F4064"/>
    <w:rsid w:val="002F408B"/>
    <w:rsid w:val="002F409B"/>
    <w:rsid w:val="002F4646"/>
    <w:rsid w:val="002F46C1"/>
    <w:rsid w:val="002F4C32"/>
    <w:rsid w:val="002F4E63"/>
    <w:rsid w:val="002F4FEB"/>
    <w:rsid w:val="002F4FED"/>
    <w:rsid w:val="002F50BF"/>
    <w:rsid w:val="002F52C9"/>
    <w:rsid w:val="002F563D"/>
    <w:rsid w:val="002F58CD"/>
    <w:rsid w:val="002F5B28"/>
    <w:rsid w:val="002F5DBE"/>
    <w:rsid w:val="002F60BE"/>
    <w:rsid w:val="002F62E0"/>
    <w:rsid w:val="002F63C2"/>
    <w:rsid w:val="002F658A"/>
    <w:rsid w:val="002F6738"/>
    <w:rsid w:val="002F6CDF"/>
    <w:rsid w:val="002F6E0A"/>
    <w:rsid w:val="002F6E54"/>
    <w:rsid w:val="002F727B"/>
    <w:rsid w:val="002F72D2"/>
    <w:rsid w:val="002F7353"/>
    <w:rsid w:val="002F772D"/>
    <w:rsid w:val="002F79DB"/>
    <w:rsid w:val="0030017E"/>
    <w:rsid w:val="00300984"/>
    <w:rsid w:val="00300A59"/>
    <w:rsid w:val="00300AE8"/>
    <w:rsid w:val="00300B2D"/>
    <w:rsid w:val="00300B75"/>
    <w:rsid w:val="00300C96"/>
    <w:rsid w:val="00300CA0"/>
    <w:rsid w:val="00300CE9"/>
    <w:rsid w:val="00300EA3"/>
    <w:rsid w:val="003010CE"/>
    <w:rsid w:val="003013A4"/>
    <w:rsid w:val="0030145D"/>
    <w:rsid w:val="003018BD"/>
    <w:rsid w:val="00301952"/>
    <w:rsid w:val="0030209E"/>
    <w:rsid w:val="00302164"/>
    <w:rsid w:val="00302297"/>
    <w:rsid w:val="00302618"/>
    <w:rsid w:val="003026DF"/>
    <w:rsid w:val="00302795"/>
    <w:rsid w:val="003028E3"/>
    <w:rsid w:val="00302ACA"/>
    <w:rsid w:val="00302AE3"/>
    <w:rsid w:val="00302B11"/>
    <w:rsid w:val="00303645"/>
    <w:rsid w:val="0030378A"/>
    <w:rsid w:val="0030398B"/>
    <w:rsid w:val="003039BD"/>
    <w:rsid w:val="00303B30"/>
    <w:rsid w:val="00303BCB"/>
    <w:rsid w:val="00303C3A"/>
    <w:rsid w:val="00303C5B"/>
    <w:rsid w:val="00303C60"/>
    <w:rsid w:val="00303CD7"/>
    <w:rsid w:val="00303D5F"/>
    <w:rsid w:val="00304093"/>
    <w:rsid w:val="0030434A"/>
    <w:rsid w:val="003043EE"/>
    <w:rsid w:val="00304410"/>
    <w:rsid w:val="0030478B"/>
    <w:rsid w:val="0030481A"/>
    <w:rsid w:val="003048BF"/>
    <w:rsid w:val="00304926"/>
    <w:rsid w:val="00304F2C"/>
    <w:rsid w:val="0030547D"/>
    <w:rsid w:val="00305616"/>
    <w:rsid w:val="00305A2B"/>
    <w:rsid w:val="00305D22"/>
    <w:rsid w:val="00305D6B"/>
    <w:rsid w:val="00305F78"/>
    <w:rsid w:val="00306092"/>
    <w:rsid w:val="003062B9"/>
    <w:rsid w:val="00306555"/>
    <w:rsid w:val="0030658C"/>
    <w:rsid w:val="00306668"/>
    <w:rsid w:val="003066E2"/>
    <w:rsid w:val="003067B3"/>
    <w:rsid w:val="003067B5"/>
    <w:rsid w:val="003069E8"/>
    <w:rsid w:val="00306ACB"/>
    <w:rsid w:val="00306C0F"/>
    <w:rsid w:val="003071E7"/>
    <w:rsid w:val="003071F7"/>
    <w:rsid w:val="0030727C"/>
    <w:rsid w:val="003073EC"/>
    <w:rsid w:val="0030741B"/>
    <w:rsid w:val="0030741C"/>
    <w:rsid w:val="00307427"/>
    <w:rsid w:val="003075CE"/>
    <w:rsid w:val="003076A4"/>
    <w:rsid w:val="003076C8"/>
    <w:rsid w:val="00307F0A"/>
    <w:rsid w:val="003101DF"/>
    <w:rsid w:val="00310882"/>
    <w:rsid w:val="00310BB7"/>
    <w:rsid w:val="00310C1F"/>
    <w:rsid w:val="00310E57"/>
    <w:rsid w:val="003114E8"/>
    <w:rsid w:val="003119AB"/>
    <w:rsid w:val="003119DC"/>
    <w:rsid w:val="00311A9D"/>
    <w:rsid w:val="00311AA8"/>
    <w:rsid w:val="00311D1E"/>
    <w:rsid w:val="00311F34"/>
    <w:rsid w:val="00311F4E"/>
    <w:rsid w:val="0031214A"/>
    <w:rsid w:val="003121C4"/>
    <w:rsid w:val="00312290"/>
    <w:rsid w:val="00312339"/>
    <w:rsid w:val="00312346"/>
    <w:rsid w:val="003123EE"/>
    <w:rsid w:val="00312486"/>
    <w:rsid w:val="0031285C"/>
    <w:rsid w:val="003128B4"/>
    <w:rsid w:val="00312B34"/>
    <w:rsid w:val="003137F3"/>
    <w:rsid w:val="00313F73"/>
    <w:rsid w:val="00313FBF"/>
    <w:rsid w:val="00313FE2"/>
    <w:rsid w:val="0031405D"/>
    <w:rsid w:val="00314200"/>
    <w:rsid w:val="003146A8"/>
    <w:rsid w:val="003147A4"/>
    <w:rsid w:val="00314A16"/>
    <w:rsid w:val="00314A99"/>
    <w:rsid w:val="00314B3F"/>
    <w:rsid w:val="00315118"/>
    <w:rsid w:val="0031563A"/>
    <w:rsid w:val="003156A6"/>
    <w:rsid w:val="00315865"/>
    <w:rsid w:val="00315875"/>
    <w:rsid w:val="00315945"/>
    <w:rsid w:val="00315997"/>
    <w:rsid w:val="00315A3B"/>
    <w:rsid w:val="00315A51"/>
    <w:rsid w:val="00315E38"/>
    <w:rsid w:val="00316129"/>
    <w:rsid w:val="003168EF"/>
    <w:rsid w:val="00316ABF"/>
    <w:rsid w:val="00316B2E"/>
    <w:rsid w:val="00316B97"/>
    <w:rsid w:val="00316C18"/>
    <w:rsid w:val="00316EE7"/>
    <w:rsid w:val="0031724D"/>
    <w:rsid w:val="003174E4"/>
    <w:rsid w:val="0031780E"/>
    <w:rsid w:val="00317B0D"/>
    <w:rsid w:val="00317B39"/>
    <w:rsid w:val="00317C61"/>
    <w:rsid w:val="00317FC7"/>
    <w:rsid w:val="003201AD"/>
    <w:rsid w:val="003201D5"/>
    <w:rsid w:val="003202DF"/>
    <w:rsid w:val="00320585"/>
    <w:rsid w:val="003205FB"/>
    <w:rsid w:val="0032080F"/>
    <w:rsid w:val="00320822"/>
    <w:rsid w:val="00320BBD"/>
    <w:rsid w:val="00320F6B"/>
    <w:rsid w:val="003210CE"/>
    <w:rsid w:val="0032154A"/>
    <w:rsid w:val="0032154D"/>
    <w:rsid w:val="00321784"/>
    <w:rsid w:val="00321806"/>
    <w:rsid w:val="003219B3"/>
    <w:rsid w:val="00321B5F"/>
    <w:rsid w:val="00321C27"/>
    <w:rsid w:val="00321CDC"/>
    <w:rsid w:val="00321E57"/>
    <w:rsid w:val="00321FB5"/>
    <w:rsid w:val="00322106"/>
    <w:rsid w:val="00322184"/>
    <w:rsid w:val="00322351"/>
    <w:rsid w:val="0032270E"/>
    <w:rsid w:val="00322E7E"/>
    <w:rsid w:val="00322EBF"/>
    <w:rsid w:val="003230AD"/>
    <w:rsid w:val="0032314A"/>
    <w:rsid w:val="00323282"/>
    <w:rsid w:val="003234B5"/>
    <w:rsid w:val="003234E3"/>
    <w:rsid w:val="0032354C"/>
    <w:rsid w:val="0032356F"/>
    <w:rsid w:val="0032407C"/>
    <w:rsid w:val="00324550"/>
    <w:rsid w:val="00324846"/>
    <w:rsid w:val="00324C80"/>
    <w:rsid w:val="00324E00"/>
    <w:rsid w:val="00324FDC"/>
    <w:rsid w:val="003253F8"/>
    <w:rsid w:val="003257B1"/>
    <w:rsid w:val="00325803"/>
    <w:rsid w:val="00325813"/>
    <w:rsid w:val="003259F3"/>
    <w:rsid w:val="00325A96"/>
    <w:rsid w:val="00325E51"/>
    <w:rsid w:val="003260E7"/>
    <w:rsid w:val="0032624F"/>
    <w:rsid w:val="00326272"/>
    <w:rsid w:val="00326393"/>
    <w:rsid w:val="00326869"/>
    <w:rsid w:val="00326B2F"/>
    <w:rsid w:val="00326B9F"/>
    <w:rsid w:val="00326ED2"/>
    <w:rsid w:val="003271A7"/>
    <w:rsid w:val="0032767F"/>
    <w:rsid w:val="003277C0"/>
    <w:rsid w:val="003278EF"/>
    <w:rsid w:val="00327ED4"/>
    <w:rsid w:val="00330021"/>
    <w:rsid w:val="00330080"/>
    <w:rsid w:val="00330220"/>
    <w:rsid w:val="00330501"/>
    <w:rsid w:val="003306B2"/>
    <w:rsid w:val="003307E3"/>
    <w:rsid w:val="00330A8D"/>
    <w:rsid w:val="00330B6D"/>
    <w:rsid w:val="00330BFD"/>
    <w:rsid w:val="00330DD1"/>
    <w:rsid w:val="00330E5D"/>
    <w:rsid w:val="00330F7D"/>
    <w:rsid w:val="0033108D"/>
    <w:rsid w:val="003311E1"/>
    <w:rsid w:val="0033126D"/>
    <w:rsid w:val="0033140D"/>
    <w:rsid w:val="00331453"/>
    <w:rsid w:val="003315D4"/>
    <w:rsid w:val="00331856"/>
    <w:rsid w:val="00331B0B"/>
    <w:rsid w:val="00331C7B"/>
    <w:rsid w:val="0033214B"/>
    <w:rsid w:val="003322FC"/>
    <w:rsid w:val="0033267E"/>
    <w:rsid w:val="003326F7"/>
    <w:rsid w:val="0033284A"/>
    <w:rsid w:val="003328DD"/>
    <w:rsid w:val="00332BA3"/>
    <w:rsid w:val="00332C20"/>
    <w:rsid w:val="00332D87"/>
    <w:rsid w:val="00332F3B"/>
    <w:rsid w:val="00333161"/>
    <w:rsid w:val="0033344A"/>
    <w:rsid w:val="00333501"/>
    <w:rsid w:val="00333A88"/>
    <w:rsid w:val="00333B6A"/>
    <w:rsid w:val="00333ED8"/>
    <w:rsid w:val="00333FC5"/>
    <w:rsid w:val="00334184"/>
    <w:rsid w:val="003341EB"/>
    <w:rsid w:val="0033423D"/>
    <w:rsid w:val="00334675"/>
    <w:rsid w:val="00334918"/>
    <w:rsid w:val="00334E56"/>
    <w:rsid w:val="003352F3"/>
    <w:rsid w:val="003357D7"/>
    <w:rsid w:val="003357FA"/>
    <w:rsid w:val="00335843"/>
    <w:rsid w:val="00335873"/>
    <w:rsid w:val="00335A9D"/>
    <w:rsid w:val="00335ABC"/>
    <w:rsid w:val="00335D63"/>
    <w:rsid w:val="00335E79"/>
    <w:rsid w:val="00336207"/>
    <w:rsid w:val="00336307"/>
    <w:rsid w:val="0033675B"/>
    <w:rsid w:val="003372E7"/>
    <w:rsid w:val="003376FD"/>
    <w:rsid w:val="00337716"/>
    <w:rsid w:val="003378D8"/>
    <w:rsid w:val="00337F45"/>
    <w:rsid w:val="00337F56"/>
    <w:rsid w:val="00340177"/>
    <w:rsid w:val="00340296"/>
    <w:rsid w:val="00340643"/>
    <w:rsid w:val="00340CCA"/>
    <w:rsid w:val="00340FBE"/>
    <w:rsid w:val="00340FC9"/>
    <w:rsid w:val="003410C8"/>
    <w:rsid w:val="003410E0"/>
    <w:rsid w:val="003411D1"/>
    <w:rsid w:val="003413EE"/>
    <w:rsid w:val="003414E7"/>
    <w:rsid w:val="00341759"/>
    <w:rsid w:val="003417AE"/>
    <w:rsid w:val="00341834"/>
    <w:rsid w:val="00341AFB"/>
    <w:rsid w:val="00341BAA"/>
    <w:rsid w:val="003420BD"/>
    <w:rsid w:val="003420DC"/>
    <w:rsid w:val="003421DD"/>
    <w:rsid w:val="003422B7"/>
    <w:rsid w:val="00342528"/>
    <w:rsid w:val="003426D4"/>
    <w:rsid w:val="003426DE"/>
    <w:rsid w:val="0034272E"/>
    <w:rsid w:val="00342F51"/>
    <w:rsid w:val="0034333B"/>
    <w:rsid w:val="0034353C"/>
    <w:rsid w:val="003438C7"/>
    <w:rsid w:val="0034391E"/>
    <w:rsid w:val="00343952"/>
    <w:rsid w:val="00343B80"/>
    <w:rsid w:val="00343E22"/>
    <w:rsid w:val="00343FA3"/>
    <w:rsid w:val="00344497"/>
    <w:rsid w:val="0034452C"/>
    <w:rsid w:val="0034470F"/>
    <w:rsid w:val="00344903"/>
    <w:rsid w:val="00344962"/>
    <w:rsid w:val="00344966"/>
    <w:rsid w:val="00344A78"/>
    <w:rsid w:val="00344DF2"/>
    <w:rsid w:val="00344F02"/>
    <w:rsid w:val="00345305"/>
    <w:rsid w:val="003455C4"/>
    <w:rsid w:val="003456FA"/>
    <w:rsid w:val="003459A3"/>
    <w:rsid w:val="00345BC3"/>
    <w:rsid w:val="00345CAD"/>
    <w:rsid w:val="00345DE1"/>
    <w:rsid w:val="00345EDA"/>
    <w:rsid w:val="003462CE"/>
    <w:rsid w:val="003463B0"/>
    <w:rsid w:val="00346626"/>
    <w:rsid w:val="003466FF"/>
    <w:rsid w:val="00346779"/>
    <w:rsid w:val="00346A60"/>
    <w:rsid w:val="00346C7A"/>
    <w:rsid w:val="00346F26"/>
    <w:rsid w:val="00347170"/>
    <w:rsid w:val="0034730A"/>
    <w:rsid w:val="003474E0"/>
    <w:rsid w:val="0034763C"/>
    <w:rsid w:val="0034784D"/>
    <w:rsid w:val="003478E2"/>
    <w:rsid w:val="00347AF0"/>
    <w:rsid w:val="00347C05"/>
    <w:rsid w:val="00347E06"/>
    <w:rsid w:val="0035027A"/>
    <w:rsid w:val="0035046A"/>
    <w:rsid w:val="00350581"/>
    <w:rsid w:val="003506B5"/>
    <w:rsid w:val="003506E3"/>
    <w:rsid w:val="003509D0"/>
    <w:rsid w:val="00350C74"/>
    <w:rsid w:val="00350E05"/>
    <w:rsid w:val="00350EE4"/>
    <w:rsid w:val="00351190"/>
    <w:rsid w:val="0035122E"/>
    <w:rsid w:val="00351453"/>
    <w:rsid w:val="00351692"/>
    <w:rsid w:val="003516AB"/>
    <w:rsid w:val="003516F1"/>
    <w:rsid w:val="003518A6"/>
    <w:rsid w:val="003518CF"/>
    <w:rsid w:val="00351B5E"/>
    <w:rsid w:val="00352635"/>
    <w:rsid w:val="003529D6"/>
    <w:rsid w:val="003530DB"/>
    <w:rsid w:val="00353348"/>
    <w:rsid w:val="003538B0"/>
    <w:rsid w:val="00353982"/>
    <w:rsid w:val="00353A54"/>
    <w:rsid w:val="00353A99"/>
    <w:rsid w:val="00353B87"/>
    <w:rsid w:val="00353E68"/>
    <w:rsid w:val="003544B3"/>
    <w:rsid w:val="00354565"/>
    <w:rsid w:val="00354629"/>
    <w:rsid w:val="00354681"/>
    <w:rsid w:val="0035481E"/>
    <w:rsid w:val="003548DA"/>
    <w:rsid w:val="00354988"/>
    <w:rsid w:val="00354F11"/>
    <w:rsid w:val="0035500E"/>
    <w:rsid w:val="00355718"/>
    <w:rsid w:val="00355DCD"/>
    <w:rsid w:val="00355DDA"/>
    <w:rsid w:val="00355E61"/>
    <w:rsid w:val="00356148"/>
    <w:rsid w:val="0035637F"/>
    <w:rsid w:val="0035642C"/>
    <w:rsid w:val="00356560"/>
    <w:rsid w:val="00356BE2"/>
    <w:rsid w:val="00356C4F"/>
    <w:rsid w:val="00356DBC"/>
    <w:rsid w:val="00356E26"/>
    <w:rsid w:val="00356FEA"/>
    <w:rsid w:val="00357172"/>
    <w:rsid w:val="0035726D"/>
    <w:rsid w:val="003572BA"/>
    <w:rsid w:val="003574B2"/>
    <w:rsid w:val="0035765D"/>
    <w:rsid w:val="0035769F"/>
    <w:rsid w:val="00357A15"/>
    <w:rsid w:val="00357F7B"/>
    <w:rsid w:val="003600B4"/>
    <w:rsid w:val="00360536"/>
    <w:rsid w:val="00360812"/>
    <w:rsid w:val="00360ABC"/>
    <w:rsid w:val="00360B44"/>
    <w:rsid w:val="00360DE7"/>
    <w:rsid w:val="00360E41"/>
    <w:rsid w:val="0036121C"/>
    <w:rsid w:val="00361262"/>
    <w:rsid w:val="003615EC"/>
    <w:rsid w:val="00361617"/>
    <w:rsid w:val="003619B2"/>
    <w:rsid w:val="003619E9"/>
    <w:rsid w:val="00361CC8"/>
    <w:rsid w:val="00361F7D"/>
    <w:rsid w:val="003623A2"/>
    <w:rsid w:val="0036246E"/>
    <w:rsid w:val="0036264B"/>
    <w:rsid w:val="00362B68"/>
    <w:rsid w:val="00362DD6"/>
    <w:rsid w:val="00363113"/>
    <w:rsid w:val="0036362E"/>
    <w:rsid w:val="00363A6E"/>
    <w:rsid w:val="00363E09"/>
    <w:rsid w:val="00364045"/>
    <w:rsid w:val="00364138"/>
    <w:rsid w:val="0036455D"/>
    <w:rsid w:val="00364585"/>
    <w:rsid w:val="00364761"/>
    <w:rsid w:val="00364C0A"/>
    <w:rsid w:val="00364CB1"/>
    <w:rsid w:val="00364FF9"/>
    <w:rsid w:val="0036526A"/>
    <w:rsid w:val="00365287"/>
    <w:rsid w:val="0036530C"/>
    <w:rsid w:val="00365364"/>
    <w:rsid w:val="003654F0"/>
    <w:rsid w:val="00365633"/>
    <w:rsid w:val="00365741"/>
    <w:rsid w:val="0036581C"/>
    <w:rsid w:val="003659B5"/>
    <w:rsid w:val="00365D5C"/>
    <w:rsid w:val="00365D96"/>
    <w:rsid w:val="00365E3A"/>
    <w:rsid w:val="0036614E"/>
    <w:rsid w:val="003662A1"/>
    <w:rsid w:val="00366378"/>
    <w:rsid w:val="003663AF"/>
    <w:rsid w:val="00366478"/>
    <w:rsid w:val="00366563"/>
    <w:rsid w:val="0036659E"/>
    <w:rsid w:val="00366B92"/>
    <w:rsid w:val="00366C2A"/>
    <w:rsid w:val="00366D07"/>
    <w:rsid w:val="00366F7F"/>
    <w:rsid w:val="003670FF"/>
    <w:rsid w:val="00367282"/>
    <w:rsid w:val="003672CF"/>
    <w:rsid w:val="003676D8"/>
    <w:rsid w:val="00367AE3"/>
    <w:rsid w:val="00367FEB"/>
    <w:rsid w:val="00370004"/>
    <w:rsid w:val="00370276"/>
    <w:rsid w:val="00370314"/>
    <w:rsid w:val="00370339"/>
    <w:rsid w:val="003703C3"/>
    <w:rsid w:val="00370758"/>
    <w:rsid w:val="0037078C"/>
    <w:rsid w:val="003707EE"/>
    <w:rsid w:val="003707FF"/>
    <w:rsid w:val="00370931"/>
    <w:rsid w:val="00370C79"/>
    <w:rsid w:val="00370E57"/>
    <w:rsid w:val="00371A03"/>
    <w:rsid w:val="00371A86"/>
    <w:rsid w:val="00371E99"/>
    <w:rsid w:val="00371F1D"/>
    <w:rsid w:val="0037203C"/>
    <w:rsid w:val="0037213E"/>
    <w:rsid w:val="0037214B"/>
    <w:rsid w:val="0037221F"/>
    <w:rsid w:val="00372293"/>
    <w:rsid w:val="0037235F"/>
    <w:rsid w:val="0037240D"/>
    <w:rsid w:val="003727CB"/>
    <w:rsid w:val="00372960"/>
    <w:rsid w:val="00372967"/>
    <w:rsid w:val="00372BF7"/>
    <w:rsid w:val="00372C69"/>
    <w:rsid w:val="00372FA5"/>
    <w:rsid w:val="00372FB0"/>
    <w:rsid w:val="00373472"/>
    <w:rsid w:val="0037349C"/>
    <w:rsid w:val="0037351E"/>
    <w:rsid w:val="003735F7"/>
    <w:rsid w:val="003739A4"/>
    <w:rsid w:val="00373A8B"/>
    <w:rsid w:val="00373AD6"/>
    <w:rsid w:val="00373C24"/>
    <w:rsid w:val="003740AB"/>
    <w:rsid w:val="003743D5"/>
    <w:rsid w:val="00374599"/>
    <w:rsid w:val="00374AEB"/>
    <w:rsid w:val="00374BFF"/>
    <w:rsid w:val="00374DFD"/>
    <w:rsid w:val="0037502A"/>
    <w:rsid w:val="00375302"/>
    <w:rsid w:val="003758A4"/>
    <w:rsid w:val="00375B68"/>
    <w:rsid w:val="00375DAE"/>
    <w:rsid w:val="00375F0B"/>
    <w:rsid w:val="00375F60"/>
    <w:rsid w:val="003760FE"/>
    <w:rsid w:val="0037647B"/>
    <w:rsid w:val="00376494"/>
    <w:rsid w:val="0037660B"/>
    <w:rsid w:val="003767E5"/>
    <w:rsid w:val="00376850"/>
    <w:rsid w:val="003768CD"/>
    <w:rsid w:val="00376944"/>
    <w:rsid w:val="003769E0"/>
    <w:rsid w:val="00376A80"/>
    <w:rsid w:val="00377536"/>
    <w:rsid w:val="00377965"/>
    <w:rsid w:val="00377A51"/>
    <w:rsid w:val="00377E3B"/>
    <w:rsid w:val="00377EE4"/>
    <w:rsid w:val="00377F4D"/>
    <w:rsid w:val="003801D1"/>
    <w:rsid w:val="003801DA"/>
    <w:rsid w:val="003802A7"/>
    <w:rsid w:val="00380417"/>
    <w:rsid w:val="00380675"/>
    <w:rsid w:val="00380818"/>
    <w:rsid w:val="00380BAE"/>
    <w:rsid w:val="00380D07"/>
    <w:rsid w:val="00380F46"/>
    <w:rsid w:val="003810E5"/>
    <w:rsid w:val="0038182F"/>
    <w:rsid w:val="00381921"/>
    <w:rsid w:val="00381BD6"/>
    <w:rsid w:val="00381D07"/>
    <w:rsid w:val="00381D09"/>
    <w:rsid w:val="003821FC"/>
    <w:rsid w:val="00382642"/>
    <w:rsid w:val="003827A7"/>
    <w:rsid w:val="00382801"/>
    <w:rsid w:val="00382872"/>
    <w:rsid w:val="00382942"/>
    <w:rsid w:val="003829F6"/>
    <w:rsid w:val="00382A33"/>
    <w:rsid w:val="00382A38"/>
    <w:rsid w:val="00382A9D"/>
    <w:rsid w:val="00382D51"/>
    <w:rsid w:val="0038313B"/>
    <w:rsid w:val="00383877"/>
    <w:rsid w:val="00383A4E"/>
    <w:rsid w:val="00383B4F"/>
    <w:rsid w:val="00383BC5"/>
    <w:rsid w:val="00383C13"/>
    <w:rsid w:val="0038407E"/>
    <w:rsid w:val="00384115"/>
    <w:rsid w:val="00384248"/>
    <w:rsid w:val="003846CE"/>
    <w:rsid w:val="00384CD9"/>
    <w:rsid w:val="00384FAA"/>
    <w:rsid w:val="00385100"/>
    <w:rsid w:val="0038524C"/>
    <w:rsid w:val="003854AA"/>
    <w:rsid w:val="003856DD"/>
    <w:rsid w:val="00385824"/>
    <w:rsid w:val="00385868"/>
    <w:rsid w:val="00385A3C"/>
    <w:rsid w:val="00385B6A"/>
    <w:rsid w:val="00385FC5"/>
    <w:rsid w:val="003860E9"/>
    <w:rsid w:val="003863AC"/>
    <w:rsid w:val="00386AF5"/>
    <w:rsid w:val="00386B67"/>
    <w:rsid w:val="00386EDA"/>
    <w:rsid w:val="00387343"/>
    <w:rsid w:val="003873D7"/>
    <w:rsid w:val="0038771E"/>
    <w:rsid w:val="00387A37"/>
    <w:rsid w:val="00387AF4"/>
    <w:rsid w:val="00387B6A"/>
    <w:rsid w:val="00387C07"/>
    <w:rsid w:val="00387D97"/>
    <w:rsid w:val="0039011B"/>
    <w:rsid w:val="0039049A"/>
    <w:rsid w:val="00390ABE"/>
    <w:rsid w:val="003910DA"/>
    <w:rsid w:val="003911B1"/>
    <w:rsid w:val="00391214"/>
    <w:rsid w:val="003913C1"/>
    <w:rsid w:val="00391419"/>
    <w:rsid w:val="003914FE"/>
    <w:rsid w:val="00391564"/>
    <w:rsid w:val="00391603"/>
    <w:rsid w:val="00391A26"/>
    <w:rsid w:val="0039216B"/>
    <w:rsid w:val="00392561"/>
    <w:rsid w:val="00392B40"/>
    <w:rsid w:val="00392B93"/>
    <w:rsid w:val="00392DAA"/>
    <w:rsid w:val="00392F5C"/>
    <w:rsid w:val="00392FF7"/>
    <w:rsid w:val="003933F2"/>
    <w:rsid w:val="0039369F"/>
    <w:rsid w:val="00393941"/>
    <w:rsid w:val="00393C7B"/>
    <w:rsid w:val="0039411A"/>
    <w:rsid w:val="003941A2"/>
    <w:rsid w:val="003941B9"/>
    <w:rsid w:val="003944A9"/>
    <w:rsid w:val="00394A4C"/>
    <w:rsid w:val="00394BE8"/>
    <w:rsid w:val="00394E6B"/>
    <w:rsid w:val="00394F7D"/>
    <w:rsid w:val="0039540A"/>
    <w:rsid w:val="0039567C"/>
    <w:rsid w:val="00395745"/>
    <w:rsid w:val="003959AD"/>
    <w:rsid w:val="00395A09"/>
    <w:rsid w:val="00395B19"/>
    <w:rsid w:val="00395CB0"/>
    <w:rsid w:val="00395CC7"/>
    <w:rsid w:val="00395F82"/>
    <w:rsid w:val="003961AA"/>
    <w:rsid w:val="0039640A"/>
    <w:rsid w:val="00396574"/>
    <w:rsid w:val="00396F30"/>
    <w:rsid w:val="0039702A"/>
    <w:rsid w:val="0039705B"/>
    <w:rsid w:val="003971EA"/>
    <w:rsid w:val="00397218"/>
    <w:rsid w:val="003974ED"/>
    <w:rsid w:val="0039770B"/>
    <w:rsid w:val="00397AB0"/>
    <w:rsid w:val="00397F61"/>
    <w:rsid w:val="003A0143"/>
    <w:rsid w:val="003A0431"/>
    <w:rsid w:val="003A057B"/>
    <w:rsid w:val="003A0689"/>
    <w:rsid w:val="003A0759"/>
    <w:rsid w:val="003A0899"/>
    <w:rsid w:val="003A0964"/>
    <w:rsid w:val="003A0BAA"/>
    <w:rsid w:val="003A10D0"/>
    <w:rsid w:val="003A11B1"/>
    <w:rsid w:val="003A120E"/>
    <w:rsid w:val="003A12F8"/>
    <w:rsid w:val="003A1694"/>
    <w:rsid w:val="003A1731"/>
    <w:rsid w:val="003A1816"/>
    <w:rsid w:val="003A1896"/>
    <w:rsid w:val="003A1A2B"/>
    <w:rsid w:val="003A1AA8"/>
    <w:rsid w:val="003A205B"/>
    <w:rsid w:val="003A2314"/>
    <w:rsid w:val="003A2EEA"/>
    <w:rsid w:val="003A322A"/>
    <w:rsid w:val="003A365C"/>
    <w:rsid w:val="003A3803"/>
    <w:rsid w:val="003A38E5"/>
    <w:rsid w:val="003A395C"/>
    <w:rsid w:val="003A3BB8"/>
    <w:rsid w:val="003A3D36"/>
    <w:rsid w:val="003A3F75"/>
    <w:rsid w:val="003A406E"/>
    <w:rsid w:val="003A43BB"/>
    <w:rsid w:val="003A4673"/>
    <w:rsid w:val="003A4BE9"/>
    <w:rsid w:val="003A4C3C"/>
    <w:rsid w:val="003A4E2B"/>
    <w:rsid w:val="003A57C2"/>
    <w:rsid w:val="003A5825"/>
    <w:rsid w:val="003A5C21"/>
    <w:rsid w:val="003A60F9"/>
    <w:rsid w:val="003A61DF"/>
    <w:rsid w:val="003A6347"/>
    <w:rsid w:val="003A6459"/>
    <w:rsid w:val="003A6567"/>
    <w:rsid w:val="003A66E4"/>
    <w:rsid w:val="003A6A9B"/>
    <w:rsid w:val="003A6BCA"/>
    <w:rsid w:val="003A6CFD"/>
    <w:rsid w:val="003A6DEF"/>
    <w:rsid w:val="003A6E12"/>
    <w:rsid w:val="003A6FC1"/>
    <w:rsid w:val="003A732A"/>
    <w:rsid w:val="003A7382"/>
    <w:rsid w:val="003A769D"/>
    <w:rsid w:val="003A7922"/>
    <w:rsid w:val="003A7CCE"/>
    <w:rsid w:val="003A7ED7"/>
    <w:rsid w:val="003A7F73"/>
    <w:rsid w:val="003B09B2"/>
    <w:rsid w:val="003B0B1F"/>
    <w:rsid w:val="003B0BC6"/>
    <w:rsid w:val="003B0D22"/>
    <w:rsid w:val="003B126B"/>
    <w:rsid w:val="003B1414"/>
    <w:rsid w:val="003B14B1"/>
    <w:rsid w:val="003B1A3C"/>
    <w:rsid w:val="003B1ACA"/>
    <w:rsid w:val="003B1F51"/>
    <w:rsid w:val="003B2043"/>
    <w:rsid w:val="003B21AD"/>
    <w:rsid w:val="003B21E6"/>
    <w:rsid w:val="003B2450"/>
    <w:rsid w:val="003B2570"/>
    <w:rsid w:val="003B27F6"/>
    <w:rsid w:val="003B2945"/>
    <w:rsid w:val="003B2B90"/>
    <w:rsid w:val="003B2B94"/>
    <w:rsid w:val="003B38C8"/>
    <w:rsid w:val="003B3982"/>
    <w:rsid w:val="003B3CD9"/>
    <w:rsid w:val="003B41AE"/>
    <w:rsid w:val="003B4381"/>
    <w:rsid w:val="003B4471"/>
    <w:rsid w:val="003B4838"/>
    <w:rsid w:val="003B50A9"/>
    <w:rsid w:val="003B512D"/>
    <w:rsid w:val="003B51DD"/>
    <w:rsid w:val="003B5898"/>
    <w:rsid w:val="003B5A43"/>
    <w:rsid w:val="003B5F70"/>
    <w:rsid w:val="003B60D5"/>
    <w:rsid w:val="003B6225"/>
    <w:rsid w:val="003B63B3"/>
    <w:rsid w:val="003B655A"/>
    <w:rsid w:val="003B65B1"/>
    <w:rsid w:val="003B6B49"/>
    <w:rsid w:val="003B6CEB"/>
    <w:rsid w:val="003B6DB8"/>
    <w:rsid w:val="003B703B"/>
    <w:rsid w:val="003B7CE8"/>
    <w:rsid w:val="003B7FD9"/>
    <w:rsid w:val="003C005F"/>
    <w:rsid w:val="003C01C4"/>
    <w:rsid w:val="003C023B"/>
    <w:rsid w:val="003C035A"/>
    <w:rsid w:val="003C0367"/>
    <w:rsid w:val="003C048E"/>
    <w:rsid w:val="003C04B2"/>
    <w:rsid w:val="003C0635"/>
    <w:rsid w:val="003C0739"/>
    <w:rsid w:val="003C07DC"/>
    <w:rsid w:val="003C092A"/>
    <w:rsid w:val="003C0B51"/>
    <w:rsid w:val="003C0C04"/>
    <w:rsid w:val="003C0FA5"/>
    <w:rsid w:val="003C1433"/>
    <w:rsid w:val="003C1593"/>
    <w:rsid w:val="003C175F"/>
    <w:rsid w:val="003C194C"/>
    <w:rsid w:val="003C1DC1"/>
    <w:rsid w:val="003C1FC9"/>
    <w:rsid w:val="003C20FC"/>
    <w:rsid w:val="003C22C0"/>
    <w:rsid w:val="003C2409"/>
    <w:rsid w:val="003C28A8"/>
    <w:rsid w:val="003C293C"/>
    <w:rsid w:val="003C2A8B"/>
    <w:rsid w:val="003C2D89"/>
    <w:rsid w:val="003C2DF3"/>
    <w:rsid w:val="003C302A"/>
    <w:rsid w:val="003C3077"/>
    <w:rsid w:val="003C3150"/>
    <w:rsid w:val="003C32B9"/>
    <w:rsid w:val="003C33FE"/>
    <w:rsid w:val="003C35A9"/>
    <w:rsid w:val="003C3EF3"/>
    <w:rsid w:val="003C3F7D"/>
    <w:rsid w:val="003C402D"/>
    <w:rsid w:val="003C410E"/>
    <w:rsid w:val="003C4323"/>
    <w:rsid w:val="003C43DC"/>
    <w:rsid w:val="003C4644"/>
    <w:rsid w:val="003C486C"/>
    <w:rsid w:val="003C4BBD"/>
    <w:rsid w:val="003C4D22"/>
    <w:rsid w:val="003C4DF6"/>
    <w:rsid w:val="003C4E26"/>
    <w:rsid w:val="003C53CD"/>
    <w:rsid w:val="003C541E"/>
    <w:rsid w:val="003C55B6"/>
    <w:rsid w:val="003C58B0"/>
    <w:rsid w:val="003C59F5"/>
    <w:rsid w:val="003C5BC7"/>
    <w:rsid w:val="003C65A9"/>
    <w:rsid w:val="003C66BD"/>
    <w:rsid w:val="003C6738"/>
    <w:rsid w:val="003C6783"/>
    <w:rsid w:val="003C6858"/>
    <w:rsid w:val="003C6886"/>
    <w:rsid w:val="003C6A79"/>
    <w:rsid w:val="003C6CC7"/>
    <w:rsid w:val="003C6E90"/>
    <w:rsid w:val="003C6F14"/>
    <w:rsid w:val="003C7063"/>
    <w:rsid w:val="003C7660"/>
    <w:rsid w:val="003C781F"/>
    <w:rsid w:val="003C7847"/>
    <w:rsid w:val="003C7AB9"/>
    <w:rsid w:val="003C7ECE"/>
    <w:rsid w:val="003D00C2"/>
    <w:rsid w:val="003D03EE"/>
    <w:rsid w:val="003D0897"/>
    <w:rsid w:val="003D08BB"/>
    <w:rsid w:val="003D0BCB"/>
    <w:rsid w:val="003D0C95"/>
    <w:rsid w:val="003D1112"/>
    <w:rsid w:val="003D11B5"/>
    <w:rsid w:val="003D12B7"/>
    <w:rsid w:val="003D1309"/>
    <w:rsid w:val="003D13A4"/>
    <w:rsid w:val="003D13A9"/>
    <w:rsid w:val="003D1838"/>
    <w:rsid w:val="003D1B7E"/>
    <w:rsid w:val="003D1BC9"/>
    <w:rsid w:val="003D1BFA"/>
    <w:rsid w:val="003D1F2C"/>
    <w:rsid w:val="003D23FE"/>
    <w:rsid w:val="003D2608"/>
    <w:rsid w:val="003D261A"/>
    <w:rsid w:val="003D26E0"/>
    <w:rsid w:val="003D28C8"/>
    <w:rsid w:val="003D28EB"/>
    <w:rsid w:val="003D2A8A"/>
    <w:rsid w:val="003D2B97"/>
    <w:rsid w:val="003D324B"/>
    <w:rsid w:val="003D33B0"/>
    <w:rsid w:val="003D347B"/>
    <w:rsid w:val="003D34D8"/>
    <w:rsid w:val="003D3511"/>
    <w:rsid w:val="003D35A8"/>
    <w:rsid w:val="003D367B"/>
    <w:rsid w:val="003D3A09"/>
    <w:rsid w:val="003D3B0D"/>
    <w:rsid w:val="003D4260"/>
    <w:rsid w:val="003D45A5"/>
    <w:rsid w:val="003D49D5"/>
    <w:rsid w:val="003D4BE7"/>
    <w:rsid w:val="003D4C2C"/>
    <w:rsid w:val="003D4D97"/>
    <w:rsid w:val="003D5098"/>
    <w:rsid w:val="003D517E"/>
    <w:rsid w:val="003D5394"/>
    <w:rsid w:val="003D54D9"/>
    <w:rsid w:val="003D5697"/>
    <w:rsid w:val="003D5A97"/>
    <w:rsid w:val="003D5AD7"/>
    <w:rsid w:val="003D5C77"/>
    <w:rsid w:val="003D5CD9"/>
    <w:rsid w:val="003D5D45"/>
    <w:rsid w:val="003D5D5A"/>
    <w:rsid w:val="003D5E52"/>
    <w:rsid w:val="003D618D"/>
    <w:rsid w:val="003D657D"/>
    <w:rsid w:val="003D6F36"/>
    <w:rsid w:val="003D6F46"/>
    <w:rsid w:val="003D71F4"/>
    <w:rsid w:val="003D73DE"/>
    <w:rsid w:val="003D7715"/>
    <w:rsid w:val="003D7887"/>
    <w:rsid w:val="003D7969"/>
    <w:rsid w:val="003D7A09"/>
    <w:rsid w:val="003D7A0F"/>
    <w:rsid w:val="003D7A35"/>
    <w:rsid w:val="003D7B37"/>
    <w:rsid w:val="003D7C78"/>
    <w:rsid w:val="003D7D38"/>
    <w:rsid w:val="003E00BF"/>
    <w:rsid w:val="003E02F1"/>
    <w:rsid w:val="003E02F4"/>
    <w:rsid w:val="003E03DF"/>
    <w:rsid w:val="003E073D"/>
    <w:rsid w:val="003E0B78"/>
    <w:rsid w:val="003E0C29"/>
    <w:rsid w:val="003E0CFA"/>
    <w:rsid w:val="003E0D6B"/>
    <w:rsid w:val="003E0E58"/>
    <w:rsid w:val="003E118A"/>
    <w:rsid w:val="003E13F2"/>
    <w:rsid w:val="003E16D6"/>
    <w:rsid w:val="003E1934"/>
    <w:rsid w:val="003E1A78"/>
    <w:rsid w:val="003E1BA1"/>
    <w:rsid w:val="003E1C9A"/>
    <w:rsid w:val="003E22E9"/>
    <w:rsid w:val="003E278A"/>
    <w:rsid w:val="003E28BB"/>
    <w:rsid w:val="003E2977"/>
    <w:rsid w:val="003E29E1"/>
    <w:rsid w:val="003E2CE2"/>
    <w:rsid w:val="003E2EE4"/>
    <w:rsid w:val="003E33FC"/>
    <w:rsid w:val="003E34D5"/>
    <w:rsid w:val="003E3C0B"/>
    <w:rsid w:val="003E3C47"/>
    <w:rsid w:val="003E4135"/>
    <w:rsid w:val="003E4340"/>
    <w:rsid w:val="003E4503"/>
    <w:rsid w:val="003E4529"/>
    <w:rsid w:val="003E4775"/>
    <w:rsid w:val="003E4A62"/>
    <w:rsid w:val="003E4A9F"/>
    <w:rsid w:val="003E4D54"/>
    <w:rsid w:val="003E4DFE"/>
    <w:rsid w:val="003E4E58"/>
    <w:rsid w:val="003E4FB5"/>
    <w:rsid w:val="003E50DC"/>
    <w:rsid w:val="003E5150"/>
    <w:rsid w:val="003E57BF"/>
    <w:rsid w:val="003E590D"/>
    <w:rsid w:val="003E5949"/>
    <w:rsid w:val="003E599C"/>
    <w:rsid w:val="003E59A0"/>
    <w:rsid w:val="003E5CA7"/>
    <w:rsid w:val="003E6391"/>
    <w:rsid w:val="003E66B8"/>
    <w:rsid w:val="003E6707"/>
    <w:rsid w:val="003E671C"/>
    <w:rsid w:val="003E67FB"/>
    <w:rsid w:val="003E6A1D"/>
    <w:rsid w:val="003E6B18"/>
    <w:rsid w:val="003E6C8B"/>
    <w:rsid w:val="003E6F9A"/>
    <w:rsid w:val="003E7032"/>
    <w:rsid w:val="003E71A5"/>
    <w:rsid w:val="003E7650"/>
    <w:rsid w:val="003E787D"/>
    <w:rsid w:val="003E79A1"/>
    <w:rsid w:val="003E7A27"/>
    <w:rsid w:val="003F02A3"/>
    <w:rsid w:val="003F074B"/>
    <w:rsid w:val="003F0775"/>
    <w:rsid w:val="003F08C9"/>
    <w:rsid w:val="003F08E8"/>
    <w:rsid w:val="003F0BA9"/>
    <w:rsid w:val="003F0CA1"/>
    <w:rsid w:val="003F0D16"/>
    <w:rsid w:val="003F0DF1"/>
    <w:rsid w:val="003F0EE6"/>
    <w:rsid w:val="003F12CA"/>
    <w:rsid w:val="003F14D5"/>
    <w:rsid w:val="003F174D"/>
    <w:rsid w:val="003F1D4D"/>
    <w:rsid w:val="003F1F0B"/>
    <w:rsid w:val="003F1FBE"/>
    <w:rsid w:val="003F202D"/>
    <w:rsid w:val="003F241E"/>
    <w:rsid w:val="003F2463"/>
    <w:rsid w:val="003F264C"/>
    <w:rsid w:val="003F2A46"/>
    <w:rsid w:val="003F2E8F"/>
    <w:rsid w:val="003F31DD"/>
    <w:rsid w:val="003F3290"/>
    <w:rsid w:val="003F380C"/>
    <w:rsid w:val="003F3872"/>
    <w:rsid w:val="003F3EDD"/>
    <w:rsid w:val="003F412F"/>
    <w:rsid w:val="003F417D"/>
    <w:rsid w:val="003F424F"/>
    <w:rsid w:val="003F439D"/>
    <w:rsid w:val="003F476F"/>
    <w:rsid w:val="003F497F"/>
    <w:rsid w:val="003F4984"/>
    <w:rsid w:val="003F49E9"/>
    <w:rsid w:val="003F4AF0"/>
    <w:rsid w:val="003F4BAF"/>
    <w:rsid w:val="003F5001"/>
    <w:rsid w:val="003F5BB8"/>
    <w:rsid w:val="003F5FAC"/>
    <w:rsid w:val="003F6078"/>
    <w:rsid w:val="003F6254"/>
    <w:rsid w:val="003F6459"/>
    <w:rsid w:val="003F6789"/>
    <w:rsid w:val="003F67EF"/>
    <w:rsid w:val="003F6DD5"/>
    <w:rsid w:val="003F6E5E"/>
    <w:rsid w:val="003F71ED"/>
    <w:rsid w:val="003F74EE"/>
    <w:rsid w:val="003F7549"/>
    <w:rsid w:val="003F772E"/>
    <w:rsid w:val="003F793B"/>
    <w:rsid w:val="003F7A88"/>
    <w:rsid w:val="003F7D41"/>
    <w:rsid w:val="00400040"/>
    <w:rsid w:val="00400057"/>
    <w:rsid w:val="0040009C"/>
    <w:rsid w:val="004002A8"/>
    <w:rsid w:val="004008EB"/>
    <w:rsid w:val="004009A6"/>
    <w:rsid w:val="00400BAA"/>
    <w:rsid w:val="00400BE6"/>
    <w:rsid w:val="00400D32"/>
    <w:rsid w:val="00400EAC"/>
    <w:rsid w:val="00400EC0"/>
    <w:rsid w:val="00401023"/>
    <w:rsid w:val="00401129"/>
    <w:rsid w:val="0040123F"/>
    <w:rsid w:val="004016E0"/>
    <w:rsid w:val="00401866"/>
    <w:rsid w:val="00401A2D"/>
    <w:rsid w:val="00401B11"/>
    <w:rsid w:val="00401B3B"/>
    <w:rsid w:val="00401BBA"/>
    <w:rsid w:val="00401FA5"/>
    <w:rsid w:val="004022DA"/>
    <w:rsid w:val="00402743"/>
    <w:rsid w:val="00402B2C"/>
    <w:rsid w:val="004031C8"/>
    <w:rsid w:val="004031E3"/>
    <w:rsid w:val="004032CE"/>
    <w:rsid w:val="0040341F"/>
    <w:rsid w:val="00403502"/>
    <w:rsid w:val="00403FC3"/>
    <w:rsid w:val="0040415B"/>
    <w:rsid w:val="00404245"/>
    <w:rsid w:val="0040465F"/>
    <w:rsid w:val="004047B0"/>
    <w:rsid w:val="004048A2"/>
    <w:rsid w:val="004048C3"/>
    <w:rsid w:val="004049E4"/>
    <w:rsid w:val="00404A2C"/>
    <w:rsid w:val="00404D51"/>
    <w:rsid w:val="00405085"/>
    <w:rsid w:val="00405175"/>
    <w:rsid w:val="0040556E"/>
    <w:rsid w:val="00405759"/>
    <w:rsid w:val="00405CE3"/>
    <w:rsid w:val="00405E85"/>
    <w:rsid w:val="0040632C"/>
    <w:rsid w:val="00406867"/>
    <w:rsid w:val="004069BE"/>
    <w:rsid w:val="004069E4"/>
    <w:rsid w:val="00406B3B"/>
    <w:rsid w:val="00406B70"/>
    <w:rsid w:val="00406DE8"/>
    <w:rsid w:val="00407124"/>
    <w:rsid w:val="0040713B"/>
    <w:rsid w:val="004073F3"/>
    <w:rsid w:val="00407431"/>
    <w:rsid w:val="004074B8"/>
    <w:rsid w:val="00407519"/>
    <w:rsid w:val="004078B4"/>
    <w:rsid w:val="00407A6A"/>
    <w:rsid w:val="00407BB3"/>
    <w:rsid w:val="00407DDB"/>
    <w:rsid w:val="004102E6"/>
    <w:rsid w:val="00410325"/>
    <w:rsid w:val="004104AA"/>
    <w:rsid w:val="00410882"/>
    <w:rsid w:val="0041091D"/>
    <w:rsid w:val="00410D7D"/>
    <w:rsid w:val="00410EEC"/>
    <w:rsid w:val="004117CF"/>
    <w:rsid w:val="00411A03"/>
    <w:rsid w:val="00411A64"/>
    <w:rsid w:val="00411A6A"/>
    <w:rsid w:val="00411CC2"/>
    <w:rsid w:val="00411D61"/>
    <w:rsid w:val="00412114"/>
    <w:rsid w:val="00412643"/>
    <w:rsid w:val="004127C0"/>
    <w:rsid w:val="00412916"/>
    <w:rsid w:val="00412979"/>
    <w:rsid w:val="00412D3D"/>
    <w:rsid w:val="00412E4A"/>
    <w:rsid w:val="00412EAF"/>
    <w:rsid w:val="00413046"/>
    <w:rsid w:val="004130EE"/>
    <w:rsid w:val="00413609"/>
    <w:rsid w:val="00413654"/>
    <w:rsid w:val="004138A1"/>
    <w:rsid w:val="004138D8"/>
    <w:rsid w:val="00413DC4"/>
    <w:rsid w:val="00414109"/>
    <w:rsid w:val="00414146"/>
    <w:rsid w:val="004142B3"/>
    <w:rsid w:val="00414488"/>
    <w:rsid w:val="00414586"/>
    <w:rsid w:val="0041460F"/>
    <w:rsid w:val="0041472A"/>
    <w:rsid w:val="004147A3"/>
    <w:rsid w:val="004148B2"/>
    <w:rsid w:val="00414A31"/>
    <w:rsid w:val="00414A6F"/>
    <w:rsid w:val="00414C80"/>
    <w:rsid w:val="00414E10"/>
    <w:rsid w:val="004150C2"/>
    <w:rsid w:val="004150DA"/>
    <w:rsid w:val="004151B5"/>
    <w:rsid w:val="004152B8"/>
    <w:rsid w:val="004155B3"/>
    <w:rsid w:val="004157B0"/>
    <w:rsid w:val="004157E9"/>
    <w:rsid w:val="00415B2A"/>
    <w:rsid w:val="00415C1E"/>
    <w:rsid w:val="00415D15"/>
    <w:rsid w:val="0041607E"/>
    <w:rsid w:val="0041616B"/>
    <w:rsid w:val="004161E9"/>
    <w:rsid w:val="0041642E"/>
    <w:rsid w:val="00416600"/>
    <w:rsid w:val="00416633"/>
    <w:rsid w:val="004166F4"/>
    <w:rsid w:val="004167D5"/>
    <w:rsid w:val="00416808"/>
    <w:rsid w:val="004168D4"/>
    <w:rsid w:val="0041691E"/>
    <w:rsid w:val="00416A01"/>
    <w:rsid w:val="00416AC2"/>
    <w:rsid w:val="00416CE2"/>
    <w:rsid w:val="00416D7A"/>
    <w:rsid w:val="00416F34"/>
    <w:rsid w:val="0041707C"/>
    <w:rsid w:val="0041709A"/>
    <w:rsid w:val="0041737D"/>
    <w:rsid w:val="004173B6"/>
    <w:rsid w:val="00417B45"/>
    <w:rsid w:val="00417CA3"/>
    <w:rsid w:val="00417DB5"/>
    <w:rsid w:val="00417FA3"/>
    <w:rsid w:val="00417FFA"/>
    <w:rsid w:val="004202D0"/>
    <w:rsid w:val="00420515"/>
    <w:rsid w:val="0042073C"/>
    <w:rsid w:val="00420A0F"/>
    <w:rsid w:val="00420D76"/>
    <w:rsid w:val="00420E37"/>
    <w:rsid w:val="00420FE0"/>
    <w:rsid w:val="00421083"/>
    <w:rsid w:val="004216B1"/>
    <w:rsid w:val="00421860"/>
    <w:rsid w:val="00421E1A"/>
    <w:rsid w:val="00421F57"/>
    <w:rsid w:val="00422292"/>
    <w:rsid w:val="004225B6"/>
    <w:rsid w:val="00422933"/>
    <w:rsid w:val="00422DDA"/>
    <w:rsid w:val="00422F85"/>
    <w:rsid w:val="00422FF8"/>
    <w:rsid w:val="004232F1"/>
    <w:rsid w:val="00423643"/>
    <w:rsid w:val="00423AFB"/>
    <w:rsid w:val="00423CDB"/>
    <w:rsid w:val="00424080"/>
    <w:rsid w:val="00424104"/>
    <w:rsid w:val="004241E8"/>
    <w:rsid w:val="00424208"/>
    <w:rsid w:val="004243ED"/>
    <w:rsid w:val="00424841"/>
    <w:rsid w:val="00424ABC"/>
    <w:rsid w:val="00424B53"/>
    <w:rsid w:val="00424C27"/>
    <w:rsid w:val="00424CCE"/>
    <w:rsid w:val="00424D9B"/>
    <w:rsid w:val="00424DE2"/>
    <w:rsid w:val="00424F08"/>
    <w:rsid w:val="00425137"/>
    <w:rsid w:val="004252B8"/>
    <w:rsid w:val="00425525"/>
    <w:rsid w:val="004255F5"/>
    <w:rsid w:val="004256AC"/>
    <w:rsid w:val="004258D7"/>
    <w:rsid w:val="00425B7E"/>
    <w:rsid w:val="00425C44"/>
    <w:rsid w:val="00425D1B"/>
    <w:rsid w:val="004260BE"/>
    <w:rsid w:val="0042627C"/>
    <w:rsid w:val="0042648E"/>
    <w:rsid w:val="00426F1A"/>
    <w:rsid w:val="00426FEF"/>
    <w:rsid w:val="004270B9"/>
    <w:rsid w:val="004271F6"/>
    <w:rsid w:val="004272D4"/>
    <w:rsid w:val="00427377"/>
    <w:rsid w:val="0042774F"/>
    <w:rsid w:val="0042788E"/>
    <w:rsid w:val="00427B67"/>
    <w:rsid w:val="00427E98"/>
    <w:rsid w:val="00430089"/>
    <w:rsid w:val="004300EB"/>
    <w:rsid w:val="00430585"/>
    <w:rsid w:val="00430832"/>
    <w:rsid w:val="00430957"/>
    <w:rsid w:val="00430DE2"/>
    <w:rsid w:val="0043112D"/>
    <w:rsid w:val="0043163D"/>
    <w:rsid w:val="004318A5"/>
    <w:rsid w:val="004319B8"/>
    <w:rsid w:val="004319D7"/>
    <w:rsid w:val="00431DD3"/>
    <w:rsid w:val="00432156"/>
    <w:rsid w:val="00432217"/>
    <w:rsid w:val="0043230B"/>
    <w:rsid w:val="00433151"/>
    <w:rsid w:val="00433336"/>
    <w:rsid w:val="004335BA"/>
    <w:rsid w:val="00433824"/>
    <w:rsid w:val="00433B3F"/>
    <w:rsid w:val="00433C27"/>
    <w:rsid w:val="00433C2E"/>
    <w:rsid w:val="004340F8"/>
    <w:rsid w:val="0043419D"/>
    <w:rsid w:val="004343FC"/>
    <w:rsid w:val="004346DE"/>
    <w:rsid w:val="004347E6"/>
    <w:rsid w:val="00434A53"/>
    <w:rsid w:val="00434F63"/>
    <w:rsid w:val="004350FC"/>
    <w:rsid w:val="00435978"/>
    <w:rsid w:val="00435A3C"/>
    <w:rsid w:val="00435A55"/>
    <w:rsid w:val="00435F09"/>
    <w:rsid w:val="00435FC7"/>
    <w:rsid w:val="0043606C"/>
    <w:rsid w:val="00436228"/>
    <w:rsid w:val="0043636C"/>
    <w:rsid w:val="00436434"/>
    <w:rsid w:val="004369B5"/>
    <w:rsid w:val="004369E4"/>
    <w:rsid w:val="00436A06"/>
    <w:rsid w:val="00436B0D"/>
    <w:rsid w:val="00436CBC"/>
    <w:rsid w:val="004371DA"/>
    <w:rsid w:val="0043746C"/>
    <w:rsid w:val="0043758E"/>
    <w:rsid w:val="00437908"/>
    <w:rsid w:val="00437A81"/>
    <w:rsid w:val="00437B0A"/>
    <w:rsid w:val="00437B60"/>
    <w:rsid w:val="00437D05"/>
    <w:rsid w:val="00437E01"/>
    <w:rsid w:val="00437E75"/>
    <w:rsid w:val="0044028C"/>
    <w:rsid w:val="00440291"/>
    <w:rsid w:val="00440636"/>
    <w:rsid w:val="0044097F"/>
    <w:rsid w:val="00440A39"/>
    <w:rsid w:val="00440AA6"/>
    <w:rsid w:val="00440AE7"/>
    <w:rsid w:val="00440C2E"/>
    <w:rsid w:val="004412A2"/>
    <w:rsid w:val="0044149C"/>
    <w:rsid w:val="00441741"/>
    <w:rsid w:val="004417F6"/>
    <w:rsid w:val="00441A26"/>
    <w:rsid w:val="00441D2E"/>
    <w:rsid w:val="00441DFC"/>
    <w:rsid w:val="00441F31"/>
    <w:rsid w:val="00441F93"/>
    <w:rsid w:val="00442584"/>
    <w:rsid w:val="0044283E"/>
    <w:rsid w:val="00442B35"/>
    <w:rsid w:val="00442E29"/>
    <w:rsid w:val="00442F4F"/>
    <w:rsid w:val="00442FCE"/>
    <w:rsid w:val="00443139"/>
    <w:rsid w:val="004437A7"/>
    <w:rsid w:val="00443CEC"/>
    <w:rsid w:val="00444024"/>
    <w:rsid w:val="00444332"/>
    <w:rsid w:val="0044442E"/>
    <w:rsid w:val="00444457"/>
    <w:rsid w:val="0044475C"/>
    <w:rsid w:val="00444CE1"/>
    <w:rsid w:val="00444E92"/>
    <w:rsid w:val="00444EDA"/>
    <w:rsid w:val="004452C9"/>
    <w:rsid w:val="004456D4"/>
    <w:rsid w:val="004456DB"/>
    <w:rsid w:val="00445CFE"/>
    <w:rsid w:val="004462EE"/>
    <w:rsid w:val="004466EA"/>
    <w:rsid w:val="00446880"/>
    <w:rsid w:val="00446A9C"/>
    <w:rsid w:val="00446BFD"/>
    <w:rsid w:val="00446F17"/>
    <w:rsid w:val="0044785F"/>
    <w:rsid w:val="00447925"/>
    <w:rsid w:val="00447BC9"/>
    <w:rsid w:val="00447C97"/>
    <w:rsid w:val="00447FDE"/>
    <w:rsid w:val="00450A78"/>
    <w:rsid w:val="00450B18"/>
    <w:rsid w:val="00450F06"/>
    <w:rsid w:val="00450F7D"/>
    <w:rsid w:val="00451024"/>
    <w:rsid w:val="00451169"/>
    <w:rsid w:val="0045125B"/>
    <w:rsid w:val="004512AF"/>
    <w:rsid w:val="004512DF"/>
    <w:rsid w:val="0045144D"/>
    <w:rsid w:val="00451A95"/>
    <w:rsid w:val="00451E63"/>
    <w:rsid w:val="00452101"/>
    <w:rsid w:val="0045214F"/>
    <w:rsid w:val="004525C7"/>
    <w:rsid w:val="00452900"/>
    <w:rsid w:val="00452A58"/>
    <w:rsid w:val="00452B32"/>
    <w:rsid w:val="00452BF1"/>
    <w:rsid w:val="00452DF1"/>
    <w:rsid w:val="00452E23"/>
    <w:rsid w:val="0045308A"/>
    <w:rsid w:val="004530BC"/>
    <w:rsid w:val="004531A3"/>
    <w:rsid w:val="00453621"/>
    <w:rsid w:val="004538A1"/>
    <w:rsid w:val="004538B4"/>
    <w:rsid w:val="00454269"/>
    <w:rsid w:val="0045427C"/>
    <w:rsid w:val="00454692"/>
    <w:rsid w:val="0045481F"/>
    <w:rsid w:val="00454BFB"/>
    <w:rsid w:val="00455172"/>
    <w:rsid w:val="004552CA"/>
    <w:rsid w:val="004558AB"/>
    <w:rsid w:val="00455A0A"/>
    <w:rsid w:val="00455B81"/>
    <w:rsid w:val="00455C1A"/>
    <w:rsid w:val="00455C70"/>
    <w:rsid w:val="00455DB0"/>
    <w:rsid w:val="00455FE9"/>
    <w:rsid w:val="004562B4"/>
    <w:rsid w:val="00456586"/>
    <w:rsid w:val="00456765"/>
    <w:rsid w:val="0045695B"/>
    <w:rsid w:val="004569C2"/>
    <w:rsid w:val="00456B98"/>
    <w:rsid w:val="00456CC3"/>
    <w:rsid w:val="00456CFB"/>
    <w:rsid w:val="00456F0C"/>
    <w:rsid w:val="004571C8"/>
    <w:rsid w:val="004571E2"/>
    <w:rsid w:val="0045720F"/>
    <w:rsid w:val="0045733A"/>
    <w:rsid w:val="00457541"/>
    <w:rsid w:val="0045764E"/>
    <w:rsid w:val="0045773E"/>
    <w:rsid w:val="004579D0"/>
    <w:rsid w:val="004579F2"/>
    <w:rsid w:val="00457BFA"/>
    <w:rsid w:val="00457CA9"/>
    <w:rsid w:val="00457E2E"/>
    <w:rsid w:val="0046006D"/>
    <w:rsid w:val="004601BC"/>
    <w:rsid w:val="0046030D"/>
    <w:rsid w:val="00460447"/>
    <w:rsid w:val="004605E1"/>
    <w:rsid w:val="0046077F"/>
    <w:rsid w:val="0046092C"/>
    <w:rsid w:val="00460939"/>
    <w:rsid w:val="00460AA1"/>
    <w:rsid w:val="00460BB6"/>
    <w:rsid w:val="004612C1"/>
    <w:rsid w:val="004613E9"/>
    <w:rsid w:val="0046146C"/>
    <w:rsid w:val="00461A57"/>
    <w:rsid w:val="00461C7F"/>
    <w:rsid w:val="00461E25"/>
    <w:rsid w:val="00462588"/>
    <w:rsid w:val="00462670"/>
    <w:rsid w:val="0046324E"/>
    <w:rsid w:val="00463504"/>
    <w:rsid w:val="004638BD"/>
    <w:rsid w:val="00463936"/>
    <w:rsid w:val="00463947"/>
    <w:rsid w:val="0046411F"/>
    <w:rsid w:val="004641F8"/>
    <w:rsid w:val="004643C1"/>
    <w:rsid w:val="00464454"/>
    <w:rsid w:val="004644FB"/>
    <w:rsid w:val="00464986"/>
    <w:rsid w:val="004649D7"/>
    <w:rsid w:val="00464C45"/>
    <w:rsid w:val="00464DA2"/>
    <w:rsid w:val="004653CF"/>
    <w:rsid w:val="00465955"/>
    <w:rsid w:val="00465A04"/>
    <w:rsid w:val="00465AB3"/>
    <w:rsid w:val="00465FE4"/>
    <w:rsid w:val="0046617E"/>
    <w:rsid w:val="00466277"/>
    <w:rsid w:val="00466293"/>
    <w:rsid w:val="004666AE"/>
    <w:rsid w:val="00466754"/>
    <w:rsid w:val="00466908"/>
    <w:rsid w:val="00466C19"/>
    <w:rsid w:val="0046703F"/>
    <w:rsid w:val="00467132"/>
    <w:rsid w:val="00467488"/>
    <w:rsid w:val="004674B4"/>
    <w:rsid w:val="00467959"/>
    <w:rsid w:val="0046796A"/>
    <w:rsid w:val="00467C3E"/>
    <w:rsid w:val="00467CD0"/>
    <w:rsid w:val="00467CE8"/>
    <w:rsid w:val="00467F53"/>
    <w:rsid w:val="00470334"/>
    <w:rsid w:val="00470846"/>
    <w:rsid w:val="00470AB0"/>
    <w:rsid w:val="00470C1B"/>
    <w:rsid w:val="00470D19"/>
    <w:rsid w:val="00470D92"/>
    <w:rsid w:val="00470DD4"/>
    <w:rsid w:val="00470FA0"/>
    <w:rsid w:val="00471153"/>
    <w:rsid w:val="0047118B"/>
    <w:rsid w:val="0047146E"/>
    <w:rsid w:val="00471595"/>
    <w:rsid w:val="004718BE"/>
    <w:rsid w:val="004719F9"/>
    <w:rsid w:val="00471C47"/>
    <w:rsid w:val="0047226E"/>
    <w:rsid w:val="00472A18"/>
    <w:rsid w:val="00472A99"/>
    <w:rsid w:val="004731A6"/>
    <w:rsid w:val="00473900"/>
    <w:rsid w:val="00473A9E"/>
    <w:rsid w:val="00473C59"/>
    <w:rsid w:val="00473D84"/>
    <w:rsid w:val="00473F02"/>
    <w:rsid w:val="00474003"/>
    <w:rsid w:val="0047447D"/>
    <w:rsid w:val="004749B8"/>
    <w:rsid w:val="00474A5E"/>
    <w:rsid w:val="00474B9F"/>
    <w:rsid w:val="00474C99"/>
    <w:rsid w:val="00474D41"/>
    <w:rsid w:val="004750DF"/>
    <w:rsid w:val="0047556C"/>
    <w:rsid w:val="004755A2"/>
    <w:rsid w:val="00475642"/>
    <w:rsid w:val="00475832"/>
    <w:rsid w:val="004758E7"/>
    <w:rsid w:val="0047590D"/>
    <w:rsid w:val="00475C00"/>
    <w:rsid w:val="00475C60"/>
    <w:rsid w:val="00475C64"/>
    <w:rsid w:val="00475CC3"/>
    <w:rsid w:val="0047612E"/>
    <w:rsid w:val="0047625D"/>
    <w:rsid w:val="004768A0"/>
    <w:rsid w:val="0047695C"/>
    <w:rsid w:val="00476F93"/>
    <w:rsid w:val="00476FD7"/>
    <w:rsid w:val="004771A3"/>
    <w:rsid w:val="0047732C"/>
    <w:rsid w:val="00477455"/>
    <w:rsid w:val="00477596"/>
    <w:rsid w:val="0047759F"/>
    <w:rsid w:val="004776A5"/>
    <w:rsid w:val="00477BBE"/>
    <w:rsid w:val="00477F27"/>
    <w:rsid w:val="004801FA"/>
    <w:rsid w:val="0048029E"/>
    <w:rsid w:val="00480323"/>
    <w:rsid w:val="0048042C"/>
    <w:rsid w:val="004808D6"/>
    <w:rsid w:val="00480F0B"/>
    <w:rsid w:val="00481696"/>
    <w:rsid w:val="004817EA"/>
    <w:rsid w:val="004818CE"/>
    <w:rsid w:val="004821B4"/>
    <w:rsid w:val="00482201"/>
    <w:rsid w:val="00482689"/>
    <w:rsid w:val="00482EEA"/>
    <w:rsid w:val="00482F1C"/>
    <w:rsid w:val="004833E6"/>
    <w:rsid w:val="00483469"/>
    <w:rsid w:val="004836CD"/>
    <w:rsid w:val="004836FB"/>
    <w:rsid w:val="00483D4C"/>
    <w:rsid w:val="00483DC3"/>
    <w:rsid w:val="00484407"/>
    <w:rsid w:val="004849D1"/>
    <w:rsid w:val="00484B20"/>
    <w:rsid w:val="00484D2F"/>
    <w:rsid w:val="00484DC2"/>
    <w:rsid w:val="00484EDC"/>
    <w:rsid w:val="00484F5E"/>
    <w:rsid w:val="00485278"/>
    <w:rsid w:val="00485B1C"/>
    <w:rsid w:val="00485C39"/>
    <w:rsid w:val="00486009"/>
    <w:rsid w:val="00486AB4"/>
    <w:rsid w:val="00486CBE"/>
    <w:rsid w:val="00486F93"/>
    <w:rsid w:val="00487054"/>
    <w:rsid w:val="004874E7"/>
    <w:rsid w:val="0048752D"/>
    <w:rsid w:val="004875BC"/>
    <w:rsid w:val="004875CC"/>
    <w:rsid w:val="00487606"/>
    <w:rsid w:val="00487898"/>
    <w:rsid w:val="00487B34"/>
    <w:rsid w:val="00487B5E"/>
    <w:rsid w:val="0049005C"/>
    <w:rsid w:val="00490273"/>
    <w:rsid w:val="00490421"/>
    <w:rsid w:val="0049078E"/>
    <w:rsid w:val="0049083A"/>
    <w:rsid w:val="00490CB3"/>
    <w:rsid w:val="00490D64"/>
    <w:rsid w:val="004910B7"/>
    <w:rsid w:val="00491431"/>
    <w:rsid w:val="004916F7"/>
    <w:rsid w:val="004918FA"/>
    <w:rsid w:val="0049195E"/>
    <w:rsid w:val="004919F0"/>
    <w:rsid w:val="004919F4"/>
    <w:rsid w:val="00491BC8"/>
    <w:rsid w:val="00491FA0"/>
    <w:rsid w:val="004922A8"/>
    <w:rsid w:val="0049237C"/>
    <w:rsid w:val="0049243F"/>
    <w:rsid w:val="00492475"/>
    <w:rsid w:val="00492522"/>
    <w:rsid w:val="0049267F"/>
    <w:rsid w:val="00492740"/>
    <w:rsid w:val="00492800"/>
    <w:rsid w:val="00492979"/>
    <w:rsid w:val="00492CE7"/>
    <w:rsid w:val="00492F17"/>
    <w:rsid w:val="00493049"/>
    <w:rsid w:val="00493065"/>
    <w:rsid w:val="00493099"/>
    <w:rsid w:val="004930DC"/>
    <w:rsid w:val="00493145"/>
    <w:rsid w:val="00493363"/>
    <w:rsid w:val="00493489"/>
    <w:rsid w:val="004936A8"/>
    <w:rsid w:val="004936D2"/>
    <w:rsid w:val="004941B4"/>
    <w:rsid w:val="00494209"/>
    <w:rsid w:val="00494216"/>
    <w:rsid w:val="00494517"/>
    <w:rsid w:val="00494626"/>
    <w:rsid w:val="0049499C"/>
    <w:rsid w:val="004958A9"/>
    <w:rsid w:val="00495931"/>
    <w:rsid w:val="004959E5"/>
    <w:rsid w:val="00495B0D"/>
    <w:rsid w:val="00495C44"/>
    <w:rsid w:val="00495CF3"/>
    <w:rsid w:val="00496299"/>
    <w:rsid w:val="00496396"/>
    <w:rsid w:val="00496523"/>
    <w:rsid w:val="004966DD"/>
    <w:rsid w:val="00496A53"/>
    <w:rsid w:val="00496AAF"/>
    <w:rsid w:val="00496D14"/>
    <w:rsid w:val="00496EA0"/>
    <w:rsid w:val="00496EFF"/>
    <w:rsid w:val="00496FE5"/>
    <w:rsid w:val="00497221"/>
    <w:rsid w:val="004974A1"/>
    <w:rsid w:val="0049754C"/>
    <w:rsid w:val="004977E9"/>
    <w:rsid w:val="00497DB2"/>
    <w:rsid w:val="00497FCB"/>
    <w:rsid w:val="004A0200"/>
    <w:rsid w:val="004A058C"/>
    <w:rsid w:val="004A0708"/>
    <w:rsid w:val="004A094D"/>
    <w:rsid w:val="004A0D0B"/>
    <w:rsid w:val="004A0F0A"/>
    <w:rsid w:val="004A10E6"/>
    <w:rsid w:val="004A1138"/>
    <w:rsid w:val="004A125C"/>
    <w:rsid w:val="004A14A8"/>
    <w:rsid w:val="004A1550"/>
    <w:rsid w:val="004A181E"/>
    <w:rsid w:val="004A1881"/>
    <w:rsid w:val="004A18E6"/>
    <w:rsid w:val="004A190F"/>
    <w:rsid w:val="004A1A16"/>
    <w:rsid w:val="004A1F48"/>
    <w:rsid w:val="004A2484"/>
    <w:rsid w:val="004A266E"/>
    <w:rsid w:val="004A280A"/>
    <w:rsid w:val="004A2D20"/>
    <w:rsid w:val="004A335E"/>
    <w:rsid w:val="004A3460"/>
    <w:rsid w:val="004A3682"/>
    <w:rsid w:val="004A382C"/>
    <w:rsid w:val="004A39A1"/>
    <w:rsid w:val="004A3A11"/>
    <w:rsid w:val="004A3A70"/>
    <w:rsid w:val="004A3B50"/>
    <w:rsid w:val="004A3B7B"/>
    <w:rsid w:val="004A3FB1"/>
    <w:rsid w:val="004A43FA"/>
    <w:rsid w:val="004A4BF1"/>
    <w:rsid w:val="004A54BF"/>
    <w:rsid w:val="004A563B"/>
    <w:rsid w:val="004A5C67"/>
    <w:rsid w:val="004A5E0F"/>
    <w:rsid w:val="004A632D"/>
    <w:rsid w:val="004A6576"/>
    <w:rsid w:val="004A65D4"/>
    <w:rsid w:val="004A66C0"/>
    <w:rsid w:val="004A6727"/>
    <w:rsid w:val="004A69D3"/>
    <w:rsid w:val="004A6A5F"/>
    <w:rsid w:val="004A6A81"/>
    <w:rsid w:val="004A6B76"/>
    <w:rsid w:val="004A6B92"/>
    <w:rsid w:val="004A6D6C"/>
    <w:rsid w:val="004A6E4F"/>
    <w:rsid w:val="004A6EEF"/>
    <w:rsid w:val="004A6F7C"/>
    <w:rsid w:val="004A71F7"/>
    <w:rsid w:val="004A760F"/>
    <w:rsid w:val="004A7920"/>
    <w:rsid w:val="004A7B13"/>
    <w:rsid w:val="004A7D23"/>
    <w:rsid w:val="004B0234"/>
    <w:rsid w:val="004B0523"/>
    <w:rsid w:val="004B05F9"/>
    <w:rsid w:val="004B0665"/>
    <w:rsid w:val="004B0719"/>
    <w:rsid w:val="004B0887"/>
    <w:rsid w:val="004B0A0E"/>
    <w:rsid w:val="004B0A41"/>
    <w:rsid w:val="004B0CDD"/>
    <w:rsid w:val="004B0DED"/>
    <w:rsid w:val="004B0F89"/>
    <w:rsid w:val="004B14FB"/>
    <w:rsid w:val="004B14FC"/>
    <w:rsid w:val="004B1529"/>
    <w:rsid w:val="004B1741"/>
    <w:rsid w:val="004B1AE4"/>
    <w:rsid w:val="004B1DB7"/>
    <w:rsid w:val="004B234E"/>
    <w:rsid w:val="004B23D4"/>
    <w:rsid w:val="004B24EB"/>
    <w:rsid w:val="004B279F"/>
    <w:rsid w:val="004B28E4"/>
    <w:rsid w:val="004B2993"/>
    <w:rsid w:val="004B2AC4"/>
    <w:rsid w:val="004B2DB0"/>
    <w:rsid w:val="004B2E2D"/>
    <w:rsid w:val="004B2E47"/>
    <w:rsid w:val="004B30CF"/>
    <w:rsid w:val="004B38BE"/>
    <w:rsid w:val="004B3B19"/>
    <w:rsid w:val="004B3B24"/>
    <w:rsid w:val="004B3E5A"/>
    <w:rsid w:val="004B3F73"/>
    <w:rsid w:val="004B3FD3"/>
    <w:rsid w:val="004B42BB"/>
    <w:rsid w:val="004B43DC"/>
    <w:rsid w:val="004B4422"/>
    <w:rsid w:val="004B4679"/>
    <w:rsid w:val="004B46B0"/>
    <w:rsid w:val="004B4B72"/>
    <w:rsid w:val="004B4D0D"/>
    <w:rsid w:val="004B4F7A"/>
    <w:rsid w:val="004B4F91"/>
    <w:rsid w:val="004B4FC5"/>
    <w:rsid w:val="004B506A"/>
    <w:rsid w:val="004B52EB"/>
    <w:rsid w:val="004B5330"/>
    <w:rsid w:val="004B540E"/>
    <w:rsid w:val="004B5462"/>
    <w:rsid w:val="004B54A6"/>
    <w:rsid w:val="004B54A8"/>
    <w:rsid w:val="004B59BC"/>
    <w:rsid w:val="004B59E9"/>
    <w:rsid w:val="004B5C11"/>
    <w:rsid w:val="004B5D32"/>
    <w:rsid w:val="004B5D4A"/>
    <w:rsid w:val="004B5DDD"/>
    <w:rsid w:val="004B5EB1"/>
    <w:rsid w:val="004B63A3"/>
    <w:rsid w:val="004B63DA"/>
    <w:rsid w:val="004B6460"/>
    <w:rsid w:val="004B69F6"/>
    <w:rsid w:val="004B6D0C"/>
    <w:rsid w:val="004B6DA4"/>
    <w:rsid w:val="004B6F9D"/>
    <w:rsid w:val="004B6FB0"/>
    <w:rsid w:val="004B70BA"/>
    <w:rsid w:val="004B7159"/>
    <w:rsid w:val="004B7443"/>
    <w:rsid w:val="004B7810"/>
    <w:rsid w:val="004B7832"/>
    <w:rsid w:val="004B791B"/>
    <w:rsid w:val="004B7D2B"/>
    <w:rsid w:val="004C0417"/>
    <w:rsid w:val="004C0525"/>
    <w:rsid w:val="004C0618"/>
    <w:rsid w:val="004C06A4"/>
    <w:rsid w:val="004C07CC"/>
    <w:rsid w:val="004C08DC"/>
    <w:rsid w:val="004C0D0A"/>
    <w:rsid w:val="004C0E4B"/>
    <w:rsid w:val="004C10DB"/>
    <w:rsid w:val="004C1593"/>
    <w:rsid w:val="004C1E57"/>
    <w:rsid w:val="004C2436"/>
    <w:rsid w:val="004C267D"/>
    <w:rsid w:val="004C2D51"/>
    <w:rsid w:val="004C30EE"/>
    <w:rsid w:val="004C31E0"/>
    <w:rsid w:val="004C3333"/>
    <w:rsid w:val="004C34BB"/>
    <w:rsid w:val="004C37CD"/>
    <w:rsid w:val="004C387D"/>
    <w:rsid w:val="004C3A63"/>
    <w:rsid w:val="004C3B63"/>
    <w:rsid w:val="004C3FF8"/>
    <w:rsid w:val="004C408D"/>
    <w:rsid w:val="004C42BB"/>
    <w:rsid w:val="004C4693"/>
    <w:rsid w:val="004C46D2"/>
    <w:rsid w:val="004C482F"/>
    <w:rsid w:val="004C4A0F"/>
    <w:rsid w:val="004C4CF3"/>
    <w:rsid w:val="004C50DE"/>
    <w:rsid w:val="004C55A6"/>
    <w:rsid w:val="004C5622"/>
    <w:rsid w:val="004C58AB"/>
    <w:rsid w:val="004C596D"/>
    <w:rsid w:val="004C598D"/>
    <w:rsid w:val="004C5B5E"/>
    <w:rsid w:val="004C5F34"/>
    <w:rsid w:val="004C607C"/>
    <w:rsid w:val="004C623C"/>
    <w:rsid w:val="004C632F"/>
    <w:rsid w:val="004C67EB"/>
    <w:rsid w:val="004C6C97"/>
    <w:rsid w:val="004C6E9B"/>
    <w:rsid w:val="004C6FE6"/>
    <w:rsid w:val="004C7006"/>
    <w:rsid w:val="004C7D52"/>
    <w:rsid w:val="004D02FD"/>
    <w:rsid w:val="004D034A"/>
    <w:rsid w:val="004D0572"/>
    <w:rsid w:val="004D0AEB"/>
    <w:rsid w:val="004D0DA0"/>
    <w:rsid w:val="004D0E38"/>
    <w:rsid w:val="004D1105"/>
    <w:rsid w:val="004D198D"/>
    <w:rsid w:val="004D1E70"/>
    <w:rsid w:val="004D2587"/>
    <w:rsid w:val="004D2602"/>
    <w:rsid w:val="004D2627"/>
    <w:rsid w:val="004D28CE"/>
    <w:rsid w:val="004D2919"/>
    <w:rsid w:val="004D2BCA"/>
    <w:rsid w:val="004D2D49"/>
    <w:rsid w:val="004D2F5E"/>
    <w:rsid w:val="004D3021"/>
    <w:rsid w:val="004D33C2"/>
    <w:rsid w:val="004D33E7"/>
    <w:rsid w:val="004D3AA8"/>
    <w:rsid w:val="004D3AE4"/>
    <w:rsid w:val="004D3BB7"/>
    <w:rsid w:val="004D3D30"/>
    <w:rsid w:val="004D3D7E"/>
    <w:rsid w:val="004D3F18"/>
    <w:rsid w:val="004D4088"/>
    <w:rsid w:val="004D4090"/>
    <w:rsid w:val="004D42C5"/>
    <w:rsid w:val="004D4720"/>
    <w:rsid w:val="004D4776"/>
    <w:rsid w:val="004D4833"/>
    <w:rsid w:val="004D4A94"/>
    <w:rsid w:val="004D4E39"/>
    <w:rsid w:val="004D5173"/>
    <w:rsid w:val="004D525C"/>
    <w:rsid w:val="004D5275"/>
    <w:rsid w:val="004D5331"/>
    <w:rsid w:val="004D54A9"/>
    <w:rsid w:val="004D5668"/>
    <w:rsid w:val="004D56B1"/>
    <w:rsid w:val="004D5CBF"/>
    <w:rsid w:val="004D5D16"/>
    <w:rsid w:val="004D6599"/>
    <w:rsid w:val="004D668F"/>
    <w:rsid w:val="004D6C1B"/>
    <w:rsid w:val="004D6CFD"/>
    <w:rsid w:val="004D7067"/>
    <w:rsid w:val="004D7160"/>
    <w:rsid w:val="004D733A"/>
    <w:rsid w:val="004D7347"/>
    <w:rsid w:val="004D755E"/>
    <w:rsid w:val="004D78C5"/>
    <w:rsid w:val="004D7AE2"/>
    <w:rsid w:val="004D7C49"/>
    <w:rsid w:val="004D7DD8"/>
    <w:rsid w:val="004E002C"/>
    <w:rsid w:val="004E09B5"/>
    <w:rsid w:val="004E0A6C"/>
    <w:rsid w:val="004E0ADE"/>
    <w:rsid w:val="004E116C"/>
    <w:rsid w:val="004E1950"/>
    <w:rsid w:val="004E1C28"/>
    <w:rsid w:val="004E1E95"/>
    <w:rsid w:val="004E2233"/>
    <w:rsid w:val="004E23AF"/>
    <w:rsid w:val="004E2616"/>
    <w:rsid w:val="004E261E"/>
    <w:rsid w:val="004E262D"/>
    <w:rsid w:val="004E2836"/>
    <w:rsid w:val="004E293A"/>
    <w:rsid w:val="004E2BD5"/>
    <w:rsid w:val="004E2C30"/>
    <w:rsid w:val="004E2F5E"/>
    <w:rsid w:val="004E2F60"/>
    <w:rsid w:val="004E328A"/>
    <w:rsid w:val="004E3913"/>
    <w:rsid w:val="004E39A9"/>
    <w:rsid w:val="004E3A9B"/>
    <w:rsid w:val="004E40C7"/>
    <w:rsid w:val="004E414C"/>
    <w:rsid w:val="004E43A0"/>
    <w:rsid w:val="004E4476"/>
    <w:rsid w:val="004E4994"/>
    <w:rsid w:val="004E4CD3"/>
    <w:rsid w:val="004E4D28"/>
    <w:rsid w:val="004E52ED"/>
    <w:rsid w:val="004E53B2"/>
    <w:rsid w:val="004E56F5"/>
    <w:rsid w:val="004E588D"/>
    <w:rsid w:val="004E5C32"/>
    <w:rsid w:val="004E5F77"/>
    <w:rsid w:val="004E61E6"/>
    <w:rsid w:val="004E6427"/>
    <w:rsid w:val="004E66BA"/>
    <w:rsid w:val="004E6B6A"/>
    <w:rsid w:val="004E6C3E"/>
    <w:rsid w:val="004E6EDF"/>
    <w:rsid w:val="004E746F"/>
    <w:rsid w:val="004E75EE"/>
    <w:rsid w:val="004E771C"/>
    <w:rsid w:val="004E7A68"/>
    <w:rsid w:val="004E7AEB"/>
    <w:rsid w:val="004E7B16"/>
    <w:rsid w:val="004E7FC9"/>
    <w:rsid w:val="004F00B6"/>
    <w:rsid w:val="004F032A"/>
    <w:rsid w:val="004F036A"/>
    <w:rsid w:val="004F03D3"/>
    <w:rsid w:val="004F0AD5"/>
    <w:rsid w:val="004F0B04"/>
    <w:rsid w:val="004F0B17"/>
    <w:rsid w:val="004F1003"/>
    <w:rsid w:val="004F10F3"/>
    <w:rsid w:val="004F1612"/>
    <w:rsid w:val="004F1759"/>
    <w:rsid w:val="004F190F"/>
    <w:rsid w:val="004F1AE5"/>
    <w:rsid w:val="004F1E29"/>
    <w:rsid w:val="004F1EA1"/>
    <w:rsid w:val="004F1F7F"/>
    <w:rsid w:val="004F203C"/>
    <w:rsid w:val="004F21FB"/>
    <w:rsid w:val="004F2471"/>
    <w:rsid w:val="004F24A3"/>
    <w:rsid w:val="004F2902"/>
    <w:rsid w:val="004F2B24"/>
    <w:rsid w:val="004F2C72"/>
    <w:rsid w:val="004F2D31"/>
    <w:rsid w:val="004F2D5C"/>
    <w:rsid w:val="004F2FC2"/>
    <w:rsid w:val="004F31EA"/>
    <w:rsid w:val="004F3566"/>
    <w:rsid w:val="004F3914"/>
    <w:rsid w:val="004F3BAE"/>
    <w:rsid w:val="004F3C38"/>
    <w:rsid w:val="004F3CA4"/>
    <w:rsid w:val="004F3E42"/>
    <w:rsid w:val="004F3F49"/>
    <w:rsid w:val="004F3F7C"/>
    <w:rsid w:val="004F405A"/>
    <w:rsid w:val="004F41A2"/>
    <w:rsid w:val="004F41FD"/>
    <w:rsid w:val="004F4537"/>
    <w:rsid w:val="004F478A"/>
    <w:rsid w:val="004F4A43"/>
    <w:rsid w:val="004F4B53"/>
    <w:rsid w:val="004F4E04"/>
    <w:rsid w:val="004F5114"/>
    <w:rsid w:val="004F540E"/>
    <w:rsid w:val="004F549B"/>
    <w:rsid w:val="004F55F3"/>
    <w:rsid w:val="004F5740"/>
    <w:rsid w:val="004F57CA"/>
    <w:rsid w:val="004F5965"/>
    <w:rsid w:val="004F5BCB"/>
    <w:rsid w:val="004F5EB7"/>
    <w:rsid w:val="004F62A8"/>
    <w:rsid w:val="004F6799"/>
    <w:rsid w:val="004F6BE9"/>
    <w:rsid w:val="004F6D3C"/>
    <w:rsid w:val="004F6E9A"/>
    <w:rsid w:val="004F7524"/>
    <w:rsid w:val="004F7548"/>
    <w:rsid w:val="004F7842"/>
    <w:rsid w:val="004F7E00"/>
    <w:rsid w:val="0050051A"/>
    <w:rsid w:val="00500594"/>
    <w:rsid w:val="00500652"/>
    <w:rsid w:val="005007BB"/>
    <w:rsid w:val="0050092C"/>
    <w:rsid w:val="0050095B"/>
    <w:rsid w:val="005009B8"/>
    <w:rsid w:val="00500D03"/>
    <w:rsid w:val="0050102A"/>
    <w:rsid w:val="00501037"/>
    <w:rsid w:val="0050113D"/>
    <w:rsid w:val="005011C0"/>
    <w:rsid w:val="0050126C"/>
    <w:rsid w:val="005012E5"/>
    <w:rsid w:val="00501392"/>
    <w:rsid w:val="005013F4"/>
    <w:rsid w:val="005018B7"/>
    <w:rsid w:val="00501CE1"/>
    <w:rsid w:val="00501E0C"/>
    <w:rsid w:val="00502020"/>
    <w:rsid w:val="00502021"/>
    <w:rsid w:val="00502064"/>
    <w:rsid w:val="00502244"/>
    <w:rsid w:val="00502356"/>
    <w:rsid w:val="00502539"/>
    <w:rsid w:val="005026E7"/>
    <w:rsid w:val="005027F6"/>
    <w:rsid w:val="005028E5"/>
    <w:rsid w:val="00502922"/>
    <w:rsid w:val="00502F07"/>
    <w:rsid w:val="00502FEF"/>
    <w:rsid w:val="00503C40"/>
    <w:rsid w:val="00503F37"/>
    <w:rsid w:val="005041DD"/>
    <w:rsid w:val="005041FC"/>
    <w:rsid w:val="00504483"/>
    <w:rsid w:val="005044F5"/>
    <w:rsid w:val="0050452B"/>
    <w:rsid w:val="00504701"/>
    <w:rsid w:val="005049FB"/>
    <w:rsid w:val="005049FE"/>
    <w:rsid w:val="00504A26"/>
    <w:rsid w:val="00504BDF"/>
    <w:rsid w:val="00504D54"/>
    <w:rsid w:val="005050CA"/>
    <w:rsid w:val="00505141"/>
    <w:rsid w:val="005056E2"/>
    <w:rsid w:val="00505708"/>
    <w:rsid w:val="005059D9"/>
    <w:rsid w:val="00505CEA"/>
    <w:rsid w:val="0050639B"/>
    <w:rsid w:val="005063B4"/>
    <w:rsid w:val="00506609"/>
    <w:rsid w:val="005066FA"/>
    <w:rsid w:val="00506797"/>
    <w:rsid w:val="005067B5"/>
    <w:rsid w:val="00506973"/>
    <w:rsid w:val="00506AC7"/>
    <w:rsid w:val="00506BD4"/>
    <w:rsid w:val="00506F5B"/>
    <w:rsid w:val="00507093"/>
    <w:rsid w:val="00507179"/>
    <w:rsid w:val="0050719C"/>
    <w:rsid w:val="00507597"/>
    <w:rsid w:val="005078CF"/>
    <w:rsid w:val="00507956"/>
    <w:rsid w:val="0050798E"/>
    <w:rsid w:val="00507B6D"/>
    <w:rsid w:val="00507F42"/>
    <w:rsid w:val="00510275"/>
    <w:rsid w:val="00510338"/>
    <w:rsid w:val="00510494"/>
    <w:rsid w:val="005104A6"/>
    <w:rsid w:val="005104F2"/>
    <w:rsid w:val="00510750"/>
    <w:rsid w:val="005107E6"/>
    <w:rsid w:val="00510AB0"/>
    <w:rsid w:val="00510F53"/>
    <w:rsid w:val="00511026"/>
    <w:rsid w:val="00511153"/>
    <w:rsid w:val="00511509"/>
    <w:rsid w:val="0051150A"/>
    <w:rsid w:val="005116C8"/>
    <w:rsid w:val="00511793"/>
    <w:rsid w:val="005118D6"/>
    <w:rsid w:val="00511A3B"/>
    <w:rsid w:val="00511A83"/>
    <w:rsid w:val="00511D63"/>
    <w:rsid w:val="00511D75"/>
    <w:rsid w:val="00511E6E"/>
    <w:rsid w:val="00511EFA"/>
    <w:rsid w:val="0051206F"/>
    <w:rsid w:val="005120C1"/>
    <w:rsid w:val="00512501"/>
    <w:rsid w:val="0051259E"/>
    <w:rsid w:val="00512767"/>
    <w:rsid w:val="005128CD"/>
    <w:rsid w:val="00512AF5"/>
    <w:rsid w:val="00512BE9"/>
    <w:rsid w:val="00512DE4"/>
    <w:rsid w:val="0051333F"/>
    <w:rsid w:val="0051348A"/>
    <w:rsid w:val="005138DF"/>
    <w:rsid w:val="005139BE"/>
    <w:rsid w:val="00513B7A"/>
    <w:rsid w:val="00513E2A"/>
    <w:rsid w:val="00514059"/>
    <w:rsid w:val="005144F8"/>
    <w:rsid w:val="0051491D"/>
    <w:rsid w:val="00514D63"/>
    <w:rsid w:val="00514DBD"/>
    <w:rsid w:val="00514E44"/>
    <w:rsid w:val="00514EBA"/>
    <w:rsid w:val="00515001"/>
    <w:rsid w:val="00515216"/>
    <w:rsid w:val="00515439"/>
    <w:rsid w:val="005154FE"/>
    <w:rsid w:val="0051550E"/>
    <w:rsid w:val="005156CC"/>
    <w:rsid w:val="00515A81"/>
    <w:rsid w:val="00515B54"/>
    <w:rsid w:val="00515C5A"/>
    <w:rsid w:val="00515F75"/>
    <w:rsid w:val="00515FB0"/>
    <w:rsid w:val="0051619C"/>
    <w:rsid w:val="00516950"/>
    <w:rsid w:val="00516A7B"/>
    <w:rsid w:val="00516AC6"/>
    <w:rsid w:val="00516BC1"/>
    <w:rsid w:val="00516C06"/>
    <w:rsid w:val="00516CB0"/>
    <w:rsid w:val="00516CE7"/>
    <w:rsid w:val="0051708A"/>
    <w:rsid w:val="00517142"/>
    <w:rsid w:val="00517174"/>
    <w:rsid w:val="00517854"/>
    <w:rsid w:val="00517864"/>
    <w:rsid w:val="00517908"/>
    <w:rsid w:val="00517A35"/>
    <w:rsid w:val="00520050"/>
    <w:rsid w:val="00520154"/>
    <w:rsid w:val="005202A1"/>
    <w:rsid w:val="005202F5"/>
    <w:rsid w:val="005208EB"/>
    <w:rsid w:val="005209B4"/>
    <w:rsid w:val="00520D19"/>
    <w:rsid w:val="00521305"/>
    <w:rsid w:val="00521977"/>
    <w:rsid w:val="00521A67"/>
    <w:rsid w:val="00522A98"/>
    <w:rsid w:val="00522AC9"/>
    <w:rsid w:val="00522B3F"/>
    <w:rsid w:val="00522D0B"/>
    <w:rsid w:val="00522F2D"/>
    <w:rsid w:val="00522FCC"/>
    <w:rsid w:val="0052307B"/>
    <w:rsid w:val="005230EF"/>
    <w:rsid w:val="00523129"/>
    <w:rsid w:val="00523FF2"/>
    <w:rsid w:val="00524369"/>
    <w:rsid w:val="00524407"/>
    <w:rsid w:val="00524455"/>
    <w:rsid w:val="005244DA"/>
    <w:rsid w:val="0052467B"/>
    <w:rsid w:val="005246F6"/>
    <w:rsid w:val="00524734"/>
    <w:rsid w:val="00524AA2"/>
    <w:rsid w:val="00524C0C"/>
    <w:rsid w:val="00524C76"/>
    <w:rsid w:val="00524DC8"/>
    <w:rsid w:val="00524F91"/>
    <w:rsid w:val="0052506C"/>
    <w:rsid w:val="005251A5"/>
    <w:rsid w:val="005251EF"/>
    <w:rsid w:val="005252CC"/>
    <w:rsid w:val="0052538F"/>
    <w:rsid w:val="00525772"/>
    <w:rsid w:val="00525FCB"/>
    <w:rsid w:val="00526067"/>
    <w:rsid w:val="00526473"/>
    <w:rsid w:val="005264BE"/>
    <w:rsid w:val="00526F34"/>
    <w:rsid w:val="005271FA"/>
    <w:rsid w:val="00527277"/>
    <w:rsid w:val="00527303"/>
    <w:rsid w:val="005275DD"/>
    <w:rsid w:val="0052797E"/>
    <w:rsid w:val="00527E50"/>
    <w:rsid w:val="00527ED7"/>
    <w:rsid w:val="00527F30"/>
    <w:rsid w:val="00527FD4"/>
    <w:rsid w:val="00530126"/>
    <w:rsid w:val="0053013B"/>
    <w:rsid w:val="005302B4"/>
    <w:rsid w:val="00530BBF"/>
    <w:rsid w:val="00530FB1"/>
    <w:rsid w:val="00531337"/>
    <w:rsid w:val="0053146B"/>
    <w:rsid w:val="005315A6"/>
    <w:rsid w:val="00531802"/>
    <w:rsid w:val="00531ADD"/>
    <w:rsid w:val="00531AF0"/>
    <w:rsid w:val="00531BA5"/>
    <w:rsid w:val="00531D1E"/>
    <w:rsid w:val="00531E52"/>
    <w:rsid w:val="00531EF3"/>
    <w:rsid w:val="00532020"/>
    <w:rsid w:val="00532629"/>
    <w:rsid w:val="0053280F"/>
    <w:rsid w:val="0053283C"/>
    <w:rsid w:val="00532AC8"/>
    <w:rsid w:val="00532C3D"/>
    <w:rsid w:val="00532DA4"/>
    <w:rsid w:val="00533024"/>
    <w:rsid w:val="00533069"/>
    <w:rsid w:val="005330E3"/>
    <w:rsid w:val="005331A9"/>
    <w:rsid w:val="0053359A"/>
    <w:rsid w:val="005335C3"/>
    <w:rsid w:val="005339BD"/>
    <w:rsid w:val="005340E6"/>
    <w:rsid w:val="005341B0"/>
    <w:rsid w:val="005349A1"/>
    <w:rsid w:val="00534AFA"/>
    <w:rsid w:val="00534DE9"/>
    <w:rsid w:val="00534F5F"/>
    <w:rsid w:val="005350B5"/>
    <w:rsid w:val="005352A4"/>
    <w:rsid w:val="005356B4"/>
    <w:rsid w:val="0053582A"/>
    <w:rsid w:val="005358A6"/>
    <w:rsid w:val="005358B6"/>
    <w:rsid w:val="00535D0F"/>
    <w:rsid w:val="00535E5C"/>
    <w:rsid w:val="005360D8"/>
    <w:rsid w:val="005361AA"/>
    <w:rsid w:val="0053685B"/>
    <w:rsid w:val="00536A4C"/>
    <w:rsid w:val="00536B1E"/>
    <w:rsid w:val="00536C9A"/>
    <w:rsid w:val="00536F08"/>
    <w:rsid w:val="005371EB"/>
    <w:rsid w:val="0053721D"/>
    <w:rsid w:val="00537546"/>
    <w:rsid w:val="00537615"/>
    <w:rsid w:val="00537B2C"/>
    <w:rsid w:val="00537C01"/>
    <w:rsid w:val="00537DD6"/>
    <w:rsid w:val="00537E54"/>
    <w:rsid w:val="00540036"/>
    <w:rsid w:val="00540351"/>
    <w:rsid w:val="005403C4"/>
    <w:rsid w:val="005403D7"/>
    <w:rsid w:val="00540406"/>
    <w:rsid w:val="00540422"/>
    <w:rsid w:val="0054089B"/>
    <w:rsid w:val="005408DE"/>
    <w:rsid w:val="00540AFC"/>
    <w:rsid w:val="00540C0D"/>
    <w:rsid w:val="00540D2E"/>
    <w:rsid w:val="0054131E"/>
    <w:rsid w:val="00541353"/>
    <w:rsid w:val="0054158D"/>
    <w:rsid w:val="00541795"/>
    <w:rsid w:val="005418D5"/>
    <w:rsid w:val="00541A2F"/>
    <w:rsid w:val="00541E8E"/>
    <w:rsid w:val="005421D7"/>
    <w:rsid w:val="00542207"/>
    <w:rsid w:val="005424C2"/>
    <w:rsid w:val="0054280A"/>
    <w:rsid w:val="00542B49"/>
    <w:rsid w:val="005432EC"/>
    <w:rsid w:val="00543C91"/>
    <w:rsid w:val="00543CB6"/>
    <w:rsid w:val="00543EFF"/>
    <w:rsid w:val="0054415B"/>
    <w:rsid w:val="00544233"/>
    <w:rsid w:val="00544602"/>
    <w:rsid w:val="005447E2"/>
    <w:rsid w:val="00544826"/>
    <w:rsid w:val="005448C5"/>
    <w:rsid w:val="0054494B"/>
    <w:rsid w:val="00544974"/>
    <w:rsid w:val="00544A11"/>
    <w:rsid w:val="0054528F"/>
    <w:rsid w:val="00545862"/>
    <w:rsid w:val="005461C9"/>
    <w:rsid w:val="0054621D"/>
    <w:rsid w:val="005463AC"/>
    <w:rsid w:val="005463B1"/>
    <w:rsid w:val="005465F6"/>
    <w:rsid w:val="00546644"/>
    <w:rsid w:val="00546C69"/>
    <w:rsid w:val="00546E40"/>
    <w:rsid w:val="0054723C"/>
    <w:rsid w:val="00547313"/>
    <w:rsid w:val="0054750E"/>
    <w:rsid w:val="0054776A"/>
    <w:rsid w:val="00547ADE"/>
    <w:rsid w:val="00547CF5"/>
    <w:rsid w:val="00547EA2"/>
    <w:rsid w:val="00547F31"/>
    <w:rsid w:val="00547F92"/>
    <w:rsid w:val="0054DFB6"/>
    <w:rsid w:val="005500F4"/>
    <w:rsid w:val="00550642"/>
    <w:rsid w:val="00550707"/>
    <w:rsid w:val="00550883"/>
    <w:rsid w:val="005510F6"/>
    <w:rsid w:val="00551563"/>
    <w:rsid w:val="0055161B"/>
    <w:rsid w:val="00551C03"/>
    <w:rsid w:val="00551E3E"/>
    <w:rsid w:val="00551EAF"/>
    <w:rsid w:val="00551FEC"/>
    <w:rsid w:val="005526AF"/>
    <w:rsid w:val="0055291F"/>
    <w:rsid w:val="00552E5B"/>
    <w:rsid w:val="00553154"/>
    <w:rsid w:val="00553211"/>
    <w:rsid w:val="00553358"/>
    <w:rsid w:val="005535FD"/>
    <w:rsid w:val="0055361D"/>
    <w:rsid w:val="005536FF"/>
    <w:rsid w:val="00553747"/>
    <w:rsid w:val="0055387C"/>
    <w:rsid w:val="00553A48"/>
    <w:rsid w:val="00553A9B"/>
    <w:rsid w:val="0055402A"/>
    <w:rsid w:val="00554122"/>
    <w:rsid w:val="00554499"/>
    <w:rsid w:val="00554AB0"/>
    <w:rsid w:val="00554AB4"/>
    <w:rsid w:val="00554C28"/>
    <w:rsid w:val="00554C64"/>
    <w:rsid w:val="00554E68"/>
    <w:rsid w:val="00555158"/>
    <w:rsid w:val="0055560F"/>
    <w:rsid w:val="00555DB2"/>
    <w:rsid w:val="005560F8"/>
    <w:rsid w:val="0055656E"/>
    <w:rsid w:val="005568E4"/>
    <w:rsid w:val="00556D5C"/>
    <w:rsid w:val="00556DC9"/>
    <w:rsid w:val="00556F02"/>
    <w:rsid w:val="005570AD"/>
    <w:rsid w:val="00557303"/>
    <w:rsid w:val="0055744D"/>
    <w:rsid w:val="00557986"/>
    <w:rsid w:val="0056010A"/>
    <w:rsid w:val="0056035A"/>
    <w:rsid w:val="0056058A"/>
    <w:rsid w:val="005608EF"/>
    <w:rsid w:val="005611CE"/>
    <w:rsid w:val="0056139E"/>
    <w:rsid w:val="00561810"/>
    <w:rsid w:val="005619B8"/>
    <w:rsid w:val="00561C93"/>
    <w:rsid w:val="00561C96"/>
    <w:rsid w:val="005621B4"/>
    <w:rsid w:val="00562208"/>
    <w:rsid w:val="00562ABA"/>
    <w:rsid w:val="00562B96"/>
    <w:rsid w:val="00562E43"/>
    <w:rsid w:val="00563060"/>
    <w:rsid w:val="00563253"/>
    <w:rsid w:val="00563E9C"/>
    <w:rsid w:val="00563F24"/>
    <w:rsid w:val="00564058"/>
    <w:rsid w:val="0056407E"/>
    <w:rsid w:val="00564546"/>
    <w:rsid w:val="00564602"/>
    <w:rsid w:val="0056460A"/>
    <w:rsid w:val="0056466A"/>
    <w:rsid w:val="0056474D"/>
    <w:rsid w:val="005647AF"/>
    <w:rsid w:val="005648AD"/>
    <w:rsid w:val="005649E3"/>
    <w:rsid w:val="00564B24"/>
    <w:rsid w:val="00564BE1"/>
    <w:rsid w:val="00564C36"/>
    <w:rsid w:val="00564C94"/>
    <w:rsid w:val="00564E1B"/>
    <w:rsid w:val="00564F9F"/>
    <w:rsid w:val="005650C9"/>
    <w:rsid w:val="0056515E"/>
    <w:rsid w:val="005652A8"/>
    <w:rsid w:val="0056547A"/>
    <w:rsid w:val="005654CB"/>
    <w:rsid w:val="00565628"/>
    <w:rsid w:val="005656BA"/>
    <w:rsid w:val="005656F0"/>
    <w:rsid w:val="00565AE6"/>
    <w:rsid w:val="00565EB0"/>
    <w:rsid w:val="00565F04"/>
    <w:rsid w:val="0056616F"/>
    <w:rsid w:val="00566411"/>
    <w:rsid w:val="005668F3"/>
    <w:rsid w:val="00566A0A"/>
    <w:rsid w:val="00566DA2"/>
    <w:rsid w:val="0056718E"/>
    <w:rsid w:val="00567251"/>
    <w:rsid w:val="00567329"/>
    <w:rsid w:val="00567692"/>
    <w:rsid w:val="005677D3"/>
    <w:rsid w:val="005679E5"/>
    <w:rsid w:val="00567B6D"/>
    <w:rsid w:val="00567C9E"/>
    <w:rsid w:val="00567E17"/>
    <w:rsid w:val="00567EB1"/>
    <w:rsid w:val="005700B7"/>
    <w:rsid w:val="005701C6"/>
    <w:rsid w:val="0057020C"/>
    <w:rsid w:val="00570399"/>
    <w:rsid w:val="00570644"/>
    <w:rsid w:val="0057066E"/>
    <w:rsid w:val="00570E33"/>
    <w:rsid w:val="0057133A"/>
    <w:rsid w:val="00571845"/>
    <w:rsid w:val="00571A46"/>
    <w:rsid w:val="00571C96"/>
    <w:rsid w:val="00571D9B"/>
    <w:rsid w:val="00572010"/>
    <w:rsid w:val="005722CC"/>
    <w:rsid w:val="00572469"/>
    <w:rsid w:val="00572546"/>
    <w:rsid w:val="00572724"/>
    <w:rsid w:val="00572817"/>
    <w:rsid w:val="00572D90"/>
    <w:rsid w:val="00572ED4"/>
    <w:rsid w:val="00572FE1"/>
    <w:rsid w:val="00573229"/>
    <w:rsid w:val="005732BF"/>
    <w:rsid w:val="005732C3"/>
    <w:rsid w:val="005733A7"/>
    <w:rsid w:val="005737C3"/>
    <w:rsid w:val="005738F1"/>
    <w:rsid w:val="00573AFE"/>
    <w:rsid w:val="00573EEC"/>
    <w:rsid w:val="005740EA"/>
    <w:rsid w:val="00574181"/>
    <w:rsid w:val="0057451A"/>
    <w:rsid w:val="005745A1"/>
    <w:rsid w:val="00574F32"/>
    <w:rsid w:val="005751A0"/>
    <w:rsid w:val="00575860"/>
    <w:rsid w:val="00575EE9"/>
    <w:rsid w:val="00576131"/>
    <w:rsid w:val="005766DC"/>
    <w:rsid w:val="00576759"/>
    <w:rsid w:val="00576783"/>
    <w:rsid w:val="00577105"/>
    <w:rsid w:val="00577189"/>
    <w:rsid w:val="005772B7"/>
    <w:rsid w:val="005772FB"/>
    <w:rsid w:val="00577336"/>
    <w:rsid w:val="0057735F"/>
    <w:rsid w:val="00577388"/>
    <w:rsid w:val="00577641"/>
    <w:rsid w:val="0057783E"/>
    <w:rsid w:val="00577A14"/>
    <w:rsid w:val="00577ACF"/>
    <w:rsid w:val="0058000D"/>
    <w:rsid w:val="00580152"/>
    <w:rsid w:val="00580198"/>
    <w:rsid w:val="0058020A"/>
    <w:rsid w:val="00580288"/>
    <w:rsid w:val="005805BF"/>
    <w:rsid w:val="005806C9"/>
    <w:rsid w:val="00580823"/>
    <w:rsid w:val="00580A17"/>
    <w:rsid w:val="0058103B"/>
    <w:rsid w:val="005810BB"/>
    <w:rsid w:val="0058112E"/>
    <w:rsid w:val="00581249"/>
    <w:rsid w:val="00581681"/>
    <w:rsid w:val="005818D5"/>
    <w:rsid w:val="00581957"/>
    <w:rsid w:val="00581B37"/>
    <w:rsid w:val="00581C89"/>
    <w:rsid w:val="00581CD0"/>
    <w:rsid w:val="00581E0B"/>
    <w:rsid w:val="00582474"/>
    <w:rsid w:val="0058273F"/>
    <w:rsid w:val="0058298E"/>
    <w:rsid w:val="005829F8"/>
    <w:rsid w:val="00582A81"/>
    <w:rsid w:val="005831BE"/>
    <w:rsid w:val="005831E1"/>
    <w:rsid w:val="0058320B"/>
    <w:rsid w:val="00583337"/>
    <w:rsid w:val="00583878"/>
    <w:rsid w:val="00583982"/>
    <w:rsid w:val="00583C46"/>
    <w:rsid w:val="00583DDC"/>
    <w:rsid w:val="00584358"/>
    <w:rsid w:val="00584B47"/>
    <w:rsid w:val="00585086"/>
    <w:rsid w:val="00585150"/>
    <w:rsid w:val="00585225"/>
    <w:rsid w:val="00585226"/>
    <w:rsid w:val="00585794"/>
    <w:rsid w:val="00585BD0"/>
    <w:rsid w:val="0058618B"/>
    <w:rsid w:val="00586283"/>
    <w:rsid w:val="0058658D"/>
    <w:rsid w:val="00586641"/>
    <w:rsid w:val="00586AC2"/>
    <w:rsid w:val="00586B3A"/>
    <w:rsid w:val="00586B52"/>
    <w:rsid w:val="00586BE6"/>
    <w:rsid w:val="00586E51"/>
    <w:rsid w:val="00586F4E"/>
    <w:rsid w:val="00587095"/>
    <w:rsid w:val="005870A0"/>
    <w:rsid w:val="005871A6"/>
    <w:rsid w:val="0058739A"/>
    <w:rsid w:val="005879CC"/>
    <w:rsid w:val="00590274"/>
    <w:rsid w:val="005903AC"/>
    <w:rsid w:val="00590510"/>
    <w:rsid w:val="00590869"/>
    <w:rsid w:val="0059090E"/>
    <w:rsid w:val="00590AB5"/>
    <w:rsid w:val="00590E77"/>
    <w:rsid w:val="00590FB9"/>
    <w:rsid w:val="00591291"/>
    <w:rsid w:val="0059129F"/>
    <w:rsid w:val="00591791"/>
    <w:rsid w:val="005918B7"/>
    <w:rsid w:val="005919BF"/>
    <w:rsid w:val="00591BB1"/>
    <w:rsid w:val="00591BF4"/>
    <w:rsid w:val="00591CDB"/>
    <w:rsid w:val="00591F44"/>
    <w:rsid w:val="00592044"/>
    <w:rsid w:val="00592087"/>
    <w:rsid w:val="0059210D"/>
    <w:rsid w:val="0059226A"/>
    <w:rsid w:val="0059247D"/>
    <w:rsid w:val="00592495"/>
    <w:rsid w:val="005924CB"/>
    <w:rsid w:val="0059280A"/>
    <w:rsid w:val="00592A02"/>
    <w:rsid w:val="00592AA0"/>
    <w:rsid w:val="00592F7B"/>
    <w:rsid w:val="00593015"/>
    <w:rsid w:val="00593286"/>
    <w:rsid w:val="005934B5"/>
    <w:rsid w:val="005934FD"/>
    <w:rsid w:val="005935B1"/>
    <w:rsid w:val="0059378A"/>
    <w:rsid w:val="005937CF"/>
    <w:rsid w:val="00593FE4"/>
    <w:rsid w:val="00594232"/>
    <w:rsid w:val="00594343"/>
    <w:rsid w:val="0059444F"/>
    <w:rsid w:val="0059450C"/>
    <w:rsid w:val="005947F4"/>
    <w:rsid w:val="0059491E"/>
    <w:rsid w:val="00594E63"/>
    <w:rsid w:val="00594F8F"/>
    <w:rsid w:val="0059512B"/>
    <w:rsid w:val="0059524F"/>
    <w:rsid w:val="00595626"/>
    <w:rsid w:val="00595719"/>
    <w:rsid w:val="005959F6"/>
    <w:rsid w:val="00595A2D"/>
    <w:rsid w:val="00595E8C"/>
    <w:rsid w:val="00595F11"/>
    <w:rsid w:val="00595F8C"/>
    <w:rsid w:val="0059608A"/>
    <w:rsid w:val="00596509"/>
    <w:rsid w:val="00596550"/>
    <w:rsid w:val="00596669"/>
    <w:rsid w:val="0059684C"/>
    <w:rsid w:val="005969C4"/>
    <w:rsid w:val="00596A21"/>
    <w:rsid w:val="00596A3A"/>
    <w:rsid w:val="00597014"/>
    <w:rsid w:val="005970AB"/>
    <w:rsid w:val="0059735E"/>
    <w:rsid w:val="005973BF"/>
    <w:rsid w:val="005973D4"/>
    <w:rsid w:val="00597741"/>
    <w:rsid w:val="005977DA"/>
    <w:rsid w:val="005978F7"/>
    <w:rsid w:val="005979F4"/>
    <w:rsid w:val="005979FA"/>
    <w:rsid w:val="00597BDF"/>
    <w:rsid w:val="00597E40"/>
    <w:rsid w:val="00597ED9"/>
    <w:rsid w:val="00597FAA"/>
    <w:rsid w:val="005A03A8"/>
    <w:rsid w:val="005A0563"/>
    <w:rsid w:val="005A06FA"/>
    <w:rsid w:val="005A0777"/>
    <w:rsid w:val="005A0ED5"/>
    <w:rsid w:val="005A1097"/>
    <w:rsid w:val="005A138C"/>
    <w:rsid w:val="005A1397"/>
    <w:rsid w:val="005A1611"/>
    <w:rsid w:val="005A16B6"/>
    <w:rsid w:val="005A16DE"/>
    <w:rsid w:val="005A16E9"/>
    <w:rsid w:val="005A1AB8"/>
    <w:rsid w:val="005A1CD1"/>
    <w:rsid w:val="005A20EF"/>
    <w:rsid w:val="005A219D"/>
    <w:rsid w:val="005A224A"/>
    <w:rsid w:val="005A231D"/>
    <w:rsid w:val="005A296A"/>
    <w:rsid w:val="005A2A16"/>
    <w:rsid w:val="005A2F25"/>
    <w:rsid w:val="005A2FCC"/>
    <w:rsid w:val="005A3038"/>
    <w:rsid w:val="005A32BC"/>
    <w:rsid w:val="005A354E"/>
    <w:rsid w:val="005A3702"/>
    <w:rsid w:val="005A3708"/>
    <w:rsid w:val="005A37B1"/>
    <w:rsid w:val="005A39B6"/>
    <w:rsid w:val="005A3DC1"/>
    <w:rsid w:val="005A3E5B"/>
    <w:rsid w:val="005A40C3"/>
    <w:rsid w:val="005A43DB"/>
    <w:rsid w:val="005A469D"/>
    <w:rsid w:val="005A48C3"/>
    <w:rsid w:val="005A4A1A"/>
    <w:rsid w:val="005A4AC9"/>
    <w:rsid w:val="005A4F16"/>
    <w:rsid w:val="005A501C"/>
    <w:rsid w:val="005A50E9"/>
    <w:rsid w:val="005A51A5"/>
    <w:rsid w:val="005A51C8"/>
    <w:rsid w:val="005A5594"/>
    <w:rsid w:val="005A59F9"/>
    <w:rsid w:val="005A5AE0"/>
    <w:rsid w:val="005A5B18"/>
    <w:rsid w:val="005A6328"/>
    <w:rsid w:val="005A643C"/>
    <w:rsid w:val="005A6692"/>
    <w:rsid w:val="005A66DF"/>
    <w:rsid w:val="005A674B"/>
    <w:rsid w:val="005A6BB4"/>
    <w:rsid w:val="005A6C21"/>
    <w:rsid w:val="005A6E2A"/>
    <w:rsid w:val="005A6EBF"/>
    <w:rsid w:val="005A739C"/>
    <w:rsid w:val="005A7B17"/>
    <w:rsid w:val="005A7B41"/>
    <w:rsid w:val="005A7D1A"/>
    <w:rsid w:val="005B005C"/>
    <w:rsid w:val="005B0471"/>
    <w:rsid w:val="005B060F"/>
    <w:rsid w:val="005B06DC"/>
    <w:rsid w:val="005B0D01"/>
    <w:rsid w:val="005B0D5E"/>
    <w:rsid w:val="005B13CA"/>
    <w:rsid w:val="005B15A9"/>
    <w:rsid w:val="005B15C3"/>
    <w:rsid w:val="005B16D0"/>
    <w:rsid w:val="005B1EA0"/>
    <w:rsid w:val="005B1EB6"/>
    <w:rsid w:val="005B2069"/>
    <w:rsid w:val="005B2157"/>
    <w:rsid w:val="005B2262"/>
    <w:rsid w:val="005B22CC"/>
    <w:rsid w:val="005B2FE5"/>
    <w:rsid w:val="005B3154"/>
    <w:rsid w:val="005B329C"/>
    <w:rsid w:val="005B3505"/>
    <w:rsid w:val="005B3677"/>
    <w:rsid w:val="005B374C"/>
    <w:rsid w:val="005B38B5"/>
    <w:rsid w:val="005B399E"/>
    <w:rsid w:val="005B3C06"/>
    <w:rsid w:val="005B3C4B"/>
    <w:rsid w:val="005B3D23"/>
    <w:rsid w:val="005B3DC1"/>
    <w:rsid w:val="005B3E10"/>
    <w:rsid w:val="005B4091"/>
    <w:rsid w:val="005B42A1"/>
    <w:rsid w:val="005B47AB"/>
    <w:rsid w:val="005B4E67"/>
    <w:rsid w:val="005B4F25"/>
    <w:rsid w:val="005B529B"/>
    <w:rsid w:val="005B57A1"/>
    <w:rsid w:val="005B5EF2"/>
    <w:rsid w:val="005B61D3"/>
    <w:rsid w:val="005B6237"/>
    <w:rsid w:val="005B63D7"/>
    <w:rsid w:val="005B6A6A"/>
    <w:rsid w:val="005B702A"/>
    <w:rsid w:val="005B748B"/>
    <w:rsid w:val="005B74CF"/>
    <w:rsid w:val="005B78BB"/>
    <w:rsid w:val="005B7A0B"/>
    <w:rsid w:val="005B7AB3"/>
    <w:rsid w:val="005B7AD2"/>
    <w:rsid w:val="005B7D9E"/>
    <w:rsid w:val="005B7E5E"/>
    <w:rsid w:val="005C01F4"/>
    <w:rsid w:val="005C0503"/>
    <w:rsid w:val="005C0608"/>
    <w:rsid w:val="005C07C7"/>
    <w:rsid w:val="005C0AD1"/>
    <w:rsid w:val="005C0C6C"/>
    <w:rsid w:val="005C0CB7"/>
    <w:rsid w:val="005C0D49"/>
    <w:rsid w:val="005C118D"/>
    <w:rsid w:val="005C13B0"/>
    <w:rsid w:val="005C15AF"/>
    <w:rsid w:val="005C168F"/>
    <w:rsid w:val="005C1845"/>
    <w:rsid w:val="005C1BC3"/>
    <w:rsid w:val="005C1C4C"/>
    <w:rsid w:val="005C20A3"/>
    <w:rsid w:val="005C2105"/>
    <w:rsid w:val="005C21CC"/>
    <w:rsid w:val="005C2214"/>
    <w:rsid w:val="005C227A"/>
    <w:rsid w:val="005C232C"/>
    <w:rsid w:val="005C24DD"/>
    <w:rsid w:val="005C28DB"/>
    <w:rsid w:val="005C2E4D"/>
    <w:rsid w:val="005C3257"/>
    <w:rsid w:val="005C3B62"/>
    <w:rsid w:val="005C3E0D"/>
    <w:rsid w:val="005C3E28"/>
    <w:rsid w:val="005C402F"/>
    <w:rsid w:val="005C41A8"/>
    <w:rsid w:val="005C4294"/>
    <w:rsid w:val="005C42E5"/>
    <w:rsid w:val="005C4422"/>
    <w:rsid w:val="005C4757"/>
    <w:rsid w:val="005C49B5"/>
    <w:rsid w:val="005C4AC4"/>
    <w:rsid w:val="005C4BF5"/>
    <w:rsid w:val="005C4EC6"/>
    <w:rsid w:val="005C520C"/>
    <w:rsid w:val="005C530C"/>
    <w:rsid w:val="005C5489"/>
    <w:rsid w:val="005C54B0"/>
    <w:rsid w:val="005C54CA"/>
    <w:rsid w:val="005C5526"/>
    <w:rsid w:val="005C5A68"/>
    <w:rsid w:val="005C5C03"/>
    <w:rsid w:val="005C5C8D"/>
    <w:rsid w:val="005C5EBA"/>
    <w:rsid w:val="005C5FF2"/>
    <w:rsid w:val="005C624D"/>
    <w:rsid w:val="005C6773"/>
    <w:rsid w:val="005C681F"/>
    <w:rsid w:val="005C6A5F"/>
    <w:rsid w:val="005C6C81"/>
    <w:rsid w:val="005C6D41"/>
    <w:rsid w:val="005C6FB5"/>
    <w:rsid w:val="005C71E0"/>
    <w:rsid w:val="005C72DE"/>
    <w:rsid w:val="005C7343"/>
    <w:rsid w:val="005C73CF"/>
    <w:rsid w:val="005C743E"/>
    <w:rsid w:val="005C75E7"/>
    <w:rsid w:val="005C7AF6"/>
    <w:rsid w:val="005D0017"/>
    <w:rsid w:val="005D0600"/>
    <w:rsid w:val="005D08A7"/>
    <w:rsid w:val="005D090F"/>
    <w:rsid w:val="005D0CB7"/>
    <w:rsid w:val="005D0E77"/>
    <w:rsid w:val="005D0F67"/>
    <w:rsid w:val="005D116F"/>
    <w:rsid w:val="005D13BF"/>
    <w:rsid w:val="005D175C"/>
    <w:rsid w:val="005D17F5"/>
    <w:rsid w:val="005D180F"/>
    <w:rsid w:val="005D1D02"/>
    <w:rsid w:val="005D1EE4"/>
    <w:rsid w:val="005D1F8A"/>
    <w:rsid w:val="005D2493"/>
    <w:rsid w:val="005D2610"/>
    <w:rsid w:val="005D262E"/>
    <w:rsid w:val="005D272C"/>
    <w:rsid w:val="005D2762"/>
    <w:rsid w:val="005D28E3"/>
    <w:rsid w:val="005D28ED"/>
    <w:rsid w:val="005D29EB"/>
    <w:rsid w:val="005D2E53"/>
    <w:rsid w:val="005D2FAE"/>
    <w:rsid w:val="005D3069"/>
    <w:rsid w:val="005D3272"/>
    <w:rsid w:val="005D3540"/>
    <w:rsid w:val="005D36D8"/>
    <w:rsid w:val="005D372B"/>
    <w:rsid w:val="005D389C"/>
    <w:rsid w:val="005D3932"/>
    <w:rsid w:val="005D4203"/>
    <w:rsid w:val="005D4259"/>
    <w:rsid w:val="005D4D5A"/>
    <w:rsid w:val="005D4F5E"/>
    <w:rsid w:val="005D4FED"/>
    <w:rsid w:val="005D542F"/>
    <w:rsid w:val="005D5443"/>
    <w:rsid w:val="005D55AD"/>
    <w:rsid w:val="005D55E7"/>
    <w:rsid w:val="005D5F66"/>
    <w:rsid w:val="005D61A6"/>
    <w:rsid w:val="005D6610"/>
    <w:rsid w:val="005D6B10"/>
    <w:rsid w:val="005D6B37"/>
    <w:rsid w:val="005D6B63"/>
    <w:rsid w:val="005D6BC1"/>
    <w:rsid w:val="005D6F16"/>
    <w:rsid w:val="005D702A"/>
    <w:rsid w:val="005D7449"/>
    <w:rsid w:val="005D74B2"/>
    <w:rsid w:val="005D74E7"/>
    <w:rsid w:val="005D7B4D"/>
    <w:rsid w:val="005D7B7E"/>
    <w:rsid w:val="005D7BDB"/>
    <w:rsid w:val="005D7E2C"/>
    <w:rsid w:val="005E005F"/>
    <w:rsid w:val="005E0195"/>
    <w:rsid w:val="005E01B7"/>
    <w:rsid w:val="005E041F"/>
    <w:rsid w:val="005E0621"/>
    <w:rsid w:val="005E08FB"/>
    <w:rsid w:val="005E09F5"/>
    <w:rsid w:val="005E0B55"/>
    <w:rsid w:val="005E0B58"/>
    <w:rsid w:val="005E0B9E"/>
    <w:rsid w:val="005E0BE4"/>
    <w:rsid w:val="005E0F11"/>
    <w:rsid w:val="005E18F6"/>
    <w:rsid w:val="005E1D32"/>
    <w:rsid w:val="005E1DE1"/>
    <w:rsid w:val="005E224F"/>
    <w:rsid w:val="005E2580"/>
    <w:rsid w:val="005E2683"/>
    <w:rsid w:val="005E2D5F"/>
    <w:rsid w:val="005E2DD5"/>
    <w:rsid w:val="005E32F8"/>
    <w:rsid w:val="005E37F1"/>
    <w:rsid w:val="005E394A"/>
    <w:rsid w:val="005E3D8F"/>
    <w:rsid w:val="005E3EFF"/>
    <w:rsid w:val="005E41D9"/>
    <w:rsid w:val="005E427B"/>
    <w:rsid w:val="005E4363"/>
    <w:rsid w:val="005E43F8"/>
    <w:rsid w:val="005E4525"/>
    <w:rsid w:val="005E45B4"/>
    <w:rsid w:val="005E48E0"/>
    <w:rsid w:val="005E55F2"/>
    <w:rsid w:val="005E5605"/>
    <w:rsid w:val="005E566C"/>
    <w:rsid w:val="005E56E3"/>
    <w:rsid w:val="005E5A6C"/>
    <w:rsid w:val="005E5EEB"/>
    <w:rsid w:val="005E627E"/>
    <w:rsid w:val="005E6774"/>
    <w:rsid w:val="005E6AE6"/>
    <w:rsid w:val="005E6C08"/>
    <w:rsid w:val="005E6CCA"/>
    <w:rsid w:val="005E6DA3"/>
    <w:rsid w:val="005E6DAE"/>
    <w:rsid w:val="005E6EDE"/>
    <w:rsid w:val="005E7051"/>
    <w:rsid w:val="005E70A1"/>
    <w:rsid w:val="005E70FC"/>
    <w:rsid w:val="005E72BD"/>
    <w:rsid w:val="005E74D7"/>
    <w:rsid w:val="005E755E"/>
    <w:rsid w:val="005E7677"/>
    <w:rsid w:val="005E7766"/>
    <w:rsid w:val="005E790A"/>
    <w:rsid w:val="005E7991"/>
    <w:rsid w:val="005E7EDE"/>
    <w:rsid w:val="005F00BB"/>
    <w:rsid w:val="005F04CC"/>
    <w:rsid w:val="005F0A09"/>
    <w:rsid w:val="005F0ACB"/>
    <w:rsid w:val="005F1085"/>
    <w:rsid w:val="005F12B2"/>
    <w:rsid w:val="005F134E"/>
    <w:rsid w:val="005F1595"/>
    <w:rsid w:val="005F216F"/>
    <w:rsid w:val="005F2243"/>
    <w:rsid w:val="005F22CE"/>
    <w:rsid w:val="005F2380"/>
    <w:rsid w:val="005F2389"/>
    <w:rsid w:val="005F2545"/>
    <w:rsid w:val="005F259E"/>
    <w:rsid w:val="005F2B60"/>
    <w:rsid w:val="005F2CDA"/>
    <w:rsid w:val="005F2D5C"/>
    <w:rsid w:val="005F321D"/>
    <w:rsid w:val="005F33D2"/>
    <w:rsid w:val="005F3475"/>
    <w:rsid w:val="005F34CD"/>
    <w:rsid w:val="005F3855"/>
    <w:rsid w:val="005F391E"/>
    <w:rsid w:val="005F3B04"/>
    <w:rsid w:val="005F3B5E"/>
    <w:rsid w:val="005F3E3D"/>
    <w:rsid w:val="005F4089"/>
    <w:rsid w:val="005F429E"/>
    <w:rsid w:val="005F43DC"/>
    <w:rsid w:val="005F44FE"/>
    <w:rsid w:val="005F4500"/>
    <w:rsid w:val="005F46B9"/>
    <w:rsid w:val="005F46D0"/>
    <w:rsid w:val="005F470F"/>
    <w:rsid w:val="005F47E5"/>
    <w:rsid w:val="005F4A36"/>
    <w:rsid w:val="005F5266"/>
    <w:rsid w:val="005F5428"/>
    <w:rsid w:val="005F5620"/>
    <w:rsid w:val="005F5633"/>
    <w:rsid w:val="005F587F"/>
    <w:rsid w:val="005F626E"/>
    <w:rsid w:val="005F628E"/>
    <w:rsid w:val="005F637C"/>
    <w:rsid w:val="005F6436"/>
    <w:rsid w:val="005F6501"/>
    <w:rsid w:val="005F65CA"/>
    <w:rsid w:val="005F66C5"/>
    <w:rsid w:val="005F66DD"/>
    <w:rsid w:val="005F6862"/>
    <w:rsid w:val="005F6887"/>
    <w:rsid w:val="005F7337"/>
    <w:rsid w:val="005F7426"/>
    <w:rsid w:val="005F75C1"/>
    <w:rsid w:val="005F77C1"/>
    <w:rsid w:val="005F7831"/>
    <w:rsid w:val="005F7BAB"/>
    <w:rsid w:val="005F7F6B"/>
    <w:rsid w:val="005F7FED"/>
    <w:rsid w:val="0060009B"/>
    <w:rsid w:val="0060037A"/>
    <w:rsid w:val="00600430"/>
    <w:rsid w:val="00600605"/>
    <w:rsid w:val="00600A06"/>
    <w:rsid w:val="00600CAF"/>
    <w:rsid w:val="00600D13"/>
    <w:rsid w:val="00600E82"/>
    <w:rsid w:val="00600F16"/>
    <w:rsid w:val="00601078"/>
    <w:rsid w:val="00601302"/>
    <w:rsid w:val="0060174C"/>
    <w:rsid w:val="00601797"/>
    <w:rsid w:val="006017B3"/>
    <w:rsid w:val="00601839"/>
    <w:rsid w:val="00601C60"/>
    <w:rsid w:val="006020A0"/>
    <w:rsid w:val="0060252D"/>
    <w:rsid w:val="00602D60"/>
    <w:rsid w:val="00603080"/>
    <w:rsid w:val="00603130"/>
    <w:rsid w:val="00603156"/>
    <w:rsid w:val="00603337"/>
    <w:rsid w:val="00603343"/>
    <w:rsid w:val="00603535"/>
    <w:rsid w:val="006038A2"/>
    <w:rsid w:val="00603A65"/>
    <w:rsid w:val="00603DE9"/>
    <w:rsid w:val="00603E83"/>
    <w:rsid w:val="00603F7F"/>
    <w:rsid w:val="00604090"/>
    <w:rsid w:val="0060415B"/>
    <w:rsid w:val="006042D0"/>
    <w:rsid w:val="0060430E"/>
    <w:rsid w:val="006047DC"/>
    <w:rsid w:val="0060488F"/>
    <w:rsid w:val="00604903"/>
    <w:rsid w:val="00604928"/>
    <w:rsid w:val="00604A77"/>
    <w:rsid w:val="00604B9E"/>
    <w:rsid w:val="006052CA"/>
    <w:rsid w:val="0060569D"/>
    <w:rsid w:val="006057C0"/>
    <w:rsid w:val="00605948"/>
    <w:rsid w:val="00605EB2"/>
    <w:rsid w:val="00605EFB"/>
    <w:rsid w:val="00605FA3"/>
    <w:rsid w:val="00606025"/>
    <w:rsid w:val="006066AD"/>
    <w:rsid w:val="00606B0D"/>
    <w:rsid w:val="00606DF6"/>
    <w:rsid w:val="00606E8D"/>
    <w:rsid w:val="00606FCF"/>
    <w:rsid w:val="006070A7"/>
    <w:rsid w:val="006073D5"/>
    <w:rsid w:val="0060783A"/>
    <w:rsid w:val="0060788D"/>
    <w:rsid w:val="00607B06"/>
    <w:rsid w:val="00607B64"/>
    <w:rsid w:val="006104DD"/>
    <w:rsid w:val="006104EF"/>
    <w:rsid w:val="006108EE"/>
    <w:rsid w:val="00610B22"/>
    <w:rsid w:val="00610B49"/>
    <w:rsid w:val="00610B6E"/>
    <w:rsid w:val="00610D49"/>
    <w:rsid w:val="006111DC"/>
    <w:rsid w:val="00611342"/>
    <w:rsid w:val="0061149D"/>
    <w:rsid w:val="00611580"/>
    <w:rsid w:val="0061168F"/>
    <w:rsid w:val="00611787"/>
    <w:rsid w:val="00611866"/>
    <w:rsid w:val="0061191F"/>
    <w:rsid w:val="00611997"/>
    <w:rsid w:val="00611AE0"/>
    <w:rsid w:val="00611AFB"/>
    <w:rsid w:val="00611F7D"/>
    <w:rsid w:val="00612127"/>
    <w:rsid w:val="00612466"/>
    <w:rsid w:val="006127E0"/>
    <w:rsid w:val="00612867"/>
    <w:rsid w:val="00612924"/>
    <w:rsid w:val="00612995"/>
    <w:rsid w:val="00612BCA"/>
    <w:rsid w:val="00612BF8"/>
    <w:rsid w:val="0061306A"/>
    <w:rsid w:val="00613090"/>
    <w:rsid w:val="00613406"/>
    <w:rsid w:val="00613C1A"/>
    <w:rsid w:val="0061416E"/>
    <w:rsid w:val="006142A4"/>
    <w:rsid w:val="006147B1"/>
    <w:rsid w:val="00614B29"/>
    <w:rsid w:val="00614BC1"/>
    <w:rsid w:val="00614D60"/>
    <w:rsid w:val="006154A1"/>
    <w:rsid w:val="006158A0"/>
    <w:rsid w:val="00615A07"/>
    <w:rsid w:val="00615C15"/>
    <w:rsid w:val="00615C45"/>
    <w:rsid w:val="00615D4E"/>
    <w:rsid w:val="00616131"/>
    <w:rsid w:val="006161E2"/>
    <w:rsid w:val="00616305"/>
    <w:rsid w:val="0061644F"/>
    <w:rsid w:val="00616699"/>
    <w:rsid w:val="0061683A"/>
    <w:rsid w:val="006168AF"/>
    <w:rsid w:val="00616FB7"/>
    <w:rsid w:val="00617162"/>
    <w:rsid w:val="0061769E"/>
    <w:rsid w:val="00617809"/>
    <w:rsid w:val="0061786D"/>
    <w:rsid w:val="00617B1A"/>
    <w:rsid w:val="00617C94"/>
    <w:rsid w:val="00617F4F"/>
    <w:rsid w:val="0062025C"/>
    <w:rsid w:val="00620685"/>
    <w:rsid w:val="006207E1"/>
    <w:rsid w:val="00620BDF"/>
    <w:rsid w:val="00620E06"/>
    <w:rsid w:val="00621036"/>
    <w:rsid w:val="0062104A"/>
    <w:rsid w:val="0062125F"/>
    <w:rsid w:val="006212BE"/>
    <w:rsid w:val="006212FA"/>
    <w:rsid w:val="0062136C"/>
    <w:rsid w:val="00621925"/>
    <w:rsid w:val="00621B00"/>
    <w:rsid w:val="00621CA2"/>
    <w:rsid w:val="00622425"/>
    <w:rsid w:val="00622557"/>
    <w:rsid w:val="006225DA"/>
    <w:rsid w:val="006227D2"/>
    <w:rsid w:val="00622EBF"/>
    <w:rsid w:val="00622EEC"/>
    <w:rsid w:val="006230A2"/>
    <w:rsid w:val="0062370C"/>
    <w:rsid w:val="006238CF"/>
    <w:rsid w:val="006238D3"/>
    <w:rsid w:val="006238FD"/>
    <w:rsid w:val="00623A75"/>
    <w:rsid w:val="00623AC5"/>
    <w:rsid w:val="00623B8D"/>
    <w:rsid w:val="00623DBC"/>
    <w:rsid w:val="00623DEE"/>
    <w:rsid w:val="00623F42"/>
    <w:rsid w:val="006240C7"/>
    <w:rsid w:val="00624164"/>
    <w:rsid w:val="006241CC"/>
    <w:rsid w:val="006241DB"/>
    <w:rsid w:val="0062422E"/>
    <w:rsid w:val="006242C3"/>
    <w:rsid w:val="006245DF"/>
    <w:rsid w:val="0062462B"/>
    <w:rsid w:val="00624642"/>
    <w:rsid w:val="00624654"/>
    <w:rsid w:val="006246E3"/>
    <w:rsid w:val="00624D60"/>
    <w:rsid w:val="00624F10"/>
    <w:rsid w:val="00625301"/>
    <w:rsid w:val="00625389"/>
    <w:rsid w:val="00625427"/>
    <w:rsid w:val="00625451"/>
    <w:rsid w:val="0062551F"/>
    <w:rsid w:val="00625A42"/>
    <w:rsid w:val="00625A64"/>
    <w:rsid w:val="00625C78"/>
    <w:rsid w:val="00625F7A"/>
    <w:rsid w:val="006261BA"/>
    <w:rsid w:val="00626347"/>
    <w:rsid w:val="0062648A"/>
    <w:rsid w:val="0062664B"/>
    <w:rsid w:val="00626702"/>
    <w:rsid w:val="00626810"/>
    <w:rsid w:val="006270A1"/>
    <w:rsid w:val="00627435"/>
    <w:rsid w:val="006275A6"/>
    <w:rsid w:val="00627768"/>
    <w:rsid w:val="0062788F"/>
    <w:rsid w:val="006278BB"/>
    <w:rsid w:val="006279A5"/>
    <w:rsid w:val="00627F3B"/>
    <w:rsid w:val="00630176"/>
    <w:rsid w:val="00630201"/>
    <w:rsid w:val="00630339"/>
    <w:rsid w:val="00630AD7"/>
    <w:rsid w:val="00630C1F"/>
    <w:rsid w:val="00630ECC"/>
    <w:rsid w:val="0063150B"/>
    <w:rsid w:val="0063162D"/>
    <w:rsid w:val="0063166E"/>
    <w:rsid w:val="0063167A"/>
    <w:rsid w:val="006319F2"/>
    <w:rsid w:val="00631AEB"/>
    <w:rsid w:val="00631D02"/>
    <w:rsid w:val="00631DDF"/>
    <w:rsid w:val="00631F68"/>
    <w:rsid w:val="00632435"/>
    <w:rsid w:val="006327F4"/>
    <w:rsid w:val="006328CC"/>
    <w:rsid w:val="006328F5"/>
    <w:rsid w:val="00632A52"/>
    <w:rsid w:val="00632A93"/>
    <w:rsid w:val="00632B88"/>
    <w:rsid w:val="00632FA3"/>
    <w:rsid w:val="006333A3"/>
    <w:rsid w:val="00633B47"/>
    <w:rsid w:val="00633C0F"/>
    <w:rsid w:val="006341BC"/>
    <w:rsid w:val="0063445F"/>
    <w:rsid w:val="00634ACD"/>
    <w:rsid w:val="00634CC1"/>
    <w:rsid w:val="00634DC6"/>
    <w:rsid w:val="00634E53"/>
    <w:rsid w:val="00634FB1"/>
    <w:rsid w:val="00635259"/>
    <w:rsid w:val="0063533D"/>
    <w:rsid w:val="0063547A"/>
    <w:rsid w:val="0063567D"/>
    <w:rsid w:val="00635850"/>
    <w:rsid w:val="00635CB1"/>
    <w:rsid w:val="00635FE8"/>
    <w:rsid w:val="006362EC"/>
    <w:rsid w:val="00636B57"/>
    <w:rsid w:val="00636DC6"/>
    <w:rsid w:val="00636E69"/>
    <w:rsid w:val="00636E7E"/>
    <w:rsid w:val="0063710F"/>
    <w:rsid w:val="00637422"/>
    <w:rsid w:val="006379F1"/>
    <w:rsid w:val="00637F7F"/>
    <w:rsid w:val="006401D3"/>
    <w:rsid w:val="006402AC"/>
    <w:rsid w:val="0064030F"/>
    <w:rsid w:val="006403F1"/>
    <w:rsid w:val="006405B0"/>
    <w:rsid w:val="006405F9"/>
    <w:rsid w:val="00640912"/>
    <w:rsid w:val="00640E39"/>
    <w:rsid w:val="00641222"/>
    <w:rsid w:val="006413AA"/>
    <w:rsid w:val="006413B6"/>
    <w:rsid w:val="00641D42"/>
    <w:rsid w:val="00641ECD"/>
    <w:rsid w:val="0064221C"/>
    <w:rsid w:val="006424C6"/>
    <w:rsid w:val="0064262F"/>
    <w:rsid w:val="00643301"/>
    <w:rsid w:val="0064352F"/>
    <w:rsid w:val="0064373B"/>
    <w:rsid w:val="00643933"/>
    <w:rsid w:val="00643AE6"/>
    <w:rsid w:val="00643B4F"/>
    <w:rsid w:val="00643C16"/>
    <w:rsid w:val="00643E11"/>
    <w:rsid w:val="0064400F"/>
    <w:rsid w:val="00644056"/>
    <w:rsid w:val="0064433A"/>
    <w:rsid w:val="006445DC"/>
    <w:rsid w:val="00644838"/>
    <w:rsid w:val="00644BE3"/>
    <w:rsid w:val="00645448"/>
    <w:rsid w:val="00645770"/>
    <w:rsid w:val="00646309"/>
    <w:rsid w:val="00646449"/>
    <w:rsid w:val="00646533"/>
    <w:rsid w:val="00646550"/>
    <w:rsid w:val="00646668"/>
    <w:rsid w:val="00646692"/>
    <w:rsid w:val="00646971"/>
    <w:rsid w:val="00647104"/>
    <w:rsid w:val="0064720A"/>
    <w:rsid w:val="0064742F"/>
    <w:rsid w:val="0064749D"/>
    <w:rsid w:val="00647EAF"/>
    <w:rsid w:val="00647EC1"/>
    <w:rsid w:val="00647F50"/>
    <w:rsid w:val="00647F66"/>
    <w:rsid w:val="006504B7"/>
    <w:rsid w:val="006507C5"/>
    <w:rsid w:val="0065083A"/>
    <w:rsid w:val="006508A0"/>
    <w:rsid w:val="00650F1C"/>
    <w:rsid w:val="00650F23"/>
    <w:rsid w:val="00651019"/>
    <w:rsid w:val="00651035"/>
    <w:rsid w:val="00651058"/>
    <w:rsid w:val="0065125A"/>
    <w:rsid w:val="00651554"/>
    <w:rsid w:val="00651820"/>
    <w:rsid w:val="006518E0"/>
    <w:rsid w:val="00651CC5"/>
    <w:rsid w:val="00651CD9"/>
    <w:rsid w:val="00651F5D"/>
    <w:rsid w:val="0065216E"/>
    <w:rsid w:val="00652188"/>
    <w:rsid w:val="00652214"/>
    <w:rsid w:val="006523D4"/>
    <w:rsid w:val="00652657"/>
    <w:rsid w:val="0065267F"/>
    <w:rsid w:val="0065286F"/>
    <w:rsid w:val="00652906"/>
    <w:rsid w:val="00652A89"/>
    <w:rsid w:val="00652C32"/>
    <w:rsid w:val="00652D0A"/>
    <w:rsid w:val="00652F53"/>
    <w:rsid w:val="0065336C"/>
    <w:rsid w:val="0065368D"/>
    <w:rsid w:val="006536BB"/>
    <w:rsid w:val="006538A1"/>
    <w:rsid w:val="006539AF"/>
    <w:rsid w:val="00653C88"/>
    <w:rsid w:val="0065415C"/>
    <w:rsid w:val="0065419B"/>
    <w:rsid w:val="00654222"/>
    <w:rsid w:val="006546D2"/>
    <w:rsid w:val="006549C7"/>
    <w:rsid w:val="00654A1E"/>
    <w:rsid w:val="00654A9C"/>
    <w:rsid w:val="00654B46"/>
    <w:rsid w:val="00654BA9"/>
    <w:rsid w:val="00654C22"/>
    <w:rsid w:val="00654C32"/>
    <w:rsid w:val="00654D90"/>
    <w:rsid w:val="00654DD1"/>
    <w:rsid w:val="00654FFF"/>
    <w:rsid w:val="0065510F"/>
    <w:rsid w:val="0065542B"/>
    <w:rsid w:val="0065545E"/>
    <w:rsid w:val="00655B11"/>
    <w:rsid w:val="00655BEF"/>
    <w:rsid w:val="00656087"/>
    <w:rsid w:val="00656661"/>
    <w:rsid w:val="0065666D"/>
    <w:rsid w:val="00656A52"/>
    <w:rsid w:val="00656EE5"/>
    <w:rsid w:val="0065702F"/>
    <w:rsid w:val="00657327"/>
    <w:rsid w:val="00657410"/>
    <w:rsid w:val="0065762A"/>
    <w:rsid w:val="00657682"/>
    <w:rsid w:val="00657696"/>
    <w:rsid w:val="0066009E"/>
    <w:rsid w:val="006605B7"/>
    <w:rsid w:val="0066070B"/>
    <w:rsid w:val="00660E2C"/>
    <w:rsid w:val="006613D9"/>
    <w:rsid w:val="00661AD2"/>
    <w:rsid w:val="00661D38"/>
    <w:rsid w:val="006621D5"/>
    <w:rsid w:val="0066221D"/>
    <w:rsid w:val="0066266E"/>
    <w:rsid w:val="00662A0C"/>
    <w:rsid w:val="00662C2D"/>
    <w:rsid w:val="00662FC6"/>
    <w:rsid w:val="006631D5"/>
    <w:rsid w:val="006632DC"/>
    <w:rsid w:val="006634C1"/>
    <w:rsid w:val="006637B6"/>
    <w:rsid w:val="00663875"/>
    <w:rsid w:val="00663893"/>
    <w:rsid w:val="006638DA"/>
    <w:rsid w:val="006638F0"/>
    <w:rsid w:val="00663A13"/>
    <w:rsid w:val="00663C77"/>
    <w:rsid w:val="00663E3B"/>
    <w:rsid w:val="0066420C"/>
    <w:rsid w:val="006642D5"/>
    <w:rsid w:val="00664441"/>
    <w:rsid w:val="0066458D"/>
    <w:rsid w:val="006645EC"/>
    <w:rsid w:val="006647C5"/>
    <w:rsid w:val="0066483E"/>
    <w:rsid w:val="0066488E"/>
    <w:rsid w:val="00664CAF"/>
    <w:rsid w:val="00664EFB"/>
    <w:rsid w:val="0066586C"/>
    <w:rsid w:val="006659E2"/>
    <w:rsid w:val="00665BB7"/>
    <w:rsid w:val="00665DE5"/>
    <w:rsid w:val="00666244"/>
    <w:rsid w:val="00666428"/>
    <w:rsid w:val="006669C5"/>
    <w:rsid w:val="006669F7"/>
    <w:rsid w:val="00666A47"/>
    <w:rsid w:val="00666BA0"/>
    <w:rsid w:val="00666ED0"/>
    <w:rsid w:val="00667A06"/>
    <w:rsid w:val="00667A36"/>
    <w:rsid w:val="00667B75"/>
    <w:rsid w:val="00667D43"/>
    <w:rsid w:val="00667EDF"/>
    <w:rsid w:val="00667FE6"/>
    <w:rsid w:val="00670361"/>
    <w:rsid w:val="00670448"/>
    <w:rsid w:val="006706A6"/>
    <w:rsid w:val="00670722"/>
    <w:rsid w:val="00670809"/>
    <w:rsid w:val="00670C36"/>
    <w:rsid w:val="00670E66"/>
    <w:rsid w:val="00670FF7"/>
    <w:rsid w:val="00671936"/>
    <w:rsid w:val="00671BF7"/>
    <w:rsid w:val="00671DBD"/>
    <w:rsid w:val="00672127"/>
    <w:rsid w:val="006722C3"/>
    <w:rsid w:val="006724CC"/>
    <w:rsid w:val="0067250C"/>
    <w:rsid w:val="00672523"/>
    <w:rsid w:val="006725DA"/>
    <w:rsid w:val="00672681"/>
    <w:rsid w:val="00672975"/>
    <w:rsid w:val="00672AFF"/>
    <w:rsid w:val="00672D9C"/>
    <w:rsid w:val="00672E19"/>
    <w:rsid w:val="006730CB"/>
    <w:rsid w:val="006731F1"/>
    <w:rsid w:val="00673209"/>
    <w:rsid w:val="0067337E"/>
    <w:rsid w:val="0067365B"/>
    <w:rsid w:val="006738D1"/>
    <w:rsid w:val="00673E12"/>
    <w:rsid w:val="0067406B"/>
    <w:rsid w:val="0067471B"/>
    <w:rsid w:val="00674AEA"/>
    <w:rsid w:val="00674AF2"/>
    <w:rsid w:val="00674FAA"/>
    <w:rsid w:val="00674FD7"/>
    <w:rsid w:val="00675030"/>
    <w:rsid w:val="006750CB"/>
    <w:rsid w:val="006759A8"/>
    <w:rsid w:val="00675A39"/>
    <w:rsid w:val="00675B7E"/>
    <w:rsid w:val="00675ECD"/>
    <w:rsid w:val="006760C8"/>
    <w:rsid w:val="00676244"/>
    <w:rsid w:val="0067638D"/>
    <w:rsid w:val="006763D0"/>
    <w:rsid w:val="00676547"/>
    <w:rsid w:val="00676A5E"/>
    <w:rsid w:val="00676C34"/>
    <w:rsid w:val="00676C7A"/>
    <w:rsid w:val="00676E03"/>
    <w:rsid w:val="00677477"/>
    <w:rsid w:val="00677943"/>
    <w:rsid w:val="006779C3"/>
    <w:rsid w:val="00677DE1"/>
    <w:rsid w:val="006802E1"/>
    <w:rsid w:val="00680389"/>
    <w:rsid w:val="006804C7"/>
    <w:rsid w:val="006809A9"/>
    <w:rsid w:val="00680E4B"/>
    <w:rsid w:val="006813BB"/>
    <w:rsid w:val="0068152D"/>
    <w:rsid w:val="00681563"/>
    <w:rsid w:val="00681676"/>
    <w:rsid w:val="00681873"/>
    <w:rsid w:val="00681889"/>
    <w:rsid w:val="00681ABB"/>
    <w:rsid w:val="00681B8A"/>
    <w:rsid w:val="00681D06"/>
    <w:rsid w:val="00681FC5"/>
    <w:rsid w:val="00682263"/>
    <w:rsid w:val="00682279"/>
    <w:rsid w:val="006825D3"/>
    <w:rsid w:val="006826D4"/>
    <w:rsid w:val="006826DD"/>
    <w:rsid w:val="006827D4"/>
    <w:rsid w:val="00682BD4"/>
    <w:rsid w:val="00682C8F"/>
    <w:rsid w:val="00682E22"/>
    <w:rsid w:val="00682EE1"/>
    <w:rsid w:val="00682FDF"/>
    <w:rsid w:val="0068339D"/>
    <w:rsid w:val="006834A4"/>
    <w:rsid w:val="006834D7"/>
    <w:rsid w:val="006834FF"/>
    <w:rsid w:val="00683596"/>
    <w:rsid w:val="00683658"/>
    <w:rsid w:val="00683717"/>
    <w:rsid w:val="00683951"/>
    <w:rsid w:val="006839BE"/>
    <w:rsid w:val="006839FF"/>
    <w:rsid w:val="00683ABC"/>
    <w:rsid w:val="006840CB"/>
    <w:rsid w:val="00684114"/>
    <w:rsid w:val="00684546"/>
    <w:rsid w:val="006845D1"/>
    <w:rsid w:val="006847F3"/>
    <w:rsid w:val="00684BA6"/>
    <w:rsid w:val="00684E30"/>
    <w:rsid w:val="00684E43"/>
    <w:rsid w:val="00684EE6"/>
    <w:rsid w:val="00684FCB"/>
    <w:rsid w:val="006852A2"/>
    <w:rsid w:val="00685770"/>
    <w:rsid w:val="00685A35"/>
    <w:rsid w:val="00685FCF"/>
    <w:rsid w:val="006861F7"/>
    <w:rsid w:val="006863FE"/>
    <w:rsid w:val="00686753"/>
    <w:rsid w:val="00686EC0"/>
    <w:rsid w:val="00687136"/>
    <w:rsid w:val="006874A1"/>
    <w:rsid w:val="006874AB"/>
    <w:rsid w:val="00687648"/>
    <w:rsid w:val="00687769"/>
    <w:rsid w:val="006877B6"/>
    <w:rsid w:val="00687B5B"/>
    <w:rsid w:val="00690129"/>
    <w:rsid w:val="006903C3"/>
    <w:rsid w:val="00690595"/>
    <w:rsid w:val="00690762"/>
    <w:rsid w:val="006908E9"/>
    <w:rsid w:val="00690AC6"/>
    <w:rsid w:val="00690AFB"/>
    <w:rsid w:val="00690C12"/>
    <w:rsid w:val="00690EED"/>
    <w:rsid w:val="0069119B"/>
    <w:rsid w:val="006914E9"/>
    <w:rsid w:val="00691721"/>
    <w:rsid w:val="00691CB2"/>
    <w:rsid w:val="00692060"/>
    <w:rsid w:val="00692199"/>
    <w:rsid w:val="00692245"/>
    <w:rsid w:val="00692415"/>
    <w:rsid w:val="006927D0"/>
    <w:rsid w:val="00692B0B"/>
    <w:rsid w:val="00692DDB"/>
    <w:rsid w:val="00692E2B"/>
    <w:rsid w:val="00692E71"/>
    <w:rsid w:val="00692F16"/>
    <w:rsid w:val="006931EF"/>
    <w:rsid w:val="0069325D"/>
    <w:rsid w:val="0069349C"/>
    <w:rsid w:val="0069382E"/>
    <w:rsid w:val="00693901"/>
    <w:rsid w:val="0069399C"/>
    <w:rsid w:val="00693DA7"/>
    <w:rsid w:val="00693E30"/>
    <w:rsid w:val="00694210"/>
    <w:rsid w:val="00694515"/>
    <w:rsid w:val="00694562"/>
    <w:rsid w:val="00694804"/>
    <w:rsid w:val="00694818"/>
    <w:rsid w:val="0069493E"/>
    <w:rsid w:val="00694A6F"/>
    <w:rsid w:val="00694B42"/>
    <w:rsid w:val="00694C3C"/>
    <w:rsid w:val="00694E1C"/>
    <w:rsid w:val="00695840"/>
    <w:rsid w:val="006958CC"/>
    <w:rsid w:val="00695EDD"/>
    <w:rsid w:val="0069663E"/>
    <w:rsid w:val="006967F6"/>
    <w:rsid w:val="00696C8F"/>
    <w:rsid w:val="00696C98"/>
    <w:rsid w:val="0069718D"/>
    <w:rsid w:val="0069729B"/>
    <w:rsid w:val="0069777E"/>
    <w:rsid w:val="006978A3"/>
    <w:rsid w:val="00697A44"/>
    <w:rsid w:val="006A01BD"/>
    <w:rsid w:val="006A0238"/>
    <w:rsid w:val="006A0431"/>
    <w:rsid w:val="006A05EC"/>
    <w:rsid w:val="006A07C5"/>
    <w:rsid w:val="006A085C"/>
    <w:rsid w:val="006A0B8D"/>
    <w:rsid w:val="006A0B9E"/>
    <w:rsid w:val="006A16BE"/>
    <w:rsid w:val="006A173B"/>
    <w:rsid w:val="006A19EE"/>
    <w:rsid w:val="006A1A83"/>
    <w:rsid w:val="006A1B22"/>
    <w:rsid w:val="006A20FF"/>
    <w:rsid w:val="006A225A"/>
    <w:rsid w:val="006A22F6"/>
    <w:rsid w:val="006A250E"/>
    <w:rsid w:val="006A2510"/>
    <w:rsid w:val="006A2766"/>
    <w:rsid w:val="006A2854"/>
    <w:rsid w:val="006A2C16"/>
    <w:rsid w:val="006A2EE8"/>
    <w:rsid w:val="006A2F57"/>
    <w:rsid w:val="006A2F83"/>
    <w:rsid w:val="006A32E5"/>
    <w:rsid w:val="006A398A"/>
    <w:rsid w:val="006A3B23"/>
    <w:rsid w:val="006A3B67"/>
    <w:rsid w:val="006A3EA8"/>
    <w:rsid w:val="006A3EE9"/>
    <w:rsid w:val="006A4076"/>
    <w:rsid w:val="006A46E2"/>
    <w:rsid w:val="006A471B"/>
    <w:rsid w:val="006A4950"/>
    <w:rsid w:val="006A4F49"/>
    <w:rsid w:val="006A50DA"/>
    <w:rsid w:val="006A51EC"/>
    <w:rsid w:val="006A536F"/>
    <w:rsid w:val="006A5815"/>
    <w:rsid w:val="006A5869"/>
    <w:rsid w:val="006A5988"/>
    <w:rsid w:val="006A5995"/>
    <w:rsid w:val="006A5A88"/>
    <w:rsid w:val="006A5C5E"/>
    <w:rsid w:val="006A5D14"/>
    <w:rsid w:val="006A628B"/>
    <w:rsid w:val="006A63EB"/>
    <w:rsid w:val="006A6461"/>
    <w:rsid w:val="006A69E3"/>
    <w:rsid w:val="006A6B62"/>
    <w:rsid w:val="006A6D2C"/>
    <w:rsid w:val="006A6E9D"/>
    <w:rsid w:val="006A6F7C"/>
    <w:rsid w:val="006A75DE"/>
    <w:rsid w:val="006A7C08"/>
    <w:rsid w:val="006A7D38"/>
    <w:rsid w:val="006A7DBF"/>
    <w:rsid w:val="006A7F3F"/>
    <w:rsid w:val="006A7FDC"/>
    <w:rsid w:val="006B022D"/>
    <w:rsid w:val="006B074E"/>
    <w:rsid w:val="006B0B38"/>
    <w:rsid w:val="006B0F83"/>
    <w:rsid w:val="006B122C"/>
    <w:rsid w:val="006B14E7"/>
    <w:rsid w:val="006B181F"/>
    <w:rsid w:val="006B1912"/>
    <w:rsid w:val="006B1E69"/>
    <w:rsid w:val="006B2003"/>
    <w:rsid w:val="006B2358"/>
    <w:rsid w:val="006B2397"/>
    <w:rsid w:val="006B24D4"/>
    <w:rsid w:val="006B2748"/>
    <w:rsid w:val="006B2C04"/>
    <w:rsid w:val="006B2CE4"/>
    <w:rsid w:val="006B32B6"/>
    <w:rsid w:val="006B3CA4"/>
    <w:rsid w:val="006B3D5B"/>
    <w:rsid w:val="006B43BD"/>
    <w:rsid w:val="006B457B"/>
    <w:rsid w:val="006B46CE"/>
    <w:rsid w:val="006B46F8"/>
    <w:rsid w:val="006B4773"/>
    <w:rsid w:val="006B4817"/>
    <w:rsid w:val="006B4A66"/>
    <w:rsid w:val="006B4B5A"/>
    <w:rsid w:val="006B4BEC"/>
    <w:rsid w:val="006B4CE2"/>
    <w:rsid w:val="006B4EB7"/>
    <w:rsid w:val="006B4F76"/>
    <w:rsid w:val="006B506C"/>
    <w:rsid w:val="006B5276"/>
    <w:rsid w:val="006B5395"/>
    <w:rsid w:val="006B53EA"/>
    <w:rsid w:val="006B55DF"/>
    <w:rsid w:val="006B57E1"/>
    <w:rsid w:val="006B5B73"/>
    <w:rsid w:val="006B5D84"/>
    <w:rsid w:val="006B5FF1"/>
    <w:rsid w:val="006B628D"/>
    <w:rsid w:val="006B65EF"/>
    <w:rsid w:val="006B688F"/>
    <w:rsid w:val="006B69B0"/>
    <w:rsid w:val="006B6B31"/>
    <w:rsid w:val="006B6E50"/>
    <w:rsid w:val="006B6FB5"/>
    <w:rsid w:val="006B7603"/>
    <w:rsid w:val="006B790A"/>
    <w:rsid w:val="006B7D19"/>
    <w:rsid w:val="006B7F90"/>
    <w:rsid w:val="006C03C0"/>
    <w:rsid w:val="006C0474"/>
    <w:rsid w:val="006C0825"/>
    <w:rsid w:val="006C0954"/>
    <w:rsid w:val="006C0B10"/>
    <w:rsid w:val="006C0D87"/>
    <w:rsid w:val="006C107F"/>
    <w:rsid w:val="006C10E1"/>
    <w:rsid w:val="006C114E"/>
    <w:rsid w:val="006C176D"/>
    <w:rsid w:val="006C19B2"/>
    <w:rsid w:val="006C1F31"/>
    <w:rsid w:val="006C1FD2"/>
    <w:rsid w:val="006C2396"/>
    <w:rsid w:val="006C247F"/>
    <w:rsid w:val="006C268D"/>
    <w:rsid w:val="006C26A1"/>
    <w:rsid w:val="006C271A"/>
    <w:rsid w:val="006C288E"/>
    <w:rsid w:val="006C2B0F"/>
    <w:rsid w:val="006C2CC3"/>
    <w:rsid w:val="006C2FAA"/>
    <w:rsid w:val="006C30F7"/>
    <w:rsid w:val="006C33DB"/>
    <w:rsid w:val="006C34CD"/>
    <w:rsid w:val="006C3943"/>
    <w:rsid w:val="006C397B"/>
    <w:rsid w:val="006C3F91"/>
    <w:rsid w:val="006C429B"/>
    <w:rsid w:val="006C4405"/>
    <w:rsid w:val="006C44A2"/>
    <w:rsid w:val="006C4601"/>
    <w:rsid w:val="006C4716"/>
    <w:rsid w:val="006C4A62"/>
    <w:rsid w:val="006C4B47"/>
    <w:rsid w:val="006C4C0D"/>
    <w:rsid w:val="006C508E"/>
    <w:rsid w:val="006C50E7"/>
    <w:rsid w:val="006C5197"/>
    <w:rsid w:val="006C5627"/>
    <w:rsid w:val="006C56BE"/>
    <w:rsid w:val="006C5A7D"/>
    <w:rsid w:val="006C5B27"/>
    <w:rsid w:val="006C5CFF"/>
    <w:rsid w:val="006C5D36"/>
    <w:rsid w:val="006C5FAF"/>
    <w:rsid w:val="006C61C2"/>
    <w:rsid w:val="006C62E5"/>
    <w:rsid w:val="006C66F9"/>
    <w:rsid w:val="006C67EF"/>
    <w:rsid w:val="006C6935"/>
    <w:rsid w:val="006C6BD2"/>
    <w:rsid w:val="006C6D70"/>
    <w:rsid w:val="006C70C3"/>
    <w:rsid w:val="006C7307"/>
    <w:rsid w:val="006C77FC"/>
    <w:rsid w:val="006C7988"/>
    <w:rsid w:val="006C7A1B"/>
    <w:rsid w:val="006C7AE4"/>
    <w:rsid w:val="006C7B6D"/>
    <w:rsid w:val="006C7CA9"/>
    <w:rsid w:val="006C7F12"/>
    <w:rsid w:val="006D04CF"/>
    <w:rsid w:val="006D0C1F"/>
    <w:rsid w:val="006D0D53"/>
    <w:rsid w:val="006D121F"/>
    <w:rsid w:val="006D12E1"/>
    <w:rsid w:val="006D1312"/>
    <w:rsid w:val="006D13F7"/>
    <w:rsid w:val="006D1559"/>
    <w:rsid w:val="006D15C1"/>
    <w:rsid w:val="006D15F9"/>
    <w:rsid w:val="006D160C"/>
    <w:rsid w:val="006D1633"/>
    <w:rsid w:val="006D174F"/>
    <w:rsid w:val="006D17BF"/>
    <w:rsid w:val="006D1811"/>
    <w:rsid w:val="006D18E2"/>
    <w:rsid w:val="006D196D"/>
    <w:rsid w:val="006D1AC3"/>
    <w:rsid w:val="006D1B17"/>
    <w:rsid w:val="006D1BCF"/>
    <w:rsid w:val="006D20C2"/>
    <w:rsid w:val="006D2466"/>
    <w:rsid w:val="006D27E2"/>
    <w:rsid w:val="006D2A2F"/>
    <w:rsid w:val="006D2D69"/>
    <w:rsid w:val="006D303F"/>
    <w:rsid w:val="006D370B"/>
    <w:rsid w:val="006D3783"/>
    <w:rsid w:val="006D3798"/>
    <w:rsid w:val="006D3854"/>
    <w:rsid w:val="006D38A7"/>
    <w:rsid w:val="006D3C85"/>
    <w:rsid w:val="006D3C8E"/>
    <w:rsid w:val="006D3F8A"/>
    <w:rsid w:val="006D3FC7"/>
    <w:rsid w:val="006D422A"/>
    <w:rsid w:val="006D4405"/>
    <w:rsid w:val="006D4450"/>
    <w:rsid w:val="006D4475"/>
    <w:rsid w:val="006D4732"/>
    <w:rsid w:val="006D4901"/>
    <w:rsid w:val="006D4C42"/>
    <w:rsid w:val="006D5014"/>
    <w:rsid w:val="006D50C4"/>
    <w:rsid w:val="006D5284"/>
    <w:rsid w:val="006D5356"/>
    <w:rsid w:val="006D5475"/>
    <w:rsid w:val="006D551C"/>
    <w:rsid w:val="006D563A"/>
    <w:rsid w:val="006D581D"/>
    <w:rsid w:val="006D5BA4"/>
    <w:rsid w:val="006D5BCA"/>
    <w:rsid w:val="006D5D10"/>
    <w:rsid w:val="006D5DCD"/>
    <w:rsid w:val="006D628C"/>
    <w:rsid w:val="006D6B6E"/>
    <w:rsid w:val="006D6CAF"/>
    <w:rsid w:val="006D6CF6"/>
    <w:rsid w:val="006D6D15"/>
    <w:rsid w:val="006D6E20"/>
    <w:rsid w:val="006D71BA"/>
    <w:rsid w:val="006D756F"/>
    <w:rsid w:val="006D764E"/>
    <w:rsid w:val="006E0388"/>
    <w:rsid w:val="006E04BF"/>
    <w:rsid w:val="006E06EF"/>
    <w:rsid w:val="006E09F6"/>
    <w:rsid w:val="006E0C8C"/>
    <w:rsid w:val="006E1414"/>
    <w:rsid w:val="006E172D"/>
    <w:rsid w:val="006E1D2C"/>
    <w:rsid w:val="006E1E44"/>
    <w:rsid w:val="006E1F84"/>
    <w:rsid w:val="006E1FE9"/>
    <w:rsid w:val="006E207D"/>
    <w:rsid w:val="006E223B"/>
    <w:rsid w:val="006E2706"/>
    <w:rsid w:val="006E2798"/>
    <w:rsid w:val="006E27C2"/>
    <w:rsid w:val="006E28E1"/>
    <w:rsid w:val="006E2D0F"/>
    <w:rsid w:val="006E2FC0"/>
    <w:rsid w:val="006E3071"/>
    <w:rsid w:val="006E31F4"/>
    <w:rsid w:val="006E32DE"/>
    <w:rsid w:val="006E3334"/>
    <w:rsid w:val="006E37BD"/>
    <w:rsid w:val="006E39B1"/>
    <w:rsid w:val="006E41D4"/>
    <w:rsid w:val="006E466E"/>
    <w:rsid w:val="006E468D"/>
    <w:rsid w:val="006E4A63"/>
    <w:rsid w:val="006E4C11"/>
    <w:rsid w:val="006E4D3B"/>
    <w:rsid w:val="006E4DB6"/>
    <w:rsid w:val="006E4E24"/>
    <w:rsid w:val="006E4F6B"/>
    <w:rsid w:val="006E52B2"/>
    <w:rsid w:val="006E52CE"/>
    <w:rsid w:val="006E548D"/>
    <w:rsid w:val="006E5545"/>
    <w:rsid w:val="006E5A5C"/>
    <w:rsid w:val="006E608F"/>
    <w:rsid w:val="006E6213"/>
    <w:rsid w:val="006E6617"/>
    <w:rsid w:val="006E6E0E"/>
    <w:rsid w:val="006E706B"/>
    <w:rsid w:val="006E709D"/>
    <w:rsid w:val="006E72DD"/>
    <w:rsid w:val="006E7400"/>
    <w:rsid w:val="006E7605"/>
    <w:rsid w:val="006E7607"/>
    <w:rsid w:val="006E7981"/>
    <w:rsid w:val="006E7A67"/>
    <w:rsid w:val="006F013F"/>
    <w:rsid w:val="006F0190"/>
    <w:rsid w:val="006F03B6"/>
    <w:rsid w:val="006F0B1C"/>
    <w:rsid w:val="006F0E15"/>
    <w:rsid w:val="006F0E6C"/>
    <w:rsid w:val="006F1038"/>
    <w:rsid w:val="006F1241"/>
    <w:rsid w:val="006F13B6"/>
    <w:rsid w:val="006F173D"/>
    <w:rsid w:val="006F1930"/>
    <w:rsid w:val="006F1B60"/>
    <w:rsid w:val="006F1D95"/>
    <w:rsid w:val="006F1E54"/>
    <w:rsid w:val="006F1ED6"/>
    <w:rsid w:val="006F1F55"/>
    <w:rsid w:val="006F1F9B"/>
    <w:rsid w:val="006F214D"/>
    <w:rsid w:val="006F2161"/>
    <w:rsid w:val="006F2514"/>
    <w:rsid w:val="006F287C"/>
    <w:rsid w:val="006F2B60"/>
    <w:rsid w:val="006F2C46"/>
    <w:rsid w:val="006F2D68"/>
    <w:rsid w:val="006F2EF5"/>
    <w:rsid w:val="006F337D"/>
    <w:rsid w:val="006F33E0"/>
    <w:rsid w:val="006F3538"/>
    <w:rsid w:val="006F3588"/>
    <w:rsid w:val="006F3791"/>
    <w:rsid w:val="006F3907"/>
    <w:rsid w:val="006F3B49"/>
    <w:rsid w:val="006F3D77"/>
    <w:rsid w:val="006F3EA8"/>
    <w:rsid w:val="006F3ED0"/>
    <w:rsid w:val="006F4007"/>
    <w:rsid w:val="006F406E"/>
    <w:rsid w:val="006F4101"/>
    <w:rsid w:val="006F419F"/>
    <w:rsid w:val="006F42E6"/>
    <w:rsid w:val="006F4616"/>
    <w:rsid w:val="006F47EB"/>
    <w:rsid w:val="006F4B32"/>
    <w:rsid w:val="006F4C9B"/>
    <w:rsid w:val="006F4E35"/>
    <w:rsid w:val="006F5464"/>
    <w:rsid w:val="006F5658"/>
    <w:rsid w:val="006F569D"/>
    <w:rsid w:val="006F5797"/>
    <w:rsid w:val="006F5AEA"/>
    <w:rsid w:val="006F5F3B"/>
    <w:rsid w:val="006F658C"/>
    <w:rsid w:val="006F65EA"/>
    <w:rsid w:val="006F660A"/>
    <w:rsid w:val="006F689A"/>
    <w:rsid w:val="006F6BF2"/>
    <w:rsid w:val="006F6F54"/>
    <w:rsid w:val="006F7324"/>
    <w:rsid w:val="006F7329"/>
    <w:rsid w:val="006F783F"/>
    <w:rsid w:val="0070063E"/>
    <w:rsid w:val="0070080C"/>
    <w:rsid w:val="007008C9"/>
    <w:rsid w:val="00700CBA"/>
    <w:rsid w:val="00700DE8"/>
    <w:rsid w:val="00701275"/>
    <w:rsid w:val="007013E3"/>
    <w:rsid w:val="00701566"/>
    <w:rsid w:val="00701579"/>
    <w:rsid w:val="0070182B"/>
    <w:rsid w:val="00701B37"/>
    <w:rsid w:val="00702150"/>
    <w:rsid w:val="0070215A"/>
    <w:rsid w:val="0070221C"/>
    <w:rsid w:val="0070260F"/>
    <w:rsid w:val="00702A27"/>
    <w:rsid w:val="00702A7C"/>
    <w:rsid w:val="00702A8B"/>
    <w:rsid w:val="007032A9"/>
    <w:rsid w:val="0070332F"/>
    <w:rsid w:val="007033A5"/>
    <w:rsid w:val="00703A22"/>
    <w:rsid w:val="00703ABF"/>
    <w:rsid w:val="00703C1E"/>
    <w:rsid w:val="00703C4E"/>
    <w:rsid w:val="00703D0E"/>
    <w:rsid w:val="00703E14"/>
    <w:rsid w:val="00704072"/>
    <w:rsid w:val="00704180"/>
    <w:rsid w:val="0070421C"/>
    <w:rsid w:val="007042A6"/>
    <w:rsid w:val="00704377"/>
    <w:rsid w:val="0070445C"/>
    <w:rsid w:val="007046F2"/>
    <w:rsid w:val="00704AA9"/>
    <w:rsid w:val="0070520C"/>
    <w:rsid w:val="0070525E"/>
    <w:rsid w:val="00705302"/>
    <w:rsid w:val="00705362"/>
    <w:rsid w:val="007056D4"/>
    <w:rsid w:val="0070578F"/>
    <w:rsid w:val="007059EA"/>
    <w:rsid w:val="00705A8F"/>
    <w:rsid w:val="00705D01"/>
    <w:rsid w:val="007062EC"/>
    <w:rsid w:val="007063BE"/>
    <w:rsid w:val="007065C2"/>
    <w:rsid w:val="007065C8"/>
    <w:rsid w:val="00706670"/>
    <w:rsid w:val="007068BE"/>
    <w:rsid w:val="00706A63"/>
    <w:rsid w:val="00706B98"/>
    <w:rsid w:val="00706C2A"/>
    <w:rsid w:val="00706F2E"/>
    <w:rsid w:val="00706FBA"/>
    <w:rsid w:val="00707197"/>
    <w:rsid w:val="007073BA"/>
    <w:rsid w:val="00707D1E"/>
    <w:rsid w:val="00707D80"/>
    <w:rsid w:val="00707F85"/>
    <w:rsid w:val="00710088"/>
    <w:rsid w:val="007105A2"/>
    <w:rsid w:val="0071067F"/>
    <w:rsid w:val="00710745"/>
    <w:rsid w:val="00710A19"/>
    <w:rsid w:val="00710BB2"/>
    <w:rsid w:val="00710C59"/>
    <w:rsid w:val="00710D4B"/>
    <w:rsid w:val="00710EC3"/>
    <w:rsid w:val="00711182"/>
    <w:rsid w:val="0071147F"/>
    <w:rsid w:val="007118CE"/>
    <w:rsid w:val="007119DC"/>
    <w:rsid w:val="00711A06"/>
    <w:rsid w:val="00711C16"/>
    <w:rsid w:val="00711D0F"/>
    <w:rsid w:val="00711E11"/>
    <w:rsid w:val="007121BC"/>
    <w:rsid w:val="0071238F"/>
    <w:rsid w:val="0071255D"/>
    <w:rsid w:val="00712891"/>
    <w:rsid w:val="00712A9B"/>
    <w:rsid w:val="00712DF9"/>
    <w:rsid w:val="00712E5B"/>
    <w:rsid w:val="00712F01"/>
    <w:rsid w:val="0071305A"/>
    <w:rsid w:val="007138C3"/>
    <w:rsid w:val="0071498A"/>
    <w:rsid w:val="007149A6"/>
    <w:rsid w:val="00714D3F"/>
    <w:rsid w:val="00714DCF"/>
    <w:rsid w:val="00714EAE"/>
    <w:rsid w:val="00714F02"/>
    <w:rsid w:val="00714FBD"/>
    <w:rsid w:val="00715168"/>
    <w:rsid w:val="0071521E"/>
    <w:rsid w:val="00715297"/>
    <w:rsid w:val="007152D2"/>
    <w:rsid w:val="0071531E"/>
    <w:rsid w:val="00715351"/>
    <w:rsid w:val="007157F5"/>
    <w:rsid w:val="00715A10"/>
    <w:rsid w:val="00715DD1"/>
    <w:rsid w:val="00715E9A"/>
    <w:rsid w:val="00716071"/>
    <w:rsid w:val="00716324"/>
    <w:rsid w:val="00716936"/>
    <w:rsid w:val="007169E7"/>
    <w:rsid w:val="00716E8C"/>
    <w:rsid w:val="00717000"/>
    <w:rsid w:val="007173B0"/>
    <w:rsid w:val="007174C8"/>
    <w:rsid w:val="00717520"/>
    <w:rsid w:val="0071775C"/>
    <w:rsid w:val="007177B3"/>
    <w:rsid w:val="00717C1C"/>
    <w:rsid w:val="00717EFC"/>
    <w:rsid w:val="00720010"/>
    <w:rsid w:val="007202FC"/>
    <w:rsid w:val="00720B87"/>
    <w:rsid w:val="00720CA5"/>
    <w:rsid w:val="00720D73"/>
    <w:rsid w:val="00720DD8"/>
    <w:rsid w:val="00720EE7"/>
    <w:rsid w:val="00720F15"/>
    <w:rsid w:val="00720F1B"/>
    <w:rsid w:val="007210EB"/>
    <w:rsid w:val="007211A4"/>
    <w:rsid w:val="00721409"/>
    <w:rsid w:val="00721490"/>
    <w:rsid w:val="007216AE"/>
    <w:rsid w:val="0072174C"/>
    <w:rsid w:val="007217E9"/>
    <w:rsid w:val="00721C2F"/>
    <w:rsid w:val="00721E2F"/>
    <w:rsid w:val="00722431"/>
    <w:rsid w:val="00722491"/>
    <w:rsid w:val="00722606"/>
    <w:rsid w:val="00722630"/>
    <w:rsid w:val="0072264E"/>
    <w:rsid w:val="00723017"/>
    <w:rsid w:val="007231C4"/>
    <w:rsid w:val="00723343"/>
    <w:rsid w:val="007233CF"/>
    <w:rsid w:val="0072352F"/>
    <w:rsid w:val="00723641"/>
    <w:rsid w:val="0072372D"/>
    <w:rsid w:val="00724066"/>
    <w:rsid w:val="00724315"/>
    <w:rsid w:val="0072449C"/>
    <w:rsid w:val="00724B2C"/>
    <w:rsid w:val="00724BB8"/>
    <w:rsid w:val="00724CAD"/>
    <w:rsid w:val="00724D02"/>
    <w:rsid w:val="0072520A"/>
    <w:rsid w:val="007253A4"/>
    <w:rsid w:val="0072558A"/>
    <w:rsid w:val="007255AA"/>
    <w:rsid w:val="00725DF4"/>
    <w:rsid w:val="00726380"/>
    <w:rsid w:val="007263D9"/>
    <w:rsid w:val="00726480"/>
    <w:rsid w:val="0072650D"/>
    <w:rsid w:val="00726869"/>
    <w:rsid w:val="00726A8F"/>
    <w:rsid w:val="00726CEA"/>
    <w:rsid w:val="0072709F"/>
    <w:rsid w:val="00727179"/>
    <w:rsid w:val="007271CE"/>
    <w:rsid w:val="0072727C"/>
    <w:rsid w:val="007272AC"/>
    <w:rsid w:val="00727410"/>
    <w:rsid w:val="0072743B"/>
    <w:rsid w:val="00727641"/>
    <w:rsid w:val="00727644"/>
    <w:rsid w:val="00727801"/>
    <w:rsid w:val="00727AB0"/>
    <w:rsid w:val="00727D29"/>
    <w:rsid w:val="00727ECE"/>
    <w:rsid w:val="00730111"/>
    <w:rsid w:val="00730286"/>
    <w:rsid w:val="00730463"/>
    <w:rsid w:val="00730BCF"/>
    <w:rsid w:val="0073106C"/>
    <w:rsid w:val="007312A5"/>
    <w:rsid w:val="00731397"/>
    <w:rsid w:val="007314DA"/>
    <w:rsid w:val="00731754"/>
    <w:rsid w:val="00731934"/>
    <w:rsid w:val="00731AA0"/>
    <w:rsid w:val="00731BA3"/>
    <w:rsid w:val="00731BA6"/>
    <w:rsid w:val="00731BCC"/>
    <w:rsid w:val="0073222B"/>
    <w:rsid w:val="007325CC"/>
    <w:rsid w:val="007328B0"/>
    <w:rsid w:val="00732960"/>
    <w:rsid w:val="00732B7A"/>
    <w:rsid w:val="00732F56"/>
    <w:rsid w:val="00732FAA"/>
    <w:rsid w:val="007332CF"/>
    <w:rsid w:val="00733373"/>
    <w:rsid w:val="007334D9"/>
    <w:rsid w:val="007334FA"/>
    <w:rsid w:val="00733561"/>
    <w:rsid w:val="007335BE"/>
    <w:rsid w:val="00733A23"/>
    <w:rsid w:val="00733B4C"/>
    <w:rsid w:val="00733DC0"/>
    <w:rsid w:val="00734465"/>
    <w:rsid w:val="0073452F"/>
    <w:rsid w:val="007345DA"/>
    <w:rsid w:val="007346B8"/>
    <w:rsid w:val="007349AB"/>
    <w:rsid w:val="0073510C"/>
    <w:rsid w:val="0073519F"/>
    <w:rsid w:val="0073531E"/>
    <w:rsid w:val="007353E8"/>
    <w:rsid w:val="00735402"/>
    <w:rsid w:val="00735505"/>
    <w:rsid w:val="0073576B"/>
    <w:rsid w:val="00735847"/>
    <w:rsid w:val="0073590F"/>
    <w:rsid w:val="00735969"/>
    <w:rsid w:val="007359F0"/>
    <w:rsid w:val="00735A16"/>
    <w:rsid w:val="00735AF4"/>
    <w:rsid w:val="00735BDC"/>
    <w:rsid w:val="00735BF7"/>
    <w:rsid w:val="00735D8D"/>
    <w:rsid w:val="00736442"/>
    <w:rsid w:val="0073657F"/>
    <w:rsid w:val="0073661B"/>
    <w:rsid w:val="00736C1F"/>
    <w:rsid w:val="00736E70"/>
    <w:rsid w:val="00736F14"/>
    <w:rsid w:val="00736FF5"/>
    <w:rsid w:val="00737295"/>
    <w:rsid w:val="00737334"/>
    <w:rsid w:val="0073758E"/>
    <w:rsid w:val="007377CC"/>
    <w:rsid w:val="00737946"/>
    <w:rsid w:val="00737A28"/>
    <w:rsid w:val="00740016"/>
    <w:rsid w:val="007400ED"/>
    <w:rsid w:val="00740550"/>
    <w:rsid w:val="00740562"/>
    <w:rsid w:val="00740834"/>
    <w:rsid w:val="00740A8B"/>
    <w:rsid w:val="00740A96"/>
    <w:rsid w:val="00740B9B"/>
    <w:rsid w:val="00740C3F"/>
    <w:rsid w:val="00740D8C"/>
    <w:rsid w:val="0074142C"/>
    <w:rsid w:val="00741501"/>
    <w:rsid w:val="007419A4"/>
    <w:rsid w:val="007419E7"/>
    <w:rsid w:val="00741A6F"/>
    <w:rsid w:val="00741B76"/>
    <w:rsid w:val="00741E28"/>
    <w:rsid w:val="00742425"/>
    <w:rsid w:val="0074252D"/>
    <w:rsid w:val="00742871"/>
    <w:rsid w:val="007428F7"/>
    <w:rsid w:val="00742CED"/>
    <w:rsid w:val="00742D85"/>
    <w:rsid w:val="00742EE0"/>
    <w:rsid w:val="00742F0F"/>
    <w:rsid w:val="007437D1"/>
    <w:rsid w:val="00743AFD"/>
    <w:rsid w:val="00743B61"/>
    <w:rsid w:val="00743CC9"/>
    <w:rsid w:val="00743E10"/>
    <w:rsid w:val="00743F37"/>
    <w:rsid w:val="00743F59"/>
    <w:rsid w:val="007440F0"/>
    <w:rsid w:val="0074442A"/>
    <w:rsid w:val="0074477B"/>
    <w:rsid w:val="007447F8"/>
    <w:rsid w:val="00745892"/>
    <w:rsid w:val="00745ED2"/>
    <w:rsid w:val="007461C8"/>
    <w:rsid w:val="00746203"/>
    <w:rsid w:val="0074660C"/>
    <w:rsid w:val="00746615"/>
    <w:rsid w:val="00746730"/>
    <w:rsid w:val="0074682D"/>
    <w:rsid w:val="00746D4E"/>
    <w:rsid w:val="00746DA1"/>
    <w:rsid w:val="00746E19"/>
    <w:rsid w:val="00746F04"/>
    <w:rsid w:val="00747020"/>
    <w:rsid w:val="0074752F"/>
    <w:rsid w:val="007476A1"/>
    <w:rsid w:val="00747767"/>
    <w:rsid w:val="0074779C"/>
    <w:rsid w:val="007478C7"/>
    <w:rsid w:val="00747BB9"/>
    <w:rsid w:val="00747D06"/>
    <w:rsid w:val="00747EF6"/>
    <w:rsid w:val="00747FCE"/>
    <w:rsid w:val="00750019"/>
    <w:rsid w:val="00750098"/>
    <w:rsid w:val="0075028F"/>
    <w:rsid w:val="00750356"/>
    <w:rsid w:val="007503B5"/>
    <w:rsid w:val="00750698"/>
    <w:rsid w:val="00750AA8"/>
    <w:rsid w:val="00750C1C"/>
    <w:rsid w:val="00750D4D"/>
    <w:rsid w:val="00750E1C"/>
    <w:rsid w:val="007512DB"/>
    <w:rsid w:val="007518EA"/>
    <w:rsid w:val="007519A5"/>
    <w:rsid w:val="00751AA5"/>
    <w:rsid w:val="00751AAC"/>
    <w:rsid w:val="00751B87"/>
    <w:rsid w:val="00752246"/>
    <w:rsid w:val="007522AE"/>
    <w:rsid w:val="0075243D"/>
    <w:rsid w:val="007525D6"/>
    <w:rsid w:val="007528F1"/>
    <w:rsid w:val="00752ADF"/>
    <w:rsid w:val="00752C96"/>
    <w:rsid w:val="00752D65"/>
    <w:rsid w:val="0075323D"/>
    <w:rsid w:val="007536CD"/>
    <w:rsid w:val="00753A23"/>
    <w:rsid w:val="00753CBB"/>
    <w:rsid w:val="00753CF7"/>
    <w:rsid w:val="00753D6E"/>
    <w:rsid w:val="007540D1"/>
    <w:rsid w:val="007543C2"/>
    <w:rsid w:val="0075447F"/>
    <w:rsid w:val="00754509"/>
    <w:rsid w:val="00754856"/>
    <w:rsid w:val="0075497B"/>
    <w:rsid w:val="00754A87"/>
    <w:rsid w:val="00754C3E"/>
    <w:rsid w:val="00754D27"/>
    <w:rsid w:val="0075509B"/>
    <w:rsid w:val="0075544B"/>
    <w:rsid w:val="0075552C"/>
    <w:rsid w:val="0075558A"/>
    <w:rsid w:val="007555B0"/>
    <w:rsid w:val="007557EA"/>
    <w:rsid w:val="00755A38"/>
    <w:rsid w:val="00755A65"/>
    <w:rsid w:val="00755C64"/>
    <w:rsid w:val="00755CA9"/>
    <w:rsid w:val="00755CAA"/>
    <w:rsid w:val="00756032"/>
    <w:rsid w:val="007561A6"/>
    <w:rsid w:val="007561DF"/>
    <w:rsid w:val="007562D9"/>
    <w:rsid w:val="00756380"/>
    <w:rsid w:val="00756662"/>
    <w:rsid w:val="007568B8"/>
    <w:rsid w:val="0075694C"/>
    <w:rsid w:val="00756A41"/>
    <w:rsid w:val="00756BAF"/>
    <w:rsid w:val="00756DB9"/>
    <w:rsid w:val="00756DF8"/>
    <w:rsid w:val="00756F58"/>
    <w:rsid w:val="007572BC"/>
    <w:rsid w:val="007577B3"/>
    <w:rsid w:val="0075783A"/>
    <w:rsid w:val="0075787D"/>
    <w:rsid w:val="0075789C"/>
    <w:rsid w:val="007579F7"/>
    <w:rsid w:val="00757B7B"/>
    <w:rsid w:val="00757E2F"/>
    <w:rsid w:val="007600B5"/>
    <w:rsid w:val="00760334"/>
    <w:rsid w:val="007604A5"/>
    <w:rsid w:val="0076099D"/>
    <w:rsid w:val="00761322"/>
    <w:rsid w:val="00761340"/>
    <w:rsid w:val="007616F3"/>
    <w:rsid w:val="00761BC6"/>
    <w:rsid w:val="00761F7D"/>
    <w:rsid w:val="0076221E"/>
    <w:rsid w:val="007625C2"/>
    <w:rsid w:val="0076261C"/>
    <w:rsid w:val="00762810"/>
    <w:rsid w:val="0076284A"/>
    <w:rsid w:val="00762889"/>
    <w:rsid w:val="00763127"/>
    <w:rsid w:val="007632E8"/>
    <w:rsid w:val="0076336E"/>
    <w:rsid w:val="0076384F"/>
    <w:rsid w:val="00763B03"/>
    <w:rsid w:val="00763D1E"/>
    <w:rsid w:val="00763DF8"/>
    <w:rsid w:val="00763E08"/>
    <w:rsid w:val="007640B9"/>
    <w:rsid w:val="007643A9"/>
    <w:rsid w:val="007645CA"/>
    <w:rsid w:val="0076463D"/>
    <w:rsid w:val="007646C4"/>
    <w:rsid w:val="007647E2"/>
    <w:rsid w:val="007649D2"/>
    <w:rsid w:val="00764AEB"/>
    <w:rsid w:val="00765389"/>
    <w:rsid w:val="00765CFB"/>
    <w:rsid w:val="0076621B"/>
    <w:rsid w:val="0076663B"/>
    <w:rsid w:val="00766748"/>
    <w:rsid w:val="007667D9"/>
    <w:rsid w:val="00766A9F"/>
    <w:rsid w:val="00766BEB"/>
    <w:rsid w:val="00766C42"/>
    <w:rsid w:val="00766F8A"/>
    <w:rsid w:val="007675C3"/>
    <w:rsid w:val="0076769B"/>
    <w:rsid w:val="007676BC"/>
    <w:rsid w:val="00767891"/>
    <w:rsid w:val="0076792E"/>
    <w:rsid w:val="00767C90"/>
    <w:rsid w:val="00767D2F"/>
    <w:rsid w:val="007701CD"/>
    <w:rsid w:val="007702CD"/>
    <w:rsid w:val="0077032E"/>
    <w:rsid w:val="007703FF"/>
    <w:rsid w:val="007708F3"/>
    <w:rsid w:val="00770A47"/>
    <w:rsid w:val="00770EDC"/>
    <w:rsid w:val="00770FAF"/>
    <w:rsid w:val="00771270"/>
    <w:rsid w:val="0077130A"/>
    <w:rsid w:val="00771626"/>
    <w:rsid w:val="007716C6"/>
    <w:rsid w:val="00771943"/>
    <w:rsid w:val="00771F03"/>
    <w:rsid w:val="00771F8B"/>
    <w:rsid w:val="00771FC0"/>
    <w:rsid w:val="0077230B"/>
    <w:rsid w:val="00772A0A"/>
    <w:rsid w:val="00772C49"/>
    <w:rsid w:val="00772CAA"/>
    <w:rsid w:val="00772DBD"/>
    <w:rsid w:val="00773077"/>
    <w:rsid w:val="007731ED"/>
    <w:rsid w:val="00773331"/>
    <w:rsid w:val="0077352A"/>
    <w:rsid w:val="00773562"/>
    <w:rsid w:val="007737A4"/>
    <w:rsid w:val="007738B0"/>
    <w:rsid w:val="007739D6"/>
    <w:rsid w:val="00773A2A"/>
    <w:rsid w:val="00773A6D"/>
    <w:rsid w:val="00773E3A"/>
    <w:rsid w:val="00774075"/>
    <w:rsid w:val="00774086"/>
    <w:rsid w:val="00774523"/>
    <w:rsid w:val="007746E4"/>
    <w:rsid w:val="0077471F"/>
    <w:rsid w:val="0077474E"/>
    <w:rsid w:val="0077478E"/>
    <w:rsid w:val="00774914"/>
    <w:rsid w:val="0077493C"/>
    <w:rsid w:val="00774D76"/>
    <w:rsid w:val="00774E42"/>
    <w:rsid w:val="00774EF6"/>
    <w:rsid w:val="00774FA9"/>
    <w:rsid w:val="00775432"/>
    <w:rsid w:val="007757F2"/>
    <w:rsid w:val="00775A2E"/>
    <w:rsid w:val="00775C1D"/>
    <w:rsid w:val="00775D9A"/>
    <w:rsid w:val="00775DA9"/>
    <w:rsid w:val="00775EFA"/>
    <w:rsid w:val="00775F12"/>
    <w:rsid w:val="0077604B"/>
    <w:rsid w:val="0077613C"/>
    <w:rsid w:val="007762CA"/>
    <w:rsid w:val="007762F9"/>
    <w:rsid w:val="00776462"/>
    <w:rsid w:val="00776609"/>
    <w:rsid w:val="00776C8C"/>
    <w:rsid w:val="00776F98"/>
    <w:rsid w:val="007770B0"/>
    <w:rsid w:val="0077726B"/>
    <w:rsid w:val="0077743D"/>
    <w:rsid w:val="00777717"/>
    <w:rsid w:val="00777BA4"/>
    <w:rsid w:val="00777D1F"/>
    <w:rsid w:val="00777FCD"/>
    <w:rsid w:val="007801FE"/>
    <w:rsid w:val="00780334"/>
    <w:rsid w:val="0078033A"/>
    <w:rsid w:val="007804AA"/>
    <w:rsid w:val="00780549"/>
    <w:rsid w:val="00780562"/>
    <w:rsid w:val="0078060F"/>
    <w:rsid w:val="00780812"/>
    <w:rsid w:val="0078084F"/>
    <w:rsid w:val="0078090B"/>
    <w:rsid w:val="00780B1D"/>
    <w:rsid w:val="00780FAC"/>
    <w:rsid w:val="0078102C"/>
    <w:rsid w:val="0078139A"/>
    <w:rsid w:val="007815E2"/>
    <w:rsid w:val="007819B8"/>
    <w:rsid w:val="00781D66"/>
    <w:rsid w:val="00781EE1"/>
    <w:rsid w:val="00781FC0"/>
    <w:rsid w:val="00782354"/>
    <w:rsid w:val="0078244E"/>
    <w:rsid w:val="00782479"/>
    <w:rsid w:val="0078253B"/>
    <w:rsid w:val="00782603"/>
    <w:rsid w:val="00782839"/>
    <w:rsid w:val="007829F7"/>
    <w:rsid w:val="00782AE7"/>
    <w:rsid w:val="00782F0B"/>
    <w:rsid w:val="00783074"/>
    <w:rsid w:val="00783216"/>
    <w:rsid w:val="00783540"/>
    <w:rsid w:val="00783A2C"/>
    <w:rsid w:val="00783FDE"/>
    <w:rsid w:val="007842A9"/>
    <w:rsid w:val="007844E9"/>
    <w:rsid w:val="007849E2"/>
    <w:rsid w:val="00785017"/>
    <w:rsid w:val="00785427"/>
    <w:rsid w:val="0078548E"/>
    <w:rsid w:val="00785526"/>
    <w:rsid w:val="0078560A"/>
    <w:rsid w:val="007858C6"/>
    <w:rsid w:val="00785943"/>
    <w:rsid w:val="00785A67"/>
    <w:rsid w:val="00785C0D"/>
    <w:rsid w:val="00785C5C"/>
    <w:rsid w:val="00785CF6"/>
    <w:rsid w:val="00785E97"/>
    <w:rsid w:val="00785F3D"/>
    <w:rsid w:val="00785FFB"/>
    <w:rsid w:val="00786129"/>
    <w:rsid w:val="00786259"/>
    <w:rsid w:val="00786309"/>
    <w:rsid w:val="007869DC"/>
    <w:rsid w:val="00786A42"/>
    <w:rsid w:val="00786C87"/>
    <w:rsid w:val="00787195"/>
    <w:rsid w:val="007871D1"/>
    <w:rsid w:val="007873F4"/>
    <w:rsid w:val="00787407"/>
    <w:rsid w:val="00787609"/>
    <w:rsid w:val="00787992"/>
    <w:rsid w:val="00787AFA"/>
    <w:rsid w:val="00787B97"/>
    <w:rsid w:val="00787C17"/>
    <w:rsid w:val="00790440"/>
    <w:rsid w:val="0079076F"/>
    <w:rsid w:val="007907B4"/>
    <w:rsid w:val="00790A0A"/>
    <w:rsid w:val="00791249"/>
    <w:rsid w:val="00791395"/>
    <w:rsid w:val="0079139B"/>
    <w:rsid w:val="007915B0"/>
    <w:rsid w:val="00791739"/>
    <w:rsid w:val="0079182B"/>
    <w:rsid w:val="00791AA6"/>
    <w:rsid w:val="00791AB2"/>
    <w:rsid w:val="00791B8E"/>
    <w:rsid w:val="00791DEE"/>
    <w:rsid w:val="00791E01"/>
    <w:rsid w:val="0079207C"/>
    <w:rsid w:val="0079268E"/>
    <w:rsid w:val="007926D5"/>
    <w:rsid w:val="00792BA4"/>
    <w:rsid w:val="00792EE3"/>
    <w:rsid w:val="00793260"/>
    <w:rsid w:val="007932EF"/>
    <w:rsid w:val="00793B70"/>
    <w:rsid w:val="00793E0B"/>
    <w:rsid w:val="00793EE5"/>
    <w:rsid w:val="0079487F"/>
    <w:rsid w:val="00794A8B"/>
    <w:rsid w:val="0079519E"/>
    <w:rsid w:val="00795207"/>
    <w:rsid w:val="00795383"/>
    <w:rsid w:val="00795503"/>
    <w:rsid w:val="007956BC"/>
    <w:rsid w:val="007959AE"/>
    <w:rsid w:val="00795AFB"/>
    <w:rsid w:val="00795CD1"/>
    <w:rsid w:val="00795DD4"/>
    <w:rsid w:val="00795E8B"/>
    <w:rsid w:val="00795F51"/>
    <w:rsid w:val="00796040"/>
    <w:rsid w:val="0079613F"/>
    <w:rsid w:val="00796160"/>
    <w:rsid w:val="007963FB"/>
    <w:rsid w:val="00796846"/>
    <w:rsid w:val="007968F4"/>
    <w:rsid w:val="00796BB4"/>
    <w:rsid w:val="0079759F"/>
    <w:rsid w:val="007975A0"/>
    <w:rsid w:val="00797AEC"/>
    <w:rsid w:val="00797DD3"/>
    <w:rsid w:val="007A025E"/>
    <w:rsid w:val="007A04E5"/>
    <w:rsid w:val="007A06D9"/>
    <w:rsid w:val="007A090A"/>
    <w:rsid w:val="007A0A1B"/>
    <w:rsid w:val="007A0A52"/>
    <w:rsid w:val="007A0D38"/>
    <w:rsid w:val="007A0DA7"/>
    <w:rsid w:val="007A1059"/>
    <w:rsid w:val="007A13B0"/>
    <w:rsid w:val="007A15A4"/>
    <w:rsid w:val="007A1A49"/>
    <w:rsid w:val="007A1E0E"/>
    <w:rsid w:val="007A283C"/>
    <w:rsid w:val="007A2BC6"/>
    <w:rsid w:val="007A2EC9"/>
    <w:rsid w:val="007A3387"/>
    <w:rsid w:val="007A366F"/>
    <w:rsid w:val="007A3817"/>
    <w:rsid w:val="007A3866"/>
    <w:rsid w:val="007A3968"/>
    <w:rsid w:val="007A398C"/>
    <w:rsid w:val="007A3A29"/>
    <w:rsid w:val="007A3C89"/>
    <w:rsid w:val="007A3CD2"/>
    <w:rsid w:val="007A3D5C"/>
    <w:rsid w:val="007A4005"/>
    <w:rsid w:val="007A458D"/>
    <w:rsid w:val="007A47B6"/>
    <w:rsid w:val="007A49DB"/>
    <w:rsid w:val="007A4B74"/>
    <w:rsid w:val="007A4B9A"/>
    <w:rsid w:val="007A4C56"/>
    <w:rsid w:val="007A4E49"/>
    <w:rsid w:val="007A4FC1"/>
    <w:rsid w:val="007A51C1"/>
    <w:rsid w:val="007A526C"/>
    <w:rsid w:val="007A55EC"/>
    <w:rsid w:val="007A5CCC"/>
    <w:rsid w:val="007A5E0F"/>
    <w:rsid w:val="007A5FAF"/>
    <w:rsid w:val="007A6212"/>
    <w:rsid w:val="007A630D"/>
    <w:rsid w:val="007A6372"/>
    <w:rsid w:val="007A63E9"/>
    <w:rsid w:val="007A642C"/>
    <w:rsid w:val="007A6432"/>
    <w:rsid w:val="007A65B7"/>
    <w:rsid w:val="007A6953"/>
    <w:rsid w:val="007A6B1B"/>
    <w:rsid w:val="007A6D68"/>
    <w:rsid w:val="007A6DD6"/>
    <w:rsid w:val="007A7125"/>
    <w:rsid w:val="007A72FE"/>
    <w:rsid w:val="007A738D"/>
    <w:rsid w:val="007A772B"/>
    <w:rsid w:val="007A772D"/>
    <w:rsid w:val="007A7F43"/>
    <w:rsid w:val="007B0042"/>
    <w:rsid w:val="007B0129"/>
    <w:rsid w:val="007B024E"/>
    <w:rsid w:val="007B030E"/>
    <w:rsid w:val="007B0368"/>
    <w:rsid w:val="007B0D05"/>
    <w:rsid w:val="007B0DBD"/>
    <w:rsid w:val="007B0E60"/>
    <w:rsid w:val="007B1470"/>
    <w:rsid w:val="007B177D"/>
    <w:rsid w:val="007B17D1"/>
    <w:rsid w:val="007B18E0"/>
    <w:rsid w:val="007B1E0F"/>
    <w:rsid w:val="007B1E8D"/>
    <w:rsid w:val="007B2222"/>
    <w:rsid w:val="007B235D"/>
    <w:rsid w:val="007B2403"/>
    <w:rsid w:val="007B2535"/>
    <w:rsid w:val="007B25E9"/>
    <w:rsid w:val="007B2620"/>
    <w:rsid w:val="007B28B9"/>
    <w:rsid w:val="007B2B28"/>
    <w:rsid w:val="007B2BC7"/>
    <w:rsid w:val="007B2C7A"/>
    <w:rsid w:val="007B2CC9"/>
    <w:rsid w:val="007B2FB0"/>
    <w:rsid w:val="007B344A"/>
    <w:rsid w:val="007B347A"/>
    <w:rsid w:val="007B3565"/>
    <w:rsid w:val="007B38DB"/>
    <w:rsid w:val="007B39B3"/>
    <w:rsid w:val="007B3D45"/>
    <w:rsid w:val="007B3DD8"/>
    <w:rsid w:val="007B3E3A"/>
    <w:rsid w:val="007B3F4B"/>
    <w:rsid w:val="007B4068"/>
    <w:rsid w:val="007B42D1"/>
    <w:rsid w:val="007B496B"/>
    <w:rsid w:val="007B4ABE"/>
    <w:rsid w:val="007B4B6F"/>
    <w:rsid w:val="007B4BF8"/>
    <w:rsid w:val="007B4CD5"/>
    <w:rsid w:val="007B4E76"/>
    <w:rsid w:val="007B4F62"/>
    <w:rsid w:val="007B4F8B"/>
    <w:rsid w:val="007B5022"/>
    <w:rsid w:val="007B5056"/>
    <w:rsid w:val="007B5065"/>
    <w:rsid w:val="007B528A"/>
    <w:rsid w:val="007B56F5"/>
    <w:rsid w:val="007B5998"/>
    <w:rsid w:val="007B5C00"/>
    <w:rsid w:val="007B5C49"/>
    <w:rsid w:val="007B5DB6"/>
    <w:rsid w:val="007B608D"/>
    <w:rsid w:val="007B6259"/>
    <w:rsid w:val="007B62B4"/>
    <w:rsid w:val="007B630D"/>
    <w:rsid w:val="007B64A3"/>
    <w:rsid w:val="007B6BB6"/>
    <w:rsid w:val="007B6BD3"/>
    <w:rsid w:val="007B6C79"/>
    <w:rsid w:val="007B6D18"/>
    <w:rsid w:val="007B7006"/>
    <w:rsid w:val="007B7141"/>
    <w:rsid w:val="007B76F5"/>
    <w:rsid w:val="007B78D5"/>
    <w:rsid w:val="007B7FBB"/>
    <w:rsid w:val="007B7FC9"/>
    <w:rsid w:val="007C0226"/>
    <w:rsid w:val="007C023A"/>
    <w:rsid w:val="007C024B"/>
    <w:rsid w:val="007C041B"/>
    <w:rsid w:val="007C0707"/>
    <w:rsid w:val="007C1072"/>
    <w:rsid w:val="007C1331"/>
    <w:rsid w:val="007C1526"/>
    <w:rsid w:val="007C15BF"/>
    <w:rsid w:val="007C1728"/>
    <w:rsid w:val="007C1732"/>
    <w:rsid w:val="007C184F"/>
    <w:rsid w:val="007C1BEF"/>
    <w:rsid w:val="007C1C1F"/>
    <w:rsid w:val="007C1D85"/>
    <w:rsid w:val="007C1F60"/>
    <w:rsid w:val="007C203A"/>
    <w:rsid w:val="007C20CB"/>
    <w:rsid w:val="007C2313"/>
    <w:rsid w:val="007C2460"/>
    <w:rsid w:val="007C2663"/>
    <w:rsid w:val="007C2977"/>
    <w:rsid w:val="007C2D38"/>
    <w:rsid w:val="007C2EDF"/>
    <w:rsid w:val="007C35B4"/>
    <w:rsid w:val="007C35B7"/>
    <w:rsid w:val="007C3886"/>
    <w:rsid w:val="007C38AA"/>
    <w:rsid w:val="007C3ACC"/>
    <w:rsid w:val="007C3CAD"/>
    <w:rsid w:val="007C41CE"/>
    <w:rsid w:val="007C42FB"/>
    <w:rsid w:val="007C44CF"/>
    <w:rsid w:val="007C4AB8"/>
    <w:rsid w:val="007C4B05"/>
    <w:rsid w:val="007C4E87"/>
    <w:rsid w:val="007C4EDD"/>
    <w:rsid w:val="007C4FF2"/>
    <w:rsid w:val="007C502F"/>
    <w:rsid w:val="007C50FB"/>
    <w:rsid w:val="007C528E"/>
    <w:rsid w:val="007C5579"/>
    <w:rsid w:val="007C569A"/>
    <w:rsid w:val="007C5726"/>
    <w:rsid w:val="007C576E"/>
    <w:rsid w:val="007C5979"/>
    <w:rsid w:val="007C5BD0"/>
    <w:rsid w:val="007C5CEC"/>
    <w:rsid w:val="007C5F4F"/>
    <w:rsid w:val="007C5F7F"/>
    <w:rsid w:val="007C601E"/>
    <w:rsid w:val="007C60FB"/>
    <w:rsid w:val="007C628A"/>
    <w:rsid w:val="007C63FB"/>
    <w:rsid w:val="007C641F"/>
    <w:rsid w:val="007C653E"/>
    <w:rsid w:val="007C6776"/>
    <w:rsid w:val="007C6A24"/>
    <w:rsid w:val="007C6AA6"/>
    <w:rsid w:val="007C6C3E"/>
    <w:rsid w:val="007C704E"/>
    <w:rsid w:val="007C72CA"/>
    <w:rsid w:val="007C73FE"/>
    <w:rsid w:val="007C744F"/>
    <w:rsid w:val="007C76F8"/>
    <w:rsid w:val="007C78AF"/>
    <w:rsid w:val="007C7B9A"/>
    <w:rsid w:val="007C7DC0"/>
    <w:rsid w:val="007D0050"/>
    <w:rsid w:val="007D00AC"/>
    <w:rsid w:val="007D015D"/>
    <w:rsid w:val="007D03D7"/>
    <w:rsid w:val="007D06E3"/>
    <w:rsid w:val="007D0928"/>
    <w:rsid w:val="007D0964"/>
    <w:rsid w:val="007D0A8F"/>
    <w:rsid w:val="007D0E08"/>
    <w:rsid w:val="007D0E27"/>
    <w:rsid w:val="007D139C"/>
    <w:rsid w:val="007D1559"/>
    <w:rsid w:val="007D1601"/>
    <w:rsid w:val="007D189E"/>
    <w:rsid w:val="007D1973"/>
    <w:rsid w:val="007D19A0"/>
    <w:rsid w:val="007D1FF7"/>
    <w:rsid w:val="007D2076"/>
    <w:rsid w:val="007D20D6"/>
    <w:rsid w:val="007D20DE"/>
    <w:rsid w:val="007D2112"/>
    <w:rsid w:val="007D23F7"/>
    <w:rsid w:val="007D24A2"/>
    <w:rsid w:val="007D25DF"/>
    <w:rsid w:val="007D26D9"/>
    <w:rsid w:val="007D2732"/>
    <w:rsid w:val="007D277E"/>
    <w:rsid w:val="007D28ED"/>
    <w:rsid w:val="007D2A6E"/>
    <w:rsid w:val="007D2F2D"/>
    <w:rsid w:val="007D30F3"/>
    <w:rsid w:val="007D34E1"/>
    <w:rsid w:val="007D36B1"/>
    <w:rsid w:val="007D3844"/>
    <w:rsid w:val="007D38AA"/>
    <w:rsid w:val="007D3A92"/>
    <w:rsid w:val="007D3AE0"/>
    <w:rsid w:val="007D42CD"/>
    <w:rsid w:val="007D42F5"/>
    <w:rsid w:val="007D436B"/>
    <w:rsid w:val="007D46E6"/>
    <w:rsid w:val="007D4703"/>
    <w:rsid w:val="007D4D70"/>
    <w:rsid w:val="007D4DA9"/>
    <w:rsid w:val="007D5359"/>
    <w:rsid w:val="007D56B3"/>
    <w:rsid w:val="007D5ADA"/>
    <w:rsid w:val="007D5B03"/>
    <w:rsid w:val="007D63D4"/>
    <w:rsid w:val="007D6548"/>
    <w:rsid w:val="007D66E5"/>
    <w:rsid w:val="007D66EF"/>
    <w:rsid w:val="007D6C57"/>
    <w:rsid w:val="007D6CF9"/>
    <w:rsid w:val="007D6E67"/>
    <w:rsid w:val="007D701B"/>
    <w:rsid w:val="007D7347"/>
    <w:rsid w:val="007D7440"/>
    <w:rsid w:val="007D75B8"/>
    <w:rsid w:val="007D7A3B"/>
    <w:rsid w:val="007D7B3A"/>
    <w:rsid w:val="007D7B4F"/>
    <w:rsid w:val="007D7FD6"/>
    <w:rsid w:val="007E0548"/>
    <w:rsid w:val="007E05B0"/>
    <w:rsid w:val="007E06F2"/>
    <w:rsid w:val="007E0792"/>
    <w:rsid w:val="007E088B"/>
    <w:rsid w:val="007E0DCA"/>
    <w:rsid w:val="007E16FA"/>
    <w:rsid w:val="007E16FD"/>
    <w:rsid w:val="007E1740"/>
    <w:rsid w:val="007E1756"/>
    <w:rsid w:val="007E17C1"/>
    <w:rsid w:val="007E194B"/>
    <w:rsid w:val="007E1F61"/>
    <w:rsid w:val="007E208D"/>
    <w:rsid w:val="007E20C4"/>
    <w:rsid w:val="007E20F8"/>
    <w:rsid w:val="007E221F"/>
    <w:rsid w:val="007E24DC"/>
    <w:rsid w:val="007E26F2"/>
    <w:rsid w:val="007E2A15"/>
    <w:rsid w:val="007E2C3B"/>
    <w:rsid w:val="007E2DD8"/>
    <w:rsid w:val="007E2DFD"/>
    <w:rsid w:val="007E2F63"/>
    <w:rsid w:val="007E302E"/>
    <w:rsid w:val="007E30E0"/>
    <w:rsid w:val="007E3331"/>
    <w:rsid w:val="007E347E"/>
    <w:rsid w:val="007E34C9"/>
    <w:rsid w:val="007E3579"/>
    <w:rsid w:val="007E39BD"/>
    <w:rsid w:val="007E3B15"/>
    <w:rsid w:val="007E3B1F"/>
    <w:rsid w:val="007E3BDA"/>
    <w:rsid w:val="007E3D4A"/>
    <w:rsid w:val="007E4086"/>
    <w:rsid w:val="007E40DA"/>
    <w:rsid w:val="007E419C"/>
    <w:rsid w:val="007E4504"/>
    <w:rsid w:val="007E4C5F"/>
    <w:rsid w:val="007E4D3F"/>
    <w:rsid w:val="007E4E1D"/>
    <w:rsid w:val="007E4E4D"/>
    <w:rsid w:val="007E53F5"/>
    <w:rsid w:val="007E5477"/>
    <w:rsid w:val="007E5731"/>
    <w:rsid w:val="007E57EE"/>
    <w:rsid w:val="007E5A74"/>
    <w:rsid w:val="007E5FCA"/>
    <w:rsid w:val="007E625D"/>
    <w:rsid w:val="007E6468"/>
    <w:rsid w:val="007E6562"/>
    <w:rsid w:val="007E6706"/>
    <w:rsid w:val="007E69BD"/>
    <w:rsid w:val="007E6B16"/>
    <w:rsid w:val="007E6BA0"/>
    <w:rsid w:val="007E6D38"/>
    <w:rsid w:val="007E710A"/>
    <w:rsid w:val="007E7B79"/>
    <w:rsid w:val="007E7E8E"/>
    <w:rsid w:val="007E7F1C"/>
    <w:rsid w:val="007E7F1D"/>
    <w:rsid w:val="007E7FED"/>
    <w:rsid w:val="007F0056"/>
    <w:rsid w:val="007F0AF3"/>
    <w:rsid w:val="007F0C47"/>
    <w:rsid w:val="007F0F20"/>
    <w:rsid w:val="007F1037"/>
    <w:rsid w:val="007F1424"/>
    <w:rsid w:val="007F16C9"/>
    <w:rsid w:val="007F17E1"/>
    <w:rsid w:val="007F1C3F"/>
    <w:rsid w:val="007F1E07"/>
    <w:rsid w:val="007F2011"/>
    <w:rsid w:val="007F2170"/>
    <w:rsid w:val="007F22A5"/>
    <w:rsid w:val="007F235B"/>
    <w:rsid w:val="007F23F2"/>
    <w:rsid w:val="007F2692"/>
    <w:rsid w:val="007F2A26"/>
    <w:rsid w:val="007F2AFE"/>
    <w:rsid w:val="007F2F04"/>
    <w:rsid w:val="007F30BB"/>
    <w:rsid w:val="007F31CE"/>
    <w:rsid w:val="007F31CF"/>
    <w:rsid w:val="007F323B"/>
    <w:rsid w:val="007F335F"/>
    <w:rsid w:val="007F365B"/>
    <w:rsid w:val="007F3964"/>
    <w:rsid w:val="007F3B5D"/>
    <w:rsid w:val="007F3F36"/>
    <w:rsid w:val="007F411C"/>
    <w:rsid w:val="007F4238"/>
    <w:rsid w:val="007F42D5"/>
    <w:rsid w:val="007F43F9"/>
    <w:rsid w:val="007F45FB"/>
    <w:rsid w:val="007F4A78"/>
    <w:rsid w:val="007F4D42"/>
    <w:rsid w:val="007F4E72"/>
    <w:rsid w:val="007F4F05"/>
    <w:rsid w:val="007F52FE"/>
    <w:rsid w:val="007F55D3"/>
    <w:rsid w:val="007F5758"/>
    <w:rsid w:val="007F5AD4"/>
    <w:rsid w:val="007F5D0E"/>
    <w:rsid w:val="007F5DFA"/>
    <w:rsid w:val="007F6898"/>
    <w:rsid w:val="007F6A88"/>
    <w:rsid w:val="007F6ED6"/>
    <w:rsid w:val="007F6F02"/>
    <w:rsid w:val="007F71DA"/>
    <w:rsid w:val="007F73AD"/>
    <w:rsid w:val="007F74D2"/>
    <w:rsid w:val="007F77AF"/>
    <w:rsid w:val="007F7A46"/>
    <w:rsid w:val="007F7A99"/>
    <w:rsid w:val="007F7B63"/>
    <w:rsid w:val="008004CA"/>
    <w:rsid w:val="00800732"/>
    <w:rsid w:val="008010D5"/>
    <w:rsid w:val="0080117F"/>
    <w:rsid w:val="0080129F"/>
    <w:rsid w:val="008014AC"/>
    <w:rsid w:val="0080151F"/>
    <w:rsid w:val="008015FB"/>
    <w:rsid w:val="008018E6"/>
    <w:rsid w:val="00801A06"/>
    <w:rsid w:val="00801C4F"/>
    <w:rsid w:val="0080219C"/>
    <w:rsid w:val="008024FE"/>
    <w:rsid w:val="008025B6"/>
    <w:rsid w:val="0080295D"/>
    <w:rsid w:val="00802A24"/>
    <w:rsid w:val="00802EA9"/>
    <w:rsid w:val="00802EC6"/>
    <w:rsid w:val="008034B3"/>
    <w:rsid w:val="008035F9"/>
    <w:rsid w:val="0080363D"/>
    <w:rsid w:val="00803656"/>
    <w:rsid w:val="00803724"/>
    <w:rsid w:val="00803765"/>
    <w:rsid w:val="008037CE"/>
    <w:rsid w:val="00803875"/>
    <w:rsid w:val="00803985"/>
    <w:rsid w:val="00803A03"/>
    <w:rsid w:val="00803B9F"/>
    <w:rsid w:val="00803D02"/>
    <w:rsid w:val="00803ED6"/>
    <w:rsid w:val="00803F06"/>
    <w:rsid w:val="00803F4F"/>
    <w:rsid w:val="0080451F"/>
    <w:rsid w:val="00804614"/>
    <w:rsid w:val="00804736"/>
    <w:rsid w:val="00804774"/>
    <w:rsid w:val="008047B3"/>
    <w:rsid w:val="00804A40"/>
    <w:rsid w:val="00804B91"/>
    <w:rsid w:val="00804CBF"/>
    <w:rsid w:val="00804DA6"/>
    <w:rsid w:val="008050EF"/>
    <w:rsid w:val="00805355"/>
    <w:rsid w:val="00805696"/>
    <w:rsid w:val="008056B6"/>
    <w:rsid w:val="0080575E"/>
    <w:rsid w:val="00805877"/>
    <w:rsid w:val="008058C4"/>
    <w:rsid w:val="0080593E"/>
    <w:rsid w:val="0080593F"/>
    <w:rsid w:val="00805EC3"/>
    <w:rsid w:val="00805FD5"/>
    <w:rsid w:val="008067F6"/>
    <w:rsid w:val="00806A4D"/>
    <w:rsid w:val="00806D52"/>
    <w:rsid w:val="00806DAE"/>
    <w:rsid w:val="00806FDC"/>
    <w:rsid w:val="00806FE4"/>
    <w:rsid w:val="00807723"/>
    <w:rsid w:val="00807737"/>
    <w:rsid w:val="008077F8"/>
    <w:rsid w:val="008078F5"/>
    <w:rsid w:val="008079FB"/>
    <w:rsid w:val="00807BE3"/>
    <w:rsid w:val="00807F11"/>
    <w:rsid w:val="0081003B"/>
    <w:rsid w:val="008100C2"/>
    <w:rsid w:val="00810571"/>
    <w:rsid w:val="00810951"/>
    <w:rsid w:val="00810AAC"/>
    <w:rsid w:val="00810B63"/>
    <w:rsid w:val="00810D9E"/>
    <w:rsid w:val="008110E0"/>
    <w:rsid w:val="0081113F"/>
    <w:rsid w:val="00811326"/>
    <w:rsid w:val="00811848"/>
    <w:rsid w:val="00811BFB"/>
    <w:rsid w:val="00811DB6"/>
    <w:rsid w:val="00811FDE"/>
    <w:rsid w:val="0081221E"/>
    <w:rsid w:val="008122B5"/>
    <w:rsid w:val="00812513"/>
    <w:rsid w:val="00812645"/>
    <w:rsid w:val="00812917"/>
    <w:rsid w:val="00812B65"/>
    <w:rsid w:val="00812CC7"/>
    <w:rsid w:val="00812CDC"/>
    <w:rsid w:val="00812EB6"/>
    <w:rsid w:val="0081379D"/>
    <w:rsid w:val="00813832"/>
    <w:rsid w:val="00813CFB"/>
    <w:rsid w:val="008142CB"/>
    <w:rsid w:val="008143FE"/>
    <w:rsid w:val="008148F5"/>
    <w:rsid w:val="008149C7"/>
    <w:rsid w:val="00814AB3"/>
    <w:rsid w:val="00814D0B"/>
    <w:rsid w:val="00814F04"/>
    <w:rsid w:val="008152B4"/>
    <w:rsid w:val="008152C1"/>
    <w:rsid w:val="00815937"/>
    <w:rsid w:val="00815C33"/>
    <w:rsid w:val="00815C6F"/>
    <w:rsid w:val="00815CA3"/>
    <w:rsid w:val="00815D97"/>
    <w:rsid w:val="0081608B"/>
    <w:rsid w:val="008160BF"/>
    <w:rsid w:val="00816222"/>
    <w:rsid w:val="0081644A"/>
    <w:rsid w:val="00816571"/>
    <w:rsid w:val="00816F13"/>
    <w:rsid w:val="0081701B"/>
    <w:rsid w:val="008173F5"/>
    <w:rsid w:val="00820038"/>
    <w:rsid w:val="0082007F"/>
    <w:rsid w:val="00820277"/>
    <w:rsid w:val="00820411"/>
    <w:rsid w:val="0082060B"/>
    <w:rsid w:val="00820996"/>
    <w:rsid w:val="00820D2C"/>
    <w:rsid w:val="00820D76"/>
    <w:rsid w:val="00820DD2"/>
    <w:rsid w:val="008213CE"/>
    <w:rsid w:val="00821458"/>
    <w:rsid w:val="0082164C"/>
    <w:rsid w:val="00821723"/>
    <w:rsid w:val="00821817"/>
    <w:rsid w:val="00821E7A"/>
    <w:rsid w:val="00821F5F"/>
    <w:rsid w:val="00821F6D"/>
    <w:rsid w:val="00821FE0"/>
    <w:rsid w:val="008228A2"/>
    <w:rsid w:val="00822C84"/>
    <w:rsid w:val="00822FAB"/>
    <w:rsid w:val="008230C1"/>
    <w:rsid w:val="00823339"/>
    <w:rsid w:val="008233C6"/>
    <w:rsid w:val="00823AEF"/>
    <w:rsid w:val="00823BA2"/>
    <w:rsid w:val="00823C81"/>
    <w:rsid w:val="00823E00"/>
    <w:rsid w:val="0082421C"/>
    <w:rsid w:val="008242DD"/>
    <w:rsid w:val="00824397"/>
    <w:rsid w:val="00824526"/>
    <w:rsid w:val="00824907"/>
    <w:rsid w:val="008249AA"/>
    <w:rsid w:val="00824B4D"/>
    <w:rsid w:val="00824D65"/>
    <w:rsid w:val="00824F4B"/>
    <w:rsid w:val="008251FA"/>
    <w:rsid w:val="00825233"/>
    <w:rsid w:val="00825266"/>
    <w:rsid w:val="008254D6"/>
    <w:rsid w:val="00825547"/>
    <w:rsid w:val="008256A7"/>
    <w:rsid w:val="00825B2B"/>
    <w:rsid w:val="00825C40"/>
    <w:rsid w:val="0082603C"/>
    <w:rsid w:val="008261C6"/>
    <w:rsid w:val="00826468"/>
    <w:rsid w:val="00826656"/>
    <w:rsid w:val="008268FA"/>
    <w:rsid w:val="00826ACA"/>
    <w:rsid w:val="00826D57"/>
    <w:rsid w:val="00826E48"/>
    <w:rsid w:val="00826ED2"/>
    <w:rsid w:val="00827591"/>
    <w:rsid w:val="00827882"/>
    <w:rsid w:val="00827C5E"/>
    <w:rsid w:val="00827EE9"/>
    <w:rsid w:val="00830929"/>
    <w:rsid w:val="00830B63"/>
    <w:rsid w:val="00830DF3"/>
    <w:rsid w:val="00830E62"/>
    <w:rsid w:val="008311DE"/>
    <w:rsid w:val="008311FE"/>
    <w:rsid w:val="0083158E"/>
    <w:rsid w:val="00831770"/>
    <w:rsid w:val="008318D7"/>
    <w:rsid w:val="00831AEB"/>
    <w:rsid w:val="00831C4B"/>
    <w:rsid w:val="00831D29"/>
    <w:rsid w:val="00831F3F"/>
    <w:rsid w:val="00832102"/>
    <w:rsid w:val="00832136"/>
    <w:rsid w:val="0083232D"/>
    <w:rsid w:val="00832417"/>
    <w:rsid w:val="00832688"/>
    <w:rsid w:val="008326C5"/>
    <w:rsid w:val="008327F7"/>
    <w:rsid w:val="00832A5E"/>
    <w:rsid w:val="00832A9C"/>
    <w:rsid w:val="00832C49"/>
    <w:rsid w:val="00832D1F"/>
    <w:rsid w:val="008330CF"/>
    <w:rsid w:val="008333B6"/>
    <w:rsid w:val="008334DC"/>
    <w:rsid w:val="00833608"/>
    <w:rsid w:val="00833A3E"/>
    <w:rsid w:val="00833EF9"/>
    <w:rsid w:val="00834458"/>
    <w:rsid w:val="008345C2"/>
    <w:rsid w:val="008346FF"/>
    <w:rsid w:val="00834824"/>
    <w:rsid w:val="008348A2"/>
    <w:rsid w:val="00834C8D"/>
    <w:rsid w:val="00834E05"/>
    <w:rsid w:val="00834FBF"/>
    <w:rsid w:val="0083521D"/>
    <w:rsid w:val="00835374"/>
    <w:rsid w:val="0083558A"/>
    <w:rsid w:val="008356E3"/>
    <w:rsid w:val="00835899"/>
    <w:rsid w:val="008358A8"/>
    <w:rsid w:val="00835C3C"/>
    <w:rsid w:val="00835EB6"/>
    <w:rsid w:val="008360A9"/>
    <w:rsid w:val="0083616B"/>
    <w:rsid w:val="00836288"/>
    <w:rsid w:val="00836528"/>
    <w:rsid w:val="0083656B"/>
    <w:rsid w:val="00836790"/>
    <w:rsid w:val="008368D7"/>
    <w:rsid w:val="00836AAC"/>
    <w:rsid w:val="00836CA1"/>
    <w:rsid w:val="00836E56"/>
    <w:rsid w:val="00836EBA"/>
    <w:rsid w:val="00837034"/>
    <w:rsid w:val="00837375"/>
    <w:rsid w:val="008373BD"/>
    <w:rsid w:val="0083775B"/>
    <w:rsid w:val="00837782"/>
    <w:rsid w:val="00837872"/>
    <w:rsid w:val="00837892"/>
    <w:rsid w:val="00837BC5"/>
    <w:rsid w:val="00837BEB"/>
    <w:rsid w:val="00837D49"/>
    <w:rsid w:val="00837E21"/>
    <w:rsid w:val="00837F5E"/>
    <w:rsid w:val="0084000E"/>
    <w:rsid w:val="008400FB"/>
    <w:rsid w:val="00840256"/>
    <w:rsid w:val="008403AE"/>
    <w:rsid w:val="0084043F"/>
    <w:rsid w:val="008404BD"/>
    <w:rsid w:val="008404EF"/>
    <w:rsid w:val="008406C1"/>
    <w:rsid w:val="00840E7A"/>
    <w:rsid w:val="00840E97"/>
    <w:rsid w:val="00840F0C"/>
    <w:rsid w:val="00840F52"/>
    <w:rsid w:val="008410F1"/>
    <w:rsid w:val="00841129"/>
    <w:rsid w:val="00841862"/>
    <w:rsid w:val="008419B6"/>
    <w:rsid w:val="008419F1"/>
    <w:rsid w:val="00841AF5"/>
    <w:rsid w:val="00841DB5"/>
    <w:rsid w:val="00842B5B"/>
    <w:rsid w:val="00842EBA"/>
    <w:rsid w:val="00843211"/>
    <w:rsid w:val="0084341C"/>
    <w:rsid w:val="0084341D"/>
    <w:rsid w:val="008434BE"/>
    <w:rsid w:val="008435CF"/>
    <w:rsid w:val="00843787"/>
    <w:rsid w:val="0084382B"/>
    <w:rsid w:val="0084387B"/>
    <w:rsid w:val="008443F5"/>
    <w:rsid w:val="0084465D"/>
    <w:rsid w:val="008446A9"/>
    <w:rsid w:val="0084470C"/>
    <w:rsid w:val="008447D1"/>
    <w:rsid w:val="00844832"/>
    <w:rsid w:val="00844AA9"/>
    <w:rsid w:val="00844AFD"/>
    <w:rsid w:val="0084511E"/>
    <w:rsid w:val="00845389"/>
    <w:rsid w:val="008453A5"/>
    <w:rsid w:val="00845571"/>
    <w:rsid w:val="00845626"/>
    <w:rsid w:val="008457FB"/>
    <w:rsid w:val="008458C3"/>
    <w:rsid w:val="00845A4C"/>
    <w:rsid w:val="00845FA9"/>
    <w:rsid w:val="00846067"/>
    <w:rsid w:val="00846074"/>
    <w:rsid w:val="008460DF"/>
    <w:rsid w:val="008460F7"/>
    <w:rsid w:val="008464D9"/>
    <w:rsid w:val="008465FD"/>
    <w:rsid w:val="00846698"/>
    <w:rsid w:val="00846BB0"/>
    <w:rsid w:val="00846EF0"/>
    <w:rsid w:val="00847339"/>
    <w:rsid w:val="00847353"/>
    <w:rsid w:val="00847390"/>
    <w:rsid w:val="0084770C"/>
    <w:rsid w:val="0084783C"/>
    <w:rsid w:val="0084786E"/>
    <w:rsid w:val="0084793B"/>
    <w:rsid w:val="0084798B"/>
    <w:rsid w:val="00847DAA"/>
    <w:rsid w:val="00847FA2"/>
    <w:rsid w:val="008500FA"/>
    <w:rsid w:val="00850201"/>
    <w:rsid w:val="008505A0"/>
    <w:rsid w:val="00850620"/>
    <w:rsid w:val="00850960"/>
    <w:rsid w:val="00850B53"/>
    <w:rsid w:val="00850B7D"/>
    <w:rsid w:val="00850DFB"/>
    <w:rsid w:val="00850FA9"/>
    <w:rsid w:val="008511B9"/>
    <w:rsid w:val="0085122B"/>
    <w:rsid w:val="008515DE"/>
    <w:rsid w:val="00851631"/>
    <w:rsid w:val="00851640"/>
    <w:rsid w:val="00851DBF"/>
    <w:rsid w:val="0085238D"/>
    <w:rsid w:val="00852424"/>
    <w:rsid w:val="008524CB"/>
    <w:rsid w:val="0085278C"/>
    <w:rsid w:val="00852EC9"/>
    <w:rsid w:val="008532B6"/>
    <w:rsid w:val="00853307"/>
    <w:rsid w:val="00853583"/>
    <w:rsid w:val="008536FD"/>
    <w:rsid w:val="00853786"/>
    <w:rsid w:val="008539D2"/>
    <w:rsid w:val="00853CDC"/>
    <w:rsid w:val="00853CE7"/>
    <w:rsid w:val="00853EEB"/>
    <w:rsid w:val="00853F01"/>
    <w:rsid w:val="00853FE2"/>
    <w:rsid w:val="00854124"/>
    <w:rsid w:val="00854334"/>
    <w:rsid w:val="008543E0"/>
    <w:rsid w:val="008543F1"/>
    <w:rsid w:val="00854471"/>
    <w:rsid w:val="00854A2F"/>
    <w:rsid w:val="00854BA0"/>
    <w:rsid w:val="00854DE5"/>
    <w:rsid w:val="008550B3"/>
    <w:rsid w:val="00855296"/>
    <w:rsid w:val="00855317"/>
    <w:rsid w:val="008553BA"/>
    <w:rsid w:val="00855451"/>
    <w:rsid w:val="008554BA"/>
    <w:rsid w:val="00855A82"/>
    <w:rsid w:val="00855F78"/>
    <w:rsid w:val="0085632C"/>
    <w:rsid w:val="008566D3"/>
    <w:rsid w:val="0085679A"/>
    <w:rsid w:val="00856CB1"/>
    <w:rsid w:val="0085702D"/>
    <w:rsid w:val="00857064"/>
    <w:rsid w:val="00857338"/>
    <w:rsid w:val="00857E90"/>
    <w:rsid w:val="00857F63"/>
    <w:rsid w:val="00860870"/>
    <w:rsid w:val="008608A2"/>
    <w:rsid w:val="00860B09"/>
    <w:rsid w:val="0086131B"/>
    <w:rsid w:val="008614BB"/>
    <w:rsid w:val="00861709"/>
    <w:rsid w:val="0086182C"/>
    <w:rsid w:val="008619E9"/>
    <w:rsid w:val="00861C26"/>
    <w:rsid w:val="00861D3B"/>
    <w:rsid w:val="00861F8E"/>
    <w:rsid w:val="00861F99"/>
    <w:rsid w:val="00862191"/>
    <w:rsid w:val="00862386"/>
    <w:rsid w:val="008623ED"/>
    <w:rsid w:val="00862506"/>
    <w:rsid w:val="0086263B"/>
    <w:rsid w:val="00862693"/>
    <w:rsid w:val="00862770"/>
    <w:rsid w:val="0086282A"/>
    <w:rsid w:val="00862A89"/>
    <w:rsid w:val="00862A8D"/>
    <w:rsid w:val="00862FC3"/>
    <w:rsid w:val="0086315B"/>
    <w:rsid w:val="0086324C"/>
    <w:rsid w:val="008633CE"/>
    <w:rsid w:val="00863733"/>
    <w:rsid w:val="0086377E"/>
    <w:rsid w:val="00863977"/>
    <w:rsid w:val="0086399B"/>
    <w:rsid w:val="00863F8A"/>
    <w:rsid w:val="0086400D"/>
    <w:rsid w:val="008641B9"/>
    <w:rsid w:val="00864289"/>
    <w:rsid w:val="00864461"/>
    <w:rsid w:val="008644B1"/>
    <w:rsid w:val="0086461A"/>
    <w:rsid w:val="008647CA"/>
    <w:rsid w:val="00864850"/>
    <w:rsid w:val="008648DC"/>
    <w:rsid w:val="0086490B"/>
    <w:rsid w:val="0086492D"/>
    <w:rsid w:val="00864E26"/>
    <w:rsid w:val="008650F7"/>
    <w:rsid w:val="00865324"/>
    <w:rsid w:val="0086539A"/>
    <w:rsid w:val="008655A9"/>
    <w:rsid w:val="00865753"/>
    <w:rsid w:val="0086584C"/>
    <w:rsid w:val="00865A1C"/>
    <w:rsid w:val="00865A58"/>
    <w:rsid w:val="00865A8A"/>
    <w:rsid w:val="00865E20"/>
    <w:rsid w:val="0086601B"/>
    <w:rsid w:val="008661D1"/>
    <w:rsid w:val="00866421"/>
    <w:rsid w:val="00866717"/>
    <w:rsid w:val="008669D9"/>
    <w:rsid w:val="00866EB4"/>
    <w:rsid w:val="008670C4"/>
    <w:rsid w:val="00867500"/>
    <w:rsid w:val="0086752F"/>
    <w:rsid w:val="00867C22"/>
    <w:rsid w:val="00867E43"/>
    <w:rsid w:val="00870035"/>
    <w:rsid w:val="00870707"/>
    <w:rsid w:val="008707FF"/>
    <w:rsid w:val="00870944"/>
    <w:rsid w:val="00870ADB"/>
    <w:rsid w:val="0087102A"/>
    <w:rsid w:val="008712F8"/>
    <w:rsid w:val="00871696"/>
    <w:rsid w:val="0087195C"/>
    <w:rsid w:val="00871A3D"/>
    <w:rsid w:val="00871B14"/>
    <w:rsid w:val="00871CEA"/>
    <w:rsid w:val="00871EDD"/>
    <w:rsid w:val="00872599"/>
    <w:rsid w:val="008727D0"/>
    <w:rsid w:val="00872AA4"/>
    <w:rsid w:val="00872BC5"/>
    <w:rsid w:val="00872E20"/>
    <w:rsid w:val="00872ECA"/>
    <w:rsid w:val="00873487"/>
    <w:rsid w:val="0087363B"/>
    <w:rsid w:val="0087367E"/>
    <w:rsid w:val="00873ADE"/>
    <w:rsid w:val="00873D42"/>
    <w:rsid w:val="00873E12"/>
    <w:rsid w:val="0087452D"/>
    <w:rsid w:val="00874B0A"/>
    <w:rsid w:val="00874D22"/>
    <w:rsid w:val="00874E16"/>
    <w:rsid w:val="0087542D"/>
    <w:rsid w:val="008757AB"/>
    <w:rsid w:val="00875A73"/>
    <w:rsid w:val="00875CB5"/>
    <w:rsid w:val="00875D9C"/>
    <w:rsid w:val="008762C0"/>
    <w:rsid w:val="008765B1"/>
    <w:rsid w:val="008769C1"/>
    <w:rsid w:val="0087759C"/>
    <w:rsid w:val="00877612"/>
    <w:rsid w:val="008777F3"/>
    <w:rsid w:val="00877B10"/>
    <w:rsid w:val="00877C3D"/>
    <w:rsid w:val="00877CEA"/>
    <w:rsid w:val="00880255"/>
    <w:rsid w:val="0088026B"/>
    <w:rsid w:val="008804DE"/>
    <w:rsid w:val="00880B73"/>
    <w:rsid w:val="00880E78"/>
    <w:rsid w:val="0088111F"/>
    <w:rsid w:val="008811BA"/>
    <w:rsid w:val="0088138B"/>
    <w:rsid w:val="008817B0"/>
    <w:rsid w:val="00881888"/>
    <w:rsid w:val="00881E21"/>
    <w:rsid w:val="0088218C"/>
    <w:rsid w:val="00882222"/>
    <w:rsid w:val="00882289"/>
    <w:rsid w:val="008823DE"/>
    <w:rsid w:val="0088250B"/>
    <w:rsid w:val="0088253E"/>
    <w:rsid w:val="00882C0E"/>
    <w:rsid w:val="00882CAC"/>
    <w:rsid w:val="008832E2"/>
    <w:rsid w:val="00883340"/>
    <w:rsid w:val="00883624"/>
    <w:rsid w:val="008837B2"/>
    <w:rsid w:val="00883F0A"/>
    <w:rsid w:val="008841ED"/>
    <w:rsid w:val="0088431B"/>
    <w:rsid w:val="008843DB"/>
    <w:rsid w:val="008844DF"/>
    <w:rsid w:val="00884A3A"/>
    <w:rsid w:val="00884E11"/>
    <w:rsid w:val="00884EF3"/>
    <w:rsid w:val="00884EFD"/>
    <w:rsid w:val="008851EF"/>
    <w:rsid w:val="00885393"/>
    <w:rsid w:val="00885581"/>
    <w:rsid w:val="00885642"/>
    <w:rsid w:val="008858CB"/>
    <w:rsid w:val="00885B63"/>
    <w:rsid w:val="00885BF2"/>
    <w:rsid w:val="00885E12"/>
    <w:rsid w:val="008861FA"/>
    <w:rsid w:val="008863E7"/>
    <w:rsid w:val="008867F4"/>
    <w:rsid w:val="0088682B"/>
    <w:rsid w:val="00886A48"/>
    <w:rsid w:val="00886B9E"/>
    <w:rsid w:val="00886D16"/>
    <w:rsid w:val="00886EAE"/>
    <w:rsid w:val="00886F6D"/>
    <w:rsid w:val="0088751D"/>
    <w:rsid w:val="00887E9F"/>
    <w:rsid w:val="0089017F"/>
    <w:rsid w:val="0089046D"/>
    <w:rsid w:val="008904B2"/>
    <w:rsid w:val="008905FE"/>
    <w:rsid w:val="008908D8"/>
    <w:rsid w:val="008909AE"/>
    <w:rsid w:val="00890E8B"/>
    <w:rsid w:val="00890F60"/>
    <w:rsid w:val="00890FF0"/>
    <w:rsid w:val="00891253"/>
    <w:rsid w:val="00891452"/>
    <w:rsid w:val="00891560"/>
    <w:rsid w:val="00891726"/>
    <w:rsid w:val="00891DDB"/>
    <w:rsid w:val="00891F74"/>
    <w:rsid w:val="008922C6"/>
    <w:rsid w:val="00892445"/>
    <w:rsid w:val="00892485"/>
    <w:rsid w:val="0089256C"/>
    <w:rsid w:val="00892A02"/>
    <w:rsid w:val="00892CEC"/>
    <w:rsid w:val="0089316E"/>
    <w:rsid w:val="008931E8"/>
    <w:rsid w:val="008933EC"/>
    <w:rsid w:val="008936AF"/>
    <w:rsid w:val="0089392D"/>
    <w:rsid w:val="008939A6"/>
    <w:rsid w:val="00893AFA"/>
    <w:rsid w:val="00894056"/>
    <w:rsid w:val="00894123"/>
    <w:rsid w:val="00894297"/>
    <w:rsid w:val="008943C9"/>
    <w:rsid w:val="008946B6"/>
    <w:rsid w:val="00894D0C"/>
    <w:rsid w:val="0089500B"/>
    <w:rsid w:val="008952AD"/>
    <w:rsid w:val="008954DE"/>
    <w:rsid w:val="00895528"/>
    <w:rsid w:val="008957D4"/>
    <w:rsid w:val="008957FD"/>
    <w:rsid w:val="00895A22"/>
    <w:rsid w:val="00895A96"/>
    <w:rsid w:val="008961C3"/>
    <w:rsid w:val="008961DD"/>
    <w:rsid w:val="00896314"/>
    <w:rsid w:val="008966A8"/>
    <w:rsid w:val="00896A02"/>
    <w:rsid w:val="00896A51"/>
    <w:rsid w:val="00896C92"/>
    <w:rsid w:val="00896E3B"/>
    <w:rsid w:val="0089720B"/>
    <w:rsid w:val="008972BF"/>
    <w:rsid w:val="008972DB"/>
    <w:rsid w:val="00897722"/>
    <w:rsid w:val="00897942"/>
    <w:rsid w:val="00897D45"/>
    <w:rsid w:val="00897F2C"/>
    <w:rsid w:val="008A03C2"/>
    <w:rsid w:val="008A0501"/>
    <w:rsid w:val="008A0541"/>
    <w:rsid w:val="008A06BE"/>
    <w:rsid w:val="008A0AED"/>
    <w:rsid w:val="008A12C4"/>
    <w:rsid w:val="008A1320"/>
    <w:rsid w:val="008A1386"/>
    <w:rsid w:val="008A1553"/>
    <w:rsid w:val="008A160B"/>
    <w:rsid w:val="008A1A1F"/>
    <w:rsid w:val="008A1A6F"/>
    <w:rsid w:val="008A1C71"/>
    <w:rsid w:val="008A1DCB"/>
    <w:rsid w:val="008A2807"/>
    <w:rsid w:val="008A2914"/>
    <w:rsid w:val="008A29DC"/>
    <w:rsid w:val="008A2A9A"/>
    <w:rsid w:val="008A31BA"/>
    <w:rsid w:val="008A31DC"/>
    <w:rsid w:val="008A3611"/>
    <w:rsid w:val="008A375D"/>
    <w:rsid w:val="008A3BA8"/>
    <w:rsid w:val="008A3F52"/>
    <w:rsid w:val="008A4305"/>
    <w:rsid w:val="008A484D"/>
    <w:rsid w:val="008A4A93"/>
    <w:rsid w:val="008A4E97"/>
    <w:rsid w:val="008A4F32"/>
    <w:rsid w:val="008A50E4"/>
    <w:rsid w:val="008A533C"/>
    <w:rsid w:val="008A53EE"/>
    <w:rsid w:val="008A54DE"/>
    <w:rsid w:val="008A5762"/>
    <w:rsid w:val="008A5D88"/>
    <w:rsid w:val="008A5E19"/>
    <w:rsid w:val="008A60C1"/>
    <w:rsid w:val="008A67B2"/>
    <w:rsid w:val="008A6CA6"/>
    <w:rsid w:val="008A6CD6"/>
    <w:rsid w:val="008A6EC1"/>
    <w:rsid w:val="008A6F25"/>
    <w:rsid w:val="008A6F84"/>
    <w:rsid w:val="008A72A4"/>
    <w:rsid w:val="008A72B5"/>
    <w:rsid w:val="008A74A6"/>
    <w:rsid w:val="008A78D1"/>
    <w:rsid w:val="008A7981"/>
    <w:rsid w:val="008A7F7C"/>
    <w:rsid w:val="008B0013"/>
    <w:rsid w:val="008B0559"/>
    <w:rsid w:val="008B0566"/>
    <w:rsid w:val="008B088A"/>
    <w:rsid w:val="008B0B61"/>
    <w:rsid w:val="008B0BB2"/>
    <w:rsid w:val="008B0CE7"/>
    <w:rsid w:val="008B0F78"/>
    <w:rsid w:val="008B1199"/>
    <w:rsid w:val="008B1222"/>
    <w:rsid w:val="008B12EE"/>
    <w:rsid w:val="008B1874"/>
    <w:rsid w:val="008B19E7"/>
    <w:rsid w:val="008B1B9D"/>
    <w:rsid w:val="008B1D00"/>
    <w:rsid w:val="008B1E7A"/>
    <w:rsid w:val="008B210E"/>
    <w:rsid w:val="008B22A3"/>
    <w:rsid w:val="008B2DC9"/>
    <w:rsid w:val="008B2F84"/>
    <w:rsid w:val="008B3139"/>
    <w:rsid w:val="008B31C9"/>
    <w:rsid w:val="008B358E"/>
    <w:rsid w:val="008B35FF"/>
    <w:rsid w:val="008B36AF"/>
    <w:rsid w:val="008B3AC3"/>
    <w:rsid w:val="008B3DD0"/>
    <w:rsid w:val="008B3FA1"/>
    <w:rsid w:val="008B41D5"/>
    <w:rsid w:val="008B4331"/>
    <w:rsid w:val="008B446C"/>
    <w:rsid w:val="008B4B23"/>
    <w:rsid w:val="008B4BA2"/>
    <w:rsid w:val="008B4F79"/>
    <w:rsid w:val="008B4FE8"/>
    <w:rsid w:val="008B5091"/>
    <w:rsid w:val="008B5407"/>
    <w:rsid w:val="008B55C8"/>
    <w:rsid w:val="008B5687"/>
    <w:rsid w:val="008B5A19"/>
    <w:rsid w:val="008B5D76"/>
    <w:rsid w:val="008B5E98"/>
    <w:rsid w:val="008B5EF9"/>
    <w:rsid w:val="008B60D3"/>
    <w:rsid w:val="008B625F"/>
    <w:rsid w:val="008B6846"/>
    <w:rsid w:val="008B6E97"/>
    <w:rsid w:val="008B6F70"/>
    <w:rsid w:val="008B7399"/>
    <w:rsid w:val="008B7CB9"/>
    <w:rsid w:val="008B7FDB"/>
    <w:rsid w:val="008C01D8"/>
    <w:rsid w:val="008C0236"/>
    <w:rsid w:val="008C07F5"/>
    <w:rsid w:val="008C11E5"/>
    <w:rsid w:val="008C1532"/>
    <w:rsid w:val="008C1576"/>
    <w:rsid w:val="008C18D1"/>
    <w:rsid w:val="008C1E7C"/>
    <w:rsid w:val="008C22CA"/>
    <w:rsid w:val="008C2370"/>
    <w:rsid w:val="008C297D"/>
    <w:rsid w:val="008C2998"/>
    <w:rsid w:val="008C2B7C"/>
    <w:rsid w:val="008C2E6D"/>
    <w:rsid w:val="008C30A2"/>
    <w:rsid w:val="008C314B"/>
    <w:rsid w:val="008C325B"/>
    <w:rsid w:val="008C33E7"/>
    <w:rsid w:val="008C3D8A"/>
    <w:rsid w:val="008C3E55"/>
    <w:rsid w:val="008C4179"/>
    <w:rsid w:val="008C42B8"/>
    <w:rsid w:val="008C4A8C"/>
    <w:rsid w:val="008C4B2B"/>
    <w:rsid w:val="008C4C01"/>
    <w:rsid w:val="008C4E30"/>
    <w:rsid w:val="008C5179"/>
    <w:rsid w:val="008C5350"/>
    <w:rsid w:val="008C5863"/>
    <w:rsid w:val="008C5FAD"/>
    <w:rsid w:val="008C61E7"/>
    <w:rsid w:val="008C65AD"/>
    <w:rsid w:val="008C6673"/>
    <w:rsid w:val="008C6933"/>
    <w:rsid w:val="008C6987"/>
    <w:rsid w:val="008C6A42"/>
    <w:rsid w:val="008C6B36"/>
    <w:rsid w:val="008C723E"/>
    <w:rsid w:val="008C7341"/>
    <w:rsid w:val="008C7382"/>
    <w:rsid w:val="008C74CE"/>
    <w:rsid w:val="008C757B"/>
    <w:rsid w:val="008C7829"/>
    <w:rsid w:val="008C7B1F"/>
    <w:rsid w:val="008C7EC5"/>
    <w:rsid w:val="008D038C"/>
    <w:rsid w:val="008D04C3"/>
    <w:rsid w:val="008D06BA"/>
    <w:rsid w:val="008D0EA0"/>
    <w:rsid w:val="008D0F4A"/>
    <w:rsid w:val="008D1021"/>
    <w:rsid w:val="008D10BD"/>
    <w:rsid w:val="008D10C1"/>
    <w:rsid w:val="008D183F"/>
    <w:rsid w:val="008D1B9F"/>
    <w:rsid w:val="008D1DA6"/>
    <w:rsid w:val="008D2056"/>
    <w:rsid w:val="008D23AB"/>
    <w:rsid w:val="008D264E"/>
    <w:rsid w:val="008D29CC"/>
    <w:rsid w:val="008D2A55"/>
    <w:rsid w:val="008D319E"/>
    <w:rsid w:val="008D3374"/>
    <w:rsid w:val="008D3383"/>
    <w:rsid w:val="008D34B4"/>
    <w:rsid w:val="008D3558"/>
    <w:rsid w:val="008D363C"/>
    <w:rsid w:val="008D372D"/>
    <w:rsid w:val="008D39A7"/>
    <w:rsid w:val="008D3A09"/>
    <w:rsid w:val="008D3B3D"/>
    <w:rsid w:val="008D3CB8"/>
    <w:rsid w:val="008D3D64"/>
    <w:rsid w:val="008D3DBA"/>
    <w:rsid w:val="008D3F78"/>
    <w:rsid w:val="008D417D"/>
    <w:rsid w:val="008D43FD"/>
    <w:rsid w:val="008D4638"/>
    <w:rsid w:val="008D467A"/>
    <w:rsid w:val="008D477F"/>
    <w:rsid w:val="008D47C4"/>
    <w:rsid w:val="008D49EC"/>
    <w:rsid w:val="008D49FE"/>
    <w:rsid w:val="008D4CE2"/>
    <w:rsid w:val="008D4D77"/>
    <w:rsid w:val="008D4DE5"/>
    <w:rsid w:val="008D50DD"/>
    <w:rsid w:val="008D5174"/>
    <w:rsid w:val="008D5185"/>
    <w:rsid w:val="008D519F"/>
    <w:rsid w:val="008D5261"/>
    <w:rsid w:val="008D5424"/>
    <w:rsid w:val="008D54C1"/>
    <w:rsid w:val="008D54D4"/>
    <w:rsid w:val="008D5522"/>
    <w:rsid w:val="008D560B"/>
    <w:rsid w:val="008D5696"/>
    <w:rsid w:val="008D5F2B"/>
    <w:rsid w:val="008D5FD1"/>
    <w:rsid w:val="008D604C"/>
    <w:rsid w:val="008D61BE"/>
    <w:rsid w:val="008D6300"/>
    <w:rsid w:val="008D648D"/>
    <w:rsid w:val="008D6659"/>
    <w:rsid w:val="008D665D"/>
    <w:rsid w:val="008D6FBD"/>
    <w:rsid w:val="008D7258"/>
    <w:rsid w:val="008D7577"/>
    <w:rsid w:val="008D76F0"/>
    <w:rsid w:val="008D7800"/>
    <w:rsid w:val="008D7D49"/>
    <w:rsid w:val="008D7EC1"/>
    <w:rsid w:val="008E003A"/>
    <w:rsid w:val="008E00EB"/>
    <w:rsid w:val="008E0945"/>
    <w:rsid w:val="008E0A65"/>
    <w:rsid w:val="008E0BD2"/>
    <w:rsid w:val="008E0D71"/>
    <w:rsid w:val="008E13B5"/>
    <w:rsid w:val="008E186F"/>
    <w:rsid w:val="008E19F7"/>
    <w:rsid w:val="008E1E56"/>
    <w:rsid w:val="008E1E95"/>
    <w:rsid w:val="008E1F82"/>
    <w:rsid w:val="008E1FFF"/>
    <w:rsid w:val="008E2068"/>
    <w:rsid w:val="008E21A7"/>
    <w:rsid w:val="008E2287"/>
    <w:rsid w:val="008E251E"/>
    <w:rsid w:val="008E27A3"/>
    <w:rsid w:val="008E288D"/>
    <w:rsid w:val="008E298C"/>
    <w:rsid w:val="008E2A01"/>
    <w:rsid w:val="008E2B6A"/>
    <w:rsid w:val="008E2D8E"/>
    <w:rsid w:val="008E2E12"/>
    <w:rsid w:val="008E2E71"/>
    <w:rsid w:val="008E3179"/>
    <w:rsid w:val="008E3240"/>
    <w:rsid w:val="008E3540"/>
    <w:rsid w:val="008E360D"/>
    <w:rsid w:val="008E36EF"/>
    <w:rsid w:val="008E3AD3"/>
    <w:rsid w:val="008E402E"/>
    <w:rsid w:val="008E4194"/>
    <w:rsid w:val="008E434A"/>
    <w:rsid w:val="008E4435"/>
    <w:rsid w:val="008E46BC"/>
    <w:rsid w:val="008E48EB"/>
    <w:rsid w:val="008E4D8E"/>
    <w:rsid w:val="008E4FB5"/>
    <w:rsid w:val="008E534F"/>
    <w:rsid w:val="008E56A3"/>
    <w:rsid w:val="008E574D"/>
    <w:rsid w:val="008E5B6B"/>
    <w:rsid w:val="008E6181"/>
    <w:rsid w:val="008E63D9"/>
    <w:rsid w:val="008E656F"/>
    <w:rsid w:val="008E65D5"/>
    <w:rsid w:val="008E6913"/>
    <w:rsid w:val="008E6926"/>
    <w:rsid w:val="008E6A67"/>
    <w:rsid w:val="008E6ADF"/>
    <w:rsid w:val="008E6C98"/>
    <w:rsid w:val="008E6CC5"/>
    <w:rsid w:val="008E6E6F"/>
    <w:rsid w:val="008E6F33"/>
    <w:rsid w:val="008E7591"/>
    <w:rsid w:val="008E75CC"/>
    <w:rsid w:val="008E75E3"/>
    <w:rsid w:val="008E7A28"/>
    <w:rsid w:val="008E7A6B"/>
    <w:rsid w:val="008E7CBD"/>
    <w:rsid w:val="008E7DE3"/>
    <w:rsid w:val="008F0171"/>
    <w:rsid w:val="008F02ED"/>
    <w:rsid w:val="008F04E1"/>
    <w:rsid w:val="008F06EA"/>
    <w:rsid w:val="008F0703"/>
    <w:rsid w:val="008F0988"/>
    <w:rsid w:val="008F0BDA"/>
    <w:rsid w:val="008F0FC6"/>
    <w:rsid w:val="008F10D5"/>
    <w:rsid w:val="008F12F2"/>
    <w:rsid w:val="008F13B8"/>
    <w:rsid w:val="008F1463"/>
    <w:rsid w:val="008F151F"/>
    <w:rsid w:val="008F179C"/>
    <w:rsid w:val="008F198F"/>
    <w:rsid w:val="008F1AE4"/>
    <w:rsid w:val="008F2556"/>
    <w:rsid w:val="008F26C6"/>
    <w:rsid w:val="008F293A"/>
    <w:rsid w:val="008F2F76"/>
    <w:rsid w:val="008F32DA"/>
    <w:rsid w:val="008F32F4"/>
    <w:rsid w:val="008F333A"/>
    <w:rsid w:val="008F3603"/>
    <w:rsid w:val="008F36CC"/>
    <w:rsid w:val="008F3ABC"/>
    <w:rsid w:val="008F3CFB"/>
    <w:rsid w:val="008F3D19"/>
    <w:rsid w:val="008F4089"/>
    <w:rsid w:val="008F408C"/>
    <w:rsid w:val="008F4213"/>
    <w:rsid w:val="008F450F"/>
    <w:rsid w:val="008F4793"/>
    <w:rsid w:val="008F4EC4"/>
    <w:rsid w:val="008F54B6"/>
    <w:rsid w:val="008F570E"/>
    <w:rsid w:val="008F5839"/>
    <w:rsid w:val="008F59D1"/>
    <w:rsid w:val="008F5B4D"/>
    <w:rsid w:val="008F5B77"/>
    <w:rsid w:val="008F5C13"/>
    <w:rsid w:val="008F5D87"/>
    <w:rsid w:val="008F5EBD"/>
    <w:rsid w:val="008F5FFA"/>
    <w:rsid w:val="008F6200"/>
    <w:rsid w:val="008F62F8"/>
    <w:rsid w:val="008F6344"/>
    <w:rsid w:val="008F64F5"/>
    <w:rsid w:val="008F68C5"/>
    <w:rsid w:val="008F6B64"/>
    <w:rsid w:val="008F6D97"/>
    <w:rsid w:val="008F6F4A"/>
    <w:rsid w:val="008F7180"/>
    <w:rsid w:val="008F74C4"/>
    <w:rsid w:val="008F7A38"/>
    <w:rsid w:val="008F7EC5"/>
    <w:rsid w:val="008F7F23"/>
    <w:rsid w:val="008F7FFB"/>
    <w:rsid w:val="00900028"/>
    <w:rsid w:val="0090006E"/>
    <w:rsid w:val="009000A9"/>
    <w:rsid w:val="00900794"/>
    <w:rsid w:val="00900994"/>
    <w:rsid w:val="00900C64"/>
    <w:rsid w:val="009012BE"/>
    <w:rsid w:val="00901352"/>
    <w:rsid w:val="00901490"/>
    <w:rsid w:val="00901656"/>
    <w:rsid w:val="009017FB"/>
    <w:rsid w:val="00901962"/>
    <w:rsid w:val="0090273F"/>
    <w:rsid w:val="0090286E"/>
    <w:rsid w:val="00902882"/>
    <w:rsid w:val="00902AB5"/>
    <w:rsid w:val="00902C93"/>
    <w:rsid w:val="00902D9C"/>
    <w:rsid w:val="00902DBD"/>
    <w:rsid w:val="00902DCA"/>
    <w:rsid w:val="009030E0"/>
    <w:rsid w:val="00903220"/>
    <w:rsid w:val="00903447"/>
    <w:rsid w:val="0090348E"/>
    <w:rsid w:val="009034A4"/>
    <w:rsid w:val="0090355E"/>
    <w:rsid w:val="0090371B"/>
    <w:rsid w:val="009039DC"/>
    <w:rsid w:val="00903C03"/>
    <w:rsid w:val="00903C50"/>
    <w:rsid w:val="00903E88"/>
    <w:rsid w:val="0090401B"/>
    <w:rsid w:val="009040C2"/>
    <w:rsid w:val="009041E2"/>
    <w:rsid w:val="00904304"/>
    <w:rsid w:val="009043E4"/>
    <w:rsid w:val="0090443A"/>
    <w:rsid w:val="0090460F"/>
    <w:rsid w:val="00904698"/>
    <w:rsid w:val="0090480D"/>
    <w:rsid w:val="00904B38"/>
    <w:rsid w:val="00905395"/>
    <w:rsid w:val="00905407"/>
    <w:rsid w:val="0090561C"/>
    <w:rsid w:val="009056B8"/>
    <w:rsid w:val="00905942"/>
    <w:rsid w:val="0090608F"/>
    <w:rsid w:val="009060EB"/>
    <w:rsid w:val="0090686F"/>
    <w:rsid w:val="00906954"/>
    <w:rsid w:val="009070C5"/>
    <w:rsid w:val="00907156"/>
    <w:rsid w:val="00907209"/>
    <w:rsid w:val="00907252"/>
    <w:rsid w:val="009073BB"/>
    <w:rsid w:val="009077C7"/>
    <w:rsid w:val="009077EB"/>
    <w:rsid w:val="009078B6"/>
    <w:rsid w:val="009079A9"/>
    <w:rsid w:val="00910299"/>
    <w:rsid w:val="0091066A"/>
    <w:rsid w:val="00910990"/>
    <w:rsid w:val="00910B75"/>
    <w:rsid w:val="00910CD3"/>
    <w:rsid w:val="00910D63"/>
    <w:rsid w:val="00910D7D"/>
    <w:rsid w:val="00910F0D"/>
    <w:rsid w:val="00910F22"/>
    <w:rsid w:val="00910F8F"/>
    <w:rsid w:val="009110DB"/>
    <w:rsid w:val="0091129D"/>
    <w:rsid w:val="0091142F"/>
    <w:rsid w:val="009114D2"/>
    <w:rsid w:val="00911826"/>
    <w:rsid w:val="00911C34"/>
    <w:rsid w:val="00911DA3"/>
    <w:rsid w:val="00911DA9"/>
    <w:rsid w:val="00912743"/>
    <w:rsid w:val="0091297A"/>
    <w:rsid w:val="00912F9E"/>
    <w:rsid w:val="00913039"/>
    <w:rsid w:val="009132BF"/>
    <w:rsid w:val="00913DEC"/>
    <w:rsid w:val="00913E76"/>
    <w:rsid w:val="00913FA5"/>
    <w:rsid w:val="00914034"/>
    <w:rsid w:val="00914137"/>
    <w:rsid w:val="009141D6"/>
    <w:rsid w:val="009144A7"/>
    <w:rsid w:val="009147CB"/>
    <w:rsid w:val="00914899"/>
    <w:rsid w:val="00914D1D"/>
    <w:rsid w:val="00914D64"/>
    <w:rsid w:val="00914D85"/>
    <w:rsid w:val="009152C4"/>
    <w:rsid w:val="009154F8"/>
    <w:rsid w:val="009156E7"/>
    <w:rsid w:val="00915953"/>
    <w:rsid w:val="00915A55"/>
    <w:rsid w:val="00915D20"/>
    <w:rsid w:val="00915DAC"/>
    <w:rsid w:val="00915E01"/>
    <w:rsid w:val="00915E74"/>
    <w:rsid w:val="009162A2"/>
    <w:rsid w:val="00916642"/>
    <w:rsid w:val="0091699A"/>
    <w:rsid w:val="00916A55"/>
    <w:rsid w:val="00916AC4"/>
    <w:rsid w:val="00916AFA"/>
    <w:rsid w:val="00916DBF"/>
    <w:rsid w:val="00916E06"/>
    <w:rsid w:val="00917266"/>
    <w:rsid w:val="00917271"/>
    <w:rsid w:val="00917CF7"/>
    <w:rsid w:val="00917D57"/>
    <w:rsid w:val="0092006D"/>
    <w:rsid w:val="00920491"/>
    <w:rsid w:val="0092052A"/>
    <w:rsid w:val="009208E7"/>
    <w:rsid w:val="00920BEF"/>
    <w:rsid w:val="00920F2D"/>
    <w:rsid w:val="00921362"/>
    <w:rsid w:val="009216D4"/>
    <w:rsid w:val="00921971"/>
    <w:rsid w:val="009219D5"/>
    <w:rsid w:val="00921B05"/>
    <w:rsid w:val="00921D3B"/>
    <w:rsid w:val="00921E64"/>
    <w:rsid w:val="00921EA2"/>
    <w:rsid w:val="00921F5B"/>
    <w:rsid w:val="00921FC5"/>
    <w:rsid w:val="009224FC"/>
    <w:rsid w:val="009225CA"/>
    <w:rsid w:val="00922CE8"/>
    <w:rsid w:val="00922D56"/>
    <w:rsid w:val="009230D5"/>
    <w:rsid w:val="009230F2"/>
    <w:rsid w:val="00923376"/>
    <w:rsid w:val="00923616"/>
    <w:rsid w:val="009236AE"/>
    <w:rsid w:val="0092383C"/>
    <w:rsid w:val="00923868"/>
    <w:rsid w:val="009239A4"/>
    <w:rsid w:val="00923CFD"/>
    <w:rsid w:val="00923E5D"/>
    <w:rsid w:val="00923FBA"/>
    <w:rsid w:val="00924157"/>
    <w:rsid w:val="009241FB"/>
    <w:rsid w:val="0092494F"/>
    <w:rsid w:val="009249A9"/>
    <w:rsid w:val="009253AA"/>
    <w:rsid w:val="009255BE"/>
    <w:rsid w:val="00925807"/>
    <w:rsid w:val="009259ED"/>
    <w:rsid w:val="00925BEA"/>
    <w:rsid w:val="00925C2C"/>
    <w:rsid w:val="00925D54"/>
    <w:rsid w:val="00925ECE"/>
    <w:rsid w:val="00925F63"/>
    <w:rsid w:val="00926107"/>
    <w:rsid w:val="00926623"/>
    <w:rsid w:val="009268C2"/>
    <w:rsid w:val="00926973"/>
    <w:rsid w:val="009274FB"/>
    <w:rsid w:val="00927507"/>
    <w:rsid w:val="00927960"/>
    <w:rsid w:val="009279DE"/>
    <w:rsid w:val="00927A57"/>
    <w:rsid w:val="00927AF8"/>
    <w:rsid w:val="00927BD1"/>
    <w:rsid w:val="00930069"/>
    <w:rsid w:val="009301B8"/>
    <w:rsid w:val="009302C3"/>
    <w:rsid w:val="00930616"/>
    <w:rsid w:val="00930C62"/>
    <w:rsid w:val="00930FA6"/>
    <w:rsid w:val="00931639"/>
    <w:rsid w:val="00931733"/>
    <w:rsid w:val="00931752"/>
    <w:rsid w:val="0093191C"/>
    <w:rsid w:val="00931958"/>
    <w:rsid w:val="00931DE6"/>
    <w:rsid w:val="00931EE4"/>
    <w:rsid w:val="00931EF9"/>
    <w:rsid w:val="00931F38"/>
    <w:rsid w:val="00931FCC"/>
    <w:rsid w:val="00932104"/>
    <w:rsid w:val="00932428"/>
    <w:rsid w:val="009326C1"/>
    <w:rsid w:val="00932B53"/>
    <w:rsid w:val="00932F6A"/>
    <w:rsid w:val="0093328A"/>
    <w:rsid w:val="00933670"/>
    <w:rsid w:val="00933BFF"/>
    <w:rsid w:val="00933DCA"/>
    <w:rsid w:val="00933EC1"/>
    <w:rsid w:val="00933FFF"/>
    <w:rsid w:val="00934023"/>
    <w:rsid w:val="00934030"/>
    <w:rsid w:val="00934405"/>
    <w:rsid w:val="0093453D"/>
    <w:rsid w:val="00934570"/>
    <w:rsid w:val="009347B9"/>
    <w:rsid w:val="0093487E"/>
    <w:rsid w:val="009348AC"/>
    <w:rsid w:val="00934908"/>
    <w:rsid w:val="00934963"/>
    <w:rsid w:val="00934A19"/>
    <w:rsid w:val="00934D3E"/>
    <w:rsid w:val="0093503A"/>
    <w:rsid w:val="00935041"/>
    <w:rsid w:val="00935186"/>
    <w:rsid w:val="009351AF"/>
    <w:rsid w:val="009354D0"/>
    <w:rsid w:val="0093590A"/>
    <w:rsid w:val="00935B16"/>
    <w:rsid w:val="00935C26"/>
    <w:rsid w:val="00935C44"/>
    <w:rsid w:val="00935FA0"/>
    <w:rsid w:val="00936043"/>
    <w:rsid w:val="009360BA"/>
    <w:rsid w:val="009363EF"/>
    <w:rsid w:val="00936555"/>
    <w:rsid w:val="00936768"/>
    <w:rsid w:val="009368A6"/>
    <w:rsid w:val="00936AA2"/>
    <w:rsid w:val="00936AA3"/>
    <w:rsid w:val="00936EBA"/>
    <w:rsid w:val="00936EBE"/>
    <w:rsid w:val="00936F6B"/>
    <w:rsid w:val="009371E0"/>
    <w:rsid w:val="009373F2"/>
    <w:rsid w:val="009376CC"/>
    <w:rsid w:val="009378BB"/>
    <w:rsid w:val="009379B5"/>
    <w:rsid w:val="00937AC3"/>
    <w:rsid w:val="00937CC7"/>
    <w:rsid w:val="00937EFC"/>
    <w:rsid w:val="009408AD"/>
    <w:rsid w:val="009408BF"/>
    <w:rsid w:val="009414E9"/>
    <w:rsid w:val="00941591"/>
    <w:rsid w:val="009419DE"/>
    <w:rsid w:val="00941A2F"/>
    <w:rsid w:val="00941F12"/>
    <w:rsid w:val="0094202D"/>
    <w:rsid w:val="0094280D"/>
    <w:rsid w:val="00942AF1"/>
    <w:rsid w:val="0094321A"/>
    <w:rsid w:val="00943509"/>
    <w:rsid w:val="009436B0"/>
    <w:rsid w:val="009437A6"/>
    <w:rsid w:val="009439C8"/>
    <w:rsid w:val="00943CBE"/>
    <w:rsid w:val="00944015"/>
    <w:rsid w:val="009440CD"/>
    <w:rsid w:val="009443F8"/>
    <w:rsid w:val="00944676"/>
    <w:rsid w:val="009447C5"/>
    <w:rsid w:val="0094492F"/>
    <w:rsid w:val="00944B46"/>
    <w:rsid w:val="00944E34"/>
    <w:rsid w:val="00944FA5"/>
    <w:rsid w:val="009452F5"/>
    <w:rsid w:val="00945440"/>
    <w:rsid w:val="00945713"/>
    <w:rsid w:val="00945A83"/>
    <w:rsid w:val="00945C07"/>
    <w:rsid w:val="00946082"/>
    <w:rsid w:val="00946284"/>
    <w:rsid w:val="00946ACE"/>
    <w:rsid w:val="00946F0C"/>
    <w:rsid w:val="009472D5"/>
    <w:rsid w:val="00947378"/>
    <w:rsid w:val="009476A6"/>
    <w:rsid w:val="009504E1"/>
    <w:rsid w:val="009506C4"/>
    <w:rsid w:val="00950C62"/>
    <w:rsid w:val="00950D30"/>
    <w:rsid w:val="00950E79"/>
    <w:rsid w:val="0095120B"/>
    <w:rsid w:val="0095132C"/>
    <w:rsid w:val="00951529"/>
    <w:rsid w:val="00951DB4"/>
    <w:rsid w:val="00951E0C"/>
    <w:rsid w:val="00952201"/>
    <w:rsid w:val="00952238"/>
    <w:rsid w:val="00952422"/>
    <w:rsid w:val="00952511"/>
    <w:rsid w:val="009527BD"/>
    <w:rsid w:val="009527E8"/>
    <w:rsid w:val="00952AB0"/>
    <w:rsid w:val="00952B22"/>
    <w:rsid w:val="00952B63"/>
    <w:rsid w:val="00952BCA"/>
    <w:rsid w:val="00952C6E"/>
    <w:rsid w:val="00952CEE"/>
    <w:rsid w:val="00952EB9"/>
    <w:rsid w:val="009531B9"/>
    <w:rsid w:val="00953354"/>
    <w:rsid w:val="00953AEF"/>
    <w:rsid w:val="00953B83"/>
    <w:rsid w:val="00953CDE"/>
    <w:rsid w:val="0095446A"/>
    <w:rsid w:val="0095499D"/>
    <w:rsid w:val="00954BE4"/>
    <w:rsid w:val="00954E7A"/>
    <w:rsid w:val="0095504C"/>
    <w:rsid w:val="009552F5"/>
    <w:rsid w:val="009556E8"/>
    <w:rsid w:val="00955DE3"/>
    <w:rsid w:val="00955F04"/>
    <w:rsid w:val="0095611C"/>
    <w:rsid w:val="0095622A"/>
    <w:rsid w:val="009562D6"/>
    <w:rsid w:val="0095632C"/>
    <w:rsid w:val="00956547"/>
    <w:rsid w:val="009565F9"/>
    <w:rsid w:val="0095685F"/>
    <w:rsid w:val="009569D2"/>
    <w:rsid w:val="00956E40"/>
    <w:rsid w:val="00956EAB"/>
    <w:rsid w:val="009570B1"/>
    <w:rsid w:val="0095712B"/>
    <w:rsid w:val="009572CE"/>
    <w:rsid w:val="00957501"/>
    <w:rsid w:val="00957EF4"/>
    <w:rsid w:val="009601CF"/>
    <w:rsid w:val="009602E0"/>
    <w:rsid w:val="0096065F"/>
    <w:rsid w:val="009606F1"/>
    <w:rsid w:val="00960AE4"/>
    <w:rsid w:val="00960D35"/>
    <w:rsid w:val="00960D72"/>
    <w:rsid w:val="00960E74"/>
    <w:rsid w:val="00960E98"/>
    <w:rsid w:val="00961351"/>
    <w:rsid w:val="00961C7D"/>
    <w:rsid w:val="00961CD0"/>
    <w:rsid w:val="009620FA"/>
    <w:rsid w:val="00962195"/>
    <w:rsid w:val="009623B4"/>
    <w:rsid w:val="0096248C"/>
    <w:rsid w:val="00962A41"/>
    <w:rsid w:val="00962B08"/>
    <w:rsid w:val="00962CA0"/>
    <w:rsid w:val="00963033"/>
    <w:rsid w:val="0096334C"/>
    <w:rsid w:val="0096351E"/>
    <w:rsid w:val="009635B1"/>
    <w:rsid w:val="009636B4"/>
    <w:rsid w:val="00963802"/>
    <w:rsid w:val="00963807"/>
    <w:rsid w:val="00963830"/>
    <w:rsid w:val="0096390B"/>
    <w:rsid w:val="00963A63"/>
    <w:rsid w:val="00963C73"/>
    <w:rsid w:val="00964269"/>
    <w:rsid w:val="00964A72"/>
    <w:rsid w:val="00964AFB"/>
    <w:rsid w:val="00964B48"/>
    <w:rsid w:val="00964C88"/>
    <w:rsid w:val="00964D1A"/>
    <w:rsid w:val="00964E3F"/>
    <w:rsid w:val="00964E59"/>
    <w:rsid w:val="009651E4"/>
    <w:rsid w:val="00965640"/>
    <w:rsid w:val="009657BA"/>
    <w:rsid w:val="00965881"/>
    <w:rsid w:val="009658DA"/>
    <w:rsid w:val="00965A33"/>
    <w:rsid w:val="00965A9B"/>
    <w:rsid w:val="00965C4F"/>
    <w:rsid w:val="00965ED6"/>
    <w:rsid w:val="009663B3"/>
    <w:rsid w:val="00966510"/>
    <w:rsid w:val="0096676D"/>
    <w:rsid w:val="0096679A"/>
    <w:rsid w:val="00966813"/>
    <w:rsid w:val="00966870"/>
    <w:rsid w:val="00966AE3"/>
    <w:rsid w:val="00966E1D"/>
    <w:rsid w:val="00966E8F"/>
    <w:rsid w:val="009678BA"/>
    <w:rsid w:val="009678F7"/>
    <w:rsid w:val="00967BA8"/>
    <w:rsid w:val="00967CEB"/>
    <w:rsid w:val="00967F2B"/>
    <w:rsid w:val="00970449"/>
    <w:rsid w:val="0097071A"/>
    <w:rsid w:val="00970C7E"/>
    <w:rsid w:val="00970F42"/>
    <w:rsid w:val="0097113E"/>
    <w:rsid w:val="00971247"/>
    <w:rsid w:val="00971BE0"/>
    <w:rsid w:val="00971C07"/>
    <w:rsid w:val="00971D07"/>
    <w:rsid w:val="00971FDE"/>
    <w:rsid w:val="0097231C"/>
    <w:rsid w:val="0097286F"/>
    <w:rsid w:val="009729F6"/>
    <w:rsid w:val="009729FC"/>
    <w:rsid w:val="00972B60"/>
    <w:rsid w:val="00972C24"/>
    <w:rsid w:val="00972CBF"/>
    <w:rsid w:val="00972E1E"/>
    <w:rsid w:val="00973118"/>
    <w:rsid w:val="00973218"/>
    <w:rsid w:val="00973548"/>
    <w:rsid w:val="0097362A"/>
    <w:rsid w:val="009737F1"/>
    <w:rsid w:val="00973926"/>
    <w:rsid w:val="00973A9F"/>
    <w:rsid w:val="00973CB6"/>
    <w:rsid w:val="00974135"/>
    <w:rsid w:val="009741FB"/>
    <w:rsid w:val="00974294"/>
    <w:rsid w:val="00974524"/>
    <w:rsid w:val="00974641"/>
    <w:rsid w:val="00974696"/>
    <w:rsid w:val="00974781"/>
    <w:rsid w:val="0097478D"/>
    <w:rsid w:val="00974C5A"/>
    <w:rsid w:val="00974EAF"/>
    <w:rsid w:val="00974EDC"/>
    <w:rsid w:val="00975202"/>
    <w:rsid w:val="00975563"/>
    <w:rsid w:val="0097575E"/>
    <w:rsid w:val="00975CB7"/>
    <w:rsid w:val="0097601E"/>
    <w:rsid w:val="009762E5"/>
    <w:rsid w:val="009764AC"/>
    <w:rsid w:val="00976A94"/>
    <w:rsid w:val="00976B0D"/>
    <w:rsid w:val="00976BB8"/>
    <w:rsid w:val="00976D0E"/>
    <w:rsid w:val="00976DE7"/>
    <w:rsid w:val="00977166"/>
    <w:rsid w:val="00977318"/>
    <w:rsid w:val="0097735B"/>
    <w:rsid w:val="00977493"/>
    <w:rsid w:val="009776AA"/>
    <w:rsid w:val="00977BCF"/>
    <w:rsid w:val="00977C23"/>
    <w:rsid w:val="00977E9C"/>
    <w:rsid w:val="00977F8C"/>
    <w:rsid w:val="0098008B"/>
    <w:rsid w:val="009800AE"/>
    <w:rsid w:val="0098053A"/>
    <w:rsid w:val="00980636"/>
    <w:rsid w:val="00980814"/>
    <w:rsid w:val="00980AC6"/>
    <w:rsid w:val="00980BA5"/>
    <w:rsid w:val="00980BC3"/>
    <w:rsid w:val="00981011"/>
    <w:rsid w:val="009812D0"/>
    <w:rsid w:val="00981451"/>
    <w:rsid w:val="00981521"/>
    <w:rsid w:val="0098166F"/>
    <w:rsid w:val="0098173A"/>
    <w:rsid w:val="00981940"/>
    <w:rsid w:val="00981B46"/>
    <w:rsid w:val="00981D0F"/>
    <w:rsid w:val="00981E01"/>
    <w:rsid w:val="00981FB5"/>
    <w:rsid w:val="00982208"/>
    <w:rsid w:val="00982385"/>
    <w:rsid w:val="00982717"/>
    <w:rsid w:val="00982B5A"/>
    <w:rsid w:val="00982C91"/>
    <w:rsid w:val="00982D35"/>
    <w:rsid w:val="00982DE1"/>
    <w:rsid w:val="009832B0"/>
    <w:rsid w:val="0098351C"/>
    <w:rsid w:val="00983904"/>
    <w:rsid w:val="00983999"/>
    <w:rsid w:val="00983C5A"/>
    <w:rsid w:val="00983E8B"/>
    <w:rsid w:val="00984311"/>
    <w:rsid w:val="00984430"/>
    <w:rsid w:val="00984561"/>
    <w:rsid w:val="00984C8F"/>
    <w:rsid w:val="00984EDA"/>
    <w:rsid w:val="009853F3"/>
    <w:rsid w:val="00985568"/>
    <w:rsid w:val="009856C9"/>
    <w:rsid w:val="00985702"/>
    <w:rsid w:val="009857D4"/>
    <w:rsid w:val="00985ACB"/>
    <w:rsid w:val="00985BE4"/>
    <w:rsid w:val="00985C6D"/>
    <w:rsid w:val="00985CB3"/>
    <w:rsid w:val="00986017"/>
    <w:rsid w:val="0098615E"/>
    <w:rsid w:val="00986175"/>
    <w:rsid w:val="00986294"/>
    <w:rsid w:val="00986558"/>
    <w:rsid w:val="00986708"/>
    <w:rsid w:val="0098672B"/>
    <w:rsid w:val="00986C0A"/>
    <w:rsid w:val="00986C3D"/>
    <w:rsid w:val="009871C7"/>
    <w:rsid w:val="00987314"/>
    <w:rsid w:val="009879DE"/>
    <w:rsid w:val="00987F5B"/>
    <w:rsid w:val="009900B2"/>
    <w:rsid w:val="009902B6"/>
    <w:rsid w:val="00990358"/>
    <w:rsid w:val="00990366"/>
    <w:rsid w:val="009906F2"/>
    <w:rsid w:val="00990A60"/>
    <w:rsid w:val="00990BCE"/>
    <w:rsid w:val="00991327"/>
    <w:rsid w:val="00991CA0"/>
    <w:rsid w:val="00991D45"/>
    <w:rsid w:val="00992042"/>
    <w:rsid w:val="00992227"/>
    <w:rsid w:val="00992946"/>
    <w:rsid w:val="00992A47"/>
    <w:rsid w:val="00992A5B"/>
    <w:rsid w:val="00992B19"/>
    <w:rsid w:val="009930C3"/>
    <w:rsid w:val="00993137"/>
    <w:rsid w:val="00993285"/>
    <w:rsid w:val="00993364"/>
    <w:rsid w:val="00993BD0"/>
    <w:rsid w:val="00993EB1"/>
    <w:rsid w:val="0099471E"/>
    <w:rsid w:val="00994CA8"/>
    <w:rsid w:val="00994D50"/>
    <w:rsid w:val="00994D93"/>
    <w:rsid w:val="009950B8"/>
    <w:rsid w:val="009950B9"/>
    <w:rsid w:val="00995319"/>
    <w:rsid w:val="0099580E"/>
    <w:rsid w:val="0099595C"/>
    <w:rsid w:val="00995A2E"/>
    <w:rsid w:val="00995AC1"/>
    <w:rsid w:val="00995B6A"/>
    <w:rsid w:val="00995D11"/>
    <w:rsid w:val="009962B1"/>
    <w:rsid w:val="00996467"/>
    <w:rsid w:val="00996901"/>
    <w:rsid w:val="00996D35"/>
    <w:rsid w:val="00996D56"/>
    <w:rsid w:val="00996EC9"/>
    <w:rsid w:val="00996F78"/>
    <w:rsid w:val="0099706F"/>
    <w:rsid w:val="00997454"/>
    <w:rsid w:val="009976BC"/>
    <w:rsid w:val="00997BCB"/>
    <w:rsid w:val="00997D3D"/>
    <w:rsid w:val="00997EA6"/>
    <w:rsid w:val="009A031B"/>
    <w:rsid w:val="009A032A"/>
    <w:rsid w:val="009A0472"/>
    <w:rsid w:val="009A04AA"/>
    <w:rsid w:val="009A066B"/>
    <w:rsid w:val="009A074A"/>
    <w:rsid w:val="009A0762"/>
    <w:rsid w:val="009A0843"/>
    <w:rsid w:val="009A0D40"/>
    <w:rsid w:val="009A0EB4"/>
    <w:rsid w:val="009A1EF7"/>
    <w:rsid w:val="009A1FAF"/>
    <w:rsid w:val="009A2393"/>
    <w:rsid w:val="009A2587"/>
    <w:rsid w:val="009A26CB"/>
    <w:rsid w:val="009A27D9"/>
    <w:rsid w:val="009A2E22"/>
    <w:rsid w:val="009A34E5"/>
    <w:rsid w:val="009A3697"/>
    <w:rsid w:val="009A384E"/>
    <w:rsid w:val="009A395E"/>
    <w:rsid w:val="009A3B3F"/>
    <w:rsid w:val="009A3D81"/>
    <w:rsid w:val="009A3E94"/>
    <w:rsid w:val="009A3FFE"/>
    <w:rsid w:val="009A407B"/>
    <w:rsid w:val="009A4465"/>
    <w:rsid w:val="009A4559"/>
    <w:rsid w:val="009A49BE"/>
    <w:rsid w:val="009A49F1"/>
    <w:rsid w:val="009A4AA6"/>
    <w:rsid w:val="009A4FE3"/>
    <w:rsid w:val="009A50D0"/>
    <w:rsid w:val="009A52EA"/>
    <w:rsid w:val="009A5388"/>
    <w:rsid w:val="009A568E"/>
    <w:rsid w:val="009A5798"/>
    <w:rsid w:val="009A5BC5"/>
    <w:rsid w:val="009A5BE8"/>
    <w:rsid w:val="009A5C37"/>
    <w:rsid w:val="009A5C4D"/>
    <w:rsid w:val="009A5CE0"/>
    <w:rsid w:val="009A5D7B"/>
    <w:rsid w:val="009A5F4A"/>
    <w:rsid w:val="009A5F73"/>
    <w:rsid w:val="009A60F6"/>
    <w:rsid w:val="009A669C"/>
    <w:rsid w:val="009A68DC"/>
    <w:rsid w:val="009A6C0C"/>
    <w:rsid w:val="009A6C4C"/>
    <w:rsid w:val="009A6C96"/>
    <w:rsid w:val="009A6DDE"/>
    <w:rsid w:val="009A7197"/>
    <w:rsid w:val="009A7565"/>
    <w:rsid w:val="009A772A"/>
    <w:rsid w:val="009A78C1"/>
    <w:rsid w:val="009A78E2"/>
    <w:rsid w:val="009B033E"/>
    <w:rsid w:val="009B0481"/>
    <w:rsid w:val="009B04FC"/>
    <w:rsid w:val="009B0901"/>
    <w:rsid w:val="009B0B29"/>
    <w:rsid w:val="009B0B41"/>
    <w:rsid w:val="009B0BEC"/>
    <w:rsid w:val="009B0E7F"/>
    <w:rsid w:val="009B0FD4"/>
    <w:rsid w:val="009B10E0"/>
    <w:rsid w:val="009B1459"/>
    <w:rsid w:val="009B1696"/>
    <w:rsid w:val="009B1802"/>
    <w:rsid w:val="009B1814"/>
    <w:rsid w:val="009B191B"/>
    <w:rsid w:val="009B1A3E"/>
    <w:rsid w:val="009B1C54"/>
    <w:rsid w:val="009B21A3"/>
    <w:rsid w:val="009B2530"/>
    <w:rsid w:val="009B2544"/>
    <w:rsid w:val="009B2B2E"/>
    <w:rsid w:val="009B2B42"/>
    <w:rsid w:val="009B2E19"/>
    <w:rsid w:val="009B2EFE"/>
    <w:rsid w:val="009B356B"/>
    <w:rsid w:val="009B3570"/>
    <w:rsid w:val="009B396A"/>
    <w:rsid w:val="009B3A2B"/>
    <w:rsid w:val="009B3ED1"/>
    <w:rsid w:val="009B3EEE"/>
    <w:rsid w:val="009B4269"/>
    <w:rsid w:val="009B43D4"/>
    <w:rsid w:val="009B4800"/>
    <w:rsid w:val="009B493F"/>
    <w:rsid w:val="009B4DD2"/>
    <w:rsid w:val="009B4E64"/>
    <w:rsid w:val="009B4E76"/>
    <w:rsid w:val="009B4E9E"/>
    <w:rsid w:val="009B4F70"/>
    <w:rsid w:val="009B4F93"/>
    <w:rsid w:val="009B5145"/>
    <w:rsid w:val="009B52AC"/>
    <w:rsid w:val="009B536B"/>
    <w:rsid w:val="009B57F4"/>
    <w:rsid w:val="009B5A52"/>
    <w:rsid w:val="009B5A57"/>
    <w:rsid w:val="009B5B1D"/>
    <w:rsid w:val="009B5BD4"/>
    <w:rsid w:val="009B5BEE"/>
    <w:rsid w:val="009B61CE"/>
    <w:rsid w:val="009B6444"/>
    <w:rsid w:val="009B65F2"/>
    <w:rsid w:val="009B6660"/>
    <w:rsid w:val="009B683D"/>
    <w:rsid w:val="009B6BF4"/>
    <w:rsid w:val="009B6CFC"/>
    <w:rsid w:val="009B6E37"/>
    <w:rsid w:val="009B7051"/>
    <w:rsid w:val="009B706D"/>
    <w:rsid w:val="009B7180"/>
    <w:rsid w:val="009B726D"/>
    <w:rsid w:val="009B7504"/>
    <w:rsid w:val="009B7555"/>
    <w:rsid w:val="009B77DE"/>
    <w:rsid w:val="009B7914"/>
    <w:rsid w:val="009B7A95"/>
    <w:rsid w:val="009B7D41"/>
    <w:rsid w:val="009B7DCE"/>
    <w:rsid w:val="009B7EE7"/>
    <w:rsid w:val="009B7F40"/>
    <w:rsid w:val="009C01FD"/>
    <w:rsid w:val="009C0669"/>
    <w:rsid w:val="009C076C"/>
    <w:rsid w:val="009C0AEF"/>
    <w:rsid w:val="009C0C51"/>
    <w:rsid w:val="009C0D73"/>
    <w:rsid w:val="009C0E2C"/>
    <w:rsid w:val="009C0E71"/>
    <w:rsid w:val="009C0F8A"/>
    <w:rsid w:val="009C12FF"/>
    <w:rsid w:val="009C16F8"/>
    <w:rsid w:val="009C1BAF"/>
    <w:rsid w:val="009C1C55"/>
    <w:rsid w:val="009C1DFB"/>
    <w:rsid w:val="009C1EB4"/>
    <w:rsid w:val="009C2128"/>
    <w:rsid w:val="009C25C7"/>
    <w:rsid w:val="009C2676"/>
    <w:rsid w:val="009C26F7"/>
    <w:rsid w:val="009C2953"/>
    <w:rsid w:val="009C2AA9"/>
    <w:rsid w:val="009C2AFA"/>
    <w:rsid w:val="009C3124"/>
    <w:rsid w:val="009C3181"/>
    <w:rsid w:val="009C3665"/>
    <w:rsid w:val="009C3BAC"/>
    <w:rsid w:val="009C3CA6"/>
    <w:rsid w:val="009C3CE5"/>
    <w:rsid w:val="009C3CF0"/>
    <w:rsid w:val="009C3E20"/>
    <w:rsid w:val="009C3E6D"/>
    <w:rsid w:val="009C3EB4"/>
    <w:rsid w:val="009C4027"/>
    <w:rsid w:val="009C4684"/>
    <w:rsid w:val="009C46B4"/>
    <w:rsid w:val="009C4875"/>
    <w:rsid w:val="009C487E"/>
    <w:rsid w:val="009C4A04"/>
    <w:rsid w:val="009C4CB8"/>
    <w:rsid w:val="009C4DEB"/>
    <w:rsid w:val="009C4E0D"/>
    <w:rsid w:val="009C4E68"/>
    <w:rsid w:val="009C4F20"/>
    <w:rsid w:val="009C4F5B"/>
    <w:rsid w:val="009C5153"/>
    <w:rsid w:val="009C517C"/>
    <w:rsid w:val="009C5508"/>
    <w:rsid w:val="009C559C"/>
    <w:rsid w:val="009C580B"/>
    <w:rsid w:val="009C581E"/>
    <w:rsid w:val="009C5862"/>
    <w:rsid w:val="009C5874"/>
    <w:rsid w:val="009C5A95"/>
    <w:rsid w:val="009C5BEE"/>
    <w:rsid w:val="009C5D49"/>
    <w:rsid w:val="009C6047"/>
    <w:rsid w:val="009C6566"/>
    <w:rsid w:val="009C65E5"/>
    <w:rsid w:val="009C665A"/>
    <w:rsid w:val="009C66A2"/>
    <w:rsid w:val="009C67C7"/>
    <w:rsid w:val="009C67FD"/>
    <w:rsid w:val="009C6A2D"/>
    <w:rsid w:val="009C6E70"/>
    <w:rsid w:val="009C7023"/>
    <w:rsid w:val="009C7280"/>
    <w:rsid w:val="009C731E"/>
    <w:rsid w:val="009C768C"/>
    <w:rsid w:val="009C76C7"/>
    <w:rsid w:val="009C771E"/>
    <w:rsid w:val="009C7F9B"/>
    <w:rsid w:val="009D04FC"/>
    <w:rsid w:val="009D0604"/>
    <w:rsid w:val="009D0B6F"/>
    <w:rsid w:val="009D10BD"/>
    <w:rsid w:val="009D1355"/>
    <w:rsid w:val="009D152C"/>
    <w:rsid w:val="009D15C4"/>
    <w:rsid w:val="009D16A7"/>
    <w:rsid w:val="009D16DF"/>
    <w:rsid w:val="009D1828"/>
    <w:rsid w:val="009D1BF6"/>
    <w:rsid w:val="009D209F"/>
    <w:rsid w:val="009D21F1"/>
    <w:rsid w:val="009D232A"/>
    <w:rsid w:val="009D24B1"/>
    <w:rsid w:val="009D26A2"/>
    <w:rsid w:val="009D26F0"/>
    <w:rsid w:val="009D29D7"/>
    <w:rsid w:val="009D2AAA"/>
    <w:rsid w:val="009D2B23"/>
    <w:rsid w:val="009D2BA7"/>
    <w:rsid w:val="009D2C1D"/>
    <w:rsid w:val="009D2C95"/>
    <w:rsid w:val="009D2DCB"/>
    <w:rsid w:val="009D31D8"/>
    <w:rsid w:val="009D328E"/>
    <w:rsid w:val="009D3347"/>
    <w:rsid w:val="009D33AA"/>
    <w:rsid w:val="009D3748"/>
    <w:rsid w:val="009D3831"/>
    <w:rsid w:val="009D3B1A"/>
    <w:rsid w:val="009D3C59"/>
    <w:rsid w:val="009D3DCC"/>
    <w:rsid w:val="009D3EAD"/>
    <w:rsid w:val="009D4175"/>
    <w:rsid w:val="009D4176"/>
    <w:rsid w:val="009D44FB"/>
    <w:rsid w:val="009D45E1"/>
    <w:rsid w:val="009D4839"/>
    <w:rsid w:val="009D502A"/>
    <w:rsid w:val="009D5190"/>
    <w:rsid w:val="009D5388"/>
    <w:rsid w:val="009D53A0"/>
    <w:rsid w:val="009D56EE"/>
    <w:rsid w:val="009D57E2"/>
    <w:rsid w:val="009D5B89"/>
    <w:rsid w:val="009D5C0C"/>
    <w:rsid w:val="009D5D3D"/>
    <w:rsid w:val="009D5F80"/>
    <w:rsid w:val="009D6353"/>
    <w:rsid w:val="009D6435"/>
    <w:rsid w:val="009D64DF"/>
    <w:rsid w:val="009D6CA4"/>
    <w:rsid w:val="009D6D30"/>
    <w:rsid w:val="009D6EC1"/>
    <w:rsid w:val="009D7200"/>
    <w:rsid w:val="009D7427"/>
    <w:rsid w:val="009D75C8"/>
    <w:rsid w:val="009D75CB"/>
    <w:rsid w:val="009D77F5"/>
    <w:rsid w:val="009D7CD1"/>
    <w:rsid w:val="009D7D60"/>
    <w:rsid w:val="009D7DB5"/>
    <w:rsid w:val="009D7E75"/>
    <w:rsid w:val="009D7FFB"/>
    <w:rsid w:val="009E021D"/>
    <w:rsid w:val="009E0568"/>
    <w:rsid w:val="009E05C3"/>
    <w:rsid w:val="009E0A6C"/>
    <w:rsid w:val="009E0BFA"/>
    <w:rsid w:val="009E0E4D"/>
    <w:rsid w:val="009E1108"/>
    <w:rsid w:val="009E1166"/>
    <w:rsid w:val="009E1378"/>
    <w:rsid w:val="009E142A"/>
    <w:rsid w:val="009E14F3"/>
    <w:rsid w:val="009E1683"/>
    <w:rsid w:val="009E1782"/>
    <w:rsid w:val="009E19D5"/>
    <w:rsid w:val="009E1C2F"/>
    <w:rsid w:val="009E1C70"/>
    <w:rsid w:val="009E2048"/>
    <w:rsid w:val="009E20FB"/>
    <w:rsid w:val="009E25E8"/>
    <w:rsid w:val="009E296E"/>
    <w:rsid w:val="009E2A0D"/>
    <w:rsid w:val="009E2C0B"/>
    <w:rsid w:val="009E2ED0"/>
    <w:rsid w:val="009E317B"/>
    <w:rsid w:val="009E31AA"/>
    <w:rsid w:val="009E3714"/>
    <w:rsid w:val="009E3B0D"/>
    <w:rsid w:val="009E3B52"/>
    <w:rsid w:val="009E3CD5"/>
    <w:rsid w:val="009E3FFF"/>
    <w:rsid w:val="009E40AF"/>
    <w:rsid w:val="009E4C57"/>
    <w:rsid w:val="009E5607"/>
    <w:rsid w:val="009E561F"/>
    <w:rsid w:val="009E597F"/>
    <w:rsid w:val="009E59C2"/>
    <w:rsid w:val="009E59CE"/>
    <w:rsid w:val="009E59DF"/>
    <w:rsid w:val="009E5EFD"/>
    <w:rsid w:val="009E5FCB"/>
    <w:rsid w:val="009E68AA"/>
    <w:rsid w:val="009E6B7A"/>
    <w:rsid w:val="009E71B2"/>
    <w:rsid w:val="009E74C8"/>
    <w:rsid w:val="009E74DD"/>
    <w:rsid w:val="009E7500"/>
    <w:rsid w:val="009E75AC"/>
    <w:rsid w:val="009E7623"/>
    <w:rsid w:val="009E76B8"/>
    <w:rsid w:val="009E7781"/>
    <w:rsid w:val="009E787C"/>
    <w:rsid w:val="009E7B3E"/>
    <w:rsid w:val="009E7BEB"/>
    <w:rsid w:val="009E7D6D"/>
    <w:rsid w:val="009E7E6A"/>
    <w:rsid w:val="009F0031"/>
    <w:rsid w:val="009F008D"/>
    <w:rsid w:val="009F07F4"/>
    <w:rsid w:val="009F0934"/>
    <w:rsid w:val="009F09CF"/>
    <w:rsid w:val="009F0C46"/>
    <w:rsid w:val="009F0D12"/>
    <w:rsid w:val="009F0E87"/>
    <w:rsid w:val="009F0F8F"/>
    <w:rsid w:val="009F108A"/>
    <w:rsid w:val="009F134C"/>
    <w:rsid w:val="009F15D6"/>
    <w:rsid w:val="009F1937"/>
    <w:rsid w:val="009F1C0C"/>
    <w:rsid w:val="009F1EE6"/>
    <w:rsid w:val="009F1EFE"/>
    <w:rsid w:val="009F1F0F"/>
    <w:rsid w:val="009F26D7"/>
    <w:rsid w:val="009F2BFF"/>
    <w:rsid w:val="009F2FF8"/>
    <w:rsid w:val="009F32AF"/>
    <w:rsid w:val="009F3332"/>
    <w:rsid w:val="009F3479"/>
    <w:rsid w:val="009F377E"/>
    <w:rsid w:val="009F37D6"/>
    <w:rsid w:val="009F3840"/>
    <w:rsid w:val="009F3C20"/>
    <w:rsid w:val="009F3E13"/>
    <w:rsid w:val="009F3E92"/>
    <w:rsid w:val="009F3EBC"/>
    <w:rsid w:val="009F40F7"/>
    <w:rsid w:val="009F4190"/>
    <w:rsid w:val="009F4499"/>
    <w:rsid w:val="009F48AE"/>
    <w:rsid w:val="009F4B47"/>
    <w:rsid w:val="009F4DC8"/>
    <w:rsid w:val="009F4E57"/>
    <w:rsid w:val="009F52AE"/>
    <w:rsid w:val="009F5A6B"/>
    <w:rsid w:val="009F5C9A"/>
    <w:rsid w:val="009F5CEE"/>
    <w:rsid w:val="009F60F1"/>
    <w:rsid w:val="009F63EB"/>
    <w:rsid w:val="009F669D"/>
    <w:rsid w:val="009F67CA"/>
    <w:rsid w:val="009F6844"/>
    <w:rsid w:val="009F6A9C"/>
    <w:rsid w:val="009F6BE8"/>
    <w:rsid w:val="009F714F"/>
    <w:rsid w:val="009F716E"/>
    <w:rsid w:val="009F74DE"/>
    <w:rsid w:val="009F772B"/>
    <w:rsid w:val="009F7C59"/>
    <w:rsid w:val="009F7F23"/>
    <w:rsid w:val="00A00783"/>
    <w:rsid w:val="00A0092E"/>
    <w:rsid w:val="00A00932"/>
    <w:rsid w:val="00A009B9"/>
    <w:rsid w:val="00A00AFA"/>
    <w:rsid w:val="00A00BCF"/>
    <w:rsid w:val="00A00C86"/>
    <w:rsid w:val="00A0184D"/>
    <w:rsid w:val="00A01861"/>
    <w:rsid w:val="00A0198A"/>
    <w:rsid w:val="00A01A59"/>
    <w:rsid w:val="00A01AC9"/>
    <w:rsid w:val="00A01B33"/>
    <w:rsid w:val="00A01D08"/>
    <w:rsid w:val="00A01FCD"/>
    <w:rsid w:val="00A023AF"/>
    <w:rsid w:val="00A023B9"/>
    <w:rsid w:val="00A02670"/>
    <w:rsid w:val="00A02692"/>
    <w:rsid w:val="00A0274A"/>
    <w:rsid w:val="00A02790"/>
    <w:rsid w:val="00A028E3"/>
    <w:rsid w:val="00A02937"/>
    <w:rsid w:val="00A029C7"/>
    <w:rsid w:val="00A02A1E"/>
    <w:rsid w:val="00A02A53"/>
    <w:rsid w:val="00A02B53"/>
    <w:rsid w:val="00A02D57"/>
    <w:rsid w:val="00A02D8D"/>
    <w:rsid w:val="00A031B8"/>
    <w:rsid w:val="00A038FA"/>
    <w:rsid w:val="00A03B22"/>
    <w:rsid w:val="00A03D1C"/>
    <w:rsid w:val="00A03E14"/>
    <w:rsid w:val="00A04090"/>
    <w:rsid w:val="00A041E9"/>
    <w:rsid w:val="00A043D7"/>
    <w:rsid w:val="00A043E2"/>
    <w:rsid w:val="00A04941"/>
    <w:rsid w:val="00A04EB8"/>
    <w:rsid w:val="00A053E6"/>
    <w:rsid w:val="00A0567F"/>
    <w:rsid w:val="00A06346"/>
    <w:rsid w:val="00A06401"/>
    <w:rsid w:val="00A0649F"/>
    <w:rsid w:val="00A065B9"/>
    <w:rsid w:val="00A0680F"/>
    <w:rsid w:val="00A068C1"/>
    <w:rsid w:val="00A069EF"/>
    <w:rsid w:val="00A06A2E"/>
    <w:rsid w:val="00A06B54"/>
    <w:rsid w:val="00A06CEC"/>
    <w:rsid w:val="00A06EB8"/>
    <w:rsid w:val="00A070BB"/>
    <w:rsid w:val="00A07143"/>
    <w:rsid w:val="00A076D9"/>
    <w:rsid w:val="00A076DC"/>
    <w:rsid w:val="00A0770A"/>
    <w:rsid w:val="00A07731"/>
    <w:rsid w:val="00A0774A"/>
    <w:rsid w:val="00A07770"/>
    <w:rsid w:val="00A077DF"/>
    <w:rsid w:val="00A0785D"/>
    <w:rsid w:val="00A07AFC"/>
    <w:rsid w:val="00A07C5E"/>
    <w:rsid w:val="00A07D26"/>
    <w:rsid w:val="00A07EAF"/>
    <w:rsid w:val="00A07EBC"/>
    <w:rsid w:val="00A1000F"/>
    <w:rsid w:val="00A10090"/>
    <w:rsid w:val="00A100A2"/>
    <w:rsid w:val="00A1026F"/>
    <w:rsid w:val="00A10417"/>
    <w:rsid w:val="00A106A3"/>
    <w:rsid w:val="00A108FF"/>
    <w:rsid w:val="00A10AD1"/>
    <w:rsid w:val="00A10ADA"/>
    <w:rsid w:val="00A10C1C"/>
    <w:rsid w:val="00A10C71"/>
    <w:rsid w:val="00A111FC"/>
    <w:rsid w:val="00A11307"/>
    <w:rsid w:val="00A1146A"/>
    <w:rsid w:val="00A1195A"/>
    <w:rsid w:val="00A11A51"/>
    <w:rsid w:val="00A11FB7"/>
    <w:rsid w:val="00A12069"/>
    <w:rsid w:val="00A12089"/>
    <w:rsid w:val="00A126D0"/>
    <w:rsid w:val="00A12805"/>
    <w:rsid w:val="00A12823"/>
    <w:rsid w:val="00A129AC"/>
    <w:rsid w:val="00A12BE5"/>
    <w:rsid w:val="00A12E15"/>
    <w:rsid w:val="00A1344B"/>
    <w:rsid w:val="00A1385B"/>
    <w:rsid w:val="00A138E1"/>
    <w:rsid w:val="00A13952"/>
    <w:rsid w:val="00A13AB9"/>
    <w:rsid w:val="00A13C11"/>
    <w:rsid w:val="00A13CC0"/>
    <w:rsid w:val="00A13E64"/>
    <w:rsid w:val="00A13E8E"/>
    <w:rsid w:val="00A13F84"/>
    <w:rsid w:val="00A14266"/>
    <w:rsid w:val="00A14365"/>
    <w:rsid w:val="00A14456"/>
    <w:rsid w:val="00A145F9"/>
    <w:rsid w:val="00A14607"/>
    <w:rsid w:val="00A14615"/>
    <w:rsid w:val="00A148AD"/>
    <w:rsid w:val="00A14AA0"/>
    <w:rsid w:val="00A155EC"/>
    <w:rsid w:val="00A158AB"/>
    <w:rsid w:val="00A15CD1"/>
    <w:rsid w:val="00A15E77"/>
    <w:rsid w:val="00A15EC2"/>
    <w:rsid w:val="00A161A7"/>
    <w:rsid w:val="00A163C9"/>
    <w:rsid w:val="00A16516"/>
    <w:rsid w:val="00A1675B"/>
    <w:rsid w:val="00A1683D"/>
    <w:rsid w:val="00A16ADF"/>
    <w:rsid w:val="00A16CE9"/>
    <w:rsid w:val="00A16F84"/>
    <w:rsid w:val="00A16F9F"/>
    <w:rsid w:val="00A173B0"/>
    <w:rsid w:val="00A173DD"/>
    <w:rsid w:val="00A17509"/>
    <w:rsid w:val="00A17985"/>
    <w:rsid w:val="00A17D7B"/>
    <w:rsid w:val="00A17DB5"/>
    <w:rsid w:val="00A20085"/>
    <w:rsid w:val="00A2009B"/>
    <w:rsid w:val="00A2044F"/>
    <w:rsid w:val="00A20805"/>
    <w:rsid w:val="00A20A03"/>
    <w:rsid w:val="00A20B78"/>
    <w:rsid w:val="00A20D59"/>
    <w:rsid w:val="00A20EDF"/>
    <w:rsid w:val="00A20F89"/>
    <w:rsid w:val="00A20FD2"/>
    <w:rsid w:val="00A2114D"/>
    <w:rsid w:val="00A21393"/>
    <w:rsid w:val="00A21552"/>
    <w:rsid w:val="00A215EE"/>
    <w:rsid w:val="00A21D69"/>
    <w:rsid w:val="00A21EEB"/>
    <w:rsid w:val="00A21F68"/>
    <w:rsid w:val="00A2232D"/>
    <w:rsid w:val="00A225C5"/>
    <w:rsid w:val="00A228CE"/>
    <w:rsid w:val="00A22BC2"/>
    <w:rsid w:val="00A22F8A"/>
    <w:rsid w:val="00A233DB"/>
    <w:rsid w:val="00A236CA"/>
    <w:rsid w:val="00A238C5"/>
    <w:rsid w:val="00A238D2"/>
    <w:rsid w:val="00A23B1F"/>
    <w:rsid w:val="00A23C36"/>
    <w:rsid w:val="00A23D37"/>
    <w:rsid w:val="00A23F1A"/>
    <w:rsid w:val="00A23F2D"/>
    <w:rsid w:val="00A23FFF"/>
    <w:rsid w:val="00A24024"/>
    <w:rsid w:val="00A24369"/>
    <w:rsid w:val="00A244F9"/>
    <w:rsid w:val="00A24552"/>
    <w:rsid w:val="00A24594"/>
    <w:rsid w:val="00A245A6"/>
    <w:rsid w:val="00A24AB8"/>
    <w:rsid w:val="00A24B8D"/>
    <w:rsid w:val="00A24E46"/>
    <w:rsid w:val="00A24F05"/>
    <w:rsid w:val="00A25743"/>
    <w:rsid w:val="00A258DE"/>
    <w:rsid w:val="00A259B5"/>
    <w:rsid w:val="00A25C06"/>
    <w:rsid w:val="00A25DCB"/>
    <w:rsid w:val="00A25E4D"/>
    <w:rsid w:val="00A25F8E"/>
    <w:rsid w:val="00A26192"/>
    <w:rsid w:val="00A261BE"/>
    <w:rsid w:val="00A26292"/>
    <w:rsid w:val="00A2646C"/>
    <w:rsid w:val="00A266E7"/>
    <w:rsid w:val="00A26B5B"/>
    <w:rsid w:val="00A26EAC"/>
    <w:rsid w:val="00A26ECE"/>
    <w:rsid w:val="00A26EE3"/>
    <w:rsid w:val="00A27595"/>
    <w:rsid w:val="00A276E8"/>
    <w:rsid w:val="00A27A35"/>
    <w:rsid w:val="00A27A65"/>
    <w:rsid w:val="00A27B1B"/>
    <w:rsid w:val="00A27D6F"/>
    <w:rsid w:val="00A27EFB"/>
    <w:rsid w:val="00A27FD0"/>
    <w:rsid w:val="00A30135"/>
    <w:rsid w:val="00A301F1"/>
    <w:rsid w:val="00A3026A"/>
    <w:rsid w:val="00A3050D"/>
    <w:rsid w:val="00A30671"/>
    <w:rsid w:val="00A30A66"/>
    <w:rsid w:val="00A30CB6"/>
    <w:rsid w:val="00A30CCB"/>
    <w:rsid w:val="00A31011"/>
    <w:rsid w:val="00A3143B"/>
    <w:rsid w:val="00A31B54"/>
    <w:rsid w:val="00A31F39"/>
    <w:rsid w:val="00A32189"/>
    <w:rsid w:val="00A32232"/>
    <w:rsid w:val="00A32995"/>
    <w:rsid w:val="00A32B23"/>
    <w:rsid w:val="00A32DA8"/>
    <w:rsid w:val="00A330C9"/>
    <w:rsid w:val="00A330D8"/>
    <w:rsid w:val="00A33709"/>
    <w:rsid w:val="00A33965"/>
    <w:rsid w:val="00A33D47"/>
    <w:rsid w:val="00A34250"/>
    <w:rsid w:val="00A3437B"/>
    <w:rsid w:val="00A343AF"/>
    <w:rsid w:val="00A34A1C"/>
    <w:rsid w:val="00A34CAA"/>
    <w:rsid w:val="00A34EDB"/>
    <w:rsid w:val="00A34F08"/>
    <w:rsid w:val="00A35677"/>
    <w:rsid w:val="00A356C4"/>
    <w:rsid w:val="00A3588D"/>
    <w:rsid w:val="00A358FE"/>
    <w:rsid w:val="00A359D7"/>
    <w:rsid w:val="00A35CCE"/>
    <w:rsid w:val="00A35E55"/>
    <w:rsid w:val="00A35EA1"/>
    <w:rsid w:val="00A35F9E"/>
    <w:rsid w:val="00A3611C"/>
    <w:rsid w:val="00A36347"/>
    <w:rsid w:val="00A36550"/>
    <w:rsid w:val="00A36852"/>
    <w:rsid w:val="00A36D10"/>
    <w:rsid w:val="00A36D63"/>
    <w:rsid w:val="00A3702B"/>
    <w:rsid w:val="00A370C8"/>
    <w:rsid w:val="00A37318"/>
    <w:rsid w:val="00A377EB"/>
    <w:rsid w:val="00A379CD"/>
    <w:rsid w:val="00A37BB6"/>
    <w:rsid w:val="00A37C63"/>
    <w:rsid w:val="00A37EB0"/>
    <w:rsid w:val="00A40167"/>
    <w:rsid w:val="00A4034B"/>
    <w:rsid w:val="00A4074D"/>
    <w:rsid w:val="00A40A31"/>
    <w:rsid w:val="00A40C38"/>
    <w:rsid w:val="00A40CDB"/>
    <w:rsid w:val="00A40DDA"/>
    <w:rsid w:val="00A41052"/>
    <w:rsid w:val="00A41356"/>
    <w:rsid w:val="00A4136F"/>
    <w:rsid w:val="00A41445"/>
    <w:rsid w:val="00A4146E"/>
    <w:rsid w:val="00A41492"/>
    <w:rsid w:val="00A418E0"/>
    <w:rsid w:val="00A41B9C"/>
    <w:rsid w:val="00A41EB0"/>
    <w:rsid w:val="00A41ED7"/>
    <w:rsid w:val="00A42073"/>
    <w:rsid w:val="00A4234F"/>
    <w:rsid w:val="00A426F1"/>
    <w:rsid w:val="00A42772"/>
    <w:rsid w:val="00A42A16"/>
    <w:rsid w:val="00A42CC9"/>
    <w:rsid w:val="00A4313B"/>
    <w:rsid w:val="00A435B4"/>
    <w:rsid w:val="00A435FC"/>
    <w:rsid w:val="00A438F1"/>
    <w:rsid w:val="00A43A83"/>
    <w:rsid w:val="00A43BCA"/>
    <w:rsid w:val="00A43D0D"/>
    <w:rsid w:val="00A43DD9"/>
    <w:rsid w:val="00A44138"/>
    <w:rsid w:val="00A441FF"/>
    <w:rsid w:val="00A44213"/>
    <w:rsid w:val="00A44271"/>
    <w:rsid w:val="00A444FB"/>
    <w:rsid w:val="00A4466B"/>
    <w:rsid w:val="00A4474B"/>
    <w:rsid w:val="00A44766"/>
    <w:rsid w:val="00A44784"/>
    <w:rsid w:val="00A448A6"/>
    <w:rsid w:val="00A44DA2"/>
    <w:rsid w:val="00A44F02"/>
    <w:rsid w:val="00A454F8"/>
    <w:rsid w:val="00A456DE"/>
    <w:rsid w:val="00A459BA"/>
    <w:rsid w:val="00A45B08"/>
    <w:rsid w:val="00A45C67"/>
    <w:rsid w:val="00A4603B"/>
    <w:rsid w:val="00A4603D"/>
    <w:rsid w:val="00A462D0"/>
    <w:rsid w:val="00A4630F"/>
    <w:rsid w:val="00A4652B"/>
    <w:rsid w:val="00A46619"/>
    <w:rsid w:val="00A46964"/>
    <w:rsid w:val="00A46D35"/>
    <w:rsid w:val="00A46DE0"/>
    <w:rsid w:val="00A474AA"/>
    <w:rsid w:val="00A476CD"/>
    <w:rsid w:val="00A477AE"/>
    <w:rsid w:val="00A479BE"/>
    <w:rsid w:val="00A47E7C"/>
    <w:rsid w:val="00A5017F"/>
    <w:rsid w:val="00A5039B"/>
    <w:rsid w:val="00A50498"/>
    <w:rsid w:val="00A50522"/>
    <w:rsid w:val="00A5055B"/>
    <w:rsid w:val="00A50627"/>
    <w:rsid w:val="00A508D1"/>
    <w:rsid w:val="00A50A10"/>
    <w:rsid w:val="00A51009"/>
    <w:rsid w:val="00A51028"/>
    <w:rsid w:val="00A515CD"/>
    <w:rsid w:val="00A51661"/>
    <w:rsid w:val="00A5168A"/>
    <w:rsid w:val="00A516FA"/>
    <w:rsid w:val="00A51DF3"/>
    <w:rsid w:val="00A51F3D"/>
    <w:rsid w:val="00A51FF0"/>
    <w:rsid w:val="00A52131"/>
    <w:rsid w:val="00A52135"/>
    <w:rsid w:val="00A5224B"/>
    <w:rsid w:val="00A52384"/>
    <w:rsid w:val="00A52650"/>
    <w:rsid w:val="00A52805"/>
    <w:rsid w:val="00A5284F"/>
    <w:rsid w:val="00A52BBE"/>
    <w:rsid w:val="00A53003"/>
    <w:rsid w:val="00A53244"/>
    <w:rsid w:val="00A532E6"/>
    <w:rsid w:val="00A5399C"/>
    <w:rsid w:val="00A53A18"/>
    <w:rsid w:val="00A53B7B"/>
    <w:rsid w:val="00A53C44"/>
    <w:rsid w:val="00A5435B"/>
    <w:rsid w:val="00A546AE"/>
    <w:rsid w:val="00A54857"/>
    <w:rsid w:val="00A54DC6"/>
    <w:rsid w:val="00A5516D"/>
    <w:rsid w:val="00A55349"/>
    <w:rsid w:val="00A553A7"/>
    <w:rsid w:val="00A555B0"/>
    <w:rsid w:val="00A55629"/>
    <w:rsid w:val="00A55FCD"/>
    <w:rsid w:val="00A5622F"/>
    <w:rsid w:val="00A56774"/>
    <w:rsid w:val="00A56791"/>
    <w:rsid w:val="00A56C60"/>
    <w:rsid w:val="00A56DD7"/>
    <w:rsid w:val="00A56FB4"/>
    <w:rsid w:val="00A57369"/>
    <w:rsid w:val="00A573AA"/>
    <w:rsid w:val="00A57752"/>
    <w:rsid w:val="00A57907"/>
    <w:rsid w:val="00A5799E"/>
    <w:rsid w:val="00A57B30"/>
    <w:rsid w:val="00A6001A"/>
    <w:rsid w:val="00A600F1"/>
    <w:rsid w:val="00A601AC"/>
    <w:rsid w:val="00A603D8"/>
    <w:rsid w:val="00A6074B"/>
    <w:rsid w:val="00A60A63"/>
    <w:rsid w:val="00A60E91"/>
    <w:rsid w:val="00A61116"/>
    <w:rsid w:val="00A61557"/>
    <w:rsid w:val="00A6157E"/>
    <w:rsid w:val="00A61592"/>
    <w:rsid w:val="00A619AE"/>
    <w:rsid w:val="00A61A08"/>
    <w:rsid w:val="00A61A44"/>
    <w:rsid w:val="00A61A71"/>
    <w:rsid w:val="00A61B71"/>
    <w:rsid w:val="00A61CFB"/>
    <w:rsid w:val="00A61D03"/>
    <w:rsid w:val="00A61F4A"/>
    <w:rsid w:val="00A62237"/>
    <w:rsid w:val="00A625E9"/>
    <w:rsid w:val="00A627F3"/>
    <w:rsid w:val="00A62945"/>
    <w:rsid w:val="00A629BF"/>
    <w:rsid w:val="00A62A48"/>
    <w:rsid w:val="00A62B09"/>
    <w:rsid w:val="00A62B37"/>
    <w:rsid w:val="00A62D9E"/>
    <w:rsid w:val="00A62E0B"/>
    <w:rsid w:val="00A62FFD"/>
    <w:rsid w:val="00A631FF"/>
    <w:rsid w:val="00A63280"/>
    <w:rsid w:val="00A63354"/>
    <w:rsid w:val="00A638E7"/>
    <w:rsid w:val="00A63BC1"/>
    <w:rsid w:val="00A63E22"/>
    <w:rsid w:val="00A64068"/>
    <w:rsid w:val="00A6426C"/>
    <w:rsid w:val="00A64413"/>
    <w:rsid w:val="00A64451"/>
    <w:rsid w:val="00A644B9"/>
    <w:rsid w:val="00A6450F"/>
    <w:rsid w:val="00A645BA"/>
    <w:rsid w:val="00A6473A"/>
    <w:rsid w:val="00A64B72"/>
    <w:rsid w:val="00A64B7C"/>
    <w:rsid w:val="00A64E64"/>
    <w:rsid w:val="00A6515B"/>
    <w:rsid w:val="00A6522C"/>
    <w:rsid w:val="00A65283"/>
    <w:rsid w:val="00A65349"/>
    <w:rsid w:val="00A65570"/>
    <w:rsid w:val="00A6562D"/>
    <w:rsid w:val="00A656F2"/>
    <w:rsid w:val="00A657CE"/>
    <w:rsid w:val="00A6586A"/>
    <w:rsid w:val="00A658BD"/>
    <w:rsid w:val="00A65F8D"/>
    <w:rsid w:val="00A661DC"/>
    <w:rsid w:val="00A66450"/>
    <w:rsid w:val="00A669A5"/>
    <w:rsid w:val="00A66D28"/>
    <w:rsid w:val="00A66D76"/>
    <w:rsid w:val="00A66EB3"/>
    <w:rsid w:val="00A66F37"/>
    <w:rsid w:val="00A6748A"/>
    <w:rsid w:val="00A67657"/>
    <w:rsid w:val="00A6770A"/>
    <w:rsid w:val="00A67737"/>
    <w:rsid w:val="00A67D50"/>
    <w:rsid w:val="00A705CB"/>
    <w:rsid w:val="00A709BD"/>
    <w:rsid w:val="00A70AC2"/>
    <w:rsid w:val="00A70B0A"/>
    <w:rsid w:val="00A70D14"/>
    <w:rsid w:val="00A70E56"/>
    <w:rsid w:val="00A70EC8"/>
    <w:rsid w:val="00A71490"/>
    <w:rsid w:val="00A7161D"/>
    <w:rsid w:val="00A7179D"/>
    <w:rsid w:val="00A717EF"/>
    <w:rsid w:val="00A71A64"/>
    <w:rsid w:val="00A71B7C"/>
    <w:rsid w:val="00A71D10"/>
    <w:rsid w:val="00A71E9C"/>
    <w:rsid w:val="00A71FB1"/>
    <w:rsid w:val="00A7207B"/>
    <w:rsid w:val="00A7237C"/>
    <w:rsid w:val="00A72476"/>
    <w:rsid w:val="00A725F6"/>
    <w:rsid w:val="00A72770"/>
    <w:rsid w:val="00A727FC"/>
    <w:rsid w:val="00A72A9E"/>
    <w:rsid w:val="00A72C93"/>
    <w:rsid w:val="00A72DAE"/>
    <w:rsid w:val="00A72DC0"/>
    <w:rsid w:val="00A72E74"/>
    <w:rsid w:val="00A72EBA"/>
    <w:rsid w:val="00A73009"/>
    <w:rsid w:val="00A73332"/>
    <w:rsid w:val="00A73518"/>
    <w:rsid w:val="00A739BD"/>
    <w:rsid w:val="00A73B84"/>
    <w:rsid w:val="00A73DFE"/>
    <w:rsid w:val="00A73F71"/>
    <w:rsid w:val="00A74097"/>
    <w:rsid w:val="00A74199"/>
    <w:rsid w:val="00A74427"/>
    <w:rsid w:val="00A7462A"/>
    <w:rsid w:val="00A74A5F"/>
    <w:rsid w:val="00A74B66"/>
    <w:rsid w:val="00A74CB4"/>
    <w:rsid w:val="00A74EE8"/>
    <w:rsid w:val="00A75041"/>
    <w:rsid w:val="00A75081"/>
    <w:rsid w:val="00A75172"/>
    <w:rsid w:val="00A755B7"/>
    <w:rsid w:val="00A756C2"/>
    <w:rsid w:val="00A758DA"/>
    <w:rsid w:val="00A75BB7"/>
    <w:rsid w:val="00A75C5F"/>
    <w:rsid w:val="00A75D28"/>
    <w:rsid w:val="00A75F38"/>
    <w:rsid w:val="00A75FEC"/>
    <w:rsid w:val="00A76271"/>
    <w:rsid w:val="00A763FE"/>
    <w:rsid w:val="00A76A8A"/>
    <w:rsid w:val="00A76BA5"/>
    <w:rsid w:val="00A76ED1"/>
    <w:rsid w:val="00A7715C"/>
    <w:rsid w:val="00A77430"/>
    <w:rsid w:val="00A774C5"/>
    <w:rsid w:val="00A77949"/>
    <w:rsid w:val="00A779A7"/>
    <w:rsid w:val="00A77ACF"/>
    <w:rsid w:val="00A77CA4"/>
    <w:rsid w:val="00A800CF"/>
    <w:rsid w:val="00A8038D"/>
    <w:rsid w:val="00A808A9"/>
    <w:rsid w:val="00A808E3"/>
    <w:rsid w:val="00A80B26"/>
    <w:rsid w:val="00A810B5"/>
    <w:rsid w:val="00A81193"/>
    <w:rsid w:val="00A8131E"/>
    <w:rsid w:val="00A815B6"/>
    <w:rsid w:val="00A8182F"/>
    <w:rsid w:val="00A818F8"/>
    <w:rsid w:val="00A81B34"/>
    <w:rsid w:val="00A81D7E"/>
    <w:rsid w:val="00A8205E"/>
    <w:rsid w:val="00A82365"/>
    <w:rsid w:val="00A82652"/>
    <w:rsid w:val="00A82770"/>
    <w:rsid w:val="00A82819"/>
    <w:rsid w:val="00A82822"/>
    <w:rsid w:val="00A82BA7"/>
    <w:rsid w:val="00A82C3C"/>
    <w:rsid w:val="00A82DD2"/>
    <w:rsid w:val="00A82ED6"/>
    <w:rsid w:val="00A83100"/>
    <w:rsid w:val="00A83210"/>
    <w:rsid w:val="00A83216"/>
    <w:rsid w:val="00A83382"/>
    <w:rsid w:val="00A83402"/>
    <w:rsid w:val="00A83820"/>
    <w:rsid w:val="00A83B71"/>
    <w:rsid w:val="00A83E0B"/>
    <w:rsid w:val="00A83E50"/>
    <w:rsid w:val="00A83F66"/>
    <w:rsid w:val="00A842FD"/>
    <w:rsid w:val="00A8436E"/>
    <w:rsid w:val="00A843D9"/>
    <w:rsid w:val="00A8476F"/>
    <w:rsid w:val="00A847AE"/>
    <w:rsid w:val="00A8491D"/>
    <w:rsid w:val="00A84AF7"/>
    <w:rsid w:val="00A85035"/>
    <w:rsid w:val="00A8538F"/>
    <w:rsid w:val="00A85820"/>
    <w:rsid w:val="00A85ABB"/>
    <w:rsid w:val="00A85F06"/>
    <w:rsid w:val="00A85FD9"/>
    <w:rsid w:val="00A8601E"/>
    <w:rsid w:val="00A86178"/>
    <w:rsid w:val="00A86289"/>
    <w:rsid w:val="00A86387"/>
    <w:rsid w:val="00A865AF"/>
    <w:rsid w:val="00A86AB4"/>
    <w:rsid w:val="00A86C61"/>
    <w:rsid w:val="00A86D16"/>
    <w:rsid w:val="00A86E0F"/>
    <w:rsid w:val="00A8719A"/>
    <w:rsid w:val="00A8735B"/>
    <w:rsid w:val="00A87668"/>
    <w:rsid w:val="00A8778F"/>
    <w:rsid w:val="00A87BF5"/>
    <w:rsid w:val="00A87CE2"/>
    <w:rsid w:val="00A87E8F"/>
    <w:rsid w:val="00A90099"/>
    <w:rsid w:val="00A90551"/>
    <w:rsid w:val="00A907A5"/>
    <w:rsid w:val="00A90F0A"/>
    <w:rsid w:val="00A90FD8"/>
    <w:rsid w:val="00A9103E"/>
    <w:rsid w:val="00A91071"/>
    <w:rsid w:val="00A9107A"/>
    <w:rsid w:val="00A91238"/>
    <w:rsid w:val="00A91296"/>
    <w:rsid w:val="00A91389"/>
    <w:rsid w:val="00A91621"/>
    <w:rsid w:val="00A916B2"/>
    <w:rsid w:val="00A91787"/>
    <w:rsid w:val="00A917E3"/>
    <w:rsid w:val="00A91D93"/>
    <w:rsid w:val="00A92005"/>
    <w:rsid w:val="00A92A90"/>
    <w:rsid w:val="00A93470"/>
    <w:rsid w:val="00A93630"/>
    <w:rsid w:val="00A938B5"/>
    <w:rsid w:val="00A938FA"/>
    <w:rsid w:val="00A93A2D"/>
    <w:rsid w:val="00A93B76"/>
    <w:rsid w:val="00A93B92"/>
    <w:rsid w:val="00A93EB1"/>
    <w:rsid w:val="00A93FE3"/>
    <w:rsid w:val="00A9413C"/>
    <w:rsid w:val="00A945B9"/>
    <w:rsid w:val="00A9468C"/>
    <w:rsid w:val="00A9483D"/>
    <w:rsid w:val="00A948B5"/>
    <w:rsid w:val="00A94A7C"/>
    <w:rsid w:val="00A94BD3"/>
    <w:rsid w:val="00A94D6F"/>
    <w:rsid w:val="00A950BD"/>
    <w:rsid w:val="00A9560E"/>
    <w:rsid w:val="00A9595B"/>
    <w:rsid w:val="00A959C4"/>
    <w:rsid w:val="00A95AE5"/>
    <w:rsid w:val="00A95BD3"/>
    <w:rsid w:val="00A96627"/>
    <w:rsid w:val="00A96A29"/>
    <w:rsid w:val="00A96C33"/>
    <w:rsid w:val="00A96CAB"/>
    <w:rsid w:val="00A97173"/>
    <w:rsid w:val="00A973BE"/>
    <w:rsid w:val="00A9754A"/>
    <w:rsid w:val="00A97622"/>
    <w:rsid w:val="00A97639"/>
    <w:rsid w:val="00A97701"/>
    <w:rsid w:val="00A978B1"/>
    <w:rsid w:val="00A978E2"/>
    <w:rsid w:val="00A97DAA"/>
    <w:rsid w:val="00AA001E"/>
    <w:rsid w:val="00AA0469"/>
    <w:rsid w:val="00AA0533"/>
    <w:rsid w:val="00AA0539"/>
    <w:rsid w:val="00AA0918"/>
    <w:rsid w:val="00AA0B60"/>
    <w:rsid w:val="00AA0CE7"/>
    <w:rsid w:val="00AA0CEA"/>
    <w:rsid w:val="00AA0F31"/>
    <w:rsid w:val="00AA1022"/>
    <w:rsid w:val="00AA122C"/>
    <w:rsid w:val="00AA12D1"/>
    <w:rsid w:val="00AA1A88"/>
    <w:rsid w:val="00AA1BE6"/>
    <w:rsid w:val="00AA1D17"/>
    <w:rsid w:val="00AA22B4"/>
    <w:rsid w:val="00AA230B"/>
    <w:rsid w:val="00AA2788"/>
    <w:rsid w:val="00AA281B"/>
    <w:rsid w:val="00AA2ABD"/>
    <w:rsid w:val="00AA2B45"/>
    <w:rsid w:val="00AA2CB5"/>
    <w:rsid w:val="00AA2EC9"/>
    <w:rsid w:val="00AA30B7"/>
    <w:rsid w:val="00AA30BD"/>
    <w:rsid w:val="00AA318E"/>
    <w:rsid w:val="00AA3358"/>
    <w:rsid w:val="00AA3363"/>
    <w:rsid w:val="00AA336A"/>
    <w:rsid w:val="00AA33C2"/>
    <w:rsid w:val="00AA366A"/>
    <w:rsid w:val="00AA3A6A"/>
    <w:rsid w:val="00AA3C5F"/>
    <w:rsid w:val="00AA3CF2"/>
    <w:rsid w:val="00AA41CB"/>
    <w:rsid w:val="00AA4233"/>
    <w:rsid w:val="00AA430C"/>
    <w:rsid w:val="00AA443E"/>
    <w:rsid w:val="00AA4695"/>
    <w:rsid w:val="00AA47E3"/>
    <w:rsid w:val="00AA4938"/>
    <w:rsid w:val="00AA4AE1"/>
    <w:rsid w:val="00AA4BED"/>
    <w:rsid w:val="00AA52C9"/>
    <w:rsid w:val="00AA56B3"/>
    <w:rsid w:val="00AA5823"/>
    <w:rsid w:val="00AA58F7"/>
    <w:rsid w:val="00AA5921"/>
    <w:rsid w:val="00AA5A3B"/>
    <w:rsid w:val="00AA5B8E"/>
    <w:rsid w:val="00AA5C60"/>
    <w:rsid w:val="00AA5CAC"/>
    <w:rsid w:val="00AA5ECB"/>
    <w:rsid w:val="00AA60A3"/>
    <w:rsid w:val="00AA61C2"/>
    <w:rsid w:val="00AA6767"/>
    <w:rsid w:val="00AA6954"/>
    <w:rsid w:val="00AA6A71"/>
    <w:rsid w:val="00AA70B6"/>
    <w:rsid w:val="00AA73C3"/>
    <w:rsid w:val="00AA798C"/>
    <w:rsid w:val="00AA7B55"/>
    <w:rsid w:val="00AA7CDF"/>
    <w:rsid w:val="00AA7FA8"/>
    <w:rsid w:val="00AB0048"/>
    <w:rsid w:val="00AB039D"/>
    <w:rsid w:val="00AB067C"/>
    <w:rsid w:val="00AB0B23"/>
    <w:rsid w:val="00AB0FCB"/>
    <w:rsid w:val="00AB10D9"/>
    <w:rsid w:val="00AB13DD"/>
    <w:rsid w:val="00AB142F"/>
    <w:rsid w:val="00AB1630"/>
    <w:rsid w:val="00AB1671"/>
    <w:rsid w:val="00AB173F"/>
    <w:rsid w:val="00AB17ED"/>
    <w:rsid w:val="00AB1FAC"/>
    <w:rsid w:val="00AB212C"/>
    <w:rsid w:val="00AB2204"/>
    <w:rsid w:val="00AB2680"/>
    <w:rsid w:val="00AB27A5"/>
    <w:rsid w:val="00AB2A27"/>
    <w:rsid w:val="00AB2B9F"/>
    <w:rsid w:val="00AB2F39"/>
    <w:rsid w:val="00AB2FCA"/>
    <w:rsid w:val="00AB35F8"/>
    <w:rsid w:val="00AB3731"/>
    <w:rsid w:val="00AB3B52"/>
    <w:rsid w:val="00AB3CE2"/>
    <w:rsid w:val="00AB3D97"/>
    <w:rsid w:val="00AB3EB7"/>
    <w:rsid w:val="00AB3FDB"/>
    <w:rsid w:val="00AB4000"/>
    <w:rsid w:val="00AB42DA"/>
    <w:rsid w:val="00AB441D"/>
    <w:rsid w:val="00AB455B"/>
    <w:rsid w:val="00AB4647"/>
    <w:rsid w:val="00AB47C8"/>
    <w:rsid w:val="00AB49E8"/>
    <w:rsid w:val="00AB4AB0"/>
    <w:rsid w:val="00AB4BD5"/>
    <w:rsid w:val="00AB4C13"/>
    <w:rsid w:val="00AB4C8B"/>
    <w:rsid w:val="00AB4CD5"/>
    <w:rsid w:val="00AB4D72"/>
    <w:rsid w:val="00AB4DC2"/>
    <w:rsid w:val="00AB4DF3"/>
    <w:rsid w:val="00AB5097"/>
    <w:rsid w:val="00AB5437"/>
    <w:rsid w:val="00AB5608"/>
    <w:rsid w:val="00AB56D5"/>
    <w:rsid w:val="00AB573E"/>
    <w:rsid w:val="00AB5A01"/>
    <w:rsid w:val="00AB5A33"/>
    <w:rsid w:val="00AB5E84"/>
    <w:rsid w:val="00AB5ECA"/>
    <w:rsid w:val="00AB606E"/>
    <w:rsid w:val="00AB629B"/>
    <w:rsid w:val="00AB65B6"/>
    <w:rsid w:val="00AB6A19"/>
    <w:rsid w:val="00AB6B2B"/>
    <w:rsid w:val="00AB6DC6"/>
    <w:rsid w:val="00AB7408"/>
    <w:rsid w:val="00AB7886"/>
    <w:rsid w:val="00AC017D"/>
    <w:rsid w:val="00AC04BE"/>
    <w:rsid w:val="00AC04D7"/>
    <w:rsid w:val="00AC04EB"/>
    <w:rsid w:val="00AC0A41"/>
    <w:rsid w:val="00AC0D9E"/>
    <w:rsid w:val="00AC1023"/>
    <w:rsid w:val="00AC126D"/>
    <w:rsid w:val="00AC135E"/>
    <w:rsid w:val="00AC147F"/>
    <w:rsid w:val="00AC14B8"/>
    <w:rsid w:val="00AC16D3"/>
    <w:rsid w:val="00AC1756"/>
    <w:rsid w:val="00AC1888"/>
    <w:rsid w:val="00AC18F4"/>
    <w:rsid w:val="00AC197B"/>
    <w:rsid w:val="00AC19D4"/>
    <w:rsid w:val="00AC1AC1"/>
    <w:rsid w:val="00AC1BF1"/>
    <w:rsid w:val="00AC1C02"/>
    <w:rsid w:val="00AC1DB4"/>
    <w:rsid w:val="00AC20D8"/>
    <w:rsid w:val="00AC23BD"/>
    <w:rsid w:val="00AC2616"/>
    <w:rsid w:val="00AC285A"/>
    <w:rsid w:val="00AC2C01"/>
    <w:rsid w:val="00AC2EE2"/>
    <w:rsid w:val="00AC2F7F"/>
    <w:rsid w:val="00AC3054"/>
    <w:rsid w:val="00AC3121"/>
    <w:rsid w:val="00AC32CA"/>
    <w:rsid w:val="00AC36BE"/>
    <w:rsid w:val="00AC36FF"/>
    <w:rsid w:val="00AC3830"/>
    <w:rsid w:val="00AC3851"/>
    <w:rsid w:val="00AC3874"/>
    <w:rsid w:val="00AC3B5B"/>
    <w:rsid w:val="00AC3C0C"/>
    <w:rsid w:val="00AC3DF3"/>
    <w:rsid w:val="00AC3E06"/>
    <w:rsid w:val="00AC3E76"/>
    <w:rsid w:val="00AC3F86"/>
    <w:rsid w:val="00AC3FBF"/>
    <w:rsid w:val="00AC4311"/>
    <w:rsid w:val="00AC4491"/>
    <w:rsid w:val="00AC4688"/>
    <w:rsid w:val="00AC4729"/>
    <w:rsid w:val="00AC4B12"/>
    <w:rsid w:val="00AC4CE9"/>
    <w:rsid w:val="00AC4E13"/>
    <w:rsid w:val="00AC4F4A"/>
    <w:rsid w:val="00AC548C"/>
    <w:rsid w:val="00AC553B"/>
    <w:rsid w:val="00AC5655"/>
    <w:rsid w:val="00AC598B"/>
    <w:rsid w:val="00AC5B56"/>
    <w:rsid w:val="00AC5BDE"/>
    <w:rsid w:val="00AC5BF0"/>
    <w:rsid w:val="00AC5CF3"/>
    <w:rsid w:val="00AC5ED3"/>
    <w:rsid w:val="00AC5F91"/>
    <w:rsid w:val="00AC6211"/>
    <w:rsid w:val="00AC6218"/>
    <w:rsid w:val="00AC646B"/>
    <w:rsid w:val="00AC64BF"/>
    <w:rsid w:val="00AC7009"/>
    <w:rsid w:val="00AC7580"/>
    <w:rsid w:val="00AC7671"/>
    <w:rsid w:val="00AC7912"/>
    <w:rsid w:val="00AC7EB5"/>
    <w:rsid w:val="00AC7F06"/>
    <w:rsid w:val="00AD03F1"/>
    <w:rsid w:val="00AD05B8"/>
    <w:rsid w:val="00AD0794"/>
    <w:rsid w:val="00AD0B61"/>
    <w:rsid w:val="00AD0B87"/>
    <w:rsid w:val="00AD0DA6"/>
    <w:rsid w:val="00AD12E5"/>
    <w:rsid w:val="00AD141A"/>
    <w:rsid w:val="00AD14EB"/>
    <w:rsid w:val="00AD175F"/>
    <w:rsid w:val="00AD198D"/>
    <w:rsid w:val="00AD1BCE"/>
    <w:rsid w:val="00AD1C05"/>
    <w:rsid w:val="00AD1F20"/>
    <w:rsid w:val="00AD1F24"/>
    <w:rsid w:val="00AD21B7"/>
    <w:rsid w:val="00AD25AC"/>
    <w:rsid w:val="00AD2BB0"/>
    <w:rsid w:val="00AD2F90"/>
    <w:rsid w:val="00AD3081"/>
    <w:rsid w:val="00AD31B2"/>
    <w:rsid w:val="00AD33E6"/>
    <w:rsid w:val="00AD3A63"/>
    <w:rsid w:val="00AD3E8D"/>
    <w:rsid w:val="00AD3F26"/>
    <w:rsid w:val="00AD42FE"/>
    <w:rsid w:val="00AD43E5"/>
    <w:rsid w:val="00AD45D5"/>
    <w:rsid w:val="00AD4725"/>
    <w:rsid w:val="00AD4845"/>
    <w:rsid w:val="00AD48CB"/>
    <w:rsid w:val="00AD49C0"/>
    <w:rsid w:val="00AD4A85"/>
    <w:rsid w:val="00AD4C43"/>
    <w:rsid w:val="00AD4D95"/>
    <w:rsid w:val="00AD52CE"/>
    <w:rsid w:val="00AD531A"/>
    <w:rsid w:val="00AD5F9E"/>
    <w:rsid w:val="00AD6037"/>
    <w:rsid w:val="00AD62A3"/>
    <w:rsid w:val="00AD69B5"/>
    <w:rsid w:val="00AD6DE4"/>
    <w:rsid w:val="00AD71F7"/>
    <w:rsid w:val="00AD72A3"/>
    <w:rsid w:val="00AD77ED"/>
    <w:rsid w:val="00AD7887"/>
    <w:rsid w:val="00AD7FBA"/>
    <w:rsid w:val="00AE0177"/>
    <w:rsid w:val="00AE01B0"/>
    <w:rsid w:val="00AE0244"/>
    <w:rsid w:val="00AE0407"/>
    <w:rsid w:val="00AE04F1"/>
    <w:rsid w:val="00AE07F3"/>
    <w:rsid w:val="00AE083E"/>
    <w:rsid w:val="00AE093C"/>
    <w:rsid w:val="00AE0A31"/>
    <w:rsid w:val="00AE0AB5"/>
    <w:rsid w:val="00AE0BA2"/>
    <w:rsid w:val="00AE0C9C"/>
    <w:rsid w:val="00AE0DDC"/>
    <w:rsid w:val="00AE0E4D"/>
    <w:rsid w:val="00AE0ED1"/>
    <w:rsid w:val="00AE10A9"/>
    <w:rsid w:val="00AE152E"/>
    <w:rsid w:val="00AE171F"/>
    <w:rsid w:val="00AE188E"/>
    <w:rsid w:val="00AE18AE"/>
    <w:rsid w:val="00AE1A0D"/>
    <w:rsid w:val="00AE1B93"/>
    <w:rsid w:val="00AE1C3E"/>
    <w:rsid w:val="00AE1D28"/>
    <w:rsid w:val="00AE1D50"/>
    <w:rsid w:val="00AE1DC3"/>
    <w:rsid w:val="00AE1DCF"/>
    <w:rsid w:val="00AE1EA9"/>
    <w:rsid w:val="00AE2020"/>
    <w:rsid w:val="00AE213B"/>
    <w:rsid w:val="00AE2404"/>
    <w:rsid w:val="00AE25CE"/>
    <w:rsid w:val="00AE26AB"/>
    <w:rsid w:val="00AE2877"/>
    <w:rsid w:val="00AE2880"/>
    <w:rsid w:val="00AE2AAD"/>
    <w:rsid w:val="00AE2CC0"/>
    <w:rsid w:val="00AE2DC5"/>
    <w:rsid w:val="00AE2FCE"/>
    <w:rsid w:val="00AE3067"/>
    <w:rsid w:val="00AE3168"/>
    <w:rsid w:val="00AE316C"/>
    <w:rsid w:val="00AE31C9"/>
    <w:rsid w:val="00AE354B"/>
    <w:rsid w:val="00AE396C"/>
    <w:rsid w:val="00AE3A7C"/>
    <w:rsid w:val="00AE3C2B"/>
    <w:rsid w:val="00AE3C7F"/>
    <w:rsid w:val="00AE3D5F"/>
    <w:rsid w:val="00AE3F58"/>
    <w:rsid w:val="00AE3F8C"/>
    <w:rsid w:val="00AE407A"/>
    <w:rsid w:val="00AE4135"/>
    <w:rsid w:val="00AE42DA"/>
    <w:rsid w:val="00AE461F"/>
    <w:rsid w:val="00AE47D4"/>
    <w:rsid w:val="00AE4899"/>
    <w:rsid w:val="00AE4947"/>
    <w:rsid w:val="00AE4B47"/>
    <w:rsid w:val="00AE4D3D"/>
    <w:rsid w:val="00AE5194"/>
    <w:rsid w:val="00AE5349"/>
    <w:rsid w:val="00AE5384"/>
    <w:rsid w:val="00AE5985"/>
    <w:rsid w:val="00AE59AE"/>
    <w:rsid w:val="00AE5AC0"/>
    <w:rsid w:val="00AE5E57"/>
    <w:rsid w:val="00AE5FF7"/>
    <w:rsid w:val="00AE6084"/>
    <w:rsid w:val="00AE6107"/>
    <w:rsid w:val="00AE6281"/>
    <w:rsid w:val="00AE6561"/>
    <w:rsid w:val="00AE6621"/>
    <w:rsid w:val="00AE6622"/>
    <w:rsid w:val="00AE69F2"/>
    <w:rsid w:val="00AE6ED6"/>
    <w:rsid w:val="00AE70AA"/>
    <w:rsid w:val="00AE71D7"/>
    <w:rsid w:val="00AE7B1F"/>
    <w:rsid w:val="00AE7E87"/>
    <w:rsid w:val="00AF01F4"/>
    <w:rsid w:val="00AF02B3"/>
    <w:rsid w:val="00AF02F6"/>
    <w:rsid w:val="00AF040B"/>
    <w:rsid w:val="00AF0527"/>
    <w:rsid w:val="00AF0551"/>
    <w:rsid w:val="00AF058F"/>
    <w:rsid w:val="00AF063D"/>
    <w:rsid w:val="00AF06B1"/>
    <w:rsid w:val="00AF086F"/>
    <w:rsid w:val="00AF0AD0"/>
    <w:rsid w:val="00AF0B30"/>
    <w:rsid w:val="00AF0D89"/>
    <w:rsid w:val="00AF0E8B"/>
    <w:rsid w:val="00AF1152"/>
    <w:rsid w:val="00AF1394"/>
    <w:rsid w:val="00AF1921"/>
    <w:rsid w:val="00AF21BA"/>
    <w:rsid w:val="00AF226A"/>
    <w:rsid w:val="00AF23C5"/>
    <w:rsid w:val="00AF24F6"/>
    <w:rsid w:val="00AF2646"/>
    <w:rsid w:val="00AF2E95"/>
    <w:rsid w:val="00AF2EA4"/>
    <w:rsid w:val="00AF2ED9"/>
    <w:rsid w:val="00AF317A"/>
    <w:rsid w:val="00AF34EA"/>
    <w:rsid w:val="00AF3BCA"/>
    <w:rsid w:val="00AF4209"/>
    <w:rsid w:val="00AF4658"/>
    <w:rsid w:val="00AF469C"/>
    <w:rsid w:val="00AF4804"/>
    <w:rsid w:val="00AF491B"/>
    <w:rsid w:val="00AF4D0D"/>
    <w:rsid w:val="00AF4D45"/>
    <w:rsid w:val="00AF50AB"/>
    <w:rsid w:val="00AF50D5"/>
    <w:rsid w:val="00AF5732"/>
    <w:rsid w:val="00AF5793"/>
    <w:rsid w:val="00AF5BF2"/>
    <w:rsid w:val="00AF5C30"/>
    <w:rsid w:val="00AF5DFF"/>
    <w:rsid w:val="00AF6042"/>
    <w:rsid w:val="00AF62B1"/>
    <w:rsid w:val="00AF663B"/>
    <w:rsid w:val="00AF6640"/>
    <w:rsid w:val="00AF6798"/>
    <w:rsid w:val="00AF6B68"/>
    <w:rsid w:val="00AF6EED"/>
    <w:rsid w:val="00AF7190"/>
    <w:rsid w:val="00AF763B"/>
    <w:rsid w:val="00AF78E2"/>
    <w:rsid w:val="00AF7965"/>
    <w:rsid w:val="00AF7F6D"/>
    <w:rsid w:val="00AF7F8D"/>
    <w:rsid w:val="00AFB5C6"/>
    <w:rsid w:val="00B00049"/>
    <w:rsid w:val="00B0013C"/>
    <w:rsid w:val="00B0016A"/>
    <w:rsid w:val="00B003AF"/>
    <w:rsid w:val="00B004BD"/>
    <w:rsid w:val="00B00D52"/>
    <w:rsid w:val="00B00E25"/>
    <w:rsid w:val="00B00E93"/>
    <w:rsid w:val="00B01156"/>
    <w:rsid w:val="00B01542"/>
    <w:rsid w:val="00B01681"/>
    <w:rsid w:val="00B01922"/>
    <w:rsid w:val="00B01981"/>
    <w:rsid w:val="00B01D23"/>
    <w:rsid w:val="00B01E6C"/>
    <w:rsid w:val="00B02075"/>
    <w:rsid w:val="00B02160"/>
    <w:rsid w:val="00B021C3"/>
    <w:rsid w:val="00B02313"/>
    <w:rsid w:val="00B02700"/>
    <w:rsid w:val="00B027C9"/>
    <w:rsid w:val="00B02DC1"/>
    <w:rsid w:val="00B03B69"/>
    <w:rsid w:val="00B04234"/>
    <w:rsid w:val="00B04439"/>
    <w:rsid w:val="00B04587"/>
    <w:rsid w:val="00B046A4"/>
    <w:rsid w:val="00B04985"/>
    <w:rsid w:val="00B04EFD"/>
    <w:rsid w:val="00B04F88"/>
    <w:rsid w:val="00B0506F"/>
    <w:rsid w:val="00B0527E"/>
    <w:rsid w:val="00B052BC"/>
    <w:rsid w:val="00B053BF"/>
    <w:rsid w:val="00B05709"/>
    <w:rsid w:val="00B05C82"/>
    <w:rsid w:val="00B05CA6"/>
    <w:rsid w:val="00B05D1B"/>
    <w:rsid w:val="00B06009"/>
    <w:rsid w:val="00B062CD"/>
    <w:rsid w:val="00B0637E"/>
    <w:rsid w:val="00B0637F"/>
    <w:rsid w:val="00B06A31"/>
    <w:rsid w:val="00B06D49"/>
    <w:rsid w:val="00B06DB9"/>
    <w:rsid w:val="00B06E12"/>
    <w:rsid w:val="00B06FD3"/>
    <w:rsid w:val="00B07182"/>
    <w:rsid w:val="00B07502"/>
    <w:rsid w:val="00B0786A"/>
    <w:rsid w:val="00B0799A"/>
    <w:rsid w:val="00B07B74"/>
    <w:rsid w:val="00B07B9C"/>
    <w:rsid w:val="00B07CBE"/>
    <w:rsid w:val="00B1013D"/>
    <w:rsid w:val="00B10200"/>
    <w:rsid w:val="00B10568"/>
    <w:rsid w:val="00B10905"/>
    <w:rsid w:val="00B10981"/>
    <w:rsid w:val="00B10B1F"/>
    <w:rsid w:val="00B10B76"/>
    <w:rsid w:val="00B1127A"/>
    <w:rsid w:val="00B1187A"/>
    <w:rsid w:val="00B119D7"/>
    <w:rsid w:val="00B11AD7"/>
    <w:rsid w:val="00B11F2D"/>
    <w:rsid w:val="00B122F4"/>
    <w:rsid w:val="00B12319"/>
    <w:rsid w:val="00B12725"/>
    <w:rsid w:val="00B12880"/>
    <w:rsid w:val="00B12A94"/>
    <w:rsid w:val="00B12BFA"/>
    <w:rsid w:val="00B12C48"/>
    <w:rsid w:val="00B12D4E"/>
    <w:rsid w:val="00B13058"/>
    <w:rsid w:val="00B132E7"/>
    <w:rsid w:val="00B133BE"/>
    <w:rsid w:val="00B13496"/>
    <w:rsid w:val="00B13783"/>
    <w:rsid w:val="00B1396C"/>
    <w:rsid w:val="00B139B2"/>
    <w:rsid w:val="00B139D5"/>
    <w:rsid w:val="00B13A60"/>
    <w:rsid w:val="00B13DB5"/>
    <w:rsid w:val="00B13DD2"/>
    <w:rsid w:val="00B142B8"/>
    <w:rsid w:val="00B14311"/>
    <w:rsid w:val="00B143D7"/>
    <w:rsid w:val="00B1442F"/>
    <w:rsid w:val="00B1454A"/>
    <w:rsid w:val="00B145F9"/>
    <w:rsid w:val="00B14964"/>
    <w:rsid w:val="00B149F0"/>
    <w:rsid w:val="00B14BE8"/>
    <w:rsid w:val="00B14EF3"/>
    <w:rsid w:val="00B1504B"/>
    <w:rsid w:val="00B15082"/>
    <w:rsid w:val="00B152A2"/>
    <w:rsid w:val="00B152D1"/>
    <w:rsid w:val="00B15595"/>
    <w:rsid w:val="00B155CF"/>
    <w:rsid w:val="00B155E0"/>
    <w:rsid w:val="00B15812"/>
    <w:rsid w:val="00B15BBD"/>
    <w:rsid w:val="00B15BCF"/>
    <w:rsid w:val="00B15DA9"/>
    <w:rsid w:val="00B15DE7"/>
    <w:rsid w:val="00B16670"/>
    <w:rsid w:val="00B16937"/>
    <w:rsid w:val="00B16A03"/>
    <w:rsid w:val="00B16C7E"/>
    <w:rsid w:val="00B1725E"/>
    <w:rsid w:val="00B173FB"/>
    <w:rsid w:val="00B173FF"/>
    <w:rsid w:val="00B17755"/>
    <w:rsid w:val="00B179F1"/>
    <w:rsid w:val="00B17A9A"/>
    <w:rsid w:val="00B20062"/>
    <w:rsid w:val="00B2027B"/>
    <w:rsid w:val="00B20531"/>
    <w:rsid w:val="00B2068E"/>
    <w:rsid w:val="00B206B3"/>
    <w:rsid w:val="00B209D8"/>
    <w:rsid w:val="00B20A29"/>
    <w:rsid w:val="00B20BFF"/>
    <w:rsid w:val="00B20C8D"/>
    <w:rsid w:val="00B20CD5"/>
    <w:rsid w:val="00B20D3A"/>
    <w:rsid w:val="00B20E49"/>
    <w:rsid w:val="00B21088"/>
    <w:rsid w:val="00B212DD"/>
    <w:rsid w:val="00B21305"/>
    <w:rsid w:val="00B21826"/>
    <w:rsid w:val="00B21A4C"/>
    <w:rsid w:val="00B21A85"/>
    <w:rsid w:val="00B21B10"/>
    <w:rsid w:val="00B21BD6"/>
    <w:rsid w:val="00B21EBE"/>
    <w:rsid w:val="00B21ECF"/>
    <w:rsid w:val="00B21F69"/>
    <w:rsid w:val="00B222F6"/>
    <w:rsid w:val="00B2233E"/>
    <w:rsid w:val="00B2259E"/>
    <w:rsid w:val="00B226E8"/>
    <w:rsid w:val="00B22708"/>
    <w:rsid w:val="00B22955"/>
    <w:rsid w:val="00B22E6E"/>
    <w:rsid w:val="00B22FC8"/>
    <w:rsid w:val="00B232A0"/>
    <w:rsid w:val="00B2391D"/>
    <w:rsid w:val="00B23B9C"/>
    <w:rsid w:val="00B23C1B"/>
    <w:rsid w:val="00B23C36"/>
    <w:rsid w:val="00B23C65"/>
    <w:rsid w:val="00B23CB7"/>
    <w:rsid w:val="00B24170"/>
    <w:rsid w:val="00B241BF"/>
    <w:rsid w:val="00B241EB"/>
    <w:rsid w:val="00B24A41"/>
    <w:rsid w:val="00B24B02"/>
    <w:rsid w:val="00B24C2B"/>
    <w:rsid w:val="00B2513D"/>
    <w:rsid w:val="00B255DD"/>
    <w:rsid w:val="00B25831"/>
    <w:rsid w:val="00B258C1"/>
    <w:rsid w:val="00B258C3"/>
    <w:rsid w:val="00B25A95"/>
    <w:rsid w:val="00B25C5C"/>
    <w:rsid w:val="00B261C0"/>
    <w:rsid w:val="00B261EA"/>
    <w:rsid w:val="00B263A3"/>
    <w:rsid w:val="00B263C2"/>
    <w:rsid w:val="00B26A0D"/>
    <w:rsid w:val="00B26B97"/>
    <w:rsid w:val="00B26FA5"/>
    <w:rsid w:val="00B270DA"/>
    <w:rsid w:val="00B2718B"/>
    <w:rsid w:val="00B272A3"/>
    <w:rsid w:val="00B272B6"/>
    <w:rsid w:val="00B27553"/>
    <w:rsid w:val="00B276FE"/>
    <w:rsid w:val="00B27B43"/>
    <w:rsid w:val="00B27BD2"/>
    <w:rsid w:val="00B27C96"/>
    <w:rsid w:val="00B27CED"/>
    <w:rsid w:val="00B27F38"/>
    <w:rsid w:val="00B30274"/>
    <w:rsid w:val="00B3027D"/>
    <w:rsid w:val="00B30404"/>
    <w:rsid w:val="00B30498"/>
    <w:rsid w:val="00B3085D"/>
    <w:rsid w:val="00B309B0"/>
    <w:rsid w:val="00B30C1E"/>
    <w:rsid w:val="00B30CA7"/>
    <w:rsid w:val="00B30F85"/>
    <w:rsid w:val="00B30FF5"/>
    <w:rsid w:val="00B31075"/>
    <w:rsid w:val="00B3140D"/>
    <w:rsid w:val="00B31A4E"/>
    <w:rsid w:val="00B31C4C"/>
    <w:rsid w:val="00B31D8E"/>
    <w:rsid w:val="00B31ED5"/>
    <w:rsid w:val="00B322B6"/>
    <w:rsid w:val="00B32343"/>
    <w:rsid w:val="00B3241A"/>
    <w:rsid w:val="00B32663"/>
    <w:rsid w:val="00B32AB0"/>
    <w:rsid w:val="00B32FF2"/>
    <w:rsid w:val="00B3353B"/>
    <w:rsid w:val="00B3375A"/>
    <w:rsid w:val="00B33B9B"/>
    <w:rsid w:val="00B34257"/>
    <w:rsid w:val="00B3430D"/>
    <w:rsid w:val="00B344E0"/>
    <w:rsid w:val="00B34541"/>
    <w:rsid w:val="00B3482F"/>
    <w:rsid w:val="00B349D4"/>
    <w:rsid w:val="00B34B66"/>
    <w:rsid w:val="00B34D54"/>
    <w:rsid w:val="00B34D79"/>
    <w:rsid w:val="00B34E73"/>
    <w:rsid w:val="00B34F40"/>
    <w:rsid w:val="00B3519D"/>
    <w:rsid w:val="00B35201"/>
    <w:rsid w:val="00B3528E"/>
    <w:rsid w:val="00B352AE"/>
    <w:rsid w:val="00B35871"/>
    <w:rsid w:val="00B35A4E"/>
    <w:rsid w:val="00B35C87"/>
    <w:rsid w:val="00B36096"/>
    <w:rsid w:val="00B360B5"/>
    <w:rsid w:val="00B360EA"/>
    <w:rsid w:val="00B36AE0"/>
    <w:rsid w:val="00B36CE1"/>
    <w:rsid w:val="00B36E4C"/>
    <w:rsid w:val="00B36F2E"/>
    <w:rsid w:val="00B3743B"/>
    <w:rsid w:val="00B3755B"/>
    <w:rsid w:val="00B375EC"/>
    <w:rsid w:val="00B378AD"/>
    <w:rsid w:val="00B37C01"/>
    <w:rsid w:val="00B400ED"/>
    <w:rsid w:val="00B4012C"/>
    <w:rsid w:val="00B40304"/>
    <w:rsid w:val="00B403E2"/>
    <w:rsid w:val="00B404A8"/>
    <w:rsid w:val="00B4080E"/>
    <w:rsid w:val="00B40B58"/>
    <w:rsid w:val="00B40C2F"/>
    <w:rsid w:val="00B4130C"/>
    <w:rsid w:val="00B41507"/>
    <w:rsid w:val="00B4177B"/>
    <w:rsid w:val="00B4217A"/>
    <w:rsid w:val="00B42686"/>
    <w:rsid w:val="00B42720"/>
    <w:rsid w:val="00B42986"/>
    <w:rsid w:val="00B42ADA"/>
    <w:rsid w:val="00B42B71"/>
    <w:rsid w:val="00B42C99"/>
    <w:rsid w:val="00B42FB5"/>
    <w:rsid w:val="00B430D5"/>
    <w:rsid w:val="00B431FE"/>
    <w:rsid w:val="00B43A00"/>
    <w:rsid w:val="00B43BFC"/>
    <w:rsid w:val="00B43EDB"/>
    <w:rsid w:val="00B4433B"/>
    <w:rsid w:val="00B444DE"/>
    <w:rsid w:val="00B4467F"/>
    <w:rsid w:val="00B446FA"/>
    <w:rsid w:val="00B44AF0"/>
    <w:rsid w:val="00B44B72"/>
    <w:rsid w:val="00B44E87"/>
    <w:rsid w:val="00B44E93"/>
    <w:rsid w:val="00B45286"/>
    <w:rsid w:val="00B45463"/>
    <w:rsid w:val="00B456E3"/>
    <w:rsid w:val="00B456FD"/>
    <w:rsid w:val="00B45799"/>
    <w:rsid w:val="00B4584C"/>
    <w:rsid w:val="00B458F3"/>
    <w:rsid w:val="00B45B64"/>
    <w:rsid w:val="00B45C0E"/>
    <w:rsid w:val="00B46300"/>
    <w:rsid w:val="00B463FD"/>
    <w:rsid w:val="00B46490"/>
    <w:rsid w:val="00B4666C"/>
    <w:rsid w:val="00B469D9"/>
    <w:rsid w:val="00B46C77"/>
    <w:rsid w:val="00B46C97"/>
    <w:rsid w:val="00B46CAA"/>
    <w:rsid w:val="00B473F6"/>
    <w:rsid w:val="00B47404"/>
    <w:rsid w:val="00B47463"/>
    <w:rsid w:val="00B474CD"/>
    <w:rsid w:val="00B475C9"/>
    <w:rsid w:val="00B47CAF"/>
    <w:rsid w:val="00B47D6E"/>
    <w:rsid w:val="00B47EF5"/>
    <w:rsid w:val="00B47FDB"/>
    <w:rsid w:val="00B500B3"/>
    <w:rsid w:val="00B50118"/>
    <w:rsid w:val="00B5093F"/>
    <w:rsid w:val="00B50974"/>
    <w:rsid w:val="00B50A80"/>
    <w:rsid w:val="00B50B48"/>
    <w:rsid w:val="00B50E8B"/>
    <w:rsid w:val="00B5111C"/>
    <w:rsid w:val="00B5113C"/>
    <w:rsid w:val="00B5150D"/>
    <w:rsid w:val="00B51511"/>
    <w:rsid w:val="00B515B3"/>
    <w:rsid w:val="00B516EF"/>
    <w:rsid w:val="00B5188F"/>
    <w:rsid w:val="00B518C7"/>
    <w:rsid w:val="00B519E0"/>
    <w:rsid w:val="00B52779"/>
    <w:rsid w:val="00B527FB"/>
    <w:rsid w:val="00B52CEC"/>
    <w:rsid w:val="00B52EC8"/>
    <w:rsid w:val="00B53069"/>
    <w:rsid w:val="00B5330D"/>
    <w:rsid w:val="00B53396"/>
    <w:rsid w:val="00B533A2"/>
    <w:rsid w:val="00B534AB"/>
    <w:rsid w:val="00B53544"/>
    <w:rsid w:val="00B536E0"/>
    <w:rsid w:val="00B5378F"/>
    <w:rsid w:val="00B537AE"/>
    <w:rsid w:val="00B537BA"/>
    <w:rsid w:val="00B5397E"/>
    <w:rsid w:val="00B53C34"/>
    <w:rsid w:val="00B53C45"/>
    <w:rsid w:val="00B53D18"/>
    <w:rsid w:val="00B53D65"/>
    <w:rsid w:val="00B53F7C"/>
    <w:rsid w:val="00B53FC4"/>
    <w:rsid w:val="00B54024"/>
    <w:rsid w:val="00B54445"/>
    <w:rsid w:val="00B54673"/>
    <w:rsid w:val="00B54984"/>
    <w:rsid w:val="00B54BDA"/>
    <w:rsid w:val="00B54CD0"/>
    <w:rsid w:val="00B54DF4"/>
    <w:rsid w:val="00B54E64"/>
    <w:rsid w:val="00B550AB"/>
    <w:rsid w:val="00B55354"/>
    <w:rsid w:val="00B5538A"/>
    <w:rsid w:val="00B55443"/>
    <w:rsid w:val="00B55448"/>
    <w:rsid w:val="00B5575E"/>
    <w:rsid w:val="00B55E92"/>
    <w:rsid w:val="00B55E9E"/>
    <w:rsid w:val="00B55FA8"/>
    <w:rsid w:val="00B56018"/>
    <w:rsid w:val="00B560E3"/>
    <w:rsid w:val="00B5633E"/>
    <w:rsid w:val="00B56349"/>
    <w:rsid w:val="00B56C99"/>
    <w:rsid w:val="00B56EAE"/>
    <w:rsid w:val="00B570D1"/>
    <w:rsid w:val="00B57161"/>
    <w:rsid w:val="00B571FA"/>
    <w:rsid w:val="00B574E3"/>
    <w:rsid w:val="00B5761F"/>
    <w:rsid w:val="00B5768C"/>
    <w:rsid w:val="00B57716"/>
    <w:rsid w:val="00B57834"/>
    <w:rsid w:val="00B579A1"/>
    <w:rsid w:val="00B57C79"/>
    <w:rsid w:val="00B60263"/>
    <w:rsid w:val="00B60642"/>
    <w:rsid w:val="00B60816"/>
    <w:rsid w:val="00B6082A"/>
    <w:rsid w:val="00B60A9A"/>
    <w:rsid w:val="00B60B79"/>
    <w:rsid w:val="00B60DDB"/>
    <w:rsid w:val="00B60E04"/>
    <w:rsid w:val="00B613C1"/>
    <w:rsid w:val="00B614DD"/>
    <w:rsid w:val="00B61926"/>
    <w:rsid w:val="00B61A9E"/>
    <w:rsid w:val="00B61B49"/>
    <w:rsid w:val="00B61F95"/>
    <w:rsid w:val="00B61FA4"/>
    <w:rsid w:val="00B61FD2"/>
    <w:rsid w:val="00B62079"/>
    <w:rsid w:val="00B6291A"/>
    <w:rsid w:val="00B62B86"/>
    <w:rsid w:val="00B62C7D"/>
    <w:rsid w:val="00B62F6B"/>
    <w:rsid w:val="00B6309B"/>
    <w:rsid w:val="00B631D2"/>
    <w:rsid w:val="00B6336B"/>
    <w:rsid w:val="00B63693"/>
    <w:rsid w:val="00B6383E"/>
    <w:rsid w:val="00B6394C"/>
    <w:rsid w:val="00B63C9A"/>
    <w:rsid w:val="00B63CA9"/>
    <w:rsid w:val="00B64178"/>
    <w:rsid w:val="00B641B0"/>
    <w:rsid w:val="00B648B6"/>
    <w:rsid w:val="00B6492B"/>
    <w:rsid w:val="00B649FF"/>
    <w:rsid w:val="00B64A46"/>
    <w:rsid w:val="00B64DBB"/>
    <w:rsid w:val="00B64FFE"/>
    <w:rsid w:val="00B650A6"/>
    <w:rsid w:val="00B65839"/>
    <w:rsid w:val="00B6596E"/>
    <w:rsid w:val="00B65B27"/>
    <w:rsid w:val="00B65BBF"/>
    <w:rsid w:val="00B65BD2"/>
    <w:rsid w:val="00B65D1C"/>
    <w:rsid w:val="00B65D3A"/>
    <w:rsid w:val="00B65DB0"/>
    <w:rsid w:val="00B65E43"/>
    <w:rsid w:val="00B6615D"/>
    <w:rsid w:val="00B66287"/>
    <w:rsid w:val="00B663D9"/>
    <w:rsid w:val="00B664D7"/>
    <w:rsid w:val="00B66904"/>
    <w:rsid w:val="00B66CBA"/>
    <w:rsid w:val="00B66E8E"/>
    <w:rsid w:val="00B6716C"/>
    <w:rsid w:val="00B675DF"/>
    <w:rsid w:val="00B6796C"/>
    <w:rsid w:val="00B67B15"/>
    <w:rsid w:val="00B67B7D"/>
    <w:rsid w:val="00B67C82"/>
    <w:rsid w:val="00B67D72"/>
    <w:rsid w:val="00B67F1B"/>
    <w:rsid w:val="00B7004B"/>
    <w:rsid w:val="00B70451"/>
    <w:rsid w:val="00B705A3"/>
    <w:rsid w:val="00B706E7"/>
    <w:rsid w:val="00B708C9"/>
    <w:rsid w:val="00B70C42"/>
    <w:rsid w:val="00B70D64"/>
    <w:rsid w:val="00B70D91"/>
    <w:rsid w:val="00B710DA"/>
    <w:rsid w:val="00B710FD"/>
    <w:rsid w:val="00B71280"/>
    <w:rsid w:val="00B71458"/>
    <w:rsid w:val="00B714F5"/>
    <w:rsid w:val="00B71674"/>
    <w:rsid w:val="00B71677"/>
    <w:rsid w:val="00B71D28"/>
    <w:rsid w:val="00B71EC9"/>
    <w:rsid w:val="00B71F02"/>
    <w:rsid w:val="00B7268E"/>
    <w:rsid w:val="00B728F4"/>
    <w:rsid w:val="00B729EC"/>
    <w:rsid w:val="00B72A0A"/>
    <w:rsid w:val="00B72B28"/>
    <w:rsid w:val="00B72F89"/>
    <w:rsid w:val="00B730F8"/>
    <w:rsid w:val="00B739C8"/>
    <w:rsid w:val="00B73A2F"/>
    <w:rsid w:val="00B73D58"/>
    <w:rsid w:val="00B73D82"/>
    <w:rsid w:val="00B74041"/>
    <w:rsid w:val="00B7494D"/>
    <w:rsid w:val="00B74A73"/>
    <w:rsid w:val="00B74C25"/>
    <w:rsid w:val="00B7529D"/>
    <w:rsid w:val="00B7543F"/>
    <w:rsid w:val="00B756F5"/>
    <w:rsid w:val="00B757AB"/>
    <w:rsid w:val="00B75B9F"/>
    <w:rsid w:val="00B75DCB"/>
    <w:rsid w:val="00B75F6B"/>
    <w:rsid w:val="00B76057"/>
    <w:rsid w:val="00B76265"/>
    <w:rsid w:val="00B7639E"/>
    <w:rsid w:val="00B7654D"/>
    <w:rsid w:val="00B768DA"/>
    <w:rsid w:val="00B768E9"/>
    <w:rsid w:val="00B76AB7"/>
    <w:rsid w:val="00B76EC5"/>
    <w:rsid w:val="00B7731B"/>
    <w:rsid w:val="00B773C1"/>
    <w:rsid w:val="00B773FC"/>
    <w:rsid w:val="00B77592"/>
    <w:rsid w:val="00B775FD"/>
    <w:rsid w:val="00B77658"/>
    <w:rsid w:val="00B776A2"/>
    <w:rsid w:val="00B77760"/>
    <w:rsid w:val="00B777A2"/>
    <w:rsid w:val="00B777CE"/>
    <w:rsid w:val="00B7782F"/>
    <w:rsid w:val="00B7787F"/>
    <w:rsid w:val="00B779F5"/>
    <w:rsid w:val="00B77DE0"/>
    <w:rsid w:val="00B80161"/>
    <w:rsid w:val="00B80254"/>
    <w:rsid w:val="00B804B9"/>
    <w:rsid w:val="00B80538"/>
    <w:rsid w:val="00B8085B"/>
    <w:rsid w:val="00B80DE5"/>
    <w:rsid w:val="00B80E36"/>
    <w:rsid w:val="00B80E6E"/>
    <w:rsid w:val="00B80ED1"/>
    <w:rsid w:val="00B811C8"/>
    <w:rsid w:val="00B815A7"/>
    <w:rsid w:val="00B8181B"/>
    <w:rsid w:val="00B819E7"/>
    <w:rsid w:val="00B81BAE"/>
    <w:rsid w:val="00B82173"/>
    <w:rsid w:val="00B827B4"/>
    <w:rsid w:val="00B82877"/>
    <w:rsid w:val="00B82ABD"/>
    <w:rsid w:val="00B82B04"/>
    <w:rsid w:val="00B82EF6"/>
    <w:rsid w:val="00B83426"/>
    <w:rsid w:val="00B839C6"/>
    <w:rsid w:val="00B83E23"/>
    <w:rsid w:val="00B8454E"/>
    <w:rsid w:val="00B84663"/>
    <w:rsid w:val="00B8488C"/>
    <w:rsid w:val="00B84A38"/>
    <w:rsid w:val="00B84FB2"/>
    <w:rsid w:val="00B85239"/>
    <w:rsid w:val="00B85665"/>
    <w:rsid w:val="00B85EAF"/>
    <w:rsid w:val="00B85F15"/>
    <w:rsid w:val="00B85F7C"/>
    <w:rsid w:val="00B86418"/>
    <w:rsid w:val="00B864C9"/>
    <w:rsid w:val="00B86BC0"/>
    <w:rsid w:val="00B86C29"/>
    <w:rsid w:val="00B86E7E"/>
    <w:rsid w:val="00B870E3"/>
    <w:rsid w:val="00B87285"/>
    <w:rsid w:val="00B87575"/>
    <w:rsid w:val="00B87727"/>
    <w:rsid w:val="00B877BA"/>
    <w:rsid w:val="00B87A7E"/>
    <w:rsid w:val="00B87BB7"/>
    <w:rsid w:val="00B87D4C"/>
    <w:rsid w:val="00B900E7"/>
    <w:rsid w:val="00B904AC"/>
    <w:rsid w:val="00B9061A"/>
    <w:rsid w:val="00B90628"/>
    <w:rsid w:val="00B90863"/>
    <w:rsid w:val="00B90AB7"/>
    <w:rsid w:val="00B90DDB"/>
    <w:rsid w:val="00B90F18"/>
    <w:rsid w:val="00B91320"/>
    <w:rsid w:val="00B9138A"/>
    <w:rsid w:val="00B9145E"/>
    <w:rsid w:val="00B916B1"/>
    <w:rsid w:val="00B9173A"/>
    <w:rsid w:val="00B9179B"/>
    <w:rsid w:val="00B917C6"/>
    <w:rsid w:val="00B91836"/>
    <w:rsid w:val="00B91868"/>
    <w:rsid w:val="00B9187C"/>
    <w:rsid w:val="00B91A0A"/>
    <w:rsid w:val="00B91C2C"/>
    <w:rsid w:val="00B91C36"/>
    <w:rsid w:val="00B91D60"/>
    <w:rsid w:val="00B9211D"/>
    <w:rsid w:val="00B9245A"/>
    <w:rsid w:val="00B9263F"/>
    <w:rsid w:val="00B928C2"/>
    <w:rsid w:val="00B92936"/>
    <w:rsid w:val="00B92CFD"/>
    <w:rsid w:val="00B92D4D"/>
    <w:rsid w:val="00B93032"/>
    <w:rsid w:val="00B93399"/>
    <w:rsid w:val="00B93475"/>
    <w:rsid w:val="00B9348C"/>
    <w:rsid w:val="00B93527"/>
    <w:rsid w:val="00B9371B"/>
    <w:rsid w:val="00B937E4"/>
    <w:rsid w:val="00B93840"/>
    <w:rsid w:val="00B93D39"/>
    <w:rsid w:val="00B94083"/>
    <w:rsid w:val="00B94167"/>
    <w:rsid w:val="00B941E9"/>
    <w:rsid w:val="00B94249"/>
    <w:rsid w:val="00B9438C"/>
    <w:rsid w:val="00B94840"/>
    <w:rsid w:val="00B94F78"/>
    <w:rsid w:val="00B94F7B"/>
    <w:rsid w:val="00B95142"/>
    <w:rsid w:val="00B952A2"/>
    <w:rsid w:val="00B95551"/>
    <w:rsid w:val="00B9569A"/>
    <w:rsid w:val="00B957BE"/>
    <w:rsid w:val="00B95A4B"/>
    <w:rsid w:val="00B95F99"/>
    <w:rsid w:val="00B95FBE"/>
    <w:rsid w:val="00B95FC3"/>
    <w:rsid w:val="00B96030"/>
    <w:rsid w:val="00B9619B"/>
    <w:rsid w:val="00B96411"/>
    <w:rsid w:val="00B966BE"/>
    <w:rsid w:val="00B96962"/>
    <w:rsid w:val="00B96AE4"/>
    <w:rsid w:val="00B96DDD"/>
    <w:rsid w:val="00B97034"/>
    <w:rsid w:val="00B971EF"/>
    <w:rsid w:val="00B9780E"/>
    <w:rsid w:val="00B978B4"/>
    <w:rsid w:val="00B97CE9"/>
    <w:rsid w:val="00B97E31"/>
    <w:rsid w:val="00B97FB0"/>
    <w:rsid w:val="00BA00A8"/>
    <w:rsid w:val="00BA0155"/>
    <w:rsid w:val="00BA021F"/>
    <w:rsid w:val="00BA09E5"/>
    <w:rsid w:val="00BA1103"/>
    <w:rsid w:val="00BA1464"/>
    <w:rsid w:val="00BA1683"/>
    <w:rsid w:val="00BA1740"/>
    <w:rsid w:val="00BA1744"/>
    <w:rsid w:val="00BA1AA3"/>
    <w:rsid w:val="00BA1E3F"/>
    <w:rsid w:val="00BA1E48"/>
    <w:rsid w:val="00BA1E6A"/>
    <w:rsid w:val="00BA228D"/>
    <w:rsid w:val="00BA2356"/>
    <w:rsid w:val="00BA23EF"/>
    <w:rsid w:val="00BA2486"/>
    <w:rsid w:val="00BA28F8"/>
    <w:rsid w:val="00BA2A22"/>
    <w:rsid w:val="00BA2C4E"/>
    <w:rsid w:val="00BA3368"/>
    <w:rsid w:val="00BA3637"/>
    <w:rsid w:val="00BA3742"/>
    <w:rsid w:val="00BA3A4E"/>
    <w:rsid w:val="00BA3A6F"/>
    <w:rsid w:val="00BA3C03"/>
    <w:rsid w:val="00BA3DC2"/>
    <w:rsid w:val="00BA4049"/>
    <w:rsid w:val="00BA40F2"/>
    <w:rsid w:val="00BA44A2"/>
    <w:rsid w:val="00BA466C"/>
    <w:rsid w:val="00BA4717"/>
    <w:rsid w:val="00BA47CC"/>
    <w:rsid w:val="00BA4FAE"/>
    <w:rsid w:val="00BA58C6"/>
    <w:rsid w:val="00BA5BBD"/>
    <w:rsid w:val="00BA5EAB"/>
    <w:rsid w:val="00BA5FDC"/>
    <w:rsid w:val="00BA61CB"/>
    <w:rsid w:val="00BA6293"/>
    <w:rsid w:val="00BA641B"/>
    <w:rsid w:val="00BA6563"/>
    <w:rsid w:val="00BA662A"/>
    <w:rsid w:val="00BA69EE"/>
    <w:rsid w:val="00BA74A8"/>
    <w:rsid w:val="00BA7728"/>
    <w:rsid w:val="00BA794F"/>
    <w:rsid w:val="00BA7D7C"/>
    <w:rsid w:val="00BA7F75"/>
    <w:rsid w:val="00BA7FA2"/>
    <w:rsid w:val="00BB000F"/>
    <w:rsid w:val="00BB0020"/>
    <w:rsid w:val="00BB024B"/>
    <w:rsid w:val="00BB0669"/>
    <w:rsid w:val="00BB08A9"/>
    <w:rsid w:val="00BB0975"/>
    <w:rsid w:val="00BB0AC2"/>
    <w:rsid w:val="00BB0B05"/>
    <w:rsid w:val="00BB0D99"/>
    <w:rsid w:val="00BB0ED0"/>
    <w:rsid w:val="00BB10DC"/>
    <w:rsid w:val="00BB1557"/>
    <w:rsid w:val="00BB160F"/>
    <w:rsid w:val="00BB1A44"/>
    <w:rsid w:val="00BB1BF0"/>
    <w:rsid w:val="00BB1C6D"/>
    <w:rsid w:val="00BB2876"/>
    <w:rsid w:val="00BB2948"/>
    <w:rsid w:val="00BB2BC3"/>
    <w:rsid w:val="00BB3166"/>
    <w:rsid w:val="00BB32BD"/>
    <w:rsid w:val="00BB37DA"/>
    <w:rsid w:val="00BB3A23"/>
    <w:rsid w:val="00BB3A4E"/>
    <w:rsid w:val="00BB3B08"/>
    <w:rsid w:val="00BB3BFB"/>
    <w:rsid w:val="00BB40C5"/>
    <w:rsid w:val="00BB413D"/>
    <w:rsid w:val="00BB4430"/>
    <w:rsid w:val="00BB45BD"/>
    <w:rsid w:val="00BB495F"/>
    <w:rsid w:val="00BB4B5A"/>
    <w:rsid w:val="00BB4CA5"/>
    <w:rsid w:val="00BB4DA0"/>
    <w:rsid w:val="00BB507E"/>
    <w:rsid w:val="00BB51CC"/>
    <w:rsid w:val="00BB5620"/>
    <w:rsid w:val="00BB5A10"/>
    <w:rsid w:val="00BB5A55"/>
    <w:rsid w:val="00BB5AFC"/>
    <w:rsid w:val="00BB5D71"/>
    <w:rsid w:val="00BB5E83"/>
    <w:rsid w:val="00BB5EE4"/>
    <w:rsid w:val="00BB62C9"/>
    <w:rsid w:val="00BB63E0"/>
    <w:rsid w:val="00BB67C8"/>
    <w:rsid w:val="00BB6DE2"/>
    <w:rsid w:val="00BB6F29"/>
    <w:rsid w:val="00BB6F47"/>
    <w:rsid w:val="00BB73C0"/>
    <w:rsid w:val="00BB75A1"/>
    <w:rsid w:val="00BB75D4"/>
    <w:rsid w:val="00BB7806"/>
    <w:rsid w:val="00BB7833"/>
    <w:rsid w:val="00BB7BA8"/>
    <w:rsid w:val="00BB7D64"/>
    <w:rsid w:val="00BC0332"/>
    <w:rsid w:val="00BC03C7"/>
    <w:rsid w:val="00BC097B"/>
    <w:rsid w:val="00BC0C4F"/>
    <w:rsid w:val="00BC0E0F"/>
    <w:rsid w:val="00BC102C"/>
    <w:rsid w:val="00BC1156"/>
    <w:rsid w:val="00BC191B"/>
    <w:rsid w:val="00BC1A77"/>
    <w:rsid w:val="00BC1B5F"/>
    <w:rsid w:val="00BC1B6A"/>
    <w:rsid w:val="00BC1CE1"/>
    <w:rsid w:val="00BC20CF"/>
    <w:rsid w:val="00BC22C2"/>
    <w:rsid w:val="00BC22EF"/>
    <w:rsid w:val="00BC232E"/>
    <w:rsid w:val="00BC289E"/>
    <w:rsid w:val="00BC28CC"/>
    <w:rsid w:val="00BC2ACA"/>
    <w:rsid w:val="00BC33AD"/>
    <w:rsid w:val="00BC3413"/>
    <w:rsid w:val="00BC3471"/>
    <w:rsid w:val="00BC35CA"/>
    <w:rsid w:val="00BC3791"/>
    <w:rsid w:val="00BC3A0F"/>
    <w:rsid w:val="00BC3AC5"/>
    <w:rsid w:val="00BC3BC9"/>
    <w:rsid w:val="00BC409D"/>
    <w:rsid w:val="00BC4210"/>
    <w:rsid w:val="00BC4561"/>
    <w:rsid w:val="00BC469C"/>
    <w:rsid w:val="00BC4872"/>
    <w:rsid w:val="00BC4AA3"/>
    <w:rsid w:val="00BC4AD0"/>
    <w:rsid w:val="00BC4B55"/>
    <w:rsid w:val="00BC4C91"/>
    <w:rsid w:val="00BC552A"/>
    <w:rsid w:val="00BC56F7"/>
    <w:rsid w:val="00BC57F5"/>
    <w:rsid w:val="00BC587E"/>
    <w:rsid w:val="00BC5894"/>
    <w:rsid w:val="00BC5BBF"/>
    <w:rsid w:val="00BC5E35"/>
    <w:rsid w:val="00BC5E65"/>
    <w:rsid w:val="00BC6162"/>
    <w:rsid w:val="00BC6338"/>
    <w:rsid w:val="00BC67D7"/>
    <w:rsid w:val="00BC6D57"/>
    <w:rsid w:val="00BC6DFF"/>
    <w:rsid w:val="00BC6FC1"/>
    <w:rsid w:val="00BC736F"/>
    <w:rsid w:val="00BC73F3"/>
    <w:rsid w:val="00BC754A"/>
    <w:rsid w:val="00BC7CF6"/>
    <w:rsid w:val="00BC7D5E"/>
    <w:rsid w:val="00BC7E21"/>
    <w:rsid w:val="00BC7E87"/>
    <w:rsid w:val="00BC7F78"/>
    <w:rsid w:val="00BC7FC9"/>
    <w:rsid w:val="00BD0167"/>
    <w:rsid w:val="00BD01E6"/>
    <w:rsid w:val="00BD0590"/>
    <w:rsid w:val="00BD0755"/>
    <w:rsid w:val="00BD0B22"/>
    <w:rsid w:val="00BD0D0A"/>
    <w:rsid w:val="00BD0FD9"/>
    <w:rsid w:val="00BD13A3"/>
    <w:rsid w:val="00BD15A1"/>
    <w:rsid w:val="00BD1721"/>
    <w:rsid w:val="00BD1911"/>
    <w:rsid w:val="00BD1A1E"/>
    <w:rsid w:val="00BD1FDB"/>
    <w:rsid w:val="00BD212A"/>
    <w:rsid w:val="00BD21A2"/>
    <w:rsid w:val="00BD2204"/>
    <w:rsid w:val="00BD2A1F"/>
    <w:rsid w:val="00BD2BAB"/>
    <w:rsid w:val="00BD2E72"/>
    <w:rsid w:val="00BD2FD2"/>
    <w:rsid w:val="00BD304F"/>
    <w:rsid w:val="00BD3131"/>
    <w:rsid w:val="00BD3357"/>
    <w:rsid w:val="00BD3638"/>
    <w:rsid w:val="00BD3663"/>
    <w:rsid w:val="00BD37C8"/>
    <w:rsid w:val="00BD3820"/>
    <w:rsid w:val="00BD38E1"/>
    <w:rsid w:val="00BD3C41"/>
    <w:rsid w:val="00BD3EEC"/>
    <w:rsid w:val="00BD42D3"/>
    <w:rsid w:val="00BD44C3"/>
    <w:rsid w:val="00BD4529"/>
    <w:rsid w:val="00BD45BF"/>
    <w:rsid w:val="00BD46FD"/>
    <w:rsid w:val="00BD4734"/>
    <w:rsid w:val="00BD4B83"/>
    <w:rsid w:val="00BD4D61"/>
    <w:rsid w:val="00BD500E"/>
    <w:rsid w:val="00BD516C"/>
    <w:rsid w:val="00BD51F1"/>
    <w:rsid w:val="00BD52E2"/>
    <w:rsid w:val="00BD54E2"/>
    <w:rsid w:val="00BD56B5"/>
    <w:rsid w:val="00BD5B7B"/>
    <w:rsid w:val="00BD5CCE"/>
    <w:rsid w:val="00BD5E60"/>
    <w:rsid w:val="00BD63AA"/>
    <w:rsid w:val="00BD6525"/>
    <w:rsid w:val="00BD65B8"/>
    <w:rsid w:val="00BD6685"/>
    <w:rsid w:val="00BD6A80"/>
    <w:rsid w:val="00BD6C89"/>
    <w:rsid w:val="00BD71BE"/>
    <w:rsid w:val="00BD7211"/>
    <w:rsid w:val="00BD7214"/>
    <w:rsid w:val="00BD7306"/>
    <w:rsid w:val="00BD7AA1"/>
    <w:rsid w:val="00BE0108"/>
    <w:rsid w:val="00BE05E3"/>
    <w:rsid w:val="00BE0AC7"/>
    <w:rsid w:val="00BE0ACA"/>
    <w:rsid w:val="00BE0C9F"/>
    <w:rsid w:val="00BE0D22"/>
    <w:rsid w:val="00BE118B"/>
    <w:rsid w:val="00BE1C9D"/>
    <w:rsid w:val="00BE1D7C"/>
    <w:rsid w:val="00BE1DBE"/>
    <w:rsid w:val="00BE20FB"/>
    <w:rsid w:val="00BE218B"/>
    <w:rsid w:val="00BE231A"/>
    <w:rsid w:val="00BE2737"/>
    <w:rsid w:val="00BE2881"/>
    <w:rsid w:val="00BE2BA9"/>
    <w:rsid w:val="00BE2C45"/>
    <w:rsid w:val="00BE2D09"/>
    <w:rsid w:val="00BE2D3B"/>
    <w:rsid w:val="00BE2D67"/>
    <w:rsid w:val="00BE2D96"/>
    <w:rsid w:val="00BE34C9"/>
    <w:rsid w:val="00BE3EA0"/>
    <w:rsid w:val="00BE3F86"/>
    <w:rsid w:val="00BE4201"/>
    <w:rsid w:val="00BE450F"/>
    <w:rsid w:val="00BE457F"/>
    <w:rsid w:val="00BE4702"/>
    <w:rsid w:val="00BE49DD"/>
    <w:rsid w:val="00BE4CB8"/>
    <w:rsid w:val="00BE4F6C"/>
    <w:rsid w:val="00BE53BF"/>
    <w:rsid w:val="00BE5518"/>
    <w:rsid w:val="00BE560F"/>
    <w:rsid w:val="00BE5610"/>
    <w:rsid w:val="00BE5662"/>
    <w:rsid w:val="00BE5751"/>
    <w:rsid w:val="00BE591D"/>
    <w:rsid w:val="00BE5BB7"/>
    <w:rsid w:val="00BE5F37"/>
    <w:rsid w:val="00BE65B8"/>
    <w:rsid w:val="00BE66E9"/>
    <w:rsid w:val="00BE6726"/>
    <w:rsid w:val="00BE6751"/>
    <w:rsid w:val="00BE67A3"/>
    <w:rsid w:val="00BE6940"/>
    <w:rsid w:val="00BE6B00"/>
    <w:rsid w:val="00BE6D5F"/>
    <w:rsid w:val="00BE6F49"/>
    <w:rsid w:val="00BE718A"/>
    <w:rsid w:val="00BE728C"/>
    <w:rsid w:val="00BE741D"/>
    <w:rsid w:val="00BE7427"/>
    <w:rsid w:val="00BE7606"/>
    <w:rsid w:val="00BE7670"/>
    <w:rsid w:val="00BE7731"/>
    <w:rsid w:val="00BE7882"/>
    <w:rsid w:val="00BE7E51"/>
    <w:rsid w:val="00BECA25"/>
    <w:rsid w:val="00BF04E8"/>
    <w:rsid w:val="00BF05C5"/>
    <w:rsid w:val="00BF0884"/>
    <w:rsid w:val="00BF0A14"/>
    <w:rsid w:val="00BF0A1A"/>
    <w:rsid w:val="00BF0F05"/>
    <w:rsid w:val="00BF0FAE"/>
    <w:rsid w:val="00BF0FC8"/>
    <w:rsid w:val="00BF10D2"/>
    <w:rsid w:val="00BF138B"/>
    <w:rsid w:val="00BF1663"/>
    <w:rsid w:val="00BF1A0C"/>
    <w:rsid w:val="00BF1B90"/>
    <w:rsid w:val="00BF1F8E"/>
    <w:rsid w:val="00BF23CC"/>
    <w:rsid w:val="00BF24A7"/>
    <w:rsid w:val="00BF257F"/>
    <w:rsid w:val="00BF2B15"/>
    <w:rsid w:val="00BF2CD2"/>
    <w:rsid w:val="00BF30E5"/>
    <w:rsid w:val="00BF31FB"/>
    <w:rsid w:val="00BF345B"/>
    <w:rsid w:val="00BF35AB"/>
    <w:rsid w:val="00BF39CB"/>
    <w:rsid w:val="00BF3F02"/>
    <w:rsid w:val="00BF4261"/>
    <w:rsid w:val="00BF46EA"/>
    <w:rsid w:val="00BF4AC1"/>
    <w:rsid w:val="00BF4B5B"/>
    <w:rsid w:val="00BF4BFE"/>
    <w:rsid w:val="00BF4C41"/>
    <w:rsid w:val="00BF502D"/>
    <w:rsid w:val="00BF52DA"/>
    <w:rsid w:val="00BF53FA"/>
    <w:rsid w:val="00BF557D"/>
    <w:rsid w:val="00BF57A6"/>
    <w:rsid w:val="00BF5807"/>
    <w:rsid w:val="00BF5920"/>
    <w:rsid w:val="00BF5D21"/>
    <w:rsid w:val="00BF5FC9"/>
    <w:rsid w:val="00BF600A"/>
    <w:rsid w:val="00BF618F"/>
    <w:rsid w:val="00BF622A"/>
    <w:rsid w:val="00BF646D"/>
    <w:rsid w:val="00BF653A"/>
    <w:rsid w:val="00BF6A08"/>
    <w:rsid w:val="00BF6CFC"/>
    <w:rsid w:val="00BF70F9"/>
    <w:rsid w:val="00BF7186"/>
    <w:rsid w:val="00BF74DA"/>
    <w:rsid w:val="00BF7530"/>
    <w:rsid w:val="00BF75A8"/>
    <w:rsid w:val="00BF76EB"/>
    <w:rsid w:val="00BF7C5E"/>
    <w:rsid w:val="00BF7EB3"/>
    <w:rsid w:val="00BF7F2B"/>
    <w:rsid w:val="00C003E6"/>
    <w:rsid w:val="00C003F4"/>
    <w:rsid w:val="00C00912"/>
    <w:rsid w:val="00C00F46"/>
    <w:rsid w:val="00C0102E"/>
    <w:rsid w:val="00C011DA"/>
    <w:rsid w:val="00C01349"/>
    <w:rsid w:val="00C01430"/>
    <w:rsid w:val="00C01821"/>
    <w:rsid w:val="00C01A24"/>
    <w:rsid w:val="00C01DCD"/>
    <w:rsid w:val="00C02078"/>
    <w:rsid w:val="00C0214F"/>
    <w:rsid w:val="00C0235B"/>
    <w:rsid w:val="00C024BE"/>
    <w:rsid w:val="00C02772"/>
    <w:rsid w:val="00C02B46"/>
    <w:rsid w:val="00C02D77"/>
    <w:rsid w:val="00C02D78"/>
    <w:rsid w:val="00C02F53"/>
    <w:rsid w:val="00C02FA1"/>
    <w:rsid w:val="00C031A4"/>
    <w:rsid w:val="00C0331E"/>
    <w:rsid w:val="00C035F6"/>
    <w:rsid w:val="00C037F9"/>
    <w:rsid w:val="00C03973"/>
    <w:rsid w:val="00C03B93"/>
    <w:rsid w:val="00C03CE8"/>
    <w:rsid w:val="00C03D49"/>
    <w:rsid w:val="00C03DB3"/>
    <w:rsid w:val="00C040CA"/>
    <w:rsid w:val="00C04217"/>
    <w:rsid w:val="00C04267"/>
    <w:rsid w:val="00C04981"/>
    <w:rsid w:val="00C04C1E"/>
    <w:rsid w:val="00C04C59"/>
    <w:rsid w:val="00C04E3B"/>
    <w:rsid w:val="00C051B3"/>
    <w:rsid w:val="00C051F2"/>
    <w:rsid w:val="00C052BF"/>
    <w:rsid w:val="00C05723"/>
    <w:rsid w:val="00C0576B"/>
    <w:rsid w:val="00C05874"/>
    <w:rsid w:val="00C05A6C"/>
    <w:rsid w:val="00C06344"/>
    <w:rsid w:val="00C0637A"/>
    <w:rsid w:val="00C0664E"/>
    <w:rsid w:val="00C067AD"/>
    <w:rsid w:val="00C06829"/>
    <w:rsid w:val="00C06934"/>
    <w:rsid w:val="00C06B61"/>
    <w:rsid w:val="00C07211"/>
    <w:rsid w:val="00C0753E"/>
    <w:rsid w:val="00C0789B"/>
    <w:rsid w:val="00C078A2"/>
    <w:rsid w:val="00C07D04"/>
    <w:rsid w:val="00C07D08"/>
    <w:rsid w:val="00C07DFA"/>
    <w:rsid w:val="00C07E76"/>
    <w:rsid w:val="00C100B2"/>
    <w:rsid w:val="00C101A6"/>
    <w:rsid w:val="00C10203"/>
    <w:rsid w:val="00C102C9"/>
    <w:rsid w:val="00C10511"/>
    <w:rsid w:val="00C1073F"/>
    <w:rsid w:val="00C1118B"/>
    <w:rsid w:val="00C111F6"/>
    <w:rsid w:val="00C116E0"/>
    <w:rsid w:val="00C11853"/>
    <w:rsid w:val="00C118D0"/>
    <w:rsid w:val="00C118FB"/>
    <w:rsid w:val="00C11BC0"/>
    <w:rsid w:val="00C11C34"/>
    <w:rsid w:val="00C11C65"/>
    <w:rsid w:val="00C11D06"/>
    <w:rsid w:val="00C121B6"/>
    <w:rsid w:val="00C12237"/>
    <w:rsid w:val="00C12301"/>
    <w:rsid w:val="00C1235A"/>
    <w:rsid w:val="00C12462"/>
    <w:rsid w:val="00C12582"/>
    <w:rsid w:val="00C12A86"/>
    <w:rsid w:val="00C12B0A"/>
    <w:rsid w:val="00C137A1"/>
    <w:rsid w:val="00C13986"/>
    <w:rsid w:val="00C13A1C"/>
    <w:rsid w:val="00C13B75"/>
    <w:rsid w:val="00C13C63"/>
    <w:rsid w:val="00C13F66"/>
    <w:rsid w:val="00C13FD5"/>
    <w:rsid w:val="00C14292"/>
    <w:rsid w:val="00C14533"/>
    <w:rsid w:val="00C14F3A"/>
    <w:rsid w:val="00C150FE"/>
    <w:rsid w:val="00C159DF"/>
    <w:rsid w:val="00C159F7"/>
    <w:rsid w:val="00C15AE9"/>
    <w:rsid w:val="00C15E23"/>
    <w:rsid w:val="00C15E5B"/>
    <w:rsid w:val="00C15FF7"/>
    <w:rsid w:val="00C1612D"/>
    <w:rsid w:val="00C16438"/>
    <w:rsid w:val="00C16576"/>
    <w:rsid w:val="00C1659F"/>
    <w:rsid w:val="00C165A1"/>
    <w:rsid w:val="00C16625"/>
    <w:rsid w:val="00C16A86"/>
    <w:rsid w:val="00C16AC2"/>
    <w:rsid w:val="00C16BD0"/>
    <w:rsid w:val="00C1702F"/>
    <w:rsid w:val="00C1705C"/>
    <w:rsid w:val="00C1729C"/>
    <w:rsid w:val="00C172ED"/>
    <w:rsid w:val="00C175C1"/>
    <w:rsid w:val="00C17621"/>
    <w:rsid w:val="00C17726"/>
    <w:rsid w:val="00C17846"/>
    <w:rsid w:val="00C17C9C"/>
    <w:rsid w:val="00C17F5E"/>
    <w:rsid w:val="00C200DE"/>
    <w:rsid w:val="00C201B7"/>
    <w:rsid w:val="00C2095C"/>
    <w:rsid w:val="00C209D5"/>
    <w:rsid w:val="00C20A88"/>
    <w:rsid w:val="00C20B8E"/>
    <w:rsid w:val="00C20EB8"/>
    <w:rsid w:val="00C2133F"/>
    <w:rsid w:val="00C2188A"/>
    <w:rsid w:val="00C2191C"/>
    <w:rsid w:val="00C21F17"/>
    <w:rsid w:val="00C222C8"/>
    <w:rsid w:val="00C228DE"/>
    <w:rsid w:val="00C234E0"/>
    <w:rsid w:val="00C23729"/>
    <w:rsid w:val="00C23828"/>
    <w:rsid w:val="00C23DF2"/>
    <w:rsid w:val="00C23FE4"/>
    <w:rsid w:val="00C24388"/>
    <w:rsid w:val="00C245F3"/>
    <w:rsid w:val="00C24656"/>
    <w:rsid w:val="00C24683"/>
    <w:rsid w:val="00C247D8"/>
    <w:rsid w:val="00C2490A"/>
    <w:rsid w:val="00C24BF5"/>
    <w:rsid w:val="00C2529D"/>
    <w:rsid w:val="00C2538A"/>
    <w:rsid w:val="00C25493"/>
    <w:rsid w:val="00C2562F"/>
    <w:rsid w:val="00C25676"/>
    <w:rsid w:val="00C25688"/>
    <w:rsid w:val="00C256C2"/>
    <w:rsid w:val="00C25923"/>
    <w:rsid w:val="00C2597A"/>
    <w:rsid w:val="00C25A62"/>
    <w:rsid w:val="00C25A8F"/>
    <w:rsid w:val="00C25E4E"/>
    <w:rsid w:val="00C25E6D"/>
    <w:rsid w:val="00C25F09"/>
    <w:rsid w:val="00C262F5"/>
    <w:rsid w:val="00C2643B"/>
    <w:rsid w:val="00C26698"/>
    <w:rsid w:val="00C26755"/>
    <w:rsid w:val="00C267A0"/>
    <w:rsid w:val="00C26C34"/>
    <w:rsid w:val="00C26C95"/>
    <w:rsid w:val="00C26E87"/>
    <w:rsid w:val="00C27113"/>
    <w:rsid w:val="00C2714C"/>
    <w:rsid w:val="00C2762B"/>
    <w:rsid w:val="00C27C3A"/>
    <w:rsid w:val="00C27EF4"/>
    <w:rsid w:val="00C29965"/>
    <w:rsid w:val="00C300CD"/>
    <w:rsid w:val="00C301CF"/>
    <w:rsid w:val="00C30233"/>
    <w:rsid w:val="00C30297"/>
    <w:rsid w:val="00C30412"/>
    <w:rsid w:val="00C304AA"/>
    <w:rsid w:val="00C30926"/>
    <w:rsid w:val="00C3097E"/>
    <w:rsid w:val="00C30B35"/>
    <w:rsid w:val="00C30D53"/>
    <w:rsid w:val="00C312E4"/>
    <w:rsid w:val="00C3133D"/>
    <w:rsid w:val="00C3136A"/>
    <w:rsid w:val="00C314F3"/>
    <w:rsid w:val="00C31570"/>
    <w:rsid w:val="00C3189A"/>
    <w:rsid w:val="00C318C8"/>
    <w:rsid w:val="00C31DB0"/>
    <w:rsid w:val="00C321F0"/>
    <w:rsid w:val="00C3225A"/>
    <w:rsid w:val="00C32618"/>
    <w:rsid w:val="00C32840"/>
    <w:rsid w:val="00C328B1"/>
    <w:rsid w:val="00C32954"/>
    <w:rsid w:val="00C32B6B"/>
    <w:rsid w:val="00C32D6F"/>
    <w:rsid w:val="00C32EDA"/>
    <w:rsid w:val="00C33049"/>
    <w:rsid w:val="00C33228"/>
    <w:rsid w:val="00C339A4"/>
    <w:rsid w:val="00C33DAC"/>
    <w:rsid w:val="00C33E27"/>
    <w:rsid w:val="00C33FC7"/>
    <w:rsid w:val="00C34082"/>
    <w:rsid w:val="00C340BF"/>
    <w:rsid w:val="00C341E2"/>
    <w:rsid w:val="00C34442"/>
    <w:rsid w:val="00C3484B"/>
    <w:rsid w:val="00C34A57"/>
    <w:rsid w:val="00C34AE5"/>
    <w:rsid w:val="00C34D90"/>
    <w:rsid w:val="00C34EDB"/>
    <w:rsid w:val="00C34FEE"/>
    <w:rsid w:val="00C35033"/>
    <w:rsid w:val="00C3512C"/>
    <w:rsid w:val="00C359CB"/>
    <w:rsid w:val="00C35C9F"/>
    <w:rsid w:val="00C35D31"/>
    <w:rsid w:val="00C36087"/>
    <w:rsid w:val="00C36101"/>
    <w:rsid w:val="00C3621D"/>
    <w:rsid w:val="00C362BB"/>
    <w:rsid w:val="00C3685F"/>
    <w:rsid w:val="00C369B6"/>
    <w:rsid w:val="00C36F67"/>
    <w:rsid w:val="00C37337"/>
    <w:rsid w:val="00C373F8"/>
    <w:rsid w:val="00C3788D"/>
    <w:rsid w:val="00C378CC"/>
    <w:rsid w:val="00C37AE6"/>
    <w:rsid w:val="00C37B34"/>
    <w:rsid w:val="00C37DFB"/>
    <w:rsid w:val="00C37F17"/>
    <w:rsid w:val="00C400C4"/>
    <w:rsid w:val="00C401E4"/>
    <w:rsid w:val="00C407B3"/>
    <w:rsid w:val="00C4092B"/>
    <w:rsid w:val="00C40A05"/>
    <w:rsid w:val="00C40A97"/>
    <w:rsid w:val="00C40D75"/>
    <w:rsid w:val="00C40E87"/>
    <w:rsid w:val="00C41316"/>
    <w:rsid w:val="00C413D0"/>
    <w:rsid w:val="00C4140C"/>
    <w:rsid w:val="00C41498"/>
    <w:rsid w:val="00C41576"/>
    <w:rsid w:val="00C41857"/>
    <w:rsid w:val="00C41BF2"/>
    <w:rsid w:val="00C41CCD"/>
    <w:rsid w:val="00C41EF8"/>
    <w:rsid w:val="00C4201D"/>
    <w:rsid w:val="00C422B5"/>
    <w:rsid w:val="00C4248A"/>
    <w:rsid w:val="00C4286F"/>
    <w:rsid w:val="00C42AD0"/>
    <w:rsid w:val="00C42ED7"/>
    <w:rsid w:val="00C43146"/>
    <w:rsid w:val="00C43799"/>
    <w:rsid w:val="00C43B25"/>
    <w:rsid w:val="00C44104"/>
    <w:rsid w:val="00C4463C"/>
    <w:rsid w:val="00C44DAA"/>
    <w:rsid w:val="00C451ED"/>
    <w:rsid w:val="00C45349"/>
    <w:rsid w:val="00C45560"/>
    <w:rsid w:val="00C45590"/>
    <w:rsid w:val="00C45797"/>
    <w:rsid w:val="00C45AD2"/>
    <w:rsid w:val="00C45B44"/>
    <w:rsid w:val="00C45D15"/>
    <w:rsid w:val="00C45E17"/>
    <w:rsid w:val="00C45E89"/>
    <w:rsid w:val="00C45EB0"/>
    <w:rsid w:val="00C464C4"/>
    <w:rsid w:val="00C46660"/>
    <w:rsid w:val="00C46735"/>
    <w:rsid w:val="00C46A99"/>
    <w:rsid w:val="00C46D50"/>
    <w:rsid w:val="00C46D73"/>
    <w:rsid w:val="00C46F0F"/>
    <w:rsid w:val="00C47143"/>
    <w:rsid w:val="00C47237"/>
    <w:rsid w:val="00C47238"/>
    <w:rsid w:val="00C4723B"/>
    <w:rsid w:val="00C473FE"/>
    <w:rsid w:val="00C4741D"/>
    <w:rsid w:val="00C47811"/>
    <w:rsid w:val="00C47971"/>
    <w:rsid w:val="00C479E6"/>
    <w:rsid w:val="00C47A4D"/>
    <w:rsid w:val="00C47C1B"/>
    <w:rsid w:val="00C47CD3"/>
    <w:rsid w:val="00C47DD3"/>
    <w:rsid w:val="00C4DAB0"/>
    <w:rsid w:val="00C5019A"/>
    <w:rsid w:val="00C5042A"/>
    <w:rsid w:val="00C50A89"/>
    <w:rsid w:val="00C50DBA"/>
    <w:rsid w:val="00C50DBE"/>
    <w:rsid w:val="00C50F2D"/>
    <w:rsid w:val="00C50F8F"/>
    <w:rsid w:val="00C514B6"/>
    <w:rsid w:val="00C514B7"/>
    <w:rsid w:val="00C518CC"/>
    <w:rsid w:val="00C51A84"/>
    <w:rsid w:val="00C52949"/>
    <w:rsid w:val="00C52979"/>
    <w:rsid w:val="00C52D59"/>
    <w:rsid w:val="00C53364"/>
    <w:rsid w:val="00C53385"/>
    <w:rsid w:val="00C53578"/>
    <w:rsid w:val="00C53CA4"/>
    <w:rsid w:val="00C53D10"/>
    <w:rsid w:val="00C53DDB"/>
    <w:rsid w:val="00C5418E"/>
    <w:rsid w:val="00C5484B"/>
    <w:rsid w:val="00C54C1E"/>
    <w:rsid w:val="00C54C7B"/>
    <w:rsid w:val="00C54CCF"/>
    <w:rsid w:val="00C54D15"/>
    <w:rsid w:val="00C54D9C"/>
    <w:rsid w:val="00C54E70"/>
    <w:rsid w:val="00C5518F"/>
    <w:rsid w:val="00C555C2"/>
    <w:rsid w:val="00C5578C"/>
    <w:rsid w:val="00C55DC2"/>
    <w:rsid w:val="00C55F75"/>
    <w:rsid w:val="00C561B1"/>
    <w:rsid w:val="00C562C5"/>
    <w:rsid w:val="00C5653C"/>
    <w:rsid w:val="00C5661B"/>
    <w:rsid w:val="00C56709"/>
    <w:rsid w:val="00C568C4"/>
    <w:rsid w:val="00C56DBA"/>
    <w:rsid w:val="00C56EF4"/>
    <w:rsid w:val="00C56F9D"/>
    <w:rsid w:val="00C572DB"/>
    <w:rsid w:val="00C57462"/>
    <w:rsid w:val="00C60072"/>
    <w:rsid w:val="00C60137"/>
    <w:rsid w:val="00C60464"/>
    <w:rsid w:val="00C60542"/>
    <w:rsid w:val="00C608AB"/>
    <w:rsid w:val="00C60A86"/>
    <w:rsid w:val="00C60B6B"/>
    <w:rsid w:val="00C61166"/>
    <w:rsid w:val="00C61325"/>
    <w:rsid w:val="00C61380"/>
    <w:rsid w:val="00C613C2"/>
    <w:rsid w:val="00C61933"/>
    <w:rsid w:val="00C61A66"/>
    <w:rsid w:val="00C61D0B"/>
    <w:rsid w:val="00C61FA6"/>
    <w:rsid w:val="00C61FAC"/>
    <w:rsid w:val="00C6207E"/>
    <w:rsid w:val="00C62161"/>
    <w:rsid w:val="00C624C8"/>
    <w:rsid w:val="00C62506"/>
    <w:rsid w:val="00C62821"/>
    <w:rsid w:val="00C628FE"/>
    <w:rsid w:val="00C62AFF"/>
    <w:rsid w:val="00C62B1F"/>
    <w:rsid w:val="00C62F52"/>
    <w:rsid w:val="00C6305C"/>
    <w:rsid w:val="00C633D8"/>
    <w:rsid w:val="00C635E9"/>
    <w:rsid w:val="00C636AF"/>
    <w:rsid w:val="00C636E7"/>
    <w:rsid w:val="00C63A33"/>
    <w:rsid w:val="00C63B18"/>
    <w:rsid w:val="00C63D3A"/>
    <w:rsid w:val="00C63DC4"/>
    <w:rsid w:val="00C63E22"/>
    <w:rsid w:val="00C63EE1"/>
    <w:rsid w:val="00C643E6"/>
    <w:rsid w:val="00C64632"/>
    <w:rsid w:val="00C646A5"/>
    <w:rsid w:val="00C6486A"/>
    <w:rsid w:val="00C648D4"/>
    <w:rsid w:val="00C649A7"/>
    <w:rsid w:val="00C64E31"/>
    <w:rsid w:val="00C64E32"/>
    <w:rsid w:val="00C65271"/>
    <w:rsid w:val="00C6533E"/>
    <w:rsid w:val="00C653CB"/>
    <w:rsid w:val="00C6551A"/>
    <w:rsid w:val="00C6573C"/>
    <w:rsid w:val="00C65766"/>
    <w:rsid w:val="00C658D0"/>
    <w:rsid w:val="00C6606B"/>
    <w:rsid w:val="00C66158"/>
    <w:rsid w:val="00C66290"/>
    <w:rsid w:val="00C663B3"/>
    <w:rsid w:val="00C663ED"/>
    <w:rsid w:val="00C6660D"/>
    <w:rsid w:val="00C66774"/>
    <w:rsid w:val="00C66BC1"/>
    <w:rsid w:val="00C66C28"/>
    <w:rsid w:val="00C66CC8"/>
    <w:rsid w:val="00C66FDC"/>
    <w:rsid w:val="00C6708D"/>
    <w:rsid w:val="00C67AF3"/>
    <w:rsid w:val="00C67AF4"/>
    <w:rsid w:val="00C67F4F"/>
    <w:rsid w:val="00C7002D"/>
    <w:rsid w:val="00C70301"/>
    <w:rsid w:val="00C703D8"/>
    <w:rsid w:val="00C70627"/>
    <w:rsid w:val="00C70687"/>
    <w:rsid w:val="00C707A1"/>
    <w:rsid w:val="00C707C4"/>
    <w:rsid w:val="00C708B7"/>
    <w:rsid w:val="00C70976"/>
    <w:rsid w:val="00C70EAE"/>
    <w:rsid w:val="00C70EC5"/>
    <w:rsid w:val="00C7100B"/>
    <w:rsid w:val="00C71012"/>
    <w:rsid w:val="00C71064"/>
    <w:rsid w:val="00C71260"/>
    <w:rsid w:val="00C72132"/>
    <w:rsid w:val="00C72341"/>
    <w:rsid w:val="00C72693"/>
    <w:rsid w:val="00C72DF9"/>
    <w:rsid w:val="00C72EC4"/>
    <w:rsid w:val="00C7317F"/>
    <w:rsid w:val="00C7319D"/>
    <w:rsid w:val="00C732CA"/>
    <w:rsid w:val="00C7344D"/>
    <w:rsid w:val="00C73715"/>
    <w:rsid w:val="00C7390D"/>
    <w:rsid w:val="00C73CA0"/>
    <w:rsid w:val="00C73EF4"/>
    <w:rsid w:val="00C73F9C"/>
    <w:rsid w:val="00C74017"/>
    <w:rsid w:val="00C7403A"/>
    <w:rsid w:val="00C74164"/>
    <w:rsid w:val="00C747DF"/>
    <w:rsid w:val="00C748FE"/>
    <w:rsid w:val="00C74ACB"/>
    <w:rsid w:val="00C74DAA"/>
    <w:rsid w:val="00C74F60"/>
    <w:rsid w:val="00C752BB"/>
    <w:rsid w:val="00C7566B"/>
    <w:rsid w:val="00C75848"/>
    <w:rsid w:val="00C75C74"/>
    <w:rsid w:val="00C75ED7"/>
    <w:rsid w:val="00C76139"/>
    <w:rsid w:val="00C763B7"/>
    <w:rsid w:val="00C7652D"/>
    <w:rsid w:val="00C7680A"/>
    <w:rsid w:val="00C7688A"/>
    <w:rsid w:val="00C769AC"/>
    <w:rsid w:val="00C76C0D"/>
    <w:rsid w:val="00C76C20"/>
    <w:rsid w:val="00C77370"/>
    <w:rsid w:val="00C774C8"/>
    <w:rsid w:val="00C77744"/>
    <w:rsid w:val="00C779FA"/>
    <w:rsid w:val="00C77DCA"/>
    <w:rsid w:val="00C77F72"/>
    <w:rsid w:val="00C7FCBB"/>
    <w:rsid w:val="00C80003"/>
    <w:rsid w:val="00C80188"/>
    <w:rsid w:val="00C801B3"/>
    <w:rsid w:val="00C802EF"/>
    <w:rsid w:val="00C80689"/>
    <w:rsid w:val="00C808E9"/>
    <w:rsid w:val="00C808FE"/>
    <w:rsid w:val="00C8091B"/>
    <w:rsid w:val="00C8097F"/>
    <w:rsid w:val="00C809A5"/>
    <w:rsid w:val="00C80AB8"/>
    <w:rsid w:val="00C80ADB"/>
    <w:rsid w:val="00C80B8C"/>
    <w:rsid w:val="00C80C3D"/>
    <w:rsid w:val="00C80FE8"/>
    <w:rsid w:val="00C81155"/>
    <w:rsid w:val="00C81228"/>
    <w:rsid w:val="00C812AA"/>
    <w:rsid w:val="00C813DD"/>
    <w:rsid w:val="00C81693"/>
    <w:rsid w:val="00C81EBD"/>
    <w:rsid w:val="00C82098"/>
    <w:rsid w:val="00C822B4"/>
    <w:rsid w:val="00C82341"/>
    <w:rsid w:val="00C82479"/>
    <w:rsid w:val="00C82596"/>
    <w:rsid w:val="00C82616"/>
    <w:rsid w:val="00C82D14"/>
    <w:rsid w:val="00C82DB1"/>
    <w:rsid w:val="00C82EB0"/>
    <w:rsid w:val="00C832DA"/>
    <w:rsid w:val="00C83304"/>
    <w:rsid w:val="00C833D3"/>
    <w:rsid w:val="00C83498"/>
    <w:rsid w:val="00C834F5"/>
    <w:rsid w:val="00C836B3"/>
    <w:rsid w:val="00C83A98"/>
    <w:rsid w:val="00C83D32"/>
    <w:rsid w:val="00C83EE6"/>
    <w:rsid w:val="00C83F5E"/>
    <w:rsid w:val="00C84191"/>
    <w:rsid w:val="00C841F0"/>
    <w:rsid w:val="00C84205"/>
    <w:rsid w:val="00C8428E"/>
    <w:rsid w:val="00C8443E"/>
    <w:rsid w:val="00C84547"/>
    <w:rsid w:val="00C84551"/>
    <w:rsid w:val="00C8488C"/>
    <w:rsid w:val="00C84B7B"/>
    <w:rsid w:val="00C84C48"/>
    <w:rsid w:val="00C8522C"/>
    <w:rsid w:val="00C854F4"/>
    <w:rsid w:val="00C8580F"/>
    <w:rsid w:val="00C85813"/>
    <w:rsid w:val="00C85A56"/>
    <w:rsid w:val="00C85AC2"/>
    <w:rsid w:val="00C86B7F"/>
    <w:rsid w:val="00C86DD4"/>
    <w:rsid w:val="00C86EB1"/>
    <w:rsid w:val="00C875BD"/>
    <w:rsid w:val="00C876C8"/>
    <w:rsid w:val="00C876FC"/>
    <w:rsid w:val="00C8793B"/>
    <w:rsid w:val="00C87C60"/>
    <w:rsid w:val="00C87DFD"/>
    <w:rsid w:val="00C90B74"/>
    <w:rsid w:val="00C90BE5"/>
    <w:rsid w:val="00C90BEB"/>
    <w:rsid w:val="00C90DA4"/>
    <w:rsid w:val="00C90E83"/>
    <w:rsid w:val="00C90E8B"/>
    <w:rsid w:val="00C9118D"/>
    <w:rsid w:val="00C911E1"/>
    <w:rsid w:val="00C91579"/>
    <w:rsid w:val="00C9157D"/>
    <w:rsid w:val="00C918C2"/>
    <w:rsid w:val="00C918E6"/>
    <w:rsid w:val="00C919B9"/>
    <w:rsid w:val="00C91C66"/>
    <w:rsid w:val="00C920A0"/>
    <w:rsid w:val="00C922FB"/>
    <w:rsid w:val="00C92719"/>
    <w:rsid w:val="00C929BD"/>
    <w:rsid w:val="00C92B0B"/>
    <w:rsid w:val="00C92D18"/>
    <w:rsid w:val="00C92DAA"/>
    <w:rsid w:val="00C93094"/>
    <w:rsid w:val="00C933D9"/>
    <w:rsid w:val="00C93697"/>
    <w:rsid w:val="00C93914"/>
    <w:rsid w:val="00C93AA7"/>
    <w:rsid w:val="00C93B6B"/>
    <w:rsid w:val="00C93B6E"/>
    <w:rsid w:val="00C93BDD"/>
    <w:rsid w:val="00C93CE1"/>
    <w:rsid w:val="00C94057"/>
    <w:rsid w:val="00C94574"/>
    <w:rsid w:val="00C9490C"/>
    <w:rsid w:val="00C949B4"/>
    <w:rsid w:val="00C94AB7"/>
    <w:rsid w:val="00C94E59"/>
    <w:rsid w:val="00C94F58"/>
    <w:rsid w:val="00C94F9A"/>
    <w:rsid w:val="00C952E8"/>
    <w:rsid w:val="00C95394"/>
    <w:rsid w:val="00C955F9"/>
    <w:rsid w:val="00C9575F"/>
    <w:rsid w:val="00C95A1B"/>
    <w:rsid w:val="00C95AE0"/>
    <w:rsid w:val="00C95B58"/>
    <w:rsid w:val="00C95B71"/>
    <w:rsid w:val="00C96695"/>
    <w:rsid w:val="00C96A65"/>
    <w:rsid w:val="00C96A66"/>
    <w:rsid w:val="00C9707B"/>
    <w:rsid w:val="00C972BE"/>
    <w:rsid w:val="00C972EC"/>
    <w:rsid w:val="00C975AA"/>
    <w:rsid w:val="00C978CE"/>
    <w:rsid w:val="00C97A4A"/>
    <w:rsid w:val="00C97B38"/>
    <w:rsid w:val="00CA02BA"/>
    <w:rsid w:val="00CA05EF"/>
    <w:rsid w:val="00CA072C"/>
    <w:rsid w:val="00CA078A"/>
    <w:rsid w:val="00CA0934"/>
    <w:rsid w:val="00CA10DF"/>
    <w:rsid w:val="00CA10E0"/>
    <w:rsid w:val="00CA1371"/>
    <w:rsid w:val="00CA13A5"/>
    <w:rsid w:val="00CA1402"/>
    <w:rsid w:val="00CA1546"/>
    <w:rsid w:val="00CA1882"/>
    <w:rsid w:val="00CA18BE"/>
    <w:rsid w:val="00CA1AC1"/>
    <w:rsid w:val="00CA1AE2"/>
    <w:rsid w:val="00CA1ED2"/>
    <w:rsid w:val="00CA2009"/>
    <w:rsid w:val="00CA2456"/>
    <w:rsid w:val="00CA261A"/>
    <w:rsid w:val="00CA2776"/>
    <w:rsid w:val="00CA2C45"/>
    <w:rsid w:val="00CA2DC5"/>
    <w:rsid w:val="00CA3162"/>
    <w:rsid w:val="00CA33A6"/>
    <w:rsid w:val="00CA3A0B"/>
    <w:rsid w:val="00CA3A47"/>
    <w:rsid w:val="00CA429F"/>
    <w:rsid w:val="00CA4831"/>
    <w:rsid w:val="00CA48BB"/>
    <w:rsid w:val="00CA49CC"/>
    <w:rsid w:val="00CA4C3D"/>
    <w:rsid w:val="00CA4E87"/>
    <w:rsid w:val="00CA4F48"/>
    <w:rsid w:val="00CA5024"/>
    <w:rsid w:val="00CA553D"/>
    <w:rsid w:val="00CA5965"/>
    <w:rsid w:val="00CA6465"/>
    <w:rsid w:val="00CA6503"/>
    <w:rsid w:val="00CA6767"/>
    <w:rsid w:val="00CA6784"/>
    <w:rsid w:val="00CA67BF"/>
    <w:rsid w:val="00CA6A4F"/>
    <w:rsid w:val="00CA6CD6"/>
    <w:rsid w:val="00CA700C"/>
    <w:rsid w:val="00CA725C"/>
    <w:rsid w:val="00CA72E6"/>
    <w:rsid w:val="00CA77D9"/>
    <w:rsid w:val="00CA78D7"/>
    <w:rsid w:val="00CA7C42"/>
    <w:rsid w:val="00CB003B"/>
    <w:rsid w:val="00CB0643"/>
    <w:rsid w:val="00CB0B17"/>
    <w:rsid w:val="00CB0DFB"/>
    <w:rsid w:val="00CB10A5"/>
    <w:rsid w:val="00CB124C"/>
    <w:rsid w:val="00CB1A00"/>
    <w:rsid w:val="00CB1AC2"/>
    <w:rsid w:val="00CB1CF3"/>
    <w:rsid w:val="00CB1FD7"/>
    <w:rsid w:val="00CB20E9"/>
    <w:rsid w:val="00CB2573"/>
    <w:rsid w:val="00CB28AD"/>
    <w:rsid w:val="00CB28DA"/>
    <w:rsid w:val="00CB2937"/>
    <w:rsid w:val="00CB2B2A"/>
    <w:rsid w:val="00CB3289"/>
    <w:rsid w:val="00CB345C"/>
    <w:rsid w:val="00CB35DA"/>
    <w:rsid w:val="00CB43A0"/>
    <w:rsid w:val="00CB43D7"/>
    <w:rsid w:val="00CB4780"/>
    <w:rsid w:val="00CB4827"/>
    <w:rsid w:val="00CB49FC"/>
    <w:rsid w:val="00CB507F"/>
    <w:rsid w:val="00CB531C"/>
    <w:rsid w:val="00CB5754"/>
    <w:rsid w:val="00CB5881"/>
    <w:rsid w:val="00CB597D"/>
    <w:rsid w:val="00CB5AD1"/>
    <w:rsid w:val="00CB5AEB"/>
    <w:rsid w:val="00CB5F97"/>
    <w:rsid w:val="00CB6024"/>
    <w:rsid w:val="00CB6047"/>
    <w:rsid w:val="00CB64EE"/>
    <w:rsid w:val="00CB66D1"/>
    <w:rsid w:val="00CB6AD0"/>
    <w:rsid w:val="00CB6DFC"/>
    <w:rsid w:val="00CB7046"/>
    <w:rsid w:val="00CB74D6"/>
    <w:rsid w:val="00CB76F2"/>
    <w:rsid w:val="00CB77CD"/>
    <w:rsid w:val="00CB77E0"/>
    <w:rsid w:val="00CB7C76"/>
    <w:rsid w:val="00CC013F"/>
    <w:rsid w:val="00CC03A4"/>
    <w:rsid w:val="00CC051D"/>
    <w:rsid w:val="00CC0749"/>
    <w:rsid w:val="00CC0BB8"/>
    <w:rsid w:val="00CC0D63"/>
    <w:rsid w:val="00CC0F7D"/>
    <w:rsid w:val="00CC11D0"/>
    <w:rsid w:val="00CC1223"/>
    <w:rsid w:val="00CC13CD"/>
    <w:rsid w:val="00CC182F"/>
    <w:rsid w:val="00CC1DA2"/>
    <w:rsid w:val="00CC20C2"/>
    <w:rsid w:val="00CC2927"/>
    <w:rsid w:val="00CC29BE"/>
    <w:rsid w:val="00CC2A4A"/>
    <w:rsid w:val="00CC2E88"/>
    <w:rsid w:val="00CC2E91"/>
    <w:rsid w:val="00CC31FE"/>
    <w:rsid w:val="00CC3385"/>
    <w:rsid w:val="00CC348E"/>
    <w:rsid w:val="00CC35A8"/>
    <w:rsid w:val="00CC36A1"/>
    <w:rsid w:val="00CC3A84"/>
    <w:rsid w:val="00CC3AF8"/>
    <w:rsid w:val="00CC3B09"/>
    <w:rsid w:val="00CC3B0C"/>
    <w:rsid w:val="00CC3BBD"/>
    <w:rsid w:val="00CC3D17"/>
    <w:rsid w:val="00CC3DCB"/>
    <w:rsid w:val="00CC3FF2"/>
    <w:rsid w:val="00CC4114"/>
    <w:rsid w:val="00CC41FD"/>
    <w:rsid w:val="00CC43C9"/>
    <w:rsid w:val="00CC43EA"/>
    <w:rsid w:val="00CC49A6"/>
    <w:rsid w:val="00CC4B01"/>
    <w:rsid w:val="00CC4B57"/>
    <w:rsid w:val="00CC4C8A"/>
    <w:rsid w:val="00CC4CA2"/>
    <w:rsid w:val="00CC4D78"/>
    <w:rsid w:val="00CC5141"/>
    <w:rsid w:val="00CC54E6"/>
    <w:rsid w:val="00CC5633"/>
    <w:rsid w:val="00CC56C3"/>
    <w:rsid w:val="00CC57CE"/>
    <w:rsid w:val="00CC5969"/>
    <w:rsid w:val="00CC5A1D"/>
    <w:rsid w:val="00CC5B79"/>
    <w:rsid w:val="00CC5D06"/>
    <w:rsid w:val="00CC6280"/>
    <w:rsid w:val="00CC64DD"/>
    <w:rsid w:val="00CC6C6F"/>
    <w:rsid w:val="00CC6CCA"/>
    <w:rsid w:val="00CC6E4C"/>
    <w:rsid w:val="00CC6E81"/>
    <w:rsid w:val="00CC71C0"/>
    <w:rsid w:val="00CC71C2"/>
    <w:rsid w:val="00CC71E8"/>
    <w:rsid w:val="00CC744E"/>
    <w:rsid w:val="00CC75D1"/>
    <w:rsid w:val="00CC7717"/>
    <w:rsid w:val="00CC7B7C"/>
    <w:rsid w:val="00CC7C5B"/>
    <w:rsid w:val="00CC7D16"/>
    <w:rsid w:val="00CD03D6"/>
    <w:rsid w:val="00CD08FE"/>
    <w:rsid w:val="00CD0C5D"/>
    <w:rsid w:val="00CD0E58"/>
    <w:rsid w:val="00CD10AB"/>
    <w:rsid w:val="00CD1171"/>
    <w:rsid w:val="00CD1555"/>
    <w:rsid w:val="00CD1702"/>
    <w:rsid w:val="00CD1A52"/>
    <w:rsid w:val="00CD1C40"/>
    <w:rsid w:val="00CD1E80"/>
    <w:rsid w:val="00CD1EB3"/>
    <w:rsid w:val="00CD25B6"/>
    <w:rsid w:val="00CD27B6"/>
    <w:rsid w:val="00CD27FC"/>
    <w:rsid w:val="00CD2BD5"/>
    <w:rsid w:val="00CD2E73"/>
    <w:rsid w:val="00CD2F37"/>
    <w:rsid w:val="00CD3063"/>
    <w:rsid w:val="00CD31C6"/>
    <w:rsid w:val="00CD324B"/>
    <w:rsid w:val="00CD3274"/>
    <w:rsid w:val="00CD3699"/>
    <w:rsid w:val="00CD3DB9"/>
    <w:rsid w:val="00CD40BC"/>
    <w:rsid w:val="00CD4A66"/>
    <w:rsid w:val="00CD4B1D"/>
    <w:rsid w:val="00CD5050"/>
    <w:rsid w:val="00CD5088"/>
    <w:rsid w:val="00CD51BB"/>
    <w:rsid w:val="00CD51C3"/>
    <w:rsid w:val="00CD54CB"/>
    <w:rsid w:val="00CD54E7"/>
    <w:rsid w:val="00CD5A02"/>
    <w:rsid w:val="00CD5C2C"/>
    <w:rsid w:val="00CD5C91"/>
    <w:rsid w:val="00CD6092"/>
    <w:rsid w:val="00CD633E"/>
    <w:rsid w:val="00CD63B2"/>
    <w:rsid w:val="00CD6688"/>
    <w:rsid w:val="00CD66DF"/>
    <w:rsid w:val="00CD6700"/>
    <w:rsid w:val="00CD68E9"/>
    <w:rsid w:val="00CD6905"/>
    <w:rsid w:val="00CD69C9"/>
    <w:rsid w:val="00CD6B12"/>
    <w:rsid w:val="00CD6B44"/>
    <w:rsid w:val="00CD6D4A"/>
    <w:rsid w:val="00CD6F35"/>
    <w:rsid w:val="00CD6F59"/>
    <w:rsid w:val="00CD712F"/>
    <w:rsid w:val="00CD733A"/>
    <w:rsid w:val="00CD73F5"/>
    <w:rsid w:val="00CD78D0"/>
    <w:rsid w:val="00CD79AE"/>
    <w:rsid w:val="00CD7E18"/>
    <w:rsid w:val="00CD7F33"/>
    <w:rsid w:val="00CE01CC"/>
    <w:rsid w:val="00CE03DC"/>
    <w:rsid w:val="00CE0598"/>
    <w:rsid w:val="00CE0805"/>
    <w:rsid w:val="00CE0A47"/>
    <w:rsid w:val="00CE0A65"/>
    <w:rsid w:val="00CE0FED"/>
    <w:rsid w:val="00CE1019"/>
    <w:rsid w:val="00CE1930"/>
    <w:rsid w:val="00CE198D"/>
    <w:rsid w:val="00CE1A25"/>
    <w:rsid w:val="00CE1B24"/>
    <w:rsid w:val="00CE1C36"/>
    <w:rsid w:val="00CE1C44"/>
    <w:rsid w:val="00CE1F51"/>
    <w:rsid w:val="00CE1FB3"/>
    <w:rsid w:val="00CE209D"/>
    <w:rsid w:val="00CE20D8"/>
    <w:rsid w:val="00CE2279"/>
    <w:rsid w:val="00CE28F5"/>
    <w:rsid w:val="00CE2A2D"/>
    <w:rsid w:val="00CE2CD7"/>
    <w:rsid w:val="00CE2D7F"/>
    <w:rsid w:val="00CE2EE2"/>
    <w:rsid w:val="00CE32E9"/>
    <w:rsid w:val="00CE3386"/>
    <w:rsid w:val="00CE34FE"/>
    <w:rsid w:val="00CE3820"/>
    <w:rsid w:val="00CE3A67"/>
    <w:rsid w:val="00CE3E61"/>
    <w:rsid w:val="00CE41B7"/>
    <w:rsid w:val="00CE4213"/>
    <w:rsid w:val="00CE4469"/>
    <w:rsid w:val="00CE4491"/>
    <w:rsid w:val="00CE449F"/>
    <w:rsid w:val="00CE480C"/>
    <w:rsid w:val="00CE4990"/>
    <w:rsid w:val="00CE49AF"/>
    <w:rsid w:val="00CE4A82"/>
    <w:rsid w:val="00CE4D3B"/>
    <w:rsid w:val="00CE4DB8"/>
    <w:rsid w:val="00CE4E97"/>
    <w:rsid w:val="00CE517B"/>
    <w:rsid w:val="00CE5520"/>
    <w:rsid w:val="00CE5C34"/>
    <w:rsid w:val="00CE5FBB"/>
    <w:rsid w:val="00CE60C6"/>
    <w:rsid w:val="00CE64C5"/>
    <w:rsid w:val="00CE6618"/>
    <w:rsid w:val="00CE6918"/>
    <w:rsid w:val="00CE6B94"/>
    <w:rsid w:val="00CE6C90"/>
    <w:rsid w:val="00CE725A"/>
    <w:rsid w:val="00CE7301"/>
    <w:rsid w:val="00CE7589"/>
    <w:rsid w:val="00CE79EF"/>
    <w:rsid w:val="00CE7B4B"/>
    <w:rsid w:val="00CF0427"/>
    <w:rsid w:val="00CF076B"/>
    <w:rsid w:val="00CF0900"/>
    <w:rsid w:val="00CF0AE1"/>
    <w:rsid w:val="00CF0BD2"/>
    <w:rsid w:val="00CF0C9F"/>
    <w:rsid w:val="00CF0EB6"/>
    <w:rsid w:val="00CF13AC"/>
    <w:rsid w:val="00CF1537"/>
    <w:rsid w:val="00CF15BD"/>
    <w:rsid w:val="00CF164D"/>
    <w:rsid w:val="00CF1670"/>
    <w:rsid w:val="00CF19AF"/>
    <w:rsid w:val="00CF1AD8"/>
    <w:rsid w:val="00CF1BD1"/>
    <w:rsid w:val="00CF1C27"/>
    <w:rsid w:val="00CF1DDF"/>
    <w:rsid w:val="00CF1EA0"/>
    <w:rsid w:val="00CF2284"/>
    <w:rsid w:val="00CF23F1"/>
    <w:rsid w:val="00CF246D"/>
    <w:rsid w:val="00CF28AA"/>
    <w:rsid w:val="00CF2B39"/>
    <w:rsid w:val="00CF2B51"/>
    <w:rsid w:val="00CF2D4A"/>
    <w:rsid w:val="00CF3463"/>
    <w:rsid w:val="00CF34E9"/>
    <w:rsid w:val="00CF357C"/>
    <w:rsid w:val="00CF3B8C"/>
    <w:rsid w:val="00CF3D45"/>
    <w:rsid w:val="00CF4022"/>
    <w:rsid w:val="00CF4169"/>
    <w:rsid w:val="00CF42B7"/>
    <w:rsid w:val="00CF439E"/>
    <w:rsid w:val="00CF4576"/>
    <w:rsid w:val="00CF46D3"/>
    <w:rsid w:val="00CF47D0"/>
    <w:rsid w:val="00CF485E"/>
    <w:rsid w:val="00CF4F79"/>
    <w:rsid w:val="00CF5352"/>
    <w:rsid w:val="00CF5464"/>
    <w:rsid w:val="00CF565F"/>
    <w:rsid w:val="00CF592F"/>
    <w:rsid w:val="00CF5BFD"/>
    <w:rsid w:val="00CF5C24"/>
    <w:rsid w:val="00CF5CC7"/>
    <w:rsid w:val="00CF5E6B"/>
    <w:rsid w:val="00CF6330"/>
    <w:rsid w:val="00CF6476"/>
    <w:rsid w:val="00CF649E"/>
    <w:rsid w:val="00CF6821"/>
    <w:rsid w:val="00CF6943"/>
    <w:rsid w:val="00CF69A6"/>
    <w:rsid w:val="00CF6ADD"/>
    <w:rsid w:val="00CF6C75"/>
    <w:rsid w:val="00CF6EEC"/>
    <w:rsid w:val="00CF6EEF"/>
    <w:rsid w:val="00CF6FF5"/>
    <w:rsid w:val="00CF71F1"/>
    <w:rsid w:val="00CF7296"/>
    <w:rsid w:val="00CF72A9"/>
    <w:rsid w:val="00CF74D1"/>
    <w:rsid w:val="00CF751B"/>
    <w:rsid w:val="00CF76BC"/>
    <w:rsid w:val="00CF7922"/>
    <w:rsid w:val="00CF792A"/>
    <w:rsid w:val="00CF7C53"/>
    <w:rsid w:val="00CF7D56"/>
    <w:rsid w:val="00D00016"/>
    <w:rsid w:val="00D00157"/>
    <w:rsid w:val="00D0029D"/>
    <w:rsid w:val="00D005E0"/>
    <w:rsid w:val="00D00ADE"/>
    <w:rsid w:val="00D00B1A"/>
    <w:rsid w:val="00D00DAE"/>
    <w:rsid w:val="00D00F8E"/>
    <w:rsid w:val="00D0137E"/>
    <w:rsid w:val="00D015CD"/>
    <w:rsid w:val="00D01930"/>
    <w:rsid w:val="00D0193D"/>
    <w:rsid w:val="00D019E4"/>
    <w:rsid w:val="00D01CAD"/>
    <w:rsid w:val="00D01FEF"/>
    <w:rsid w:val="00D0200D"/>
    <w:rsid w:val="00D02A80"/>
    <w:rsid w:val="00D0346D"/>
    <w:rsid w:val="00D0348B"/>
    <w:rsid w:val="00D03574"/>
    <w:rsid w:val="00D0357B"/>
    <w:rsid w:val="00D038D8"/>
    <w:rsid w:val="00D03996"/>
    <w:rsid w:val="00D03B15"/>
    <w:rsid w:val="00D03DDB"/>
    <w:rsid w:val="00D03FF3"/>
    <w:rsid w:val="00D042D0"/>
    <w:rsid w:val="00D0452B"/>
    <w:rsid w:val="00D0453E"/>
    <w:rsid w:val="00D0465E"/>
    <w:rsid w:val="00D047FD"/>
    <w:rsid w:val="00D04AC0"/>
    <w:rsid w:val="00D04ACD"/>
    <w:rsid w:val="00D04D73"/>
    <w:rsid w:val="00D04F9C"/>
    <w:rsid w:val="00D05795"/>
    <w:rsid w:val="00D05B97"/>
    <w:rsid w:val="00D05DB2"/>
    <w:rsid w:val="00D063E0"/>
    <w:rsid w:val="00D06683"/>
    <w:rsid w:val="00D0697F"/>
    <w:rsid w:val="00D06B50"/>
    <w:rsid w:val="00D06B98"/>
    <w:rsid w:val="00D07126"/>
    <w:rsid w:val="00D07225"/>
    <w:rsid w:val="00D0772B"/>
    <w:rsid w:val="00D07773"/>
    <w:rsid w:val="00D077C7"/>
    <w:rsid w:val="00D10188"/>
    <w:rsid w:val="00D103B7"/>
    <w:rsid w:val="00D10598"/>
    <w:rsid w:val="00D10640"/>
    <w:rsid w:val="00D1073E"/>
    <w:rsid w:val="00D107BB"/>
    <w:rsid w:val="00D10C53"/>
    <w:rsid w:val="00D11123"/>
    <w:rsid w:val="00D111CB"/>
    <w:rsid w:val="00D111D6"/>
    <w:rsid w:val="00D11239"/>
    <w:rsid w:val="00D11418"/>
    <w:rsid w:val="00D114CA"/>
    <w:rsid w:val="00D11B09"/>
    <w:rsid w:val="00D11E82"/>
    <w:rsid w:val="00D121FE"/>
    <w:rsid w:val="00D12224"/>
    <w:rsid w:val="00D122A9"/>
    <w:rsid w:val="00D124FE"/>
    <w:rsid w:val="00D12794"/>
    <w:rsid w:val="00D12833"/>
    <w:rsid w:val="00D12844"/>
    <w:rsid w:val="00D129F7"/>
    <w:rsid w:val="00D12F6B"/>
    <w:rsid w:val="00D13A9B"/>
    <w:rsid w:val="00D13DE9"/>
    <w:rsid w:val="00D13DF1"/>
    <w:rsid w:val="00D14082"/>
    <w:rsid w:val="00D140C7"/>
    <w:rsid w:val="00D142DF"/>
    <w:rsid w:val="00D148C6"/>
    <w:rsid w:val="00D14DBE"/>
    <w:rsid w:val="00D14F0B"/>
    <w:rsid w:val="00D1518C"/>
    <w:rsid w:val="00D1536D"/>
    <w:rsid w:val="00D153B8"/>
    <w:rsid w:val="00D15403"/>
    <w:rsid w:val="00D154E5"/>
    <w:rsid w:val="00D15638"/>
    <w:rsid w:val="00D1567E"/>
    <w:rsid w:val="00D156FC"/>
    <w:rsid w:val="00D159FD"/>
    <w:rsid w:val="00D15B78"/>
    <w:rsid w:val="00D16145"/>
    <w:rsid w:val="00D162A7"/>
    <w:rsid w:val="00D16450"/>
    <w:rsid w:val="00D16497"/>
    <w:rsid w:val="00D166D2"/>
    <w:rsid w:val="00D16ED4"/>
    <w:rsid w:val="00D178BC"/>
    <w:rsid w:val="00D17C10"/>
    <w:rsid w:val="00D17D8F"/>
    <w:rsid w:val="00D20381"/>
    <w:rsid w:val="00D203D8"/>
    <w:rsid w:val="00D20506"/>
    <w:rsid w:val="00D20643"/>
    <w:rsid w:val="00D208E8"/>
    <w:rsid w:val="00D20C6A"/>
    <w:rsid w:val="00D20E39"/>
    <w:rsid w:val="00D210F9"/>
    <w:rsid w:val="00D213CE"/>
    <w:rsid w:val="00D21672"/>
    <w:rsid w:val="00D216F5"/>
    <w:rsid w:val="00D217C3"/>
    <w:rsid w:val="00D21823"/>
    <w:rsid w:val="00D21FD2"/>
    <w:rsid w:val="00D220B2"/>
    <w:rsid w:val="00D2232B"/>
    <w:rsid w:val="00D2249B"/>
    <w:rsid w:val="00D2263B"/>
    <w:rsid w:val="00D22AB2"/>
    <w:rsid w:val="00D22BC0"/>
    <w:rsid w:val="00D22C90"/>
    <w:rsid w:val="00D22D8A"/>
    <w:rsid w:val="00D22E9C"/>
    <w:rsid w:val="00D2315B"/>
    <w:rsid w:val="00D2340D"/>
    <w:rsid w:val="00D23539"/>
    <w:rsid w:val="00D23566"/>
    <w:rsid w:val="00D23810"/>
    <w:rsid w:val="00D24180"/>
    <w:rsid w:val="00D242DF"/>
    <w:rsid w:val="00D243B0"/>
    <w:rsid w:val="00D24402"/>
    <w:rsid w:val="00D246BB"/>
    <w:rsid w:val="00D24705"/>
    <w:rsid w:val="00D24864"/>
    <w:rsid w:val="00D249EE"/>
    <w:rsid w:val="00D24E3B"/>
    <w:rsid w:val="00D25083"/>
    <w:rsid w:val="00D250B9"/>
    <w:rsid w:val="00D252E6"/>
    <w:rsid w:val="00D25330"/>
    <w:rsid w:val="00D2547B"/>
    <w:rsid w:val="00D257E9"/>
    <w:rsid w:val="00D25D33"/>
    <w:rsid w:val="00D262BE"/>
    <w:rsid w:val="00D26508"/>
    <w:rsid w:val="00D26636"/>
    <w:rsid w:val="00D269A6"/>
    <w:rsid w:val="00D269B4"/>
    <w:rsid w:val="00D26ADB"/>
    <w:rsid w:val="00D26C86"/>
    <w:rsid w:val="00D27528"/>
    <w:rsid w:val="00D27590"/>
    <w:rsid w:val="00D2791C"/>
    <w:rsid w:val="00D279EF"/>
    <w:rsid w:val="00D27CCA"/>
    <w:rsid w:val="00D3045A"/>
    <w:rsid w:val="00D30576"/>
    <w:rsid w:val="00D3072E"/>
    <w:rsid w:val="00D30D92"/>
    <w:rsid w:val="00D30F07"/>
    <w:rsid w:val="00D3104F"/>
    <w:rsid w:val="00D311D9"/>
    <w:rsid w:val="00D31243"/>
    <w:rsid w:val="00D31334"/>
    <w:rsid w:val="00D31338"/>
    <w:rsid w:val="00D31577"/>
    <w:rsid w:val="00D3176E"/>
    <w:rsid w:val="00D32100"/>
    <w:rsid w:val="00D324FE"/>
    <w:rsid w:val="00D32616"/>
    <w:rsid w:val="00D3287B"/>
    <w:rsid w:val="00D32A13"/>
    <w:rsid w:val="00D32A37"/>
    <w:rsid w:val="00D32AE0"/>
    <w:rsid w:val="00D32B68"/>
    <w:rsid w:val="00D32BDA"/>
    <w:rsid w:val="00D32E37"/>
    <w:rsid w:val="00D3302B"/>
    <w:rsid w:val="00D330BC"/>
    <w:rsid w:val="00D33543"/>
    <w:rsid w:val="00D33A1A"/>
    <w:rsid w:val="00D33B45"/>
    <w:rsid w:val="00D33B73"/>
    <w:rsid w:val="00D3403D"/>
    <w:rsid w:val="00D3424A"/>
    <w:rsid w:val="00D34886"/>
    <w:rsid w:val="00D34AA4"/>
    <w:rsid w:val="00D35342"/>
    <w:rsid w:val="00D35407"/>
    <w:rsid w:val="00D35632"/>
    <w:rsid w:val="00D356AB"/>
    <w:rsid w:val="00D357EF"/>
    <w:rsid w:val="00D35955"/>
    <w:rsid w:val="00D35B01"/>
    <w:rsid w:val="00D35D15"/>
    <w:rsid w:val="00D35DC1"/>
    <w:rsid w:val="00D35F0D"/>
    <w:rsid w:val="00D35F4A"/>
    <w:rsid w:val="00D36025"/>
    <w:rsid w:val="00D361D4"/>
    <w:rsid w:val="00D3634F"/>
    <w:rsid w:val="00D3673F"/>
    <w:rsid w:val="00D367AB"/>
    <w:rsid w:val="00D367B1"/>
    <w:rsid w:val="00D36831"/>
    <w:rsid w:val="00D36895"/>
    <w:rsid w:val="00D368BB"/>
    <w:rsid w:val="00D3696B"/>
    <w:rsid w:val="00D36AA5"/>
    <w:rsid w:val="00D36B74"/>
    <w:rsid w:val="00D36E07"/>
    <w:rsid w:val="00D36FF5"/>
    <w:rsid w:val="00D37416"/>
    <w:rsid w:val="00D37B3C"/>
    <w:rsid w:val="00D37CD4"/>
    <w:rsid w:val="00D37E10"/>
    <w:rsid w:val="00D37E5A"/>
    <w:rsid w:val="00D40141"/>
    <w:rsid w:val="00D40367"/>
    <w:rsid w:val="00D40897"/>
    <w:rsid w:val="00D40CBE"/>
    <w:rsid w:val="00D40E80"/>
    <w:rsid w:val="00D411AF"/>
    <w:rsid w:val="00D41339"/>
    <w:rsid w:val="00D4141D"/>
    <w:rsid w:val="00D41744"/>
    <w:rsid w:val="00D41BF5"/>
    <w:rsid w:val="00D41F40"/>
    <w:rsid w:val="00D42007"/>
    <w:rsid w:val="00D420DA"/>
    <w:rsid w:val="00D4248C"/>
    <w:rsid w:val="00D42A7B"/>
    <w:rsid w:val="00D42CCF"/>
    <w:rsid w:val="00D43088"/>
    <w:rsid w:val="00D43347"/>
    <w:rsid w:val="00D433C3"/>
    <w:rsid w:val="00D436FE"/>
    <w:rsid w:val="00D4371B"/>
    <w:rsid w:val="00D43B88"/>
    <w:rsid w:val="00D44099"/>
    <w:rsid w:val="00D444FD"/>
    <w:rsid w:val="00D44720"/>
    <w:rsid w:val="00D44953"/>
    <w:rsid w:val="00D4508F"/>
    <w:rsid w:val="00D45222"/>
    <w:rsid w:val="00D45318"/>
    <w:rsid w:val="00D4535B"/>
    <w:rsid w:val="00D45421"/>
    <w:rsid w:val="00D455EB"/>
    <w:rsid w:val="00D45682"/>
    <w:rsid w:val="00D456C7"/>
    <w:rsid w:val="00D4595C"/>
    <w:rsid w:val="00D45B05"/>
    <w:rsid w:val="00D45E73"/>
    <w:rsid w:val="00D45ECC"/>
    <w:rsid w:val="00D46243"/>
    <w:rsid w:val="00D465DC"/>
    <w:rsid w:val="00D466C8"/>
    <w:rsid w:val="00D46A1B"/>
    <w:rsid w:val="00D46E05"/>
    <w:rsid w:val="00D47272"/>
    <w:rsid w:val="00D4727A"/>
    <w:rsid w:val="00D47318"/>
    <w:rsid w:val="00D47644"/>
    <w:rsid w:val="00D47ACF"/>
    <w:rsid w:val="00D47DF1"/>
    <w:rsid w:val="00D50514"/>
    <w:rsid w:val="00D5059D"/>
    <w:rsid w:val="00D5060C"/>
    <w:rsid w:val="00D509B9"/>
    <w:rsid w:val="00D50C92"/>
    <w:rsid w:val="00D50CDE"/>
    <w:rsid w:val="00D50E23"/>
    <w:rsid w:val="00D5128C"/>
    <w:rsid w:val="00D51662"/>
    <w:rsid w:val="00D516FD"/>
    <w:rsid w:val="00D51716"/>
    <w:rsid w:val="00D51878"/>
    <w:rsid w:val="00D519A7"/>
    <w:rsid w:val="00D51BDD"/>
    <w:rsid w:val="00D52058"/>
    <w:rsid w:val="00D5258C"/>
    <w:rsid w:val="00D528A7"/>
    <w:rsid w:val="00D52A3B"/>
    <w:rsid w:val="00D52AD3"/>
    <w:rsid w:val="00D52AEF"/>
    <w:rsid w:val="00D52D21"/>
    <w:rsid w:val="00D52F6A"/>
    <w:rsid w:val="00D52FD7"/>
    <w:rsid w:val="00D533D9"/>
    <w:rsid w:val="00D5366B"/>
    <w:rsid w:val="00D53F2F"/>
    <w:rsid w:val="00D5420F"/>
    <w:rsid w:val="00D542F4"/>
    <w:rsid w:val="00D5430E"/>
    <w:rsid w:val="00D545BA"/>
    <w:rsid w:val="00D545C3"/>
    <w:rsid w:val="00D54C43"/>
    <w:rsid w:val="00D553EC"/>
    <w:rsid w:val="00D55C11"/>
    <w:rsid w:val="00D564D7"/>
    <w:rsid w:val="00D5675B"/>
    <w:rsid w:val="00D56A29"/>
    <w:rsid w:val="00D56A84"/>
    <w:rsid w:val="00D56AC5"/>
    <w:rsid w:val="00D56DD8"/>
    <w:rsid w:val="00D56F83"/>
    <w:rsid w:val="00D57242"/>
    <w:rsid w:val="00D57667"/>
    <w:rsid w:val="00D57739"/>
    <w:rsid w:val="00D577FC"/>
    <w:rsid w:val="00D578E2"/>
    <w:rsid w:val="00D57FB0"/>
    <w:rsid w:val="00D6006D"/>
    <w:rsid w:val="00D6014B"/>
    <w:rsid w:val="00D60346"/>
    <w:rsid w:val="00D604C6"/>
    <w:rsid w:val="00D60504"/>
    <w:rsid w:val="00D6056D"/>
    <w:rsid w:val="00D60AF7"/>
    <w:rsid w:val="00D60BA6"/>
    <w:rsid w:val="00D60CB0"/>
    <w:rsid w:val="00D60DAA"/>
    <w:rsid w:val="00D60F76"/>
    <w:rsid w:val="00D6128E"/>
    <w:rsid w:val="00D6130A"/>
    <w:rsid w:val="00D61349"/>
    <w:rsid w:val="00D615B4"/>
    <w:rsid w:val="00D616A8"/>
    <w:rsid w:val="00D616FC"/>
    <w:rsid w:val="00D61711"/>
    <w:rsid w:val="00D618D1"/>
    <w:rsid w:val="00D61B90"/>
    <w:rsid w:val="00D61F4A"/>
    <w:rsid w:val="00D62120"/>
    <w:rsid w:val="00D62362"/>
    <w:rsid w:val="00D626C3"/>
    <w:rsid w:val="00D626F9"/>
    <w:rsid w:val="00D62937"/>
    <w:rsid w:val="00D62942"/>
    <w:rsid w:val="00D629CA"/>
    <w:rsid w:val="00D62A1A"/>
    <w:rsid w:val="00D62F96"/>
    <w:rsid w:val="00D63004"/>
    <w:rsid w:val="00D6333E"/>
    <w:rsid w:val="00D63712"/>
    <w:rsid w:val="00D63986"/>
    <w:rsid w:val="00D63B3A"/>
    <w:rsid w:val="00D6418A"/>
    <w:rsid w:val="00D644A0"/>
    <w:rsid w:val="00D644BB"/>
    <w:rsid w:val="00D64911"/>
    <w:rsid w:val="00D6492B"/>
    <w:rsid w:val="00D64D27"/>
    <w:rsid w:val="00D64EF2"/>
    <w:rsid w:val="00D64FEA"/>
    <w:rsid w:val="00D654B8"/>
    <w:rsid w:val="00D65921"/>
    <w:rsid w:val="00D65ABC"/>
    <w:rsid w:val="00D65B56"/>
    <w:rsid w:val="00D65DA6"/>
    <w:rsid w:val="00D65DAB"/>
    <w:rsid w:val="00D66176"/>
    <w:rsid w:val="00D6686E"/>
    <w:rsid w:val="00D669FD"/>
    <w:rsid w:val="00D670AE"/>
    <w:rsid w:val="00D67100"/>
    <w:rsid w:val="00D67200"/>
    <w:rsid w:val="00D67306"/>
    <w:rsid w:val="00D675F7"/>
    <w:rsid w:val="00D679FD"/>
    <w:rsid w:val="00D67BC4"/>
    <w:rsid w:val="00D67C6B"/>
    <w:rsid w:val="00D7010F"/>
    <w:rsid w:val="00D702DD"/>
    <w:rsid w:val="00D7049D"/>
    <w:rsid w:val="00D70577"/>
    <w:rsid w:val="00D70C1A"/>
    <w:rsid w:val="00D70C57"/>
    <w:rsid w:val="00D70C7F"/>
    <w:rsid w:val="00D70D75"/>
    <w:rsid w:val="00D70F01"/>
    <w:rsid w:val="00D71170"/>
    <w:rsid w:val="00D712C7"/>
    <w:rsid w:val="00D713A4"/>
    <w:rsid w:val="00D715F1"/>
    <w:rsid w:val="00D71960"/>
    <w:rsid w:val="00D71D90"/>
    <w:rsid w:val="00D71D9A"/>
    <w:rsid w:val="00D7245C"/>
    <w:rsid w:val="00D7254E"/>
    <w:rsid w:val="00D72687"/>
    <w:rsid w:val="00D7292E"/>
    <w:rsid w:val="00D72B44"/>
    <w:rsid w:val="00D72D7C"/>
    <w:rsid w:val="00D72E6E"/>
    <w:rsid w:val="00D72F02"/>
    <w:rsid w:val="00D730CC"/>
    <w:rsid w:val="00D73389"/>
    <w:rsid w:val="00D73495"/>
    <w:rsid w:val="00D7354E"/>
    <w:rsid w:val="00D73DEE"/>
    <w:rsid w:val="00D73ED6"/>
    <w:rsid w:val="00D7403C"/>
    <w:rsid w:val="00D743A1"/>
    <w:rsid w:val="00D74565"/>
    <w:rsid w:val="00D745B6"/>
    <w:rsid w:val="00D74BE5"/>
    <w:rsid w:val="00D74E61"/>
    <w:rsid w:val="00D754F6"/>
    <w:rsid w:val="00D7579B"/>
    <w:rsid w:val="00D757BC"/>
    <w:rsid w:val="00D7635F"/>
    <w:rsid w:val="00D76385"/>
    <w:rsid w:val="00D764D0"/>
    <w:rsid w:val="00D764DF"/>
    <w:rsid w:val="00D765AF"/>
    <w:rsid w:val="00D7660B"/>
    <w:rsid w:val="00D76672"/>
    <w:rsid w:val="00D7669F"/>
    <w:rsid w:val="00D76790"/>
    <w:rsid w:val="00D76894"/>
    <w:rsid w:val="00D76DE5"/>
    <w:rsid w:val="00D76F8F"/>
    <w:rsid w:val="00D774D6"/>
    <w:rsid w:val="00D77611"/>
    <w:rsid w:val="00D776C8"/>
    <w:rsid w:val="00D77B69"/>
    <w:rsid w:val="00D77C24"/>
    <w:rsid w:val="00D77E23"/>
    <w:rsid w:val="00D77EE6"/>
    <w:rsid w:val="00D801AD"/>
    <w:rsid w:val="00D8023A"/>
    <w:rsid w:val="00D8043C"/>
    <w:rsid w:val="00D805E5"/>
    <w:rsid w:val="00D80996"/>
    <w:rsid w:val="00D80BAA"/>
    <w:rsid w:val="00D80CA3"/>
    <w:rsid w:val="00D80E5E"/>
    <w:rsid w:val="00D80E6D"/>
    <w:rsid w:val="00D80FED"/>
    <w:rsid w:val="00D81069"/>
    <w:rsid w:val="00D81133"/>
    <w:rsid w:val="00D81184"/>
    <w:rsid w:val="00D814D4"/>
    <w:rsid w:val="00D81536"/>
    <w:rsid w:val="00D8168C"/>
    <w:rsid w:val="00D81DC1"/>
    <w:rsid w:val="00D81E25"/>
    <w:rsid w:val="00D8203A"/>
    <w:rsid w:val="00D82046"/>
    <w:rsid w:val="00D820B5"/>
    <w:rsid w:val="00D8212A"/>
    <w:rsid w:val="00D822E0"/>
    <w:rsid w:val="00D82991"/>
    <w:rsid w:val="00D829B4"/>
    <w:rsid w:val="00D82B56"/>
    <w:rsid w:val="00D83230"/>
    <w:rsid w:val="00D83585"/>
    <w:rsid w:val="00D83953"/>
    <w:rsid w:val="00D839D4"/>
    <w:rsid w:val="00D83DF5"/>
    <w:rsid w:val="00D83E3A"/>
    <w:rsid w:val="00D84294"/>
    <w:rsid w:val="00D84414"/>
    <w:rsid w:val="00D844AA"/>
    <w:rsid w:val="00D8490A"/>
    <w:rsid w:val="00D84940"/>
    <w:rsid w:val="00D84FEA"/>
    <w:rsid w:val="00D851E5"/>
    <w:rsid w:val="00D852DF"/>
    <w:rsid w:val="00D85344"/>
    <w:rsid w:val="00D85812"/>
    <w:rsid w:val="00D8586A"/>
    <w:rsid w:val="00D85DE0"/>
    <w:rsid w:val="00D85EC8"/>
    <w:rsid w:val="00D85F13"/>
    <w:rsid w:val="00D85F2B"/>
    <w:rsid w:val="00D86323"/>
    <w:rsid w:val="00D86411"/>
    <w:rsid w:val="00D86521"/>
    <w:rsid w:val="00D866B9"/>
    <w:rsid w:val="00D867B1"/>
    <w:rsid w:val="00D86893"/>
    <w:rsid w:val="00D86F1A"/>
    <w:rsid w:val="00D872B2"/>
    <w:rsid w:val="00D8749E"/>
    <w:rsid w:val="00D878C6"/>
    <w:rsid w:val="00D900B4"/>
    <w:rsid w:val="00D90505"/>
    <w:rsid w:val="00D90578"/>
    <w:rsid w:val="00D9060B"/>
    <w:rsid w:val="00D907AB"/>
    <w:rsid w:val="00D90D28"/>
    <w:rsid w:val="00D90D92"/>
    <w:rsid w:val="00D910F4"/>
    <w:rsid w:val="00D914C7"/>
    <w:rsid w:val="00D91A95"/>
    <w:rsid w:val="00D91AC7"/>
    <w:rsid w:val="00D91D92"/>
    <w:rsid w:val="00D91E68"/>
    <w:rsid w:val="00D92001"/>
    <w:rsid w:val="00D92A14"/>
    <w:rsid w:val="00D92DED"/>
    <w:rsid w:val="00D92E0B"/>
    <w:rsid w:val="00D92E70"/>
    <w:rsid w:val="00D93579"/>
    <w:rsid w:val="00D936F7"/>
    <w:rsid w:val="00D937ED"/>
    <w:rsid w:val="00D93AB8"/>
    <w:rsid w:val="00D93B05"/>
    <w:rsid w:val="00D93B76"/>
    <w:rsid w:val="00D93F94"/>
    <w:rsid w:val="00D941D5"/>
    <w:rsid w:val="00D94236"/>
    <w:rsid w:val="00D943DB"/>
    <w:rsid w:val="00D94CAA"/>
    <w:rsid w:val="00D95443"/>
    <w:rsid w:val="00D9544B"/>
    <w:rsid w:val="00D955FA"/>
    <w:rsid w:val="00D95608"/>
    <w:rsid w:val="00D95D84"/>
    <w:rsid w:val="00D95DAB"/>
    <w:rsid w:val="00D961AD"/>
    <w:rsid w:val="00D96A33"/>
    <w:rsid w:val="00D96B69"/>
    <w:rsid w:val="00D96C76"/>
    <w:rsid w:val="00D971F8"/>
    <w:rsid w:val="00D9734C"/>
    <w:rsid w:val="00D973BB"/>
    <w:rsid w:val="00D973D0"/>
    <w:rsid w:val="00D974B6"/>
    <w:rsid w:val="00D974F2"/>
    <w:rsid w:val="00D9773B"/>
    <w:rsid w:val="00DA0089"/>
    <w:rsid w:val="00DA03F7"/>
    <w:rsid w:val="00DA0AC5"/>
    <w:rsid w:val="00DA0C4C"/>
    <w:rsid w:val="00DA0F83"/>
    <w:rsid w:val="00DA10B1"/>
    <w:rsid w:val="00DA117A"/>
    <w:rsid w:val="00DA132C"/>
    <w:rsid w:val="00DA19A4"/>
    <w:rsid w:val="00DA1A0E"/>
    <w:rsid w:val="00DA1CA5"/>
    <w:rsid w:val="00DA1D81"/>
    <w:rsid w:val="00DA1E1B"/>
    <w:rsid w:val="00DA1EBA"/>
    <w:rsid w:val="00DA2618"/>
    <w:rsid w:val="00DA29C8"/>
    <w:rsid w:val="00DA2D75"/>
    <w:rsid w:val="00DA2DFE"/>
    <w:rsid w:val="00DA30AB"/>
    <w:rsid w:val="00DA3185"/>
    <w:rsid w:val="00DA319B"/>
    <w:rsid w:val="00DA3870"/>
    <w:rsid w:val="00DA38AB"/>
    <w:rsid w:val="00DA393C"/>
    <w:rsid w:val="00DA3A2A"/>
    <w:rsid w:val="00DA3CCD"/>
    <w:rsid w:val="00DA3EEB"/>
    <w:rsid w:val="00DA4398"/>
    <w:rsid w:val="00DA4596"/>
    <w:rsid w:val="00DA46E5"/>
    <w:rsid w:val="00DA4942"/>
    <w:rsid w:val="00DA4A20"/>
    <w:rsid w:val="00DA50F6"/>
    <w:rsid w:val="00DA5713"/>
    <w:rsid w:val="00DA5AB5"/>
    <w:rsid w:val="00DA5CD5"/>
    <w:rsid w:val="00DA5D1F"/>
    <w:rsid w:val="00DA5EB8"/>
    <w:rsid w:val="00DA62B2"/>
    <w:rsid w:val="00DA66EC"/>
    <w:rsid w:val="00DA671E"/>
    <w:rsid w:val="00DA67EF"/>
    <w:rsid w:val="00DA69B5"/>
    <w:rsid w:val="00DA6BC4"/>
    <w:rsid w:val="00DA6C23"/>
    <w:rsid w:val="00DA6CDB"/>
    <w:rsid w:val="00DA74C2"/>
    <w:rsid w:val="00DA76D9"/>
    <w:rsid w:val="00DA7C5D"/>
    <w:rsid w:val="00DA7E23"/>
    <w:rsid w:val="00DA7E42"/>
    <w:rsid w:val="00DA7F1E"/>
    <w:rsid w:val="00DA7FE7"/>
    <w:rsid w:val="00DB0056"/>
    <w:rsid w:val="00DB00C3"/>
    <w:rsid w:val="00DB01B8"/>
    <w:rsid w:val="00DB0280"/>
    <w:rsid w:val="00DB041A"/>
    <w:rsid w:val="00DB0422"/>
    <w:rsid w:val="00DB0B49"/>
    <w:rsid w:val="00DB0D2D"/>
    <w:rsid w:val="00DB0E0F"/>
    <w:rsid w:val="00DB109D"/>
    <w:rsid w:val="00DB1249"/>
    <w:rsid w:val="00DB1270"/>
    <w:rsid w:val="00DB16C3"/>
    <w:rsid w:val="00DB189E"/>
    <w:rsid w:val="00DB1BE1"/>
    <w:rsid w:val="00DB1DFA"/>
    <w:rsid w:val="00DB1EE8"/>
    <w:rsid w:val="00DB1FA5"/>
    <w:rsid w:val="00DB202E"/>
    <w:rsid w:val="00DB20DA"/>
    <w:rsid w:val="00DB20F9"/>
    <w:rsid w:val="00DB2284"/>
    <w:rsid w:val="00DB2404"/>
    <w:rsid w:val="00DB27E3"/>
    <w:rsid w:val="00DB2810"/>
    <w:rsid w:val="00DB2857"/>
    <w:rsid w:val="00DB28EC"/>
    <w:rsid w:val="00DB2D09"/>
    <w:rsid w:val="00DB3288"/>
    <w:rsid w:val="00DB35CC"/>
    <w:rsid w:val="00DB3872"/>
    <w:rsid w:val="00DB3A7B"/>
    <w:rsid w:val="00DB3CD2"/>
    <w:rsid w:val="00DB3D61"/>
    <w:rsid w:val="00DB3DFE"/>
    <w:rsid w:val="00DB4146"/>
    <w:rsid w:val="00DB4278"/>
    <w:rsid w:val="00DB4531"/>
    <w:rsid w:val="00DB4A41"/>
    <w:rsid w:val="00DB4F91"/>
    <w:rsid w:val="00DB513F"/>
    <w:rsid w:val="00DB5203"/>
    <w:rsid w:val="00DB520E"/>
    <w:rsid w:val="00DB5389"/>
    <w:rsid w:val="00DB53C4"/>
    <w:rsid w:val="00DB5456"/>
    <w:rsid w:val="00DB54F2"/>
    <w:rsid w:val="00DB56B0"/>
    <w:rsid w:val="00DB587B"/>
    <w:rsid w:val="00DB58E5"/>
    <w:rsid w:val="00DB5C37"/>
    <w:rsid w:val="00DB5D20"/>
    <w:rsid w:val="00DB5E17"/>
    <w:rsid w:val="00DB5E9B"/>
    <w:rsid w:val="00DB603B"/>
    <w:rsid w:val="00DB6104"/>
    <w:rsid w:val="00DB616E"/>
    <w:rsid w:val="00DB66DC"/>
    <w:rsid w:val="00DB682E"/>
    <w:rsid w:val="00DB692D"/>
    <w:rsid w:val="00DB69E9"/>
    <w:rsid w:val="00DB6AB3"/>
    <w:rsid w:val="00DB6B04"/>
    <w:rsid w:val="00DB6C70"/>
    <w:rsid w:val="00DB6CB0"/>
    <w:rsid w:val="00DB6CDB"/>
    <w:rsid w:val="00DB6DAD"/>
    <w:rsid w:val="00DB703F"/>
    <w:rsid w:val="00DB73AE"/>
    <w:rsid w:val="00DB7504"/>
    <w:rsid w:val="00DB7886"/>
    <w:rsid w:val="00DB7B28"/>
    <w:rsid w:val="00DC0014"/>
    <w:rsid w:val="00DC0477"/>
    <w:rsid w:val="00DC04BE"/>
    <w:rsid w:val="00DC0505"/>
    <w:rsid w:val="00DC05B9"/>
    <w:rsid w:val="00DC0623"/>
    <w:rsid w:val="00DC0767"/>
    <w:rsid w:val="00DC0805"/>
    <w:rsid w:val="00DC0A79"/>
    <w:rsid w:val="00DC0B0F"/>
    <w:rsid w:val="00DC133A"/>
    <w:rsid w:val="00DC13F7"/>
    <w:rsid w:val="00DC13FA"/>
    <w:rsid w:val="00DC1441"/>
    <w:rsid w:val="00DC21C8"/>
    <w:rsid w:val="00DC22A4"/>
    <w:rsid w:val="00DC24F5"/>
    <w:rsid w:val="00DC2A3A"/>
    <w:rsid w:val="00DC2A8B"/>
    <w:rsid w:val="00DC2CEE"/>
    <w:rsid w:val="00DC2D24"/>
    <w:rsid w:val="00DC2F1F"/>
    <w:rsid w:val="00DC30C9"/>
    <w:rsid w:val="00DC30E6"/>
    <w:rsid w:val="00DC3107"/>
    <w:rsid w:val="00DC3365"/>
    <w:rsid w:val="00DC3620"/>
    <w:rsid w:val="00DC37F8"/>
    <w:rsid w:val="00DC38C0"/>
    <w:rsid w:val="00DC3CE6"/>
    <w:rsid w:val="00DC3EC0"/>
    <w:rsid w:val="00DC4150"/>
    <w:rsid w:val="00DC4588"/>
    <w:rsid w:val="00DC471E"/>
    <w:rsid w:val="00DC47CB"/>
    <w:rsid w:val="00DC494C"/>
    <w:rsid w:val="00DC4A00"/>
    <w:rsid w:val="00DC50B8"/>
    <w:rsid w:val="00DC515B"/>
    <w:rsid w:val="00DC52F9"/>
    <w:rsid w:val="00DC5D02"/>
    <w:rsid w:val="00DC6700"/>
    <w:rsid w:val="00DC6A5A"/>
    <w:rsid w:val="00DC6E3C"/>
    <w:rsid w:val="00DC6F47"/>
    <w:rsid w:val="00DC6F9D"/>
    <w:rsid w:val="00DC752D"/>
    <w:rsid w:val="00DC75C6"/>
    <w:rsid w:val="00DC7775"/>
    <w:rsid w:val="00DC77DD"/>
    <w:rsid w:val="00DC7A9F"/>
    <w:rsid w:val="00DC7C25"/>
    <w:rsid w:val="00DC7C34"/>
    <w:rsid w:val="00DC7C93"/>
    <w:rsid w:val="00DD03D8"/>
    <w:rsid w:val="00DD055B"/>
    <w:rsid w:val="00DD05F4"/>
    <w:rsid w:val="00DD07AE"/>
    <w:rsid w:val="00DD07F3"/>
    <w:rsid w:val="00DD083D"/>
    <w:rsid w:val="00DD0A87"/>
    <w:rsid w:val="00DD0BD5"/>
    <w:rsid w:val="00DD0C09"/>
    <w:rsid w:val="00DD1780"/>
    <w:rsid w:val="00DD1988"/>
    <w:rsid w:val="00DD22D0"/>
    <w:rsid w:val="00DD2373"/>
    <w:rsid w:val="00DD23FF"/>
    <w:rsid w:val="00DD2425"/>
    <w:rsid w:val="00DD2A30"/>
    <w:rsid w:val="00DD2A37"/>
    <w:rsid w:val="00DD2F06"/>
    <w:rsid w:val="00DD331E"/>
    <w:rsid w:val="00DD340F"/>
    <w:rsid w:val="00DD3614"/>
    <w:rsid w:val="00DD36BF"/>
    <w:rsid w:val="00DD3783"/>
    <w:rsid w:val="00DD37DE"/>
    <w:rsid w:val="00DD382B"/>
    <w:rsid w:val="00DD3847"/>
    <w:rsid w:val="00DD3C94"/>
    <w:rsid w:val="00DD4223"/>
    <w:rsid w:val="00DD45B2"/>
    <w:rsid w:val="00DD49C9"/>
    <w:rsid w:val="00DD4AE1"/>
    <w:rsid w:val="00DD4B53"/>
    <w:rsid w:val="00DD4B6A"/>
    <w:rsid w:val="00DD4C34"/>
    <w:rsid w:val="00DD4C46"/>
    <w:rsid w:val="00DD4E65"/>
    <w:rsid w:val="00DD4EDB"/>
    <w:rsid w:val="00DD5032"/>
    <w:rsid w:val="00DD533B"/>
    <w:rsid w:val="00DD536A"/>
    <w:rsid w:val="00DD53FE"/>
    <w:rsid w:val="00DD5924"/>
    <w:rsid w:val="00DD5B31"/>
    <w:rsid w:val="00DD5C16"/>
    <w:rsid w:val="00DD5D83"/>
    <w:rsid w:val="00DD5FEB"/>
    <w:rsid w:val="00DD603D"/>
    <w:rsid w:val="00DD6253"/>
    <w:rsid w:val="00DD62CA"/>
    <w:rsid w:val="00DD6327"/>
    <w:rsid w:val="00DD63DD"/>
    <w:rsid w:val="00DD6450"/>
    <w:rsid w:val="00DD66DB"/>
    <w:rsid w:val="00DD6AD2"/>
    <w:rsid w:val="00DD6B46"/>
    <w:rsid w:val="00DD6DDB"/>
    <w:rsid w:val="00DD6F3A"/>
    <w:rsid w:val="00DD7216"/>
    <w:rsid w:val="00DD740E"/>
    <w:rsid w:val="00DD7657"/>
    <w:rsid w:val="00DD7663"/>
    <w:rsid w:val="00DD7713"/>
    <w:rsid w:val="00DD7733"/>
    <w:rsid w:val="00DD7757"/>
    <w:rsid w:val="00DD7819"/>
    <w:rsid w:val="00DD7D36"/>
    <w:rsid w:val="00DD7E3F"/>
    <w:rsid w:val="00DE002A"/>
    <w:rsid w:val="00DE021D"/>
    <w:rsid w:val="00DE0708"/>
    <w:rsid w:val="00DE0886"/>
    <w:rsid w:val="00DE0941"/>
    <w:rsid w:val="00DE0ACF"/>
    <w:rsid w:val="00DE0BC2"/>
    <w:rsid w:val="00DE0C6C"/>
    <w:rsid w:val="00DE0CF6"/>
    <w:rsid w:val="00DE0DCD"/>
    <w:rsid w:val="00DE1463"/>
    <w:rsid w:val="00DE14B4"/>
    <w:rsid w:val="00DE19D9"/>
    <w:rsid w:val="00DE20B8"/>
    <w:rsid w:val="00DE2232"/>
    <w:rsid w:val="00DE2FFA"/>
    <w:rsid w:val="00DE3370"/>
    <w:rsid w:val="00DE33F7"/>
    <w:rsid w:val="00DE3672"/>
    <w:rsid w:val="00DE38D2"/>
    <w:rsid w:val="00DE39FE"/>
    <w:rsid w:val="00DE3BAD"/>
    <w:rsid w:val="00DE3C8F"/>
    <w:rsid w:val="00DE3D76"/>
    <w:rsid w:val="00DE425A"/>
    <w:rsid w:val="00DE47DE"/>
    <w:rsid w:val="00DE4988"/>
    <w:rsid w:val="00DE4A9B"/>
    <w:rsid w:val="00DE4B83"/>
    <w:rsid w:val="00DE4E9D"/>
    <w:rsid w:val="00DE4F28"/>
    <w:rsid w:val="00DE5108"/>
    <w:rsid w:val="00DE5BB0"/>
    <w:rsid w:val="00DE5C27"/>
    <w:rsid w:val="00DE5F0A"/>
    <w:rsid w:val="00DE5F1A"/>
    <w:rsid w:val="00DE617A"/>
    <w:rsid w:val="00DE62BE"/>
    <w:rsid w:val="00DE630F"/>
    <w:rsid w:val="00DE64A2"/>
    <w:rsid w:val="00DE6556"/>
    <w:rsid w:val="00DE65CF"/>
    <w:rsid w:val="00DE6695"/>
    <w:rsid w:val="00DE6879"/>
    <w:rsid w:val="00DE693C"/>
    <w:rsid w:val="00DE6A27"/>
    <w:rsid w:val="00DE6A4B"/>
    <w:rsid w:val="00DE6BC7"/>
    <w:rsid w:val="00DE6CDB"/>
    <w:rsid w:val="00DE6E1A"/>
    <w:rsid w:val="00DE6EFE"/>
    <w:rsid w:val="00DE7166"/>
    <w:rsid w:val="00DE74A1"/>
    <w:rsid w:val="00DE77EB"/>
    <w:rsid w:val="00DE7A94"/>
    <w:rsid w:val="00DE7D24"/>
    <w:rsid w:val="00DF00FF"/>
    <w:rsid w:val="00DF02E9"/>
    <w:rsid w:val="00DF0499"/>
    <w:rsid w:val="00DF06B2"/>
    <w:rsid w:val="00DF07AB"/>
    <w:rsid w:val="00DF0C08"/>
    <w:rsid w:val="00DF0D65"/>
    <w:rsid w:val="00DF0F42"/>
    <w:rsid w:val="00DF1364"/>
    <w:rsid w:val="00DF14CB"/>
    <w:rsid w:val="00DF152A"/>
    <w:rsid w:val="00DF15F4"/>
    <w:rsid w:val="00DF1611"/>
    <w:rsid w:val="00DF18D0"/>
    <w:rsid w:val="00DF18FD"/>
    <w:rsid w:val="00DF1976"/>
    <w:rsid w:val="00DF19D1"/>
    <w:rsid w:val="00DF1A71"/>
    <w:rsid w:val="00DF1CF0"/>
    <w:rsid w:val="00DF1EF9"/>
    <w:rsid w:val="00DF1F94"/>
    <w:rsid w:val="00DF20F3"/>
    <w:rsid w:val="00DF25B9"/>
    <w:rsid w:val="00DF3433"/>
    <w:rsid w:val="00DF381F"/>
    <w:rsid w:val="00DF3C81"/>
    <w:rsid w:val="00DF3DA0"/>
    <w:rsid w:val="00DF4145"/>
    <w:rsid w:val="00DF4766"/>
    <w:rsid w:val="00DF4800"/>
    <w:rsid w:val="00DF56DB"/>
    <w:rsid w:val="00DF57A8"/>
    <w:rsid w:val="00DF5859"/>
    <w:rsid w:val="00DF5A0A"/>
    <w:rsid w:val="00DF5B87"/>
    <w:rsid w:val="00DF5DC3"/>
    <w:rsid w:val="00DF5EF3"/>
    <w:rsid w:val="00DF61E7"/>
    <w:rsid w:val="00DF61FD"/>
    <w:rsid w:val="00DF623D"/>
    <w:rsid w:val="00DF6287"/>
    <w:rsid w:val="00DF6301"/>
    <w:rsid w:val="00DF64D6"/>
    <w:rsid w:val="00DF664F"/>
    <w:rsid w:val="00DF67A0"/>
    <w:rsid w:val="00DF67AB"/>
    <w:rsid w:val="00DF68D5"/>
    <w:rsid w:val="00DF6C0A"/>
    <w:rsid w:val="00DF6F42"/>
    <w:rsid w:val="00DF70D8"/>
    <w:rsid w:val="00DF7177"/>
    <w:rsid w:val="00DF72D1"/>
    <w:rsid w:val="00DF73A1"/>
    <w:rsid w:val="00DF73F9"/>
    <w:rsid w:val="00DF7D1B"/>
    <w:rsid w:val="00DF7EC3"/>
    <w:rsid w:val="00DF7F06"/>
    <w:rsid w:val="00E00337"/>
    <w:rsid w:val="00E00558"/>
    <w:rsid w:val="00E006E6"/>
    <w:rsid w:val="00E008F2"/>
    <w:rsid w:val="00E00A6F"/>
    <w:rsid w:val="00E00A83"/>
    <w:rsid w:val="00E00EE3"/>
    <w:rsid w:val="00E0101B"/>
    <w:rsid w:val="00E012DA"/>
    <w:rsid w:val="00E017D6"/>
    <w:rsid w:val="00E0182B"/>
    <w:rsid w:val="00E01856"/>
    <w:rsid w:val="00E019B2"/>
    <w:rsid w:val="00E01AEB"/>
    <w:rsid w:val="00E01E73"/>
    <w:rsid w:val="00E02015"/>
    <w:rsid w:val="00E020C2"/>
    <w:rsid w:val="00E02147"/>
    <w:rsid w:val="00E02BC5"/>
    <w:rsid w:val="00E02D9D"/>
    <w:rsid w:val="00E03686"/>
    <w:rsid w:val="00E036D0"/>
    <w:rsid w:val="00E03A4B"/>
    <w:rsid w:val="00E03E9E"/>
    <w:rsid w:val="00E03EB5"/>
    <w:rsid w:val="00E04149"/>
    <w:rsid w:val="00E041AB"/>
    <w:rsid w:val="00E046A1"/>
    <w:rsid w:val="00E04C0F"/>
    <w:rsid w:val="00E04E71"/>
    <w:rsid w:val="00E0502F"/>
    <w:rsid w:val="00E0517B"/>
    <w:rsid w:val="00E05411"/>
    <w:rsid w:val="00E0591E"/>
    <w:rsid w:val="00E05CA0"/>
    <w:rsid w:val="00E05D82"/>
    <w:rsid w:val="00E05E64"/>
    <w:rsid w:val="00E065F3"/>
    <w:rsid w:val="00E0684E"/>
    <w:rsid w:val="00E06C18"/>
    <w:rsid w:val="00E06DB2"/>
    <w:rsid w:val="00E06E97"/>
    <w:rsid w:val="00E06E98"/>
    <w:rsid w:val="00E071B5"/>
    <w:rsid w:val="00E073D6"/>
    <w:rsid w:val="00E075EF"/>
    <w:rsid w:val="00E07A57"/>
    <w:rsid w:val="00E07CC2"/>
    <w:rsid w:val="00E07D1C"/>
    <w:rsid w:val="00E1009D"/>
    <w:rsid w:val="00E1012D"/>
    <w:rsid w:val="00E1014A"/>
    <w:rsid w:val="00E102E3"/>
    <w:rsid w:val="00E104BE"/>
    <w:rsid w:val="00E10561"/>
    <w:rsid w:val="00E106D3"/>
    <w:rsid w:val="00E106D7"/>
    <w:rsid w:val="00E1082E"/>
    <w:rsid w:val="00E10E09"/>
    <w:rsid w:val="00E10F34"/>
    <w:rsid w:val="00E110EA"/>
    <w:rsid w:val="00E1117F"/>
    <w:rsid w:val="00E1137D"/>
    <w:rsid w:val="00E11527"/>
    <w:rsid w:val="00E11529"/>
    <w:rsid w:val="00E11568"/>
    <w:rsid w:val="00E115B7"/>
    <w:rsid w:val="00E116A6"/>
    <w:rsid w:val="00E116E2"/>
    <w:rsid w:val="00E117A5"/>
    <w:rsid w:val="00E1187C"/>
    <w:rsid w:val="00E11E8A"/>
    <w:rsid w:val="00E11F19"/>
    <w:rsid w:val="00E122C1"/>
    <w:rsid w:val="00E122FF"/>
    <w:rsid w:val="00E125E2"/>
    <w:rsid w:val="00E1264D"/>
    <w:rsid w:val="00E126F7"/>
    <w:rsid w:val="00E127F2"/>
    <w:rsid w:val="00E12852"/>
    <w:rsid w:val="00E12A6E"/>
    <w:rsid w:val="00E12D24"/>
    <w:rsid w:val="00E12D77"/>
    <w:rsid w:val="00E12E0B"/>
    <w:rsid w:val="00E12EFA"/>
    <w:rsid w:val="00E1324B"/>
    <w:rsid w:val="00E13260"/>
    <w:rsid w:val="00E1338F"/>
    <w:rsid w:val="00E1364F"/>
    <w:rsid w:val="00E137F4"/>
    <w:rsid w:val="00E138FF"/>
    <w:rsid w:val="00E13CB3"/>
    <w:rsid w:val="00E13D61"/>
    <w:rsid w:val="00E1427F"/>
    <w:rsid w:val="00E14423"/>
    <w:rsid w:val="00E14728"/>
    <w:rsid w:val="00E147AE"/>
    <w:rsid w:val="00E147BC"/>
    <w:rsid w:val="00E14C31"/>
    <w:rsid w:val="00E14CD2"/>
    <w:rsid w:val="00E14F18"/>
    <w:rsid w:val="00E15003"/>
    <w:rsid w:val="00E15296"/>
    <w:rsid w:val="00E15335"/>
    <w:rsid w:val="00E1538A"/>
    <w:rsid w:val="00E153F6"/>
    <w:rsid w:val="00E1562B"/>
    <w:rsid w:val="00E157B3"/>
    <w:rsid w:val="00E1594F"/>
    <w:rsid w:val="00E15962"/>
    <w:rsid w:val="00E15B66"/>
    <w:rsid w:val="00E15D32"/>
    <w:rsid w:val="00E1631B"/>
    <w:rsid w:val="00E16488"/>
    <w:rsid w:val="00E164B7"/>
    <w:rsid w:val="00E166B3"/>
    <w:rsid w:val="00E16FE8"/>
    <w:rsid w:val="00E17091"/>
    <w:rsid w:val="00E17352"/>
    <w:rsid w:val="00E177EA"/>
    <w:rsid w:val="00E17A43"/>
    <w:rsid w:val="00E17D21"/>
    <w:rsid w:val="00E17FBC"/>
    <w:rsid w:val="00E2036A"/>
    <w:rsid w:val="00E20460"/>
    <w:rsid w:val="00E2050A"/>
    <w:rsid w:val="00E2094D"/>
    <w:rsid w:val="00E20ECE"/>
    <w:rsid w:val="00E20F64"/>
    <w:rsid w:val="00E2103F"/>
    <w:rsid w:val="00E212E7"/>
    <w:rsid w:val="00E21509"/>
    <w:rsid w:val="00E2150D"/>
    <w:rsid w:val="00E21840"/>
    <w:rsid w:val="00E21926"/>
    <w:rsid w:val="00E21CF7"/>
    <w:rsid w:val="00E21F71"/>
    <w:rsid w:val="00E22135"/>
    <w:rsid w:val="00E221FF"/>
    <w:rsid w:val="00E2220E"/>
    <w:rsid w:val="00E2236F"/>
    <w:rsid w:val="00E2237E"/>
    <w:rsid w:val="00E223FE"/>
    <w:rsid w:val="00E224A9"/>
    <w:rsid w:val="00E225A8"/>
    <w:rsid w:val="00E22631"/>
    <w:rsid w:val="00E22766"/>
    <w:rsid w:val="00E229C4"/>
    <w:rsid w:val="00E23053"/>
    <w:rsid w:val="00E235D5"/>
    <w:rsid w:val="00E235FC"/>
    <w:rsid w:val="00E23729"/>
    <w:rsid w:val="00E238C9"/>
    <w:rsid w:val="00E23CF0"/>
    <w:rsid w:val="00E23EA4"/>
    <w:rsid w:val="00E23FCB"/>
    <w:rsid w:val="00E241B2"/>
    <w:rsid w:val="00E243F2"/>
    <w:rsid w:val="00E244ED"/>
    <w:rsid w:val="00E244F1"/>
    <w:rsid w:val="00E246F7"/>
    <w:rsid w:val="00E24B6A"/>
    <w:rsid w:val="00E24C4F"/>
    <w:rsid w:val="00E24D45"/>
    <w:rsid w:val="00E24D75"/>
    <w:rsid w:val="00E24DC6"/>
    <w:rsid w:val="00E2510F"/>
    <w:rsid w:val="00E25192"/>
    <w:rsid w:val="00E2570C"/>
    <w:rsid w:val="00E25B34"/>
    <w:rsid w:val="00E25E25"/>
    <w:rsid w:val="00E262A0"/>
    <w:rsid w:val="00E266A8"/>
    <w:rsid w:val="00E268EB"/>
    <w:rsid w:val="00E26984"/>
    <w:rsid w:val="00E26C62"/>
    <w:rsid w:val="00E26CA8"/>
    <w:rsid w:val="00E26CEC"/>
    <w:rsid w:val="00E26F3E"/>
    <w:rsid w:val="00E271CB"/>
    <w:rsid w:val="00E27276"/>
    <w:rsid w:val="00E2739A"/>
    <w:rsid w:val="00E2779B"/>
    <w:rsid w:val="00E27A99"/>
    <w:rsid w:val="00E27DDD"/>
    <w:rsid w:val="00E27DE2"/>
    <w:rsid w:val="00E27DFB"/>
    <w:rsid w:val="00E27E2D"/>
    <w:rsid w:val="00E27FCE"/>
    <w:rsid w:val="00E305F3"/>
    <w:rsid w:val="00E306A2"/>
    <w:rsid w:val="00E30D3E"/>
    <w:rsid w:val="00E30E0A"/>
    <w:rsid w:val="00E31995"/>
    <w:rsid w:val="00E31AE7"/>
    <w:rsid w:val="00E31BCF"/>
    <w:rsid w:val="00E31D1B"/>
    <w:rsid w:val="00E31F03"/>
    <w:rsid w:val="00E324CF"/>
    <w:rsid w:val="00E325B3"/>
    <w:rsid w:val="00E32A24"/>
    <w:rsid w:val="00E32BE6"/>
    <w:rsid w:val="00E32C71"/>
    <w:rsid w:val="00E3314A"/>
    <w:rsid w:val="00E3314B"/>
    <w:rsid w:val="00E33283"/>
    <w:rsid w:val="00E3363C"/>
    <w:rsid w:val="00E336C6"/>
    <w:rsid w:val="00E33701"/>
    <w:rsid w:val="00E3390E"/>
    <w:rsid w:val="00E33C7C"/>
    <w:rsid w:val="00E33E08"/>
    <w:rsid w:val="00E340E4"/>
    <w:rsid w:val="00E3410E"/>
    <w:rsid w:val="00E341F1"/>
    <w:rsid w:val="00E34286"/>
    <w:rsid w:val="00E34397"/>
    <w:rsid w:val="00E349C8"/>
    <w:rsid w:val="00E3517E"/>
    <w:rsid w:val="00E3563A"/>
    <w:rsid w:val="00E35782"/>
    <w:rsid w:val="00E35885"/>
    <w:rsid w:val="00E35EE6"/>
    <w:rsid w:val="00E361A5"/>
    <w:rsid w:val="00E36260"/>
    <w:rsid w:val="00E36284"/>
    <w:rsid w:val="00E36543"/>
    <w:rsid w:val="00E36657"/>
    <w:rsid w:val="00E36742"/>
    <w:rsid w:val="00E36757"/>
    <w:rsid w:val="00E3675E"/>
    <w:rsid w:val="00E36A55"/>
    <w:rsid w:val="00E36F94"/>
    <w:rsid w:val="00E36FCE"/>
    <w:rsid w:val="00E37112"/>
    <w:rsid w:val="00E37210"/>
    <w:rsid w:val="00E37330"/>
    <w:rsid w:val="00E378DE"/>
    <w:rsid w:val="00E37981"/>
    <w:rsid w:val="00E37AF6"/>
    <w:rsid w:val="00E37D65"/>
    <w:rsid w:val="00E37DD2"/>
    <w:rsid w:val="00E37EED"/>
    <w:rsid w:val="00E402C7"/>
    <w:rsid w:val="00E4036E"/>
    <w:rsid w:val="00E4059F"/>
    <w:rsid w:val="00E40A56"/>
    <w:rsid w:val="00E40BBD"/>
    <w:rsid w:val="00E40D56"/>
    <w:rsid w:val="00E40E19"/>
    <w:rsid w:val="00E40E76"/>
    <w:rsid w:val="00E41350"/>
    <w:rsid w:val="00E41710"/>
    <w:rsid w:val="00E41BD6"/>
    <w:rsid w:val="00E41CE4"/>
    <w:rsid w:val="00E42221"/>
    <w:rsid w:val="00E424FB"/>
    <w:rsid w:val="00E4287E"/>
    <w:rsid w:val="00E429D0"/>
    <w:rsid w:val="00E42FCD"/>
    <w:rsid w:val="00E430E4"/>
    <w:rsid w:val="00E431B8"/>
    <w:rsid w:val="00E43330"/>
    <w:rsid w:val="00E4363B"/>
    <w:rsid w:val="00E43789"/>
    <w:rsid w:val="00E43AB4"/>
    <w:rsid w:val="00E43B41"/>
    <w:rsid w:val="00E43EEA"/>
    <w:rsid w:val="00E43F70"/>
    <w:rsid w:val="00E44055"/>
    <w:rsid w:val="00E446D0"/>
    <w:rsid w:val="00E447F2"/>
    <w:rsid w:val="00E448EE"/>
    <w:rsid w:val="00E44ACA"/>
    <w:rsid w:val="00E44AD1"/>
    <w:rsid w:val="00E45066"/>
    <w:rsid w:val="00E45067"/>
    <w:rsid w:val="00E45356"/>
    <w:rsid w:val="00E45367"/>
    <w:rsid w:val="00E45409"/>
    <w:rsid w:val="00E45614"/>
    <w:rsid w:val="00E456E9"/>
    <w:rsid w:val="00E458A7"/>
    <w:rsid w:val="00E46004"/>
    <w:rsid w:val="00E4643D"/>
    <w:rsid w:val="00E464C6"/>
    <w:rsid w:val="00E4662A"/>
    <w:rsid w:val="00E46711"/>
    <w:rsid w:val="00E4671E"/>
    <w:rsid w:val="00E46AA7"/>
    <w:rsid w:val="00E46BCF"/>
    <w:rsid w:val="00E46C48"/>
    <w:rsid w:val="00E46EE4"/>
    <w:rsid w:val="00E46FC6"/>
    <w:rsid w:val="00E47104"/>
    <w:rsid w:val="00E47C0B"/>
    <w:rsid w:val="00E47E56"/>
    <w:rsid w:val="00E47EDA"/>
    <w:rsid w:val="00E50107"/>
    <w:rsid w:val="00E50197"/>
    <w:rsid w:val="00E503E0"/>
    <w:rsid w:val="00E5095C"/>
    <w:rsid w:val="00E50A2B"/>
    <w:rsid w:val="00E50C61"/>
    <w:rsid w:val="00E50E8D"/>
    <w:rsid w:val="00E50F98"/>
    <w:rsid w:val="00E51247"/>
    <w:rsid w:val="00E51423"/>
    <w:rsid w:val="00E51683"/>
    <w:rsid w:val="00E517D8"/>
    <w:rsid w:val="00E51C91"/>
    <w:rsid w:val="00E51CBD"/>
    <w:rsid w:val="00E51F14"/>
    <w:rsid w:val="00E52008"/>
    <w:rsid w:val="00E520DD"/>
    <w:rsid w:val="00E52214"/>
    <w:rsid w:val="00E52365"/>
    <w:rsid w:val="00E525DD"/>
    <w:rsid w:val="00E52783"/>
    <w:rsid w:val="00E52C05"/>
    <w:rsid w:val="00E52C69"/>
    <w:rsid w:val="00E52E23"/>
    <w:rsid w:val="00E531FD"/>
    <w:rsid w:val="00E533C0"/>
    <w:rsid w:val="00E53919"/>
    <w:rsid w:val="00E53CBF"/>
    <w:rsid w:val="00E53D62"/>
    <w:rsid w:val="00E53E52"/>
    <w:rsid w:val="00E53EFA"/>
    <w:rsid w:val="00E53F20"/>
    <w:rsid w:val="00E53F54"/>
    <w:rsid w:val="00E54004"/>
    <w:rsid w:val="00E540FB"/>
    <w:rsid w:val="00E54239"/>
    <w:rsid w:val="00E54358"/>
    <w:rsid w:val="00E5460C"/>
    <w:rsid w:val="00E5472D"/>
    <w:rsid w:val="00E54BD9"/>
    <w:rsid w:val="00E54D37"/>
    <w:rsid w:val="00E5503C"/>
    <w:rsid w:val="00E55051"/>
    <w:rsid w:val="00E552BB"/>
    <w:rsid w:val="00E55311"/>
    <w:rsid w:val="00E55528"/>
    <w:rsid w:val="00E55545"/>
    <w:rsid w:val="00E5555E"/>
    <w:rsid w:val="00E559BE"/>
    <w:rsid w:val="00E559F5"/>
    <w:rsid w:val="00E55C69"/>
    <w:rsid w:val="00E55FA9"/>
    <w:rsid w:val="00E560D1"/>
    <w:rsid w:val="00E56140"/>
    <w:rsid w:val="00E56568"/>
    <w:rsid w:val="00E56703"/>
    <w:rsid w:val="00E568A4"/>
    <w:rsid w:val="00E56DCA"/>
    <w:rsid w:val="00E56F94"/>
    <w:rsid w:val="00E57009"/>
    <w:rsid w:val="00E57101"/>
    <w:rsid w:val="00E571C4"/>
    <w:rsid w:val="00E57332"/>
    <w:rsid w:val="00E573E2"/>
    <w:rsid w:val="00E574C4"/>
    <w:rsid w:val="00E5759D"/>
    <w:rsid w:val="00E576DD"/>
    <w:rsid w:val="00E60078"/>
    <w:rsid w:val="00E604D2"/>
    <w:rsid w:val="00E607B8"/>
    <w:rsid w:val="00E609EA"/>
    <w:rsid w:val="00E60B90"/>
    <w:rsid w:val="00E60CB3"/>
    <w:rsid w:val="00E60D76"/>
    <w:rsid w:val="00E60ED2"/>
    <w:rsid w:val="00E61035"/>
    <w:rsid w:val="00E6125C"/>
    <w:rsid w:val="00E615E7"/>
    <w:rsid w:val="00E618A5"/>
    <w:rsid w:val="00E61A65"/>
    <w:rsid w:val="00E61C17"/>
    <w:rsid w:val="00E61D93"/>
    <w:rsid w:val="00E61FB2"/>
    <w:rsid w:val="00E620C3"/>
    <w:rsid w:val="00E620F6"/>
    <w:rsid w:val="00E62176"/>
    <w:rsid w:val="00E6293D"/>
    <w:rsid w:val="00E629A9"/>
    <w:rsid w:val="00E62A05"/>
    <w:rsid w:val="00E62CE2"/>
    <w:rsid w:val="00E62D1B"/>
    <w:rsid w:val="00E62DEE"/>
    <w:rsid w:val="00E62E1C"/>
    <w:rsid w:val="00E63475"/>
    <w:rsid w:val="00E63638"/>
    <w:rsid w:val="00E639FE"/>
    <w:rsid w:val="00E63B26"/>
    <w:rsid w:val="00E63BD1"/>
    <w:rsid w:val="00E63D46"/>
    <w:rsid w:val="00E63ED7"/>
    <w:rsid w:val="00E63F54"/>
    <w:rsid w:val="00E641A0"/>
    <w:rsid w:val="00E64411"/>
    <w:rsid w:val="00E64785"/>
    <w:rsid w:val="00E64C0F"/>
    <w:rsid w:val="00E64CC3"/>
    <w:rsid w:val="00E652F6"/>
    <w:rsid w:val="00E65600"/>
    <w:rsid w:val="00E65B2D"/>
    <w:rsid w:val="00E66101"/>
    <w:rsid w:val="00E6635C"/>
    <w:rsid w:val="00E665E0"/>
    <w:rsid w:val="00E668B3"/>
    <w:rsid w:val="00E66A76"/>
    <w:rsid w:val="00E66B54"/>
    <w:rsid w:val="00E66B66"/>
    <w:rsid w:val="00E6709B"/>
    <w:rsid w:val="00E674A8"/>
    <w:rsid w:val="00E6751C"/>
    <w:rsid w:val="00E67643"/>
    <w:rsid w:val="00E677F2"/>
    <w:rsid w:val="00E6782C"/>
    <w:rsid w:val="00E6782D"/>
    <w:rsid w:val="00E67C38"/>
    <w:rsid w:val="00E67FB5"/>
    <w:rsid w:val="00E7019F"/>
    <w:rsid w:val="00E70391"/>
    <w:rsid w:val="00E7043A"/>
    <w:rsid w:val="00E70920"/>
    <w:rsid w:val="00E70932"/>
    <w:rsid w:val="00E709CA"/>
    <w:rsid w:val="00E70B20"/>
    <w:rsid w:val="00E70FF2"/>
    <w:rsid w:val="00E71106"/>
    <w:rsid w:val="00E71389"/>
    <w:rsid w:val="00E717DA"/>
    <w:rsid w:val="00E71A7F"/>
    <w:rsid w:val="00E71AD3"/>
    <w:rsid w:val="00E71DC6"/>
    <w:rsid w:val="00E71F23"/>
    <w:rsid w:val="00E72220"/>
    <w:rsid w:val="00E722D3"/>
    <w:rsid w:val="00E72316"/>
    <w:rsid w:val="00E72422"/>
    <w:rsid w:val="00E724DB"/>
    <w:rsid w:val="00E72A0E"/>
    <w:rsid w:val="00E72BAF"/>
    <w:rsid w:val="00E72BE4"/>
    <w:rsid w:val="00E72E8D"/>
    <w:rsid w:val="00E72ED0"/>
    <w:rsid w:val="00E7335C"/>
    <w:rsid w:val="00E73635"/>
    <w:rsid w:val="00E73645"/>
    <w:rsid w:val="00E73799"/>
    <w:rsid w:val="00E742D1"/>
    <w:rsid w:val="00E74469"/>
    <w:rsid w:val="00E744CE"/>
    <w:rsid w:val="00E74532"/>
    <w:rsid w:val="00E745B5"/>
    <w:rsid w:val="00E74F66"/>
    <w:rsid w:val="00E75009"/>
    <w:rsid w:val="00E751F7"/>
    <w:rsid w:val="00E7520E"/>
    <w:rsid w:val="00E75757"/>
    <w:rsid w:val="00E758F5"/>
    <w:rsid w:val="00E75A26"/>
    <w:rsid w:val="00E75A7D"/>
    <w:rsid w:val="00E75AD1"/>
    <w:rsid w:val="00E75B10"/>
    <w:rsid w:val="00E75E46"/>
    <w:rsid w:val="00E75E5D"/>
    <w:rsid w:val="00E7625F"/>
    <w:rsid w:val="00E76306"/>
    <w:rsid w:val="00E764D8"/>
    <w:rsid w:val="00E767F7"/>
    <w:rsid w:val="00E76D80"/>
    <w:rsid w:val="00E76FA1"/>
    <w:rsid w:val="00E773D1"/>
    <w:rsid w:val="00E774C3"/>
    <w:rsid w:val="00E77B88"/>
    <w:rsid w:val="00E77C7C"/>
    <w:rsid w:val="00E805C1"/>
    <w:rsid w:val="00E80700"/>
    <w:rsid w:val="00E808E7"/>
    <w:rsid w:val="00E80A03"/>
    <w:rsid w:val="00E80A15"/>
    <w:rsid w:val="00E80BCF"/>
    <w:rsid w:val="00E816C5"/>
    <w:rsid w:val="00E81844"/>
    <w:rsid w:val="00E81F28"/>
    <w:rsid w:val="00E820F9"/>
    <w:rsid w:val="00E82472"/>
    <w:rsid w:val="00E8254D"/>
    <w:rsid w:val="00E8295C"/>
    <w:rsid w:val="00E82B0F"/>
    <w:rsid w:val="00E82B2A"/>
    <w:rsid w:val="00E82F05"/>
    <w:rsid w:val="00E82FDE"/>
    <w:rsid w:val="00E83792"/>
    <w:rsid w:val="00E83BF1"/>
    <w:rsid w:val="00E83BF7"/>
    <w:rsid w:val="00E83D35"/>
    <w:rsid w:val="00E83DC6"/>
    <w:rsid w:val="00E83E2F"/>
    <w:rsid w:val="00E84737"/>
    <w:rsid w:val="00E84B00"/>
    <w:rsid w:val="00E84B3A"/>
    <w:rsid w:val="00E84C39"/>
    <w:rsid w:val="00E84D54"/>
    <w:rsid w:val="00E84DE4"/>
    <w:rsid w:val="00E84EBE"/>
    <w:rsid w:val="00E850C3"/>
    <w:rsid w:val="00E8530E"/>
    <w:rsid w:val="00E853CD"/>
    <w:rsid w:val="00E85645"/>
    <w:rsid w:val="00E85851"/>
    <w:rsid w:val="00E85A11"/>
    <w:rsid w:val="00E85AA0"/>
    <w:rsid w:val="00E860A5"/>
    <w:rsid w:val="00E8697F"/>
    <w:rsid w:val="00E86AC3"/>
    <w:rsid w:val="00E86C0E"/>
    <w:rsid w:val="00E87095"/>
    <w:rsid w:val="00E87578"/>
    <w:rsid w:val="00E875B2"/>
    <w:rsid w:val="00E876A0"/>
    <w:rsid w:val="00E87F09"/>
    <w:rsid w:val="00E903D0"/>
    <w:rsid w:val="00E90B31"/>
    <w:rsid w:val="00E90E24"/>
    <w:rsid w:val="00E90EA7"/>
    <w:rsid w:val="00E91607"/>
    <w:rsid w:val="00E91680"/>
    <w:rsid w:val="00E916E4"/>
    <w:rsid w:val="00E91807"/>
    <w:rsid w:val="00E91998"/>
    <w:rsid w:val="00E91A4E"/>
    <w:rsid w:val="00E91C12"/>
    <w:rsid w:val="00E91DEA"/>
    <w:rsid w:val="00E921B1"/>
    <w:rsid w:val="00E922F8"/>
    <w:rsid w:val="00E923CD"/>
    <w:rsid w:val="00E924F1"/>
    <w:rsid w:val="00E92D98"/>
    <w:rsid w:val="00E92E0C"/>
    <w:rsid w:val="00E92F7E"/>
    <w:rsid w:val="00E930BB"/>
    <w:rsid w:val="00E9312E"/>
    <w:rsid w:val="00E93317"/>
    <w:rsid w:val="00E93379"/>
    <w:rsid w:val="00E93473"/>
    <w:rsid w:val="00E934A3"/>
    <w:rsid w:val="00E93A67"/>
    <w:rsid w:val="00E93A75"/>
    <w:rsid w:val="00E93D6E"/>
    <w:rsid w:val="00E93E86"/>
    <w:rsid w:val="00E93FE3"/>
    <w:rsid w:val="00E94021"/>
    <w:rsid w:val="00E9468F"/>
    <w:rsid w:val="00E94826"/>
    <w:rsid w:val="00E949BF"/>
    <w:rsid w:val="00E94A10"/>
    <w:rsid w:val="00E94FCB"/>
    <w:rsid w:val="00E95034"/>
    <w:rsid w:val="00E953C7"/>
    <w:rsid w:val="00E95709"/>
    <w:rsid w:val="00E9573B"/>
    <w:rsid w:val="00E957B8"/>
    <w:rsid w:val="00E95CE2"/>
    <w:rsid w:val="00E95D03"/>
    <w:rsid w:val="00E95E67"/>
    <w:rsid w:val="00E96259"/>
    <w:rsid w:val="00E962BF"/>
    <w:rsid w:val="00E96344"/>
    <w:rsid w:val="00E96528"/>
    <w:rsid w:val="00E96584"/>
    <w:rsid w:val="00E96852"/>
    <w:rsid w:val="00E96886"/>
    <w:rsid w:val="00E96A09"/>
    <w:rsid w:val="00E96B03"/>
    <w:rsid w:val="00E96B6C"/>
    <w:rsid w:val="00E96C49"/>
    <w:rsid w:val="00E96DBD"/>
    <w:rsid w:val="00E96DE4"/>
    <w:rsid w:val="00E96EAF"/>
    <w:rsid w:val="00E9728B"/>
    <w:rsid w:val="00E97916"/>
    <w:rsid w:val="00E97C21"/>
    <w:rsid w:val="00E97C65"/>
    <w:rsid w:val="00E97CB9"/>
    <w:rsid w:val="00E97DDD"/>
    <w:rsid w:val="00E97E6D"/>
    <w:rsid w:val="00E97FD4"/>
    <w:rsid w:val="00EA0125"/>
    <w:rsid w:val="00EA0147"/>
    <w:rsid w:val="00EA0537"/>
    <w:rsid w:val="00EA07FB"/>
    <w:rsid w:val="00EA0881"/>
    <w:rsid w:val="00EA0943"/>
    <w:rsid w:val="00EA0D0A"/>
    <w:rsid w:val="00EA1254"/>
    <w:rsid w:val="00EA162E"/>
    <w:rsid w:val="00EA1A8A"/>
    <w:rsid w:val="00EA1BDF"/>
    <w:rsid w:val="00EA1D1A"/>
    <w:rsid w:val="00EA1FA7"/>
    <w:rsid w:val="00EA2117"/>
    <w:rsid w:val="00EA21BC"/>
    <w:rsid w:val="00EA23CC"/>
    <w:rsid w:val="00EA2498"/>
    <w:rsid w:val="00EA254B"/>
    <w:rsid w:val="00EA28F1"/>
    <w:rsid w:val="00EA29FB"/>
    <w:rsid w:val="00EA2A69"/>
    <w:rsid w:val="00EA2CAF"/>
    <w:rsid w:val="00EA3189"/>
    <w:rsid w:val="00EA31E0"/>
    <w:rsid w:val="00EA35F4"/>
    <w:rsid w:val="00EA379C"/>
    <w:rsid w:val="00EA3889"/>
    <w:rsid w:val="00EA38C7"/>
    <w:rsid w:val="00EA3A14"/>
    <w:rsid w:val="00EA3B94"/>
    <w:rsid w:val="00EA3C27"/>
    <w:rsid w:val="00EA470D"/>
    <w:rsid w:val="00EA4797"/>
    <w:rsid w:val="00EA49D3"/>
    <w:rsid w:val="00EA4A03"/>
    <w:rsid w:val="00EA4A48"/>
    <w:rsid w:val="00EA4AAF"/>
    <w:rsid w:val="00EA4B4A"/>
    <w:rsid w:val="00EA51B7"/>
    <w:rsid w:val="00EA52E4"/>
    <w:rsid w:val="00EA5774"/>
    <w:rsid w:val="00EA59C5"/>
    <w:rsid w:val="00EA5B8A"/>
    <w:rsid w:val="00EA5E9C"/>
    <w:rsid w:val="00EA5EA1"/>
    <w:rsid w:val="00EA6149"/>
    <w:rsid w:val="00EA6407"/>
    <w:rsid w:val="00EA6849"/>
    <w:rsid w:val="00EA6AD3"/>
    <w:rsid w:val="00EA6DD0"/>
    <w:rsid w:val="00EA72AC"/>
    <w:rsid w:val="00EA761A"/>
    <w:rsid w:val="00EA7854"/>
    <w:rsid w:val="00EA78B4"/>
    <w:rsid w:val="00EA79E2"/>
    <w:rsid w:val="00EA7C19"/>
    <w:rsid w:val="00EA7CDA"/>
    <w:rsid w:val="00EA7CEC"/>
    <w:rsid w:val="00EA7E98"/>
    <w:rsid w:val="00EAFC4E"/>
    <w:rsid w:val="00EB01BE"/>
    <w:rsid w:val="00EB01E7"/>
    <w:rsid w:val="00EB07B5"/>
    <w:rsid w:val="00EB0970"/>
    <w:rsid w:val="00EB0AB1"/>
    <w:rsid w:val="00EB0B2D"/>
    <w:rsid w:val="00EB0BEF"/>
    <w:rsid w:val="00EB0C93"/>
    <w:rsid w:val="00EB0CB1"/>
    <w:rsid w:val="00EB0D15"/>
    <w:rsid w:val="00EB0FD3"/>
    <w:rsid w:val="00EB0FE6"/>
    <w:rsid w:val="00EB12E9"/>
    <w:rsid w:val="00EB15F8"/>
    <w:rsid w:val="00EB19FE"/>
    <w:rsid w:val="00EB1AC9"/>
    <w:rsid w:val="00EB1AFD"/>
    <w:rsid w:val="00EB1BDA"/>
    <w:rsid w:val="00EB1CBF"/>
    <w:rsid w:val="00EB1DA7"/>
    <w:rsid w:val="00EB1E76"/>
    <w:rsid w:val="00EB20C6"/>
    <w:rsid w:val="00EB210F"/>
    <w:rsid w:val="00EB239D"/>
    <w:rsid w:val="00EB24B9"/>
    <w:rsid w:val="00EB2C2F"/>
    <w:rsid w:val="00EB2C93"/>
    <w:rsid w:val="00EB2E97"/>
    <w:rsid w:val="00EB2F30"/>
    <w:rsid w:val="00EB2FC6"/>
    <w:rsid w:val="00EB33B5"/>
    <w:rsid w:val="00EB3552"/>
    <w:rsid w:val="00EB362A"/>
    <w:rsid w:val="00EB395A"/>
    <w:rsid w:val="00EB3BEA"/>
    <w:rsid w:val="00EB401B"/>
    <w:rsid w:val="00EB464C"/>
    <w:rsid w:val="00EB4B72"/>
    <w:rsid w:val="00EB4C7B"/>
    <w:rsid w:val="00EB4CEB"/>
    <w:rsid w:val="00EB51E9"/>
    <w:rsid w:val="00EB5514"/>
    <w:rsid w:val="00EB56E1"/>
    <w:rsid w:val="00EB57EB"/>
    <w:rsid w:val="00EB595F"/>
    <w:rsid w:val="00EB59C0"/>
    <w:rsid w:val="00EB5D61"/>
    <w:rsid w:val="00EB5F15"/>
    <w:rsid w:val="00EB60A7"/>
    <w:rsid w:val="00EB62FA"/>
    <w:rsid w:val="00EB6669"/>
    <w:rsid w:val="00EB6B63"/>
    <w:rsid w:val="00EB6BF4"/>
    <w:rsid w:val="00EB6C3E"/>
    <w:rsid w:val="00EB6E22"/>
    <w:rsid w:val="00EB6E34"/>
    <w:rsid w:val="00EB6F59"/>
    <w:rsid w:val="00EB6FC6"/>
    <w:rsid w:val="00EB7023"/>
    <w:rsid w:val="00EB7438"/>
    <w:rsid w:val="00EB74E1"/>
    <w:rsid w:val="00EB751F"/>
    <w:rsid w:val="00EB770F"/>
    <w:rsid w:val="00EB7C61"/>
    <w:rsid w:val="00EB7D00"/>
    <w:rsid w:val="00EC00EE"/>
    <w:rsid w:val="00EC033F"/>
    <w:rsid w:val="00EC0663"/>
    <w:rsid w:val="00EC0D83"/>
    <w:rsid w:val="00EC0E2D"/>
    <w:rsid w:val="00EC0E75"/>
    <w:rsid w:val="00EC0F3C"/>
    <w:rsid w:val="00EC12AD"/>
    <w:rsid w:val="00EC1323"/>
    <w:rsid w:val="00EC137E"/>
    <w:rsid w:val="00EC1653"/>
    <w:rsid w:val="00EC18CD"/>
    <w:rsid w:val="00EC1962"/>
    <w:rsid w:val="00EC1B7F"/>
    <w:rsid w:val="00EC1BA1"/>
    <w:rsid w:val="00EC1C8D"/>
    <w:rsid w:val="00EC1F2B"/>
    <w:rsid w:val="00EC1F36"/>
    <w:rsid w:val="00EC1F5E"/>
    <w:rsid w:val="00EC2153"/>
    <w:rsid w:val="00EC215D"/>
    <w:rsid w:val="00EC2225"/>
    <w:rsid w:val="00EC233E"/>
    <w:rsid w:val="00EC2431"/>
    <w:rsid w:val="00EC2472"/>
    <w:rsid w:val="00EC24AB"/>
    <w:rsid w:val="00EC28AE"/>
    <w:rsid w:val="00EC29D5"/>
    <w:rsid w:val="00EC29E8"/>
    <w:rsid w:val="00EC2D8D"/>
    <w:rsid w:val="00EC2F22"/>
    <w:rsid w:val="00EC34F7"/>
    <w:rsid w:val="00EC36E6"/>
    <w:rsid w:val="00EC3755"/>
    <w:rsid w:val="00EC3A2E"/>
    <w:rsid w:val="00EC437B"/>
    <w:rsid w:val="00EC483B"/>
    <w:rsid w:val="00EC4A73"/>
    <w:rsid w:val="00EC4A92"/>
    <w:rsid w:val="00EC4F2C"/>
    <w:rsid w:val="00EC50D4"/>
    <w:rsid w:val="00EC54B1"/>
    <w:rsid w:val="00EC58C2"/>
    <w:rsid w:val="00EC5A2D"/>
    <w:rsid w:val="00EC5C4E"/>
    <w:rsid w:val="00EC5E31"/>
    <w:rsid w:val="00EC6174"/>
    <w:rsid w:val="00EC61A3"/>
    <w:rsid w:val="00EC6382"/>
    <w:rsid w:val="00EC6452"/>
    <w:rsid w:val="00EC65ED"/>
    <w:rsid w:val="00EC65F0"/>
    <w:rsid w:val="00EC676D"/>
    <w:rsid w:val="00EC6862"/>
    <w:rsid w:val="00EC6AAF"/>
    <w:rsid w:val="00EC6C30"/>
    <w:rsid w:val="00EC6F3E"/>
    <w:rsid w:val="00EC6FD2"/>
    <w:rsid w:val="00EC7069"/>
    <w:rsid w:val="00EC7149"/>
    <w:rsid w:val="00EC7191"/>
    <w:rsid w:val="00EC7417"/>
    <w:rsid w:val="00EC7566"/>
    <w:rsid w:val="00EC75BD"/>
    <w:rsid w:val="00EC7610"/>
    <w:rsid w:val="00EC769A"/>
    <w:rsid w:val="00EC79A3"/>
    <w:rsid w:val="00EC7CCD"/>
    <w:rsid w:val="00EC7FE0"/>
    <w:rsid w:val="00ED0035"/>
    <w:rsid w:val="00ED0083"/>
    <w:rsid w:val="00ED00E3"/>
    <w:rsid w:val="00ED0227"/>
    <w:rsid w:val="00ED05AF"/>
    <w:rsid w:val="00ED0683"/>
    <w:rsid w:val="00ED07C2"/>
    <w:rsid w:val="00ED0840"/>
    <w:rsid w:val="00ED0912"/>
    <w:rsid w:val="00ED0A81"/>
    <w:rsid w:val="00ED0B46"/>
    <w:rsid w:val="00ED0D16"/>
    <w:rsid w:val="00ED1110"/>
    <w:rsid w:val="00ED131C"/>
    <w:rsid w:val="00ED1326"/>
    <w:rsid w:val="00ED1347"/>
    <w:rsid w:val="00ED1370"/>
    <w:rsid w:val="00ED182E"/>
    <w:rsid w:val="00ED1993"/>
    <w:rsid w:val="00ED1A64"/>
    <w:rsid w:val="00ED1C05"/>
    <w:rsid w:val="00ED20FF"/>
    <w:rsid w:val="00ED2511"/>
    <w:rsid w:val="00ED2558"/>
    <w:rsid w:val="00ED2634"/>
    <w:rsid w:val="00ED27AE"/>
    <w:rsid w:val="00ED2D20"/>
    <w:rsid w:val="00ED30C0"/>
    <w:rsid w:val="00ED34BB"/>
    <w:rsid w:val="00ED3D81"/>
    <w:rsid w:val="00ED3F56"/>
    <w:rsid w:val="00ED4107"/>
    <w:rsid w:val="00ED429C"/>
    <w:rsid w:val="00ED4B4D"/>
    <w:rsid w:val="00ED4D4D"/>
    <w:rsid w:val="00ED4E51"/>
    <w:rsid w:val="00ED4E5C"/>
    <w:rsid w:val="00ED5038"/>
    <w:rsid w:val="00ED509F"/>
    <w:rsid w:val="00ED51DA"/>
    <w:rsid w:val="00ED5245"/>
    <w:rsid w:val="00ED52CF"/>
    <w:rsid w:val="00ED538F"/>
    <w:rsid w:val="00ED550E"/>
    <w:rsid w:val="00ED55A5"/>
    <w:rsid w:val="00ED562E"/>
    <w:rsid w:val="00ED5659"/>
    <w:rsid w:val="00ED566F"/>
    <w:rsid w:val="00ED56FB"/>
    <w:rsid w:val="00ED5748"/>
    <w:rsid w:val="00ED5979"/>
    <w:rsid w:val="00ED607F"/>
    <w:rsid w:val="00ED6158"/>
    <w:rsid w:val="00ED6309"/>
    <w:rsid w:val="00ED6326"/>
    <w:rsid w:val="00ED6385"/>
    <w:rsid w:val="00ED63D6"/>
    <w:rsid w:val="00ED6636"/>
    <w:rsid w:val="00ED6651"/>
    <w:rsid w:val="00ED691C"/>
    <w:rsid w:val="00ED69C6"/>
    <w:rsid w:val="00ED6A52"/>
    <w:rsid w:val="00ED6BD1"/>
    <w:rsid w:val="00ED6CE8"/>
    <w:rsid w:val="00ED7098"/>
    <w:rsid w:val="00ED770F"/>
    <w:rsid w:val="00ED78B4"/>
    <w:rsid w:val="00ED7907"/>
    <w:rsid w:val="00ED7D5B"/>
    <w:rsid w:val="00ED7EBC"/>
    <w:rsid w:val="00EE0337"/>
    <w:rsid w:val="00EE0729"/>
    <w:rsid w:val="00EE0E08"/>
    <w:rsid w:val="00EE0F73"/>
    <w:rsid w:val="00EE1442"/>
    <w:rsid w:val="00EE14D1"/>
    <w:rsid w:val="00EE1502"/>
    <w:rsid w:val="00EE17F2"/>
    <w:rsid w:val="00EE1856"/>
    <w:rsid w:val="00EE21A4"/>
    <w:rsid w:val="00EE264A"/>
    <w:rsid w:val="00EE269D"/>
    <w:rsid w:val="00EE2956"/>
    <w:rsid w:val="00EE2979"/>
    <w:rsid w:val="00EE2AD1"/>
    <w:rsid w:val="00EE30AE"/>
    <w:rsid w:val="00EE33B2"/>
    <w:rsid w:val="00EE3412"/>
    <w:rsid w:val="00EE36D5"/>
    <w:rsid w:val="00EE38AE"/>
    <w:rsid w:val="00EE3A66"/>
    <w:rsid w:val="00EE3B1B"/>
    <w:rsid w:val="00EE40B0"/>
    <w:rsid w:val="00EE4355"/>
    <w:rsid w:val="00EE4A9B"/>
    <w:rsid w:val="00EE4B0F"/>
    <w:rsid w:val="00EE4B81"/>
    <w:rsid w:val="00EE4E67"/>
    <w:rsid w:val="00EE4F2E"/>
    <w:rsid w:val="00EE50B3"/>
    <w:rsid w:val="00EE5640"/>
    <w:rsid w:val="00EE572C"/>
    <w:rsid w:val="00EE573E"/>
    <w:rsid w:val="00EE58AA"/>
    <w:rsid w:val="00EE595F"/>
    <w:rsid w:val="00EE5BD3"/>
    <w:rsid w:val="00EE5C0D"/>
    <w:rsid w:val="00EE5CB4"/>
    <w:rsid w:val="00EE5D98"/>
    <w:rsid w:val="00EE6216"/>
    <w:rsid w:val="00EE6451"/>
    <w:rsid w:val="00EE6584"/>
    <w:rsid w:val="00EE68CD"/>
    <w:rsid w:val="00EE702E"/>
    <w:rsid w:val="00EE7053"/>
    <w:rsid w:val="00EE7070"/>
    <w:rsid w:val="00EE70C8"/>
    <w:rsid w:val="00EE71B9"/>
    <w:rsid w:val="00EE7323"/>
    <w:rsid w:val="00EE751E"/>
    <w:rsid w:val="00EE75C2"/>
    <w:rsid w:val="00EE7916"/>
    <w:rsid w:val="00EE7CDF"/>
    <w:rsid w:val="00EE7EFD"/>
    <w:rsid w:val="00EF0133"/>
    <w:rsid w:val="00EF01C4"/>
    <w:rsid w:val="00EF066A"/>
    <w:rsid w:val="00EF08D5"/>
    <w:rsid w:val="00EF0FA1"/>
    <w:rsid w:val="00EF1070"/>
    <w:rsid w:val="00EF13F1"/>
    <w:rsid w:val="00EF1559"/>
    <w:rsid w:val="00EF15C4"/>
    <w:rsid w:val="00EF1626"/>
    <w:rsid w:val="00EF17BD"/>
    <w:rsid w:val="00EF17C8"/>
    <w:rsid w:val="00EF1901"/>
    <w:rsid w:val="00EF1960"/>
    <w:rsid w:val="00EF1A2E"/>
    <w:rsid w:val="00EF1ECC"/>
    <w:rsid w:val="00EF1F0D"/>
    <w:rsid w:val="00EF23BD"/>
    <w:rsid w:val="00EF23C3"/>
    <w:rsid w:val="00EF263E"/>
    <w:rsid w:val="00EF284E"/>
    <w:rsid w:val="00EF2A47"/>
    <w:rsid w:val="00EF2D4B"/>
    <w:rsid w:val="00EF2E14"/>
    <w:rsid w:val="00EF30AB"/>
    <w:rsid w:val="00EF3727"/>
    <w:rsid w:val="00EF375C"/>
    <w:rsid w:val="00EF383E"/>
    <w:rsid w:val="00EF3D7E"/>
    <w:rsid w:val="00EF3F16"/>
    <w:rsid w:val="00EF4485"/>
    <w:rsid w:val="00EF4518"/>
    <w:rsid w:val="00EF4544"/>
    <w:rsid w:val="00EF470A"/>
    <w:rsid w:val="00EF483D"/>
    <w:rsid w:val="00EF48C8"/>
    <w:rsid w:val="00EF4A79"/>
    <w:rsid w:val="00EF4AC0"/>
    <w:rsid w:val="00EF4C50"/>
    <w:rsid w:val="00EF4CC6"/>
    <w:rsid w:val="00EF4DE1"/>
    <w:rsid w:val="00EF504F"/>
    <w:rsid w:val="00EF509E"/>
    <w:rsid w:val="00EF5357"/>
    <w:rsid w:val="00EF5394"/>
    <w:rsid w:val="00EF5450"/>
    <w:rsid w:val="00EF577C"/>
    <w:rsid w:val="00EF57BD"/>
    <w:rsid w:val="00EF5BD7"/>
    <w:rsid w:val="00EF5DA1"/>
    <w:rsid w:val="00EF61FC"/>
    <w:rsid w:val="00EF63AA"/>
    <w:rsid w:val="00EF6540"/>
    <w:rsid w:val="00EF6868"/>
    <w:rsid w:val="00EF6A2F"/>
    <w:rsid w:val="00EF6B5A"/>
    <w:rsid w:val="00EF6B6D"/>
    <w:rsid w:val="00EF6E2F"/>
    <w:rsid w:val="00EF6F7E"/>
    <w:rsid w:val="00EF6F86"/>
    <w:rsid w:val="00EF7239"/>
    <w:rsid w:val="00EF7A31"/>
    <w:rsid w:val="00EF7AC6"/>
    <w:rsid w:val="00EF7ADE"/>
    <w:rsid w:val="00EF7BBE"/>
    <w:rsid w:val="00F0003A"/>
    <w:rsid w:val="00F001D0"/>
    <w:rsid w:val="00F003AE"/>
    <w:rsid w:val="00F0041E"/>
    <w:rsid w:val="00F008DC"/>
    <w:rsid w:val="00F00BA0"/>
    <w:rsid w:val="00F01197"/>
    <w:rsid w:val="00F011E0"/>
    <w:rsid w:val="00F01AD5"/>
    <w:rsid w:val="00F01EBB"/>
    <w:rsid w:val="00F01FDE"/>
    <w:rsid w:val="00F0218B"/>
    <w:rsid w:val="00F024A9"/>
    <w:rsid w:val="00F0265F"/>
    <w:rsid w:val="00F029C6"/>
    <w:rsid w:val="00F029D1"/>
    <w:rsid w:val="00F02A45"/>
    <w:rsid w:val="00F02A4A"/>
    <w:rsid w:val="00F02D55"/>
    <w:rsid w:val="00F02E30"/>
    <w:rsid w:val="00F02E53"/>
    <w:rsid w:val="00F03166"/>
    <w:rsid w:val="00F034A6"/>
    <w:rsid w:val="00F035AA"/>
    <w:rsid w:val="00F035BE"/>
    <w:rsid w:val="00F03608"/>
    <w:rsid w:val="00F03AFC"/>
    <w:rsid w:val="00F03BD8"/>
    <w:rsid w:val="00F03C25"/>
    <w:rsid w:val="00F03DA5"/>
    <w:rsid w:val="00F04315"/>
    <w:rsid w:val="00F04387"/>
    <w:rsid w:val="00F043A9"/>
    <w:rsid w:val="00F0482A"/>
    <w:rsid w:val="00F04B5F"/>
    <w:rsid w:val="00F04BEC"/>
    <w:rsid w:val="00F04C25"/>
    <w:rsid w:val="00F04C59"/>
    <w:rsid w:val="00F04E85"/>
    <w:rsid w:val="00F050D2"/>
    <w:rsid w:val="00F052F1"/>
    <w:rsid w:val="00F05989"/>
    <w:rsid w:val="00F05A5F"/>
    <w:rsid w:val="00F05CCF"/>
    <w:rsid w:val="00F05D50"/>
    <w:rsid w:val="00F0634E"/>
    <w:rsid w:val="00F0669B"/>
    <w:rsid w:val="00F068A1"/>
    <w:rsid w:val="00F06CC9"/>
    <w:rsid w:val="00F06D70"/>
    <w:rsid w:val="00F06E25"/>
    <w:rsid w:val="00F06E7D"/>
    <w:rsid w:val="00F06E8A"/>
    <w:rsid w:val="00F06F71"/>
    <w:rsid w:val="00F0705F"/>
    <w:rsid w:val="00F07297"/>
    <w:rsid w:val="00F073CA"/>
    <w:rsid w:val="00F07C8E"/>
    <w:rsid w:val="00F07E07"/>
    <w:rsid w:val="00F07EAF"/>
    <w:rsid w:val="00F10084"/>
    <w:rsid w:val="00F1044D"/>
    <w:rsid w:val="00F105C9"/>
    <w:rsid w:val="00F10742"/>
    <w:rsid w:val="00F109DA"/>
    <w:rsid w:val="00F10C32"/>
    <w:rsid w:val="00F10D94"/>
    <w:rsid w:val="00F10FBD"/>
    <w:rsid w:val="00F1119B"/>
    <w:rsid w:val="00F11363"/>
    <w:rsid w:val="00F11389"/>
    <w:rsid w:val="00F116C9"/>
    <w:rsid w:val="00F117FD"/>
    <w:rsid w:val="00F11B10"/>
    <w:rsid w:val="00F11B56"/>
    <w:rsid w:val="00F11BBE"/>
    <w:rsid w:val="00F11F37"/>
    <w:rsid w:val="00F11F88"/>
    <w:rsid w:val="00F122BE"/>
    <w:rsid w:val="00F124B9"/>
    <w:rsid w:val="00F1259B"/>
    <w:rsid w:val="00F12618"/>
    <w:rsid w:val="00F12DA7"/>
    <w:rsid w:val="00F12E4F"/>
    <w:rsid w:val="00F12ECA"/>
    <w:rsid w:val="00F12F7F"/>
    <w:rsid w:val="00F13016"/>
    <w:rsid w:val="00F1314A"/>
    <w:rsid w:val="00F13169"/>
    <w:rsid w:val="00F13354"/>
    <w:rsid w:val="00F13A51"/>
    <w:rsid w:val="00F13C44"/>
    <w:rsid w:val="00F13D81"/>
    <w:rsid w:val="00F13E4D"/>
    <w:rsid w:val="00F14A18"/>
    <w:rsid w:val="00F14A5F"/>
    <w:rsid w:val="00F153A8"/>
    <w:rsid w:val="00F1590D"/>
    <w:rsid w:val="00F15BCD"/>
    <w:rsid w:val="00F15D5E"/>
    <w:rsid w:val="00F15D8A"/>
    <w:rsid w:val="00F15E92"/>
    <w:rsid w:val="00F15FAF"/>
    <w:rsid w:val="00F16126"/>
    <w:rsid w:val="00F16139"/>
    <w:rsid w:val="00F161AB"/>
    <w:rsid w:val="00F163E9"/>
    <w:rsid w:val="00F16417"/>
    <w:rsid w:val="00F16A3D"/>
    <w:rsid w:val="00F16C8E"/>
    <w:rsid w:val="00F16F34"/>
    <w:rsid w:val="00F1700C"/>
    <w:rsid w:val="00F17230"/>
    <w:rsid w:val="00F17498"/>
    <w:rsid w:val="00F1764E"/>
    <w:rsid w:val="00F1770A"/>
    <w:rsid w:val="00F1775B"/>
    <w:rsid w:val="00F1782E"/>
    <w:rsid w:val="00F179B5"/>
    <w:rsid w:val="00F17ABC"/>
    <w:rsid w:val="00F17C73"/>
    <w:rsid w:val="00F20254"/>
    <w:rsid w:val="00F20511"/>
    <w:rsid w:val="00F206C8"/>
    <w:rsid w:val="00F206F7"/>
    <w:rsid w:val="00F20F2C"/>
    <w:rsid w:val="00F20F50"/>
    <w:rsid w:val="00F20FF3"/>
    <w:rsid w:val="00F2132C"/>
    <w:rsid w:val="00F2139A"/>
    <w:rsid w:val="00F21492"/>
    <w:rsid w:val="00F214D1"/>
    <w:rsid w:val="00F214E4"/>
    <w:rsid w:val="00F21546"/>
    <w:rsid w:val="00F216BF"/>
    <w:rsid w:val="00F21860"/>
    <w:rsid w:val="00F21863"/>
    <w:rsid w:val="00F21878"/>
    <w:rsid w:val="00F218E8"/>
    <w:rsid w:val="00F21998"/>
    <w:rsid w:val="00F21A0C"/>
    <w:rsid w:val="00F21EEC"/>
    <w:rsid w:val="00F22388"/>
    <w:rsid w:val="00F22915"/>
    <w:rsid w:val="00F22A76"/>
    <w:rsid w:val="00F22A9B"/>
    <w:rsid w:val="00F22B7A"/>
    <w:rsid w:val="00F22C7D"/>
    <w:rsid w:val="00F23319"/>
    <w:rsid w:val="00F23692"/>
    <w:rsid w:val="00F23771"/>
    <w:rsid w:val="00F2378A"/>
    <w:rsid w:val="00F23E31"/>
    <w:rsid w:val="00F2402D"/>
    <w:rsid w:val="00F24073"/>
    <w:rsid w:val="00F240FC"/>
    <w:rsid w:val="00F2413C"/>
    <w:rsid w:val="00F241AC"/>
    <w:rsid w:val="00F24370"/>
    <w:rsid w:val="00F24384"/>
    <w:rsid w:val="00F243A9"/>
    <w:rsid w:val="00F244CA"/>
    <w:rsid w:val="00F245E1"/>
    <w:rsid w:val="00F24962"/>
    <w:rsid w:val="00F24C89"/>
    <w:rsid w:val="00F24D3E"/>
    <w:rsid w:val="00F24D77"/>
    <w:rsid w:val="00F24F8F"/>
    <w:rsid w:val="00F2503B"/>
    <w:rsid w:val="00F25080"/>
    <w:rsid w:val="00F25633"/>
    <w:rsid w:val="00F25703"/>
    <w:rsid w:val="00F25CD0"/>
    <w:rsid w:val="00F2656F"/>
    <w:rsid w:val="00F265C3"/>
    <w:rsid w:val="00F26635"/>
    <w:rsid w:val="00F266A7"/>
    <w:rsid w:val="00F2716C"/>
    <w:rsid w:val="00F274E4"/>
    <w:rsid w:val="00F27783"/>
    <w:rsid w:val="00F27A6D"/>
    <w:rsid w:val="00F27B6F"/>
    <w:rsid w:val="00F27BD5"/>
    <w:rsid w:val="00F27CCC"/>
    <w:rsid w:val="00F3020D"/>
    <w:rsid w:val="00F3034B"/>
    <w:rsid w:val="00F30623"/>
    <w:rsid w:val="00F3070F"/>
    <w:rsid w:val="00F309AC"/>
    <w:rsid w:val="00F30A6A"/>
    <w:rsid w:val="00F30C0F"/>
    <w:rsid w:val="00F30D18"/>
    <w:rsid w:val="00F30F43"/>
    <w:rsid w:val="00F30F5C"/>
    <w:rsid w:val="00F3107D"/>
    <w:rsid w:val="00F3107E"/>
    <w:rsid w:val="00F310F2"/>
    <w:rsid w:val="00F316CE"/>
    <w:rsid w:val="00F31AD3"/>
    <w:rsid w:val="00F31BE0"/>
    <w:rsid w:val="00F31C0E"/>
    <w:rsid w:val="00F31C5F"/>
    <w:rsid w:val="00F31CC2"/>
    <w:rsid w:val="00F32360"/>
    <w:rsid w:val="00F32419"/>
    <w:rsid w:val="00F3289E"/>
    <w:rsid w:val="00F32A24"/>
    <w:rsid w:val="00F32BA5"/>
    <w:rsid w:val="00F32CEC"/>
    <w:rsid w:val="00F33268"/>
    <w:rsid w:val="00F33367"/>
    <w:rsid w:val="00F333E3"/>
    <w:rsid w:val="00F33643"/>
    <w:rsid w:val="00F33C5F"/>
    <w:rsid w:val="00F33D1C"/>
    <w:rsid w:val="00F33D65"/>
    <w:rsid w:val="00F33D79"/>
    <w:rsid w:val="00F33EF2"/>
    <w:rsid w:val="00F34080"/>
    <w:rsid w:val="00F340D2"/>
    <w:rsid w:val="00F34198"/>
    <w:rsid w:val="00F341CE"/>
    <w:rsid w:val="00F344CE"/>
    <w:rsid w:val="00F34711"/>
    <w:rsid w:val="00F34C3A"/>
    <w:rsid w:val="00F34D0B"/>
    <w:rsid w:val="00F34DDA"/>
    <w:rsid w:val="00F34F19"/>
    <w:rsid w:val="00F351FE"/>
    <w:rsid w:val="00F3553C"/>
    <w:rsid w:val="00F357C5"/>
    <w:rsid w:val="00F357EE"/>
    <w:rsid w:val="00F35BE7"/>
    <w:rsid w:val="00F35EF8"/>
    <w:rsid w:val="00F36084"/>
    <w:rsid w:val="00F3617C"/>
    <w:rsid w:val="00F3624F"/>
    <w:rsid w:val="00F362B3"/>
    <w:rsid w:val="00F366C8"/>
    <w:rsid w:val="00F368D9"/>
    <w:rsid w:val="00F36968"/>
    <w:rsid w:val="00F369AF"/>
    <w:rsid w:val="00F36B9D"/>
    <w:rsid w:val="00F3711D"/>
    <w:rsid w:val="00F37161"/>
    <w:rsid w:val="00F37263"/>
    <w:rsid w:val="00F372EB"/>
    <w:rsid w:val="00F37356"/>
    <w:rsid w:val="00F375BA"/>
    <w:rsid w:val="00F3761F"/>
    <w:rsid w:val="00F37755"/>
    <w:rsid w:val="00F37A4A"/>
    <w:rsid w:val="00F37C4B"/>
    <w:rsid w:val="00F37E25"/>
    <w:rsid w:val="00F37FE2"/>
    <w:rsid w:val="00F4009B"/>
    <w:rsid w:val="00F4013D"/>
    <w:rsid w:val="00F4039A"/>
    <w:rsid w:val="00F4044F"/>
    <w:rsid w:val="00F406F9"/>
    <w:rsid w:val="00F40784"/>
    <w:rsid w:val="00F40A05"/>
    <w:rsid w:val="00F40E7B"/>
    <w:rsid w:val="00F40F15"/>
    <w:rsid w:val="00F41448"/>
    <w:rsid w:val="00F416B9"/>
    <w:rsid w:val="00F416BB"/>
    <w:rsid w:val="00F41823"/>
    <w:rsid w:val="00F41844"/>
    <w:rsid w:val="00F418B4"/>
    <w:rsid w:val="00F418E0"/>
    <w:rsid w:val="00F41926"/>
    <w:rsid w:val="00F4197B"/>
    <w:rsid w:val="00F41B8B"/>
    <w:rsid w:val="00F41CBC"/>
    <w:rsid w:val="00F421A4"/>
    <w:rsid w:val="00F4224E"/>
    <w:rsid w:val="00F424B6"/>
    <w:rsid w:val="00F4288B"/>
    <w:rsid w:val="00F428CE"/>
    <w:rsid w:val="00F42ADF"/>
    <w:rsid w:val="00F42BF8"/>
    <w:rsid w:val="00F43142"/>
    <w:rsid w:val="00F4317B"/>
    <w:rsid w:val="00F432FF"/>
    <w:rsid w:val="00F433BB"/>
    <w:rsid w:val="00F43668"/>
    <w:rsid w:val="00F436EA"/>
    <w:rsid w:val="00F43A1B"/>
    <w:rsid w:val="00F43D9A"/>
    <w:rsid w:val="00F44015"/>
    <w:rsid w:val="00F4456F"/>
    <w:rsid w:val="00F445EE"/>
    <w:rsid w:val="00F44E87"/>
    <w:rsid w:val="00F450A0"/>
    <w:rsid w:val="00F45179"/>
    <w:rsid w:val="00F45513"/>
    <w:rsid w:val="00F456EF"/>
    <w:rsid w:val="00F45986"/>
    <w:rsid w:val="00F45B4E"/>
    <w:rsid w:val="00F45BA8"/>
    <w:rsid w:val="00F46562"/>
    <w:rsid w:val="00F466D0"/>
    <w:rsid w:val="00F46704"/>
    <w:rsid w:val="00F46778"/>
    <w:rsid w:val="00F467FA"/>
    <w:rsid w:val="00F46960"/>
    <w:rsid w:val="00F46A87"/>
    <w:rsid w:val="00F46B3A"/>
    <w:rsid w:val="00F470B5"/>
    <w:rsid w:val="00F4725A"/>
    <w:rsid w:val="00F47398"/>
    <w:rsid w:val="00F47653"/>
    <w:rsid w:val="00F47747"/>
    <w:rsid w:val="00F477BC"/>
    <w:rsid w:val="00F47ABF"/>
    <w:rsid w:val="00F47B48"/>
    <w:rsid w:val="00F47D95"/>
    <w:rsid w:val="00F5010E"/>
    <w:rsid w:val="00F50162"/>
    <w:rsid w:val="00F508EF"/>
    <w:rsid w:val="00F509F5"/>
    <w:rsid w:val="00F50A70"/>
    <w:rsid w:val="00F50C48"/>
    <w:rsid w:val="00F50F59"/>
    <w:rsid w:val="00F50FAE"/>
    <w:rsid w:val="00F510DD"/>
    <w:rsid w:val="00F51A6C"/>
    <w:rsid w:val="00F51BBB"/>
    <w:rsid w:val="00F521B6"/>
    <w:rsid w:val="00F522B8"/>
    <w:rsid w:val="00F523AF"/>
    <w:rsid w:val="00F525E5"/>
    <w:rsid w:val="00F525E6"/>
    <w:rsid w:val="00F5277E"/>
    <w:rsid w:val="00F529E6"/>
    <w:rsid w:val="00F52A5A"/>
    <w:rsid w:val="00F52B3A"/>
    <w:rsid w:val="00F52C8F"/>
    <w:rsid w:val="00F52D12"/>
    <w:rsid w:val="00F52D5E"/>
    <w:rsid w:val="00F52DDD"/>
    <w:rsid w:val="00F52F8E"/>
    <w:rsid w:val="00F52FF3"/>
    <w:rsid w:val="00F53178"/>
    <w:rsid w:val="00F5317A"/>
    <w:rsid w:val="00F53206"/>
    <w:rsid w:val="00F5346F"/>
    <w:rsid w:val="00F537CE"/>
    <w:rsid w:val="00F539A3"/>
    <w:rsid w:val="00F53C97"/>
    <w:rsid w:val="00F53E3A"/>
    <w:rsid w:val="00F54413"/>
    <w:rsid w:val="00F5447C"/>
    <w:rsid w:val="00F54567"/>
    <w:rsid w:val="00F545FE"/>
    <w:rsid w:val="00F54828"/>
    <w:rsid w:val="00F54BA4"/>
    <w:rsid w:val="00F54E1B"/>
    <w:rsid w:val="00F552F9"/>
    <w:rsid w:val="00F5569A"/>
    <w:rsid w:val="00F5570C"/>
    <w:rsid w:val="00F55B81"/>
    <w:rsid w:val="00F55D1A"/>
    <w:rsid w:val="00F55F88"/>
    <w:rsid w:val="00F56677"/>
    <w:rsid w:val="00F56D39"/>
    <w:rsid w:val="00F571A7"/>
    <w:rsid w:val="00F57220"/>
    <w:rsid w:val="00F5735A"/>
    <w:rsid w:val="00F57584"/>
    <w:rsid w:val="00F5777A"/>
    <w:rsid w:val="00F577FE"/>
    <w:rsid w:val="00F57CAA"/>
    <w:rsid w:val="00F57FAC"/>
    <w:rsid w:val="00F60018"/>
    <w:rsid w:val="00F60150"/>
    <w:rsid w:val="00F6070E"/>
    <w:rsid w:val="00F60AA2"/>
    <w:rsid w:val="00F61250"/>
    <w:rsid w:val="00F61435"/>
    <w:rsid w:val="00F614F2"/>
    <w:rsid w:val="00F61626"/>
    <w:rsid w:val="00F617FD"/>
    <w:rsid w:val="00F61FBC"/>
    <w:rsid w:val="00F61FEC"/>
    <w:rsid w:val="00F62307"/>
    <w:rsid w:val="00F6262D"/>
    <w:rsid w:val="00F6268B"/>
    <w:rsid w:val="00F62744"/>
    <w:rsid w:val="00F62760"/>
    <w:rsid w:val="00F6285C"/>
    <w:rsid w:val="00F62A26"/>
    <w:rsid w:val="00F62B28"/>
    <w:rsid w:val="00F62EBA"/>
    <w:rsid w:val="00F62F18"/>
    <w:rsid w:val="00F632D4"/>
    <w:rsid w:val="00F633F3"/>
    <w:rsid w:val="00F63632"/>
    <w:rsid w:val="00F636AB"/>
    <w:rsid w:val="00F639D0"/>
    <w:rsid w:val="00F63B79"/>
    <w:rsid w:val="00F63B93"/>
    <w:rsid w:val="00F63BFB"/>
    <w:rsid w:val="00F63C50"/>
    <w:rsid w:val="00F63CA7"/>
    <w:rsid w:val="00F63DB4"/>
    <w:rsid w:val="00F63E01"/>
    <w:rsid w:val="00F644C5"/>
    <w:rsid w:val="00F64AB2"/>
    <w:rsid w:val="00F64AFC"/>
    <w:rsid w:val="00F64B72"/>
    <w:rsid w:val="00F64BD7"/>
    <w:rsid w:val="00F64CBE"/>
    <w:rsid w:val="00F64EB0"/>
    <w:rsid w:val="00F64FC2"/>
    <w:rsid w:val="00F6516F"/>
    <w:rsid w:val="00F655B7"/>
    <w:rsid w:val="00F65945"/>
    <w:rsid w:val="00F65C73"/>
    <w:rsid w:val="00F65F65"/>
    <w:rsid w:val="00F66363"/>
    <w:rsid w:val="00F6674D"/>
    <w:rsid w:val="00F667A6"/>
    <w:rsid w:val="00F66B5F"/>
    <w:rsid w:val="00F66C49"/>
    <w:rsid w:val="00F66E79"/>
    <w:rsid w:val="00F6738C"/>
    <w:rsid w:val="00F6744C"/>
    <w:rsid w:val="00F676BD"/>
    <w:rsid w:val="00F67749"/>
    <w:rsid w:val="00F67789"/>
    <w:rsid w:val="00F6796A"/>
    <w:rsid w:val="00F67A0B"/>
    <w:rsid w:val="00F67CC1"/>
    <w:rsid w:val="00F70118"/>
    <w:rsid w:val="00F70128"/>
    <w:rsid w:val="00F70171"/>
    <w:rsid w:val="00F70451"/>
    <w:rsid w:val="00F70627"/>
    <w:rsid w:val="00F706E9"/>
    <w:rsid w:val="00F70B5F"/>
    <w:rsid w:val="00F70D09"/>
    <w:rsid w:val="00F71014"/>
    <w:rsid w:val="00F712B5"/>
    <w:rsid w:val="00F713DA"/>
    <w:rsid w:val="00F71592"/>
    <w:rsid w:val="00F715C6"/>
    <w:rsid w:val="00F7193D"/>
    <w:rsid w:val="00F71ABD"/>
    <w:rsid w:val="00F71C8C"/>
    <w:rsid w:val="00F71D15"/>
    <w:rsid w:val="00F71DA0"/>
    <w:rsid w:val="00F71FCD"/>
    <w:rsid w:val="00F7203B"/>
    <w:rsid w:val="00F7224F"/>
    <w:rsid w:val="00F722EA"/>
    <w:rsid w:val="00F724EE"/>
    <w:rsid w:val="00F7260B"/>
    <w:rsid w:val="00F7268D"/>
    <w:rsid w:val="00F729CA"/>
    <w:rsid w:val="00F729D7"/>
    <w:rsid w:val="00F72C5A"/>
    <w:rsid w:val="00F7300B"/>
    <w:rsid w:val="00F73241"/>
    <w:rsid w:val="00F732DE"/>
    <w:rsid w:val="00F73541"/>
    <w:rsid w:val="00F73689"/>
    <w:rsid w:val="00F73795"/>
    <w:rsid w:val="00F742F0"/>
    <w:rsid w:val="00F74380"/>
    <w:rsid w:val="00F7492C"/>
    <w:rsid w:val="00F74E38"/>
    <w:rsid w:val="00F74EAA"/>
    <w:rsid w:val="00F75101"/>
    <w:rsid w:val="00F75123"/>
    <w:rsid w:val="00F751D9"/>
    <w:rsid w:val="00F75301"/>
    <w:rsid w:val="00F7535E"/>
    <w:rsid w:val="00F7559D"/>
    <w:rsid w:val="00F755DF"/>
    <w:rsid w:val="00F75926"/>
    <w:rsid w:val="00F75B9F"/>
    <w:rsid w:val="00F75E11"/>
    <w:rsid w:val="00F76072"/>
    <w:rsid w:val="00F76618"/>
    <w:rsid w:val="00F7665A"/>
    <w:rsid w:val="00F76852"/>
    <w:rsid w:val="00F768AA"/>
    <w:rsid w:val="00F768D3"/>
    <w:rsid w:val="00F76AA5"/>
    <w:rsid w:val="00F76FA3"/>
    <w:rsid w:val="00F77042"/>
    <w:rsid w:val="00F77355"/>
    <w:rsid w:val="00F7751A"/>
    <w:rsid w:val="00F7762F"/>
    <w:rsid w:val="00F776A3"/>
    <w:rsid w:val="00F776AB"/>
    <w:rsid w:val="00F7798D"/>
    <w:rsid w:val="00F77A4C"/>
    <w:rsid w:val="00F77B42"/>
    <w:rsid w:val="00F77BDD"/>
    <w:rsid w:val="00F77C63"/>
    <w:rsid w:val="00F80319"/>
    <w:rsid w:val="00F80455"/>
    <w:rsid w:val="00F807C7"/>
    <w:rsid w:val="00F8087D"/>
    <w:rsid w:val="00F809E7"/>
    <w:rsid w:val="00F80B3A"/>
    <w:rsid w:val="00F80CFA"/>
    <w:rsid w:val="00F80E5B"/>
    <w:rsid w:val="00F80E94"/>
    <w:rsid w:val="00F810BD"/>
    <w:rsid w:val="00F81105"/>
    <w:rsid w:val="00F813C5"/>
    <w:rsid w:val="00F81423"/>
    <w:rsid w:val="00F81937"/>
    <w:rsid w:val="00F81C19"/>
    <w:rsid w:val="00F81C1D"/>
    <w:rsid w:val="00F81D5E"/>
    <w:rsid w:val="00F81E6E"/>
    <w:rsid w:val="00F81E9A"/>
    <w:rsid w:val="00F822EF"/>
    <w:rsid w:val="00F82521"/>
    <w:rsid w:val="00F82831"/>
    <w:rsid w:val="00F82A6D"/>
    <w:rsid w:val="00F83265"/>
    <w:rsid w:val="00F832EC"/>
    <w:rsid w:val="00F83847"/>
    <w:rsid w:val="00F83F66"/>
    <w:rsid w:val="00F83FD2"/>
    <w:rsid w:val="00F8414E"/>
    <w:rsid w:val="00F841EF"/>
    <w:rsid w:val="00F847CD"/>
    <w:rsid w:val="00F849D4"/>
    <w:rsid w:val="00F84F82"/>
    <w:rsid w:val="00F85067"/>
    <w:rsid w:val="00F851AA"/>
    <w:rsid w:val="00F8547B"/>
    <w:rsid w:val="00F854E3"/>
    <w:rsid w:val="00F854F1"/>
    <w:rsid w:val="00F85976"/>
    <w:rsid w:val="00F85B08"/>
    <w:rsid w:val="00F86137"/>
    <w:rsid w:val="00F86278"/>
    <w:rsid w:val="00F862BB"/>
    <w:rsid w:val="00F86403"/>
    <w:rsid w:val="00F86502"/>
    <w:rsid w:val="00F866EF"/>
    <w:rsid w:val="00F868CB"/>
    <w:rsid w:val="00F86903"/>
    <w:rsid w:val="00F86A76"/>
    <w:rsid w:val="00F86A8C"/>
    <w:rsid w:val="00F87071"/>
    <w:rsid w:val="00F870C0"/>
    <w:rsid w:val="00F871DE"/>
    <w:rsid w:val="00F87294"/>
    <w:rsid w:val="00F872D0"/>
    <w:rsid w:val="00F87366"/>
    <w:rsid w:val="00F87908"/>
    <w:rsid w:val="00F87D5E"/>
    <w:rsid w:val="00F900CB"/>
    <w:rsid w:val="00F90258"/>
    <w:rsid w:val="00F90267"/>
    <w:rsid w:val="00F90770"/>
    <w:rsid w:val="00F90E8E"/>
    <w:rsid w:val="00F91016"/>
    <w:rsid w:val="00F913FB"/>
    <w:rsid w:val="00F91B49"/>
    <w:rsid w:val="00F91E3D"/>
    <w:rsid w:val="00F92314"/>
    <w:rsid w:val="00F92335"/>
    <w:rsid w:val="00F92723"/>
    <w:rsid w:val="00F92AD9"/>
    <w:rsid w:val="00F92DDF"/>
    <w:rsid w:val="00F92EF2"/>
    <w:rsid w:val="00F92F01"/>
    <w:rsid w:val="00F932D7"/>
    <w:rsid w:val="00F942D2"/>
    <w:rsid w:val="00F943FC"/>
    <w:rsid w:val="00F94571"/>
    <w:rsid w:val="00F94962"/>
    <w:rsid w:val="00F94D32"/>
    <w:rsid w:val="00F94DAD"/>
    <w:rsid w:val="00F94F1B"/>
    <w:rsid w:val="00F95137"/>
    <w:rsid w:val="00F95212"/>
    <w:rsid w:val="00F9543F"/>
    <w:rsid w:val="00F95A71"/>
    <w:rsid w:val="00F95B76"/>
    <w:rsid w:val="00F95CA4"/>
    <w:rsid w:val="00F95DAD"/>
    <w:rsid w:val="00F95DEA"/>
    <w:rsid w:val="00F95EE1"/>
    <w:rsid w:val="00F9612C"/>
    <w:rsid w:val="00F965C9"/>
    <w:rsid w:val="00F96689"/>
    <w:rsid w:val="00F9669F"/>
    <w:rsid w:val="00F96736"/>
    <w:rsid w:val="00F967C3"/>
    <w:rsid w:val="00F968F1"/>
    <w:rsid w:val="00F96B74"/>
    <w:rsid w:val="00F96C5D"/>
    <w:rsid w:val="00F96F73"/>
    <w:rsid w:val="00F97010"/>
    <w:rsid w:val="00F97425"/>
    <w:rsid w:val="00F97471"/>
    <w:rsid w:val="00F9771F"/>
    <w:rsid w:val="00F97832"/>
    <w:rsid w:val="00F979A8"/>
    <w:rsid w:val="00F97B79"/>
    <w:rsid w:val="00F97C28"/>
    <w:rsid w:val="00FA0046"/>
    <w:rsid w:val="00FA0257"/>
    <w:rsid w:val="00FA02D4"/>
    <w:rsid w:val="00FA0574"/>
    <w:rsid w:val="00FA0C92"/>
    <w:rsid w:val="00FA0D24"/>
    <w:rsid w:val="00FA0E71"/>
    <w:rsid w:val="00FA0E8C"/>
    <w:rsid w:val="00FA0FDE"/>
    <w:rsid w:val="00FA104B"/>
    <w:rsid w:val="00FA12F6"/>
    <w:rsid w:val="00FA17A1"/>
    <w:rsid w:val="00FA19F5"/>
    <w:rsid w:val="00FA1B25"/>
    <w:rsid w:val="00FA2040"/>
    <w:rsid w:val="00FA22A2"/>
    <w:rsid w:val="00FA2352"/>
    <w:rsid w:val="00FA2509"/>
    <w:rsid w:val="00FA250E"/>
    <w:rsid w:val="00FA294F"/>
    <w:rsid w:val="00FA295E"/>
    <w:rsid w:val="00FA3134"/>
    <w:rsid w:val="00FA32F8"/>
    <w:rsid w:val="00FA32FF"/>
    <w:rsid w:val="00FA3333"/>
    <w:rsid w:val="00FA3489"/>
    <w:rsid w:val="00FA34F9"/>
    <w:rsid w:val="00FA3BA7"/>
    <w:rsid w:val="00FA3D6D"/>
    <w:rsid w:val="00FA3DE7"/>
    <w:rsid w:val="00FA3FA2"/>
    <w:rsid w:val="00FA4147"/>
    <w:rsid w:val="00FA4239"/>
    <w:rsid w:val="00FA4466"/>
    <w:rsid w:val="00FA485F"/>
    <w:rsid w:val="00FA4905"/>
    <w:rsid w:val="00FA4912"/>
    <w:rsid w:val="00FA4C1E"/>
    <w:rsid w:val="00FA4E89"/>
    <w:rsid w:val="00FA501F"/>
    <w:rsid w:val="00FA529F"/>
    <w:rsid w:val="00FA59E8"/>
    <w:rsid w:val="00FA5B0F"/>
    <w:rsid w:val="00FA5CD0"/>
    <w:rsid w:val="00FA5E4D"/>
    <w:rsid w:val="00FA5ECC"/>
    <w:rsid w:val="00FA5EDE"/>
    <w:rsid w:val="00FA6155"/>
    <w:rsid w:val="00FA61FB"/>
    <w:rsid w:val="00FA6216"/>
    <w:rsid w:val="00FA621E"/>
    <w:rsid w:val="00FA6479"/>
    <w:rsid w:val="00FA64DA"/>
    <w:rsid w:val="00FA6670"/>
    <w:rsid w:val="00FA6A07"/>
    <w:rsid w:val="00FA6B3E"/>
    <w:rsid w:val="00FA6C2E"/>
    <w:rsid w:val="00FA6CC3"/>
    <w:rsid w:val="00FA6F99"/>
    <w:rsid w:val="00FA7045"/>
    <w:rsid w:val="00FA70C5"/>
    <w:rsid w:val="00FA7229"/>
    <w:rsid w:val="00FA7424"/>
    <w:rsid w:val="00FA74D5"/>
    <w:rsid w:val="00FA76A8"/>
    <w:rsid w:val="00FA76C2"/>
    <w:rsid w:val="00FA7731"/>
    <w:rsid w:val="00FA79C3"/>
    <w:rsid w:val="00FA7AAE"/>
    <w:rsid w:val="00FB005B"/>
    <w:rsid w:val="00FB089F"/>
    <w:rsid w:val="00FB08FB"/>
    <w:rsid w:val="00FB09A6"/>
    <w:rsid w:val="00FB09F4"/>
    <w:rsid w:val="00FB0BF6"/>
    <w:rsid w:val="00FB0D28"/>
    <w:rsid w:val="00FB0E74"/>
    <w:rsid w:val="00FB11AF"/>
    <w:rsid w:val="00FB1879"/>
    <w:rsid w:val="00FB195F"/>
    <w:rsid w:val="00FB199A"/>
    <w:rsid w:val="00FB1CE4"/>
    <w:rsid w:val="00FB21BF"/>
    <w:rsid w:val="00FB2490"/>
    <w:rsid w:val="00FB257C"/>
    <w:rsid w:val="00FB258F"/>
    <w:rsid w:val="00FB26E2"/>
    <w:rsid w:val="00FB2B17"/>
    <w:rsid w:val="00FB2D4A"/>
    <w:rsid w:val="00FB2FD1"/>
    <w:rsid w:val="00FB3093"/>
    <w:rsid w:val="00FB32D2"/>
    <w:rsid w:val="00FB3504"/>
    <w:rsid w:val="00FB37F7"/>
    <w:rsid w:val="00FB3804"/>
    <w:rsid w:val="00FB38AE"/>
    <w:rsid w:val="00FB3BC0"/>
    <w:rsid w:val="00FB3BF1"/>
    <w:rsid w:val="00FB3CE6"/>
    <w:rsid w:val="00FB4501"/>
    <w:rsid w:val="00FB45A8"/>
    <w:rsid w:val="00FB4749"/>
    <w:rsid w:val="00FB497F"/>
    <w:rsid w:val="00FB4D0F"/>
    <w:rsid w:val="00FB4D4E"/>
    <w:rsid w:val="00FB4FB9"/>
    <w:rsid w:val="00FB5493"/>
    <w:rsid w:val="00FB57E5"/>
    <w:rsid w:val="00FB5851"/>
    <w:rsid w:val="00FB5A22"/>
    <w:rsid w:val="00FB5E9F"/>
    <w:rsid w:val="00FB5F8C"/>
    <w:rsid w:val="00FB607A"/>
    <w:rsid w:val="00FB61D3"/>
    <w:rsid w:val="00FB622A"/>
    <w:rsid w:val="00FB6418"/>
    <w:rsid w:val="00FB6574"/>
    <w:rsid w:val="00FB6A79"/>
    <w:rsid w:val="00FB6CE6"/>
    <w:rsid w:val="00FB6DD8"/>
    <w:rsid w:val="00FB6E4D"/>
    <w:rsid w:val="00FB6EFC"/>
    <w:rsid w:val="00FB721B"/>
    <w:rsid w:val="00FB7308"/>
    <w:rsid w:val="00FB7475"/>
    <w:rsid w:val="00FB748F"/>
    <w:rsid w:val="00FB74D2"/>
    <w:rsid w:val="00FB753F"/>
    <w:rsid w:val="00FB7ACF"/>
    <w:rsid w:val="00FB7D81"/>
    <w:rsid w:val="00FB7E23"/>
    <w:rsid w:val="00FC0015"/>
    <w:rsid w:val="00FC003D"/>
    <w:rsid w:val="00FC0184"/>
    <w:rsid w:val="00FC02E0"/>
    <w:rsid w:val="00FC0678"/>
    <w:rsid w:val="00FC06BD"/>
    <w:rsid w:val="00FC0726"/>
    <w:rsid w:val="00FC0815"/>
    <w:rsid w:val="00FC09C6"/>
    <w:rsid w:val="00FC0AB3"/>
    <w:rsid w:val="00FC110E"/>
    <w:rsid w:val="00FC1186"/>
    <w:rsid w:val="00FC15A4"/>
    <w:rsid w:val="00FC1C9E"/>
    <w:rsid w:val="00FC1F13"/>
    <w:rsid w:val="00FC202E"/>
    <w:rsid w:val="00FC2080"/>
    <w:rsid w:val="00FC20E4"/>
    <w:rsid w:val="00FC210B"/>
    <w:rsid w:val="00FC2497"/>
    <w:rsid w:val="00FC298A"/>
    <w:rsid w:val="00FC2DAE"/>
    <w:rsid w:val="00FC2E4D"/>
    <w:rsid w:val="00FC33E2"/>
    <w:rsid w:val="00FC34BD"/>
    <w:rsid w:val="00FC3709"/>
    <w:rsid w:val="00FC38F8"/>
    <w:rsid w:val="00FC3ADA"/>
    <w:rsid w:val="00FC3CB6"/>
    <w:rsid w:val="00FC4330"/>
    <w:rsid w:val="00FC44FB"/>
    <w:rsid w:val="00FC4554"/>
    <w:rsid w:val="00FC456E"/>
    <w:rsid w:val="00FC479C"/>
    <w:rsid w:val="00FC49BB"/>
    <w:rsid w:val="00FC4BDE"/>
    <w:rsid w:val="00FC4D40"/>
    <w:rsid w:val="00FC4E35"/>
    <w:rsid w:val="00FC4E49"/>
    <w:rsid w:val="00FC4FAE"/>
    <w:rsid w:val="00FC5290"/>
    <w:rsid w:val="00FC5500"/>
    <w:rsid w:val="00FC5541"/>
    <w:rsid w:val="00FC593B"/>
    <w:rsid w:val="00FC5C0C"/>
    <w:rsid w:val="00FC5CF0"/>
    <w:rsid w:val="00FC5D1A"/>
    <w:rsid w:val="00FC5FB0"/>
    <w:rsid w:val="00FC5FD9"/>
    <w:rsid w:val="00FC652F"/>
    <w:rsid w:val="00FC6B30"/>
    <w:rsid w:val="00FC6BAB"/>
    <w:rsid w:val="00FC6BB4"/>
    <w:rsid w:val="00FC6D2B"/>
    <w:rsid w:val="00FC7084"/>
    <w:rsid w:val="00FC7164"/>
    <w:rsid w:val="00FC7220"/>
    <w:rsid w:val="00FC73C9"/>
    <w:rsid w:val="00FC7569"/>
    <w:rsid w:val="00FC7604"/>
    <w:rsid w:val="00FC79F3"/>
    <w:rsid w:val="00FC7A1A"/>
    <w:rsid w:val="00FC7B2B"/>
    <w:rsid w:val="00FC7B7C"/>
    <w:rsid w:val="00FC7D59"/>
    <w:rsid w:val="00FC7FAF"/>
    <w:rsid w:val="00FD056F"/>
    <w:rsid w:val="00FD072D"/>
    <w:rsid w:val="00FD07D7"/>
    <w:rsid w:val="00FD07E4"/>
    <w:rsid w:val="00FD0ADA"/>
    <w:rsid w:val="00FD0C30"/>
    <w:rsid w:val="00FD0C7C"/>
    <w:rsid w:val="00FD0DDC"/>
    <w:rsid w:val="00FD1204"/>
    <w:rsid w:val="00FD18ED"/>
    <w:rsid w:val="00FD1A9E"/>
    <w:rsid w:val="00FD1E9B"/>
    <w:rsid w:val="00FD1FF9"/>
    <w:rsid w:val="00FD2020"/>
    <w:rsid w:val="00FD220D"/>
    <w:rsid w:val="00FD2810"/>
    <w:rsid w:val="00FD2906"/>
    <w:rsid w:val="00FD29F0"/>
    <w:rsid w:val="00FD2A21"/>
    <w:rsid w:val="00FD2B9D"/>
    <w:rsid w:val="00FD2F2A"/>
    <w:rsid w:val="00FD3155"/>
    <w:rsid w:val="00FD335E"/>
    <w:rsid w:val="00FD3794"/>
    <w:rsid w:val="00FD38A5"/>
    <w:rsid w:val="00FD38B3"/>
    <w:rsid w:val="00FD3AB1"/>
    <w:rsid w:val="00FD3C12"/>
    <w:rsid w:val="00FD42CA"/>
    <w:rsid w:val="00FD4351"/>
    <w:rsid w:val="00FD4642"/>
    <w:rsid w:val="00FD4733"/>
    <w:rsid w:val="00FD4A27"/>
    <w:rsid w:val="00FD4B9B"/>
    <w:rsid w:val="00FD51AE"/>
    <w:rsid w:val="00FD5339"/>
    <w:rsid w:val="00FD5393"/>
    <w:rsid w:val="00FD5558"/>
    <w:rsid w:val="00FD58E8"/>
    <w:rsid w:val="00FD590B"/>
    <w:rsid w:val="00FD5C5A"/>
    <w:rsid w:val="00FD5D8D"/>
    <w:rsid w:val="00FD5DFD"/>
    <w:rsid w:val="00FD5E24"/>
    <w:rsid w:val="00FD5E6D"/>
    <w:rsid w:val="00FD6039"/>
    <w:rsid w:val="00FD61C5"/>
    <w:rsid w:val="00FD6245"/>
    <w:rsid w:val="00FD6558"/>
    <w:rsid w:val="00FD6BBF"/>
    <w:rsid w:val="00FD6C25"/>
    <w:rsid w:val="00FD6F38"/>
    <w:rsid w:val="00FD7167"/>
    <w:rsid w:val="00FD738F"/>
    <w:rsid w:val="00FD74A2"/>
    <w:rsid w:val="00FD74F9"/>
    <w:rsid w:val="00FD7C4F"/>
    <w:rsid w:val="00FD7CC1"/>
    <w:rsid w:val="00FD7D9E"/>
    <w:rsid w:val="00FD7E19"/>
    <w:rsid w:val="00FD7EAF"/>
    <w:rsid w:val="00FD7FD2"/>
    <w:rsid w:val="00FE00C6"/>
    <w:rsid w:val="00FE0152"/>
    <w:rsid w:val="00FE038B"/>
    <w:rsid w:val="00FE03B1"/>
    <w:rsid w:val="00FE03F8"/>
    <w:rsid w:val="00FE073C"/>
    <w:rsid w:val="00FE0A16"/>
    <w:rsid w:val="00FE0AB8"/>
    <w:rsid w:val="00FE1027"/>
    <w:rsid w:val="00FE1203"/>
    <w:rsid w:val="00FE173E"/>
    <w:rsid w:val="00FE1B23"/>
    <w:rsid w:val="00FE1D6C"/>
    <w:rsid w:val="00FE1DFC"/>
    <w:rsid w:val="00FE1E9A"/>
    <w:rsid w:val="00FE20C9"/>
    <w:rsid w:val="00FE23F8"/>
    <w:rsid w:val="00FE25CA"/>
    <w:rsid w:val="00FE271D"/>
    <w:rsid w:val="00FE2801"/>
    <w:rsid w:val="00FE2F43"/>
    <w:rsid w:val="00FE308D"/>
    <w:rsid w:val="00FE3237"/>
    <w:rsid w:val="00FE3317"/>
    <w:rsid w:val="00FE3446"/>
    <w:rsid w:val="00FE373E"/>
    <w:rsid w:val="00FE397C"/>
    <w:rsid w:val="00FE3D1C"/>
    <w:rsid w:val="00FE40B8"/>
    <w:rsid w:val="00FE4215"/>
    <w:rsid w:val="00FE4568"/>
    <w:rsid w:val="00FE4E12"/>
    <w:rsid w:val="00FE51A7"/>
    <w:rsid w:val="00FE5512"/>
    <w:rsid w:val="00FE5792"/>
    <w:rsid w:val="00FE57E9"/>
    <w:rsid w:val="00FE5872"/>
    <w:rsid w:val="00FE5B2F"/>
    <w:rsid w:val="00FE5C82"/>
    <w:rsid w:val="00FE5E80"/>
    <w:rsid w:val="00FE6238"/>
    <w:rsid w:val="00FE6243"/>
    <w:rsid w:val="00FE65FF"/>
    <w:rsid w:val="00FE6899"/>
    <w:rsid w:val="00FE6B59"/>
    <w:rsid w:val="00FE6D31"/>
    <w:rsid w:val="00FE6FA7"/>
    <w:rsid w:val="00FE7808"/>
    <w:rsid w:val="00FE787A"/>
    <w:rsid w:val="00FE79A8"/>
    <w:rsid w:val="00FE7AD0"/>
    <w:rsid w:val="00FE7AD3"/>
    <w:rsid w:val="00FE7EA2"/>
    <w:rsid w:val="00FE7FC4"/>
    <w:rsid w:val="00FF00B2"/>
    <w:rsid w:val="00FF0214"/>
    <w:rsid w:val="00FF033C"/>
    <w:rsid w:val="00FF033D"/>
    <w:rsid w:val="00FF034B"/>
    <w:rsid w:val="00FF06CC"/>
    <w:rsid w:val="00FF0780"/>
    <w:rsid w:val="00FF0865"/>
    <w:rsid w:val="00FF0D63"/>
    <w:rsid w:val="00FF0E45"/>
    <w:rsid w:val="00FF0E51"/>
    <w:rsid w:val="00FF1018"/>
    <w:rsid w:val="00FF10E5"/>
    <w:rsid w:val="00FF118F"/>
    <w:rsid w:val="00FF13FC"/>
    <w:rsid w:val="00FF15CA"/>
    <w:rsid w:val="00FF17F1"/>
    <w:rsid w:val="00FF1866"/>
    <w:rsid w:val="00FF186D"/>
    <w:rsid w:val="00FF1B2D"/>
    <w:rsid w:val="00FF1CD5"/>
    <w:rsid w:val="00FF1D1E"/>
    <w:rsid w:val="00FF244A"/>
    <w:rsid w:val="00FF24B0"/>
    <w:rsid w:val="00FF257A"/>
    <w:rsid w:val="00FF2714"/>
    <w:rsid w:val="00FF2B6D"/>
    <w:rsid w:val="00FF3376"/>
    <w:rsid w:val="00FF347B"/>
    <w:rsid w:val="00FF34B5"/>
    <w:rsid w:val="00FF3523"/>
    <w:rsid w:val="00FF3956"/>
    <w:rsid w:val="00FF3ADE"/>
    <w:rsid w:val="00FF3DD7"/>
    <w:rsid w:val="00FF3E8B"/>
    <w:rsid w:val="00FF3F52"/>
    <w:rsid w:val="00FF3FA0"/>
    <w:rsid w:val="00FF416D"/>
    <w:rsid w:val="00FF422A"/>
    <w:rsid w:val="00FF438C"/>
    <w:rsid w:val="00FF46F9"/>
    <w:rsid w:val="00FF475D"/>
    <w:rsid w:val="00FF4862"/>
    <w:rsid w:val="00FF4A06"/>
    <w:rsid w:val="00FF4B86"/>
    <w:rsid w:val="00FF513C"/>
    <w:rsid w:val="00FF53E9"/>
    <w:rsid w:val="00FF53FD"/>
    <w:rsid w:val="00FF54A5"/>
    <w:rsid w:val="00FF5509"/>
    <w:rsid w:val="00FF55B1"/>
    <w:rsid w:val="00FF5887"/>
    <w:rsid w:val="00FF58DF"/>
    <w:rsid w:val="00FF5C3B"/>
    <w:rsid w:val="00FF5CFD"/>
    <w:rsid w:val="00FF5F2D"/>
    <w:rsid w:val="00FF6177"/>
    <w:rsid w:val="00FF62BA"/>
    <w:rsid w:val="00FF6435"/>
    <w:rsid w:val="00FF6468"/>
    <w:rsid w:val="00FF6523"/>
    <w:rsid w:val="00FF66AE"/>
    <w:rsid w:val="00FF66B9"/>
    <w:rsid w:val="00FF6830"/>
    <w:rsid w:val="00FF69A8"/>
    <w:rsid w:val="00FF6AB3"/>
    <w:rsid w:val="00FF6AE8"/>
    <w:rsid w:val="00FF6D86"/>
    <w:rsid w:val="00FF6EDB"/>
    <w:rsid w:val="00FF70B6"/>
    <w:rsid w:val="00FF71E3"/>
    <w:rsid w:val="00FF7339"/>
    <w:rsid w:val="00FF73A4"/>
    <w:rsid w:val="00FF7777"/>
    <w:rsid w:val="00FF7BE1"/>
    <w:rsid w:val="0109D36F"/>
    <w:rsid w:val="010C0A48"/>
    <w:rsid w:val="01571BD2"/>
    <w:rsid w:val="0165EBC3"/>
    <w:rsid w:val="019CD2B2"/>
    <w:rsid w:val="01D6E4CF"/>
    <w:rsid w:val="01E22C77"/>
    <w:rsid w:val="01E82C4D"/>
    <w:rsid w:val="01F0387F"/>
    <w:rsid w:val="022A7C4C"/>
    <w:rsid w:val="0235B71D"/>
    <w:rsid w:val="0237A2E5"/>
    <w:rsid w:val="023C5CAF"/>
    <w:rsid w:val="0253F510"/>
    <w:rsid w:val="02740F3A"/>
    <w:rsid w:val="02A598DD"/>
    <w:rsid w:val="02D7EB13"/>
    <w:rsid w:val="02F1DF62"/>
    <w:rsid w:val="032A9FB8"/>
    <w:rsid w:val="032B380D"/>
    <w:rsid w:val="033DD959"/>
    <w:rsid w:val="03447C07"/>
    <w:rsid w:val="03537D9C"/>
    <w:rsid w:val="035FCC3F"/>
    <w:rsid w:val="0378C9FE"/>
    <w:rsid w:val="03863F2E"/>
    <w:rsid w:val="03B437CD"/>
    <w:rsid w:val="03BAC1AC"/>
    <w:rsid w:val="03CAC43D"/>
    <w:rsid w:val="03D51399"/>
    <w:rsid w:val="045BFEB5"/>
    <w:rsid w:val="049B2850"/>
    <w:rsid w:val="04CC255A"/>
    <w:rsid w:val="050D76C0"/>
    <w:rsid w:val="05100181"/>
    <w:rsid w:val="055EA99C"/>
    <w:rsid w:val="05955766"/>
    <w:rsid w:val="059F037D"/>
    <w:rsid w:val="05B5CDC1"/>
    <w:rsid w:val="05C778FC"/>
    <w:rsid w:val="05D3A560"/>
    <w:rsid w:val="05DB983A"/>
    <w:rsid w:val="05F94225"/>
    <w:rsid w:val="06012E36"/>
    <w:rsid w:val="0601FCBD"/>
    <w:rsid w:val="060F5F5E"/>
    <w:rsid w:val="0611998D"/>
    <w:rsid w:val="062571E3"/>
    <w:rsid w:val="0630BC62"/>
    <w:rsid w:val="0649DFFC"/>
    <w:rsid w:val="0679F87E"/>
    <w:rsid w:val="067C0215"/>
    <w:rsid w:val="069D789F"/>
    <w:rsid w:val="06A407C1"/>
    <w:rsid w:val="06CF9FD6"/>
    <w:rsid w:val="06E3D001"/>
    <w:rsid w:val="06F59D41"/>
    <w:rsid w:val="074B69F4"/>
    <w:rsid w:val="0751BB5F"/>
    <w:rsid w:val="07665BBD"/>
    <w:rsid w:val="076A8248"/>
    <w:rsid w:val="076CB803"/>
    <w:rsid w:val="077C1B3C"/>
    <w:rsid w:val="079D64DF"/>
    <w:rsid w:val="07A7BDD9"/>
    <w:rsid w:val="07BF6CE5"/>
    <w:rsid w:val="07CB9CB0"/>
    <w:rsid w:val="082D797E"/>
    <w:rsid w:val="0868A557"/>
    <w:rsid w:val="08858BF7"/>
    <w:rsid w:val="08C6276B"/>
    <w:rsid w:val="08D67E84"/>
    <w:rsid w:val="08D9FBBE"/>
    <w:rsid w:val="08DC523F"/>
    <w:rsid w:val="08F5C168"/>
    <w:rsid w:val="08FAA382"/>
    <w:rsid w:val="09235D18"/>
    <w:rsid w:val="093AE664"/>
    <w:rsid w:val="093E60FA"/>
    <w:rsid w:val="0944910B"/>
    <w:rsid w:val="0977D63D"/>
    <w:rsid w:val="09897B94"/>
    <w:rsid w:val="09979240"/>
    <w:rsid w:val="09D0977B"/>
    <w:rsid w:val="09D974C0"/>
    <w:rsid w:val="09DFD633"/>
    <w:rsid w:val="0A0232CF"/>
    <w:rsid w:val="0A0840A6"/>
    <w:rsid w:val="0A084C5D"/>
    <w:rsid w:val="0A0DBA33"/>
    <w:rsid w:val="0A2EA249"/>
    <w:rsid w:val="0A3939D8"/>
    <w:rsid w:val="0A8161C1"/>
    <w:rsid w:val="0A81640D"/>
    <w:rsid w:val="0A8DF81F"/>
    <w:rsid w:val="0A91E75B"/>
    <w:rsid w:val="0AC3FCBD"/>
    <w:rsid w:val="0B0D815C"/>
    <w:rsid w:val="0B655E1F"/>
    <w:rsid w:val="0B850AC7"/>
    <w:rsid w:val="0B9BE768"/>
    <w:rsid w:val="0BE384FF"/>
    <w:rsid w:val="0C0704BB"/>
    <w:rsid w:val="0C1FD9F2"/>
    <w:rsid w:val="0C2353FE"/>
    <w:rsid w:val="0C338D24"/>
    <w:rsid w:val="0C3C1A7F"/>
    <w:rsid w:val="0C7C7B6A"/>
    <w:rsid w:val="0C9889FE"/>
    <w:rsid w:val="0CA32F87"/>
    <w:rsid w:val="0CB24A8F"/>
    <w:rsid w:val="0CB55714"/>
    <w:rsid w:val="0CC6E45C"/>
    <w:rsid w:val="0CCC3BF5"/>
    <w:rsid w:val="0CE25968"/>
    <w:rsid w:val="0CE69BBB"/>
    <w:rsid w:val="0D04787F"/>
    <w:rsid w:val="0D3FB15A"/>
    <w:rsid w:val="0D474462"/>
    <w:rsid w:val="0D567CA2"/>
    <w:rsid w:val="0D768365"/>
    <w:rsid w:val="0DAB9EEC"/>
    <w:rsid w:val="0DB44E24"/>
    <w:rsid w:val="0DB66D28"/>
    <w:rsid w:val="0DB88AD5"/>
    <w:rsid w:val="0DC44D35"/>
    <w:rsid w:val="0DED79B5"/>
    <w:rsid w:val="0DF35C9B"/>
    <w:rsid w:val="0E0FBED7"/>
    <w:rsid w:val="0E7EB4B2"/>
    <w:rsid w:val="0E8C8D20"/>
    <w:rsid w:val="0E8E362F"/>
    <w:rsid w:val="0EC8F0D4"/>
    <w:rsid w:val="0ED79778"/>
    <w:rsid w:val="0EFD86DB"/>
    <w:rsid w:val="0F325C17"/>
    <w:rsid w:val="0F3D4BD5"/>
    <w:rsid w:val="0F5E3CD3"/>
    <w:rsid w:val="0F6B5082"/>
    <w:rsid w:val="0F76F766"/>
    <w:rsid w:val="0F7EA286"/>
    <w:rsid w:val="0FCEC07F"/>
    <w:rsid w:val="0FE68371"/>
    <w:rsid w:val="1018DAE0"/>
    <w:rsid w:val="101B159D"/>
    <w:rsid w:val="102F1A76"/>
    <w:rsid w:val="1052B80E"/>
    <w:rsid w:val="106079C6"/>
    <w:rsid w:val="1073063A"/>
    <w:rsid w:val="10782283"/>
    <w:rsid w:val="1094B938"/>
    <w:rsid w:val="10AEB4F8"/>
    <w:rsid w:val="10B106B5"/>
    <w:rsid w:val="10D0414C"/>
    <w:rsid w:val="113FE76C"/>
    <w:rsid w:val="11426764"/>
    <w:rsid w:val="1165E39A"/>
    <w:rsid w:val="11726E23"/>
    <w:rsid w:val="118EC1CB"/>
    <w:rsid w:val="119C1232"/>
    <w:rsid w:val="11BE8D0F"/>
    <w:rsid w:val="11F3D9AC"/>
    <w:rsid w:val="12126ACF"/>
    <w:rsid w:val="121F76C7"/>
    <w:rsid w:val="122FDCD7"/>
    <w:rsid w:val="125D1E35"/>
    <w:rsid w:val="1269C52B"/>
    <w:rsid w:val="12E6F4A7"/>
    <w:rsid w:val="1302DFBB"/>
    <w:rsid w:val="1304B20A"/>
    <w:rsid w:val="1320B53E"/>
    <w:rsid w:val="132F9787"/>
    <w:rsid w:val="13333088"/>
    <w:rsid w:val="138D1C4F"/>
    <w:rsid w:val="138EDEC1"/>
    <w:rsid w:val="1392FFF1"/>
    <w:rsid w:val="13AC6377"/>
    <w:rsid w:val="1409951A"/>
    <w:rsid w:val="1425FD4D"/>
    <w:rsid w:val="1471BD9B"/>
    <w:rsid w:val="1494D719"/>
    <w:rsid w:val="14B75217"/>
    <w:rsid w:val="14BAB889"/>
    <w:rsid w:val="14C14196"/>
    <w:rsid w:val="14C14528"/>
    <w:rsid w:val="14E1FDBC"/>
    <w:rsid w:val="14E786E8"/>
    <w:rsid w:val="15045E21"/>
    <w:rsid w:val="15060D68"/>
    <w:rsid w:val="15096BDC"/>
    <w:rsid w:val="1527089C"/>
    <w:rsid w:val="1531489E"/>
    <w:rsid w:val="15C15863"/>
    <w:rsid w:val="15D476D2"/>
    <w:rsid w:val="16365DE6"/>
    <w:rsid w:val="163DC548"/>
    <w:rsid w:val="164C8CA9"/>
    <w:rsid w:val="1653D253"/>
    <w:rsid w:val="1686EE1D"/>
    <w:rsid w:val="16A9EDB5"/>
    <w:rsid w:val="16B8F8A1"/>
    <w:rsid w:val="16FAB368"/>
    <w:rsid w:val="170B4345"/>
    <w:rsid w:val="1712D0CF"/>
    <w:rsid w:val="174318BC"/>
    <w:rsid w:val="1744AB68"/>
    <w:rsid w:val="177658E1"/>
    <w:rsid w:val="178B45D5"/>
    <w:rsid w:val="17AEE157"/>
    <w:rsid w:val="17B42F3A"/>
    <w:rsid w:val="17D81611"/>
    <w:rsid w:val="180359BB"/>
    <w:rsid w:val="180703AA"/>
    <w:rsid w:val="1840272C"/>
    <w:rsid w:val="1840816B"/>
    <w:rsid w:val="185A8AEA"/>
    <w:rsid w:val="18737F0C"/>
    <w:rsid w:val="187C9D53"/>
    <w:rsid w:val="188F486B"/>
    <w:rsid w:val="189D0DF2"/>
    <w:rsid w:val="18B0EBB5"/>
    <w:rsid w:val="18B254F8"/>
    <w:rsid w:val="18B6CA12"/>
    <w:rsid w:val="18B8D387"/>
    <w:rsid w:val="18CEE9E3"/>
    <w:rsid w:val="18E226E0"/>
    <w:rsid w:val="18E3C178"/>
    <w:rsid w:val="18FB8B59"/>
    <w:rsid w:val="1923024F"/>
    <w:rsid w:val="19271299"/>
    <w:rsid w:val="196E685C"/>
    <w:rsid w:val="19723AA7"/>
    <w:rsid w:val="19AF9312"/>
    <w:rsid w:val="19D3048F"/>
    <w:rsid w:val="19EAD63D"/>
    <w:rsid w:val="1A040F16"/>
    <w:rsid w:val="1A328FD8"/>
    <w:rsid w:val="1A4F52CF"/>
    <w:rsid w:val="1A6983CE"/>
    <w:rsid w:val="1A826CAC"/>
    <w:rsid w:val="1A8357E2"/>
    <w:rsid w:val="1A92204D"/>
    <w:rsid w:val="1AAE4087"/>
    <w:rsid w:val="1ACA0EAF"/>
    <w:rsid w:val="1B07C9BA"/>
    <w:rsid w:val="1B1F3975"/>
    <w:rsid w:val="1B21A596"/>
    <w:rsid w:val="1B483CD4"/>
    <w:rsid w:val="1B52A176"/>
    <w:rsid w:val="1B5E2974"/>
    <w:rsid w:val="1B6594B7"/>
    <w:rsid w:val="1B65EC33"/>
    <w:rsid w:val="1B74EA7B"/>
    <w:rsid w:val="1BA8E4E4"/>
    <w:rsid w:val="1BB3B6A2"/>
    <w:rsid w:val="1BE65476"/>
    <w:rsid w:val="1BEC52A0"/>
    <w:rsid w:val="1BF90529"/>
    <w:rsid w:val="1C057810"/>
    <w:rsid w:val="1C2A5F05"/>
    <w:rsid w:val="1C52F55B"/>
    <w:rsid w:val="1C5F6A5D"/>
    <w:rsid w:val="1CC145F4"/>
    <w:rsid w:val="1CCD2097"/>
    <w:rsid w:val="1CF41ADA"/>
    <w:rsid w:val="1D4EFA67"/>
    <w:rsid w:val="1DBEE3F9"/>
    <w:rsid w:val="1DCAE65F"/>
    <w:rsid w:val="1DCCEB41"/>
    <w:rsid w:val="1DDD6BA4"/>
    <w:rsid w:val="1DE2329C"/>
    <w:rsid w:val="1DFBB7A3"/>
    <w:rsid w:val="1DFFC49C"/>
    <w:rsid w:val="1E34B731"/>
    <w:rsid w:val="1E487DAE"/>
    <w:rsid w:val="1E8F2C25"/>
    <w:rsid w:val="1E96C300"/>
    <w:rsid w:val="1EA555AA"/>
    <w:rsid w:val="1EACFD21"/>
    <w:rsid w:val="1EB21AEC"/>
    <w:rsid w:val="1ECA34F4"/>
    <w:rsid w:val="1EF6F2A0"/>
    <w:rsid w:val="1F1525C6"/>
    <w:rsid w:val="1F5441D4"/>
    <w:rsid w:val="1F57012A"/>
    <w:rsid w:val="1FA3DC78"/>
    <w:rsid w:val="1FBE5C9D"/>
    <w:rsid w:val="1FC95094"/>
    <w:rsid w:val="1FF66214"/>
    <w:rsid w:val="2023E86E"/>
    <w:rsid w:val="202761DF"/>
    <w:rsid w:val="20570AB3"/>
    <w:rsid w:val="205B32A6"/>
    <w:rsid w:val="20704B9C"/>
    <w:rsid w:val="207601F1"/>
    <w:rsid w:val="2088D730"/>
    <w:rsid w:val="20B2CF24"/>
    <w:rsid w:val="20C68E41"/>
    <w:rsid w:val="2100A6BE"/>
    <w:rsid w:val="2117EE7D"/>
    <w:rsid w:val="211A00B3"/>
    <w:rsid w:val="212D2297"/>
    <w:rsid w:val="21327D7E"/>
    <w:rsid w:val="214021F5"/>
    <w:rsid w:val="21596A93"/>
    <w:rsid w:val="215D8A0B"/>
    <w:rsid w:val="2166F1CB"/>
    <w:rsid w:val="21695B09"/>
    <w:rsid w:val="217B95D1"/>
    <w:rsid w:val="218BDEED"/>
    <w:rsid w:val="21C982CB"/>
    <w:rsid w:val="21D5AD97"/>
    <w:rsid w:val="21D885BC"/>
    <w:rsid w:val="21EBAC5A"/>
    <w:rsid w:val="2213252E"/>
    <w:rsid w:val="22216A56"/>
    <w:rsid w:val="22379FB8"/>
    <w:rsid w:val="226CCA87"/>
    <w:rsid w:val="227E0216"/>
    <w:rsid w:val="229FABFA"/>
    <w:rsid w:val="22AE5640"/>
    <w:rsid w:val="22D42CB6"/>
    <w:rsid w:val="22D52E5F"/>
    <w:rsid w:val="2309CF26"/>
    <w:rsid w:val="23623834"/>
    <w:rsid w:val="2387B5B2"/>
    <w:rsid w:val="23D699B9"/>
    <w:rsid w:val="24357438"/>
    <w:rsid w:val="243AC202"/>
    <w:rsid w:val="243F9DA1"/>
    <w:rsid w:val="244845CF"/>
    <w:rsid w:val="246DB88D"/>
    <w:rsid w:val="2482FDEE"/>
    <w:rsid w:val="24AB9895"/>
    <w:rsid w:val="24BD41F6"/>
    <w:rsid w:val="24C2CBBD"/>
    <w:rsid w:val="250278BA"/>
    <w:rsid w:val="25169600"/>
    <w:rsid w:val="25176B05"/>
    <w:rsid w:val="2546E6E3"/>
    <w:rsid w:val="2558345D"/>
    <w:rsid w:val="256AE684"/>
    <w:rsid w:val="26037D39"/>
    <w:rsid w:val="260987F2"/>
    <w:rsid w:val="261847CF"/>
    <w:rsid w:val="261B0AA6"/>
    <w:rsid w:val="26298FDB"/>
    <w:rsid w:val="26452BE1"/>
    <w:rsid w:val="266BECBD"/>
    <w:rsid w:val="266FC54D"/>
    <w:rsid w:val="26729031"/>
    <w:rsid w:val="269810A1"/>
    <w:rsid w:val="26B3986F"/>
    <w:rsid w:val="26EFC907"/>
    <w:rsid w:val="26F83CCC"/>
    <w:rsid w:val="26FF63CF"/>
    <w:rsid w:val="2780701B"/>
    <w:rsid w:val="279A8618"/>
    <w:rsid w:val="27AFB27E"/>
    <w:rsid w:val="27FE898F"/>
    <w:rsid w:val="2802CE10"/>
    <w:rsid w:val="28039D9A"/>
    <w:rsid w:val="2816829C"/>
    <w:rsid w:val="28252A85"/>
    <w:rsid w:val="28347409"/>
    <w:rsid w:val="283CCAFD"/>
    <w:rsid w:val="286ED57C"/>
    <w:rsid w:val="2872881E"/>
    <w:rsid w:val="287EB61D"/>
    <w:rsid w:val="289AFDF8"/>
    <w:rsid w:val="28D22F32"/>
    <w:rsid w:val="28DA8B5E"/>
    <w:rsid w:val="28DAA417"/>
    <w:rsid w:val="28EE4F8F"/>
    <w:rsid w:val="28FC6273"/>
    <w:rsid w:val="2957C9BF"/>
    <w:rsid w:val="296DBC97"/>
    <w:rsid w:val="297B26E1"/>
    <w:rsid w:val="29943C63"/>
    <w:rsid w:val="29BB39B0"/>
    <w:rsid w:val="29BFF2B1"/>
    <w:rsid w:val="2A198B81"/>
    <w:rsid w:val="2A1A1D60"/>
    <w:rsid w:val="2A1E5612"/>
    <w:rsid w:val="2A3A6A77"/>
    <w:rsid w:val="2A4128C8"/>
    <w:rsid w:val="2A4B094F"/>
    <w:rsid w:val="2A89569C"/>
    <w:rsid w:val="2AB1AC02"/>
    <w:rsid w:val="2AD2250D"/>
    <w:rsid w:val="2AD2F7AC"/>
    <w:rsid w:val="2ADF7AD0"/>
    <w:rsid w:val="2AFD2FA7"/>
    <w:rsid w:val="2B0F5E8C"/>
    <w:rsid w:val="2B409EFA"/>
    <w:rsid w:val="2BB3DCEE"/>
    <w:rsid w:val="2BF2259E"/>
    <w:rsid w:val="2BF2ED3C"/>
    <w:rsid w:val="2C09A9B5"/>
    <w:rsid w:val="2C1EE076"/>
    <w:rsid w:val="2C21DB66"/>
    <w:rsid w:val="2C4D8F0D"/>
    <w:rsid w:val="2C593351"/>
    <w:rsid w:val="2C5F88AD"/>
    <w:rsid w:val="2C6B2C6F"/>
    <w:rsid w:val="2CB13C44"/>
    <w:rsid w:val="2CCBDE97"/>
    <w:rsid w:val="2CCF7011"/>
    <w:rsid w:val="2CD5434A"/>
    <w:rsid w:val="2CF11366"/>
    <w:rsid w:val="2D1077BB"/>
    <w:rsid w:val="2D192F93"/>
    <w:rsid w:val="2D34ED32"/>
    <w:rsid w:val="2D49C066"/>
    <w:rsid w:val="2D5BF3CE"/>
    <w:rsid w:val="2D974C42"/>
    <w:rsid w:val="2DA19516"/>
    <w:rsid w:val="2DDD338C"/>
    <w:rsid w:val="2DE183A7"/>
    <w:rsid w:val="2DED0730"/>
    <w:rsid w:val="2DFE577B"/>
    <w:rsid w:val="2E0F739C"/>
    <w:rsid w:val="2E12D541"/>
    <w:rsid w:val="2E2A3329"/>
    <w:rsid w:val="2E49B2DA"/>
    <w:rsid w:val="2E508A69"/>
    <w:rsid w:val="2E5652F3"/>
    <w:rsid w:val="2E68944C"/>
    <w:rsid w:val="2EB2F8AB"/>
    <w:rsid w:val="2EBECF2C"/>
    <w:rsid w:val="2ED069CB"/>
    <w:rsid w:val="2EEBF73F"/>
    <w:rsid w:val="2F16F40E"/>
    <w:rsid w:val="2F1BAC56"/>
    <w:rsid w:val="2F3DC627"/>
    <w:rsid w:val="2F59B683"/>
    <w:rsid w:val="2FBDE7D8"/>
    <w:rsid w:val="2FEFC7DE"/>
    <w:rsid w:val="2FF39C79"/>
    <w:rsid w:val="2FF6A7F5"/>
    <w:rsid w:val="2FFE575F"/>
    <w:rsid w:val="3004B7E4"/>
    <w:rsid w:val="302409C8"/>
    <w:rsid w:val="3043DB1E"/>
    <w:rsid w:val="306A6575"/>
    <w:rsid w:val="306CCFE4"/>
    <w:rsid w:val="308642C6"/>
    <w:rsid w:val="3094792F"/>
    <w:rsid w:val="31135F4E"/>
    <w:rsid w:val="31518E8B"/>
    <w:rsid w:val="318A5BFF"/>
    <w:rsid w:val="318F5EDD"/>
    <w:rsid w:val="31A1D1D5"/>
    <w:rsid w:val="31BD0B69"/>
    <w:rsid w:val="31CE0F4E"/>
    <w:rsid w:val="31F68F10"/>
    <w:rsid w:val="3207F4A9"/>
    <w:rsid w:val="3243D297"/>
    <w:rsid w:val="325BF382"/>
    <w:rsid w:val="326EC42D"/>
    <w:rsid w:val="32CD88AF"/>
    <w:rsid w:val="32EDDA91"/>
    <w:rsid w:val="32F19DFF"/>
    <w:rsid w:val="33059C38"/>
    <w:rsid w:val="332277F4"/>
    <w:rsid w:val="3393C6E9"/>
    <w:rsid w:val="33B8564D"/>
    <w:rsid w:val="33CA93E6"/>
    <w:rsid w:val="33D550EC"/>
    <w:rsid w:val="33D55F78"/>
    <w:rsid w:val="33EDB401"/>
    <w:rsid w:val="34B53743"/>
    <w:rsid w:val="34D9D2B2"/>
    <w:rsid w:val="34F3DF1C"/>
    <w:rsid w:val="350AA0CF"/>
    <w:rsid w:val="35233BC6"/>
    <w:rsid w:val="352BA451"/>
    <w:rsid w:val="352EDE02"/>
    <w:rsid w:val="354F02B9"/>
    <w:rsid w:val="356ACD71"/>
    <w:rsid w:val="358095DA"/>
    <w:rsid w:val="358D8E53"/>
    <w:rsid w:val="359066F1"/>
    <w:rsid w:val="3591ED14"/>
    <w:rsid w:val="35ABC509"/>
    <w:rsid w:val="3609B1A5"/>
    <w:rsid w:val="361054D6"/>
    <w:rsid w:val="3624C472"/>
    <w:rsid w:val="362FA21C"/>
    <w:rsid w:val="36316FC2"/>
    <w:rsid w:val="3640CF7D"/>
    <w:rsid w:val="366B16F8"/>
    <w:rsid w:val="36B95066"/>
    <w:rsid w:val="36D16448"/>
    <w:rsid w:val="37008D86"/>
    <w:rsid w:val="371983FE"/>
    <w:rsid w:val="37222FDB"/>
    <w:rsid w:val="373E40B8"/>
    <w:rsid w:val="375E029B"/>
    <w:rsid w:val="376E71F2"/>
    <w:rsid w:val="377AC11F"/>
    <w:rsid w:val="378B091B"/>
    <w:rsid w:val="37BD6C79"/>
    <w:rsid w:val="37CAA175"/>
    <w:rsid w:val="37CB6013"/>
    <w:rsid w:val="37D0395F"/>
    <w:rsid w:val="37D90D38"/>
    <w:rsid w:val="3803A170"/>
    <w:rsid w:val="381F57A8"/>
    <w:rsid w:val="382C38D1"/>
    <w:rsid w:val="3840E2FE"/>
    <w:rsid w:val="38538D8F"/>
    <w:rsid w:val="386FC7C6"/>
    <w:rsid w:val="38AD06AC"/>
    <w:rsid w:val="38B0D035"/>
    <w:rsid w:val="38BDDA0F"/>
    <w:rsid w:val="38D867C0"/>
    <w:rsid w:val="38E3FC1F"/>
    <w:rsid w:val="38E46D3C"/>
    <w:rsid w:val="38E54962"/>
    <w:rsid w:val="38F89798"/>
    <w:rsid w:val="38F98A8C"/>
    <w:rsid w:val="39033BD4"/>
    <w:rsid w:val="39059AD4"/>
    <w:rsid w:val="3907E38B"/>
    <w:rsid w:val="3915CD23"/>
    <w:rsid w:val="393B024B"/>
    <w:rsid w:val="3964A366"/>
    <w:rsid w:val="3966A070"/>
    <w:rsid w:val="39812AB3"/>
    <w:rsid w:val="39B56249"/>
    <w:rsid w:val="3A3883E4"/>
    <w:rsid w:val="3A42D3FF"/>
    <w:rsid w:val="3A46C7BB"/>
    <w:rsid w:val="3A543E43"/>
    <w:rsid w:val="3A565DC0"/>
    <w:rsid w:val="3A6E213F"/>
    <w:rsid w:val="3ACD6482"/>
    <w:rsid w:val="3AE17881"/>
    <w:rsid w:val="3AFBD738"/>
    <w:rsid w:val="3B00C848"/>
    <w:rsid w:val="3B32033C"/>
    <w:rsid w:val="3B568486"/>
    <w:rsid w:val="3B64109E"/>
    <w:rsid w:val="3B722D57"/>
    <w:rsid w:val="3B889EEB"/>
    <w:rsid w:val="3B8CEFA4"/>
    <w:rsid w:val="3BA76735"/>
    <w:rsid w:val="3BB74DAA"/>
    <w:rsid w:val="3BCF2180"/>
    <w:rsid w:val="3BD90876"/>
    <w:rsid w:val="3BDE4E49"/>
    <w:rsid w:val="3BEDB9FF"/>
    <w:rsid w:val="3C0CDE2A"/>
    <w:rsid w:val="3C486E93"/>
    <w:rsid w:val="3C646348"/>
    <w:rsid w:val="3C681107"/>
    <w:rsid w:val="3C96FB75"/>
    <w:rsid w:val="3CB9F7FB"/>
    <w:rsid w:val="3CB9FCAA"/>
    <w:rsid w:val="3D0BAE4F"/>
    <w:rsid w:val="3D34A523"/>
    <w:rsid w:val="3D3FF640"/>
    <w:rsid w:val="3D54E1BD"/>
    <w:rsid w:val="3D643945"/>
    <w:rsid w:val="3D7EB087"/>
    <w:rsid w:val="3D82166C"/>
    <w:rsid w:val="3D9ED126"/>
    <w:rsid w:val="3DB9DBCC"/>
    <w:rsid w:val="3DBE6424"/>
    <w:rsid w:val="3DC77114"/>
    <w:rsid w:val="3DDF1C35"/>
    <w:rsid w:val="3DF12C3F"/>
    <w:rsid w:val="3DF33445"/>
    <w:rsid w:val="3DFB1473"/>
    <w:rsid w:val="3DFE5932"/>
    <w:rsid w:val="3E20D377"/>
    <w:rsid w:val="3E316BEA"/>
    <w:rsid w:val="3E6617E4"/>
    <w:rsid w:val="3E6CEEE5"/>
    <w:rsid w:val="3E7AE6D2"/>
    <w:rsid w:val="3E96F992"/>
    <w:rsid w:val="3EDEB434"/>
    <w:rsid w:val="3EE7EEB2"/>
    <w:rsid w:val="3F1A8456"/>
    <w:rsid w:val="3F2EF0F9"/>
    <w:rsid w:val="3FCDC4ED"/>
    <w:rsid w:val="3FE2DC08"/>
    <w:rsid w:val="3FF0818C"/>
    <w:rsid w:val="4009A3A8"/>
    <w:rsid w:val="402D3A93"/>
    <w:rsid w:val="40947523"/>
    <w:rsid w:val="40B4D9AE"/>
    <w:rsid w:val="40B90045"/>
    <w:rsid w:val="40C946EA"/>
    <w:rsid w:val="40CB5F19"/>
    <w:rsid w:val="40CF87A5"/>
    <w:rsid w:val="410519A1"/>
    <w:rsid w:val="411DD04F"/>
    <w:rsid w:val="4121E1FE"/>
    <w:rsid w:val="41261AA3"/>
    <w:rsid w:val="413A9324"/>
    <w:rsid w:val="4157DD37"/>
    <w:rsid w:val="418ADF44"/>
    <w:rsid w:val="41D49828"/>
    <w:rsid w:val="41D4CE1B"/>
    <w:rsid w:val="41FBCF61"/>
    <w:rsid w:val="4219444E"/>
    <w:rsid w:val="423C5956"/>
    <w:rsid w:val="424B0004"/>
    <w:rsid w:val="42AA2D47"/>
    <w:rsid w:val="42CC9229"/>
    <w:rsid w:val="4306CD76"/>
    <w:rsid w:val="430A5108"/>
    <w:rsid w:val="434690E9"/>
    <w:rsid w:val="4347A930"/>
    <w:rsid w:val="435BE8BE"/>
    <w:rsid w:val="436F7F1A"/>
    <w:rsid w:val="43A0DD22"/>
    <w:rsid w:val="43BAA264"/>
    <w:rsid w:val="43D45C3F"/>
    <w:rsid w:val="43E5315E"/>
    <w:rsid w:val="43FFC074"/>
    <w:rsid w:val="4412D096"/>
    <w:rsid w:val="44458373"/>
    <w:rsid w:val="4461282D"/>
    <w:rsid w:val="44BA9E89"/>
    <w:rsid w:val="44DA9E54"/>
    <w:rsid w:val="4545264E"/>
    <w:rsid w:val="4561351A"/>
    <w:rsid w:val="459CAD75"/>
    <w:rsid w:val="45AF7A03"/>
    <w:rsid w:val="45BC9600"/>
    <w:rsid w:val="45C41267"/>
    <w:rsid w:val="45C86782"/>
    <w:rsid w:val="45EED1A8"/>
    <w:rsid w:val="46173962"/>
    <w:rsid w:val="4670F380"/>
    <w:rsid w:val="467632B4"/>
    <w:rsid w:val="4690EB5E"/>
    <w:rsid w:val="46E32F0A"/>
    <w:rsid w:val="46EEEBD9"/>
    <w:rsid w:val="46FA0F0F"/>
    <w:rsid w:val="46FA9799"/>
    <w:rsid w:val="46FD53DA"/>
    <w:rsid w:val="47056E6D"/>
    <w:rsid w:val="4706CCAB"/>
    <w:rsid w:val="470C1906"/>
    <w:rsid w:val="473D8DF6"/>
    <w:rsid w:val="4767D735"/>
    <w:rsid w:val="477F411B"/>
    <w:rsid w:val="478812E0"/>
    <w:rsid w:val="47A482C0"/>
    <w:rsid w:val="47F70B85"/>
    <w:rsid w:val="48438AC4"/>
    <w:rsid w:val="485F9D1E"/>
    <w:rsid w:val="48960475"/>
    <w:rsid w:val="48E69D0E"/>
    <w:rsid w:val="48FA6763"/>
    <w:rsid w:val="4940CCBD"/>
    <w:rsid w:val="49416046"/>
    <w:rsid w:val="494AE8CC"/>
    <w:rsid w:val="497715FE"/>
    <w:rsid w:val="49977F22"/>
    <w:rsid w:val="49A37B36"/>
    <w:rsid w:val="49C06BF9"/>
    <w:rsid w:val="49CEA7C4"/>
    <w:rsid w:val="49DDEF77"/>
    <w:rsid w:val="49EADCEC"/>
    <w:rsid w:val="4A0C7538"/>
    <w:rsid w:val="4A78BE0F"/>
    <w:rsid w:val="4A798650"/>
    <w:rsid w:val="4A820F42"/>
    <w:rsid w:val="4A8B457B"/>
    <w:rsid w:val="4A9E9E28"/>
    <w:rsid w:val="4AA26075"/>
    <w:rsid w:val="4ABB9978"/>
    <w:rsid w:val="4ACA98A4"/>
    <w:rsid w:val="4ADACFD8"/>
    <w:rsid w:val="4AF7666D"/>
    <w:rsid w:val="4B207E8C"/>
    <w:rsid w:val="4B33F97D"/>
    <w:rsid w:val="4B5F10CF"/>
    <w:rsid w:val="4B7232D3"/>
    <w:rsid w:val="4B7A9076"/>
    <w:rsid w:val="4B823C57"/>
    <w:rsid w:val="4B89E6FB"/>
    <w:rsid w:val="4B8ADC8B"/>
    <w:rsid w:val="4B9A10BD"/>
    <w:rsid w:val="4BA735F9"/>
    <w:rsid w:val="4BC05AE3"/>
    <w:rsid w:val="4BDDC7EE"/>
    <w:rsid w:val="4C41296D"/>
    <w:rsid w:val="4C499E0F"/>
    <w:rsid w:val="4C4E3063"/>
    <w:rsid w:val="4C65A5D5"/>
    <w:rsid w:val="4C6F3504"/>
    <w:rsid w:val="4C7AA64D"/>
    <w:rsid w:val="4CA4F0A3"/>
    <w:rsid w:val="4CF599E4"/>
    <w:rsid w:val="4D19FEE5"/>
    <w:rsid w:val="4D2352F8"/>
    <w:rsid w:val="4D25F4E6"/>
    <w:rsid w:val="4D2F8EA2"/>
    <w:rsid w:val="4D2FC4F9"/>
    <w:rsid w:val="4D3C63F3"/>
    <w:rsid w:val="4D3DEA99"/>
    <w:rsid w:val="4D5250DC"/>
    <w:rsid w:val="4D682B64"/>
    <w:rsid w:val="4D6DDB88"/>
    <w:rsid w:val="4D72E3DF"/>
    <w:rsid w:val="4D916EBD"/>
    <w:rsid w:val="4D9AA0A6"/>
    <w:rsid w:val="4DAC37E0"/>
    <w:rsid w:val="4DB7B010"/>
    <w:rsid w:val="4DC628F5"/>
    <w:rsid w:val="4DC79FD2"/>
    <w:rsid w:val="4DD156A8"/>
    <w:rsid w:val="4DD66E86"/>
    <w:rsid w:val="4DF540E4"/>
    <w:rsid w:val="4DFB3055"/>
    <w:rsid w:val="4E61BAF5"/>
    <w:rsid w:val="4E84BB4C"/>
    <w:rsid w:val="4E8F4378"/>
    <w:rsid w:val="4EAB26CC"/>
    <w:rsid w:val="4ED6DDF7"/>
    <w:rsid w:val="4EF12C83"/>
    <w:rsid w:val="4EFB1AFD"/>
    <w:rsid w:val="4EFCA553"/>
    <w:rsid w:val="4F112CC6"/>
    <w:rsid w:val="4F338E20"/>
    <w:rsid w:val="4F3406F1"/>
    <w:rsid w:val="4F38D5BA"/>
    <w:rsid w:val="4F5432DB"/>
    <w:rsid w:val="4F57E350"/>
    <w:rsid w:val="4F90AE08"/>
    <w:rsid w:val="4FAD5273"/>
    <w:rsid w:val="4FC4ADFC"/>
    <w:rsid w:val="4FD923D4"/>
    <w:rsid w:val="4FE9DE8E"/>
    <w:rsid w:val="4FF25C2D"/>
    <w:rsid w:val="4FFD197A"/>
    <w:rsid w:val="50113EA5"/>
    <w:rsid w:val="501B17ED"/>
    <w:rsid w:val="50780709"/>
    <w:rsid w:val="5088D7E1"/>
    <w:rsid w:val="50978368"/>
    <w:rsid w:val="509D0E3A"/>
    <w:rsid w:val="509FCD6A"/>
    <w:rsid w:val="50D066C0"/>
    <w:rsid w:val="5126F8BB"/>
    <w:rsid w:val="5163361E"/>
    <w:rsid w:val="51637F82"/>
    <w:rsid w:val="51648E25"/>
    <w:rsid w:val="517A73D8"/>
    <w:rsid w:val="51A5BC35"/>
    <w:rsid w:val="51B50420"/>
    <w:rsid w:val="51C3A530"/>
    <w:rsid w:val="523EECA4"/>
    <w:rsid w:val="5257203D"/>
    <w:rsid w:val="5290F84B"/>
    <w:rsid w:val="52954AC5"/>
    <w:rsid w:val="52B4415C"/>
    <w:rsid w:val="52D45064"/>
    <w:rsid w:val="52E9FCCD"/>
    <w:rsid w:val="53025962"/>
    <w:rsid w:val="5319A554"/>
    <w:rsid w:val="5335C699"/>
    <w:rsid w:val="53542712"/>
    <w:rsid w:val="53564BA5"/>
    <w:rsid w:val="538AF29C"/>
    <w:rsid w:val="538C2368"/>
    <w:rsid w:val="53A1C808"/>
    <w:rsid w:val="53A7771E"/>
    <w:rsid w:val="53B9711C"/>
    <w:rsid w:val="53BB7E88"/>
    <w:rsid w:val="53D94E3C"/>
    <w:rsid w:val="53E9C4C1"/>
    <w:rsid w:val="541584F3"/>
    <w:rsid w:val="5418986D"/>
    <w:rsid w:val="542363F8"/>
    <w:rsid w:val="5432981B"/>
    <w:rsid w:val="54878D99"/>
    <w:rsid w:val="54A6BDA3"/>
    <w:rsid w:val="54E409D0"/>
    <w:rsid w:val="55194F71"/>
    <w:rsid w:val="55354C5F"/>
    <w:rsid w:val="55552212"/>
    <w:rsid w:val="55809607"/>
    <w:rsid w:val="5593C8DC"/>
    <w:rsid w:val="5593EE4E"/>
    <w:rsid w:val="55BACB51"/>
    <w:rsid w:val="55CBD6A7"/>
    <w:rsid w:val="55DA2B65"/>
    <w:rsid w:val="55E4D8E0"/>
    <w:rsid w:val="5608B764"/>
    <w:rsid w:val="5624D869"/>
    <w:rsid w:val="5680FDAD"/>
    <w:rsid w:val="56B389F6"/>
    <w:rsid w:val="56B93839"/>
    <w:rsid w:val="56E9FFCE"/>
    <w:rsid w:val="56ED2099"/>
    <w:rsid w:val="570D0270"/>
    <w:rsid w:val="5721E105"/>
    <w:rsid w:val="573AEF0E"/>
    <w:rsid w:val="57596885"/>
    <w:rsid w:val="576F04E1"/>
    <w:rsid w:val="5773F795"/>
    <w:rsid w:val="57764041"/>
    <w:rsid w:val="577D94B5"/>
    <w:rsid w:val="5789C184"/>
    <w:rsid w:val="579085AF"/>
    <w:rsid w:val="57A8A873"/>
    <w:rsid w:val="57AD1F9A"/>
    <w:rsid w:val="57C1549A"/>
    <w:rsid w:val="57E531D9"/>
    <w:rsid w:val="5810826C"/>
    <w:rsid w:val="583D4F46"/>
    <w:rsid w:val="585877A8"/>
    <w:rsid w:val="585BD3C3"/>
    <w:rsid w:val="58872C3C"/>
    <w:rsid w:val="58A5FA15"/>
    <w:rsid w:val="58C7C514"/>
    <w:rsid w:val="58D87E58"/>
    <w:rsid w:val="58EFB6C0"/>
    <w:rsid w:val="58F1C9F0"/>
    <w:rsid w:val="58F55EF1"/>
    <w:rsid w:val="590B2236"/>
    <w:rsid w:val="590B3930"/>
    <w:rsid w:val="592EB7C1"/>
    <w:rsid w:val="5936D481"/>
    <w:rsid w:val="59424148"/>
    <w:rsid w:val="595FCBBF"/>
    <w:rsid w:val="597DCB3B"/>
    <w:rsid w:val="598B4A24"/>
    <w:rsid w:val="59A13907"/>
    <w:rsid w:val="59DE8854"/>
    <w:rsid w:val="59E4134B"/>
    <w:rsid w:val="59E6246D"/>
    <w:rsid w:val="59F2F958"/>
    <w:rsid w:val="5A10BBB5"/>
    <w:rsid w:val="5A2210C6"/>
    <w:rsid w:val="5A3237B6"/>
    <w:rsid w:val="5A39DE39"/>
    <w:rsid w:val="5A484F37"/>
    <w:rsid w:val="5A5649FA"/>
    <w:rsid w:val="5A621FA3"/>
    <w:rsid w:val="5A8F1D12"/>
    <w:rsid w:val="5A9CEFB7"/>
    <w:rsid w:val="5AB78ED6"/>
    <w:rsid w:val="5ABE7027"/>
    <w:rsid w:val="5AEEB15C"/>
    <w:rsid w:val="5B31E83B"/>
    <w:rsid w:val="5B3380D7"/>
    <w:rsid w:val="5B379D4E"/>
    <w:rsid w:val="5B37A51F"/>
    <w:rsid w:val="5B67D2A7"/>
    <w:rsid w:val="5B886C68"/>
    <w:rsid w:val="5BDF820D"/>
    <w:rsid w:val="5BEC9D95"/>
    <w:rsid w:val="5BF02DC5"/>
    <w:rsid w:val="5C13EA02"/>
    <w:rsid w:val="5C402E4A"/>
    <w:rsid w:val="5C50DE52"/>
    <w:rsid w:val="5CA33E8D"/>
    <w:rsid w:val="5CC8B3A2"/>
    <w:rsid w:val="5CD672C2"/>
    <w:rsid w:val="5CF1B7F4"/>
    <w:rsid w:val="5CF51022"/>
    <w:rsid w:val="5D197024"/>
    <w:rsid w:val="5D4389D1"/>
    <w:rsid w:val="5D779E55"/>
    <w:rsid w:val="5D8CCA25"/>
    <w:rsid w:val="5D942579"/>
    <w:rsid w:val="5DC2F2C9"/>
    <w:rsid w:val="5DD7E492"/>
    <w:rsid w:val="5DEFB3B9"/>
    <w:rsid w:val="5DFA25F6"/>
    <w:rsid w:val="5E00215D"/>
    <w:rsid w:val="5E5498A1"/>
    <w:rsid w:val="5E8C61A6"/>
    <w:rsid w:val="5EB3F02E"/>
    <w:rsid w:val="5EB6912D"/>
    <w:rsid w:val="5ED10E89"/>
    <w:rsid w:val="5F1198CE"/>
    <w:rsid w:val="5F208287"/>
    <w:rsid w:val="5F42DDF8"/>
    <w:rsid w:val="5F809A41"/>
    <w:rsid w:val="5F856552"/>
    <w:rsid w:val="5FB2E732"/>
    <w:rsid w:val="601DC8E6"/>
    <w:rsid w:val="60222240"/>
    <w:rsid w:val="602481FB"/>
    <w:rsid w:val="604896D5"/>
    <w:rsid w:val="6049CBF8"/>
    <w:rsid w:val="6061448E"/>
    <w:rsid w:val="6066DBFD"/>
    <w:rsid w:val="60889B2B"/>
    <w:rsid w:val="608D2B91"/>
    <w:rsid w:val="6093750D"/>
    <w:rsid w:val="60A44CAA"/>
    <w:rsid w:val="60A82F55"/>
    <w:rsid w:val="60BBCE51"/>
    <w:rsid w:val="60C676AB"/>
    <w:rsid w:val="60CDC252"/>
    <w:rsid w:val="60F3B56E"/>
    <w:rsid w:val="612495C6"/>
    <w:rsid w:val="61688C6D"/>
    <w:rsid w:val="617C531C"/>
    <w:rsid w:val="6191EF55"/>
    <w:rsid w:val="6196C324"/>
    <w:rsid w:val="61970FA1"/>
    <w:rsid w:val="61BCC892"/>
    <w:rsid w:val="6238B645"/>
    <w:rsid w:val="62429EE1"/>
    <w:rsid w:val="624927E0"/>
    <w:rsid w:val="625C5C43"/>
    <w:rsid w:val="6275260B"/>
    <w:rsid w:val="629FCE84"/>
    <w:rsid w:val="62A9485A"/>
    <w:rsid w:val="62F01878"/>
    <w:rsid w:val="63076472"/>
    <w:rsid w:val="63304B1F"/>
    <w:rsid w:val="633A7D15"/>
    <w:rsid w:val="636C71F8"/>
    <w:rsid w:val="63826DE1"/>
    <w:rsid w:val="638A6CAE"/>
    <w:rsid w:val="63A44D3E"/>
    <w:rsid w:val="63D6F2E1"/>
    <w:rsid w:val="63E1C0EB"/>
    <w:rsid w:val="6412BC64"/>
    <w:rsid w:val="6449A07C"/>
    <w:rsid w:val="648A92A4"/>
    <w:rsid w:val="649BCF23"/>
    <w:rsid w:val="64BD7007"/>
    <w:rsid w:val="64CA0F8A"/>
    <w:rsid w:val="6520EB22"/>
    <w:rsid w:val="652DD04D"/>
    <w:rsid w:val="65695542"/>
    <w:rsid w:val="6574AF8B"/>
    <w:rsid w:val="65765977"/>
    <w:rsid w:val="65834698"/>
    <w:rsid w:val="658E4641"/>
    <w:rsid w:val="65C414EA"/>
    <w:rsid w:val="65CD402E"/>
    <w:rsid w:val="65D8F6AD"/>
    <w:rsid w:val="65DD2A06"/>
    <w:rsid w:val="65DE24EC"/>
    <w:rsid w:val="65F34819"/>
    <w:rsid w:val="65F96C1D"/>
    <w:rsid w:val="65F9A5E0"/>
    <w:rsid w:val="6609B284"/>
    <w:rsid w:val="66186FA5"/>
    <w:rsid w:val="6629E396"/>
    <w:rsid w:val="662B0205"/>
    <w:rsid w:val="66377243"/>
    <w:rsid w:val="66394469"/>
    <w:rsid w:val="663F71FD"/>
    <w:rsid w:val="665A5B87"/>
    <w:rsid w:val="66845DCC"/>
    <w:rsid w:val="6688483A"/>
    <w:rsid w:val="668D72A8"/>
    <w:rsid w:val="66A0C140"/>
    <w:rsid w:val="66A32C58"/>
    <w:rsid w:val="66C2032E"/>
    <w:rsid w:val="66C57135"/>
    <w:rsid w:val="66D57300"/>
    <w:rsid w:val="6713F6AF"/>
    <w:rsid w:val="6772D326"/>
    <w:rsid w:val="67D259FE"/>
    <w:rsid w:val="6806DB93"/>
    <w:rsid w:val="6817DA78"/>
    <w:rsid w:val="682F1112"/>
    <w:rsid w:val="683EB739"/>
    <w:rsid w:val="68723775"/>
    <w:rsid w:val="68784BBF"/>
    <w:rsid w:val="68C33C6D"/>
    <w:rsid w:val="68ED1C25"/>
    <w:rsid w:val="693E9673"/>
    <w:rsid w:val="69469DF6"/>
    <w:rsid w:val="69989A6A"/>
    <w:rsid w:val="69B965B3"/>
    <w:rsid w:val="69E4A98A"/>
    <w:rsid w:val="69F363B6"/>
    <w:rsid w:val="6A105A5B"/>
    <w:rsid w:val="6A1C5BC3"/>
    <w:rsid w:val="6A43D03A"/>
    <w:rsid w:val="6A49DE81"/>
    <w:rsid w:val="6AA2E086"/>
    <w:rsid w:val="6AEB7130"/>
    <w:rsid w:val="6B0766D5"/>
    <w:rsid w:val="6B20C9FE"/>
    <w:rsid w:val="6B2B25EC"/>
    <w:rsid w:val="6B452736"/>
    <w:rsid w:val="6B6C2766"/>
    <w:rsid w:val="6B7816F7"/>
    <w:rsid w:val="6B89C664"/>
    <w:rsid w:val="6B9A72E2"/>
    <w:rsid w:val="6BB806FB"/>
    <w:rsid w:val="6BCCAF52"/>
    <w:rsid w:val="6BED2865"/>
    <w:rsid w:val="6BF98586"/>
    <w:rsid w:val="6BFE09AF"/>
    <w:rsid w:val="6C25B390"/>
    <w:rsid w:val="6C6202C6"/>
    <w:rsid w:val="6C7122F5"/>
    <w:rsid w:val="6C8E27CE"/>
    <w:rsid w:val="6C982C94"/>
    <w:rsid w:val="6CCAD955"/>
    <w:rsid w:val="6CE1B6EE"/>
    <w:rsid w:val="6CFE16E3"/>
    <w:rsid w:val="6D1FB305"/>
    <w:rsid w:val="6D24AFAF"/>
    <w:rsid w:val="6D277EEE"/>
    <w:rsid w:val="6D4F5A1B"/>
    <w:rsid w:val="6D67580E"/>
    <w:rsid w:val="6D6B0FB3"/>
    <w:rsid w:val="6D80A9F1"/>
    <w:rsid w:val="6DB27008"/>
    <w:rsid w:val="6DB48102"/>
    <w:rsid w:val="6DD25A9F"/>
    <w:rsid w:val="6DE1B876"/>
    <w:rsid w:val="6DE5B1AB"/>
    <w:rsid w:val="6E1C1013"/>
    <w:rsid w:val="6E24AB8F"/>
    <w:rsid w:val="6E3F86D8"/>
    <w:rsid w:val="6E40C63C"/>
    <w:rsid w:val="6E4372C4"/>
    <w:rsid w:val="6E53B17A"/>
    <w:rsid w:val="6E8BE7AB"/>
    <w:rsid w:val="6E94799B"/>
    <w:rsid w:val="6EB3B941"/>
    <w:rsid w:val="6EC054A4"/>
    <w:rsid w:val="6ECD23BC"/>
    <w:rsid w:val="6EE54826"/>
    <w:rsid w:val="6F0A90DE"/>
    <w:rsid w:val="6F499F28"/>
    <w:rsid w:val="6F9C5159"/>
    <w:rsid w:val="6FBBC615"/>
    <w:rsid w:val="6FCAEACB"/>
    <w:rsid w:val="6FF73DE0"/>
    <w:rsid w:val="7004407E"/>
    <w:rsid w:val="701E7480"/>
    <w:rsid w:val="70211542"/>
    <w:rsid w:val="70363D19"/>
    <w:rsid w:val="703D8288"/>
    <w:rsid w:val="706E8F3A"/>
    <w:rsid w:val="707CC3F3"/>
    <w:rsid w:val="7084E9BC"/>
    <w:rsid w:val="709680A0"/>
    <w:rsid w:val="70C21EFC"/>
    <w:rsid w:val="70CC2AEF"/>
    <w:rsid w:val="70ED37EA"/>
    <w:rsid w:val="7127E159"/>
    <w:rsid w:val="714C0EBD"/>
    <w:rsid w:val="7181AECF"/>
    <w:rsid w:val="7194F3F6"/>
    <w:rsid w:val="71C3F0A2"/>
    <w:rsid w:val="71F2E58C"/>
    <w:rsid w:val="7200248B"/>
    <w:rsid w:val="72361408"/>
    <w:rsid w:val="7256A021"/>
    <w:rsid w:val="7257189E"/>
    <w:rsid w:val="72578142"/>
    <w:rsid w:val="727BB2F7"/>
    <w:rsid w:val="728020FC"/>
    <w:rsid w:val="7286511D"/>
    <w:rsid w:val="72967427"/>
    <w:rsid w:val="73535CA6"/>
    <w:rsid w:val="73647AC9"/>
    <w:rsid w:val="73D5E7E7"/>
    <w:rsid w:val="73D7FF2C"/>
    <w:rsid w:val="7404E595"/>
    <w:rsid w:val="7410A814"/>
    <w:rsid w:val="7483A474"/>
    <w:rsid w:val="7488BE03"/>
    <w:rsid w:val="74B698E0"/>
    <w:rsid w:val="74BB81E6"/>
    <w:rsid w:val="74CB8DAF"/>
    <w:rsid w:val="74D76968"/>
    <w:rsid w:val="74E47371"/>
    <w:rsid w:val="74FDF8D4"/>
    <w:rsid w:val="7517F937"/>
    <w:rsid w:val="75302EAF"/>
    <w:rsid w:val="75615E48"/>
    <w:rsid w:val="7569B2A7"/>
    <w:rsid w:val="75BCE827"/>
    <w:rsid w:val="75E44019"/>
    <w:rsid w:val="7625A3B6"/>
    <w:rsid w:val="7655F258"/>
    <w:rsid w:val="7676B5B8"/>
    <w:rsid w:val="767DD19E"/>
    <w:rsid w:val="769F9F7A"/>
    <w:rsid w:val="76A096D4"/>
    <w:rsid w:val="76B232BB"/>
    <w:rsid w:val="76B90AB3"/>
    <w:rsid w:val="770A1ACF"/>
    <w:rsid w:val="770CC2BF"/>
    <w:rsid w:val="77580E77"/>
    <w:rsid w:val="77698AD5"/>
    <w:rsid w:val="777B6A55"/>
    <w:rsid w:val="778E4C19"/>
    <w:rsid w:val="77B77104"/>
    <w:rsid w:val="77F27277"/>
    <w:rsid w:val="7800F482"/>
    <w:rsid w:val="7801F539"/>
    <w:rsid w:val="783EED3A"/>
    <w:rsid w:val="784F029F"/>
    <w:rsid w:val="78584B60"/>
    <w:rsid w:val="78853E4A"/>
    <w:rsid w:val="78BB8357"/>
    <w:rsid w:val="78D02E46"/>
    <w:rsid w:val="791A0C8E"/>
    <w:rsid w:val="792F88BC"/>
    <w:rsid w:val="793175DA"/>
    <w:rsid w:val="7943CFCE"/>
    <w:rsid w:val="7945F60D"/>
    <w:rsid w:val="794A529E"/>
    <w:rsid w:val="794C5369"/>
    <w:rsid w:val="797FA927"/>
    <w:rsid w:val="79AD7ACF"/>
    <w:rsid w:val="79CC6BE1"/>
    <w:rsid w:val="7A053E2F"/>
    <w:rsid w:val="7A145605"/>
    <w:rsid w:val="7A8E4551"/>
    <w:rsid w:val="7A9A2ED3"/>
    <w:rsid w:val="7AA7253D"/>
    <w:rsid w:val="7AAAF3FE"/>
    <w:rsid w:val="7AAB3310"/>
    <w:rsid w:val="7AB9DC49"/>
    <w:rsid w:val="7AE3B914"/>
    <w:rsid w:val="7B2E5750"/>
    <w:rsid w:val="7B46C4FF"/>
    <w:rsid w:val="7B6374A4"/>
    <w:rsid w:val="7BE6CF03"/>
    <w:rsid w:val="7BF5C34A"/>
    <w:rsid w:val="7C0918F2"/>
    <w:rsid w:val="7C1D24A5"/>
    <w:rsid w:val="7C20E084"/>
    <w:rsid w:val="7C2B339F"/>
    <w:rsid w:val="7C365602"/>
    <w:rsid w:val="7C48BD7A"/>
    <w:rsid w:val="7C80173D"/>
    <w:rsid w:val="7C885962"/>
    <w:rsid w:val="7CB2CBA2"/>
    <w:rsid w:val="7CB9552E"/>
    <w:rsid w:val="7CEA6527"/>
    <w:rsid w:val="7D1A4C15"/>
    <w:rsid w:val="7D1D11B4"/>
    <w:rsid w:val="7D55D653"/>
    <w:rsid w:val="7D58A243"/>
    <w:rsid w:val="7D614478"/>
    <w:rsid w:val="7DA3C94E"/>
    <w:rsid w:val="7E080D57"/>
    <w:rsid w:val="7E109BD6"/>
    <w:rsid w:val="7E324928"/>
    <w:rsid w:val="7E6AE047"/>
    <w:rsid w:val="7E75DC73"/>
    <w:rsid w:val="7E90C71E"/>
    <w:rsid w:val="7ED0345F"/>
    <w:rsid w:val="7EFB546A"/>
    <w:rsid w:val="7F2C07DE"/>
    <w:rsid w:val="7F417931"/>
    <w:rsid w:val="7F4F5D9C"/>
    <w:rsid w:val="7F5CB183"/>
    <w:rsid w:val="7F8E008B"/>
    <w:rsid w:val="7F95FCE6"/>
    <w:rsid w:val="7FA56518"/>
    <w:rsid w:val="7FB10F52"/>
    <w:rsid w:val="7FB5AA48"/>
    <w:rsid w:val="7FB8B3DF"/>
    <w:rsid w:val="7FBBC3C9"/>
    <w:rsid w:val="7FEB116F"/>
    <w:rsid w:val="7FF66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97F48A40-4200-491B-BA02-703A19E7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0D22"/>
    <w:pPr>
      <w:spacing w:after="0" w:line="240" w:lineRule="auto"/>
      <w:jc w:val="both"/>
    </w:pPr>
    <w:rPr>
      <w:rFonts w:ascii="Times New Roman" w:hAnsi="Times New Roman" w:cs="Times New Roman"/>
      <w:sz w:val="24"/>
    </w:rPr>
  </w:style>
  <w:style w:type="character" w:customStyle="1" w:styleId="normaltextrun">
    <w:name w:val="normaltextrun"/>
    <w:basedOn w:val="DefaultParagraphFont"/>
    <w:rsid w:val="00BE0D22"/>
  </w:style>
  <w:style w:type="character" w:customStyle="1" w:styleId="eop">
    <w:name w:val="eop"/>
    <w:basedOn w:val="DefaultParagraphFont"/>
    <w:rsid w:val="00BE0D22"/>
  </w:style>
  <w:style w:type="paragraph" w:customStyle="1" w:styleId="Numpar10">
    <w:name w:val="Num par1"/>
    <w:basedOn w:val="NumPar6"/>
    <w:rsid w:val="00BE0D22"/>
    <w:pPr>
      <w:numPr>
        <w:ilvl w:val="0"/>
        <w:numId w:val="0"/>
      </w:numPr>
      <w:tabs>
        <w:tab w:val="num" w:pos="850"/>
      </w:tabs>
      <w:ind w:left="850" w:hanging="850"/>
    </w:pPr>
  </w:style>
  <w:style w:type="paragraph" w:customStyle="1" w:styleId="Numpar">
    <w:name w:val="Num par"/>
    <w:basedOn w:val="Numpar10"/>
    <w:rsid w:val="00BE0D22"/>
  </w:style>
  <w:style w:type="character" w:styleId="Hyperlink">
    <w:name w:val="Hyperlink"/>
    <w:basedOn w:val="DefaultParagraphFont"/>
    <w:uiPriority w:val="99"/>
    <w:unhideWhenUsed/>
    <w:rsid w:val="00BE0D22"/>
    <w:rPr>
      <w:color w:val="0000FF" w:themeColor="hyperlink"/>
      <w:u w:val="single"/>
    </w:rPr>
  </w:style>
  <w:style w:type="character" w:styleId="Emphasis">
    <w:name w:val="Emphasis"/>
    <w:basedOn w:val="DefaultParagraphFont"/>
    <w:uiPriority w:val="20"/>
    <w:qFormat/>
    <w:rsid w:val="00BE0D22"/>
    <w:rPr>
      <w:i/>
      <w:iC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Revision">
    <w:name w:val="Revision"/>
    <w:hidden/>
    <w:uiPriority w:val="99"/>
    <w:semiHidden/>
    <w:rsid w:val="00F266A7"/>
    <w:pPr>
      <w:spacing w:after="0" w:line="240" w:lineRule="auto"/>
    </w:pPr>
    <w:rPr>
      <w:rFonts w:ascii="Times New Roman" w:hAnsi="Times New Roman" w:cs="Times New Roman"/>
      <w:sz w:val="24"/>
    </w:rPr>
  </w:style>
  <w:style w:type="paragraph" w:styleId="ListBullet">
    <w:name w:val="List Bullet"/>
    <w:basedOn w:val="Normal"/>
    <w:uiPriority w:val="99"/>
    <w:semiHidden/>
    <w:unhideWhenUsed/>
    <w:rsid w:val="00577336"/>
    <w:pPr>
      <w:numPr>
        <w:numId w:val="5"/>
      </w:numPr>
      <w:contextualSpacing/>
    </w:pPr>
  </w:style>
  <w:style w:type="paragraph" w:styleId="ListBullet2">
    <w:name w:val="List Bullet 2"/>
    <w:basedOn w:val="Normal"/>
    <w:uiPriority w:val="99"/>
    <w:semiHidden/>
    <w:unhideWhenUsed/>
    <w:rsid w:val="00577336"/>
    <w:pPr>
      <w:numPr>
        <w:numId w:val="6"/>
      </w:numPr>
      <w:contextualSpacing/>
    </w:pPr>
  </w:style>
  <w:style w:type="paragraph" w:styleId="ListBullet3">
    <w:name w:val="List Bullet 3"/>
    <w:basedOn w:val="Normal"/>
    <w:uiPriority w:val="99"/>
    <w:semiHidden/>
    <w:unhideWhenUsed/>
    <w:rsid w:val="00577336"/>
    <w:pPr>
      <w:numPr>
        <w:numId w:val="7"/>
      </w:numPr>
      <w:contextualSpacing/>
    </w:pPr>
  </w:style>
  <w:style w:type="paragraph" w:styleId="ListBullet4">
    <w:name w:val="List Bullet 4"/>
    <w:basedOn w:val="Normal"/>
    <w:uiPriority w:val="99"/>
    <w:semiHidden/>
    <w:unhideWhenUsed/>
    <w:rsid w:val="00577336"/>
    <w:pPr>
      <w:numPr>
        <w:numId w:val="8"/>
      </w:numPr>
      <w:contextualSpacing/>
    </w:pPr>
  </w:style>
  <w:style w:type="paragraph" w:styleId="CommentSubject">
    <w:name w:val="annotation subject"/>
    <w:basedOn w:val="CommentText"/>
    <w:next w:val="CommentText"/>
    <w:link w:val="CommentSubjectChar"/>
    <w:uiPriority w:val="99"/>
    <w:semiHidden/>
    <w:unhideWhenUsed/>
    <w:rsid w:val="00EB4CEB"/>
    <w:rPr>
      <w:b/>
      <w:bCs/>
    </w:rPr>
  </w:style>
  <w:style w:type="character" w:customStyle="1" w:styleId="CommentSubjectChar">
    <w:name w:val="Comment Subject Char"/>
    <w:basedOn w:val="CommentTextChar"/>
    <w:link w:val="CommentSubject"/>
    <w:uiPriority w:val="99"/>
    <w:semiHidden/>
    <w:rsid w:val="00EB4CEB"/>
    <w:rPr>
      <w:rFonts w:ascii="Times New Roman" w:hAnsi="Times New Roman" w:cs="Times New Roman"/>
      <w:b/>
      <w:bCs/>
      <w:sz w:val="20"/>
      <w:szCs w:val="20"/>
      <w:lang w:val="it-IT"/>
    </w:rPr>
  </w:style>
  <w:style w:type="character" w:customStyle="1" w:styleId="UnresolvedMention">
    <w:name w:val="Unresolved Mention"/>
    <w:basedOn w:val="DefaultParagraphFont"/>
    <w:uiPriority w:val="99"/>
    <w:semiHidden/>
    <w:unhideWhenUsed/>
    <w:rsid w:val="00DC0A79"/>
    <w:rPr>
      <w:color w:val="605E5C"/>
      <w:shd w:val="clear" w:color="auto" w:fill="E1DFDD"/>
    </w:rPr>
  </w:style>
  <w:style w:type="paragraph" w:styleId="EndnoteText">
    <w:name w:val="endnote text"/>
    <w:basedOn w:val="Normal"/>
    <w:link w:val="EndnoteTextChar"/>
    <w:uiPriority w:val="99"/>
    <w:semiHidden/>
    <w:unhideWhenUsed/>
    <w:rsid w:val="00DD7663"/>
    <w:pPr>
      <w:spacing w:before="0" w:after="0"/>
    </w:pPr>
    <w:rPr>
      <w:sz w:val="20"/>
      <w:szCs w:val="20"/>
    </w:rPr>
  </w:style>
  <w:style w:type="character" w:customStyle="1" w:styleId="EndnoteTextChar">
    <w:name w:val="Endnote Text Char"/>
    <w:basedOn w:val="DefaultParagraphFont"/>
    <w:link w:val="EndnoteText"/>
    <w:uiPriority w:val="99"/>
    <w:semiHidden/>
    <w:rsid w:val="00DD7663"/>
    <w:rPr>
      <w:rFonts w:ascii="Times New Roman" w:hAnsi="Times New Roman" w:cs="Times New Roman"/>
      <w:sz w:val="20"/>
      <w:szCs w:val="20"/>
      <w:lang w:val="it-IT"/>
    </w:rPr>
  </w:style>
  <w:style w:type="character" w:styleId="EndnoteReference">
    <w:name w:val="endnote reference"/>
    <w:basedOn w:val="DefaultParagraphFont"/>
    <w:uiPriority w:val="99"/>
    <w:semiHidden/>
    <w:unhideWhenUsed/>
    <w:rsid w:val="00DD7663"/>
    <w:rPr>
      <w:vertAlign w:val="superscript"/>
    </w:rPr>
  </w:style>
  <w:style w:type="character" w:customStyle="1" w:styleId="superscript">
    <w:name w:val="superscript"/>
    <w:basedOn w:val="DefaultParagraphFont"/>
    <w:rsid w:val="00BB3A4E"/>
  </w:style>
  <w:style w:type="paragraph" w:styleId="NormalWeb">
    <w:name w:val="Normal (Web)"/>
    <w:basedOn w:val="Normal"/>
    <w:uiPriority w:val="99"/>
    <w:unhideWhenUsed/>
    <w:rsid w:val="005A5AE0"/>
    <w:pPr>
      <w:spacing w:before="100" w:beforeAutospacing="1" w:after="100" w:afterAutospacing="1"/>
      <w:jc w:val="left"/>
    </w:pPr>
    <w:rPr>
      <w:rFonts w:eastAsia="Times New Roman"/>
      <w:szCs w:val="24"/>
      <w:lang w:eastAsia="en-IE"/>
    </w:rPr>
  </w:style>
  <w:style w:type="character" w:styleId="HTMLCite">
    <w:name w:val="HTML Cite"/>
    <w:basedOn w:val="DefaultParagraphFont"/>
    <w:uiPriority w:val="99"/>
    <w:semiHidden/>
    <w:unhideWhenUsed/>
    <w:rsid w:val="00931733"/>
    <w:rPr>
      <w:i/>
      <w:iCs/>
    </w:rPr>
  </w:style>
  <w:style w:type="character" w:customStyle="1" w:styleId="Mention">
    <w:name w:val="Mention"/>
    <w:basedOn w:val="DefaultParagraphFont"/>
    <w:uiPriority w:val="99"/>
    <w:unhideWhenUsed/>
    <w:rsid w:val="00DD2373"/>
    <w:rPr>
      <w:color w:val="2B579A"/>
      <w:shd w:val="clear" w:color="auto" w:fill="E1DFDD"/>
    </w:rPr>
  </w:style>
  <w:style w:type="paragraph" w:customStyle="1" w:styleId="Footn">
    <w:name w:val="Footn"/>
    <w:basedOn w:val="FootnoteText"/>
    <w:rsid w:val="008B1D00"/>
  </w:style>
  <w:style w:type="character" w:styleId="FollowedHyperlink">
    <w:name w:val="FollowedHyperlink"/>
    <w:basedOn w:val="DefaultParagraphFont"/>
    <w:uiPriority w:val="99"/>
    <w:semiHidden/>
    <w:unhideWhenUsed/>
    <w:rsid w:val="00663875"/>
    <w:rPr>
      <w:color w:val="800080" w:themeColor="followedHyperlink"/>
      <w:u w:val="single"/>
    </w:rPr>
  </w:style>
  <w:style w:type="character" w:customStyle="1" w:styleId="findhit">
    <w:name w:val="findhit"/>
    <w:basedOn w:val="DefaultParagraphFont"/>
    <w:rsid w:val="008B3139"/>
  </w:style>
  <w:style w:type="character" w:customStyle="1" w:styleId="HeaderChar">
    <w:name w:val="Header Char"/>
    <w:basedOn w:val="DefaultParagraphFont"/>
    <w:link w:val="Header"/>
    <w:uiPriority w:val="99"/>
    <w:rsid w:val="00D679FD"/>
    <w:rPr>
      <w:rFonts w:ascii="Times New Roman" w:hAnsi="Times New Roman" w:cs="Times New Roman"/>
      <w:sz w:val="24"/>
      <w:lang w:val="it-IT"/>
    </w:rPr>
  </w:style>
  <w:style w:type="character" w:customStyle="1" w:styleId="FooterChar">
    <w:name w:val="Footer Char"/>
    <w:basedOn w:val="DefaultParagraphFont"/>
    <w:link w:val="Footer"/>
    <w:uiPriority w:val="99"/>
    <w:rsid w:val="00D679FD"/>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it-IT"/>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it-IT"/>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it-IT"/>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it-IT"/>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it-IT"/>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it-IT"/>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it-IT"/>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D679F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679FD"/>
    <w:pPr>
      <w:spacing w:before="0"/>
      <w:jc w:val="right"/>
    </w:pPr>
    <w:rPr>
      <w:sz w:val="28"/>
    </w:rPr>
  </w:style>
  <w:style w:type="paragraph" w:customStyle="1" w:styleId="FooterSensitivity">
    <w:name w:val="Footer Sensitivity"/>
    <w:basedOn w:val="Normal"/>
    <w:rsid w:val="00D679F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D679FD"/>
    <w:pPr>
      <w:tabs>
        <w:tab w:val="center" w:pos="4535"/>
        <w:tab w:val="right" w:pos="9071"/>
      </w:tabs>
      <w:spacing w:before="0"/>
    </w:pPr>
  </w:style>
  <w:style w:type="paragraph" w:customStyle="1" w:styleId="HeaderLandscape">
    <w:name w:val="HeaderLandscape"/>
    <w:basedOn w:val="Normal"/>
    <w:rsid w:val="00D679FD"/>
    <w:pPr>
      <w:tabs>
        <w:tab w:val="center" w:pos="7285"/>
        <w:tab w:val="right" w:pos="14003"/>
      </w:tabs>
      <w:spacing w:before="0"/>
    </w:pPr>
  </w:style>
  <w:style w:type="paragraph" w:styleId="Footer">
    <w:name w:val="footer"/>
    <w:basedOn w:val="Normal"/>
    <w:link w:val="FooterChar"/>
    <w:uiPriority w:val="99"/>
    <w:unhideWhenUsed/>
    <w:rsid w:val="00D679F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D679FD"/>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6195">
      <w:bodyDiv w:val="1"/>
      <w:marLeft w:val="0"/>
      <w:marRight w:val="0"/>
      <w:marTop w:val="0"/>
      <w:marBottom w:val="0"/>
      <w:divBdr>
        <w:top w:val="none" w:sz="0" w:space="0" w:color="auto"/>
        <w:left w:val="none" w:sz="0" w:space="0" w:color="auto"/>
        <w:bottom w:val="none" w:sz="0" w:space="0" w:color="auto"/>
        <w:right w:val="none" w:sz="0" w:space="0" w:color="auto"/>
      </w:divBdr>
    </w:div>
    <w:div w:id="299195686">
      <w:bodyDiv w:val="1"/>
      <w:marLeft w:val="0"/>
      <w:marRight w:val="0"/>
      <w:marTop w:val="0"/>
      <w:marBottom w:val="0"/>
      <w:divBdr>
        <w:top w:val="none" w:sz="0" w:space="0" w:color="auto"/>
        <w:left w:val="none" w:sz="0" w:space="0" w:color="auto"/>
        <w:bottom w:val="none" w:sz="0" w:space="0" w:color="auto"/>
        <w:right w:val="none" w:sz="0" w:space="0" w:color="auto"/>
      </w:divBdr>
      <w:divsChild>
        <w:div w:id="643386152">
          <w:marLeft w:val="0"/>
          <w:marRight w:val="0"/>
          <w:marTop w:val="0"/>
          <w:marBottom w:val="0"/>
          <w:divBdr>
            <w:top w:val="none" w:sz="0" w:space="0" w:color="auto"/>
            <w:left w:val="none" w:sz="0" w:space="0" w:color="auto"/>
            <w:bottom w:val="none" w:sz="0" w:space="0" w:color="auto"/>
            <w:right w:val="none" w:sz="0" w:space="0" w:color="auto"/>
          </w:divBdr>
          <w:divsChild>
            <w:div w:id="2067875869">
              <w:marLeft w:val="0"/>
              <w:marRight w:val="0"/>
              <w:marTop w:val="0"/>
              <w:marBottom w:val="0"/>
              <w:divBdr>
                <w:top w:val="none" w:sz="0" w:space="0" w:color="auto"/>
                <w:left w:val="none" w:sz="0" w:space="0" w:color="auto"/>
                <w:bottom w:val="none" w:sz="0" w:space="0" w:color="auto"/>
                <w:right w:val="none" w:sz="0" w:space="0" w:color="auto"/>
              </w:divBdr>
              <w:divsChild>
                <w:div w:id="1704480827">
                  <w:marLeft w:val="0"/>
                  <w:marRight w:val="0"/>
                  <w:marTop w:val="0"/>
                  <w:marBottom w:val="0"/>
                  <w:divBdr>
                    <w:top w:val="none" w:sz="0" w:space="0" w:color="auto"/>
                    <w:left w:val="none" w:sz="0" w:space="0" w:color="auto"/>
                    <w:bottom w:val="none" w:sz="0" w:space="0" w:color="auto"/>
                    <w:right w:val="none" w:sz="0" w:space="0" w:color="auto"/>
                  </w:divBdr>
                  <w:divsChild>
                    <w:div w:id="18897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559946">
      <w:bodyDiv w:val="1"/>
      <w:marLeft w:val="0"/>
      <w:marRight w:val="0"/>
      <w:marTop w:val="0"/>
      <w:marBottom w:val="0"/>
      <w:divBdr>
        <w:top w:val="none" w:sz="0" w:space="0" w:color="auto"/>
        <w:left w:val="none" w:sz="0" w:space="0" w:color="auto"/>
        <w:bottom w:val="none" w:sz="0" w:space="0" w:color="auto"/>
        <w:right w:val="none" w:sz="0" w:space="0" w:color="auto"/>
      </w:divBdr>
    </w:div>
    <w:div w:id="633603958">
      <w:bodyDiv w:val="1"/>
      <w:marLeft w:val="0"/>
      <w:marRight w:val="0"/>
      <w:marTop w:val="0"/>
      <w:marBottom w:val="0"/>
      <w:divBdr>
        <w:top w:val="none" w:sz="0" w:space="0" w:color="auto"/>
        <w:left w:val="none" w:sz="0" w:space="0" w:color="auto"/>
        <w:bottom w:val="none" w:sz="0" w:space="0" w:color="auto"/>
        <w:right w:val="none" w:sz="0" w:space="0" w:color="auto"/>
      </w:divBdr>
    </w:div>
    <w:div w:id="1543010598">
      <w:bodyDiv w:val="1"/>
      <w:marLeft w:val="0"/>
      <w:marRight w:val="0"/>
      <w:marTop w:val="0"/>
      <w:marBottom w:val="0"/>
      <w:divBdr>
        <w:top w:val="none" w:sz="0" w:space="0" w:color="auto"/>
        <w:left w:val="none" w:sz="0" w:space="0" w:color="auto"/>
        <w:bottom w:val="none" w:sz="0" w:space="0" w:color="auto"/>
        <w:right w:val="none" w:sz="0" w:space="0" w:color="auto"/>
      </w:divBdr>
    </w:div>
    <w:div w:id="1724325699">
      <w:bodyDiv w:val="1"/>
      <w:marLeft w:val="0"/>
      <w:marRight w:val="0"/>
      <w:marTop w:val="0"/>
      <w:marBottom w:val="0"/>
      <w:divBdr>
        <w:top w:val="none" w:sz="0" w:space="0" w:color="auto"/>
        <w:left w:val="none" w:sz="0" w:space="0" w:color="auto"/>
        <w:bottom w:val="none" w:sz="0" w:space="0" w:color="auto"/>
        <w:right w:val="none" w:sz="0" w:space="0" w:color="auto"/>
      </w:divBdr>
    </w:div>
    <w:div w:id="18839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8/767/oj" TargetMode="External"/><Relationship Id="rId3" Type="http://schemas.openxmlformats.org/officeDocument/2006/relationships/hyperlink" Target="http://data.europa.eu/eli/convention/2000/922/oj" TargetMode="External"/><Relationship Id="rId7" Type="http://schemas.openxmlformats.org/officeDocument/2006/relationships/hyperlink" Target="http://data.europa.eu/eli/reg/2016/399/oj" TargetMode="External"/><Relationship Id="rId2" Type="http://schemas.openxmlformats.org/officeDocument/2006/relationships/hyperlink" Target="http://data.europa.eu/eli/reg/2016/399/2024-07-10" TargetMode="External"/><Relationship Id="rId1" Type="http://schemas.openxmlformats.org/officeDocument/2006/relationships/hyperlink" Target="http://data.europa.eu/eli/reg/2017/2226/2021-08-03" TargetMode="External"/><Relationship Id="rId6" Type="http://schemas.openxmlformats.org/officeDocument/2006/relationships/hyperlink" Target="http://data.europa.eu/eli/reg/2017/2226/oj" TargetMode="External"/><Relationship Id="rId5" Type="http://schemas.openxmlformats.org/officeDocument/2006/relationships/hyperlink" Target="http://data.europa.eu/eli/reg/2019/817/2024-04-25" TargetMode="External"/><Relationship Id="rId4" Type="http://schemas.openxmlformats.org/officeDocument/2006/relationships/hyperlink" Target="http://data.europa.eu/eli/reg/2016/679/2016-05-04" TargetMode="External"/><Relationship Id="rId9" Type="http://schemas.openxmlformats.org/officeDocument/2006/relationships/hyperlink" Target="http://data.europa.eu/eli/dir/2001/51/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BAA3E038356449A8E8E5EFBA56BA7" ma:contentTypeVersion="18" ma:contentTypeDescription="Create a new document." ma:contentTypeScope="" ma:versionID="f7524332ae59cf13c73467d4cc5870b8">
  <xsd:schema xmlns:xsd="http://www.w3.org/2001/XMLSchema" xmlns:xs="http://www.w3.org/2001/XMLSchema" xmlns:p="http://schemas.microsoft.com/office/2006/metadata/properties" xmlns:ns2="72bda078-25cf-4dc4-9853-c68387b648e8" xmlns:ns3="12661c1b-ebcd-4cf2-a537-0fae4d653bab" targetNamespace="http://schemas.microsoft.com/office/2006/metadata/properties" ma:root="true" ma:fieldsID="2f63b99a79acbfa6e0bc57b6354a6979" ns2:_="" ns3:_="">
    <xsd:import namespace="72bda078-25cf-4dc4-9853-c68387b648e8"/>
    <xsd:import namespace="12661c1b-ebcd-4cf2-a537-0fae4d653b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i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da078-25cf-4dc4-9853-c68387b64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ission" ma:index="22" nillable="true" ma:displayName="Mission" ma:format="Dropdown" ma:internalName="Mission">
      <xsd:simpleType>
        <xsd:restriction base="dms:Choice">
          <xsd:enumeration value="Choice 1"/>
          <xsd:enumeration value="Choice 2"/>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661c1b-ebcd-4cf2-a537-0fae4d653b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fac5043-a9a4-42ed-a6d0-7b40d02f661d}" ma:internalName="TaxCatchAll" ma:showField="CatchAllData" ma:web="12661c1b-ebcd-4cf2-a537-0fae4d653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bda078-25cf-4dc4-9853-c68387b648e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Mission xmlns="72bda078-25cf-4dc4-9853-c68387b648e8" xsi:nil="true"/>
    <TaxCatchAll xmlns="12661c1b-ebcd-4cf2-a537-0fae4d653b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ED60D-1800-4936-8E06-414E8A70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da078-25cf-4dc4-9853-c68387b648e8"/>
    <ds:schemaRef ds:uri="12661c1b-ebcd-4cf2-a537-0fae4d653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52886-ADBC-4434-8451-326F57E2B3FF}">
  <ds:schemaRefs>
    <ds:schemaRef ds:uri="http://schemas.microsoft.com/sharepoint/v3/contenttype/forms"/>
  </ds:schemaRefs>
</ds:datastoreItem>
</file>

<file path=customXml/itemProps3.xml><?xml version="1.0" encoding="utf-8"?>
<ds:datastoreItem xmlns:ds="http://schemas.openxmlformats.org/officeDocument/2006/customXml" ds:itemID="{98E4065E-40D5-4976-B2FF-799E5883D808}">
  <ds:schemaRefs>
    <ds:schemaRef ds:uri="http://schemas.microsoft.com/office/2006/metadata/properties"/>
    <ds:schemaRef ds:uri="http://schemas.microsoft.com/office/infopath/2007/PartnerControls"/>
    <ds:schemaRef ds:uri="72bda078-25cf-4dc4-9853-c68387b648e8"/>
    <ds:schemaRef ds:uri="12661c1b-ebcd-4cf2-a537-0fae4d653bab"/>
  </ds:schemaRefs>
</ds:datastoreItem>
</file>

<file path=customXml/itemProps4.xml><?xml version="1.0" encoding="utf-8"?>
<ds:datastoreItem xmlns:ds="http://schemas.openxmlformats.org/officeDocument/2006/customXml" ds:itemID="{749A548C-ED57-42E6-A140-E254AC756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23</TotalTime>
  <Pages>14</Pages>
  <Words>9731</Words>
  <Characters>55473</Characters>
  <Application>Microsoft Office Word</Application>
  <DocSecurity>0</DocSecurity>
  <Lines>462</Lines>
  <Paragraphs>130</Paragraphs>
  <ScaleCrop>false</ScaleCrop>
  <Manager/>
  <Company/>
  <LinksUpToDate>false</LinksUpToDate>
  <CharactersWithSpaces>65074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24</cp:revision>
  <cp:lastPrinted>2024-11-23T18:39:00Z</cp:lastPrinted>
  <dcterms:created xsi:type="dcterms:W3CDTF">2024-11-29T06:45:00Z</dcterms:created>
  <dcterms:modified xsi:type="dcterms:W3CDTF">2025-01-06T08:03:00Z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2024-11-13T14:07:06Z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e4888dd3-17f4-498d-b483-555bdebb24d1</vt:lpwstr>
  </property>
  <property fmtid="{D5CDD505-2E9C-101B-9397-08002B2CF9AE}" pid="16" name="MSIP_Label_6bd9ddd1-4d20-43f6-abfa-fc3c07406f94_ContentBits">
    <vt:lpwstr>0</vt:lpwstr>
  </property>
  <property fmtid="{D5CDD505-2E9C-101B-9397-08002B2CF9AE}" pid="17" name="ContentTypeId">
    <vt:lpwstr>0x010100DECBAA3E038356449A8E8E5EFBA56BA7</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